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42" w:rsidRDefault="00E91A42">
      <w:pPr>
        <w:pStyle w:val="AttorneyName"/>
      </w:pPr>
    </w:p>
    <w:p w:rsidR="00E91A42" w:rsidRDefault="00E91A42">
      <w:pPr>
        <w:pStyle w:val="AttorneyName"/>
      </w:pPr>
    </w:p>
    <w:p w:rsidR="00E91A42" w:rsidRDefault="00E91A42">
      <w:pPr>
        <w:pStyle w:val="AttorneyName"/>
      </w:pPr>
    </w:p>
    <w:p w:rsidR="00E91A42" w:rsidRDefault="00E91A42">
      <w:pPr>
        <w:pStyle w:val="AttorneyName"/>
      </w:pPr>
    </w:p>
    <w:p w:rsidR="00E91A42" w:rsidRDefault="005C6732">
      <w:pPr>
        <w:spacing w:line="240" w:lineRule="auto"/>
        <w:jc w:val="center"/>
      </w:pPr>
      <w:r>
        <w:t>BEFORE THE WASHINGTON UTILITIES</w:t>
      </w:r>
    </w:p>
    <w:p w:rsidR="005C6732" w:rsidRDefault="005C6732">
      <w:pPr>
        <w:spacing w:line="240" w:lineRule="auto"/>
        <w:jc w:val="center"/>
      </w:pPr>
      <w:r>
        <w:t>AND TRANSPORTATION COMMISSION</w:t>
      </w:r>
    </w:p>
    <w:p w:rsidR="00E91A42" w:rsidRDefault="00E91A42">
      <w:pPr>
        <w:pStyle w:val="FirmName"/>
        <w:spacing w:line="240" w:lineRule="auto"/>
      </w:pPr>
    </w:p>
    <w:p w:rsidR="00DF5A23" w:rsidRDefault="00DF5A23">
      <w:pPr>
        <w:pStyle w:val="FirmName"/>
        <w:spacing w:line="240" w:lineRule="auto"/>
      </w:pPr>
    </w:p>
    <w:p w:rsidR="00DF5A23" w:rsidRDefault="00DF5A23">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E91A42" w:rsidTr="00DF5A23">
        <w:tc>
          <w:tcPr>
            <w:tcW w:w="4672" w:type="dxa"/>
            <w:tcBorders>
              <w:bottom w:val="dashSmallGap" w:sz="4" w:space="0" w:color="auto"/>
            </w:tcBorders>
          </w:tcPr>
          <w:p w:rsidR="00E91A42" w:rsidRDefault="00E91A42">
            <w:pPr>
              <w:spacing w:line="240" w:lineRule="auto"/>
            </w:pPr>
            <w:bookmarkStart w:id="0" w:name="Parties"/>
            <w:bookmarkEnd w:id="0"/>
          </w:p>
          <w:p w:rsidR="00DF5A23" w:rsidRDefault="00DF5A23">
            <w:pPr>
              <w:spacing w:line="240" w:lineRule="auto"/>
            </w:pPr>
            <w:r>
              <w:t>In the Matter of the Petition of</w:t>
            </w:r>
          </w:p>
          <w:p w:rsidR="00DF5A23" w:rsidRDefault="00DF5A23">
            <w:pPr>
              <w:spacing w:line="240" w:lineRule="auto"/>
            </w:pPr>
          </w:p>
          <w:p w:rsidR="00DF5A23" w:rsidRDefault="00DF5A23">
            <w:pPr>
              <w:spacing w:line="240" w:lineRule="auto"/>
            </w:pPr>
            <w:r>
              <w:t>MASON COUNTY GARBAGE CO., INC. d/b/a MASON COUNTY GARBAGE, G-88</w:t>
            </w:r>
          </w:p>
          <w:p w:rsidR="00DF5A23" w:rsidRDefault="00DF5A23">
            <w:pPr>
              <w:spacing w:line="240" w:lineRule="auto"/>
            </w:pPr>
          </w:p>
          <w:p w:rsidR="00DF5A23" w:rsidRDefault="00DF5A23">
            <w:pPr>
              <w:spacing w:line="240" w:lineRule="auto"/>
            </w:pPr>
            <w:r>
              <w:t>Requesting Authority to Retain Thirty Percent of the Revenue Received From the Sale of Recyclable Materials Collected in Residential Recycling Service</w:t>
            </w:r>
          </w:p>
          <w:p w:rsidR="00DF5A23" w:rsidRDefault="00DF5A23">
            <w:pPr>
              <w:spacing w:line="240" w:lineRule="auto"/>
            </w:pPr>
          </w:p>
          <w:p w:rsidR="00E91A42" w:rsidRDefault="00E91A42">
            <w:pPr>
              <w:tabs>
                <w:tab w:val="left" w:pos="2880"/>
              </w:tabs>
              <w:spacing w:line="240" w:lineRule="auto"/>
            </w:pPr>
          </w:p>
        </w:tc>
        <w:tc>
          <w:tcPr>
            <w:tcW w:w="360" w:type="dxa"/>
            <w:tcBorders>
              <w:left w:val="nil"/>
            </w:tcBorders>
          </w:tcPr>
          <w:p w:rsidR="00E91A42" w:rsidRDefault="00DF5A23">
            <w:pPr>
              <w:pStyle w:val="SingleSpacing"/>
              <w:spacing w:line="240" w:lineRule="auto"/>
            </w:pPr>
            <w:r>
              <w:t>)</w:t>
            </w:r>
          </w:p>
          <w:p w:rsidR="00DF5A23" w:rsidRDefault="00DF5A23">
            <w:pPr>
              <w:pStyle w:val="SingleSpacing"/>
              <w:spacing w:line="240" w:lineRule="auto"/>
            </w:pPr>
            <w:r>
              <w:t>)</w:t>
            </w:r>
          </w:p>
          <w:p w:rsidR="00DF5A23" w:rsidRDefault="00DF5A23" w:rsidP="00DF5A23">
            <w:pPr>
              <w:pStyle w:val="SingleSpacing"/>
              <w:spacing w:line="240" w:lineRule="auto"/>
            </w:pPr>
            <w:r>
              <w:t>)</w:t>
            </w:r>
            <w:r>
              <w:br/>
              <w:t>)</w:t>
            </w:r>
            <w:r>
              <w:br/>
              <w:t>)</w:t>
            </w:r>
            <w:r>
              <w:br/>
              <w:t>)</w:t>
            </w:r>
            <w:r>
              <w:br/>
              <w:t>)</w:t>
            </w:r>
            <w:r>
              <w:br/>
              <w:t>)</w:t>
            </w:r>
            <w:r>
              <w:br/>
              <w:t>)</w:t>
            </w:r>
            <w:r>
              <w:br/>
              <w:t>)</w:t>
            </w:r>
            <w:r>
              <w:br/>
              <w:t>)</w:t>
            </w:r>
          </w:p>
          <w:p w:rsidR="00DF5A23" w:rsidRDefault="00DF5A23" w:rsidP="00DF5A23">
            <w:pPr>
              <w:pStyle w:val="SingleSpacing"/>
              <w:spacing w:line="240" w:lineRule="auto"/>
            </w:pPr>
            <w:r>
              <w:t>)</w:t>
            </w:r>
          </w:p>
        </w:tc>
        <w:tc>
          <w:tcPr>
            <w:tcW w:w="4483" w:type="dxa"/>
          </w:tcPr>
          <w:p w:rsidR="00E91A42" w:rsidRDefault="00E91A42">
            <w:pPr>
              <w:pStyle w:val="SingleSpacing"/>
              <w:spacing w:line="240" w:lineRule="auto"/>
            </w:pPr>
            <w:bookmarkStart w:id="1" w:name="CaseNumber"/>
            <w:bookmarkEnd w:id="1"/>
          </w:p>
          <w:p w:rsidR="00E91A42" w:rsidRDefault="00DF5A23">
            <w:pPr>
              <w:pStyle w:val="SingleSpacing"/>
              <w:spacing w:line="240" w:lineRule="auto"/>
            </w:pPr>
            <w:r>
              <w:t>DOCKET TG-101542 (</w:t>
            </w:r>
            <w:r>
              <w:rPr>
                <w:i/>
              </w:rPr>
              <w:t>Consolidated)</w:t>
            </w:r>
          </w:p>
          <w:p w:rsidR="00E91A42" w:rsidRDefault="00E91A42">
            <w:pPr>
              <w:pStyle w:val="SingleSpacing"/>
              <w:spacing w:line="240" w:lineRule="auto"/>
            </w:pPr>
          </w:p>
          <w:p w:rsidR="00E91A42" w:rsidRDefault="00E91A42">
            <w:pPr>
              <w:pStyle w:val="PleadingTitle"/>
            </w:pPr>
          </w:p>
        </w:tc>
      </w:tr>
      <w:tr w:rsidR="00DF5A23" w:rsidTr="00DF5A23">
        <w:tc>
          <w:tcPr>
            <w:tcW w:w="4672" w:type="dxa"/>
            <w:tcBorders>
              <w:top w:val="dashSmallGap" w:sz="4" w:space="0" w:color="auto"/>
              <w:bottom w:val="dashSmallGap" w:sz="4" w:space="0" w:color="auto"/>
            </w:tcBorders>
          </w:tcPr>
          <w:p w:rsidR="00DF5A23" w:rsidRDefault="00DF5A23" w:rsidP="00DF5A23">
            <w:pPr>
              <w:spacing w:line="240" w:lineRule="auto"/>
            </w:pPr>
          </w:p>
          <w:p w:rsidR="00DF5A23" w:rsidRDefault="00DF5A23" w:rsidP="00DF5A23">
            <w:pPr>
              <w:spacing w:line="240" w:lineRule="auto"/>
            </w:pPr>
            <w:r>
              <w:t>In the Matter of the Petition of</w:t>
            </w:r>
          </w:p>
          <w:p w:rsidR="00DF5A23" w:rsidRDefault="00DF5A23" w:rsidP="00DF5A23">
            <w:pPr>
              <w:tabs>
                <w:tab w:val="left" w:pos="2887"/>
              </w:tabs>
              <w:spacing w:line="240" w:lineRule="auto"/>
            </w:pPr>
          </w:p>
          <w:p w:rsidR="00DF5A23" w:rsidRDefault="00DF5A23" w:rsidP="00DF5A23">
            <w:pPr>
              <w:tabs>
                <w:tab w:val="left" w:pos="2887"/>
              </w:tabs>
              <w:spacing w:line="240" w:lineRule="auto"/>
            </w:pPr>
            <w:r>
              <w:t>MURREY’S DISPOSAL COMPANY, INC., G-9,</w:t>
            </w:r>
          </w:p>
          <w:p w:rsidR="00DF5A23" w:rsidRDefault="00DF5A23" w:rsidP="00DF5A23">
            <w:pPr>
              <w:tabs>
                <w:tab w:val="left" w:pos="2887"/>
              </w:tabs>
              <w:spacing w:line="240" w:lineRule="auto"/>
            </w:pPr>
          </w:p>
          <w:p w:rsidR="00DF5A23" w:rsidRDefault="00DF5A23" w:rsidP="00DF5A23">
            <w:pPr>
              <w:tabs>
                <w:tab w:val="left" w:pos="2887"/>
              </w:tabs>
              <w:spacing w:line="240" w:lineRule="auto"/>
            </w:pPr>
            <w:r>
              <w:t>Requesting Authority to Retain Fifty Percent of the Revenue Received From the Sale of Recyclable Materials Collected in Residential Recycling Service</w:t>
            </w:r>
          </w:p>
          <w:p w:rsidR="00DF5A23" w:rsidRDefault="00DF5A23">
            <w:pPr>
              <w:spacing w:line="240" w:lineRule="auto"/>
            </w:pPr>
          </w:p>
        </w:tc>
        <w:tc>
          <w:tcPr>
            <w:tcW w:w="360" w:type="dxa"/>
            <w:tcBorders>
              <w:left w:val="nil"/>
            </w:tcBorders>
          </w:tcPr>
          <w:p w:rsidR="00DF5A23" w:rsidRDefault="00DF5A23">
            <w:pPr>
              <w:pStyle w:val="SingleSpacing"/>
              <w:spacing w:line="240" w:lineRule="auto"/>
            </w:pPr>
            <w:r>
              <w:t>)</w:t>
            </w:r>
            <w:r>
              <w:br/>
              <w:t>)</w:t>
            </w:r>
            <w:r>
              <w:br/>
              <w:t>)</w:t>
            </w:r>
            <w:r>
              <w:br/>
              <w:t>)</w:t>
            </w:r>
          </w:p>
          <w:p w:rsidR="00DF5A23" w:rsidRDefault="00DF5A23">
            <w:pPr>
              <w:pStyle w:val="SingleSpacing"/>
              <w:spacing w:line="240" w:lineRule="auto"/>
            </w:pPr>
            <w:r>
              <w:t>)</w:t>
            </w:r>
            <w:r>
              <w:br/>
              <w:t>)</w:t>
            </w:r>
            <w:r>
              <w:br/>
              <w:t>)</w:t>
            </w:r>
            <w:r>
              <w:br/>
              <w:t>)</w:t>
            </w:r>
            <w:r>
              <w:br/>
              <w:t>)</w:t>
            </w:r>
            <w:r>
              <w:br/>
              <w:t>)</w:t>
            </w:r>
          </w:p>
          <w:p w:rsidR="00DF5A23" w:rsidRDefault="00DF5A23">
            <w:pPr>
              <w:pStyle w:val="SingleSpacing"/>
              <w:spacing w:line="240" w:lineRule="auto"/>
            </w:pPr>
            <w:r>
              <w:t>)</w:t>
            </w:r>
          </w:p>
        </w:tc>
        <w:tc>
          <w:tcPr>
            <w:tcW w:w="4483" w:type="dxa"/>
          </w:tcPr>
          <w:p w:rsidR="00DF5A23" w:rsidRDefault="00DF5A23">
            <w:pPr>
              <w:pStyle w:val="SingleSpacing"/>
              <w:spacing w:line="240" w:lineRule="auto"/>
            </w:pPr>
          </w:p>
          <w:p w:rsidR="00DF5A23" w:rsidRDefault="00DF5A23">
            <w:pPr>
              <w:pStyle w:val="SingleSpacing"/>
              <w:spacing w:line="240" w:lineRule="auto"/>
            </w:pPr>
          </w:p>
          <w:p w:rsidR="00DF5A23" w:rsidRPr="00DF5A23" w:rsidRDefault="00DF5A23">
            <w:pPr>
              <w:pStyle w:val="SingleSpacing"/>
              <w:spacing w:line="240" w:lineRule="auto"/>
            </w:pPr>
            <w:r>
              <w:t>DOCKET TG-101545 (</w:t>
            </w:r>
            <w:r>
              <w:rPr>
                <w:i/>
              </w:rPr>
              <w:t>Consolidated)</w:t>
            </w:r>
          </w:p>
        </w:tc>
      </w:tr>
      <w:tr w:rsidR="00DF5A23" w:rsidTr="00DF5A23">
        <w:tc>
          <w:tcPr>
            <w:tcW w:w="4672" w:type="dxa"/>
            <w:tcBorders>
              <w:top w:val="dashSmallGap" w:sz="4" w:space="0" w:color="auto"/>
              <w:bottom w:val="dashSmallGap" w:sz="4" w:space="0" w:color="auto"/>
            </w:tcBorders>
          </w:tcPr>
          <w:p w:rsidR="00DF5A23" w:rsidRDefault="00DF5A23" w:rsidP="00DF5A23">
            <w:pPr>
              <w:spacing w:line="240" w:lineRule="auto"/>
            </w:pPr>
          </w:p>
          <w:p w:rsidR="00DF5A23" w:rsidRDefault="00DF5A23" w:rsidP="00DF5A23">
            <w:pPr>
              <w:spacing w:line="240" w:lineRule="auto"/>
            </w:pPr>
            <w:r>
              <w:t>In the Matter of the Petition of</w:t>
            </w:r>
          </w:p>
          <w:p w:rsidR="00DF5A23" w:rsidRDefault="00DF5A23" w:rsidP="00DF5A23">
            <w:pPr>
              <w:spacing w:line="240" w:lineRule="auto"/>
            </w:pPr>
          </w:p>
          <w:p w:rsidR="00DF5A23" w:rsidRDefault="00DF5A23" w:rsidP="00DF5A23">
            <w:pPr>
              <w:spacing w:line="240" w:lineRule="auto"/>
            </w:pPr>
            <w:r>
              <w:t>AMERICAN DISPOSAL COMPANY, INC., G-87,</w:t>
            </w:r>
          </w:p>
          <w:p w:rsidR="00DF5A23" w:rsidRDefault="00DF5A23" w:rsidP="00DF5A23">
            <w:pPr>
              <w:spacing w:line="240" w:lineRule="auto"/>
            </w:pPr>
          </w:p>
          <w:p w:rsidR="00DF5A23" w:rsidRDefault="00DF5A23" w:rsidP="00DF5A23">
            <w:pPr>
              <w:spacing w:line="240" w:lineRule="auto"/>
            </w:pPr>
            <w:r>
              <w:t>Requesting Authority to Retain Fifty Percent of the Revenue Received From the Sale of Recyclable Materials Collected in Residential Recycling Service</w:t>
            </w:r>
          </w:p>
        </w:tc>
        <w:tc>
          <w:tcPr>
            <w:tcW w:w="360" w:type="dxa"/>
            <w:tcBorders>
              <w:left w:val="nil"/>
            </w:tcBorders>
          </w:tcPr>
          <w:p w:rsidR="00DF5A23" w:rsidRDefault="00DF5A23">
            <w:pPr>
              <w:pStyle w:val="SingleSpacing"/>
              <w:spacing w:line="240" w:lineRule="auto"/>
            </w:pPr>
            <w:r>
              <w:t>)</w:t>
            </w:r>
            <w:r>
              <w:br/>
              <w:t>)</w:t>
            </w:r>
            <w:r>
              <w:br/>
              <w:t>)</w:t>
            </w:r>
            <w:r>
              <w:br/>
              <w:t>)</w:t>
            </w:r>
            <w:r>
              <w:br/>
              <w:t>)</w:t>
            </w:r>
            <w:r>
              <w:br/>
              <w:t>)</w:t>
            </w:r>
            <w:r>
              <w:br/>
              <w:t>)</w:t>
            </w:r>
            <w:r>
              <w:br/>
              <w:t>)</w:t>
            </w:r>
            <w:r>
              <w:br/>
              <w:t>)</w:t>
            </w:r>
          </w:p>
          <w:p w:rsidR="00DF5A23" w:rsidRDefault="00DF5A23">
            <w:pPr>
              <w:pStyle w:val="SingleSpacing"/>
              <w:spacing w:line="240" w:lineRule="auto"/>
            </w:pPr>
            <w:r>
              <w:t>)</w:t>
            </w:r>
          </w:p>
          <w:p w:rsidR="00DF5A23" w:rsidRDefault="00DF5A23">
            <w:pPr>
              <w:pStyle w:val="SingleSpacing"/>
              <w:spacing w:line="240" w:lineRule="auto"/>
            </w:pPr>
            <w:r>
              <w:t>)</w:t>
            </w:r>
          </w:p>
          <w:p w:rsidR="00DF5A23" w:rsidRDefault="00DF5A23">
            <w:pPr>
              <w:pStyle w:val="SingleSpacing"/>
              <w:spacing w:line="240" w:lineRule="auto"/>
            </w:pPr>
            <w:r>
              <w:t>)</w:t>
            </w:r>
          </w:p>
        </w:tc>
        <w:tc>
          <w:tcPr>
            <w:tcW w:w="4483" w:type="dxa"/>
          </w:tcPr>
          <w:p w:rsidR="00DF5A23" w:rsidRDefault="00DF5A23">
            <w:pPr>
              <w:pStyle w:val="SingleSpacing"/>
              <w:spacing w:line="240" w:lineRule="auto"/>
            </w:pPr>
            <w:bookmarkStart w:id="2" w:name="Text31"/>
          </w:p>
          <w:p w:rsidR="00DF5A23" w:rsidRPr="00DF5A23" w:rsidRDefault="00DF5A23">
            <w:pPr>
              <w:pStyle w:val="SingleSpacing"/>
              <w:spacing w:line="240" w:lineRule="auto"/>
            </w:pPr>
            <w:r>
              <w:t>DOCKET TG-101548 (</w:t>
            </w:r>
            <w:r>
              <w:rPr>
                <w:i/>
              </w:rPr>
              <w:t>Consolidated)</w:t>
            </w:r>
          </w:p>
          <w:p w:rsidR="00DF5A23" w:rsidRDefault="00DF5A23">
            <w:pPr>
              <w:pStyle w:val="SingleSpacing"/>
              <w:spacing w:line="240" w:lineRule="auto"/>
            </w:pPr>
          </w:p>
          <w:p w:rsidR="00DF5A23" w:rsidRDefault="00DF5A23">
            <w:pPr>
              <w:pStyle w:val="SingleSpacing"/>
              <w:spacing w:line="240" w:lineRule="auto"/>
            </w:pPr>
          </w:p>
          <w:bookmarkEnd w:id="2"/>
          <w:p w:rsidR="00DF5A23" w:rsidRDefault="007B1831">
            <w:pPr>
              <w:pStyle w:val="SingleSpacing"/>
              <w:spacing w:line="240" w:lineRule="auto"/>
            </w:pPr>
            <w:r>
              <w:t>RESPONSE</w:t>
            </w:r>
            <w:r w:rsidR="00C720A7">
              <w:t xml:space="preserve"> </w:t>
            </w:r>
            <w:r w:rsidR="00DF5A23">
              <w:t>MEMORANDUM OF INTERVENOR WASTE MANAGEMENT OF WASHINGTON, INC.</w:t>
            </w:r>
          </w:p>
        </w:tc>
      </w:tr>
    </w:tbl>
    <w:p w:rsidR="00E91A42" w:rsidRDefault="00E91A42">
      <w:pPr>
        <w:spacing w:line="240" w:lineRule="auto"/>
      </w:pPr>
    </w:p>
    <w:p w:rsidR="004C6614" w:rsidRPr="004C6614" w:rsidRDefault="00981450" w:rsidP="00611DF6">
      <w:pPr>
        <w:pStyle w:val="ParaNumbered"/>
        <w:ind w:left="360" w:hanging="360"/>
        <w:rPr>
          <w:caps/>
        </w:rPr>
      </w:pPr>
      <w:r>
        <w:lastRenderedPageBreak/>
        <w:t xml:space="preserve">Intervenor Waste Management of Washington, Inc. (“Waste Management”) </w:t>
      </w:r>
      <w:r w:rsidR="0023524A">
        <w:t xml:space="preserve">respectfully submits this Response Memorandum in support of </w:t>
      </w:r>
      <w:r>
        <w:t xml:space="preserve">the analysis of RCW 81.77.185 articulated by Petitioners Mason County Garbage, Murrey’s Disposal Company, Inc. and American Disposal Company, Inc. (“Petitioners”). </w:t>
      </w:r>
    </w:p>
    <w:p w:rsidR="004C6614" w:rsidRPr="006B6C08" w:rsidRDefault="0023524A" w:rsidP="006B6C08">
      <w:pPr>
        <w:pStyle w:val="ParaNumbered"/>
        <w:spacing w:after="120"/>
        <w:ind w:left="360" w:hanging="360"/>
        <w:rPr>
          <w:caps/>
        </w:rPr>
      </w:pPr>
      <w:r w:rsidRPr="0023524A">
        <w:t xml:space="preserve">Waste Management suggests that there is common ground in the arguments of Petitioners and </w:t>
      </w:r>
      <w:r>
        <w:t xml:space="preserve">Commission </w:t>
      </w:r>
      <w:r w:rsidRPr="0023524A">
        <w:t xml:space="preserve">Staff.  Discerning the legislature’s intent in enacting RCW 81.77.185 and interpreting the meaning of the statutory language is informed by the analysis of both parties.  Ultimately, Waste Management believes </w:t>
      </w:r>
      <w:r>
        <w:t xml:space="preserve">that </w:t>
      </w:r>
      <w:r w:rsidRPr="0023524A">
        <w:t>prospective approvals to retain revenue are consistent with the statute, and that the pattern and practice of the Commission in implementing the law for almost eight years leads to a conclusion that the Motion for Summary Determination by Petitioners Mason County Garbag</w:t>
      </w:r>
      <w:r>
        <w:t>e, Murrey’s Disposal Company, I</w:t>
      </w:r>
      <w:r w:rsidRPr="0023524A">
        <w:t>nc and American Disposal, Inc. in Support of Revenue Retention Authorization must be granted.</w:t>
      </w:r>
    </w:p>
    <w:p w:rsidR="0023524A" w:rsidRDefault="0023524A" w:rsidP="006B6C08">
      <w:pPr>
        <w:pStyle w:val="Heading2"/>
        <w:numPr>
          <w:ilvl w:val="0"/>
          <w:numId w:val="0"/>
        </w:numPr>
        <w:spacing w:after="0"/>
        <w:ind w:left="720"/>
        <w:jc w:val="center"/>
      </w:pPr>
      <w:r>
        <w:t>ANALYSIS:</w:t>
      </w:r>
    </w:p>
    <w:p w:rsidR="006B6C08" w:rsidRPr="00611DF6" w:rsidRDefault="0023524A" w:rsidP="006B6C08">
      <w:pPr>
        <w:pStyle w:val="Heading2"/>
        <w:numPr>
          <w:ilvl w:val="0"/>
          <w:numId w:val="0"/>
        </w:numPr>
        <w:spacing w:after="0"/>
        <w:ind w:left="720"/>
        <w:jc w:val="center"/>
      </w:pPr>
      <w:r>
        <w:t xml:space="preserve">The legislature has directed the Commission to grant prospectively requests for revenue retention if certain conditions have been satisfied, and </w:t>
      </w:r>
      <w:r w:rsidR="00AC0C7D">
        <w:t xml:space="preserve">it would be error to use </w:t>
      </w:r>
      <w:r>
        <w:t>the agency’s general plenary authorities in contravention of the specific statutory mandate.</w:t>
      </w:r>
    </w:p>
    <w:p w:rsidR="00981450" w:rsidRDefault="00981450" w:rsidP="00611DF6">
      <w:pPr>
        <w:pStyle w:val="ParaNumbered"/>
        <w:ind w:left="360" w:hanging="360"/>
      </w:pPr>
      <w:r>
        <w:t xml:space="preserve">In its articulation of the issues presented (and of those “not addressed in this motion”), the </w:t>
      </w:r>
      <w:r w:rsidR="0064087B" w:rsidRPr="0064087B">
        <w:t xml:space="preserve">Commission Staff Motion for Summary Determination, and </w:t>
      </w:r>
      <w:r w:rsidR="00354889">
        <w:t>Motion</w:t>
      </w:r>
      <w:r w:rsidR="0064087B" w:rsidRPr="0064087B">
        <w:t xml:space="preserve"> in Support Thereof (“Staff </w:t>
      </w:r>
      <w:r w:rsidR="00354889">
        <w:t>Motion</w:t>
      </w:r>
      <w:r w:rsidR="0064087B" w:rsidRPr="0064087B">
        <w:t xml:space="preserve">”) </w:t>
      </w:r>
      <w:r w:rsidR="008B490C">
        <w:t>rests on</w:t>
      </w:r>
      <w:r>
        <w:t xml:space="preserve"> a distinction between the authority </w:t>
      </w:r>
      <w:r w:rsidR="0064087B">
        <w:t xml:space="preserve">of the Washington Utilities and Transportation Commission (“Commission”) </w:t>
      </w:r>
      <w:r>
        <w:t xml:space="preserve">over a company’s </w:t>
      </w:r>
      <w:r w:rsidR="0023524A">
        <w:t>right</w:t>
      </w:r>
      <w:r>
        <w:t xml:space="preserve"> to retain unspent revenue from the prior reporting year, on t</w:t>
      </w:r>
      <w:r w:rsidR="0023524A">
        <w:t>he one hand, and a certified plan</w:t>
      </w:r>
      <w:r>
        <w:t xml:space="preserve"> that allows a company to earn profits in the upcoming </w:t>
      </w:r>
      <w:r w:rsidR="0023524A">
        <w:t>revenue-sharing plan</w:t>
      </w:r>
      <w:r>
        <w:t xml:space="preserve"> period</w:t>
      </w:r>
      <w:r w:rsidR="0071111C">
        <w:t>, on the other</w:t>
      </w:r>
      <w:r>
        <w:t xml:space="preserve">.  </w:t>
      </w:r>
      <w:r w:rsidR="00354889">
        <w:t xml:space="preserve">Staff Motion at 3-4, 5.  </w:t>
      </w:r>
      <w:r w:rsidR="007F5012">
        <w:t>In other words, Staff</w:t>
      </w:r>
      <w:r>
        <w:t xml:space="preserve"> </w:t>
      </w:r>
      <w:r w:rsidR="004C6614">
        <w:t xml:space="preserve">assigns legal significance to </w:t>
      </w:r>
      <w:r w:rsidR="0023524A">
        <w:t>whether the Commission’s review is over a request to retain revenue prospectively, versus a review of how the revenue was spent retroactively</w:t>
      </w:r>
      <w:r>
        <w:t>.</w:t>
      </w:r>
    </w:p>
    <w:p w:rsidR="0071111C" w:rsidRDefault="0071111C" w:rsidP="00611DF6">
      <w:pPr>
        <w:pStyle w:val="ParaNumbered"/>
        <w:ind w:left="360" w:hanging="360"/>
      </w:pPr>
      <w:r>
        <w:lastRenderedPageBreak/>
        <w:t xml:space="preserve">The Staff </w:t>
      </w:r>
      <w:r w:rsidR="00354889">
        <w:t>Motion</w:t>
      </w:r>
      <w:r>
        <w:t xml:space="preserve"> </w:t>
      </w:r>
      <w:r w:rsidR="008B490C">
        <w:t xml:space="preserve">essentially </w:t>
      </w:r>
      <w:r w:rsidR="007F5012">
        <w:t>rests on an argument</w:t>
      </w:r>
      <w:r>
        <w:t xml:space="preserve"> that </w:t>
      </w:r>
      <w:r w:rsidR="00E42AE4">
        <w:t>RCW 81.77.185</w:t>
      </w:r>
      <w:r>
        <w:t xml:space="preserve"> only </w:t>
      </w:r>
      <w:r w:rsidR="0064087B">
        <w:t>affects</w:t>
      </w:r>
      <w:r>
        <w:t xml:space="preserve"> the Commission’s authority to approve revenue-sharing prospectively – and does not constrain its ability to direct the treatment of unspent revenues that arise from the prior year.  </w:t>
      </w:r>
      <w:r w:rsidR="004C6614">
        <w:t>But the position taken by Staff renders the prospective approval of revenue retention meaningless.  T</w:t>
      </w:r>
      <w:r>
        <w:t xml:space="preserve">he prospective approval is based on estimates and projections, </w:t>
      </w:r>
      <w:r w:rsidR="004C6614">
        <w:t xml:space="preserve">and so </w:t>
      </w:r>
      <w:r>
        <w:t xml:space="preserve">at the end of any given plan year there will </w:t>
      </w:r>
      <w:r w:rsidRPr="0071111C">
        <w:rPr>
          <w:i/>
        </w:rPr>
        <w:t>always</w:t>
      </w:r>
      <w:r>
        <w:t xml:space="preserve"> be a discrepancy of some sort.  If the estimated revenues are greater than projected, if the costs of implementing </w:t>
      </w:r>
      <w:r w:rsidR="004C6614">
        <w:t>plan</w:t>
      </w:r>
      <w:r>
        <w:t xml:space="preserve"> activities are less than estimated, </w:t>
      </w:r>
      <w:r w:rsidR="0064087B">
        <w:t xml:space="preserve">if good faith efforts to predict the future are off by any amount, </w:t>
      </w:r>
      <w:r>
        <w:t xml:space="preserve">there </w:t>
      </w:r>
      <w:r w:rsidR="004C6614">
        <w:t xml:space="preserve">will likely </w:t>
      </w:r>
      <w:r>
        <w:t xml:space="preserve">be unspent revenues.  </w:t>
      </w:r>
      <w:r w:rsidR="004C6614">
        <w:t>The Commission’s approval to retain a certain percentage of revenue is therefore hollow.  E</w:t>
      </w:r>
      <w:r>
        <w:t>ven if the Commission approve</w:t>
      </w:r>
      <w:r w:rsidR="004C6614">
        <w:t>s</w:t>
      </w:r>
      <w:r>
        <w:t xml:space="preserve"> the </w:t>
      </w:r>
      <w:r w:rsidR="004C6614">
        <w:t xml:space="preserve">revenue retention </w:t>
      </w:r>
      <w:r>
        <w:t xml:space="preserve">prospectively, it </w:t>
      </w:r>
      <w:r w:rsidR="008B490C">
        <w:t>could</w:t>
      </w:r>
      <w:r>
        <w:t xml:space="preserve"> nullify that approval by reopening the books after the plan year has passed</w:t>
      </w:r>
      <w:r w:rsidR="004C6614">
        <w:t xml:space="preserve"> and requiring unspent revenues to be carried forward</w:t>
      </w:r>
      <w:r>
        <w:t>.</w:t>
      </w:r>
    </w:p>
    <w:p w:rsidR="004D5224" w:rsidRDefault="00562BB5" w:rsidP="00611DF6">
      <w:pPr>
        <w:pStyle w:val="ParaNumbered"/>
        <w:ind w:left="360" w:hanging="360"/>
      </w:pPr>
      <w:r>
        <w:t xml:space="preserve">It is not insignificant that revenue-sharing requests arise </w:t>
      </w:r>
      <w:r w:rsidR="0071111C">
        <w:t xml:space="preserve">in the context of </w:t>
      </w:r>
      <w:r>
        <w:t>filings for r</w:t>
      </w:r>
      <w:r w:rsidR="0071111C">
        <w:t>ecycling commodity credit</w:t>
      </w:r>
      <w:r>
        <w:t>/debit adjustment.  The mechanics for setting that amount involve a</w:t>
      </w:r>
      <w:r w:rsidR="0071111C">
        <w:t>n annual renewal with a look-back and look</w:t>
      </w:r>
      <w:r w:rsidR="008B490C">
        <w:t>-forward</w:t>
      </w:r>
      <w:r w:rsidR="0071111C">
        <w:t xml:space="preserve">.  </w:t>
      </w:r>
      <w:r w:rsidR="004C6614">
        <w:t>In this context,</w:t>
      </w:r>
      <w:r>
        <w:t xml:space="preserve"> the amount of recycling revenue actually earned (or spent) in the preceding year is a relevant monetary benchmark.  With programs involving revenue sharing, the preceding year’s recycling revenue </w:t>
      </w:r>
      <w:r w:rsidR="004C6614">
        <w:t>is calculated to include</w:t>
      </w:r>
      <w:r>
        <w:t xml:space="preserve"> the </w:t>
      </w:r>
      <w:r w:rsidR="004C6614">
        <w:t>amounts retained by the company because knowing</w:t>
      </w:r>
      <w:r w:rsidR="008B490C">
        <w:t xml:space="preserve"> that</w:t>
      </w:r>
      <w:r>
        <w:t xml:space="preserve"> total amount is </w:t>
      </w:r>
      <w:r w:rsidR="004D5224">
        <w:t>required</w:t>
      </w:r>
      <w:r>
        <w:t xml:space="preserve"> for purposes of projecting the next year’s estimated revenues/expenses</w:t>
      </w:r>
      <w:r w:rsidR="0064087B">
        <w:t xml:space="preserve"> </w:t>
      </w:r>
      <w:r w:rsidR="004C6614">
        <w:t xml:space="preserve">that is </w:t>
      </w:r>
      <w:r w:rsidR="0064087B">
        <w:t>used in making the next-year</w:t>
      </w:r>
      <w:r w:rsidR="004C6614">
        <w:t>’</w:t>
      </w:r>
      <w:r w:rsidR="0064087B">
        <w:t>s recycling commodity adjustment</w:t>
      </w:r>
      <w:r>
        <w:t xml:space="preserve">.  </w:t>
      </w:r>
      <w:r w:rsidR="004D5224">
        <w:t xml:space="preserve">Also necessary is </w:t>
      </w:r>
      <w:r w:rsidR="0064087B">
        <w:t>determining</w:t>
      </w:r>
      <w:r w:rsidR="004D5224">
        <w:t xml:space="preserve"> the difference between the projected revenue/expense estimated for the preceding year’s recycling commodity credit, and the actual amount – that delta is incorporated into the recycling commodity </w:t>
      </w:r>
      <w:r w:rsidR="004C6614">
        <w:t>adjustment</w:t>
      </w:r>
      <w:r w:rsidR="004D5224">
        <w:t xml:space="preserve">, too.  So there is a reason for the Commission to look back over the preceding year, and there is a means of repaying ratepaters the difference between estimated and actual revenues/expenses.  The recycling commodity credit is therefore related </w:t>
      </w:r>
      <w:r w:rsidR="004C6614">
        <w:t xml:space="preserve">to the revenue sharing process:  they arise in the same filings and they involve the same revenues – </w:t>
      </w:r>
      <w:r w:rsidR="004D5224">
        <w:t xml:space="preserve">but only the former entails a </w:t>
      </w:r>
      <w:r w:rsidR="007F5012">
        <w:t>retrospective element</w:t>
      </w:r>
      <w:r w:rsidR="004D5224">
        <w:t xml:space="preserve">.  </w:t>
      </w:r>
    </w:p>
    <w:p w:rsidR="007F5012" w:rsidRDefault="008B490C" w:rsidP="00611DF6">
      <w:pPr>
        <w:pStyle w:val="ParaNumbered"/>
        <w:ind w:left="360" w:hanging="360"/>
      </w:pPr>
      <w:r>
        <w:t>Figuring the total amount of revenue earned (or spent)</w:t>
      </w:r>
      <w:r w:rsidR="00330521">
        <w:t xml:space="preserve"> in the preceding year</w:t>
      </w:r>
      <w:r>
        <w:t xml:space="preserve">, the </w:t>
      </w:r>
      <w:r w:rsidR="00866051">
        <w:t xml:space="preserve">actual </w:t>
      </w:r>
      <w:r>
        <w:t xml:space="preserve">amount of the </w:t>
      </w:r>
      <w:r w:rsidR="00330521">
        <w:t>prospectively-</w:t>
      </w:r>
      <w:r>
        <w:t>approved retention</w:t>
      </w:r>
      <w:r w:rsidR="00866051">
        <w:t xml:space="preserve"> percentage</w:t>
      </w:r>
      <w:r>
        <w:t xml:space="preserve">, and the expenditures of retained revenue made </w:t>
      </w:r>
      <w:r w:rsidR="00330521">
        <w:t>–</w:t>
      </w:r>
      <w:r>
        <w:t xml:space="preserve"> </w:t>
      </w:r>
      <w:r w:rsidR="00330521">
        <w:t xml:space="preserve">those numbers are not </w:t>
      </w:r>
      <w:r w:rsidR="00866051">
        <w:t xml:space="preserve">directly </w:t>
      </w:r>
      <w:r w:rsidR="00330521">
        <w:t>relevant for the recycling commodity adjustment.  Moreover, those numbers are not before the Commission</w:t>
      </w:r>
      <w:r w:rsidR="00866051">
        <w:t xml:space="preserve"> under RCW</w:t>
      </w:r>
      <w:r w:rsidR="00AC0C7D">
        <w:t> </w:t>
      </w:r>
      <w:r w:rsidR="00866051">
        <w:t xml:space="preserve">81.77.185, either, </w:t>
      </w:r>
      <w:r w:rsidR="004D5224">
        <w:t>s</w:t>
      </w:r>
      <w:r w:rsidR="00330521">
        <w:t xml:space="preserve">o long as </w:t>
      </w:r>
      <w:r w:rsidR="004D5224">
        <w:t>the Commission</w:t>
      </w:r>
      <w:r w:rsidR="00330521">
        <w:t xml:space="preserve"> approved the revenue retention for the prior year in a prospective manner</w:t>
      </w:r>
      <w:r w:rsidR="00562BB5">
        <w:t xml:space="preserve">.  </w:t>
      </w:r>
      <w:r w:rsidR="00330521">
        <w:t>They are meaningful</w:t>
      </w:r>
      <w:r w:rsidR="00866051">
        <w:t xml:space="preserve"> points of data</w:t>
      </w:r>
      <w:r w:rsidR="00330521">
        <w:t xml:space="preserve">, to be sure, and all parties – the local jurisdiction, the company, and the Commission – would be interested in a financial analysis of how </w:t>
      </w:r>
      <w:r w:rsidR="00866051">
        <w:t>a revenue-sharing plan has been</w:t>
      </w:r>
      <w:r w:rsidR="00330521">
        <w:t xml:space="preserve"> implemented.  Arguably, the Commission needs to know what expenditures were made to make sure the base recycling collection rates are not paying for </w:t>
      </w:r>
      <w:r w:rsidR="00866051">
        <w:t>revenue-sharing p</w:t>
      </w:r>
      <w:r w:rsidR="00330521">
        <w:t xml:space="preserve">lan activities and investments.  But if the Commission were to have unlimited authority over how monies in the prior year are used in the next, then the prospective approval so vigorously </w:t>
      </w:r>
      <w:r w:rsidR="00843571">
        <w:t>advocated</w:t>
      </w:r>
      <w:r w:rsidR="00330521">
        <w:t xml:space="preserve"> in the Staff </w:t>
      </w:r>
      <w:r w:rsidR="00354889">
        <w:t>Motion</w:t>
      </w:r>
      <w:r w:rsidR="00330521">
        <w:t xml:space="preserve"> would be meaningless. </w:t>
      </w:r>
      <w:r w:rsidR="0064087B">
        <w:t xml:space="preserve"> Retroactively reopening the prior year’s approval would seem to be directly contrary to the </w:t>
      </w:r>
      <w:r w:rsidR="00843571">
        <w:t xml:space="preserve">mechanics of implementing the statute.  </w:t>
      </w:r>
    </w:p>
    <w:p w:rsidR="00562BB5" w:rsidRDefault="00843571" w:rsidP="00611DF6">
      <w:pPr>
        <w:pStyle w:val="ParaNumbered"/>
        <w:ind w:left="360" w:hanging="360"/>
      </w:pPr>
      <w:r>
        <w:t>T</w:t>
      </w:r>
      <w:r w:rsidR="0064087B">
        <w:t xml:space="preserve">he Commission’s plenary powers </w:t>
      </w:r>
      <w:r>
        <w:t xml:space="preserve">should not </w:t>
      </w:r>
      <w:r w:rsidR="0064087B">
        <w:t xml:space="preserve">be </w:t>
      </w:r>
      <w:r>
        <w:t>used to contradict</w:t>
      </w:r>
      <w:r w:rsidR="0064087B">
        <w:t xml:space="preserve"> specific legislation expressly controlling the revenue sharing process.</w:t>
      </w:r>
      <w:r w:rsidR="00E42AE4">
        <w:t xml:space="preserve">  T</w:t>
      </w:r>
      <w:r w:rsidR="00E42AE4" w:rsidRPr="00E42AE4">
        <w:t xml:space="preserve">his interpretation is supported by the familiar rule of construction that where there is a conflict between one statutory provision which deals with a subject in a general way and another provision which deals with the same subject in a specific manner, the latter will prevail. </w:t>
      </w:r>
      <w:r w:rsidR="00E42AE4">
        <w:t xml:space="preserve"> </w:t>
      </w:r>
      <w:r w:rsidR="00E42AE4" w:rsidRPr="00BC4B01">
        <w:rPr>
          <w:i/>
        </w:rPr>
        <w:t>Knowles v. Holly</w:t>
      </w:r>
      <w:r w:rsidR="00E42AE4" w:rsidRPr="00E42AE4">
        <w:t>, 82 W</w:t>
      </w:r>
      <w:r w:rsidR="00E42AE4">
        <w:t>n</w:t>
      </w:r>
      <w:r w:rsidR="00E42AE4" w:rsidRPr="00E42AE4">
        <w:t xml:space="preserve">.2d 694, 513 P.2d 18 (1973); </w:t>
      </w:r>
      <w:r w:rsidR="00E42AE4" w:rsidRPr="00BC4B01">
        <w:rPr>
          <w:i/>
        </w:rPr>
        <w:t>State ex rel. Phillips v. State Liquor Control Board</w:t>
      </w:r>
      <w:r w:rsidR="00E42AE4" w:rsidRPr="00E42AE4">
        <w:t>, 59 W</w:t>
      </w:r>
      <w:r w:rsidR="00E42AE4">
        <w:t>n</w:t>
      </w:r>
      <w:r w:rsidR="00E42AE4" w:rsidRPr="00E42AE4">
        <w:t>.2d 565, 369 P.2d 844 (1962).</w:t>
      </w:r>
      <w:r w:rsidR="00E42AE4">
        <w:t xml:space="preserve">   </w:t>
      </w:r>
      <w:r w:rsidR="00E42AE4" w:rsidRPr="00BC4B01">
        <w:rPr>
          <w:i/>
        </w:rPr>
        <w:t>See also Waste Management of Seattle, Inc</w:t>
      </w:r>
      <w:r w:rsidR="00BC4B01">
        <w:rPr>
          <w:i/>
        </w:rPr>
        <w:t>. v. Utilities and Transp. Comm'n.</w:t>
      </w:r>
      <w:r w:rsidR="00E42AE4" w:rsidRPr="00BC4B01">
        <w:rPr>
          <w:i/>
        </w:rPr>
        <w:t>,</w:t>
      </w:r>
      <w:r w:rsidR="00E42AE4">
        <w:t xml:space="preserve"> 123 Wn.2d 621, 637, 869 P.2d 1034 (1994) (holding that the specifics of the affiliated interests statutes curtailed the Commission’s general rate-setting authority).</w:t>
      </w:r>
    </w:p>
    <w:p w:rsidR="002F2831" w:rsidRDefault="00562BB5" w:rsidP="00611DF6">
      <w:pPr>
        <w:pStyle w:val="ParaNumbered"/>
        <w:ind w:left="360" w:hanging="360"/>
      </w:pPr>
      <w:r>
        <w:t xml:space="preserve">In a sense, Waste Management agrees with the </w:t>
      </w:r>
      <w:r w:rsidR="00354889">
        <w:t xml:space="preserve">position articulated in the </w:t>
      </w:r>
      <w:r>
        <w:t xml:space="preserve">Staff </w:t>
      </w:r>
      <w:r w:rsidR="00354889">
        <w:t>Motion</w:t>
      </w:r>
      <w:r>
        <w:t xml:space="preserve"> that RCW 81.77.185 directs the Commission’s approval of revenue-</w:t>
      </w:r>
      <w:r w:rsidR="00843571">
        <w:t>retention</w:t>
      </w:r>
      <w:r>
        <w:t xml:space="preserve"> prospectively.  However, that is the end of the inquiry for that </w:t>
      </w:r>
      <w:r w:rsidR="002F2831">
        <w:t>plan-</w:t>
      </w:r>
      <w:r>
        <w:t xml:space="preserve">year, and to utilize the Commission’s plenary power for reopening an approved-year’s books essentially renders the approval </w:t>
      </w:r>
      <w:r w:rsidR="00330521">
        <w:t>moot</w:t>
      </w:r>
      <w:r>
        <w:t xml:space="preserve">.  </w:t>
      </w:r>
      <w:r w:rsidR="002F2831">
        <w:t xml:space="preserve">The revenue sharing plan is not a matter for deferred accounting.  The fact that it arises in the same docket with a deferred accounting </w:t>
      </w:r>
      <w:r w:rsidR="007F5012">
        <w:t>calculation</w:t>
      </w:r>
      <w:r w:rsidR="002F2831">
        <w:t xml:space="preserve"> should not be used to convert the revenue sharing approval to a meaningless process.</w:t>
      </w:r>
    </w:p>
    <w:p w:rsidR="00354889" w:rsidRDefault="00354889" w:rsidP="00611DF6">
      <w:pPr>
        <w:pStyle w:val="ParaNumbered"/>
        <w:ind w:left="360" w:hanging="360"/>
      </w:pPr>
      <w:r>
        <w:t xml:space="preserve">Under RCW 81.77.185, the Commission is required to </w:t>
      </w:r>
      <w:r w:rsidR="00843571">
        <w:t xml:space="preserve">allow revenue retention under </w:t>
      </w:r>
      <w:r>
        <w:t>a plan that is appropriately certified by the local government and that demonstrates how the revenues will be used to increase recycling.  If the plan satisfies those conditions, the Commission must allow the participating company to retain wh</w:t>
      </w:r>
      <w:r w:rsidR="005B354C">
        <w:t>atever percentage of revenue has been agreed to with the local jurisdiction.  With Pierce County, that include</w:t>
      </w:r>
      <w:r w:rsidR="00843571">
        <w:t>d</w:t>
      </w:r>
      <w:r w:rsidR="005B354C">
        <w:t xml:space="preserve"> an allowance for the company to keep unspent revenues if certain performance standards were achieved.  With other plans in other counties, the reward to the participating company may take a different approach.  </w:t>
      </w:r>
      <w:r w:rsidR="005B354C" w:rsidRPr="002428F8">
        <w:rPr>
          <w:i/>
        </w:rPr>
        <w:t>See Wash. Utils. &amp; Transp. Comm’n v. Waste Management of Washington, Inc.</w:t>
      </w:r>
      <w:r w:rsidR="005B354C">
        <w:t xml:space="preserve"> (Dockets TG-101220, TG-101221, TG-101222) (consolidated) (involving plans in which the local governments and participating company agreed to allow for an 8% r</w:t>
      </w:r>
      <w:r w:rsidR="00BC4B01">
        <w:t>eturn in the prospective budget</w:t>
      </w:r>
      <w:r w:rsidR="005B354C">
        <w:t xml:space="preserve">).  Once the Commission issues </w:t>
      </w:r>
      <w:r w:rsidR="00843571">
        <w:t xml:space="preserve">its </w:t>
      </w:r>
      <w:r w:rsidR="005B354C">
        <w:t>approval</w:t>
      </w:r>
      <w:r w:rsidR="00843571">
        <w:t xml:space="preserve"> for prospective retention</w:t>
      </w:r>
      <w:r w:rsidR="005B354C">
        <w:t>, though, it would be contrary to the mechanics of revenue sharing that the legislature established to allow the Commission to reopen the approval after the plan-year is completed.</w:t>
      </w:r>
    </w:p>
    <w:p w:rsidR="00216FAD" w:rsidRDefault="00843571" w:rsidP="00611DF6">
      <w:pPr>
        <w:pStyle w:val="ParaNumbered"/>
        <w:ind w:left="360" w:hanging="360"/>
      </w:pPr>
      <w:r>
        <w:t>Ordering how unspent revenue is to be handled</w:t>
      </w:r>
      <w:r w:rsidR="003C7E0F">
        <w:t xml:space="preserve"> is clearly a departure from the Commission’s </w:t>
      </w:r>
      <w:r w:rsidR="007F5012">
        <w:t>ratesetting</w:t>
      </w:r>
      <w:r w:rsidR="003C7E0F">
        <w:t xml:space="preserve"> oversight under its general authorities.  </w:t>
      </w:r>
      <w:r w:rsidR="006F741B">
        <w:t xml:space="preserve">The underlying analysis that prompted the legislature to enact a revenue sharing law </w:t>
      </w:r>
      <w:r w:rsidR="003C7E0F">
        <w:t xml:space="preserve">acknowledged that would be the case and </w:t>
      </w:r>
      <w:r w:rsidR="006F741B">
        <w:t xml:space="preserve">observed, “[T]his incentive system does not fit into the Utilities and Transportation Commission’s existing model.”  </w:t>
      </w:r>
      <w:r w:rsidR="006F741B" w:rsidRPr="00D81699">
        <w:rPr>
          <w:smallCaps/>
        </w:rPr>
        <w:t>Wash. Dep’t of Ecology, Revitalizing Recycling in Washington</w:t>
      </w:r>
      <w:r w:rsidR="006F741B">
        <w:t xml:space="preserve"> (Publication No. 00-07-009) (2000) at 12.  Using the Commission’s pre-existing plenary authorities to counteract the prospective revenue sharing approval required by RCW 81.77.185 is therefore legally inappropriate.  The law was </w:t>
      </w:r>
      <w:r w:rsidR="003C7E0F">
        <w:t xml:space="preserve">expressly </w:t>
      </w:r>
      <w:r w:rsidR="006F741B">
        <w:t>intended to allow for something diff</w:t>
      </w:r>
      <w:r w:rsidR="003C7E0F">
        <w:t>erent than the “existing model.”  Furthermore, if the logic presented in the Staff Motion</w:t>
      </w:r>
      <w:r w:rsidR="003C7E0F" w:rsidRPr="00216FAD">
        <w:t xml:space="preserve"> is right</w:t>
      </w:r>
      <w:r w:rsidR="003C7E0F">
        <w:t xml:space="preserve">, the Commission would be side-stepping this legislative directive by using its general authorities as a basis for </w:t>
      </w:r>
      <w:r w:rsidR="003C7E0F" w:rsidRPr="00216FAD">
        <w:t>a look-</w:t>
      </w:r>
      <w:r w:rsidR="003C7E0F">
        <w:t>back</w:t>
      </w:r>
      <w:r w:rsidR="003C7E0F" w:rsidRPr="00216FAD">
        <w:t xml:space="preserve">.  The Commission has authority to approve </w:t>
      </w:r>
      <w:r w:rsidR="003C7E0F">
        <w:t>revenue retention prospectively</w:t>
      </w:r>
      <w:r w:rsidR="003C7E0F" w:rsidRPr="00216FAD">
        <w:t xml:space="preserve">, but </w:t>
      </w:r>
      <w:r w:rsidR="003C7E0F">
        <w:t>not</w:t>
      </w:r>
      <w:r w:rsidR="003C7E0F" w:rsidRPr="00216FAD">
        <w:t xml:space="preserve"> to reconsider that approval by using the deferred accounting </w:t>
      </w:r>
      <w:r>
        <w:t>presented by a</w:t>
      </w:r>
      <w:r w:rsidR="003C7E0F" w:rsidRPr="00216FAD">
        <w:t xml:space="preserve"> recyclin</w:t>
      </w:r>
      <w:r>
        <w:t xml:space="preserve">g commodity adjustment </w:t>
      </w:r>
      <w:r w:rsidR="003C7E0F" w:rsidRPr="00216FAD">
        <w:t>as a surrogate for retroactive ratemaking.</w:t>
      </w:r>
      <w:r w:rsidR="003C7E0F">
        <w:t xml:space="preserve">  Including a condition in the prospective orders approving the revenue retention </w:t>
      </w:r>
      <w:r>
        <w:t xml:space="preserve">that allows the Commission to come back and order unspent revenues to be carried over </w:t>
      </w:r>
      <w:r w:rsidR="003C7E0F">
        <w:t>is tautological.</w:t>
      </w:r>
    </w:p>
    <w:p w:rsidR="003748CE" w:rsidRDefault="002F2831" w:rsidP="00611DF6">
      <w:pPr>
        <w:pStyle w:val="ParaNumbered"/>
        <w:ind w:left="360" w:hanging="360"/>
      </w:pPr>
      <w:r>
        <w:t xml:space="preserve">One reason the retroactive/prospective distinction is implicated in this proceeding is the fact that Pierce County apparently itself imposed performance conditions on the companies in the terms of the Plan itself.  </w:t>
      </w:r>
      <w:r w:rsidR="00843571">
        <w:t>W</w:t>
      </w:r>
      <w:r>
        <w:t xml:space="preserve">hen the preceding year’s </w:t>
      </w:r>
      <w:r w:rsidR="00843571">
        <w:t>revenue retention</w:t>
      </w:r>
      <w:r>
        <w:t xml:space="preserve"> was approved, </w:t>
      </w:r>
      <w:r w:rsidR="00843571">
        <w:t>the right to access the funds</w:t>
      </w:r>
      <w:r>
        <w:t xml:space="preserve"> came with a condition </w:t>
      </w:r>
      <w:r w:rsidR="00843571">
        <w:t>precedent</w:t>
      </w:r>
      <w:r>
        <w:t xml:space="preserve"> that Pierce County imposed.  Having then satisfied the conditions, the companies </w:t>
      </w:r>
      <w:r w:rsidR="004D5224">
        <w:t>became</w:t>
      </w:r>
      <w:r>
        <w:t xml:space="preserve"> eligible for the preceding-year’s revenue</w:t>
      </w:r>
      <w:r w:rsidR="00843571">
        <w:t xml:space="preserve"> </w:t>
      </w:r>
      <w:r>
        <w:t xml:space="preserve">– the approval of which, when it was granted, was for a prospective plan period.  In a sense, the </w:t>
      </w:r>
      <w:r w:rsidR="00843571">
        <w:t xml:space="preserve">“contract” for revenue sharing between Petitioners and </w:t>
      </w:r>
      <w:r>
        <w:t xml:space="preserve">Pierce County contained conditions </w:t>
      </w:r>
      <w:r w:rsidR="00843571">
        <w:t>precedent</w:t>
      </w:r>
      <w:r>
        <w:t xml:space="preserve">.  That does not render the approval </w:t>
      </w:r>
      <w:r w:rsidR="004D5224">
        <w:t xml:space="preserve">that was issued before the </w:t>
      </w:r>
      <w:r w:rsidR="007F5012">
        <w:t>p</w:t>
      </w:r>
      <w:r w:rsidR="004D5224">
        <w:t xml:space="preserve">lan was implemented ineffective, nor does it </w:t>
      </w:r>
      <w:r>
        <w:t xml:space="preserve">provide a basis for reconsidering the approval that was made.  If a contract contains a condition </w:t>
      </w:r>
      <w:r w:rsidR="00843571">
        <w:t>precedent</w:t>
      </w:r>
      <w:r>
        <w:t xml:space="preserve">, when that condition is satisfied the effective date of the agreement is not changed.  The contract </w:t>
      </w:r>
      <w:r w:rsidR="00843571">
        <w:t>is</w:t>
      </w:r>
      <w:r>
        <w:t xml:space="preserve"> effective on the date </w:t>
      </w:r>
      <w:r w:rsidR="00843571">
        <w:t>entered into</w:t>
      </w:r>
      <w:r>
        <w:t xml:space="preserve">, not when the conditions </w:t>
      </w:r>
      <w:r w:rsidR="00843571">
        <w:t xml:space="preserve">precedent are </w:t>
      </w:r>
      <w:r>
        <w:t xml:space="preserve">met.  </w:t>
      </w:r>
      <w:r w:rsidR="00843571" w:rsidRPr="00843571">
        <w:rPr>
          <w:i/>
        </w:rPr>
        <w:t>Ross v. Harding</w:t>
      </w:r>
      <w:r w:rsidR="00843571">
        <w:t xml:space="preserve">, 64 Wn.2d 231, 391 P.2d 526 (1964).  </w:t>
      </w:r>
      <w:r w:rsidR="003748CE">
        <w:t>The Pierce County Plans do not confer “r</w:t>
      </w:r>
      <w:r w:rsidR="003748CE" w:rsidRPr="003748CE">
        <w:t xml:space="preserve">etroactive performance rewards” </w:t>
      </w:r>
      <w:r w:rsidR="003748CE">
        <w:t xml:space="preserve">as suggested by the Staff </w:t>
      </w:r>
      <w:r w:rsidR="00354889">
        <w:t>Motion</w:t>
      </w:r>
      <w:r w:rsidR="003748CE">
        <w:t>.  I</w:t>
      </w:r>
      <w:r w:rsidR="003748CE" w:rsidRPr="003748CE">
        <w:t xml:space="preserve">nstead </w:t>
      </w:r>
      <w:r w:rsidR="003748CE">
        <w:t xml:space="preserve">the Commission (and the County) granted a </w:t>
      </w:r>
      <w:r w:rsidR="003748CE" w:rsidRPr="003748CE">
        <w:t xml:space="preserve">prospective approval to retain </w:t>
      </w:r>
      <w:r w:rsidR="00216FAD">
        <w:t>revenues so long as certain performance conditions were met</w:t>
      </w:r>
      <w:r w:rsidR="00AB6B50">
        <w:t xml:space="preserve"> – w</w:t>
      </w:r>
      <w:r w:rsidR="003748CE" w:rsidRPr="003748CE">
        <w:t xml:space="preserve">ithout retroactive </w:t>
      </w:r>
      <w:r w:rsidR="003748CE" w:rsidRPr="00AB6B50">
        <w:t>refund</w:t>
      </w:r>
      <w:r w:rsidR="003748CE">
        <w:t xml:space="preserve">.  </w:t>
      </w:r>
    </w:p>
    <w:p w:rsidR="00057B30" w:rsidRDefault="00057B30" w:rsidP="00057B30">
      <w:pPr>
        <w:pStyle w:val="Heading2"/>
        <w:numPr>
          <w:ilvl w:val="0"/>
          <w:numId w:val="0"/>
        </w:numPr>
        <w:spacing w:after="0"/>
        <w:ind w:left="720"/>
        <w:jc w:val="center"/>
      </w:pPr>
      <w:r>
        <w:t>ANALYSIS:</w:t>
      </w:r>
    </w:p>
    <w:p w:rsidR="00057B30" w:rsidRPr="00057B30" w:rsidRDefault="00057B30" w:rsidP="00057B30">
      <w:pPr>
        <w:pStyle w:val="Heading2"/>
        <w:numPr>
          <w:ilvl w:val="0"/>
          <w:numId w:val="0"/>
        </w:numPr>
        <w:spacing w:after="0"/>
        <w:ind w:left="720"/>
        <w:jc w:val="center"/>
      </w:pPr>
      <w:r>
        <w:t xml:space="preserve">The Commission’s construction of RCW 81.77.185 is evidenced by its practice and behavior in implementing the statute since 2002, and the agency has not until 2009 required unspent revenue to be carried forward or investigated expenditures retroactively in any meaningful way.  </w:t>
      </w:r>
    </w:p>
    <w:p w:rsidR="00F533FD" w:rsidRDefault="00F533FD" w:rsidP="00611DF6">
      <w:pPr>
        <w:pStyle w:val="ParaNumbered"/>
        <w:ind w:left="360" w:hanging="360"/>
      </w:pPr>
      <w:r>
        <w:t xml:space="preserve">The Staff </w:t>
      </w:r>
      <w:r w:rsidR="00354889">
        <w:t>Motion</w:t>
      </w:r>
      <w:r>
        <w:t xml:space="preserve"> meticulously marches through the legislative background and various related bills, which is intellectually intriguing but ultimately </w:t>
      </w:r>
      <w:r w:rsidR="006A2D72">
        <w:t xml:space="preserve">not </w:t>
      </w:r>
      <w:r>
        <w:t>determinative in discerning legislative intent for RCW 81.77.185.  Both Staff and Petitioners urge the Commission to abide by the unambiguous terms of the statute.</w:t>
      </w:r>
    </w:p>
    <w:p w:rsidR="00F533FD" w:rsidRDefault="00C32563" w:rsidP="00611DF6">
      <w:pPr>
        <w:pStyle w:val="ParaNumbered"/>
        <w:ind w:left="360" w:hanging="360"/>
      </w:pPr>
      <w:r>
        <w:t>From 2002 until 2009</w:t>
      </w:r>
      <w:r w:rsidR="004D5224">
        <w:t xml:space="preserve">, the prospective approval of a revenue sharing </w:t>
      </w:r>
      <w:r w:rsidR="006A2D72">
        <w:t>request</w:t>
      </w:r>
      <w:r w:rsidR="004D5224">
        <w:t xml:space="preserve"> by the Commission was the point of implementation of RCW 81.77.185</w:t>
      </w:r>
      <w:r>
        <w:t xml:space="preserve">, and it was accomplished in Open Meetings by way of the No Action </w:t>
      </w:r>
      <w:r w:rsidR="006A2D72">
        <w:t xml:space="preserve">or Consent </w:t>
      </w:r>
      <w:r>
        <w:t>Agenda</w:t>
      </w:r>
      <w:r w:rsidR="004D5224">
        <w:t xml:space="preserve">.  All of the parties participating in revenue sharing plans </w:t>
      </w:r>
      <w:r>
        <w:t>were</w:t>
      </w:r>
      <w:r w:rsidR="004D5224">
        <w:t xml:space="preserve"> ambushed by </w:t>
      </w:r>
      <w:r w:rsidR="006A2D72">
        <w:t>a</w:t>
      </w:r>
      <w:r w:rsidR="004D5224">
        <w:t xml:space="preserve"> change in policy that started in 2009, </w:t>
      </w:r>
      <w:r>
        <w:t>which</w:t>
      </w:r>
      <w:r w:rsidR="004D5224">
        <w:t xml:space="preserve"> has </w:t>
      </w:r>
      <w:r w:rsidR="00D81699">
        <w:t xml:space="preserve">precipitated </w:t>
      </w:r>
      <w:r w:rsidR="003C7E0F">
        <w:t>multiple</w:t>
      </w:r>
      <w:r w:rsidR="004D5224">
        <w:t xml:space="preserve"> </w:t>
      </w:r>
      <w:r w:rsidR="003C7E0F">
        <w:t>adjudicative</w:t>
      </w:r>
      <w:r w:rsidR="004D5224">
        <w:t xml:space="preserve"> proceedings.  </w:t>
      </w:r>
      <w:r w:rsidR="00F533FD">
        <w:t xml:space="preserve">If the statute </w:t>
      </w:r>
      <w:r w:rsidR="006A2D72">
        <w:t>was</w:t>
      </w:r>
      <w:r w:rsidR="00F533FD">
        <w:t xml:space="preserve"> rendered suddenly ambiguous by the change from “thirty” to “fifty” percent, the Commission Staff has given no explanation for why that might be.  </w:t>
      </w:r>
    </w:p>
    <w:p w:rsidR="00F533FD" w:rsidRDefault="00F533FD" w:rsidP="00611DF6">
      <w:pPr>
        <w:pStyle w:val="ParaNumbered"/>
        <w:ind w:left="360" w:hanging="360"/>
      </w:pPr>
      <w:r>
        <w:t xml:space="preserve">The Commission’s </w:t>
      </w:r>
      <w:r w:rsidRPr="00F533FD">
        <w:t xml:space="preserve">current position is a change of interpretation, not </w:t>
      </w:r>
      <w:r w:rsidR="00322C63">
        <w:t>just</w:t>
      </w:r>
      <w:r w:rsidRPr="00F533FD">
        <w:t xml:space="preserve"> a matter of more closely following </w:t>
      </w:r>
      <w:r w:rsidR="00256EC0">
        <w:t>RCW 81.77.185</w:t>
      </w:r>
      <w:r w:rsidRPr="00F533FD">
        <w:t xml:space="preserve">.  </w:t>
      </w:r>
      <w:r w:rsidR="00D81699">
        <w:t>It</w:t>
      </w:r>
      <w:r w:rsidRPr="00F533FD">
        <w:t xml:space="preserve"> is </w:t>
      </w:r>
      <w:r w:rsidR="00256EC0">
        <w:t xml:space="preserve">now </w:t>
      </w:r>
      <w:r w:rsidR="00057B30">
        <w:t>administering</w:t>
      </w:r>
      <w:r w:rsidRPr="00F533FD">
        <w:t xml:space="preserve"> the statute differently than it has in the past.  </w:t>
      </w:r>
      <w:r w:rsidR="00D81699">
        <w:t>The agency’s</w:t>
      </w:r>
      <w:r w:rsidRPr="00F533FD">
        <w:t xml:space="preserve"> position in </w:t>
      </w:r>
      <w:r w:rsidR="00C94D33">
        <w:t>these</w:t>
      </w:r>
      <w:r w:rsidRPr="00F533FD">
        <w:t xml:space="preserve"> filing</w:t>
      </w:r>
      <w:r w:rsidR="00C94D33">
        <w:t>s</w:t>
      </w:r>
      <w:r w:rsidRPr="00F533FD">
        <w:t xml:space="preserve"> is a change of practice.  That, in and of itself, is evidence that for almost </w:t>
      </w:r>
      <w:r>
        <w:t>a decade</w:t>
      </w:r>
      <w:r w:rsidRPr="00F533FD">
        <w:t xml:space="preserve">, </w:t>
      </w:r>
      <w:r>
        <w:t>the Commission</w:t>
      </w:r>
      <w:r w:rsidRPr="00F533FD">
        <w:t xml:space="preserve"> has apparently been satisfied that participating companies were providing adequate documentation of the financial data necessary to approve revenue </w:t>
      </w:r>
      <w:r w:rsidR="00057B30">
        <w:t>retentions</w:t>
      </w:r>
      <w:r w:rsidRPr="00F533FD">
        <w:t xml:space="preserve">.  </w:t>
      </w:r>
      <w:r>
        <w:t xml:space="preserve">Consistent with the </w:t>
      </w:r>
      <w:r w:rsidR="00D81699">
        <w:t xml:space="preserve">premise of the </w:t>
      </w:r>
      <w:r>
        <w:t xml:space="preserve">Staff </w:t>
      </w:r>
      <w:r w:rsidR="00354889">
        <w:t>Motion</w:t>
      </w:r>
      <w:r>
        <w:t>, the Commission’s actions have been to prospectively approve revenue retention under certified plans, and to administer the process for making recycling commodity adjustments, all as a matter of course and under its No Action</w:t>
      </w:r>
      <w:r w:rsidR="006A2D72">
        <w:t xml:space="preserve"> or Consent</w:t>
      </w:r>
      <w:r>
        <w:t xml:space="preserve"> Agenda</w:t>
      </w:r>
      <w:r w:rsidR="006A2D72">
        <w:t>s</w:t>
      </w:r>
      <w:r>
        <w:t>.</w:t>
      </w:r>
      <w:r w:rsidR="00D81699">
        <w:t xml:space="preserve">  There has been no look-back to </w:t>
      </w:r>
      <w:r w:rsidR="00057B30">
        <w:t>determine whether all revenues had been used and no effort to direct the treatment of unspent revenues</w:t>
      </w:r>
      <w:r w:rsidR="00D81699">
        <w:t>.</w:t>
      </w:r>
    </w:p>
    <w:p w:rsidR="00256EC0" w:rsidRDefault="00256EC0" w:rsidP="00611DF6">
      <w:pPr>
        <w:pStyle w:val="ParaNumbered"/>
        <w:ind w:left="360" w:hanging="360"/>
      </w:pPr>
      <w:r>
        <w:t>Indeed, the practice and behavior of the affected parties under the legislation that authorized a thirty-percent revenue retention should be compelling evidence of what they believed the legislature intended for all this time.</w:t>
      </w:r>
      <w:r w:rsidR="00057B30">
        <w:t xml:space="preserve"> </w:t>
      </w:r>
      <w:r>
        <w:t xml:space="preserve"> </w:t>
      </w:r>
      <w:r w:rsidRPr="00322C63">
        <w:t xml:space="preserve">Long-continued contemporaneous and practical interpretation of a statute by the </w:t>
      </w:r>
      <w:r>
        <w:t>agency</w:t>
      </w:r>
      <w:r w:rsidRPr="00322C63">
        <w:t xml:space="preserve"> charged with its administration and </w:t>
      </w:r>
      <w:r>
        <w:t>the regulated</w:t>
      </w:r>
      <w:r w:rsidRPr="00322C63">
        <w:t xml:space="preserve"> public constitutes an invaluable aid to determine the meaning of a doubtful statute</w:t>
      </w:r>
      <w:r>
        <w:t xml:space="preserve">.  </w:t>
      </w:r>
      <w:r w:rsidRPr="00322C63">
        <w:t>2B</w:t>
      </w:r>
      <w:r w:rsidR="006B6C08">
        <w:t> </w:t>
      </w:r>
      <w:r w:rsidRPr="00D81699">
        <w:rPr>
          <w:smallCaps/>
        </w:rPr>
        <w:t>Sutherland Statutory Construction</w:t>
      </w:r>
      <w:r w:rsidRPr="00322C63">
        <w:t xml:space="preserve"> § 49:3 (7th ed.)</w:t>
      </w:r>
      <w:r>
        <w:t xml:space="preserve">.  </w:t>
      </w:r>
      <w:r w:rsidRPr="00322C63">
        <w:t>In addition, the use of contemporary and practical interpretation provides certainty in the law and justifies reliance upon the conduct of public officials</w:t>
      </w:r>
      <w:r>
        <w:t xml:space="preserve">.  </w:t>
      </w:r>
      <w:r w:rsidRPr="00D81699">
        <w:rPr>
          <w:i/>
        </w:rPr>
        <w:t>Id</w:t>
      </w:r>
      <w:r>
        <w:t>.   The Commission’s historical mechanics in implementing RCW 81.77.185 via the No Action</w:t>
      </w:r>
      <w:r w:rsidR="006A2D72">
        <w:t xml:space="preserve"> or Consent</w:t>
      </w:r>
      <w:r>
        <w:t xml:space="preserve"> Agenda significantly undermines the arguments in the Staff Motion that evidence a change in how the agency is now interpreting the statute.</w:t>
      </w:r>
      <w:r w:rsidRPr="00256EC0">
        <w:t xml:space="preserve"> </w:t>
      </w:r>
      <w:r>
        <w:t xml:space="preserve"> If the Commission, the participating companies, and the local jurisdictions have operated under a common understanding of how the revenue sharing programs worked all this time, why is there now any question of statutory intent?</w:t>
      </w:r>
    </w:p>
    <w:p w:rsidR="00256EC0" w:rsidRDefault="00256EC0" w:rsidP="00611DF6">
      <w:pPr>
        <w:pStyle w:val="ParaNumbered"/>
        <w:ind w:left="360" w:hanging="360"/>
      </w:pPr>
      <w:r>
        <w:t>Tellingly</w:t>
      </w:r>
      <w:r w:rsidRPr="00322C63">
        <w:t xml:space="preserve">, a contemporaneous construction by the department charged with administering an ambiguous statute is even more persuasive if the legislature not only fails to repudiate the construction, but also amends the statute in some other particular without disturbing the administrative interpretation. </w:t>
      </w:r>
      <w:r w:rsidRPr="00D81699">
        <w:rPr>
          <w:i/>
        </w:rPr>
        <w:t>Bradley v. Department of Labor &amp; Indus.</w:t>
      </w:r>
      <w:r w:rsidRPr="00322C63">
        <w:t>, 52 W</w:t>
      </w:r>
      <w:r>
        <w:t>n</w:t>
      </w:r>
      <w:r w:rsidRPr="00322C63">
        <w:t>.2d 780, 786-87, 329 P.2d 196 (1958).</w:t>
      </w:r>
      <w:r>
        <w:t xml:space="preserve">  In this instance, of course, the only change made in 2010 was to increase the revenue retention ceiling from “thirty” to “fifty.” The legislature declined the opportunity to make further amendments that might influence the Commission’s handling of these filings.</w:t>
      </w:r>
    </w:p>
    <w:p w:rsidR="00981450" w:rsidRDefault="003748CE" w:rsidP="00611DF6">
      <w:pPr>
        <w:pStyle w:val="ParaNumbered"/>
        <w:ind w:left="360" w:hanging="360"/>
      </w:pPr>
      <w:r>
        <w:t xml:space="preserve">The doctrine of equitable estoppel against an agency of the government imposes a difficult burden of proof, and yet analysis of the statutory meaning of RCW 81.77.185 </w:t>
      </w:r>
      <w:r w:rsidR="00256EC0">
        <w:t>would</w:t>
      </w:r>
      <w:r>
        <w:t xml:space="preserve"> not </w:t>
      </w:r>
      <w:r w:rsidR="00256EC0">
        <w:t xml:space="preserve">be </w:t>
      </w:r>
      <w:r>
        <w:t xml:space="preserve">complete without considering analogies to that doctrine.  The party claiming estoppel must demonstrate the elements of equitable estoppel, and also make a showing that estoppel is necessary to prevent a manifest injustice and that is will not impair a governmental function.  Order M.V.G. 133363, </w:t>
      </w:r>
      <w:r w:rsidRPr="00331F4A">
        <w:rPr>
          <w:i/>
        </w:rPr>
        <w:t>In re Seafair Moving &amp; Transfer, Inc.</w:t>
      </w:r>
      <w:r>
        <w:t xml:space="preserve"> (Feb. 1986</w:t>
      </w:r>
      <w:r w:rsidR="0099536D">
        <w:t xml:space="preserve">).  </w:t>
      </w:r>
      <w:r w:rsidR="0099536D" w:rsidRPr="0099536D">
        <w:t xml:space="preserve">When equitable estoppel is asserted against the government, the party asserting estoppel must establish five elements by clear, cogent, and convincing evidence: (1) a statement, admission, or act by the party to be estopped, which is inconsistent with its later claims, (2) the asserting party acted in reliance upon the statement or action, (3) injury would result to the asserting party if the other party were allowed to repudiate its prior statement or action, (4) estoppel is “necessary to prevent a manifest injustice,” and (5) estoppel will not impair governmental functions. </w:t>
      </w:r>
      <w:r w:rsidR="0099536D" w:rsidRPr="00331F4A">
        <w:rPr>
          <w:i/>
        </w:rPr>
        <w:t>Kramarevcky v. Dep't of Soc. &amp; Health Servs.</w:t>
      </w:r>
      <w:r w:rsidR="0099536D" w:rsidRPr="0099536D">
        <w:t>, 122 W</w:t>
      </w:r>
      <w:r w:rsidR="0099536D">
        <w:t>n</w:t>
      </w:r>
      <w:r w:rsidR="0099536D" w:rsidRPr="0099536D">
        <w:t>.2d 738, 743, 863 P.2d 535 (1993).</w:t>
      </w:r>
    </w:p>
    <w:p w:rsidR="003748CE" w:rsidRDefault="003748CE" w:rsidP="00611DF6">
      <w:pPr>
        <w:pStyle w:val="ParaNumbered"/>
        <w:ind w:left="360" w:hanging="360"/>
      </w:pPr>
      <w:r>
        <w:t xml:space="preserve">Waste Management does not suggest that </w:t>
      </w:r>
      <w:r w:rsidR="006A2D72">
        <w:t xml:space="preserve">all </w:t>
      </w:r>
      <w:r>
        <w:t>the elements of estoppel</w:t>
      </w:r>
      <w:r w:rsidR="00D81699">
        <w:t xml:space="preserve"> are </w:t>
      </w:r>
      <w:r w:rsidR="006A2D72">
        <w:t>demonstrated</w:t>
      </w:r>
      <w:r w:rsidR="00D81699">
        <w:t xml:space="preserve"> in this instance, but </w:t>
      </w:r>
      <w:r w:rsidR="00256EC0">
        <w:t>undeniably</w:t>
      </w:r>
      <w:r w:rsidR="00D81699">
        <w:t xml:space="preserve"> </w:t>
      </w:r>
      <w:r w:rsidR="006A2D72">
        <w:t xml:space="preserve">both </w:t>
      </w:r>
      <w:r w:rsidR="00D81699">
        <w:t>the industry as well as the local governments have relied on the Commission’s behavior</w:t>
      </w:r>
      <w:r w:rsidR="00256EC0">
        <w:t xml:space="preserve">, and its implementation of RCW 81.77.185 </w:t>
      </w:r>
      <w:r w:rsidR="00D81699">
        <w:t xml:space="preserve">has been historically and dependably inconsistent with its current position.  The doctrine of estoppel </w:t>
      </w:r>
      <w:r>
        <w:t>insulate</w:t>
      </w:r>
      <w:r w:rsidR="006A2D72">
        <w:t>s</w:t>
      </w:r>
      <w:r>
        <w:t xml:space="preserve"> </w:t>
      </w:r>
      <w:r w:rsidR="00D81699">
        <w:t>regulated</w:t>
      </w:r>
      <w:r>
        <w:t xml:space="preserve"> parties from the arbitrary actions of governmental staff.  An agency acting in its governmental capacity should be consistent and reliable.  The regulated industry should be able to understand its legal obligations and predictably operate in compliance with regulatory constraints.  The doctrine of estoppel protects individuals from the extreme vagaries of agency administration, and although the situation presented by revenue sharing may not be that extreme, it is nonetheless illustrative of a policy worth considering in interpreting </w:t>
      </w:r>
      <w:r w:rsidR="00D81699">
        <w:t xml:space="preserve">today </w:t>
      </w:r>
      <w:r>
        <w:t>the meaning of RCW 81.77.185</w:t>
      </w:r>
      <w:r w:rsidR="00D81699">
        <w:t>, which has essentially been in effect for over eight years</w:t>
      </w:r>
      <w:r>
        <w:t>.</w:t>
      </w:r>
    </w:p>
    <w:p w:rsidR="00A07A67" w:rsidRPr="00611DF6" w:rsidRDefault="00A354AF" w:rsidP="00611DF6">
      <w:pPr>
        <w:pStyle w:val="Heading1"/>
        <w:numPr>
          <w:ilvl w:val="0"/>
          <w:numId w:val="0"/>
        </w:numPr>
        <w:spacing w:after="0" w:line="240" w:lineRule="auto"/>
        <w:rPr>
          <w:u w:val="single"/>
        </w:rPr>
      </w:pPr>
      <w:r w:rsidRPr="00611DF6">
        <w:rPr>
          <w:u w:val="single"/>
        </w:rPr>
        <w:t>C</w:t>
      </w:r>
      <w:r w:rsidR="00A07A67" w:rsidRPr="00611DF6">
        <w:rPr>
          <w:u w:val="single"/>
        </w:rPr>
        <w:t>ONCLUSION</w:t>
      </w:r>
    </w:p>
    <w:p w:rsidR="00A07A67" w:rsidRDefault="00A07A67" w:rsidP="00611DF6">
      <w:pPr>
        <w:pStyle w:val="ParaNumbered"/>
        <w:ind w:left="360" w:hanging="360"/>
        <w:rPr>
          <w:spacing w:val="-3"/>
        </w:rPr>
      </w:pPr>
      <w:r>
        <w:t xml:space="preserve">For the reasons stated above, Intervenor Waste Management of Washington, Inc. urges the Commission to </w:t>
      </w:r>
      <w:r w:rsidR="003D26BE">
        <w:t>grant Petitioner’s Motion for Summary Determination by Petitioners Mason County Garbage, Murrey’s Disposal Company, Inc. and American Disposal Company, Inc. in Support of Revenue Retention Authorization</w:t>
      </w:r>
    </w:p>
    <w:p w:rsidR="00DF5A23" w:rsidRDefault="00ED24CA" w:rsidP="00DF5A23">
      <w:pPr>
        <w:keepNext/>
        <w:suppressAutoHyphens/>
        <w:spacing w:line="480" w:lineRule="exact"/>
        <w:ind w:firstLine="720"/>
        <w:rPr>
          <w:spacing w:val="-3"/>
        </w:rPr>
      </w:pPr>
      <w:r>
        <w:rPr>
          <w:spacing w:val="-3"/>
        </w:rPr>
        <w:t xml:space="preserve">DATED this </w:t>
      </w:r>
      <w:r w:rsidR="00D71025">
        <w:rPr>
          <w:spacing w:val="-3"/>
        </w:rPr>
        <w:t>11</w:t>
      </w:r>
      <w:r>
        <w:rPr>
          <w:spacing w:val="-3"/>
        </w:rPr>
        <w:t xml:space="preserve">th </w:t>
      </w:r>
      <w:r w:rsidR="00DF5A23">
        <w:rPr>
          <w:spacing w:val="-3"/>
        </w:rPr>
        <w:t xml:space="preserve">day of </w:t>
      </w:r>
      <w:r w:rsidR="00611DF6">
        <w:rPr>
          <w:spacing w:val="-3"/>
        </w:rPr>
        <w:t xml:space="preserve">March, </w:t>
      </w:r>
      <w:r w:rsidR="00DF5A23">
        <w:rPr>
          <w:spacing w:val="-3"/>
        </w:rPr>
        <w:t>201</w:t>
      </w:r>
      <w:r w:rsidR="00D71025">
        <w:rPr>
          <w:spacing w:val="-3"/>
        </w:rPr>
        <w:t>1</w:t>
      </w:r>
      <w:r w:rsidR="00DF5A23">
        <w:rPr>
          <w:spacing w:val="-3"/>
        </w:rPr>
        <w:t>.</w:t>
      </w:r>
    </w:p>
    <w:p w:rsidR="00DF5A23" w:rsidRDefault="00DF5A23" w:rsidP="00DF5A23">
      <w:pPr>
        <w:spacing w:line="240" w:lineRule="auto"/>
        <w:ind w:left="4717"/>
        <w:rPr>
          <w:spacing w:val="-3"/>
        </w:rPr>
      </w:pPr>
    </w:p>
    <w:p w:rsidR="00DF5A23" w:rsidRDefault="00DF5A23" w:rsidP="00DF5A23">
      <w:pPr>
        <w:spacing w:line="240" w:lineRule="auto"/>
        <w:ind w:left="4717"/>
        <w:rPr>
          <w:spacing w:val="-3"/>
        </w:rPr>
      </w:pPr>
    </w:p>
    <w:p w:rsidR="00DF5A23" w:rsidRDefault="00DF5A23" w:rsidP="00DF5A23">
      <w:pPr>
        <w:spacing w:line="240" w:lineRule="auto"/>
        <w:ind w:left="4717"/>
        <w:rPr>
          <w:spacing w:val="-3"/>
        </w:rPr>
      </w:pPr>
    </w:p>
    <w:p w:rsidR="00DF5A23" w:rsidRDefault="00DF5A23" w:rsidP="00DF5A23">
      <w:pPr>
        <w:tabs>
          <w:tab w:val="right" w:pos="9405"/>
        </w:tabs>
        <w:spacing w:line="240" w:lineRule="auto"/>
        <w:ind w:left="4717"/>
        <w:rPr>
          <w:spacing w:val="-3"/>
        </w:rPr>
      </w:pPr>
      <w:r>
        <w:rPr>
          <w:spacing w:val="-3"/>
        </w:rPr>
        <w:t>By</w:t>
      </w:r>
      <w:r>
        <w:rPr>
          <w:spacing w:val="-3"/>
          <w:u w:val="single"/>
        </w:rPr>
        <w:tab/>
      </w:r>
    </w:p>
    <w:p w:rsidR="00DF5A23" w:rsidRDefault="00DF5A23" w:rsidP="00DF5A23">
      <w:pPr>
        <w:spacing w:line="240" w:lineRule="auto"/>
        <w:ind w:left="5073"/>
        <w:rPr>
          <w:spacing w:val="-3"/>
        </w:rPr>
      </w:pPr>
      <w:r>
        <w:rPr>
          <w:spacing w:val="-3"/>
        </w:rPr>
        <w:t>Polly L. McNeill, WSBA # 17437</w:t>
      </w:r>
    </w:p>
    <w:p w:rsidR="00DF5A23" w:rsidRDefault="00DF5A23" w:rsidP="00DF5A23">
      <w:pPr>
        <w:spacing w:line="240" w:lineRule="auto"/>
        <w:ind w:left="5073"/>
        <w:rPr>
          <w:spacing w:val="-3"/>
        </w:rPr>
      </w:pPr>
      <w:r>
        <w:rPr>
          <w:spacing w:val="-3"/>
        </w:rPr>
        <w:t>SUMMIT LAW GROUP PLLC</w:t>
      </w:r>
    </w:p>
    <w:p w:rsidR="00DF5A23" w:rsidRDefault="00DF5A23" w:rsidP="00DF5A23">
      <w:pPr>
        <w:spacing w:line="240" w:lineRule="auto"/>
        <w:ind w:left="5073"/>
        <w:rPr>
          <w:spacing w:val="-3"/>
        </w:rPr>
      </w:pPr>
      <w:r>
        <w:rPr>
          <w:spacing w:val="-3"/>
        </w:rPr>
        <w:t>315 Fifth Avenue South, Suite 1000</w:t>
      </w:r>
    </w:p>
    <w:p w:rsidR="00DF5A23" w:rsidRDefault="00DF5A23" w:rsidP="00DF5A23">
      <w:pPr>
        <w:spacing w:line="240" w:lineRule="auto"/>
        <w:ind w:left="5073"/>
        <w:rPr>
          <w:spacing w:val="-3"/>
        </w:rPr>
      </w:pPr>
      <w:r>
        <w:rPr>
          <w:spacing w:val="-3"/>
        </w:rPr>
        <w:t>Seattle, WA  98104</w:t>
      </w:r>
    </w:p>
    <w:p w:rsidR="00DF5A23" w:rsidRDefault="00DF5A23" w:rsidP="00DF5A23">
      <w:pPr>
        <w:spacing w:line="240" w:lineRule="auto"/>
        <w:ind w:left="5073"/>
        <w:rPr>
          <w:spacing w:val="-3"/>
        </w:rPr>
      </w:pPr>
      <w:r>
        <w:rPr>
          <w:spacing w:val="-3"/>
        </w:rPr>
        <w:t>T:  (206) 676-7000</w:t>
      </w:r>
    </w:p>
    <w:p w:rsidR="00DF5A23" w:rsidRDefault="00DF5A23" w:rsidP="00DF5A23">
      <w:pPr>
        <w:spacing w:line="240" w:lineRule="auto"/>
        <w:ind w:left="5073"/>
        <w:rPr>
          <w:spacing w:val="-3"/>
        </w:rPr>
      </w:pPr>
      <w:r>
        <w:rPr>
          <w:spacing w:val="-3"/>
        </w:rPr>
        <w:t>F:  (206) 676-7001</w:t>
      </w:r>
    </w:p>
    <w:p w:rsidR="00A354AF" w:rsidRDefault="00DF5A23" w:rsidP="00A354AF">
      <w:pPr>
        <w:spacing w:line="240" w:lineRule="auto"/>
        <w:ind w:left="5073"/>
        <w:rPr>
          <w:spacing w:val="-3"/>
        </w:rPr>
      </w:pPr>
      <w:r>
        <w:rPr>
          <w:spacing w:val="-3"/>
        </w:rPr>
        <w:t xml:space="preserve">Attorneys for </w:t>
      </w:r>
      <w:r w:rsidR="00D71025">
        <w:rPr>
          <w:spacing w:val="-3"/>
        </w:rPr>
        <w:t>Intervenor</w:t>
      </w:r>
      <w:r>
        <w:rPr>
          <w:spacing w:val="-3"/>
        </w:rPr>
        <w:t xml:space="preserve"> Waste Management of Washington, Inc.</w:t>
      </w:r>
    </w:p>
    <w:p w:rsidR="007D66B4" w:rsidRDefault="007D66B4" w:rsidP="00DF5A23">
      <w:pPr>
        <w:spacing w:line="240" w:lineRule="auto"/>
        <w:ind w:left="5073"/>
        <w:rPr>
          <w:spacing w:val="-3"/>
        </w:rPr>
      </w:pPr>
    </w:p>
    <w:p w:rsidR="006B6C08" w:rsidRDefault="007D66B4" w:rsidP="00DF5A23">
      <w:pPr>
        <w:pStyle w:val="Subtitle"/>
        <w:rPr>
          <w:spacing w:val="-3"/>
        </w:rPr>
      </w:pPr>
      <w:r>
        <w:rPr>
          <w:spacing w:val="-3"/>
        </w:rPr>
        <w:br w:type="page"/>
      </w:r>
    </w:p>
    <w:p w:rsidR="00DF5A23" w:rsidRPr="006B6C08" w:rsidRDefault="00DF5A23" w:rsidP="006B6C08">
      <w:pPr>
        <w:pStyle w:val="Subtitle"/>
        <w:spacing w:after="0"/>
        <w:rPr>
          <w:rFonts w:ascii="Times New Roman" w:hAnsi="Times New Roman"/>
        </w:rPr>
      </w:pPr>
      <w:r w:rsidRPr="006B6C08">
        <w:rPr>
          <w:rFonts w:ascii="Times New Roman" w:hAnsi="Times New Roman"/>
        </w:rPr>
        <w:t>CERTIFICATE OF SERVICE</w:t>
      </w:r>
    </w:p>
    <w:p w:rsidR="00ED24CA" w:rsidRPr="00310104" w:rsidRDefault="00ED24CA" w:rsidP="00ED24CA">
      <w:pPr>
        <w:pStyle w:val="BodyText"/>
      </w:pPr>
      <w:r w:rsidRPr="00310104">
        <w:t xml:space="preserve">I hereby certify that on </w:t>
      </w:r>
      <w:r w:rsidR="00611DF6">
        <w:t xml:space="preserve">March </w:t>
      </w:r>
      <w:r w:rsidR="00D71025">
        <w:t>11</w:t>
      </w:r>
      <w:r w:rsidRPr="00310104">
        <w:t xml:space="preserve">, 2011, I caused to be served the original and 3 copies of the foregoing document to the following address via </w:t>
      </w:r>
      <w:r w:rsidR="00AC0C7D">
        <w:t xml:space="preserve">federal express </w:t>
      </w:r>
      <w:r w:rsidRPr="00310104">
        <w:t>to:</w:t>
      </w:r>
    </w:p>
    <w:p w:rsidR="00ED24CA" w:rsidRPr="00310104" w:rsidRDefault="00ED24CA" w:rsidP="00ED24CA">
      <w:pPr>
        <w:spacing w:line="240" w:lineRule="auto"/>
        <w:rPr>
          <w:bCs/>
        </w:rPr>
      </w:pPr>
      <w:r w:rsidRPr="00310104">
        <w:rPr>
          <w:bCs/>
        </w:rPr>
        <w:tab/>
        <w:t>David Danner, Executive Director and Secretary</w:t>
      </w:r>
    </w:p>
    <w:p w:rsidR="00ED24CA" w:rsidRPr="00310104" w:rsidRDefault="00ED24CA" w:rsidP="00ED24CA">
      <w:pPr>
        <w:spacing w:line="240" w:lineRule="auto"/>
        <w:rPr>
          <w:bCs/>
        </w:rPr>
      </w:pPr>
      <w:r w:rsidRPr="00310104">
        <w:rPr>
          <w:bCs/>
        </w:rPr>
        <w:tab/>
        <w:t>Policy and Legislative Issues</w:t>
      </w:r>
    </w:p>
    <w:p w:rsidR="00ED24CA" w:rsidRPr="00310104" w:rsidRDefault="00ED24CA" w:rsidP="00ED24CA">
      <w:pPr>
        <w:spacing w:line="240" w:lineRule="auto"/>
        <w:ind w:firstLine="720"/>
        <w:rPr>
          <w:bCs/>
        </w:rPr>
      </w:pPr>
      <w:r w:rsidRPr="00310104">
        <w:rPr>
          <w:bCs/>
        </w:rPr>
        <w:t>Washington Utilities and Transportation Commission</w:t>
      </w:r>
    </w:p>
    <w:p w:rsidR="00ED24CA" w:rsidRPr="00310104" w:rsidRDefault="00ED24CA" w:rsidP="00ED24CA">
      <w:pPr>
        <w:spacing w:line="240" w:lineRule="auto"/>
        <w:rPr>
          <w:bCs/>
        </w:rPr>
      </w:pPr>
      <w:r w:rsidRPr="00310104">
        <w:rPr>
          <w:bCs/>
        </w:rPr>
        <w:tab/>
        <w:t>P.O. Box 47250</w:t>
      </w:r>
    </w:p>
    <w:p w:rsidR="00ED24CA" w:rsidRPr="00310104" w:rsidRDefault="00ED24CA" w:rsidP="00ED24CA">
      <w:pPr>
        <w:spacing w:line="240" w:lineRule="auto"/>
        <w:rPr>
          <w:bCs/>
        </w:rPr>
      </w:pPr>
      <w:r w:rsidRPr="00310104">
        <w:rPr>
          <w:bCs/>
        </w:rPr>
        <w:tab/>
        <w:t>1300 S. Evergreen Park Dr. SW</w:t>
      </w:r>
    </w:p>
    <w:p w:rsidR="00ED24CA" w:rsidRPr="00310104" w:rsidRDefault="00ED24CA" w:rsidP="00ED24CA">
      <w:pPr>
        <w:spacing w:line="240" w:lineRule="auto"/>
        <w:rPr>
          <w:bCs/>
        </w:rPr>
      </w:pPr>
      <w:r w:rsidRPr="00310104">
        <w:rPr>
          <w:bCs/>
        </w:rPr>
        <w:tab/>
        <w:t>Olympia, WA 98504-7250</w:t>
      </w:r>
    </w:p>
    <w:p w:rsidR="00ED24CA" w:rsidRPr="00310104" w:rsidRDefault="00ED24CA" w:rsidP="00ED24CA">
      <w:pPr>
        <w:pStyle w:val="BodyText"/>
      </w:pPr>
      <w:r w:rsidRPr="00310104">
        <w:t>I certify I have also provided to the Washington Utilities and Transportation Commission’s Secretary an official electronic file containing the foregoing document via email to:  records@utc.wa.gov.</w:t>
      </w:r>
    </w:p>
    <w:p w:rsidR="00DF5A23" w:rsidRDefault="00DF5A23" w:rsidP="00DF5A23">
      <w:pPr>
        <w:pStyle w:val="BodyText"/>
      </w:pPr>
      <w:r>
        <w:t xml:space="preserve">I </w:t>
      </w:r>
      <w:r w:rsidR="00ED24CA">
        <w:t xml:space="preserve">also </w:t>
      </w:r>
      <w:r>
        <w:t xml:space="preserve">certify that I have served </w:t>
      </w:r>
      <w:r w:rsidR="00ED24CA">
        <w:t>via e-mail the foregoing document on:</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0"/>
        <w:gridCol w:w="3026"/>
      </w:tblGrid>
      <w:tr w:rsidR="00DF5A23" w:rsidTr="00D71025">
        <w:tc>
          <w:tcPr>
            <w:tcW w:w="6230" w:type="dxa"/>
          </w:tcPr>
          <w:p w:rsidR="00DF5A23" w:rsidRDefault="00ED24CA" w:rsidP="00D71025">
            <w:pPr>
              <w:pStyle w:val="NormalWeb"/>
              <w:spacing w:line="240" w:lineRule="auto"/>
            </w:pPr>
            <w:r>
              <w:t>David W. Wiley</w:t>
            </w:r>
          </w:p>
          <w:p w:rsidR="00ED24CA" w:rsidRDefault="00ED24CA" w:rsidP="00D71025">
            <w:pPr>
              <w:pStyle w:val="NormalWeb"/>
              <w:spacing w:line="240" w:lineRule="auto"/>
            </w:pPr>
            <w:r>
              <w:t>Williams Kastner</w:t>
            </w:r>
          </w:p>
          <w:p w:rsidR="00ED24CA" w:rsidRDefault="00ED24CA" w:rsidP="00D71025">
            <w:pPr>
              <w:pStyle w:val="NormalWeb"/>
              <w:spacing w:line="240" w:lineRule="auto"/>
            </w:pPr>
            <w:r>
              <w:t>601 Union Street, Suite 4100</w:t>
            </w:r>
          </w:p>
          <w:p w:rsidR="00ED24CA" w:rsidRDefault="00ED24CA" w:rsidP="00D71025">
            <w:pPr>
              <w:pStyle w:val="NormalWeb"/>
              <w:spacing w:line="240" w:lineRule="auto"/>
            </w:pPr>
            <w:r>
              <w:t>Seattle, WA  98101</w:t>
            </w:r>
          </w:p>
          <w:p w:rsidR="00ED24CA" w:rsidRDefault="00ED24CA" w:rsidP="00D71025">
            <w:pPr>
              <w:pStyle w:val="NormalWeb"/>
              <w:spacing w:line="240" w:lineRule="auto"/>
            </w:pPr>
            <w:r>
              <w:t>206-233-2895</w:t>
            </w:r>
          </w:p>
          <w:p w:rsidR="00ED24CA" w:rsidRDefault="00ED24CA" w:rsidP="00D71025">
            <w:pPr>
              <w:pStyle w:val="NormalWeb"/>
              <w:spacing w:line="240" w:lineRule="auto"/>
            </w:pPr>
            <w:r w:rsidRPr="00ED24CA">
              <w:t>dwiley@williamskastner.com</w:t>
            </w:r>
          </w:p>
          <w:p w:rsidR="00ED24CA" w:rsidRPr="00916572" w:rsidRDefault="00ED24CA" w:rsidP="00D71025">
            <w:pPr>
              <w:pStyle w:val="NormalWeb"/>
              <w:spacing w:line="240" w:lineRule="auto"/>
            </w:pPr>
          </w:p>
        </w:tc>
        <w:tc>
          <w:tcPr>
            <w:tcW w:w="3026" w:type="dxa"/>
          </w:tcPr>
          <w:p w:rsidR="00DF5A23" w:rsidRDefault="00DF5A23" w:rsidP="00D71025">
            <w:pPr>
              <w:pStyle w:val="BodyText"/>
              <w:spacing w:line="240" w:lineRule="auto"/>
              <w:ind w:firstLine="0"/>
            </w:pPr>
            <w:r w:rsidRPr="00843A37">
              <w:sym w:font="Wingdings" w:char="F0A8"/>
            </w:r>
            <w:r>
              <w:t xml:space="preserve"> Via Legal Messenger</w:t>
            </w:r>
          </w:p>
          <w:p w:rsidR="00DF5A23" w:rsidRDefault="00DF5A23" w:rsidP="00D71025">
            <w:pPr>
              <w:pStyle w:val="BodyText"/>
              <w:spacing w:line="240" w:lineRule="auto"/>
              <w:ind w:firstLine="0"/>
            </w:pPr>
            <w:r w:rsidRPr="00843A37">
              <w:sym w:font="Wingdings" w:char="F0A8"/>
            </w:r>
            <w:r>
              <w:t xml:space="preserve"> Via Facsimile</w:t>
            </w:r>
          </w:p>
          <w:p w:rsidR="00DF5A23" w:rsidRDefault="00DF5A23" w:rsidP="00D71025">
            <w:pPr>
              <w:pStyle w:val="BodyText"/>
              <w:spacing w:line="240" w:lineRule="auto"/>
              <w:ind w:firstLine="0"/>
            </w:pPr>
            <w:r w:rsidRPr="00843A37">
              <w:sym w:font="Wingdings" w:char="F0A8"/>
            </w:r>
            <w:r>
              <w:t xml:space="preserve"> Via U.S. Mail</w:t>
            </w:r>
          </w:p>
          <w:p w:rsidR="00DF5A23" w:rsidRDefault="00DF5A23" w:rsidP="00D71025">
            <w:pPr>
              <w:pStyle w:val="BodyText"/>
              <w:spacing w:line="240" w:lineRule="auto"/>
              <w:ind w:firstLine="0"/>
            </w:pPr>
            <w:r w:rsidRPr="00843A37">
              <w:sym w:font="Wingdings" w:char="F0FE"/>
            </w:r>
            <w:r>
              <w:t xml:space="preserve"> Via Email</w:t>
            </w:r>
          </w:p>
        </w:tc>
      </w:tr>
      <w:tr w:rsidR="00DF5A23" w:rsidTr="00D71025">
        <w:tc>
          <w:tcPr>
            <w:tcW w:w="6230" w:type="dxa"/>
          </w:tcPr>
          <w:p w:rsidR="00DF5A23" w:rsidRDefault="00ED24CA" w:rsidP="00D71025">
            <w:pPr>
              <w:pStyle w:val="NormalWeb"/>
              <w:spacing w:line="240" w:lineRule="auto"/>
            </w:pPr>
            <w:r>
              <w:t>Hon. Gregory J. Kopta</w:t>
            </w:r>
          </w:p>
          <w:p w:rsidR="00ED24CA" w:rsidRDefault="00ED24CA" w:rsidP="00D71025">
            <w:pPr>
              <w:pStyle w:val="NormalWeb"/>
              <w:spacing w:line="240" w:lineRule="auto"/>
            </w:pPr>
            <w:r>
              <w:t>Administrative Law Judge</w:t>
            </w:r>
          </w:p>
          <w:p w:rsidR="00ED24CA" w:rsidRDefault="00ED24CA" w:rsidP="00D71025">
            <w:pPr>
              <w:pStyle w:val="NormalWeb"/>
              <w:spacing w:line="240" w:lineRule="auto"/>
            </w:pPr>
            <w:r>
              <w:t>Washington Utilities and Transportation Commission</w:t>
            </w:r>
          </w:p>
          <w:p w:rsidR="00ED24CA" w:rsidRDefault="00ED24CA" w:rsidP="00D71025">
            <w:pPr>
              <w:pStyle w:val="NormalWeb"/>
              <w:spacing w:line="240" w:lineRule="auto"/>
            </w:pPr>
            <w:r>
              <w:t>1300 S. Evergreen Park Dr. SW</w:t>
            </w:r>
          </w:p>
          <w:p w:rsidR="00ED24CA" w:rsidRDefault="00ED24CA" w:rsidP="00D71025">
            <w:pPr>
              <w:pStyle w:val="NormalWeb"/>
              <w:spacing w:line="240" w:lineRule="auto"/>
            </w:pPr>
            <w:r>
              <w:t>PO Box 47250</w:t>
            </w:r>
          </w:p>
          <w:p w:rsidR="00ED24CA" w:rsidRDefault="00ED24CA" w:rsidP="00D71025">
            <w:pPr>
              <w:pStyle w:val="NormalWeb"/>
              <w:spacing w:line="240" w:lineRule="auto"/>
            </w:pPr>
            <w:r>
              <w:t>Olympia, WA  98504-7250</w:t>
            </w:r>
          </w:p>
          <w:p w:rsidR="00ED24CA" w:rsidRDefault="00ED24CA" w:rsidP="00D71025">
            <w:pPr>
              <w:pStyle w:val="NormalWeb"/>
              <w:spacing w:line="240" w:lineRule="auto"/>
            </w:pPr>
            <w:r w:rsidRPr="00ED24CA">
              <w:t>gkopta@utc.wa.gov</w:t>
            </w:r>
          </w:p>
          <w:p w:rsidR="00ED24CA" w:rsidRDefault="00ED24CA" w:rsidP="00D71025">
            <w:pPr>
              <w:pStyle w:val="NormalWeb"/>
              <w:spacing w:line="240" w:lineRule="auto"/>
            </w:pPr>
          </w:p>
        </w:tc>
        <w:tc>
          <w:tcPr>
            <w:tcW w:w="3026" w:type="dxa"/>
          </w:tcPr>
          <w:p w:rsidR="00DF5A23" w:rsidRDefault="00DF5A23" w:rsidP="00D71025">
            <w:pPr>
              <w:pStyle w:val="BodyText"/>
              <w:spacing w:line="240" w:lineRule="auto"/>
              <w:ind w:firstLine="0"/>
            </w:pPr>
            <w:r w:rsidRPr="00843A37">
              <w:sym w:font="Wingdings" w:char="F0A8"/>
            </w:r>
            <w:r>
              <w:t xml:space="preserve"> Via Legal Messenger</w:t>
            </w:r>
          </w:p>
          <w:p w:rsidR="00DF5A23" w:rsidRDefault="00DF5A23" w:rsidP="00D71025">
            <w:pPr>
              <w:pStyle w:val="BodyText"/>
              <w:spacing w:line="240" w:lineRule="auto"/>
              <w:ind w:firstLine="0"/>
            </w:pPr>
            <w:r w:rsidRPr="00843A37">
              <w:sym w:font="Wingdings" w:char="F0A8"/>
            </w:r>
            <w:r>
              <w:t xml:space="preserve"> Via Facsimile</w:t>
            </w:r>
          </w:p>
          <w:p w:rsidR="00DF5A23" w:rsidRDefault="00DF5A23" w:rsidP="00D71025">
            <w:pPr>
              <w:pStyle w:val="BodyText"/>
              <w:spacing w:line="240" w:lineRule="auto"/>
              <w:ind w:firstLine="0"/>
            </w:pPr>
            <w:r w:rsidRPr="00843A37">
              <w:sym w:font="Wingdings" w:char="F0A8"/>
            </w:r>
            <w:r>
              <w:t xml:space="preserve">  Via U.S. Mail</w:t>
            </w:r>
          </w:p>
          <w:p w:rsidR="00DF5A23" w:rsidRDefault="00DF5A23" w:rsidP="00D71025">
            <w:pPr>
              <w:pStyle w:val="BodyText"/>
              <w:spacing w:line="240" w:lineRule="auto"/>
              <w:ind w:firstLine="0"/>
            </w:pPr>
            <w:r w:rsidRPr="00843A37">
              <w:sym w:font="Wingdings" w:char="F0FE"/>
            </w:r>
            <w:r>
              <w:t xml:space="preserve"> Via Email</w:t>
            </w:r>
          </w:p>
          <w:p w:rsidR="00DF5A23" w:rsidRDefault="00DF5A23" w:rsidP="00D71025">
            <w:pPr>
              <w:pStyle w:val="BodyText"/>
              <w:spacing w:line="240" w:lineRule="auto"/>
              <w:ind w:firstLine="0"/>
            </w:pPr>
          </w:p>
        </w:tc>
      </w:tr>
      <w:tr w:rsidR="00ED24CA" w:rsidTr="00D71025">
        <w:tc>
          <w:tcPr>
            <w:tcW w:w="6230" w:type="dxa"/>
          </w:tcPr>
          <w:p w:rsidR="00ED24CA" w:rsidRDefault="00ED24CA" w:rsidP="00D71025">
            <w:pPr>
              <w:pStyle w:val="NormalWeb"/>
              <w:spacing w:line="240" w:lineRule="auto"/>
            </w:pPr>
            <w:r>
              <w:t>James K. Sells</w:t>
            </w:r>
          </w:p>
          <w:p w:rsidR="00ED24CA" w:rsidRDefault="00ED24CA" w:rsidP="00D71025">
            <w:pPr>
              <w:pStyle w:val="NormalWeb"/>
              <w:spacing w:line="240" w:lineRule="auto"/>
            </w:pPr>
            <w:r>
              <w:t>Attorney at Law</w:t>
            </w:r>
          </w:p>
          <w:p w:rsidR="00ED24CA" w:rsidRDefault="00ED24CA" w:rsidP="00D71025">
            <w:pPr>
              <w:pStyle w:val="NormalWeb"/>
              <w:spacing w:line="240" w:lineRule="auto"/>
            </w:pPr>
            <w:r>
              <w:t>3110 Judson Street</w:t>
            </w:r>
          </w:p>
          <w:p w:rsidR="00ED24CA" w:rsidRDefault="00ED24CA" w:rsidP="00D71025">
            <w:pPr>
              <w:pStyle w:val="NormalWeb"/>
              <w:spacing w:line="240" w:lineRule="auto"/>
            </w:pPr>
            <w:r>
              <w:t>Gig Harbor, WA  98335</w:t>
            </w:r>
          </w:p>
          <w:p w:rsidR="00ED24CA" w:rsidRDefault="00ED24CA" w:rsidP="00D71025">
            <w:pPr>
              <w:pStyle w:val="NormalWeb"/>
              <w:spacing w:line="240" w:lineRule="auto"/>
            </w:pPr>
            <w:r>
              <w:t>360-981-0168</w:t>
            </w:r>
          </w:p>
          <w:p w:rsidR="00ED24CA" w:rsidRDefault="00ED24CA" w:rsidP="00D71025">
            <w:pPr>
              <w:pStyle w:val="NormalWeb"/>
              <w:spacing w:line="240" w:lineRule="auto"/>
            </w:pPr>
            <w:r w:rsidRPr="00ED24CA">
              <w:t>jamessells@comcast.net</w:t>
            </w:r>
          </w:p>
          <w:p w:rsidR="00ED24CA" w:rsidRDefault="00ED24CA" w:rsidP="00D71025">
            <w:pPr>
              <w:pStyle w:val="NormalWeb"/>
              <w:spacing w:line="240" w:lineRule="auto"/>
            </w:pPr>
          </w:p>
        </w:tc>
        <w:tc>
          <w:tcPr>
            <w:tcW w:w="3026" w:type="dxa"/>
          </w:tcPr>
          <w:p w:rsidR="00ED24CA" w:rsidRDefault="00ED24CA" w:rsidP="00D71025">
            <w:pPr>
              <w:pStyle w:val="BodyText"/>
              <w:spacing w:line="240" w:lineRule="auto"/>
              <w:ind w:firstLine="0"/>
            </w:pPr>
            <w:r w:rsidRPr="00843A37">
              <w:sym w:font="Wingdings" w:char="F0A8"/>
            </w:r>
            <w:r>
              <w:t xml:space="preserve"> Via Legal Messenger</w:t>
            </w:r>
          </w:p>
          <w:p w:rsidR="00ED24CA" w:rsidRDefault="00ED24CA" w:rsidP="00D71025">
            <w:pPr>
              <w:pStyle w:val="BodyText"/>
              <w:spacing w:line="240" w:lineRule="auto"/>
              <w:ind w:firstLine="0"/>
            </w:pPr>
            <w:r w:rsidRPr="00843A37">
              <w:sym w:font="Wingdings" w:char="F0A8"/>
            </w:r>
            <w:r>
              <w:t xml:space="preserve"> Via Facsimile</w:t>
            </w:r>
          </w:p>
          <w:p w:rsidR="00ED24CA" w:rsidRDefault="00ED24CA" w:rsidP="00D71025">
            <w:pPr>
              <w:pStyle w:val="BodyText"/>
              <w:spacing w:line="240" w:lineRule="auto"/>
              <w:ind w:firstLine="0"/>
            </w:pPr>
            <w:r w:rsidRPr="00843A37">
              <w:sym w:font="Wingdings" w:char="F0A8"/>
            </w:r>
            <w:r>
              <w:t xml:space="preserve">  Via U.S. Mail</w:t>
            </w:r>
          </w:p>
          <w:p w:rsidR="00ED24CA" w:rsidRDefault="00ED24CA" w:rsidP="00D71025">
            <w:pPr>
              <w:pStyle w:val="BodyText"/>
              <w:spacing w:line="240" w:lineRule="auto"/>
              <w:ind w:firstLine="0"/>
            </w:pPr>
            <w:r w:rsidRPr="00843A37">
              <w:sym w:font="Wingdings" w:char="F0FE"/>
            </w:r>
            <w:r>
              <w:t xml:space="preserve"> Via Email</w:t>
            </w:r>
          </w:p>
          <w:p w:rsidR="00ED24CA" w:rsidRDefault="00ED24CA" w:rsidP="00D71025">
            <w:pPr>
              <w:pStyle w:val="BodyText"/>
              <w:spacing w:line="240" w:lineRule="auto"/>
              <w:ind w:firstLine="0"/>
            </w:pPr>
          </w:p>
        </w:tc>
      </w:tr>
      <w:tr w:rsidR="00DF5A23" w:rsidTr="00ED24CA">
        <w:trPr>
          <w:cantSplit/>
        </w:trPr>
        <w:tc>
          <w:tcPr>
            <w:tcW w:w="6230" w:type="dxa"/>
          </w:tcPr>
          <w:p w:rsidR="00ED24CA" w:rsidRDefault="00ED24CA" w:rsidP="00ED24CA">
            <w:pPr>
              <w:pStyle w:val="NormalWeb"/>
              <w:spacing w:line="240" w:lineRule="auto"/>
            </w:pPr>
            <w:r>
              <w:t>Fronda Woods</w:t>
            </w:r>
          </w:p>
          <w:p w:rsidR="00ED24CA" w:rsidRDefault="00ED24CA" w:rsidP="00ED24CA">
            <w:pPr>
              <w:pStyle w:val="NormalWeb"/>
              <w:spacing w:line="240" w:lineRule="auto"/>
            </w:pPr>
            <w:r>
              <w:t>Assistant Attorney General</w:t>
            </w:r>
          </w:p>
          <w:p w:rsidR="00ED24CA" w:rsidRDefault="00ED24CA" w:rsidP="00ED24CA">
            <w:pPr>
              <w:pStyle w:val="NormalWeb"/>
              <w:spacing w:line="240" w:lineRule="auto"/>
            </w:pPr>
            <w:r>
              <w:t>1400 S. Evergreen Park Drive S.W.</w:t>
            </w:r>
          </w:p>
          <w:p w:rsidR="00ED24CA" w:rsidRDefault="00ED24CA" w:rsidP="00ED24CA">
            <w:pPr>
              <w:pStyle w:val="NormalWeb"/>
              <w:spacing w:line="240" w:lineRule="auto"/>
            </w:pPr>
            <w:r>
              <w:t>P.O. Box 40128</w:t>
            </w:r>
          </w:p>
          <w:p w:rsidR="00ED24CA" w:rsidRDefault="00ED24CA" w:rsidP="00ED24CA">
            <w:pPr>
              <w:pStyle w:val="NormalWeb"/>
              <w:spacing w:line="240" w:lineRule="auto"/>
            </w:pPr>
            <w:r>
              <w:t>Olympia, WA  98504-0128</w:t>
            </w:r>
          </w:p>
          <w:p w:rsidR="00DF5A23" w:rsidRDefault="00ED24CA" w:rsidP="00ED24CA">
            <w:pPr>
              <w:pStyle w:val="NormalWeb"/>
              <w:spacing w:line="240" w:lineRule="auto"/>
            </w:pPr>
            <w:r w:rsidRPr="00ED24CA">
              <w:t>fwoods@utc.wa.gov</w:t>
            </w:r>
          </w:p>
          <w:p w:rsidR="00DF5A23" w:rsidRDefault="00DF5A23" w:rsidP="00D71025">
            <w:pPr>
              <w:pStyle w:val="NormalWeb"/>
              <w:spacing w:line="240" w:lineRule="auto"/>
            </w:pPr>
          </w:p>
        </w:tc>
        <w:tc>
          <w:tcPr>
            <w:tcW w:w="3026" w:type="dxa"/>
          </w:tcPr>
          <w:p w:rsidR="00DF5A23" w:rsidRDefault="00DF5A23" w:rsidP="00D71025">
            <w:pPr>
              <w:pStyle w:val="BodyText"/>
              <w:spacing w:line="240" w:lineRule="auto"/>
              <w:ind w:firstLine="0"/>
            </w:pPr>
            <w:r w:rsidRPr="00843A37">
              <w:sym w:font="Wingdings" w:char="F0A8"/>
            </w:r>
            <w:r>
              <w:t xml:space="preserve"> Via Legal Messenger</w:t>
            </w:r>
          </w:p>
          <w:p w:rsidR="00DF5A23" w:rsidRDefault="00DF5A23" w:rsidP="00D71025">
            <w:pPr>
              <w:pStyle w:val="BodyText"/>
              <w:spacing w:line="240" w:lineRule="auto"/>
              <w:ind w:firstLine="0"/>
            </w:pPr>
            <w:r w:rsidRPr="00843A37">
              <w:sym w:font="Wingdings" w:char="F0A8"/>
            </w:r>
            <w:r>
              <w:t xml:space="preserve"> Via Facsimile</w:t>
            </w:r>
          </w:p>
          <w:p w:rsidR="00DF5A23" w:rsidRDefault="00DF5A23" w:rsidP="00D71025">
            <w:pPr>
              <w:pStyle w:val="BodyText"/>
              <w:spacing w:line="240" w:lineRule="auto"/>
              <w:ind w:firstLine="0"/>
            </w:pPr>
            <w:r w:rsidRPr="00843A37">
              <w:sym w:font="Wingdings" w:char="F0A8"/>
            </w:r>
            <w:r>
              <w:t xml:space="preserve"> Via U.S. Mail</w:t>
            </w:r>
          </w:p>
          <w:p w:rsidR="00DF5A23" w:rsidRDefault="00DF5A23" w:rsidP="00D71025">
            <w:pPr>
              <w:pStyle w:val="BodyText"/>
              <w:spacing w:line="240" w:lineRule="auto"/>
              <w:ind w:firstLine="0"/>
            </w:pPr>
            <w:r w:rsidRPr="00843A37">
              <w:sym w:font="Wingdings" w:char="F0FE"/>
            </w:r>
            <w:r>
              <w:t xml:space="preserve">Via Email </w:t>
            </w:r>
          </w:p>
          <w:p w:rsidR="00DF5A23" w:rsidRDefault="00DF5A23" w:rsidP="00D71025">
            <w:pPr>
              <w:pStyle w:val="BodyText"/>
              <w:spacing w:line="240" w:lineRule="auto"/>
              <w:ind w:firstLine="0"/>
            </w:pPr>
          </w:p>
        </w:tc>
      </w:tr>
    </w:tbl>
    <w:p w:rsidR="00DF5A23" w:rsidRDefault="00DF5A23" w:rsidP="00DF5A23">
      <w:pPr>
        <w:pStyle w:val="BodyText"/>
      </w:pPr>
    </w:p>
    <w:p w:rsidR="00DF5A23" w:rsidRDefault="00DF5A23" w:rsidP="00DF5A23">
      <w:pPr>
        <w:pStyle w:val="BodyText"/>
      </w:pPr>
      <w:r>
        <w:t>DATE</w:t>
      </w:r>
      <w:r w:rsidR="00ED24CA">
        <w:t xml:space="preserve">D at Seattle, Washington, this </w:t>
      </w:r>
      <w:r w:rsidR="00D71025">
        <w:t>11</w:t>
      </w:r>
      <w:r w:rsidR="00611DF6">
        <w:t>t</w:t>
      </w:r>
      <w:r w:rsidR="00ED24CA">
        <w:t xml:space="preserve">h </w:t>
      </w:r>
      <w:r>
        <w:t xml:space="preserve">day of </w:t>
      </w:r>
      <w:r w:rsidR="00611DF6">
        <w:t xml:space="preserve">March, </w:t>
      </w:r>
      <w:r w:rsidR="00D71025">
        <w:t>2011</w:t>
      </w:r>
      <w:r>
        <w:t>.</w:t>
      </w:r>
    </w:p>
    <w:p w:rsidR="00DF5A23" w:rsidRDefault="00DF5A23" w:rsidP="00DF5A23">
      <w:pPr>
        <w:pStyle w:val="Signature"/>
        <w:spacing w:line="240" w:lineRule="auto"/>
      </w:pPr>
    </w:p>
    <w:p w:rsidR="00DF5A23" w:rsidRDefault="00DF5A23" w:rsidP="00DF5A23">
      <w:pPr>
        <w:pStyle w:val="Signature"/>
        <w:spacing w:line="240" w:lineRule="auto"/>
      </w:pPr>
    </w:p>
    <w:p w:rsidR="00DF5A23" w:rsidRDefault="00DF5A23" w:rsidP="00DF5A23">
      <w:pPr>
        <w:pStyle w:val="Signature"/>
        <w:spacing w:line="240" w:lineRule="auto"/>
      </w:pPr>
    </w:p>
    <w:p w:rsidR="00DF5A23" w:rsidRDefault="00DF5A23" w:rsidP="00DF5A23">
      <w:pPr>
        <w:pStyle w:val="Signature"/>
        <w:spacing w:line="240" w:lineRule="auto"/>
      </w:pPr>
      <w:r>
        <w:rPr>
          <w:u w:val="single"/>
        </w:rPr>
        <w:tab/>
      </w:r>
      <w:r>
        <w:rPr>
          <w:u w:val="single"/>
        </w:rPr>
        <w:tab/>
      </w:r>
    </w:p>
    <w:p w:rsidR="00DF5A23" w:rsidRDefault="00ED24CA" w:rsidP="00DF5A23">
      <w:pPr>
        <w:spacing w:line="240" w:lineRule="auto"/>
        <w:ind w:left="5073"/>
        <w:rPr>
          <w:spacing w:val="-3"/>
          <w:szCs w:val="24"/>
        </w:rPr>
      </w:pPr>
      <w:r>
        <w:rPr>
          <w:spacing w:val="-3"/>
          <w:szCs w:val="24"/>
        </w:rPr>
        <w:t>Kathy Moll</w:t>
      </w:r>
    </w:p>
    <w:p w:rsidR="00ED24CA" w:rsidRDefault="00ED24CA" w:rsidP="00ED24CA">
      <w:pPr>
        <w:spacing w:line="240" w:lineRule="auto"/>
        <w:rPr>
          <w:spacing w:val="-3"/>
          <w:szCs w:val="24"/>
        </w:rPr>
      </w:pPr>
    </w:p>
    <w:sectPr w:rsidR="00ED24CA" w:rsidSect="00DF5A23">
      <w:headerReference w:type="even" r:id="rId7"/>
      <w:headerReference w:type="default" r:id="rId8"/>
      <w:footerReference w:type="even" r:id="rId9"/>
      <w:footerReference w:type="default" r:id="rId10"/>
      <w:headerReference w:type="first" r:id="rId11"/>
      <w:footerReference w:type="first" r:id="rId12"/>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725" w:rsidRDefault="00D77725">
      <w:r>
        <w:separator/>
      </w:r>
    </w:p>
  </w:endnote>
  <w:endnote w:type="continuationSeparator" w:id="0">
    <w:p w:rsidR="00D77725" w:rsidRDefault="00D77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FB2" w:rsidRDefault="00061F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D77725">
      <w:trPr>
        <w:cantSplit/>
        <w:trHeight w:hRule="exact" w:val="1089"/>
      </w:trPr>
      <w:tc>
        <w:tcPr>
          <w:tcW w:w="5270" w:type="dxa"/>
        </w:tcPr>
        <w:p w:rsidR="00D77725" w:rsidRDefault="00D77725">
          <w:pPr>
            <w:spacing w:line="200" w:lineRule="exact"/>
            <w:rPr>
              <w:caps/>
              <w:sz w:val="20"/>
            </w:rPr>
          </w:pPr>
          <w:r>
            <w:rPr>
              <w:caps/>
              <w:sz w:val="20"/>
            </w:rPr>
            <w:t>MEMORANDUM OF INTERVENOR WASTE MANAGEMENT OF WASHINGTON, INC.</w:t>
          </w:r>
          <w:r w:rsidR="00A147F3">
            <w:rPr>
              <w:caps/>
              <w:sz w:val="20"/>
            </w:rPr>
            <w:fldChar w:fldCharType="begin"/>
          </w:r>
          <w:r>
            <w:rPr>
              <w:caps/>
              <w:sz w:val="20"/>
            </w:rPr>
            <w:instrText xml:space="preserve"> STYLEREF PleadingTitle \* CHARFORMAT </w:instrText>
          </w:r>
          <w:r w:rsidR="00A147F3">
            <w:rPr>
              <w:caps/>
              <w:sz w:val="20"/>
            </w:rPr>
            <w:fldChar w:fldCharType="end"/>
          </w:r>
          <w:r>
            <w:rPr>
              <w:caps/>
              <w:sz w:val="20"/>
            </w:rPr>
            <w:t> - </w:t>
          </w:r>
          <w:r w:rsidR="00A147F3">
            <w:rPr>
              <w:caps/>
              <w:sz w:val="20"/>
            </w:rPr>
            <w:fldChar w:fldCharType="begin"/>
          </w:r>
          <w:r>
            <w:rPr>
              <w:caps/>
              <w:sz w:val="20"/>
            </w:rPr>
            <w:instrText xml:space="preserve"> PAGE  \* MERGEFORMAT </w:instrText>
          </w:r>
          <w:r w:rsidR="00A147F3">
            <w:rPr>
              <w:caps/>
              <w:sz w:val="20"/>
            </w:rPr>
            <w:fldChar w:fldCharType="separate"/>
          </w:r>
          <w:r w:rsidR="000D2CE0">
            <w:rPr>
              <w:caps/>
              <w:noProof/>
              <w:sz w:val="20"/>
            </w:rPr>
            <w:t>1</w:t>
          </w:r>
          <w:r w:rsidR="00A147F3">
            <w:rPr>
              <w:caps/>
              <w:sz w:val="20"/>
            </w:rPr>
            <w:fldChar w:fldCharType="end"/>
          </w:r>
        </w:p>
      </w:tc>
      <w:tc>
        <w:tcPr>
          <w:tcW w:w="875" w:type="dxa"/>
        </w:tcPr>
        <w:p w:rsidR="00D77725" w:rsidRDefault="00D77725"/>
      </w:tc>
      <w:tc>
        <w:tcPr>
          <w:tcW w:w="3510" w:type="dxa"/>
        </w:tcPr>
        <w:p w:rsidR="00D77725" w:rsidRDefault="00D77725">
          <w:pPr>
            <w:pStyle w:val="FirmName"/>
            <w:spacing w:line="240" w:lineRule="auto"/>
            <w:rPr>
              <w:rFonts w:ascii="Garamond" w:hAnsi="Garamond"/>
              <w:smallCaps/>
              <w:sz w:val="28"/>
            </w:rPr>
          </w:pPr>
          <w:bookmarkStart w:id="3" w:name="FirmName"/>
          <w:bookmarkEnd w:id="3"/>
          <w:r>
            <w:rPr>
              <w:rFonts w:ascii="Garamond" w:hAnsi="Garamond"/>
              <w:smallCaps/>
              <w:sz w:val="28"/>
            </w:rPr>
            <w:t>Summit Law Group pllc</w:t>
          </w:r>
        </w:p>
        <w:p w:rsidR="00D77725" w:rsidRDefault="00D77725">
          <w:pPr>
            <w:pStyle w:val="FirmName"/>
            <w:spacing w:line="240" w:lineRule="auto"/>
            <w:rPr>
              <w:rFonts w:ascii="Garamond" w:hAnsi="Garamond"/>
              <w:smallCaps/>
              <w:sz w:val="16"/>
            </w:rPr>
          </w:pPr>
          <w:r>
            <w:rPr>
              <w:rFonts w:ascii="Garamond" w:hAnsi="Garamond"/>
              <w:smallCaps/>
              <w:sz w:val="16"/>
            </w:rPr>
            <w:t>315 Fifth Avenue South, Suite 1000</w:t>
          </w:r>
        </w:p>
        <w:p w:rsidR="00D77725" w:rsidRDefault="00D77725">
          <w:pPr>
            <w:pStyle w:val="FirmName"/>
            <w:spacing w:line="240" w:lineRule="auto"/>
            <w:rPr>
              <w:rFonts w:ascii="Garamond" w:hAnsi="Garamond"/>
              <w:smallCaps/>
              <w:sz w:val="16"/>
            </w:rPr>
          </w:pPr>
          <w:r>
            <w:rPr>
              <w:rFonts w:ascii="Garamond" w:hAnsi="Garamond"/>
              <w:smallCaps/>
              <w:sz w:val="16"/>
            </w:rPr>
            <w:t>Seattle, Washington 98104-2682</w:t>
          </w:r>
        </w:p>
        <w:p w:rsidR="00D77725" w:rsidRDefault="00D77725">
          <w:pPr>
            <w:pStyle w:val="FirmName"/>
            <w:spacing w:line="240" w:lineRule="auto"/>
            <w:rPr>
              <w:rFonts w:ascii="Garamond" w:hAnsi="Garamond"/>
              <w:sz w:val="16"/>
            </w:rPr>
          </w:pPr>
          <w:r>
            <w:rPr>
              <w:rFonts w:ascii="Garamond" w:hAnsi="Garamond"/>
              <w:sz w:val="16"/>
            </w:rPr>
            <w:t>Telephone:  (206) 676-7000</w:t>
          </w:r>
        </w:p>
        <w:p w:rsidR="00D77725" w:rsidRDefault="00D77725" w:rsidP="00611DF6">
          <w:pPr>
            <w:pStyle w:val="FirmName"/>
            <w:spacing w:line="240" w:lineRule="auto"/>
            <w:rPr>
              <w:rFonts w:ascii="Garamond" w:hAnsi="Garamond"/>
              <w:sz w:val="16"/>
            </w:rPr>
          </w:pPr>
          <w:r>
            <w:rPr>
              <w:rFonts w:ascii="Garamond" w:hAnsi="Garamond"/>
              <w:sz w:val="16"/>
            </w:rPr>
            <w:t>Fax:   (206) 676-7001</w:t>
          </w:r>
        </w:p>
        <w:p w:rsidR="00D77725" w:rsidRPr="005A5E93" w:rsidRDefault="00D77725">
          <w:pPr>
            <w:jc w:val="center"/>
            <w:rPr>
              <w:rFonts w:ascii="Garamond" w:hAnsi="Garamond"/>
              <w:sz w:val="16"/>
            </w:rPr>
          </w:pPr>
        </w:p>
      </w:tc>
    </w:tr>
  </w:tbl>
  <w:p w:rsidR="00D77725" w:rsidRDefault="00D77725">
    <w:pP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FB2" w:rsidRDefault="00061F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725" w:rsidRDefault="00D77725">
      <w:r>
        <w:separator/>
      </w:r>
    </w:p>
  </w:footnote>
  <w:footnote w:type="continuationSeparator" w:id="0">
    <w:p w:rsidR="00D77725" w:rsidRDefault="00D77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FB2" w:rsidRDefault="00061F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725" w:rsidRDefault="00A147F3">
    <w:pPr>
      <w:pStyle w:val="Header"/>
      <w:tabs>
        <w:tab w:val="clear" w:pos="4320"/>
        <w:tab w:val="clear" w:pos="8640"/>
      </w:tabs>
    </w:pPr>
    <w:r>
      <w:pict>
        <v:line id="RightBorder" o:spid="_x0000_s2051" style="position:absolute;z-index:251658240;mso-position-horizontal-relative:margin;mso-position-vertical-relative:page" from="480.6pt,-.6pt" to="480.6pt,791.4pt" o:allowincell="f">
          <w10:wrap anchorx="margin" anchory="page"/>
        </v:line>
      </w:pict>
    </w:r>
    <w: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59264;mso-wrap-style:tight;mso-position-horizontal-relative:margin;mso-position-vertical-relative:margin" filled="f" stroked="f">
          <v:textbox style="mso-next-textbox:#LineNumbers;mso-rotate-with-shape:t" inset="0,0,0,0">
            <w:txbxContent>
              <w:p w:rsidR="00D77725" w:rsidRDefault="00D77725">
                <w:pPr>
                  <w:pStyle w:val="LineNumbers"/>
                </w:pPr>
                <w:r>
                  <w:t>1</w:t>
                </w:r>
              </w:p>
              <w:p w:rsidR="00D77725" w:rsidRDefault="00D77725">
                <w:pPr>
                  <w:pStyle w:val="LineNumbers"/>
                </w:pPr>
                <w:r>
                  <w:t>2</w:t>
                </w:r>
              </w:p>
              <w:p w:rsidR="00D77725" w:rsidRDefault="00D77725">
                <w:pPr>
                  <w:pStyle w:val="LineNumbers"/>
                </w:pPr>
                <w:r>
                  <w:t>3</w:t>
                </w:r>
              </w:p>
              <w:p w:rsidR="00D77725" w:rsidRDefault="00D77725">
                <w:pPr>
                  <w:pStyle w:val="LineNumbers"/>
                </w:pPr>
                <w:r>
                  <w:t>4</w:t>
                </w:r>
              </w:p>
              <w:p w:rsidR="00D77725" w:rsidRDefault="00D77725">
                <w:pPr>
                  <w:pStyle w:val="LineNumbers"/>
                </w:pPr>
                <w:r>
                  <w:t>5</w:t>
                </w:r>
              </w:p>
              <w:p w:rsidR="00D77725" w:rsidRDefault="00D77725">
                <w:pPr>
                  <w:pStyle w:val="LineNumbers"/>
                </w:pPr>
                <w:r>
                  <w:t>6</w:t>
                </w:r>
              </w:p>
              <w:p w:rsidR="00D77725" w:rsidRDefault="00D77725">
                <w:pPr>
                  <w:pStyle w:val="LineNumbers"/>
                </w:pPr>
                <w:r>
                  <w:t>7</w:t>
                </w:r>
              </w:p>
              <w:p w:rsidR="00D77725" w:rsidRDefault="00D77725">
                <w:pPr>
                  <w:pStyle w:val="LineNumbers"/>
                </w:pPr>
                <w:r>
                  <w:t>8</w:t>
                </w:r>
              </w:p>
              <w:p w:rsidR="00D77725" w:rsidRDefault="00D77725">
                <w:pPr>
                  <w:pStyle w:val="LineNumbers"/>
                </w:pPr>
                <w:r>
                  <w:t>9</w:t>
                </w:r>
              </w:p>
              <w:p w:rsidR="00D77725" w:rsidRDefault="00D77725">
                <w:pPr>
                  <w:pStyle w:val="LineNumbers"/>
                </w:pPr>
                <w:r>
                  <w:t>10</w:t>
                </w:r>
              </w:p>
              <w:p w:rsidR="00D77725" w:rsidRDefault="00D77725">
                <w:pPr>
                  <w:pStyle w:val="LineNumbers"/>
                </w:pPr>
                <w:r>
                  <w:t>11</w:t>
                </w:r>
              </w:p>
              <w:p w:rsidR="00D77725" w:rsidRDefault="00D77725">
                <w:pPr>
                  <w:pStyle w:val="LineNumbers"/>
                </w:pPr>
                <w:r>
                  <w:t>12</w:t>
                </w:r>
              </w:p>
              <w:p w:rsidR="00D77725" w:rsidRDefault="00D77725">
                <w:pPr>
                  <w:pStyle w:val="LineNumbers"/>
                </w:pPr>
                <w:r>
                  <w:t>13</w:t>
                </w:r>
              </w:p>
              <w:p w:rsidR="00D77725" w:rsidRDefault="00D77725">
                <w:pPr>
                  <w:pStyle w:val="LineNumbers"/>
                </w:pPr>
                <w:r>
                  <w:t>14</w:t>
                </w:r>
              </w:p>
              <w:p w:rsidR="00D77725" w:rsidRDefault="00D77725">
                <w:pPr>
                  <w:pStyle w:val="LineNumbers"/>
                </w:pPr>
                <w:r>
                  <w:t>15</w:t>
                </w:r>
              </w:p>
              <w:p w:rsidR="00D77725" w:rsidRDefault="00D77725">
                <w:pPr>
                  <w:pStyle w:val="LineNumbers"/>
                </w:pPr>
                <w:r>
                  <w:t>16</w:t>
                </w:r>
              </w:p>
              <w:p w:rsidR="00D77725" w:rsidRDefault="00D77725">
                <w:pPr>
                  <w:pStyle w:val="LineNumbers"/>
                </w:pPr>
                <w:r>
                  <w:t>17</w:t>
                </w:r>
              </w:p>
              <w:p w:rsidR="00D77725" w:rsidRDefault="00D77725">
                <w:pPr>
                  <w:pStyle w:val="LineNumbers"/>
                </w:pPr>
                <w:r>
                  <w:t>18</w:t>
                </w:r>
              </w:p>
              <w:p w:rsidR="00D77725" w:rsidRDefault="00D77725">
                <w:pPr>
                  <w:pStyle w:val="LineNumbers"/>
                </w:pPr>
                <w:r>
                  <w:t>19</w:t>
                </w:r>
              </w:p>
              <w:p w:rsidR="00D77725" w:rsidRDefault="00D77725">
                <w:pPr>
                  <w:pStyle w:val="LineNumbers"/>
                </w:pPr>
                <w:r>
                  <w:t>20</w:t>
                </w:r>
              </w:p>
              <w:p w:rsidR="00D77725" w:rsidRDefault="00D77725">
                <w:pPr>
                  <w:pStyle w:val="LineNumbers"/>
                </w:pPr>
                <w:r>
                  <w:t>21</w:t>
                </w:r>
              </w:p>
              <w:p w:rsidR="00D77725" w:rsidRDefault="00D77725">
                <w:pPr>
                  <w:pStyle w:val="LineNumbers"/>
                </w:pPr>
                <w:r>
                  <w:t>22</w:t>
                </w:r>
              </w:p>
              <w:p w:rsidR="00D77725" w:rsidRDefault="00D77725">
                <w:pPr>
                  <w:pStyle w:val="LineNumbers"/>
                </w:pPr>
                <w:r>
                  <w:t>23</w:t>
                </w:r>
              </w:p>
              <w:p w:rsidR="00D77725" w:rsidRDefault="00D77725">
                <w:pPr>
                  <w:pStyle w:val="LineNumbers"/>
                </w:pPr>
                <w:r>
                  <w:t>24</w:t>
                </w:r>
              </w:p>
              <w:p w:rsidR="00D77725" w:rsidRDefault="00D77725">
                <w:pPr>
                  <w:pStyle w:val="LineNumbers"/>
                </w:pPr>
                <w:r>
                  <w:t>25</w:t>
                </w:r>
              </w:p>
              <w:p w:rsidR="00D77725" w:rsidRDefault="00D77725">
                <w:pPr>
                  <w:pStyle w:val="LineNumbers"/>
                </w:pPr>
                <w:r>
                  <w:t>26</w:t>
                </w:r>
              </w:p>
            </w:txbxContent>
          </v:textbox>
          <w10:wrap anchorx="margin" anchory="margin"/>
        </v:shape>
      </w:pict>
    </w:r>
    <w:r>
      <w:pict>
        <v:line id="LeftBorder2" o:spid="_x0000_s2050" style="position:absolute;z-index:251657216;mso-position-horizontal-relative:margin;mso-position-vertical-relative:page" from="-7.2pt,0" to="-7.2pt,11in">
          <w10:wrap anchorx="margin" anchory="page"/>
        </v:line>
      </w:pict>
    </w:r>
    <w:r>
      <w:pict>
        <v:line id="LeftBorder1" o:spid="_x0000_s2049" style="position:absolute;z-index:251656192;mso-position-horizontal-relative:margin;mso-position-vertical-relative:page" from="-3.6pt,0" to="-3.6pt,11in">
          <w10:wrap anchorx="margin"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FB2" w:rsidRDefault="00061F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2F0921"/>
    <w:multiLevelType w:val="multilevel"/>
    <w:tmpl w:val="22AED672"/>
    <w:lvl w:ilvl="0">
      <w:start w:val="1"/>
      <w:numFmt w:val="decimal"/>
      <w:pStyle w:val="ParaNumbered"/>
      <w:lvlText w:val="%1."/>
      <w:lvlJc w:val="left"/>
      <w:pPr>
        <w:tabs>
          <w:tab w:val="num" w:pos="-720"/>
        </w:tabs>
        <w:ind w:left="-720" w:firstLine="720"/>
      </w:pPr>
      <w:rPr>
        <w:rFonts w:hint="default"/>
        <w:b w:val="0"/>
        <w:i/>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
    <w:nsid w:val="6CFD6667"/>
    <w:multiLevelType w:val="multilevel"/>
    <w:tmpl w:val="CA72060A"/>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djustLineHeightInTable/>
  </w:compat>
  <w:rsids>
    <w:rsidRoot w:val="00F66CA9"/>
    <w:rsid w:val="00014631"/>
    <w:rsid w:val="00024C14"/>
    <w:rsid w:val="00057B30"/>
    <w:rsid w:val="000617B7"/>
    <w:rsid w:val="00061FB2"/>
    <w:rsid w:val="000A70ED"/>
    <w:rsid w:val="000C0810"/>
    <w:rsid w:val="000D2CE0"/>
    <w:rsid w:val="000F1CC8"/>
    <w:rsid w:val="000F4212"/>
    <w:rsid w:val="0013175D"/>
    <w:rsid w:val="00190709"/>
    <w:rsid w:val="001F4B66"/>
    <w:rsid w:val="00216FAD"/>
    <w:rsid w:val="0023524A"/>
    <w:rsid w:val="00256EC0"/>
    <w:rsid w:val="00261DD8"/>
    <w:rsid w:val="002B2A7E"/>
    <w:rsid w:val="002E1DCD"/>
    <w:rsid w:val="002F2831"/>
    <w:rsid w:val="00312593"/>
    <w:rsid w:val="00322C63"/>
    <w:rsid w:val="00330521"/>
    <w:rsid w:val="00331F4A"/>
    <w:rsid w:val="00354889"/>
    <w:rsid w:val="00362D50"/>
    <w:rsid w:val="003748CE"/>
    <w:rsid w:val="003A0BE1"/>
    <w:rsid w:val="003C6437"/>
    <w:rsid w:val="003C7E0F"/>
    <w:rsid w:val="003D26BE"/>
    <w:rsid w:val="004C6614"/>
    <w:rsid w:val="004D5224"/>
    <w:rsid w:val="004E2E80"/>
    <w:rsid w:val="004E7585"/>
    <w:rsid w:val="0050518C"/>
    <w:rsid w:val="00551CC8"/>
    <w:rsid w:val="00562BB5"/>
    <w:rsid w:val="005A5E93"/>
    <w:rsid w:val="005B354C"/>
    <w:rsid w:val="005C6732"/>
    <w:rsid w:val="00611DF6"/>
    <w:rsid w:val="0064087B"/>
    <w:rsid w:val="00647145"/>
    <w:rsid w:val="006A2D72"/>
    <w:rsid w:val="006B6C08"/>
    <w:rsid w:val="006F741B"/>
    <w:rsid w:val="0071111C"/>
    <w:rsid w:val="007B054F"/>
    <w:rsid w:val="007B1831"/>
    <w:rsid w:val="007D53D4"/>
    <w:rsid w:val="007D66B4"/>
    <w:rsid w:val="007E535D"/>
    <w:rsid w:val="007E5844"/>
    <w:rsid w:val="007F5012"/>
    <w:rsid w:val="00843571"/>
    <w:rsid w:val="00843A37"/>
    <w:rsid w:val="00864645"/>
    <w:rsid w:val="00866051"/>
    <w:rsid w:val="008B490C"/>
    <w:rsid w:val="008E4068"/>
    <w:rsid w:val="008E5DC8"/>
    <w:rsid w:val="00917034"/>
    <w:rsid w:val="009400B2"/>
    <w:rsid w:val="00981450"/>
    <w:rsid w:val="0099536D"/>
    <w:rsid w:val="00997963"/>
    <w:rsid w:val="00A07A67"/>
    <w:rsid w:val="00A147F3"/>
    <w:rsid w:val="00A23294"/>
    <w:rsid w:val="00A32FA6"/>
    <w:rsid w:val="00A354AF"/>
    <w:rsid w:val="00A7483E"/>
    <w:rsid w:val="00AB6B50"/>
    <w:rsid w:val="00AC0C7D"/>
    <w:rsid w:val="00B1125E"/>
    <w:rsid w:val="00BA6464"/>
    <w:rsid w:val="00BC3451"/>
    <w:rsid w:val="00BC4B01"/>
    <w:rsid w:val="00C21F51"/>
    <w:rsid w:val="00C32563"/>
    <w:rsid w:val="00C720A7"/>
    <w:rsid w:val="00C94D33"/>
    <w:rsid w:val="00C97F88"/>
    <w:rsid w:val="00D16C0A"/>
    <w:rsid w:val="00D71025"/>
    <w:rsid w:val="00D77725"/>
    <w:rsid w:val="00D81699"/>
    <w:rsid w:val="00DD609A"/>
    <w:rsid w:val="00DF5A23"/>
    <w:rsid w:val="00E42AE4"/>
    <w:rsid w:val="00E42F0F"/>
    <w:rsid w:val="00E8061C"/>
    <w:rsid w:val="00E91A42"/>
    <w:rsid w:val="00ED24CA"/>
    <w:rsid w:val="00F30748"/>
    <w:rsid w:val="00F533FD"/>
    <w:rsid w:val="00F66CA9"/>
    <w:rsid w:val="00F743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0B2"/>
    <w:pPr>
      <w:spacing w:line="240" w:lineRule="exact"/>
    </w:pPr>
    <w:rPr>
      <w:sz w:val="24"/>
    </w:rPr>
  </w:style>
  <w:style w:type="paragraph" w:styleId="Heading1">
    <w:name w:val="heading 1"/>
    <w:basedOn w:val="Normal"/>
    <w:next w:val="ParaNumbered"/>
    <w:qFormat/>
    <w:rsid w:val="0050518C"/>
    <w:pPr>
      <w:numPr>
        <w:numId w:val="1"/>
      </w:numPr>
      <w:spacing w:after="240"/>
      <w:jc w:val="center"/>
      <w:outlineLvl w:val="0"/>
    </w:pPr>
    <w:rPr>
      <w:rFonts w:ascii="Times New Roman Bold" w:hAnsi="Times New Roman Bold" w:cs="Arial"/>
      <w:b/>
      <w:bCs/>
      <w:caps/>
      <w:szCs w:val="32"/>
    </w:rPr>
  </w:style>
  <w:style w:type="paragraph" w:styleId="Heading2">
    <w:name w:val="heading 2"/>
    <w:basedOn w:val="Normal"/>
    <w:next w:val="ParaNumbered"/>
    <w:qFormat/>
    <w:rsid w:val="0050518C"/>
    <w:pPr>
      <w:numPr>
        <w:ilvl w:val="1"/>
        <w:numId w:val="1"/>
      </w:numPr>
      <w:spacing w:after="240" w:line="240" w:lineRule="auto"/>
      <w:ind w:left="1440"/>
      <w:outlineLvl w:val="1"/>
    </w:pPr>
    <w:rPr>
      <w:rFonts w:ascii="Times New Roman Bold" w:hAnsi="Times New Roman Bold"/>
      <w:b/>
      <w:szCs w:val="28"/>
    </w:rPr>
  </w:style>
  <w:style w:type="paragraph" w:styleId="Heading3">
    <w:name w:val="heading 3"/>
    <w:basedOn w:val="Normal"/>
    <w:next w:val="ParaNumbered"/>
    <w:qFormat/>
    <w:rsid w:val="0050518C"/>
    <w:pPr>
      <w:numPr>
        <w:ilvl w:val="2"/>
        <w:numId w:val="1"/>
      </w:numPr>
      <w:spacing w:after="240"/>
      <w:ind w:left="2160"/>
      <w:outlineLvl w:val="2"/>
    </w:pPr>
    <w:rPr>
      <w:rFonts w:ascii="Times New Roman Bold" w:hAnsi="Times New Roman Bold" w:cs="Arial"/>
      <w:b/>
      <w:bCs/>
      <w:szCs w:val="26"/>
    </w:rPr>
  </w:style>
  <w:style w:type="paragraph" w:styleId="Heading4">
    <w:name w:val="heading 4"/>
    <w:basedOn w:val="Normal"/>
    <w:next w:val="ParaNumbered"/>
    <w:qFormat/>
    <w:rsid w:val="0050518C"/>
    <w:pPr>
      <w:numPr>
        <w:ilvl w:val="3"/>
        <w:numId w:val="1"/>
      </w:numPr>
      <w:spacing w:after="240"/>
      <w:ind w:left="2880"/>
      <w:outlineLvl w:val="3"/>
    </w:pPr>
    <w:rPr>
      <w:rFonts w:ascii="Times New Roman Bold" w:hAnsi="Times New Roman Bold"/>
      <w:b/>
      <w:bCs/>
      <w:szCs w:val="28"/>
    </w:rPr>
  </w:style>
  <w:style w:type="paragraph" w:styleId="Heading5">
    <w:name w:val="heading 5"/>
    <w:basedOn w:val="Normal"/>
    <w:next w:val="BodyText"/>
    <w:qFormat/>
    <w:rsid w:val="0050518C"/>
    <w:pPr>
      <w:keepNext/>
      <w:keepLines/>
      <w:numPr>
        <w:ilvl w:val="4"/>
        <w:numId w:val="1"/>
      </w:numPr>
      <w:spacing w:after="240"/>
      <w:outlineLvl w:val="4"/>
    </w:pPr>
    <w:rPr>
      <w:rFonts w:ascii="Times New Roman Bold" w:hAnsi="Times New Roman Bold"/>
      <w:b/>
      <w:bCs/>
      <w:iCs/>
      <w:szCs w:val="26"/>
    </w:rPr>
  </w:style>
  <w:style w:type="paragraph" w:styleId="Heading6">
    <w:name w:val="heading 6"/>
    <w:basedOn w:val="Normal"/>
    <w:next w:val="BodyText"/>
    <w:qFormat/>
    <w:rsid w:val="0050518C"/>
    <w:pPr>
      <w:numPr>
        <w:ilvl w:val="5"/>
        <w:numId w:val="1"/>
      </w:numPr>
      <w:spacing w:line="480" w:lineRule="exact"/>
      <w:outlineLvl w:val="5"/>
    </w:pPr>
    <w:rPr>
      <w:bCs/>
      <w:szCs w:val="22"/>
    </w:rPr>
  </w:style>
  <w:style w:type="paragraph" w:styleId="Heading7">
    <w:name w:val="heading 7"/>
    <w:basedOn w:val="Normal"/>
    <w:qFormat/>
    <w:rsid w:val="0050518C"/>
    <w:pPr>
      <w:numPr>
        <w:ilvl w:val="6"/>
        <w:numId w:val="1"/>
      </w:numPr>
      <w:spacing w:line="480" w:lineRule="exact"/>
      <w:outlineLvl w:val="6"/>
    </w:pPr>
    <w:rPr>
      <w:szCs w:val="24"/>
    </w:rPr>
  </w:style>
  <w:style w:type="paragraph" w:styleId="Heading8">
    <w:name w:val="heading 8"/>
    <w:basedOn w:val="Normal"/>
    <w:qFormat/>
    <w:rsid w:val="0050518C"/>
    <w:pPr>
      <w:numPr>
        <w:ilvl w:val="7"/>
        <w:numId w:val="1"/>
      </w:numPr>
      <w:spacing w:line="480" w:lineRule="exact"/>
      <w:outlineLvl w:val="7"/>
    </w:pPr>
    <w:rPr>
      <w:iCs/>
      <w:szCs w:val="24"/>
    </w:rPr>
  </w:style>
  <w:style w:type="paragraph" w:styleId="Heading9">
    <w:name w:val="heading 9"/>
    <w:basedOn w:val="Normal"/>
    <w:qFormat/>
    <w:rsid w:val="0050518C"/>
    <w:pPr>
      <w:numPr>
        <w:ilvl w:val="8"/>
        <w:numId w:val="1"/>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00B2"/>
    <w:pPr>
      <w:spacing w:line="480" w:lineRule="exact"/>
      <w:ind w:firstLine="720"/>
    </w:pPr>
  </w:style>
  <w:style w:type="paragraph" w:styleId="Title">
    <w:name w:val="Title"/>
    <w:basedOn w:val="Normal"/>
    <w:next w:val="BodyText"/>
    <w:qFormat/>
    <w:rsid w:val="009400B2"/>
    <w:pPr>
      <w:keepNext/>
      <w:spacing w:after="240"/>
      <w:jc w:val="center"/>
      <w:outlineLvl w:val="0"/>
    </w:pPr>
    <w:rPr>
      <w:rFonts w:ascii="Times New Roman Bold" w:hAnsi="Times New Roman Bold" w:cs="Arial"/>
      <w:b/>
      <w:bCs/>
      <w:caps/>
      <w:szCs w:val="32"/>
    </w:rPr>
  </w:style>
  <w:style w:type="paragraph" w:customStyle="1" w:styleId="LineNumbers">
    <w:name w:val="LineNumbers"/>
    <w:basedOn w:val="Normal"/>
    <w:semiHidden/>
    <w:rsid w:val="009400B2"/>
    <w:pPr>
      <w:spacing w:line="480" w:lineRule="exact"/>
      <w:jc w:val="right"/>
    </w:pPr>
  </w:style>
  <w:style w:type="paragraph" w:styleId="EnvelopeAddress">
    <w:name w:val="envelope address"/>
    <w:basedOn w:val="Normal"/>
    <w:semiHidden/>
    <w:rsid w:val="009400B2"/>
    <w:pPr>
      <w:framePr w:w="7920" w:h="1980" w:hRule="exact" w:hSpace="180" w:wrap="auto" w:hAnchor="page" w:xAlign="center" w:yAlign="bottom"/>
      <w:spacing w:line="240" w:lineRule="auto"/>
      <w:ind w:left="2880"/>
    </w:pPr>
  </w:style>
  <w:style w:type="paragraph" w:styleId="BodyTextIndent">
    <w:name w:val="Body Text Indent"/>
    <w:basedOn w:val="Normal"/>
    <w:semiHidden/>
    <w:unhideWhenUsed/>
    <w:rsid w:val="009400B2"/>
    <w:pPr>
      <w:spacing w:line="480" w:lineRule="exact"/>
      <w:ind w:left="1440" w:hanging="720"/>
    </w:pPr>
  </w:style>
  <w:style w:type="character" w:styleId="EndnoteReference">
    <w:name w:val="endnote reference"/>
    <w:basedOn w:val="DefaultParagraphFont"/>
    <w:semiHidden/>
    <w:rsid w:val="009400B2"/>
    <w:rPr>
      <w:vertAlign w:val="superscript"/>
    </w:rPr>
  </w:style>
  <w:style w:type="paragraph" w:styleId="Header">
    <w:name w:val="header"/>
    <w:basedOn w:val="Normal"/>
    <w:semiHidden/>
    <w:rsid w:val="009400B2"/>
    <w:pPr>
      <w:tabs>
        <w:tab w:val="center" w:pos="4320"/>
        <w:tab w:val="right" w:pos="8640"/>
      </w:tabs>
      <w:spacing w:line="240" w:lineRule="auto"/>
    </w:pPr>
  </w:style>
  <w:style w:type="paragraph" w:styleId="Footer">
    <w:name w:val="footer"/>
    <w:basedOn w:val="Normal"/>
    <w:semiHidden/>
    <w:rsid w:val="009400B2"/>
    <w:pPr>
      <w:tabs>
        <w:tab w:val="center" w:pos="4680"/>
        <w:tab w:val="right" w:pos="9360"/>
      </w:tabs>
      <w:ind w:right="3600"/>
    </w:pPr>
  </w:style>
  <w:style w:type="character" w:styleId="PageNumber">
    <w:name w:val="page number"/>
    <w:basedOn w:val="DefaultParagraphFont"/>
    <w:semiHidden/>
    <w:rsid w:val="009400B2"/>
  </w:style>
  <w:style w:type="paragraph" w:styleId="TOAHeading">
    <w:name w:val="toa heading"/>
    <w:basedOn w:val="Normal"/>
    <w:next w:val="Normal"/>
    <w:semiHidden/>
    <w:rsid w:val="009400B2"/>
    <w:pPr>
      <w:spacing w:after="240" w:line="240" w:lineRule="auto"/>
    </w:pPr>
    <w:rPr>
      <w:rFonts w:ascii="Times New Roman Bold" w:hAnsi="Times New Roman Bold" w:cs="Arial"/>
      <w:b/>
      <w:bCs/>
      <w:smallCaps/>
      <w:szCs w:val="24"/>
    </w:rPr>
  </w:style>
  <w:style w:type="paragraph" w:styleId="TOC1">
    <w:name w:val="toc 1"/>
    <w:basedOn w:val="Normal"/>
    <w:next w:val="Normal"/>
    <w:semiHidden/>
    <w:rsid w:val="009400B2"/>
    <w:pPr>
      <w:tabs>
        <w:tab w:val="right" w:leader="dot" w:pos="9346"/>
      </w:tabs>
      <w:spacing w:after="240" w:line="240" w:lineRule="auto"/>
      <w:ind w:left="720" w:right="720" w:hanging="720"/>
    </w:pPr>
    <w:rPr>
      <w:szCs w:val="24"/>
    </w:rPr>
  </w:style>
  <w:style w:type="paragraph" w:styleId="TOC2">
    <w:name w:val="toc 2"/>
    <w:basedOn w:val="Normal"/>
    <w:next w:val="Normal"/>
    <w:semiHidden/>
    <w:rsid w:val="009400B2"/>
    <w:pPr>
      <w:tabs>
        <w:tab w:val="right" w:leader="dot" w:pos="9346"/>
      </w:tabs>
      <w:spacing w:after="240" w:line="240" w:lineRule="auto"/>
      <w:ind w:left="1440" w:right="720" w:hanging="720"/>
    </w:pPr>
    <w:rPr>
      <w:szCs w:val="24"/>
    </w:rPr>
  </w:style>
  <w:style w:type="paragraph" w:styleId="EndnoteText">
    <w:name w:val="endnote text"/>
    <w:basedOn w:val="Normal"/>
    <w:semiHidden/>
    <w:rsid w:val="009400B2"/>
    <w:pPr>
      <w:spacing w:line="240" w:lineRule="auto"/>
    </w:pPr>
    <w:rPr>
      <w:sz w:val="20"/>
    </w:rPr>
  </w:style>
  <w:style w:type="paragraph" w:customStyle="1" w:styleId="Quotation">
    <w:name w:val="Quotation"/>
    <w:basedOn w:val="Normal"/>
    <w:next w:val="BodyTextLeft"/>
    <w:rsid w:val="009400B2"/>
    <w:pPr>
      <w:spacing w:after="240" w:line="240" w:lineRule="auto"/>
      <w:ind w:left="1440" w:right="1440"/>
    </w:pPr>
    <w:rPr>
      <w:szCs w:val="24"/>
    </w:rPr>
  </w:style>
  <w:style w:type="paragraph" w:styleId="TOC3">
    <w:name w:val="toc 3"/>
    <w:basedOn w:val="Normal"/>
    <w:next w:val="Normal"/>
    <w:semiHidden/>
    <w:rsid w:val="009400B2"/>
    <w:pPr>
      <w:tabs>
        <w:tab w:val="right" w:leader="dot" w:pos="9346"/>
      </w:tabs>
      <w:spacing w:after="240" w:line="240" w:lineRule="auto"/>
      <w:ind w:left="2160" w:right="720" w:hanging="720"/>
    </w:pPr>
  </w:style>
  <w:style w:type="character" w:styleId="FootnoteReference">
    <w:name w:val="footnote reference"/>
    <w:basedOn w:val="DefaultParagraphFont"/>
    <w:semiHidden/>
    <w:rsid w:val="009400B2"/>
    <w:rPr>
      <w:vertAlign w:val="superscript"/>
    </w:rPr>
  </w:style>
  <w:style w:type="paragraph" w:styleId="FootnoteText">
    <w:name w:val="footnote text"/>
    <w:basedOn w:val="Normal"/>
    <w:rsid w:val="009400B2"/>
    <w:pPr>
      <w:spacing w:after="120" w:line="240" w:lineRule="auto"/>
      <w:ind w:firstLine="187"/>
    </w:pPr>
    <w:rPr>
      <w:sz w:val="20"/>
    </w:rPr>
  </w:style>
  <w:style w:type="paragraph" w:styleId="TOC4">
    <w:name w:val="toc 4"/>
    <w:basedOn w:val="Normal"/>
    <w:next w:val="Normal"/>
    <w:semiHidden/>
    <w:rsid w:val="009400B2"/>
    <w:pPr>
      <w:tabs>
        <w:tab w:val="right" w:leader="dot" w:pos="9346"/>
      </w:tabs>
      <w:spacing w:after="240" w:line="240" w:lineRule="auto"/>
      <w:ind w:left="2880" w:right="720" w:hanging="720"/>
    </w:pPr>
    <w:rPr>
      <w:szCs w:val="24"/>
    </w:rPr>
  </w:style>
  <w:style w:type="paragraph" w:styleId="Signature">
    <w:name w:val="Signature"/>
    <w:basedOn w:val="Normal"/>
    <w:semiHidden/>
    <w:rsid w:val="009400B2"/>
    <w:pPr>
      <w:tabs>
        <w:tab w:val="left" w:pos="4806"/>
        <w:tab w:val="right" w:pos="9360"/>
      </w:tabs>
      <w:ind w:left="4320"/>
    </w:pPr>
  </w:style>
  <w:style w:type="paragraph" w:styleId="TOC5">
    <w:name w:val="toc 5"/>
    <w:basedOn w:val="Normal"/>
    <w:next w:val="Normal"/>
    <w:semiHidden/>
    <w:rsid w:val="009400B2"/>
    <w:pPr>
      <w:tabs>
        <w:tab w:val="right" w:leader="dot" w:pos="9346"/>
      </w:tabs>
      <w:spacing w:after="240" w:line="240" w:lineRule="auto"/>
      <w:ind w:left="3600" w:right="720" w:hanging="720"/>
    </w:pPr>
    <w:rPr>
      <w:szCs w:val="24"/>
    </w:rPr>
  </w:style>
  <w:style w:type="paragraph" w:customStyle="1" w:styleId="PleadingTitle">
    <w:name w:val="PleadingTitle"/>
    <w:basedOn w:val="Normal"/>
    <w:next w:val="Normal"/>
    <w:semiHidden/>
    <w:rsid w:val="009400B2"/>
    <w:pPr>
      <w:ind w:right="346"/>
    </w:pPr>
    <w:rPr>
      <w:caps/>
    </w:rPr>
  </w:style>
  <w:style w:type="paragraph" w:customStyle="1" w:styleId="BodyTextLeft">
    <w:name w:val="Body Text Left"/>
    <w:basedOn w:val="BodyText"/>
    <w:next w:val="BodyText"/>
    <w:rsid w:val="009400B2"/>
    <w:pPr>
      <w:ind w:firstLine="0"/>
    </w:pPr>
  </w:style>
  <w:style w:type="paragraph" w:customStyle="1" w:styleId="BodyTextSingle">
    <w:name w:val="Body Text Single"/>
    <w:basedOn w:val="BodyText"/>
    <w:rsid w:val="009400B2"/>
    <w:pPr>
      <w:spacing w:after="240" w:line="240" w:lineRule="exact"/>
    </w:pPr>
  </w:style>
  <w:style w:type="paragraph" w:styleId="Date">
    <w:name w:val="Date"/>
    <w:basedOn w:val="BodyText"/>
    <w:next w:val="Signature"/>
    <w:semiHidden/>
    <w:rsid w:val="009400B2"/>
    <w:pPr>
      <w:keepNext/>
      <w:keepLines/>
    </w:pPr>
  </w:style>
  <w:style w:type="character" w:customStyle="1" w:styleId="CaseNumber">
    <w:name w:val="CaseNumber"/>
    <w:basedOn w:val="DefaultParagraphFont"/>
    <w:semiHidden/>
    <w:rsid w:val="009400B2"/>
  </w:style>
  <w:style w:type="paragraph" w:customStyle="1" w:styleId="DoubleSpacing">
    <w:name w:val="Double Spacing"/>
    <w:basedOn w:val="Normal"/>
    <w:semiHidden/>
    <w:rsid w:val="009400B2"/>
    <w:pPr>
      <w:spacing w:line="508" w:lineRule="exact"/>
    </w:pPr>
  </w:style>
  <w:style w:type="paragraph" w:customStyle="1" w:styleId="SingleSpacing">
    <w:name w:val="Single Spacing"/>
    <w:basedOn w:val="Normal"/>
    <w:rsid w:val="009400B2"/>
    <w:pPr>
      <w:spacing w:line="254" w:lineRule="exact"/>
    </w:pPr>
  </w:style>
  <w:style w:type="paragraph" w:customStyle="1" w:styleId="FirmName">
    <w:name w:val="Firm Name"/>
    <w:basedOn w:val="Normal"/>
    <w:semiHidden/>
    <w:rsid w:val="009400B2"/>
    <w:pPr>
      <w:spacing w:line="254" w:lineRule="exact"/>
      <w:jc w:val="center"/>
    </w:pPr>
  </w:style>
  <w:style w:type="paragraph" w:customStyle="1" w:styleId="AttorneyName">
    <w:name w:val="Attorney Name"/>
    <w:basedOn w:val="SingleSpacing"/>
    <w:semiHidden/>
    <w:rsid w:val="009400B2"/>
  </w:style>
  <w:style w:type="paragraph" w:customStyle="1" w:styleId="FirmNameSLG">
    <w:name w:val="Firm Name SLG"/>
    <w:basedOn w:val="Normal"/>
    <w:semiHidden/>
    <w:rsid w:val="009400B2"/>
    <w:pPr>
      <w:spacing w:line="240" w:lineRule="auto"/>
      <w:ind w:left="4680"/>
    </w:pPr>
  </w:style>
  <w:style w:type="paragraph" w:styleId="TableofAuthorities">
    <w:name w:val="table of authorities"/>
    <w:basedOn w:val="Normal"/>
    <w:next w:val="Normal"/>
    <w:semiHidden/>
    <w:rsid w:val="009400B2"/>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rsid w:val="009400B2"/>
    <w:pPr>
      <w:spacing w:after="160"/>
    </w:pPr>
    <w:rPr>
      <w:rFonts w:ascii="Verdana" w:hAnsi="Verdana" w:cs="Verdana"/>
      <w:sz w:val="20"/>
    </w:rPr>
  </w:style>
  <w:style w:type="paragraph" w:customStyle="1" w:styleId="ParaAlpha">
    <w:name w:val="Para Alpha"/>
    <w:basedOn w:val="Normal"/>
    <w:rsid w:val="009400B2"/>
    <w:pPr>
      <w:numPr>
        <w:numId w:val="2"/>
      </w:numPr>
      <w:tabs>
        <w:tab w:val="clear" w:pos="0"/>
      </w:tabs>
      <w:spacing w:line="480" w:lineRule="exact"/>
    </w:pPr>
  </w:style>
  <w:style w:type="paragraph" w:customStyle="1" w:styleId="ParaNumbered">
    <w:name w:val="Para Numbered"/>
    <w:basedOn w:val="Normal"/>
    <w:rsid w:val="00C97F88"/>
    <w:pPr>
      <w:numPr>
        <w:numId w:val="3"/>
      </w:numPr>
      <w:spacing w:line="480" w:lineRule="exact"/>
    </w:pPr>
    <w:rPr>
      <w:szCs w:val="24"/>
    </w:rPr>
  </w:style>
  <w:style w:type="paragraph" w:styleId="BalloonText">
    <w:name w:val="Balloon Text"/>
    <w:basedOn w:val="Normal"/>
    <w:link w:val="BalloonTextChar"/>
    <w:semiHidden/>
    <w:rsid w:val="009400B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00B2"/>
    <w:rPr>
      <w:rFonts w:ascii="Tahoma" w:hAnsi="Tahoma" w:cs="Tahoma"/>
      <w:sz w:val="16"/>
      <w:szCs w:val="16"/>
    </w:rPr>
  </w:style>
  <w:style w:type="paragraph" w:styleId="Subtitle">
    <w:name w:val="Subtitle"/>
    <w:basedOn w:val="Normal"/>
    <w:next w:val="Normal"/>
    <w:link w:val="SubtitleChar"/>
    <w:uiPriority w:val="11"/>
    <w:qFormat/>
    <w:rsid w:val="009400B2"/>
    <w:pPr>
      <w:numPr>
        <w:ilvl w:val="1"/>
      </w:numPr>
      <w:spacing w:after="240" w:line="240" w:lineRule="auto"/>
      <w:jc w:val="center"/>
      <w:outlineLvl w:val="0"/>
    </w:pPr>
    <w:rPr>
      <w:rFonts w:ascii="Times New Roman Bold" w:hAnsi="Times New Roman Bold"/>
      <w:b/>
      <w:iCs/>
      <w:szCs w:val="24"/>
    </w:rPr>
  </w:style>
  <w:style w:type="character" w:customStyle="1" w:styleId="SubtitleChar">
    <w:name w:val="Subtitle Char"/>
    <w:basedOn w:val="DefaultParagraphFont"/>
    <w:link w:val="Subtitle"/>
    <w:uiPriority w:val="11"/>
    <w:rsid w:val="009400B2"/>
    <w:rPr>
      <w:rFonts w:ascii="Times New Roman Bold" w:eastAsia="Times New Roman" w:hAnsi="Times New Roman Bold" w:cs="Times New Roman"/>
      <w:b/>
      <w:iCs/>
      <w:sz w:val="24"/>
      <w:szCs w:val="24"/>
    </w:rPr>
  </w:style>
  <w:style w:type="table" w:styleId="TableGrid">
    <w:name w:val="Table Grid"/>
    <w:basedOn w:val="TableNormal"/>
    <w:rsid w:val="007D66B4"/>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D66B4"/>
    <w:rPr>
      <w:szCs w:val="24"/>
    </w:rPr>
  </w:style>
  <w:style w:type="character" w:styleId="Hyperlink">
    <w:name w:val="Hyperlink"/>
    <w:basedOn w:val="DefaultParagraphFont"/>
    <w:rsid w:val="007D66B4"/>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3AB2A8C9042F4C81243F26D499F7CC" ma:contentTypeVersion="131" ma:contentTypeDescription="" ma:contentTypeScope="" ma:versionID="6aeee4557f067cf74ac743d82f93c5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2010-09-15T07:00:00+00:00</OpenedDate>
    <Date1 xmlns="dc463f71-b30c-4ab2-9473-d307f9d35888">2011-03-11T08:00:00+00:00</Date1>
    <IsDocumentOrder xmlns="dc463f71-b30c-4ab2-9473-d307f9d35888" xsi:nil="true"/>
    <IsHighlyConfidential xmlns="dc463f71-b30c-4ab2-9473-d307f9d35888">false</IsHighlyConfidential>
    <CaseCompanyNames xmlns="dc463f71-b30c-4ab2-9473-d307f9d35888">Mason County Garbage Co., Inc.</CaseCompanyNames>
    <DocketNumber xmlns="dc463f71-b30c-4ab2-9473-d307f9d35888">101542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7E99F63-FB6E-4C0C-BB59-03AFDB2EA199}"/>
</file>

<file path=customXml/itemProps2.xml><?xml version="1.0" encoding="utf-8"?>
<ds:datastoreItem xmlns:ds="http://schemas.openxmlformats.org/officeDocument/2006/customXml" ds:itemID="{ECBA7407-1E5B-46B4-ABA9-8E9C24B39933}"/>
</file>

<file path=customXml/itemProps3.xml><?xml version="1.0" encoding="utf-8"?>
<ds:datastoreItem xmlns:ds="http://schemas.openxmlformats.org/officeDocument/2006/customXml" ds:itemID="{9E97729E-B8C2-45E1-BEE8-FB091B7FB28D}"/>
</file>

<file path=customXml/itemProps4.xml><?xml version="1.0" encoding="utf-8"?>
<ds:datastoreItem xmlns:ds="http://schemas.openxmlformats.org/officeDocument/2006/customXml" ds:itemID="{19F9A42D-AD86-469D-BC59-A5C78C3E66CF}"/>
</file>

<file path=docProps/app.xml><?xml version="1.0" encoding="utf-8"?>
<Properties xmlns="http://schemas.openxmlformats.org/officeDocument/2006/extended-properties" xmlns:vt="http://schemas.openxmlformats.org/officeDocument/2006/docPropsVTypes">
  <Template>Normal</Template>
  <TotalTime>0</TotalTime>
  <Pages>3</Pages>
  <Words>3063</Words>
  <Characters>17031</Characters>
  <Application>Microsoft Office Word</Application>
  <DocSecurity>0</DocSecurity>
  <Lines>383</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2008-08-12T23:11:00Z</cp:lastPrinted>
  <dcterms:created xsi:type="dcterms:W3CDTF">2011-03-11T22:47:00Z</dcterms:created>
  <dcterms:modified xsi:type="dcterms:W3CDTF">2011-03-11T22:47:00Z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0x0101006E56B4D1795A2E4DB2F0B01679ED314A001D3AB2A8C9042F4C81243F26D499F7CC</vt:lpwstr>
  </property>
  <property fmtid="{D5CDD505-2E9C-101B-9397-08002B2CF9AE}" pid="3" name="_docset_NoMedatataSyncRequired">
    <vt:lpwstr>False</vt:lpwstr>
  </property>
</Properties>
</file>