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443D2" w14:textId="77777777"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14:paraId="146443D3" w14:textId="77777777" w:rsidR="00FD536A" w:rsidRDefault="00FD536A">
      <w:pPr>
        <w:pStyle w:val="Heading3"/>
      </w:pPr>
      <w:r>
        <w:t>RESPONSE TO REQUEST FOR INFORMATION</w:t>
      </w:r>
    </w:p>
    <w:p w14:paraId="146443D4" w14:textId="77777777" w:rsidR="00FD536A" w:rsidRDefault="00FD536A">
      <w:pPr>
        <w:jc w:val="center"/>
        <w:rPr>
          <w:b/>
          <w:bCs/>
          <w:sz w:val="24"/>
          <w:szCs w:val="24"/>
        </w:rPr>
      </w:pPr>
    </w:p>
    <w:p w14:paraId="146443D5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7D6101">
        <w:t>0</w:t>
      </w:r>
      <w:r w:rsidR="002C5773">
        <w:t>9</w:t>
      </w:r>
      <w:r w:rsidR="007D6101">
        <w:t>/</w:t>
      </w:r>
      <w:r w:rsidR="00436673">
        <w:t>27</w:t>
      </w:r>
      <w:r w:rsidR="007D6101">
        <w:t>/2017</w:t>
      </w:r>
    </w:p>
    <w:p w14:paraId="146443D6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7D6101">
        <w:t>70485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7D6101">
        <w:t>70486</w:t>
      </w:r>
      <w:r>
        <w:tab/>
        <w:t>WITNESS:</w:t>
      </w:r>
      <w:r>
        <w:tab/>
      </w:r>
      <w:r w:rsidR="00F731E6">
        <w:tab/>
      </w:r>
      <w:r w:rsidR="00F731E6">
        <w:tab/>
      </w:r>
      <w:r w:rsidR="00ED3CF0">
        <w:t>Elizabeth Andrews</w:t>
      </w:r>
    </w:p>
    <w:p w14:paraId="146443D7" w14:textId="77777777"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7D6101">
        <w:t>UTC Staff</w:t>
      </w:r>
      <w:r w:rsidR="00ED3CF0">
        <w:t xml:space="preserve"> - Huang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ED3CF0">
        <w:t>Annette Brandon</w:t>
      </w:r>
    </w:p>
    <w:p w14:paraId="146443D8" w14:textId="77777777"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r w:rsidR="00941853">
        <w:tab/>
      </w:r>
      <w:r w:rsidR="001D4BE0">
        <w:t>State &amp; Federal Regulation</w:t>
      </w:r>
    </w:p>
    <w:p w14:paraId="146443D9" w14:textId="77777777"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1A3F42">
        <w:t>Staff</w:t>
      </w:r>
      <w:r w:rsidR="00144F53">
        <w:t xml:space="preserve"> </w:t>
      </w:r>
      <w:r w:rsidR="001B4062">
        <w:t>–</w:t>
      </w:r>
      <w:r w:rsidR="00144F53">
        <w:t xml:space="preserve"> </w:t>
      </w:r>
      <w:r w:rsidR="00A71650">
        <w:t>249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ED3CF0">
        <w:t>4324</w:t>
      </w:r>
    </w:p>
    <w:p w14:paraId="146443DA" w14:textId="77777777" w:rsidR="00FD536A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ED3CF0">
        <w:rPr>
          <w:sz w:val="24"/>
          <w:szCs w:val="24"/>
        </w:rPr>
        <w:t>annette.brandon</w:t>
      </w:r>
      <w:r w:rsidR="001D4BE0">
        <w:rPr>
          <w:sz w:val="24"/>
          <w:szCs w:val="24"/>
        </w:rPr>
        <w:t>@avistacorp.com</w:t>
      </w:r>
    </w:p>
    <w:p w14:paraId="146443DB" w14:textId="77777777"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14:paraId="146443DC" w14:textId="77777777"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14:paraId="146443DD" w14:textId="77777777" w:rsidR="00A71650" w:rsidRDefault="00A71650" w:rsidP="0043667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Cs/>
          <w:sz w:val="24"/>
          <w:szCs w:val="24"/>
        </w:rPr>
      </w:pPr>
    </w:p>
    <w:p w14:paraId="146443DE" w14:textId="77777777" w:rsidR="00436673" w:rsidRPr="00436673" w:rsidRDefault="00436673" w:rsidP="0043667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880"/>
        </w:tabs>
        <w:rPr>
          <w:bCs/>
          <w:sz w:val="24"/>
          <w:szCs w:val="24"/>
        </w:rPr>
      </w:pPr>
      <w:r w:rsidRPr="00436673">
        <w:rPr>
          <w:bCs/>
          <w:sz w:val="24"/>
          <w:szCs w:val="24"/>
        </w:rPr>
        <w:t xml:space="preserve">Referring to Elizabeth Andrews’ workpapers at page 2.15-01 for Adjustment 2.15, Restate Incentives, the 2016-total actual incentive payout to Non-Executive officers was $11,329,869.  According to Avista’s response to Staff Data Request No. 64, however, the 2016-total actual incentive payout to Non-Executive officers was $9,597,784.  Please explain the contradiction in the total incentive payout for non-executive officers in 2016 and reconcile the difference. </w:t>
      </w:r>
    </w:p>
    <w:p w14:paraId="146443DF" w14:textId="77777777" w:rsidR="00814A3B" w:rsidRDefault="00814A3B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</w:p>
    <w:p w14:paraId="146443E0" w14:textId="77777777" w:rsidR="00ED3CF0" w:rsidRPr="000C1CF1" w:rsidRDefault="00ED3CF0" w:rsidP="00845397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146443E1" w14:textId="77777777" w:rsidR="000C1CF1" w:rsidRDefault="00FD536A" w:rsidP="00436673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  <w:r w:rsidR="00DD7E29">
        <w:rPr>
          <w:sz w:val="24"/>
          <w:szCs w:val="24"/>
        </w:rPr>
        <w:t xml:space="preserve"> </w:t>
      </w:r>
    </w:p>
    <w:p w14:paraId="146443E2" w14:textId="77777777" w:rsidR="005D7BDD" w:rsidRDefault="005D7BDD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146443E3" w14:textId="77777777" w:rsidR="005D7BDD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Non-Executive Officer incentive compensation amount of $11,329,869 was the </w:t>
      </w:r>
      <w:r w:rsidRPr="00436673">
        <w:rPr>
          <w:sz w:val="24"/>
          <w:szCs w:val="24"/>
          <w:u w:val="single"/>
        </w:rPr>
        <w:t>accrual (expense)</w:t>
      </w:r>
      <w:r>
        <w:rPr>
          <w:sz w:val="24"/>
          <w:szCs w:val="24"/>
        </w:rPr>
        <w:t xml:space="preserve"> amount for the calendar year 2016</w:t>
      </w:r>
      <w:r w:rsidR="001638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63891">
        <w:rPr>
          <w:sz w:val="24"/>
          <w:szCs w:val="24"/>
        </w:rPr>
        <w:t xml:space="preserve"> </w:t>
      </w:r>
      <w:r>
        <w:rPr>
          <w:sz w:val="24"/>
          <w:szCs w:val="24"/>
        </w:rPr>
        <w:t>This amount represents both the incentive accrual and the payroll tax accrual.</w:t>
      </w:r>
      <w:bookmarkStart w:id="0" w:name="_GoBack"/>
      <w:bookmarkEnd w:id="0"/>
    </w:p>
    <w:p w14:paraId="146443E4" w14:textId="77777777" w:rsidR="00436673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146443E5" w14:textId="77777777" w:rsidR="005237AA" w:rsidRDefault="009F74AB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Company’s response to Staff_DR_064</w:t>
      </w:r>
      <w:r w:rsidR="00436673">
        <w:rPr>
          <w:sz w:val="24"/>
          <w:szCs w:val="24"/>
        </w:rPr>
        <w:t xml:space="preserve"> </w:t>
      </w:r>
      <w:r w:rsidR="005237AA">
        <w:rPr>
          <w:sz w:val="24"/>
          <w:szCs w:val="24"/>
        </w:rPr>
        <w:t>requested the following:</w:t>
      </w:r>
    </w:p>
    <w:p w14:paraId="146443E6" w14:textId="77777777" w:rsidR="005237AA" w:rsidRDefault="005237AA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146443E7" w14:textId="77777777" w:rsidR="005237AA" w:rsidRDefault="00436673" w:rsidP="005237AA">
      <w:pPr>
        <w:tabs>
          <w:tab w:val="left" w:pos="1890"/>
          <w:tab w:val="left" w:pos="4320"/>
          <w:tab w:val="left" w:pos="6480"/>
        </w:tabs>
        <w:ind w:left="720" w:right="1314"/>
        <w:jc w:val="both"/>
        <w:rPr>
          <w:bCs/>
          <w:sz w:val="24"/>
          <w:szCs w:val="24"/>
        </w:rPr>
      </w:pPr>
      <w:r>
        <w:rPr>
          <w:sz w:val="24"/>
          <w:szCs w:val="24"/>
        </w:rPr>
        <w:t>“</w:t>
      </w:r>
      <w:r w:rsidRPr="00DD7E29">
        <w:rPr>
          <w:bCs/>
          <w:sz w:val="24"/>
          <w:szCs w:val="24"/>
        </w:rPr>
        <w:t xml:space="preserve">Please provide both the targeted incentive amounts </w:t>
      </w:r>
      <w:r w:rsidRPr="00436673">
        <w:rPr>
          <w:bCs/>
          <w:sz w:val="24"/>
          <w:szCs w:val="24"/>
          <w:u w:val="single"/>
        </w:rPr>
        <w:t>established by human resources</w:t>
      </w:r>
      <w:r w:rsidRPr="00DD7E29">
        <w:rPr>
          <w:bCs/>
          <w:sz w:val="24"/>
          <w:szCs w:val="24"/>
        </w:rPr>
        <w:t xml:space="preserve"> and the </w:t>
      </w:r>
      <w:r w:rsidRPr="005237AA">
        <w:rPr>
          <w:bCs/>
          <w:sz w:val="24"/>
          <w:szCs w:val="24"/>
          <w:u w:val="single"/>
        </w:rPr>
        <w:t>actual</w:t>
      </w:r>
      <w:r w:rsidRPr="00DD7E29">
        <w:rPr>
          <w:bCs/>
          <w:sz w:val="24"/>
          <w:szCs w:val="24"/>
        </w:rPr>
        <w:t xml:space="preserve"> incentive-based compensation </w:t>
      </w:r>
      <w:r w:rsidRPr="00436673">
        <w:rPr>
          <w:bCs/>
          <w:sz w:val="24"/>
          <w:szCs w:val="24"/>
          <w:u w:val="single"/>
        </w:rPr>
        <w:t>paid-out</w:t>
      </w:r>
      <w:r w:rsidRPr="00DD7E29">
        <w:rPr>
          <w:bCs/>
          <w:sz w:val="24"/>
          <w:szCs w:val="24"/>
        </w:rPr>
        <w:t xml:space="preserve"> to Non-Executive Officers and Executive Officers in each year from 2011 through 2016.</w:t>
      </w:r>
      <w:r>
        <w:rPr>
          <w:bCs/>
          <w:sz w:val="24"/>
          <w:szCs w:val="24"/>
        </w:rPr>
        <w:t xml:space="preserve">” </w:t>
      </w:r>
      <w:r w:rsidR="005237AA">
        <w:rPr>
          <w:bCs/>
          <w:sz w:val="24"/>
          <w:szCs w:val="24"/>
        </w:rPr>
        <w:t>(emphasis added)</w:t>
      </w:r>
    </w:p>
    <w:p w14:paraId="146443E8" w14:textId="77777777" w:rsidR="005237AA" w:rsidRDefault="005237AA" w:rsidP="00DD7E29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</w:p>
    <w:p w14:paraId="146443E9" w14:textId="77777777" w:rsidR="00B47854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amount actually </w:t>
      </w:r>
      <w:r w:rsidRPr="009F4CC7">
        <w:rPr>
          <w:bCs/>
          <w:sz w:val="24"/>
          <w:szCs w:val="24"/>
          <w:u w:val="single"/>
        </w:rPr>
        <w:t xml:space="preserve">paid out </w:t>
      </w:r>
      <w:r>
        <w:rPr>
          <w:bCs/>
          <w:sz w:val="24"/>
          <w:szCs w:val="24"/>
        </w:rPr>
        <w:t>to employees</w:t>
      </w:r>
      <w:r w:rsidR="009F4CC7">
        <w:rPr>
          <w:bCs/>
          <w:sz w:val="24"/>
          <w:szCs w:val="24"/>
        </w:rPr>
        <w:t xml:space="preserve">, </w:t>
      </w:r>
      <w:r w:rsidR="009F4CC7" w:rsidRPr="005237AA">
        <w:rPr>
          <w:bCs/>
          <w:sz w:val="24"/>
          <w:szCs w:val="24"/>
          <w:u w:val="single"/>
        </w:rPr>
        <w:t>established by human resources</w:t>
      </w:r>
      <w:r w:rsidR="009F4CC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does not include payroll taxes </w:t>
      </w:r>
      <w:r w:rsidR="009F4CC7">
        <w:rPr>
          <w:bCs/>
          <w:sz w:val="24"/>
          <w:szCs w:val="24"/>
        </w:rPr>
        <w:t>(</w:t>
      </w:r>
      <w:r w:rsidR="004B777C">
        <w:rPr>
          <w:bCs/>
          <w:sz w:val="24"/>
          <w:szCs w:val="24"/>
        </w:rPr>
        <w:t xml:space="preserve">as noted in </w:t>
      </w:r>
      <w:r>
        <w:rPr>
          <w:bCs/>
          <w:sz w:val="24"/>
          <w:szCs w:val="24"/>
        </w:rPr>
        <w:t>cell A5 and A6 of workpaper</w:t>
      </w:r>
      <w:r w:rsidR="009F4CC7">
        <w:rPr>
          <w:bCs/>
          <w:sz w:val="24"/>
          <w:szCs w:val="24"/>
        </w:rPr>
        <w:t xml:space="preserve"> in Staff_DR_064 Attachment A). </w:t>
      </w:r>
      <w:r w:rsidR="005237AA">
        <w:rPr>
          <w:bCs/>
          <w:sz w:val="24"/>
          <w:szCs w:val="24"/>
        </w:rPr>
        <w:t xml:space="preserve">In addition, post-closing </w:t>
      </w:r>
      <w:r w:rsidR="00B47854">
        <w:rPr>
          <w:bCs/>
          <w:sz w:val="24"/>
          <w:szCs w:val="24"/>
        </w:rPr>
        <w:t>manual adjustments have been made for a variety of reasons such as pro-rated job changes, union/non-union transfers, etc.</w:t>
      </w:r>
    </w:p>
    <w:p w14:paraId="146443EA" w14:textId="77777777" w:rsidR="00436673" w:rsidRDefault="005237AA" w:rsidP="00DD7E29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146443EB" w14:textId="77777777" w:rsidR="00436673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following is a reconciliation between the amounts provided in Workpaper 2.15-01 for Adjustment 2.15 and </w:t>
      </w:r>
      <w:r w:rsidR="009F74AB">
        <w:rPr>
          <w:bCs/>
          <w:sz w:val="24"/>
          <w:szCs w:val="24"/>
        </w:rPr>
        <w:t xml:space="preserve">the Company’s response to </w:t>
      </w:r>
      <w:r>
        <w:rPr>
          <w:bCs/>
          <w:sz w:val="24"/>
          <w:szCs w:val="24"/>
        </w:rPr>
        <w:t>Staff</w:t>
      </w:r>
      <w:r w:rsidR="009F74AB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DR</w:t>
      </w:r>
      <w:r w:rsidR="009F74AB">
        <w:rPr>
          <w:bCs/>
          <w:sz w:val="24"/>
          <w:szCs w:val="24"/>
        </w:rPr>
        <w:t>_0</w:t>
      </w:r>
      <w:r>
        <w:rPr>
          <w:bCs/>
          <w:sz w:val="24"/>
          <w:szCs w:val="24"/>
        </w:rPr>
        <w:t>64:</w:t>
      </w:r>
    </w:p>
    <w:p w14:paraId="146443EC" w14:textId="77777777" w:rsidR="00436673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bCs/>
          <w:sz w:val="24"/>
          <w:szCs w:val="24"/>
        </w:rPr>
      </w:pPr>
    </w:p>
    <w:tbl>
      <w:tblPr>
        <w:tblStyle w:val="TableGrid"/>
        <w:tblW w:w="9540" w:type="dxa"/>
        <w:tblInd w:w="265" w:type="dxa"/>
        <w:tblLook w:val="04A0" w:firstRow="1" w:lastRow="0" w:firstColumn="1" w:lastColumn="0" w:noHBand="0" w:noVBand="1"/>
      </w:tblPr>
      <w:tblGrid>
        <w:gridCol w:w="6390"/>
        <w:gridCol w:w="3150"/>
      </w:tblGrid>
      <w:tr w:rsidR="00436673" w14:paraId="146443EF" w14:textId="77777777" w:rsidTr="005237AA">
        <w:tc>
          <w:tcPr>
            <w:tcW w:w="6390" w:type="dxa"/>
          </w:tcPr>
          <w:p w14:paraId="146443ED" w14:textId="77777777" w:rsidR="00436673" w:rsidRPr="005237AA" w:rsidRDefault="00436673" w:rsidP="005237AA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b/>
                <w:sz w:val="24"/>
                <w:szCs w:val="24"/>
              </w:rPr>
            </w:pPr>
            <w:r w:rsidRPr="005237A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50" w:type="dxa"/>
          </w:tcPr>
          <w:p w14:paraId="146443EE" w14:textId="77777777" w:rsidR="00436673" w:rsidRPr="005237AA" w:rsidRDefault="00F96A8F" w:rsidP="00C957E9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b/>
                <w:sz w:val="24"/>
                <w:szCs w:val="24"/>
              </w:rPr>
            </w:pPr>
            <w:r w:rsidRPr="005237AA">
              <w:rPr>
                <w:b/>
                <w:sz w:val="24"/>
                <w:szCs w:val="24"/>
              </w:rPr>
              <w:t>Amount $</w:t>
            </w:r>
          </w:p>
        </w:tc>
      </w:tr>
      <w:tr w:rsidR="00436673" w14:paraId="146443F2" w14:textId="77777777" w:rsidTr="005237AA">
        <w:tc>
          <w:tcPr>
            <w:tcW w:w="6390" w:type="dxa"/>
          </w:tcPr>
          <w:p w14:paraId="146443F0" w14:textId="77777777" w:rsidR="00436673" w:rsidRPr="00F96A8F" w:rsidRDefault="00F96A8F" w:rsidP="00DD7E29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b/>
                <w:sz w:val="24"/>
                <w:szCs w:val="24"/>
              </w:rPr>
            </w:pPr>
            <w:r w:rsidRPr="00F96A8F">
              <w:rPr>
                <w:b/>
                <w:sz w:val="24"/>
                <w:szCs w:val="24"/>
              </w:rPr>
              <w:t>Actual Incentive Payout</w:t>
            </w:r>
          </w:p>
        </w:tc>
        <w:tc>
          <w:tcPr>
            <w:tcW w:w="3150" w:type="dxa"/>
          </w:tcPr>
          <w:p w14:paraId="146443F1" w14:textId="77777777" w:rsidR="00436673" w:rsidRPr="00F96A8F" w:rsidRDefault="00F96A8F" w:rsidP="00C957E9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b/>
                <w:sz w:val="24"/>
                <w:szCs w:val="24"/>
              </w:rPr>
            </w:pPr>
            <w:r w:rsidRPr="00F96A8F">
              <w:rPr>
                <w:b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F96A8F">
              <w:rPr>
                <w:b/>
                <w:sz w:val="24"/>
                <w:szCs w:val="24"/>
              </w:rPr>
              <w:t>9,597,784</w:t>
            </w:r>
          </w:p>
        </w:tc>
      </w:tr>
      <w:tr w:rsidR="00436673" w14:paraId="146443F5" w14:textId="77777777" w:rsidTr="005237AA">
        <w:tc>
          <w:tcPr>
            <w:tcW w:w="6390" w:type="dxa"/>
          </w:tcPr>
          <w:p w14:paraId="146443F3" w14:textId="77777777" w:rsidR="00436673" w:rsidRDefault="00F96A8F" w:rsidP="00F96A8F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Year-end Payroll Tax Accrual</w:t>
            </w:r>
          </w:p>
        </w:tc>
        <w:tc>
          <w:tcPr>
            <w:tcW w:w="3150" w:type="dxa"/>
          </w:tcPr>
          <w:p w14:paraId="146443F4" w14:textId="77777777" w:rsidR="00436673" w:rsidRDefault="00F96A8F" w:rsidP="00C957E9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1,052,118</w:t>
            </w:r>
          </w:p>
        </w:tc>
      </w:tr>
      <w:tr w:rsidR="00436673" w14:paraId="146443F8" w14:textId="77777777" w:rsidTr="005237AA">
        <w:tc>
          <w:tcPr>
            <w:tcW w:w="6390" w:type="dxa"/>
          </w:tcPr>
          <w:p w14:paraId="146443F6" w14:textId="77777777" w:rsidR="00436673" w:rsidRDefault="00F96A8F" w:rsidP="00163891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Tax True-Up to Actual</w:t>
            </w:r>
          </w:p>
        </w:tc>
        <w:tc>
          <w:tcPr>
            <w:tcW w:w="3150" w:type="dxa"/>
          </w:tcPr>
          <w:p w14:paraId="146443F7" w14:textId="77777777" w:rsidR="00F96A8F" w:rsidRDefault="00163891" w:rsidP="00C957E9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    528,927</w:t>
            </w:r>
          </w:p>
        </w:tc>
      </w:tr>
      <w:tr w:rsidR="00163891" w14:paraId="146443FB" w14:textId="77777777" w:rsidTr="005237AA">
        <w:tc>
          <w:tcPr>
            <w:tcW w:w="6390" w:type="dxa"/>
          </w:tcPr>
          <w:p w14:paraId="146443F9" w14:textId="77777777" w:rsidR="00163891" w:rsidRPr="009F4CC7" w:rsidRDefault="00885094" w:rsidP="005237AA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Misc. (pro-rated job changes, </w:t>
            </w:r>
            <w:r w:rsidR="00C957E9">
              <w:rPr>
                <w:sz w:val="24"/>
                <w:szCs w:val="24"/>
              </w:rPr>
              <w:t xml:space="preserve">union/non-union transfer, </w:t>
            </w:r>
            <w:r>
              <w:rPr>
                <w:sz w:val="24"/>
                <w:szCs w:val="24"/>
              </w:rPr>
              <w:t>etc.)</w:t>
            </w:r>
          </w:p>
        </w:tc>
        <w:tc>
          <w:tcPr>
            <w:tcW w:w="3150" w:type="dxa"/>
          </w:tcPr>
          <w:p w14:paraId="146443FA" w14:textId="77777777" w:rsidR="00163891" w:rsidRPr="00C957E9" w:rsidRDefault="009F4CC7" w:rsidP="00C957E9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sz w:val="24"/>
                <w:szCs w:val="24"/>
                <w:u w:val="single"/>
              </w:rPr>
            </w:pPr>
            <w:r w:rsidRPr="00C957E9">
              <w:rPr>
                <w:sz w:val="24"/>
                <w:szCs w:val="24"/>
                <w:u w:val="single"/>
              </w:rPr>
              <w:t>$     151,040</w:t>
            </w:r>
          </w:p>
        </w:tc>
      </w:tr>
      <w:tr w:rsidR="00F96A8F" w14:paraId="146443FE" w14:textId="77777777" w:rsidTr="005237AA">
        <w:tc>
          <w:tcPr>
            <w:tcW w:w="6390" w:type="dxa"/>
          </w:tcPr>
          <w:p w14:paraId="146443FC" w14:textId="77777777" w:rsidR="00F96A8F" w:rsidRPr="00F96A8F" w:rsidRDefault="00F96A8F" w:rsidP="00F96A8F">
            <w:pPr>
              <w:tabs>
                <w:tab w:val="left" w:pos="1890"/>
                <w:tab w:val="left" w:pos="4320"/>
                <w:tab w:val="left" w:pos="6480"/>
              </w:tabs>
              <w:jc w:val="both"/>
              <w:rPr>
                <w:b/>
                <w:sz w:val="24"/>
                <w:szCs w:val="24"/>
              </w:rPr>
            </w:pPr>
            <w:r w:rsidRPr="00F96A8F">
              <w:rPr>
                <w:b/>
                <w:sz w:val="24"/>
                <w:szCs w:val="24"/>
              </w:rPr>
              <w:t>Incentive Compensation Expense</w:t>
            </w:r>
          </w:p>
        </w:tc>
        <w:tc>
          <w:tcPr>
            <w:tcW w:w="3150" w:type="dxa"/>
          </w:tcPr>
          <w:p w14:paraId="146443FD" w14:textId="77777777" w:rsidR="00F96A8F" w:rsidRPr="00F96A8F" w:rsidRDefault="00F96A8F" w:rsidP="00C957E9">
            <w:pPr>
              <w:tabs>
                <w:tab w:val="left" w:pos="1890"/>
                <w:tab w:val="left" w:pos="4320"/>
                <w:tab w:val="left" w:pos="6480"/>
              </w:tabs>
              <w:jc w:val="center"/>
              <w:rPr>
                <w:b/>
                <w:sz w:val="24"/>
                <w:szCs w:val="24"/>
              </w:rPr>
            </w:pPr>
            <w:r w:rsidRPr="00F96A8F">
              <w:rPr>
                <w:b/>
                <w:sz w:val="24"/>
                <w:szCs w:val="24"/>
              </w:rPr>
              <w:t>$11,329,869</w:t>
            </w:r>
          </w:p>
        </w:tc>
      </w:tr>
    </w:tbl>
    <w:p w14:paraId="146443FF" w14:textId="77777777" w:rsidR="00436673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14644400" w14:textId="77777777" w:rsidR="00436673" w:rsidRDefault="00436673" w:rsidP="00DD7E29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sectPr w:rsidR="00436673" w:rsidSect="00941853">
      <w:headerReference w:type="default" r:id="rId11"/>
      <w:footerReference w:type="default" r:id="rId12"/>
      <w:footerReference w:type="first" r:id="rId13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44403" w14:textId="77777777" w:rsidR="005C56B4" w:rsidRDefault="005C56B4">
      <w:r>
        <w:separator/>
      </w:r>
    </w:p>
  </w:endnote>
  <w:endnote w:type="continuationSeparator" w:id="0">
    <w:p w14:paraId="14644404" w14:textId="77777777" w:rsidR="005C56B4" w:rsidRDefault="005C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44406" w14:textId="77777777"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DD2DE7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DD2DE7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44407" w14:textId="77777777"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50719C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44401" w14:textId="77777777" w:rsidR="005C56B4" w:rsidRDefault="005C56B4">
      <w:r>
        <w:separator/>
      </w:r>
    </w:p>
  </w:footnote>
  <w:footnote w:type="continuationSeparator" w:id="0">
    <w:p w14:paraId="14644402" w14:textId="77777777" w:rsidR="005C56B4" w:rsidRDefault="005C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44405" w14:textId="77777777"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764FD7"/>
    <w:multiLevelType w:val="hybridMultilevel"/>
    <w:tmpl w:val="5E94E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3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4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7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9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2" w15:restartNumberingAfterBreak="0">
    <w:nsid w:val="662B4E49"/>
    <w:multiLevelType w:val="hybridMultilevel"/>
    <w:tmpl w:val="3C8C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0"/>
  </w:num>
  <w:num w:numId="5">
    <w:abstractNumId w:val="26"/>
  </w:num>
  <w:num w:numId="6">
    <w:abstractNumId w:val="23"/>
  </w:num>
  <w:num w:numId="7">
    <w:abstractNumId w:val="8"/>
  </w:num>
  <w:num w:numId="8">
    <w:abstractNumId w:val="25"/>
  </w:num>
  <w:num w:numId="9">
    <w:abstractNumId w:val="3"/>
  </w:num>
  <w:num w:numId="10">
    <w:abstractNumId w:val="17"/>
  </w:num>
  <w:num w:numId="11">
    <w:abstractNumId w:val="2"/>
  </w:num>
  <w:num w:numId="12">
    <w:abstractNumId w:val="9"/>
  </w:num>
  <w:num w:numId="13">
    <w:abstractNumId w:val="27"/>
  </w:num>
  <w:num w:numId="14">
    <w:abstractNumId w:val="5"/>
  </w:num>
  <w:num w:numId="15">
    <w:abstractNumId w:val="6"/>
  </w:num>
  <w:num w:numId="16">
    <w:abstractNumId w:val="7"/>
  </w:num>
  <w:num w:numId="17">
    <w:abstractNumId w:val="15"/>
  </w:num>
  <w:num w:numId="18">
    <w:abstractNumId w:val="21"/>
  </w:num>
  <w:num w:numId="19">
    <w:abstractNumId w:val="10"/>
  </w:num>
  <w:num w:numId="20">
    <w:abstractNumId w:val="13"/>
  </w:num>
  <w:num w:numId="21">
    <w:abstractNumId w:val="1"/>
  </w:num>
  <w:num w:numId="22">
    <w:abstractNumId w:val="19"/>
  </w:num>
  <w:num w:numId="23">
    <w:abstractNumId w:val="14"/>
  </w:num>
  <w:num w:numId="24">
    <w:abstractNumId w:val="11"/>
  </w:num>
  <w:num w:numId="25">
    <w:abstractNumId w:val="24"/>
  </w:num>
  <w:num w:numId="26">
    <w:abstractNumId w:val="20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0588A"/>
    <w:rsid w:val="0001142D"/>
    <w:rsid w:val="000121D0"/>
    <w:rsid w:val="000158A8"/>
    <w:rsid w:val="000177E6"/>
    <w:rsid w:val="00023B8E"/>
    <w:rsid w:val="00056C64"/>
    <w:rsid w:val="00081D52"/>
    <w:rsid w:val="00085DDA"/>
    <w:rsid w:val="000B7150"/>
    <w:rsid w:val="000C1CF1"/>
    <w:rsid w:val="000D45C7"/>
    <w:rsid w:val="000E4CDD"/>
    <w:rsid w:val="000E629D"/>
    <w:rsid w:val="001004DE"/>
    <w:rsid w:val="0011273E"/>
    <w:rsid w:val="0012408C"/>
    <w:rsid w:val="00135055"/>
    <w:rsid w:val="00144F53"/>
    <w:rsid w:val="001454A9"/>
    <w:rsid w:val="00147B76"/>
    <w:rsid w:val="00147CD2"/>
    <w:rsid w:val="00153C42"/>
    <w:rsid w:val="001622DD"/>
    <w:rsid w:val="00162781"/>
    <w:rsid w:val="00163891"/>
    <w:rsid w:val="00175A9C"/>
    <w:rsid w:val="00177390"/>
    <w:rsid w:val="00186A26"/>
    <w:rsid w:val="001A3F42"/>
    <w:rsid w:val="001B03C0"/>
    <w:rsid w:val="001B4062"/>
    <w:rsid w:val="001D4BE0"/>
    <w:rsid w:val="001E06F3"/>
    <w:rsid w:val="001E07A6"/>
    <w:rsid w:val="001F2C4B"/>
    <w:rsid w:val="001F6472"/>
    <w:rsid w:val="0020683A"/>
    <w:rsid w:val="002146D9"/>
    <w:rsid w:val="0023118E"/>
    <w:rsid w:val="00236EDE"/>
    <w:rsid w:val="002677D5"/>
    <w:rsid w:val="00285078"/>
    <w:rsid w:val="002B16E6"/>
    <w:rsid w:val="002C5773"/>
    <w:rsid w:val="002C68DE"/>
    <w:rsid w:val="002D4804"/>
    <w:rsid w:val="002D7CC8"/>
    <w:rsid w:val="002E674E"/>
    <w:rsid w:val="003032E5"/>
    <w:rsid w:val="003348C4"/>
    <w:rsid w:val="0036231E"/>
    <w:rsid w:val="00375C8C"/>
    <w:rsid w:val="0038329F"/>
    <w:rsid w:val="00383DD3"/>
    <w:rsid w:val="003A16C6"/>
    <w:rsid w:val="003A3658"/>
    <w:rsid w:val="003A527F"/>
    <w:rsid w:val="003B4E20"/>
    <w:rsid w:val="003B6D09"/>
    <w:rsid w:val="003C0AED"/>
    <w:rsid w:val="003C1D9A"/>
    <w:rsid w:val="003C4ECA"/>
    <w:rsid w:val="003E487F"/>
    <w:rsid w:val="003E50F1"/>
    <w:rsid w:val="003E5732"/>
    <w:rsid w:val="003F39DC"/>
    <w:rsid w:val="00417AA4"/>
    <w:rsid w:val="00422CC4"/>
    <w:rsid w:val="0042642F"/>
    <w:rsid w:val="00436673"/>
    <w:rsid w:val="00446369"/>
    <w:rsid w:val="004977A1"/>
    <w:rsid w:val="004A7704"/>
    <w:rsid w:val="004B777C"/>
    <w:rsid w:val="004C436E"/>
    <w:rsid w:val="004F03CE"/>
    <w:rsid w:val="004F0E06"/>
    <w:rsid w:val="004F4CC6"/>
    <w:rsid w:val="004F7DA8"/>
    <w:rsid w:val="00500F1F"/>
    <w:rsid w:val="0050147C"/>
    <w:rsid w:val="005048A8"/>
    <w:rsid w:val="005050C4"/>
    <w:rsid w:val="0050719C"/>
    <w:rsid w:val="005237AA"/>
    <w:rsid w:val="0055045F"/>
    <w:rsid w:val="00584F14"/>
    <w:rsid w:val="005906BD"/>
    <w:rsid w:val="00591481"/>
    <w:rsid w:val="005A2255"/>
    <w:rsid w:val="005A49F0"/>
    <w:rsid w:val="005C0BD8"/>
    <w:rsid w:val="005C1EDF"/>
    <w:rsid w:val="005C56B4"/>
    <w:rsid w:val="005D72D7"/>
    <w:rsid w:val="005D7BDD"/>
    <w:rsid w:val="005E7C5F"/>
    <w:rsid w:val="006045D3"/>
    <w:rsid w:val="00616EDA"/>
    <w:rsid w:val="00622B45"/>
    <w:rsid w:val="00633F9B"/>
    <w:rsid w:val="00637CFC"/>
    <w:rsid w:val="0064347D"/>
    <w:rsid w:val="006572C3"/>
    <w:rsid w:val="00663AE9"/>
    <w:rsid w:val="00684ADD"/>
    <w:rsid w:val="006A19E8"/>
    <w:rsid w:val="006B544A"/>
    <w:rsid w:val="006D1254"/>
    <w:rsid w:val="0072142C"/>
    <w:rsid w:val="00741CF2"/>
    <w:rsid w:val="00753FE9"/>
    <w:rsid w:val="00754422"/>
    <w:rsid w:val="0077166E"/>
    <w:rsid w:val="00790162"/>
    <w:rsid w:val="007A30D4"/>
    <w:rsid w:val="007B5EE6"/>
    <w:rsid w:val="007C37CA"/>
    <w:rsid w:val="007D6101"/>
    <w:rsid w:val="007E3A66"/>
    <w:rsid w:val="008022DE"/>
    <w:rsid w:val="008074FC"/>
    <w:rsid w:val="00814A3B"/>
    <w:rsid w:val="00824E00"/>
    <w:rsid w:val="00845397"/>
    <w:rsid w:val="00885094"/>
    <w:rsid w:val="00893D6F"/>
    <w:rsid w:val="008C0FAA"/>
    <w:rsid w:val="008D13FC"/>
    <w:rsid w:val="008D1DFC"/>
    <w:rsid w:val="008E3932"/>
    <w:rsid w:val="009052D2"/>
    <w:rsid w:val="009257B1"/>
    <w:rsid w:val="00941853"/>
    <w:rsid w:val="00953064"/>
    <w:rsid w:val="00957712"/>
    <w:rsid w:val="009727ED"/>
    <w:rsid w:val="00980CFB"/>
    <w:rsid w:val="009D51F5"/>
    <w:rsid w:val="009D7503"/>
    <w:rsid w:val="009F23CD"/>
    <w:rsid w:val="009F4CC7"/>
    <w:rsid w:val="009F74AB"/>
    <w:rsid w:val="00A0351B"/>
    <w:rsid w:val="00A13E37"/>
    <w:rsid w:val="00A36FD0"/>
    <w:rsid w:val="00A40CCB"/>
    <w:rsid w:val="00A71650"/>
    <w:rsid w:val="00A825B8"/>
    <w:rsid w:val="00A82D5A"/>
    <w:rsid w:val="00A92E80"/>
    <w:rsid w:val="00A96A19"/>
    <w:rsid w:val="00AA791F"/>
    <w:rsid w:val="00AB5D5A"/>
    <w:rsid w:val="00B0079F"/>
    <w:rsid w:val="00B25021"/>
    <w:rsid w:val="00B41482"/>
    <w:rsid w:val="00B47854"/>
    <w:rsid w:val="00B72352"/>
    <w:rsid w:val="00B76EAC"/>
    <w:rsid w:val="00BA3D86"/>
    <w:rsid w:val="00BB73DC"/>
    <w:rsid w:val="00BD2273"/>
    <w:rsid w:val="00BD5789"/>
    <w:rsid w:val="00BE5116"/>
    <w:rsid w:val="00BE6CB9"/>
    <w:rsid w:val="00C040A5"/>
    <w:rsid w:val="00C35E6B"/>
    <w:rsid w:val="00C3641F"/>
    <w:rsid w:val="00C41F75"/>
    <w:rsid w:val="00C664B0"/>
    <w:rsid w:val="00C73FA6"/>
    <w:rsid w:val="00C83E18"/>
    <w:rsid w:val="00C957E9"/>
    <w:rsid w:val="00CA15F9"/>
    <w:rsid w:val="00CB380D"/>
    <w:rsid w:val="00CD0E81"/>
    <w:rsid w:val="00CD356D"/>
    <w:rsid w:val="00CD4D4E"/>
    <w:rsid w:val="00D03DD1"/>
    <w:rsid w:val="00D04046"/>
    <w:rsid w:val="00D17CE5"/>
    <w:rsid w:val="00D323DF"/>
    <w:rsid w:val="00D376F6"/>
    <w:rsid w:val="00D40664"/>
    <w:rsid w:val="00D41724"/>
    <w:rsid w:val="00D4509F"/>
    <w:rsid w:val="00D51193"/>
    <w:rsid w:val="00D75120"/>
    <w:rsid w:val="00D77A4E"/>
    <w:rsid w:val="00D82930"/>
    <w:rsid w:val="00DA234F"/>
    <w:rsid w:val="00DB4781"/>
    <w:rsid w:val="00DD2DE7"/>
    <w:rsid w:val="00DD7E29"/>
    <w:rsid w:val="00DE5D38"/>
    <w:rsid w:val="00E068B7"/>
    <w:rsid w:val="00E34EF0"/>
    <w:rsid w:val="00E404F2"/>
    <w:rsid w:val="00E410E7"/>
    <w:rsid w:val="00E43DB3"/>
    <w:rsid w:val="00E57798"/>
    <w:rsid w:val="00E64D12"/>
    <w:rsid w:val="00E84C7F"/>
    <w:rsid w:val="00E94E42"/>
    <w:rsid w:val="00EA2239"/>
    <w:rsid w:val="00EC527F"/>
    <w:rsid w:val="00ED1DE2"/>
    <w:rsid w:val="00ED3CF0"/>
    <w:rsid w:val="00ED6C6D"/>
    <w:rsid w:val="00EE30BA"/>
    <w:rsid w:val="00F06D34"/>
    <w:rsid w:val="00F0714E"/>
    <w:rsid w:val="00F07AE1"/>
    <w:rsid w:val="00F268AE"/>
    <w:rsid w:val="00F36F00"/>
    <w:rsid w:val="00F45461"/>
    <w:rsid w:val="00F514A7"/>
    <w:rsid w:val="00F731E6"/>
    <w:rsid w:val="00F80DC1"/>
    <w:rsid w:val="00F87AEC"/>
    <w:rsid w:val="00F96A8F"/>
    <w:rsid w:val="00FA0547"/>
    <w:rsid w:val="00FA4AFD"/>
    <w:rsid w:val="00FB02CC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443D2"/>
  <w15:docId w15:val="{CB7C2EF7-9A75-4E85-8211-6BFEF8BF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uiPriority w:val="99"/>
    <w:rsid w:val="005906BD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,Style 24,Style 30"/>
    <w:basedOn w:val="DefaultParagraphFont"/>
    <w:uiPriority w:val="99"/>
    <w:qFormat/>
    <w:rsid w:val="005906BD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rsid w:val="00845397"/>
  </w:style>
  <w:style w:type="paragraph" w:styleId="ListParagraph">
    <w:name w:val="List Paragraph"/>
    <w:basedOn w:val="Normal"/>
    <w:uiPriority w:val="34"/>
    <w:qFormat/>
    <w:rsid w:val="00DD7E29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ub1">
    <w:name w:val="sub1"/>
    <w:basedOn w:val="Normal"/>
    <w:uiPriority w:val="99"/>
    <w:rsid w:val="0077166E"/>
    <w:pPr>
      <w:tabs>
        <w:tab w:val="left" w:pos="1260"/>
      </w:tabs>
      <w:spacing w:line="360" w:lineRule="atLeast"/>
      <w:ind w:left="900"/>
    </w:pPr>
    <w:rPr>
      <w:rFonts w:ascii="Times" w:hAnsi="Times" w:cs="Times"/>
      <w:sz w:val="24"/>
      <w:szCs w:val="24"/>
    </w:rPr>
  </w:style>
  <w:style w:type="table" w:styleId="TableGrid">
    <w:name w:val="Table Grid"/>
    <w:basedOn w:val="TableNormal"/>
    <w:rsid w:val="0043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B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7CDE1-C0D6-46C3-BF54-08F3C24C35C4}"/>
</file>

<file path=customXml/itemProps2.xml><?xml version="1.0" encoding="utf-8"?>
<ds:datastoreItem xmlns:ds="http://schemas.openxmlformats.org/officeDocument/2006/customXml" ds:itemID="{89034634-B97E-4CA2-A748-BAD8AE7F2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8558E-5101-4A60-A41B-053B003034C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/field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4f70c62-691b-492e-ba59-9d389529a97e"/>
  </ds:schemaRefs>
</ds:datastoreItem>
</file>

<file path=customXml/itemProps4.xml><?xml version="1.0" encoding="utf-8"?>
<ds:datastoreItem xmlns:ds="http://schemas.openxmlformats.org/officeDocument/2006/customXml" ds:itemID="{DD57A350-2573-487E-8D8E-931EBC3038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CC8F249-AD35-4971-844D-256D130E5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AVISTA UTILITIES</vt:lpstr>
    </vt:vector>
  </TitlesOfParts>
  <Company>WWP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Avista Resp to Staff DR 249</dc:title>
  <dc:subject/>
  <dc:creator>Kelly Norwood</dc:creator>
  <cp:keywords/>
  <dc:description/>
  <cp:lastModifiedBy>Gross, Krista (UTC)</cp:lastModifiedBy>
  <cp:revision>6</cp:revision>
  <cp:lastPrinted>2017-10-23T22:16:00Z</cp:lastPrinted>
  <dcterms:created xsi:type="dcterms:W3CDTF">2017-09-26T16:41:00Z</dcterms:created>
  <dcterms:modified xsi:type="dcterms:W3CDTF">2017-10-25T21:40:00Z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