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8918A" w14:textId="77777777" w:rsidR="00F100B0" w:rsidRPr="004A2910" w:rsidRDefault="00F100B0" w:rsidP="009F67A5">
      <w:pPr>
        <w:tabs>
          <w:tab w:val="center" w:pos="4680"/>
        </w:tabs>
        <w:ind w:right="-108" w:hanging="180"/>
        <w:jc w:val="center"/>
      </w:pPr>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14:paraId="79741F8A" w14:textId="77777777" w:rsidR="00F100B0" w:rsidRPr="004A2910" w:rsidRDefault="00F100B0" w:rsidP="00F100B0">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100B0" w:rsidRPr="004A2910" w14:paraId="4DDAA1E9" w14:textId="77777777" w:rsidTr="00487C7C">
        <w:tc>
          <w:tcPr>
            <w:tcW w:w="4590" w:type="dxa"/>
            <w:tcBorders>
              <w:top w:val="single" w:sz="6" w:space="0" w:color="FFFFFF"/>
              <w:left w:val="single" w:sz="6" w:space="0" w:color="FFFFFF"/>
              <w:bottom w:val="single" w:sz="7" w:space="0" w:color="000000"/>
              <w:right w:val="single" w:sz="6" w:space="0" w:color="FFFFFF"/>
            </w:tcBorders>
          </w:tcPr>
          <w:p w14:paraId="76EAEB1D" w14:textId="77777777" w:rsidR="00DB54AF" w:rsidRPr="00DB54AF" w:rsidRDefault="00DB54AF" w:rsidP="00DB54AF">
            <w:pPr>
              <w:rPr>
                <w:szCs w:val="24"/>
              </w:rPr>
            </w:pPr>
            <w:r w:rsidRPr="00DB54AF">
              <w:rPr>
                <w:szCs w:val="24"/>
              </w:rPr>
              <w:t xml:space="preserve">In the Matter of the Petition of </w:t>
            </w:r>
          </w:p>
          <w:p w14:paraId="2D4AACA6" w14:textId="77777777" w:rsidR="00DB54AF" w:rsidRPr="00DB54AF" w:rsidRDefault="00DB54AF" w:rsidP="00DB54AF">
            <w:pPr>
              <w:rPr>
                <w:szCs w:val="24"/>
              </w:rPr>
            </w:pPr>
          </w:p>
          <w:p w14:paraId="24CE328D" w14:textId="77777777" w:rsidR="00DB54AF" w:rsidRPr="00DB54AF" w:rsidRDefault="00DB54AF" w:rsidP="00DB54AF">
            <w:pPr>
              <w:rPr>
                <w:szCs w:val="24"/>
              </w:rPr>
            </w:pPr>
            <w:r w:rsidRPr="00DB54AF">
              <w:rPr>
                <w:szCs w:val="24"/>
              </w:rPr>
              <w:t xml:space="preserve">PUGET SOUND ENERGY </w:t>
            </w:r>
          </w:p>
          <w:p w14:paraId="15760153" w14:textId="77777777" w:rsidR="00DB54AF" w:rsidRPr="00DB54AF" w:rsidRDefault="00DB54AF" w:rsidP="00DB54AF">
            <w:pPr>
              <w:rPr>
                <w:szCs w:val="24"/>
              </w:rPr>
            </w:pPr>
          </w:p>
          <w:p w14:paraId="6B1D862C" w14:textId="77777777" w:rsidR="00DB54AF" w:rsidRPr="00DB54AF" w:rsidRDefault="00DB54AF" w:rsidP="00DB54AF">
            <w:pPr>
              <w:rPr>
                <w:szCs w:val="24"/>
              </w:rPr>
            </w:pPr>
            <w:r w:rsidRPr="00DB54AF">
              <w:rPr>
                <w:szCs w:val="24"/>
              </w:rPr>
              <w:t>For an Accounting Order Authorizing Accounting Treatment Related to Payments for Major Maintenance Activities</w:t>
            </w:r>
          </w:p>
          <w:p w14:paraId="66B12897" w14:textId="77777777" w:rsidR="00AF1BC1" w:rsidRPr="00DB54AF" w:rsidRDefault="00AF1BC1" w:rsidP="00AF1BC1">
            <w:pPr>
              <w:pBdr>
                <w:bottom w:val="single" w:sz="12" w:space="1" w:color="auto"/>
              </w:pBdr>
              <w:rPr>
                <w:szCs w:val="24"/>
              </w:rPr>
            </w:pPr>
          </w:p>
          <w:p w14:paraId="356F0432" w14:textId="77777777" w:rsidR="00AF1BC1" w:rsidRPr="00DB54AF" w:rsidRDefault="00AF1BC1" w:rsidP="00AF1BC1">
            <w:pPr>
              <w:rPr>
                <w:szCs w:val="24"/>
              </w:rPr>
            </w:pPr>
          </w:p>
          <w:p w14:paraId="7F00B5BF" w14:textId="77777777" w:rsidR="00DB54AF" w:rsidRPr="00DB54AF" w:rsidRDefault="00DB54AF" w:rsidP="00DB54AF">
            <w:pPr>
              <w:rPr>
                <w:szCs w:val="24"/>
              </w:rPr>
            </w:pPr>
            <w:r w:rsidRPr="00DB54AF">
              <w:rPr>
                <w:szCs w:val="24"/>
              </w:rPr>
              <w:t>WASHINGTON UTILITIES AND TRANSPORTATION COMMISSION,</w:t>
            </w:r>
          </w:p>
          <w:p w14:paraId="59495A72" w14:textId="77777777" w:rsidR="00DB54AF" w:rsidRPr="00DB54AF" w:rsidRDefault="00DB54AF" w:rsidP="00DB54AF">
            <w:pPr>
              <w:rPr>
                <w:szCs w:val="24"/>
              </w:rPr>
            </w:pPr>
          </w:p>
          <w:p w14:paraId="6E1F9D34" w14:textId="77777777" w:rsidR="00DB54AF" w:rsidRPr="00DB54AF" w:rsidRDefault="00DB54AF" w:rsidP="00DB54AF">
            <w:pPr>
              <w:rPr>
                <w:szCs w:val="24"/>
              </w:rPr>
            </w:pPr>
            <w:r w:rsidRPr="00DB54AF">
              <w:rPr>
                <w:szCs w:val="24"/>
              </w:rPr>
              <w:tab/>
            </w:r>
            <w:r w:rsidRPr="00DB54AF">
              <w:rPr>
                <w:szCs w:val="24"/>
              </w:rPr>
              <w:tab/>
              <w:t>Complainant,</w:t>
            </w:r>
          </w:p>
          <w:p w14:paraId="4DDED345" w14:textId="77777777" w:rsidR="00DB54AF" w:rsidRPr="00DB54AF" w:rsidRDefault="00DB54AF" w:rsidP="00DB54AF">
            <w:pPr>
              <w:rPr>
                <w:szCs w:val="24"/>
              </w:rPr>
            </w:pPr>
            <w:r w:rsidRPr="00DB54AF">
              <w:rPr>
                <w:szCs w:val="24"/>
              </w:rPr>
              <w:t>v.</w:t>
            </w:r>
          </w:p>
          <w:p w14:paraId="785BCFCF" w14:textId="77777777" w:rsidR="00DB54AF" w:rsidRPr="00DB54AF" w:rsidRDefault="00DB54AF" w:rsidP="00DB54AF">
            <w:pPr>
              <w:rPr>
                <w:szCs w:val="24"/>
              </w:rPr>
            </w:pPr>
          </w:p>
          <w:p w14:paraId="75403EEB" w14:textId="77777777" w:rsidR="00DB54AF" w:rsidRPr="00DB54AF" w:rsidRDefault="00DB54AF" w:rsidP="00DB54AF">
            <w:pPr>
              <w:rPr>
                <w:szCs w:val="24"/>
              </w:rPr>
            </w:pPr>
            <w:r w:rsidRPr="00DB54AF">
              <w:rPr>
                <w:szCs w:val="24"/>
              </w:rPr>
              <w:t xml:space="preserve">PUGET SOUND ENERGY </w:t>
            </w:r>
          </w:p>
          <w:p w14:paraId="3CBAADFD" w14:textId="77777777" w:rsidR="00DB54AF" w:rsidRPr="00DB54AF" w:rsidRDefault="00DB54AF" w:rsidP="00DB54AF">
            <w:pPr>
              <w:rPr>
                <w:szCs w:val="24"/>
              </w:rPr>
            </w:pPr>
          </w:p>
          <w:p w14:paraId="60B19D0C" w14:textId="77777777" w:rsidR="00DB54AF" w:rsidRPr="00DB54AF" w:rsidRDefault="00DB54AF" w:rsidP="00DB54AF">
            <w:pPr>
              <w:rPr>
                <w:szCs w:val="24"/>
              </w:rPr>
            </w:pPr>
            <w:r w:rsidRPr="00DB54AF">
              <w:rPr>
                <w:szCs w:val="24"/>
              </w:rPr>
              <w:tab/>
            </w:r>
            <w:r w:rsidRPr="00DB54AF">
              <w:rPr>
                <w:szCs w:val="24"/>
              </w:rPr>
              <w:tab/>
              <w:t>Respondent.</w:t>
            </w:r>
          </w:p>
          <w:p w14:paraId="18E2C2E8" w14:textId="77777777" w:rsidR="00AF1BC1" w:rsidRPr="00DB54AF" w:rsidRDefault="00AF1BC1" w:rsidP="00AF1BC1">
            <w:pPr>
              <w:pBdr>
                <w:bottom w:val="single" w:sz="12" w:space="1" w:color="auto"/>
              </w:pBdr>
              <w:rPr>
                <w:szCs w:val="24"/>
              </w:rPr>
            </w:pPr>
          </w:p>
          <w:p w14:paraId="4E5C0730" w14:textId="77777777" w:rsidR="00AF1BC1" w:rsidRPr="00DB54AF" w:rsidRDefault="00AF1BC1" w:rsidP="00AF1BC1">
            <w:pPr>
              <w:rPr>
                <w:szCs w:val="24"/>
              </w:rPr>
            </w:pPr>
          </w:p>
          <w:p w14:paraId="3B8C8C29" w14:textId="77777777" w:rsidR="00DB54AF" w:rsidRPr="00DB54AF" w:rsidRDefault="00DB54AF" w:rsidP="00DB54AF">
            <w:pPr>
              <w:rPr>
                <w:szCs w:val="24"/>
              </w:rPr>
            </w:pPr>
            <w:r w:rsidRPr="00DB54AF">
              <w:rPr>
                <w:szCs w:val="24"/>
              </w:rPr>
              <w:t xml:space="preserve">In the Matter of the Petition of </w:t>
            </w:r>
          </w:p>
          <w:p w14:paraId="19E9E4ED" w14:textId="77777777" w:rsidR="00DB54AF" w:rsidRPr="00DB54AF" w:rsidRDefault="00DB54AF" w:rsidP="00DB54AF">
            <w:pPr>
              <w:rPr>
                <w:szCs w:val="24"/>
              </w:rPr>
            </w:pPr>
          </w:p>
          <w:p w14:paraId="3D001E62" w14:textId="77777777" w:rsidR="00DB54AF" w:rsidRPr="00DB54AF" w:rsidRDefault="00DB54AF" w:rsidP="00DB54AF">
            <w:pPr>
              <w:rPr>
                <w:szCs w:val="24"/>
              </w:rPr>
            </w:pPr>
            <w:r w:rsidRPr="00DB54AF">
              <w:rPr>
                <w:szCs w:val="24"/>
              </w:rPr>
              <w:t xml:space="preserve">PUGET SOUND ENERGY </w:t>
            </w:r>
          </w:p>
          <w:p w14:paraId="489A579D" w14:textId="77777777" w:rsidR="00DB54AF" w:rsidRPr="00DB54AF" w:rsidRDefault="00DB54AF" w:rsidP="00DB54AF">
            <w:pPr>
              <w:rPr>
                <w:szCs w:val="24"/>
              </w:rPr>
            </w:pPr>
          </w:p>
          <w:p w14:paraId="641FFCD9" w14:textId="77777777" w:rsidR="00F100B0" w:rsidRPr="00DB54AF" w:rsidRDefault="00DB54AF" w:rsidP="00DB54AF">
            <w:pPr>
              <w:pBdr>
                <w:bottom w:val="single" w:sz="12" w:space="1" w:color="auto"/>
              </w:pBdr>
              <w:rPr>
                <w:szCs w:val="24"/>
              </w:rPr>
            </w:pPr>
            <w:r w:rsidRPr="00DB54AF">
              <w:rPr>
                <w:szCs w:val="24"/>
              </w:rPr>
              <w:t>For an Accounting Order Authorizing Accounting the Sale of the Water Rights and Associated Assets of the Electron Hydroelectric Project in Accordance with WAC 480-143 and RCW 80.12.</w:t>
            </w:r>
            <w:r w:rsidR="00F100B0" w:rsidRPr="00DB54AF">
              <w:rPr>
                <w:szCs w:val="24"/>
              </w:rPr>
              <w:t>.</w:t>
            </w:r>
          </w:p>
          <w:p w14:paraId="3A33F05E" w14:textId="77777777" w:rsidR="00DB54AF" w:rsidRPr="00DB54AF" w:rsidRDefault="00DB54AF" w:rsidP="00DB54AF">
            <w:pPr>
              <w:pBdr>
                <w:bottom w:val="single" w:sz="12" w:space="1" w:color="auto"/>
              </w:pBdr>
              <w:rPr>
                <w:szCs w:val="24"/>
              </w:rPr>
            </w:pPr>
          </w:p>
          <w:p w14:paraId="75991053" w14:textId="77777777" w:rsidR="00DB54AF" w:rsidRPr="00DB54AF" w:rsidRDefault="00DB54AF" w:rsidP="00DB54AF">
            <w:pPr>
              <w:rPr>
                <w:szCs w:val="24"/>
              </w:rPr>
            </w:pPr>
          </w:p>
          <w:p w14:paraId="0C14399D" w14:textId="77777777" w:rsidR="00DB54AF" w:rsidRPr="00DB54AF" w:rsidRDefault="00DB54AF" w:rsidP="00DB54AF">
            <w:pPr>
              <w:rPr>
                <w:szCs w:val="24"/>
              </w:rPr>
            </w:pPr>
            <w:r w:rsidRPr="00DB54AF">
              <w:rPr>
                <w:szCs w:val="24"/>
              </w:rPr>
              <w:t xml:space="preserve">In the Matter of the Application of </w:t>
            </w:r>
          </w:p>
          <w:p w14:paraId="7EF30071" w14:textId="77777777" w:rsidR="00DB54AF" w:rsidRPr="00DB54AF" w:rsidRDefault="00DB54AF" w:rsidP="00DB54AF">
            <w:pPr>
              <w:rPr>
                <w:szCs w:val="24"/>
              </w:rPr>
            </w:pPr>
          </w:p>
          <w:p w14:paraId="4B64E909" w14:textId="77777777" w:rsidR="00DB54AF" w:rsidRPr="00DB54AF" w:rsidRDefault="00DB54AF" w:rsidP="00DB54AF">
            <w:pPr>
              <w:rPr>
                <w:szCs w:val="24"/>
              </w:rPr>
            </w:pPr>
            <w:r w:rsidRPr="00DB54AF">
              <w:rPr>
                <w:szCs w:val="24"/>
              </w:rPr>
              <w:t xml:space="preserve">PUGET SOUND ENERGY, INC., </w:t>
            </w:r>
          </w:p>
          <w:p w14:paraId="794CCD04" w14:textId="77777777" w:rsidR="00DB54AF" w:rsidRPr="00DB54AF" w:rsidRDefault="00DB54AF" w:rsidP="00DB54AF">
            <w:pPr>
              <w:rPr>
                <w:szCs w:val="24"/>
              </w:rPr>
            </w:pPr>
          </w:p>
          <w:p w14:paraId="12620EFD" w14:textId="77777777" w:rsidR="00DB54AF" w:rsidRPr="00DB54AF" w:rsidRDefault="00DB54AF" w:rsidP="00DB54AF">
            <w:pPr>
              <w:rPr>
                <w:szCs w:val="24"/>
              </w:rPr>
            </w:pPr>
            <w:r w:rsidRPr="00DB54AF">
              <w:rPr>
                <w:szCs w:val="24"/>
              </w:rPr>
              <w:t>For an Order Authorizing the Sale of Interests in the Development Assets Required for the Construction and Operation of Phase II of the Lower Snake River Wind Facility</w:t>
            </w:r>
            <w:r w:rsidRPr="00DB54AF">
              <w:rPr>
                <w:i/>
                <w:szCs w:val="24"/>
              </w:rPr>
              <w:t>.</w:t>
            </w:r>
          </w:p>
          <w:p w14:paraId="56E5AF30" w14:textId="77777777" w:rsidR="00F100B0" w:rsidRPr="00DB54AF" w:rsidRDefault="00F100B0" w:rsidP="00E4213C">
            <w:pPr>
              <w:rPr>
                <w:szCs w:val="24"/>
              </w:rPr>
            </w:pPr>
          </w:p>
        </w:tc>
        <w:tc>
          <w:tcPr>
            <w:tcW w:w="4590" w:type="dxa"/>
            <w:tcBorders>
              <w:top w:val="single" w:sz="6" w:space="0" w:color="FFFFFF"/>
              <w:left w:val="single" w:sz="7" w:space="0" w:color="000000"/>
              <w:bottom w:val="single" w:sz="6" w:space="0" w:color="FFFFFF"/>
              <w:right w:val="single" w:sz="6" w:space="0" w:color="FFFFFF"/>
            </w:tcBorders>
          </w:tcPr>
          <w:p w14:paraId="447EB5E1" w14:textId="77777777" w:rsidR="00DB54AF" w:rsidRPr="00BE1447" w:rsidRDefault="00DB54AF" w:rsidP="00DB54AF">
            <w:pPr>
              <w:ind w:left="776"/>
              <w:rPr>
                <w:i/>
                <w:sz w:val="25"/>
                <w:szCs w:val="25"/>
              </w:rPr>
            </w:pPr>
            <w:r w:rsidRPr="00DB09AD">
              <w:rPr>
                <w:sz w:val="25"/>
                <w:szCs w:val="25"/>
              </w:rPr>
              <w:t xml:space="preserve">DOCKET </w:t>
            </w:r>
            <w:r w:rsidRPr="00DB09AD">
              <w:rPr>
                <w:bCs/>
                <w:sz w:val="25"/>
                <w:szCs w:val="25"/>
              </w:rPr>
              <w:t>UE-130583</w:t>
            </w:r>
            <w:r>
              <w:rPr>
                <w:bCs/>
                <w:i/>
                <w:sz w:val="25"/>
                <w:szCs w:val="25"/>
              </w:rPr>
              <w:t xml:space="preserve"> (Consolidated)</w:t>
            </w:r>
          </w:p>
          <w:p w14:paraId="4C1452BA" w14:textId="77777777" w:rsidR="00DB54AF" w:rsidRPr="00DB09AD" w:rsidRDefault="00DB54AF" w:rsidP="00DB54AF">
            <w:pPr>
              <w:ind w:left="776"/>
              <w:rPr>
                <w:sz w:val="25"/>
                <w:szCs w:val="25"/>
              </w:rPr>
            </w:pPr>
          </w:p>
          <w:p w14:paraId="42B6892E" w14:textId="77777777" w:rsidR="00DB54AF" w:rsidRPr="00DB09AD" w:rsidRDefault="00DB54AF" w:rsidP="00DB54AF">
            <w:pPr>
              <w:ind w:left="776"/>
              <w:rPr>
                <w:sz w:val="25"/>
                <w:szCs w:val="25"/>
              </w:rPr>
            </w:pPr>
          </w:p>
          <w:p w14:paraId="6FB97ADB" w14:textId="77777777" w:rsidR="00DB54AF" w:rsidRPr="00DB09AD" w:rsidRDefault="00DB54AF" w:rsidP="00DB54AF">
            <w:pPr>
              <w:pStyle w:val="BodyText"/>
              <w:spacing w:after="0"/>
              <w:ind w:left="776"/>
              <w:rPr>
                <w:b/>
                <w:bCs/>
                <w:sz w:val="25"/>
                <w:szCs w:val="25"/>
              </w:rPr>
            </w:pPr>
          </w:p>
          <w:p w14:paraId="39AB18E6" w14:textId="77777777" w:rsidR="00DB54AF" w:rsidRPr="00DB09AD" w:rsidRDefault="00DB54AF" w:rsidP="00DB54AF">
            <w:pPr>
              <w:ind w:left="776"/>
              <w:rPr>
                <w:sz w:val="25"/>
                <w:szCs w:val="25"/>
              </w:rPr>
            </w:pPr>
          </w:p>
          <w:p w14:paraId="73E6F469" w14:textId="77777777" w:rsidR="00DB54AF" w:rsidRPr="00DB09AD" w:rsidRDefault="00DB54AF" w:rsidP="00DB54AF">
            <w:pPr>
              <w:pStyle w:val="Header"/>
              <w:ind w:left="776"/>
              <w:rPr>
                <w:sz w:val="25"/>
                <w:szCs w:val="25"/>
              </w:rPr>
            </w:pPr>
          </w:p>
          <w:p w14:paraId="7E3B5D92" w14:textId="77777777" w:rsidR="00DB54AF" w:rsidRPr="00DB09AD" w:rsidRDefault="00DB54AF" w:rsidP="00DB54AF">
            <w:pPr>
              <w:pStyle w:val="Header"/>
              <w:ind w:left="776"/>
              <w:rPr>
                <w:sz w:val="25"/>
                <w:szCs w:val="25"/>
              </w:rPr>
            </w:pPr>
          </w:p>
          <w:p w14:paraId="4681ACF0" w14:textId="77777777" w:rsidR="00DB54AF" w:rsidRPr="00DB09AD" w:rsidRDefault="00DB54AF" w:rsidP="00DB54AF">
            <w:pPr>
              <w:pStyle w:val="Header"/>
              <w:ind w:left="776"/>
              <w:rPr>
                <w:sz w:val="25"/>
                <w:szCs w:val="25"/>
              </w:rPr>
            </w:pPr>
          </w:p>
          <w:p w14:paraId="77D4599D" w14:textId="77777777" w:rsidR="00DB54AF" w:rsidRPr="00DB09AD" w:rsidRDefault="00DB54AF" w:rsidP="00DB54AF">
            <w:pPr>
              <w:pStyle w:val="Header"/>
              <w:ind w:left="776"/>
              <w:rPr>
                <w:sz w:val="25"/>
                <w:szCs w:val="25"/>
              </w:rPr>
            </w:pPr>
          </w:p>
          <w:p w14:paraId="287EC17D" w14:textId="77777777" w:rsidR="00DB54AF" w:rsidRPr="00DB09AD" w:rsidRDefault="00DB54AF" w:rsidP="00DB54AF">
            <w:pPr>
              <w:pStyle w:val="Header"/>
              <w:ind w:left="776"/>
              <w:rPr>
                <w:sz w:val="25"/>
                <w:szCs w:val="25"/>
              </w:rPr>
            </w:pPr>
            <w:r w:rsidRPr="00DB09AD">
              <w:rPr>
                <w:sz w:val="25"/>
                <w:szCs w:val="25"/>
              </w:rPr>
              <w:t>DOCKET UE-130617</w:t>
            </w:r>
            <w:r>
              <w:rPr>
                <w:sz w:val="25"/>
                <w:szCs w:val="25"/>
              </w:rPr>
              <w:t xml:space="preserve"> </w:t>
            </w:r>
            <w:r>
              <w:rPr>
                <w:bCs/>
                <w:i/>
                <w:sz w:val="25"/>
                <w:szCs w:val="25"/>
              </w:rPr>
              <w:t>(Consolidated)</w:t>
            </w:r>
          </w:p>
          <w:p w14:paraId="21D1B027" w14:textId="77777777" w:rsidR="00DB54AF" w:rsidRPr="00DB09AD" w:rsidRDefault="00DB54AF" w:rsidP="00DB54AF">
            <w:pPr>
              <w:pStyle w:val="Header"/>
              <w:ind w:left="776"/>
              <w:rPr>
                <w:sz w:val="25"/>
                <w:szCs w:val="25"/>
              </w:rPr>
            </w:pPr>
          </w:p>
          <w:p w14:paraId="045F968C" w14:textId="77777777" w:rsidR="00DB54AF" w:rsidRPr="00DB09AD" w:rsidRDefault="00DB54AF" w:rsidP="00DB54AF">
            <w:pPr>
              <w:pStyle w:val="Header"/>
              <w:ind w:left="776"/>
              <w:rPr>
                <w:sz w:val="25"/>
                <w:szCs w:val="25"/>
              </w:rPr>
            </w:pPr>
          </w:p>
          <w:p w14:paraId="621F2C2F" w14:textId="77777777" w:rsidR="00DB54AF" w:rsidRPr="00DB09AD" w:rsidRDefault="00DB54AF" w:rsidP="00DB54AF">
            <w:pPr>
              <w:pStyle w:val="Header"/>
              <w:ind w:left="776"/>
              <w:rPr>
                <w:sz w:val="25"/>
                <w:szCs w:val="25"/>
              </w:rPr>
            </w:pPr>
          </w:p>
          <w:p w14:paraId="60EEF12C" w14:textId="77777777" w:rsidR="00DB54AF" w:rsidRPr="00DB09AD" w:rsidRDefault="00DB54AF" w:rsidP="00DB54AF">
            <w:pPr>
              <w:pStyle w:val="Header"/>
              <w:ind w:left="776"/>
              <w:rPr>
                <w:sz w:val="25"/>
                <w:szCs w:val="25"/>
              </w:rPr>
            </w:pPr>
          </w:p>
          <w:p w14:paraId="49A7069E" w14:textId="77777777" w:rsidR="00DB54AF" w:rsidRPr="00DB09AD" w:rsidRDefault="00DB54AF" w:rsidP="00DB54AF">
            <w:pPr>
              <w:pStyle w:val="Header"/>
              <w:ind w:left="776"/>
              <w:rPr>
                <w:sz w:val="25"/>
                <w:szCs w:val="25"/>
              </w:rPr>
            </w:pPr>
          </w:p>
          <w:p w14:paraId="27B5A8E0" w14:textId="77777777" w:rsidR="00DB54AF" w:rsidRPr="00DB09AD" w:rsidRDefault="00DB54AF" w:rsidP="00DB54AF">
            <w:pPr>
              <w:pStyle w:val="Header"/>
              <w:ind w:left="776"/>
              <w:rPr>
                <w:sz w:val="25"/>
                <w:szCs w:val="25"/>
              </w:rPr>
            </w:pPr>
          </w:p>
          <w:p w14:paraId="7F1C6C2B" w14:textId="77777777" w:rsidR="00DB54AF" w:rsidRPr="00DB09AD" w:rsidRDefault="00DB54AF" w:rsidP="00DB54AF">
            <w:pPr>
              <w:pStyle w:val="Header"/>
              <w:ind w:left="776"/>
              <w:rPr>
                <w:sz w:val="25"/>
                <w:szCs w:val="25"/>
              </w:rPr>
            </w:pPr>
          </w:p>
          <w:p w14:paraId="006EA2D0" w14:textId="77777777" w:rsidR="00DB54AF" w:rsidRPr="00DB09AD" w:rsidRDefault="00DB54AF" w:rsidP="00DB54AF">
            <w:pPr>
              <w:pStyle w:val="Header"/>
              <w:ind w:left="776"/>
              <w:rPr>
                <w:sz w:val="25"/>
                <w:szCs w:val="25"/>
              </w:rPr>
            </w:pPr>
          </w:p>
          <w:p w14:paraId="2F68BC56" w14:textId="77777777" w:rsidR="00DB54AF" w:rsidRPr="00DB09AD" w:rsidRDefault="00DB54AF" w:rsidP="00DB54AF">
            <w:pPr>
              <w:pStyle w:val="Header"/>
              <w:ind w:left="776"/>
              <w:rPr>
                <w:sz w:val="25"/>
                <w:szCs w:val="25"/>
              </w:rPr>
            </w:pPr>
          </w:p>
          <w:p w14:paraId="600E009D" w14:textId="77777777" w:rsidR="00DB54AF" w:rsidRPr="00DB09AD" w:rsidRDefault="00DB54AF" w:rsidP="00DB54AF">
            <w:pPr>
              <w:pStyle w:val="Header"/>
              <w:ind w:left="776"/>
              <w:rPr>
                <w:sz w:val="25"/>
                <w:szCs w:val="25"/>
              </w:rPr>
            </w:pPr>
          </w:p>
          <w:p w14:paraId="143A766B" w14:textId="77777777" w:rsidR="00DB54AF" w:rsidRPr="00DB09AD" w:rsidRDefault="00DB54AF" w:rsidP="00DB54AF">
            <w:pPr>
              <w:pStyle w:val="Header"/>
              <w:ind w:left="776"/>
              <w:rPr>
                <w:sz w:val="25"/>
                <w:szCs w:val="25"/>
              </w:rPr>
            </w:pPr>
            <w:r w:rsidRPr="00DB09AD">
              <w:rPr>
                <w:sz w:val="25"/>
                <w:szCs w:val="25"/>
              </w:rPr>
              <w:t>DOCKET UE-131099</w:t>
            </w:r>
            <w:r>
              <w:rPr>
                <w:sz w:val="25"/>
                <w:szCs w:val="25"/>
              </w:rPr>
              <w:t xml:space="preserve"> </w:t>
            </w:r>
            <w:r>
              <w:rPr>
                <w:bCs/>
                <w:i/>
                <w:sz w:val="25"/>
                <w:szCs w:val="25"/>
              </w:rPr>
              <w:t>(Consolidated)</w:t>
            </w:r>
          </w:p>
          <w:p w14:paraId="21DDADE8" w14:textId="77777777" w:rsidR="00DB54AF" w:rsidRDefault="00DB54AF" w:rsidP="00DB54AF">
            <w:pPr>
              <w:pStyle w:val="Header"/>
              <w:ind w:left="776"/>
              <w:rPr>
                <w:sz w:val="25"/>
                <w:szCs w:val="25"/>
              </w:rPr>
            </w:pPr>
          </w:p>
          <w:p w14:paraId="50655840" w14:textId="77777777" w:rsidR="00DB54AF" w:rsidRDefault="00DB54AF" w:rsidP="00DB54AF">
            <w:pPr>
              <w:pStyle w:val="Header"/>
              <w:ind w:left="776"/>
              <w:rPr>
                <w:sz w:val="25"/>
                <w:szCs w:val="25"/>
              </w:rPr>
            </w:pPr>
          </w:p>
          <w:p w14:paraId="5AF76737" w14:textId="77777777" w:rsidR="00DB54AF" w:rsidRDefault="00DB54AF" w:rsidP="00DB54AF">
            <w:pPr>
              <w:pStyle w:val="Header"/>
              <w:ind w:left="776"/>
              <w:rPr>
                <w:sz w:val="25"/>
                <w:szCs w:val="25"/>
              </w:rPr>
            </w:pPr>
          </w:p>
          <w:p w14:paraId="603F8C42" w14:textId="77777777" w:rsidR="00DB54AF" w:rsidRDefault="00DB54AF" w:rsidP="00DB54AF">
            <w:pPr>
              <w:pStyle w:val="Header"/>
              <w:ind w:left="776"/>
              <w:rPr>
                <w:sz w:val="25"/>
                <w:szCs w:val="25"/>
              </w:rPr>
            </w:pPr>
          </w:p>
          <w:p w14:paraId="00F4B3AC" w14:textId="77777777" w:rsidR="00DB54AF" w:rsidRDefault="00DB54AF" w:rsidP="00DB54AF">
            <w:pPr>
              <w:pStyle w:val="Header"/>
              <w:ind w:left="776"/>
              <w:rPr>
                <w:sz w:val="25"/>
                <w:szCs w:val="25"/>
              </w:rPr>
            </w:pPr>
            <w:bookmarkStart w:id="0" w:name="_GoBack"/>
            <w:bookmarkEnd w:id="0"/>
          </w:p>
          <w:p w14:paraId="469D6BFB" w14:textId="77777777" w:rsidR="00DB54AF" w:rsidRDefault="00DB54AF" w:rsidP="00DB54AF">
            <w:pPr>
              <w:pStyle w:val="Header"/>
              <w:ind w:left="776"/>
              <w:rPr>
                <w:sz w:val="25"/>
                <w:szCs w:val="25"/>
              </w:rPr>
            </w:pPr>
          </w:p>
          <w:p w14:paraId="20445341" w14:textId="77777777" w:rsidR="00DB54AF" w:rsidRDefault="00DB54AF" w:rsidP="00DB54AF">
            <w:pPr>
              <w:pStyle w:val="Header"/>
              <w:ind w:left="776"/>
              <w:rPr>
                <w:sz w:val="25"/>
                <w:szCs w:val="25"/>
              </w:rPr>
            </w:pPr>
          </w:p>
          <w:p w14:paraId="783AA619" w14:textId="77777777" w:rsidR="00DB54AF" w:rsidRPr="00DB54AF" w:rsidRDefault="00DB54AF" w:rsidP="00DB54AF">
            <w:pPr>
              <w:pStyle w:val="Header"/>
              <w:ind w:left="776"/>
              <w:rPr>
                <w:szCs w:val="24"/>
              </w:rPr>
            </w:pPr>
            <w:r w:rsidRPr="00DB54AF">
              <w:rPr>
                <w:szCs w:val="24"/>
              </w:rPr>
              <w:t>DOCKET UE-131230 (</w:t>
            </w:r>
            <w:r w:rsidRPr="00DB54AF">
              <w:rPr>
                <w:i/>
                <w:szCs w:val="24"/>
              </w:rPr>
              <w:t>Consolidated</w:t>
            </w:r>
            <w:r w:rsidRPr="00DB54AF">
              <w:rPr>
                <w:szCs w:val="24"/>
              </w:rPr>
              <w:t>)</w:t>
            </w:r>
          </w:p>
          <w:p w14:paraId="7D0303D7" w14:textId="77777777" w:rsidR="00DB54AF" w:rsidRPr="00DB54AF" w:rsidRDefault="00DB54AF" w:rsidP="00DB54AF">
            <w:pPr>
              <w:pStyle w:val="Header"/>
              <w:ind w:left="776"/>
              <w:rPr>
                <w:szCs w:val="24"/>
              </w:rPr>
            </w:pPr>
          </w:p>
          <w:p w14:paraId="77B74B8F" w14:textId="77777777" w:rsidR="00F100B0" w:rsidRPr="004A2910" w:rsidRDefault="00E4213C" w:rsidP="001F55EF">
            <w:pPr>
              <w:ind w:left="720"/>
            </w:pPr>
            <w:r w:rsidRPr="00DB54AF">
              <w:rPr>
                <w:szCs w:val="24"/>
              </w:rPr>
              <w:t xml:space="preserve">STAFF RESPONSE TO </w:t>
            </w:r>
            <w:r w:rsidR="001F55EF" w:rsidRPr="00DB54AF">
              <w:rPr>
                <w:szCs w:val="24"/>
              </w:rPr>
              <w:t>COMMISSION NOTICE</w:t>
            </w:r>
            <w:r w:rsidR="001F55EF">
              <w:t xml:space="preserve"> </w:t>
            </w:r>
          </w:p>
        </w:tc>
      </w:tr>
    </w:tbl>
    <w:p w14:paraId="57825650" w14:textId="77777777" w:rsidR="00F100B0" w:rsidRDefault="00F100B0" w:rsidP="00F100B0">
      <w:pPr>
        <w:jc w:val="both"/>
      </w:pPr>
    </w:p>
    <w:p w14:paraId="3E361FC4" w14:textId="3BD750D9" w:rsidR="002157A7" w:rsidRDefault="00627F9F" w:rsidP="00627F9F">
      <w:pPr>
        <w:jc w:val="center"/>
        <w:rPr>
          <w:rFonts w:cs="Times New Roman"/>
          <w:b/>
          <w:szCs w:val="24"/>
        </w:rPr>
        <w:sectPr w:rsidR="002157A7" w:rsidSect="002157A7">
          <w:footerReference w:type="default" r:id="rId12"/>
          <w:footerReference w:type="first" r:id="rId13"/>
          <w:pgSz w:w="12240" w:h="15840"/>
          <w:pgMar w:top="1440" w:right="1440" w:bottom="1440" w:left="1872" w:header="720" w:footer="720" w:gutter="0"/>
          <w:pgNumType w:start="1"/>
          <w:cols w:space="720"/>
          <w:titlePg/>
          <w:docGrid w:linePitch="360"/>
        </w:sectPr>
      </w:pPr>
      <w:r w:rsidRPr="00627F9F">
        <w:rPr>
          <w:rFonts w:cs="Times New Roman"/>
          <w:b/>
          <w:szCs w:val="24"/>
        </w:rPr>
        <w:t>NOTE:  THIS DOCUMENT CONTAINS INFORMATION DESIGNATED CONFIDENTIAL IN THIS DOCKET</w:t>
      </w:r>
      <w:r w:rsidR="00594387">
        <w:rPr>
          <w:rFonts w:cs="Times New Roman"/>
          <w:b/>
          <w:szCs w:val="24"/>
        </w:rPr>
        <w:t xml:space="preserve"> PER PROTECTIVE ORDER </w:t>
      </w:r>
    </w:p>
    <w:p w14:paraId="3D6D80D7" w14:textId="77777777" w:rsidR="007E1FCF" w:rsidRPr="007E1FCF" w:rsidRDefault="002157A7" w:rsidP="007E1FCF">
      <w:pPr>
        <w:pStyle w:val="ListParagraph"/>
        <w:spacing w:line="480" w:lineRule="auto"/>
        <w:ind w:left="0"/>
        <w:jc w:val="center"/>
        <w:rPr>
          <w:rFonts w:cs="Times New Roman"/>
          <w:b/>
          <w:szCs w:val="24"/>
        </w:rPr>
      </w:pPr>
      <w:r>
        <w:rPr>
          <w:rFonts w:cs="Times New Roman"/>
          <w:b/>
          <w:szCs w:val="24"/>
        </w:rPr>
        <w:lastRenderedPageBreak/>
        <w:t>SUMMARY</w:t>
      </w:r>
    </w:p>
    <w:p w14:paraId="2CF47B64" w14:textId="77777777" w:rsidR="001F55EF" w:rsidRPr="001F55EF" w:rsidRDefault="001F55EF" w:rsidP="001F55EF">
      <w:pPr>
        <w:pStyle w:val="ListParagraph"/>
        <w:numPr>
          <w:ilvl w:val="1"/>
          <w:numId w:val="6"/>
        </w:numPr>
        <w:spacing w:line="480" w:lineRule="auto"/>
        <w:rPr>
          <w:rFonts w:cs="Times New Roman"/>
          <w:szCs w:val="24"/>
        </w:rPr>
      </w:pPr>
      <w:r>
        <w:rPr>
          <w:rFonts w:cs="Times New Roman"/>
          <w:szCs w:val="24"/>
        </w:rPr>
        <w:tab/>
      </w:r>
      <w:r w:rsidRPr="001F55EF">
        <w:rPr>
          <w:rFonts w:cs="Times New Roman"/>
          <w:szCs w:val="24"/>
        </w:rPr>
        <w:t xml:space="preserve">On July 2, 2014, the Commission issued a Notice of Opportunity to Respond to Amended Application (Notice), relating to the sale of the Electron plant by Puget Sound Energy, Inc. </w:t>
      </w:r>
      <w:r w:rsidR="005F07EE">
        <w:rPr>
          <w:rFonts w:cs="Times New Roman"/>
          <w:szCs w:val="24"/>
        </w:rPr>
        <w:t>(PSE</w:t>
      </w:r>
      <w:r w:rsidR="00941054">
        <w:rPr>
          <w:rFonts w:cs="Times New Roman"/>
          <w:szCs w:val="24"/>
        </w:rPr>
        <w:t xml:space="preserve"> or Company</w:t>
      </w:r>
      <w:r w:rsidR="005F07EE">
        <w:rPr>
          <w:rFonts w:cs="Times New Roman"/>
          <w:szCs w:val="24"/>
        </w:rPr>
        <w:t xml:space="preserve">) </w:t>
      </w:r>
      <w:r w:rsidRPr="001F55EF">
        <w:rPr>
          <w:rFonts w:cs="Times New Roman"/>
          <w:szCs w:val="24"/>
        </w:rPr>
        <w:t xml:space="preserve">to Electron </w:t>
      </w:r>
      <w:r w:rsidR="002374CD">
        <w:rPr>
          <w:rFonts w:cs="Times New Roman"/>
          <w:szCs w:val="24"/>
        </w:rPr>
        <w:t>H</w:t>
      </w:r>
      <w:r w:rsidRPr="001F55EF">
        <w:rPr>
          <w:rFonts w:cs="Times New Roman"/>
          <w:szCs w:val="24"/>
        </w:rPr>
        <w:t>ydro LLC</w:t>
      </w:r>
      <w:r w:rsidR="005F07EE">
        <w:rPr>
          <w:rFonts w:cs="Times New Roman"/>
          <w:szCs w:val="24"/>
        </w:rPr>
        <w:t xml:space="preserve"> (Electron Hydro)</w:t>
      </w:r>
      <w:r w:rsidRPr="001F55EF">
        <w:rPr>
          <w:rFonts w:cs="Times New Roman"/>
          <w:szCs w:val="24"/>
        </w:rPr>
        <w:t xml:space="preserve">.  The materials included in the Amended Application reflect </w:t>
      </w:r>
      <w:r w:rsidR="00603259">
        <w:rPr>
          <w:rFonts w:cs="Times New Roman"/>
          <w:szCs w:val="24"/>
        </w:rPr>
        <w:t xml:space="preserve">material </w:t>
      </w:r>
      <w:r w:rsidRPr="001F55EF">
        <w:rPr>
          <w:rFonts w:cs="Times New Roman"/>
          <w:szCs w:val="24"/>
        </w:rPr>
        <w:t xml:space="preserve">changes to the transaction the Commission conditionally approved in Order 02 in this docket. </w:t>
      </w:r>
      <w:r w:rsidR="002374CD">
        <w:rPr>
          <w:rFonts w:cs="Times New Roman"/>
          <w:szCs w:val="24"/>
        </w:rPr>
        <w:t xml:space="preserve"> </w:t>
      </w:r>
      <w:r w:rsidRPr="001F55EF">
        <w:rPr>
          <w:rFonts w:cs="Times New Roman"/>
          <w:szCs w:val="24"/>
        </w:rPr>
        <w:t>The Notice set a deadline of July 11, 2014, for response to the Amended Application.</w:t>
      </w:r>
    </w:p>
    <w:p w14:paraId="3A2E8983" w14:textId="77777777" w:rsidR="00426BE9" w:rsidRDefault="001F55EF" w:rsidP="00283D6B">
      <w:pPr>
        <w:pStyle w:val="ListParagraph"/>
        <w:numPr>
          <w:ilvl w:val="1"/>
          <w:numId w:val="6"/>
        </w:numPr>
        <w:spacing w:line="480" w:lineRule="auto"/>
        <w:rPr>
          <w:rFonts w:cs="Times New Roman"/>
          <w:szCs w:val="24"/>
        </w:rPr>
      </w:pPr>
      <w:r>
        <w:rPr>
          <w:rFonts w:cs="Times New Roman"/>
          <w:szCs w:val="24"/>
        </w:rPr>
        <w:tab/>
      </w:r>
      <w:r w:rsidR="00426BE9">
        <w:rPr>
          <w:rFonts w:cs="Times New Roman"/>
          <w:szCs w:val="24"/>
        </w:rPr>
        <w:t xml:space="preserve">On July 11, 2014, Commission Staff advised the Commission that it required more time, and that it would </w:t>
      </w:r>
      <w:r w:rsidR="00426BE9" w:rsidRPr="001F55EF">
        <w:rPr>
          <w:rFonts w:cs="Times New Roman"/>
          <w:szCs w:val="24"/>
        </w:rPr>
        <w:t xml:space="preserve">file its response </w:t>
      </w:r>
      <w:r w:rsidR="00426BE9">
        <w:rPr>
          <w:rFonts w:cs="Times New Roman"/>
          <w:szCs w:val="24"/>
        </w:rPr>
        <w:t xml:space="preserve">to PSE’s </w:t>
      </w:r>
      <w:r w:rsidR="00506CC8" w:rsidRPr="001F55EF">
        <w:rPr>
          <w:rFonts w:cs="Times New Roman"/>
          <w:szCs w:val="24"/>
        </w:rPr>
        <w:t>Amended Application</w:t>
      </w:r>
      <w:r w:rsidR="00105687">
        <w:rPr>
          <w:rFonts w:cs="Times New Roman"/>
          <w:szCs w:val="24"/>
        </w:rPr>
        <w:t xml:space="preserve"> </w:t>
      </w:r>
      <w:r w:rsidR="00426BE9" w:rsidRPr="001F55EF">
        <w:rPr>
          <w:rFonts w:cs="Times New Roman"/>
          <w:szCs w:val="24"/>
        </w:rPr>
        <w:t>on or before July 18, 2014.</w:t>
      </w:r>
      <w:r w:rsidR="00426BE9">
        <w:rPr>
          <w:rFonts w:cs="Times New Roman"/>
          <w:szCs w:val="24"/>
        </w:rPr>
        <w:t xml:space="preserve">  Staff </w:t>
      </w:r>
      <w:r w:rsidR="00C773CD">
        <w:rPr>
          <w:rFonts w:cs="Times New Roman"/>
          <w:szCs w:val="24"/>
        </w:rPr>
        <w:t xml:space="preserve">offers </w:t>
      </w:r>
      <w:r w:rsidR="00426BE9">
        <w:rPr>
          <w:rFonts w:cs="Times New Roman"/>
          <w:szCs w:val="24"/>
        </w:rPr>
        <w:t>the following recommendation to the Commission.</w:t>
      </w:r>
    </w:p>
    <w:p w14:paraId="265E4CCB" w14:textId="77777777" w:rsidR="003411F4" w:rsidRDefault="00426BE9" w:rsidP="00105687">
      <w:pPr>
        <w:pStyle w:val="ListParagraph"/>
        <w:numPr>
          <w:ilvl w:val="1"/>
          <w:numId w:val="6"/>
        </w:numPr>
        <w:spacing w:line="480" w:lineRule="auto"/>
        <w:rPr>
          <w:rFonts w:cs="Times New Roman"/>
          <w:szCs w:val="24"/>
        </w:rPr>
      </w:pPr>
      <w:r w:rsidRPr="00105687">
        <w:rPr>
          <w:rFonts w:cs="Times New Roman"/>
          <w:szCs w:val="24"/>
        </w:rPr>
        <w:t xml:space="preserve"> </w:t>
      </w:r>
      <w:r w:rsidRPr="00105687">
        <w:rPr>
          <w:rFonts w:cs="Times New Roman"/>
          <w:szCs w:val="24"/>
        </w:rPr>
        <w:tab/>
      </w:r>
      <w:r w:rsidR="00105687" w:rsidRPr="00105687">
        <w:rPr>
          <w:rFonts w:cs="Times New Roman"/>
          <w:szCs w:val="24"/>
        </w:rPr>
        <w:t>Staff recommends the Commission</w:t>
      </w:r>
      <w:r w:rsidR="003164FB">
        <w:rPr>
          <w:rFonts w:cs="Times New Roman"/>
          <w:szCs w:val="24"/>
        </w:rPr>
        <w:t xml:space="preserve"> approve</w:t>
      </w:r>
      <w:r w:rsidR="003411F4">
        <w:rPr>
          <w:rFonts w:cs="Times New Roman"/>
          <w:szCs w:val="24"/>
        </w:rPr>
        <w:t>:</w:t>
      </w:r>
    </w:p>
    <w:p w14:paraId="0AB4D84C" w14:textId="77777777" w:rsidR="003164FB" w:rsidRDefault="003164FB" w:rsidP="003164FB">
      <w:pPr>
        <w:pStyle w:val="ListParagraph"/>
        <w:numPr>
          <w:ilvl w:val="2"/>
          <w:numId w:val="6"/>
        </w:numPr>
        <w:spacing w:line="480" w:lineRule="auto"/>
        <w:ind w:left="1350"/>
        <w:rPr>
          <w:rFonts w:cs="Times New Roman"/>
          <w:szCs w:val="24"/>
        </w:rPr>
      </w:pPr>
      <w:r>
        <w:rPr>
          <w:rFonts w:cs="Times New Roman"/>
          <w:szCs w:val="24"/>
        </w:rPr>
        <w:t xml:space="preserve">The </w:t>
      </w:r>
      <w:r w:rsidRPr="00105687">
        <w:rPr>
          <w:rFonts w:cs="Times New Roman"/>
          <w:szCs w:val="24"/>
        </w:rPr>
        <w:t>sale of PSE’s Electron Project to Electron</w:t>
      </w:r>
      <w:r>
        <w:rPr>
          <w:rFonts w:cs="Times New Roman"/>
          <w:szCs w:val="24"/>
        </w:rPr>
        <w:t xml:space="preserve"> Hydro under the originally </w:t>
      </w:r>
      <w:r w:rsidRPr="00105687">
        <w:rPr>
          <w:rFonts w:cs="Times New Roman"/>
          <w:szCs w:val="24"/>
        </w:rPr>
        <w:t>filed Asset Purchase Agreement (Agreement)</w:t>
      </w:r>
      <w:r>
        <w:rPr>
          <w:rFonts w:cs="Times New Roman"/>
          <w:szCs w:val="24"/>
        </w:rPr>
        <w:t xml:space="preserve"> as amended in Exhibit F-5</w:t>
      </w:r>
      <w:r>
        <w:rPr>
          <w:rStyle w:val="FootnoteReference"/>
          <w:rFonts w:cs="Times New Roman"/>
          <w:szCs w:val="24"/>
        </w:rPr>
        <w:footnoteReference w:id="1"/>
      </w:r>
      <w:r>
        <w:rPr>
          <w:rFonts w:cs="Times New Roman"/>
          <w:szCs w:val="24"/>
        </w:rPr>
        <w:t xml:space="preserve"> of PSE’s </w:t>
      </w:r>
      <w:r w:rsidR="00C773CD">
        <w:rPr>
          <w:rFonts w:cs="Times New Roman"/>
          <w:szCs w:val="24"/>
        </w:rPr>
        <w:t>Amended Application</w:t>
      </w:r>
      <w:r>
        <w:rPr>
          <w:rFonts w:cs="Times New Roman"/>
          <w:szCs w:val="24"/>
        </w:rPr>
        <w:t xml:space="preserve">; and  </w:t>
      </w:r>
    </w:p>
    <w:p w14:paraId="56DA9933" w14:textId="77777777" w:rsidR="00105687" w:rsidRPr="00105687" w:rsidRDefault="003164FB" w:rsidP="003411F4">
      <w:pPr>
        <w:pStyle w:val="ListParagraph"/>
        <w:numPr>
          <w:ilvl w:val="2"/>
          <w:numId w:val="6"/>
        </w:numPr>
        <w:spacing w:line="480" w:lineRule="auto"/>
        <w:ind w:left="1350"/>
        <w:rPr>
          <w:rFonts w:cs="Times New Roman"/>
          <w:szCs w:val="24"/>
        </w:rPr>
      </w:pPr>
      <w:r>
        <w:rPr>
          <w:rFonts w:cs="Times New Roman"/>
          <w:szCs w:val="24"/>
        </w:rPr>
        <w:t>T</w:t>
      </w:r>
      <w:r w:rsidR="003411F4">
        <w:rPr>
          <w:rFonts w:cs="Times New Roman"/>
          <w:szCs w:val="24"/>
        </w:rPr>
        <w:t xml:space="preserve">he </w:t>
      </w:r>
      <w:r w:rsidR="00C7341A">
        <w:rPr>
          <w:rFonts w:cs="Times New Roman"/>
          <w:szCs w:val="24"/>
        </w:rPr>
        <w:t xml:space="preserve">proposed </w:t>
      </w:r>
      <w:r w:rsidR="003411F4">
        <w:rPr>
          <w:rFonts w:cs="Times New Roman"/>
          <w:szCs w:val="24"/>
        </w:rPr>
        <w:t>accounting and ratemaking treatment</w:t>
      </w:r>
      <w:r>
        <w:rPr>
          <w:rFonts w:cs="Times New Roman"/>
          <w:szCs w:val="24"/>
        </w:rPr>
        <w:t xml:space="preserve"> </w:t>
      </w:r>
      <w:r w:rsidR="00C7341A">
        <w:rPr>
          <w:rFonts w:cs="Times New Roman"/>
          <w:szCs w:val="24"/>
        </w:rPr>
        <w:t xml:space="preserve">briefly described </w:t>
      </w:r>
      <w:r>
        <w:rPr>
          <w:rFonts w:cs="Times New Roman"/>
          <w:szCs w:val="24"/>
        </w:rPr>
        <w:t xml:space="preserve">by the Company in the </w:t>
      </w:r>
      <w:r w:rsidR="00603259" w:rsidRPr="001F55EF">
        <w:rPr>
          <w:rFonts w:cs="Times New Roman"/>
          <w:szCs w:val="24"/>
        </w:rPr>
        <w:t>Amended Application</w:t>
      </w:r>
      <w:r>
        <w:rPr>
          <w:rFonts w:cs="Times New Roman"/>
          <w:szCs w:val="24"/>
        </w:rPr>
        <w:t xml:space="preserve"> </w:t>
      </w:r>
      <w:r w:rsidR="00C7341A">
        <w:rPr>
          <w:rFonts w:cs="Times New Roman"/>
          <w:szCs w:val="24"/>
        </w:rPr>
        <w:t>o</w:t>
      </w:r>
      <w:r>
        <w:rPr>
          <w:rFonts w:cs="Times New Roman"/>
          <w:szCs w:val="24"/>
        </w:rPr>
        <w:t xml:space="preserve">n </w:t>
      </w:r>
      <w:r w:rsidR="003411F4">
        <w:rPr>
          <w:rFonts w:cs="Times New Roman"/>
          <w:szCs w:val="24"/>
        </w:rPr>
        <w:t xml:space="preserve">substitute page 11, paragraph 23 and outlined in </w:t>
      </w:r>
      <w:r w:rsidR="00C7341A">
        <w:rPr>
          <w:rFonts w:cs="Times New Roman"/>
          <w:szCs w:val="24"/>
        </w:rPr>
        <w:t xml:space="preserve">detail in </w:t>
      </w:r>
      <w:r w:rsidR="003411F4">
        <w:rPr>
          <w:rFonts w:cs="Times New Roman"/>
          <w:szCs w:val="24"/>
        </w:rPr>
        <w:t>substitute Exhibit G.</w:t>
      </w:r>
    </w:p>
    <w:p w14:paraId="1B341F35" w14:textId="77777777" w:rsidR="00426BE9" w:rsidRPr="00C7341A" w:rsidRDefault="002157A7" w:rsidP="00C7341A">
      <w:pPr>
        <w:spacing w:line="480" w:lineRule="auto"/>
        <w:ind w:left="-720"/>
        <w:jc w:val="center"/>
        <w:rPr>
          <w:rFonts w:cs="Times New Roman"/>
          <w:b/>
          <w:szCs w:val="24"/>
        </w:rPr>
      </w:pPr>
      <w:r>
        <w:rPr>
          <w:rFonts w:cs="Times New Roman"/>
          <w:b/>
          <w:szCs w:val="24"/>
        </w:rPr>
        <w:t>BACKGROUND</w:t>
      </w:r>
    </w:p>
    <w:p w14:paraId="399DFA63" w14:textId="77777777" w:rsidR="00C7341A" w:rsidRPr="00C7341A" w:rsidRDefault="00283D6B" w:rsidP="00283D6B">
      <w:pPr>
        <w:pStyle w:val="ListParagraph"/>
        <w:numPr>
          <w:ilvl w:val="1"/>
          <w:numId w:val="6"/>
        </w:numPr>
        <w:spacing w:line="480" w:lineRule="auto"/>
        <w:rPr>
          <w:rFonts w:cs="Times New Roman"/>
          <w:szCs w:val="24"/>
        </w:rPr>
      </w:pPr>
      <w:r>
        <w:rPr>
          <w:rFonts w:cs="Times New Roman"/>
          <w:szCs w:val="24"/>
        </w:rPr>
        <w:t xml:space="preserve">       </w:t>
      </w:r>
      <w:r>
        <w:rPr>
          <w:rFonts w:cs="Times New Roman"/>
          <w:szCs w:val="24"/>
        </w:rPr>
        <w:tab/>
      </w:r>
      <w:r w:rsidR="00C7341A" w:rsidRPr="00C7341A">
        <w:rPr>
          <w:rFonts w:cs="Times New Roman"/>
          <w:szCs w:val="24"/>
        </w:rPr>
        <w:t xml:space="preserve">On June 6, 2013, PSE filed an application for approval </w:t>
      </w:r>
      <w:r w:rsidR="00603259">
        <w:rPr>
          <w:rFonts w:cs="Times New Roman"/>
          <w:szCs w:val="24"/>
        </w:rPr>
        <w:t xml:space="preserve">of both the sale </w:t>
      </w:r>
      <w:r w:rsidR="00430652">
        <w:rPr>
          <w:rFonts w:cs="Times New Roman"/>
          <w:szCs w:val="24"/>
        </w:rPr>
        <w:t xml:space="preserve">and </w:t>
      </w:r>
      <w:r w:rsidR="00430652" w:rsidRPr="00C7341A">
        <w:rPr>
          <w:rFonts w:cs="Times New Roman"/>
          <w:szCs w:val="24"/>
        </w:rPr>
        <w:t xml:space="preserve">ratemaking and accounting treatment </w:t>
      </w:r>
      <w:r w:rsidR="00C7341A" w:rsidRPr="00C7341A">
        <w:rPr>
          <w:rFonts w:cs="Times New Roman"/>
          <w:szCs w:val="24"/>
        </w:rPr>
        <w:t xml:space="preserve">of the </w:t>
      </w:r>
      <w:r w:rsidR="00430652">
        <w:rPr>
          <w:rFonts w:cs="Times New Roman"/>
          <w:szCs w:val="24"/>
        </w:rPr>
        <w:t xml:space="preserve">sale of its </w:t>
      </w:r>
      <w:r w:rsidR="00C7341A" w:rsidRPr="00C7341A">
        <w:rPr>
          <w:rFonts w:cs="Times New Roman"/>
          <w:szCs w:val="24"/>
        </w:rPr>
        <w:t xml:space="preserve">Electron Project </w:t>
      </w:r>
      <w:r w:rsidR="00430652">
        <w:rPr>
          <w:rFonts w:cs="Times New Roman"/>
          <w:szCs w:val="24"/>
        </w:rPr>
        <w:t>to Electron Hydro</w:t>
      </w:r>
      <w:r w:rsidR="00C7341A" w:rsidRPr="00C7341A">
        <w:rPr>
          <w:rFonts w:cs="Times New Roman"/>
          <w:szCs w:val="24"/>
        </w:rPr>
        <w:t>.</w:t>
      </w:r>
    </w:p>
    <w:p w14:paraId="7C9B8266" w14:textId="77777777" w:rsidR="00C7341A" w:rsidRPr="00C7341A" w:rsidRDefault="00283D6B" w:rsidP="00C7341A">
      <w:pPr>
        <w:pStyle w:val="ListParagraph"/>
        <w:numPr>
          <w:ilvl w:val="1"/>
          <w:numId w:val="6"/>
        </w:numPr>
        <w:spacing w:line="480" w:lineRule="auto"/>
        <w:rPr>
          <w:rFonts w:cs="Times New Roman"/>
          <w:szCs w:val="24"/>
        </w:rPr>
      </w:pPr>
      <w:r>
        <w:rPr>
          <w:rFonts w:cs="Times New Roman"/>
          <w:szCs w:val="24"/>
        </w:rPr>
        <w:lastRenderedPageBreak/>
        <w:t xml:space="preserve">   </w:t>
      </w:r>
      <w:r>
        <w:rPr>
          <w:rFonts w:cs="Times New Roman"/>
          <w:szCs w:val="24"/>
        </w:rPr>
        <w:tab/>
      </w:r>
      <w:r w:rsidR="00C7341A" w:rsidRPr="00C7341A">
        <w:rPr>
          <w:rFonts w:cs="Times New Roman"/>
          <w:szCs w:val="24"/>
        </w:rPr>
        <w:t>On August 5, 2013, PSE and Electron Hydro entered into Amendment No. 1 to the Agreement, dated August 5, 2013, which extended the date by which parties must satisfy the conditions precedent in the Agreement from October 31, 2013, to December 31, 2013.</w:t>
      </w:r>
    </w:p>
    <w:p w14:paraId="74E68C78" w14:textId="77777777" w:rsidR="00C7341A" w:rsidRPr="00C773CD" w:rsidRDefault="00283D6B" w:rsidP="00487C7C">
      <w:pPr>
        <w:pStyle w:val="ListParagraph"/>
        <w:numPr>
          <w:ilvl w:val="1"/>
          <w:numId w:val="6"/>
        </w:numPr>
        <w:spacing w:line="480" w:lineRule="auto"/>
        <w:rPr>
          <w:rFonts w:cs="Times New Roman"/>
          <w:szCs w:val="24"/>
        </w:rPr>
      </w:pPr>
      <w:r w:rsidRPr="00C773CD">
        <w:rPr>
          <w:rFonts w:cs="Times New Roman"/>
          <w:szCs w:val="24"/>
        </w:rPr>
        <w:t xml:space="preserve">  </w:t>
      </w:r>
      <w:r w:rsidRPr="00C773CD">
        <w:rPr>
          <w:rFonts w:cs="Times New Roman"/>
          <w:szCs w:val="24"/>
        </w:rPr>
        <w:tab/>
      </w:r>
      <w:r w:rsidR="00C7341A" w:rsidRPr="00C773CD">
        <w:rPr>
          <w:rFonts w:cs="Times New Roman"/>
          <w:szCs w:val="24"/>
        </w:rPr>
        <w:t>On October 23, 2013, the Commission entered a final order approving and adopting a settlement stipulation in Dockets UE-130583, UE-130617, UE-131099, and UE-131230 (Order 06).</w:t>
      </w:r>
      <w:r w:rsidR="00C7341A">
        <w:rPr>
          <w:rStyle w:val="FootnoteReference"/>
          <w:rFonts w:cs="Times New Roman"/>
          <w:szCs w:val="24"/>
        </w:rPr>
        <w:footnoteReference w:id="2"/>
      </w:r>
      <w:r w:rsidR="00C773CD" w:rsidRPr="00C773CD">
        <w:rPr>
          <w:rFonts w:cs="Times New Roman"/>
          <w:szCs w:val="24"/>
        </w:rPr>
        <w:t xml:space="preserve">  </w:t>
      </w:r>
      <w:r w:rsidR="00C7341A" w:rsidRPr="00C773CD">
        <w:rPr>
          <w:rFonts w:cs="Times New Roman"/>
          <w:szCs w:val="24"/>
        </w:rPr>
        <w:t>Among</w:t>
      </w:r>
      <w:r w:rsidR="00895FE1" w:rsidRPr="00C773CD">
        <w:rPr>
          <w:rFonts w:cs="Times New Roman"/>
          <w:szCs w:val="24"/>
        </w:rPr>
        <w:t xml:space="preserve"> </w:t>
      </w:r>
      <w:r w:rsidR="00C7341A" w:rsidRPr="00C773CD">
        <w:rPr>
          <w:rFonts w:cs="Times New Roman"/>
          <w:szCs w:val="24"/>
        </w:rPr>
        <w:t>other things, Order 06 approved the sale by PSE to Electron Hydro</w:t>
      </w:r>
      <w:r w:rsidR="005F07EE" w:rsidRPr="00C773CD">
        <w:rPr>
          <w:rFonts w:cs="Times New Roman"/>
          <w:szCs w:val="24"/>
        </w:rPr>
        <w:t xml:space="preserve"> </w:t>
      </w:r>
      <w:r w:rsidR="00C773CD">
        <w:rPr>
          <w:rFonts w:cs="Times New Roman"/>
          <w:szCs w:val="24"/>
        </w:rPr>
        <w:t xml:space="preserve">on condition </w:t>
      </w:r>
      <w:r w:rsidR="00C7341A" w:rsidRPr="00C773CD">
        <w:rPr>
          <w:rFonts w:cs="Times New Roman"/>
          <w:szCs w:val="24"/>
        </w:rPr>
        <w:t>there are no material changes to the terms of</w:t>
      </w:r>
      <w:r w:rsidR="00895FE1" w:rsidRPr="00C773CD">
        <w:rPr>
          <w:rFonts w:cs="Times New Roman"/>
          <w:szCs w:val="24"/>
        </w:rPr>
        <w:t xml:space="preserve"> </w:t>
      </w:r>
      <w:r w:rsidR="00C7341A" w:rsidRPr="00C773CD">
        <w:rPr>
          <w:rFonts w:cs="Times New Roman"/>
          <w:szCs w:val="24"/>
        </w:rPr>
        <w:t>the A</w:t>
      </w:r>
      <w:r w:rsidR="00B151E9" w:rsidRPr="00C773CD">
        <w:rPr>
          <w:rFonts w:cs="Times New Roman"/>
          <w:szCs w:val="24"/>
        </w:rPr>
        <w:t>greement filed on June 6, 2013.</w:t>
      </w:r>
      <w:r w:rsidR="005F07EE" w:rsidRPr="00C773CD">
        <w:rPr>
          <w:rFonts w:cs="Times New Roman"/>
          <w:szCs w:val="24"/>
        </w:rPr>
        <w:t xml:space="preserve">  </w:t>
      </w:r>
      <w:r w:rsidR="00C7341A" w:rsidRPr="00C773CD">
        <w:rPr>
          <w:rFonts w:cs="Times New Roman"/>
          <w:szCs w:val="24"/>
        </w:rPr>
        <w:t>If material changes occurred to</w:t>
      </w:r>
      <w:r w:rsidR="00895FE1" w:rsidRPr="00C773CD">
        <w:rPr>
          <w:rFonts w:cs="Times New Roman"/>
          <w:szCs w:val="24"/>
        </w:rPr>
        <w:t xml:space="preserve"> </w:t>
      </w:r>
      <w:r w:rsidR="00C7341A" w:rsidRPr="00C773CD">
        <w:rPr>
          <w:rFonts w:cs="Times New Roman"/>
          <w:szCs w:val="24"/>
        </w:rPr>
        <w:t>the Agreement, Order 06 required PSE to re-file its application for</w:t>
      </w:r>
      <w:r w:rsidR="00895FE1" w:rsidRPr="00C773CD">
        <w:rPr>
          <w:rFonts w:cs="Times New Roman"/>
          <w:szCs w:val="24"/>
        </w:rPr>
        <w:t xml:space="preserve"> </w:t>
      </w:r>
      <w:r w:rsidR="00C7341A" w:rsidRPr="00C773CD">
        <w:rPr>
          <w:rFonts w:cs="Times New Roman"/>
          <w:szCs w:val="24"/>
        </w:rPr>
        <w:t>approval of the sale.</w:t>
      </w:r>
    </w:p>
    <w:p w14:paraId="4BA7DCE4" w14:textId="77777777" w:rsidR="00C7341A" w:rsidRPr="00D80C83" w:rsidRDefault="00283D6B" w:rsidP="00C7341A">
      <w:pPr>
        <w:pStyle w:val="ListParagraph"/>
        <w:numPr>
          <w:ilvl w:val="1"/>
          <w:numId w:val="6"/>
        </w:numPr>
        <w:spacing w:line="480" w:lineRule="auto"/>
        <w:rPr>
          <w:rFonts w:cs="Times New Roman"/>
          <w:szCs w:val="24"/>
        </w:rPr>
      </w:pPr>
      <w:r>
        <w:rPr>
          <w:rFonts w:cs="Times New Roman"/>
          <w:szCs w:val="24"/>
        </w:rPr>
        <w:t xml:space="preserve">   </w:t>
      </w:r>
      <w:r>
        <w:rPr>
          <w:rFonts w:cs="Times New Roman"/>
          <w:szCs w:val="24"/>
        </w:rPr>
        <w:tab/>
      </w:r>
      <w:r w:rsidR="00C7341A" w:rsidRPr="00D80C83">
        <w:rPr>
          <w:rFonts w:cs="Times New Roman"/>
          <w:szCs w:val="24"/>
        </w:rPr>
        <w:t>On December 31, 2013, PSE and Electron Hydro entered into Amendment No. 2</w:t>
      </w:r>
      <w:r w:rsidR="00B151E9" w:rsidRPr="00D80C83">
        <w:rPr>
          <w:rFonts w:cs="Times New Roman"/>
          <w:szCs w:val="24"/>
        </w:rPr>
        <w:t xml:space="preserve"> </w:t>
      </w:r>
      <w:r w:rsidR="00C7341A" w:rsidRPr="00D80C83">
        <w:rPr>
          <w:rFonts w:cs="Times New Roman"/>
          <w:szCs w:val="24"/>
        </w:rPr>
        <w:t>to the Agreement, dated December 31, 2013, which extended the date</w:t>
      </w:r>
      <w:r w:rsidR="00B151E9" w:rsidRPr="00D80C83">
        <w:rPr>
          <w:rFonts w:cs="Times New Roman"/>
          <w:szCs w:val="24"/>
        </w:rPr>
        <w:t xml:space="preserve"> </w:t>
      </w:r>
      <w:r w:rsidR="00C7341A" w:rsidRPr="00D80C83">
        <w:rPr>
          <w:rFonts w:cs="Times New Roman"/>
          <w:szCs w:val="24"/>
        </w:rPr>
        <w:t>by which parties must satisfy the conditions precedent in the Agreement from December 31, 2013</w:t>
      </w:r>
      <w:r w:rsidR="005F07EE">
        <w:rPr>
          <w:rFonts w:cs="Times New Roman"/>
          <w:szCs w:val="24"/>
        </w:rPr>
        <w:t>,</w:t>
      </w:r>
      <w:r w:rsidR="00C7341A" w:rsidRPr="00D80C83">
        <w:rPr>
          <w:rFonts w:cs="Times New Roman"/>
          <w:szCs w:val="24"/>
        </w:rPr>
        <w:t xml:space="preserve"> to March 31, 2014.</w:t>
      </w:r>
    </w:p>
    <w:p w14:paraId="01D1F611" w14:textId="77777777" w:rsidR="00D80C83" w:rsidRDefault="00283D6B" w:rsidP="00C7341A">
      <w:pPr>
        <w:pStyle w:val="ListParagraph"/>
        <w:numPr>
          <w:ilvl w:val="1"/>
          <w:numId w:val="6"/>
        </w:numPr>
        <w:spacing w:line="480" w:lineRule="auto"/>
        <w:rPr>
          <w:rFonts w:cs="Times New Roman"/>
          <w:szCs w:val="24"/>
        </w:rPr>
      </w:pPr>
      <w:r>
        <w:rPr>
          <w:rFonts w:cs="Times New Roman"/>
          <w:szCs w:val="24"/>
        </w:rPr>
        <w:t xml:space="preserve">  </w:t>
      </w:r>
      <w:r>
        <w:rPr>
          <w:rFonts w:cs="Times New Roman"/>
          <w:szCs w:val="24"/>
        </w:rPr>
        <w:tab/>
      </w:r>
      <w:r w:rsidR="00C7341A" w:rsidRPr="00D80C83">
        <w:rPr>
          <w:rFonts w:cs="Times New Roman"/>
          <w:szCs w:val="24"/>
        </w:rPr>
        <w:t>On March 31, 2014, PSE and Electron Hydro entered into Amendment No. 3 to</w:t>
      </w:r>
      <w:r w:rsidR="00D80C83" w:rsidRPr="00D80C83">
        <w:rPr>
          <w:rFonts w:cs="Times New Roman"/>
          <w:szCs w:val="24"/>
        </w:rPr>
        <w:t xml:space="preserve"> </w:t>
      </w:r>
      <w:r w:rsidR="00C7341A" w:rsidRPr="00D80C83">
        <w:rPr>
          <w:rFonts w:cs="Times New Roman"/>
          <w:szCs w:val="24"/>
        </w:rPr>
        <w:t>the Agreement, dated March 31, 2014, which extended the date by</w:t>
      </w:r>
      <w:r w:rsidR="00D80C83" w:rsidRPr="00D80C83">
        <w:rPr>
          <w:rFonts w:cs="Times New Roman"/>
          <w:szCs w:val="24"/>
        </w:rPr>
        <w:t xml:space="preserve"> </w:t>
      </w:r>
      <w:r w:rsidR="00C7341A" w:rsidRPr="00D80C83">
        <w:rPr>
          <w:rFonts w:cs="Times New Roman"/>
          <w:szCs w:val="24"/>
        </w:rPr>
        <w:t>which parties must satisfy the conditions precedent in the Agreement</w:t>
      </w:r>
      <w:r w:rsidR="00D80C83" w:rsidRPr="00D80C83">
        <w:rPr>
          <w:rFonts w:cs="Times New Roman"/>
          <w:szCs w:val="24"/>
        </w:rPr>
        <w:t xml:space="preserve"> </w:t>
      </w:r>
      <w:r w:rsidR="00C7341A" w:rsidRPr="00D80C83">
        <w:rPr>
          <w:rFonts w:cs="Times New Roman"/>
          <w:szCs w:val="24"/>
        </w:rPr>
        <w:t>from March 31, 2014</w:t>
      </w:r>
      <w:r w:rsidR="00506CC8">
        <w:rPr>
          <w:rFonts w:cs="Times New Roman"/>
          <w:szCs w:val="24"/>
        </w:rPr>
        <w:t>,</w:t>
      </w:r>
      <w:r w:rsidR="00C7341A" w:rsidRPr="00D80C83">
        <w:rPr>
          <w:rFonts w:cs="Times New Roman"/>
          <w:szCs w:val="24"/>
        </w:rPr>
        <w:t xml:space="preserve"> to May 31, 2014.</w:t>
      </w:r>
    </w:p>
    <w:p w14:paraId="6ED9987B" w14:textId="77777777" w:rsidR="00836A28" w:rsidRDefault="00283D6B" w:rsidP="00836A28">
      <w:pPr>
        <w:pStyle w:val="ListParagraph"/>
        <w:numPr>
          <w:ilvl w:val="1"/>
          <w:numId w:val="6"/>
        </w:numPr>
        <w:spacing w:line="480" w:lineRule="auto"/>
        <w:rPr>
          <w:rFonts w:cs="Times New Roman"/>
          <w:szCs w:val="24"/>
        </w:rPr>
      </w:pPr>
      <w:r>
        <w:rPr>
          <w:rFonts w:cs="Times New Roman"/>
          <w:szCs w:val="24"/>
        </w:rPr>
        <w:t xml:space="preserve">  </w:t>
      </w:r>
      <w:r>
        <w:rPr>
          <w:rFonts w:cs="Times New Roman"/>
          <w:szCs w:val="24"/>
        </w:rPr>
        <w:tab/>
      </w:r>
      <w:r w:rsidR="00836A28" w:rsidRPr="00836A28">
        <w:rPr>
          <w:rFonts w:cs="Times New Roman"/>
          <w:szCs w:val="24"/>
        </w:rPr>
        <w:t>On June 4, 2014, PSE and Electron Hydro entered into Amendment No. 4 to the Agreement, dated June 4, 2014, which</w:t>
      </w:r>
      <w:r w:rsidR="00836A28">
        <w:rPr>
          <w:rFonts w:cs="Times New Roman"/>
          <w:szCs w:val="24"/>
        </w:rPr>
        <w:t>:</w:t>
      </w:r>
      <w:r w:rsidR="00836A28" w:rsidRPr="00836A28">
        <w:rPr>
          <w:rFonts w:cs="Times New Roman"/>
          <w:szCs w:val="24"/>
        </w:rPr>
        <w:t xml:space="preserve"> </w:t>
      </w:r>
    </w:p>
    <w:p w14:paraId="2CBB8A44" w14:textId="77777777" w:rsidR="00836A28" w:rsidRDefault="00836A28" w:rsidP="00836A28">
      <w:pPr>
        <w:pStyle w:val="ListParagraph"/>
        <w:numPr>
          <w:ilvl w:val="2"/>
          <w:numId w:val="6"/>
        </w:numPr>
        <w:spacing w:line="480" w:lineRule="auto"/>
        <w:ind w:left="1350"/>
        <w:rPr>
          <w:rFonts w:cs="Times New Roman"/>
          <w:szCs w:val="24"/>
        </w:rPr>
      </w:pPr>
      <w:r>
        <w:rPr>
          <w:rFonts w:cs="Times New Roman"/>
          <w:szCs w:val="24"/>
        </w:rPr>
        <w:t>R</w:t>
      </w:r>
      <w:r w:rsidRPr="00836A28">
        <w:rPr>
          <w:rFonts w:cs="Times New Roman"/>
          <w:szCs w:val="24"/>
        </w:rPr>
        <w:t xml:space="preserve">educes the purchase price </w:t>
      </w:r>
      <w:r w:rsidR="00506CC8">
        <w:rPr>
          <w:rFonts w:cs="Times New Roman"/>
          <w:szCs w:val="24"/>
        </w:rPr>
        <w:t xml:space="preserve">for PSE’s Electron Project </w:t>
      </w:r>
      <w:r w:rsidRPr="00836A28">
        <w:rPr>
          <w:rFonts w:cs="Times New Roman"/>
          <w:szCs w:val="24"/>
        </w:rPr>
        <w:t>from $13.7 million to $8.4 million;</w:t>
      </w:r>
    </w:p>
    <w:p w14:paraId="31B42C8B" w14:textId="77777777" w:rsidR="00836A28" w:rsidRPr="00836A28" w:rsidRDefault="00836A28" w:rsidP="00836A28">
      <w:pPr>
        <w:pStyle w:val="ListParagraph"/>
        <w:numPr>
          <w:ilvl w:val="2"/>
          <w:numId w:val="6"/>
        </w:numPr>
        <w:spacing w:line="480" w:lineRule="auto"/>
        <w:ind w:left="1350"/>
        <w:rPr>
          <w:rFonts w:cs="Times New Roman"/>
          <w:szCs w:val="24"/>
        </w:rPr>
      </w:pPr>
      <w:r w:rsidRPr="00836A28">
        <w:rPr>
          <w:rFonts w:cs="Times New Roman"/>
          <w:szCs w:val="24"/>
        </w:rPr>
        <w:lastRenderedPageBreak/>
        <w:t>Extends the date by which the parties must satisfy conditions precedent in the Agreement from May 31, 2014</w:t>
      </w:r>
      <w:r w:rsidR="00506CC8">
        <w:rPr>
          <w:rFonts w:cs="Times New Roman"/>
          <w:szCs w:val="24"/>
        </w:rPr>
        <w:t>,</w:t>
      </w:r>
      <w:r w:rsidRPr="00836A28">
        <w:rPr>
          <w:rFonts w:cs="Times New Roman"/>
          <w:szCs w:val="24"/>
        </w:rPr>
        <w:t xml:space="preserve"> to July 31, 2014;</w:t>
      </w:r>
    </w:p>
    <w:p w14:paraId="681DA22A" w14:textId="77777777" w:rsidR="00836A28" w:rsidRDefault="00836A28" w:rsidP="005F07EE">
      <w:pPr>
        <w:pStyle w:val="ListParagraph"/>
        <w:numPr>
          <w:ilvl w:val="2"/>
          <w:numId w:val="6"/>
        </w:numPr>
        <w:spacing w:line="480" w:lineRule="auto"/>
        <w:ind w:left="1350"/>
        <w:rPr>
          <w:rFonts w:cs="Times New Roman"/>
          <w:szCs w:val="24"/>
        </w:rPr>
      </w:pPr>
      <w:r w:rsidRPr="00836A28">
        <w:rPr>
          <w:rFonts w:cs="Times New Roman"/>
          <w:szCs w:val="24"/>
        </w:rPr>
        <w:t>Shortens the term of the Purchase Power Agreement (the “Electron PPA”) from a 20-year term to a term expiring on December 31, 2026; and</w:t>
      </w:r>
    </w:p>
    <w:p w14:paraId="53E32502" w14:textId="77777777" w:rsidR="00836A28" w:rsidRPr="00506CC8" w:rsidRDefault="005F07EE" w:rsidP="00506CC8">
      <w:pPr>
        <w:pStyle w:val="ListParagraph"/>
        <w:numPr>
          <w:ilvl w:val="2"/>
          <w:numId w:val="6"/>
        </w:numPr>
        <w:spacing w:line="480" w:lineRule="auto"/>
        <w:ind w:left="1350"/>
        <w:rPr>
          <w:rFonts w:cs="Times New Roman"/>
          <w:szCs w:val="24"/>
        </w:rPr>
      </w:pPr>
      <w:r w:rsidRPr="00506CC8">
        <w:rPr>
          <w:rFonts w:cs="Times New Roman"/>
          <w:szCs w:val="24"/>
        </w:rPr>
        <w:t>E</w:t>
      </w:r>
      <w:r w:rsidR="00836A28" w:rsidRPr="00506CC8">
        <w:rPr>
          <w:rFonts w:cs="Times New Roman"/>
          <w:szCs w:val="24"/>
        </w:rPr>
        <w:t>stablishes a Facility Operation Agreement that requires Electron Hydro to operate the Electron Project in compliance with the Resource Enhancement Agreement (REA) through</w:t>
      </w:r>
      <w:r w:rsidR="00506CC8" w:rsidRPr="00506CC8">
        <w:rPr>
          <w:rFonts w:cs="Times New Roman"/>
          <w:szCs w:val="24"/>
        </w:rPr>
        <w:t xml:space="preserve"> </w:t>
      </w:r>
      <w:r w:rsidR="0068455F">
        <w:rPr>
          <w:rFonts w:cs="Times New Roman"/>
          <w:szCs w:val="24"/>
        </w:rPr>
        <w:t xml:space="preserve">its expiration on </w:t>
      </w:r>
      <w:r w:rsidR="00836A28" w:rsidRPr="00506CC8">
        <w:rPr>
          <w:rFonts w:cs="Times New Roman"/>
          <w:szCs w:val="24"/>
        </w:rPr>
        <w:t>December 31, 2026.</w:t>
      </w:r>
    </w:p>
    <w:p w14:paraId="4C0FB251" w14:textId="77777777" w:rsidR="00D80C83" w:rsidRDefault="004414B1" w:rsidP="00836A28">
      <w:pPr>
        <w:pStyle w:val="ListParagraph"/>
        <w:numPr>
          <w:ilvl w:val="1"/>
          <w:numId w:val="6"/>
        </w:numPr>
        <w:spacing w:line="480" w:lineRule="auto"/>
        <w:rPr>
          <w:rFonts w:cs="Times New Roman"/>
          <w:szCs w:val="24"/>
        </w:rPr>
      </w:pPr>
      <w:r>
        <w:rPr>
          <w:rFonts w:cs="Times New Roman"/>
          <w:szCs w:val="24"/>
        </w:rPr>
        <w:t xml:space="preserve">  </w:t>
      </w:r>
      <w:r>
        <w:rPr>
          <w:rFonts w:cs="Times New Roman"/>
          <w:szCs w:val="24"/>
        </w:rPr>
        <w:tab/>
      </w:r>
      <w:r w:rsidR="00C773CD">
        <w:rPr>
          <w:rFonts w:cs="Times New Roman"/>
          <w:szCs w:val="24"/>
        </w:rPr>
        <w:t>As noted earlier, o</w:t>
      </w:r>
      <w:r w:rsidR="00836A28" w:rsidRPr="00506CC8">
        <w:rPr>
          <w:rFonts w:cs="Times New Roman"/>
          <w:szCs w:val="24"/>
        </w:rPr>
        <w:t xml:space="preserve">n June 20, 2014, PSE filed an </w:t>
      </w:r>
      <w:r w:rsidR="00C773CD">
        <w:rPr>
          <w:rFonts w:cs="Times New Roman"/>
          <w:szCs w:val="24"/>
        </w:rPr>
        <w:t>A</w:t>
      </w:r>
      <w:r w:rsidR="00836A28" w:rsidRPr="00506CC8">
        <w:rPr>
          <w:rFonts w:cs="Times New Roman"/>
          <w:szCs w:val="24"/>
        </w:rPr>
        <w:t xml:space="preserve">mended </w:t>
      </w:r>
      <w:r w:rsidR="00C773CD">
        <w:rPr>
          <w:rFonts w:cs="Times New Roman"/>
          <w:szCs w:val="24"/>
        </w:rPr>
        <w:t>A</w:t>
      </w:r>
      <w:r w:rsidR="00836A28" w:rsidRPr="00506CC8">
        <w:rPr>
          <w:rFonts w:cs="Times New Roman"/>
          <w:szCs w:val="24"/>
        </w:rPr>
        <w:t>pplication for approval of the sale of the</w:t>
      </w:r>
      <w:r w:rsidR="00506CC8" w:rsidRPr="00506CC8">
        <w:rPr>
          <w:rFonts w:cs="Times New Roman"/>
          <w:szCs w:val="24"/>
        </w:rPr>
        <w:t xml:space="preserve"> </w:t>
      </w:r>
      <w:r w:rsidR="00836A28" w:rsidRPr="00506CC8">
        <w:rPr>
          <w:rFonts w:cs="Times New Roman"/>
          <w:szCs w:val="24"/>
        </w:rPr>
        <w:t>Electron Project and approval of its ratemaking and accounting treatment for the sale</w:t>
      </w:r>
      <w:r w:rsidR="00506CC8" w:rsidRPr="00506CC8">
        <w:rPr>
          <w:rFonts w:cs="Times New Roman"/>
          <w:szCs w:val="24"/>
        </w:rPr>
        <w:t xml:space="preserve"> </w:t>
      </w:r>
      <w:r w:rsidR="00836A28" w:rsidRPr="00506CC8">
        <w:rPr>
          <w:rFonts w:cs="Times New Roman"/>
          <w:szCs w:val="24"/>
        </w:rPr>
        <w:t>(Electron Sale Amended Application)</w:t>
      </w:r>
      <w:r w:rsidR="00C773CD">
        <w:rPr>
          <w:rFonts w:cs="Times New Roman"/>
          <w:szCs w:val="24"/>
        </w:rPr>
        <w:t>,</w:t>
      </w:r>
      <w:r w:rsidR="00462BE0">
        <w:rPr>
          <w:rFonts w:cs="Times New Roman"/>
          <w:szCs w:val="24"/>
        </w:rPr>
        <w:t xml:space="preserve"> as required by Order 06</w:t>
      </w:r>
      <w:r w:rsidR="00836A28" w:rsidRPr="00506CC8">
        <w:rPr>
          <w:rFonts w:cs="Times New Roman"/>
          <w:szCs w:val="24"/>
        </w:rPr>
        <w:t>.</w:t>
      </w:r>
    </w:p>
    <w:p w14:paraId="1138992E" w14:textId="77777777" w:rsidR="00506CC8" w:rsidRPr="00EC5F9D" w:rsidRDefault="002157A7" w:rsidP="00506CC8">
      <w:pPr>
        <w:spacing w:line="480" w:lineRule="auto"/>
        <w:ind w:left="-720"/>
        <w:jc w:val="center"/>
        <w:rPr>
          <w:rFonts w:cs="Times New Roman"/>
          <w:b/>
          <w:szCs w:val="24"/>
        </w:rPr>
      </w:pPr>
      <w:r>
        <w:rPr>
          <w:rFonts w:cs="Times New Roman"/>
          <w:b/>
          <w:szCs w:val="24"/>
        </w:rPr>
        <w:t>DISCUSSION</w:t>
      </w:r>
    </w:p>
    <w:p w14:paraId="435945B0" w14:textId="77777777" w:rsidR="00FB35C1" w:rsidRDefault="00EB1C34" w:rsidP="00FB35C1">
      <w:pPr>
        <w:pStyle w:val="ListParagraph"/>
        <w:numPr>
          <w:ilvl w:val="1"/>
          <w:numId w:val="6"/>
        </w:numPr>
        <w:spacing w:line="480" w:lineRule="auto"/>
        <w:rPr>
          <w:rFonts w:cs="Times New Roman"/>
          <w:szCs w:val="24"/>
        </w:rPr>
      </w:pPr>
      <w:r>
        <w:rPr>
          <w:rFonts w:cs="Times New Roman"/>
          <w:szCs w:val="24"/>
        </w:rPr>
        <w:tab/>
        <w:t xml:space="preserve">In Staff’s analysis of the original Agreement, Staff compared PSE’s </w:t>
      </w:r>
      <w:r w:rsidR="00FB35C1">
        <w:rPr>
          <w:rFonts w:cs="Times New Roman"/>
          <w:szCs w:val="24"/>
        </w:rPr>
        <w:t xml:space="preserve">alternatives to </w:t>
      </w:r>
      <w:r w:rsidR="007514B6">
        <w:rPr>
          <w:rFonts w:cs="Times New Roman"/>
          <w:szCs w:val="24"/>
        </w:rPr>
        <w:t>selling</w:t>
      </w:r>
      <w:r>
        <w:rPr>
          <w:rFonts w:cs="Times New Roman"/>
          <w:szCs w:val="24"/>
        </w:rPr>
        <w:t xml:space="preserve"> the Electron Project</w:t>
      </w:r>
      <w:r w:rsidR="00FB35C1">
        <w:rPr>
          <w:rFonts w:cs="Times New Roman"/>
          <w:szCs w:val="24"/>
        </w:rPr>
        <w:t>.  The alternatives included:</w:t>
      </w:r>
    </w:p>
    <w:p w14:paraId="52D351D2" w14:textId="77777777" w:rsidR="00FB35C1" w:rsidRPr="00E13EED" w:rsidRDefault="007514B6" w:rsidP="007514B6">
      <w:pPr>
        <w:pStyle w:val="ListParagraph"/>
        <w:numPr>
          <w:ilvl w:val="0"/>
          <w:numId w:val="7"/>
        </w:numPr>
        <w:spacing w:line="480" w:lineRule="auto"/>
        <w:rPr>
          <w:rFonts w:cs="Times New Roman"/>
          <w:szCs w:val="24"/>
        </w:rPr>
      </w:pPr>
      <w:r>
        <w:rPr>
          <w:rFonts w:cs="Times New Roman"/>
          <w:szCs w:val="24"/>
        </w:rPr>
        <w:t xml:space="preserve">Continued PSE ownership and operation </w:t>
      </w:r>
      <w:r w:rsidR="00FB35C1">
        <w:rPr>
          <w:rFonts w:cs="Times New Roman"/>
          <w:szCs w:val="24"/>
        </w:rPr>
        <w:t>of the Electron Project</w:t>
      </w:r>
      <w:r>
        <w:rPr>
          <w:rFonts w:cs="Times New Roman"/>
          <w:szCs w:val="24"/>
        </w:rPr>
        <w:t xml:space="preserve"> through 2026</w:t>
      </w:r>
      <w:r w:rsidR="00FB35C1">
        <w:rPr>
          <w:rFonts w:cs="Times New Roman"/>
          <w:szCs w:val="24"/>
        </w:rPr>
        <w:t xml:space="preserve">, </w:t>
      </w:r>
      <w:r>
        <w:rPr>
          <w:rFonts w:cs="Times New Roman"/>
          <w:szCs w:val="24"/>
        </w:rPr>
        <w:t xml:space="preserve">which would </w:t>
      </w:r>
      <w:r w:rsidR="00FB35C1" w:rsidRPr="00E13EED">
        <w:rPr>
          <w:rFonts w:cs="Times New Roman"/>
          <w:szCs w:val="24"/>
        </w:rPr>
        <w:t>requir</w:t>
      </w:r>
      <w:r>
        <w:rPr>
          <w:rFonts w:cs="Times New Roman"/>
          <w:szCs w:val="24"/>
        </w:rPr>
        <w:t>e</w:t>
      </w:r>
      <w:r w:rsidR="00FB35C1" w:rsidRPr="00E13EED">
        <w:rPr>
          <w:rFonts w:cs="Times New Roman"/>
          <w:szCs w:val="24"/>
        </w:rPr>
        <w:t xml:space="preserve"> </w:t>
      </w:r>
      <w:r w:rsidR="00FB35C1">
        <w:rPr>
          <w:rFonts w:cs="Times New Roman"/>
          <w:szCs w:val="24"/>
        </w:rPr>
        <w:t xml:space="preserve">significant capital </w:t>
      </w:r>
      <w:r w:rsidR="00FB35C1" w:rsidRPr="00E13EED">
        <w:rPr>
          <w:rFonts w:cs="Times New Roman"/>
          <w:szCs w:val="24"/>
        </w:rPr>
        <w:t>investment</w:t>
      </w:r>
      <w:r w:rsidR="00FB35C1">
        <w:rPr>
          <w:rFonts w:cs="Times New Roman"/>
          <w:szCs w:val="24"/>
        </w:rPr>
        <w:t xml:space="preserve">; </w:t>
      </w:r>
      <w:r w:rsidR="00627F9F">
        <w:rPr>
          <w:rFonts w:cs="Times New Roman"/>
          <w:szCs w:val="24"/>
        </w:rPr>
        <w:t>and</w:t>
      </w:r>
    </w:p>
    <w:p w14:paraId="0FF6B9D0" w14:textId="77777777" w:rsidR="00FB35C1" w:rsidRPr="00E13EED" w:rsidRDefault="00FB35C1" w:rsidP="007514B6">
      <w:pPr>
        <w:pStyle w:val="ListParagraph"/>
        <w:numPr>
          <w:ilvl w:val="0"/>
          <w:numId w:val="7"/>
        </w:numPr>
        <w:spacing w:line="480" w:lineRule="auto"/>
        <w:rPr>
          <w:rFonts w:cs="Times New Roman"/>
          <w:szCs w:val="24"/>
        </w:rPr>
      </w:pPr>
      <w:r w:rsidRPr="007514B6">
        <w:rPr>
          <w:rFonts w:cs="Times New Roman"/>
          <w:szCs w:val="24"/>
        </w:rPr>
        <w:t>Retirement of the facility</w:t>
      </w:r>
      <w:r w:rsidR="007514B6">
        <w:rPr>
          <w:rFonts w:cs="Times New Roman"/>
          <w:szCs w:val="24"/>
        </w:rPr>
        <w:t>,</w:t>
      </w:r>
      <w:r>
        <w:rPr>
          <w:rFonts w:cs="Times New Roman"/>
          <w:szCs w:val="24"/>
        </w:rPr>
        <w:t xml:space="preserve"> which would require almost </w:t>
      </w:r>
      <w:r w:rsidR="0023686B">
        <w:rPr>
          <w:rFonts w:cs="Times New Roman"/>
          <w:szCs w:val="24"/>
        </w:rPr>
        <w:t xml:space="preserve">half </w:t>
      </w:r>
      <w:r>
        <w:rPr>
          <w:rFonts w:cs="Times New Roman"/>
          <w:szCs w:val="24"/>
        </w:rPr>
        <w:t xml:space="preserve">as much capital as the </w:t>
      </w:r>
      <w:r w:rsidR="007514B6">
        <w:rPr>
          <w:rFonts w:cs="Times New Roman"/>
          <w:szCs w:val="24"/>
        </w:rPr>
        <w:t xml:space="preserve">continued ownership </w:t>
      </w:r>
      <w:r>
        <w:rPr>
          <w:rFonts w:cs="Times New Roman"/>
          <w:szCs w:val="24"/>
        </w:rPr>
        <w:t>option.</w:t>
      </w:r>
    </w:p>
    <w:p w14:paraId="07430FD9" w14:textId="77777777" w:rsidR="007514B6" w:rsidRDefault="00627F9F" w:rsidP="007514B6">
      <w:pPr>
        <w:spacing w:line="480" w:lineRule="auto"/>
        <w:rPr>
          <w:rFonts w:cs="Times New Roman"/>
          <w:szCs w:val="24"/>
        </w:rPr>
      </w:pPr>
      <w:r>
        <w:rPr>
          <w:rFonts w:cs="Times New Roman"/>
          <w:szCs w:val="24"/>
        </w:rPr>
        <w:tab/>
      </w:r>
      <w:r w:rsidR="00EB1C34" w:rsidRPr="007514B6">
        <w:rPr>
          <w:rFonts w:cs="Times New Roman"/>
          <w:szCs w:val="24"/>
        </w:rPr>
        <w:t>Staff concluded that ratepayers were better off with the sale</w:t>
      </w:r>
      <w:r w:rsidR="00A04CEE">
        <w:rPr>
          <w:rFonts w:cs="Times New Roman"/>
          <w:szCs w:val="24"/>
        </w:rPr>
        <w:t xml:space="preserve"> </w:t>
      </w:r>
      <w:r w:rsidR="0023686B">
        <w:rPr>
          <w:rFonts w:cs="Times New Roman"/>
          <w:szCs w:val="24"/>
        </w:rPr>
        <w:t>option</w:t>
      </w:r>
      <w:r w:rsidR="007514B6">
        <w:rPr>
          <w:rFonts w:cs="Times New Roman"/>
          <w:szCs w:val="24"/>
        </w:rPr>
        <w:t>,</w:t>
      </w:r>
      <w:r w:rsidR="0023686B">
        <w:rPr>
          <w:rFonts w:cs="Times New Roman"/>
          <w:szCs w:val="24"/>
        </w:rPr>
        <w:t xml:space="preserve"> </w:t>
      </w:r>
      <w:r w:rsidR="00A04CEE">
        <w:rPr>
          <w:rFonts w:cs="Times New Roman"/>
          <w:szCs w:val="24"/>
        </w:rPr>
        <w:t>which re</w:t>
      </w:r>
      <w:r w:rsidR="00572F99">
        <w:rPr>
          <w:rFonts w:cs="Times New Roman"/>
          <w:szCs w:val="24"/>
        </w:rPr>
        <w:t>quired</w:t>
      </w:r>
      <w:r w:rsidR="00A04CEE">
        <w:rPr>
          <w:rFonts w:cs="Times New Roman"/>
          <w:szCs w:val="24"/>
        </w:rPr>
        <w:t xml:space="preserve"> no outlay of capital </w:t>
      </w:r>
      <w:r w:rsidR="0003264C">
        <w:rPr>
          <w:rFonts w:cs="Times New Roman"/>
          <w:szCs w:val="24"/>
        </w:rPr>
        <w:t xml:space="preserve">and </w:t>
      </w:r>
      <w:r w:rsidR="00A04CEE">
        <w:rPr>
          <w:rFonts w:cs="Times New Roman"/>
          <w:szCs w:val="24"/>
        </w:rPr>
        <w:t xml:space="preserve">reduced </w:t>
      </w:r>
      <w:r w:rsidR="00572F99">
        <w:rPr>
          <w:rFonts w:cs="Times New Roman"/>
          <w:szCs w:val="24"/>
        </w:rPr>
        <w:t>by almost half the amount of unrecovered plant through proceeds of the sale</w:t>
      </w:r>
      <w:r w:rsidR="0003264C">
        <w:rPr>
          <w:rFonts w:cs="Times New Roman"/>
          <w:szCs w:val="24"/>
        </w:rPr>
        <w:t>.</w:t>
      </w:r>
      <w:r w:rsidR="00C234EF">
        <w:rPr>
          <w:rStyle w:val="FootnoteReference"/>
          <w:rFonts w:cs="Times New Roman"/>
          <w:szCs w:val="24"/>
        </w:rPr>
        <w:footnoteReference w:id="3"/>
      </w:r>
      <w:r w:rsidR="0003264C">
        <w:rPr>
          <w:rFonts w:cs="Times New Roman"/>
          <w:szCs w:val="24"/>
        </w:rPr>
        <w:t xml:space="preserve">  In return, PSE would only be required to pay </w:t>
      </w:r>
      <w:r w:rsidR="0023686B">
        <w:rPr>
          <w:rFonts w:cs="Times New Roman"/>
          <w:szCs w:val="24"/>
        </w:rPr>
        <w:t xml:space="preserve">Electron Hydro </w:t>
      </w:r>
      <w:r w:rsidR="0003264C">
        <w:rPr>
          <w:rFonts w:cs="Times New Roman"/>
          <w:szCs w:val="24"/>
        </w:rPr>
        <w:t>for the net output of the Electron Project through 2033, via the Electron PPA</w:t>
      </w:r>
      <w:r w:rsidR="00EB1C34" w:rsidRPr="00E13EED">
        <w:rPr>
          <w:rFonts w:cs="Times New Roman"/>
          <w:szCs w:val="24"/>
        </w:rPr>
        <w:t xml:space="preserve">.  </w:t>
      </w:r>
    </w:p>
    <w:p w14:paraId="32C39C8C" w14:textId="77777777" w:rsidR="00EB1C34" w:rsidRPr="00E13EED" w:rsidRDefault="007514B6" w:rsidP="007514B6">
      <w:pPr>
        <w:spacing w:line="480" w:lineRule="auto"/>
        <w:rPr>
          <w:rFonts w:cs="Times New Roman"/>
          <w:szCs w:val="24"/>
        </w:rPr>
      </w:pPr>
      <w:r>
        <w:rPr>
          <w:rFonts w:cs="Times New Roman"/>
          <w:szCs w:val="24"/>
        </w:rPr>
        <w:lastRenderedPageBreak/>
        <w:tab/>
      </w:r>
      <w:r w:rsidR="0023686B">
        <w:rPr>
          <w:rFonts w:cs="Times New Roman"/>
          <w:szCs w:val="24"/>
        </w:rPr>
        <w:t xml:space="preserve">Staff reviewed PSE’s analysis </w:t>
      </w:r>
      <w:r w:rsidR="008E5D1F">
        <w:rPr>
          <w:rFonts w:cs="Times New Roman"/>
          <w:szCs w:val="24"/>
        </w:rPr>
        <w:t>using its Portfolio Screening Model (PSM)</w:t>
      </w:r>
      <w:r w:rsidR="001D020E" w:rsidRPr="001D020E">
        <w:rPr>
          <w:rStyle w:val="FootnoteReference"/>
          <w:rFonts w:cs="Times New Roman"/>
          <w:szCs w:val="24"/>
        </w:rPr>
        <w:t xml:space="preserve"> </w:t>
      </w:r>
      <w:r w:rsidR="008E5D1F">
        <w:rPr>
          <w:rFonts w:cs="Times New Roman"/>
          <w:szCs w:val="24"/>
        </w:rPr>
        <w:t xml:space="preserve">which included a sensitivity analysis to variations in sales price received for the </w:t>
      </w:r>
      <w:r>
        <w:rPr>
          <w:rFonts w:cs="Times New Roman"/>
          <w:szCs w:val="24"/>
        </w:rPr>
        <w:t>E</w:t>
      </w:r>
      <w:r w:rsidR="008E5D1F">
        <w:rPr>
          <w:rFonts w:cs="Times New Roman"/>
          <w:szCs w:val="24"/>
        </w:rPr>
        <w:t>lectron Project</w:t>
      </w:r>
      <w:r>
        <w:rPr>
          <w:rFonts w:cs="Times New Roman"/>
          <w:szCs w:val="24"/>
        </w:rPr>
        <w:t>,</w:t>
      </w:r>
      <w:r w:rsidR="008E5D1F">
        <w:rPr>
          <w:rFonts w:cs="Times New Roman"/>
          <w:szCs w:val="24"/>
        </w:rPr>
        <w:t xml:space="preserve"> along with variations in output delivered via the Electron PPA</w:t>
      </w:r>
      <w:r w:rsidR="006E46EA">
        <w:rPr>
          <w:rFonts w:cs="Times New Roman"/>
          <w:szCs w:val="24"/>
        </w:rPr>
        <w:t>,</w:t>
      </w:r>
      <w:r w:rsidR="001D020E">
        <w:rPr>
          <w:rStyle w:val="FootnoteReference"/>
          <w:rFonts w:cs="Times New Roman"/>
          <w:szCs w:val="24"/>
        </w:rPr>
        <w:footnoteReference w:id="4"/>
      </w:r>
      <w:r w:rsidR="008E5D1F">
        <w:rPr>
          <w:rFonts w:cs="Times New Roman"/>
          <w:szCs w:val="24"/>
        </w:rPr>
        <w:t xml:space="preserve"> and concurred with PSE’s findings showing that the sale of the Electron Project is in the best interest of ratepayers.</w:t>
      </w:r>
      <w:r w:rsidR="001D020E">
        <w:rPr>
          <w:rStyle w:val="FootnoteReference"/>
          <w:rFonts w:cs="Times New Roman"/>
          <w:szCs w:val="24"/>
        </w:rPr>
        <w:footnoteReference w:id="5"/>
      </w:r>
      <w:r w:rsidR="00FC4449">
        <w:rPr>
          <w:rFonts w:cs="Times New Roman"/>
          <w:szCs w:val="24"/>
        </w:rPr>
        <w:t xml:space="preserve"> </w:t>
      </w:r>
      <w:r w:rsidR="00EB1C34" w:rsidRPr="007514B6">
        <w:rPr>
          <w:rFonts w:cs="Times New Roman"/>
          <w:szCs w:val="24"/>
        </w:rPr>
        <w:t xml:space="preserve"> </w:t>
      </w:r>
      <w:r w:rsidR="00FC4449">
        <w:rPr>
          <w:rFonts w:cs="Times New Roman"/>
          <w:szCs w:val="24"/>
        </w:rPr>
        <w:t xml:space="preserve"> </w:t>
      </w:r>
    </w:p>
    <w:p w14:paraId="155980DA" w14:textId="77777777" w:rsidR="008E5D1F" w:rsidRDefault="00EB1C34">
      <w:pPr>
        <w:pStyle w:val="ListParagraph"/>
        <w:numPr>
          <w:ilvl w:val="1"/>
          <w:numId w:val="6"/>
        </w:numPr>
        <w:spacing w:line="480" w:lineRule="auto"/>
        <w:rPr>
          <w:rFonts w:cs="Times New Roman"/>
          <w:szCs w:val="24"/>
        </w:rPr>
      </w:pPr>
      <w:r w:rsidRPr="008E5D1F">
        <w:rPr>
          <w:rFonts w:cs="Times New Roman"/>
          <w:szCs w:val="24"/>
        </w:rPr>
        <w:tab/>
      </w:r>
      <w:r w:rsidR="00F73BF4" w:rsidRPr="008E5D1F">
        <w:rPr>
          <w:rFonts w:cs="Times New Roman"/>
          <w:szCs w:val="24"/>
        </w:rPr>
        <w:t xml:space="preserve">While </w:t>
      </w:r>
      <w:r w:rsidR="007514B6">
        <w:rPr>
          <w:rFonts w:cs="Times New Roman"/>
          <w:szCs w:val="24"/>
        </w:rPr>
        <w:t xml:space="preserve">Amendment No. 4 makes </w:t>
      </w:r>
      <w:r w:rsidR="00F73BF4" w:rsidRPr="008E5D1F">
        <w:rPr>
          <w:rFonts w:cs="Times New Roman"/>
          <w:szCs w:val="24"/>
        </w:rPr>
        <w:t xml:space="preserve">material changes to the </w:t>
      </w:r>
      <w:r w:rsidR="007514B6">
        <w:rPr>
          <w:rFonts w:cs="Times New Roman"/>
          <w:szCs w:val="24"/>
        </w:rPr>
        <w:t xml:space="preserve">original </w:t>
      </w:r>
      <w:r w:rsidR="00F73BF4" w:rsidRPr="008E5D1F">
        <w:rPr>
          <w:rFonts w:cs="Times New Roman"/>
          <w:szCs w:val="24"/>
        </w:rPr>
        <w:t xml:space="preserve">Agreement, the sale of the Electron Project by PSE to Electron Hydro </w:t>
      </w:r>
      <w:r w:rsidR="00510C22" w:rsidRPr="008E5D1F">
        <w:rPr>
          <w:rFonts w:cs="Times New Roman"/>
          <w:szCs w:val="24"/>
        </w:rPr>
        <w:t xml:space="preserve">continues to </w:t>
      </w:r>
      <w:r w:rsidR="00F73BF4" w:rsidRPr="008E5D1F">
        <w:rPr>
          <w:rFonts w:cs="Times New Roman"/>
          <w:szCs w:val="24"/>
        </w:rPr>
        <w:t xml:space="preserve">remain in the </w:t>
      </w:r>
      <w:r w:rsidR="00627F9F">
        <w:rPr>
          <w:rFonts w:cs="Times New Roman"/>
          <w:szCs w:val="24"/>
        </w:rPr>
        <w:t>best interest of ratepayers</w:t>
      </w:r>
      <w:r w:rsidR="00F73BF4" w:rsidRPr="008E5D1F">
        <w:rPr>
          <w:rFonts w:cs="Times New Roman"/>
          <w:szCs w:val="24"/>
        </w:rPr>
        <w:t xml:space="preserve">.  </w:t>
      </w:r>
      <w:r w:rsidR="00E262C5" w:rsidRPr="008E5D1F">
        <w:rPr>
          <w:rFonts w:cs="Times New Roman"/>
          <w:szCs w:val="24"/>
        </w:rPr>
        <w:t>The reduc</w:t>
      </w:r>
      <w:r w:rsidR="00834669">
        <w:rPr>
          <w:rFonts w:cs="Times New Roman"/>
          <w:szCs w:val="24"/>
        </w:rPr>
        <w:t xml:space="preserve">tion in </w:t>
      </w:r>
      <w:r w:rsidR="00E262C5" w:rsidRPr="00E13EED">
        <w:rPr>
          <w:rFonts w:cs="Times New Roman"/>
          <w:szCs w:val="24"/>
        </w:rPr>
        <w:t>purchase price</w:t>
      </w:r>
      <w:r w:rsidR="00283D6B" w:rsidRPr="00E13EED">
        <w:rPr>
          <w:rFonts w:cs="Times New Roman"/>
          <w:szCs w:val="24"/>
        </w:rPr>
        <w:t>,</w:t>
      </w:r>
      <w:r w:rsidR="00E262C5" w:rsidRPr="008E5D1F">
        <w:rPr>
          <w:rFonts w:cs="Times New Roman"/>
          <w:szCs w:val="24"/>
        </w:rPr>
        <w:t xml:space="preserve"> along with the shorter term </w:t>
      </w:r>
      <w:r w:rsidR="00834669">
        <w:rPr>
          <w:rFonts w:cs="Times New Roman"/>
          <w:szCs w:val="24"/>
        </w:rPr>
        <w:t>and the delivery of less power</w:t>
      </w:r>
      <w:r w:rsidR="00FC4449">
        <w:rPr>
          <w:rFonts w:cs="Times New Roman"/>
          <w:szCs w:val="24"/>
        </w:rPr>
        <w:t xml:space="preserve"> under </w:t>
      </w:r>
      <w:r w:rsidR="00FC4449" w:rsidRPr="00057954">
        <w:rPr>
          <w:rFonts w:cs="Times New Roman"/>
          <w:szCs w:val="24"/>
        </w:rPr>
        <w:t>the Electron PPA</w:t>
      </w:r>
      <w:r w:rsidR="00283D6B" w:rsidRPr="00E13EED">
        <w:rPr>
          <w:rFonts w:cs="Times New Roman"/>
          <w:szCs w:val="24"/>
        </w:rPr>
        <w:t>,</w:t>
      </w:r>
      <w:r w:rsidR="00E262C5" w:rsidRPr="00E13EED">
        <w:rPr>
          <w:rFonts w:cs="Times New Roman"/>
          <w:szCs w:val="24"/>
        </w:rPr>
        <w:t xml:space="preserve"> </w:t>
      </w:r>
      <w:r w:rsidR="00FC4449">
        <w:rPr>
          <w:rFonts w:cs="Times New Roman"/>
          <w:szCs w:val="24"/>
        </w:rPr>
        <w:t xml:space="preserve">do not alter the selection of the sale of the Electron Project as the best outcome for ratepayers </w:t>
      </w:r>
      <w:r w:rsidR="00E262C5" w:rsidRPr="00E13EED">
        <w:rPr>
          <w:rFonts w:cs="Times New Roman"/>
          <w:szCs w:val="24"/>
        </w:rPr>
        <w:t>compare</w:t>
      </w:r>
      <w:r w:rsidR="00FC4449">
        <w:rPr>
          <w:rFonts w:cs="Times New Roman"/>
          <w:szCs w:val="24"/>
        </w:rPr>
        <w:t>d</w:t>
      </w:r>
      <w:r w:rsidR="00E262C5" w:rsidRPr="00E13EED">
        <w:rPr>
          <w:rFonts w:cs="Times New Roman"/>
          <w:szCs w:val="24"/>
        </w:rPr>
        <w:t xml:space="preserve"> </w:t>
      </w:r>
      <w:r w:rsidR="00E262C5" w:rsidRPr="008E5D1F">
        <w:rPr>
          <w:rFonts w:cs="Times New Roman"/>
          <w:szCs w:val="24"/>
        </w:rPr>
        <w:t xml:space="preserve">to </w:t>
      </w:r>
      <w:r w:rsidR="00FC4449">
        <w:rPr>
          <w:rFonts w:cs="Times New Roman"/>
          <w:szCs w:val="24"/>
        </w:rPr>
        <w:t xml:space="preserve">the </w:t>
      </w:r>
      <w:r w:rsidR="00E262C5" w:rsidRPr="00E13EED">
        <w:rPr>
          <w:rFonts w:cs="Times New Roman"/>
          <w:szCs w:val="24"/>
        </w:rPr>
        <w:t>other alternatives</w:t>
      </w:r>
      <w:r w:rsidR="00FC4449">
        <w:rPr>
          <w:rFonts w:cs="Times New Roman"/>
          <w:szCs w:val="24"/>
        </w:rPr>
        <w:t>;</w:t>
      </w:r>
      <w:r w:rsidR="00283D6B" w:rsidRPr="00E13EED">
        <w:rPr>
          <w:rFonts w:cs="Times New Roman"/>
          <w:szCs w:val="24"/>
        </w:rPr>
        <w:t xml:space="preserve"> </w:t>
      </w:r>
      <w:r w:rsidR="00E262C5" w:rsidRPr="00E13EED">
        <w:rPr>
          <w:rFonts w:cs="Times New Roman"/>
          <w:szCs w:val="24"/>
        </w:rPr>
        <w:t xml:space="preserve">continued operation </w:t>
      </w:r>
      <w:r w:rsidR="00FC4449">
        <w:rPr>
          <w:rFonts w:cs="Times New Roman"/>
          <w:szCs w:val="24"/>
        </w:rPr>
        <w:t>or r</w:t>
      </w:r>
      <w:r w:rsidR="00283D6B" w:rsidRPr="00E13EED">
        <w:rPr>
          <w:rFonts w:cs="Times New Roman"/>
          <w:szCs w:val="24"/>
        </w:rPr>
        <w:t>etirement</w:t>
      </w:r>
      <w:r w:rsidR="00283D6B" w:rsidRPr="008E5D1F">
        <w:rPr>
          <w:rFonts w:cs="Times New Roman"/>
          <w:szCs w:val="24"/>
        </w:rPr>
        <w:t>.</w:t>
      </w:r>
      <w:r w:rsidR="000B5A64" w:rsidRPr="008E5D1F">
        <w:rPr>
          <w:rFonts w:cs="Times New Roman"/>
          <w:szCs w:val="24"/>
        </w:rPr>
        <w:t xml:space="preserve">  </w:t>
      </w:r>
    </w:p>
    <w:p w14:paraId="25B0E471" w14:textId="77777777" w:rsidR="007514B6" w:rsidRDefault="004414B1">
      <w:pPr>
        <w:pStyle w:val="ListParagraph"/>
        <w:numPr>
          <w:ilvl w:val="1"/>
          <w:numId w:val="6"/>
        </w:numPr>
        <w:spacing w:line="480" w:lineRule="auto"/>
        <w:rPr>
          <w:rFonts w:cs="Times New Roman"/>
          <w:szCs w:val="24"/>
        </w:rPr>
      </w:pPr>
      <w:r w:rsidRPr="00E13EED">
        <w:rPr>
          <w:rFonts w:cs="Times New Roman"/>
          <w:szCs w:val="24"/>
        </w:rPr>
        <w:t xml:space="preserve">  </w:t>
      </w:r>
      <w:r w:rsidRPr="00E13EED">
        <w:rPr>
          <w:rFonts w:cs="Times New Roman"/>
          <w:szCs w:val="24"/>
        </w:rPr>
        <w:tab/>
      </w:r>
      <w:r w:rsidR="001A2562" w:rsidRPr="00E13EED">
        <w:rPr>
          <w:rFonts w:cs="Times New Roman"/>
          <w:szCs w:val="24"/>
        </w:rPr>
        <w:t xml:space="preserve">The </w:t>
      </w:r>
      <w:r w:rsidR="006E46EA">
        <w:rPr>
          <w:rFonts w:cs="Times New Roman"/>
          <w:szCs w:val="24"/>
        </w:rPr>
        <w:t xml:space="preserve">fact that </w:t>
      </w:r>
      <w:r w:rsidR="001A2562" w:rsidRPr="00E13EED">
        <w:rPr>
          <w:rFonts w:cs="Times New Roman"/>
          <w:szCs w:val="24"/>
        </w:rPr>
        <w:t xml:space="preserve">Electron Hydro </w:t>
      </w:r>
      <w:r w:rsidR="006E46EA">
        <w:rPr>
          <w:rFonts w:cs="Times New Roman"/>
          <w:szCs w:val="24"/>
        </w:rPr>
        <w:t xml:space="preserve">has not </w:t>
      </w:r>
      <w:r w:rsidR="001A2562" w:rsidRPr="00E13EED">
        <w:rPr>
          <w:rFonts w:cs="Times New Roman"/>
          <w:szCs w:val="24"/>
        </w:rPr>
        <w:t>secure</w:t>
      </w:r>
      <w:r w:rsidR="006E46EA">
        <w:rPr>
          <w:rFonts w:cs="Times New Roman"/>
          <w:szCs w:val="24"/>
        </w:rPr>
        <w:t>d</w:t>
      </w:r>
      <w:r w:rsidR="001A2562" w:rsidRPr="00E13EED">
        <w:rPr>
          <w:rFonts w:cs="Times New Roman"/>
          <w:szCs w:val="24"/>
        </w:rPr>
        <w:t xml:space="preserve"> </w:t>
      </w:r>
      <w:r w:rsidR="001A2562" w:rsidRPr="008E5D1F">
        <w:rPr>
          <w:rFonts w:cs="Times New Roman"/>
          <w:szCs w:val="24"/>
        </w:rPr>
        <w:t xml:space="preserve">a new </w:t>
      </w:r>
      <w:r w:rsidR="006E46EA">
        <w:rPr>
          <w:rFonts w:cs="Times New Roman"/>
          <w:szCs w:val="24"/>
        </w:rPr>
        <w:t>Resource Enhancement Agreement (</w:t>
      </w:r>
      <w:r w:rsidR="00F66ECB" w:rsidRPr="008E5D1F">
        <w:rPr>
          <w:rFonts w:cs="Times New Roman"/>
          <w:szCs w:val="24"/>
        </w:rPr>
        <w:t>REA</w:t>
      </w:r>
      <w:r w:rsidR="006E46EA">
        <w:rPr>
          <w:rFonts w:cs="Times New Roman"/>
          <w:szCs w:val="24"/>
        </w:rPr>
        <w:t xml:space="preserve">) with the Puyallup Tribe of Indians (the Tribe) </w:t>
      </w:r>
      <w:r w:rsidR="00941054" w:rsidRPr="008E5D1F">
        <w:rPr>
          <w:rFonts w:cs="Times New Roman"/>
          <w:szCs w:val="24"/>
        </w:rPr>
        <w:t xml:space="preserve">has not proven </w:t>
      </w:r>
      <w:r w:rsidR="00F66ECB" w:rsidRPr="008E5D1F">
        <w:rPr>
          <w:rFonts w:cs="Times New Roman"/>
          <w:szCs w:val="24"/>
        </w:rPr>
        <w:t xml:space="preserve">an </w:t>
      </w:r>
      <w:r w:rsidR="00941054" w:rsidRPr="008E5D1F">
        <w:rPr>
          <w:rFonts w:cs="Times New Roman"/>
          <w:szCs w:val="24"/>
        </w:rPr>
        <w:t xml:space="preserve">insurmountable </w:t>
      </w:r>
      <w:r w:rsidR="00F66ECB" w:rsidRPr="008E5D1F">
        <w:rPr>
          <w:rFonts w:cs="Times New Roman"/>
          <w:szCs w:val="24"/>
        </w:rPr>
        <w:t>obstacle towards closing the sale</w:t>
      </w:r>
      <w:r w:rsidRPr="008E5D1F">
        <w:rPr>
          <w:rFonts w:cs="Times New Roman"/>
          <w:szCs w:val="24"/>
        </w:rPr>
        <w:t xml:space="preserve"> with PSE</w:t>
      </w:r>
      <w:r w:rsidR="00F66ECB" w:rsidRPr="008E5D1F">
        <w:rPr>
          <w:rFonts w:cs="Times New Roman"/>
          <w:szCs w:val="24"/>
        </w:rPr>
        <w:t>.  T</w:t>
      </w:r>
      <w:r w:rsidR="00941054" w:rsidRPr="008E5D1F">
        <w:rPr>
          <w:rFonts w:cs="Times New Roman"/>
          <w:szCs w:val="24"/>
        </w:rPr>
        <w:t xml:space="preserve">he approach taken by the Company and Electron Hydro </w:t>
      </w:r>
      <w:r w:rsidR="00F66ECB" w:rsidRPr="008E5D1F">
        <w:rPr>
          <w:rFonts w:cs="Times New Roman"/>
          <w:szCs w:val="24"/>
        </w:rPr>
        <w:t xml:space="preserve">to enter into a Facility Operation Agreement (FOA) </w:t>
      </w:r>
      <w:r w:rsidR="0092227B" w:rsidRPr="008E5D1F">
        <w:rPr>
          <w:rFonts w:cs="Times New Roman"/>
          <w:szCs w:val="24"/>
        </w:rPr>
        <w:t xml:space="preserve">is designed to </w:t>
      </w:r>
      <w:r w:rsidR="00941054" w:rsidRPr="008E5D1F">
        <w:rPr>
          <w:rFonts w:cs="Times New Roman"/>
          <w:szCs w:val="24"/>
        </w:rPr>
        <w:t xml:space="preserve">preserve the commitment </w:t>
      </w:r>
      <w:r w:rsidR="00F66ECB" w:rsidRPr="008E5D1F">
        <w:rPr>
          <w:rFonts w:cs="Times New Roman"/>
          <w:szCs w:val="24"/>
        </w:rPr>
        <w:t xml:space="preserve">PSE made in 1997 </w:t>
      </w:r>
      <w:r w:rsidR="00941054" w:rsidRPr="008E5D1F">
        <w:rPr>
          <w:rFonts w:cs="Times New Roman"/>
          <w:szCs w:val="24"/>
        </w:rPr>
        <w:t>with the Tribe</w:t>
      </w:r>
      <w:r w:rsidR="00FF0140" w:rsidRPr="008E5D1F">
        <w:rPr>
          <w:rFonts w:cs="Times New Roman"/>
          <w:szCs w:val="24"/>
        </w:rPr>
        <w:t xml:space="preserve"> </w:t>
      </w:r>
      <w:r w:rsidR="00941054" w:rsidRPr="008E5D1F">
        <w:rPr>
          <w:rFonts w:cs="Times New Roman"/>
          <w:szCs w:val="24"/>
        </w:rPr>
        <w:t xml:space="preserve">to </w:t>
      </w:r>
      <w:r w:rsidR="00F66ECB" w:rsidRPr="008E5D1F">
        <w:rPr>
          <w:rFonts w:cs="Times New Roman"/>
          <w:szCs w:val="24"/>
        </w:rPr>
        <w:t xml:space="preserve">continue </w:t>
      </w:r>
      <w:r w:rsidR="00941054" w:rsidRPr="008E5D1F">
        <w:rPr>
          <w:rFonts w:cs="Times New Roman"/>
          <w:szCs w:val="24"/>
        </w:rPr>
        <w:t>fishery and environmental enhancements and management along the Puyallup River</w:t>
      </w:r>
      <w:r w:rsidR="00F66ECB" w:rsidRPr="008E5D1F">
        <w:rPr>
          <w:rFonts w:cs="Times New Roman"/>
          <w:szCs w:val="24"/>
        </w:rPr>
        <w:t xml:space="preserve"> through </w:t>
      </w:r>
      <w:r w:rsidR="0092227B" w:rsidRPr="008E5D1F">
        <w:rPr>
          <w:rFonts w:cs="Times New Roman"/>
          <w:szCs w:val="24"/>
        </w:rPr>
        <w:t>expiration of the REA in 2026.</w:t>
      </w:r>
      <w:r w:rsidR="002F5EC4" w:rsidRPr="008E5D1F">
        <w:rPr>
          <w:rFonts w:cs="Times New Roman"/>
          <w:szCs w:val="24"/>
        </w:rPr>
        <w:t xml:space="preserve">  </w:t>
      </w:r>
    </w:p>
    <w:p w14:paraId="0E389434" w14:textId="77777777" w:rsidR="0092227B" w:rsidRPr="00E13EED" w:rsidRDefault="007514B6">
      <w:pPr>
        <w:pStyle w:val="ListParagraph"/>
        <w:numPr>
          <w:ilvl w:val="1"/>
          <w:numId w:val="6"/>
        </w:numPr>
        <w:spacing w:line="480" w:lineRule="auto"/>
        <w:rPr>
          <w:rFonts w:cs="Times New Roman"/>
          <w:szCs w:val="24"/>
        </w:rPr>
      </w:pPr>
      <w:r>
        <w:rPr>
          <w:rFonts w:cs="Times New Roman"/>
          <w:szCs w:val="24"/>
        </w:rPr>
        <w:tab/>
      </w:r>
      <w:r w:rsidR="00627F9F">
        <w:rPr>
          <w:rFonts w:cs="Times New Roman"/>
          <w:szCs w:val="24"/>
        </w:rPr>
        <w:t>T</w:t>
      </w:r>
      <w:r w:rsidR="00243AB6" w:rsidRPr="008E5D1F">
        <w:rPr>
          <w:rFonts w:cs="Times New Roman"/>
          <w:szCs w:val="24"/>
        </w:rPr>
        <w:t>he terms and conditions of the FOA</w:t>
      </w:r>
      <w:r w:rsidR="00243AB6">
        <w:rPr>
          <w:rFonts w:cs="Times New Roman"/>
          <w:szCs w:val="24"/>
        </w:rPr>
        <w:t xml:space="preserve"> </w:t>
      </w:r>
      <w:r>
        <w:rPr>
          <w:rFonts w:cs="Times New Roman"/>
          <w:szCs w:val="24"/>
        </w:rPr>
        <w:t>d</w:t>
      </w:r>
      <w:r w:rsidR="007E1FCF">
        <w:rPr>
          <w:rFonts w:cs="Times New Roman"/>
          <w:szCs w:val="24"/>
        </w:rPr>
        <w:t>o</w:t>
      </w:r>
      <w:r>
        <w:rPr>
          <w:rFonts w:cs="Times New Roman"/>
          <w:szCs w:val="24"/>
        </w:rPr>
        <w:t xml:space="preserve"> not change</w:t>
      </w:r>
      <w:r w:rsidR="00F155A7">
        <w:rPr>
          <w:rFonts w:cs="Times New Roman"/>
          <w:szCs w:val="24"/>
        </w:rPr>
        <w:t xml:space="preserve"> Staff’s recommendation</w:t>
      </w:r>
      <w:r w:rsidR="00243AB6">
        <w:rPr>
          <w:rFonts w:cs="Times New Roman"/>
          <w:szCs w:val="24"/>
        </w:rPr>
        <w:t xml:space="preserve">.  </w:t>
      </w:r>
      <w:r w:rsidR="00400301">
        <w:rPr>
          <w:rFonts w:cs="Times New Roman"/>
          <w:szCs w:val="24"/>
        </w:rPr>
        <w:t xml:space="preserve">Staff reviewed PSE’s proposed accounting treatment of </w:t>
      </w:r>
      <w:r w:rsidR="002F5EC4" w:rsidRPr="008E5D1F">
        <w:rPr>
          <w:rFonts w:cs="Times New Roman"/>
          <w:szCs w:val="24"/>
        </w:rPr>
        <w:t xml:space="preserve">pass-through payments by Electron </w:t>
      </w:r>
      <w:r w:rsidR="002F5EC4" w:rsidRPr="008E5D1F">
        <w:rPr>
          <w:rFonts w:cs="Times New Roman"/>
          <w:szCs w:val="24"/>
        </w:rPr>
        <w:lastRenderedPageBreak/>
        <w:t>Hydro to PSE for operations and maintenance contributions and REA expenses</w:t>
      </w:r>
      <w:r w:rsidR="004F446A" w:rsidRPr="008E5D1F">
        <w:rPr>
          <w:rFonts w:cs="Times New Roman"/>
          <w:szCs w:val="24"/>
        </w:rPr>
        <w:t xml:space="preserve">, </w:t>
      </w:r>
      <w:r w:rsidR="00C773CD" w:rsidRPr="008E5D1F">
        <w:rPr>
          <w:rFonts w:cs="Times New Roman"/>
          <w:szCs w:val="24"/>
        </w:rPr>
        <w:t xml:space="preserve">which </w:t>
      </w:r>
      <w:r w:rsidR="00400301">
        <w:rPr>
          <w:rFonts w:cs="Times New Roman"/>
          <w:szCs w:val="24"/>
        </w:rPr>
        <w:t>have been memorialized in the Amended Application</w:t>
      </w:r>
      <w:r w:rsidR="00C773CD" w:rsidRPr="00E13EED">
        <w:rPr>
          <w:rFonts w:cs="Times New Roman"/>
          <w:szCs w:val="24"/>
        </w:rPr>
        <w:t>.</w:t>
      </w:r>
      <w:r w:rsidR="002F5EC4">
        <w:rPr>
          <w:rStyle w:val="FootnoteReference"/>
          <w:rFonts w:cs="Times New Roman"/>
          <w:szCs w:val="24"/>
        </w:rPr>
        <w:footnoteReference w:id="6"/>
      </w:r>
    </w:p>
    <w:p w14:paraId="2B9A3781" w14:textId="77777777" w:rsidR="00346518" w:rsidRDefault="00C773CD" w:rsidP="00E37AAD">
      <w:pPr>
        <w:pStyle w:val="ListParagraph"/>
        <w:numPr>
          <w:ilvl w:val="1"/>
          <w:numId w:val="6"/>
        </w:numPr>
        <w:spacing w:line="480" w:lineRule="auto"/>
        <w:rPr>
          <w:rFonts w:cs="Times New Roman"/>
          <w:szCs w:val="24"/>
        </w:rPr>
      </w:pPr>
      <w:r>
        <w:rPr>
          <w:rFonts w:cs="Times New Roman"/>
          <w:szCs w:val="24"/>
        </w:rPr>
        <w:tab/>
        <w:t xml:space="preserve">Staff </w:t>
      </w:r>
      <w:r w:rsidR="007514B6">
        <w:rPr>
          <w:rFonts w:cs="Times New Roman"/>
          <w:szCs w:val="24"/>
        </w:rPr>
        <w:t xml:space="preserve">also </w:t>
      </w:r>
      <w:r w:rsidR="00E74130">
        <w:rPr>
          <w:rFonts w:cs="Times New Roman"/>
          <w:szCs w:val="24"/>
        </w:rPr>
        <w:t>reviewed</w:t>
      </w:r>
      <w:r w:rsidR="000B709D">
        <w:rPr>
          <w:rFonts w:cs="Times New Roman"/>
          <w:szCs w:val="24"/>
        </w:rPr>
        <w:t xml:space="preserve"> the </w:t>
      </w:r>
      <w:r w:rsidR="00FF1F99">
        <w:rPr>
          <w:rFonts w:cs="Times New Roman"/>
          <w:szCs w:val="24"/>
        </w:rPr>
        <w:t xml:space="preserve">July 16, 2014, </w:t>
      </w:r>
      <w:r w:rsidR="000B709D">
        <w:rPr>
          <w:rFonts w:cs="Times New Roman"/>
          <w:szCs w:val="24"/>
        </w:rPr>
        <w:t xml:space="preserve">intervention petition of the </w:t>
      </w:r>
      <w:r w:rsidR="00B0757D">
        <w:rPr>
          <w:rFonts w:cs="Times New Roman"/>
          <w:szCs w:val="24"/>
        </w:rPr>
        <w:t>T</w:t>
      </w:r>
      <w:r w:rsidR="000B709D">
        <w:rPr>
          <w:rFonts w:cs="Times New Roman"/>
          <w:szCs w:val="24"/>
        </w:rPr>
        <w:t xml:space="preserve">ribe.  Overall, the Tribe alleges that PSE is </w:t>
      </w:r>
      <w:r w:rsidR="00E37AAD">
        <w:rPr>
          <w:rFonts w:cs="Times New Roman"/>
          <w:szCs w:val="24"/>
        </w:rPr>
        <w:t xml:space="preserve">breaching </w:t>
      </w:r>
      <w:r w:rsidR="000B709D">
        <w:rPr>
          <w:rFonts w:cs="Times New Roman"/>
          <w:szCs w:val="24"/>
        </w:rPr>
        <w:t>the terms of the REA</w:t>
      </w:r>
      <w:r w:rsidR="00E37AAD">
        <w:rPr>
          <w:rFonts w:cs="Times New Roman"/>
          <w:szCs w:val="24"/>
        </w:rPr>
        <w:t xml:space="preserve"> by</w:t>
      </w:r>
      <w:r w:rsidR="000B5A64">
        <w:rPr>
          <w:rFonts w:cs="Times New Roman"/>
          <w:szCs w:val="24"/>
        </w:rPr>
        <w:t xml:space="preserve">, among other things, </w:t>
      </w:r>
      <w:r w:rsidR="007514B6">
        <w:rPr>
          <w:rFonts w:cs="Times New Roman"/>
          <w:szCs w:val="24"/>
        </w:rPr>
        <w:t xml:space="preserve">allegedly </w:t>
      </w:r>
      <w:r w:rsidR="00E37AAD">
        <w:rPr>
          <w:rFonts w:cs="Times New Roman"/>
          <w:szCs w:val="24"/>
        </w:rPr>
        <w:t xml:space="preserve">assigning </w:t>
      </w:r>
      <w:r w:rsidR="006E46EA">
        <w:rPr>
          <w:rFonts w:cs="Times New Roman"/>
          <w:szCs w:val="24"/>
        </w:rPr>
        <w:t xml:space="preserve">PSE’s </w:t>
      </w:r>
      <w:r w:rsidR="00E37AAD">
        <w:rPr>
          <w:rFonts w:cs="Times New Roman"/>
          <w:szCs w:val="24"/>
        </w:rPr>
        <w:t xml:space="preserve">rights and responsibilities to Electron </w:t>
      </w:r>
      <w:r w:rsidR="00346518">
        <w:rPr>
          <w:rFonts w:cs="Times New Roman"/>
          <w:szCs w:val="24"/>
        </w:rPr>
        <w:t>H</w:t>
      </w:r>
      <w:r w:rsidR="00E37AAD">
        <w:rPr>
          <w:rFonts w:cs="Times New Roman"/>
          <w:szCs w:val="24"/>
        </w:rPr>
        <w:t>ydro without first obtaining the Tribe’s consent.  As</w:t>
      </w:r>
      <w:r w:rsidR="000B709D">
        <w:rPr>
          <w:rFonts w:cs="Times New Roman"/>
          <w:szCs w:val="24"/>
        </w:rPr>
        <w:t xml:space="preserve"> a consequence, the </w:t>
      </w:r>
      <w:r w:rsidR="00E37AAD">
        <w:rPr>
          <w:rFonts w:cs="Times New Roman"/>
          <w:szCs w:val="24"/>
        </w:rPr>
        <w:t xml:space="preserve">Tribe says the </w:t>
      </w:r>
      <w:r w:rsidR="000B709D">
        <w:rPr>
          <w:rFonts w:cs="Times New Roman"/>
          <w:szCs w:val="24"/>
        </w:rPr>
        <w:t>Amended Agreement will increase costs to PSE ratepayers.</w:t>
      </w:r>
      <w:r w:rsidR="00EB1C34">
        <w:rPr>
          <w:rStyle w:val="FootnoteReference"/>
          <w:rFonts w:cs="Times New Roman"/>
          <w:szCs w:val="24"/>
        </w:rPr>
        <w:footnoteReference w:id="7"/>
      </w:r>
      <w:r w:rsidR="00EB1C34">
        <w:rPr>
          <w:rFonts w:cs="Times New Roman"/>
          <w:szCs w:val="24"/>
        </w:rPr>
        <w:t xml:space="preserve">  </w:t>
      </w:r>
      <w:r w:rsidR="00280671">
        <w:rPr>
          <w:rFonts w:cs="Times New Roman"/>
          <w:szCs w:val="24"/>
        </w:rPr>
        <w:t xml:space="preserve">  </w:t>
      </w:r>
      <w:r w:rsidR="00346518">
        <w:rPr>
          <w:rFonts w:cs="Times New Roman"/>
          <w:szCs w:val="24"/>
        </w:rPr>
        <w:t xml:space="preserve"> </w:t>
      </w:r>
    </w:p>
    <w:p w14:paraId="56501492" w14:textId="77777777" w:rsidR="007514B6" w:rsidRDefault="00346518" w:rsidP="00E37AAD">
      <w:pPr>
        <w:pStyle w:val="ListParagraph"/>
        <w:numPr>
          <w:ilvl w:val="1"/>
          <w:numId w:val="6"/>
        </w:numPr>
        <w:spacing w:line="480" w:lineRule="auto"/>
        <w:rPr>
          <w:rFonts w:cs="Times New Roman"/>
          <w:szCs w:val="24"/>
        </w:rPr>
      </w:pPr>
      <w:r>
        <w:rPr>
          <w:rFonts w:cs="Times New Roman"/>
          <w:szCs w:val="24"/>
        </w:rPr>
        <w:tab/>
      </w:r>
      <w:r w:rsidR="00E37AAD">
        <w:rPr>
          <w:rFonts w:cs="Times New Roman"/>
          <w:szCs w:val="24"/>
        </w:rPr>
        <w:t xml:space="preserve">In </w:t>
      </w:r>
      <w:r w:rsidR="000B709D">
        <w:rPr>
          <w:rFonts w:cs="Times New Roman"/>
          <w:szCs w:val="24"/>
        </w:rPr>
        <w:t>response</w:t>
      </w:r>
      <w:r w:rsidR="00E37AAD">
        <w:rPr>
          <w:rFonts w:cs="Times New Roman"/>
          <w:szCs w:val="24"/>
        </w:rPr>
        <w:t xml:space="preserve">, </w:t>
      </w:r>
      <w:r w:rsidR="000B709D">
        <w:rPr>
          <w:rFonts w:cs="Times New Roman"/>
          <w:szCs w:val="24"/>
        </w:rPr>
        <w:t xml:space="preserve">it </w:t>
      </w:r>
      <w:r>
        <w:rPr>
          <w:rFonts w:cs="Times New Roman"/>
          <w:szCs w:val="24"/>
        </w:rPr>
        <w:t xml:space="preserve">seems </w:t>
      </w:r>
      <w:r w:rsidR="000B709D">
        <w:rPr>
          <w:rFonts w:cs="Times New Roman"/>
          <w:szCs w:val="24"/>
        </w:rPr>
        <w:t xml:space="preserve">to Staff that PSE remains bound by the REA, and therefore, </w:t>
      </w:r>
      <w:r w:rsidR="006E46EA">
        <w:rPr>
          <w:rFonts w:cs="Times New Roman"/>
          <w:szCs w:val="24"/>
        </w:rPr>
        <w:t xml:space="preserve">the Company retains all of its </w:t>
      </w:r>
      <w:r w:rsidR="000B709D">
        <w:rPr>
          <w:rFonts w:cs="Times New Roman"/>
          <w:szCs w:val="24"/>
        </w:rPr>
        <w:t>obligations to the Tribe</w:t>
      </w:r>
      <w:r w:rsidR="00E37AAD">
        <w:rPr>
          <w:rFonts w:cs="Times New Roman"/>
          <w:szCs w:val="24"/>
        </w:rPr>
        <w:t xml:space="preserve">.  </w:t>
      </w:r>
      <w:r w:rsidR="00D64BA9">
        <w:rPr>
          <w:rFonts w:cs="Times New Roman"/>
          <w:szCs w:val="24"/>
        </w:rPr>
        <w:t>For example, t</w:t>
      </w:r>
      <w:r>
        <w:rPr>
          <w:rFonts w:cs="Times New Roman"/>
          <w:szCs w:val="24"/>
        </w:rPr>
        <w:t>he FO</w:t>
      </w:r>
      <w:r w:rsidR="00D64BA9">
        <w:rPr>
          <w:rFonts w:cs="Times New Roman"/>
          <w:szCs w:val="24"/>
        </w:rPr>
        <w:t>A</w:t>
      </w:r>
      <w:r>
        <w:rPr>
          <w:rFonts w:cs="Times New Roman"/>
          <w:szCs w:val="24"/>
        </w:rPr>
        <w:t xml:space="preserve"> states that “PSE will maintain the REA in full force and effect for the remainder of its term</w:t>
      </w:r>
      <w:r w:rsidR="00280671">
        <w:rPr>
          <w:rFonts w:cs="Times New Roman"/>
          <w:szCs w:val="24"/>
        </w:rPr>
        <w:t xml:space="preserve"> …”</w:t>
      </w:r>
      <w:r w:rsidR="00EB1C34">
        <w:rPr>
          <w:rStyle w:val="FootnoteReference"/>
          <w:rFonts w:cs="Times New Roman"/>
          <w:szCs w:val="24"/>
        </w:rPr>
        <w:footnoteReference w:id="8"/>
      </w:r>
      <w:r w:rsidR="00280671">
        <w:rPr>
          <w:rFonts w:cs="Times New Roman"/>
          <w:szCs w:val="24"/>
        </w:rPr>
        <w:t xml:space="preserve">  </w:t>
      </w:r>
      <w:r w:rsidR="00E37AAD">
        <w:rPr>
          <w:rFonts w:cs="Times New Roman"/>
          <w:szCs w:val="24"/>
        </w:rPr>
        <w:t>In any event, if PSE breach</w:t>
      </w:r>
      <w:r w:rsidR="000B5A64">
        <w:rPr>
          <w:rFonts w:cs="Times New Roman"/>
          <w:szCs w:val="24"/>
        </w:rPr>
        <w:t>es</w:t>
      </w:r>
      <w:r w:rsidR="00E37AAD">
        <w:rPr>
          <w:rFonts w:cs="Times New Roman"/>
          <w:szCs w:val="24"/>
        </w:rPr>
        <w:t xml:space="preserve"> </w:t>
      </w:r>
      <w:r>
        <w:rPr>
          <w:rFonts w:cs="Times New Roman"/>
          <w:szCs w:val="24"/>
        </w:rPr>
        <w:t>the REA</w:t>
      </w:r>
      <w:r w:rsidR="00E37AAD">
        <w:rPr>
          <w:rFonts w:cs="Times New Roman"/>
          <w:szCs w:val="24"/>
        </w:rPr>
        <w:t xml:space="preserve">, and </w:t>
      </w:r>
      <w:r>
        <w:rPr>
          <w:rFonts w:cs="Times New Roman"/>
          <w:szCs w:val="24"/>
        </w:rPr>
        <w:t xml:space="preserve">higher </w:t>
      </w:r>
      <w:r w:rsidR="00E37AAD">
        <w:rPr>
          <w:rFonts w:cs="Times New Roman"/>
          <w:szCs w:val="24"/>
        </w:rPr>
        <w:t xml:space="preserve">costs result, </w:t>
      </w:r>
      <w:r>
        <w:rPr>
          <w:rFonts w:cs="Times New Roman"/>
          <w:szCs w:val="24"/>
        </w:rPr>
        <w:t>such costs would be imprudent and would not be borne by ratepayers.</w:t>
      </w:r>
      <w:r w:rsidR="00C84A5C">
        <w:rPr>
          <w:rStyle w:val="FootnoteReference"/>
          <w:rFonts w:cs="Times New Roman"/>
          <w:szCs w:val="24"/>
        </w:rPr>
        <w:footnoteReference w:id="9"/>
      </w:r>
      <w:r>
        <w:rPr>
          <w:rFonts w:cs="Times New Roman"/>
          <w:szCs w:val="24"/>
        </w:rPr>
        <w:t xml:space="preserve">  </w:t>
      </w:r>
      <w:r w:rsidR="00E37AAD">
        <w:rPr>
          <w:rFonts w:cs="Times New Roman"/>
          <w:szCs w:val="24"/>
        </w:rPr>
        <w:t xml:space="preserve">Accordingly, </w:t>
      </w:r>
      <w:r w:rsidR="007514B6">
        <w:rPr>
          <w:rFonts w:cs="Times New Roman"/>
          <w:szCs w:val="24"/>
        </w:rPr>
        <w:t xml:space="preserve">even assuming </w:t>
      </w:r>
      <w:r w:rsidR="00E37AAD">
        <w:rPr>
          <w:rFonts w:cs="Times New Roman"/>
          <w:szCs w:val="24"/>
        </w:rPr>
        <w:t>a breach</w:t>
      </w:r>
      <w:r w:rsidR="007514B6">
        <w:rPr>
          <w:rFonts w:cs="Times New Roman"/>
          <w:szCs w:val="24"/>
        </w:rPr>
        <w:t>, that</w:t>
      </w:r>
      <w:r w:rsidR="00E37AAD">
        <w:rPr>
          <w:rFonts w:cs="Times New Roman"/>
          <w:szCs w:val="24"/>
        </w:rPr>
        <w:t xml:space="preserve"> would not necessarily change the economics of the deal, </w:t>
      </w:r>
      <w:r w:rsidR="00E37AAD" w:rsidRPr="00627F9F">
        <w:rPr>
          <w:rFonts w:cs="Times New Roman"/>
          <w:szCs w:val="24"/>
        </w:rPr>
        <w:t>from a regulatory perspective</w:t>
      </w:r>
      <w:r w:rsidR="00E37AAD">
        <w:rPr>
          <w:rFonts w:cs="Times New Roman"/>
          <w:szCs w:val="24"/>
        </w:rPr>
        <w:t>.</w:t>
      </w:r>
      <w:r w:rsidR="000B709D">
        <w:rPr>
          <w:rFonts w:cs="Times New Roman"/>
          <w:szCs w:val="24"/>
        </w:rPr>
        <w:t xml:space="preserve"> </w:t>
      </w:r>
      <w:r w:rsidR="00280671">
        <w:rPr>
          <w:rFonts w:cs="Times New Roman"/>
          <w:szCs w:val="24"/>
        </w:rPr>
        <w:t xml:space="preserve"> </w:t>
      </w:r>
    </w:p>
    <w:p w14:paraId="59321488" w14:textId="77777777" w:rsidR="00E37AAD" w:rsidRDefault="007514B6" w:rsidP="00E37AAD">
      <w:pPr>
        <w:pStyle w:val="ListParagraph"/>
        <w:numPr>
          <w:ilvl w:val="1"/>
          <w:numId w:val="6"/>
        </w:numPr>
        <w:spacing w:line="480" w:lineRule="auto"/>
        <w:rPr>
          <w:rFonts w:cs="Times New Roman"/>
          <w:szCs w:val="24"/>
        </w:rPr>
      </w:pPr>
      <w:r>
        <w:rPr>
          <w:rFonts w:cs="Times New Roman"/>
          <w:szCs w:val="24"/>
        </w:rPr>
        <w:tab/>
      </w:r>
      <w:r w:rsidR="00280671">
        <w:rPr>
          <w:rFonts w:cs="Times New Roman"/>
          <w:szCs w:val="24"/>
        </w:rPr>
        <w:t xml:space="preserve">The same </w:t>
      </w:r>
      <w:r w:rsidR="00627F9F">
        <w:rPr>
          <w:rFonts w:cs="Times New Roman"/>
          <w:szCs w:val="24"/>
        </w:rPr>
        <w:t xml:space="preserve">rationale applies </w:t>
      </w:r>
      <w:r w:rsidR="00280671">
        <w:rPr>
          <w:rFonts w:cs="Times New Roman"/>
          <w:szCs w:val="24"/>
        </w:rPr>
        <w:t xml:space="preserve">if PSE has violated </w:t>
      </w:r>
      <w:r w:rsidR="006E46EA">
        <w:rPr>
          <w:rFonts w:cs="Times New Roman"/>
          <w:szCs w:val="24"/>
        </w:rPr>
        <w:t xml:space="preserve">or will violate </w:t>
      </w:r>
      <w:r w:rsidR="00280671">
        <w:rPr>
          <w:rFonts w:cs="Times New Roman"/>
          <w:szCs w:val="24"/>
        </w:rPr>
        <w:t>the Endangered Species Act, as the Tribe also alleges.</w:t>
      </w:r>
      <w:r w:rsidR="00280671">
        <w:rPr>
          <w:rStyle w:val="FootnoteReference"/>
          <w:rFonts w:cs="Times New Roman"/>
          <w:szCs w:val="24"/>
        </w:rPr>
        <w:footnoteReference w:id="10"/>
      </w:r>
      <w:r w:rsidR="00EB1C34">
        <w:rPr>
          <w:rFonts w:cs="Times New Roman"/>
          <w:szCs w:val="24"/>
        </w:rPr>
        <w:t xml:space="preserve">  Ratepayers are not </w:t>
      </w:r>
      <w:r>
        <w:rPr>
          <w:rFonts w:cs="Times New Roman"/>
          <w:szCs w:val="24"/>
        </w:rPr>
        <w:t>responsible</w:t>
      </w:r>
      <w:r w:rsidR="00EB1C34">
        <w:rPr>
          <w:rFonts w:cs="Times New Roman"/>
          <w:szCs w:val="24"/>
        </w:rPr>
        <w:t xml:space="preserve"> for costs resulting from statutory violations, </w:t>
      </w:r>
      <w:r w:rsidR="000B5A64">
        <w:rPr>
          <w:rFonts w:cs="Times New Roman"/>
          <w:szCs w:val="24"/>
        </w:rPr>
        <w:t xml:space="preserve">either, </w:t>
      </w:r>
      <w:r w:rsidR="00EB1C34">
        <w:rPr>
          <w:rFonts w:cs="Times New Roman"/>
          <w:szCs w:val="24"/>
        </w:rPr>
        <w:t xml:space="preserve">should </w:t>
      </w:r>
      <w:r w:rsidR="000B5A64">
        <w:rPr>
          <w:rFonts w:cs="Times New Roman"/>
          <w:szCs w:val="24"/>
        </w:rPr>
        <w:t>such violations</w:t>
      </w:r>
      <w:r w:rsidR="00EB1C34">
        <w:rPr>
          <w:rFonts w:cs="Times New Roman"/>
          <w:szCs w:val="24"/>
        </w:rPr>
        <w:t xml:space="preserve"> occur.</w:t>
      </w:r>
      <w:r>
        <w:rPr>
          <w:rFonts w:cs="Times New Roman"/>
          <w:szCs w:val="24"/>
        </w:rPr>
        <w:t xml:space="preserve"> </w:t>
      </w:r>
      <w:r w:rsidR="00627F9F">
        <w:rPr>
          <w:rFonts w:cs="Times New Roman"/>
          <w:szCs w:val="24"/>
        </w:rPr>
        <w:t xml:space="preserve"> Therefore, the resulting costs would not affect the economics of the deal, from a regulatory perspective.</w:t>
      </w:r>
    </w:p>
    <w:p w14:paraId="714A8A08" w14:textId="6154B277" w:rsidR="00C773CD" w:rsidRPr="00E37AAD" w:rsidRDefault="00E37AAD" w:rsidP="00E37AAD">
      <w:pPr>
        <w:pStyle w:val="ListParagraph"/>
        <w:numPr>
          <w:ilvl w:val="1"/>
          <w:numId w:val="6"/>
        </w:numPr>
        <w:spacing w:line="480" w:lineRule="auto"/>
        <w:rPr>
          <w:rFonts w:cs="Times New Roman"/>
          <w:szCs w:val="24"/>
        </w:rPr>
      </w:pPr>
      <w:r>
        <w:rPr>
          <w:rFonts w:cs="Times New Roman"/>
          <w:szCs w:val="24"/>
        </w:rPr>
        <w:lastRenderedPageBreak/>
        <w:tab/>
      </w:r>
      <w:r w:rsidR="000B709D" w:rsidRPr="00E37AAD">
        <w:rPr>
          <w:rFonts w:cs="Times New Roman"/>
          <w:szCs w:val="24"/>
        </w:rPr>
        <w:t xml:space="preserve">The Tribe </w:t>
      </w:r>
      <w:r w:rsidR="007514B6">
        <w:rPr>
          <w:rFonts w:cs="Times New Roman"/>
          <w:szCs w:val="24"/>
        </w:rPr>
        <w:t xml:space="preserve">further </w:t>
      </w:r>
      <w:r w:rsidR="000B709D" w:rsidRPr="00E37AAD">
        <w:rPr>
          <w:rFonts w:cs="Times New Roman"/>
          <w:szCs w:val="24"/>
        </w:rPr>
        <w:t xml:space="preserve">alleges </w:t>
      </w:r>
      <w:r w:rsidR="007514B6">
        <w:rPr>
          <w:rFonts w:cs="Times New Roman"/>
          <w:szCs w:val="24"/>
        </w:rPr>
        <w:t xml:space="preserve">that </w:t>
      </w:r>
      <w:r w:rsidR="000B709D" w:rsidRPr="00E37AAD">
        <w:rPr>
          <w:rFonts w:cs="Times New Roman"/>
          <w:szCs w:val="24"/>
        </w:rPr>
        <w:t xml:space="preserve">PSE will receive less power from the Electron Project than </w:t>
      </w:r>
      <w:r w:rsidR="007514B6">
        <w:rPr>
          <w:rFonts w:cs="Times New Roman"/>
          <w:szCs w:val="24"/>
        </w:rPr>
        <w:t xml:space="preserve">PSE </w:t>
      </w:r>
      <w:r w:rsidR="000B709D" w:rsidRPr="00E37AAD">
        <w:rPr>
          <w:rFonts w:cs="Times New Roman"/>
          <w:szCs w:val="24"/>
        </w:rPr>
        <w:t>contemplate</w:t>
      </w:r>
      <w:r w:rsidR="007514B6">
        <w:rPr>
          <w:rFonts w:cs="Times New Roman"/>
          <w:szCs w:val="24"/>
        </w:rPr>
        <w:t>s,</w:t>
      </w:r>
      <w:r w:rsidR="00E13EED">
        <w:rPr>
          <w:rFonts w:cs="Times New Roman"/>
          <w:szCs w:val="24"/>
        </w:rPr>
        <w:t xml:space="preserve"> thereby negatively impacting ratepayers</w:t>
      </w:r>
      <w:r w:rsidR="000B709D" w:rsidRPr="00E37AAD">
        <w:rPr>
          <w:rFonts w:cs="Times New Roman"/>
          <w:szCs w:val="24"/>
        </w:rPr>
        <w:t>.</w:t>
      </w:r>
      <w:r w:rsidR="00EB1C34">
        <w:rPr>
          <w:rStyle w:val="FootnoteReference"/>
          <w:rFonts w:cs="Times New Roman"/>
          <w:szCs w:val="24"/>
        </w:rPr>
        <w:footnoteReference w:id="11"/>
      </w:r>
      <w:r w:rsidR="000B709D" w:rsidRPr="00E37AAD">
        <w:rPr>
          <w:rFonts w:cs="Times New Roman"/>
          <w:szCs w:val="24"/>
        </w:rPr>
        <w:t xml:space="preserve">  However, </w:t>
      </w:r>
      <w:r w:rsidR="007514B6">
        <w:rPr>
          <w:rFonts w:cs="Times New Roman"/>
          <w:szCs w:val="24"/>
        </w:rPr>
        <w:t xml:space="preserve">as shown </w:t>
      </w:r>
      <w:r w:rsidR="00E13EED">
        <w:rPr>
          <w:rFonts w:cs="Times New Roman"/>
          <w:szCs w:val="24"/>
        </w:rPr>
        <w:t xml:space="preserve">in </w:t>
      </w:r>
      <w:r w:rsidR="007514B6">
        <w:t>Confidential Exhibit No. __ (PKW-13C)</w:t>
      </w:r>
      <w:r w:rsidR="00646274">
        <w:t xml:space="preserve">, </w:t>
      </w:r>
      <w:r w:rsidR="006E46EA">
        <w:t xml:space="preserve">filed in an earlier phase of this docket, </w:t>
      </w:r>
      <w:r w:rsidR="00646274" w:rsidRPr="007514B6">
        <w:rPr>
          <w:rFonts w:cs="Times New Roman"/>
          <w:szCs w:val="24"/>
        </w:rPr>
        <w:t>a</w:t>
      </w:r>
      <w:r w:rsidR="00E13EED" w:rsidRPr="00646274">
        <w:rPr>
          <w:rFonts w:cs="Times New Roman"/>
          <w:szCs w:val="24"/>
        </w:rPr>
        <w:t xml:space="preserve"> reduction in </w:t>
      </w:r>
      <w:r w:rsidR="00646274">
        <w:rPr>
          <w:rFonts w:cs="Times New Roman"/>
          <w:szCs w:val="24"/>
        </w:rPr>
        <w:t xml:space="preserve">the power delivered through the </w:t>
      </w:r>
      <w:r w:rsidR="00E13EED" w:rsidRPr="00646274">
        <w:rPr>
          <w:rFonts w:cs="Times New Roman"/>
          <w:szCs w:val="24"/>
        </w:rPr>
        <w:t xml:space="preserve">Electron PPA </w:t>
      </w:r>
      <w:r w:rsidR="0091710E" w:rsidRPr="0091710E">
        <w:rPr>
          <w:rFonts w:cs="Times New Roman"/>
          <w:szCs w:val="24"/>
          <w:highlight w:val="black"/>
        </w:rPr>
        <w:t>xxxxxxxxxxxxxxxxxxxxxxxxxxxxxxx</w:t>
      </w:r>
      <w:r w:rsidR="00E13EED" w:rsidRPr="0091710E">
        <w:rPr>
          <w:rFonts w:cs="Times New Roman"/>
          <w:szCs w:val="24"/>
          <w:highlight w:val="black"/>
        </w:rPr>
        <w:t xml:space="preserve"> </w:t>
      </w:r>
      <w:r w:rsidR="0091710E">
        <w:rPr>
          <w:rFonts w:cs="Times New Roman"/>
          <w:szCs w:val="24"/>
          <w:highlight w:val="black"/>
        </w:rPr>
        <w:t>xxxxxxxxxxxxxxxxxxxxxxxxxx</w:t>
      </w:r>
      <w:r w:rsidR="0091710E">
        <w:rPr>
          <w:rFonts w:cs="Times New Roman"/>
          <w:szCs w:val="24"/>
        </w:rPr>
        <w:t xml:space="preserve"> </w:t>
      </w:r>
      <w:r w:rsidR="004D574A" w:rsidRPr="00646274">
        <w:rPr>
          <w:rFonts w:cs="Times New Roman"/>
          <w:szCs w:val="24"/>
        </w:rPr>
        <w:t>from the sale of the Electron Project</w:t>
      </w:r>
      <w:r w:rsidR="004D574A" w:rsidRPr="00627F9F">
        <w:rPr>
          <w:rFonts w:cs="Times New Roman"/>
          <w:szCs w:val="24"/>
        </w:rPr>
        <w:t>.</w:t>
      </w:r>
      <w:r w:rsidR="004C296D">
        <w:rPr>
          <w:rStyle w:val="FootnoteReference"/>
          <w:rFonts w:cs="Times New Roman"/>
          <w:szCs w:val="24"/>
        </w:rPr>
        <w:footnoteReference w:id="12"/>
      </w:r>
      <w:r w:rsidR="00834669">
        <w:rPr>
          <w:rFonts w:cs="Times New Roman"/>
          <w:szCs w:val="24"/>
        </w:rPr>
        <w:t xml:space="preserve"> </w:t>
      </w:r>
      <w:r w:rsidR="002157A7">
        <w:rPr>
          <w:rFonts w:cs="Times New Roman"/>
          <w:szCs w:val="24"/>
        </w:rPr>
        <w:t xml:space="preserve">  </w:t>
      </w:r>
    </w:p>
    <w:p w14:paraId="539E52EF" w14:textId="77777777" w:rsidR="001F55EF" w:rsidRPr="007514B6" w:rsidRDefault="0092227B" w:rsidP="007514B6">
      <w:pPr>
        <w:pStyle w:val="ListParagraph"/>
        <w:numPr>
          <w:ilvl w:val="1"/>
          <w:numId w:val="6"/>
        </w:numPr>
        <w:spacing w:line="480" w:lineRule="auto"/>
        <w:rPr>
          <w:rFonts w:cs="Times New Roman"/>
          <w:szCs w:val="24"/>
        </w:rPr>
      </w:pPr>
      <w:r>
        <w:rPr>
          <w:rFonts w:cs="Times New Roman"/>
          <w:szCs w:val="24"/>
        </w:rPr>
        <w:t xml:space="preserve">  </w:t>
      </w:r>
      <w:r>
        <w:rPr>
          <w:rFonts w:cs="Times New Roman"/>
          <w:szCs w:val="24"/>
        </w:rPr>
        <w:tab/>
      </w:r>
      <w:r w:rsidR="00EB1C34">
        <w:rPr>
          <w:rFonts w:cs="Times New Roman"/>
          <w:szCs w:val="24"/>
        </w:rPr>
        <w:t xml:space="preserve">In sum, Staff </w:t>
      </w:r>
      <w:r w:rsidR="000B5A64">
        <w:rPr>
          <w:rFonts w:cs="Times New Roman"/>
          <w:szCs w:val="24"/>
        </w:rPr>
        <w:t xml:space="preserve">recommends the Commission approve the </w:t>
      </w:r>
      <w:r w:rsidR="00EB1C34">
        <w:rPr>
          <w:rFonts w:cs="Times New Roman"/>
          <w:szCs w:val="24"/>
        </w:rPr>
        <w:t>Amended Application</w:t>
      </w:r>
      <w:r w:rsidR="006E46EA">
        <w:rPr>
          <w:rFonts w:cs="Times New Roman"/>
          <w:szCs w:val="24"/>
        </w:rPr>
        <w:t>, as described in Paragraph 3 above.</w:t>
      </w:r>
      <w:r w:rsidR="000B5A64">
        <w:rPr>
          <w:rFonts w:cs="Times New Roman"/>
          <w:szCs w:val="24"/>
        </w:rPr>
        <w:t xml:space="preserve">   </w:t>
      </w:r>
      <w:r w:rsidR="00EB1C34">
        <w:rPr>
          <w:rFonts w:cs="Times New Roman"/>
          <w:szCs w:val="24"/>
        </w:rPr>
        <w:t xml:space="preserve"> </w:t>
      </w:r>
    </w:p>
    <w:p w14:paraId="7BE088BE" w14:textId="77777777" w:rsidR="009F67A5" w:rsidRPr="009F67A5" w:rsidRDefault="009F67A5" w:rsidP="009F67A5">
      <w:pPr>
        <w:widowControl w:val="0"/>
        <w:autoSpaceDE w:val="0"/>
        <w:autoSpaceDN w:val="0"/>
        <w:adjustRightInd w:val="0"/>
        <w:ind w:left="720"/>
        <w:rPr>
          <w:rFonts w:eastAsia="Times New Roman" w:cs="Times New Roman"/>
          <w:szCs w:val="24"/>
        </w:rPr>
      </w:pPr>
      <w:r w:rsidRPr="009F67A5">
        <w:rPr>
          <w:rFonts w:eastAsia="Times New Roman" w:cs="Times New Roman"/>
          <w:szCs w:val="24"/>
        </w:rPr>
        <w:t xml:space="preserve">DATED this </w:t>
      </w:r>
      <w:r w:rsidR="001F55EF">
        <w:rPr>
          <w:rFonts w:eastAsia="Times New Roman" w:cs="Times New Roman"/>
          <w:szCs w:val="24"/>
        </w:rPr>
        <w:t>1</w:t>
      </w:r>
      <w:r w:rsidR="007514B6">
        <w:rPr>
          <w:rFonts w:eastAsia="Times New Roman" w:cs="Times New Roman"/>
          <w:szCs w:val="24"/>
        </w:rPr>
        <w:t>8</w:t>
      </w:r>
      <w:r w:rsidRPr="009F67A5">
        <w:rPr>
          <w:rFonts w:eastAsia="Times New Roman" w:cs="Times New Roman"/>
          <w:szCs w:val="24"/>
          <w:vertAlign w:val="superscript"/>
        </w:rPr>
        <w:t>th</w:t>
      </w:r>
      <w:r>
        <w:rPr>
          <w:rFonts w:eastAsia="Times New Roman" w:cs="Times New Roman"/>
          <w:szCs w:val="24"/>
        </w:rPr>
        <w:t xml:space="preserve"> </w:t>
      </w:r>
      <w:r w:rsidRPr="009F67A5">
        <w:rPr>
          <w:rFonts w:eastAsia="Times New Roman" w:cs="Times New Roman"/>
          <w:szCs w:val="24"/>
        </w:rPr>
        <w:t xml:space="preserve">day of </w:t>
      </w:r>
      <w:r w:rsidR="001F55EF">
        <w:rPr>
          <w:rFonts w:eastAsia="Times New Roman" w:cs="Times New Roman"/>
          <w:szCs w:val="24"/>
        </w:rPr>
        <w:t>July</w:t>
      </w:r>
      <w:r>
        <w:rPr>
          <w:rFonts w:eastAsia="Times New Roman" w:cs="Times New Roman"/>
          <w:szCs w:val="24"/>
        </w:rPr>
        <w:t xml:space="preserve"> </w:t>
      </w:r>
      <w:r w:rsidRPr="009F67A5">
        <w:rPr>
          <w:rFonts w:eastAsia="Times New Roman" w:cs="Times New Roman"/>
          <w:szCs w:val="24"/>
        </w:rPr>
        <w:t>201</w:t>
      </w:r>
      <w:r w:rsidR="001F55EF">
        <w:rPr>
          <w:rFonts w:eastAsia="Times New Roman" w:cs="Times New Roman"/>
          <w:szCs w:val="24"/>
        </w:rPr>
        <w:t>4</w:t>
      </w:r>
      <w:r w:rsidRPr="009F67A5">
        <w:rPr>
          <w:rFonts w:eastAsia="Times New Roman" w:cs="Times New Roman"/>
          <w:szCs w:val="24"/>
        </w:rPr>
        <w:t>.</w:t>
      </w:r>
    </w:p>
    <w:p w14:paraId="6FEACCC5" w14:textId="77777777" w:rsidR="009F67A5" w:rsidRPr="009F67A5" w:rsidRDefault="009F67A5" w:rsidP="009F67A5">
      <w:pPr>
        <w:widowControl w:val="0"/>
        <w:autoSpaceDE w:val="0"/>
        <w:autoSpaceDN w:val="0"/>
        <w:adjustRightInd w:val="0"/>
        <w:ind w:left="720"/>
        <w:rPr>
          <w:rFonts w:eastAsia="Times New Roman" w:cs="Times New Roman"/>
          <w:szCs w:val="24"/>
        </w:rPr>
      </w:pPr>
    </w:p>
    <w:p w14:paraId="1DBE8333" w14:textId="77777777" w:rsidR="009F67A5" w:rsidRPr="009F67A5" w:rsidRDefault="009F67A5" w:rsidP="009F67A5">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14:paraId="30BC0914" w14:textId="77777777" w:rsidR="009F67A5" w:rsidRPr="009F67A5" w:rsidRDefault="009F67A5" w:rsidP="009F67A5">
      <w:pPr>
        <w:ind w:left="686"/>
        <w:rPr>
          <w:rFonts w:eastAsia="Times New Roman" w:cs="Times New Roman"/>
          <w:szCs w:val="24"/>
        </w:rPr>
      </w:pPr>
    </w:p>
    <w:p w14:paraId="38B51E08" w14:textId="77777777" w:rsidR="009F67A5" w:rsidRPr="009F67A5" w:rsidRDefault="009F67A5" w:rsidP="009F67A5">
      <w:pPr>
        <w:widowControl w:val="0"/>
        <w:autoSpaceDE w:val="0"/>
        <w:autoSpaceDN w:val="0"/>
        <w:adjustRightInd w:val="0"/>
        <w:ind w:left="5040"/>
        <w:jc w:val="both"/>
        <w:rPr>
          <w:rFonts w:eastAsia="Times New Roman" w:cs="Times New Roman"/>
          <w:szCs w:val="24"/>
        </w:rPr>
      </w:pPr>
      <w:r w:rsidRPr="009F67A5">
        <w:rPr>
          <w:rFonts w:eastAsia="Times New Roman" w:cs="Times New Roman"/>
          <w:szCs w:val="24"/>
        </w:rPr>
        <w:t xml:space="preserve">ROBERT W. FERGUSON </w:t>
      </w:r>
    </w:p>
    <w:p w14:paraId="174DE39D" w14:textId="77777777" w:rsidR="009F67A5" w:rsidRPr="009F67A5" w:rsidRDefault="009F67A5" w:rsidP="009F67A5">
      <w:pPr>
        <w:widowControl w:val="0"/>
        <w:autoSpaceDE w:val="0"/>
        <w:autoSpaceDN w:val="0"/>
        <w:adjustRightInd w:val="0"/>
        <w:ind w:firstLine="5040"/>
        <w:jc w:val="both"/>
        <w:rPr>
          <w:rFonts w:eastAsia="Times New Roman" w:cs="Times New Roman"/>
          <w:szCs w:val="24"/>
        </w:rPr>
      </w:pPr>
      <w:r w:rsidRPr="009F67A5">
        <w:rPr>
          <w:rFonts w:eastAsia="Times New Roman" w:cs="Times New Roman"/>
          <w:szCs w:val="24"/>
        </w:rPr>
        <w:t>Attorney General</w:t>
      </w:r>
    </w:p>
    <w:p w14:paraId="2221B52F" w14:textId="77777777" w:rsidR="009F67A5" w:rsidRDefault="009F67A5" w:rsidP="009F67A5">
      <w:pPr>
        <w:widowControl w:val="0"/>
        <w:autoSpaceDE w:val="0"/>
        <w:autoSpaceDN w:val="0"/>
        <w:adjustRightInd w:val="0"/>
        <w:jc w:val="both"/>
        <w:rPr>
          <w:rFonts w:eastAsia="Times New Roman" w:cs="Times New Roman"/>
          <w:szCs w:val="24"/>
        </w:rPr>
      </w:pPr>
    </w:p>
    <w:p w14:paraId="023099EE" w14:textId="77777777" w:rsidR="002157A7" w:rsidRDefault="002157A7" w:rsidP="009F67A5">
      <w:pPr>
        <w:widowControl w:val="0"/>
        <w:autoSpaceDE w:val="0"/>
        <w:autoSpaceDN w:val="0"/>
        <w:adjustRightInd w:val="0"/>
        <w:jc w:val="both"/>
        <w:rPr>
          <w:rFonts w:eastAsia="Times New Roman" w:cs="Times New Roman"/>
          <w:szCs w:val="24"/>
        </w:rPr>
      </w:pPr>
    </w:p>
    <w:p w14:paraId="1D8DE860" w14:textId="77777777" w:rsidR="002157A7" w:rsidRPr="009F67A5" w:rsidRDefault="002157A7" w:rsidP="009F67A5">
      <w:pPr>
        <w:widowControl w:val="0"/>
        <w:autoSpaceDE w:val="0"/>
        <w:autoSpaceDN w:val="0"/>
        <w:adjustRightInd w:val="0"/>
        <w:jc w:val="both"/>
        <w:rPr>
          <w:rFonts w:eastAsia="Times New Roman" w:cs="Times New Roman"/>
          <w:szCs w:val="24"/>
        </w:rPr>
      </w:pPr>
    </w:p>
    <w:p w14:paraId="68186518" w14:textId="77777777" w:rsidR="009F67A5" w:rsidRPr="009F67A5" w:rsidRDefault="009F67A5" w:rsidP="009F67A5">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______________________________</w:t>
      </w:r>
    </w:p>
    <w:p w14:paraId="0AEB3FBC" w14:textId="77777777" w:rsidR="009F67A5" w:rsidRPr="009F67A5" w:rsidRDefault="009F67A5" w:rsidP="009F67A5">
      <w:pPr>
        <w:widowControl w:val="0"/>
        <w:autoSpaceDE w:val="0"/>
        <w:autoSpaceDN w:val="0"/>
        <w:adjustRightInd w:val="0"/>
        <w:ind w:firstLine="5040"/>
        <w:jc w:val="both"/>
        <w:rPr>
          <w:rFonts w:eastAsia="Times New Roman" w:cs="Times New Roman"/>
          <w:szCs w:val="24"/>
        </w:rPr>
      </w:pPr>
      <w:r>
        <w:rPr>
          <w:rFonts w:eastAsia="Times New Roman" w:cs="Times New Roman"/>
          <w:szCs w:val="24"/>
        </w:rPr>
        <w:t>DONALD T. TROTTER</w:t>
      </w:r>
    </w:p>
    <w:p w14:paraId="7DF8C5FE" w14:textId="77777777" w:rsidR="009F67A5" w:rsidRPr="009F67A5" w:rsidRDefault="009F67A5" w:rsidP="009F67A5">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Assistant Attorney General</w:t>
      </w:r>
    </w:p>
    <w:p w14:paraId="4BD0920A" w14:textId="77777777" w:rsidR="009F67A5" w:rsidRPr="009F67A5" w:rsidRDefault="009F67A5" w:rsidP="009F67A5">
      <w:pPr>
        <w:widowControl w:val="0"/>
        <w:autoSpaceDE w:val="0"/>
        <w:autoSpaceDN w:val="0"/>
        <w:adjustRightInd w:val="0"/>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14:paraId="1B7F71B6" w14:textId="77777777" w:rsidR="002157A7" w:rsidRDefault="009F67A5" w:rsidP="009C3E5C">
      <w:pPr>
        <w:widowControl w:val="0"/>
        <w:autoSpaceDE w:val="0"/>
        <w:autoSpaceDN w:val="0"/>
        <w:adjustRightInd w:val="0"/>
        <w:ind w:left="2880" w:firstLine="2160"/>
        <w:jc w:val="both"/>
        <w:rPr>
          <w:rFonts w:eastAsia="Times New Roman" w:cs="Times New Roman"/>
          <w:szCs w:val="24"/>
        </w:rPr>
      </w:pPr>
      <w:r w:rsidRPr="009F67A5">
        <w:rPr>
          <w:rFonts w:eastAsia="Times New Roman" w:cs="Times New Roman"/>
          <w:szCs w:val="24"/>
        </w:rPr>
        <w:t>Transportation Commission Staff</w:t>
      </w:r>
    </w:p>
    <w:p w14:paraId="033A1210" w14:textId="77777777" w:rsidR="009F67A5" w:rsidRPr="002157A7" w:rsidRDefault="009F67A5" w:rsidP="002157A7">
      <w:pPr>
        <w:tabs>
          <w:tab w:val="left" w:pos="6154"/>
        </w:tabs>
        <w:rPr>
          <w:rFonts w:eastAsia="Times New Roman" w:cs="Times New Roman"/>
          <w:szCs w:val="24"/>
        </w:rPr>
      </w:pPr>
    </w:p>
    <w:sectPr w:rsidR="009F67A5" w:rsidRPr="002157A7" w:rsidSect="002157A7">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B44F" w14:textId="77777777" w:rsidR="00CB0F9C" w:rsidRDefault="00CB0F9C" w:rsidP="00422488">
      <w:r>
        <w:separator/>
      </w:r>
    </w:p>
  </w:endnote>
  <w:endnote w:type="continuationSeparator" w:id="0">
    <w:p w14:paraId="61146888" w14:textId="77777777" w:rsidR="00CB0F9C" w:rsidRDefault="00CB0F9C" w:rsidP="0042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278B6" w14:textId="77777777" w:rsidR="004D574A" w:rsidRDefault="004D574A">
    <w:pPr>
      <w:pStyle w:val="Footer"/>
      <w:rPr>
        <w:sz w:val="20"/>
        <w:szCs w:val="20"/>
      </w:rPr>
    </w:pPr>
  </w:p>
  <w:p w14:paraId="132DAC92" w14:textId="77777777" w:rsidR="004D574A" w:rsidRPr="009F67A5" w:rsidRDefault="004D574A" w:rsidP="00DB54AF">
    <w:pPr>
      <w:pStyle w:val="Footer"/>
      <w:rPr>
        <w:sz w:val="20"/>
        <w:szCs w:val="20"/>
      </w:rPr>
    </w:pPr>
    <w:r>
      <w:rPr>
        <w:sz w:val="20"/>
        <w:szCs w:val="20"/>
      </w:rPr>
      <w:t>STAFF RESPONSE COMMISSION NOTICE</w:t>
    </w:r>
    <w:r w:rsidRPr="009C3E5C">
      <w:rPr>
        <w:sz w:val="20"/>
        <w:szCs w:val="20"/>
      </w:rPr>
      <w:t xml:space="preserve"> </w:t>
    </w:r>
    <w:r w:rsidR="002157A7">
      <w:rPr>
        <w:sz w:val="20"/>
        <w:szCs w:val="20"/>
      </w:rPr>
      <w:t xml:space="preserve">- </w:t>
    </w:r>
    <w:r w:rsidR="002157A7" w:rsidRPr="002157A7">
      <w:rPr>
        <w:sz w:val="20"/>
        <w:szCs w:val="20"/>
      </w:rPr>
      <w:fldChar w:fldCharType="begin"/>
    </w:r>
    <w:r w:rsidR="002157A7" w:rsidRPr="002157A7">
      <w:rPr>
        <w:sz w:val="20"/>
        <w:szCs w:val="20"/>
      </w:rPr>
      <w:instrText xml:space="preserve"> PAGE   \* MERGEFORMAT </w:instrText>
    </w:r>
    <w:r w:rsidR="002157A7" w:rsidRPr="002157A7">
      <w:rPr>
        <w:sz w:val="20"/>
        <w:szCs w:val="20"/>
      </w:rPr>
      <w:fldChar w:fldCharType="separate"/>
    </w:r>
    <w:r w:rsidR="00594387">
      <w:rPr>
        <w:noProof/>
        <w:sz w:val="20"/>
        <w:szCs w:val="20"/>
      </w:rPr>
      <w:t>6</w:t>
    </w:r>
    <w:r w:rsidR="002157A7" w:rsidRPr="002157A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34C84" w14:textId="32A73A44" w:rsidR="00594387" w:rsidRPr="00594387" w:rsidRDefault="00594387" w:rsidP="00594387">
    <w:pPr>
      <w:pStyle w:val="Footer"/>
      <w:jc w:val="center"/>
      <w:rPr>
        <w:b/>
      </w:rPr>
    </w:pPr>
    <w:r>
      <w:rPr>
        <w:b/>
      </w:rPr>
      <w:t>REDACTED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3931A" w14:textId="77777777" w:rsidR="00CB0F9C" w:rsidRDefault="00CB0F9C" w:rsidP="00422488">
      <w:r>
        <w:separator/>
      </w:r>
    </w:p>
  </w:footnote>
  <w:footnote w:type="continuationSeparator" w:id="0">
    <w:p w14:paraId="435A2298" w14:textId="77777777" w:rsidR="00CB0F9C" w:rsidRDefault="00CB0F9C" w:rsidP="00422488">
      <w:r>
        <w:continuationSeparator/>
      </w:r>
    </w:p>
  </w:footnote>
  <w:footnote w:id="1">
    <w:p w14:paraId="13689C91" w14:textId="77777777" w:rsidR="004D574A" w:rsidRDefault="004D574A" w:rsidP="003164FB">
      <w:pPr>
        <w:pStyle w:val="FootnoteText"/>
      </w:pPr>
      <w:r>
        <w:rPr>
          <w:rStyle w:val="FootnoteReference"/>
        </w:rPr>
        <w:footnoteRef/>
      </w:r>
      <w:r>
        <w:t xml:space="preserve"> Amendment No. 4 to the Asset Purchase Agreement, dated as of June 4, 2014, by and between Electron Hydro, LLC and Puget Sound Energy, Inc.</w:t>
      </w:r>
    </w:p>
  </w:footnote>
  <w:footnote w:id="2">
    <w:p w14:paraId="2F4B30A2" w14:textId="77777777" w:rsidR="004D574A" w:rsidRDefault="004D574A" w:rsidP="00C7341A">
      <w:pPr>
        <w:pStyle w:val="FootnoteText"/>
      </w:pPr>
      <w:r>
        <w:rPr>
          <w:rStyle w:val="FootnoteReference"/>
        </w:rPr>
        <w:footnoteRef/>
      </w:r>
      <w:r>
        <w:t xml:space="preserve"> </w:t>
      </w:r>
      <w:r w:rsidRPr="00487C7C">
        <w:rPr>
          <w:i/>
        </w:rPr>
        <w:t>Petition of Puget Sound Energy, Inc., for an Accounting Order Authorizing Accounting Treatment Related to Payments for Major Maintenance Activities</w:t>
      </w:r>
      <w:r>
        <w:t>, Docket UE</w:t>
      </w:r>
      <w:r>
        <w:rPr>
          <w:rFonts w:ascii="Cambria Math" w:hAnsi="Cambria Math" w:cs="Cambria Math"/>
        </w:rPr>
        <w:t>‐</w:t>
      </w:r>
      <w:r>
        <w:t>130583, Order 02; Utilities &amp; Transp. Comm’n v. v. Puget Sound Energy, Inc., Docket UE</w:t>
      </w:r>
      <w:r>
        <w:rPr>
          <w:rFonts w:ascii="Cambria Math" w:hAnsi="Cambria Math" w:cs="Cambria Math"/>
        </w:rPr>
        <w:t>‐</w:t>
      </w:r>
      <w:r>
        <w:t xml:space="preserve">130617, Order 06; </w:t>
      </w:r>
      <w:r w:rsidRPr="00487C7C">
        <w:rPr>
          <w:i/>
        </w:rPr>
        <w:t>Petition of Puget Sound Energy, for an Order Authorizing the Sale of the Water Rights and Associated Assets of the Electron Hydroelectric Project in Accordance with WAC 480</w:t>
      </w:r>
      <w:r w:rsidRPr="00487C7C">
        <w:rPr>
          <w:rFonts w:ascii="Cambria Math" w:hAnsi="Cambria Math" w:cs="Cambria Math"/>
          <w:i/>
        </w:rPr>
        <w:t>‐</w:t>
      </w:r>
      <w:r w:rsidRPr="00487C7C">
        <w:rPr>
          <w:i/>
        </w:rPr>
        <w:t>143 and RCW 80.12</w:t>
      </w:r>
      <w:r>
        <w:t>, Docket UE</w:t>
      </w:r>
      <w:r>
        <w:rPr>
          <w:rFonts w:ascii="Cambria Math" w:hAnsi="Cambria Math" w:cs="Cambria Math"/>
        </w:rPr>
        <w:t>‐</w:t>
      </w:r>
      <w:r>
        <w:t xml:space="preserve">131099, Order 02; and </w:t>
      </w:r>
      <w:r w:rsidRPr="00487C7C">
        <w:rPr>
          <w:i/>
        </w:rPr>
        <w:t>Petition of Puget Sound Energy, for an Order Authorizing the Sale of Interests in the Development Assets Required for the Construction and Operation of Phase II of the Lower Snake River Wind Facility</w:t>
      </w:r>
      <w:r>
        <w:t>, Docket UE</w:t>
      </w:r>
      <w:r>
        <w:rPr>
          <w:rFonts w:ascii="Cambria Math" w:hAnsi="Cambria Math" w:cs="Cambria Math"/>
        </w:rPr>
        <w:t>‐</w:t>
      </w:r>
      <w:r>
        <w:t>131230, Order 02, Final Order Approving and Adopting Settlement Agreement (October 23, 2013) .</w:t>
      </w:r>
    </w:p>
  </w:footnote>
  <w:footnote w:id="3">
    <w:p w14:paraId="7295750A" w14:textId="77777777" w:rsidR="00C234EF" w:rsidRPr="001D020E" w:rsidRDefault="00C234EF">
      <w:pPr>
        <w:pStyle w:val="FootnoteText"/>
      </w:pPr>
      <w:r>
        <w:rPr>
          <w:rStyle w:val="FootnoteReference"/>
        </w:rPr>
        <w:footnoteRef/>
      </w:r>
      <w:r>
        <w:t xml:space="preserve"> </w:t>
      </w:r>
      <w:r w:rsidR="006E46EA" w:rsidRPr="00487C7C">
        <w:rPr>
          <w:i/>
        </w:rPr>
        <w:t>Petition of Puget Sound Energy, for an Order Authorizing the Sale of the Water Rights and Associated Assets of the Electron Hydroelectric Project in Accordance with WAC 480</w:t>
      </w:r>
      <w:r w:rsidR="006E46EA" w:rsidRPr="00487C7C">
        <w:rPr>
          <w:rFonts w:ascii="Cambria Math" w:hAnsi="Cambria Math" w:cs="Cambria Math"/>
          <w:i/>
        </w:rPr>
        <w:t>‐</w:t>
      </w:r>
      <w:r w:rsidR="006E46EA" w:rsidRPr="00487C7C">
        <w:rPr>
          <w:i/>
        </w:rPr>
        <w:t>143 and RCW 80.12</w:t>
      </w:r>
      <w:r w:rsidR="006E46EA">
        <w:rPr>
          <w:i/>
        </w:rPr>
        <w:t xml:space="preserve">, </w:t>
      </w:r>
      <w:r>
        <w:t>Docket UE</w:t>
      </w:r>
      <w:r>
        <w:rPr>
          <w:rFonts w:ascii="Cambria Math" w:hAnsi="Cambria Math" w:cs="Cambria Math"/>
        </w:rPr>
        <w:t>‐</w:t>
      </w:r>
      <w:r>
        <w:t xml:space="preserve">130617, </w:t>
      </w:r>
      <w:r w:rsidR="006E46EA">
        <w:t xml:space="preserve">Direct Testimony of David C. Gomez, </w:t>
      </w:r>
      <w:r>
        <w:t xml:space="preserve">Staff Confidential Exhibit No. __ CT (DCG-1CT), </w:t>
      </w:r>
      <w:r w:rsidR="006E46EA">
        <w:t>at</w:t>
      </w:r>
      <w:r>
        <w:t xml:space="preserve"> 12</w:t>
      </w:r>
      <w:r w:rsidR="006E46EA">
        <w:t>:9-17.</w:t>
      </w:r>
    </w:p>
  </w:footnote>
  <w:footnote w:id="4">
    <w:p w14:paraId="6AB7F7B1" w14:textId="77777777" w:rsidR="001D020E" w:rsidRPr="004C296D" w:rsidRDefault="001D020E" w:rsidP="001D020E">
      <w:pPr>
        <w:pStyle w:val="FootnoteText"/>
      </w:pPr>
      <w:r>
        <w:rPr>
          <w:rStyle w:val="FootnoteReference"/>
        </w:rPr>
        <w:footnoteRef/>
      </w:r>
      <w:r>
        <w:t xml:space="preserve"> Docket UE</w:t>
      </w:r>
      <w:r>
        <w:rPr>
          <w:rFonts w:ascii="Cambria Math" w:hAnsi="Cambria Math" w:cs="Cambria Math"/>
        </w:rPr>
        <w:t>‐</w:t>
      </w:r>
      <w:r>
        <w:t xml:space="preserve">130617, PSE Confidential Exhibit No. __ (PKW-13C); </w:t>
      </w:r>
      <w:r w:rsidRPr="00487C7C">
        <w:rPr>
          <w:i/>
        </w:rPr>
        <w:t>Petition of Puget Sound Energy, for an Order Authorizing the Sale of the Water Rights and Associated Assets of the Electron Hydroelectric Project in Accordance with WAC 480</w:t>
      </w:r>
      <w:r w:rsidRPr="00487C7C">
        <w:rPr>
          <w:rFonts w:ascii="Cambria Math" w:hAnsi="Cambria Math" w:cs="Cambria Math"/>
          <w:i/>
        </w:rPr>
        <w:t>‐</w:t>
      </w:r>
      <w:r w:rsidRPr="00487C7C">
        <w:rPr>
          <w:i/>
        </w:rPr>
        <w:t>143 and RCW 80.12</w:t>
      </w:r>
      <w:r>
        <w:t>.</w:t>
      </w:r>
    </w:p>
  </w:footnote>
  <w:footnote w:id="5">
    <w:p w14:paraId="2EA63345" w14:textId="77777777" w:rsidR="001D020E" w:rsidRDefault="001D020E">
      <w:pPr>
        <w:pStyle w:val="FootnoteText"/>
      </w:pPr>
      <w:r>
        <w:rPr>
          <w:rStyle w:val="FootnoteReference"/>
        </w:rPr>
        <w:footnoteRef/>
      </w:r>
      <w:r>
        <w:t xml:space="preserve"> </w:t>
      </w:r>
      <w:r w:rsidR="006E46EA">
        <w:rPr>
          <w:i/>
        </w:rPr>
        <w:t xml:space="preserve">See </w:t>
      </w:r>
      <w:r w:rsidR="006E46EA">
        <w:t xml:space="preserve">Staff’s testimony cited in footnote 3, </w:t>
      </w:r>
      <w:r w:rsidR="006E46EA">
        <w:rPr>
          <w:i/>
        </w:rPr>
        <w:t>supra.</w:t>
      </w:r>
    </w:p>
  </w:footnote>
  <w:footnote w:id="6">
    <w:p w14:paraId="39099C1C" w14:textId="77777777" w:rsidR="004D574A" w:rsidRDefault="004D574A">
      <w:pPr>
        <w:pStyle w:val="FootnoteText"/>
      </w:pPr>
      <w:r>
        <w:rPr>
          <w:rStyle w:val="FootnoteReference"/>
        </w:rPr>
        <w:footnoteRef/>
      </w:r>
      <w:r>
        <w:t xml:space="preserve"> The detailed accounting transactions for FOA related payments are contained in Substitute Exhibit G of the Amended Application.</w:t>
      </w:r>
    </w:p>
  </w:footnote>
  <w:footnote w:id="7">
    <w:p w14:paraId="40B6A0EF" w14:textId="77777777" w:rsidR="004D574A" w:rsidRDefault="004D574A">
      <w:pPr>
        <w:pStyle w:val="FootnoteText"/>
      </w:pPr>
      <w:r>
        <w:rPr>
          <w:rStyle w:val="FootnoteReference"/>
        </w:rPr>
        <w:footnoteRef/>
      </w:r>
      <w:r>
        <w:t xml:space="preserve"> Petition to Intervene at 6-9, ¶¶ 6-11.</w:t>
      </w:r>
    </w:p>
  </w:footnote>
  <w:footnote w:id="8">
    <w:p w14:paraId="3948C498" w14:textId="77777777" w:rsidR="004D574A" w:rsidRDefault="004D574A" w:rsidP="00EB1C34">
      <w:pPr>
        <w:pStyle w:val="FootnoteText"/>
      </w:pPr>
      <w:r>
        <w:rPr>
          <w:rStyle w:val="FootnoteReference"/>
        </w:rPr>
        <w:footnoteRef/>
      </w:r>
      <w:r>
        <w:t xml:space="preserve"> </w:t>
      </w:r>
      <w:r>
        <w:rPr>
          <w:rFonts w:cs="Times New Roman"/>
          <w:szCs w:val="24"/>
        </w:rPr>
        <w:t>Amended Application, Amendment No. 4, Exhibit 2, first page, third “Whereas”).</w:t>
      </w:r>
    </w:p>
  </w:footnote>
  <w:footnote w:id="9">
    <w:p w14:paraId="37AAD7E8" w14:textId="77777777" w:rsidR="004D574A" w:rsidRPr="00C84A5C" w:rsidRDefault="004D574A">
      <w:pPr>
        <w:pStyle w:val="FootnoteText"/>
      </w:pPr>
      <w:r>
        <w:rPr>
          <w:rStyle w:val="FootnoteReference"/>
        </w:rPr>
        <w:footnoteRef/>
      </w:r>
      <w:r>
        <w:t xml:space="preserve"> “A public utility will not be permitted to include negligent or wasteful losses among its operating charges.”  </w:t>
      </w:r>
      <w:r>
        <w:rPr>
          <w:i/>
        </w:rPr>
        <w:t xml:space="preserve">West Ohio Gas. Co. v. Pub. Util. Comm’n, </w:t>
      </w:r>
      <w:r>
        <w:t xml:space="preserve">294 U.S. 62, 68, 55 S. Ct. 316, 79 L. Ed. 761 (1935); </w:t>
      </w:r>
      <w:r>
        <w:rPr>
          <w:i/>
        </w:rPr>
        <w:t xml:space="preserve">See also Jewell v. Utilities &amp; Transp. Comm’n, </w:t>
      </w:r>
      <w:r>
        <w:t>90.Wn.2d 775, 777, 585 P.2d 1167 (1978)</w:t>
      </w:r>
      <w:r w:rsidR="007E1FCF">
        <w:t xml:space="preserve"> </w:t>
      </w:r>
      <w:r>
        <w:t>(Expenses must contribute to “prompt, expeditious and efficient” service (using terms from RCW 80.36.080.  Similar language applies under RCW 80.28.010, applicable to electric utilities:  services shall be “safe adequate and efficient.”)</w:t>
      </w:r>
    </w:p>
  </w:footnote>
  <w:footnote w:id="10">
    <w:p w14:paraId="3029AD35" w14:textId="77777777" w:rsidR="004D574A" w:rsidRDefault="004D574A">
      <w:pPr>
        <w:pStyle w:val="FootnoteText"/>
      </w:pPr>
      <w:r>
        <w:rPr>
          <w:rStyle w:val="FootnoteReference"/>
        </w:rPr>
        <w:footnoteRef/>
      </w:r>
      <w:r>
        <w:t xml:space="preserve"> Petition to Intervene at 9-10, ¶¶ 12-14.</w:t>
      </w:r>
    </w:p>
  </w:footnote>
  <w:footnote w:id="11">
    <w:p w14:paraId="49E6A07F" w14:textId="77777777" w:rsidR="004D574A" w:rsidRDefault="004D574A">
      <w:pPr>
        <w:pStyle w:val="FootnoteText"/>
      </w:pPr>
      <w:r>
        <w:rPr>
          <w:rStyle w:val="FootnoteReference"/>
        </w:rPr>
        <w:footnoteRef/>
      </w:r>
      <w:r>
        <w:t xml:space="preserve"> Petition to Intervene at 10-11, ¶ 15.</w:t>
      </w:r>
    </w:p>
  </w:footnote>
  <w:footnote w:id="12">
    <w:p w14:paraId="2FA80499" w14:textId="77777777" w:rsidR="004C296D" w:rsidRDefault="004C296D">
      <w:pPr>
        <w:pStyle w:val="FootnoteText"/>
      </w:pPr>
      <w:r>
        <w:rPr>
          <w:rStyle w:val="FootnoteReference"/>
        </w:rPr>
        <w:footnoteRef/>
      </w:r>
      <w:r>
        <w:t xml:space="preserve"> </w:t>
      </w:r>
      <w:r w:rsidR="006E46EA" w:rsidRPr="00646274">
        <w:rPr>
          <w:i/>
        </w:rPr>
        <w:t>Petition of Puget Sound Energy, for an Order Authorizing the Sale of the Water Rights and Associated Assets of the Electron Hydroelectric Project in Accordance with WAC 480</w:t>
      </w:r>
      <w:r w:rsidR="006E46EA" w:rsidRPr="00646274">
        <w:rPr>
          <w:rFonts w:ascii="Cambria Math" w:hAnsi="Cambria Math" w:cs="Cambria Math"/>
          <w:i/>
        </w:rPr>
        <w:t>‐</w:t>
      </w:r>
      <w:r w:rsidR="006E46EA" w:rsidRPr="00646274">
        <w:rPr>
          <w:i/>
        </w:rPr>
        <w:t>143 and RCW 80.12</w:t>
      </w:r>
      <w:r w:rsidR="006E46EA">
        <w:rPr>
          <w:i/>
        </w:rPr>
        <w:t xml:space="preserve">, </w:t>
      </w:r>
      <w:r w:rsidRPr="004C296D">
        <w:t>Docket UE</w:t>
      </w:r>
      <w:r w:rsidRPr="004C296D">
        <w:rPr>
          <w:rFonts w:ascii="Cambria Math" w:hAnsi="Cambria Math" w:cs="Cambria Math"/>
        </w:rPr>
        <w:t>‐</w:t>
      </w:r>
      <w:r w:rsidRPr="004C296D">
        <w:t>130617, PSE Confidential Exhibit No. __ (PKW-13C)</w:t>
      </w:r>
      <w:r w:rsidR="006E46EA">
        <w:t xml:space="preserve"> at</w:t>
      </w:r>
      <w:r>
        <w:t xml:space="preserve"> 10</w:t>
      </w:r>
      <w:r w:rsidRPr="004C296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062FA"/>
    <w:multiLevelType w:val="hybridMultilevel"/>
    <w:tmpl w:val="BF689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8A045D"/>
    <w:multiLevelType w:val="hybridMultilevel"/>
    <w:tmpl w:val="0A3E2D2A"/>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72643"/>
    <w:multiLevelType w:val="hybridMultilevel"/>
    <w:tmpl w:val="402A0C48"/>
    <w:lvl w:ilvl="0" w:tplc="F372E494">
      <w:start w:val="1"/>
      <w:numFmt w:val="decimal"/>
      <w:lvlText w:val="%1"/>
      <w:lvlJc w:val="left"/>
      <w:pPr>
        <w:ind w:left="720" w:hanging="360"/>
      </w:pPr>
      <w:rPr>
        <w:rFonts w:ascii="Times New Roman" w:hAnsi="Times New Roman" w:hint="default"/>
        <w:b w:val="0"/>
        <w:i/>
        <w:sz w:val="24"/>
      </w:rPr>
    </w:lvl>
    <w:lvl w:ilvl="1" w:tplc="BECC2C2C">
      <w:start w:val="1"/>
      <w:numFmt w:val="decimal"/>
      <w:lvlText w:val="%2"/>
      <w:lvlJc w:val="left"/>
      <w:pPr>
        <w:ind w:left="0" w:hanging="720"/>
      </w:pPr>
      <w:rPr>
        <w:rFonts w:ascii="Palatino Linotype" w:hAnsi="Palatino Linotype" w:hint="default"/>
        <w:b w:val="0"/>
        <w:i/>
        <w:sz w:val="20"/>
        <w:szCs w:val="20"/>
      </w:rPr>
    </w:lvl>
    <w:lvl w:ilvl="2" w:tplc="0409001B">
      <w:start w:val="1"/>
      <w:numFmt w:val="lowerRoman"/>
      <w:lvlText w:val="%3."/>
      <w:lvlJc w:val="right"/>
      <w:pPr>
        <w:ind w:left="2160" w:hanging="180"/>
      </w:pPr>
    </w:lvl>
    <w:lvl w:ilvl="3" w:tplc="0818D3C8">
      <w:start w:val="1"/>
      <w:numFmt w:val="lowerRoman"/>
      <w:lvlText w:val="(%4)"/>
      <w:lvlJc w:val="left"/>
      <w:pPr>
        <w:ind w:left="3240" w:hanging="720"/>
      </w:pPr>
      <w:rPr>
        <w:rFonts w:hint="default"/>
      </w:rPr>
    </w:lvl>
    <w:lvl w:ilvl="4" w:tplc="AB7C432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3D4D43"/>
    <w:multiLevelType w:val="hybridMultilevel"/>
    <w:tmpl w:val="9C24AA52"/>
    <w:lvl w:ilvl="0" w:tplc="90AE0D76">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A2"/>
    <w:rsid w:val="00004B93"/>
    <w:rsid w:val="00015258"/>
    <w:rsid w:val="000155C2"/>
    <w:rsid w:val="0003264C"/>
    <w:rsid w:val="000B5A64"/>
    <w:rsid w:val="000B709D"/>
    <w:rsid w:val="000C6CE7"/>
    <w:rsid w:val="00105687"/>
    <w:rsid w:val="00110146"/>
    <w:rsid w:val="00124D0E"/>
    <w:rsid w:val="001467E5"/>
    <w:rsid w:val="00187775"/>
    <w:rsid w:val="001A2562"/>
    <w:rsid w:val="001A49A1"/>
    <w:rsid w:val="001D020E"/>
    <w:rsid w:val="001F55EF"/>
    <w:rsid w:val="002157A7"/>
    <w:rsid w:val="00225090"/>
    <w:rsid w:val="0023686B"/>
    <w:rsid w:val="002374CD"/>
    <w:rsid w:val="00243AB6"/>
    <w:rsid w:val="00257F3E"/>
    <w:rsid w:val="00280671"/>
    <w:rsid w:val="00280E95"/>
    <w:rsid w:val="00283D6B"/>
    <w:rsid w:val="00286C8D"/>
    <w:rsid w:val="0029302B"/>
    <w:rsid w:val="00295F70"/>
    <w:rsid w:val="002F5EC4"/>
    <w:rsid w:val="003164FB"/>
    <w:rsid w:val="003236EA"/>
    <w:rsid w:val="003411F4"/>
    <w:rsid w:val="00346518"/>
    <w:rsid w:val="00347E9E"/>
    <w:rsid w:val="003741B2"/>
    <w:rsid w:val="003C2E1E"/>
    <w:rsid w:val="003E39F4"/>
    <w:rsid w:val="003E49F3"/>
    <w:rsid w:val="00400301"/>
    <w:rsid w:val="00422488"/>
    <w:rsid w:val="00422FFC"/>
    <w:rsid w:val="00426BE9"/>
    <w:rsid w:val="00430652"/>
    <w:rsid w:val="004414B1"/>
    <w:rsid w:val="00452BB6"/>
    <w:rsid w:val="00462BE0"/>
    <w:rsid w:val="00486378"/>
    <w:rsid w:val="00487C7C"/>
    <w:rsid w:val="004C296D"/>
    <w:rsid w:val="004D574A"/>
    <w:rsid w:val="004E70DA"/>
    <w:rsid w:val="004F446A"/>
    <w:rsid w:val="00506CC8"/>
    <w:rsid w:val="00510C22"/>
    <w:rsid w:val="00525974"/>
    <w:rsid w:val="00545964"/>
    <w:rsid w:val="00547AA1"/>
    <w:rsid w:val="00554776"/>
    <w:rsid w:val="00572F99"/>
    <w:rsid w:val="00573644"/>
    <w:rsid w:val="00594387"/>
    <w:rsid w:val="005A6726"/>
    <w:rsid w:val="005F07EE"/>
    <w:rsid w:val="00603259"/>
    <w:rsid w:val="00611294"/>
    <w:rsid w:val="00627F9F"/>
    <w:rsid w:val="0063424E"/>
    <w:rsid w:val="006402F1"/>
    <w:rsid w:val="00646274"/>
    <w:rsid w:val="0068455F"/>
    <w:rsid w:val="006B213E"/>
    <w:rsid w:val="006D7259"/>
    <w:rsid w:val="006E46EA"/>
    <w:rsid w:val="0070311C"/>
    <w:rsid w:val="00707BBB"/>
    <w:rsid w:val="007514B6"/>
    <w:rsid w:val="007912D1"/>
    <w:rsid w:val="007B1A03"/>
    <w:rsid w:val="007D7FA2"/>
    <w:rsid w:val="007E1FCF"/>
    <w:rsid w:val="007E434A"/>
    <w:rsid w:val="007F78F7"/>
    <w:rsid w:val="00834669"/>
    <w:rsid w:val="00836A28"/>
    <w:rsid w:val="008824C2"/>
    <w:rsid w:val="00895FE1"/>
    <w:rsid w:val="008A627F"/>
    <w:rsid w:val="008A750B"/>
    <w:rsid w:val="008D6578"/>
    <w:rsid w:val="008E5D1F"/>
    <w:rsid w:val="00900480"/>
    <w:rsid w:val="0091710E"/>
    <w:rsid w:val="0092227B"/>
    <w:rsid w:val="00941054"/>
    <w:rsid w:val="00982D72"/>
    <w:rsid w:val="00982ED9"/>
    <w:rsid w:val="00986D66"/>
    <w:rsid w:val="00991F0D"/>
    <w:rsid w:val="00996F42"/>
    <w:rsid w:val="009C0917"/>
    <w:rsid w:val="009C3A14"/>
    <w:rsid w:val="009C3E5C"/>
    <w:rsid w:val="009E22BE"/>
    <w:rsid w:val="009F67A5"/>
    <w:rsid w:val="00A04CEE"/>
    <w:rsid w:val="00A45E08"/>
    <w:rsid w:val="00AC3180"/>
    <w:rsid w:val="00AD7F9E"/>
    <w:rsid w:val="00AF1BC1"/>
    <w:rsid w:val="00AF6DCF"/>
    <w:rsid w:val="00B03EBB"/>
    <w:rsid w:val="00B0757D"/>
    <w:rsid w:val="00B151E9"/>
    <w:rsid w:val="00B74343"/>
    <w:rsid w:val="00BB2CDB"/>
    <w:rsid w:val="00BE5A19"/>
    <w:rsid w:val="00BF08D9"/>
    <w:rsid w:val="00C211D9"/>
    <w:rsid w:val="00C234EF"/>
    <w:rsid w:val="00C7341A"/>
    <w:rsid w:val="00C773CD"/>
    <w:rsid w:val="00C82C50"/>
    <w:rsid w:val="00C84A5C"/>
    <w:rsid w:val="00CB0F9C"/>
    <w:rsid w:val="00CB5055"/>
    <w:rsid w:val="00CD12AF"/>
    <w:rsid w:val="00CF1325"/>
    <w:rsid w:val="00D012B9"/>
    <w:rsid w:val="00D50B57"/>
    <w:rsid w:val="00D64BA9"/>
    <w:rsid w:val="00D808C5"/>
    <w:rsid w:val="00D80C83"/>
    <w:rsid w:val="00D944B5"/>
    <w:rsid w:val="00DA4751"/>
    <w:rsid w:val="00DB0908"/>
    <w:rsid w:val="00DB54AF"/>
    <w:rsid w:val="00DC7661"/>
    <w:rsid w:val="00E13EED"/>
    <w:rsid w:val="00E15CB5"/>
    <w:rsid w:val="00E262C5"/>
    <w:rsid w:val="00E37AAD"/>
    <w:rsid w:val="00E4213C"/>
    <w:rsid w:val="00E55408"/>
    <w:rsid w:val="00E64A9D"/>
    <w:rsid w:val="00E666A2"/>
    <w:rsid w:val="00E74130"/>
    <w:rsid w:val="00E83DD7"/>
    <w:rsid w:val="00EB1C34"/>
    <w:rsid w:val="00EB52BE"/>
    <w:rsid w:val="00EC5F9D"/>
    <w:rsid w:val="00F05232"/>
    <w:rsid w:val="00F100B0"/>
    <w:rsid w:val="00F155A7"/>
    <w:rsid w:val="00F20A72"/>
    <w:rsid w:val="00F3294A"/>
    <w:rsid w:val="00F66ECB"/>
    <w:rsid w:val="00F73BF4"/>
    <w:rsid w:val="00FB35C1"/>
    <w:rsid w:val="00FC4449"/>
    <w:rsid w:val="00FF0140"/>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8193"/>
    <o:shapelayout v:ext="edit">
      <o:idmap v:ext="edit" data="1"/>
    </o:shapelayout>
  </w:shapeDefaults>
  <w:decimalSymbol w:val="."/>
  <w:listSeparator w:val=","/>
  <w14:docId w14:val="527D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488"/>
    <w:rPr>
      <w:sz w:val="20"/>
      <w:szCs w:val="20"/>
    </w:rPr>
  </w:style>
  <w:style w:type="character" w:customStyle="1" w:styleId="FootnoteTextChar">
    <w:name w:val="Footnote Text Char"/>
    <w:basedOn w:val="DefaultParagraphFont"/>
    <w:link w:val="FootnoteText"/>
    <w:uiPriority w:val="99"/>
    <w:semiHidden/>
    <w:rsid w:val="00422488"/>
    <w:rPr>
      <w:sz w:val="20"/>
      <w:szCs w:val="20"/>
    </w:rPr>
  </w:style>
  <w:style w:type="character" w:styleId="FootnoteReference">
    <w:name w:val="footnote reference"/>
    <w:basedOn w:val="DefaultParagraphFont"/>
    <w:uiPriority w:val="99"/>
    <w:semiHidden/>
    <w:unhideWhenUsed/>
    <w:rsid w:val="00422488"/>
    <w:rPr>
      <w:vertAlign w:val="superscript"/>
    </w:rPr>
  </w:style>
  <w:style w:type="character" w:styleId="CommentReference">
    <w:name w:val="annotation reference"/>
    <w:basedOn w:val="DefaultParagraphFont"/>
    <w:uiPriority w:val="99"/>
    <w:semiHidden/>
    <w:unhideWhenUsed/>
    <w:rsid w:val="007D7FA2"/>
    <w:rPr>
      <w:sz w:val="16"/>
      <w:szCs w:val="16"/>
    </w:rPr>
  </w:style>
  <w:style w:type="paragraph" w:styleId="CommentText">
    <w:name w:val="annotation text"/>
    <w:basedOn w:val="Normal"/>
    <w:link w:val="CommentTextChar"/>
    <w:uiPriority w:val="99"/>
    <w:semiHidden/>
    <w:unhideWhenUsed/>
    <w:rsid w:val="007D7FA2"/>
    <w:rPr>
      <w:sz w:val="20"/>
      <w:szCs w:val="20"/>
    </w:rPr>
  </w:style>
  <w:style w:type="character" w:customStyle="1" w:styleId="CommentTextChar">
    <w:name w:val="Comment Text Char"/>
    <w:basedOn w:val="DefaultParagraphFont"/>
    <w:link w:val="CommentText"/>
    <w:uiPriority w:val="99"/>
    <w:semiHidden/>
    <w:rsid w:val="007D7FA2"/>
    <w:rPr>
      <w:sz w:val="20"/>
      <w:szCs w:val="20"/>
    </w:rPr>
  </w:style>
  <w:style w:type="paragraph" w:styleId="CommentSubject">
    <w:name w:val="annotation subject"/>
    <w:basedOn w:val="CommentText"/>
    <w:next w:val="CommentText"/>
    <w:link w:val="CommentSubjectChar"/>
    <w:uiPriority w:val="99"/>
    <w:semiHidden/>
    <w:unhideWhenUsed/>
    <w:rsid w:val="007D7FA2"/>
    <w:rPr>
      <w:b/>
      <w:bCs/>
    </w:rPr>
  </w:style>
  <w:style w:type="character" w:customStyle="1" w:styleId="CommentSubjectChar">
    <w:name w:val="Comment Subject Char"/>
    <w:basedOn w:val="CommentTextChar"/>
    <w:link w:val="CommentSubject"/>
    <w:uiPriority w:val="99"/>
    <w:semiHidden/>
    <w:rsid w:val="007D7FA2"/>
    <w:rPr>
      <w:b/>
      <w:bCs/>
      <w:sz w:val="20"/>
      <w:szCs w:val="20"/>
    </w:rPr>
  </w:style>
  <w:style w:type="paragraph" w:styleId="BalloonText">
    <w:name w:val="Balloon Text"/>
    <w:basedOn w:val="Normal"/>
    <w:link w:val="BalloonTextChar"/>
    <w:uiPriority w:val="99"/>
    <w:semiHidden/>
    <w:unhideWhenUsed/>
    <w:rsid w:val="007D7FA2"/>
    <w:rPr>
      <w:rFonts w:ascii="Tahoma" w:hAnsi="Tahoma" w:cs="Tahoma"/>
      <w:sz w:val="16"/>
      <w:szCs w:val="16"/>
    </w:rPr>
  </w:style>
  <w:style w:type="character" w:customStyle="1" w:styleId="BalloonTextChar">
    <w:name w:val="Balloon Text Char"/>
    <w:basedOn w:val="DefaultParagraphFont"/>
    <w:link w:val="BalloonText"/>
    <w:uiPriority w:val="99"/>
    <w:semiHidden/>
    <w:rsid w:val="007D7FA2"/>
    <w:rPr>
      <w:rFonts w:ascii="Tahoma" w:hAnsi="Tahoma" w:cs="Tahoma"/>
      <w:sz w:val="16"/>
      <w:szCs w:val="16"/>
    </w:rPr>
  </w:style>
  <w:style w:type="paragraph" w:styleId="BodyText">
    <w:name w:val="Body Text"/>
    <w:basedOn w:val="Normal"/>
    <w:link w:val="BodyTextChar"/>
    <w:rsid w:val="00F100B0"/>
    <w:pPr>
      <w:spacing w:after="120"/>
    </w:pPr>
    <w:rPr>
      <w:rFonts w:eastAsia="Times New Roman" w:cs="Times New Roman"/>
      <w:sz w:val="26"/>
      <w:szCs w:val="26"/>
    </w:rPr>
  </w:style>
  <w:style w:type="character" w:customStyle="1" w:styleId="BodyTextChar">
    <w:name w:val="Body Text Char"/>
    <w:basedOn w:val="DefaultParagraphFont"/>
    <w:link w:val="BodyText"/>
    <w:rsid w:val="00F100B0"/>
    <w:rPr>
      <w:rFonts w:eastAsia="Times New Roman" w:cs="Times New Roman"/>
      <w:sz w:val="26"/>
      <w:szCs w:val="26"/>
    </w:rPr>
  </w:style>
  <w:style w:type="paragraph" w:styleId="Header">
    <w:name w:val="header"/>
    <w:basedOn w:val="Normal"/>
    <w:link w:val="HeaderChar"/>
    <w:uiPriority w:val="99"/>
    <w:unhideWhenUsed/>
    <w:rsid w:val="009F67A5"/>
    <w:pPr>
      <w:tabs>
        <w:tab w:val="center" w:pos="4680"/>
        <w:tab w:val="right" w:pos="9360"/>
      </w:tabs>
    </w:pPr>
  </w:style>
  <w:style w:type="character" w:customStyle="1" w:styleId="HeaderChar">
    <w:name w:val="Header Char"/>
    <w:basedOn w:val="DefaultParagraphFont"/>
    <w:link w:val="Header"/>
    <w:uiPriority w:val="99"/>
    <w:rsid w:val="009F67A5"/>
  </w:style>
  <w:style w:type="paragraph" w:styleId="Footer">
    <w:name w:val="footer"/>
    <w:basedOn w:val="Normal"/>
    <w:link w:val="FooterChar"/>
    <w:uiPriority w:val="99"/>
    <w:unhideWhenUsed/>
    <w:rsid w:val="009F67A5"/>
    <w:pPr>
      <w:tabs>
        <w:tab w:val="center" w:pos="4680"/>
        <w:tab w:val="right" w:pos="9360"/>
      </w:tabs>
    </w:pPr>
  </w:style>
  <w:style w:type="character" w:customStyle="1" w:styleId="FooterChar">
    <w:name w:val="Footer Char"/>
    <w:basedOn w:val="DefaultParagraphFont"/>
    <w:link w:val="Footer"/>
    <w:uiPriority w:val="99"/>
    <w:rsid w:val="009F67A5"/>
  </w:style>
  <w:style w:type="paragraph" w:styleId="BodyTextIndent2">
    <w:name w:val="Body Text Indent 2"/>
    <w:basedOn w:val="Normal"/>
    <w:link w:val="BodyTextIndent2Char"/>
    <w:uiPriority w:val="99"/>
    <w:semiHidden/>
    <w:unhideWhenUsed/>
    <w:rsid w:val="009F67A5"/>
    <w:pPr>
      <w:spacing w:after="120" w:line="480" w:lineRule="auto"/>
      <w:ind w:left="360"/>
    </w:pPr>
  </w:style>
  <w:style w:type="character" w:customStyle="1" w:styleId="BodyTextIndent2Char">
    <w:name w:val="Body Text Indent 2 Char"/>
    <w:basedOn w:val="DefaultParagraphFont"/>
    <w:link w:val="BodyTextIndent2"/>
    <w:uiPriority w:val="99"/>
    <w:semiHidden/>
    <w:rsid w:val="009F67A5"/>
  </w:style>
  <w:style w:type="paragraph" w:styleId="ListParagraph">
    <w:name w:val="List Paragraph"/>
    <w:basedOn w:val="Normal"/>
    <w:uiPriority w:val="34"/>
    <w:qFormat/>
    <w:rsid w:val="00DC7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488"/>
    <w:rPr>
      <w:sz w:val="20"/>
      <w:szCs w:val="20"/>
    </w:rPr>
  </w:style>
  <w:style w:type="character" w:customStyle="1" w:styleId="FootnoteTextChar">
    <w:name w:val="Footnote Text Char"/>
    <w:basedOn w:val="DefaultParagraphFont"/>
    <w:link w:val="FootnoteText"/>
    <w:uiPriority w:val="99"/>
    <w:semiHidden/>
    <w:rsid w:val="00422488"/>
    <w:rPr>
      <w:sz w:val="20"/>
      <w:szCs w:val="20"/>
    </w:rPr>
  </w:style>
  <w:style w:type="character" w:styleId="FootnoteReference">
    <w:name w:val="footnote reference"/>
    <w:basedOn w:val="DefaultParagraphFont"/>
    <w:uiPriority w:val="99"/>
    <w:semiHidden/>
    <w:unhideWhenUsed/>
    <w:rsid w:val="00422488"/>
    <w:rPr>
      <w:vertAlign w:val="superscript"/>
    </w:rPr>
  </w:style>
  <w:style w:type="character" w:styleId="CommentReference">
    <w:name w:val="annotation reference"/>
    <w:basedOn w:val="DefaultParagraphFont"/>
    <w:uiPriority w:val="99"/>
    <w:semiHidden/>
    <w:unhideWhenUsed/>
    <w:rsid w:val="007D7FA2"/>
    <w:rPr>
      <w:sz w:val="16"/>
      <w:szCs w:val="16"/>
    </w:rPr>
  </w:style>
  <w:style w:type="paragraph" w:styleId="CommentText">
    <w:name w:val="annotation text"/>
    <w:basedOn w:val="Normal"/>
    <w:link w:val="CommentTextChar"/>
    <w:uiPriority w:val="99"/>
    <w:semiHidden/>
    <w:unhideWhenUsed/>
    <w:rsid w:val="007D7FA2"/>
    <w:rPr>
      <w:sz w:val="20"/>
      <w:szCs w:val="20"/>
    </w:rPr>
  </w:style>
  <w:style w:type="character" w:customStyle="1" w:styleId="CommentTextChar">
    <w:name w:val="Comment Text Char"/>
    <w:basedOn w:val="DefaultParagraphFont"/>
    <w:link w:val="CommentText"/>
    <w:uiPriority w:val="99"/>
    <w:semiHidden/>
    <w:rsid w:val="007D7FA2"/>
    <w:rPr>
      <w:sz w:val="20"/>
      <w:szCs w:val="20"/>
    </w:rPr>
  </w:style>
  <w:style w:type="paragraph" w:styleId="CommentSubject">
    <w:name w:val="annotation subject"/>
    <w:basedOn w:val="CommentText"/>
    <w:next w:val="CommentText"/>
    <w:link w:val="CommentSubjectChar"/>
    <w:uiPriority w:val="99"/>
    <w:semiHidden/>
    <w:unhideWhenUsed/>
    <w:rsid w:val="007D7FA2"/>
    <w:rPr>
      <w:b/>
      <w:bCs/>
    </w:rPr>
  </w:style>
  <w:style w:type="character" w:customStyle="1" w:styleId="CommentSubjectChar">
    <w:name w:val="Comment Subject Char"/>
    <w:basedOn w:val="CommentTextChar"/>
    <w:link w:val="CommentSubject"/>
    <w:uiPriority w:val="99"/>
    <w:semiHidden/>
    <w:rsid w:val="007D7FA2"/>
    <w:rPr>
      <w:b/>
      <w:bCs/>
      <w:sz w:val="20"/>
      <w:szCs w:val="20"/>
    </w:rPr>
  </w:style>
  <w:style w:type="paragraph" w:styleId="BalloonText">
    <w:name w:val="Balloon Text"/>
    <w:basedOn w:val="Normal"/>
    <w:link w:val="BalloonTextChar"/>
    <w:uiPriority w:val="99"/>
    <w:semiHidden/>
    <w:unhideWhenUsed/>
    <w:rsid w:val="007D7FA2"/>
    <w:rPr>
      <w:rFonts w:ascii="Tahoma" w:hAnsi="Tahoma" w:cs="Tahoma"/>
      <w:sz w:val="16"/>
      <w:szCs w:val="16"/>
    </w:rPr>
  </w:style>
  <w:style w:type="character" w:customStyle="1" w:styleId="BalloonTextChar">
    <w:name w:val="Balloon Text Char"/>
    <w:basedOn w:val="DefaultParagraphFont"/>
    <w:link w:val="BalloonText"/>
    <w:uiPriority w:val="99"/>
    <w:semiHidden/>
    <w:rsid w:val="007D7FA2"/>
    <w:rPr>
      <w:rFonts w:ascii="Tahoma" w:hAnsi="Tahoma" w:cs="Tahoma"/>
      <w:sz w:val="16"/>
      <w:szCs w:val="16"/>
    </w:rPr>
  </w:style>
  <w:style w:type="paragraph" w:styleId="BodyText">
    <w:name w:val="Body Text"/>
    <w:basedOn w:val="Normal"/>
    <w:link w:val="BodyTextChar"/>
    <w:rsid w:val="00F100B0"/>
    <w:pPr>
      <w:spacing w:after="120"/>
    </w:pPr>
    <w:rPr>
      <w:rFonts w:eastAsia="Times New Roman" w:cs="Times New Roman"/>
      <w:sz w:val="26"/>
      <w:szCs w:val="26"/>
    </w:rPr>
  </w:style>
  <w:style w:type="character" w:customStyle="1" w:styleId="BodyTextChar">
    <w:name w:val="Body Text Char"/>
    <w:basedOn w:val="DefaultParagraphFont"/>
    <w:link w:val="BodyText"/>
    <w:rsid w:val="00F100B0"/>
    <w:rPr>
      <w:rFonts w:eastAsia="Times New Roman" w:cs="Times New Roman"/>
      <w:sz w:val="26"/>
      <w:szCs w:val="26"/>
    </w:rPr>
  </w:style>
  <w:style w:type="paragraph" w:styleId="Header">
    <w:name w:val="header"/>
    <w:basedOn w:val="Normal"/>
    <w:link w:val="HeaderChar"/>
    <w:uiPriority w:val="99"/>
    <w:unhideWhenUsed/>
    <w:rsid w:val="009F67A5"/>
    <w:pPr>
      <w:tabs>
        <w:tab w:val="center" w:pos="4680"/>
        <w:tab w:val="right" w:pos="9360"/>
      </w:tabs>
    </w:pPr>
  </w:style>
  <w:style w:type="character" w:customStyle="1" w:styleId="HeaderChar">
    <w:name w:val="Header Char"/>
    <w:basedOn w:val="DefaultParagraphFont"/>
    <w:link w:val="Header"/>
    <w:uiPriority w:val="99"/>
    <w:rsid w:val="009F67A5"/>
  </w:style>
  <w:style w:type="paragraph" w:styleId="Footer">
    <w:name w:val="footer"/>
    <w:basedOn w:val="Normal"/>
    <w:link w:val="FooterChar"/>
    <w:uiPriority w:val="99"/>
    <w:unhideWhenUsed/>
    <w:rsid w:val="009F67A5"/>
    <w:pPr>
      <w:tabs>
        <w:tab w:val="center" w:pos="4680"/>
        <w:tab w:val="right" w:pos="9360"/>
      </w:tabs>
    </w:pPr>
  </w:style>
  <w:style w:type="character" w:customStyle="1" w:styleId="FooterChar">
    <w:name w:val="Footer Char"/>
    <w:basedOn w:val="DefaultParagraphFont"/>
    <w:link w:val="Footer"/>
    <w:uiPriority w:val="99"/>
    <w:rsid w:val="009F67A5"/>
  </w:style>
  <w:style w:type="paragraph" w:styleId="BodyTextIndent2">
    <w:name w:val="Body Text Indent 2"/>
    <w:basedOn w:val="Normal"/>
    <w:link w:val="BodyTextIndent2Char"/>
    <w:uiPriority w:val="99"/>
    <w:semiHidden/>
    <w:unhideWhenUsed/>
    <w:rsid w:val="009F67A5"/>
    <w:pPr>
      <w:spacing w:after="120" w:line="480" w:lineRule="auto"/>
      <w:ind w:left="360"/>
    </w:pPr>
  </w:style>
  <w:style w:type="character" w:customStyle="1" w:styleId="BodyTextIndent2Char">
    <w:name w:val="Body Text Indent 2 Char"/>
    <w:basedOn w:val="DefaultParagraphFont"/>
    <w:link w:val="BodyTextIndent2"/>
    <w:uiPriority w:val="99"/>
    <w:semiHidden/>
    <w:rsid w:val="009F67A5"/>
  </w:style>
  <w:style w:type="paragraph" w:styleId="ListParagraph">
    <w:name w:val="List Paragraph"/>
    <w:basedOn w:val="Normal"/>
    <w:uiPriority w:val="34"/>
    <w:qFormat/>
    <w:rsid w:val="00DC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1129-E1AC-4CB9-A115-25A405C97132}"/>
</file>

<file path=customXml/itemProps2.xml><?xml version="1.0" encoding="utf-8"?>
<ds:datastoreItem xmlns:ds="http://schemas.openxmlformats.org/officeDocument/2006/customXml" ds:itemID="{E87FA439-6D66-4D11-A534-92C1626D65B4}"/>
</file>

<file path=customXml/itemProps3.xml><?xml version="1.0" encoding="utf-8"?>
<ds:datastoreItem xmlns:ds="http://schemas.openxmlformats.org/officeDocument/2006/customXml" ds:itemID="{D50031A2-7391-4830-9D7E-9454AF3B2635}"/>
</file>

<file path=customXml/itemProps4.xml><?xml version="1.0" encoding="utf-8"?>
<ds:datastoreItem xmlns:ds="http://schemas.openxmlformats.org/officeDocument/2006/customXml" ds:itemID="{D0C62F9B-7AE3-45C7-8A52-37B4867777A6}"/>
</file>

<file path=customXml/itemProps5.xml><?xml version="1.0" encoding="utf-8"?>
<ds:datastoreItem xmlns:ds="http://schemas.openxmlformats.org/officeDocument/2006/customXml" ds:itemID="{1FCCC633-C97F-417B-B64C-546D9DDAC5F9}"/>
</file>

<file path=docProps/app.xml><?xml version="1.0" encoding="utf-8"?>
<Properties xmlns="http://schemas.openxmlformats.org/officeDocument/2006/extended-properties" xmlns:vt="http://schemas.openxmlformats.org/officeDocument/2006/docPropsVTypes">
  <Template>Normal.dotm</Template>
  <TotalTime>1</TotalTime>
  <Pages>7</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4</cp:revision>
  <cp:lastPrinted>2014-07-18T22:33:00Z</cp:lastPrinted>
  <dcterms:created xsi:type="dcterms:W3CDTF">2014-07-18T22:24:00Z</dcterms:created>
  <dcterms:modified xsi:type="dcterms:W3CDTF">2014-07-18T22:33:00Z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