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2FC40E" w14:textId="77777777" w:rsidR="00C156A9" w:rsidRPr="00AA5308" w:rsidRDefault="00C156A9" w:rsidP="00C156A9">
      <w:pPr>
        <w:spacing w:line="264" w:lineRule="auto"/>
        <w:jc w:val="center"/>
        <w:rPr>
          <w:rFonts w:ascii="Times New Roman" w:hAnsi="Times New Roman"/>
          <w:b/>
        </w:rPr>
      </w:pPr>
      <w:r w:rsidRPr="00AA5308">
        <w:rPr>
          <w:rFonts w:ascii="Times New Roman" w:hAnsi="Times New Roman"/>
          <w:b/>
        </w:rPr>
        <w:t>BEFORE THE WASHINGTON</w:t>
      </w:r>
    </w:p>
    <w:p w14:paraId="67813648" w14:textId="77777777" w:rsidR="00C156A9" w:rsidRPr="00AA5308" w:rsidRDefault="00C156A9" w:rsidP="00C156A9">
      <w:pPr>
        <w:spacing w:line="264" w:lineRule="auto"/>
        <w:jc w:val="center"/>
        <w:rPr>
          <w:rFonts w:ascii="Times New Roman" w:hAnsi="Times New Roman"/>
          <w:b/>
        </w:rPr>
      </w:pPr>
      <w:r w:rsidRPr="00AA5308">
        <w:rPr>
          <w:rFonts w:ascii="Times New Roman" w:hAnsi="Times New Roman"/>
          <w:b/>
        </w:rPr>
        <w:t>UTILITIES AND TRANSPORTATION COMMISSION</w:t>
      </w:r>
    </w:p>
    <w:p w14:paraId="630C6942" w14:textId="77777777" w:rsidR="00C156A9" w:rsidRPr="00AA5308" w:rsidRDefault="00C156A9" w:rsidP="00C156A9">
      <w:pPr>
        <w:spacing w:line="264" w:lineRule="auto"/>
        <w:jc w:val="center"/>
        <w:rPr>
          <w:rFonts w:ascii="Times New Roman" w:hAnsi="Times New Roman"/>
        </w:rPr>
      </w:pPr>
    </w:p>
    <w:p w14:paraId="6E2EE18A" w14:textId="77777777" w:rsidR="00C156A9" w:rsidRPr="00AA5308" w:rsidRDefault="00C156A9" w:rsidP="00C156A9">
      <w:pPr>
        <w:spacing w:line="264" w:lineRule="auto"/>
        <w:jc w:val="center"/>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3"/>
        <w:gridCol w:w="339"/>
        <w:gridCol w:w="4188"/>
      </w:tblGrid>
      <w:tr w:rsidR="00C156A9" w:rsidRPr="00CB28F5" w14:paraId="570BBDD7" w14:textId="77777777" w:rsidTr="00C156A9">
        <w:tc>
          <w:tcPr>
            <w:tcW w:w="4608" w:type="dxa"/>
          </w:tcPr>
          <w:p w14:paraId="178F5FCD" w14:textId="77777777" w:rsidR="003E069B" w:rsidRPr="00AA5308" w:rsidRDefault="003E069B" w:rsidP="003E069B">
            <w:pPr>
              <w:spacing w:line="264" w:lineRule="auto"/>
              <w:rPr>
                <w:rFonts w:ascii="Times New Roman" w:hAnsi="Times New Roman"/>
              </w:rPr>
            </w:pPr>
            <w:r w:rsidRPr="00AA5308">
              <w:rPr>
                <w:rFonts w:ascii="Times New Roman" w:hAnsi="Times New Roman"/>
              </w:rPr>
              <w:t>In the Matter of the</w:t>
            </w:r>
            <w:r w:rsidR="00CF4130" w:rsidRPr="00AA5308">
              <w:rPr>
                <w:rFonts w:ascii="Times New Roman" w:hAnsi="Times New Roman"/>
              </w:rPr>
              <w:t xml:space="preserve"> Commission Inquiry into Local Distribution Companies’ Natural Gas Hedging Practices</w:t>
            </w:r>
          </w:p>
          <w:p w14:paraId="725AE7E7" w14:textId="77777777" w:rsidR="00C156A9" w:rsidRPr="00AA5308" w:rsidRDefault="00C156A9" w:rsidP="00C156A9">
            <w:pPr>
              <w:spacing w:line="264" w:lineRule="auto"/>
              <w:rPr>
                <w:rFonts w:ascii="Times New Roman" w:hAnsi="Times New Roman"/>
              </w:rPr>
            </w:pPr>
          </w:p>
          <w:p w14:paraId="247F7E1C" w14:textId="77777777" w:rsidR="00C156A9" w:rsidRPr="00AA5308" w:rsidRDefault="00C156A9" w:rsidP="00C156A9">
            <w:pPr>
              <w:spacing w:line="264" w:lineRule="auto"/>
              <w:rPr>
                <w:rFonts w:ascii="Times New Roman" w:hAnsi="Times New Roman"/>
              </w:rPr>
            </w:pPr>
          </w:p>
          <w:p w14:paraId="4A15AEF2" w14:textId="77777777" w:rsidR="009C7CE9" w:rsidRPr="00AA5308" w:rsidRDefault="009C7CE9" w:rsidP="00C156A9">
            <w:pPr>
              <w:spacing w:line="264" w:lineRule="auto"/>
              <w:rPr>
                <w:rFonts w:ascii="Times New Roman" w:hAnsi="Times New Roman"/>
              </w:rPr>
            </w:pPr>
          </w:p>
          <w:p w14:paraId="3CE54B49" w14:textId="77777777" w:rsidR="009C7CE9" w:rsidRPr="00AA5308" w:rsidRDefault="009C7CE9" w:rsidP="00C156A9">
            <w:pPr>
              <w:spacing w:line="264" w:lineRule="auto"/>
              <w:rPr>
                <w:rFonts w:ascii="Times New Roman" w:hAnsi="Times New Roman"/>
              </w:rPr>
            </w:pPr>
          </w:p>
          <w:p w14:paraId="43861366" w14:textId="07A39608" w:rsidR="00C156A9" w:rsidRPr="00AA5308" w:rsidRDefault="00C156A9" w:rsidP="002E42DA">
            <w:pPr>
              <w:spacing w:line="264" w:lineRule="auto"/>
              <w:rPr>
                <w:rFonts w:ascii="Times New Roman" w:hAnsi="Times New Roman"/>
              </w:rPr>
            </w:pPr>
            <w:r w:rsidRPr="00AA5308">
              <w:rPr>
                <w:rFonts w:ascii="Times New Roman" w:hAnsi="Times New Roman"/>
              </w:rPr>
              <w:t xml:space="preserve">  </w:t>
            </w:r>
          </w:p>
        </w:tc>
        <w:tc>
          <w:tcPr>
            <w:tcW w:w="360" w:type="dxa"/>
          </w:tcPr>
          <w:p w14:paraId="22DB7011" w14:textId="14A66259" w:rsidR="00C156A9" w:rsidRPr="00AA5308" w:rsidRDefault="002E42DA" w:rsidP="002A694A">
            <w:pPr>
              <w:spacing w:line="264" w:lineRule="auto"/>
              <w:rPr>
                <w:rFonts w:ascii="Times New Roman" w:hAnsi="Times New Roman"/>
              </w:rPr>
            </w:pPr>
            <w:r w:rsidRPr="00AA5308">
              <w:rPr>
                <w:rFonts w:ascii="Times New Roman" w:hAnsi="Times New Roman"/>
                <w:noProof/>
              </w:rPr>
              <mc:AlternateContent>
                <mc:Choice Requires="wps">
                  <w:drawing>
                    <wp:anchor distT="0" distB="0" distL="114300" distR="114300" simplePos="0" relativeHeight="251659264" behindDoc="0" locked="0" layoutInCell="1" allowOverlap="1" wp14:anchorId="689A04AF" wp14:editId="2093A968">
                      <wp:simplePos x="0" y="0"/>
                      <wp:positionH relativeFrom="column">
                        <wp:posOffset>-12066</wp:posOffset>
                      </wp:positionH>
                      <wp:positionV relativeFrom="paragraph">
                        <wp:posOffset>20320</wp:posOffset>
                      </wp:positionV>
                      <wp:extent cx="9525" cy="1746250"/>
                      <wp:effectExtent l="0" t="0" r="28575" b="25400"/>
                      <wp:wrapNone/>
                      <wp:docPr id="1" name="Straight Connector 1"/>
                      <wp:cNvGraphicFramePr/>
                      <a:graphic xmlns:a="http://schemas.openxmlformats.org/drawingml/2006/main">
                        <a:graphicData uri="http://schemas.microsoft.com/office/word/2010/wordprocessingShape">
                          <wps:wsp>
                            <wps:cNvCnPr/>
                            <wps:spPr>
                              <a:xfrm flipH="1">
                                <a:off x="0" y="0"/>
                                <a:ext cx="9525" cy="1746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1E4A86" id="Straight Connector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1.6pt" to="-.2pt,1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" strokecolor="black [3213]"/>
                  </w:pict>
                </mc:Fallback>
              </mc:AlternateContent>
            </w:r>
          </w:p>
        </w:tc>
        <w:tc>
          <w:tcPr>
            <w:tcW w:w="4608" w:type="dxa"/>
          </w:tcPr>
          <w:p w14:paraId="5766F858" w14:textId="77777777" w:rsidR="00C156A9" w:rsidRPr="00AA5308" w:rsidRDefault="00CF4130" w:rsidP="00C156A9">
            <w:pPr>
              <w:spacing w:line="264" w:lineRule="auto"/>
              <w:rPr>
                <w:rFonts w:ascii="Times New Roman" w:hAnsi="Times New Roman"/>
              </w:rPr>
            </w:pPr>
            <w:r w:rsidRPr="00AA5308">
              <w:rPr>
                <w:rFonts w:ascii="Times New Roman" w:hAnsi="Times New Roman"/>
              </w:rPr>
              <w:t>DOCKET UG-132019</w:t>
            </w:r>
          </w:p>
          <w:p w14:paraId="24521C57" w14:textId="77777777" w:rsidR="00C156A9" w:rsidRPr="00AA5308" w:rsidRDefault="00C156A9" w:rsidP="00C156A9">
            <w:pPr>
              <w:spacing w:line="264" w:lineRule="auto"/>
              <w:rPr>
                <w:rFonts w:ascii="Times New Roman" w:hAnsi="Times New Roman"/>
              </w:rPr>
            </w:pPr>
          </w:p>
          <w:p w14:paraId="7D15FD4F" w14:textId="77777777" w:rsidR="00C156A9" w:rsidRPr="00AA5308" w:rsidRDefault="00C156A9" w:rsidP="00C156A9">
            <w:pPr>
              <w:spacing w:line="264" w:lineRule="auto"/>
              <w:rPr>
                <w:rFonts w:ascii="Times New Roman" w:hAnsi="Times New Roman"/>
              </w:rPr>
            </w:pPr>
          </w:p>
          <w:p w14:paraId="4FA3B962" w14:textId="0BBC2EDD" w:rsidR="00C156A9" w:rsidRPr="00AA5308" w:rsidRDefault="002E1ED6" w:rsidP="00CF4130">
            <w:pPr>
              <w:spacing w:line="264" w:lineRule="auto"/>
              <w:rPr>
                <w:rFonts w:ascii="Times New Roman" w:hAnsi="Times New Roman"/>
              </w:rPr>
            </w:pPr>
            <w:r w:rsidRPr="00AA5308">
              <w:rPr>
                <w:rFonts w:ascii="Times New Roman" w:hAnsi="Times New Roman"/>
              </w:rPr>
              <w:t>POLICY AND INTERPRETIVE STATEMENT ON LOCAL DISTRIBUTION COMPANIES’ NATURAL GAS HEDGING PRACTICES</w:t>
            </w:r>
          </w:p>
        </w:tc>
      </w:tr>
    </w:tbl>
    <w:p w14:paraId="787EC7C1" w14:textId="29BF6967" w:rsidR="00C156A9" w:rsidRPr="00AA5308" w:rsidRDefault="006C58BA" w:rsidP="00C156A9">
      <w:pPr>
        <w:spacing w:line="264" w:lineRule="auto"/>
        <w:jc w:val="center"/>
        <w:rPr>
          <w:rFonts w:ascii="Times New Roman" w:hAnsi="Times New Roman"/>
        </w:rPr>
      </w:pPr>
      <w:r w:rsidRPr="00AA5308">
        <w:rPr>
          <w:rFonts w:ascii="Times New Roman" w:hAnsi="Times New Roman"/>
          <w:noProof/>
        </w:rPr>
        <mc:AlternateContent>
          <mc:Choice Requires="wps">
            <w:drawing>
              <wp:anchor distT="0" distB="0" distL="114300" distR="114300" simplePos="0" relativeHeight="251660288" behindDoc="0" locked="0" layoutInCell="1" allowOverlap="1" wp14:anchorId="381A057A" wp14:editId="15C26E7F">
                <wp:simplePos x="0" y="0"/>
                <wp:positionH relativeFrom="column">
                  <wp:posOffset>71755</wp:posOffset>
                </wp:positionH>
                <wp:positionV relativeFrom="paragraph">
                  <wp:posOffset>32385</wp:posOffset>
                </wp:positionV>
                <wp:extent cx="259842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25984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1C3CE27"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5pt,2.55pt" to="210.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" strokecolor="black [3213]"/>
            </w:pict>
          </mc:Fallback>
        </mc:AlternateContent>
      </w:r>
    </w:p>
    <w:p w14:paraId="02207BFE" w14:textId="77777777" w:rsidR="002D4F6E" w:rsidRDefault="002D4F6E" w:rsidP="002D4F6E">
      <w:bookmarkStart w:id="0" w:name="_Toc473903194"/>
    </w:p>
    <w:p w14:paraId="7AB24517" w14:textId="32B5FE6B" w:rsidR="009A23F4" w:rsidRPr="00AA5308" w:rsidRDefault="009A23F4" w:rsidP="00415865">
      <w:pPr>
        <w:pStyle w:val="Heading1"/>
        <w:numPr>
          <w:ilvl w:val="0"/>
          <w:numId w:val="10"/>
        </w:numPr>
        <w:ind w:left="720"/>
        <w:rPr>
          <w:rFonts w:cs="Times New Roman"/>
          <w:sz w:val="24"/>
          <w:szCs w:val="24"/>
        </w:rPr>
      </w:pPr>
      <w:r w:rsidRPr="00AA5308">
        <w:rPr>
          <w:rFonts w:cs="Times New Roman"/>
          <w:sz w:val="24"/>
          <w:szCs w:val="24"/>
        </w:rPr>
        <w:t>B</w:t>
      </w:r>
      <w:r w:rsidR="00613558" w:rsidRPr="00AA5308">
        <w:rPr>
          <w:rFonts w:cs="Times New Roman"/>
          <w:sz w:val="24"/>
          <w:szCs w:val="24"/>
        </w:rPr>
        <w:t>ACKGROUND</w:t>
      </w:r>
      <w:bookmarkEnd w:id="0"/>
    </w:p>
    <w:p w14:paraId="0D6E2F9D" w14:textId="7EED9FB3" w:rsidR="00FA46B1" w:rsidRPr="00AA5308" w:rsidRDefault="00FA46B1" w:rsidP="00415865">
      <w:pPr>
        <w:pStyle w:val="Heading2"/>
        <w:numPr>
          <w:ilvl w:val="0"/>
          <w:numId w:val="13"/>
        </w:numPr>
        <w:ind w:left="720"/>
        <w:rPr>
          <w:rFonts w:cs="Times New Roman"/>
          <w:sz w:val="24"/>
          <w:szCs w:val="24"/>
        </w:rPr>
      </w:pPr>
      <w:bookmarkStart w:id="1" w:name="_Toc473903195"/>
      <w:r w:rsidRPr="00AA5308">
        <w:rPr>
          <w:rFonts w:cs="Times New Roman"/>
          <w:sz w:val="24"/>
          <w:szCs w:val="24"/>
        </w:rPr>
        <w:t>Risk Management</w:t>
      </w:r>
      <w:r w:rsidR="00D20025" w:rsidRPr="00AA5308">
        <w:rPr>
          <w:rFonts w:cs="Times New Roman"/>
          <w:sz w:val="24"/>
          <w:szCs w:val="24"/>
        </w:rPr>
        <w:t xml:space="preserve"> and Hedging</w:t>
      </w:r>
      <w:bookmarkEnd w:id="1"/>
    </w:p>
    <w:p w14:paraId="5725421F" w14:textId="042394DC" w:rsidR="00FA46B1" w:rsidRPr="00AA5308" w:rsidRDefault="003467CC" w:rsidP="002D4F6E">
      <w:pPr>
        <w:pStyle w:val="ListParagraph"/>
        <w:numPr>
          <w:ilvl w:val="0"/>
          <w:numId w:val="18"/>
        </w:numPr>
        <w:spacing w:after="240" w:line="288" w:lineRule="auto"/>
        <w:ind w:left="0" w:hanging="720"/>
        <w:contextualSpacing w:val="0"/>
        <w:rPr>
          <w:rFonts w:ascii="Times New Roman" w:hAnsi="Times New Roman" w:cs="Times New Roman"/>
        </w:rPr>
      </w:pPr>
      <w:r w:rsidRPr="00CB28F5">
        <w:rPr>
          <w:rFonts w:ascii="Times New Roman" w:hAnsi="Times New Roman" w:cs="Times New Roman"/>
        </w:rPr>
        <w:t>N</w:t>
      </w:r>
      <w:r w:rsidR="00961866" w:rsidRPr="00CB28F5">
        <w:rPr>
          <w:rFonts w:ascii="Times New Roman" w:hAnsi="Times New Roman" w:cs="Times New Roman"/>
        </w:rPr>
        <w:t>atural gas local distribution companies (</w:t>
      </w:r>
      <w:proofErr w:type="spellStart"/>
      <w:r w:rsidR="00961866" w:rsidRPr="00CB28F5">
        <w:rPr>
          <w:rFonts w:ascii="Times New Roman" w:hAnsi="Times New Roman" w:cs="Times New Roman"/>
        </w:rPr>
        <w:t>LDCs</w:t>
      </w:r>
      <w:proofErr w:type="spellEnd"/>
      <w:r w:rsidR="000046F7" w:rsidRPr="00C113C6">
        <w:rPr>
          <w:rFonts w:ascii="Times New Roman" w:hAnsi="Times New Roman" w:cs="Times New Roman"/>
        </w:rPr>
        <w:t xml:space="preserve"> or Utilit</w:t>
      </w:r>
      <w:r w:rsidR="002C6F25" w:rsidRPr="006C58BA">
        <w:rPr>
          <w:rFonts w:ascii="Times New Roman" w:hAnsi="Times New Roman" w:cs="Times New Roman"/>
        </w:rPr>
        <w:t>ies</w:t>
      </w:r>
      <w:r w:rsidR="00961866" w:rsidRPr="006C58BA">
        <w:rPr>
          <w:rFonts w:ascii="Times New Roman" w:hAnsi="Times New Roman" w:cs="Times New Roman"/>
        </w:rPr>
        <w:t xml:space="preserve">) are responsible for </w:t>
      </w:r>
      <w:r w:rsidRPr="00AA5308">
        <w:rPr>
          <w:rFonts w:ascii="Times New Roman" w:hAnsi="Times New Roman" w:cs="Times New Roman"/>
        </w:rPr>
        <w:t>procuring and delivering natural gas to end users.</w:t>
      </w:r>
      <w:r w:rsidR="00991E8E" w:rsidRPr="00AA5308">
        <w:rPr>
          <w:rStyle w:val="FootnoteReference"/>
          <w:rFonts w:ascii="Times New Roman" w:hAnsi="Times New Roman" w:cs="Times New Roman"/>
        </w:rPr>
        <w:footnoteReference w:id="2"/>
      </w:r>
      <w:r w:rsidRPr="00AA5308">
        <w:rPr>
          <w:rFonts w:ascii="Times New Roman" w:hAnsi="Times New Roman" w:cs="Times New Roman"/>
        </w:rPr>
        <w:t xml:space="preserve"> Typically, the process of supplying </w:t>
      </w:r>
      <w:r w:rsidR="007F5C5B" w:rsidRPr="00AA5308">
        <w:rPr>
          <w:rFonts w:ascii="Times New Roman" w:hAnsi="Times New Roman" w:cs="Times New Roman"/>
        </w:rPr>
        <w:t>customer</w:t>
      </w:r>
      <w:r w:rsidRPr="00AA5308">
        <w:rPr>
          <w:rFonts w:ascii="Times New Roman" w:hAnsi="Times New Roman" w:cs="Times New Roman"/>
        </w:rPr>
        <w:t xml:space="preserve"> demand for natural gas involves </w:t>
      </w:r>
      <w:r w:rsidR="003C4A47" w:rsidRPr="00AA5308">
        <w:rPr>
          <w:rFonts w:ascii="Times New Roman" w:hAnsi="Times New Roman" w:cs="Times New Roman"/>
        </w:rPr>
        <w:t>purchasing</w:t>
      </w:r>
      <w:r w:rsidR="00E56BCB" w:rsidRPr="00AA5308">
        <w:rPr>
          <w:rFonts w:ascii="Times New Roman" w:hAnsi="Times New Roman" w:cs="Times New Roman"/>
        </w:rPr>
        <w:t xml:space="preserve"> natural gas from a supplier</w:t>
      </w:r>
      <w:r w:rsidR="003C4A47" w:rsidRPr="00AA5308">
        <w:rPr>
          <w:rFonts w:ascii="Times New Roman" w:hAnsi="Times New Roman" w:cs="Times New Roman"/>
        </w:rPr>
        <w:t xml:space="preserve"> a</w:t>
      </w:r>
      <w:r w:rsidR="00D80812" w:rsidRPr="00AA5308">
        <w:rPr>
          <w:rFonts w:ascii="Times New Roman" w:hAnsi="Times New Roman" w:cs="Times New Roman"/>
        </w:rPr>
        <w:t>nd contracting capacity on</w:t>
      </w:r>
      <w:r w:rsidR="003C4A47" w:rsidRPr="00AA5308">
        <w:rPr>
          <w:rFonts w:ascii="Times New Roman" w:hAnsi="Times New Roman" w:cs="Times New Roman"/>
        </w:rPr>
        <w:t xml:space="preserve"> regiona</w:t>
      </w:r>
      <w:r w:rsidR="00D80812" w:rsidRPr="00AA5308">
        <w:rPr>
          <w:rFonts w:ascii="Times New Roman" w:hAnsi="Times New Roman" w:cs="Times New Roman"/>
        </w:rPr>
        <w:t>l</w:t>
      </w:r>
      <w:r w:rsidR="003C4A47" w:rsidRPr="00AA5308">
        <w:rPr>
          <w:rFonts w:ascii="Times New Roman" w:hAnsi="Times New Roman" w:cs="Times New Roman"/>
        </w:rPr>
        <w:t xml:space="preserve"> pipe</w:t>
      </w:r>
      <w:r w:rsidR="00D80812" w:rsidRPr="00AA5308">
        <w:rPr>
          <w:rFonts w:ascii="Times New Roman" w:hAnsi="Times New Roman" w:cs="Times New Roman"/>
        </w:rPr>
        <w:t xml:space="preserve">lines </w:t>
      </w:r>
      <w:r w:rsidR="00E56BCB" w:rsidRPr="00AA5308">
        <w:rPr>
          <w:rFonts w:ascii="Times New Roman" w:hAnsi="Times New Roman" w:cs="Times New Roman"/>
        </w:rPr>
        <w:t xml:space="preserve">to transport </w:t>
      </w:r>
      <w:r w:rsidR="007F5C5B" w:rsidRPr="00AA5308">
        <w:rPr>
          <w:rFonts w:ascii="Times New Roman" w:hAnsi="Times New Roman" w:cs="Times New Roman"/>
        </w:rPr>
        <w:t xml:space="preserve">the </w:t>
      </w:r>
      <w:r w:rsidR="00E56BCB" w:rsidRPr="00AA5308">
        <w:rPr>
          <w:rFonts w:ascii="Times New Roman" w:hAnsi="Times New Roman" w:cs="Times New Roman"/>
        </w:rPr>
        <w:t>natural gas from areas of supply</w:t>
      </w:r>
      <w:r w:rsidR="00D80812" w:rsidRPr="00AA5308">
        <w:rPr>
          <w:rFonts w:ascii="Times New Roman" w:hAnsi="Times New Roman" w:cs="Times New Roman"/>
        </w:rPr>
        <w:t xml:space="preserve"> to the </w:t>
      </w:r>
      <w:proofErr w:type="spellStart"/>
      <w:r w:rsidR="00D80812" w:rsidRPr="00AA5308">
        <w:rPr>
          <w:rFonts w:ascii="Times New Roman" w:hAnsi="Times New Roman" w:cs="Times New Roman"/>
        </w:rPr>
        <w:t>LDC’s</w:t>
      </w:r>
      <w:proofErr w:type="spellEnd"/>
      <w:r w:rsidR="00D80812" w:rsidRPr="00AA5308">
        <w:rPr>
          <w:rFonts w:ascii="Times New Roman" w:hAnsi="Times New Roman" w:cs="Times New Roman"/>
        </w:rPr>
        <w:t xml:space="preserve"> distribution system. The </w:t>
      </w:r>
      <w:r w:rsidR="007F5C5B" w:rsidRPr="00AA5308">
        <w:rPr>
          <w:rFonts w:ascii="Times New Roman" w:hAnsi="Times New Roman" w:cs="Times New Roman"/>
        </w:rPr>
        <w:t>rate customers</w:t>
      </w:r>
      <w:r w:rsidR="00D80812" w:rsidRPr="00AA5308">
        <w:rPr>
          <w:rFonts w:ascii="Times New Roman" w:hAnsi="Times New Roman" w:cs="Times New Roman"/>
        </w:rPr>
        <w:t xml:space="preserve"> pay for natural gas is directly related to </w:t>
      </w:r>
      <w:proofErr w:type="gramStart"/>
      <w:r w:rsidR="00D80812" w:rsidRPr="00AA5308">
        <w:rPr>
          <w:rFonts w:ascii="Times New Roman" w:hAnsi="Times New Roman" w:cs="Times New Roman"/>
        </w:rPr>
        <w:t>the</w:t>
      </w:r>
      <w:proofErr w:type="gramEnd"/>
      <w:r w:rsidR="00D80812" w:rsidRPr="00AA5308">
        <w:rPr>
          <w:rFonts w:ascii="Times New Roman" w:hAnsi="Times New Roman" w:cs="Times New Roman"/>
        </w:rPr>
        <w:t xml:space="preserve"> price </w:t>
      </w:r>
      <w:r w:rsidR="007F5C5B" w:rsidRPr="00AA5308">
        <w:rPr>
          <w:rFonts w:ascii="Times New Roman" w:hAnsi="Times New Roman" w:cs="Times New Roman"/>
        </w:rPr>
        <w:t xml:space="preserve">a </w:t>
      </w:r>
      <w:r w:rsidR="00D80812" w:rsidRPr="00AA5308">
        <w:rPr>
          <w:rFonts w:ascii="Times New Roman" w:hAnsi="Times New Roman" w:cs="Times New Roman"/>
        </w:rPr>
        <w:t xml:space="preserve">utility </w:t>
      </w:r>
      <w:r w:rsidR="006C419C" w:rsidRPr="00AA5308">
        <w:rPr>
          <w:rFonts w:ascii="Times New Roman" w:hAnsi="Times New Roman" w:cs="Times New Roman"/>
        </w:rPr>
        <w:t>pays</w:t>
      </w:r>
      <w:r w:rsidR="00E56BCB" w:rsidRPr="00AA5308">
        <w:rPr>
          <w:rFonts w:ascii="Times New Roman" w:hAnsi="Times New Roman" w:cs="Times New Roman"/>
        </w:rPr>
        <w:t xml:space="preserve"> for natural gas from </w:t>
      </w:r>
      <w:r w:rsidR="007F5C5B" w:rsidRPr="00AA5308">
        <w:rPr>
          <w:rFonts w:ascii="Times New Roman" w:hAnsi="Times New Roman" w:cs="Times New Roman"/>
        </w:rPr>
        <w:t xml:space="preserve">a </w:t>
      </w:r>
      <w:r w:rsidR="00E56BCB" w:rsidRPr="00AA5308">
        <w:rPr>
          <w:rFonts w:ascii="Times New Roman" w:hAnsi="Times New Roman" w:cs="Times New Roman"/>
        </w:rPr>
        <w:t>supplier</w:t>
      </w:r>
      <w:r w:rsidR="0084171C" w:rsidRPr="00AA5308">
        <w:rPr>
          <w:rFonts w:ascii="Times New Roman" w:hAnsi="Times New Roman" w:cs="Times New Roman"/>
        </w:rPr>
        <w:t>. Thus, t</w:t>
      </w:r>
      <w:r w:rsidR="00FA46B1" w:rsidRPr="00AA5308">
        <w:rPr>
          <w:rFonts w:ascii="Times New Roman" w:hAnsi="Times New Roman" w:cs="Times New Roman"/>
        </w:rPr>
        <w:t>he vola</w:t>
      </w:r>
      <w:r w:rsidR="00E56BCB" w:rsidRPr="00AA5308">
        <w:rPr>
          <w:rFonts w:ascii="Times New Roman" w:hAnsi="Times New Roman" w:cs="Times New Roman"/>
        </w:rPr>
        <w:t>tility of natural gas prices presents</w:t>
      </w:r>
      <w:r w:rsidR="00EC4ABD" w:rsidRPr="00AA5308">
        <w:rPr>
          <w:rFonts w:ascii="Times New Roman" w:hAnsi="Times New Roman" w:cs="Times New Roman"/>
        </w:rPr>
        <w:t xml:space="preserve"> substantial risk to</w:t>
      </w:r>
      <w:r w:rsidR="0084171C" w:rsidRPr="00AA5308">
        <w:rPr>
          <w:rFonts w:ascii="Times New Roman" w:hAnsi="Times New Roman" w:cs="Times New Roman"/>
        </w:rPr>
        <w:t xml:space="preserve"> the utility and its ratepayers; a sharp increase in the price of natural gas</w:t>
      </w:r>
      <w:r w:rsidR="00B4674C" w:rsidRPr="00AA5308">
        <w:rPr>
          <w:rFonts w:ascii="Times New Roman" w:hAnsi="Times New Roman" w:cs="Times New Roman"/>
        </w:rPr>
        <w:t xml:space="preserve"> </w:t>
      </w:r>
      <w:r w:rsidR="00E56BCB" w:rsidRPr="00AA5308">
        <w:rPr>
          <w:rFonts w:ascii="Times New Roman" w:hAnsi="Times New Roman" w:cs="Times New Roman"/>
        </w:rPr>
        <w:t xml:space="preserve">supply </w:t>
      </w:r>
      <w:r w:rsidR="00B4674C" w:rsidRPr="00AA5308">
        <w:rPr>
          <w:rFonts w:ascii="Times New Roman" w:hAnsi="Times New Roman" w:cs="Times New Roman"/>
        </w:rPr>
        <w:t>can resu</w:t>
      </w:r>
      <w:r w:rsidR="008D7A67" w:rsidRPr="00AA5308">
        <w:rPr>
          <w:rFonts w:ascii="Times New Roman" w:hAnsi="Times New Roman" w:cs="Times New Roman"/>
        </w:rPr>
        <w:t>lt in a sharp</w:t>
      </w:r>
      <w:r w:rsidR="00B4674C" w:rsidRPr="00AA5308">
        <w:rPr>
          <w:rFonts w:ascii="Times New Roman" w:hAnsi="Times New Roman" w:cs="Times New Roman"/>
        </w:rPr>
        <w:t xml:space="preserve"> increase </w:t>
      </w:r>
      <w:r w:rsidR="00172035" w:rsidRPr="00AA5308">
        <w:rPr>
          <w:rFonts w:ascii="Times New Roman" w:hAnsi="Times New Roman" w:cs="Times New Roman"/>
        </w:rPr>
        <w:t>to</w:t>
      </w:r>
      <w:r w:rsidR="00B4674C" w:rsidRPr="00AA5308">
        <w:rPr>
          <w:rFonts w:ascii="Times New Roman" w:hAnsi="Times New Roman" w:cs="Times New Roman"/>
        </w:rPr>
        <w:t xml:space="preserve"> </w:t>
      </w:r>
      <w:r w:rsidR="00867C4F" w:rsidRPr="00AA5308">
        <w:rPr>
          <w:rFonts w:ascii="Times New Roman" w:hAnsi="Times New Roman" w:cs="Times New Roman"/>
        </w:rPr>
        <w:t>a customer’s</w:t>
      </w:r>
      <w:r w:rsidR="00B4674C" w:rsidRPr="00AA5308">
        <w:rPr>
          <w:rFonts w:ascii="Times New Roman" w:hAnsi="Times New Roman" w:cs="Times New Roman"/>
        </w:rPr>
        <w:t xml:space="preserve"> utility bill.</w:t>
      </w:r>
      <w:r w:rsidR="00867C4F" w:rsidRPr="00AA5308">
        <w:rPr>
          <w:rStyle w:val="FootnoteReference"/>
          <w:rFonts w:ascii="Times New Roman" w:hAnsi="Times New Roman" w:cs="Times New Roman"/>
        </w:rPr>
        <w:footnoteReference w:id="3"/>
      </w:r>
    </w:p>
    <w:p w14:paraId="144C8515" w14:textId="18E79263" w:rsidR="00B4674C" w:rsidRPr="00AA5308" w:rsidRDefault="007F5C5B" w:rsidP="002D4F6E">
      <w:pPr>
        <w:pStyle w:val="ListParagraph"/>
        <w:numPr>
          <w:ilvl w:val="0"/>
          <w:numId w:val="18"/>
        </w:numPr>
        <w:spacing w:after="240" w:line="288" w:lineRule="auto"/>
        <w:ind w:left="0" w:hanging="720"/>
        <w:contextualSpacing w:val="0"/>
        <w:rPr>
          <w:rFonts w:ascii="Times New Roman" w:hAnsi="Times New Roman" w:cs="Times New Roman"/>
        </w:rPr>
      </w:pPr>
      <w:r w:rsidRPr="00AA5308">
        <w:rPr>
          <w:rFonts w:ascii="Times New Roman" w:hAnsi="Times New Roman" w:cs="Times New Roman"/>
        </w:rPr>
        <w:t>T</w:t>
      </w:r>
      <w:r w:rsidR="000C7E93" w:rsidRPr="00AA5308">
        <w:rPr>
          <w:rFonts w:ascii="Times New Roman" w:hAnsi="Times New Roman" w:cs="Times New Roman"/>
        </w:rPr>
        <w:t>o</w:t>
      </w:r>
      <w:r w:rsidR="00214158" w:rsidRPr="00AA5308">
        <w:rPr>
          <w:rFonts w:ascii="Times New Roman" w:hAnsi="Times New Roman" w:cs="Times New Roman"/>
        </w:rPr>
        <w:t xml:space="preserve"> mitigate the impact of market volatility on consumers, </w:t>
      </w:r>
      <w:proofErr w:type="spellStart"/>
      <w:r w:rsidR="00214158" w:rsidRPr="00AA5308">
        <w:rPr>
          <w:rFonts w:ascii="Times New Roman" w:hAnsi="Times New Roman" w:cs="Times New Roman"/>
        </w:rPr>
        <w:t>LDCs</w:t>
      </w:r>
      <w:proofErr w:type="spellEnd"/>
      <w:r w:rsidR="00214158" w:rsidRPr="00AA5308">
        <w:rPr>
          <w:rFonts w:ascii="Times New Roman" w:hAnsi="Times New Roman" w:cs="Times New Roman"/>
        </w:rPr>
        <w:t xml:space="preserve"> </w:t>
      </w:r>
      <w:r w:rsidR="00344E67" w:rsidRPr="00AA5308">
        <w:rPr>
          <w:rFonts w:ascii="Times New Roman" w:hAnsi="Times New Roman" w:cs="Times New Roman"/>
        </w:rPr>
        <w:t xml:space="preserve">routinely </w:t>
      </w:r>
      <w:r w:rsidR="00214158" w:rsidRPr="00AA5308">
        <w:rPr>
          <w:rFonts w:ascii="Times New Roman" w:hAnsi="Times New Roman" w:cs="Times New Roman"/>
        </w:rPr>
        <w:t>enga</w:t>
      </w:r>
      <w:r w:rsidR="008D7A67" w:rsidRPr="00AA5308">
        <w:rPr>
          <w:rFonts w:ascii="Times New Roman" w:hAnsi="Times New Roman" w:cs="Times New Roman"/>
        </w:rPr>
        <w:t>ge in risk management</w:t>
      </w:r>
      <w:r w:rsidR="00567285" w:rsidRPr="00AA5308">
        <w:rPr>
          <w:rFonts w:ascii="Times New Roman" w:hAnsi="Times New Roman" w:cs="Times New Roman"/>
        </w:rPr>
        <w:t xml:space="preserve"> programs</w:t>
      </w:r>
      <w:r w:rsidR="00214158" w:rsidRPr="00AA5308">
        <w:rPr>
          <w:rFonts w:ascii="Times New Roman" w:hAnsi="Times New Roman" w:cs="Times New Roman"/>
        </w:rPr>
        <w:t xml:space="preserve">. </w:t>
      </w:r>
      <w:r w:rsidR="00020CD6" w:rsidRPr="00AA5308">
        <w:rPr>
          <w:rFonts w:ascii="Times New Roman" w:hAnsi="Times New Roman" w:cs="Times New Roman"/>
        </w:rPr>
        <w:t xml:space="preserve">Risk management generally refers to coordinated activities aimed at controlling the </w:t>
      </w:r>
      <w:r w:rsidR="000C7E93" w:rsidRPr="00AA5308">
        <w:rPr>
          <w:rFonts w:ascii="Times New Roman" w:hAnsi="Times New Roman" w:cs="Times New Roman"/>
        </w:rPr>
        <w:t>impact of adverse events.</w:t>
      </w:r>
      <w:r w:rsidR="00042617" w:rsidRPr="00AA5308">
        <w:rPr>
          <w:rStyle w:val="FootnoteReference"/>
          <w:rFonts w:ascii="Times New Roman" w:hAnsi="Times New Roman" w:cs="Times New Roman"/>
        </w:rPr>
        <w:footnoteReference w:id="4"/>
      </w:r>
      <w:r w:rsidR="000C7E93" w:rsidRPr="00AA5308">
        <w:rPr>
          <w:rFonts w:ascii="Times New Roman" w:hAnsi="Times New Roman" w:cs="Times New Roman"/>
        </w:rPr>
        <w:t xml:space="preserve"> </w:t>
      </w:r>
      <w:r w:rsidR="002C6F25" w:rsidRPr="00AA5308">
        <w:rPr>
          <w:rFonts w:ascii="Times New Roman" w:hAnsi="Times New Roman" w:cs="Times New Roman"/>
        </w:rPr>
        <w:t>Because consumers view</w:t>
      </w:r>
      <w:r w:rsidR="008541F9" w:rsidRPr="00AA5308">
        <w:rPr>
          <w:rFonts w:ascii="Times New Roman" w:hAnsi="Times New Roman" w:cs="Times New Roman"/>
        </w:rPr>
        <w:t xml:space="preserve"> price increase</w:t>
      </w:r>
      <w:r w:rsidR="00711AB6" w:rsidRPr="00AA5308">
        <w:rPr>
          <w:rFonts w:ascii="Times New Roman" w:hAnsi="Times New Roman" w:cs="Times New Roman"/>
        </w:rPr>
        <w:t xml:space="preserve">s as adverse events, </w:t>
      </w:r>
      <w:proofErr w:type="spellStart"/>
      <w:r w:rsidR="00711AB6" w:rsidRPr="00AA5308">
        <w:rPr>
          <w:rFonts w:ascii="Times New Roman" w:hAnsi="Times New Roman" w:cs="Times New Roman"/>
        </w:rPr>
        <w:t>LDCs</w:t>
      </w:r>
      <w:proofErr w:type="spellEnd"/>
      <w:r w:rsidR="00711AB6" w:rsidRPr="00AA5308">
        <w:rPr>
          <w:rFonts w:ascii="Times New Roman" w:hAnsi="Times New Roman" w:cs="Times New Roman"/>
        </w:rPr>
        <w:t xml:space="preserve"> managing risk are concerned with controlling the impact of </w:t>
      </w:r>
      <w:r w:rsidR="00042617" w:rsidRPr="00AA5308">
        <w:rPr>
          <w:rFonts w:ascii="Times New Roman" w:hAnsi="Times New Roman" w:cs="Times New Roman"/>
        </w:rPr>
        <w:t>possible</w:t>
      </w:r>
      <w:r w:rsidR="00711AB6" w:rsidRPr="00AA5308">
        <w:rPr>
          <w:rFonts w:ascii="Times New Roman" w:hAnsi="Times New Roman" w:cs="Times New Roman"/>
        </w:rPr>
        <w:t xml:space="preserve"> price spikes on consumers’ bills. </w:t>
      </w:r>
      <w:r w:rsidR="00C16058" w:rsidRPr="00AA5308">
        <w:rPr>
          <w:rFonts w:ascii="Times New Roman" w:hAnsi="Times New Roman" w:cs="Times New Roman"/>
        </w:rPr>
        <w:t>H</w:t>
      </w:r>
      <w:r w:rsidR="00711AB6" w:rsidRPr="00AA5308">
        <w:rPr>
          <w:rFonts w:ascii="Times New Roman" w:hAnsi="Times New Roman" w:cs="Times New Roman"/>
        </w:rPr>
        <w:t>edging</w:t>
      </w:r>
      <w:r w:rsidR="00C16058" w:rsidRPr="00AA5308">
        <w:rPr>
          <w:rFonts w:ascii="Times New Roman" w:hAnsi="Times New Roman" w:cs="Times New Roman"/>
        </w:rPr>
        <w:t xml:space="preserve"> is one risk management tool available to </w:t>
      </w:r>
      <w:proofErr w:type="spellStart"/>
      <w:r w:rsidR="00C16058" w:rsidRPr="00AA5308">
        <w:rPr>
          <w:rFonts w:ascii="Times New Roman" w:hAnsi="Times New Roman" w:cs="Times New Roman"/>
        </w:rPr>
        <w:t>LDCs</w:t>
      </w:r>
      <w:proofErr w:type="spellEnd"/>
      <w:r w:rsidR="00711AB6" w:rsidRPr="00AA5308">
        <w:rPr>
          <w:rFonts w:ascii="Times New Roman" w:hAnsi="Times New Roman" w:cs="Times New Roman"/>
        </w:rPr>
        <w:t>.</w:t>
      </w:r>
    </w:p>
    <w:p w14:paraId="01C3FB38" w14:textId="61D5616D" w:rsidR="00540E11" w:rsidRPr="00AA5308" w:rsidRDefault="00C16058" w:rsidP="002D4F6E">
      <w:pPr>
        <w:pStyle w:val="ListParagraph"/>
        <w:numPr>
          <w:ilvl w:val="0"/>
          <w:numId w:val="18"/>
        </w:numPr>
        <w:spacing w:after="240" w:line="288" w:lineRule="auto"/>
        <w:ind w:left="0" w:hanging="720"/>
        <w:contextualSpacing w:val="0"/>
        <w:rPr>
          <w:rFonts w:ascii="Times New Roman" w:hAnsi="Times New Roman" w:cs="Times New Roman"/>
        </w:rPr>
      </w:pPr>
      <w:r w:rsidRPr="00AA5308">
        <w:rPr>
          <w:rFonts w:ascii="Times New Roman" w:hAnsi="Times New Roman" w:cs="Times New Roman"/>
        </w:rPr>
        <w:lastRenderedPageBreak/>
        <w:t>G</w:t>
      </w:r>
      <w:r w:rsidR="005C6441" w:rsidRPr="00AA5308">
        <w:rPr>
          <w:rFonts w:ascii="Times New Roman" w:hAnsi="Times New Roman" w:cs="Times New Roman"/>
        </w:rPr>
        <w:t xml:space="preserve">enerally, a </w:t>
      </w:r>
      <w:r w:rsidR="00B831D1" w:rsidRPr="00AA5308">
        <w:rPr>
          <w:rFonts w:ascii="Times New Roman" w:hAnsi="Times New Roman" w:cs="Times New Roman"/>
        </w:rPr>
        <w:t xml:space="preserve">hedge refers to a </w:t>
      </w:r>
      <w:r w:rsidR="002520A8" w:rsidRPr="00AA5308">
        <w:rPr>
          <w:rFonts w:ascii="Times New Roman" w:hAnsi="Times New Roman" w:cs="Times New Roman"/>
        </w:rPr>
        <w:t xml:space="preserve">financial transaction </w:t>
      </w:r>
      <w:r w:rsidR="00B831D1" w:rsidRPr="00AA5308">
        <w:rPr>
          <w:rFonts w:ascii="Times New Roman" w:hAnsi="Times New Roman" w:cs="Times New Roman"/>
        </w:rPr>
        <w:t>that</w:t>
      </w:r>
      <w:r w:rsidR="005C6441" w:rsidRPr="00AA5308">
        <w:rPr>
          <w:rFonts w:ascii="Times New Roman" w:hAnsi="Times New Roman" w:cs="Times New Roman"/>
        </w:rPr>
        <w:t xml:space="preserve"> </w:t>
      </w:r>
      <w:r w:rsidR="002A1DE9" w:rsidRPr="00AA5308">
        <w:rPr>
          <w:rFonts w:ascii="Times New Roman" w:hAnsi="Times New Roman" w:cs="Times New Roman"/>
        </w:rPr>
        <w:t>aims to</w:t>
      </w:r>
      <w:r w:rsidRPr="00AA5308">
        <w:rPr>
          <w:rFonts w:ascii="Times New Roman" w:hAnsi="Times New Roman" w:cs="Times New Roman"/>
        </w:rPr>
        <w:t xml:space="preserve"> </w:t>
      </w:r>
      <w:r w:rsidR="00344E67" w:rsidRPr="00AA5308">
        <w:rPr>
          <w:rFonts w:ascii="Times New Roman" w:hAnsi="Times New Roman" w:cs="Times New Roman"/>
        </w:rPr>
        <w:t xml:space="preserve">mitigate </w:t>
      </w:r>
      <w:r w:rsidR="008D4F7B" w:rsidRPr="00AA5308">
        <w:rPr>
          <w:rFonts w:ascii="Times New Roman" w:hAnsi="Times New Roman" w:cs="Times New Roman"/>
        </w:rPr>
        <w:t>exposure to market price volatility</w:t>
      </w:r>
      <w:r w:rsidR="005C6441" w:rsidRPr="00AA5308">
        <w:rPr>
          <w:rFonts w:ascii="Times New Roman" w:hAnsi="Times New Roman" w:cs="Times New Roman"/>
        </w:rPr>
        <w:t xml:space="preserve">. </w:t>
      </w:r>
      <w:r w:rsidR="00D50ECA" w:rsidRPr="00AA5308">
        <w:rPr>
          <w:rFonts w:ascii="Times New Roman" w:hAnsi="Times New Roman" w:cs="Times New Roman"/>
        </w:rPr>
        <w:t>Within the context of natural gas markets, a hedge refers to</w:t>
      </w:r>
      <w:r w:rsidR="00BD5002" w:rsidRPr="00AA5308">
        <w:rPr>
          <w:rFonts w:ascii="Times New Roman" w:hAnsi="Times New Roman" w:cs="Times New Roman"/>
        </w:rPr>
        <w:t xml:space="preserve"> </w:t>
      </w:r>
      <w:r w:rsidR="00344E67" w:rsidRPr="00AA5308">
        <w:rPr>
          <w:rFonts w:ascii="Times New Roman" w:hAnsi="Times New Roman" w:cs="Times New Roman"/>
        </w:rPr>
        <w:t xml:space="preserve">a financial </w:t>
      </w:r>
      <w:r w:rsidR="00BD5002" w:rsidRPr="00AA5308">
        <w:rPr>
          <w:rFonts w:ascii="Times New Roman" w:hAnsi="Times New Roman" w:cs="Times New Roman"/>
        </w:rPr>
        <w:t xml:space="preserve">position that offsets potential losses (or gains) incurred by </w:t>
      </w:r>
      <w:r w:rsidR="004B7C72" w:rsidRPr="00AA5308">
        <w:rPr>
          <w:rFonts w:ascii="Times New Roman" w:hAnsi="Times New Roman" w:cs="Times New Roman"/>
        </w:rPr>
        <w:t xml:space="preserve">fluctuations </w:t>
      </w:r>
      <w:r w:rsidR="00BD5002" w:rsidRPr="00AA5308">
        <w:rPr>
          <w:rFonts w:ascii="Times New Roman" w:hAnsi="Times New Roman" w:cs="Times New Roman"/>
        </w:rPr>
        <w:t xml:space="preserve">in </w:t>
      </w:r>
      <w:r w:rsidRPr="00AA5308">
        <w:rPr>
          <w:rFonts w:ascii="Times New Roman" w:hAnsi="Times New Roman" w:cs="Times New Roman"/>
        </w:rPr>
        <w:t xml:space="preserve">the natural gas commodity </w:t>
      </w:r>
      <w:r w:rsidR="00BD5002" w:rsidRPr="00AA5308">
        <w:rPr>
          <w:rFonts w:ascii="Times New Roman" w:hAnsi="Times New Roman" w:cs="Times New Roman"/>
        </w:rPr>
        <w:t xml:space="preserve">price. </w:t>
      </w:r>
      <w:r w:rsidR="00344E67" w:rsidRPr="00AA5308">
        <w:rPr>
          <w:rFonts w:ascii="Times New Roman" w:hAnsi="Times New Roman" w:cs="Times New Roman"/>
        </w:rPr>
        <w:t xml:space="preserve">Although </w:t>
      </w:r>
      <w:proofErr w:type="spellStart"/>
      <w:r w:rsidR="00344E67" w:rsidRPr="00AA5308">
        <w:rPr>
          <w:rFonts w:ascii="Times New Roman" w:hAnsi="Times New Roman" w:cs="Times New Roman"/>
        </w:rPr>
        <w:t>LDCs</w:t>
      </w:r>
      <w:proofErr w:type="spellEnd"/>
      <w:r w:rsidR="00344E67" w:rsidRPr="00AA5308">
        <w:rPr>
          <w:rFonts w:ascii="Times New Roman" w:hAnsi="Times New Roman" w:cs="Times New Roman"/>
        </w:rPr>
        <w:t xml:space="preserve"> </w:t>
      </w:r>
      <w:r w:rsidR="002C6F25" w:rsidRPr="00AA5308">
        <w:rPr>
          <w:rFonts w:ascii="Times New Roman" w:hAnsi="Times New Roman" w:cs="Times New Roman"/>
        </w:rPr>
        <w:t>sometimes</w:t>
      </w:r>
      <w:r w:rsidR="00344E67" w:rsidRPr="00AA5308">
        <w:rPr>
          <w:rFonts w:ascii="Times New Roman" w:hAnsi="Times New Roman" w:cs="Times New Roman"/>
        </w:rPr>
        <w:t xml:space="preserve"> </w:t>
      </w:r>
      <w:r w:rsidR="00874BA3" w:rsidRPr="00AA5308">
        <w:rPr>
          <w:rFonts w:ascii="Times New Roman" w:hAnsi="Times New Roman" w:cs="Times New Roman"/>
        </w:rPr>
        <w:t>contract</w:t>
      </w:r>
      <w:r w:rsidR="00344E67" w:rsidRPr="00AA5308">
        <w:rPr>
          <w:rFonts w:ascii="Times New Roman" w:hAnsi="Times New Roman" w:cs="Times New Roman"/>
        </w:rPr>
        <w:t xml:space="preserve"> </w:t>
      </w:r>
      <w:r w:rsidR="00812A1B" w:rsidRPr="00AA5308">
        <w:rPr>
          <w:rFonts w:ascii="Times New Roman" w:hAnsi="Times New Roman" w:cs="Times New Roman"/>
        </w:rPr>
        <w:t xml:space="preserve">for gas delivery </w:t>
      </w:r>
      <w:r w:rsidR="00344E67" w:rsidRPr="00AA5308">
        <w:rPr>
          <w:rFonts w:ascii="Times New Roman" w:hAnsi="Times New Roman" w:cs="Times New Roman"/>
        </w:rPr>
        <w:t>at a fixed price, m</w:t>
      </w:r>
      <w:r w:rsidR="00812A1B" w:rsidRPr="00AA5308">
        <w:rPr>
          <w:rFonts w:ascii="Times New Roman" w:hAnsi="Times New Roman" w:cs="Times New Roman"/>
        </w:rPr>
        <w:t xml:space="preserve">ore commonly </w:t>
      </w:r>
      <w:r w:rsidR="002C6F25" w:rsidRPr="00AA5308">
        <w:rPr>
          <w:rFonts w:ascii="Times New Roman" w:hAnsi="Times New Roman" w:cs="Times New Roman"/>
        </w:rPr>
        <w:t>they contract</w:t>
      </w:r>
      <w:r w:rsidR="00812A1B" w:rsidRPr="00AA5308">
        <w:rPr>
          <w:rFonts w:ascii="Times New Roman" w:hAnsi="Times New Roman" w:cs="Times New Roman"/>
        </w:rPr>
        <w:t xml:space="preserve"> for </w:t>
      </w:r>
      <w:r w:rsidR="00344E67" w:rsidRPr="00AA5308">
        <w:rPr>
          <w:rFonts w:ascii="Times New Roman" w:hAnsi="Times New Roman" w:cs="Times New Roman"/>
        </w:rPr>
        <w:t xml:space="preserve">natural gas at set </w:t>
      </w:r>
      <w:r w:rsidR="00812A1B" w:rsidRPr="00AA5308">
        <w:rPr>
          <w:rFonts w:ascii="Times New Roman" w:hAnsi="Times New Roman" w:cs="Times New Roman"/>
        </w:rPr>
        <w:t xml:space="preserve">volumes with </w:t>
      </w:r>
      <w:r w:rsidR="00812A1B" w:rsidRPr="006C58BA">
        <w:rPr>
          <w:rFonts w:ascii="Times New Roman" w:hAnsi="Times New Roman" w:cs="Times New Roman"/>
        </w:rPr>
        <w:t>the price</w:t>
      </w:r>
      <w:r w:rsidR="00344E67" w:rsidRPr="006C58BA">
        <w:rPr>
          <w:rFonts w:ascii="Times New Roman" w:hAnsi="Times New Roman" w:cs="Times New Roman"/>
        </w:rPr>
        <w:t xml:space="preserve"> </w:t>
      </w:r>
      <w:r w:rsidR="002C6F25" w:rsidRPr="006C58BA">
        <w:rPr>
          <w:rFonts w:ascii="Times New Roman" w:hAnsi="Times New Roman" w:cs="Times New Roman"/>
        </w:rPr>
        <w:t>contingent on</w:t>
      </w:r>
      <w:r w:rsidR="00344E67" w:rsidRPr="006C58BA">
        <w:rPr>
          <w:rFonts w:ascii="Times New Roman" w:hAnsi="Times New Roman" w:cs="Times New Roman"/>
        </w:rPr>
        <w:t xml:space="preserve"> </w:t>
      </w:r>
      <w:r w:rsidR="006C58BA">
        <w:rPr>
          <w:rFonts w:ascii="Times New Roman" w:hAnsi="Times New Roman" w:cs="Times New Roman"/>
        </w:rPr>
        <w:t xml:space="preserve">the </w:t>
      </w:r>
      <w:r w:rsidR="00344E67" w:rsidRPr="006C58BA">
        <w:rPr>
          <w:rFonts w:ascii="Times New Roman" w:hAnsi="Times New Roman" w:cs="Times New Roman"/>
        </w:rPr>
        <w:t>market</w:t>
      </w:r>
      <w:r w:rsidR="002C6F25" w:rsidRPr="006C58BA">
        <w:rPr>
          <w:rFonts w:ascii="Times New Roman" w:hAnsi="Times New Roman" w:cs="Times New Roman"/>
        </w:rPr>
        <w:t xml:space="preserve"> price</w:t>
      </w:r>
      <w:r w:rsidR="00812A1B" w:rsidRPr="006C58BA">
        <w:rPr>
          <w:rFonts w:ascii="Times New Roman" w:hAnsi="Times New Roman" w:cs="Times New Roman"/>
        </w:rPr>
        <w:t xml:space="preserve"> at the time of delivery. </w:t>
      </w:r>
      <w:r w:rsidR="00713825" w:rsidRPr="006C58BA">
        <w:rPr>
          <w:rFonts w:ascii="Times New Roman" w:hAnsi="Times New Roman" w:cs="Times New Roman"/>
        </w:rPr>
        <w:t xml:space="preserve">Therefore, </w:t>
      </w:r>
      <w:r w:rsidR="00344E67" w:rsidRPr="006C58BA">
        <w:rPr>
          <w:rFonts w:ascii="Times New Roman" w:hAnsi="Times New Roman" w:cs="Times New Roman"/>
        </w:rPr>
        <w:t>until delivery</w:t>
      </w:r>
      <w:r w:rsidR="00713825" w:rsidRPr="00AA5308">
        <w:rPr>
          <w:rFonts w:ascii="Times New Roman" w:hAnsi="Times New Roman" w:cs="Times New Roman"/>
        </w:rPr>
        <w:t xml:space="preserve"> the price the utility will </w:t>
      </w:r>
      <w:r w:rsidR="008D4F7B" w:rsidRPr="00AA5308">
        <w:rPr>
          <w:rFonts w:ascii="Times New Roman" w:hAnsi="Times New Roman" w:cs="Times New Roman"/>
        </w:rPr>
        <w:t xml:space="preserve">eventually </w:t>
      </w:r>
      <w:r w:rsidR="00713825" w:rsidRPr="00AA5308">
        <w:rPr>
          <w:rFonts w:ascii="Times New Roman" w:hAnsi="Times New Roman" w:cs="Times New Roman"/>
        </w:rPr>
        <w:t xml:space="preserve">pay for the </w:t>
      </w:r>
      <w:r w:rsidR="002B0441" w:rsidRPr="00AA5308">
        <w:rPr>
          <w:rFonts w:ascii="Times New Roman" w:hAnsi="Times New Roman" w:cs="Times New Roman"/>
        </w:rPr>
        <w:t xml:space="preserve">contracted </w:t>
      </w:r>
      <w:r w:rsidR="00713825" w:rsidRPr="00AA5308">
        <w:rPr>
          <w:rFonts w:ascii="Times New Roman" w:hAnsi="Times New Roman" w:cs="Times New Roman"/>
        </w:rPr>
        <w:t>gas</w:t>
      </w:r>
      <w:r w:rsidR="002C6F25" w:rsidRPr="00AA5308">
        <w:rPr>
          <w:rFonts w:ascii="Times New Roman" w:hAnsi="Times New Roman" w:cs="Times New Roman"/>
        </w:rPr>
        <w:t xml:space="preserve"> is uncertain</w:t>
      </w:r>
      <w:r w:rsidR="00344E67" w:rsidRPr="00AA5308">
        <w:rPr>
          <w:rFonts w:ascii="Times New Roman" w:hAnsi="Times New Roman" w:cs="Times New Roman"/>
        </w:rPr>
        <w:t xml:space="preserve">, </w:t>
      </w:r>
      <w:r w:rsidR="002C6F25" w:rsidRPr="00AA5308">
        <w:rPr>
          <w:rFonts w:ascii="Times New Roman" w:hAnsi="Times New Roman" w:cs="Times New Roman"/>
        </w:rPr>
        <w:t xml:space="preserve">which </w:t>
      </w:r>
      <w:r w:rsidR="00344E67" w:rsidRPr="00AA5308">
        <w:rPr>
          <w:rFonts w:ascii="Times New Roman" w:hAnsi="Times New Roman" w:cs="Times New Roman"/>
        </w:rPr>
        <w:t>fully expos</w:t>
      </w:r>
      <w:r w:rsidR="002C6F25" w:rsidRPr="00AA5308">
        <w:rPr>
          <w:rFonts w:ascii="Times New Roman" w:hAnsi="Times New Roman" w:cs="Times New Roman"/>
        </w:rPr>
        <w:t>es</w:t>
      </w:r>
      <w:r w:rsidR="00344E67" w:rsidRPr="00AA5308">
        <w:rPr>
          <w:rFonts w:ascii="Times New Roman" w:hAnsi="Times New Roman" w:cs="Times New Roman"/>
        </w:rPr>
        <w:t xml:space="preserve"> ratepayers to potential changes in price. Hedging </w:t>
      </w:r>
      <w:r w:rsidR="002C6F25" w:rsidRPr="00AA5308">
        <w:rPr>
          <w:rFonts w:ascii="Times New Roman" w:hAnsi="Times New Roman" w:cs="Times New Roman"/>
        </w:rPr>
        <w:t>can</w:t>
      </w:r>
      <w:r w:rsidR="00344E67" w:rsidRPr="00AA5308">
        <w:rPr>
          <w:rFonts w:ascii="Times New Roman" w:hAnsi="Times New Roman" w:cs="Times New Roman"/>
        </w:rPr>
        <w:t xml:space="preserve"> mitigate </w:t>
      </w:r>
      <w:r w:rsidR="0058016C">
        <w:rPr>
          <w:rFonts w:ascii="Times New Roman" w:hAnsi="Times New Roman" w:cs="Times New Roman"/>
        </w:rPr>
        <w:t xml:space="preserve">market </w:t>
      </w:r>
      <w:r w:rsidR="00344E67" w:rsidRPr="00AA5308">
        <w:rPr>
          <w:rFonts w:ascii="Times New Roman" w:hAnsi="Times New Roman" w:cs="Times New Roman"/>
        </w:rPr>
        <w:t>price increases</w:t>
      </w:r>
      <w:r w:rsidR="002C6F25" w:rsidRPr="00AA5308">
        <w:rPr>
          <w:rFonts w:ascii="Times New Roman" w:hAnsi="Times New Roman" w:cs="Times New Roman"/>
        </w:rPr>
        <w:t>,</w:t>
      </w:r>
      <w:r w:rsidR="00344E67" w:rsidRPr="00AA5308">
        <w:rPr>
          <w:rFonts w:ascii="Times New Roman" w:hAnsi="Times New Roman" w:cs="Times New Roman"/>
        </w:rPr>
        <w:t xml:space="preserve"> </w:t>
      </w:r>
      <w:r w:rsidR="002C6F25" w:rsidRPr="00AA5308">
        <w:rPr>
          <w:rFonts w:ascii="Times New Roman" w:hAnsi="Times New Roman" w:cs="Times New Roman"/>
        </w:rPr>
        <w:t>but</w:t>
      </w:r>
      <w:r w:rsidR="00344E67" w:rsidRPr="00AA5308">
        <w:rPr>
          <w:rFonts w:ascii="Times New Roman" w:hAnsi="Times New Roman" w:cs="Times New Roman"/>
        </w:rPr>
        <w:t xml:space="preserve"> expos</w:t>
      </w:r>
      <w:r w:rsidR="002C6F25" w:rsidRPr="00AA5308">
        <w:rPr>
          <w:rFonts w:ascii="Times New Roman" w:hAnsi="Times New Roman" w:cs="Times New Roman"/>
        </w:rPr>
        <w:t>es</w:t>
      </w:r>
      <w:r w:rsidR="00344E67" w:rsidRPr="00AA5308">
        <w:rPr>
          <w:rFonts w:ascii="Times New Roman" w:hAnsi="Times New Roman" w:cs="Times New Roman"/>
        </w:rPr>
        <w:t xml:space="preserve"> ratepayers to hedge losses when prices decrease</w:t>
      </w:r>
      <w:r w:rsidR="00713825" w:rsidRPr="00AA5308">
        <w:rPr>
          <w:rFonts w:ascii="Times New Roman" w:hAnsi="Times New Roman" w:cs="Times New Roman"/>
        </w:rPr>
        <w:t xml:space="preserve">. </w:t>
      </w:r>
      <w:r w:rsidR="008F1BF8" w:rsidRPr="00AA5308">
        <w:rPr>
          <w:rFonts w:ascii="Times New Roman" w:hAnsi="Times New Roman" w:cs="Times New Roman"/>
        </w:rPr>
        <w:t>From a utility perspective, a hedge is essentially an insurance policy against unexpected price increases.</w:t>
      </w:r>
    </w:p>
    <w:p w14:paraId="25F48B5B" w14:textId="7B093E8F" w:rsidR="009A23F4" w:rsidRPr="00AA5308" w:rsidRDefault="009A23F4" w:rsidP="00415865">
      <w:pPr>
        <w:pStyle w:val="Heading2"/>
        <w:numPr>
          <w:ilvl w:val="0"/>
          <w:numId w:val="13"/>
        </w:numPr>
        <w:ind w:left="720"/>
        <w:rPr>
          <w:rFonts w:cs="Times New Roman"/>
          <w:sz w:val="24"/>
          <w:szCs w:val="24"/>
          <w:lang w:val="en"/>
        </w:rPr>
      </w:pPr>
      <w:bookmarkStart w:id="2" w:name="_Toc473903196"/>
      <w:r w:rsidRPr="00AA5308">
        <w:rPr>
          <w:rFonts w:cs="Times New Roman"/>
          <w:sz w:val="24"/>
          <w:szCs w:val="24"/>
        </w:rPr>
        <w:t>Natural Gas Market</w:t>
      </w:r>
      <w:bookmarkEnd w:id="2"/>
    </w:p>
    <w:p w14:paraId="3192DE27" w14:textId="698897D9" w:rsidR="009A23F4" w:rsidRPr="00AA5308" w:rsidRDefault="009A23F4" w:rsidP="00F715AB">
      <w:pPr>
        <w:pStyle w:val="Heading3"/>
        <w:numPr>
          <w:ilvl w:val="2"/>
          <w:numId w:val="8"/>
        </w:numPr>
        <w:ind w:left="1440" w:hanging="360"/>
        <w:rPr>
          <w:sz w:val="24"/>
          <w:szCs w:val="24"/>
        </w:rPr>
      </w:pPr>
      <w:bookmarkStart w:id="3" w:name="_Toc473903197"/>
      <w:r w:rsidRPr="00AA5308">
        <w:rPr>
          <w:sz w:val="24"/>
          <w:szCs w:val="24"/>
        </w:rPr>
        <w:t xml:space="preserve">Periods of </w:t>
      </w:r>
      <w:r w:rsidR="009B66B2" w:rsidRPr="00AA5308">
        <w:rPr>
          <w:sz w:val="24"/>
          <w:szCs w:val="24"/>
        </w:rPr>
        <w:t>V</w:t>
      </w:r>
      <w:r w:rsidRPr="00AA5308">
        <w:rPr>
          <w:sz w:val="24"/>
          <w:szCs w:val="24"/>
        </w:rPr>
        <w:t>olatility</w:t>
      </w:r>
      <w:bookmarkEnd w:id="3"/>
    </w:p>
    <w:p w14:paraId="4E2E74C5" w14:textId="27095DA2" w:rsidR="002C5411" w:rsidRPr="00AA5308" w:rsidRDefault="00167B5B" w:rsidP="002D4F6E">
      <w:pPr>
        <w:pStyle w:val="ListParagraph"/>
        <w:numPr>
          <w:ilvl w:val="0"/>
          <w:numId w:val="18"/>
        </w:numPr>
        <w:spacing w:after="240" w:line="288" w:lineRule="auto"/>
        <w:ind w:left="0" w:hanging="720"/>
        <w:contextualSpacing w:val="0"/>
        <w:rPr>
          <w:rFonts w:ascii="Times New Roman" w:hAnsi="Times New Roman" w:cs="Times New Roman"/>
        </w:rPr>
      </w:pPr>
      <w:r w:rsidRPr="00CB28F5">
        <w:rPr>
          <w:rFonts w:ascii="Times New Roman" w:hAnsi="Times New Roman" w:cs="Times New Roman"/>
        </w:rPr>
        <w:t>Over the la</w:t>
      </w:r>
      <w:r w:rsidRPr="00C113C6">
        <w:rPr>
          <w:rFonts w:ascii="Times New Roman" w:hAnsi="Times New Roman" w:cs="Times New Roman"/>
        </w:rPr>
        <w:t>st 20 years</w:t>
      </w:r>
      <w:r w:rsidR="00323106" w:rsidRPr="00C113C6">
        <w:rPr>
          <w:rFonts w:ascii="Times New Roman" w:hAnsi="Times New Roman" w:cs="Times New Roman"/>
        </w:rPr>
        <w:t xml:space="preserve">, the </w:t>
      </w:r>
      <w:r w:rsidR="00B41420" w:rsidRPr="00C113C6">
        <w:rPr>
          <w:rFonts w:ascii="Times New Roman" w:hAnsi="Times New Roman" w:cs="Times New Roman"/>
        </w:rPr>
        <w:t>natural gas market has exp</w:t>
      </w:r>
      <w:r w:rsidR="00BC0DDB" w:rsidRPr="00C113C6">
        <w:rPr>
          <w:rFonts w:ascii="Times New Roman" w:hAnsi="Times New Roman" w:cs="Times New Roman"/>
        </w:rPr>
        <w:t>erienced several</w:t>
      </w:r>
      <w:r w:rsidR="00B41420" w:rsidRPr="006C58BA">
        <w:rPr>
          <w:rFonts w:ascii="Times New Roman" w:hAnsi="Times New Roman" w:cs="Times New Roman"/>
        </w:rPr>
        <w:t xml:space="preserve"> major price spike events</w:t>
      </w:r>
      <w:r w:rsidR="00BC0DDB" w:rsidRPr="00AA5308">
        <w:rPr>
          <w:rFonts w:ascii="Times New Roman" w:hAnsi="Times New Roman" w:cs="Times New Roman"/>
        </w:rPr>
        <w:t xml:space="preserve">, </w:t>
      </w:r>
      <w:r w:rsidR="00846204" w:rsidRPr="00AA5308">
        <w:rPr>
          <w:rFonts w:ascii="Times New Roman" w:hAnsi="Times New Roman" w:cs="Times New Roman"/>
        </w:rPr>
        <w:t xml:space="preserve">often </w:t>
      </w:r>
      <w:r w:rsidR="00BC0DDB" w:rsidRPr="00AA5308">
        <w:rPr>
          <w:rFonts w:ascii="Times New Roman" w:hAnsi="Times New Roman" w:cs="Times New Roman"/>
        </w:rPr>
        <w:t>w</w:t>
      </w:r>
      <w:r w:rsidR="00A85B78" w:rsidRPr="00AA5308">
        <w:rPr>
          <w:rFonts w:ascii="Times New Roman" w:hAnsi="Times New Roman" w:cs="Times New Roman"/>
        </w:rPr>
        <w:t>ith dramatic</w:t>
      </w:r>
      <w:r w:rsidR="00BC0DDB" w:rsidRPr="00AA5308">
        <w:rPr>
          <w:rFonts w:ascii="Times New Roman" w:hAnsi="Times New Roman" w:cs="Times New Roman"/>
        </w:rPr>
        <w:t xml:space="preserve"> increases </w:t>
      </w:r>
      <w:r w:rsidR="00A85B78" w:rsidRPr="00AA5308">
        <w:rPr>
          <w:rFonts w:ascii="Times New Roman" w:hAnsi="Times New Roman" w:cs="Times New Roman"/>
        </w:rPr>
        <w:t>in price</w:t>
      </w:r>
      <w:r w:rsidR="00BC0DDB" w:rsidRPr="00AA5308">
        <w:rPr>
          <w:rFonts w:ascii="Times New Roman" w:hAnsi="Times New Roman" w:cs="Times New Roman"/>
        </w:rPr>
        <w:t xml:space="preserve"> </w:t>
      </w:r>
      <w:r w:rsidR="00A85B78" w:rsidRPr="00AA5308">
        <w:rPr>
          <w:rFonts w:ascii="Times New Roman" w:hAnsi="Times New Roman" w:cs="Times New Roman"/>
        </w:rPr>
        <w:t xml:space="preserve">occurring over </w:t>
      </w:r>
      <w:r w:rsidR="00B90FAB" w:rsidRPr="00AA5308">
        <w:rPr>
          <w:rFonts w:ascii="Times New Roman" w:hAnsi="Times New Roman" w:cs="Times New Roman"/>
        </w:rPr>
        <w:t xml:space="preserve">a </w:t>
      </w:r>
      <w:r w:rsidR="00A85B78" w:rsidRPr="00AA5308">
        <w:rPr>
          <w:rFonts w:ascii="Times New Roman" w:hAnsi="Times New Roman" w:cs="Times New Roman"/>
        </w:rPr>
        <w:t xml:space="preserve">relatively short </w:t>
      </w:r>
      <w:r w:rsidR="000618EC" w:rsidRPr="00AA5308">
        <w:rPr>
          <w:rFonts w:ascii="Times New Roman" w:hAnsi="Times New Roman" w:cs="Times New Roman"/>
        </w:rPr>
        <w:t xml:space="preserve">time. </w:t>
      </w:r>
      <w:r w:rsidR="0069153E" w:rsidRPr="00AA5308">
        <w:rPr>
          <w:rFonts w:ascii="Times New Roman" w:hAnsi="Times New Roman" w:cs="Times New Roman"/>
        </w:rPr>
        <w:t xml:space="preserve">Since 1995, monthly closing </w:t>
      </w:r>
      <w:r w:rsidR="002C0CCB">
        <w:rPr>
          <w:rFonts w:ascii="Times New Roman" w:hAnsi="Times New Roman" w:cs="Times New Roman"/>
        </w:rPr>
        <w:t>New York Mercantile Exchange (</w:t>
      </w:r>
      <w:r w:rsidR="0069153E" w:rsidRPr="00AA5308">
        <w:rPr>
          <w:rFonts w:ascii="Times New Roman" w:hAnsi="Times New Roman" w:cs="Times New Roman"/>
        </w:rPr>
        <w:t>NYMEX</w:t>
      </w:r>
      <w:r w:rsidR="002C0CCB">
        <w:rPr>
          <w:rFonts w:ascii="Times New Roman" w:hAnsi="Times New Roman" w:cs="Times New Roman"/>
        </w:rPr>
        <w:t>)</w:t>
      </w:r>
      <w:r w:rsidR="00D542B6">
        <w:rPr>
          <w:rStyle w:val="FootnoteReference"/>
          <w:rFonts w:ascii="Times New Roman" w:hAnsi="Times New Roman" w:cs="Times New Roman"/>
        </w:rPr>
        <w:footnoteReference w:id="5"/>
      </w:r>
      <w:r w:rsidR="0069153E" w:rsidRPr="00AA5308">
        <w:rPr>
          <w:rFonts w:ascii="Times New Roman" w:hAnsi="Times New Roman" w:cs="Times New Roman"/>
        </w:rPr>
        <w:t xml:space="preserve"> prices have exceeded $10</w:t>
      </w:r>
      <w:r w:rsidR="004B7C72" w:rsidRPr="00AA5308">
        <w:rPr>
          <w:rFonts w:ascii="Times New Roman" w:hAnsi="Times New Roman" w:cs="Times New Roman"/>
        </w:rPr>
        <w:t xml:space="preserve"> per million British Thermal Units (</w:t>
      </w:r>
      <w:proofErr w:type="spellStart"/>
      <w:r w:rsidR="0045783F" w:rsidRPr="00AA5308">
        <w:rPr>
          <w:rFonts w:ascii="Times New Roman" w:hAnsi="Times New Roman" w:cs="Times New Roman"/>
        </w:rPr>
        <w:t>MM</w:t>
      </w:r>
      <w:r w:rsidR="004B7C72" w:rsidRPr="00AA5308">
        <w:rPr>
          <w:rFonts w:ascii="Times New Roman" w:hAnsi="Times New Roman" w:cs="Times New Roman"/>
        </w:rPr>
        <w:t>Btu</w:t>
      </w:r>
      <w:proofErr w:type="spellEnd"/>
      <w:r w:rsidR="004B7C72" w:rsidRPr="00AA5308">
        <w:rPr>
          <w:rFonts w:ascii="Times New Roman" w:hAnsi="Times New Roman" w:cs="Times New Roman"/>
        </w:rPr>
        <w:t>)</w:t>
      </w:r>
      <w:r w:rsidR="0069153E" w:rsidRPr="00AA5308">
        <w:rPr>
          <w:rFonts w:ascii="Times New Roman" w:hAnsi="Times New Roman" w:cs="Times New Roman"/>
        </w:rPr>
        <w:t xml:space="preserve"> during five separate events</w:t>
      </w:r>
      <w:r w:rsidR="00B90FAB" w:rsidRPr="00AA5308">
        <w:rPr>
          <w:rFonts w:ascii="Times New Roman" w:hAnsi="Times New Roman" w:cs="Times New Roman"/>
        </w:rPr>
        <w:t>,</w:t>
      </w:r>
      <w:r w:rsidR="006D6DA6" w:rsidRPr="00AA5308">
        <w:rPr>
          <w:rFonts w:ascii="Times New Roman" w:hAnsi="Times New Roman" w:cs="Times New Roman"/>
        </w:rPr>
        <w:t xml:space="preserve"> only to return to below $2</w:t>
      </w:r>
      <w:r w:rsidR="0045783F" w:rsidRPr="00AA5308">
        <w:rPr>
          <w:rFonts w:ascii="Times New Roman" w:hAnsi="Times New Roman" w:cs="Times New Roman"/>
        </w:rPr>
        <w:t>MM</w:t>
      </w:r>
      <w:r w:rsidR="004B7C72" w:rsidRPr="00AA5308">
        <w:rPr>
          <w:rFonts w:ascii="Times New Roman" w:hAnsi="Times New Roman" w:cs="Times New Roman"/>
        </w:rPr>
        <w:t>Btu</w:t>
      </w:r>
      <w:r w:rsidR="006D6DA6" w:rsidRPr="00AA5308">
        <w:rPr>
          <w:rFonts w:ascii="Times New Roman" w:hAnsi="Times New Roman" w:cs="Times New Roman"/>
        </w:rPr>
        <w:t xml:space="preserve"> after three of those price spike events.</w:t>
      </w:r>
      <w:r w:rsidR="00CC0AA4" w:rsidRPr="00AA5308">
        <w:rPr>
          <w:rStyle w:val="FootnoteReference"/>
          <w:rFonts w:ascii="Times New Roman" w:hAnsi="Times New Roman" w:cs="Times New Roman"/>
        </w:rPr>
        <w:footnoteReference w:id="6"/>
      </w:r>
      <w:r w:rsidR="006D6DA6" w:rsidRPr="00AA5308">
        <w:rPr>
          <w:rFonts w:ascii="Times New Roman" w:hAnsi="Times New Roman" w:cs="Times New Roman"/>
        </w:rPr>
        <w:t xml:space="preserve"> </w:t>
      </w:r>
      <w:r w:rsidR="00666862" w:rsidRPr="00AA5308">
        <w:rPr>
          <w:rFonts w:ascii="Times New Roman" w:hAnsi="Times New Roman" w:cs="Times New Roman"/>
        </w:rPr>
        <w:t>Beginning in 200</w:t>
      </w:r>
      <w:r w:rsidR="004B7C72" w:rsidRPr="00AA5308">
        <w:rPr>
          <w:rFonts w:ascii="Times New Roman" w:hAnsi="Times New Roman" w:cs="Times New Roman"/>
        </w:rPr>
        <w:t>0</w:t>
      </w:r>
      <w:r w:rsidR="00666862" w:rsidRPr="00AA5308">
        <w:rPr>
          <w:rFonts w:ascii="Times New Roman" w:hAnsi="Times New Roman" w:cs="Times New Roman"/>
        </w:rPr>
        <w:t>, the natural gas marke</w:t>
      </w:r>
      <w:r w:rsidRPr="00AA5308">
        <w:rPr>
          <w:rFonts w:ascii="Times New Roman" w:hAnsi="Times New Roman" w:cs="Times New Roman"/>
        </w:rPr>
        <w:t xml:space="preserve">t began experiencing </w:t>
      </w:r>
      <w:r w:rsidR="00666862" w:rsidRPr="00AA5308">
        <w:rPr>
          <w:rFonts w:ascii="Times New Roman" w:hAnsi="Times New Roman" w:cs="Times New Roman"/>
        </w:rPr>
        <w:t>sustained up</w:t>
      </w:r>
      <w:r w:rsidR="00200A59" w:rsidRPr="00AA5308">
        <w:rPr>
          <w:rFonts w:ascii="Times New Roman" w:hAnsi="Times New Roman" w:cs="Times New Roman"/>
        </w:rPr>
        <w:t>ward pressure on market prices</w:t>
      </w:r>
      <w:r w:rsidR="00B90FAB" w:rsidRPr="00AA5308">
        <w:rPr>
          <w:rFonts w:ascii="Times New Roman" w:hAnsi="Times New Roman" w:cs="Times New Roman"/>
        </w:rPr>
        <w:t>,</w:t>
      </w:r>
      <w:r w:rsidR="00200A59" w:rsidRPr="00AA5308">
        <w:rPr>
          <w:rFonts w:ascii="Times New Roman" w:hAnsi="Times New Roman" w:cs="Times New Roman"/>
        </w:rPr>
        <w:t xml:space="preserve"> </w:t>
      </w:r>
      <w:r w:rsidRPr="00AA5308">
        <w:rPr>
          <w:rFonts w:ascii="Times New Roman" w:hAnsi="Times New Roman" w:cs="Times New Roman"/>
        </w:rPr>
        <w:t xml:space="preserve">ultimately </w:t>
      </w:r>
      <w:r w:rsidR="00200A59" w:rsidRPr="00AA5308">
        <w:rPr>
          <w:rFonts w:ascii="Times New Roman" w:hAnsi="Times New Roman" w:cs="Times New Roman"/>
        </w:rPr>
        <w:t xml:space="preserve">culminating in NYMEX prices closing at </w:t>
      </w:r>
      <w:r w:rsidR="00B7757D" w:rsidRPr="00AA5308">
        <w:rPr>
          <w:rFonts w:ascii="Times New Roman" w:hAnsi="Times New Roman" w:cs="Times New Roman"/>
        </w:rPr>
        <w:t>over $15</w:t>
      </w:r>
      <w:r w:rsidR="0045783F" w:rsidRPr="00AA5308">
        <w:rPr>
          <w:rFonts w:ascii="Times New Roman" w:hAnsi="Times New Roman" w:cs="Times New Roman"/>
        </w:rPr>
        <w:t>MM</w:t>
      </w:r>
      <w:r w:rsidR="004B7C72" w:rsidRPr="00AA5308">
        <w:rPr>
          <w:rFonts w:ascii="Times New Roman" w:hAnsi="Times New Roman" w:cs="Times New Roman"/>
        </w:rPr>
        <w:t>Btu</w:t>
      </w:r>
      <w:r w:rsidR="00200A59" w:rsidRPr="00AA5308">
        <w:rPr>
          <w:rFonts w:ascii="Times New Roman" w:hAnsi="Times New Roman" w:cs="Times New Roman"/>
        </w:rPr>
        <w:t xml:space="preserve"> in Jan</w:t>
      </w:r>
      <w:r w:rsidR="00B7757D" w:rsidRPr="00AA5308">
        <w:rPr>
          <w:rFonts w:ascii="Times New Roman" w:hAnsi="Times New Roman" w:cs="Times New Roman"/>
        </w:rPr>
        <w:t>uary</w:t>
      </w:r>
      <w:r w:rsidR="00200A59" w:rsidRPr="00AA5308">
        <w:rPr>
          <w:rFonts w:ascii="Times New Roman" w:hAnsi="Times New Roman" w:cs="Times New Roman"/>
        </w:rPr>
        <w:t xml:space="preserve"> 2006. </w:t>
      </w:r>
    </w:p>
    <w:p w14:paraId="7D353E0E" w14:textId="6828E119" w:rsidR="002C5411" w:rsidRPr="00AA5308" w:rsidRDefault="00B90FAB" w:rsidP="002D4F6E">
      <w:pPr>
        <w:pStyle w:val="ListParagraph"/>
        <w:numPr>
          <w:ilvl w:val="0"/>
          <w:numId w:val="18"/>
        </w:numPr>
        <w:spacing w:after="240" w:line="288" w:lineRule="auto"/>
        <w:ind w:left="0" w:hanging="720"/>
        <w:contextualSpacing w:val="0"/>
        <w:rPr>
          <w:rFonts w:ascii="Times New Roman" w:hAnsi="Times New Roman" w:cs="Times New Roman"/>
        </w:rPr>
      </w:pPr>
      <w:r w:rsidRPr="006C58BA">
        <w:rPr>
          <w:rFonts w:ascii="Times New Roman" w:hAnsi="Times New Roman" w:cs="Times New Roman"/>
        </w:rPr>
        <w:t>S</w:t>
      </w:r>
      <w:r w:rsidR="00077AFA" w:rsidRPr="006C58BA">
        <w:rPr>
          <w:rFonts w:ascii="Times New Roman" w:hAnsi="Times New Roman" w:cs="Times New Roman"/>
        </w:rPr>
        <w:t>everal national supply disruptions</w:t>
      </w:r>
      <w:r w:rsidRPr="006C58BA">
        <w:rPr>
          <w:rFonts w:ascii="Times New Roman" w:hAnsi="Times New Roman" w:cs="Times New Roman"/>
        </w:rPr>
        <w:t xml:space="preserve"> contributed to price volatility between 1995 and 2006</w:t>
      </w:r>
      <w:r w:rsidR="00077AFA" w:rsidRPr="00AA5308">
        <w:rPr>
          <w:rFonts w:ascii="Times New Roman" w:hAnsi="Times New Roman" w:cs="Times New Roman"/>
        </w:rPr>
        <w:t xml:space="preserve">. </w:t>
      </w:r>
      <w:r w:rsidRPr="00AA5308">
        <w:rPr>
          <w:rFonts w:ascii="Times New Roman" w:hAnsi="Times New Roman" w:cs="Times New Roman"/>
        </w:rPr>
        <w:t>A</w:t>
      </w:r>
      <w:r w:rsidR="004B7C72" w:rsidRPr="00AA5308">
        <w:rPr>
          <w:rFonts w:ascii="Times New Roman" w:hAnsi="Times New Roman" w:cs="Times New Roman"/>
        </w:rPr>
        <w:t xml:space="preserve"> combination of low gas storage levels and high demand </w:t>
      </w:r>
      <w:r w:rsidR="00846204" w:rsidRPr="00AA5308">
        <w:rPr>
          <w:rFonts w:ascii="Times New Roman" w:hAnsi="Times New Roman" w:cs="Times New Roman"/>
        </w:rPr>
        <w:t xml:space="preserve">due to </w:t>
      </w:r>
      <w:r w:rsidR="004B7C72" w:rsidRPr="00AA5308">
        <w:rPr>
          <w:rFonts w:ascii="Times New Roman" w:hAnsi="Times New Roman" w:cs="Times New Roman"/>
        </w:rPr>
        <w:t>cold weather</w:t>
      </w:r>
      <w:r w:rsidRPr="00AA5308">
        <w:rPr>
          <w:rFonts w:ascii="Times New Roman" w:hAnsi="Times New Roman" w:cs="Times New Roman"/>
        </w:rPr>
        <w:t xml:space="preserve"> created price spikes in the winter of 2000/2001 and February 2003</w:t>
      </w:r>
      <w:r w:rsidR="004B7C72" w:rsidRPr="00AA5308">
        <w:rPr>
          <w:rFonts w:ascii="Times New Roman" w:hAnsi="Times New Roman" w:cs="Times New Roman"/>
        </w:rPr>
        <w:t>.</w:t>
      </w:r>
      <w:r w:rsidR="00AE757A" w:rsidRPr="00AA5308">
        <w:rPr>
          <w:rStyle w:val="FootnoteReference"/>
          <w:rFonts w:ascii="Times New Roman" w:hAnsi="Times New Roman" w:cs="Times New Roman"/>
        </w:rPr>
        <w:footnoteReference w:id="7"/>
      </w:r>
      <w:r w:rsidR="008C5971" w:rsidRPr="00AA5308">
        <w:rPr>
          <w:rFonts w:ascii="Times New Roman" w:hAnsi="Times New Roman" w:cs="Times New Roman"/>
        </w:rPr>
        <w:t xml:space="preserve"> </w:t>
      </w:r>
      <w:r w:rsidR="0052419A">
        <w:rPr>
          <w:rFonts w:ascii="Times New Roman" w:hAnsi="Times New Roman" w:cs="Times New Roman"/>
        </w:rPr>
        <w:t xml:space="preserve">In January </w:t>
      </w:r>
      <w:r w:rsidR="0058016C">
        <w:rPr>
          <w:rFonts w:ascii="Times New Roman" w:hAnsi="Times New Roman" w:cs="Times New Roman"/>
        </w:rPr>
        <w:t>2006</w:t>
      </w:r>
      <w:r w:rsidR="0052419A">
        <w:rPr>
          <w:rFonts w:ascii="Times New Roman" w:hAnsi="Times New Roman" w:cs="Times New Roman"/>
        </w:rPr>
        <w:t>, gas prices spiked following the aftermath of Hurricane Katrina.</w:t>
      </w:r>
      <w:r w:rsidR="002D23DE" w:rsidRPr="00AA5308">
        <w:rPr>
          <w:rFonts w:ascii="Times New Roman" w:hAnsi="Times New Roman" w:cs="Times New Roman"/>
        </w:rPr>
        <w:t xml:space="preserve"> Supply disruptions</w:t>
      </w:r>
      <w:r w:rsidR="009A7F7B" w:rsidRPr="00AA5308">
        <w:rPr>
          <w:rFonts w:ascii="Times New Roman" w:hAnsi="Times New Roman" w:cs="Times New Roman"/>
        </w:rPr>
        <w:t>,</w:t>
      </w:r>
      <w:r w:rsidR="002D23DE" w:rsidRPr="00AA5308">
        <w:rPr>
          <w:rFonts w:ascii="Times New Roman" w:hAnsi="Times New Roman" w:cs="Times New Roman"/>
        </w:rPr>
        <w:t xml:space="preserve"> coupled </w:t>
      </w:r>
      <w:r w:rsidR="000618EC" w:rsidRPr="00AA5308">
        <w:rPr>
          <w:rFonts w:ascii="Times New Roman" w:hAnsi="Times New Roman" w:cs="Times New Roman"/>
        </w:rPr>
        <w:t>with increasing</w:t>
      </w:r>
      <w:r w:rsidR="002D23DE" w:rsidRPr="00AA5308">
        <w:rPr>
          <w:rFonts w:ascii="Times New Roman" w:hAnsi="Times New Roman" w:cs="Times New Roman"/>
        </w:rPr>
        <w:t xml:space="preserve"> use of natural gas as fuel for the electricity industry</w:t>
      </w:r>
      <w:r w:rsidR="007F5C5B" w:rsidRPr="00AA5308">
        <w:rPr>
          <w:rFonts w:ascii="Times New Roman" w:hAnsi="Times New Roman" w:cs="Times New Roman"/>
        </w:rPr>
        <w:t xml:space="preserve"> </w:t>
      </w:r>
      <w:r w:rsidR="002520A8" w:rsidRPr="00AA5308">
        <w:rPr>
          <w:rFonts w:ascii="Times New Roman" w:hAnsi="Times New Roman" w:cs="Times New Roman"/>
        </w:rPr>
        <w:t>and</w:t>
      </w:r>
      <w:r w:rsidR="00061487" w:rsidRPr="00AA5308">
        <w:rPr>
          <w:rFonts w:ascii="Times New Roman" w:hAnsi="Times New Roman" w:cs="Times New Roman"/>
        </w:rPr>
        <w:t xml:space="preserve"> decreasing </w:t>
      </w:r>
      <w:r w:rsidR="00061487" w:rsidRPr="00AA5308">
        <w:rPr>
          <w:rFonts w:ascii="Times New Roman" w:hAnsi="Times New Roman" w:cs="Times New Roman"/>
        </w:rPr>
        <w:lastRenderedPageBreak/>
        <w:t>national production</w:t>
      </w:r>
      <w:r w:rsidR="002520A8" w:rsidRPr="00AA5308">
        <w:rPr>
          <w:rFonts w:ascii="Times New Roman" w:hAnsi="Times New Roman" w:cs="Times New Roman"/>
        </w:rPr>
        <w:t>,</w:t>
      </w:r>
      <w:r w:rsidR="00061487" w:rsidRPr="00AA5308">
        <w:rPr>
          <w:rFonts w:ascii="Times New Roman" w:hAnsi="Times New Roman" w:cs="Times New Roman"/>
        </w:rPr>
        <w:t xml:space="preserve"> created ripe conditions for market volatility and sustained upward price pressure.</w:t>
      </w:r>
      <w:r w:rsidR="00CC0AA4" w:rsidRPr="00C113C6">
        <w:rPr>
          <w:rStyle w:val="FootnoteReference"/>
          <w:rFonts w:ascii="Times New Roman" w:hAnsi="Times New Roman" w:cs="Times New Roman"/>
        </w:rPr>
        <w:footnoteReference w:id="8"/>
      </w:r>
    </w:p>
    <w:p w14:paraId="305BE486" w14:textId="24861412" w:rsidR="00C3469A" w:rsidRPr="00AA5308" w:rsidRDefault="00C3469A" w:rsidP="00F715AB">
      <w:pPr>
        <w:pStyle w:val="Heading3"/>
        <w:numPr>
          <w:ilvl w:val="2"/>
          <w:numId w:val="8"/>
        </w:numPr>
        <w:ind w:left="1440" w:hanging="360"/>
        <w:rPr>
          <w:sz w:val="24"/>
          <w:szCs w:val="24"/>
        </w:rPr>
      </w:pPr>
      <w:bookmarkStart w:id="4" w:name="_Toc473903198"/>
      <w:r w:rsidRPr="00AA5308">
        <w:rPr>
          <w:sz w:val="24"/>
          <w:szCs w:val="24"/>
        </w:rPr>
        <w:t>The Shale Revolution</w:t>
      </w:r>
      <w:r w:rsidR="00C631AB" w:rsidRPr="00AA5308">
        <w:rPr>
          <w:sz w:val="24"/>
          <w:szCs w:val="24"/>
        </w:rPr>
        <w:t xml:space="preserve"> and </w:t>
      </w:r>
      <w:r w:rsidR="009B66B2" w:rsidRPr="00AA5308">
        <w:rPr>
          <w:sz w:val="24"/>
          <w:szCs w:val="24"/>
        </w:rPr>
        <w:t xml:space="preserve">Continued </w:t>
      </w:r>
      <w:r w:rsidR="00C631AB" w:rsidRPr="00AA5308">
        <w:rPr>
          <w:sz w:val="24"/>
          <w:szCs w:val="24"/>
        </w:rPr>
        <w:t>Market Uncertainty</w:t>
      </w:r>
      <w:bookmarkEnd w:id="4"/>
    </w:p>
    <w:p w14:paraId="155D2C80" w14:textId="733A8591" w:rsidR="0049150E" w:rsidRPr="00AA5308" w:rsidRDefault="007351E8" w:rsidP="002D4F6E">
      <w:pPr>
        <w:pStyle w:val="ListParagraph"/>
        <w:numPr>
          <w:ilvl w:val="0"/>
          <w:numId w:val="18"/>
        </w:numPr>
        <w:spacing w:after="240" w:line="288" w:lineRule="auto"/>
        <w:ind w:left="0" w:hanging="720"/>
        <w:contextualSpacing w:val="0"/>
        <w:rPr>
          <w:rFonts w:ascii="Times New Roman" w:hAnsi="Times New Roman" w:cs="Times New Roman"/>
        </w:rPr>
      </w:pPr>
      <w:r w:rsidRPr="00CB28F5">
        <w:rPr>
          <w:rFonts w:ascii="Times New Roman" w:hAnsi="Times New Roman" w:cs="Times New Roman"/>
        </w:rPr>
        <w:t>Beginning in</w:t>
      </w:r>
      <w:r w:rsidRPr="00C113C6">
        <w:rPr>
          <w:rFonts w:ascii="Times New Roman" w:hAnsi="Times New Roman" w:cs="Times New Roman"/>
        </w:rPr>
        <w:t xml:space="preserve"> 2007, </w:t>
      </w:r>
      <w:r w:rsidR="00526E1A" w:rsidRPr="006C58BA">
        <w:rPr>
          <w:rFonts w:ascii="Times New Roman" w:hAnsi="Times New Roman" w:cs="Times New Roman"/>
        </w:rPr>
        <w:t>advances in</w:t>
      </w:r>
      <w:r w:rsidRPr="006C58BA">
        <w:rPr>
          <w:rFonts w:ascii="Times New Roman" w:hAnsi="Times New Roman" w:cs="Times New Roman"/>
        </w:rPr>
        <w:t xml:space="preserve"> horizontal drilling and hydraulic fracturing</w:t>
      </w:r>
      <w:r w:rsidR="00D445E8" w:rsidRPr="006C58BA">
        <w:rPr>
          <w:rFonts w:ascii="Times New Roman" w:hAnsi="Times New Roman" w:cs="Times New Roman"/>
        </w:rPr>
        <w:t xml:space="preserve"> (fracking)</w:t>
      </w:r>
      <w:r w:rsidRPr="00AA5308">
        <w:rPr>
          <w:rFonts w:ascii="Times New Roman" w:hAnsi="Times New Roman" w:cs="Times New Roman"/>
        </w:rPr>
        <w:t xml:space="preserve"> </w:t>
      </w:r>
      <w:r w:rsidR="0078185A" w:rsidRPr="00AA5308">
        <w:rPr>
          <w:rFonts w:ascii="Times New Roman" w:hAnsi="Times New Roman" w:cs="Times New Roman"/>
        </w:rPr>
        <w:t xml:space="preserve">substantially </w:t>
      </w:r>
      <w:r w:rsidR="00526E1A" w:rsidRPr="00AA5308">
        <w:rPr>
          <w:rFonts w:ascii="Times New Roman" w:hAnsi="Times New Roman" w:cs="Times New Roman"/>
        </w:rPr>
        <w:t xml:space="preserve">improved the </w:t>
      </w:r>
      <w:r w:rsidR="0078185A" w:rsidRPr="00AA5308">
        <w:rPr>
          <w:rFonts w:ascii="Times New Roman" w:hAnsi="Times New Roman" w:cs="Times New Roman"/>
        </w:rPr>
        <w:t>cost effectiveness of</w:t>
      </w:r>
      <w:r w:rsidR="00526E1A" w:rsidRPr="00AA5308">
        <w:rPr>
          <w:rFonts w:ascii="Times New Roman" w:hAnsi="Times New Roman" w:cs="Times New Roman"/>
        </w:rPr>
        <w:t xml:space="preserve"> shale gas extraction</w:t>
      </w:r>
      <w:r w:rsidR="00FD27A1" w:rsidRPr="00AA5308">
        <w:rPr>
          <w:rFonts w:ascii="Times New Roman" w:hAnsi="Times New Roman" w:cs="Times New Roman"/>
        </w:rPr>
        <w:t>. V</w:t>
      </w:r>
      <w:r w:rsidR="0078185A" w:rsidRPr="00AA5308">
        <w:rPr>
          <w:rFonts w:ascii="Times New Roman" w:hAnsi="Times New Roman" w:cs="Times New Roman"/>
        </w:rPr>
        <w:t>ast deposits of shale</w:t>
      </w:r>
      <w:r w:rsidR="00FD27A1" w:rsidRPr="00AA5308">
        <w:rPr>
          <w:rFonts w:ascii="Times New Roman" w:hAnsi="Times New Roman" w:cs="Times New Roman"/>
        </w:rPr>
        <w:t>, once cost prohibitive to mine,</w:t>
      </w:r>
      <w:r w:rsidR="0078185A" w:rsidRPr="00AA5308">
        <w:rPr>
          <w:rFonts w:ascii="Times New Roman" w:hAnsi="Times New Roman" w:cs="Times New Roman"/>
        </w:rPr>
        <w:t xml:space="preserve"> became economically accessible</w:t>
      </w:r>
      <w:r w:rsidR="00A70F8D" w:rsidRPr="00AA5308">
        <w:rPr>
          <w:rFonts w:ascii="Times New Roman" w:hAnsi="Times New Roman" w:cs="Times New Roman"/>
        </w:rPr>
        <w:t>,</w:t>
      </w:r>
      <w:r w:rsidR="007E143A" w:rsidRPr="00AA5308">
        <w:rPr>
          <w:rFonts w:ascii="Times New Roman" w:hAnsi="Times New Roman" w:cs="Times New Roman"/>
        </w:rPr>
        <w:t xml:space="preserve"> leading to a dramatic</w:t>
      </w:r>
      <w:r w:rsidRPr="00AA5308">
        <w:rPr>
          <w:rFonts w:ascii="Times New Roman" w:hAnsi="Times New Roman" w:cs="Times New Roman"/>
        </w:rPr>
        <w:t xml:space="preserve"> increase in </w:t>
      </w:r>
      <w:r w:rsidR="00FD27A1" w:rsidRPr="00AA5308">
        <w:rPr>
          <w:rFonts w:ascii="Times New Roman" w:hAnsi="Times New Roman" w:cs="Times New Roman"/>
        </w:rPr>
        <w:t xml:space="preserve">domestic </w:t>
      </w:r>
      <w:r w:rsidRPr="00AA5308">
        <w:rPr>
          <w:rFonts w:ascii="Times New Roman" w:hAnsi="Times New Roman" w:cs="Times New Roman"/>
        </w:rPr>
        <w:t xml:space="preserve">natural gas production. </w:t>
      </w:r>
      <w:r w:rsidR="00FD27A1" w:rsidRPr="00CB28F5">
        <w:rPr>
          <w:rFonts w:ascii="Times New Roman" w:hAnsi="Times New Roman" w:cs="Times New Roman"/>
        </w:rPr>
        <w:t>S</w:t>
      </w:r>
      <w:r w:rsidR="00C411D8" w:rsidRPr="00CB28F5">
        <w:rPr>
          <w:rFonts w:ascii="Times New Roman" w:hAnsi="Times New Roman" w:cs="Times New Roman"/>
        </w:rPr>
        <w:t>hale gas production increased from less than 5 percent o</w:t>
      </w:r>
      <w:r w:rsidR="00C411D8" w:rsidRPr="006C58BA">
        <w:rPr>
          <w:rFonts w:ascii="Times New Roman" w:hAnsi="Times New Roman" w:cs="Times New Roman"/>
        </w:rPr>
        <w:t>f US production in 2006 to 47 percent i</w:t>
      </w:r>
      <w:r w:rsidR="00C631AB" w:rsidRPr="006C58BA">
        <w:rPr>
          <w:rFonts w:ascii="Times New Roman" w:hAnsi="Times New Roman" w:cs="Times New Roman"/>
        </w:rPr>
        <w:t>n 2013.</w:t>
      </w:r>
      <w:r w:rsidR="00495586" w:rsidRPr="006C58BA">
        <w:rPr>
          <w:rStyle w:val="FootnoteReference"/>
          <w:rFonts w:ascii="Times New Roman" w:hAnsi="Times New Roman" w:cs="Times New Roman"/>
        </w:rPr>
        <w:footnoteReference w:id="9"/>
      </w:r>
      <w:r w:rsidR="00C631AB" w:rsidRPr="006C58BA">
        <w:rPr>
          <w:rFonts w:ascii="Times New Roman" w:hAnsi="Times New Roman" w:cs="Times New Roman"/>
        </w:rPr>
        <w:t xml:space="preserve"> Importantly, shale production also allowed for geog</w:t>
      </w:r>
      <w:r w:rsidR="00C631AB" w:rsidRPr="00AA5308">
        <w:rPr>
          <w:rFonts w:ascii="Times New Roman" w:hAnsi="Times New Roman" w:cs="Times New Roman"/>
        </w:rPr>
        <w:t>raphic diversification of natural gas supply</w:t>
      </w:r>
      <w:r w:rsidR="00D445E8" w:rsidRPr="00AA5308">
        <w:rPr>
          <w:rFonts w:ascii="Times New Roman" w:hAnsi="Times New Roman" w:cs="Times New Roman"/>
        </w:rPr>
        <w:t>. S</w:t>
      </w:r>
      <w:r w:rsidR="00615983" w:rsidRPr="00AA5308">
        <w:rPr>
          <w:rFonts w:ascii="Times New Roman" w:hAnsi="Times New Roman" w:cs="Times New Roman"/>
        </w:rPr>
        <w:t>hale plays in the Northeast and Midwest of the US shifted production away from the South</w:t>
      </w:r>
      <w:r w:rsidR="00C631AB" w:rsidRPr="00AA5308">
        <w:rPr>
          <w:rFonts w:ascii="Times New Roman" w:hAnsi="Times New Roman" w:cs="Times New Roman"/>
        </w:rPr>
        <w:t xml:space="preserve">. </w:t>
      </w:r>
      <w:r w:rsidR="005A2D87" w:rsidRPr="00AA5308">
        <w:rPr>
          <w:rFonts w:ascii="Times New Roman" w:hAnsi="Times New Roman" w:cs="Times New Roman"/>
        </w:rPr>
        <w:t>In contrast to previous decades</w:t>
      </w:r>
      <w:r w:rsidR="000618EC" w:rsidRPr="00AA5308">
        <w:rPr>
          <w:rFonts w:ascii="Times New Roman" w:hAnsi="Times New Roman" w:cs="Times New Roman"/>
        </w:rPr>
        <w:t>, a</w:t>
      </w:r>
      <w:r w:rsidR="002C7896" w:rsidRPr="00AA5308">
        <w:rPr>
          <w:rFonts w:ascii="Times New Roman" w:hAnsi="Times New Roman" w:cs="Times New Roman"/>
        </w:rPr>
        <w:t xml:space="preserve"> </w:t>
      </w:r>
      <w:r w:rsidR="00C631AB" w:rsidRPr="00AA5308">
        <w:rPr>
          <w:rFonts w:ascii="Times New Roman" w:hAnsi="Times New Roman" w:cs="Times New Roman"/>
        </w:rPr>
        <w:t>wider distribution of supply basins</w:t>
      </w:r>
      <w:r w:rsidR="00A70F8D" w:rsidRPr="00AA5308">
        <w:rPr>
          <w:rFonts w:ascii="Times New Roman" w:hAnsi="Times New Roman" w:cs="Times New Roman"/>
        </w:rPr>
        <w:t xml:space="preserve"> reduced the influence of </w:t>
      </w:r>
      <w:r w:rsidR="00C631AB" w:rsidRPr="00AA5308">
        <w:rPr>
          <w:rFonts w:ascii="Times New Roman" w:hAnsi="Times New Roman" w:cs="Times New Roman"/>
        </w:rPr>
        <w:t>disruptions at a</w:t>
      </w:r>
      <w:r w:rsidR="001D3EEB" w:rsidRPr="00AA5308">
        <w:rPr>
          <w:rFonts w:ascii="Times New Roman" w:hAnsi="Times New Roman" w:cs="Times New Roman"/>
        </w:rPr>
        <w:t>ny one</w:t>
      </w:r>
      <w:r w:rsidR="00C631AB" w:rsidRPr="00AA5308">
        <w:rPr>
          <w:rFonts w:ascii="Times New Roman" w:hAnsi="Times New Roman" w:cs="Times New Roman"/>
        </w:rPr>
        <w:t xml:space="preserve"> supply source </w:t>
      </w:r>
      <w:r w:rsidR="008D4F7B" w:rsidRPr="00AA5308">
        <w:rPr>
          <w:rFonts w:ascii="Times New Roman" w:hAnsi="Times New Roman" w:cs="Times New Roman"/>
        </w:rPr>
        <w:t xml:space="preserve">on </w:t>
      </w:r>
      <w:r w:rsidR="00C631AB" w:rsidRPr="00AA5308">
        <w:rPr>
          <w:rFonts w:ascii="Times New Roman" w:hAnsi="Times New Roman" w:cs="Times New Roman"/>
        </w:rPr>
        <w:t xml:space="preserve">natural gas prices. As a result, a general expectation </w:t>
      </w:r>
      <w:r w:rsidR="008D4F7B" w:rsidRPr="00AA5308">
        <w:rPr>
          <w:rFonts w:ascii="Times New Roman" w:hAnsi="Times New Roman" w:cs="Times New Roman"/>
        </w:rPr>
        <w:t xml:space="preserve">developed </w:t>
      </w:r>
      <w:r w:rsidR="00C631AB" w:rsidRPr="00AA5308">
        <w:rPr>
          <w:rFonts w:ascii="Times New Roman" w:hAnsi="Times New Roman" w:cs="Times New Roman"/>
        </w:rPr>
        <w:t xml:space="preserve">that US shale gas production </w:t>
      </w:r>
      <w:r w:rsidR="008D4F7B" w:rsidRPr="00AA5308">
        <w:rPr>
          <w:rFonts w:ascii="Times New Roman" w:hAnsi="Times New Roman" w:cs="Times New Roman"/>
        </w:rPr>
        <w:t>would</w:t>
      </w:r>
      <w:r w:rsidR="00C631AB" w:rsidRPr="00AA5308">
        <w:rPr>
          <w:rFonts w:ascii="Times New Roman" w:hAnsi="Times New Roman" w:cs="Times New Roman"/>
        </w:rPr>
        <w:t xml:space="preserve"> have a stabilizing effect on natural gas prices.</w:t>
      </w:r>
      <w:r w:rsidR="00495586" w:rsidRPr="00AA5308">
        <w:rPr>
          <w:rStyle w:val="FootnoteReference"/>
          <w:rFonts w:ascii="Times New Roman" w:hAnsi="Times New Roman" w:cs="Times New Roman"/>
        </w:rPr>
        <w:footnoteReference w:id="10"/>
      </w:r>
      <w:r w:rsidR="00C631AB" w:rsidRPr="00AA5308">
        <w:rPr>
          <w:rFonts w:ascii="Times New Roman" w:hAnsi="Times New Roman" w:cs="Times New Roman"/>
        </w:rPr>
        <w:t xml:space="preserve"> </w:t>
      </w:r>
    </w:p>
    <w:p w14:paraId="10453C09" w14:textId="3CCBFE9C" w:rsidR="00C411D8" w:rsidRPr="00AA5308" w:rsidRDefault="00C631AB" w:rsidP="002D4F6E">
      <w:pPr>
        <w:pStyle w:val="ListParagraph"/>
        <w:numPr>
          <w:ilvl w:val="0"/>
          <w:numId w:val="18"/>
        </w:numPr>
        <w:spacing w:after="240" w:line="288" w:lineRule="auto"/>
        <w:ind w:left="0" w:hanging="720"/>
        <w:contextualSpacing w:val="0"/>
        <w:rPr>
          <w:rFonts w:ascii="Times New Roman" w:hAnsi="Times New Roman" w:cs="Times New Roman"/>
        </w:rPr>
      </w:pPr>
      <w:r w:rsidRPr="00CB28F5">
        <w:rPr>
          <w:rFonts w:ascii="Times New Roman" w:hAnsi="Times New Roman" w:cs="Times New Roman"/>
        </w:rPr>
        <w:t>This effect was realized following the</w:t>
      </w:r>
      <w:r w:rsidR="0049150E" w:rsidRPr="00CB28F5">
        <w:rPr>
          <w:rFonts w:ascii="Times New Roman" w:hAnsi="Times New Roman" w:cs="Times New Roman"/>
        </w:rPr>
        <w:t xml:space="preserve"> </w:t>
      </w:r>
      <w:r w:rsidR="00C411D8" w:rsidRPr="00C113C6">
        <w:rPr>
          <w:rFonts w:ascii="Times New Roman" w:hAnsi="Times New Roman" w:cs="Times New Roman"/>
        </w:rPr>
        <w:t>Great Recession in 2008</w:t>
      </w:r>
      <w:r w:rsidRPr="006C58BA">
        <w:rPr>
          <w:rFonts w:ascii="Times New Roman" w:hAnsi="Times New Roman" w:cs="Times New Roman"/>
        </w:rPr>
        <w:t>. W</w:t>
      </w:r>
      <w:r w:rsidR="00C411D8" w:rsidRPr="006C58BA">
        <w:rPr>
          <w:rFonts w:ascii="Times New Roman" w:hAnsi="Times New Roman" w:cs="Times New Roman"/>
        </w:rPr>
        <w:t>ith a steady and abundant supply of natural gas, prices began to fall. Since 2009, prices have averaged less than $4</w:t>
      </w:r>
      <w:r w:rsidR="0045783F" w:rsidRPr="00AA5308">
        <w:rPr>
          <w:rFonts w:ascii="Times New Roman" w:hAnsi="Times New Roman" w:cs="Times New Roman"/>
        </w:rPr>
        <w:t>MM</w:t>
      </w:r>
      <w:r w:rsidRPr="00AA5308">
        <w:rPr>
          <w:rFonts w:ascii="Times New Roman" w:hAnsi="Times New Roman" w:cs="Times New Roman"/>
        </w:rPr>
        <w:t>Btu</w:t>
      </w:r>
      <w:r w:rsidR="00C411D8" w:rsidRPr="00AA5308">
        <w:rPr>
          <w:rFonts w:ascii="Times New Roman" w:hAnsi="Times New Roman" w:cs="Times New Roman"/>
        </w:rPr>
        <w:t xml:space="preserve"> and have n</w:t>
      </w:r>
      <w:r w:rsidR="00586E2B" w:rsidRPr="00AA5308">
        <w:rPr>
          <w:rFonts w:ascii="Times New Roman" w:hAnsi="Times New Roman" w:cs="Times New Roman"/>
        </w:rPr>
        <w:t>ot exceeded</w:t>
      </w:r>
      <w:r w:rsidR="00C411D8" w:rsidRPr="00AA5308">
        <w:rPr>
          <w:rFonts w:ascii="Times New Roman" w:hAnsi="Times New Roman" w:cs="Times New Roman"/>
        </w:rPr>
        <w:t xml:space="preserve"> $8.15</w:t>
      </w:r>
      <w:r w:rsidR="0045783F" w:rsidRPr="00AA5308">
        <w:rPr>
          <w:rFonts w:ascii="Times New Roman" w:hAnsi="Times New Roman" w:cs="Times New Roman"/>
        </w:rPr>
        <w:t>MM</w:t>
      </w:r>
      <w:r w:rsidRPr="00AA5308">
        <w:rPr>
          <w:rFonts w:ascii="Times New Roman" w:hAnsi="Times New Roman" w:cs="Times New Roman"/>
        </w:rPr>
        <w:t>Btu</w:t>
      </w:r>
      <w:r w:rsidR="00C411D8" w:rsidRPr="00AA5308">
        <w:rPr>
          <w:rFonts w:ascii="Times New Roman" w:hAnsi="Times New Roman" w:cs="Times New Roman"/>
        </w:rPr>
        <w:t xml:space="preserve">. </w:t>
      </w:r>
      <w:r w:rsidR="005A2D87" w:rsidRPr="00AA5308">
        <w:rPr>
          <w:rFonts w:ascii="Times New Roman" w:hAnsi="Times New Roman" w:cs="Times New Roman"/>
        </w:rPr>
        <w:t xml:space="preserve">In 2015 and </w:t>
      </w:r>
      <w:r w:rsidR="00F405D8" w:rsidRPr="00AA5308">
        <w:rPr>
          <w:rFonts w:ascii="Times New Roman" w:hAnsi="Times New Roman" w:cs="Times New Roman"/>
        </w:rPr>
        <w:t>2016,</w:t>
      </w:r>
      <w:r w:rsidR="00C411D8" w:rsidRPr="00AA5308">
        <w:rPr>
          <w:rFonts w:ascii="Times New Roman" w:hAnsi="Times New Roman" w:cs="Times New Roman"/>
        </w:rPr>
        <w:t xml:space="preserve"> Henry </w:t>
      </w:r>
      <w:r w:rsidR="008F1BF8">
        <w:rPr>
          <w:rFonts w:ascii="Times New Roman" w:hAnsi="Times New Roman" w:cs="Times New Roman"/>
        </w:rPr>
        <w:t>H</w:t>
      </w:r>
      <w:r w:rsidR="00C411D8" w:rsidRPr="00AA5308">
        <w:rPr>
          <w:rFonts w:ascii="Times New Roman" w:hAnsi="Times New Roman" w:cs="Times New Roman"/>
        </w:rPr>
        <w:t>ub</w:t>
      </w:r>
      <w:r w:rsidR="001A33CF">
        <w:rPr>
          <w:rStyle w:val="FootnoteReference"/>
          <w:rFonts w:ascii="Times New Roman" w:hAnsi="Times New Roman" w:cs="Times New Roman"/>
        </w:rPr>
        <w:footnoteReference w:id="11"/>
      </w:r>
      <w:r w:rsidR="00C411D8" w:rsidRPr="00AA5308">
        <w:rPr>
          <w:rFonts w:ascii="Times New Roman" w:hAnsi="Times New Roman" w:cs="Times New Roman"/>
        </w:rPr>
        <w:t xml:space="preserve"> prices averaged just over $2.50</w:t>
      </w:r>
      <w:r w:rsidR="0045783F" w:rsidRPr="00AA5308">
        <w:rPr>
          <w:rFonts w:ascii="Times New Roman" w:hAnsi="Times New Roman" w:cs="Times New Roman"/>
        </w:rPr>
        <w:t>MM</w:t>
      </w:r>
      <w:r w:rsidRPr="00AA5308">
        <w:rPr>
          <w:rFonts w:ascii="Times New Roman" w:hAnsi="Times New Roman" w:cs="Times New Roman"/>
        </w:rPr>
        <w:t>Btu</w:t>
      </w:r>
      <w:r w:rsidR="009B66B2" w:rsidRPr="00AA5308">
        <w:rPr>
          <w:rFonts w:ascii="Times New Roman" w:hAnsi="Times New Roman" w:cs="Times New Roman"/>
        </w:rPr>
        <w:t>.</w:t>
      </w:r>
      <w:r w:rsidR="00FC5332" w:rsidRPr="00AA5308">
        <w:rPr>
          <w:rStyle w:val="FootnoteReference"/>
          <w:rFonts w:ascii="Times New Roman" w:hAnsi="Times New Roman" w:cs="Times New Roman"/>
        </w:rPr>
        <w:footnoteReference w:id="12"/>
      </w:r>
      <w:r w:rsidR="009B66B2" w:rsidRPr="00AA5308">
        <w:rPr>
          <w:rFonts w:ascii="Times New Roman" w:hAnsi="Times New Roman" w:cs="Times New Roman"/>
        </w:rPr>
        <w:t xml:space="preserve"> </w:t>
      </w:r>
      <w:r w:rsidR="00C411D8" w:rsidRPr="00AA5308">
        <w:rPr>
          <w:rFonts w:ascii="Times New Roman" w:hAnsi="Times New Roman" w:cs="Times New Roman"/>
        </w:rPr>
        <w:t>Notably, natural gas prices have become less volatile in th</w:t>
      </w:r>
      <w:r w:rsidR="00586E2B" w:rsidRPr="00AA5308">
        <w:rPr>
          <w:rFonts w:ascii="Times New Roman" w:hAnsi="Times New Roman" w:cs="Times New Roman"/>
        </w:rPr>
        <w:t>e</w:t>
      </w:r>
      <w:r w:rsidR="00C411D8" w:rsidRPr="00AA5308">
        <w:rPr>
          <w:rFonts w:ascii="Times New Roman" w:hAnsi="Times New Roman" w:cs="Times New Roman"/>
        </w:rPr>
        <w:t xml:space="preserve"> </w:t>
      </w:r>
      <w:r w:rsidR="009B66B2" w:rsidRPr="00AA5308">
        <w:rPr>
          <w:rFonts w:ascii="Times New Roman" w:hAnsi="Times New Roman" w:cs="Times New Roman"/>
        </w:rPr>
        <w:t xml:space="preserve">current </w:t>
      </w:r>
      <w:r w:rsidR="00C411D8" w:rsidRPr="00AA5308">
        <w:rPr>
          <w:rFonts w:ascii="Times New Roman" w:hAnsi="Times New Roman" w:cs="Times New Roman"/>
        </w:rPr>
        <w:t xml:space="preserve">market. </w:t>
      </w:r>
    </w:p>
    <w:p w14:paraId="2D5D816E" w14:textId="2EF0C156" w:rsidR="00C411D8" w:rsidRPr="00AA5308" w:rsidRDefault="00586E2B" w:rsidP="002D4F6E">
      <w:pPr>
        <w:pStyle w:val="ListParagraph"/>
        <w:numPr>
          <w:ilvl w:val="0"/>
          <w:numId w:val="18"/>
        </w:numPr>
        <w:spacing w:after="240" w:line="288" w:lineRule="auto"/>
        <w:ind w:left="0" w:hanging="720"/>
        <w:contextualSpacing w:val="0"/>
        <w:rPr>
          <w:rFonts w:ascii="Times New Roman" w:hAnsi="Times New Roman" w:cs="Times New Roman"/>
        </w:rPr>
      </w:pPr>
      <w:r w:rsidRPr="006C58BA">
        <w:rPr>
          <w:rFonts w:ascii="Times New Roman" w:hAnsi="Times New Roman" w:cs="Times New Roman"/>
        </w:rPr>
        <w:lastRenderedPageBreak/>
        <w:t xml:space="preserve">Despite </w:t>
      </w:r>
      <w:r w:rsidR="00C411D8" w:rsidRPr="006C58BA">
        <w:rPr>
          <w:rFonts w:ascii="Times New Roman" w:hAnsi="Times New Roman" w:cs="Times New Roman"/>
        </w:rPr>
        <w:t xml:space="preserve">natural gas prices </w:t>
      </w:r>
      <w:r w:rsidRPr="006C58BA">
        <w:rPr>
          <w:rFonts w:ascii="Times New Roman" w:hAnsi="Times New Roman" w:cs="Times New Roman"/>
        </w:rPr>
        <w:t>remaining</w:t>
      </w:r>
      <w:r w:rsidR="00C411D8" w:rsidRPr="006C58BA">
        <w:rPr>
          <w:rFonts w:ascii="Times New Roman" w:hAnsi="Times New Roman" w:cs="Times New Roman"/>
        </w:rPr>
        <w:t xml:space="preserve"> relatively low and stable, </w:t>
      </w:r>
      <w:r w:rsidR="00C411D8" w:rsidRPr="00AA5308">
        <w:rPr>
          <w:rFonts w:ascii="Times New Roman" w:hAnsi="Times New Roman" w:cs="Times New Roman"/>
        </w:rPr>
        <w:t xml:space="preserve">future regulation and economic forces </w:t>
      </w:r>
      <w:r w:rsidRPr="00AA5308">
        <w:rPr>
          <w:rFonts w:ascii="Times New Roman" w:hAnsi="Times New Roman" w:cs="Times New Roman"/>
        </w:rPr>
        <w:t>may</w:t>
      </w:r>
      <w:r w:rsidR="00C411D8" w:rsidRPr="00AA5308">
        <w:rPr>
          <w:rFonts w:ascii="Times New Roman" w:hAnsi="Times New Roman" w:cs="Times New Roman"/>
        </w:rPr>
        <w:t xml:space="preserve"> </w:t>
      </w:r>
      <w:r w:rsidRPr="00AA5308">
        <w:rPr>
          <w:rFonts w:ascii="Times New Roman" w:hAnsi="Times New Roman" w:cs="Times New Roman"/>
        </w:rPr>
        <w:t>create</w:t>
      </w:r>
      <w:r w:rsidR="0052419A">
        <w:rPr>
          <w:rFonts w:ascii="Times New Roman" w:hAnsi="Times New Roman" w:cs="Times New Roman"/>
        </w:rPr>
        <w:t xml:space="preserve"> price and supply</w:t>
      </w:r>
      <w:r w:rsidR="00C411D8" w:rsidRPr="00AA5308">
        <w:rPr>
          <w:rFonts w:ascii="Times New Roman" w:hAnsi="Times New Roman" w:cs="Times New Roman"/>
        </w:rPr>
        <w:t xml:space="preserve"> uncertainty</w:t>
      </w:r>
      <w:r w:rsidR="0052419A">
        <w:rPr>
          <w:rFonts w:ascii="Times New Roman" w:hAnsi="Times New Roman" w:cs="Times New Roman"/>
        </w:rPr>
        <w:t>.</w:t>
      </w:r>
      <w:r w:rsidR="00C411D8" w:rsidRPr="00AA5308">
        <w:rPr>
          <w:rFonts w:ascii="Times New Roman" w:hAnsi="Times New Roman" w:cs="Times New Roman"/>
        </w:rPr>
        <w:t xml:space="preserve"> A handful of cities and states have implemented bans or moratori</w:t>
      </w:r>
      <w:r w:rsidR="0052419A">
        <w:rPr>
          <w:rFonts w:ascii="Times New Roman" w:hAnsi="Times New Roman" w:cs="Times New Roman"/>
        </w:rPr>
        <w:t>a</w:t>
      </w:r>
      <w:r w:rsidR="00C411D8" w:rsidRPr="00AA5308">
        <w:rPr>
          <w:rFonts w:ascii="Times New Roman" w:hAnsi="Times New Roman" w:cs="Times New Roman"/>
        </w:rPr>
        <w:t xml:space="preserve"> on </w:t>
      </w:r>
      <w:r w:rsidR="00C411D8" w:rsidRPr="006C58BA">
        <w:rPr>
          <w:rFonts w:ascii="Times New Roman" w:hAnsi="Times New Roman" w:cs="Times New Roman"/>
        </w:rPr>
        <w:t>hydraulic fracturing, and</w:t>
      </w:r>
      <w:r w:rsidRPr="006C58BA">
        <w:rPr>
          <w:rFonts w:ascii="Times New Roman" w:hAnsi="Times New Roman" w:cs="Times New Roman"/>
        </w:rPr>
        <w:t>,</w:t>
      </w:r>
      <w:r w:rsidR="00C411D8" w:rsidRPr="006C58BA">
        <w:rPr>
          <w:rFonts w:ascii="Times New Roman" w:hAnsi="Times New Roman" w:cs="Times New Roman"/>
        </w:rPr>
        <w:t xml:space="preserve"> in a recent study</w:t>
      </w:r>
      <w:r w:rsidR="009B66B2" w:rsidRPr="006C58BA">
        <w:rPr>
          <w:rFonts w:ascii="Times New Roman" w:hAnsi="Times New Roman" w:cs="Times New Roman"/>
        </w:rPr>
        <w:t>,</w:t>
      </w:r>
      <w:r w:rsidR="00C411D8" w:rsidRPr="006C58BA">
        <w:rPr>
          <w:rFonts w:ascii="Times New Roman" w:hAnsi="Times New Roman" w:cs="Times New Roman"/>
        </w:rPr>
        <w:t xml:space="preserve"> the Environmental Protection Agency concluded that hydraulic fracturing </w:t>
      </w:r>
      <w:r w:rsidR="008D4F7B" w:rsidRPr="006C58BA">
        <w:rPr>
          <w:rFonts w:ascii="Times New Roman" w:hAnsi="Times New Roman" w:cs="Times New Roman"/>
        </w:rPr>
        <w:t>can</w:t>
      </w:r>
      <w:r w:rsidR="009B66B2" w:rsidRPr="006C58BA">
        <w:rPr>
          <w:rFonts w:ascii="Times New Roman" w:hAnsi="Times New Roman" w:cs="Times New Roman"/>
        </w:rPr>
        <w:t xml:space="preserve"> impact drinking water sources.</w:t>
      </w:r>
      <w:r w:rsidR="00760397" w:rsidRPr="006C58BA">
        <w:rPr>
          <w:rStyle w:val="FootnoteReference"/>
          <w:rFonts w:ascii="Times New Roman" w:hAnsi="Times New Roman" w:cs="Times New Roman"/>
        </w:rPr>
        <w:footnoteReference w:id="13"/>
      </w:r>
      <w:r w:rsidR="009B66B2" w:rsidRPr="006C58BA">
        <w:rPr>
          <w:rFonts w:ascii="Times New Roman" w:hAnsi="Times New Roman" w:cs="Times New Roman"/>
        </w:rPr>
        <w:t xml:space="preserve"> </w:t>
      </w:r>
      <w:r w:rsidR="00C411D8" w:rsidRPr="006C58BA">
        <w:rPr>
          <w:rFonts w:ascii="Times New Roman" w:hAnsi="Times New Roman" w:cs="Times New Roman"/>
        </w:rPr>
        <w:t>Concurrently, numerous liquid natural gas</w:t>
      </w:r>
      <w:r w:rsidR="008D4F7B" w:rsidRPr="006C58BA">
        <w:rPr>
          <w:rFonts w:ascii="Times New Roman" w:hAnsi="Times New Roman" w:cs="Times New Roman"/>
        </w:rPr>
        <w:t xml:space="preserve"> (LNG)</w:t>
      </w:r>
      <w:r w:rsidR="00C411D8" w:rsidRPr="006C58BA">
        <w:rPr>
          <w:rFonts w:ascii="Times New Roman" w:hAnsi="Times New Roman" w:cs="Times New Roman"/>
        </w:rPr>
        <w:t xml:space="preserve"> export facilities have been proposed across North America to export natural gas to </w:t>
      </w:r>
      <w:r w:rsidR="008D4F7B" w:rsidRPr="006C58BA">
        <w:rPr>
          <w:rFonts w:ascii="Times New Roman" w:hAnsi="Times New Roman" w:cs="Times New Roman"/>
        </w:rPr>
        <w:t xml:space="preserve">overseas </w:t>
      </w:r>
      <w:r w:rsidR="00C411D8" w:rsidRPr="006C58BA">
        <w:rPr>
          <w:rFonts w:ascii="Times New Roman" w:hAnsi="Times New Roman" w:cs="Times New Roman"/>
        </w:rPr>
        <w:t>markets.</w:t>
      </w:r>
      <w:r w:rsidR="00FC5332" w:rsidRPr="006C58BA">
        <w:rPr>
          <w:rStyle w:val="FootnoteReference"/>
          <w:rFonts w:ascii="Times New Roman" w:hAnsi="Times New Roman" w:cs="Times New Roman"/>
        </w:rPr>
        <w:footnoteReference w:id="14"/>
      </w:r>
      <w:r w:rsidR="00C411D8" w:rsidRPr="006C58BA">
        <w:rPr>
          <w:rFonts w:ascii="Times New Roman" w:hAnsi="Times New Roman" w:cs="Times New Roman"/>
        </w:rPr>
        <w:t xml:space="preserve"> </w:t>
      </w:r>
      <w:r w:rsidR="008D4F7B" w:rsidRPr="006C58BA">
        <w:rPr>
          <w:rFonts w:ascii="Times New Roman" w:hAnsi="Times New Roman" w:cs="Times New Roman"/>
        </w:rPr>
        <w:t xml:space="preserve">Other </w:t>
      </w:r>
      <w:r w:rsidR="006213EC" w:rsidRPr="006C58BA">
        <w:rPr>
          <w:rFonts w:ascii="Times New Roman" w:hAnsi="Times New Roman" w:cs="Times New Roman"/>
        </w:rPr>
        <w:t>risk</w:t>
      </w:r>
      <w:r w:rsidR="008D4F7B" w:rsidRPr="006C58BA">
        <w:rPr>
          <w:rFonts w:ascii="Times New Roman" w:hAnsi="Times New Roman" w:cs="Times New Roman"/>
        </w:rPr>
        <w:t xml:space="preserve"> factors may include an increase in n</w:t>
      </w:r>
      <w:r w:rsidR="00C631AB" w:rsidRPr="006C58BA">
        <w:rPr>
          <w:rFonts w:ascii="Times New Roman" w:hAnsi="Times New Roman" w:cs="Times New Roman"/>
        </w:rPr>
        <w:t xml:space="preserve">atural gas demand due to </w:t>
      </w:r>
      <w:r w:rsidR="0052419A">
        <w:rPr>
          <w:rFonts w:ascii="Times New Roman" w:hAnsi="Times New Roman" w:cs="Times New Roman"/>
        </w:rPr>
        <w:t>closures of</w:t>
      </w:r>
      <w:r w:rsidR="0052419A" w:rsidRPr="006C58BA">
        <w:rPr>
          <w:rFonts w:ascii="Times New Roman" w:hAnsi="Times New Roman" w:cs="Times New Roman"/>
        </w:rPr>
        <w:t xml:space="preserve"> </w:t>
      </w:r>
      <w:r w:rsidR="00F34D9D" w:rsidRPr="006C58BA">
        <w:rPr>
          <w:rFonts w:ascii="Times New Roman" w:hAnsi="Times New Roman" w:cs="Times New Roman"/>
        </w:rPr>
        <w:t xml:space="preserve">nuclear </w:t>
      </w:r>
      <w:r w:rsidR="00F34D9D">
        <w:rPr>
          <w:rFonts w:ascii="Times New Roman" w:hAnsi="Times New Roman" w:cs="Times New Roman"/>
        </w:rPr>
        <w:t>and</w:t>
      </w:r>
      <w:r w:rsidR="0052419A">
        <w:rPr>
          <w:rFonts w:ascii="Times New Roman" w:hAnsi="Times New Roman" w:cs="Times New Roman"/>
        </w:rPr>
        <w:t xml:space="preserve"> </w:t>
      </w:r>
      <w:r w:rsidR="00C631AB" w:rsidRPr="006C58BA">
        <w:rPr>
          <w:rFonts w:ascii="Times New Roman" w:hAnsi="Times New Roman" w:cs="Times New Roman"/>
        </w:rPr>
        <w:t>coal plant</w:t>
      </w:r>
      <w:r w:rsidR="0052419A">
        <w:rPr>
          <w:rFonts w:ascii="Times New Roman" w:hAnsi="Times New Roman" w:cs="Times New Roman"/>
        </w:rPr>
        <w:t xml:space="preserve">s, </w:t>
      </w:r>
      <w:r w:rsidR="006B1FC4">
        <w:rPr>
          <w:rFonts w:ascii="Times New Roman" w:hAnsi="Times New Roman" w:cs="Times New Roman"/>
        </w:rPr>
        <w:t xml:space="preserve">rise in </w:t>
      </w:r>
      <w:r w:rsidR="00C631AB" w:rsidRPr="006C58BA">
        <w:rPr>
          <w:rFonts w:ascii="Times New Roman" w:hAnsi="Times New Roman" w:cs="Times New Roman"/>
        </w:rPr>
        <w:t xml:space="preserve">operating costs, and </w:t>
      </w:r>
      <w:r w:rsidRPr="006C58BA">
        <w:rPr>
          <w:rFonts w:ascii="Times New Roman" w:hAnsi="Times New Roman" w:cs="Times New Roman"/>
        </w:rPr>
        <w:t>an expanding</w:t>
      </w:r>
      <w:r w:rsidR="00C631AB" w:rsidRPr="006C58BA">
        <w:rPr>
          <w:rFonts w:ascii="Times New Roman" w:hAnsi="Times New Roman" w:cs="Times New Roman"/>
        </w:rPr>
        <w:t xml:space="preserve"> electric vehicle industry. Conversely, new technologies such as </w:t>
      </w:r>
      <w:r w:rsidR="008D4F7B" w:rsidRPr="006C58BA">
        <w:rPr>
          <w:rFonts w:ascii="Times New Roman" w:hAnsi="Times New Roman" w:cs="Times New Roman"/>
        </w:rPr>
        <w:t>Distributed</w:t>
      </w:r>
      <w:r w:rsidR="00C631AB" w:rsidRPr="006C58BA">
        <w:rPr>
          <w:rFonts w:ascii="Times New Roman" w:hAnsi="Times New Roman" w:cs="Times New Roman"/>
        </w:rPr>
        <w:t xml:space="preserve"> Energy </w:t>
      </w:r>
      <w:r w:rsidR="009B5B5D">
        <w:rPr>
          <w:rFonts w:ascii="Times New Roman" w:hAnsi="Times New Roman" w:cs="Times New Roman"/>
        </w:rPr>
        <w:t>Resources</w:t>
      </w:r>
      <w:r w:rsidR="009B5B5D" w:rsidRPr="00AA5308">
        <w:rPr>
          <w:rFonts w:ascii="Times New Roman" w:hAnsi="Times New Roman" w:cs="Times New Roman"/>
        </w:rPr>
        <w:t xml:space="preserve"> </w:t>
      </w:r>
      <w:r w:rsidR="008D4F7B" w:rsidRPr="00AA5308">
        <w:rPr>
          <w:rFonts w:ascii="Times New Roman" w:hAnsi="Times New Roman" w:cs="Times New Roman"/>
        </w:rPr>
        <w:t>(DER)</w:t>
      </w:r>
      <w:r w:rsidR="00C631AB" w:rsidRPr="00AA5308">
        <w:rPr>
          <w:rFonts w:ascii="Times New Roman" w:hAnsi="Times New Roman" w:cs="Times New Roman"/>
        </w:rPr>
        <w:t>, renewables</w:t>
      </w:r>
      <w:r w:rsidRPr="00AA5308">
        <w:rPr>
          <w:rFonts w:ascii="Times New Roman" w:hAnsi="Times New Roman" w:cs="Times New Roman"/>
        </w:rPr>
        <w:t>,</w:t>
      </w:r>
      <w:r w:rsidR="00C631AB" w:rsidRPr="00AA5308">
        <w:rPr>
          <w:rFonts w:ascii="Times New Roman" w:hAnsi="Times New Roman" w:cs="Times New Roman"/>
        </w:rPr>
        <w:t xml:space="preserve"> and storage capabilities may reduce demand. </w:t>
      </w:r>
      <w:r w:rsidR="009B66B2" w:rsidRPr="00AA5308">
        <w:rPr>
          <w:rFonts w:ascii="Times New Roman" w:hAnsi="Times New Roman" w:cs="Times New Roman"/>
        </w:rPr>
        <w:t xml:space="preserve">Ultimately, history has shown that commodity market conditions are </w:t>
      </w:r>
      <w:r w:rsidR="009B66B2" w:rsidRPr="006C58BA">
        <w:rPr>
          <w:rFonts w:ascii="Times New Roman" w:hAnsi="Times New Roman" w:cs="Times New Roman"/>
        </w:rPr>
        <w:t xml:space="preserve">never stagnant and </w:t>
      </w:r>
      <w:r w:rsidR="0052419A">
        <w:rPr>
          <w:rFonts w:ascii="Times New Roman" w:hAnsi="Times New Roman" w:cs="Times New Roman"/>
        </w:rPr>
        <w:t>utilities</w:t>
      </w:r>
      <w:r w:rsidR="0052419A" w:rsidRPr="006C58BA">
        <w:rPr>
          <w:rFonts w:ascii="Times New Roman" w:hAnsi="Times New Roman" w:cs="Times New Roman"/>
        </w:rPr>
        <w:t xml:space="preserve"> </w:t>
      </w:r>
      <w:r w:rsidR="009B66B2" w:rsidRPr="006C58BA">
        <w:rPr>
          <w:rFonts w:ascii="Times New Roman" w:hAnsi="Times New Roman" w:cs="Times New Roman"/>
        </w:rPr>
        <w:t>cannot predict the future with certainty.</w:t>
      </w:r>
      <w:r w:rsidRPr="006C58BA">
        <w:rPr>
          <w:rFonts w:ascii="Times New Roman" w:hAnsi="Times New Roman" w:cs="Times New Roman"/>
        </w:rPr>
        <w:t xml:space="preserve"> Accordingly,</w:t>
      </w:r>
      <w:r w:rsidR="009B66B2" w:rsidRPr="00EC27F6">
        <w:rPr>
          <w:rFonts w:ascii="Times New Roman" w:hAnsi="Times New Roman" w:cs="Times New Roman"/>
        </w:rPr>
        <w:t xml:space="preserve"> </w:t>
      </w:r>
      <w:r w:rsidR="0052419A">
        <w:rPr>
          <w:rFonts w:ascii="Times New Roman" w:hAnsi="Times New Roman" w:cs="Times New Roman"/>
        </w:rPr>
        <w:t>they</w:t>
      </w:r>
      <w:r w:rsidR="0052419A" w:rsidRPr="00AA5308">
        <w:rPr>
          <w:rFonts w:ascii="Times New Roman" w:hAnsi="Times New Roman" w:cs="Times New Roman"/>
        </w:rPr>
        <w:t xml:space="preserve"> </w:t>
      </w:r>
      <w:r w:rsidR="009B66B2" w:rsidRPr="00AA5308">
        <w:rPr>
          <w:rFonts w:ascii="Times New Roman" w:hAnsi="Times New Roman" w:cs="Times New Roman"/>
        </w:rPr>
        <w:t>must be prepared for future unknown market shifts.</w:t>
      </w:r>
    </w:p>
    <w:p w14:paraId="74FF81FA" w14:textId="0BFE9D15" w:rsidR="009A23F4" w:rsidRPr="00AA5308" w:rsidRDefault="009A23F4" w:rsidP="00415865">
      <w:pPr>
        <w:pStyle w:val="Heading2"/>
        <w:numPr>
          <w:ilvl w:val="0"/>
          <w:numId w:val="13"/>
        </w:numPr>
        <w:ind w:left="720"/>
        <w:rPr>
          <w:rFonts w:cs="Times New Roman"/>
          <w:sz w:val="24"/>
          <w:szCs w:val="24"/>
        </w:rPr>
      </w:pPr>
      <w:bookmarkStart w:id="6" w:name="_Toc473903199"/>
      <w:r w:rsidRPr="00AA5308">
        <w:rPr>
          <w:rFonts w:cs="Times New Roman"/>
          <w:sz w:val="24"/>
          <w:szCs w:val="24"/>
        </w:rPr>
        <w:t>P</w:t>
      </w:r>
      <w:r w:rsidR="00AC2C2A" w:rsidRPr="00AA5308">
        <w:rPr>
          <w:rFonts w:cs="Times New Roman"/>
          <w:sz w:val="24"/>
          <w:szCs w:val="24"/>
        </w:rPr>
        <w:t xml:space="preserve">urchased </w:t>
      </w:r>
      <w:r w:rsidRPr="00AA5308">
        <w:rPr>
          <w:rFonts w:cs="Times New Roman"/>
          <w:sz w:val="24"/>
          <w:szCs w:val="24"/>
        </w:rPr>
        <w:t>G</w:t>
      </w:r>
      <w:r w:rsidR="00AC2C2A" w:rsidRPr="00AA5308">
        <w:rPr>
          <w:rFonts w:cs="Times New Roman"/>
          <w:sz w:val="24"/>
          <w:szCs w:val="24"/>
        </w:rPr>
        <w:t xml:space="preserve">as </w:t>
      </w:r>
      <w:r w:rsidRPr="00AA5308">
        <w:rPr>
          <w:rFonts w:cs="Times New Roman"/>
          <w:sz w:val="24"/>
          <w:szCs w:val="24"/>
        </w:rPr>
        <w:t>A</w:t>
      </w:r>
      <w:r w:rsidR="00AC2C2A" w:rsidRPr="00AA5308">
        <w:rPr>
          <w:rFonts w:cs="Times New Roman"/>
          <w:sz w:val="24"/>
          <w:szCs w:val="24"/>
        </w:rPr>
        <w:t>djustment</w:t>
      </w:r>
      <w:r w:rsidRPr="00AA5308">
        <w:rPr>
          <w:rFonts w:cs="Times New Roman"/>
          <w:sz w:val="24"/>
          <w:szCs w:val="24"/>
        </w:rPr>
        <w:t xml:space="preserve"> Mechanism</w:t>
      </w:r>
      <w:bookmarkEnd w:id="6"/>
    </w:p>
    <w:p w14:paraId="092A4F3B" w14:textId="1B75190C" w:rsidR="009A23F4" w:rsidRPr="00AA5308" w:rsidRDefault="009A23F4" w:rsidP="002D4F6E">
      <w:pPr>
        <w:pStyle w:val="Heading3"/>
        <w:numPr>
          <w:ilvl w:val="0"/>
          <w:numId w:val="20"/>
        </w:numPr>
        <w:spacing w:before="100" w:beforeAutospacing="1"/>
        <w:ind w:hanging="360"/>
        <w:rPr>
          <w:sz w:val="24"/>
          <w:szCs w:val="24"/>
        </w:rPr>
      </w:pPr>
      <w:bookmarkStart w:id="7" w:name="_Toc473903200"/>
      <w:r w:rsidRPr="00AA5308">
        <w:rPr>
          <w:sz w:val="24"/>
          <w:szCs w:val="24"/>
        </w:rPr>
        <w:t>Brief history</w:t>
      </w:r>
      <w:bookmarkEnd w:id="7"/>
      <w:r w:rsidRPr="00AA5308">
        <w:rPr>
          <w:sz w:val="24"/>
          <w:szCs w:val="24"/>
        </w:rPr>
        <w:t xml:space="preserve"> </w:t>
      </w:r>
    </w:p>
    <w:p w14:paraId="01274A72" w14:textId="2CE251DE" w:rsidR="00933388" w:rsidRPr="00AA5308" w:rsidRDefault="00B842F5" w:rsidP="002D4F6E">
      <w:pPr>
        <w:pStyle w:val="ListParagraph"/>
        <w:numPr>
          <w:ilvl w:val="0"/>
          <w:numId w:val="18"/>
        </w:numPr>
        <w:spacing w:after="240" w:line="288" w:lineRule="auto"/>
        <w:ind w:left="0" w:hanging="720"/>
        <w:contextualSpacing w:val="0"/>
        <w:rPr>
          <w:rFonts w:ascii="Times New Roman" w:hAnsi="Times New Roman" w:cs="Times New Roman"/>
        </w:rPr>
      </w:pPr>
      <w:r w:rsidRPr="006C58BA">
        <w:rPr>
          <w:rFonts w:ascii="Times New Roman" w:hAnsi="Times New Roman" w:cs="Times New Roman"/>
        </w:rPr>
        <w:t>In 1985</w:t>
      </w:r>
      <w:r w:rsidR="00A51D2E" w:rsidRPr="006C58BA">
        <w:rPr>
          <w:rFonts w:ascii="Times New Roman" w:hAnsi="Times New Roman" w:cs="Times New Roman"/>
        </w:rPr>
        <w:t xml:space="preserve">, the Federal Energy Regulatory Commission (FERC) issued </w:t>
      </w:r>
      <w:r w:rsidR="004D0EEA" w:rsidRPr="006C58BA">
        <w:rPr>
          <w:rFonts w:ascii="Times New Roman" w:hAnsi="Times New Roman" w:cs="Times New Roman"/>
        </w:rPr>
        <w:t>Order</w:t>
      </w:r>
      <w:r w:rsidRPr="006C58BA">
        <w:rPr>
          <w:rFonts w:ascii="Times New Roman" w:hAnsi="Times New Roman" w:cs="Times New Roman"/>
        </w:rPr>
        <w:t xml:space="preserve"> 436</w:t>
      </w:r>
      <w:r w:rsidR="00586E2B" w:rsidRPr="006C58BA">
        <w:rPr>
          <w:rFonts w:ascii="Times New Roman" w:hAnsi="Times New Roman" w:cs="Times New Roman"/>
        </w:rPr>
        <w:t>, which</w:t>
      </w:r>
      <w:r w:rsidR="00777204" w:rsidRPr="00AA5308">
        <w:rPr>
          <w:rFonts w:ascii="Times New Roman" w:hAnsi="Times New Roman" w:cs="Times New Roman"/>
        </w:rPr>
        <w:t xml:space="preserve"> </w:t>
      </w:r>
      <w:r w:rsidR="00A51D2E" w:rsidRPr="00AA5308">
        <w:rPr>
          <w:rFonts w:ascii="Times New Roman" w:hAnsi="Times New Roman" w:cs="Times New Roman"/>
        </w:rPr>
        <w:t xml:space="preserve">enabled utilities to purchase gas </w:t>
      </w:r>
      <w:r w:rsidRPr="00AA5308">
        <w:rPr>
          <w:rFonts w:ascii="Times New Roman" w:hAnsi="Times New Roman" w:cs="Times New Roman"/>
        </w:rPr>
        <w:t>directly from pipelines or upstream suppliers. In 1992, FERC issued Order 636 designating pipelines as</w:t>
      </w:r>
      <w:r w:rsidR="00933388" w:rsidRPr="00AA5308">
        <w:rPr>
          <w:rFonts w:ascii="Times New Roman" w:hAnsi="Times New Roman" w:cs="Times New Roman"/>
        </w:rPr>
        <w:t xml:space="preserve"> common carriers, effectively separating the gas supply business from pipeline subsidiaries. This placed a greater responsibility on </w:t>
      </w:r>
      <w:proofErr w:type="spellStart"/>
      <w:r w:rsidR="00933388" w:rsidRPr="00AA5308">
        <w:rPr>
          <w:rFonts w:ascii="Times New Roman" w:hAnsi="Times New Roman" w:cs="Times New Roman"/>
        </w:rPr>
        <w:t>LDCs</w:t>
      </w:r>
      <w:proofErr w:type="spellEnd"/>
      <w:r w:rsidR="00933388" w:rsidRPr="00AA5308">
        <w:rPr>
          <w:rFonts w:ascii="Times New Roman" w:hAnsi="Times New Roman" w:cs="Times New Roman"/>
        </w:rPr>
        <w:t xml:space="preserve"> to plan, procure, and transport natural gas supply to meet customer demand. </w:t>
      </w:r>
    </w:p>
    <w:p w14:paraId="5B5FA917" w14:textId="28B2BC88" w:rsidR="00933388" w:rsidRPr="00AA5308" w:rsidRDefault="00933388" w:rsidP="002D4F6E">
      <w:pPr>
        <w:pStyle w:val="ListParagraph"/>
        <w:numPr>
          <w:ilvl w:val="0"/>
          <w:numId w:val="18"/>
        </w:numPr>
        <w:spacing w:after="240" w:line="288" w:lineRule="auto"/>
        <w:ind w:left="0" w:hanging="720"/>
        <w:contextualSpacing w:val="0"/>
        <w:rPr>
          <w:rFonts w:ascii="Times New Roman" w:hAnsi="Times New Roman" w:cs="Times New Roman"/>
        </w:rPr>
      </w:pPr>
      <w:r w:rsidRPr="006C58BA">
        <w:rPr>
          <w:rFonts w:ascii="Times New Roman" w:hAnsi="Times New Roman" w:cs="Times New Roman"/>
        </w:rPr>
        <w:t>Prior to FERC Orders 436</w:t>
      </w:r>
      <w:r w:rsidR="004D0EEA" w:rsidRPr="006C58BA">
        <w:rPr>
          <w:rFonts w:ascii="Times New Roman" w:hAnsi="Times New Roman" w:cs="Times New Roman"/>
        </w:rPr>
        <w:t xml:space="preserve"> and 636, </w:t>
      </w:r>
      <w:proofErr w:type="spellStart"/>
      <w:r w:rsidR="004D0EEA" w:rsidRPr="006C58BA">
        <w:rPr>
          <w:rFonts w:ascii="Times New Roman" w:hAnsi="Times New Roman" w:cs="Times New Roman"/>
        </w:rPr>
        <w:t>LDCs</w:t>
      </w:r>
      <w:proofErr w:type="spellEnd"/>
      <w:r w:rsidR="004D0EEA" w:rsidRPr="006C58BA">
        <w:rPr>
          <w:rFonts w:ascii="Times New Roman" w:hAnsi="Times New Roman" w:cs="Times New Roman"/>
        </w:rPr>
        <w:t xml:space="preserve"> bought gas from pipelines at rates approved by </w:t>
      </w:r>
      <w:r w:rsidR="004D0EEA" w:rsidRPr="00AA5308">
        <w:rPr>
          <w:rFonts w:ascii="Times New Roman" w:hAnsi="Times New Roman" w:cs="Times New Roman"/>
        </w:rPr>
        <w:t>FERC.</w:t>
      </w:r>
      <w:r w:rsidR="00707F02" w:rsidRPr="00AA5308">
        <w:rPr>
          <w:rFonts w:ascii="Times New Roman" w:hAnsi="Times New Roman" w:cs="Times New Roman"/>
        </w:rPr>
        <w:t xml:space="preserve"> </w:t>
      </w:r>
      <w:proofErr w:type="spellStart"/>
      <w:r w:rsidR="00707F02" w:rsidRPr="00AA5308">
        <w:rPr>
          <w:rFonts w:ascii="Times New Roman" w:hAnsi="Times New Roman" w:cs="Times New Roman"/>
        </w:rPr>
        <w:t>LDCs</w:t>
      </w:r>
      <w:proofErr w:type="spellEnd"/>
      <w:r w:rsidR="00707F02" w:rsidRPr="00AA5308">
        <w:rPr>
          <w:rFonts w:ascii="Times New Roman" w:hAnsi="Times New Roman" w:cs="Times New Roman"/>
        </w:rPr>
        <w:t xml:space="preserve"> had a single supplier</w:t>
      </w:r>
      <w:r w:rsidR="00AC5A9B" w:rsidRPr="00AA5308">
        <w:rPr>
          <w:rFonts w:ascii="Times New Roman" w:hAnsi="Times New Roman" w:cs="Times New Roman"/>
        </w:rPr>
        <w:t>,</w:t>
      </w:r>
      <w:r w:rsidR="00707F02" w:rsidRPr="00AA5308">
        <w:rPr>
          <w:rFonts w:ascii="Times New Roman" w:hAnsi="Times New Roman" w:cs="Times New Roman"/>
        </w:rPr>
        <w:t xml:space="preserve"> and gas prices were outside of </w:t>
      </w:r>
      <w:proofErr w:type="spellStart"/>
      <w:r w:rsidR="00707F02" w:rsidRPr="00AA5308">
        <w:rPr>
          <w:rFonts w:ascii="Times New Roman" w:hAnsi="Times New Roman" w:cs="Times New Roman"/>
        </w:rPr>
        <w:t>LDC</w:t>
      </w:r>
      <w:proofErr w:type="spellEnd"/>
      <w:r w:rsidR="00707F02" w:rsidRPr="00AA5308">
        <w:rPr>
          <w:rFonts w:ascii="Times New Roman" w:hAnsi="Times New Roman" w:cs="Times New Roman"/>
        </w:rPr>
        <w:t xml:space="preserve"> control. Further, changes in price were known several months ahead of time during pending FERC proceedings. Under these circumstances, </w:t>
      </w:r>
      <w:r w:rsidR="00A67AF5" w:rsidRPr="00AA5308">
        <w:rPr>
          <w:rFonts w:ascii="Times New Roman" w:hAnsi="Times New Roman" w:cs="Times New Roman"/>
        </w:rPr>
        <w:t>purchased gas adjustments (</w:t>
      </w:r>
      <w:proofErr w:type="spellStart"/>
      <w:r w:rsidR="00A67AF5" w:rsidRPr="00AA5308">
        <w:rPr>
          <w:rFonts w:ascii="Times New Roman" w:hAnsi="Times New Roman" w:cs="Times New Roman"/>
        </w:rPr>
        <w:t>PGAs</w:t>
      </w:r>
      <w:proofErr w:type="spellEnd"/>
      <w:r w:rsidR="00A67AF5" w:rsidRPr="00AA5308">
        <w:rPr>
          <w:rFonts w:ascii="Times New Roman" w:hAnsi="Times New Roman" w:cs="Times New Roman"/>
        </w:rPr>
        <w:t>) were established in orde</w:t>
      </w:r>
      <w:r w:rsidR="00043EE1" w:rsidRPr="00AA5308">
        <w:rPr>
          <w:rFonts w:ascii="Times New Roman" w:hAnsi="Times New Roman" w:cs="Times New Roman"/>
        </w:rPr>
        <w:t>r to automatically pass through</w:t>
      </w:r>
      <w:r w:rsidR="00A67AF5" w:rsidRPr="00AA5308">
        <w:rPr>
          <w:rFonts w:ascii="Times New Roman" w:hAnsi="Times New Roman" w:cs="Times New Roman"/>
        </w:rPr>
        <w:t xml:space="preserve"> changes in supply </w:t>
      </w:r>
      <w:r w:rsidR="00F779D7" w:rsidRPr="00AA5308">
        <w:rPr>
          <w:rFonts w:ascii="Times New Roman" w:hAnsi="Times New Roman" w:cs="Times New Roman"/>
        </w:rPr>
        <w:t xml:space="preserve">costs, </w:t>
      </w:r>
      <w:r w:rsidR="003942E2" w:rsidRPr="00AA5308">
        <w:rPr>
          <w:rFonts w:ascii="Times New Roman" w:hAnsi="Times New Roman" w:cs="Times New Roman"/>
        </w:rPr>
        <w:t>effectively</w:t>
      </w:r>
      <w:r w:rsidR="00707F02" w:rsidRPr="00AA5308">
        <w:rPr>
          <w:rFonts w:ascii="Times New Roman" w:hAnsi="Times New Roman" w:cs="Times New Roman"/>
        </w:rPr>
        <w:t xml:space="preserve"> </w:t>
      </w:r>
      <w:r w:rsidR="00F779D7" w:rsidRPr="00AA5308">
        <w:rPr>
          <w:rFonts w:ascii="Times New Roman" w:hAnsi="Times New Roman" w:cs="Times New Roman"/>
        </w:rPr>
        <w:t>reducing</w:t>
      </w:r>
      <w:r w:rsidR="00707F02" w:rsidRPr="00AA5308">
        <w:rPr>
          <w:rFonts w:ascii="Times New Roman" w:hAnsi="Times New Roman" w:cs="Times New Roman"/>
        </w:rPr>
        <w:t xml:space="preserve"> regulatory lag.</w:t>
      </w:r>
      <w:r w:rsidR="002D6D1B" w:rsidRPr="00AA5308">
        <w:rPr>
          <w:rStyle w:val="FootnoteReference"/>
          <w:rFonts w:ascii="Times New Roman" w:hAnsi="Times New Roman" w:cs="Times New Roman"/>
        </w:rPr>
        <w:footnoteReference w:id="15"/>
      </w:r>
    </w:p>
    <w:p w14:paraId="00165877" w14:textId="5A59ED34" w:rsidR="00A67AF5" w:rsidRPr="00AA5308" w:rsidRDefault="00A67AF5" w:rsidP="002D4F6E">
      <w:pPr>
        <w:pStyle w:val="ListParagraph"/>
        <w:numPr>
          <w:ilvl w:val="0"/>
          <w:numId w:val="18"/>
        </w:numPr>
        <w:spacing w:after="240" w:line="288" w:lineRule="auto"/>
        <w:ind w:left="0" w:hanging="720"/>
        <w:contextualSpacing w:val="0"/>
        <w:rPr>
          <w:rFonts w:ascii="Times New Roman" w:hAnsi="Times New Roman" w:cs="Times New Roman"/>
        </w:rPr>
      </w:pPr>
      <w:r w:rsidRPr="006C58BA">
        <w:rPr>
          <w:rFonts w:ascii="Times New Roman" w:hAnsi="Times New Roman" w:cs="Times New Roman"/>
        </w:rPr>
        <w:lastRenderedPageBreak/>
        <w:t>Subsequent to FERC Orders 436 and 636</w:t>
      </w:r>
      <w:r w:rsidR="00043EE1" w:rsidRPr="006C58BA">
        <w:rPr>
          <w:rFonts w:ascii="Times New Roman" w:hAnsi="Times New Roman" w:cs="Times New Roman"/>
        </w:rPr>
        <w:t xml:space="preserve">, natural gas planning, procurement and transportation became much more complicated. </w:t>
      </w:r>
      <w:proofErr w:type="spellStart"/>
      <w:r w:rsidR="00F779D7" w:rsidRPr="00AA5308">
        <w:rPr>
          <w:rFonts w:ascii="Times New Roman" w:hAnsi="Times New Roman" w:cs="Times New Roman"/>
        </w:rPr>
        <w:t>LDCs</w:t>
      </w:r>
      <w:proofErr w:type="spellEnd"/>
      <w:r w:rsidR="00F779D7" w:rsidRPr="00AA5308">
        <w:rPr>
          <w:rFonts w:ascii="Times New Roman" w:hAnsi="Times New Roman" w:cs="Times New Roman"/>
        </w:rPr>
        <w:t xml:space="preserve"> now purchase gas supply from a number of producers across multiple basins and transport that supply across </w:t>
      </w:r>
      <w:r w:rsidR="00D92644" w:rsidRPr="00AA5308">
        <w:rPr>
          <w:rFonts w:ascii="Times New Roman" w:hAnsi="Times New Roman" w:cs="Times New Roman"/>
        </w:rPr>
        <w:t xml:space="preserve">regional pipelines. As a result, administration of the </w:t>
      </w:r>
      <w:proofErr w:type="spellStart"/>
      <w:r w:rsidR="00D92644" w:rsidRPr="00AA5308">
        <w:rPr>
          <w:rFonts w:ascii="Times New Roman" w:hAnsi="Times New Roman" w:cs="Times New Roman"/>
        </w:rPr>
        <w:t>PGAs</w:t>
      </w:r>
      <w:proofErr w:type="spellEnd"/>
      <w:r w:rsidR="00D92644" w:rsidRPr="00AA5308">
        <w:rPr>
          <w:rFonts w:ascii="Times New Roman" w:hAnsi="Times New Roman" w:cs="Times New Roman"/>
        </w:rPr>
        <w:t xml:space="preserve"> has </w:t>
      </w:r>
      <w:r w:rsidR="000618EC" w:rsidRPr="00AA5308">
        <w:rPr>
          <w:rFonts w:ascii="Times New Roman" w:hAnsi="Times New Roman" w:cs="Times New Roman"/>
        </w:rPr>
        <w:t>become more</w:t>
      </w:r>
      <w:r w:rsidR="00D92644" w:rsidRPr="00AA5308">
        <w:rPr>
          <w:rFonts w:ascii="Times New Roman" w:hAnsi="Times New Roman" w:cs="Times New Roman"/>
        </w:rPr>
        <w:t xml:space="preserve"> complex and time-consuming. Nevertheless, gas production and transportation costs are still largely out</w:t>
      </w:r>
      <w:r w:rsidR="00AC5A9B" w:rsidRPr="00AA5308">
        <w:rPr>
          <w:rFonts w:ascii="Times New Roman" w:hAnsi="Times New Roman" w:cs="Times New Roman"/>
        </w:rPr>
        <w:t>side</w:t>
      </w:r>
      <w:r w:rsidR="00D92644" w:rsidRPr="00AA5308">
        <w:rPr>
          <w:rFonts w:ascii="Times New Roman" w:hAnsi="Times New Roman" w:cs="Times New Roman"/>
        </w:rPr>
        <w:t xml:space="preserve"> the </w:t>
      </w:r>
      <w:proofErr w:type="spellStart"/>
      <w:r w:rsidR="00D92644" w:rsidRPr="00AA5308">
        <w:rPr>
          <w:rFonts w:ascii="Times New Roman" w:hAnsi="Times New Roman" w:cs="Times New Roman"/>
        </w:rPr>
        <w:t>LDCs</w:t>
      </w:r>
      <w:proofErr w:type="spellEnd"/>
      <w:r w:rsidR="00AC5A9B" w:rsidRPr="00AA5308">
        <w:rPr>
          <w:rFonts w:ascii="Times New Roman" w:hAnsi="Times New Roman" w:cs="Times New Roman"/>
        </w:rPr>
        <w:t>’</w:t>
      </w:r>
      <w:r w:rsidR="00D92644" w:rsidRPr="00AA5308">
        <w:rPr>
          <w:rFonts w:ascii="Times New Roman" w:hAnsi="Times New Roman" w:cs="Times New Roman"/>
        </w:rPr>
        <w:t xml:space="preserve"> control. Although an </w:t>
      </w:r>
      <w:proofErr w:type="spellStart"/>
      <w:r w:rsidR="00D92644" w:rsidRPr="00AA5308">
        <w:rPr>
          <w:rFonts w:ascii="Times New Roman" w:hAnsi="Times New Roman" w:cs="Times New Roman"/>
        </w:rPr>
        <w:t>LDC</w:t>
      </w:r>
      <w:proofErr w:type="spellEnd"/>
      <w:r w:rsidR="00E15641" w:rsidRPr="00AA5308">
        <w:rPr>
          <w:rFonts w:ascii="Times New Roman" w:hAnsi="Times New Roman" w:cs="Times New Roman"/>
        </w:rPr>
        <w:t xml:space="preserve"> can attempt to minimize price by choosing to contract at basins with a favorable price outlook, actual production costs and supply constraints are </w:t>
      </w:r>
      <w:r w:rsidR="00AC5A9B" w:rsidRPr="00AA5308">
        <w:rPr>
          <w:rFonts w:ascii="Times New Roman" w:hAnsi="Times New Roman" w:cs="Times New Roman"/>
        </w:rPr>
        <w:t xml:space="preserve">subject </w:t>
      </w:r>
      <w:r w:rsidR="000618EC" w:rsidRPr="00AA5308">
        <w:rPr>
          <w:rFonts w:ascii="Times New Roman" w:hAnsi="Times New Roman" w:cs="Times New Roman"/>
        </w:rPr>
        <w:t>to the</w:t>
      </w:r>
      <w:r w:rsidR="00AC2C2A" w:rsidRPr="00AA5308">
        <w:rPr>
          <w:rFonts w:ascii="Times New Roman" w:hAnsi="Times New Roman" w:cs="Times New Roman"/>
        </w:rPr>
        <w:t xml:space="preserve"> market. </w:t>
      </w:r>
    </w:p>
    <w:p w14:paraId="5126BBDC" w14:textId="740D15DB" w:rsidR="00AC2C2A" w:rsidRPr="00AA5308" w:rsidRDefault="002F2470" w:rsidP="002D4F6E">
      <w:pPr>
        <w:pStyle w:val="Heading3"/>
        <w:numPr>
          <w:ilvl w:val="0"/>
          <w:numId w:val="20"/>
        </w:numPr>
        <w:spacing w:before="100" w:beforeAutospacing="1"/>
        <w:ind w:hanging="360"/>
        <w:rPr>
          <w:sz w:val="24"/>
          <w:szCs w:val="24"/>
        </w:rPr>
      </w:pPr>
      <w:bookmarkStart w:id="8" w:name="_Toc473903201"/>
      <w:r w:rsidRPr="00AA5308">
        <w:rPr>
          <w:sz w:val="24"/>
          <w:szCs w:val="24"/>
        </w:rPr>
        <w:t>Mechanics</w:t>
      </w:r>
      <w:bookmarkEnd w:id="8"/>
    </w:p>
    <w:p w14:paraId="03BAD9E2" w14:textId="513C7494" w:rsidR="00D445E8" w:rsidRPr="00AA5308" w:rsidRDefault="00F9591B" w:rsidP="002D4F6E">
      <w:pPr>
        <w:pStyle w:val="ListParagraph"/>
        <w:numPr>
          <w:ilvl w:val="0"/>
          <w:numId w:val="18"/>
        </w:numPr>
        <w:spacing w:after="240" w:line="288" w:lineRule="auto"/>
        <w:ind w:left="0" w:hanging="720"/>
        <w:contextualSpacing w:val="0"/>
        <w:rPr>
          <w:rFonts w:ascii="Times New Roman" w:hAnsi="Times New Roman" w:cs="Times New Roman"/>
        </w:rPr>
      </w:pPr>
      <w:r w:rsidRPr="006C58BA">
        <w:rPr>
          <w:rFonts w:ascii="Times New Roman" w:hAnsi="Times New Roman" w:cs="Times New Roman"/>
        </w:rPr>
        <w:t xml:space="preserve">The </w:t>
      </w:r>
      <w:r w:rsidR="006B1FC4">
        <w:rPr>
          <w:rFonts w:ascii="Times New Roman" w:hAnsi="Times New Roman" w:cs="Times New Roman"/>
        </w:rPr>
        <w:t>PGA</w:t>
      </w:r>
      <w:r w:rsidRPr="006C58BA">
        <w:rPr>
          <w:rFonts w:ascii="Times New Roman" w:hAnsi="Times New Roman" w:cs="Times New Roman"/>
        </w:rPr>
        <w:t xml:space="preserve"> mechanism </w:t>
      </w:r>
      <w:r w:rsidR="00792D9D" w:rsidRPr="006C58BA">
        <w:rPr>
          <w:rFonts w:ascii="Times New Roman" w:hAnsi="Times New Roman" w:cs="Times New Roman"/>
        </w:rPr>
        <w:t xml:space="preserve">is a regulatory tool used to adjust </w:t>
      </w:r>
      <w:r w:rsidR="0052419A">
        <w:rPr>
          <w:rFonts w:ascii="Times New Roman" w:hAnsi="Times New Roman" w:cs="Times New Roman"/>
        </w:rPr>
        <w:t>rates</w:t>
      </w:r>
      <w:r w:rsidR="009B5B5D">
        <w:rPr>
          <w:rFonts w:ascii="Times New Roman" w:hAnsi="Times New Roman" w:cs="Times New Roman"/>
        </w:rPr>
        <w:t xml:space="preserve"> </w:t>
      </w:r>
      <w:r w:rsidR="00792D9D" w:rsidRPr="006C58BA">
        <w:rPr>
          <w:rFonts w:ascii="Times New Roman" w:hAnsi="Times New Roman" w:cs="Times New Roman"/>
        </w:rPr>
        <w:t xml:space="preserve">to reflect the changing cost of gas in the wholesale market. The PGA </w:t>
      </w:r>
      <w:r w:rsidRPr="00AA5308">
        <w:rPr>
          <w:rFonts w:ascii="Times New Roman" w:hAnsi="Times New Roman" w:cs="Times New Roman"/>
        </w:rPr>
        <w:t>pass</w:t>
      </w:r>
      <w:r w:rsidR="00541521" w:rsidRPr="00AA5308">
        <w:rPr>
          <w:rFonts w:ascii="Times New Roman" w:hAnsi="Times New Roman" w:cs="Times New Roman"/>
        </w:rPr>
        <w:t>es</w:t>
      </w:r>
      <w:r w:rsidRPr="00AA5308">
        <w:rPr>
          <w:rFonts w:ascii="Times New Roman" w:hAnsi="Times New Roman" w:cs="Times New Roman"/>
        </w:rPr>
        <w:t xml:space="preserve"> through </w:t>
      </w:r>
      <w:r w:rsidR="00541521" w:rsidRPr="00AA5308">
        <w:rPr>
          <w:rFonts w:ascii="Times New Roman" w:hAnsi="Times New Roman" w:cs="Times New Roman"/>
        </w:rPr>
        <w:t xml:space="preserve">the utility’s actual cost of natural gas </w:t>
      </w:r>
      <w:r w:rsidRPr="00AA5308">
        <w:rPr>
          <w:rFonts w:ascii="Times New Roman" w:hAnsi="Times New Roman" w:cs="Times New Roman"/>
        </w:rPr>
        <w:t>to customers</w:t>
      </w:r>
      <w:r w:rsidR="00792D9D" w:rsidRPr="00AA5308">
        <w:rPr>
          <w:rFonts w:ascii="Times New Roman" w:hAnsi="Times New Roman" w:cs="Times New Roman"/>
        </w:rPr>
        <w:t xml:space="preserve"> on a periodic basis</w:t>
      </w:r>
      <w:r w:rsidRPr="00AA5308">
        <w:rPr>
          <w:rFonts w:ascii="Times New Roman" w:hAnsi="Times New Roman" w:cs="Times New Roman"/>
        </w:rPr>
        <w:t xml:space="preserve">. </w:t>
      </w:r>
      <w:r w:rsidR="00487E86" w:rsidRPr="00AA5308">
        <w:rPr>
          <w:rFonts w:ascii="Times New Roman" w:hAnsi="Times New Roman" w:cs="Times New Roman"/>
        </w:rPr>
        <w:t>PGA mechanism</w:t>
      </w:r>
      <w:r w:rsidR="00541521" w:rsidRPr="00AA5308">
        <w:rPr>
          <w:rFonts w:ascii="Times New Roman" w:hAnsi="Times New Roman" w:cs="Times New Roman"/>
        </w:rPr>
        <w:t>s</w:t>
      </w:r>
      <w:r w:rsidR="00487E86" w:rsidRPr="00AA5308">
        <w:rPr>
          <w:rFonts w:ascii="Times New Roman" w:hAnsi="Times New Roman" w:cs="Times New Roman"/>
        </w:rPr>
        <w:t xml:space="preserve"> contain two general components: a forecasted cost component and an annual true-up component. </w:t>
      </w:r>
    </w:p>
    <w:p w14:paraId="1EBE0068" w14:textId="08A71CD5" w:rsidR="00EA6079" w:rsidRPr="00AA5308" w:rsidRDefault="00541521" w:rsidP="002D4F6E">
      <w:pPr>
        <w:pStyle w:val="ListParagraph"/>
        <w:numPr>
          <w:ilvl w:val="0"/>
          <w:numId w:val="18"/>
        </w:numPr>
        <w:spacing w:after="240" w:line="288" w:lineRule="auto"/>
        <w:ind w:left="0" w:hanging="720"/>
        <w:contextualSpacing w:val="0"/>
        <w:rPr>
          <w:rFonts w:ascii="Times New Roman" w:hAnsi="Times New Roman" w:cs="Times New Roman"/>
        </w:rPr>
      </w:pPr>
      <w:r w:rsidRPr="006C58BA">
        <w:rPr>
          <w:rFonts w:ascii="Times New Roman" w:hAnsi="Times New Roman" w:cs="Times New Roman"/>
        </w:rPr>
        <w:t>Under existing PGA methodology</w:t>
      </w:r>
      <w:r w:rsidR="00DD188D" w:rsidRPr="006C58BA">
        <w:rPr>
          <w:rFonts w:ascii="Times New Roman" w:hAnsi="Times New Roman" w:cs="Times New Roman"/>
        </w:rPr>
        <w:t xml:space="preserve">, companies project demand and </w:t>
      </w:r>
      <w:r w:rsidR="008A7A19" w:rsidRPr="006C58BA">
        <w:rPr>
          <w:rFonts w:ascii="Times New Roman" w:hAnsi="Times New Roman" w:cs="Times New Roman"/>
        </w:rPr>
        <w:t>then develop estimated</w:t>
      </w:r>
      <w:r w:rsidR="00633FBD" w:rsidRPr="006C58BA">
        <w:rPr>
          <w:rFonts w:ascii="Times New Roman" w:hAnsi="Times New Roman" w:cs="Times New Roman"/>
        </w:rPr>
        <w:t xml:space="preserve"> </w:t>
      </w:r>
      <w:r w:rsidR="008A7A19" w:rsidRPr="006C58BA">
        <w:rPr>
          <w:rFonts w:ascii="Times New Roman" w:hAnsi="Times New Roman" w:cs="Times New Roman"/>
        </w:rPr>
        <w:t>supply costs</w:t>
      </w:r>
      <w:r w:rsidR="00DD188D" w:rsidRPr="00AA5308">
        <w:rPr>
          <w:rFonts w:ascii="Times New Roman" w:hAnsi="Times New Roman" w:cs="Times New Roman"/>
        </w:rPr>
        <w:t xml:space="preserve"> </w:t>
      </w:r>
      <w:r w:rsidR="00633FBD" w:rsidRPr="00AA5308">
        <w:rPr>
          <w:rFonts w:ascii="Times New Roman" w:hAnsi="Times New Roman" w:cs="Times New Roman"/>
        </w:rPr>
        <w:t>to meet that demand</w:t>
      </w:r>
      <w:r w:rsidR="008A7A19" w:rsidRPr="00AA5308">
        <w:rPr>
          <w:rFonts w:ascii="Times New Roman" w:hAnsi="Times New Roman" w:cs="Times New Roman"/>
        </w:rPr>
        <w:t>.</w:t>
      </w:r>
      <w:r w:rsidR="00DD188D" w:rsidRPr="00AA5308">
        <w:rPr>
          <w:rFonts w:ascii="Times New Roman" w:hAnsi="Times New Roman" w:cs="Times New Roman"/>
        </w:rPr>
        <w:t xml:space="preserve"> </w:t>
      </w:r>
      <w:r w:rsidR="008A7A19" w:rsidRPr="00AA5308">
        <w:rPr>
          <w:rFonts w:ascii="Times New Roman" w:hAnsi="Times New Roman" w:cs="Times New Roman"/>
        </w:rPr>
        <w:t xml:space="preserve">First, companies </w:t>
      </w:r>
      <w:r w:rsidR="009B5B5D">
        <w:rPr>
          <w:rFonts w:ascii="Times New Roman" w:hAnsi="Times New Roman" w:cs="Times New Roman"/>
        </w:rPr>
        <w:t>use</w:t>
      </w:r>
      <w:r w:rsidR="009B5B5D" w:rsidRPr="00AA5308">
        <w:rPr>
          <w:rFonts w:ascii="Times New Roman" w:hAnsi="Times New Roman" w:cs="Times New Roman"/>
        </w:rPr>
        <w:t xml:space="preserve"> </w:t>
      </w:r>
      <w:r w:rsidR="008A7A19" w:rsidRPr="00AA5308">
        <w:rPr>
          <w:rFonts w:ascii="Times New Roman" w:hAnsi="Times New Roman" w:cs="Times New Roman"/>
        </w:rPr>
        <w:t xml:space="preserve">published forward gas prices to calculate the estimated cost </w:t>
      </w:r>
      <w:r w:rsidR="006621D9" w:rsidRPr="00AA5308">
        <w:rPr>
          <w:rFonts w:ascii="Times New Roman" w:hAnsi="Times New Roman" w:cs="Times New Roman"/>
        </w:rPr>
        <w:t xml:space="preserve">of the </w:t>
      </w:r>
      <w:r w:rsidR="00236EBC" w:rsidRPr="00AA5308">
        <w:rPr>
          <w:rFonts w:ascii="Times New Roman" w:hAnsi="Times New Roman" w:cs="Times New Roman"/>
        </w:rPr>
        <w:t xml:space="preserve">unhedged </w:t>
      </w:r>
      <w:r w:rsidR="006621D9" w:rsidRPr="00AA5308">
        <w:rPr>
          <w:rFonts w:ascii="Times New Roman" w:hAnsi="Times New Roman" w:cs="Times New Roman"/>
        </w:rPr>
        <w:t xml:space="preserve">gas </w:t>
      </w:r>
      <w:r w:rsidR="00236EBC" w:rsidRPr="00AA5308">
        <w:rPr>
          <w:rFonts w:ascii="Times New Roman" w:hAnsi="Times New Roman" w:cs="Times New Roman"/>
        </w:rPr>
        <w:t>supply</w:t>
      </w:r>
      <w:r w:rsidR="008A7A19" w:rsidRPr="00AA5308">
        <w:rPr>
          <w:rFonts w:ascii="Times New Roman" w:hAnsi="Times New Roman" w:cs="Times New Roman"/>
        </w:rPr>
        <w:t>.</w:t>
      </w:r>
      <w:r w:rsidR="00991E8E" w:rsidRPr="00AA5308">
        <w:rPr>
          <w:rFonts w:ascii="Times New Roman" w:hAnsi="Times New Roman" w:cs="Times New Roman"/>
        </w:rPr>
        <w:t xml:space="preserve"> </w:t>
      </w:r>
      <w:r w:rsidR="006B554F" w:rsidRPr="00AA5308">
        <w:rPr>
          <w:rFonts w:ascii="Times New Roman" w:hAnsi="Times New Roman" w:cs="Times New Roman"/>
        </w:rPr>
        <w:t>Second, any k</w:t>
      </w:r>
      <w:r w:rsidR="008A7A19" w:rsidRPr="00AA5308">
        <w:rPr>
          <w:rFonts w:ascii="Times New Roman" w:hAnsi="Times New Roman" w:cs="Times New Roman"/>
        </w:rPr>
        <w:t xml:space="preserve">nown costs </w:t>
      </w:r>
      <w:r w:rsidR="00EA6079" w:rsidRPr="00AA5308">
        <w:rPr>
          <w:rFonts w:ascii="Times New Roman" w:hAnsi="Times New Roman" w:cs="Times New Roman"/>
        </w:rPr>
        <w:t>associated with hedges that will be transacted in, and for, the PGA year</w:t>
      </w:r>
      <w:r w:rsidR="008A7A19" w:rsidRPr="00AA5308">
        <w:rPr>
          <w:rFonts w:ascii="Times New Roman" w:hAnsi="Times New Roman" w:cs="Times New Roman"/>
        </w:rPr>
        <w:t xml:space="preserve"> </w:t>
      </w:r>
      <w:r w:rsidR="006B554F" w:rsidRPr="00AA5308">
        <w:rPr>
          <w:rFonts w:ascii="Times New Roman" w:hAnsi="Times New Roman" w:cs="Times New Roman"/>
        </w:rPr>
        <w:t>are included</w:t>
      </w:r>
      <w:r w:rsidR="00AA0E6F" w:rsidRPr="00AA5308">
        <w:rPr>
          <w:rFonts w:ascii="Times New Roman" w:hAnsi="Times New Roman" w:cs="Times New Roman"/>
        </w:rPr>
        <w:t>.</w:t>
      </w:r>
    </w:p>
    <w:p w14:paraId="600F38D4" w14:textId="4EBC0860" w:rsidR="003B0643" w:rsidRPr="00AA5308" w:rsidRDefault="00933403" w:rsidP="002D4F6E">
      <w:pPr>
        <w:pStyle w:val="ListParagraph"/>
        <w:numPr>
          <w:ilvl w:val="0"/>
          <w:numId w:val="18"/>
        </w:numPr>
        <w:spacing w:after="240" w:line="288" w:lineRule="auto"/>
        <w:ind w:left="0" w:hanging="720"/>
        <w:contextualSpacing w:val="0"/>
        <w:rPr>
          <w:rFonts w:ascii="Times New Roman" w:hAnsi="Times New Roman" w:cs="Times New Roman"/>
        </w:rPr>
      </w:pPr>
      <w:r w:rsidRPr="006C58BA">
        <w:rPr>
          <w:rFonts w:ascii="Times New Roman" w:hAnsi="Times New Roman" w:cs="Times New Roman"/>
        </w:rPr>
        <w:t xml:space="preserve">As </w:t>
      </w:r>
      <w:r w:rsidR="007038D8" w:rsidRPr="006C58BA">
        <w:rPr>
          <w:rFonts w:ascii="Times New Roman" w:hAnsi="Times New Roman" w:cs="Times New Roman"/>
        </w:rPr>
        <w:t>the PGA</w:t>
      </w:r>
      <w:r w:rsidRPr="006C58BA">
        <w:rPr>
          <w:rFonts w:ascii="Times New Roman" w:hAnsi="Times New Roman" w:cs="Times New Roman"/>
        </w:rPr>
        <w:t xml:space="preserve"> year unfolds</w:t>
      </w:r>
      <w:r w:rsidR="007038D8" w:rsidRPr="006C58BA">
        <w:rPr>
          <w:rFonts w:ascii="Times New Roman" w:hAnsi="Times New Roman" w:cs="Times New Roman"/>
        </w:rPr>
        <w:t xml:space="preserve">, </w:t>
      </w:r>
      <w:r w:rsidR="002965CC" w:rsidRPr="006C58BA">
        <w:rPr>
          <w:rFonts w:ascii="Times New Roman" w:hAnsi="Times New Roman" w:cs="Times New Roman"/>
        </w:rPr>
        <w:t xml:space="preserve">the Company incurs </w:t>
      </w:r>
      <w:r w:rsidR="007038D8" w:rsidRPr="006C58BA">
        <w:rPr>
          <w:rFonts w:ascii="Times New Roman" w:hAnsi="Times New Roman" w:cs="Times New Roman"/>
        </w:rPr>
        <w:t>actual costs</w:t>
      </w:r>
      <w:r w:rsidR="00AC5A9B" w:rsidRPr="006C58BA">
        <w:rPr>
          <w:rFonts w:ascii="Times New Roman" w:hAnsi="Times New Roman" w:cs="Times New Roman"/>
        </w:rPr>
        <w:t>,</w:t>
      </w:r>
      <w:r w:rsidR="00236EBC" w:rsidRPr="006C58BA">
        <w:rPr>
          <w:rFonts w:ascii="Times New Roman" w:hAnsi="Times New Roman" w:cs="Times New Roman"/>
        </w:rPr>
        <w:t xml:space="preserve"> both </w:t>
      </w:r>
      <w:r w:rsidR="00841FD6" w:rsidRPr="006C58BA">
        <w:rPr>
          <w:rFonts w:ascii="Times New Roman" w:hAnsi="Times New Roman" w:cs="Times New Roman"/>
        </w:rPr>
        <w:t>for the</w:t>
      </w:r>
      <w:r w:rsidR="00236EBC" w:rsidRPr="006C58BA">
        <w:rPr>
          <w:rFonts w:ascii="Times New Roman" w:hAnsi="Times New Roman" w:cs="Times New Roman"/>
        </w:rPr>
        <w:t xml:space="preserve"> </w:t>
      </w:r>
      <w:r w:rsidR="00872BFA" w:rsidRPr="006C58BA">
        <w:rPr>
          <w:rFonts w:ascii="Times New Roman" w:hAnsi="Times New Roman" w:cs="Times New Roman"/>
        </w:rPr>
        <w:t>unhedged gas purchased at spot</w:t>
      </w:r>
      <w:r w:rsidR="00AA0E6F" w:rsidRPr="00AA5308">
        <w:rPr>
          <w:rFonts w:ascii="Times New Roman" w:hAnsi="Times New Roman" w:cs="Times New Roman"/>
        </w:rPr>
        <w:t>/index</w:t>
      </w:r>
      <w:r w:rsidR="00872BFA" w:rsidRPr="00AA5308">
        <w:rPr>
          <w:rFonts w:ascii="Times New Roman" w:hAnsi="Times New Roman" w:cs="Times New Roman"/>
        </w:rPr>
        <w:t xml:space="preserve"> prices</w:t>
      </w:r>
      <w:r w:rsidR="008A2DB7" w:rsidRPr="00AA5308">
        <w:rPr>
          <w:rFonts w:ascii="Times New Roman" w:hAnsi="Times New Roman" w:cs="Times New Roman"/>
        </w:rPr>
        <w:t>,</w:t>
      </w:r>
      <w:r w:rsidR="00872BFA" w:rsidRPr="00AA5308">
        <w:rPr>
          <w:rFonts w:ascii="Times New Roman" w:hAnsi="Times New Roman" w:cs="Times New Roman"/>
        </w:rPr>
        <w:t xml:space="preserve"> and </w:t>
      </w:r>
      <w:r w:rsidR="00AC5A9B" w:rsidRPr="00AA5308">
        <w:rPr>
          <w:rFonts w:ascii="Times New Roman" w:hAnsi="Times New Roman" w:cs="Times New Roman"/>
        </w:rPr>
        <w:t xml:space="preserve">for </w:t>
      </w:r>
      <w:r w:rsidR="00236EBC" w:rsidRPr="00AA5308">
        <w:rPr>
          <w:rFonts w:ascii="Times New Roman" w:hAnsi="Times New Roman" w:cs="Times New Roman"/>
        </w:rPr>
        <w:t xml:space="preserve">previously </w:t>
      </w:r>
      <w:r w:rsidR="00872BFA" w:rsidRPr="00AA5308">
        <w:rPr>
          <w:rFonts w:ascii="Times New Roman" w:hAnsi="Times New Roman" w:cs="Times New Roman"/>
        </w:rPr>
        <w:t xml:space="preserve">hedged gas purchased at </w:t>
      </w:r>
      <w:r w:rsidR="00236EBC" w:rsidRPr="00AA5308">
        <w:rPr>
          <w:rFonts w:ascii="Times New Roman" w:hAnsi="Times New Roman" w:cs="Times New Roman"/>
        </w:rPr>
        <w:t xml:space="preserve">negotiated </w:t>
      </w:r>
      <w:r w:rsidR="00872BFA" w:rsidRPr="00AA5308">
        <w:rPr>
          <w:rFonts w:ascii="Times New Roman" w:hAnsi="Times New Roman" w:cs="Times New Roman"/>
        </w:rPr>
        <w:t xml:space="preserve">prices. </w:t>
      </w:r>
      <w:r w:rsidR="002965CC" w:rsidRPr="00AA5308">
        <w:rPr>
          <w:rFonts w:ascii="Times New Roman" w:hAnsi="Times New Roman" w:cs="Times New Roman"/>
        </w:rPr>
        <w:t xml:space="preserve">The Company defers the </w:t>
      </w:r>
      <w:r w:rsidR="00F9591B" w:rsidRPr="00AA5308">
        <w:rPr>
          <w:rFonts w:ascii="Times New Roman" w:hAnsi="Times New Roman" w:cs="Times New Roman"/>
        </w:rPr>
        <w:t xml:space="preserve">difference between the projected cost from the PGA filing and the actual cost incurred for the </w:t>
      </w:r>
      <w:r w:rsidR="008A2DB7" w:rsidRPr="00AA5308">
        <w:rPr>
          <w:rFonts w:ascii="Times New Roman" w:hAnsi="Times New Roman" w:cs="Times New Roman"/>
        </w:rPr>
        <w:t xml:space="preserve">PGA </w:t>
      </w:r>
      <w:r w:rsidR="00F9591B" w:rsidRPr="00AA5308">
        <w:rPr>
          <w:rFonts w:ascii="Times New Roman" w:hAnsi="Times New Roman" w:cs="Times New Roman"/>
        </w:rPr>
        <w:t>period</w:t>
      </w:r>
      <w:r w:rsidR="00F16288" w:rsidRPr="00AA5308">
        <w:rPr>
          <w:rFonts w:ascii="Times New Roman" w:hAnsi="Times New Roman" w:cs="Times New Roman"/>
        </w:rPr>
        <w:t xml:space="preserve"> (12 months)</w:t>
      </w:r>
      <w:r w:rsidR="008A2DB7" w:rsidRPr="00AA5308">
        <w:rPr>
          <w:rFonts w:ascii="Times New Roman" w:hAnsi="Times New Roman" w:cs="Times New Roman"/>
        </w:rPr>
        <w:t xml:space="preserve">. </w:t>
      </w:r>
      <w:r w:rsidR="00AA0E6F" w:rsidRPr="00AA5308">
        <w:rPr>
          <w:rFonts w:ascii="Times New Roman" w:hAnsi="Times New Roman" w:cs="Times New Roman"/>
        </w:rPr>
        <w:t>As part of the annual true-up component of the PGA mechanism, t</w:t>
      </w:r>
      <w:r w:rsidR="008A2DB7" w:rsidRPr="00AA5308">
        <w:rPr>
          <w:rFonts w:ascii="Times New Roman" w:hAnsi="Times New Roman" w:cs="Times New Roman"/>
        </w:rPr>
        <w:t xml:space="preserve">hese deferrals </w:t>
      </w:r>
      <w:r w:rsidR="003942E2" w:rsidRPr="00AA5308">
        <w:rPr>
          <w:rFonts w:ascii="Times New Roman" w:hAnsi="Times New Roman" w:cs="Times New Roman"/>
        </w:rPr>
        <w:t>are ultimately</w:t>
      </w:r>
      <w:r w:rsidR="00F9591B" w:rsidRPr="00AA5308">
        <w:rPr>
          <w:rFonts w:ascii="Times New Roman" w:hAnsi="Times New Roman" w:cs="Times New Roman"/>
        </w:rPr>
        <w:t xml:space="preserve"> amortized back to customers with interest as a refund or a surcharge.</w:t>
      </w:r>
      <w:r w:rsidR="00872BFA" w:rsidRPr="00AA5308">
        <w:rPr>
          <w:rFonts w:ascii="Times New Roman" w:hAnsi="Times New Roman" w:cs="Times New Roman"/>
        </w:rPr>
        <w:t xml:space="preserve"> </w:t>
      </w:r>
    </w:p>
    <w:p w14:paraId="678E55DA" w14:textId="2072F7D2" w:rsidR="009A23F4" w:rsidRPr="00AA5308" w:rsidRDefault="009A23F4" w:rsidP="00F715AB">
      <w:pPr>
        <w:pStyle w:val="Heading1"/>
        <w:numPr>
          <w:ilvl w:val="0"/>
          <w:numId w:val="10"/>
        </w:numPr>
        <w:ind w:left="630" w:hanging="630"/>
        <w:rPr>
          <w:rFonts w:cs="Times New Roman"/>
          <w:sz w:val="24"/>
          <w:szCs w:val="24"/>
        </w:rPr>
      </w:pPr>
      <w:bookmarkStart w:id="9" w:name="_Toc473903202"/>
      <w:r w:rsidRPr="00AA5308">
        <w:rPr>
          <w:rFonts w:cs="Times New Roman"/>
          <w:sz w:val="24"/>
          <w:szCs w:val="24"/>
        </w:rPr>
        <w:t>P</w:t>
      </w:r>
      <w:r w:rsidR="009E7464" w:rsidRPr="00AA5308">
        <w:rPr>
          <w:rFonts w:cs="Times New Roman"/>
          <w:sz w:val="24"/>
          <w:szCs w:val="24"/>
        </w:rPr>
        <w:t>ROCEDURAL HISTORY</w:t>
      </w:r>
      <w:bookmarkEnd w:id="9"/>
    </w:p>
    <w:p w14:paraId="49849D5C" w14:textId="1D075F72" w:rsidR="00837470" w:rsidRPr="00AA5308" w:rsidRDefault="00EA7DF5" w:rsidP="00415865">
      <w:pPr>
        <w:pStyle w:val="Heading2"/>
        <w:numPr>
          <w:ilvl w:val="0"/>
          <w:numId w:val="14"/>
        </w:numPr>
        <w:ind w:left="720"/>
        <w:rPr>
          <w:rFonts w:cs="Times New Roman"/>
          <w:sz w:val="24"/>
          <w:szCs w:val="24"/>
        </w:rPr>
      </w:pPr>
      <w:bookmarkStart w:id="10" w:name="_Toc473903203"/>
      <w:r w:rsidRPr="00AA5308">
        <w:rPr>
          <w:rFonts w:cs="Times New Roman"/>
          <w:sz w:val="24"/>
          <w:szCs w:val="24"/>
        </w:rPr>
        <w:t>Review of 2012</w:t>
      </w:r>
      <w:r w:rsidR="00837470" w:rsidRPr="00AA5308">
        <w:rPr>
          <w:rFonts w:cs="Times New Roman"/>
          <w:sz w:val="24"/>
          <w:szCs w:val="24"/>
        </w:rPr>
        <w:t xml:space="preserve"> </w:t>
      </w:r>
      <w:proofErr w:type="spellStart"/>
      <w:r w:rsidR="00837470" w:rsidRPr="00AA5308">
        <w:rPr>
          <w:rFonts w:cs="Times New Roman"/>
          <w:sz w:val="24"/>
          <w:szCs w:val="24"/>
        </w:rPr>
        <w:t>PGAs</w:t>
      </w:r>
      <w:bookmarkEnd w:id="10"/>
      <w:proofErr w:type="spellEnd"/>
    </w:p>
    <w:p w14:paraId="0C80A5CE" w14:textId="29A69A80" w:rsidR="001778F6" w:rsidRPr="00AA5308" w:rsidRDefault="001778F6" w:rsidP="002D4F6E">
      <w:pPr>
        <w:pStyle w:val="ListParagraph"/>
        <w:numPr>
          <w:ilvl w:val="0"/>
          <w:numId w:val="18"/>
        </w:numPr>
        <w:spacing w:after="240" w:line="288" w:lineRule="auto"/>
        <w:ind w:left="0" w:hanging="720"/>
        <w:contextualSpacing w:val="0"/>
        <w:rPr>
          <w:rFonts w:ascii="Times New Roman" w:hAnsi="Times New Roman" w:cs="Times New Roman"/>
        </w:rPr>
      </w:pPr>
      <w:r w:rsidRPr="00CB28F5">
        <w:rPr>
          <w:rFonts w:ascii="Times New Roman" w:hAnsi="Times New Roman" w:cs="Times New Roman"/>
        </w:rPr>
        <w:t>During the months of August, September</w:t>
      </w:r>
      <w:r w:rsidR="00FE0F66" w:rsidRPr="00CB28F5">
        <w:rPr>
          <w:rFonts w:ascii="Times New Roman" w:hAnsi="Times New Roman" w:cs="Times New Roman"/>
        </w:rPr>
        <w:t>,</w:t>
      </w:r>
      <w:r w:rsidRPr="00C113C6">
        <w:rPr>
          <w:rFonts w:ascii="Times New Roman" w:hAnsi="Times New Roman" w:cs="Times New Roman"/>
        </w:rPr>
        <w:t xml:space="preserve"> and October of 2012, Northwest Natural Gas </w:t>
      </w:r>
      <w:r w:rsidRPr="006C58BA">
        <w:rPr>
          <w:rFonts w:ascii="Times New Roman" w:hAnsi="Times New Roman" w:cs="Times New Roman"/>
        </w:rPr>
        <w:t xml:space="preserve">Company (Northwest Natural), </w:t>
      </w:r>
      <w:proofErr w:type="spellStart"/>
      <w:r w:rsidRPr="006C58BA">
        <w:rPr>
          <w:rFonts w:ascii="Times New Roman" w:hAnsi="Times New Roman" w:cs="Times New Roman"/>
        </w:rPr>
        <w:t>Avista</w:t>
      </w:r>
      <w:proofErr w:type="spellEnd"/>
      <w:r w:rsidRPr="006C58BA">
        <w:rPr>
          <w:rFonts w:ascii="Times New Roman" w:hAnsi="Times New Roman" w:cs="Times New Roman"/>
        </w:rPr>
        <w:t xml:space="preserve"> Corporation (</w:t>
      </w:r>
      <w:proofErr w:type="spellStart"/>
      <w:r w:rsidRPr="006C58BA">
        <w:rPr>
          <w:rFonts w:ascii="Times New Roman" w:hAnsi="Times New Roman" w:cs="Times New Roman"/>
        </w:rPr>
        <w:t>Avista</w:t>
      </w:r>
      <w:proofErr w:type="spellEnd"/>
      <w:r w:rsidRPr="006C58BA">
        <w:rPr>
          <w:rFonts w:ascii="Times New Roman" w:hAnsi="Times New Roman" w:cs="Times New Roman"/>
        </w:rPr>
        <w:t xml:space="preserve">), Puget Sound Energy, Inc. (PSE) and Cascade Natural Gas Corporation (Cascade) </w:t>
      </w:r>
      <w:r w:rsidR="00EE36B6" w:rsidRPr="00AA5308">
        <w:rPr>
          <w:rFonts w:ascii="Times New Roman" w:hAnsi="Times New Roman" w:cs="Times New Roman"/>
        </w:rPr>
        <w:t>(collectively</w:t>
      </w:r>
      <w:r w:rsidR="00FE0F66" w:rsidRPr="00AA5308">
        <w:rPr>
          <w:rFonts w:ascii="Times New Roman" w:hAnsi="Times New Roman" w:cs="Times New Roman"/>
        </w:rPr>
        <w:t>, the</w:t>
      </w:r>
      <w:r w:rsidR="00EE36B6" w:rsidRPr="00AA5308">
        <w:rPr>
          <w:rFonts w:ascii="Times New Roman" w:hAnsi="Times New Roman" w:cs="Times New Roman"/>
        </w:rPr>
        <w:t xml:space="preserve"> Companies) </w:t>
      </w:r>
      <w:r w:rsidRPr="00AA5308">
        <w:rPr>
          <w:rFonts w:ascii="Times New Roman" w:hAnsi="Times New Roman" w:cs="Times New Roman"/>
        </w:rPr>
        <w:lastRenderedPageBreak/>
        <w:t>filed revisions to their PGA tariffs</w:t>
      </w:r>
      <w:r w:rsidR="006938E6" w:rsidRPr="00AA5308">
        <w:rPr>
          <w:rFonts w:ascii="Times New Roman" w:hAnsi="Times New Roman" w:cs="Times New Roman"/>
        </w:rPr>
        <w:t xml:space="preserve"> (2012 PGA Filings)</w:t>
      </w:r>
      <w:r w:rsidR="00D0069A" w:rsidRPr="00AA5308">
        <w:rPr>
          <w:rFonts w:ascii="Times New Roman" w:hAnsi="Times New Roman" w:cs="Times New Roman"/>
        </w:rPr>
        <w:t xml:space="preserve"> with</w:t>
      </w:r>
      <w:r w:rsidRPr="00AA5308">
        <w:rPr>
          <w:rFonts w:ascii="Times New Roman" w:hAnsi="Times New Roman" w:cs="Times New Roman"/>
        </w:rPr>
        <w:t xml:space="preserve"> an effective date of November 1, 2012.</w:t>
      </w:r>
      <w:r w:rsidR="0006790D" w:rsidRPr="00AA5308">
        <w:rPr>
          <w:rStyle w:val="FootnoteReference"/>
          <w:rFonts w:ascii="Times New Roman" w:hAnsi="Times New Roman" w:cs="Times New Roman"/>
        </w:rPr>
        <w:footnoteReference w:id="16"/>
      </w:r>
    </w:p>
    <w:p w14:paraId="12A64304" w14:textId="6DD1D039" w:rsidR="0023402F" w:rsidRPr="00AA5308" w:rsidRDefault="00D0069A" w:rsidP="002D4F6E">
      <w:pPr>
        <w:pStyle w:val="ListParagraph"/>
        <w:numPr>
          <w:ilvl w:val="0"/>
          <w:numId w:val="18"/>
        </w:numPr>
        <w:spacing w:after="240" w:line="288" w:lineRule="auto"/>
        <w:ind w:left="0" w:hanging="720"/>
        <w:contextualSpacing w:val="0"/>
        <w:rPr>
          <w:rFonts w:ascii="Times New Roman" w:hAnsi="Times New Roman" w:cs="Times New Roman"/>
        </w:rPr>
      </w:pPr>
      <w:r w:rsidRPr="006C58BA">
        <w:rPr>
          <w:rFonts w:ascii="Times New Roman" w:hAnsi="Times New Roman" w:cs="Times New Roman"/>
        </w:rPr>
        <w:t>Commission staff (Staff) reviewed the filing</w:t>
      </w:r>
      <w:r w:rsidR="009B5B5D">
        <w:rPr>
          <w:rFonts w:ascii="Times New Roman" w:hAnsi="Times New Roman" w:cs="Times New Roman"/>
        </w:rPr>
        <w:t>s</w:t>
      </w:r>
      <w:r w:rsidRPr="006C58BA">
        <w:rPr>
          <w:rFonts w:ascii="Times New Roman" w:hAnsi="Times New Roman" w:cs="Times New Roman"/>
        </w:rPr>
        <w:t xml:space="preserve"> and identified</w:t>
      </w:r>
      <w:r w:rsidR="001E64DE" w:rsidRPr="006C58BA">
        <w:rPr>
          <w:rFonts w:ascii="Times New Roman" w:hAnsi="Times New Roman" w:cs="Times New Roman"/>
        </w:rPr>
        <w:t xml:space="preserve"> </w:t>
      </w:r>
      <w:r w:rsidR="00B731F7" w:rsidRPr="006C58BA">
        <w:rPr>
          <w:rFonts w:ascii="Times New Roman" w:hAnsi="Times New Roman" w:cs="Times New Roman"/>
        </w:rPr>
        <w:t xml:space="preserve">concerns </w:t>
      </w:r>
      <w:r w:rsidRPr="00AA5308">
        <w:rPr>
          <w:rFonts w:ascii="Times New Roman" w:hAnsi="Times New Roman" w:cs="Times New Roman"/>
        </w:rPr>
        <w:t xml:space="preserve">with </w:t>
      </w:r>
      <w:r w:rsidR="00B731F7" w:rsidRPr="00AA5308">
        <w:rPr>
          <w:rFonts w:ascii="Times New Roman" w:hAnsi="Times New Roman" w:cs="Times New Roman"/>
        </w:rPr>
        <w:t>the</w:t>
      </w:r>
      <w:r w:rsidR="001778F6" w:rsidRPr="00AA5308">
        <w:rPr>
          <w:rFonts w:ascii="Times New Roman" w:hAnsi="Times New Roman" w:cs="Times New Roman"/>
        </w:rPr>
        <w:t xml:space="preserve"> hedging strategies employ</w:t>
      </w:r>
      <w:r w:rsidR="00B731F7" w:rsidRPr="00AA5308">
        <w:rPr>
          <w:rFonts w:ascii="Times New Roman" w:hAnsi="Times New Roman" w:cs="Times New Roman"/>
        </w:rPr>
        <w:t xml:space="preserve">ed by the </w:t>
      </w:r>
      <w:r w:rsidR="00897EED" w:rsidRPr="00AA5308">
        <w:rPr>
          <w:rFonts w:ascii="Times New Roman" w:hAnsi="Times New Roman" w:cs="Times New Roman"/>
        </w:rPr>
        <w:t>C</w:t>
      </w:r>
      <w:r w:rsidR="00B731F7" w:rsidRPr="00AA5308">
        <w:rPr>
          <w:rFonts w:ascii="Times New Roman" w:hAnsi="Times New Roman" w:cs="Times New Roman"/>
        </w:rPr>
        <w:t xml:space="preserve">ompanies. </w:t>
      </w:r>
      <w:r w:rsidRPr="00AA5308">
        <w:rPr>
          <w:rFonts w:ascii="Times New Roman" w:hAnsi="Times New Roman" w:cs="Times New Roman"/>
        </w:rPr>
        <w:t xml:space="preserve">Specifically, </w:t>
      </w:r>
      <w:r w:rsidR="007C573E" w:rsidRPr="00AA5308">
        <w:rPr>
          <w:rFonts w:ascii="Times New Roman" w:hAnsi="Times New Roman" w:cs="Times New Roman"/>
        </w:rPr>
        <w:t xml:space="preserve">Staff noted </w:t>
      </w:r>
      <w:r w:rsidRPr="00AA5308">
        <w:rPr>
          <w:rFonts w:ascii="Times New Roman" w:hAnsi="Times New Roman" w:cs="Times New Roman"/>
        </w:rPr>
        <w:t>t</w:t>
      </w:r>
      <w:r w:rsidR="00897EED" w:rsidRPr="00AA5308">
        <w:rPr>
          <w:rFonts w:ascii="Times New Roman" w:hAnsi="Times New Roman" w:cs="Times New Roman"/>
        </w:rPr>
        <w:t xml:space="preserve">he </w:t>
      </w:r>
      <w:r w:rsidR="001778F6" w:rsidRPr="00AA5308">
        <w:rPr>
          <w:rFonts w:ascii="Times New Roman" w:hAnsi="Times New Roman" w:cs="Times New Roman"/>
        </w:rPr>
        <w:t>large financial hedging losses reported in the PGA period of November 1, 2011</w:t>
      </w:r>
      <w:r w:rsidRPr="00AA5308">
        <w:rPr>
          <w:rFonts w:ascii="Times New Roman" w:hAnsi="Times New Roman" w:cs="Times New Roman"/>
        </w:rPr>
        <w:t>,</w:t>
      </w:r>
      <w:r w:rsidR="001778F6" w:rsidRPr="00AA5308">
        <w:rPr>
          <w:rFonts w:ascii="Times New Roman" w:hAnsi="Times New Roman" w:cs="Times New Roman"/>
        </w:rPr>
        <w:t xml:space="preserve"> through October 31, </w:t>
      </w:r>
      <w:r w:rsidR="003942E2" w:rsidRPr="00AA5308">
        <w:rPr>
          <w:rFonts w:ascii="Times New Roman" w:hAnsi="Times New Roman" w:cs="Times New Roman"/>
        </w:rPr>
        <w:t>2012,</w:t>
      </w:r>
      <w:r w:rsidR="001778F6" w:rsidRPr="00AA5308">
        <w:rPr>
          <w:rFonts w:ascii="Times New Roman" w:hAnsi="Times New Roman" w:cs="Times New Roman"/>
        </w:rPr>
        <w:t xml:space="preserve"> </w:t>
      </w:r>
      <w:r w:rsidRPr="00AA5308">
        <w:rPr>
          <w:rFonts w:ascii="Times New Roman" w:hAnsi="Times New Roman" w:cs="Times New Roman"/>
        </w:rPr>
        <w:t>and</w:t>
      </w:r>
      <w:r w:rsidR="00897EED" w:rsidRPr="00AA5308">
        <w:rPr>
          <w:rFonts w:ascii="Times New Roman" w:hAnsi="Times New Roman" w:cs="Times New Roman"/>
        </w:rPr>
        <w:t xml:space="preserve"> </w:t>
      </w:r>
      <w:r w:rsidR="001778F6" w:rsidRPr="00AA5308">
        <w:rPr>
          <w:rFonts w:ascii="Times New Roman" w:hAnsi="Times New Roman" w:cs="Times New Roman"/>
        </w:rPr>
        <w:t>the recurring financial hedging losses recorded and passed ont</w:t>
      </w:r>
      <w:r w:rsidR="00B731F7" w:rsidRPr="00AA5308">
        <w:rPr>
          <w:rFonts w:ascii="Times New Roman" w:hAnsi="Times New Roman" w:cs="Times New Roman"/>
        </w:rPr>
        <w:t>o ratepayers in previous years.</w:t>
      </w:r>
      <w:r w:rsidR="00167D6D" w:rsidRPr="00AA5308">
        <w:rPr>
          <w:rStyle w:val="FootnoteReference"/>
          <w:rFonts w:ascii="Times New Roman" w:hAnsi="Times New Roman" w:cs="Times New Roman"/>
        </w:rPr>
        <w:footnoteReference w:id="17"/>
      </w:r>
    </w:p>
    <w:p w14:paraId="7D47D488" w14:textId="7781D6BF" w:rsidR="00B5284B" w:rsidRPr="00AA5308" w:rsidRDefault="007C573E" w:rsidP="002D4F6E">
      <w:pPr>
        <w:pStyle w:val="ListParagraph"/>
        <w:numPr>
          <w:ilvl w:val="0"/>
          <w:numId w:val="18"/>
        </w:numPr>
        <w:spacing w:after="240" w:line="288" w:lineRule="auto"/>
        <w:ind w:left="0" w:hanging="720"/>
        <w:contextualSpacing w:val="0"/>
        <w:rPr>
          <w:rFonts w:ascii="Times New Roman" w:hAnsi="Times New Roman" w:cs="Times New Roman"/>
        </w:rPr>
      </w:pPr>
      <w:r w:rsidRPr="006C58BA">
        <w:rPr>
          <w:rFonts w:ascii="Times New Roman" w:hAnsi="Times New Roman" w:cs="Times New Roman"/>
        </w:rPr>
        <w:t>At the Commission’s regularly scheduled open meeting on</w:t>
      </w:r>
      <w:r w:rsidR="0023402F" w:rsidRPr="006C58BA">
        <w:rPr>
          <w:rFonts w:ascii="Times New Roman" w:hAnsi="Times New Roman" w:cs="Times New Roman"/>
        </w:rPr>
        <w:t xml:space="preserve"> October 25, 2012</w:t>
      </w:r>
      <w:r w:rsidR="00EE36B6" w:rsidRPr="00AA5308">
        <w:rPr>
          <w:rFonts w:ascii="Times New Roman" w:hAnsi="Times New Roman" w:cs="Times New Roman"/>
        </w:rPr>
        <w:t>,</w:t>
      </w:r>
      <w:r w:rsidR="001778F6" w:rsidRPr="00AA5308">
        <w:rPr>
          <w:rFonts w:ascii="Times New Roman" w:hAnsi="Times New Roman" w:cs="Times New Roman"/>
        </w:rPr>
        <w:t xml:space="preserve"> </w:t>
      </w:r>
      <w:r w:rsidR="00897EED" w:rsidRPr="00AA5308">
        <w:rPr>
          <w:rFonts w:ascii="Times New Roman" w:hAnsi="Times New Roman" w:cs="Times New Roman"/>
        </w:rPr>
        <w:t>S</w:t>
      </w:r>
      <w:r w:rsidR="001778F6" w:rsidRPr="00AA5308">
        <w:rPr>
          <w:rFonts w:ascii="Times New Roman" w:hAnsi="Times New Roman" w:cs="Times New Roman"/>
        </w:rPr>
        <w:t xml:space="preserve">taff recommended the </w:t>
      </w:r>
      <w:r w:rsidR="00660B43" w:rsidRPr="00AA5308">
        <w:rPr>
          <w:rFonts w:ascii="Times New Roman" w:hAnsi="Times New Roman" w:cs="Times New Roman"/>
        </w:rPr>
        <w:t>C</w:t>
      </w:r>
      <w:r w:rsidR="001778F6" w:rsidRPr="00AA5308">
        <w:rPr>
          <w:rFonts w:ascii="Times New Roman" w:hAnsi="Times New Roman" w:cs="Times New Roman"/>
        </w:rPr>
        <w:t>ommiss</w:t>
      </w:r>
      <w:r w:rsidR="00B731F7" w:rsidRPr="00AA5308">
        <w:rPr>
          <w:rFonts w:ascii="Times New Roman" w:hAnsi="Times New Roman" w:cs="Times New Roman"/>
        </w:rPr>
        <w:t>ion suspend</w:t>
      </w:r>
      <w:r w:rsidR="001778F6" w:rsidRPr="00AA5308">
        <w:rPr>
          <w:rFonts w:ascii="Times New Roman" w:hAnsi="Times New Roman" w:cs="Times New Roman"/>
        </w:rPr>
        <w:t xml:space="preserve"> the tar</w:t>
      </w:r>
      <w:r w:rsidR="00886561" w:rsidRPr="00AA5308">
        <w:rPr>
          <w:rFonts w:ascii="Times New Roman" w:hAnsi="Times New Roman" w:cs="Times New Roman"/>
        </w:rPr>
        <w:t xml:space="preserve">iff revisions in </w:t>
      </w:r>
      <w:r w:rsidR="0023402F" w:rsidRPr="00AA5308">
        <w:rPr>
          <w:rFonts w:ascii="Times New Roman" w:hAnsi="Times New Roman" w:cs="Times New Roman"/>
        </w:rPr>
        <w:t xml:space="preserve">each </w:t>
      </w:r>
      <w:r w:rsidR="00886561" w:rsidRPr="00AA5308">
        <w:rPr>
          <w:rFonts w:ascii="Times New Roman" w:hAnsi="Times New Roman" w:cs="Times New Roman"/>
        </w:rPr>
        <w:t>docket</w:t>
      </w:r>
      <w:r w:rsidR="00B5284B" w:rsidRPr="00AA5308">
        <w:rPr>
          <w:rFonts w:ascii="Times New Roman" w:hAnsi="Times New Roman" w:cs="Times New Roman"/>
        </w:rPr>
        <w:t>,</w:t>
      </w:r>
      <w:r w:rsidR="00886561" w:rsidRPr="00AA5308">
        <w:rPr>
          <w:rFonts w:ascii="Times New Roman" w:hAnsi="Times New Roman" w:cs="Times New Roman"/>
        </w:rPr>
        <w:t xml:space="preserve"> </w:t>
      </w:r>
      <w:r w:rsidR="00CE5996" w:rsidRPr="00AA5308">
        <w:rPr>
          <w:rFonts w:ascii="Times New Roman" w:hAnsi="Times New Roman" w:cs="Times New Roman"/>
        </w:rPr>
        <w:t>citing the need for</w:t>
      </w:r>
      <w:r w:rsidR="001778F6" w:rsidRPr="00AA5308">
        <w:rPr>
          <w:rFonts w:ascii="Times New Roman" w:hAnsi="Times New Roman" w:cs="Times New Roman"/>
        </w:rPr>
        <w:t xml:space="preserve"> additional time to investigate hedging transactions, potential implications of</w:t>
      </w:r>
      <w:r w:rsidR="00991E8E" w:rsidRPr="00AA5308">
        <w:rPr>
          <w:rFonts w:ascii="Times New Roman" w:hAnsi="Times New Roman" w:cs="Times New Roman"/>
        </w:rPr>
        <w:t xml:space="preserve"> the </w:t>
      </w:r>
      <w:r w:rsidR="001778F6" w:rsidRPr="00AA5308">
        <w:rPr>
          <w:rFonts w:ascii="Times New Roman" w:hAnsi="Times New Roman" w:cs="Times New Roman"/>
        </w:rPr>
        <w:t>procurement</w:t>
      </w:r>
      <w:r w:rsidR="00991E8E" w:rsidRPr="00AA5308">
        <w:rPr>
          <w:rFonts w:ascii="Times New Roman" w:hAnsi="Times New Roman" w:cs="Times New Roman"/>
        </w:rPr>
        <w:t xml:space="preserve"> practices, </w:t>
      </w:r>
      <w:r w:rsidR="001778F6" w:rsidRPr="00AA5308">
        <w:rPr>
          <w:rFonts w:ascii="Times New Roman" w:hAnsi="Times New Roman" w:cs="Times New Roman"/>
        </w:rPr>
        <w:t>hedging guidelines, and uniformity of PGA reporting.</w:t>
      </w:r>
      <w:r w:rsidR="0023402F" w:rsidRPr="00AA5308">
        <w:rPr>
          <w:rFonts w:ascii="Times New Roman" w:hAnsi="Times New Roman" w:cs="Times New Roman"/>
        </w:rPr>
        <w:t xml:space="preserve"> </w:t>
      </w:r>
      <w:r w:rsidR="001778F6" w:rsidRPr="00AA5308">
        <w:rPr>
          <w:rFonts w:ascii="Times New Roman" w:hAnsi="Times New Roman" w:cs="Times New Roman"/>
        </w:rPr>
        <w:t xml:space="preserve">The </w:t>
      </w:r>
      <w:r w:rsidR="00660B43" w:rsidRPr="00AA5308">
        <w:rPr>
          <w:rFonts w:ascii="Times New Roman" w:hAnsi="Times New Roman" w:cs="Times New Roman"/>
        </w:rPr>
        <w:t xml:space="preserve">Commission </w:t>
      </w:r>
      <w:r w:rsidR="00B5284B" w:rsidRPr="00AA5308">
        <w:rPr>
          <w:rFonts w:ascii="Times New Roman" w:hAnsi="Times New Roman" w:cs="Times New Roman"/>
        </w:rPr>
        <w:t>agreed with Staff</w:t>
      </w:r>
      <w:r w:rsidR="00FE4790" w:rsidRPr="00AA5308">
        <w:rPr>
          <w:rFonts w:ascii="Times New Roman" w:hAnsi="Times New Roman" w:cs="Times New Roman"/>
        </w:rPr>
        <w:t xml:space="preserve"> that an investigation into the </w:t>
      </w:r>
      <w:r w:rsidR="001E64DE" w:rsidRPr="00AA5308">
        <w:rPr>
          <w:rFonts w:ascii="Times New Roman" w:hAnsi="Times New Roman" w:cs="Times New Roman"/>
        </w:rPr>
        <w:t xml:space="preserve">natural gas </w:t>
      </w:r>
      <w:r w:rsidR="00FE4790" w:rsidRPr="00AA5308">
        <w:rPr>
          <w:rFonts w:ascii="Times New Roman" w:hAnsi="Times New Roman" w:cs="Times New Roman"/>
        </w:rPr>
        <w:t xml:space="preserve">hedging and procurement practices </w:t>
      </w:r>
      <w:r w:rsidR="001E64DE" w:rsidRPr="00AA5308">
        <w:rPr>
          <w:rFonts w:ascii="Times New Roman" w:hAnsi="Times New Roman" w:cs="Times New Roman"/>
        </w:rPr>
        <w:t xml:space="preserve">for </w:t>
      </w:r>
      <w:proofErr w:type="spellStart"/>
      <w:r w:rsidR="001E64DE" w:rsidRPr="00AA5308">
        <w:rPr>
          <w:rFonts w:ascii="Times New Roman" w:hAnsi="Times New Roman" w:cs="Times New Roman"/>
        </w:rPr>
        <w:t>LDCs</w:t>
      </w:r>
      <w:proofErr w:type="spellEnd"/>
      <w:r w:rsidR="001E64DE" w:rsidRPr="00AA5308">
        <w:rPr>
          <w:rFonts w:ascii="Times New Roman" w:hAnsi="Times New Roman" w:cs="Times New Roman"/>
        </w:rPr>
        <w:t xml:space="preserve"> regulated by the Commission was warranted</w:t>
      </w:r>
      <w:r w:rsidR="00FE4790" w:rsidRPr="00AA5308">
        <w:rPr>
          <w:rFonts w:ascii="Times New Roman" w:hAnsi="Times New Roman" w:cs="Times New Roman"/>
        </w:rPr>
        <w:t xml:space="preserve">. </w:t>
      </w:r>
    </w:p>
    <w:p w14:paraId="2BF065FC" w14:textId="23E81E1B" w:rsidR="001778F6" w:rsidRPr="00AA5308" w:rsidRDefault="00FE4790" w:rsidP="002D4F6E">
      <w:pPr>
        <w:pStyle w:val="ListParagraph"/>
        <w:numPr>
          <w:ilvl w:val="0"/>
          <w:numId w:val="18"/>
        </w:numPr>
        <w:spacing w:after="240" w:line="288" w:lineRule="auto"/>
        <w:ind w:left="0" w:hanging="720"/>
        <w:contextualSpacing w:val="0"/>
        <w:rPr>
          <w:rFonts w:ascii="Times New Roman" w:hAnsi="Times New Roman" w:cs="Times New Roman"/>
        </w:rPr>
      </w:pPr>
      <w:r w:rsidRPr="00CB28F5">
        <w:rPr>
          <w:rFonts w:ascii="Times New Roman" w:hAnsi="Times New Roman" w:cs="Times New Roman"/>
        </w:rPr>
        <w:t>O</w:t>
      </w:r>
      <w:r w:rsidR="001778F6" w:rsidRPr="00CB28F5">
        <w:rPr>
          <w:rFonts w:ascii="Times New Roman" w:hAnsi="Times New Roman" w:cs="Times New Roman"/>
        </w:rPr>
        <w:t xml:space="preserve">n October 31, 2012, </w:t>
      </w:r>
      <w:r w:rsidRPr="00C113C6">
        <w:rPr>
          <w:rFonts w:ascii="Times New Roman" w:hAnsi="Times New Roman" w:cs="Times New Roman"/>
        </w:rPr>
        <w:t xml:space="preserve">the Commission </w:t>
      </w:r>
      <w:r w:rsidR="001778F6" w:rsidRPr="00C113C6">
        <w:rPr>
          <w:rFonts w:ascii="Times New Roman" w:hAnsi="Times New Roman" w:cs="Times New Roman"/>
        </w:rPr>
        <w:t xml:space="preserve">issued complaints and orders </w:t>
      </w:r>
      <w:r w:rsidR="00B5284B" w:rsidRPr="00AA5308">
        <w:rPr>
          <w:rFonts w:ascii="Times New Roman" w:hAnsi="Times New Roman" w:cs="Times New Roman"/>
        </w:rPr>
        <w:t xml:space="preserve">suspending each </w:t>
      </w:r>
      <w:r w:rsidR="006B1FC4">
        <w:rPr>
          <w:rFonts w:ascii="Times New Roman" w:hAnsi="Times New Roman" w:cs="Times New Roman"/>
        </w:rPr>
        <w:t>C</w:t>
      </w:r>
      <w:r w:rsidR="00B5284B" w:rsidRPr="00AA5308">
        <w:rPr>
          <w:rFonts w:ascii="Times New Roman" w:hAnsi="Times New Roman" w:cs="Times New Roman"/>
        </w:rPr>
        <w:t>ompany’s tariff revisions</w:t>
      </w:r>
      <w:r w:rsidRPr="00AA5308">
        <w:rPr>
          <w:rFonts w:ascii="Times New Roman" w:hAnsi="Times New Roman" w:cs="Times New Roman"/>
        </w:rPr>
        <w:t xml:space="preserve"> in </w:t>
      </w:r>
      <w:r w:rsidR="00445C7D" w:rsidRPr="00AA5308">
        <w:rPr>
          <w:rFonts w:ascii="Times New Roman" w:hAnsi="Times New Roman" w:cs="Times New Roman"/>
        </w:rPr>
        <w:t xml:space="preserve">Order 01 of </w:t>
      </w:r>
      <w:r w:rsidRPr="00AA5308">
        <w:rPr>
          <w:rFonts w:ascii="Times New Roman" w:hAnsi="Times New Roman" w:cs="Times New Roman"/>
        </w:rPr>
        <w:t xml:space="preserve">the </w:t>
      </w:r>
      <w:r w:rsidR="0003527F" w:rsidRPr="00AA5308">
        <w:rPr>
          <w:rFonts w:ascii="Times New Roman" w:hAnsi="Times New Roman" w:cs="Times New Roman"/>
        </w:rPr>
        <w:t xml:space="preserve">respective </w:t>
      </w:r>
      <w:r w:rsidR="006627B9" w:rsidRPr="00AA5308">
        <w:rPr>
          <w:rFonts w:ascii="Times New Roman" w:hAnsi="Times New Roman" w:cs="Times New Roman"/>
        </w:rPr>
        <w:t>2012 PGA Filing</w:t>
      </w:r>
      <w:r w:rsidRPr="00AA5308">
        <w:rPr>
          <w:rFonts w:ascii="Times New Roman" w:hAnsi="Times New Roman" w:cs="Times New Roman"/>
        </w:rPr>
        <w:t xml:space="preserve"> dockets</w:t>
      </w:r>
      <w:r w:rsidR="001778F6" w:rsidRPr="00AA5308">
        <w:rPr>
          <w:rFonts w:ascii="Times New Roman" w:hAnsi="Times New Roman" w:cs="Times New Roman"/>
        </w:rPr>
        <w:t xml:space="preserve">. The </w:t>
      </w:r>
      <w:r w:rsidRPr="00AA5308">
        <w:rPr>
          <w:rFonts w:ascii="Times New Roman" w:hAnsi="Times New Roman" w:cs="Times New Roman"/>
        </w:rPr>
        <w:t>C</w:t>
      </w:r>
      <w:r w:rsidR="001778F6" w:rsidRPr="00AA5308">
        <w:rPr>
          <w:rFonts w:ascii="Times New Roman" w:hAnsi="Times New Roman" w:cs="Times New Roman"/>
        </w:rPr>
        <w:t>o</w:t>
      </w:r>
      <w:r w:rsidR="00886561" w:rsidRPr="00AA5308">
        <w:rPr>
          <w:rFonts w:ascii="Times New Roman" w:hAnsi="Times New Roman" w:cs="Times New Roman"/>
        </w:rPr>
        <w:t xml:space="preserve">mmission also ordered </w:t>
      </w:r>
      <w:r w:rsidRPr="00AA5308">
        <w:rPr>
          <w:rFonts w:ascii="Times New Roman" w:hAnsi="Times New Roman" w:cs="Times New Roman"/>
        </w:rPr>
        <w:t>S</w:t>
      </w:r>
      <w:r w:rsidR="00886561" w:rsidRPr="00AA5308">
        <w:rPr>
          <w:rFonts w:ascii="Times New Roman" w:hAnsi="Times New Roman" w:cs="Times New Roman"/>
        </w:rPr>
        <w:t xml:space="preserve">taff to </w:t>
      </w:r>
      <w:r w:rsidR="001778F6" w:rsidRPr="00AA5308">
        <w:rPr>
          <w:rFonts w:ascii="Times New Roman" w:hAnsi="Times New Roman" w:cs="Times New Roman"/>
        </w:rPr>
        <w:t xml:space="preserve">report </w:t>
      </w:r>
      <w:r w:rsidR="00307496" w:rsidRPr="00AA5308">
        <w:rPr>
          <w:rFonts w:ascii="Times New Roman" w:hAnsi="Times New Roman" w:cs="Times New Roman"/>
        </w:rPr>
        <w:t xml:space="preserve">back </w:t>
      </w:r>
      <w:r w:rsidR="001778F6" w:rsidRPr="00AA5308">
        <w:rPr>
          <w:rFonts w:ascii="Times New Roman" w:hAnsi="Times New Roman" w:cs="Times New Roman"/>
        </w:rPr>
        <w:t xml:space="preserve">to the Commission on the status of </w:t>
      </w:r>
      <w:r w:rsidR="001E64DE" w:rsidRPr="00AA5308">
        <w:rPr>
          <w:rFonts w:ascii="Times New Roman" w:hAnsi="Times New Roman" w:cs="Times New Roman"/>
        </w:rPr>
        <w:t xml:space="preserve">its </w:t>
      </w:r>
      <w:r w:rsidR="001778F6" w:rsidRPr="00AA5308">
        <w:rPr>
          <w:rFonts w:ascii="Times New Roman" w:hAnsi="Times New Roman" w:cs="Times New Roman"/>
        </w:rPr>
        <w:t>investigation no later than March 1, 2013</w:t>
      </w:r>
      <w:r w:rsidR="00886561" w:rsidRPr="00AA5308">
        <w:rPr>
          <w:rFonts w:ascii="Times New Roman" w:hAnsi="Times New Roman" w:cs="Times New Roman"/>
        </w:rPr>
        <w:t>.</w:t>
      </w:r>
      <w:r w:rsidR="001778F6" w:rsidRPr="00AA5308">
        <w:rPr>
          <w:rFonts w:ascii="Times New Roman" w:hAnsi="Times New Roman" w:cs="Times New Roman"/>
        </w:rPr>
        <w:t xml:space="preserve"> </w:t>
      </w:r>
    </w:p>
    <w:p w14:paraId="4F53E8EB" w14:textId="2DD8CF77" w:rsidR="005B203C" w:rsidRPr="00CB28F5" w:rsidRDefault="001778F6" w:rsidP="002D4F6E">
      <w:pPr>
        <w:pStyle w:val="ListParagraph"/>
        <w:numPr>
          <w:ilvl w:val="0"/>
          <w:numId w:val="18"/>
        </w:numPr>
        <w:spacing w:after="240" w:line="288" w:lineRule="auto"/>
        <w:ind w:left="0" w:hanging="720"/>
        <w:contextualSpacing w:val="0"/>
        <w:rPr>
          <w:rFonts w:ascii="Times New Roman" w:hAnsi="Times New Roman" w:cs="Times New Roman"/>
        </w:rPr>
      </w:pPr>
      <w:r w:rsidRPr="00CB28F5">
        <w:rPr>
          <w:rFonts w:ascii="Times New Roman" w:hAnsi="Times New Roman" w:cs="Times New Roman"/>
        </w:rPr>
        <w:t xml:space="preserve">On March 1, 2013, Staff filed with the </w:t>
      </w:r>
      <w:r w:rsidR="00FE4790" w:rsidRPr="00CB28F5">
        <w:rPr>
          <w:rFonts w:ascii="Times New Roman" w:hAnsi="Times New Roman" w:cs="Times New Roman"/>
        </w:rPr>
        <w:t>C</w:t>
      </w:r>
      <w:r w:rsidRPr="00CB28F5">
        <w:rPr>
          <w:rFonts w:ascii="Times New Roman" w:hAnsi="Times New Roman" w:cs="Times New Roman"/>
        </w:rPr>
        <w:t xml:space="preserve">ommission its report regarding the natural gas hedging policies and practices of the investor-owned </w:t>
      </w:r>
      <w:proofErr w:type="spellStart"/>
      <w:r w:rsidRPr="00CB28F5">
        <w:rPr>
          <w:rFonts w:ascii="Times New Roman" w:hAnsi="Times New Roman" w:cs="Times New Roman"/>
        </w:rPr>
        <w:t>LDCs</w:t>
      </w:r>
      <w:proofErr w:type="spellEnd"/>
      <w:r w:rsidRPr="00CB28F5">
        <w:rPr>
          <w:rFonts w:ascii="Times New Roman" w:hAnsi="Times New Roman" w:cs="Times New Roman"/>
        </w:rPr>
        <w:t xml:space="preserve"> operating in </w:t>
      </w:r>
      <w:r w:rsidR="000618EC" w:rsidRPr="00CB28F5">
        <w:rPr>
          <w:rFonts w:ascii="Times New Roman" w:hAnsi="Times New Roman" w:cs="Times New Roman"/>
        </w:rPr>
        <w:t xml:space="preserve">Washington. </w:t>
      </w:r>
      <w:r w:rsidRPr="00CB28F5">
        <w:rPr>
          <w:rFonts w:ascii="Times New Roman" w:hAnsi="Times New Roman" w:cs="Times New Roman"/>
        </w:rPr>
        <w:t xml:space="preserve">Staff also presented the results of its investigation </w:t>
      </w:r>
      <w:r w:rsidR="000A3156" w:rsidRPr="00CB28F5">
        <w:rPr>
          <w:rFonts w:ascii="Times New Roman" w:hAnsi="Times New Roman" w:cs="Times New Roman"/>
        </w:rPr>
        <w:t>during the</w:t>
      </w:r>
      <w:r w:rsidR="00B5284B" w:rsidRPr="00CB28F5">
        <w:rPr>
          <w:rFonts w:ascii="Times New Roman" w:hAnsi="Times New Roman" w:cs="Times New Roman"/>
        </w:rPr>
        <w:t xml:space="preserve"> Commission’s</w:t>
      </w:r>
      <w:r w:rsidRPr="00CB28F5">
        <w:rPr>
          <w:rFonts w:ascii="Times New Roman" w:hAnsi="Times New Roman" w:cs="Times New Roman"/>
        </w:rPr>
        <w:t xml:space="preserve"> recessed </w:t>
      </w:r>
      <w:r w:rsidR="00B5284B" w:rsidRPr="00CB28F5">
        <w:rPr>
          <w:rFonts w:ascii="Times New Roman" w:hAnsi="Times New Roman" w:cs="Times New Roman"/>
        </w:rPr>
        <w:t>o</w:t>
      </w:r>
      <w:r w:rsidRPr="00CB28F5">
        <w:rPr>
          <w:rFonts w:ascii="Times New Roman" w:hAnsi="Times New Roman" w:cs="Times New Roman"/>
        </w:rPr>
        <w:t xml:space="preserve">pen </w:t>
      </w:r>
      <w:r w:rsidR="00B5284B" w:rsidRPr="00CB28F5">
        <w:rPr>
          <w:rFonts w:ascii="Times New Roman" w:hAnsi="Times New Roman" w:cs="Times New Roman"/>
        </w:rPr>
        <w:t>m</w:t>
      </w:r>
      <w:r w:rsidRPr="00CB28F5">
        <w:rPr>
          <w:rFonts w:ascii="Times New Roman" w:hAnsi="Times New Roman" w:cs="Times New Roman"/>
        </w:rPr>
        <w:t xml:space="preserve">eeting on March 22, 2013. </w:t>
      </w:r>
    </w:p>
    <w:p w14:paraId="54BB4208" w14:textId="541D740E" w:rsidR="001778F6" w:rsidRPr="00CB28F5" w:rsidRDefault="004064C6" w:rsidP="002D4F6E">
      <w:pPr>
        <w:pStyle w:val="ListParagraph"/>
        <w:numPr>
          <w:ilvl w:val="0"/>
          <w:numId w:val="18"/>
        </w:numPr>
        <w:spacing w:after="240" w:line="288" w:lineRule="auto"/>
        <w:ind w:left="0" w:hanging="720"/>
        <w:contextualSpacing w:val="0"/>
        <w:rPr>
          <w:rFonts w:ascii="Times New Roman" w:hAnsi="Times New Roman" w:cs="Times New Roman"/>
        </w:rPr>
      </w:pPr>
      <w:r w:rsidRPr="00CB28F5">
        <w:rPr>
          <w:rFonts w:ascii="Times New Roman" w:hAnsi="Times New Roman" w:cs="Times New Roman"/>
        </w:rPr>
        <w:t xml:space="preserve">The </w:t>
      </w:r>
      <w:r w:rsidR="001778F6" w:rsidRPr="00CB28F5">
        <w:rPr>
          <w:rFonts w:ascii="Times New Roman" w:hAnsi="Times New Roman" w:cs="Times New Roman"/>
        </w:rPr>
        <w:t xml:space="preserve">analysis </w:t>
      </w:r>
      <w:r w:rsidRPr="00CB28F5">
        <w:rPr>
          <w:rFonts w:ascii="Times New Roman" w:hAnsi="Times New Roman" w:cs="Times New Roman"/>
        </w:rPr>
        <w:t>completed by Staff and its consultant</w:t>
      </w:r>
      <w:r w:rsidR="007A2555">
        <w:rPr>
          <w:rStyle w:val="FootnoteReference"/>
          <w:rFonts w:ascii="Times New Roman" w:hAnsi="Times New Roman" w:cs="Times New Roman"/>
        </w:rPr>
        <w:footnoteReference w:id="18"/>
      </w:r>
      <w:r w:rsidRPr="00CB28F5">
        <w:rPr>
          <w:rFonts w:ascii="Times New Roman" w:hAnsi="Times New Roman" w:cs="Times New Roman"/>
        </w:rPr>
        <w:t xml:space="preserve"> </w:t>
      </w:r>
      <w:r w:rsidR="001778F6" w:rsidRPr="00CB28F5">
        <w:rPr>
          <w:rFonts w:ascii="Times New Roman" w:hAnsi="Times New Roman" w:cs="Times New Roman"/>
        </w:rPr>
        <w:t xml:space="preserve">indicated that, on a system basis, the </w:t>
      </w:r>
      <w:r w:rsidR="00FE0F66" w:rsidRPr="00CB28F5">
        <w:rPr>
          <w:rFonts w:ascii="Times New Roman" w:hAnsi="Times New Roman" w:cs="Times New Roman"/>
        </w:rPr>
        <w:t>C</w:t>
      </w:r>
      <w:r w:rsidR="002229E8" w:rsidRPr="00CB28F5">
        <w:rPr>
          <w:rFonts w:ascii="Times New Roman" w:hAnsi="Times New Roman" w:cs="Times New Roman"/>
        </w:rPr>
        <w:t>ompanies</w:t>
      </w:r>
      <w:r w:rsidR="001778F6" w:rsidRPr="00CB28F5">
        <w:rPr>
          <w:rFonts w:ascii="Times New Roman" w:hAnsi="Times New Roman" w:cs="Times New Roman"/>
        </w:rPr>
        <w:t xml:space="preserve"> collectively experienced net hedging losses of over $1.</w:t>
      </w:r>
      <w:r w:rsidRPr="00CB28F5">
        <w:rPr>
          <w:rFonts w:ascii="Times New Roman" w:hAnsi="Times New Roman" w:cs="Times New Roman"/>
        </w:rPr>
        <w:t>1</w:t>
      </w:r>
      <w:r w:rsidR="001778F6" w:rsidRPr="00CB28F5">
        <w:rPr>
          <w:rFonts w:ascii="Times New Roman" w:hAnsi="Times New Roman" w:cs="Times New Roman"/>
        </w:rPr>
        <w:t xml:space="preserve"> billion between November 1, </w:t>
      </w:r>
      <w:r w:rsidRPr="00CB28F5">
        <w:rPr>
          <w:rFonts w:ascii="Times New Roman" w:hAnsi="Times New Roman" w:cs="Times New Roman"/>
        </w:rPr>
        <w:t>2002</w:t>
      </w:r>
      <w:r w:rsidR="001778F6" w:rsidRPr="00CB28F5">
        <w:rPr>
          <w:rFonts w:ascii="Times New Roman" w:hAnsi="Times New Roman" w:cs="Times New Roman"/>
        </w:rPr>
        <w:t>, and October 31, 2012.</w:t>
      </w:r>
      <w:r w:rsidR="006E0293" w:rsidRPr="00CB28F5">
        <w:rPr>
          <w:rStyle w:val="FootnoteReference"/>
          <w:rFonts w:ascii="Times New Roman" w:hAnsi="Times New Roman" w:cs="Times New Roman"/>
        </w:rPr>
        <w:footnoteReference w:id="19"/>
      </w:r>
      <w:r w:rsidR="001778F6" w:rsidRPr="00CB28F5">
        <w:rPr>
          <w:rFonts w:ascii="Times New Roman" w:hAnsi="Times New Roman" w:cs="Times New Roman"/>
        </w:rPr>
        <w:t xml:space="preserve"> </w:t>
      </w:r>
      <w:r w:rsidR="001778F6" w:rsidRPr="00C113C6">
        <w:rPr>
          <w:rFonts w:ascii="Times New Roman" w:hAnsi="Times New Roman" w:cs="Times New Roman"/>
        </w:rPr>
        <w:t xml:space="preserve">Washington’s </w:t>
      </w:r>
      <w:r w:rsidR="001778F6" w:rsidRPr="00CB28F5">
        <w:rPr>
          <w:rFonts w:ascii="Times New Roman" w:hAnsi="Times New Roman" w:cs="Times New Roman"/>
        </w:rPr>
        <w:t xml:space="preserve">share of these net losses were </w:t>
      </w:r>
      <w:r w:rsidR="001778F6" w:rsidRPr="00CB28F5">
        <w:rPr>
          <w:rFonts w:ascii="Times New Roman" w:hAnsi="Times New Roman" w:cs="Times New Roman"/>
        </w:rPr>
        <w:lastRenderedPageBreak/>
        <w:t xml:space="preserve">passed on to ratepayers. </w:t>
      </w:r>
      <w:r w:rsidR="00B5284B" w:rsidRPr="00CB28F5">
        <w:rPr>
          <w:rFonts w:ascii="Times New Roman" w:hAnsi="Times New Roman" w:cs="Times New Roman"/>
        </w:rPr>
        <w:t>Nevertheless</w:t>
      </w:r>
      <w:r w:rsidR="001778F6" w:rsidRPr="00CB28F5">
        <w:rPr>
          <w:rFonts w:ascii="Times New Roman" w:hAnsi="Times New Roman" w:cs="Times New Roman"/>
        </w:rPr>
        <w:t xml:space="preserve">, Staff concluded that the hedging practices </w:t>
      </w:r>
      <w:r w:rsidR="000A3156" w:rsidRPr="006C58BA">
        <w:rPr>
          <w:rFonts w:ascii="Times New Roman" w:hAnsi="Times New Roman" w:cs="Times New Roman"/>
        </w:rPr>
        <w:t>employed</w:t>
      </w:r>
      <w:r w:rsidR="000A3156" w:rsidRPr="00CB28F5">
        <w:rPr>
          <w:rFonts w:ascii="Times New Roman" w:hAnsi="Times New Roman" w:cs="Times New Roman"/>
        </w:rPr>
        <w:t xml:space="preserve"> by the C</w:t>
      </w:r>
      <w:r w:rsidR="005B203C" w:rsidRPr="00CB28F5">
        <w:rPr>
          <w:rFonts w:ascii="Times New Roman" w:hAnsi="Times New Roman" w:cs="Times New Roman"/>
        </w:rPr>
        <w:t>ompanies</w:t>
      </w:r>
      <w:r w:rsidR="000A3156" w:rsidRPr="00CB28F5">
        <w:rPr>
          <w:rFonts w:ascii="Times New Roman" w:hAnsi="Times New Roman" w:cs="Times New Roman"/>
        </w:rPr>
        <w:t xml:space="preserve"> </w:t>
      </w:r>
      <w:r w:rsidR="005B203C" w:rsidRPr="00CB28F5">
        <w:rPr>
          <w:rFonts w:ascii="Times New Roman" w:hAnsi="Times New Roman" w:cs="Times New Roman"/>
        </w:rPr>
        <w:t xml:space="preserve">conformed </w:t>
      </w:r>
      <w:r w:rsidR="003942E2" w:rsidRPr="00CB28F5">
        <w:rPr>
          <w:rFonts w:ascii="Times New Roman" w:hAnsi="Times New Roman" w:cs="Times New Roman"/>
        </w:rPr>
        <w:t>to</w:t>
      </w:r>
      <w:r w:rsidR="001778F6" w:rsidRPr="00CB28F5">
        <w:rPr>
          <w:rFonts w:ascii="Times New Roman" w:hAnsi="Times New Roman" w:cs="Times New Roman"/>
        </w:rPr>
        <w:t xml:space="preserve"> </w:t>
      </w:r>
      <w:r w:rsidR="005B203C" w:rsidRPr="00CB28F5">
        <w:rPr>
          <w:rFonts w:ascii="Times New Roman" w:hAnsi="Times New Roman" w:cs="Times New Roman"/>
        </w:rPr>
        <w:t>the</w:t>
      </w:r>
      <w:r w:rsidR="00B5284B" w:rsidRPr="00CB28F5">
        <w:rPr>
          <w:rFonts w:ascii="Times New Roman" w:hAnsi="Times New Roman" w:cs="Times New Roman"/>
        </w:rPr>
        <w:t>ir</w:t>
      </w:r>
      <w:r w:rsidR="005B203C" w:rsidRPr="00CB28F5">
        <w:rPr>
          <w:rFonts w:ascii="Times New Roman" w:hAnsi="Times New Roman" w:cs="Times New Roman"/>
        </w:rPr>
        <w:t xml:space="preserve"> internal procurement </w:t>
      </w:r>
      <w:r w:rsidR="001778F6" w:rsidRPr="00CB28F5">
        <w:rPr>
          <w:rFonts w:ascii="Times New Roman" w:hAnsi="Times New Roman" w:cs="Times New Roman"/>
        </w:rPr>
        <w:t>policies</w:t>
      </w:r>
      <w:r w:rsidR="005B203C" w:rsidRPr="00CB28F5">
        <w:rPr>
          <w:rFonts w:ascii="Times New Roman" w:hAnsi="Times New Roman" w:cs="Times New Roman"/>
        </w:rPr>
        <w:t>.</w:t>
      </w:r>
      <w:r w:rsidR="001778F6" w:rsidRPr="00CB28F5">
        <w:rPr>
          <w:rFonts w:ascii="Times New Roman" w:hAnsi="Times New Roman" w:cs="Times New Roman"/>
        </w:rPr>
        <w:t xml:space="preserve"> </w:t>
      </w:r>
      <w:r w:rsidR="005B203C" w:rsidRPr="00CB28F5">
        <w:rPr>
          <w:rFonts w:ascii="Times New Roman" w:hAnsi="Times New Roman" w:cs="Times New Roman"/>
        </w:rPr>
        <w:t>Consequently, the</w:t>
      </w:r>
      <w:r w:rsidR="001778F6" w:rsidRPr="00CB28F5">
        <w:rPr>
          <w:rFonts w:ascii="Times New Roman" w:hAnsi="Times New Roman" w:cs="Times New Roman"/>
        </w:rPr>
        <w:t xml:space="preserve"> recovery of hedging costs </w:t>
      </w:r>
      <w:r w:rsidR="005B203C" w:rsidRPr="00CB28F5">
        <w:rPr>
          <w:rFonts w:ascii="Times New Roman" w:hAnsi="Times New Roman" w:cs="Times New Roman"/>
        </w:rPr>
        <w:t xml:space="preserve">presented in the November 2012 </w:t>
      </w:r>
      <w:r w:rsidR="00334581" w:rsidRPr="00CB28F5">
        <w:rPr>
          <w:rFonts w:ascii="Times New Roman" w:hAnsi="Times New Roman" w:cs="Times New Roman"/>
        </w:rPr>
        <w:t>Filings</w:t>
      </w:r>
      <w:r w:rsidR="001778F6" w:rsidRPr="00CB28F5">
        <w:rPr>
          <w:rFonts w:ascii="Times New Roman" w:hAnsi="Times New Roman" w:cs="Times New Roman"/>
        </w:rPr>
        <w:t xml:space="preserve"> </w:t>
      </w:r>
      <w:r w:rsidR="005B203C" w:rsidRPr="00CB28F5">
        <w:rPr>
          <w:rFonts w:ascii="Times New Roman" w:hAnsi="Times New Roman" w:cs="Times New Roman"/>
        </w:rPr>
        <w:t>were</w:t>
      </w:r>
      <w:r w:rsidR="001778F6" w:rsidRPr="00CB28F5">
        <w:rPr>
          <w:rFonts w:ascii="Times New Roman" w:hAnsi="Times New Roman" w:cs="Times New Roman"/>
        </w:rPr>
        <w:t xml:space="preserve"> consistent with annual filings </w:t>
      </w:r>
      <w:r w:rsidR="005B203C" w:rsidRPr="00CB28F5">
        <w:rPr>
          <w:rFonts w:ascii="Times New Roman" w:hAnsi="Times New Roman" w:cs="Times New Roman"/>
        </w:rPr>
        <w:t xml:space="preserve">previously accepted by </w:t>
      </w:r>
      <w:r w:rsidR="001778F6" w:rsidRPr="00CB28F5">
        <w:rPr>
          <w:rFonts w:ascii="Times New Roman" w:hAnsi="Times New Roman" w:cs="Times New Roman"/>
        </w:rPr>
        <w:t>the Commission</w:t>
      </w:r>
      <w:r w:rsidR="002A1DE9" w:rsidRPr="00CB28F5">
        <w:rPr>
          <w:rFonts w:ascii="Times New Roman" w:hAnsi="Times New Roman" w:cs="Times New Roman"/>
        </w:rPr>
        <w:t xml:space="preserve">. </w:t>
      </w:r>
      <w:r w:rsidR="001778F6" w:rsidRPr="00CB28F5">
        <w:rPr>
          <w:rFonts w:ascii="Times New Roman" w:hAnsi="Times New Roman" w:cs="Times New Roman"/>
        </w:rPr>
        <w:t xml:space="preserve">Staff </w:t>
      </w:r>
      <w:r w:rsidR="0003527F" w:rsidRPr="00CB28F5">
        <w:rPr>
          <w:rFonts w:ascii="Times New Roman" w:hAnsi="Times New Roman" w:cs="Times New Roman"/>
        </w:rPr>
        <w:t xml:space="preserve">therefore </w:t>
      </w:r>
      <w:r w:rsidR="001778F6" w:rsidRPr="00CB28F5">
        <w:rPr>
          <w:rFonts w:ascii="Times New Roman" w:hAnsi="Times New Roman" w:cs="Times New Roman"/>
        </w:rPr>
        <w:t xml:space="preserve">recommended that the Commission enter an Order </w:t>
      </w:r>
      <w:r w:rsidR="00334581" w:rsidRPr="00CB28F5">
        <w:rPr>
          <w:rFonts w:ascii="Times New Roman" w:hAnsi="Times New Roman" w:cs="Times New Roman"/>
        </w:rPr>
        <w:t>D</w:t>
      </w:r>
      <w:r w:rsidR="001778F6" w:rsidRPr="00CB28F5">
        <w:rPr>
          <w:rFonts w:ascii="Times New Roman" w:hAnsi="Times New Roman" w:cs="Times New Roman"/>
        </w:rPr>
        <w:t>ismissing the Complaint and Order Suspending Tariff Revisions</w:t>
      </w:r>
      <w:r w:rsidR="006F469D" w:rsidRPr="00CB28F5">
        <w:rPr>
          <w:rFonts w:ascii="Times New Roman" w:hAnsi="Times New Roman" w:cs="Times New Roman"/>
        </w:rPr>
        <w:t>, and allow the tariff revisions in all dockets to become effective on a permanent basis</w:t>
      </w:r>
      <w:r w:rsidR="001778F6" w:rsidRPr="00CB28F5">
        <w:rPr>
          <w:rFonts w:ascii="Times New Roman" w:hAnsi="Times New Roman" w:cs="Times New Roman"/>
        </w:rPr>
        <w:t>.</w:t>
      </w:r>
      <w:r w:rsidR="002A1DE9" w:rsidRPr="00CB28F5">
        <w:rPr>
          <w:rFonts w:ascii="Times New Roman" w:hAnsi="Times New Roman" w:cs="Times New Roman"/>
        </w:rPr>
        <w:t xml:space="preserve"> </w:t>
      </w:r>
      <w:r w:rsidR="001778F6" w:rsidRPr="00CB28F5">
        <w:rPr>
          <w:rFonts w:ascii="Times New Roman" w:hAnsi="Times New Roman" w:cs="Times New Roman"/>
        </w:rPr>
        <w:t>However, Staff also recommended that the Commission initiate separate proceedings to examine broadly, on a forward-looking basis, the natural gas hedging practices and policies of all natural gas companies</w:t>
      </w:r>
      <w:r w:rsidR="006F469D" w:rsidRPr="00CB28F5">
        <w:rPr>
          <w:rFonts w:ascii="Times New Roman" w:hAnsi="Times New Roman" w:cs="Times New Roman"/>
        </w:rPr>
        <w:t xml:space="preserve"> </w:t>
      </w:r>
      <w:r w:rsidR="00B5284B" w:rsidRPr="00CB28F5">
        <w:rPr>
          <w:rFonts w:ascii="Times New Roman" w:hAnsi="Times New Roman" w:cs="Times New Roman"/>
        </w:rPr>
        <w:t>the</w:t>
      </w:r>
      <w:r w:rsidR="006F469D" w:rsidRPr="00CB28F5">
        <w:rPr>
          <w:rFonts w:ascii="Times New Roman" w:hAnsi="Times New Roman" w:cs="Times New Roman"/>
        </w:rPr>
        <w:t xml:space="preserve"> Commission</w:t>
      </w:r>
      <w:r w:rsidR="00B5284B" w:rsidRPr="00CB28F5">
        <w:rPr>
          <w:rFonts w:ascii="Times New Roman" w:hAnsi="Times New Roman" w:cs="Times New Roman"/>
        </w:rPr>
        <w:t xml:space="preserve"> regulates</w:t>
      </w:r>
      <w:r w:rsidR="001778F6" w:rsidRPr="00CB28F5">
        <w:rPr>
          <w:rFonts w:ascii="Times New Roman" w:hAnsi="Times New Roman" w:cs="Times New Roman"/>
        </w:rPr>
        <w:t>.</w:t>
      </w:r>
    </w:p>
    <w:p w14:paraId="31A768C6" w14:textId="3C9B42A2" w:rsidR="007D14A1" w:rsidRPr="00CB28F5" w:rsidRDefault="007D14A1" w:rsidP="002D4F6E">
      <w:pPr>
        <w:pStyle w:val="ListParagraph"/>
        <w:numPr>
          <w:ilvl w:val="0"/>
          <w:numId w:val="18"/>
        </w:numPr>
        <w:spacing w:after="240" w:line="288" w:lineRule="auto"/>
        <w:ind w:left="0" w:hanging="720"/>
        <w:contextualSpacing w:val="0"/>
        <w:rPr>
          <w:rFonts w:ascii="Times New Roman" w:hAnsi="Times New Roman" w:cs="Times New Roman"/>
        </w:rPr>
      </w:pPr>
      <w:r w:rsidRPr="00CB28F5">
        <w:rPr>
          <w:rFonts w:ascii="Times New Roman" w:hAnsi="Times New Roman" w:cs="Times New Roman"/>
        </w:rPr>
        <w:t xml:space="preserve">The Public Counsel Section of the Office of the Washington Attorney General (Public Counsel), an active participant throughout </w:t>
      </w:r>
      <w:r w:rsidR="00316272" w:rsidRPr="00CB28F5">
        <w:rPr>
          <w:rFonts w:ascii="Times New Roman" w:hAnsi="Times New Roman" w:cs="Times New Roman"/>
        </w:rPr>
        <w:t>this process, agreed that the Commission should initiate a forward-looking examination of hedging practices, but objected to Staff</w:t>
      </w:r>
      <w:r w:rsidR="00D00230" w:rsidRPr="00CB28F5">
        <w:rPr>
          <w:rFonts w:ascii="Times New Roman" w:hAnsi="Times New Roman" w:cs="Times New Roman"/>
        </w:rPr>
        <w:t>’s recommendation to dismi</w:t>
      </w:r>
      <w:r w:rsidR="00316272" w:rsidRPr="00CB28F5">
        <w:rPr>
          <w:rFonts w:ascii="Times New Roman" w:hAnsi="Times New Roman" w:cs="Times New Roman"/>
        </w:rPr>
        <w:t xml:space="preserve">ss the complaints. Instead, Public Counsel recommended the </w:t>
      </w:r>
      <w:r w:rsidR="00316272" w:rsidRPr="006C58BA">
        <w:rPr>
          <w:rFonts w:ascii="Times New Roman" w:hAnsi="Times New Roman" w:cs="Times New Roman"/>
        </w:rPr>
        <w:t>Commission</w:t>
      </w:r>
      <w:r w:rsidR="00316272" w:rsidRPr="00CB28F5">
        <w:rPr>
          <w:rFonts w:ascii="Times New Roman" w:hAnsi="Times New Roman" w:cs="Times New Roman"/>
        </w:rPr>
        <w:t xml:space="preserve"> impose a moratorium on hedging pending the outcome of a formal adjudicative proceeding to determine whether the Commission should disallow a portion of each Company’s purchased gas costs during the 2012 PGA cycle.</w:t>
      </w:r>
    </w:p>
    <w:p w14:paraId="4C56EF81" w14:textId="317609A7" w:rsidR="00316272" w:rsidRPr="00CB28F5" w:rsidRDefault="00316272" w:rsidP="002D4F6E">
      <w:pPr>
        <w:pStyle w:val="ListParagraph"/>
        <w:numPr>
          <w:ilvl w:val="0"/>
          <w:numId w:val="18"/>
        </w:numPr>
        <w:spacing w:after="240" w:line="288" w:lineRule="auto"/>
        <w:ind w:left="0" w:hanging="720"/>
        <w:contextualSpacing w:val="0"/>
        <w:rPr>
          <w:rFonts w:ascii="Times New Roman" w:hAnsi="Times New Roman" w:cs="Times New Roman"/>
        </w:rPr>
      </w:pPr>
      <w:r w:rsidRPr="00CB28F5">
        <w:rPr>
          <w:rFonts w:ascii="Times New Roman" w:hAnsi="Times New Roman" w:cs="Times New Roman"/>
        </w:rPr>
        <w:t xml:space="preserve">Following further discussion </w:t>
      </w:r>
      <w:r w:rsidR="00B5284B" w:rsidRPr="00CB28F5">
        <w:rPr>
          <w:rFonts w:ascii="Times New Roman" w:hAnsi="Times New Roman" w:cs="Times New Roman"/>
        </w:rPr>
        <w:t>with</w:t>
      </w:r>
      <w:r w:rsidRPr="00CB28F5">
        <w:rPr>
          <w:rFonts w:ascii="Times New Roman" w:hAnsi="Times New Roman" w:cs="Times New Roman"/>
        </w:rPr>
        <w:t xml:space="preserve"> Staff, Public Counsel, and representatives from the utility </w:t>
      </w:r>
      <w:r w:rsidRPr="006C58BA">
        <w:rPr>
          <w:rFonts w:ascii="Times New Roman" w:hAnsi="Times New Roman" w:cs="Times New Roman"/>
        </w:rPr>
        <w:t>companies</w:t>
      </w:r>
      <w:r w:rsidRPr="00CB28F5">
        <w:rPr>
          <w:rFonts w:ascii="Times New Roman" w:hAnsi="Times New Roman" w:cs="Times New Roman"/>
        </w:rPr>
        <w:t xml:space="preserve"> during the </w:t>
      </w:r>
      <w:r w:rsidR="00AF766B" w:rsidRPr="00CB28F5">
        <w:rPr>
          <w:rFonts w:ascii="Times New Roman" w:hAnsi="Times New Roman" w:cs="Times New Roman"/>
        </w:rPr>
        <w:t xml:space="preserve">Commission’s regularly scheduled open meeting on </w:t>
      </w:r>
      <w:r w:rsidRPr="00CB28F5">
        <w:rPr>
          <w:rFonts w:ascii="Times New Roman" w:hAnsi="Times New Roman" w:cs="Times New Roman"/>
        </w:rPr>
        <w:t>March 22, 2012</w:t>
      </w:r>
      <w:r w:rsidR="00AF766B" w:rsidRPr="00CB28F5">
        <w:rPr>
          <w:rFonts w:ascii="Times New Roman" w:hAnsi="Times New Roman" w:cs="Times New Roman"/>
        </w:rPr>
        <w:t>,</w:t>
      </w:r>
      <w:r w:rsidRPr="00CB28F5">
        <w:rPr>
          <w:rFonts w:ascii="Times New Roman" w:hAnsi="Times New Roman" w:cs="Times New Roman"/>
        </w:rPr>
        <w:t xml:space="preserve"> the Commission deferred </w:t>
      </w:r>
      <w:r w:rsidR="00AF766B" w:rsidRPr="00CB28F5">
        <w:rPr>
          <w:rFonts w:ascii="Times New Roman" w:hAnsi="Times New Roman" w:cs="Times New Roman"/>
        </w:rPr>
        <w:t>its</w:t>
      </w:r>
      <w:r w:rsidRPr="00CB28F5">
        <w:rPr>
          <w:rFonts w:ascii="Times New Roman" w:hAnsi="Times New Roman" w:cs="Times New Roman"/>
        </w:rPr>
        <w:t xml:space="preserve"> decision and requested the parties review additional information that would help determine whether an adjudicative proceeding was required. </w:t>
      </w:r>
    </w:p>
    <w:p w14:paraId="734C1A21" w14:textId="719BC226" w:rsidR="008B01B5" w:rsidRPr="00CB28F5" w:rsidRDefault="008B01B5" w:rsidP="002D4F6E">
      <w:pPr>
        <w:pStyle w:val="ListParagraph"/>
        <w:numPr>
          <w:ilvl w:val="0"/>
          <w:numId w:val="18"/>
        </w:numPr>
        <w:spacing w:after="240" w:line="288" w:lineRule="auto"/>
        <w:ind w:left="0" w:hanging="720"/>
        <w:contextualSpacing w:val="0"/>
        <w:rPr>
          <w:rFonts w:ascii="Times New Roman" w:hAnsi="Times New Roman" w:cs="Times New Roman"/>
        </w:rPr>
      </w:pPr>
      <w:r w:rsidRPr="00CB28F5">
        <w:rPr>
          <w:rFonts w:ascii="Times New Roman" w:hAnsi="Times New Roman" w:cs="Times New Roman"/>
        </w:rPr>
        <w:t xml:space="preserve">At </w:t>
      </w:r>
      <w:r w:rsidR="00AF766B" w:rsidRPr="00CB28F5">
        <w:rPr>
          <w:rFonts w:ascii="Times New Roman" w:hAnsi="Times New Roman" w:cs="Times New Roman"/>
        </w:rPr>
        <w:t xml:space="preserve">the Commission’s </w:t>
      </w:r>
      <w:r w:rsidRPr="006C58BA">
        <w:rPr>
          <w:rFonts w:ascii="Times New Roman" w:hAnsi="Times New Roman" w:cs="Times New Roman"/>
        </w:rPr>
        <w:t>recessed</w:t>
      </w:r>
      <w:r w:rsidRPr="00CB28F5">
        <w:rPr>
          <w:rFonts w:ascii="Times New Roman" w:hAnsi="Times New Roman" w:cs="Times New Roman"/>
        </w:rPr>
        <w:t xml:space="preserve"> </w:t>
      </w:r>
      <w:r w:rsidR="00AF766B" w:rsidRPr="00CB28F5">
        <w:rPr>
          <w:rFonts w:ascii="Times New Roman" w:hAnsi="Times New Roman" w:cs="Times New Roman"/>
        </w:rPr>
        <w:t>o</w:t>
      </w:r>
      <w:r w:rsidRPr="00CB28F5">
        <w:rPr>
          <w:rFonts w:ascii="Times New Roman" w:hAnsi="Times New Roman" w:cs="Times New Roman"/>
        </w:rPr>
        <w:t xml:space="preserve">pen </w:t>
      </w:r>
      <w:r w:rsidR="00AF766B" w:rsidRPr="00CB28F5">
        <w:rPr>
          <w:rFonts w:ascii="Times New Roman" w:hAnsi="Times New Roman" w:cs="Times New Roman"/>
        </w:rPr>
        <w:t>m</w:t>
      </w:r>
      <w:r w:rsidRPr="00CB28F5">
        <w:rPr>
          <w:rFonts w:ascii="Times New Roman" w:hAnsi="Times New Roman" w:cs="Times New Roman"/>
        </w:rPr>
        <w:t xml:space="preserve">eeting on April 5, 2013, Staff presented the results of its </w:t>
      </w:r>
      <w:r w:rsidR="00AF766B" w:rsidRPr="00CB28F5">
        <w:rPr>
          <w:rFonts w:ascii="Times New Roman" w:hAnsi="Times New Roman" w:cs="Times New Roman"/>
        </w:rPr>
        <w:t xml:space="preserve">additional </w:t>
      </w:r>
      <w:r w:rsidRPr="00CB28F5">
        <w:rPr>
          <w:rFonts w:ascii="Times New Roman" w:hAnsi="Times New Roman" w:cs="Times New Roman"/>
        </w:rPr>
        <w:t xml:space="preserve">investigation. Based on its review of </w:t>
      </w:r>
      <w:r w:rsidR="00AF766B" w:rsidRPr="00CB28F5">
        <w:rPr>
          <w:rFonts w:ascii="Times New Roman" w:hAnsi="Times New Roman" w:cs="Times New Roman"/>
        </w:rPr>
        <w:t xml:space="preserve">voluminous </w:t>
      </w:r>
      <w:r w:rsidR="00DA0F41" w:rsidRPr="00CB28F5">
        <w:rPr>
          <w:rFonts w:ascii="Times New Roman" w:hAnsi="Times New Roman" w:cs="Times New Roman"/>
        </w:rPr>
        <w:t>documents, Staff continued to recommend that the Commission dismiss the complaints and initiate a generic proceeding to address hedging practices</w:t>
      </w:r>
      <w:r w:rsidR="000618EC" w:rsidRPr="00CB28F5">
        <w:rPr>
          <w:rFonts w:ascii="Times New Roman" w:hAnsi="Times New Roman" w:cs="Times New Roman"/>
        </w:rPr>
        <w:t xml:space="preserve">. </w:t>
      </w:r>
      <w:r w:rsidR="00DA0F41" w:rsidRPr="00CB28F5">
        <w:rPr>
          <w:rFonts w:ascii="Times New Roman" w:hAnsi="Times New Roman" w:cs="Times New Roman"/>
        </w:rPr>
        <w:t xml:space="preserve">Public Counsel </w:t>
      </w:r>
      <w:r w:rsidR="00AF766B" w:rsidRPr="00CB28F5">
        <w:rPr>
          <w:rFonts w:ascii="Times New Roman" w:hAnsi="Times New Roman" w:cs="Times New Roman"/>
        </w:rPr>
        <w:t xml:space="preserve">retreated from its proposed moratorium on hedging but </w:t>
      </w:r>
      <w:r w:rsidR="00DA0F41" w:rsidRPr="00CB28F5">
        <w:rPr>
          <w:rFonts w:ascii="Times New Roman" w:hAnsi="Times New Roman" w:cs="Times New Roman"/>
        </w:rPr>
        <w:t>maintained its preference for the Commission to consider disallowances for all four natural gas companies.</w:t>
      </w:r>
      <w:r w:rsidR="00DA0F41" w:rsidRPr="00CB28F5">
        <w:rPr>
          <w:rStyle w:val="FootnoteReference"/>
          <w:rFonts w:ascii="Times New Roman" w:hAnsi="Times New Roman" w:cs="Times New Roman"/>
        </w:rPr>
        <w:footnoteReference w:id="20"/>
      </w:r>
      <w:r w:rsidR="000031E4" w:rsidRPr="00CB28F5">
        <w:rPr>
          <w:rFonts w:ascii="Times New Roman" w:hAnsi="Times New Roman" w:cs="Times New Roman"/>
        </w:rPr>
        <w:t xml:space="preserve"> The Northwest Industrial Gas Users</w:t>
      </w:r>
      <w:r w:rsidR="00D049F2" w:rsidRPr="00C113C6">
        <w:rPr>
          <w:rFonts w:ascii="Times New Roman" w:hAnsi="Times New Roman" w:cs="Times New Roman"/>
        </w:rPr>
        <w:t xml:space="preserve"> (</w:t>
      </w:r>
      <w:proofErr w:type="spellStart"/>
      <w:r w:rsidR="00D049F2" w:rsidRPr="00C113C6">
        <w:rPr>
          <w:rFonts w:ascii="Times New Roman" w:hAnsi="Times New Roman" w:cs="Times New Roman"/>
        </w:rPr>
        <w:t>NWIGU</w:t>
      </w:r>
      <w:proofErr w:type="spellEnd"/>
      <w:r w:rsidR="00D049F2" w:rsidRPr="00C113C6">
        <w:rPr>
          <w:rFonts w:ascii="Times New Roman" w:hAnsi="Times New Roman" w:cs="Times New Roman"/>
        </w:rPr>
        <w:t>)</w:t>
      </w:r>
      <w:r w:rsidR="000031E4" w:rsidRPr="00CB28F5">
        <w:rPr>
          <w:rFonts w:ascii="Times New Roman" w:hAnsi="Times New Roman" w:cs="Times New Roman"/>
        </w:rPr>
        <w:t xml:space="preserve"> supported Public Counsel’s recommendation.</w:t>
      </w:r>
    </w:p>
    <w:p w14:paraId="0D7B74A5" w14:textId="14047867" w:rsidR="001778F6" w:rsidRPr="00CB28F5" w:rsidRDefault="00573FC2" w:rsidP="002D4F6E">
      <w:pPr>
        <w:pStyle w:val="ListParagraph"/>
        <w:numPr>
          <w:ilvl w:val="0"/>
          <w:numId w:val="18"/>
        </w:numPr>
        <w:spacing w:after="240" w:line="288" w:lineRule="auto"/>
        <w:ind w:left="0" w:hanging="720"/>
        <w:contextualSpacing w:val="0"/>
        <w:rPr>
          <w:rFonts w:ascii="Times New Roman" w:hAnsi="Times New Roman" w:cs="Times New Roman"/>
        </w:rPr>
      </w:pPr>
      <w:r w:rsidRPr="00CB28F5">
        <w:rPr>
          <w:rFonts w:ascii="Times New Roman" w:hAnsi="Times New Roman" w:cs="Times New Roman"/>
        </w:rPr>
        <w:lastRenderedPageBreak/>
        <w:t xml:space="preserve">The Commission accepted the results of Staff’s investigation and agreed that a forward-looking examination of hedging policies and practices would be more productive than continuing to investigate past Company practices. Accordingly, on May 1, 2013, the Commission issued </w:t>
      </w:r>
      <w:r w:rsidR="001778F6" w:rsidRPr="00CB28F5">
        <w:rPr>
          <w:rFonts w:ascii="Times New Roman" w:hAnsi="Times New Roman" w:cs="Times New Roman"/>
        </w:rPr>
        <w:t xml:space="preserve">Order 02 </w:t>
      </w:r>
      <w:r w:rsidR="00662AE2" w:rsidRPr="00CB28F5">
        <w:rPr>
          <w:rFonts w:ascii="Times New Roman" w:hAnsi="Times New Roman" w:cs="Times New Roman"/>
        </w:rPr>
        <w:t xml:space="preserve">in </w:t>
      </w:r>
      <w:r w:rsidR="0099354F" w:rsidRPr="00CB28F5">
        <w:rPr>
          <w:rFonts w:ascii="Times New Roman" w:hAnsi="Times New Roman" w:cs="Times New Roman"/>
        </w:rPr>
        <w:t xml:space="preserve">each of the 2012 PGA </w:t>
      </w:r>
      <w:r w:rsidR="00334581" w:rsidRPr="00CB28F5">
        <w:rPr>
          <w:rFonts w:ascii="Times New Roman" w:hAnsi="Times New Roman" w:cs="Times New Roman"/>
        </w:rPr>
        <w:t xml:space="preserve">Filing </w:t>
      </w:r>
      <w:r w:rsidR="0099354F" w:rsidRPr="00CB28F5">
        <w:rPr>
          <w:rFonts w:ascii="Times New Roman" w:hAnsi="Times New Roman" w:cs="Times New Roman"/>
        </w:rPr>
        <w:t>dockets</w:t>
      </w:r>
      <w:r w:rsidR="001778F6" w:rsidRPr="00CB28F5">
        <w:rPr>
          <w:rFonts w:ascii="Times New Roman" w:hAnsi="Times New Roman" w:cs="Times New Roman"/>
        </w:rPr>
        <w:t>, dismiss</w:t>
      </w:r>
      <w:r w:rsidRPr="00CB28F5">
        <w:rPr>
          <w:rFonts w:ascii="Times New Roman" w:hAnsi="Times New Roman" w:cs="Times New Roman"/>
        </w:rPr>
        <w:t>ing</w:t>
      </w:r>
      <w:r w:rsidR="001778F6" w:rsidRPr="00CB28F5">
        <w:rPr>
          <w:rFonts w:ascii="Times New Roman" w:hAnsi="Times New Roman" w:cs="Times New Roman"/>
        </w:rPr>
        <w:t xml:space="preserve"> the </w:t>
      </w:r>
      <w:r w:rsidRPr="00CB28F5">
        <w:rPr>
          <w:rFonts w:ascii="Times New Roman" w:hAnsi="Times New Roman" w:cs="Times New Roman"/>
        </w:rPr>
        <w:t xml:space="preserve">complaints </w:t>
      </w:r>
      <w:r w:rsidR="001778F6" w:rsidRPr="00CB28F5">
        <w:rPr>
          <w:rFonts w:ascii="Times New Roman" w:hAnsi="Times New Roman" w:cs="Times New Roman"/>
        </w:rPr>
        <w:t>and stat</w:t>
      </w:r>
      <w:r w:rsidR="00662AE2" w:rsidRPr="00CB28F5">
        <w:rPr>
          <w:rFonts w:ascii="Times New Roman" w:hAnsi="Times New Roman" w:cs="Times New Roman"/>
        </w:rPr>
        <w:t>ing</w:t>
      </w:r>
      <w:r w:rsidR="001778F6" w:rsidRPr="00CB28F5">
        <w:rPr>
          <w:rFonts w:ascii="Times New Roman" w:hAnsi="Times New Roman" w:cs="Times New Roman"/>
        </w:rPr>
        <w:t xml:space="preserve"> its intention to initiate a generic proceeding on gas utility hedging practices. </w:t>
      </w:r>
    </w:p>
    <w:p w14:paraId="08C2B019" w14:textId="528C6DBF" w:rsidR="00837470" w:rsidRPr="00AA5308" w:rsidRDefault="00837470" w:rsidP="00415865">
      <w:pPr>
        <w:pStyle w:val="Heading2"/>
        <w:numPr>
          <w:ilvl w:val="0"/>
          <w:numId w:val="14"/>
        </w:numPr>
        <w:ind w:left="720"/>
        <w:rPr>
          <w:rFonts w:cs="Times New Roman"/>
          <w:sz w:val="24"/>
          <w:szCs w:val="24"/>
        </w:rPr>
      </w:pPr>
      <w:bookmarkStart w:id="11" w:name="_Toc473903204"/>
      <w:r w:rsidRPr="00AA5308">
        <w:rPr>
          <w:rFonts w:cs="Times New Roman"/>
          <w:sz w:val="24"/>
          <w:szCs w:val="24"/>
        </w:rPr>
        <w:t>Current Investigation, Docket UG-132019</w:t>
      </w:r>
      <w:bookmarkEnd w:id="11"/>
    </w:p>
    <w:p w14:paraId="16B52B21" w14:textId="0A28BA8D" w:rsidR="009A16C1" w:rsidRPr="00CB28F5" w:rsidRDefault="00837470" w:rsidP="002D4F6E">
      <w:pPr>
        <w:pStyle w:val="ListParagraph"/>
        <w:numPr>
          <w:ilvl w:val="0"/>
          <w:numId w:val="18"/>
        </w:numPr>
        <w:spacing w:after="240" w:line="288" w:lineRule="auto"/>
        <w:ind w:left="0" w:hanging="720"/>
        <w:contextualSpacing w:val="0"/>
        <w:rPr>
          <w:rFonts w:ascii="Times New Roman" w:hAnsi="Times New Roman" w:cs="Times New Roman"/>
        </w:rPr>
      </w:pPr>
      <w:r w:rsidRPr="00CB28F5">
        <w:rPr>
          <w:rFonts w:ascii="Times New Roman" w:hAnsi="Times New Roman" w:cs="Times New Roman"/>
        </w:rPr>
        <w:t xml:space="preserve">On October 30, 2013, </w:t>
      </w:r>
      <w:r w:rsidR="005E635C" w:rsidRPr="00CB28F5">
        <w:rPr>
          <w:rFonts w:ascii="Times New Roman" w:hAnsi="Times New Roman" w:cs="Times New Roman"/>
        </w:rPr>
        <w:t xml:space="preserve">the </w:t>
      </w:r>
      <w:r w:rsidRPr="00C113C6">
        <w:rPr>
          <w:rFonts w:ascii="Times New Roman" w:hAnsi="Times New Roman" w:cs="Times New Roman"/>
        </w:rPr>
        <w:t xml:space="preserve">Commission </w:t>
      </w:r>
      <w:r w:rsidR="005E635C" w:rsidRPr="00CB28F5">
        <w:rPr>
          <w:rFonts w:ascii="Times New Roman" w:hAnsi="Times New Roman" w:cs="Times New Roman"/>
        </w:rPr>
        <w:t xml:space="preserve">opened a Staff Investigation in this docket regarding policy issues related to </w:t>
      </w:r>
      <w:r w:rsidR="009D09A3" w:rsidRPr="00CB28F5">
        <w:rPr>
          <w:rFonts w:ascii="Times New Roman" w:hAnsi="Times New Roman" w:cs="Times New Roman"/>
        </w:rPr>
        <w:t>the</w:t>
      </w:r>
      <w:r w:rsidRPr="00CB28F5">
        <w:rPr>
          <w:rFonts w:ascii="Times New Roman" w:hAnsi="Times New Roman" w:cs="Times New Roman"/>
        </w:rPr>
        <w:t xml:space="preserve"> </w:t>
      </w:r>
      <w:r w:rsidR="00B1782B" w:rsidRPr="00CB28F5">
        <w:rPr>
          <w:rFonts w:ascii="Times New Roman" w:hAnsi="Times New Roman" w:cs="Times New Roman"/>
        </w:rPr>
        <w:t>C</w:t>
      </w:r>
      <w:r w:rsidRPr="00CB28F5">
        <w:rPr>
          <w:rFonts w:ascii="Times New Roman" w:hAnsi="Times New Roman" w:cs="Times New Roman"/>
        </w:rPr>
        <w:t>ompanies’ natural gas hedging practices</w:t>
      </w:r>
      <w:r w:rsidR="00D049F2" w:rsidRPr="00CB28F5">
        <w:rPr>
          <w:rFonts w:ascii="Times New Roman" w:hAnsi="Times New Roman" w:cs="Times New Roman"/>
        </w:rPr>
        <w:t xml:space="preserve"> and transaction reporting</w:t>
      </w:r>
      <w:r w:rsidR="00127657" w:rsidRPr="00CB28F5">
        <w:rPr>
          <w:rFonts w:ascii="Times New Roman" w:hAnsi="Times New Roman" w:cs="Times New Roman"/>
        </w:rPr>
        <w:t>. On December 18, 2013, the Commission</w:t>
      </w:r>
      <w:r w:rsidR="005E635C" w:rsidRPr="00CB28F5">
        <w:rPr>
          <w:rFonts w:ascii="Times New Roman" w:hAnsi="Times New Roman" w:cs="Times New Roman"/>
        </w:rPr>
        <w:t xml:space="preserve"> issued </w:t>
      </w:r>
      <w:r w:rsidR="00991E8E" w:rsidRPr="00CB28F5">
        <w:rPr>
          <w:rFonts w:ascii="Times New Roman" w:hAnsi="Times New Roman" w:cs="Times New Roman"/>
        </w:rPr>
        <w:t>a Notice</w:t>
      </w:r>
      <w:r w:rsidR="00475BA3" w:rsidRPr="00CB28F5">
        <w:rPr>
          <w:rFonts w:ascii="Times New Roman" w:hAnsi="Times New Roman" w:cs="Times New Roman"/>
        </w:rPr>
        <w:t xml:space="preserve"> of Opportunity to </w:t>
      </w:r>
      <w:r w:rsidR="000F406E" w:rsidRPr="00CB28F5">
        <w:rPr>
          <w:rFonts w:ascii="Times New Roman" w:hAnsi="Times New Roman" w:cs="Times New Roman"/>
        </w:rPr>
        <w:t>File Written Comments</w:t>
      </w:r>
      <w:r w:rsidR="00127657" w:rsidRPr="00CB28F5">
        <w:rPr>
          <w:rFonts w:ascii="Times New Roman" w:hAnsi="Times New Roman" w:cs="Times New Roman"/>
        </w:rPr>
        <w:t xml:space="preserve">, which </w:t>
      </w:r>
      <w:r w:rsidR="009B69BF" w:rsidRPr="00CB28F5">
        <w:rPr>
          <w:rFonts w:ascii="Times New Roman" w:hAnsi="Times New Roman" w:cs="Times New Roman"/>
        </w:rPr>
        <w:t xml:space="preserve">posed questions regarding </w:t>
      </w:r>
      <w:r w:rsidR="00FF63D2" w:rsidRPr="00CB28F5">
        <w:rPr>
          <w:rFonts w:ascii="Times New Roman" w:hAnsi="Times New Roman" w:cs="Times New Roman"/>
        </w:rPr>
        <w:t xml:space="preserve">the purpose and practice of hedging, </w:t>
      </w:r>
      <w:r w:rsidR="00127657" w:rsidRPr="00CB28F5">
        <w:rPr>
          <w:rFonts w:ascii="Times New Roman" w:hAnsi="Times New Roman" w:cs="Times New Roman"/>
        </w:rPr>
        <w:t>and</w:t>
      </w:r>
      <w:r w:rsidR="00FF63D2" w:rsidRPr="00CB28F5">
        <w:rPr>
          <w:rFonts w:ascii="Times New Roman" w:hAnsi="Times New Roman" w:cs="Times New Roman"/>
        </w:rPr>
        <w:t xml:space="preserve"> certain aspects of the PGA filing requirements </w:t>
      </w:r>
      <w:r w:rsidR="00127657" w:rsidRPr="00CB28F5">
        <w:rPr>
          <w:rFonts w:ascii="Times New Roman" w:hAnsi="Times New Roman" w:cs="Times New Roman"/>
        </w:rPr>
        <w:t>related</w:t>
      </w:r>
      <w:r w:rsidR="00FF63D2" w:rsidRPr="00CB28F5">
        <w:rPr>
          <w:rFonts w:ascii="Times New Roman" w:hAnsi="Times New Roman" w:cs="Times New Roman"/>
        </w:rPr>
        <w:t xml:space="preserve"> to hedging. On January 13, 2013, the Commission received written comments from </w:t>
      </w:r>
      <w:r w:rsidR="000F406E" w:rsidRPr="00CB28F5">
        <w:rPr>
          <w:rFonts w:ascii="Times New Roman" w:hAnsi="Times New Roman" w:cs="Times New Roman"/>
        </w:rPr>
        <w:t>eight parties.</w:t>
      </w:r>
      <w:r w:rsidR="00FF63D2" w:rsidRPr="00CB28F5">
        <w:rPr>
          <w:rStyle w:val="FootnoteReference"/>
          <w:rFonts w:ascii="Times New Roman" w:hAnsi="Times New Roman" w:cs="Times New Roman"/>
        </w:rPr>
        <w:footnoteReference w:id="21"/>
      </w:r>
      <w:r w:rsidR="00902625" w:rsidRPr="00CB28F5">
        <w:rPr>
          <w:rFonts w:ascii="Times New Roman" w:hAnsi="Times New Roman" w:cs="Times New Roman"/>
        </w:rPr>
        <w:t xml:space="preserve"> </w:t>
      </w:r>
    </w:p>
    <w:p w14:paraId="34B3C363" w14:textId="1069235E" w:rsidR="00902625" w:rsidRPr="00CB28F5" w:rsidRDefault="00902625" w:rsidP="002D4F6E">
      <w:pPr>
        <w:pStyle w:val="ListParagraph"/>
        <w:numPr>
          <w:ilvl w:val="0"/>
          <w:numId w:val="18"/>
        </w:numPr>
        <w:spacing w:after="240" w:line="288" w:lineRule="auto"/>
        <w:ind w:left="0" w:hanging="720"/>
        <w:contextualSpacing w:val="0"/>
        <w:rPr>
          <w:rFonts w:ascii="Times New Roman" w:hAnsi="Times New Roman" w:cs="Times New Roman"/>
        </w:rPr>
      </w:pPr>
      <w:r w:rsidRPr="00CB28F5">
        <w:rPr>
          <w:rFonts w:ascii="Times New Roman" w:hAnsi="Times New Roman" w:cs="Times New Roman"/>
        </w:rPr>
        <w:t xml:space="preserve">Commenters provided </w:t>
      </w:r>
      <w:r w:rsidR="00C956E1" w:rsidRPr="00CB28F5">
        <w:rPr>
          <w:rFonts w:ascii="Times New Roman" w:hAnsi="Times New Roman" w:cs="Times New Roman"/>
        </w:rPr>
        <w:t xml:space="preserve">substantial </w:t>
      </w:r>
      <w:r w:rsidRPr="00CB28F5">
        <w:rPr>
          <w:rFonts w:ascii="Times New Roman" w:hAnsi="Times New Roman" w:cs="Times New Roman"/>
        </w:rPr>
        <w:t xml:space="preserve">insight </w:t>
      </w:r>
      <w:r w:rsidR="00C06CB2" w:rsidRPr="00CB28F5">
        <w:rPr>
          <w:rFonts w:ascii="Times New Roman" w:hAnsi="Times New Roman" w:cs="Times New Roman"/>
        </w:rPr>
        <w:t xml:space="preserve">about </w:t>
      </w:r>
      <w:r w:rsidR="00C956E1" w:rsidRPr="00CB28F5">
        <w:rPr>
          <w:rFonts w:ascii="Times New Roman" w:hAnsi="Times New Roman" w:cs="Times New Roman"/>
        </w:rPr>
        <w:t xml:space="preserve">the purpose of hedging </w:t>
      </w:r>
      <w:r w:rsidR="00C06CB2" w:rsidRPr="00CB28F5">
        <w:rPr>
          <w:rFonts w:ascii="Times New Roman" w:hAnsi="Times New Roman" w:cs="Times New Roman"/>
        </w:rPr>
        <w:t>and proposed</w:t>
      </w:r>
      <w:r w:rsidR="009B5668" w:rsidRPr="00CB28F5">
        <w:rPr>
          <w:rFonts w:ascii="Times New Roman" w:hAnsi="Times New Roman" w:cs="Times New Roman"/>
        </w:rPr>
        <w:t xml:space="preserve"> reasonable </w:t>
      </w:r>
      <w:r w:rsidR="009B5668" w:rsidRPr="006C58BA">
        <w:rPr>
          <w:rFonts w:ascii="Times New Roman" w:hAnsi="Times New Roman" w:cs="Times New Roman"/>
        </w:rPr>
        <w:t>parameters</w:t>
      </w:r>
      <w:r w:rsidR="009B5668" w:rsidRPr="00CB28F5">
        <w:rPr>
          <w:rFonts w:ascii="Times New Roman" w:hAnsi="Times New Roman" w:cs="Times New Roman"/>
        </w:rPr>
        <w:t xml:space="preserve"> f</w:t>
      </w:r>
      <w:r w:rsidR="00C06CB2" w:rsidRPr="00CB28F5">
        <w:rPr>
          <w:rFonts w:ascii="Times New Roman" w:hAnsi="Times New Roman" w:cs="Times New Roman"/>
        </w:rPr>
        <w:t>or</w:t>
      </w:r>
      <w:r w:rsidR="009B5668" w:rsidRPr="00CB28F5">
        <w:rPr>
          <w:rFonts w:ascii="Times New Roman" w:hAnsi="Times New Roman" w:cs="Times New Roman"/>
        </w:rPr>
        <w:t xml:space="preserve"> hedgi</w:t>
      </w:r>
      <w:r w:rsidR="002C3E48" w:rsidRPr="00CB28F5">
        <w:rPr>
          <w:rFonts w:ascii="Times New Roman" w:hAnsi="Times New Roman" w:cs="Times New Roman"/>
        </w:rPr>
        <w:t>ng programs</w:t>
      </w:r>
      <w:r w:rsidR="009B5668" w:rsidRPr="00CB28F5">
        <w:rPr>
          <w:rFonts w:ascii="Times New Roman" w:hAnsi="Times New Roman" w:cs="Times New Roman"/>
        </w:rPr>
        <w:t>.</w:t>
      </w:r>
      <w:r w:rsidR="002C3E48" w:rsidRPr="00CB28F5">
        <w:rPr>
          <w:rFonts w:ascii="Times New Roman" w:hAnsi="Times New Roman" w:cs="Times New Roman"/>
        </w:rPr>
        <w:t xml:space="preserve"> Commenters </w:t>
      </w:r>
      <w:r w:rsidR="00540EB0" w:rsidRPr="00CB28F5">
        <w:rPr>
          <w:rFonts w:ascii="Times New Roman" w:hAnsi="Times New Roman" w:cs="Times New Roman"/>
        </w:rPr>
        <w:t xml:space="preserve">also </w:t>
      </w:r>
      <w:r w:rsidR="002C3E48" w:rsidRPr="00CB28F5">
        <w:rPr>
          <w:rFonts w:ascii="Times New Roman" w:hAnsi="Times New Roman" w:cs="Times New Roman"/>
        </w:rPr>
        <w:t xml:space="preserve">provided useful </w:t>
      </w:r>
      <w:r w:rsidR="002A3821" w:rsidRPr="00CB28F5">
        <w:rPr>
          <w:rFonts w:ascii="Times New Roman" w:hAnsi="Times New Roman" w:cs="Times New Roman"/>
        </w:rPr>
        <w:t xml:space="preserve">strategies for choosing </w:t>
      </w:r>
      <w:r w:rsidR="009A16C1" w:rsidRPr="00CB28F5">
        <w:rPr>
          <w:rFonts w:ascii="Times New Roman" w:hAnsi="Times New Roman" w:cs="Times New Roman"/>
        </w:rPr>
        <w:t xml:space="preserve">the </w:t>
      </w:r>
      <w:r w:rsidR="002A3821" w:rsidRPr="00CB28F5">
        <w:rPr>
          <w:rFonts w:ascii="Times New Roman" w:hAnsi="Times New Roman" w:cs="Times New Roman"/>
        </w:rPr>
        <w:t xml:space="preserve">percentage of load to hedge </w:t>
      </w:r>
      <w:r w:rsidR="0052751E" w:rsidRPr="00CB28F5">
        <w:rPr>
          <w:rFonts w:ascii="Times New Roman" w:hAnsi="Times New Roman" w:cs="Times New Roman"/>
        </w:rPr>
        <w:t>in addition to</w:t>
      </w:r>
      <w:r w:rsidR="002A3821" w:rsidRPr="00CB28F5">
        <w:rPr>
          <w:rFonts w:ascii="Times New Roman" w:hAnsi="Times New Roman" w:cs="Times New Roman"/>
        </w:rPr>
        <w:t xml:space="preserve"> </w:t>
      </w:r>
      <w:r w:rsidR="00540EB0" w:rsidRPr="00CB28F5">
        <w:rPr>
          <w:rFonts w:ascii="Times New Roman" w:hAnsi="Times New Roman" w:cs="Times New Roman"/>
        </w:rPr>
        <w:t>practical time horizons</w:t>
      </w:r>
      <w:r w:rsidR="002A3821" w:rsidRPr="00CB28F5">
        <w:rPr>
          <w:rFonts w:ascii="Times New Roman" w:hAnsi="Times New Roman" w:cs="Times New Roman"/>
        </w:rPr>
        <w:t xml:space="preserve"> for individual hedges.</w:t>
      </w:r>
      <w:r w:rsidR="00A04899" w:rsidRPr="00CB28F5">
        <w:rPr>
          <w:rFonts w:ascii="Times New Roman" w:hAnsi="Times New Roman" w:cs="Times New Roman"/>
        </w:rPr>
        <w:t xml:space="preserve"> </w:t>
      </w:r>
      <w:r w:rsidR="00307496" w:rsidRPr="00CB28F5">
        <w:rPr>
          <w:rFonts w:ascii="Times New Roman" w:hAnsi="Times New Roman" w:cs="Times New Roman"/>
        </w:rPr>
        <w:t xml:space="preserve">The responses </w:t>
      </w:r>
      <w:r w:rsidR="00A04899" w:rsidRPr="00CB28F5">
        <w:rPr>
          <w:rFonts w:ascii="Times New Roman" w:hAnsi="Times New Roman" w:cs="Times New Roman"/>
        </w:rPr>
        <w:t xml:space="preserve">generally </w:t>
      </w:r>
      <w:r w:rsidR="00EE438E" w:rsidRPr="00CB28F5">
        <w:rPr>
          <w:rFonts w:ascii="Times New Roman" w:hAnsi="Times New Roman" w:cs="Times New Roman"/>
        </w:rPr>
        <w:t>supported hedging as a means of gaining some protection from natural gas price volatility and upside price shock to ratepayers.</w:t>
      </w:r>
      <w:r w:rsidR="00FF3DAF" w:rsidRPr="00CB28F5">
        <w:rPr>
          <w:rFonts w:ascii="Times New Roman" w:hAnsi="Times New Roman" w:cs="Times New Roman"/>
        </w:rPr>
        <w:t xml:space="preserve"> Utility comments generally did not favor an overly prescriptive </w:t>
      </w:r>
      <w:r w:rsidR="00B1782B" w:rsidRPr="00CB28F5">
        <w:rPr>
          <w:rFonts w:ascii="Times New Roman" w:hAnsi="Times New Roman" w:cs="Times New Roman"/>
        </w:rPr>
        <w:t>C</w:t>
      </w:r>
      <w:r w:rsidR="00FF3DAF" w:rsidRPr="00CB28F5">
        <w:rPr>
          <w:rFonts w:ascii="Times New Roman" w:hAnsi="Times New Roman" w:cs="Times New Roman"/>
        </w:rPr>
        <w:t>ommission approach to hedging.</w:t>
      </w:r>
      <w:r w:rsidR="009A16C1" w:rsidRPr="00CB28F5">
        <w:rPr>
          <w:rFonts w:ascii="Times New Roman" w:hAnsi="Times New Roman" w:cs="Times New Roman"/>
        </w:rPr>
        <w:t xml:space="preserve"> All respondents supported establishing a uniform PGA reporting standard to streamline processes and facilitate Staff and stakeholder review.</w:t>
      </w:r>
      <w:r w:rsidR="009A16C1" w:rsidRPr="00CB28F5">
        <w:rPr>
          <w:rStyle w:val="FootnoteReference"/>
          <w:rFonts w:ascii="Times New Roman" w:hAnsi="Times New Roman" w:cs="Times New Roman"/>
        </w:rPr>
        <w:footnoteReference w:id="22"/>
      </w:r>
    </w:p>
    <w:p w14:paraId="776C2962" w14:textId="2D59C61A" w:rsidR="003A08F6" w:rsidRPr="00AA5308" w:rsidRDefault="00EE0593" w:rsidP="002D4F6E">
      <w:pPr>
        <w:pStyle w:val="ListParagraph"/>
        <w:numPr>
          <w:ilvl w:val="0"/>
          <w:numId w:val="18"/>
        </w:numPr>
        <w:spacing w:after="240" w:line="288" w:lineRule="auto"/>
        <w:ind w:left="0" w:hanging="720"/>
        <w:contextualSpacing w:val="0"/>
        <w:rPr>
          <w:rFonts w:ascii="Times New Roman" w:hAnsi="Times New Roman" w:cs="Times New Roman"/>
        </w:rPr>
      </w:pPr>
      <w:r w:rsidRPr="006C58BA">
        <w:rPr>
          <w:rFonts w:ascii="Times New Roman" w:hAnsi="Times New Roman" w:cs="Times New Roman"/>
        </w:rPr>
        <w:t>On January 23, 2014, the Commission hosted a workshop</w:t>
      </w:r>
      <w:r w:rsidR="004A01DF" w:rsidRPr="006C58BA">
        <w:rPr>
          <w:rFonts w:ascii="Times New Roman" w:hAnsi="Times New Roman" w:cs="Times New Roman"/>
        </w:rPr>
        <w:t xml:space="preserve"> to gather information regarding the developme</w:t>
      </w:r>
      <w:r w:rsidR="004A01DF" w:rsidRPr="00AA5308">
        <w:rPr>
          <w:rFonts w:ascii="Times New Roman" w:hAnsi="Times New Roman" w:cs="Times New Roman"/>
        </w:rPr>
        <w:t xml:space="preserve">nt of </w:t>
      </w:r>
      <w:r w:rsidR="00FB6624" w:rsidRPr="00AA5308">
        <w:rPr>
          <w:rFonts w:ascii="Times New Roman" w:hAnsi="Times New Roman" w:cs="Times New Roman"/>
        </w:rPr>
        <w:t xml:space="preserve">a </w:t>
      </w:r>
      <w:r w:rsidR="00C0055D" w:rsidRPr="00AA5308">
        <w:rPr>
          <w:rFonts w:ascii="Times New Roman" w:hAnsi="Times New Roman" w:cs="Times New Roman"/>
        </w:rPr>
        <w:t xml:space="preserve">possible </w:t>
      </w:r>
      <w:r w:rsidR="00FB6624" w:rsidRPr="00AA5308">
        <w:rPr>
          <w:rFonts w:ascii="Times New Roman" w:hAnsi="Times New Roman" w:cs="Times New Roman"/>
        </w:rPr>
        <w:t xml:space="preserve">policy framework for </w:t>
      </w:r>
      <w:r w:rsidR="00720D07" w:rsidRPr="00AA5308">
        <w:rPr>
          <w:rFonts w:ascii="Times New Roman" w:hAnsi="Times New Roman" w:cs="Times New Roman"/>
        </w:rPr>
        <w:t xml:space="preserve">utility hedging practices. </w:t>
      </w:r>
      <w:r w:rsidR="009B401F" w:rsidRPr="00AA5308">
        <w:rPr>
          <w:rFonts w:ascii="Times New Roman" w:hAnsi="Times New Roman" w:cs="Times New Roman"/>
        </w:rPr>
        <w:t>Thirteen interested parties representing nine organizations provided oral comments at the workshop.</w:t>
      </w:r>
      <w:r w:rsidR="009B401F" w:rsidRPr="00CB28F5">
        <w:rPr>
          <w:rStyle w:val="FootnoteReference"/>
          <w:rFonts w:ascii="Times New Roman" w:hAnsi="Times New Roman" w:cs="Times New Roman"/>
        </w:rPr>
        <w:footnoteReference w:id="23"/>
      </w:r>
      <w:r w:rsidR="009B401F" w:rsidRPr="00CB28F5">
        <w:rPr>
          <w:rFonts w:ascii="Times New Roman" w:hAnsi="Times New Roman" w:cs="Times New Roman"/>
        </w:rPr>
        <w:t xml:space="preserve"> </w:t>
      </w:r>
      <w:r w:rsidR="00FB6624" w:rsidRPr="00CB28F5">
        <w:rPr>
          <w:rFonts w:ascii="Times New Roman" w:hAnsi="Times New Roman" w:cs="Times New Roman"/>
        </w:rPr>
        <w:t xml:space="preserve">The meeting included presentations </w:t>
      </w:r>
      <w:r w:rsidR="00823A6C">
        <w:rPr>
          <w:rFonts w:ascii="Times New Roman" w:hAnsi="Times New Roman" w:cs="Times New Roman"/>
        </w:rPr>
        <w:t>by</w:t>
      </w:r>
      <w:r w:rsidR="00FB6624" w:rsidRPr="00CB28F5">
        <w:rPr>
          <w:rFonts w:ascii="Times New Roman" w:hAnsi="Times New Roman" w:cs="Times New Roman"/>
        </w:rPr>
        <w:t xml:space="preserve"> two nationally respected experts </w:t>
      </w:r>
      <w:r w:rsidR="002A281E" w:rsidRPr="006C58BA">
        <w:rPr>
          <w:rFonts w:ascii="Times New Roman" w:hAnsi="Times New Roman" w:cs="Times New Roman"/>
        </w:rPr>
        <w:t>o</w:t>
      </w:r>
      <w:r w:rsidR="00FB6624" w:rsidRPr="006C58BA">
        <w:rPr>
          <w:rFonts w:ascii="Times New Roman" w:hAnsi="Times New Roman" w:cs="Times New Roman"/>
        </w:rPr>
        <w:t xml:space="preserve">n </w:t>
      </w:r>
      <w:r w:rsidR="00FB6624" w:rsidRPr="006C58BA">
        <w:rPr>
          <w:rFonts w:ascii="Times New Roman" w:hAnsi="Times New Roman" w:cs="Times New Roman"/>
        </w:rPr>
        <w:lastRenderedPageBreak/>
        <w:t>hedging</w:t>
      </w:r>
      <w:r w:rsidR="002A281E" w:rsidRPr="006C58BA">
        <w:rPr>
          <w:rFonts w:ascii="Times New Roman" w:hAnsi="Times New Roman" w:cs="Times New Roman"/>
        </w:rPr>
        <w:t>:</w:t>
      </w:r>
      <w:r w:rsidR="00720D07" w:rsidRPr="006C58BA">
        <w:rPr>
          <w:rFonts w:ascii="Times New Roman" w:hAnsi="Times New Roman" w:cs="Times New Roman"/>
        </w:rPr>
        <w:t xml:space="preserve"> Michael </w:t>
      </w:r>
      <w:proofErr w:type="spellStart"/>
      <w:r w:rsidR="00720D07" w:rsidRPr="006C58BA">
        <w:rPr>
          <w:rFonts w:ascii="Times New Roman" w:hAnsi="Times New Roman" w:cs="Times New Roman"/>
        </w:rPr>
        <w:t>Gettings</w:t>
      </w:r>
      <w:proofErr w:type="spellEnd"/>
      <w:r w:rsidR="00B453B2" w:rsidRPr="006C58BA">
        <w:rPr>
          <w:rFonts w:ascii="Times New Roman" w:hAnsi="Times New Roman" w:cs="Times New Roman"/>
        </w:rPr>
        <w:t>, Senior Partner</w:t>
      </w:r>
      <w:r w:rsidR="006A1890" w:rsidRPr="006C58BA">
        <w:rPr>
          <w:rFonts w:ascii="Times New Roman" w:hAnsi="Times New Roman" w:cs="Times New Roman"/>
        </w:rPr>
        <w:t xml:space="preserve"> at </w:t>
      </w:r>
      <w:proofErr w:type="spellStart"/>
      <w:r w:rsidR="00720D07" w:rsidRPr="006C58BA">
        <w:rPr>
          <w:rFonts w:ascii="Times New Roman" w:hAnsi="Times New Roman" w:cs="Times New Roman"/>
        </w:rPr>
        <w:t>RiskCentrix</w:t>
      </w:r>
      <w:proofErr w:type="spellEnd"/>
      <w:r w:rsidR="006A1890" w:rsidRPr="006C58BA">
        <w:rPr>
          <w:rFonts w:ascii="Times New Roman" w:hAnsi="Times New Roman" w:cs="Times New Roman"/>
        </w:rPr>
        <w:t>,</w:t>
      </w:r>
      <w:r w:rsidR="00720D07" w:rsidRPr="00AA5308">
        <w:rPr>
          <w:rFonts w:ascii="Times New Roman" w:hAnsi="Times New Roman" w:cs="Times New Roman"/>
        </w:rPr>
        <w:t xml:space="preserve"> and Ken Costello</w:t>
      </w:r>
      <w:r w:rsidR="00B453B2" w:rsidRPr="00AA5308">
        <w:rPr>
          <w:rFonts w:ascii="Times New Roman" w:hAnsi="Times New Roman" w:cs="Times New Roman"/>
        </w:rPr>
        <w:t xml:space="preserve">, </w:t>
      </w:r>
      <w:r w:rsidR="00AD1D49" w:rsidRPr="00AA5308">
        <w:rPr>
          <w:rFonts w:ascii="Times New Roman" w:hAnsi="Times New Roman" w:cs="Times New Roman"/>
        </w:rPr>
        <w:t>Principal Researcher with</w:t>
      </w:r>
      <w:r w:rsidR="00720D07" w:rsidRPr="00AA5308">
        <w:rPr>
          <w:rFonts w:ascii="Times New Roman" w:hAnsi="Times New Roman" w:cs="Times New Roman"/>
        </w:rPr>
        <w:t xml:space="preserve"> the National Regulatory Research Institute</w:t>
      </w:r>
      <w:r w:rsidR="00FB6624" w:rsidRPr="00AA5308">
        <w:rPr>
          <w:rFonts w:ascii="Times New Roman" w:hAnsi="Times New Roman" w:cs="Times New Roman"/>
        </w:rPr>
        <w:t xml:space="preserve">. </w:t>
      </w:r>
    </w:p>
    <w:p w14:paraId="512BB90D" w14:textId="05D6A214" w:rsidR="00B13EC5" w:rsidRPr="00AA5308" w:rsidRDefault="00862829" w:rsidP="002D4F6E">
      <w:pPr>
        <w:pStyle w:val="ListParagraph"/>
        <w:numPr>
          <w:ilvl w:val="0"/>
          <w:numId w:val="18"/>
        </w:numPr>
        <w:spacing w:after="240" w:line="288" w:lineRule="auto"/>
        <w:ind w:left="0" w:hanging="720"/>
        <w:contextualSpacing w:val="0"/>
        <w:rPr>
          <w:rFonts w:ascii="Times New Roman" w:hAnsi="Times New Roman" w:cs="Times New Roman"/>
        </w:rPr>
      </w:pPr>
      <w:r w:rsidRPr="006C58BA">
        <w:rPr>
          <w:rFonts w:ascii="Times New Roman" w:hAnsi="Times New Roman" w:cs="Times New Roman"/>
        </w:rPr>
        <w:t xml:space="preserve">The workshop </w:t>
      </w:r>
      <w:r w:rsidR="00C17B23" w:rsidRPr="006C58BA">
        <w:rPr>
          <w:rFonts w:ascii="Times New Roman" w:hAnsi="Times New Roman" w:cs="Times New Roman"/>
        </w:rPr>
        <w:t xml:space="preserve">discussion </w:t>
      </w:r>
      <w:r w:rsidR="00AC5A94" w:rsidRPr="006C58BA">
        <w:rPr>
          <w:rFonts w:ascii="Times New Roman" w:hAnsi="Times New Roman" w:cs="Times New Roman"/>
        </w:rPr>
        <w:t xml:space="preserve">revealed </w:t>
      </w:r>
      <w:r w:rsidRPr="006C58BA">
        <w:rPr>
          <w:rFonts w:ascii="Times New Roman" w:hAnsi="Times New Roman" w:cs="Times New Roman"/>
        </w:rPr>
        <w:t xml:space="preserve">a need for a shared understanding of generally accepted hedging terms, </w:t>
      </w:r>
      <w:r w:rsidRPr="00AA5308">
        <w:rPr>
          <w:rFonts w:ascii="Times New Roman" w:hAnsi="Times New Roman" w:cs="Times New Roman"/>
        </w:rPr>
        <w:t>methods</w:t>
      </w:r>
      <w:r w:rsidR="002A281E" w:rsidRPr="00AA5308">
        <w:rPr>
          <w:rFonts w:ascii="Times New Roman" w:hAnsi="Times New Roman" w:cs="Times New Roman"/>
        </w:rPr>
        <w:t>,</w:t>
      </w:r>
      <w:r w:rsidRPr="00AA5308">
        <w:rPr>
          <w:rFonts w:ascii="Times New Roman" w:hAnsi="Times New Roman" w:cs="Times New Roman"/>
        </w:rPr>
        <w:t xml:space="preserve"> and policies</w:t>
      </w:r>
      <w:r w:rsidR="002A281E" w:rsidRPr="00AA5308">
        <w:rPr>
          <w:rFonts w:ascii="Times New Roman" w:hAnsi="Times New Roman" w:cs="Times New Roman"/>
        </w:rPr>
        <w:t>, and a critical</w:t>
      </w:r>
      <w:r w:rsidRPr="00AA5308">
        <w:rPr>
          <w:rFonts w:ascii="Times New Roman" w:hAnsi="Times New Roman" w:cs="Times New Roman"/>
        </w:rPr>
        <w:t xml:space="preserve"> need to establish a foundation </w:t>
      </w:r>
      <w:r w:rsidR="002A281E" w:rsidRPr="00AA5308">
        <w:rPr>
          <w:rFonts w:ascii="Times New Roman" w:hAnsi="Times New Roman" w:cs="Times New Roman"/>
        </w:rPr>
        <w:t>to develop</w:t>
      </w:r>
      <w:r w:rsidR="002A625F" w:rsidRPr="00AA5308">
        <w:rPr>
          <w:rFonts w:ascii="Times New Roman" w:hAnsi="Times New Roman" w:cs="Times New Roman"/>
        </w:rPr>
        <w:t xml:space="preserve"> a risk management framework </w:t>
      </w:r>
      <w:r w:rsidR="002A281E" w:rsidRPr="00AA5308">
        <w:rPr>
          <w:rFonts w:ascii="Times New Roman" w:hAnsi="Times New Roman" w:cs="Times New Roman"/>
        </w:rPr>
        <w:t>to</w:t>
      </w:r>
      <w:r w:rsidR="00FC1C57" w:rsidRPr="00AA5308">
        <w:rPr>
          <w:rFonts w:ascii="Times New Roman" w:hAnsi="Times New Roman" w:cs="Times New Roman"/>
        </w:rPr>
        <w:t xml:space="preserve"> evaluate </w:t>
      </w:r>
      <w:r w:rsidR="002A625F" w:rsidRPr="00AA5308">
        <w:rPr>
          <w:rFonts w:ascii="Times New Roman" w:hAnsi="Times New Roman" w:cs="Times New Roman"/>
        </w:rPr>
        <w:t>utility hedging strategies.</w:t>
      </w:r>
      <w:r w:rsidR="00C71DE6" w:rsidRPr="00AA5308">
        <w:rPr>
          <w:rFonts w:ascii="Times New Roman" w:hAnsi="Times New Roman" w:cs="Times New Roman"/>
        </w:rPr>
        <w:t xml:space="preserve"> Staff and Public Counsel agreed to co-sponsor a white paper </w:t>
      </w:r>
      <w:r w:rsidRPr="00AA5308">
        <w:rPr>
          <w:rFonts w:ascii="Times New Roman" w:hAnsi="Times New Roman" w:cs="Times New Roman"/>
        </w:rPr>
        <w:t>on natural gas utility hedging practices</w:t>
      </w:r>
      <w:r w:rsidR="008C3252" w:rsidRPr="00AA5308">
        <w:rPr>
          <w:rFonts w:ascii="Times New Roman" w:hAnsi="Times New Roman" w:cs="Times New Roman"/>
        </w:rPr>
        <w:t xml:space="preserve"> and </w:t>
      </w:r>
      <w:r w:rsidR="00D049F2" w:rsidRPr="00AA5308">
        <w:rPr>
          <w:rFonts w:ascii="Times New Roman" w:hAnsi="Times New Roman" w:cs="Times New Roman"/>
        </w:rPr>
        <w:t xml:space="preserve">subsequently </w:t>
      </w:r>
      <w:r w:rsidR="008C3252" w:rsidRPr="00AA5308">
        <w:rPr>
          <w:rFonts w:ascii="Times New Roman" w:hAnsi="Times New Roman" w:cs="Times New Roman"/>
        </w:rPr>
        <w:t>contracted</w:t>
      </w:r>
      <w:r w:rsidRPr="00AA5308">
        <w:rPr>
          <w:rFonts w:ascii="Times New Roman" w:hAnsi="Times New Roman" w:cs="Times New Roman"/>
        </w:rPr>
        <w:t xml:space="preserve"> </w:t>
      </w:r>
      <w:r w:rsidR="00823A6C">
        <w:rPr>
          <w:rFonts w:ascii="Times New Roman" w:hAnsi="Times New Roman" w:cs="Times New Roman"/>
        </w:rPr>
        <w:t xml:space="preserve">with </w:t>
      </w:r>
      <w:r w:rsidRPr="00AA5308">
        <w:rPr>
          <w:rFonts w:ascii="Times New Roman" w:hAnsi="Times New Roman" w:cs="Times New Roman"/>
        </w:rPr>
        <w:t xml:space="preserve">Michael </w:t>
      </w:r>
      <w:proofErr w:type="spellStart"/>
      <w:r w:rsidRPr="00AA5308">
        <w:rPr>
          <w:rFonts w:ascii="Times New Roman" w:hAnsi="Times New Roman" w:cs="Times New Roman"/>
        </w:rPr>
        <w:t>Gettings</w:t>
      </w:r>
      <w:proofErr w:type="spellEnd"/>
      <w:r w:rsidRPr="00AA5308">
        <w:rPr>
          <w:rFonts w:ascii="Times New Roman" w:hAnsi="Times New Roman" w:cs="Times New Roman"/>
        </w:rPr>
        <w:t xml:space="preserve"> </w:t>
      </w:r>
      <w:r w:rsidR="00D049F2" w:rsidRPr="00AA5308">
        <w:rPr>
          <w:rFonts w:ascii="Times New Roman" w:hAnsi="Times New Roman" w:cs="Times New Roman"/>
        </w:rPr>
        <w:t>of</w:t>
      </w:r>
      <w:r w:rsidR="00733D47" w:rsidRPr="00AA5308">
        <w:rPr>
          <w:rFonts w:ascii="Times New Roman" w:hAnsi="Times New Roman" w:cs="Times New Roman"/>
        </w:rPr>
        <w:t xml:space="preserve"> </w:t>
      </w:r>
      <w:proofErr w:type="spellStart"/>
      <w:r w:rsidR="008C3252" w:rsidRPr="00AA5308">
        <w:rPr>
          <w:rFonts w:ascii="Times New Roman" w:hAnsi="Times New Roman" w:cs="Times New Roman"/>
        </w:rPr>
        <w:t>RiskCentrix</w:t>
      </w:r>
      <w:proofErr w:type="spellEnd"/>
      <w:r w:rsidR="00072D70" w:rsidRPr="00AA5308">
        <w:rPr>
          <w:rFonts w:ascii="Times New Roman" w:hAnsi="Times New Roman" w:cs="Times New Roman"/>
        </w:rPr>
        <w:t>,</w:t>
      </w:r>
      <w:r w:rsidR="00733D47" w:rsidRPr="00AA5308">
        <w:rPr>
          <w:rFonts w:ascii="Times New Roman" w:hAnsi="Times New Roman" w:cs="Times New Roman"/>
        </w:rPr>
        <w:t xml:space="preserve"> LLC</w:t>
      </w:r>
      <w:r w:rsidR="00072D70" w:rsidRPr="00AA5308">
        <w:rPr>
          <w:rFonts w:ascii="Times New Roman" w:hAnsi="Times New Roman" w:cs="Times New Roman"/>
        </w:rPr>
        <w:t>.</w:t>
      </w:r>
      <w:r w:rsidRPr="00AA5308">
        <w:rPr>
          <w:rFonts w:ascii="Times New Roman" w:hAnsi="Times New Roman" w:cs="Times New Roman"/>
        </w:rPr>
        <w:t xml:space="preserve"> </w:t>
      </w:r>
      <w:r w:rsidR="00072D70" w:rsidRPr="00AA5308">
        <w:rPr>
          <w:rFonts w:ascii="Times New Roman" w:hAnsi="Times New Roman" w:cs="Times New Roman"/>
        </w:rPr>
        <w:t xml:space="preserve">On July 25, 2015, Mr. </w:t>
      </w:r>
      <w:proofErr w:type="spellStart"/>
      <w:r w:rsidR="00072D70" w:rsidRPr="00AA5308">
        <w:rPr>
          <w:rFonts w:ascii="Times New Roman" w:hAnsi="Times New Roman" w:cs="Times New Roman"/>
        </w:rPr>
        <w:t>Gettings</w:t>
      </w:r>
      <w:proofErr w:type="spellEnd"/>
      <w:r w:rsidR="00072D70" w:rsidRPr="00AA5308">
        <w:rPr>
          <w:rFonts w:ascii="Times New Roman" w:hAnsi="Times New Roman" w:cs="Times New Roman"/>
        </w:rPr>
        <w:t xml:space="preserve"> </w:t>
      </w:r>
      <w:r w:rsidR="002A281E" w:rsidRPr="00AA5308">
        <w:rPr>
          <w:rFonts w:ascii="Times New Roman" w:hAnsi="Times New Roman" w:cs="Times New Roman"/>
        </w:rPr>
        <w:t xml:space="preserve">published </w:t>
      </w:r>
      <w:r w:rsidR="00072D70" w:rsidRPr="00AA5308">
        <w:rPr>
          <w:rFonts w:ascii="Times New Roman" w:hAnsi="Times New Roman" w:cs="Times New Roman"/>
        </w:rPr>
        <w:t xml:space="preserve">a white paper </w:t>
      </w:r>
      <w:r w:rsidR="002A281E" w:rsidRPr="00AA5308">
        <w:rPr>
          <w:rFonts w:ascii="Times New Roman" w:hAnsi="Times New Roman" w:cs="Times New Roman"/>
        </w:rPr>
        <w:t>en</w:t>
      </w:r>
      <w:r w:rsidR="00072D70" w:rsidRPr="00AA5308">
        <w:rPr>
          <w:rFonts w:ascii="Times New Roman" w:hAnsi="Times New Roman" w:cs="Times New Roman"/>
        </w:rPr>
        <w:t>titled</w:t>
      </w:r>
      <w:r w:rsidR="00BD5658" w:rsidRPr="00AA5308">
        <w:rPr>
          <w:rFonts w:ascii="Times New Roman" w:hAnsi="Times New Roman" w:cs="Times New Roman"/>
        </w:rPr>
        <w:t>,</w:t>
      </w:r>
      <w:r w:rsidR="00072D70" w:rsidRPr="00AA5308">
        <w:rPr>
          <w:rFonts w:ascii="Times New Roman" w:hAnsi="Times New Roman" w:cs="Times New Roman"/>
        </w:rPr>
        <w:t xml:space="preserve"> </w:t>
      </w:r>
      <w:r w:rsidR="00072D70" w:rsidRPr="00AA5308">
        <w:rPr>
          <w:rFonts w:ascii="Times New Roman" w:hAnsi="Times New Roman" w:cs="Times New Roman"/>
          <w:i/>
        </w:rPr>
        <w:t xml:space="preserve">“Natural Gas Utility Hedging Practices and Regulatory </w:t>
      </w:r>
      <w:r w:rsidR="003942E2" w:rsidRPr="00AA5308">
        <w:rPr>
          <w:rFonts w:ascii="Times New Roman" w:hAnsi="Times New Roman" w:cs="Times New Roman"/>
          <w:i/>
        </w:rPr>
        <w:t>Oversight</w:t>
      </w:r>
      <w:r w:rsidR="00BD5658" w:rsidRPr="00AA5308">
        <w:rPr>
          <w:rFonts w:ascii="Times New Roman" w:hAnsi="Times New Roman" w:cs="Times New Roman"/>
        </w:rPr>
        <w:t>”</w:t>
      </w:r>
      <w:r w:rsidR="003942E2" w:rsidRPr="00AA5308">
        <w:rPr>
          <w:rFonts w:ascii="Times New Roman" w:hAnsi="Times New Roman" w:cs="Times New Roman"/>
        </w:rPr>
        <w:t xml:space="preserve"> (</w:t>
      </w:r>
      <w:r w:rsidR="00072D70" w:rsidRPr="00AA5308">
        <w:rPr>
          <w:rFonts w:ascii="Times New Roman" w:hAnsi="Times New Roman" w:cs="Times New Roman"/>
        </w:rPr>
        <w:t>White Paper).</w:t>
      </w:r>
      <w:r w:rsidR="002A1DE9" w:rsidRPr="00AA5308">
        <w:rPr>
          <w:rFonts w:ascii="Times New Roman" w:hAnsi="Times New Roman" w:cs="Times New Roman"/>
        </w:rPr>
        <w:t xml:space="preserve"> </w:t>
      </w:r>
    </w:p>
    <w:p w14:paraId="5FA00578" w14:textId="19CEA7BA" w:rsidR="0077315E" w:rsidRPr="00C113C6" w:rsidRDefault="002A281E" w:rsidP="002D4F6E">
      <w:pPr>
        <w:pStyle w:val="ListParagraph"/>
        <w:numPr>
          <w:ilvl w:val="0"/>
          <w:numId w:val="18"/>
        </w:numPr>
        <w:spacing w:after="240" w:line="288" w:lineRule="auto"/>
        <w:ind w:left="0" w:hanging="720"/>
        <w:contextualSpacing w:val="0"/>
        <w:rPr>
          <w:rFonts w:ascii="Times New Roman" w:hAnsi="Times New Roman" w:cs="Times New Roman"/>
        </w:rPr>
      </w:pPr>
      <w:r w:rsidRPr="006C58BA">
        <w:rPr>
          <w:rFonts w:ascii="Times New Roman" w:hAnsi="Times New Roman" w:cs="Times New Roman"/>
        </w:rPr>
        <w:t xml:space="preserve">On March 28, 2016, </w:t>
      </w:r>
      <w:r w:rsidR="00B13EC5" w:rsidRPr="00AA5308">
        <w:rPr>
          <w:rFonts w:ascii="Times New Roman" w:hAnsi="Times New Roman" w:cs="Times New Roman"/>
        </w:rPr>
        <w:t xml:space="preserve">the Commission </w:t>
      </w:r>
      <w:r w:rsidR="00E5691F" w:rsidRPr="00AA5308">
        <w:rPr>
          <w:rFonts w:ascii="Times New Roman" w:hAnsi="Times New Roman" w:cs="Times New Roman"/>
        </w:rPr>
        <w:t xml:space="preserve">convened </w:t>
      </w:r>
      <w:r w:rsidR="00B13EC5" w:rsidRPr="00AA5308">
        <w:rPr>
          <w:rFonts w:ascii="Times New Roman" w:hAnsi="Times New Roman" w:cs="Times New Roman"/>
        </w:rPr>
        <w:t>a second workshop</w:t>
      </w:r>
      <w:r w:rsidRPr="00AA5308">
        <w:rPr>
          <w:rFonts w:ascii="Times New Roman" w:hAnsi="Times New Roman" w:cs="Times New Roman"/>
        </w:rPr>
        <w:t xml:space="preserve"> to facilitate additional discussion in response to the White Paper</w:t>
      </w:r>
      <w:r w:rsidR="00B13EC5" w:rsidRPr="00AA5308">
        <w:rPr>
          <w:rFonts w:ascii="Times New Roman" w:hAnsi="Times New Roman" w:cs="Times New Roman"/>
        </w:rPr>
        <w:t>.</w:t>
      </w:r>
      <w:r w:rsidR="000B5271" w:rsidRPr="00AA5308">
        <w:rPr>
          <w:rFonts w:ascii="Times New Roman" w:hAnsi="Times New Roman" w:cs="Times New Roman"/>
        </w:rPr>
        <w:t xml:space="preserve"> At the workshop, Mr. </w:t>
      </w:r>
      <w:proofErr w:type="spellStart"/>
      <w:r w:rsidR="000B5271" w:rsidRPr="00AA5308">
        <w:rPr>
          <w:rFonts w:ascii="Times New Roman" w:hAnsi="Times New Roman" w:cs="Times New Roman"/>
        </w:rPr>
        <w:t>Gettings</w:t>
      </w:r>
      <w:proofErr w:type="spellEnd"/>
      <w:r w:rsidR="000B5271" w:rsidRPr="00AA5308">
        <w:rPr>
          <w:rFonts w:ascii="Times New Roman" w:hAnsi="Times New Roman" w:cs="Times New Roman"/>
        </w:rPr>
        <w:t xml:space="preserve"> presented the concepts and principles detailed in his White Paper</w:t>
      </w:r>
      <w:r w:rsidR="00BD5658" w:rsidRPr="00AA5308">
        <w:rPr>
          <w:rFonts w:ascii="Times New Roman" w:hAnsi="Times New Roman" w:cs="Times New Roman"/>
        </w:rPr>
        <w:t>,</w:t>
      </w:r>
      <w:r w:rsidR="000B5271" w:rsidRPr="00AA5308">
        <w:rPr>
          <w:rFonts w:ascii="Times New Roman" w:hAnsi="Times New Roman" w:cs="Times New Roman"/>
        </w:rPr>
        <w:t xml:space="preserve"> providing an opportunity for stakeholders and commissioners to </w:t>
      </w:r>
      <w:r w:rsidRPr="00AA5308">
        <w:rPr>
          <w:rFonts w:ascii="Times New Roman" w:hAnsi="Times New Roman" w:cs="Times New Roman"/>
        </w:rPr>
        <w:t xml:space="preserve">examine </w:t>
      </w:r>
      <w:r w:rsidR="000B5271" w:rsidRPr="00AA5308">
        <w:rPr>
          <w:rFonts w:ascii="Times New Roman" w:hAnsi="Times New Roman" w:cs="Times New Roman"/>
        </w:rPr>
        <w:t xml:space="preserve">the finer points and </w:t>
      </w:r>
      <w:r w:rsidRPr="00AA5308">
        <w:rPr>
          <w:rFonts w:ascii="Times New Roman" w:hAnsi="Times New Roman" w:cs="Times New Roman"/>
        </w:rPr>
        <w:t>participate</w:t>
      </w:r>
      <w:r w:rsidR="000B5271" w:rsidRPr="00AA5308">
        <w:rPr>
          <w:rFonts w:ascii="Times New Roman" w:hAnsi="Times New Roman" w:cs="Times New Roman"/>
        </w:rPr>
        <w:t xml:space="preserve"> in </w:t>
      </w:r>
      <w:r w:rsidR="00BD5658" w:rsidRPr="00AA5308">
        <w:rPr>
          <w:rFonts w:ascii="Times New Roman" w:hAnsi="Times New Roman" w:cs="Times New Roman"/>
        </w:rPr>
        <w:t xml:space="preserve">a </w:t>
      </w:r>
      <w:r w:rsidRPr="00AA5308">
        <w:rPr>
          <w:rFonts w:ascii="Times New Roman" w:hAnsi="Times New Roman" w:cs="Times New Roman"/>
        </w:rPr>
        <w:t xml:space="preserve">broader </w:t>
      </w:r>
      <w:r w:rsidR="000B5271" w:rsidRPr="00AA5308">
        <w:rPr>
          <w:rFonts w:ascii="Times New Roman" w:hAnsi="Times New Roman" w:cs="Times New Roman"/>
        </w:rPr>
        <w:t>discussion of the regulatory implications surrounding hedging strategies.</w:t>
      </w:r>
      <w:r w:rsidR="000B5271" w:rsidRPr="00CB28F5">
        <w:rPr>
          <w:rStyle w:val="FootnoteReference"/>
          <w:rFonts w:ascii="Times New Roman" w:hAnsi="Times New Roman" w:cs="Times New Roman"/>
        </w:rPr>
        <w:footnoteReference w:id="24"/>
      </w:r>
      <w:r w:rsidR="000B5271" w:rsidRPr="00CB28F5">
        <w:rPr>
          <w:rFonts w:ascii="Times New Roman" w:hAnsi="Times New Roman" w:cs="Times New Roman"/>
        </w:rPr>
        <w:t xml:space="preserve"> </w:t>
      </w:r>
      <w:r w:rsidR="00B13EC5" w:rsidRPr="00CB28F5">
        <w:rPr>
          <w:rFonts w:ascii="Times New Roman" w:hAnsi="Times New Roman" w:cs="Times New Roman"/>
        </w:rPr>
        <w:t xml:space="preserve"> </w:t>
      </w:r>
    </w:p>
    <w:p w14:paraId="61243CF0" w14:textId="2F156A8B" w:rsidR="002467DD" w:rsidRPr="00CB28F5" w:rsidRDefault="00733D47" w:rsidP="002D4F6E">
      <w:pPr>
        <w:pStyle w:val="ListParagraph"/>
        <w:numPr>
          <w:ilvl w:val="0"/>
          <w:numId w:val="18"/>
        </w:numPr>
        <w:spacing w:after="240" w:line="288" w:lineRule="auto"/>
        <w:ind w:left="0" w:hanging="720"/>
        <w:contextualSpacing w:val="0"/>
        <w:rPr>
          <w:rFonts w:ascii="Times New Roman" w:hAnsi="Times New Roman" w:cs="Times New Roman"/>
        </w:rPr>
      </w:pPr>
      <w:r w:rsidRPr="00CB28F5">
        <w:rPr>
          <w:rFonts w:ascii="Times New Roman" w:hAnsi="Times New Roman" w:cs="Times New Roman"/>
        </w:rPr>
        <w:t>O</w:t>
      </w:r>
      <w:r w:rsidR="002467DD" w:rsidRPr="00CB28F5">
        <w:rPr>
          <w:rFonts w:ascii="Times New Roman" w:hAnsi="Times New Roman" w:cs="Times New Roman"/>
        </w:rPr>
        <w:t>n April 11, 2016, the Commission solicited an additional round of comments</w:t>
      </w:r>
      <w:r w:rsidR="00DB2AC6" w:rsidRPr="00CB28F5">
        <w:rPr>
          <w:rFonts w:ascii="Times New Roman" w:hAnsi="Times New Roman" w:cs="Times New Roman"/>
        </w:rPr>
        <w:t xml:space="preserve"> to provide an </w:t>
      </w:r>
      <w:r w:rsidR="00DB2AC6" w:rsidRPr="006C58BA">
        <w:rPr>
          <w:rFonts w:ascii="Times New Roman" w:hAnsi="Times New Roman" w:cs="Times New Roman"/>
        </w:rPr>
        <w:t>opportunity</w:t>
      </w:r>
      <w:r w:rsidR="00DB2AC6" w:rsidRPr="00CB28F5">
        <w:rPr>
          <w:rFonts w:ascii="Times New Roman" w:hAnsi="Times New Roman" w:cs="Times New Roman"/>
        </w:rPr>
        <w:t xml:space="preserve"> to stakeholders to clarify and expand upon the positions expressed during the March 28, 2016</w:t>
      </w:r>
      <w:r w:rsidR="0003694F" w:rsidRPr="00CB28F5">
        <w:rPr>
          <w:rFonts w:ascii="Times New Roman" w:hAnsi="Times New Roman" w:cs="Times New Roman"/>
        </w:rPr>
        <w:t>,</w:t>
      </w:r>
      <w:r w:rsidR="00DB2AC6" w:rsidRPr="00CB28F5">
        <w:rPr>
          <w:rFonts w:ascii="Times New Roman" w:hAnsi="Times New Roman" w:cs="Times New Roman"/>
        </w:rPr>
        <w:t xml:space="preserve"> workshop</w:t>
      </w:r>
      <w:r w:rsidR="002467DD" w:rsidRPr="00CB28F5">
        <w:rPr>
          <w:rFonts w:ascii="Times New Roman" w:hAnsi="Times New Roman" w:cs="Times New Roman"/>
        </w:rPr>
        <w:t xml:space="preserve">. </w:t>
      </w:r>
      <w:r w:rsidRPr="00CB28F5">
        <w:rPr>
          <w:rFonts w:ascii="Times New Roman" w:hAnsi="Times New Roman" w:cs="Times New Roman"/>
        </w:rPr>
        <w:t xml:space="preserve">The Notice posed ten questions </w:t>
      </w:r>
      <w:r w:rsidR="00A368DA" w:rsidRPr="00CB28F5">
        <w:rPr>
          <w:rFonts w:ascii="Times New Roman" w:hAnsi="Times New Roman" w:cs="Times New Roman"/>
        </w:rPr>
        <w:t>regarding the risk management approach</w:t>
      </w:r>
      <w:r w:rsidR="00072D70" w:rsidRPr="00CB28F5">
        <w:rPr>
          <w:rFonts w:ascii="Times New Roman" w:hAnsi="Times New Roman" w:cs="Times New Roman"/>
        </w:rPr>
        <w:t>es</w:t>
      </w:r>
      <w:r w:rsidR="00A368DA" w:rsidRPr="00CB28F5">
        <w:rPr>
          <w:rFonts w:ascii="Times New Roman" w:hAnsi="Times New Roman" w:cs="Times New Roman"/>
        </w:rPr>
        <w:t xml:space="preserve"> proposed by Mr. </w:t>
      </w:r>
      <w:proofErr w:type="spellStart"/>
      <w:r w:rsidR="00A368DA" w:rsidRPr="00CB28F5">
        <w:rPr>
          <w:rFonts w:ascii="Times New Roman" w:hAnsi="Times New Roman" w:cs="Times New Roman"/>
        </w:rPr>
        <w:t>Gettings</w:t>
      </w:r>
      <w:proofErr w:type="spellEnd"/>
      <w:r w:rsidR="002A281E" w:rsidRPr="00CB28F5">
        <w:rPr>
          <w:rFonts w:ascii="Times New Roman" w:hAnsi="Times New Roman" w:cs="Times New Roman"/>
        </w:rPr>
        <w:t>,</w:t>
      </w:r>
      <w:r w:rsidR="00A368DA" w:rsidRPr="00CB28F5">
        <w:rPr>
          <w:rFonts w:ascii="Times New Roman" w:hAnsi="Times New Roman" w:cs="Times New Roman"/>
        </w:rPr>
        <w:t xml:space="preserve"> but did not limit respondents to th</w:t>
      </w:r>
      <w:r w:rsidR="002A281E" w:rsidRPr="00CB28F5">
        <w:rPr>
          <w:rFonts w:ascii="Times New Roman" w:hAnsi="Times New Roman" w:cs="Times New Roman"/>
        </w:rPr>
        <w:t>os</w:t>
      </w:r>
      <w:r w:rsidR="00A368DA" w:rsidRPr="00CB28F5">
        <w:rPr>
          <w:rFonts w:ascii="Times New Roman" w:hAnsi="Times New Roman" w:cs="Times New Roman"/>
        </w:rPr>
        <w:t xml:space="preserve">e specific questions. Instead, the Commission welcomed </w:t>
      </w:r>
      <w:r w:rsidR="00A368DA" w:rsidRPr="006C58BA">
        <w:rPr>
          <w:rFonts w:ascii="Times New Roman" w:hAnsi="Times New Roman" w:cs="Times New Roman"/>
        </w:rPr>
        <w:t>stakeholder concerns, challenges, opportunities</w:t>
      </w:r>
      <w:r w:rsidR="00F66DAB" w:rsidRPr="006C58BA">
        <w:rPr>
          <w:rFonts w:ascii="Times New Roman" w:hAnsi="Times New Roman" w:cs="Times New Roman"/>
        </w:rPr>
        <w:t>,</w:t>
      </w:r>
      <w:r w:rsidR="00A368DA" w:rsidRPr="006C58BA">
        <w:rPr>
          <w:rFonts w:ascii="Times New Roman" w:hAnsi="Times New Roman" w:cs="Times New Roman"/>
        </w:rPr>
        <w:t xml:space="preserve"> and observations </w:t>
      </w:r>
      <w:r w:rsidR="00F66DAB" w:rsidRPr="006C58BA">
        <w:rPr>
          <w:rFonts w:ascii="Times New Roman" w:hAnsi="Times New Roman" w:cs="Times New Roman"/>
        </w:rPr>
        <w:t>related to</w:t>
      </w:r>
      <w:r w:rsidR="00A368DA" w:rsidRPr="006C58BA">
        <w:rPr>
          <w:rFonts w:ascii="Times New Roman" w:hAnsi="Times New Roman" w:cs="Times New Roman"/>
        </w:rPr>
        <w:t xml:space="preserve"> the </w:t>
      </w:r>
      <w:r w:rsidR="00C420F2" w:rsidRPr="00AA5308">
        <w:rPr>
          <w:rFonts w:ascii="Times New Roman" w:hAnsi="Times New Roman" w:cs="Times New Roman"/>
        </w:rPr>
        <w:t>recommended</w:t>
      </w:r>
      <w:r w:rsidR="00A368DA" w:rsidRPr="00AA5308">
        <w:rPr>
          <w:rFonts w:ascii="Times New Roman" w:hAnsi="Times New Roman" w:cs="Times New Roman"/>
        </w:rPr>
        <w:t xml:space="preserve"> methods </w:t>
      </w:r>
      <w:r w:rsidR="00F66DAB" w:rsidRPr="006C58BA">
        <w:rPr>
          <w:rFonts w:ascii="Times New Roman" w:hAnsi="Times New Roman" w:cs="Times New Roman"/>
        </w:rPr>
        <w:t>and a</w:t>
      </w:r>
      <w:r w:rsidR="00A368DA" w:rsidRPr="00CB28F5">
        <w:rPr>
          <w:rFonts w:ascii="Times New Roman" w:hAnsi="Times New Roman" w:cs="Times New Roman"/>
        </w:rPr>
        <w:t xml:space="preserve"> discussion of</w:t>
      </w:r>
      <w:r w:rsidR="00F66DAB" w:rsidRPr="00CB28F5">
        <w:rPr>
          <w:rFonts w:ascii="Times New Roman" w:hAnsi="Times New Roman" w:cs="Times New Roman"/>
        </w:rPr>
        <w:t xml:space="preserve"> the</w:t>
      </w:r>
      <w:r w:rsidR="00A368DA" w:rsidRPr="00CB28F5">
        <w:rPr>
          <w:rFonts w:ascii="Times New Roman" w:hAnsi="Times New Roman" w:cs="Times New Roman"/>
        </w:rPr>
        <w:t xml:space="preserve"> inherent challenges </w:t>
      </w:r>
      <w:r w:rsidR="00C420F2" w:rsidRPr="00CB28F5">
        <w:rPr>
          <w:rFonts w:ascii="Times New Roman" w:hAnsi="Times New Roman" w:cs="Times New Roman"/>
        </w:rPr>
        <w:t>of</w:t>
      </w:r>
      <w:r w:rsidR="00A368DA" w:rsidRPr="00CB28F5">
        <w:rPr>
          <w:rFonts w:ascii="Times New Roman" w:hAnsi="Times New Roman" w:cs="Times New Roman"/>
        </w:rPr>
        <w:t xml:space="preserve"> implementation.</w:t>
      </w:r>
      <w:r w:rsidRPr="00CB28F5">
        <w:rPr>
          <w:rFonts w:ascii="Times New Roman" w:hAnsi="Times New Roman" w:cs="Times New Roman"/>
        </w:rPr>
        <w:t xml:space="preserve"> </w:t>
      </w:r>
      <w:r w:rsidR="00A368DA" w:rsidRPr="00CB28F5">
        <w:rPr>
          <w:rFonts w:ascii="Times New Roman" w:hAnsi="Times New Roman" w:cs="Times New Roman"/>
        </w:rPr>
        <w:t>On May 23, 2016, the Commission received f</w:t>
      </w:r>
      <w:r w:rsidR="002467DD" w:rsidRPr="00CB28F5">
        <w:rPr>
          <w:rFonts w:ascii="Times New Roman" w:hAnsi="Times New Roman" w:cs="Times New Roman"/>
        </w:rPr>
        <w:t>ive comment</w:t>
      </w:r>
      <w:r w:rsidR="00A368DA" w:rsidRPr="00CB28F5">
        <w:rPr>
          <w:rFonts w:ascii="Times New Roman" w:hAnsi="Times New Roman" w:cs="Times New Roman"/>
        </w:rPr>
        <w:t>s.</w:t>
      </w:r>
      <w:r w:rsidR="00A368DA" w:rsidRPr="00CB28F5">
        <w:rPr>
          <w:rStyle w:val="FootnoteReference"/>
          <w:rFonts w:ascii="Times New Roman" w:hAnsi="Times New Roman" w:cs="Times New Roman"/>
        </w:rPr>
        <w:footnoteReference w:id="25"/>
      </w:r>
      <w:r w:rsidR="002467DD" w:rsidRPr="00CB28F5">
        <w:rPr>
          <w:rFonts w:ascii="Times New Roman" w:hAnsi="Times New Roman" w:cs="Times New Roman"/>
        </w:rPr>
        <w:t xml:space="preserve"> </w:t>
      </w:r>
    </w:p>
    <w:p w14:paraId="115F0F63" w14:textId="4B184AB5" w:rsidR="00B71BB9" w:rsidRPr="00CB28F5" w:rsidRDefault="002C682C" w:rsidP="002D4F6E">
      <w:pPr>
        <w:pStyle w:val="ListParagraph"/>
        <w:numPr>
          <w:ilvl w:val="0"/>
          <w:numId w:val="18"/>
        </w:numPr>
        <w:spacing w:after="240" w:line="288" w:lineRule="auto"/>
        <w:ind w:left="0" w:hanging="720"/>
        <w:contextualSpacing w:val="0"/>
        <w:rPr>
          <w:rFonts w:ascii="Times New Roman" w:hAnsi="Times New Roman" w:cs="Times New Roman"/>
        </w:rPr>
      </w:pPr>
      <w:r w:rsidRPr="00CB28F5">
        <w:rPr>
          <w:rFonts w:ascii="Times New Roman" w:hAnsi="Times New Roman" w:cs="Times New Roman"/>
        </w:rPr>
        <w:t xml:space="preserve">Generally, commenters </w:t>
      </w:r>
      <w:r w:rsidR="0061430E" w:rsidRPr="00CB28F5">
        <w:rPr>
          <w:rFonts w:ascii="Times New Roman" w:hAnsi="Times New Roman" w:cs="Times New Roman"/>
        </w:rPr>
        <w:t>anticipate</w:t>
      </w:r>
      <w:r w:rsidRPr="00CB28F5">
        <w:rPr>
          <w:rFonts w:ascii="Times New Roman" w:hAnsi="Times New Roman" w:cs="Times New Roman"/>
        </w:rPr>
        <w:t xml:space="preserve"> additional benefits from a risk-management approach to hedging, such as those presented in the White Paper, </w:t>
      </w:r>
      <w:r w:rsidR="007B2861">
        <w:rPr>
          <w:rFonts w:ascii="Times New Roman" w:hAnsi="Times New Roman" w:cs="Times New Roman"/>
        </w:rPr>
        <w:t>compared</w:t>
      </w:r>
      <w:r w:rsidR="007B2861" w:rsidRPr="00CB28F5">
        <w:rPr>
          <w:rFonts w:ascii="Times New Roman" w:hAnsi="Times New Roman" w:cs="Times New Roman"/>
        </w:rPr>
        <w:t xml:space="preserve"> </w:t>
      </w:r>
      <w:r w:rsidRPr="00CB28F5">
        <w:rPr>
          <w:rFonts w:ascii="Times New Roman" w:hAnsi="Times New Roman" w:cs="Times New Roman"/>
        </w:rPr>
        <w:t>to</w:t>
      </w:r>
      <w:r w:rsidR="00F66DAB" w:rsidRPr="00CB28F5">
        <w:rPr>
          <w:rFonts w:ascii="Times New Roman" w:hAnsi="Times New Roman" w:cs="Times New Roman"/>
        </w:rPr>
        <w:t xml:space="preserve"> the Companies’</w:t>
      </w:r>
      <w:r w:rsidRPr="00CB28F5">
        <w:rPr>
          <w:rFonts w:ascii="Times New Roman" w:hAnsi="Times New Roman" w:cs="Times New Roman"/>
        </w:rPr>
        <w:t xml:space="preserve"> current hedging strategies. </w:t>
      </w:r>
      <w:r w:rsidR="00F66DAB" w:rsidRPr="00CB28F5">
        <w:rPr>
          <w:rFonts w:ascii="Times New Roman" w:hAnsi="Times New Roman" w:cs="Times New Roman"/>
        </w:rPr>
        <w:t>C</w:t>
      </w:r>
      <w:r w:rsidRPr="00CB28F5">
        <w:rPr>
          <w:rFonts w:ascii="Times New Roman" w:hAnsi="Times New Roman" w:cs="Times New Roman"/>
        </w:rPr>
        <w:t xml:space="preserve">ommenters were </w:t>
      </w:r>
      <w:r w:rsidR="0061430E" w:rsidRPr="00CB28F5">
        <w:rPr>
          <w:rFonts w:ascii="Times New Roman" w:hAnsi="Times New Roman" w:cs="Times New Roman"/>
        </w:rPr>
        <w:t>unable</w:t>
      </w:r>
      <w:r w:rsidRPr="00CB28F5">
        <w:rPr>
          <w:rFonts w:ascii="Times New Roman" w:hAnsi="Times New Roman" w:cs="Times New Roman"/>
        </w:rPr>
        <w:t xml:space="preserve"> to </w:t>
      </w:r>
      <w:r w:rsidR="00B71BB9" w:rsidRPr="00CB28F5">
        <w:rPr>
          <w:rFonts w:ascii="Times New Roman" w:hAnsi="Times New Roman" w:cs="Times New Roman"/>
        </w:rPr>
        <w:t xml:space="preserve">confirm </w:t>
      </w:r>
      <w:r w:rsidR="00F66DAB" w:rsidRPr="00CB28F5">
        <w:rPr>
          <w:rFonts w:ascii="Times New Roman" w:hAnsi="Times New Roman" w:cs="Times New Roman"/>
        </w:rPr>
        <w:t xml:space="preserve">that </w:t>
      </w:r>
      <w:r w:rsidR="00B71BB9" w:rsidRPr="00CB28F5">
        <w:rPr>
          <w:rFonts w:ascii="Times New Roman" w:hAnsi="Times New Roman" w:cs="Times New Roman"/>
        </w:rPr>
        <w:t xml:space="preserve">savings would be </w:t>
      </w:r>
      <w:r w:rsidR="00B71BB9" w:rsidRPr="00CB28F5">
        <w:rPr>
          <w:rFonts w:ascii="Times New Roman" w:hAnsi="Times New Roman" w:cs="Times New Roman"/>
        </w:rPr>
        <w:lastRenderedPageBreak/>
        <w:t>realized</w:t>
      </w:r>
      <w:r w:rsidR="00F66DAB" w:rsidRPr="00CB28F5">
        <w:rPr>
          <w:rFonts w:ascii="Times New Roman" w:hAnsi="Times New Roman" w:cs="Times New Roman"/>
        </w:rPr>
        <w:t>, however,</w:t>
      </w:r>
      <w:r w:rsidRPr="00CB28F5">
        <w:rPr>
          <w:rFonts w:ascii="Times New Roman" w:hAnsi="Times New Roman" w:cs="Times New Roman"/>
        </w:rPr>
        <w:t xml:space="preserve"> as Companies anticipate additional costs </w:t>
      </w:r>
      <w:r w:rsidR="0061430E" w:rsidRPr="00CB28F5">
        <w:rPr>
          <w:rFonts w:ascii="Times New Roman" w:hAnsi="Times New Roman" w:cs="Times New Roman"/>
        </w:rPr>
        <w:t xml:space="preserve">for </w:t>
      </w:r>
      <w:r w:rsidRPr="00CB28F5">
        <w:rPr>
          <w:rFonts w:ascii="Times New Roman" w:hAnsi="Times New Roman" w:cs="Times New Roman"/>
        </w:rPr>
        <w:t xml:space="preserve">program </w:t>
      </w:r>
      <w:r w:rsidR="0061430E" w:rsidRPr="00CB28F5">
        <w:rPr>
          <w:rFonts w:ascii="Times New Roman" w:hAnsi="Times New Roman" w:cs="Times New Roman"/>
        </w:rPr>
        <w:t>implementation</w:t>
      </w:r>
      <w:r w:rsidR="00BF2A73" w:rsidRPr="00CB28F5">
        <w:rPr>
          <w:rFonts w:ascii="Times New Roman" w:hAnsi="Times New Roman" w:cs="Times New Roman"/>
        </w:rPr>
        <w:t xml:space="preserve"> and maintenance</w:t>
      </w:r>
      <w:r w:rsidR="0061430E" w:rsidRPr="00CB28F5">
        <w:rPr>
          <w:rFonts w:ascii="Times New Roman" w:hAnsi="Times New Roman" w:cs="Times New Roman"/>
        </w:rPr>
        <w:t xml:space="preserve">, </w:t>
      </w:r>
      <w:r w:rsidR="00B71BB9" w:rsidRPr="00CB28F5">
        <w:rPr>
          <w:rFonts w:ascii="Times New Roman" w:hAnsi="Times New Roman" w:cs="Times New Roman"/>
        </w:rPr>
        <w:t xml:space="preserve">and </w:t>
      </w:r>
      <w:r w:rsidR="00F66DAB" w:rsidRPr="00CB28F5">
        <w:rPr>
          <w:rFonts w:ascii="Times New Roman" w:hAnsi="Times New Roman" w:cs="Times New Roman"/>
        </w:rPr>
        <w:t xml:space="preserve">that </w:t>
      </w:r>
      <w:r w:rsidR="0061430E" w:rsidRPr="00CB28F5">
        <w:rPr>
          <w:rFonts w:ascii="Times New Roman" w:hAnsi="Times New Roman" w:cs="Times New Roman"/>
        </w:rPr>
        <w:t xml:space="preserve">market trends will </w:t>
      </w:r>
      <w:r w:rsidR="00F66DAB" w:rsidRPr="00CB28F5">
        <w:rPr>
          <w:rFonts w:ascii="Times New Roman" w:hAnsi="Times New Roman" w:cs="Times New Roman"/>
        </w:rPr>
        <w:t>impact</w:t>
      </w:r>
      <w:r w:rsidR="0061430E" w:rsidRPr="00CB28F5">
        <w:rPr>
          <w:rFonts w:ascii="Times New Roman" w:hAnsi="Times New Roman" w:cs="Times New Roman"/>
        </w:rPr>
        <w:t xml:space="preserve"> plan effectiveness. </w:t>
      </w:r>
    </w:p>
    <w:p w14:paraId="1ACC4797" w14:textId="695DD7F2" w:rsidR="00072D70" w:rsidRPr="00CB28F5" w:rsidRDefault="00E46012" w:rsidP="002D4F6E">
      <w:pPr>
        <w:pStyle w:val="ListParagraph"/>
        <w:numPr>
          <w:ilvl w:val="0"/>
          <w:numId w:val="18"/>
        </w:numPr>
        <w:spacing w:after="240" w:line="288" w:lineRule="auto"/>
        <w:ind w:left="0" w:hanging="720"/>
        <w:contextualSpacing w:val="0"/>
        <w:rPr>
          <w:rFonts w:ascii="Times New Roman" w:hAnsi="Times New Roman" w:cs="Times New Roman"/>
        </w:rPr>
      </w:pPr>
      <w:r w:rsidRPr="00CB28F5">
        <w:rPr>
          <w:rFonts w:ascii="Times New Roman" w:hAnsi="Times New Roman" w:cs="Times New Roman"/>
        </w:rPr>
        <w:t xml:space="preserve">The commenters </w:t>
      </w:r>
      <w:r w:rsidR="0061430E" w:rsidRPr="00CB28F5">
        <w:rPr>
          <w:rFonts w:ascii="Times New Roman" w:hAnsi="Times New Roman" w:cs="Times New Roman"/>
        </w:rPr>
        <w:t>largely agreed</w:t>
      </w:r>
      <w:r w:rsidRPr="00CB28F5">
        <w:rPr>
          <w:rFonts w:ascii="Times New Roman" w:hAnsi="Times New Roman" w:cs="Times New Roman"/>
        </w:rPr>
        <w:t xml:space="preserve"> that i</w:t>
      </w:r>
      <w:r w:rsidR="00EC27F6">
        <w:rPr>
          <w:rFonts w:ascii="Times New Roman" w:hAnsi="Times New Roman" w:cs="Times New Roman"/>
        </w:rPr>
        <w:t>t</w:t>
      </w:r>
      <w:r w:rsidRPr="00CB28F5">
        <w:rPr>
          <w:rFonts w:ascii="Times New Roman" w:hAnsi="Times New Roman" w:cs="Times New Roman"/>
        </w:rPr>
        <w:t xml:space="preserve"> would be appropriate to submit</w:t>
      </w:r>
      <w:r w:rsidR="0061430E" w:rsidRPr="00CB28F5">
        <w:rPr>
          <w:rFonts w:ascii="Times New Roman" w:hAnsi="Times New Roman" w:cs="Times New Roman"/>
        </w:rPr>
        <w:t xml:space="preserve"> some form of hedging plan </w:t>
      </w:r>
      <w:r w:rsidR="00BF2A73" w:rsidRPr="00CB28F5">
        <w:rPr>
          <w:rFonts w:ascii="Times New Roman" w:hAnsi="Times New Roman" w:cs="Times New Roman"/>
        </w:rPr>
        <w:t xml:space="preserve">with the annual PGA filing </w:t>
      </w:r>
      <w:r w:rsidRPr="00CB28F5">
        <w:rPr>
          <w:rFonts w:ascii="Times New Roman" w:hAnsi="Times New Roman" w:cs="Times New Roman"/>
        </w:rPr>
        <w:t xml:space="preserve">that includes </w:t>
      </w:r>
      <w:r w:rsidR="00BF2A73" w:rsidRPr="00CB28F5">
        <w:rPr>
          <w:rFonts w:ascii="Times New Roman" w:hAnsi="Times New Roman" w:cs="Times New Roman"/>
        </w:rPr>
        <w:t xml:space="preserve">an acknowledgment response </w:t>
      </w:r>
      <w:r w:rsidR="00BF2A73" w:rsidRPr="006C58BA">
        <w:rPr>
          <w:rFonts w:ascii="Times New Roman" w:hAnsi="Times New Roman" w:cs="Times New Roman"/>
        </w:rPr>
        <w:t>similar</w:t>
      </w:r>
      <w:r w:rsidR="00BF2A73" w:rsidRPr="00CB28F5">
        <w:rPr>
          <w:rFonts w:ascii="Times New Roman" w:hAnsi="Times New Roman" w:cs="Times New Roman"/>
        </w:rPr>
        <w:t xml:space="preserve"> to the Commission’s current Integrated Resource Plan</w:t>
      </w:r>
      <w:r w:rsidR="00B71BB9" w:rsidRPr="00CB28F5">
        <w:rPr>
          <w:rFonts w:ascii="Times New Roman" w:hAnsi="Times New Roman" w:cs="Times New Roman"/>
        </w:rPr>
        <w:t xml:space="preserve"> (</w:t>
      </w:r>
      <w:proofErr w:type="spellStart"/>
      <w:r w:rsidR="00B71BB9" w:rsidRPr="00CB28F5">
        <w:rPr>
          <w:rFonts w:ascii="Times New Roman" w:hAnsi="Times New Roman" w:cs="Times New Roman"/>
        </w:rPr>
        <w:t>IRP</w:t>
      </w:r>
      <w:proofErr w:type="spellEnd"/>
      <w:r w:rsidR="00B71BB9" w:rsidRPr="00CB28F5">
        <w:rPr>
          <w:rFonts w:ascii="Times New Roman" w:hAnsi="Times New Roman" w:cs="Times New Roman"/>
        </w:rPr>
        <w:t>)</w:t>
      </w:r>
      <w:r w:rsidR="00BF2A73" w:rsidRPr="00CB28F5">
        <w:rPr>
          <w:rFonts w:ascii="Times New Roman" w:hAnsi="Times New Roman" w:cs="Times New Roman"/>
        </w:rPr>
        <w:t xml:space="preserve"> process. Utilit</w:t>
      </w:r>
      <w:r w:rsidRPr="00CB28F5">
        <w:rPr>
          <w:rFonts w:ascii="Times New Roman" w:hAnsi="Times New Roman" w:cs="Times New Roman"/>
        </w:rPr>
        <w:t>ies</w:t>
      </w:r>
      <w:r w:rsidR="00BF2A73" w:rsidRPr="00CB28F5">
        <w:rPr>
          <w:rFonts w:ascii="Times New Roman" w:hAnsi="Times New Roman" w:cs="Times New Roman"/>
        </w:rPr>
        <w:t xml:space="preserve"> emphasized a focus on substance over formal structure and expressed concern that reporting should not be overly burdensome to Staff or the Companies. Commenters held differing opinions regarding the regulatory path to implement hedging best practices.</w:t>
      </w:r>
      <w:r w:rsidR="00BF2A73" w:rsidRPr="00CB28F5">
        <w:rPr>
          <w:rStyle w:val="FootnoteReference"/>
          <w:rFonts w:ascii="Times New Roman" w:hAnsi="Times New Roman" w:cs="Times New Roman"/>
        </w:rPr>
        <w:footnoteReference w:id="26"/>
      </w:r>
    </w:p>
    <w:p w14:paraId="4E0F71E6" w14:textId="41F5030C" w:rsidR="00476E33" w:rsidRPr="00AA5308" w:rsidRDefault="00A47C89" w:rsidP="00415865">
      <w:pPr>
        <w:pStyle w:val="Heading2"/>
        <w:numPr>
          <w:ilvl w:val="0"/>
          <w:numId w:val="14"/>
        </w:numPr>
        <w:ind w:left="720"/>
        <w:rPr>
          <w:rFonts w:cs="Times New Roman"/>
          <w:sz w:val="24"/>
          <w:szCs w:val="24"/>
        </w:rPr>
      </w:pPr>
      <w:bookmarkStart w:id="12" w:name="_Toc473903205"/>
      <w:r w:rsidRPr="00AA5308">
        <w:rPr>
          <w:rFonts w:cs="Times New Roman"/>
          <w:sz w:val="24"/>
          <w:szCs w:val="24"/>
        </w:rPr>
        <w:t>Summary of Current Washington U</w:t>
      </w:r>
      <w:r w:rsidR="00476E33" w:rsidRPr="00AA5308">
        <w:rPr>
          <w:rFonts w:cs="Times New Roman"/>
          <w:sz w:val="24"/>
          <w:szCs w:val="24"/>
        </w:rPr>
        <w:t xml:space="preserve">tility </w:t>
      </w:r>
      <w:r w:rsidRPr="00AA5308">
        <w:rPr>
          <w:rFonts w:cs="Times New Roman"/>
          <w:sz w:val="24"/>
          <w:szCs w:val="24"/>
        </w:rPr>
        <w:t>H</w:t>
      </w:r>
      <w:r w:rsidR="00476E33" w:rsidRPr="00AA5308">
        <w:rPr>
          <w:rFonts w:cs="Times New Roman"/>
          <w:sz w:val="24"/>
          <w:szCs w:val="24"/>
        </w:rPr>
        <w:t xml:space="preserve">edging </w:t>
      </w:r>
      <w:r w:rsidRPr="00AA5308">
        <w:rPr>
          <w:rFonts w:cs="Times New Roman"/>
          <w:sz w:val="24"/>
          <w:szCs w:val="24"/>
        </w:rPr>
        <w:t>P</w:t>
      </w:r>
      <w:r w:rsidR="00476E33" w:rsidRPr="00AA5308">
        <w:rPr>
          <w:rFonts w:cs="Times New Roman"/>
          <w:sz w:val="24"/>
          <w:szCs w:val="24"/>
        </w:rPr>
        <w:t>ractices</w:t>
      </w:r>
      <w:bookmarkEnd w:id="12"/>
    </w:p>
    <w:p w14:paraId="26C0797E" w14:textId="026A26DC" w:rsidR="005A5C7E" w:rsidRPr="00AA5308" w:rsidRDefault="005135D0" w:rsidP="002D4F6E">
      <w:pPr>
        <w:pStyle w:val="ListParagraph"/>
        <w:numPr>
          <w:ilvl w:val="0"/>
          <w:numId w:val="18"/>
        </w:numPr>
        <w:spacing w:after="240" w:line="288" w:lineRule="auto"/>
        <w:ind w:left="0" w:hanging="720"/>
        <w:contextualSpacing w:val="0"/>
        <w:rPr>
          <w:rFonts w:ascii="Times New Roman" w:hAnsi="Times New Roman" w:cs="Times New Roman"/>
        </w:rPr>
      </w:pPr>
      <w:r w:rsidRPr="00C113C6">
        <w:rPr>
          <w:rFonts w:ascii="Times New Roman" w:hAnsi="Times New Roman" w:cs="Times New Roman"/>
        </w:rPr>
        <w:t xml:space="preserve">Through </w:t>
      </w:r>
      <w:r w:rsidRPr="006C58BA">
        <w:rPr>
          <w:rFonts w:ascii="Times New Roman" w:hAnsi="Times New Roman" w:cs="Times New Roman"/>
        </w:rPr>
        <w:t xml:space="preserve">its </w:t>
      </w:r>
      <w:r w:rsidR="009806D8" w:rsidRPr="006C58BA">
        <w:rPr>
          <w:rFonts w:ascii="Times New Roman" w:hAnsi="Times New Roman" w:cs="Times New Roman"/>
        </w:rPr>
        <w:t>review of the 2012 PGA</w:t>
      </w:r>
      <w:r w:rsidR="00DB3B1D" w:rsidRPr="006C58BA">
        <w:rPr>
          <w:rFonts w:ascii="Times New Roman" w:hAnsi="Times New Roman" w:cs="Times New Roman"/>
        </w:rPr>
        <w:t xml:space="preserve"> Filing</w:t>
      </w:r>
      <w:r w:rsidR="009806D8" w:rsidRPr="006C58BA">
        <w:rPr>
          <w:rFonts w:ascii="Times New Roman" w:hAnsi="Times New Roman" w:cs="Times New Roman"/>
        </w:rPr>
        <w:t>s</w:t>
      </w:r>
      <w:r w:rsidRPr="006C58BA">
        <w:rPr>
          <w:rFonts w:ascii="Times New Roman" w:hAnsi="Times New Roman" w:cs="Times New Roman"/>
        </w:rPr>
        <w:t xml:space="preserve"> and subsequent investigation</w:t>
      </w:r>
      <w:r w:rsidR="000618EC" w:rsidRPr="00AA5308">
        <w:rPr>
          <w:rFonts w:ascii="Times New Roman" w:hAnsi="Times New Roman" w:cs="Times New Roman"/>
        </w:rPr>
        <w:t>, Staff</w:t>
      </w:r>
      <w:r w:rsidRPr="00AA5308">
        <w:rPr>
          <w:rFonts w:ascii="Times New Roman" w:hAnsi="Times New Roman" w:cs="Times New Roman"/>
        </w:rPr>
        <w:t xml:space="preserve"> found </w:t>
      </w:r>
      <w:r w:rsidR="009806D8" w:rsidRPr="00AA5308">
        <w:rPr>
          <w:rFonts w:ascii="Times New Roman" w:hAnsi="Times New Roman" w:cs="Times New Roman"/>
        </w:rPr>
        <w:t xml:space="preserve">that </w:t>
      </w:r>
      <w:r w:rsidR="00E161B5" w:rsidRPr="00AA5308">
        <w:rPr>
          <w:rFonts w:ascii="Times New Roman" w:hAnsi="Times New Roman" w:cs="Times New Roman"/>
        </w:rPr>
        <w:t xml:space="preserve">the </w:t>
      </w:r>
      <w:r w:rsidR="006C4CED" w:rsidRPr="00AA5308">
        <w:rPr>
          <w:rFonts w:ascii="Times New Roman" w:hAnsi="Times New Roman" w:cs="Times New Roman"/>
        </w:rPr>
        <w:t>C</w:t>
      </w:r>
      <w:r w:rsidR="00E161B5" w:rsidRPr="00AA5308">
        <w:rPr>
          <w:rFonts w:ascii="Times New Roman" w:hAnsi="Times New Roman" w:cs="Times New Roman"/>
        </w:rPr>
        <w:t xml:space="preserve">ompanies </w:t>
      </w:r>
      <w:r w:rsidR="00DB3B1D" w:rsidRPr="00AA5308">
        <w:rPr>
          <w:rFonts w:ascii="Times New Roman" w:hAnsi="Times New Roman" w:cs="Times New Roman"/>
        </w:rPr>
        <w:t xml:space="preserve">generally </w:t>
      </w:r>
      <w:r w:rsidR="00D0781E" w:rsidRPr="00AA5308">
        <w:rPr>
          <w:rFonts w:ascii="Times New Roman" w:hAnsi="Times New Roman" w:cs="Times New Roman"/>
        </w:rPr>
        <w:t xml:space="preserve">employ hedging strategies </w:t>
      </w:r>
      <w:r w:rsidR="00DB3B1D" w:rsidRPr="00AA5308">
        <w:rPr>
          <w:rFonts w:ascii="Times New Roman" w:hAnsi="Times New Roman" w:cs="Times New Roman"/>
        </w:rPr>
        <w:t>classified</w:t>
      </w:r>
      <w:r w:rsidR="00D0781E" w:rsidRPr="00AA5308">
        <w:rPr>
          <w:rFonts w:ascii="Times New Roman" w:hAnsi="Times New Roman" w:cs="Times New Roman"/>
        </w:rPr>
        <w:t xml:space="preserve"> as “programmatic.” </w:t>
      </w:r>
      <w:r w:rsidR="00593627" w:rsidRPr="00AA5308">
        <w:rPr>
          <w:rFonts w:ascii="Times New Roman" w:hAnsi="Times New Roman" w:cs="Times New Roman"/>
        </w:rPr>
        <w:t>In programmatic hedging, hedges are accumulated systematically according to a calendar schedule.</w:t>
      </w:r>
      <w:r w:rsidR="00C61651" w:rsidRPr="00CB28F5">
        <w:rPr>
          <w:rStyle w:val="FootnoteReference"/>
          <w:rFonts w:ascii="Times New Roman" w:hAnsi="Times New Roman" w:cs="Times New Roman"/>
        </w:rPr>
        <w:footnoteReference w:id="27"/>
      </w:r>
      <w:r w:rsidR="00593627" w:rsidRPr="00CB28F5">
        <w:rPr>
          <w:rFonts w:ascii="Times New Roman" w:hAnsi="Times New Roman" w:cs="Times New Roman"/>
        </w:rPr>
        <w:t xml:space="preserve"> </w:t>
      </w:r>
      <w:r w:rsidR="004E025D" w:rsidRPr="006C58BA">
        <w:rPr>
          <w:rFonts w:ascii="Times New Roman" w:hAnsi="Times New Roman" w:cs="Times New Roman"/>
        </w:rPr>
        <w:t>Typically,</w:t>
      </w:r>
      <w:r w:rsidRPr="006C58BA">
        <w:rPr>
          <w:rFonts w:ascii="Times New Roman" w:hAnsi="Times New Roman" w:cs="Times New Roman"/>
        </w:rPr>
        <w:t xml:space="preserve"> company management determines</w:t>
      </w:r>
      <w:r w:rsidR="004E025D" w:rsidRPr="006C58BA">
        <w:rPr>
          <w:rFonts w:ascii="Times New Roman" w:hAnsi="Times New Roman" w:cs="Times New Roman"/>
        </w:rPr>
        <w:t xml:space="preserve"> the amount a utility hedges on an annual basis (annual fixed hedge ratio</w:t>
      </w:r>
      <w:r w:rsidRPr="00AA5308">
        <w:rPr>
          <w:rFonts w:ascii="Times New Roman" w:hAnsi="Times New Roman" w:cs="Times New Roman"/>
        </w:rPr>
        <w:t>,</w:t>
      </w:r>
      <w:r w:rsidR="004E025D" w:rsidRPr="00AA5308">
        <w:rPr>
          <w:rFonts w:ascii="Times New Roman" w:hAnsi="Times New Roman" w:cs="Times New Roman"/>
        </w:rPr>
        <w:t xml:space="preserve"> or hedge ratio) during the development of the company’s gas </w:t>
      </w:r>
      <w:r w:rsidR="0074035E">
        <w:rPr>
          <w:rFonts w:ascii="Times New Roman" w:hAnsi="Times New Roman" w:cs="Times New Roman"/>
        </w:rPr>
        <w:t>p</w:t>
      </w:r>
      <w:r w:rsidR="004E025D" w:rsidRPr="00AA5308">
        <w:rPr>
          <w:rFonts w:ascii="Times New Roman" w:hAnsi="Times New Roman" w:cs="Times New Roman"/>
        </w:rPr>
        <w:t xml:space="preserve">rocurement </w:t>
      </w:r>
      <w:r w:rsidR="0074035E">
        <w:rPr>
          <w:rFonts w:ascii="Times New Roman" w:hAnsi="Times New Roman" w:cs="Times New Roman"/>
        </w:rPr>
        <w:t>p</w:t>
      </w:r>
      <w:r w:rsidR="004E025D" w:rsidRPr="00AA5308">
        <w:rPr>
          <w:rFonts w:ascii="Times New Roman" w:hAnsi="Times New Roman" w:cs="Times New Roman"/>
        </w:rPr>
        <w:t xml:space="preserve">lan, although specific prescriptive hedge ratios vary by month across a prospective year. </w:t>
      </w:r>
      <w:r w:rsidR="009506D1" w:rsidRPr="00AA5308">
        <w:rPr>
          <w:rFonts w:ascii="Times New Roman" w:hAnsi="Times New Roman" w:cs="Times New Roman"/>
        </w:rPr>
        <w:t>As a general matter</w:t>
      </w:r>
      <w:r w:rsidR="00BA5F49" w:rsidRPr="00AA5308">
        <w:rPr>
          <w:rFonts w:ascii="Times New Roman" w:hAnsi="Times New Roman" w:cs="Times New Roman"/>
        </w:rPr>
        <w:t xml:space="preserve">, </w:t>
      </w:r>
      <w:r w:rsidR="003A5748" w:rsidRPr="00AA5308">
        <w:rPr>
          <w:rFonts w:ascii="Times New Roman" w:hAnsi="Times New Roman" w:cs="Times New Roman"/>
        </w:rPr>
        <w:t xml:space="preserve">the </w:t>
      </w:r>
      <w:r w:rsidR="006C4CED" w:rsidRPr="00AA5308">
        <w:rPr>
          <w:rFonts w:ascii="Times New Roman" w:hAnsi="Times New Roman" w:cs="Times New Roman"/>
        </w:rPr>
        <w:t>C</w:t>
      </w:r>
      <w:r w:rsidR="003A5748" w:rsidRPr="00AA5308">
        <w:rPr>
          <w:rFonts w:ascii="Times New Roman" w:hAnsi="Times New Roman" w:cs="Times New Roman"/>
        </w:rPr>
        <w:t>ompanies</w:t>
      </w:r>
      <w:r w:rsidR="009506D1" w:rsidRPr="00AA5308">
        <w:rPr>
          <w:rFonts w:ascii="Times New Roman" w:hAnsi="Times New Roman" w:cs="Times New Roman"/>
        </w:rPr>
        <w:t xml:space="preserve"> prescribe hedge ratios up to a year in advance, and the execution of prescribed hedges are largely independent of market risk conditions at the time of execution.</w:t>
      </w:r>
      <w:r w:rsidR="007519E4" w:rsidRPr="00AA5308">
        <w:rPr>
          <w:rFonts w:ascii="Times New Roman" w:hAnsi="Times New Roman" w:cs="Times New Roman"/>
        </w:rPr>
        <w:t xml:space="preserve"> </w:t>
      </w:r>
    </w:p>
    <w:p w14:paraId="78B0ADC6" w14:textId="5EC23452" w:rsidR="003E7F9F" w:rsidRPr="00AA5308" w:rsidRDefault="004E025D" w:rsidP="002D4F6E">
      <w:pPr>
        <w:pStyle w:val="ListParagraph"/>
        <w:numPr>
          <w:ilvl w:val="0"/>
          <w:numId w:val="18"/>
        </w:numPr>
        <w:spacing w:after="240" w:line="288" w:lineRule="auto"/>
        <w:ind w:left="0" w:hanging="720"/>
        <w:contextualSpacing w:val="0"/>
        <w:rPr>
          <w:rFonts w:ascii="Times New Roman" w:hAnsi="Times New Roman" w:cs="Times New Roman"/>
        </w:rPr>
      </w:pPr>
      <w:r w:rsidRPr="006C58BA">
        <w:rPr>
          <w:rFonts w:ascii="Times New Roman" w:hAnsi="Times New Roman" w:cs="Times New Roman"/>
        </w:rPr>
        <w:t>A programmatic</w:t>
      </w:r>
      <w:r w:rsidR="005A5C7E" w:rsidRPr="006C58BA">
        <w:rPr>
          <w:rFonts w:ascii="Times New Roman" w:hAnsi="Times New Roman" w:cs="Times New Roman"/>
        </w:rPr>
        <w:t xml:space="preserve"> hedging strategy necessarily </w:t>
      </w:r>
      <w:r w:rsidR="0074035E">
        <w:rPr>
          <w:rFonts w:ascii="Times New Roman" w:hAnsi="Times New Roman" w:cs="Times New Roman"/>
        </w:rPr>
        <w:t>is disconnected</w:t>
      </w:r>
      <w:r w:rsidR="005A5C7E" w:rsidRPr="006C58BA">
        <w:rPr>
          <w:rFonts w:ascii="Times New Roman" w:hAnsi="Times New Roman" w:cs="Times New Roman"/>
        </w:rPr>
        <w:t xml:space="preserve"> from a critical assessment</w:t>
      </w:r>
      <w:r w:rsidR="002D5E0B" w:rsidRPr="006C58BA">
        <w:rPr>
          <w:rFonts w:ascii="Times New Roman" w:hAnsi="Times New Roman" w:cs="Times New Roman"/>
        </w:rPr>
        <w:t xml:space="preserve"> of market risk conditions; there is no need </w:t>
      </w:r>
      <w:r w:rsidR="0074035E">
        <w:rPr>
          <w:rFonts w:ascii="Times New Roman" w:hAnsi="Times New Roman" w:cs="Times New Roman"/>
        </w:rPr>
        <w:t xml:space="preserve">for a company </w:t>
      </w:r>
      <w:r w:rsidR="002D5E0B" w:rsidRPr="006C58BA">
        <w:rPr>
          <w:rFonts w:ascii="Times New Roman" w:hAnsi="Times New Roman" w:cs="Times New Roman"/>
        </w:rPr>
        <w:t xml:space="preserve">to measure risk conditions if </w:t>
      </w:r>
      <w:r w:rsidR="0074035E">
        <w:rPr>
          <w:rFonts w:ascii="Times New Roman" w:hAnsi="Times New Roman" w:cs="Times New Roman"/>
        </w:rPr>
        <w:t>it has</w:t>
      </w:r>
      <w:r w:rsidR="0074035E" w:rsidRPr="006C58BA">
        <w:rPr>
          <w:rFonts w:ascii="Times New Roman" w:hAnsi="Times New Roman" w:cs="Times New Roman"/>
        </w:rPr>
        <w:t xml:space="preserve"> </w:t>
      </w:r>
      <w:r w:rsidR="002D5E0B" w:rsidRPr="006C58BA">
        <w:rPr>
          <w:rFonts w:ascii="Times New Roman" w:hAnsi="Times New Roman" w:cs="Times New Roman"/>
        </w:rPr>
        <w:t xml:space="preserve">no intention to respond to changing risk. As noted in Staff’s initial </w:t>
      </w:r>
      <w:r w:rsidRPr="00AA5308">
        <w:rPr>
          <w:rFonts w:ascii="Times New Roman" w:hAnsi="Times New Roman" w:cs="Times New Roman"/>
        </w:rPr>
        <w:t xml:space="preserve">review </w:t>
      </w:r>
      <w:r w:rsidR="00A96B89" w:rsidRPr="00AA5308">
        <w:rPr>
          <w:rFonts w:ascii="Times New Roman" w:hAnsi="Times New Roman" w:cs="Times New Roman"/>
        </w:rPr>
        <w:t>of the 2012 PGA</w:t>
      </w:r>
      <w:r w:rsidR="008A3816" w:rsidRPr="00AA5308">
        <w:rPr>
          <w:rFonts w:ascii="Times New Roman" w:hAnsi="Times New Roman" w:cs="Times New Roman"/>
        </w:rPr>
        <w:t xml:space="preserve"> Filing</w:t>
      </w:r>
      <w:r w:rsidR="00A96B89" w:rsidRPr="00AA5308">
        <w:rPr>
          <w:rFonts w:ascii="Times New Roman" w:hAnsi="Times New Roman" w:cs="Times New Roman"/>
        </w:rPr>
        <w:t xml:space="preserve">s, </w:t>
      </w:r>
      <w:r w:rsidRPr="00AA5308">
        <w:rPr>
          <w:rFonts w:ascii="Times New Roman" w:hAnsi="Times New Roman" w:cs="Times New Roman"/>
        </w:rPr>
        <w:t>C</w:t>
      </w:r>
      <w:r w:rsidR="00A96B89" w:rsidRPr="00AA5308">
        <w:rPr>
          <w:rFonts w:ascii="Times New Roman" w:hAnsi="Times New Roman" w:cs="Times New Roman"/>
        </w:rPr>
        <w:t xml:space="preserve">ompanies regard the </w:t>
      </w:r>
      <w:r w:rsidR="008A3816" w:rsidRPr="00AA5308">
        <w:rPr>
          <w:rFonts w:ascii="Times New Roman" w:hAnsi="Times New Roman" w:cs="Times New Roman"/>
        </w:rPr>
        <w:t xml:space="preserve">primary </w:t>
      </w:r>
      <w:r w:rsidR="00A96B89" w:rsidRPr="00AA5308">
        <w:rPr>
          <w:rFonts w:ascii="Times New Roman" w:hAnsi="Times New Roman" w:cs="Times New Roman"/>
        </w:rPr>
        <w:t>hedging objective to be “price stability.”</w:t>
      </w:r>
      <w:r w:rsidR="00A96B89" w:rsidRPr="00CB28F5">
        <w:rPr>
          <w:rStyle w:val="FootnoteReference"/>
          <w:rFonts w:ascii="Times New Roman" w:hAnsi="Times New Roman" w:cs="Times New Roman"/>
        </w:rPr>
        <w:footnoteReference w:id="28"/>
      </w:r>
      <w:r w:rsidR="00A96B89" w:rsidRPr="00CB28F5">
        <w:rPr>
          <w:rFonts w:ascii="Times New Roman" w:hAnsi="Times New Roman" w:cs="Times New Roman"/>
        </w:rPr>
        <w:t xml:space="preserve"> </w:t>
      </w:r>
      <w:r w:rsidR="002A00FD" w:rsidRPr="00CB28F5">
        <w:rPr>
          <w:rFonts w:ascii="Times New Roman" w:hAnsi="Times New Roman" w:cs="Times New Roman"/>
        </w:rPr>
        <w:t xml:space="preserve">Thus, </w:t>
      </w:r>
      <w:r w:rsidR="00EB0419" w:rsidRPr="00AA5308">
        <w:rPr>
          <w:rFonts w:ascii="Times New Roman" w:hAnsi="Times New Roman" w:cs="Times New Roman"/>
        </w:rPr>
        <w:t xml:space="preserve">most </w:t>
      </w:r>
      <w:r w:rsidR="006C4CED" w:rsidRPr="00AA5308">
        <w:rPr>
          <w:rFonts w:ascii="Times New Roman" w:hAnsi="Times New Roman" w:cs="Times New Roman"/>
        </w:rPr>
        <w:t>C</w:t>
      </w:r>
      <w:r w:rsidR="003A5748" w:rsidRPr="00AA5308">
        <w:rPr>
          <w:rFonts w:ascii="Times New Roman" w:hAnsi="Times New Roman" w:cs="Times New Roman"/>
        </w:rPr>
        <w:t>ompanies</w:t>
      </w:r>
      <w:r w:rsidR="00EB0419" w:rsidRPr="00AA5308">
        <w:rPr>
          <w:rFonts w:ascii="Times New Roman" w:hAnsi="Times New Roman" w:cs="Times New Roman"/>
        </w:rPr>
        <w:t xml:space="preserve"> </w:t>
      </w:r>
      <w:r w:rsidR="00C178B4" w:rsidRPr="00AA5308">
        <w:rPr>
          <w:rFonts w:ascii="Times New Roman" w:hAnsi="Times New Roman" w:cs="Times New Roman"/>
        </w:rPr>
        <w:t>established</w:t>
      </w:r>
      <w:r w:rsidR="00EB0419" w:rsidRPr="00AA5308">
        <w:rPr>
          <w:rFonts w:ascii="Times New Roman" w:hAnsi="Times New Roman" w:cs="Times New Roman"/>
        </w:rPr>
        <w:t xml:space="preserve"> large hedge ratios</w:t>
      </w:r>
      <w:r w:rsidR="00C178B4" w:rsidRPr="00AA5308">
        <w:rPr>
          <w:rFonts w:ascii="Times New Roman" w:hAnsi="Times New Roman" w:cs="Times New Roman"/>
        </w:rPr>
        <w:t xml:space="preserve"> and maintained those ratios in a declining and stabilizing natural gas market. Utilities explicit</w:t>
      </w:r>
      <w:r w:rsidR="002A00FD" w:rsidRPr="00AA5308">
        <w:rPr>
          <w:rFonts w:ascii="Times New Roman" w:hAnsi="Times New Roman" w:cs="Times New Roman"/>
        </w:rPr>
        <w:t>ly</w:t>
      </w:r>
      <w:r w:rsidR="00C178B4" w:rsidRPr="00AA5308">
        <w:rPr>
          <w:rFonts w:ascii="Times New Roman" w:hAnsi="Times New Roman" w:cs="Times New Roman"/>
        </w:rPr>
        <w:t xml:space="preserve"> </w:t>
      </w:r>
      <w:r w:rsidR="002A00FD" w:rsidRPr="00AA5308">
        <w:rPr>
          <w:rFonts w:ascii="Times New Roman" w:hAnsi="Times New Roman" w:cs="Times New Roman"/>
        </w:rPr>
        <w:t>seeking</w:t>
      </w:r>
      <w:r w:rsidR="00C178B4" w:rsidRPr="00AA5308">
        <w:rPr>
          <w:rFonts w:ascii="Times New Roman" w:hAnsi="Times New Roman" w:cs="Times New Roman"/>
        </w:rPr>
        <w:t xml:space="preserve"> price stability will endeavor to maintain </w:t>
      </w:r>
      <w:r w:rsidR="00745FB5" w:rsidRPr="00AA5308">
        <w:rPr>
          <w:rFonts w:ascii="Times New Roman" w:hAnsi="Times New Roman" w:cs="Times New Roman"/>
        </w:rPr>
        <w:t xml:space="preserve">large </w:t>
      </w:r>
      <w:r w:rsidR="00C178B4" w:rsidRPr="00AA5308">
        <w:rPr>
          <w:rFonts w:ascii="Times New Roman" w:hAnsi="Times New Roman" w:cs="Times New Roman"/>
        </w:rPr>
        <w:t>hedge ratios</w:t>
      </w:r>
      <w:r w:rsidR="00745FB5" w:rsidRPr="00AA5308">
        <w:rPr>
          <w:rFonts w:ascii="Times New Roman" w:hAnsi="Times New Roman" w:cs="Times New Roman"/>
        </w:rPr>
        <w:t xml:space="preserve">, in effect exchanging exposure to market volatility for stable </w:t>
      </w:r>
      <w:r w:rsidRPr="00AA5308">
        <w:rPr>
          <w:rFonts w:ascii="Times New Roman" w:hAnsi="Times New Roman" w:cs="Times New Roman"/>
        </w:rPr>
        <w:t xml:space="preserve">and potentially </w:t>
      </w:r>
      <w:r w:rsidR="00745FB5" w:rsidRPr="00AA5308">
        <w:rPr>
          <w:rFonts w:ascii="Times New Roman" w:hAnsi="Times New Roman" w:cs="Times New Roman"/>
        </w:rPr>
        <w:t xml:space="preserve">high prices. </w:t>
      </w:r>
    </w:p>
    <w:p w14:paraId="5C7B3124" w14:textId="14DCF64A" w:rsidR="000B67F5" w:rsidRPr="00AA5308" w:rsidRDefault="006046BC" w:rsidP="00415865">
      <w:pPr>
        <w:pStyle w:val="Heading1"/>
        <w:numPr>
          <w:ilvl w:val="0"/>
          <w:numId w:val="10"/>
        </w:numPr>
        <w:ind w:left="720"/>
        <w:rPr>
          <w:rFonts w:cs="Times New Roman"/>
          <w:sz w:val="24"/>
          <w:szCs w:val="24"/>
        </w:rPr>
      </w:pPr>
      <w:bookmarkStart w:id="13" w:name="_Toc473903206"/>
      <w:r w:rsidRPr="00AA5308">
        <w:rPr>
          <w:rFonts w:cs="Times New Roman"/>
          <w:sz w:val="24"/>
          <w:szCs w:val="24"/>
        </w:rPr>
        <w:lastRenderedPageBreak/>
        <w:t>S</w:t>
      </w:r>
      <w:r w:rsidR="009E7464" w:rsidRPr="00AA5308">
        <w:rPr>
          <w:rFonts w:cs="Times New Roman"/>
          <w:sz w:val="24"/>
          <w:szCs w:val="24"/>
        </w:rPr>
        <w:t>TATEMENT OF POLICY PROBLEM</w:t>
      </w:r>
      <w:bookmarkEnd w:id="13"/>
    </w:p>
    <w:p w14:paraId="001303E0" w14:textId="4AB1AEF1" w:rsidR="00800D99" w:rsidRPr="00CB28F5" w:rsidRDefault="00210055" w:rsidP="002D4F6E">
      <w:pPr>
        <w:pStyle w:val="ListParagraph"/>
        <w:numPr>
          <w:ilvl w:val="0"/>
          <w:numId w:val="18"/>
        </w:numPr>
        <w:spacing w:after="240" w:line="288" w:lineRule="auto"/>
        <w:ind w:left="0" w:hanging="720"/>
        <w:contextualSpacing w:val="0"/>
        <w:rPr>
          <w:rFonts w:ascii="Times New Roman" w:hAnsi="Times New Roman" w:cs="Times New Roman"/>
        </w:rPr>
      </w:pPr>
      <w:r w:rsidRPr="00CB28F5">
        <w:rPr>
          <w:rFonts w:ascii="Times New Roman" w:hAnsi="Times New Roman" w:cs="Times New Roman"/>
        </w:rPr>
        <w:t xml:space="preserve">The four </w:t>
      </w:r>
      <w:proofErr w:type="spellStart"/>
      <w:r w:rsidRPr="00CB28F5">
        <w:rPr>
          <w:rFonts w:ascii="Times New Roman" w:hAnsi="Times New Roman" w:cs="Times New Roman"/>
        </w:rPr>
        <w:t>LDCs</w:t>
      </w:r>
      <w:proofErr w:type="spellEnd"/>
      <w:r w:rsidRPr="00CB28F5">
        <w:rPr>
          <w:rFonts w:ascii="Times New Roman" w:hAnsi="Times New Roman" w:cs="Times New Roman"/>
        </w:rPr>
        <w:t xml:space="preserve"> regulated by the Commission experienced net hedging losses of over $1.1 billion b</w:t>
      </w:r>
      <w:r w:rsidR="00E62B4D" w:rsidRPr="00C113C6">
        <w:rPr>
          <w:rFonts w:ascii="Times New Roman" w:hAnsi="Times New Roman" w:cs="Times New Roman"/>
        </w:rPr>
        <w:t xml:space="preserve">etween November 1, </w:t>
      </w:r>
      <w:r w:rsidR="00CE74AC" w:rsidRPr="006C58BA">
        <w:rPr>
          <w:rFonts w:ascii="Times New Roman" w:hAnsi="Times New Roman" w:cs="Times New Roman"/>
        </w:rPr>
        <w:t>2002</w:t>
      </w:r>
      <w:r w:rsidR="00885976" w:rsidRPr="006C58BA">
        <w:rPr>
          <w:rFonts w:ascii="Times New Roman" w:hAnsi="Times New Roman" w:cs="Times New Roman"/>
        </w:rPr>
        <w:t>,</w:t>
      </w:r>
      <w:r w:rsidR="00E62B4D" w:rsidRPr="006C58BA">
        <w:rPr>
          <w:rFonts w:ascii="Times New Roman" w:hAnsi="Times New Roman" w:cs="Times New Roman"/>
        </w:rPr>
        <w:t xml:space="preserve"> and October 31, 2012. </w:t>
      </w:r>
      <w:r w:rsidR="008321C7" w:rsidRPr="006C58BA">
        <w:rPr>
          <w:rFonts w:ascii="Times New Roman" w:hAnsi="Times New Roman" w:cs="Times New Roman"/>
        </w:rPr>
        <w:t xml:space="preserve">While </w:t>
      </w:r>
      <w:r w:rsidR="00FF1170" w:rsidRPr="006C58BA">
        <w:rPr>
          <w:rFonts w:ascii="Times New Roman" w:hAnsi="Times New Roman" w:cs="Times New Roman"/>
        </w:rPr>
        <w:t xml:space="preserve">it is </w:t>
      </w:r>
      <w:r w:rsidR="00BE718F" w:rsidRPr="006C58BA">
        <w:rPr>
          <w:rFonts w:ascii="Times New Roman" w:hAnsi="Times New Roman" w:cs="Times New Roman"/>
        </w:rPr>
        <w:t>tempting</w:t>
      </w:r>
      <w:r w:rsidR="00FE4EDF" w:rsidRPr="00EC27F6">
        <w:rPr>
          <w:rFonts w:ascii="Times New Roman" w:hAnsi="Times New Roman" w:cs="Times New Roman"/>
        </w:rPr>
        <w:t xml:space="preserve"> to characterize</w:t>
      </w:r>
      <w:r w:rsidR="000B67F5" w:rsidRPr="00EC27F6">
        <w:rPr>
          <w:rFonts w:ascii="Times New Roman" w:hAnsi="Times New Roman" w:cs="Times New Roman"/>
        </w:rPr>
        <w:t xml:space="preserve"> the problem simply in terms of hedging losses</w:t>
      </w:r>
      <w:r w:rsidR="008321C7" w:rsidRPr="00AA5308">
        <w:rPr>
          <w:rFonts w:ascii="Times New Roman" w:hAnsi="Times New Roman" w:cs="Times New Roman"/>
        </w:rPr>
        <w:t xml:space="preserve">, </w:t>
      </w:r>
      <w:r w:rsidR="0052419A">
        <w:rPr>
          <w:rFonts w:ascii="Times New Roman" w:hAnsi="Times New Roman" w:cs="Times New Roman"/>
        </w:rPr>
        <w:t>“</w:t>
      </w:r>
      <w:r w:rsidR="00E716FC" w:rsidRPr="00AA5308">
        <w:rPr>
          <w:rFonts w:ascii="Times New Roman" w:hAnsi="Times New Roman" w:cs="Times New Roman"/>
        </w:rPr>
        <w:t>mark-to-market</w:t>
      </w:r>
      <w:r w:rsidR="0052419A">
        <w:rPr>
          <w:rFonts w:ascii="Times New Roman" w:hAnsi="Times New Roman" w:cs="Times New Roman"/>
        </w:rPr>
        <w:t>”</w:t>
      </w:r>
      <w:r w:rsidR="00E716FC" w:rsidRPr="00AA5308">
        <w:rPr>
          <w:rFonts w:ascii="Times New Roman" w:hAnsi="Times New Roman" w:cs="Times New Roman"/>
        </w:rPr>
        <w:t xml:space="preserve"> </w:t>
      </w:r>
      <w:r w:rsidR="000B67F5" w:rsidRPr="00AA5308">
        <w:rPr>
          <w:rFonts w:ascii="Times New Roman" w:hAnsi="Times New Roman" w:cs="Times New Roman"/>
        </w:rPr>
        <w:t>losses are a likely outcome of any hedging strategy</w:t>
      </w:r>
      <w:r w:rsidR="008321C7" w:rsidRPr="00AA5308">
        <w:rPr>
          <w:rFonts w:ascii="Times New Roman" w:hAnsi="Times New Roman" w:cs="Times New Roman"/>
        </w:rPr>
        <w:t>.</w:t>
      </w:r>
      <w:r w:rsidR="00307496" w:rsidRPr="00CB28F5">
        <w:rPr>
          <w:rStyle w:val="FootnoteReference"/>
          <w:rFonts w:ascii="Times New Roman" w:hAnsi="Times New Roman" w:cs="Times New Roman"/>
        </w:rPr>
        <w:footnoteReference w:id="29"/>
      </w:r>
      <w:r w:rsidR="000B67F5" w:rsidRPr="00CB28F5">
        <w:rPr>
          <w:rFonts w:ascii="Times New Roman" w:hAnsi="Times New Roman" w:cs="Times New Roman"/>
        </w:rPr>
        <w:t xml:space="preserve">  </w:t>
      </w:r>
    </w:p>
    <w:p w14:paraId="538758DC" w14:textId="4C1EED77" w:rsidR="00E716FC" w:rsidRPr="00CB28F5" w:rsidRDefault="00C33DC5" w:rsidP="002D4F6E">
      <w:pPr>
        <w:pStyle w:val="ListParagraph"/>
        <w:numPr>
          <w:ilvl w:val="0"/>
          <w:numId w:val="18"/>
        </w:numPr>
        <w:spacing w:after="240" w:line="288" w:lineRule="auto"/>
        <w:ind w:left="0" w:hanging="720"/>
        <w:contextualSpacing w:val="0"/>
        <w:rPr>
          <w:rFonts w:ascii="Times New Roman" w:hAnsi="Times New Roman" w:cs="Times New Roman"/>
        </w:rPr>
      </w:pPr>
      <w:r w:rsidRPr="006C58BA">
        <w:rPr>
          <w:rFonts w:ascii="Times New Roman" w:hAnsi="Times New Roman" w:cs="Times New Roman"/>
        </w:rPr>
        <w:t>It is evident that</w:t>
      </w:r>
      <w:r w:rsidR="00FF1170" w:rsidRPr="006C58BA">
        <w:rPr>
          <w:rFonts w:ascii="Times New Roman" w:hAnsi="Times New Roman" w:cs="Times New Roman"/>
        </w:rPr>
        <w:t>,</w:t>
      </w:r>
      <w:r w:rsidRPr="006C58BA">
        <w:rPr>
          <w:rFonts w:ascii="Times New Roman" w:hAnsi="Times New Roman" w:cs="Times New Roman"/>
        </w:rPr>
        <w:t xml:space="preserve"> at any given moment, some level of hedging is justified</w:t>
      </w:r>
      <w:r w:rsidR="00FF1170" w:rsidRPr="006C58BA">
        <w:rPr>
          <w:rFonts w:ascii="Times New Roman" w:hAnsi="Times New Roman" w:cs="Times New Roman"/>
        </w:rPr>
        <w:t>,</w:t>
      </w:r>
      <w:r w:rsidRPr="006C58BA">
        <w:rPr>
          <w:rFonts w:ascii="Times New Roman" w:hAnsi="Times New Roman" w:cs="Times New Roman"/>
        </w:rPr>
        <w:t xml:space="preserve"> and th</w:t>
      </w:r>
      <w:r w:rsidR="00FF1170" w:rsidRPr="006C58BA">
        <w:rPr>
          <w:rFonts w:ascii="Times New Roman" w:hAnsi="Times New Roman" w:cs="Times New Roman"/>
        </w:rPr>
        <w:t>e</w:t>
      </w:r>
      <w:r w:rsidR="00C6126E" w:rsidRPr="00EC27F6">
        <w:rPr>
          <w:rFonts w:ascii="Times New Roman" w:hAnsi="Times New Roman" w:cs="Times New Roman"/>
        </w:rPr>
        <w:t xml:space="preserve"> level of hedging is </w:t>
      </w:r>
      <w:r w:rsidR="0025741A" w:rsidRPr="00AA5308">
        <w:rPr>
          <w:rFonts w:ascii="Times New Roman" w:hAnsi="Times New Roman" w:cs="Times New Roman"/>
        </w:rPr>
        <w:t>informed largely</w:t>
      </w:r>
      <w:r w:rsidRPr="00AA5308">
        <w:rPr>
          <w:rFonts w:ascii="Times New Roman" w:hAnsi="Times New Roman" w:cs="Times New Roman"/>
        </w:rPr>
        <w:t xml:space="preserve"> by </w:t>
      </w:r>
      <w:r w:rsidR="0025741A" w:rsidRPr="00AA5308">
        <w:rPr>
          <w:rFonts w:ascii="Times New Roman" w:hAnsi="Times New Roman" w:cs="Times New Roman"/>
        </w:rPr>
        <w:t>an assessment of market</w:t>
      </w:r>
      <w:r w:rsidR="00C6126E" w:rsidRPr="00AA5308">
        <w:rPr>
          <w:rFonts w:ascii="Times New Roman" w:hAnsi="Times New Roman" w:cs="Times New Roman"/>
        </w:rPr>
        <w:t xml:space="preserve"> volatili</w:t>
      </w:r>
      <w:r w:rsidR="0025741A" w:rsidRPr="00AA5308">
        <w:rPr>
          <w:rFonts w:ascii="Times New Roman" w:hAnsi="Times New Roman" w:cs="Times New Roman"/>
        </w:rPr>
        <w:t>ty</w:t>
      </w:r>
      <w:r w:rsidR="00C6126E" w:rsidRPr="00AA5308">
        <w:rPr>
          <w:rFonts w:ascii="Times New Roman" w:hAnsi="Times New Roman" w:cs="Times New Roman"/>
        </w:rPr>
        <w:t xml:space="preserve">. </w:t>
      </w:r>
      <w:r w:rsidR="008321C7" w:rsidRPr="00AA5308">
        <w:rPr>
          <w:rFonts w:ascii="Times New Roman" w:hAnsi="Times New Roman" w:cs="Times New Roman"/>
        </w:rPr>
        <w:t xml:space="preserve">Although management of upside price risk is the central function of hedging, deciding when </w:t>
      </w:r>
      <w:r w:rsidR="008321C7" w:rsidRPr="00AA5308">
        <w:rPr>
          <w:rFonts w:ascii="Times New Roman" w:hAnsi="Times New Roman" w:cs="Times New Roman"/>
          <w:i/>
        </w:rPr>
        <w:t>not</w:t>
      </w:r>
      <w:r w:rsidR="008321C7" w:rsidRPr="00AA5308">
        <w:rPr>
          <w:rFonts w:ascii="Times New Roman" w:hAnsi="Times New Roman" w:cs="Times New Roman"/>
        </w:rPr>
        <w:t xml:space="preserve"> to hedge (or, perhaps more accurately, when to hedge </w:t>
      </w:r>
      <w:r w:rsidR="008321C7" w:rsidRPr="00AA5308">
        <w:rPr>
          <w:rFonts w:ascii="Times New Roman" w:hAnsi="Times New Roman" w:cs="Times New Roman"/>
          <w:i/>
        </w:rPr>
        <w:t>less</w:t>
      </w:r>
      <w:r w:rsidR="008321C7" w:rsidRPr="00AA5308">
        <w:rPr>
          <w:rFonts w:ascii="Times New Roman" w:hAnsi="Times New Roman" w:cs="Times New Roman"/>
        </w:rPr>
        <w:t xml:space="preserve">) is central to managing ratepayer exposure to hedge losses. </w:t>
      </w:r>
    </w:p>
    <w:p w14:paraId="2FCAF9C4" w14:textId="5B5E13FD" w:rsidR="009979F5" w:rsidRPr="00AA5308" w:rsidRDefault="00E716FC" w:rsidP="002D4F6E">
      <w:pPr>
        <w:pStyle w:val="ListParagraph"/>
        <w:numPr>
          <w:ilvl w:val="0"/>
          <w:numId w:val="18"/>
        </w:numPr>
        <w:spacing w:after="240" w:line="288" w:lineRule="auto"/>
        <w:ind w:left="0" w:hanging="720"/>
        <w:contextualSpacing w:val="0"/>
        <w:rPr>
          <w:rFonts w:ascii="Times New Roman" w:hAnsi="Times New Roman" w:cs="Times New Roman"/>
        </w:rPr>
      </w:pPr>
      <w:r w:rsidRPr="006C58BA">
        <w:rPr>
          <w:rFonts w:ascii="Times New Roman" w:hAnsi="Times New Roman" w:cs="Times New Roman"/>
        </w:rPr>
        <w:t>Using theoretically sound hedging practices, a</w:t>
      </w:r>
      <w:r w:rsidR="0025741A" w:rsidRPr="006C58BA">
        <w:rPr>
          <w:rFonts w:ascii="Times New Roman" w:hAnsi="Times New Roman" w:cs="Times New Roman"/>
        </w:rPr>
        <w:t xml:space="preserve">n objective hedge manager will </w:t>
      </w:r>
      <w:r w:rsidR="009979F5" w:rsidRPr="006C58BA">
        <w:rPr>
          <w:rFonts w:ascii="Times New Roman" w:hAnsi="Times New Roman" w:cs="Times New Roman"/>
        </w:rPr>
        <w:t xml:space="preserve">measure market volatility and </w:t>
      </w:r>
      <w:r w:rsidR="0025741A" w:rsidRPr="00AA5308">
        <w:rPr>
          <w:rFonts w:ascii="Times New Roman" w:hAnsi="Times New Roman" w:cs="Times New Roman"/>
        </w:rPr>
        <w:t>execute hedges that result in a reasonable balance between exposure to upside price risk and exposure to hedge loss risk.</w:t>
      </w:r>
      <w:r w:rsidR="009979F5" w:rsidRPr="00AA5308">
        <w:rPr>
          <w:rFonts w:ascii="Times New Roman" w:hAnsi="Times New Roman" w:cs="Times New Roman"/>
        </w:rPr>
        <w:t xml:space="preserve"> Thus, hedging objectives should seek to </w:t>
      </w:r>
      <w:r w:rsidR="005A0DCD" w:rsidRPr="00AA5308">
        <w:rPr>
          <w:rFonts w:ascii="Times New Roman" w:hAnsi="Times New Roman" w:cs="Times New Roman"/>
        </w:rPr>
        <w:t xml:space="preserve">simultaneously </w:t>
      </w:r>
      <w:r w:rsidR="008321C7" w:rsidRPr="00AA5308">
        <w:rPr>
          <w:rFonts w:ascii="Times New Roman" w:hAnsi="Times New Roman" w:cs="Times New Roman"/>
        </w:rPr>
        <w:t>minimize</w:t>
      </w:r>
      <w:r w:rsidR="009979F5" w:rsidRPr="00AA5308">
        <w:rPr>
          <w:rFonts w:ascii="Times New Roman" w:hAnsi="Times New Roman" w:cs="Times New Roman"/>
        </w:rPr>
        <w:t xml:space="preserve"> both </w:t>
      </w:r>
      <w:r w:rsidR="005A0DCD" w:rsidRPr="00AA5308">
        <w:rPr>
          <w:rFonts w:ascii="Times New Roman" w:hAnsi="Times New Roman" w:cs="Times New Roman"/>
        </w:rPr>
        <w:t>“cost risk” and “loss risk</w:t>
      </w:r>
      <w:r w:rsidR="0052419A">
        <w:rPr>
          <w:rFonts w:ascii="Times New Roman" w:hAnsi="Times New Roman" w:cs="Times New Roman"/>
        </w:rPr>
        <w:t>”</w:t>
      </w:r>
      <w:r w:rsidR="009979F5" w:rsidRPr="00AA5308">
        <w:rPr>
          <w:rFonts w:ascii="Times New Roman" w:hAnsi="Times New Roman" w:cs="Times New Roman"/>
        </w:rPr>
        <w:t xml:space="preserve">. </w:t>
      </w:r>
    </w:p>
    <w:p w14:paraId="61141B73" w14:textId="4EFB710B" w:rsidR="003476EA" w:rsidRPr="00AA5308" w:rsidRDefault="00E716FC" w:rsidP="002D4F6E">
      <w:pPr>
        <w:pStyle w:val="ListParagraph"/>
        <w:numPr>
          <w:ilvl w:val="0"/>
          <w:numId w:val="18"/>
        </w:numPr>
        <w:spacing w:after="240" w:line="288" w:lineRule="auto"/>
        <w:ind w:left="0" w:hanging="720"/>
        <w:contextualSpacing w:val="0"/>
        <w:rPr>
          <w:rFonts w:ascii="Times New Roman" w:hAnsi="Times New Roman" w:cs="Times New Roman"/>
        </w:rPr>
      </w:pPr>
      <w:r w:rsidRPr="006C58BA">
        <w:rPr>
          <w:rFonts w:ascii="Times New Roman" w:hAnsi="Times New Roman" w:cs="Times New Roman"/>
        </w:rPr>
        <w:t>T</w:t>
      </w:r>
      <w:r w:rsidR="00495A6C" w:rsidRPr="006C58BA">
        <w:rPr>
          <w:rFonts w:ascii="Times New Roman" w:hAnsi="Times New Roman" w:cs="Times New Roman"/>
        </w:rPr>
        <w:t xml:space="preserve">he </w:t>
      </w:r>
      <w:r w:rsidR="00187AB9" w:rsidRPr="006C58BA">
        <w:rPr>
          <w:rFonts w:ascii="Times New Roman" w:hAnsi="Times New Roman" w:cs="Times New Roman"/>
        </w:rPr>
        <w:t>unstable, downward-trending market</w:t>
      </w:r>
      <w:r w:rsidR="00FF1170" w:rsidRPr="006C58BA">
        <w:rPr>
          <w:rFonts w:ascii="Times New Roman" w:hAnsi="Times New Roman" w:cs="Times New Roman"/>
        </w:rPr>
        <w:t>,</w:t>
      </w:r>
      <w:r w:rsidR="00187AB9" w:rsidRPr="006C58BA">
        <w:rPr>
          <w:rFonts w:ascii="Times New Roman" w:hAnsi="Times New Roman" w:cs="Times New Roman"/>
        </w:rPr>
        <w:t xml:space="preserve"> coupled with a continued programmatic hedging strategy</w:t>
      </w:r>
      <w:r w:rsidR="00FF1170" w:rsidRPr="006C58BA">
        <w:rPr>
          <w:rFonts w:ascii="Times New Roman" w:hAnsi="Times New Roman" w:cs="Times New Roman"/>
        </w:rPr>
        <w:t>,</w:t>
      </w:r>
      <w:r w:rsidR="00187AB9" w:rsidRPr="006C58BA">
        <w:rPr>
          <w:rFonts w:ascii="Times New Roman" w:hAnsi="Times New Roman" w:cs="Times New Roman"/>
        </w:rPr>
        <w:t xml:space="preserve"> brought about the </w:t>
      </w:r>
      <w:r w:rsidR="00495A6C" w:rsidRPr="00AA5308">
        <w:rPr>
          <w:rFonts w:ascii="Times New Roman" w:hAnsi="Times New Roman" w:cs="Times New Roman"/>
        </w:rPr>
        <w:t xml:space="preserve">large </w:t>
      </w:r>
      <w:r w:rsidRPr="00AA5308">
        <w:rPr>
          <w:rFonts w:ascii="Times New Roman" w:hAnsi="Times New Roman" w:cs="Times New Roman"/>
        </w:rPr>
        <w:t xml:space="preserve">mark-to-market </w:t>
      </w:r>
      <w:r w:rsidR="00495A6C" w:rsidRPr="00AA5308">
        <w:rPr>
          <w:rFonts w:ascii="Times New Roman" w:hAnsi="Times New Roman" w:cs="Times New Roman"/>
        </w:rPr>
        <w:t xml:space="preserve">losses experienced by </w:t>
      </w:r>
      <w:r w:rsidR="003A5748" w:rsidRPr="00AA5308">
        <w:rPr>
          <w:rFonts w:ascii="Times New Roman" w:hAnsi="Times New Roman" w:cs="Times New Roman"/>
        </w:rPr>
        <w:t xml:space="preserve">the </w:t>
      </w:r>
      <w:r w:rsidR="006C4CED" w:rsidRPr="00AA5308">
        <w:rPr>
          <w:rFonts w:ascii="Times New Roman" w:hAnsi="Times New Roman" w:cs="Times New Roman"/>
        </w:rPr>
        <w:t>C</w:t>
      </w:r>
      <w:r w:rsidR="003A5748" w:rsidRPr="00AA5308">
        <w:rPr>
          <w:rFonts w:ascii="Times New Roman" w:hAnsi="Times New Roman" w:cs="Times New Roman"/>
        </w:rPr>
        <w:t>ompanies</w:t>
      </w:r>
      <w:r w:rsidR="00495A6C" w:rsidRPr="00AA5308">
        <w:rPr>
          <w:rFonts w:ascii="Times New Roman" w:hAnsi="Times New Roman" w:cs="Times New Roman"/>
        </w:rPr>
        <w:t xml:space="preserve"> over the past </w:t>
      </w:r>
      <w:r w:rsidR="0052419A">
        <w:rPr>
          <w:rFonts w:ascii="Times New Roman" w:hAnsi="Times New Roman" w:cs="Times New Roman"/>
        </w:rPr>
        <w:t>10</w:t>
      </w:r>
      <w:r w:rsidR="0052419A" w:rsidRPr="00AA5308">
        <w:rPr>
          <w:rFonts w:ascii="Times New Roman" w:hAnsi="Times New Roman" w:cs="Times New Roman"/>
        </w:rPr>
        <w:t xml:space="preserve"> </w:t>
      </w:r>
      <w:r w:rsidR="00EE3C2D" w:rsidRPr="00AA5308">
        <w:rPr>
          <w:rFonts w:ascii="Times New Roman" w:hAnsi="Times New Roman" w:cs="Times New Roman"/>
        </w:rPr>
        <w:t>years</w:t>
      </w:r>
      <w:r w:rsidR="009B7C3C" w:rsidRPr="00AA5308">
        <w:rPr>
          <w:rFonts w:ascii="Times New Roman" w:hAnsi="Times New Roman" w:cs="Times New Roman"/>
        </w:rPr>
        <w:t xml:space="preserve">. </w:t>
      </w:r>
      <w:r w:rsidR="00EE3C2D" w:rsidRPr="00AA5308">
        <w:rPr>
          <w:rFonts w:ascii="Times New Roman" w:hAnsi="Times New Roman" w:cs="Times New Roman"/>
        </w:rPr>
        <w:t>I</w:t>
      </w:r>
      <w:r w:rsidR="00034790" w:rsidRPr="00AA5308">
        <w:rPr>
          <w:rFonts w:ascii="Times New Roman" w:hAnsi="Times New Roman" w:cs="Times New Roman"/>
        </w:rPr>
        <w:t xml:space="preserve">n </w:t>
      </w:r>
      <w:r w:rsidRPr="00AA5308">
        <w:rPr>
          <w:rFonts w:ascii="Times New Roman" w:hAnsi="Times New Roman" w:cs="Times New Roman"/>
        </w:rPr>
        <w:t xml:space="preserve">blindly </w:t>
      </w:r>
      <w:r w:rsidR="00034790" w:rsidRPr="00AA5308">
        <w:rPr>
          <w:rFonts w:ascii="Times New Roman" w:hAnsi="Times New Roman" w:cs="Times New Roman"/>
        </w:rPr>
        <w:t xml:space="preserve">adhering to programmatic hedging strategies, </w:t>
      </w:r>
      <w:r w:rsidRPr="00AA5308">
        <w:rPr>
          <w:rFonts w:ascii="Times New Roman" w:hAnsi="Times New Roman" w:cs="Times New Roman"/>
        </w:rPr>
        <w:t xml:space="preserve">the </w:t>
      </w:r>
      <w:r w:rsidR="006C4CED" w:rsidRPr="00AA5308">
        <w:rPr>
          <w:rFonts w:ascii="Times New Roman" w:hAnsi="Times New Roman" w:cs="Times New Roman"/>
        </w:rPr>
        <w:t>C</w:t>
      </w:r>
      <w:r w:rsidR="003A5748" w:rsidRPr="00AA5308">
        <w:rPr>
          <w:rFonts w:ascii="Times New Roman" w:hAnsi="Times New Roman" w:cs="Times New Roman"/>
        </w:rPr>
        <w:t>ompanies</w:t>
      </w:r>
      <w:r w:rsidRPr="00AA5308">
        <w:rPr>
          <w:rFonts w:ascii="Times New Roman" w:hAnsi="Times New Roman" w:cs="Times New Roman"/>
        </w:rPr>
        <w:t xml:space="preserve"> failed to</w:t>
      </w:r>
      <w:r w:rsidR="00034790" w:rsidRPr="00AA5308">
        <w:rPr>
          <w:rFonts w:ascii="Times New Roman" w:hAnsi="Times New Roman" w:cs="Times New Roman"/>
        </w:rPr>
        <w:t xml:space="preserve"> respond to </w:t>
      </w:r>
      <w:r w:rsidR="0058016C">
        <w:rPr>
          <w:rFonts w:ascii="Times New Roman" w:hAnsi="Times New Roman" w:cs="Times New Roman"/>
        </w:rPr>
        <w:t xml:space="preserve">changes in </w:t>
      </w:r>
      <w:r w:rsidR="00034790" w:rsidRPr="00AA5308">
        <w:rPr>
          <w:rFonts w:ascii="Times New Roman" w:hAnsi="Times New Roman" w:cs="Times New Roman"/>
        </w:rPr>
        <w:t>underlying market conditions</w:t>
      </w:r>
      <w:r w:rsidR="00EE3C2D" w:rsidRPr="00AA5308">
        <w:rPr>
          <w:rFonts w:ascii="Times New Roman" w:hAnsi="Times New Roman" w:cs="Times New Roman"/>
        </w:rPr>
        <w:t xml:space="preserve"> and continued to protect </w:t>
      </w:r>
      <w:r w:rsidR="0058016C">
        <w:rPr>
          <w:rFonts w:ascii="Times New Roman" w:hAnsi="Times New Roman" w:cs="Times New Roman"/>
        </w:rPr>
        <w:t xml:space="preserve">against diminishing </w:t>
      </w:r>
      <w:r w:rsidR="00EE3C2D" w:rsidRPr="00AA5308">
        <w:rPr>
          <w:rFonts w:ascii="Times New Roman" w:hAnsi="Times New Roman" w:cs="Times New Roman"/>
        </w:rPr>
        <w:t>upside market risk</w:t>
      </w:r>
      <w:r w:rsidR="00FF1170" w:rsidRPr="00AA5308">
        <w:rPr>
          <w:rFonts w:ascii="Times New Roman" w:hAnsi="Times New Roman" w:cs="Times New Roman"/>
        </w:rPr>
        <w:t>,</w:t>
      </w:r>
      <w:r w:rsidR="00EE3C2D" w:rsidRPr="00AA5308">
        <w:rPr>
          <w:rFonts w:ascii="Times New Roman" w:hAnsi="Times New Roman" w:cs="Times New Roman"/>
        </w:rPr>
        <w:t xml:space="preserve"> resulting in </w:t>
      </w:r>
      <w:r w:rsidR="00FA628B">
        <w:rPr>
          <w:rFonts w:ascii="Times New Roman" w:hAnsi="Times New Roman" w:cs="Times New Roman"/>
        </w:rPr>
        <w:t xml:space="preserve">higher </w:t>
      </w:r>
      <w:r w:rsidR="00EE3C2D" w:rsidRPr="00AA5308">
        <w:rPr>
          <w:rFonts w:ascii="Times New Roman" w:hAnsi="Times New Roman" w:cs="Times New Roman"/>
        </w:rPr>
        <w:t xml:space="preserve">exposure </w:t>
      </w:r>
      <w:r w:rsidR="00FF1170" w:rsidRPr="00AA5308">
        <w:rPr>
          <w:rFonts w:ascii="Times New Roman" w:hAnsi="Times New Roman" w:cs="Times New Roman"/>
        </w:rPr>
        <w:t>to</w:t>
      </w:r>
      <w:r w:rsidR="00EE3C2D" w:rsidRPr="00AA5308">
        <w:rPr>
          <w:rFonts w:ascii="Times New Roman" w:hAnsi="Times New Roman" w:cs="Times New Roman"/>
        </w:rPr>
        <w:t xml:space="preserve"> hedging losses</w:t>
      </w:r>
      <w:r w:rsidR="00034790" w:rsidRPr="00AA5308">
        <w:rPr>
          <w:rFonts w:ascii="Times New Roman" w:hAnsi="Times New Roman" w:cs="Times New Roman"/>
        </w:rPr>
        <w:t>.</w:t>
      </w:r>
    </w:p>
    <w:p w14:paraId="57741A18" w14:textId="5C58B236" w:rsidR="00630D50" w:rsidRPr="00AA5308" w:rsidRDefault="00630D50" w:rsidP="00415865">
      <w:pPr>
        <w:pStyle w:val="Heading1"/>
        <w:numPr>
          <w:ilvl w:val="0"/>
          <w:numId w:val="10"/>
        </w:numPr>
        <w:ind w:left="720"/>
        <w:rPr>
          <w:rFonts w:cs="Times New Roman"/>
          <w:sz w:val="24"/>
          <w:szCs w:val="24"/>
        </w:rPr>
      </w:pPr>
      <w:bookmarkStart w:id="14" w:name="_Toc473903207"/>
      <w:r w:rsidRPr="00AA5308">
        <w:rPr>
          <w:rFonts w:cs="Times New Roman"/>
          <w:sz w:val="24"/>
          <w:szCs w:val="24"/>
        </w:rPr>
        <w:t>S</w:t>
      </w:r>
      <w:r w:rsidR="009E7464" w:rsidRPr="00AA5308">
        <w:rPr>
          <w:rFonts w:cs="Times New Roman"/>
          <w:sz w:val="24"/>
          <w:szCs w:val="24"/>
        </w:rPr>
        <w:t>TATEMENT OF COMMISSION POLICY</w:t>
      </w:r>
      <w:bookmarkEnd w:id="14"/>
    </w:p>
    <w:p w14:paraId="278C3741" w14:textId="7FE24AFF" w:rsidR="00B957C0" w:rsidRPr="00AA5308" w:rsidRDefault="00B957C0" w:rsidP="00415865">
      <w:pPr>
        <w:pStyle w:val="Heading2"/>
        <w:numPr>
          <w:ilvl w:val="0"/>
          <w:numId w:val="12"/>
        </w:numPr>
        <w:rPr>
          <w:rFonts w:cs="Times New Roman"/>
          <w:sz w:val="24"/>
          <w:szCs w:val="24"/>
        </w:rPr>
      </w:pPr>
      <w:bookmarkStart w:id="15" w:name="_Toc473903208"/>
      <w:r w:rsidRPr="00AA5308">
        <w:rPr>
          <w:rFonts w:cs="Times New Roman"/>
          <w:sz w:val="24"/>
          <w:szCs w:val="24"/>
        </w:rPr>
        <w:t>Preliminary Remarks</w:t>
      </w:r>
      <w:bookmarkEnd w:id="15"/>
    </w:p>
    <w:p w14:paraId="21111345" w14:textId="747BD053" w:rsidR="00E170E0" w:rsidRPr="00AA5308" w:rsidRDefault="007238CE" w:rsidP="002D4F6E">
      <w:pPr>
        <w:pStyle w:val="ListParagraph"/>
        <w:numPr>
          <w:ilvl w:val="0"/>
          <w:numId w:val="18"/>
        </w:numPr>
        <w:spacing w:after="240" w:line="288" w:lineRule="auto"/>
        <w:ind w:left="0" w:hanging="720"/>
        <w:contextualSpacing w:val="0"/>
        <w:rPr>
          <w:rFonts w:ascii="Times New Roman" w:hAnsi="Times New Roman" w:cs="Times New Roman"/>
        </w:rPr>
      </w:pPr>
      <w:r w:rsidRPr="00CB28F5">
        <w:rPr>
          <w:rFonts w:ascii="Times New Roman" w:hAnsi="Times New Roman" w:cs="Times New Roman"/>
        </w:rPr>
        <w:t>U</w:t>
      </w:r>
      <w:r w:rsidR="00ED03BF" w:rsidRPr="00CB28F5">
        <w:rPr>
          <w:rFonts w:ascii="Times New Roman" w:hAnsi="Times New Roman" w:cs="Times New Roman"/>
        </w:rPr>
        <w:t>tility d</w:t>
      </w:r>
      <w:r w:rsidR="004A2ED2" w:rsidRPr="00C113C6">
        <w:rPr>
          <w:rFonts w:ascii="Times New Roman" w:hAnsi="Times New Roman" w:cs="Times New Roman"/>
        </w:rPr>
        <w:t>ecisions</w:t>
      </w:r>
      <w:r w:rsidR="00ED03BF" w:rsidRPr="006C58BA">
        <w:rPr>
          <w:rFonts w:ascii="Times New Roman" w:hAnsi="Times New Roman" w:cs="Times New Roman"/>
        </w:rPr>
        <w:t xml:space="preserve"> attempting to</w:t>
      </w:r>
      <w:r w:rsidR="004A2ED2" w:rsidRPr="006C58BA">
        <w:rPr>
          <w:rFonts w:ascii="Times New Roman" w:hAnsi="Times New Roman" w:cs="Times New Roman"/>
        </w:rPr>
        <w:t xml:space="preserve"> mit</w:t>
      </w:r>
      <w:r w:rsidR="00ED03BF" w:rsidRPr="006C58BA">
        <w:rPr>
          <w:rFonts w:ascii="Times New Roman" w:hAnsi="Times New Roman" w:cs="Times New Roman"/>
        </w:rPr>
        <w:t>igate</w:t>
      </w:r>
      <w:r w:rsidR="004A2ED2" w:rsidRPr="006C58BA">
        <w:rPr>
          <w:rFonts w:ascii="Times New Roman" w:hAnsi="Times New Roman" w:cs="Times New Roman"/>
        </w:rPr>
        <w:t xml:space="preserve"> </w:t>
      </w:r>
      <w:r w:rsidR="00B23DF5" w:rsidRPr="006C58BA">
        <w:rPr>
          <w:rFonts w:ascii="Times New Roman" w:hAnsi="Times New Roman" w:cs="Times New Roman"/>
        </w:rPr>
        <w:t xml:space="preserve">regulatory </w:t>
      </w:r>
      <w:r w:rsidR="004A2ED2" w:rsidRPr="006C58BA">
        <w:rPr>
          <w:rFonts w:ascii="Times New Roman" w:hAnsi="Times New Roman" w:cs="Times New Roman"/>
        </w:rPr>
        <w:t xml:space="preserve">risk to shareholders are </w:t>
      </w:r>
      <w:r w:rsidR="00BA79B9" w:rsidRPr="006C58BA">
        <w:rPr>
          <w:rFonts w:ascii="Times New Roman" w:hAnsi="Times New Roman" w:cs="Times New Roman"/>
        </w:rPr>
        <w:t xml:space="preserve">currently </w:t>
      </w:r>
      <w:r w:rsidR="004A2ED2" w:rsidRPr="006C58BA">
        <w:rPr>
          <w:rFonts w:ascii="Times New Roman" w:hAnsi="Times New Roman" w:cs="Times New Roman"/>
        </w:rPr>
        <w:t xml:space="preserve">in conflict with decisions </w:t>
      </w:r>
      <w:r w:rsidR="00ED03BF" w:rsidRPr="00AA5308">
        <w:rPr>
          <w:rFonts w:ascii="Times New Roman" w:hAnsi="Times New Roman" w:cs="Times New Roman"/>
        </w:rPr>
        <w:t>attempting to mitigate</w:t>
      </w:r>
      <w:r w:rsidR="00AA1C7A" w:rsidRPr="00AA5308">
        <w:rPr>
          <w:rFonts w:ascii="Times New Roman" w:hAnsi="Times New Roman" w:cs="Times New Roman"/>
        </w:rPr>
        <w:t xml:space="preserve"> </w:t>
      </w:r>
      <w:r w:rsidR="00B23DF5" w:rsidRPr="00AA5308">
        <w:rPr>
          <w:rFonts w:ascii="Times New Roman" w:hAnsi="Times New Roman" w:cs="Times New Roman"/>
        </w:rPr>
        <w:t xml:space="preserve">price </w:t>
      </w:r>
      <w:r w:rsidR="00AA1C7A" w:rsidRPr="00AA5308">
        <w:rPr>
          <w:rFonts w:ascii="Times New Roman" w:hAnsi="Times New Roman" w:cs="Times New Roman"/>
        </w:rPr>
        <w:t xml:space="preserve">risk to ratepayers. </w:t>
      </w:r>
      <w:r w:rsidR="00931091" w:rsidRPr="00AA5308">
        <w:rPr>
          <w:rFonts w:ascii="Times New Roman" w:hAnsi="Times New Roman" w:cs="Times New Roman"/>
        </w:rPr>
        <w:t>Based on the voluminous information received during the course of these proceedings, w</w:t>
      </w:r>
      <w:r w:rsidR="0010601D" w:rsidRPr="00AA5308">
        <w:rPr>
          <w:rFonts w:ascii="Times New Roman" w:hAnsi="Times New Roman" w:cs="Times New Roman"/>
        </w:rPr>
        <w:t>e</w:t>
      </w:r>
      <w:r w:rsidR="00931091" w:rsidRPr="00AA5308">
        <w:rPr>
          <w:rFonts w:ascii="Times New Roman" w:hAnsi="Times New Roman" w:cs="Times New Roman"/>
        </w:rPr>
        <w:t xml:space="preserve"> </w:t>
      </w:r>
      <w:r w:rsidR="0010601D" w:rsidRPr="00AA5308">
        <w:rPr>
          <w:rFonts w:ascii="Times New Roman" w:hAnsi="Times New Roman" w:cs="Times New Roman"/>
        </w:rPr>
        <w:t xml:space="preserve">find that an articulated policy </w:t>
      </w:r>
      <w:r w:rsidR="00931091" w:rsidRPr="00AA5308">
        <w:rPr>
          <w:rFonts w:ascii="Times New Roman" w:hAnsi="Times New Roman" w:cs="Times New Roman"/>
        </w:rPr>
        <w:t xml:space="preserve">statement </w:t>
      </w:r>
      <w:r w:rsidR="0010601D" w:rsidRPr="00AA5308">
        <w:rPr>
          <w:rFonts w:ascii="Times New Roman" w:hAnsi="Times New Roman" w:cs="Times New Roman"/>
        </w:rPr>
        <w:t xml:space="preserve">on </w:t>
      </w:r>
      <w:r w:rsidR="00931091" w:rsidRPr="00AA5308">
        <w:rPr>
          <w:rFonts w:ascii="Times New Roman" w:hAnsi="Times New Roman" w:cs="Times New Roman"/>
        </w:rPr>
        <w:t xml:space="preserve">discrete aspects of utility hedging practices </w:t>
      </w:r>
      <w:r w:rsidR="003F4A45" w:rsidRPr="00AA5308">
        <w:rPr>
          <w:rFonts w:ascii="Times New Roman" w:hAnsi="Times New Roman" w:cs="Times New Roman"/>
        </w:rPr>
        <w:t xml:space="preserve">is </w:t>
      </w:r>
      <w:r w:rsidR="00931091" w:rsidRPr="00AA5308">
        <w:rPr>
          <w:rFonts w:ascii="Times New Roman" w:hAnsi="Times New Roman" w:cs="Times New Roman"/>
        </w:rPr>
        <w:t xml:space="preserve">appropriate at this </w:t>
      </w:r>
      <w:r w:rsidR="003F4A45" w:rsidRPr="00AA5308">
        <w:rPr>
          <w:rFonts w:ascii="Times New Roman" w:hAnsi="Times New Roman" w:cs="Times New Roman"/>
        </w:rPr>
        <w:t>juncture</w:t>
      </w:r>
      <w:r w:rsidR="00931091" w:rsidRPr="00AA5308">
        <w:rPr>
          <w:rFonts w:ascii="Times New Roman" w:hAnsi="Times New Roman" w:cs="Times New Roman"/>
        </w:rPr>
        <w:t xml:space="preserve">. Policy guidance </w:t>
      </w:r>
      <w:r w:rsidR="0010601D" w:rsidRPr="00AA5308">
        <w:rPr>
          <w:rFonts w:ascii="Times New Roman" w:hAnsi="Times New Roman" w:cs="Times New Roman"/>
        </w:rPr>
        <w:t xml:space="preserve">is a critical </w:t>
      </w:r>
      <w:r w:rsidR="00AA1C7A" w:rsidRPr="00AA5308">
        <w:rPr>
          <w:rFonts w:ascii="Times New Roman" w:hAnsi="Times New Roman" w:cs="Times New Roman"/>
        </w:rPr>
        <w:t xml:space="preserve">first step in </w:t>
      </w:r>
      <w:r w:rsidR="006B1FC4">
        <w:rPr>
          <w:rFonts w:ascii="Times New Roman" w:hAnsi="Times New Roman" w:cs="Times New Roman"/>
        </w:rPr>
        <w:t>leading</w:t>
      </w:r>
      <w:r w:rsidR="00AA1C7A" w:rsidRPr="00AA5308">
        <w:rPr>
          <w:rFonts w:ascii="Times New Roman" w:hAnsi="Times New Roman" w:cs="Times New Roman"/>
        </w:rPr>
        <w:t xml:space="preserve"> </w:t>
      </w:r>
      <w:r w:rsidR="003A5748" w:rsidRPr="00AA5308">
        <w:rPr>
          <w:rFonts w:ascii="Times New Roman" w:hAnsi="Times New Roman" w:cs="Times New Roman"/>
        </w:rPr>
        <w:t xml:space="preserve">the </w:t>
      </w:r>
      <w:r w:rsidR="006C4CED" w:rsidRPr="00AA5308">
        <w:rPr>
          <w:rFonts w:ascii="Times New Roman" w:hAnsi="Times New Roman" w:cs="Times New Roman"/>
        </w:rPr>
        <w:t>C</w:t>
      </w:r>
      <w:r w:rsidR="003A5748" w:rsidRPr="00AA5308">
        <w:rPr>
          <w:rFonts w:ascii="Times New Roman" w:hAnsi="Times New Roman" w:cs="Times New Roman"/>
        </w:rPr>
        <w:t xml:space="preserve">ompanies </w:t>
      </w:r>
      <w:r w:rsidR="0010601D" w:rsidRPr="00AA5308">
        <w:rPr>
          <w:rFonts w:ascii="Times New Roman" w:hAnsi="Times New Roman" w:cs="Times New Roman"/>
        </w:rPr>
        <w:t>toward ris</w:t>
      </w:r>
      <w:r w:rsidR="00AA1C7A" w:rsidRPr="00AA5308">
        <w:rPr>
          <w:rFonts w:ascii="Times New Roman" w:hAnsi="Times New Roman" w:cs="Times New Roman"/>
        </w:rPr>
        <w:t>k-responsive h</w:t>
      </w:r>
      <w:r w:rsidR="00F2099F" w:rsidRPr="00AA5308">
        <w:rPr>
          <w:rFonts w:ascii="Times New Roman" w:hAnsi="Times New Roman" w:cs="Times New Roman"/>
        </w:rPr>
        <w:t>edging strategies</w:t>
      </w:r>
      <w:r w:rsidR="00B23DF5" w:rsidRPr="00AA5308">
        <w:rPr>
          <w:rFonts w:ascii="Times New Roman" w:hAnsi="Times New Roman" w:cs="Times New Roman"/>
        </w:rPr>
        <w:t>.</w:t>
      </w:r>
      <w:r w:rsidR="00F2099F" w:rsidRPr="00AA5308">
        <w:rPr>
          <w:rFonts w:ascii="Times New Roman" w:hAnsi="Times New Roman" w:cs="Times New Roman"/>
        </w:rPr>
        <w:t xml:space="preserve"> </w:t>
      </w:r>
    </w:p>
    <w:p w14:paraId="57BE3BF7" w14:textId="7F79B706" w:rsidR="00E716FC" w:rsidRPr="00AA5308" w:rsidRDefault="00893E85" w:rsidP="002D4F6E">
      <w:pPr>
        <w:pStyle w:val="ListParagraph"/>
        <w:numPr>
          <w:ilvl w:val="0"/>
          <w:numId w:val="18"/>
        </w:numPr>
        <w:spacing w:after="240" w:line="288" w:lineRule="auto"/>
        <w:ind w:left="0" w:hanging="720"/>
        <w:contextualSpacing w:val="0"/>
        <w:rPr>
          <w:rFonts w:ascii="Times New Roman" w:hAnsi="Times New Roman" w:cs="Times New Roman"/>
        </w:rPr>
      </w:pPr>
      <w:r w:rsidRPr="006C58BA">
        <w:rPr>
          <w:rFonts w:ascii="Times New Roman" w:hAnsi="Times New Roman" w:cs="Times New Roman"/>
        </w:rPr>
        <w:lastRenderedPageBreak/>
        <w:t xml:space="preserve">We recognize that each </w:t>
      </w:r>
      <w:r w:rsidR="004E22D1">
        <w:rPr>
          <w:rFonts w:ascii="Times New Roman" w:hAnsi="Times New Roman" w:cs="Times New Roman"/>
        </w:rPr>
        <w:t>c</w:t>
      </w:r>
      <w:r w:rsidR="003A5748" w:rsidRPr="006C58BA">
        <w:rPr>
          <w:rFonts w:ascii="Times New Roman" w:hAnsi="Times New Roman" w:cs="Times New Roman"/>
        </w:rPr>
        <w:t xml:space="preserve">ompany </w:t>
      </w:r>
      <w:r w:rsidRPr="006C58BA">
        <w:rPr>
          <w:rFonts w:ascii="Times New Roman" w:hAnsi="Times New Roman" w:cs="Times New Roman"/>
        </w:rPr>
        <w:t xml:space="preserve">may have somewhat differing hedging strategies based on </w:t>
      </w:r>
      <w:r w:rsidR="004E22D1">
        <w:rPr>
          <w:rFonts w:ascii="Times New Roman" w:hAnsi="Times New Roman" w:cs="Times New Roman"/>
        </w:rPr>
        <w:t>c</w:t>
      </w:r>
      <w:r w:rsidRPr="006C58BA">
        <w:rPr>
          <w:rFonts w:ascii="Times New Roman" w:hAnsi="Times New Roman" w:cs="Times New Roman"/>
        </w:rPr>
        <w:t>ompany</w:t>
      </w:r>
      <w:r w:rsidR="003F4A45" w:rsidRPr="00AA5308">
        <w:rPr>
          <w:rFonts w:ascii="Times New Roman" w:hAnsi="Times New Roman" w:cs="Times New Roman"/>
        </w:rPr>
        <w:t>-</w:t>
      </w:r>
      <w:r w:rsidRPr="00AA5308">
        <w:rPr>
          <w:rFonts w:ascii="Times New Roman" w:hAnsi="Times New Roman" w:cs="Times New Roman"/>
        </w:rPr>
        <w:t xml:space="preserve">specific operations. For this reason, we will not provide a prescriptive methodology. </w:t>
      </w:r>
      <w:r w:rsidR="00F34D9D" w:rsidRPr="00AA5308">
        <w:rPr>
          <w:rFonts w:ascii="Times New Roman" w:hAnsi="Times New Roman" w:cs="Times New Roman"/>
        </w:rPr>
        <w:t>However,</w:t>
      </w:r>
      <w:r w:rsidRPr="00AA5308">
        <w:rPr>
          <w:rFonts w:ascii="Times New Roman" w:hAnsi="Times New Roman" w:cs="Times New Roman"/>
        </w:rPr>
        <w:t xml:space="preserve"> it is important to </w:t>
      </w:r>
      <w:r w:rsidR="000618EC" w:rsidRPr="00AA5308">
        <w:rPr>
          <w:rFonts w:ascii="Times New Roman" w:hAnsi="Times New Roman" w:cs="Times New Roman"/>
        </w:rPr>
        <w:t>set several</w:t>
      </w:r>
      <w:r w:rsidRPr="00AA5308">
        <w:rPr>
          <w:rFonts w:ascii="Times New Roman" w:hAnsi="Times New Roman" w:cs="Times New Roman"/>
        </w:rPr>
        <w:t xml:space="preserve"> expectations. </w:t>
      </w:r>
    </w:p>
    <w:p w14:paraId="7C1F9AA5" w14:textId="77777777" w:rsidR="00E716FC" w:rsidRPr="006C58BA" w:rsidRDefault="00893E85" w:rsidP="002D4F6E">
      <w:pPr>
        <w:pStyle w:val="ListParagraph"/>
        <w:numPr>
          <w:ilvl w:val="0"/>
          <w:numId w:val="18"/>
        </w:numPr>
        <w:spacing w:after="240" w:line="288" w:lineRule="auto"/>
        <w:ind w:left="0" w:hanging="720"/>
        <w:contextualSpacing w:val="0"/>
        <w:rPr>
          <w:rFonts w:ascii="Times New Roman" w:hAnsi="Times New Roman" w:cs="Times New Roman"/>
        </w:rPr>
      </w:pPr>
      <w:r w:rsidRPr="006C58BA">
        <w:rPr>
          <w:rFonts w:ascii="Times New Roman" w:hAnsi="Times New Roman" w:cs="Times New Roman"/>
        </w:rPr>
        <w:t xml:space="preserve">First, hedging practices should not be speculative in nature. Hedging is an activity designed to reduce price uncertainty, not an attempt to realize profits based on predictions of anticipated market movements. </w:t>
      </w:r>
    </w:p>
    <w:p w14:paraId="3DAF574B" w14:textId="536B3D32" w:rsidR="00893E85" w:rsidRPr="00AA5308" w:rsidRDefault="00893E85" w:rsidP="002D4F6E">
      <w:pPr>
        <w:pStyle w:val="ListParagraph"/>
        <w:numPr>
          <w:ilvl w:val="0"/>
          <w:numId w:val="18"/>
        </w:numPr>
        <w:spacing w:after="240" w:line="288" w:lineRule="auto"/>
        <w:ind w:left="0" w:hanging="720"/>
        <w:contextualSpacing w:val="0"/>
        <w:rPr>
          <w:rFonts w:ascii="Times New Roman" w:hAnsi="Times New Roman" w:cs="Times New Roman"/>
        </w:rPr>
      </w:pPr>
      <w:r w:rsidRPr="006C58BA">
        <w:rPr>
          <w:rFonts w:ascii="Times New Roman" w:hAnsi="Times New Roman" w:cs="Times New Roman"/>
        </w:rPr>
        <w:t xml:space="preserve">Second, </w:t>
      </w:r>
      <w:r w:rsidR="00A1659C" w:rsidRPr="006C58BA">
        <w:rPr>
          <w:rFonts w:ascii="Times New Roman" w:hAnsi="Times New Roman" w:cs="Times New Roman"/>
        </w:rPr>
        <w:t xml:space="preserve">this </w:t>
      </w:r>
      <w:r w:rsidRPr="006C58BA">
        <w:rPr>
          <w:rFonts w:ascii="Times New Roman" w:hAnsi="Times New Roman" w:cs="Times New Roman"/>
        </w:rPr>
        <w:t xml:space="preserve">policy statement does not distinguish between physical and financial hedges. As </w:t>
      </w:r>
      <w:proofErr w:type="spellStart"/>
      <w:r w:rsidRPr="00AA5308">
        <w:rPr>
          <w:rFonts w:ascii="Times New Roman" w:hAnsi="Times New Roman" w:cs="Times New Roman"/>
        </w:rPr>
        <w:t>Avista</w:t>
      </w:r>
      <w:proofErr w:type="spellEnd"/>
      <w:r w:rsidR="003F4A45" w:rsidRPr="00AA5308">
        <w:rPr>
          <w:rFonts w:ascii="Times New Roman" w:hAnsi="Times New Roman" w:cs="Times New Roman"/>
        </w:rPr>
        <w:t xml:space="preserve"> notes</w:t>
      </w:r>
      <w:r w:rsidRPr="00AA5308">
        <w:rPr>
          <w:rFonts w:ascii="Times New Roman" w:hAnsi="Times New Roman" w:cs="Times New Roman"/>
        </w:rPr>
        <w:t>, “all financial hedges should be associated with a physical index priced transaction, thus equalizing the physical and economic effects of both physical and financial hedges.”</w:t>
      </w:r>
      <w:r w:rsidRPr="00CB28F5">
        <w:rPr>
          <w:rStyle w:val="FootnoteReference"/>
          <w:rFonts w:ascii="Times New Roman" w:hAnsi="Times New Roman" w:cs="Times New Roman"/>
        </w:rPr>
        <w:footnoteReference w:id="30"/>
      </w:r>
      <w:r w:rsidR="00E170E0" w:rsidRPr="00CB28F5">
        <w:rPr>
          <w:rFonts w:ascii="Times New Roman" w:hAnsi="Times New Roman" w:cs="Times New Roman"/>
        </w:rPr>
        <w:t xml:space="preserve"> We expect </w:t>
      </w:r>
      <w:r w:rsidR="003A5748" w:rsidRPr="00CB28F5">
        <w:rPr>
          <w:rFonts w:ascii="Times New Roman" w:hAnsi="Times New Roman" w:cs="Times New Roman"/>
        </w:rPr>
        <w:t xml:space="preserve">the </w:t>
      </w:r>
      <w:r w:rsidR="006C4CED" w:rsidRPr="00C113C6">
        <w:rPr>
          <w:rFonts w:ascii="Times New Roman" w:hAnsi="Times New Roman" w:cs="Times New Roman"/>
        </w:rPr>
        <w:t>C</w:t>
      </w:r>
      <w:r w:rsidR="003A5748" w:rsidRPr="006C58BA">
        <w:rPr>
          <w:rFonts w:ascii="Times New Roman" w:hAnsi="Times New Roman" w:cs="Times New Roman"/>
        </w:rPr>
        <w:t xml:space="preserve">ompanies </w:t>
      </w:r>
      <w:r w:rsidR="00E170E0" w:rsidRPr="006C58BA">
        <w:rPr>
          <w:rFonts w:ascii="Times New Roman" w:hAnsi="Times New Roman" w:cs="Times New Roman"/>
        </w:rPr>
        <w:t xml:space="preserve">to utilize an appropriate mix of hedging instruments supported by theoretically sound hedging practices. </w:t>
      </w:r>
    </w:p>
    <w:p w14:paraId="2B285F0D" w14:textId="01C05808" w:rsidR="00E716FC" w:rsidRPr="00AA5308" w:rsidRDefault="00E716FC" w:rsidP="002D4F6E">
      <w:pPr>
        <w:pStyle w:val="ListParagraph"/>
        <w:numPr>
          <w:ilvl w:val="0"/>
          <w:numId w:val="18"/>
        </w:numPr>
        <w:spacing w:after="240" w:line="288" w:lineRule="auto"/>
        <w:ind w:left="0" w:hanging="720"/>
        <w:contextualSpacing w:val="0"/>
        <w:rPr>
          <w:rFonts w:ascii="Times New Roman" w:hAnsi="Times New Roman" w:cs="Times New Roman"/>
        </w:rPr>
      </w:pPr>
      <w:r w:rsidRPr="006C58BA">
        <w:rPr>
          <w:rFonts w:ascii="Times New Roman" w:hAnsi="Times New Roman" w:cs="Times New Roman"/>
        </w:rPr>
        <w:t xml:space="preserve">Finally, </w:t>
      </w:r>
      <w:r w:rsidR="0023205C" w:rsidRPr="006C58BA">
        <w:rPr>
          <w:rFonts w:ascii="Times New Roman" w:hAnsi="Times New Roman" w:cs="Times New Roman"/>
        </w:rPr>
        <w:t xml:space="preserve">continued communication </w:t>
      </w:r>
      <w:r w:rsidR="003F4A45" w:rsidRPr="006C58BA">
        <w:rPr>
          <w:rFonts w:ascii="Times New Roman" w:hAnsi="Times New Roman" w:cs="Times New Roman"/>
        </w:rPr>
        <w:t xml:space="preserve">between </w:t>
      </w:r>
      <w:r w:rsidR="00E170E0" w:rsidRPr="006C58BA">
        <w:rPr>
          <w:rFonts w:ascii="Times New Roman" w:hAnsi="Times New Roman" w:cs="Times New Roman"/>
        </w:rPr>
        <w:t xml:space="preserve">the Companies, Staff, and interested stakeholders </w:t>
      </w:r>
      <w:r w:rsidR="00A1659C" w:rsidRPr="006C58BA">
        <w:rPr>
          <w:rFonts w:ascii="Times New Roman" w:hAnsi="Times New Roman" w:cs="Times New Roman"/>
        </w:rPr>
        <w:t xml:space="preserve">is </w:t>
      </w:r>
      <w:r w:rsidR="00E170E0" w:rsidRPr="006C58BA">
        <w:rPr>
          <w:rFonts w:ascii="Times New Roman" w:hAnsi="Times New Roman" w:cs="Times New Roman"/>
        </w:rPr>
        <w:t xml:space="preserve">necessary </w:t>
      </w:r>
      <w:r w:rsidR="00A1659C" w:rsidRPr="00AA5308">
        <w:rPr>
          <w:rFonts w:ascii="Times New Roman" w:hAnsi="Times New Roman" w:cs="Times New Roman"/>
        </w:rPr>
        <w:t xml:space="preserve">for </w:t>
      </w:r>
      <w:r w:rsidR="00E170E0" w:rsidRPr="00AA5308">
        <w:rPr>
          <w:rFonts w:ascii="Times New Roman" w:hAnsi="Times New Roman" w:cs="Times New Roman"/>
        </w:rPr>
        <w:t>the success</w:t>
      </w:r>
      <w:r w:rsidR="00A1659C" w:rsidRPr="00AA5308">
        <w:rPr>
          <w:rFonts w:ascii="Times New Roman" w:hAnsi="Times New Roman" w:cs="Times New Roman"/>
        </w:rPr>
        <w:t>ful implementation of</w:t>
      </w:r>
      <w:r w:rsidR="00E170E0" w:rsidRPr="00AA5308">
        <w:rPr>
          <w:rFonts w:ascii="Times New Roman" w:hAnsi="Times New Roman" w:cs="Times New Roman"/>
        </w:rPr>
        <w:t xml:space="preserve"> </w:t>
      </w:r>
      <w:r w:rsidR="00A1659C" w:rsidRPr="00AA5308">
        <w:rPr>
          <w:rFonts w:ascii="Times New Roman" w:hAnsi="Times New Roman" w:cs="Times New Roman"/>
        </w:rPr>
        <w:t>risk</w:t>
      </w:r>
      <w:r w:rsidR="003F4A45" w:rsidRPr="00AA5308">
        <w:rPr>
          <w:rFonts w:ascii="Times New Roman" w:hAnsi="Times New Roman" w:cs="Times New Roman"/>
        </w:rPr>
        <w:t>-</w:t>
      </w:r>
      <w:r w:rsidR="00A1659C" w:rsidRPr="00AA5308">
        <w:rPr>
          <w:rFonts w:ascii="Times New Roman" w:hAnsi="Times New Roman" w:cs="Times New Roman"/>
        </w:rPr>
        <w:t>responsive hedging practices</w:t>
      </w:r>
      <w:r w:rsidR="00E170E0" w:rsidRPr="00AA5308">
        <w:rPr>
          <w:rFonts w:ascii="Times New Roman" w:hAnsi="Times New Roman" w:cs="Times New Roman"/>
        </w:rPr>
        <w:t>.</w:t>
      </w:r>
      <w:r w:rsidR="00A1659C" w:rsidRPr="00AA5308">
        <w:rPr>
          <w:rFonts w:ascii="Times New Roman" w:hAnsi="Times New Roman" w:cs="Times New Roman"/>
        </w:rPr>
        <w:t xml:space="preserve"> </w:t>
      </w:r>
      <w:r w:rsidR="00B96A60" w:rsidRPr="00AA5308">
        <w:rPr>
          <w:rFonts w:ascii="Times New Roman" w:hAnsi="Times New Roman" w:cs="Times New Roman"/>
        </w:rPr>
        <w:t xml:space="preserve">We commend the parties for the collaborative process demonstrated in this </w:t>
      </w:r>
      <w:r w:rsidR="003F4A45" w:rsidRPr="00AA5308">
        <w:rPr>
          <w:rFonts w:ascii="Times New Roman" w:hAnsi="Times New Roman" w:cs="Times New Roman"/>
        </w:rPr>
        <w:t>proceeding</w:t>
      </w:r>
      <w:r w:rsidR="00B96A60" w:rsidRPr="00AA5308">
        <w:rPr>
          <w:rFonts w:ascii="Times New Roman" w:hAnsi="Times New Roman" w:cs="Times New Roman"/>
        </w:rPr>
        <w:t>, and encourage them to continue to work together</w:t>
      </w:r>
      <w:r w:rsidR="00A1659C" w:rsidRPr="00AA5308">
        <w:rPr>
          <w:rFonts w:ascii="Times New Roman" w:hAnsi="Times New Roman" w:cs="Times New Roman"/>
        </w:rPr>
        <w:t>.</w:t>
      </w:r>
    </w:p>
    <w:p w14:paraId="144CAF0A" w14:textId="3FF5BED8" w:rsidR="00A05041" w:rsidRPr="00AA5308" w:rsidRDefault="003875ED" w:rsidP="00415865">
      <w:pPr>
        <w:pStyle w:val="Heading2"/>
        <w:numPr>
          <w:ilvl w:val="0"/>
          <w:numId w:val="12"/>
        </w:numPr>
        <w:rPr>
          <w:rFonts w:cs="Times New Roman"/>
          <w:sz w:val="24"/>
          <w:szCs w:val="24"/>
        </w:rPr>
      </w:pPr>
      <w:bookmarkStart w:id="16" w:name="_Toc473903209"/>
      <w:r w:rsidRPr="00AA5308">
        <w:rPr>
          <w:rFonts w:cs="Times New Roman"/>
          <w:sz w:val="24"/>
          <w:szCs w:val="24"/>
        </w:rPr>
        <w:t>Risk-responsive Hedging S</w:t>
      </w:r>
      <w:r w:rsidR="00925149" w:rsidRPr="00AA5308">
        <w:rPr>
          <w:rFonts w:cs="Times New Roman"/>
          <w:sz w:val="24"/>
          <w:szCs w:val="24"/>
        </w:rPr>
        <w:t>trategy</w:t>
      </w:r>
      <w:bookmarkEnd w:id="16"/>
    </w:p>
    <w:p w14:paraId="636D4435" w14:textId="15397075" w:rsidR="0061490E" w:rsidRPr="00CB28F5" w:rsidRDefault="000618EC" w:rsidP="002D4F6E">
      <w:pPr>
        <w:pStyle w:val="ListParagraph"/>
        <w:numPr>
          <w:ilvl w:val="0"/>
          <w:numId w:val="18"/>
        </w:numPr>
        <w:spacing w:after="240" w:line="288" w:lineRule="auto"/>
        <w:ind w:left="0" w:hanging="720"/>
        <w:contextualSpacing w:val="0"/>
        <w:rPr>
          <w:rFonts w:ascii="Times New Roman" w:hAnsi="Times New Roman" w:cs="Times New Roman"/>
        </w:rPr>
      </w:pPr>
      <w:r w:rsidRPr="00CB28F5">
        <w:rPr>
          <w:rFonts w:ascii="Times New Roman" w:hAnsi="Times New Roman" w:cs="Times New Roman"/>
        </w:rPr>
        <w:t xml:space="preserve">The </w:t>
      </w:r>
      <w:r w:rsidRPr="00C113C6">
        <w:rPr>
          <w:rFonts w:ascii="Times New Roman" w:hAnsi="Times New Roman" w:cs="Times New Roman"/>
        </w:rPr>
        <w:t>White</w:t>
      </w:r>
      <w:r w:rsidR="00074B40" w:rsidRPr="00C113C6">
        <w:rPr>
          <w:rFonts w:ascii="Times New Roman" w:hAnsi="Times New Roman" w:cs="Times New Roman"/>
        </w:rPr>
        <w:t xml:space="preserve"> </w:t>
      </w:r>
      <w:r w:rsidR="003942E2" w:rsidRPr="006C58BA">
        <w:rPr>
          <w:rFonts w:ascii="Times New Roman" w:hAnsi="Times New Roman" w:cs="Times New Roman"/>
        </w:rPr>
        <w:t>Paper serves</w:t>
      </w:r>
      <w:r w:rsidR="00074B40" w:rsidRPr="006C58BA">
        <w:rPr>
          <w:rFonts w:ascii="Times New Roman" w:hAnsi="Times New Roman" w:cs="Times New Roman"/>
        </w:rPr>
        <w:t xml:space="preserve"> as </w:t>
      </w:r>
      <w:r w:rsidR="0069499D" w:rsidRPr="006C58BA">
        <w:rPr>
          <w:rFonts w:ascii="Times New Roman" w:hAnsi="Times New Roman" w:cs="Times New Roman"/>
        </w:rPr>
        <w:t xml:space="preserve">a </w:t>
      </w:r>
      <w:r w:rsidR="00074B40" w:rsidRPr="006C58BA">
        <w:rPr>
          <w:rFonts w:ascii="Times New Roman" w:hAnsi="Times New Roman" w:cs="Times New Roman"/>
        </w:rPr>
        <w:t xml:space="preserve">foundational document for </w:t>
      </w:r>
      <w:r w:rsidR="00E84119" w:rsidRPr="006C58BA">
        <w:rPr>
          <w:rFonts w:ascii="Times New Roman" w:hAnsi="Times New Roman" w:cs="Times New Roman"/>
        </w:rPr>
        <w:t xml:space="preserve">the Commission’s policy position on </w:t>
      </w:r>
      <w:r w:rsidR="00B342AB" w:rsidRPr="00AA5308">
        <w:rPr>
          <w:rFonts w:ascii="Times New Roman" w:hAnsi="Times New Roman" w:cs="Times New Roman"/>
        </w:rPr>
        <w:t xml:space="preserve">natural gas </w:t>
      </w:r>
      <w:r w:rsidR="00E84119" w:rsidRPr="00AA5308">
        <w:rPr>
          <w:rFonts w:ascii="Times New Roman" w:hAnsi="Times New Roman" w:cs="Times New Roman"/>
        </w:rPr>
        <w:t xml:space="preserve">utility hedging practices. The </w:t>
      </w:r>
      <w:r w:rsidR="0069499D" w:rsidRPr="00AA5308">
        <w:rPr>
          <w:rFonts w:ascii="Times New Roman" w:hAnsi="Times New Roman" w:cs="Times New Roman"/>
        </w:rPr>
        <w:t>W</w:t>
      </w:r>
      <w:r w:rsidR="00E84119" w:rsidRPr="00AA5308">
        <w:rPr>
          <w:rFonts w:ascii="Times New Roman" w:hAnsi="Times New Roman" w:cs="Times New Roman"/>
        </w:rPr>
        <w:t xml:space="preserve">hite </w:t>
      </w:r>
      <w:r w:rsidR="0069499D" w:rsidRPr="00AA5308">
        <w:rPr>
          <w:rFonts w:ascii="Times New Roman" w:hAnsi="Times New Roman" w:cs="Times New Roman"/>
        </w:rPr>
        <w:t>P</w:t>
      </w:r>
      <w:r w:rsidR="00E84119" w:rsidRPr="00AA5308">
        <w:rPr>
          <w:rFonts w:ascii="Times New Roman" w:hAnsi="Times New Roman" w:cs="Times New Roman"/>
        </w:rPr>
        <w:t xml:space="preserve">aper provided the </w:t>
      </w:r>
      <w:r w:rsidR="007D0646" w:rsidRPr="00AA5308">
        <w:rPr>
          <w:rFonts w:ascii="Times New Roman" w:hAnsi="Times New Roman" w:cs="Times New Roman"/>
        </w:rPr>
        <w:t>C</w:t>
      </w:r>
      <w:r w:rsidR="00E84119" w:rsidRPr="00AA5308">
        <w:rPr>
          <w:rFonts w:ascii="Times New Roman" w:hAnsi="Times New Roman" w:cs="Times New Roman"/>
        </w:rPr>
        <w:t xml:space="preserve">ommission with convincing evidence that strict programmatic hedging strategies </w:t>
      </w:r>
      <w:r w:rsidR="0061490E" w:rsidRPr="00AA5308">
        <w:rPr>
          <w:rFonts w:ascii="Times New Roman" w:hAnsi="Times New Roman" w:cs="Times New Roman"/>
        </w:rPr>
        <w:t xml:space="preserve">disable utility capacity </w:t>
      </w:r>
      <w:r w:rsidR="003F4A45" w:rsidRPr="00AA5308">
        <w:rPr>
          <w:rFonts w:ascii="Times New Roman" w:hAnsi="Times New Roman" w:cs="Times New Roman"/>
        </w:rPr>
        <w:t xml:space="preserve">to </w:t>
      </w:r>
      <w:r w:rsidR="002E1A6E" w:rsidRPr="00AA5308">
        <w:rPr>
          <w:rFonts w:ascii="Times New Roman" w:hAnsi="Times New Roman" w:cs="Times New Roman"/>
        </w:rPr>
        <w:t xml:space="preserve">adequately </w:t>
      </w:r>
      <w:r w:rsidR="0061490E" w:rsidRPr="00AA5308">
        <w:rPr>
          <w:rFonts w:ascii="Times New Roman" w:hAnsi="Times New Roman" w:cs="Times New Roman"/>
        </w:rPr>
        <w:t>mitigat</w:t>
      </w:r>
      <w:r w:rsidR="003F4A45" w:rsidRPr="00AA5308">
        <w:rPr>
          <w:rFonts w:ascii="Times New Roman" w:hAnsi="Times New Roman" w:cs="Times New Roman"/>
        </w:rPr>
        <w:t>e</w:t>
      </w:r>
      <w:r w:rsidR="0061490E" w:rsidRPr="00AA5308">
        <w:rPr>
          <w:rFonts w:ascii="Times New Roman" w:hAnsi="Times New Roman" w:cs="Times New Roman"/>
        </w:rPr>
        <w:t xml:space="preserve"> </w:t>
      </w:r>
      <w:r w:rsidR="00A1659C" w:rsidRPr="00AA5308">
        <w:rPr>
          <w:rFonts w:ascii="Times New Roman" w:hAnsi="Times New Roman" w:cs="Times New Roman"/>
        </w:rPr>
        <w:t xml:space="preserve">price </w:t>
      </w:r>
      <w:r w:rsidR="0061490E" w:rsidRPr="00AA5308">
        <w:rPr>
          <w:rFonts w:ascii="Times New Roman" w:hAnsi="Times New Roman" w:cs="Times New Roman"/>
        </w:rPr>
        <w:t>risk to ratepayers. In describing the function of risk-responsive hedge strategies</w:t>
      </w:r>
      <w:r w:rsidR="003942E2" w:rsidRPr="00AA5308">
        <w:rPr>
          <w:rFonts w:ascii="Times New Roman" w:hAnsi="Times New Roman" w:cs="Times New Roman"/>
        </w:rPr>
        <w:t>,</w:t>
      </w:r>
      <w:r w:rsidR="0061490E" w:rsidRPr="00AA5308">
        <w:rPr>
          <w:rFonts w:ascii="Times New Roman" w:hAnsi="Times New Roman" w:cs="Times New Roman"/>
        </w:rPr>
        <w:t xml:space="preserve"> </w:t>
      </w:r>
      <w:r w:rsidR="003F4A45" w:rsidRPr="00AA5308">
        <w:rPr>
          <w:rFonts w:ascii="Times New Roman" w:hAnsi="Times New Roman" w:cs="Times New Roman"/>
        </w:rPr>
        <w:t xml:space="preserve">which </w:t>
      </w:r>
      <w:r w:rsidR="0061490E" w:rsidRPr="00AA5308">
        <w:rPr>
          <w:rFonts w:ascii="Times New Roman" w:hAnsi="Times New Roman" w:cs="Times New Roman"/>
        </w:rPr>
        <w:t>demonstrat</w:t>
      </w:r>
      <w:r w:rsidR="003F4A45" w:rsidRPr="00AA5308">
        <w:rPr>
          <w:rFonts w:ascii="Times New Roman" w:hAnsi="Times New Roman" w:cs="Times New Roman"/>
        </w:rPr>
        <w:t>e</w:t>
      </w:r>
      <w:r w:rsidR="0061490E" w:rsidRPr="00AA5308">
        <w:rPr>
          <w:rFonts w:ascii="Times New Roman" w:hAnsi="Times New Roman" w:cs="Times New Roman"/>
        </w:rPr>
        <w:t xml:space="preserve"> the value </w:t>
      </w:r>
      <w:r w:rsidR="003942E2" w:rsidRPr="00AA5308">
        <w:rPr>
          <w:rFonts w:ascii="Times New Roman" w:hAnsi="Times New Roman" w:cs="Times New Roman"/>
        </w:rPr>
        <w:t xml:space="preserve">of </w:t>
      </w:r>
      <w:r w:rsidR="0061490E" w:rsidRPr="00AA5308">
        <w:rPr>
          <w:rFonts w:ascii="Times New Roman" w:hAnsi="Times New Roman" w:cs="Times New Roman"/>
        </w:rPr>
        <w:t>measuring and responding to changing</w:t>
      </w:r>
      <w:r w:rsidR="002E1A6E" w:rsidRPr="00AA5308">
        <w:rPr>
          <w:rFonts w:ascii="Times New Roman" w:hAnsi="Times New Roman" w:cs="Times New Roman"/>
        </w:rPr>
        <w:t xml:space="preserve"> market risk conditions, the </w:t>
      </w:r>
      <w:r w:rsidR="007D0646" w:rsidRPr="00AA5308">
        <w:rPr>
          <w:rFonts w:ascii="Times New Roman" w:hAnsi="Times New Roman" w:cs="Times New Roman"/>
        </w:rPr>
        <w:t>W</w:t>
      </w:r>
      <w:r w:rsidR="002E1A6E" w:rsidRPr="00AA5308">
        <w:rPr>
          <w:rFonts w:ascii="Times New Roman" w:hAnsi="Times New Roman" w:cs="Times New Roman"/>
        </w:rPr>
        <w:t xml:space="preserve">hite </w:t>
      </w:r>
      <w:r w:rsidR="007D0646" w:rsidRPr="00AA5308">
        <w:rPr>
          <w:rFonts w:ascii="Times New Roman" w:hAnsi="Times New Roman" w:cs="Times New Roman"/>
        </w:rPr>
        <w:t>P</w:t>
      </w:r>
      <w:r w:rsidR="002E1A6E" w:rsidRPr="00AA5308">
        <w:rPr>
          <w:rFonts w:ascii="Times New Roman" w:hAnsi="Times New Roman" w:cs="Times New Roman"/>
        </w:rPr>
        <w:t xml:space="preserve">aper provides </w:t>
      </w:r>
      <w:r w:rsidR="003F4A45" w:rsidRPr="00AA5308">
        <w:rPr>
          <w:rFonts w:ascii="Times New Roman" w:hAnsi="Times New Roman" w:cs="Times New Roman"/>
        </w:rPr>
        <w:t>guidance</w:t>
      </w:r>
      <w:r w:rsidR="002E1A6E" w:rsidRPr="00AA5308">
        <w:rPr>
          <w:rFonts w:ascii="Times New Roman" w:hAnsi="Times New Roman" w:cs="Times New Roman"/>
        </w:rPr>
        <w:t xml:space="preserve"> </w:t>
      </w:r>
      <w:r w:rsidR="00113B7B" w:rsidRPr="00AA5308">
        <w:rPr>
          <w:rFonts w:ascii="Times New Roman" w:hAnsi="Times New Roman" w:cs="Times New Roman"/>
        </w:rPr>
        <w:t xml:space="preserve">to </w:t>
      </w:r>
      <w:r w:rsidR="002E1A6E" w:rsidRPr="00AA5308">
        <w:rPr>
          <w:rFonts w:ascii="Times New Roman" w:hAnsi="Times New Roman" w:cs="Times New Roman"/>
        </w:rPr>
        <w:t xml:space="preserve">lead </w:t>
      </w:r>
      <w:r w:rsidR="005C7192" w:rsidRPr="00AA5308">
        <w:rPr>
          <w:rFonts w:ascii="Times New Roman" w:hAnsi="Times New Roman" w:cs="Times New Roman"/>
        </w:rPr>
        <w:t xml:space="preserve">the </w:t>
      </w:r>
      <w:r w:rsidR="00341534" w:rsidRPr="00AA5308">
        <w:rPr>
          <w:rFonts w:ascii="Times New Roman" w:hAnsi="Times New Roman" w:cs="Times New Roman"/>
        </w:rPr>
        <w:t>C</w:t>
      </w:r>
      <w:r w:rsidR="005C7192" w:rsidRPr="00AA5308">
        <w:rPr>
          <w:rFonts w:ascii="Times New Roman" w:hAnsi="Times New Roman" w:cs="Times New Roman"/>
        </w:rPr>
        <w:t xml:space="preserve">ompanies </w:t>
      </w:r>
      <w:r w:rsidR="002E1A6E" w:rsidRPr="00AA5308">
        <w:rPr>
          <w:rFonts w:ascii="Times New Roman" w:hAnsi="Times New Roman" w:cs="Times New Roman"/>
        </w:rPr>
        <w:t>toward more robust risk management programs.</w:t>
      </w:r>
      <w:r w:rsidR="00113B7B" w:rsidRPr="00CB28F5">
        <w:rPr>
          <w:rStyle w:val="FootnoteReference"/>
          <w:rFonts w:ascii="Times New Roman" w:hAnsi="Times New Roman" w:cs="Times New Roman"/>
        </w:rPr>
        <w:footnoteReference w:id="31"/>
      </w:r>
    </w:p>
    <w:p w14:paraId="29E349F5" w14:textId="774E1765" w:rsidR="00111371" w:rsidRPr="00AA5308" w:rsidRDefault="00880C65" w:rsidP="002D4F6E">
      <w:pPr>
        <w:pStyle w:val="ListParagraph"/>
        <w:numPr>
          <w:ilvl w:val="0"/>
          <w:numId w:val="18"/>
        </w:numPr>
        <w:spacing w:after="240" w:line="288" w:lineRule="auto"/>
        <w:ind w:left="0" w:hanging="720"/>
        <w:contextualSpacing w:val="0"/>
        <w:rPr>
          <w:rFonts w:ascii="Times New Roman" w:hAnsi="Times New Roman" w:cs="Times New Roman"/>
        </w:rPr>
      </w:pPr>
      <w:r w:rsidRPr="006C58BA">
        <w:rPr>
          <w:rFonts w:ascii="Times New Roman" w:hAnsi="Times New Roman" w:cs="Times New Roman"/>
        </w:rPr>
        <w:t>It is th</w:t>
      </w:r>
      <w:r w:rsidR="003F4A45" w:rsidRPr="006C58BA">
        <w:rPr>
          <w:rFonts w:ascii="Times New Roman" w:hAnsi="Times New Roman" w:cs="Times New Roman"/>
        </w:rPr>
        <w:t>e</w:t>
      </w:r>
      <w:r w:rsidRPr="006C58BA">
        <w:rPr>
          <w:rFonts w:ascii="Times New Roman" w:hAnsi="Times New Roman" w:cs="Times New Roman"/>
        </w:rPr>
        <w:t xml:space="preserve"> </w:t>
      </w:r>
      <w:r w:rsidR="00E549C1" w:rsidRPr="006C58BA">
        <w:rPr>
          <w:rFonts w:ascii="Times New Roman" w:hAnsi="Times New Roman" w:cs="Times New Roman"/>
        </w:rPr>
        <w:t>C</w:t>
      </w:r>
      <w:r w:rsidRPr="006C58BA">
        <w:rPr>
          <w:rFonts w:ascii="Times New Roman" w:hAnsi="Times New Roman" w:cs="Times New Roman"/>
        </w:rPr>
        <w:t xml:space="preserve">ommission’s </w:t>
      </w:r>
      <w:r w:rsidR="002B7526" w:rsidRPr="006C58BA">
        <w:rPr>
          <w:rFonts w:ascii="Times New Roman" w:hAnsi="Times New Roman" w:cs="Times New Roman"/>
        </w:rPr>
        <w:t xml:space="preserve">explicit </w:t>
      </w:r>
      <w:r w:rsidRPr="006C58BA">
        <w:rPr>
          <w:rFonts w:ascii="Times New Roman" w:hAnsi="Times New Roman" w:cs="Times New Roman"/>
        </w:rPr>
        <w:t>policy preference t</w:t>
      </w:r>
      <w:r w:rsidR="006C77D5" w:rsidRPr="00EC27F6">
        <w:rPr>
          <w:rFonts w:ascii="Times New Roman" w:hAnsi="Times New Roman" w:cs="Times New Roman"/>
        </w:rPr>
        <w:t xml:space="preserve">hat </w:t>
      </w:r>
      <w:r w:rsidR="005C7192" w:rsidRPr="00AA5308">
        <w:rPr>
          <w:rFonts w:ascii="Times New Roman" w:hAnsi="Times New Roman" w:cs="Times New Roman"/>
        </w:rPr>
        <w:t xml:space="preserve">the </w:t>
      </w:r>
      <w:r w:rsidR="00341534" w:rsidRPr="00AA5308">
        <w:rPr>
          <w:rFonts w:ascii="Times New Roman" w:hAnsi="Times New Roman" w:cs="Times New Roman"/>
        </w:rPr>
        <w:t>C</w:t>
      </w:r>
      <w:r w:rsidR="005C7192" w:rsidRPr="00AA5308">
        <w:rPr>
          <w:rFonts w:ascii="Times New Roman" w:hAnsi="Times New Roman" w:cs="Times New Roman"/>
        </w:rPr>
        <w:t xml:space="preserve">ompanies </w:t>
      </w:r>
      <w:r w:rsidR="006C77D5" w:rsidRPr="00AA5308">
        <w:rPr>
          <w:rFonts w:ascii="Times New Roman" w:hAnsi="Times New Roman" w:cs="Times New Roman"/>
        </w:rPr>
        <w:t>employ risk-responsive hedge strategies.</w:t>
      </w:r>
      <w:r w:rsidRPr="00AA5308">
        <w:rPr>
          <w:rFonts w:ascii="Times New Roman" w:hAnsi="Times New Roman" w:cs="Times New Roman"/>
        </w:rPr>
        <w:t xml:space="preserve"> The </w:t>
      </w:r>
      <w:r w:rsidR="00187AB9" w:rsidRPr="00AA5308">
        <w:rPr>
          <w:rFonts w:ascii="Times New Roman" w:hAnsi="Times New Roman" w:cs="Times New Roman"/>
        </w:rPr>
        <w:t>singular</w:t>
      </w:r>
      <w:r w:rsidR="003502D0" w:rsidRPr="00AA5308">
        <w:rPr>
          <w:rFonts w:ascii="Times New Roman" w:hAnsi="Times New Roman" w:cs="Times New Roman"/>
        </w:rPr>
        <w:t xml:space="preserve"> </w:t>
      </w:r>
      <w:r w:rsidR="00ED484B" w:rsidRPr="00AA5308">
        <w:rPr>
          <w:rFonts w:ascii="Times New Roman" w:hAnsi="Times New Roman" w:cs="Times New Roman"/>
        </w:rPr>
        <w:t>programmatic</w:t>
      </w:r>
      <w:r w:rsidR="006C77D5" w:rsidRPr="00AA5308">
        <w:rPr>
          <w:rFonts w:ascii="Times New Roman" w:hAnsi="Times New Roman" w:cs="Times New Roman"/>
        </w:rPr>
        <w:t xml:space="preserve"> hedging approach</w:t>
      </w:r>
      <w:r w:rsidRPr="00AA5308">
        <w:rPr>
          <w:rFonts w:ascii="Times New Roman" w:hAnsi="Times New Roman" w:cs="Times New Roman"/>
        </w:rPr>
        <w:t xml:space="preserve"> employed by </w:t>
      </w:r>
      <w:r w:rsidR="0004587D" w:rsidRPr="00AA5308">
        <w:rPr>
          <w:rFonts w:ascii="Times New Roman" w:hAnsi="Times New Roman" w:cs="Times New Roman"/>
        </w:rPr>
        <w:t xml:space="preserve">many </w:t>
      </w:r>
      <w:r w:rsidRPr="00AA5308">
        <w:rPr>
          <w:rFonts w:ascii="Times New Roman" w:hAnsi="Times New Roman" w:cs="Times New Roman"/>
        </w:rPr>
        <w:t>uti</w:t>
      </w:r>
      <w:r w:rsidR="00DF7607" w:rsidRPr="00AA5308">
        <w:rPr>
          <w:rFonts w:ascii="Times New Roman" w:hAnsi="Times New Roman" w:cs="Times New Roman"/>
        </w:rPr>
        <w:t xml:space="preserve">lities </w:t>
      </w:r>
      <w:r w:rsidR="003F4A45" w:rsidRPr="00AA5308">
        <w:rPr>
          <w:rFonts w:ascii="Times New Roman" w:hAnsi="Times New Roman" w:cs="Times New Roman"/>
        </w:rPr>
        <w:t>fails</w:t>
      </w:r>
      <w:r w:rsidR="00C077F1" w:rsidRPr="00AA5308">
        <w:rPr>
          <w:rFonts w:ascii="Times New Roman" w:hAnsi="Times New Roman" w:cs="Times New Roman"/>
        </w:rPr>
        <w:t xml:space="preserve"> to balance upside price risk with hedge loss risk</w:t>
      </w:r>
      <w:r w:rsidR="0074605D" w:rsidRPr="00AA5308">
        <w:rPr>
          <w:rFonts w:ascii="Times New Roman" w:hAnsi="Times New Roman" w:cs="Times New Roman"/>
        </w:rPr>
        <w:t xml:space="preserve"> in any meaningful way</w:t>
      </w:r>
      <w:r w:rsidR="00C077F1" w:rsidRPr="00AA5308">
        <w:rPr>
          <w:rFonts w:ascii="Times New Roman" w:hAnsi="Times New Roman" w:cs="Times New Roman"/>
        </w:rPr>
        <w:t>.</w:t>
      </w:r>
      <w:r w:rsidR="0004587D" w:rsidRPr="00AA5308">
        <w:rPr>
          <w:rFonts w:ascii="Times New Roman" w:hAnsi="Times New Roman" w:cs="Times New Roman"/>
        </w:rPr>
        <w:t xml:space="preserve"> An inflexible plan makes </w:t>
      </w:r>
      <w:r w:rsidR="003F4A45" w:rsidRPr="00AA5308">
        <w:rPr>
          <w:rFonts w:ascii="Times New Roman" w:hAnsi="Times New Roman" w:cs="Times New Roman"/>
        </w:rPr>
        <w:t>a</w:t>
      </w:r>
      <w:r w:rsidR="0004587D" w:rsidRPr="00AA5308">
        <w:rPr>
          <w:rFonts w:ascii="Times New Roman" w:hAnsi="Times New Roman" w:cs="Times New Roman"/>
        </w:rPr>
        <w:t xml:space="preserve"> utility’s hedging less adaptable to chang</w:t>
      </w:r>
      <w:r w:rsidR="00341534" w:rsidRPr="00AA5308">
        <w:rPr>
          <w:rFonts w:ascii="Times New Roman" w:hAnsi="Times New Roman" w:cs="Times New Roman"/>
        </w:rPr>
        <w:t>ing</w:t>
      </w:r>
      <w:r w:rsidR="0004587D" w:rsidRPr="00AA5308">
        <w:rPr>
          <w:rFonts w:ascii="Times New Roman" w:hAnsi="Times New Roman" w:cs="Times New Roman"/>
        </w:rPr>
        <w:t xml:space="preserve"> conditions.</w:t>
      </w:r>
      <w:r w:rsidR="00C077F1" w:rsidRPr="00AA5308">
        <w:rPr>
          <w:rFonts w:ascii="Times New Roman" w:hAnsi="Times New Roman" w:cs="Times New Roman"/>
        </w:rPr>
        <w:t xml:space="preserve"> </w:t>
      </w:r>
      <w:r w:rsidR="0074605D" w:rsidRPr="00AA5308">
        <w:rPr>
          <w:rFonts w:ascii="Times New Roman" w:hAnsi="Times New Roman" w:cs="Times New Roman"/>
        </w:rPr>
        <w:t>Utilities must fin</w:t>
      </w:r>
      <w:r w:rsidR="00111371" w:rsidRPr="00AA5308">
        <w:rPr>
          <w:rFonts w:ascii="Times New Roman" w:hAnsi="Times New Roman" w:cs="Times New Roman"/>
        </w:rPr>
        <w:t>d a way to</w:t>
      </w:r>
      <w:r w:rsidR="004B6DC1" w:rsidRPr="00AA5308">
        <w:rPr>
          <w:rFonts w:ascii="Times New Roman" w:hAnsi="Times New Roman" w:cs="Times New Roman"/>
        </w:rPr>
        <w:t xml:space="preserve"> manage, simultaneously</w:t>
      </w:r>
      <w:r w:rsidR="00CB1A51" w:rsidRPr="00AA5308">
        <w:rPr>
          <w:rFonts w:ascii="Times New Roman" w:hAnsi="Times New Roman" w:cs="Times New Roman"/>
        </w:rPr>
        <w:t xml:space="preserve"> and continuously</w:t>
      </w:r>
      <w:r w:rsidR="004B6DC1" w:rsidRPr="00AA5308">
        <w:rPr>
          <w:rFonts w:ascii="Times New Roman" w:hAnsi="Times New Roman" w:cs="Times New Roman"/>
        </w:rPr>
        <w:t xml:space="preserve">, upside price risk </w:t>
      </w:r>
      <w:r w:rsidR="004B6DC1" w:rsidRPr="00AA5308">
        <w:rPr>
          <w:rFonts w:ascii="Times New Roman" w:hAnsi="Times New Roman" w:cs="Times New Roman"/>
        </w:rPr>
        <w:lastRenderedPageBreak/>
        <w:t>and downside hedging loss</w:t>
      </w:r>
      <w:r w:rsidR="00581873" w:rsidRPr="00AA5308">
        <w:rPr>
          <w:rFonts w:ascii="Times New Roman" w:hAnsi="Times New Roman" w:cs="Times New Roman"/>
        </w:rPr>
        <w:t>,</w:t>
      </w:r>
      <w:r w:rsidR="0004587D" w:rsidRPr="00AA5308">
        <w:rPr>
          <w:rFonts w:ascii="Times New Roman" w:hAnsi="Times New Roman" w:cs="Times New Roman"/>
        </w:rPr>
        <w:t xml:space="preserve"> </w:t>
      </w:r>
      <w:r w:rsidR="00556B54" w:rsidRPr="00AA5308">
        <w:rPr>
          <w:rFonts w:ascii="Times New Roman" w:hAnsi="Times New Roman" w:cs="Times New Roman"/>
        </w:rPr>
        <w:t>and</w:t>
      </w:r>
      <w:r w:rsidR="0004587D" w:rsidRPr="00AA5308">
        <w:rPr>
          <w:rFonts w:ascii="Times New Roman" w:hAnsi="Times New Roman" w:cs="Times New Roman"/>
        </w:rPr>
        <w:t xml:space="preserve"> evaluate whether the “insurance” benefit justifies the cost.</w:t>
      </w:r>
    </w:p>
    <w:p w14:paraId="7BA91683" w14:textId="2C455449" w:rsidR="00433B25" w:rsidRPr="00CB28F5" w:rsidRDefault="005C7192" w:rsidP="002D4F6E">
      <w:pPr>
        <w:pStyle w:val="ListParagraph"/>
        <w:numPr>
          <w:ilvl w:val="0"/>
          <w:numId w:val="18"/>
        </w:numPr>
        <w:spacing w:after="240" w:line="288" w:lineRule="auto"/>
        <w:ind w:left="0" w:hanging="720"/>
        <w:contextualSpacing w:val="0"/>
        <w:rPr>
          <w:rFonts w:ascii="Times New Roman" w:hAnsi="Times New Roman" w:cs="Times New Roman"/>
        </w:rPr>
      </w:pPr>
      <w:r w:rsidRPr="006C58BA">
        <w:rPr>
          <w:rFonts w:ascii="Times New Roman" w:hAnsi="Times New Roman" w:cs="Times New Roman"/>
        </w:rPr>
        <w:t xml:space="preserve">The </w:t>
      </w:r>
      <w:r w:rsidR="00341534" w:rsidRPr="006C58BA">
        <w:rPr>
          <w:rFonts w:ascii="Times New Roman" w:hAnsi="Times New Roman" w:cs="Times New Roman"/>
        </w:rPr>
        <w:t>C</w:t>
      </w:r>
      <w:r w:rsidRPr="006C58BA">
        <w:rPr>
          <w:rFonts w:ascii="Times New Roman" w:hAnsi="Times New Roman" w:cs="Times New Roman"/>
        </w:rPr>
        <w:t>ompanies</w:t>
      </w:r>
      <w:r w:rsidR="00CC53E6" w:rsidRPr="006C58BA">
        <w:rPr>
          <w:rFonts w:ascii="Times New Roman" w:hAnsi="Times New Roman" w:cs="Times New Roman"/>
        </w:rPr>
        <w:t xml:space="preserve"> </w:t>
      </w:r>
      <w:r w:rsidR="00893E85" w:rsidRPr="006C58BA">
        <w:rPr>
          <w:rFonts w:ascii="Times New Roman" w:hAnsi="Times New Roman" w:cs="Times New Roman"/>
        </w:rPr>
        <w:t xml:space="preserve">should </w:t>
      </w:r>
      <w:r w:rsidR="00024545" w:rsidRPr="006C58BA">
        <w:rPr>
          <w:rFonts w:ascii="Times New Roman" w:hAnsi="Times New Roman" w:cs="Times New Roman"/>
        </w:rPr>
        <w:t>develop a framework for risk mitigation informed by quantitative metrics. Qu</w:t>
      </w:r>
      <w:r w:rsidR="00024545" w:rsidRPr="00AA5308">
        <w:rPr>
          <w:rFonts w:ascii="Times New Roman" w:hAnsi="Times New Roman" w:cs="Times New Roman"/>
        </w:rPr>
        <w:t xml:space="preserve">antitative metrics allow utilities to </w:t>
      </w:r>
      <w:r w:rsidR="002A1DE9" w:rsidRPr="00AA5308">
        <w:rPr>
          <w:rFonts w:ascii="Times New Roman" w:hAnsi="Times New Roman" w:cs="Times New Roman"/>
        </w:rPr>
        <w:t>measure, monitor market risk conditions,</w:t>
      </w:r>
      <w:r w:rsidR="00024545" w:rsidRPr="00AA5308">
        <w:rPr>
          <w:rFonts w:ascii="Times New Roman" w:hAnsi="Times New Roman" w:cs="Times New Roman"/>
        </w:rPr>
        <w:t xml:space="preserve"> and </w:t>
      </w:r>
      <w:r w:rsidR="00893E85" w:rsidRPr="00AA5308">
        <w:rPr>
          <w:rFonts w:ascii="Times New Roman" w:hAnsi="Times New Roman" w:cs="Times New Roman"/>
        </w:rPr>
        <w:t xml:space="preserve">facilitate </w:t>
      </w:r>
      <w:r w:rsidR="00024545" w:rsidRPr="00AA5308">
        <w:rPr>
          <w:rFonts w:ascii="Times New Roman" w:hAnsi="Times New Roman" w:cs="Times New Roman"/>
        </w:rPr>
        <w:t xml:space="preserve">identification </w:t>
      </w:r>
      <w:r w:rsidR="006D4FB6" w:rsidRPr="00AA5308">
        <w:rPr>
          <w:rFonts w:ascii="Times New Roman" w:hAnsi="Times New Roman" w:cs="Times New Roman"/>
        </w:rPr>
        <w:t>of meaningful hedging responses.</w:t>
      </w:r>
      <w:r w:rsidR="0004587D" w:rsidRPr="00AA5308">
        <w:rPr>
          <w:rFonts w:ascii="Times New Roman" w:hAnsi="Times New Roman" w:cs="Times New Roman"/>
        </w:rPr>
        <w:t xml:space="preserve"> While we stop short of requiring use of </w:t>
      </w:r>
      <w:r w:rsidR="00187AB9" w:rsidRPr="00AA5308">
        <w:rPr>
          <w:rFonts w:ascii="Times New Roman" w:hAnsi="Times New Roman" w:cs="Times New Roman"/>
        </w:rPr>
        <w:t>the</w:t>
      </w:r>
      <w:r w:rsidR="0004587D" w:rsidRPr="00AA5308">
        <w:rPr>
          <w:rFonts w:ascii="Times New Roman" w:hAnsi="Times New Roman" w:cs="Times New Roman"/>
        </w:rPr>
        <w:t xml:space="preserve"> specific value-at-risk (</w:t>
      </w:r>
      <w:proofErr w:type="spellStart"/>
      <w:r w:rsidR="0004587D" w:rsidRPr="00AA5308">
        <w:rPr>
          <w:rFonts w:ascii="Times New Roman" w:hAnsi="Times New Roman" w:cs="Times New Roman"/>
        </w:rPr>
        <w:t>VaR</w:t>
      </w:r>
      <w:proofErr w:type="spellEnd"/>
      <w:r w:rsidR="0004587D" w:rsidRPr="00AA5308">
        <w:rPr>
          <w:rFonts w:ascii="Times New Roman" w:hAnsi="Times New Roman" w:cs="Times New Roman"/>
        </w:rPr>
        <w:t xml:space="preserve">) methodology </w:t>
      </w:r>
      <w:r w:rsidR="003F4A45" w:rsidRPr="00AA5308">
        <w:rPr>
          <w:rFonts w:ascii="Times New Roman" w:hAnsi="Times New Roman" w:cs="Times New Roman"/>
        </w:rPr>
        <w:t xml:space="preserve">described </w:t>
      </w:r>
      <w:r w:rsidR="0004587D" w:rsidRPr="00AA5308">
        <w:rPr>
          <w:rFonts w:ascii="Times New Roman" w:hAnsi="Times New Roman" w:cs="Times New Roman"/>
        </w:rPr>
        <w:t xml:space="preserve">in the White Paper, it is clear to us that </w:t>
      </w:r>
      <w:r w:rsidR="00BC18A9">
        <w:rPr>
          <w:rFonts w:ascii="Times New Roman" w:hAnsi="Times New Roman" w:cs="Times New Roman"/>
        </w:rPr>
        <w:t xml:space="preserve">each utility must develop </w:t>
      </w:r>
      <w:r w:rsidR="0004587D" w:rsidRPr="00AA5308">
        <w:rPr>
          <w:rFonts w:ascii="Times New Roman" w:hAnsi="Times New Roman" w:cs="Times New Roman"/>
        </w:rPr>
        <w:t>robust analytical methods and incorporate</w:t>
      </w:r>
      <w:r w:rsidR="00BC18A9">
        <w:rPr>
          <w:rFonts w:ascii="Times New Roman" w:hAnsi="Times New Roman" w:cs="Times New Roman"/>
        </w:rPr>
        <w:t xml:space="preserve"> these methods in their</w:t>
      </w:r>
      <w:r w:rsidR="0004587D" w:rsidRPr="00AA5308">
        <w:rPr>
          <w:rFonts w:ascii="Times New Roman" w:hAnsi="Times New Roman" w:cs="Times New Roman"/>
        </w:rPr>
        <w:t xml:space="preserve"> risk management framework</w:t>
      </w:r>
      <w:r w:rsidR="00BC18A9">
        <w:rPr>
          <w:rFonts w:ascii="Times New Roman" w:hAnsi="Times New Roman" w:cs="Times New Roman"/>
        </w:rPr>
        <w:t>s</w:t>
      </w:r>
      <w:r w:rsidR="0004587D" w:rsidRPr="00AA5308">
        <w:rPr>
          <w:rFonts w:ascii="Times New Roman" w:hAnsi="Times New Roman" w:cs="Times New Roman"/>
        </w:rPr>
        <w:t>.</w:t>
      </w:r>
      <w:r w:rsidR="00C67F8F" w:rsidRPr="00CB28F5">
        <w:rPr>
          <w:rStyle w:val="FootnoteReference"/>
          <w:rFonts w:ascii="Times New Roman" w:hAnsi="Times New Roman" w:cs="Times New Roman"/>
        </w:rPr>
        <w:footnoteReference w:id="32"/>
      </w:r>
    </w:p>
    <w:p w14:paraId="579A3708" w14:textId="0C128309" w:rsidR="00D97FEB" w:rsidRPr="00AA5308" w:rsidRDefault="00D97FEB" w:rsidP="002D4F6E">
      <w:pPr>
        <w:pStyle w:val="ListParagraph"/>
        <w:numPr>
          <w:ilvl w:val="0"/>
          <w:numId w:val="18"/>
        </w:numPr>
        <w:spacing w:after="240" w:line="288" w:lineRule="auto"/>
        <w:ind w:left="0" w:hanging="720"/>
        <w:contextualSpacing w:val="0"/>
        <w:rPr>
          <w:rFonts w:ascii="Times New Roman" w:hAnsi="Times New Roman" w:cs="Times New Roman"/>
        </w:rPr>
      </w:pPr>
      <w:r w:rsidRPr="006C58BA">
        <w:rPr>
          <w:rFonts w:ascii="Times New Roman" w:hAnsi="Times New Roman" w:cs="Times New Roman"/>
        </w:rPr>
        <w:t xml:space="preserve">Finally, </w:t>
      </w:r>
      <w:r w:rsidR="005C7192" w:rsidRPr="006C58BA">
        <w:rPr>
          <w:rFonts w:ascii="Times New Roman" w:hAnsi="Times New Roman" w:cs="Times New Roman"/>
        </w:rPr>
        <w:t xml:space="preserve">the </w:t>
      </w:r>
      <w:r w:rsidR="00341534" w:rsidRPr="006C58BA">
        <w:rPr>
          <w:rFonts w:ascii="Times New Roman" w:hAnsi="Times New Roman" w:cs="Times New Roman"/>
        </w:rPr>
        <w:t>C</w:t>
      </w:r>
      <w:r w:rsidR="005C7192" w:rsidRPr="006C58BA">
        <w:rPr>
          <w:rFonts w:ascii="Times New Roman" w:hAnsi="Times New Roman" w:cs="Times New Roman"/>
        </w:rPr>
        <w:t xml:space="preserve">ompanies </w:t>
      </w:r>
      <w:r w:rsidR="003D1E87" w:rsidRPr="006C58BA">
        <w:rPr>
          <w:rFonts w:ascii="Times New Roman" w:hAnsi="Times New Roman" w:cs="Times New Roman"/>
        </w:rPr>
        <w:t xml:space="preserve">should </w:t>
      </w:r>
      <w:r w:rsidRPr="006C58BA">
        <w:rPr>
          <w:rFonts w:ascii="Times New Roman" w:hAnsi="Times New Roman" w:cs="Times New Roman"/>
        </w:rPr>
        <w:t>document data-driven decisions either in response to changing conditions or staying the course in compliance with the</w:t>
      </w:r>
      <w:r w:rsidR="00A1659C" w:rsidRPr="00AA5308">
        <w:rPr>
          <w:rFonts w:ascii="Times New Roman" w:hAnsi="Times New Roman" w:cs="Times New Roman"/>
        </w:rPr>
        <w:t>ir</w:t>
      </w:r>
      <w:r w:rsidRPr="00AA5308">
        <w:rPr>
          <w:rFonts w:ascii="Times New Roman" w:hAnsi="Times New Roman" w:cs="Times New Roman"/>
        </w:rPr>
        <w:t xml:space="preserve"> </w:t>
      </w:r>
      <w:r w:rsidR="00A1659C" w:rsidRPr="00AA5308">
        <w:rPr>
          <w:rFonts w:ascii="Times New Roman" w:hAnsi="Times New Roman" w:cs="Times New Roman"/>
        </w:rPr>
        <w:t>hedging p</w:t>
      </w:r>
      <w:r w:rsidRPr="00AA5308">
        <w:rPr>
          <w:rFonts w:ascii="Times New Roman" w:hAnsi="Times New Roman" w:cs="Times New Roman"/>
        </w:rPr>
        <w:t>lan. This documentation is vital to demonstrate strategic adapt</w:t>
      </w:r>
      <w:r w:rsidR="003F4A45" w:rsidRPr="00AA5308">
        <w:rPr>
          <w:rFonts w:ascii="Times New Roman" w:hAnsi="Times New Roman" w:cs="Times New Roman"/>
        </w:rPr>
        <w:t>at</w:t>
      </w:r>
      <w:r w:rsidRPr="00AA5308">
        <w:rPr>
          <w:rFonts w:ascii="Times New Roman" w:hAnsi="Times New Roman" w:cs="Times New Roman"/>
        </w:rPr>
        <w:t xml:space="preserve">ion, </w:t>
      </w:r>
      <w:r w:rsidR="00DC2571" w:rsidRPr="00AA5308">
        <w:rPr>
          <w:rFonts w:ascii="Times New Roman" w:hAnsi="Times New Roman" w:cs="Times New Roman"/>
        </w:rPr>
        <w:t>allow for evaluation of objectives and outcomes, and provide confirmation of prudent costs.</w:t>
      </w:r>
    </w:p>
    <w:p w14:paraId="0B523C8D" w14:textId="0FA3F214" w:rsidR="003317C4" w:rsidRPr="00AA5308" w:rsidRDefault="002F472C" w:rsidP="00415865">
      <w:pPr>
        <w:pStyle w:val="Heading2"/>
        <w:numPr>
          <w:ilvl w:val="0"/>
          <w:numId w:val="12"/>
        </w:numPr>
        <w:rPr>
          <w:rFonts w:cs="Times New Roman"/>
          <w:sz w:val="24"/>
          <w:szCs w:val="24"/>
        </w:rPr>
      </w:pPr>
      <w:bookmarkStart w:id="17" w:name="_Toc473903210"/>
      <w:r w:rsidRPr="00AA5308">
        <w:rPr>
          <w:rFonts w:cs="Times New Roman"/>
          <w:sz w:val="24"/>
          <w:szCs w:val="24"/>
        </w:rPr>
        <w:t>Regulatory Review</w:t>
      </w:r>
      <w:bookmarkEnd w:id="17"/>
    </w:p>
    <w:p w14:paraId="7F5AB710" w14:textId="7F63BAB7" w:rsidR="002F472C" w:rsidRPr="00AA5308" w:rsidRDefault="00A81232" w:rsidP="002D4F6E">
      <w:pPr>
        <w:pStyle w:val="Heading3"/>
        <w:numPr>
          <w:ilvl w:val="0"/>
          <w:numId w:val="16"/>
        </w:numPr>
        <w:ind w:left="1440"/>
        <w:rPr>
          <w:sz w:val="24"/>
          <w:szCs w:val="24"/>
        </w:rPr>
      </w:pPr>
      <w:bookmarkStart w:id="18" w:name="_Toc473903211"/>
      <w:r w:rsidRPr="00AA5308">
        <w:rPr>
          <w:sz w:val="24"/>
          <w:szCs w:val="24"/>
        </w:rPr>
        <w:t>Preliminary Hedging Plan</w:t>
      </w:r>
      <w:bookmarkEnd w:id="18"/>
    </w:p>
    <w:p w14:paraId="77DF0059" w14:textId="219B7A9F" w:rsidR="00D77F98" w:rsidRPr="00415865" w:rsidRDefault="00D77F98" w:rsidP="002D4F6E">
      <w:pPr>
        <w:pStyle w:val="ListParagraph"/>
        <w:numPr>
          <w:ilvl w:val="0"/>
          <w:numId w:val="18"/>
        </w:numPr>
        <w:spacing w:after="240" w:line="288" w:lineRule="auto"/>
        <w:ind w:left="0" w:hanging="720"/>
        <w:contextualSpacing w:val="0"/>
        <w:rPr>
          <w:rFonts w:ascii="Times New Roman" w:hAnsi="Times New Roman" w:cs="Times New Roman"/>
        </w:rPr>
      </w:pPr>
      <w:r w:rsidRPr="00CB28F5">
        <w:rPr>
          <w:rFonts w:ascii="Times New Roman" w:hAnsi="Times New Roman" w:cs="Times New Roman"/>
        </w:rPr>
        <w:t xml:space="preserve">Although we </w:t>
      </w:r>
      <w:r w:rsidR="00CC5846" w:rsidRPr="00C113C6">
        <w:rPr>
          <w:rFonts w:ascii="Times New Roman" w:hAnsi="Times New Roman" w:cs="Times New Roman"/>
        </w:rPr>
        <w:t>appreciate</w:t>
      </w:r>
      <w:r w:rsidRPr="006C58BA">
        <w:rPr>
          <w:rFonts w:ascii="Times New Roman" w:hAnsi="Times New Roman" w:cs="Times New Roman"/>
        </w:rPr>
        <w:t xml:space="preserve"> that it may take significant time for </w:t>
      </w:r>
      <w:r w:rsidR="005C7192" w:rsidRPr="006C58BA">
        <w:rPr>
          <w:rFonts w:ascii="Times New Roman" w:hAnsi="Times New Roman" w:cs="Times New Roman"/>
        </w:rPr>
        <w:t xml:space="preserve">the </w:t>
      </w:r>
      <w:r w:rsidR="00315668" w:rsidRPr="00EC27F6">
        <w:rPr>
          <w:rFonts w:ascii="Times New Roman" w:hAnsi="Times New Roman" w:cs="Times New Roman"/>
        </w:rPr>
        <w:t>C</w:t>
      </w:r>
      <w:r w:rsidR="005C7192" w:rsidRPr="00EC27F6">
        <w:rPr>
          <w:rFonts w:ascii="Times New Roman" w:hAnsi="Times New Roman" w:cs="Times New Roman"/>
        </w:rPr>
        <w:t xml:space="preserve">ompanies </w:t>
      </w:r>
      <w:r w:rsidRPr="00AA5308">
        <w:rPr>
          <w:rFonts w:ascii="Times New Roman" w:hAnsi="Times New Roman" w:cs="Times New Roman"/>
        </w:rPr>
        <w:t xml:space="preserve">to </w:t>
      </w:r>
      <w:r w:rsidR="001A4188">
        <w:rPr>
          <w:rFonts w:ascii="Times New Roman" w:hAnsi="Times New Roman" w:cs="Times New Roman"/>
        </w:rPr>
        <w:t xml:space="preserve">develop and </w:t>
      </w:r>
      <w:r w:rsidRPr="00AA5308">
        <w:rPr>
          <w:rFonts w:ascii="Times New Roman" w:hAnsi="Times New Roman" w:cs="Times New Roman"/>
        </w:rPr>
        <w:t xml:space="preserve">implement a </w:t>
      </w:r>
      <w:r w:rsidR="001A4188">
        <w:rPr>
          <w:rFonts w:ascii="Times New Roman" w:hAnsi="Times New Roman" w:cs="Times New Roman"/>
        </w:rPr>
        <w:t xml:space="preserve">comprehensive </w:t>
      </w:r>
      <w:r w:rsidRPr="00AA5308">
        <w:rPr>
          <w:rFonts w:ascii="Times New Roman" w:hAnsi="Times New Roman" w:cs="Times New Roman"/>
        </w:rPr>
        <w:t xml:space="preserve">responsive risk management strategy, we </w:t>
      </w:r>
      <w:r w:rsidR="00F34D9D" w:rsidRPr="00AA5308">
        <w:rPr>
          <w:rFonts w:ascii="Times New Roman" w:hAnsi="Times New Roman" w:cs="Times New Roman"/>
        </w:rPr>
        <w:t xml:space="preserve">expect </w:t>
      </w:r>
      <w:r w:rsidR="00F34D9D">
        <w:rPr>
          <w:rFonts w:ascii="Times New Roman" w:hAnsi="Times New Roman" w:cs="Times New Roman"/>
        </w:rPr>
        <w:t>each</w:t>
      </w:r>
      <w:r w:rsidR="00BC18A9">
        <w:rPr>
          <w:rFonts w:ascii="Times New Roman" w:hAnsi="Times New Roman" w:cs="Times New Roman"/>
        </w:rPr>
        <w:t xml:space="preserve"> </w:t>
      </w:r>
      <w:r w:rsidR="00A95634">
        <w:rPr>
          <w:rFonts w:ascii="Times New Roman" w:hAnsi="Times New Roman" w:cs="Times New Roman"/>
        </w:rPr>
        <w:t>u</w:t>
      </w:r>
      <w:r w:rsidR="00CC5846" w:rsidRPr="00AA5308">
        <w:rPr>
          <w:rFonts w:ascii="Times New Roman" w:hAnsi="Times New Roman" w:cs="Times New Roman"/>
        </w:rPr>
        <w:t>tilit</w:t>
      </w:r>
      <w:r w:rsidR="00BC18A9">
        <w:rPr>
          <w:rFonts w:ascii="Times New Roman" w:hAnsi="Times New Roman" w:cs="Times New Roman"/>
        </w:rPr>
        <w:t>y</w:t>
      </w:r>
      <w:r w:rsidR="00CC5846" w:rsidRPr="00AA5308">
        <w:rPr>
          <w:rFonts w:ascii="Times New Roman" w:hAnsi="Times New Roman" w:cs="Times New Roman"/>
        </w:rPr>
        <w:t xml:space="preserve"> to</w:t>
      </w:r>
      <w:r w:rsidRPr="00AA5308">
        <w:rPr>
          <w:rFonts w:ascii="Times New Roman" w:hAnsi="Times New Roman" w:cs="Times New Roman"/>
        </w:rPr>
        <w:t xml:space="preserve"> </w:t>
      </w:r>
      <w:r w:rsidR="00BC18A9">
        <w:rPr>
          <w:rFonts w:ascii="Times New Roman" w:hAnsi="Times New Roman" w:cs="Times New Roman"/>
        </w:rPr>
        <w:t xml:space="preserve">begin </w:t>
      </w:r>
      <w:r w:rsidR="00A50D60">
        <w:rPr>
          <w:rFonts w:ascii="Times New Roman" w:hAnsi="Times New Roman" w:cs="Times New Roman"/>
        </w:rPr>
        <w:t xml:space="preserve">the process of </w:t>
      </w:r>
      <w:r w:rsidR="00581873" w:rsidRPr="00AA5308">
        <w:rPr>
          <w:rFonts w:ascii="Times New Roman" w:hAnsi="Times New Roman" w:cs="Times New Roman"/>
        </w:rPr>
        <w:t>develop</w:t>
      </w:r>
      <w:r w:rsidR="00BC18A9">
        <w:rPr>
          <w:rFonts w:ascii="Times New Roman" w:hAnsi="Times New Roman" w:cs="Times New Roman"/>
        </w:rPr>
        <w:t>ing</w:t>
      </w:r>
      <w:r w:rsidRPr="00AA5308">
        <w:rPr>
          <w:rFonts w:ascii="Times New Roman" w:hAnsi="Times New Roman" w:cs="Times New Roman"/>
        </w:rPr>
        <w:t xml:space="preserve"> </w:t>
      </w:r>
      <w:r w:rsidR="005C7192" w:rsidRPr="00AA5308">
        <w:rPr>
          <w:rFonts w:ascii="Times New Roman" w:hAnsi="Times New Roman" w:cs="Times New Roman"/>
        </w:rPr>
        <w:t xml:space="preserve">a </w:t>
      </w:r>
      <w:r w:rsidRPr="00AA5308">
        <w:rPr>
          <w:rFonts w:ascii="Times New Roman" w:hAnsi="Times New Roman" w:cs="Times New Roman"/>
        </w:rPr>
        <w:t>more</w:t>
      </w:r>
      <w:r w:rsidR="00307496" w:rsidRPr="00AA5308">
        <w:rPr>
          <w:rFonts w:ascii="Times New Roman" w:hAnsi="Times New Roman" w:cs="Times New Roman"/>
        </w:rPr>
        <w:t xml:space="preserve"> </w:t>
      </w:r>
      <w:r w:rsidRPr="00AA5308">
        <w:rPr>
          <w:rFonts w:ascii="Times New Roman" w:hAnsi="Times New Roman" w:cs="Times New Roman"/>
        </w:rPr>
        <w:t>sophisticated risk management</w:t>
      </w:r>
      <w:r w:rsidR="00581873" w:rsidRPr="00AA5308">
        <w:rPr>
          <w:rFonts w:ascii="Times New Roman" w:hAnsi="Times New Roman" w:cs="Times New Roman"/>
        </w:rPr>
        <w:t xml:space="preserve"> </w:t>
      </w:r>
      <w:r w:rsidR="00CC5846" w:rsidRPr="00AA5308">
        <w:rPr>
          <w:rFonts w:ascii="Times New Roman" w:hAnsi="Times New Roman" w:cs="Times New Roman"/>
        </w:rPr>
        <w:t>methodology</w:t>
      </w:r>
      <w:r w:rsidR="00A50D60">
        <w:rPr>
          <w:rFonts w:ascii="Times New Roman" w:hAnsi="Times New Roman" w:cs="Times New Roman"/>
        </w:rPr>
        <w:t xml:space="preserve"> as soon as possible</w:t>
      </w:r>
      <w:r w:rsidR="00581873" w:rsidRPr="00AA5308">
        <w:rPr>
          <w:rFonts w:ascii="Times New Roman" w:hAnsi="Times New Roman" w:cs="Times New Roman"/>
        </w:rPr>
        <w:t xml:space="preserve">. </w:t>
      </w:r>
      <w:r w:rsidR="00A50D60" w:rsidRPr="006C58BA">
        <w:rPr>
          <w:rFonts w:ascii="Times New Roman" w:hAnsi="Times New Roman" w:cs="Times New Roman"/>
        </w:rPr>
        <w:t xml:space="preserve">We </w:t>
      </w:r>
      <w:r w:rsidR="00FA628B">
        <w:rPr>
          <w:rFonts w:ascii="Times New Roman" w:hAnsi="Times New Roman" w:cs="Times New Roman"/>
        </w:rPr>
        <w:t>therefore direct</w:t>
      </w:r>
      <w:r w:rsidR="00A50D60" w:rsidRPr="006C58BA">
        <w:rPr>
          <w:rFonts w:ascii="Times New Roman" w:hAnsi="Times New Roman" w:cs="Times New Roman"/>
        </w:rPr>
        <w:t xml:space="preserve"> each </w:t>
      </w:r>
      <w:r w:rsidR="00FA628B">
        <w:rPr>
          <w:rFonts w:ascii="Times New Roman" w:hAnsi="Times New Roman" w:cs="Times New Roman"/>
        </w:rPr>
        <w:t>c</w:t>
      </w:r>
      <w:r w:rsidR="00A50D60" w:rsidRPr="006C58BA">
        <w:rPr>
          <w:rFonts w:ascii="Times New Roman" w:hAnsi="Times New Roman" w:cs="Times New Roman"/>
        </w:rPr>
        <w:t xml:space="preserve">ompany </w:t>
      </w:r>
      <w:r w:rsidR="00FA628B">
        <w:rPr>
          <w:rFonts w:ascii="Times New Roman" w:hAnsi="Times New Roman" w:cs="Times New Roman"/>
        </w:rPr>
        <w:t>to</w:t>
      </w:r>
      <w:r w:rsidR="00A50D60" w:rsidRPr="006C58BA">
        <w:rPr>
          <w:rFonts w:ascii="Times New Roman" w:hAnsi="Times New Roman" w:cs="Times New Roman"/>
        </w:rPr>
        <w:t xml:space="preserve"> submit, as part of its 2017 </w:t>
      </w:r>
      <w:r w:rsidR="00A50D60" w:rsidRPr="00EC27F6">
        <w:rPr>
          <w:rFonts w:ascii="Times New Roman" w:hAnsi="Times New Roman" w:cs="Times New Roman"/>
        </w:rPr>
        <w:t>PGA filing</w:t>
      </w:r>
      <w:r w:rsidR="00A50D60" w:rsidRPr="00AA5308">
        <w:rPr>
          <w:rFonts w:ascii="Times New Roman" w:hAnsi="Times New Roman" w:cs="Times New Roman"/>
        </w:rPr>
        <w:t xml:space="preserve">, a preliminary hedging plan that outlines the </w:t>
      </w:r>
      <w:r w:rsidR="00A95634">
        <w:rPr>
          <w:rFonts w:ascii="Times New Roman" w:hAnsi="Times New Roman" w:cs="Times New Roman"/>
        </w:rPr>
        <w:t>c</w:t>
      </w:r>
      <w:r w:rsidR="00A50D60" w:rsidRPr="00AA5308">
        <w:rPr>
          <w:rFonts w:ascii="Times New Roman" w:hAnsi="Times New Roman" w:cs="Times New Roman"/>
        </w:rPr>
        <w:t xml:space="preserve">ompany’s </w:t>
      </w:r>
      <w:r w:rsidR="00FA628B">
        <w:rPr>
          <w:rFonts w:ascii="Times New Roman" w:hAnsi="Times New Roman" w:cs="Times New Roman"/>
        </w:rPr>
        <w:t xml:space="preserve">intended </w:t>
      </w:r>
      <w:r w:rsidR="00A50D60" w:rsidRPr="00AA5308">
        <w:rPr>
          <w:rFonts w:ascii="Times New Roman" w:hAnsi="Times New Roman" w:cs="Times New Roman"/>
        </w:rPr>
        <w:t>path to incorporating risk-responsive hedging strategies for the coming year.</w:t>
      </w:r>
      <w:r w:rsidR="00A50D60" w:rsidRPr="00CB28F5">
        <w:rPr>
          <w:rStyle w:val="FootnoteReference"/>
          <w:rFonts w:ascii="Times New Roman" w:hAnsi="Times New Roman" w:cs="Times New Roman"/>
        </w:rPr>
        <w:footnoteReference w:id="33"/>
      </w:r>
      <w:r w:rsidR="00A50D60" w:rsidRPr="00CB28F5">
        <w:rPr>
          <w:rFonts w:ascii="Times New Roman" w:hAnsi="Times New Roman" w:cs="Times New Roman"/>
        </w:rPr>
        <w:t xml:space="preserve"> Th</w:t>
      </w:r>
      <w:r w:rsidR="00A50D60" w:rsidRPr="00C113C6">
        <w:rPr>
          <w:rFonts w:ascii="Times New Roman" w:hAnsi="Times New Roman" w:cs="Times New Roman"/>
        </w:rPr>
        <w:t>is</w:t>
      </w:r>
      <w:r w:rsidR="00A50D60" w:rsidRPr="006C58BA">
        <w:rPr>
          <w:rFonts w:ascii="Times New Roman" w:hAnsi="Times New Roman" w:cs="Times New Roman"/>
        </w:rPr>
        <w:t xml:space="preserve"> plan should articulate the </w:t>
      </w:r>
      <w:r w:rsidR="00A95634">
        <w:rPr>
          <w:rFonts w:ascii="Times New Roman" w:hAnsi="Times New Roman" w:cs="Times New Roman"/>
        </w:rPr>
        <w:t>c</w:t>
      </w:r>
      <w:r w:rsidR="00A50D60" w:rsidRPr="00AA5308">
        <w:rPr>
          <w:rFonts w:ascii="Times New Roman" w:hAnsi="Times New Roman" w:cs="Times New Roman"/>
        </w:rPr>
        <w:t>ompany’s hedging objectives and communicate its approach to address the basic elements of risk-responsive hedging: objectives and goals, exposure quantification, strategic initiatives, and oversight and control.</w:t>
      </w:r>
      <w:r w:rsidR="00A50D60" w:rsidRPr="00CB28F5">
        <w:rPr>
          <w:rStyle w:val="FootnoteReference"/>
          <w:rFonts w:ascii="Times New Roman" w:hAnsi="Times New Roman" w:cs="Times New Roman"/>
        </w:rPr>
        <w:footnoteReference w:id="34"/>
      </w:r>
      <w:r w:rsidR="00A50D60" w:rsidRPr="00CB28F5">
        <w:rPr>
          <w:rFonts w:ascii="Times New Roman" w:hAnsi="Times New Roman" w:cs="Times New Roman"/>
        </w:rPr>
        <w:t xml:space="preserve"> Additionally, </w:t>
      </w:r>
      <w:r w:rsidR="00A50D60" w:rsidRPr="00C113C6">
        <w:rPr>
          <w:rFonts w:ascii="Times New Roman" w:hAnsi="Times New Roman" w:cs="Times New Roman"/>
        </w:rPr>
        <w:t>the</w:t>
      </w:r>
      <w:r w:rsidR="00A50D60" w:rsidRPr="006C58BA">
        <w:rPr>
          <w:rFonts w:ascii="Times New Roman" w:hAnsi="Times New Roman" w:cs="Times New Roman"/>
        </w:rPr>
        <w:t xml:space="preserve"> Companies should provide a timeline for building expertise and acquiring management </w:t>
      </w:r>
      <w:r w:rsidR="00A50D60" w:rsidRPr="006C58BA">
        <w:rPr>
          <w:rFonts w:ascii="Times New Roman" w:hAnsi="Times New Roman" w:cs="Times New Roman"/>
        </w:rPr>
        <w:lastRenderedPageBreak/>
        <w:t xml:space="preserve">systems, as well as </w:t>
      </w:r>
      <w:r w:rsidR="00A50D60" w:rsidRPr="00AA5308">
        <w:rPr>
          <w:rFonts w:ascii="Times New Roman" w:hAnsi="Times New Roman" w:cs="Times New Roman"/>
        </w:rPr>
        <w:t>a plan for managing the interim risk (beyond 2017 but before the risk-responsive strategies are fully implemented).</w:t>
      </w:r>
    </w:p>
    <w:p w14:paraId="601404C8" w14:textId="77777777" w:rsidR="00415865" w:rsidRDefault="00A50D60" w:rsidP="002D4F6E">
      <w:pPr>
        <w:pStyle w:val="ListParagraph"/>
        <w:numPr>
          <w:ilvl w:val="0"/>
          <w:numId w:val="18"/>
        </w:numPr>
        <w:spacing w:after="240" w:line="288" w:lineRule="auto"/>
        <w:ind w:left="0" w:hanging="720"/>
        <w:contextualSpacing w:val="0"/>
        <w:rPr>
          <w:rFonts w:ascii="Times New Roman" w:hAnsi="Times New Roman" w:cs="Times New Roman"/>
        </w:rPr>
      </w:pPr>
      <w:r>
        <w:rPr>
          <w:rFonts w:ascii="Times New Roman" w:hAnsi="Times New Roman" w:cs="Times New Roman"/>
        </w:rPr>
        <w:t>T</w:t>
      </w:r>
      <w:r w:rsidRPr="00AA5308">
        <w:rPr>
          <w:rFonts w:ascii="Times New Roman" w:hAnsi="Times New Roman" w:cs="Times New Roman"/>
        </w:rPr>
        <w:t>he Commission will take a measured approach in implementing its policy preference. Insofar as the Companies are making good faith efforts to develop appropriate risk management strategies and otherwise executing hedges in a prudent manner, the Commission will be flexible in allowing sufficient time for full implementation.</w:t>
      </w:r>
    </w:p>
    <w:p w14:paraId="08688D2C" w14:textId="5E0D1223" w:rsidR="00A50D60" w:rsidRPr="00AA5308" w:rsidRDefault="0018478D" w:rsidP="002D4F6E">
      <w:pPr>
        <w:pStyle w:val="ListParagraph"/>
        <w:numPr>
          <w:ilvl w:val="0"/>
          <w:numId w:val="18"/>
        </w:numPr>
        <w:spacing w:after="240" w:line="288" w:lineRule="auto"/>
        <w:ind w:left="0" w:hanging="720"/>
        <w:contextualSpacing w:val="0"/>
        <w:rPr>
          <w:rFonts w:ascii="Times New Roman" w:hAnsi="Times New Roman" w:cs="Times New Roman"/>
        </w:rPr>
      </w:pPr>
      <w:r>
        <w:rPr>
          <w:rFonts w:ascii="Times New Roman" w:hAnsi="Times New Roman" w:cs="Times New Roman"/>
        </w:rPr>
        <w:t xml:space="preserve">While we reiterate we are not mandating a </w:t>
      </w:r>
      <w:r w:rsidR="00C0645B">
        <w:rPr>
          <w:rFonts w:ascii="Times New Roman" w:hAnsi="Times New Roman" w:cs="Times New Roman"/>
        </w:rPr>
        <w:t xml:space="preserve">specific hedging </w:t>
      </w:r>
      <w:r>
        <w:rPr>
          <w:rFonts w:ascii="Times New Roman" w:hAnsi="Times New Roman" w:cs="Times New Roman"/>
        </w:rPr>
        <w:t xml:space="preserve">strategy, annual hedging plans will be required of each utility. The orders approving the 2017 </w:t>
      </w:r>
      <w:proofErr w:type="spellStart"/>
      <w:r>
        <w:rPr>
          <w:rFonts w:ascii="Times New Roman" w:hAnsi="Times New Roman" w:cs="Times New Roman"/>
        </w:rPr>
        <w:t>PGAs</w:t>
      </w:r>
      <w:proofErr w:type="spellEnd"/>
      <w:r>
        <w:rPr>
          <w:rFonts w:ascii="Times New Roman" w:hAnsi="Times New Roman" w:cs="Times New Roman"/>
        </w:rPr>
        <w:t xml:space="preserve"> will contain a provision requiring submission of comprehensive annual hedging plans as described in the following section. </w:t>
      </w:r>
    </w:p>
    <w:p w14:paraId="4E7B7071" w14:textId="754C9B6D" w:rsidR="00A24D21" w:rsidRPr="00AA5308" w:rsidRDefault="00B83979" w:rsidP="00DF1E9F">
      <w:pPr>
        <w:pStyle w:val="Heading3"/>
        <w:ind w:left="1440" w:hanging="360"/>
        <w:rPr>
          <w:sz w:val="24"/>
          <w:szCs w:val="24"/>
        </w:rPr>
      </w:pPr>
      <w:bookmarkStart w:id="19" w:name="_Toc473903212"/>
      <w:proofErr w:type="gramStart"/>
      <w:r w:rsidRPr="00AA5308">
        <w:rPr>
          <w:sz w:val="24"/>
          <w:szCs w:val="24"/>
        </w:rPr>
        <w:t>ii.</w:t>
      </w:r>
      <w:r w:rsidR="00D30D75" w:rsidRPr="00AA5308">
        <w:rPr>
          <w:sz w:val="24"/>
          <w:szCs w:val="24"/>
        </w:rPr>
        <w:tab/>
      </w:r>
      <w:r w:rsidR="00A81232" w:rsidRPr="00AA5308">
        <w:rPr>
          <w:sz w:val="24"/>
          <w:szCs w:val="24"/>
        </w:rPr>
        <w:t>Comprehensive</w:t>
      </w:r>
      <w:proofErr w:type="gramEnd"/>
      <w:r w:rsidR="00A81232" w:rsidRPr="00AA5308">
        <w:rPr>
          <w:sz w:val="24"/>
          <w:szCs w:val="24"/>
        </w:rPr>
        <w:t xml:space="preserve"> Annual Hedging Plan</w:t>
      </w:r>
      <w:bookmarkEnd w:id="19"/>
    </w:p>
    <w:p w14:paraId="52CCB990" w14:textId="2122442D" w:rsidR="00A81232" w:rsidRPr="00AA5308" w:rsidRDefault="00722078" w:rsidP="002D4F6E">
      <w:pPr>
        <w:pStyle w:val="ListParagraph"/>
        <w:numPr>
          <w:ilvl w:val="0"/>
          <w:numId w:val="18"/>
        </w:numPr>
        <w:spacing w:after="240" w:line="288" w:lineRule="auto"/>
        <w:ind w:left="0" w:hanging="720"/>
        <w:contextualSpacing w:val="0"/>
        <w:rPr>
          <w:rFonts w:ascii="Times New Roman" w:hAnsi="Times New Roman" w:cs="Times New Roman"/>
        </w:rPr>
      </w:pPr>
      <w:r>
        <w:rPr>
          <w:rFonts w:ascii="Times New Roman" w:hAnsi="Times New Roman" w:cs="Times New Roman"/>
        </w:rPr>
        <w:t>When making their</w:t>
      </w:r>
      <w:r w:rsidR="00A81232" w:rsidRPr="00CB28F5">
        <w:rPr>
          <w:rFonts w:ascii="Times New Roman" w:hAnsi="Times New Roman" w:cs="Times New Roman"/>
        </w:rPr>
        <w:t xml:space="preserve"> 2018 </w:t>
      </w:r>
      <w:proofErr w:type="spellStart"/>
      <w:r w:rsidR="00A81232" w:rsidRPr="00CB28F5">
        <w:rPr>
          <w:rFonts w:ascii="Times New Roman" w:hAnsi="Times New Roman" w:cs="Times New Roman"/>
        </w:rPr>
        <w:t>PGAs</w:t>
      </w:r>
      <w:proofErr w:type="spellEnd"/>
      <w:r w:rsidR="00D77F98" w:rsidRPr="00CB28F5">
        <w:rPr>
          <w:rFonts w:ascii="Times New Roman" w:hAnsi="Times New Roman" w:cs="Times New Roman"/>
        </w:rPr>
        <w:t xml:space="preserve"> filings, we </w:t>
      </w:r>
      <w:r w:rsidR="00A50D60">
        <w:rPr>
          <w:rFonts w:ascii="Times New Roman" w:hAnsi="Times New Roman" w:cs="Times New Roman"/>
        </w:rPr>
        <w:t>require</w:t>
      </w:r>
      <w:r w:rsidR="00A50D60" w:rsidRPr="00CB28F5">
        <w:rPr>
          <w:rFonts w:ascii="Times New Roman" w:hAnsi="Times New Roman" w:cs="Times New Roman"/>
        </w:rPr>
        <w:t xml:space="preserve"> </w:t>
      </w:r>
      <w:r>
        <w:rPr>
          <w:rFonts w:ascii="Times New Roman" w:hAnsi="Times New Roman" w:cs="Times New Roman"/>
        </w:rPr>
        <w:t>the Companies</w:t>
      </w:r>
      <w:r w:rsidRPr="00CB28F5">
        <w:rPr>
          <w:rFonts w:ascii="Times New Roman" w:hAnsi="Times New Roman" w:cs="Times New Roman"/>
        </w:rPr>
        <w:t xml:space="preserve"> </w:t>
      </w:r>
      <w:r w:rsidR="00A81232" w:rsidRPr="00CB28F5">
        <w:rPr>
          <w:rFonts w:ascii="Times New Roman" w:hAnsi="Times New Roman" w:cs="Times New Roman"/>
        </w:rPr>
        <w:t xml:space="preserve">to submit annual </w:t>
      </w:r>
      <w:r w:rsidR="00D77F98" w:rsidRPr="00CB28F5">
        <w:rPr>
          <w:rFonts w:ascii="Times New Roman" w:hAnsi="Times New Roman" w:cs="Times New Roman"/>
        </w:rPr>
        <w:t xml:space="preserve">comprehensive </w:t>
      </w:r>
      <w:r w:rsidR="00A81232" w:rsidRPr="00CB28F5">
        <w:rPr>
          <w:rFonts w:ascii="Times New Roman" w:hAnsi="Times New Roman" w:cs="Times New Roman"/>
        </w:rPr>
        <w:t>hedging plans that demonstrate</w:t>
      </w:r>
      <w:r w:rsidR="00D77F98" w:rsidRPr="006C58BA">
        <w:rPr>
          <w:rFonts w:ascii="Times New Roman" w:hAnsi="Times New Roman" w:cs="Times New Roman"/>
        </w:rPr>
        <w:t xml:space="preserve"> the </w:t>
      </w:r>
      <w:r w:rsidR="00581873" w:rsidRPr="006C58BA">
        <w:rPr>
          <w:rFonts w:ascii="Times New Roman" w:hAnsi="Times New Roman" w:cs="Times New Roman"/>
        </w:rPr>
        <w:t>integration</w:t>
      </w:r>
      <w:r w:rsidR="00D77F98" w:rsidRPr="006C58BA">
        <w:rPr>
          <w:rFonts w:ascii="Times New Roman" w:hAnsi="Times New Roman" w:cs="Times New Roman"/>
        </w:rPr>
        <w:t xml:space="preserve"> of</w:t>
      </w:r>
      <w:r w:rsidR="00A81232" w:rsidRPr="006C58BA">
        <w:rPr>
          <w:rFonts w:ascii="Times New Roman" w:hAnsi="Times New Roman" w:cs="Times New Roman"/>
        </w:rPr>
        <w:t xml:space="preserve"> risk responsive strategies into the </w:t>
      </w:r>
      <w:r w:rsidR="00C06ED6" w:rsidRPr="006C58BA">
        <w:rPr>
          <w:rFonts w:ascii="Times New Roman" w:hAnsi="Times New Roman" w:cs="Times New Roman"/>
        </w:rPr>
        <w:t>C</w:t>
      </w:r>
      <w:r w:rsidR="00D30D75" w:rsidRPr="006C58BA">
        <w:rPr>
          <w:rFonts w:ascii="Times New Roman" w:hAnsi="Times New Roman" w:cs="Times New Roman"/>
        </w:rPr>
        <w:t xml:space="preserve">ompanies’ </w:t>
      </w:r>
      <w:r w:rsidR="00A81232" w:rsidRPr="00AA5308">
        <w:rPr>
          <w:rFonts w:ascii="Times New Roman" w:hAnsi="Times New Roman" w:cs="Times New Roman"/>
        </w:rPr>
        <w:t xml:space="preserve">overall hedging framework. The </w:t>
      </w:r>
      <w:r w:rsidR="0056106B" w:rsidRPr="00AA5308">
        <w:rPr>
          <w:rFonts w:ascii="Times New Roman" w:hAnsi="Times New Roman" w:cs="Times New Roman"/>
        </w:rPr>
        <w:t>C</w:t>
      </w:r>
      <w:r w:rsidR="00A81232" w:rsidRPr="00AA5308">
        <w:rPr>
          <w:rFonts w:ascii="Times New Roman" w:hAnsi="Times New Roman" w:cs="Times New Roman"/>
        </w:rPr>
        <w:t>ommission expect</w:t>
      </w:r>
      <w:r w:rsidR="009546B7">
        <w:rPr>
          <w:rFonts w:ascii="Times New Roman" w:hAnsi="Times New Roman" w:cs="Times New Roman"/>
        </w:rPr>
        <w:t>s</w:t>
      </w:r>
      <w:r w:rsidR="00A81232" w:rsidRPr="00AA5308">
        <w:rPr>
          <w:rFonts w:ascii="Times New Roman" w:hAnsi="Times New Roman" w:cs="Times New Roman"/>
        </w:rPr>
        <w:t xml:space="preserve"> </w:t>
      </w:r>
      <w:r w:rsidR="009546B7">
        <w:rPr>
          <w:rFonts w:ascii="Times New Roman" w:hAnsi="Times New Roman" w:cs="Times New Roman"/>
        </w:rPr>
        <w:t xml:space="preserve">that </w:t>
      </w:r>
      <w:r w:rsidR="00A81232" w:rsidRPr="00AA5308">
        <w:rPr>
          <w:rFonts w:ascii="Times New Roman" w:hAnsi="Times New Roman" w:cs="Times New Roman"/>
        </w:rPr>
        <w:t xml:space="preserve">full implementation </w:t>
      </w:r>
      <w:r w:rsidR="009546B7">
        <w:rPr>
          <w:rFonts w:ascii="Times New Roman" w:hAnsi="Times New Roman" w:cs="Times New Roman"/>
        </w:rPr>
        <w:t>will</w:t>
      </w:r>
      <w:r w:rsidR="00A81232" w:rsidRPr="00AA5308">
        <w:rPr>
          <w:rFonts w:ascii="Times New Roman" w:hAnsi="Times New Roman" w:cs="Times New Roman"/>
        </w:rPr>
        <w:t xml:space="preserve"> take </w:t>
      </w:r>
      <w:r w:rsidR="009546B7">
        <w:rPr>
          <w:rFonts w:ascii="Times New Roman" w:hAnsi="Times New Roman" w:cs="Times New Roman"/>
        </w:rPr>
        <w:t xml:space="preserve">no </w:t>
      </w:r>
      <w:r w:rsidR="00A81232" w:rsidRPr="00AA5308">
        <w:rPr>
          <w:rFonts w:ascii="Times New Roman" w:hAnsi="Times New Roman" w:cs="Times New Roman"/>
        </w:rPr>
        <w:t xml:space="preserve">longer than 30 months. Therefore, by the </w:t>
      </w:r>
      <w:r w:rsidR="009546B7">
        <w:rPr>
          <w:rFonts w:ascii="Times New Roman" w:hAnsi="Times New Roman" w:cs="Times New Roman"/>
        </w:rPr>
        <w:t xml:space="preserve">deadline for submitting </w:t>
      </w:r>
      <w:r w:rsidR="00A81232" w:rsidRPr="00AA5308">
        <w:rPr>
          <w:rFonts w:ascii="Times New Roman" w:hAnsi="Times New Roman" w:cs="Times New Roman"/>
        </w:rPr>
        <w:t>2019 PGA</w:t>
      </w:r>
      <w:r w:rsidR="00D77F98" w:rsidRPr="00AA5308">
        <w:rPr>
          <w:rFonts w:ascii="Times New Roman" w:hAnsi="Times New Roman" w:cs="Times New Roman"/>
        </w:rPr>
        <w:t xml:space="preserve"> filings</w:t>
      </w:r>
      <w:r w:rsidR="00A81232" w:rsidRPr="00AA5308">
        <w:rPr>
          <w:rFonts w:ascii="Times New Roman" w:hAnsi="Times New Roman" w:cs="Times New Roman"/>
        </w:rPr>
        <w:t xml:space="preserve">, barring extraordinary circumstances, </w:t>
      </w:r>
      <w:r w:rsidR="00D30D75" w:rsidRPr="00AA5308">
        <w:rPr>
          <w:rFonts w:ascii="Times New Roman" w:hAnsi="Times New Roman" w:cs="Times New Roman"/>
        </w:rPr>
        <w:t xml:space="preserve">the </w:t>
      </w:r>
      <w:r w:rsidR="00C06ED6" w:rsidRPr="00AA5308">
        <w:rPr>
          <w:rFonts w:ascii="Times New Roman" w:hAnsi="Times New Roman" w:cs="Times New Roman"/>
        </w:rPr>
        <w:t>C</w:t>
      </w:r>
      <w:r w:rsidR="00D30D75" w:rsidRPr="00AA5308">
        <w:rPr>
          <w:rFonts w:ascii="Times New Roman" w:hAnsi="Times New Roman" w:cs="Times New Roman"/>
        </w:rPr>
        <w:t xml:space="preserve">ompanies </w:t>
      </w:r>
      <w:r w:rsidR="00A50D60">
        <w:rPr>
          <w:rFonts w:ascii="Times New Roman" w:hAnsi="Times New Roman" w:cs="Times New Roman"/>
        </w:rPr>
        <w:t>should</w:t>
      </w:r>
      <w:r w:rsidR="00A50D60" w:rsidRPr="00AA5308">
        <w:rPr>
          <w:rFonts w:ascii="Times New Roman" w:hAnsi="Times New Roman" w:cs="Times New Roman"/>
        </w:rPr>
        <w:t xml:space="preserve"> </w:t>
      </w:r>
      <w:r w:rsidR="00A81232" w:rsidRPr="00AA5308">
        <w:rPr>
          <w:rFonts w:ascii="Times New Roman" w:hAnsi="Times New Roman" w:cs="Times New Roman"/>
        </w:rPr>
        <w:t xml:space="preserve">file annual hedging plans that </w:t>
      </w:r>
      <w:r w:rsidR="00581873" w:rsidRPr="00AA5308">
        <w:rPr>
          <w:rFonts w:ascii="Times New Roman" w:hAnsi="Times New Roman" w:cs="Times New Roman"/>
        </w:rPr>
        <w:t>exhibit</w:t>
      </w:r>
      <w:r w:rsidR="00A81232" w:rsidRPr="00AA5308">
        <w:rPr>
          <w:rFonts w:ascii="Times New Roman" w:hAnsi="Times New Roman" w:cs="Times New Roman"/>
        </w:rPr>
        <w:t xml:space="preserve"> </w:t>
      </w:r>
      <w:r w:rsidR="009546B7">
        <w:rPr>
          <w:rFonts w:ascii="Times New Roman" w:hAnsi="Times New Roman" w:cs="Times New Roman"/>
        </w:rPr>
        <w:t xml:space="preserve">a </w:t>
      </w:r>
      <w:r w:rsidR="00A81232" w:rsidRPr="00AA5308">
        <w:rPr>
          <w:rFonts w:ascii="Times New Roman" w:hAnsi="Times New Roman" w:cs="Times New Roman"/>
        </w:rPr>
        <w:t xml:space="preserve">full strategy implementation for 2020 and beyond. </w:t>
      </w:r>
    </w:p>
    <w:p w14:paraId="6E13A339" w14:textId="1587215F" w:rsidR="00825F9E" w:rsidRPr="00CB28F5" w:rsidRDefault="0056106B" w:rsidP="002D4F6E">
      <w:pPr>
        <w:pStyle w:val="ListParagraph"/>
        <w:numPr>
          <w:ilvl w:val="0"/>
          <w:numId w:val="18"/>
        </w:numPr>
        <w:spacing w:after="240" w:line="288" w:lineRule="auto"/>
        <w:ind w:left="0" w:hanging="720"/>
        <w:contextualSpacing w:val="0"/>
        <w:rPr>
          <w:rFonts w:ascii="Times New Roman" w:hAnsi="Times New Roman" w:cs="Times New Roman"/>
        </w:rPr>
      </w:pPr>
      <w:r w:rsidRPr="00CB28F5">
        <w:rPr>
          <w:rFonts w:ascii="Times New Roman" w:hAnsi="Times New Roman" w:cs="Times New Roman"/>
        </w:rPr>
        <w:t>A</w:t>
      </w:r>
      <w:r w:rsidR="00D77F98" w:rsidRPr="00CB28F5">
        <w:rPr>
          <w:rFonts w:ascii="Times New Roman" w:hAnsi="Times New Roman" w:cs="Times New Roman"/>
        </w:rPr>
        <w:t xml:space="preserve">s part of the comprehensive annual hedging plan, </w:t>
      </w:r>
      <w:r w:rsidR="00D30D75" w:rsidRPr="00CB28F5">
        <w:rPr>
          <w:rFonts w:ascii="Times New Roman" w:hAnsi="Times New Roman" w:cs="Times New Roman"/>
        </w:rPr>
        <w:t xml:space="preserve">the </w:t>
      </w:r>
      <w:r w:rsidR="00C06ED6" w:rsidRPr="00CB28F5">
        <w:rPr>
          <w:rFonts w:ascii="Times New Roman" w:hAnsi="Times New Roman" w:cs="Times New Roman"/>
        </w:rPr>
        <w:t>C</w:t>
      </w:r>
      <w:r w:rsidR="00D30D75" w:rsidRPr="00CB28F5">
        <w:rPr>
          <w:rFonts w:ascii="Times New Roman" w:hAnsi="Times New Roman" w:cs="Times New Roman"/>
        </w:rPr>
        <w:t xml:space="preserve">ompanies </w:t>
      </w:r>
      <w:r w:rsidR="00825F9E" w:rsidRPr="00CB28F5">
        <w:rPr>
          <w:rFonts w:ascii="Times New Roman" w:hAnsi="Times New Roman" w:cs="Times New Roman"/>
        </w:rPr>
        <w:t xml:space="preserve">should </w:t>
      </w:r>
      <w:r w:rsidR="00D77F98" w:rsidRPr="00CB28F5">
        <w:rPr>
          <w:rFonts w:ascii="Times New Roman" w:hAnsi="Times New Roman" w:cs="Times New Roman"/>
        </w:rPr>
        <w:t>incorporate</w:t>
      </w:r>
      <w:r w:rsidR="00825F9E" w:rsidRPr="00CB28F5">
        <w:rPr>
          <w:rFonts w:ascii="Times New Roman" w:hAnsi="Times New Roman" w:cs="Times New Roman"/>
        </w:rPr>
        <w:t xml:space="preserve"> a </w:t>
      </w:r>
      <w:r w:rsidR="00D77F98" w:rsidRPr="006C58BA">
        <w:rPr>
          <w:rFonts w:ascii="Times New Roman" w:hAnsi="Times New Roman" w:cs="Times New Roman"/>
        </w:rPr>
        <w:t xml:space="preserve">retrospective </w:t>
      </w:r>
      <w:r w:rsidR="00825F9E" w:rsidRPr="006C58BA">
        <w:rPr>
          <w:rFonts w:ascii="Times New Roman" w:hAnsi="Times New Roman" w:cs="Times New Roman"/>
        </w:rPr>
        <w:t>hedging report</w:t>
      </w:r>
      <w:r w:rsidR="00FA0EA4" w:rsidRPr="006C58BA">
        <w:rPr>
          <w:rFonts w:ascii="Times New Roman" w:hAnsi="Times New Roman" w:cs="Times New Roman"/>
        </w:rPr>
        <w:t>.</w:t>
      </w:r>
      <w:r w:rsidR="00825F9E" w:rsidRPr="006C58BA">
        <w:rPr>
          <w:rFonts w:ascii="Times New Roman" w:hAnsi="Times New Roman" w:cs="Times New Roman"/>
        </w:rPr>
        <w:t xml:space="preserve"> </w:t>
      </w:r>
      <w:r w:rsidR="002C361B" w:rsidRPr="006C58BA">
        <w:rPr>
          <w:rFonts w:ascii="Times New Roman" w:hAnsi="Times New Roman" w:cs="Times New Roman"/>
        </w:rPr>
        <w:t>Th</w:t>
      </w:r>
      <w:r w:rsidR="00FA0EA4" w:rsidRPr="006C58BA">
        <w:rPr>
          <w:rFonts w:ascii="Times New Roman" w:hAnsi="Times New Roman" w:cs="Times New Roman"/>
        </w:rPr>
        <w:t xml:space="preserve">is </w:t>
      </w:r>
      <w:r w:rsidR="002C361B" w:rsidRPr="00EC27F6">
        <w:rPr>
          <w:rFonts w:ascii="Times New Roman" w:hAnsi="Times New Roman" w:cs="Times New Roman"/>
        </w:rPr>
        <w:t>report</w:t>
      </w:r>
      <w:r w:rsidR="00656562" w:rsidRPr="00AA5308">
        <w:rPr>
          <w:rFonts w:ascii="Times New Roman" w:hAnsi="Times New Roman" w:cs="Times New Roman"/>
        </w:rPr>
        <w:t xml:space="preserve"> </w:t>
      </w:r>
      <w:r w:rsidR="00CB28F5" w:rsidRPr="00AA5308">
        <w:rPr>
          <w:rFonts w:ascii="Times New Roman" w:hAnsi="Times New Roman" w:cs="Times New Roman"/>
        </w:rPr>
        <w:t>sh</w:t>
      </w:r>
      <w:r w:rsidR="00656562" w:rsidRPr="00AA5308">
        <w:rPr>
          <w:rFonts w:ascii="Times New Roman" w:hAnsi="Times New Roman" w:cs="Times New Roman"/>
        </w:rPr>
        <w:t xml:space="preserve">ould </w:t>
      </w:r>
      <w:r w:rsidRPr="00AA5308">
        <w:rPr>
          <w:rFonts w:ascii="Times New Roman" w:hAnsi="Times New Roman" w:cs="Times New Roman"/>
        </w:rPr>
        <w:t xml:space="preserve">provide a narrative </w:t>
      </w:r>
      <w:r w:rsidR="002C361B" w:rsidRPr="00AA5308">
        <w:rPr>
          <w:rFonts w:ascii="Times New Roman" w:hAnsi="Times New Roman" w:cs="Times New Roman"/>
        </w:rPr>
        <w:t xml:space="preserve">of the </w:t>
      </w:r>
      <w:r w:rsidR="00466F97">
        <w:rPr>
          <w:rFonts w:ascii="Times New Roman" w:hAnsi="Times New Roman" w:cs="Times New Roman"/>
        </w:rPr>
        <w:t xml:space="preserve">utility’s perspective on the </w:t>
      </w:r>
      <w:r w:rsidR="00F34D9D" w:rsidRPr="00AA5308">
        <w:rPr>
          <w:rFonts w:ascii="Times New Roman" w:hAnsi="Times New Roman" w:cs="Times New Roman"/>
        </w:rPr>
        <w:t>execution of</w:t>
      </w:r>
      <w:r w:rsidR="002C361B" w:rsidRPr="00AA5308">
        <w:rPr>
          <w:rFonts w:ascii="Times New Roman" w:hAnsi="Times New Roman" w:cs="Times New Roman"/>
        </w:rPr>
        <w:t xml:space="preserve"> its </w:t>
      </w:r>
      <w:r w:rsidR="004C165D" w:rsidRPr="00AA5308">
        <w:rPr>
          <w:rFonts w:ascii="Times New Roman" w:hAnsi="Times New Roman" w:cs="Times New Roman"/>
        </w:rPr>
        <w:t xml:space="preserve">prior year </w:t>
      </w:r>
      <w:r w:rsidR="002C361B" w:rsidRPr="00AA5308">
        <w:rPr>
          <w:rFonts w:ascii="Times New Roman" w:hAnsi="Times New Roman" w:cs="Times New Roman"/>
        </w:rPr>
        <w:t>hedging strategy</w:t>
      </w:r>
      <w:r w:rsidR="009D5865" w:rsidRPr="00AA5308">
        <w:rPr>
          <w:rFonts w:ascii="Times New Roman" w:hAnsi="Times New Roman" w:cs="Times New Roman"/>
        </w:rPr>
        <w:t xml:space="preserve">. </w:t>
      </w:r>
      <w:r w:rsidRPr="00AA5308">
        <w:rPr>
          <w:rFonts w:ascii="Times New Roman" w:hAnsi="Times New Roman" w:cs="Times New Roman"/>
        </w:rPr>
        <w:t xml:space="preserve">Additionally, </w:t>
      </w:r>
      <w:r w:rsidR="00CB28F5" w:rsidRPr="00AA5308">
        <w:rPr>
          <w:rFonts w:ascii="Times New Roman" w:hAnsi="Times New Roman" w:cs="Times New Roman"/>
        </w:rPr>
        <w:t xml:space="preserve">the report should include </w:t>
      </w:r>
      <w:r w:rsidRPr="00AA5308">
        <w:rPr>
          <w:rFonts w:ascii="Times New Roman" w:hAnsi="Times New Roman" w:cs="Times New Roman"/>
        </w:rPr>
        <w:t xml:space="preserve">a discussion </w:t>
      </w:r>
      <w:r w:rsidR="00656562" w:rsidRPr="00AA5308">
        <w:rPr>
          <w:rFonts w:ascii="Times New Roman" w:hAnsi="Times New Roman" w:cs="Times New Roman"/>
        </w:rPr>
        <w:t>providing insight a</w:t>
      </w:r>
      <w:r w:rsidR="00CB28F5" w:rsidRPr="00AA5308">
        <w:rPr>
          <w:rFonts w:ascii="Times New Roman" w:hAnsi="Times New Roman" w:cs="Times New Roman"/>
        </w:rPr>
        <w:t xml:space="preserve">bout </w:t>
      </w:r>
      <w:r w:rsidR="00F53841" w:rsidRPr="00AA5308">
        <w:rPr>
          <w:rFonts w:ascii="Times New Roman" w:hAnsi="Times New Roman" w:cs="Times New Roman"/>
        </w:rPr>
        <w:t xml:space="preserve">whether the metrics and tolerances identified in the previous year’s plan continue to be appropriate, and how the </w:t>
      </w:r>
      <w:r w:rsidR="00A52C5B" w:rsidRPr="00AA5308">
        <w:rPr>
          <w:rFonts w:ascii="Times New Roman" w:hAnsi="Times New Roman" w:cs="Times New Roman"/>
        </w:rPr>
        <w:t>C</w:t>
      </w:r>
      <w:r w:rsidR="00F53841" w:rsidRPr="00AA5308">
        <w:rPr>
          <w:rFonts w:ascii="Times New Roman" w:hAnsi="Times New Roman" w:cs="Times New Roman"/>
        </w:rPr>
        <w:t>ompany’</w:t>
      </w:r>
      <w:r w:rsidR="00D65191" w:rsidRPr="00AA5308">
        <w:rPr>
          <w:rFonts w:ascii="Times New Roman" w:hAnsi="Times New Roman" w:cs="Times New Roman"/>
        </w:rPr>
        <w:t>s</w:t>
      </w:r>
      <w:r w:rsidR="00656562" w:rsidRPr="00AA5308">
        <w:rPr>
          <w:rFonts w:ascii="Times New Roman" w:hAnsi="Times New Roman" w:cs="Times New Roman"/>
        </w:rPr>
        <w:t xml:space="preserve"> retrospective</w:t>
      </w:r>
      <w:r w:rsidR="00F53841" w:rsidRPr="00AA5308">
        <w:rPr>
          <w:rFonts w:ascii="Times New Roman" w:hAnsi="Times New Roman" w:cs="Times New Roman"/>
        </w:rPr>
        <w:t xml:space="preserve"> evaluation </w:t>
      </w:r>
      <w:r w:rsidR="00D65191" w:rsidRPr="00AA5308">
        <w:rPr>
          <w:rFonts w:ascii="Times New Roman" w:hAnsi="Times New Roman" w:cs="Times New Roman"/>
        </w:rPr>
        <w:t>has informed modifications to the forthcoming year’</w:t>
      </w:r>
      <w:r w:rsidR="009E3CDC" w:rsidRPr="00AA5308">
        <w:rPr>
          <w:rFonts w:ascii="Times New Roman" w:hAnsi="Times New Roman" w:cs="Times New Roman"/>
        </w:rPr>
        <w:t>s hedging</w:t>
      </w:r>
      <w:r w:rsidR="00D65191" w:rsidRPr="00AA5308">
        <w:rPr>
          <w:rFonts w:ascii="Times New Roman" w:hAnsi="Times New Roman" w:cs="Times New Roman"/>
        </w:rPr>
        <w:t xml:space="preserve"> plan.</w:t>
      </w:r>
      <w:r w:rsidR="00656562" w:rsidRPr="00CB28F5">
        <w:rPr>
          <w:rStyle w:val="FootnoteReference"/>
          <w:rFonts w:ascii="Times New Roman" w:hAnsi="Times New Roman" w:cs="Times New Roman"/>
        </w:rPr>
        <w:footnoteReference w:id="35"/>
      </w:r>
    </w:p>
    <w:p w14:paraId="478A9208" w14:textId="18B16E86" w:rsidR="00AA6CEA" w:rsidRPr="00415865" w:rsidRDefault="00AA6CEA" w:rsidP="002D4F6E">
      <w:pPr>
        <w:pStyle w:val="ListParagraph"/>
        <w:numPr>
          <w:ilvl w:val="0"/>
          <w:numId w:val="20"/>
        </w:numPr>
        <w:autoSpaceDE w:val="0"/>
        <w:autoSpaceDN w:val="0"/>
        <w:adjustRightInd w:val="0"/>
        <w:spacing w:after="240"/>
        <w:ind w:hanging="360"/>
        <w:contextualSpacing w:val="0"/>
        <w:rPr>
          <w:rFonts w:ascii="Times New Roman" w:hAnsi="Times New Roman"/>
          <w:b/>
          <w:i/>
        </w:rPr>
      </w:pPr>
      <w:r w:rsidRPr="00415865">
        <w:rPr>
          <w:rFonts w:ascii="Times New Roman" w:hAnsi="Times New Roman"/>
          <w:b/>
          <w:i/>
        </w:rPr>
        <w:t>Confidentiality</w:t>
      </w:r>
    </w:p>
    <w:p w14:paraId="6D460EBA" w14:textId="470BCACB" w:rsidR="00AA6CEA" w:rsidRPr="00AA5308" w:rsidRDefault="00AA6CEA" w:rsidP="002D4F6E">
      <w:pPr>
        <w:pStyle w:val="ListParagraph"/>
        <w:numPr>
          <w:ilvl w:val="0"/>
          <w:numId w:val="18"/>
        </w:numPr>
        <w:spacing w:after="240" w:line="288" w:lineRule="auto"/>
        <w:ind w:left="0" w:hanging="720"/>
        <w:contextualSpacing w:val="0"/>
        <w:rPr>
          <w:rFonts w:ascii="Times New Roman" w:hAnsi="Times New Roman" w:cs="Times New Roman"/>
        </w:rPr>
      </w:pPr>
      <w:r w:rsidRPr="00AA5308">
        <w:rPr>
          <w:rFonts w:ascii="Times New Roman" w:hAnsi="Times New Roman" w:cs="Times New Roman"/>
        </w:rPr>
        <w:t xml:space="preserve">The Commission recognizes the information requested in the annual hedging report, both preliminary and </w:t>
      </w:r>
      <w:r w:rsidRPr="00CB28F5">
        <w:rPr>
          <w:rFonts w:ascii="Times New Roman" w:hAnsi="Times New Roman" w:cs="Times New Roman"/>
        </w:rPr>
        <w:t>comprehensive</w:t>
      </w:r>
      <w:r w:rsidRPr="00AA5308">
        <w:rPr>
          <w:rFonts w:ascii="Times New Roman" w:hAnsi="Times New Roman" w:cs="Times New Roman"/>
        </w:rPr>
        <w:t xml:space="preserve">, may constitute proprietary commercial information, and that broad dissemination of this material could jeopardize a </w:t>
      </w:r>
      <w:r w:rsidR="00A95634">
        <w:rPr>
          <w:rFonts w:ascii="Times New Roman" w:hAnsi="Times New Roman" w:cs="Times New Roman"/>
        </w:rPr>
        <w:t>c</w:t>
      </w:r>
      <w:r w:rsidR="00D30D75" w:rsidRPr="00AA5308">
        <w:rPr>
          <w:rFonts w:ascii="Times New Roman" w:hAnsi="Times New Roman" w:cs="Times New Roman"/>
        </w:rPr>
        <w:t xml:space="preserve">ompany’s </w:t>
      </w:r>
      <w:r w:rsidRPr="00AA5308">
        <w:rPr>
          <w:rFonts w:ascii="Times New Roman" w:hAnsi="Times New Roman" w:cs="Times New Roman"/>
        </w:rPr>
        <w:t xml:space="preserve">ability to access </w:t>
      </w:r>
      <w:r w:rsidRPr="00AA5308">
        <w:rPr>
          <w:rFonts w:ascii="Times New Roman" w:hAnsi="Times New Roman" w:cs="Times New Roman"/>
        </w:rPr>
        <w:lastRenderedPageBreak/>
        <w:t>fair price quotes for prospective hedges. Therefore</w:t>
      </w:r>
      <w:r w:rsidR="00462687" w:rsidRPr="00AA5308">
        <w:rPr>
          <w:rFonts w:ascii="Times New Roman" w:hAnsi="Times New Roman" w:cs="Times New Roman"/>
        </w:rPr>
        <w:t xml:space="preserve">, </w:t>
      </w:r>
      <w:r w:rsidR="00D30D75" w:rsidRPr="00AA5308">
        <w:rPr>
          <w:rFonts w:ascii="Times New Roman" w:hAnsi="Times New Roman" w:cs="Times New Roman"/>
        </w:rPr>
        <w:t>the</w:t>
      </w:r>
      <w:r w:rsidR="00A52C5B" w:rsidRPr="00AA5308">
        <w:rPr>
          <w:rFonts w:ascii="Times New Roman" w:hAnsi="Times New Roman" w:cs="Times New Roman"/>
        </w:rPr>
        <w:t xml:space="preserve"> </w:t>
      </w:r>
      <w:r w:rsidR="00462687" w:rsidRPr="00AA5308">
        <w:rPr>
          <w:rFonts w:ascii="Times New Roman" w:hAnsi="Times New Roman" w:cs="Times New Roman"/>
        </w:rPr>
        <w:t xml:space="preserve">Companies may reasonably expect </w:t>
      </w:r>
      <w:r w:rsidR="009546B7">
        <w:rPr>
          <w:rFonts w:ascii="Times New Roman" w:hAnsi="Times New Roman" w:cs="Times New Roman"/>
        </w:rPr>
        <w:t>to submit information as</w:t>
      </w:r>
      <w:r w:rsidRPr="00AA5308">
        <w:rPr>
          <w:rFonts w:ascii="Times New Roman" w:hAnsi="Times New Roman" w:cs="Times New Roman"/>
        </w:rPr>
        <w:t xml:space="preserve"> confidential </w:t>
      </w:r>
      <w:r w:rsidR="009546B7">
        <w:rPr>
          <w:rFonts w:ascii="Times New Roman" w:hAnsi="Times New Roman" w:cs="Times New Roman"/>
        </w:rPr>
        <w:t>pursuant to</w:t>
      </w:r>
      <w:r w:rsidRPr="00AA5308">
        <w:rPr>
          <w:rFonts w:ascii="Times New Roman" w:hAnsi="Times New Roman" w:cs="Times New Roman"/>
        </w:rPr>
        <w:t xml:space="preserve"> WAC 480-07-</w:t>
      </w:r>
      <w:r w:rsidR="00462687" w:rsidRPr="00AA5308">
        <w:rPr>
          <w:rFonts w:ascii="Times New Roman" w:hAnsi="Times New Roman" w:cs="Times New Roman"/>
        </w:rPr>
        <w:t>160</w:t>
      </w:r>
      <w:r w:rsidRPr="00AA5308">
        <w:rPr>
          <w:rFonts w:ascii="Times New Roman" w:hAnsi="Times New Roman" w:cs="Times New Roman"/>
        </w:rPr>
        <w:t>.</w:t>
      </w:r>
    </w:p>
    <w:p w14:paraId="71951A20" w14:textId="1B9B145F" w:rsidR="00AA6CEA" w:rsidRPr="00AA5308" w:rsidRDefault="00AA6CEA" w:rsidP="002D4F6E">
      <w:pPr>
        <w:pStyle w:val="ListParagraph"/>
        <w:numPr>
          <w:ilvl w:val="0"/>
          <w:numId w:val="20"/>
        </w:numPr>
        <w:autoSpaceDE w:val="0"/>
        <w:autoSpaceDN w:val="0"/>
        <w:adjustRightInd w:val="0"/>
        <w:spacing w:after="240"/>
        <w:ind w:hanging="360"/>
        <w:contextualSpacing w:val="0"/>
        <w:rPr>
          <w:rFonts w:ascii="Times New Roman" w:hAnsi="Times New Roman" w:cs="Times New Roman"/>
          <w:b/>
          <w:i/>
        </w:rPr>
      </w:pPr>
      <w:r w:rsidRPr="00AA5308">
        <w:rPr>
          <w:rFonts w:ascii="Times New Roman" w:hAnsi="Times New Roman" w:cs="Times New Roman"/>
          <w:b/>
          <w:i/>
        </w:rPr>
        <w:t>Acknowledgement</w:t>
      </w:r>
    </w:p>
    <w:p w14:paraId="65B8A9F9" w14:textId="3C7A2FEA" w:rsidR="00581873" w:rsidRPr="00CB28F5" w:rsidRDefault="00462687" w:rsidP="002D4F6E">
      <w:pPr>
        <w:pStyle w:val="ListParagraph"/>
        <w:numPr>
          <w:ilvl w:val="0"/>
          <w:numId w:val="18"/>
        </w:numPr>
        <w:spacing w:after="240" w:line="288" w:lineRule="auto"/>
        <w:ind w:left="0" w:hanging="720"/>
        <w:contextualSpacing w:val="0"/>
        <w:rPr>
          <w:rFonts w:ascii="Times New Roman" w:hAnsi="Times New Roman" w:cs="Times New Roman"/>
        </w:rPr>
      </w:pPr>
      <w:r w:rsidRPr="00CB28F5">
        <w:rPr>
          <w:rFonts w:ascii="Times New Roman" w:hAnsi="Times New Roman" w:cs="Times New Roman"/>
        </w:rPr>
        <w:t xml:space="preserve">The annual hedging plan, although submitted concurrently with the annual PGA filing, will be recognized as an independent document. </w:t>
      </w:r>
      <w:r w:rsidR="009546B7">
        <w:rPr>
          <w:rFonts w:ascii="Times New Roman" w:hAnsi="Times New Roman" w:cs="Times New Roman"/>
        </w:rPr>
        <w:t>The Commission</w:t>
      </w:r>
      <w:r w:rsidR="00CB28F5">
        <w:rPr>
          <w:rFonts w:ascii="Times New Roman" w:hAnsi="Times New Roman" w:cs="Times New Roman"/>
        </w:rPr>
        <w:t xml:space="preserve"> will </w:t>
      </w:r>
      <w:r w:rsidRPr="00CB28F5">
        <w:rPr>
          <w:rFonts w:ascii="Times New Roman" w:hAnsi="Times New Roman" w:cs="Times New Roman"/>
        </w:rPr>
        <w:t xml:space="preserve">review the strategies </w:t>
      </w:r>
      <w:r w:rsidR="009546B7">
        <w:rPr>
          <w:rFonts w:ascii="Times New Roman" w:hAnsi="Times New Roman" w:cs="Times New Roman"/>
        </w:rPr>
        <w:t>identified in the plan to</w:t>
      </w:r>
      <w:r w:rsidR="009546B7" w:rsidRPr="00CB28F5">
        <w:rPr>
          <w:rFonts w:ascii="Times New Roman" w:hAnsi="Times New Roman" w:cs="Times New Roman"/>
        </w:rPr>
        <w:t xml:space="preserve"> </w:t>
      </w:r>
      <w:r w:rsidR="00CB28F5">
        <w:rPr>
          <w:rFonts w:ascii="Times New Roman" w:hAnsi="Times New Roman" w:cs="Times New Roman"/>
        </w:rPr>
        <w:t xml:space="preserve">determine the </w:t>
      </w:r>
      <w:r w:rsidRPr="00CB28F5">
        <w:rPr>
          <w:rFonts w:ascii="Times New Roman" w:hAnsi="Times New Roman" w:cs="Times New Roman"/>
        </w:rPr>
        <w:t xml:space="preserve">appropriateness of hedging </w:t>
      </w:r>
      <w:r w:rsidR="00A1659C" w:rsidRPr="00CB28F5">
        <w:rPr>
          <w:rFonts w:ascii="Times New Roman" w:hAnsi="Times New Roman" w:cs="Times New Roman"/>
        </w:rPr>
        <w:t xml:space="preserve">losses </w:t>
      </w:r>
      <w:r w:rsidRPr="00CB28F5">
        <w:rPr>
          <w:rFonts w:ascii="Times New Roman" w:hAnsi="Times New Roman" w:cs="Times New Roman"/>
        </w:rPr>
        <w:t>or gains for recovery through the PGA mechanism</w:t>
      </w:r>
      <w:r w:rsidR="00F34D9D">
        <w:rPr>
          <w:rFonts w:ascii="Times New Roman" w:hAnsi="Times New Roman" w:cs="Times New Roman"/>
        </w:rPr>
        <w:t xml:space="preserve">. </w:t>
      </w:r>
      <w:r w:rsidR="009546B7">
        <w:rPr>
          <w:rFonts w:ascii="Times New Roman" w:hAnsi="Times New Roman" w:cs="Times New Roman"/>
        </w:rPr>
        <w:t>However, the Commission</w:t>
      </w:r>
      <w:r w:rsidRPr="00CB28F5">
        <w:rPr>
          <w:rFonts w:ascii="Times New Roman" w:hAnsi="Times New Roman" w:cs="Times New Roman"/>
        </w:rPr>
        <w:t xml:space="preserve"> decline</w:t>
      </w:r>
      <w:r w:rsidR="009546B7">
        <w:rPr>
          <w:rFonts w:ascii="Times New Roman" w:hAnsi="Times New Roman" w:cs="Times New Roman"/>
        </w:rPr>
        <w:t>s</w:t>
      </w:r>
      <w:r w:rsidRPr="00CB28F5">
        <w:rPr>
          <w:rFonts w:ascii="Times New Roman" w:hAnsi="Times New Roman" w:cs="Times New Roman"/>
        </w:rPr>
        <w:t xml:space="preserve"> to formally accept or reject </w:t>
      </w:r>
      <w:r w:rsidR="009546B7">
        <w:rPr>
          <w:rFonts w:ascii="Times New Roman" w:hAnsi="Times New Roman" w:cs="Times New Roman"/>
        </w:rPr>
        <w:t>Companies’</w:t>
      </w:r>
      <w:r w:rsidR="009546B7" w:rsidRPr="00CB28F5">
        <w:rPr>
          <w:rFonts w:ascii="Times New Roman" w:hAnsi="Times New Roman" w:cs="Times New Roman"/>
        </w:rPr>
        <w:t xml:space="preserve"> </w:t>
      </w:r>
      <w:r w:rsidRPr="00CB28F5">
        <w:rPr>
          <w:rFonts w:ascii="Times New Roman" w:hAnsi="Times New Roman" w:cs="Times New Roman"/>
        </w:rPr>
        <w:t>hedging plan</w:t>
      </w:r>
      <w:r w:rsidR="009546B7">
        <w:rPr>
          <w:rFonts w:ascii="Times New Roman" w:hAnsi="Times New Roman" w:cs="Times New Roman"/>
        </w:rPr>
        <w:t>s</w:t>
      </w:r>
      <w:r w:rsidRPr="00CB28F5">
        <w:rPr>
          <w:rFonts w:ascii="Times New Roman" w:hAnsi="Times New Roman" w:cs="Times New Roman"/>
        </w:rPr>
        <w:t>. Instead, we opt to employ the acknowledge</w:t>
      </w:r>
      <w:r w:rsidR="00A1659C" w:rsidRPr="00CB28F5">
        <w:rPr>
          <w:rFonts w:ascii="Times New Roman" w:hAnsi="Times New Roman" w:cs="Times New Roman"/>
        </w:rPr>
        <w:t>ment</w:t>
      </w:r>
      <w:r w:rsidRPr="00CB28F5">
        <w:rPr>
          <w:rFonts w:ascii="Times New Roman" w:hAnsi="Times New Roman" w:cs="Times New Roman"/>
        </w:rPr>
        <w:t xml:space="preserve"> process </w:t>
      </w:r>
      <w:r w:rsidR="00BE5236">
        <w:rPr>
          <w:rFonts w:ascii="Times New Roman" w:hAnsi="Times New Roman" w:cs="Times New Roman"/>
        </w:rPr>
        <w:t xml:space="preserve">similar to that </w:t>
      </w:r>
      <w:r w:rsidRPr="00CB28F5">
        <w:rPr>
          <w:rFonts w:ascii="Times New Roman" w:hAnsi="Times New Roman" w:cs="Times New Roman"/>
        </w:rPr>
        <w:t xml:space="preserve">used </w:t>
      </w:r>
      <w:r w:rsidR="000618EC" w:rsidRPr="00CB28F5">
        <w:rPr>
          <w:rFonts w:ascii="Times New Roman" w:hAnsi="Times New Roman" w:cs="Times New Roman"/>
        </w:rPr>
        <w:t xml:space="preserve">with </w:t>
      </w:r>
      <w:proofErr w:type="spellStart"/>
      <w:r w:rsidR="000618EC" w:rsidRPr="00CB28F5">
        <w:rPr>
          <w:rFonts w:ascii="Times New Roman" w:hAnsi="Times New Roman" w:cs="Times New Roman"/>
        </w:rPr>
        <w:t>IRP</w:t>
      </w:r>
      <w:proofErr w:type="spellEnd"/>
      <w:r w:rsidRPr="00CB28F5">
        <w:rPr>
          <w:rFonts w:ascii="Times New Roman" w:hAnsi="Times New Roman" w:cs="Times New Roman"/>
        </w:rPr>
        <w:t xml:space="preserve"> submissions.</w:t>
      </w:r>
    </w:p>
    <w:p w14:paraId="7A033E58" w14:textId="10A078E2" w:rsidR="00142829" w:rsidRPr="00AA5308" w:rsidRDefault="00142829" w:rsidP="00DF1E9F">
      <w:pPr>
        <w:pStyle w:val="Heading3"/>
        <w:numPr>
          <w:ilvl w:val="0"/>
          <w:numId w:val="20"/>
        </w:numPr>
        <w:ind w:hanging="360"/>
        <w:rPr>
          <w:sz w:val="24"/>
          <w:szCs w:val="24"/>
        </w:rPr>
      </w:pPr>
      <w:bookmarkStart w:id="20" w:name="_Toc473903213"/>
      <w:r w:rsidRPr="00AA5308">
        <w:rPr>
          <w:sz w:val="24"/>
          <w:szCs w:val="24"/>
        </w:rPr>
        <w:t>Prudence Standards</w:t>
      </w:r>
      <w:bookmarkEnd w:id="20"/>
    </w:p>
    <w:p w14:paraId="34D56E19" w14:textId="25B7DD73" w:rsidR="002A11E9" w:rsidRPr="00CB28F5" w:rsidRDefault="00B73800" w:rsidP="002D4F6E">
      <w:pPr>
        <w:pStyle w:val="ListParagraph"/>
        <w:numPr>
          <w:ilvl w:val="0"/>
          <w:numId w:val="18"/>
        </w:numPr>
        <w:spacing w:after="240" w:line="288" w:lineRule="auto"/>
        <w:ind w:left="0" w:hanging="720"/>
        <w:contextualSpacing w:val="0"/>
        <w:rPr>
          <w:rFonts w:ascii="Times New Roman" w:hAnsi="Times New Roman" w:cs="Times New Roman"/>
        </w:rPr>
      </w:pPr>
      <w:r w:rsidRPr="00CB28F5">
        <w:rPr>
          <w:rFonts w:ascii="Times New Roman" w:hAnsi="Times New Roman" w:cs="Times New Roman"/>
        </w:rPr>
        <w:t xml:space="preserve">Consistent with our intention </w:t>
      </w:r>
      <w:r w:rsidR="009546B7">
        <w:rPr>
          <w:rFonts w:ascii="Times New Roman" w:hAnsi="Times New Roman" w:cs="Times New Roman"/>
        </w:rPr>
        <w:t xml:space="preserve">not </w:t>
      </w:r>
      <w:r w:rsidRPr="00CB28F5">
        <w:rPr>
          <w:rFonts w:ascii="Times New Roman" w:hAnsi="Times New Roman" w:cs="Times New Roman"/>
        </w:rPr>
        <w:t xml:space="preserve">to be overly prescriptive </w:t>
      </w:r>
      <w:r w:rsidR="009546B7">
        <w:rPr>
          <w:rFonts w:ascii="Times New Roman" w:hAnsi="Times New Roman" w:cs="Times New Roman"/>
        </w:rPr>
        <w:t>about</w:t>
      </w:r>
      <w:r w:rsidRPr="00CB28F5">
        <w:rPr>
          <w:rFonts w:ascii="Times New Roman" w:hAnsi="Times New Roman" w:cs="Times New Roman"/>
        </w:rPr>
        <w:t xml:space="preserve"> </w:t>
      </w:r>
      <w:r w:rsidRPr="00CB28F5">
        <w:rPr>
          <w:rFonts w:ascii="Times New Roman" w:hAnsi="Times New Roman" w:cs="Times New Roman"/>
          <w:i/>
        </w:rPr>
        <w:t>how</w:t>
      </w:r>
      <w:r w:rsidRPr="00CB28F5">
        <w:rPr>
          <w:rFonts w:ascii="Times New Roman" w:hAnsi="Times New Roman" w:cs="Times New Roman"/>
        </w:rPr>
        <w:t xml:space="preserve"> </w:t>
      </w:r>
      <w:r w:rsidR="00D30D75" w:rsidRPr="00CB28F5">
        <w:rPr>
          <w:rFonts w:ascii="Times New Roman" w:hAnsi="Times New Roman" w:cs="Times New Roman"/>
        </w:rPr>
        <w:t xml:space="preserve">the </w:t>
      </w:r>
      <w:r w:rsidR="00A04E0F" w:rsidRPr="00CB28F5">
        <w:rPr>
          <w:rFonts w:ascii="Times New Roman" w:hAnsi="Times New Roman" w:cs="Times New Roman"/>
        </w:rPr>
        <w:t>C</w:t>
      </w:r>
      <w:r w:rsidR="00D30D75" w:rsidRPr="00CB28F5">
        <w:rPr>
          <w:rFonts w:ascii="Times New Roman" w:hAnsi="Times New Roman" w:cs="Times New Roman"/>
        </w:rPr>
        <w:t xml:space="preserve">ompanies </w:t>
      </w:r>
      <w:r w:rsidRPr="00CB28F5">
        <w:rPr>
          <w:rFonts w:ascii="Times New Roman" w:hAnsi="Times New Roman" w:cs="Times New Roman"/>
        </w:rPr>
        <w:t xml:space="preserve">develop more robust, risk-responsive hedge strategies, we decline here to be formulaic in suggesting how utilities ought to operate in a prudent manner. </w:t>
      </w:r>
      <w:r w:rsidR="00CB28F5">
        <w:rPr>
          <w:rFonts w:ascii="Times New Roman" w:hAnsi="Times New Roman" w:cs="Times New Roman"/>
        </w:rPr>
        <w:t>We adopt</w:t>
      </w:r>
      <w:r w:rsidR="00224F9F" w:rsidRPr="00CB28F5">
        <w:rPr>
          <w:rFonts w:ascii="Times New Roman" w:hAnsi="Times New Roman" w:cs="Times New Roman"/>
        </w:rPr>
        <w:t xml:space="preserve"> a</w:t>
      </w:r>
      <w:r w:rsidR="004273B0" w:rsidRPr="00CB28F5">
        <w:rPr>
          <w:rFonts w:ascii="Times New Roman" w:hAnsi="Times New Roman" w:cs="Times New Roman"/>
        </w:rPr>
        <w:t>n affirmative</w:t>
      </w:r>
      <w:r w:rsidR="00224F9F" w:rsidRPr="00CB28F5">
        <w:rPr>
          <w:rFonts w:ascii="Times New Roman" w:hAnsi="Times New Roman" w:cs="Times New Roman"/>
        </w:rPr>
        <w:t xml:space="preserve"> </w:t>
      </w:r>
      <w:r w:rsidRPr="00CB28F5">
        <w:rPr>
          <w:rFonts w:ascii="Times New Roman" w:hAnsi="Times New Roman" w:cs="Times New Roman"/>
        </w:rPr>
        <w:t>polic</w:t>
      </w:r>
      <w:r w:rsidR="004273B0" w:rsidRPr="00CB28F5">
        <w:rPr>
          <w:rFonts w:ascii="Times New Roman" w:hAnsi="Times New Roman" w:cs="Times New Roman"/>
        </w:rPr>
        <w:t xml:space="preserve">y that </w:t>
      </w:r>
      <w:r w:rsidR="00A04E0F" w:rsidRPr="00CB28F5">
        <w:rPr>
          <w:rFonts w:ascii="Times New Roman" w:hAnsi="Times New Roman" w:cs="Times New Roman"/>
        </w:rPr>
        <w:t xml:space="preserve">natural gas </w:t>
      </w:r>
      <w:r w:rsidR="00D30D75" w:rsidRPr="00CB28F5">
        <w:rPr>
          <w:rFonts w:ascii="Times New Roman" w:hAnsi="Times New Roman" w:cs="Times New Roman"/>
        </w:rPr>
        <w:t xml:space="preserve">company </w:t>
      </w:r>
      <w:r w:rsidR="004273B0" w:rsidRPr="00CB28F5">
        <w:rPr>
          <w:rFonts w:ascii="Times New Roman" w:hAnsi="Times New Roman" w:cs="Times New Roman"/>
        </w:rPr>
        <w:t>hedg</w:t>
      </w:r>
      <w:r w:rsidR="00A04E0F" w:rsidRPr="00CB28F5">
        <w:rPr>
          <w:rFonts w:ascii="Times New Roman" w:hAnsi="Times New Roman" w:cs="Times New Roman"/>
        </w:rPr>
        <w:t>ing</w:t>
      </w:r>
      <w:r w:rsidR="004273B0" w:rsidRPr="00CB28F5">
        <w:rPr>
          <w:rFonts w:ascii="Times New Roman" w:hAnsi="Times New Roman" w:cs="Times New Roman"/>
        </w:rPr>
        <w:t xml:space="preserve"> programs </w:t>
      </w:r>
      <w:r w:rsidR="00CB28F5">
        <w:rPr>
          <w:rFonts w:ascii="Times New Roman" w:hAnsi="Times New Roman" w:cs="Times New Roman"/>
        </w:rPr>
        <w:t>must</w:t>
      </w:r>
      <w:r w:rsidR="004273B0" w:rsidRPr="00CB28F5">
        <w:rPr>
          <w:rFonts w:ascii="Times New Roman" w:hAnsi="Times New Roman" w:cs="Times New Roman"/>
        </w:rPr>
        <w:t xml:space="preserve"> adapt to constantly changing market risk conditions, and that utilities should seek to</w:t>
      </w:r>
      <w:r w:rsidR="00A1659C" w:rsidRPr="00CB28F5">
        <w:rPr>
          <w:rFonts w:ascii="Times New Roman" w:hAnsi="Times New Roman" w:cs="Times New Roman"/>
        </w:rPr>
        <w:t>, “[implement the most economically superior strategy] that produces a cost-mitigation tolerance with the smallest hedge-loss exposure.”</w:t>
      </w:r>
      <w:r w:rsidR="00A1659C" w:rsidRPr="00CB28F5">
        <w:rPr>
          <w:rStyle w:val="FootnoteReference"/>
          <w:rFonts w:ascii="Times New Roman" w:hAnsi="Times New Roman" w:cs="Times New Roman"/>
        </w:rPr>
        <w:footnoteReference w:id="36"/>
      </w:r>
      <w:r w:rsidR="004273B0" w:rsidRPr="00CB28F5">
        <w:rPr>
          <w:rFonts w:ascii="Times New Roman" w:hAnsi="Times New Roman" w:cs="Times New Roman"/>
        </w:rPr>
        <w:t xml:space="preserve"> </w:t>
      </w:r>
      <w:r w:rsidR="00CB28F5">
        <w:rPr>
          <w:rFonts w:ascii="Times New Roman" w:hAnsi="Times New Roman" w:cs="Times New Roman"/>
        </w:rPr>
        <w:t>The Companies must determine h</w:t>
      </w:r>
      <w:r w:rsidR="002A11E9" w:rsidRPr="00CB28F5">
        <w:rPr>
          <w:rFonts w:ascii="Times New Roman" w:hAnsi="Times New Roman" w:cs="Times New Roman"/>
        </w:rPr>
        <w:t xml:space="preserve">ow best to achieve these objectives. </w:t>
      </w:r>
    </w:p>
    <w:p w14:paraId="1D66EFCB" w14:textId="75596649" w:rsidR="00656562" w:rsidRPr="00CB28F5" w:rsidRDefault="00CB28F5" w:rsidP="002D4F6E">
      <w:pPr>
        <w:pStyle w:val="ListParagraph"/>
        <w:numPr>
          <w:ilvl w:val="0"/>
          <w:numId w:val="18"/>
        </w:numPr>
        <w:spacing w:after="240" w:line="288" w:lineRule="auto"/>
        <w:ind w:left="0" w:hanging="720"/>
        <w:contextualSpacing w:val="0"/>
        <w:rPr>
          <w:rFonts w:ascii="Times New Roman" w:hAnsi="Times New Roman" w:cs="Times New Roman"/>
        </w:rPr>
      </w:pPr>
      <w:r w:rsidRPr="00CB28F5">
        <w:rPr>
          <w:rFonts w:ascii="Times New Roman" w:hAnsi="Times New Roman" w:cs="Times New Roman"/>
        </w:rPr>
        <w:t>Nevertheless</w:t>
      </w:r>
      <w:r w:rsidR="00C0536F" w:rsidRPr="00CB28F5">
        <w:rPr>
          <w:rFonts w:ascii="Times New Roman" w:hAnsi="Times New Roman" w:cs="Times New Roman"/>
        </w:rPr>
        <w:t>, t</w:t>
      </w:r>
      <w:r w:rsidR="001809AE" w:rsidRPr="00CB28F5">
        <w:rPr>
          <w:rFonts w:ascii="Times New Roman" w:hAnsi="Times New Roman" w:cs="Times New Roman"/>
        </w:rPr>
        <w:t>he Commission expects utilities to make reasonable progress in developing a more sophisticated risk management framework consistent with this policy statement. A</w:t>
      </w:r>
      <w:r w:rsidR="00656562" w:rsidRPr="00CB28F5">
        <w:rPr>
          <w:rFonts w:ascii="Times New Roman" w:hAnsi="Times New Roman" w:cs="Times New Roman"/>
        </w:rPr>
        <w:t xml:space="preserve">s we </w:t>
      </w:r>
      <w:r>
        <w:rPr>
          <w:rFonts w:ascii="Times New Roman" w:hAnsi="Times New Roman" w:cs="Times New Roman"/>
        </w:rPr>
        <w:t>move forward</w:t>
      </w:r>
      <w:r w:rsidR="00656562" w:rsidRPr="00CB28F5">
        <w:rPr>
          <w:rFonts w:ascii="Times New Roman" w:hAnsi="Times New Roman" w:cs="Times New Roman"/>
        </w:rPr>
        <w:t xml:space="preserve">, we </w:t>
      </w:r>
      <w:r w:rsidR="00E273A2" w:rsidRPr="00CB28F5">
        <w:rPr>
          <w:rFonts w:ascii="Times New Roman" w:hAnsi="Times New Roman" w:cs="Times New Roman"/>
        </w:rPr>
        <w:t>are more</w:t>
      </w:r>
      <w:r w:rsidR="00656562" w:rsidRPr="00CB28F5">
        <w:rPr>
          <w:rFonts w:ascii="Times New Roman" w:hAnsi="Times New Roman" w:cs="Times New Roman"/>
        </w:rPr>
        <w:t xml:space="preserve"> likely to entertain arguments regarding the prudency of </w:t>
      </w:r>
      <w:r w:rsidR="001809AE" w:rsidRPr="00CB28F5">
        <w:rPr>
          <w:rFonts w:ascii="Times New Roman" w:hAnsi="Times New Roman" w:cs="Times New Roman"/>
        </w:rPr>
        <w:t xml:space="preserve">extraordinary </w:t>
      </w:r>
      <w:r w:rsidR="00656562" w:rsidRPr="00CB28F5">
        <w:rPr>
          <w:rFonts w:ascii="Times New Roman" w:hAnsi="Times New Roman" w:cs="Times New Roman"/>
        </w:rPr>
        <w:t>hedging losses</w:t>
      </w:r>
      <w:r w:rsidR="001809AE" w:rsidRPr="00CB28F5">
        <w:rPr>
          <w:rFonts w:ascii="Times New Roman" w:hAnsi="Times New Roman" w:cs="Times New Roman"/>
        </w:rPr>
        <w:t>,</w:t>
      </w:r>
      <w:r w:rsidR="00656562" w:rsidRPr="00CB28F5">
        <w:rPr>
          <w:rFonts w:ascii="Times New Roman" w:hAnsi="Times New Roman" w:cs="Times New Roman"/>
        </w:rPr>
        <w:t xml:space="preserve"> </w:t>
      </w:r>
      <w:r w:rsidR="001809AE" w:rsidRPr="00CB28F5">
        <w:rPr>
          <w:rFonts w:ascii="Times New Roman" w:hAnsi="Times New Roman" w:cs="Times New Roman"/>
        </w:rPr>
        <w:t>particularly</w:t>
      </w:r>
      <w:r w:rsidR="00656562" w:rsidRPr="00CB28F5">
        <w:rPr>
          <w:rFonts w:ascii="Times New Roman" w:hAnsi="Times New Roman" w:cs="Times New Roman"/>
        </w:rPr>
        <w:t xml:space="preserve"> for </w:t>
      </w:r>
      <w:r w:rsidR="00A95634">
        <w:rPr>
          <w:rFonts w:ascii="Times New Roman" w:hAnsi="Times New Roman" w:cs="Times New Roman"/>
        </w:rPr>
        <w:t>c</w:t>
      </w:r>
      <w:r w:rsidR="00E273A2" w:rsidRPr="00CB28F5">
        <w:rPr>
          <w:rFonts w:ascii="Times New Roman" w:hAnsi="Times New Roman" w:cs="Times New Roman"/>
        </w:rPr>
        <w:t xml:space="preserve">ompanies </w:t>
      </w:r>
      <w:r w:rsidR="00656562" w:rsidRPr="00CB28F5">
        <w:rPr>
          <w:rFonts w:ascii="Times New Roman" w:hAnsi="Times New Roman" w:cs="Times New Roman"/>
        </w:rPr>
        <w:t>that continue to rely upon</w:t>
      </w:r>
      <w:r w:rsidR="001809AE" w:rsidRPr="00CB28F5">
        <w:rPr>
          <w:rFonts w:ascii="Times New Roman" w:hAnsi="Times New Roman" w:cs="Times New Roman"/>
        </w:rPr>
        <w:t xml:space="preserve"> a</w:t>
      </w:r>
      <w:r w:rsidR="00656562" w:rsidRPr="00CB28F5">
        <w:rPr>
          <w:rFonts w:ascii="Times New Roman" w:hAnsi="Times New Roman" w:cs="Times New Roman"/>
        </w:rPr>
        <w:t xml:space="preserve"> strict programmatic hedging approach. </w:t>
      </w:r>
      <w:r w:rsidR="005F06D3" w:rsidRPr="00CB28F5">
        <w:rPr>
          <w:rFonts w:ascii="Times New Roman" w:hAnsi="Times New Roman" w:cs="Times New Roman"/>
        </w:rPr>
        <w:t>Therefore, c</w:t>
      </w:r>
      <w:r w:rsidR="001809AE" w:rsidRPr="00CB28F5">
        <w:rPr>
          <w:rFonts w:ascii="Times New Roman" w:hAnsi="Times New Roman" w:cs="Times New Roman"/>
        </w:rPr>
        <w:t xml:space="preserve">ontinuing to maintain largely static hedge ratios without justification </w:t>
      </w:r>
      <w:r>
        <w:rPr>
          <w:rFonts w:ascii="Times New Roman" w:hAnsi="Times New Roman" w:cs="Times New Roman"/>
        </w:rPr>
        <w:t>will become</w:t>
      </w:r>
      <w:r w:rsidR="001809AE" w:rsidRPr="00CB28F5">
        <w:rPr>
          <w:rFonts w:ascii="Times New Roman" w:hAnsi="Times New Roman" w:cs="Times New Roman"/>
        </w:rPr>
        <w:t xml:space="preserve"> an increasingly risky proposition.</w:t>
      </w:r>
    </w:p>
    <w:p w14:paraId="17B27112" w14:textId="39903164" w:rsidR="00B15CF0" w:rsidRDefault="0003119A" w:rsidP="002D4F6E">
      <w:pPr>
        <w:pStyle w:val="ListParagraph"/>
        <w:numPr>
          <w:ilvl w:val="0"/>
          <w:numId w:val="18"/>
        </w:numPr>
        <w:spacing w:after="240" w:line="288" w:lineRule="auto"/>
        <w:ind w:left="0" w:hanging="720"/>
        <w:contextualSpacing w:val="0"/>
        <w:rPr>
          <w:rFonts w:ascii="Times New Roman" w:hAnsi="Times New Roman" w:cs="Times New Roman"/>
        </w:rPr>
      </w:pPr>
      <w:r w:rsidRPr="006C58BA">
        <w:rPr>
          <w:rFonts w:ascii="Times New Roman" w:hAnsi="Times New Roman" w:cs="Times New Roman"/>
        </w:rPr>
        <w:t xml:space="preserve">In </w:t>
      </w:r>
      <w:r w:rsidR="00CB28F5">
        <w:rPr>
          <w:rFonts w:ascii="Times New Roman" w:hAnsi="Times New Roman" w:cs="Times New Roman"/>
        </w:rPr>
        <w:t>light</w:t>
      </w:r>
      <w:r w:rsidRPr="00CB28F5">
        <w:rPr>
          <w:rFonts w:ascii="Times New Roman" w:hAnsi="Times New Roman" w:cs="Times New Roman"/>
        </w:rPr>
        <w:t xml:space="preserve"> of expert recommendation and comment</w:t>
      </w:r>
      <w:r w:rsidR="00CB28F5">
        <w:rPr>
          <w:rFonts w:ascii="Times New Roman" w:hAnsi="Times New Roman" w:cs="Times New Roman"/>
        </w:rPr>
        <w:t>s</w:t>
      </w:r>
      <w:r w:rsidRPr="00CB28F5">
        <w:rPr>
          <w:rFonts w:ascii="Times New Roman" w:hAnsi="Times New Roman" w:cs="Times New Roman"/>
        </w:rPr>
        <w:t xml:space="preserve"> </w:t>
      </w:r>
      <w:r w:rsidR="00CB28F5">
        <w:rPr>
          <w:rFonts w:ascii="Times New Roman" w:hAnsi="Times New Roman" w:cs="Times New Roman"/>
        </w:rPr>
        <w:t>filed in this proceeding</w:t>
      </w:r>
      <w:r w:rsidRPr="00CB28F5">
        <w:rPr>
          <w:rFonts w:ascii="Times New Roman" w:hAnsi="Times New Roman" w:cs="Times New Roman"/>
        </w:rPr>
        <w:t xml:space="preserve">, we </w:t>
      </w:r>
      <w:r w:rsidR="00CB28F5">
        <w:rPr>
          <w:rFonts w:ascii="Times New Roman" w:hAnsi="Times New Roman" w:cs="Times New Roman"/>
        </w:rPr>
        <w:t>determine that</w:t>
      </w:r>
      <w:r w:rsidRPr="00CB28F5">
        <w:rPr>
          <w:rFonts w:ascii="Times New Roman" w:hAnsi="Times New Roman" w:cs="Times New Roman"/>
        </w:rPr>
        <w:t xml:space="preserve"> the Commission’s existing prudence standard remains sufficient </w:t>
      </w:r>
      <w:r w:rsidR="00CB28F5">
        <w:rPr>
          <w:rFonts w:ascii="Times New Roman" w:hAnsi="Times New Roman" w:cs="Times New Roman"/>
        </w:rPr>
        <w:t>to evaluate</w:t>
      </w:r>
      <w:r w:rsidRPr="00CB28F5">
        <w:rPr>
          <w:rFonts w:ascii="Times New Roman" w:hAnsi="Times New Roman" w:cs="Times New Roman"/>
        </w:rPr>
        <w:t xml:space="preserve"> decisions and subsequent outcomes related to hedging losses.</w:t>
      </w:r>
      <w:r w:rsidR="007A6041" w:rsidRPr="00CB28F5">
        <w:rPr>
          <w:rStyle w:val="FootnoteReference"/>
          <w:rFonts w:ascii="Times New Roman" w:hAnsi="Times New Roman" w:cs="Times New Roman"/>
        </w:rPr>
        <w:footnoteReference w:id="37"/>
      </w:r>
      <w:r w:rsidRPr="00CB28F5">
        <w:rPr>
          <w:rFonts w:ascii="Times New Roman" w:hAnsi="Times New Roman" w:cs="Times New Roman"/>
        </w:rPr>
        <w:t xml:space="preserve"> </w:t>
      </w:r>
    </w:p>
    <w:p w14:paraId="610A3E2C" w14:textId="1F189A80" w:rsidR="007C1AC0" w:rsidRDefault="007C1AC0" w:rsidP="00DF1E9F">
      <w:pPr>
        <w:pStyle w:val="Heading2"/>
        <w:numPr>
          <w:ilvl w:val="0"/>
          <w:numId w:val="12"/>
        </w:numPr>
        <w:rPr>
          <w:rFonts w:cs="Times New Roman"/>
          <w:sz w:val="24"/>
          <w:szCs w:val="24"/>
        </w:rPr>
      </w:pPr>
      <w:r w:rsidRPr="005A0C38">
        <w:rPr>
          <w:rFonts w:cs="Times New Roman"/>
          <w:sz w:val="24"/>
          <w:szCs w:val="24"/>
        </w:rPr>
        <w:lastRenderedPageBreak/>
        <w:t>Conclusion</w:t>
      </w:r>
      <w:bookmarkStart w:id="21" w:name="_GoBack"/>
      <w:bookmarkEnd w:id="21"/>
    </w:p>
    <w:p w14:paraId="3C4F5021" w14:textId="676DDDAD" w:rsidR="007C1AC0" w:rsidRPr="00B0572E" w:rsidRDefault="0086534B" w:rsidP="002D4F6E">
      <w:pPr>
        <w:pStyle w:val="ListParagraph"/>
        <w:numPr>
          <w:ilvl w:val="0"/>
          <w:numId w:val="18"/>
        </w:numPr>
        <w:spacing w:after="240" w:line="288" w:lineRule="auto"/>
        <w:ind w:left="0" w:hanging="720"/>
        <w:contextualSpacing w:val="0"/>
        <w:rPr>
          <w:rFonts w:ascii="Times New Roman" w:hAnsi="Times New Roman"/>
        </w:rPr>
      </w:pPr>
      <w:r w:rsidRPr="005A0C38">
        <w:rPr>
          <w:rFonts w:ascii="Times New Roman" w:hAnsi="Times New Roman"/>
        </w:rPr>
        <w:t xml:space="preserve">The Commission provides this policy statement affirming its preference </w:t>
      </w:r>
      <w:r w:rsidR="001E1541">
        <w:rPr>
          <w:rFonts w:ascii="Times New Roman" w:hAnsi="Times New Roman"/>
        </w:rPr>
        <w:t>that</w:t>
      </w:r>
      <w:r w:rsidRPr="005A0C38">
        <w:rPr>
          <w:rFonts w:ascii="Times New Roman" w:hAnsi="Times New Roman"/>
        </w:rPr>
        <w:t xml:space="preserve"> Washington </w:t>
      </w:r>
      <w:r w:rsidR="00BE5236">
        <w:rPr>
          <w:rFonts w:ascii="Times New Roman" w:hAnsi="Times New Roman"/>
        </w:rPr>
        <w:t>n</w:t>
      </w:r>
      <w:r w:rsidR="00BE5236" w:rsidRPr="005A0C38">
        <w:rPr>
          <w:rFonts w:ascii="Times New Roman" w:hAnsi="Times New Roman"/>
        </w:rPr>
        <w:t xml:space="preserve">atural </w:t>
      </w:r>
      <w:r w:rsidR="00BE5236" w:rsidRPr="002D4F6E">
        <w:rPr>
          <w:rFonts w:ascii="Times New Roman" w:hAnsi="Times New Roman" w:cs="Times New Roman"/>
        </w:rPr>
        <w:t>gas</w:t>
      </w:r>
      <w:r w:rsidR="00BE5236" w:rsidRPr="005A0C38">
        <w:rPr>
          <w:rFonts w:ascii="Times New Roman" w:hAnsi="Times New Roman"/>
        </w:rPr>
        <w:t xml:space="preserve"> </w:t>
      </w:r>
      <w:r w:rsidR="00BE5236">
        <w:rPr>
          <w:rFonts w:ascii="Times New Roman" w:hAnsi="Times New Roman"/>
        </w:rPr>
        <w:t>l</w:t>
      </w:r>
      <w:r w:rsidR="00BE5236" w:rsidRPr="005A0C38">
        <w:rPr>
          <w:rFonts w:ascii="Times New Roman" w:hAnsi="Times New Roman"/>
        </w:rPr>
        <w:t xml:space="preserve">ocal </w:t>
      </w:r>
      <w:r w:rsidR="00BE5236">
        <w:rPr>
          <w:rFonts w:ascii="Times New Roman" w:hAnsi="Times New Roman"/>
        </w:rPr>
        <w:t>d</w:t>
      </w:r>
      <w:r w:rsidR="00BE5236" w:rsidRPr="005A0C38">
        <w:rPr>
          <w:rFonts w:ascii="Times New Roman" w:hAnsi="Times New Roman"/>
        </w:rPr>
        <w:t xml:space="preserve">istribution </w:t>
      </w:r>
      <w:r w:rsidR="00BE5236">
        <w:rPr>
          <w:rFonts w:ascii="Times New Roman" w:hAnsi="Times New Roman"/>
        </w:rPr>
        <w:t>c</w:t>
      </w:r>
      <w:r w:rsidR="00BE5236" w:rsidRPr="005A0C38">
        <w:rPr>
          <w:rFonts w:ascii="Times New Roman" w:hAnsi="Times New Roman"/>
        </w:rPr>
        <w:t xml:space="preserve">ompanies </w:t>
      </w:r>
      <w:r w:rsidRPr="005A0C38">
        <w:rPr>
          <w:rFonts w:ascii="Times New Roman" w:hAnsi="Times New Roman"/>
        </w:rPr>
        <w:t xml:space="preserve">utilize risk responsive hedging practices. While no “right” mix of methods may be applied unilaterally due to </w:t>
      </w:r>
      <w:r w:rsidR="00BE5236">
        <w:rPr>
          <w:rFonts w:ascii="Times New Roman" w:hAnsi="Times New Roman"/>
        </w:rPr>
        <w:t>utility specific operations</w:t>
      </w:r>
      <w:r w:rsidRPr="005A0C38">
        <w:rPr>
          <w:rFonts w:ascii="Times New Roman" w:hAnsi="Times New Roman"/>
        </w:rPr>
        <w:t xml:space="preserve">, </w:t>
      </w:r>
      <w:r w:rsidR="00BE5236">
        <w:rPr>
          <w:rFonts w:ascii="Times New Roman" w:hAnsi="Times New Roman"/>
        </w:rPr>
        <w:t xml:space="preserve">the </w:t>
      </w:r>
      <w:r w:rsidRPr="005A0C38">
        <w:rPr>
          <w:rFonts w:ascii="Times New Roman" w:hAnsi="Times New Roman"/>
        </w:rPr>
        <w:t xml:space="preserve">Companies must </w:t>
      </w:r>
      <w:r w:rsidR="001E1541">
        <w:rPr>
          <w:rFonts w:ascii="Times New Roman" w:hAnsi="Times New Roman"/>
        </w:rPr>
        <w:t>reasonably plan for</w:t>
      </w:r>
      <w:r w:rsidRPr="005A0C38">
        <w:rPr>
          <w:rFonts w:ascii="Times New Roman" w:hAnsi="Times New Roman"/>
        </w:rPr>
        <w:t xml:space="preserve"> market volatility and appropriately react to </w:t>
      </w:r>
      <w:r w:rsidR="00BE5236">
        <w:rPr>
          <w:rFonts w:ascii="Times New Roman" w:hAnsi="Times New Roman"/>
        </w:rPr>
        <w:t xml:space="preserve">balance </w:t>
      </w:r>
      <w:r w:rsidR="001E1541" w:rsidRPr="004528F5">
        <w:rPr>
          <w:rFonts w:ascii="Times New Roman" w:hAnsi="Times New Roman"/>
        </w:rPr>
        <w:t>ratepayer exposure</w:t>
      </w:r>
      <w:r w:rsidRPr="005A0C38">
        <w:rPr>
          <w:rFonts w:ascii="Times New Roman" w:hAnsi="Times New Roman"/>
        </w:rPr>
        <w:t xml:space="preserve"> to hedging losses</w:t>
      </w:r>
      <w:r w:rsidR="00605EF6">
        <w:rPr>
          <w:rFonts w:ascii="Times New Roman" w:hAnsi="Times New Roman"/>
        </w:rPr>
        <w:t xml:space="preserve"> with ratepayer exposure to price spikes</w:t>
      </w:r>
      <w:r w:rsidRPr="005A0C38">
        <w:rPr>
          <w:rFonts w:ascii="Times New Roman" w:hAnsi="Times New Roman"/>
        </w:rPr>
        <w:t xml:space="preserve">. Annual hedging results must be reconciled with each Company’s hedging policies and annual plan. Thus, the Commission adopts these policies supporting dual protection of upside price risk and downside hedging loss, along with annual </w:t>
      </w:r>
      <w:r w:rsidR="00BD5A02" w:rsidRPr="005A0C38">
        <w:rPr>
          <w:rFonts w:ascii="Times New Roman" w:hAnsi="Times New Roman"/>
        </w:rPr>
        <w:t>validation of acceptable hedging outcomes</w:t>
      </w:r>
      <w:r w:rsidRPr="005A0C38">
        <w:rPr>
          <w:rFonts w:ascii="Times New Roman" w:hAnsi="Times New Roman"/>
        </w:rPr>
        <w:t>.</w:t>
      </w:r>
    </w:p>
    <w:p w14:paraId="7C6FF4A8" w14:textId="77777777" w:rsidR="005A0C38" w:rsidRPr="00AA5308" w:rsidRDefault="005A0C38" w:rsidP="00BB01B4">
      <w:pPr>
        <w:pStyle w:val="ListParagraph"/>
        <w:rPr>
          <w:rFonts w:ascii="Times New Roman" w:hAnsi="Times New Roman" w:cs="Times New Roman"/>
        </w:rPr>
      </w:pPr>
    </w:p>
    <w:p w14:paraId="308F9574" w14:textId="2E13A731" w:rsidR="00BB01B4" w:rsidRPr="00AA5308" w:rsidRDefault="00BB01B4" w:rsidP="00BB01B4">
      <w:pPr>
        <w:tabs>
          <w:tab w:val="num" w:pos="0"/>
        </w:tabs>
        <w:spacing w:line="264" w:lineRule="auto"/>
        <w:rPr>
          <w:rFonts w:ascii="Times New Roman" w:hAnsi="Times New Roman"/>
        </w:rPr>
      </w:pPr>
      <w:r w:rsidRPr="00AA5308">
        <w:rPr>
          <w:rFonts w:ascii="Times New Roman" w:hAnsi="Times New Roman"/>
        </w:rPr>
        <w:t xml:space="preserve">DATED at Olympia, Washington, and effective </w:t>
      </w:r>
      <w:r w:rsidR="00FA628B">
        <w:rPr>
          <w:rFonts w:ascii="Times New Roman" w:hAnsi="Times New Roman"/>
        </w:rPr>
        <w:t>March 1</w:t>
      </w:r>
      <w:r w:rsidR="002D4F6E">
        <w:rPr>
          <w:rFonts w:ascii="Times New Roman" w:hAnsi="Times New Roman"/>
        </w:rPr>
        <w:t>3</w:t>
      </w:r>
      <w:r w:rsidRPr="00FA628B">
        <w:rPr>
          <w:rFonts w:ascii="Times New Roman" w:hAnsi="Times New Roman"/>
        </w:rPr>
        <w:t xml:space="preserve">, </w:t>
      </w:r>
      <w:r w:rsidR="003E4433" w:rsidRPr="00AA5308">
        <w:rPr>
          <w:rFonts w:ascii="Times New Roman" w:hAnsi="Times New Roman"/>
        </w:rPr>
        <w:t>2017</w:t>
      </w:r>
      <w:r w:rsidRPr="00AA5308">
        <w:rPr>
          <w:rFonts w:ascii="Times New Roman" w:hAnsi="Times New Roman"/>
        </w:rPr>
        <w:t>.</w:t>
      </w:r>
    </w:p>
    <w:p w14:paraId="0F654335" w14:textId="77777777" w:rsidR="00BB01B4" w:rsidRPr="00AA5308" w:rsidRDefault="00BB01B4" w:rsidP="00BB01B4">
      <w:pPr>
        <w:tabs>
          <w:tab w:val="num" w:pos="0"/>
        </w:tabs>
        <w:spacing w:line="264" w:lineRule="auto"/>
        <w:rPr>
          <w:rFonts w:ascii="Times New Roman" w:hAnsi="Times New Roman"/>
        </w:rPr>
      </w:pPr>
    </w:p>
    <w:p w14:paraId="3AD00758" w14:textId="77777777" w:rsidR="00BB01B4" w:rsidRPr="00AA5308" w:rsidRDefault="00BB01B4" w:rsidP="00BB01B4">
      <w:pPr>
        <w:tabs>
          <w:tab w:val="num" w:pos="0"/>
        </w:tabs>
        <w:spacing w:line="264" w:lineRule="auto"/>
        <w:jc w:val="center"/>
        <w:rPr>
          <w:rFonts w:ascii="Times New Roman" w:hAnsi="Times New Roman"/>
        </w:rPr>
      </w:pPr>
      <w:r w:rsidRPr="00AA5308">
        <w:rPr>
          <w:rFonts w:ascii="Times New Roman" w:hAnsi="Times New Roman"/>
        </w:rPr>
        <w:t>WASHINGTON UTILITIES AND TRANSPORTATION COMMISSION</w:t>
      </w:r>
    </w:p>
    <w:p w14:paraId="59B6928F" w14:textId="77777777" w:rsidR="00BB01B4" w:rsidRPr="00AA5308" w:rsidRDefault="00BB01B4" w:rsidP="00BB01B4">
      <w:pPr>
        <w:tabs>
          <w:tab w:val="num" w:pos="0"/>
        </w:tabs>
        <w:spacing w:line="264" w:lineRule="auto"/>
        <w:rPr>
          <w:rFonts w:ascii="Times New Roman" w:hAnsi="Times New Roman"/>
        </w:rPr>
      </w:pPr>
    </w:p>
    <w:p w14:paraId="4C215EC0" w14:textId="77777777" w:rsidR="00B40C28" w:rsidRPr="00AA5308" w:rsidRDefault="00B40C28" w:rsidP="00BB01B4">
      <w:pPr>
        <w:tabs>
          <w:tab w:val="num" w:pos="0"/>
        </w:tabs>
        <w:spacing w:line="264" w:lineRule="auto"/>
        <w:rPr>
          <w:rFonts w:ascii="Times New Roman" w:hAnsi="Times New Roman"/>
        </w:rPr>
      </w:pPr>
    </w:p>
    <w:p w14:paraId="373CCDAF" w14:textId="77777777" w:rsidR="00522691" w:rsidRPr="00AA5308" w:rsidRDefault="00522691" w:rsidP="00BB01B4">
      <w:pPr>
        <w:tabs>
          <w:tab w:val="num" w:pos="0"/>
        </w:tabs>
        <w:spacing w:line="264" w:lineRule="auto"/>
        <w:rPr>
          <w:rFonts w:ascii="Times New Roman" w:hAnsi="Times New Roman"/>
        </w:rPr>
      </w:pPr>
    </w:p>
    <w:p w14:paraId="32AB7590" w14:textId="77777777" w:rsidR="00B40C28" w:rsidRPr="00AA5308" w:rsidRDefault="00B40C28" w:rsidP="00BB01B4">
      <w:pPr>
        <w:tabs>
          <w:tab w:val="num" w:pos="0"/>
        </w:tabs>
        <w:spacing w:line="264" w:lineRule="auto"/>
        <w:rPr>
          <w:rFonts w:ascii="Times New Roman" w:hAnsi="Times New Roman"/>
        </w:rPr>
      </w:pPr>
    </w:p>
    <w:p w14:paraId="76C9D79F" w14:textId="77777777" w:rsidR="00BB01B4" w:rsidRPr="00AA5308" w:rsidRDefault="00BB01B4" w:rsidP="00BB01B4">
      <w:pPr>
        <w:tabs>
          <w:tab w:val="num" w:pos="0"/>
        </w:tabs>
        <w:spacing w:line="264" w:lineRule="auto"/>
        <w:rPr>
          <w:rFonts w:ascii="Times New Roman" w:hAnsi="Times New Roman"/>
        </w:rPr>
      </w:pPr>
      <w:r w:rsidRPr="00AA5308">
        <w:rPr>
          <w:rFonts w:ascii="Times New Roman" w:hAnsi="Times New Roman"/>
        </w:rPr>
        <w:tab/>
      </w:r>
      <w:r w:rsidRPr="00AA5308">
        <w:rPr>
          <w:rFonts w:ascii="Times New Roman" w:hAnsi="Times New Roman"/>
        </w:rPr>
        <w:tab/>
      </w:r>
      <w:r w:rsidRPr="00AA5308">
        <w:rPr>
          <w:rFonts w:ascii="Times New Roman" w:hAnsi="Times New Roman"/>
        </w:rPr>
        <w:tab/>
      </w:r>
      <w:r w:rsidRPr="00AA5308">
        <w:rPr>
          <w:rFonts w:ascii="Times New Roman" w:hAnsi="Times New Roman"/>
        </w:rPr>
        <w:tab/>
      </w:r>
      <w:r w:rsidRPr="00AA5308">
        <w:rPr>
          <w:rFonts w:ascii="Times New Roman" w:hAnsi="Times New Roman"/>
        </w:rPr>
        <w:tab/>
      </w:r>
      <w:r w:rsidRPr="00AA5308">
        <w:rPr>
          <w:rFonts w:ascii="Times New Roman" w:hAnsi="Times New Roman"/>
        </w:rPr>
        <w:tab/>
        <w:t>DAVID W. DANNER, Chairman</w:t>
      </w:r>
    </w:p>
    <w:p w14:paraId="3861E573" w14:textId="77777777" w:rsidR="00BB01B4" w:rsidRPr="00AA5308" w:rsidRDefault="00BB01B4" w:rsidP="00BB01B4">
      <w:pPr>
        <w:tabs>
          <w:tab w:val="num" w:pos="0"/>
        </w:tabs>
        <w:spacing w:line="264" w:lineRule="auto"/>
        <w:rPr>
          <w:rFonts w:ascii="Times New Roman" w:hAnsi="Times New Roman"/>
        </w:rPr>
      </w:pPr>
    </w:p>
    <w:p w14:paraId="1EAC3BD4" w14:textId="77777777" w:rsidR="00BB01B4" w:rsidRPr="00AA5308" w:rsidRDefault="00BB01B4" w:rsidP="00BB01B4">
      <w:pPr>
        <w:tabs>
          <w:tab w:val="num" w:pos="0"/>
        </w:tabs>
        <w:spacing w:line="264" w:lineRule="auto"/>
        <w:rPr>
          <w:rFonts w:ascii="Times New Roman" w:hAnsi="Times New Roman"/>
        </w:rPr>
      </w:pPr>
    </w:p>
    <w:p w14:paraId="507FFFB1" w14:textId="77777777" w:rsidR="00522691" w:rsidRPr="00AA5308" w:rsidRDefault="00522691" w:rsidP="00BB01B4">
      <w:pPr>
        <w:tabs>
          <w:tab w:val="num" w:pos="0"/>
        </w:tabs>
        <w:spacing w:line="264" w:lineRule="auto"/>
        <w:rPr>
          <w:rFonts w:ascii="Times New Roman" w:hAnsi="Times New Roman"/>
        </w:rPr>
      </w:pPr>
    </w:p>
    <w:p w14:paraId="598114AC" w14:textId="77777777" w:rsidR="00BB01B4" w:rsidRPr="00AA5308" w:rsidRDefault="00BB01B4" w:rsidP="00BB01B4">
      <w:pPr>
        <w:tabs>
          <w:tab w:val="num" w:pos="0"/>
        </w:tabs>
        <w:spacing w:line="264" w:lineRule="auto"/>
        <w:rPr>
          <w:rFonts w:ascii="Times New Roman" w:hAnsi="Times New Roman"/>
        </w:rPr>
      </w:pPr>
    </w:p>
    <w:p w14:paraId="0EA53AE9" w14:textId="77777777" w:rsidR="00BB01B4" w:rsidRPr="00AA5308" w:rsidRDefault="00BB01B4" w:rsidP="00D63FCD">
      <w:pPr>
        <w:tabs>
          <w:tab w:val="num" w:pos="0"/>
        </w:tabs>
        <w:spacing w:line="264" w:lineRule="auto"/>
        <w:rPr>
          <w:rFonts w:ascii="Times New Roman" w:hAnsi="Times New Roman"/>
          <w:b/>
        </w:rPr>
      </w:pPr>
      <w:r w:rsidRPr="00AA5308">
        <w:rPr>
          <w:rFonts w:ascii="Times New Roman" w:hAnsi="Times New Roman"/>
        </w:rPr>
        <w:tab/>
      </w:r>
      <w:r w:rsidRPr="00AA5308">
        <w:rPr>
          <w:rFonts w:ascii="Times New Roman" w:hAnsi="Times New Roman"/>
        </w:rPr>
        <w:tab/>
      </w:r>
      <w:r w:rsidRPr="00AA5308">
        <w:rPr>
          <w:rFonts w:ascii="Times New Roman" w:hAnsi="Times New Roman"/>
        </w:rPr>
        <w:tab/>
      </w:r>
      <w:r w:rsidRPr="00AA5308">
        <w:rPr>
          <w:rFonts w:ascii="Times New Roman" w:hAnsi="Times New Roman"/>
        </w:rPr>
        <w:tab/>
      </w:r>
      <w:r w:rsidRPr="00AA5308">
        <w:rPr>
          <w:rFonts w:ascii="Times New Roman" w:hAnsi="Times New Roman"/>
        </w:rPr>
        <w:tab/>
      </w:r>
      <w:r w:rsidRPr="00AA5308">
        <w:rPr>
          <w:rFonts w:ascii="Times New Roman" w:hAnsi="Times New Roman"/>
        </w:rPr>
        <w:tab/>
      </w:r>
      <w:r w:rsidR="00A60740" w:rsidRPr="00AA5308">
        <w:rPr>
          <w:rFonts w:ascii="Times New Roman" w:hAnsi="Times New Roman"/>
        </w:rPr>
        <w:t>ANN E. RENDAHL</w:t>
      </w:r>
      <w:r w:rsidRPr="00AA5308">
        <w:rPr>
          <w:rFonts w:ascii="Times New Roman" w:hAnsi="Times New Roman"/>
        </w:rPr>
        <w:t>, Commissioner</w:t>
      </w:r>
    </w:p>
    <w:sectPr w:rsidR="00BB01B4" w:rsidRPr="00AA5308" w:rsidSect="006A66B9">
      <w:headerReference w:type="default" r:id="rId11"/>
      <w:headerReference w:type="first" r:id="rId12"/>
      <w:pgSz w:w="12240" w:h="15840"/>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551058" w14:textId="77777777" w:rsidR="00761B95" w:rsidRDefault="00761B95" w:rsidP="008717D4">
      <w:r>
        <w:separator/>
      </w:r>
    </w:p>
  </w:endnote>
  <w:endnote w:type="continuationSeparator" w:id="0">
    <w:p w14:paraId="58718FD3" w14:textId="77777777" w:rsidR="00761B95" w:rsidRDefault="00761B95" w:rsidP="008717D4">
      <w:r>
        <w:continuationSeparator/>
      </w:r>
    </w:p>
  </w:endnote>
  <w:endnote w:type="continuationNotice" w:id="1">
    <w:p w14:paraId="0BF91C47" w14:textId="77777777" w:rsidR="00761B95" w:rsidRDefault="00761B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B34FAD" w14:textId="77777777" w:rsidR="00761B95" w:rsidRDefault="00761B95" w:rsidP="008717D4">
      <w:r>
        <w:separator/>
      </w:r>
    </w:p>
  </w:footnote>
  <w:footnote w:type="continuationSeparator" w:id="0">
    <w:p w14:paraId="47469DDF" w14:textId="77777777" w:rsidR="00761B95" w:rsidRDefault="00761B95" w:rsidP="008717D4">
      <w:r>
        <w:continuationSeparator/>
      </w:r>
    </w:p>
  </w:footnote>
  <w:footnote w:type="continuationNotice" w:id="1">
    <w:p w14:paraId="154BCBE9" w14:textId="77777777" w:rsidR="00761B95" w:rsidRDefault="00761B95"/>
  </w:footnote>
  <w:footnote w:id="2">
    <w:p w14:paraId="57EC9CCA" w14:textId="0D13315F" w:rsidR="005135D0" w:rsidRPr="007B2861" w:rsidRDefault="005135D0" w:rsidP="005A0C38">
      <w:pPr>
        <w:pStyle w:val="FootnoteText"/>
        <w:spacing w:after="120"/>
        <w:rPr>
          <w:rFonts w:ascii="Times New Roman" w:hAnsi="Times New Roman"/>
          <w:sz w:val="22"/>
          <w:szCs w:val="22"/>
        </w:rPr>
      </w:pPr>
      <w:r w:rsidRPr="005A0C38">
        <w:rPr>
          <w:rStyle w:val="FootnoteReference"/>
          <w:rFonts w:ascii="Times New Roman" w:hAnsi="Times New Roman"/>
          <w:sz w:val="22"/>
          <w:szCs w:val="22"/>
        </w:rPr>
        <w:footnoteRef/>
      </w:r>
      <w:r w:rsidRPr="005A0C38">
        <w:rPr>
          <w:rFonts w:ascii="Times New Roman" w:hAnsi="Times New Roman"/>
          <w:sz w:val="22"/>
          <w:szCs w:val="22"/>
        </w:rPr>
        <w:t xml:space="preserve"> </w:t>
      </w:r>
      <w:r w:rsidRPr="005A0C38">
        <w:rPr>
          <w:rFonts w:ascii="Times New Roman" w:hAnsi="Times New Roman"/>
          <w:i/>
          <w:sz w:val="22"/>
          <w:szCs w:val="22"/>
        </w:rPr>
        <w:t xml:space="preserve">See </w:t>
      </w:r>
      <w:proofErr w:type="spellStart"/>
      <w:r w:rsidRPr="007B2861">
        <w:rPr>
          <w:rFonts w:ascii="Times New Roman" w:hAnsi="Times New Roman"/>
          <w:sz w:val="22"/>
          <w:szCs w:val="22"/>
        </w:rPr>
        <w:t>RCW</w:t>
      </w:r>
      <w:proofErr w:type="spellEnd"/>
      <w:r w:rsidRPr="007B2861">
        <w:rPr>
          <w:rFonts w:ascii="Times New Roman" w:hAnsi="Times New Roman"/>
          <w:sz w:val="22"/>
          <w:szCs w:val="22"/>
        </w:rPr>
        <w:t xml:space="preserve"> 80.28.010 and WAC 480-90-001.</w:t>
      </w:r>
    </w:p>
  </w:footnote>
  <w:footnote w:id="3">
    <w:p w14:paraId="150A665D" w14:textId="4B82985A" w:rsidR="005135D0" w:rsidRPr="007B2861" w:rsidRDefault="005135D0" w:rsidP="005A0C38">
      <w:pPr>
        <w:pStyle w:val="FootnoteText"/>
        <w:spacing w:after="120"/>
        <w:rPr>
          <w:rFonts w:ascii="Times New Roman" w:hAnsi="Times New Roman"/>
          <w:sz w:val="22"/>
          <w:szCs w:val="22"/>
        </w:rPr>
      </w:pPr>
      <w:r w:rsidRPr="007B2861">
        <w:rPr>
          <w:rStyle w:val="FootnoteReference"/>
          <w:rFonts w:ascii="Times New Roman" w:hAnsi="Times New Roman"/>
          <w:sz w:val="22"/>
          <w:szCs w:val="22"/>
        </w:rPr>
        <w:footnoteRef/>
      </w:r>
      <w:r w:rsidRPr="007B2861">
        <w:rPr>
          <w:rFonts w:ascii="Times New Roman" w:hAnsi="Times New Roman"/>
          <w:sz w:val="22"/>
          <w:szCs w:val="22"/>
        </w:rPr>
        <w:t xml:space="preserve"> The natural gas commodity cost accounts for approximately 50 percent</w:t>
      </w:r>
      <w:r w:rsidRPr="00CC4724">
        <w:rPr>
          <w:rFonts w:ascii="Times New Roman" w:hAnsi="Times New Roman"/>
          <w:sz w:val="22"/>
          <w:szCs w:val="22"/>
        </w:rPr>
        <w:t xml:space="preserve"> of </w:t>
      </w:r>
      <w:r w:rsidRPr="007B2861">
        <w:rPr>
          <w:rFonts w:ascii="Times New Roman" w:hAnsi="Times New Roman"/>
          <w:sz w:val="22"/>
          <w:szCs w:val="22"/>
        </w:rPr>
        <w:t>a customer’s bill.</w:t>
      </w:r>
    </w:p>
  </w:footnote>
  <w:footnote w:id="4">
    <w:p w14:paraId="61116B8D" w14:textId="54934C25" w:rsidR="005135D0" w:rsidRPr="005A0C38" w:rsidRDefault="005135D0" w:rsidP="00E038A8">
      <w:pPr>
        <w:spacing w:after="120"/>
        <w:rPr>
          <w:rFonts w:ascii="Times New Roman" w:hAnsi="Times New Roman"/>
          <w:sz w:val="22"/>
          <w:szCs w:val="22"/>
        </w:rPr>
      </w:pPr>
      <w:r w:rsidRPr="007B2861">
        <w:rPr>
          <w:rStyle w:val="FootnoteReference"/>
          <w:rFonts w:ascii="Times New Roman" w:hAnsi="Times New Roman"/>
          <w:sz w:val="22"/>
          <w:szCs w:val="22"/>
        </w:rPr>
        <w:footnoteRef/>
      </w:r>
      <w:r w:rsidRPr="007B2861">
        <w:rPr>
          <w:rFonts w:ascii="Times New Roman" w:hAnsi="Times New Roman"/>
          <w:sz w:val="22"/>
          <w:szCs w:val="22"/>
        </w:rPr>
        <w:t xml:space="preserve"> International Organization for Standardization, available at</w:t>
      </w:r>
      <w:r w:rsidR="00B96A94" w:rsidRPr="00CC4724">
        <w:rPr>
          <w:rFonts w:ascii="Times New Roman" w:hAnsi="Times New Roman"/>
          <w:sz w:val="22"/>
          <w:szCs w:val="22"/>
        </w:rPr>
        <w:t xml:space="preserve"> </w:t>
      </w:r>
      <w:hyperlink r:id="rId1" w:anchor="iso:std:iso:guide:73:ed-1:v1:en" w:history="1">
        <w:r w:rsidRPr="007B2861">
          <w:rPr>
            <w:rStyle w:val="Hyperlink"/>
            <w:rFonts w:ascii="Times New Roman" w:hAnsi="Times New Roman"/>
            <w:sz w:val="22"/>
            <w:szCs w:val="22"/>
            <w:lang w:val="en"/>
          </w:rPr>
          <w:t>https://www.iso.org/obp/ui/#iso:std:iso:guide:73:ed-1:v1:en</w:t>
        </w:r>
      </w:hyperlink>
      <w:r w:rsidRPr="007B2861">
        <w:rPr>
          <w:rStyle w:val="Hyperlink"/>
          <w:rFonts w:ascii="Times New Roman" w:hAnsi="Times New Roman"/>
          <w:sz w:val="22"/>
          <w:szCs w:val="22"/>
          <w:lang w:val="en"/>
        </w:rPr>
        <w:t>.</w:t>
      </w:r>
    </w:p>
  </w:footnote>
  <w:footnote w:id="5">
    <w:p w14:paraId="753AD769" w14:textId="35C1DEA6" w:rsidR="00D542B6" w:rsidRDefault="00D542B6" w:rsidP="001A33CF">
      <w:pPr>
        <w:pStyle w:val="FootnoteText"/>
        <w:spacing w:after="120" w:line="288" w:lineRule="auto"/>
      </w:pPr>
      <w:r w:rsidRPr="00D542B6">
        <w:rPr>
          <w:rStyle w:val="FootnoteReference"/>
          <w:rFonts w:ascii="Times New Roman" w:hAnsi="Times New Roman"/>
          <w:sz w:val="22"/>
          <w:szCs w:val="22"/>
        </w:rPr>
        <w:footnoteRef/>
      </w:r>
      <w:r w:rsidRPr="005A0C38">
        <w:rPr>
          <w:rStyle w:val="FootnoteReference"/>
          <w:rFonts w:ascii="Times New Roman" w:hAnsi="Times New Roman"/>
          <w:sz w:val="22"/>
          <w:szCs w:val="22"/>
        </w:rPr>
        <w:t xml:space="preserve"> </w:t>
      </w:r>
      <w:r w:rsidRPr="005A0C38">
        <w:rPr>
          <w:rFonts w:ascii="Times New Roman" w:hAnsi="Times New Roman"/>
          <w:sz w:val="22"/>
          <w:szCs w:val="22"/>
        </w:rPr>
        <w:t xml:space="preserve">The NYMEX is a commodity futures exchange owned and operated by CME Group of Chicago. Prices quoted for transactions on the exchange are the basis for prices </w:t>
      </w:r>
      <w:r w:rsidR="00466F97">
        <w:rPr>
          <w:rFonts w:ascii="Times New Roman" w:hAnsi="Times New Roman"/>
          <w:sz w:val="22"/>
          <w:szCs w:val="22"/>
        </w:rPr>
        <w:t>paid</w:t>
      </w:r>
      <w:r w:rsidRPr="005A0C38">
        <w:rPr>
          <w:rFonts w:ascii="Times New Roman" w:hAnsi="Times New Roman"/>
          <w:sz w:val="22"/>
          <w:szCs w:val="22"/>
        </w:rPr>
        <w:t xml:space="preserve"> for various commodities (includes natural gas) throughout the world.</w:t>
      </w:r>
    </w:p>
  </w:footnote>
  <w:footnote w:id="6">
    <w:p w14:paraId="612D8554" w14:textId="740ECBCE" w:rsidR="005135D0" w:rsidRPr="007B2861" w:rsidRDefault="005135D0" w:rsidP="001A33CF">
      <w:pPr>
        <w:pStyle w:val="FootnoteText"/>
        <w:spacing w:after="120" w:line="288" w:lineRule="auto"/>
        <w:rPr>
          <w:rFonts w:ascii="Times New Roman" w:hAnsi="Times New Roman"/>
          <w:sz w:val="22"/>
          <w:szCs w:val="22"/>
        </w:rPr>
      </w:pPr>
      <w:r w:rsidRPr="007B2861">
        <w:rPr>
          <w:rStyle w:val="FootnoteReference"/>
          <w:rFonts w:ascii="Times New Roman" w:hAnsi="Times New Roman"/>
          <w:sz w:val="22"/>
          <w:szCs w:val="22"/>
        </w:rPr>
        <w:footnoteRef/>
      </w:r>
      <w:r w:rsidRPr="007B2861">
        <w:rPr>
          <w:rFonts w:ascii="Times New Roman" w:hAnsi="Times New Roman"/>
          <w:sz w:val="22"/>
          <w:szCs w:val="22"/>
        </w:rPr>
        <w:t xml:space="preserve"> </w:t>
      </w:r>
      <w:proofErr w:type="spellStart"/>
      <w:r w:rsidRPr="007B2861">
        <w:rPr>
          <w:rFonts w:ascii="Times New Roman" w:hAnsi="Times New Roman"/>
          <w:sz w:val="22"/>
          <w:szCs w:val="22"/>
        </w:rPr>
        <w:t>Gettings</w:t>
      </w:r>
      <w:proofErr w:type="spellEnd"/>
      <w:r w:rsidRPr="007B2861">
        <w:rPr>
          <w:rFonts w:ascii="Times New Roman" w:hAnsi="Times New Roman"/>
          <w:sz w:val="22"/>
          <w:szCs w:val="22"/>
        </w:rPr>
        <w:t>, Michael</w:t>
      </w:r>
      <w:r w:rsidR="00F34D9D" w:rsidRPr="007B2861">
        <w:rPr>
          <w:rFonts w:ascii="Times New Roman" w:hAnsi="Times New Roman"/>
          <w:sz w:val="22"/>
          <w:szCs w:val="22"/>
        </w:rPr>
        <w:t>,</w:t>
      </w:r>
      <w:r w:rsidR="00F34D9D" w:rsidRPr="007B2861">
        <w:rPr>
          <w:rFonts w:ascii="Times New Roman" w:hAnsi="Times New Roman"/>
          <w:i/>
          <w:sz w:val="22"/>
          <w:szCs w:val="22"/>
        </w:rPr>
        <w:t xml:space="preserve"> “</w:t>
      </w:r>
      <w:r w:rsidRPr="007B2861">
        <w:rPr>
          <w:rFonts w:ascii="Times New Roman" w:hAnsi="Times New Roman"/>
          <w:i/>
          <w:sz w:val="22"/>
          <w:szCs w:val="22"/>
        </w:rPr>
        <w:t>Natural</w:t>
      </w:r>
      <w:r w:rsidRPr="00CC4724">
        <w:rPr>
          <w:rFonts w:ascii="Times New Roman" w:hAnsi="Times New Roman"/>
          <w:i/>
          <w:sz w:val="22"/>
          <w:szCs w:val="22"/>
        </w:rPr>
        <w:t xml:space="preserve"> Gas Utility Hedging Practices and Regulatory Oversight</w:t>
      </w:r>
      <w:r w:rsidRPr="007B2861">
        <w:rPr>
          <w:rFonts w:ascii="Times New Roman" w:hAnsi="Times New Roman"/>
          <w:sz w:val="22"/>
          <w:szCs w:val="22"/>
        </w:rPr>
        <w:t>,” (Washington Utilities and Transportation Commission Whitepaper, 2015), Figure 1.</w:t>
      </w:r>
    </w:p>
  </w:footnote>
  <w:footnote w:id="7">
    <w:p w14:paraId="527FC36C" w14:textId="3175A119" w:rsidR="005135D0" w:rsidRPr="007B2861" w:rsidRDefault="005135D0" w:rsidP="005A0C38">
      <w:pPr>
        <w:pStyle w:val="FootnoteText"/>
        <w:spacing w:after="120"/>
        <w:rPr>
          <w:rFonts w:ascii="Times New Roman" w:hAnsi="Times New Roman"/>
          <w:sz w:val="22"/>
          <w:szCs w:val="22"/>
        </w:rPr>
      </w:pPr>
      <w:r w:rsidRPr="007B2861">
        <w:rPr>
          <w:rStyle w:val="FootnoteReference"/>
          <w:rFonts w:ascii="Times New Roman" w:hAnsi="Times New Roman"/>
          <w:sz w:val="22"/>
          <w:szCs w:val="22"/>
        </w:rPr>
        <w:footnoteRef/>
      </w:r>
      <w:r w:rsidRPr="007B2861">
        <w:rPr>
          <w:rFonts w:ascii="Times New Roman" w:hAnsi="Times New Roman"/>
          <w:sz w:val="22"/>
          <w:szCs w:val="22"/>
        </w:rPr>
        <w:t xml:space="preserve"> “Report on the Natural Gas Spike of February 2003,</w:t>
      </w:r>
      <w:r w:rsidRPr="009546B7">
        <w:rPr>
          <w:rFonts w:ascii="Times New Roman" w:hAnsi="Times New Roman"/>
          <w:sz w:val="22"/>
          <w:szCs w:val="22"/>
        </w:rPr>
        <w:t>”</w:t>
      </w:r>
      <w:r w:rsidRPr="00CC4724">
        <w:rPr>
          <w:rFonts w:ascii="Times New Roman" w:hAnsi="Times New Roman"/>
          <w:sz w:val="22"/>
          <w:szCs w:val="22"/>
        </w:rPr>
        <w:t xml:space="preserve"> </w:t>
      </w:r>
      <w:r w:rsidRPr="007B2861">
        <w:rPr>
          <w:rFonts w:ascii="Times New Roman" w:hAnsi="Times New Roman"/>
          <w:sz w:val="22"/>
          <w:szCs w:val="22"/>
        </w:rPr>
        <w:t>Federal Energy Regulatory Commission Staff Investigating Team (July 2003)</w:t>
      </w:r>
      <w:r w:rsidR="004A2711" w:rsidRPr="007B2861">
        <w:rPr>
          <w:rFonts w:ascii="Times New Roman" w:hAnsi="Times New Roman"/>
          <w:sz w:val="22"/>
          <w:szCs w:val="22"/>
        </w:rPr>
        <w:t>.</w:t>
      </w:r>
    </w:p>
  </w:footnote>
  <w:footnote w:id="8">
    <w:p w14:paraId="546D6343" w14:textId="017A1C29" w:rsidR="005135D0" w:rsidRPr="007B2861" w:rsidRDefault="005135D0" w:rsidP="005A0C38">
      <w:pPr>
        <w:pStyle w:val="FootnoteText"/>
        <w:spacing w:after="120"/>
        <w:rPr>
          <w:rFonts w:ascii="Times New Roman" w:hAnsi="Times New Roman"/>
          <w:sz w:val="22"/>
          <w:szCs w:val="22"/>
        </w:rPr>
      </w:pPr>
      <w:r w:rsidRPr="007B2861">
        <w:rPr>
          <w:rStyle w:val="FootnoteReference"/>
          <w:rFonts w:ascii="Times New Roman" w:hAnsi="Times New Roman"/>
          <w:sz w:val="22"/>
          <w:szCs w:val="22"/>
        </w:rPr>
        <w:footnoteRef/>
      </w:r>
      <w:r w:rsidRPr="007B2861">
        <w:rPr>
          <w:rFonts w:ascii="Times New Roman" w:hAnsi="Times New Roman"/>
          <w:sz w:val="22"/>
          <w:szCs w:val="22"/>
        </w:rPr>
        <w:t xml:space="preserve"> </w:t>
      </w:r>
      <w:proofErr w:type="spellStart"/>
      <w:r w:rsidRPr="007B2861">
        <w:rPr>
          <w:rFonts w:ascii="Times New Roman" w:hAnsi="Times New Roman"/>
          <w:sz w:val="22"/>
          <w:szCs w:val="22"/>
        </w:rPr>
        <w:t>EIA</w:t>
      </w:r>
      <w:proofErr w:type="spellEnd"/>
      <w:r w:rsidRPr="007B2861">
        <w:rPr>
          <w:rFonts w:ascii="Times New Roman" w:hAnsi="Times New Roman"/>
          <w:sz w:val="22"/>
          <w:szCs w:val="22"/>
        </w:rPr>
        <w:t xml:space="preserve">, </w:t>
      </w:r>
      <w:r w:rsidRPr="007B2861">
        <w:rPr>
          <w:rFonts w:ascii="Times New Roman" w:hAnsi="Times New Roman"/>
          <w:i/>
          <w:sz w:val="22"/>
          <w:szCs w:val="22"/>
        </w:rPr>
        <w:t>An Analysis of Price Volatility in Natural Gas Markets</w:t>
      </w:r>
      <w:r w:rsidRPr="009546B7">
        <w:rPr>
          <w:rFonts w:ascii="Times New Roman" w:hAnsi="Times New Roman"/>
          <w:sz w:val="22"/>
          <w:szCs w:val="22"/>
        </w:rPr>
        <w:t>,</w:t>
      </w:r>
      <w:r w:rsidRPr="00CC4724">
        <w:rPr>
          <w:rFonts w:ascii="Times New Roman" w:hAnsi="Times New Roman"/>
          <w:sz w:val="22"/>
          <w:szCs w:val="22"/>
        </w:rPr>
        <w:t xml:space="preserve"> available at</w:t>
      </w:r>
      <w:r w:rsidR="008F1BF8">
        <w:rPr>
          <w:rFonts w:ascii="Times New Roman" w:hAnsi="Times New Roman"/>
          <w:sz w:val="22"/>
          <w:szCs w:val="22"/>
        </w:rPr>
        <w:t xml:space="preserve"> </w:t>
      </w:r>
      <w:hyperlink r:id="rId2" w:history="1">
        <w:r w:rsidRPr="007B2861">
          <w:rPr>
            <w:rStyle w:val="Hyperlink"/>
            <w:rFonts w:ascii="Times New Roman" w:hAnsi="Times New Roman"/>
            <w:sz w:val="22"/>
            <w:szCs w:val="22"/>
          </w:rPr>
          <w:t>https://www.eia.gov/naturalgas/archive/ngprivolatility.pdf</w:t>
        </w:r>
      </w:hyperlink>
      <w:r w:rsidRPr="007B2861">
        <w:rPr>
          <w:rFonts w:ascii="Times New Roman" w:hAnsi="Times New Roman"/>
          <w:sz w:val="22"/>
          <w:szCs w:val="22"/>
        </w:rPr>
        <w:t>.</w:t>
      </w:r>
    </w:p>
  </w:footnote>
  <w:footnote w:id="9">
    <w:p w14:paraId="08A289B0" w14:textId="0A714B99" w:rsidR="005135D0" w:rsidRPr="007B2861" w:rsidRDefault="005135D0" w:rsidP="005A0C38">
      <w:pPr>
        <w:spacing w:after="120"/>
        <w:rPr>
          <w:rFonts w:ascii="Times New Roman" w:hAnsi="Times New Roman"/>
          <w:sz w:val="22"/>
          <w:szCs w:val="22"/>
        </w:rPr>
      </w:pPr>
      <w:r w:rsidRPr="007B2861">
        <w:rPr>
          <w:rStyle w:val="FootnoteReference"/>
          <w:rFonts w:ascii="Times New Roman" w:hAnsi="Times New Roman"/>
          <w:sz w:val="22"/>
          <w:szCs w:val="22"/>
        </w:rPr>
        <w:footnoteRef/>
      </w:r>
      <w:r w:rsidRPr="007B2861">
        <w:rPr>
          <w:rFonts w:ascii="Times New Roman" w:hAnsi="Times New Roman"/>
          <w:sz w:val="22"/>
          <w:szCs w:val="22"/>
        </w:rPr>
        <w:t xml:space="preserve"> </w:t>
      </w:r>
      <w:bookmarkStart w:id="5" w:name="_MailEndCompose"/>
      <w:r w:rsidRPr="007B2861">
        <w:rPr>
          <w:rFonts w:ascii="Times New Roman" w:hAnsi="Times New Roman"/>
          <w:sz w:val="22"/>
          <w:szCs w:val="22"/>
        </w:rPr>
        <w:t>Wiggins, S., Etienne, X., “</w:t>
      </w:r>
      <w:r w:rsidRPr="009546B7">
        <w:rPr>
          <w:rFonts w:ascii="Times New Roman" w:hAnsi="Times New Roman"/>
          <w:sz w:val="22"/>
          <w:szCs w:val="22"/>
        </w:rPr>
        <w:t xml:space="preserve">US </w:t>
      </w:r>
      <w:r w:rsidRPr="00CC4724">
        <w:rPr>
          <w:rFonts w:ascii="Times New Roman" w:hAnsi="Times New Roman"/>
          <w:sz w:val="22"/>
          <w:szCs w:val="22"/>
        </w:rPr>
        <w:t>Natural Gas Price Determination: Fundamental and the Development of Shale</w:t>
      </w:r>
      <w:r w:rsidRPr="007B2861">
        <w:rPr>
          <w:rFonts w:ascii="Times New Roman" w:hAnsi="Times New Roman"/>
          <w:sz w:val="22"/>
          <w:szCs w:val="22"/>
        </w:rPr>
        <w:t>”, (2015)</w:t>
      </w:r>
      <w:bookmarkEnd w:id="5"/>
      <w:r w:rsidR="004A2711" w:rsidRPr="007B2861">
        <w:rPr>
          <w:rFonts w:ascii="Times New Roman" w:hAnsi="Times New Roman"/>
          <w:sz w:val="22"/>
          <w:szCs w:val="22"/>
        </w:rPr>
        <w:t>.</w:t>
      </w:r>
    </w:p>
  </w:footnote>
  <w:footnote w:id="10">
    <w:p w14:paraId="5A49BA35" w14:textId="4497033F" w:rsidR="005135D0" w:rsidRPr="009546B7" w:rsidRDefault="005135D0" w:rsidP="005A0C38">
      <w:pPr>
        <w:pStyle w:val="FootnoteText"/>
        <w:spacing w:after="120"/>
        <w:rPr>
          <w:rFonts w:ascii="Times New Roman" w:hAnsi="Times New Roman"/>
          <w:sz w:val="22"/>
          <w:szCs w:val="22"/>
        </w:rPr>
      </w:pPr>
      <w:r w:rsidRPr="007B2861">
        <w:rPr>
          <w:rStyle w:val="FootnoteReference"/>
          <w:rFonts w:ascii="Times New Roman" w:hAnsi="Times New Roman"/>
          <w:sz w:val="22"/>
          <w:szCs w:val="22"/>
        </w:rPr>
        <w:footnoteRef/>
      </w:r>
      <w:r w:rsidRPr="007B2861">
        <w:rPr>
          <w:rFonts w:ascii="Times New Roman" w:hAnsi="Times New Roman"/>
          <w:sz w:val="22"/>
          <w:szCs w:val="22"/>
        </w:rPr>
        <w:t xml:space="preserve"> The Energy and Commerce Committee, </w:t>
      </w:r>
      <w:r w:rsidRPr="007B2861">
        <w:rPr>
          <w:rFonts w:ascii="Times New Roman" w:hAnsi="Times New Roman"/>
          <w:i/>
          <w:sz w:val="22"/>
          <w:szCs w:val="22"/>
        </w:rPr>
        <w:t>More American Energy = Lower Prices,</w:t>
      </w:r>
      <w:r w:rsidRPr="009546B7">
        <w:rPr>
          <w:rFonts w:ascii="Times New Roman" w:hAnsi="Times New Roman"/>
          <w:sz w:val="22"/>
          <w:szCs w:val="22"/>
        </w:rPr>
        <w:t xml:space="preserve"> available at</w:t>
      </w:r>
      <w:r w:rsidR="008F1BF8">
        <w:rPr>
          <w:rFonts w:ascii="Times New Roman" w:hAnsi="Times New Roman"/>
          <w:sz w:val="22"/>
          <w:szCs w:val="22"/>
        </w:rPr>
        <w:t xml:space="preserve"> </w:t>
      </w:r>
      <w:hyperlink r:id="rId3" w:history="1">
        <w:r w:rsidRPr="007B2861">
          <w:rPr>
            <w:rStyle w:val="Hyperlink"/>
            <w:rFonts w:ascii="Times New Roman" w:hAnsi="Times New Roman"/>
            <w:sz w:val="22"/>
            <w:szCs w:val="22"/>
          </w:rPr>
          <w:t>https://energycommerce.house.gov/news-center/press-releases/more-american-energy-lower-prices</w:t>
        </w:r>
      </w:hyperlink>
      <w:r w:rsidRPr="007B2861">
        <w:rPr>
          <w:rFonts w:ascii="Times New Roman" w:hAnsi="Times New Roman"/>
          <w:sz w:val="22"/>
          <w:szCs w:val="22"/>
        </w:rPr>
        <w:t xml:space="preserve"> (Oct. 7, 2014)</w:t>
      </w:r>
      <w:r w:rsidR="004A2711" w:rsidRPr="007B2861">
        <w:rPr>
          <w:rFonts w:ascii="Times New Roman" w:hAnsi="Times New Roman"/>
          <w:sz w:val="22"/>
          <w:szCs w:val="22"/>
        </w:rPr>
        <w:t>.</w:t>
      </w:r>
    </w:p>
  </w:footnote>
  <w:footnote w:id="11">
    <w:p w14:paraId="0707D992" w14:textId="41878AA5" w:rsidR="001A33CF" w:rsidRDefault="001A33CF" w:rsidP="001A33CF">
      <w:pPr>
        <w:pStyle w:val="FootnoteText"/>
        <w:spacing w:after="120" w:line="288" w:lineRule="auto"/>
      </w:pPr>
      <w:r>
        <w:rPr>
          <w:rStyle w:val="FootnoteReference"/>
        </w:rPr>
        <w:footnoteRef/>
      </w:r>
      <w:r>
        <w:t xml:space="preserve"> </w:t>
      </w:r>
      <w:r w:rsidRPr="001A33CF">
        <w:rPr>
          <w:rFonts w:ascii="Times New Roman" w:hAnsi="Times New Roman"/>
          <w:sz w:val="22"/>
          <w:szCs w:val="22"/>
        </w:rPr>
        <w:t>Henry Hub is a distribution hub on the natural gas pipeline system, owned by Sabine Pipe Line LLC. It interconnects with nine interstate and four intrastate pipelines. Spot and future natural gas prices set at Henry Hub are generally seen to be the primary price set for the North American natural gas market.</w:t>
      </w:r>
    </w:p>
  </w:footnote>
  <w:footnote w:id="12">
    <w:p w14:paraId="640926B3" w14:textId="5B4D546C" w:rsidR="001A33CF" w:rsidRPr="00CC4724" w:rsidRDefault="005135D0" w:rsidP="001A33CF">
      <w:pPr>
        <w:pStyle w:val="FootnoteText"/>
        <w:spacing w:after="120" w:line="288" w:lineRule="auto"/>
        <w:rPr>
          <w:rFonts w:ascii="Times New Roman" w:hAnsi="Times New Roman"/>
          <w:sz w:val="22"/>
          <w:szCs w:val="22"/>
        </w:rPr>
      </w:pPr>
      <w:r w:rsidRPr="007B2861">
        <w:rPr>
          <w:rStyle w:val="FootnoteReference"/>
          <w:rFonts w:ascii="Times New Roman" w:hAnsi="Times New Roman"/>
          <w:sz w:val="22"/>
          <w:szCs w:val="22"/>
        </w:rPr>
        <w:footnoteRef/>
      </w:r>
      <w:r w:rsidRPr="007B2861">
        <w:rPr>
          <w:rFonts w:ascii="Times New Roman" w:hAnsi="Times New Roman"/>
          <w:sz w:val="22"/>
          <w:szCs w:val="22"/>
        </w:rPr>
        <w:t xml:space="preserve"> </w:t>
      </w:r>
      <w:proofErr w:type="spellStart"/>
      <w:r w:rsidRPr="007B2861">
        <w:rPr>
          <w:rFonts w:ascii="Times New Roman" w:hAnsi="Times New Roman"/>
          <w:sz w:val="22"/>
          <w:szCs w:val="22"/>
        </w:rPr>
        <w:t>EIA</w:t>
      </w:r>
      <w:proofErr w:type="spellEnd"/>
      <w:r w:rsidRPr="007B2861">
        <w:rPr>
          <w:rFonts w:ascii="Times New Roman" w:hAnsi="Times New Roman"/>
          <w:sz w:val="22"/>
          <w:szCs w:val="22"/>
        </w:rPr>
        <w:t xml:space="preserve"> Henry Hub Natural Gas Spot Price</w:t>
      </w:r>
      <w:r w:rsidR="0052419A">
        <w:rPr>
          <w:rFonts w:ascii="Times New Roman" w:hAnsi="Times New Roman"/>
          <w:sz w:val="22"/>
          <w:szCs w:val="22"/>
        </w:rPr>
        <w:t xml:space="preserve">, available at </w:t>
      </w:r>
      <w:hyperlink r:id="rId4" w:history="1">
        <w:r w:rsidR="001A33CF" w:rsidRPr="001A33CF">
          <w:rPr>
            <w:rStyle w:val="Hyperlink"/>
            <w:rFonts w:ascii="Times New Roman" w:hAnsi="Times New Roman"/>
            <w:sz w:val="22"/>
            <w:szCs w:val="22"/>
          </w:rPr>
          <w:t>h</w:t>
        </w:r>
        <w:r w:rsidR="0052419A" w:rsidRPr="001A33CF">
          <w:rPr>
            <w:rStyle w:val="Hyperlink"/>
            <w:rFonts w:ascii="Times New Roman" w:hAnsi="Times New Roman"/>
            <w:sz w:val="22"/>
            <w:szCs w:val="22"/>
          </w:rPr>
          <w:t>ttps://www.eia.gov/dnav/ng/hist/rngwhhdm.htm</w:t>
        </w:r>
      </w:hyperlink>
      <w:r w:rsidR="0052419A">
        <w:rPr>
          <w:rFonts w:ascii="Times New Roman" w:hAnsi="Times New Roman"/>
          <w:sz w:val="22"/>
          <w:szCs w:val="22"/>
        </w:rPr>
        <w:t>.</w:t>
      </w:r>
    </w:p>
  </w:footnote>
  <w:footnote w:id="13">
    <w:p w14:paraId="1CB58FC7" w14:textId="30725D69" w:rsidR="005135D0" w:rsidRPr="007B2861" w:rsidRDefault="005135D0" w:rsidP="005A0C38">
      <w:pPr>
        <w:pStyle w:val="FootnoteText"/>
        <w:spacing w:after="120"/>
        <w:rPr>
          <w:rFonts w:ascii="Times New Roman" w:hAnsi="Times New Roman"/>
          <w:sz w:val="22"/>
          <w:szCs w:val="22"/>
        </w:rPr>
      </w:pPr>
      <w:r w:rsidRPr="007B2861">
        <w:rPr>
          <w:rStyle w:val="FootnoteReference"/>
          <w:rFonts w:ascii="Times New Roman" w:hAnsi="Times New Roman"/>
          <w:sz w:val="22"/>
          <w:szCs w:val="22"/>
        </w:rPr>
        <w:footnoteRef/>
      </w:r>
      <w:r w:rsidRPr="007B2861">
        <w:rPr>
          <w:rFonts w:ascii="Times New Roman" w:hAnsi="Times New Roman"/>
          <w:sz w:val="22"/>
          <w:szCs w:val="22"/>
        </w:rPr>
        <w:t xml:space="preserve"> </w:t>
      </w:r>
      <w:r w:rsidRPr="007B2861">
        <w:rPr>
          <w:rFonts w:ascii="Times New Roman" w:hAnsi="Times New Roman"/>
          <w:sz w:val="22"/>
          <w:szCs w:val="22"/>
          <w:lang w:val="en"/>
        </w:rPr>
        <w:t xml:space="preserve"> “</w:t>
      </w:r>
      <w:r w:rsidRPr="00CC4724">
        <w:rPr>
          <w:rFonts w:ascii="Times New Roman" w:hAnsi="Times New Roman"/>
          <w:sz w:val="22"/>
          <w:szCs w:val="22"/>
          <w:lang w:val="en"/>
        </w:rPr>
        <w:t>Hydraulic Fracturing for Oil and Gas: Impacts from the Hydraulic Fracturing W</w:t>
      </w:r>
      <w:r w:rsidRPr="007B2861">
        <w:rPr>
          <w:rFonts w:ascii="Times New Roman" w:hAnsi="Times New Roman"/>
          <w:sz w:val="22"/>
          <w:szCs w:val="22"/>
          <w:lang w:val="en"/>
        </w:rPr>
        <w:t>ater Cycle on Drinking Water Resources in the United States (Final Report),” U.S. Environmental Protection Agency, Washington, DC, EPA/600/R-16/236F, (2016)</w:t>
      </w:r>
      <w:r w:rsidR="004A2711" w:rsidRPr="007B2861">
        <w:rPr>
          <w:rFonts w:ascii="Times New Roman" w:hAnsi="Times New Roman"/>
          <w:sz w:val="22"/>
          <w:szCs w:val="22"/>
          <w:lang w:val="en"/>
        </w:rPr>
        <w:t>.</w:t>
      </w:r>
    </w:p>
  </w:footnote>
  <w:footnote w:id="14">
    <w:p w14:paraId="772B3FA9" w14:textId="196D9BB9" w:rsidR="005135D0" w:rsidRPr="007B2861" w:rsidRDefault="005135D0" w:rsidP="005A0C38">
      <w:pPr>
        <w:pStyle w:val="FootnoteText"/>
        <w:spacing w:after="120"/>
        <w:rPr>
          <w:rFonts w:ascii="Times New Roman" w:hAnsi="Times New Roman"/>
          <w:sz w:val="22"/>
          <w:szCs w:val="22"/>
        </w:rPr>
      </w:pPr>
      <w:r w:rsidRPr="007B2861">
        <w:rPr>
          <w:rStyle w:val="FootnoteReference"/>
          <w:rFonts w:ascii="Times New Roman" w:hAnsi="Times New Roman"/>
          <w:sz w:val="22"/>
          <w:szCs w:val="22"/>
        </w:rPr>
        <w:footnoteRef/>
      </w:r>
      <w:r w:rsidRPr="007B2861">
        <w:rPr>
          <w:rFonts w:ascii="Times New Roman" w:hAnsi="Times New Roman"/>
          <w:sz w:val="22"/>
          <w:szCs w:val="22"/>
        </w:rPr>
        <w:t xml:space="preserve"> Energy Information Administration, </w:t>
      </w:r>
      <w:r w:rsidRPr="007B2861">
        <w:rPr>
          <w:rFonts w:ascii="Times New Roman" w:hAnsi="Times New Roman"/>
          <w:i/>
          <w:sz w:val="22"/>
          <w:szCs w:val="22"/>
        </w:rPr>
        <w:t>Today in Energy</w:t>
      </w:r>
      <w:r w:rsidRPr="007B2861">
        <w:rPr>
          <w:rFonts w:ascii="Times New Roman" w:hAnsi="Times New Roman"/>
          <w:sz w:val="22"/>
          <w:szCs w:val="22"/>
        </w:rPr>
        <w:t xml:space="preserve">, </w:t>
      </w:r>
      <w:r w:rsidRPr="00CC4724">
        <w:rPr>
          <w:rFonts w:ascii="Times New Roman" w:hAnsi="Times New Roman"/>
          <w:sz w:val="22"/>
          <w:szCs w:val="22"/>
        </w:rPr>
        <w:t>March 4, 2016</w:t>
      </w:r>
      <w:r w:rsidRPr="007B2861">
        <w:rPr>
          <w:rFonts w:ascii="Times New Roman" w:hAnsi="Times New Roman"/>
          <w:sz w:val="22"/>
          <w:szCs w:val="22"/>
        </w:rPr>
        <w:t xml:space="preserve">, available at </w:t>
      </w:r>
      <w:hyperlink r:id="rId5" w:history="1">
        <w:r w:rsidR="009B5B5D" w:rsidRPr="007B2861">
          <w:rPr>
            <w:rStyle w:val="Hyperlink"/>
            <w:rFonts w:ascii="Times New Roman" w:hAnsi="Times New Roman"/>
            <w:sz w:val="22"/>
            <w:szCs w:val="22"/>
          </w:rPr>
          <w:t>http://www.eia.gov/todayinenergy/detail.php?id=25232</w:t>
        </w:r>
      </w:hyperlink>
      <w:r w:rsidRPr="007B2861">
        <w:rPr>
          <w:rFonts w:ascii="Times New Roman" w:hAnsi="Times New Roman"/>
          <w:sz w:val="22"/>
          <w:szCs w:val="22"/>
        </w:rPr>
        <w:t>.</w:t>
      </w:r>
    </w:p>
  </w:footnote>
  <w:footnote w:id="15">
    <w:p w14:paraId="7F74391F" w14:textId="0F8321DD" w:rsidR="005135D0" w:rsidRPr="007B2861" w:rsidRDefault="005135D0" w:rsidP="005A0C38">
      <w:pPr>
        <w:pStyle w:val="FootnoteText"/>
        <w:spacing w:after="120"/>
        <w:rPr>
          <w:rFonts w:ascii="Times New Roman" w:hAnsi="Times New Roman"/>
          <w:sz w:val="22"/>
          <w:szCs w:val="22"/>
        </w:rPr>
      </w:pPr>
      <w:r w:rsidRPr="007B2861">
        <w:rPr>
          <w:rStyle w:val="FootnoteReference"/>
          <w:rFonts w:ascii="Times New Roman" w:hAnsi="Times New Roman"/>
          <w:sz w:val="22"/>
          <w:szCs w:val="22"/>
        </w:rPr>
        <w:footnoteRef/>
      </w:r>
      <w:r w:rsidRPr="007B2861">
        <w:rPr>
          <w:rFonts w:ascii="Times New Roman" w:hAnsi="Times New Roman"/>
          <w:sz w:val="22"/>
          <w:szCs w:val="22"/>
        </w:rPr>
        <w:t xml:space="preserve"> Regulatory lag refers to the length of time between a </w:t>
      </w:r>
      <w:r w:rsidRPr="00CC4724">
        <w:rPr>
          <w:rFonts w:ascii="Times New Roman" w:hAnsi="Times New Roman"/>
          <w:sz w:val="22"/>
          <w:szCs w:val="22"/>
        </w:rPr>
        <w:t>utility</w:t>
      </w:r>
      <w:r w:rsidRPr="007B2861">
        <w:rPr>
          <w:rFonts w:ascii="Times New Roman" w:hAnsi="Times New Roman"/>
          <w:sz w:val="22"/>
          <w:szCs w:val="22"/>
        </w:rPr>
        <w:t>’s request for new rates and the date the new rates go into effect. It can also refer to the length of time between rate cases.</w:t>
      </w:r>
    </w:p>
  </w:footnote>
  <w:footnote w:id="16">
    <w:p w14:paraId="3DD95ECC" w14:textId="6BE4FEC6" w:rsidR="005135D0" w:rsidRPr="007B2861" w:rsidRDefault="005135D0" w:rsidP="005A0C38">
      <w:pPr>
        <w:pStyle w:val="FootnoteText"/>
        <w:spacing w:after="120"/>
        <w:rPr>
          <w:rFonts w:ascii="Times New Roman" w:hAnsi="Times New Roman"/>
          <w:sz w:val="22"/>
          <w:szCs w:val="22"/>
        </w:rPr>
      </w:pPr>
      <w:r w:rsidRPr="007B2861">
        <w:rPr>
          <w:rStyle w:val="FootnoteReference"/>
          <w:rFonts w:ascii="Times New Roman" w:hAnsi="Times New Roman"/>
          <w:sz w:val="22"/>
          <w:szCs w:val="22"/>
        </w:rPr>
        <w:footnoteRef/>
      </w:r>
      <w:r w:rsidRPr="007B2861">
        <w:rPr>
          <w:rFonts w:ascii="Times New Roman" w:hAnsi="Times New Roman"/>
          <w:sz w:val="22"/>
          <w:szCs w:val="22"/>
        </w:rPr>
        <w:t xml:space="preserve"> </w:t>
      </w:r>
      <w:proofErr w:type="spellStart"/>
      <w:r w:rsidR="000618EC" w:rsidRPr="007B2861">
        <w:rPr>
          <w:rFonts w:ascii="Times New Roman" w:hAnsi="Times New Roman"/>
          <w:sz w:val="22"/>
          <w:szCs w:val="22"/>
        </w:rPr>
        <w:t>Avista</w:t>
      </w:r>
      <w:proofErr w:type="spellEnd"/>
      <w:r w:rsidR="000618EC" w:rsidRPr="007B2861">
        <w:rPr>
          <w:rFonts w:ascii="Times New Roman" w:hAnsi="Times New Roman"/>
          <w:sz w:val="22"/>
          <w:szCs w:val="22"/>
        </w:rPr>
        <w:t>,</w:t>
      </w:r>
      <w:r w:rsidRPr="0074035E">
        <w:rPr>
          <w:rFonts w:ascii="Times New Roman" w:hAnsi="Times New Roman"/>
          <w:sz w:val="22"/>
          <w:szCs w:val="22"/>
        </w:rPr>
        <w:t xml:space="preserve"> </w:t>
      </w:r>
      <w:r w:rsidRPr="00CC4724">
        <w:rPr>
          <w:rFonts w:ascii="Times New Roman" w:hAnsi="Times New Roman"/>
          <w:sz w:val="22"/>
          <w:szCs w:val="22"/>
        </w:rPr>
        <w:t xml:space="preserve">Docket </w:t>
      </w:r>
      <w:r w:rsidRPr="007B2861">
        <w:rPr>
          <w:rFonts w:ascii="Times New Roman" w:hAnsi="Times New Roman"/>
          <w:sz w:val="22"/>
          <w:szCs w:val="22"/>
        </w:rPr>
        <w:t>UG-121501; Cascade, Dockets UG-121592 and UG-121623: Northwest Natural, Docket UG-121434, and PSE, Docket UG-121569 (2012 PGA Filings).</w:t>
      </w:r>
    </w:p>
  </w:footnote>
  <w:footnote w:id="17">
    <w:p w14:paraId="7D2E2BA3" w14:textId="1532EDF2" w:rsidR="005135D0" w:rsidRPr="005A0C38" w:rsidRDefault="005135D0" w:rsidP="005A0C38">
      <w:pPr>
        <w:pStyle w:val="FootnoteText"/>
        <w:spacing w:after="120"/>
        <w:rPr>
          <w:rFonts w:ascii="Times New Roman" w:hAnsi="Times New Roman"/>
          <w:sz w:val="22"/>
          <w:szCs w:val="22"/>
        </w:rPr>
      </w:pPr>
      <w:r w:rsidRPr="007B2861">
        <w:rPr>
          <w:rStyle w:val="FootnoteReference"/>
          <w:rFonts w:ascii="Times New Roman" w:hAnsi="Times New Roman"/>
          <w:sz w:val="22"/>
          <w:szCs w:val="22"/>
        </w:rPr>
        <w:footnoteRef/>
      </w:r>
      <w:r w:rsidRPr="007B2861">
        <w:rPr>
          <w:rFonts w:ascii="Times New Roman" w:hAnsi="Times New Roman"/>
          <w:sz w:val="22"/>
          <w:szCs w:val="22"/>
        </w:rPr>
        <w:t xml:space="preserve"> Washington Utilities and Transportation Commission, </w:t>
      </w:r>
      <w:r w:rsidRPr="007B2861">
        <w:rPr>
          <w:rFonts w:ascii="Times New Roman" w:hAnsi="Times New Roman"/>
          <w:i/>
          <w:sz w:val="22"/>
          <w:szCs w:val="22"/>
        </w:rPr>
        <w:t>Report of Commission Staff Regarding the Natural Gas Hedgin</w:t>
      </w:r>
      <w:r w:rsidRPr="0074035E">
        <w:rPr>
          <w:rFonts w:ascii="Times New Roman" w:hAnsi="Times New Roman"/>
          <w:i/>
          <w:sz w:val="22"/>
          <w:szCs w:val="22"/>
        </w:rPr>
        <w:t xml:space="preserve">g Policies and Practices of </w:t>
      </w:r>
      <w:proofErr w:type="spellStart"/>
      <w:r w:rsidRPr="0074035E">
        <w:rPr>
          <w:rFonts w:ascii="Times New Roman" w:hAnsi="Times New Roman"/>
          <w:i/>
          <w:sz w:val="22"/>
          <w:szCs w:val="22"/>
        </w:rPr>
        <w:t>Avista</w:t>
      </w:r>
      <w:proofErr w:type="spellEnd"/>
      <w:r w:rsidRPr="0074035E">
        <w:rPr>
          <w:rFonts w:ascii="Times New Roman" w:hAnsi="Times New Roman"/>
          <w:i/>
          <w:sz w:val="22"/>
          <w:szCs w:val="22"/>
        </w:rPr>
        <w:t xml:space="preserve"> Corporation, Docket UG-121501, Puget Sound Energy, Inc., Docket UG-121569, Cascade Natural Gas, Dockets UG-121592 and UG-121623, and Northwest Natural Gas Company, Docket UG-121434 </w:t>
      </w:r>
      <w:r w:rsidRPr="00CC4724">
        <w:rPr>
          <w:rFonts w:ascii="Times New Roman" w:hAnsi="Times New Roman"/>
          <w:sz w:val="22"/>
          <w:szCs w:val="22"/>
        </w:rPr>
        <w:t>(March 1, 2013)</w:t>
      </w:r>
      <w:r w:rsidRPr="007B2861">
        <w:rPr>
          <w:rFonts w:ascii="Times New Roman" w:hAnsi="Times New Roman"/>
          <w:sz w:val="22"/>
          <w:szCs w:val="22"/>
        </w:rPr>
        <w:t>.</w:t>
      </w:r>
    </w:p>
  </w:footnote>
  <w:footnote w:id="18">
    <w:p w14:paraId="540E6247" w14:textId="032F7DE7" w:rsidR="007A2555" w:rsidRPr="007B2861" w:rsidRDefault="007A2555" w:rsidP="005A0C38">
      <w:pPr>
        <w:pStyle w:val="FootnoteText"/>
        <w:spacing w:after="120"/>
        <w:rPr>
          <w:rFonts w:ascii="Times New Roman" w:hAnsi="Times New Roman"/>
          <w:sz w:val="22"/>
          <w:szCs w:val="22"/>
        </w:rPr>
      </w:pPr>
      <w:r w:rsidRPr="007B2861">
        <w:rPr>
          <w:rStyle w:val="FootnoteReference"/>
          <w:rFonts w:ascii="Times New Roman" w:hAnsi="Times New Roman"/>
          <w:sz w:val="22"/>
          <w:szCs w:val="22"/>
        </w:rPr>
        <w:footnoteRef/>
      </w:r>
      <w:r w:rsidRPr="007B2861">
        <w:rPr>
          <w:rFonts w:ascii="Times New Roman" w:hAnsi="Times New Roman"/>
          <w:sz w:val="22"/>
          <w:szCs w:val="22"/>
        </w:rPr>
        <w:t xml:space="preserve"> Staff retained Schneider Electric to work with Staff to analyze the policies, procurement strategies and execution of each Company’s hedging program.</w:t>
      </w:r>
    </w:p>
  </w:footnote>
  <w:footnote w:id="19">
    <w:p w14:paraId="0894B95D" w14:textId="3F853170" w:rsidR="005135D0" w:rsidRPr="007B2861" w:rsidRDefault="005135D0" w:rsidP="005A0C38">
      <w:pPr>
        <w:pStyle w:val="FootnoteText"/>
        <w:spacing w:after="120"/>
        <w:rPr>
          <w:rFonts w:ascii="Times New Roman" w:hAnsi="Times New Roman"/>
          <w:sz w:val="22"/>
          <w:szCs w:val="22"/>
        </w:rPr>
      </w:pPr>
      <w:r w:rsidRPr="007B2861">
        <w:rPr>
          <w:rStyle w:val="FootnoteReference"/>
          <w:rFonts w:ascii="Times New Roman" w:hAnsi="Times New Roman"/>
          <w:sz w:val="22"/>
          <w:szCs w:val="22"/>
        </w:rPr>
        <w:footnoteRef/>
      </w:r>
      <w:r w:rsidRPr="007B2861">
        <w:rPr>
          <w:rFonts w:ascii="Times New Roman" w:hAnsi="Times New Roman"/>
          <w:sz w:val="22"/>
          <w:szCs w:val="22"/>
        </w:rPr>
        <w:t xml:space="preserve"> </w:t>
      </w:r>
      <w:r w:rsidRPr="007B2861">
        <w:rPr>
          <w:rFonts w:ascii="Times New Roman" w:hAnsi="Times New Roman"/>
          <w:i/>
          <w:sz w:val="22"/>
          <w:szCs w:val="22"/>
        </w:rPr>
        <w:t>Id.</w:t>
      </w:r>
      <w:r w:rsidRPr="007B2861">
        <w:rPr>
          <w:rFonts w:ascii="Times New Roman" w:hAnsi="Times New Roman"/>
          <w:sz w:val="22"/>
          <w:szCs w:val="22"/>
        </w:rPr>
        <w:t xml:space="preserve"> at Attachment B.</w:t>
      </w:r>
    </w:p>
  </w:footnote>
  <w:footnote w:id="20">
    <w:p w14:paraId="03799B0D" w14:textId="2DC93BED" w:rsidR="005135D0" w:rsidRPr="007B2861" w:rsidRDefault="005135D0" w:rsidP="005A0C38">
      <w:pPr>
        <w:pStyle w:val="FootnoteText"/>
        <w:spacing w:after="120"/>
        <w:rPr>
          <w:rFonts w:ascii="Times New Roman" w:hAnsi="Times New Roman"/>
          <w:sz w:val="22"/>
          <w:szCs w:val="22"/>
        </w:rPr>
      </w:pPr>
      <w:r w:rsidRPr="007B2861">
        <w:rPr>
          <w:rStyle w:val="FootnoteReference"/>
          <w:rFonts w:ascii="Times New Roman" w:hAnsi="Times New Roman"/>
          <w:sz w:val="22"/>
          <w:szCs w:val="22"/>
        </w:rPr>
        <w:footnoteRef/>
      </w:r>
      <w:r w:rsidRPr="007B2861">
        <w:rPr>
          <w:rFonts w:ascii="Times New Roman" w:hAnsi="Times New Roman"/>
          <w:sz w:val="22"/>
          <w:szCs w:val="22"/>
        </w:rPr>
        <w:t xml:space="preserve"> Public Counsel withdrew its proposed disallowance for </w:t>
      </w:r>
      <w:proofErr w:type="spellStart"/>
      <w:r w:rsidRPr="007B2861">
        <w:rPr>
          <w:rFonts w:ascii="Times New Roman" w:hAnsi="Times New Roman"/>
          <w:sz w:val="22"/>
          <w:szCs w:val="22"/>
        </w:rPr>
        <w:t>Avista</w:t>
      </w:r>
      <w:proofErr w:type="spellEnd"/>
      <w:r w:rsidRPr="007B2861">
        <w:rPr>
          <w:rFonts w:ascii="Times New Roman" w:hAnsi="Times New Roman"/>
          <w:sz w:val="22"/>
          <w:szCs w:val="22"/>
        </w:rPr>
        <w:t>, but requested</w:t>
      </w:r>
      <w:r w:rsidRPr="00CC4724">
        <w:rPr>
          <w:rFonts w:ascii="Times New Roman" w:hAnsi="Times New Roman"/>
          <w:sz w:val="22"/>
          <w:szCs w:val="22"/>
        </w:rPr>
        <w:t xml:space="preserve"> the Commission proceed with an adjudicative proceeding </w:t>
      </w:r>
      <w:r w:rsidRPr="007B2861">
        <w:rPr>
          <w:rFonts w:ascii="Times New Roman" w:hAnsi="Times New Roman"/>
          <w:sz w:val="22"/>
          <w:szCs w:val="22"/>
        </w:rPr>
        <w:t>to make formal discovery under the Administrative Procedure Act (</w:t>
      </w:r>
      <w:proofErr w:type="spellStart"/>
      <w:r w:rsidRPr="007B2861">
        <w:rPr>
          <w:rFonts w:ascii="Times New Roman" w:hAnsi="Times New Roman"/>
          <w:sz w:val="22"/>
          <w:szCs w:val="22"/>
        </w:rPr>
        <w:t>RCW</w:t>
      </w:r>
      <w:proofErr w:type="spellEnd"/>
      <w:r w:rsidRPr="007B2861">
        <w:rPr>
          <w:rFonts w:ascii="Times New Roman" w:hAnsi="Times New Roman"/>
          <w:sz w:val="22"/>
          <w:szCs w:val="22"/>
        </w:rPr>
        <w:t xml:space="preserve"> 34.05) and the Commission’s procedural rules (WAC 480-07-400 – 425) available .</w:t>
      </w:r>
    </w:p>
  </w:footnote>
  <w:footnote w:id="21">
    <w:p w14:paraId="7BB18BD2" w14:textId="6F0A19E1" w:rsidR="005135D0" w:rsidRPr="005A0C38" w:rsidRDefault="005135D0" w:rsidP="005A0C38">
      <w:pPr>
        <w:pStyle w:val="FootnoteText"/>
        <w:spacing w:after="120"/>
        <w:rPr>
          <w:rFonts w:ascii="Times New Roman" w:hAnsi="Times New Roman"/>
          <w:sz w:val="22"/>
          <w:szCs w:val="22"/>
        </w:rPr>
      </w:pPr>
      <w:r w:rsidRPr="007B2861">
        <w:rPr>
          <w:rStyle w:val="FootnoteReference"/>
          <w:rFonts w:ascii="Times New Roman" w:hAnsi="Times New Roman"/>
          <w:sz w:val="22"/>
          <w:szCs w:val="22"/>
        </w:rPr>
        <w:footnoteRef/>
      </w:r>
      <w:r w:rsidRPr="007B2861">
        <w:rPr>
          <w:rFonts w:ascii="Times New Roman" w:hAnsi="Times New Roman"/>
          <w:sz w:val="22"/>
          <w:szCs w:val="22"/>
        </w:rPr>
        <w:t xml:space="preserve"> The Commission received comments from </w:t>
      </w:r>
      <w:proofErr w:type="spellStart"/>
      <w:r w:rsidRPr="007B2861">
        <w:rPr>
          <w:rFonts w:ascii="Times New Roman" w:hAnsi="Times New Roman"/>
          <w:sz w:val="22"/>
          <w:szCs w:val="22"/>
        </w:rPr>
        <w:t>Avista</w:t>
      </w:r>
      <w:proofErr w:type="spellEnd"/>
      <w:r w:rsidRPr="007B2861">
        <w:rPr>
          <w:rFonts w:ascii="Times New Roman" w:hAnsi="Times New Roman"/>
          <w:sz w:val="22"/>
          <w:szCs w:val="22"/>
        </w:rPr>
        <w:t xml:space="preserve">, PSE, Cascade, Northwest Natural Gas, Public Counsel, Northwest Energy Coalition, the City of Ellensburg, and </w:t>
      </w:r>
      <w:proofErr w:type="spellStart"/>
      <w:r w:rsidRPr="007B2861">
        <w:rPr>
          <w:rFonts w:ascii="Times New Roman" w:hAnsi="Times New Roman"/>
          <w:sz w:val="22"/>
          <w:szCs w:val="22"/>
        </w:rPr>
        <w:t>Aether</w:t>
      </w:r>
      <w:proofErr w:type="spellEnd"/>
      <w:r w:rsidRPr="007B2861">
        <w:rPr>
          <w:rFonts w:ascii="Times New Roman" w:hAnsi="Times New Roman"/>
          <w:sz w:val="22"/>
          <w:szCs w:val="22"/>
        </w:rPr>
        <w:t xml:space="preserve"> Advisors.</w:t>
      </w:r>
    </w:p>
  </w:footnote>
  <w:footnote w:id="22">
    <w:p w14:paraId="7B370319" w14:textId="06134B2B" w:rsidR="005135D0" w:rsidRPr="007B2861" w:rsidRDefault="005135D0" w:rsidP="005A0C38">
      <w:pPr>
        <w:pStyle w:val="FootnoteText"/>
        <w:spacing w:after="120"/>
        <w:rPr>
          <w:rFonts w:ascii="Times New Roman" w:hAnsi="Times New Roman"/>
          <w:sz w:val="22"/>
          <w:szCs w:val="22"/>
        </w:rPr>
      </w:pPr>
      <w:r w:rsidRPr="007B2861">
        <w:rPr>
          <w:rStyle w:val="FootnoteReference"/>
          <w:rFonts w:ascii="Times New Roman" w:hAnsi="Times New Roman"/>
          <w:sz w:val="22"/>
          <w:szCs w:val="22"/>
        </w:rPr>
        <w:footnoteRef/>
      </w:r>
      <w:r w:rsidRPr="007B2861">
        <w:rPr>
          <w:rFonts w:ascii="Times New Roman" w:hAnsi="Times New Roman"/>
          <w:sz w:val="22"/>
          <w:szCs w:val="22"/>
        </w:rPr>
        <w:t xml:space="preserve"> PSE agreed a uniform (high level) PGA reporting standard could improve the comparability of data between utilities and facilitate efficient review but maintained the utilities need to retain the freedom to develop work papers as they see fit.</w:t>
      </w:r>
    </w:p>
  </w:footnote>
  <w:footnote w:id="23">
    <w:p w14:paraId="10E58DFC" w14:textId="1AFFFEA7" w:rsidR="005135D0" w:rsidRPr="00CC4724" w:rsidRDefault="005135D0" w:rsidP="005A0C38">
      <w:pPr>
        <w:pStyle w:val="FootnoteText"/>
        <w:spacing w:after="120"/>
        <w:rPr>
          <w:rFonts w:ascii="Times New Roman" w:hAnsi="Times New Roman"/>
          <w:sz w:val="22"/>
          <w:szCs w:val="22"/>
        </w:rPr>
      </w:pPr>
      <w:r w:rsidRPr="007B2861">
        <w:rPr>
          <w:rStyle w:val="FootnoteReference"/>
          <w:rFonts w:ascii="Times New Roman" w:hAnsi="Times New Roman"/>
          <w:sz w:val="22"/>
          <w:szCs w:val="22"/>
        </w:rPr>
        <w:footnoteRef/>
      </w:r>
      <w:r w:rsidRPr="007B2861">
        <w:rPr>
          <w:rFonts w:ascii="Times New Roman" w:hAnsi="Times New Roman"/>
          <w:sz w:val="22"/>
          <w:szCs w:val="22"/>
        </w:rPr>
        <w:t xml:space="preserve"> Commenters were Mike </w:t>
      </w:r>
      <w:proofErr w:type="spellStart"/>
      <w:r w:rsidRPr="007B2861">
        <w:rPr>
          <w:rFonts w:ascii="Times New Roman" w:hAnsi="Times New Roman"/>
          <w:sz w:val="22"/>
          <w:szCs w:val="22"/>
        </w:rPr>
        <w:t>Parvinen</w:t>
      </w:r>
      <w:proofErr w:type="spellEnd"/>
      <w:r w:rsidRPr="007B2861">
        <w:rPr>
          <w:rFonts w:ascii="Times New Roman" w:hAnsi="Times New Roman"/>
          <w:sz w:val="22"/>
          <w:szCs w:val="22"/>
        </w:rPr>
        <w:t xml:space="preserve">, Cascade Natural Gas; </w:t>
      </w:r>
      <w:proofErr w:type="spellStart"/>
      <w:r w:rsidRPr="007B2861">
        <w:rPr>
          <w:rFonts w:ascii="Times New Roman" w:hAnsi="Times New Roman"/>
          <w:sz w:val="22"/>
          <w:szCs w:val="22"/>
        </w:rPr>
        <w:t>Onita</w:t>
      </w:r>
      <w:proofErr w:type="spellEnd"/>
      <w:r w:rsidRPr="007B2861">
        <w:rPr>
          <w:rFonts w:ascii="Times New Roman" w:hAnsi="Times New Roman"/>
          <w:sz w:val="22"/>
          <w:szCs w:val="22"/>
        </w:rPr>
        <w:t xml:space="preserve"> King and Allen Geertz, Northwest Natural Gas Corporation; </w:t>
      </w:r>
      <w:proofErr w:type="spellStart"/>
      <w:r w:rsidRPr="007B2861">
        <w:rPr>
          <w:rFonts w:ascii="Times New Roman" w:hAnsi="Times New Roman"/>
          <w:sz w:val="22"/>
          <w:szCs w:val="22"/>
        </w:rPr>
        <w:t>Ila</w:t>
      </w:r>
      <w:proofErr w:type="spellEnd"/>
      <w:r w:rsidRPr="007B2861">
        <w:rPr>
          <w:rFonts w:ascii="Times New Roman" w:hAnsi="Times New Roman"/>
          <w:sz w:val="22"/>
          <w:szCs w:val="22"/>
        </w:rPr>
        <w:t xml:space="preserve"> </w:t>
      </w:r>
      <w:proofErr w:type="spellStart"/>
      <w:r w:rsidRPr="007B2861">
        <w:rPr>
          <w:rFonts w:ascii="Times New Roman" w:hAnsi="Times New Roman"/>
          <w:sz w:val="22"/>
          <w:szCs w:val="22"/>
        </w:rPr>
        <w:t>Cupta</w:t>
      </w:r>
      <w:proofErr w:type="spellEnd"/>
      <w:r w:rsidRPr="007B2861">
        <w:rPr>
          <w:rFonts w:ascii="Times New Roman" w:hAnsi="Times New Roman"/>
          <w:sz w:val="22"/>
          <w:szCs w:val="22"/>
        </w:rPr>
        <w:t>, Chris Smith, an</w:t>
      </w:r>
      <w:r w:rsidRPr="00CC4724">
        <w:rPr>
          <w:rFonts w:ascii="Times New Roman" w:hAnsi="Times New Roman"/>
          <w:sz w:val="22"/>
          <w:szCs w:val="22"/>
        </w:rPr>
        <w:t xml:space="preserve">d Colin Crowley, Puget Sound Energy;  Mary Kimball, Public Counsel; Mike </w:t>
      </w:r>
      <w:proofErr w:type="spellStart"/>
      <w:r w:rsidRPr="00CC4724">
        <w:rPr>
          <w:rFonts w:ascii="Times New Roman" w:hAnsi="Times New Roman"/>
          <w:sz w:val="22"/>
          <w:szCs w:val="22"/>
        </w:rPr>
        <w:t>Gettings</w:t>
      </w:r>
      <w:proofErr w:type="spellEnd"/>
      <w:r w:rsidRPr="00CC4724">
        <w:rPr>
          <w:rFonts w:ascii="Times New Roman" w:hAnsi="Times New Roman"/>
          <w:sz w:val="22"/>
          <w:szCs w:val="22"/>
        </w:rPr>
        <w:t xml:space="preserve">, </w:t>
      </w:r>
      <w:proofErr w:type="spellStart"/>
      <w:r w:rsidRPr="00CC4724">
        <w:rPr>
          <w:rFonts w:ascii="Times New Roman" w:hAnsi="Times New Roman"/>
          <w:sz w:val="22"/>
          <w:szCs w:val="22"/>
        </w:rPr>
        <w:t>RiskCentrix</w:t>
      </w:r>
      <w:proofErr w:type="spellEnd"/>
      <w:r w:rsidRPr="00CC4724">
        <w:rPr>
          <w:rFonts w:ascii="Times New Roman" w:hAnsi="Times New Roman"/>
          <w:sz w:val="22"/>
          <w:szCs w:val="22"/>
        </w:rPr>
        <w:t xml:space="preserve">; Ken Costello, </w:t>
      </w:r>
      <w:proofErr w:type="spellStart"/>
      <w:r w:rsidRPr="00CC4724">
        <w:rPr>
          <w:rFonts w:ascii="Times New Roman" w:hAnsi="Times New Roman"/>
          <w:sz w:val="22"/>
          <w:szCs w:val="22"/>
        </w:rPr>
        <w:t>NRRI</w:t>
      </w:r>
      <w:proofErr w:type="spellEnd"/>
      <w:r w:rsidRPr="00CC4724">
        <w:rPr>
          <w:rFonts w:ascii="Times New Roman" w:hAnsi="Times New Roman"/>
          <w:sz w:val="22"/>
          <w:szCs w:val="22"/>
        </w:rPr>
        <w:t xml:space="preserve">; Julia Ryan, </w:t>
      </w:r>
      <w:proofErr w:type="spellStart"/>
      <w:r w:rsidRPr="00CC4724">
        <w:rPr>
          <w:rFonts w:ascii="Times New Roman" w:hAnsi="Times New Roman"/>
          <w:sz w:val="22"/>
          <w:szCs w:val="22"/>
        </w:rPr>
        <w:t>Aether</w:t>
      </w:r>
      <w:proofErr w:type="spellEnd"/>
      <w:r w:rsidRPr="00CC4724">
        <w:rPr>
          <w:rFonts w:ascii="Times New Roman" w:hAnsi="Times New Roman"/>
          <w:sz w:val="22"/>
          <w:szCs w:val="22"/>
        </w:rPr>
        <w:t xml:space="preserve"> Advisors; Steve Harper and Patrick </w:t>
      </w:r>
      <w:proofErr w:type="spellStart"/>
      <w:r w:rsidRPr="00CC4724">
        <w:rPr>
          <w:rFonts w:ascii="Times New Roman" w:hAnsi="Times New Roman"/>
          <w:sz w:val="22"/>
          <w:szCs w:val="22"/>
        </w:rPr>
        <w:t>Ehrbar</w:t>
      </w:r>
      <w:proofErr w:type="spellEnd"/>
      <w:r w:rsidRPr="00CC4724">
        <w:rPr>
          <w:rFonts w:ascii="Times New Roman" w:hAnsi="Times New Roman"/>
          <w:sz w:val="22"/>
          <w:szCs w:val="22"/>
        </w:rPr>
        <w:t xml:space="preserve">, </w:t>
      </w:r>
      <w:proofErr w:type="spellStart"/>
      <w:r w:rsidRPr="00CC4724">
        <w:rPr>
          <w:rFonts w:ascii="Times New Roman" w:hAnsi="Times New Roman"/>
          <w:sz w:val="22"/>
          <w:szCs w:val="22"/>
        </w:rPr>
        <w:t>Avista</w:t>
      </w:r>
      <w:proofErr w:type="spellEnd"/>
      <w:r w:rsidRPr="00CC4724">
        <w:rPr>
          <w:rFonts w:ascii="Times New Roman" w:hAnsi="Times New Roman"/>
          <w:sz w:val="22"/>
          <w:szCs w:val="22"/>
        </w:rPr>
        <w:t xml:space="preserve"> Corporation</w:t>
      </w:r>
      <w:r w:rsidR="0052419A">
        <w:rPr>
          <w:rFonts w:ascii="Times New Roman" w:hAnsi="Times New Roman"/>
          <w:sz w:val="22"/>
          <w:szCs w:val="22"/>
        </w:rPr>
        <w:t xml:space="preserve"> and, </w:t>
      </w:r>
      <w:r w:rsidRPr="00CC4724">
        <w:rPr>
          <w:rFonts w:ascii="Times New Roman" w:hAnsi="Times New Roman"/>
          <w:sz w:val="22"/>
          <w:szCs w:val="22"/>
        </w:rPr>
        <w:t xml:space="preserve">Ed </w:t>
      </w:r>
      <w:proofErr w:type="spellStart"/>
      <w:r w:rsidRPr="00CC4724">
        <w:rPr>
          <w:rFonts w:ascii="Times New Roman" w:hAnsi="Times New Roman"/>
          <w:sz w:val="22"/>
          <w:szCs w:val="22"/>
        </w:rPr>
        <w:t>Finkle</w:t>
      </w:r>
      <w:r w:rsidR="007B2861">
        <w:rPr>
          <w:rFonts w:ascii="Times New Roman" w:hAnsi="Times New Roman"/>
          <w:sz w:val="22"/>
          <w:szCs w:val="22"/>
        </w:rPr>
        <w:t>a</w:t>
      </w:r>
      <w:proofErr w:type="spellEnd"/>
      <w:r w:rsidRPr="007B2861">
        <w:rPr>
          <w:rFonts w:ascii="Times New Roman" w:hAnsi="Times New Roman"/>
          <w:sz w:val="22"/>
          <w:szCs w:val="22"/>
        </w:rPr>
        <w:t>, Northwest Industrial Gas Users.</w:t>
      </w:r>
    </w:p>
  </w:footnote>
  <w:footnote w:id="24">
    <w:p w14:paraId="6276CA56" w14:textId="68445851" w:rsidR="005135D0" w:rsidRPr="005A0C38" w:rsidRDefault="005135D0" w:rsidP="005A0C38">
      <w:pPr>
        <w:pStyle w:val="FootnoteText"/>
        <w:spacing w:after="120"/>
        <w:rPr>
          <w:rFonts w:ascii="Times New Roman" w:hAnsi="Times New Roman"/>
          <w:sz w:val="22"/>
          <w:szCs w:val="22"/>
        </w:rPr>
      </w:pPr>
      <w:r w:rsidRPr="007B2861">
        <w:rPr>
          <w:rStyle w:val="FootnoteReference"/>
          <w:rFonts w:ascii="Times New Roman" w:hAnsi="Times New Roman"/>
          <w:sz w:val="22"/>
          <w:szCs w:val="22"/>
        </w:rPr>
        <w:footnoteRef/>
      </w:r>
      <w:r w:rsidRPr="007B2861">
        <w:rPr>
          <w:rFonts w:ascii="Times New Roman" w:hAnsi="Times New Roman"/>
          <w:sz w:val="22"/>
          <w:szCs w:val="22"/>
        </w:rPr>
        <w:t xml:space="preserve"> Participants included representatives from Deloitte &amp; </w:t>
      </w:r>
      <w:proofErr w:type="spellStart"/>
      <w:r w:rsidRPr="007B2861">
        <w:rPr>
          <w:rFonts w:ascii="Times New Roman" w:hAnsi="Times New Roman"/>
          <w:sz w:val="22"/>
          <w:szCs w:val="22"/>
        </w:rPr>
        <w:t>Touche</w:t>
      </w:r>
      <w:proofErr w:type="spellEnd"/>
      <w:r w:rsidRPr="007B2861">
        <w:rPr>
          <w:rFonts w:ascii="Times New Roman" w:hAnsi="Times New Roman"/>
          <w:sz w:val="22"/>
          <w:szCs w:val="22"/>
        </w:rPr>
        <w:t xml:space="preserve">, LLP, Cascade, </w:t>
      </w:r>
      <w:proofErr w:type="spellStart"/>
      <w:r w:rsidRPr="007B2861">
        <w:rPr>
          <w:rFonts w:ascii="Times New Roman" w:hAnsi="Times New Roman"/>
          <w:sz w:val="22"/>
          <w:szCs w:val="22"/>
        </w:rPr>
        <w:t>Avista</w:t>
      </w:r>
      <w:proofErr w:type="spellEnd"/>
      <w:r w:rsidRPr="007B2861">
        <w:rPr>
          <w:rFonts w:ascii="Times New Roman" w:hAnsi="Times New Roman"/>
          <w:sz w:val="22"/>
          <w:szCs w:val="22"/>
        </w:rPr>
        <w:t xml:space="preserve">, Pacific Power, NW Natural, </w:t>
      </w:r>
      <w:proofErr w:type="spellStart"/>
      <w:r w:rsidRPr="007B2861">
        <w:rPr>
          <w:rFonts w:ascii="Times New Roman" w:hAnsi="Times New Roman"/>
          <w:sz w:val="22"/>
          <w:szCs w:val="22"/>
        </w:rPr>
        <w:t>NWIGU</w:t>
      </w:r>
      <w:proofErr w:type="spellEnd"/>
      <w:r w:rsidRPr="007B2861">
        <w:rPr>
          <w:rFonts w:ascii="Times New Roman" w:hAnsi="Times New Roman"/>
          <w:sz w:val="22"/>
          <w:szCs w:val="22"/>
        </w:rPr>
        <w:t xml:space="preserve">, Public Counsel, PSE, and </w:t>
      </w:r>
      <w:proofErr w:type="spellStart"/>
      <w:r w:rsidRPr="007B2861">
        <w:rPr>
          <w:rFonts w:ascii="Times New Roman" w:hAnsi="Times New Roman"/>
          <w:sz w:val="22"/>
          <w:szCs w:val="22"/>
        </w:rPr>
        <w:t>Aether</w:t>
      </w:r>
      <w:proofErr w:type="spellEnd"/>
      <w:r w:rsidRPr="007B2861">
        <w:rPr>
          <w:rFonts w:ascii="Times New Roman" w:hAnsi="Times New Roman"/>
          <w:sz w:val="22"/>
          <w:szCs w:val="22"/>
        </w:rPr>
        <w:t xml:space="preserve"> Advisors.</w:t>
      </w:r>
    </w:p>
  </w:footnote>
  <w:footnote w:id="25">
    <w:p w14:paraId="4322F8C0" w14:textId="418D7DFF" w:rsidR="005135D0" w:rsidRPr="007B2861" w:rsidRDefault="005135D0" w:rsidP="005A0C38">
      <w:pPr>
        <w:pStyle w:val="FootnoteText"/>
        <w:spacing w:after="120"/>
        <w:rPr>
          <w:rFonts w:ascii="Times New Roman" w:hAnsi="Times New Roman"/>
          <w:sz w:val="22"/>
          <w:szCs w:val="22"/>
        </w:rPr>
      </w:pPr>
      <w:r w:rsidRPr="007B2861">
        <w:rPr>
          <w:rStyle w:val="FootnoteReference"/>
          <w:rFonts w:ascii="Times New Roman" w:hAnsi="Times New Roman"/>
          <w:sz w:val="22"/>
          <w:szCs w:val="22"/>
        </w:rPr>
        <w:footnoteRef/>
      </w:r>
      <w:r w:rsidRPr="007B2861">
        <w:rPr>
          <w:rFonts w:ascii="Times New Roman" w:hAnsi="Times New Roman"/>
          <w:sz w:val="22"/>
          <w:szCs w:val="22"/>
        </w:rPr>
        <w:t xml:space="preserve"> Comments were received by </w:t>
      </w:r>
      <w:proofErr w:type="spellStart"/>
      <w:r w:rsidRPr="007B2861">
        <w:rPr>
          <w:rFonts w:ascii="Times New Roman" w:hAnsi="Times New Roman"/>
          <w:sz w:val="22"/>
          <w:szCs w:val="22"/>
        </w:rPr>
        <w:t>Avista</w:t>
      </w:r>
      <w:proofErr w:type="spellEnd"/>
      <w:r w:rsidRPr="007B2861">
        <w:rPr>
          <w:rFonts w:ascii="Times New Roman" w:hAnsi="Times New Roman"/>
          <w:sz w:val="22"/>
          <w:szCs w:val="22"/>
        </w:rPr>
        <w:t xml:space="preserve">, </w:t>
      </w:r>
      <w:proofErr w:type="spellStart"/>
      <w:r w:rsidRPr="007B2861">
        <w:rPr>
          <w:rFonts w:ascii="Times New Roman" w:hAnsi="Times New Roman"/>
          <w:sz w:val="22"/>
          <w:szCs w:val="22"/>
        </w:rPr>
        <w:t>NWIGU</w:t>
      </w:r>
      <w:proofErr w:type="spellEnd"/>
      <w:r w:rsidRPr="007B2861">
        <w:rPr>
          <w:rFonts w:ascii="Times New Roman" w:hAnsi="Times New Roman"/>
          <w:sz w:val="22"/>
          <w:szCs w:val="22"/>
        </w:rPr>
        <w:t>, Public Counsel, Northwest Natural, and Cascade.</w:t>
      </w:r>
    </w:p>
  </w:footnote>
  <w:footnote w:id="26">
    <w:p w14:paraId="47D40700" w14:textId="1AFB5EC7" w:rsidR="005135D0" w:rsidRPr="007B2861" w:rsidRDefault="005135D0" w:rsidP="005A0C38">
      <w:pPr>
        <w:pStyle w:val="FootnoteText"/>
        <w:spacing w:after="120"/>
        <w:rPr>
          <w:rFonts w:ascii="Times New Roman" w:hAnsi="Times New Roman"/>
          <w:sz w:val="22"/>
          <w:szCs w:val="22"/>
        </w:rPr>
      </w:pPr>
      <w:r w:rsidRPr="007B2861">
        <w:rPr>
          <w:rStyle w:val="FootnoteReference"/>
          <w:rFonts w:ascii="Times New Roman" w:hAnsi="Times New Roman"/>
          <w:sz w:val="22"/>
          <w:szCs w:val="22"/>
        </w:rPr>
        <w:footnoteRef/>
      </w:r>
      <w:r w:rsidRPr="007B2861">
        <w:rPr>
          <w:rFonts w:ascii="Times New Roman" w:hAnsi="Times New Roman"/>
          <w:sz w:val="22"/>
          <w:szCs w:val="22"/>
        </w:rPr>
        <w:t xml:space="preserve"> Utilities generally preferred a non-binding policy statement. </w:t>
      </w:r>
      <w:proofErr w:type="spellStart"/>
      <w:r w:rsidRPr="007B2861">
        <w:rPr>
          <w:rFonts w:ascii="Times New Roman" w:hAnsi="Times New Roman"/>
          <w:sz w:val="22"/>
          <w:szCs w:val="22"/>
        </w:rPr>
        <w:t>NWIGU</w:t>
      </w:r>
      <w:proofErr w:type="spellEnd"/>
      <w:r w:rsidRPr="007B2861">
        <w:rPr>
          <w:rFonts w:ascii="Times New Roman" w:hAnsi="Times New Roman"/>
          <w:sz w:val="22"/>
          <w:szCs w:val="22"/>
        </w:rPr>
        <w:t xml:space="preserve"> recommended additional workshops to develop guidance or rules. Public Counsel favored rules over a non-binding policy statement.</w:t>
      </w:r>
    </w:p>
  </w:footnote>
  <w:footnote w:id="27">
    <w:p w14:paraId="5881F4E2" w14:textId="45EFD137" w:rsidR="005135D0" w:rsidRPr="005A0C38" w:rsidRDefault="005135D0" w:rsidP="005A0C38">
      <w:pPr>
        <w:pStyle w:val="FootnoteText"/>
        <w:spacing w:after="120"/>
        <w:rPr>
          <w:rFonts w:ascii="Times New Roman" w:hAnsi="Times New Roman"/>
          <w:sz w:val="22"/>
          <w:szCs w:val="22"/>
        </w:rPr>
      </w:pPr>
      <w:r w:rsidRPr="007B2861">
        <w:rPr>
          <w:rStyle w:val="FootnoteReference"/>
          <w:rFonts w:ascii="Times New Roman" w:hAnsi="Times New Roman"/>
          <w:sz w:val="22"/>
          <w:szCs w:val="22"/>
        </w:rPr>
        <w:footnoteRef/>
      </w:r>
      <w:r w:rsidRPr="007B2861">
        <w:rPr>
          <w:rFonts w:ascii="Times New Roman" w:hAnsi="Times New Roman"/>
          <w:sz w:val="22"/>
          <w:szCs w:val="22"/>
        </w:rPr>
        <w:t xml:space="preserve"> </w:t>
      </w:r>
      <w:proofErr w:type="spellStart"/>
      <w:r w:rsidRPr="007B2861">
        <w:rPr>
          <w:rFonts w:ascii="Times New Roman" w:hAnsi="Times New Roman"/>
          <w:sz w:val="22"/>
          <w:szCs w:val="22"/>
        </w:rPr>
        <w:t>Gettings</w:t>
      </w:r>
      <w:proofErr w:type="spellEnd"/>
      <w:r w:rsidRPr="007B2861">
        <w:rPr>
          <w:rFonts w:ascii="Times New Roman" w:hAnsi="Times New Roman"/>
          <w:sz w:val="22"/>
          <w:szCs w:val="22"/>
        </w:rPr>
        <w:t xml:space="preserve"> White Paper </w:t>
      </w:r>
      <w:r w:rsidR="007B2861">
        <w:rPr>
          <w:rFonts w:ascii="Times New Roman" w:hAnsi="Times New Roman"/>
          <w:sz w:val="22"/>
          <w:szCs w:val="22"/>
        </w:rPr>
        <w:t>at</w:t>
      </w:r>
      <w:r w:rsidR="007B2861" w:rsidRPr="007B2861">
        <w:rPr>
          <w:rFonts w:ascii="Times New Roman" w:hAnsi="Times New Roman"/>
          <w:sz w:val="22"/>
          <w:szCs w:val="22"/>
        </w:rPr>
        <w:t xml:space="preserve"> </w:t>
      </w:r>
      <w:r w:rsidRPr="007B2861">
        <w:rPr>
          <w:rFonts w:ascii="Times New Roman" w:hAnsi="Times New Roman"/>
          <w:sz w:val="22"/>
          <w:szCs w:val="22"/>
        </w:rPr>
        <w:t>19.</w:t>
      </w:r>
    </w:p>
  </w:footnote>
  <w:footnote w:id="28">
    <w:p w14:paraId="2A0A048A" w14:textId="1C3A08DE" w:rsidR="005135D0" w:rsidRPr="0074035E" w:rsidRDefault="005135D0" w:rsidP="005A0C38">
      <w:pPr>
        <w:pStyle w:val="FootnoteText"/>
        <w:spacing w:after="120"/>
        <w:rPr>
          <w:rFonts w:ascii="Times New Roman" w:hAnsi="Times New Roman"/>
          <w:sz w:val="22"/>
          <w:szCs w:val="22"/>
        </w:rPr>
      </w:pPr>
      <w:r w:rsidRPr="007B2861">
        <w:rPr>
          <w:rStyle w:val="FootnoteReference"/>
          <w:rFonts w:ascii="Times New Roman" w:hAnsi="Times New Roman"/>
          <w:sz w:val="22"/>
          <w:szCs w:val="22"/>
        </w:rPr>
        <w:footnoteRef/>
      </w:r>
      <w:r w:rsidRPr="007B2861">
        <w:rPr>
          <w:rFonts w:ascii="Times New Roman" w:hAnsi="Times New Roman"/>
          <w:sz w:val="22"/>
          <w:szCs w:val="22"/>
        </w:rPr>
        <w:t xml:space="preserve"> Commission Staff</w:t>
      </w:r>
      <w:r w:rsidR="00885976" w:rsidRPr="007B2861">
        <w:rPr>
          <w:rFonts w:ascii="Times New Roman" w:hAnsi="Times New Roman"/>
          <w:sz w:val="22"/>
          <w:szCs w:val="22"/>
        </w:rPr>
        <w:t>’s Report</w:t>
      </w:r>
      <w:r w:rsidR="0074035E">
        <w:rPr>
          <w:rFonts w:ascii="Times New Roman" w:hAnsi="Times New Roman"/>
          <w:sz w:val="22"/>
          <w:szCs w:val="22"/>
        </w:rPr>
        <w:t xml:space="preserve"> at</w:t>
      </w:r>
      <w:r w:rsidRPr="0074035E">
        <w:rPr>
          <w:rFonts w:ascii="Times New Roman" w:hAnsi="Times New Roman"/>
          <w:sz w:val="22"/>
          <w:szCs w:val="22"/>
        </w:rPr>
        <w:t xml:space="preserve"> 4.</w:t>
      </w:r>
    </w:p>
  </w:footnote>
  <w:footnote w:id="29">
    <w:p w14:paraId="43BA0C99" w14:textId="4A79B5DA" w:rsidR="005135D0" w:rsidRPr="0074035E" w:rsidRDefault="005135D0" w:rsidP="005A0C38">
      <w:pPr>
        <w:pStyle w:val="FootnoteText"/>
        <w:spacing w:after="120"/>
        <w:rPr>
          <w:rFonts w:ascii="Times New Roman" w:hAnsi="Times New Roman"/>
          <w:sz w:val="22"/>
          <w:szCs w:val="22"/>
        </w:rPr>
      </w:pPr>
      <w:r w:rsidRPr="007B2861">
        <w:rPr>
          <w:rStyle w:val="FootnoteReference"/>
          <w:rFonts w:ascii="Times New Roman" w:hAnsi="Times New Roman"/>
          <w:sz w:val="22"/>
          <w:szCs w:val="22"/>
        </w:rPr>
        <w:footnoteRef/>
      </w:r>
      <w:r w:rsidRPr="007B2861">
        <w:rPr>
          <w:rFonts w:ascii="Times New Roman" w:hAnsi="Times New Roman"/>
          <w:sz w:val="22"/>
          <w:szCs w:val="22"/>
        </w:rPr>
        <w:t xml:space="preserve"> Mar</w:t>
      </w:r>
      <w:r w:rsidRPr="0074035E">
        <w:rPr>
          <w:rFonts w:ascii="Times New Roman" w:hAnsi="Times New Roman"/>
          <w:sz w:val="22"/>
          <w:szCs w:val="22"/>
        </w:rPr>
        <w:t>k</w:t>
      </w:r>
      <w:r w:rsidR="0074035E">
        <w:rPr>
          <w:rFonts w:ascii="Times New Roman" w:hAnsi="Times New Roman"/>
          <w:sz w:val="22"/>
          <w:szCs w:val="22"/>
        </w:rPr>
        <w:t>-</w:t>
      </w:r>
      <w:r w:rsidRPr="0074035E">
        <w:rPr>
          <w:rFonts w:ascii="Times New Roman" w:hAnsi="Times New Roman"/>
          <w:sz w:val="22"/>
          <w:szCs w:val="22"/>
        </w:rPr>
        <w:t>to</w:t>
      </w:r>
      <w:r w:rsidR="0074035E">
        <w:rPr>
          <w:rFonts w:ascii="Times New Roman" w:hAnsi="Times New Roman"/>
          <w:sz w:val="22"/>
          <w:szCs w:val="22"/>
        </w:rPr>
        <w:t>-</w:t>
      </w:r>
      <w:r w:rsidRPr="0074035E">
        <w:rPr>
          <w:rFonts w:ascii="Times New Roman" w:hAnsi="Times New Roman"/>
          <w:sz w:val="22"/>
          <w:szCs w:val="22"/>
        </w:rPr>
        <w:t>market losses are the difference between the cost actually paid, set by hedging contracts, and the final market price at the time of settlement. Large losses are indicative of a fall in market prices after companies locked in future prices through contracts.</w:t>
      </w:r>
    </w:p>
  </w:footnote>
  <w:footnote w:id="30">
    <w:p w14:paraId="0AB4B217" w14:textId="3A424EBA" w:rsidR="005135D0" w:rsidRPr="004E22D1" w:rsidRDefault="005135D0" w:rsidP="005A0C38">
      <w:pPr>
        <w:pStyle w:val="FootnoteText"/>
        <w:spacing w:after="120"/>
        <w:rPr>
          <w:rFonts w:ascii="Times New Roman" w:hAnsi="Times New Roman"/>
          <w:sz w:val="22"/>
          <w:szCs w:val="22"/>
        </w:rPr>
      </w:pPr>
      <w:r w:rsidRPr="007B2861">
        <w:rPr>
          <w:rStyle w:val="FootnoteReference"/>
          <w:rFonts w:ascii="Times New Roman" w:hAnsi="Times New Roman"/>
          <w:sz w:val="22"/>
          <w:szCs w:val="22"/>
        </w:rPr>
        <w:footnoteRef/>
      </w:r>
      <w:r w:rsidRPr="007B2861">
        <w:rPr>
          <w:rFonts w:ascii="Times New Roman" w:hAnsi="Times New Roman"/>
          <w:sz w:val="22"/>
          <w:szCs w:val="22"/>
        </w:rPr>
        <w:t xml:space="preserve"> </w:t>
      </w:r>
      <w:proofErr w:type="spellStart"/>
      <w:r w:rsidRPr="007B2861">
        <w:rPr>
          <w:rFonts w:ascii="Times New Roman" w:hAnsi="Times New Roman"/>
          <w:sz w:val="22"/>
          <w:szCs w:val="22"/>
        </w:rPr>
        <w:t>Avista</w:t>
      </w:r>
      <w:proofErr w:type="spellEnd"/>
      <w:r w:rsidRPr="007B2861">
        <w:rPr>
          <w:rFonts w:ascii="Times New Roman" w:hAnsi="Times New Roman"/>
          <w:sz w:val="22"/>
          <w:szCs w:val="22"/>
        </w:rPr>
        <w:t xml:space="preserve"> comments filed on January 10, 2014</w:t>
      </w:r>
      <w:r w:rsidR="000618EC" w:rsidRPr="0074035E">
        <w:rPr>
          <w:rFonts w:ascii="Times New Roman" w:hAnsi="Times New Roman"/>
          <w:sz w:val="22"/>
          <w:szCs w:val="22"/>
        </w:rPr>
        <w:t xml:space="preserve">, </w:t>
      </w:r>
      <w:r w:rsidR="00BC18A9">
        <w:rPr>
          <w:rFonts w:ascii="Times New Roman" w:hAnsi="Times New Roman"/>
          <w:sz w:val="22"/>
          <w:szCs w:val="22"/>
        </w:rPr>
        <w:t>at</w:t>
      </w:r>
      <w:r w:rsidRPr="004E22D1">
        <w:rPr>
          <w:rFonts w:ascii="Times New Roman" w:hAnsi="Times New Roman"/>
          <w:sz w:val="22"/>
          <w:szCs w:val="22"/>
        </w:rPr>
        <w:t xml:space="preserve"> 3.</w:t>
      </w:r>
    </w:p>
  </w:footnote>
  <w:footnote w:id="31">
    <w:p w14:paraId="2FA51D7A" w14:textId="1CD309F1" w:rsidR="005135D0" w:rsidRPr="007B2861" w:rsidRDefault="005135D0" w:rsidP="005A0C38">
      <w:pPr>
        <w:pStyle w:val="FootnoteText"/>
        <w:spacing w:after="120"/>
        <w:rPr>
          <w:rFonts w:ascii="Times New Roman" w:hAnsi="Times New Roman"/>
          <w:sz w:val="22"/>
          <w:szCs w:val="22"/>
        </w:rPr>
      </w:pPr>
      <w:r w:rsidRPr="007B2861">
        <w:rPr>
          <w:rStyle w:val="FootnoteReference"/>
          <w:rFonts w:ascii="Times New Roman" w:hAnsi="Times New Roman"/>
          <w:sz w:val="22"/>
          <w:szCs w:val="22"/>
        </w:rPr>
        <w:footnoteRef/>
      </w:r>
      <w:r w:rsidRPr="007B2861">
        <w:rPr>
          <w:rFonts w:ascii="Times New Roman" w:hAnsi="Times New Roman"/>
          <w:sz w:val="22"/>
          <w:szCs w:val="22"/>
        </w:rPr>
        <w:t xml:space="preserve"> Mr. </w:t>
      </w:r>
      <w:proofErr w:type="spellStart"/>
      <w:r w:rsidRPr="007B2861">
        <w:rPr>
          <w:rFonts w:ascii="Times New Roman" w:hAnsi="Times New Roman"/>
          <w:sz w:val="22"/>
          <w:szCs w:val="22"/>
        </w:rPr>
        <w:t>Gettings</w:t>
      </w:r>
      <w:proofErr w:type="spellEnd"/>
      <w:r w:rsidRPr="007B2861">
        <w:rPr>
          <w:rFonts w:ascii="Times New Roman" w:hAnsi="Times New Roman"/>
          <w:sz w:val="22"/>
          <w:szCs w:val="22"/>
        </w:rPr>
        <w:t xml:space="preserve"> describes strategies that work effectively across a broad range of market conditions</w:t>
      </w:r>
      <w:r w:rsidR="00BC18A9">
        <w:rPr>
          <w:rFonts w:ascii="Times New Roman" w:hAnsi="Times New Roman"/>
          <w:sz w:val="22"/>
          <w:szCs w:val="22"/>
        </w:rPr>
        <w:t xml:space="preserve"> as </w:t>
      </w:r>
      <w:r w:rsidR="00BC18A9" w:rsidRPr="007B2861">
        <w:rPr>
          <w:rFonts w:ascii="Times New Roman" w:hAnsi="Times New Roman"/>
          <w:sz w:val="22"/>
          <w:szCs w:val="22"/>
        </w:rPr>
        <w:t>“more robust”</w:t>
      </w:r>
      <w:r w:rsidRPr="007B2861">
        <w:rPr>
          <w:rFonts w:ascii="Times New Roman" w:hAnsi="Times New Roman"/>
          <w:sz w:val="22"/>
          <w:szCs w:val="22"/>
        </w:rPr>
        <w:t>.</w:t>
      </w:r>
    </w:p>
  </w:footnote>
  <w:footnote w:id="32">
    <w:p w14:paraId="62679EA6" w14:textId="17D790D5" w:rsidR="005135D0" w:rsidRPr="005A0C38" w:rsidRDefault="005135D0" w:rsidP="005A0C38">
      <w:pPr>
        <w:pStyle w:val="FootnoteText"/>
        <w:spacing w:after="120"/>
        <w:rPr>
          <w:rFonts w:ascii="Times New Roman" w:hAnsi="Times New Roman"/>
          <w:sz w:val="22"/>
          <w:szCs w:val="22"/>
        </w:rPr>
      </w:pPr>
      <w:r w:rsidRPr="007B2861">
        <w:rPr>
          <w:rStyle w:val="FootnoteReference"/>
          <w:rFonts w:ascii="Times New Roman" w:hAnsi="Times New Roman"/>
          <w:sz w:val="22"/>
          <w:szCs w:val="22"/>
        </w:rPr>
        <w:footnoteRef/>
      </w:r>
      <w:r w:rsidRPr="007B2861">
        <w:rPr>
          <w:rFonts w:ascii="Times New Roman" w:hAnsi="Times New Roman"/>
          <w:sz w:val="22"/>
          <w:szCs w:val="22"/>
        </w:rPr>
        <w:t xml:space="preserve"> </w:t>
      </w:r>
      <w:r w:rsidR="00B92606">
        <w:rPr>
          <w:rFonts w:ascii="Times New Roman" w:hAnsi="Times New Roman"/>
          <w:sz w:val="22"/>
          <w:szCs w:val="22"/>
        </w:rPr>
        <w:t>We acknowledge Northwest Natural’s comments filed on May 23, 2016</w:t>
      </w:r>
      <w:r w:rsidR="00A95634">
        <w:rPr>
          <w:rFonts w:ascii="Times New Roman" w:hAnsi="Times New Roman"/>
          <w:sz w:val="22"/>
          <w:szCs w:val="22"/>
        </w:rPr>
        <w:t>,</w:t>
      </w:r>
      <w:r w:rsidR="00B92606">
        <w:rPr>
          <w:rFonts w:ascii="Times New Roman" w:hAnsi="Times New Roman"/>
          <w:sz w:val="22"/>
          <w:szCs w:val="22"/>
        </w:rPr>
        <w:t xml:space="preserve"> for flexibility in modifying the White Paper approach to consider both gas costs and customer rate effects, including deferrals, when establishing a more tailored approach to a comprehensive hedging program.</w:t>
      </w:r>
    </w:p>
  </w:footnote>
  <w:footnote w:id="33">
    <w:p w14:paraId="0C464ADF" w14:textId="77777777" w:rsidR="00A50D60" w:rsidRPr="007B2861" w:rsidRDefault="00A50D60" w:rsidP="00A50D60">
      <w:pPr>
        <w:pStyle w:val="FootnoteText"/>
        <w:spacing w:after="120"/>
        <w:rPr>
          <w:rFonts w:ascii="Times New Roman" w:hAnsi="Times New Roman"/>
          <w:sz w:val="22"/>
          <w:szCs w:val="22"/>
        </w:rPr>
      </w:pPr>
      <w:r w:rsidRPr="007B2861">
        <w:rPr>
          <w:rStyle w:val="FootnoteReference"/>
          <w:rFonts w:ascii="Times New Roman" w:hAnsi="Times New Roman"/>
          <w:sz w:val="22"/>
          <w:szCs w:val="22"/>
        </w:rPr>
        <w:footnoteRef/>
      </w:r>
      <w:r w:rsidRPr="007B2861">
        <w:rPr>
          <w:rFonts w:ascii="Times New Roman" w:hAnsi="Times New Roman"/>
          <w:sz w:val="22"/>
          <w:szCs w:val="22"/>
        </w:rPr>
        <w:t xml:space="preserve"> The Annual Hedging Plan year will cover the November through October period in agreement with the PGA year.</w:t>
      </w:r>
    </w:p>
  </w:footnote>
  <w:footnote w:id="34">
    <w:p w14:paraId="7FB2F864" w14:textId="3922C360" w:rsidR="00A50D60" w:rsidRPr="007552A2" w:rsidRDefault="00A50D60" w:rsidP="00A50D60">
      <w:pPr>
        <w:pStyle w:val="FootnoteText"/>
        <w:spacing w:after="120"/>
        <w:rPr>
          <w:rFonts w:ascii="Times New Roman" w:hAnsi="Times New Roman"/>
          <w:sz w:val="22"/>
          <w:szCs w:val="22"/>
        </w:rPr>
      </w:pPr>
      <w:r w:rsidRPr="007B2861">
        <w:rPr>
          <w:rStyle w:val="FootnoteReference"/>
          <w:rFonts w:ascii="Times New Roman" w:hAnsi="Times New Roman"/>
          <w:sz w:val="22"/>
          <w:szCs w:val="22"/>
        </w:rPr>
        <w:footnoteRef/>
      </w:r>
      <w:r w:rsidRPr="007B2861">
        <w:rPr>
          <w:rFonts w:ascii="Times New Roman" w:hAnsi="Times New Roman"/>
          <w:sz w:val="22"/>
          <w:szCs w:val="22"/>
        </w:rPr>
        <w:t xml:space="preserve"> </w:t>
      </w:r>
      <w:r w:rsidR="001F1457">
        <w:rPr>
          <w:rFonts w:ascii="Times New Roman" w:hAnsi="Times New Roman"/>
          <w:sz w:val="22"/>
          <w:szCs w:val="22"/>
        </w:rPr>
        <w:t>The Hedging Practices Review Reports filed under the 2012 PGA dockets for each Company provide a risk management best practice gap analysis. These reports may provide helpful guidance on the basic elements of risk responsive hedging practices for Companies to consider in developing their 2017 preliminary hedging plan for submission.</w:t>
      </w:r>
    </w:p>
  </w:footnote>
  <w:footnote w:id="35">
    <w:p w14:paraId="49DC9FD5" w14:textId="64BBEEBD" w:rsidR="005135D0" w:rsidRPr="007B2861" w:rsidRDefault="005135D0" w:rsidP="005A0C38">
      <w:pPr>
        <w:pStyle w:val="FootnoteText"/>
        <w:spacing w:after="120"/>
        <w:rPr>
          <w:rFonts w:ascii="Times New Roman" w:hAnsi="Times New Roman"/>
          <w:sz w:val="22"/>
          <w:szCs w:val="22"/>
        </w:rPr>
      </w:pPr>
      <w:r w:rsidRPr="007B2861">
        <w:rPr>
          <w:rStyle w:val="FootnoteReference"/>
          <w:rFonts w:ascii="Times New Roman" w:hAnsi="Times New Roman"/>
          <w:sz w:val="22"/>
          <w:szCs w:val="22"/>
        </w:rPr>
        <w:footnoteRef/>
      </w:r>
      <w:r w:rsidRPr="007B2861">
        <w:rPr>
          <w:rFonts w:ascii="Times New Roman" w:hAnsi="Times New Roman"/>
          <w:sz w:val="22"/>
          <w:szCs w:val="22"/>
        </w:rPr>
        <w:t xml:space="preserve"> Companies may find that the reporting template on page 34 of the White Paper will be useful in determining how to summarize hedge accumulation data and weekly metrics.</w:t>
      </w:r>
    </w:p>
  </w:footnote>
  <w:footnote w:id="36">
    <w:p w14:paraId="1BEA87E3" w14:textId="53965C6A" w:rsidR="005135D0" w:rsidRPr="007B2861" w:rsidRDefault="005135D0" w:rsidP="005A0C38">
      <w:pPr>
        <w:pStyle w:val="FootnoteText"/>
        <w:spacing w:after="120"/>
        <w:rPr>
          <w:rFonts w:ascii="Times New Roman" w:hAnsi="Times New Roman"/>
          <w:sz w:val="22"/>
          <w:szCs w:val="22"/>
        </w:rPr>
      </w:pPr>
      <w:r w:rsidRPr="007B2861">
        <w:rPr>
          <w:rStyle w:val="FootnoteReference"/>
          <w:rFonts w:ascii="Times New Roman" w:hAnsi="Times New Roman"/>
          <w:sz w:val="22"/>
          <w:szCs w:val="22"/>
        </w:rPr>
        <w:footnoteRef/>
      </w:r>
      <w:r w:rsidRPr="007B2861">
        <w:rPr>
          <w:rFonts w:ascii="Times New Roman" w:hAnsi="Times New Roman"/>
          <w:sz w:val="22"/>
          <w:szCs w:val="22"/>
        </w:rPr>
        <w:t xml:space="preserve"> </w:t>
      </w:r>
      <w:proofErr w:type="spellStart"/>
      <w:r w:rsidRPr="007B2861">
        <w:rPr>
          <w:rFonts w:ascii="Times New Roman" w:hAnsi="Times New Roman"/>
          <w:sz w:val="22"/>
          <w:szCs w:val="22"/>
        </w:rPr>
        <w:t>Gettings</w:t>
      </w:r>
      <w:proofErr w:type="spellEnd"/>
      <w:r w:rsidRPr="007B2861">
        <w:rPr>
          <w:rFonts w:ascii="Times New Roman" w:hAnsi="Times New Roman"/>
          <w:sz w:val="22"/>
          <w:szCs w:val="22"/>
        </w:rPr>
        <w:t xml:space="preserve"> White Paper</w:t>
      </w:r>
      <w:r w:rsidR="009546B7">
        <w:rPr>
          <w:rFonts w:ascii="Times New Roman" w:hAnsi="Times New Roman"/>
          <w:sz w:val="22"/>
          <w:szCs w:val="22"/>
        </w:rPr>
        <w:t xml:space="preserve"> at</w:t>
      </w:r>
      <w:r w:rsidRPr="007B2861">
        <w:rPr>
          <w:rFonts w:ascii="Times New Roman" w:hAnsi="Times New Roman"/>
          <w:sz w:val="22"/>
          <w:szCs w:val="22"/>
        </w:rPr>
        <w:t xml:space="preserve"> 15.</w:t>
      </w:r>
    </w:p>
  </w:footnote>
  <w:footnote w:id="37">
    <w:p w14:paraId="1D91E5A8" w14:textId="3E633C80" w:rsidR="005135D0" w:rsidRPr="005A0C38" w:rsidRDefault="005135D0" w:rsidP="005A0C38">
      <w:pPr>
        <w:pStyle w:val="FootnoteText"/>
        <w:spacing w:after="120"/>
        <w:rPr>
          <w:rFonts w:ascii="Times New Roman" w:hAnsi="Times New Roman"/>
          <w:sz w:val="22"/>
          <w:szCs w:val="22"/>
        </w:rPr>
      </w:pPr>
      <w:r w:rsidRPr="007B2861">
        <w:rPr>
          <w:rStyle w:val="FootnoteReference"/>
          <w:rFonts w:ascii="Times New Roman" w:hAnsi="Times New Roman"/>
          <w:sz w:val="22"/>
          <w:szCs w:val="22"/>
        </w:rPr>
        <w:footnoteRef/>
      </w:r>
      <w:r w:rsidRPr="007B2861">
        <w:rPr>
          <w:rFonts w:ascii="Times New Roman" w:hAnsi="Times New Roman"/>
          <w:sz w:val="22"/>
          <w:szCs w:val="22"/>
        </w:rPr>
        <w:t xml:space="preserve"> </w:t>
      </w:r>
      <w:proofErr w:type="spellStart"/>
      <w:r w:rsidR="004A2711" w:rsidRPr="007B2861">
        <w:rPr>
          <w:rFonts w:ascii="Times New Roman" w:hAnsi="Times New Roman"/>
          <w:i/>
          <w:sz w:val="22"/>
          <w:szCs w:val="22"/>
        </w:rPr>
        <w:t>WUTC</w:t>
      </w:r>
      <w:proofErr w:type="spellEnd"/>
      <w:r w:rsidR="004A2711" w:rsidRPr="007B2861">
        <w:rPr>
          <w:rFonts w:ascii="Times New Roman" w:hAnsi="Times New Roman"/>
          <w:i/>
          <w:sz w:val="22"/>
          <w:szCs w:val="22"/>
        </w:rPr>
        <w:t xml:space="preserve"> v. Puget Sound Power &amp; Light Company,</w:t>
      </w:r>
      <w:r w:rsidR="004A2711" w:rsidRPr="007B2861">
        <w:rPr>
          <w:rFonts w:ascii="Times New Roman" w:hAnsi="Times New Roman"/>
          <w:sz w:val="22"/>
          <w:szCs w:val="22"/>
        </w:rPr>
        <w:t xml:space="preserve"> Cause No. U-83-54, Fourth Supplemental Order at 32 (Sept. 28, 1984)</w:t>
      </w:r>
      <w:r w:rsidRPr="0074035E">
        <w:rPr>
          <w:rFonts w:ascii="Times New Roman" w:hAnsi="Times New Roman"/>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76F55" w14:textId="77777777" w:rsidR="005135D0" w:rsidRPr="00BB01B4" w:rsidRDefault="005135D0" w:rsidP="00BB01B4">
    <w:pPr>
      <w:pStyle w:val="Header"/>
      <w:tabs>
        <w:tab w:val="clear" w:pos="4680"/>
        <w:tab w:val="clear" w:pos="9360"/>
        <w:tab w:val="right" w:pos="8370"/>
      </w:tabs>
      <w:rPr>
        <w:rFonts w:ascii="Times New Roman" w:hAnsi="Times New Roman"/>
        <w:b/>
        <w:noProof/>
        <w:sz w:val="20"/>
        <w:szCs w:val="20"/>
      </w:rPr>
    </w:pPr>
    <w:r>
      <w:rPr>
        <w:rFonts w:ascii="Times New Roman" w:hAnsi="Times New Roman"/>
        <w:b/>
        <w:sz w:val="20"/>
        <w:szCs w:val="20"/>
      </w:rPr>
      <w:t>DOCKET UG-132019</w:t>
    </w:r>
    <w:r w:rsidRPr="00BB01B4">
      <w:rPr>
        <w:rFonts w:ascii="Times New Roman" w:hAnsi="Times New Roman"/>
        <w:b/>
        <w:sz w:val="20"/>
        <w:szCs w:val="20"/>
      </w:rPr>
      <w:tab/>
      <w:t xml:space="preserve">PAGE </w:t>
    </w:r>
    <w:r w:rsidRPr="00BB01B4">
      <w:rPr>
        <w:rFonts w:ascii="Times New Roman" w:hAnsi="Times New Roman"/>
        <w:b/>
        <w:sz w:val="20"/>
        <w:szCs w:val="20"/>
      </w:rPr>
      <w:fldChar w:fldCharType="begin"/>
    </w:r>
    <w:r w:rsidRPr="00BB01B4">
      <w:rPr>
        <w:rFonts w:ascii="Times New Roman" w:hAnsi="Times New Roman"/>
        <w:b/>
        <w:sz w:val="20"/>
        <w:szCs w:val="20"/>
      </w:rPr>
      <w:instrText xml:space="preserve"> PAGE   \* MERGEFORMAT </w:instrText>
    </w:r>
    <w:r w:rsidRPr="00BB01B4">
      <w:rPr>
        <w:rFonts w:ascii="Times New Roman" w:hAnsi="Times New Roman"/>
        <w:b/>
        <w:sz w:val="20"/>
        <w:szCs w:val="20"/>
      </w:rPr>
      <w:fldChar w:fldCharType="separate"/>
    </w:r>
    <w:r w:rsidR="00FB10EF">
      <w:rPr>
        <w:rFonts w:ascii="Times New Roman" w:hAnsi="Times New Roman"/>
        <w:b/>
        <w:noProof/>
        <w:sz w:val="20"/>
        <w:szCs w:val="20"/>
      </w:rPr>
      <w:t>16</w:t>
    </w:r>
    <w:r w:rsidRPr="00BB01B4">
      <w:rPr>
        <w:rFonts w:ascii="Times New Roman" w:hAnsi="Times New Roman"/>
        <w:b/>
        <w:noProof/>
        <w:sz w:val="20"/>
        <w:szCs w:val="20"/>
      </w:rPr>
      <w:fldChar w:fldCharType="end"/>
    </w:r>
  </w:p>
  <w:p w14:paraId="71845834" w14:textId="77777777" w:rsidR="005135D0" w:rsidRPr="00BB01B4" w:rsidRDefault="005135D0" w:rsidP="00BB01B4">
    <w:pPr>
      <w:pStyle w:val="Header"/>
      <w:tabs>
        <w:tab w:val="clear" w:pos="4680"/>
        <w:tab w:val="clear" w:pos="9360"/>
        <w:tab w:val="right" w:pos="8370"/>
      </w:tabs>
      <w:rPr>
        <w:rFonts w:ascii="Times New Roman" w:hAnsi="Times New Roman"/>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9146B5" w14:textId="26ABC0D2" w:rsidR="005135D0" w:rsidRPr="00FB10EF" w:rsidRDefault="005135D0" w:rsidP="008A4CE9">
    <w:pPr>
      <w:pStyle w:val="Header"/>
      <w:tabs>
        <w:tab w:val="clear" w:pos="4680"/>
        <w:tab w:val="clear" w:pos="9360"/>
        <w:tab w:val="right" w:pos="8460"/>
      </w:tabs>
      <w:rPr>
        <w:rFonts w:ascii="Times New Roman" w:hAnsi="Times New Roman"/>
        <w:b/>
        <w:sz w:val="20"/>
        <w:szCs w:val="20"/>
      </w:rPr>
    </w:pPr>
    <w:r w:rsidRPr="00FB10EF">
      <w:rPr>
        <w:rFonts w:ascii="Times New Roman" w:hAnsi="Times New Roman"/>
      </w:rPr>
      <w:tab/>
    </w:r>
    <w:r w:rsidR="00FB10EF" w:rsidRPr="00FB10EF">
      <w:rPr>
        <w:rFonts w:ascii="Times New Roman" w:hAnsi="Times New Roman"/>
      </w:rPr>
      <w:t>Service Date: March 1</w:t>
    </w:r>
    <w:r w:rsidR="00FB10EF">
      <w:rPr>
        <w:rFonts w:ascii="Times New Roman" w:hAnsi="Times New Roman"/>
      </w:rPr>
      <w:t>3</w:t>
    </w:r>
    <w:r w:rsidR="00FB10EF" w:rsidRPr="00FB10EF">
      <w:rPr>
        <w:rFonts w:ascii="Times New Roman" w:hAnsi="Times New Roman"/>
      </w:rPr>
      <w:t>,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C3EB0"/>
    <w:multiLevelType w:val="hybridMultilevel"/>
    <w:tmpl w:val="DD72237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101D33"/>
    <w:multiLevelType w:val="hybridMultilevel"/>
    <w:tmpl w:val="E32469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F30CDD0A">
      <w:start w:val="2"/>
      <w:numFmt w:val="upperRoman"/>
      <w:lvlText w:val="%5&gt;"/>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5C49D6"/>
    <w:multiLevelType w:val="hybridMultilevel"/>
    <w:tmpl w:val="9D6CCA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DA20F73"/>
    <w:multiLevelType w:val="hybridMultilevel"/>
    <w:tmpl w:val="85768EE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EF5C9A"/>
    <w:multiLevelType w:val="hybridMultilevel"/>
    <w:tmpl w:val="83109ED2"/>
    <w:lvl w:ilvl="0" w:tplc="CC8488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634524"/>
    <w:multiLevelType w:val="hybridMultilevel"/>
    <w:tmpl w:val="2138A7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5D6045"/>
    <w:multiLevelType w:val="hybridMultilevel"/>
    <w:tmpl w:val="25E4EDAE"/>
    <w:lvl w:ilvl="0" w:tplc="9E2EBFFE">
      <w:start w:val="1"/>
      <w:numFmt w:val="decimal"/>
      <w:lvlText w:val="%1"/>
      <w:lvlJc w:val="left"/>
      <w:pPr>
        <w:ind w:left="360" w:hanging="360"/>
      </w:pPr>
      <w:rPr>
        <w:rFonts w:hint="default"/>
        <w:b w:val="0"/>
        <w:i/>
        <w:sz w:val="20"/>
        <w:szCs w:val="25"/>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1122A87"/>
    <w:multiLevelType w:val="hybridMultilevel"/>
    <w:tmpl w:val="167009E4"/>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CE5AA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4B902082"/>
    <w:multiLevelType w:val="hybridMultilevel"/>
    <w:tmpl w:val="DFFA060A"/>
    <w:lvl w:ilvl="0" w:tplc="612403C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09F3876"/>
    <w:multiLevelType w:val="hybridMultilevel"/>
    <w:tmpl w:val="24CE559A"/>
    <w:lvl w:ilvl="0" w:tplc="CC6A84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6E17DD"/>
    <w:multiLevelType w:val="hybridMultilevel"/>
    <w:tmpl w:val="6840F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6E15FB"/>
    <w:multiLevelType w:val="hybridMultilevel"/>
    <w:tmpl w:val="D6144CB0"/>
    <w:lvl w:ilvl="0" w:tplc="9E2EBFFE">
      <w:start w:val="1"/>
      <w:numFmt w:val="decimal"/>
      <w:lvlText w:val="%1"/>
      <w:lvlJc w:val="left"/>
      <w:pPr>
        <w:ind w:left="720" w:hanging="360"/>
      </w:pPr>
      <w:rPr>
        <w:rFonts w:hint="default"/>
        <w:b w:val="0"/>
        <w:i/>
        <w:sz w:val="20"/>
        <w:szCs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71234B"/>
    <w:multiLevelType w:val="hybridMultilevel"/>
    <w:tmpl w:val="72EA1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565DC9"/>
    <w:multiLevelType w:val="hybridMultilevel"/>
    <w:tmpl w:val="A626B0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C20682"/>
    <w:multiLevelType w:val="hybridMultilevel"/>
    <w:tmpl w:val="4704FA1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44728D3"/>
    <w:multiLevelType w:val="hybridMultilevel"/>
    <w:tmpl w:val="D44605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4D4053"/>
    <w:multiLevelType w:val="hybridMultilevel"/>
    <w:tmpl w:val="B7BAD8F2"/>
    <w:lvl w:ilvl="0" w:tplc="A46675D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90E6492"/>
    <w:multiLevelType w:val="hybridMultilevel"/>
    <w:tmpl w:val="6F5C80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1319CB"/>
    <w:multiLevelType w:val="hybridMultilevel"/>
    <w:tmpl w:val="9BAE11E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0"/>
  </w:num>
  <w:num w:numId="3">
    <w:abstractNumId w:val="9"/>
  </w:num>
  <w:num w:numId="4">
    <w:abstractNumId w:val="3"/>
  </w:num>
  <w:num w:numId="5">
    <w:abstractNumId w:val="13"/>
  </w:num>
  <w:num w:numId="6">
    <w:abstractNumId w:val="2"/>
  </w:num>
  <w:num w:numId="7">
    <w:abstractNumId w:val="18"/>
  </w:num>
  <w:num w:numId="8">
    <w:abstractNumId w:val="1"/>
  </w:num>
  <w:num w:numId="9">
    <w:abstractNumId w:val="14"/>
  </w:num>
  <w:num w:numId="10">
    <w:abstractNumId w:val="10"/>
  </w:num>
  <w:num w:numId="11">
    <w:abstractNumId w:val="16"/>
  </w:num>
  <w:num w:numId="12">
    <w:abstractNumId w:val="5"/>
  </w:num>
  <w:num w:numId="13">
    <w:abstractNumId w:val="19"/>
  </w:num>
  <w:num w:numId="14">
    <w:abstractNumId w:val="15"/>
  </w:num>
  <w:num w:numId="15">
    <w:abstractNumId w:val="4"/>
  </w:num>
  <w:num w:numId="16">
    <w:abstractNumId w:val="7"/>
  </w:num>
  <w:num w:numId="17">
    <w:abstractNumId w:val="11"/>
  </w:num>
  <w:num w:numId="18">
    <w:abstractNumId w:val="12"/>
  </w:num>
  <w:num w:numId="19">
    <w:abstractNumId w:val="8"/>
  </w:num>
  <w:num w:numId="20">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DateAndTime/>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7D4"/>
    <w:rsid w:val="00001C00"/>
    <w:rsid w:val="000031E4"/>
    <w:rsid w:val="00003F35"/>
    <w:rsid w:val="00004485"/>
    <w:rsid w:val="000046F7"/>
    <w:rsid w:val="000070AC"/>
    <w:rsid w:val="000079C5"/>
    <w:rsid w:val="00007D2E"/>
    <w:rsid w:val="000103B5"/>
    <w:rsid w:val="0001127D"/>
    <w:rsid w:val="00014516"/>
    <w:rsid w:val="00014C0C"/>
    <w:rsid w:val="000157F4"/>
    <w:rsid w:val="00016C8C"/>
    <w:rsid w:val="00017F04"/>
    <w:rsid w:val="00020B98"/>
    <w:rsid w:val="00020CD6"/>
    <w:rsid w:val="0002222B"/>
    <w:rsid w:val="0002306E"/>
    <w:rsid w:val="00023518"/>
    <w:rsid w:val="00024545"/>
    <w:rsid w:val="00025006"/>
    <w:rsid w:val="000255DB"/>
    <w:rsid w:val="0003119A"/>
    <w:rsid w:val="00032E11"/>
    <w:rsid w:val="00034790"/>
    <w:rsid w:val="00034BB9"/>
    <w:rsid w:val="0003527F"/>
    <w:rsid w:val="0003694F"/>
    <w:rsid w:val="00036FA9"/>
    <w:rsid w:val="00037295"/>
    <w:rsid w:val="00037311"/>
    <w:rsid w:val="00040787"/>
    <w:rsid w:val="00040908"/>
    <w:rsid w:val="00042617"/>
    <w:rsid w:val="00043EE1"/>
    <w:rsid w:val="0004587D"/>
    <w:rsid w:val="000463E4"/>
    <w:rsid w:val="000467E8"/>
    <w:rsid w:val="00047781"/>
    <w:rsid w:val="00047F46"/>
    <w:rsid w:val="0005148A"/>
    <w:rsid w:val="00051696"/>
    <w:rsid w:val="00051745"/>
    <w:rsid w:val="00052CD2"/>
    <w:rsid w:val="0005502B"/>
    <w:rsid w:val="000567FD"/>
    <w:rsid w:val="000579F2"/>
    <w:rsid w:val="00061487"/>
    <w:rsid w:val="000618EC"/>
    <w:rsid w:val="0006192D"/>
    <w:rsid w:val="0006790D"/>
    <w:rsid w:val="00072D70"/>
    <w:rsid w:val="00074B40"/>
    <w:rsid w:val="000750D1"/>
    <w:rsid w:val="000754A7"/>
    <w:rsid w:val="00077AFA"/>
    <w:rsid w:val="00081FE6"/>
    <w:rsid w:val="00082772"/>
    <w:rsid w:val="00083E9C"/>
    <w:rsid w:val="00086440"/>
    <w:rsid w:val="00090087"/>
    <w:rsid w:val="00090546"/>
    <w:rsid w:val="000905C1"/>
    <w:rsid w:val="00091597"/>
    <w:rsid w:val="00097D6D"/>
    <w:rsid w:val="000A0C33"/>
    <w:rsid w:val="000A267C"/>
    <w:rsid w:val="000A3156"/>
    <w:rsid w:val="000A4236"/>
    <w:rsid w:val="000A4847"/>
    <w:rsid w:val="000A668B"/>
    <w:rsid w:val="000A6B4C"/>
    <w:rsid w:val="000A6D02"/>
    <w:rsid w:val="000B29C7"/>
    <w:rsid w:val="000B4C44"/>
    <w:rsid w:val="000B5271"/>
    <w:rsid w:val="000B6357"/>
    <w:rsid w:val="000B67F5"/>
    <w:rsid w:val="000C0064"/>
    <w:rsid w:val="000C694D"/>
    <w:rsid w:val="000C7E93"/>
    <w:rsid w:val="000D5BC7"/>
    <w:rsid w:val="000D60E7"/>
    <w:rsid w:val="000E1E72"/>
    <w:rsid w:val="000E1E94"/>
    <w:rsid w:val="000E28CF"/>
    <w:rsid w:val="000E3198"/>
    <w:rsid w:val="000E4B85"/>
    <w:rsid w:val="000E5761"/>
    <w:rsid w:val="000E640C"/>
    <w:rsid w:val="000E7684"/>
    <w:rsid w:val="000E7901"/>
    <w:rsid w:val="000E7B22"/>
    <w:rsid w:val="000E7E67"/>
    <w:rsid w:val="000F0EC3"/>
    <w:rsid w:val="000F406E"/>
    <w:rsid w:val="000F6827"/>
    <w:rsid w:val="001046C5"/>
    <w:rsid w:val="0010601D"/>
    <w:rsid w:val="001104B6"/>
    <w:rsid w:val="00110F6F"/>
    <w:rsid w:val="00111371"/>
    <w:rsid w:val="00111574"/>
    <w:rsid w:val="00113B7B"/>
    <w:rsid w:val="00114C39"/>
    <w:rsid w:val="00120959"/>
    <w:rsid w:val="00127657"/>
    <w:rsid w:val="00127B4F"/>
    <w:rsid w:val="00127EE5"/>
    <w:rsid w:val="001301D3"/>
    <w:rsid w:val="00134A91"/>
    <w:rsid w:val="00136641"/>
    <w:rsid w:val="00142829"/>
    <w:rsid w:val="0015033B"/>
    <w:rsid w:val="0015088E"/>
    <w:rsid w:val="0015363C"/>
    <w:rsid w:val="00153A30"/>
    <w:rsid w:val="00155CB8"/>
    <w:rsid w:val="0015752F"/>
    <w:rsid w:val="00160161"/>
    <w:rsid w:val="00163479"/>
    <w:rsid w:val="001648E4"/>
    <w:rsid w:val="00166248"/>
    <w:rsid w:val="00166CA4"/>
    <w:rsid w:val="00167B5B"/>
    <w:rsid w:val="00167D6D"/>
    <w:rsid w:val="0017035C"/>
    <w:rsid w:val="00170E9A"/>
    <w:rsid w:val="00172035"/>
    <w:rsid w:val="0017318E"/>
    <w:rsid w:val="00174505"/>
    <w:rsid w:val="00174FDC"/>
    <w:rsid w:val="00175B86"/>
    <w:rsid w:val="001778F6"/>
    <w:rsid w:val="001809AE"/>
    <w:rsid w:val="00180F92"/>
    <w:rsid w:val="00181470"/>
    <w:rsid w:val="001817C1"/>
    <w:rsid w:val="0018478D"/>
    <w:rsid w:val="00184E08"/>
    <w:rsid w:val="00186141"/>
    <w:rsid w:val="001870F2"/>
    <w:rsid w:val="00187AB9"/>
    <w:rsid w:val="0019185B"/>
    <w:rsid w:val="0019218A"/>
    <w:rsid w:val="00192B8A"/>
    <w:rsid w:val="00193221"/>
    <w:rsid w:val="001973D6"/>
    <w:rsid w:val="001A107F"/>
    <w:rsid w:val="001A2A40"/>
    <w:rsid w:val="001A33CF"/>
    <w:rsid w:val="001A4188"/>
    <w:rsid w:val="001A4CC2"/>
    <w:rsid w:val="001A4D7F"/>
    <w:rsid w:val="001A58B3"/>
    <w:rsid w:val="001B1D66"/>
    <w:rsid w:val="001B4530"/>
    <w:rsid w:val="001B5353"/>
    <w:rsid w:val="001B57CC"/>
    <w:rsid w:val="001C1063"/>
    <w:rsid w:val="001C1689"/>
    <w:rsid w:val="001C1735"/>
    <w:rsid w:val="001C5009"/>
    <w:rsid w:val="001C5AB1"/>
    <w:rsid w:val="001C5FE4"/>
    <w:rsid w:val="001C6595"/>
    <w:rsid w:val="001C6617"/>
    <w:rsid w:val="001D2B01"/>
    <w:rsid w:val="001D3527"/>
    <w:rsid w:val="001D3EEB"/>
    <w:rsid w:val="001D3F43"/>
    <w:rsid w:val="001D42C8"/>
    <w:rsid w:val="001D49F7"/>
    <w:rsid w:val="001D50B9"/>
    <w:rsid w:val="001D5116"/>
    <w:rsid w:val="001D5A94"/>
    <w:rsid w:val="001D6600"/>
    <w:rsid w:val="001D6DA9"/>
    <w:rsid w:val="001E02A3"/>
    <w:rsid w:val="001E10C7"/>
    <w:rsid w:val="001E1525"/>
    <w:rsid w:val="001E1541"/>
    <w:rsid w:val="001E1975"/>
    <w:rsid w:val="001E1D7A"/>
    <w:rsid w:val="001E22F7"/>
    <w:rsid w:val="001E49EF"/>
    <w:rsid w:val="001E54BA"/>
    <w:rsid w:val="001E6187"/>
    <w:rsid w:val="001E64DE"/>
    <w:rsid w:val="001E7C7A"/>
    <w:rsid w:val="001F1457"/>
    <w:rsid w:val="001F1DD4"/>
    <w:rsid w:val="001F3AA7"/>
    <w:rsid w:val="001F4666"/>
    <w:rsid w:val="001F710F"/>
    <w:rsid w:val="001F73F3"/>
    <w:rsid w:val="002008AE"/>
    <w:rsid w:val="00200A59"/>
    <w:rsid w:val="0020178A"/>
    <w:rsid w:val="0020387F"/>
    <w:rsid w:val="00204552"/>
    <w:rsid w:val="00204FD6"/>
    <w:rsid w:val="002065FB"/>
    <w:rsid w:val="00210055"/>
    <w:rsid w:val="002117A5"/>
    <w:rsid w:val="00214158"/>
    <w:rsid w:val="0021657B"/>
    <w:rsid w:val="002176A9"/>
    <w:rsid w:val="002229E8"/>
    <w:rsid w:val="002235AA"/>
    <w:rsid w:val="00224F9F"/>
    <w:rsid w:val="00225FB0"/>
    <w:rsid w:val="002270FB"/>
    <w:rsid w:val="0022750C"/>
    <w:rsid w:val="0023028B"/>
    <w:rsid w:val="0023205C"/>
    <w:rsid w:val="0023402F"/>
    <w:rsid w:val="00236B2C"/>
    <w:rsid w:val="00236EBC"/>
    <w:rsid w:val="00236F61"/>
    <w:rsid w:val="00243DC5"/>
    <w:rsid w:val="002467DD"/>
    <w:rsid w:val="00250B2A"/>
    <w:rsid w:val="00250CD9"/>
    <w:rsid w:val="00250CE1"/>
    <w:rsid w:val="002520A8"/>
    <w:rsid w:val="002542E9"/>
    <w:rsid w:val="002549E1"/>
    <w:rsid w:val="00254EEB"/>
    <w:rsid w:val="00255796"/>
    <w:rsid w:val="00255E84"/>
    <w:rsid w:val="0025657B"/>
    <w:rsid w:val="0025741A"/>
    <w:rsid w:val="00260D2E"/>
    <w:rsid w:val="00261067"/>
    <w:rsid w:val="002622E2"/>
    <w:rsid w:val="00263AAD"/>
    <w:rsid w:val="00265489"/>
    <w:rsid w:val="002656AA"/>
    <w:rsid w:val="0026734E"/>
    <w:rsid w:val="00270127"/>
    <w:rsid w:val="00275CBF"/>
    <w:rsid w:val="00277BB9"/>
    <w:rsid w:val="00281004"/>
    <w:rsid w:val="002816A5"/>
    <w:rsid w:val="002824A9"/>
    <w:rsid w:val="002831FD"/>
    <w:rsid w:val="0028663D"/>
    <w:rsid w:val="00286E91"/>
    <w:rsid w:val="00290CE1"/>
    <w:rsid w:val="00291736"/>
    <w:rsid w:val="002943FC"/>
    <w:rsid w:val="00294E32"/>
    <w:rsid w:val="002965CC"/>
    <w:rsid w:val="002A00A3"/>
    <w:rsid w:val="002A00FD"/>
    <w:rsid w:val="002A0FD8"/>
    <w:rsid w:val="002A11E9"/>
    <w:rsid w:val="002A1DE9"/>
    <w:rsid w:val="002A24E0"/>
    <w:rsid w:val="002A281E"/>
    <w:rsid w:val="002A3821"/>
    <w:rsid w:val="002A625F"/>
    <w:rsid w:val="002A694A"/>
    <w:rsid w:val="002B00BC"/>
    <w:rsid w:val="002B0441"/>
    <w:rsid w:val="002B3903"/>
    <w:rsid w:val="002B4394"/>
    <w:rsid w:val="002B5097"/>
    <w:rsid w:val="002B53F2"/>
    <w:rsid w:val="002B5823"/>
    <w:rsid w:val="002B7526"/>
    <w:rsid w:val="002B7F0C"/>
    <w:rsid w:val="002C039A"/>
    <w:rsid w:val="002C06FD"/>
    <w:rsid w:val="002C0CCB"/>
    <w:rsid w:val="002C1F96"/>
    <w:rsid w:val="002C20C9"/>
    <w:rsid w:val="002C361B"/>
    <w:rsid w:val="002C3DD9"/>
    <w:rsid w:val="002C3E48"/>
    <w:rsid w:val="002C4B2C"/>
    <w:rsid w:val="002C5411"/>
    <w:rsid w:val="002C6336"/>
    <w:rsid w:val="002C6775"/>
    <w:rsid w:val="002C682C"/>
    <w:rsid w:val="002C6F25"/>
    <w:rsid w:val="002C71A2"/>
    <w:rsid w:val="002C762E"/>
    <w:rsid w:val="002C7896"/>
    <w:rsid w:val="002D0842"/>
    <w:rsid w:val="002D1C21"/>
    <w:rsid w:val="002D23DE"/>
    <w:rsid w:val="002D415F"/>
    <w:rsid w:val="002D4F6E"/>
    <w:rsid w:val="002D592D"/>
    <w:rsid w:val="002D5E0B"/>
    <w:rsid w:val="002D6D1B"/>
    <w:rsid w:val="002D78CD"/>
    <w:rsid w:val="002E1A6E"/>
    <w:rsid w:val="002E1ED6"/>
    <w:rsid w:val="002E2ECA"/>
    <w:rsid w:val="002E42DA"/>
    <w:rsid w:val="002F2470"/>
    <w:rsid w:val="002F2650"/>
    <w:rsid w:val="002F2CE9"/>
    <w:rsid w:val="002F472C"/>
    <w:rsid w:val="002F578C"/>
    <w:rsid w:val="002F5A3A"/>
    <w:rsid w:val="002F7DF6"/>
    <w:rsid w:val="0030070C"/>
    <w:rsid w:val="00303C63"/>
    <w:rsid w:val="00304259"/>
    <w:rsid w:val="00304AC1"/>
    <w:rsid w:val="0030523E"/>
    <w:rsid w:val="00307496"/>
    <w:rsid w:val="00310840"/>
    <w:rsid w:val="00310D68"/>
    <w:rsid w:val="00315668"/>
    <w:rsid w:val="00316272"/>
    <w:rsid w:val="00316ED6"/>
    <w:rsid w:val="003172C1"/>
    <w:rsid w:val="003215F2"/>
    <w:rsid w:val="00323106"/>
    <w:rsid w:val="003235DC"/>
    <w:rsid w:val="00324363"/>
    <w:rsid w:val="00324590"/>
    <w:rsid w:val="00325E53"/>
    <w:rsid w:val="00327BD1"/>
    <w:rsid w:val="00327F05"/>
    <w:rsid w:val="00330ACF"/>
    <w:rsid w:val="003311A4"/>
    <w:rsid w:val="003317C4"/>
    <w:rsid w:val="00334581"/>
    <w:rsid w:val="00335C13"/>
    <w:rsid w:val="003362F6"/>
    <w:rsid w:val="00336C81"/>
    <w:rsid w:val="00341534"/>
    <w:rsid w:val="00343973"/>
    <w:rsid w:val="00344E67"/>
    <w:rsid w:val="00346634"/>
    <w:rsid w:val="003467CC"/>
    <w:rsid w:val="003476EA"/>
    <w:rsid w:val="003479A3"/>
    <w:rsid w:val="00347B09"/>
    <w:rsid w:val="003502D0"/>
    <w:rsid w:val="00353ADF"/>
    <w:rsid w:val="003546DE"/>
    <w:rsid w:val="00354775"/>
    <w:rsid w:val="003547E8"/>
    <w:rsid w:val="00354A53"/>
    <w:rsid w:val="0035550B"/>
    <w:rsid w:val="0036013B"/>
    <w:rsid w:val="00366212"/>
    <w:rsid w:val="00370361"/>
    <w:rsid w:val="00373928"/>
    <w:rsid w:val="003741FC"/>
    <w:rsid w:val="00377365"/>
    <w:rsid w:val="00377841"/>
    <w:rsid w:val="00380C9E"/>
    <w:rsid w:val="00381B73"/>
    <w:rsid w:val="003875ED"/>
    <w:rsid w:val="00387B73"/>
    <w:rsid w:val="00390D62"/>
    <w:rsid w:val="0039193E"/>
    <w:rsid w:val="00392FCA"/>
    <w:rsid w:val="003930CF"/>
    <w:rsid w:val="003942E2"/>
    <w:rsid w:val="00394827"/>
    <w:rsid w:val="003948DA"/>
    <w:rsid w:val="00394AD5"/>
    <w:rsid w:val="003970FD"/>
    <w:rsid w:val="003A08F6"/>
    <w:rsid w:val="003A13FE"/>
    <w:rsid w:val="003A5748"/>
    <w:rsid w:val="003A70FE"/>
    <w:rsid w:val="003A778B"/>
    <w:rsid w:val="003A7FD4"/>
    <w:rsid w:val="003B0643"/>
    <w:rsid w:val="003B0C48"/>
    <w:rsid w:val="003B5FB9"/>
    <w:rsid w:val="003B698A"/>
    <w:rsid w:val="003B763C"/>
    <w:rsid w:val="003C0E21"/>
    <w:rsid w:val="003C1A0B"/>
    <w:rsid w:val="003C2029"/>
    <w:rsid w:val="003C4A47"/>
    <w:rsid w:val="003C4E4E"/>
    <w:rsid w:val="003C7006"/>
    <w:rsid w:val="003D1E0B"/>
    <w:rsid w:val="003D1E87"/>
    <w:rsid w:val="003D2ECF"/>
    <w:rsid w:val="003D79A6"/>
    <w:rsid w:val="003E069B"/>
    <w:rsid w:val="003E4433"/>
    <w:rsid w:val="003E6695"/>
    <w:rsid w:val="003E7F9F"/>
    <w:rsid w:val="003F1CD3"/>
    <w:rsid w:val="003F1DBF"/>
    <w:rsid w:val="003F3B88"/>
    <w:rsid w:val="003F48A3"/>
    <w:rsid w:val="003F4A45"/>
    <w:rsid w:val="003F5C84"/>
    <w:rsid w:val="003F73CD"/>
    <w:rsid w:val="00401219"/>
    <w:rsid w:val="00401E21"/>
    <w:rsid w:val="004044D3"/>
    <w:rsid w:val="00406142"/>
    <w:rsid w:val="004064C6"/>
    <w:rsid w:val="00406956"/>
    <w:rsid w:val="004076C9"/>
    <w:rsid w:val="00412ABD"/>
    <w:rsid w:val="00413B94"/>
    <w:rsid w:val="00414B8A"/>
    <w:rsid w:val="00415865"/>
    <w:rsid w:val="00416FEC"/>
    <w:rsid w:val="00422394"/>
    <w:rsid w:val="0042357D"/>
    <w:rsid w:val="004273B0"/>
    <w:rsid w:val="00430588"/>
    <w:rsid w:val="00431FE5"/>
    <w:rsid w:val="00432D12"/>
    <w:rsid w:val="00433B25"/>
    <w:rsid w:val="004421C9"/>
    <w:rsid w:val="0044315F"/>
    <w:rsid w:val="00444B9C"/>
    <w:rsid w:val="004452BB"/>
    <w:rsid w:val="00445C7D"/>
    <w:rsid w:val="0044716D"/>
    <w:rsid w:val="00447C53"/>
    <w:rsid w:val="00450048"/>
    <w:rsid w:val="004528F5"/>
    <w:rsid w:val="00452FE6"/>
    <w:rsid w:val="0045783F"/>
    <w:rsid w:val="00462687"/>
    <w:rsid w:val="004649D8"/>
    <w:rsid w:val="00466F97"/>
    <w:rsid w:val="00470F47"/>
    <w:rsid w:val="00471B4C"/>
    <w:rsid w:val="00472571"/>
    <w:rsid w:val="00473EA5"/>
    <w:rsid w:val="00475463"/>
    <w:rsid w:val="00475BA3"/>
    <w:rsid w:val="00476E33"/>
    <w:rsid w:val="00477D69"/>
    <w:rsid w:val="004815BB"/>
    <w:rsid w:val="00487718"/>
    <w:rsid w:val="00487E86"/>
    <w:rsid w:val="0049150E"/>
    <w:rsid w:val="00493861"/>
    <w:rsid w:val="004940B6"/>
    <w:rsid w:val="004940D9"/>
    <w:rsid w:val="00495586"/>
    <w:rsid w:val="00495A6C"/>
    <w:rsid w:val="00495EDC"/>
    <w:rsid w:val="004A01DF"/>
    <w:rsid w:val="004A2097"/>
    <w:rsid w:val="004A2711"/>
    <w:rsid w:val="004A2BA3"/>
    <w:rsid w:val="004A2ED2"/>
    <w:rsid w:val="004B1B37"/>
    <w:rsid w:val="004B5E25"/>
    <w:rsid w:val="004B6DC1"/>
    <w:rsid w:val="004B74BF"/>
    <w:rsid w:val="004B7C72"/>
    <w:rsid w:val="004C165D"/>
    <w:rsid w:val="004C17DB"/>
    <w:rsid w:val="004C52CE"/>
    <w:rsid w:val="004C52E0"/>
    <w:rsid w:val="004C5BDE"/>
    <w:rsid w:val="004C79D5"/>
    <w:rsid w:val="004C7C32"/>
    <w:rsid w:val="004D060E"/>
    <w:rsid w:val="004D0EEA"/>
    <w:rsid w:val="004D1D98"/>
    <w:rsid w:val="004D313B"/>
    <w:rsid w:val="004D51D8"/>
    <w:rsid w:val="004D703E"/>
    <w:rsid w:val="004E025D"/>
    <w:rsid w:val="004E0F0F"/>
    <w:rsid w:val="004E1C86"/>
    <w:rsid w:val="004E22D1"/>
    <w:rsid w:val="004E323E"/>
    <w:rsid w:val="004E669C"/>
    <w:rsid w:val="004F078E"/>
    <w:rsid w:val="00502E5B"/>
    <w:rsid w:val="00503DDD"/>
    <w:rsid w:val="00511A0C"/>
    <w:rsid w:val="005135D0"/>
    <w:rsid w:val="00513DEF"/>
    <w:rsid w:val="005143C5"/>
    <w:rsid w:val="005165E7"/>
    <w:rsid w:val="00522691"/>
    <w:rsid w:val="00522A69"/>
    <w:rsid w:val="00523E3A"/>
    <w:rsid w:val="0052419A"/>
    <w:rsid w:val="0052581B"/>
    <w:rsid w:val="00526E1A"/>
    <w:rsid w:val="0052722B"/>
    <w:rsid w:val="0052751E"/>
    <w:rsid w:val="00531FB9"/>
    <w:rsid w:val="00540E11"/>
    <w:rsid w:val="00540EB0"/>
    <w:rsid w:val="00541521"/>
    <w:rsid w:val="00541E24"/>
    <w:rsid w:val="005437F9"/>
    <w:rsid w:val="00551631"/>
    <w:rsid w:val="00552600"/>
    <w:rsid w:val="00553939"/>
    <w:rsid w:val="005540D2"/>
    <w:rsid w:val="00556A64"/>
    <w:rsid w:val="00556B54"/>
    <w:rsid w:val="00557D47"/>
    <w:rsid w:val="005603EA"/>
    <w:rsid w:val="0056106B"/>
    <w:rsid w:val="005623B0"/>
    <w:rsid w:val="00562564"/>
    <w:rsid w:val="00566249"/>
    <w:rsid w:val="00567285"/>
    <w:rsid w:val="00567594"/>
    <w:rsid w:val="00570021"/>
    <w:rsid w:val="00571211"/>
    <w:rsid w:val="0057133C"/>
    <w:rsid w:val="00571388"/>
    <w:rsid w:val="00571E68"/>
    <w:rsid w:val="0057285B"/>
    <w:rsid w:val="00573FC2"/>
    <w:rsid w:val="00575CFC"/>
    <w:rsid w:val="0058016C"/>
    <w:rsid w:val="0058037A"/>
    <w:rsid w:val="00581873"/>
    <w:rsid w:val="00581CDC"/>
    <w:rsid w:val="00583707"/>
    <w:rsid w:val="00583DB8"/>
    <w:rsid w:val="00583E27"/>
    <w:rsid w:val="00586E2B"/>
    <w:rsid w:val="00587860"/>
    <w:rsid w:val="005909B2"/>
    <w:rsid w:val="0059217F"/>
    <w:rsid w:val="00593627"/>
    <w:rsid w:val="00595D58"/>
    <w:rsid w:val="005A0C38"/>
    <w:rsid w:val="005A0DCD"/>
    <w:rsid w:val="005A2D87"/>
    <w:rsid w:val="005A31EA"/>
    <w:rsid w:val="005A5C7E"/>
    <w:rsid w:val="005A6790"/>
    <w:rsid w:val="005A6C74"/>
    <w:rsid w:val="005B07F1"/>
    <w:rsid w:val="005B1A2E"/>
    <w:rsid w:val="005B203C"/>
    <w:rsid w:val="005B3AB7"/>
    <w:rsid w:val="005B5D31"/>
    <w:rsid w:val="005B6B26"/>
    <w:rsid w:val="005C1CF9"/>
    <w:rsid w:val="005C2101"/>
    <w:rsid w:val="005C27D9"/>
    <w:rsid w:val="005C2C4A"/>
    <w:rsid w:val="005C3A35"/>
    <w:rsid w:val="005C3C07"/>
    <w:rsid w:val="005C5444"/>
    <w:rsid w:val="005C6441"/>
    <w:rsid w:val="005C6857"/>
    <w:rsid w:val="005C7192"/>
    <w:rsid w:val="005D00E4"/>
    <w:rsid w:val="005D0E5C"/>
    <w:rsid w:val="005D34DE"/>
    <w:rsid w:val="005D3544"/>
    <w:rsid w:val="005D52A5"/>
    <w:rsid w:val="005D672E"/>
    <w:rsid w:val="005E23DC"/>
    <w:rsid w:val="005E617D"/>
    <w:rsid w:val="005E6290"/>
    <w:rsid w:val="005E635C"/>
    <w:rsid w:val="005F06D3"/>
    <w:rsid w:val="005F26B7"/>
    <w:rsid w:val="005F289C"/>
    <w:rsid w:val="005F354D"/>
    <w:rsid w:val="005F36D9"/>
    <w:rsid w:val="005F49B4"/>
    <w:rsid w:val="005F52B9"/>
    <w:rsid w:val="005F6545"/>
    <w:rsid w:val="005F774C"/>
    <w:rsid w:val="005F7FE2"/>
    <w:rsid w:val="0060111A"/>
    <w:rsid w:val="00601374"/>
    <w:rsid w:val="00601867"/>
    <w:rsid w:val="006018DA"/>
    <w:rsid w:val="006046BC"/>
    <w:rsid w:val="00604F19"/>
    <w:rsid w:val="00605470"/>
    <w:rsid w:val="00605EF6"/>
    <w:rsid w:val="006074AB"/>
    <w:rsid w:val="00610A81"/>
    <w:rsid w:val="006122C8"/>
    <w:rsid w:val="00613558"/>
    <w:rsid w:val="0061430E"/>
    <w:rsid w:val="0061490E"/>
    <w:rsid w:val="006154FF"/>
    <w:rsid w:val="00615983"/>
    <w:rsid w:val="00615FE3"/>
    <w:rsid w:val="00616A1E"/>
    <w:rsid w:val="00617759"/>
    <w:rsid w:val="00620507"/>
    <w:rsid w:val="00620FFD"/>
    <w:rsid w:val="006213EC"/>
    <w:rsid w:val="006236A9"/>
    <w:rsid w:val="00626539"/>
    <w:rsid w:val="0063042E"/>
    <w:rsid w:val="00630D50"/>
    <w:rsid w:val="00632952"/>
    <w:rsid w:val="00633B52"/>
    <w:rsid w:val="00633FBD"/>
    <w:rsid w:val="00634E5D"/>
    <w:rsid w:val="006350C3"/>
    <w:rsid w:val="00635BA9"/>
    <w:rsid w:val="00640831"/>
    <w:rsid w:val="0064379D"/>
    <w:rsid w:val="00644C69"/>
    <w:rsid w:val="00644FF2"/>
    <w:rsid w:val="00645814"/>
    <w:rsid w:val="00647533"/>
    <w:rsid w:val="00647C74"/>
    <w:rsid w:val="00650553"/>
    <w:rsid w:val="00651066"/>
    <w:rsid w:val="006521DA"/>
    <w:rsid w:val="0065302F"/>
    <w:rsid w:val="00654896"/>
    <w:rsid w:val="006554A7"/>
    <w:rsid w:val="00656562"/>
    <w:rsid w:val="006574D6"/>
    <w:rsid w:val="006608B2"/>
    <w:rsid w:val="00660B43"/>
    <w:rsid w:val="00661174"/>
    <w:rsid w:val="006621D9"/>
    <w:rsid w:val="0066275C"/>
    <w:rsid w:val="006627B9"/>
    <w:rsid w:val="00662AE2"/>
    <w:rsid w:val="00664402"/>
    <w:rsid w:val="00664A84"/>
    <w:rsid w:val="006650AB"/>
    <w:rsid w:val="00666862"/>
    <w:rsid w:val="006671C2"/>
    <w:rsid w:val="00667A53"/>
    <w:rsid w:val="00667A82"/>
    <w:rsid w:val="00671519"/>
    <w:rsid w:val="00672973"/>
    <w:rsid w:val="00672F65"/>
    <w:rsid w:val="00672F7B"/>
    <w:rsid w:val="00676232"/>
    <w:rsid w:val="006775F9"/>
    <w:rsid w:val="00680F2B"/>
    <w:rsid w:val="0068182E"/>
    <w:rsid w:val="00682AAD"/>
    <w:rsid w:val="00683D50"/>
    <w:rsid w:val="00684874"/>
    <w:rsid w:val="00684B9B"/>
    <w:rsid w:val="00685865"/>
    <w:rsid w:val="006861B3"/>
    <w:rsid w:val="00690131"/>
    <w:rsid w:val="00690D8D"/>
    <w:rsid w:val="00690F79"/>
    <w:rsid w:val="0069153E"/>
    <w:rsid w:val="00693442"/>
    <w:rsid w:val="006938E6"/>
    <w:rsid w:val="00694352"/>
    <w:rsid w:val="0069499D"/>
    <w:rsid w:val="00695EE4"/>
    <w:rsid w:val="006A0BF9"/>
    <w:rsid w:val="006A1890"/>
    <w:rsid w:val="006A41EE"/>
    <w:rsid w:val="006A66B9"/>
    <w:rsid w:val="006B1FC4"/>
    <w:rsid w:val="006B239D"/>
    <w:rsid w:val="006B3362"/>
    <w:rsid w:val="006B49C7"/>
    <w:rsid w:val="006B554F"/>
    <w:rsid w:val="006B67E6"/>
    <w:rsid w:val="006B6912"/>
    <w:rsid w:val="006C373B"/>
    <w:rsid w:val="006C419C"/>
    <w:rsid w:val="006C4CED"/>
    <w:rsid w:val="006C58BA"/>
    <w:rsid w:val="006C58D5"/>
    <w:rsid w:val="006C59AF"/>
    <w:rsid w:val="006C77D5"/>
    <w:rsid w:val="006D23B7"/>
    <w:rsid w:val="006D3EC1"/>
    <w:rsid w:val="006D4FB6"/>
    <w:rsid w:val="006D5BC3"/>
    <w:rsid w:val="006D6170"/>
    <w:rsid w:val="006D6DA6"/>
    <w:rsid w:val="006D7545"/>
    <w:rsid w:val="006E0293"/>
    <w:rsid w:val="006E3F8D"/>
    <w:rsid w:val="006E5B98"/>
    <w:rsid w:val="006E73C7"/>
    <w:rsid w:val="006F00CE"/>
    <w:rsid w:val="006F17AA"/>
    <w:rsid w:val="006F469D"/>
    <w:rsid w:val="007000F1"/>
    <w:rsid w:val="007018A0"/>
    <w:rsid w:val="007038D8"/>
    <w:rsid w:val="0070513B"/>
    <w:rsid w:val="0070786C"/>
    <w:rsid w:val="007079F3"/>
    <w:rsid w:val="00707CC7"/>
    <w:rsid w:val="00707F02"/>
    <w:rsid w:val="00710DE4"/>
    <w:rsid w:val="00711AB6"/>
    <w:rsid w:val="00713825"/>
    <w:rsid w:val="007151FC"/>
    <w:rsid w:val="00716BAB"/>
    <w:rsid w:val="007204A4"/>
    <w:rsid w:val="00720616"/>
    <w:rsid w:val="0072063F"/>
    <w:rsid w:val="00720D07"/>
    <w:rsid w:val="00722078"/>
    <w:rsid w:val="00722987"/>
    <w:rsid w:val="0072346D"/>
    <w:rsid w:val="007238CE"/>
    <w:rsid w:val="00724A63"/>
    <w:rsid w:val="00724C3B"/>
    <w:rsid w:val="0072547C"/>
    <w:rsid w:val="007255E6"/>
    <w:rsid w:val="0073074B"/>
    <w:rsid w:val="00731177"/>
    <w:rsid w:val="00732090"/>
    <w:rsid w:val="00733D47"/>
    <w:rsid w:val="007351E8"/>
    <w:rsid w:val="007359A0"/>
    <w:rsid w:val="0074035E"/>
    <w:rsid w:val="00741510"/>
    <w:rsid w:val="00745FB5"/>
    <w:rsid w:val="0074605D"/>
    <w:rsid w:val="00750021"/>
    <w:rsid w:val="007511D5"/>
    <w:rsid w:val="00751370"/>
    <w:rsid w:val="007519E4"/>
    <w:rsid w:val="00751AD6"/>
    <w:rsid w:val="00751E38"/>
    <w:rsid w:val="00752256"/>
    <w:rsid w:val="00756AA1"/>
    <w:rsid w:val="00760397"/>
    <w:rsid w:val="00761B95"/>
    <w:rsid w:val="00770DC2"/>
    <w:rsid w:val="00771765"/>
    <w:rsid w:val="00772593"/>
    <w:rsid w:val="0077315E"/>
    <w:rsid w:val="007769AA"/>
    <w:rsid w:val="00777204"/>
    <w:rsid w:val="007779A6"/>
    <w:rsid w:val="007806F3"/>
    <w:rsid w:val="0078185A"/>
    <w:rsid w:val="0078190C"/>
    <w:rsid w:val="00781952"/>
    <w:rsid w:val="00782424"/>
    <w:rsid w:val="0078458A"/>
    <w:rsid w:val="00786F13"/>
    <w:rsid w:val="007876AC"/>
    <w:rsid w:val="0079041B"/>
    <w:rsid w:val="00792D9D"/>
    <w:rsid w:val="00792FDA"/>
    <w:rsid w:val="0079321D"/>
    <w:rsid w:val="007944F6"/>
    <w:rsid w:val="00795F8F"/>
    <w:rsid w:val="007A06C1"/>
    <w:rsid w:val="007A2555"/>
    <w:rsid w:val="007A4CC4"/>
    <w:rsid w:val="007A5B1C"/>
    <w:rsid w:val="007A5D23"/>
    <w:rsid w:val="007A6041"/>
    <w:rsid w:val="007A6236"/>
    <w:rsid w:val="007B06F1"/>
    <w:rsid w:val="007B1222"/>
    <w:rsid w:val="007B2378"/>
    <w:rsid w:val="007B2861"/>
    <w:rsid w:val="007B3321"/>
    <w:rsid w:val="007B4E65"/>
    <w:rsid w:val="007B7C16"/>
    <w:rsid w:val="007C11FF"/>
    <w:rsid w:val="007C138C"/>
    <w:rsid w:val="007C1AC0"/>
    <w:rsid w:val="007C1EE1"/>
    <w:rsid w:val="007C3165"/>
    <w:rsid w:val="007C32C5"/>
    <w:rsid w:val="007C573E"/>
    <w:rsid w:val="007C57E6"/>
    <w:rsid w:val="007C5AFD"/>
    <w:rsid w:val="007C663C"/>
    <w:rsid w:val="007C7429"/>
    <w:rsid w:val="007D0646"/>
    <w:rsid w:val="007D14A1"/>
    <w:rsid w:val="007D52AD"/>
    <w:rsid w:val="007D7DAA"/>
    <w:rsid w:val="007E134A"/>
    <w:rsid w:val="007E143A"/>
    <w:rsid w:val="007E6646"/>
    <w:rsid w:val="007E6A22"/>
    <w:rsid w:val="007E6A9E"/>
    <w:rsid w:val="007E709D"/>
    <w:rsid w:val="007F19DB"/>
    <w:rsid w:val="007F3C9D"/>
    <w:rsid w:val="007F4E09"/>
    <w:rsid w:val="007F5915"/>
    <w:rsid w:val="007F5C5B"/>
    <w:rsid w:val="007F7062"/>
    <w:rsid w:val="00800D99"/>
    <w:rsid w:val="00803C78"/>
    <w:rsid w:val="0080490E"/>
    <w:rsid w:val="00807A62"/>
    <w:rsid w:val="00812A1B"/>
    <w:rsid w:val="00813CE9"/>
    <w:rsid w:val="008150C5"/>
    <w:rsid w:val="0081573A"/>
    <w:rsid w:val="00820B64"/>
    <w:rsid w:val="00821A98"/>
    <w:rsid w:val="00823A6C"/>
    <w:rsid w:val="00823D70"/>
    <w:rsid w:val="00823D88"/>
    <w:rsid w:val="008259B0"/>
    <w:rsid w:val="00825F9E"/>
    <w:rsid w:val="00826EB5"/>
    <w:rsid w:val="008272B2"/>
    <w:rsid w:val="008321C7"/>
    <w:rsid w:val="00832506"/>
    <w:rsid w:val="008341DB"/>
    <w:rsid w:val="00834FF6"/>
    <w:rsid w:val="00837470"/>
    <w:rsid w:val="00840182"/>
    <w:rsid w:val="0084171C"/>
    <w:rsid w:val="00841FD6"/>
    <w:rsid w:val="00843336"/>
    <w:rsid w:val="008443C6"/>
    <w:rsid w:val="00846204"/>
    <w:rsid w:val="00850DBF"/>
    <w:rsid w:val="0085207A"/>
    <w:rsid w:val="00853660"/>
    <w:rsid w:val="00853DF4"/>
    <w:rsid w:val="008541F9"/>
    <w:rsid w:val="00854B81"/>
    <w:rsid w:val="0085706B"/>
    <w:rsid w:val="00862829"/>
    <w:rsid w:val="008641F2"/>
    <w:rsid w:val="0086424D"/>
    <w:rsid w:val="0086534B"/>
    <w:rsid w:val="008655A8"/>
    <w:rsid w:val="00866FF4"/>
    <w:rsid w:val="00867C4F"/>
    <w:rsid w:val="00870B61"/>
    <w:rsid w:val="008717D4"/>
    <w:rsid w:val="0087180B"/>
    <w:rsid w:val="0087184D"/>
    <w:rsid w:val="00871C8F"/>
    <w:rsid w:val="00872A15"/>
    <w:rsid w:val="00872BFA"/>
    <w:rsid w:val="00873296"/>
    <w:rsid w:val="00874BA3"/>
    <w:rsid w:val="00874BD7"/>
    <w:rsid w:val="008750D8"/>
    <w:rsid w:val="008807E8"/>
    <w:rsid w:val="00880C65"/>
    <w:rsid w:val="00881AEC"/>
    <w:rsid w:val="008841EC"/>
    <w:rsid w:val="00885976"/>
    <w:rsid w:val="00886561"/>
    <w:rsid w:val="00887926"/>
    <w:rsid w:val="00892EDC"/>
    <w:rsid w:val="00893E85"/>
    <w:rsid w:val="00893F56"/>
    <w:rsid w:val="00894626"/>
    <w:rsid w:val="0089486B"/>
    <w:rsid w:val="00895D3B"/>
    <w:rsid w:val="00897C1F"/>
    <w:rsid w:val="00897EED"/>
    <w:rsid w:val="008A2BE3"/>
    <w:rsid w:val="008A2DB7"/>
    <w:rsid w:val="008A3816"/>
    <w:rsid w:val="008A38E8"/>
    <w:rsid w:val="008A4CE9"/>
    <w:rsid w:val="008A58F5"/>
    <w:rsid w:val="008A7A19"/>
    <w:rsid w:val="008B01B5"/>
    <w:rsid w:val="008B1B09"/>
    <w:rsid w:val="008B465F"/>
    <w:rsid w:val="008B59CE"/>
    <w:rsid w:val="008C07D8"/>
    <w:rsid w:val="008C1161"/>
    <w:rsid w:val="008C27E6"/>
    <w:rsid w:val="008C2BDA"/>
    <w:rsid w:val="008C3252"/>
    <w:rsid w:val="008C4336"/>
    <w:rsid w:val="008C5971"/>
    <w:rsid w:val="008C77FB"/>
    <w:rsid w:val="008D0481"/>
    <w:rsid w:val="008D1869"/>
    <w:rsid w:val="008D1C3E"/>
    <w:rsid w:val="008D4F7B"/>
    <w:rsid w:val="008D7A67"/>
    <w:rsid w:val="008E17F6"/>
    <w:rsid w:val="008E47C2"/>
    <w:rsid w:val="008F01F7"/>
    <w:rsid w:val="008F0906"/>
    <w:rsid w:val="008F1BF8"/>
    <w:rsid w:val="008F68CF"/>
    <w:rsid w:val="008F6A2A"/>
    <w:rsid w:val="008F760D"/>
    <w:rsid w:val="009002C8"/>
    <w:rsid w:val="00901741"/>
    <w:rsid w:val="00902625"/>
    <w:rsid w:val="00905084"/>
    <w:rsid w:val="009058CF"/>
    <w:rsid w:val="00907C62"/>
    <w:rsid w:val="00912151"/>
    <w:rsid w:val="0091345C"/>
    <w:rsid w:val="009149F4"/>
    <w:rsid w:val="009150AD"/>
    <w:rsid w:val="00915A87"/>
    <w:rsid w:val="009172F2"/>
    <w:rsid w:val="00917B80"/>
    <w:rsid w:val="00920E71"/>
    <w:rsid w:val="00921667"/>
    <w:rsid w:val="0092234C"/>
    <w:rsid w:val="009232E4"/>
    <w:rsid w:val="00924718"/>
    <w:rsid w:val="00925149"/>
    <w:rsid w:val="009300AB"/>
    <w:rsid w:val="00930298"/>
    <w:rsid w:val="0093080E"/>
    <w:rsid w:val="00931091"/>
    <w:rsid w:val="00932DB4"/>
    <w:rsid w:val="00933388"/>
    <w:rsid w:val="00933403"/>
    <w:rsid w:val="0093374B"/>
    <w:rsid w:val="0093480B"/>
    <w:rsid w:val="00943E95"/>
    <w:rsid w:val="00944EC2"/>
    <w:rsid w:val="009506D1"/>
    <w:rsid w:val="0095145E"/>
    <w:rsid w:val="00953B03"/>
    <w:rsid w:val="009546B7"/>
    <w:rsid w:val="009560E8"/>
    <w:rsid w:val="00957952"/>
    <w:rsid w:val="00960010"/>
    <w:rsid w:val="00961866"/>
    <w:rsid w:val="009647EE"/>
    <w:rsid w:val="00964AD5"/>
    <w:rsid w:val="00965561"/>
    <w:rsid w:val="009660FE"/>
    <w:rsid w:val="009667B3"/>
    <w:rsid w:val="00966B12"/>
    <w:rsid w:val="00970001"/>
    <w:rsid w:val="00971F83"/>
    <w:rsid w:val="00974FBA"/>
    <w:rsid w:val="009752F6"/>
    <w:rsid w:val="0097683E"/>
    <w:rsid w:val="009771F5"/>
    <w:rsid w:val="009774F5"/>
    <w:rsid w:val="009806D8"/>
    <w:rsid w:val="00983525"/>
    <w:rsid w:val="00985127"/>
    <w:rsid w:val="009868B9"/>
    <w:rsid w:val="009904EC"/>
    <w:rsid w:val="00991E8E"/>
    <w:rsid w:val="00992CAB"/>
    <w:rsid w:val="00992D99"/>
    <w:rsid w:val="0099354F"/>
    <w:rsid w:val="009979F5"/>
    <w:rsid w:val="00997E27"/>
    <w:rsid w:val="009A0CC4"/>
    <w:rsid w:val="009A0D7F"/>
    <w:rsid w:val="009A128F"/>
    <w:rsid w:val="009A16C1"/>
    <w:rsid w:val="009A1FBF"/>
    <w:rsid w:val="009A23F4"/>
    <w:rsid w:val="009A3B92"/>
    <w:rsid w:val="009A3EBA"/>
    <w:rsid w:val="009A491F"/>
    <w:rsid w:val="009A59CA"/>
    <w:rsid w:val="009A6809"/>
    <w:rsid w:val="009A6AD7"/>
    <w:rsid w:val="009A799D"/>
    <w:rsid w:val="009A7F7B"/>
    <w:rsid w:val="009B0217"/>
    <w:rsid w:val="009B1EEA"/>
    <w:rsid w:val="009B3A8C"/>
    <w:rsid w:val="009B401F"/>
    <w:rsid w:val="009B5668"/>
    <w:rsid w:val="009B5B5D"/>
    <w:rsid w:val="009B5EE0"/>
    <w:rsid w:val="009B66B2"/>
    <w:rsid w:val="009B69BF"/>
    <w:rsid w:val="009B7C3C"/>
    <w:rsid w:val="009C16D9"/>
    <w:rsid w:val="009C24A4"/>
    <w:rsid w:val="009C47C4"/>
    <w:rsid w:val="009C5C1E"/>
    <w:rsid w:val="009C7CE9"/>
    <w:rsid w:val="009D09A3"/>
    <w:rsid w:val="009D09BC"/>
    <w:rsid w:val="009D5865"/>
    <w:rsid w:val="009E2A60"/>
    <w:rsid w:val="009E3CDC"/>
    <w:rsid w:val="009E466F"/>
    <w:rsid w:val="009E7464"/>
    <w:rsid w:val="009E7F89"/>
    <w:rsid w:val="009F0706"/>
    <w:rsid w:val="009F24A1"/>
    <w:rsid w:val="009F343D"/>
    <w:rsid w:val="009F37FE"/>
    <w:rsid w:val="00A01372"/>
    <w:rsid w:val="00A02635"/>
    <w:rsid w:val="00A02B91"/>
    <w:rsid w:val="00A031AB"/>
    <w:rsid w:val="00A04899"/>
    <w:rsid w:val="00A04E0F"/>
    <w:rsid w:val="00A05041"/>
    <w:rsid w:val="00A06847"/>
    <w:rsid w:val="00A06F44"/>
    <w:rsid w:val="00A12AFE"/>
    <w:rsid w:val="00A14ADE"/>
    <w:rsid w:val="00A14DF6"/>
    <w:rsid w:val="00A1659C"/>
    <w:rsid w:val="00A17478"/>
    <w:rsid w:val="00A17AE1"/>
    <w:rsid w:val="00A17B81"/>
    <w:rsid w:val="00A22322"/>
    <w:rsid w:val="00A245A2"/>
    <w:rsid w:val="00A24D21"/>
    <w:rsid w:val="00A274E5"/>
    <w:rsid w:val="00A27611"/>
    <w:rsid w:val="00A33826"/>
    <w:rsid w:val="00A347ED"/>
    <w:rsid w:val="00A368DA"/>
    <w:rsid w:val="00A40179"/>
    <w:rsid w:val="00A47908"/>
    <w:rsid w:val="00A47C89"/>
    <w:rsid w:val="00A50D60"/>
    <w:rsid w:val="00A51D2E"/>
    <w:rsid w:val="00A52C5B"/>
    <w:rsid w:val="00A53017"/>
    <w:rsid w:val="00A57134"/>
    <w:rsid w:val="00A60740"/>
    <w:rsid w:val="00A60B13"/>
    <w:rsid w:val="00A6134C"/>
    <w:rsid w:val="00A61B88"/>
    <w:rsid w:val="00A65B2D"/>
    <w:rsid w:val="00A668A4"/>
    <w:rsid w:val="00A67AF5"/>
    <w:rsid w:val="00A70F8D"/>
    <w:rsid w:val="00A724FC"/>
    <w:rsid w:val="00A75CA2"/>
    <w:rsid w:val="00A778B2"/>
    <w:rsid w:val="00A81232"/>
    <w:rsid w:val="00A82CDA"/>
    <w:rsid w:val="00A84C2A"/>
    <w:rsid w:val="00A85B78"/>
    <w:rsid w:val="00A862AD"/>
    <w:rsid w:val="00A86CEE"/>
    <w:rsid w:val="00A90CFA"/>
    <w:rsid w:val="00A93F75"/>
    <w:rsid w:val="00A942DC"/>
    <w:rsid w:val="00A95634"/>
    <w:rsid w:val="00A96B89"/>
    <w:rsid w:val="00A97C36"/>
    <w:rsid w:val="00AA0749"/>
    <w:rsid w:val="00AA0E6F"/>
    <w:rsid w:val="00AA1582"/>
    <w:rsid w:val="00AA1C7A"/>
    <w:rsid w:val="00AA5308"/>
    <w:rsid w:val="00AA60F5"/>
    <w:rsid w:val="00AA67DF"/>
    <w:rsid w:val="00AA6CEA"/>
    <w:rsid w:val="00AA7C1B"/>
    <w:rsid w:val="00AB18D7"/>
    <w:rsid w:val="00AB1D68"/>
    <w:rsid w:val="00AB1EA0"/>
    <w:rsid w:val="00AB3AFC"/>
    <w:rsid w:val="00AB3DE3"/>
    <w:rsid w:val="00AB4D7C"/>
    <w:rsid w:val="00AC22F9"/>
    <w:rsid w:val="00AC2C2A"/>
    <w:rsid w:val="00AC5A94"/>
    <w:rsid w:val="00AC5A9B"/>
    <w:rsid w:val="00AC6ADE"/>
    <w:rsid w:val="00AD1D49"/>
    <w:rsid w:val="00AD1E05"/>
    <w:rsid w:val="00AD3312"/>
    <w:rsid w:val="00AD3FC9"/>
    <w:rsid w:val="00AD74D8"/>
    <w:rsid w:val="00AE0B1C"/>
    <w:rsid w:val="00AE1927"/>
    <w:rsid w:val="00AE273E"/>
    <w:rsid w:val="00AE2C69"/>
    <w:rsid w:val="00AE52E4"/>
    <w:rsid w:val="00AE757A"/>
    <w:rsid w:val="00AF31A5"/>
    <w:rsid w:val="00AF41A6"/>
    <w:rsid w:val="00AF766B"/>
    <w:rsid w:val="00B01A79"/>
    <w:rsid w:val="00B02282"/>
    <w:rsid w:val="00B024A5"/>
    <w:rsid w:val="00B027F6"/>
    <w:rsid w:val="00B03247"/>
    <w:rsid w:val="00B0572E"/>
    <w:rsid w:val="00B06C42"/>
    <w:rsid w:val="00B06EC6"/>
    <w:rsid w:val="00B07461"/>
    <w:rsid w:val="00B13041"/>
    <w:rsid w:val="00B13EC5"/>
    <w:rsid w:val="00B14911"/>
    <w:rsid w:val="00B15CF0"/>
    <w:rsid w:val="00B1782B"/>
    <w:rsid w:val="00B207D5"/>
    <w:rsid w:val="00B23A2A"/>
    <w:rsid w:val="00B23B55"/>
    <w:rsid w:val="00B23DF5"/>
    <w:rsid w:val="00B24838"/>
    <w:rsid w:val="00B24ECA"/>
    <w:rsid w:val="00B300C9"/>
    <w:rsid w:val="00B32D37"/>
    <w:rsid w:val="00B33C20"/>
    <w:rsid w:val="00B342AB"/>
    <w:rsid w:val="00B35511"/>
    <w:rsid w:val="00B35D3A"/>
    <w:rsid w:val="00B36500"/>
    <w:rsid w:val="00B3667B"/>
    <w:rsid w:val="00B37088"/>
    <w:rsid w:val="00B40C28"/>
    <w:rsid w:val="00B41420"/>
    <w:rsid w:val="00B423EF"/>
    <w:rsid w:val="00B42DAE"/>
    <w:rsid w:val="00B44027"/>
    <w:rsid w:val="00B445AD"/>
    <w:rsid w:val="00B453B2"/>
    <w:rsid w:val="00B4674C"/>
    <w:rsid w:val="00B469EB"/>
    <w:rsid w:val="00B47B41"/>
    <w:rsid w:val="00B50175"/>
    <w:rsid w:val="00B5284B"/>
    <w:rsid w:val="00B541BF"/>
    <w:rsid w:val="00B60FFF"/>
    <w:rsid w:val="00B62008"/>
    <w:rsid w:val="00B63A79"/>
    <w:rsid w:val="00B65526"/>
    <w:rsid w:val="00B7072B"/>
    <w:rsid w:val="00B71BB9"/>
    <w:rsid w:val="00B724D6"/>
    <w:rsid w:val="00B731F7"/>
    <w:rsid w:val="00B73800"/>
    <w:rsid w:val="00B75F7A"/>
    <w:rsid w:val="00B766CF"/>
    <w:rsid w:val="00B7757D"/>
    <w:rsid w:val="00B77D5C"/>
    <w:rsid w:val="00B77E9F"/>
    <w:rsid w:val="00B8258B"/>
    <w:rsid w:val="00B831D1"/>
    <w:rsid w:val="00B83463"/>
    <w:rsid w:val="00B83979"/>
    <w:rsid w:val="00B842F5"/>
    <w:rsid w:val="00B90FAB"/>
    <w:rsid w:val="00B915F9"/>
    <w:rsid w:val="00B92606"/>
    <w:rsid w:val="00B927AD"/>
    <w:rsid w:val="00B92EA7"/>
    <w:rsid w:val="00B93775"/>
    <w:rsid w:val="00B957C0"/>
    <w:rsid w:val="00B96A60"/>
    <w:rsid w:val="00B96A94"/>
    <w:rsid w:val="00BA3294"/>
    <w:rsid w:val="00BA3745"/>
    <w:rsid w:val="00BA4293"/>
    <w:rsid w:val="00BA4FE5"/>
    <w:rsid w:val="00BA5F49"/>
    <w:rsid w:val="00BA7113"/>
    <w:rsid w:val="00BA79B9"/>
    <w:rsid w:val="00BB01B4"/>
    <w:rsid w:val="00BB3953"/>
    <w:rsid w:val="00BB4DC7"/>
    <w:rsid w:val="00BB7E26"/>
    <w:rsid w:val="00BC0CF7"/>
    <w:rsid w:val="00BC0DDB"/>
    <w:rsid w:val="00BC18A9"/>
    <w:rsid w:val="00BC1CB7"/>
    <w:rsid w:val="00BC29D7"/>
    <w:rsid w:val="00BC3F67"/>
    <w:rsid w:val="00BD2905"/>
    <w:rsid w:val="00BD5002"/>
    <w:rsid w:val="00BD5658"/>
    <w:rsid w:val="00BD5A02"/>
    <w:rsid w:val="00BE13C0"/>
    <w:rsid w:val="00BE15DB"/>
    <w:rsid w:val="00BE172D"/>
    <w:rsid w:val="00BE2575"/>
    <w:rsid w:val="00BE3E9A"/>
    <w:rsid w:val="00BE51A9"/>
    <w:rsid w:val="00BE5236"/>
    <w:rsid w:val="00BE7180"/>
    <w:rsid w:val="00BE718F"/>
    <w:rsid w:val="00BE7412"/>
    <w:rsid w:val="00BF02F6"/>
    <w:rsid w:val="00BF0C4D"/>
    <w:rsid w:val="00BF0D49"/>
    <w:rsid w:val="00BF2474"/>
    <w:rsid w:val="00BF2545"/>
    <w:rsid w:val="00BF2A73"/>
    <w:rsid w:val="00BF6CA7"/>
    <w:rsid w:val="00BF7D11"/>
    <w:rsid w:val="00BF7D6C"/>
    <w:rsid w:val="00C0055D"/>
    <w:rsid w:val="00C02175"/>
    <w:rsid w:val="00C02371"/>
    <w:rsid w:val="00C02AB3"/>
    <w:rsid w:val="00C02DB1"/>
    <w:rsid w:val="00C0536F"/>
    <w:rsid w:val="00C061F9"/>
    <w:rsid w:val="00C0645B"/>
    <w:rsid w:val="00C06CB2"/>
    <w:rsid w:val="00C06ED6"/>
    <w:rsid w:val="00C077F1"/>
    <w:rsid w:val="00C1121E"/>
    <w:rsid w:val="00C113C6"/>
    <w:rsid w:val="00C13B3E"/>
    <w:rsid w:val="00C15378"/>
    <w:rsid w:val="00C156A9"/>
    <w:rsid w:val="00C158E1"/>
    <w:rsid w:val="00C16058"/>
    <w:rsid w:val="00C1767E"/>
    <w:rsid w:val="00C178B4"/>
    <w:rsid w:val="00C17B23"/>
    <w:rsid w:val="00C2452A"/>
    <w:rsid w:val="00C25B0A"/>
    <w:rsid w:val="00C26550"/>
    <w:rsid w:val="00C308D4"/>
    <w:rsid w:val="00C33DC5"/>
    <w:rsid w:val="00C3469A"/>
    <w:rsid w:val="00C411D8"/>
    <w:rsid w:val="00C420F2"/>
    <w:rsid w:val="00C45CE8"/>
    <w:rsid w:val="00C464FC"/>
    <w:rsid w:val="00C50168"/>
    <w:rsid w:val="00C5120C"/>
    <w:rsid w:val="00C55338"/>
    <w:rsid w:val="00C6094E"/>
    <w:rsid w:val="00C6126E"/>
    <w:rsid w:val="00C61651"/>
    <w:rsid w:val="00C6249C"/>
    <w:rsid w:val="00C631AB"/>
    <w:rsid w:val="00C67260"/>
    <w:rsid w:val="00C67D37"/>
    <w:rsid w:val="00C67F8F"/>
    <w:rsid w:val="00C71473"/>
    <w:rsid w:val="00C71DE6"/>
    <w:rsid w:val="00C758FC"/>
    <w:rsid w:val="00C76A7C"/>
    <w:rsid w:val="00C802F1"/>
    <w:rsid w:val="00C80D2B"/>
    <w:rsid w:val="00C84FE4"/>
    <w:rsid w:val="00C850BC"/>
    <w:rsid w:val="00C8613C"/>
    <w:rsid w:val="00C8656C"/>
    <w:rsid w:val="00C92C1B"/>
    <w:rsid w:val="00C94A2A"/>
    <w:rsid w:val="00C956E1"/>
    <w:rsid w:val="00C968A2"/>
    <w:rsid w:val="00C96B32"/>
    <w:rsid w:val="00CA11EB"/>
    <w:rsid w:val="00CA4BB4"/>
    <w:rsid w:val="00CA5C70"/>
    <w:rsid w:val="00CA7901"/>
    <w:rsid w:val="00CA7C91"/>
    <w:rsid w:val="00CB1A51"/>
    <w:rsid w:val="00CB1BCF"/>
    <w:rsid w:val="00CB23AF"/>
    <w:rsid w:val="00CB28F5"/>
    <w:rsid w:val="00CB3718"/>
    <w:rsid w:val="00CB3EF8"/>
    <w:rsid w:val="00CB41A6"/>
    <w:rsid w:val="00CB55D3"/>
    <w:rsid w:val="00CB79CD"/>
    <w:rsid w:val="00CC0AA4"/>
    <w:rsid w:val="00CC189B"/>
    <w:rsid w:val="00CC27B8"/>
    <w:rsid w:val="00CC4724"/>
    <w:rsid w:val="00CC4DC8"/>
    <w:rsid w:val="00CC53E6"/>
    <w:rsid w:val="00CC5846"/>
    <w:rsid w:val="00CC6B5F"/>
    <w:rsid w:val="00CD0473"/>
    <w:rsid w:val="00CD0476"/>
    <w:rsid w:val="00CD0879"/>
    <w:rsid w:val="00CD217F"/>
    <w:rsid w:val="00CD3779"/>
    <w:rsid w:val="00CD3AE7"/>
    <w:rsid w:val="00CE1C12"/>
    <w:rsid w:val="00CE1CA0"/>
    <w:rsid w:val="00CE5996"/>
    <w:rsid w:val="00CE6AD1"/>
    <w:rsid w:val="00CE74AC"/>
    <w:rsid w:val="00CF37C3"/>
    <w:rsid w:val="00CF37DF"/>
    <w:rsid w:val="00CF3E2F"/>
    <w:rsid w:val="00CF4130"/>
    <w:rsid w:val="00CF7CE3"/>
    <w:rsid w:val="00D00230"/>
    <w:rsid w:val="00D0069A"/>
    <w:rsid w:val="00D01269"/>
    <w:rsid w:val="00D02CCC"/>
    <w:rsid w:val="00D03EB2"/>
    <w:rsid w:val="00D03F9A"/>
    <w:rsid w:val="00D03FFC"/>
    <w:rsid w:val="00D049F2"/>
    <w:rsid w:val="00D049F4"/>
    <w:rsid w:val="00D0781E"/>
    <w:rsid w:val="00D11D20"/>
    <w:rsid w:val="00D1245B"/>
    <w:rsid w:val="00D1375F"/>
    <w:rsid w:val="00D17D21"/>
    <w:rsid w:val="00D20025"/>
    <w:rsid w:val="00D24EE8"/>
    <w:rsid w:val="00D30D75"/>
    <w:rsid w:val="00D362EA"/>
    <w:rsid w:val="00D42FB4"/>
    <w:rsid w:val="00D43E53"/>
    <w:rsid w:val="00D4426E"/>
    <w:rsid w:val="00D445E8"/>
    <w:rsid w:val="00D447FE"/>
    <w:rsid w:val="00D45968"/>
    <w:rsid w:val="00D467A3"/>
    <w:rsid w:val="00D50ECA"/>
    <w:rsid w:val="00D52D96"/>
    <w:rsid w:val="00D542B6"/>
    <w:rsid w:val="00D55DD2"/>
    <w:rsid w:val="00D60AAB"/>
    <w:rsid w:val="00D6214B"/>
    <w:rsid w:val="00D63C18"/>
    <w:rsid w:val="00D63FCD"/>
    <w:rsid w:val="00D64A10"/>
    <w:rsid w:val="00D65191"/>
    <w:rsid w:val="00D67634"/>
    <w:rsid w:val="00D67BC8"/>
    <w:rsid w:val="00D7010E"/>
    <w:rsid w:val="00D707F2"/>
    <w:rsid w:val="00D74EAF"/>
    <w:rsid w:val="00D75695"/>
    <w:rsid w:val="00D75FF4"/>
    <w:rsid w:val="00D7699F"/>
    <w:rsid w:val="00D77582"/>
    <w:rsid w:val="00D77F98"/>
    <w:rsid w:val="00D80691"/>
    <w:rsid w:val="00D80812"/>
    <w:rsid w:val="00D81481"/>
    <w:rsid w:val="00D8261F"/>
    <w:rsid w:val="00D84E21"/>
    <w:rsid w:val="00D920B4"/>
    <w:rsid w:val="00D92644"/>
    <w:rsid w:val="00D951AD"/>
    <w:rsid w:val="00D95961"/>
    <w:rsid w:val="00D979AC"/>
    <w:rsid w:val="00D97FEB"/>
    <w:rsid w:val="00DA01C6"/>
    <w:rsid w:val="00DA0F41"/>
    <w:rsid w:val="00DA1B86"/>
    <w:rsid w:val="00DA27FF"/>
    <w:rsid w:val="00DA37BC"/>
    <w:rsid w:val="00DA605B"/>
    <w:rsid w:val="00DA70B5"/>
    <w:rsid w:val="00DA7771"/>
    <w:rsid w:val="00DB0583"/>
    <w:rsid w:val="00DB2AC6"/>
    <w:rsid w:val="00DB33EB"/>
    <w:rsid w:val="00DB3B1D"/>
    <w:rsid w:val="00DC0A99"/>
    <w:rsid w:val="00DC1769"/>
    <w:rsid w:val="00DC1A87"/>
    <w:rsid w:val="00DC2571"/>
    <w:rsid w:val="00DC6EF2"/>
    <w:rsid w:val="00DC779D"/>
    <w:rsid w:val="00DC7F0C"/>
    <w:rsid w:val="00DD188D"/>
    <w:rsid w:val="00DD2A47"/>
    <w:rsid w:val="00DD4156"/>
    <w:rsid w:val="00DD709C"/>
    <w:rsid w:val="00DD7800"/>
    <w:rsid w:val="00DE1242"/>
    <w:rsid w:val="00DE5CEC"/>
    <w:rsid w:val="00DF01F8"/>
    <w:rsid w:val="00DF1E9F"/>
    <w:rsid w:val="00DF30B9"/>
    <w:rsid w:val="00DF337A"/>
    <w:rsid w:val="00DF4445"/>
    <w:rsid w:val="00DF513F"/>
    <w:rsid w:val="00DF7607"/>
    <w:rsid w:val="00E014FC"/>
    <w:rsid w:val="00E038A8"/>
    <w:rsid w:val="00E05CFB"/>
    <w:rsid w:val="00E05FDB"/>
    <w:rsid w:val="00E12D86"/>
    <w:rsid w:val="00E137A6"/>
    <w:rsid w:val="00E13CE1"/>
    <w:rsid w:val="00E1484A"/>
    <w:rsid w:val="00E15641"/>
    <w:rsid w:val="00E16191"/>
    <w:rsid w:val="00E161B5"/>
    <w:rsid w:val="00E170E0"/>
    <w:rsid w:val="00E17C01"/>
    <w:rsid w:val="00E20336"/>
    <w:rsid w:val="00E20C1A"/>
    <w:rsid w:val="00E219FA"/>
    <w:rsid w:val="00E22934"/>
    <w:rsid w:val="00E23920"/>
    <w:rsid w:val="00E25A26"/>
    <w:rsid w:val="00E25A8D"/>
    <w:rsid w:val="00E26BDC"/>
    <w:rsid w:val="00E273A2"/>
    <w:rsid w:val="00E30417"/>
    <w:rsid w:val="00E31823"/>
    <w:rsid w:val="00E32DEB"/>
    <w:rsid w:val="00E36D50"/>
    <w:rsid w:val="00E46012"/>
    <w:rsid w:val="00E51500"/>
    <w:rsid w:val="00E5177C"/>
    <w:rsid w:val="00E522D7"/>
    <w:rsid w:val="00E53DA0"/>
    <w:rsid w:val="00E54015"/>
    <w:rsid w:val="00E549C1"/>
    <w:rsid w:val="00E5638B"/>
    <w:rsid w:val="00E565A3"/>
    <w:rsid w:val="00E5691F"/>
    <w:rsid w:val="00E56BCB"/>
    <w:rsid w:val="00E5764A"/>
    <w:rsid w:val="00E57A95"/>
    <w:rsid w:val="00E62B4D"/>
    <w:rsid w:val="00E63C33"/>
    <w:rsid w:val="00E64E52"/>
    <w:rsid w:val="00E70F8C"/>
    <w:rsid w:val="00E716FC"/>
    <w:rsid w:val="00E728B4"/>
    <w:rsid w:val="00E73B57"/>
    <w:rsid w:val="00E74089"/>
    <w:rsid w:val="00E75EE2"/>
    <w:rsid w:val="00E76BC6"/>
    <w:rsid w:val="00E8166A"/>
    <w:rsid w:val="00E84119"/>
    <w:rsid w:val="00E853EC"/>
    <w:rsid w:val="00E86169"/>
    <w:rsid w:val="00E863A2"/>
    <w:rsid w:val="00E86E27"/>
    <w:rsid w:val="00E876B2"/>
    <w:rsid w:val="00E90D5D"/>
    <w:rsid w:val="00E93277"/>
    <w:rsid w:val="00E9392B"/>
    <w:rsid w:val="00E93DCE"/>
    <w:rsid w:val="00E95F9B"/>
    <w:rsid w:val="00EA17FE"/>
    <w:rsid w:val="00EA593E"/>
    <w:rsid w:val="00EA6079"/>
    <w:rsid w:val="00EA7DF5"/>
    <w:rsid w:val="00EB0419"/>
    <w:rsid w:val="00EB0B8F"/>
    <w:rsid w:val="00EB0D13"/>
    <w:rsid w:val="00EB0D18"/>
    <w:rsid w:val="00EB0DCF"/>
    <w:rsid w:val="00EB16C0"/>
    <w:rsid w:val="00EB1BD3"/>
    <w:rsid w:val="00EB5C8A"/>
    <w:rsid w:val="00EC12C7"/>
    <w:rsid w:val="00EC27F6"/>
    <w:rsid w:val="00EC31D8"/>
    <w:rsid w:val="00EC4ABD"/>
    <w:rsid w:val="00EC6507"/>
    <w:rsid w:val="00EC66F1"/>
    <w:rsid w:val="00ED03BF"/>
    <w:rsid w:val="00ED25EB"/>
    <w:rsid w:val="00ED2C60"/>
    <w:rsid w:val="00ED484B"/>
    <w:rsid w:val="00ED759C"/>
    <w:rsid w:val="00ED75BA"/>
    <w:rsid w:val="00ED7CDA"/>
    <w:rsid w:val="00EE0558"/>
    <w:rsid w:val="00EE0593"/>
    <w:rsid w:val="00EE126B"/>
    <w:rsid w:val="00EE36B6"/>
    <w:rsid w:val="00EE3C2D"/>
    <w:rsid w:val="00EE438E"/>
    <w:rsid w:val="00EE4D36"/>
    <w:rsid w:val="00EE549D"/>
    <w:rsid w:val="00EE57CE"/>
    <w:rsid w:val="00EE5C40"/>
    <w:rsid w:val="00EE6094"/>
    <w:rsid w:val="00EE617E"/>
    <w:rsid w:val="00EE7F62"/>
    <w:rsid w:val="00EF6D51"/>
    <w:rsid w:val="00EF7B30"/>
    <w:rsid w:val="00F02FF7"/>
    <w:rsid w:val="00F05DE6"/>
    <w:rsid w:val="00F06262"/>
    <w:rsid w:val="00F0727E"/>
    <w:rsid w:val="00F10859"/>
    <w:rsid w:val="00F126DA"/>
    <w:rsid w:val="00F15603"/>
    <w:rsid w:val="00F16288"/>
    <w:rsid w:val="00F16EF2"/>
    <w:rsid w:val="00F2099F"/>
    <w:rsid w:val="00F21B68"/>
    <w:rsid w:val="00F226FC"/>
    <w:rsid w:val="00F243C5"/>
    <w:rsid w:val="00F25EAC"/>
    <w:rsid w:val="00F27367"/>
    <w:rsid w:val="00F30189"/>
    <w:rsid w:val="00F31191"/>
    <w:rsid w:val="00F31376"/>
    <w:rsid w:val="00F31D97"/>
    <w:rsid w:val="00F33F5A"/>
    <w:rsid w:val="00F34D9D"/>
    <w:rsid w:val="00F37518"/>
    <w:rsid w:val="00F405D8"/>
    <w:rsid w:val="00F40A73"/>
    <w:rsid w:val="00F438CE"/>
    <w:rsid w:val="00F4406A"/>
    <w:rsid w:val="00F44359"/>
    <w:rsid w:val="00F44D3F"/>
    <w:rsid w:val="00F474BF"/>
    <w:rsid w:val="00F50195"/>
    <w:rsid w:val="00F50DED"/>
    <w:rsid w:val="00F52ACA"/>
    <w:rsid w:val="00F53841"/>
    <w:rsid w:val="00F54576"/>
    <w:rsid w:val="00F5763D"/>
    <w:rsid w:val="00F601FF"/>
    <w:rsid w:val="00F60A57"/>
    <w:rsid w:val="00F60CBD"/>
    <w:rsid w:val="00F64D72"/>
    <w:rsid w:val="00F66DAB"/>
    <w:rsid w:val="00F674A4"/>
    <w:rsid w:val="00F7032C"/>
    <w:rsid w:val="00F70F91"/>
    <w:rsid w:val="00F715AB"/>
    <w:rsid w:val="00F71731"/>
    <w:rsid w:val="00F718C9"/>
    <w:rsid w:val="00F72B99"/>
    <w:rsid w:val="00F73A03"/>
    <w:rsid w:val="00F740C6"/>
    <w:rsid w:val="00F779D7"/>
    <w:rsid w:val="00F817F8"/>
    <w:rsid w:val="00F81A0D"/>
    <w:rsid w:val="00F8217E"/>
    <w:rsid w:val="00F83A8A"/>
    <w:rsid w:val="00F854EA"/>
    <w:rsid w:val="00F87489"/>
    <w:rsid w:val="00F921A0"/>
    <w:rsid w:val="00F9591B"/>
    <w:rsid w:val="00F96EAC"/>
    <w:rsid w:val="00FA082A"/>
    <w:rsid w:val="00FA0AE2"/>
    <w:rsid w:val="00FA0EA4"/>
    <w:rsid w:val="00FA2D18"/>
    <w:rsid w:val="00FA42BB"/>
    <w:rsid w:val="00FA46B1"/>
    <w:rsid w:val="00FA5478"/>
    <w:rsid w:val="00FA628B"/>
    <w:rsid w:val="00FA6F8E"/>
    <w:rsid w:val="00FB10EF"/>
    <w:rsid w:val="00FB6624"/>
    <w:rsid w:val="00FC0939"/>
    <w:rsid w:val="00FC0E75"/>
    <w:rsid w:val="00FC1C57"/>
    <w:rsid w:val="00FC51BB"/>
    <w:rsid w:val="00FC5224"/>
    <w:rsid w:val="00FC5332"/>
    <w:rsid w:val="00FC5E04"/>
    <w:rsid w:val="00FD1211"/>
    <w:rsid w:val="00FD20AD"/>
    <w:rsid w:val="00FD27A1"/>
    <w:rsid w:val="00FD4BF9"/>
    <w:rsid w:val="00FD53BE"/>
    <w:rsid w:val="00FD5635"/>
    <w:rsid w:val="00FD7A68"/>
    <w:rsid w:val="00FE03EC"/>
    <w:rsid w:val="00FE0F66"/>
    <w:rsid w:val="00FE10BC"/>
    <w:rsid w:val="00FE194F"/>
    <w:rsid w:val="00FE4545"/>
    <w:rsid w:val="00FE4790"/>
    <w:rsid w:val="00FE47BD"/>
    <w:rsid w:val="00FE4EDF"/>
    <w:rsid w:val="00FE5810"/>
    <w:rsid w:val="00FE5F27"/>
    <w:rsid w:val="00FF1170"/>
    <w:rsid w:val="00FF31AA"/>
    <w:rsid w:val="00FF3DAF"/>
    <w:rsid w:val="00FF4DEF"/>
    <w:rsid w:val="00FF6122"/>
    <w:rsid w:val="00FF63D2"/>
    <w:rsid w:val="00FF7CD3"/>
    <w:rsid w:val="00FF7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800EB5"/>
  <w15:docId w15:val="{8EFC5C19-970D-4F38-B3D0-D516A9AB5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13B"/>
    <w:rPr>
      <w:sz w:val="24"/>
      <w:szCs w:val="24"/>
    </w:rPr>
  </w:style>
  <w:style w:type="paragraph" w:styleId="Heading1">
    <w:name w:val="heading 1"/>
    <w:basedOn w:val="Normal"/>
    <w:next w:val="Normal"/>
    <w:link w:val="Heading1Char"/>
    <w:uiPriority w:val="9"/>
    <w:qFormat/>
    <w:rsid w:val="002D4F6E"/>
    <w:pPr>
      <w:keepNext/>
      <w:spacing w:after="240"/>
      <w:outlineLvl w:val="0"/>
    </w:pPr>
    <w:rPr>
      <w:rFonts w:ascii="Times New Roman" w:eastAsiaTheme="majorEastAsia" w:hAnsi="Times New Roman" w:cstheme="majorBidi"/>
      <w:b/>
      <w:bCs/>
      <w:kern w:val="32"/>
      <w:sz w:val="25"/>
      <w:szCs w:val="32"/>
    </w:rPr>
  </w:style>
  <w:style w:type="paragraph" w:styleId="Heading2">
    <w:name w:val="heading 2"/>
    <w:basedOn w:val="Normal"/>
    <w:next w:val="Normal"/>
    <w:link w:val="Heading2Char"/>
    <w:uiPriority w:val="9"/>
    <w:unhideWhenUsed/>
    <w:qFormat/>
    <w:rsid w:val="002D4F6E"/>
    <w:pPr>
      <w:keepNext/>
      <w:spacing w:after="240"/>
      <w:outlineLvl w:val="1"/>
    </w:pPr>
    <w:rPr>
      <w:rFonts w:ascii="Times New Roman" w:eastAsiaTheme="majorEastAsia" w:hAnsi="Times New Roman" w:cstheme="majorBidi"/>
      <w:b/>
      <w:bCs/>
      <w:iCs/>
      <w:sz w:val="25"/>
      <w:szCs w:val="28"/>
    </w:rPr>
  </w:style>
  <w:style w:type="paragraph" w:styleId="Heading3">
    <w:name w:val="heading 3"/>
    <w:basedOn w:val="Normal"/>
    <w:next w:val="Normal"/>
    <w:link w:val="Heading3Char"/>
    <w:uiPriority w:val="9"/>
    <w:unhideWhenUsed/>
    <w:qFormat/>
    <w:rsid w:val="002D4F6E"/>
    <w:pPr>
      <w:keepNext/>
      <w:spacing w:after="240"/>
      <w:outlineLvl w:val="2"/>
    </w:pPr>
    <w:rPr>
      <w:rFonts w:ascii="Times New Roman" w:eastAsiaTheme="majorEastAsia" w:hAnsi="Times New Roman"/>
      <w:b/>
      <w:bCs/>
      <w:i/>
      <w:sz w:val="25"/>
      <w:szCs w:val="26"/>
    </w:rPr>
  </w:style>
  <w:style w:type="paragraph" w:styleId="Heading4">
    <w:name w:val="heading 4"/>
    <w:basedOn w:val="Normal"/>
    <w:next w:val="Normal"/>
    <w:link w:val="Heading4Char"/>
    <w:uiPriority w:val="9"/>
    <w:semiHidden/>
    <w:unhideWhenUsed/>
    <w:qFormat/>
    <w:rsid w:val="004D313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D313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D313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D313B"/>
    <w:pPr>
      <w:spacing w:before="240" w:after="60"/>
      <w:outlineLvl w:val="6"/>
    </w:pPr>
  </w:style>
  <w:style w:type="paragraph" w:styleId="Heading8">
    <w:name w:val="heading 8"/>
    <w:basedOn w:val="Normal"/>
    <w:next w:val="Normal"/>
    <w:link w:val="Heading8Char"/>
    <w:uiPriority w:val="9"/>
    <w:semiHidden/>
    <w:unhideWhenUsed/>
    <w:qFormat/>
    <w:rsid w:val="004D313B"/>
    <w:pPr>
      <w:spacing w:before="240" w:after="60"/>
      <w:outlineLvl w:val="7"/>
    </w:pPr>
    <w:rPr>
      <w:i/>
      <w:iCs/>
    </w:rPr>
  </w:style>
  <w:style w:type="paragraph" w:styleId="Heading9">
    <w:name w:val="heading 9"/>
    <w:basedOn w:val="Normal"/>
    <w:next w:val="Normal"/>
    <w:link w:val="Heading9Char"/>
    <w:uiPriority w:val="9"/>
    <w:semiHidden/>
    <w:unhideWhenUsed/>
    <w:qFormat/>
    <w:rsid w:val="004D313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4F6E"/>
    <w:rPr>
      <w:rFonts w:ascii="Times New Roman" w:eastAsiaTheme="majorEastAsia" w:hAnsi="Times New Roman" w:cstheme="majorBidi"/>
      <w:b/>
      <w:bCs/>
      <w:kern w:val="32"/>
      <w:sz w:val="25"/>
      <w:szCs w:val="32"/>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nhideWhenUsed/>
    <w:rsid w:val="008717D4"/>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8717D4"/>
    <w:rPr>
      <w:rFonts w:ascii="Times New Roman" w:eastAsia="Times New Roman" w:hAnsi="Times New Roman" w:cs="Times New Roman"/>
      <w:sz w:val="20"/>
      <w:szCs w:val="20"/>
    </w:rPr>
  </w:style>
  <w:style w:type="paragraph" w:customStyle="1" w:styleId="FindingsConclusions">
    <w:name w:val="Findings &amp; Conclusions"/>
    <w:basedOn w:val="Normal"/>
    <w:autoRedefine/>
    <w:rsid w:val="00A6134C"/>
    <w:pPr>
      <w:spacing w:before="100" w:beforeAutospacing="1" w:after="100" w:afterAutospacing="1"/>
    </w:pPr>
    <w:rPr>
      <w:rFonts w:ascii="Times New Roman" w:hAnsi="Times New Roman"/>
    </w:rPr>
  </w:style>
  <w:style w:type="character" w:styleId="FootnoteReference">
    <w:name w:val="footnote reference"/>
    <w:basedOn w:val="DefaultParagraphFont"/>
    <w:unhideWhenUsed/>
    <w:rsid w:val="008717D4"/>
    <w:rPr>
      <w:vertAlign w:val="superscript"/>
    </w:rPr>
  </w:style>
  <w:style w:type="character" w:styleId="Hyperlink">
    <w:name w:val="Hyperlink"/>
    <w:basedOn w:val="DefaultParagraphFont"/>
    <w:uiPriority w:val="99"/>
    <w:unhideWhenUsed/>
    <w:rsid w:val="008717D4"/>
    <w:rPr>
      <w:color w:val="2B674D"/>
      <w:u w:val="single"/>
    </w:rPr>
  </w:style>
  <w:style w:type="paragraph" w:styleId="ListParagraph">
    <w:name w:val="List Paragraph"/>
    <w:basedOn w:val="Normal"/>
    <w:uiPriority w:val="34"/>
    <w:qFormat/>
    <w:rsid w:val="004D313B"/>
    <w:pPr>
      <w:ind w:left="720"/>
      <w:contextualSpacing/>
    </w:pPr>
    <w:rPr>
      <w:rFonts w:cstheme="minorBidi"/>
    </w:rPr>
  </w:style>
  <w:style w:type="paragraph" w:styleId="Header">
    <w:name w:val="header"/>
    <w:basedOn w:val="Normal"/>
    <w:link w:val="HeaderChar"/>
    <w:uiPriority w:val="99"/>
    <w:unhideWhenUsed/>
    <w:rsid w:val="00127B4F"/>
    <w:pPr>
      <w:tabs>
        <w:tab w:val="center" w:pos="4680"/>
        <w:tab w:val="right" w:pos="9360"/>
      </w:tabs>
    </w:pPr>
  </w:style>
  <w:style w:type="character" w:customStyle="1" w:styleId="HeaderChar">
    <w:name w:val="Header Char"/>
    <w:basedOn w:val="DefaultParagraphFont"/>
    <w:link w:val="Header"/>
    <w:uiPriority w:val="99"/>
    <w:rsid w:val="00127B4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27B4F"/>
    <w:pPr>
      <w:tabs>
        <w:tab w:val="center" w:pos="4680"/>
        <w:tab w:val="right" w:pos="9360"/>
      </w:tabs>
    </w:pPr>
  </w:style>
  <w:style w:type="character" w:customStyle="1" w:styleId="FooterChar">
    <w:name w:val="Footer Char"/>
    <w:basedOn w:val="DefaultParagraphFont"/>
    <w:link w:val="Footer"/>
    <w:uiPriority w:val="99"/>
    <w:rsid w:val="00127B4F"/>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E7180"/>
    <w:rPr>
      <w:color w:val="800080" w:themeColor="followedHyperlink"/>
      <w:u w:val="single"/>
    </w:rPr>
  </w:style>
  <w:style w:type="character" w:customStyle="1" w:styleId="Heading2Char">
    <w:name w:val="Heading 2 Char"/>
    <w:basedOn w:val="DefaultParagraphFont"/>
    <w:link w:val="Heading2"/>
    <w:uiPriority w:val="9"/>
    <w:rsid w:val="002D4F6E"/>
    <w:rPr>
      <w:rFonts w:ascii="Times New Roman" w:eastAsiaTheme="majorEastAsia" w:hAnsi="Times New Roman" w:cstheme="majorBidi"/>
      <w:b/>
      <w:bCs/>
      <w:iCs/>
      <w:sz w:val="25"/>
      <w:szCs w:val="28"/>
    </w:rPr>
  </w:style>
  <w:style w:type="character" w:customStyle="1" w:styleId="Heading3Char">
    <w:name w:val="Heading 3 Char"/>
    <w:basedOn w:val="DefaultParagraphFont"/>
    <w:link w:val="Heading3"/>
    <w:uiPriority w:val="9"/>
    <w:rsid w:val="002D4F6E"/>
    <w:rPr>
      <w:rFonts w:ascii="Times New Roman" w:eastAsiaTheme="majorEastAsia" w:hAnsi="Times New Roman"/>
      <w:b/>
      <w:bCs/>
      <w:i/>
      <w:sz w:val="25"/>
      <w:szCs w:val="26"/>
    </w:rPr>
  </w:style>
  <w:style w:type="character" w:customStyle="1" w:styleId="Heading4Char">
    <w:name w:val="Heading 4 Char"/>
    <w:basedOn w:val="DefaultParagraphFont"/>
    <w:link w:val="Heading4"/>
    <w:uiPriority w:val="9"/>
    <w:semiHidden/>
    <w:rsid w:val="004D313B"/>
    <w:rPr>
      <w:b/>
      <w:bCs/>
      <w:sz w:val="28"/>
      <w:szCs w:val="28"/>
    </w:rPr>
  </w:style>
  <w:style w:type="character" w:customStyle="1" w:styleId="Heading5Char">
    <w:name w:val="Heading 5 Char"/>
    <w:basedOn w:val="DefaultParagraphFont"/>
    <w:link w:val="Heading5"/>
    <w:uiPriority w:val="9"/>
    <w:semiHidden/>
    <w:rsid w:val="004D313B"/>
    <w:rPr>
      <w:b/>
      <w:bCs/>
      <w:i/>
      <w:iCs/>
      <w:sz w:val="26"/>
      <w:szCs w:val="26"/>
    </w:rPr>
  </w:style>
  <w:style w:type="character" w:customStyle="1" w:styleId="Heading6Char">
    <w:name w:val="Heading 6 Char"/>
    <w:basedOn w:val="DefaultParagraphFont"/>
    <w:link w:val="Heading6"/>
    <w:uiPriority w:val="9"/>
    <w:semiHidden/>
    <w:rsid w:val="004D313B"/>
    <w:rPr>
      <w:b/>
      <w:bCs/>
    </w:rPr>
  </w:style>
  <w:style w:type="character" w:customStyle="1" w:styleId="Heading7Char">
    <w:name w:val="Heading 7 Char"/>
    <w:basedOn w:val="DefaultParagraphFont"/>
    <w:link w:val="Heading7"/>
    <w:uiPriority w:val="9"/>
    <w:semiHidden/>
    <w:rsid w:val="004D313B"/>
    <w:rPr>
      <w:sz w:val="24"/>
      <w:szCs w:val="24"/>
    </w:rPr>
  </w:style>
  <w:style w:type="character" w:customStyle="1" w:styleId="Heading8Char">
    <w:name w:val="Heading 8 Char"/>
    <w:basedOn w:val="DefaultParagraphFont"/>
    <w:link w:val="Heading8"/>
    <w:uiPriority w:val="9"/>
    <w:semiHidden/>
    <w:rsid w:val="004D313B"/>
    <w:rPr>
      <w:i/>
      <w:iCs/>
      <w:sz w:val="24"/>
      <w:szCs w:val="24"/>
    </w:rPr>
  </w:style>
  <w:style w:type="character" w:customStyle="1" w:styleId="Heading9Char">
    <w:name w:val="Heading 9 Char"/>
    <w:basedOn w:val="DefaultParagraphFont"/>
    <w:link w:val="Heading9"/>
    <w:uiPriority w:val="9"/>
    <w:semiHidden/>
    <w:rsid w:val="004D313B"/>
    <w:rPr>
      <w:rFonts w:asciiTheme="majorHAnsi" w:eastAsiaTheme="majorEastAsia" w:hAnsiTheme="majorHAnsi"/>
    </w:rPr>
  </w:style>
  <w:style w:type="paragraph" w:styleId="Title">
    <w:name w:val="Title"/>
    <w:basedOn w:val="Normal"/>
    <w:next w:val="Normal"/>
    <w:link w:val="TitleChar"/>
    <w:uiPriority w:val="10"/>
    <w:qFormat/>
    <w:rsid w:val="004D313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D313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D313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D313B"/>
    <w:rPr>
      <w:rFonts w:asciiTheme="majorHAnsi" w:eastAsiaTheme="majorEastAsia" w:hAnsiTheme="majorHAnsi"/>
      <w:sz w:val="24"/>
      <w:szCs w:val="24"/>
    </w:rPr>
  </w:style>
  <w:style w:type="character" w:styleId="Strong">
    <w:name w:val="Strong"/>
    <w:basedOn w:val="DefaultParagraphFont"/>
    <w:uiPriority w:val="22"/>
    <w:qFormat/>
    <w:rsid w:val="004D313B"/>
    <w:rPr>
      <w:b/>
      <w:bCs/>
    </w:rPr>
  </w:style>
  <w:style w:type="character" w:styleId="Emphasis">
    <w:name w:val="Emphasis"/>
    <w:basedOn w:val="DefaultParagraphFont"/>
    <w:uiPriority w:val="20"/>
    <w:qFormat/>
    <w:rsid w:val="004D313B"/>
    <w:rPr>
      <w:rFonts w:asciiTheme="minorHAnsi" w:hAnsiTheme="minorHAnsi"/>
      <w:b/>
      <w:i/>
      <w:iCs/>
    </w:rPr>
  </w:style>
  <w:style w:type="paragraph" w:styleId="NoSpacing">
    <w:name w:val="No Spacing"/>
    <w:basedOn w:val="Normal"/>
    <w:uiPriority w:val="1"/>
    <w:qFormat/>
    <w:rsid w:val="004D313B"/>
    <w:rPr>
      <w:szCs w:val="32"/>
    </w:rPr>
  </w:style>
  <w:style w:type="paragraph" w:styleId="Quote">
    <w:name w:val="Quote"/>
    <w:basedOn w:val="Normal"/>
    <w:next w:val="Normal"/>
    <w:link w:val="QuoteChar"/>
    <w:uiPriority w:val="29"/>
    <w:qFormat/>
    <w:rsid w:val="004D313B"/>
    <w:rPr>
      <w:i/>
    </w:rPr>
  </w:style>
  <w:style w:type="character" w:customStyle="1" w:styleId="QuoteChar">
    <w:name w:val="Quote Char"/>
    <w:basedOn w:val="DefaultParagraphFont"/>
    <w:link w:val="Quote"/>
    <w:uiPriority w:val="29"/>
    <w:rsid w:val="004D313B"/>
    <w:rPr>
      <w:i/>
      <w:sz w:val="24"/>
      <w:szCs w:val="24"/>
    </w:rPr>
  </w:style>
  <w:style w:type="paragraph" w:styleId="IntenseQuote">
    <w:name w:val="Intense Quote"/>
    <w:basedOn w:val="Normal"/>
    <w:next w:val="Normal"/>
    <w:link w:val="IntenseQuoteChar"/>
    <w:uiPriority w:val="30"/>
    <w:qFormat/>
    <w:rsid w:val="004D313B"/>
    <w:pPr>
      <w:ind w:left="720" w:right="720"/>
    </w:pPr>
    <w:rPr>
      <w:b/>
      <w:i/>
      <w:szCs w:val="22"/>
    </w:rPr>
  </w:style>
  <w:style w:type="character" w:customStyle="1" w:styleId="IntenseQuoteChar">
    <w:name w:val="Intense Quote Char"/>
    <w:basedOn w:val="DefaultParagraphFont"/>
    <w:link w:val="IntenseQuote"/>
    <w:uiPriority w:val="30"/>
    <w:rsid w:val="004D313B"/>
    <w:rPr>
      <w:b/>
      <w:i/>
      <w:sz w:val="24"/>
    </w:rPr>
  </w:style>
  <w:style w:type="character" w:styleId="SubtleEmphasis">
    <w:name w:val="Subtle Emphasis"/>
    <w:uiPriority w:val="19"/>
    <w:qFormat/>
    <w:rsid w:val="004D313B"/>
    <w:rPr>
      <w:i/>
      <w:color w:val="5A5A5A" w:themeColor="text1" w:themeTint="A5"/>
    </w:rPr>
  </w:style>
  <w:style w:type="character" w:styleId="IntenseEmphasis">
    <w:name w:val="Intense Emphasis"/>
    <w:basedOn w:val="DefaultParagraphFont"/>
    <w:uiPriority w:val="21"/>
    <w:qFormat/>
    <w:rsid w:val="004D313B"/>
    <w:rPr>
      <w:b/>
      <w:i/>
      <w:sz w:val="24"/>
      <w:szCs w:val="24"/>
      <w:u w:val="single"/>
    </w:rPr>
  </w:style>
  <w:style w:type="character" w:styleId="SubtleReference">
    <w:name w:val="Subtle Reference"/>
    <w:basedOn w:val="DefaultParagraphFont"/>
    <w:uiPriority w:val="31"/>
    <w:qFormat/>
    <w:rsid w:val="004D313B"/>
    <w:rPr>
      <w:sz w:val="24"/>
      <w:szCs w:val="24"/>
      <w:u w:val="single"/>
    </w:rPr>
  </w:style>
  <w:style w:type="character" w:styleId="IntenseReference">
    <w:name w:val="Intense Reference"/>
    <w:basedOn w:val="DefaultParagraphFont"/>
    <w:uiPriority w:val="32"/>
    <w:qFormat/>
    <w:rsid w:val="004D313B"/>
    <w:rPr>
      <w:b/>
      <w:sz w:val="24"/>
      <w:u w:val="single"/>
    </w:rPr>
  </w:style>
  <w:style w:type="character" w:styleId="BookTitle">
    <w:name w:val="Book Title"/>
    <w:basedOn w:val="DefaultParagraphFont"/>
    <w:uiPriority w:val="33"/>
    <w:qFormat/>
    <w:rsid w:val="004D313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D313B"/>
    <w:pPr>
      <w:outlineLvl w:val="9"/>
    </w:pPr>
    <w:rPr>
      <w:rFonts w:cs="Times New Roman"/>
    </w:rPr>
  </w:style>
  <w:style w:type="character" w:styleId="CommentReference">
    <w:name w:val="annotation reference"/>
    <w:basedOn w:val="DefaultParagraphFont"/>
    <w:uiPriority w:val="99"/>
    <w:semiHidden/>
    <w:unhideWhenUsed/>
    <w:rsid w:val="00917B80"/>
    <w:rPr>
      <w:sz w:val="16"/>
      <w:szCs w:val="16"/>
    </w:rPr>
  </w:style>
  <w:style w:type="paragraph" w:styleId="CommentText">
    <w:name w:val="annotation text"/>
    <w:basedOn w:val="Normal"/>
    <w:link w:val="CommentTextChar"/>
    <w:uiPriority w:val="99"/>
    <w:unhideWhenUsed/>
    <w:rsid w:val="00917B80"/>
    <w:rPr>
      <w:sz w:val="20"/>
      <w:szCs w:val="20"/>
    </w:rPr>
  </w:style>
  <w:style w:type="character" w:customStyle="1" w:styleId="CommentTextChar">
    <w:name w:val="Comment Text Char"/>
    <w:basedOn w:val="DefaultParagraphFont"/>
    <w:link w:val="CommentText"/>
    <w:uiPriority w:val="99"/>
    <w:rsid w:val="00917B80"/>
    <w:rPr>
      <w:sz w:val="20"/>
      <w:szCs w:val="20"/>
    </w:rPr>
  </w:style>
  <w:style w:type="paragraph" w:styleId="CommentSubject">
    <w:name w:val="annotation subject"/>
    <w:basedOn w:val="CommentText"/>
    <w:next w:val="CommentText"/>
    <w:link w:val="CommentSubjectChar"/>
    <w:uiPriority w:val="99"/>
    <w:semiHidden/>
    <w:unhideWhenUsed/>
    <w:rsid w:val="00917B80"/>
    <w:rPr>
      <w:b/>
      <w:bCs/>
    </w:rPr>
  </w:style>
  <w:style w:type="character" w:customStyle="1" w:styleId="CommentSubjectChar">
    <w:name w:val="Comment Subject Char"/>
    <w:basedOn w:val="CommentTextChar"/>
    <w:link w:val="CommentSubject"/>
    <w:uiPriority w:val="99"/>
    <w:semiHidden/>
    <w:rsid w:val="00917B80"/>
    <w:rPr>
      <w:b/>
      <w:bCs/>
      <w:sz w:val="20"/>
      <w:szCs w:val="20"/>
    </w:rPr>
  </w:style>
  <w:style w:type="paragraph" w:styleId="BalloonText">
    <w:name w:val="Balloon Text"/>
    <w:basedOn w:val="Normal"/>
    <w:link w:val="BalloonTextChar"/>
    <w:uiPriority w:val="99"/>
    <w:semiHidden/>
    <w:unhideWhenUsed/>
    <w:rsid w:val="00917B80"/>
    <w:rPr>
      <w:rFonts w:ascii="Tahoma" w:hAnsi="Tahoma" w:cs="Tahoma"/>
      <w:sz w:val="16"/>
      <w:szCs w:val="16"/>
    </w:rPr>
  </w:style>
  <w:style w:type="character" w:customStyle="1" w:styleId="BalloonTextChar">
    <w:name w:val="Balloon Text Char"/>
    <w:basedOn w:val="DefaultParagraphFont"/>
    <w:link w:val="BalloonText"/>
    <w:uiPriority w:val="99"/>
    <w:semiHidden/>
    <w:rsid w:val="00917B80"/>
    <w:rPr>
      <w:rFonts w:ascii="Tahoma" w:hAnsi="Tahoma" w:cs="Tahoma"/>
      <w:sz w:val="16"/>
      <w:szCs w:val="16"/>
    </w:rPr>
  </w:style>
  <w:style w:type="paragraph" w:styleId="TOC1">
    <w:name w:val="toc 1"/>
    <w:basedOn w:val="Normal"/>
    <w:next w:val="Normal"/>
    <w:autoRedefine/>
    <w:uiPriority w:val="39"/>
    <w:unhideWhenUsed/>
    <w:rsid w:val="00DF4445"/>
    <w:pPr>
      <w:tabs>
        <w:tab w:val="right" w:leader="dot" w:pos="8640"/>
      </w:tabs>
      <w:spacing w:after="100"/>
      <w:ind w:left="360" w:hanging="360"/>
    </w:pPr>
    <w:rPr>
      <w:rFonts w:ascii="Times New Roman" w:hAnsi="Times New Roman"/>
      <w:b/>
      <w:noProof/>
    </w:rPr>
  </w:style>
  <w:style w:type="paragraph" w:styleId="TOC2">
    <w:name w:val="toc 2"/>
    <w:basedOn w:val="Normal"/>
    <w:next w:val="Normal"/>
    <w:autoRedefine/>
    <w:uiPriority w:val="39"/>
    <w:unhideWhenUsed/>
    <w:rsid w:val="00D95961"/>
    <w:pPr>
      <w:tabs>
        <w:tab w:val="left" w:pos="880"/>
        <w:tab w:val="right" w:leader="dot" w:pos="8640"/>
      </w:tabs>
      <w:spacing w:after="100"/>
      <w:ind w:left="634" w:hanging="360"/>
    </w:pPr>
  </w:style>
  <w:style w:type="paragraph" w:styleId="TOC3">
    <w:name w:val="toc 3"/>
    <w:basedOn w:val="Normal"/>
    <w:next w:val="Normal"/>
    <w:autoRedefine/>
    <w:uiPriority w:val="39"/>
    <w:unhideWhenUsed/>
    <w:rsid w:val="00DF4445"/>
    <w:pPr>
      <w:tabs>
        <w:tab w:val="left" w:pos="900"/>
        <w:tab w:val="right" w:leader="dot" w:pos="8640"/>
      </w:tabs>
      <w:spacing w:after="100" w:line="264" w:lineRule="auto"/>
      <w:ind w:left="630"/>
    </w:pPr>
  </w:style>
  <w:style w:type="table" w:styleId="TableGrid">
    <w:name w:val="Table Grid"/>
    <w:basedOn w:val="TableNormal"/>
    <w:uiPriority w:val="59"/>
    <w:rsid w:val="00C15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A01C6"/>
    <w:rPr>
      <w:sz w:val="24"/>
      <w:szCs w:val="24"/>
    </w:rPr>
  </w:style>
  <w:style w:type="paragraph" w:styleId="HTMLPreformatted">
    <w:name w:val="HTML Preformatted"/>
    <w:basedOn w:val="Normal"/>
    <w:link w:val="HTMLPreformattedChar"/>
    <w:uiPriority w:val="99"/>
    <w:semiHidden/>
    <w:unhideWhenUsed/>
    <w:rsid w:val="003B0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B064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113527">
      <w:bodyDiv w:val="1"/>
      <w:marLeft w:val="0"/>
      <w:marRight w:val="0"/>
      <w:marTop w:val="0"/>
      <w:marBottom w:val="0"/>
      <w:divBdr>
        <w:top w:val="none" w:sz="0" w:space="0" w:color="auto"/>
        <w:left w:val="none" w:sz="0" w:space="0" w:color="auto"/>
        <w:bottom w:val="none" w:sz="0" w:space="0" w:color="auto"/>
        <w:right w:val="none" w:sz="0" w:space="0" w:color="auto"/>
      </w:divBdr>
    </w:div>
    <w:div w:id="460003601">
      <w:bodyDiv w:val="1"/>
      <w:marLeft w:val="0"/>
      <w:marRight w:val="0"/>
      <w:marTop w:val="0"/>
      <w:marBottom w:val="0"/>
      <w:divBdr>
        <w:top w:val="none" w:sz="0" w:space="0" w:color="auto"/>
        <w:left w:val="none" w:sz="0" w:space="0" w:color="auto"/>
        <w:bottom w:val="none" w:sz="0" w:space="0" w:color="auto"/>
        <w:right w:val="none" w:sz="0" w:space="0" w:color="auto"/>
      </w:divBdr>
    </w:div>
    <w:div w:id="1062756642">
      <w:bodyDiv w:val="1"/>
      <w:marLeft w:val="0"/>
      <w:marRight w:val="0"/>
      <w:marTop w:val="0"/>
      <w:marBottom w:val="0"/>
      <w:divBdr>
        <w:top w:val="none" w:sz="0" w:space="0" w:color="auto"/>
        <w:left w:val="none" w:sz="0" w:space="0" w:color="auto"/>
        <w:bottom w:val="none" w:sz="0" w:space="0" w:color="auto"/>
        <w:right w:val="none" w:sz="0" w:space="0" w:color="auto"/>
      </w:divBdr>
    </w:div>
    <w:div w:id="1072434378">
      <w:bodyDiv w:val="1"/>
      <w:marLeft w:val="0"/>
      <w:marRight w:val="0"/>
      <w:marTop w:val="0"/>
      <w:marBottom w:val="0"/>
      <w:divBdr>
        <w:top w:val="none" w:sz="0" w:space="0" w:color="auto"/>
        <w:left w:val="none" w:sz="0" w:space="0" w:color="auto"/>
        <w:bottom w:val="none" w:sz="0" w:space="0" w:color="auto"/>
        <w:right w:val="none" w:sz="0" w:space="0" w:color="auto"/>
      </w:divBdr>
    </w:div>
    <w:div w:id="112643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nergycommerce.house.gov/news-center/press-releases/more-american-energy-lower-prices" TargetMode="External"/><Relationship Id="rId2" Type="http://schemas.openxmlformats.org/officeDocument/2006/relationships/hyperlink" Target="https://www.eia.gov/naturalgas/archive/ngprivolatility.pdf" TargetMode="External"/><Relationship Id="rId1" Type="http://schemas.openxmlformats.org/officeDocument/2006/relationships/hyperlink" Target="https://www.iso.org/obp/ui/" TargetMode="External"/><Relationship Id="rId5" Type="http://schemas.openxmlformats.org/officeDocument/2006/relationships/hyperlink" Target="http://www.eia.gov/todayinenergy/detail.php?id=25232" TargetMode="External"/><Relationship Id="rId4" Type="http://schemas.openxmlformats.org/officeDocument/2006/relationships/hyperlink" Target="https://www.eia.gov/dnav/ng/hist/rngwhhdm.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571865091E4C84C967B36836C045D32" ma:contentTypeVersion="135" ma:contentTypeDescription="" ma:contentTypeScope="" ma:versionID="b4efaadc31c4967e6df4729b6386d38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Order - Other</DocumentSetType>
    <Visibility xmlns="dc463f71-b30c-4ab2-9473-d307f9d35888" xsi:nil="tru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2013-10-30T07:00:00+00:00</OpenedDate>
    <Date1 xmlns="dc463f71-b30c-4ab2-9473-d307f9d35888">2017-03-13T07:00:00+00:00</Date1>
    <IsDocumentOrder xmlns="dc463f71-b30c-4ab2-9473-d307f9d35888">true</IsDocumentOrder>
    <IsHighlyConfidential xmlns="dc463f71-b30c-4ab2-9473-d307f9d35888">false</IsHighlyConfidential>
    <CaseCompanyNames xmlns="dc463f71-b30c-4ab2-9473-d307f9d35888" xsi:nil="true"/>
    <Nickname xmlns="http://schemas.microsoft.com/sharepoint/v3" xsi:nil="true"/>
    <DocketNumber xmlns="dc463f71-b30c-4ab2-9473-d307f9d35888">132019</DocketNumber>
    <DelegatedOrder xmlns="dc463f71-b30c-4ab2-9473-d307f9d35888">false</DelegatedOrder>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2402F79-81AD-4095-A53C-6E9A5C2F24DC}"/>
</file>

<file path=customXml/itemProps2.xml><?xml version="1.0" encoding="utf-8"?>
<ds:datastoreItem xmlns:ds="http://schemas.openxmlformats.org/officeDocument/2006/customXml" ds:itemID="{34809197-935D-4B81-8ED7-B80A8EB92F55}">
  <ds:schemaRefs>
    <ds:schemaRef ds:uri="http://schemas.microsoft.com/sharepoint/v3/contenttype/forms"/>
  </ds:schemaRefs>
</ds:datastoreItem>
</file>

<file path=customXml/itemProps3.xml><?xml version="1.0" encoding="utf-8"?>
<ds:datastoreItem xmlns:ds="http://schemas.openxmlformats.org/officeDocument/2006/customXml" ds:itemID="{243C8D5E-D140-4E5E-94DF-0B8B3D503457}">
  <ds:schemaRefs>
    <ds:schemaRef ds:uri="http://schemas.microsoft.com/office/2006/documentManagement/types"/>
    <ds:schemaRef ds:uri="http://purl.org/dc/terms/"/>
    <ds:schemaRef ds:uri="http://purl.org/dc/elements/1.1/"/>
    <ds:schemaRef ds:uri="http://purl.org/dc/dcmitype/"/>
    <ds:schemaRef ds:uri="http://www.w3.org/XML/1998/namespace"/>
    <ds:schemaRef ds:uri="http://schemas.openxmlformats.org/package/2006/metadata/core-properties"/>
    <ds:schemaRef ds:uri="http://schemas.microsoft.com/office/infopath/2007/PartnerControls"/>
    <ds:schemaRef ds:uri="fdbe071c-6926-4705-b29f-f52cff258abe"/>
    <ds:schemaRef ds:uri="http://schemas.microsoft.com/office/2006/metadata/properties"/>
  </ds:schemaRefs>
</ds:datastoreItem>
</file>

<file path=customXml/itemProps4.xml><?xml version="1.0" encoding="utf-8"?>
<ds:datastoreItem xmlns:ds="http://schemas.openxmlformats.org/officeDocument/2006/customXml" ds:itemID="{CC23A149-427F-40B3-9760-F587FE213CCC}">
  <ds:schemaRefs>
    <ds:schemaRef ds:uri="http://schemas.openxmlformats.org/officeDocument/2006/bibliography"/>
  </ds:schemaRefs>
</ds:datastoreItem>
</file>

<file path=customXml/itemProps5.xml><?xml version="1.0" encoding="utf-8"?>
<ds:datastoreItem xmlns:ds="http://schemas.openxmlformats.org/officeDocument/2006/customXml" ds:itemID="{E76E23CD-0886-48ED-8922-01D70135182D}"/>
</file>

<file path=docProps/app.xml><?xml version="1.0" encoding="utf-8"?>
<Properties xmlns="http://schemas.openxmlformats.org/officeDocument/2006/extended-properties" xmlns:vt="http://schemas.openxmlformats.org/officeDocument/2006/docPropsVTypes">
  <Template>Normal</Template>
  <TotalTime>3</TotalTime>
  <Pages>16</Pages>
  <Words>4493</Words>
  <Characters>25616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Hedging Policy Statement</dc:title>
  <dc:creator>Andrews, Amy (UTC)</dc:creator>
  <cp:lastModifiedBy>Doyle, Paige (UTC)</cp:lastModifiedBy>
  <cp:revision>3</cp:revision>
  <cp:lastPrinted>2017-03-07T00:02:00Z</cp:lastPrinted>
  <dcterms:created xsi:type="dcterms:W3CDTF">2017-03-09T22:12:00Z</dcterms:created>
  <dcterms:modified xsi:type="dcterms:W3CDTF">2017-03-10T16:19:00Z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0x0101006E56B4D1795A2E4DB2F0B01679ED314A005571865091E4C84C967B36836C045D32</vt:lpwstr>
  </property>
  <property fmtid="{D5CDD505-2E9C-101B-9397-08002B2CF9AE}" pid="3" name="_docset_NoMedatataSyncRequired">
    <vt:lpwstr>False</vt:lpwstr>
  </property>
  <property fmtid="{D5CDD505-2E9C-101B-9397-08002B2CF9AE}" pid="4" name="IsEFSEC">
    <vt:bool>false</vt:bool>
  </property>
</Properties>
</file>