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 xml:space="preserve">S </w:t>
            </w:r>
            <w:r w:rsidR="00BC6A63">
              <w:t xml:space="preserve">REPLY </w:t>
            </w:r>
            <w:r w:rsidR="00D71179">
              <w:t>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 xml:space="preserve">S </w:t>
            </w:r>
            <w:r w:rsidR="00BC6A63">
              <w:t xml:space="preserve">REPLY </w:t>
            </w:r>
            <w:r>
              <w:t>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966B86" w:rsidRDefault="00D130B2" w:rsidP="00133DE7">
      <w:pPr>
        <w:numPr>
          <w:ilvl w:val="0"/>
          <w:numId w:val="1"/>
        </w:numPr>
        <w:spacing w:line="480" w:lineRule="auto"/>
        <w:ind w:hanging="720"/>
      </w:pPr>
      <w:r>
        <w:lastRenderedPageBreak/>
        <w:t>Rabanco files this brief Reply Statement in support of the industry proposal revising Tariff Item 30 to encompass the circumstance of work stoppages precipitating missed solid waste and recycling collection pick-ups.  As all parties</w:t>
      </w:r>
      <w:r>
        <w:rPr>
          <w:rStyle w:val="FootnoteReference"/>
        </w:rPr>
        <w:footnoteReference w:id="1"/>
      </w:r>
      <w:r>
        <w:t xml:space="preserve"> observed, the current solid waste tariff template “contains no provisions for labor disruptions.</w:t>
      </w:r>
      <w:r w:rsidR="00E562C5">
        <w:t>”</w:t>
      </w:r>
      <w:r>
        <w:rPr>
          <w:rStyle w:val="FootnoteReference"/>
        </w:rPr>
        <w:footnoteReference w:id="2"/>
      </w:r>
      <w:r>
        <w:t xml:space="preserve">  That is a circumstance which should change, not only for the two respondents in these dockets whose individual tariffs </w:t>
      </w:r>
      <w:r w:rsidR="001E44C2">
        <w:t xml:space="preserve">generally addressing work stoppages </w:t>
      </w:r>
      <w:r>
        <w:t xml:space="preserve">have, by operation of law, become effective with some form of generalized </w:t>
      </w:r>
      <w:r w:rsidR="00E562C5">
        <w:t xml:space="preserve">recognition of </w:t>
      </w:r>
      <w:r>
        <w:t>work stoppages</w:t>
      </w:r>
      <w:r w:rsidR="00E562C5">
        <w:t xml:space="preserve"> on regulated service</w:t>
      </w:r>
      <w:r>
        <w:t xml:space="preserve">, but for the </w:t>
      </w:r>
      <w:r w:rsidR="00E562C5">
        <w:t xml:space="preserve">other </w:t>
      </w:r>
      <w:r>
        <w:t>solid waste collection companies whose operations could be subject to disruption by work stoppages.</w:t>
      </w:r>
    </w:p>
    <w:p w:rsidR="00CB08FC" w:rsidRPr="00CB08FC" w:rsidRDefault="00CB08FC" w:rsidP="00CB08FC">
      <w:pPr>
        <w:spacing w:line="480" w:lineRule="auto"/>
        <w:jc w:val="center"/>
        <w:rPr>
          <w:u w:val="single"/>
        </w:rPr>
      </w:pPr>
      <w:r>
        <w:t xml:space="preserve">1.  </w:t>
      </w:r>
      <w:r>
        <w:rPr>
          <w:u w:val="single"/>
        </w:rPr>
        <w:t>Agreement Points</w:t>
      </w:r>
    </w:p>
    <w:p w:rsidR="00D130B2" w:rsidRDefault="00D130B2" w:rsidP="00133DE7">
      <w:pPr>
        <w:numPr>
          <w:ilvl w:val="0"/>
          <w:numId w:val="1"/>
        </w:numPr>
        <w:spacing w:line="480" w:lineRule="auto"/>
        <w:ind w:hanging="720"/>
      </w:pPr>
      <w:r>
        <w:t xml:space="preserve">As the initial Statements/Briefs filed in support of the </w:t>
      </w:r>
      <w:r w:rsidR="00CB08FC">
        <w:t>I</w:t>
      </w:r>
      <w:r>
        <w:t>ndustry/”</w:t>
      </w:r>
      <w:r w:rsidR="00CB08FC">
        <w:t>H</w:t>
      </w:r>
      <w:r>
        <w:t>aulers</w:t>
      </w:r>
      <w:r w:rsidR="001E44C2">
        <w:t>’</w:t>
      </w:r>
      <w:r>
        <w:t xml:space="preserve">” proposal and the WUTC Staff proposed </w:t>
      </w:r>
      <w:r w:rsidR="001E44C2">
        <w:t>Item 30 Tariff language reflect</w:t>
      </w:r>
      <w:r>
        <w:t>, all parties to these proceedings advo</w:t>
      </w:r>
      <w:r w:rsidR="00422EDC">
        <w:t xml:space="preserve">cate additional detail, communication </w:t>
      </w:r>
      <w:r>
        <w:t>and description in the Commission tariff template specifying some generalized performance standards for response</w:t>
      </w:r>
      <w:r w:rsidR="00E562C5">
        <w:t>s</w:t>
      </w:r>
      <w:r>
        <w:t xml:space="preserve"> by the regulated service providers</w:t>
      </w:r>
      <w:r w:rsidR="001E44C2">
        <w:t xml:space="preserve"> to work stoppages who must use, </w:t>
      </w:r>
      <w:r w:rsidR="001E44C2">
        <w:rPr>
          <w:i/>
        </w:rPr>
        <w:t xml:space="preserve">inter </w:t>
      </w:r>
      <w:r w:rsidR="001E44C2" w:rsidRPr="001E44C2">
        <w:rPr>
          <w:i/>
        </w:rPr>
        <w:t>alia</w:t>
      </w:r>
      <w:r w:rsidR="001E44C2">
        <w:t xml:space="preserve">, </w:t>
      </w:r>
      <w:r w:rsidRPr="001E44C2">
        <w:t>all</w:t>
      </w:r>
      <w:r>
        <w:t xml:space="preserve"> “reasonable, practical” means to resume service and specifying criteria the Commission will use to evaluate that response.</w:t>
      </w:r>
    </w:p>
    <w:p w:rsidR="00D130B2" w:rsidRDefault="00D130B2" w:rsidP="00133DE7">
      <w:pPr>
        <w:numPr>
          <w:ilvl w:val="0"/>
          <w:numId w:val="1"/>
        </w:numPr>
        <w:spacing w:line="480" w:lineRule="auto"/>
        <w:ind w:hanging="720"/>
      </w:pPr>
      <w:r>
        <w:t xml:space="preserve">There was also </w:t>
      </w:r>
      <w:r w:rsidR="00CB08FC">
        <w:t xml:space="preserve">uniform </w:t>
      </w:r>
      <w:r>
        <w:t>agreement on the need to provide customer credits whe</w:t>
      </w:r>
      <w:r w:rsidR="00576E1A">
        <w:t>n</w:t>
      </w:r>
      <w:r>
        <w:t xml:space="preserve"> regulated service is not resumed by “the next regularly-scheduled service date.”  All parties agree that credits must be issued </w:t>
      </w:r>
      <w:r w:rsidR="001E44C2">
        <w:t xml:space="preserve">and no extras (if tendered at reasonably equivalent amounts) </w:t>
      </w:r>
      <w:r>
        <w:t xml:space="preserve">charged </w:t>
      </w:r>
      <w:r w:rsidR="006A15B2">
        <w:t xml:space="preserve">if service is not resumed by that next scheduled pick-up </w:t>
      </w:r>
      <w:r w:rsidR="006A15B2">
        <w:lastRenderedPageBreak/>
        <w:t>date be it weekly, bi-weekly (i.e. for yard waste and/or curbside recycling) or more than once a week for commercial accounts.</w:t>
      </w:r>
    </w:p>
    <w:p w:rsidR="00CB08FC" w:rsidRPr="00CB08FC" w:rsidRDefault="00CB08FC" w:rsidP="00CB08FC">
      <w:pPr>
        <w:spacing w:line="480" w:lineRule="auto"/>
        <w:jc w:val="center"/>
        <w:rPr>
          <w:u w:val="single"/>
        </w:rPr>
      </w:pPr>
      <w:r>
        <w:t xml:space="preserve">2.  </w:t>
      </w:r>
      <w:r>
        <w:rPr>
          <w:u w:val="single"/>
        </w:rPr>
        <w:t>Service Resumption Interval – Fluid or Defined?</w:t>
      </w:r>
    </w:p>
    <w:p w:rsidR="006A15B2" w:rsidRDefault="00A5358C" w:rsidP="00133DE7">
      <w:pPr>
        <w:numPr>
          <w:ilvl w:val="0"/>
          <w:numId w:val="1"/>
        </w:numPr>
        <w:spacing w:line="480" w:lineRule="auto"/>
        <w:ind w:hanging="720"/>
      </w:pPr>
      <w:r>
        <w:t>After the initial briefing stage, t</w:t>
      </w:r>
      <w:r w:rsidR="001E44C2">
        <w:t xml:space="preserve">he </w:t>
      </w:r>
      <w:r w:rsidR="00E562C5">
        <w:t xml:space="preserve">material </w:t>
      </w:r>
      <w:r w:rsidR="001E44C2">
        <w:t xml:space="preserve">disagreement remains </w:t>
      </w:r>
      <w:r w:rsidR="00E562C5">
        <w:t xml:space="preserve">in </w:t>
      </w:r>
      <w:r w:rsidR="006A15B2">
        <w:t xml:space="preserve">defining when the </w:t>
      </w:r>
      <w:r w:rsidR="001E44C2">
        <w:t>interval R</w:t>
      </w:r>
      <w:r w:rsidR="006A15B2">
        <w:t xml:space="preserve">espondents and the WUTC Staff </w:t>
      </w:r>
      <w:r w:rsidR="001E44C2">
        <w:t xml:space="preserve">believe </w:t>
      </w:r>
      <w:r w:rsidR="006A15B2">
        <w:t xml:space="preserve">service resumption should begin.  </w:t>
      </w:r>
      <w:r w:rsidR="00E562C5">
        <w:t>T</w:t>
      </w:r>
      <w:r w:rsidR="006A15B2">
        <w:t>he WUTC Staff does not define or quantify when “a ‘deadline’ to resume regularly-scheduled service” should occur,</w:t>
      </w:r>
      <w:r w:rsidR="006A15B2">
        <w:rPr>
          <w:rStyle w:val="FootnoteReference"/>
        </w:rPr>
        <w:footnoteReference w:id="3"/>
      </w:r>
      <w:r w:rsidR="006A15B2">
        <w:t xml:space="preserve"> arguing that labor disruption should be addressed on a case-by-case basis and essentially </w:t>
      </w:r>
      <w:r w:rsidR="001E44C2">
        <w:t>that “one size does not fit all</w:t>
      </w:r>
      <w:r w:rsidR="006A15B2">
        <w:t>”</w:t>
      </w:r>
      <w:r w:rsidR="001E44C2">
        <w:t xml:space="preserve"> and that it would somehow be counter-productive to identify a service lapse interval.</w:t>
      </w:r>
    </w:p>
    <w:p w:rsidR="00496732" w:rsidRDefault="006A15B2" w:rsidP="00496732">
      <w:pPr>
        <w:numPr>
          <w:ilvl w:val="0"/>
          <w:numId w:val="1"/>
        </w:numPr>
        <w:spacing w:line="480" w:lineRule="auto"/>
        <w:ind w:hanging="720"/>
      </w:pPr>
      <w:r>
        <w:t xml:space="preserve">Rabanco believes this argument </w:t>
      </w:r>
      <w:r w:rsidR="00E562C5">
        <w:t xml:space="preserve">ultimately </w:t>
      </w:r>
      <w:r>
        <w:t xml:space="preserve">misses the point.  While generalized discretionary language on performance during a work stoppage interval is concisely set forth at paragraph 6(f), Exhibit A of Rabanco’s Statement in Support of the Industry </w:t>
      </w:r>
      <w:r w:rsidR="001E44C2">
        <w:t>P</w:t>
      </w:r>
      <w:r>
        <w:t xml:space="preserve">roposal, also included there is the </w:t>
      </w:r>
      <w:r w:rsidR="00E562C5">
        <w:t>oft</w:t>
      </w:r>
      <w:r w:rsidR="001E44C2">
        <w:t xml:space="preserve">-discussed </w:t>
      </w:r>
      <w:r>
        <w:t>metric for service resumption of five business days not including the day of the strike.  For all of the reasons articulated by Rabanco, WMW and Rabanco in their opening submissions in support, Rabanco believes that specification and quantification of a service resumption interval is crit</w:t>
      </w:r>
      <w:r w:rsidR="00713AF9">
        <w:t xml:space="preserve">ical for organization, planning, public safety </w:t>
      </w:r>
      <w:r>
        <w:t xml:space="preserve">and customer service reasons and </w:t>
      </w:r>
      <w:r w:rsidR="00422EDC">
        <w:t xml:space="preserve">failure </w:t>
      </w:r>
      <w:r>
        <w:t xml:space="preserve">to so articulate perpetuates uncertainty and lack of transparency as to obligations/expectations </w:t>
      </w:r>
      <w:r w:rsidR="001E44C2">
        <w:t xml:space="preserve">during </w:t>
      </w:r>
      <w:r>
        <w:t xml:space="preserve">service disruption intervals and will contribute </w:t>
      </w:r>
      <w:r w:rsidR="00E562C5">
        <w:t xml:space="preserve">generally </w:t>
      </w:r>
      <w:r>
        <w:t xml:space="preserve">to confusion and an overall lack of </w:t>
      </w:r>
      <w:r w:rsidR="00E562C5">
        <w:t xml:space="preserve">practical </w:t>
      </w:r>
      <w:r>
        <w:t>information for customers and county governments alike</w:t>
      </w:r>
      <w:r w:rsidR="001E44C2">
        <w:t xml:space="preserve"> in confronting the various issues raised by solid waste service suspension</w:t>
      </w:r>
      <w:r>
        <w:t>.</w:t>
      </w:r>
    </w:p>
    <w:p w:rsidR="00496732" w:rsidRDefault="00496732" w:rsidP="00496732">
      <w:pPr>
        <w:numPr>
          <w:ilvl w:val="0"/>
          <w:numId w:val="1"/>
        </w:numPr>
        <w:spacing w:line="480" w:lineRule="auto"/>
        <w:ind w:hanging="720"/>
      </w:pPr>
      <w:r>
        <w:lastRenderedPageBreak/>
        <w:t xml:space="preserve">The Staff’s underlying rationale for not quantifying any service disruption interval seems to be reflected at ¶ 11 of its Brief: </w:t>
      </w:r>
    </w:p>
    <w:p w:rsidR="00496732" w:rsidRDefault="00496732" w:rsidP="00496732">
      <w:pPr>
        <w:ind w:left="720" w:right="720"/>
      </w:pPr>
      <w:r>
        <w:t>Staff’s proposal places the burden on the company to act in the public interest when making decisions during the labor negotiations and provides the company with an opportunity to provide a detailed explanation of its actions to the Commission when the labor d</w:t>
      </w:r>
      <w:r w:rsidR="00422EDC">
        <w:t>isruption has ended.</w:t>
      </w:r>
      <w:r w:rsidR="00422EDC">
        <w:rPr>
          <w:rStyle w:val="FootnoteReference"/>
        </w:rPr>
        <w:footnoteReference w:id="4"/>
      </w:r>
    </w:p>
    <w:p w:rsidR="00CB08FC" w:rsidRDefault="00CB08FC" w:rsidP="00496732">
      <w:pPr>
        <w:ind w:left="720" w:right="720"/>
      </w:pPr>
    </w:p>
    <w:p w:rsidR="00CB08FC" w:rsidRPr="00CB08FC" w:rsidRDefault="00CB08FC" w:rsidP="00422EDC">
      <w:pPr>
        <w:ind w:right="720"/>
        <w:jc w:val="center"/>
        <w:rPr>
          <w:u w:val="single"/>
        </w:rPr>
      </w:pPr>
      <w:r>
        <w:t xml:space="preserve">3.  </w:t>
      </w:r>
      <w:r>
        <w:rPr>
          <w:u w:val="single"/>
        </w:rPr>
        <w:t>Rational</w:t>
      </w:r>
      <w:r w:rsidR="00422EDC">
        <w:rPr>
          <w:u w:val="single"/>
        </w:rPr>
        <w:t>e</w:t>
      </w:r>
      <w:r>
        <w:rPr>
          <w:u w:val="single"/>
        </w:rPr>
        <w:t xml:space="preserve"> for Articulating a Reasonable Interval for Service Resumption</w:t>
      </w:r>
    </w:p>
    <w:p w:rsidR="00CB08FC" w:rsidRDefault="00CB08FC" w:rsidP="00496732">
      <w:pPr>
        <w:ind w:left="720" w:right="720"/>
      </w:pPr>
    </w:p>
    <w:p w:rsidR="00496732" w:rsidRDefault="00496732" w:rsidP="00496732">
      <w:pPr>
        <w:numPr>
          <w:ilvl w:val="0"/>
          <w:numId w:val="1"/>
        </w:numPr>
        <w:spacing w:line="480" w:lineRule="auto"/>
        <w:ind w:hanging="720"/>
      </w:pPr>
      <w:r>
        <w:t>What Staff fails to acknowledge here is that one vital dimension of the pu</w:t>
      </w:r>
      <w:r w:rsidR="00422EDC">
        <w:t xml:space="preserve">blic interest is negotiation of </w:t>
      </w:r>
      <w:r>
        <w:t xml:space="preserve">labor agreements which maintain reasonable costs for labor that are </w:t>
      </w:r>
      <w:r w:rsidR="00422EDC">
        <w:t xml:space="preserve">in turn </w:t>
      </w:r>
      <w:r>
        <w:t xml:space="preserve">reflected in regulated rates.  Failing to provide for a specified interval of time in which service can be resumed is actually inconsistent with the public interest by constraining </w:t>
      </w:r>
      <w:r w:rsidR="00842B60">
        <w:t xml:space="preserve">company </w:t>
      </w:r>
      <w:r>
        <w:t xml:space="preserve">operational responses to work stoppages and by increasing uncertainty on the part of regulated providers and customers alike in failing to acknowledge any reasonable interval in which service could be expected to be restored.  In the guise of enhancing “fluidity” and discretion, the case-by-case approach advocated by the Staff confuses an individual post-strike performance evaluation which the companies support with </w:t>
      </w:r>
      <w:r w:rsidR="00842B60">
        <w:t xml:space="preserve">a </w:t>
      </w:r>
      <w:r>
        <w:t xml:space="preserve">vacuum of no prescription of any reasonable </w:t>
      </w:r>
      <w:r w:rsidR="00842B60">
        <w:t xml:space="preserve">specified </w:t>
      </w:r>
      <w:r>
        <w:t xml:space="preserve">interval during which service can be suspended without regulatory sanctions.  Staff’s position </w:t>
      </w:r>
      <w:r w:rsidR="00422EDC">
        <w:t xml:space="preserve">here </w:t>
      </w:r>
      <w:r>
        <w:t xml:space="preserve">seems particularly ironic in the context of tariff templates which, after all, are </w:t>
      </w:r>
      <w:r w:rsidR="00842B60">
        <w:t xml:space="preserve">comprised of a myriad of rules and </w:t>
      </w:r>
      <w:r>
        <w:t xml:space="preserve">quantification of highly detailed service issues (i.e. description of allowable distance to curbs before additional changes are imposed, etc.).  Leaving service disruption intervals undefined as to anticipated </w:t>
      </w:r>
      <w:r w:rsidR="00842B60">
        <w:t xml:space="preserve">time </w:t>
      </w:r>
      <w:r>
        <w:t>parameters contravenes the spirit of tariff rules and templates which aim to specify, clarify and objectify conditions of service, not make them more opaque.</w:t>
      </w:r>
    </w:p>
    <w:p w:rsidR="006A15B2" w:rsidRDefault="00A5358C" w:rsidP="00133DE7">
      <w:pPr>
        <w:numPr>
          <w:ilvl w:val="0"/>
          <w:numId w:val="1"/>
        </w:numPr>
        <w:spacing w:line="480" w:lineRule="auto"/>
        <w:ind w:hanging="720"/>
      </w:pPr>
      <w:r>
        <w:lastRenderedPageBreak/>
        <w:t xml:space="preserve">Also highlighted in the industry Statements is the obvious need for internal company coordination in the wake of a strike, the identification and deployment of operating resources and the important safety and regulatory compliance concerns in assigning </w:t>
      </w:r>
      <w:r w:rsidR="00842B60">
        <w:t xml:space="preserve">alternate, </w:t>
      </w:r>
      <w:r>
        <w:t>appropriately licensed personnel and familiariz</w:t>
      </w:r>
      <w:r w:rsidR="00422EDC">
        <w:t xml:space="preserve">ation of </w:t>
      </w:r>
      <w:r>
        <w:t xml:space="preserve">them with various routing and service level attributes unique to solid waste collection operations.  Some </w:t>
      </w:r>
      <w:r w:rsidR="00E562C5">
        <w:t xml:space="preserve">respite </w:t>
      </w:r>
      <w:r>
        <w:t xml:space="preserve">for allowance of same seems particularly consistent with the public health and safety when dealing with accumulation of uncollected </w:t>
      </w:r>
      <w:r w:rsidR="00E562C5">
        <w:t>s</w:t>
      </w:r>
      <w:r w:rsidR="00422EDC">
        <w:t>olid waste and recyclables.  P</w:t>
      </w:r>
      <w:r>
        <w:t>rovi</w:t>
      </w:r>
      <w:r w:rsidR="00E562C5">
        <w:t xml:space="preserve">ding coherent </w:t>
      </w:r>
      <w:r>
        <w:t>time parameters to s</w:t>
      </w:r>
      <w:r w:rsidR="00E562C5">
        <w:t>o</w:t>
      </w:r>
      <w:r w:rsidR="00842B60">
        <w:t xml:space="preserve">lid waste collection companies </w:t>
      </w:r>
      <w:r>
        <w:t>only assists in clarifying operational circumstances confronting those companies and their customers in the face of a work stoppage.</w:t>
      </w:r>
    </w:p>
    <w:p w:rsidR="00E562C5" w:rsidRPr="00E562C5" w:rsidRDefault="00E562C5" w:rsidP="00E562C5">
      <w:pPr>
        <w:spacing w:line="480" w:lineRule="auto"/>
        <w:jc w:val="center"/>
        <w:rPr>
          <w:u w:val="single"/>
        </w:rPr>
      </w:pPr>
      <w:r>
        <w:rPr>
          <w:u w:val="single"/>
        </w:rPr>
        <w:t>CONCLUSION</w:t>
      </w:r>
    </w:p>
    <w:p w:rsidR="003625F8" w:rsidRDefault="00E562C5" w:rsidP="00E91072">
      <w:pPr>
        <w:numPr>
          <w:ilvl w:val="0"/>
          <w:numId w:val="1"/>
        </w:numPr>
        <w:spacing w:line="480" w:lineRule="auto"/>
        <w:ind w:hanging="720"/>
      </w:pPr>
      <w:r>
        <w:t xml:space="preserve">As parties to these proceedings have </w:t>
      </w:r>
      <w:r w:rsidR="00CB08FC">
        <w:t xml:space="preserve">all </w:t>
      </w:r>
      <w:r>
        <w:t xml:space="preserve">noted, the Commission has afforded ample opportunity at various stakeholder sessions, written comment rounds, </w:t>
      </w:r>
      <w:r w:rsidR="00842B60">
        <w:t>O</w:t>
      </w:r>
      <w:r>
        <w:t xml:space="preserve">pen </w:t>
      </w:r>
      <w:r w:rsidR="00842B60">
        <w:t>M</w:t>
      </w:r>
      <w:r w:rsidR="00422EDC">
        <w:t xml:space="preserve">eetings and now, adjudicative proceedings, </w:t>
      </w:r>
      <w:r>
        <w:t>for all interes</w:t>
      </w:r>
      <w:r w:rsidR="00422EDC">
        <w:t xml:space="preserve">ted parties to comment upon and, </w:t>
      </w:r>
      <w:r>
        <w:t>at times</w:t>
      </w:r>
      <w:r w:rsidR="00422EDC">
        <w:t>,</w:t>
      </w:r>
      <w:r>
        <w:t xml:space="preserve"> debate the regulatory policy implications of articulating the circumstances of missed pick-ups for regulated solid waste collection service.  For its part, Rabanco is confident the Commission has a comprehensive record before it to make a fully-</w:t>
      </w:r>
      <w:r w:rsidR="00CB08FC">
        <w:t xml:space="preserve">informed decision and thus </w:t>
      </w:r>
      <w:r>
        <w:t xml:space="preserve">urges the Commission after its review to adopt the </w:t>
      </w:r>
      <w:r w:rsidR="00842B60">
        <w:t>I</w:t>
      </w:r>
      <w:r>
        <w:t xml:space="preserve">ndustry </w:t>
      </w:r>
      <w:r w:rsidR="00842B60">
        <w:t>P</w:t>
      </w:r>
      <w:r>
        <w:t>roposal providing customers, Staff, county governments and the regulated industry more definition</w:t>
      </w:r>
      <w:r w:rsidR="00842B60">
        <w:t xml:space="preserve">al </w:t>
      </w:r>
      <w:r>
        <w:t>guidance in the application of Item 30 in unfortunate work stoppage circumstances.</w:t>
      </w:r>
    </w:p>
    <w:p w:rsidR="00F203A4" w:rsidRDefault="00F203A4" w:rsidP="00506059">
      <w:pPr>
        <w:keepNext/>
        <w:tabs>
          <w:tab w:val="left" w:pos="720"/>
        </w:tabs>
      </w:pPr>
      <w:bookmarkStart w:id="1" w:name="efilesig"/>
      <w:r>
        <w:tab/>
        <w:t xml:space="preserve">DATED this </w:t>
      </w:r>
      <w:r w:rsidR="00713AF9">
        <w:t>30</w:t>
      </w:r>
      <w:r w:rsidR="00713AF9" w:rsidRPr="00713AF9">
        <w:rPr>
          <w:vertAlign w:val="superscript"/>
        </w:rPr>
        <w:t>th</w:t>
      </w:r>
      <w:r w:rsidR="00713AF9">
        <w:t xml:space="preserve"> </w:t>
      </w:r>
      <w:r>
        <w:t>day of August, 2013.</w:t>
      </w:r>
    </w:p>
    <w:p w:rsidR="00F203A4" w:rsidRDefault="00F203A4" w:rsidP="00F203A4">
      <w:pPr>
        <w:keepNext/>
        <w:widowControl w:val="0"/>
        <w:ind w:left="4680"/>
      </w:pPr>
      <w:r>
        <w:t>Respectfully submitted,</w:t>
      </w: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CB08FC">
            <w:pPr>
              <w:keepNext/>
              <w:widowControl w:val="0"/>
            </w:pPr>
            <w:r>
              <w:t>Attorney for Rabanco Ltd.</w:t>
            </w:r>
          </w:p>
        </w:tc>
      </w:tr>
      <w:bookmarkEnd w:id="1"/>
    </w:tbl>
    <w:p w:rsidR="00F203A4" w:rsidRPr="00646F62" w:rsidRDefault="00F203A4" w:rsidP="00F203A4">
      <w:pPr>
        <w:keepNext/>
        <w:keepLines/>
        <w:jc w:val="center"/>
      </w:pPr>
      <w:r>
        <w:rPr>
          <w:rFonts w:ascii="Garamond" w:hAnsi="Garamond"/>
        </w:rPr>
        <w:br w:type="page"/>
      </w:r>
      <w:r w:rsidRPr="00646F62">
        <w:lastRenderedPageBreak/>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713AF9">
        <w:t>30</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FD52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8C" w:rsidRPr="00A5358C" w:rsidRDefault="00A5358C" w:rsidP="00A5358C">
    <w:pPr>
      <w:pStyle w:val="Footer"/>
      <w:tabs>
        <w:tab w:val="clear" w:pos="8640"/>
        <w:tab w:val="right" w:pos="9270"/>
      </w:tabs>
      <w:rPr>
        <w:sz w:val="18"/>
      </w:rPr>
    </w:pPr>
    <w:r w:rsidRPr="00A5358C">
      <w:rPr>
        <w:sz w:val="18"/>
      </w:rPr>
      <w:t>RABANCO’S REPLY STATEMENT IN SUPPORT OF INDUSTRY PROPOSAL REVISING TARIFF ITEM 30</w:t>
    </w:r>
  </w:p>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397C56">
      <w:rPr>
        <w:noProof/>
      </w:rPr>
      <w:t>3</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397C56">
      <w:rPr>
        <w:sz w:val="16"/>
      </w:rPr>
      <w:instrText>1</w:instrText>
    </w:r>
    <w:r w:rsidRPr="006E5E30">
      <w:rPr>
        <w:sz w:val="16"/>
      </w:rPr>
      <w:instrText>" = "1" "</w:instrText>
    </w:r>
    <w:r w:rsidR="00397C56">
      <w:rPr>
        <w:sz w:val="16"/>
      </w:rPr>
      <w:instrText xml:space="preserve"> 4258096.1</w:instrText>
    </w:r>
    <w:r w:rsidRPr="006E5E30">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397C56">
      <w:rPr>
        <w:sz w:val="16"/>
      </w:rPr>
      <w:instrText>1</w:instrText>
    </w:r>
    <w:r w:rsidRPr="007D2D67">
      <w:rPr>
        <w:sz w:val="16"/>
      </w:rPr>
      <w:instrText>" = "1" "</w:instrText>
    </w:r>
    <w:r w:rsidR="00397C56">
      <w:rPr>
        <w:sz w:val="16"/>
      </w:rPr>
      <w:instrText xml:space="preserve"> 4258096.1</w:instrText>
    </w:r>
    <w:r w:rsidRPr="007D2D67">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D130B2" w:rsidRDefault="00D130B2">
      <w:pPr>
        <w:pStyle w:val="FootnoteText"/>
      </w:pPr>
      <w:r>
        <w:rPr>
          <w:rStyle w:val="FootnoteReference"/>
        </w:rPr>
        <w:footnoteRef/>
      </w:r>
      <w:r>
        <w:t xml:space="preserve"> Waste Management of Washington, Inc.</w:t>
      </w:r>
      <w:r w:rsidR="001E44C2">
        <w:t xml:space="preserve"> (“WMW”)</w:t>
      </w:r>
      <w:r>
        <w:t>, the Washington Refuse and Recycling Association (“WRRA”) and the Commission Staff.</w:t>
      </w:r>
    </w:p>
    <w:p w:rsidR="00E562C5" w:rsidRDefault="00E562C5">
      <w:pPr>
        <w:pStyle w:val="FootnoteText"/>
      </w:pPr>
    </w:p>
  </w:footnote>
  <w:footnote w:id="2">
    <w:p w:rsidR="00D130B2" w:rsidRDefault="00D130B2">
      <w:pPr>
        <w:pStyle w:val="FootnoteText"/>
      </w:pPr>
      <w:r>
        <w:rPr>
          <w:rStyle w:val="FootnoteReference"/>
        </w:rPr>
        <w:footnoteRef/>
      </w:r>
      <w:r>
        <w:t xml:space="preserve"> For ex</w:t>
      </w:r>
      <w:r w:rsidR="001E44C2">
        <w:t xml:space="preserve">ample, the Commission Staff </w:t>
      </w:r>
      <w:r w:rsidR="001E1D78">
        <w:t xml:space="preserve">Brief </w:t>
      </w:r>
      <w:r w:rsidR="00576E1A">
        <w:t xml:space="preserve">in Support of Staff’s Proposed Item 30 Tariff language </w:t>
      </w:r>
      <w:r w:rsidR="001E44C2">
        <w:t>at 3</w:t>
      </w:r>
      <w:r>
        <w:t>.</w:t>
      </w:r>
    </w:p>
    <w:p w:rsidR="00E562C5" w:rsidRDefault="00E562C5">
      <w:pPr>
        <w:pStyle w:val="FootnoteText"/>
      </w:pPr>
    </w:p>
  </w:footnote>
  <w:footnote w:id="3">
    <w:p w:rsidR="006A15B2" w:rsidRDefault="006A15B2">
      <w:pPr>
        <w:pStyle w:val="FootnoteText"/>
      </w:pPr>
      <w:r>
        <w:rPr>
          <w:rStyle w:val="FootnoteReference"/>
        </w:rPr>
        <w:footnoteRef/>
      </w:r>
      <w:r>
        <w:t xml:space="preserve"> </w:t>
      </w:r>
      <w:r w:rsidR="001E1D78">
        <w:t xml:space="preserve">Commission </w:t>
      </w:r>
      <w:r>
        <w:t xml:space="preserve">Staff Brief in Support of Staff’s Proposed Item 30 Tariff Language ¶ 11 at 4. </w:t>
      </w:r>
    </w:p>
    <w:p w:rsidR="00E562C5" w:rsidRDefault="00E562C5">
      <w:pPr>
        <w:pStyle w:val="FootnoteText"/>
      </w:pPr>
    </w:p>
  </w:footnote>
  <w:footnote w:id="4">
    <w:p w:rsidR="00422EDC" w:rsidRDefault="00422EDC">
      <w:pPr>
        <w:pStyle w:val="FootnoteText"/>
      </w:pPr>
      <w:r>
        <w:rPr>
          <w:rStyle w:val="FootnoteReference"/>
        </w:rPr>
        <w:footnoteRef/>
      </w:r>
      <w:r>
        <w:t xml:space="preserve"> Commission Staff Brief in Support of Staff’s Proposed Item 30 tariff language ¶ 11 at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D1C89"/>
    <w:rsid w:val="001E01C4"/>
    <w:rsid w:val="001E1D78"/>
    <w:rsid w:val="001E44C2"/>
    <w:rsid w:val="00237179"/>
    <w:rsid w:val="0026429E"/>
    <w:rsid w:val="00274DD6"/>
    <w:rsid w:val="00283B5E"/>
    <w:rsid w:val="002A3116"/>
    <w:rsid w:val="002A4EDC"/>
    <w:rsid w:val="002B304F"/>
    <w:rsid w:val="002B3074"/>
    <w:rsid w:val="002E1E12"/>
    <w:rsid w:val="002F00AB"/>
    <w:rsid w:val="002F30E5"/>
    <w:rsid w:val="0030262F"/>
    <w:rsid w:val="00312E3E"/>
    <w:rsid w:val="003171FF"/>
    <w:rsid w:val="0032034A"/>
    <w:rsid w:val="003221AE"/>
    <w:rsid w:val="00324A9C"/>
    <w:rsid w:val="00342629"/>
    <w:rsid w:val="00342CEF"/>
    <w:rsid w:val="00345CB8"/>
    <w:rsid w:val="0035725E"/>
    <w:rsid w:val="00357D20"/>
    <w:rsid w:val="003625F8"/>
    <w:rsid w:val="00392309"/>
    <w:rsid w:val="00397C56"/>
    <w:rsid w:val="003A707A"/>
    <w:rsid w:val="003C27EC"/>
    <w:rsid w:val="003C5C70"/>
    <w:rsid w:val="003D2792"/>
    <w:rsid w:val="003F11A2"/>
    <w:rsid w:val="00401FE5"/>
    <w:rsid w:val="0040786D"/>
    <w:rsid w:val="0041082E"/>
    <w:rsid w:val="00422EDC"/>
    <w:rsid w:val="00486212"/>
    <w:rsid w:val="0049504D"/>
    <w:rsid w:val="00496732"/>
    <w:rsid w:val="004A5E9C"/>
    <w:rsid w:val="004A76AB"/>
    <w:rsid w:val="004A7BC0"/>
    <w:rsid w:val="004E5247"/>
    <w:rsid w:val="0050213C"/>
    <w:rsid w:val="00506059"/>
    <w:rsid w:val="00514CBB"/>
    <w:rsid w:val="00552C17"/>
    <w:rsid w:val="0055421A"/>
    <w:rsid w:val="0057595F"/>
    <w:rsid w:val="00576E1A"/>
    <w:rsid w:val="005828D2"/>
    <w:rsid w:val="005A2095"/>
    <w:rsid w:val="005A40DC"/>
    <w:rsid w:val="005A42E2"/>
    <w:rsid w:val="005D5176"/>
    <w:rsid w:val="006016B4"/>
    <w:rsid w:val="00602F2A"/>
    <w:rsid w:val="00604A8A"/>
    <w:rsid w:val="00613E2C"/>
    <w:rsid w:val="00614246"/>
    <w:rsid w:val="00616A2D"/>
    <w:rsid w:val="006276BC"/>
    <w:rsid w:val="006433B5"/>
    <w:rsid w:val="00644DEA"/>
    <w:rsid w:val="006466D4"/>
    <w:rsid w:val="00652778"/>
    <w:rsid w:val="006608B0"/>
    <w:rsid w:val="00671011"/>
    <w:rsid w:val="006832D1"/>
    <w:rsid w:val="006845BA"/>
    <w:rsid w:val="00696AB4"/>
    <w:rsid w:val="006A15B2"/>
    <w:rsid w:val="006B343C"/>
    <w:rsid w:val="006B7E83"/>
    <w:rsid w:val="006D00C9"/>
    <w:rsid w:val="006E281E"/>
    <w:rsid w:val="006E5E30"/>
    <w:rsid w:val="007074A5"/>
    <w:rsid w:val="007115F0"/>
    <w:rsid w:val="00713AF9"/>
    <w:rsid w:val="0072406E"/>
    <w:rsid w:val="007404CE"/>
    <w:rsid w:val="007529C9"/>
    <w:rsid w:val="00754E5B"/>
    <w:rsid w:val="007618FB"/>
    <w:rsid w:val="00765149"/>
    <w:rsid w:val="007669F9"/>
    <w:rsid w:val="00791555"/>
    <w:rsid w:val="00795CFB"/>
    <w:rsid w:val="00796BCF"/>
    <w:rsid w:val="00796FC8"/>
    <w:rsid w:val="007A0469"/>
    <w:rsid w:val="007A5BB0"/>
    <w:rsid w:val="007B74E6"/>
    <w:rsid w:val="007C6780"/>
    <w:rsid w:val="007D2D67"/>
    <w:rsid w:val="008031D0"/>
    <w:rsid w:val="008133A1"/>
    <w:rsid w:val="008133D2"/>
    <w:rsid w:val="0082182F"/>
    <w:rsid w:val="00842B60"/>
    <w:rsid w:val="008438DA"/>
    <w:rsid w:val="00845B60"/>
    <w:rsid w:val="00855C1C"/>
    <w:rsid w:val="008A2F12"/>
    <w:rsid w:val="008B3B9F"/>
    <w:rsid w:val="008D1DAE"/>
    <w:rsid w:val="008D36C9"/>
    <w:rsid w:val="008F6182"/>
    <w:rsid w:val="009060F1"/>
    <w:rsid w:val="00960030"/>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358C"/>
    <w:rsid w:val="00A5726D"/>
    <w:rsid w:val="00A653E8"/>
    <w:rsid w:val="00A7096B"/>
    <w:rsid w:val="00A870A9"/>
    <w:rsid w:val="00AA2F2F"/>
    <w:rsid w:val="00AB1031"/>
    <w:rsid w:val="00AB29C3"/>
    <w:rsid w:val="00AD0B79"/>
    <w:rsid w:val="00AD4ACB"/>
    <w:rsid w:val="00B121CE"/>
    <w:rsid w:val="00B217C3"/>
    <w:rsid w:val="00B30A42"/>
    <w:rsid w:val="00B32770"/>
    <w:rsid w:val="00B37249"/>
    <w:rsid w:val="00B441FB"/>
    <w:rsid w:val="00B47A77"/>
    <w:rsid w:val="00B50239"/>
    <w:rsid w:val="00B5296D"/>
    <w:rsid w:val="00B62034"/>
    <w:rsid w:val="00B87ADB"/>
    <w:rsid w:val="00B91FB5"/>
    <w:rsid w:val="00B92DE9"/>
    <w:rsid w:val="00B94E78"/>
    <w:rsid w:val="00BA5EFD"/>
    <w:rsid w:val="00BC6A63"/>
    <w:rsid w:val="00BD1EB2"/>
    <w:rsid w:val="00C011AB"/>
    <w:rsid w:val="00C072F7"/>
    <w:rsid w:val="00C15767"/>
    <w:rsid w:val="00C25A6B"/>
    <w:rsid w:val="00C25B24"/>
    <w:rsid w:val="00C45E70"/>
    <w:rsid w:val="00C55B00"/>
    <w:rsid w:val="00C61316"/>
    <w:rsid w:val="00C63B78"/>
    <w:rsid w:val="00C723C7"/>
    <w:rsid w:val="00C7528B"/>
    <w:rsid w:val="00C90C21"/>
    <w:rsid w:val="00CA2D64"/>
    <w:rsid w:val="00CB08FC"/>
    <w:rsid w:val="00CC464B"/>
    <w:rsid w:val="00CC6F04"/>
    <w:rsid w:val="00CD64D2"/>
    <w:rsid w:val="00CF1AEE"/>
    <w:rsid w:val="00CF22E5"/>
    <w:rsid w:val="00D130B2"/>
    <w:rsid w:val="00D50618"/>
    <w:rsid w:val="00D71179"/>
    <w:rsid w:val="00D83DD6"/>
    <w:rsid w:val="00D856E5"/>
    <w:rsid w:val="00D91720"/>
    <w:rsid w:val="00D92F56"/>
    <w:rsid w:val="00DB401D"/>
    <w:rsid w:val="00DB4CA2"/>
    <w:rsid w:val="00DC2E1B"/>
    <w:rsid w:val="00DD42CC"/>
    <w:rsid w:val="00DE1582"/>
    <w:rsid w:val="00E4103A"/>
    <w:rsid w:val="00E41FEF"/>
    <w:rsid w:val="00E562C5"/>
    <w:rsid w:val="00E84B87"/>
    <w:rsid w:val="00E91072"/>
    <w:rsid w:val="00E94743"/>
    <w:rsid w:val="00E94DA3"/>
    <w:rsid w:val="00EA43DA"/>
    <w:rsid w:val="00ED367B"/>
    <w:rsid w:val="00EE04BB"/>
    <w:rsid w:val="00EE2F0A"/>
    <w:rsid w:val="00EE7DEC"/>
    <w:rsid w:val="00EF322D"/>
    <w:rsid w:val="00F07163"/>
    <w:rsid w:val="00F203A4"/>
    <w:rsid w:val="00F277B9"/>
    <w:rsid w:val="00F27E2E"/>
    <w:rsid w:val="00F442EE"/>
    <w:rsid w:val="00F82DD9"/>
    <w:rsid w:val="00F869C9"/>
    <w:rsid w:val="00FA5935"/>
    <w:rsid w:val="00FB5A59"/>
    <w:rsid w:val="00FD525F"/>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4488EB6646074A912DE546B5DF3A2C" ma:contentTypeVersion="139" ma:contentTypeDescription="" ma:contentTypeScope="" ma:versionID="134b763a6e94b78055e6b9346cb27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5E5D581-EB11-4D26-9D40-477D2F005D92}"/>
</file>

<file path=customXml/itemProps2.xml><?xml version="1.0" encoding="utf-8"?>
<ds:datastoreItem xmlns:ds="http://schemas.openxmlformats.org/officeDocument/2006/customXml" ds:itemID="{DADD6396-6213-4E2E-8DC5-2A705BD6018A}"/>
</file>

<file path=customXml/itemProps3.xml><?xml version="1.0" encoding="utf-8"?>
<ds:datastoreItem xmlns:ds="http://schemas.openxmlformats.org/officeDocument/2006/customXml" ds:itemID="{2B444DF9-CF9F-4FBE-AFD4-53A488864E32}"/>
</file>

<file path=customXml/itemProps4.xml><?xml version="1.0" encoding="utf-8"?>
<ds:datastoreItem xmlns:ds="http://schemas.openxmlformats.org/officeDocument/2006/customXml" ds:itemID="{2847D33D-D32E-4385-9189-98FCAD3F3C6B}"/>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7902</Characters>
  <Application>Microsoft Office Word</Application>
  <DocSecurity>0</DocSecurity>
  <Lines>252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2013-08-30T17:51:11Z</dcterms:created>
  <dcterms:modified xsi:type="dcterms:W3CDTF">2013-08-30T17:51:11Z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4258096.1</vt:lpwstr>
  </property>
  <property fmtid="{D5CDD505-2E9C-101B-9397-08002B2CF9AE}" pid="3" name="ContentTypeId">
    <vt:lpwstr>0x0101006E56B4D1795A2E4DB2F0B01679ED314A00584488EB6646074A912DE546B5DF3A2C</vt:lpwstr>
  </property>
  <property fmtid="{D5CDD505-2E9C-101B-9397-08002B2CF9AE}" pid="4" name="_docset_NoMedatataSyncRequired">
    <vt:lpwstr>False</vt:lpwstr>
  </property>
</Properties>
</file>