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A43B06">
        <w:t>06/</w:t>
      </w:r>
      <w:r w:rsidR="0040408A">
        <w:t>1</w:t>
      </w:r>
      <w:r w:rsidR="00A43B06">
        <w:t>4/2015</w:t>
      </w:r>
    </w:p>
    <w:p w:rsidR="00FD536A" w:rsidRDefault="00FD536A" w:rsidP="0040408A">
      <w:pPr>
        <w:pStyle w:val="Heading1"/>
        <w:tabs>
          <w:tab w:val="clear" w:pos="4320"/>
          <w:tab w:val="left" w:pos="5040"/>
        </w:tabs>
      </w:pPr>
      <w:r>
        <w:t>CASE NO</w:t>
      </w:r>
      <w:r w:rsidR="0040408A">
        <w:t>.</w:t>
      </w:r>
      <w:r>
        <w:t>:</w:t>
      </w:r>
      <w:r>
        <w:tab/>
      </w:r>
      <w:r w:rsidR="006A6CF9">
        <w:t>UE-1</w:t>
      </w:r>
      <w:r w:rsidR="00A43B06">
        <w:t>50204</w:t>
      </w:r>
      <w:r w:rsidR="006A6CF9">
        <w:t xml:space="preserve"> &amp; UG-1</w:t>
      </w:r>
      <w:r w:rsidR="00A43B06">
        <w:t>50205</w:t>
      </w:r>
      <w:r>
        <w:tab/>
        <w:t>WITNESS:</w:t>
      </w:r>
      <w:r>
        <w:tab/>
      </w:r>
      <w:r w:rsidR="00F731E6">
        <w:tab/>
      </w:r>
      <w:r w:rsidR="00F731E6">
        <w:tab/>
      </w:r>
      <w:r w:rsidR="008F0C55">
        <w:t>Don Kopczynski</w:t>
      </w:r>
    </w:p>
    <w:p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8F0C55">
        <w:t>Linda Gervais</w:t>
      </w:r>
    </w:p>
    <w:p w:rsidR="001004DE" w:rsidRDefault="00FD536A" w:rsidP="0040408A">
      <w:pPr>
        <w:pStyle w:val="Heading1"/>
        <w:tabs>
          <w:tab w:val="clear" w:pos="4320"/>
          <w:tab w:val="left" w:pos="5040"/>
        </w:tabs>
      </w:pPr>
      <w:r>
        <w:t>TYPE:</w:t>
      </w:r>
      <w:r>
        <w:tab/>
        <w:t>Data Request</w:t>
      </w:r>
      <w:r>
        <w:tab/>
        <w:t>DEPT:</w:t>
      </w:r>
      <w:r>
        <w:tab/>
      </w:r>
      <w:r w:rsidR="00941853">
        <w:tab/>
      </w:r>
      <w:r w:rsidR="00941853">
        <w:tab/>
      </w:r>
      <w:r w:rsidR="008F0C55">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40408A">
        <w:t>01</w:t>
      </w:r>
      <w:r w:rsidR="004A7704">
        <w:tab/>
      </w:r>
      <w:r w:rsidR="00FD536A">
        <w:t>TELEPHONE:</w:t>
      </w:r>
      <w:r w:rsidR="00FD536A">
        <w:tab/>
        <w:t>(509) 495-</w:t>
      </w:r>
      <w:r w:rsidR="008F0C55">
        <w:t>4975</w:t>
      </w:r>
    </w:p>
    <w:p w:rsidR="00FD536A" w:rsidRDefault="00AA791F" w:rsidP="0040408A">
      <w:pPr>
        <w:tabs>
          <w:tab w:val="left" w:pos="1890"/>
          <w:tab w:val="left" w:pos="504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8F0C55">
        <w:rPr>
          <w:sz w:val="24"/>
          <w:szCs w:val="24"/>
        </w:rPr>
        <w:t>linda.gervais</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F731E6" w:rsidRPr="008F0C55" w:rsidRDefault="008F0C55" w:rsidP="000E629D">
      <w:pPr>
        <w:tabs>
          <w:tab w:val="left" w:pos="1890"/>
          <w:tab w:val="left" w:pos="4320"/>
          <w:tab w:val="left" w:pos="6480"/>
        </w:tabs>
        <w:jc w:val="both"/>
        <w:rPr>
          <w:b/>
          <w:sz w:val="24"/>
          <w:szCs w:val="24"/>
        </w:rPr>
      </w:pPr>
      <w:r w:rsidRPr="008F0C55">
        <w:rPr>
          <w:sz w:val="24"/>
          <w:szCs w:val="24"/>
        </w:rPr>
        <w:t>Provide any analysis of the costs, benefits, performance of the technology, and/or customer participation and resul</w:t>
      </w:r>
      <w:r>
        <w:rPr>
          <w:sz w:val="24"/>
          <w:szCs w:val="24"/>
        </w:rPr>
        <w:t xml:space="preserve">ts </w:t>
      </w:r>
      <w:r w:rsidRPr="008F0C55">
        <w:rPr>
          <w:sz w:val="24"/>
          <w:szCs w:val="24"/>
        </w:rPr>
        <w:t>done by the Company for internal purposes concerning the smart grid  demonstration project conducted in Pullman, WA since its inception.  In your response, include any internal reports and documents relating to the operation and implementat</w:t>
      </w:r>
      <w:bookmarkStart w:id="0" w:name="_GoBack"/>
      <w:bookmarkEnd w:id="0"/>
      <w:r w:rsidRPr="008F0C55">
        <w:rPr>
          <w:sz w:val="24"/>
          <w:szCs w:val="24"/>
        </w:rPr>
        <w:t>ion of the smart grid demonstration project in Pullman, WA provided to senior managers and above since the inception of the pilot.</w:t>
      </w:r>
    </w:p>
    <w:p w:rsidR="00F731E6" w:rsidRDefault="00F731E6" w:rsidP="000E629D">
      <w:pPr>
        <w:tabs>
          <w:tab w:val="left" w:pos="1890"/>
          <w:tab w:val="left" w:pos="4320"/>
          <w:tab w:val="left" w:pos="6480"/>
        </w:tabs>
        <w:jc w:val="both"/>
        <w:rPr>
          <w:b/>
          <w:sz w:val="24"/>
          <w:szCs w:val="24"/>
        </w:rPr>
      </w:pPr>
    </w:p>
    <w:p w:rsidR="003F752E" w:rsidRDefault="003F752E" w:rsidP="000E629D">
      <w:pPr>
        <w:tabs>
          <w:tab w:val="left" w:pos="1890"/>
          <w:tab w:val="left" w:pos="4320"/>
          <w:tab w:val="left" w:pos="6480"/>
        </w:tabs>
        <w:jc w:val="both"/>
        <w:rPr>
          <w:b/>
          <w:sz w:val="24"/>
          <w:szCs w:val="24"/>
        </w:rPr>
      </w:pPr>
    </w:p>
    <w:p w:rsidR="00417AA4" w:rsidRDefault="00FD536A" w:rsidP="000E629D">
      <w:pPr>
        <w:tabs>
          <w:tab w:val="left" w:pos="1890"/>
          <w:tab w:val="left" w:pos="4320"/>
          <w:tab w:val="left" w:pos="6480"/>
        </w:tabs>
        <w:jc w:val="both"/>
        <w:rPr>
          <w:b/>
          <w:sz w:val="24"/>
          <w:szCs w:val="24"/>
        </w:rPr>
      </w:pPr>
      <w:r w:rsidRPr="000E629D">
        <w:rPr>
          <w:b/>
          <w:sz w:val="24"/>
          <w:szCs w:val="24"/>
        </w:rPr>
        <w:t>RESPONSE:</w:t>
      </w:r>
    </w:p>
    <w:p w:rsidR="00E009AD" w:rsidRDefault="00E009AD" w:rsidP="000E629D">
      <w:pPr>
        <w:tabs>
          <w:tab w:val="left" w:pos="1890"/>
          <w:tab w:val="left" w:pos="4320"/>
          <w:tab w:val="left" w:pos="6480"/>
        </w:tabs>
        <w:jc w:val="both"/>
        <w:rPr>
          <w:b/>
          <w:sz w:val="24"/>
          <w:szCs w:val="24"/>
        </w:rPr>
      </w:pPr>
    </w:p>
    <w:p w:rsidR="003F752E" w:rsidRDefault="003F752E" w:rsidP="003F752E">
      <w:pPr>
        <w:tabs>
          <w:tab w:val="left" w:pos="1440"/>
          <w:tab w:val="left" w:pos="4320"/>
          <w:tab w:val="left" w:pos="6480"/>
        </w:tabs>
        <w:jc w:val="both"/>
        <w:rPr>
          <w:sz w:val="24"/>
          <w:szCs w:val="24"/>
        </w:rPr>
      </w:pPr>
      <w:r>
        <w:rPr>
          <w:rFonts w:eastAsia="MS Mincho"/>
          <w:sz w:val="24"/>
          <w:szCs w:val="24"/>
          <w:lang w:eastAsia="ja-JP"/>
        </w:rPr>
        <w:t xml:space="preserve">Please also see Avista’s response to PC/EP_001C which is </w:t>
      </w:r>
      <w:r w:rsidRPr="008E3BCF">
        <w:rPr>
          <w:b/>
          <w:sz w:val="25"/>
          <w:szCs w:val="25"/>
        </w:rPr>
        <w:t>Confidential per Protective Order in UTC Dockets UE-1</w:t>
      </w:r>
      <w:r>
        <w:rPr>
          <w:b/>
          <w:sz w:val="25"/>
          <w:szCs w:val="25"/>
        </w:rPr>
        <w:t>50204</w:t>
      </w:r>
      <w:r w:rsidRPr="008E3BCF">
        <w:rPr>
          <w:b/>
          <w:sz w:val="25"/>
          <w:szCs w:val="25"/>
        </w:rPr>
        <w:t xml:space="preserve"> and UG-1</w:t>
      </w:r>
      <w:r>
        <w:rPr>
          <w:b/>
          <w:sz w:val="25"/>
          <w:szCs w:val="25"/>
        </w:rPr>
        <w:t>50205</w:t>
      </w:r>
      <w:r>
        <w:rPr>
          <w:rFonts w:eastAsia="MS Mincho"/>
          <w:sz w:val="24"/>
          <w:szCs w:val="24"/>
          <w:lang w:eastAsia="ja-JP"/>
        </w:rPr>
        <w:t>.</w:t>
      </w:r>
    </w:p>
    <w:p w:rsidR="003F752E" w:rsidRPr="00E009AD" w:rsidRDefault="003F752E" w:rsidP="000E629D">
      <w:pPr>
        <w:tabs>
          <w:tab w:val="left" w:pos="1890"/>
          <w:tab w:val="left" w:pos="4320"/>
          <w:tab w:val="left" w:pos="6480"/>
        </w:tabs>
        <w:jc w:val="both"/>
        <w:rPr>
          <w:b/>
          <w:sz w:val="24"/>
          <w:szCs w:val="24"/>
        </w:rPr>
      </w:pPr>
    </w:p>
    <w:p w:rsidR="00DC0472" w:rsidRDefault="00356CAA" w:rsidP="00DC0472">
      <w:pPr>
        <w:jc w:val="both"/>
        <w:rPr>
          <w:sz w:val="24"/>
          <w:szCs w:val="24"/>
        </w:rPr>
      </w:pPr>
      <w:r>
        <w:rPr>
          <w:sz w:val="24"/>
          <w:szCs w:val="24"/>
        </w:rPr>
        <w:t>Avista’s Smart Grid Demonstration Project in</w:t>
      </w:r>
      <w:r w:rsidRPr="009A69BF">
        <w:rPr>
          <w:sz w:val="24"/>
          <w:szCs w:val="24"/>
        </w:rPr>
        <w:t xml:space="preserve"> </w:t>
      </w:r>
      <w:r>
        <w:rPr>
          <w:sz w:val="24"/>
          <w:szCs w:val="24"/>
        </w:rPr>
        <w:t xml:space="preserve">Pullman, WA, was an integrated part of the </w:t>
      </w:r>
      <w:r w:rsidRPr="009A69BF">
        <w:rPr>
          <w:sz w:val="24"/>
          <w:szCs w:val="24"/>
        </w:rPr>
        <w:t>Pacific Nor</w:t>
      </w:r>
      <w:r>
        <w:rPr>
          <w:sz w:val="24"/>
          <w:szCs w:val="24"/>
        </w:rPr>
        <w:t xml:space="preserve">thwest Smart Grid Demonstration Project that was </w:t>
      </w:r>
      <w:r w:rsidRPr="009A69BF">
        <w:rPr>
          <w:sz w:val="24"/>
          <w:szCs w:val="24"/>
        </w:rPr>
        <w:t>funded</w:t>
      </w:r>
      <w:r w:rsidR="005E76DA">
        <w:rPr>
          <w:sz w:val="24"/>
          <w:szCs w:val="24"/>
        </w:rPr>
        <w:t>, in part,</w:t>
      </w:r>
      <w:r w:rsidRPr="009A69BF">
        <w:rPr>
          <w:sz w:val="24"/>
          <w:szCs w:val="24"/>
        </w:rPr>
        <w:t xml:space="preserve"> by the U.S. Department of Energy</w:t>
      </w:r>
      <w:r>
        <w:rPr>
          <w:sz w:val="24"/>
          <w:szCs w:val="24"/>
        </w:rPr>
        <w:t xml:space="preserve"> (DOE) and was managed by Battelle Memorial </w:t>
      </w:r>
      <w:r w:rsidRPr="009A69BF">
        <w:rPr>
          <w:sz w:val="24"/>
          <w:szCs w:val="24"/>
        </w:rPr>
        <w:t>Institute, Pacific Northwest Division</w:t>
      </w:r>
      <w:r>
        <w:rPr>
          <w:sz w:val="24"/>
          <w:szCs w:val="24"/>
        </w:rPr>
        <w:t xml:space="preserve"> (Battelle).</w:t>
      </w:r>
      <w:r w:rsidRPr="00356CAA">
        <w:rPr>
          <w:sz w:val="24"/>
          <w:szCs w:val="24"/>
        </w:rPr>
        <w:t xml:space="preserve"> </w:t>
      </w:r>
      <w:r w:rsidRPr="009A69BF">
        <w:rPr>
          <w:sz w:val="24"/>
          <w:szCs w:val="24"/>
        </w:rPr>
        <w:t xml:space="preserve">The demonstration </w:t>
      </w:r>
      <w:r>
        <w:rPr>
          <w:sz w:val="24"/>
          <w:szCs w:val="24"/>
        </w:rPr>
        <w:t>project covered the period 2010 through early 2015, and included</w:t>
      </w:r>
      <w:r w:rsidRPr="009A69BF">
        <w:rPr>
          <w:sz w:val="24"/>
          <w:szCs w:val="24"/>
        </w:rPr>
        <w:t xml:space="preserve"> a one-half year design pha</w:t>
      </w:r>
      <w:r>
        <w:rPr>
          <w:sz w:val="24"/>
          <w:szCs w:val="24"/>
        </w:rPr>
        <w:t xml:space="preserve">se, two-year construction phase, two-year observation phase, and </w:t>
      </w:r>
      <w:r w:rsidR="00DC0472">
        <w:rPr>
          <w:sz w:val="24"/>
          <w:szCs w:val="24"/>
        </w:rPr>
        <w:t>a one-half year closeout phase. T</w:t>
      </w:r>
      <w:r w:rsidR="00DC0472" w:rsidRPr="007C6336">
        <w:rPr>
          <w:sz w:val="24"/>
          <w:szCs w:val="24"/>
        </w:rPr>
        <w:t xml:space="preserve">he objectives of the Pullman Smart Grid project </w:t>
      </w:r>
      <w:r w:rsidR="00DC0472">
        <w:rPr>
          <w:sz w:val="24"/>
          <w:szCs w:val="24"/>
        </w:rPr>
        <w:t>included the following</w:t>
      </w:r>
      <w:r w:rsidR="00DC0472" w:rsidRPr="007C6336">
        <w:rPr>
          <w:sz w:val="24"/>
          <w:szCs w:val="24"/>
        </w:rPr>
        <w:t>:</w:t>
      </w:r>
    </w:p>
    <w:p w:rsidR="00DC0472" w:rsidRDefault="00DC0472" w:rsidP="00DC0472">
      <w:pPr>
        <w:tabs>
          <w:tab w:val="left" w:pos="1890"/>
          <w:tab w:val="left" w:pos="4320"/>
          <w:tab w:val="left" w:pos="6480"/>
        </w:tabs>
        <w:jc w:val="both"/>
        <w:rPr>
          <w:sz w:val="24"/>
          <w:szCs w:val="24"/>
        </w:rPr>
      </w:pPr>
    </w:p>
    <w:p w:rsidR="00605845" w:rsidRDefault="00DC0472" w:rsidP="00CB050F">
      <w:pPr>
        <w:pStyle w:val="ListParagraph"/>
        <w:numPr>
          <w:ilvl w:val="0"/>
          <w:numId w:val="33"/>
        </w:numPr>
        <w:autoSpaceDE w:val="0"/>
        <w:autoSpaceDN w:val="0"/>
        <w:jc w:val="both"/>
      </w:pPr>
      <w:r w:rsidRPr="00605845">
        <w:rPr>
          <w:b/>
        </w:rPr>
        <w:t>Increased system efficiency:</w:t>
      </w:r>
      <w:r w:rsidRPr="00910FBE">
        <w:t xml:space="preserve"> </w:t>
      </w:r>
      <w:r w:rsidR="00D9061F">
        <w:t xml:space="preserve">To install and test the performance of measures designed to </w:t>
      </w:r>
      <w:proofErr w:type="gramStart"/>
      <w:r w:rsidR="00D9061F">
        <w:t>achieve  energy</w:t>
      </w:r>
      <w:proofErr w:type="gramEnd"/>
      <w:r w:rsidR="00D9061F">
        <w:t xml:space="preserve"> savings through Conservation Voltage Reduction (CVR). </w:t>
      </w:r>
      <w:r w:rsidRPr="00910FBE">
        <w:t xml:space="preserve">In the past, </w:t>
      </w:r>
      <w:r w:rsidR="00D9061F">
        <w:t>these savings were estimated based on</w:t>
      </w:r>
      <w:r w:rsidRPr="00910FBE">
        <w:t xml:space="preserve"> engineering assumptions</w:t>
      </w:r>
      <w:r w:rsidR="00D9061F">
        <w:t>,</w:t>
      </w:r>
      <w:r w:rsidRPr="00910FBE">
        <w:t xml:space="preserve"> </w:t>
      </w:r>
      <w:r w:rsidR="00D9061F">
        <w:t>but with</w:t>
      </w:r>
      <w:r w:rsidRPr="00910FBE">
        <w:t xml:space="preserve"> the new system, </w:t>
      </w:r>
      <w:r w:rsidR="00D9061F">
        <w:t>we were able to</w:t>
      </w:r>
      <w:r w:rsidRPr="00910FBE">
        <w:t xml:space="preserve"> </w:t>
      </w:r>
      <w:r w:rsidR="00D9061F">
        <w:t>measure</w:t>
      </w:r>
      <w:r w:rsidRPr="00910FBE">
        <w:t xml:space="preserve"> increments of energy savings based on a lower voltage set point </w:t>
      </w:r>
      <w:r w:rsidR="00D9061F">
        <w:t>within the Company’s tariffed voltage range.</w:t>
      </w:r>
      <w:r w:rsidR="00D9061F">
        <w:rPr>
          <w:rStyle w:val="FootnoteReference"/>
        </w:rPr>
        <w:footnoteReference w:id="1"/>
      </w:r>
      <w:r w:rsidR="005E76DA">
        <w:t>/</w:t>
      </w:r>
      <w:r w:rsidR="00605845">
        <w:rPr>
          <w:rStyle w:val="FootnoteReference"/>
        </w:rPr>
        <w:footnoteReference w:id="2"/>
      </w:r>
    </w:p>
    <w:p w:rsidR="00DC0472" w:rsidRPr="00910FBE" w:rsidRDefault="00DC0472" w:rsidP="00CB050F">
      <w:pPr>
        <w:pStyle w:val="ListParagraph"/>
        <w:numPr>
          <w:ilvl w:val="0"/>
          <w:numId w:val="33"/>
        </w:numPr>
        <w:autoSpaceDE w:val="0"/>
        <w:autoSpaceDN w:val="0"/>
        <w:jc w:val="both"/>
      </w:pPr>
      <w:r w:rsidRPr="00605845">
        <w:rPr>
          <w:b/>
        </w:rPr>
        <w:t>Increased operational efficiency:</w:t>
      </w:r>
      <w:r>
        <w:t xml:space="preserve"> </w:t>
      </w:r>
      <w:r w:rsidRPr="00910FBE">
        <w:t xml:space="preserve">Notification of power outage on our system from both the transformer and the </w:t>
      </w:r>
      <w:r w:rsidR="00605845">
        <w:t xml:space="preserve">advanced </w:t>
      </w:r>
      <w:r w:rsidRPr="00910FBE">
        <w:t>meter</w:t>
      </w:r>
      <w:r w:rsidR="00605845">
        <w:t xml:space="preserve"> allowed the Company to estimate the improvement in restoration efficiency enabled by this new system</w:t>
      </w:r>
      <w:r w:rsidRPr="00910FBE">
        <w:t>.</w:t>
      </w:r>
    </w:p>
    <w:p w:rsidR="00605845" w:rsidRDefault="00DC0472" w:rsidP="00CB050F">
      <w:pPr>
        <w:pStyle w:val="ListParagraph"/>
        <w:numPr>
          <w:ilvl w:val="0"/>
          <w:numId w:val="33"/>
        </w:numPr>
        <w:autoSpaceDE w:val="0"/>
        <w:autoSpaceDN w:val="0"/>
        <w:jc w:val="both"/>
      </w:pPr>
      <w:r w:rsidRPr="00605845">
        <w:rPr>
          <w:b/>
        </w:rPr>
        <w:t>Greater system reliability and decreased restoration times:</w:t>
      </w:r>
      <w:r w:rsidRPr="00910FBE">
        <w:t xml:space="preserve"> </w:t>
      </w:r>
      <w:r w:rsidR="00605845">
        <w:t xml:space="preserve">To use a new </w:t>
      </w:r>
      <w:r w:rsidRPr="00910FBE">
        <w:t xml:space="preserve">Distribution Management System </w:t>
      </w:r>
      <w:r w:rsidR="00605845">
        <w:t xml:space="preserve">to minimize the effect of an outage by </w:t>
      </w:r>
      <w:r w:rsidRPr="00910FBE">
        <w:t xml:space="preserve">remotely monitoring the current </w:t>
      </w:r>
      <w:r w:rsidR="00605845">
        <w:t>on a</w:t>
      </w:r>
      <w:r w:rsidRPr="00910FBE">
        <w:t xml:space="preserve"> feeder, </w:t>
      </w:r>
      <w:r w:rsidR="00605845">
        <w:t xml:space="preserve">determining </w:t>
      </w:r>
      <w:r w:rsidRPr="00910FBE">
        <w:t>the location of an outag</w:t>
      </w:r>
      <w:r w:rsidR="00605845">
        <w:t xml:space="preserve">e, isolating </w:t>
      </w:r>
      <w:r w:rsidRPr="00910FBE">
        <w:t xml:space="preserve">the outage, </w:t>
      </w:r>
      <w:r w:rsidR="00605845">
        <w:t>and automatically switching the system to minimize the customers affected by the outage.</w:t>
      </w:r>
    </w:p>
    <w:p w:rsidR="00DC0472" w:rsidRPr="00910FBE" w:rsidRDefault="00DC0472" w:rsidP="00CB050F">
      <w:pPr>
        <w:pStyle w:val="ListParagraph"/>
        <w:numPr>
          <w:ilvl w:val="0"/>
          <w:numId w:val="33"/>
        </w:numPr>
        <w:autoSpaceDE w:val="0"/>
        <w:autoSpaceDN w:val="0"/>
        <w:jc w:val="both"/>
      </w:pPr>
      <w:r w:rsidRPr="00605845">
        <w:rPr>
          <w:b/>
        </w:rPr>
        <w:t>Lower consumer energy usage through customer participation:</w:t>
      </w:r>
      <w:r w:rsidRPr="00910FBE">
        <w:t xml:space="preserve"> The </w:t>
      </w:r>
      <w:r w:rsidR="00605845">
        <w:t>advanced meters were used to</w:t>
      </w:r>
      <w:r w:rsidRPr="00910FBE">
        <w:t xml:space="preserve"> provide </w:t>
      </w:r>
      <w:r w:rsidR="00605845">
        <w:t>interval data to customers to determine the initial rates of customer adoption and to estimate the energy savings they achieved.</w:t>
      </w:r>
    </w:p>
    <w:p w:rsidR="00DC0472" w:rsidRPr="00910FBE" w:rsidRDefault="00DC0472" w:rsidP="00CB050F">
      <w:pPr>
        <w:pStyle w:val="ListParagraph"/>
        <w:numPr>
          <w:ilvl w:val="0"/>
          <w:numId w:val="33"/>
        </w:numPr>
        <w:autoSpaceDE w:val="0"/>
        <w:autoSpaceDN w:val="0"/>
        <w:jc w:val="both"/>
      </w:pPr>
      <w:r w:rsidRPr="00910FBE">
        <w:rPr>
          <w:b/>
        </w:rPr>
        <w:lastRenderedPageBreak/>
        <w:t>Automated response of the system to regional needs:</w:t>
      </w:r>
      <w:r w:rsidRPr="00910FBE">
        <w:t xml:space="preserve"> T</w:t>
      </w:r>
      <w:r w:rsidR="00605845">
        <w:t xml:space="preserve">o test the ability and effectiveness of a grid wide system </w:t>
      </w:r>
      <w:r w:rsidR="00CB050F">
        <w:t xml:space="preserve">to execute coordinated tools to achieve energy savings and optimization through </w:t>
      </w:r>
      <w:r w:rsidRPr="00910FBE">
        <w:t>demand response, distributed generation and storage</w:t>
      </w:r>
      <w:r w:rsidR="00CB050F">
        <w:t>, and distribution automation.</w:t>
      </w:r>
    </w:p>
    <w:p w:rsidR="00DC0472" w:rsidRDefault="00DC0472" w:rsidP="00CB050F">
      <w:pPr>
        <w:pStyle w:val="ListParagraph"/>
        <w:numPr>
          <w:ilvl w:val="0"/>
          <w:numId w:val="33"/>
        </w:numPr>
        <w:tabs>
          <w:tab w:val="left" w:pos="1890"/>
          <w:tab w:val="left" w:pos="4320"/>
          <w:tab w:val="left" w:pos="6480"/>
        </w:tabs>
        <w:jc w:val="both"/>
      </w:pPr>
      <w:r w:rsidRPr="00CB050F">
        <w:rPr>
          <w:b/>
        </w:rPr>
        <w:t>Incorporation of distributed resources not owned by the utility:</w:t>
      </w:r>
      <w:r w:rsidRPr="00910FBE">
        <w:t xml:space="preserve"> </w:t>
      </w:r>
      <w:r w:rsidR="00CB050F">
        <w:t>To install and test a system to collect information on the amount and availability of distributed generation resources to call upon during a major outage event.</w:t>
      </w:r>
    </w:p>
    <w:p w:rsidR="00CB050F" w:rsidRPr="00CB050F" w:rsidRDefault="00CB050F" w:rsidP="00CB050F">
      <w:pPr>
        <w:pStyle w:val="ListParagraph"/>
        <w:tabs>
          <w:tab w:val="left" w:pos="1890"/>
          <w:tab w:val="left" w:pos="4320"/>
          <w:tab w:val="left" w:pos="6480"/>
        </w:tabs>
        <w:jc w:val="both"/>
      </w:pPr>
    </w:p>
    <w:p w:rsidR="00DC0472" w:rsidRPr="00DC0472" w:rsidRDefault="00356CAA" w:rsidP="007C6336">
      <w:pPr>
        <w:jc w:val="both"/>
      </w:pPr>
      <w:r>
        <w:rPr>
          <w:sz w:val="24"/>
          <w:szCs w:val="24"/>
        </w:rPr>
        <w:t xml:space="preserve">As part of the </w:t>
      </w:r>
      <w:r w:rsidRPr="009A69BF">
        <w:rPr>
          <w:sz w:val="24"/>
          <w:szCs w:val="24"/>
        </w:rPr>
        <w:t>Nor</w:t>
      </w:r>
      <w:r>
        <w:rPr>
          <w:sz w:val="24"/>
          <w:szCs w:val="24"/>
        </w:rPr>
        <w:t xml:space="preserve">thwest Smart Grid Demonstration Project, Avista was required to provide much of the data it collected during </w:t>
      </w:r>
      <w:r w:rsidR="00CB050F">
        <w:rPr>
          <w:sz w:val="24"/>
          <w:szCs w:val="24"/>
        </w:rPr>
        <w:t xml:space="preserve">the </w:t>
      </w:r>
      <w:r>
        <w:rPr>
          <w:sz w:val="24"/>
          <w:szCs w:val="24"/>
        </w:rPr>
        <w:t xml:space="preserve">project </w:t>
      </w:r>
      <w:r w:rsidR="00DC0472">
        <w:rPr>
          <w:sz w:val="24"/>
          <w:szCs w:val="24"/>
        </w:rPr>
        <w:t>to Battelle</w:t>
      </w:r>
      <w:r w:rsidR="00CB050F">
        <w:rPr>
          <w:sz w:val="24"/>
          <w:szCs w:val="24"/>
        </w:rPr>
        <w:t>,</w:t>
      </w:r>
      <w:r w:rsidR="00DC0472">
        <w:rPr>
          <w:sz w:val="24"/>
          <w:szCs w:val="24"/>
        </w:rPr>
        <w:t xml:space="preserve"> for analysis, interpretation</w:t>
      </w:r>
      <w:r w:rsidR="00CB050F">
        <w:rPr>
          <w:sz w:val="24"/>
          <w:szCs w:val="24"/>
        </w:rPr>
        <w:t>,</w:t>
      </w:r>
      <w:r w:rsidR="00DC0472">
        <w:rPr>
          <w:sz w:val="24"/>
          <w:szCs w:val="24"/>
        </w:rPr>
        <w:t xml:space="preserve"> and reporting. The final project reports </w:t>
      </w:r>
      <w:r w:rsidR="00CB050F">
        <w:rPr>
          <w:sz w:val="24"/>
          <w:szCs w:val="24"/>
        </w:rPr>
        <w:t xml:space="preserve">being developed by Battelle </w:t>
      </w:r>
      <w:r w:rsidR="00DC0472">
        <w:rPr>
          <w:sz w:val="24"/>
          <w:szCs w:val="24"/>
        </w:rPr>
        <w:t xml:space="preserve">are currently in the drafting and review stage and </w:t>
      </w:r>
      <w:r>
        <w:rPr>
          <w:sz w:val="24"/>
          <w:szCs w:val="24"/>
        </w:rPr>
        <w:t>the Company will supplement this request once the</w:t>
      </w:r>
      <w:r w:rsidR="00DC0472">
        <w:rPr>
          <w:sz w:val="24"/>
          <w:szCs w:val="24"/>
        </w:rPr>
        <w:t xml:space="preserve"> final</w:t>
      </w:r>
      <w:r>
        <w:rPr>
          <w:sz w:val="24"/>
          <w:szCs w:val="24"/>
        </w:rPr>
        <w:t xml:space="preserve"> reports are complete </w:t>
      </w:r>
      <w:r w:rsidR="00CB050F">
        <w:rPr>
          <w:sz w:val="24"/>
          <w:szCs w:val="24"/>
        </w:rPr>
        <w:t>and</w:t>
      </w:r>
      <w:r>
        <w:rPr>
          <w:sz w:val="24"/>
          <w:szCs w:val="24"/>
        </w:rPr>
        <w:t xml:space="preserve"> available.</w:t>
      </w:r>
    </w:p>
    <w:p w:rsidR="00356CAA" w:rsidRDefault="00356CAA" w:rsidP="007C6336">
      <w:pPr>
        <w:jc w:val="both"/>
        <w:rPr>
          <w:sz w:val="24"/>
          <w:szCs w:val="24"/>
        </w:rPr>
      </w:pPr>
    </w:p>
    <w:p w:rsidR="00CA250D" w:rsidRDefault="00DC0472" w:rsidP="007C6336">
      <w:pPr>
        <w:jc w:val="both"/>
        <w:rPr>
          <w:sz w:val="24"/>
          <w:szCs w:val="24"/>
        </w:rPr>
      </w:pPr>
      <w:r>
        <w:rPr>
          <w:sz w:val="24"/>
          <w:szCs w:val="24"/>
        </w:rPr>
        <w:t>While Avista played a role in</w:t>
      </w:r>
      <w:r w:rsidR="00CB050F">
        <w:rPr>
          <w:sz w:val="24"/>
          <w:szCs w:val="24"/>
        </w:rPr>
        <w:t xml:space="preserve"> </w:t>
      </w:r>
      <w:r w:rsidR="005B0E2C">
        <w:rPr>
          <w:sz w:val="24"/>
          <w:szCs w:val="24"/>
        </w:rPr>
        <w:t>collecting</w:t>
      </w:r>
      <w:r w:rsidR="00CB050F">
        <w:rPr>
          <w:sz w:val="24"/>
          <w:szCs w:val="24"/>
        </w:rPr>
        <w:t xml:space="preserve"> data designed to me</w:t>
      </w:r>
      <w:r>
        <w:rPr>
          <w:sz w:val="24"/>
          <w:szCs w:val="24"/>
        </w:rPr>
        <w:t xml:space="preserve">et the overarching objectives of the Northwest Project, the Company did </w:t>
      </w:r>
      <w:r w:rsidR="00CB050F">
        <w:rPr>
          <w:sz w:val="24"/>
          <w:szCs w:val="24"/>
        </w:rPr>
        <w:t>use data from</w:t>
      </w:r>
      <w:r>
        <w:rPr>
          <w:sz w:val="24"/>
          <w:szCs w:val="24"/>
        </w:rPr>
        <w:t xml:space="preserve"> the Pullman projec</w:t>
      </w:r>
      <w:r w:rsidR="00CB050F">
        <w:rPr>
          <w:sz w:val="24"/>
          <w:szCs w:val="24"/>
        </w:rPr>
        <w:t xml:space="preserve">t </w:t>
      </w:r>
      <w:r w:rsidR="005B0E2C">
        <w:rPr>
          <w:sz w:val="24"/>
          <w:szCs w:val="24"/>
        </w:rPr>
        <w:t xml:space="preserve">in its own studies </w:t>
      </w:r>
      <w:r w:rsidR="00CB050F">
        <w:rPr>
          <w:sz w:val="24"/>
          <w:szCs w:val="24"/>
        </w:rPr>
        <w:t>to meet several of the above objectives</w:t>
      </w:r>
      <w:r>
        <w:rPr>
          <w:sz w:val="24"/>
          <w:szCs w:val="24"/>
        </w:rPr>
        <w:t xml:space="preserve">. </w:t>
      </w:r>
      <w:r w:rsidR="00CB050F">
        <w:rPr>
          <w:sz w:val="24"/>
          <w:szCs w:val="24"/>
        </w:rPr>
        <w:t xml:space="preserve">Considerable </w:t>
      </w:r>
      <w:proofErr w:type="gramStart"/>
      <w:r w:rsidR="00CB050F">
        <w:rPr>
          <w:sz w:val="24"/>
          <w:szCs w:val="24"/>
        </w:rPr>
        <w:t>material documenting t</w:t>
      </w:r>
      <w:r w:rsidR="00356CAA">
        <w:rPr>
          <w:sz w:val="24"/>
          <w:szCs w:val="24"/>
        </w:rPr>
        <w:t xml:space="preserve">he </w:t>
      </w:r>
      <w:r>
        <w:rPr>
          <w:sz w:val="24"/>
          <w:szCs w:val="24"/>
        </w:rPr>
        <w:t xml:space="preserve">objectives, </w:t>
      </w:r>
      <w:r w:rsidR="00356CAA">
        <w:rPr>
          <w:sz w:val="24"/>
          <w:szCs w:val="24"/>
        </w:rPr>
        <w:t>analysis</w:t>
      </w:r>
      <w:r w:rsidR="00CB050F">
        <w:rPr>
          <w:sz w:val="24"/>
          <w:szCs w:val="24"/>
        </w:rPr>
        <w:t>,</w:t>
      </w:r>
      <w:r w:rsidR="00356CAA">
        <w:rPr>
          <w:sz w:val="24"/>
          <w:szCs w:val="24"/>
        </w:rPr>
        <w:t xml:space="preserve"> and </w:t>
      </w:r>
      <w:r>
        <w:rPr>
          <w:sz w:val="24"/>
          <w:szCs w:val="24"/>
        </w:rPr>
        <w:t>results</w:t>
      </w:r>
      <w:r w:rsidR="00E009AD">
        <w:rPr>
          <w:sz w:val="24"/>
          <w:szCs w:val="24"/>
        </w:rPr>
        <w:t xml:space="preserve"> </w:t>
      </w:r>
      <w:r w:rsidR="00356CAA">
        <w:rPr>
          <w:sz w:val="24"/>
          <w:szCs w:val="24"/>
        </w:rPr>
        <w:t>of the</w:t>
      </w:r>
      <w:r w:rsidR="00CB050F">
        <w:rPr>
          <w:sz w:val="24"/>
          <w:szCs w:val="24"/>
        </w:rPr>
        <w:t>se studies</w:t>
      </w:r>
      <w:r w:rsidR="00356CAA">
        <w:rPr>
          <w:sz w:val="24"/>
          <w:szCs w:val="24"/>
        </w:rPr>
        <w:t xml:space="preserve"> </w:t>
      </w:r>
      <w:r w:rsidR="00E009AD">
        <w:rPr>
          <w:sz w:val="24"/>
          <w:szCs w:val="24"/>
        </w:rPr>
        <w:t>have</w:t>
      </w:r>
      <w:proofErr w:type="gramEnd"/>
      <w:r w:rsidR="00E009AD">
        <w:rPr>
          <w:sz w:val="24"/>
          <w:szCs w:val="24"/>
        </w:rPr>
        <w:t xml:space="preserve"> been provided in detail in response to discovery in the Company’s 2012 General Rate Case in Dock</w:t>
      </w:r>
      <w:r>
        <w:rPr>
          <w:sz w:val="24"/>
          <w:szCs w:val="24"/>
        </w:rPr>
        <w:t>et</w:t>
      </w:r>
      <w:r w:rsidR="005B0E2C">
        <w:rPr>
          <w:sz w:val="24"/>
          <w:szCs w:val="24"/>
        </w:rPr>
        <w:t xml:space="preserve"> Nos. </w:t>
      </w:r>
      <w:proofErr w:type="gramStart"/>
      <w:r w:rsidR="005B0E2C">
        <w:rPr>
          <w:sz w:val="24"/>
          <w:szCs w:val="24"/>
        </w:rPr>
        <w:t>UE-120436 and UG-120437.</w:t>
      </w:r>
      <w:proofErr w:type="gramEnd"/>
      <w:r w:rsidR="005B0E2C">
        <w:rPr>
          <w:sz w:val="24"/>
          <w:szCs w:val="24"/>
        </w:rPr>
        <w:t xml:space="preserve"> The</w:t>
      </w:r>
      <w:r w:rsidR="003F752E">
        <w:rPr>
          <w:sz w:val="24"/>
          <w:szCs w:val="24"/>
        </w:rPr>
        <w:t xml:space="preserve">se materials are provided as </w:t>
      </w:r>
      <w:r w:rsidR="000D5413">
        <w:rPr>
          <w:sz w:val="24"/>
          <w:szCs w:val="24"/>
        </w:rPr>
        <w:t xml:space="preserve">PC/EP_DR_001 Attachment A and </w:t>
      </w:r>
      <w:r w:rsidR="003F752E">
        <w:rPr>
          <w:sz w:val="24"/>
          <w:szCs w:val="24"/>
        </w:rPr>
        <w:t>PC/</w:t>
      </w:r>
      <w:r w:rsidR="005B0E2C">
        <w:rPr>
          <w:sz w:val="24"/>
          <w:szCs w:val="24"/>
        </w:rPr>
        <w:t>EP_DR_001</w:t>
      </w:r>
      <w:r w:rsidR="003F752E">
        <w:rPr>
          <w:sz w:val="24"/>
          <w:szCs w:val="24"/>
        </w:rPr>
        <w:t>C</w:t>
      </w:r>
      <w:r w:rsidR="005B0E2C">
        <w:rPr>
          <w:sz w:val="24"/>
          <w:szCs w:val="24"/>
        </w:rPr>
        <w:t xml:space="preserve"> </w:t>
      </w:r>
      <w:r w:rsidR="00DD6B49" w:rsidRPr="003F752E">
        <w:rPr>
          <w:sz w:val="24"/>
          <w:szCs w:val="24"/>
        </w:rPr>
        <w:t>Confidential</w:t>
      </w:r>
      <w:r w:rsidR="00DD6B49">
        <w:rPr>
          <w:sz w:val="24"/>
          <w:szCs w:val="24"/>
        </w:rPr>
        <w:t xml:space="preserve"> </w:t>
      </w:r>
      <w:r w:rsidR="005B0E2C">
        <w:rPr>
          <w:sz w:val="24"/>
          <w:szCs w:val="24"/>
        </w:rPr>
        <w:t>Attachment A.</w:t>
      </w:r>
      <w:r>
        <w:rPr>
          <w:sz w:val="24"/>
          <w:szCs w:val="24"/>
        </w:rPr>
        <w:t xml:space="preserve"> </w:t>
      </w:r>
      <w:r w:rsidR="009907B2">
        <w:rPr>
          <w:sz w:val="24"/>
          <w:szCs w:val="24"/>
        </w:rPr>
        <w:t>Due to the size of the</w:t>
      </w:r>
      <w:r w:rsidR="00E009AD">
        <w:rPr>
          <w:sz w:val="24"/>
          <w:szCs w:val="24"/>
        </w:rPr>
        <w:t xml:space="preserve"> responses</w:t>
      </w:r>
      <w:r w:rsidR="009907B2">
        <w:rPr>
          <w:sz w:val="24"/>
          <w:szCs w:val="24"/>
        </w:rPr>
        <w:t xml:space="preserve"> from the 2012 case</w:t>
      </w:r>
      <w:r w:rsidR="00E009AD">
        <w:rPr>
          <w:sz w:val="24"/>
          <w:szCs w:val="24"/>
        </w:rPr>
        <w:t xml:space="preserve">, they are being provided </w:t>
      </w:r>
      <w:r w:rsidR="009907B2">
        <w:rPr>
          <w:sz w:val="24"/>
          <w:szCs w:val="24"/>
        </w:rPr>
        <w:t xml:space="preserve">with this response </w:t>
      </w:r>
      <w:r w:rsidR="00E009AD">
        <w:rPr>
          <w:sz w:val="24"/>
          <w:szCs w:val="24"/>
        </w:rPr>
        <w:t>on compact disc (CD)</w:t>
      </w:r>
      <w:r w:rsidR="00E009AD">
        <w:t>.</w:t>
      </w:r>
    </w:p>
    <w:p w:rsidR="00CA250D" w:rsidRDefault="00CA250D" w:rsidP="007C6336">
      <w:pPr>
        <w:jc w:val="both"/>
        <w:rPr>
          <w:sz w:val="24"/>
          <w:szCs w:val="24"/>
        </w:rPr>
      </w:pPr>
    </w:p>
    <w:p w:rsidR="004370A3" w:rsidRDefault="00F927E9" w:rsidP="00350CDB">
      <w:pPr>
        <w:jc w:val="both"/>
        <w:rPr>
          <w:sz w:val="24"/>
          <w:szCs w:val="24"/>
        </w:rPr>
      </w:pPr>
      <w:r>
        <w:rPr>
          <w:sz w:val="24"/>
          <w:szCs w:val="24"/>
        </w:rPr>
        <w:t>Pursuant to objective number one</w:t>
      </w:r>
      <w:r w:rsidR="005B0E2C">
        <w:rPr>
          <w:sz w:val="24"/>
          <w:szCs w:val="24"/>
        </w:rPr>
        <w:t>, above, the Company implemented and tested the</w:t>
      </w:r>
      <w:r w:rsidR="00350CDB">
        <w:rPr>
          <w:sz w:val="24"/>
          <w:szCs w:val="24"/>
        </w:rPr>
        <w:t xml:space="preserve"> operational performance </w:t>
      </w:r>
      <w:r w:rsidR="005B0E2C">
        <w:rPr>
          <w:sz w:val="24"/>
          <w:szCs w:val="24"/>
        </w:rPr>
        <w:t>of a CVR system</w:t>
      </w:r>
      <w:r w:rsidR="00DD6B49">
        <w:rPr>
          <w:sz w:val="24"/>
          <w:szCs w:val="24"/>
        </w:rPr>
        <w:t>.</w:t>
      </w:r>
      <w:r w:rsidR="00350CDB">
        <w:rPr>
          <w:sz w:val="24"/>
          <w:szCs w:val="24"/>
        </w:rPr>
        <w:t xml:space="preserve"> The performance </w:t>
      </w:r>
      <w:r w:rsidR="005B0E2C">
        <w:rPr>
          <w:sz w:val="24"/>
          <w:szCs w:val="24"/>
        </w:rPr>
        <w:t>of this system</w:t>
      </w:r>
      <w:r w:rsidR="00350CDB">
        <w:rPr>
          <w:sz w:val="24"/>
          <w:szCs w:val="24"/>
        </w:rPr>
        <w:t xml:space="preserve"> </w:t>
      </w:r>
      <w:r w:rsidR="004B3A5B">
        <w:rPr>
          <w:sz w:val="24"/>
          <w:szCs w:val="24"/>
        </w:rPr>
        <w:t>was independently evaluated by Navigant Consulting,</w:t>
      </w:r>
      <w:r w:rsidR="00350CDB">
        <w:rPr>
          <w:sz w:val="24"/>
          <w:szCs w:val="24"/>
        </w:rPr>
        <w:t xml:space="preserve"> who determined that </w:t>
      </w:r>
      <w:r w:rsidR="00DD6B49">
        <w:rPr>
          <w:sz w:val="24"/>
          <w:szCs w:val="24"/>
        </w:rPr>
        <w:t>it</w:t>
      </w:r>
      <w:r w:rsidR="00350CDB">
        <w:rPr>
          <w:sz w:val="24"/>
          <w:szCs w:val="24"/>
        </w:rPr>
        <w:t xml:space="preserve"> was </w:t>
      </w:r>
      <w:r w:rsidR="004B3A5B">
        <w:rPr>
          <w:sz w:val="24"/>
          <w:szCs w:val="24"/>
        </w:rPr>
        <w:t xml:space="preserve">a </w:t>
      </w:r>
      <w:r w:rsidR="00350CDB">
        <w:rPr>
          <w:sz w:val="24"/>
          <w:szCs w:val="24"/>
        </w:rPr>
        <w:t>cost effective</w:t>
      </w:r>
      <w:r w:rsidR="004B3A5B">
        <w:rPr>
          <w:sz w:val="24"/>
          <w:szCs w:val="24"/>
        </w:rPr>
        <w:t xml:space="preserve"> program</w:t>
      </w:r>
      <w:r w:rsidR="006F5B08">
        <w:rPr>
          <w:sz w:val="24"/>
          <w:szCs w:val="24"/>
        </w:rPr>
        <w:t>,</w:t>
      </w:r>
      <w:r w:rsidR="00350CDB">
        <w:rPr>
          <w:sz w:val="24"/>
          <w:szCs w:val="24"/>
        </w:rPr>
        <w:t xml:space="preserve"> and that it</w:t>
      </w:r>
      <w:r w:rsidR="006F5B08">
        <w:rPr>
          <w:sz w:val="24"/>
          <w:szCs w:val="24"/>
        </w:rPr>
        <w:t>s performance</w:t>
      </w:r>
      <w:r w:rsidR="00350CDB">
        <w:rPr>
          <w:sz w:val="24"/>
          <w:szCs w:val="24"/>
        </w:rPr>
        <w:t xml:space="preserve"> exceeded its initial design expectations. A copy of the final report </w:t>
      </w:r>
      <w:r w:rsidR="004B3A5B">
        <w:rPr>
          <w:sz w:val="24"/>
          <w:szCs w:val="24"/>
        </w:rPr>
        <w:t>prepared by Navigant is provided as</w:t>
      </w:r>
      <w:r w:rsidR="006F5B08">
        <w:rPr>
          <w:sz w:val="24"/>
          <w:szCs w:val="24"/>
        </w:rPr>
        <w:t xml:space="preserve"> </w:t>
      </w:r>
      <w:r w:rsidR="003F752E">
        <w:rPr>
          <w:sz w:val="24"/>
          <w:szCs w:val="24"/>
        </w:rPr>
        <w:t xml:space="preserve">PC/EP_DR_001 </w:t>
      </w:r>
      <w:r w:rsidR="006F5B08">
        <w:rPr>
          <w:sz w:val="24"/>
          <w:szCs w:val="24"/>
        </w:rPr>
        <w:t xml:space="preserve">Attachment </w:t>
      </w:r>
      <w:r w:rsidR="000D5413">
        <w:rPr>
          <w:sz w:val="24"/>
          <w:szCs w:val="24"/>
        </w:rPr>
        <w:t>B</w:t>
      </w:r>
      <w:r w:rsidR="00350CDB">
        <w:rPr>
          <w:sz w:val="24"/>
          <w:szCs w:val="24"/>
        </w:rPr>
        <w:t>.</w:t>
      </w:r>
    </w:p>
    <w:p w:rsidR="00350CDB" w:rsidRDefault="00350CDB" w:rsidP="00350CDB">
      <w:pPr>
        <w:jc w:val="both"/>
        <w:rPr>
          <w:sz w:val="24"/>
          <w:szCs w:val="24"/>
        </w:rPr>
      </w:pPr>
    </w:p>
    <w:p w:rsidR="00350CDB" w:rsidRDefault="00350CDB" w:rsidP="00350CDB">
      <w:pPr>
        <w:jc w:val="both"/>
        <w:rPr>
          <w:sz w:val="24"/>
          <w:szCs w:val="24"/>
        </w:rPr>
      </w:pPr>
      <w:r>
        <w:rPr>
          <w:sz w:val="24"/>
          <w:szCs w:val="24"/>
        </w:rPr>
        <w:t xml:space="preserve">Another </w:t>
      </w:r>
      <w:r w:rsidR="00F927E9">
        <w:rPr>
          <w:sz w:val="24"/>
          <w:szCs w:val="24"/>
        </w:rPr>
        <w:t>focus, related to objective number three, above,</w:t>
      </w:r>
      <w:r>
        <w:rPr>
          <w:sz w:val="24"/>
          <w:szCs w:val="24"/>
        </w:rPr>
        <w:t xml:space="preserve"> was to test the performance of a “smart circuits” system designed to automate much of the switching among distribution circuits that is required to quickly restore service to customers </w:t>
      </w:r>
      <w:r w:rsidR="00A32E40">
        <w:rPr>
          <w:sz w:val="24"/>
          <w:szCs w:val="24"/>
        </w:rPr>
        <w:t>during an outage. Avista was pleased with the perf</w:t>
      </w:r>
      <w:r w:rsidR="00F927E9">
        <w:rPr>
          <w:sz w:val="24"/>
          <w:szCs w:val="24"/>
        </w:rPr>
        <w:t>ormance of its system</w:t>
      </w:r>
      <w:r w:rsidR="00A32E40">
        <w:rPr>
          <w:sz w:val="24"/>
          <w:szCs w:val="24"/>
        </w:rPr>
        <w:t xml:space="preserve"> and the results for the reduction in outage duration</w:t>
      </w:r>
      <w:r w:rsidR="00F927E9">
        <w:rPr>
          <w:sz w:val="24"/>
          <w:szCs w:val="24"/>
        </w:rPr>
        <w:t xml:space="preserve"> time</w:t>
      </w:r>
      <w:r w:rsidR="00A32E40">
        <w:rPr>
          <w:sz w:val="24"/>
          <w:szCs w:val="24"/>
        </w:rPr>
        <w:t>, and other reliability indices, are presented in the table below:</w:t>
      </w:r>
    </w:p>
    <w:p w:rsidR="004370A3" w:rsidRDefault="004370A3" w:rsidP="00350CDB">
      <w:pPr>
        <w:tabs>
          <w:tab w:val="left" w:pos="1890"/>
          <w:tab w:val="left" w:pos="4320"/>
          <w:tab w:val="left" w:pos="6480"/>
        </w:tabs>
        <w:jc w:val="both"/>
      </w:pPr>
    </w:p>
    <w:p w:rsidR="0061543C" w:rsidRDefault="0061543C" w:rsidP="000E629D">
      <w:pPr>
        <w:tabs>
          <w:tab w:val="left" w:pos="1890"/>
          <w:tab w:val="left" w:pos="4320"/>
          <w:tab w:val="left" w:pos="6480"/>
        </w:tabs>
        <w:jc w:val="both"/>
        <w:rPr>
          <w:b/>
          <w:sz w:val="24"/>
          <w:szCs w:val="24"/>
          <w:u w:val="single"/>
        </w:rPr>
      </w:pPr>
      <w:r w:rsidRPr="00E009AD">
        <w:rPr>
          <w:b/>
          <w:sz w:val="24"/>
          <w:szCs w:val="24"/>
          <w:u w:val="single"/>
        </w:rPr>
        <w:t>Table No. 1</w:t>
      </w:r>
    </w:p>
    <w:p w:rsidR="00E009AD" w:rsidRPr="00E009AD" w:rsidRDefault="00E009AD" w:rsidP="000E629D">
      <w:pPr>
        <w:tabs>
          <w:tab w:val="left" w:pos="1890"/>
          <w:tab w:val="left" w:pos="4320"/>
          <w:tab w:val="left" w:pos="6480"/>
        </w:tabs>
        <w:jc w:val="both"/>
        <w:rPr>
          <w:b/>
          <w:sz w:val="24"/>
          <w:szCs w:val="24"/>
          <w:u w:val="single"/>
        </w:rPr>
      </w:pPr>
    </w:p>
    <w:tbl>
      <w:tblPr>
        <w:tblW w:w="8435" w:type="dxa"/>
        <w:tblInd w:w="1039" w:type="dxa"/>
        <w:tblLook w:val="04A0"/>
      </w:tblPr>
      <w:tblGrid>
        <w:gridCol w:w="3670"/>
        <w:gridCol w:w="1068"/>
        <w:gridCol w:w="1176"/>
        <w:gridCol w:w="1525"/>
        <w:gridCol w:w="1176"/>
      </w:tblGrid>
      <w:tr w:rsidR="0061543C" w:rsidTr="00F927E9">
        <w:trPr>
          <w:trHeight w:val="630"/>
        </w:trPr>
        <w:tc>
          <w:tcPr>
            <w:tcW w:w="3670" w:type="dxa"/>
            <w:tcBorders>
              <w:top w:val="single" w:sz="4" w:space="0" w:color="auto"/>
              <w:left w:val="single" w:sz="4" w:space="0" w:color="auto"/>
              <w:bottom w:val="single" w:sz="4" w:space="0" w:color="auto"/>
              <w:right w:val="nil"/>
            </w:tcBorders>
            <w:shd w:val="clear" w:color="auto" w:fill="BFBFBF"/>
            <w:vAlign w:val="center"/>
            <w:hideMark/>
          </w:tcPr>
          <w:p w:rsidR="0061543C" w:rsidRDefault="00F927E9" w:rsidP="00F927E9">
            <w:pPr>
              <w:rPr>
                <w:b/>
                <w:bCs/>
                <w:sz w:val="24"/>
                <w:szCs w:val="24"/>
              </w:rPr>
            </w:pPr>
            <w:r w:rsidRPr="00F927E9">
              <w:rPr>
                <w:b/>
                <w:bCs/>
                <w:sz w:val="28"/>
                <w:szCs w:val="24"/>
              </w:rPr>
              <w:t>Reliability Improvements</w:t>
            </w:r>
          </w:p>
        </w:tc>
        <w:tc>
          <w:tcPr>
            <w:tcW w:w="1068" w:type="dxa"/>
            <w:tcBorders>
              <w:top w:val="single" w:sz="4" w:space="0" w:color="auto"/>
              <w:left w:val="nil"/>
              <w:bottom w:val="nil"/>
              <w:right w:val="single" w:sz="4" w:space="0" w:color="auto"/>
            </w:tcBorders>
            <w:shd w:val="clear" w:color="auto" w:fill="BFBFBF"/>
            <w:noWrap/>
            <w:vAlign w:val="center"/>
            <w:hideMark/>
          </w:tcPr>
          <w:p w:rsidR="0061543C" w:rsidRDefault="0061543C" w:rsidP="00F927E9">
            <w:pPr>
              <w:jc w:val="center"/>
              <w:rPr>
                <w:b/>
                <w:bCs/>
                <w:sz w:val="24"/>
                <w:szCs w:val="24"/>
              </w:rPr>
            </w:pPr>
            <w:r>
              <w:rPr>
                <w:b/>
                <w:bCs/>
                <w:sz w:val="24"/>
                <w:szCs w:val="24"/>
              </w:rPr>
              <w:t>2013</w:t>
            </w:r>
          </w:p>
        </w:tc>
        <w:tc>
          <w:tcPr>
            <w:tcW w:w="1176" w:type="dxa"/>
            <w:tcBorders>
              <w:top w:val="single" w:sz="4" w:space="0" w:color="auto"/>
              <w:left w:val="nil"/>
              <w:bottom w:val="nil"/>
              <w:right w:val="single" w:sz="4" w:space="0" w:color="auto"/>
            </w:tcBorders>
            <w:shd w:val="clear" w:color="auto" w:fill="BFBFBF"/>
            <w:noWrap/>
            <w:vAlign w:val="center"/>
            <w:hideMark/>
          </w:tcPr>
          <w:p w:rsidR="0061543C" w:rsidRDefault="0061543C" w:rsidP="00F927E9">
            <w:pPr>
              <w:jc w:val="center"/>
              <w:rPr>
                <w:b/>
                <w:bCs/>
                <w:sz w:val="24"/>
                <w:szCs w:val="24"/>
              </w:rPr>
            </w:pPr>
            <w:r>
              <w:rPr>
                <w:b/>
                <w:bCs/>
                <w:sz w:val="24"/>
                <w:szCs w:val="24"/>
              </w:rPr>
              <w:t>2014</w:t>
            </w:r>
          </w:p>
        </w:tc>
        <w:tc>
          <w:tcPr>
            <w:tcW w:w="1525" w:type="dxa"/>
            <w:tcBorders>
              <w:top w:val="single" w:sz="4" w:space="0" w:color="auto"/>
              <w:left w:val="nil"/>
              <w:bottom w:val="nil"/>
              <w:right w:val="single" w:sz="4" w:space="0" w:color="auto"/>
            </w:tcBorders>
            <w:shd w:val="clear" w:color="auto" w:fill="BFBFBF"/>
            <w:noWrap/>
            <w:vAlign w:val="center"/>
            <w:hideMark/>
          </w:tcPr>
          <w:p w:rsidR="0061543C" w:rsidRDefault="00F927E9" w:rsidP="00F927E9">
            <w:pPr>
              <w:jc w:val="center"/>
              <w:rPr>
                <w:b/>
                <w:bCs/>
                <w:sz w:val="24"/>
                <w:szCs w:val="24"/>
              </w:rPr>
            </w:pPr>
            <w:r>
              <w:rPr>
                <w:b/>
                <w:bCs/>
                <w:sz w:val="24"/>
                <w:szCs w:val="24"/>
              </w:rPr>
              <w:t>Year to Date 2015</w:t>
            </w:r>
          </w:p>
        </w:tc>
        <w:tc>
          <w:tcPr>
            <w:tcW w:w="996" w:type="dxa"/>
            <w:tcBorders>
              <w:top w:val="single" w:sz="4" w:space="0" w:color="auto"/>
              <w:left w:val="nil"/>
              <w:bottom w:val="single" w:sz="4" w:space="0" w:color="auto"/>
              <w:right w:val="single" w:sz="4" w:space="0" w:color="auto"/>
            </w:tcBorders>
            <w:shd w:val="clear" w:color="auto" w:fill="BFBFBF"/>
            <w:noWrap/>
            <w:vAlign w:val="center"/>
            <w:hideMark/>
          </w:tcPr>
          <w:p w:rsidR="0061543C" w:rsidRDefault="00F927E9" w:rsidP="00F927E9">
            <w:pPr>
              <w:jc w:val="center"/>
              <w:rPr>
                <w:b/>
                <w:bCs/>
                <w:sz w:val="24"/>
                <w:szCs w:val="24"/>
              </w:rPr>
            </w:pPr>
            <w:r>
              <w:rPr>
                <w:b/>
                <w:bCs/>
                <w:sz w:val="24"/>
                <w:szCs w:val="24"/>
              </w:rPr>
              <w:t>Life to Date</w:t>
            </w:r>
          </w:p>
        </w:tc>
      </w:tr>
      <w:tr w:rsidR="0061543C" w:rsidTr="00F927E9">
        <w:trPr>
          <w:trHeight w:val="315"/>
        </w:trPr>
        <w:tc>
          <w:tcPr>
            <w:tcW w:w="3670" w:type="dxa"/>
            <w:tcBorders>
              <w:top w:val="nil"/>
              <w:left w:val="single" w:sz="4" w:space="0" w:color="auto"/>
              <w:bottom w:val="single" w:sz="4" w:space="0" w:color="auto"/>
              <w:right w:val="single" w:sz="4" w:space="0" w:color="auto"/>
            </w:tcBorders>
            <w:noWrap/>
            <w:vAlign w:val="bottom"/>
            <w:hideMark/>
          </w:tcPr>
          <w:p w:rsidR="0061543C" w:rsidRDefault="0061543C">
            <w:pPr>
              <w:rPr>
                <w:sz w:val="24"/>
                <w:szCs w:val="24"/>
              </w:rPr>
            </w:pPr>
            <w:r>
              <w:rPr>
                <w:sz w:val="24"/>
                <w:szCs w:val="24"/>
              </w:rPr>
              <w:t>Customer Minutes Saved</w:t>
            </w:r>
          </w:p>
        </w:tc>
        <w:tc>
          <w:tcPr>
            <w:tcW w:w="1068" w:type="dxa"/>
            <w:tcBorders>
              <w:top w:val="single" w:sz="4" w:space="0" w:color="auto"/>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271,320</w:t>
            </w:r>
          </w:p>
        </w:tc>
        <w:tc>
          <w:tcPr>
            <w:tcW w:w="1176" w:type="dxa"/>
            <w:tcBorders>
              <w:top w:val="single" w:sz="4" w:space="0" w:color="auto"/>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82,016</w:t>
            </w:r>
          </w:p>
        </w:tc>
        <w:tc>
          <w:tcPr>
            <w:tcW w:w="1525" w:type="dxa"/>
            <w:tcBorders>
              <w:top w:val="single" w:sz="4" w:space="0" w:color="auto"/>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0</w:t>
            </w:r>
          </w:p>
        </w:tc>
        <w:tc>
          <w:tcPr>
            <w:tcW w:w="996"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353,336</w:t>
            </w:r>
          </w:p>
        </w:tc>
      </w:tr>
      <w:tr w:rsidR="0061543C" w:rsidTr="00F927E9">
        <w:trPr>
          <w:trHeight w:val="315"/>
        </w:trPr>
        <w:tc>
          <w:tcPr>
            <w:tcW w:w="3670" w:type="dxa"/>
            <w:tcBorders>
              <w:top w:val="nil"/>
              <w:left w:val="single" w:sz="4" w:space="0" w:color="auto"/>
              <w:bottom w:val="single" w:sz="4" w:space="0" w:color="auto"/>
              <w:right w:val="single" w:sz="4" w:space="0" w:color="auto"/>
            </w:tcBorders>
            <w:noWrap/>
            <w:vAlign w:val="bottom"/>
            <w:hideMark/>
          </w:tcPr>
          <w:p w:rsidR="0061543C" w:rsidRDefault="0061543C">
            <w:pPr>
              <w:rPr>
                <w:sz w:val="24"/>
                <w:szCs w:val="24"/>
              </w:rPr>
            </w:pPr>
            <w:r>
              <w:rPr>
                <w:sz w:val="24"/>
                <w:szCs w:val="24"/>
              </w:rPr>
              <w:t>Customer Sustained Outages Avoided</w:t>
            </w:r>
          </w:p>
        </w:tc>
        <w:tc>
          <w:tcPr>
            <w:tcW w:w="1068"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1,785</w:t>
            </w:r>
          </w:p>
        </w:tc>
        <w:tc>
          <w:tcPr>
            <w:tcW w:w="1176"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2,985</w:t>
            </w:r>
          </w:p>
        </w:tc>
        <w:tc>
          <w:tcPr>
            <w:tcW w:w="1525"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0</w:t>
            </w:r>
          </w:p>
        </w:tc>
        <w:tc>
          <w:tcPr>
            <w:tcW w:w="996"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4,770</w:t>
            </w:r>
          </w:p>
        </w:tc>
      </w:tr>
      <w:tr w:rsidR="0061543C" w:rsidTr="00F927E9">
        <w:trPr>
          <w:trHeight w:val="315"/>
        </w:trPr>
        <w:tc>
          <w:tcPr>
            <w:tcW w:w="3670" w:type="dxa"/>
            <w:tcBorders>
              <w:top w:val="nil"/>
              <w:left w:val="single" w:sz="4" w:space="0" w:color="auto"/>
              <w:bottom w:val="single" w:sz="4" w:space="0" w:color="auto"/>
              <w:right w:val="single" w:sz="4" w:space="0" w:color="auto"/>
            </w:tcBorders>
            <w:noWrap/>
            <w:vAlign w:val="bottom"/>
            <w:hideMark/>
          </w:tcPr>
          <w:p w:rsidR="0061543C" w:rsidRDefault="0061543C">
            <w:pPr>
              <w:rPr>
                <w:sz w:val="24"/>
                <w:szCs w:val="24"/>
              </w:rPr>
            </w:pPr>
            <w:r>
              <w:rPr>
                <w:sz w:val="24"/>
                <w:szCs w:val="24"/>
              </w:rPr>
              <w:t>Total Area Customer Outage Minutes</w:t>
            </w:r>
          </w:p>
        </w:tc>
        <w:tc>
          <w:tcPr>
            <w:tcW w:w="1068"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721,027</w:t>
            </w:r>
          </w:p>
        </w:tc>
        <w:tc>
          <w:tcPr>
            <w:tcW w:w="1176"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1,623,079</w:t>
            </w:r>
          </w:p>
        </w:tc>
        <w:tc>
          <w:tcPr>
            <w:tcW w:w="1525"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45,045</w:t>
            </w:r>
          </w:p>
        </w:tc>
        <w:tc>
          <w:tcPr>
            <w:tcW w:w="996"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2,389,151</w:t>
            </w:r>
          </w:p>
        </w:tc>
      </w:tr>
      <w:tr w:rsidR="0061543C" w:rsidTr="00F927E9">
        <w:trPr>
          <w:trHeight w:val="315"/>
        </w:trPr>
        <w:tc>
          <w:tcPr>
            <w:tcW w:w="3670" w:type="dxa"/>
            <w:tcBorders>
              <w:top w:val="nil"/>
              <w:left w:val="single" w:sz="4" w:space="0" w:color="auto"/>
              <w:bottom w:val="single" w:sz="4" w:space="0" w:color="auto"/>
              <w:right w:val="single" w:sz="4" w:space="0" w:color="auto"/>
            </w:tcBorders>
            <w:noWrap/>
            <w:vAlign w:val="bottom"/>
            <w:hideMark/>
          </w:tcPr>
          <w:p w:rsidR="0061543C" w:rsidRDefault="0061543C">
            <w:pPr>
              <w:rPr>
                <w:sz w:val="24"/>
                <w:szCs w:val="24"/>
              </w:rPr>
            </w:pPr>
            <w:r>
              <w:rPr>
                <w:sz w:val="24"/>
                <w:szCs w:val="24"/>
              </w:rPr>
              <w:t>Total Area Customer Outages</w:t>
            </w:r>
          </w:p>
        </w:tc>
        <w:tc>
          <w:tcPr>
            <w:tcW w:w="1068"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4,033</w:t>
            </w:r>
          </w:p>
        </w:tc>
        <w:tc>
          <w:tcPr>
            <w:tcW w:w="1176"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18,614</w:t>
            </w:r>
          </w:p>
        </w:tc>
        <w:tc>
          <w:tcPr>
            <w:tcW w:w="1525"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230</w:t>
            </w:r>
          </w:p>
        </w:tc>
        <w:tc>
          <w:tcPr>
            <w:tcW w:w="996" w:type="dxa"/>
            <w:tcBorders>
              <w:top w:val="nil"/>
              <w:left w:val="nil"/>
              <w:bottom w:val="single" w:sz="4" w:space="0" w:color="auto"/>
              <w:right w:val="single" w:sz="4" w:space="0" w:color="auto"/>
            </w:tcBorders>
            <w:noWrap/>
            <w:vAlign w:val="bottom"/>
            <w:hideMark/>
          </w:tcPr>
          <w:p w:rsidR="0061543C" w:rsidRDefault="0061543C">
            <w:pPr>
              <w:jc w:val="right"/>
              <w:rPr>
                <w:sz w:val="24"/>
                <w:szCs w:val="24"/>
              </w:rPr>
            </w:pPr>
            <w:r>
              <w:rPr>
                <w:sz w:val="24"/>
                <w:szCs w:val="24"/>
              </w:rPr>
              <w:t>22,877</w:t>
            </w:r>
          </w:p>
        </w:tc>
      </w:tr>
      <w:tr w:rsidR="0061543C" w:rsidTr="00F927E9">
        <w:trPr>
          <w:trHeight w:val="315"/>
        </w:trPr>
        <w:tc>
          <w:tcPr>
            <w:tcW w:w="3670" w:type="dxa"/>
            <w:tcBorders>
              <w:top w:val="nil"/>
              <w:left w:val="single" w:sz="4" w:space="0" w:color="auto"/>
              <w:bottom w:val="single" w:sz="4" w:space="0" w:color="auto"/>
              <w:right w:val="single" w:sz="4" w:space="0" w:color="auto"/>
            </w:tcBorders>
            <w:shd w:val="clear" w:color="auto" w:fill="D8D8D8"/>
            <w:noWrap/>
            <w:vAlign w:val="bottom"/>
            <w:hideMark/>
          </w:tcPr>
          <w:p w:rsidR="0061543C" w:rsidRDefault="0061543C">
            <w:pPr>
              <w:rPr>
                <w:sz w:val="24"/>
                <w:szCs w:val="24"/>
              </w:rPr>
            </w:pPr>
            <w:r>
              <w:rPr>
                <w:sz w:val="24"/>
                <w:szCs w:val="24"/>
              </w:rPr>
              <w:t>SAIFI Improvement</w:t>
            </w:r>
          </w:p>
        </w:tc>
        <w:tc>
          <w:tcPr>
            <w:tcW w:w="1068"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30.68%</w:t>
            </w:r>
          </w:p>
        </w:tc>
        <w:tc>
          <w:tcPr>
            <w:tcW w:w="1176"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13.82%</w:t>
            </w:r>
          </w:p>
        </w:tc>
        <w:tc>
          <w:tcPr>
            <w:tcW w:w="1525"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0.00%</w:t>
            </w:r>
          </w:p>
        </w:tc>
        <w:tc>
          <w:tcPr>
            <w:tcW w:w="996"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17.25%</w:t>
            </w:r>
          </w:p>
        </w:tc>
      </w:tr>
      <w:tr w:rsidR="0061543C" w:rsidTr="00F927E9">
        <w:trPr>
          <w:trHeight w:val="315"/>
        </w:trPr>
        <w:tc>
          <w:tcPr>
            <w:tcW w:w="3670" w:type="dxa"/>
            <w:tcBorders>
              <w:top w:val="nil"/>
              <w:left w:val="single" w:sz="4" w:space="0" w:color="auto"/>
              <w:bottom w:val="single" w:sz="4" w:space="0" w:color="auto"/>
              <w:right w:val="single" w:sz="4" w:space="0" w:color="auto"/>
            </w:tcBorders>
            <w:shd w:val="clear" w:color="auto" w:fill="D8D8D8"/>
            <w:noWrap/>
            <w:vAlign w:val="bottom"/>
            <w:hideMark/>
          </w:tcPr>
          <w:p w:rsidR="0061543C" w:rsidRDefault="0061543C">
            <w:pPr>
              <w:rPr>
                <w:sz w:val="24"/>
                <w:szCs w:val="24"/>
              </w:rPr>
            </w:pPr>
            <w:r>
              <w:rPr>
                <w:sz w:val="24"/>
                <w:szCs w:val="24"/>
              </w:rPr>
              <w:t>SAIDI Improvement</w:t>
            </w:r>
          </w:p>
        </w:tc>
        <w:tc>
          <w:tcPr>
            <w:tcW w:w="1068"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27.34%</w:t>
            </w:r>
          </w:p>
        </w:tc>
        <w:tc>
          <w:tcPr>
            <w:tcW w:w="1176"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4.81%</w:t>
            </w:r>
          </w:p>
        </w:tc>
        <w:tc>
          <w:tcPr>
            <w:tcW w:w="1525"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0.00%</w:t>
            </w:r>
          </w:p>
        </w:tc>
        <w:tc>
          <w:tcPr>
            <w:tcW w:w="996" w:type="dxa"/>
            <w:tcBorders>
              <w:top w:val="nil"/>
              <w:left w:val="nil"/>
              <w:bottom w:val="single" w:sz="4" w:space="0" w:color="auto"/>
              <w:right w:val="single" w:sz="4" w:space="0" w:color="auto"/>
            </w:tcBorders>
            <w:shd w:val="clear" w:color="auto" w:fill="D8D8D8"/>
            <w:noWrap/>
            <w:vAlign w:val="bottom"/>
            <w:hideMark/>
          </w:tcPr>
          <w:p w:rsidR="0061543C" w:rsidRDefault="0061543C">
            <w:pPr>
              <w:jc w:val="right"/>
              <w:rPr>
                <w:sz w:val="24"/>
                <w:szCs w:val="24"/>
              </w:rPr>
            </w:pPr>
            <w:r>
              <w:rPr>
                <w:sz w:val="24"/>
                <w:szCs w:val="24"/>
              </w:rPr>
              <w:t>12.88%</w:t>
            </w:r>
          </w:p>
        </w:tc>
      </w:tr>
    </w:tbl>
    <w:p w:rsidR="0061543C" w:rsidRDefault="0061543C" w:rsidP="000E629D">
      <w:pPr>
        <w:tabs>
          <w:tab w:val="left" w:pos="1890"/>
          <w:tab w:val="left" w:pos="4320"/>
          <w:tab w:val="left" w:pos="6480"/>
        </w:tabs>
        <w:jc w:val="both"/>
        <w:rPr>
          <w:sz w:val="24"/>
          <w:szCs w:val="24"/>
        </w:rPr>
      </w:pPr>
    </w:p>
    <w:p w:rsidR="004370A3" w:rsidRDefault="004370A3" w:rsidP="0026466D">
      <w:pPr>
        <w:tabs>
          <w:tab w:val="left" w:pos="1890"/>
          <w:tab w:val="left" w:pos="4320"/>
          <w:tab w:val="left" w:pos="6480"/>
        </w:tabs>
        <w:jc w:val="both"/>
        <w:rPr>
          <w:sz w:val="24"/>
          <w:szCs w:val="24"/>
        </w:rPr>
      </w:pPr>
    </w:p>
    <w:p w:rsidR="005664CC" w:rsidRDefault="005664CC" w:rsidP="0026466D">
      <w:pPr>
        <w:tabs>
          <w:tab w:val="left" w:pos="1890"/>
          <w:tab w:val="left" w:pos="4320"/>
          <w:tab w:val="left" w:pos="6480"/>
        </w:tabs>
        <w:jc w:val="both"/>
        <w:rPr>
          <w:sz w:val="24"/>
          <w:szCs w:val="24"/>
        </w:rPr>
      </w:pPr>
      <w:r>
        <w:rPr>
          <w:sz w:val="24"/>
          <w:szCs w:val="24"/>
        </w:rPr>
        <w:t xml:space="preserve">Another area of study for the Company was to evaluate the rates of adoption by customers of the interval energy </w:t>
      </w:r>
      <w:r w:rsidR="00ED3587">
        <w:rPr>
          <w:sz w:val="24"/>
          <w:szCs w:val="24"/>
        </w:rPr>
        <w:t xml:space="preserve">data </w:t>
      </w:r>
      <w:r>
        <w:rPr>
          <w:sz w:val="24"/>
          <w:szCs w:val="24"/>
        </w:rPr>
        <w:t>provided by advanced metering</w:t>
      </w:r>
      <w:r w:rsidR="00ED3587">
        <w:rPr>
          <w:sz w:val="24"/>
          <w:szCs w:val="24"/>
        </w:rPr>
        <w:t xml:space="preserve"> as a tool to help them reduce their energy use. In addition, the actual energy savings achieved by those customers was also estimated. The report documenting the results </w:t>
      </w:r>
      <w:r w:rsidR="00ED3587">
        <w:rPr>
          <w:sz w:val="24"/>
          <w:szCs w:val="24"/>
        </w:rPr>
        <w:lastRenderedPageBreak/>
        <w:t>of this investigation</w:t>
      </w:r>
      <w:r w:rsidR="00981BB5">
        <w:rPr>
          <w:sz w:val="24"/>
          <w:szCs w:val="24"/>
        </w:rPr>
        <w:t>, as developed by the independent consultant Freeman, Sullivan and Company,</w:t>
      </w:r>
      <w:r w:rsidR="003F752E">
        <w:rPr>
          <w:sz w:val="24"/>
          <w:szCs w:val="24"/>
        </w:rPr>
        <w:t xml:space="preserve"> is provided as PC/</w:t>
      </w:r>
      <w:r w:rsidR="00ED3587">
        <w:rPr>
          <w:sz w:val="24"/>
          <w:szCs w:val="24"/>
        </w:rPr>
        <w:t xml:space="preserve">EP_DR_001 Attachment </w:t>
      </w:r>
      <w:r w:rsidR="000D5413">
        <w:rPr>
          <w:sz w:val="24"/>
          <w:szCs w:val="24"/>
        </w:rPr>
        <w:t>C</w:t>
      </w:r>
      <w:r w:rsidR="00ED3587">
        <w:rPr>
          <w:sz w:val="24"/>
          <w:szCs w:val="24"/>
        </w:rPr>
        <w:t>.</w:t>
      </w:r>
      <w:r w:rsidR="00981BB5">
        <w:rPr>
          <w:sz w:val="24"/>
          <w:szCs w:val="24"/>
        </w:rPr>
        <w:t xml:space="preserve"> </w:t>
      </w:r>
    </w:p>
    <w:p w:rsidR="004370A3" w:rsidRPr="00A32E40" w:rsidRDefault="004370A3" w:rsidP="0026466D">
      <w:pPr>
        <w:tabs>
          <w:tab w:val="left" w:pos="1890"/>
          <w:tab w:val="left" w:pos="4320"/>
          <w:tab w:val="left" w:pos="6480"/>
        </w:tabs>
        <w:jc w:val="both"/>
        <w:rPr>
          <w:sz w:val="24"/>
          <w:szCs w:val="24"/>
        </w:rPr>
      </w:pPr>
    </w:p>
    <w:p w:rsidR="00202B35" w:rsidRDefault="00202B35" w:rsidP="0026466D">
      <w:pPr>
        <w:tabs>
          <w:tab w:val="left" w:pos="1890"/>
          <w:tab w:val="left" w:pos="4320"/>
          <w:tab w:val="left" w:pos="6480"/>
        </w:tabs>
        <w:jc w:val="both"/>
        <w:rPr>
          <w:sz w:val="24"/>
          <w:szCs w:val="24"/>
        </w:rPr>
      </w:pPr>
      <w:r>
        <w:rPr>
          <w:sz w:val="24"/>
          <w:szCs w:val="24"/>
        </w:rPr>
        <w:t>A</w:t>
      </w:r>
      <w:r w:rsidR="00A3258D">
        <w:rPr>
          <w:sz w:val="24"/>
          <w:szCs w:val="24"/>
        </w:rPr>
        <w:t>n a</w:t>
      </w:r>
      <w:r>
        <w:rPr>
          <w:sz w:val="24"/>
          <w:szCs w:val="24"/>
        </w:rPr>
        <w:t>dditional</w:t>
      </w:r>
      <w:r w:rsidR="00A32E40" w:rsidRPr="00A32E40">
        <w:rPr>
          <w:sz w:val="24"/>
          <w:szCs w:val="24"/>
        </w:rPr>
        <w:t xml:space="preserve"> </w:t>
      </w:r>
      <w:r w:rsidR="00981BB5">
        <w:rPr>
          <w:sz w:val="24"/>
          <w:szCs w:val="24"/>
        </w:rPr>
        <w:t>interest</w:t>
      </w:r>
      <w:r>
        <w:rPr>
          <w:sz w:val="24"/>
          <w:szCs w:val="24"/>
        </w:rPr>
        <w:t xml:space="preserve"> of the Company </w:t>
      </w:r>
      <w:r w:rsidR="00A3258D">
        <w:rPr>
          <w:sz w:val="24"/>
          <w:szCs w:val="24"/>
        </w:rPr>
        <w:t>was to</w:t>
      </w:r>
      <w:r>
        <w:rPr>
          <w:sz w:val="24"/>
          <w:szCs w:val="24"/>
        </w:rPr>
        <w:t xml:space="preserve"> </w:t>
      </w:r>
      <w:r w:rsidR="00A3258D">
        <w:rPr>
          <w:sz w:val="24"/>
          <w:szCs w:val="24"/>
        </w:rPr>
        <w:t>build on its experience with the deployment of automated</w:t>
      </w:r>
      <w:r w:rsidR="00A3258D" w:rsidRPr="007336CF">
        <w:rPr>
          <w:sz w:val="24"/>
          <w:szCs w:val="24"/>
        </w:rPr>
        <w:t xml:space="preserve"> metering</w:t>
      </w:r>
      <w:r w:rsidR="00A3258D">
        <w:rPr>
          <w:sz w:val="24"/>
          <w:szCs w:val="24"/>
        </w:rPr>
        <w:t>, and in particular</w:t>
      </w:r>
      <w:r w:rsidR="00715CB8">
        <w:rPr>
          <w:sz w:val="24"/>
          <w:szCs w:val="24"/>
        </w:rPr>
        <w:t>,</w:t>
      </w:r>
      <w:r w:rsidR="00A3258D">
        <w:rPr>
          <w:sz w:val="24"/>
          <w:szCs w:val="24"/>
        </w:rPr>
        <w:t xml:space="preserve"> </w:t>
      </w:r>
      <w:r w:rsidR="00715CB8">
        <w:rPr>
          <w:sz w:val="24"/>
          <w:szCs w:val="24"/>
        </w:rPr>
        <w:t>in</w:t>
      </w:r>
      <w:r w:rsidR="00A3258D">
        <w:rPr>
          <w:sz w:val="24"/>
          <w:szCs w:val="24"/>
        </w:rPr>
        <w:t xml:space="preserve"> the evaluation, selection and operation of the systems required for</w:t>
      </w:r>
      <w:r w:rsidR="00981BB5">
        <w:rPr>
          <w:sz w:val="24"/>
          <w:szCs w:val="24"/>
        </w:rPr>
        <w:t xml:space="preserve"> deployment and operation of</w:t>
      </w:r>
      <w:r w:rsidR="00A3258D">
        <w:rPr>
          <w:sz w:val="24"/>
          <w:szCs w:val="24"/>
        </w:rPr>
        <w:t xml:space="preserve"> </w:t>
      </w:r>
      <w:r w:rsidR="00715CB8">
        <w:rPr>
          <w:sz w:val="24"/>
          <w:szCs w:val="24"/>
        </w:rPr>
        <w:t xml:space="preserve">an advanced metering </w:t>
      </w:r>
      <w:r w:rsidR="00981BB5">
        <w:rPr>
          <w:sz w:val="24"/>
          <w:szCs w:val="24"/>
        </w:rPr>
        <w:t>system</w:t>
      </w:r>
      <w:r w:rsidR="00715CB8">
        <w:rPr>
          <w:sz w:val="24"/>
          <w:szCs w:val="24"/>
        </w:rPr>
        <w:t>. Some of Avista’s key learnings include the following:</w:t>
      </w:r>
    </w:p>
    <w:p w:rsidR="00A3258D" w:rsidRPr="007336CF" w:rsidRDefault="00A3258D" w:rsidP="00A3258D">
      <w:pPr>
        <w:numPr>
          <w:ilvl w:val="0"/>
          <w:numId w:val="32"/>
        </w:numPr>
        <w:tabs>
          <w:tab w:val="clear" w:pos="720"/>
        </w:tabs>
        <w:autoSpaceDE/>
        <w:autoSpaceDN/>
        <w:spacing w:before="100" w:beforeAutospacing="1" w:after="100" w:afterAutospacing="1"/>
        <w:jc w:val="both"/>
        <w:rPr>
          <w:sz w:val="24"/>
          <w:szCs w:val="24"/>
        </w:rPr>
      </w:pPr>
      <w:r w:rsidRPr="007336CF">
        <w:rPr>
          <w:sz w:val="24"/>
          <w:szCs w:val="24"/>
        </w:rPr>
        <w:t xml:space="preserve">Hardware cost estimates: Pullman allowed Avista to understand </w:t>
      </w:r>
      <w:r w:rsidR="005E76DA">
        <w:rPr>
          <w:sz w:val="24"/>
          <w:szCs w:val="24"/>
        </w:rPr>
        <w:t>more about the</w:t>
      </w:r>
      <w:r w:rsidRPr="007336CF">
        <w:rPr>
          <w:sz w:val="24"/>
          <w:szCs w:val="24"/>
        </w:rPr>
        <w:t xml:space="preserve"> hardware components</w:t>
      </w:r>
      <w:r w:rsidR="005E76DA">
        <w:rPr>
          <w:sz w:val="24"/>
          <w:szCs w:val="24"/>
        </w:rPr>
        <w:t xml:space="preserve"> that</w:t>
      </w:r>
      <w:r w:rsidRPr="007336CF">
        <w:rPr>
          <w:sz w:val="24"/>
          <w:szCs w:val="24"/>
        </w:rPr>
        <w:t xml:space="preserve"> are needed for a modern AMI system</w:t>
      </w:r>
      <w:r>
        <w:rPr>
          <w:sz w:val="24"/>
          <w:szCs w:val="24"/>
        </w:rPr>
        <w:t>,</w:t>
      </w:r>
      <w:r w:rsidRPr="007336CF">
        <w:rPr>
          <w:sz w:val="24"/>
          <w:szCs w:val="24"/>
        </w:rPr>
        <w:t xml:space="preserve"> </w:t>
      </w:r>
      <w:r w:rsidR="005E76DA">
        <w:rPr>
          <w:sz w:val="24"/>
          <w:szCs w:val="24"/>
        </w:rPr>
        <w:t>and the costs associated with the system</w:t>
      </w:r>
      <w:r w:rsidRPr="007336CF">
        <w:rPr>
          <w:sz w:val="24"/>
          <w:szCs w:val="24"/>
        </w:rPr>
        <w:t>.</w:t>
      </w:r>
    </w:p>
    <w:p w:rsidR="00A3258D" w:rsidRPr="007336CF" w:rsidRDefault="00A3258D" w:rsidP="00A3258D">
      <w:pPr>
        <w:numPr>
          <w:ilvl w:val="0"/>
          <w:numId w:val="32"/>
        </w:numPr>
        <w:tabs>
          <w:tab w:val="clear" w:pos="720"/>
        </w:tabs>
        <w:autoSpaceDE/>
        <w:autoSpaceDN/>
        <w:spacing w:before="100" w:beforeAutospacing="1" w:after="100" w:afterAutospacing="1"/>
        <w:jc w:val="both"/>
        <w:rPr>
          <w:sz w:val="24"/>
          <w:szCs w:val="24"/>
        </w:rPr>
      </w:pPr>
      <w:r w:rsidRPr="007336CF">
        <w:rPr>
          <w:sz w:val="24"/>
          <w:szCs w:val="24"/>
        </w:rPr>
        <w:t xml:space="preserve">Software cost estimates: </w:t>
      </w:r>
      <w:r w:rsidR="00981BB5">
        <w:rPr>
          <w:sz w:val="24"/>
          <w:szCs w:val="24"/>
        </w:rPr>
        <w:t xml:space="preserve">The </w:t>
      </w:r>
      <w:r w:rsidRPr="007336CF">
        <w:rPr>
          <w:sz w:val="24"/>
          <w:szCs w:val="24"/>
        </w:rPr>
        <w:t xml:space="preserve">Pullman </w:t>
      </w:r>
      <w:r w:rsidR="00981BB5">
        <w:rPr>
          <w:sz w:val="24"/>
          <w:szCs w:val="24"/>
        </w:rPr>
        <w:t xml:space="preserve">project provided </w:t>
      </w:r>
      <w:r w:rsidRPr="007336CF">
        <w:rPr>
          <w:sz w:val="24"/>
          <w:szCs w:val="24"/>
        </w:rPr>
        <w:t xml:space="preserve">Avista </w:t>
      </w:r>
      <w:r w:rsidR="00981BB5">
        <w:rPr>
          <w:sz w:val="24"/>
          <w:szCs w:val="24"/>
        </w:rPr>
        <w:t xml:space="preserve">the opportunity </w:t>
      </w:r>
      <w:r w:rsidRPr="007336CF">
        <w:rPr>
          <w:sz w:val="24"/>
          <w:szCs w:val="24"/>
        </w:rPr>
        <w:t>to</w:t>
      </w:r>
      <w:r>
        <w:rPr>
          <w:sz w:val="24"/>
          <w:szCs w:val="24"/>
        </w:rPr>
        <w:t xml:space="preserve"> better</w:t>
      </w:r>
      <w:r w:rsidRPr="007336CF">
        <w:rPr>
          <w:sz w:val="24"/>
          <w:szCs w:val="24"/>
        </w:rPr>
        <w:t xml:space="preserve"> understand the software systems required to operate the metering system, and</w:t>
      </w:r>
      <w:r w:rsidR="00981BB5">
        <w:rPr>
          <w:sz w:val="24"/>
          <w:szCs w:val="24"/>
        </w:rPr>
        <w:t xml:space="preserve"> it</w:t>
      </w:r>
      <w:r w:rsidRPr="007336CF">
        <w:rPr>
          <w:sz w:val="24"/>
          <w:szCs w:val="24"/>
        </w:rPr>
        <w:t xml:space="preserve"> also provided insight into </w:t>
      </w:r>
      <w:r w:rsidR="00981BB5">
        <w:rPr>
          <w:sz w:val="24"/>
          <w:szCs w:val="24"/>
        </w:rPr>
        <w:t>the complexity of the</w:t>
      </w:r>
      <w:r w:rsidRPr="007336CF">
        <w:rPr>
          <w:sz w:val="24"/>
          <w:szCs w:val="24"/>
        </w:rPr>
        <w:t xml:space="preserve"> system integrations require</w:t>
      </w:r>
      <w:r>
        <w:rPr>
          <w:sz w:val="24"/>
          <w:szCs w:val="24"/>
        </w:rPr>
        <w:t>d to make a full-</w:t>
      </w:r>
      <w:r w:rsidRPr="007336CF">
        <w:rPr>
          <w:sz w:val="24"/>
          <w:szCs w:val="24"/>
        </w:rPr>
        <w:t>scale project successful. This</w:t>
      </w:r>
      <w:r>
        <w:rPr>
          <w:sz w:val="24"/>
          <w:szCs w:val="24"/>
        </w:rPr>
        <w:t xml:space="preserve"> </w:t>
      </w:r>
      <w:r w:rsidR="00981BB5">
        <w:rPr>
          <w:sz w:val="24"/>
          <w:szCs w:val="24"/>
        </w:rPr>
        <w:t>provided the Company greater capability</w:t>
      </w:r>
      <w:r>
        <w:rPr>
          <w:sz w:val="24"/>
          <w:szCs w:val="24"/>
        </w:rPr>
        <w:t xml:space="preserve"> in the planning and budgeting process</w:t>
      </w:r>
      <w:r w:rsidR="00981BB5">
        <w:rPr>
          <w:sz w:val="24"/>
          <w:szCs w:val="24"/>
        </w:rPr>
        <w:t xml:space="preserve"> for these systems</w:t>
      </w:r>
      <w:r>
        <w:rPr>
          <w:sz w:val="24"/>
          <w:szCs w:val="24"/>
        </w:rPr>
        <w:t>.</w:t>
      </w:r>
    </w:p>
    <w:p w:rsidR="00A3258D" w:rsidRPr="007336CF" w:rsidRDefault="00A3258D" w:rsidP="00A3258D">
      <w:pPr>
        <w:numPr>
          <w:ilvl w:val="0"/>
          <w:numId w:val="32"/>
        </w:numPr>
        <w:tabs>
          <w:tab w:val="clear" w:pos="720"/>
        </w:tabs>
        <w:autoSpaceDE/>
        <w:autoSpaceDN/>
        <w:spacing w:before="100" w:beforeAutospacing="1" w:after="100" w:afterAutospacing="1"/>
        <w:jc w:val="both"/>
        <w:rPr>
          <w:sz w:val="24"/>
          <w:szCs w:val="24"/>
        </w:rPr>
      </w:pPr>
      <w:r>
        <w:rPr>
          <w:sz w:val="24"/>
          <w:szCs w:val="24"/>
        </w:rPr>
        <w:t>Application</w:t>
      </w:r>
      <w:r w:rsidRPr="007336CF">
        <w:rPr>
          <w:sz w:val="24"/>
          <w:szCs w:val="24"/>
        </w:rPr>
        <w:t xml:space="preserve"> analysi</w:t>
      </w:r>
      <w:r w:rsidR="00981BB5">
        <w:rPr>
          <w:sz w:val="24"/>
          <w:szCs w:val="24"/>
        </w:rPr>
        <w:t>s: S</w:t>
      </w:r>
      <w:r w:rsidRPr="007336CF">
        <w:rPr>
          <w:sz w:val="24"/>
          <w:szCs w:val="24"/>
        </w:rPr>
        <w:t xml:space="preserve">everal </w:t>
      </w:r>
      <w:r>
        <w:rPr>
          <w:sz w:val="24"/>
          <w:szCs w:val="24"/>
        </w:rPr>
        <w:t>applications</w:t>
      </w:r>
      <w:r w:rsidRPr="007336CF">
        <w:rPr>
          <w:sz w:val="24"/>
          <w:szCs w:val="24"/>
        </w:rPr>
        <w:t xml:space="preserve"> for AMI were explored during the Pullman project, including voltage alarms, outage notifications, data analytic</w:t>
      </w:r>
      <w:r w:rsidR="00981BB5">
        <w:rPr>
          <w:sz w:val="24"/>
          <w:szCs w:val="24"/>
        </w:rPr>
        <w:t>s,</w:t>
      </w:r>
      <w:r w:rsidRPr="007336CF">
        <w:rPr>
          <w:sz w:val="24"/>
          <w:szCs w:val="24"/>
        </w:rPr>
        <w:t xml:space="preserve"> and remote meter configuration. </w:t>
      </w:r>
      <w:r w:rsidR="00981BB5">
        <w:rPr>
          <w:sz w:val="24"/>
          <w:szCs w:val="24"/>
        </w:rPr>
        <w:t>The project allowed</w:t>
      </w:r>
      <w:r w:rsidRPr="007336CF">
        <w:rPr>
          <w:sz w:val="24"/>
          <w:szCs w:val="24"/>
        </w:rPr>
        <w:t xml:space="preserve"> Avista to </w:t>
      </w:r>
      <w:r>
        <w:rPr>
          <w:sz w:val="24"/>
          <w:szCs w:val="24"/>
        </w:rPr>
        <w:t xml:space="preserve">better </w:t>
      </w:r>
      <w:r w:rsidRPr="007336CF">
        <w:rPr>
          <w:sz w:val="24"/>
          <w:szCs w:val="24"/>
        </w:rPr>
        <w:t xml:space="preserve">understand how the </w:t>
      </w:r>
      <w:r w:rsidR="00981BB5" w:rsidRPr="007336CF">
        <w:rPr>
          <w:sz w:val="24"/>
          <w:szCs w:val="24"/>
        </w:rPr>
        <w:t xml:space="preserve">available </w:t>
      </w:r>
      <w:r w:rsidRPr="007336CF">
        <w:rPr>
          <w:sz w:val="24"/>
          <w:szCs w:val="24"/>
        </w:rPr>
        <w:t xml:space="preserve">technology </w:t>
      </w:r>
      <w:r w:rsidR="00981BB5">
        <w:rPr>
          <w:sz w:val="24"/>
          <w:szCs w:val="24"/>
        </w:rPr>
        <w:t>supports these uses</w:t>
      </w:r>
      <w:r w:rsidRPr="007336CF">
        <w:rPr>
          <w:sz w:val="24"/>
          <w:szCs w:val="24"/>
        </w:rPr>
        <w:t xml:space="preserve">, and what </w:t>
      </w:r>
      <w:r w:rsidR="00981BB5">
        <w:rPr>
          <w:sz w:val="24"/>
          <w:szCs w:val="24"/>
        </w:rPr>
        <w:t xml:space="preserve">features </w:t>
      </w:r>
      <w:r w:rsidRPr="007336CF">
        <w:rPr>
          <w:sz w:val="24"/>
          <w:szCs w:val="24"/>
        </w:rPr>
        <w:t xml:space="preserve">to </w:t>
      </w:r>
      <w:r w:rsidR="00981BB5">
        <w:rPr>
          <w:sz w:val="24"/>
          <w:szCs w:val="24"/>
        </w:rPr>
        <w:t>include in the scoping</w:t>
      </w:r>
      <w:r w:rsidRPr="007336CF">
        <w:rPr>
          <w:sz w:val="24"/>
          <w:szCs w:val="24"/>
        </w:rPr>
        <w:t xml:space="preserve"> </w:t>
      </w:r>
      <w:r w:rsidR="00981BB5">
        <w:rPr>
          <w:sz w:val="24"/>
          <w:szCs w:val="24"/>
        </w:rPr>
        <w:t>for AMI system procurement.</w:t>
      </w:r>
    </w:p>
    <w:p w:rsidR="00A3258D" w:rsidRPr="007336CF" w:rsidRDefault="00981BB5" w:rsidP="00A3258D">
      <w:pPr>
        <w:numPr>
          <w:ilvl w:val="0"/>
          <w:numId w:val="32"/>
        </w:numPr>
        <w:tabs>
          <w:tab w:val="clear" w:pos="720"/>
        </w:tabs>
        <w:autoSpaceDE/>
        <w:autoSpaceDN/>
        <w:spacing w:before="100" w:beforeAutospacing="1" w:after="100" w:afterAutospacing="1"/>
        <w:jc w:val="both"/>
        <w:rPr>
          <w:sz w:val="24"/>
          <w:szCs w:val="24"/>
        </w:rPr>
      </w:pPr>
      <w:r>
        <w:rPr>
          <w:sz w:val="24"/>
          <w:szCs w:val="24"/>
        </w:rPr>
        <w:t>CVR</w:t>
      </w:r>
      <w:r w:rsidR="00A3258D" w:rsidRPr="007336CF">
        <w:rPr>
          <w:sz w:val="24"/>
          <w:szCs w:val="24"/>
        </w:rPr>
        <w:t xml:space="preserve"> benefits analysis: </w:t>
      </w:r>
      <w:r w:rsidR="00A3258D">
        <w:rPr>
          <w:sz w:val="24"/>
          <w:szCs w:val="24"/>
        </w:rPr>
        <w:t>The</w:t>
      </w:r>
      <w:r w:rsidR="00A3258D" w:rsidRPr="007336CF">
        <w:rPr>
          <w:sz w:val="24"/>
          <w:szCs w:val="24"/>
        </w:rPr>
        <w:t xml:space="preserve"> </w:t>
      </w:r>
      <w:r>
        <w:rPr>
          <w:sz w:val="24"/>
          <w:szCs w:val="24"/>
        </w:rPr>
        <w:t xml:space="preserve">Company used results from the project </w:t>
      </w:r>
      <w:r w:rsidR="00A3258D" w:rsidRPr="007336CF">
        <w:rPr>
          <w:sz w:val="24"/>
          <w:szCs w:val="24"/>
        </w:rPr>
        <w:t xml:space="preserve">to analyze the incremental benefits AMI could provide to Avista’s existing CVR efforts if voltage alarming from the meters </w:t>
      </w:r>
      <w:r>
        <w:rPr>
          <w:sz w:val="24"/>
          <w:szCs w:val="24"/>
        </w:rPr>
        <w:t>was</w:t>
      </w:r>
      <w:r w:rsidR="00A3258D" w:rsidRPr="007336CF">
        <w:rPr>
          <w:sz w:val="24"/>
          <w:szCs w:val="24"/>
        </w:rPr>
        <w:t xml:space="preserve"> integrated with the distribution management system.</w:t>
      </w:r>
    </w:p>
    <w:p w:rsidR="00A3258D" w:rsidRPr="007336CF" w:rsidRDefault="00A3258D" w:rsidP="00A3258D">
      <w:pPr>
        <w:numPr>
          <w:ilvl w:val="0"/>
          <w:numId w:val="32"/>
        </w:numPr>
        <w:tabs>
          <w:tab w:val="clear" w:pos="720"/>
        </w:tabs>
        <w:autoSpaceDE/>
        <w:autoSpaceDN/>
        <w:spacing w:before="100" w:beforeAutospacing="1" w:after="100" w:afterAutospacing="1"/>
        <w:jc w:val="both"/>
        <w:rPr>
          <w:sz w:val="24"/>
          <w:szCs w:val="24"/>
        </w:rPr>
      </w:pPr>
      <w:r w:rsidRPr="007336CF">
        <w:rPr>
          <w:sz w:val="24"/>
          <w:szCs w:val="24"/>
        </w:rPr>
        <w:t xml:space="preserve">Remote reconnect benefits: </w:t>
      </w:r>
      <w:r w:rsidR="00981BB5">
        <w:rPr>
          <w:sz w:val="24"/>
          <w:szCs w:val="24"/>
        </w:rPr>
        <w:t>Results from the</w:t>
      </w:r>
      <w:r w:rsidRPr="007336CF">
        <w:rPr>
          <w:sz w:val="24"/>
          <w:szCs w:val="24"/>
        </w:rPr>
        <w:t xml:space="preserve"> Pullma</w:t>
      </w:r>
      <w:r w:rsidR="00981BB5">
        <w:rPr>
          <w:sz w:val="24"/>
          <w:szCs w:val="24"/>
        </w:rPr>
        <w:t>n deployment</w:t>
      </w:r>
      <w:r w:rsidRPr="007336CF">
        <w:rPr>
          <w:sz w:val="24"/>
          <w:szCs w:val="24"/>
        </w:rPr>
        <w:t xml:space="preserve"> </w:t>
      </w:r>
      <w:r w:rsidR="00981BB5">
        <w:rPr>
          <w:sz w:val="24"/>
          <w:szCs w:val="24"/>
        </w:rPr>
        <w:t>provided</w:t>
      </w:r>
      <w:r w:rsidR="005E76DA">
        <w:rPr>
          <w:sz w:val="24"/>
          <w:szCs w:val="24"/>
        </w:rPr>
        <w:t xml:space="preserve"> more</w:t>
      </w:r>
      <w:r w:rsidRPr="007336CF">
        <w:rPr>
          <w:sz w:val="24"/>
          <w:szCs w:val="24"/>
        </w:rPr>
        <w:t xml:space="preserve"> confidence in the estimates</w:t>
      </w:r>
      <w:r w:rsidR="00981BB5">
        <w:rPr>
          <w:sz w:val="24"/>
          <w:szCs w:val="24"/>
        </w:rPr>
        <w:t xml:space="preserve"> of the savings that could be expected</w:t>
      </w:r>
      <w:r w:rsidRPr="007336CF">
        <w:rPr>
          <w:sz w:val="24"/>
          <w:szCs w:val="24"/>
        </w:rPr>
        <w:t xml:space="preserve"> </w:t>
      </w:r>
      <w:r w:rsidR="00981BB5">
        <w:rPr>
          <w:sz w:val="24"/>
          <w:szCs w:val="24"/>
        </w:rPr>
        <w:t>from the</w:t>
      </w:r>
      <w:r w:rsidRPr="007336CF">
        <w:rPr>
          <w:sz w:val="24"/>
          <w:szCs w:val="24"/>
        </w:rPr>
        <w:t xml:space="preserve"> remote service switches in meters.</w:t>
      </w:r>
    </w:p>
    <w:p w:rsidR="00A3258D" w:rsidRPr="007336CF" w:rsidRDefault="00A3258D" w:rsidP="00A3258D">
      <w:pPr>
        <w:numPr>
          <w:ilvl w:val="0"/>
          <w:numId w:val="32"/>
        </w:numPr>
        <w:tabs>
          <w:tab w:val="clear" w:pos="720"/>
        </w:tabs>
        <w:autoSpaceDE/>
        <w:autoSpaceDN/>
        <w:spacing w:before="100" w:beforeAutospacing="1" w:after="100" w:afterAutospacing="1"/>
        <w:jc w:val="both"/>
        <w:rPr>
          <w:sz w:val="24"/>
          <w:szCs w:val="24"/>
        </w:rPr>
      </w:pPr>
      <w:r w:rsidRPr="007336CF">
        <w:rPr>
          <w:sz w:val="24"/>
          <w:szCs w:val="24"/>
        </w:rPr>
        <w:t>System performance knowledge: Lessons learn</w:t>
      </w:r>
      <w:r w:rsidR="00981BB5">
        <w:rPr>
          <w:sz w:val="24"/>
          <w:szCs w:val="24"/>
        </w:rPr>
        <w:t>ed about the performance of the five-minute interval energy</w:t>
      </w:r>
      <w:r w:rsidRPr="007336CF">
        <w:rPr>
          <w:sz w:val="24"/>
          <w:szCs w:val="24"/>
        </w:rPr>
        <w:t xml:space="preserve"> </w:t>
      </w:r>
      <w:r w:rsidR="00981BB5">
        <w:rPr>
          <w:sz w:val="24"/>
          <w:szCs w:val="24"/>
        </w:rPr>
        <w:t>data capability</w:t>
      </w:r>
      <w:r w:rsidRPr="007336CF">
        <w:rPr>
          <w:sz w:val="24"/>
          <w:szCs w:val="24"/>
        </w:rPr>
        <w:t xml:space="preserve"> in a real world environment help</w:t>
      </w:r>
      <w:r w:rsidR="00981BB5">
        <w:rPr>
          <w:sz w:val="24"/>
          <w:szCs w:val="24"/>
        </w:rPr>
        <w:t>ed</w:t>
      </w:r>
      <w:r w:rsidRPr="007336CF">
        <w:rPr>
          <w:sz w:val="24"/>
          <w:szCs w:val="24"/>
        </w:rPr>
        <w:t xml:space="preserve"> </w:t>
      </w:r>
      <w:r>
        <w:rPr>
          <w:sz w:val="24"/>
          <w:szCs w:val="24"/>
        </w:rPr>
        <w:t>validate</w:t>
      </w:r>
      <w:r w:rsidRPr="007336CF">
        <w:rPr>
          <w:sz w:val="24"/>
          <w:szCs w:val="24"/>
        </w:rPr>
        <w:t xml:space="preserve"> </w:t>
      </w:r>
      <w:r w:rsidR="00981BB5">
        <w:rPr>
          <w:sz w:val="24"/>
          <w:szCs w:val="24"/>
        </w:rPr>
        <w:t>its</w:t>
      </w:r>
      <w:r w:rsidRPr="007336CF">
        <w:rPr>
          <w:sz w:val="24"/>
          <w:szCs w:val="24"/>
        </w:rPr>
        <w:t xml:space="preserve"> </w:t>
      </w:r>
      <w:r w:rsidR="00981BB5">
        <w:rPr>
          <w:sz w:val="24"/>
          <w:szCs w:val="24"/>
        </w:rPr>
        <w:t>feasibility for the Company.</w:t>
      </w:r>
    </w:p>
    <w:p w:rsidR="00A32E40" w:rsidRPr="00A32E40" w:rsidRDefault="00BD38CB" w:rsidP="0026466D">
      <w:pPr>
        <w:tabs>
          <w:tab w:val="left" w:pos="1890"/>
          <w:tab w:val="left" w:pos="4320"/>
          <w:tab w:val="left" w:pos="6480"/>
        </w:tabs>
        <w:jc w:val="both"/>
        <w:rPr>
          <w:sz w:val="24"/>
          <w:szCs w:val="24"/>
        </w:rPr>
      </w:pPr>
      <w:r>
        <w:rPr>
          <w:sz w:val="24"/>
          <w:szCs w:val="24"/>
        </w:rPr>
        <w:t xml:space="preserve">Avista has developed a range of presentations on the Pullman project that have been made to Company employees, mid-level managers, directors and senior executives, as well as its Board of Directors. </w:t>
      </w:r>
      <w:r w:rsidR="005E76DA">
        <w:rPr>
          <w:sz w:val="24"/>
          <w:szCs w:val="24"/>
        </w:rPr>
        <w:t>The</w:t>
      </w:r>
      <w:r>
        <w:rPr>
          <w:sz w:val="24"/>
          <w:szCs w:val="24"/>
        </w:rPr>
        <w:t xml:space="preserve">se presentations </w:t>
      </w:r>
      <w:r w:rsidR="00981BB5">
        <w:rPr>
          <w:sz w:val="24"/>
          <w:szCs w:val="24"/>
        </w:rPr>
        <w:t>are provided as PC</w:t>
      </w:r>
      <w:r w:rsidR="003F752E">
        <w:rPr>
          <w:sz w:val="24"/>
          <w:szCs w:val="24"/>
        </w:rPr>
        <w:t xml:space="preserve">/EP_DR_001 Attachment </w:t>
      </w:r>
      <w:r w:rsidR="000D5413">
        <w:rPr>
          <w:sz w:val="24"/>
          <w:szCs w:val="24"/>
        </w:rPr>
        <w:t>D</w:t>
      </w:r>
      <w:r w:rsidR="00981BB5">
        <w:rPr>
          <w:sz w:val="24"/>
          <w:szCs w:val="24"/>
        </w:rPr>
        <w:t>.</w:t>
      </w:r>
      <w:r w:rsidR="008F0AD9">
        <w:rPr>
          <w:sz w:val="24"/>
          <w:szCs w:val="24"/>
        </w:rPr>
        <w:t xml:space="preserve">  Due to the size of the presentations, they are being provided with this response on compact disc (CD)</w:t>
      </w:r>
      <w:r w:rsidR="008F0AD9">
        <w:t>.</w:t>
      </w:r>
    </w:p>
    <w:p w:rsidR="00A32E40" w:rsidRDefault="00A32E40" w:rsidP="0026466D">
      <w:pPr>
        <w:tabs>
          <w:tab w:val="left" w:pos="1890"/>
          <w:tab w:val="left" w:pos="4320"/>
          <w:tab w:val="left" w:pos="6480"/>
        </w:tabs>
        <w:jc w:val="both"/>
        <w:rPr>
          <w:sz w:val="24"/>
          <w:szCs w:val="24"/>
        </w:rPr>
      </w:pPr>
    </w:p>
    <w:sectPr w:rsidR="00A32E40" w:rsidSect="00941853">
      <w:headerReference w:type="default" r:id="rId8"/>
      <w:footerReference w:type="default" r:id="rId9"/>
      <w:footerReference w:type="first" r:id="rId10"/>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CC" w:rsidRDefault="005664CC">
      <w:r>
        <w:separator/>
      </w:r>
    </w:p>
  </w:endnote>
  <w:endnote w:type="continuationSeparator" w:id="0">
    <w:p w:rsidR="005664CC" w:rsidRDefault="00566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CC" w:rsidRDefault="005664CC" w:rsidP="00056C64">
    <w:pPr>
      <w:pStyle w:val="Footer"/>
      <w:jc w:val="center"/>
    </w:pPr>
    <w:r>
      <w:t xml:space="preserve">Page </w:t>
    </w:r>
    <w:r w:rsidR="006A03CA">
      <w:rPr>
        <w:rStyle w:val="PageNumber"/>
      </w:rPr>
      <w:fldChar w:fldCharType="begin"/>
    </w:r>
    <w:r>
      <w:rPr>
        <w:rStyle w:val="PageNumber"/>
      </w:rPr>
      <w:instrText xml:space="preserve"> PAGE </w:instrText>
    </w:r>
    <w:r w:rsidR="006A03CA">
      <w:rPr>
        <w:rStyle w:val="PageNumber"/>
      </w:rPr>
      <w:fldChar w:fldCharType="separate"/>
    </w:r>
    <w:r w:rsidR="005E76DA">
      <w:rPr>
        <w:rStyle w:val="PageNumber"/>
        <w:noProof/>
      </w:rPr>
      <w:t>3</w:t>
    </w:r>
    <w:r w:rsidR="006A03CA">
      <w:rPr>
        <w:rStyle w:val="PageNumber"/>
      </w:rPr>
      <w:fldChar w:fldCharType="end"/>
    </w:r>
    <w:r>
      <w:rPr>
        <w:rStyle w:val="PageNumber"/>
      </w:rPr>
      <w:t xml:space="preserve"> of </w:t>
    </w:r>
    <w:r w:rsidR="006A03CA">
      <w:rPr>
        <w:rStyle w:val="PageNumber"/>
      </w:rPr>
      <w:fldChar w:fldCharType="begin"/>
    </w:r>
    <w:r>
      <w:rPr>
        <w:rStyle w:val="PageNumber"/>
      </w:rPr>
      <w:instrText xml:space="preserve"> NUMPAGES </w:instrText>
    </w:r>
    <w:r w:rsidR="006A03CA">
      <w:rPr>
        <w:rStyle w:val="PageNumber"/>
      </w:rPr>
      <w:fldChar w:fldCharType="separate"/>
    </w:r>
    <w:r w:rsidR="005E76DA">
      <w:rPr>
        <w:rStyle w:val="PageNumber"/>
        <w:noProof/>
      </w:rPr>
      <w:t>3</w:t>
    </w:r>
    <w:r w:rsidR="006A03C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CC" w:rsidRDefault="005664CC" w:rsidP="00E64D12">
    <w:pPr>
      <w:pStyle w:val="Footer"/>
      <w:jc w:val="center"/>
    </w:pPr>
    <w:r>
      <w:t xml:space="preserve">Page </w:t>
    </w:r>
    <w:r w:rsidR="006A03CA">
      <w:rPr>
        <w:rStyle w:val="PageNumber"/>
      </w:rPr>
      <w:fldChar w:fldCharType="begin"/>
    </w:r>
    <w:r>
      <w:rPr>
        <w:rStyle w:val="PageNumber"/>
      </w:rPr>
      <w:instrText xml:space="preserve"> PAGE </w:instrText>
    </w:r>
    <w:r w:rsidR="006A03CA">
      <w:rPr>
        <w:rStyle w:val="PageNumber"/>
      </w:rPr>
      <w:fldChar w:fldCharType="separate"/>
    </w:r>
    <w:r>
      <w:rPr>
        <w:rStyle w:val="PageNumber"/>
        <w:noProof/>
      </w:rPr>
      <w:t>1</w:t>
    </w:r>
    <w:r w:rsidR="006A03CA">
      <w:rPr>
        <w:rStyle w:val="PageNumber"/>
      </w:rPr>
      <w:fldChar w:fldCharType="end"/>
    </w:r>
    <w:r>
      <w:rPr>
        <w:rStyle w:val="PageNumber"/>
      </w:rPr>
      <w:t xml:space="preserve"> of </w:t>
    </w:r>
    <w:r w:rsidR="006A03CA">
      <w:rPr>
        <w:rStyle w:val="PageNumber"/>
      </w:rPr>
      <w:fldChar w:fldCharType="begin"/>
    </w:r>
    <w:r>
      <w:rPr>
        <w:rStyle w:val="PageNumber"/>
      </w:rPr>
      <w:instrText xml:space="preserve"> NUMPAGES </w:instrText>
    </w:r>
    <w:r w:rsidR="006A03CA">
      <w:rPr>
        <w:rStyle w:val="PageNumber"/>
      </w:rPr>
      <w:fldChar w:fldCharType="separate"/>
    </w:r>
    <w:r w:rsidR="005E76DA">
      <w:rPr>
        <w:rStyle w:val="PageNumber"/>
        <w:noProof/>
      </w:rPr>
      <w:t>3</w:t>
    </w:r>
    <w:r w:rsidR="006A03C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CC" w:rsidRDefault="005664CC">
      <w:r>
        <w:separator/>
      </w:r>
    </w:p>
  </w:footnote>
  <w:footnote w:type="continuationSeparator" w:id="0">
    <w:p w:rsidR="005664CC" w:rsidRDefault="005664CC">
      <w:r>
        <w:continuationSeparator/>
      </w:r>
    </w:p>
  </w:footnote>
  <w:footnote w:id="1">
    <w:p w:rsidR="005664CC" w:rsidRDefault="005664CC" w:rsidP="00D9061F">
      <w:pPr>
        <w:pStyle w:val="FootnoteText"/>
        <w:ind w:left="180" w:hanging="180"/>
      </w:pPr>
      <w:r>
        <w:rPr>
          <w:rStyle w:val="FootnoteReference"/>
        </w:rPr>
        <w:footnoteRef/>
      </w:r>
      <w:r>
        <w:t xml:space="preserve"> The data collected is important as it related to the Company’s energy savings under I-937 in Docket No. </w:t>
      </w:r>
      <w:proofErr w:type="gramStart"/>
      <w:r>
        <w:t>UE-111882.</w:t>
      </w:r>
      <w:proofErr w:type="gramEnd"/>
    </w:p>
  </w:footnote>
  <w:footnote w:id="2">
    <w:p w:rsidR="005664CC" w:rsidRDefault="005664CC">
      <w:pPr>
        <w:pStyle w:val="FootnoteText"/>
      </w:pPr>
      <w:r>
        <w:rPr>
          <w:rStyle w:val="FootnoteReference"/>
        </w:rPr>
        <w:footnoteRef/>
      </w:r>
      <w:r>
        <w:t xml:space="preserve"> </w:t>
      </w:r>
      <w:r w:rsidRPr="00CE5077">
        <w:t>The Company’s tariffed voltage range is 114-126</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CC" w:rsidRDefault="005664CC">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9FD7143"/>
    <w:multiLevelType w:val="hybridMultilevel"/>
    <w:tmpl w:val="E82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nsid w:val="0D8B4CE1"/>
    <w:multiLevelType w:val="hybridMultilevel"/>
    <w:tmpl w:val="AD06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5">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6">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9">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3">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5">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6BAF5D4C"/>
    <w:multiLevelType w:val="multilevel"/>
    <w:tmpl w:val="A51CC3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F70795E"/>
    <w:multiLevelType w:val="hybridMultilevel"/>
    <w:tmpl w:val="3E78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nsid w:val="71FF1570"/>
    <w:multiLevelType w:val="hybridMultilevel"/>
    <w:tmpl w:val="28B64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9"/>
  </w:num>
  <w:num w:numId="2">
    <w:abstractNumId w:val="21"/>
  </w:num>
  <w:num w:numId="3">
    <w:abstractNumId w:val="14"/>
  </w:num>
  <w:num w:numId="4">
    <w:abstractNumId w:val="0"/>
  </w:num>
  <w:num w:numId="5">
    <w:abstractNumId w:val="31"/>
  </w:num>
  <w:num w:numId="6">
    <w:abstractNumId w:val="25"/>
  </w:num>
  <w:num w:numId="7">
    <w:abstractNumId w:val="9"/>
  </w:num>
  <w:num w:numId="8">
    <w:abstractNumId w:val="29"/>
  </w:num>
  <w:num w:numId="9">
    <w:abstractNumId w:val="5"/>
  </w:num>
  <w:num w:numId="10">
    <w:abstractNumId w:val="20"/>
  </w:num>
  <w:num w:numId="11">
    <w:abstractNumId w:val="4"/>
  </w:num>
  <w:num w:numId="12">
    <w:abstractNumId w:val="10"/>
  </w:num>
  <w:num w:numId="13">
    <w:abstractNumId w:val="32"/>
  </w:num>
  <w:num w:numId="14">
    <w:abstractNumId w:val="6"/>
  </w:num>
  <w:num w:numId="15">
    <w:abstractNumId w:val="7"/>
  </w:num>
  <w:num w:numId="16">
    <w:abstractNumId w:val="8"/>
  </w:num>
  <w:num w:numId="17">
    <w:abstractNumId w:val="18"/>
  </w:num>
  <w:num w:numId="18">
    <w:abstractNumId w:val="24"/>
  </w:num>
  <w:num w:numId="19">
    <w:abstractNumId w:val="12"/>
  </w:num>
  <w:num w:numId="20">
    <w:abstractNumId w:val="15"/>
  </w:num>
  <w:num w:numId="21">
    <w:abstractNumId w:val="2"/>
  </w:num>
  <w:num w:numId="22">
    <w:abstractNumId w:val="22"/>
  </w:num>
  <w:num w:numId="23">
    <w:abstractNumId w:val="17"/>
  </w:num>
  <w:num w:numId="24">
    <w:abstractNumId w:val="13"/>
  </w:num>
  <w:num w:numId="25">
    <w:abstractNumId w:val="28"/>
  </w:num>
  <w:num w:numId="26">
    <w:abstractNumId w:val="23"/>
  </w:num>
  <w:num w:numId="27">
    <w:abstractNumId w:val="11"/>
  </w:num>
  <w:num w:numId="28">
    <w:abstractNumId w:val="16"/>
  </w:num>
  <w:num w:numId="29">
    <w:abstractNumId w:val="1"/>
  </w:num>
  <w:num w:numId="30">
    <w:abstractNumId w:val="3"/>
  </w:num>
  <w:num w:numId="31">
    <w:abstractNumId w:val="27"/>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661ED"/>
    <w:rsid w:val="000668AD"/>
    <w:rsid w:val="00081D52"/>
    <w:rsid w:val="000D5413"/>
    <w:rsid w:val="000E5CEA"/>
    <w:rsid w:val="000E629D"/>
    <w:rsid w:val="001004DE"/>
    <w:rsid w:val="0011273E"/>
    <w:rsid w:val="0012408C"/>
    <w:rsid w:val="0014150E"/>
    <w:rsid w:val="00177390"/>
    <w:rsid w:val="0019350D"/>
    <w:rsid w:val="001B6559"/>
    <w:rsid w:val="001E06F3"/>
    <w:rsid w:val="001E07A6"/>
    <w:rsid w:val="001F2C4B"/>
    <w:rsid w:val="001F6472"/>
    <w:rsid w:val="00202B35"/>
    <w:rsid w:val="002146D9"/>
    <w:rsid w:val="00236EDE"/>
    <w:rsid w:val="0026466D"/>
    <w:rsid w:val="002677D5"/>
    <w:rsid w:val="002B16E6"/>
    <w:rsid w:val="002E674E"/>
    <w:rsid w:val="00330308"/>
    <w:rsid w:val="003348C4"/>
    <w:rsid w:val="0034747A"/>
    <w:rsid w:val="00350CDB"/>
    <w:rsid w:val="00356CAA"/>
    <w:rsid w:val="00375C8C"/>
    <w:rsid w:val="00383DD3"/>
    <w:rsid w:val="003B436C"/>
    <w:rsid w:val="003B4E20"/>
    <w:rsid w:val="003C0AED"/>
    <w:rsid w:val="003C1D9A"/>
    <w:rsid w:val="003C319E"/>
    <w:rsid w:val="003E487F"/>
    <w:rsid w:val="003E50F1"/>
    <w:rsid w:val="003F65BC"/>
    <w:rsid w:val="003F752E"/>
    <w:rsid w:val="0040408A"/>
    <w:rsid w:val="00417AA4"/>
    <w:rsid w:val="00422CC4"/>
    <w:rsid w:val="004370A3"/>
    <w:rsid w:val="00446369"/>
    <w:rsid w:val="00464B51"/>
    <w:rsid w:val="004A7704"/>
    <w:rsid w:val="004B30E7"/>
    <w:rsid w:val="004B3A5B"/>
    <w:rsid w:val="004D17D2"/>
    <w:rsid w:val="004F03CE"/>
    <w:rsid w:val="004F7DA8"/>
    <w:rsid w:val="00500F1F"/>
    <w:rsid w:val="005048A8"/>
    <w:rsid w:val="005050C4"/>
    <w:rsid w:val="00521A5C"/>
    <w:rsid w:val="0055045F"/>
    <w:rsid w:val="005664CC"/>
    <w:rsid w:val="005906BD"/>
    <w:rsid w:val="00591481"/>
    <w:rsid w:val="005A2255"/>
    <w:rsid w:val="005A49F0"/>
    <w:rsid w:val="005B0E2C"/>
    <w:rsid w:val="005C1EDF"/>
    <w:rsid w:val="005D72D7"/>
    <w:rsid w:val="005E76DA"/>
    <w:rsid w:val="006045D3"/>
    <w:rsid w:val="00605845"/>
    <w:rsid w:val="0061543C"/>
    <w:rsid w:val="00633F9B"/>
    <w:rsid w:val="00637428"/>
    <w:rsid w:val="00663AE9"/>
    <w:rsid w:val="00672174"/>
    <w:rsid w:val="00694B4A"/>
    <w:rsid w:val="006A03CA"/>
    <w:rsid w:val="006A6CF9"/>
    <w:rsid w:val="006B2BD3"/>
    <w:rsid w:val="006F5B08"/>
    <w:rsid w:val="00715CB8"/>
    <w:rsid w:val="00720FD7"/>
    <w:rsid w:val="00741CF2"/>
    <w:rsid w:val="00753FE9"/>
    <w:rsid w:val="00754422"/>
    <w:rsid w:val="00781CAB"/>
    <w:rsid w:val="007A30D4"/>
    <w:rsid w:val="007B5EE6"/>
    <w:rsid w:val="007C1967"/>
    <w:rsid w:val="007C6336"/>
    <w:rsid w:val="007D5DBD"/>
    <w:rsid w:val="007E3A66"/>
    <w:rsid w:val="007F518A"/>
    <w:rsid w:val="008022DE"/>
    <w:rsid w:val="008074FC"/>
    <w:rsid w:val="00850594"/>
    <w:rsid w:val="008D1DFC"/>
    <w:rsid w:val="008E3932"/>
    <w:rsid w:val="008F0AD9"/>
    <w:rsid w:val="008F0C55"/>
    <w:rsid w:val="009052D2"/>
    <w:rsid w:val="009257B1"/>
    <w:rsid w:val="00941853"/>
    <w:rsid w:val="00957712"/>
    <w:rsid w:val="00981BB5"/>
    <w:rsid w:val="009907B2"/>
    <w:rsid w:val="00A25A90"/>
    <w:rsid w:val="00A3258D"/>
    <w:rsid w:val="00A32E40"/>
    <w:rsid w:val="00A43B06"/>
    <w:rsid w:val="00A82D5A"/>
    <w:rsid w:val="00A96A19"/>
    <w:rsid w:val="00AA791F"/>
    <w:rsid w:val="00AA7F69"/>
    <w:rsid w:val="00AB5D5A"/>
    <w:rsid w:val="00AF09F0"/>
    <w:rsid w:val="00B2713E"/>
    <w:rsid w:val="00B41482"/>
    <w:rsid w:val="00B65CE1"/>
    <w:rsid w:val="00B72352"/>
    <w:rsid w:val="00B76EAC"/>
    <w:rsid w:val="00BB73DC"/>
    <w:rsid w:val="00BD38CB"/>
    <w:rsid w:val="00BD5789"/>
    <w:rsid w:val="00C040A5"/>
    <w:rsid w:val="00C15A22"/>
    <w:rsid w:val="00C73FA6"/>
    <w:rsid w:val="00C83E18"/>
    <w:rsid w:val="00CA15F9"/>
    <w:rsid w:val="00CA250D"/>
    <w:rsid w:val="00CB050F"/>
    <w:rsid w:val="00CB70EE"/>
    <w:rsid w:val="00CD4D4E"/>
    <w:rsid w:val="00D376F6"/>
    <w:rsid w:val="00D40664"/>
    <w:rsid w:val="00D41724"/>
    <w:rsid w:val="00D75120"/>
    <w:rsid w:val="00D77A4E"/>
    <w:rsid w:val="00D84F5B"/>
    <w:rsid w:val="00D9061F"/>
    <w:rsid w:val="00DA234F"/>
    <w:rsid w:val="00DB4781"/>
    <w:rsid w:val="00DC0472"/>
    <w:rsid w:val="00DD6B49"/>
    <w:rsid w:val="00DE5D38"/>
    <w:rsid w:val="00E009AD"/>
    <w:rsid w:val="00E404F2"/>
    <w:rsid w:val="00E43DB3"/>
    <w:rsid w:val="00E5757E"/>
    <w:rsid w:val="00E64D12"/>
    <w:rsid w:val="00E84C7F"/>
    <w:rsid w:val="00E94E42"/>
    <w:rsid w:val="00EA2239"/>
    <w:rsid w:val="00EC527F"/>
    <w:rsid w:val="00ED3587"/>
    <w:rsid w:val="00ED6C6D"/>
    <w:rsid w:val="00EE1D16"/>
    <w:rsid w:val="00EE30BA"/>
    <w:rsid w:val="00F06D34"/>
    <w:rsid w:val="00F268AE"/>
    <w:rsid w:val="00F45461"/>
    <w:rsid w:val="00F514A7"/>
    <w:rsid w:val="00F667A4"/>
    <w:rsid w:val="00F731E6"/>
    <w:rsid w:val="00F808B0"/>
    <w:rsid w:val="00F927E9"/>
    <w:rsid w:val="00F970FA"/>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link w:val="FooterChar"/>
    <w:uiPriority w:val="99"/>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link w:val="FootnoteTextChar"/>
    <w:rsid w:val="005906BD"/>
  </w:style>
  <w:style w:type="character" w:styleId="FootnoteReference">
    <w:name w:val="footnote reference"/>
    <w:basedOn w:val="DefaultParagraphFont"/>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character" w:customStyle="1" w:styleId="FooterChar">
    <w:name w:val="Footer Char"/>
    <w:basedOn w:val="DefaultParagraphFont"/>
    <w:link w:val="Footer"/>
    <w:uiPriority w:val="99"/>
    <w:locked/>
    <w:rsid w:val="004370A3"/>
  </w:style>
  <w:style w:type="character" w:customStyle="1" w:styleId="FootnoteTextChar">
    <w:name w:val="Footnote Text Char"/>
    <w:basedOn w:val="DefaultParagraphFont"/>
    <w:link w:val="FootnoteText"/>
    <w:locked/>
    <w:rsid w:val="004370A3"/>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4872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897901-EFBC-4432-BD9F-5B340701AD1C}"/>
</file>

<file path=customXml/itemProps2.xml><?xml version="1.0" encoding="utf-8"?>
<ds:datastoreItem xmlns:ds="http://schemas.openxmlformats.org/officeDocument/2006/customXml" ds:itemID="{7FE23209-2773-4220-948E-71A3CE5EC1EE}"/>
</file>

<file path=customXml/itemProps3.xml><?xml version="1.0" encoding="utf-8"?>
<ds:datastoreItem xmlns:ds="http://schemas.openxmlformats.org/officeDocument/2006/customXml" ds:itemID="{8DB52A21-32C2-487F-83CF-22AA09DDE2E5}"/>
</file>

<file path=customXml/itemProps4.xml><?xml version="1.0" encoding="utf-8"?>
<ds:datastoreItem xmlns:ds="http://schemas.openxmlformats.org/officeDocument/2006/customXml" ds:itemID="{CAAE934A-FC87-4C6F-8727-A1A8CBEB07A8}"/>
</file>

<file path=customXml/itemProps5.xml><?xml version="1.0" encoding="utf-8"?>
<ds:datastoreItem xmlns:ds="http://schemas.openxmlformats.org/officeDocument/2006/customXml" ds:itemID="{41DC9219-1659-40A2-B069-7DEC59CAB643}"/>
</file>

<file path=docProps/app.xml><?xml version="1.0" encoding="utf-8"?>
<Properties xmlns="http://schemas.openxmlformats.org/officeDocument/2006/extended-properties" xmlns:vt="http://schemas.openxmlformats.org/officeDocument/2006/docPropsVTypes">
  <Template>Normal.dotm</Template>
  <TotalTime>439</TotalTime>
  <Pages>3</Pages>
  <Words>1241</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29</cp:revision>
  <cp:lastPrinted>2015-06-22T21:04:00Z</cp:lastPrinted>
  <dcterms:created xsi:type="dcterms:W3CDTF">2015-06-15T15:21:00Z</dcterms:created>
  <dcterms:modified xsi:type="dcterms:W3CDTF">2015-06-22T21:05:00Z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