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07D" w:rsidRDefault="0066707D" w:rsidP="0066707D">
      <w:pPr>
        <w:pStyle w:val="Header"/>
        <w:tabs>
          <w:tab w:val="clear" w:pos="4320"/>
          <w:tab w:val="clear" w:pos="8640"/>
          <w:tab w:val="center" w:pos="4680"/>
        </w:tabs>
        <w:jc w:val="center"/>
        <w:rPr>
          <w:b/>
          <w:bCs/>
          <w:sz w:val="24"/>
        </w:rPr>
      </w:pPr>
      <w:r>
        <w:rPr>
          <w:b/>
          <w:bCs/>
          <w:sz w:val="24"/>
        </w:rPr>
        <w:t>BEFORE THE</w:t>
      </w:r>
    </w:p>
    <w:p w:rsidR="0066707D" w:rsidRDefault="0066707D" w:rsidP="0066707D">
      <w:pPr>
        <w:pStyle w:val="Heading1"/>
        <w:jc w:val="center"/>
        <w:rPr>
          <w:sz w:val="24"/>
        </w:rPr>
      </w:pPr>
      <w:r>
        <w:rPr>
          <w:sz w:val="24"/>
        </w:rPr>
        <w:t>WASHINGTON UTILITIES AND TRANSPORTATION COMMISSION</w:t>
      </w:r>
    </w:p>
    <w:p w:rsidR="0066707D" w:rsidRDefault="0066707D" w:rsidP="0066707D">
      <w:pPr>
        <w:tabs>
          <w:tab w:val="center" w:pos="4680"/>
        </w:tabs>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66707D" w:rsidTr="00305849">
        <w:trPr>
          <w:trHeight w:val="2951"/>
        </w:trPr>
        <w:tc>
          <w:tcPr>
            <w:tcW w:w="4396" w:type="dxa"/>
            <w:tcBorders>
              <w:bottom w:val="single" w:sz="4" w:space="0" w:color="auto"/>
            </w:tcBorders>
          </w:tcPr>
          <w:p w:rsidR="0066707D" w:rsidRPr="003D3DCC" w:rsidRDefault="0066707D" w:rsidP="00305849">
            <w:pPr>
              <w:pStyle w:val="Footer"/>
              <w:widowControl/>
              <w:tabs>
                <w:tab w:val="clear" w:pos="4320"/>
                <w:tab w:val="clear" w:pos="8640"/>
                <w:tab w:val="left" w:pos="2160"/>
              </w:tabs>
              <w:rPr>
                <w:snapToGrid/>
              </w:rPr>
            </w:pPr>
            <w:bookmarkStart w:id="0" w:name="Parties"/>
            <w:bookmarkEnd w:id="0"/>
            <w:r w:rsidRPr="003D3DCC">
              <w:rPr>
                <w:snapToGrid/>
              </w:rPr>
              <w:t>In the Matter of the Petition of</w:t>
            </w:r>
          </w:p>
          <w:p w:rsidR="0066707D" w:rsidRDefault="0066707D" w:rsidP="00305849">
            <w:pPr>
              <w:tabs>
                <w:tab w:val="left" w:pos="2168"/>
              </w:tabs>
            </w:pPr>
          </w:p>
          <w:p w:rsidR="0066707D" w:rsidRDefault="0066707D" w:rsidP="00305849">
            <w:pPr>
              <w:tabs>
                <w:tab w:val="left" w:pos="2168"/>
              </w:tabs>
            </w:pPr>
            <w:r>
              <w:t>PUGET SOUND ENERGY, INC., and</w:t>
            </w:r>
          </w:p>
          <w:p w:rsidR="0066707D" w:rsidRDefault="0066707D" w:rsidP="00305849">
            <w:pPr>
              <w:tabs>
                <w:tab w:val="left" w:pos="2168"/>
              </w:tabs>
            </w:pPr>
            <w:r>
              <w:t>NW ENERGY COALITION</w:t>
            </w:r>
          </w:p>
          <w:p w:rsidR="0066707D" w:rsidRDefault="0066707D" w:rsidP="00305849">
            <w:pPr>
              <w:tabs>
                <w:tab w:val="left" w:pos="2168"/>
              </w:tabs>
            </w:pPr>
          </w:p>
          <w:p w:rsidR="0066707D" w:rsidRPr="00F90CD2" w:rsidRDefault="0066707D" w:rsidP="00305849">
            <w:pPr>
              <w:pStyle w:val="Footer"/>
              <w:widowControl/>
              <w:tabs>
                <w:tab w:val="clear" w:pos="4320"/>
                <w:tab w:val="clear" w:pos="8640"/>
                <w:tab w:val="left" w:pos="2160"/>
              </w:tabs>
              <w:rPr>
                <w:snapToGrid/>
              </w:rPr>
            </w:pPr>
            <w:r w:rsidRPr="003D3DCC">
              <w:t xml:space="preserve">For an Order </w:t>
            </w:r>
            <w:r w:rsidRPr="003D3DCC">
              <w:rPr>
                <w:szCs w:val="24"/>
              </w:rPr>
              <w:t>Authorizing PSE to Implement Electric and Natural Gas Decoupling Mechanisms and to Record Accounting Entries Associated with the Mechanisms</w:t>
            </w:r>
          </w:p>
        </w:tc>
        <w:tc>
          <w:tcPr>
            <w:tcW w:w="274" w:type="dxa"/>
          </w:tcPr>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BE7413" w:rsidRDefault="0066707D" w:rsidP="00305849">
            <w:pPr>
              <w:pStyle w:val="SingleSpacing"/>
              <w:spacing w:line="240" w:lineRule="auto"/>
              <w:rPr>
                <w:i/>
              </w:rPr>
            </w:pPr>
            <w:r w:rsidRPr="005A2AFA">
              <w:t>)</w:t>
            </w:r>
          </w:p>
        </w:tc>
        <w:tc>
          <w:tcPr>
            <w:tcW w:w="4113" w:type="dxa"/>
          </w:tcPr>
          <w:p w:rsidR="006208EB" w:rsidRDefault="006208EB" w:rsidP="00305849">
            <w:pPr>
              <w:pStyle w:val="SingleSpacing"/>
              <w:spacing w:line="240" w:lineRule="auto"/>
            </w:pPr>
            <w:bookmarkStart w:id="1" w:name="CaseNumber"/>
            <w:bookmarkEnd w:id="1"/>
          </w:p>
          <w:p w:rsidR="006208EB" w:rsidRDefault="006208EB" w:rsidP="00305849">
            <w:pPr>
              <w:pStyle w:val="SingleSpacing"/>
              <w:spacing w:line="240" w:lineRule="auto"/>
            </w:pPr>
          </w:p>
          <w:p w:rsidR="006208EB" w:rsidRDefault="006208EB" w:rsidP="00305849">
            <w:pPr>
              <w:pStyle w:val="SingleSpacing"/>
              <w:spacing w:line="240" w:lineRule="auto"/>
            </w:pPr>
          </w:p>
          <w:p w:rsidR="0066707D" w:rsidRDefault="0066707D" w:rsidP="00305849">
            <w:pPr>
              <w:pStyle w:val="SingleSpacing"/>
              <w:spacing w:line="240" w:lineRule="auto"/>
            </w:pPr>
            <w:r w:rsidRPr="007A1546">
              <w:t>DOCKET NO</w:t>
            </w:r>
            <w:r>
              <w:t>S</w:t>
            </w:r>
            <w:r w:rsidRPr="007A1546">
              <w:t xml:space="preserve">. </w:t>
            </w:r>
            <w:r w:rsidRPr="007A1546">
              <w:rPr>
                <w:bCs/>
              </w:rPr>
              <w:t>UE-</w:t>
            </w:r>
            <w:r>
              <w:t>121697/UG-121705</w:t>
            </w:r>
          </w:p>
          <w:p w:rsidR="0066707D" w:rsidRDefault="0066707D" w:rsidP="006208EB">
            <w:pPr>
              <w:pStyle w:val="SingleSpacing"/>
              <w:spacing w:line="240" w:lineRule="auto"/>
            </w:pPr>
            <w:r>
              <w:t>(Consolidated)</w:t>
            </w:r>
          </w:p>
          <w:p w:rsidR="006208EB" w:rsidRDefault="006208EB" w:rsidP="006208EB">
            <w:pPr>
              <w:pStyle w:val="SingleSpacing"/>
              <w:spacing w:line="240" w:lineRule="auto"/>
            </w:pPr>
          </w:p>
          <w:p w:rsidR="006208EB" w:rsidRPr="005A2AFA" w:rsidRDefault="006208EB" w:rsidP="006208EB">
            <w:pPr>
              <w:pStyle w:val="SingleSpacing"/>
              <w:spacing w:line="240" w:lineRule="auto"/>
            </w:pPr>
            <w:r>
              <w:t>and</w:t>
            </w:r>
          </w:p>
        </w:tc>
      </w:tr>
    </w:tbl>
    <w:p w:rsidR="0066707D" w:rsidRDefault="0066707D" w:rsidP="0066707D">
      <w:pPr>
        <w:ind w:left="1080"/>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6208EB" w:rsidTr="00E648B6">
        <w:trPr>
          <w:trHeight w:val="2951"/>
        </w:trPr>
        <w:tc>
          <w:tcPr>
            <w:tcW w:w="4396" w:type="dxa"/>
            <w:tcBorders>
              <w:bottom w:val="single" w:sz="4" w:space="0" w:color="auto"/>
            </w:tcBorders>
          </w:tcPr>
          <w:p w:rsidR="006208EB" w:rsidRDefault="006208EB" w:rsidP="00E648B6">
            <w:pPr>
              <w:pStyle w:val="Footer"/>
              <w:widowControl/>
              <w:tabs>
                <w:tab w:val="clear" w:pos="4320"/>
                <w:tab w:val="clear" w:pos="8640"/>
                <w:tab w:val="left" w:pos="2160"/>
              </w:tabs>
              <w:rPr>
                <w:snapToGrid/>
              </w:rPr>
            </w:pPr>
            <w:r>
              <w:rPr>
                <w:snapToGrid/>
              </w:rPr>
              <w:t>WASHINGTON UTILITIES AND TRANSPORTATION COMMISSION,</w:t>
            </w:r>
          </w:p>
          <w:p w:rsidR="006208EB" w:rsidRDefault="006208EB" w:rsidP="00E648B6">
            <w:pPr>
              <w:pStyle w:val="Footer"/>
              <w:widowControl/>
              <w:tabs>
                <w:tab w:val="clear" w:pos="4320"/>
                <w:tab w:val="clear" w:pos="8640"/>
                <w:tab w:val="left" w:pos="2160"/>
              </w:tabs>
              <w:rPr>
                <w:snapToGrid/>
              </w:rPr>
            </w:pPr>
          </w:p>
          <w:p w:rsidR="006208EB" w:rsidRDefault="006208EB" w:rsidP="006208EB">
            <w:pPr>
              <w:pStyle w:val="Footer"/>
              <w:widowControl/>
              <w:tabs>
                <w:tab w:val="clear" w:pos="4320"/>
                <w:tab w:val="clear" w:pos="8640"/>
                <w:tab w:val="left" w:pos="2160"/>
              </w:tabs>
              <w:ind w:firstLine="2340"/>
              <w:rPr>
                <w:snapToGrid/>
              </w:rPr>
            </w:pPr>
            <w:r>
              <w:rPr>
                <w:snapToGrid/>
              </w:rPr>
              <w:t>Complainant,</w:t>
            </w:r>
          </w:p>
          <w:p w:rsidR="006208EB" w:rsidRDefault="006208EB" w:rsidP="006208EB">
            <w:pPr>
              <w:pStyle w:val="Footer"/>
              <w:widowControl/>
              <w:tabs>
                <w:tab w:val="clear" w:pos="4320"/>
                <w:tab w:val="clear" w:pos="8640"/>
                <w:tab w:val="left" w:pos="2160"/>
              </w:tabs>
              <w:ind w:firstLine="2340"/>
              <w:rPr>
                <w:snapToGrid/>
              </w:rPr>
            </w:pPr>
          </w:p>
          <w:p w:rsidR="006208EB" w:rsidRDefault="006208EB" w:rsidP="006208EB">
            <w:pPr>
              <w:pStyle w:val="Footer"/>
              <w:widowControl/>
              <w:tabs>
                <w:tab w:val="clear" w:pos="4320"/>
                <w:tab w:val="clear" w:pos="8640"/>
                <w:tab w:val="left" w:pos="2160"/>
              </w:tabs>
              <w:rPr>
                <w:snapToGrid/>
              </w:rPr>
            </w:pPr>
            <w:r>
              <w:rPr>
                <w:snapToGrid/>
              </w:rPr>
              <w:t>v.</w:t>
            </w:r>
          </w:p>
          <w:p w:rsidR="006208EB" w:rsidRDefault="006208EB" w:rsidP="006208EB">
            <w:pPr>
              <w:pStyle w:val="Footer"/>
              <w:widowControl/>
              <w:tabs>
                <w:tab w:val="clear" w:pos="4320"/>
                <w:tab w:val="clear" w:pos="8640"/>
                <w:tab w:val="left" w:pos="2160"/>
              </w:tabs>
              <w:rPr>
                <w:snapToGrid/>
              </w:rPr>
            </w:pPr>
          </w:p>
          <w:p w:rsidR="006208EB" w:rsidRDefault="006208EB" w:rsidP="006208EB">
            <w:pPr>
              <w:pStyle w:val="Footer"/>
              <w:widowControl/>
              <w:tabs>
                <w:tab w:val="clear" w:pos="4320"/>
                <w:tab w:val="clear" w:pos="8640"/>
                <w:tab w:val="left" w:pos="2160"/>
              </w:tabs>
              <w:rPr>
                <w:snapToGrid/>
              </w:rPr>
            </w:pPr>
            <w:r>
              <w:rPr>
                <w:snapToGrid/>
              </w:rPr>
              <w:t>PUGET SOUND ENERGY, INC.</w:t>
            </w:r>
          </w:p>
          <w:p w:rsidR="006208EB" w:rsidRDefault="006208EB" w:rsidP="006208EB">
            <w:pPr>
              <w:pStyle w:val="Footer"/>
              <w:widowControl/>
              <w:tabs>
                <w:tab w:val="clear" w:pos="4320"/>
                <w:tab w:val="clear" w:pos="8640"/>
                <w:tab w:val="left" w:pos="2160"/>
              </w:tabs>
              <w:rPr>
                <w:snapToGrid/>
              </w:rPr>
            </w:pPr>
          </w:p>
          <w:p w:rsidR="006208EB" w:rsidRPr="00F90CD2" w:rsidRDefault="006208EB" w:rsidP="006208EB">
            <w:pPr>
              <w:pStyle w:val="Footer"/>
              <w:widowControl/>
              <w:tabs>
                <w:tab w:val="clear" w:pos="4320"/>
                <w:tab w:val="clear" w:pos="8640"/>
                <w:tab w:val="left" w:pos="2160"/>
              </w:tabs>
              <w:ind w:firstLine="2340"/>
              <w:rPr>
                <w:snapToGrid/>
              </w:rPr>
            </w:pPr>
            <w:r>
              <w:rPr>
                <w:snapToGrid/>
              </w:rPr>
              <w:t>Respondent.</w:t>
            </w:r>
          </w:p>
        </w:tc>
        <w:tc>
          <w:tcPr>
            <w:tcW w:w="274" w:type="dxa"/>
          </w:tcPr>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BE7413" w:rsidRDefault="006208EB" w:rsidP="00E648B6">
            <w:pPr>
              <w:pStyle w:val="SingleSpacing"/>
              <w:spacing w:line="240" w:lineRule="auto"/>
              <w:rPr>
                <w:i/>
              </w:rPr>
            </w:pPr>
            <w:r w:rsidRPr="005A2AFA">
              <w:t>)</w:t>
            </w:r>
          </w:p>
        </w:tc>
        <w:tc>
          <w:tcPr>
            <w:tcW w:w="4113" w:type="dxa"/>
          </w:tcPr>
          <w:p w:rsidR="006208EB" w:rsidRDefault="006208EB" w:rsidP="00E648B6">
            <w:pPr>
              <w:pStyle w:val="SingleSpacing"/>
              <w:spacing w:line="240" w:lineRule="auto"/>
            </w:pPr>
            <w:r w:rsidRPr="007A1546">
              <w:t>DOCKET NO</w:t>
            </w:r>
            <w:r>
              <w:t>S</w:t>
            </w:r>
            <w:r w:rsidRPr="007A1546">
              <w:t xml:space="preserve">. </w:t>
            </w:r>
            <w:r w:rsidRPr="007A1546">
              <w:rPr>
                <w:bCs/>
              </w:rPr>
              <w:t>UE-</w:t>
            </w:r>
            <w:r>
              <w:t>130137/UG-130138</w:t>
            </w:r>
          </w:p>
          <w:p w:rsidR="006208EB" w:rsidRDefault="006208EB" w:rsidP="00E648B6">
            <w:pPr>
              <w:pStyle w:val="SingleSpacing"/>
              <w:spacing w:line="240" w:lineRule="auto"/>
            </w:pPr>
            <w:r>
              <w:t>(Consolidated)</w:t>
            </w:r>
          </w:p>
          <w:p w:rsidR="006208EB" w:rsidRDefault="006208EB" w:rsidP="00E648B6">
            <w:pPr>
              <w:pStyle w:val="SingleSpacing"/>
              <w:spacing w:line="240" w:lineRule="auto"/>
            </w:pPr>
          </w:p>
          <w:p w:rsidR="006208EB" w:rsidRDefault="006208EB" w:rsidP="00E648B6">
            <w:pPr>
              <w:pStyle w:val="SingleSpacing"/>
              <w:spacing w:line="240" w:lineRule="auto"/>
            </w:pPr>
          </w:p>
          <w:p w:rsidR="006208EB" w:rsidRDefault="006208EB" w:rsidP="00E648B6">
            <w:pPr>
              <w:pStyle w:val="SingleSpacing"/>
              <w:spacing w:line="240" w:lineRule="auto"/>
            </w:pPr>
          </w:p>
          <w:p w:rsidR="006208EB" w:rsidRDefault="006208EB" w:rsidP="00E648B6">
            <w:pPr>
              <w:pStyle w:val="SingleSpacing"/>
              <w:spacing w:line="240" w:lineRule="auto"/>
            </w:pPr>
            <w:r>
              <w:t>INDUSTRIAL CUSTOMERS OF NORTHWEST UTILITIES’ PETITION FOR ACCOUNTING ORDER</w:t>
            </w:r>
          </w:p>
          <w:p w:rsidR="006208EB" w:rsidRPr="005A2AFA" w:rsidRDefault="006208EB" w:rsidP="00E648B6">
            <w:pPr>
              <w:pStyle w:val="SingleSpacing"/>
              <w:spacing w:line="240" w:lineRule="auto"/>
            </w:pPr>
          </w:p>
        </w:tc>
      </w:tr>
    </w:tbl>
    <w:p w:rsidR="006208EB" w:rsidRDefault="006208EB" w:rsidP="006208EB">
      <w:pPr>
        <w:ind w:left="1080"/>
        <w:rPr>
          <w:b/>
        </w:rPr>
      </w:pPr>
    </w:p>
    <w:p w:rsidR="007F42ED" w:rsidRDefault="0066707D" w:rsidP="0066707D">
      <w:pPr>
        <w:jc w:val="center"/>
      </w:pPr>
      <w:r>
        <w:rPr>
          <w:b/>
        </w:rPr>
        <w:t>I.</w:t>
      </w:r>
      <w:r>
        <w:rPr>
          <w:b/>
        </w:rPr>
        <w:tab/>
        <w:t>INTRODUCTION</w:t>
      </w:r>
    </w:p>
    <w:p w:rsidR="0066707D" w:rsidRDefault="0066707D" w:rsidP="0066707D">
      <w:pPr>
        <w:jc w:val="center"/>
      </w:pPr>
    </w:p>
    <w:p w:rsidR="0066707D" w:rsidRDefault="00EC2743" w:rsidP="00EC2743">
      <w:pPr>
        <w:pStyle w:val="WUTCParagraph"/>
      </w:pPr>
      <w:r>
        <w:tab/>
      </w:r>
      <w:r w:rsidR="0066707D">
        <w:t>Pursuant to WAC § 480-07-370(1)(b), the Industrial Customers of Northwest Utilities (“ICNU”) petitions the Washington Utilities and Transportation Commission (“Commission”) for an accounting order requiring Puget Sound Energy, Inc. (“PSE” or the “Company”) to</w:t>
      </w:r>
      <w:r w:rsidR="00FD6B1B">
        <w:t xml:space="preserve">: </w:t>
      </w:r>
      <w:r w:rsidR="007E73A7">
        <w:t>(1) refund</w:t>
      </w:r>
      <w:r w:rsidR="007E73A7" w:rsidRPr="003A02B8">
        <w:t xml:space="preserve"> </w:t>
      </w:r>
      <w:r w:rsidR="007E73A7">
        <w:t>to customers</w:t>
      </w:r>
      <w:r w:rsidR="007E73A7" w:rsidRPr="003A02B8">
        <w:t xml:space="preserve"> </w:t>
      </w:r>
      <w:r w:rsidR="007E73A7">
        <w:t xml:space="preserve">amounts the Company has collected in rates </w:t>
      </w:r>
      <w:r w:rsidR="00400717">
        <w:t>between</w:t>
      </w:r>
      <w:r w:rsidR="007E73A7">
        <w:t xml:space="preserve"> the effective date of its tariffs filed in accordance with Order 07, issued in the above-referenced docket</w:t>
      </w:r>
      <w:r w:rsidR="00400717">
        <w:t>s</w:t>
      </w:r>
      <w:r w:rsidR="007E73A7">
        <w:t xml:space="preserve"> (“Order 07”), </w:t>
      </w:r>
      <w:r w:rsidR="00400717">
        <w:t>and</w:t>
      </w:r>
      <w:r w:rsidR="007E73A7">
        <w:t xml:space="preserve"> the date of this Petition that were </w:t>
      </w:r>
      <w:r w:rsidR="00D516DF">
        <w:t xml:space="preserve">in </w:t>
      </w:r>
      <w:r w:rsidR="007E73A7">
        <w:t xml:space="preserve">excess of fair, just, reasonable and sufficient rates; and </w:t>
      </w:r>
      <w:r w:rsidR="00FD6B1B">
        <w:t>(</w:t>
      </w:r>
      <w:r w:rsidR="007E73A7">
        <w:t>2</w:t>
      </w:r>
      <w:r w:rsidR="00FD6B1B">
        <w:t>)</w:t>
      </w:r>
      <w:r w:rsidR="0066707D">
        <w:t xml:space="preserve"> defer</w:t>
      </w:r>
      <w:r w:rsidR="00EE49EC">
        <w:t xml:space="preserve">, beginning from the </w:t>
      </w:r>
      <w:r w:rsidR="00FD6B1B">
        <w:t>date of this Petition</w:t>
      </w:r>
      <w:r w:rsidR="00EE49EC">
        <w:t>,</w:t>
      </w:r>
      <w:r w:rsidR="0066707D">
        <w:t xml:space="preserve"> amounts the Company is currently collecting in rates that are in excess of fair, just, reasonable and sufficient rates.  </w:t>
      </w:r>
    </w:p>
    <w:p w:rsidR="00CF2FD8" w:rsidRDefault="00CF2FD8" w:rsidP="00EC2743">
      <w:pPr>
        <w:pStyle w:val="WUTCParagraph"/>
      </w:pPr>
      <w:r>
        <w:lastRenderedPageBreak/>
        <w:tab/>
        <w:t>ICNU is a nonprofit organization that is the leading advocate for northwest industry on issues related to the use and affordability of electric energy.  The contact information for ICNU’s attorneys in this matter is included at the end of this Petition.  ICNU’s contact information is:</w:t>
      </w:r>
    </w:p>
    <w:p w:rsidR="00CF2FD8" w:rsidRDefault="00CF2FD8" w:rsidP="00CF2FD8">
      <w:pPr>
        <w:pStyle w:val="WUTCParagraph"/>
        <w:numPr>
          <w:ilvl w:val="0"/>
          <w:numId w:val="0"/>
        </w:numPr>
        <w:spacing w:line="240" w:lineRule="auto"/>
        <w:ind w:left="1440"/>
      </w:pPr>
      <w:r>
        <w:t>Industrial Customers of Northwest Utilities</w:t>
      </w:r>
    </w:p>
    <w:p w:rsidR="00CF2FD8" w:rsidRDefault="00CF2FD8" w:rsidP="00CF2FD8">
      <w:pPr>
        <w:pStyle w:val="WUTCParagraph"/>
        <w:numPr>
          <w:ilvl w:val="0"/>
          <w:numId w:val="0"/>
        </w:numPr>
        <w:spacing w:line="240" w:lineRule="auto"/>
        <w:ind w:left="1440"/>
      </w:pPr>
      <w:r>
        <w:t>818 S.W. Third Ave, #266</w:t>
      </w:r>
    </w:p>
    <w:p w:rsidR="00CF2FD8" w:rsidRDefault="00CF2FD8" w:rsidP="00CF2FD8">
      <w:pPr>
        <w:pStyle w:val="WUTCParagraph"/>
        <w:numPr>
          <w:ilvl w:val="0"/>
          <w:numId w:val="0"/>
        </w:numPr>
        <w:ind w:left="1440"/>
      </w:pPr>
      <w:r>
        <w:t>Portland, OR 97204</w:t>
      </w:r>
    </w:p>
    <w:p w:rsidR="00CF2FD8" w:rsidRDefault="00CF2FD8" w:rsidP="00CF2FD8">
      <w:pPr>
        <w:pStyle w:val="WUTCParagraph"/>
      </w:pPr>
      <w:r>
        <w:tab/>
        <w:t>The rules and statutes relevant to this Petition are: WAC § 480-07-370, RCW § 80.28.010, and RCW § 80.01.040.</w:t>
      </w:r>
      <w:r w:rsidRPr="00FF6C72">
        <w:rPr>
          <w:vertAlign w:val="superscript"/>
        </w:rPr>
        <w:t xml:space="preserve"> </w:t>
      </w:r>
    </w:p>
    <w:p w:rsidR="0066707D" w:rsidRPr="00EE49EC" w:rsidRDefault="00EE49EC" w:rsidP="00EE49EC">
      <w:pPr>
        <w:spacing w:line="480" w:lineRule="auto"/>
        <w:jc w:val="center"/>
        <w:rPr>
          <w:b/>
        </w:rPr>
      </w:pPr>
      <w:r>
        <w:rPr>
          <w:b/>
        </w:rPr>
        <w:t>II.</w:t>
      </w:r>
      <w:r>
        <w:rPr>
          <w:b/>
        </w:rPr>
        <w:tab/>
      </w:r>
      <w:r w:rsidR="006F150D">
        <w:rPr>
          <w:b/>
        </w:rPr>
        <w:t xml:space="preserve">FACTUAL </w:t>
      </w:r>
      <w:r>
        <w:rPr>
          <w:b/>
        </w:rPr>
        <w:t>BACKGROUND</w:t>
      </w:r>
    </w:p>
    <w:p w:rsidR="0066707D" w:rsidRDefault="00EC2743" w:rsidP="00EC2743">
      <w:pPr>
        <w:pStyle w:val="WUTCParagraph"/>
      </w:pPr>
      <w:r>
        <w:tab/>
      </w:r>
      <w:r w:rsidR="00CC353B">
        <w:t>On June 25, 2013, the Commission entered Order 07, in which it approved an expedited rate filing, a decoupling mechanism, and a rate plan for PSE</w:t>
      </w:r>
      <w:r w:rsidR="00400717">
        <w:t>.</w:t>
      </w:r>
      <w:r w:rsidR="00400717" w:rsidRPr="00FF6C72">
        <w:rPr>
          <w:rStyle w:val="FootnoteReference"/>
          <w:u w:val="single"/>
        </w:rPr>
        <w:footnoteReference w:id="1"/>
      </w:r>
      <w:r w:rsidR="00FF6C72" w:rsidRPr="00FF6C72">
        <w:rPr>
          <w:vertAlign w:val="superscript"/>
        </w:rPr>
        <w:t>/</w:t>
      </w:r>
      <w:r w:rsidR="00400717">
        <w:t xml:space="preserve">  Despite the fact that the record evidence demonstrated that a reasonable return on equity (“ROE”) for PSE at the time Order 07 was issued was 9.3%,</w:t>
      </w:r>
      <w:r w:rsidR="00400717" w:rsidRPr="00FF6C72">
        <w:rPr>
          <w:rStyle w:val="FootnoteReference"/>
          <w:u w:val="single"/>
        </w:rPr>
        <w:footnoteReference w:id="2"/>
      </w:r>
      <w:r w:rsidR="00FF6C72" w:rsidRPr="00FF6C72">
        <w:rPr>
          <w:vertAlign w:val="superscript"/>
        </w:rPr>
        <w:t>/</w:t>
      </w:r>
      <w:r w:rsidR="00400717">
        <w:t xml:space="preserve"> the Commission </w:t>
      </w:r>
      <w:r w:rsidR="00015413">
        <w:t>set</w:t>
      </w:r>
      <w:r w:rsidR="00400717">
        <w:t xml:space="preserve"> PSE’s </w:t>
      </w:r>
      <w:r w:rsidR="00015413">
        <w:t>rates using</w:t>
      </w:r>
      <w:r w:rsidR="00400717">
        <w:t xml:space="preserve"> </w:t>
      </w:r>
      <w:r w:rsidR="00015413">
        <w:t>the Company’s</w:t>
      </w:r>
      <w:r w:rsidR="00400717">
        <w:t xml:space="preserve"> previously authorized </w:t>
      </w:r>
      <w:r w:rsidR="00015413">
        <w:t>ROE</w:t>
      </w:r>
      <w:r w:rsidR="00400717">
        <w:t xml:space="preserve"> of 9.8%.</w:t>
      </w:r>
      <w:r w:rsidR="00400717" w:rsidRPr="00FF6C72">
        <w:rPr>
          <w:rStyle w:val="FootnoteReference"/>
          <w:u w:val="single"/>
        </w:rPr>
        <w:footnoteReference w:id="3"/>
      </w:r>
      <w:r w:rsidR="00FF6C72" w:rsidRPr="00FF6C72">
        <w:rPr>
          <w:vertAlign w:val="superscript"/>
        </w:rPr>
        <w:t>/</w:t>
      </w:r>
      <w:r w:rsidR="00CC353B">
        <w:t xml:space="preserve"> </w:t>
      </w:r>
      <w:r w:rsidR="00400717">
        <w:t xml:space="preserve"> </w:t>
      </w:r>
      <w:r w:rsidR="00CC353B">
        <w:t>ICNU and Public Counsel challenged this decision in Thurston County Superior Court</w:t>
      </w:r>
      <w:r w:rsidR="004E137E">
        <w:t xml:space="preserve"> (the “Court”)</w:t>
      </w:r>
      <w:r w:rsidR="00CC353B">
        <w:t>.</w:t>
      </w:r>
      <w:r w:rsidR="00253C4F" w:rsidRPr="00FF6C72">
        <w:rPr>
          <w:rStyle w:val="FootnoteReference"/>
          <w:u w:val="single"/>
        </w:rPr>
        <w:footnoteReference w:id="4"/>
      </w:r>
      <w:r w:rsidR="00FF6C72" w:rsidRPr="00FF6C72">
        <w:rPr>
          <w:vertAlign w:val="superscript"/>
        </w:rPr>
        <w:t>/</w:t>
      </w:r>
      <w:r w:rsidR="00CC353B">
        <w:t xml:space="preserve">  </w:t>
      </w:r>
      <w:r w:rsidR="0066707D">
        <w:t xml:space="preserve">On July 25, 2014, the Court entered an order </w:t>
      </w:r>
      <w:r w:rsidR="00EE49EC">
        <w:t>affirming in part and reversing in p</w:t>
      </w:r>
      <w:r w:rsidR="00EF17BB">
        <w:t>art Order 07</w:t>
      </w:r>
      <w:r w:rsidR="0057443A">
        <w:t xml:space="preserve"> (“Court Order”).</w:t>
      </w:r>
      <w:r w:rsidR="00253C4F" w:rsidRPr="00FF6C72">
        <w:rPr>
          <w:rStyle w:val="FootnoteReference"/>
          <w:u w:val="single"/>
        </w:rPr>
        <w:footnoteReference w:id="5"/>
      </w:r>
      <w:r w:rsidR="00FF6C72" w:rsidRPr="00FF6C72">
        <w:rPr>
          <w:vertAlign w:val="superscript"/>
        </w:rPr>
        <w:t>/</w:t>
      </w:r>
      <w:r w:rsidR="0057443A">
        <w:t xml:space="preserve"> </w:t>
      </w:r>
      <w:r w:rsidR="00EF17BB">
        <w:t xml:space="preserve"> </w:t>
      </w:r>
      <w:r w:rsidR="006F150D">
        <w:t>In a letter ruling attached to the Court Order, the Court found that the Commission’s decision to set PSE’s ROE at 9.8% was not based on substantial evidence in the record and improperly shifted the burden of proof away from PSE and onto other parties.</w:t>
      </w:r>
      <w:r w:rsidR="00253C4F" w:rsidRPr="00FF6C72">
        <w:rPr>
          <w:rStyle w:val="FootnoteReference"/>
          <w:u w:val="single"/>
        </w:rPr>
        <w:footnoteReference w:id="6"/>
      </w:r>
      <w:r w:rsidR="00FF6C72" w:rsidRPr="00FF6C72">
        <w:rPr>
          <w:vertAlign w:val="superscript"/>
        </w:rPr>
        <w:t>/</w:t>
      </w:r>
      <w:r w:rsidR="006F150D">
        <w:t xml:space="preserve">  The Court remanded Order 07 to the Commission “to </w:t>
      </w:r>
      <w:r w:rsidR="006F150D">
        <w:lastRenderedPageBreak/>
        <w:t>establish fa</w:t>
      </w:r>
      <w:r w:rsidR="00400717">
        <w:t>i</w:t>
      </w:r>
      <w:r w:rsidR="006F150D">
        <w:t>r, just, reasonable and sufficient rates to be charged under the rate plan</w:t>
      </w:r>
      <w:r w:rsidR="0057443A">
        <w:t>, and to order any other appropriate relief.</w:t>
      </w:r>
      <w:r w:rsidR="006F150D">
        <w:t>”</w:t>
      </w:r>
      <w:r w:rsidR="00253C4F" w:rsidRPr="00FF6C72">
        <w:rPr>
          <w:rStyle w:val="FootnoteReference"/>
          <w:u w:val="single"/>
        </w:rPr>
        <w:footnoteReference w:id="7"/>
      </w:r>
      <w:r w:rsidR="00FF6C72" w:rsidRPr="00FF6C72">
        <w:rPr>
          <w:vertAlign w:val="superscript"/>
        </w:rPr>
        <w:t>/</w:t>
      </w:r>
      <w:r w:rsidR="006F150D" w:rsidRPr="00FF6C72">
        <w:rPr>
          <w:vertAlign w:val="superscript"/>
        </w:rPr>
        <w:t xml:space="preserve"> </w:t>
      </w:r>
    </w:p>
    <w:p w:rsidR="00CC353B" w:rsidRDefault="00CC353B" w:rsidP="00CC353B">
      <w:pPr>
        <w:spacing w:line="480" w:lineRule="auto"/>
        <w:jc w:val="center"/>
      </w:pPr>
      <w:r>
        <w:rPr>
          <w:b/>
        </w:rPr>
        <w:t>III.</w:t>
      </w:r>
      <w:r>
        <w:rPr>
          <w:b/>
        </w:rPr>
        <w:tab/>
        <w:t>GROUNDS FOR THE PETITION</w:t>
      </w:r>
      <w:r w:rsidR="006F150D">
        <w:rPr>
          <w:b/>
        </w:rPr>
        <w:t xml:space="preserve"> AND RELIEF REQUESTED</w:t>
      </w:r>
    </w:p>
    <w:p w:rsidR="00CC353B" w:rsidRDefault="00EC2743" w:rsidP="00EC2743">
      <w:pPr>
        <w:pStyle w:val="WUTCParagraph"/>
      </w:pPr>
      <w:r>
        <w:tab/>
      </w:r>
      <w:r w:rsidR="004E137E">
        <w:t>ICNU’s Petition seeks to</w:t>
      </w:r>
      <w:r w:rsidR="0057443A">
        <w:t xml:space="preserve"> effectuate the Court’s order on remand.  Specifically, ICNU proposes to</w:t>
      </w:r>
      <w:r w:rsidR="004E137E">
        <w:t xml:space="preserve"> capture the difference between what PSE has collected, and continues to collect, in rates found to be unlawful, and the amount </w:t>
      </w:r>
      <w:r w:rsidR="00015413">
        <w:t>that is</w:t>
      </w:r>
      <w:r w:rsidR="004E137E">
        <w:t xml:space="preserve"> “just, </w:t>
      </w:r>
      <w:r w:rsidR="003E75B5">
        <w:t xml:space="preserve">fair, </w:t>
      </w:r>
      <w:r w:rsidR="00D516DF">
        <w:t>reasonable</w:t>
      </w:r>
      <w:r w:rsidR="004E137E">
        <w:t xml:space="preserve"> and sufficient” as required by RCW § 80.28.010(1)</w:t>
      </w:r>
      <w:r w:rsidR="003A1482">
        <w:t xml:space="preserve"> and the Court </w:t>
      </w:r>
      <w:r w:rsidR="0057443A">
        <w:t>O</w:t>
      </w:r>
      <w:r w:rsidR="003A1482">
        <w:t>rder</w:t>
      </w:r>
      <w:r w:rsidR="004E137E">
        <w:t xml:space="preserve">.  </w:t>
      </w:r>
      <w:r w:rsidR="001850BC">
        <w:t>PSE should be required to refund the amount</w:t>
      </w:r>
      <w:r w:rsidR="00015413">
        <w:t>, plus interest,</w:t>
      </w:r>
      <w:r w:rsidR="001850BC">
        <w:t xml:space="preserve"> it has over-collected from customers during the period between </w:t>
      </w:r>
      <w:r w:rsidR="00015413">
        <w:t xml:space="preserve">July 1, 2013, </w:t>
      </w:r>
      <w:r w:rsidR="001850BC">
        <w:t>the effective date of PSE’s tariffs filed in compliance with Order 07</w:t>
      </w:r>
      <w:r w:rsidR="00015413">
        <w:t>,</w:t>
      </w:r>
      <w:r w:rsidR="001850BC">
        <w:t xml:space="preserve"> and the date of this Petition.  Additionally, it should be required to defer from the date of this Petition, for later reduction to rates, the amount it is currently over-collecting from customers.</w:t>
      </w:r>
    </w:p>
    <w:p w:rsidR="0057443A" w:rsidRPr="0057443A" w:rsidRDefault="0057443A" w:rsidP="0057443A">
      <w:pPr>
        <w:spacing w:line="480" w:lineRule="auto"/>
        <w:ind w:firstLine="720"/>
        <w:rPr>
          <w:b/>
        </w:rPr>
      </w:pPr>
      <w:r>
        <w:rPr>
          <w:b/>
        </w:rPr>
        <w:t>A.</w:t>
      </w:r>
      <w:r>
        <w:rPr>
          <w:b/>
        </w:rPr>
        <w:tab/>
        <w:t>Refunds</w:t>
      </w:r>
    </w:p>
    <w:p w:rsidR="003E75B5" w:rsidRDefault="00EC2743" w:rsidP="00EC2743">
      <w:pPr>
        <w:pStyle w:val="WUTCParagraph"/>
      </w:pPr>
      <w:r>
        <w:tab/>
      </w:r>
      <w:r w:rsidR="003E75B5">
        <w:t>The Commission’s accounting order should refund to customers amounts</w:t>
      </w:r>
      <w:r w:rsidR="00015413">
        <w:t>, with interest,</w:t>
      </w:r>
      <w:r w:rsidR="003E75B5">
        <w:t xml:space="preserve"> PSE has already collected that are in ex</w:t>
      </w:r>
      <w:r w:rsidR="00D516DF">
        <w:t>cess of “just, fair, reasonable</w:t>
      </w:r>
      <w:r w:rsidR="003E75B5">
        <w:t xml:space="preserve"> and sufficient” rates.</w:t>
      </w:r>
      <w:r w:rsidR="00253C4F" w:rsidRPr="00FF6C72">
        <w:rPr>
          <w:rStyle w:val="FootnoteReference"/>
          <w:u w:val="single"/>
        </w:rPr>
        <w:footnoteReference w:id="8"/>
      </w:r>
      <w:r w:rsidR="00FF6C72" w:rsidRPr="00FF6C72">
        <w:rPr>
          <w:vertAlign w:val="superscript"/>
        </w:rPr>
        <w:t>/</w:t>
      </w:r>
      <w:r w:rsidR="003E75B5">
        <w:t xml:space="preserve">  </w:t>
      </w:r>
      <w:r w:rsidR="00B51675">
        <w:t>“</w:t>
      </w:r>
      <w:r w:rsidR="003E75B5">
        <w:t>J</w:t>
      </w:r>
      <w:r w:rsidR="00B51675">
        <w:t xml:space="preserve">ust, </w:t>
      </w:r>
      <w:r w:rsidR="003E75B5">
        <w:t xml:space="preserve">fair, </w:t>
      </w:r>
      <w:r w:rsidR="00B51675">
        <w:t>reasonable, and sufficient” rates are those that are “reasonably sufficient to assure confidence in the financial soundness of the utility and should be adequate, under efficient and economical management, to maintain and support its credit and enable it to raise the money necessary for the proper discharge of its public duties.”</w:t>
      </w:r>
      <w:r w:rsidR="00253C4F" w:rsidRPr="00FF6C72">
        <w:rPr>
          <w:rStyle w:val="FootnoteReference"/>
          <w:u w:val="single"/>
        </w:rPr>
        <w:footnoteReference w:id="9"/>
      </w:r>
      <w:r w:rsidR="00FF6C72" w:rsidRPr="00FF6C72">
        <w:rPr>
          <w:vertAlign w:val="superscript"/>
        </w:rPr>
        <w:t>/</w:t>
      </w:r>
      <w:r w:rsidR="00B51675" w:rsidRPr="00FF6C72">
        <w:rPr>
          <w:vertAlign w:val="superscript"/>
        </w:rPr>
        <w:t xml:space="preserve">  </w:t>
      </w:r>
      <w:r w:rsidR="00B51675">
        <w:t xml:space="preserve">  </w:t>
      </w:r>
    </w:p>
    <w:p w:rsidR="0057443A" w:rsidRDefault="00EC2743" w:rsidP="00EC2743">
      <w:pPr>
        <w:pStyle w:val="WUTCParagraph"/>
      </w:pPr>
      <w:r>
        <w:tab/>
      </w:r>
      <w:r w:rsidR="001850BC">
        <w:t xml:space="preserve">PSE has operated with unlawfully high rates </w:t>
      </w:r>
      <w:r w:rsidR="003C0368">
        <w:t xml:space="preserve">since July 1, 2013, the date its tariffs </w:t>
      </w:r>
      <w:r w:rsidR="003E75B5">
        <w:t xml:space="preserve">approved by Order 07 </w:t>
      </w:r>
      <w:r w:rsidR="003C0368">
        <w:t>became effective.</w:t>
      </w:r>
      <w:r w:rsidR="00253C4F" w:rsidRPr="00FF6C72">
        <w:rPr>
          <w:rStyle w:val="FootnoteReference"/>
          <w:u w:val="single"/>
        </w:rPr>
        <w:footnoteReference w:id="10"/>
      </w:r>
      <w:r w:rsidR="003C0368" w:rsidRPr="00FF6C72">
        <w:rPr>
          <w:u w:val="single"/>
          <w:vertAlign w:val="superscript"/>
        </w:rPr>
        <w:t xml:space="preserve"> </w:t>
      </w:r>
      <w:r w:rsidR="00FF6C72" w:rsidRPr="00FF6C72">
        <w:rPr>
          <w:vertAlign w:val="superscript"/>
        </w:rPr>
        <w:t>/</w:t>
      </w:r>
      <w:r w:rsidR="003C0368">
        <w:t xml:space="preserve"> </w:t>
      </w:r>
      <w:r w:rsidR="000C231D">
        <w:t xml:space="preserve"> </w:t>
      </w:r>
      <w:r w:rsidR="00B51675">
        <w:t>The amount PSE has over-collected since this date is known</w:t>
      </w:r>
      <w:r w:rsidR="001850BC">
        <w:t xml:space="preserve">.  </w:t>
      </w:r>
      <w:r w:rsidR="0018645C">
        <w:t>The record establishes</w:t>
      </w:r>
      <w:r w:rsidR="00ED6BBA">
        <w:t xml:space="preserve"> that a</w:t>
      </w:r>
      <w:r w:rsidR="00015413">
        <w:t xml:space="preserve"> 9.3%</w:t>
      </w:r>
      <w:r w:rsidR="00ED6BBA">
        <w:t xml:space="preserve"> ROE </w:t>
      </w:r>
      <w:r w:rsidR="00015413">
        <w:t>would have assured</w:t>
      </w:r>
      <w:r w:rsidR="00400717">
        <w:t xml:space="preserve"> confidence in the </w:t>
      </w:r>
      <w:r w:rsidR="00400717">
        <w:lastRenderedPageBreak/>
        <w:t xml:space="preserve">Company’s financial soundness, and thus </w:t>
      </w:r>
      <w:r w:rsidR="0057443A">
        <w:t>met</w:t>
      </w:r>
      <w:r w:rsidR="00ED6BBA">
        <w:t xml:space="preserve"> </w:t>
      </w:r>
      <w:r w:rsidR="00B51675">
        <w:t>the statutory</w:t>
      </w:r>
      <w:r w:rsidR="00ED6BBA">
        <w:t xml:space="preserve"> requirements</w:t>
      </w:r>
      <w:r w:rsidR="00015413">
        <w:t>,</w:t>
      </w:r>
      <w:r w:rsidR="00ED6BBA">
        <w:t xml:space="preserve"> </w:t>
      </w:r>
      <w:r w:rsidR="004379DF">
        <w:t>at the time Order 07 was issued</w:t>
      </w:r>
      <w:r w:rsidR="00015413">
        <w:t>.</w:t>
      </w:r>
      <w:r w:rsidR="003A1482">
        <w:t xml:space="preserve">  ICNU’s witness, Michael Gorman, performed a full cost of capital study, including three versions of a discounted cash flow analysis, a risk premium analysis, and a capital asset pricing model analysis, </w:t>
      </w:r>
      <w:r w:rsidR="00400717">
        <w:t xml:space="preserve">which collectively </w:t>
      </w:r>
      <w:r w:rsidR="00015413">
        <w:t>supported</w:t>
      </w:r>
      <w:r w:rsidR="00400717">
        <w:t xml:space="preserve"> this level of ROE </w:t>
      </w:r>
      <w:r w:rsidR="00015413">
        <w:t xml:space="preserve">as adequate and sufficient </w:t>
      </w:r>
      <w:r w:rsidR="00400717">
        <w:t>for PSE.</w:t>
      </w:r>
      <w:r w:rsidR="00253C4F" w:rsidRPr="00FF6C72">
        <w:rPr>
          <w:rStyle w:val="FootnoteReference"/>
          <w:u w:val="single"/>
        </w:rPr>
        <w:footnoteReference w:id="11"/>
      </w:r>
      <w:r w:rsidR="00FF6C72" w:rsidRPr="00FF6C72">
        <w:rPr>
          <w:vertAlign w:val="superscript"/>
        </w:rPr>
        <w:t>/</w:t>
      </w:r>
      <w:r w:rsidR="00ED6BBA">
        <w:t xml:space="preserve">  </w:t>
      </w:r>
      <w:r w:rsidR="0018645C">
        <w:t>This is “sufficient evidence in the record … to adjust the Company’s ROE.”</w:t>
      </w:r>
      <w:r w:rsidR="00253C4F" w:rsidRPr="00FF6C72">
        <w:rPr>
          <w:rStyle w:val="FootnoteReference"/>
          <w:u w:val="single"/>
        </w:rPr>
        <w:footnoteReference w:id="12"/>
      </w:r>
      <w:r w:rsidR="00FF6C72" w:rsidRPr="00FF6C72">
        <w:rPr>
          <w:vertAlign w:val="superscript"/>
        </w:rPr>
        <w:t>/</w:t>
      </w:r>
      <w:r w:rsidR="0018645C">
        <w:t xml:space="preserve">    </w:t>
      </w:r>
    </w:p>
    <w:p w:rsidR="00EF17BB" w:rsidRDefault="00EC2743" w:rsidP="00EC2743">
      <w:pPr>
        <w:pStyle w:val="WUTCParagraph"/>
      </w:pPr>
      <w:r>
        <w:tab/>
      </w:r>
      <w:r w:rsidR="004379DF">
        <w:t>T</w:t>
      </w:r>
      <w:r w:rsidR="00401BAA">
        <w:t>he Commission’s accounting order</w:t>
      </w:r>
      <w:r w:rsidR="004379DF">
        <w:t>, therefore,</w:t>
      </w:r>
      <w:r w:rsidR="00401BAA">
        <w:t xml:space="preserve"> should </w:t>
      </w:r>
      <w:r w:rsidR="00015413">
        <w:t xml:space="preserve">order PSE to immediately </w:t>
      </w:r>
      <w:r w:rsidR="00401BAA">
        <w:t xml:space="preserve">refund to customers the amount PSE has </w:t>
      </w:r>
      <w:r w:rsidR="00015413">
        <w:t xml:space="preserve">unlawfully </w:t>
      </w:r>
      <w:r w:rsidR="00401BAA">
        <w:t>collected in rates</w:t>
      </w:r>
      <w:r w:rsidR="003E75B5">
        <w:t xml:space="preserve"> between July 1, 2013</w:t>
      </w:r>
      <w:r w:rsidR="00E058F4">
        <w:t>,</w:t>
      </w:r>
      <w:r w:rsidR="003E75B5">
        <w:t xml:space="preserve"> and the date of this Petition</w:t>
      </w:r>
      <w:r w:rsidR="00401BAA">
        <w:t xml:space="preserve"> that represents the difference between </w:t>
      </w:r>
      <w:r w:rsidR="004A373F">
        <w:t>the 9.8% ROE approved in Order 07 and the 9.3% ROE supported by the record</w:t>
      </w:r>
      <w:r w:rsidR="00015413">
        <w:t>, including interest at the Company’s overall cost of capital.</w:t>
      </w:r>
    </w:p>
    <w:p w:rsidR="0057443A" w:rsidRPr="0057443A" w:rsidRDefault="0057443A" w:rsidP="0057443A">
      <w:pPr>
        <w:spacing w:line="480" w:lineRule="auto"/>
        <w:ind w:firstLine="720"/>
        <w:rPr>
          <w:b/>
        </w:rPr>
      </w:pPr>
      <w:r>
        <w:rPr>
          <w:b/>
        </w:rPr>
        <w:t>B.</w:t>
      </w:r>
      <w:r>
        <w:rPr>
          <w:b/>
        </w:rPr>
        <w:tab/>
        <w:t>Deferred Accounting</w:t>
      </w:r>
    </w:p>
    <w:p w:rsidR="004A373F" w:rsidRDefault="00EC2743" w:rsidP="00EC2743">
      <w:pPr>
        <w:pStyle w:val="WUTCParagraph"/>
      </w:pPr>
      <w:r>
        <w:tab/>
      </w:r>
      <w:r w:rsidR="00400717">
        <w:t>ICNU also requests that t</w:t>
      </w:r>
      <w:r w:rsidR="003E75B5">
        <w:t xml:space="preserve">he Commission’s accounting order </w:t>
      </w:r>
      <w:r w:rsidR="00015413">
        <w:t>require PSE to establish a deferred account to track</w:t>
      </w:r>
      <w:r w:rsidR="003E75B5">
        <w:t xml:space="preserve">, for later </w:t>
      </w:r>
      <w:r w:rsidR="00015413">
        <w:t>inclusion in</w:t>
      </w:r>
      <w:r w:rsidR="003E75B5">
        <w:t xml:space="preserve"> rates, </w:t>
      </w:r>
      <w:r w:rsidR="00015413">
        <w:t xml:space="preserve">the </w:t>
      </w:r>
      <w:r w:rsidR="003E75B5">
        <w:t xml:space="preserve">amount PSE </w:t>
      </w:r>
      <w:r w:rsidR="00015413">
        <w:t>continues</w:t>
      </w:r>
      <w:r w:rsidR="003E75B5">
        <w:t xml:space="preserve"> to </w:t>
      </w:r>
      <w:r w:rsidR="00015413">
        <w:t>over-collect</w:t>
      </w:r>
      <w:r w:rsidR="003E75B5">
        <w:t xml:space="preserve"> in ex</w:t>
      </w:r>
      <w:r w:rsidR="00D516DF">
        <w:t>cess of “just, fair, reasonable</w:t>
      </w:r>
      <w:r w:rsidR="003E75B5">
        <w:t xml:space="preserve"> and sufficient” rates.</w:t>
      </w:r>
      <w:r w:rsidR="00253C4F" w:rsidRPr="00FF6C72">
        <w:rPr>
          <w:rStyle w:val="FootnoteReference"/>
          <w:u w:val="single"/>
        </w:rPr>
        <w:footnoteReference w:id="13"/>
      </w:r>
      <w:r w:rsidR="00FF6C72" w:rsidRPr="00FF6C72">
        <w:rPr>
          <w:vertAlign w:val="superscript"/>
        </w:rPr>
        <w:t>/</w:t>
      </w:r>
      <w:r w:rsidR="003E75B5" w:rsidRPr="00FF6C72">
        <w:rPr>
          <w:vertAlign w:val="superscript"/>
        </w:rPr>
        <w:t xml:space="preserve"> </w:t>
      </w:r>
      <w:r w:rsidR="003E75B5">
        <w:t xml:space="preserve"> </w:t>
      </w:r>
      <w:r w:rsidR="004A373F">
        <w:t xml:space="preserve">Because the Commission established rates to be in effect for the term of the rate plan, ICNU supports </w:t>
      </w:r>
      <w:r w:rsidR="00015413">
        <w:t>using an</w:t>
      </w:r>
      <w:r w:rsidR="004A373F">
        <w:t xml:space="preserve"> ROE </w:t>
      </w:r>
      <w:r w:rsidR="00015413">
        <w:t>of</w:t>
      </w:r>
      <w:r w:rsidR="004A373F">
        <w:t xml:space="preserve"> 9.3% </w:t>
      </w:r>
      <w:r w:rsidR="00015413">
        <w:t xml:space="preserve">to calculate PSE’s deferrals </w:t>
      </w:r>
      <w:r w:rsidR="004A373F">
        <w:t xml:space="preserve">for the </w:t>
      </w:r>
      <w:r w:rsidR="0057443A">
        <w:t>remainder</w:t>
      </w:r>
      <w:r w:rsidR="003E75B5">
        <w:t xml:space="preserve"> of that</w:t>
      </w:r>
      <w:r w:rsidR="004A373F">
        <w:t xml:space="preserve"> rate plan</w:t>
      </w:r>
      <w:r w:rsidR="003E75B5">
        <w:t>, as supported by the record evidence</w:t>
      </w:r>
      <w:r w:rsidR="004A373F">
        <w:t>.</w:t>
      </w:r>
      <w:r w:rsidR="005205B8">
        <w:t xml:space="preserve"> </w:t>
      </w:r>
      <w:r w:rsidR="00E058F4">
        <w:t xml:space="preserve"> Under ICNU’s proposal for an</w:t>
      </w:r>
      <w:r w:rsidR="004379DF">
        <w:t xml:space="preserve"> accounting order, PSE would defer, for later </w:t>
      </w:r>
      <w:r w:rsidR="005E5124">
        <w:t>refund through</w:t>
      </w:r>
      <w:r w:rsidR="004379DF">
        <w:t xml:space="preserve"> rates, </w:t>
      </w:r>
      <w:r w:rsidR="00E058F4">
        <w:t xml:space="preserve">plus interest, </w:t>
      </w:r>
      <w:bookmarkStart w:id="2" w:name="_GoBack"/>
      <w:bookmarkEnd w:id="2"/>
      <w:r w:rsidR="004379DF">
        <w:t xml:space="preserve">the difference between the amount the Company is </w:t>
      </w:r>
      <w:r w:rsidR="005E5124">
        <w:t xml:space="preserve">currently </w:t>
      </w:r>
      <w:r w:rsidR="004379DF">
        <w:t xml:space="preserve">collecting from customers </w:t>
      </w:r>
      <w:r w:rsidR="00CF2FD8">
        <w:t xml:space="preserve">with a 9.8% ROE </w:t>
      </w:r>
      <w:r w:rsidR="004379DF">
        <w:t>and the amount the Company would be collecting with a 9.3% ROE</w:t>
      </w:r>
      <w:r w:rsidR="00400717">
        <w:t>.</w:t>
      </w:r>
    </w:p>
    <w:p w:rsidR="00CF2FD8" w:rsidRDefault="00CF2FD8" w:rsidP="003E75B5">
      <w:pPr>
        <w:spacing w:line="480" w:lineRule="auto"/>
        <w:jc w:val="center"/>
        <w:rPr>
          <w:b/>
        </w:rPr>
      </w:pPr>
    </w:p>
    <w:p w:rsidR="00CF2FD8" w:rsidRDefault="00CF2FD8" w:rsidP="003E75B5">
      <w:pPr>
        <w:spacing w:line="480" w:lineRule="auto"/>
        <w:jc w:val="center"/>
        <w:rPr>
          <w:b/>
        </w:rPr>
      </w:pPr>
    </w:p>
    <w:p w:rsidR="003E75B5" w:rsidRDefault="003E75B5" w:rsidP="003E75B5">
      <w:pPr>
        <w:spacing w:line="480" w:lineRule="auto"/>
        <w:jc w:val="center"/>
      </w:pPr>
      <w:r>
        <w:rPr>
          <w:b/>
        </w:rPr>
        <w:t>IV.</w:t>
      </w:r>
      <w:r>
        <w:rPr>
          <w:b/>
        </w:rPr>
        <w:tab/>
        <w:t>CONCLUSION</w:t>
      </w:r>
    </w:p>
    <w:p w:rsidR="003E75B5" w:rsidRDefault="00EC2743" w:rsidP="00EC2743">
      <w:pPr>
        <w:pStyle w:val="WUTCParagraph"/>
      </w:pPr>
      <w:r>
        <w:tab/>
      </w:r>
      <w:r w:rsidR="007E73A7">
        <w:t xml:space="preserve">For the foregoing reasons, ICNU respectfully requests that the Commission enter an accounting order </w:t>
      </w:r>
      <w:r w:rsidR="005E5124">
        <w:t>granting</w:t>
      </w:r>
      <w:r w:rsidR="007E73A7">
        <w:t xml:space="preserve"> the relief requested in this Petition.</w:t>
      </w:r>
    </w:p>
    <w:p w:rsidR="007E73A7" w:rsidRDefault="007E73A7" w:rsidP="007E73A7">
      <w:pPr>
        <w:keepNext/>
        <w:spacing w:line="480" w:lineRule="auto"/>
        <w:ind w:firstLine="1440"/>
      </w:pPr>
      <w:r>
        <w:t>Da</w:t>
      </w:r>
      <w:r w:rsidR="00FF6C72">
        <w:t>ted in Portland, Oregon, this 30th</w:t>
      </w:r>
      <w:r>
        <w:t xml:space="preserve"> day of July, 2014.</w:t>
      </w:r>
    </w:p>
    <w:p w:rsidR="007E73A7" w:rsidRDefault="007E73A7" w:rsidP="007E73A7">
      <w:pPr>
        <w:keepNext/>
        <w:spacing w:line="480" w:lineRule="auto"/>
        <w:ind w:left="2880" w:firstLine="720"/>
      </w:pPr>
      <w:r>
        <w:t>Respectfully submitted,</w:t>
      </w:r>
    </w:p>
    <w:p w:rsidR="007E73A7" w:rsidRDefault="007E73A7" w:rsidP="007E73A7">
      <w:pPr>
        <w:keepNext/>
        <w:spacing w:line="480" w:lineRule="auto"/>
        <w:ind w:firstLine="3600"/>
      </w:pPr>
      <w:r>
        <w:t>DAVISON VAN CLEVE, P.C.</w:t>
      </w:r>
    </w:p>
    <w:p w:rsidR="007E73A7" w:rsidRPr="00200EE5" w:rsidRDefault="007E73A7" w:rsidP="007E73A7">
      <w:pPr>
        <w:keepNext/>
        <w:ind w:firstLine="3600"/>
        <w:rPr>
          <w:u w:val="single"/>
        </w:rPr>
      </w:pPr>
      <w:r>
        <w:rPr>
          <w:i/>
          <w:u w:val="single"/>
        </w:rPr>
        <w:t>/s/ Melinda J. Davison</w:t>
      </w:r>
    </w:p>
    <w:p w:rsidR="007E73A7" w:rsidRDefault="007E73A7" w:rsidP="007E73A7">
      <w:pPr>
        <w:keepNext/>
        <w:ind w:firstLine="3600"/>
      </w:pPr>
      <w:r>
        <w:t>Melinda J. Davison</w:t>
      </w:r>
    </w:p>
    <w:p w:rsidR="007E73A7" w:rsidRDefault="007E73A7" w:rsidP="007E73A7">
      <w:pPr>
        <w:keepNext/>
        <w:ind w:firstLine="3600"/>
      </w:pPr>
      <w:r>
        <w:t>Tyler C. Pepple</w:t>
      </w:r>
    </w:p>
    <w:p w:rsidR="007E73A7" w:rsidRDefault="007E73A7" w:rsidP="007E73A7">
      <w:pPr>
        <w:keepNext/>
        <w:ind w:firstLine="3600"/>
      </w:pPr>
      <w:r>
        <w:t>333 S.W. Taylor, Suite 400</w:t>
      </w:r>
    </w:p>
    <w:p w:rsidR="007E73A7" w:rsidRDefault="007E73A7" w:rsidP="007E73A7">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w:t>
          </w:r>
        </w:smartTag>
      </w:smartTag>
    </w:p>
    <w:p w:rsidR="007E73A7" w:rsidRDefault="007E73A7" w:rsidP="007E73A7">
      <w:pPr>
        <w:keepNext/>
        <w:ind w:firstLine="3600"/>
      </w:pPr>
      <w:r>
        <w:t>(503) 241-7242 telephone</w:t>
      </w:r>
    </w:p>
    <w:p w:rsidR="007E73A7" w:rsidRDefault="007E73A7" w:rsidP="007E73A7">
      <w:pPr>
        <w:keepNext/>
        <w:ind w:firstLine="3600"/>
      </w:pPr>
      <w:r>
        <w:t>(503) 241-8160 facsimile</w:t>
      </w:r>
    </w:p>
    <w:p w:rsidR="007E73A7" w:rsidRDefault="007E73A7" w:rsidP="007E73A7">
      <w:pPr>
        <w:ind w:left="2912" w:firstLine="688"/>
      </w:pPr>
      <w:r w:rsidRPr="007A4288">
        <w:t>mjd@dvclaw.com</w:t>
      </w:r>
    </w:p>
    <w:p w:rsidR="007E73A7" w:rsidRDefault="007E73A7" w:rsidP="007E73A7">
      <w:pPr>
        <w:ind w:left="2912" w:firstLine="688"/>
      </w:pPr>
      <w:r>
        <w:t>tcp@dvclaw.com</w:t>
      </w:r>
    </w:p>
    <w:p w:rsidR="007E73A7" w:rsidRDefault="007E73A7" w:rsidP="007E73A7">
      <w:pPr>
        <w:ind w:left="3600"/>
      </w:pPr>
      <w:r>
        <w:t xml:space="preserve">Of Attorneys for Industrial Customers </w:t>
      </w:r>
    </w:p>
    <w:p w:rsidR="007E73A7" w:rsidRPr="003E75B5" w:rsidRDefault="007E73A7" w:rsidP="000C231D">
      <w:pPr>
        <w:ind w:left="3600"/>
      </w:pPr>
      <w:r>
        <w:t>of Northwest Utilities</w:t>
      </w:r>
    </w:p>
    <w:sectPr w:rsidR="007E73A7" w:rsidRPr="003E75B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717" w:rsidRDefault="00400717" w:rsidP="00400717">
      <w:r>
        <w:separator/>
      </w:r>
    </w:p>
  </w:endnote>
  <w:endnote w:type="continuationSeparator" w:id="0">
    <w:p w:rsidR="00400717" w:rsidRDefault="00400717" w:rsidP="0040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39" w:rsidRDefault="00520F39">
    <w:pPr>
      <w:pStyle w:val="Footer"/>
    </w:pPr>
    <w:r>
      <w:t xml:space="preserve">PAGE </w:t>
    </w:r>
    <w:sdt>
      <w:sdtPr>
        <w:id w:val="-4267350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058F4">
          <w:rPr>
            <w:noProof/>
          </w:rPr>
          <w:t>1</w:t>
        </w:r>
        <w:r>
          <w:rPr>
            <w:noProof/>
          </w:rPr>
          <w:fldChar w:fldCharType="end"/>
        </w:r>
        <w:r>
          <w:rPr>
            <w:noProof/>
          </w:rPr>
          <w:t xml:space="preserve"> – ICNU PETITION FOR ACCOUNTING ORDER</w:t>
        </w:r>
      </w:sdtContent>
    </w:sdt>
  </w:p>
  <w:p w:rsidR="00520F39" w:rsidRDefault="00520F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717" w:rsidRDefault="00400717" w:rsidP="00400717">
      <w:r>
        <w:separator/>
      </w:r>
    </w:p>
  </w:footnote>
  <w:footnote w:type="continuationSeparator" w:id="0">
    <w:p w:rsidR="00400717" w:rsidRDefault="00400717" w:rsidP="00400717">
      <w:r>
        <w:continuationSeparator/>
      </w:r>
    </w:p>
  </w:footnote>
  <w:footnote w:id="1">
    <w:p w:rsidR="00400717" w:rsidRDefault="00400717">
      <w:pPr>
        <w:pStyle w:val="FootnoteText"/>
      </w:pPr>
      <w:r w:rsidRPr="00FF6C72">
        <w:rPr>
          <w:rStyle w:val="FootnoteReference"/>
          <w:u w:val="single"/>
        </w:rPr>
        <w:footnoteRef/>
      </w:r>
      <w:r w:rsidR="00FF6C72" w:rsidRPr="00FF6C72">
        <w:rPr>
          <w:vertAlign w:val="superscript"/>
        </w:rPr>
        <w:t>/</w:t>
      </w:r>
      <w:r w:rsidRPr="00FF6C72">
        <w:rPr>
          <w:vertAlign w:val="superscript"/>
        </w:rPr>
        <w:t xml:space="preserve"> </w:t>
      </w:r>
      <w:r>
        <w:tab/>
        <w:t>Order 07 ¶¶ 244-245.</w:t>
      </w:r>
    </w:p>
  </w:footnote>
  <w:footnote w:id="2">
    <w:p w:rsidR="00400717" w:rsidRDefault="00400717">
      <w:pPr>
        <w:pStyle w:val="FootnoteText"/>
      </w:pPr>
      <w:r w:rsidRPr="00FF6C72">
        <w:rPr>
          <w:rStyle w:val="FootnoteReference"/>
          <w:u w:val="single"/>
        </w:rPr>
        <w:footnoteRef/>
      </w:r>
      <w:r w:rsidR="00FF6C72" w:rsidRPr="00FF6C72">
        <w:rPr>
          <w:vertAlign w:val="superscript"/>
        </w:rPr>
        <w:t>/</w:t>
      </w:r>
      <w:r>
        <w:tab/>
        <w:t>Order 07 ¶ 51; ICNU Ex. No. __ (MPG-3).</w:t>
      </w:r>
    </w:p>
  </w:footnote>
  <w:footnote w:id="3">
    <w:p w:rsidR="00400717" w:rsidRDefault="00400717">
      <w:pPr>
        <w:pStyle w:val="FootnoteText"/>
      </w:pPr>
      <w:r w:rsidRPr="00FF6C72">
        <w:rPr>
          <w:rStyle w:val="FootnoteReference"/>
          <w:u w:val="single"/>
        </w:rPr>
        <w:footnoteRef/>
      </w:r>
      <w:r w:rsidR="00FF6C72" w:rsidRPr="00FF6C72">
        <w:rPr>
          <w:vertAlign w:val="superscript"/>
        </w:rPr>
        <w:t>/</w:t>
      </w:r>
      <w:r>
        <w:t xml:space="preserve"> </w:t>
      </w:r>
      <w:r>
        <w:tab/>
        <w:t xml:space="preserve">Order 07 ¶ </w:t>
      </w:r>
      <w:r w:rsidR="00253C4F">
        <w:t>220.</w:t>
      </w:r>
    </w:p>
  </w:footnote>
  <w:footnote w:id="4">
    <w:p w:rsidR="00253C4F" w:rsidRDefault="00253C4F" w:rsidP="00253C4F">
      <w:pPr>
        <w:pStyle w:val="FootnoteText"/>
        <w:ind w:left="720" w:hanging="720"/>
      </w:pPr>
      <w:r w:rsidRPr="00FF6C72">
        <w:rPr>
          <w:rStyle w:val="FootnoteReference"/>
          <w:u w:val="single"/>
        </w:rPr>
        <w:footnoteRef/>
      </w:r>
      <w:r w:rsidR="00FF6C72" w:rsidRPr="00FF6C72">
        <w:rPr>
          <w:vertAlign w:val="superscript"/>
        </w:rPr>
        <w:t>/</w:t>
      </w:r>
      <w:r>
        <w:t xml:space="preserve"> </w:t>
      </w:r>
      <w:r>
        <w:tab/>
        <w:t>Docket Nos. UE-121697/UG-121705 and UE-130137/UG-130138, ICNU and Public Counsel Petitions for Judicial Review of Final Agency Action (July 24, 2013).</w:t>
      </w:r>
    </w:p>
  </w:footnote>
  <w:footnote w:id="5">
    <w:p w:rsidR="00253C4F" w:rsidRDefault="00253C4F">
      <w:pPr>
        <w:pStyle w:val="FootnoteText"/>
      </w:pPr>
      <w:r w:rsidRPr="00FF6C72">
        <w:rPr>
          <w:rStyle w:val="FootnoteReference"/>
          <w:u w:val="single"/>
        </w:rPr>
        <w:footnoteRef/>
      </w:r>
      <w:r w:rsidR="00FF6C72" w:rsidRPr="00FF6C72">
        <w:rPr>
          <w:vertAlign w:val="superscript"/>
        </w:rPr>
        <w:t>/</w:t>
      </w:r>
      <w:r>
        <w:t xml:space="preserve"> </w:t>
      </w:r>
      <w:r>
        <w:tab/>
        <w:t xml:space="preserve">The Court Order is attached to this Petition </w:t>
      </w:r>
      <w:r w:rsidR="00630A50">
        <w:t>for the Commission’s convenience.</w:t>
      </w:r>
    </w:p>
  </w:footnote>
  <w:footnote w:id="6">
    <w:p w:rsidR="00253C4F" w:rsidRDefault="00253C4F">
      <w:pPr>
        <w:pStyle w:val="FootnoteText"/>
      </w:pPr>
      <w:r w:rsidRPr="00FF6C72">
        <w:rPr>
          <w:rStyle w:val="FootnoteReference"/>
          <w:u w:val="single"/>
        </w:rPr>
        <w:footnoteRef/>
      </w:r>
      <w:r w:rsidR="00FF6C72" w:rsidRPr="00FF6C72">
        <w:rPr>
          <w:vertAlign w:val="superscript"/>
        </w:rPr>
        <w:t>/</w:t>
      </w:r>
      <w:r>
        <w:t xml:space="preserve"> </w:t>
      </w:r>
      <w:r>
        <w:tab/>
        <w:t>Court Order, Appendix A at 4-5.</w:t>
      </w:r>
    </w:p>
  </w:footnote>
  <w:footnote w:id="7">
    <w:p w:rsidR="00253C4F" w:rsidRDefault="00253C4F">
      <w:pPr>
        <w:pStyle w:val="FootnoteText"/>
      </w:pPr>
      <w:r w:rsidRPr="00FF6C72">
        <w:rPr>
          <w:rStyle w:val="FootnoteReference"/>
          <w:u w:val="single"/>
        </w:rPr>
        <w:footnoteRef/>
      </w:r>
      <w:r w:rsidR="00FF6C72" w:rsidRPr="00FF6C72">
        <w:rPr>
          <w:vertAlign w:val="superscript"/>
        </w:rPr>
        <w:t>/</w:t>
      </w:r>
      <w:r>
        <w:t xml:space="preserve"> </w:t>
      </w:r>
      <w:r>
        <w:tab/>
        <w:t>Court Order at 3.</w:t>
      </w:r>
    </w:p>
  </w:footnote>
  <w:footnote w:id="8">
    <w:p w:rsidR="00253C4F" w:rsidRDefault="00253C4F">
      <w:pPr>
        <w:pStyle w:val="FootnoteText"/>
      </w:pPr>
      <w:r w:rsidRPr="00FF6C72">
        <w:rPr>
          <w:rStyle w:val="FootnoteReference"/>
          <w:u w:val="single"/>
        </w:rPr>
        <w:footnoteRef/>
      </w:r>
      <w:r w:rsidR="00FF6C72" w:rsidRPr="00FF6C72">
        <w:rPr>
          <w:u w:val="single"/>
          <w:vertAlign w:val="superscript"/>
        </w:rPr>
        <w:t>/</w:t>
      </w:r>
      <w:r>
        <w:tab/>
        <w:t xml:space="preserve">RCW § 80.28.010(1).  </w:t>
      </w:r>
    </w:p>
  </w:footnote>
  <w:footnote w:id="9">
    <w:p w:rsidR="00253C4F" w:rsidRDefault="00253C4F">
      <w:pPr>
        <w:pStyle w:val="FootnoteText"/>
      </w:pPr>
      <w:r w:rsidRPr="00FF6C72">
        <w:rPr>
          <w:rStyle w:val="FootnoteReference"/>
          <w:u w:val="single"/>
        </w:rPr>
        <w:footnoteRef/>
      </w:r>
      <w:r w:rsidR="00FF6C72" w:rsidRPr="00FF6C72">
        <w:rPr>
          <w:vertAlign w:val="superscript"/>
        </w:rPr>
        <w:t>/</w:t>
      </w:r>
      <w:r>
        <w:t xml:space="preserve"> </w:t>
      </w:r>
      <w:r>
        <w:tab/>
      </w:r>
      <w:r>
        <w:rPr>
          <w:u w:val="single"/>
        </w:rPr>
        <w:t>Bluefield Water Works &amp; Imp. Co. v. Pub. Serv. Comm’n</w:t>
      </w:r>
      <w:r w:rsidR="00D516DF">
        <w:t>, 262 U.S. 679, 693</w:t>
      </w:r>
      <w:r>
        <w:t xml:space="preserve"> (1923).</w:t>
      </w:r>
    </w:p>
  </w:footnote>
  <w:footnote w:id="10">
    <w:p w:rsidR="00253C4F" w:rsidRDefault="00253C4F" w:rsidP="00253C4F">
      <w:pPr>
        <w:pStyle w:val="FootnoteText"/>
        <w:ind w:left="720" w:hanging="720"/>
      </w:pPr>
      <w:r w:rsidRPr="00FF6C72">
        <w:rPr>
          <w:rStyle w:val="FootnoteReference"/>
          <w:u w:val="single"/>
        </w:rPr>
        <w:footnoteRef/>
      </w:r>
      <w:r w:rsidR="00FF6C72" w:rsidRPr="00FF6C72">
        <w:rPr>
          <w:vertAlign w:val="superscript"/>
        </w:rPr>
        <w:t>/</w:t>
      </w:r>
      <w:r>
        <w:t xml:space="preserve"> </w:t>
      </w:r>
      <w:r>
        <w:tab/>
        <w:t xml:space="preserve">Docket Nos. UE-121697/UG-121705 and UE-130137/UG-130138, Commission Compliance Letter, June 28, 2013.  </w:t>
      </w:r>
    </w:p>
  </w:footnote>
  <w:footnote w:id="11">
    <w:p w:rsidR="00253C4F" w:rsidRDefault="00253C4F">
      <w:pPr>
        <w:pStyle w:val="FootnoteText"/>
      </w:pPr>
      <w:r w:rsidRPr="00FF6C72">
        <w:rPr>
          <w:rStyle w:val="FootnoteReference"/>
          <w:u w:val="single"/>
        </w:rPr>
        <w:footnoteRef/>
      </w:r>
      <w:r w:rsidR="00FF6C72" w:rsidRPr="00FF6C72">
        <w:rPr>
          <w:vertAlign w:val="superscript"/>
        </w:rPr>
        <w:t>/</w:t>
      </w:r>
      <w:r>
        <w:t xml:space="preserve"> </w:t>
      </w:r>
      <w:r>
        <w:tab/>
        <w:t xml:space="preserve">ICNU Ex. </w:t>
      </w:r>
      <w:r w:rsidR="00D516DF">
        <w:t>No.__</w:t>
      </w:r>
      <w:r>
        <w:t xml:space="preserve">(MPG-3).  </w:t>
      </w:r>
    </w:p>
  </w:footnote>
  <w:footnote w:id="12">
    <w:p w:rsidR="00253C4F" w:rsidRDefault="00253C4F" w:rsidP="00DC7723">
      <w:pPr>
        <w:pStyle w:val="FootnoteText"/>
        <w:ind w:left="720" w:hanging="720"/>
      </w:pPr>
      <w:r w:rsidRPr="00FF6C72">
        <w:rPr>
          <w:rStyle w:val="FootnoteReference"/>
          <w:u w:val="single"/>
        </w:rPr>
        <w:footnoteRef/>
      </w:r>
      <w:r w:rsidR="00FF6C72" w:rsidRPr="00FF6C72">
        <w:rPr>
          <w:vertAlign w:val="superscript"/>
        </w:rPr>
        <w:t>/</w:t>
      </w:r>
      <w:r w:rsidRPr="00FF6C72">
        <w:rPr>
          <w:vertAlign w:val="superscript"/>
        </w:rPr>
        <w:t xml:space="preserve"> </w:t>
      </w:r>
      <w:r>
        <w:tab/>
        <w:t>Order 07, Separate Statement of Commissioner Jones ¶ 4.</w:t>
      </w:r>
      <w:r w:rsidR="00DC7723">
        <w:t xml:space="preserve">  Additionally, in a separate motion filed concurrently with this Petition, ICNU requests that the Commission modify Order 07 to find that sufficient evidence existed in the record to find that a reasonable ROE for PSE was 9.3%.</w:t>
      </w:r>
    </w:p>
  </w:footnote>
  <w:footnote w:id="13">
    <w:p w:rsidR="00253C4F" w:rsidRDefault="00253C4F">
      <w:pPr>
        <w:pStyle w:val="FootnoteText"/>
      </w:pPr>
      <w:r w:rsidRPr="00FF6C72">
        <w:rPr>
          <w:rStyle w:val="FootnoteReference"/>
          <w:u w:val="single"/>
        </w:rPr>
        <w:footnoteRef/>
      </w:r>
      <w:r w:rsidR="00FF6C72" w:rsidRPr="00FF6C72">
        <w:rPr>
          <w:vertAlign w:val="superscript"/>
        </w:rPr>
        <w:t>/</w:t>
      </w:r>
      <w:r>
        <w:t xml:space="preserve"> </w:t>
      </w:r>
      <w:r>
        <w:tab/>
        <w:t xml:space="preserve">RCW § 80.28.010(1).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7D"/>
    <w:rsid w:val="000015B0"/>
    <w:rsid w:val="00015413"/>
    <w:rsid w:val="00041527"/>
    <w:rsid w:val="000C231D"/>
    <w:rsid w:val="0014527D"/>
    <w:rsid w:val="001850BC"/>
    <w:rsid w:val="0018645C"/>
    <w:rsid w:val="001E1438"/>
    <w:rsid w:val="00233F9C"/>
    <w:rsid w:val="00253C4F"/>
    <w:rsid w:val="0029047B"/>
    <w:rsid w:val="003257D6"/>
    <w:rsid w:val="00385D77"/>
    <w:rsid w:val="003A02B8"/>
    <w:rsid w:val="003A1482"/>
    <w:rsid w:val="003C0368"/>
    <w:rsid w:val="003E75B5"/>
    <w:rsid w:val="00400717"/>
    <w:rsid w:val="00401BAA"/>
    <w:rsid w:val="004379DF"/>
    <w:rsid w:val="0048581C"/>
    <w:rsid w:val="004A373F"/>
    <w:rsid w:val="004E137E"/>
    <w:rsid w:val="004E4D9B"/>
    <w:rsid w:val="005205B8"/>
    <w:rsid w:val="00520F39"/>
    <w:rsid w:val="005269CB"/>
    <w:rsid w:val="0057443A"/>
    <w:rsid w:val="005D30A4"/>
    <w:rsid w:val="005E4BC1"/>
    <w:rsid w:val="005E5124"/>
    <w:rsid w:val="006208EB"/>
    <w:rsid w:val="00630A50"/>
    <w:rsid w:val="0066707D"/>
    <w:rsid w:val="006F150D"/>
    <w:rsid w:val="0070335C"/>
    <w:rsid w:val="00703E39"/>
    <w:rsid w:val="007E5F36"/>
    <w:rsid w:val="007E73A7"/>
    <w:rsid w:val="00981795"/>
    <w:rsid w:val="00B51675"/>
    <w:rsid w:val="00CC353B"/>
    <w:rsid w:val="00CF2FD8"/>
    <w:rsid w:val="00D431C6"/>
    <w:rsid w:val="00D516DF"/>
    <w:rsid w:val="00DC7723"/>
    <w:rsid w:val="00E058F4"/>
    <w:rsid w:val="00EC2743"/>
    <w:rsid w:val="00ED6BBA"/>
    <w:rsid w:val="00EE49EC"/>
    <w:rsid w:val="00EF17BB"/>
    <w:rsid w:val="00FA324A"/>
    <w:rsid w:val="00FB5DE9"/>
    <w:rsid w:val="00FD6B1B"/>
    <w:rsid w:val="00FF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07D"/>
    <w:rPr>
      <w:rFonts w:eastAsia="Times New Roman"/>
      <w:color w:val="000000"/>
      <w:szCs w:val="20"/>
    </w:rPr>
  </w:style>
  <w:style w:type="paragraph" w:styleId="Heading1">
    <w:name w:val="heading 1"/>
    <w:basedOn w:val="Normal"/>
    <w:next w:val="Normal"/>
    <w:link w:val="Heading1Char"/>
    <w:qFormat/>
    <w:rsid w:val="0066707D"/>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07D"/>
    <w:rPr>
      <w:rFonts w:eastAsia="Times New Roman"/>
      <w:b/>
      <w:snapToGrid w:val="0"/>
      <w:sz w:val="28"/>
      <w:szCs w:val="20"/>
    </w:rPr>
  </w:style>
  <w:style w:type="paragraph" w:styleId="Footer">
    <w:name w:val="footer"/>
    <w:basedOn w:val="Normal"/>
    <w:link w:val="FooterChar"/>
    <w:uiPriority w:val="99"/>
    <w:rsid w:val="0066707D"/>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66707D"/>
    <w:rPr>
      <w:rFonts w:eastAsia="Times New Roman"/>
      <w:snapToGrid w:val="0"/>
      <w:szCs w:val="20"/>
    </w:rPr>
  </w:style>
  <w:style w:type="paragraph" w:styleId="Header">
    <w:name w:val="header"/>
    <w:basedOn w:val="Normal"/>
    <w:link w:val="HeaderChar"/>
    <w:uiPriority w:val="99"/>
    <w:rsid w:val="0066707D"/>
    <w:pPr>
      <w:tabs>
        <w:tab w:val="center" w:pos="4320"/>
        <w:tab w:val="right" w:pos="8640"/>
      </w:tabs>
    </w:pPr>
    <w:rPr>
      <w:color w:val="auto"/>
      <w:sz w:val="20"/>
    </w:rPr>
  </w:style>
  <w:style w:type="character" w:customStyle="1" w:styleId="HeaderChar">
    <w:name w:val="Header Char"/>
    <w:basedOn w:val="DefaultParagraphFont"/>
    <w:link w:val="Header"/>
    <w:uiPriority w:val="99"/>
    <w:rsid w:val="0066707D"/>
    <w:rPr>
      <w:rFonts w:eastAsia="Times New Roman"/>
      <w:sz w:val="20"/>
      <w:szCs w:val="20"/>
    </w:rPr>
  </w:style>
  <w:style w:type="paragraph" w:customStyle="1" w:styleId="SingleSpacing">
    <w:name w:val="Single Spacing"/>
    <w:basedOn w:val="Normal"/>
    <w:rsid w:val="0066707D"/>
    <w:pPr>
      <w:spacing w:line="254" w:lineRule="exact"/>
    </w:pPr>
    <w:rPr>
      <w:color w:val="auto"/>
    </w:rPr>
  </w:style>
  <w:style w:type="paragraph" w:styleId="BalloonText">
    <w:name w:val="Balloon Text"/>
    <w:basedOn w:val="Normal"/>
    <w:link w:val="BalloonTextChar"/>
    <w:uiPriority w:val="99"/>
    <w:semiHidden/>
    <w:unhideWhenUsed/>
    <w:rsid w:val="007E73A7"/>
    <w:rPr>
      <w:rFonts w:ascii="Tahoma" w:hAnsi="Tahoma" w:cs="Tahoma"/>
      <w:sz w:val="16"/>
      <w:szCs w:val="16"/>
    </w:rPr>
  </w:style>
  <w:style w:type="character" w:customStyle="1" w:styleId="BalloonTextChar">
    <w:name w:val="Balloon Text Char"/>
    <w:basedOn w:val="DefaultParagraphFont"/>
    <w:link w:val="BalloonText"/>
    <w:uiPriority w:val="99"/>
    <w:semiHidden/>
    <w:rsid w:val="007E73A7"/>
    <w:rPr>
      <w:rFonts w:ascii="Tahoma" w:eastAsia="Times New Roman" w:hAnsi="Tahoma" w:cs="Tahoma"/>
      <w:color w:val="000000"/>
      <w:sz w:val="16"/>
      <w:szCs w:val="16"/>
    </w:rPr>
  </w:style>
  <w:style w:type="paragraph" w:styleId="FootnoteText">
    <w:name w:val="footnote text"/>
    <w:basedOn w:val="Normal"/>
    <w:link w:val="FootnoteTextChar"/>
    <w:uiPriority w:val="99"/>
    <w:semiHidden/>
    <w:unhideWhenUsed/>
    <w:rsid w:val="00400717"/>
    <w:rPr>
      <w:sz w:val="20"/>
    </w:rPr>
  </w:style>
  <w:style w:type="character" w:customStyle="1" w:styleId="FootnoteTextChar">
    <w:name w:val="Footnote Text Char"/>
    <w:basedOn w:val="DefaultParagraphFont"/>
    <w:link w:val="FootnoteText"/>
    <w:uiPriority w:val="99"/>
    <w:semiHidden/>
    <w:rsid w:val="00400717"/>
    <w:rPr>
      <w:rFonts w:eastAsia="Times New Roman"/>
      <w:color w:val="000000"/>
      <w:sz w:val="20"/>
      <w:szCs w:val="20"/>
    </w:rPr>
  </w:style>
  <w:style w:type="character" w:styleId="FootnoteReference">
    <w:name w:val="footnote reference"/>
    <w:basedOn w:val="DefaultParagraphFont"/>
    <w:uiPriority w:val="99"/>
    <w:semiHidden/>
    <w:unhideWhenUsed/>
    <w:rsid w:val="00400717"/>
    <w:rPr>
      <w:vertAlign w:val="superscript"/>
    </w:rPr>
  </w:style>
  <w:style w:type="paragraph" w:customStyle="1" w:styleId="WUTCParagraph">
    <w:name w:val="WUTC Paragraph"/>
    <w:basedOn w:val="Normal"/>
    <w:rsid w:val="00EC2743"/>
    <w:pPr>
      <w:numPr>
        <w:numId w:val="1"/>
      </w:numPr>
      <w:tabs>
        <w:tab w:val="left" w:pos="1440"/>
      </w:tabs>
      <w:spacing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07D"/>
    <w:rPr>
      <w:rFonts w:eastAsia="Times New Roman"/>
      <w:color w:val="000000"/>
      <w:szCs w:val="20"/>
    </w:rPr>
  </w:style>
  <w:style w:type="paragraph" w:styleId="Heading1">
    <w:name w:val="heading 1"/>
    <w:basedOn w:val="Normal"/>
    <w:next w:val="Normal"/>
    <w:link w:val="Heading1Char"/>
    <w:qFormat/>
    <w:rsid w:val="0066707D"/>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07D"/>
    <w:rPr>
      <w:rFonts w:eastAsia="Times New Roman"/>
      <w:b/>
      <w:snapToGrid w:val="0"/>
      <w:sz w:val="28"/>
      <w:szCs w:val="20"/>
    </w:rPr>
  </w:style>
  <w:style w:type="paragraph" w:styleId="Footer">
    <w:name w:val="footer"/>
    <w:basedOn w:val="Normal"/>
    <w:link w:val="FooterChar"/>
    <w:uiPriority w:val="99"/>
    <w:rsid w:val="0066707D"/>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66707D"/>
    <w:rPr>
      <w:rFonts w:eastAsia="Times New Roman"/>
      <w:snapToGrid w:val="0"/>
      <w:szCs w:val="20"/>
    </w:rPr>
  </w:style>
  <w:style w:type="paragraph" w:styleId="Header">
    <w:name w:val="header"/>
    <w:basedOn w:val="Normal"/>
    <w:link w:val="HeaderChar"/>
    <w:uiPriority w:val="99"/>
    <w:rsid w:val="0066707D"/>
    <w:pPr>
      <w:tabs>
        <w:tab w:val="center" w:pos="4320"/>
        <w:tab w:val="right" w:pos="8640"/>
      </w:tabs>
    </w:pPr>
    <w:rPr>
      <w:color w:val="auto"/>
      <w:sz w:val="20"/>
    </w:rPr>
  </w:style>
  <w:style w:type="character" w:customStyle="1" w:styleId="HeaderChar">
    <w:name w:val="Header Char"/>
    <w:basedOn w:val="DefaultParagraphFont"/>
    <w:link w:val="Header"/>
    <w:uiPriority w:val="99"/>
    <w:rsid w:val="0066707D"/>
    <w:rPr>
      <w:rFonts w:eastAsia="Times New Roman"/>
      <w:sz w:val="20"/>
      <w:szCs w:val="20"/>
    </w:rPr>
  </w:style>
  <w:style w:type="paragraph" w:customStyle="1" w:styleId="SingleSpacing">
    <w:name w:val="Single Spacing"/>
    <w:basedOn w:val="Normal"/>
    <w:rsid w:val="0066707D"/>
    <w:pPr>
      <w:spacing w:line="254" w:lineRule="exact"/>
    </w:pPr>
    <w:rPr>
      <w:color w:val="auto"/>
    </w:rPr>
  </w:style>
  <w:style w:type="paragraph" w:styleId="BalloonText">
    <w:name w:val="Balloon Text"/>
    <w:basedOn w:val="Normal"/>
    <w:link w:val="BalloonTextChar"/>
    <w:uiPriority w:val="99"/>
    <w:semiHidden/>
    <w:unhideWhenUsed/>
    <w:rsid w:val="007E73A7"/>
    <w:rPr>
      <w:rFonts w:ascii="Tahoma" w:hAnsi="Tahoma" w:cs="Tahoma"/>
      <w:sz w:val="16"/>
      <w:szCs w:val="16"/>
    </w:rPr>
  </w:style>
  <w:style w:type="character" w:customStyle="1" w:styleId="BalloonTextChar">
    <w:name w:val="Balloon Text Char"/>
    <w:basedOn w:val="DefaultParagraphFont"/>
    <w:link w:val="BalloonText"/>
    <w:uiPriority w:val="99"/>
    <w:semiHidden/>
    <w:rsid w:val="007E73A7"/>
    <w:rPr>
      <w:rFonts w:ascii="Tahoma" w:eastAsia="Times New Roman" w:hAnsi="Tahoma" w:cs="Tahoma"/>
      <w:color w:val="000000"/>
      <w:sz w:val="16"/>
      <w:szCs w:val="16"/>
    </w:rPr>
  </w:style>
  <w:style w:type="paragraph" w:styleId="FootnoteText">
    <w:name w:val="footnote text"/>
    <w:basedOn w:val="Normal"/>
    <w:link w:val="FootnoteTextChar"/>
    <w:uiPriority w:val="99"/>
    <w:semiHidden/>
    <w:unhideWhenUsed/>
    <w:rsid w:val="00400717"/>
    <w:rPr>
      <w:sz w:val="20"/>
    </w:rPr>
  </w:style>
  <w:style w:type="character" w:customStyle="1" w:styleId="FootnoteTextChar">
    <w:name w:val="Footnote Text Char"/>
    <w:basedOn w:val="DefaultParagraphFont"/>
    <w:link w:val="FootnoteText"/>
    <w:uiPriority w:val="99"/>
    <w:semiHidden/>
    <w:rsid w:val="00400717"/>
    <w:rPr>
      <w:rFonts w:eastAsia="Times New Roman"/>
      <w:color w:val="000000"/>
      <w:sz w:val="20"/>
      <w:szCs w:val="20"/>
    </w:rPr>
  </w:style>
  <w:style w:type="character" w:styleId="FootnoteReference">
    <w:name w:val="footnote reference"/>
    <w:basedOn w:val="DefaultParagraphFont"/>
    <w:uiPriority w:val="99"/>
    <w:semiHidden/>
    <w:unhideWhenUsed/>
    <w:rsid w:val="00400717"/>
    <w:rPr>
      <w:vertAlign w:val="superscript"/>
    </w:rPr>
  </w:style>
  <w:style w:type="paragraph" w:customStyle="1" w:styleId="WUTCParagraph">
    <w:name w:val="WUTC Paragraph"/>
    <w:basedOn w:val="Normal"/>
    <w:rsid w:val="00EC2743"/>
    <w:pPr>
      <w:numPr>
        <w:numId w:val="1"/>
      </w:numPr>
      <w:tabs>
        <w:tab w:val="left" w:pos="1440"/>
      </w:tabs>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2014-07-30T07:00:00+00:00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D1238-BE88-454A-A3C8-8B2D968D8B04}"/>
</file>

<file path=customXml/itemProps2.xml><?xml version="1.0" encoding="utf-8"?>
<ds:datastoreItem xmlns:ds="http://schemas.openxmlformats.org/officeDocument/2006/customXml" ds:itemID="{FC6E598B-3C76-4BA4-BC61-02DD26565350}"/>
</file>

<file path=customXml/itemProps3.xml><?xml version="1.0" encoding="utf-8"?>
<ds:datastoreItem xmlns:ds="http://schemas.openxmlformats.org/officeDocument/2006/customXml" ds:itemID="{8A121AD7-AEE1-4002-AD8A-B2F63DC25EB2}"/>
</file>

<file path=customXml/itemProps4.xml><?xml version="1.0" encoding="utf-8"?>
<ds:datastoreItem xmlns:ds="http://schemas.openxmlformats.org/officeDocument/2006/customXml" ds:itemID="{EAC399B3-BBA6-48A9-9B62-4CD8E4A10EE9}"/>
</file>

<file path=customXml/itemProps5.xml><?xml version="1.0" encoding="utf-8"?>
<ds:datastoreItem xmlns:ds="http://schemas.openxmlformats.org/officeDocument/2006/customXml" ds:itemID="{7B0CA66B-9282-403D-8FEC-BCCD5679CEB9}"/>
</file>

<file path=docProps/app.xml><?xml version="1.0" encoding="utf-8"?>
<Properties xmlns="http://schemas.openxmlformats.org/officeDocument/2006/extended-properties" xmlns:vt="http://schemas.openxmlformats.org/officeDocument/2006/docPropsVTypes">
  <Template>Normal</Template>
  <TotalTime>651</TotalTime>
  <Pages>5</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Jesse O. Gorsuch</cp:lastModifiedBy>
  <cp:revision>15</cp:revision>
  <cp:lastPrinted>2014-07-29T20:24:00Z</cp:lastPrinted>
  <dcterms:created xsi:type="dcterms:W3CDTF">2014-07-23T21:46:00Z</dcterms:created>
  <dcterms:modified xsi:type="dcterms:W3CDTF">2014-07-30T20:02:00Z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