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E6F0BCE" w14:textId="77777777" w:rsidTr="00F45919">
        <w:tc>
          <w:tcPr>
            <w:tcW w:w="4788" w:type="dxa"/>
          </w:tcPr>
          <w:p w14:paraId="4766375A" w14:textId="77777777" w:rsidR="00F86C06" w:rsidRPr="00663BBB" w:rsidRDefault="00F86C06" w:rsidP="00EE7BE4">
            <w:pPr>
              <w:pStyle w:val="Header"/>
              <w:ind w:left="-108"/>
              <w:rPr>
                <w:rFonts w:ascii="Times New Roman" w:hAnsi="Times New Roman" w:cs="Times New Roman"/>
                <w:b/>
                <w:bCs/>
                <w:szCs w:val="18"/>
              </w:rPr>
            </w:pPr>
            <w:bookmarkStart w:id="0" w:name="_GoBack"/>
            <w:bookmarkEnd w:id="0"/>
            <w:r w:rsidRPr="00663BBB">
              <w:rPr>
                <w:rFonts w:ascii="Times New Roman" w:hAnsi="Times New Roman" w:cs="Times New Roman"/>
                <w:b/>
                <w:bCs/>
                <w:szCs w:val="18"/>
              </w:rPr>
              <w:t>Avista Corp.</w:t>
            </w:r>
          </w:p>
          <w:p w14:paraId="37665309" w14:textId="77777777" w:rsidR="00F86C06" w:rsidRPr="00663BBB" w:rsidRDefault="00F86C06" w:rsidP="00EE7BE4">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6B8C43DA" w14:textId="77777777" w:rsidR="00F86C06" w:rsidRPr="00663BBB" w:rsidRDefault="00344DC2" w:rsidP="00EE7BE4">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7F13FC40" w14:textId="77777777" w:rsidR="00F86C06" w:rsidRPr="00663BBB" w:rsidRDefault="00F86C06" w:rsidP="00EE7BE4">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CC11F68" w14:textId="77777777" w:rsidR="00F86C06" w:rsidRPr="00663BBB" w:rsidRDefault="00F86C06" w:rsidP="00EE7BE4">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57DEB1DF" w14:textId="77777777" w:rsidR="00F86C06" w:rsidRDefault="00F86C06" w:rsidP="00EE7BE4">
            <w:pPr>
              <w:pStyle w:val="Header"/>
              <w:rPr>
                <w:rFonts w:cs="Arial"/>
                <w:b/>
                <w:bCs/>
                <w:sz w:val="18"/>
                <w:szCs w:val="18"/>
              </w:rPr>
            </w:pPr>
          </w:p>
        </w:tc>
        <w:tc>
          <w:tcPr>
            <w:tcW w:w="4788" w:type="dxa"/>
          </w:tcPr>
          <w:p w14:paraId="155A90BB" w14:textId="77777777" w:rsidR="00F86C06" w:rsidRDefault="00F86C06" w:rsidP="00EE7BE4">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1524CEAE" w14:textId="77777777" w:rsidR="00F45919" w:rsidRDefault="00213C45" w:rsidP="00EE7BE4">
      <w:pPr>
        <w:pStyle w:val="NoSpacing"/>
        <w:jc w:val="both"/>
        <w:rPr>
          <w:rFonts w:ascii="Times New Roman" w:hAnsi="Times New Roman"/>
          <w:sz w:val="24"/>
          <w:szCs w:val="24"/>
        </w:rPr>
      </w:pPr>
      <w:r>
        <w:rPr>
          <w:rFonts w:ascii="Times New Roman" w:hAnsi="Times New Roman"/>
          <w:sz w:val="24"/>
          <w:szCs w:val="24"/>
        </w:rPr>
        <w:t>May</w:t>
      </w:r>
      <w:r w:rsidR="00100EB1">
        <w:rPr>
          <w:rFonts w:ascii="Times New Roman" w:hAnsi="Times New Roman"/>
          <w:sz w:val="24"/>
          <w:szCs w:val="24"/>
        </w:rPr>
        <w:t xml:space="preserve"> </w:t>
      </w:r>
      <w:r w:rsidR="00257F21">
        <w:rPr>
          <w:rFonts w:ascii="Times New Roman" w:hAnsi="Times New Roman"/>
          <w:sz w:val="24"/>
          <w:szCs w:val="24"/>
        </w:rPr>
        <w:t>1</w:t>
      </w:r>
      <w:r w:rsidR="00871EDC">
        <w:rPr>
          <w:rFonts w:ascii="Times New Roman" w:hAnsi="Times New Roman"/>
          <w:sz w:val="24"/>
          <w:szCs w:val="24"/>
        </w:rPr>
        <w:t>, 2017</w:t>
      </w:r>
    </w:p>
    <w:p w14:paraId="4019B1D1" w14:textId="77777777" w:rsidR="00FC1D02" w:rsidRPr="00C4686F" w:rsidRDefault="00FC1D02" w:rsidP="00EE7BE4">
      <w:pPr>
        <w:pStyle w:val="NoSpacing"/>
        <w:jc w:val="both"/>
        <w:rPr>
          <w:rFonts w:ascii="Times New Roman" w:hAnsi="Times New Roman"/>
          <w:sz w:val="24"/>
          <w:szCs w:val="24"/>
        </w:rPr>
      </w:pPr>
    </w:p>
    <w:p w14:paraId="34C77924" w14:textId="77777777" w:rsidR="00F45919" w:rsidRPr="00C4686F" w:rsidRDefault="00F45919" w:rsidP="00EE7BE4">
      <w:pPr>
        <w:jc w:val="both"/>
        <w:rPr>
          <w:rFonts w:ascii="Times New Roman" w:hAnsi="Times New Roman"/>
        </w:rPr>
      </w:pPr>
      <w:r>
        <w:rPr>
          <w:rFonts w:ascii="Times New Roman" w:hAnsi="Times New Roman"/>
        </w:rPr>
        <w:t>Steven V. King</w:t>
      </w:r>
    </w:p>
    <w:p w14:paraId="637F283A" w14:textId="77777777" w:rsidR="00F45919" w:rsidRPr="00C4686F" w:rsidRDefault="00F45919" w:rsidP="00EE7BE4">
      <w:pPr>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0372438" w14:textId="77777777" w:rsidR="00F45919" w:rsidRPr="00C4686F" w:rsidRDefault="00F45919" w:rsidP="00EE7BE4">
      <w:pPr>
        <w:jc w:val="both"/>
        <w:rPr>
          <w:rFonts w:ascii="Times New Roman" w:hAnsi="Times New Roman"/>
        </w:rPr>
      </w:pPr>
      <w:r w:rsidRPr="00C4686F">
        <w:rPr>
          <w:rFonts w:ascii="Times New Roman" w:hAnsi="Times New Roman"/>
        </w:rPr>
        <w:t>Washington Utilities &amp; Transportation Commission</w:t>
      </w:r>
    </w:p>
    <w:p w14:paraId="7E754870" w14:textId="77777777" w:rsidR="00F45919" w:rsidRPr="00C4686F" w:rsidRDefault="00F45919" w:rsidP="00EE7BE4">
      <w:pPr>
        <w:jc w:val="both"/>
        <w:rPr>
          <w:rFonts w:ascii="Times New Roman" w:hAnsi="Times New Roman"/>
        </w:rPr>
      </w:pPr>
      <w:r w:rsidRPr="00C4686F">
        <w:rPr>
          <w:rFonts w:ascii="Times New Roman" w:hAnsi="Times New Roman"/>
        </w:rPr>
        <w:t>1300 S. Evergreen Park Drive S. W.</w:t>
      </w:r>
    </w:p>
    <w:p w14:paraId="7468F78E" w14:textId="77777777" w:rsidR="00F45919" w:rsidRPr="00C4686F" w:rsidRDefault="00F45919" w:rsidP="00EE7BE4">
      <w:pPr>
        <w:jc w:val="both"/>
        <w:rPr>
          <w:rFonts w:ascii="Times New Roman" w:hAnsi="Times New Roman"/>
        </w:rPr>
      </w:pPr>
      <w:r w:rsidRPr="00C4686F">
        <w:rPr>
          <w:rFonts w:ascii="Times New Roman" w:hAnsi="Times New Roman"/>
        </w:rPr>
        <w:t>P.O. Box 47250</w:t>
      </w:r>
    </w:p>
    <w:p w14:paraId="79EE00FD" w14:textId="77777777" w:rsidR="00F45919" w:rsidRPr="004E6D17" w:rsidRDefault="00F45919" w:rsidP="00EE7BE4">
      <w:pPr>
        <w:jc w:val="both"/>
        <w:rPr>
          <w:rFonts w:ascii="Times New Roman" w:hAnsi="Times New Roman"/>
        </w:rPr>
      </w:pPr>
      <w:r w:rsidRPr="004E6D17">
        <w:rPr>
          <w:rFonts w:ascii="Times New Roman" w:hAnsi="Times New Roman"/>
        </w:rPr>
        <w:t>Olympia, Washington  98504-7250</w:t>
      </w:r>
    </w:p>
    <w:p w14:paraId="3AA8D43C" w14:textId="77777777" w:rsidR="00F45919" w:rsidRPr="004E6D17" w:rsidRDefault="00F45919" w:rsidP="00EE7BE4">
      <w:pPr>
        <w:pStyle w:val="NoSpacing"/>
        <w:jc w:val="both"/>
        <w:rPr>
          <w:rFonts w:ascii="Times New Roman" w:hAnsi="Times New Roman"/>
          <w:b/>
          <w:sz w:val="24"/>
          <w:szCs w:val="24"/>
          <w:u w:val="single"/>
        </w:rPr>
      </w:pPr>
    </w:p>
    <w:p w14:paraId="79E2D20B" w14:textId="77777777" w:rsidR="00F45919" w:rsidRPr="00F45919" w:rsidRDefault="00F45919" w:rsidP="00EE7BE4">
      <w:pPr>
        <w:pStyle w:val="NoSpacing"/>
        <w:ind w:left="720" w:hanging="720"/>
        <w:jc w:val="both"/>
        <w:rPr>
          <w:rFonts w:ascii="Times New Roman" w:hAnsi="Times New Roman"/>
          <w:sz w:val="24"/>
          <w:szCs w:val="24"/>
        </w:rPr>
      </w:pPr>
      <w:r w:rsidRPr="004E6D17">
        <w:rPr>
          <w:rFonts w:ascii="Times New Roman" w:hAnsi="Times New Roman"/>
          <w:sz w:val="24"/>
          <w:szCs w:val="24"/>
        </w:rPr>
        <w:t>Re:</w:t>
      </w:r>
      <w:r w:rsidRPr="004E6D17">
        <w:rPr>
          <w:rFonts w:ascii="Times New Roman" w:hAnsi="Times New Roman"/>
          <w:sz w:val="24"/>
          <w:szCs w:val="24"/>
        </w:rPr>
        <w:tab/>
      </w:r>
      <w:r w:rsidR="00D96E8B" w:rsidRPr="00F45919">
        <w:rPr>
          <w:rFonts w:ascii="Times New Roman" w:hAnsi="Times New Roman"/>
          <w:sz w:val="24"/>
          <w:szCs w:val="24"/>
        </w:rPr>
        <w:t xml:space="preserve">Docket </w:t>
      </w:r>
      <w:r w:rsidR="00D96E8B">
        <w:rPr>
          <w:rFonts w:ascii="Times New Roman" w:hAnsi="Times New Roman"/>
          <w:sz w:val="24"/>
          <w:szCs w:val="24"/>
        </w:rPr>
        <w:t xml:space="preserve">No. </w:t>
      </w:r>
      <w:r w:rsidR="00AE5EB4">
        <w:rPr>
          <w:rFonts w:ascii="Times New Roman" w:hAnsi="Times New Roman"/>
          <w:sz w:val="24"/>
          <w:szCs w:val="24"/>
        </w:rPr>
        <w:t>UE-160</w:t>
      </w:r>
      <w:r w:rsidR="006346F3">
        <w:rPr>
          <w:rFonts w:ascii="Times New Roman" w:hAnsi="Times New Roman"/>
          <w:sz w:val="24"/>
          <w:szCs w:val="24"/>
        </w:rPr>
        <w:t>082</w:t>
      </w:r>
      <w:r w:rsidR="00AE5EB4">
        <w:rPr>
          <w:rFonts w:ascii="Times New Roman" w:hAnsi="Times New Roman"/>
          <w:sz w:val="24"/>
          <w:szCs w:val="24"/>
        </w:rPr>
        <w:t xml:space="preserve"> </w:t>
      </w:r>
      <w:r w:rsidR="006346F3">
        <w:rPr>
          <w:rFonts w:ascii="Times New Roman" w:hAnsi="Times New Roman"/>
          <w:sz w:val="24"/>
          <w:szCs w:val="24"/>
        </w:rPr>
        <w:t>–</w:t>
      </w:r>
      <w:r w:rsidR="00D96E8B">
        <w:rPr>
          <w:rFonts w:ascii="Times New Roman" w:hAnsi="Times New Roman"/>
          <w:sz w:val="24"/>
          <w:szCs w:val="24"/>
        </w:rPr>
        <w:t xml:space="preserve"> </w:t>
      </w:r>
      <w:r w:rsidR="006346F3">
        <w:rPr>
          <w:rFonts w:ascii="Times New Roman" w:hAnsi="Times New Roman"/>
          <w:sz w:val="24"/>
          <w:szCs w:val="24"/>
        </w:rPr>
        <w:t>Avista Utilities Quarterly Report on Electric Vehicle Supply Equipment Pilot Program</w:t>
      </w:r>
    </w:p>
    <w:p w14:paraId="0DA0DE72" w14:textId="77777777" w:rsidR="00F45919" w:rsidRPr="00F45919" w:rsidRDefault="00F45919" w:rsidP="00EE7BE4">
      <w:pPr>
        <w:pStyle w:val="NoSpacing"/>
        <w:jc w:val="both"/>
        <w:rPr>
          <w:rFonts w:ascii="Times New Roman" w:hAnsi="Times New Roman"/>
          <w:sz w:val="24"/>
          <w:szCs w:val="24"/>
        </w:rPr>
      </w:pPr>
    </w:p>
    <w:p w14:paraId="6F8264FF" w14:textId="77777777" w:rsidR="00F45919" w:rsidRPr="004E6D17" w:rsidRDefault="00F45919" w:rsidP="00EE7BE4">
      <w:pPr>
        <w:pStyle w:val="NoSpacing"/>
        <w:spacing w:line="360" w:lineRule="auto"/>
        <w:contextualSpacing/>
        <w:jc w:val="both"/>
        <w:rPr>
          <w:rFonts w:ascii="Times New Roman" w:hAnsi="Times New Roman"/>
          <w:sz w:val="24"/>
          <w:szCs w:val="24"/>
        </w:rPr>
      </w:pPr>
      <w:r w:rsidRPr="004E6D17">
        <w:rPr>
          <w:rFonts w:ascii="Times New Roman" w:hAnsi="Times New Roman"/>
          <w:sz w:val="24"/>
          <w:szCs w:val="24"/>
        </w:rPr>
        <w:t xml:space="preserve">Dear Mr. </w:t>
      </w:r>
      <w:r>
        <w:rPr>
          <w:rFonts w:ascii="Times New Roman" w:hAnsi="Times New Roman"/>
          <w:sz w:val="24"/>
          <w:szCs w:val="24"/>
        </w:rPr>
        <w:t>King</w:t>
      </w:r>
      <w:r w:rsidRPr="004E6D17">
        <w:rPr>
          <w:rFonts w:ascii="Times New Roman" w:hAnsi="Times New Roman"/>
          <w:sz w:val="24"/>
          <w:szCs w:val="24"/>
        </w:rPr>
        <w:t>,</w:t>
      </w:r>
    </w:p>
    <w:p w14:paraId="78698391" w14:textId="77777777" w:rsidR="006346F3" w:rsidRDefault="006346F3" w:rsidP="00EE7BE4">
      <w:pPr>
        <w:pStyle w:val="NoSpacing"/>
        <w:spacing w:line="360" w:lineRule="auto"/>
        <w:ind w:firstLine="360"/>
        <w:jc w:val="both"/>
        <w:rPr>
          <w:rFonts w:ascii="Times New Roman" w:hAnsi="Times New Roman"/>
          <w:sz w:val="24"/>
          <w:szCs w:val="24"/>
        </w:rPr>
      </w:pPr>
      <w:r>
        <w:rPr>
          <w:rFonts w:ascii="Times New Roman" w:hAnsi="Times New Roman"/>
          <w:sz w:val="24"/>
          <w:szCs w:val="24"/>
        </w:rPr>
        <w:t xml:space="preserve">On April 28, 2016 the Commission issued Order 01 in Docket UE-160882 approving </w:t>
      </w:r>
      <w:r w:rsidR="00F45919" w:rsidRPr="00B725E5">
        <w:rPr>
          <w:rFonts w:ascii="Times New Roman" w:hAnsi="Times New Roman"/>
          <w:sz w:val="24"/>
          <w:szCs w:val="24"/>
        </w:rPr>
        <w:t>Avista Corporation</w:t>
      </w:r>
      <w:r>
        <w:rPr>
          <w:rFonts w:ascii="Times New Roman" w:hAnsi="Times New Roman"/>
          <w:sz w:val="24"/>
          <w:szCs w:val="24"/>
        </w:rPr>
        <w:t>’s</w:t>
      </w:r>
      <w:r w:rsidR="00E83CFB" w:rsidRPr="00B725E5">
        <w:rPr>
          <w:rFonts w:ascii="Times New Roman" w:hAnsi="Times New Roman"/>
          <w:sz w:val="24"/>
          <w:szCs w:val="24"/>
        </w:rPr>
        <w:t>,</w:t>
      </w:r>
      <w:r w:rsidR="00F45919" w:rsidRPr="00B725E5">
        <w:rPr>
          <w:rFonts w:ascii="Times New Roman" w:hAnsi="Times New Roman"/>
          <w:sz w:val="24"/>
          <w:szCs w:val="24"/>
        </w:rPr>
        <w:t xml:space="preserve"> dba Avista Utilities (Avista or Company</w:t>
      </w:r>
      <w:r>
        <w:rPr>
          <w:rFonts w:ascii="Times New Roman" w:hAnsi="Times New Roman"/>
          <w:sz w:val="24"/>
          <w:szCs w:val="24"/>
        </w:rPr>
        <w:t>)</w:t>
      </w:r>
      <w:r w:rsidR="00257F21" w:rsidRPr="00B725E5">
        <w:rPr>
          <w:rFonts w:ascii="Times New Roman" w:hAnsi="Times New Roman"/>
          <w:sz w:val="24"/>
          <w:szCs w:val="24"/>
        </w:rPr>
        <w:t xml:space="preserve"> </w:t>
      </w:r>
      <w:r>
        <w:rPr>
          <w:rFonts w:ascii="Times New Roman" w:hAnsi="Times New Roman"/>
          <w:sz w:val="24"/>
          <w:szCs w:val="24"/>
        </w:rPr>
        <w:t xml:space="preserve">tariff Schedule 77 for its Electric Vehicle Supply Equipment (EVSE) </w:t>
      </w:r>
      <w:r w:rsidR="00257F21" w:rsidRPr="00B725E5">
        <w:rPr>
          <w:rFonts w:ascii="Times New Roman" w:hAnsi="Times New Roman"/>
          <w:sz w:val="24"/>
          <w:szCs w:val="24"/>
        </w:rPr>
        <w:t>Pilot</w:t>
      </w:r>
      <w:r>
        <w:rPr>
          <w:rFonts w:ascii="Times New Roman" w:hAnsi="Times New Roman"/>
          <w:sz w:val="24"/>
          <w:szCs w:val="24"/>
        </w:rPr>
        <w:t xml:space="preserve"> Program</w:t>
      </w:r>
      <w:r w:rsidR="006E7979">
        <w:rPr>
          <w:rFonts w:ascii="Times New Roman" w:hAnsi="Times New Roman"/>
          <w:sz w:val="24"/>
          <w:szCs w:val="24"/>
        </w:rPr>
        <w:t xml:space="preserve"> (prog</w:t>
      </w:r>
      <w:r w:rsidR="00420A0D">
        <w:rPr>
          <w:rFonts w:ascii="Times New Roman" w:hAnsi="Times New Roman"/>
          <w:sz w:val="24"/>
          <w:szCs w:val="24"/>
        </w:rPr>
        <w:t>r</w:t>
      </w:r>
      <w:r w:rsidR="006E7979">
        <w:rPr>
          <w:rFonts w:ascii="Times New Roman" w:hAnsi="Times New Roman"/>
          <w:sz w:val="24"/>
          <w:szCs w:val="24"/>
        </w:rPr>
        <w:t>am)</w:t>
      </w:r>
      <w:r>
        <w:rPr>
          <w:rFonts w:ascii="Times New Roman" w:hAnsi="Times New Roman"/>
          <w:sz w:val="24"/>
          <w:szCs w:val="24"/>
        </w:rPr>
        <w:t>.  Within the Order the Commission required Avista to submit quarterly reports on the status of the program beginning on August 1, 2016 and ending on August 1, 2018.  The quarterly reports must include the following:</w:t>
      </w:r>
    </w:p>
    <w:p w14:paraId="02E9587A" w14:textId="77777777" w:rsidR="006346F3" w:rsidRPr="006346F3" w:rsidRDefault="006346F3" w:rsidP="00EE7BE4">
      <w:pPr>
        <w:autoSpaceDE w:val="0"/>
        <w:autoSpaceDN w:val="0"/>
        <w:adjustRightInd w:val="0"/>
        <w:rPr>
          <w:rFonts w:ascii="Times New Roman" w:hAnsi="Times New Roman" w:cs="Times New Roman"/>
          <w:color w:val="000000"/>
        </w:rPr>
      </w:pPr>
    </w:p>
    <w:p w14:paraId="4CF3EB1B" w14:textId="77777777" w:rsidR="006346F3" w:rsidRPr="006346F3" w:rsidRDefault="006346F3" w:rsidP="00EE7BE4">
      <w:pPr>
        <w:pStyle w:val="ListParagraph"/>
        <w:numPr>
          <w:ilvl w:val="0"/>
          <w:numId w:val="26"/>
        </w:numPr>
        <w:autoSpaceDE w:val="0"/>
        <w:autoSpaceDN w:val="0"/>
        <w:adjustRightInd w:val="0"/>
        <w:spacing w:line="360" w:lineRule="auto"/>
        <w:contextualSpacing w:val="0"/>
        <w:jc w:val="both"/>
        <w:rPr>
          <w:color w:val="000000"/>
          <w:szCs w:val="23"/>
        </w:rPr>
      </w:pPr>
      <w:r w:rsidRPr="006346F3">
        <w:rPr>
          <w:color w:val="000000"/>
          <w:szCs w:val="23"/>
        </w:rPr>
        <w:t xml:space="preserve">For DC Fast Charging stations, Avista shall report the locations and utilization of stations, review and revise the DC fast charging rate, and assess the amount of overall fixed and variable costs recovered through user payments and report its findings to the Commission quarterly, beginning August 1, 2016. </w:t>
      </w:r>
    </w:p>
    <w:p w14:paraId="448F39C9" w14:textId="77777777" w:rsidR="006346F3" w:rsidRPr="006346F3" w:rsidRDefault="006346F3" w:rsidP="00EE7BE4">
      <w:pPr>
        <w:autoSpaceDE w:val="0"/>
        <w:autoSpaceDN w:val="0"/>
        <w:adjustRightInd w:val="0"/>
        <w:spacing w:line="360" w:lineRule="auto"/>
        <w:jc w:val="both"/>
        <w:rPr>
          <w:rFonts w:ascii="Times New Roman" w:hAnsi="Times New Roman" w:cs="Times New Roman"/>
          <w:color w:val="000000"/>
          <w:sz w:val="28"/>
        </w:rPr>
      </w:pPr>
    </w:p>
    <w:p w14:paraId="45A8AFBB" w14:textId="77777777" w:rsidR="006346F3" w:rsidRPr="006346F3" w:rsidRDefault="006346F3" w:rsidP="00EE7BE4">
      <w:pPr>
        <w:pStyle w:val="ListParagraph"/>
        <w:numPr>
          <w:ilvl w:val="0"/>
          <w:numId w:val="26"/>
        </w:numPr>
        <w:autoSpaceDE w:val="0"/>
        <w:autoSpaceDN w:val="0"/>
        <w:adjustRightInd w:val="0"/>
        <w:spacing w:line="360" w:lineRule="auto"/>
        <w:contextualSpacing w:val="0"/>
        <w:jc w:val="both"/>
        <w:rPr>
          <w:color w:val="000000"/>
          <w:szCs w:val="23"/>
        </w:rPr>
      </w:pPr>
      <w:r w:rsidRPr="006346F3">
        <w:rPr>
          <w:color w:val="000000"/>
          <w:szCs w:val="23"/>
        </w:rPr>
        <w:t xml:space="preserve">For all other services offered under the Electric Vehicle Supply Equipment Pilot Program, Avista shall report participation levels, expenditures, and revenues for each service offered for the duration of the program. We expect the Company to collect and report additional data necessary to provide enough information to </w:t>
      </w:r>
      <w:r w:rsidR="00213C45">
        <w:rPr>
          <w:color w:val="000000"/>
          <w:szCs w:val="23"/>
        </w:rPr>
        <w:t>accurately evaluate</w:t>
      </w:r>
      <w:r w:rsidRPr="006346F3">
        <w:rPr>
          <w:color w:val="000000"/>
          <w:szCs w:val="23"/>
        </w:rPr>
        <w:t xml:space="preserve"> the program’s success by August 1, 2018. </w:t>
      </w:r>
    </w:p>
    <w:p w14:paraId="736A7F5C" w14:textId="77777777" w:rsidR="006346F3" w:rsidRDefault="006346F3" w:rsidP="00EE7BE4">
      <w:pPr>
        <w:autoSpaceDE w:val="0"/>
        <w:autoSpaceDN w:val="0"/>
        <w:adjustRightInd w:val="0"/>
        <w:rPr>
          <w:rFonts w:ascii="Times New Roman" w:eastAsia="Calibri" w:hAnsi="Times New Roman" w:cs="Times New Roman"/>
        </w:rPr>
      </w:pPr>
    </w:p>
    <w:p w14:paraId="57A4D1E0" w14:textId="77777777" w:rsidR="008A1F79" w:rsidRDefault="006346F3" w:rsidP="00EE7BE4">
      <w:pPr>
        <w:autoSpaceDE w:val="0"/>
        <w:autoSpaceDN w:val="0"/>
        <w:adjustRightInd w:val="0"/>
        <w:spacing w:line="360" w:lineRule="auto"/>
        <w:jc w:val="both"/>
        <w:rPr>
          <w:rFonts w:ascii="Times New Roman" w:eastAsia="Calibri" w:hAnsi="Times New Roman" w:cs="Times New Roman"/>
        </w:rPr>
      </w:pPr>
      <w:r w:rsidRPr="006346F3">
        <w:rPr>
          <w:rFonts w:ascii="Times New Roman" w:eastAsia="Calibri" w:hAnsi="Times New Roman" w:cs="Times New Roman"/>
        </w:rPr>
        <w:t xml:space="preserve">As described in Order 01 the effective date of tariff Schedule 77 was May 2, 2016.  </w:t>
      </w:r>
      <w:r w:rsidR="00100EB1">
        <w:rPr>
          <w:rFonts w:ascii="Times New Roman" w:eastAsia="Calibri" w:hAnsi="Times New Roman" w:cs="Times New Roman"/>
        </w:rPr>
        <w:t xml:space="preserve">The term of the program began with the first residential EVSE installation </w:t>
      </w:r>
      <w:r w:rsidRPr="006346F3">
        <w:rPr>
          <w:rFonts w:ascii="Times New Roman" w:eastAsia="Calibri" w:hAnsi="Times New Roman" w:cs="Times New Roman"/>
        </w:rPr>
        <w:t xml:space="preserve">on July 20, 2016.  </w:t>
      </w:r>
      <w:r w:rsidR="008A1F79">
        <w:rPr>
          <w:rFonts w:ascii="Times New Roman" w:eastAsia="Calibri" w:hAnsi="Times New Roman" w:cs="Times New Roman"/>
        </w:rPr>
        <w:t>The following are updates on each element of the program.</w:t>
      </w:r>
    </w:p>
    <w:p w14:paraId="6914561D" w14:textId="77777777" w:rsidR="00D03146" w:rsidRDefault="00D03146" w:rsidP="00EE7BE4">
      <w:pPr>
        <w:autoSpaceDE w:val="0"/>
        <w:autoSpaceDN w:val="0"/>
        <w:adjustRightInd w:val="0"/>
        <w:spacing w:line="360" w:lineRule="auto"/>
        <w:jc w:val="both"/>
        <w:rPr>
          <w:rFonts w:ascii="Times New Roman" w:eastAsia="Calibri" w:hAnsi="Times New Roman" w:cs="Times New Roman"/>
        </w:rPr>
      </w:pPr>
    </w:p>
    <w:p w14:paraId="4C388B46" w14:textId="77777777" w:rsidR="00D420B2" w:rsidRPr="00D420B2" w:rsidRDefault="00D420B2" w:rsidP="00D420B2">
      <w:pPr>
        <w:spacing w:line="360" w:lineRule="auto"/>
        <w:jc w:val="both"/>
        <w:rPr>
          <w:rFonts w:ascii="Times New Roman" w:eastAsia="Calibri" w:hAnsi="Times New Roman" w:cs="Times New Roman"/>
        </w:rPr>
      </w:pPr>
      <w:r>
        <w:rPr>
          <w:rFonts w:ascii="Times New Roman" w:eastAsia="Calibri" w:hAnsi="Times New Roman" w:cs="Times New Roman"/>
        </w:rPr>
        <w:t>Customer participation and feedback on the program remains positive.  Many customers are engaged</w:t>
      </w:r>
      <w:r w:rsidR="006E7979">
        <w:rPr>
          <w:rFonts w:ascii="Times New Roman" w:eastAsia="Calibri" w:hAnsi="Times New Roman" w:cs="Times New Roman"/>
        </w:rPr>
        <w:t xml:space="preserve"> and continue to offer</w:t>
      </w:r>
      <w:r>
        <w:rPr>
          <w:rFonts w:ascii="Times New Roman" w:eastAsia="Calibri" w:hAnsi="Times New Roman" w:cs="Times New Roman"/>
        </w:rPr>
        <w:t xml:space="preserve"> </w:t>
      </w:r>
      <w:r w:rsidR="00997DBD">
        <w:rPr>
          <w:rFonts w:ascii="Times New Roman" w:eastAsia="Calibri" w:hAnsi="Times New Roman" w:cs="Times New Roman"/>
        </w:rPr>
        <w:t xml:space="preserve">useful </w:t>
      </w:r>
      <w:r>
        <w:rPr>
          <w:rFonts w:ascii="Times New Roman" w:eastAsia="Calibri" w:hAnsi="Times New Roman" w:cs="Times New Roman"/>
        </w:rPr>
        <w:t>feedback and suggestions</w:t>
      </w:r>
      <w:r w:rsidR="006E7979">
        <w:rPr>
          <w:rFonts w:ascii="Times New Roman" w:eastAsia="Calibri" w:hAnsi="Times New Roman" w:cs="Times New Roman"/>
        </w:rPr>
        <w:t xml:space="preserve"> to improve the program</w:t>
      </w:r>
      <w:r>
        <w:rPr>
          <w:rFonts w:ascii="Times New Roman" w:eastAsia="Calibri" w:hAnsi="Times New Roman" w:cs="Times New Roman"/>
        </w:rPr>
        <w:t>.  As of April 21, 2017, the number of applications and installations for the various EVSE categories are as follows:</w:t>
      </w:r>
    </w:p>
    <w:p w14:paraId="3043D61F" w14:textId="77777777" w:rsidR="00D420B2" w:rsidRDefault="00D420B2" w:rsidP="00D420B2">
      <w:pPr>
        <w:spacing w:line="360" w:lineRule="auto"/>
        <w:jc w:val="both"/>
        <w:rPr>
          <w:rFonts w:ascii="Times New Roman" w:eastAsia="Calibri" w:hAnsi="Times New Roman" w:cs="Times New Roman"/>
          <w:b/>
          <w:u w:val="single"/>
        </w:rPr>
      </w:pPr>
    </w:p>
    <w:p w14:paraId="357A26FF" w14:textId="77777777" w:rsidR="00D420B2" w:rsidRPr="00F93984" w:rsidRDefault="006E7979" w:rsidP="00D420B2">
      <w:pPr>
        <w:spacing w:line="360" w:lineRule="auto"/>
        <w:jc w:val="both"/>
        <w:rPr>
          <w:rFonts w:ascii="Times New Roman" w:eastAsia="Calibri" w:hAnsi="Times New Roman" w:cs="Times New Roman"/>
          <w:b/>
          <w:u w:val="single"/>
        </w:rPr>
      </w:pPr>
      <w:r>
        <w:rPr>
          <w:rFonts w:ascii="Times New Roman" w:eastAsia="Calibri" w:hAnsi="Times New Roman" w:cs="Times New Roman"/>
          <w:b/>
          <w:u w:val="single"/>
        </w:rPr>
        <w:t>Table No. 1</w:t>
      </w:r>
    </w:p>
    <w:tbl>
      <w:tblPr>
        <w:tblW w:w="8810" w:type="dxa"/>
        <w:tblLayout w:type="fixed"/>
        <w:tblLook w:val="04A0" w:firstRow="1" w:lastRow="0" w:firstColumn="1" w:lastColumn="0" w:noHBand="0" w:noVBand="1"/>
      </w:tblPr>
      <w:tblGrid>
        <w:gridCol w:w="2510"/>
        <w:gridCol w:w="1440"/>
        <w:gridCol w:w="1260"/>
        <w:gridCol w:w="1170"/>
        <w:gridCol w:w="1260"/>
        <w:gridCol w:w="1170"/>
      </w:tblGrid>
      <w:tr w:rsidR="00D420B2" w:rsidRPr="00203E08" w14:paraId="583A84AC" w14:textId="77777777" w:rsidTr="00997DBD">
        <w:trPr>
          <w:trHeight w:val="300"/>
        </w:trPr>
        <w:tc>
          <w:tcPr>
            <w:tcW w:w="2510" w:type="dxa"/>
            <w:tcBorders>
              <w:top w:val="single" w:sz="8" w:space="0" w:color="auto"/>
              <w:left w:val="single" w:sz="8" w:space="0" w:color="auto"/>
              <w:bottom w:val="nil"/>
              <w:right w:val="nil"/>
            </w:tcBorders>
            <w:shd w:val="clear" w:color="auto" w:fill="auto"/>
            <w:noWrap/>
            <w:vAlign w:val="bottom"/>
            <w:hideMark/>
          </w:tcPr>
          <w:p w14:paraId="2A36E645"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 </w:t>
            </w:r>
          </w:p>
        </w:tc>
        <w:tc>
          <w:tcPr>
            <w:tcW w:w="1440" w:type="dxa"/>
            <w:vMerge w:val="restart"/>
            <w:tcBorders>
              <w:top w:val="single" w:sz="8" w:space="0" w:color="auto"/>
              <w:left w:val="single" w:sz="8" w:space="0" w:color="auto"/>
              <w:bottom w:val="single" w:sz="4" w:space="0" w:color="auto"/>
              <w:right w:val="single" w:sz="8" w:space="0" w:color="auto"/>
            </w:tcBorders>
            <w:shd w:val="clear" w:color="auto" w:fill="auto"/>
            <w:vAlign w:val="bottom"/>
            <w:hideMark/>
          </w:tcPr>
          <w:p w14:paraId="172CB28C" w14:textId="77777777" w:rsidR="00D420B2" w:rsidRPr="00997DBD" w:rsidRDefault="00D420B2" w:rsidP="0028383E">
            <w:pPr>
              <w:jc w:val="cente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2-Year Goal of Port Installations</w:t>
            </w:r>
          </w:p>
        </w:tc>
        <w:tc>
          <w:tcPr>
            <w:tcW w:w="243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28CA514B" w14:textId="77777777" w:rsidR="00D420B2" w:rsidRPr="00997DBD" w:rsidRDefault="00D420B2" w:rsidP="0028383E">
            <w:pPr>
              <w:jc w:val="cente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Applicants</w:t>
            </w:r>
          </w:p>
        </w:tc>
        <w:tc>
          <w:tcPr>
            <w:tcW w:w="2430" w:type="dxa"/>
            <w:gridSpan w:val="2"/>
            <w:tcBorders>
              <w:top w:val="single" w:sz="8" w:space="0" w:color="auto"/>
              <w:left w:val="nil"/>
              <w:bottom w:val="single" w:sz="4" w:space="0" w:color="auto"/>
              <w:right w:val="single" w:sz="8" w:space="0" w:color="000000"/>
            </w:tcBorders>
            <w:shd w:val="clear" w:color="auto" w:fill="auto"/>
            <w:vAlign w:val="bottom"/>
          </w:tcPr>
          <w:p w14:paraId="749D7911" w14:textId="77777777" w:rsidR="00D420B2" w:rsidRPr="00997DBD" w:rsidRDefault="00D420B2" w:rsidP="0028383E">
            <w:pPr>
              <w:jc w:val="cente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Installations</w:t>
            </w:r>
          </w:p>
        </w:tc>
      </w:tr>
      <w:tr w:rsidR="00D420B2" w:rsidRPr="00203E08" w14:paraId="3FF03222" w14:textId="77777777" w:rsidTr="00997DBD">
        <w:trPr>
          <w:trHeight w:val="660"/>
        </w:trPr>
        <w:tc>
          <w:tcPr>
            <w:tcW w:w="2510" w:type="dxa"/>
            <w:tcBorders>
              <w:top w:val="nil"/>
              <w:left w:val="single" w:sz="8" w:space="0" w:color="auto"/>
              <w:bottom w:val="nil"/>
              <w:right w:val="nil"/>
            </w:tcBorders>
            <w:shd w:val="clear" w:color="auto" w:fill="auto"/>
            <w:noWrap/>
            <w:vAlign w:val="bottom"/>
            <w:hideMark/>
          </w:tcPr>
          <w:p w14:paraId="5800B24B"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 </w:t>
            </w:r>
          </w:p>
        </w:tc>
        <w:tc>
          <w:tcPr>
            <w:tcW w:w="1440" w:type="dxa"/>
            <w:vMerge/>
            <w:tcBorders>
              <w:top w:val="single" w:sz="8" w:space="0" w:color="auto"/>
              <w:left w:val="single" w:sz="8" w:space="0" w:color="auto"/>
              <w:bottom w:val="single" w:sz="4" w:space="0" w:color="auto"/>
              <w:right w:val="single" w:sz="8" w:space="0" w:color="auto"/>
            </w:tcBorders>
            <w:vAlign w:val="center"/>
            <w:hideMark/>
          </w:tcPr>
          <w:p w14:paraId="2DC4D218" w14:textId="77777777" w:rsidR="00D420B2" w:rsidRPr="00997DBD" w:rsidRDefault="00D420B2" w:rsidP="0028383E">
            <w:pPr>
              <w:rPr>
                <w:rFonts w:ascii="Times New Roman" w:eastAsia="Times New Roman" w:hAnsi="Times New Roman" w:cs="Times New Roman"/>
                <w:b/>
                <w:bCs/>
                <w:color w:val="000000"/>
                <w:sz w:val="22"/>
                <w:szCs w:val="22"/>
              </w:rPr>
            </w:pPr>
          </w:p>
        </w:tc>
        <w:tc>
          <w:tcPr>
            <w:tcW w:w="1260" w:type="dxa"/>
            <w:tcBorders>
              <w:top w:val="nil"/>
              <w:left w:val="nil"/>
              <w:bottom w:val="single" w:sz="4" w:space="0" w:color="auto"/>
              <w:right w:val="single" w:sz="4" w:space="0" w:color="auto"/>
            </w:tcBorders>
            <w:shd w:val="clear" w:color="auto" w:fill="auto"/>
            <w:noWrap/>
            <w:vAlign w:val="bottom"/>
            <w:hideMark/>
          </w:tcPr>
          <w:p w14:paraId="72BCBD4E"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Applicants</w:t>
            </w:r>
          </w:p>
        </w:tc>
        <w:tc>
          <w:tcPr>
            <w:tcW w:w="1170" w:type="dxa"/>
            <w:tcBorders>
              <w:top w:val="nil"/>
              <w:left w:val="nil"/>
              <w:bottom w:val="single" w:sz="4" w:space="0" w:color="auto"/>
              <w:right w:val="single" w:sz="4" w:space="0" w:color="auto"/>
            </w:tcBorders>
            <w:shd w:val="clear" w:color="auto" w:fill="auto"/>
            <w:noWrap/>
            <w:vAlign w:val="bottom"/>
            <w:hideMark/>
          </w:tcPr>
          <w:p w14:paraId="4DB74A54"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Approved</w:t>
            </w:r>
          </w:p>
        </w:tc>
        <w:tc>
          <w:tcPr>
            <w:tcW w:w="1260" w:type="dxa"/>
            <w:tcBorders>
              <w:top w:val="nil"/>
              <w:left w:val="nil"/>
              <w:bottom w:val="single" w:sz="4" w:space="0" w:color="auto"/>
              <w:right w:val="single" w:sz="4" w:space="0" w:color="auto"/>
            </w:tcBorders>
            <w:shd w:val="clear" w:color="auto" w:fill="auto"/>
            <w:noWrap/>
            <w:vAlign w:val="bottom"/>
            <w:hideMark/>
          </w:tcPr>
          <w:p w14:paraId="0BAB4F10" w14:textId="77777777" w:rsidR="00D420B2" w:rsidRPr="00997DBD" w:rsidRDefault="00D420B2" w:rsidP="0028383E">
            <w:pPr>
              <w:jc w:val="cente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Scheduled</w:t>
            </w:r>
          </w:p>
        </w:tc>
        <w:tc>
          <w:tcPr>
            <w:tcW w:w="1170" w:type="dxa"/>
            <w:tcBorders>
              <w:top w:val="nil"/>
              <w:left w:val="nil"/>
              <w:bottom w:val="single" w:sz="4" w:space="0" w:color="auto"/>
              <w:right w:val="single" w:sz="8" w:space="0" w:color="auto"/>
            </w:tcBorders>
            <w:shd w:val="clear" w:color="auto" w:fill="auto"/>
            <w:noWrap/>
            <w:vAlign w:val="bottom"/>
            <w:hideMark/>
          </w:tcPr>
          <w:p w14:paraId="4604C46C" w14:textId="77777777" w:rsidR="00D420B2" w:rsidRPr="00997DBD" w:rsidRDefault="00D420B2" w:rsidP="0028383E">
            <w:pPr>
              <w:jc w:val="cente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 Ports Installed</w:t>
            </w:r>
          </w:p>
        </w:tc>
      </w:tr>
      <w:tr w:rsidR="00D420B2" w:rsidRPr="00203E08" w14:paraId="0AFA95D7" w14:textId="77777777" w:rsidTr="00997DBD">
        <w:trPr>
          <w:trHeight w:val="300"/>
        </w:trPr>
        <w:tc>
          <w:tcPr>
            <w:tcW w:w="2510" w:type="dxa"/>
            <w:tcBorders>
              <w:top w:val="single" w:sz="4" w:space="0" w:color="auto"/>
              <w:left w:val="single" w:sz="8" w:space="0" w:color="auto"/>
              <w:bottom w:val="single" w:sz="4" w:space="0" w:color="auto"/>
              <w:right w:val="nil"/>
            </w:tcBorders>
            <w:shd w:val="clear" w:color="auto" w:fill="auto"/>
            <w:noWrap/>
            <w:vAlign w:val="bottom"/>
            <w:hideMark/>
          </w:tcPr>
          <w:p w14:paraId="7CC02674" w14:textId="77777777" w:rsidR="00D420B2" w:rsidRPr="00997DBD" w:rsidRDefault="00D420B2" w:rsidP="0028383E">
            <w:pPr>
              <w:rPr>
                <w:rFonts w:ascii="Times New Roman" w:eastAsia="Times New Roman" w:hAnsi="Times New Roman" w:cs="Times New Roman"/>
                <w:b/>
                <w:bCs/>
                <w:color w:val="000000"/>
                <w:sz w:val="22"/>
                <w:szCs w:val="22"/>
                <w:vertAlign w:val="superscript"/>
              </w:rPr>
            </w:pPr>
            <w:r w:rsidRPr="00997DBD">
              <w:rPr>
                <w:rFonts w:ascii="Times New Roman" w:eastAsia="Times New Roman" w:hAnsi="Times New Roman" w:cs="Times New Roman"/>
                <w:b/>
                <w:bCs/>
                <w:color w:val="000000"/>
                <w:sz w:val="22"/>
                <w:szCs w:val="22"/>
              </w:rPr>
              <w:t>Residential SFH</w:t>
            </w:r>
            <w:r w:rsidRPr="00997DBD">
              <w:rPr>
                <w:rStyle w:val="FootnoteReference"/>
                <w:rFonts w:ascii="Times New Roman" w:eastAsia="Times New Roman" w:hAnsi="Times New Roman" w:cs="Times New Roman"/>
                <w:b/>
                <w:bCs/>
                <w:color w:val="000000"/>
                <w:sz w:val="22"/>
                <w:szCs w:val="22"/>
              </w:rPr>
              <w:footnoteReference w:id="1"/>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29023C1"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eastAsia="Times New Roman" w:hAnsi="Times New Roman" w:cs="Times New Roman"/>
                <w:color w:val="000000"/>
                <w:sz w:val="22"/>
                <w:szCs w:val="22"/>
              </w:rPr>
              <w:t>120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8772"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125</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830DC49"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107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F9503"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20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A8492A5"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66</w:t>
            </w:r>
          </w:p>
        </w:tc>
      </w:tr>
      <w:tr w:rsidR="00D420B2" w:rsidRPr="00203E08" w14:paraId="754ADD5E" w14:textId="77777777" w:rsidTr="00997DBD">
        <w:trPr>
          <w:trHeight w:val="300"/>
        </w:trPr>
        <w:tc>
          <w:tcPr>
            <w:tcW w:w="2510" w:type="dxa"/>
            <w:tcBorders>
              <w:top w:val="nil"/>
              <w:left w:val="single" w:sz="8" w:space="0" w:color="auto"/>
              <w:bottom w:val="single" w:sz="4" w:space="0" w:color="auto"/>
              <w:right w:val="nil"/>
            </w:tcBorders>
            <w:shd w:val="clear" w:color="auto" w:fill="auto"/>
            <w:noWrap/>
            <w:vAlign w:val="bottom"/>
            <w:hideMark/>
          </w:tcPr>
          <w:p w14:paraId="4A532109"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Workplace\Fleet\MUD</w:t>
            </w:r>
            <w:r w:rsidRPr="00997DBD">
              <w:rPr>
                <w:rStyle w:val="FootnoteReference"/>
                <w:rFonts w:ascii="Times New Roman" w:eastAsia="Times New Roman" w:hAnsi="Times New Roman" w:cs="Times New Roman"/>
                <w:b/>
                <w:bCs/>
                <w:color w:val="000000"/>
                <w:sz w:val="22"/>
                <w:szCs w:val="22"/>
              </w:rPr>
              <w:footnoteReference w:id="2"/>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2273E7E"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eastAsia="Times New Roman" w:hAnsi="Times New Roman" w:cs="Times New Roman"/>
                <w:color w:val="000000"/>
                <w:sz w:val="22"/>
                <w:szCs w:val="22"/>
              </w:rPr>
              <w:t>100</w:t>
            </w:r>
          </w:p>
        </w:tc>
        <w:tc>
          <w:tcPr>
            <w:tcW w:w="1260" w:type="dxa"/>
            <w:tcBorders>
              <w:top w:val="nil"/>
              <w:left w:val="nil"/>
              <w:bottom w:val="nil"/>
              <w:right w:val="nil"/>
            </w:tcBorders>
            <w:shd w:val="clear" w:color="auto" w:fill="auto"/>
            <w:noWrap/>
            <w:vAlign w:val="center"/>
            <w:hideMark/>
          </w:tcPr>
          <w:p w14:paraId="66955B03"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104</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AD16A05"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57</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EDCF2D2"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18</w:t>
            </w:r>
          </w:p>
        </w:tc>
        <w:tc>
          <w:tcPr>
            <w:tcW w:w="1170" w:type="dxa"/>
            <w:tcBorders>
              <w:top w:val="nil"/>
              <w:left w:val="nil"/>
              <w:bottom w:val="single" w:sz="4" w:space="0" w:color="auto"/>
              <w:right w:val="single" w:sz="4" w:space="0" w:color="auto"/>
            </w:tcBorders>
            <w:shd w:val="clear" w:color="auto" w:fill="auto"/>
            <w:noWrap/>
            <w:vAlign w:val="center"/>
            <w:hideMark/>
          </w:tcPr>
          <w:p w14:paraId="1D5C3430"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19</w:t>
            </w:r>
          </w:p>
        </w:tc>
      </w:tr>
      <w:tr w:rsidR="00D420B2" w:rsidRPr="00203E08" w14:paraId="50308984" w14:textId="77777777" w:rsidTr="00997DBD">
        <w:trPr>
          <w:trHeight w:val="300"/>
        </w:trPr>
        <w:tc>
          <w:tcPr>
            <w:tcW w:w="2510" w:type="dxa"/>
            <w:tcBorders>
              <w:top w:val="nil"/>
              <w:left w:val="single" w:sz="8" w:space="0" w:color="auto"/>
              <w:bottom w:val="single" w:sz="4" w:space="0" w:color="auto"/>
              <w:right w:val="nil"/>
            </w:tcBorders>
            <w:shd w:val="clear" w:color="auto" w:fill="auto"/>
            <w:noWrap/>
            <w:vAlign w:val="bottom"/>
            <w:hideMark/>
          </w:tcPr>
          <w:p w14:paraId="541B475F"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Public</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58DFAD4"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eastAsia="Times New Roman" w:hAnsi="Times New Roman" w:cs="Times New Roman"/>
                <w:color w:val="000000"/>
                <w:sz w:val="22"/>
                <w:szCs w:val="22"/>
              </w:rPr>
              <w:t>45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C5F66"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48</w:t>
            </w:r>
          </w:p>
        </w:tc>
        <w:tc>
          <w:tcPr>
            <w:tcW w:w="1170" w:type="dxa"/>
            <w:tcBorders>
              <w:top w:val="nil"/>
              <w:left w:val="nil"/>
              <w:bottom w:val="single" w:sz="4" w:space="0" w:color="auto"/>
              <w:right w:val="single" w:sz="4" w:space="0" w:color="auto"/>
            </w:tcBorders>
            <w:shd w:val="clear" w:color="auto" w:fill="auto"/>
            <w:noWrap/>
            <w:vAlign w:val="center"/>
            <w:hideMark/>
          </w:tcPr>
          <w:p w14:paraId="7B44915C"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25</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089774D"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6</w:t>
            </w:r>
          </w:p>
        </w:tc>
        <w:tc>
          <w:tcPr>
            <w:tcW w:w="1170" w:type="dxa"/>
            <w:tcBorders>
              <w:top w:val="nil"/>
              <w:left w:val="nil"/>
              <w:bottom w:val="single" w:sz="4" w:space="0" w:color="auto"/>
              <w:right w:val="single" w:sz="4" w:space="0" w:color="auto"/>
            </w:tcBorders>
            <w:shd w:val="clear" w:color="auto" w:fill="auto"/>
            <w:noWrap/>
            <w:vAlign w:val="center"/>
            <w:hideMark/>
          </w:tcPr>
          <w:p w14:paraId="04B288A3"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1</w:t>
            </w:r>
          </w:p>
        </w:tc>
      </w:tr>
      <w:tr w:rsidR="00D420B2" w:rsidRPr="00203E08" w14:paraId="2FD624BC" w14:textId="77777777" w:rsidTr="00997DBD">
        <w:trPr>
          <w:trHeight w:val="315"/>
        </w:trPr>
        <w:tc>
          <w:tcPr>
            <w:tcW w:w="2510" w:type="dxa"/>
            <w:tcBorders>
              <w:top w:val="nil"/>
              <w:left w:val="single" w:sz="8" w:space="0" w:color="auto"/>
              <w:bottom w:val="single" w:sz="8" w:space="0" w:color="auto"/>
              <w:right w:val="nil"/>
            </w:tcBorders>
            <w:shd w:val="clear" w:color="auto" w:fill="auto"/>
            <w:noWrap/>
            <w:vAlign w:val="bottom"/>
            <w:hideMark/>
          </w:tcPr>
          <w:p w14:paraId="71185E8C" w14:textId="77777777" w:rsidR="00D420B2" w:rsidRPr="00997DBD" w:rsidRDefault="00D420B2" w:rsidP="0028383E">
            <w:pPr>
              <w:rPr>
                <w:rFonts w:ascii="Times New Roman" w:eastAsia="Times New Roman" w:hAnsi="Times New Roman" w:cs="Times New Roman"/>
                <w:b/>
                <w:bCs/>
                <w:color w:val="000000"/>
                <w:sz w:val="22"/>
                <w:szCs w:val="22"/>
              </w:rPr>
            </w:pPr>
            <w:r w:rsidRPr="00997DBD">
              <w:rPr>
                <w:rFonts w:ascii="Times New Roman" w:eastAsia="Times New Roman" w:hAnsi="Times New Roman" w:cs="Times New Roman"/>
                <w:b/>
                <w:bCs/>
                <w:color w:val="000000"/>
                <w:sz w:val="22"/>
                <w:szCs w:val="22"/>
              </w:rPr>
              <w:t>DCFC</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4EF019A5"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eastAsia="Times New Roman" w:hAnsi="Times New Roman" w:cs="Times New Roman"/>
                <w:color w:val="000000"/>
                <w:sz w:val="22"/>
                <w:szCs w:val="22"/>
              </w:rPr>
              <w:t>7</w:t>
            </w:r>
          </w:p>
        </w:tc>
        <w:tc>
          <w:tcPr>
            <w:tcW w:w="1260" w:type="dxa"/>
            <w:tcBorders>
              <w:top w:val="nil"/>
              <w:left w:val="nil"/>
              <w:bottom w:val="single" w:sz="8" w:space="0" w:color="auto"/>
              <w:right w:val="single" w:sz="4" w:space="0" w:color="auto"/>
            </w:tcBorders>
            <w:shd w:val="clear" w:color="auto" w:fill="auto"/>
            <w:noWrap/>
            <w:vAlign w:val="center"/>
            <w:hideMark/>
          </w:tcPr>
          <w:p w14:paraId="6C14A149"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5*</w:t>
            </w:r>
          </w:p>
        </w:tc>
        <w:tc>
          <w:tcPr>
            <w:tcW w:w="1170" w:type="dxa"/>
            <w:tcBorders>
              <w:top w:val="nil"/>
              <w:left w:val="nil"/>
              <w:bottom w:val="single" w:sz="8" w:space="0" w:color="auto"/>
              <w:right w:val="single" w:sz="4" w:space="0" w:color="auto"/>
            </w:tcBorders>
            <w:shd w:val="clear" w:color="auto" w:fill="auto"/>
            <w:noWrap/>
            <w:vAlign w:val="center"/>
            <w:hideMark/>
          </w:tcPr>
          <w:p w14:paraId="6E7C5F42"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hAnsi="Times New Roman" w:cs="Times New Roman"/>
                <w:color w:val="000000"/>
                <w:sz w:val="22"/>
                <w:szCs w:val="22"/>
              </w:rPr>
              <w:t>2**</w:t>
            </w:r>
          </w:p>
        </w:tc>
        <w:tc>
          <w:tcPr>
            <w:tcW w:w="1260" w:type="dxa"/>
            <w:tcBorders>
              <w:top w:val="nil"/>
              <w:left w:val="nil"/>
              <w:bottom w:val="single" w:sz="8" w:space="0" w:color="auto"/>
              <w:right w:val="single" w:sz="4" w:space="0" w:color="auto"/>
            </w:tcBorders>
            <w:shd w:val="clear" w:color="auto" w:fill="auto"/>
            <w:noWrap/>
            <w:vAlign w:val="bottom"/>
            <w:hideMark/>
          </w:tcPr>
          <w:p w14:paraId="345F5CFD"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eastAsia="Times New Roman" w:hAnsi="Times New Roman" w:cs="Times New Roman"/>
                <w:color w:val="000000"/>
                <w:sz w:val="22"/>
                <w:szCs w:val="22"/>
              </w:rPr>
              <w:t>1</w:t>
            </w:r>
          </w:p>
        </w:tc>
        <w:tc>
          <w:tcPr>
            <w:tcW w:w="1170" w:type="dxa"/>
            <w:tcBorders>
              <w:top w:val="nil"/>
              <w:left w:val="nil"/>
              <w:bottom w:val="single" w:sz="8" w:space="0" w:color="auto"/>
              <w:right w:val="single" w:sz="8" w:space="0" w:color="auto"/>
            </w:tcBorders>
            <w:shd w:val="clear" w:color="auto" w:fill="auto"/>
            <w:noWrap/>
            <w:vAlign w:val="bottom"/>
            <w:hideMark/>
          </w:tcPr>
          <w:p w14:paraId="497F330C" w14:textId="77777777" w:rsidR="00D420B2" w:rsidRPr="00997DBD" w:rsidRDefault="00D420B2" w:rsidP="0028383E">
            <w:pPr>
              <w:jc w:val="center"/>
              <w:rPr>
                <w:rFonts w:ascii="Times New Roman" w:eastAsia="Times New Roman" w:hAnsi="Times New Roman" w:cs="Times New Roman"/>
                <w:color w:val="000000"/>
                <w:sz w:val="22"/>
                <w:szCs w:val="22"/>
              </w:rPr>
            </w:pPr>
            <w:r w:rsidRPr="00997DBD">
              <w:rPr>
                <w:rFonts w:ascii="Times New Roman" w:eastAsia="Times New Roman" w:hAnsi="Times New Roman" w:cs="Times New Roman"/>
                <w:color w:val="000000"/>
                <w:sz w:val="22"/>
                <w:szCs w:val="22"/>
              </w:rPr>
              <w:t>1</w:t>
            </w:r>
          </w:p>
        </w:tc>
      </w:tr>
    </w:tbl>
    <w:p w14:paraId="454BFDD0" w14:textId="77777777" w:rsidR="00D420B2" w:rsidRDefault="00D420B2" w:rsidP="00D420B2">
      <w:pPr>
        <w:jc w:val="both"/>
        <w:rPr>
          <w:rFonts w:ascii="Times New Roman" w:eastAsia="Calibri" w:hAnsi="Times New Roman" w:cs="Times New Roman"/>
        </w:rPr>
      </w:pPr>
      <w:r>
        <w:rPr>
          <w:rFonts w:ascii="Times New Roman" w:eastAsia="Calibri" w:hAnsi="Times New Roman" w:cs="Times New Roman"/>
        </w:rPr>
        <w:t>*Sites identified</w:t>
      </w:r>
    </w:p>
    <w:p w14:paraId="0F54F346" w14:textId="77777777" w:rsidR="00D420B2" w:rsidRDefault="00D420B2" w:rsidP="00D420B2">
      <w:pPr>
        <w:jc w:val="both"/>
        <w:rPr>
          <w:rFonts w:ascii="Times New Roman" w:eastAsia="Calibri" w:hAnsi="Times New Roman" w:cs="Times New Roman"/>
        </w:rPr>
      </w:pPr>
      <w:r>
        <w:rPr>
          <w:rFonts w:ascii="Times New Roman" w:eastAsia="Calibri" w:hAnsi="Times New Roman" w:cs="Times New Roman"/>
        </w:rPr>
        <w:t>**Sites where site agreement has been signed to move ahead with construction.</w:t>
      </w:r>
    </w:p>
    <w:p w14:paraId="49058EAF" w14:textId="77777777" w:rsidR="002C38DA" w:rsidRDefault="002C38DA" w:rsidP="00EE7BE4">
      <w:pPr>
        <w:autoSpaceDE w:val="0"/>
        <w:autoSpaceDN w:val="0"/>
        <w:adjustRightInd w:val="0"/>
        <w:contextualSpacing/>
        <w:jc w:val="both"/>
        <w:rPr>
          <w:rFonts w:ascii="Times New Roman" w:eastAsia="Calibri" w:hAnsi="Times New Roman" w:cs="Times New Roman"/>
          <w:b/>
        </w:rPr>
      </w:pPr>
    </w:p>
    <w:p w14:paraId="753FA9A3" w14:textId="77777777" w:rsidR="006E7979" w:rsidRPr="001B51A2" w:rsidRDefault="00997DBD" w:rsidP="001B51A2">
      <w:pPr>
        <w:autoSpaceDE w:val="0"/>
        <w:autoSpaceDN w:val="0"/>
        <w:adjustRightInd w:val="0"/>
        <w:contextualSpacing/>
        <w:jc w:val="both"/>
        <w:rPr>
          <w:rFonts w:ascii="Times New Roman" w:eastAsia="Calibri" w:hAnsi="Times New Roman" w:cs="Times New Roman"/>
        </w:rPr>
      </w:pPr>
      <w:r>
        <w:rPr>
          <w:rFonts w:ascii="Times New Roman" w:eastAsia="Calibri" w:hAnsi="Times New Roman" w:cs="Times New Roman"/>
        </w:rPr>
        <w:t>Other high-level s</w:t>
      </w:r>
      <w:r w:rsidRPr="00997DBD">
        <w:rPr>
          <w:rFonts w:ascii="Times New Roman" w:eastAsia="Calibri" w:hAnsi="Times New Roman" w:cs="Times New Roman"/>
        </w:rPr>
        <w:t xml:space="preserve">tatistics </w:t>
      </w:r>
      <w:r w:rsidR="006E7979">
        <w:rPr>
          <w:rFonts w:ascii="Times New Roman" w:eastAsia="Calibri" w:hAnsi="Times New Roman" w:cs="Times New Roman"/>
        </w:rPr>
        <w:t xml:space="preserve">on charging behaviors </w:t>
      </w:r>
      <w:r w:rsidRPr="00997DBD">
        <w:rPr>
          <w:rFonts w:ascii="Times New Roman" w:eastAsia="Calibri" w:hAnsi="Times New Roman" w:cs="Times New Roman"/>
        </w:rPr>
        <w:t xml:space="preserve">are </w:t>
      </w:r>
      <w:r w:rsidR="006E7979">
        <w:rPr>
          <w:rFonts w:ascii="Times New Roman" w:eastAsia="Calibri" w:hAnsi="Times New Roman" w:cs="Times New Roman"/>
        </w:rPr>
        <w:t>shown in Table No. 2 below.</w:t>
      </w:r>
    </w:p>
    <w:p w14:paraId="265BB8CB" w14:textId="77777777" w:rsidR="00737885" w:rsidRDefault="00737885" w:rsidP="00EE7BE4">
      <w:pPr>
        <w:spacing w:line="360" w:lineRule="auto"/>
        <w:jc w:val="both"/>
        <w:rPr>
          <w:rFonts w:ascii="Times New Roman" w:eastAsia="Calibri" w:hAnsi="Times New Roman" w:cs="Times New Roman"/>
          <w:b/>
          <w:u w:val="single"/>
        </w:rPr>
      </w:pPr>
    </w:p>
    <w:p w14:paraId="27CD10D9" w14:textId="77777777" w:rsidR="00F27C05" w:rsidRPr="0028383E" w:rsidRDefault="006E7979" w:rsidP="00EE7BE4">
      <w:pPr>
        <w:spacing w:line="360" w:lineRule="auto"/>
        <w:jc w:val="both"/>
        <w:rPr>
          <w:rFonts w:ascii="Times New Roman" w:eastAsia="Calibri" w:hAnsi="Times New Roman" w:cs="Times New Roman"/>
          <w:b/>
          <w:u w:val="single"/>
        </w:rPr>
      </w:pPr>
      <w:r>
        <w:rPr>
          <w:rFonts w:ascii="Times New Roman" w:eastAsia="Calibri" w:hAnsi="Times New Roman" w:cs="Times New Roman"/>
          <w:b/>
          <w:u w:val="single"/>
        </w:rPr>
        <w:t>Table No. 2</w:t>
      </w:r>
    </w:p>
    <w:tbl>
      <w:tblPr>
        <w:tblStyle w:val="TableGrid"/>
        <w:tblW w:w="0" w:type="auto"/>
        <w:tblLook w:val="04A0" w:firstRow="1" w:lastRow="0" w:firstColumn="1" w:lastColumn="0" w:noHBand="0" w:noVBand="1"/>
      </w:tblPr>
      <w:tblGrid>
        <w:gridCol w:w="3865"/>
        <w:gridCol w:w="900"/>
      </w:tblGrid>
      <w:tr w:rsidR="00997DBD" w14:paraId="1640BD10" w14:textId="77777777" w:rsidTr="0028383E">
        <w:tc>
          <w:tcPr>
            <w:tcW w:w="3865" w:type="dxa"/>
            <w:vAlign w:val="bottom"/>
          </w:tcPr>
          <w:p w14:paraId="010C2B27" w14:textId="77777777" w:rsidR="00997DBD" w:rsidRPr="00997DBD" w:rsidRDefault="00997DBD" w:rsidP="002E7026">
            <w:pPr>
              <w:spacing w:line="360" w:lineRule="auto"/>
              <w:jc w:val="both"/>
              <w:rPr>
                <w:rFonts w:ascii="Times New Roman" w:eastAsia="Calibri" w:hAnsi="Times New Roman" w:cs="Times New Roman"/>
              </w:rPr>
            </w:pPr>
            <w:r w:rsidRPr="00997DBD">
              <w:rPr>
                <w:rFonts w:ascii="Times New Roman" w:eastAsia="Times New Roman" w:hAnsi="Times New Roman" w:cs="Times New Roman"/>
                <w:bCs/>
                <w:color w:val="000000"/>
                <w:sz w:val="22"/>
                <w:szCs w:val="22"/>
              </w:rPr>
              <w:t>Daily Avg. No. of Charge Sessions</w:t>
            </w:r>
          </w:p>
        </w:tc>
        <w:tc>
          <w:tcPr>
            <w:tcW w:w="900" w:type="dxa"/>
          </w:tcPr>
          <w:p w14:paraId="4AE0343C" w14:textId="77777777" w:rsidR="00997DBD" w:rsidRPr="00997DBD" w:rsidRDefault="00997DBD" w:rsidP="0028383E">
            <w:pPr>
              <w:spacing w:line="360" w:lineRule="auto"/>
              <w:jc w:val="right"/>
              <w:rPr>
                <w:rFonts w:ascii="Times New Roman" w:eastAsia="Calibri" w:hAnsi="Times New Roman" w:cs="Times New Roman"/>
              </w:rPr>
            </w:pPr>
            <w:r w:rsidRPr="00997DBD">
              <w:rPr>
                <w:rFonts w:ascii="Times New Roman" w:eastAsia="Calibri" w:hAnsi="Times New Roman" w:cs="Times New Roman"/>
              </w:rPr>
              <w:t>61</w:t>
            </w:r>
          </w:p>
        </w:tc>
      </w:tr>
      <w:tr w:rsidR="00997DBD" w14:paraId="4A207AE8" w14:textId="77777777" w:rsidTr="0028383E">
        <w:tc>
          <w:tcPr>
            <w:tcW w:w="3865" w:type="dxa"/>
            <w:vAlign w:val="bottom"/>
          </w:tcPr>
          <w:p w14:paraId="4CA1D6E5" w14:textId="77777777" w:rsidR="00997DBD" w:rsidRPr="00997DBD" w:rsidRDefault="00997DBD" w:rsidP="002E7026">
            <w:pPr>
              <w:spacing w:line="360" w:lineRule="auto"/>
              <w:jc w:val="both"/>
              <w:rPr>
                <w:rFonts w:ascii="Times New Roman" w:eastAsia="Calibri" w:hAnsi="Times New Roman" w:cs="Times New Roman"/>
              </w:rPr>
            </w:pPr>
            <w:r w:rsidRPr="00997DBD">
              <w:rPr>
                <w:rFonts w:ascii="Times New Roman" w:eastAsia="Times New Roman" w:hAnsi="Times New Roman" w:cs="Times New Roman"/>
                <w:bCs/>
                <w:color w:val="000000"/>
                <w:sz w:val="22"/>
                <w:szCs w:val="22"/>
              </w:rPr>
              <w:t>Daily Avg. kWh Consumed</w:t>
            </w:r>
          </w:p>
        </w:tc>
        <w:tc>
          <w:tcPr>
            <w:tcW w:w="900" w:type="dxa"/>
          </w:tcPr>
          <w:p w14:paraId="77BDDEFD" w14:textId="77777777" w:rsidR="00997DBD" w:rsidRPr="00997DBD" w:rsidRDefault="00997DBD" w:rsidP="0028383E">
            <w:pPr>
              <w:spacing w:line="360" w:lineRule="auto"/>
              <w:jc w:val="right"/>
              <w:rPr>
                <w:rFonts w:ascii="Times New Roman" w:eastAsia="Calibri" w:hAnsi="Times New Roman" w:cs="Times New Roman"/>
              </w:rPr>
            </w:pPr>
            <w:r>
              <w:rPr>
                <w:rFonts w:ascii="Times New Roman" w:eastAsia="Calibri" w:hAnsi="Times New Roman" w:cs="Times New Roman"/>
              </w:rPr>
              <w:t>332</w:t>
            </w:r>
          </w:p>
        </w:tc>
      </w:tr>
      <w:tr w:rsidR="00997DBD" w14:paraId="37F10AC9" w14:textId="77777777" w:rsidTr="0028383E">
        <w:tc>
          <w:tcPr>
            <w:tcW w:w="3865" w:type="dxa"/>
            <w:vAlign w:val="bottom"/>
          </w:tcPr>
          <w:p w14:paraId="5B17FECE" w14:textId="77777777" w:rsidR="00997DBD" w:rsidRPr="00997DBD" w:rsidRDefault="00997DBD" w:rsidP="00997DBD">
            <w:pPr>
              <w:spacing w:line="360" w:lineRule="auto"/>
              <w:jc w:val="both"/>
              <w:rPr>
                <w:rFonts w:ascii="Times New Roman" w:eastAsia="Calibri" w:hAnsi="Times New Roman" w:cs="Times New Roman"/>
              </w:rPr>
            </w:pPr>
            <w:r w:rsidRPr="00997DBD">
              <w:rPr>
                <w:rFonts w:ascii="Times New Roman" w:eastAsia="Times New Roman" w:hAnsi="Times New Roman" w:cs="Times New Roman"/>
                <w:bCs/>
                <w:color w:val="000000"/>
                <w:sz w:val="22"/>
                <w:szCs w:val="22"/>
              </w:rPr>
              <w:t>Sessions Charged to Date</w:t>
            </w:r>
          </w:p>
        </w:tc>
        <w:tc>
          <w:tcPr>
            <w:tcW w:w="900" w:type="dxa"/>
          </w:tcPr>
          <w:p w14:paraId="42970D96" w14:textId="77777777" w:rsidR="00997DBD" w:rsidRPr="00997DBD" w:rsidRDefault="00997DBD" w:rsidP="0028383E">
            <w:pPr>
              <w:spacing w:line="360" w:lineRule="auto"/>
              <w:jc w:val="right"/>
              <w:rPr>
                <w:rFonts w:ascii="Times New Roman" w:eastAsia="Calibri" w:hAnsi="Times New Roman" w:cs="Times New Roman"/>
              </w:rPr>
            </w:pPr>
            <w:r>
              <w:rPr>
                <w:rFonts w:ascii="Times New Roman" w:eastAsia="Calibri" w:hAnsi="Times New Roman" w:cs="Times New Roman"/>
              </w:rPr>
              <w:t>7,637</w:t>
            </w:r>
          </w:p>
        </w:tc>
      </w:tr>
      <w:tr w:rsidR="00997DBD" w14:paraId="49393F5E" w14:textId="77777777" w:rsidTr="0028383E">
        <w:tc>
          <w:tcPr>
            <w:tcW w:w="3865" w:type="dxa"/>
          </w:tcPr>
          <w:p w14:paraId="35378BF3" w14:textId="77777777" w:rsidR="00997DBD" w:rsidRPr="00997DBD" w:rsidRDefault="00997DBD" w:rsidP="00EE7BE4">
            <w:pPr>
              <w:spacing w:line="360" w:lineRule="auto"/>
              <w:jc w:val="both"/>
              <w:rPr>
                <w:rFonts w:ascii="Times New Roman" w:eastAsia="Calibri" w:hAnsi="Times New Roman" w:cs="Times New Roman"/>
              </w:rPr>
            </w:pPr>
            <w:r w:rsidRPr="00997DBD">
              <w:rPr>
                <w:rFonts w:ascii="Times New Roman" w:eastAsia="Calibri" w:hAnsi="Times New Roman" w:cs="Times New Roman"/>
              </w:rPr>
              <w:t>kWh Consumed to Date</w:t>
            </w:r>
          </w:p>
        </w:tc>
        <w:tc>
          <w:tcPr>
            <w:tcW w:w="900" w:type="dxa"/>
          </w:tcPr>
          <w:p w14:paraId="2F00B555" w14:textId="77777777" w:rsidR="00997DBD" w:rsidRPr="00997DBD" w:rsidRDefault="00997DBD" w:rsidP="0028383E">
            <w:pPr>
              <w:spacing w:line="360" w:lineRule="auto"/>
              <w:jc w:val="right"/>
              <w:rPr>
                <w:rFonts w:ascii="Times New Roman" w:eastAsia="Calibri" w:hAnsi="Times New Roman" w:cs="Times New Roman"/>
              </w:rPr>
            </w:pPr>
            <w:r>
              <w:rPr>
                <w:rFonts w:ascii="Times New Roman" w:eastAsia="Calibri" w:hAnsi="Times New Roman" w:cs="Times New Roman"/>
              </w:rPr>
              <w:t>49,814</w:t>
            </w:r>
          </w:p>
        </w:tc>
      </w:tr>
      <w:tr w:rsidR="00997DBD" w14:paraId="4D99E04B" w14:textId="77777777" w:rsidTr="0028383E">
        <w:tc>
          <w:tcPr>
            <w:tcW w:w="3865" w:type="dxa"/>
          </w:tcPr>
          <w:p w14:paraId="3440C98C" w14:textId="77777777" w:rsidR="00997DBD" w:rsidRPr="004D67B2" w:rsidRDefault="00997DBD" w:rsidP="004D67B2">
            <w:pPr>
              <w:autoSpaceDE w:val="0"/>
              <w:autoSpaceDN w:val="0"/>
              <w:adjustRightInd w:val="0"/>
              <w:contextualSpacing/>
              <w:jc w:val="both"/>
              <w:rPr>
                <w:rFonts w:ascii="Times New Roman" w:eastAsia="Calibri" w:hAnsi="Times New Roman" w:cs="Times New Roman"/>
              </w:rPr>
            </w:pPr>
            <w:r w:rsidRPr="004D67B2">
              <w:rPr>
                <w:rFonts w:ascii="Times New Roman" w:eastAsia="Calibri" w:hAnsi="Times New Roman" w:cs="Times New Roman"/>
              </w:rPr>
              <w:t xml:space="preserve">Lbs of </w:t>
            </w:r>
            <w:r w:rsidR="004D67B2" w:rsidRPr="004D67B2">
              <w:rPr>
                <w:rFonts w:ascii="Times New Roman" w:eastAsia="Calibri" w:hAnsi="Times New Roman" w:cs="Times New Roman"/>
              </w:rPr>
              <w:t>CO</w:t>
            </w:r>
            <w:r w:rsidR="004D67B2" w:rsidRPr="004D67B2">
              <w:rPr>
                <w:rFonts w:ascii="Times New Roman" w:eastAsia="Calibri" w:hAnsi="Times New Roman" w:cs="Times New Roman"/>
                <w:vertAlign w:val="subscript"/>
              </w:rPr>
              <w:t>2</w:t>
            </w:r>
            <w:r w:rsidR="004D67B2">
              <w:rPr>
                <w:rFonts w:ascii="Times New Roman" w:eastAsia="Calibri" w:hAnsi="Times New Roman" w:cs="Times New Roman"/>
              </w:rPr>
              <w:t xml:space="preserve"> </w:t>
            </w:r>
            <w:r w:rsidRPr="004D67B2">
              <w:rPr>
                <w:rFonts w:ascii="Times New Roman" w:eastAsia="Calibri" w:hAnsi="Times New Roman" w:cs="Times New Roman"/>
              </w:rPr>
              <w:t>Saved to Date</w:t>
            </w:r>
          </w:p>
        </w:tc>
        <w:tc>
          <w:tcPr>
            <w:tcW w:w="900" w:type="dxa"/>
          </w:tcPr>
          <w:p w14:paraId="3480D5E1" w14:textId="77777777" w:rsidR="00997DBD" w:rsidRPr="004D67B2" w:rsidRDefault="004D67B2" w:rsidP="0028383E">
            <w:pPr>
              <w:spacing w:line="360" w:lineRule="auto"/>
              <w:jc w:val="right"/>
              <w:rPr>
                <w:rFonts w:ascii="Times New Roman" w:eastAsia="Calibri" w:hAnsi="Times New Roman" w:cs="Times New Roman"/>
              </w:rPr>
            </w:pPr>
            <w:r w:rsidRPr="004D67B2">
              <w:rPr>
                <w:rFonts w:ascii="Times New Roman" w:eastAsia="Calibri" w:hAnsi="Times New Roman" w:cs="Times New Roman"/>
              </w:rPr>
              <w:t>97,585</w:t>
            </w:r>
          </w:p>
        </w:tc>
      </w:tr>
      <w:tr w:rsidR="004D67B2" w14:paraId="5AF22704" w14:textId="77777777" w:rsidTr="0028383E">
        <w:tc>
          <w:tcPr>
            <w:tcW w:w="3865" w:type="dxa"/>
          </w:tcPr>
          <w:p w14:paraId="233E88FF" w14:textId="77777777" w:rsidR="004D67B2" w:rsidRPr="004D67B2" w:rsidRDefault="004D67B2" w:rsidP="004D67B2">
            <w:pPr>
              <w:autoSpaceDE w:val="0"/>
              <w:autoSpaceDN w:val="0"/>
              <w:adjustRightInd w:val="0"/>
              <w:contextualSpacing/>
              <w:jc w:val="both"/>
              <w:rPr>
                <w:rFonts w:ascii="Times New Roman" w:eastAsia="Calibri" w:hAnsi="Times New Roman" w:cs="Times New Roman"/>
              </w:rPr>
            </w:pPr>
            <w:r>
              <w:rPr>
                <w:rFonts w:ascii="Times New Roman" w:eastAsia="Calibri" w:hAnsi="Times New Roman" w:cs="Times New Roman"/>
              </w:rPr>
              <w:t>Gallons of Gas</w:t>
            </w:r>
            <w:r w:rsidR="0028383E">
              <w:rPr>
                <w:rFonts w:ascii="Times New Roman" w:eastAsia="Calibri" w:hAnsi="Times New Roman" w:cs="Times New Roman"/>
              </w:rPr>
              <w:t>oline</w:t>
            </w:r>
            <w:r>
              <w:rPr>
                <w:rFonts w:ascii="Times New Roman" w:eastAsia="Calibri" w:hAnsi="Times New Roman" w:cs="Times New Roman"/>
              </w:rPr>
              <w:t xml:space="preserve"> Saved to Date</w:t>
            </w:r>
          </w:p>
        </w:tc>
        <w:tc>
          <w:tcPr>
            <w:tcW w:w="900" w:type="dxa"/>
          </w:tcPr>
          <w:p w14:paraId="311A59C2" w14:textId="77777777" w:rsidR="004D67B2" w:rsidRPr="004D67B2" w:rsidRDefault="004D67B2" w:rsidP="0028383E">
            <w:pPr>
              <w:spacing w:line="360" w:lineRule="auto"/>
              <w:jc w:val="right"/>
              <w:rPr>
                <w:rFonts w:ascii="Times New Roman" w:eastAsia="Calibri" w:hAnsi="Times New Roman" w:cs="Times New Roman"/>
              </w:rPr>
            </w:pPr>
            <w:r w:rsidRPr="004D67B2">
              <w:rPr>
                <w:rFonts w:ascii="Times New Roman" w:eastAsia="Calibri" w:hAnsi="Times New Roman" w:cs="Times New Roman"/>
              </w:rPr>
              <w:t>4,981</w:t>
            </w:r>
          </w:p>
        </w:tc>
      </w:tr>
    </w:tbl>
    <w:p w14:paraId="16CF9F7E" w14:textId="77777777" w:rsidR="00737885" w:rsidRDefault="00737885" w:rsidP="00EE7BE4">
      <w:pPr>
        <w:spacing w:line="360" w:lineRule="auto"/>
        <w:jc w:val="both"/>
        <w:rPr>
          <w:rFonts w:ascii="Times New Roman" w:eastAsia="Calibri" w:hAnsi="Times New Roman" w:cs="Times New Roman"/>
          <w:b/>
        </w:rPr>
      </w:pPr>
    </w:p>
    <w:p w14:paraId="362672DA" w14:textId="77777777" w:rsidR="00636B74" w:rsidRPr="00997DBD" w:rsidRDefault="00D420B2" w:rsidP="00EE7BE4">
      <w:pPr>
        <w:spacing w:line="36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AC </w:t>
      </w:r>
      <w:r w:rsidR="008A1F79" w:rsidRPr="008A1F79">
        <w:rPr>
          <w:rFonts w:ascii="Times New Roman" w:eastAsia="Calibri" w:hAnsi="Times New Roman" w:cs="Times New Roman"/>
          <w:b/>
        </w:rPr>
        <w:t>Level 2 Charging Stations</w:t>
      </w:r>
      <w:r w:rsidR="008A1F79">
        <w:rPr>
          <w:rFonts w:ascii="Times New Roman" w:eastAsia="Calibri" w:hAnsi="Times New Roman" w:cs="Times New Roman"/>
          <w:b/>
        </w:rPr>
        <w:t xml:space="preserve"> – </w:t>
      </w:r>
      <w:r w:rsidR="00A525AB">
        <w:rPr>
          <w:rFonts w:ascii="Times New Roman" w:eastAsia="Calibri" w:hAnsi="Times New Roman" w:cs="Times New Roman"/>
          <w:b/>
        </w:rPr>
        <w:t>Residential</w:t>
      </w:r>
      <w:r w:rsidR="002C14DB">
        <w:rPr>
          <w:rFonts w:ascii="Times New Roman" w:eastAsia="Calibri" w:hAnsi="Times New Roman" w:cs="Times New Roman"/>
          <w:b/>
        </w:rPr>
        <w:t xml:space="preserve"> and Commercial</w:t>
      </w:r>
    </w:p>
    <w:p w14:paraId="2C7BEE50" w14:textId="77777777" w:rsidR="00DF2048" w:rsidRDefault="00000311" w:rsidP="00EE7BE4">
      <w:pPr>
        <w:spacing w:line="360" w:lineRule="auto"/>
        <w:jc w:val="both"/>
        <w:rPr>
          <w:rFonts w:ascii="Times New Roman" w:eastAsia="Calibri" w:hAnsi="Times New Roman" w:cs="Times New Roman"/>
        </w:rPr>
      </w:pPr>
      <w:r>
        <w:rPr>
          <w:rFonts w:ascii="Times New Roman" w:eastAsia="Calibri" w:hAnsi="Times New Roman" w:cs="Times New Roman"/>
        </w:rPr>
        <w:t xml:space="preserve">The EVSE deployed in residential settings </w:t>
      </w:r>
      <w:r w:rsidR="004D67B2">
        <w:rPr>
          <w:rFonts w:ascii="Times New Roman" w:eastAsia="Calibri" w:hAnsi="Times New Roman" w:cs="Times New Roman"/>
        </w:rPr>
        <w:t xml:space="preserve">continues to perform </w:t>
      </w:r>
      <w:r>
        <w:rPr>
          <w:rFonts w:ascii="Times New Roman" w:eastAsia="Calibri" w:hAnsi="Times New Roman" w:cs="Times New Roman"/>
        </w:rPr>
        <w:t xml:space="preserve">well.  However, on occasion an EVSE may lose </w:t>
      </w:r>
      <w:r w:rsidR="00AF59C5">
        <w:rPr>
          <w:rFonts w:ascii="Times New Roman" w:eastAsia="Calibri" w:hAnsi="Times New Roman" w:cs="Times New Roman"/>
        </w:rPr>
        <w:t>Wi-Fi</w:t>
      </w:r>
      <w:r>
        <w:rPr>
          <w:rFonts w:ascii="Times New Roman" w:eastAsia="Calibri" w:hAnsi="Times New Roman" w:cs="Times New Roman"/>
        </w:rPr>
        <w:t xml:space="preserve"> communication signals and require a </w:t>
      </w:r>
      <w:r w:rsidR="007E0AF9">
        <w:rPr>
          <w:rFonts w:ascii="Times New Roman" w:eastAsia="Calibri" w:hAnsi="Times New Roman" w:cs="Times New Roman"/>
        </w:rPr>
        <w:t xml:space="preserve">power </w:t>
      </w:r>
      <w:r>
        <w:rPr>
          <w:rFonts w:ascii="Times New Roman" w:eastAsia="Calibri" w:hAnsi="Times New Roman" w:cs="Times New Roman"/>
        </w:rPr>
        <w:t>reset, which may be carried out by the customer.  More rarely, a</w:t>
      </w:r>
      <w:r w:rsidR="002D5B10">
        <w:rPr>
          <w:rFonts w:ascii="Times New Roman" w:eastAsia="Calibri" w:hAnsi="Times New Roman" w:cs="Times New Roman"/>
        </w:rPr>
        <w:t xml:space="preserve"> few</w:t>
      </w:r>
      <w:r>
        <w:rPr>
          <w:rFonts w:ascii="Times New Roman" w:eastAsia="Calibri" w:hAnsi="Times New Roman" w:cs="Times New Roman"/>
        </w:rPr>
        <w:t xml:space="preserve"> problems have occurred requiring a technician’s visit, such as swapping out a failed communications module, board reset, </w:t>
      </w:r>
      <w:r w:rsidR="004D67B2">
        <w:rPr>
          <w:rFonts w:ascii="Times New Roman" w:eastAsia="Calibri" w:hAnsi="Times New Roman" w:cs="Times New Roman"/>
        </w:rPr>
        <w:t>or full replacement of the EVSE</w:t>
      </w:r>
      <w:r>
        <w:rPr>
          <w:rFonts w:ascii="Times New Roman" w:eastAsia="Calibri" w:hAnsi="Times New Roman" w:cs="Times New Roman"/>
        </w:rPr>
        <w:t>.</w:t>
      </w:r>
      <w:r w:rsidR="002D5B10">
        <w:rPr>
          <w:rFonts w:ascii="Times New Roman" w:eastAsia="Calibri" w:hAnsi="Times New Roman" w:cs="Times New Roman"/>
        </w:rPr>
        <w:t xml:space="preserve">  The Company will continue to evaluate the performance and reliability of EVSE deployed in the field, and consider deploying new EVSE that may become available in the market, provided satisfactory demonstration of </w:t>
      </w:r>
      <w:r w:rsidR="002C38DA">
        <w:rPr>
          <w:rFonts w:ascii="Times New Roman" w:eastAsia="Calibri" w:hAnsi="Times New Roman" w:cs="Times New Roman"/>
        </w:rPr>
        <w:t>r</w:t>
      </w:r>
      <w:r w:rsidR="004D67B2">
        <w:rPr>
          <w:rFonts w:ascii="Times New Roman" w:eastAsia="Calibri" w:hAnsi="Times New Roman" w:cs="Times New Roman"/>
        </w:rPr>
        <w:t xml:space="preserve">equired </w:t>
      </w:r>
      <w:r w:rsidR="002C38DA">
        <w:rPr>
          <w:rFonts w:ascii="Times New Roman" w:eastAsia="Calibri" w:hAnsi="Times New Roman" w:cs="Times New Roman"/>
        </w:rPr>
        <w:t>specifications, performance, and cost.</w:t>
      </w:r>
      <w:r w:rsidR="002D5B10">
        <w:rPr>
          <w:rFonts w:ascii="Times New Roman" w:eastAsia="Calibri" w:hAnsi="Times New Roman" w:cs="Times New Roman"/>
        </w:rPr>
        <w:t xml:space="preserve"> </w:t>
      </w:r>
    </w:p>
    <w:p w14:paraId="29722CD5" w14:textId="77777777" w:rsidR="008101A1" w:rsidRDefault="008101A1" w:rsidP="00EE7BE4">
      <w:pPr>
        <w:spacing w:line="360" w:lineRule="auto"/>
        <w:jc w:val="both"/>
        <w:rPr>
          <w:rFonts w:ascii="Times New Roman" w:eastAsia="Calibri" w:hAnsi="Times New Roman" w:cs="Times New Roman"/>
        </w:rPr>
      </w:pPr>
    </w:p>
    <w:p w14:paraId="1C2EC2F2" w14:textId="77777777" w:rsidR="00804611" w:rsidRDefault="00804611" w:rsidP="00EE7BE4">
      <w:pPr>
        <w:spacing w:line="360" w:lineRule="auto"/>
        <w:jc w:val="both"/>
        <w:rPr>
          <w:rFonts w:ascii="Times New Roman" w:eastAsia="Calibri" w:hAnsi="Times New Roman" w:cs="Times New Roman"/>
        </w:rPr>
      </w:pPr>
      <w:r>
        <w:rPr>
          <w:rFonts w:ascii="Times New Roman" w:eastAsia="Calibri" w:hAnsi="Times New Roman" w:cs="Times New Roman"/>
        </w:rPr>
        <w:t xml:space="preserve">The following chart shows the status of residential applications and installations </w:t>
      </w:r>
      <w:r w:rsidR="008101A1">
        <w:rPr>
          <w:rFonts w:ascii="Times New Roman" w:eastAsia="Calibri" w:hAnsi="Times New Roman" w:cs="Times New Roman"/>
        </w:rPr>
        <w:t>by categories of</w:t>
      </w:r>
      <w:r w:rsidR="000B09DE">
        <w:rPr>
          <w:rFonts w:ascii="Times New Roman" w:eastAsia="Calibri" w:hAnsi="Times New Roman" w:cs="Times New Roman"/>
        </w:rPr>
        <w:t xml:space="preserve"> Battery Electric Vehicle</w:t>
      </w:r>
      <w:r w:rsidR="00A500D6">
        <w:rPr>
          <w:rFonts w:ascii="Times New Roman" w:eastAsia="Calibri" w:hAnsi="Times New Roman" w:cs="Times New Roman"/>
        </w:rPr>
        <w:t xml:space="preserve"> (BEV)</w:t>
      </w:r>
      <w:r w:rsidR="000B09DE">
        <w:rPr>
          <w:rFonts w:ascii="Times New Roman" w:eastAsia="Calibri" w:hAnsi="Times New Roman" w:cs="Times New Roman"/>
        </w:rPr>
        <w:t xml:space="preserve"> Commuter, </w:t>
      </w:r>
      <w:r w:rsidR="00A500D6">
        <w:rPr>
          <w:rFonts w:ascii="Times New Roman" w:eastAsia="Calibri" w:hAnsi="Times New Roman" w:cs="Times New Roman"/>
        </w:rPr>
        <w:t>BEV</w:t>
      </w:r>
      <w:r w:rsidR="000B09DE">
        <w:rPr>
          <w:rFonts w:ascii="Times New Roman" w:eastAsia="Calibri" w:hAnsi="Times New Roman" w:cs="Times New Roman"/>
        </w:rPr>
        <w:t xml:space="preserve"> Non-Commuter, Plug-In Hybrid Electric</w:t>
      </w:r>
      <w:r w:rsidR="00A500D6">
        <w:rPr>
          <w:rFonts w:ascii="Times New Roman" w:eastAsia="Calibri" w:hAnsi="Times New Roman" w:cs="Times New Roman"/>
        </w:rPr>
        <w:t xml:space="preserve"> (PHEV)</w:t>
      </w:r>
      <w:r w:rsidR="000B09DE">
        <w:rPr>
          <w:rFonts w:ascii="Times New Roman" w:eastAsia="Calibri" w:hAnsi="Times New Roman" w:cs="Times New Roman"/>
        </w:rPr>
        <w:t xml:space="preserve"> Vehicle Commuter, and </w:t>
      </w:r>
      <w:r w:rsidR="00A500D6">
        <w:rPr>
          <w:rFonts w:ascii="Times New Roman" w:eastAsia="Calibri" w:hAnsi="Times New Roman" w:cs="Times New Roman"/>
        </w:rPr>
        <w:t>PHEV</w:t>
      </w:r>
      <w:r w:rsidR="000B09DE">
        <w:rPr>
          <w:rFonts w:ascii="Times New Roman" w:eastAsia="Calibri" w:hAnsi="Times New Roman" w:cs="Times New Roman"/>
        </w:rPr>
        <w:t xml:space="preserve"> Non-Commuter.</w:t>
      </w:r>
    </w:p>
    <w:p w14:paraId="48F9700A" w14:textId="77777777" w:rsidR="007E0AF9" w:rsidRDefault="007E0AF9" w:rsidP="00EE7BE4">
      <w:pPr>
        <w:spacing w:line="360" w:lineRule="auto"/>
        <w:jc w:val="both"/>
        <w:rPr>
          <w:rFonts w:ascii="Times New Roman" w:eastAsia="Calibri" w:hAnsi="Times New Roman" w:cs="Times New Roman"/>
          <w:b/>
          <w:u w:val="single"/>
        </w:rPr>
      </w:pPr>
    </w:p>
    <w:p w14:paraId="244C1D54" w14:textId="77777777" w:rsidR="00F93984" w:rsidRPr="00F93984" w:rsidRDefault="00F93984" w:rsidP="00EE7BE4">
      <w:pPr>
        <w:spacing w:line="360" w:lineRule="auto"/>
        <w:jc w:val="both"/>
        <w:rPr>
          <w:rFonts w:ascii="Times New Roman" w:eastAsia="Calibri" w:hAnsi="Times New Roman" w:cs="Times New Roman"/>
          <w:b/>
          <w:u w:val="single"/>
        </w:rPr>
      </w:pPr>
      <w:r w:rsidRPr="00F93984">
        <w:rPr>
          <w:rFonts w:ascii="Times New Roman" w:eastAsia="Calibri" w:hAnsi="Times New Roman" w:cs="Times New Roman"/>
          <w:b/>
          <w:u w:val="single"/>
        </w:rPr>
        <w:t>Chart No. 1</w:t>
      </w:r>
    </w:p>
    <w:p w14:paraId="170DF65C" w14:textId="77777777" w:rsidR="00804611" w:rsidRDefault="002C38DA" w:rsidP="00EE7BE4">
      <w:pPr>
        <w:spacing w:line="36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14:anchorId="44B13CAF" wp14:editId="5E71EAF3">
            <wp:extent cx="6013676" cy="2991621"/>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row1.JPG"/>
                    <pic:cNvPicPr/>
                  </pic:nvPicPr>
                  <pic:blipFill>
                    <a:blip r:embed="rId11">
                      <a:extLst>
                        <a:ext uri="{28A0092B-C50C-407E-A947-70E740481C1C}">
                          <a14:useLocalDpi xmlns:a14="http://schemas.microsoft.com/office/drawing/2010/main" val="0"/>
                        </a:ext>
                      </a:extLst>
                    </a:blip>
                    <a:stretch>
                      <a:fillRect/>
                    </a:stretch>
                  </pic:blipFill>
                  <pic:spPr>
                    <a:xfrm>
                      <a:off x="0" y="0"/>
                      <a:ext cx="6025098" cy="2997303"/>
                    </a:xfrm>
                    <a:prstGeom prst="rect">
                      <a:avLst/>
                    </a:prstGeom>
                  </pic:spPr>
                </pic:pic>
              </a:graphicData>
            </a:graphic>
          </wp:inline>
        </w:drawing>
      </w:r>
    </w:p>
    <w:p w14:paraId="0DB0EEE8" w14:textId="77777777" w:rsidR="00A500D6" w:rsidRDefault="00A500D6" w:rsidP="00EE7BE4">
      <w:pPr>
        <w:spacing w:line="360" w:lineRule="auto"/>
        <w:jc w:val="both"/>
        <w:rPr>
          <w:rFonts w:ascii="Times New Roman" w:eastAsia="Calibri" w:hAnsi="Times New Roman" w:cs="Times New Roman"/>
        </w:rPr>
      </w:pPr>
    </w:p>
    <w:p w14:paraId="57C9F8B2" w14:textId="77777777" w:rsidR="007110D8" w:rsidRDefault="007E0AF9" w:rsidP="00EE7BE4">
      <w:pPr>
        <w:spacing w:line="360" w:lineRule="auto"/>
        <w:jc w:val="both"/>
        <w:rPr>
          <w:rFonts w:ascii="Times New Roman" w:eastAsia="Calibri" w:hAnsi="Times New Roman" w:cs="Times New Roman"/>
        </w:rPr>
      </w:pPr>
      <w:r>
        <w:rPr>
          <w:rFonts w:ascii="Times New Roman" w:eastAsia="Calibri" w:hAnsi="Times New Roman" w:cs="Times New Roman"/>
        </w:rPr>
        <w:t xml:space="preserve">The Company has recently </w:t>
      </w:r>
      <w:r w:rsidR="002E44DD">
        <w:rPr>
          <w:rFonts w:ascii="Times New Roman" w:eastAsia="Calibri" w:hAnsi="Times New Roman" w:cs="Times New Roman"/>
        </w:rPr>
        <w:t xml:space="preserve">made outreach efforts to </w:t>
      </w:r>
      <w:r w:rsidR="007110D8">
        <w:rPr>
          <w:rFonts w:ascii="Times New Roman" w:eastAsia="Calibri" w:hAnsi="Times New Roman" w:cs="Times New Roman"/>
        </w:rPr>
        <w:t>achieve</w:t>
      </w:r>
      <w:r w:rsidR="00494219">
        <w:rPr>
          <w:rFonts w:ascii="Times New Roman" w:eastAsia="Calibri" w:hAnsi="Times New Roman" w:cs="Times New Roman"/>
        </w:rPr>
        <w:t xml:space="preserve"> </w:t>
      </w:r>
      <w:r w:rsidR="007110D8">
        <w:rPr>
          <w:rFonts w:ascii="Times New Roman" w:eastAsia="Calibri" w:hAnsi="Times New Roman" w:cs="Times New Roman"/>
        </w:rPr>
        <w:t>greater</w:t>
      </w:r>
      <w:r w:rsidR="00494219">
        <w:rPr>
          <w:rFonts w:ascii="Times New Roman" w:eastAsia="Calibri" w:hAnsi="Times New Roman" w:cs="Times New Roman"/>
        </w:rPr>
        <w:t xml:space="preserve"> pro</w:t>
      </w:r>
      <w:r w:rsidR="007110D8">
        <w:rPr>
          <w:rFonts w:ascii="Times New Roman" w:eastAsia="Calibri" w:hAnsi="Times New Roman" w:cs="Times New Roman"/>
        </w:rPr>
        <w:t>gram participation</w:t>
      </w:r>
      <w:r>
        <w:rPr>
          <w:rFonts w:ascii="Times New Roman" w:eastAsia="Calibri" w:hAnsi="Times New Roman" w:cs="Times New Roman"/>
        </w:rPr>
        <w:t xml:space="preserve"> with residential customers, including bill inserts and engaging auto dealerships.  </w:t>
      </w:r>
      <w:r w:rsidR="007110D8">
        <w:rPr>
          <w:rFonts w:ascii="Times New Roman" w:eastAsia="Calibri" w:hAnsi="Times New Roman" w:cs="Times New Roman"/>
        </w:rPr>
        <w:t xml:space="preserve"> </w:t>
      </w:r>
      <w:r w:rsidR="002E44DD">
        <w:rPr>
          <w:rFonts w:ascii="Times New Roman" w:eastAsia="Calibri" w:hAnsi="Times New Roman" w:cs="Times New Roman"/>
        </w:rPr>
        <w:t xml:space="preserve">Continued outreach is expected to be necessary through the remainder of the </w:t>
      </w:r>
      <w:r w:rsidR="006E7979">
        <w:rPr>
          <w:rFonts w:ascii="Times New Roman" w:eastAsia="Calibri" w:hAnsi="Times New Roman" w:cs="Times New Roman"/>
        </w:rPr>
        <w:t>program’s</w:t>
      </w:r>
      <w:r w:rsidR="002E44DD">
        <w:rPr>
          <w:rFonts w:ascii="Times New Roman" w:eastAsia="Calibri" w:hAnsi="Times New Roman" w:cs="Times New Roman"/>
        </w:rPr>
        <w:t xml:space="preserve"> installation period, in order to meet installation targets.</w:t>
      </w:r>
    </w:p>
    <w:p w14:paraId="7A56AA43" w14:textId="77777777" w:rsidR="00EB35B2" w:rsidRDefault="00EB35B2" w:rsidP="00EE7BE4">
      <w:pPr>
        <w:spacing w:line="360" w:lineRule="auto"/>
        <w:jc w:val="center"/>
        <w:rPr>
          <w:rFonts w:ascii="Times New Roman" w:eastAsia="Calibri" w:hAnsi="Times New Roman" w:cs="Times New Roman"/>
        </w:rPr>
      </w:pPr>
    </w:p>
    <w:p w14:paraId="69CED83B" w14:textId="77777777" w:rsidR="003A12C3" w:rsidRDefault="003A12C3" w:rsidP="00EE7BE4">
      <w:pPr>
        <w:spacing w:line="360" w:lineRule="auto"/>
        <w:jc w:val="both"/>
        <w:rPr>
          <w:rFonts w:ascii="Times New Roman" w:eastAsia="Calibri" w:hAnsi="Times New Roman" w:cs="Times New Roman"/>
        </w:rPr>
      </w:pPr>
      <w:r>
        <w:rPr>
          <w:rFonts w:ascii="Times New Roman" w:eastAsia="Calibri" w:hAnsi="Times New Roman" w:cs="Times New Roman"/>
        </w:rPr>
        <w:t xml:space="preserve">The chart </w:t>
      </w:r>
      <w:r w:rsidR="00272C01">
        <w:rPr>
          <w:rFonts w:ascii="Times New Roman" w:eastAsia="Calibri" w:hAnsi="Times New Roman" w:cs="Times New Roman"/>
        </w:rPr>
        <w:t xml:space="preserve">below shows the </w:t>
      </w:r>
      <w:r w:rsidR="00CB1A21">
        <w:rPr>
          <w:rFonts w:ascii="Times New Roman" w:eastAsia="Calibri" w:hAnsi="Times New Roman" w:cs="Times New Roman"/>
        </w:rPr>
        <w:t xml:space="preserve">residential </w:t>
      </w:r>
      <w:r>
        <w:rPr>
          <w:rFonts w:ascii="Times New Roman" w:eastAsia="Calibri" w:hAnsi="Times New Roman" w:cs="Times New Roman"/>
        </w:rPr>
        <w:t xml:space="preserve">installation cost components by job, ranging from a total of </w:t>
      </w:r>
      <w:r w:rsidR="00A500D6">
        <w:rPr>
          <w:rFonts w:ascii="Times New Roman" w:eastAsia="Calibri" w:hAnsi="Times New Roman" w:cs="Times New Roman"/>
        </w:rPr>
        <w:t>$</w:t>
      </w:r>
      <w:r w:rsidR="00CB1A21">
        <w:rPr>
          <w:rFonts w:ascii="Times New Roman" w:eastAsia="Calibri" w:hAnsi="Times New Roman" w:cs="Times New Roman"/>
        </w:rPr>
        <w:t>45</w:t>
      </w:r>
      <w:r w:rsidR="008B0A30">
        <w:rPr>
          <w:rFonts w:ascii="Times New Roman" w:eastAsia="Calibri" w:hAnsi="Times New Roman" w:cs="Times New Roman"/>
        </w:rPr>
        <w:t>2</w:t>
      </w:r>
      <w:r w:rsidR="00A500D6">
        <w:rPr>
          <w:rFonts w:ascii="Times New Roman" w:eastAsia="Calibri" w:hAnsi="Times New Roman" w:cs="Times New Roman"/>
        </w:rPr>
        <w:t xml:space="preserve"> to </w:t>
      </w:r>
      <w:r>
        <w:rPr>
          <w:rFonts w:ascii="Times New Roman" w:eastAsia="Calibri" w:hAnsi="Times New Roman" w:cs="Times New Roman"/>
        </w:rPr>
        <w:t>$3,</w:t>
      </w:r>
      <w:r w:rsidR="00CB1A21">
        <w:rPr>
          <w:rFonts w:ascii="Times New Roman" w:eastAsia="Calibri" w:hAnsi="Times New Roman" w:cs="Times New Roman"/>
        </w:rPr>
        <w:t>7</w:t>
      </w:r>
      <w:r w:rsidR="008B0A30">
        <w:rPr>
          <w:rFonts w:ascii="Times New Roman" w:eastAsia="Calibri" w:hAnsi="Times New Roman" w:cs="Times New Roman"/>
        </w:rPr>
        <w:t>21</w:t>
      </w:r>
      <w:r>
        <w:rPr>
          <w:rFonts w:ascii="Times New Roman" w:eastAsia="Calibri" w:hAnsi="Times New Roman" w:cs="Times New Roman"/>
        </w:rPr>
        <w:t xml:space="preserve">.  </w:t>
      </w:r>
      <w:r w:rsidR="008B0A30">
        <w:rPr>
          <w:rFonts w:ascii="Times New Roman" w:eastAsia="Calibri" w:hAnsi="Times New Roman" w:cs="Times New Roman"/>
        </w:rPr>
        <w:t>Low costs correspond to installations where a</w:t>
      </w:r>
      <w:r w:rsidR="00EF4FE9">
        <w:rPr>
          <w:rFonts w:ascii="Times New Roman" w:eastAsia="Calibri" w:hAnsi="Times New Roman" w:cs="Times New Roman"/>
        </w:rPr>
        <w:t>n adequate</w:t>
      </w:r>
      <w:r w:rsidR="008B0A30">
        <w:rPr>
          <w:rFonts w:ascii="Times New Roman" w:eastAsia="Calibri" w:hAnsi="Times New Roman" w:cs="Times New Roman"/>
        </w:rPr>
        <w:t xml:space="preserve"> 240V</w:t>
      </w:r>
      <w:r w:rsidR="00C2791F">
        <w:rPr>
          <w:rFonts w:ascii="Times New Roman" w:eastAsia="Calibri" w:hAnsi="Times New Roman" w:cs="Times New Roman"/>
        </w:rPr>
        <w:t xml:space="preserve"> </w:t>
      </w:r>
      <w:r w:rsidR="008B0A30">
        <w:rPr>
          <w:rFonts w:ascii="Times New Roman" w:eastAsia="Calibri" w:hAnsi="Times New Roman" w:cs="Times New Roman"/>
        </w:rPr>
        <w:t xml:space="preserve">AC circuit is already installed, with higher costs corresponding to a greater number of wall and floor penetrations, total circuit distance, and/or service upgrades.   </w:t>
      </w:r>
    </w:p>
    <w:p w14:paraId="3F4A2E12" w14:textId="77777777" w:rsidR="0056429C" w:rsidRDefault="0056429C" w:rsidP="00EE7BE4">
      <w:pPr>
        <w:spacing w:line="360" w:lineRule="auto"/>
        <w:rPr>
          <w:rFonts w:ascii="Times New Roman" w:eastAsia="Calibri" w:hAnsi="Times New Roman" w:cs="Times New Roman"/>
        </w:rPr>
      </w:pPr>
    </w:p>
    <w:p w14:paraId="1BD62BD4" w14:textId="77777777" w:rsidR="00F93984" w:rsidRPr="00F93984" w:rsidRDefault="00F93984" w:rsidP="00EE7BE4">
      <w:pPr>
        <w:spacing w:line="360" w:lineRule="auto"/>
        <w:rPr>
          <w:rFonts w:ascii="Times New Roman" w:eastAsia="Calibri" w:hAnsi="Times New Roman" w:cs="Times New Roman"/>
          <w:b/>
          <w:u w:val="single"/>
        </w:rPr>
      </w:pPr>
      <w:r w:rsidRPr="00F93984">
        <w:rPr>
          <w:rFonts w:ascii="Times New Roman" w:eastAsia="Calibri" w:hAnsi="Times New Roman" w:cs="Times New Roman"/>
          <w:b/>
          <w:u w:val="single"/>
        </w:rPr>
        <w:t>Chart No. 2</w:t>
      </w:r>
    </w:p>
    <w:p w14:paraId="025C1BD7" w14:textId="77777777" w:rsidR="00793793" w:rsidRDefault="00593237" w:rsidP="00EE7BE4">
      <w:pPr>
        <w:spacing w:line="360" w:lineRule="auto"/>
        <w:jc w:val="center"/>
        <w:rPr>
          <w:noProof/>
        </w:rPr>
      </w:pPr>
      <w:r>
        <w:rPr>
          <w:noProof/>
        </w:rPr>
        <w:drawing>
          <wp:inline distT="0" distB="0" distL="0" distR="0" wp14:anchorId="534F6343" wp14:editId="279FEC44">
            <wp:extent cx="5745480" cy="412056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8953" cy="4123052"/>
                    </a:xfrm>
                    <a:prstGeom prst="rect">
                      <a:avLst/>
                    </a:prstGeom>
                    <a:noFill/>
                  </pic:spPr>
                </pic:pic>
              </a:graphicData>
            </a:graphic>
          </wp:inline>
        </w:drawing>
      </w:r>
    </w:p>
    <w:p w14:paraId="22A4C6F2" w14:textId="77777777" w:rsidR="00EF4FE9" w:rsidRDefault="00EF4FE9" w:rsidP="00EE7BE4">
      <w:pPr>
        <w:spacing w:line="360" w:lineRule="auto"/>
        <w:jc w:val="both"/>
        <w:rPr>
          <w:rFonts w:ascii="Times New Roman" w:eastAsia="Calibri" w:hAnsi="Times New Roman" w:cs="Times New Roman"/>
        </w:rPr>
      </w:pPr>
    </w:p>
    <w:p w14:paraId="26710277" w14:textId="77777777" w:rsidR="00B47A63" w:rsidRDefault="00B47A63" w:rsidP="00EE7BE4">
      <w:pPr>
        <w:spacing w:line="360" w:lineRule="auto"/>
        <w:jc w:val="both"/>
        <w:rPr>
          <w:rFonts w:ascii="Times New Roman" w:eastAsia="Calibri" w:hAnsi="Times New Roman" w:cs="Times New Roman"/>
        </w:rPr>
      </w:pPr>
      <w:r>
        <w:rPr>
          <w:rFonts w:ascii="Times New Roman" w:eastAsia="Calibri" w:hAnsi="Times New Roman" w:cs="Times New Roman"/>
        </w:rPr>
        <w:t xml:space="preserve">Residential </w:t>
      </w:r>
      <w:r w:rsidR="0028383E">
        <w:rPr>
          <w:rFonts w:ascii="Times New Roman" w:eastAsia="Calibri" w:hAnsi="Times New Roman" w:cs="Times New Roman"/>
        </w:rPr>
        <w:t xml:space="preserve">installation </w:t>
      </w:r>
      <w:r>
        <w:rPr>
          <w:rFonts w:ascii="Times New Roman" w:eastAsia="Calibri" w:hAnsi="Times New Roman" w:cs="Times New Roman"/>
        </w:rPr>
        <w:t>cost breakdowns continue to meet expectations as shown by the average costs in the table below</w:t>
      </w:r>
      <w:r w:rsidR="008B0A30">
        <w:rPr>
          <w:rFonts w:ascii="Times New Roman" w:eastAsia="Calibri" w:hAnsi="Times New Roman" w:cs="Times New Roman"/>
        </w:rPr>
        <w:t>, with EVSE installed in 6</w:t>
      </w:r>
      <w:r>
        <w:rPr>
          <w:rFonts w:ascii="Times New Roman" w:eastAsia="Calibri" w:hAnsi="Times New Roman" w:cs="Times New Roman"/>
        </w:rPr>
        <w:t xml:space="preserve">6 customer homes thus far.   </w:t>
      </w:r>
    </w:p>
    <w:p w14:paraId="587863D3" w14:textId="77777777" w:rsidR="001B51A2" w:rsidRDefault="001B51A2">
      <w:pPr>
        <w:rPr>
          <w:rFonts w:ascii="Times New Roman" w:eastAsia="Calibri" w:hAnsi="Times New Roman" w:cs="Times New Roman"/>
        </w:rPr>
      </w:pPr>
      <w:r>
        <w:rPr>
          <w:rFonts w:ascii="Times New Roman" w:eastAsia="Calibri" w:hAnsi="Times New Roman" w:cs="Times New Roman"/>
        </w:rPr>
        <w:br w:type="page"/>
      </w:r>
    </w:p>
    <w:p w14:paraId="1D9A7244" w14:textId="77777777" w:rsidR="00F93984" w:rsidRDefault="00EF4FE9" w:rsidP="00EE7BE4">
      <w:pPr>
        <w:spacing w:line="360" w:lineRule="auto"/>
        <w:jc w:val="both"/>
        <w:rPr>
          <w:rFonts w:ascii="Times New Roman" w:eastAsia="Calibri" w:hAnsi="Times New Roman" w:cs="Times New Roman"/>
          <w:b/>
          <w:u w:val="single"/>
        </w:rPr>
      </w:pPr>
      <w:r>
        <w:rPr>
          <w:rFonts w:ascii="Times New Roman" w:eastAsia="Calibri" w:hAnsi="Times New Roman" w:cs="Times New Roman"/>
          <w:b/>
          <w:u w:val="single"/>
        </w:rPr>
        <w:lastRenderedPageBreak/>
        <w:t xml:space="preserve">Table No. </w:t>
      </w:r>
      <w:r w:rsidR="00C2791F">
        <w:rPr>
          <w:rFonts w:ascii="Times New Roman" w:eastAsia="Calibri" w:hAnsi="Times New Roman" w:cs="Times New Roman"/>
          <w:b/>
          <w:u w:val="single"/>
        </w:rPr>
        <w:t>3</w:t>
      </w:r>
    </w:p>
    <w:p w14:paraId="491E61A9" w14:textId="77777777" w:rsidR="00C2791F" w:rsidRPr="008D5754" w:rsidRDefault="00C2791F" w:rsidP="00EE7BE4">
      <w:pPr>
        <w:spacing w:line="360" w:lineRule="auto"/>
        <w:jc w:val="both"/>
        <w:rPr>
          <w:rFonts w:ascii="Times New Roman" w:eastAsia="Calibri" w:hAnsi="Times New Roman" w:cs="Times New Roman"/>
          <w:b/>
        </w:rPr>
      </w:pPr>
      <w:r w:rsidRPr="008D5754">
        <w:rPr>
          <w:rFonts w:ascii="Times New Roman" w:eastAsia="Calibri" w:hAnsi="Times New Roman" w:cs="Times New Roman"/>
          <w:b/>
        </w:rPr>
        <w:t>Average cost per component for residential installations:</w:t>
      </w:r>
    </w:p>
    <w:tbl>
      <w:tblPr>
        <w:tblStyle w:val="TableGrid"/>
        <w:tblW w:w="0" w:type="auto"/>
        <w:tblLook w:val="04A0" w:firstRow="1" w:lastRow="0" w:firstColumn="1" w:lastColumn="0" w:noHBand="0" w:noVBand="1"/>
      </w:tblPr>
      <w:tblGrid>
        <w:gridCol w:w="1681"/>
        <w:gridCol w:w="1538"/>
        <w:gridCol w:w="1539"/>
        <w:gridCol w:w="1539"/>
        <w:gridCol w:w="1513"/>
        <w:gridCol w:w="1540"/>
      </w:tblGrid>
      <w:tr w:rsidR="00B47A63" w14:paraId="48FF1A0A" w14:textId="77777777" w:rsidTr="002243F0">
        <w:tc>
          <w:tcPr>
            <w:tcW w:w="1558" w:type="dxa"/>
          </w:tcPr>
          <w:p w14:paraId="2D956AC2" w14:textId="77777777" w:rsidR="00B47A63" w:rsidRPr="002A103E" w:rsidRDefault="00B47A63" w:rsidP="00EE7BE4">
            <w:pPr>
              <w:jc w:val="center"/>
              <w:rPr>
                <w:rFonts w:asciiTheme="majorHAnsi" w:eastAsia="Calibri" w:hAnsiTheme="majorHAnsi" w:cs="Times New Roman"/>
                <w:b/>
                <w:sz w:val="22"/>
                <w:szCs w:val="22"/>
              </w:rPr>
            </w:pPr>
            <w:r w:rsidRPr="002A103E">
              <w:rPr>
                <w:rFonts w:asciiTheme="majorHAnsi" w:eastAsia="Calibri" w:hAnsiTheme="majorHAnsi" w:cs="Times New Roman"/>
                <w:b/>
                <w:sz w:val="22"/>
                <w:szCs w:val="22"/>
              </w:rPr>
              <w:t>Premises Wiring Reimbursement</w:t>
            </w:r>
          </w:p>
        </w:tc>
        <w:tc>
          <w:tcPr>
            <w:tcW w:w="1558" w:type="dxa"/>
          </w:tcPr>
          <w:p w14:paraId="582D7090" w14:textId="77777777" w:rsidR="00B47A63" w:rsidRDefault="00B47A63" w:rsidP="00EE7BE4">
            <w:pPr>
              <w:jc w:val="center"/>
              <w:rPr>
                <w:rFonts w:asciiTheme="majorHAnsi" w:eastAsia="Calibri" w:hAnsiTheme="majorHAnsi" w:cs="Times New Roman"/>
                <w:b/>
                <w:sz w:val="22"/>
                <w:szCs w:val="22"/>
              </w:rPr>
            </w:pPr>
          </w:p>
          <w:p w14:paraId="62442737" w14:textId="77777777" w:rsidR="00B47A63" w:rsidRPr="002A103E" w:rsidRDefault="00B47A63" w:rsidP="00EE7BE4">
            <w:pPr>
              <w:jc w:val="center"/>
              <w:rPr>
                <w:rFonts w:asciiTheme="majorHAnsi" w:eastAsia="Calibri" w:hAnsiTheme="majorHAnsi" w:cs="Times New Roman"/>
                <w:b/>
                <w:sz w:val="22"/>
                <w:szCs w:val="22"/>
              </w:rPr>
            </w:pPr>
            <w:r w:rsidRPr="002A103E">
              <w:rPr>
                <w:rFonts w:asciiTheme="majorHAnsi" w:eastAsia="Calibri" w:hAnsiTheme="majorHAnsi" w:cs="Times New Roman"/>
                <w:b/>
                <w:sz w:val="22"/>
                <w:szCs w:val="22"/>
              </w:rPr>
              <w:t>Customer’s Cost</w:t>
            </w:r>
          </w:p>
        </w:tc>
        <w:tc>
          <w:tcPr>
            <w:tcW w:w="1558" w:type="dxa"/>
          </w:tcPr>
          <w:p w14:paraId="6BA16030" w14:textId="77777777" w:rsidR="00B47A63" w:rsidRDefault="00B47A63" w:rsidP="00EE7BE4">
            <w:pPr>
              <w:jc w:val="center"/>
              <w:rPr>
                <w:rFonts w:asciiTheme="majorHAnsi" w:eastAsia="Calibri" w:hAnsiTheme="majorHAnsi" w:cs="Times New Roman"/>
                <w:b/>
                <w:sz w:val="22"/>
                <w:szCs w:val="22"/>
              </w:rPr>
            </w:pPr>
          </w:p>
          <w:p w14:paraId="28F41144" w14:textId="77777777" w:rsidR="00B47A63" w:rsidRPr="002A103E" w:rsidRDefault="00420A0D" w:rsidP="00EE7BE4">
            <w:pPr>
              <w:jc w:val="center"/>
              <w:rPr>
                <w:rFonts w:asciiTheme="majorHAnsi" w:eastAsia="Calibri" w:hAnsiTheme="majorHAnsi" w:cs="Times New Roman"/>
                <w:b/>
                <w:sz w:val="22"/>
                <w:szCs w:val="22"/>
              </w:rPr>
            </w:pPr>
            <w:r>
              <w:rPr>
                <w:rFonts w:asciiTheme="majorHAnsi" w:eastAsia="Calibri" w:hAnsiTheme="majorHAnsi" w:cs="Times New Roman"/>
                <w:b/>
                <w:sz w:val="22"/>
                <w:szCs w:val="22"/>
              </w:rPr>
              <w:t>Utility Hardware &amp; Installation Cost</w:t>
            </w:r>
          </w:p>
        </w:tc>
        <w:tc>
          <w:tcPr>
            <w:tcW w:w="1558" w:type="dxa"/>
          </w:tcPr>
          <w:p w14:paraId="3647330C" w14:textId="77777777" w:rsidR="00B47A63" w:rsidRPr="002A103E" w:rsidRDefault="00B47A63" w:rsidP="00EE7BE4">
            <w:pPr>
              <w:jc w:val="center"/>
              <w:rPr>
                <w:rFonts w:asciiTheme="majorHAnsi" w:eastAsia="Calibri" w:hAnsiTheme="majorHAnsi" w:cs="Times New Roman"/>
                <w:b/>
                <w:sz w:val="22"/>
                <w:szCs w:val="22"/>
              </w:rPr>
            </w:pPr>
            <w:r w:rsidRPr="002A103E">
              <w:rPr>
                <w:rFonts w:asciiTheme="majorHAnsi" w:eastAsia="Calibri" w:hAnsiTheme="majorHAnsi" w:cs="Times New Roman"/>
                <w:b/>
                <w:sz w:val="22"/>
                <w:szCs w:val="22"/>
              </w:rPr>
              <w:t>Total Installation Cost</w:t>
            </w:r>
          </w:p>
        </w:tc>
        <w:tc>
          <w:tcPr>
            <w:tcW w:w="1559" w:type="dxa"/>
          </w:tcPr>
          <w:p w14:paraId="647E28ED" w14:textId="77777777" w:rsidR="00B47A63" w:rsidRDefault="00B47A63" w:rsidP="00EE7BE4">
            <w:pPr>
              <w:jc w:val="center"/>
              <w:rPr>
                <w:rFonts w:asciiTheme="majorHAnsi" w:eastAsia="Calibri" w:hAnsiTheme="majorHAnsi" w:cs="Times New Roman"/>
                <w:b/>
                <w:sz w:val="22"/>
                <w:szCs w:val="22"/>
              </w:rPr>
            </w:pPr>
          </w:p>
          <w:p w14:paraId="56F4F692" w14:textId="77777777" w:rsidR="00B47A63" w:rsidRPr="002A103E" w:rsidRDefault="00B47A63" w:rsidP="00EE7BE4">
            <w:pPr>
              <w:jc w:val="center"/>
              <w:rPr>
                <w:rFonts w:asciiTheme="majorHAnsi" w:eastAsia="Calibri" w:hAnsiTheme="majorHAnsi" w:cs="Times New Roman"/>
                <w:b/>
                <w:sz w:val="22"/>
                <w:szCs w:val="22"/>
              </w:rPr>
            </w:pPr>
            <w:r w:rsidRPr="002A103E">
              <w:rPr>
                <w:rFonts w:asciiTheme="majorHAnsi" w:eastAsia="Calibri" w:hAnsiTheme="majorHAnsi" w:cs="Times New Roman"/>
                <w:b/>
                <w:sz w:val="22"/>
                <w:szCs w:val="22"/>
              </w:rPr>
              <w:t>EVSE Cost</w:t>
            </w:r>
          </w:p>
        </w:tc>
        <w:tc>
          <w:tcPr>
            <w:tcW w:w="1559" w:type="dxa"/>
          </w:tcPr>
          <w:p w14:paraId="0EA41D27" w14:textId="77777777" w:rsidR="00B47A63" w:rsidRPr="002A103E" w:rsidRDefault="00B47A63" w:rsidP="00EE7BE4">
            <w:pPr>
              <w:jc w:val="center"/>
              <w:rPr>
                <w:rFonts w:asciiTheme="majorHAnsi" w:eastAsia="Calibri" w:hAnsiTheme="majorHAnsi" w:cs="Times New Roman"/>
                <w:b/>
                <w:sz w:val="22"/>
                <w:szCs w:val="22"/>
              </w:rPr>
            </w:pPr>
            <w:r w:rsidRPr="002A103E">
              <w:rPr>
                <w:rFonts w:asciiTheme="majorHAnsi" w:eastAsia="Calibri" w:hAnsiTheme="majorHAnsi" w:cs="Times New Roman"/>
                <w:b/>
                <w:sz w:val="22"/>
                <w:szCs w:val="22"/>
              </w:rPr>
              <w:t>Total Cost</w:t>
            </w:r>
            <w:r>
              <w:rPr>
                <w:rFonts w:asciiTheme="majorHAnsi" w:eastAsia="Calibri" w:hAnsiTheme="majorHAnsi" w:cs="Times New Roman"/>
                <w:b/>
                <w:sz w:val="22"/>
                <w:szCs w:val="22"/>
              </w:rPr>
              <w:t>s</w:t>
            </w:r>
            <w:r w:rsidRPr="002A103E">
              <w:rPr>
                <w:rFonts w:asciiTheme="majorHAnsi" w:eastAsia="Calibri" w:hAnsiTheme="majorHAnsi" w:cs="Times New Roman"/>
                <w:b/>
                <w:sz w:val="22"/>
                <w:szCs w:val="22"/>
              </w:rPr>
              <w:t xml:space="preserve"> Installation + EVSE</w:t>
            </w:r>
          </w:p>
        </w:tc>
      </w:tr>
      <w:tr w:rsidR="00B47A63" w14:paraId="70C543EC" w14:textId="77777777" w:rsidTr="002243F0">
        <w:tc>
          <w:tcPr>
            <w:tcW w:w="1558" w:type="dxa"/>
          </w:tcPr>
          <w:p w14:paraId="7D96C64C" w14:textId="77777777" w:rsidR="00B47A63" w:rsidRPr="00696D4E" w:rsidRDefault="008B0A30" w:rsidP="00EE7BE4">
            <w:pPr>
              <w:spacing w:before="120" w:line="360" w:lineRule="auto"/>
              <w:jc w:val="center"/>
              <w:rPr>
                <w:rFonts w:asciiTheme="majorHAnsi" w:eastAsia="Calibri" w:hAnsiTheme="majorHAnsi" w:cs="Times New Roman"/>
                <w:sz w:val="22"/>
                <w:szCs w:val="22"/>
              </w:rPr>
            </w:pPr>
            <w:r>
              <w:rPr>
                <w:rFonts w:asciiTheme="majorHAnsi" w:eastAsia="Calibri" w:hAnsiTheme="majorHAnsi" w:cs="Times New Roman"/>
                <w:sz w:val="22"/>
                <w:szCs w:val="22"/>
              </w:rPr>
              <w:t>$665</w:t>
            </w:r>
          </w:p>
        </w:tc>
        <w:tc>
          <w:tcPr>
            <w:tcW w:w="1558" w:type="dxa"/>
          </w:tcPr>
          <w:p w14:paraId="1C425B8E" w14:textId="77777777" w:rsidR="00B47A63" w:rsidRPr="00696D4E" w:rsidRDefault="00DE16F5" w:rsidP="00EE7BE4">
            <w:pPr>
              <w:spacing w:before="120" w:line="360" w:lineRule="auto"/>
              <w:jc w:val="center"/>
              <w:rPr>
                <w:rFonts w:asciiTheme="majorHAnsi" w:eastAsia="Calibri" w:hAnsiTheme="majorHAnsi" w:cs="Times New Roman"/>
                <w:sz w:val="22"/>
                <w:szCs w:val="22"/>
              </w:rPr>
            </w:pPr>
            <w:r>
              <w:rPr>
                <w:rFonts w:asciiTheme="majorHAnsi" w:eastAsia="Calibri" w:hAnsiTheme="majorHAnsi" w:cs="Times New Roman"/>
                <w:sz w:val="22"/>
                <w:szCs w:val="22"/>
              </w:rPr>
              <w:t>$308</w:t>
            </w:r>
          </w:p>
        </w:tc>
        <w:tc>
          <w:tcPr>
            <w:tcW w:w="1558" w:type="dxa"/>
          </w:tcPr>
          <w:p w14:paraId="38BF197F" w14:textId="77777777" w:rsidR="00B47A63" w:rsidRPr="00696D4E" w:rsidRDefault="008B0A30" w:rsidP="00EE7BE4">
            <w:pPr>
              <w:spacing w:before="120" w:line="360" w:lineRule="auto"/>
              <w:jc w:val="center"/>
              <w:rPr>
                <w:rFonts w:asciiTheme="majorHAnsi" w:eastAsia="Calibri" w:hAnsiTheme="majorHAnsi" w:cs="Times New Roman"/>
                <w:sz w:val="22"/>
                <w:szCs w:val="22"/>
              </w:rPr>
            </w:pPr>
            <w:r>
              <w:rPr>
                <w:rFonts w:asciiTheme="majorHAnsi" w:eastAsia="Calibri" w:hAnsiTheme="majorHAnsi" w:cs="Times New Roman"/>
                <w:sz w:val="22"/>
                <w:szCs w:val="22"/>
              </w:rPr>
              <w:t>$404</w:t>
            </w:r>
          </w:p>
        </w:tc>
        <w:tc>
          <w:tcPr>
            <w:tcW w:w="1558" w:type="dxa"/>
          </w:tcPr>
          <w:p w14:paraId="1641FED9" w14:textId="77777777" w:rsidR="00B47A63" w:rsidRPr="00696D4E" w:rsidRDefault="00DE16F5" w:rsidP="00EE7BE4">
            <w:pPr>
              <w:spacing w:before="120" w:line="360" w:lineRule="auto"/>
              <w:jc w:val="center"/>
              <w:rPr>
                <w:rFonts w:asciiTheme="majorHAnsi" w:eastAsia="Calibri" w:hAnsiTheme="majorHAnsi" w:cs="Times New Roman"/>
                <w:sz w:val="22"/>
                <w:szCs w:val="22"/>
              </w:rPr>
            </w:pPr>
            <w:r>
              <w:rPr>
                <w:rFonts w:asciiTheme="majorHAnsi" w:eastAsia="Calibri" w:hAnsiTheme="majorHAnsi" w:cs="Times New Roman"/>
                <w:sz w:val="22"/>
                <w:szCs w:val="22"/>
              </w:rPr>
              <w:t>$1,356</w:t>
            </w:r>
          </w:p>
        </w:tc>
        <w:tc>
          <w:tcPr>
            <w:tcW w:w="1559" w:type="dxa"/>
          </w:tcPr>
          <w:p w14:paraId="7CDA78E9" w14:textId="77777777" w:rsidR="00B47A63" w:rsidRPr="00696D4E" w:rsidRDefault="00B47A63" w:rsidP="00EE7BE4">
            <w:pPr>
              <w:spacing w:before="120" w:line="360" w:lineRule="auto"/>
              <w:jc w:val="center"/>
              <w:rPr>
                <w:rFonts w:asciiTheme="majorHAnsi" w:eastAsia="Calibri" w:hAnsiTheme="majorHAnsi" w:cs="Times New Roman"/>
                <w:sz w:val="22"/>
                <w:szCs w:val="22"/>
              </w:rPr>
            </w:pPr>
            <w:r w:rsidRPr="00696D4E">
              <w:rPr>
                <w:rFonts w:asciiTheme="majorHAnsi" w:eastAsia="Calibri" w:hAnsiTheme="majorHAnsi" w:cs="Times New Roman"/>
                <w:sz w:val="22"/>
                <w:szCs w:val="22"/>
              </w:rPr>
              <w:t>$1,066</w:t>
            </w:r>
          </w:p>
        </w:tc>
        <w:tc>
          <w:tcPr>
            <w:tcW w:w="1559" w:type="dxa"/>
          </w:tcPr>
          <w:p w14:paraId="645D77AE" w14:textId="77777777" w:rsidR="00B47A63" w:rsidRPr="00696D4E" w:rsidRDefault="00DE16F5" w:rsidP="00EE7BE4">
            <w:pPr>
              <w:spacing w:before="120" w:line="360" w:lineRule="auto"/>
              <w:jc w:val="center"/>
              <w:rPr>
                <w:rFonts w:asciiTheme="majorHAnsi" w:eastAsia="Calibri" w:hAnsiTheme="majorHAnsi" w:cs="Times New Roman"/>
                <w:sz w:val="22"/>
                <w:szCs w:val="22"/>
              </w:rPr>
            </w:pPr>
            <w:r>
              <w:rPr>
                <w:rFonts w:asciiTheme="majorHAnsi" w:eastAsia="Calibri" w:hAnsiTheme="majorHAnsi" w:cs="Times New Roman"/>
                <w:sz w:val="22"/>
                <w:szCs w:val="22"/>
              </w:rPr>
              <w:t>$2,422</w:t>
            </w:r>
          </w:p>
        </w:tc>
      </w:tr>
    </w:tbl>
    <w:p w14:paraId="5ACB9C49" w14:textId="77777777" w:rsidR="00B47A63" w:rsidRDefault="00B47A63" w:rsidP="00EE7BE4">
      <w:pPr>
        <w:spacing w:line="360" w:lineRule="auto"/>
        <w:jc w:val="center"/>
        <w:rPr>
          <w:rFonts w:ascii="Times New Roman" w:eastAsia="Calibri" w:hAnsi="Times New Roman" w:cs="Times New Roman"/>
        </w:rPr>
      </w:pPr>
    </w:p>
    <w:p w14:paraId="7AF27705" w14:textId="77777777" w:rsidR="009B2424" w:rsidRDefault="009B2424" w:rsidP="00DF6C21">
      <w:pPr>
        <w:spacing w:line="360" w:lineRule="auto"/>
        <w:jc w:val="both"/>
        <w:rPr>
          <w:rFonts w:ascii="Times New Roman" w:eastAsia="Calibri" w:hAnsi="Times New Roman" w:cs="Times New Roman"/>
        </w:rPr>
      </w:pPr>
      <w:r>
        <w:rPr>
          <w:rFonts w:ascii="Times New Roman" w:eastAsia="Calibri" w:hAnsi="Times New Roman" w:cs="Times New Roman"/>
        </w:rPr>
        <w:t>The following chart shows the status of commercial applications and installations by category</w:t>
      </w:r>
      <w:r w:rsidR="007C7078">
        <w:rPr>
          <w:rStyle w:val="FootnoteReference"/>
          <w:rFonts w:ascii="Times New Roman" w:eastAsia="Calibri" w:hAnsi="Times New Roman" w:cs="Times New Roman"/>
        </w:rPr>
        <w:footnoteReference w:id="3"/>
      </w:r>
      <w:r>
        <w:rPr>
          <w:rFonts w:ascii="Times New Roman" w:eastAsia="Calibri" w:hAnsi="Times New Roman" w:cs="Times New Roman"/>
        </w:rPr>
        <w:t>:</w:t>
      </w:r>
    </w:p>
    <w:p w14:paraId="4E536EB7" w14:textId="77777777" w:rsidR="00F93984" w:rsidRDefault="00960C9D" w:rsidP="00DF6C21">
      <w:pPr>
        <w:jc w:val="both"/>
        <w:rPr>
          <w:rFonts w:ascii="Times New Roman" w:eastAsia="Calibri" w:hAnsi="Times New Roman" w:cs="Times New Roman"/>
          <w:b/>
          <w:u w:val="single"/>
        </w:rPr>
      </w:pPr>
      <w:r>
        <w:rPr>
          <w:rFonts w:ascii="Times New Roman" w:eastAsia="Calibri" w:hAnsi="Times New Roman" w:cs="Times New Roman"/>
          <w:b/>
          <w:u w:val="single"/>
        </w:rPr>
        <w:t>Chart No. 3</w:t>
      </w:r>
    </w:p>
    <w:p w14:paraId="71CB4994" w14:textId="77777777" w:rsidR="009B2424" w:rsidRDefault="00960C9D" w:rsidP="00EE7BE4">
      <w:pPr>
        <w:spacing w:line="36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14:anchorId="3D37A7E6" wp14:editId="1B30E911">
            <wp:extent cx="5942453" cy="2773680"/>
            <wp:effectExtent l="0" t="0" r="127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row1.JPG"/>
                    <pic:cNvPicPr/>
                  </pic:nvPicPr>
                  <pic:blipFill>
                    <a:blip r:embed="rId13">
                      <a:extLst>
                        <a:ext uri="{28A0092B-C50C-407E-A947-70E740481C1C}">
                          <a14:useLocalDpi xmlns:a14="http://schemas.microsoft.com/office/drawing/2010/main" val="0"/>
                        </a:ext>
                      </a:extLst>
                    </a:blip>
                    <a:stretch>
                      <a:fillRect/>
                    </a:stretch>
                  </pic:blipFill>
                  <pic:spPr>
                    <a:xfrm>
                      <a:off x="0" y="0"/>
                      <a:ext cx="5955590" cy="2779812"/>
                    </a:xfrm>
                    <a:prstGeom prst="rect">
                      <a:avLst/>
                    </a:prstGeom>
                  </pic:spPr>
                </pic:pic>
              </a:graphicData>
            </a:graphic>
          </wp:inline>
        </w:drawing>
      </w:r>
    </w:p>
    <w:p w14:paraId="1ED2B093" w14:textId="77777777" w:rsidR="0028383E" w:rsidRDefault="0028383E" w:rsidP="00EE7BE4">
      <w:pPr>
        <w:spacing w:line="360" w:lineRule="auto"/>
        <w:jc w:val="both"/>
        <w:rPr>
          <w:rFonts w:ascii="Times New Roman" w:hAnsi="Times New Roman" w:cs="Times New Roman"/>
        </w:rPr>
      </w:pPr>
    </w:p>
    <w:p w14:paraId="13CCA9FB" w14:textId="77777777" w:rsidR="0065047C" w:rsidRDefault="00960C9D" w:rsidP="00EE7BE4">
      <w:pPr>
        <w:spacing w:line="360" w:lineRule="auto"/>
        <w:jc w:val="both"/>
        <w:rPr>
          <w:rFonts w:ascii="Times New Roman" w:hAnsi="Times New Roman" w:cs="Times New Roman"/>
        </w:rPr>
      </w:pPr>
      <w:r>
        <w:rPr>
          <w:rFonts w:ascii="Times New Roman" w:hAnsi="Times New Roman" w:cs="Times New Roman"/>
        </w:rPr>
        <w:t xml:space="preserve">Commercial installation site agreements and scheduling have increased recently, with a corresponding higher </w:t>
      </w:r>
      <w:r w:rsidR="00221113">
        <w:rPr>
          <w:rFonts w:ascii="Times New Roman" w:hAnsi="Times New Roman" w:cs="Times New Roman"/>
        </w:rPr>
        <w:t>rate of commercial AC Level 2 installations</w:t>
      </w:r>
      <w:r>
        <w:rPr>
          <w:rFonts w:ascii="Times New Roman" w:hAnsi="Times New Roman" w:cs="Times New Roman"/>
        </w:rPr>
        <w:t>, including new installations in fleet, MUD, and public applications.  However, as with the residential installations, a s</w:t>
      </w:r>
      <w:r w:rsidR="00221113">
        <w:rPr>
          <w:rFonts w:ascii="Times New Roman" w:hAnsi="Times New Roman" w:cs="Times New Roman"/>
        </w:rPr>
        <w:t xml:space="preserve">trong effort will be required to </w:t>
      </w:r>
      <w:r w:rsidR="008D40CA">
        <w:rPr>
          <w:rFonts w:ascii="Times New Roman" w:hAnsi="Times New Roman" w:cs="Times New Roman"/>
        </w:rPr>
        <w:t>achieve the targeted levels of workplace and public installations for the program</w:t>
      </w:r>
      <w:r>
        <w:rPr>
          <w:rFonts w:ascii="Times New Roman" w:hAnsi="Times New Roman" w:cs="Times New Roman"/>
        </w:rPr>
        <w:t xml:space="preserve"> by July 2018</w:t>
      </w:r>
      <w:r w:rsidR="008D40CA">
        <w:rPr>
          <w:rFonts w:ascii="Times New Roman" w:hAnsi="Times New Roman" w:cs="Times New Roman"/>
        </w:rPr>
        <w:t xml:space="preserve">.  </w:t>
      </w:r>
    </w:p>
    <w:p w14:paraId="2DA1CCF7" w14:textId="77777777" w:rsidR="00696D4E" w:rsidRDefault="00696D4E" w:rsidP="00EE7BE4">
      <w:pPr>
        <w:spacing w:line="360" w:lineRule="auto"/>
        <w:jc w:val="both"/>
        <w:rPr>
          <w:rFonts w:ascii="Times New Roman" w:hAnsi="Times New Roman" w:cs="Times New Roman"/>
        </w:rPr>
      </w:pPr>
    </w:p>
    <w:p w14:paraId="3340DDD9" w14:textId="77777777" w:rsidR="004F0435" w:rsidRDefault="004F0435" w:rsidP="00EE7BE4">
      <w:pPr>
        <w:spacing w:line="360" w:lineRule="auto"/>
        <w:jc w:val="both"/>
        <w:rPr>
          <w:rFonts w:ascii="Times New Roman" w:hAnsi="Times New Roman" w:cs="Times New Roman"/>
        </w:rPr>
      </w:pPr>
      <w:r>
        <w:rPr>
          <w:rFonts w:ascii="Times New Roman" w:hAnsi="Times New Roman" w:cs="Times New Roman"/>
        </w:rPr>
        <w:lastRenderedPageBreak/>
        <w:t xml:space="preserve">The cost components of commercial installations at </w:t>
      </w:r>
      <w:r w:rsidR="00960C9D">
        <w:rPr>
          <w:rFonts w:ascii="Times New Roman" w:hAnsi="Times New Roman" w:cs="Times New Roman"/>
        </w:rPr>
        <w:t>ten</w:t>
      </w:r>
      <w:r>
        <w:rPr>
          <w:rFonts w:ascii="Times New Roman" w:hAnsi="Times New Roman" w:cs="Times New Roman"/>
        </w:rPr>
        <w:t xml:space="preserve"> different </w:t>
      </w:r>
      <w:r w:rsidR="00656931">
        <w:rPr>
          <w:rFonts w:ascii="Times New Roman" w:hAnsi="Times New Roman" w:cs="Times New Roman"/>
        </w:rPr>
        <w:t xml:space="preserve">locations </w:t>
      </w:r>
      <w:r>
        <w:rPr>
          <w:rFonts w:ascii="Times New Roman" w:hAnsi="Times New Roman" w:cs="Times New Roman"/>
        </w:rPr>
        <w:t>are shown below</w:t>
      </w:r>
      <w:r w:rsidR="00960C9D">
        <w:rPr>
          <w:rFonts w:ascii="Times New Roman" w:hAnsi="Times New Roman" w:cs="Times New Roman"/>
        </w:rPr>
        <w:t>.</w:t>
      </w:r>
      <w:r w:rsidR="00656931">
        <w:rPr>
          <w:rFonts w:ascii="Times New Roman" w:hAnsi="Times New Roman" w:cs="Times New Roman"/>
        </w:rPr>
        <w:t xml:space="preserve"> </w:t>
      </w:r>
      <w:r w:rsidR="00960C9D">
        <w:rPr>
          <w:rFonts w:ascii="Times New Roman" w:hAnsi="Times New Roman" w:cs="Times New Roman"/>
        </w:rPr>
        <w:t xml:space="preserve">These EVSE locations are </w:t>
      </w:r>
      <w:r w:rsidR="00656931">
        <w:rPr>
          <w:rFonts w:ascii="Times New Roman" w:hAnsi="Times New Roman" w:cs="Times New Roman"/>
        </w:rPr>
        <w:t>primarily used as workplace charging for employees:</w:t>
      </w:r>
    </w:p>
    <w:p w14:paraId="5A8B978F" w14:textId="77777777" w:rsidR="00EE7BE4" w:rsidRDefault="00EE7BE4" w:rsidP="00EE7BE4">
      <w:pPr>
        <w:spacing w:line="360" w:lineRule="auto"/>
        <w:jc w:val="both"/>
        <w:rPr>
          <w:rFonts w:ascii="Times New Roman" w:hAnsi="Times New Roman" w:cs="Times New Roman"/>
          <w:b/>
          <w:u w:val="single"/>
        </w:rPr>
      </w:pPr>
    </w:p>
    <w:p w14:paraId="38423EF6" w14:textId="77777777" w:rsidR="00F93984" w:rsidRDefault="00980844" w:rsidP="00EE7BE4">
      <w:pPr>
        <w:spacing w:line="360" w:lineRule="auto"/>
        <w:jc w:val="both"/>
        <w:rPr>
          <w:rFonts w:ascii="Times New Roman" w:hAnsi="Times New Roman" w:cs="Times New Roman"/>
          <w:b/>
          <w:u w:val="single"/>
        </w:rPr>
      </w:pPr>
      <w:r>
        <w:rPr>
          <w:rFonts w:ascii="Times New Roman" w:hAnsi="Times New Roman" w:cs="Times New Roman"/>
          <w:b/>
          <w:u w:val="single"/>
        </w:rPr>
        <w:t>Chart No. 4</w:t>
      </w:r>
    </w:p>
    <w:p w14:paraId="6076406D" w14:textId="77777777" w:rsidR="0065047C" w:rsidRDefault="001B51A2" w:rsidP="00EE7BE4">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E69E1BB" wp14:editId="7F059161">
            <wp:extent cx="5728336" cy="37642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6" cy="3773881"/>
                    </a:xfrm>
                    <a:prstGeom prst="rect">
                      <a:avLst/>
                    </a:prstGeom>
                    <a:noFill/>
                  </pic:spPr>
                </pic:pic>
              </a:graphicData>
            </a:graphic>
          </wp:inline>
        </w:drawing>
      </w:r>
    </w:p>
    <w:p w14:paraId="3392865E" w14:textId="77777777" w:rsidR="00D95F08" w:rsidRDefault="00D95F08" w:rsidP="00EE7BE4">
      <w:pPr>
        <w:spacing w:line="360" w:lineRule="auto"/>
        <w:jc w:val="both"/>
        <w:rPr>
          <w:rFonts w:ascii="Times New Roman" w:hAnsi="Times New Roman" w:cs="Times New Roman"/>
        </w:rPr>
      </w:pPr>
    </w:p>
    <w:p w14:paraId="173985CA" w14:textId="77777777" w:rsidR="00656931" w:rsidRDefault="00477D20" w:rsidP="00EE7BE4">
      <w:pPr>
        <w:spacing w:line="360" w:lineRule="auto"/>
        <w:jc w:val="both"/>
        <w:rPr>
          <w:rFonts w:ascii="Times New Roman" w:hAnsi="Times New Roman" w:cs="Times New Roman"/>
        </w:rPr>
      </w:pPr>
      <w:r>
        <w:rPr>
          <w:rFonts w:ascii="Times New Roman" w:hAnsi="Times New Roman" w:cs="Times New Roman"/>
        </w:rPr>
        <w:t>Lower costs</w:t>
      </w:r>
      <w:r w:rsidR="00960C9D">
        <w:rPr>
          <w:rFonts w:ascii="Times New Roman" w:hAnsi="Times New Roman" w:cs="Times New Roman"/>
        </w:rPr>
        <w:t xml:space="preserve"> correspond to simpler installa</w:t>
      </w:r>
      <w:r w:rsidR="00DD7A83">
        <w:rPr>
          <w:rFonts w:ascii="Times New Roman" w:hAnsi="Times New Roman" w:cs="Times New Roman"/>
        </w:rPr>
        <w:t>tion</w:t>
      </w:r>
      <w:r>
        <w:rPr>
          <w:rFonts w:ascii="Times New Roman" w:hAnsi="Times New Roman" w:cs="Times New Roman"/>
        </w:rPr>
        <w:t xml:space="preserve">s avoiding service upgrades and </w:t>
      </w:r>
      <w:r w:rsidR="00960C9D">
        <w:rPr>
          <w:rFonts w:ascii="Times New Roman" w:hAnsi="Times New Roman" w:cs="Times New Roman"/>
        </w:rPr>
        <w:t>trenchwork, l</w:t>
      </w:r>
      <w:r>
        <w:rPr>
          <w:rFonts w:ascii="Times New Roman" w:hAnsi="Times New Roman" w:cs="Times New Roman"/>
        </w:rPr>
        <w:t xml:space="preserve">ower cost EVSE, and/or a single </w:t>
      </w:r>
      <w:r w:rsidR="00960C9D">
        <w:rPr>
          <w:rFonts w:ascii="Times New Roman" w:hAnsi="Times New Roman" w:cs="Times New Roman"/>
        </w:rPr>
        <w:t>port connection.  Conversely, h</w:t>
      </w:r>
      <w:r w:rsidR="00656931">
        <w:rPr>
          <w:rFonts w:ascii="Times New Roman" w:hAnsi="Times New Roman" w:cs="Times New Roman"/>
        </w:rPr>
        <w:t xml:space="preserve">igher costs </w:t>
      </w:r>
      <w:r w:rsidR="00960C9D">
        <w:rPr>
          <w:rFonts w:ascii="Times New Roman" w:hAnsi="Times New Roman" w:cs="Times New Roman"/>
        </w:rPr>
        <w:t xml:space="preserve">are associated with </w:t>
      </w:r>
      <w:r w:rsidR="002C14DB">
        <w:rPr>
          <w:rFonts w:ascii="Times New Roman" w:hAnsi="Times New Roman" w:cs="Times New Roman"/>
        </w:rPr>
        <w:t>multiple installed EVSE ports</w:t>
      </w:r>
      <w:r w:rsidR="00960C9D">
        <w:rPr>
          <w:rFonts w:ascii="Times New Roman" w:hAnsi="Times New Roman" w:cs="Times New Roman"/>
        </w:rPr>
        <w:t xml:space="preserve">, </w:t>
      </w:r>
      <w:r w:rsidR="00656931">
        <w:rPr>
          <w:rFonts w:ascii="Times New Roman" w:hAnsi="Times New Roman" w:cs="Times New Roman"/>
        </w:rPr>
        <w:t xml:space="preserve">required upgrades to transformers, supply panels, and/or </w:t>
      </w:r>
      <w:r w:rsidR="00A12F1D">
        <w:rPr>
          <w:rFonts w:ascii="Times New Roman" w:hAnsi="Times New Roman" w:cs="Times New Roman"/>
        </w:rPr>
        <w:t>trench work</w:t>
      </w:r>
      <w:r w:rsidR="00DD7A83">
        <w:rPr>
          <w:rFonts w:ascii="Times New Roman" w:hAnsi="Times New Roman" w:cs="Times New Roman"/>
        </w:rPr>
        <w:t>, especially concrete and asphalt trenching</w:t>
      </w:r>
      <w:r w:rsidR="00656931">
        <w:rPr>
          <w:rFonts w:ascii="Times New Roman" w:hAnsi="Times New Roman" w:cs="Times New Roman"/>
        </w:rPr>
        <w:t xml:space="preserve">.  </w:t>
      </w:r>
      <w:r w:rsidR="00980844">
        <w:rPr>
          <w:rFonts w:ascii="Times New Roman" w:hAnsi="Times New Roman" w:cs="Times New Roman"/>
        </w:rPr>
        <w:t>Average</w:t>
      </w:r>
      <w:r w:rsidR="00656931">
        <w:rPr>
          <w:rFonts w:ascii="Times New Roman" w:hAnsi="Times New Roman" w:cs="Times New Roman"/>
        </w:rPr>
        <w:t xml:space="preserve"> cost breakdowns </w:t>
      </w:r>
      <w:r w:rsidR="00980844">
        <w:rPr>
          <w:rFonts w:ascii="Times New Roman" w:hAnsi="Times New Roman" w:cs="Times New Roman"/>
        </w:rPr>
        <w:t xml:space="preserve">for commercial EVSE sites </w:t>
      </w:r>
      <w:r w:rsidR="00656931">
        <w:rPr>
          <w:rFonts w:ascii="Times New Roman" w:hAnsi="Times New Roman" w:cs="Times New Roman"/>
        </w:rPr>
        <w:t>are listed in the table below.</w:t>
      </w:r>
    </w:p>
    <w:p w14:paraId="14CE4E5B" w14:textId="77777777" w:rsidR="001B51A2" w:rsidRDefault="001B51A2">
      <w:pPr>
        <w:rPr>
          <w:rFonts w:ascii="Times New Roman" w:hAnsi="Times New Roman" w:cs="Times New Roman"/>
          <w:b/>
          <w:u w:val="single"/>
        </w:rPr>
      </w:pPr>
      <w:r>
        <w:rPr>
          <w:rFonts w:ascii="Times New Roman" w:hAnsi="Times New Roman" w:cs="Times New Roman"/>
          <w:b/>
          <w:u w:val="single"/>
        </w:rPr>
        <w:br w:type="page"/>
      </w:r>
    </w:p>
    <w:p w14:paraId="49A0C6D5" w14:textId="77777777" w:rsidR="008722B8" w:rsidRDefault="00980844" w:rsidP="00EE7BE4">
      <w:pPr>
        <w:rPr>
          <w:rFonts w:ascii="Times New Roman" w:hAnsi="Times New Roman" w:cs="Times New Roman"/>
          <w:b/>
          <w:u w:val="single"/>
        </w:rPr>
      </w:pPr>
      <w:r>
        <w:rPr>
          <w:rFonts w:ascii="Times New Roman" w:hAnsi="Times New Roman" w:cs="Times New Roman"/>
          <w:b/>
          <w:u w:val="single"/>
        </w:rPr>
        <w:lastRenderedPageBreak/>
        <w:t xml:space="preserve">Table No. </w:t>
      </w:r>
      <w:r w:rsidR="00C2791F">
        <w:rPr>
          <w:rFonts w:ascii="Times New Roman" w:hAnsi="Times New Roman" w:cs="Times New Roman"/>
          <w:b/>
          <w:u w:val="single"/>
        </w:rPr>
        <w:t>4</w:t>
      </w:r>
    </w:p>
    <w:p w14:paraId="37F8C80C" w14:textId="77777777" w:rsidR="00EE7BE4" w:rsidRPr="00F93984" w:rsidRDefault="00EE7BE4" w:rsidP="00EE7BE4">
      <w:pPr>
        <w:rPr>
          <w:rFonts w:ascii="Times New Roman" w:hAnsi="Times New Roman" w:cs="Times New Roman"/>
          <w:b/>
          <w:u w:val="single"/>
        </w:rPr>
      </w:pPr>
    </w:p>
    <w:tbl>
      <w:tblPr>
        <w:tblStyle w:val="TableGrid"/>
        <w:tblW w:w="0" w:type="auto"/>
        <w:tblLayout w:type="fixed"/>
        <w:tblLook w:val="04A0" w:firstRow="1" w:lastRow="0" w:firstColumn="1" w:lastColumn="0" w:noHBand="0" w:noVBand="1"/>
      </w:tblPr>
      <w:tblGrid>
        <w:gridCol w:w="1291"/>
        <w:gridCol w:w="1260"/>
        <w:gridCol w:w="1314"/>
        <w:gridCol w:w="846"/>
        <w:gridCol w:w="990"/>
        <w:gridCol w:w="1260"/>
        <w:gridCol w:w="720"/>
        <w:gridCol w:w="895"/>
      </w:tblGrid>
      <w:tr w:rsidR="00980844" w:rsidRPr="00B26171" w14:paraId="34DD7608" w14:textId="77777777" w:rsidTr="00A32449">
        <w:trPr>
          <w:cantSplit/>
          <w:trHeight w:val="1134"/>
        </w:trPr>
        <w:tc>
          <w:tcPr>
            <w:tcW w:w="1291" w:type="dxa"/>
            <w:vAlign w:val="center"/>
          </w:tcPr>
          <w:p w14:paraId="5E1F5910" w14:textId="77777777" w:rsidR="00980844" w:rsidRDefault="00980844" w:rsidP="00A32449">
            <w:pPr>
              <w:jc w:val="center"/>
              <w:rPr>
                <w:rFonts w:asciiTheme="majorHAnsi" w:hAnsiTheme="majorHAnsi"/>
                <w:b/>
                <w:sz w:val="22"/>
                <w:szCs w:val="22"/>
              </w:rPr>
            </w:pPr>
            <w:r w:rsidRPr="00B26171">
              <w:rPr>
                <w:rFonts w:asciiTheme="majorHAnsi" w:hAnsiTheme="majorHAnsi"/>
                <w:b/>
                <w:sz w:val="22"/>
                <w:szCs w:val="22"/>
              </w:rPr>
              <w:t>Premises</w:t>
            </w:r>
          </w:p>
          <w:p w14:paraId="73A89972" w14:textId="77777777" w:rsidR="00980844" w:rsidRDefault="00980844" w:rsidP="00A32449">
            <w:pPr>
              <w:jc w:val="center"/>
              <w:rPr>
                <w:rFonts w:asciiTheme="majorHAnsi" w:hAnsiTheme="majorHAnsi"/>
                <w:b/>
                <w:sz w:val="22"/>
                <w:szCs w:val="22"/>
              </w:rPr>
            </w:pPr>
            <w:r w:rsidRPr="00B26171">
              <w:rPr>
                <w:rFonts w:asciiTheme="majorHAnsi" w:hAnsiTheme="majorHAnsi"/>
                <w:b/>
                <w:sz w:val="22"/>
                <w:szCs w:val="22"/>
              </w:rPr>
              <w:t>Wiring</w:t>
            </w:r>
          </w:p>
          <w:p w14:paraId="26139411"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Reimburse</w:t>
            </w:r>
            <w:r>
              <w:rPr>
                <w:rFonts w:asciiTheme="majorHAnsi" w:hAnsiTheme="majorHAnsi"/>
                <w:b/>
                <w:sz w:val="22"/>
                <w:szCs w:val="22"/>
              </w:rPr>
              <w:t>-</w:t>
            </w:r>
            <w:r w:rsidRPr="00B26171">
              <w:rPr>
                <w:rFonts w:asciiTheme="majorHAnsi" w:hAnsiTheme="majorHAnsi"/>
                <w:b/>
                <w:sz w:val="22"/>
                <w:szCs w:val="22"/>
              </w:rPr>
              <w:t>ment</w:t>
            </w:r>
          </w:p>
        </w:tc>
        <w:tc>
          <w:tcPr>
            <w:tcW w:w="1260" w:type="dxa"/>
            <w:vAlign w:val="center"/>
          </w:tcPr>
          <w:p w14:paraId="58240825"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Customer's</w:t>
            </w:r>
          </w:p>
          <w:p w14:paraId="79596794" w14:textId="77777777" w:rsidR="00980844" w:rsidRPr="007F70D6" w:rsidRDefault="00980844" w:rsidP="00A32449">
            <w:pPr>
              <w:jc w:val="center"/>
              <w:rPr>
                <w:rFonts w:asciiTheme="majorHAnsi" w:hAnsiTheme="majorHAnsi"/>
                <w:b/>
                <w:sz w:val="22"/>
                <w:szCs w:val="22"/>
              </w:rPr>
            </w:pPr>
            <w:r w:rsidRPr="00B26171">
              <w:rPr>
                <w:rFonts w:asciiTheme="majorHAnsi" w:hAnsiTheme="majorHAnsi"/>
                <w:b/>
                <w:sz w:val="22"/>
                <w:szCs w:val="22"/>
              </w:rPr>
              <w:t>Cost</w:t>
            </w:r>
          </w:p>
        </w:tc>
        <w:tc>
          <w:tcPr>
            <w:tcW w:w="1314" w:type="dxa"/>
            <w:vAlign w:val="center"/>
          </w:tcPr>
          <w:p w14:paraId="75E7876F" w14:textId="77777777" w:rsidR="00980844" w:rsidRPr="00B26171" w:rsidRDefault="00420A0D" w:rsidP="00A32449">
            <w:pPr>
              <w:jc w:val="center"/>
              <w:rPr>
                <w:rFonts w:asciiTheme="majorHAnsi" w:hAnsiTheme="majorHAnsi" w:cs="Times New Roman"/>
                <w:b/>
                <w:sz w:val="22"/>
                <w:szCs w:val="22"/>
              </w:rPr>
            </w:pPr>
            <w:r>
              <w:rPr>
                <w:rFonts w:asciiTheme="majorHAnsi" w:hAnsiTheme="majorHAnsi"/>
                <w:b/>
                <w:sz w:val="22"/>
                <w:szCs w:val="22"/>
              </w:rPr>
              <w:t>Utility Hardware &amp; Installation Cost</w:t>
            </w:r>
          </w:p>
        </w:tc>
        <w:tc>
          <w:tcPr>
            <w:tcW w:w="846" w:type="dxa"/>
            <w:vAlign w:val="center"/>
          </w:tcPr>
          <w:p w14:paraId="4E43921A"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Total</w:t>
            </w:r>
          </w:p>
          <w:p w14:paraId="1148D520"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Install</w:t>
            </w:r>
          </w:p>
          <w:p w14:paraId="3224F2C2" w14:textId="77777777" w:rsidR="00980844" w:rsidRPr="00B26171" w:rsidRDefault="00980844" w:rsidP="00A32449">
            <w:pPr>
              <w:jc w:val="center"/>
              <w:rPr>
                <w:rFonts w:asciiTheme="majorHAnsi" w:hAnsiTheme="majorHAnsi" w:cs="Times New Roman"/>
                <w:b/>
                <w:sz w:val="22"/>
                <w:szCs w:val="22"/>
              </w:rPr>
            </w:pPr>
            <w:r w:rsidRPr="00B26171">
              <w:rPr>
                <w:rFonts w:asciiTheme="majorHAnsi" w:hAnsiTheme="majorHAnsi"/>
                <w:b/>
                <w:sz w:val="22"/>
                <w:szCs w:val="22"/>
              </w:rPr>
              <w:t>Cost</w:t>
            </w:r>
          </w:p>
        </w:tc>
        <w:tc>
          <w:tcPr>
            <w:tcW w:w="990" w:type="dxa"/>
            <w:vAlign w:val="center"/>
          </w:tcPr>
          <w:p w14:paraId="4E81D6EA"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EVSE</w:t>
            </w:r>
          </w:p>
          <w:p w14:paraId="661EB210" w14:textId="77777777" w:rsidR="00980844" w:rsidRPr="00B26171" w:rsidRDefault="00980844" w:rsidP="00A32449">
            <w:pPr>
              <w:jc w:val="center"/>
              <w:rPr>
                <w:rFonts w:asciiTheme="majorHAnsi" w:hAnsiTheme="majorHAnsi" w:cs="Times New Roman"/>
                <w:b/>
                <w:sz w:val="22"/>
                <w:szCs w:val="22"/>
              </w:rPr>
            </w:pPr>
            <w:r w:rsidRPr="00B26171">
              <w:rPr>
                <w:rFonts w:asciiTheme="majorHAnsi" w:hAnsiTheme="majorHAnsi"/>
                <w:b/>
                <w:sz w:val="22"/>
                <w:szCs w:val="22"/>
              </w:rPr>
              <w:t>Cost</w:t>
            </w:r>
          </w:p>
        </w:tc>
        <w:tc>
          <w:tcPr>
            <w:tcW w:w="1260" w:type="dxa"/>
            <w:vAlign w:val="center"/>
          </w:tcPr>
          <w:p w14:paraId="42A1EE99"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Total</w:t>
            </w:r>
          </w:p>
          <w:p w14:paraId="594B34CE" w14:textId="77777777" w:rsidR="00980844" w:rsidRPr="00B26171" w:rsidRDefault="00980844" w:rsidP="00A32449">
            <w:pPr>
              <w:jc w:val="center"/>
              <w:rPr>
                <w:rFonts w:asciiTheme="majorHAnsi" w:hAnsiTheme="majorHAnsi" w:cs="Times New Roman"/>
                <w:b/>
                <w:sz w:val="22"/>
                <w:szCs w:val="22"/>
              </w:rPr>
            </w:pPr>
            <w:r w:rsidRPr="00B26171">
              <w:rPr>
                <w:rFonts w:asciiTheme="majorHAnsi" w:hAnsiTheme="majorHAnsi"/>
                <w:b/>
                <w:sz w:val="22"/>
                <w:szCs w:val="22"/>
              </w:rPr>
              <w:t>Cost</w:t>
            </w:r>
            <w:r>
              <w:rPr>
                <w:rFonts w:asciiTheme="majorHAnsi" w:hAnsiTheme="majorHAnsi"/>
                <w:b/>
                <w:sz w:val="22"/>
                <w:szCs w:val="22"/>
              </w:rPr>
              <w:t xml:space="preserve"> EVSE + Installation</w:t>
            </w:r>
          </w:p>
        </w:tc>
        <w:tc>
          <w:tcPr>
            <w:tcW w:w="720" w:type="dxa"/>
            <w:vAlign w:val="center"/>
          </w:tcPr>
          <w:p w14:paraId="353598C8" w14:textId="77777777" w:rsidR="00980844" w:rsidRDefault="00980844" w:rsidP="00A32449">
            <w:pPr>
              <w:jc w:val="center"/>
              <w:rPr>
                <w:rFonts w:asciiTheme="majorHAnsi" w:hAnsiTheme="majorHAnsi"/>
                <w:b/>
                <w:sz w:val="22"/>
                <w:szCs w:val="22"/>
              </w:rPr>
            </w:pPr>
            <w:r w:rsidRPr="00B26171">
              <w:rPr>
                <w:rFonts w:asciiTheme="majorHAnsi" w:hAnsiTheme="majorHAnsi"/>
                <w:b/>
                <w:sz w:val="22"/>
                <w:szCs w:val="22"/>
              </w:rPr>
              <w:t>#</w:t>
            </w:r>
          </w:p>
          <w:p w14:paraId="6432F13E" w14:textId="77777777" w:rsidR="00980844" w:rsidRPr="00B26171" w:rsidRDefault="00980844" w:rsidP="00A32449">
            <w:pPr>
              <w:jc w:val="center"/>
              <w:rPr>
                <w:rFonts w:asciiTheme="majorHAnsi" w:hAnsiTheme="majorHAnsi" w:cs="Times New Roman"/>
                <w:b/>
                <w:sz w:val="22"/>
                <w:szCs w:val="22"/>
              </w:rPr>
            </w:pPr>
            <w:r w:rsidRPr="00B26171">
              <w:rPr>
                <w:rFonts w:asciiTheme="majorHAnsi" w:hAnsiTheme="majorHAnsi"/>
                <w:b/>
                <w:sz w:val="22"/>
                <w:szCs w:val="22"/>
              </w:rPr>
              <w:t>Ports</w:t>
            </w:r>
          </w:p>
        </w:tc>
        <w:tc>
          <w:tcPr>
            <w:tcW w:w="895" w:type="dxa"/>
            <w:vAlign w:val="center"/>
          </w:tcPr>
          <w:p w14:paraId="115DC765"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Total</w:t>
            </w:r>
          </w:p>
          <w:p w14:paraId="55B7286F" w14:textId="77777777" w:rsidR="00980844" w:rsidRPr="00B26171" w:rsidRDefault="00980844" w:rsidP="00A32449">
            <w:pPr>
              <w:jc w:val="center"/>
              <w:rPr>
                <w:rFonts w:asciiTheme="majorHAnsi" w:hAnsiTheme="majorHAnsi"/>
                <w:b/>
                <w:sz w:val="22"/>
                <w:szCs w:val="22"/>
              </w:rPr>
            </w:pPr>
            <w:r w:rsidRPr="00B26171">
              <w:rPr>
                <w:rFonts w:asciiTheme="majorHAnsi" w:hAnsiTheme="majorHAnsi"/>
                <w:b/>
                <w:sz w:val="22"/>
                <w:szCs w:val="22"/>
              </w:rPr>
              <w:t xml:space="preserve">Cost </w:t>
            </w:r>
            <w:r>
              <w:rPr>
                <w:rFonts w:asciiTheme="majorHAnsi" w:hAnsiTheme="majorHAnsi"/>
                <w:b/>
                <w:sz w:val="22"/>
                <w:szCs w:val="22"/>
              </w:rPr>
              <w:t>per</w:t>
            </w:r>
          </w:p>
          <w:p w14:paraId="6E9713BF" w14:textId="77777777" w:rsidR="00980844" w:rsidRPr="00B26171" w:rsidRDefault="00980844" w:rsidP="00A32449">
            <w:pPr>
              <w:jc w:val="center"/>
              <w:rPr>
                <w:rFonts w:asciiTheme="majorHAnsi" w:hAnsiTheme="majorHAnsi" w:cs="Times New Roman"/>
                <w:b/>
                <w:sz w:val="22"/>
                <w:szCs w:val="22"/>
              </w:rPr>
            </w:pPr>
            <w:r w:rsidRPr="00B26171">
              <w:rPr>
                <w:rFonts w:asciiTheme="majorHAnsi" w:hAnsiTheme="majorHAnsi"/>
                <w:b/>
                <w:sz w:val="22"/>
                <w:szCs w:val="22"/>
              </w:rPr>
              <w:t>Port</w:t>
            </w:r>
          </w:p>
        </w:tc>
      </w:tr>
      <w:tr w:rsidR="00980844" w:rsidRPr="00B26171" w14:paraId="1E364B24" w14:textId="77777777" w:rsidTr="00A32449">
        <w:trPr>
          <w:cantSplit/>
          <w:trHeight w:val="576"/>
        </w:trPr>
        <w:tc>
          <w:tcPr>
            <w:tcW w:w="1291" w:type="dxa"/>
            <w:vAlign w:val="bottom"/>
          </w:tcPr>
          <w:p w14:paraId="2F05DD42"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$3,201 </w:t>
            </w:r>
          </w:p>
        </w:tc>
        <w:tc>
          <w:tcPr>
            <w:tcW w:w="1260" w:type="dxa"/>
            <w:vAlign w:val="bottom"/>
          </w:tcPr>
          <w:p w14:paraId="0F060A57"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$1,607 </w:t>
            </w:r>
          </w:p>
        </w:tc>
        <w:tc>
          <w:tcPr>
            <w:tcW w:w="1314" w:type="dxa"/>
            <w:vAlign w:val="bottom"/>
          </w:tcPr>
          <w:p w14:paraId="75C76B84"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$1,614 </w:t>
            </w:r>
          </w:p>
        </w:tc>
        <w:tc>
          <w:tcPr>
            <w:tcW w:w="846" w:type="dxa"/>
            <w:vAlign w:val="bottom"/>
          </w:tcPr>
          <w:p w14:paraId="7E74A4D4"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$6,422 </w:t>
            </w:r>
          </w:p>
        </w:tc>
        <w:tc>
          <w:tcPr>
            <w:tcW w:w="990" w:type="dxa"/>
            <w:vAlign w:val="bottom"/>
          </w:tcPr>
          <w:p w14:paraId="5BE45F36"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$4,339 </w:t>
            </w:r>
          </w:p>
        </w:tc>
        <w:tc>
          <w:tcPr>
            <w:tcW w:w="1260" w:type="dxa"/>
            <w:vAlign w:val="bottom"/>
          </w:tcPr>
          <w:p w14:paraId="632580BE"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$10,761 </w:t>
            </w:r>
          </w:p>
        </w:tc>
        <w:tc>
          <w:tcPr>
            <w:tcW w:w="720" w:type="dxa"/>
            <w:vAlign w:val="bottom"/>
          </w:tcPr>
          <w:p w14:paraId="30C8E8F8"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2.0 </w:t>
            </w:r>
          </w:p>
        </w:tc>
        <w:tc>
          <w:tcPr>
            <w:tcW w:w="895" w:type="dxa"/>
            <w:vAlign w:val="bottom"/>
          </w:tcPr>
          <w:p w14:paraId="269E33CF" w14:textId="77777777" w:rsidR="00980844" w:rsidRPr="00B26171" w:rsidRDefault="00980844" w:rsidP="00980844">
            <w:pPr>
              <w:spacing w:before="120" w:after="120"/>
              <w:rPr>
                <w:rFonts w:asciiTheme="majorHAnsi" w:hAnsiTheme="majorHAnsi" w:cs="Times New Roman"/>
                <w:sz w:val="22"/>
                <w:szCs w:val="22"/>
              </w:rPr>
            </w:pPr>
            <w:r>
              <w:rPr>
                <w:rFonts w:ascii="Calibri" w:hAnsi="Calibri"/>
                <w:color w:val="000000"/>
                <w:sz w:val="22"/>
                <w:szCs w:val="22"/>
              </w:rPr>
              <w:t xml:space="preserve">$4,910 </w:t>
            </w:r>
          </w:p>
        </w:tc>
      </w:tr>
    </w:tbl>
    <w:p w14:paraId="23ED6DBC" w14:textId="77777777" w:rsidR="00063333" w:rsidRDefault="00063333" w:rsidP="00EE7BE4">
      <w:pPr>
        <w:spacing w:line="360" w:lineRule="auto"/>
        <w:jc w:val="both"/>
        <w:rPr>
          <w:rFonts w:ascii="Times New Roman" w:hAnsi="Times New Roman" w:cs="Times New Roman"/>
        </w:rPr>
      </w:pPr>
    </w:p>
    <w:p w14:paraId="187D9D65" w14:textId="77777777" w:rsidR="00D420B2" w:rsidRPr="006346F3" w:rsidRDefault="00D420B2" w:rsidP="00B85024">
      <w:pPr>
        <w:autoSpaceDE w:val="0"/>
        <w:autoSpaceDN w:val="0"/>
        <w:adjustRightInd w:val="0"/>
        <w:spacing w:line="360" w:lineRule="auto"/>
        <w:contextualSpacing/>
        <w:jc w:val="both"/>
        <w:rPr>
          <w:rFonts w:ascii="Times New Roman" w:eastAsia="Calibri" w:hAnsi="Times New Roman" w:cs="Times New Roman"/>
        </w:rPr>
      </w:pPr>
      <w:r>
        <w:rPr>
          <w:rFonts w:ascii="Times New Roman" w:eastAsia="Calibri" w:hAnsi="Times New Roman" w:cs="Times New Roman"/>
          <w:b/>
        </w:rPr>
        <w:t>DC Fast Charging (DCFC) Stations</w:t>
      </w:r>
      <w:r w:rsidRPr="006346F3">
        <w:rPr>
          <w:rFonts w:ascii="Times New Roman" w:eastAsia="Calibri" w:hAnsi="Times New Roman" w:cs="Times New Roman"/>
        </w:rPr>
        <w:t xml:space="preserve">    </w:t>
      </w:r>
    </w:p>
    <w:p w14:paraId="3323A7C6" w14:textId="77777777" w:rsidR="00D420B2" w:rsidRDefault="00D420B2" w:rsidP="00B85024">
      <w:pPr>
        <w:spacing w:line="360" w:lineRule="auto"/>
        <w:jc w:val="both"/>
        <w:rPr>
          <w:rFonts w:ascii="Times New Roman" w:eastAsia="Calibri" w:hAnsi="Times New Roman" w:cs="Times New Roman"/>
        </w:rPr>
      </w:pPr>
      <w:r>
        <w:rPr>
          <w:rFonts w:ascii="Times New Roman" w:eastAsia="Calibri" w:hAnsi="Times New Roman" w:cs="Times New Roman"/>
        </w:rPr>
        <w:t xml:space="preserve">The first DCFC station in Rosalia, Washington was brought online January 18, 2017, and made available for public use.  Remote monitoring continues to show satisfactory status and availability. More information about the Rosalia DCFC is posted online at </w:t>
      </w:r>
      <w:hyperlink r:id="rId15" w:history="1">
        <w:r w:rsidRPr="00143531">
          <w:rPr>
            <w:rStyle w:val="Hyperlink"/>
            <w:rFonts w:ascii="Times New Roman" w:eastAsia="Calibri" w:hAnsi="Times New Roman" w:cs="Times New Roman"/>
          </w:rPr>
          <w:t>www.plugshare.com</w:t>
        </w:r>
      </w:hyperlink>
      <w:r>
        <w:rPr>
          <w:rFonts w:ascii="Times New Roman" w:eastAsia="Calibri" w:hAnsi="Times New Roman" w:cs="Times New Roman"/>
        </w:rPr>
        <w:t xml:space="preserve">.  As expected, the use of the Rosalia DCFC has been limited thus far.  Greenlots’ SKY network indicates four charging sessions outside of initial testing on January 18.  Although this DCFC’s use will be limited until the travel corridor is completed with DCFC installations in Pullman and Spokane, the relatively high cost of $0.30 per minute of charging compared to gasoline fuel cost may also be a contributing factor.  The Company will continue to monitor DCFC use and customer comments.  At the present time no change to the DCFC user fee is </w:t>
      </w:r>
      <w:r w:rsidR="00C2791F">
        <w:rPr>
          <w:rFonts w:ascii="Times New Roman" w:eastAsia="Calibri" w:hAnsi="Times New Roman" w:cs="Times New Roman"/>
        </w:rPr>
        <w:t>proposed</w:t>
      </w:r>
      <w:r>
        <w:rPr>
          <w:rFonts w:ascii="Times New Roman" w:eastAsia="Calibri" w:hAnsi="Times New Roman" w:cs="Times New Roman"/>
        </w:rPr>
        <w:t>, however it may be appropriate in the future to change the fee in order to evaluate the correlation of price points with utilization.  In order to be competitive in the market and encourage EV adoption, the DCFC user fee should result in an electric fueling cost at or below an equivalent cost to travel using a gasoline vehicle.</w:t>
      </w:r>
    </w:p>
    <w:p w14:paraId="79E822D4" w14:textId="77777777" w:rsidR="00D420B2" w:rsidRDefault="00D420B2" w:rsidP="00D420B2">
      <w:pPr>
        <w:spacing w:line="360" w:lineRule="auto"/>
        <w:jc w:val="both"/>
        <w:rPr>
          <w:rFonts w:ascii="Times New Roman" w:eastAsia="Calibri" w:hAnsi="Times New Roman" w:cs="Times New Roman"/>
        </w:rPr>
      </w:pPr>
      <w:r>
        <w:rPr>
          <w:rFonts w:ascii="Times New Roman" w:eastAsia="Calibri" w:hAnsi="Times New Roman" w:cs="Times New Roman"/>
        </w:rPr>
        <w:t xml:space="preserve">   </w:t>
      </w:r>
    </w:p>
    <w:p w14:paraId="598D1F4B" w14:textId="77777777" w:rsidR="00D420B2" w:rsidRDefault="00D420B2" w:rsidP="00D420B2">
      <w:pPr>
        <w:spacing w:line="360" w:lineRule="auto"/>
        <w:jc w:val="both"/>
        <w:rPr>
          <w:rFonts w:ascii="Times New Roman" w:eastAsia="Calibri" w:hAnsi="Times New Roman" w:cs="Times New Roman"/>
        </w:rPr>
      </w:pPr>
      <w:r>
        <w:rPr>
          <w:rFonts w:ascii="Times New Roman" w:eastAsia="Calibri" w:hAnsi="Times New Roman" w:cs="Times New Roman"/>
        </w:rPr>
        <w:t>DCFC site acquisition and design work is complete for the location at Kendall Yards in Spokane, with installation expected to be completed in June 2017.  This desirable location is within one mile of Interstate 90, situated among a number of attractive retail and restaurant venues at Kendall Yards, and is within a reasonable walking distance to the downtown core of Spokane and Riverfront Park.  The Kendall Yards location will help enable regional transportation on both the North-South and East-West corridors through Spokane, as well as provide quick public charging for inner city travel within Spokane.</w:t>
      </w:r>
    </w:p>
    <w:p w14:paraId="15F658E4" w14:textId="77777777" w:rsidR="00D420B2" w:rsidRDefault="00D420B2" w:rsidP="00D420B2">
      <w:pPr>
        <w:spacing w:line="360" w:lineRule="auto"/>
        <w:jc w:val="both"/>
        <w:rPr>
          <w:rFonts w:ascii="Times New Roman" w:eastAsia="Calibri" w:hAnsi="Times New Roman" w:cs="Times New Roman"/>
        </w:rPr>
      </w:pPr>
    </w:p>
    <w:p w14:paraId="26BCD1BC" w14:textId="77777777" w:rsidR="00D420B2" w:rsidRDefault="00D420B2" w:rsidP="00D420B2">
      <w:pPr>
        <w:spacing w:line="360" w:lineRule="auto"/>
        <w:jc w:val="both"/>
        <w:rPr>
          <w:rFonts w:ascii="Times New Roman" w:eastAsia="Calibri" w:hAnsi="Times New Roman" w:cs="Times New Roman"/>
        </w:rPr>
      </w:pPr>
      <w:r>
        <w:rPr>
          <w:rFonts w:ascii="Times New Roman" w:eastAsia="Calibri" w:hAnsi="Times New Roman" w:cs="Times New Roman"/>
        </w:rPr>
        <w:lastRenderedPageBreak/>
        <w:t xml:space="preserve">Other installations are expected to be completed in 2017 at the Spokane Transit Authority (STA) Park &amp; Ride in Liberty Lake, and near the WSU Visitor Center in Pullman.  A DCFC at a new STA facility located at exit 272 </w:t>
      </w:r>
      <w:r w:rsidR="00CE2354">
        <w:rPr>
          <w:rFonts w:ascii="Times New Roman" w:eastAsia="Calibri" w:hAnsi="Times New Roman" w:cs="Times New Roman"/>
        </w:rPr>
        <w:t xml:space="preserve">along </w:t>
      </w:r>
      <w:r>
        <w:rPr>
          <w:rFonts w:ascii="Times New Roman" w:eastAsia="Calibri" w:hAnsi="Times New Roman" w:cs="Times New Roman"/>
        </w:rPr>
        <w:t xml:space="preserve">I-90 is anticipated in early 2018.  The Park &amp; Ride facilities were identified as excellent locations given their convenient access to Interstate 90 on both the West and East sides of Spokane County, nearby facilities including restaurants and convenience stores, proximity to three-phase </w:t>
      </w:r>
      <w:r w:rsidR="00DD7A83">
        <w:rPr>
          <w:rFonts w:ascii="Times New Roman" w:eastAsia="Calibri" w:hAnsi="Times New Roman" w:cs="Times New Roman"/>
        </w:rPr>
        <w:t>power</w:t>
      </w:r>
      <w:r>
        <w:rPr>
          <w:rFonts w:ascii="Times New Roman" w:eastAsia="Calibri" w:hAnsi="Times New Roman" w:cs="Times New Roman"/>
        </w:rPr>
        <w:t>, as well as a partner in the STA that is able to provide the parking space necessary to facilitate the DCFC.  Installation of these five identified locations will provide an electrified north-south corridor between Spokane and Pullman, as well as serving east-west traffic along I-90 in the vicinity of Spokane, and between the Spokane and Coeur d’Alene, Idaho travel corridor.</w:t>
      </w:r>
    </w:p>
    <w:p w14:paraId="34C6E7E6" w14:textId="77777777" w:rsidR="00D420B2" w:rsidRDefault="00D420B2" w:rsidP="00D420B2">
      <w:pPr>
        <w:spacing w:line="360" w:lineRule="auto"/>
        <w:jc w:val="both"/>
        <w:rPr>
          <w:rFonts w:ascii="Times New Roman" w:eastAsia="Calibri" w:hAnsi="Times New Roman" w:cs="Times New Roman"/>
        </w:rPr>
      </w:pPr>
    </w:p>
    <w:p w14:paraId="4DBB2AC9" w14:textId="77777777" w:rsidR="00D420B2" w:rsidRDefault="00D420B2" w:rsidP="00D420B2">
      <w:pPr>
        <w:spacing w:line="360" w:lineRule="auto"/>
        <w:jc w:val="both"/>
        <w:rPr>
          <w:rFonts w:ascii="Times New Roman" w:eastAsia="Calibri" w:hAnsi="Times New Roman" w:cs="Times New Roman"/>
        </w:rPr>
      </w:pPr>
      <w:r>
        <w:rPr>
          <w:rFonts w:ascii="Times New Roman" w:eastAsia="Calibri" w:hAnsi="Times New Roman" w:cs="Times New Roman"/>
        </w:rPr>
        <w:t>This leaves two additional stations to complete the seven DCFC proposed for the pilot program.  A search for a suitable location on the outskirts of north Spokane is currently underway, which will help to begin to electrify the US-395 corridor and serve customers living in the north Spokane area.  The final DCFC location will be determined as the Company gathers more information and lessons learned.  Candidate locations under consideration include the Spokane University District, Spokane Valley, Clarkston, Deer Park, Chewelah, and Colville.  The Company will continue to consult with the Washington State Department of Transportation on site locations to confirm agreement and alignment with efforts to build out EVSE infrastructure across the state.</w:t>
      </w:r>
    </w:p>
    <w:p w14:paraId="20653EC2" w14:textId="77777777" w:rsidR="00D420B2" w:rsidRPr="00100EB1" w:rsidRDefault="00D420B2" w:rsidP="00D420B2">
      <w:pPr>
        <w:spacing w:line="360" w:lineRule="auto"/>
        <w:jc w:val="both"/>
        <w:rPr>
          <w:rFonts w:ascii="Times New Roman" w:eastAsia="Calibri" w:hAnsi="Times New Roman" w:cs="Times New Roman"/>
          <w:sz w:val="16"/>
          <w:szCs w:val="16"/>
        </w:rPr>
      </w:pPr>
    </w:p>
    <w:p w14:paraId="672554DE" w14:textId="77777777" w:rsidR="00D420B2" w:rsidRDefault="00D420B2" w:rsidP="00D420B2">
      <w:pPr>
        <w:spacing w:line="360" w:lineRule="auto"/>
        <w:jc w:val="both"/>
        <w:rPr>
          <w:rFonts w:ascii="Times New Roman" w:eastAsia="Calibri" w:hAnsi="Times New Roman" w:cs="Times New Roman"/>
        </w:rPr>
      </w:pPr>
      <w:r>
        <w:rPr>
          <w:rFonts w:ascii="Times New Roman" w:eastAsia="Calibri" w:hAnsi="Times New Roman" w:cs="Times New Roman"/>
        </w:rPr>
        <w:t>Standardized DCFC site design has an operational 50kW DCFC with both CCS and CHAdeMO connectors, and a dual-port AC Level 2 EVSE as a backup.  The installations include adequate property easements and/or sit</w:t>
      </w:r>
      <w:r w:rsidR="00DD7A83">
        <w:rPr>
          <w:rFonts w:ascii="Times New Roman" w:eastAsia="Calibri" w:hAnsi="Times New Roman" w:cs="Times New Roman"/>
        </w:rPr>
        <w:t xml:space="preserve">e agreements for future </w:t>
      </w:r>
      <w:r>
        <w:rPr>
          <w:rFonts w:ascii="Times New Roman" w:eastAsia="Calibri" w:hAnsi="Times New Roman" w:cs="Times New Roman"/>
        </w:rPr>
        <w:t>expansion, with transformer capacity and conduit installed to allow for low-cost expansion of an additional 150kW DCFC capacity.</w:t>
      </w:r>
    </w:p>
    <w:p w14:paraId="1E35B1ED" w14:textId="77777777" w:rsidR="00D420B2" w:rsidRDefault="00D420B2" w:rsidP="00EE7BE4">
      <w:pPr>
        <w:spacing w:line="360" w:lineRule="auto"/>
        <w:jc w:val="both"/>
        <w:rPr>
          <w:rFonts w:ascii="Times New Roman" w:hAnsi="Times New Roman" w:cs="Times New Roman"/>
        </w:rPr>
      </w:pPr>
    </w:p>
    <w:p w14:paraId="0CF78C72" w14:textId="77777777" w:rsidR="00477D20" w:rsidRPr="00B4649D" w:rsidRDefault="00477D20" w:rsidP="00477D20">
      <w:pPr>
        <w:spacing w:line="360" w:lineRule="auto"/>
        <w:jc w:val="both"/>
        <w:rPr>
          <w:rFonts w:ascii="Times New Roman" w:eastAsia="Calibri" w:hAnsi="Times New Roman" w:cs="Times New Roman"/>
          <w:b/>
        </w:rPr>
      </w:pPr>
      <w:r>
        <w:rPr>
          <w:rFonts w:ascii="Times New Roman" w:eastAsia="Calibri" w:hAnsi="Times New Roman" w:cs="Times New Roman"/>
          <w:b/>
        </w:rPr>
        <w:t>Customer Surveys</w:t>
      </w:r>
    </w:p>
    <w:p w14:paraId="449A99D0" w14:textId="77777777" w:rsidR="00D3206F" w:rsidRDefault="00CE2354" w:rsidP="00EE7BE4">
      <w:pPr>
        <w:spacing w:line="360" w:lineRule="auto"/>
        <w:jc w:val="both"/>
        <w:rPr>
          <w:rFonts w:ascii="Times New Roman" w:hAnsi="Times New Roman" w:cs="Times New Roman"/>
        </w:rPr>
      </w:pPr>
      <w:r>
        <w:rPr>
          <w:rFonts w:ascii="Times New Roman" w:hAnsi="Times New Roman" w:cs="Times New Roman"/>
        </w:rPr>
        <w:t xml:space="preserve">Web based </w:t>
      </w:r>
      <w:r w:rsidR="00477D20">
        <w:rPr>
          <w:rFonts w:ascii="Times New Roman" w:hAnsi="Times New Roman" w:cs="Times New Roman"/>
        </w:rPr>
        <w:t xml:space="preserve">customer surveys are carried out </w:t>
      </w:r>
      <w:r w:rsidR="00D3206F">
        <w:rPr>
          <w:rFonts w:ascii="Times New Roman" w:hAnsi="Times New Roman" w:cs="Times New Roman"/>
        </w:rPr>
        <w:t>post-</w:t>
      </w:r>
      <w:r w:rsidR="00477D20">
        <w:rPr>
          <w:rFonts w:ascii="Times New Roman" w:hAnsi="Times New Roman" w:cs="Times New Roman"/>
        </w:rPr>
        <w:t>installation and quarterly thereafter</w:t>
      </w:r>
      <w:r w:rsidR="00D3206F">
        <w:rPr>
          <w:rFonts w:ascii="Times New Roman" w:hAnsi="Times New Roman" w:cs="Times New Roman"/>
        </w:rPr>
        <w:t xml:space="preserve"> for both residential and commercial customers</w:t>
      </w:r>
      <w:r w:rsidR="00477D20">
        <w:rPr>
          <w:rFonts w:ascii="Times New Roman" w:hAnsi="Times New Roman" w:cs="Times New Roman"/>
        </w:rPr>
        <w:t xml:space="preserve">.  </w:t>
      </w:r>
      <w:r w:rsidR="00D3206F">
        <w:rPr>
          <w:rFonts w:ascii="Times New Roman" w:hAnsi="Times New Roman" w:cs="Times New Roman"/>
        </w:rPr>
        <w:t xml:space="preserve">These surveys began on </w:t>
      </w:r>
      <w:r>
        <w:rPr>
          <w:rFonts w:ascii="Times New Roman" w:hAnsi="Times New Roman" w:cs="Times New Roman"/>
        </w:rPr>
        <w:t xml:space="preserve">July 21, </w:t>
      </w:r>
      <w:r w:rsidR="00D3206F">
        <w:rPr>
          <w:rFonts w:ascii="Times New Roman" w:hAnsi="Times New Roman" w:cs="Times New Roman"/>
        </w:rPr>
        <w:t>2016 and will continue through the course of the pilot program.  Completion rates as of April 17, 2017 are as follows:</w:t>
      </w:r>
    </w:p>
    <w:p w14:paraId="7A0B8FC2" w14:textId="77777777" w:rsidR="00D3206F" w:rsidRDefault="00D3206F" w:rsidP="00EE7BE4">
      <w:pPr>
        <w:spacing w:line="360" w:lineRule="auto"/>
        <w:jc w:val="both"/>
        <w:rPr>
          <w:rFonts w:ascii="Times New Roman" w:hAnsi="Times New Roman" w:cs="Times New Roman"/>
        </w:rPr>
      </w:pPr>
    </w:p>
    <w:p w14:paraId="291C797F" w14:textId="77777777" w:rsidR="00B85024" w:rsidRDefault="00B85024" w:rsidP="003F0B95">
      <w:pPr>
        <w:rPr>
          <w:rFonts w:ascii="Times New Roman" w:hAnsi="Times New Roman" w:cs="Times New Roman"/>
          <w:b/>
          <w:u w:val="single"/>
        </w:rPr>
      </w:pPr>
    </w:p>
    <w:p w14:paraId="28970575" w14:textId="77777777" w:rsidR="00D3206F" w:rsidRDefault="00D3206F" w:rsidP="003F0B95">
      <w:pPr>
        <w:rPr>
          <w:rFonts w:ascii="Times New Roman" w:hAnsi="Times New Roman" w:cs="Times New Roman"/>
          <w:b/>
          <w:u w:val="single"/>
        </w:rPr>
      </w:pPr>
      <w:r>
        <w:rPr>
          <w:rFonts w:ascii="Times New Roman" w:hAnsi="Times New Roman" w:cs="Times New Roman"/>
          <w:b/>
          <w:u w:val="single"/>
        </w:rPr>
        <w:lastRenderedPageBreak/>
        <w:t xml:space="preserve">Table No. </w:t>
      </w:r>
      <w:r w:rsidR="00CE2354">
        <w:rPr>
          <w:rFonts w:ascii="Times New Roman" w:hAnsi="Times New Roman" w:cs="Times New Roman"/>
          <w:b/>
          <w:u w:val="single"/>
        </w:rPr>
        <w:t>5</w:t>
      </w:r>
      <w:r w:rsidRPr="00F93984">
        <w:rPr>
          <w:rFonts w:ascii="Times New Roman" w:hAnsi="Times New Roman" w:cs="Times New Roman"/>
          <w:b/>
          <w:u w:val="single"/>
        </w:rPr>
        <w:t>:</w:t>
      </w:r>
    </w:p>
    <w:p w14:paraId="44B91645" w14:textId="77777777" w:rsidR="00D3206F" w:rsidRDefault="00D3206F" w:rsidP="00EE7BE4">
      <w:pPr>
        <w:spacing w:line="36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D3206F" w:rsidRPr="00D3206F" w14:paraId="0A693660" w14:textId="77777777" w:rsidTr="00D3206F">
        <w:tc>
          <w:tcPr>
            <w:tcW w:w="3116" w:type="dxa"/>
          </w:tcPr>
          <w:p w14:paraId="0B983AD3" w14:textId="77777777" w:rsidR="00D3206F" w:rsidRPr="00D3206F" w:rsidRDefault="00D3206F" w:rsidP="00EE7BE4">
            <w:pPr>
              <w:spacing w:line="360" w:lineRule="auto"/>
              <w:jc w:val="both"/>
              <w:rPr>
                <w:rFonts w:ascii="Times New Roman" w:hAnsi="Times New Roman" w:cs="Times New Roman"/>
                <w:b/>
              </w:rPr>
            </w:pPr>
            <w:r w:rsidRPr="00D3206F">
              <w:rPr>
                <w:rFonts w:ascii="Times New Roman" w:hAnsi="Times New Roman" w:cs="Times New Roman"/>
                <w:b/>
              </w:rPr>
              <w:t>Customer</w:t>
            </w:r>
          </w:p>
        </w:tc>
        <w:tc>
          <w:tcPr>
            <w:tcW w:w="3117" w:type="dxa"/>
          </w:tcPr>
          <w:p w14:paraId="6A155763" w14:textId="77777777" w:rsidR="00D3206F" w:rsidRPr="00D3206F" w:rsidRDefault="00D3206F" w:rsidP="00EE7BE4">
            <w:pPr>
              <w:spacing w:line="360" w:lineRule="auto"/>
              <w:jc w:val="both"/>
              <w:rPr>
                <w:rFonts w:ascii="Times New Roman" w:hAnsi="Times New Roman" w:cs="Times New Roman"/>
                <w:b/>
              </w:rPr>
            </w:pPr>
            <w:r w:rsidRPr="00D3206F">
              <w:rPr>
                <w:rFonts w:ascii="Times New Roman" w:hAnsi="Times New Roman" w:cs="Times New Roman"/>
                <w:b/>
              </w:rPr>
              <w:t>Post-installation</w:t>
            </w:r>
          </w:p>
        </w:tc>
        <w:tc>
          <w:tcPr>
            <w:tcW w:w="3117" w:type="dxa"/>
          </w:tcPr>
          <w:p w14:paraId="4FC66DA5" w14:textId="77777777" w:rsidR="00D3206F" w:rsidRPr="00D3206F" w:rsidRDefault="00D3206F" w:rsidP="00EE7BE4">
            <w:pPr>
              <w:spacing w:line="360" w:lineRule="auto"/>
              <w:jc w:val="both"/>
              <w:rPr>
                <w:rFonts w:ascii="Times New Roman" w:hAnsi="Times New Roman" w:cs="Times New Roman"/>
                <w:b/>
              </w:rPr>
            </w:pPr>
            <w:r w:rsidRPr="00D3206F">
              <w:rPr>
                <w:rFonts w:ascii="Times New Roman" w:hAnsi="Times New Roman" w:cs="Times New Roman"/>
                <w:b/>
              </w:rPr>
              <w:t>Quarterly</w:t>
            </w:r>
          </w:p>
        </w:tc>
      </w:tr>
      <w:tr w:rsidR="00D3206F" w14:paraId="7EA210B5" w14:textId="77777777" w:rsidTr="00D3206F">
        <w:tc>
          <w:tcPr>
            <w:tcW w:w="3116" w:type="dxa"/>
          </w:tcPr>
          <w:p w14:paraId="0157B5C7" w14:textId="77777777" w:rsidR="00D3206F" w:rsidRDefault="00D3206F" w:rsidP="00EE7BE4">
            <w:pPr>
              <w:spacing w:line="360" w:lineRule="auto"/>
              <w:jc w:val="both"/>
              <w:rPr>
                <w:rFonts w:ascii="Times New Roman" w:hAnsi="Times New Roman" w:cs="Times New Roman"/>
              </w:rPr>
            </w:pPr>
            <w:r>
              <w:rPr>
                <w:rFonts w:ascii="Times New Roman" w:hAnsi="Times New Roman" w:cs="Times New Roman"/>
              </w:rPr>
              <w:t>Residential</w:t>
            </w:r>
          </w:p>
        </w:tc>
        <w:tc>
          <w:tcPr>
            <w:tcW w:w="3117" w:type="dxa"/>
          </w:tcPr>
          <w:p w14:paraId="1CE54FEA" w14:textId="77777777" w:rsidR="00D3206F" w:rsidRDefault="00D3206F" w:rsidP="00EE7BE4">
            <w:pPr>
              <w:spacing w:line="360" w:lineRule="auto"/>
              <w:jc w:val="both"/>
              <w:rPr>
                <w:rFonts w:ascii="Times New Roman" w:hAnsi="Times New Roman" w:cs="Times New Roman"/>
              </w:rPr>
            </w:pPr>
            <w:r>
              <w:rPr>
                <w:rFonts w:ascii="Times New Roman" w:hAnsi="Times New Roman" w:cs="Times New Roman"/>
              </w:rPr>
              <w:t>72% (49 of 68)</w:t>
            </w:r>
          </w:p>
        </w:tc>
        <w:tc>
          <w:tcPr>
            <w:tcW w:w="3117" w:type="dxa"/>
          </w:tcPr>
          <w:p w14:paraId="24377577" w14:textId="77777777" w:rsidR="00D3206F" w:rsidRDefault="00D3206F" w:rsidP="00EE7BE4">
            <w:pPr>
              <w:spacing w:line="360" w:lineRule="auto"/>
              <w:jc w:val="both"/>
              <w:rPr>
                <w:rFonts w:ascii="Times New Roman" w:hAnsi="Times New Roman" w:cs="Times New Roman"/>
              </w:rPr>
            </w:pPr>
            <w:r>
              <w:rPr>
                <w:rFonts w:ascii="Times New Roman" w:hAnsi="Times New Roman" w:cs="Times New Roman"/>
              </w:rPr>
              <w:t>27% (8 of 30)</w:t>
            </w:r>
          </w:p>
        </w:tc>
      </w:tr>
      <w:tr w:rsidR="00D3206F" w14:paraId="6087EC90" w14:textId="77777777" w:rsidTr="00D3206F">
        <w:tc>
          <w:tcPr>
            <w:tcW w:w="3116" w:type="dxa"/>
          </w:tcPr>
          <w:p w14:paraId="2A67FA56" w14:textId="77777777" w:rsidR="00D3206F" w:rsidRDefault="00D3206F" w:rsidP="00EE7BE4">
            <w:pPr>
              <w:spacing w:line="360" w:lineRule="auto"/>
              <w:jc w:val="both"/>
              <w:rPr>
                <w:rFonts w:ascii="Times New Roman" w:hAnsi="Times New Roman" w:cs="Times New Roman"/>
              </w:rPr>
            </w:pPr>
            <w:r>
              <w:rPr>
                <w:rFonts w:ascii="Times New Roman" w:hAnsi="Times New Roman" w:cs="Times New Roman"/>
              </w:rPr>
              <w:t>Commercial</w:t>
            </w:r>
          </w:p>
        </w:tc>
        <w:tc>
          <w:tcPr>
            <w:tcW w:w="3117" w:type="dxa"/>
          </w:tcPr>
          <w:p w14:paraId="71FB79CD" w14:textId="77777777" w:rsidR="00D3206F" w:rsidRDefault="00D3206F" w:rsidP="00EE7BE4">
            <w:pPr>
              <w:spacing w:line="360" w:lineRule="auto"/>
              <w:jc w:val="both"/>
              <w:rPr>
                <w:rFonts w:ascii="Times New Roman" w:hAnsi="Times New Roman" w:cs="Times New Roman"/>
              </w:rPr>
            </w:pPr>
            <w:r>
              <w:rPr>
                <w:rFonts w:ascii="Times New Roman" w:hAnsi="Times New Roman" w:cs="Times New Roman"/>
              </w:rPr>
              <w:t>36% (4 of 11)</w:t>
            </w:r>
          </w:p>
        </w:tc>
        <w:tc>
          <w:tcPr>
            <w:tcW w:w="3117" w:type="dxa"/>
          </w:tcPr>
          <w:p w14:paraId="577C8F07" w14:textId="77777777" w:rsidR="00D3206F" w:rsidRDefault="00D3206F" w:rsidP="00EE7BE4">
            <w:pPr>
              <w:spacing w:line="360" w:lineRule="auto"/>
              <w:jc w:val="both"/>
              <w:rPr>
                <w:rFonts w:ascii="Times New Roman" w:hAnsi="Times New Roman" w:cs="Times New Roman"/>
              </w:rPr>
            </w:pPr>
            <w:r>
              <w:rPr>
                <w:rFonts w:ascii="Times New Roman" w:hAnsi="Times New Roman" w:cs="Times New Roman"/>
              </w:rPr>
              <w:t>50% (2 of 4)</w:t>
            </w:r>
          </w:p>
        </w:tc>
      </w:tr>
    </w:tbl>
    <w:p w14:paraId="598B352A" w14:textId="77777777" w:rsidR="00D3206F" w:rsidRDefault="00D3206F" w:rsidP="00EE7BE4">
      <w:pPr>
        <w:spacing w:line="360" w:lineRule="auto"/>
        <w:jc w:val="both"/>
        <w:rPr>
          <w:rFonts w:ascii="Times New Roman" w:hAnsi="Times New Roman" w:cs="Times New Roman"/>
        </w:rPr>
      </w:pPr>
    </w:p>
    <w:p w14:paraId="4C8378D4" w14:textId="77777777" w:rsidR="00477D20" w:rsidRDefault="00D3206F" w:rsidP="00EE7BE4">
      <w:pPr>
        <w:spacing w:line="360" w:lineRule="auto"/>
        <w:jc w:val="both"/>
        <w:rPr>
          <w:rFonts w:ascii="Times New Roman" w:hAnsi="Times New Roman" w:cs="Times New Roman"/>
        </w:rPr>
      </w:pPr>
      <w:r>
        <w:rPr>
          <w:rFonts w:ascii="Times New Roman" w:hAnsi="Times New Roman" w:cs="Times New Roman"/>
        </w:rPr>
        <w:t xml:space="preserve">Overall satisfaction </w:t>
      </w:r>
      <w:r w:rsidR="00E02418">
        <w:rPr>
          <w:rFonts w:ascii="Times New Roman" w:hAnsi="Times New Roman" w:cs="Times New Roman"/>
        </w:rPr>
        <w:t xml:space="preserve">with the residential installations </w:t>
      </w:r>
      <w:r>
        <w:rPr>
          <w:rFonts w:ascii="Times New Roman" w:hAnsi="Times New Roman" w:cs="Times New Roman"/>
        </w:rPr>
        <w:t xml:space="preserve">remains high with </w:t>
      </w:r>
      <w:r w:rsidR="00E02418">
        <w:rPr>
          <w:rFonts w:ascii="Times New Roman" w:hAnsi="Times New Roman" w:cs="Times New Roman"/>
        </w:rPr>
        <w:t>98% of the 49 respondents reporting satisfied or very satisfied:</w:t>
      </w:r>
    </w:p>
    <w:p w14:paraId="4921CDF7" w14:textId="77777777" w:rsidR="00597ED7" w:rsidRDefault="00597ED7" w:rsidP="003F0B95">
      <w:pPr>
        <w:rPr>
          <w:rFonts w:ascii="Times New Roman" w:hAnsi="Times New Roman" w:cs="Times New Roman"/>
          <w:b/>
          <w:u w:val="single"/>
        </w:rPr>
      </w:pPr>
    </w:p>
    <w:p w14:paraId="6ABF3E6C" w14:textId="77777777" w:rsidR="00E02418" w:rsidRPr="003F0B95" w:rsidRDefault="00E02418" w:rsidP="003F0B95">
      <w:pPr>
        <w:rPr>
          <w:rFonts w:ascii="Times New Roman" w:hAnsi="Times New Roman" w:cs="Times New Roman"/>
          <w:b/>
          <w:u w:val="single"/>
        </w:rPr>
      </w:pPr>
      <w:r>
        <w:rPr>
          <w:rFonts w:ascii="Times New Roman" w:hAnsi="Times New Roman" w:cs="Times New Roman"/>
          <w:b/>
          <w:u w:val="single"/>
        </w:rPr>
        <w:t>Chart No. 5</w:t>
      </w:r>
    </w:p>
    <w:p w14:paraId="45CA942B" w14:textId="77777777" w:rsidR="00477D20" w:rsidRDefault="005D37C9" w:rsidP="00EE7BE4">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13A73D43" wp14:editId="11E5F31B">
            <wp:extent cx="5943515" cy="261366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row1.JPG"/>
                    <pic:cNvPicPr/>
                  </pic:nvPicPr>
                  <pic:blipFill>
                    <a:blip r:embed="rId16">
                      <a:extLst>
                        <a:ext uri="{28A0092B-C50C-407E-A947-70E740481C1C}">
                          <a14:useLocalDpi xmlns:a14="http://schemas.microsoft.com/office/drawing/2010/main" val="0"/>
                        </a:ext>
                      </a:extLst>
                    </a:blip>
                    <a:stretch>
                      <a:fillRect/>
                    </a:stretch>
                  </pic:blipFill>
                  <pic:spPr>
                    <a:xfrm>
                      <a:off x="0" y="0"/>
                      <a:ext cx="5972852" cy="2626561"/>
                    </a:xfrm>
                    <a:prstGeom prst="rect">
                      <a:avLst/>
                    </a:prstGeom>
                  </pic:spPr>
                </pic:pic>
              </a:graphicData>
            </a:graphic>
          </wp:inline>
        </w:drawing>
      </w:r>
    </w:p>
    <w:p w14:paraId="30E766C1" w14:textId="77777777" w:rsidR="00597ED7" w:rsidRDefault="00597ED7" w:rsidP="00E02418">
      <w:pPr>
        <w:spacing w:line="360" w:lineRule="auto"/>
        <w:jc w:val="both"/>
        <w:rPr>
          <w:rFonts w:ascii="Times New Roman" w:hAnsi="Times New Roman" w:cs="Times New Roman"/>
        </w:rPr>
      </w:pPr>
    </w:p>
    <w:p w14:paraId="07A314C9" w14:textId="77777777" w:rsidR="00E02418" w:rsidRDefault="00E02418" w:rsidP="00E02418">
      <w:pPr>
        <w:spacing w:line="360" w:lineRule="auto"/>
        <w:jc w:val="both"/>
        <w:rPr>
          <w:rFonts w:ascii="Times New Roman" w:hAnsi="Times New Roman" w:cs="Times New Roman"/>
        </w:rPr>
      </w:pPr>
      <w:r w:rsidRPr="00E02418">
        <w:rPr>
          <w:rFonts w:ascii="Times New Roman" w:hAnsi="Times New Roman" w:cs="Times New Roman"/>
        </w:rPr>
        <w:t xml:space="preserve">78% of </w:t>
      </w:r>
      <w:r>
        <w:rPr>
          <w:rFonts w:ascii="Times New Roman" w:hAnsi="Times New Roman" w:cs="Times New Roman"/>
        </w:rPr>
        <w:t xml:space="preserve">residential </w:t>
      </w:r>
      <w:r w:rsidRPr="00E02418">
        <w:rPr>
          <w:rFonts w:ascii="Times New Roman" w:hAnsi="Times New Roman" w:cs="Times New Roman"/>
        </w:rPr>
        <w:t xml:space="preserve">customers indicated that they commute to work in their </w:t>
      </w:r>
      <w:r>
        <w:rPr>
          <w:rFonts w:ascii="Times New Roman" w:hAnsi="Times New Roman" w:cs="Times New Roman"/>
        </w:rPr>
        <w:t>EV</w:t>
      </w:r>
      <w:r w:rsidRPr="00E02418">
        <w:rPr>
          <w:rFonts w:ascii="Times New Roman" w:hAnsi="Times New Roman" w:cs="Times New Roman"/>
        </w:rPr>
        <w:t xml:space="preserve">.  Yet, only 38% of those customers indicated </w:t>
      </w:r>
      <w:r>
        <w:rPr>
          <w:rFonts w:ascii="Times New Roman" w:hAnsi="Times New Roman" w:cs="Times New Roman"/>
        </w:rPr>
        <w:t>that their employer offers an EVSE at work</w:t>
      </w:r>
      <w:r w:rsidRPr="00E02418">
        <w:rPr>
          <w:rFonts w:ascii="Times New Roman" w:hAnsi="Times New Roman" w:cs="Times New Roman"/>
        </w:rPr>
        <w:t>.</w:t>
      </w:r>
    </w:p>
    <w:p w14:paraId="16610A5C" w14:textId="77777777" w:rsidR="001B51A2" w:rsidRDefault="001B51A2">
      <w:pPr>
        <w:rPr>
          <w:rFonts w:ascii="Times New Roman" w:hAnsi="Times New Roman" w:cs="Times New Roman"/>
          <w:b/>
          <w:u w:val="single"/>
        </w:rPr>
      </w:pPr>
      <w:r>
        <w:rPr>
          <w:rFonts w:ascii="Times New Roman" w:hAnsi="Times New Roman" w:cs="Times New Roman"/>
          <w:b/>
          <w:u w:val="single"/>
        </w:rPr>
        <w:br w:type="page"/>
      </w:r>
    </w:p>
    <w:p w14:paraId="23D72CC3" w14:textId="77777777" w:rsidR="001F4E83" w:rsidRDefault="001F4E83" w:rsidP="003F0B95">
      <w:pPr>
        <w:rPr>
          <w:rFonts w:ascii="Times New Roman" w:hAnsi="Times New Roman" w:cs="Times New Roman"/>
          <w:b/>
          <w:u w:val="single"/>
        </w:rPr>
      </w:pPr>
      <w:r>
        <w:rPr>
          <w:rFonts w:ascii="Times New Roman" w:hAnsi="Times New Roman" w:cs="Times New Roman"/>
          <w:b/>
          <w:u w:val="single"/>
        </w:rPr>
        <w:lastRenderedPageBreak/>
        <w:t>Chart No. 6</w:t>
      </w:r>
    </w:p>
    <w:p w14:paraId="10DCF74E" w14:textId="77777777" w:rsidR="00E02418" w:rsidRDefault="00E02418" w:rsidP="00E02418">
      <w:pPr>
        <w:spacing w:line="360" w:lineRule="auto"/>
        <w:jc w:val="center"/>
        <w:rPr>
          <w:rFonts w:ascii="Times New Roman" w:hAnsi="Times New Roman" w:cs="Times New Roman"/>
        </w:rPr>
      </w:pPr>
      <w:r w:rsidRPr="00E02418">
        <w:rPr>
          <w:rFonts w:ascii="Times New Roman" w:hAnsi="Times New Roman" w:cs="Times New Roman"/>
          <w:noProof/>
        </w:rPr>
        <w:drawing>
          <wp:inline distT="0" distB="0" distL="0" distR="0" wp14:anchorId="3DAC1C63" wp14:editId="0EC9EA0B">
            <wp:extent cx="2740660" cy="1968500"/>
            <wp:effectExtent l="0" t="0" r="2540" b="127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08233C" w14:textId="77777777" w:rsidR="00E02418" w:rsidRPr="00E02418" w:rsidRDefault="00E02418" w:rsidP="00E02418">
      <w:pPr>
        <w:spacing w:line="360" w:lineRule="auto"/>
        <w:jc w:val="both"/>
        <w:rPr>
          <w:rFonts w:ascii="Times New Roman" w:hAnsi="Times New Roman" w:cs="Times New Roman"/>
        </w:rPr>
      </w:pPr>
    </w:p>
    <w:p w14:paraId="3B3C7B9B" w14:textId="77777777" w:rsidR="00E02418" w:rsidRPr="00E02418" w:rsidRDefault="00E02418" w:rsidP="00E02418">
      <w:pPr>
        <w:spacing w:line="360" w:lineRule="auto"/>
        <w:jc w:val="both"/>
        <w:rPr>
          <w:rFonts w:ascii="Times New Roman" w:hAnsi="Times New Roman" w:cs="Times New Roman"/>
        </w:rPr>
      </w:pPr>
      <w:r w:rsidRPr="00E02418">
        <w:rPr>
          <w:rFonts w:ascii="Times New Roman" w:hAnsi="Times New Roman" w:cs="Times New Roman"/>
        </w:rPr>
        <w:t>T</w:t>
      </w:r>
      <w:r w:rsidR="003529B0">
        <w:rPr>
          <w:rFonts w:ascii="Times New Roman" w:hAnsi="Times New Roman" w:cs="Times New Roman"/>
        </w:rPr>
        <w:t>hus far, t</w:t>
      </w:r>
      <w:r w:rsidRPr="00E02418">
        <w:rPr>
          <w:rFonts w:ascii="Times New Roman" w:hAnsi="Times New Roman" w:cs="Times New Roman"/>
        </w:rPr>
        <w:t xml:space="preserve">he average commute was 18.3 miles for those that could use </w:t>
      </w:r>
      <w:r>
        <w:rPr>
          <w:rFonts w:ascii="Times New Roman" w:hAnsi="Times New Roman" w:cs="Times New Roman"/>
        </w:rPr>
        <w:t>an EVSE</w:t>
      </w:r>
      <w:r w:rsidRPr="00E02418">
        <w:rPr>
          <w:rFonts w:ascii="Times New Roman" w:hAnsi="Times New Roman" w:cs="Times New Roman"/>
        </w:rPr>
        <w:t xml:space="preserve"> at work and only slightly higher at 18.8 mile</w:t>
      </w:r>
      <w:r>
        <w:rPr>
          <w:rFonts w:ascii="Times New Roman" w:hAnsi="Times New Roman" w:cs="Times New Roman"/>
        </w:rPr>
        <w:t xml:space="preserve">s for those that did not have an EVSE </w:t>
      </w:r>
      <w:r w:rsidRPr="00E02418">
        <w:rPr>
          <w:rFonts w:ascii="Times New Roman" w:hAnsi="Times New Roman" w:cs="Times New Roman"/>
        </w:rPr>
        <w:t>available.</w:t>
      </w:r>
    </w:p>
    <w:p w14:paraId="385DD4C7" w14:textId="77777777" w:rsidR="00597ED7" w:rsidRDefault="00597ED7" w:rsidP="003F0B95">
      <w:pPr>
        <w:rPr>
          <w:rFonts w:ascii="Times New Roman" w:hAnsi="Times New Roman" w:cs="Times New Roman"/>
          <w:b/>
          <w:u w:val="single"/>
        </w:rPr>
      </w:pPr>
    </w:p>
    <w:p w14:paraId="1A5EB5BD" w14:textId="77777777" w:rsidR="001F4E83" w:rsidRDefault="001F4E83" w:rsidP="003F0B95">
      <w:pPr>
        <w:rPr>
          <w:rFonts w:ascii="Times New Roman" w:hAnsi="Times New Roman" w:cs="Times New Roman"/>
          <w:b/>
          <w:u w:val="single"/>
        </w:rPr>
      </w:pPr>
      <w:r>
        <w:rPr>
          <w:rFonts w:ascii="Times New Roman" w:hAnsi="Times New Roman" w:cs="Times New Roman"/>
          <w:b/>
          <w:u w:val="single"/>
        </w:rPr>
        <w:t>Chart No. 7</w:t>
      </w:r>
    </w:p>
    <w:p w14:paraId="3E6ED1A0" w14:textId="77777777" w:rsidR="00477D20" w:rsidRDefault="00E02418" w:rsidP="00E02418">
      <w:pPr>
        <w:spacing w:line="360" w:lineRule="auto"/>
        <w:jc w:val="center"/>
        <w:rPr>
          <w:rFonts w:ascii="Times New Roman" w:hAnsi="Times New Roman" w:cs="Times New Roman"/>
        </w:rPr>
      </w:pPr>
      <w:r w:rsidRPr="00E02418">
        <w:rPr>
          <w:rFonts w:ascii="Times New Roman" w:hAnsi="Times New Roman" w:cs="Times New Roman"/>
          <w:noProof/>
        </w:rPr>
        <w:drawing>
          <wp:inline distT="0" distB="0" distL="0" distR="0" wp14:anchorId="732466EF" wp14:editId="568DCED7">
            <wp:extent cx="3592286" cy="1982755"/>
            <wp:effectExtent l="0" t="0" r="8255" b="177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6CC948" w14:textId="77777777" w:rsidR="00E02418" w:rsidRDefault="00E02418" w:rsidP="00EE7BE4">
      <w:pPr>
        <w:spacing w:line="360" w:lineRule="auto"/>
        <w:jc w:val="both"/>
        <w:rPr>
          <w:rFonts w:ascii="Times New Roman" w:hAnsi="Times New Roman" w:cs="Times New Roman"/>
        </w:rPr>
      </w:pPr>
    </w:p>
    <w:p w14:paraId="3472A70C" w14:textId="77777777" w:rsidR="00E02418" w:rsidRDefault="00E02418" w:rsidP="00EE7BE4">
      <w:pPr>
        <w:spacing w:line="360" w:lineRule="auto"/>
        <w:jc w:val="both"/>
        <w:rPr>
          <w:rFonts w:ascii="Times New Roman" w:hAnsi="Times New Roman" w:cs="Times New Roman"/>
        </w:rPr>
      </w:pPr>
      <w:r>
        <w:rPr>
          <w:rFonts w:ascii="Times New Roman" w:hAnsi="Times New Roman" w:cs="Times New Roman"/>
        </w:rPr>
        <w:t xml:space="preserve">Additional insights from the customer surveys will be reported as </w:t>
      </w:r>
      <w:r w:rsidR="001F4E83">
        <w:rPr>
          <w:rFonts w:ascii="Times New Roman" w:hAnsi="Times New Roman" w:cs="Times New Roman"/>
        </w:rPr>
        <w:t>a greater number of responses are received.</w:t>
      </w:r>
    </w:p>
    <w:p w14:paraId="2D7F53AC" w14:textId="77777777" w:rsidR="00E02418" w:rsidRDefault="00E02418" w:rsidP="00EE7BE4">
      <w:pPr>
        <w:spacing w:line="360" w:lineRule="auto"/>
        <w:jc w:val="both"/>
        <w:rPr>
          <w:rFonts w:ascii="Times New Roman" w:hAnsi="Times New Roman" w:cs="Times New Roman"/>
        </w:rPr>
      </w:pPr>
    </w:p>
    <w:p w14:paraId="08B9BEEF" w14:textId="77777777" w:rsidR="00DF35D6" w:rsidRPr="00B4649D" w:rsidRDefault="00477D20" w:rsidP="00DF35D6">
      <w:pPr>
        <w:spacing w:line="360" w:lineRule="auto"/>
        <w:jc w:val="both"/>
        <w:rPr>
          <w:rFonts w:ascii="Times New Roman" w:eastAsia="Calibri" w:hAnsi="Times New Roman" w:cs="Times New Roman"/>
          <w:b/>
        </w:rPr>
      </w:pPr>
      <w:r>
        <w:rPr>
          <w:rFonts w:ascii="Times New Roman" w:eastAsia="Calibri" w:hAnsi="Times New Roman" w:cs="Times New Roman"/>
          <w:b/>
        </w:rPr>
        <w:t xml:space="preserve">Data Analysis, </w:t>
      </w:r>
      <w:r w:rsidR="00DF35D6">
        <w:rPr>
          <w:rFonts w:ascii="Times New Roman" w:eastAsia="Calibri" w:hAnsi="Times New Roman" w:cs="Times New Roman"/>
          <w:b/>
        </w:rPr>
        <w:t>Modeling</w:t>
      </w:r>
      <w:r>
        <w:rPr>
          <w:rFonts w:ascii="Times New Roman" w:eastAsia="Calibri" w:hAnsi="Times New Roman" w:cs="Times New Roman"/>
          <w:b/>
        </w:rPr>
        <w:t>, and Load Management</w:t>
      </w:r>
    </w:p>
    <w:p w14:paraId="6EF90049" w14:textId="77777777" w:rsidR="001F4E83" w:rsidRDefault="00DF35D6" w:rsidP="008D5754">
      <w:pPr>
        <w:spacing w:line="360" w:lineRule="auto"/>
        <w:jc w:val="both"/>
        <w:rPr>
          <w:rFonts w:ascii="Times New Roman" w:hAnsi="Times New Roman" w:cs="Times New Roman"/>
        </w:rPr>
      </w:pPr>
      <w:r w:rsidRPr="00DF35D6">
        <w:rPr>
          <w:rFonts w:ascii="Times New Roman" w:hAnsi="Times New Roman" w:cs="Times New Roman"/>
        </w:rPr>
        <w:t xml:space="preserve">As seen in </w:t>
      </w:r>
      <w:r w:rsidR="001F4E83">
        <w:rPr>
          <w:rFonts w:ascii="Times New Roman" w:hAnsi="Times New Roman" w:cs="Times New Roman"/>
        </w:rPr>
        <w:t>the chart below</w:t>
      </w:r>
      <w:r w:rsidRPr="00DF35D6">
        <w:rPr>
          <w:rFonts w:ascii="Times New Roman" w:hAnsi="Times New Roman" w:cs="Times New Roman"/>
        </w:rPr>
        <w:t xml:space="preserve">, </w:t>
      </w:r>
      <w:r w:rsidR="003529B0">
        <w:rPr>
          <w:rFonts w:ascii="Times New Roman" w:hAnsi="Times New Roman" w:cs="Times New Roman"/>
        </w:rPr>
        <w:t>the average</w:t>
      </w:r>
      <w:r w:rsidR="001F4E83">
        <w:rPr>
          <w:rFonts w:ascii="Times New Roman" w:hAnsi="Times New Roman" w:cs="Times New Roman"/>
        </w:rPr>
        <w:t xml:space="preserve"> </w:t>
      </w:r>
      <w:r w:rsidRPr="00DF35D6">
        <w:rPr>
          <w:rFonts w:ascii="Times New Roman" w:hAnsi="Times New Roman" w:cs="Times New Roman"/>
        </w:rPr>
        <w:t xml:space="preserve">daily residential demand </w:t>
      </w:r>
      <w:r w:rsidR="001F4E83">
        <w:rPr>
          <w:rFonts w:ascii="Times New Roman" w:hAnsi="Times New Roman" w:cs="Times New Roman"/>
        </w:rPr>
        <w:t xml:space="preserve">from EVs </w:t>
      </w:r>
      <w:r w:rsidRPr="00DF35D6">
        <w:rPr>
          <w:rFonts w:ascii="Times New Roman" w:hAnsi="Times New Roman" w:cs="Times New Roman"/>
        </w:rPr>
        <w:t xml:space="preserve">peaks between the </w:t>
      </w:r>
      <w:r w:rsidR="003529B0">
        <w:rPr>
          <w:rFonts w:ascii="Times New Roman" w:hAnsi="Times New Roman" w:cs="Times New Roman"/>
        </w:rPr>
        <w:t>hours of 5:00 PM to 8:00 PM.</w:t>
      </w:r>
      <w:r w:rsidRPr="00DF35D6">
        <w:rPr>
          <w:rFonts w:ascii="Times New Roman" w:hAnsi="Times New Roman" w:cs="Times New Roman"/>
        </w:rPr>
        <w:t xml:space="preserve"> </w:t>
      </w:r>
    </w:p>
    <w:p w14:paraId="618CE182" w14:textId="77777777" w:rsidR="00C1660C" w:rsidRDefault="00C1660C" w:rsidP="001F4E83">
      <w:pPr>
        <w:spacing w:line="360" w:lineRule="auto"/>
        <w:rPr>
          <w:rFonts w:ascii="Times New Roman" w:hAnsi="Times New Roman" w:cs="Times New Roman"/>
          <w:b/>
          <w:u w:val="single"/>
        </w:rPr>
      </w:pPr>
    </w:p>
    <w:p w14:paraId="40672B53" w14:textId="178F7CAD" w:rsidR="001F4E83" w:rsidRDefault="00CE2354" w:rsidP="00FC069E">
      <w:pPr>
        <w:rPr>
          <w:rFonts w:ascii="Times New Roman" w:hAnsi="Times New Roman" w:cs="Times New Roman"/>
          <w:b/>
          <w:u w:val="single"/>
        </w:rPr>
      </w:pPr>
      <w:r>
        <w:rPr>
          <w:rFonts w:ascii="Times New Roman" w:hAnsi="Times New Roman" w:cs="Times New Roman"/>
          <w:b/>
          <w:u w:val="single"/>
        </w:rPr>
        <w:br w:type="page"/>
      </w:r>
      <w:r w:rsidR="001F4E83">
        <w:rPr>
          <w:rFonts w:ascii="Times New Roman" w:hAnsi="Times New Roman" w:cs="Times New Roman"/>
          <w:b/>
          <w:u w:val="single"/>
        </w:rPr>
        <w:lastRenderedPageBreak/>
        <w:t>Chart No. 8</w:t>
      </w:r>
    </w:p>
    <w:p w14:paraId="3B04D3B1" w14:textId="77777777" w:rsidR="00FC069E" w:rsidRPr="00DF35D6" w:rsidRDefault="00FC069E" w:rsidP="00FC069E">
      <w:pPr>
        <w:rPr>
          <w:rFonts w:ascii="Times New Roman" w:hAnsi="Times New Roman" w:cs="Times New Roman"/>
          <w:b/>
          <w:u w:val="single"/>
        </w:rPr>
      </w:pPr>
    </w:p>
    <w:p w14:paraId="50F5DE33" w14:textId="77777777" w:rsidR="001F4E83" w:rsidRPr="00DF35D6" w:rsidRDefault="001F4E83" w:rsidP="001F4E83">
      <w:pPr>
        <w:spacing w:line="360" w:lineRule="auto"/>
        <w:jc w:val="center"/>
        <w:rPr>
          <w:rFonts w:ascii="Times New Roman" w:hAnsi="Times New Roman" w:cs="Times New Roman"/>
        </w:rPr>
      </w:pPr>
      <w:r w:rsidRPr="00DF35D6">
        <w:rPr>
          <w:rFonts w:ascii="Times New Roman" w:hAnsi="Times New Roman" w:cs="Times New Roman"/>
          <w:noProof/>
        </w:rPr>
        <w:drawing>
          <wp:inline distT="0" distB="0" distL="0" distR="0" wp14:anchorId="1944FD3A" wp14:editId="06B35BDC">
            <wp:extent cx="5812542" cy="36347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97567" cy="3687908"/>
                    </a:xfrm>
                    <a:prstGeom prst="rect">
                      <a:avLst/>
                    </a:prstGeom>
                  </pic:spPr>
                </pic:pic>
              </a:graphicData>
            </a:graphic>
          </wp:inline>
        </w:drawing>
      </w:r>
    </w:p>
    <w:p w14:paraId="035A3C92" w14:textId="77777777" w:rsidR="001F4E83" w:rsidRDefault="001F4E83" w:rsidP="00DF35D6">
      <w:pPr>
        <w:spacing w:line="360" w:lineRule="auto"/>
        <w:rPr>
          <w:rFonts w:ascii="Times New Roman" w:hAnsi="Times New Roman" w:cs="Times New Roman"/>
        </w:rPr>
      </w:pPr>
    </w:p>
    <w:p w14:paraId="37D2720D" w14:textId="77777777" w:rsidR="00DF35D6" w:rsidRPr="00DF35D6" w:rsidRDefault="00DF35D6" w:rsidP="00CE2354">
      <w:pPr>
        <w:spacing w:line="360" w:lineRule="auto"/>
        <w:jc w:val="both"/>
        <w:rPr>
          <w:rFonts w:ascii="Times New Roman" w:hAnsi="Times New Roman" w:cs="Times New Roman"/>
        </w:rPr>
      </w:pPr>
      <w:r w:rsidRPr="00DF35D6">
        <w:rPr>
          <w:rFonts w:ascii="Times New Roman" w:hAnsi="Times New Roman" w:cs="Times New Roman"/>
        </w:rPr>
        <w:t xml:space="preserve">Qualitatively, there </w:t>
      </w:r>
      <w:r w:rsidR="001F4E83">
        <w:rPr>
          <w:rFonts w:ascii="Times New Roman" w:hAnsi="Times New Roman" w:cs="Times New Roman"/>
        </w:rPr>
        <w:t>were</w:t>
      </w:r>
      <w:r w:rsidRPr="00DF35D6">
        <w:rPr>
          <w:rFonts w:ascii="Times New Roman" w:hAnsi="Times New Roman" w:cs="Times New Roman"/>
        </w:rPr>
        <w:t xml:space="preserve"> </w:t>
      </w:r>
      <w:r w:rsidR="001F4E83">
        <w:rPr>
          <w:rFonts w:ascii="Times New Roman" w:hAnsi="Times New Roman" w:cs="Times New Roman"/>
        </w:rPr>
        <w:t>a few</w:t>
      </w:r>
      <w:r w:rsidRPr="00DF35D6">
        <w:rPr>
          <w:rFonts w:ascii="Times New Roman" w:hAnsi="Times New Roman" w:cs="Times New Roman"/>
        </w:rPr>
        <w:t xml:space="preserve"> accounts of program participants that </w:t>
      </w:r>
      <w:r w:rsidR="001F4E83">
        <w:rPr>
          <w:rFonts w:ascii="Times New Roman" w:hAnsi="Times New Roman" w:cs="Times New Roman"/>
        </w:rPr>
        <w:t xml:space="preserve">reduced or </w:t>
      </w:r>
      <w:r w:rsidRPr="00DF35D6">
        <w:rPr>
          <w:rFonts w:ascii="Times New Roman" w:hAnsi="Times New Roman" w:cs="Times New Roman"/>
        </w:rPr>
        <w:t xml:space="preserve">stopped driving </w:t>
      </w:r>
      <w:r w:rsidR="001F4E83">
        <w:rPr>
          <w:rFonts w:ascii="Times New Roman" w:hAnsi="Times New Roman" w:cs="Times New Roman"/>
        </w:rPr>
        <w:t>their EV</w:t>
      </w:r>
      <w:r w:rsidRPr="00DF35D6">
        <w:rPr>
          <w:rFonts w:ascii="Times New Roman" w:hAnsi="Times New Roman" w:cs="Times New Roman"/>
        </w:rPr>
        <w:t xml:space="preserve">s </w:t>
      </w:r>
      <w:r w:rsidR="001F4E83">
        <w:rPr>
          <w:rFonts w:ascii="Times New Roman" w:hAnsi="Times New Roman" w:cs="Times New Roman"/>
        </w:rPr>
        <w:t>with the onset of harsher winter conditions</w:t>
      </w:r>
      <w:r w:rsidR="00C1660C">
        <w:rPr>
          <w:rFonts w:ascii="Times New Roman" w:hAnsi="Times New Roman" w:cs="Times New Roman"/>
        </w:rPr>
        <w:t>, opting instead to use gasoline vehicles with higher ground clearances</w:t>
      </w:r>
      <w:r w:rsidR="001F4E83">
        <w:rPr>
          <w:rFonts w:ascii="Times New Roman" w:hAnsi="Times New Roman" w:cs="Times New Roman"/>
        </w:rPr>
        <w:t xml:space="preserve">.  This may result in reduced energy demand from EVs during parts of the winter.  </w:t>
      </w:r>
      <w:r w:rsidR="00420A0D">
        <w:rPr>
          <w:rFonts w:ascii="Times New Roman" w:hAnsi="Times New Roman" w:cs="Times New Roman"/>
        </w:rPr>
        <w:t>B</w:t>
      </w:r>
      <w:r w:rsidR="001F4E83">
        <w:rPr>
          <w:rFonts w:ascii="Times New Roman" w:hAnsi="Times New Roman" w:cs="Times New Roman"/>
        </w:rPr>
        <w:t>atteries do not perform as well with colder temperatures and may require more kW per mile driven than at other times of the year.  The</w:t>
      </w:r>
      <w:r w:rsidRPr="00DF35D6">
        <w:rPr>
          <w:rFonts w:ascii="Times New Roman" w:hAnsi="Times New Roman" w:cs="Times New Roman"/>
        </w:rPr>
        <w:t xml:space="preserve"> seasonal demand difference </w:t>
      </w:r>
      <w:r w:rsidR="001F4E83">
        <w:rPr>
          <w:rFonts w:ascii="Times New Roman" w:hAnsi="Times New Roman" w:cs="Times New Roman"/>
        </w:rPr>
        <w:t xml:space="preserve">appears somewhat significant </w:t>
      </w:r>
      <w:r w:rsidRPr="00DF35D6">
        <w:rPr>
          <w:rFonts w:ascii="Times New Roman" w:hAnsi="Times New Roman" w:cs="Times New Roman"/>
        </w:rPr>
        <w:t xml:space="preserve">as both daily EV driver energy and peak demand decreased slightly during Spokane’s colder than average </w:t>
      </w:r>
      <w:r w:rsidR="001F4E83">
        <w:rPr>
          <w:rFonts w:ascii="Times New Roman" w:hAnsi="Times New Roman" w:cs="Times New Roman"/>
        </w:rPr>
        <w:t xml:space="preserve">months of </w:t>
      </w:r>
      <w:r w:rsidRPr="00DF35D6">
        <w:rPr>
          <w:rFonts w:ascii="Times New Roman" w:hAnsi="Times New Roman" w:cs="Times New Roman"/>
        </w:rPr>
        <w:t xml:space="preserve">January and February. </w:t>
      </w:r>
    </w:p>
    <w:p w14:paraId="1F6E1B5D" w14:textId="77777777" w:rsidR="00DF35D6" w:rsidRPr="00DF35D6" w:rsidRDefault="00DF35D6" w:rsidP="00DF35D6">
      <w:pPr>
        <w:spacing w:line="360" w:lineRule="auto"/>
        <w:rPr>
          <w:rFonts w:ascii="Times New Roman" w:hAnsi="Times New Roman" w:cs="Times New Roman"/>
        </w:rPr>
      </w:pPr>
    </w:p>
    <w:p w14:paraId="5E1C92EE" w14:textId="583C5D53" w:rsidR="00C1660C" w:rsidRDefault="001F4E83" w:rsidP="00CE2354">
      <w:pPr>
        <w:spacing w:line="360" w:lineRule="auto"/>
        <w:jc w:val="both"/>
        <w:rPr>
          <w:rFonts w:ascii="Times New Roman" w:hAnsi="Times New Roman" w:cs="Times New Roman"/>
        </w:rPr>
      </w:pPr>
      <w:r>
        <w:rPr>
          <w:rFonts w:ascii="Times New Roman" w:hAnsi="Times New Roman" w:cs="Times New Roman"/>
        </w:rPr>
        <w:t>The charts below</w:t>
      </w:r>
      <w:r w:rsidR="00DF35D6" w:rsidRPr="00DF35D6">
        <w:rPr>
          <w:rFonts w:ascii="Times New Roman" w:hAnsi="Times New Roman" w:cs="Times New Roman"/>
        </w:rPr>
        <w:t xml:space="preserve"> present profiles that are representative of </w:t>
      </w:r>
      <w:r w:rsidR="00CE2354">
        <w:rPr>
          <w:rFonts w:ascii="Times New Roman" w:hAnsi="Times New Roman" w:cs="Times New Roman"/>
        </w:rPr>
        <w:t xml:space="preserve">participant </w:t>
      </w:r>
      <w:r w:rsidR="00DF35D6" w:rsidRPr="00DF35D6">
        <w:rPr>
          <w:rFonts w:ascii="Times New Roman" w:hAnsi="Times New Roman" w:cs="Times New Roman"/>
        </w:rPr>
        <w:t xml:space="preserve">group charging habits. </w:t>
      </w:r>
      <w:r>
        <w:rPr>
          <w:rFonts w:ascii="Times New Roman" w:hAnsi="Times New Roman" w:cs="Times New Roman"/>
        </w:rPr>
        <w:t xml:space="preserve"> </w:t>
      </w:r>
      <w:r w:rsidR="00CE2354">
        <w:rPr>
          <w:rFonts w:ascii="Times New Roman" w:hAnsi="Times New Roman" w:cs="Times New Roman"/>
        </w:rPr>
        <w:t xml:space="preserve">Chart No. </w:t>
      </w:r>
      <w:r w:rsidR="00D60C86">
        <w:rPr>
          <w:rFonts w:ascii="Times New Roman" w:hAnsi="Times New Roman" w:cs="Times New Roman"/>
        </w:rPr>
        <w:t>9</w:t>
      </w:r>
      <w:r w:rsidR="00DF35D6" w:rsidRPr="00DF35D6">
        <w:rPr>
          <w:rFonts w:ascii="Times New Roman" w:hAnsi="Times New Roman" w:cs="Times New Roman"/>
        </w:rPr>
        <w:t xml:space="preserve"> show</w:t>
      </w:r>
      <w:r w:rsidR="00CE2354">
        <w:rPr>
          <w:rFonts w:ascii="Times New Roman" w:hAnsi="Times New Roman" w:cs="Times New Roman"/>
        </w:rPr>
        <w:t>s</w:t>
      </w:r>
      <w:r w:rsidR="00DF35D6" w:rsidRPr="00DF35D6">
        <w:rPr>
          <w:rFonts w:ascii="Times New Roman" w:hAnsi="Times New Roman" w:cs="Times New Roman"/>
        </w:rPr>
        <w:t xml:space="preserve"> commuter profiles. </w:t>
      </w:r>
      <w:r>
        <w:rPr>
          <w:rFonts w:ascii="Times New Roman" w:hAnsi="Times New Roman" w:cs="Times New Roman"/>
        </w:rPr>
        <w:t xml:space="preserve"> </w:t>
      </w:r>
      <w:r w:rsidR="00C1660C">
        <w:rPr>
          <w:rFonts w:ascii="Times New Roman" w:hAnsi="Times New Roman" w:cs="Times New Roman"/>
        </w:rPr>
        <w:t xml:space="preserve">As noted previously, </w:t>
      </w:r>
      <w:r w:rsidR="003529B0">
        <w:rPr>
          <w:rFonts w:ascii="Times New Roman" w:hAnsi="Times New Roman" w:cs="Times New Roman"/>
        </w:rPr>
        <w:t>more</w:t>
      </w:r>
      <w:r w:rsidR="00C1660C">
        <w:rPr>
          <w:rFonts w:ascii="Times New Roman" w:hAnsi="Times New Roman" w:cs="Times New Roman"/>
        </w:rPr>
        <w:t xml:space="preserve"> data is available for the BEV commuter category, followed by PHEV commuters.  A relatively low quantity of data is available for both BEV and PHEV non-commuters, therefore some caution is prudent in evaluating comparisons between these different groups.  </w:t>
      </w:r>
    </w:p>
    <w:p w14:paraId="093D8DA1" w14:textId="77777777" w:rsidR="00C1660C" w:rsidRDefault="00C1660C" w:rsidP="00DF35D6">
      <w:pPr>
        <w:spacing w:line="360" w:lineRule="auto"/>
        <w:rPr>
          <w:rFonts w:ascii="Times New Roman" w:hAnsi="Times New Roman" w:cs="Times New Roman"/>
        </w:rPr>
      </w:pPr>
    </w:p>
    <w:p w14:paraId="196F12D0" w14:textId="77777777" w:rsidR="00DF35D6" w:rsidRPr="00DF35D6" w:rsidRDefault="00DF35D6" w:rsidP="00CE2354">
      <w:pPr>
        <w:spacing w:line="360" w:lineRule="auto"/>
        <w:jc w:val="both"/>
        <w:rPr>
          <w:rFonts w:ascii="Times New Roman" w:hAnsi="Times New Roman" w:cs="Times New Roman"/>
        </w:rPr>
      </w:pPr>
      <w:r w:rsidRPr="00DF35D6">
        <w:rPr>
          <w:rFonts w:ascii="Times New Roman" w:hAnsi="Times New Roman" w:cs="Times New Roman"/>
        </w:rPr>
        <w:lastRenderedPageBreak/>
        <w:t>C</w:t>
      </w:r>
      <w:r w:rsidR="001F4E83">
        <w:rPr>
          <w:rFonts w:ascii="Times New Roman" w:hAnsi="Times New Roman" w:cs="Times New Roman"/>
        </w:rPr>
        <w:t>ommuters with both BEVs and PHEV</w:t>
      </w:r>
      <w:r w:rsidRPr="00DF35D6">
        <w:rPr>
          <w:rFonts w:ascii="Times New Roman" w:hAnsi="Times New Roman" w:cs="Times New Roman"/>
        </w:rPr>
        <w:t>s had higher average daily demand</w:t>
      </w:r>
      <w:r w:rsidR="00C1660C">
        <w:rPr>
          <w:rFonts w:ascii="Times New Roman" w:hAnsi="Times New Roman" w:cs="Times New Roman"/>
        </w:rPr>
        <w:t xml:space="preserve"> than non-commuters,</w:t>
      </w:r>
      <w:r w:rsidRPr="00DF35D6">
        <w:rPr>
          <w:rFonts w:ascii="Times New Roman" w:hAnsi="Times New Roman" w:cs="Times New Roman"/>
        </w:rPr>
        <w:t xml:space="preserve"> with pea</w:t>
      </w:r>
      <w:r w:rsidR="001F4E83">
        <w:rPr>
          <w:rFonts w:ascii="Times New Roman" w:hAnsi="Times New Roman" w:cs="Times New Roman"/>
        </w:rPr>
        <w:t xml:space="preserve">k times </w:t>
      </w:r>
      <w:r w:rsidR="00C1660C">
        <w:rPr>
          <w:rFonts w:ascii="Times New Roman" w:hAnsi="Times New Roman" w:cs="Times New Roman"/>
        </w:rPr>
        <w:t>between 6 PM and 9</w:t>
      </w:r>
      <w:r w:rsidRPr="00DF35D6">
        <w:rPr>
          <w:rFonts w:ascii="Times New Roman" w:hAnsi="Times New Roman" w:cs="Times New Roman"/>
        </w:rPr>
        <w:t xml:space="preserve"> PM. </w:t>
      </w:r>
      <w:r w:rsidR="001F4E83">
        <w:rPr>
          <w:rFonts w:ascii="Times New Roman" w:hAnsi="Times New Roman" w:cs="Times New Roman"/>
        </w:rPr>
        <w:t xml:space="preserve"> </w:t>
      </w:r>
      <w:r w:rsidR="00791347">
        <w:rPr>
          <w:rFonts w:ascii="Times New Roman" w:hAnsi="Times New Roman" w:cs="Times New Roman"/>
        </w:rPr>
        <w:t xml:space="preserve">Note the higher peak of 2 kW to 2.5 kW for BEV commuters, compared to 1.2 to 1.6 kW for PHEV commuters.  Also, BEV commuters show greater differences between weekday and weekend charging compared to their PHEV counterparts.  </w:t>
      </w:r>
    </w:p>
    <w:p w14:paraId="55316750" w14:textId="77777777" w:rsidR="00C1660C" w:rsidRDefault="00C1660C" w:rsidP="00DF35D6">
      <w:pPr>
        <w:spacing w:line="360" w:lineRule="auto"/>
        <w:rPr>
          <w:rFonts w:ascii="Times New Roman" w:hAnsi="Times New Roman" w:cs="Times New Roman"/>
          <w:b/>
          <w:u w:val="single"/>
        </w:rPr>
      </w:pPr>
    </w:p>
    <w:p w14:paraId="63555947" w14:textId="45A151A5" w:rsidR="00DF35D6" w:rsidRPr="00DF35D6" w:rsidRDefault="00986F4D" w:rsidP="00DF35D6">
      <w:pPr>
        <w:spacing w:line="360" w:lineRule="auto"/>
        <w:rPr>
          <w:rFonts w:ascii="Times New Roman" w:hAnsi="Times New Roman" w:cs="Times New Roman"/>
          <w:b/>
          <w:u w:val="single"/>
        </w:rPr>
      </w:pPr>
      <w:r>
        <w:rPr>
          <w:rFonts w:ascii="Times New Roman" w:hAnsi="Times New Roman" w:cs="Times New Roman"/>
          <w:b/>
          <w:u w:val="single"/>
        </w:rPr>
        <w:t>Chart No. 9</w:t>
      </w:r>
    </w:p>
    <w:p w14:paraId="5C4EE43D" w14:textId="77777777" w:rsidR="00DF35D6" w:rsidRPr="00DF35D6" w:rsidRDefault="00DF35D6" w:rsidP="00CE2354">
      <w:pPr>
        <w:spacing w:line="360" w:lineRule="auto"/>
        <w:jc w:val="center"/>
        <w:rPr>
          <w:rFonts w:ascii="Times New Roman" w:hAnsi="Times New Roman" w:cs="Times New Roman"/>
        </w:rPr>
      </w:pPr>
      <w:r w:rsidRPr="00DF35D6">
        <w:rPr>
          <w:rFonts w:ascii="Times New Roman" w:hAnsi="Times New Roman" w:cs="Times New Roman"/>
          <w:noProof/>
        </w:rPr>
        <w:drawing>
          <wp:inline distT="0" distB="0" distL="0" distR="0" wp14:anchorId="29D7CCD5" wp14:editId="56D9CCE9">
            <wp:extent cx="4297823" cy="268637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96229" cy="2747889"/>
                    </a:xfrm>
                    <a:prstGeom prst="rect">
                      <a:avLst/>
                    </a:prstGeom>
                  </pic:spPr>
                </pic:pic>
              </a:graphicData>
            </a:graphic>
          </wp:inline>
        </w:drawing>
      </w:r>
    </w:p>
    <w:p w14:paraId="5996E421" w14:textId="77777777" w:rsidR="00C1660C" w:rsidRDefault="00C1660C" w:rsidP="00DF35D6">
      <w:pPr>
        <w:spacing w:line="360" w:lineRule="auto"/>
        <w:rPr>
          <w:rFonts w:ascii="Times New Roman" w:hAnsi="Times New Roman" w:cs="Times New Roman"/>
          <w:b/>
          <w:u w:val="single"/>
        </w:rPr>
      </w:pPr>
    </w:p>
    <w:p w14:paraId="0CBABC61" w14:textId="3CB485E0" w:rsidR="00DF35D6" w:rsidRPr="00DF35D6" w:rsidRDefault="00791347" w:rsidP="00DF35D6">
      <w:pPr>
        <w:spacing w:line="360" w:lineRule="auto"/>
        <w:rPr>
          <w:rFonts w:ascii="Times New Roman" w:hAnsi="Times New Roman" w:cs="Times New Roman"/>
          <w:b/>
          <w:u w:val="single"/>
        </w:rPr>
      </w:pPr>
      <w:r>
        <w:rPr>
          <w:rFonts w:ascii="Times New Roman" w:hAnsi="Times New Roman" w:cs="Times New Roman"/>
          <w:b/>
          <w:u w:val="single"/>
        </w:rPr>
        <w:t>Chart No. 1</w:t>
      </w:r>
      <w:r w:rsidR="00986F4D">
        <w:rPr>
          <w:rFonts w:ascii="Times New Roman" w:hAnsi="Times New Roman" w:cs="Times New Roman"/>
          <w:b/>
          <w:u w:val="single"/>
        </w:rPr>
        <w:t>0</w:t>
      </w:r>
    </w:p>
    <w:p w14:paraId="72D98869" w14:textId="77777777" w:rsidR="00DF35D6" w:rsidRPr="00DF35D6" w:rsidRDefault="00DF35D6" w:rsidP="00DF35D6">
      <w:pPr>
        <w:spacing w:line="360" w:lineRule="auto"/>
        <w:jc w:val="center"/>
        <w:rPr>
          <w:rFonts w:ascii="Times New Roman" w:hAnsi="Times New Roman" w:cs="Times New Roman"/>
        </w:rPr>
      </w:pPr>
      <w:r w:rsidRPr="00DF35D6">
        <w:rPr>
          <w:rFonts w:ascii="Times New Roman" w:hAnsi="Times New Roman" w:cs="Times New Roman"/>
          <w:noProof/>
        </w:rPr>
        <w:drawing>
          <wp:inline distT="0" distB="0" distL="0" distR="0" wp14:anchorId="7C96F60F" wp14:editId="466AA179">
            <wp:extent cx="4304341" cy="2655543"/>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74473" cy="2760505"/>
                    </a:xfrm>
                    <a:prstGeom prst="rect">
                      <a:avLst/>
                    </a:prstGeom>
                  </pic:spPr>
                </pic:pic>
              </a:graphicData>
            </a:graphic>
          </wp:inline>
        </w:drawing>
      </w:r>
    </w:p>
    <w:p w14:paraId="1E5326AC" w14:textId="77777777" w:rsidR="00DF35D6" w:rsidRPr="00DF35D6" w:rsidRDefault="00DF35D6" w:rsidP="00DF35D6">
      <w:pPr>
        <w:spacing w:line="360" w:lineRule="auto"/>
        <w:rPr>
          <w:rFonts w:ascii="Times New Roman" w:hAnsi="Times New Roman" w:cs="Times New Roman"/>
          <w:b/>
          <w:u w:val="single"/>
        </w:rPr>
      </w:pPr>
    </w:p>
    <w:p w14:paraId="76FF5824" w14:textId="77777777" w:rsidR="00DF35D6" w:rsidRDefault="00791347" w:rsidP="00AF59C5">
      <w:pPr>
        <w:spacing w:line="360" w:lineRule="auto"/>
        <w:jc w:val="both"/>
        <w:rPr>
          <w:rFonts w:ascii="Times New Roman" w:hAnsi="Times New Roman" w:cs="Times New Roman"/>
        </w:rPr>
      </w:pPr>
      <w:r>
        <w:rPr>
          <w:rFonts w:ascii="Times New Roman" w:hAnsi="Times New Roman" w:cs="Times New Roman"/>
        </w:rPr>
        <w:lastRenderedPageBreak/>
        <w:t>Compared to commuters</w:t>
      </w:r>
      <w:r w:rsidR="00DF35D6" w:rsidRPr="00DF35D6">
        <w:rPr>
          <w:rFonts w:ascii="Times New Roman" w:hAnsi="Times New Roman" w:cs="Times New Roman"/>
        </w:rPr>
        <w:t xml:space="preserve">, non-commuters </w:t>
      </w:r>
      <w:r>
        <w:rPr>
          <w:rFonts w:ascii="Times New Roman" w:hAnsi="Times New Roman" w:cs="Times New Roman"/>
        </w:rPr>
        <w:t>thus far demonstrate</w:t>
      </w:r>
      <w:r w:rsidR="00DF35D6" w:rsidRPr="00DF35D6">
        <w:rPr>
          <w:rFonts w:ascii="Times New Roman" w:hAnsi="Times New Roman" w:cs="Times New Roman"/>
        </w:rPr>
        <w:t xml:space="preserve"> a “flatter” charging profile</w:t>
      </w:r>
      <w:r>
        <w:rPr>
          <w:rFonts w:ascii="Times New Roman" w:hAnsi="Times New Roman" w:cs="Times New Roman"/>
        </w:rPr>
        <w:t>,</w:t>
      </w:r>
      <w:r w:rsidR="00DF35D6" w:rsidRPr="00DF35D6">
        <w:rPr>
          <w:rFonts w:ascii="Times New Roman" w:hAnsi="Times New Roman" w:cs="Times New Roman"/>
        </w:rPr>
        <w:t xml:space="preserve"> with earlier peak times. </w:t>
      </w:r>
      <w:r>
        <w:rPr>
          <w:rFonts w:ascii="Times New Roman" w:hAnsi="Times New Roman" w:cs="Times New Roman"/>
        </w:rPr>
        <w:t xml:space="preserve"> </w:t>
      </w:r>
      <w:r w:rsidR="00DF35D6" w:rsidRPr="00DF35D6">
        <w:rPr>
          <w:rFonts w:ascii="Times New Roman" w:hAnsi="Times New Roman" w:cs="Times New Roman"/>
        </w:rPr>
        <w:t xml:space="preserve">Weekday and weekend demand for non-commuters are </w:t>
      </w:r>
      <w:r>
        <w:rPr>
          <w:rFonts w:ascii="Times New Roman" w:hAnsi="Times New Roman" w:cs="Times New Roman"/>
        </w:rPr>
        <w:t>also less pronounced</w:t>
      </w:r>
      <w:r w:rsidR="00DF35D6" w:rsidRPr="00DF35D6">
        <w:rPr>
          <w:rFonts w:ascii="Times New Roman" w:hAnsi="Times New Roman" w:cs="Times New Roman"/>
        </w:rPr>
        <w:t xml:space="preserve">. </w:t>
      </w:r>
      <w:r>
        <w:rPr>
          <w:rFonts w:ascii="Times New Roman" w:hAnsi="Times New Roman" w:cs="Times New Roman"/>
        </w:rPr>
        <w:t xml:space="preserve"> </w:t>
      </w:r>
      <w:r w:rsidR="00DF35D6" w:rsidRPr="00DF35D6">
        <w:rPr>
          <w:rFonts w:ascii="Times New Roman" w:hAnsi="Times New Roman" w:cs="Times New Roman"/>
        </w:rPr>
        <w:t>Somewhat surprisingly, the highest demand peaks for many participants in these driver group</w:t>
      </w:r>
      <w:r>
        <w:rPr>
          <w:rFonts w:ascii="Times New Roman" w:hAnsi="Times New Roman" w:cs="Times New Roman"/>
        </w:rPr>
        <w:t>s</w:t>
      </w:r>
      <w:r w:rsidR="00DF35D6" w:rsidRPr="00DF35D6">
        <w:rPr>
          <w:rFonts w:ascii="Times New Roman" w:hAnsi="Times New Roman" w:cs="Times New Roman"/>
        </w:rPr>
        <w:t xml:space="preserve"> occur on the weekend rather than the weekday. </w:t>
      </w:r>
      <w:r w:rsidR="00C1660C">
        <w:rPr>
          <w:rFonts w:ascii="Times New Roman" w:hAnsi="Times New Roman" w:cs="Times New Roman"/>
        </w:rPr>
        <w:t xml:space="preserve"> </w:t>
      </w:r>
      <w:r w:rsidR="003C7F79">
        <w:rPr>
          <w:rFonts w:ascii="Times New Roman" w:hAnsi="Times New Roman" w:cs="Times New Roman"/>
        </w:rPr>
        <w:t xml:space="preserve">Again, </w:t>
      </w:r>
      <w:r w:rsidR="003529B0">
        <w:rPr>
          <w:rFonts w:ascii="Times New Roman" w:hAnsi="Times New Roman" w:cs="Times New Roman"/>
        </w:rPr>
        <w:t xml:space="preserve">although these insights may prove consistent over time, </w:t>
      </w:r>
      <w:r w:rsidR="003C7F79">
        <w:rPr>
          <w:rFonts w:ascii="Times New Roman" w:hAnsi="Times New Roman" w:cs="Times New Roman"/>
        </w:rPr>
        <w:t>the lower volume of data for the non-commuter categories does not allow for strong conclusions to be drawn at this time.</w:t>
      </w:r>
    </w:p>
    <w:p w14:paraId="3CE55E1B" w14:textId="77777777" w:rsidR="00C1660C" w:rsidRPr="00DF35D6" w:rsidRDefault="00C1660C" w:rsidP="00DF35D6">
      <w:pPr>
        <w:spacing w:line="360" w:lineRule="auto"/>
        <w:rPr>
          <w:rFonts w:ascii="Times New Roman" w:hAnsi="Times New Roman" w:cs="Times New Roman"/>
        </w:rPr>
      </w:pPr>
    </w:p>
    <w:p w14:paraId="4658038E" w14:textId="0900C452" w:rsidR="00DF35D6" w:rsidRPr="00DF35D6" w:rsidRDefault="00C1660C" w:rsidP="00DF35D6">
      <w:pPr>
        <w:spacing w:line="360" w:lineRule="auto"/>
        <w:rPr>
          <w:rFonts w:ascii="Times New Roman" w:hAnsi="Times New Roman" w:cs="Times New Roman"/>
          <w:b/>
          <w:u w:val="single"/>
        </w:rPr>
      </w:pPr>
      <w:r>
        <w:rPr>
          <w:rFonts w:ascii="Times New Roman" w:hAnsi="Times New Roman" w:cs="Times New Roman"/>
          <w:b/>
          <w:u w:val="single"/>
        </w:rPr>
        <w:t>Chart No. 1</w:t>
      </w:r>
      <w:r w:rsidR="00986F4D">
        <w:rPr>
          <w:rFonts w:ascii="Times New Roman" w:hAnsi="Times New Roman" w:cs="Times New Roman"/>
          <w:b/>
          <w:u w:val="single"/>
        </w:rPr>
        <w:t>1</w:t>
      </w:r>
    </w:p>
    <w:p w14:paraId="398D3EF2" w14:textId="77777777" w:rsidR="00DF35D6" w:rsidRPr="00DF35D6" w:rsidRDefault="00DF35D6" w:rsidP="00DF35D6">
      <w:pPr>
        <w:spacing w:line="360" w:lineRule="auto"/>
        <w:jc w:val="center"/>
        <w:rPr>
          <w:rFonts w:ascii="Times New Roman" w:hAnsi="Times New Roman" w:cs="Times New Roman"/>
          <w:noProof/>
        </w:rPr>
      </w:pPr>
      <w:r w:rsidRPr="00DF35D6">
        <w:rPr>
          <w:rFonts w:ascii="Times New Roman" w:hAnsi="Times New Roman" w:cs="Times New Roman"/>
          <w:noProof/>
        </w:rPr>
        <w:drawing>
          <wp:inline distT="0" distB="0" distL="0" distR="0" wp14:anchorId="03C17AE6" wp14:editId="30947829">
            <wp:extent cx="4325101" cy="260517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03370" cy="2652322"/>
                    </a:xfrm>
                    <a:prstGeom prst="rect">
                      <a:avLst/>
                    </a:prstGeom>
                  </pic:spPr>
                </pic:pic>
              </a:graphicData>
            </a:graphic>
          </wp:inline>
        </w:drawing>
      </w:r>
    </w:p>
    <w:p w14:paraId="7AB49404" w14:textId="081AC2F7" w:rsidR="00DF35D6" w:rsidRPr="00DF35D6" w:rsidRDefault="00C1660C" w:rsidP="00DF35D6">
      <w:pPr>
        <w:spacing w:line="360" w:lineRule="auto"/>
        <w:rPr>
          <w:rFonts w:ascii="Times New Roman" w:hAnsi="Times New Roman" w:cs="Times New Roman"/>
          <w:b/>
          <w:u w:val="single"/>
        </w:rPr>
      </w:pPr>
      <w:r>
        <w:rPr>
          <w:rFonts w:ascii="Times New Roman" w:hAnsi="Times New Roman" w:cs="Times New Roman"/>
          <w:b/>
          <w:u w:val="single"/>
        </w:rPr>
        <w:t>Chart No. 1</w:t>
      </w:r>
      <w:r w:rsidR="00986F4D">
        <w:rPr>
          <w:rFonts w:ascii="Times New Roman" w:hAnsi="Times New Roman" w:cs="Times New Roman"/>
          <w:b/>
          <w:u w:val="single"/>
        </w:rPr>
        <w:t>2</w:t>
      </w:r>
    </w:p>
    <w:p w14:paraId="7C9F4FF1" w14:textId="77777777" w:rsidR="00DF35D6" w:rsidRPr="00DF35D6" w:rsidRDefault="00DF35D6" w:rsidP="00DF35D6">
      <w:pPr>
        <w:spacing w:line="360" w:lineRule="auto"/>
        <w:jc w:val="center"/>
        <w:rPr>
          <w:rFonts w:ascii="Times New Roman" w:hAnsi="Times New Roman" w:cs="Times New Roman"/>
        </w:rPr>
      </w:pPr>
      <w:r w:rsidRPr="00DF35D6">
        <w:rPr>
          <w:rFonts w:ascii="Times New Roman" w:hAnsi="Times New Roman" w:cs="Times New Roman"/>
          <w:noProof/>
        </w:rPr>
        <w:drawing>
          <wp:inline distT="0" distB="0" distL="0" distR="0" wp14:anchorId="4AD295FC" wp14:editId="0BD0BD44">
            <wp:extent cx="4372610" cy="2631056"/>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61090" cy="2744467"/>
                    </a:xfrm>
                    <a:prstGeom prst="rect">
                      <a:avLst/>
                    </a:prstGeom>
                  </pic:spPr>
                </pic:pic>
              </a:graphicData>
            </a:graphic>
          </wp:inline>
        </w:drawing>
      </w:r>
    </w:p>
    <w:p w14:paraId="06CABF60" w14:textId="77777777" w:rsidR="00DF35D6" w:rsidRPr="00DF35D6" w:rsidRDefault="00DF35D6" w:rsidP="00DF35D6">
      <w:pPr>
        <w:spacing w:line="360" w:lineRule="auto"/>
        <w:rPr>
          <w:rFonts w:ascii="Times New Roman" w:hAnsi="Times New Roman" w:cs="Times New Roman"/>
          <w:b/>
          <w:u w:val="single"/>
        </w:rPr>
      </w:pPr>
    </w:p>
    <w:p w14:paraId="2B1C6BDE" w14:textId="7248C948" w:rsidR="00DF35D6" w:rsidRPr="00DF35D6" w:rsidRDefault="00DF35D6" w:rsidP="00AF59C5">
      <w:pPr>
        <w:spacing w:line="360" w:lineRule="auto"/>
        <w:jc w:val="both"/>
        <w:rPr>
          <w:rFonts w:ascii="Times New Roman" w:hAnsi="Times New Roman" w:cs="Times New Roman"/>
        </w:rPr>
      </w:pPr>
      <w:r w:rsidRPr="00DF35D6">
        <w:rPr>
          <w:rFonts w:ascii="Times New Roman" w:hAnsi="Times New Roman" w:cs="Times New Roman"/>
        </w:rPr>
        <w:lastRenderedPageBreak/>
        <w:t xml:space="preserve">The charts below show daily demand at individual workplaces. </w:t>
      </w:r>
      <w:r w:rsidR="003C7F79">
        <w:rPr>
          <w:rFonts w:ascii="Times New Roman" w:hAnsi="Times New Roman" w:cs="Times New Roman"/>
        </w:rPr>
        <w:t xml:space="preserve"> </w:t>
      </w:r>
      <w:r w:rsidRPr="00DF35D6">
        <w:rPr>
          <w:rFonts w:ascii="Times New Roman" w:hAnsi="Times New Roman" w:cs="Times New Roman"/>
        </w:rPr>
        <w:t xml:space="preserve">Workplace charging peaks during the start of the work day for that business or organization. </w:t>
      </w:r>
      <w:r w:rsidR="003C7F79">
        <w:rPr>
          <w:rFonts w:ascii="Times New Roman" w:hAnsi="Times New Roman" w:cs="Times New Roman"/>
        </w:rPr>
        <w:t xml:space="preserve"> </w:t>
      </w:r>
      <w:r w:rsidRPr="00DF35D6">
        <w:rPr>
          <w:rFonts w:ascii="Times New Roman" w:hAnsi="Times New Roman" w:cs="Times New Roman"/>
        </w:rPr>
        <w:t xml:space="preserve">In </w:t>
      </w:r>
      <w:r w:rsidR="003C7F79">
        <w:rPr>
          <w:rFonts w:ascii="Times New Roman" w:hAnsi="Times New Roman" w:cs="Times New Roman"/>
        </w:rPr>
        <w:t>the first chart</w:t>
      </w:r>
      <w:r w:rsidRPr="00DF35D6">
        <w:rPr>
          <w:rFonts w:ascii="Times New Roman" w:hAnsi="Times New Roman" w:cs="Times New Roman"/>
        </w:rPr>
        <w:t xml:space="preserve"> we see a single peak occurring in the morning. </w:t>
      </w:r>
      <w:r w:rsidR="003C7F79">
        <w:rPr>
          <w:rFonts w:ascii="Times New Roman" w:hAnsi="Times New Roman" w:cs="Times New Roman"/>
        </w:rPr>
        <w:t xml:space="preserve"> </w:t>
      </w:r>
      <w:r w:rsidRPr="00DF35D6">
        <w:rPr>
          <w:rFonts w:ascii="Times New Roman" w:hAnsi="Times New Roman" w:cs="Times New Roman"/>
        </w:rPr>
        <w:t xml:space="preserve">In Chart </w:t>
      </w:r>
      <w:r w:rsidR="00420A0D">
        <w:rPr>
          <w:rFonts w:ascii="Times New Roman" w:hAnsi="Times New Roman" w:cs="Times New Roman"/>
        </w:rPr>
        <w:t>1</w:t>
      </w:r>
      <w:r w:rsidR="00D60C86">
        <w:rPr>
          <w:rFonts w:ascii="Times New Roman" w:hAnsi="Times New Roman" w:cs="Times New Roman"/>
        </w:rPr>
        <w:t>4</w:t>
      </w:r>
      <w:r w:rsidRPr="00DF35D6">
        <w:rPr>
          <w:rFonts w:ascii="Times New Roman" w:hAnsi="Times New Roman" w:cs="Times New Roman"/>
        </w:rPr>
        <w:t xml:space="preserve">, the effect of shift work creates demand peaks during the first shift and gradually declines until the swing shift begins and a second peak occurs. </w:t>
      </w:r>
    </w:p>
    <w:p w14:paraId="433A01E5" w14:textId="77777777" w:rsidR="00FC069E" w:rsidRDefault="00FC069E" w:rsidP="00DF35D6">
      <w:pPr>
        <w:spacing w:line="360" w:lineRule="auto"/>
        <w:rPr>
          <w:rFonts w:ascii="Times New Roman" w:hAnsi="Times New Roman" w:cs="Times New Roman"/>
          <w:b/>
          <w:u w:val="single"/>
        </w:rPr>
      </w:pPr>
    </w:p>
    <w:p w14:paraId="776AD237" w14:textId="37B32523" w:rsidR="00DF35D6" w:rsidRPr="00DF35D6" w:rsidRDefault="00DF35D6" w:rsidP="00DF35D6">
      <w:pPr>
        <w:spacing w:line="360" w:lineRule="auto"/>
        <w:rPr>
          <w:rFonts w:ascii="Times New Roman" w:hAnsi="Times New Roman" w:cs="Times New Roman"/>
          <w:b/>
          <w:u w:val="single"/>
        </w:rPr>
      </w:pPr>
      <w:r w:rsidRPr="00DF35D6">
        <w:rPr>
          <w:rFonts w:ascii="Times New Roman" w:hAnsi="Times New Roman" w:cs="Times New Roman"/>
          <w:b/>
          <w:u w:val="single"/>
        </w:rPr>
        <w:t xml:space="preserve">Chart No. </w:t>
      </w:r>
      <w:r w:rsidR="003529B0">
        <w:rPr>
          <w:rFonts w:ascii="Times New Roman" w:hAnsi="Times New Roman" w:cs="Times New Roman"/>
          <w:b/>
          <w:u w:val="single"/>
        </w:rPr>
        <w:t>1</w:t>
      </w:r>
      <w:r w:rsidR="00986F4D">
        <w:rPr>
          <w:rFonts w:ascii="Times New Roman" w:hAnsi="Times New Roman" w:cs="Times New Roman"/>
          <w:b/>
          <w:u w:val="single"/>
        </w:rPr>
        <w:t>3</w:t>
      </w:r>
    </w:p>
    <w:p w14:paraId="580F85EF" w14:textId="77777777" w:rsidR="00DF35D6" w:rsidRDefault="00DF35D6" w:rsidP="00DF35D6">
      <w:pPr>
        <w:spacing w:line="360" w:lineRule="auto"/>
        <w:jc w:val="center"/>
        <w:rPr>
          <w:rFonts w:ascii="Times New Roman" w:hAnsi="Times New Roman" w:cs="Times New Roman"/>
        </w:rPr>
      </w:pPr>
      <w:r w:rsidRPr="00DF35D6">
        <w:rPr>
          <w:rFonts w:ascii="Times New Roman" w:hAnsi="Times New Roman" w:cs="Times New Roman"/>
          <w:noProof/>
        </w:rPr>
        <w:drawing>
          <wp:inline distT="0" distB="0" distL="0" distR="0" wp14:anchorId="61F98F93" wp14:editId="3E05EB3F">
            <wp:extent cx="4899804" cy="2680758"/>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08401" cy="2685462"/>
                    </a:xfrm>
                    <a:prstGeom prst="rect">
                      <a:avLst/>
                    </a:prstGeom>
                  </pic:spPr>
                </pic:pic>
              </a:graphicData>
            </a:graphic>
          </wp:inline>
        </w:drawing>
      </w:r>
    </w:p>
    <w:p w14:paraId="669208B3" w14:textId="77777777" w:rsidR="008E6EE1" w:rsidRPr="00DF35D6" w:rsidRDefault="008E6EE1" w:rsidP="00DF35D6">
      <w:pPr>
        <w:spacing w:line="360" w:lineRule="auto"/>
        <w:jc w:val="center"/>
        <w:rPr>
          <w:rFonts w:ascii="Times New Roman" w:hAnsi="Times New Roman" w:cs="Times New Roman"/>
        </w:rPr>
      </w:pPr>
    </w:p>
    <w:p w14:paraId="0B64A3EE" w14:textId="36F93862" w:rsidR="00DF35D6" w:rsidRPr="00DF35D6" w:rsidRDefault="00DF35D6" w:rsidP="00DF35D6">
      <w:pPr>
        <w:spacing w:line="360" w:lineRule="auto"/>
        <w:rPr>
          <w:rFonts w:ascii="Times New Roman" w:hAnsi="Times New Roman" w:cs="Times New Roman"/>
          <w:b/>
          <w:u w:val="single"/>
        </w:rPr>
      </w:pPr>
      <w:r w:rsidRPr="00DF35D6">
        <w:rPr>
          <w:rFonts w:ascii="Times New Roman" w:hAnsi="Times New Roman" w:cs="Times New Roman"/>
          <w:b/>
          <w:u w:val="single"/>
        </w:rPr>
        <w:t xml:space="preserve">Chart No. </w:t>
      </w:r>
      <w:r w:rsidR="00986F4D">
        <w:rPr>
          <w:rFonts w:ascii="Times New Roman" w:hAnsi="Times New Roman" w:cs="Times New Roman"/>
          <w:b/>
          <w:u w:val="single"/>
        </w:rPr>
        <w:t>14</w:t>
      </w:r>
    </w:p>
    <w:p w14:paraId="2EF1A054" w14:textId="77777777" w:rsidR="00DF35D6" w:rsidRPr="00DF35D6" w:rsidRDefault="00DF35D6" w:rsidP="00DF35D6">
      <w:pPr>
        <w:spacing w:line="360" w:lineRule="auto"/>
        <w:jc w:val="center"/>
        <w:rPr>
          <w:rFonts w:ascii="Times New Roman" w:hAnsi="Times New Roman" w:cs="Times New Roman"/>
        </w:rPr>
      </w:pPr>
      <w:r w:rsidRPr="00DF35D6">
        <w:rPr>
          <w:rFonts w:ascii="Times New Roman" w:hAnsi="Times New Roman" w:cs="Times New Roman"/>
          <w:noProof/>
        </w:rPr>
        <w:drawing>
          <wp:inline distT="0" distB="0" distL="0" distR="0" wp14:anchorId="041E987F" wp14:editId="24CCF3FD">
            <wp:extent cx="4869195" cy="2580257"/>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07920" cy="2600778"/>
                    </a:xfrm>
                    <a:prstGeom prst="rect">
                      <a:avLst/>
                    </a:prstGeom>
                  </pic:spPr>
                </pic:pic>
              </a:graphicData>
            </a:graphic>
          </wp:inline>
        </w:drawing>
      </w:r>
    </w:p>
    <w:p w14:paraId="06A07935" w14:textId="77777777" w:rsidR="00DF35D6" w:rsidRPr="00DF35D6" w:rsidRDefault="00DF35D6" w:rsidP="00DF35D6">
      <w:pPr>
        <w:spacing w:line="360" w:lineRule="auto"/>
        <w:jc w:val="center"/>
        <w:rPr>
          <w:rFonts w:ascii="Times New Roman" w:hAnsi="Times New Roman" w:cs="Times New Roman"/>
        </w:rPr>
      </w:pPr>
    </w:p>
    <w:p w14:paraId="55568CB1" w14:textId="77777777" w:rsidR="00300FCC" w:rsidRPr="00DF35D6" w:rsidRDefault="00300FCC" w:rsidP="00AF59C5">
      <w:pPr>
        <w:spacing w:line="360" w:lineRule="auto"/>
        <w:jc w:val="both"/>
        <w:rPr>
          <w:rFonts w:ascii="Times New Roman" w:hAnsi="Times New Roman" w:cs="Times New Roman"/>
        </w:rPr>
      </w:pPr>
      <w:r>
        <w:rPr>
          <w:rFonts w:ascii="Times New Roman" w:hAnsi="Times New Roman" w:cs="Times New Roman"/>
        </w:rPr>
        <w:lastRenderedPageBreak/>
        <w:t>As more data is gathered, additional</w:t>
      </w:r>
      <w:r w:rsidRPr="00DF35D6">
        <w:rPr>
          <w:rFonts w:ascii="Times New Roman" w:hAnsi="Times New Roman" w:cs="Times New Roman"/>
        </w:rPr>
        <w:t xml:space="preserve"> profiles </w:t>
      </w:r>
      <w:r>
        <w:rPr>
          <w:rFonts w:ascii="Times New Roman" w:hAnsi="Times New Roman" w:cs="Times New Roman"/>
        </w:rPr>
        <w:t xml:space="preserve">and analysis will be performed, including the differences in residential </w:t>
      </w:r>
      <w:r w:rsidRPr="00DF35D6">
        <w:rPr>
          <w:rFonts w:ascii="Times New Roman" w:hAnsi="Times New Roman" w:cs="Times New Roman"/>
        </w:rPr>
        <w:t xml:space="preserve">demand due to the availability </w:t>
      </w:r>
      <w:r>
        <w:rPr>
          <w:rFonts w:ascii="Times New Roman" w:hAnsi="Times New Roman" w:cs="Times New Roman"/>
        </w:rPr>
        <w:t xml:space="preserve">or unavailability </w:t>
      </w:r>
      <w:r w:rsidRPr="00DF35D6">
        <w:rPr>
          <w:rFonts w:ascii="Times New Roman" w:hAnsi="Times New Roman" w:cs="Times New Roman"/>
        </w:rPr>
        <w:t xml:space="preserve">of workplace charging. </w:t>
      </w:r>
      <w:r>
        <w:rPr>
          <w:rFonts w:ascii="Times New Roman" w:hAnsi="Times New Roman" w:cs="Times New Roman"/>
        </w:rPr>
        <w:t xml:space="preserve"> </w:t>
      </w:r>
    </w:p>
    <w:p w14:paraId="7460431B" w14:textId="77777777" w:rsidR="00DF35D6" w:rsidRDefault="003C7F79" w:rsidP="00AF59C5">
      <w:pPr>
        <w:spacing w:line="360" w:lineRule="auto"/>
        <w:jc w:val="both"/>
        <w:rPr>
          <w:rFonts w:ascii="Times New Roman" w:hAnsi="Times New Roman" w:cs="Times New Roman"/>
        </w:rPr>
      </w:pPr>
      <w:r>
        <w:rPr>
          <w:rFonts w:ascii="Times New Roman" w:hAnsi="Times New Roman" w:cs="Times New Roman"/>
        </w:rPr>
        <w:t>A</w:t>
      </w:r>
      <w:r w:rsidR="00DF35D6" w:rsidRPr="00DF35D6">
        <w:rPr>
          <w:rFonts w:ascii="Times New Roman" w:hAnsi="Times New Roman" w:cs="Times New Roman"/>
        </w:rPr>
        <w:t>nalysis of m</w:t>
      </w:r>
      <w:r>
        <w:rPr>
          <w:rFonts w:ascii="Times New Roman" w:hAnsi="Times New Roman" w:cs="Times New Roman"/>
        </w:rPr>
        <w:t xml:space="preserve">iles driven per kWh is ongoing, </w:t>
      </w:r>
      <w:r w:rsidR="008E6EE1">
        <w:rPr>
          <w:rFonts w:ascii="Times New Roman" w:hAnsi="Times New Roman" w:cs="Times New Roman"/>
        </w:rPr>
        <w:t xml:space="preserve">requiring correlation of EVSE data and survey responses on odometer readings.  This is </w:t>
      </w:r>
      <w:r>
        <w:rPr>
          <w:rFonts w:ascii="Times New Roman" w:hAnsi="Times New Roman" w:cs="Times New Roman"/>
        </w:rPr>
        <w:t xml:space="preserve">currently estimated at 3.0 to 3.3 miles driven per kWh.  </w:t>
      </w:r>
    </w:p>
    <w:p w14:paraId="2BFB56B9" w14:textId="77777777" w:rsidR="003C7F79" w:rsidRDefault="003C7F79" w:rsidP="00AF59C5">
      <w:pPr>
        <w:spacing w:line="360" w:lineRule="auto"/>
        <w:jc w:val="both"/>
        <w:rPr>
          <w:rFonts w:ascii="Times New Roman" w:hAnsi="Times New Roman" w:cs="Times New Roman"/>
        </w:rPr>
      </w:pPr>
    </w:p>
    <w:p w14:paraId="643AD10B" w14:textId="77777777" w:rsidR="00DF35D6" w:rsidRDefault="008E6EE1" w:rsidP="00AF59C5">
      <w:pPr>
        <w:spacing w:line="360" w:lineRule="auto"/>
        <w:jc w:val="both"/>
        <w:rPr>
          <w:rFonts w:ascii="Times New Roman" w:hAnsi="Times New Roman" w:cs="Times New Roman"/>
        </w:rPr>
      </w:pPr>
      <w:r>
        <w:rPr>
          <w:rFonts w:ascii="Times New Roman" w:hAnsi="Times New Roman" w:cs="Times New Roman"/>
        </w:rPr>
        <w:t>Given the various load profiles representing uninfluenced charging behaviors, it is appropriate to begin the early phases of load management experimental design.  The Company anticipates initial trials of the technology platforms in the next several months, with actual experiments commencing later in 2017.</w:t>
      </w:r>
    </w:p>
    <w:p w14:paraId="3F728B08" w14:textId="77777777" w:rsidR="006E7979" w:rsidRDefault="006E7979" w:rsidP="00AF59C5">
      <w:pPr>
        <w:spacing w:line="360" w:lineRule="auto"/>
        <w:jc w:val="both"/>
        <w:rPr>
          <w:rFonts w:ascii="Times New Roman" w:hAnsi="Times New Roman" w:cs="Times New Roman"/>
        </w:rPr>
      </w:pPr>
    </w:p>
    <w:p w14:paraId="284C8B4C" w14:textId="77777777" w:rsidR="006E7979" w:rsidRPr="008A1F79" w:rsidRDefault="006E7979" w:rsidP="00AF59C5">
      <w:pPr>
        <w:spacing w:line="360" w:lineRule="auto"/>
        <w:jc w:val="both"/>
        <w:rPr>
          <w:rFonts w:ascii="Times New Roman" w:eastAsia="Calibri" w:hAnsi="Times New Roman" w:cs="Times New Roman"/>
          <w:b/>
        </w:rPr>
      </w:pPr>
      <w:r>
        <w:rPr>
          <w:rFonts w:ascii="Times New Roman" w:eastAsia="Calibri" w:hAnsi="Times New Roman" w:cs="Times New Roman"/>
          <w:b/>
        </w:rPr>
        <w:t>Expenditures</w:t>
      </w:r>
      <w:r w:rsidR="008D5754">
        <w:rPr>
          <w:rFonts w:ascii="Times New Roman" w:eastAsia="Calibri" w:hAnsi="Times New Roman" w:cs="Times New Roman"/>
          <w:b/>
        </w:rPr>
        <w:t xml:space="preserve"> and</w:t>
      </w:r>
      <w:r>
        <w:rPr>
          <w:rFonts w:ascii="Times New Roman" w:eastAsia="Calibri" w:hAnsi="Times New Roman" w:cs="Times New Roman"/>
          <w:b/>
        </w:rPr>
        <w:t xml:space="preserve"> Revenues</w:t>
      </w:r>
    </w:p>
    <w:p w14:paraId="65F4CD7E" w14:textId="77777777" w:rsidR="006E7979" w:rsidRDefault="006E7979" w:rsidP="00AF59C5">
      <w:pPr>
        <w:spacing w:line="360" w:lineRule="auto"/>
        <w:jc w:val="both"/>
        <w:rPr>
          <w:rFonts w:ascii="Times New Roman" w:eastAsia="Calibri" w:hAnsi="Times New Roman" w:cs="Times New Roman"/>
        </w:rPr>
      </w:pPr>
      <w:r>
        <w:rPr>
          <w:rFonts w:ascii="Times New Roman" w:eastAsia="Calibri" w:hAnsi="Times New Roman" w:cs="Times New Roman"/>
        </w:rPr>
        <w:t>Expenditures through April 21, 2017 totaled $725,</w:t>
      </w:r>
      <w:r w:rsidR="00F3658B">
        <w:rPr>
          <w:rFonts w:ascii="Times New Roman" w:eastAsia="Calibri" w:hAnsi="Times New Roman" w:cs="Times New Roman"/>
        </w:rPr>
        <w:t>915</w:t>
      </w:r>
      <w:r>
        <w:rPr>
          <w:rFonts w:ascii="Times New Roman" w:eastAsia="Calibri" w:hAnsi="Times New Roman" w:cs="Times New Roman"/>
        </w:rPr>
        <w:t xml:space="preserve">.  A more detailed breakdown is provided in Attachment A.  </w:t>
      </w:r>
    </w:p>
    <w:p w14:paraId="7B7C4D1C" w14:textId="77777777" w:rsidR="006E7979" w:rsidRDefault="006E7979" w:rsidP="00AF59C5">
      <w:pPr>
        <w:spacing w:line="360" w:lineRule="auto"/>
        <w:jc w:val="both"/>
        <w:rPr>
          <w:rFonts w:ascii="Times New Roman" w:eastAsia="Calibri" w:hAnsi="Times New Roman" w:cs="Times New Roman"/>
        </w:rPr>
      </w:pPr>
    </w:p>
    <w:p w14:paraId="6AA7326A" w14:textId="77777777" w:rsidR="006E7979" w:rsidRDefault="006E7979" w:rsidP="00AF59C5">
      <w:pPr>
        <w:spacing w:line="360" w:lineRule="auto"/>
        <w:jc w:val="both"/>
        <w:rPr>
          <w:rFonts w:ascii="Times New Roman" w:hAnsi="Times New Roman" w:cs="Times New Roman"/>
        </w:rPr>
      </w:pPr>
      <w:r>
        <w:rPr>
          <w:rFonts w:ascii="Times New Roman" w:hAnsi="Times New Roman" w:cs="Times New Roman"/>
        </w:rPr>
        <w:t>Revenues to date are as follows, based on data from Greenlots’ SKY network:</w:t>
      </w:r>
    </w:p>
    <w:p w14:paraId="524371B1" w14:textId="77777777" w:rsidR="00CF35A1" w:rsidRDefault="00CF35A1" w:rsidP="006E7979">
      <w:pPr>
        <w:spacing w:line="360" w:lineRule="auto"/>
        <w:jc w:val="both"/>
        <w:rPr>
          <w:rFonts w:ascii="Times New Roman" w:eastAsia="Calibri" w:hAnsi="Times New Roman" w:cs="Times New Roman"/>
          <w:b/>
          <w:u w:val="single"/>
        </w:rPr>
      </w:pPr>
    </w:p>
    <w:p w14:paraId="38993CD8" w14:textId="77777777" w:rsidR="006E7979" w:rsidRPr="00F93984" w:rsidRDefault="006E7979" w:rsidP="006E7979">
      <w:pPr>
        <w:spacing w:line="360" w:lineRule="auto"/>
        <w:jc w:val="both"/>
        <w:rPr>
          <w:rFonts w:ascii="Times New Roman" w:eastAsia="Calibri" w:hAnsi="Times New Roman" w:cs="Times New Roman"/>
          <w:b/>
          <w:u w:val="single"/>
        </w:rPr>
      </w:pPr>
      <w:r w:rsidRPr="00F93984">
        <w:rPr>
          <w:rFonts w:ascii="Times New Roman" w:eastAsia="Calibri" w:hAnsi="Times New Roman" w:cs="Times New Roman"/>
          <w:b/>
          <w:u w:val="single"/>
        </w:rPr>
        <w:t xml:space="preserve">Table No. </w:t>
      </w:r>
      <w:r w:rsidR="00CE2354">
        <w:rPr>
          <w:rFonts w:ascii="Times New Roman" w:eastAsia="Calibri" w:hAnsi="Times New Roman" w:cs="Times New Roman"/>
          <w:b/>
          <w:u w:val="single"/>
        </w:rPr>
        <w:t>6</w:t>
      </w:r>
    </w:p>
    <w:tbl>
      <w:tblPr>
        <w:tblStyle w:val="TableGrid"/>
        <w:tblW w:w="0" w:type="auto"/>
        <w:tblLook w:val="04A0" w:firstRow="1" w:lastRow="0" w:firstColumn="1" w:lastColumn="0" w:noHBand="0" w:noVBand="1"/>
      </w:tblPr>
      <w:tblGrid>
        <w:gridCol w:w="2150"/>
        <w:gridCol w:w="1735"/>
        <w:gridCol w:w="1948"/>
        <w:gridCol w:w="1650"/>
        <w:gridCol w:w="1867"/>
      </w:tblGrid>
      <w:tr w:rsidR="006E7979" w:rsidRPr="00213C45" w14:paraId="0BB45CE9" w14:textId="77777777" w:rsidTr="00024440">
        <w:tc>
          <w:tcPr>
            <w:tcW w:w="2150" w:type="dxa"/>
          </w:tcPr>
          <w:p w14:paraId="039DBCF7" w14:textId="77777777" w:rsidR="006E7979" w:rsidRPr="00213C45" w:rsidRDefault="006E7979" w:rsidP="00024440">
            <w:pPr>
              <w:rPr>
                <w:rFonts w:ascii="Times New Roman" w:hAnsi="Times New Roman" w:cs="Times New Roman"/>
                <w:b/>
              </w:rPr>
            </w:pPr>
            <w:r w:rsidRPr="00213C45">
              <w:rPr>
                <w:rFonts w:ascii="Times New Roman" w:hAnsi="Times New Roman" w:cs="Times New Roman"/>
                <w:b/>
              </w:rPr>
              <w:t>Type</w:t>
            </w:r>
          </w:p>
        </w:tc>
        <w:tc>
          <w:tcPr>
            <w:tcW w:w="1735" w:type="dxa"/>
          </w:tcPr>
          <w:p w14:paraId="55670574" w14:textId="77777777" w:rsidR="006E7979" w:rsidRPr="00213C45" w:rsidRDefault="006E7979" w:rsidP="008D5754">
            <w:pPr>
              <w:jc w:val="center"/>
              <w:rPr>
                <w:rFonts w:ascii="Times New Roman" w:hAnsi="Times New Roman" w:cs="Times New Roman"/>
                <w:b/>
              </w:rPr>
            </w:pPr>
            <w:r w:rsidRPr="00213C45">
              <w:rPr>
                <w:rFonts w:ascii="Times New Roman" w:hAnsi="Times New Roman" w:cs="Times New Roman"/>
                <w:b/>
              </w:rPr>
              <w:t>No. of Charging Sessions</w:t>
            </w:r>
          </w:p>
        </w:tc>
        <w:tc>
          <w:tcPr>
            <w:tcW w:w="1948" w:type="dxa"/>
          </w:tcPr>
          <w:p w14:paraId="6C49160B" w14:textId="77777777" w:rsidR="006E7979" w:rsidRPr="00213C45" w:rsidRDefault="006E7979" w:rsidP="008D5754">
            <w:pPr>
              <w:jc w:val="center"/>
              <w:rPr>
                <w:rFonts w:ascii="Times New Roman" w:hAnsi="Times New Roman" w:cs="Times New Roman"/>
                <w:b/>
              </w:rPr>
            </w:pPr>
            <w:r w:rsidRPr="00213C45">
              <w:rPr>
                <w:rFonts w:ascii="Times New Roman" w:hAnsi="Times New Roman" w:cs="Times New Roman"/>
                <w:b/>
              </w:rPr>
              <w:t>kWh Consumed</w:t>
            </w:r>
          </w:p>
        </w:tc>
        <w:tc>
          <w:tcPr>
            <w:tcW w:w="1650" w:type="dxa"/>
          </w:tcPr>
          <w:p w14:paraId="4ADF9B35" w14:textId="77777777" w:rsidR="006E7979" w:rsidRPr="00213C45" w:rsidRDefault="006E7979" w:rsidP="008D5754">
            <w:pPr>
              <w:jc w:val="center"/>
              <w:rPr>
                <w:rFonts w:ascii="Times New Roman" w:hAnsi="Times New Roman" w:cs="Times New Roman"/>
                <w:b/>
              </w:rPr>
            </w:pPr>
            <w:r>
              <w:rPr>
                <w:rFonts w:ascii="Times New Roman" w:hAnsi="Times New Roman" w:cs="Times New Roman"/>
                <w:b/>
              </w:rPr>
              <w:t>Rate</w:t>
            </w:r>
          </w:p>
        </w:tc>
        <w:tc>
          <w:tcPr>
            <w:tcW w:w="1867" w:type="dxa"/>
          </w:tcPr>
          <w:p w14:paraId="7F5219CA" w14:textId="77777777" w:rsidR="006E7979" w:rsidRPr="00213C45" w:rsidRDefault="006E7979" w:rsidP="008D5754">
            <w:pPr>
              <w:jc w:val="center"/>
              <w:rPr>
                <w:rFonts w:ascii="Times New Roman" w:hAnsi="Times New Roman" w:cs="Times New Roman"/>
                <w:b/>
              </w:rPr>
            </w:pPr>
            <w:r w:rsidRPr="00213C45">
              <w:rPr>
                <w:rFonts w:ascii="Times New Roman" w:hAnsi="Times New Roman" w:cs="Times New Roman"/>
                <w:b/>
              </w:rPr>
              <w:t>Revenue</w:t>
            </w:r>
          </w:p>
        </w:tc>
      </w:tr>
      <w:tr w:rsidR="006E7979" w14:paraId="6A478B7E" w14:textId="77777777" w:rsidTr="00024440">
        <w:trPr>
          <w:trHeight w:val="683"/>
        </w:trPr>
        <w:tc>
          <w:tcPr>
            <w:tcW w:w="2150" w:type="dxa"/>
          </w:tcPr>
          <w:p w14:paraId="215D1A4F" w14:textId="77777777" w:rsidR="006E7979" w:rsidRDefault="006E7979" w:rsidP="008D5754">
            <w:pPr>
              <w:rPr>
                <w:rFonts w:ascii="Times New Roman" w:hAnsi="Times New Roman" w:cs="Times New Roman"/>
              </w:rPr>
            </w:pPr>
            <w:r>
              <w:rPr>
                <w:rFonts w:ascii="Times New Roman" w:hAnsi="Times New Roman" w:cs="Times New Roman"/>
              </w:rPr>
              <w:t>Residential AC Level 2</w:t>
            </w:r>
          </w:p>
        </w:tc>
        <w:tc>
          <w:tcPr>
            <w:tcW w:w="1735" w:type="dxa"/>
          </w:tcPr>
          <w:p w14:paraId="0BC6FD01" w14:textId="77777777" w:rsidR="006E7979" w:rsidRDefault="006E7979" w:rsidP="008D5754">
            <w:pPr>
              <w:jc w:val="center"/>
              <w:rPr>
                <w:rFonts w:ascii="Times New Roman" w:hAnsi="Times New Roman" w:cs="Times New Roman"/>
              </w:rPr>
            </w:pPr>
            <w:r>
              <w:rPr>
                <w:rFonts w:ascii="Times New Roman" w:hAnsi="Times New Roman" w:cs="Times New Roman"/>
              </w:rPr>
              <w:t>6,894</w:t>
            </w:r>
          </w:p>
        </w:tc>
        <w:tc>
          <w:tcPr>
            <w:tcW w:w="1948" w:type="dxa"/>
          </w:tcPr>
          <w:p w14:paraId="6BE4BA98" w14:textId="77777777" w:rsidR="006E7979" w:rsidRDefault="006E7979" w:rsidP="008D5754">
            <w:pPr>
              <w:jc w:val="center"/>
              <w:rPr>
                <w:rFonts w:ascii="Times New Roman" w:hAnsi="Times New Roman" w:cs="Times New Roman"/>
              </w:rPr>
            </w:pPr>
            <w:r>
              <w:rPr>
                <w:rFonts w:ascii="Times New Roman" w:hAnsi="Times New Roman" w:cs="Times New Roman"/>
              </w:rPr>
              <w:t>43,020</w:t>
            </w:r>
          </w:p>
        </w:tc>
        <w:tc>
          <w:tcPr>
            <w:tcW w:w="1650" w:type="dxa"/>
          </w:tcPr>
          <w:p w14:paraId="40D75201" w14:textId="77777777" w:rsidR="006E7979" w:rsidRPr="00D03146" w:rsidRDefault="006E7979" w:rsidP="008D5754">
            <w:pPr>
              <w:jc w:val="center"/>
              <w:rPr>
                <w:rFonts w:ascii="Times New Roman" w:hAnsi="Times New Roman" w:cs="Times New Roman"/>
              </w:rPr>
            </w:pPr>
            <w:r w:rsidRPr="00D03146">
              <w:rPr>
                <w:rFonts w:ascii="Times New Roman" w:hAnsi="Times New Roman" w:cs="Times New Roman"/>
              </w:rPr>
              <w:t>$0.09134/kWh</w:t>
            </w:r>
          </w:p>
        </w:tc>
        <w:tc>
          <w:tcPr>
            <w:tcW w:w="1867" w:type="dxa"/>
          </w:tcPr>
          <w:p w14:paraId="1F71C2B6" w14:textId="77777777" w:rsidR="006E7979" w:rsidRPr="00D03146" w:rsidRDefault="006E7979" w:rsidP="008D5754">
            <w:pPr>
              <w:jc w:val="center"/>
              <w:rPr>
                <w:rFonts w:ascii="Times New Roman" w:hAnsi="Times New Roman" w:cs="Times New Roman"/>
              </w:rPr>
            </w:pPr>
            <w:r>
              <w:rPr>
                <w:rFonts w:ascii="Times New Roman" w:hAnsi="Times New Roman" w:cs="Times New Roman"/>
              </w:rPr>
              <w:t>$3,929</w:t>
            </w:r>
          </w:p>
        </w:tc>
      </w:tr>
      <w:tr w:rsidR="006E7979" w14:paraId="278C435D" w14:textId="77777777" w:rsidTr="00024440">
        <w:trPr>
          <w:trHeight w:val="647"/>
        </w:trPr>
        <w:tc>
          <w:tcPr>
            <w:tcW w:w="2150" w:type="dxa"/>
          </w:tcPr>
          <w:p w14:paraId="55BF56A2" w14:textId="77777777" w:rsidR="006E7979" w:rsidRDefault="006E7979" w:rsidP="008D5754">
            <w:pPr>
              <w:rPr>
                <w:rFonts w:ascii="Times New Roman" w:hAnsi="Times New Roman" w:cs="Times New Roman"/>
              </w:rPr>
            </w:pPr>
            <w:r>
              <w:rPr>
                <w:rFonts w:ascii="Times New Roman" w:hAnsi="Times New Roman" w:cs="Times New Roman"/>
              </w:rPr>
              <w:t>Commercial AC Level 2</w:t>
            </w:r>
          </w:p>
        </w:tc>
        <w:tc>
          <w:tcPr>
            <w:tcW w:w="1735" w:type="dxa"/>
          </w:tcPr>
          <w:p w14:paraId="286B7A57" w14:textId="77777777" w:rsidR="006E7979" w:rsidRDefault="006E7979" w:rsidP="008D5754">
            <w:pPr>
              <w:jc w:val="center"/>
              <w:rPr>
                <w:rFonts w:ascii="Times New Roman" w:hAnsi="Times New Roman" w:cs="Times New Roman"/>
              </w:rPr>
            </w:pPr>
            <w:r>
              <w:rPr>
                <w:rFonts w:ascii="Times New Roman" w:hAnsi="Times New Roman" w:cs="Times New Roman"/>
              </w:rPr>
              <w:t>739</w:t>
            </w:r>
          </w:p>
        </w:tc>
        <w:tc>
          <w:tcPr>
            <w:tcW w:w="1948" w:type="dxa"/>
          </w:tcPr>
          <w:p w14:paraId="3E412E40" w14:textId="77777777" w:rsidR="006E7979" w:rsidRDefault="006E7979" w:rsidP="008D5754">
            <w:pPr>
              <w:jc w:val="center"/>
              <w:rPr>
                <w:rFonts w:ascii="Times New Roman" w:hAnsi="Times New Roman" w:cs="Times New Roman"/>
              </w:rPr>
            </w:pPr>
            <w:r>
              <w:rPr>
                <w:rFonts w:ascii="Times New Roman" w:hAnsi="Times New Roman" w:cs="Times New Roman"/>
              </w:rPr>
              <w:t>5,716</w:t>
            </w:r>
          </w:p>
        </w:tc>
        <w:tc>
          <w:tcPr>
            <w:tcW w:w="1650" w:type="dxa"/>
          </w:tcPr>
          <w:p w14:paraId="65983480" w14:textId="77777777" w:rsidR="006E7979" w:rsidRPr="00D03146" w:rsidRDefault="006E7979" w:rsidP="008D5754">
            <w:pPr>
              <w:jc w:val="center"/>
              <w:rPr>
                <w:rFonts w:ascii="Times New Roman" w:hAnsi="Times New Roman" w:cs="Times New Roman"/>
              </w:rPr>
            </w:pPr>
            <w:r w:rsidRPr="00D03146">
              <w:rPr>
                <w:rFonts w:ascii="Times New Roman" w:hAnsi="Times New Roman" w:cs="Times New Roman"/>
              </w:rPr>
              <w:t>$0.01162/kWh</w:t>
            </w:r>
          </w:p>
        </w:tc>
        <w:tc>
          <w:tcPr>
            <w:tcW w:w="1867" w:type="dxa"/>
          </w:tcPr>
          <w:p w14:paraId="1B22F7E1" w14:textId="77777777" w:rsidR="006E7979" w:rsidRPr="00D03146" w:rsidRDefault="006E7979" w:rsidP="008D5754">
            <w:pPr>
              <w:jc w:val="center"/>
              <w:rPr>
                <w:rFonts w:ascii="Times New Roman" w:hAnsi="Times New Roman" w:cs="Times New Roman"/>
              </w:rPr>
            </w:pPr>
            <w:r>
              <w:rPr>
                <w:rFonts w:ascii="Times New Roman" w:hAnsi="Times New Roman" w:cs="Times New Roman"/>
              </w:rPr>
              <w:t>$66</w:t>
            </w:r>
          </w:p>
        </w:tc>
      </w:tr>
      <w:tr w:rsidR="006E7979" w14:paraId="201CE800" w14:textId="77777777" w:rsidTr="00024440">
        <w:trPr>
          <w:trHeight w:val="530"/>
        </w:trPr>
        <w:tc>
          <w:tcPr>
            <w:tcW w:w="2150" w:type="dxa"/>
          </w:tcPr>
          <w:p w14:paraId="4B010B58" w14:textId="77777777" w:rsidR="006E7979" w:rsidRDefault="006E7979" w:rsidP="008D5754">
            <w:pPr>
              <w:rPr>
                <w:rFonts w:ascii="Times New Roman" w:hAnsi="Times New Roman" w:cs="Times New Roman"/>
              </w:rPr>
            </w:pPr>
            <w:r>
              <w:rPr>
                <w:rFonts w:ascii="Times New Roman" w:hAnsi="Times New Roman" w:cs="Times New Roman"/>
              </w:rPr>
              <w:t>DC Fast Charging</w:t>
            </w:r>
          </w:p>
        </w:tc>
        <w:tc>
          <w:tcPr>
            <w:tcW w:w="1735" w:type="dxa"/>
          </w:tcPr>
          <w:p w14:paraId="021D1088" w14:textId="77777777" w:rsidR="006E7979" w:rsidRDefault="006E7979" w:rsidP="008D5754">
            <w:pPr>
              <w:jc w:val="center"/>
              <w:rPr>
                <w:rFonts w:ascii="Times New Roman" w:hAnsi="Times New Roman" w:cs="Times New Roman"/>
              </w:rPr>
            </w:pPr>
            <w:r>
              <w:rPr>
                <w:rFonts w:ascii="Times New Roman" w:hAnsi="Times New Roman" w:cs="Times New Roman"/>
              </w:rPr>
              <w:t>4</w:t>
            </w:r>
          </w:p>
        </w:tc>
        <w:tc>
          <w:tcPr>
            <w:tcW w:w="1948" w:type="dxa"/>
          </w:tcPr>
          <w:p w14:paraId="300FD18D" w14:textId="77777777" w:rsidR="006E7979" w:rsidRDefault="006E7979" w:rsidP="008D5754">
            <w:pPr>
              <w:jc w:val="center"/>
              <w:rPr>
                <w:rFonts w:ascii="Times New Roman" w:hAnsi="Times New Roman" w:cs="Times New Roman"/>
              </w:rPr>
            </w:pPr>
            <w:r>
              <w:rPr>
                <w:rFonts w:ascii="Times New Roman" w:hAnsi="Times New Roman" w:cs="Times New Roman"/>
              </w:rPr>
              <w:t>34</w:t>
            </w:r>
          </w:p>
        </w:tc>
        <w:tc>
          <w:tcPr>
            <w:tcW w:w="1650" w:type="dxa"/>
          </w:tcPr>
          <w:p w14:paraId="69E6E524" w14:textId="77777777" w:rsidR="006E7979" w:rsidRPr="00D03146" w:rsidRDefault="006E7979" w:rsidP="008D5754">
            <w:pPr>
              <w:jc w:val="center"/>
              <w:rPr>
                <w:rFonts w:ascii="Times New Roman" w:hAnsi="Times New Roman" w:cs="Times New Roman"/>
              </w:rPr>
            </w:pPr>
            <w:r w:rsidRPr="00D03146">
              <w:rPr>
                <w:rFonts w:ascii="Times New Roman" w:hAnsi="Times New Roman" w:cs="Times New Roman"/>
              </w:rPr>
              <w:t>$0.30/minute</w:t>
            </w:r>
          </w:p>
        </w:tc>
        <w:tc>
          <w:tcPr>
            <w:tcW w:w="1867" w:type="dxa"/>
          </w:tcPr>
          <w:p w14:paraId="59F17B88" w14:textId="77777777" w:rsidR="006E7979" w:rsidRPr="00D03146" w:rsidRDefault="006E7979" w:rsidP="008D5754">
            <w:pPr>
              <w:jc w:val="center"/>
              <w:rPr>
                <w:rFonts w:ascii="Times New Roman" w:hAnsi="Times New Roman" w:cs="Times New Roman"/>
              </w:rPr>
            </w:pPr>
            <w:r>
              <w:rPr>
                <w:rFonts w:ascii="Times New Roman" w:hAnsi="Times New Roman" w:cs="Times New Roman"/>
              </w:rPr>
              <w:t>$21</w:t>
            </w:r>
          </w:p>
        </w:tc>
      </w:tr>
      <w:tr w:rsidR="006E7979" w14:paraId="23D2678D" w14:textId="77777777" w:rsidTr="00024440">
        <w:trPr>
          <w:trHeight w:val="530"/>
        </w:trPr>
        <w:tc>
          <w:tcPr>
            <w:tcW w:w="2150" w:type="dxa"/>
          </w:tcPr>
          <w:p w14:paraId="0FFD0871" w14:textId="77777777" w:rsidR="006E7979" w:rsidRPr="0028383E" w:rsidRDefault="006E7979" w:rsidP="008D5754">
            <w:pPr>
              <w:rPr>
                <w:rFonts w:ascii="Times New Roman" w:hAnsi="Times New Roman" w:cs="Times New Roman"/>
                <w:b/>
              </w:rPr>
            </w:pPr>
            <w:r w:rsidRPr="0028383E">
              <w:rPr>
                <w:rFonts w:ascii="Times New Roman" w:hAnsi="Times New Roman" w:cs="Times New Roman"/>
                <w:b/>
              </w:rPr>
              <w:t>Total</w:t>
            </w:r>
          </w:p>
        </w:tc>
        <w:tc>
          <w:tcPr>
            <w:tcW w:w="1735" w:type="dxa"/>
          </w:tcPr>
          <w:p w14:paraId="7939929E" w14:textId="77777777" w:rsidR="006E7979" w:rsidRDefault="006E7979" w:rsidP="008D5754">
            <w:pPr>
              <w:jc w:val="center"/>
              <w:rPr>
                <w:rFonts w:ascii="Times New Roman" w:hAnsi="Times New Roman" w:cs="Times New Roman"/>
              </w:rPr>
            </w:pPr>
            <w:r>
              <w:rPr>
                <w:rFonts w:ascii="Times New Roman" w:hAnsi="Times New Roman" w:cs="Times New Roman"/>
              </w:rPr>
              <w:t>7,637</w:t>
            </w:r>
          </w:p>
        </w:tc>
        <w:tc>
          <w:tcPr>
            <w:tcW w:w="1948" w:type="dxa"/>
          </w:tcPr>
          <w:p w14:paraId="30BAA0C0" w14:textId="77777777" w:rsidR="006E7979" w:rsidRDefault="006E7979" w:rsidP="008D5754">
            <w:pPr>
              <w:jc w:val="center"/>
              <w:rPr>
                <w:rFonts w:ascii="Times New Roman" w:hAnsi="Times New Roman" w:cs="Times New Roman"/>
              </w:rPr>
            </w:pPr>
            <w:r>
              <w:rPr>
                <w:rFonts w:ascii="Times New Roman" w:hAnsi="Times New Roman" w:cs="Times New Roman"/>
              </w:rPr>
              <w:t>48,770</w:t>
            </w:r>
          </w:p>
        </w:tc>
        <w:tc>
          <w:tcPr>
            <w:tcW w:w="1650" w:type="dxa"/>
          </w:tcPr>
          <w:p w14:paraId="02B5A837" w14:textId="77777777" w:rsidR="006E7979" w:rsidRPr="00D03146" w:rsidRDefault="006E7979" w:rsidP="008D5754">
            <w:pPr>
              <w:jc w:val="center"/>
              <w:rPr>
                <w:rFonts w:ascii="Times New Roman" w:hAnsi="Times New Roman" w:cs="Times New Roman"/>
              </w:rPr>
            </w:pPr>
            <w:r w:rsidRPr="00D03146">
              <w:rPr>
                <w:rFonts w:ascii="Times New Roman" w:hAnsi="Times New Roman" w:cs="Times New Roman"/>
              </w:rPr>
              <w:t>-</w:t>
            </w:r>
          </w:p>
        </w:tc>
        <w:tc>
          <w:tcPr>
            <w:tcW w:w="1867" w:type="dxa"/>
          </w:tcPr>
          <w:p w14:paraId="0E02FDE1" w14:textId="77777777" w:rsidR="006E7979" w:rsidRPr="00D03146" w:rsidRDefault="006E7979" w:rsidP="008D5754">
            <w:pPr>
              <w:jc w:val="center"/>
              <w:rPr>
                <w:rFonts w:ascii="Times New Roman" w:hAnsi="Times New Roman" w:cs="Times New Roman"/>
              </w:rPr>
            </w:pPr>
            <w:r>
              <w:rPr>
                <w:rFonts w:ascii="Times New Roman" w:hAnsi="Times New Roman" w:cs="Times New Roman"/>
              </w:rPr>
              <w:t>$4,018</w:t>
            </w:r>
          </w:p>
        </w:tc>
      </w:tr>
    </w:tbl>
    <w:p w14:paraId="59DB494A" w14:textId="77777777" w:rsidR="006E7979" w:rsidRDefault="006E7979" w:rsidP="006E7979">
      <w:pPr>
        <w:autoSpaceDE w:val="0"/>
        <w:autoSpaceDN w:val="0"/>
        <w:adjustRightInd w:val="0"/>
        <w:spacing w:line="360" w:lineRule="auto"/>
        <w:jc w:val="both"/>
        <w:rPr>
          <w:rFonts w:ascii="Times New Roman" w:eastAsia="Calibri" w:hAnsi="Times New Roman" w:cs="Times New Roman"/>
        </w:rPr>
      </w:pPr>
    </w:p>
    <w:p w14:paraId="4C977725" w14:textId="77777777" w:rsidR="006E7979" w:rsidRPr="008E6EE1" w:rsidRDefault="006E7979" w:rsidP="008E6EE1">
      <w:pPr>
        <w:spacing w:line="360" w:lineRule="auto"/>
        <w:rPr>
          <w:rFonts w:ascii="Times New Roman" w:hAnsi="Times New Roman" w:cs="Times New Roman"/>
        </w:rPr>
      </w:pPr>
    </w:p>
    <w:p w14:paraId="69C2A96B" w14:textId="77777777" w:rsidR="009B2424" w:rsidRDefault="009B2424" w:rsidP="00EE7BE4">
      <w:pPr>
        <w:spacing w:line="360" w:lineRule="auto"/>
        <w:jc w:val="both"/>
        <w:rPr>
          <w:rFonts w:ascii="Times New Roman" w:hAnsi="Times New Roman" w:cs="Times New Roman"/>
        </w:rPr>
      </w:pPr>
    </w:p>
    <w:p w14:paraId="6BEA6C0C" w14:textId="77777777" w:rsidR="006C150A" w:rsidRPr="00651AD2" w:rsidRDefault="005E04BD" w:rsidP="00D32052">
      <w:pPr>
        <w:spacing w:line="360" w:lineRule="auto"/>
        <w:jc w:val="both"/>
        <w:rPr>
          <w:rFonts w:ascii="Times New Roman" w:hAnsi="Times New Roman" w:cs="Times New Roman"/>
        </w:rPr>
      </w:pPr>
      <w:r>
        <w:rPr>
          <w:rFonts w:ascii="Times New Roman" w:hAnsi="Times New Roman" w:cs="Times New Roman"/>
        </w:rPr>
        <w:lastRenderedPageBreak/>
        <w:t xml:space="preserve">Please direct </w:t>
      </w:r>
      <w:r w:rsidR="006C150A" w:rsidRPr="00651AD2">
        <w:rPr>
          <w:rFonts w:ascii="Times New Roman" w:hAnsi="Times New Roman" w:cs="Times New Roman"/>
        </w:rPr>
        <w:t xml:space="preserve">any questions regarding this </w:t>
      </w:r>
      <w:r w:rsidR="006C150A">
        <w:rPr>
          <w:rFonts w:ascii="Times New Roman" w:hAnsi="Times New Roman" w:cs="Times New Roman"/>
        </w:rPr>
        <w:t>report</w:t>
      </w:r>
      <w:r>
        <w:rPr>
          <w:rFonts w:ascii="Times New Roman" w:hAnsi="Times New Roman" w:cs="Times New Roman"/>
        </w:rPr>
        <w:t xml:space="preserve"> to</w:t>
      </w:r>
      <w:r w:rsidR="006C150A" w:rsidRPr="00651AD2">
        <w:rPr>
          <w:rFonts w:ascii="Times New Roman" w:hAnsi="Times New Roman" w:cs="Times New Roman"/>
        </w:rPr>
        <w:t xml:space="preserve"> </w:t>
      </w:r>
      <w:r w:rsidR="006C150A">
        <w:rPr>
          <w:rFonts w:ascii="Times New Roman" w:hAnsi="Times New Roman" w:cs="Times New Roman"/>
        </w:rPr>
        <w:t>Rendall Farley</w:t>
      </w:r>
      <w:r w:rsidR="006C150A" w:rsidRPr="00651AD2">
        <w:rPr>
          <w:rFonts w:ascii="Times New Roman" w:hAnsi="Times New Roman" w:cs="Times New Roman"/>
        </w:rPr>
        <w:t xml:space="preserve"> at 509-495-</w:t>
      </w:r>
      <w:r w:rsidR="006C150A">
        <w:rPr>
          <w:rFonts w:ascii="Times New Roman" w:hAnsi="Times New Roman" w:cs="Times New Roman"/>
        </w:rPr>
        <w:t>2823</w:t>
      </w:r>
      <w:r>
        <w:rPr>
          <w:rFonts w:ascii="Times New Roman" w:hAnsi="Times New Roman" w:cs="Times New Roman"/>
        </w:rPr>
        <w:t xml:space="preserve">, </w:t>
      </w:r>
      <w:hyperlink r:id="rId26" w:history="1">
        <w:r w:rsidRPr="007E0E73">
          <w:rPr>
            <w:rStyle w:val="Hyperlink"/>
            <w:rFonts w:ascii="Times New Roman" w:hAnsi="Times New Roman" w:cs="Times New Roman"/>
          </w:rPr>
          <w:t>rendall.farley@avistacorp.com</w:t>
        </w:r>
      </w:hyperlink>
      <w:r>
        <w:rPr>
          <w:rFonts w:ascii="Times New Roman" w:hAnsi="Times New Roman" w:cs="Times New Roman"/>
        </w:rPr>
        <w:t xml:space="preserve">, </w:t>
      </w:r>
      <w:r w:rsidR="006C150A" w:rsidRPr="00651AD2">
        <w:rPr>
          <w:rFonts w:ascii="Times New Roman" w:hAnsi="Times New Roman" w:cs="Times New Roman"/>
        </w:rPr>
        <w:t xml:space="preserve">or </w:t>
      </w:r>
      <w:r w:rsidR="00420A0D">
        <w:rPr>
          <w:rFonts w:ascii="Times New Roman" w:hAnsi="Times New Roman" w:cs="Times New Roman"/>
        </w:rPr>
        <w:t>Shawn Bonfield</w:t>
      </w:r>
      <w:r w:rsidR="00420A0D" w:rsidRPr="00651AD2">
        <w:rPr>
          <w:rFonts w:ascii="Times New Roman" w:hAnsi="Times New Roman" w:cs="Times New Roman"/>
        </w:rPr>
        <w:t xml:space="preserve"> </w:t>
      </w:r>
      <w:r w:rsidR="006C150A" w:rsidRPr="00651AD2">
        <w:rPr>
          <w:rFonts w:ascii="Times New Roman" w:hAnsi="Times New Roman" w:cs="Times New Roman"/>
        </w:rPr>
        <w:t>at 509-495-</w:t>
      </w:r>
      <w:r w:rsidR="006C150A">
        <w:rPr>
          <w:rFonts w:ascii="Times New Roman" w:hAnsi="Times New Roman" w:cs="Times New Roman"/>
        </w:rPr>
        <w:t>2782</w:t>
      </w:r>
      <w:r>
        <w:rPr>
          <w:rFonts w:ascii="Times New Roman" w:hAnsi="Times New Roman" w:cs="Times New Roman"/>
        </w:rPr>
        <w:t xml:space="preserve">, </w:t>
      </w:r>
      <w:hyperlink r:id="rId27" w:history="1">
        <w:r w:rsidRPr="007E0E73">
          <w:rPr>
            <w:rStyle w:val="Hyperlink"/>
            <w:rFonts w:ascii="Times New Roman" w:hAnsi="Times New Roman" w:cs="Times New Roman"/>
          </w:rPr>
          <w:t>shawn.bonfield@avistacorp.com</w:t>
        </w:r>
      </w:hyperlink>
      <w:r w:rsidR="006C150A" w:rsidRPr="00651AD2">
        <w:rPr>
          <w:rFonts w:ascii="Times New Roman" w:hAnsi="Times New Roman" w:cs="Times New Roman"/>
        </w:rPr>
        <w:t>.</w:t>
      </w:r>
    </w:p>
    <w:p w14:paraId="1B400412" w14:textId="77777777" w:rsidR="006C150A" w:rsidRDefault="006C150A" w:rsidP="00EE7BE4">
      <w:pPr>
        <w:jc w:val="both"/>
        <w:rPr>
          <w:rFonts w:ascii="Times New Roman" w:hAnsi="Times New Roman" w:cs="Times New Roman"/>
        </w:rPr>
      </w:pPr>
    </w:p>
    <w:p w14:paraId="01E8D5D3" w14:textId="77777777" w:rsidR="00337F64" w:rsidRDefault="00337F64" w:rsidP="00EE7BE4">
      <w:pPr>
        <w:contextualSpacing/>
        <w:jc w:val="both"/>
        <w:rPr>
          <w:rFonts w:ascii="Times New Roman" w:hAnsi="Times New Roman" w:cs="Times New Roman"/>
        </w:rPr>
      </w:pPr>
      <w:r w:rsidRPr="000D15BF">
        <w:rPr>
          <w:rFonts w:ascii="Times New Roman" w:hAnsi="Times New Roman" w:cs="Times New Roman"/>
        </w:rPr>
        <w:t>Sincerely,</w:t>
      </w:r>
    </w:p>
    <w:p w14:paraId="5C5FA45E" w14:textId="77777777" w:rsidR="00337F64" w:rsidRPr="000D15BF" w:rsidRDefault="00337F64" w:rsidP="00EE7BE4">
      <w:pPr>
        <w:contextualSpacing/>
        <w:jc w:val="both"/>
        <w:rPr>
          <w:rFonts w:ascii="Times New Roman" w:hAnsi="Times New Roman" w:cs="Times New Roman"/>
        </w:rPr>
      </w:pPr>
    </w:p>
    <w:p w14:paraId="5C318423" w14:textId="5644C7CB" w:rsidR="00337F64" w:rsidRPr="00F20848" w:rsidRDefault="00420A0D" w:rsidP="00EE7BE4">
      <w:pPr>
        <w:contextualSpacing/>
        <w:jc w:val="both"/>
        <w:rPr>
          <w:rFonts w:ascii="Brush Script MT" w:hAnsi="Brush Script MT" w:cs="Times New Roman"/>
          <w:noProof/>
          <w:sz w:val="32"/>
        </w:rPr>
      </w:pPr>
      <w:r>
        <w:rPr>
          <w:rFonts w:ascii="Brush Script MT" w:hAnsi="Brush Script MT" w:cs="Times New Roman"/>
          <w:noProof/>
          <w:sz w:val="32"/>
        </w:rPr>
        <w:t>Linda Gervai</w:t>
      </w:r>
      <w:r w:rsidR="00FC069E">
        <w:rPr>
          <w:rFonts w:ascii="Brush Script MT" w:hAnsi="Brush Script MT" w:cs="Times New Roman"/>
          <w:noProof/>
          <w:sz w:val="32"/>
        </w:rPr>
        <w:t>s</w:t>
      </w:r>
    </w:p>
    <w:p w14:paraId="72A72953" w14:textId="77777777" w:rsidR="00337F64" w:rsidRPr="000D15BF" w:rsidRDefault="00337F64" w:rsidP="00EE7BE4">
      <w:pPr>
        <w:contextualSpacing/>
        <w:jc w:val="both"/>
        <w:rPr>
          <w:rFonts w:ascii="Times New Roman" w:hAnsi="Times New Roman" w:cs="Times New Roman"/>
        </w:rPr>
      </w:pPr>
    </w:p>
    <w:p w14:paraId="11E9439A" w14:textId="3C6A9576" w:rsidR="00337F64" w:rsidRPr="000D15BF" w:rsidRDefault="0022458C" w:rsidP="00EE7BE4">
      <w:pPr>
        <w:contextualSpacing/>
        <w:jc w:val="both"/>
        <w:rPr>
          <w:rFonts w:ascii="Times New Roman" w:hAnsi="Times New Roman" w:cs="Times New Roman"/>
        </w:rPr>
      </w:pPr>
      <w:r>
        <w:rPr>
          <w:rFonts w:ascii="Times New Roman" w:hAnsi="Times New Roman" w:cs="Times New Roman"/>
        </w:rPr>
        <w:t xml:space="preserve">Sr. </w:t>
      </w:r>
      <w:r w:rsidR="00420A0D">
        <w:rPr>
          <w:rFonts w:ascii="Times New Roman" w:hAnsi="Times New Roman" w:cs="Times New Roman"/>
        </w:rPr>
        <w:t>Manager</w:t>
      </w:r>
      <w:r>
        <w:rPr>
          <w:rFonts w:ascii="Times New Roman" w:hAnsi="Times New Roman" w:cs="Times New Roman"/>
        </w:rPr>
        <w:t>,</w:t>
      </w:r>
      <w:r w:rsidR="00420A0D">
        <w:rPr>
          <w:rFonts w:ascii="Times New Roman" w:hAnsi="Times New Roman" w:cs="Times New Roman"/>
        </w:rPr>
        <w:t xml:space="preserve"> </w:t>
      </w:r>
      <w:r w:rsidR="00F20848">
        <w:rPr>
          <w:rFonts w:ascii="Times New Roman" w:hAnsi="Times New Roman" w:cs="Times New Roman"/>
        </w:rPr>
        <w:t>Regulatory Policy</w:t>
      </w:r>
    </w:p>
    <w:p w14:paraId="3CD31488" w14:textId="77777777" w:rsidR="00B6418A" w:rsidRDefault="00337F64" w:rsidP="00EE7BE4">
      <w:pPr>
        <w:contextualSpacing/>
        <w:jc w:val="both"/>
        <w:rPr>
          <w:rFonts w:ascii="Times New Roman" w:hAnsi="Times New Roman" w:cs="Times New Roman"/>
          <w:b/>
          <w:sz w:val="28"/>
          <w:lang w:val="fr-FR"/>
        </w:rPr>
      </w:pPr>
      <w:r w:rsidRPr="00FF70D0">
        <w:rPr>
          <w:rFonts w:ascii="Times New Roman" w:hAnsi="Times New Roman" w:cs="Times New Roman"/>
          <w:lang w:val="fr-FR"/>
        </w:rPr>
        <w:t>Avista Utilities</w:t>
      </w:r>
      <w:r w:rsidR="00B6418A">
        <w:rPr>
          <w:rFonts w:ascii="Times New Roman" w:hAnsi="Times New Roman" w:cs="Times New Roman"/>
          <w:b/>
          <w:sz w:val="28"/>
          <w:lang w:val="fr-FR"/>
        </w:rPr>
        <w:br w:type="page"/>
      </w:r>
    </w:p>
    <w:p w14:paraId="08C777FB" w14:textId="77777777" w:rsidR="00261B71" w:rsidRDefault="00261B71" w:rsidP="00EE7BE4">
      <w:pPr>
        <w:jc w:val="both"/>
        <w:rPr>
          <w:rFonts w:ascii="Times New Roman" w:hAnsi="Times New Roman" w:cs="Times New Roman"/>
          <w:b/>
          <w:sz w:val="28"/>
          <w:lang w:val="fr-FR"/>
        </w:rPr>
        <w:sectPr w:rsidR="00261B71" w:rsidSect="00F54081">
          <w:headerReference w:type="default" r:id="rId28"/>
          <w:footerReference w:type="default" r:id="rId29"/>
          <w:headerReference w:type="first" r:id="rId30"/>
          <w:pgSz w:w="12240" w:h="15840"/>
          <w:pgMar w:top="1800" w:right="1440" w:bottom="1440" w:left="1440" w:header="360" w:footer="226" w:gutter="0"/>
          <w:cols w:space="720"/>
          <w:titlePg/>
        </w:sectPr>
      </w:pPr>
    </w:p>
    <w:p w14:paraId="6752921A" w14:textId="77777777" w:rsidR="006550F4" w:rsidRPr="00DA048B" w:rsidRDefault="006550F4" w:rsidP="006550F4">
      <w:pPr>
        <w:jc w:val="center"/>
        <w:rPr>
          <w:rFonts w:asciiTheme="majorHAnsi" w:hAnsiTheme="majorHAnsi" w:cs="Times New Roman"/>
          <w:b/>
          <w:sz w:val="28"/>
          <w:lang w:val="fr-FR"/>
        </w:rPr>
      </w:pPr>
      <w:r w:rsidRPr="00DA048B">
        <w:rPr>
          <w:rFonts w:asciiTheme="majorHAnsi" w:hAnsiTheme="majorHAnsi" w:cs="Times New Roman"/>
          <w:b/>
          <w:sz w:val="28"/>
          <w:lang w:val="fr-FR"/>
        </w:rPr>
        <w:lastRenderedPageBreak/>
        <w:t>Attachment</w:t>
      </w:r>
      <w:r w:rsidR="005E04BD" w:rsidRPr="00DA048B">
        <w:rPr>
          <w:rFonts w:asciiTheme="majorHAnsi" w:hAnsiTheme="majorHAnsi" w:cs="Times New Roman"/>
          <w:b/>
          <w:sz w:val="28"/>
          <w:lang w:val="fr-FR"/>
        </w:rPr>
        <w:t xml:space="preserve"> A</w:t>
      </w:r>
      <w:r w:rsidR="00261B71" w:rsidRPr="00DA048B">
        <w:rPr>
          <w:rFonts w:asciiTheme="majorHAnsi" w:hAnsiTheme="majorHAnsi" w:cs="Times New Roman"/>
          <w:b/>
          <w:sz w:val="28"/>
          <w:lang w:val="fr-FR"/>
        </w:rPr>
        <w:t xml:space="preserve"> </w:t>
      </w:r>
    </w:p>
    <w:p w14:paraId="65BBD8F1" w14:textId="77777777" w:rsidR="00063333" w:rsidRPr="00DA048B" w:rsidRDefault="00063333" w:rsidP="006550F4">
      <w:pPr>
        <w:jc w:val="center"/>
        <w:rPr>
          <w:rFonts w:asciiTheme="majorHAnsi" w:hAnsiTheme="majorHAnsi" w:cs="Times New Roman"/>
          <w:b/>
          <w:sz w:val="28"/>
          <w:lang w:val="fr-FR"/>
        </w:rPr>
      </w:pPr>
      <w:r w:rsidRPr="00DA048B">
        <w:rPr>
          <w:rFonts w:asciiTheme="majorHAnsi" w:hAnsiTheme="majorHAnsi" w:cs="Times New Roman"/>
          <w:b/>
          <w:sz w:val="28"/>
          <w:lang w:val="fr-FR"/>
        </w:rPr>
        <w:t>Avista EVSE Pilot Program Expenditures</w:t>
      </w:r>
      <w:r w:rsidR="00647127" w:rsidRPr="00DA048B">
        <w:rPr>
          <w:rFonts w:asciiTheme="majorHAnsi" w:hAnsiTheme="majorHAnsi" w:cs="Times New Roman"/>
          <w:b/>
          <w:sz w:val="28"/>
          <w:lang w:val="fr-FR"/>
        </w:rPr>
        <w:t xml:space="preserve"> </w:t>
      </w:r>
      <w:r w:rsidR="00CD5B6D" w:rsidRPr="00DA048B">
        <w:rPr>
          <w:rFonts w:asciiTheme="majorHAnsi" w:hAnsiTheme="majorHAnsi" w:cs="Times New Roman"/>
          <w:b/>
          <w:sz w:val="28"/>
          <w:lang w:val="fr-FR"/>
        </w:rPr>
        <w:t>through</w:t>
      </w:r>
      <w:r w:rsidR="00647127" w:rsidRPr="00DA048B">
        <w:rPr>
          <w:rFonts w:asciiTheme="majorHAnsi" w:hAnsiTheme="majorHAnsi" w:cs="Times New Roman"/>
          <w:b/>
          <w:sz w:val="28"/>
          <w:lang w:val="fr-FR"/>
        </w:rPr>
        <w:t xml:space="preserve"> </w:t>
      </w:r>
      <w:r w:rsidR="00F3658B">
        <w:rPr>
          <w:rFonts w:asciiTheme="majorHAnsi" w:hAnsiTheme="majorHAnsi" w:cs="Times New Roman"/>
          <w:b/>
          <w:sz w:val="28"/>
          <w:lang w:val="fr-FR"/>
        </w:rPr>
        <w:t>April 21</w:t>
      </w:r>
      <w:r w:rsidR="00B07D17" w:rsidRPr="00DA048B">
        <w:rPr>
          <w:rFonts w:asciiTheme="majorHAnsi" w:hAnsiTheme="majorHAnsi" w:cs="Times New Roman"/>
          <w:b/>
          <w:sz w:val="28"/>
          <w:lang w:val="fr-FR"/>
        </w:rPr>
        <w:t>, 2017</w:t>
      </w:r>
    </w:p>
    <w:p w14:paraId="727E8C29" w14:textId="77777777" w:rsidR="00063333" w:rsidRDefault="00063333" w:rsidP="00063333">
      <w:pPr>
        <w:jc w:val="both"/>
        <w:rPr>
          <w:rFonts w:ascii="Times New Roman" w:hAnsi="Times New Roman" w:cs="Times New Roman"/>
          <w:lang w:val="fr-FR"/>
        </w:rPr>
      </w:pPr>
    </w:p>
    <w:p w14:paraId="7BD3EF56" w14:textId="77777777" w:rsidR="00FE07B9" w:rsidRDefault="00FE07B9" w:rsidP="00063333">
      <w:pPr>
        <w:jc w:val="both"/>
        <w:rPr>
          <w:rFonts w:ascii="Times New Roman" w:hAnsi="Times New Roman" w:cs="Times New Roman"/>
          <w:lang w:val="fr-FR"/>
        </w:rPr>
      </w:pPr>
      <w:r>
        <w:rPr>
          <w:rFonts w:ascii="Times New Roman" w:hAnsi="Times New Roman" w:cs="Times New Roman"/>
          <w:lang w:val="fr-FR"/>
        </w:rPr>
        <w:t>Expenditures include all costs for both completed EVSE installations and installations in progress, as well as program administrative costs.</w:t>
      </w:r>
    </w:p>
    <w:p w14:paraId="0C91AC8F" w14:textId="77777777" w:rsidR="00FE07B9" w:rsidRDefault="00FE07B9" w:rsidP="00063333">
      <w:pPr>
        <w:jc w:val="both"/>
        <w:rPr>
          <w:rFonts w:ascii="Times New Roman" w:hAnsi="Times New Roman" w:cs="Times New Roman"/>
          <w:lang w:val="fr-FR"/>
        </w:rPr>
      </w:pPr>
    </w:p>
    <w:p w14:paraId="4B95963B" w14:textId="77777777" w:rsidR="00096701" w:rsidRPr="000D15BF" w:rsidRDefault="00F3658B" w:rsidP="00EF5E2B">
      <w:pPr>
        <w:ind w:left="90"/>
        <w:jc w:val="center"/>
        <w:rPr>
          <w:rFonts w:ascii="Times New Roman" w:hAnsi="Times New Roman" w:cs="Times New Roman"/>
          <w:lang w:val="fr-FR"/>
        </w:rPr>
      </w:pPr>
      <w:r w:rsidRPr="00F3658B">
        <w:rPr>
          <w:noProof/>
        </w:rPr>
        <w:drawing>
          <wp:inline distT="0" distB="0" distL="0" distR="0" wp14:anchorId="65B8FF0F" wp14:editId="051DCD9A">
            <wp:extent cx="5943600" cy="59865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986514"/>
                    </a:xfrm>
                    <a:prstGeom prst="rect">
                      <a:avLst/>
                    </a:prstGeom>
                    <a:noFill/>
                    <a:ln>
                      <a:noFill/>
                    </a:ln>
                  </pic:spPr>
                </pic:pic>
              </a:graphicData>
            </a:graphic>
          </wp:inline>
        </w:drawing>
      </w:r>
    </w:p>
    <w:sectPr w:rsidR="00096701" w:rsidRPr="000D15BF" w:rsidSect="00F54081">
      <w:headerReference w:type="first" r:id="rId32"/>
      <w:footerReference w:type="first" r:id="rId33"/>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E0856" w14:textId="77777777" w:rsidR="00812B8E" w:rsidRDefault="00812B8E" w:rsidP="002A1126">
      <w:r>
        <w:separator/>
      </w:r>
    </w:p>
  </w:endnote>
  <w:endnote w:type="continuationSeparator" w:id="0">
    <w:p w14:paraId="42CC9877" w14:textId="77777777" w:rsidR="00812B8E" w:rsidRDefault="00812B8E"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8A4B" w14:textId="3B3A28CF" w:rsidR="0028383E" w:rsidRPr="00783A23" w:rsidRDefault="0028383E">
    <w:pPr>
      <w:pStyle w:val="Footer"/>
      <w:jc w:val="center"/>
      <w:rPr>
        <w:rFonts w:ascii="Times New Roman" w:hAnsi="Times New Roman" w:cs="Times New Roman"/>
      </w:rPr>
    </w:pPr>
    <w:r w:rsidRPr="00783A23">
      <w:rPr>
        <w:rFonts w:ascii="Times New Roman" w:hAnsi="Times New Roman" w:cs="Times New Roman"/>
      </w:rPr>
      <w:t xml:space="preserve">Page </w:t>
    </w:r>
    <w:r w:rsidRPr="00783A23">
      <w:rPr>
        <w:rFonts w:ascii="Times New Roman" w:hAnsi="Times New Roman" w:cs="Times New Roman"/>
      </w:rPr>
      <w:fldChar w:fldCharType="begin"/>
    </w:r>
    <w:r w:rsidRPr="00783A23">
      <w:rPr>
        <w:rFonts w:ascii="Times New Roman" w:hAnsi="Times New Roman" w:cs="Times New Roman"/>
      </w:rPr>
      <w:instrText xml:space="preserve"> PAGE  \* Arabic  \* MERGEFORMAT </w:instrText>
    </w:r>
    <w:r w:rsidRPr="00783A23">
      <w:rPr>
        <w:rFonts w:ascii="Times New Roman" w:hAnsi="Times New Roman" w:cs="Times New Roman"/>
      </w:rPr>
      <w:fldChar w:fldCharType="separate"/>
    </w:r>
    <w:r w:rsidR="00B8507F">
      <w:rPr>
        <w:rFonts w:ascii="Times New Roman" w:hAnsi="Times New Roman" w:cs="Times New Roman"/>
        <w:noProof/>
      </w:rPr>
      <w:t>2</w:t>
    </w:r>
    <w:r w:rsidRPr="00783A23">
      <w:rPr>
        <w:rFonts w:ascii="Times New Roman" w:hAnsi="Times New Roman" w:cs="Times New Roman"/>
      </w:rPr>
      <w:fldChar w:fldCharType="end"/>
    </w:r>
    <w:r w:rsidRPr="00783A23">
      <w:rPr>
        <w:rFonts w:ascii="Times New Roman" w:hAnsi="Times New Roman" w:cs="Times New Roman"/>
      </w:rPr>
      <w:t xml:space="preserve"> of </w:t>
    </w:r>
    <w:r w:rsidR="00CA116D">
      <w:rPr>
        <w:rFonts w:ascii="Times New Roman" w:hAnsi="Times New Roman" w:cs="Times New Roman"/>
      </w:rPr>
      <w:t>16</w:t>
    </w:r>
  </w:p>
  <w:sdt>
    <w:sdtPr>
      <w:id w:val="-1828506008"/>
      <w:docPartObj>
        <w:docPartGallery w:val="Page Numbers (Top of Page)"/>
        <w:docPartUnique/>
      </w:docPartObj>
    </w:sdtPr>
    <w:sdtEndPr/>
    <w:sdtContent>
      <w:p w14:paraId="22F323CF" w14:textId="77777777" w:rsidR="0028383E" w:rsidRDefault="0028383E" w:rsidP="00F54081">
        <w:pPr>
          <w:jc w:val="center"/>
          <w:rPr>
            <w:rFonts w:ascii="Times New Roman" w:hAnsi="Times New Roman" w:cs="Times New Roman"/>
          </w:rPr>
        </w:pPr>
      </w:p>
      <w:p w14:paraId="64B17764" w14:textId="77777777" w:rsidR="0028383E" w:rsidRDefault="00B8507F" w:rsidP="004C6C68"/>
    </w:sdtContent>
  </w:sdt>
  <w:p w14:paraId="073E2434" w14:textId="77777777" w:rsidR="0028383E" w:rsidRDefault="0028383E" w:rsidP="003D0502">
    <w:pPr>
      <w:pStyle w:val="Footer"/>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9CE2" w14:textId="77777777" w:rsidR="0028383E" w:rsidRDefault="0028383E">
    <w:pPr>
      <w:pStyle w:val="Footer"/>
    </w:pPr>
    <w:r>
      <w:tab/>
    </w:r>
    <w:r w:rsidRPr="006550F4">
      <w:rPr>
        <w:rFonts w:ascii="Times New Roman" w:hAnsi="Times New Roman" w:cs="Times New Roman"/>
      </w:rPr>
      <w:t xml:space="preserve">Attachment A - </w:t>
    </w:r>
    <w:r w:rsidRPr="00D311F8">
      <w:rPr>
        <w:rFonts w:ascii="Times New Roman" w:hAnsi="Times New Roman" w:cs="Times New Roman"/>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07EB7" w14:textId="77777777" w:rsidR="00812B8E" w:rsidRDefault="00812B8E" w:rsidP="002A1126">
      <w:r>
        <w:separator/>
      </w:r>
    </w:p>
  </w:footnote>
  <w:footnote w:type="continuationSeparator" w:id="0">
    <w:p w14:paraId="7972B6A0" w14:textId="77777777" w:rsidR="00812B8E" w:rsidRDefault="00812B8E" w:rsidP="002A1126">
      <w:r>
        <w:continuationSeparator/>
      </w:r>
    </w:p>
  </w:footnote>
  <w:footnote w:id="1">
    <w:p w14:paraId="0CFEEAC1" w14:textId="77777777" w:rsidR="0028383E" w:rsidRDefault="0028383E" w:rsidP="00D420B2">
      <w:pPr>
        <w:pStyle w:val="FootnoteText"/>
      </w:pPr>
      <w:r>
        <w:rPr>
          <w:rStyle w:val="FootnoteReference"/>
        </w:rPr>
        <w:footnoteRef/>
      </w:r>
      <w:r>
        <w:t xml:space="preserve"> Single Family Home</w:t>
      </w:r>
    </w:p>
  </w:footnote>
  <w:footnote w:id="2">
    <w:p w14:paraId="2A80AEC7" w14:textId="77777777" w:rsidR="0028383E" w:rsidRDefault="0028383E" w:rsidP="00D420B2">
      <w:pPr>
        <w:pStyle w:val="FootnoteText"/>
      </w:pPr>
      <w:r>
        <w:rPr>
          <w:rStyle w:val="FootnoteReference"/>
        </w:rPr>
        <w:footnoteRef/>
      </w:r>
      <w:r>
        <w:t xml:space="preserve"> Multi-Unit Dwelling</w:t>
      </w:r>
    </w:p>
  </w:footnote>
  <w:footnote w:id="3">
    <w:p w14:paraId="25BDD8C5" w14:textId="77777777" w:rsidR="0028383E" w:rsidRDefault="0028383E">
      <w:pPr>
        <w:pStyle w:val="FootnoteText"/>
      </w:pPr>
      <w:r>
        <w:rPr>
          <w:rStyle w:val="FootnoteReference"/>
        </w:rPr>
        <w:footnoteRef/>
      </w:r>
      <w:r>
        <w:t xml:space="preserve"> Completed – EVSE has been installed. Scheduled – EVSE is scheduled to be installed. Pending – customer application is pending full approval. Withdrawn – customer has withdrawn application from program. On Hold – customer application is on hold due to location of requested EVSE.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B3A9" w14:textId="77777777" w:rsidR="0028383E" w:rsidRDefault="0028383E"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ED6DD" w14:textId="77777777" w:rsidR="0028383E" w:rsidRDefault="0028383E" w:rsidP="003D0502">
    <w:pPr>
      <w:pStyle w:val="Header"/>
      <w:spacing w:after="480"/>
      <w:ind w:left="-1166" w:right="-1166"/>
    </w:pPr>
    <w:r w:rsidRPr="0071027A">
      <w:rPr>
        <w:noProof/>
      </w:rPr>
      <w:drawing>
        <wp:inline distT="0" distB="0" distL="0" distR="0" wp14:anchorId="5308C6C0" wp14:editId="12BD8E0B">
          <wp:extent cx="7397115" cy="1158881"/>
          <wp:effectExtent l="25400" t="0" r="0" b="0"/>
          <wp:docPr id="6" name="Picture 6"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12F66" w14:textId="77777777" w:rsidR="0028383E" w:rsidRPr="006550F4" w:rsidRDefault="0028383E" w:rsidP="00655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4130F"/>
    <w:multiLevelType w:val="hybridMultilevel"/>
    <w:tmpl w:val="6666B8C2"/>
    <w:lvl w:ilvl="0" w:tplc="6158F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4A019E"/>
    <w:multiLevelType w:val="hybridMultilevel"/>
    <w:tmpl w:val="8CE2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344D6"/>
    <w:multiLevelType w:val="hybridMultilevel"/>
    <w:tmpl w:val="70E816F4"/>
    <w:lvl w:ilvl="0" w:tplc="0409000F">
      <w:start w:val="1"/>
      <w:numFmt w:val="decimal"/>
      <w:lvlText w:val="%1."/>
      <w:lvlJc w:val="left"/>
      <w:pPr>
        <w:ind w:left="720" w:hanging="360"/>
      </w:pPr>
    </w:lvl>
    <w:lvl w:ilvl="1" w:tplc="883CE7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416B5"/>
    <w:multiLevelType w:val="hybridMultilevel"/>
    <w:tmpl w:val="BF5EF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1"/>
  </w:num>
  <w:num w:numId="4">
    <w:abstractNumId w:val="16"/>
  </w:num>
  <w:num w:numId="5">
    <w:abstractNumId w:val="5"/>
  </w:num>
  <w:num w:numId="6">
    <w:abstractNumId w:val="20"/>
  </w:num>
  <w:num w:numId="7">
    <w:abstractNumId w:val="17"/>
  </w:num>
  <w:num w:numId="8">
    <w:abstractNumId w:val="24"/>
  </w:num>
  <w:num w:numId="9">
    <w:abstractNumId w:val="23"/>
  </w:num>
  <w:num w:numId="10">
    <w:abstractNumId w:val="22"/>
  </w:num>
  <w:num w:numId="11">
    <w:abstractNumId w:val="18"/>
  </w:num>
  <w:num w:numId="12">
    <w:abstractNumId w:val="7"/>
  </w:num>
  <w:num w:numId="13">
    <w:abstractNumId w:val="3"/>
  </w:num>
  <w:num w:numId="14">
    <w:abstractNumId w:val="0"/>
  </w:num>
  <w:num w:numId="15">
    <w:abstractNumId w:val="2"/>
  </w:num>
  <w:num w:numId="16">
    <w:abstractNumId w:val="13"/>
  </w:num>
  <w:num w:numId="17">
    <w:abstractNumId w:val="8"/>
  </w:num>
  <w:num w:numId="18">
    <w:abstractNumId w:val="14"/>
  </w:num>
  <w:num w:numId="19">
    <w:abstractNumId w:val="9"/>
  </w:num>
  <w:num w:numId="20">
    <w:abstractNumId w:val="6"/>
  </w:num>
  <w:num w:numId="21">
    <w:abstractNumId w:val="4"/>
  </w:num>
  <w:num w:numId="22">
    <w:abstractNumId w:val="15"/>
  </w:num>
  <w:num w:numId="23">
    <w:abstractNumId w:val="12"/>
  </w:num>
  <w:num w:numId="24">
    <w:abstractNumId w:val="10"/>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0311"/>
    <w:rsid w:val="0000135F"/>
    <w:rsid w:val="00014BED"/>
    <w:rsid w:val="00020AF9"/>
    <w:rsid w:val="000248C6"/>
    <w:rsid w:val="00027FB7"/>
    <w:rsid w:val="000369B1"/>
    <w:rsid w:val="00041BEA"/>
    <w:rsid w:val="00046436"/>
    <w:rsid w:val="00047C30"/>
    <w:rsid w:val="000515D1"/>
    <w:rsid w:val="00063333"/>
    <w:rsid w:val="00064A7E"/>
    <w:rsid w:val="00070446"/>
    <w:rsid w:val="000749BD"/>
    <w:rsid w:val="00084289"/>
    <w:rsid w:val="00087646"/>
    <w:rsid w:val="00096701"/>
    <w:rsid w:val="00096744"/>
    <w:rsid w:val="000A610C"/>
    <w:rsid w:val="000A6C6F"/>
    <w:rsid w:val="000B09DE"/>
    <w:rsid w:val="000B6281"/>
    <w:rsid w:val="000C249F"/>
    <w:rsid w:val="000C6B1B"/>
    <w:rsid w:val="000D7C2B"/>
    <w:rsid w:val="000E1CB0"/>
    <w:rsid w:val="000E37A7"/>
    <w:rsid w:val="000F10FF"/>
    <w:rsid w:val="000F350D"/>
    <w:rsid w:val="000F4873"/>
    <w:rsid w:val="00100EB1"/>
    <w:rsid w:val="0011028C"/>
    <w:rsid w:val="00113674"/>
    <w:rsid w:val="00114E77"/>
    <w:rsid w:val="0011545A"/>
    <w:rsid w:val="001173FE"/>
    <w:rsid w:val="00122E57"/>
    <w:rsid w:val="001255C2"/>
    <w:rsid w:val="0013094D"/>
    <w:rsid w:val="00131166"/>
    <w:rsid w:val="00134CA1"/>
    <w:rsid w:val="00142E03"/>
    <w:rsid w:val="00161957"/>
    <w:rsid w:val="00165AB5"/>
    <w:rsid w:val="00167824"/>
    <w:rsid w:val="00183969"/>
    <w:rsid w:val="001856CB"/>
    <w:rsid w:val="0019256D"/>
    <w:rsid w:val="001944EB"/>
    <w:rsid w:val="00196329"/>
    <w:rsid w:val="0019753A"/>
    <w:rsid w:val="001A4852"/>
    <w:rsid w:val="001A6BF9"/>
    <w:rsid w:val="001A7D8F"/>
    <w:rsid w:val="001B255F"/>
    <w:rsid w:val="001B29A5"/>
    <w:rsid w:val="001B459E"/>
    <w:rsid w:val="001B51A2"/>
    <w:rsid w:val="001C504A"/>
    <w:rsid w:val="001C6DB1"/>
    <w:rsid w:val="001D2DB5"/>
    <w:rsid w:val="001D4E89"/>
    <w:rsid w:val="001D5E5E"/>
    <w:rsid w:val="001E2AB9"/>
    <w:rsid w:val="001E5E9A"/>
    <w:rsid w:val="001E72F0"/>
    <w:rsid w:val="001E7D9B"/>
    <w:rsid w:val="001F4E83"/>
    <w:rsid w:val="001F5FCA"/>
    <w:rsid w:val="002071FB"/>
    <w:rsid w:val="00207727"/>
    <w:rsid w:val="0021173C"/>
    <w:rsid w:val="00213C45"/>
    <w:rsid w:val="00213F03"/>
    <w:rsid w:val="00221113"/>
    <w:rsid w:val="0022116D"/>
    <w:rsid w:val="002243F0"/>
    <w:rsid w:val="0022458C"/>
    <w:rsid w:val="00236DDB"/>
    <w:rsid w:val="0023794F"/>
    <w:rsid w:val="002433D5"/>
    <w:rsid w:val="00247995"/>
    <w:rsid w:val="00257F21"/>
    <w:rsid w:val="0026107E"/>
    <w:rsid w:val="00261B71"/>
    <w:rsid w:val="00261CF7"/>
    <w:rsid w:val="002664BF"/>
    <w:rsid w:val="002671D5"/>
    <w:rsid w:val="0027135F"/>
    <w:rsid w:val="00272C01"/>
    <w:rsid w:val="00273E68"/>
    <w:rsid w:val="002756FF"/>
    <w:rsid w:val="0028383E"/>
    <w:rsid w:val="00287463"/>
    <w:rsid w:val="00287DF2"/>
    <w:rsid w:val="002A0DC5"/>
    <w:rsid w:val="002A103E"/>
    <w:rsid w:val="002A1126"/>
    <w:rsid w:val="002B316C"/>
    <w:rsid w:val="002B7D0E"/>
    <w:rsid w:val="002C14DB"/>
    <w:rsid w:val="002C2722"/>
    <w:rsid w:val="002C38DA"/>
    <w:rsid w:val="002C7C44"/>
    <w:rsid w:val="002D14D8"/>
    <w:rsid w:val="002D5B10"/>
    <w:rsid w:val="002E44DD"/>
    <w:rsid w:val="002E6643"/>
    <w:rsid w:val="002E7026"/>
    <w:rsid w:val="002F14A1"/>
    <w:rsid w:val="002F218E"/>
    <w:rsid w:val="002F4C58"/>
    <w:rsid w:val="002F536E"/>
    <w:rsid w:val="00300FCC"/>
    <w:rsid w:val="00313771"/>
    <w:rsid w:val="00314215"/>
    <w:rsid w:val="00321EEC"/>
    <w:rsid w:val="0032400B"/>
    <w:rsid w:val="003258D7"/>
    <w:rsid w:val="0032776A"/>
    <w:rsid w:val="0033607B"/>
    <w:rsid w:val="00336A40"/>
    <w:rsid w:val="00337F64"/>
    <w:rsid w:val="0034325A"/>
    <w:rsid w:val="00344DC2"/>
    <w:rsid w:val="0035206C"/>
    <w:rsid w:val="003529B0"/>
    <w:rsid w:val="00355E5A"/>
    <w:rsid w:val="00367A25"/>
    <w:rsid w:val="00370CA6"/>
    <w:rsid w:val="00376A2F"/>
    <w:rsid w:val="003A12C3"/>
    <w:rsid w:val="003A199A"/>
    <w:rsid w:val="003A4973"/>
    <w:rsid w:val="003B16D1"/>
    <w:rsid w:val="003C7F79"/>
    <w:rsid w:val="003D0502"/>
    <w:rsid w:val="003D25E1"/>
    <w:rsid w:val="003D2B0E"/>
    <w:rsid w:val="003D53A1"/>
    <w:rsid w:val="003F0B95"/>
    <w:rsid w:val="003F3678"/>
    <w:rsid w:val="003F7181"/>
    <w:rsid w:val="00407476"/>
    <w:rsid w:val="00420A0D"/>
    <w:rsid w:val="00421E87"/>
    <w:rsid w:val="00441F4A"/>
    <w:rsid w:val="00443A3B"/>
    <w:rsid w:val="004521D4"/>
    <w:rsid w:val="00457CA2"/>
    <w:rsid w:val="004708AF"/>
    <w:rsid w:val="004712D1"/>
    <w:rsid w:val="00477CCB"/>
    <w:rsid w:val="00477D20"/>
    <w:rsid w:val="00477F3F"/>
    <w:rsid w:val="004814F2"/>
    <w:rsid w:val="00485E4F"/>
    <w:rsid w:val="004913E4"/>
    <w:rsid w:val="00494219"/>
    <w:rsid w:val="004A2ECD"/>
    <w:rsid w:val="004A5514"/>
    <w:rsid w:val="004A5DE1"/>
    <w:rsid w:val="004A6346"/>
    <w:rsid w:val="004B5927"/>
    <w:rsid w:val="004B7AAF"/>
    <w:rsid w:val="004C0897"/>
    <w:rsid w:val="004C6C68"/>
    <w:rsid w:val="004D1DBE"/>
    <w:rsid w:val="004D4187"/>
    <w:rsid w:val="004D67B2"/>
    <w:rsid w:val="004E29CE"/>
    <w:rsid w:val="004E5D26"/>
    <w:rsid w:val="004F0435"/>
    <w:rsid w:val="004F1B02"/>
    <w:rsid w:val="004F7450"/>
    <w:rsid w:val="005011E0"/>
    <w:rsid w:val="00507690"/>
    <w:rsid w:val="00507F24"/>
    <w:rsid w:val="00516D9C"/>
    <w:rsid w:val="00520A2D"/>
    <w:rsid w:val="00525902"/>
    <w:rsid w:val="0053159B"/>
    <w:rsid w:val="005342EC"/>
    <w:rsid w:val="005343ED"/>
    <w:rsid w:val="00547E25"/>
    <w:rsid w:val="00552886"/>
    <w:rsid w:val="00554CDD"/>
    <w:rsid w:val="00561E47"/>
    <w:rsid w:val="0056429C"/>
    <w:rsid w:val="00566AAE"/>
    <w:rsid w:val="00570699"/>
    <w:rsid w:val="00593237"/>
    <w:rsid w:val="00593876"/>
    <w:rsid w:val="00597ED7"/>
    <w:rsid w:val="005A3212"/>
    <w:rsid w:val="005B5CF9"/>
    <w:rsid w:val="005C100B"/>
    <w:rsid w:val="005D09DA"/>
    <w:rsid w:val="005D2CE5"/>
    <w:rsid w:val="005D37C9"/>
    <w:rsid w:val="005D3D22"/>
    <w:rsid w:val="005D4331"/>
    <w:rsid w:val="005E04BD"/>
    <w:rsid w:val="005E44E7"/>
    <w:rsid w:val="005E7898"/>
    <w:rsid w:val="005F39C5"/>
    <w:rsid w:val="005F4EBE"/>
    <w:rsid w:val="00604544"/>
    <w:rsid w:val="00604CE3"/>
    <w:rsid w:val="006071C6"/>
    <w:rsid w:val="006101C8"/>
    <w:rsid w:val="0061247A"/>
    <w:rsid w:val="006157BD"/>
    <w:rsid w:val="0062299D"/>
    <w:rsid w:val="00632D8D"/>
    <w:rsid w:val="006346F3"/>
    <w:rsid w:val="00636B74"/>
    <w:rsid w:val="00640D33"/>
    <w:rsid w:val="00646748"/>
    <w:rsid w:val="00646989"/>
    <w:rsid w:val="00646B6B"/>
    <w:rsid w:val="00647127"/>
    <w:rsid w:val="0065047C"/>
    <w:rsid w:val="00651A83"/>
    <w:rsid w:val="0065236B"/>
    <w:rsid w:val="00653BBB"/>
    <w:rsid w:val="006550F4"/>
    <w:rsid w:val="006568DF"/>
    <w:rsid w:val="00656931"/>
    <w:rsid w:val="0066320E"/>
    <w:rsid w:val="00663BBB"/>
    <w:rsid w:val="006663EA"/>
    <w:rsid w:val="006722CD"/>
    <w:rsid w:val="00672EEE"/>
    <w:rsid w:val="0067498C"/>
    <w:rsid w:val="006761C1"/>
    <w:rsid w:val="00677162"/>
    <w:rsid w:val="006852D7"/>
    <w:rsid w:val="00693682"/>
    <w:rsid w:val="00694FC3"/>
    <w:rsid w:val="006952D1"/>
    <w:rsid w:val="00695A31"/>
    <w:rsid w:val="00696A33"/>
    <w:rsid w:val="00696D4E"/>
    <w:rsid w:val="006A2183"/>
    <w:rsid w:val="006A3B30"/>
    <w:rsid w:val="006A3F93"/>
    <w:rsid w:val="006A4367"/>
    <w:rsid w:val="006B353D"/>
    <w:rsid w:val="006C150A"/>
    <w:rsid w:val="006C451C"/>
    <w:rsid w:val="006C535F"/>
    <w:rsid w:val="006C6708"/>
    <w:rsid w:val="006C670C"/>
    <w:rsid w:val="006D6987"/>
    <w:rsid w:val="006E1080"/>
    <w:rsid w:val="006E7979"/>
    <w:rsid w:val="006F56EF"/>
    <w:rsid w:val="006F7A91"/>
    <w:rsid w:val="00706C17"/>
    <w:rsid w:val="00707010"/>
    <w:rsid w:val="00707DBE"/>
    <w:rsid w:val="007110D8"/>
    <w:rsid w:val="00713CE5"/>
    <w:rsid w:val="00716CDF"/>
    <w:rsid w:val="00723985"/>
    <w:rsid w:val="00726B3F"/>
    <w:rsid w:val="0072705C"/>
    <w:rsid w:val="0073125D"/>
    <w:rsid w:val="007316BE"/>
    <w:rsid w:val="00732BD3"/>
    <w:rsid w:val="00734B77"/>
    <w:rsid w:val="00737885"/>
    <w:rsid w:val="00747B68"/>
    <w:rsid w:val="00756F8D"/>
    <w:rsid w:val="0075745A"/>
    <w:rsid w:val="00764EC3"/>
    <w:rsid w:val="00767B87"/>
    <w:rsid w:val="00771953"/>
    <w:rsid w:val="00781B75"/>
    <w:rsid w:val="00783A23"/>
    <w:rsid w:val="00791347"/>
    <w:rsid w:val="00793793"/>
    <w:rsid w:val="00797CBA"/>
    <w:rsid w:val="00797D29"/>
    <w:rsid w:val="007B27EE"/>
    <w:rsid w:val="007B392C"/>
    <w:rsid w:val="007B42CD"/>
    <w:rsid w:val="007B5D52"/>
    <w:rsid w:val="007B73D2"/>
    <w:rsid w:val="007C035B"/>
    <w:rsid w:val="007C2A6C"/>
    <w:rsid w:val="007C6D2C"/>
    <w:rsid w:val="007C7078"/>
    <w:rsid w:val="007D0AB9"/>
    <w:rsid w:val="007E0AF9"/>
    <w:rsid w:val="007E192A"/>
    <w:rsid w:val="007E3FE5"/>
    <w:rsid w:val="007F70D6"/>
    <w:rsid w:val="00801F8E"/>
    <w:rsid w:val="00804611"/>
    <w:rsid w:val="00804A08"/>
    <w:rsid w:val="00804EA2"/>
    <w:rsid w:val="00806799"/>
    <w:rsid w:val="00807809"/>
    <w:rsid w:val="008101A1"/>
    <w:rsid w:val="00812B8E"/>
    <w:rsid w:val="00820475"/>
    <w:rsid w:val="008301C3"/>
    <w:rsid w:val="00840B2A"/>
    <w:rsid w:val="0085158D"/>
    <w:rsid w:val="00851FAF"/>
    <w:rsid w:val="00852DF8"/>
    <w:rsid w:val="008560AB"/>
    <w:rsid w:val="00860818"/>
    <w:rsid w:val="00864A8A"/>
    <w:rsid w:val="00871EDC"/>
    <w:rsid w:val="008722B8"/>
    <w:rsid w:val="008740BD"/>
    <w:rsid w:val="00874769"/>
    <w:rsid w:val="00876BB7"/>
    <w:rsid w:val="00892A8A"/>
    <w:rsid w:val="008930DB"/>
    <w:rsid w:val="00897FCA"/>
    <w:rsid w:val="008A0952"/>
    <w:rsid w:val="008A1F79"/>
    <w:rsid w:val="008A44E5"/>
    <w:rsid w:val="008A797C"/>
    <w:rsid w:val="008B0A30"/>
    <w:rsid w:val="008C1322"/>
    <w:rsid w:val="008C4B2D"/>
    <w:rsid w:val="008C7286"/>
    <w:rsid w:val="008D35B9"/>
    <w:rsid w:val="008D40CA"/>
    <w:rsid w:val="008D5754"/>
    <w:rsid w:val="008E6EE1"/>
    <w:rsid w:val="008F6493"/>
    <w:rsid w:val="0090374B"/>
    <w:rsid w:val="00912FD5"/>
    <w:rsid w:val="009135A0"/>
    <w:rsid w:val="009143A0"/>
    <w:rsid w:val="0091740F"/>
    <w:rsid w:val="00942F46"/>
    <w:rsid w:val="009508C4"/>
    <w:rsid w:val="0095481F"/>
    <w:rsid w:val="00960C9D"/>
    <w:rsid w:val="00963EB7"/>
    <w:rsid w:val="00971839"/>
    <w:rsid w:val="00973C86"/>
    <w:rsid w:val="00977166"/>
    <w:rsid w:val="00980844"/>
    <w:rsid w:val="00980BB9"/>
    <w:rsid w:val="0098158F"/>
    <w:rsid w:val="00986F4D"/>
    <w:rsid w:val="00995742"/>
    <w:rsid w:val="00996E68"/>
    <w:rsid w:val="00997DBD"/>
    <w:rsid w:val="009A0D5F"/>
    <w:rsid w:val="009A756B"/>
    <w:rsid w:val="009B2424"/>
    <w:rsid w:val="009C033C"/>
    <w:rsid w:val="009C2491"/>
    <w:rsid w:val="009D4C21"/>
    <w:rsid w:val="009F2BDB"/>
    <w:rsid w:val="009F493B"/>
    <w:rsid w:val="009F61D7"/>
    <w:rsid w:val="00A0631B"/>
    <w:rsid w:val="00A12F1D"/>
    <w:rsid w:val="00A20A2E"/>
    <w:rsid w:val="00A240B6"/>
    <w:rsid w:val="00A271B5"/>
    <w:rsid w:val="00A30728"/>
    <w:rsid w:val="00A318B7"/>
    <w:rsid w:val="00A32449"/>
    <w:rsid w:val="00A41F89"/>
    <w:rsid w:val="00A44E18"/>
    <w:rsid w:val="00A46051"/>
    <w:rsid w:val="00A500D6"/>
    <w:rsid w:val="00A525AB"/>
    <w:rsid w:val="00A56024"/>
    <w:rsid w:val="00A576A9"/>
    <w:rsid w:val="00A61203"/>
    <w:rsid w:val="00A618F4"/>
    <w:rsid w:val="00A62CE4"/>
    <w:rsid w:val="00A711C1"/>
    <w:rsid w:val="00A720FE"/>
    <w:rsid w:val="00A75F9C"/>
    <w:rsid w:val="00A769F6"/>
    <w:rsid w:val="00A82D51"/>
    <w:rsid w:val="00A849EE"/>
    <w:rsid w:val="00A86FFD"/>
    <w:rsid w:val="00A87384"/>
    <w:rsid w:val="00A906F9"/>
    <w:rsid w:val="00A92570"/>
    <w:rsid w:val="00A96FC3"/>
    <w:rsid w:val="00A9710D"/>
    <w:rsid w:val="00AA24C6"/>
    <w:rsid w:val="00AA7C8C"/>
    <w:rsid w:val="00AB0867"/>
    <w:rsid w:val="00AB6A94"/>
    <w:rsid w:val="00AC6759"/>
    <w:rsid w:val="00AD03B9"/>
    <w:rsid w:val="00AD24DB"/>
    <w:rsid w:val="00AD7A30"/>
    <w:rsid w:val="00AE1633"/>
    <w:rsid w:val="00AE5EB4"/>
    <w:rsid w:val="00AF0093"/>
    <w:rsid w:val="00AF347F"/>
    <w:rsid w:val="00AF3EBB"/>
    <w:rsid w:val="00AF59C5"/>
    <w:rsid w:val="00B068F3"/>
    <w:rsid w:val="00B07D17"/>
    <w:rsid w:val="00B11231"/>
    <w:rsid w:val="00B156C5"/>
    <w:rsid w:val="00B1620E"/>
    <w:rsid w:val="00B219F7"/>
    <w:rsid w:val="00B26171"/>
    <w:rsid w:val="00B34935"/>
    <w:rsid w:val="00B353BB"/>
    <w:rsid w:val="00B3771B"/>
    <w:rsid w:val="00B42145"/>
    <w:rsid w:val="00B4649D"/>
    <w:rsid w:val="00B47A63"/>
    <w:rsid w:val="00B54B00"/>
    <w:rsid w:val="00B55800"/>
    <w:rsid w:val="00B55D6C"/>
    <w:rsid w:val="00B616B5"/>
    <w:rsid w:val="00B6418A"/>
    <w:rsid w:val="00B65377"/>
    <w:rsid w:val="00B715E8"/>
    <w:rsid w:val="00B725E5"/>
    <w:rsid w:val="00B80F06"/>
    <w:rsid w:val="00B81C5C"/>
    <w:rsid w:val="00B85024"/>
    <w:rsid w:val="00B8507F"/>
    <w:rsid w:val="00B872D4"/>
    <w:rsid w:val="00B9114E"/>
    <w:rsid w:val="00B91DAF"/>
    <w:rsid w:val="00BA7904"/>
    <w:rsid w:val="00BB655B"/>
    <w:rsid w:val="00BC5AAA"/>
    <w:rsid w:val="00BD2677"/>
    <w:rsid w:val="00BE7169"/>
    <w:rsid w:val="00C02EE2"/>
    <w:rsid w:val="00C150E6"/>
    <w:rsid w:val="00C15D7D"/>
    <w:rsid w:val="00C1660C"/>
    <w:rsid w:val="00C23D94"/>
    <w:rsid w:val="00C2430A"/>
    <w:rsid w:val="00C2791F"/>
    <w:rsid w:val="00C46768"/>
    <w:rsid w:val="00C51FB2"/>
    <w:rsid w:val="00C52CD3"/>
    <w:rsid w:val="00C661ED"/>
    <w:rsid w:val="00C81B4B"/>
    <w:rsid w:val="00CA01B0"/>
    <w:rsid w:val="00CA0BE6"/>
    <w:rsid w:val="00CA116D"/>
    <w:rsid w:val="00CA3409"/>
    <w:rsid w:val="00CB1A21"/>
    <w:rsid w:val="00CC0580"/>
    <w:rsid w:val="00CC2222"/>
    <w:rsid w:val="00CC5505"/>
    <w:rsid w:val="00CD1EAD"/>
    <w:rsid w:val="00CD421B"/>
    <w:rsid w:val="00CD5B6D"/>
    <w:rsid w:val="00CE2354"/>
    <w:rsid w:val="00CE384B"/>
    <w:rsid w:val="00CE5318"/>
    <w:rsid w:val="00CF196B"/>
    <w:rsid w:val="00CF1FAC"/>
    <w:rsid w:val="00CF262F"/>
    <w:rsid w:val="00CF35A1"/>
    <w:rsid w:val="00CF414B"/>
    <w:rsid w:val="00D03146"/>
    <w:rsid w:val="00D057E1"/>
    <w:rsid w:val="00D12F3E"/>
    <w:rsid w:val="00D1461F"/>
    <w:rsid w:val="00D1624E"/>
    <w:rsid w:val="00D1685E"/>
    <w:rsid w:val="00D17215"/>
    <w:rsid w:val="00D17CED"/>
    <w:rsid w:val="00D21F05"/>
    <w:rsid w:val="00D22D57"/>
    <w:rsid w:val="00D247E0"/>
    <w:rsid w:val="00D2684C"/>
    <w:rsid w:val="00D27283"/>
    <w:rsid w:val="00D311F8"/>
    <w:rsid w:val="00D31876"/>
    <w:rsid w:val="00D32052"/>
    <w:rsid w:val="00D3206F"/>
    <w:rsid w:val="00D33AC5"/>
    <w:rsid w:val="00D3580E"/>
    <w:rsid w:val="00D36A17"/>
    <w:rsid w:val="00D420B2"/>
    <w:rsid w:val="00D42609"/>
    <w:rsid w:val="00D60C86"/>
    <w:rsid w:val="00D64EBE"/>
    <w:rsid w:val="00D70AAA"/>
    <w:rsid w:val="00D86E50"/>
    <w:rsid w:val="00D92984"/>
    <w:rsid w:val="00D92B05"/>
    <w:rsid w:val="00D95CAB"/>
    <w:rsid w:val="00D95F08"/>
    <w:rsid w:val="00D967E7"/>
    <w:rsid w:val="00D96E8B"/>
    <w:rsid w:val="00D9736A"/>
    <w:rsid w:val="00DA048B"/>
    <w:rsid w:val="00DA1C41"/>
    <w:rsid w:val="00DB4255"/>
    <w:rsid w:val="00DC16ED"/>
    <w:rsid w:val="00DC294F"/>
    <w:rsid w:val="00DD113A"/>
    <w:rsid w:val="00DD54EE"/>
    <w:rsid w:val="00DD6584"/>
    <w:rsid w:val="00DD7835"/>
    <w:rsid w:val="00DD7A83"/>
    <w:rsid w:val="00DD7D43"/>
    <w:rsid w:val="00DE020E"/>
    <w:rsid w:val="00DE16F5"/>
    <w:rsid w:val="00DF2048"/>
    <w:rsid w:val="00DF35D6"/>
    <w:rsid w:val="00DF6C21"/>
    <w:rsid w:val="00E0217D"/>
    <w:rsid w:val="00E02418"/>
    <w:rsid w:val="00E11054"/>
    <w:rsid w:val="00E15441"/>
    <w:rsid w:val="00E22827"/>
    <w:rsid w:val="00E25158"/>
    <w:rsid w:val="00E260FE"/>
    <w:rsid w:val="00E26C9A"/>
    <w:rsid w:val="00E32E5D"/>
    <w:rsid w:val="00E3352F"/>
    <w:rsid w:val="00E361CE"/>
    <w:rsid w:val="00E3756F"/>
    <w:rsid w:val="00E4016E"/>
    <w:rsid w:val="00E51313"/>
    <w:rsid w:val="00E55815"/>
    <w:rsid w:val="00E55A2B"/>
    <w:rsid w:val="00E56E77"/>
    <w:rsid w:val="00E6063E"/>
    <w:rsid w:val="00E65AAA"/>
    <w:rsid w:val="00E66589"/>
    <w:rsid w:val="00E72C00"/>
    <w:rsid w:val="00E75691"/>
    <w:rsid w:val="00E76057"/>
    <w:rsid w:val="00E83AF0"/>
    <w:rsid w:val="00E83CFB"/>
    <w:rsid w:val="00E93A11"/>
    <w:rsid w:val="00EA038A"/>
    <w:rsid w:val="00EA1409"/>
    <w:rsid w:val="00EB35B2"/>
    <w:rsid w:val="00EB4F08"/>
    <w:rsid w:val="00ED1E14"/>
    <w:rsid w:val="00ED4578"/>
    <w:rsid w:val="00EE21C0"/>
    <w:rsid w:val="00EE6172"/>
    <w:rsid w:val="00EE7156"/>
    <w:rsid w:val="00EE7BE4"/>
    <w:rsid w:val="00EF335F"/>
    <w:rsid w:val="00EF4FE9"/>
    <w:rsid w:val="00EF5E2B"/>
    <w:rsid w:val="00F01AD1"/>
    <w:rsid w:val="00F04724"/>
    <w:rsid w:val="00F058A1"/>
    <w:rsid w:val="00F06262"/>
    <w:rsid w:val="00F12AD4"/>
    <w:rsid w:val="00F15690"/>
    <w:rsid w:val="00F204F8"/>
    <w:rsid w:val="00F20848"/>
    <w:rsid w:val="00F23345"/>
    <w:rsid w:val="00F27C05"/>
    <w:rsid w:val="00F3113C"/>
    <w:rsid w:val="00F31804"/>
    <w:rsid w:val="00F3627B"/>
    <w:rsid w:val="00F3658B"/>
    <w:rsid w:val="00F43ACC"/>
    <w:rsid w:val="00F45919"/>
    <w:rsid w:val="00F47613"/>
    <w:rsid w:val="00F53A7D"/>
    <w:rsid w:val="00F54081"/>
    <w:rsid w:val="00F606FB"/>
    <w:rsid w:val="00F6459F"/>
    <w:rsid w:val="00F64CED"/>
    <w:rsid w:val="00F72D8F"/>
    <w:rsid w:val="00F8014E"/>
    <w:rsid w:val="00F80B03"/>
    <w:rsid w:val="00F86C06"/>
    <w:rsid w:val="00F9145C"/>
    <w:rsid w:val="00F93984"/>
    <w:rsid w:val="00F973EF"/>
    <w:rsid w:val="00F978BA"/>
    <w:rsid w:val="00FA15E0"/>
    <w:rsid w:val="00FA2FFF"/>
    <w:rsid w:val="00FA79D8"/>
    <w:rsid w:val="00FB2BB5"/>
    <w:rsid w:val="00FB5A32"/>
    <w:rsid w:val="00FC069E"/>
    <w:rsid w:val="00FC1D02"/>
    <w:rsid w:val="00FC2D89"/>
    <w:rsid w:val="00FC5697"/>
    <w:rsid w:val="00FD18DB"/>
    <w:rsid w:val="00FD44D5"/>
    <w:rsid w:val="00FD7FDA"/>
    <w:rsid w:val="00FE07B9"/>
    <w:rsid w:val="00FE0CE5"/>
    <w:rsid w:val="00FE2754"/>
    <w:rsid w:val="00FE75BB"/>
    <w:rsid w:val="00FF18FE"/>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D06F39C"/>
  <w15:docId w15:val="{FF86EC99-D080-46CF-A728-DA6E0731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CF262F"/>
    <w:rPr>
      <w:rFonts w:ascii="Times New Roman" w:eastAsia="Times New Roman" w:hAnsi="Times New Roman" w:cs="Times New Roman"/>
    </w:rPr>
  </w:style>
  <w:style w:type="character" w:styleId="FootnoteReference">
    <w:name w:val="footnote reference"/>
    <w:basedOn w:val="DefaultParagraphFont"/>
    <w:uiPriority w:val="99"/>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 w:type="paragraph" w:styleId="Revision">
    <w:name w:val="Revision"/>
    <w:hidden/>
    <w:uiPriority w:val="99"/>
    <w:semiHidden/>
    <w:rsid w:val="00F058A1"/>
    <w:rPr>
      <w:rFonts w:ascii="Arial" w:hAnsi="Arial"/>
      <w:sz w:val="24"/>
      <w:szCs w:val="24"/>
    </w:rPr>
  </w:style>
  <w:style w:type="character" w:styleId="FollowedHyperlink">
    <w:name w:val="FollowedHyperlink"/>
    <w:basedOn w:val="DefaultParagraphFont"/>
    <w:uiPriority w:val="99"/>
    <w:semiHidden/>
    <w:unhideWhenUsed/>
    <w:rsid w:val="000F1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08726">
      <w:bodyDiv w:val="1"/>
      <w:marLeft w:val="0"/>
      <w:marRight w:val="0"/>
      <w:marTop w:val="0"/>
      <w:marBottom w:val="0"/>
      <w:divBdr>
        <w:top w:val="none" w:sz="0" w:space="0" w:color="auto"/>
        <w:left w:val="none" w:sz="0" w:space="0" w:color="auto"/>
        <w:bottom w:val="none" w:sz="0" w:space="0" w:color="auto"/>
        <w:right w:val="none" w:sz="0" w:space="0" w:color="auto"/>
      </w:divBdr>
    </w:div>
    <w:div w:id="396980049">
      <w:bodyDiv w:val="1"/>
      <w:marLeft w:val="0"/>
      <w:marRight w:val="0"/>
      <w:marTop w:val="0"/>
      <w:marBottom w:val="0"/>
      <w:divBdr>
        <w:top w:val="none" w:sz="0" w:space="0" w:color="auto"/>
        <w:left w:val="none" w:sz="0" w:space="0" w:color="auto"/>
        <w:bottom w:val="none" w:sz="0" w:space="0" w:color="auto"/>
        <w:right w:val="none" w:sz="0" w:space="0" w:color="auto"/>
      </w:divBdr>
    </w:div>
    <w:div w:id="511263558">
      <w:bodyDiv w:val="1"/>
      <w:marLeft w:val="0"/>
      <w:marRight w:val="0"/>
      <w:marTop w:val="0"/>
      <w:marBottom w:val="0"/>
      <w:divBdr>
        <w:top w:val="none" w:sz="0" w:space="0" w:color="auto"/>
        <w:left w:val="none" w:sz="0" w:space="0" w:color="auto"/>
        <w:bottom w:val="none" w:sz="0" w:space="0" w:color="auto"/>
        <w:right w:val="none" w:sz="0" w:space="0" w:color="auto"/>
      </w:divBdr>
    </w:div>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747016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008095249">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2015524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chart" Target="charts/chart2.xml"/><Relationship Id="rId26" Type="http://schemas.openxmlformats.org/officeDocument/2006/relationships/hyperlink" Target="mailto:rendall.farley@avistacorp.com"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plugshare.com" TargetMode="External"/><Relationship Id="rId23" Type="http://schemas.openxmlformats.org/officeDocument/2006/relationships/image" Target="media/image10.png"/><Relationship Id="rId28" Type="http://schemas.openxmlformats.org/officeDocument/2006/relationships/header" Target="header1.xml"/><Relationship Id="rId36"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mailto:shawn.bonfield@avistacorp.com"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charts/_rels/chart1.xml.rels><?xml version="1.0" encoding="UTF-8" standalone="yes"?>
<Relationships xmlns="http://schemas.openxmlformats.org/package/2006/relationships"><Relationship Id="rId3" Type="http://schemas.openxmlformats.org/officeDocument/2006/relationships/oleObject" Target="file:///\\c01d35\c01d35\COMMON\Research\Projects\Survey%20Monkey\EVSE%20Program\EVSE%20Analysis%20-%20Res%20Install%20041117.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01d35\c01d35\COMMON\Research\Projects\Survey%20Monkey\EVSE%20Program\EVSE%20Analysis%20-%20Res%20Install%20041117.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Commute to </a:t>
            </a:r>
            <a:r>
              <a:rPr lang="en-US" dirty="0" smtClean="0"/>
              <a:t>Work in EV?</a:t>
            </a:r>
            <a:endParaRPr lang="en-US" dirty="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42073345036045"/>
          <c:y val="0.23812777572462815"/>
          <c:w val="0.39390260459271215"/>
          <c:h val="0.52426338590506216"/>
        </c:manualLayout>
      </c:layout>
      <c:pieChart>
        <c:varyColors val="1"/>
        <c:ser>
          <c:idx val="0"/>
          <c:order val="0"/>
          <c:dPt>
            <c:idx val="0"/>
            <c:bubble3D val="0"/>
            <c:explosion val="2"/>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Sheet1!$BC$17:$BD$17</c:f>
              <c:strCache>
                <c:ptCount val="2"/>
                <c:pt idx="0">
                  <c:v>Yes</c:v>
                </c:pt>
                <c:pt idx="1">
                  <c:v>No</c:v>
                </c:pt>
              </c:strCache>
            </c:strRef>
          </c:cat>
          <c:val>
            <c:numRef>
              <c:f>Sheet1!$BC$14:$BD$14</c:f>
              <c:numCache>
                <c:formatCode>0%</c:formatCode>
                <c:ptCount val="2"/>
                <c:pt idx="0">
                  <c:v>0.77551020408163263</c:v>
                </c:pt>
                <c:pt idx="1">
                  <c:v>0.22448979591836735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 Commute Distance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'Coummute length'!$C$2:$C$7</c:f>
              <c:strCache>
                <c:ptCount val="5"/>
                <c:pt idx="0">
                  <c:v>Under 10 Miles</c:v>
                </c:pt>
                <c:pt idx="1">
                  <c:v>11-20 Miles</c:v>
                </c:pt>
                <c:pt idx="2">
                  <c:v>21-30 Miles</c:v>
                </c:pt>
                <c:pt idx="3">
                  <c:v>31-40 Miles</c:v>
                </c:pt>
                <c:pt idx="4">
                  <c:v>Over 40 Miles</c:v>
                </c:pt>
              </c:strCache>
            </c:strRef>
          </c:cat>
          <c:val>
            <c:numRef>
              <c:f>'Coummute length'!$E$2:$E$7</c:f>
              <c:numCache>
                <c:formatCode>0%</c:formatCode>
                <c:ptCount val="6"/>
                <c:pt idx="0">
                  <c:v>0.26315789473684209</c:v>
                </c:pt>
                <c:pt idx="1">
                  <c:v>0.39473684210526316</c:v>
                </c:pt>
                <c:pt idx="2">
                  <c:v>0.18421052631578946</c:v>
                </c:pt>
                <c:pt idx="3">
                  <c:v>0.10526315789473684</c:v>
                </c:pt>
                <c:pt idx="4">
                  <c:v>5.2631578947368418E-2</c:v>
                </c:pt>
              </c:numCache>
            </c:numRef>
          </c:val>
        </c:ser>
        <c:dLbls>
          <c:showLegendKey val="0"/>
          <c:showVal val="0"/>
          <c:showCatName val="0"/>
          <c:showSerName val="0"/>
          <c:showPercent val="0"/>
          <c:showBubbleSize val="0"/>
        </c:dLbls>
        <c:gapWidth val="219"/>
        <c:overlap val="-27"/>
        <c:axId val="194319168"/>
        <c:axId val="194317208"/>
      </c:barChart>
      <c:catAx>
        <c:axId val="19431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17208"/>
        <c:crosses val="autoZero"/>
        <c:auto val="1"/>
        <c:lblAlgn val="ctr"/>
        <c:lblOffset val="100"/>
        <c:noMultiLvlLbl val="0"/>
      </c:catAx>
      <c:valAx>
        <c:axId val="1943172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1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0.72651</cdr:x>
      <cdr:y>0.84388</cdr:y>
    </cdr:from>
    <cdr:to>
      <cdr:x>1</cdr:x>
      <cdr:y>1</cdr:y>
    </cdr:to>
    <cdr:sp macro="" textlink="">
      <cdr:nvSpPr>
        <cdr:cNvPr id="5" name="TextBox 1"/>
        <cdr:cNvSpPr txBox="1"/>
      </cdr:nvSpPr>
      <cdr:spPr>
        <a:xfrm xmlns:a="http://schemas.openxmlformats.org/drawingml/2006/main">
          <a:off x="2984709" y="3154582"/>
          <a:ext cx="801750" cy="3438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sz="1000" dirty="0"/>
            <a:t>n</a:t>
          </a:r>
          <a:r>
            <a:rPr lang="en-US" sz="1000" dirty="0" smtClean="0"/>
            <a:t>=49</a:t>
          </a:r>
          <a:endParaRPr lang="en-US" sz="1000" dirty="0"/>
        </a:p>
      </cdr:txBody>
    </cdr:sp>
  </cdr:relSizeAnchor>
</c:userShapes>
</file>

<file path=word/drawings/drawing2.xml><?xml version="1.0" encoding="utf-8"?>
<c:userShapes xmlns:c="http://schemas.openxmlformats.org/drawingml/2006/chart">
  <cdr:relSizeAnchor xmlns:cdr="http://schemas.openxmlformats.org/drawingml/2006/chartDrawing">
    <cdr:from>
      <cdr:x>0.75553</cdr:x>
      <cdr:y>0.66657</cdr:y>
    </cdr:from>
    <cdr:to>
      <cdr:x>0.97872</cdr:x>
      <cdr:y>0.84</cdr:y>
    </cdr:to>
    <cdr:sp macro="" textlink="">
      <cdr:nvSpPr>
        <cdr:cNvPr id="2" name="TextBox 1"/>
        <cdr:cNvSpPr txBox="1"/>
      </cdr:nvSpPr>
      <cdr:spPr>
        <a:xfrm xmlns:a="http://schemas.openxmlformats.org/drawingml/2006/main">
          <a:off x="2714081" y="1321645"/>
          <a:ext cx="801762" cy="3438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sz="1000" dirty="0" smtClean="0"/>
            <a:t>n=38</a:t>
          </a:r>
          <a:endParaRPr lang="en-US" sz="10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2017-05-01T07:00:00+00:00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160082</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18E8B1-C5B7-4A08-BEA6-6B9D36E62B4F}">
  <ds:schemaRefs>
    <ds:schemaRef ds:uri="http://schemas.microsoft.com/sharepoint/v3/contenttype/forms"/>
  </ds:schemaRefs>
</ds:datastoreItem>
</file>

<file path=customXml/itemProps2.xml><?xml version="1.0" encoding="utf-8"?>
<ds:datastoreItem xmlns:ds="http://schemas.openxmlformats.org/officeDocument/2006/customXml" ds:itemID="{37866639-36DE-472D-9EC2-168577C583C8}"/>
</file>

<file path=customXml/itemProps3.xml><?xml version="1.0" encoding="utf-8"?>
<ds:datastoreItem xmlns:ds="http://schemas.openxmlformats.org/officeDocument/2006/customXml" ds:itemID="{4D156B32-A2D2-4370-ACC7-B6EDF86A1E73}">
  <ds:schemaRefs>
    <ds:schemaRef ds:uri="http://purl.org/dc/elements/1.1/"/>
    <ds:schemaRef ds:uri="http://schemas.microsoft.com/office/2006/documentManagement/typ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7F2C21-472D-4619-8A9A-01305F0EEEE4}">
  <ds:schemaRefs>
    <ds:schemaRef ds:uri="http://schemas.openxmlformats.org/officeDocument/2006/bibliography"/>
  </ds:schemaRefs>
</ds:datastoreItem>
</file>

<file path=customXml/itemProps5.xml><?xml version="1.0" encoding="utf-8"?>
<ds:datastoreItem xmlns:ds="http://schemas.openxmlformats.org/officeDocument/2006/customXml" ds:itemID="{D7DC8A1C-2D6C-4087-8B41-8756626208F9}"/>
</file>

<file path=docProps/app.xml><?xml version="1.0" encoding="utf-8"?>
<Properties xmlns="http://schemas.openxmlformats.org/officeDocument/2006/extended-properties" xmlns:vt="http://schemas.openxmlformats.org/officeDocument/2006/docPropsVTypes">
  <Template>Normal</Template>
  <TotalTime>1</TotalTime>
  <Pages>17</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monigle</dc:creator>
  <cp:keywords/>
  <dc:description/>
  <cp:lastModifiedBy>Huff, Ashley (UTC)</cp:lastModifiedBy>
  <cp:revision>2</cp:revision>
  <cp:lastPrinted>2017-05-01T17:09:00Z</cp:lastPrinted>
  <dcterms:created xsi:type="dcterms:W3CDTF">2017-05-03T20:57:00Z</dcterms:created>
  <dcterms:modified xsi:type="dcterms:W3CDTF">2017-05-03T20:57:00Z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_docset_NoMedatataSyncRequired">
    <vt:lpwstr>False</vt:lpwstr>
  </property>
  <property fmtid="{D5CDD505-2E9C-101B-9397-08002B2CF9AE}" pid="4" name="IsEFSEC">
    <vt:bool>false</vt:bool>
  </property>
</Properties>
</file>