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7" w:rsidRDefault="003629D7" w:rsidP="003629D7">
      <w:pPr>
        <w:pStyle w:val="Title"/>
        <w:ind w:right="-360" w:hanging="360"/>
        <w:rPr>
          <w:rFonts w:ascii="Times New Roman" w:hAnsi="Times New Roman"/>
          <w:b w:val="0"/>
        </w:rPr>
      </w:pPr>
    </w:p>
    <w:p w:rsidR="003629D7" w:rsidRDefault="003629D7" w:rsidP="003629D7">
      <w:pPr>
        <w:pStyle w:val="Title"/>
        <w:ind w:right="-360" w:hanging="360"/>
        <w:rPr>
          <w:rFonts w:ascii="Times New Roman" w:hAnsi="Times New Roman"/>
          <w:b w:val="0"/>
        </w:rPr>
      </w:pPr>
    </w:p>
    <w:p w:rsidR="003629D7" w:rsidRDefault="003629D7" w:rsidP="003629D7">
      <w:pPr>
        <w:pStyle w:val="Title"/>
        <w:ind w:right="-360" w:hanging="360"/>
        <w:rPr>
          <w:rFonts w:ascii="Times New Roman" w:hAnsi="Times New Roman"/>
          <w:b w:val="0"/>
        </w:rPr>
      </w:pPr>
    </w:p>
    <w:p w:rsidR="003629D7" w:rsidRDefault="003629D7" w:rsidP="003629D7">
      <w:pPr>
        <w:pStyle w:val="Title"/>
        <w:ind w:right="-360" w:hanging="360"/>
        <w:rPr>
          <w:rFonts w:ascii="Times New Roman" w:hAnsi="Times New Roman"/>
          <w:b w:val="0"/>
        </w:rPr>
      </w:pPr>
    </w:p>
    <w:p w:rsidR="003629D7" w:rsidRDefault="003629D7" w:rsidP="003629D7">
      <w:pPr>
        <w:pStyle w:val="Title"/>
        <w:ind w:right="-360" w:hanging="360"/>
        <w:rPr>
          <w:rFonts w:ascii="Times New Roman" w:hAnsi="Times New Roman"/>
          <w:b w:val="0"/>
        </w:rPr>
      </w:pPr>
    </w:p>
    <w:p w:rsidR="003629D7" w:rsidRPr="00D276C3" w:rsidRDefault="003629D7" w:rsidP="003629D7">
      <w:pPr>
        <w:pStyle w:val="Title"/>
        <w:ind w:right="-360" w:hanging="360"/>
        <w:rPr>
          <w:rFonts w:ascii="Times New Roman" w:hAnsi="Times New Roman"/>
          <w:b w:val="0"/>
        </w:rPr>
      </w:pPr>
      <w:r w:rsidRPr="00D276C3">
        <w:rPr>
          <w:rFonts w:ascii="Times New Roman" w:hAnsi="Times New Roman"/>
          <w:b w:val="0"/>
        </w:rPr>
        <w:t>BEFORE THE WASHINGTON STATE</w:t>
      </w:r>
      <w:r>
        <w:rPr>
          <w:rFonts w:ascii="Times New Roman" w:hAnsi="Times New Roman"/>
          <w:b w:val="0"/>
        </w:rPr>
        <w:t xml:space="preserve"> </w:t>
      </w:r>
      <w:r w:rsidRPr="00D276C3">
        <w:rPr>
          <w:rFonts w:ascii="Times New Roman" w:hAnsi="Times New Roman"/>
          <w:b w:val="0"/>
        </w:rPr>
        <w:t>UTILITIES AND TRANSPORTATION COMMISSION</w:t>
      </w:r>
    </w:p>
    <w:p w:rsidR="003629D7" w:rsidRPr="004A2910" w:rsidRDefault="003629D7" w:rsidP="003629D7">
      <w:pPr>
        <w:spacing w:after="0" w:line="240" w:lineRule="auto"/>
        <w:jc w:val="both"/>
      </w:pPr>
    </w:p>
    <w:tbl>
      <w:tblPr>
        <w:tblW w:w="0" w:type="auto"/>
        <w:tblInd w:w="124" w:type="dxa"/>
        <w:tblLayout w:type="fixed"/>
        <w:tblCellMar>
          <w:left w:w="124" w:type="dxa"/>
          <w:right w:w="124" w:type="dxa"/>
        </w:tblCellMar>
        <w:tblLook w:val="0000"/>
      </w:tblPr>
      <w:tblGrid>
        <w:gridCol w:w="4590"/>
        <w:gridCol w:w="4590"/>
      </w:tblGrid>
      <w:tr w:rsidR="003629D7" w:rsidRPr="004A2910" w:rsidTr="00722346">
        <w:tc>
          <w:tcPr>
            <w:tcW w:w="4590" w:type="dxa"/>
            <w:tcBorders>
              <w:top w:val="single" w:sz="6" w:space="0" w:color="FFFFFF"/>
              <w:left w:val="single" w:sz="6" w:space="0" w:color="FFFFFF"/>
              <w:bottom w:val="single" w:sz="7" w:space="0" w:color="000000"/>
              <w:right w:val="single" w:sz="6" w:space="0" w:color="FFFFFF"/>
            </w:tcBorders>
          </w:tcPr>
          <w:p w:rsidR="004E2229" w:rsidRDefault="004E2229" w:rsidP="00722346">
            <w:pPr>
              <w:tabs>
                <w:tab w:val="left" w:pos="2160"/>
              </w:tabs>
              <w:spacing w:after="0" w:line="240" w:lineRule="auto"/>
              <w:rPr>
                <w:bCs/>
                <w:sz w:val="25"/>
                <w:szCs w:val="25"/>
              </w:rPr>
            </w:pPr>
          </w:p>
          <w:p w:rsidR="003629D7" w:rsidRDefault="003629D7" w:rsidP="00722346">
            <w:pPr>
              <w:tabs>
                <w:tab w:val="left" w:pos="2160"/>
              </w:tabs>
              <w:spacing w:after="0" w:line="240" w:lineRule="auto"/>
              <w:rPr>
                <w:bCs/>
                <w:sz w:val="25"/>
                <w:szCs w:val="25"/>
              </w:rPr>
            </w:pPr>
            <w:r>
              <w:rPr>
                <w:bCs/>
                <w:sz w:val="25"/>
                <w:szCs w:val="25"/>
              </w:rPr>
              <w:t>KENNETH L. BINKLEY,</w:t>
            </w:r>
          </w:p>
          <w:p w:rsidR="003629D7" w:rsidRDefault="003629D7" w:rsidP="00722346">
            <w:pPr>
              <w:tabs>
                <w:tab w:val="left" w:pos="2160"/>
              </w:tabs>
              <w:spacing w:after="0" w:line="240" w:lineRule="auto"/>
              <w:rPr>
                <w:bCs/>
                <w:sz w:val="25"/>
                <w:szCs w:val="25"/>
              </w:rPr>
            </w:pPr>
          </w:p>
          <w:p w:rsidR="003629D7" w:rsidRDefault="003629D7" w:rsidP="00722346">
            <w:pPr>
              <w:tabs>
                <w:tab w:val="left" w:pos="2160"/>
              </w:tabs>
              <w:spacing w:after="0" w:line="240" w:lineRule="auto"/>
              <w:rPr>
                <w:bCs/>
                <w:sz w:val="25"/>
                <w:szCs w:val="25"/>
              </w:rPr>
            </w:pPr>
            <w:r>
              <w:rPr>
                <w:bCs/>
                <w:sz w:val="25"/>
                <w:szCs w:val="25"/>
              </w:rPr>
              <w:tab/>
              <w:t>Complainant,</w:t>
            </w:r>
          </w:p>
          <w:p w:rsidR="003629D7" w:rsidRDefault="003629D7" w:rsidP="00722346">
            <w:pPr>
              <w:tabs>
                <w:tab w:val="left" w:pos="2160"/>
              </w:tabs>
              <w:spacing w:after="0" w:line="240" w:lineRule="auto"/>
              <w:rPr>
                <w:sz w:val="25"/>
                <w:szCs w:val="25"/>
              </w:rPr>
            </w:pPr>
          </w:p>
          <w:p w:rsidR="003629D7" w:rsidRDefault="003629D7" w:rsidP="00722346">
            <w:pPr>
              <w:tabs>
                <w:tab w:val="left" w:pos="2160"/>
              </w:tabs>
              <w:spacing w:after="0" w:line="240" w:lineRule="auto"/>
              <w:rPr>
                <w:sz w:val="25"/>
                <w:szCs w:val="25"/>
              </w:rPr>
            </w:pPr>
            <w:r>
              <w:rPr>
                <w:sz w:val="25"/>
                <w:szCs w:val="25"/>
              </w:rPr>
              <w:t>v.</w:t>
            </w:r>
          </w:p>
          <w:p w:rsidR="003629D7" w:rsidRDefault="003629D7" w:rsidP="00722346">
            <w:pPr>
              <w:tabs>
                <w:tab w:val="left" w:pos="2160"/>
              </w:tabs>
              <w:spacing w:after="0" w:line="240" w:lineRule="auto"/>
              <w:rPr>
                <w:sz w:val="25"/>
                <w:szCs w:val="25"/>
              </w:rPr>
            </w:pPr>
          </w:p>
          <w:p w:rsidR="003629D7" w:rsidRDefault="003629D7" w:rsidP="00722346">
            <w:pPr>
              <w:tabs>
                <w:tab w:val="left" w:pos="2160"/>
              </w:tabs>
              <w:spacing w:after="0" w:line="240" w:lineRule="auto"/>
              <w:rPr>
                <w:sz w:val="25"/>
                <w:szCs w:val="25"/>
              </w:rPr>
            </w:pPr>
            <w:r>
              <w:rPr>
                <w:sz w:val="25"/>
                <w:szCs w:val="25"/>
              </w:rPr>
              <w:t xml:space="preserve">SALMON SHORES RV PARK </w:t>
            </w:r>
            <w:r w:rsidR="00E849A9">
              <w:rPr>
                <w:sz w:val="25"/>
                <w:szCs w:val="25"/>
              </w:rPr>
              <w:t>and</w:t>
            </w:r>
            <w:r>
              <w:rPr>
                <w:sz w:val="25"/>
                <w:szCs w:val="25"/>
              </w:rPr>
              <w:t xml:space="preserve"> PUGET SOUND ENERGY, INC.,</w:t>
            </w:r>
          </w:p>
          <w:p w:rsidR="003629D7" w:rsidRDefault="003629D7" w:rsidP="00722346">
            <w:pPr>
              <w:tabs>
                <w:tab w:val="left" w:pos="2160"/>
              </w:tabs>
              <w:spacing w:after="0" w:line="240" w:lineRule="auto"/>
              <w:rPr>
                <w:sz w:val="25"/>
                <w:szCs w:val="25"/>
              </w:rPr>
            </w:pPr>
          </w:p>
          <w:p w:rsidR="003629D7" w:rsidRPr="00D276C3" w:rsidRDefault="003629D7" w:rsidP="00722346">
            <w:pPr>
              <w:tabs>
                <w:tab w:val="left" w:pos="2160"/>
              </w:tabs>
              <w:spacing w:after="0" w:line="240" w:lineRule="auto"/>
              <w:rPr>
                <w:sz w:val="25"/>
                <w:szCs w:val="25"/>
              </w:rPr>
            </w:pPr>
            <w:r>
              <w:rPr>
                <w:sz w:val="25"/>
                <w:szCs w:val="25"/>
              </w:rPr>
              <w:tab/>
              <w:t>Respondents</w:t>
            </w:r>
            <w:r w:rsidRPr="00595D41">
              <w:t>.</w:t>
            </w:r>
          </w:p>
        </w:tc>
        <w:tc>
          <w:tcPr>
            <w:tcW w:w="4590" w:type="dxa"/>
            <w:tcBorders>
              <w:top w:val="single" w:sz="6" w:space="0" w:color="FFFFFF"/>
              <w:left w:val="single" w:sz="7" w:space="0" w:color="000000"/>
              <w:bottom w:val="single" w:sz="6" w:space="0" w:color="FFFFFF"/>
              <w:right w:val="single" w:sz="6" w:space="0" w:color="FFFFFF"/>
            </w:tcBorders>
          </w:tcPr>
          <w:p w:rsidR="004E2229" w:rsidRDefault="004E2229" w:rsidP="003629D7">
            <w:pPr>
              <w:spacing w:after="0" w:line="240" w:lineRule="auto"/>
              <w:ind w:left="416"/>
            </w:pPr>
          </w:p>
          <w:p w:rsidR="003629D7" w:rsidRPr="004A2910" w:rsidRDefault="003629D7" w:rsidP="003629D7">
            <w:pPr>
              <w:spacing w:after="0" w:line="240" w:lineRule="auto"/>
              <w:ind w:left="416"/>
            </w:pPr>
            <w:r>
              <w:t>DOCKET UE-091531</w:t>
            </w:r>
          </w:p>
          <w:p w:rsidR="003629D7" w:rsidRPr="004A2910" w:rsidRDefault="003629D7" w:rsidP="003629D7">
            <w:pPr>
              <w:spacing w:after="0" w:line="240" w:lineRule="auto"/>
              <w:ind w:left="416"/>
            </w:pPr>
          </w:p>
          <w:p w:rsidR="00CF6722" w:rsidRDefault="00CF6722" w:rsidP="003629D7">
            <w:pPr>
              <w:ind w:left="416"/>
            </w:pPr>
          </w:p>
          <w:p w:rsidR="003629D7" w:rsidRDefault="003629D7" w:rsidP="003629D7">
            <w:pPr>
              <w:ind w:left="416"/>
            </w:pPr>
            <w:r>
              <w:t xml:space="preserve">MOTION </w:t>
            </w:r>
            <w:r w:rsidR="00CF6722">
              <w:t xml:space="preserve">ON BEHALF OF COMMISSION STAFF </w:t>
            </w:r>
            <w:r w:rsidR="00B20764">
              <w:t>TO</w:t>
            </w:r>
            <w:r>
              <w:t xml:space="preserve"> </w:t>
            </w:r>
            <w:r w:rsidR="00613495">
              <w:t xml:space="preserve">DISMISS COMPLAINT AS TO </w:t>
            </w:r>
            <w:r>
              <w:t xml:space="preserve">SALMON SHORES RV PARK </w:t>
            </w:r>
          </w:p>
          <w:p w:rsidR="003629D7" w:rsidRPr="004A2910" w:rsidRDefault="003629D7" w:rsidP="00722346">
            <w:pPr>
              <w:spacing w:after="0" w:line="240" w:lineRule="auto"/>
              <w:ind w:left="720"/>
            </w:pPr>
          </w:p>
        </w:tc>
      </w:tr>
    </w:tbl>
    <w:p w:rsidR="0026228B" w:rsidRDefault="0026228B" w:rsidP="00836134">
      <w:pPr>
        <w:spacing w:after="0" w:line="480" w:lineRule="auto"/>
      </w:pPr>
    </w:p>
    <w:p w:rsidR="00285853" w:rsidRDefault="00836134" w:rsidP="00836134">
      <w:pPr>
        <w:pStyle w:val="ListParagraph"/>
        <w:numPr>
          <w:ilvl w:val="0"/>
          <w:numId w:val="14"/>
        </w:numPr>
        <w:spacing w:after="0" w:line="480" w:lineRule="auto"/>
      </w:pPr>
      <w:r>
        <w:tab/>
      </w:r>
      <w:r w:rsidR="00EE5F1A">
        <w:t xml:space="preserve">The </w:t>
      </w:r>
      <w:r w:rsidR="00285853">
        <w:t>Washington Utilities and Transportation Commission</w:t>
      </w:r>
      <w:r w:rsidR="00CF6722">
        <w:t xml:space="preserve"> (Commission) </w:t>
      </w:r>
      <w:r w:rsidR="004F2565">
        <w:t xml:space="preserve">Staff </w:t>
      </w:r>
      <w:r w:rsidR="00285853">
        <w:t>moves for a</w:t>
      </w:r>
      <w:r w:rsidR="004F2565">
        <w:t xml:space="preserve"> Commission </w:t>
      </w:r>
      <w:r w:rsidR="00285853">
        <w:t xml:space="preserve">order </w:t>
      </w:r>
      <w:r w:rsidR="000D00FF">
        <w:t xml:space="preserve">dismissing the </w:t>
      </w:r>
      <w:r w:rsidR="003C0C11">
        <w:t xml:space="preserve">Consumer </w:t>
      </w:r>
      <w:r w:rsidR="000D00FF">
        <w:t>Complaint</w:t>
      </w:r>
      <w:r w:rsidR="00A64B73">
        <w:t xml:space="preserve"> (Complaint)</w:t>
      </w:r>
      <w:r w:rsidR="00E849A9">
        <w:rPr>
          <w:rStyle w:val="FootnoteReference"/>
        </w:rPr>
        <w:footnoteReference w:id="1"/>
      </w:r>
      <w:r w:rsidR="000D00FF">
        <w:t xml:space="preserve"> as to </w:t>
      </w:r>
      <w:r w:rsidR="00285853">
        <w:t xml:space="preserve">Salmon Shores RV Park </w:t>
      </w:r>
      <w:r w:rsidR="00613495">
        <w:t>(Salmon Shores)</w:t>
      </w:r>
      <w:r w:rsidR="00E849A9">
        <w:t>.  L</w:t>
      </w:r>
      <w:r w:rsidR="00CF6722">
        <w:t xml:space="preserve">iberally construed, </w:t>
      </w:r>
      <w:r w:rsidR="000D00FF">
        <w:t xml:space="preserve">the Complaint </w:t>
      </w:r>
      <w:r w:rsidR="00A64B73">
        <w:t>contains no</w:t>
      </w:r>
      <w:r w:rsidR="000D00FF">
        <w:t xml:space="preserve"> material facts to support a </w:t>
      </w:r>
      <w:r w:rsidR="00A2086D">
        <w:t>claim</w:t>
      </w:r>
      <w:r w:rsidR="000D00FF">
        <w:t xml:space="preserve"> that Salmon Shores is an electrical company subject to Commission regulation</w:t>
      </w:r>
      <w:r w:rsidR="00D667BC">
        <w:t xml:space="preserve">.  </w:t>
      </w:r>
      <w:r w:rsidR="00B855D9">
        <w:t xml:space="preserve">Moreover, to the extent </w:t>
      </w:r>
      <w:r w:rsidR="00C6460D">
        <w:t>Salmon Shores</w:t>
      </w:r>
      <w:r w:rsidR="00D667BC">
        <w:t xml:space="preserve"> has the status of</w:t>
      </w:r>
      <w:r w:rsidR="006B1B17">
        <w:t xml:space="preserve"> </w:t>
      </w:r>
      <w:r w:rsidR="00C6460D">
        <w:t>a customer of PSE</w:t>
      </w:r>
      <w:r w:rsidR="00B855D9">
        <w:t>, the</w:t>
      </w:r>
      <w:r w:rsidR="00285853">
        <w:t xml:space="preserve"> Commission does not have jurisdiction over customer</w:t>
      </w:r>
      <w:r w:rsidR="006B1B17">
        <w:t>s</w:t>
      </w:r>
      <w:r w:rsidR="00285853">
        <w:t xml:space="preserve"> of a public service company</w:t>
      </w:r>
      <w:r w:rsidR="004F2565">
        <w:t xml:space="preserve"> such as PSE</w:t>
      </w:r>
      <w:r w:rsidR="00C46D95">
        <w:t>.</w:t>
      </w:r>
      <w:r w:rsidR="00B855D9">
        <w:t xml:space="preserve">  Therefore, the Commission should dismiss the Complaint as to Salmon Shores.</w:t>
      </w:r>
    </w:p>
    <w:p w:rsidR="0029334C" w:rsidRDefault="005959AF" w:rsidP="00836134">
      <w:pPr>
        <w:spacing w:after="0" w:line="480" w:lineRule="auto"/>
        <w:jc w:val="center"/>
        <w:rPr>
          <w:b/>
        </w:rPr>
      </w:pPr>
      <w:r>
        <w:rPr>
          <w:b/>
        </w:rPr>
        <w:t>I</w:t>
      </w:r>
      <w:r w:rsidR="003629D7">
        <w:rPr>
          <w:b/>
        </w:rPr>
        <w:t>.</w:t>
      </w:r>
      <w:r w:rsidR="003629D7">
        <w:rPr>
          <w:b/>
        </w:rPr>
        <w:tab/>
      </w:r>
      <w:r w:rsidR="000D00FF">
        <w:rPr>
          <w:b/>
        </w:rPr>
        <w:t>NATURE OF THE COMPLAINT</w:t>
      </w:r>
    </w:p>
    <w:p w:rsidR="00ED215A" w:rsidRDefault="00836134" w:rsidP="00B84FC8">
      <w:pPr>
        <w:pStyle w:val="ListParagraph"/>
        <w:numPr>
          <w:ilvl w:val="0"/>
          <w:numId w:val="14"/>
        </w:numPr>
        <w:spacing w:after="0" w:line="480" w:lineRule="auto"/>
      </w:pPr>
      <w:r>
        <w:tab/>
      </w:r>
      <w:r w:rsidR="00A64B73">
        <w:t xml:space="preserve">Respondent </w:t>
      </w:r>
      <w:r w:rsidR="00BE295D">
        <w:t xml:space="preserve">Salmon Shores is </w:t>
      </w:r>
      <w:r w:rsidR="006B1B17">
        <w:t>a</w:t>
      </w:r>
      <w:r w:rsidR="00BE295D">
        <w:t xml:space="preserve"> landlord</w:t>
      </w:r>
      <w:r w:rsidR="00397C2D">
        <w:t xml:space="preserve">; </w:t>
      </w:r>
      <w:r w:rsidR="008617AF">
        <w:t xml:space="preserve">Complainant </w:t>
      </w:r>
      <w:r w:rsidR="00BE295D">
        <w:t xml:space="preserve">Mr. Kenneth Binkley is </w:t>
      </w:r>
      <w:r w:rsidR="00B855D9">
        <w:t xml:space="preserve">one of </w:t>
      </w:r>
      <w:r w:rsidR="007769E0">
        <w:t>Salmon Shores</w:t>
      </w:r>
      <w:r w:rsidR="00B855D9">
        <w:t>’ tenants</w:t>
      </w:r>
      <w:r w:rsidR="00C46D95">
        <w:t>.</w:t>
      </w:r>
      <w:r w:rsidR="00397C2D">
        <w:rPr>
          <w:rStyle w:val="FootnoteReference"/>
        </w:rPr>
        <w:footnoteReference w:id="2"/>
      </w:r>
      <w:r w:rsidR="00C46D95">
        <w:t xml:space="preserve">  </w:t>
      </w:r>
      <w:r w:rsidR="00D91E1E">
        <w:t>T</w:t>
      </w:r>
      <w:r w:rsidR="0029334C">
        <w:t xml:space="preserve">he </w:t>
      </w:r>
      <w:r w:rsidR="00C15493">
        <w:t xml:space="preserve">Complaint </w:t>
      </w:r>
      <w:r w:rsidR="004F2565">
        <w:t>claims</w:t>
      </w:r>
      <w:r w:rsidR="0029334C">
        <w:t xml:space="preserve"> Salmon Shores is “overcharging for </w:t>
      </w:r>
      <w:r w:rsidR="0029334C">
        <w:lastRenderedPageBreak/>
        <w:t>electrical usage</w:t>
      </w:r>
      <w:r w:rsidR="00FE3EFE">
        <w:t>.</w:t>
      </w:r>
      <w:r w:rsidR="00B164E8">
        <w:t>”</w:t>
      </w:r>
      <w:r w:rsidR="0052584B">
        <w:rPr>
          <w:rStyle w:val="FootnoteReference"/>
        </w:rPr>
        <w:footnoteReference w:id="3"/>
      </w:r>
      <w:r w:rsidR="00FE3EFE">
        <w:t xml:space="preserve">  </w:t>
      </w:r>
      <w:r w:rsidR="00386B81">
        <w:t xml:space="preserve">Although the Complaint </w:t>
      </w:r>
      <w:r w:rsidR="00397C2D">
        <w:t xml:space="preserve">identifies </w:t>
      </w:r>
      <w:r w:rsidR="00386B81">
        <w:t>Salmon Shores</w:t>
      </w:r>
      <w:r w:rsidR="00397C2D">
        <w:t xml:space="preserve">’ status as </w:t>
      </w:r>
      <w:r w:rsidR="00386B81">
        <w:t>a “customer of Puget Sound Energy,”</w:t>
      </w:r>
      <w:r w:rsidR="00386B81">
        <w:rPr>
          <w:rStyle w:val="FootnoteReference"/>
        </w:rPr>
        <w:footnoteReference w:id="4"/>
      </w:r>
      <w:r w:rsidR="00386B81">
        <w:t xml:space="preserve"> </w:t>
      </w:r>
      <w:r w:rsidR="00613495">
        <w:t xml:space="preserve">Mr. Binkley </w:t>
      </w:r>
      <w:r w:rsidR="00386B81">
        <w:t xml:space="preserve">later </w:t>
      </w:r>
      <w:r w:rsidR="00EE5F1A">
        <w:t xml:space="preserve">contended </w:t>
      </w:r>
      <w:r w:rsidR="00386B81">
        <w:t xml:space="preserve">that </w:t>
      </w:r>
      <w:r w:rsidR="00613495">
        <w:t>“Salmon Shores RV Park is our power company</w:t>
      </w:r>
      <w:r w:rsidR="00386B81">
        <w:t>,</w:t>
      </w:r>
      <w:r w:rsidR="00613495">
        <w:t>”</w:t>
      </w:r>
      <w:r w:rsidR="00613495">
        <w:rPr>
          <w:rStyle w:val="FootnoteReference"/>
        </w:rPr>
        <w:footnoteReference w:id="5"/>
      </w:r>
      <w:r w:rsidR="00386B81">
        <w:t xml:space="preserve"> and he</w:t>
      </w:r>
      <w:r w:rsidR="006B1B17">
        <w:t xml:space="preserve"> wants the </w:t>
      </w:r>
      <w:r w:rsidR="00B84FC8">
        <w:t xml:space="preserve">Commission to institute a proceeding </w:t>
      </w:r>
      <w:r w:rsidR="000D00FF">
        <w:t xml:space="preserve">to classify </w:t>
      </w:r>
      <w:r w:rsidR="00B84FC8">
        <w:t xml:space="preserve">Salmon Shores </w:t>
      </w:r>
      <w:r w:rsidR="000D00FF">
        <w:t>as a Commission-regulated electric</w:t>
      </w:r>
      <w:r w:rsidR="00386B81">
        <w:t>al company</w:t>
      </w:r>
      <w:r w:rsidR="00B84FC8">
        <w:t>.</w:t>
      </w:r>
      <w:r w:rsidR="00B84FC8">
        <w:rPr>
          <w:rStyle w:val="FootnoteReference"/>
        </w:rPr>
        <w:footnoteReference w:id="6"/>
      </w:r>
      <w:r w:rsidR="00B84FC8">
        <w:t xml:space="preserve"> </w:t>
      </w:r>
      <w:r w:rsidR="00F04319">
        <w:t xml:space="preserve"> </w:t>
      </w:r>
    </w:p>
    <w:p w:rsidR="002A3D74" w:rsidRPr="002A3D74" w:rsidRDefault="005959AF" w:rsidP="002A3D74">
      <w:pPr>
        <w:pStyle w:val="ListParagraph"/>
        <w:spacing w:after="0" w:line="480" w:lineRule="auto"/>
        <w:ind w:left="0"/>
        <w:jc w:val="center"/>
        <w:rPr>
          <w:b/>
        </w:rPr>
      </w:pPr>
      <w:r>
        <w:rPr>
          <w:b/>
        </w:rPr>
        <w:t>II</w:t>
      </w:r>
      <w:r w:rsidR="002A3D74" w:rsidRPr="002A3D74">
        <w:rPr>
          <w:b/>
        </w:rPr>
        <w:t>.</w:t>
      </w:r>
      <w:r w:rsidR="002A3D74" w:rsidRPr="002A3D74">
        <w:rPr>
          <w:b/>
        </w:rPr>
        <w:tab/>
        <w:t>DISCUSSION</w:t>
      </w:r>
    </w:p>
    <w:p w:rsidR="002A3D74" w:rsidRDefault="002A3D74" w:rsidP="002A3D74">
      <w:pPr>
        <w:pStyle w:val="ListParagraph"/>
        <w:spacing w:after="0" w:line="240" w:lineRule="auto"/>
        <w:ind w:hanging="720"/>
        <w:rPr>
          <w:b/>
        </w:rPr>
      </w:pPr>
      <w:r w:rsidRPr="002A3D74">
        <w:rPr>
          <w:b/>
        </w:rPr>
        <w:t>A.</w:t>
      </w:r>
      <w:r w:rsidRPr="002A3D74">
        <w:rPr>
          <w:b/>
        </w:rPr>
        <w:tab/>
        <w:t>T</w:t>
      </w:r>
      <w:r w:rsidR="00FE3EFE" w:rsidRPr="002A3D74">
        <w:rPr>
          <w:b/>
        </w:rPr>
        <w:t xml:space="preserve">he Complaint </w:t>
      </w:r>
      <w:r w:rsidR="00FE3EFE">
        <w:rPr>
          <w:b/>
        </w:rPr>
        <w:t>Lacks</w:t>
      </w:r>
      <w:r w:rsidR="00FE3EFE" w:rsidRPr="002A3D74">
        <w:rPr>
          <w:b/>
        </w:rPr>
        <w:t xml:space="preserve"> Material Facts Sufficient to Support th</w:t>
      </w:r>
      <w:r w:rsidR="00FE3EFE">
        <w:rPr>
          <w:b/>
        </w:rPr>
        <w:t>e</w:t>
      </w:r>
      <w:r w:rsidR="00FE3EFE" w:rsidRPr="002A3D74">
        <w:rPr>
          <w:b/>
        </w:rPr>
        <w:t xml:space="preserve"> Claim </w:t>
      </w:r>
      <w:r w:rsidRPr="002A3D74">
        <w:rPr>
          <w:b/>
        </w:rPr>
        <w:t>That Salmon Shores is a</w:t>
      </w:r>
      <w:r w:rsidR="00B855D9">
        <w:rPr>
          <w:b/>
        </w:rPr>
        <w:t xml:space="preserve"> Commission-Regulated </w:t>
      </w:r>
      <w:r w:rsidRPr="002A3D74">
        <w:rPr>
          <w:b/>
        </w:rPr>
        <w:t xml:space="preserve">Electrical Company </w:t>
      </w:r>
    </w:p>
    <w:p w:rsidR="002A3D74" w:rsidRPr="002A3D74" w:rsidRDefault="002A3D74" w:rsidP="002A3D74">
      <w:pPr>
        <w:pStyle w:val="ListParagraph"/>
        <w:spacing w:after="0" w:line="240" w:lineRule="auto"/>
        <w:ind w:hanging="720"/>
        <w:rPr>
          <w:b/>
        </w:rPr>
      </w:pPr>
    </w:p>
    <w:p w:rsidR="007956BB" w:rsidRDefault="002A3D74" w:rsidP="002A3D74">
      <w:pPr>
        <w:pStyle w:val="ListParagraph"/>
        <w:numPr>
          <w:ilvl w:val="0"/>
          <w:numId w:val="14"/>
        </w:numPr>
        <w:spacing w:after="0" w:line="480" w:lineRule="auto"/>
      </w:pPr>
      <w:r>
        <w:tab/>
      </w:r>
      <w:r w:rsidR="007956BB">
        <w:t>The Commission liberally construes pleadings “with a view to effect justice among the parties.”</w:t>
      </w:r>
      <w:r w:rsidR="007956BB">
        <w:rPr>
          <w:rStyle w:val="FootnoteReference"/>
        </w:rPr>
        <w:footnoteReference w:id="7"/>
      </w:r>
      <w:r w:rsidR="007956BB">
        <w:t xml:space="preserve">  </w:t>
      </w:r>
      <w:r w:rsidR="007769E0">
        <w:t xml:space="preserve">A complaint is sufficient if it “states facts entitling the plaintiff to some relief …”.  </w:t>
      </w:r>
      <w:r w:rsidR="007769E0" w:rsidRPr="007956BB">
        <w:rPr>
          <w:i/>
        </w:rPr>
        <w:t xml:space="preserve">State v. Adams, </w:t>
      </w:r>
      <w:r w:rsidR="007769E0" w:rsidRPr="00ED7E76">
        <w:t>107 Wn.2d 611, 620, 732 P.2d 149 (1987).</w:t>
      </w:r>
      <w:r w:rsidR="007769E0">
        <w:t xml:space="preserve">  Liberally construed, </w:t>
      </w:r>
      <w:r w:rsidR="005A2E07">
        <w:t xml:space="preserve">the Complaint contains </w:t>
      </w:r>
      <w:r w:rsidR="008617AF">
        <w:t xml:space="preserve">no </w:t>
      </w:r>
      <w:r w:rsidR="00FE3EFE">
        <w:t xml:space="preserve">material </w:t>
      </w:r>
      <w:r w:rsidR="005A2E07">
        <w:t xml:space="preserve">facts </w:t>
      </w:r>
      <w:r w:rsidR="008617AF">
        <w:t xml:space="preserve">entitling Mr. Binkley </w:t>
      </w:r>
      <w:r w:rsidR="00FE3EFE">
        <w:t xml:space="preserve">to </w:t>
      </w:r>
      <w:r w:rsidR="008617AF">
        <w:t xml:space="preserve">relief </w:t>
      </w:r>
      <w:r w:rsidR="004E2229">
        <w:t xml:space="preserve">based on </w:t>
      </w:r>
      <w:r w:rsidR="007769E0">
        <w:t>Salmon Shores being a Commission-regulated electric</w:t>
      </w:r>
      <w:r w:rsidR="004F2565">
        <w:t>al company</w:t>
      </w:r>
      <w:r w:rsidR="005A2E07">
        <w:t>.</w:t>
      </w:r>
      <w:r w:rsidR="00CF6722">
        <w:t xml:space="preserve">  </w:t>
      </w:r>
    </w:p>
    <w:p w:rsidR="00ED7E76" w:rsidRDefault="007956BB" w:rsidP="002A3D74">
      <w:pPr>
        <w:pStyle w:val="ListParagraph"/>
        <w:numPr>
          <w:ilvl w:val="0"/>
          <w:numId w:val="14"/>
        </w:numPr>
        <w:spacing w:after="0" w:line="480" w:lineRule="auto"/>
      </w:pPr>
      <w:r>
        <w:tab/>
      </w:r>
      <w:r w:rsidR="00BD6E15">
        <w:t>I</w:t>
      </w:r>
      <w:r w:rsidR="00ED7E76">
        <w:t>t is well settled that electrical compan</w:t>
      </w:r>
      <w:r w:rsidR="008617AF">
        <w:t>ies</w:t>
      </w:r>
      <w:r w:rsidR="00ED7E76">
        <w:t xml:space="preserve"> subject to Commission regulation </w:t>
      </w:r>
      <w:r w:rsidR="008617AF">
        <w:t>are those who</w:t>
      </w:r>
      <w:r w:rsidR="00ED7E76">
        <w:t xml:space="preserve"> devote</w:t>
      </w:r>
      <w:r w:rsidR="008617AF">
        <w:t xml:space="preserve"> their</w:t>
      </w:r>
      <w:r w:rsidR="00ED7E76">
        <w:t xml:space="preserve"> property to public use:</w:t>
      </w:r>
    </w:p>
    <w:p w:rsidR="00ED7E76" w:rsidRDefault="00ED7E76" w:rsidP="00ED7E76">
      <w:pPr>
        <w:spacing w:after="0"/>
        <w:ind w:left="720"/>
      </w:pPr>
      <w:r w:rsidRPr="00ED7E76">
        <w:t xml:space="preserve">A corporation becomes a public service corporation, subject to regulation by the department of public service, only when, and to the extent that, its business is dedicated or devoted to a public use. </w:t>
      </w:r>
      <w:r>
        <w:t xml:space="preserve"> </w:t>
      </w:r>
      <w:r w:rsidRPr="00ED7E76">
        <w:t>The test to be applied is whether or not the corporation holds itself out, expressly or impliedly, to supply its service or product for use either by the public as a class or by that portion of it that can be served by the utility, or whether, on the contrary, it merely offers to serve only particular individuals of its own selection.</w:t>
      </w:r>
    </w:p>
    <w:p w:rsidR="00B84FC8" w:rsidRDefault="00CF0AD7" w:rsidP="00ED7E76">
      <w:pPr>
        <w:spacing w:after="0"/>
        <w:ind w:left="720"/>
      </w:pPr>
      <w:r w:rsidRPr="00ED7E76">
        <w:t xml:space="preserve"> </w:t>
      </w:r>
    </w:p>
    <w:p w:rsidR="00C6460D" w:rsidRDefault="006E7E3D" w:rsidP="00E41898">
      <w:pPr>
        <w:spacing w:after="0" w:line="480" w:lineRule="auto"/>
      </w:pPr>
      <w:r>
        <w:rPr>
          <w:i/>
        </w:rPr>
        <w:t>Inland Empire Rural Electrification, Inc. v. Dep’t of Pub. Service</w:t>
      </w:r>
      <w:r>
        <w:t>, 199 Wash. 527, 53</w:t>
      </w:r>
      <w:r w:rsidR="00186315">
        <w:t>7,</w:t>
      </w:r>
      <w:r>
        <w:t xml:space="preserve"> 92</w:t>
      </w:r>
      <w:r w:rsidR="00F04319">
        <w:t> </w:t>
      </w:r>
      <w:r>
        <w:t>P.2d 258 (1939)</w:t>
      </w:r>
      <w:r w:rsidR="00186315">
        <w:t xml:space="preserve"> (citations omitted)</w:t>
      </w:r>
      <w:r w:rsidR="00E41898">
        <w:t xml:space="preserve">.  In </w:t>
      </w:r>
      <w:r w:rsidR="007769E0">
        <w:t xml:space="preserve">that case, </w:t>
      </w:r>
      <w:r w:rsidR="00E41898">
        <w:t xml:space="preserve">the court ruled a customer-owned </w:t>
      </w:r>
      <w:r w:rsidR="00E41898">
        <w:lastRenderedPageBreak/>
        <w:t xml:space="preserve">electrical cooperative was not subject to </w:t>
      </w:r>
      <w:r w:rsidR="003101EA">
        <w:t>C</w:t>
      </w:r>
      <w:r w:rsidR="00E41898">
        <w:t>ommission regulation because the owners served only themselves, and therefore</w:t>
      </w:r>
      <w:r w:rsidR="004F2565">
        <w:t>, they</w:t>
      </w:r>
      <w:r w:rsidR="00E41898">
        <w:t xml:space="preserve"> had not devoted their property to public use.  </w:t>
      </w:r>
    </w:p>
    <w:p w:rsidR="006E7E3D" w:rsidRDefault="002A3D74" w:rsidP="002A3D74">
      <w:pPr>
        <w:pStyle w:val="ListParagraph"/>
        <w:numPr>
          <w:ilvl w:val="0"/>
          <w:numId w:val="14"/>
        </w:numPr>
        <w:spacing w:after="0" w:line="480" w:lineRule="auto"/>
      </w:pPr>
      <w:r>
        <w:tab/>
      </w:r>
      <w:r w:rsidR="006E7E3D">
        <w:t xml:space="preserve">Similarly, in </w:t>
      </w:r>
      <w:r w:rsidR="006E7E3D" w:rsidRPr="002A3D74">
        <w:rPr>
          <w:i/>
        </w:rPr>
        <w:t xml:space="preserve">West Valley Land </w:t>
      </w:r>
      <w:r w:rsidR="00E41898">
        <w:rPr>
          <w:i/>
        </w:rPr>
        <w:t xml:space="preserve">Co., Inc. </w:t>
      </w:r>
      <w:r w:rsidR="006E7E3D" w:rsidRPr="002A3D74">
        <w:rPr>
          <w:i/>
        </w:rPr>
        <w:t xml:space="preserve">v. Nob Hill Water Co., </w:t>
      </w:r>
      <w:r w:rsidR="006E7E3D">
        <w:t xml:space="preserve">107 Wn.2d 359, 365, 729 P.2d 42 (1986), the court ruled </w:t>
      </w:r>
      <w:r w:rsidR="00A64B73">
        <w:t xml:space="preserve">a non </w:t>
      </w:r>
      <w:r w:rsidR="00030D34">
        <w:t xml:space="preserve">-profit water company </w:t>
      </w:r>
      <w:r w:rsidR="00397C2D">
        <w:t xml:space="preserve">was not subject to </w:t>
      </w:r>
      <w:r w:rsidR="003101EA">
        <w:t>C</w:t>
      </w:r>
      <w:r w:rsidR="00397C2D">
        <w:t xml:space="preserve">ommission regulation </w:t>
      </w:r>
      <w:r w:rsidR="00030D34">
        <w:t>because th</w:t>
      </w:r>
      <w:r w:rsidR="007769E0">
        <w:t>at</w:t>
      </w:r>
      <w:r w:rsidR="00030D34">
        <w:t xml:space="preserve"> </w:t>
      </w:r>
      <w:r w:rsidR="007769E0">
        <w:t xml:space="preserve">company </w:t>
      </w:r>
      <w:r w:rsidR="006B1B17">
        <w:t>exclusively</w:t>
      </w:r>
      <w:r w:rsidR="00CF6722">
        <w:t xml:space="preserve"> </w:t>
      </w:r>
      <w:r w:rsidR="007769E0">
        <w:t>served</w:t>
      </w:r>
      <w:r w:rsidR="00030D34">
        <w:t xml:space="preserve"> </w:t>
      </w:r>
      <w:r w:rsidR="00186315">
        <w:t>homeowners association</w:t>
      </w:r>
      <w:r w:rsidR="006B1B17">
        <w:t xml:space="preserve"> members</w:t>
      </w:r>
      <w:r w:rsidR="00186315">
        <w:t>:  “Nob Hill has chosen to serve particular individuals of its own selection, and does not serve the public as a class o</w:t>
      </w:r>
      <w:r w:rsidR="003101EA">
        <w:t>r</w:t>
      </w:r>
      <w:r w:rsidR="00186315">
        <w:t xml:space="preserve"> that portion of it that could be served by Nob Hill</w:t>
      </w:r>
      <w:r w:rsidR="006E7E3D">
        <w:t>.</w:t>
      </w:r>
      <w:r w:rsidR="00186315">
        <w:t>”</w:t>
      </w:r>
      <w:r w:rsidR="00186315">
        <w:rPr>
          <w:rStyle w:val="FootnoteReference"/>
        </w:rPr>
        <w:footnoteReference w:id="8"/>
      </w:r>
    </w:p>
    <w:p w:rsidR="003101EA" w:rsidRDefault="002A3D74" w:rsidP="00883C5C">
      <w:pPr>
        <w:pStyle w:val="ListParagraph"/>
        <w:numPr>
          <w:ilvl w:val="0"/>
          <w:numId w:val="14"/>
        </w:numPr>
        <w:spacing w:after="0" w:line="480" w:lineRule="auto"/>
      </w:pPr>
      <w:r>
        <w:tab/>
      </w:r>
      <w:r w:rsidR="00EE5F1A">
        <w:t xml:space="preserve">In </w:t>
      </w:r>
      <w:r w:rsidR="00E734EF" w:rsidRPr="00397C2D">
        <w:rPr>
          <w:i/>
        </w:rPr>
        <w:t>Drexelbrook Associates v. Pennsylvania Public Utility Commission</w:t>
      </w:r>
      <w:r w:rsidR="00E734EF">
        <w:t>, 212 A.2d 237 (</w:t>
      </w:r>
      <w:r w:rsidR="00C46D95">
        <w:t xml:space="preserve">Penn. </w:t>
      </w:r>
      <w:r w:rsidR="00E734EF">
        <w:t>1965)</w:t>
      </w:r>
      <w:r w:rsidR="007769E0">
        <w:t xml:space="preserve">, </w:t>
      </w:r>
      <w:r w:rsidR="003101EA">
        <w:t xml:space="preserve">the </w:t>
      </w:r>
      <w:r w:rsidR="00B855D9">
        <w:t xml:space="preserve">court ruled </w:t>
      </w:r>
      <w:r w:rsidR="003101EA">
        <w:t xml:space="preserve">a landlord would </w:t>
      </w:r>
      <w:r w:rsidR="00B855D9">
        <w:t xml:space="preserve">not </w:t>
      </w:r>
      <w:r w:rsidR="003101EA">
        <w:t xml:space="preserve">become </w:t>
      </w:r>
      <w:r w:rsidR="00B855D9">
        <w:t xml:space="preserve">subject to the Pennsylvania commission’s regulation if </w:t>
      </w:r>
      <w:r w:rsidR="003101EA">
        <w:t xml:space="preserve">it purchased </w:t>
      </w:r>
      <w:r w:rsidR="00B855D9">
        <w:t xml:space="preserve">utility </w:t>
      </w:r>
      <w:r w:rsidR="003101EA">
        <w:t xml:space="preserve">facilities from </w:t>
      </w:r>
      <w:r w:rsidR="00397C2D">
        <w:t>a regulated utility</w:t>
      </w:r>
      <w:r w:rsidR="00B855D9">
        <w:t>, with the intent of</w:t>
      </w:r>
      <w:r w:rsidR="00B855D9" w:rsidRPr="00B855D9">
        <w:t xml:space="preserve"> </w:t>
      </w:r>
      <w:r w:rsidR="00B855D9">
        <w:t xml:space="preserve">becoming a wholesale customer of the utility and </w:t>
      </w:r>
      <w:r w:rsidR="004F2565">
        <w:t xml:space="preserve">then </w:t>
      </w:r>
      <w:r w:rsidR="00B855D9">
        <w:t>reselling utility services to tenants.  The case was initiated when the utility</w:t>
      </w:r>
      <w:r w:rsidR="00397C2D">
        <w:t xml:space="preserve"> filed an application seeking commission approval to sell some of the utility’s water, gas and electric facilities</w:t>
      </w:r>
      <w:r w:rsidR="004F2565">
        <w:t xml:space="preserve"> to the landlord</w:t>
      </w:r>
      <w:r w:rsidR="00397C2D">
        <w:t xml:space="preserve">.  </w:t>
      </w:r>
      <w:r w:rsidR="00B855D9">
        <w:t xml:space="preserve">Pennsylvania law required a person to seek commission authorization before becoming a regulated utility, and the landlord failed to do so.  </w:t>
      </w:r>
      <w:r w:rsidR="002836AE">
        <w:t>The</w:t>
      </w:r>
      <w:r w:rsidR="004F2565">
        <w:t>refore, the</w:t>
      </w:r>
      <w:r w:rsidR="002836AE">
        <w:t xml:space="preserve"> </w:t>
      </w:r>
      <w:r w:rsidR="003101EA">
        <w:t xml:space="preserve">Pennsylvania </w:t>
      </w:r>
      <w:r w:rsidR="002836AE">
        <w:t xml:space="preserve">commission </w:t>
      </w:r>
      <w:r w:rsidR="00C15493">
        <w:t>denied the application</w:t>
      </w:r>
      <w:r w:rsidR="00883C5C">
        <w:t xml:space="preserve">, reasoning </w:t>
      </w:r>
      <w:r w:rsidR="002836AE">
        <w:t>that</w:t>
      </w:r>
      <w:r w:rsidR="00DC2217">
        <w:t xml:space="preserve"> </w:t>
      </w:r>
      <w:r w:rsidR="002836AE">
        <w:t>the landlord would become a public utility subject to commission regulation</w:t>
      </w:r>
      <w:r w:rsidR="004F2565">
        <w:t xml:space="preserve">, and </w:t>
      </w:r>
      <w:r w:rsidR="00EE5F1A">
        <w:t xml:space="preserve">the landlord </w:t>
      </w:r>
      <w:r w:rsidR="004F2565">
        <w:t>failed to seek the required authorization</w:t>
      </w:r>
      <w:r w:rsidR="00386B81">
        <w:t>.</w:t>
      </w:r>
      <w:r w:rsidR="00B855D9">
        <w:rPr>
          <w:rStyle w:val="FootnoteReference"/>
        </w:rPr>
        <w:footnoteReference w:id="9"/>
      </w:r>
      <w:r w:rsidR="00386B81">
        <w:t xml:space="preserve">  </w:t>
      </w:r>
    </w:p>
    <w:p w:rsidR="00397C2D" w:rsidRDefault="003101EA" w:rsidP="00883C5C">
      <w:pPr>
        <w:pStyle w:val="ListParagraph"/>
        <w:numPr>
          <w:ilvl w:val="0"/>
          <w:numId w:val="14"/>
        </w:numPr>
        <w:spacing w:after="0" w:line="480" w:lineRule="auto"/>
      </w:pPr>
      <w:r>
        <w:tab/>
      </w:r>
      <w:r w:rsidR="004F2565">
        <w:t>T</w:t>
      </w:r>
      <w:r w:rsidR="00397C2D">
        <w:t>he superior court affirmed</w:t>
      </w:r>
      <w:r w:rsidR="00B855D9">
        <w:t xml:space="preserve"> the commission</w:t>
      </w:r>
      <w:r>
        <w:t xml:space="preserve">, </w:t>
      </w:r>
      <w:r w:rsidR="004F2565">
        <w:t xml:space="preserve">but </w:t>
      </w:r>
      <w:r w:rsidR="00397C2D">
        <w:t xml:space="preserve">the Pennsylvania Commonwealth Court reversed.  </w:t>
      </w:r>
      <w:r w:rsidR="004F2565">
        <w:t>T</w:t>
      </w:r>
      <w:r w:rsidR="00397C2D">
        <w:t xml:space="preserve">he court construed a Pennsylvania commission statute defining “public </w:t>
      </w:r>
      <w:r w:rsidR="00397C2D">
        <w:lastRenderedPageBreak/>
        <w:t>utility” as a person providing “[utility] service to or for the public for compensation.”</w:t>
      </w:r>
      <w:r w:rsidR="00397C2D">
        <w:rPr>
          <w:rStyle w:val="FootnoteReference"/>
        </w:rPr>
        <w:footnoteReference w:id="10"/>
      </w:r>
      <w:r w:rsidR="00397C2D">
        <w:t xml:space="preserve">  This </w:t>
      </w:r>
      <w:r w:rsidR="00B855D9">
        <w:t xml:space="preserve">statute has </w:t>
      </w:r>
      <w:r w:rsidR="00397C2D">
        <w:t xml:space="preserve">the same </w:t>
      </w:r>
      <w:r>
        <w:t xml:space="preserve">wording </w:t>
      </w:r>
      <w:r w:rsidR="00397C2D">
        <w:t xml:space="preserve">as </w:t>
      </w:r>
      <w:r>
        <w:t xml:space="preserve">the </w:t>
      </w:r>
      <w:r w:rsidR="00397C2D">
        <w:t xml:space="preserve">Commission’s </w:t>
      </w:r>
      <w:r>
        <w:t xml:space="preserve">general </w:t>
      </w:r>
      <w:r w:rsidR="00B855D9">
        <w:t xml:space="preserve">statutory </w:t>
      </w:r>
      <w:r w:rsidR="00397C2D">
        <w:t>authority to regulate persons engaged in “supplying any utility service … to the public for compensation.”</w:t>
      </w:r>
      <w:r w:rsidR="00397C2D">
        <w:rPr>
          <w:rStyle w:val="FootnoteReference"/>
        </w:rPr>
        <w:footnoteReference w:id="11"/>
      </w:r>
    </w:p>
    <w:p w:rsidR="00EE5F1A" w:rsidRDefault="00D667BC" w:rsidP="002A3D74">
      <w:pPr>
        <w:pStyle w:val="ListParagraph"/>
        <w:numPr>
          <w:ilvl w:val="0"/>
          <w:numId w:val="14"/>
        </w:numPr>
        <w:spacing w:after="0" w:line="480" w:lineRule="auto"/>
      </w:pPr>
      <w:r>
        <w:tab/>
      </w:r>
      <w:r w:rsidR="005851B7">
        <w:t>T</w:t>
      </w:r>
      <w:r w:rsidR="002836AE">
        <w:t>he</w:t>
      </w:r>
      <w:r w:rsidR="00397C2D">
        <w:t xml:space="preserve"> court </w:t>
      </w:r>
      <w:r w:rsidR="003101EA">
        <w:t xml:space="preserve">reasoned </w:t>
      </w:r>
      <w:r w:rsidR="00397C2D">
        <w:t xml:space="preserve">that </w:t>
      </w:r>
      <w:r w:rsidR="00DD5FCA">
        <w:t xml:space="preserve">the </w:t>
      </w:r>
      <w:r w:rsidR="00386B81">
        <w:t xml:space="preserve">landlord </w:t>
      </w:r>
      <w:r w:rsidR="00DD5FCA">
        <w:t>would</w:t>
      </w:r>
      <w:r w:rsidR="00A64B73">
        <w:t xml:space="preserve"> not </w:t>
      </w:r>
      <w:r w:rsidR="00EE5F1A">
        <w:t>meet the “service to the public” element of the statutory definition</w:t>
      </w:r>
      <w:r w:rsidR="00B855D9">
        <w:t xml:space="preserve">, </w:t>
      </w:r>
      <w:r w:rsidR="00EE5F1A">
        <w:t xml:space="preserve">and thus would not be subject to regulation by the Pennsylvania commission, </w:t>
      </w:r>
      <w:r w:rsidR="00B855D9">
        <w:t xml:space="preserve">because </w:t>
      </w:r>
      <w:r w:rsidR="00883C5C">
        <w:t>“</w:t>
      </w:r>
      <w:r w:rsidR="00040301">
        <w:t>those to be serv</w:t>
      </w:r>
      <w:r w:rsidR="00DC2217">
        <w:t>ed</w:t>
      </w:r>
      <w:r w:rsidR="00040301">
        <w:t xml:space="preserve"> consist only of a special class of persons – those to be selected as tenants – and not a class open to the indefinite public.  Such persons clearly constitute a defined, privileged, and limited group and the proposed service to them would be private in nature.</w:t>
      </w:r>
      <w:r w:rsidR="00883C5C">
        <w:t>”</w:t>
      </w:r>
      <w:r w:rsidR="00040301">
        <w:rPr>
          <w:rStyle w:val="FootnoteReference"/>
        </w:rPr>
        <w:footnoteReference w:id="12"/>
      </w:r>
      <w:r w:rsidR="00A64B73">
        <w:t xml:space="preserve">  </w:t>
      </w:r>
    </w:p>
    <w:p w:rsidR="005A2E07" w:rsidRDefault="00EE5F1A" w:rsidP="002A3D74">
      <w:pPr>
        <w:pStyle w:val="ListParagraph"/>
        <w:numPr>
          <w:ilvl w:val="0"/>
          <w:numId w:val="14"/>
        </w:numPr>
        <w:spacing w:after="0" w:line="480" w:lineRule="auto"/>
      </w:pPr>
      <w:r>
        <w:tab/>
      </w:r>
      <w:r w:rsidR="003101EA">
        <w:t>Notably, t</w:t>
      </w:r>
      <w:r w:rsidR="005851B7">
        <w:t xml:space="preserve">he court </w:t>
      </w:r>
      <w:r w:rsidR="00386B81">
        <w:t xml:space="preserve">gave no credence to </w:t>
      </w:r>
      <w:r w:rsidR="005851B7">
        <w:t>the</w:t>
      </w:r>
      <w:r w:rsidR="005A2E07">
        <w:t xml:space="preserve"> </w:t>
      </w:r>
      <w:r w:rsidR="00F5496B">
        <w:t xml:space="preserve">Pennsylvania </w:t>
      </w:r>
      <w:r w:rsidR="005A2E07">
        <w:t>commission</w:t>
      </w:r>
      <w:r w:rsidR="005851B7">
        <w:t>’s argument</w:t>
      </w:r>
      <w:r w:rsidR="006B1B17">
        <w:t xml:space="preserve"> </w:t>
      </w:r>
      <w:r w:rsidR="005A2E07">
        <w:t xml:space="preserve">that </w:t>
      </w:r>
      <w:r w:rsidR="006B1B17">
        <w:t xml:space="preserve">tenants could face unfair or discriminatory rates </w:t>
      </w:r>
      <w:r w:rsidR="005A2E07">
        <w:t xml:space="preserve">if the landlord </w:t>
      </w:r>
      <w:r w:rsidR="00676DB2">
        <w:t>was</w:t>
      </w:r>
      <w:r w:rsidR="005A2E07">
        <w:t xml:space="preserve"> not </w:t>
      </w:r>
      <w:r w:rsidR="00397C2D">
        <w:t xml:space="preserve">a </w:t>
      </w:r>
      <w:r w:rsidR="005A2E07">
        <w:t>regulated</w:t>
      </w:r>
      <w:r w:rsidR="00397C2D">
        <w:t xml:space="preserve"> utility</w:t>
      </w:r>
      <w:r w:rsidR="005851B7">
        <w:t xml:space="preserve">: </w:t>
      </w:r>
      <w:r w:rsidR="005A2E07">
        <w:t xml:space="preserve"> “</w:t>
      </w:r>
      <w:r w:rsidR="00C6460D">
        <w:t>[t]</w:t>
      </w:r>
      <w:r w:rsidR="005A2E07">
        <w:t>he controlling consideration is not whether regulation is desirable, but whether [the landlord] is subject to regulation under the Public Utility Law.”</w:t>
      </w:r>
      <w:r w:rsidR="005A2E07">
        <w:rPr>
          <w:rStyle w:val="FootnoteReference"/>
        </w:rPr>
        <w:footnoteReference w:id="13"/>
      </w:r>
    </w:p>
    <w:p w:rsidR="00EE5F1A" w:rsidRDefault="002A3D74" w:rsidP="007769E0">
      <w:pPr>
        <w:pStyle w:val="ListParagraph"/>
        <w:numPr>
          <w:ilvl w:val="0"/>
          <w:numId w:val="14"/>
        </w:numPr>
        <w:spacing w:after="0" w:line="480" w:lineRule="auto"/>
      </w:pPr>
      <w:r>
        <w:tab/>
      </w:r>
      <w:r w:rsidR="003101EA">
        <w:t>T</w:t>
      </w:r>
      <w:r w:rsidR="005A2E07">
        <w:t>h</w:t>
      </w:r>
      <w:r w:rsidR="00DD5FCA">
        <w:t>e</w:t>
      </w:r>
      <w:r w:rsidR="00B855D9">
        <w:t xml:space="preserve"> foregoing</w:t>
      </w:r>
      <w:r w:rsidR="00A2086D" w:rsidRPr="00EE5F1A">
        <w:rPr>
          <w:i/>
        </w:rPr>
        <w:t xml:space="preserve"> </w:t>
      </w:r>
      <w:r w:rsidR="00A2086D" w:rsidRPr="00A2086D">
        <w:t>decision</w:t>
      </w:r>
      <w:r w:rsidR="00A2086D">
        <w:t>s</w:t>
      </w:r>
      <w:r w:rsidR="003101EA">
        <w:t xml:space="preserve"> make</w:t>
      </w:r>
      <w:r w:rsidR="005A2E07">
        <w:t xml:space="preserve"> </w:t>
      </w:r>
      <w:r w:rsidR="00883C5C">
        <w:t>crystal</w:t>
      </w:r>
      <w:r w:rsidR="005A2E07">
        <w:t xml:space="preserve"> clear </w:t>
      </w:r>
      <w:r w:rsidR="00D667BC">
        <w:t>the Complaint</w:t>
      </w:r>
      <w:r w:rsidR="005A2E07">
        <w:t xml:space="preserve"> must allege facts sufficient to support </w:t>
      </w:r>
      <w:r w:rsidR="00D667BC">
        <w:t xml:space="preserve">the </w:t>
      </w:r>
      <w:r w:rsidR="005A2E07">
        <w:t xml:space="preserve">claim that Salmon Shores is a utility subject to Commission regulation.  </w:t>
      </w:r>
      <w:r w:rsidR="00DD5FCA">
        <w:t xml:space="preserve">In particular, </w:t>
      </w:r>
      <w:r w:rsidR="00B855D9">
        <w:t xml:space="preserve">the Complaint </w:t>
      </w:r>
      <w:r w:rsidR="005A2E07">
        <w:t xml:space="preserve">must allege facts </w:t>
      </w:r>
      <w:r w:rsidR="004F2565">
        <w:t xml:space="preserve">regarding </w:t>
      </w:r>
      <w:r w:rsidR="00C530A7">
        <w:t xml:space="preserve">what the court </w:t>
      </w:r>
      <w:r w:rsidR="003C0C11">
        <w:t xml:space="preserve">considers </w:t>
      </w:r>
      <w:r w:rsidR="00C530A7">
        <w:t>the “controlling factor</w:t>
      </w:r>
      <w:r w:rsidR="00C46D95">
        <w:t>,</w:t>
      </w:r>
      <w:r w:rsidR="00C530A7">
        <w:t>”</w:t>
      </w:r>
      <w:r w:rsidR="00C46D95">
        <w:t xml:space="preserve"> i.e., </w:t>
      </w:r>
      <w:r w:rsidR="00DD5FCA">
        <w:t xml:space="preserve">that </w:t>
      </w:r>
      <w:r w:rsidR="005A2E07">
        <w:t xml:space="preserve">Salmon Shores has devoted its property to public use.  </w:t>
      </w:r>
      <w:r w:rsidR="00386B81">
        <w:t>T</w:t>
      </w:r>
      <w:r w:rsidR="00E734EF">
        <w:t xml:space="preserve">he </w:t>
      </w:r>
      <w:r w:rsidR="00386B81">
        <w:t>Complaint fails to do so</w:t>
      </w:r>
      <w:r w:rsidR="003F096F">
        <w:t xml:space="preserve">.  Therefore, </w:t>
      </w:r>
      <w:r w:rsidR="00397C2D">
        <w:t>t</w:t>
      </w:r>
      <w:r w:rsidR="00386B81">
        <w:t xml:space="preserve">he </w:t>
      </w:r>
      <w:r w:rsidR="00E734EF">
        <w:t>Commission should dismiss th</w:t>
      </w:r>
      <w:r w:rsidR="00DD5FCA">
        <w:t>at</w:t>
      </w:r>
      <w:r w:rsidR="00E734EF">
        <w:t xml:space="preserve"> </w:t>
      </w:r>
      <w:r w:rsidR="00C6460D">
        <w:t>claim</w:t>
      </w:r>
      <w:r w:rsidR="00E734EF">
        <w:t>.</w:t>
      </w:r>
      <w:r w:rsidR="00DD0F0B">
        <w:rPr>
          <w:rStyle w:val="FootnoteReference"/>
        </w:rPr>
        <w:footnoteReference w:id="14"/>
      </w:r>
    </w:p>
    <w:p w:rsidR="00836134" w:rsidRPr="00EE5F1A" w:rsidRDefault="00EE5F1A" w:rsidP="00EE5F1A">
      <w:r>
        <w:br w:type="page"/>
      </w:r>
      <w:r w:rsidR="00BD6E15" w:rsidRPr="00EE5F1A">
        <w:rPr>
          <w:b/>
        </w:rPr>
        <w:lastRenderedPageBreak/>
        <w:t>B</w:t>
      </w:r>
      <w:r w:rsidR="00613495" w:rsidRPr="00EE5F1A">
        <w:rPr>
          <w:b/>
        </w:rPr>
        <w:t>.</w:t>
      </w:r>
      <w:r w:rsidR="00613495" w:rsidRPr="00EE5F1A">
        <w:rPr>
          <w:b/>
        </w:rPr>
        <w:tab/>
      </w:r>
      <w:r w:rsidR="00A16151" w:rsidRPr="00EE5F1A">
        <w:rPr>
          <w:b/>
        </w:rPr>
        <w:t xml:space="preserve">The </w:t>
      </w:r>
      <w:r w:rsidR="00BD6E15" w:rsidRPr="00EE5F1A">
        <w:rPr>
          <w:b/>
        </w:rPr>
        <w:t xml:space="preserve">Commission </w:t>
      </w:r>
      <w:r w:rsidR="003C0C11" w:rsidRPr="00EE5F1A">
        <w:rPr>
          <w:b/>
        </w:rPr>
        <w:t>Lacks</w:t>
      </w:r>
      <w:r w:rsidR="00BD6E15" w:rsidRPr="00EE5F1A">
        <w:rPr>
          <w:b/>
        </w:rPr>
        <w:t xml:space="preserve"> Jurisdiction </w:t>
      </w:r>
      <w:r w:rsidR="00C6460D" w:rsidRPr="00EE5F1A">
        <w:rPr>
          <w:b/>
        </w:rPr>
        <w:t>O</w:t>
      </w:r>
      <w:r w:rsidR="00BD6E15" w:rsidRPr="00EE5F1A">
        <w:rPr>
          <w:b/>
        </w:rPr>
        <w:t xml:space="preserve">ver </w:t>
      </w:r>
      <w:r w:rsidR="00A16151" w:rsidRPr="00EE5F1A">
        <w:rPr>
          <w:b/>
        </w:rPr>
        <w:t xml:space="preserve">Salmon Shores as a </w:t>
      </w:r>
      <w:r w:rsidR="00BD6E15" w:rsidRPr="00EE5F1A">
        <w:rPr>
          <w:b/>
        </w:rPr>
        <w:t>Customer of PSE</w:t>
      </w:r>
    </w:p>
    <w:p w:rsidR="005851B7" w:rsidRDefault="00A16151" w:rsidP="00836134">
      <w:pPr>
        <w:pStyle w:val="ListParagraph"/>
        <w:numPr>
          <w:ilvl w:val="0"/>
          <w:numId w:val="14"/>
        </w:numPr>
        <w:spacing w:after="0" w:line="480" w:lineRule="auto"/>
      </w:pPr>
      <w:r>
        <w:tab/>
      </w:r>
      <w:r w:rsidR="004E2229">
        <w:t xml:space="preserve">As we just discussed, based on the pleadings </w:t>
      </w:r>
      <w:r w:rsidR="007769E0">
        <w:t>(</w:t>
      </w:r>
      <w:r w:rsidR="004E2229">
        <w:t>liberally construed</w:t>
      </w:r>
      <w:r w:rsidR="007769E0">
        <w:t>)</w:t>
      </w:r>
      <w:r w:rsidR="004E2229">
        <w:t xml:space="preserve">, </w:t>
      </w:r>
      <w:r w:rsidR="00C530A7">
        <w:t xml:space="preserve">the Complaint fails to support a claim that </w:t>
      </w:r>
      <w:r w:rsidR="00DC34EC">
        <w:t>Salmon Shores</w:t>
      </w:r>
      <w:r w:rsidR="00613495">
        <w:t xml:space="preserve"> is </w:t>
      </w:r>
      <w:r w:rsidR="00BD6E15">
        <w:t xml:space="preserve">a public </w:t>
      </w:r>
      <w:r w:rsidR="00DD5FCA">
        <w:t xml:space="preserve">utility </w:t>
      </w:r>
      <w:r w:rsidR="00BD6E15">
        <w:t xml:space="preserve">subject to Commission </w:t>
      </w:r>
      <w:r w:rsidR="004F2565">
        <w:t>regulation</w:t>
      </w:r>
      <w:r w:rsidR="004E2229">
        <w:t>.  Thus</w:t>
      </w:r>
      <w:r w:rsidR="00BD6E15">
        <w:t>, Salmon Shores</w:t>
      </w:r>
      <w:r w:rsidR="00397C2D">
        <w:t xml:space="preserve"> has the status of a </w:t>
      </w:r>
      <w:r w:rsidR="00BD6E15">
        <w:t xml:space="preserve">PSE customer.  </w:t>
      </w:r>
      <w:r w:rsidR="00FE3EFE">
        <w:t>However, t</w:t>
      </w:r>
      <w:r w:rsidR="004E2229">
        <w:t>he Commission lacks jurisdiction over customers of electric utilities</w:t>
      </w:r>
      <w:r w:rsidR="003C0C11">
        <w:t>,</w:t>
      </w:r>
      <w:r w:rsidR="00FE3EFE">
        <w:rPr>
          <w:rStyle w:val="FootnoteReference"/>
        </w:rPr>
        <w:footnoteReference w:id="15"/>
      </w:r>
      <w:r w:rsidR="003C0C11">
        <w:t xml:space="preserve"> because</w:t>
      </w:r>
      <w:r w:rsidR="004E2229">
        <w:t xml:space="preserve"> </w:t>
      </w:r>
      <w:r w:rsidR="003C0C11">
        <w:t>t</w:t>
      </w:r>
      <w:r w:rsidR="00BD6E15">
        <w:t>he Commission’s general regulatory authority is over persons engaged in “supplying any utility service … to the public for compensation</w:t>
      </w:r>
      <w:r w:rsidR="00FE3EFE">
        <w:t>.</w:t>
      </w:r>
      <w:r w:rsidR="00BD6E15">
        <w:t>”</w:t>
      </w:r>
      <w:r w:rsidR="00BD6E15">
        <w:rPr>
          <w:rStyle w:val="FootnoteReference"/>
        </w:rPr>
        <w:footnoteReference w:id="16"/>
      </w:r>
      <w:r w:rsidR="00C530A7">
        <w:t xml:space="preserve"> </w:t>
      </w:r>
      <w:r w:rsidR="00FE3EFE">
        <w:t xml:space="preserve"> </w:t>
      </w:r>
      <w:r w:rsidR="00397C2D">
        <w:t xml:space="preserve">This is </w:t>
      </w:r>
      <w:r w:rsidR="003101EA">
        <w:t xml:space="preserve">confirmed by </w:t>
      </w:r>
      <w:r w:rsidR="00BD6E15">
        <w:t>t</w:t>
      </w:r>
      <w:r>
        <w:t xml:space="preserve">he </w:t>
      </w:r>
      <w:r w:rsidR="00BD6E15">
        <w:t>Commission</w:t>
      </w:r>
      <w:r>
        <w:t>’s complaint statute</w:t>
      </w:r>
      <w:r w:rsidR="00397C2D">
        <w:t>,</w:t>
      </w:r>
      <w:r>
        <w:rPr>
          <w:rStyle w:val="FootnoteReference"/>
        </w:rPr>
        <w:footnoteReference w:id="17"/>
      </w:r>
      <w:r>
        <w:t xml:space="preserve"> </w:t>
      </w:r>
      <w:r w:rsidR="00397C2D">
        <w:t xml:space="preserve">which </w:t>
      </w:r>
      <w:r w:rsidR="00B855D9">
        <w:t>does not contemplate</w:t>
      </w:r>
      <w:r>
        <w:t xml:space="preserve"> </w:t>
      </w:r>
      <w:r w:rsidR="00391A41">
        <w:t xml:space="preserve">complaints </w:t>
      </w:r>
      <w:r w:rsidR="00214110">
        <w:t>a</w:t>
      </w:r>
      <w:r w:rsidR="00391A41">
        <w:t>gainst a</w:t>
      </w:r>
      <w:r w:rsidR="00214110">
        <w:t xml:space="preserve"> </w:t>
      </w:r>
      <w:r>
        <w:t>customer</w:t>
      </w:r>
      <w:r w:rsidR="00214110">
        <w:t xml:space="preserve"> of a public service company</w:t>
      </w:r>
      <w:r>
        <w:t xml:space="preserve">. </w:t>
      </w:r>
      <w:r w:rsidR="00C46D95">
        <w:t xml:space="preserve"> </w:t>
      </w:r>
      <w:r w:rsidR="00386B81">
        <w:t xml:space="preserve">Therefore, </w:t>
      </w:r>
      <w:r w:rsidR="00B855D9">
        <w:t xml:space="preserve">in this case, </w:t>
      </w:r>
      <w:r w:rsidR="00386B81">
        <w:t xml:space="preserve">the Complaint is not authorized to the extent it seeks relief regarding </w:t>
      </w:r>
      <w:r w:rsidR="00B855D9">
        <w:t>Salmon Shores as a customer of</w:t>
      </w:r>
      <w:r w:rsidR="00386B81">
        <w:t xml:space="preserve"> PSE.</w:t>
      </w:r>
      <w:r w:rsidR="00C46D95">
        <w:t xml:space="preserve"> </w:t>
      </w:r>
    </w:p>
    <w:p w:rsidR="00BC07E0" w:rsidRPr="00D946E1" w:rsidRDefault="005959AF" w:rsidP="00836134">
      <w:pPr>
        <w:keepNext/>
        <w:spacing w:after="0" w:line="480" w:lineRule="auto"/>
        <w:jc w:val="center"/>
        <w:rPr>
          <w:b/>
        </w:rPr>
      </w:pPr>
      <w:r>
        <w:rPr>
          <w:b/>
        </w:rPr>
        <w:t>II</w:t>
      </w:r>
      <w:r w:rsidR="003629D7">
        <w:rPr>
          <w:b/>
        </w:rPr>
        <w:t>I.</w:t>
      </w:r>
      <w:r w:rsidR="003629D7">
        <w:rPr>
          <w:b/>
        </w:rPr>
        <w:tab/>
      </w:r>
      <w:r>
        <w:rPr>
          <w:b/>
        </w:rPr>
        <w:t>CONCLUSION</w:t>
      </w:r>
    </w:p>
    <w:p w:rsidR="00BC07E0" w:rsidRDefault="00836134" w:rsidP="00836134">
      <w:pPr>
        <w:pStyle w:val="ListParagraph"/>
        <w:numPr>
          <w:ilvl w:val="0"/>
          <w:numId w:val="14"/>
        </w:numPr>
        <w:spacing w:after="0" w:line="480" w:lineRule="auto"/>
        <w:jc w:val="both"/>
      </w:pPr>
      <w:r>
        <w:tab/>
      </w:r>
      <w:r w:rsidR="000D00FF">
        <w:t xml:space="preserve">For the reasons set forth above, the </w:t>
      </w:r>
      <w:r w:rsidR="00D946E1">
        <w:t xml:space="preserve">Commission should </w:t>
      </w:r>
      <w:r w:rsidR="000D00FF">
        <w:t xml:space="preserve">dismiss the Complaint as to </w:t>
      </w:r>
      <w:r w:rsidR="00DD0F0B">
        <w:t xml:space="preserve">Respondent </w:t>
      </w:r>
      <w:r w:rsidR="000D00FF">
        <w:t>Salmon Shores</w:t>
      </w:r>
      <w:r w:rsidR="00DD0F0B">
        <w:t xml:space="preserve"> RV Park</w:t>
      </w:r>
      <w:r w:rsidR="000D00FF">
        <w:t>.</w:t>
      </w:r>
      <w:r w:rsidR="00D946E1">
        <w:t xml:space="preserve">  </w:t>
      </w:r>
    </w:p>
    <w:p w:rsidR="003C0C11" w:rsidRDefault="00A82C93" w:rsidP="00F04319">
      <w:pPr>
        <w:spacing w:after="0" w:line="240" w:lineRule="auto"/>
        <w:ind w:firstLine="720"/>
      </w:pPr>
      <w:r>
        <w:t xml:space="preserve">DATED this </w:t>
      </w:r>
      <w:r w:rsidR="000D00FF">
        <w:t>__</w:t>
      </w:r>
      <w:r w:rsidR="003E7A19" w:rsidRPr="00A82C93">
        <w:rPr>
          <w:vertAlign w:val="superscript"/>
        </w:rPr>
        <w:t xml:space="preserve"> </w:t>
      </w:r>
      <w:r w:rsidR="003E7A19" w:rsidRPr="004A2910">
        <w:t>day</w:t>
      </w:r>
      <w:r w:rsidRPr="004A2910">
        <w:t xml:space="preserve"> of</w:t>
      </w:r>
      <w:r>
        <w:t xml:space="preserve"> </w:t>
      </w:r>
      <w:r w:rsidR="000D00FF">
        <w:t>April</w:t>
      </w:r>
      <w:r>
        <w:t>,</w:t>
      </w:r>
      <w:r w:rsidRPr="004A2910">
        <w:t xml:space="preserve"> 20</w:t>
      </w:r>
      <w:r w:rsidR="000D00FF">
        <w:t>10</w:t>
      </w:r>
      <w:r w:rsidRPr="004A2910">
        <w:t>.</w:t>
      </w:r>
      <w:r w:rsidR="00F04319">
        <w:t xml:space="preserve">  </w:t>
      </w:r>
    </w:p>
    <w:p w:rsidR="00386B81" w:rsidRDefault="00386B81" w:rsidP="003C0C11">
      <w:pPr>
        <w:spacing w:after="0" w:line="240" w:lineRule="auto"/>
        <w:ind w:left="3600" w:firstLine="720"/>
      </w:pPr>
    </w:p>
    <w:p w:rsidR="00A82C93" w:rsidRPr="004A2910" w:rsidRDefault="00A82C93" w:rsidP="003C0C11">
      <w:pPr>
        <w:spacing w:after="0" w:line="240" w:lineRule="auto"/>
        <w:ind w:left="3600" w:firstLine="720"/>
      </w:pPr>
      <w:r>
        <w:t xml:space="preserve">Respectfully submitted, </w:t>
      </w:r>
    </w:p>
    <w:p w:rsidR="00A82C93" w:rsidRPr="004A2910" w:rsidRDefault="00A82C93" w:rsidP="00A82C93">
      <w:pPr>
        <w:pStyle w:val="BodyTextIndent2"/>
        <w:ind w:left="4320"/>
        <w:rPr>
          <w:rFonts w:ascii="Times New Roman" w:hAnsi="Times New Roman"/>
        </w:rPr>
      </w:pPr>
    </w:p>
    <w:p w:rsidR="00A82C93" w:rsidRPr="004A2910" w:rsidRDefault="00A82C93" w:rsidP="00A82C93">
      <w:pPr>
        <w:spacing w:after="0" w:line="240" w:lineRule="auto"/>
        <w:ind w:left="4320"/>
        <w:jc w:val="both"/>
      </w:pPr>
      <w:r w:rsidRPr="004A2910">
        <w:t>ROB</w:t>
      </w:r>
      <w:r>
        <w:t>ERT M.</w:t>
      </w:r>
      <w:r w:rsidRPr="004A2910">
        <w:t xml:space="preserve"> MCKENNA </w:t>
      </w:r>
    </w:p>
    <w:p w:rsidR="00A82C93" w:rsidRPr="004A2910" w:rsidRDefault="00A82C93" w:rsidP="00A82C93">
      <w:pPr>
        <w:spacing w:after="0" w:line="240" w:lineRule="auto"/>
        <w:ind w:left="4320"/>
        <w:jc w:val="both"/>
      </w:pPr>
      <w:r w:rsidRPr="004A2910">
        <w:t>Attorney General</w:t>
      </w:r>
    </w:p>
    <w:p w:rsidR="003C0C11" w:rsidRDefault="003C0C11" w:rsidP="00A82C93">
      <w:pPr>
        <w:spacing w:after="0" w:line="240" w:lineRule="auto"/>
        <w:ind w:left="4320"/>
        <w:jc w:val="both"/>
      </w:pPr>
    </w:p>
    <w:p w:rsidR="003C0C11" w:rsidRDefault="003C0C11" w:rsidP="00A82C93">
      <w:pPr>
        <w:spacing w:after="0" w:line="240" w:lineRule="auto"/>
        <w:ind w:left="4320"/>
        <w:jc w:val="both"/>
      </w:pPr>
    </w:p>
    <w:p w:rsidR="00A82C93" w:rsidRPr="004A2910" w:rsidRDefault="00F5496B" w:rsidP="00A82C93">
      <w:pPr>
        <w:spacing w:after="0" w:line="240" w:lineRule="auto"/>
        <w:ind w:left="4320"/>
        <w:jc w:val="both"/>
      </w:pPr>
      <w:r>
        <w:t>_____________________</w:t>
      </w:r>
    </w:p>
    <w:p w:rsidR="00A82C93" w:rsidRPr="004A2910" w:rsidRDefault="00A82C93" w:rsidP="00A82C93">
      <w:pPr>
        <w:spacing w:after="0" w:line="240" w:lineRule="auto"/>
        <w:ind w:left="4320"/>
        <w:jc w:val="both"/>
      </w:pPr>
      <w:r>
        <w:t>DONALD T. TROTTER</w:t>
      </w:r>
    </w:p>
    <w:p w:rsidR="00A82C93" w:rsidRPr="004A2910" w:rsidRDefault="00A82C93" w:rsidP="00A82C93">
      <w:pPr>
        <w:spacing w:after="0" w:line="240" w:lineRule="auto"/>
        <w:ind w:left="4320"/>
        <w:jc w:val="both"/>
      </w:pPr>
      <w:r w:rsidRPr="004A2910">
        <w:t>Assistant Attorney General</w:t>
      </w:r>
    </w:p>
    <w:p w:rsidR="00836134" w:rsidRPr="00ED215A" w:rsidRDefault="00A82C93" w:rsidP="00214110">
      <w:pPr>
        <w:spacing w:after="0" w:line="240" w:lineRule="auto"/>
        <w:ind w:left="4320"/>
        <w:jc w:val="both"/>
      </w:pPr>
      <w:r w:rsidRPr="004A2910">
        <w:t xml:space="preserve">Counsel for </w:t>
      </w:r>
      <w:r w:rsidR="00F5496B">
        <w:t xml:space="preserve">Staff of the </w:t>
      </w:r>
      <w:r w:rsidRPr="004A2910">
        <w:t>Washington Utilities and</w:t>
      </w:r>
      <w:r w:rsidR="00F5496B">
        <w:t xml:space="preserve"> Transportation</w:t>
      </w:r>
      <w:r>
        <w:t xml:space="preserve"> Commission </w:t>
      </w:r>
    </w:p>
    <w:sectPr w:rsidR="00836134" w:rsidRPr="00ED215A" w:rsidSect="00013BCF">
      <w:footerReference w:type="default" r:id="rId8"/>
      <w:pgSz w:w="12240" w:h="15840"/>
      <w:pgMar w:top="1440" w:right="1440" w:bottom="1440"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264" w:rsidRDefault="00080264" w:rsidP="008627F5">
      <w:pPr>
        <w:spacing w:after="0" w:line="240" w:lineRule="auto"/>
      </w:pPr>
      <w:r>
        <w:separator/>
      </w:r>
    </w:p>
  </w:endnote>
  <w:endnote w:type="continuationSeparator" w:id="0">
    <w:p w:rsidR="00080264" w:rsidRDefault="00080264" w:rsidP="00862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65" w:rsidRDefault="004F2565" w:rsidP="00013BCF">
    <w:pPr>
      <w:spacing w:after="0" w:line="240" w:lineRule="auto"/>
      <w:rPr>
        <w:sz w:val="20"/>
        <w:szCs w:val="20"/>
      </w:rPr>
    </w:pPr>
  </w:p>
  <w:p w:rsidR="004F2565" w:rsidRDefault="004F2565" w:rsidP="00013BCF">
    <w:pPr>
      <w:spacing w:after="0" w:line="240" w:lineRule="auto"/>
      <w:rPr>
        <w:sz w:val="20"/>
        <w:szCs w:val="20"/>
      </w:rPr>
    </w:pPr>
    <w:r>
      <w:rPr>
        <w:sz w:val="20"/>
        <w:szCs w:val="20"/>
      </w:rPr>
      <w:t xml:space="preserve">STAFF </w:t>
    </w:r>
    <w:r w:rsidRPr="00013BCF">
      <w:rPr>
        <w:sz w:val="20"/>
        <w:szCs w:val="20"/>
      </w:rPr>
      <w:t xml:space="preserve">MOTION </w:t>
    </w:r>
    <w:r>
      <w:rPr>
        <w:sz w:val="20"/>
        <w:szCs w:val="20"/>
      </w:rPr>
      <w:t>TO DISMISS</w:t>
    </w:r>
  </w:p>
  <w:p w:rsidR="004F2565" w:rsidRPr="00013BCF" w:rsidRDefault="004F2565" w:rsidP="00013BCF">
    <w:pPr>
      <w:spacing w:after="0" w:line="240" w:lineRule="auto"/>
      <w:rPr>
        <w:sz w:val="20"/>
        <w:szCs w:val="20"/>
      </w:rPr>
    </w:pPr>
    <w:r>
      <w:rPr>
        <w:sz w:val="20"/>
        <w:szCs w:val="20"/>
      </w:rPr>
      <w:t>COMPLAINT AS TO SALMON SHORES</w:t>
    </w:r>
    <w:r w:rsidRPr="00013BCF">
      <w:rPr>
        <w:sz w:val="20"/>
        <w:szCs w:val="20"/>
      </w:rPr>
      <w:t xml:space="preserve"> </w:t>
    </w:r>
    <w:r>
      <w:rPr>
        <w:sz w:val="20"/>
        <w:szCs w:val="20"/>
      </w:rPr>
      <w:t xml:space="preserve">- </w:t>
    </w:r>
    <w:r w:rsidR="00B14586" w:rsidRPr="00013BCF">
      <w:rPr>
        <w:sz w:val="20"/>
        <w:szCs w:val="20"/>
      </w:rPr>
      <w:fldChar w:fldCharType="begin"/>
    </w:r>
    <w:r w:rsidRPr="00013BCF">
      <w:rPr>
        <w:sz w:val="20"/>
        <w:szCs w:val="20"/>
      </w:rPr>
      <w:instrText xml:space="preserve"> PAGE   \* MERGEFORMAT </w:instrText>
    </w:r>
    <w:r w:rsidR="00B14586" w:rsidRPr="00013BCF">
      <w:rPr>
        <w:sz w:val="20"/>
        <w:szCs w:val="20"/>
      </w:rPr>
      <w:fldChar w:fldCharType="separate"/>
    </w:r>
    <w:r w:rsidR="00D616A2">
      <w:rPr>
        <w:noProof/>
        <w:sz w:val="20"/>
        <w:szCs w:val="20"/>
      </w:rPr>
      <w:t>2</w:t>
    </w:r>
    <w:r w:rsidR="00B14586" w:rsidRPr="00013BC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264" w:rsidRDefault="00080264" w:rsidP="008627F5">
      <w:pPr>
        <w:spacing w:after="0" w:line="240" w:lineRule="auto"/>
      </w:pPr>
      <w:r>
        <w:separator/>
      </w:r>
    </w:p>
  </w:footnote>
  <w:footnote w:type="continuationSeparator" w:id="0">
    <w:p w:rsidR="00080264" w:rsidRDefault="00080264" w:rsidP="008627F5">
      <w:pPr>
        <w:spacing w:after="0" w:line="240" w:lineRule="auto"/>
      </w:pPr>
      <w:r>
        <w:continuationSeparator/>
      </w:r>
    </w:p>
  </w:footnote>
  <w:footnote w:id="1">
    <w:p w:rsidR="004F2565" w:rsidRDefault="004F2565" w:rsidP="00E849A9">
      <w:pPr>
        <w:pStyle w:val="FootnoteText"/>
      </w:pPr>
      <w:r>
        <w:rPr>
          <w:rStyle w:val="FootnoteReference"/>
        </w:rPr>
        <w:footnoteRef/>
      </w:r>
      <w:r>
        <w:t xml:space="preserve"> Complaint (undated, but received by the Commission September 14, 2009).</w:t>
      </w:r>
    </w:p>
  </w:footnote>
  <w:footnote w:id="2">
    <w:p w:rsidR="004F2565" w:rsidRDefault="004F2565">
      <w:pPr>
        <w:pStyle w:val="FootnoteText"/>
      </w:pPr>
      <w:r>
        <w:rPr>
          <w:rStyle w:val="FootnoteReference"/>
        </w:rPr>
        <w:footnoteRef/>
      </w:r>
      <w:r>
        <w:t xml:space="preserve"> Complaint at 1, paragraph 1, first sentence.</w:t>
      </w:r>
    </w:p>
  </w:footnote>
  <w:footnote w:id="3">
    <w:p w:rsidR="004F2565" w:rsidRDefault="004F2565">
      <w:pPr>
        <w:pStyle w:val="FootnoteText"/>
      </w:pPr>
      <w:r>
        <w:rPr>
          <w:rStyle w:val="FootnoteReference"/>
        </w:rPr>
        <w:footnoteRef/>
      </w:r>
      <w:r>
        <w:t xml:space="preserve"> Complaint</w:t>
      </w:r>
      <w:r>
        <w:rPr>
          <w:i/>
        </w:rPr>
        <w:t xml:space="preserve"> </w:t>
      </w:r>
      <w:r>
        <w:t>at 2, last paragraph, second sentence.</w:t>
      </w:r>
    </w:p>
  </w:footnote>
  <w:footnote w:id="4">
    <w:p w:rsidR="004F2565" w:rsidRDefault="004F2565">
      <w:pPr>
        <w:pStyle w:val="FootnoteText"/>
      </w:pPr>
      <w:r>
        <w:rPr>
          <w:rStyle w:val="FootnoteReference"/>
        </w:rPr>
        <w:footnoteRef/>
      </w:r>
      <w:r>
        <w:t xml:space="preserve"> Complaint at 1, first paragraph, second sentence.</w:t>
      </w:r>
    </w:p>
  </w:footnote>
  <w:footnote w:id="5">
    <w:p w:rsidR="004F2565" w:rsidRDefault="004F2565">
      <w:pPr>
        <w:pStyle w:val="FootnoteText"/>
      </w:pPr>
      <w:r>
        <w:rPr>
          <w:rStyle w:val="FootnoteReference"/>
        </w:rPr>
        <w:footnoteRef/>
      </w:r>
      <w:r>
        <w:t xml:space="preserve"> Mr. Binkley’s “Response to Commission Staff Motion for an Order Removing Salmon Shores as a Respondent,” at 3, </w:t>
      </w:r>
      <w:r w:rsidR="007956BB">
        <w:t>second</w:t>
      </w:r>
      <w:r>
        <w:t xml:space="preserve"> paragraph, last line.  </w:t>
      </w:r>
      <w:r w:rsidR="007956BB">
        <w:t>(</w:t>
      </w:r>
      <w:r>
        <w:t>Mr. Binkley uses the term “private utility.”  Given the context, we interpret that to mean a utility subject to Commission jurisdiction</w:t>
      </w:r>
      <w:r w:rsidR="007956BB">
        <w:t>)</w:t>
      </w:r>
      <w:r>
        <w:t>.</w:t>
      </w:r>
    </w:p>
  </w:footnote>
  <w:footnote w:id="6">
    <w:p w:rsidR="004F2565" w:rsidRDefault="004F2565">
      <w:pPr>
        <w:pStyle w:val="FootnoteText"/>
      </w:pPr>
      <w:r>
        <w:rPr>
          <w:rStyle w:val="FootnoteReference"/>
        </w:rPr>
        <w:footnoteRef/>
      </w:r>
      <w:r>
        <w:t xml:space="preserve"> </w:t>
      </w:r>
      <w:r w:rsidR="007956BB">
        <w:t>Id. at 3,</w:t>
      </w:r>
      <w:r>
        <w:t xml:space="preserve"> last paragraph.  (Mr. Binkley cite</w:t>
      </w:r>
      <w:r w:rsidR="007956BB">
        <w:t>s</w:t>
      </w:r>
      <w:r>
        <w:t xml:space="preserve"> RCW 81.04.510, which applies to transportation companies</w:t>
      </w:r>
      <w:r w:rsidR="007956BB">
        <w:t>, not electrical companies</w:t>
      </w:r>
      <w:r>
        <w:t xml:space="preserve">.  We assume Mr. </w:t>
      </w:r>
      <w:r>
        <w:t xml:space="preserve">Binkley intended to cite RCW </w:t>
      </w:r>
      <w:r>
        <w:t>80.04.01</w:t>
      </w:r>
      <w:r w:rsidR="00D616A2">
        <w:t>5</w:t>
      </w:r>
      <w:r>
        <w:t>).</w:t>
      </w:r>
    </w:p>
  </w:footnote>
  <w:footnote w:id="7">
    <w:p w:rsidR="007956BB" w:rsidRDefault="007956BB" w:rsidP="007956BB">
      <w:pPr>
        <w:pStyle w:val="FootnoteText"/>
      </w:pPr>
      <w:r>
        <w:rPr>
          <w:rStyle w:val="FootnoteReference"/>
        </w:rPr>
        <w:footnoteRef/>
      </w:r>
      <w:r>
        <w:t xml:space="preserve"> WAC 480-07-395(4); </w:t>
      </w:r>
      <w:r>
        <w:rPr>
          <w:i/>
        </w:rPr>
        <w:t>see also</w:t>
      </w:r>
      <w:r>
        <w:t xml:space="preserve"> CR 8(f): “All pleadings shall be so construed as to do substantial justice.”</w:t>
      </w:r>
    </w:p>
  </w:footnote>
  <w:footnote w:id="8">
    <w:p w:rsidR="004F2565" w:rsidRDefault="004F2565">
      <w:pPr>
        <w:pStyle w:val="FootnoteText"/>
      </w:pPr>
      <w:r>
        <w:rPr>
          <w:rStyle w:val="FootnoteReference"/>
        </w:rPr>
        <w:footnoteRef/>
      </w:r>
      <w:r>
        <w:t xml:space="preserve"> 107 Wn.2d at 367.  In both the </w:t>
      </w:r>
      <w:r w:rsidRPr="002A3D74">
        <w:rPr>
          <w:i/>
        </w:rPr>
        <w:t xml:space="preserve">Inland Empire </w:t>
      </w:r>
      <w:r w:rsidRPr="00186315">
        <w:t>and</w:t>
      </w:r>
      <w:r w:rsidRPr="002A3D74">
        <w:rPr>
          <w:i/>
        </w:rPr>
        <w:t xml:space="preserve"> </w:t>
      </w:r>
      <w:r>
        <w:rPr>
          <w:i/>
        </w:rPr>
        <w:t xml:space="preserve">West Valley Land </w:t>
      </w:r>
      <w:r>
        <w:t>decisions</w:t>
      </w:r>
      <w:r w:rsidRPr="002A3D74">
        <w:rPr>
          <w:i/>
        </w:rPr>
        <w:t xml:space="preserve">, </w:t>
      </w:r>
      <w:r>
        <w:t xml:space="preserve">the court also analyzed whether the entity in question operated at a profit and whether customers could be exploited if the entity in question was not subject to commission regulation.  </w:t>
      </w:r>
      <w:r>
        <w:rPr>
          <w:i/>
        </w:rPr>
        <w:t xml:space="preserve">Inland Empire, </w:t>
      </w:r>
      <w:r>
        <w:t xml:space="preserve">199 Wash. at 539; </w:t>
      </w:r>
      <w:r>
        <w:rPr>
          <w:i/>
        </w:rPr>
        <w:t>West Valley Land,</w:t>
      </w:r>
      <w:r>
        <w:t xml:space="preserve"> 107 Wn.2d at 367-69.  However, that analysis was not essential to the court’s holding, because </w:t>
      </w:r>
      <w:r w:rsidR="00EE5F1A">
        <w:t xml:space="preserve">as the court plainly stated: </w:t>
      </w:r>
      <w:r>
        <w:t xml:space="preserve">“the </w:t>
      </w:r>
      <w:r w:rsidRPr="002A3D74">
        <w:rPr>
          <w:b/>
          <w:i/>
        </w:rPr>
        <w:t>controlling factor</w:t>
      </w:r>
      <w:r>
        <w:t xml:space="preserve"> [is that the entity in question] has not dedicated or devoted its facilities to public use, nor has it held itself out as serving or ready to serve, the general public or any part of it.”  </w:t>
      </w:r>
      <w:r>
        <w:rPr>
          <w:i/>
        </w:rPr>
        <w:t xml:space="preserve">Inland </w:t>
      </w:r>
      <w:r w:rsidRPr="00215C8D">
        <w:rPr>
          <w:i/>
        </w:rPr>
        <w:t>Empire</w:t>
      </w:r>
      <w:r>
        <w:t xml:space="preserve">, </w:t>
      </w:r>
      <w:r w:rsidRPr="00215C8D">
        <w:t>199</w:t>
      </w:r>
      <w:r>
        <w:t xml:space="preserve"> Wash. at 539 (emphasis added).</w:t>
      </w:r>
    </w:p>
  </w:footnote>
  <w:footnote w:id="9">
    <w:p w:rsidR="004F2565" w:rsidRDefault="004F2565" w:rsidP="00B855D9">
      <w:pPr>
        <w:pStyle w:val="FootnoteText"/>
      </w:pPr>
      <w:r>
        <w:rPr>
          <w:rStyle w:val="FootnoteReference"/>
        </w:rPr>
        <w:footnoteRef/>
      </w:r>
      <w:r>
        <w:t xml:space="preserve"> </w:t>
      </w:r>
      <w:r w:rsidRPr="002A3D74">
        <w:rPr>
          <w:i/>
        </w:rPr>
        <w:t>Drexelbrook Associates</w:t>
      </w:r>
      <w:r>
        <w:t>, 212 A. 2d at 238-39.</w:t>
      </w:r>
    </w:p>
  </w:footnote>
  <w:footnote w:id="10">
    <w:p w:rsidR="004F2565" w:rsidRDefault="004F2565" w:rsidP="00397C2D">
      <w:pPr>
        <w:pStyle w:val="FootnoteText"/>
      </w:pPr>
      <w:r>
        <w:rPr>
          <w:rStyle w:val="FootnoteReference"/>
        </w:rPr>
        <w:footnoteRef/>
      </w:r>
      <w:r>
        <w:t xml:space="preserve"> </w:t>
      </w:r>
      <w:r w:rsidRPr="002A3D74">
        <w:rPr>
          <w:i/>
        </w:rPr>
        <w:t>Drexelbrook Associates</w:t>
      </w:r>
      <w:r>
        <w:t>, 212 A.2d at 239, quoting 66 Penn. Stat. § 1102(a) and (b).</w:t>
      </w:r>
    </w:p>
  </w:footnote>
  <w:footnote w:id="11">
    <w:p w:rsidR="004F2565" w:rsidRDefault="004F2565" w:rsidP="00397C2D">
      <w:pPr>
        <w:pStyle w:val="FootnoteText"/>
      </w:pPr>
      <w:r>
        <w:rPr>
          <w:rStyle w:val="FootnoteReference"/>
        </w:rPr>
        <w:footnoteRef/>
      </w:r>
      <w:r>
        <w:t xml:space="preserve"> RCW 80.01.040(3).</w:t>
      </w:r>
    </w:p>
  </w:footnote>
  <w:footnote w:id="12">
    <w:p w:rsidR="004F2565" w:rsidRPr="00BE295D" w:rsidRDefault="004F2565">
      <w:pPr>
        <w:pStyle w:val="FootnoteText"/>
      </w:pPr>
      <w:r>
        <w:rPr>
          <w:rStyle w:val="FootnoteReference"/>
        </w:rPr>
        <w:footnoteRef/>
      </w:r>
      <w:r>
        <w:t xml:space="preserve"> </w:t>
      </w:r>
      <w:r w:rsidRPr="002A3D74">
        <w:rPr>
          <w:i/>
        </w:rPr>
        <w:t>Drexelbrook Associates</w:t>
      </w:r>
      <w:r>
        <w:t xml:space="preserve">, 212 A.2d at 240.  </w:t>
      </w:r>
    </w:p>
  </w:footnote>
  <w:footnote w:id="13">
    <w:p w:rsidR="004F2565" w:rsidRDefault="004F2565">
      <w:pPr>
        <w:pStyle w:val="FootnoteText"/>
      </w:pPr>
      <w:r>
        <w:rPr>
          <w:rStyle w:val="FootnoteReference"/>
        </w:rPr>
        <w:footnoteRef/>
      </w:r>
      <w:r>
        <w:t xml:space="preserve"> </w:t>
      </w:r>
      <w:r w:rsidRPr="002A3D74">
        <w:rPr>
          <w:i/>
        </w:rPr>
        <w:t>Drexelbrook Associates</w:t>
      </w:r>
      <w:r>
        <w:t>, 212 A.2d at 441-42.</w:t>
      </w:r>
    </w:p>
  </w:footnote>
  <w:footnote w:id="14">
    <w:p w:rsidR="004F2565" w:rsidRDefault="004F2565">
      <w:pPr>
        <w:pStyle w:val="FootnoteText"/>
      </w:pPr>
      <w:r>
        <w:rPr>
          <w:rStyle w:val="FootnoteReference"/>
        </w:rPr>
        <w:footnoteRef/>
      </w:r>
      <w:r>
        <w:t xml:space="preserve"> In a case following </w:t>
      </w:r>
      <w:r w:rsidRPr="002A3D74">
        <w:rPr>
          <w:i/>
        </w:rPr>
        <w:t>Drexelbrook Associates</w:t>
      </w:r>
      <w:r>
        <w:t xml:space="preserve">, the Pennsylvania court outlined two relevant factors: 1) whether the service at issue is “merely incidental to the provider’s non-utility business;” and 2) “whether the utility facility was designed and constructed only to serve specific individuals so that the resulting service is not properly considered to be for the public.”  </w:t>
      </w:r>
      <w:r>
        <w:rPr>
          <w:i/>
        </w:rPr>
        <w:t>Waltman v. Penn. Pub. Util. Comm’n</w:t>
      </w:r>
      <w:r>
        <w:t xml:space="preserve">, 596 A.2d 1221, 1224 (Penn. 1992) (citations omitted).  These factors weigh heavily in favor of Salmon Shores not being a regulated electric utility, because: 1) Salmon Shores operates a substantial non-utility business (the RV park); and 2) there is no evidence Salmon Shores’ designed its system to serve the broader public.  </w:t>
      </w:r>
    </w:p>
  </w:footnote>
  <w:footnote w:id="15">
    <w:p w:rsidR="004F2565" w:rsidRPr="00AA556B" w:rsidRDefault="004F2565" w:rsidP="00FE3EFE">
      <w:pPr>
        <w:pStyle w:val="FootnoteText"/>
        <w:rPr>
          <w:b/>
        </w:rPr>
      </w:pPr>
      <w:r>
        <w:rPr>
          <w:rStyle w:val="FootnoteReference"/>
        </w:rPr>
        <w:footnoteRef/>
      </w:r>
      <w:r>
        <w:t xml:space="preserve"> A person other than a public service company may not violate a Commission statute or order with impunity, because by statute, such violators are “guilty of a gross misdemeanor.”  RCW 80.04.390, last sentence.  But, that is a matter for the superior court and the county prosecutor, because the UTC has no criminal jurisdiction.  </w:t>
      </w:r>
    </w:p>
  </w:footnote>
  <w:footnote w:id="16">
    <w:p w:rsidR="004F2565" w:rsidRDefault="004F2565">
      <w:pPr>
        <w:pStyle w:val="FootnoteText"/>
      </w:pPr>
      <w:r>
        <w:rPr>
          <w:rStyle w:val="FootnoteReference"/>
        </w:rPr>
        <w:footnoteRef/>
      </w:r>
      <w:r>
        <w:t xml:space="preserve"> RCW 80.01.040(3).</w:t>
      </w:r>
    </w:p>
  </w:footnote>
  <w:footnote w:id="17">
    <w:p w:rsidR="004F2565" w:rsidRDefault="004F2565" w:rsidP="00A16151">
      <w:pPr>
        <w:pStyle w:val="FootnoteText"/>
      </w:pPr>
      <w:r>
        <w:rPr>
          <w:rStyle w:val="FootnoteReference"/>
        </w:rPr>
        <w:footnoteRef/>
      </w:r>
      <w:r>
        <w:t xml:space="preserve"> RCW 80.04.110.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A28A92"/>
    <w:lvl w:ilvl="0">
      <w:start w:val="1"/>
      <w:numFmt w:val="decimal"/>
      <w:lvlText w:val="%1."/>
      <w:lvlJc w:val="left"/>
      <w:pPr>
        <w:tabs>
          <w:tab w:val="num" w:pos="1800"/>
        </w:tabs>
        <w:ind w:left="1800" w:hanging="360"/>
      </w:pPr>
    </w:lvl>
  </w:abstractNum>
  <w:abstractNum w:abstractNumId="1">
    <w:nsid w:val="FFFFFF7D"/>
    <w:multiLevelType w:val="singleLevel"/>
    <w:tmpl w:val="5E8EC6D2"/>
    <w:lvl w:ilvl="0">
      <w:start w:val="1"/>
      <w:numFmt w:val="decimal"/>
      <w:lvlText w:val="%1."/>
      <w:lvlJc w:val="left"/>
      <w:pPr>
        <w:tabs>
          <w:tab w:val="num" w:pos="1440"/>
        </w:tabs>
        <w:ind w:left="1440" w:hanging="360"/>
      </w:pPr>
    </w:lvl>
  </w:abstractNum>
  <w:abstractNum w:abstractNumId="2">
    <w:nsid w:val="FFFFFF7E"/>
    <w:multiLevelType w:val="singleLevel"/>
    <w:tmpl w:val="9BC0C5BA"/>
    <w:lvl w:ilvl="0">
      <w:start w:val="1"/>
      <w:numFmt w:val="decimal"/>
      <w:lvlText w:val="%1."/>
      <w:lvlJc w:val="left"/>
      <w:pPr>
        <w:tabs>
          <w:tab w:val="num" w:pos="1080"/>
        </w:tabs>
        <w:ind w:left="1080" w:hanging="360"/>
      </w:pPr>
    </w:lvl>
  </w:abstractNum>
  <w:abstractNum w:abstractNumId="3">
    <w:nsid w:val="FFFFFF7F"/>
    <w:multiLevelType w:val="singleLevel"/>
    <w:tmpl w:val="CA8C0536"/>
    <w:lvl w:ilvl="0">
      <w:start w:val="1"/>
      <w:numFmt w:val="decimal"/>
      <w:lvlText w:val="%1."/>
      <w:lvlJc w:val="left"/>
      <w:pPr>
        <w:tabs>
          <w:tab w:val="num" w:pos="720"/>
        </w:tabs>
        <w:ind w:left="720" w:hanging="360"/>
      </w:pPr>
    </w:lvl>
  </w:abstractNum>
  <w:abstractNum w:abstractNumId="4">
    <w:nsid w:val="FFFFFF80"/>
    <w:multiLevelType w:val="singleLevel"/>
    <w:tmpl w:val="FCCCCD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BE5F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768A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042D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D62BD0"/>
    <w:lvl w:ilvl="0">
      <w:start w:val="1"/>
      <w:numFmt w:val="decimal"/>
      <w:lvlText w:val="%1."/>
      <w:lvlJc w:val="left"/>
      <w:pPr>
        <w:tabs>
          <w:tab w:val="num" w:pos="360"/>
        </w:tabs>
        <w:ind w:left="360" w:hanging="360"/>
      </w:pPr>
    </w:lvl>
  </w:abstractNum>
  <w:abstractNum w:abstractNumId="9">
    <w:nsid w:val="FFFFFF89"/>
    <w:multiLevelType w:val="singleLevel"/>
    <w:tmpl w:val="37205962"/>
    <w:lvl w:ilvl="0">
      <w:start w:val="1"/>
      <w:numFmt w:val="bullet"/>
      <w:lvlText w:val=""/>
      <w:lvlJc w:val="left"/>
      <w:pPr>
        <w:tabs>
          <w:tab w:val="num" w:pos="360"/>
        </w:tabs>
        <w:ind w:left="360" w:hanging="360"/>
      </w:pPr>
      <w:rPr>
        <w:rFonts w:ascii="Symbol" w:hAnsi="Symbol" w:hint="default"/>
      </w:rPr>
    </w:lvl>
  </w:abstractNum>
  <w:abstractNum w:abstractNumId="10">
    <w:nsid w:val="02EA0767"/>
    <w:multiLevelType w:val="hybridMultilevel"/>
    <w:tmpl w:val="748699C8"/>
    <w:lvl w:ilvl="0" w:tplc="DF042C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742206B"/>
    <w:multiLevelType w:val="hybridMultilevel"/>
    <w:tmpl w:val="AD3C75BA"/>
    <w:lvl w:ilvl="0" w:tplc="DF042C6E">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9D6020C"/>
    <w:multiLevelType w:val="hybridMultilevel"/>
    <w:tmpl w:val="9DECE35A"/>
    <w:lvl w:ilvl="0" w:tplc="79A29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5232E2"/>
    <w:multiLevelType w:val="hybridMultilevel"/>
    <w:tmpl w:val="7CB228BA"/>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AA3698"/>
    <w:multiLevelType w:val="hybridMultilevel"/>
    <w:tmpl w:val="53321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97555"/>
    <w:multiLevelType w:val="hybridMultilevel"/>
    <w:tmpl w:val="1846A1BA"/>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3E14B8"/>
    <w:multiLevelType w:val="hybridMultilevel"/>
    <w:tmpl w:val="3F3A0114"/>
    <w:lvl w:ilvl="0" w:tplc="F390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401655"/>
    <w:multiLevelType w:val="hybridMultilevel"/>
    <w:tmpl w:val="227A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A4927"/>
    <w:multiLevelType w:val="hybridMultilevel"/>
    <w:tmpl w:val="5B2038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FC5212"/>
    <w:multiLevelType w:val="hybridMultilevel"/>
    <w:tmpl w:val="AC3E7C22"/>
    <w:lvl w:ilvl="0" w:tplc="DF042C6E">
      <w:start w:val="1"/>
      <w:numFmt w:val="decimal"/>
      <w:lvlText w:val="%1"/>
      <w:lvlJc w:val="left"/>
      <w:pPr>
        <w:ind w:left="72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00A7C35"/>
    <w:multiLevelType w:val="hybridMultilevel"/>
    <w:tmpl w:val="85E2A0C0"/>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5FE514B"/>
    <w:multiLevelType w:val="hybridMultilevel"/>
    <w:tmpl w:val="F87C6542"/>
    <w:lvl w:ilvl="0" w:tplc="DF042C6E">
      <w:start w:val="1"/>
      <w:numFmt w:val="decimal"/>
      <w:lvlText w:val="%1"/>
      <w:lvlJc w:val="left"/>
      <w:pPr>
        <w:ind w:left="1440" w:hanging="36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5"/>
  </w:num>
  <w:num w:numId="17">
    <w:abstractNumId w:val="21"/>
  </w:num>
  <w:num w:numId="18">
    <w:abstractNumId w:val="20"/>
  </w:num>
  <w:num w:numId="19">
    <w:abstractNumId w:val="14"/>
  </w:num>
  <w:num w:numId="20">
    <w:abstractNumId w:val="18"/>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228B"/>
    <w:rsid w:val="00006500"/>
    <w:rsid w:val="00013BCF"/>
    <w:rsid w:val="00030D34"/>
    <w:rsid w:val="00032E7B"/>
    <w:rsid w:val="00040301"/>
    <w:rsid w:val="000525A3"/>
    <w:rsid w:val="000528A0"/>
    <w:rsid w:val="00080264"/>
    <w:rsid w:val="00094CE5"/>
    <w:rsid w:val="000D00FF"/>
    <w:rsid w:val="00135A6C"/>
    <w:rsid w:val="0016494D"/>
    <w:rsid w:val="00186315"/>
    <w:rsid w:val="001B0E9A"/>
    <w:rsid w:val="001C798D"/>
    <w:rsid w:val="001E7151"/>
    <w:rsid w:val="00214110"/>
    <w:rsid w:val="00215C8D"/>
    <w:rsid w:val="0026228B"/>
    <w:rsid w:val="00275D2D"/>
    <w:rsid w:val="002836AE"/>
    <w:rsid w:val="00285853"/>
    <w:rsid w:val="0029334C"/>
    <w:rsid w:val="002A3D74"/>
    <w:rsid w:val="002E2703"/>
    <w:rsid w:val="002E67E8"/>
    <w:rsid w:val="002E6CD1"/>
    <w:rsid w:val="003101EA"/>
    <w:rsid w:val="00335D10"/>
    <w:rsid w:val="00341FD1"/>
    <w:rsid w:val="003478FC"/>
    <w:rsid w:val="00361C4B"/>
    <w:rsid w:val="003629D7"/>
    <w:rsid w:val="00367D5B"/>
    <w:rsid w:val="00385808"/>
    <w:rsid w:val="00386B81"/>
    <w:rsid w:val="00391A41"/>
    <w:rsid w:val="00397C2D"/>
    <w:rsid w:val="003C0C11"/>
    <w:rsid w:val="003E7A19"/>
    <w:rsid w:val="003F096F"/>
    <w:rsid w:val="00423A55"/>
    <w:rsid w:val="004A4A81"/>
    <w:rsid w:val="004E2229"/>
    <w:rsid w:val="004E2551"/>
    <w:rsid w:val="004E47AF"/>
    <w:rsid w:val="004F2565"/>
    <w:rsid w:val="00522D25"/>
    <w:rsid w:val="0052584B"/>
    <w:rsid w:val="00550D34"/>
    <w:rsid w:val="005851B7"/>
    <w:rsid w:val="005959AF"/>
    <w:rsid w:val="005A2E07"/>
    <w:rsid w:val="005A64BC"/>
    <w:rsid w:val="00613495"/>
    <w:rsid w:val="00622988"/>
    <w:rsid w:val="00647B39"/>
    <w:rsid w:val="00676DB2"/>
    <w:rsid w:val="006A060E"/>
    <w:rsid w:val="006B1B17"/>
    <w:rsid w:val="006E7E3D"/>
    <w:rsid w:val="00722346"/>
    <w:rsid w:val="00771FB8"/>
    <w:rsid w:val="007769E0"/>
    <w:rsid w:val="007956BB"/>
    <w:rsid w:val="00815C27"/>
    <w:rsid w:val="00836134"/>
    <w:rsid w:val="00860B6F"/>
    <w:rsid w:val="008617AF"/>
    <w:rsid w:val="008627F5"/>
    <w:rsid w:val="00883C5C"/>
    <w:rsid w:val="008D60BE"/>
    <w:rsid w:val="008F23B3"/>
    <w:rsid w:val="00906076"/>
    <w:rsid w:val="009C10AF"/>
    <w:rsid w:val="009C4DA0"/>
    <w:rsid w:val="00A16151"/>
    <w:rsid w:val="00A2086D"/>
    <w:rsid w:val="00A64B73"/>
    <w:rsid w:val="00A82C93"/>
    <w:rsid w:val="00A87C8E"/>
    <w:rsid w:val="00AA556B"/>
    <w:rsid w:val="00AA5FD8"/>
    <w:rsid w:val="00B14586"/>
    <w:rsid w:val="00B164E8"/>
    <w:rsid w:val="00B17EF1"/>
    <w:rsid w:val="00B20764"/>
    <w:rsid w:val="00B37D21"/>
    <w:rsid w:val="00B72351"/>
    <w:rsid w:val="00B84FC8"/>
    <w:rsid w:val="00B855D9"/>
    <w:rsid w:val="00BC07E0"/>
    <w:rsid w:val="00BD6E15"/>
    <w:rsid w:val="00BE295D"/>
    <w:rsid w:val="00C15493"/>
    <w:rsid w:val="00C458BC"/>
    <w:rsid w:val="00C46D95"/>
    <w:rsid w:val="00C530A7"/>
    <w:rsid w:val="00C61AA7"/>
    <w:rsid w:val="00C6460D"/>
    <w:rsid w:val="00CA2B01"/>
    <w:rsid w:val="00CB1F51"/>
    <w:rsid w:val="00CC5CF9"/>
    <w:rsid w:val="00CF0AD7"/>
    <w:rsid w:val="00CF6722"/>
    <w:rsid w:val="00D15AAF"/>
    <w:rsid w:val="00D22BE8"/>
    <w:rsid w:val="00D3012F"/>
    <w:rsid w:val="00D37FB3"/>
    <w:rsid w:val="00D5664C"/>
    <w:rsid w:val="00D57870"/>
    <w:rsid w:val="00D616A2"/>
    <w:rsid w:val="00D667BC"/>
    <w:rsid w:val="00D82BC5"/>
    <w:rsid w:val="00D91E1E"/>
    <w:rsid w:val="00D946E1"/>
    <w:rsid w:val="00DA64DB"/>
    <w:rsid w:val="00DC2217"/>
    <w:rsid w:val="00DC34EC"/>
    <w:rsid w:val="00DD0F0B"/>
    <w:rsid w:val="00DD5FCA"/>
    <w:rsid w:val="00E15D16"/>
    <w:rsid w:val="00E41898"/>
    <w:rsid w:val="00E734EF"/>
    <w:rsid w:val="00E849A9"/>
    <w:rsid w:val="00EA3F4C"/>
    <w:rsid w:val="00EB5480"/>
    <w:rsid w:val="00ED215A"/>
    <w:rsid w:val="00ED7E76"/>
    <w:rsid w:val="00EE5F1A"/>
    <w:rsid w:val="00F04319"/>
    <w:rsid w:val="00F157A4"/>
    <w:rsid w:val="00F5496B"/>
    <w:rsid w:val="00F56B63"/>
    <w:rsid w:val="00F76EC0"/>
    <w:rsid w:val="00F94013"/>
    <w:rsid w:val="00FE3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4C"/>
    <w:pPr>
      <w:ind w:left="720"/>
      <w:contextualSpacing/>
    </w:pPr>
  </w:style>
  <w:style w:type="paragraph" w:styleId="FootnoteText">
    <w:name w:val="footnote text"/>
    <w:basedOn w:val="Normal"/>
    <w:link w:val="FootnoteTextChar"/>
    <w:uiPriority w:val="99"/>
    <w:semiHidden/>
    <w:unhideWhenUsed/>
    <w:rsid w:val="00862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7F5"/>
    <w:rPr>
      <w:sz w:val="20"/>
      <w:szCs w:val="20"/>
    </w:rPr>
  </w:style>
  <w:style w:type="character" w:styleId="FootnoteReference">
    <w:name w:val="footnote reference"/>
    <w:basedOn w:val="DefaultParagraphFont"/>
    <w:uiPriority w:val="99"/>
    <w:semiHidden/>
    <w:unhideWhenUsed/>
    <w:rsid w:val="008627F5"/>
    <w:rPr>
      <w:vertAlign w:val="superscript"/>
    </w:rPr>
  </w:style>
  <w:style w:type="character" w:styleId="CommentReference">
    <w:name w:val="annotation reference"/>
    <w:basedOn w:val="DefaultParagraphFont"/>
    <w:uiPriority w:val="99"/>
    <w:semiHidden/>
    <w:unhideWhenUsed/>
    <w:rsid w:val="000525A3"/>
    <w:rPr>
      <w:sz w:val="16"/>
      <w:szCs w:val="16"/>
    </w:rPr>
  </w:style>
  <w:style w:type="paragraph" w:styleId="CommentText">
    <w:name w:val="annotation text"/>
    <w:basedOn w:val="Normal"/>
    <w:link w:val="CommentTextChar"/>
    <w:uiPriority w:val="99"/>
    <w:semiHidden/>
    <w:unhideWhenUsed/>
    <w:rsid w:val="000525A3"/>
    <w:pPr>
      <w:spacing w:line="240" w:lineRule="auto"/>
    </w:pPr>
    <w:rPr>
      <w:sz w:val="20"/>
      <w:szCs w:val="20"/>
    </w:rPr>
  </w:style>
  <w:style w:type="character" w:customStyle="1" w:styleId="CommentTextChar">
    <w:name w:val="Comment Text Char"/>
    <w:basedOn w:val="DefaultParagraphFont"/>
    <w:link w:val="CommentText"/>
    <w:uiPriority w:val="99"/>
    <w:semiHidden/>
    <w:rsid w:val="000525A3"/>
    <w:rPr>
      <w:sz w:val="20"/>
      <w:szCs w:val="20"/>
    </w:rPr>
  </w:style>
  <w:style w:type="paragraph" w:styleId="CommentSubject">
    <w:name w:val="annotation subject"/>
    <w:basedOn w:val="CommentText"/>
    <w:next w:val="CommentText"/>
    <w:link w:val="CommentSubjectChar"/>
    <w:uiPriority w:val="99"/>
    <w:semiHidden/>
    <w:unhideWhenUsed/>
    <w:rsid w:val="000525A3"/>
    <w:rPr>
      <w:b/>
      <w:bCs/>
    </w:rPr>
  </w:style>
  <w:style w:type="character" w:customStyle="1" w:styleId="CommentSubjectChar">
    <w:name w:val="Comment Subject Char"/>
    <w:basedOn w:val="CommentTextChar"/>
    <w:link w:val="CommentSubject"/>
    <w:uiPriority w:val="99"/>
    <w:semiHidden/>
    <w:rsid w:val="000525A3"/>
    <w:rPr>
      <w:b/>
      <w:bCs/>
    </w:rPr>
  </w:style>
  <w:style w:type="paragraph" w:styleId="BalloonText">
    <w:name w:val="Balloon Text"/>
    <w:basedOn w:val="Normal"/>
    <w:link w:val="BalloonTextChar"/>
    <w:uiPriority w:val="99"/>
    <w:semiHidden/>
    <w:unhideWhenUsed/>
    <w:rsid w:val="00052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A3"/>
    <w:rPr>
      <w:rFonts w:ascii="Tahoma" w:hAnsi="Tahoma" w:cs="Tahoma"/>
      <w:sz w:val="16"/>
      <w:szCs w:val="16"/>
    </w:rPr>
  </w:style>
  <w:style w:type="paragraph" w:styleId="Title">
    <w:name w:val="Title"/>
    <w:basedOn w:val="Normal"/>
    <w:link w:val="TitleChar"/>
    <w:qFormat/>
    <w:rsid w:val="003629D7"/>
    <w:pPr>
      <w:spacing w:after="0" w:line="240" w:lineRule="auto"/>
      <w:jc w:val="center"/>
    </w:pPr>
    <w:rPr>
      <w:rFonts w:ascii="Palatino Linotype" w:eastAsia="Times New Roman" w:hAnsi="Palatino Linotype"/>
      <w:b/>
      <w:bCs/>
    </w:rPr>
  </w:style>
  <w:style w:type="character" w:customStyle="1" w:styleId="TitleChar">
    <w:name w:val="Title Char"/>
    <w:basedOn w:val="DefaultParagraphFont"/>
    <w:link w:val="Title"/>
    <w:rsid w:val="003629D7"/>
    <w:rPr>
      <w:rFonts w:ascii="Palatino Linotype" w:eastAsia="Times New Roman" w:hAnsi="Palatino Linotype"/>
      <w:b/>
      <w:bCs/>
    </w:rPr>
  </w:style>
  <w:style w:type="paragraph" w:styleId="BodyTextIndent2">
    <w:name w:val="Body Text Indent 2"/>
    <w:basedOn w:val="Normal"/>
    <w:link w:val="BodyTextIndent2Char"/>
    <w:rsid w:val="00A82C93"/>
    <w:pPr>
      <w:spacing w:after="0" w:line="240" w:lineRule="auto"/>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A82C93"/>
    <w:rPr>
      <w:rFonts w:ascii="Palatino Linotype" w:eastAsia="Times New Roman" w:hAnsi="Palatino Linotype"/>
    </w:rPr>
  </w:style>
  <w:style w:type="paragraph" w:styleId="Header">
    <w:name w:val="header"/>
    <w:basedOn w:val="Normal"/>
    <w:link w:val="HeaderChar"/>
    <w:uiPriority w:val="99"/>
    <w:semiHidden/>
    <w:unhideWhenUsed/>
    <w:rsid w:val="00013B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3BCF"/>
  </w:style>
  <w:style w:type="paragraph" w:styleId="Footer">
    <w:name w:val="footer"/>
    <w:basedOn w:val="Normal"/>
    <w:link w:val="FooterChar"/>
    <w:uiPriority w:val="99"/>
    <w:semiHidden/>
    <w:unhideWhenUsed/>
    <w:rsid w:val="00013B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BCF"/>
  </w:style>
</w:styles>
</file>

<file path=word/webSettings.xml><?xml version="1.0" encoding="utf-8"?>
<w:webSettings xmlns:r="http://schemas.openxmlformats.org/officeDocument/2006/relationships" xmlns:w="http://schemas.openxmlformats.org/wordprocessingml/2006/main">
  <w:divs>
    <w:div w:id="28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2009-09-14T07:00:00+00:00</OpenedDate>
    <Date1 xmlns="dc463f71-b30c-4ab2-9473-d307f9d35888">2010-04-28T07:00:00+00:00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F9F4016E74264D89E301FE540D18D2" ma:contentTypeVersion="131" ma:contentTypeDescription="" ma:contentTypeScope="" ma:versionID="0e3a4e1ebd4e509945a4e2ccff184a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F2AB74-FB90-4305-AFBB-48CC09AC51F7}"/>
</file>

<file path=customXml/itemProps2.xml><?xml version="1.0" encoding="utf-8"?>
<ds:datastoreItem xmlns:ds="http://schemas.openxmlformats.org/officeDocument/2006/customXml" ds:itemID="{668A4331-67D6-4936-A58C-CED6F035D2BC}"/>
</file>

<file path=customXml/itemProps3.xml><?xml version="1.0" encoding="utf-8"?>
<ds:datastoreItem xmlns:ds="http://schemas.openxmlformats.org/officeDocument/2006/customXml" ds:itemID="{62F5AB1D-74B7-4F62-ADC3-4C1096170875}"/>
</file>

<file path=customXml/itemProps4.xml><?xml version="1.0" encoding="utf-8"?>
<ds:datastoreItem xmlns:ds="http://schemas.openxmlformats.org/officeDocument/2006/customXml" ds:itemID="{6B30A5A8-6DE4-4511-BA6E-E08B517C05D6}"/>
</file>

<file path=customXml/itemProps5.xml><?xml version="1.0" encoding="utf-8"?>
<ds:datastoreItem xmlns:ds="http://schemas.openxmlformats.org/officeDocument/2006/customXml" ds:itemID="{867A734B-BB67-4D7C-9950-42D367C6DD41}"/>
</file>

<file path=docProps/app.xml><?xml version="1.0" encoding="utf-8"?>
<Properties xmlns="http://schemas.openxmlformats.org/officeDocument/2006/extended-properties" xmlns:vt="http://schemas.openxmlformats.org/officeDocument/2006/docPropsVTypes">
  <Template>Normal.dotm</Template>
  <TotalTime>6</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3</cp:revision>
  <cp:lastPrinted>2010-04-28T16:59:00Z</cp:lastPrinted>
  <dcterms:created xsi:type="dcterms:W3CDTF">2010-04-28T16:55:00Z</dcterms:created>
  <dcterms:modified xsi:type="dcterms:W3CDTF">2010-04-28T17:00:00Z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0x0101006E56B4D1795A2E4DB2F0B01679ED314A00FEF9F4016E74264D89E301FE540D18D2</vt:lpwstr>
  </property>
  <property fmtid="{D5CDD505-2E9C-101B-9397-08002B2CF9AE}" pid="3" name="_docset_NoMedatataSyncRequired">
    <vt:lpwstr>False</vt:lpwstr>
  </property>
</Properties>
</file>