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85EB" w14:textId="017D5C6B" w:rsidR="00FD7418" w:rsidRPr="00755404" w:rsidRDefault="00FD7418" w:rsidP="0085481D">
      <w:pPr>
        <w:ind w:left="5760" w:right="-252"/>
        <w:jc w:val="both"/>
        <w:rPr>
          <w:rFonts w:eastAsia="Times New Roman"/>
          <w:b/>
          <w:bCs/>
        </w:rPr>
      </w:pPr>
      <w:r w:rsidRPr="00755404">
        <w:rPr>
          <w:rFonts w:eastAsia="Times New Roman"/>
          <w:b/>
          <w:bCs/>
        </w:rPr>
        <w:t xml:space="preserve">Exhibit No. </w:t>
      </w:r>
      <w:r w:rsidR="008D3E96">
        <w:rPr>
          <w:rFonts w:eastAsia="Times New Roman"/>
          <w:b/>
          <w:bCs/>
        </w:rPr>
        <w:t>MC</w:t>
      </w:r>
      <w:r w:rsidRPr="00755404">
        <w:rPr>
          <w:rFonts w:eastAsia="Times New Roman"/>
          <w:b/>
          <w:bCs/>
        </w:rPr>
        <w:t xml:space="preserve">-1T </w:t>
      </w:r>
    </w:p>
    <w:p w14:paraId="150E70E6" w14:textId="4FAE4B6C" w:rsidR="00FD7418" w:rsidRPr="00755404" w:rsidRDefault="00FD7418" w:rsidP="0085481D">
      <w:pPr>
        <w:ind w:left="5760" w:right="-252"/>
        <w:jc w:val="both"/>
        <w:rPr>
          <w:rFonts w:eastAsia="Times New Roman"/>
          <w:b/>
          <w:bCs/>
        </w:rPr>
      </w:pPr>
      <w:r w:rsidRPr="00755404">
        <w:rPr>
          <w:rFonts w:eastAsia="Times New Roman"/>
          <w:b/>
          <w:bCs/>
        </w:rPr>
        <w:t>Dockets UE-1</w:t>
      </w:r>
      <w:r w:rsidR="003741A5">
        <w:rPr>
          <w:rFonts w:eastAsia="Times New Roman"/>
          <w:b/>
          <w:bCs/>
        </w:rPr>
        <w:t>60228</w:t>
      </w:r>
      <w:r w:rsidRPr="00755404">
        <w:rPr>
          <w:rFonts w:eastAsia="Times New Roman"/>
          <w:b/>
          <w:bCs/>
        </w:rPr>
        <w:t>/UG-1</w:t>
      </w:r>
      <w:r w:rsidR="003741A5">
        <w:rPr>
          <w:rFonts w:eastAsia="Times New Roman"/>
          <w:b/>
          <w:bCs/>
        </w:rPr>
        <w:t>60229</w:t>
      </w:r>
    </w:p>
    <w:p w14:paraId="660DE9F0" w14:textId="4E31708A" w:rsidR="00FD7418" w:rsidRPr="00755404" w:rsidRDefault="00FD7418" w:rsidP="0085481D">
      <w:pPr>
        <w:ind w:left="5760" w:right="-252"/>
        <w:jc w:val="both"/>
        <w:rPr>
          <w:rFonts w:eastAsia="Times New Roman"/>
          <w:b/>
          <w:bCs/>
        </w:rPr>
      </w:pPr>
      <w:r w:rsidRPr="00755404">
        <w:rPr>
          <w:rFonts w:eastAsia="Times New Roman"/>
          <w:b/>
          <w:bCs/>
        </w:rPr>
        <w:t>Witness:</w:t>
      </w:r>
      <w:r w:rsidR="0085481D">
        <w:rPr>
          <w:rFonts w:eastAsia="Times New Roman"/>
          <w:b/>
          <w:bCs/>
        </w:rPr>
        <w:t xml:space="preserve"> </w:t>
      </w:r>
      <w:r w:rsidRPr="00755404">
        <w:rPr>
          <w:rFonts w:eastAsia="Times New Roman"/>
          <w:b/>
          <w:bCs/>
        </w:rPr>
        <w:t xml:space="preserve"> </w:t>
      </w:r>
      <w:r w:rsidR="008D3E96">
        <w:rPr>
          <w:rFonts w:eastAsia="Times New Roman"/>
          <w:b/>
          <w:bCs/>
        </w:rPr>
        <w:t>Melissa Cheesman</w:t>
      </w:r>
    </w:p>
    <w:p w14:paraId="3ED499D8" w14:textId="5FBCD604" w:rsidR="00FD7418" w:rsidRPr="00755404" w:rsidRDefault="00FD7418" w:rsidP="00FD7418">
      <w:pPr>
        <w:tabs>
          <w:tab w:val="center" w:pos="4680"/>
        </w:tabs>
        <w:ind w:right="-252" w:hanging="360"/>
        <w:jc w:val="both"/>
        <w:rPr>
          <w:rFonts w:eastAsia="Times New Roman"/>
          <w:b/>
          <w:bCs/>
        </w:rPr>
      </w:pPr>
    </w:p>
    <w:p w14:paraId="7D1EBE65" w14:textId="77777777" w:rsidR="00FD7418" w:rsidRPr="00755404" w:rsidRDefault="00FD7418" w:rsidP="00FD7418">
      <w:pPr>
        <w:tabs>
          <w:tab w:val="center" w:pos="4680"/>
        </w:tabs>
        <w:ind w:right="-252" w:hanging="360"/>
        <w:jc w:val="both"/>
        <w:rPr>
          <w:rFonts w:eastAsia="Times New Roman"/>
          <w:b/>
          <w:bCs/>
        </w:rPr>
      </w:pPr>
    </w:p>
    <w:p w14:paraId="1F7B1B1C" w14:textId="77777777" w:rsidR="00FD7418" w:rsidRPr="00755404" w:rsidRDefault="00FD7418" w:rsidP="00FD7418">
      <w:pPr>
        <w:tabs>
          <w:tab w:val="center" w:pos="4680"/>
        </w:tabs>
        <w:ind w:right="-252" w:hanging="360"/>
        <w:jc w:val="both"/>
        <w:rPr>
          <w:rFonts w:eastAsia="Times New Roman"/>
          <w:b/>
          <w:bCs/>
        </w:rPr>
      </w:pPr>
    </w:p>
    <w:p w14:paraId="50CBC2BC" w14:textId="77777777" w:rsidR="00FD7418" w:rsidRPr="00755404" w:rsidRDefault="00FD7418" w:rsidP="00FD7418">
      <w:pPr>
        <w:tabs>
          <w:tab w:val="center" w:pos="4680"/>
        </w:tabs>
        <w:ind w:right="-432" w:hanging="720"/>
        <w:jc w:val="center"/>
        <w:rPr>
          <w:b/>
        </w:rPr>
      </w:pPr>
      <w:r w:rsidRPr="00755404">
        <w:rPr>
          <w:b/>
        </w:rPr>
        <w:t xml:space="preserve">BEFORE THE WASHINGTON </w:t>
      </w:r>
    </w:p>
    <w:p w14:paraId="33FA7DAA" w14:textId="02FADCE1" w:rsidR="00FD7418" w:rsidRDefault="00FD7418" w:rsidP="00FD7418">
      <w:pPr>
        <w:tabs>
          <w:tab w:val="center" w:pos="4680"/>
        </w:tabs>
        <w:ind w:right="-432" w:hanging="720"/>
        <w:jc w:val="center"/>
        <w:rPr>
          <w:b/>
        </w:rPr>
      </w:pPr>
      <w:r w:rsidRPr="00755404">
        <w:rPr>
          <w:b/>
        </w:rPr>
        <w:t>UTILITIES AND TRANSPORTATION COMMISSION</w:t>
      </w:r>
    </w:p>
    <w:p w14:paraId="51A40710" w14:textId="77777777" w:rsidR="0085481D" w:rsidRPr="00755404" w:rsidRDefault="0085481D" w:rsidP="00FD7418">
      <w:pPr>
        <w:tabs>
          <w:tab w:val="center" w:pos="4680"/>
        </w:tabs>
        <w:ind w:right="-432" w:hanging="720"/>
        <w:jc w:val="center"/>
        <w:rPr>
          <w:b/>
        </w:rPr>
      </w:pPr>
    </w:p>
    <w:p w14:paraId="2BB3B4A8" w14:textId="77777777" w:rsidR="00FD7418" w:rsidRPr="00755404" w:rsidRDefault="00FD7418" w:rsidP="00FD7418">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418" w:rsidRPr="00755404" w14:paraId="628C0BC6" w14:textId="77777777" w:rsidTr="00D20472">
        <w:tc>
          <w:tcPr>
            <w:tcW w:w="4590" w:type="dxa"/>
            <w:tcBorders>
              <w:top w:val="single" w:sz="6" w:space="0" w:color="FFFFFF"/>
              <w:left w:val="single" w:sz="6" w:space="0" w:color="FFFFFF"/>
              <w:bottom w:val="single" w:sz="6" w:space="0" w:color="000000"/>
              <w:right w:val="single" w:sz="6" w:space="0" w:color="FFFFFF"/>
            </w:tcBorders>
          </w:tcPr>
          <w:p w14:paraId="282658F7" w14:textId="77777777" w:rsidR="00FD7418" w:rsidRPr="00755404" w:rsidRDefault="00FD7418" w:rsidP="00D20472">
            <w:pPr>
              <w:pStyle w:val="Header"/>
              <w:tabs>
                <w:tab w:val="left" w:pos="681"/>
                <w:tab w:val="left" w:pos="1401"/>
              </w:tabs>
              <w:rPr>
                <w:b/>
              </w:rPr>
            </w:pPr>
            <w:r w:rsidRPr="00755404">
              <w:rPr>
                <w:b/>
              </w:rPr>
              <w:t>WASHINGTON UTILITIES AND TRANSPORTATION COMMISSION,</w:t>
            </w:r>
          </w:p>
          <w:p w14:paraId="622FBD97" w14:textId="77777777" w:rsidR="00FD7418" w:rsidRPr="00755404" w:rsidRDefault="00FD7418" w:rsidP="00D20472">
            <w:pPr>
              <w:pStyle w:val="Header"/>
              <w:tabs>
                <w:tab w:val="left" w:pos="681"/>
                <w:tab w:val="left" w:pos="1401"/>
              </w:tabs>
              <w:rPr>
                <w:b/>
              </w:rPr>
            </w:pPr>
          </w:p>
          <w:p w14:paraId="5C893D18" w14:textId="21BCA62D" w:rsidR="00FD7418" w:rsidRPr="00755404" w:rsidRDefault="00FD7418" w:rsidP="00D20472">
            <w:pPr>
              <w:pStyle w:val="Header"/>
              <w:tabs>
                <w:tab w:val="left" w:pos="681"/>
                <w:tab w:val="left" w:pos="1401"/>
              </w:tabs>
              <w:rPr>
                <w:b/>
              </w:rPr>
            </w:pPr>
            <w:r w:rsidRPr="00755404">
              <w:rPr>
                <w:b/>
              </w:rPr>
              <w:tab/>
            </w:r>
            <w:r w:rsidR="0085481D">
              <w:rPr>
                <w:b/>
              </w:rPr>
              <w:tab/>
            </w:r>
            <w:r w:rsidRPr="00755404">
              <w:rPr>
                <w:b/>
              </w:rPr>
              <w:t>Complainant,</w:t>
            </w:r>
          </w:p>
          <w:p w14:paraId="17F9A97F" w14:textId="77777777" w:rsidR="00FD7418" w:rsidRPr="00755404" w:rsidRDefault="00FD7418" w:rsidP="00D20472">
            <w:pPr>
              <w:pStyle w:val="Header"/>
              <w:tabs>
                <w:tab w:val="left" w:pos="681"/>
                <w:tab w:val="left" w:pos="1401"/>
              </w:tabs>
              <w:rPr>
                <w:b/>
              </w:rPr>
            </w:pPr>
          </w:p>
          <w:p w14:paraId="5FE83691" w14:textId="77777777" w:rsidR="00FD7418" w:rsidRPr="00755404" w:rsidRDefault="00FD7418" w:rsidP="00D20472">
            <w:pPr>
              <w:pStyle w:val="Header"/>
              <w:tabs>
                <w:tab w:val="left" w:pos="681"/>
                <w:tab w:val="left" w:pos="1401"/>
              </w:tabs>
              <w:rPr>
                <w:b/>
              </w:rPr>
            </w:pPr>
            <w:r w:rsidRPr="00755404">
              <w:rPr>
                <w:b/>
              </w:rPr>
              <w:t>v.</w:t>
            </w:r>
          </w:p>
          <w:p w14:paraId="6A8232D0" w14:textId="77777777" w:rsidR="00FD7418" w:rsidRPr="00755404" w:rsidRDefault="00FD7418" w:rsidP="00D20472">
            <w:pPr>
              <w:pStyle w:val="Header"/>
              <w:tabs>
                <w:tab w:val="left" w:pos="681"/>
                <w:tab w:val="left" w:pos="1401"/>
              </w:tabs>
              <w:rPr>
                <w:b/>
              </w:rPr>
            </w:pPr>
          </w:p>
          <w:p w14:paraId="1FE4431C" w14:textId="26F0E7D7" w:rsidR="00FD7418" w:rsidRPr="00755404" w:rsidRDefault="00FD7418" w:rsidP="00D20472">
            <w:pPr>
              <w:pStyle w:val="Header"/>
              <w:tabs>
                <w:tab w:val="left" w:pos="681"/>
                <w:tab w:val="left" w:pos="1401"/>
              </w:tabs>
              <w:rPr>
                <w:b/>
              </w:rPr>
            </w:pPr>
            <w:r w:rsidRPr="00755404">
              <w:rPr>
                <w:b/>
              </w:rPr>
              <w:t>AVISTA CORPORATION d</w:t>
            </w:r>
            <w:r w:rsidR="00ED472A" w:rsidRPr="00755404">
              <w:rPr>
                <w:b/>
              </w:rPr>
              <w:t>/</w:t>
            </w:r>
            <w:r w:rsidRPr="00755404">
              <w:rPr>
                <w:b/>
              </w:rPr>
              <w:t>b</w:t>
            </w:r>
            <w:r w:rsidR="00ED472A" w:rsidRPr="00755404">
              <w:rPr>
                <w:b/>
              </w:rPr>
              <w:t>/</w:t>
            </w:r>
            <w:r w:rsidRPr="00755404">
              <w:rPr>
                <w:b/>
              </w:rPr>
              <w:t>a</w:t>
            </w:r>
          </w:p>
          <w:p w14:paraId="12EF5215" w14:textId="77777777" w:rsidR="00FD7418" w:rsidRPr="00755404" w:rsidRDefault="00FD7418" w:rsidP="00D20472">
            <w:pPr>
              <w:pStyle w:val="Header"/>
              <w:tabs>
                <w:tab w:val="left" w:pos="681"/>
                <w:tab w:val="left" w:pos="1401"/>
              </w:tabs>
              <w:rPr>
                <w:b/>
              </w:rPr>
            </w:pPr>
            <w:r w:rsidRPr="00755404">
              <w:rPr>
                <w:b/>
              </w:rPr>
              <w:t>AVISTA UTILITIES,</w:t>
            </w:r>
          </w:p>
          <w:p w14:paraId="022C98FE" w14:textId="77777777" w:rsidR="00FD7418" w:rsidRPr="00755404" w:rsidRDefault="00FD7418" w:rsidP="00D20472">
            <w:pPr>
              <w:pStyle w:val="Header"/>
              <w:tabs>
                <w:tab w:val="left" w:pos="681"/>
                <w:tab w:val="left" w:pos="1401"/>
              </w:tabs>
              <w:rPr>
                <w:b/>
              </w:rPr>
            </w:pPr>
          </w:p>
          <w:p w14:paraId="03F605F2" w14:textId="4156CE0B" w:rsidR="00FD7418" w:rsidRPr="00755404" w:rsidRDefault="00FD7418" w:rsidP="00D20472">
            <w:pPr>
              <w:pStyle w:val="Header"/>
              <w:tabs>
                <w:tab w:val="left" w:pos="681"/>
                <w:tab w:val="left" w:pos="1401"/>
              </w:tabs>
              <w:rPr>
                <w:b/>
              </w:rPr>
            </w:pPr>
            <w:r w:rsidRPr="00755404">
              <w:rPr>
                <w:b/>
              </w:rPr>
              <w:tab/>
            </w:r>
            <w:r w:rsidR="0085481D">
              <w:rPr>
                <w:b/>
              </w:rPr>
              <w:tab/>
            </w:r>
            <w:r w:rsidRPr="00755404">
              <w:rPr>
                <w:b/>
              </w:rPr>
              <w:t>Respondent.</w:t>
            </w:r>
          </w:p>
          <w:p w14:paraId="104EB4D7" w14:textId="77777777" w:rsidR="00FD7418" w:rsidRPr="00755404" w:rsidRDefault="00FD7418" w:rsidP="00D20472">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76BB3D5F" w14:textId="77777777" w:rsidR="005D1EF5" w:rsidRPr="005D1EF5" w:rsidRDefault="005D1EF5" w:rsidP="005D1EF5">
            <w:pPr>
              <w:ind w:left="734" w:hanging="14"/>
              <w:rPr>
                <w:b/>
              </w:rPr>
            </w:pPr>
            <w:r w:rsidRPr="005D1EF5">
              <w:rPr>
                <w:b/>
              </w:rPr>
              <w:t>DOCKETS UE-160228 and</w:t>
            </w:r>
          </w:p>
          <w:p w14:paraId="59E5DE3F" w14:textId="082E6EEF" w:rsidR="00FD7418" w:rsidRPr="00755404" w:rsidRDefault="005D1EF5" w:rsidP="005D1EF5">
            <w:pPr>
              <w:ind w:left="734" w:hanging="14"/>
              <w:rPr>
                <w:b/>
                <w:i/>
              </w:rPr>
            </w:pPr>
            <w:r w:rsidRPr="005D1EF5">
              <w:rPr>
                <w:b/>
              </w:rPr>
              <w:t>UG-160229 (</w:t>
            </w:r>
            <w:r w:rsidRPr="005D1EF5">
              <w:rPr>
                <w:b/>
                <w:i/>
              </w:rPr>
              <w:t>Consolidated</w:t>
            </w:r>
            <w:r w:rsidRPr="005D1EF5">
              <w:rPr>
                <w:b/>
              </w:rPr>
              <w:t>)</w:t>
            </w:r>
          </w:p>
        </w:tc>
      </w:tr>
    </w:tbl>
    <w:p w14:paraId="31AC928F" w14:textId="77777777" w:rsidR="00FD7418" w:rsidRPr="00755404" w:rsidRDefault="00FD7418" w:rsidP="00FD7418">
      <w:pPr>
        <w:rPr>
          <w:rFonts w:eastAsia="Times New Roman"/>
          <w:b/>
          <w:bCs/>
        </w:rPr>
      </w:pPr>
    </w:p>
    <w:p w14:paraId="447F3371" w14:textId="77777777" w:rsidR="00FD7418" w:rsidRPr="00755404" w:rsidRDefault="00FD7418" w:rsidP="00FD7418">
      <w:pPr>
        <w:rPr>
          <w:rFonts w:eastAsia="Times New Roman"/>
          <w:b/>
          <w:bCs/>
        </w:rPr>
      </w:pPr>
    </w:p>
    <w:p w14:paraId="5EE5586E" w14:textId="77777777" w:rsidR="00FD7418" w:rsidRPr="00755404" w:rsidRDefault="00FD7418" w:rsidP="00FD7418">
      <w:pPr>
        <w:jc w:val="center"/>
        <w:rPr>
          <w:rFonts w:eastAsia="Times New Roman"/>
          <w:b/>
          <w:bCs/>
        </w:rPr>
      </w:pPr>
    </w:p>
    <w:p w14:paraId="1F7E60C2" w14:textId="77777777" w:rsidR="00FD7418" w:rsidRPr="00755404" w:rsidRDefault="00FD7418" w:rsidP="00FD7418">
      <w:pPr>
        <w:jc w:val="center"/>
        <w:rPr>
          <w:rFonts w:eastAsia="Times New Roman"/>
          <w:b/>
          <w:bCs/>
        </w:rPr>
      </w:pPr>
      <w:r w:rsidRPr="00755404">
        <w:rPr>
          <w:rFonts w:eastAsia="Times New Roman"/>
          <w:b/>
          <w:bCs/>
        </w:rPr>
        <w:t>TESTIMONY OF</w:t>
      </w:r>
    </w:p>
    <w:p w14:paraId="4E52C26D" w14:textId="77777777" w:rsidR="00FD7418" w:rsidRPr="00755404" w:rsidRDefault="00FD7418" w:rsidP="00FD7418">
      <w:pPr>
        <w:jc w:val="center"/>
        <w:rPr>
          <w:rFonts w:eastAsia="Times New Roman"/>
          <w:b/>
          <w:bCs/>
        </w:rPr>
      </w:pPr>
    </w:p>
    <w:p w14:paraId="57F9A22B" w14:textId="687188EE" w:rsidR="00FD7418" w:rsidRPr="00755404" w:rsidRDefault="0085481D" w:rsidP="00FD7418">
      <w:pPr>
        <w:jc w:val="center"/>
        <w:rPr>
          <w:rFonts w:eastAsia="Times New Roman"/>
          <w:b/>
          <w:bCs/>
        </w:rPr>
      </w:pPr>
      <w:r>
        <w:rPr>
          <w:rFonts w:eastAsia="Times New Roman"/>
          <w:b/>
          <w:bCs/>
        </w:rPr>
        <w:t>MELISSA CHEESMAN</w:t>
      </w:r>
    </w:p>
    <w:p w14:paraId="1ECF2BE8" w14:textId="77777777" w:rsidR="00FD7418" w:rsidRPr="00755404" w:rsidRDefault="00FD7418" w:rsidP="00FD7418">
      <w:pPr>
        <w:jc w:val="center"/>
        <w:rPr>
          <w:rFonts w:eastAsia="Times New Roman"/>
          <w:b/>
          <w:bCs/>
        </w:rPr>
      </w:pPr>
    </w:p>
    <w:p w14:paraId="0CD4266C" w14:textId="04DA1261" w:rsidR="00FD7418" w:rsidRPr="00755404" w:rsidRDefault="00FD7418" w:rsidP="00FD7418">
      <w:pPr>
        <w:jc w:val="center"/>
        <w:rPr>
          <w:rFonts w:eastAsia="Times New Roman"/>
          <w:b/>
          <w:bCs/>
        </w:rPr>
      </w:pPr>
      <w:r w:rsidRPr="00755404">
        <w:rPr>
          <w:rFonts w:eastAsia="Times New Roman"/>
          <w:b/>
          <w:bCs/>
        </w:rPr>
        <w:t>STAFF OF</w:t>
      </w:r>
    </w:p>
    <w:p w14:paraId="41D2A71F" w14:textId="77777777" w:rsidR="00FD7418" w:rsidRPr="00755404" w:rsidRDefault="00FD7418" w:rsidP="00FD7418">
      <w:pPr>
        <w:jc w:val="center"/>
        <w:rPr>
          <w:rFonts w:eastAsia="Times New Roman"/>
          <w:b/>
          <w:bCs/>
        </w:rPr>
      </w:pPr>
      <w:r w:rsidRPr="00755404">
        <w:rPr>
          <w:rFonts w:eastAsia="Times New Roman"/>
          <w:b/>
          <w:bCs/>
        </w:rPr>
        <w:t>WASHINGTON UTILITIES AND</w:t>
      </w:r>
    </w:p>
    <w:p w14:paraId="49621858" w14:textId="77777777" w:rsidR="00FD7418" w:rsidRPr="00755404" w:rsidRDefault="00FD7418" w:rsidP="00FD7418">
      <w:pPr>
        <w:jc w:val="center"/>
        <w:rPr>
          <w:rFonts w:eastAsia="Times New Roman"/>
          <w:b/>
          <w:bCs/>
        </w:rPr>
      </w:pPr>
      <w:r w:rsidRPr="00755404">
        <w:rPr>
          <w:rFonts w:eastAsia="Times New Roman"/>
          <w:b/>
          <w:bCs/>
        </w:rPr>
        <w:t>TRANSPORTATION COMMISSION</w:t>
      </w:r>
    </w:p>
    <w:p w14:paraId="534CB7C4" w14:textId="77777777" w:rsidR="00FD7418" w:rsidRPr="00755404" w:rsidRDefault="00FD7418" w:rsidP="00FD7418">
      <w:pPr>
        <w:jc w:val="center"/>
        <w:rPr>
          <w:rFonts w:eastAsia="Times New Roman"/>
          <w:b/>
          <w:bCs/>
        </w:rPr>
      </w:pPr>
    </w:p>
    <w:p w14:paraId="53C41E0D" w14:textId="0C8D4E33" w:rsidR="00FD7418" w:rsidRDefault="008B502B" w:rsidP="00FD7418">
      <w:pPr>
        <w:jc w:val="center"/>
        <w:rPr>
          <w:rFonts w:eastAsia="Times New Roman"/>
          <w:b/>
          <w:bCs/>
          <w:i/>
        </w:rPr>
      </w:pPr>
      <w:r>
        <w:rPr>
          <w:rFonts w:eastAsia="Times New Roman"/>
          <w:b/>
          <w:bCs/>
          <w:i/>
        </w:rPr>
        <w:t xml:space="preserve">Restating </w:t>
      </w:r>
      <w:r w:rsidR="008B4969">
        <w:rPr>
          <w:rFonts w:eastAsia="Times New Roman"/>
          <w:b/>
          <w:bCs/>
          <w:i/>
        </w:rPr>
        <w:t xml:space="preserve">Incentive </w:t>
      </w:r>
      <w:r>
        <w:rPr>
          <w:rFonts w:eastAsia="Times New Roman"/>
          <w:b/>
          <w:bCs/>
          <w:i/>
        </w:rPr>
        <w:t>Expenses,</w:t>
      </w:r>
    </w:p>
    <w:p w14:paraId="526D78A6" w14:textId="77777777" w:rsidR="008B502B" w:rsidRDefault="008B502B" w:rsidP="00FD7418">
      <w:pPr>
        <w:jc w:val="center"/>
        <w:rPr>
          <w:rFonts w:eastAsia="Times New Roman"/>
          <w:b/>
          <w:bCs/>
          <w:i/>
        </w:rPr>
      </w:pPr>
      <w:r>
        <w:rPr>
          <w:rFonts w:eastAsia="Times New Roman"/>
          <w:b/>
          <w:bCs/>
          <w:i/>
        </w:rPr>
        <w:t xml:space="preserve">Pro Forma Employee Benefits, </w:t>
      </w:r>
    </w:p>
    <w:p w14:paraId="65E6AD24" w14:textId="41F91E49" w:rsidR="008B502B" w:rsidRDefault="008B502B" w:rsidP="00FD7418">
      <w:pPr>
        <w:jc w:val="center"/>
        <w:rPr>
          <w:rFonts w:eastAsia="Times New Roman"/>
          <w:b/>
          <w:bCs/>
          <w:i/>
        </w:rPr>
      </w:pPr>
      <w:r>
        <w:rPr>
          <w:rFonts w:eastAsia="Times New Roman"/>
          <w:b/>
          <w:bCs/>
          <w:i/>
        </w:rPr>
        <w:t xml:space="preserve">Pro Forma </w:t>
      </w:r>
      <w:r w:rsidR="00202253">
        <w:rPr>
          <w:rFonts w:eastAsia="Times New Roman"/>
          <w:b/>
          <w:bCs/>
          <w:i/>
        </w:rPr>
        <w:t>Pipeline Safety Labor</w:t>
      </w:r>
      <w:r>
        <w:rPr>
          <w:rFonts w:eastAsia="Times New Roman"/>
          <w:b/>
          <w:bCs/>
          <w:i/>
        </w:rPr>
        <w:t xml:space="preserve">, </w:t>
      </w:r>
    </w:p>
    <w:p w14:paraId="368A017C" w14:textId="22ED0F68" w:rsidR="008B502B" w:rsidRPr="00B03E5E" w:rsidRDefault="008B502B" w:rsidP="00FD7418">
      <w:pPr>
        <w:jc w:val="center"/>
        <w:rPr>
          <w:rFonts w:eastAsia="Times New Roman"/>
          <w:b/>
          <w:bCs/>
          <w:i/>
        </w:rPr>
      </w:pPr>
      <w:r>
        <w:rPr>
          <w:rFonts w:eastAsia="Times New Roman"/>
          <w:b/>
          <w:bCs/>
          <w:i/>
        </w:rPr>
        <w:t xml:space="preserve">Pro Forma </w:t>
      </w:r>
      <w:r w:rsidR="00CB08E5">
        <w:rPr>
          <w:rFonts w:eastAsia="Times New Roman"/>
          <w:b/>
          <w:bCs/>
          <w:i/>
        </w:rPr>
        <w:t xml:space="preserve">Meter </w:t>
      </w:r>
      <w:r>
        <w:rPr>
          <w:rFonts w:eastAsia="Times New Roman"/>
          <w:b/>
          <w:bCs/>
          <w:i/>
        </w:rPr>
        <w:t>Deferral</w:t>
      </w:r>
      <w:r w:rsidR="00202253">
        <w:rPr>
          <w:rFonts w:eastAsia="Times New Roman"/>
          <w:b/>
          <w:bCs/>
          <w:i/>
        </w:rPr>
        <w:t xml:space="preserve"> &amp; Amortization</w:t>
      </w:r>
    </w:p>
    <w:p w14:paraId="15281640" w14:textId="77777777" w:rsidR="00FD7418" w:rsidRPr="00E943A3" w:rsidRDefault="00FD7418" w:rsidP="00FD7418">
      <w:pPr>
        <w:jc w:val="center"/>
        <w:rPr>
          <w:rFonts w:eastAsia="Times New Roman"/>
          <w:bCs/>
        </w:rPr>
      </w:pPr>
    </w:p>
    <w:p w14:paraId="3577D4B1" w14:textId="77777777" w:rsidR="00027E0B" w:rsidRPr="00755404" w:rsidRDefault="00027E0B" w:rsidP="00FD7418">
      <w:pPr>
        <w:jc w:val="center"/>
        <w:rPr>
          <w:rFonts w:eastAsia="Times New Roman"/>
          <w:b/>
          <w:bCs/>
        </w:rPr>
      </w:pPr>
    </w:p>
    <w:p w14:paraId="0C14FEFB" w14:textId="152813EE" w:rsidR="008C59A3" w:rsidRPr="00755404" w:rsidRDefault="00FD7418" w:rsidP="00027E0B">
      <w:pPr>
        <w:jc w:val="center"/>
        <w:rPr>
          <w:b/>
          <w:bCs/>
          <w:color w:val="000000" w:themeColor="text1"/>
        </w:rPr>
      </w:pPr>
      <w:r w:rsidRPr="00755404">
        <w:rPr>
          <w:rFonts w:eastAsia="Times New Roman"/>
          <w:b/>
          <w:bCs/>
        </w:rPr>
        <w:t>August 17, 2016</w:t>
      </w:r>
    </w:p>
    <w:p w14:paraId="1C8696BD" w14:textId="77777777" w:rsidR="00117A5B" w:rsidRPr="00755404" w:rsidRDefault="00117A5B" w:rsidP="00C42C79">
      <w:pPr>
        <w:spacing w:line="480" w:lineRule="auto"/>
        <w:ind w:left="720" w:hanging="720"/>
        <w:rPr>
          <w:b/>
          <w:bCs/>
          <w:color w:val="000000" w:themeColor="text1"/>
        </w:rPr>
      </w:pPr>
    </w:p>
    <w:p w14:paraId="3BC68675" w14:textId="77777777" w:rsidR="00F10013" w:rsidRDefault="00F10013">
      <w:pPr>
        <w:spacing w:after="200" w:line="276" w:lineRule="auto"/>
        <w:rPr>
          <w:color w:val="000000" w:themeColor="text1"/>
        </w:rPr>
        <w:sectPr w:rsidR="00F10013" w:rsidSect="00F10013">
          <w:pgSz w:w="12240" w:h="15840"/>
          <w:pgMar w:top="1440" w:right="1440" w:bottom="1440" w:left="1872" w:header="720" w:footer="720" w:gutter="0"/>
          <w:pgNumType w:fmt="lowerRoman" w:start="1"/>
          <w:cols w:space="720"/>
          <w:docGrid w:linePitch="360"/>
        </w:sectPr>
      </w:pPr>
    </w:p>
    <w:p w14:paraId="16FDFCFB" w14:textId="77777777" w:rsidR="0056039A" w:rsidRPr="00755404" w:rsidRDefault="0056039A" w:rsidP="0056039A">
      <w:pPr>
        <w:spacing w:line="480" w:lineRule="auto"/>
        <w:ind w:left="720" w:hanging="720"/>
        <w:jc w:val="center"/>
        <w:rPr>
          <w:color w:val="000000" w:themeColor="text1"/>
        </w:rPr>
      </w:pPr>
      <w:r w:rsidRPr="00755404">
        <w:rPr>
          <w:b/>
          <w:color w:val="000000" w:themeColor="text1"/>
        </w:rPr>
        <w:lastRenderedPageBreak/>
        <w:t>TABLE OF CONTENTS</w:t>
      </w:r>
    </w:p>
    <w:p w14:paraId="1FDFACBF" w14:textId="4410FD83" w:rsidR="0056039A" w:rsidRPr="00755404" w:rsidRDefault="0056039A" w:rsidP="009A69AF">
      <w:pPr>
        <w:tabs>
          <w:tab w:val="left" w:pos="720"/>
          <w:tab w:val="right" w:leader="dot" w:pos="8910"/>
        </w:tabs>
        <w:spacing w:line="480" w:lineRule="auto"/>
        <w:ind w:left="720" w:hanging="720"/>
        <w:rPr>
          <w:color w:val="000000" w:themeColor="text1"/>
        </w:rPr>
      </w:pPr>
      <w:r w:rsidRPr="00755404">
        <w:rPr>
          <w:color w:val="000000" w:themeColor="text1"/>
        </w:rPr>
        <w:t>I.</w:t>
      </w:r>
      <w:r w:rsidRPr="00755404">
        <w:rPr>
          <w:color w:val="000000" w:themeColor="text1"/>
        </w:rPr>
        <w:tab/>
        <w:t xml:space="preserve">INTRODUCTION </w:t>
      </w:r>
      <w:r w:rsidRPr="00755404">
        <w:rPr>
          <w:color w:val="000000" w:themeColor="text1"/>
        </w:rPr>
        <w:tab/>
        <w:t>1</w:t>
      </w:r>
    </w:p>
    <w:p w14:paraId="43A9529F" w14:textId="498CC693" w:rsidR="008F1A47" w:rsidRPr="00755404" w:rsidRDefault="008F1A47" w:rsidP="008F1A47">
      <w:pPr>
        <w:tabs>
          <w:tab w:val="left" w:pos="720"/>
          <w:tab w:val="right" w:leader="dot" w:pos="8910"/>
        </w:tabs>
        <w:spacing w:line="480" w:lineRule="auto"/>
        <w:ind w:left="720" w:hanging="720"/>
        <w:rPr>
          <w:color w:val="000000" w:themeColor="text1"/>
        </w:rPr>
      </w:pPr>
      <w:r>
        <w:rPr>
          <w:color w:val="000000" w:themeColor="text1"/>
        </w:rPr>
        <w:t>II.</w:t>
      </w:r>
      <w:r>
        <w:rPr>
          <w:color w:val="000000" w:themeColor="text1"/>
        </w:rPr>
        <w:tab/>
        <w:t xml:space="preserve">SCOPE </w:t>
      </w:r>
      <w:r w:rsidR="00FC7272">
        <w:rPr>
          <w:color w:val="000000" w:themeColor="text1"/>
        </w:rPr>
        <w:t xml:space="preserve">AND SUMMARY </w:t>
      </w:r>
      <w:r w:rsidR="00E943A3">
        <w:rPr>
          <w:color w:val="000000" w:themeColor="text1"/>
        </w:rPr>
        <w:t>OF TESTIMONY</w:t>
      </w:r>
      <w:r w:rsidR="00E943A3">
        <w:rPr>
          <w:color w:val="000000" w:themeColor="text1"/>
        </w:rPr>
        <w:tab/>
        <w:t>2</w:t>
      </w:r>
    </w:p>
    <w:p w14:paraId="1C64C2F1" w14:textId="38AABF0F" w:rsidR="0056039A" w:rsidRDefault="0056039A" w:rsidP="009A69AF">
      <w:pPr>
        <w:tabs>
          <w:tab w:val="left" w:pos="720"/>
          <w:tab w:val="right" w:leader="dot" w:pos="8910"/>
        </w:tabs>
        <w:spacing w:line="480" w:lineRule="auto"/>
        <w:ind w:left="720" w:hanging="720"/>
        <w:rPr>
          <w:bCs/>
          <w:color w:val="000000" w:themeColor="text1"/>
        </w:rPr>
      </w:pPr>
      <w:r w:rsidRPr="00755404">
        <w:rPr>
          <w:bCs/>
          <w:color w:val="000000" w:themeColor="text1"/>
        </w:rPr>
        <w:t>III.</w:t>
      </w:r>
      <w:r w:rsidRPr="00755404">
        <w:rPr>
          <w:bCs/>
          <w:color w:val="000000" w:themeColor="text1"/>
        </w:rPr>
        <w:tab/>
      </w:r>
      <w:r w:rsidR="00FC7272">
        <w:rPr>
          <w:bCs/>
          <w:color w:val="000000" w:themeColor="text1"/>
        </w:rPr>
        <w:t>DISCUSSION</w:t>
      </w:r>
      <w:r w:rsidR="003F5200">
        <w:rPr>
          <w:bCs/>
          <w:color w:val="000000" w:themeColor="text1"/>
        </w:rPr>
        <w:tab/>
      </w:r>
      <w:r w:rsidR="00E943A3">
        <w:rPr>
          <w:bCs/>
          <w:color w:val="000000" w:themeColor="text1"/>
        </w:rPr>
        <w:t>5</w:t>
      </w:r>
    </w:p>
    <w:p w14:paraId="343F20A2" w14:textId="5F35EFCF" w:rsidR="00FC7272" w:rsidRDefault="00DE189A" w:rsidP="00FC7272">
      <w:pPr>
        <w:pStyle w:val="ListParagraph"/>
        <w:numPr>
          <w:ilvl w:val="0"/>
          <w:numId w:val="31"/>
        </w:numPr>
        <w:tabs>
          <w:tab w:val="left" w:pos="720"/>
          <w:tab w:val="right" w:leader="dot" w:pos="8910"/>
        </w:tabs>
        <w:spacing w:line="480" w:lineRule="auto"/>
        <w:rPr>
          <w:color w:val="000000" w:themeColor="text1"/>
        </w:rPr>
      </w:pPr>
      <w:r>
        <w:rPr>
          <w:color w:val="000000" w:themeColor="text1"/>
        </w:rPr>
        <w:t xml:space="preserve">RESTATING </w:t>
      </w:r>
      <w:r w:rsidR="00FC7272">
        <w:rPr>
          <w:color w:val="000000" w:themeColor="text1"/>
        </w:rPr>
        <w:t>ADJUSTMENT</w:t>
      </w:r>
      <w:r w:rsidR="00FC7272">
        <w:rPr>
          <w:color w:val="000000" w:themeColor="text1"/>
        </w:rPr>
        <w:tab/>
      </w:r>
      <w:r w:rsidR="00E943A3">
        <w:rPr>
          <w:color w:val="000000" w:themeColor="text1"/>
        </w:rPr>
        <w:t>5</w:t>
      </w:r>
    </w:p>
    <w:p w14:paraId="794CAEED" w14:textId="7C1CC6B2" w:rsidR="00FC7272" w:rsidRDefault="00FC7272" w:rsidP="000326FE">
      <w:pPr>
        <w:pStyle w:val="ListParagraph"/>
        <w:numPr>
          <w:ilvl w:val="0"/>
          <w:numId w:val="32"/>
        </w:numPr>
        <w:tabs>
          <w:tab w:val="left" w:pos="720"/>
          <w:tab w:val="right" w:leader="dot" w:pos="8910"/>
        </w:tabs>
        <w:spacing w:line="480" w:lineRule="auto"/>
        <w:rPr>
          <w:color w:val="000000" w:themeColor="text1"/>
        </w:rPr>
      </w:pPr>
      <w:r>
        <w:rPr>
          <w:color w:val="000000" w:themeColor="text1"/>
        </w:rPr>
        <w:t xml:space="preserve">Restate Incentive </w:t>
      </w:r>
      <w:r w:rsidR="00715E4C">
        <w:rPr>
          <w:color w:val="000000" w:themeColor="text1"/>
        </w:rPr>
        <w:t>Expense</w:t>
      </w:r>
      <w:r w:rsidR="00E07002">
        <w:rPr>
          <w:color w:val="000000" w:themeColor="text1"/>
        </w:rPr>
        <w:t>s</w:t>
      </w:r>
      <w:r w:rsidR="00715E4C">
        <w:rPr>
          <w:color w:val="000000" w:themeColor="text1"/>
        </w:rPr>
        <w:t xml:space="preserve"> (Electric 2.16, Gas 2.14</w:t>
      </w:r>
      <w:r>
        <w:rPr>
          <w:color w:val="000000" w:themeColor="text1"/>
        </w:rPr>
        <w:t xml:space="preserve">) </w:t>
      </w:r>
      <w:r>
        <w:rPr>
          <w:color w:val="000000" w:themeColor="text1"/>
        </w:rPr>
        <w:tab/>
      </w:r>
      <w:r w:rsidR="005B0CCF">
        <w:rPr>
          <w:color w:val="000000" w:themeColor="text1"/>
        </w:rPr>
        <w:t>6</w:t>
      </w:r>
    </w:p>
    <w:p w14:paraId="2EB9C51D" w14:textId="2A1C55E4" w:rsidR="00597F38" w:rsidRPr="00DE189A" w:rsidRDefault="00597F38" w:rsidP="0054173C">
      <w:pPr>
        <w:pStyle w:val="ListParagraph"/>
        <w:numPr>
          <w:ilvl w:val="0"/>
          <w:numId w:val="31"/>
        </w:numPr>
        <w:tabs>
          <w:tab w:val="left" w:pos="720"/>
          <w:tab w:val="right" w:leader="dot" w:pos="8910"/>
        </w:tabs>
        <w:spacing w:line="480" w:lineRule="auto"/>
        <w:rPr>
          <w:color w:val="000000" w:themeColor="text1"/>
        </w:rPr>
      </w:pPr>
      <w:r>
        <w:rPr>
          <w:color w:val="000000" w:themeColor="text1"/>
        </w:rPr>
        <w:t>PRO FORMA</w:t>
      </w:r>
      <w:r w:rsidRPr="00DE189A">
        <w:rPr>
          <w:color w:val="000000" w:themeColor="text1"/>
        </w:rPr>
        <w:t xml:space="preserve"> ADJUSTMENTS</w:t>
      </w:r>
      <w:r w:rsidRPr="00DE189A">
        <w:rPr>
          <w:color w:val="000000" w:themeColor="text1"/>
        </w:rPr>
        <w:tab/>
      </w:r>
      <w:r w:rsidR="005B0CCF">
        <w:rPr>
          <w:color w:val="000000" w:themeColor="text1"/>
        </w:rPr>
        <w:t>11</w:t>
      </w:r>
    </w:p>
    <w:p w14:paraId="3128ED9F" w14:textId="2CF9B7FB" w:rsidR="00E943A3" w:rsidRPr="000326FE" w:rsidRDefault="00E943A3" w:rsidP="0054173C">
      <w:pPr>
        <w:pStyle w:val="ListParagraph"/>
        <w:numPr>
          <w:ilvl w:val="0"/>
          <w:numId w:val="51"/>
        </w:numPr>
        <w:tabs>
          <w:tab w:val="left" w:pos="720"/>
          <w:tab w:val="right" w:leader="dot" w:pos="8910"/>
        </w:tabs>
        <w:spacing w:line="480" w:lineRule="auto"/>
        <w:rPr>
          <w:color w:val="000000" w:themeColor="text1"/>
        </w:rPr>
      </w:pPr>
      <w:r w:rsidRPr="00E943A3">
        <w:rPr>
          <w:color w:val="000000" w:themeColor="text1"/>
        </w:rPr>
        <w:t>Pro Forma Employee Benefits (Electric 3.04, Gas 3.02)</w:t>
      </w:r>
      <w:r>
        <w:rPr>
          <w:color w:val="000000" w:themeColor="text1"/>
        </w:rPr>
        <w:tab/>
      </w:r>
      <w:r w:rsidR="005B0CCF">
        <w:rPr>
          <w:color w:val="000000" w:themeColor="text1"/>
        </w:rPr>
        <w:t>12</w:t>
      </w:r>
    </w:p>
    <w:p w14:paraId="57E1916A" w14:textId="46D0890B" w:rsidR="00FC7272" w:rsidRDefault="00FC7272" w:rsidP="0054173C">
      <w:pPr>
        <w:pStyle w:val="ListParagraph"/>
        <w:numPr>
          <w:ilvl w:val="0"/>
          <w:numId w:val="51"/>
        </w:numPr>
        <w:tabs>
          <w:tab w:val="left" w:pos="720"/>
          <w:tab w:val="right" w:leader="dot" w:pos="8910"/>
        </w:tabs>
        <w:spacing w:line="480" w:lineRule="auto"/>
        <w:rPr>
          <w:color w:val="000000" w:themeColor="text1"/>
        </w:rPr>
      </w:pPr>
      <w:r>
        <w:rPr>
          <w:color w:val="000000" w:themeColor="text1"/>
        </w:rPr>
        <w:t xml:space="preserve">Pro </w:t>
      </w:r>
      <w:r w:rsidR="0054173C">
        <w:rPr>
          <w:color w:val="000000" w:themeColor="text1"/>
        </w:rPr>
        <w:t>F</w:t>
      </w:r>
      <w:r>
        <w:rPr>
          <w:color w:val="000000" w:themeColor="text1"/>
        </w:rPr>
        <w:t>orma Pipeline Safety Labor (Gas 3.03)</w:t>
      </w:r>
      <w:r>
        <w:rPr>
          <w:color w:val="000000" w:themeColor="text1"/>
        </w:rPr>
        <w:tab/>
      </w:r>
      <w:r w:rsidR="00E943A3">
        <w:rPr>
          <w:color w:val="000000" w:themeColor="text1"/>
        </w:rPr>
        <w:t>1</w:t>
      </w:r>
      <w:r w:rsidR="005B0CCF">
        <w:rPr>
          <w:color w:val="000000" w:themeColor="text1"/>
        </w:rPr>
        <w:t>5</w:t>
      </w:r>
    </w:p>
    <w:p w14:paraId="03946262" w14:textId="47CCD8ED" w:rsidR="00FC7272" w:rsidRDefault="00FC7272" w:rsidP="0054173C">
      <w:pPr>
        <w:pStyle w:val="ListParagraph"/>
        <w:numPr>
          <w:ilvl w:val="0"/>
          <w:numId w:val="51"/>
        </w:numPr>
        <w:tabs>
          <w:tab w:val="left" w:pos="720"/>
          <w:tab w:val="right" w:leader="dot" w:pos="8910"/>
        </w:tabs>
        <w:spacing w:line="480" w:lineRule="auto"/>
        <w:rPr>
          <w:color w:val="000000" w:themeColor="text1"/>
        </w:rPr>
      </w:pPr>
      <w:r>
        <w:rPr>
          <w:color w:val="000000" w:themeColor="text1"/>
        </w:rPr>
        <w:t>Pro Forma Meter Deferral &amp; Amortization (Electric 3.07)</w:t>
      </w:r>
      <w:r>
        <w:rPr>
          <w:color w:val="000000" w:themeColor="text1"/>
        </w:rPr>
        <w:tab/>
      </w:r>
      <w:r w:rsidR="00E943A3">
        <w:rPr>
          <w:color w:val="000000" w:themeColor="text1"/>
        </w:rPr>
        <w:t>1</w:t>
      </w:r>
      <w:r w:rsidR="005B0CCF">
        <w:rPr>
          <w:color w:val="000000" w:themeColor="text1"/>
        </w:rPr>
        <w:t>8</w:t>
      </w:r>
    </w:p>
    <w:p w14:paraId="2E38BBD8" w14:textId="77777777" w:rsidR="00FB750D" w:rsidRDefault="00FB750D" w:rsidP="008F1A47">
      <w:pPr>
        <w:tabs>
          <w:tab w:val="left" w:pos="720"/>
          <w:tab w:val="right" w:leader="dot" w:pos="8910"/>
        </w:tabs>
        <w:spacing w:line="480" w:lineRule="auto"/>
        <w:rPr>
          <w:color w:val="000000" w:themeColor="text1"/>
        </w:rPr>
      </w:pPr>
    </w:p>
    <w:p w14:paraId="4CE816FB" w14:textId="77777777" w:rsidR="009107D1" w:rsidRDefault="009107D1" w:rsidP="009A69AF">
      <w:pPr>
        <w:tabs>
          <w:tab w:val="right" w:leader="dot" w:pos="8910"/>
        </w:tabs>
        <w:spacing w:line="480" w:lineRule="auto"/>
        <w:ind w:left="720" w:hanging="720"/>
        <w:jc w:val="center"/>
        <w:rPr>
          <w:color w:val="000000" w:themeColor="text1"/>
        </w:rPr>
      </w:pPr>
      <w:r>
        <w:rPr>
          <w:color w:val="000000" w:themeColor="text1"/>
        </w:rPr>
        <w:br w:type="page"/>
      </w:r>
    </w:p>
    <w:p w14:paraId="490C7427" w14:textId="6E730086" w:rsidR="0056039A" w:rsidRPr="00755404" w:rsidRDefault="0056039A" w:rsidP="009A69AF">
      <w:pPr>
        <w:tabs>
          <w:tab w:val="right" w:leader="dot" w:pos="8910"/>
        </w:tabs>
        <w:spacing w:line="480" w:lineRule="auto"/>
        <w:ind w:left="720" w:hanging="720"/>
        <w:jc w:val="center"/>
        <w:rPr>
          <w:b/>
          <w:bCs/>
          <w:noProof/>
        </w:rPr>
      </w:pPr>
      <w:r w:rsidRPr="00755404">
        <w:rPr>
          <w:b/>
          <w:bCs/>
          <w:noProof/>
        </w:rPr>
        <w:lastRenderedPageBreak/>
        <w:t>LIST OF EXHIBITS</w:t>
      </w:r>
    </w:p>
    <w:p w14:paraId="7DD0D4BB" w14:textId="63EE6B69" w:rsidR="0056039A" w:rsidRPr="00755404" w:rsidRDefault="0056039A" w:rsidP="009A69AF">
      <w:pPr>
        <w:tabs>
          <w:tab w:val="right" w:leader="dot" w:pos="8910"/>
        </w:tabs>
        <w:spacing w:line="480" w:lineRule="auto"/>
        <w:ind w:left="720" w:hanging="720"/>
        <w:rPr>
          <w:bCs/>
          <w:noProof/>
        </w:rPr>
      </w:pPr>
      <w:r w:rsidRPr="00755404">
        <w:rPr>
          <w:bCs/>
          <w:noProof/>
        </w:rPr>
        <w:t xml:space="preserve">Exhibit No. </w:t>
      </w:r>
      <w:r w:rsidR="008D3E96">
        <w:rPr>
          <w:bCs/>
          <w:noProof/>
        </w:rPr>
        <w:t>MC</w:t>
      </w:r>
      <w:r w:rsidRPr="00755404">
        <w:rPr>
          <w:bCs/>
          <w:noProof/>
        </w:rPr>
        <w:t xml:space="preserve">-2, </w:t>
      </w:r>
      <w:r w:rsidR="00341BAC" w:rsidRPr="00341BAC">
        <w:rPr>
          <w:bCs/>
          <w:noProof/>
        </w:rPr>
        <w:t>Restate Incentive Expense</w:t>
      </w:r>
      <w:r w:rsidR="00E36A9F">
        <w:rPr>
          <w:bCs/>
          <w:noProof/>
        </w:rPr>
        <w:t>s</w:t>
      </w:r>
      <w:r w:rsidR="00341BAC" w:rsidRPr="00341BAC">
        <w:rPr>
          <w:bCs/>
          <w:noProof/>
        </w:rPr>
        <w:t xml:space="preserve"> (Electric 2.16, Gas 2.16)</w:t>
      </w:r>
    </w:p>
    <w:p w14:paraId="5D2ED390" w14:textId="6D9420F1" w:rsidR="00702B48" w:rsidRDefault="0056039A" w:rsidP="00AC4DF5">
      <w:pPr>
        <w:tabs>
          <w:tab w:val="right" w:leader="dot" w:pos="8910"/>
        </w:tabs>
        <w:spacing w:line="480" w:lineRule="auto"/>
        <w:ind w:left="720" w:hanging="720"/>
        <w:rPr>
          <w:bCs/>
          <w:noProof/>
        </w:rPr>
      </w:pPr>
      <w:r w:rsidRPr="00755404">
        <w:rPr>
          <w:bCs/>
          <w:noProof/>
        </w:rPr>
        <w:t xml:space="preserve">Exhibit No. </w:t>
      </w:r>
      <w:r w:rsidR="008D3E96">
        <w:rPr>
          <w:bCs/>
          <w:noProof/>
        </w:rPr>
        <w:t>MC</w:t>
      </w:r>
      <w:r w:rsidR="000F3DE7">
        <w:rPr>
          <w:bCs/>
          <w:noProof/>
        </w:rPr>
        <w:t xml:space="preserve">-3, </w:t>
      </w:r>
      <w:r w:rsidR="00702B48">
        <w:rPr>
          <w:bCs/>
          <w:noProof/>
        </w:rPr>
        <w:t xml:space="preserve">Avista’s Initially Filed Restate Incentive Expenses </w:t>
      </w:r>
      <w:r w:rsidR="00702B48" w:rsidRPr="00702B48">
        <w:rPr>
          <w:bCs/>
          <w:noProof/>
        </w:rPr>
        <w:t>(Electric 2.16, Gas 2.16)</w:t>
      </w:r>
    </w:p>
    <w:p w14:paraId="39A724C1" w14:textId="0BF30CD2" w:rsidR="00702B48" w:rsidRDefault="00702B48" w:rsidP="00AC4DF5">
      <w:pPr>
        <w:tabs>
          <w:tab w:val="right" w:leader="dot" w:pos="8910"/>
        </w:tabs>
        <w:spacing w:line="480" w:lineRule="auto"/>
        <w:ind w:left="720" w:hanging="720"/>
        <w:rPr>
          <w:bCs/>
          <w:noProof/>
        </w:rPr>
      </w:pPr>
      <w:r>
        <w:rPr>
          <w:bCs/>
          <w:noProof/>
        </w:rPr>
        <w:t>Exhibit No. MC-4,</w:t>
      </w:r>
      <w:r w:rsidRPr="00702B48">
        <w:t xml:space="preserve"> </w:t>
      </w:r>
      <w:r w:rsidRPr="00702B48">
        <w:rPr>
          <w:bCs/>
          <w:noProof/>
        </w:rPr>
        <w:t xml:space="preserve">Avista’s </w:t>
      </w:r>
      <w:r>
        <w:rPr>
          <w:bCs/>
          <w:noProof/>
        </w:rPr>
        <w:t>Updated</w:t>
      </w:r>
      <w:r w:rsidRPr="00702B48">
        <w:rPr>
          <w:bCs/>
          <w:noProof/>
        </w:rPr>
        <w:t xml:space="preserve"> Restate Incentive Expenses (Electric 2.16, Gas 2.16)</w:t>
      </w:r>
      <w:r w:rsidR="00927633" w:rsidRPr="00927633">
        <w:t xml:space="preserve"> (Avista’s 2nd Supplemental Response to UTC </w:t>
      </w:r>
      <w:r w:rsidR="00A26C1E">
        <w:t xml:space="preserve">Staff </w:t>
      </w:r>
      <w:r w:rsidR="00927633" w:rsidRPr="00927633">
        <w:t xml:space="preserve">Data Request </w:t>
      </w:r>
      <w:r w:rsidR="00927633">
        <w:t xml:space="preserve">No. </w:t>
      </w:r>
      <w:r w:rsidR="00927633" w:rsidRPr="00927633">
        <w:t>91)</w:t>
      </w:r>
      <w:r w:rsidR="00927633">
        <w:t>.</w:t>
      </w:r>
    </w:p>
    <w:p w14:paraId="32D2B2A8" w14:textId="40FC6EF4" w:rsidR="00702B48" w:rsidRDefault="00702B48" w:rsidP="00AC4DF5">
      <w:pPr>
        <w:tabs>
          <w:tab w:val="right" w:leader="dot" w:pos="8910"/>
        </w:tabs>
        <w:spacing w:line="480" w:lineRule="auto"/>
        <w:ind w:left="720" w:hanging="720"/>
        <w:rPr>
          <w:bCs/>
          <w:noProof/>
        </w:rPr>
      </w:pPr>
      <w:r>
        <w:rPr>
          <w:bCs/>
          <w:noProof/>
        </w:rPr>
        <w:t>Exhibit No. MC-5,</w:t>
      </w:r>
      <w:r w:rsidRPr="00702B48">
        <w:t xml:space="preserve"> </w:t>
      </w:r>
      <w:r w:rsidRPr="00702B48">
        <w:rPr>
          <w:bCs/>
          <w:noProof/>
        </w:rPr>
        <w:t xml:space="preserve">Avista’s </w:t>
      </w:r>
      <w:r>
        <w:rPr>
          <w:bCs/>
          <w:noProof/>
        </w:rPr>
        <w:t xml:space="preserve">Response to </w:t>
      </w:r>
      <w:r w:rsidR="00AC16B5">
        <w:rPr>
          <w:bCs/>
          <w:noProof/>
        </w:rPr>
        <w:t xml:space="preserve">UTC </w:t>
      </w:r>
      <w:r>
        <w:rPr>
          <w:bCs/>
          <w:noProof/>
        </w:rPr>
        <w:t>Staff Data Request</w:t>
      </w:r>
      <w:r w:rsidR="00AC16B5">
        <w:rPr>
          <w:bCs/>
          <w:noProof/>
        </w:rPr>
        <w:t xml:space="preserve"> No.</w:t>
      </w:r>
      <w:r>
        <w:rPr>
          <w:bCs/>
          <w:noProof/>
        </w:rPr>
        <w:t xml:space="preserve"> 130</w:t>
      </w:r>
    </w:p>
    <w:p w14:paraId="2463073A" w14:textId="3F503A20" w:rsidR="00702B48" w:rsidRDefault="00702B48" w:rsidP="00AC4DF5">
      <w:pPr>
        <w:tabs>
          <w:tab w:val="right" w:leader="dot" w:pos="8910"/>
        </w:tabs>
        <w:spacing w:line="480" w:lineRule="auto"/>
        <w:ind w:left="720" w:hanging="720"/>
        <w:rPr>
          <w:bCs/>
          <w:noProof/>
        </w:rPr>
      </w:pPr>
      <w:r w:rsidRPr="00702B48">
        <w:rPr>
          <w:bCs/>
          <w:noProof/>
        </w:rPr>
        <w:t>Exhibit No. MC-</w:t>
      </w:r>
      <w:r>
        <w:rPr>
          <w:bCs/>
          <w:noProof/>
        </w:rPr>
        <w:t>6</w:t>
      </w:r>
      <w:r w:rsidRPr="00702B48">
        <w:rPr>
          <w:bCs/>
          <w:noProof/>
        </w:rPr>
        <w:t>,</w:t>
      </w:r>
      <w:r w:rsidRPr="00702B48">
        <w:t xml:space="preserve"> </w:t>
      </w:r>
      <w:r w:rsidRPr="00702B48">
        <w:rPr>
          <w:bCs/>
          <w:noProof/>
        </w:rPr>
        <w:t xml:space="preserve">Avista’s Response to </w:t>
      </w:r>
      <w:r w:rsidR="00AC16B5">
        <w:rPr>
          <w:bCs/>
          <w:noProof/>
        </w:rPr>
        <w:t xml:space="preserve">UTC </w:t>
      </w:r>
      <w:r w:rsidRPr="00702B48">
        <w:rPr>
          <w:bCs/>
          <w:noProof/>
        </w:rPr>
        <w:t>Staff Data Request</w:t>
      </w:r>
      <w:r w:rsidR="00AC16B5">
        <w:rPr>
          <w:bCs/>
          <w:noProof/>
        </w:rPr>
        <w:t xml:space="preserve"> No.</w:t>
      </w:r>
      <w:r w:rsidRPr="00702B48">
        <w:rPr>
          <w:bCs/>
          <w:noProof/>
        </w:rPr>
        <w:t xml:space="preserve"> 1</w:t>
      </w:r>
      <w:r>
        <w:rPr>
          <w:bCs/>
          <w:noProof/>
        </w:rPr>
        <w:t>29</w:t>
      </w:r>
    </w:p>
    <w:p w14:paraId="6DB58796" w14:textId="30B3C35B" w:rsidR="00702B48" w:rsidRDefault="00702B48" w:rsidP="00AC4DF5">
      <w:pPr>
        <w:tabs>
          <w:tab w:val="right" w:leader="dot" w:pos="8910"/>
        </w:tabs>
        <w:spacing w:line="480" w:lineRule="auto"/>
        <w:ind w:left="720" w:hanging="720"/>
        <w:rPr>
          <w:bCs/>
          <w:noProof/>
        </w:rPr>
      </w:pPr>
      <w:r>
        <w:rPr>
          <w:bCs/>
          <w:noProof/>
        </w:rPr>
        <w:t>Exhibit No. MC-7</w:t>
      </w:r>
      <w:r w:rsidRPr="00702B48">
        <w:rPr>
          <w:bCs/>
          <w:noProof/>
        </w:rPr>
        <w:t>,</w:t>
      </w:r>
      <w:r>
        <w:rPr>
          <w:bCs/>
          <w:noProof/>
        </w:rPr>
        <w:t xml:space="preserve"> Avista’s 2015 Incentive Plans</w:t>
      </w:r>
    </w:p>
    <w:p w14:paraId="179EA5EF" w14:textId="7171472D" w:rsidR="00702B48" w:rsidRDefault="00702B48" w:rsidP="00AC4DF5">
      <w:pPr>
        <w:tabs>
          <w:tab w:val="right" w:leader="dot" w:pos="8910"/>
        </w:tabs>
        <w:spacing w:line="480" w:lineRule="auto"/>
        <w:ind w:left="720" w:hanging="720"/>
        <w:rPr>
          <w:bCs/>
          <w:noProof/>
        </w:rPr>
      </w:pPr>
      <w:r>
        <w:rPr>
          <w:bCs/>
          <w:noProof/>
        </w:rPr>
        <w:t>Exhibit No. MC-8</w:t>
      </w:r>
      <w:r w:rsidRPr="00702B48">
        <w:rPr>
          <w:bCs/>
          <w:noProof/>
        </w:rPr>
        <w:t>,</w:t>
      </w:r>
      <w:r>
        <w:rPr>
          <w:bCs/>
          <w:noProof/>
        </w:rPr>
        <w:t xml:space="preserve"> </w:t>
      </w:r>
      <w:r w:rsidRPr="00702B48">
        <w:rPr>
          <w:bCs/>
          <w:noProof/>
        </w:rPr>
        <w:t>Avista’s Re</w:t>
      </w:r>
      <w:r>
        <w:rPr>
          <w:bCs/>
          <w:noProof/>
        </w:rPr>
        <w:t xml:space="preserve">sponse to </w:t>
      </w:r>
      <w:r w:rsidR="00AC16B5">
        <w:rPr>
          <w:bCs/>
          <w:noProof/>
        </w:rPr>
        <w:t xml:space="preserve">UTC </w:t>
      </w:r>
      <w:r>
        <w:rPr>
          <w:bCs/>
          <w:noProof/>
        </w:rPr>
        <w:t>Staff Data Request</w:t>
      </w:r>
      <w:r w:rsidR="00AC16B5">
        <w:rPr>
          <w:bCs/>
          <w:noProof/>
        </w:rPr>
        <w:t xml:space="preserve"> No.</w:t>
      </w:r>
      <w:r>
        <w:rPr>
          <w:bCs/>
          <w:noProof/>
        </w:rPr>
        <w:t xml:space="preserve"> 102</w:t>
      </w:r>
    </w:p>
    <w:p w14:paraId="5F4AE66D" w14:textId="4C5BCA89" w:rsidR="00AC4DF5" w:rsidRDefault="00702B48" w:rsidP="00AC4DF5">
      <w:pPr>
        <w:tabs>
          <w:tab w:val="right" w:leader="dot" w:pos="8910"/>
        </w:tabs>
        <w:spacing w:line="480" w:lineRule="auto"/>
        <w:ind w:left="720" w:hanging="720"/>
        <w:rPr>
          <w:bCs/>
          <w:noProof/>
        </w:rPr>
      </w:pPr>
      <w:r w:rsidRPr="00702B48">
        <w:rPr>
          <w:bCs/>
          <w:noProof/>
        </w:rPr>
        <w:t>Exhibit No. MC-</w:t>
      </w:r>
      <w:r>
        <w:rPr>
          <w:bCs/>
          <w:noProof/>
        </w:rPr>
        <w:t>9</w:t>
      </w:r>
      <w:r w:rsidRPr="00702B48">
        <w:rPr>
          <w:bCs/>
          <w:noProof/>
        </w:rPr>
        <w:t>,</w:t>
      </w:r>
      <w:r>
        <w:rPr>
          <w:bCs/>
          <w:noProof/>
        </w:rPr>
        <w:t xml:space="preserve"> </w:t>
      </w:r>
      <w:r w:rsidR="000F3DE7" w:rsidRPr="000F3DE7">
        <w:rPr>
          <w:bCs/>
          <w:noProof/>
        </w:rPr>
        <w:t>Pro Forma Employee Benefits (Electric 3.04, Gas 3.02)</w:t>
      </w:r>
    </w:p>
    <w:p w14:paraId="2F9D0661" w14:textId="7BD0B1CD" w:rsidR="0056039A" w:rsidRDefault="0056039A" w:rsidP="00AC4DF5">
      <w:pPr>
        <w:tabs>
          <w:tab w:val="right" w:leader="dot" w:pos="8910"/>
        </w:tabs>
        <w:spacing w:line="480" w:lineRule="auto"/>
        <w:ind w:left="720" w:hanging="720"/>
        <w:rPr>
          <w:bCs/>
          <w:noProof/>
        </w:rPr>
      </w:pPr>
      <w:r w:rsidRPr="00755404">
        <w:rPr>
          <w:bCs/>
          <w:noProof/>
        </w:rPr>
        <w:t xml:space="preserve">Exhibit No. </w:t>
      </w:r>
      <w:r w:rsidR="008D3E96">
        <w:rPr>
          <w:bCs/>
          <w:noProof/>
        </w:rPr>
        <w:t>MC</w:t>
      </w:r>
      <w:r w:rsidRPr="00755404">
        <w:rPr>
          <w:bCs/>
          <w:noProof/>
        </w:rPr>
        <w:t>-</w:t>
      </w:r>
      <w:r w:rsidR="00702B48">
        <w:rPr>
          <w:bCs/>
          <w:noProof/>
        </w:rPr>
        <w:t>10</w:t>
      </w:r>
      <w:r w:rsidRPr="00755404">
        <w:rPr>
          <w:bCs/>
          <w:noProof/>
        </w:rPr>
        <w:t xml:space="preserve">, </w:t>
      </w:r>
      <w:r w:rsidR="00702B48" w:rsidRPr="00702B48">
        <w:rPr>
          <w:bCs/>
          <w:noProof/>
        </w:rPr>
        <w:t>Avista’s Initially Filed</w:t>
      </w:r>
      <w:r w:rsidR="00702B48" w:rsidRPr="00702B48">
        <w:t xml:space="preserve"> </w:t>
      </w:r>
      <w:r w:rsidR="00702B48" w:rsidRPr="00702B48">
        <w:rPr>
          <w:bCs/>
          <w:noProof/>
        </w:rPr>
        <w:t>Pro Forma Employee Benefits (Electric 3.04, Gas 3.02)</w:t>
      </w:r>
    </w:p>
    <w:p w14:paraId="476AB1C1" w14:textId="002E8131" w:rsidR="00F56FD2" w:rsidRDefault="00F56FD2" w:rsidP="00AC4DF5">
      <w:pPr>
        <w:tabs>
          <w:tab w:val="right" w:leader="dot" w:pos="8910"/>
        </w:tabs>
        <w:spacing w:line="480" w:lineRule="auto"/>
        <w:ind w:left="720" w:hanging="720"/>
      </w:pPr>
      <w:r>
        <w:t>Exhibit No. MC-</w:t>
      </w:r>
      <w:r w:rsidR="00702B48">
        <w:t>11</w:t>
      </w:r>
      <w:r w:rsidRPr="00C8225D">
        <w:t>,</w:t>
      </w:r>
      <w:r>
        <w:t xml:space="preserve"> </w:t>
      </w:r>
      <w:r w:rsidR="00702B48" w:rsidRPr="00702B48">
        <w:t>Avista’s Updated Pro Forma Employee Benefits (Electric 3.04, Gas 3.02)</w:t>
      </w:r>
    </w:p>
    <w:p w14:paraId="2B6E005A" w14:textId="6C70E2DE" w:rsidR="0054173C" w:rsidRDefault="00952063" w:rsidP="00AC4DF5">
      <w:pPr>
        <w:tabs>
          <w:tab w:val="right" w:leader="dot" w:pos="8910"/>
        </w:tabs>
        <w:spacing w:line="480" w:lineRule="auto"/>
        <w:ind w:left="720" w:hanging="720"/>
      </w:pPr>
      <w:r>
        <w:t>Exhibit No. MC</w:t>
      </w:r>
      <w:r w:rsidR="0054173C">
        <w:t>-</w:t>
      </w:r>
      <w:r w:rsidR="00702B48">
        <w:t>12</w:t>
      </w:r>
      <w:r w:rsidR="0054173C">
        <w:t>,</w:t>
      </w:r>
      <w:r w:rsidR="00702B48" w:rsidRPr="00702B48">
        <w:t xml:space="preserve"> Avista’s Initially Filed</w:t>
      </w:r>
      <w:r w:rsidR="00702B48">
        <w:t xml:space="preserve"> </w:t>
      </w:r>
      <w:r w:rsidR="00702B48" w:rsidRPr="00702B48">
        <w:t>Pro Forma Pipeline Safety Labor (Gas 3.03)</w:t>
      </w:r>
    </w:p>
    <w:p w14:paraId="077C7BCA" w14:textId="42F812DC" w:rsidR="0054173C" w:rsidRDefault="0054173C" w:rsidP="0054173C">
      <w:pPr>
        <w:tabs>
          <w:tab w:val="right" w:leader="dot" w:pos="8910"/>
        </w:tabs>
        <w:spacing w:line="480" w:lineRule="auto"/>
        <w:ind w:left="720" w:hanging="720"/>
      </w:pPr>
      <w:r>
        <w:t>Exhibit No. MC-</w:t>
      </w:r>
      <w:r w:rsidR="00702B48">
        <w:t>13</w:t>
      </w:r>
      <w:r>
        <w:t>,</w:t>
      </w:r>
      <w:r w:rsidR="00702B48" w:rsidRPr="00702B48">
        <w:t xml:space="preserve"> Avista’s Response to </w:t>
      </w:r>
      <w:r w:rsidR="00AC16B5">
        <w:t xml:space="preserve">UTC </w:t>
      </w:r>
      <w:r w:rsidR="00702B48" w:rsidRPr="00702B48">
        <w:t>Staff Data Request</w:t>
      </w:r>
      <w:r w:rsidR="00AC16B5">
        <w:t xml:space="preserve"> Nos.</w:t>
      </w:r>
      <w:r w:rsidR="00702B48" w:rsidRPr="00702B48">
        <w:t xml:space="preserve"> 13</w:t>
      </w:r>
      <w:r w:rsidR="00702B48">
        <w:t>4 and 135</w:t>
      </w:r>
    </w:p>
    <w:p w14:paraId="3EB2B25D" w14:textId="04D19672" w:rsidR="0054173C" w:rsidRDefault="0054173C" w:rsidP="0054173C">
      <w:pPr>
        <w:tabs>
          <w:tab w:val="right" w:leader="dot" w:pos="8910"/>
        </w:tabs>
        <w:spacing w:line="480" w:lineRule="auto"/>
        <w:ind w:left="720" w:hanging="720"/>
      </w:pPr>
      <w:r>
        <w:t>Exhibit No. MC-</w:t>
      </w:r>
      <w:r w:rsidR="00702B48">
        <w:t>14</w:t>
      </w:r>
      <w:r>
        <w:t>,</w:t>
      </w:r>
      <w:r w:rsidR="00702B48" w:rsidRPr="00702B48">
        <w:t xml:space="preserve"> Avista’s Response to </w:t>
      </w:r>
      <w:r w:rsidR="00AC16B5">
        <w:t xml:space="preserve">UTC </w:t>
      </w:r>
      <w:r w:rsidR="00702B48" w:rsidRPr="00702B48">
        <w:t xml:space="preserve">Staff Data Request </w:t>
      </w:r>
      <w:r w:rsidR="00AC16B5">
        <w:t xml:space="preserve">No. </w:t>
      </w:r>
      <w:r w:rsidR="00702B48" w:rsidRPr="00702B48">
        <w:t>13</w:t>
      </w:r>
      <w:r w:rsidR="00702B48">
        <w:t>6</w:t>
      </w:r>
    </w:p>
    <w:p w14:paraId="45E35EA5" w14:textId="7A07871E" w:rsidR="0054173C" w:rsidRDefault="0054173C" w:rsidP="0054173C">
      <w:pPr>
        <w:tabs>
          <w:tab w:val="right" w:leader="dot" w:pos="8910"/>
        </w:tabs>
        <w:spacing w:line="480" w:lineRule="auto"/>
        <w:ind w:left="720" w:hanging="720"/>
      </w:pPr>
      <w:r>
        <w:t>Exhibit No. MC-</w:t>
      </w:r>
      <w:r w:rsidR="00702B48">
        <w:t>15</w:t>
      </w:r>
      <w:r w:rsidRPr="0054173C">
        <w:t>,</w:t>
      </w:r>
      <w:r w:rsidR="00702B48">
        <w:t xml:space="preserve"> Pipeline FTE Alternative</w:t>
      </w:r>
    </w:p>
    <w:p w14:paraId="651A05D8" w14:textId="25130A16" w:rsidR="0054173C" w:rsidRPr="00755404" w:rsidRDefault="0054173C" w:rsidP="00AC4DF5">
      <w:pPr>
        <w:tabs>
          <w:tab w:val="right" w:leader="dot" w:pos="8910"/>
        </w:tabs>
        <w:spacing w:line="480" w:lineRule="auto"/>
        <w:ind w:left="720" w:hanging="720"/>
        <w:rPr>
          <w:bCs/>
          <w:noProof/>
        </w:rPr>
      </w:pPr>
      <w:r>
        <w:rPr>
          <w:bCs/>
          <w:noProof/>
        </w:rPr>
        <w:t>Exhibit No. MC-</w:t>
      </w:r>
      <w:r w:rsidR="00702B48">
        <w:rPr>
          <w:bCs/>
          <w:noProof/>
        </w:rPr>
        <w:t>16</w:t>
      </w:r>
      <w:r w:rsidRPr="0054173C">
        <w:rPr>
          <w:bCs/>
          <w:noProof/>
        </w:rPr>
        <w:t>,</w:t>
      </w:r>
      <w:r w:rsidR="00702B48" w:rsidRPr="00702B48">
        <w:rPr>
          <w:bCs/>
          <w:noProof/>
        </w:rPr>
        <w:t xml:space="preserve"> </w:t>
      </w:r>
      <w:r w:rsidR="00563DB8">
        <w:rPr>
          <w:bCs/>
          <w:noProof/>
        </w:rPr>
        <w:t>Attachment to Avista’s Response to UTC Staff Data Request No. 91, “</w:t>
      </w:r>
      <w:r w:rsidR="00702B48" w:rsidRPr="003E6C3A">
        <w:rPr>
          <w:bCs/>
          <w:noProof/>
        </w:rPr>
        <w:t>Staff_DR_091 Supp 2 - Attach A - Summary of Changes.xlsx</w:t>
      </w:r>
      <w:r w:rsidR="00563DB8">
        <w:rPr>
          <w:bCs/>
          <w:noProof/>
        </w:rPr>
        <w:t>”</w:t>
      </w:r>
    </w:p>
    <w:p w14:paraId="448E8946" w14:textId="269654DC" w:rsidR="0056039A" w:rsidRPr="00755404" w:rsidRDefault="0054173C" w:rsidP="0056039A">
      <w:pPr>
        <w:spacing w:line="480" w:lineRule="auto"/>
        <w:ind w:left="720" w:hanging="720"/>
        <w:rPr>
          <w:color w:val="000000" w:themeColor="text1"/>
        </w:rPr>
      </w:pPr>
      <w:r>
        <w:t>Exhibit No. MC-</w:t>
      </w:r>
      <w:r w:rsidR="00702B48">
        <w:t>17</w:t>
      </w:r>
      <w:r w:rsidRPr="0054173C">
        <w:t>,</w:t>
      </w:r>
      <w:r w:rsidR="00702B48" w:rsidRPr="00702B48">
        <w:t xml:space="preserve"> </w:t>
      </w:r>
      <w:r w:rsidR="00702B48">
        <w:t xml:space="preserve">Avista’s Response to </w:t>
      </w:r>
      <w:r w:rsidR="00AC16B5">
        <w:t xml:space="preserve">UTC </w:t>
      </w:r>
      <w:r w:rsidR="00702B48">
        <w:t>Staff Data Request</w:t>
      </w:r>
      <w:r w:rsidR="00AC16B5">
        <w:t xml:space="preserve"> No</w:t>
      </w:r>
      <w:r w:rsidR="00702B48">
        <w:t>s</w:t>
      </w:r>
      <w:r w:rsidR="00AC16B5">
        <w:t>.</w:t>
      </w:r>
      <w:r w:rsidR="00702B48">
        <w:t xml:space="preserve"> 161 and 162</w:t>
      </w:r>
    </w:p>
    <w:p w14:paraId="64A991AD" w14:textId="77777777" w:rsidR="00B814E2" w:rsidRPr="00755404" w:rsidRDefault="00B814E2" w:rsidP="00C42C79">
      <w:pPr>
        <w:spacing w:line="480" w:lineRule="auto"/>
        <w:ind w:left="720" w:hanging="720"/>
        <w:rPr>
          <w:color w:val="000000" w:themeColor="text1"/>
        </w:rPr>
        <w:sectPr w:rsidR="00B814E2" w:rsidRPr="00755404" w:rsidSect="00F10013">
          <w:footerReference w:type="default" r:id="rId11"/>
          <w:pgSz w:w="12240" w:h="15840"/>
          <w:pgMar w:top="1440" w:right="1440" w:bottom="1440" w:left="1872" w:header="720" w:footer="720" w:gutter="0"/>
          <w:pgNumType w:fmt="lowerRoman" w:start="1"/>
          <w:cols w:space="720"/>
          <w:docGrid w:linePitch="360"/>
        </w:sectPr>
      </w:pPr>
    </w:p>
    <w:p w14:paraId="29278E4F" w14:textId="77777777" w:rsidR="00B814E2" w:rsidRPr="00755404" w:rsidRDefault="00B814E2" w:rsidP="00E22094">
      <w:pPr>
        <w:spacing w:line="480" w:lineRule="auto"/>
        <w:ind w:left="720" w:hanging="720"/>
        <w:jc w:val="center"/>
        <w:rPr>
          <w:b/>
          <w:color w:val="000000" w:themeColor="text1"/>
        </w:rPr>
      </w:pPr>
      <w:r w:rsidRPr="00755404">
        <w:rPr>
          <w:b/>
          <w:color w:val="000000" w:themeColor="text1"/>
        </w:rPr>
        <w:lastRenderedPageBreak/>
        <w:t>I.</w:t>
      </w:r>
      <w:r w:rsidRPr="00755404">
        <w:rPr>
          <w:b/>
          <w:color w:val="000000" w:themeColor="text1"/>
        </w:rPr>
        <w:tab/>
        <w:t>INTRODUCTION</w:t>
      </w:r>
    </w:p>
    <w:p w14:paraId="6D8B25A4" w14:textId="3C54A647" w:rsidR="00B814E2" w:rsidRPr="00755404" w:rsidRDefault="00B814E2" w:rsidP="00C42C79">
      <w:pPr>
        <w:spacing w:line="480" w:lineRule="auto"/>
        <w:ind w:left="720" w:hanging="720"/>
        <w:rPr>
          <w:b/>
          <w:color w:val="000000" w:themeColor="text1"/>
        </w:rPr>
      </w:pPr>
    </w:p>
    <w:p w14:paraId="0E300695" w14:textId="77777777" w:rsidR="00B814E2" w:rsidRPr="00755404" w:rsidRDefault="00B814E2" w:rsidP="00C42C79">
      <w:pPr>
        <w:spacing w:line="480" w:lineRule="auto"/>
        <w:ind w:left="720" w:hanging="720"/>
        <w:rPr>
          <w:color w:val="000000" w:themeColor="text1"/>
        </w:rPr>
      </w:pPr>
      <w:r w:rsidRPr="00755404">
        <w:rPr>
          <w:b/>
          <w:color w:val="000000" w:themeColor="text1"/>
        </w:rPr>
        <w:t>Q.</w:t>
      </w:r>
      <w:r w:rsidRPr="00755404">
        <w:rPr>
          <w:b/>
          <w:color w:val="000000" w:themeColor="text1"/>
        </w:rPr>
        <w:tab/>
        <w:t xml:space="preserve">Please state your name and business address.  </w:t>
      </w:r>
    </w:p>
    <w:p w14:paraId="63793B4C" w14:textId="7214610A" w:rsidR="00B814E2" w:rsidRPr="00755404" w:rsidRDefault="00B814E2" w:rsidP="00C42C79">
      <w:pPr>
        <w:spacing w:line="480" w:lineRule="auto"/>
        <w:ind w:left="720" w:hanging="720"/>
        <w:rPr>
          <w:color w:val="000000" w:themeColor="text1"/>
        </w:rPr>
      </w:pPr>
      <w:r w:rsidRPr="00755404">
        <w:rPr>
          <w:color w:val="000000" w:themeColor="text1"/>
        </w:rPr>
        <w:t>A.</w:t>
      </w:r>
      <w:r w:rsidRPr="00755404">
        <w:rPr>
          <w:color w:val="000000" w:themeColor="text1"/>
        </w:rPr>
        <w:tab/>
      </w:r>
      <w:r w:rsidR="000C2D89" w:rsidRPr="00755404">
        <w:rPr>
          <w:color w:val="000000" w:themeColor="text1"/>
        </w:rPr>
        <w:t xml:space="preserve">My name is </w:t>
      </w:r>
      <w:r w:rsidR="005466E6">
        <w:rPr>
          <w:color w:val="000000" w:themeColor="text1"/>
        </w:rPr>
        <w:t>Melissa Cheesman</w:t>
      </w:r>
      <w:r w:rsidRPr="00755404">
        <w:rPr>
          <w:color w:val="000000" w:themeColor="text1"/>
        </w:rPr>
        <w:t xml:space="preserve">. </w:t>
      </w:r>
      <w:r w:rsidR="00040E91">
        <w:t>My business address is the Richard Hemstad Building, 1300 South Evergreen Park Drive Southwest, P.O. Box 47250, Olympia, Washington  98504</w:t>
      </w:r>
      <w:r w:rsidR="00040E91" w:rsidRPr="008575E2">
        <w:t>.</w:t>
      </w:r>
    </w:p>
    <w:p w14:paraId="3CE4C327" w14:textId="77777777" w:rsidR="00B814E2" w:rsidRPr="00755404" w:rsidRDefault="00B814E2" w:rsidP="00C42C79">
      <w:pPr>
        <w:spacing w:line="480" w:lineRule="auto"/>
        <w:ind w:left="720" w:hanging="720"/>
        <w:rPr>
          <w:color w:val="000000" w:themeColor="text1"/>
        </w:rPr>
      </w:pPr>
    </w:p>
    <w:p w14:paraId="2F1F8244" w14:textId="77777777" w:rsidR="00B814E2" w:rsidRPr="00755404" w:rsidRDefault="00B814E2" w:rsidP="00C42C79">
      <w:pPr>
        <w:spacing w:line="480" w:lineRule="auto"/>
        <w:ind w:left="720" w:hanging="720"/>
        <w:rPr>
          <w:color w:val="000000" w:themeColor="text1"/>
        </w:rPr>
      </w:pPr>
      <w:r w:rsidRPr="00755404">
        <w:rPr>
          <w:b/>
          <w:color w:val="000000" w:themeColor="text1"/>
        </w:rPr>
        <w:t>Q.</w:t>
      </w:r>
      <w:r w:rsidRPr="00755404">
        <w:rPr>
          <w:b/>
          <w:color w:val="000000" w:themeColor="text1"/>
        </w:rPr>
        <w:tab/>
        <w:t xml:space="preserve">By whom are you employed and in what capacity?  </w:t>
      </w:r>
    </w:p>
    <w:p w14:paraId="66D52F09" w14:textId="77777777" w:rsidR="00B814E2" w:rsidRPr="00755404" w:rsidRDefault="00B814E2" w:rsidP="00C42C79">
      <w:pPr>
        <w:spacing w:line="480" w:lineRule="auto"/>
        <w:ind w:left="720" w:hanging="720"/>
        <w:rPr>
          <w:color w:val="000000" w:themeColor="text1"/>
        </w:rPr>
      </w:pPr>
      <w:r w:rsidRPr="00755404">
        <w:rPr>
          <w:color w:val="000000" w:themeColor="text1"/>
        </w:rPr>
        <w:t>A.</w:t>
      </w:r>
      <w:r w:rsidRPr="00755404">
        <w:rPr>
          <w:color w:val="000000" w:themeColor="text1"/>
        </w:rPr>
        <w:tab/>
        <w:t xml:space="preserve">I am employed by the Washington Utilities and Transportation </w:t>
      </w:r>
      <w:r w:rsidR="00BD6CB2" w:rsidRPr="00755404">
        <w:rPr>
          <w:color w:val="000000" w:themeColor="text1"/>
        </w:rPr>
        <w:t>Commission (</w:t>
      </w:r>
      <w:r w:rsidR="00045486" w:rsidRPr="00755404">
        <w:rPr>
          <w:color w:val="000000" w:themeColor="text1"/>
        </w:rPr>
        <w:t>“</w:t>
      </w:r>
      <w:r w:rsidR="00BD6CB2" w:rsidRPr="00755404">
        <w:rPr>
          <w:color w:val="000000" w:themeColor="text1"/>
        </w:rPr>
        <w:t>Commission</w:t>
      </w:r>
      <w:r w:rsidR="00045486" w:rsidRPr="00755404">
        <w:rPr>
          <w:color w:val="000000" w:themeColor="text1"/>
        </w:rPr>
        <w:t>”</w:t>
      </w:r>
      <w:r w:rsidR="00BD6CB2" w:rsidRPr="00755404">
        <w:rPr>
          <w:color w:val="000000" w:themeColor="text1"/>
        </w:rPr>
        <w:t xml:space="preserve">) </w:t>
      </w:r>
      <w:r w:rsidRPr="00755404">
        <w:rPr>
          <w:color w:val="000000" w:themeColor="text1"/>
        </w:rPr>
        <w:t xml:space="preserve">as </w:t>
      </w:r>
      <w:r w:rsidR="00BD6CB2" w:rsidRPr="00755404">
        <w:rPr>
          <w:color w:val="000000" w:themeColor="text1"/>
        </w:rPr>
        <w:t xml:space="preserve">a </w:t>
      </w:r>
      <w:r w:rsidR="00C42BC5" w:rsidRPr="00755404">
        <w:rPr>
          <w:color w:val="000000" w:themeColor="text1"/>
        </w:rPr>
        <w:t xml:space="preserve">Regulatory </w:t>
      </w:r>
      <w:r w:rsidR="00BD6CB2" w:rsidRPr="00755404">
        <w:rPr>
          <w:color w:val="000000" w:themeColor="text1"/>
        </w:rPr>
        <w:t>A</w:t>
      </w:r>
      <w:r w:rsidR="00C42BC5" w:rsidRPr="00755404">
        <w:rPr>
          <w:color w:val="000000" w:themeColor="text1"/>
        </w:rPr>
        <w:t>nalyst</w:t>
      </w:r>
      <w:r w:rsidR="00045486" w:rsidRPr="00755404">
        <w:rPr>
          <w:color w:val="000000" w:themeColor="text1"/>
        </w:rPr>
        <w:t xml:space="preserve"> in the Energy Section of the Regulatory Services Division.</w:t>
      </w:r>
    </w:p>
    <w:p w14:paraId="1B7A5F49" w14:textId="77777777" w:rsidR="00B814E2" w:rsidRPr="00755404" w:rsidRDefault="00B814E2" w:rsidP="00C42C79">
      <w:pPr>
        <w:spacing w:line="480" w:lineRule="auto"/>
        <w:ind w:left="720" w:hanging="720"/>
        <w:rPr>
          <w:color w:val="000000" w:themeColor="text1"/>
        </w:rPr>
      </w:pPr>
    </w:p>
    <w:p w14:paraId="40A64664" w14:textId="77777777" w:rsidR="00B814E2" w:rsidRPr="00755404" w:rsidRDefault="00B814E2" w:rsidP="00C42C79">
      <w:pPr>
        <w:spacing w:line="480" w:lineRule="auto"/>
        <w:ind w:left="720" w:hanging="720"/>
        <w:rPr>
          <w:color w:val="000000" w:themeColor="text1"/>
        </w:rPr>
      </w:pPr>
      <w:r w:rsidRPr="00755404">
        <w:rPr>
          <w:b/>
          <w:color w:val="000000" w:themeColor="text1"/>
        </w:rPr>
        <w:t>Q.</w:t>
      </w:r>
      <w:r w:rsidRPr="00755404">
        <w:rPr>
          <w:b/>
          <w:color w:val="000000" w:themeColor="text1"/>
        </w:rPr>
        <w:tab/>
        <w:t xml:space="preserve">How long have you been employed by the Commission?  </w:t>
      </w:r>
      <w:r w:rsidRPr="00755404">
        <w:rPr>
          <w:color w:val="000000" w:themeColor="text1"/>
        </w:rPr>
        <w:t xml:space="preserve"> </w:t>
      </w:r>
    </w:p>
    <w:p w14:paraId="5393BE47" w14:textId="4987EA2E" w:rsidR="00B814E2" w:rsidRDefault="00B814E2" w:rsidP="0074494A">
      <w:pPr>
        <w:spacing w:line="480" w:lineRule="auto"/>
        <w:ind w:left="720" w:hanging="720"/>
        <w:rPr>
          <w:color w:val="000000" w:themeColor="text1"/>
        </w:rPr>
      </w:pPr>
      <w:r w:rsidRPr="00755404">
        <w:rPr>
          <w:color w:val="000000" w:themeColor="text1"/>
        </w:rPr>
        <w:t>A.</w:t>
      </w:r>
      <w:r w:rsidRPr="00755404">
        <w:rPr>
          <w:color w:val="000000" w:themeColor="text1"/>
        </w:rPr>
        <w:tab/>
      </w:r>
      <w:r w:rsidR="00045486" w:rsidRPr="00755404">
        <w:rPr>
          <w:color w:val="000000" w:themeColor="text1"/>
        </w:rPr>
        <w:t xml:space="preserve">I have been employed by the Commission </w:t>
      </w:r>
      <w:r w:rsidR="00BE547F" w:rsidRPr="00755404">
        <w:rPr>
          <w:color w:val="000000" w:themeColor="text1"/>
        </w:rPr>
        <w:t xml:space="preserve">since </w:t>
      </w:r>
      <w:r w:rsidR="005466E6">
        <w:rPr>
          <w:color w:val="000000" w:themeColor="text1"/>
        </w:rPr>
        <w:t>2012</w:t>
      </w:r>
      <w:r w:rsidR="00C42BC5" w:rsidRPr="00755404">
        <w:rPr>
          <w:color w:val="000000" w:themeColor="text1"/>
        </w:rPr>
        <w:t>.</w:t>
      </w:r>
    </w:p>
    <w:p w14:paraId="7ACB60E8" w14:textId="77777777" w:rsidR="008D3E96" w:rsidRPr="00755404" w:rsidRDefault="008D3E96" w:rsidP="00C42C79">
      <w:pPr>
        <w:spacing w:line="480" w:lineRule="auto"/>
        <w:ind w:left="720" w:hanging="720"/>
        <w:rPr>
          <w:color w:val="000000" w:themeColor="text1"/>
        </w:rPr>
      </w:pPr>
    </w:p>
    <w:p w14:paraId="65F77B8A" w14:textId="37257D9A" w:rsidR="00B814E2" w:rsidRPr="00755404" w:rsidRDefault="00740689" w:rsidP="00C42C79">
      <w:pPr>
        <w:spacing w:line="480" w:lineRule="auto"/>
        <w:ind w:left="720" w:hanging="720"/>
        <w:rPr>
          <w:color w:val="000000" w:themeColor="text1"/>
        </w:rPr>
      </w:pPr>
      <w:r w:rsidRPr="00755404">
        <w:rPr>
          <w:b/>
          <w:color w:val="000000" w:themeColor="text1"/>
        </w:rPr>
        <w:t>Q.</w:t>
      </w:r>
      <w:r w:rsidR="00B814E2" w:rsidRPr="00755404">
        <w:rPr>
          <w:b/>
          <w:color w:val="000000" w:themeColor="text1"/>
        </w:rPr>
        <w:tab/>
        <w:t xml:space="preserve">Would you please state your educational and professional background?  </w:t>
      </w:r>
    </w:p>
    <w:p w14:paraId="136B4993" w14:textId="143D5ABF" w:rsidR="005162AB" w:rsidRPr="005162AB" w:rsidRDefault="00B814E2" w:rsidP="005162AB">
      <w:pPr>
        <w:tabs>
          <w:tab w:val="left" w:pos="-1440"/>
        </w:tabs>
        <w:spacing w:line="480" w:lineRule="auto"/>
        <w:ind w:left="720" w:hanging="720"/>
        <w:rPr>
          <w:color w:val="000000" w:themeColor="text1"/>
        </w:rPr>
      </w:pPr>
      <w:r w:rsidRPr="00755404">
        <w:rPr>
          <w:color w:val="000000" w:themeColor="text1"/>
        </w:rPr>
        <w:t>A.</w:t>
      </w:r>
      <w:r w:rsidRPr="00755404">
        <w:rPr>
          <w:color w:val="000000" w:themeColor="text1"/>
        </w:rPr>
        <w:tab/>
      </w:r>
      <w:r w:rsidR="005162AB" w:rsidRPr="005162AB">
        <w:rPr>
          <w:color w:val="000000" w:themeColor="text1"/>
        </w:rPr>
        <w:t>I graduated magna cum laude from Seattle University, Albers School of Business and Economics</w:t>
      </w:r>
      <w:r w:rsidR="00997950">
        <w:rPr>
          <w:color w:val="000000" w:themeColor="text1"/>
        </w:rPr>
        <w:t xml:space="preserve"> in 2010</w:t>
      </w:r>
      <w:r w:rsidR="005162AB" w:rsidRPr="005162AB">
        <w:rPr>
          <w:color w:val="000000" w:themeColor="text1"/>
        </w:rPr>
        <w:t xml:space="preserve">, with a Bachelor of Arts in Business Administration with </w:t>
      </w:r>
      <w:r w:rsidR="00CD73E7">
        <w:rPr>
          <w:color w:val="000000" w:themeColor="text1"/>
        </w:rPr>
        <w:t>a focus in accounting</w:t>
      </w:r>
      <w:r w:rsidR="00B248EF">
        <w:rPr>
          <w:color w:val="000000" w:themeColor="text1"/>
        </w:rPr>
        <w:t xml:space="preserve">. </w:t>
      </w:r>
      <w:r w:rsidR="005162AB" w:rsidRPr="005162AB">
        <w:rPr>
          <w:color w:val="000000" w:themeColor="text1"/>
        </w:rPr>
        <w:t xml:space="preserve">In 2012, I earned a Masters of Professional Accounting (MPAC) degree from Seattle University, Albers School of Business and Economics.  </w:t>
      </w:r>
    </w:p>
    <w:p w14:paraId="2E61283C" w14:textId="6A4ED1DA" w:rsidR="004A5D0E" w:rsidRDefault="005162AB" w:rsidP="00892A77">
      <w:pPr>
        <w:spacing w:line="480" w:lineRule="auto"/>
        <w:ind w:left="720" w:firstLine="720"/>
      </w:pPr>
      <w:r w:rsidRPr="005162AB">
        <w:rPr>
          <w:color w:val="000000" w:themeColor="text1"/>
        </w:rPr>
        <w:t>I attended the Western NARUC Utility Rate School (2013) and the National Association of Water Companies 2013, Staff Water Policy Forum.</w:t>
      </w:r>
      <w:r>
        <w:rPr>
          <w:color w:val="000000" w:themeColor="text1"/>
        </w:rPr>
        <w:t xml:space="preserve"> I have provided accounting </w:t>
      </w:r>
      <w:r w:rsidR="00EF42B0">
        <w:rPr>
          <w:color w:val="000000" w:themeColor="text1"/>
        </w:rPr>
        <w:t>guidance</w:t>
      </w:r>
      <w:r>
        <w:rPr>
          <w:color w:val="000000" w:themeColor="text1"/>
        </w:rPr>
        <w:t xml:space="preserve"> in </w:t>
      </w:r>
      <w:r w:rsidR="004A5D0E">
        <w:rPr>
          <w:color w:val="000000" w:themeColor="text1"/>
        </w:rPr>
        <w:t xml:space="preserve">energy </w:t>
      </w:r>
      <w:r>
        <w:rPr>
          <w:color w:val="000000" w:themeColor="text1"/>
        </w:rPr>
        <w:t>docket</w:t>
      </w:r>
      <w:r w:rsidR="004A5D0E">
        <w:rPr>
          <w:color w:val="000000" w:themeColor="text1"/>
        </w:rPr>
        <w:t>s UE-151871, UG-151872, and</w:t>
      </w:r>
      <w:r>
        <w:rPr>
          <w:color w:val="000000" w:themeColor="text1"/>
        </w:rPr>
        <w:t xml:space="preserve"> UE-160100</w:t>
      </w:r>
      <w:r w:rsidR="004A5D0E">
        <w:rPr>
          <w:color w:val="000000" w:themeColor="text1"/>
        </w:rPr>
        <w:t xml:space="preserve">. </w:t>
      </w:r>
      <w:r w:rsidR="004A5D0E">
        <w:rPr>
          <w:color w:val="000000" w:themeColor="text1"/>
        </w:rPr>
        <w:lastRenderedPageBreak/>
        <w:t xml:space="preserve">Prior to moving to </w:t>
      </w:r>
      <w:r w:rsidR="002F2411">
        <w:rPr>
          <w:color w:val="000000" w:themeColor="text1"/>
        </w:rPr>
        <w:t>the</w:t>
      </w:r>
      <w:r w:rsidR="004A5D0E">
        <w:rPr>
          <w:color w:val="000000" w:themeColor="text1"/>
        </w:rPr>
        <w:t xml:space="preserve"> energy section in June 2016, I audited and provided testimony for solid waste general rate case</w:t>
      </w:r>
      <w:r w:rsidR="00B248EF">
        <w:rPr>
          <w:color w:val="000000" w:themeColor="text1"/>
        </w:rPr>
        <w:t>s -</w:t>
      </w:r>
      <w:r w:rsidR="004A5D0E">
        <w:rPr>
          <w:color w:val="000000" w:themeColor="text1"/>
        </w:rPr>
        <w:t xml:space="preserve"> dockets TG-140560, </w:t>
      </w:r>
      <w:r w:rsidR="004A5D0E">
        <w:t>TG-130502, and TG-130501.</w:t>
      </w:r>
    </w:p>
    <w:p w14:paraId="652D87DD" w14:textId="256D62A3" w:rsidR="00CE75BC" w:rsidRPr="00755404" w:rsidRDefault="00CE75BC" w:rsidP="0074494A">
      <w:pPr>
        <w:tabs>
          <w:tab w:val="left" w:pos="-1440"/>
        </w:tabs>
        <w:spacing w:line="480" w:lineRule="auto"/>
        <w:rPr>
          <w:rFonts w:eastAsia="Times New Roman"/>
          <w:color w:val="000000" w:themeColor="text1"/>
        </w:rPr>
      </w:pPr>
    </w:p>
    <w:p w14:paraId="1EC2181B" w14:textId="77777777" w:rsidR="00CE75BC" w:rsidRPr="00755404" w:rsidRDefault="00CE75BC" w:rsidP="00C42C79">
      <w:pPr>
        <w:tabs>
          <w:tab w:val="left" w:pos="-1440"/>
        </w:tabs>
        <w:spacing w:line="480" w:lineRule="auto"/>
        <w:ind w:left="720" w:hanging="720"/>
        <w:rPr>
          <w:rFonts w:eastAsia="Times New Roman"/>
          <w:b/>
          <w:color w:val="000000" w:themeColor="text1"/>
        </w:rPr>
      </w:pPr>
      <w:r w:rsidRPr="00755404">
        <w:rPr>
          <w:rFonts w:eastAsia="Times New Roman"/>
          <w:b/>
          <w:color w:val="000000" w:themeColor="text1"/>
        </w:rPr>
        <w:t xml:space="preserve">Q. </w:t>
      </w:r>
      <w:r w:rsidRPr="00755404">
        <w:rPr>
          <w:rFonts w:eastAsia="Times New Roman"/>
          <w:b/>
          <w:color w:val="000000" w:themeColor="text1"/>
        </w:rPr>
        <w:tab/>
        <w:t>Have you testified previously before the Commission?</w:t>
      </w:r>
    </w:p>
    <w:p w14:paraId="4A5B7262" w14:textId="075191C8" w:rsidR="00CE75BC" w:rsidRPr="00755404" w:rsidRDefault="00CE75BC" w:rsidP="008D3E96">
      <w:pPr>
        <w:tabs>
          <w:tab w:val="left" w:pos="-1440"/>
        </w:tabs>
        <w:spacing w:line="480" w:lineRule="auto"/>
        <w:ind w:left="720" w:hanging="720"/>
        <w:rPr>
          <w:rFonts w:eastAsia="Times New Roman"/>
          <w:color w:val="000000" w:themeColor="text1"/>
        </w:rPr>
      </w:pPr>
      <w:r w:rsidRPr="00755404">
        <w:rPr>
          <w:rFonts w:eastAsia="Times New Roman"/>
          <w:color w:val="000000" w:themeColor="text1"/>
        </w:rPr>
        <w:t xml:space="preserve">A. </w:t>
      </w:r>
      <w:r w:rsidRPr="00755404">
        <w:rPr>
          <w:rFonts w:eastAsia="Times New Roman"/>
          <w:color w:val="000000" w:themeColor="text1"/>
        </w:rPr>
        <w:tab/>
      </w:r>
      <w:r w:rsidR="00542BAF">
        <w:rPr>
          <w:rFonts w:eastAsia="Times New Roman"/>
          <w:color w:val="000000" w:themeColor="text1"/>
        </w:rPr>
        <w:t>Yes. I have provided written and oral testimony</w:t>
      </w:r>
      <w:r w:rsidR="00E126AD">
        <w:rPr>
          <w:rFonts w:eastAsia="Times New Roman"/>
          <w:color w:val="000000" w:themeColor="text1"/>
        </w:rPr>
        <w:t xml:space="preserve"> before the Commission</w:t>
      </w:r>
      <w:r w:rsidR="00542BAF">
        <w:rPr>
          <w:rFonts w:eastAsia="Times New Roman"/>
          <w:color w:val="000000" w:themeColor="text1"/>
        </w:rPr>
        <w:t xml:space="preserve"> in a </w:t>
      </w:r>
      <w:r w:rsidR="00EF42B0">
        <w:rPr>
          <w:rFonts w:eastAsia="Times New Roman"/>
          <w:color w:val="000000" w:themeColor="text1"/>
        </w:rPr>
        <w:t>solid</w:t>
      </w:r>
      <w:r w:rsidR="00542BAF">
        <w:rPr>
          <w:rFonts w:eastAsia="Times New Roman"/>
          <w:color w:val="000000" w:themeColor="text1"/>
        </w:rPr>
        <w:t xml:space="preserve"> waste adjudicated rate case, TG-140560</w:t>
      </w:r>
      <w:r w:rsidR="00BC7F13">
        <w:rPr>
          <w:rFonts w:eastAsia="Times New Roman"/>
          <w:color w:val="000000" w:themeColor="text1"/>
        </w:rPr>
        <w:t xml:space="preserve">. </w:t>
      </w:r>
      <w:r w:rsidR="00BC7F13" w:rsidRPr="00BC7F13">
        <w:rPr>
          <w:rFonts w:eastAsia="Times New Roman"/>
          <w:color w:val="000000" w:themeColor="text1"/>
        </w:rPr>
        <w:t xml:space="preserve">I also previously provided written testimony before the Commission in support of a settlement agreement </w:t>
      </w:r>
      <w:r w:rsidR="002F2411">
        <w:rPr>
          <w:rFonts w:eastAsia="Times New Roman"/>
          <w:color w:val="000000" w:themeColor="text1"/>
        </w:rPr>
        <w:t>in</w:t>
      </w:r>
      <w:r w:rsidR="002F2411" w:rsidRPr="00BC7F13">
        <w:rPr>
          <w:rFonts w:eastAsia="Times New Roman"/>
          <w:color w:val="000000" w:themeColor="text1"/>
        </w:rPr>
        <w:t xml:space="preserve"> </w:t>
      </w:r>
      <w:r w:rsidR="00BC7F13" w:rsidRPr="00BC7F13">
        <w:rPr>
          <w:rFonts w:eastAsia="Times New Roman"/>
          <w:color w:val="000000" w:themeColor="text1"/>
        </w:rPr>
        <w:t>dockets TG-130501 and TG-130502.</w:t>
      </w:r>
    </w:p>
    <w:p w14:paraId="31400400" w14:textId="0DAC0A8A" w:rsidR="00CE75BC" w:rsidRPr="00755404" w:rsidRDefault="00CE75BC" w:rsidP="00C42C79">
      <w:pPr>
        <w:tabs>
          <w:tab w:val="left" w:pos="-1440"/>
        </w:tabs>
        <w:spacing w:line="480" w:lineRule="auto"/>
        <w:ind w:left="720" w:hanging="720"/>
        <w:rPr>
          <w:rFonts w:eastAsia="Times New Roman"/>
          <w:color w:val="000000" w:themeColor="text1"/>
        </w:rPr>
      </w:pPr>
    </w:p>
    <w:p w14:paraId="7FE64B23" w14:textId="2D511861" w:rsidR="009956A2" w:rsidRPr="00755404" w:rsidRDefault="009956A2" w:rsidP="008D3E96">
      <w:pPr>
        <w:keepNext/>
        <w:spacing w:line="480" w:lineRule="auto"/>
        <w:ind w:left="720" w:hanging="720"/>
        <w:jc w:val="center"/>
        <w:rPr>
          <w:b/>
          <w:color w:val="000000" w:themeColor="text1"/>
        </w:rPr>
      </w:pPr>
      <w:r w:rsidRPr="00755404">
        <w:rPr>
          <w:b/>
          <w:color w:val="000000" w:themeColor="text1"/>
        </w:rPr>
        <w:t>II.</w:t>
      </w:r>
      <w:r w:rsidRPr="00755404">
        <w:rPr>
          <w:b/>
          <w:color w:val="000000" w:themeColor="text1"/>
        </w:rPr>
        <w:tab/>
        <w:t xml:space="preserve">SCOPE </w:t>
      </w:r>
      <w:r w:rsidR="001923A9">
        <w:rPr>
          <w:b/>
          <w:color w:val="000000" w:themeColor="text1"/>
        </w:rPr>
        <w:t xml:space="preserve">AND SUMMARY </w:t>
      </w:r>
      <w:r w:rsidRPr="00755404">
        <w:rPr>
          <w:b/>
          <w:color w:val="000000" w:themeColor="text1"/>
        </w:rPr>
        <w:t>OF TESTIMONY</w:t>
      </w:r>
    </w:p>
    <w:p w14:paraId="40DD876F" w14:textId="77777777" w:rsidR="009956A2" w:rsidRPr="00755404" w:rsidRDefault="009956A2" w:rsidP="008D3E96">
      <w:pPr>
        <w:keepNext/>
        <w:spacing w:line="480" w:lineRule="auto"/>
        <w:ind w:left="720" w:hanging="720"/>
        <w:rPr>
          <w:b/>
          <w:color w:val="000000" w:themeColor="text1"/>
        </w:rPr>
      </w:pPr>
    </w:p>
    <w:p w14:paraId="124B5C7E" w14:textId="77777777" w:rsidR="00362612" w:rsidRDefault="00362612" w:rsidP="00E35F8B">
      <w:pPr>
        <w:pStyle w:val="NoSpacing"/>
        <w:spacing w:line="480" w:lineRule="auto"/>
        <w:ind w:left="720" w:hanging="720"/>
        <w:rPr>
          <w:b/>
        </w:rPr>
      </w:pPr>
      <w:r w:rsidRPr="00E35F8B">
        <w:rPr>
          <w:b/>
        </w:rPr>
        <w:t>Q.</w:t>
      </w:r>
      <w:r w:rsidRPr="00E35F8B">
        <w:rPr>
          <w:b/>
        </w:rPr>
        <w:tab/>
        <w:t>Please explain the purpose of your testimony.</w:t>
      </w:r>
    </w:p>
    <w:p w14:paraId="44154E70" w14:textId="61FBD253" w:rsidR="00E35F8B" w:rsidRPr="00E35F8B" w:rsidRDefault="00E35F8B" w:rsidP="00E35F8B">
      <w:pPr>
        <w:pStyle w:val="NoSpacing"/>
        <w:spacing w:line="480" w:lineRule="auto"/>
        <w:ind w:left="720" w:hanging="720"/>
        <w:rPr>
          <w:b/>
        </w:rPr>
      </w:pPr>
      <w:r>
        <w:t>A.</w:t>
      </w:r>
      <w:r>
        <w:tab/>
      </w:r>
      <w:r w:rsidR="00502BB6">
        <w:t xml:space="preserve">The purpose of my </w:t>
      </w:r>
      <w:r w:rsidR="00413CF3">
        <w:t xml:space="preserve">testimony </w:t>
      </w:r>
      <w:r w:rsidR="00502BB6">
        <w:t>is to respond</w:t>
      </w:r>
      <w:r w:rsidR="00413CF3">
        <w:t xml:space="preserve"> to </w:t>
      </w:r>
      <w:r w:rsidR="00587D3F">
        <w:t>twelve</w:t>
      </w:r>
      <w:r w:rsidR="00502BB6">
        <w:t xml:space="preserve"> of </w:t>
      </w:r>
      <w:r w:rsidR="00587D3F" w:rsidRPr="00587D3F">
        <w:t>Avista Corporation</w:t>
      </w:r>
      <w:r w:rsidR="00DE1F9B">
        <w:t>’</w:t>
      </w:r>
      <w:r w:rsidR="00587D3F" w:rsidRPr="00587D3F">
        <w:t>s (</w:t>
      </w:r>
      <w:r w:rsidR="003B67DD">
        <w:t>“</w:t>
      </w:r>
      <w:r w:rsidR="00587D3F" w:rsidRPr="00587D3F">
        <w:t>Avista</w:t>
      </w:r>
      <w:r w:rsidR="003B67DD">
        <w:t>”</w:t>
      </w:r>
      <w:r w:rsidR="00587D3F" w:rsidRPr="00587D3F">
        <w:t xml:space="preserve"> or </w:t>
      </w:r>
      <w:r w:rsidR="003B67DD">
        <w:t>“</w:t>
      </w:r>
      <w:r w:rsidR="0033029A">
        <w:t>Company</w:t>
      </w:r>
      <w:r w:rsidR="003B67DD">
        <w:t>”</w:t>
      </w:r>
      <w:r w:rsidR="00587D3F" w:rsidRPr="00587D3F">
        <w:t xml:space="preserve">) </w:t>
      </w:r>
      <w:r w:rsidR="00587D3F">
        <w:t xml:space="preserve">adjustments sponsored by the </w:t>
      </w:r>
      <w:r w:rsidR="0033029A">
        <w:t>Company</w:t>
      </w:r>
      <w:r w:rsidR="00587D3F">
        <w:t xml:space="preserve">’s witness, </w:t>
      </w:r>
      <w:r w:rsidR="003B67DD">
        <w:t xml:space="preserve">Ms. </w:t>
      </w:r>
      <w:r w:rsidR="002C1C12">
        <w:t>Jennifer</w:t>
      </w:r>
      <w:r w:rsidR="00587D3F">
        <w:t xml:space="preserve"> Smith.</w:t>
      </w:r>
    </w:p>
    <w:p w14:paraId="32BB8EE5" w14:textId="3A9D8248" w:rsidR="0074494A" w:rsidRDefault="0074494A" w:rsidP="00587D3F">
      <w:pPr>
        <w:pStyle w:val="NoSpacing"/>
        <w:spacing w:line="480" w:lineRule="auto"/>
      </w:pPr>
    </w:p>
    <w:p w14:paraId="22DD368D" w14:textId="0DC5C3B4" w:rsidR="0074494A" w:rsidRPr="00460E36" w:rsidRDefault="0074494A" w:rsidP="0074494A">
      <w:pPr>
        <w:spacing w:line="480" w:lineRule="auto"/>
        <w:ind w:left="720" w:hanging="720"/>
        <w:rPr>
          <w:b/>
        </w:rPr>
      </w:pPr>
      <w:r w:rsidRPr="00460E36">
        <w:rPr>
          <w:b/>
        </w:rPr>
        <w:t>Q.</w:t>
      </w:r>
      <w:r w:rsidRPr="00460E36">
        <w:rPr>
          <w:b/>
        </w:rPr>
        <w:tab/>
      </w:r>
      <w:r w:rsidR="00F07FB7" w:rsidRPr="00F07FB7">
        <w:rPr>
          <w:b/>
        </w:rPr>
        <w:t xml:space="preserve">Which </w:t>
      </w:r>
      <w:r w:rsidR="008E0F8A">
        <w:rPr>
          <w:b/>
        </w:rPr>
        <w:t xml:space="preserve">restating and pro forma </w:t>
      </w:r>
      <w:r w:rsidR="00F07FB7" w:rsidRPr="00F07FB7">
        <w:rPr>
          <w:b/>
        </w:rPr>
        <w:t>adjustments are uncontested by Staff?</w:t>
      </w:r>
    </w:p>
    <w:p w14:paraId="30D6D65B" w14:textId="15D4AA3D" w:rsidR="0074494A" w:rsidRDefault="0074494A" w:rsidP="00BD7D56">
      <w:pPr>
        <w:spacing w:line="480" w:lineRule="auto"/>
        <w:ind w:left="720" w:hanging="720"/>
      </w:pPr>
      <w:r w:rsidRPr="00460E36">
        <w:t>A.</w:t>
      </w:r>
      <w:r w:rsidRPr="00460E36">
        <w:tab/>
        <w:t xml:space="preserve">Staff </w:t>
      </w:r>
      <w:r w:rsidR="002F2411">
        <w:t xml:space="preserve">has reviewed and </w:t>
      </w:r>
      <w:r w:rsidRPr="00460E36">
        <w:t xml:space="preserve">does not contest the following </w:t>
      </w:r>
      <w:r w:rsidR="00AD1CD9">
        <w:t>four</w:t>
      </w:r>
      <w:r w:rsidRPr="00460E36">
        <w:t xml:space="preserve"> adjustments:</w:t>
      </w:r>
    </w:p>
    <w:p w14:paraId="5948DF68" w14:textId="5D732051" w:rsidR="00691DE5" w:rsidRDefault="00691DE5" w:rsidP="00691DE5">
      <w:pPr>
        <w:pStyle w:val="ListParagraph"/>
        <w:numPr>
          <w:ilvl w:val="1"/>
          <w:numId w:val="37"/>
        </w:numPr>
        <w:spacing w:line="480" w:lineRule="auto"/>
      </w:pPr>
      <w:r>
        <w:t xml:space="preserve">Deferred FIT Rate Base </w:t>
      </w:r>
      <w:r w:rsidR="00572CA4">
        <w:t>(</w:t>
      </w:r>
      <w:r>
        <w:t>Electric 1.01</w:t>
      </w:r>
      <w:r w:rsidR="00F21F4A">
        <w:t>, Gas 1.01</w:t>
      </w:r>
      <w:r w:rsidR="00572CA4">
        <w:t>)</w:t>
      </w:r>
    </w:p>
    <w:p w14:paraId="44EF7675" w14:textId="32211F3B" w:rsidR="00691DE5" w:rsidRDefault="00691DE5" w:rsidP="00691DE5">
      <w:pPr>
        <w:pStyle w:val="ListParagraph"/>
        <w:numPr>
          <w:ilvl w:val="1"/>
          <w:numId w:val="37"/>
        </w:numPr>
        <w:spacing w:line="480" w:lineRule="auto"/>
      </w:pPr>
      <w:r>
        <w:t>FIT/DFIT/ITC</w:t>
      </w:r>
      <w:r w:rsidR="00572CA4">
        <w:t>/PTC Expense</w:t>
      </w:r>
      <w:r>
        <w:t xml:space="preserve"> </w:t>
      </w:r>
      <w:r w:rsidR="00E07002">
        <w:t>(</w:t>
      </w:r>
      <w:r>
        <w:t>Electric 2.06</w:t>
      </w:r>
      <w:r w:rsidR="00E07002">
        <w:t>) and FIT/DFIT Expense</w:t>
      </w:r>
      <w:r w:rsidR="00F21F4A">
        <w:t xml:space="preserve"> </w:t>
      </w:r>
      <w:r w:rsidR="00E07002">
        <w:t>(</w:t>
      </w:r>
      <w:r w:rsidR="00F21F4A">
        <w:t>Gas 2.06</w:t>
      </w:r>
      <w:r w:rsidR="00572CA4">
        <w:t>)</w:t>
      </w:r>
    </w:p>
    <w:p w14:paraId="31C9F4BB" w14:textId="3968C8DC" w:rsidR="00691DE5" w:rsidRDefault="00691DE5" w:rsidP="00691DE5">
      <w:pPr>
        <w:pStyle w:val="ListParagraph"/>
        <w:numPr>
          <w:ilvl w:val="1"/>
          <w:numId w:val="37"/>
        </w:numPr>
        <w:spacing w:line="480" w:lineRule="auto"/>
      </w:pPr>
      <w:r>
        <w:t>Pro Forma</w:t>
      </w:r>
      <w:r w:rsidR="009E4A20">
        <w:t xml:space="preserve"> Labor Non-Exec</w:t>
      </w:r>
      <w:r>
        <w:t xml:space="preserve"> </w:t>
      </w:r>
      <w:r w:rsidR="00572CA4">
        <w:t>(</w:t>
      </w:r>
      <w:r>
        <w:t>Electric 3.02</w:t>
      </w:r>
      <w:r w:rsidR="00F21F4A">
        <w:t>, Gas 3.00</w:t>
      </w:r>
      <w:r w:rsidR="00572CA4">
        <w:t>)</w:t>
      </w:r>
      <w:r>
        <w:t xml:space="preserve"> </w:t>
      </w:r>
    </w:p>
    <w:p w14:paraId="6B91CC5E" w14:textId="7212F597" w:rsidR="00C738B4" w:rsidRDefault="00691DE5" w:rsidP="00C738B4">
      <w:pPr>
        <w:pStyle w:val="ListParagraph"/>
        <w:numPr>
          <w:ilvl w:val="1"/>
          <w:numId w:val="37"/>
        </w:numPr>
        <w:spacing w:line="480" w:lineRule="auto"/>
      </w:pPr>
      <w:r>
        <w:lastRenderedPageBreak/>
        <w:t>P</w:t>
      </w:r>
      <w:r w:rsidR="009E4A20">
        <w:t>ro Forma Labor Exec</w:t>
      </w:r>
      <w:r>
        <w:t xml:space="preserve"> </w:t>
      </w:r>
      <w:r w:rsidR="00572CA4">
        <w:t>(</w:t>
      </w:r>
      <w:r w:rsidRPr="00691DE5">
        <w:t xml:space="preserve">Electric </w:t>
      </w:r>
      <w:r w:rsidR="00C738B4">
        <w:t>3.03</w:t>
      </w:r>
      <w:r w:rsidR="00F21F4A">
        <w:t xml:space="preserve">, </w:t>
      </w:r>
      <w:r w:rsidR="00F21F4A" w:rsidRPr="00691DE5">
        <w:t xml:space="preserve">Gas </w:t>
      </w:r>
      <w:r w:rsidR="00F21F4A">
        <w:t>3.01</w:t>
      </w:r>
      <w:r w:rsidR="00572CA4">
        <w:t>)</w:t>
      </w:r>
    </w:p>
    <w:p w14:paraId="08E76D46" w14:textId="77777777" w:rsidR="0074494A" w:rsidRDefault="0074494A" w:rsidP="00362612">
      <w:pPr>
        <w:pStyle w:val="NoSpacing"/>
        <w:spacing w:line="480" w:lineRule="auto"/>
        <w:ind w:left="720" w:hanging="720"/>
      </w:pPr>
    </w:p>
    <w:p w14:paraId="130A0D97" w14:textId="2D563EF3" w:rsidR="00FB750D" w:rsidRDefault="00FB750D" w:rsidP="00362612">
      <w:pPr>
        <w:pStyle w:val="NoSpacing"/>
        <w:spacing w:line="480" w:lineRule="auto"/>
        <w:ind w:left="720" w:hanging="720"/>
        <w:rPr>
          <w:b/>
        </w:rPr>
      </w:pPr>
      <w:r>
        <w:rPr>
          <w:b/>
        </w:rPr>
        <w:t>Q.</w:t>
      </w:r>
      <w:r>
        <w:rPr>
          <w:b/>
        </w:rPr>
        <w:tab/>
      </w:r>
      <w:r w:rsidR="008E0F8A">
        <w:rPr>
          <w:b/>
        </w:rPr>
        <w:t xml:space="preserve">Which </w:t>
      </w:r>
      <w:r w:rsidR="00277F20" w:rsidRPr="00AC1B8C">
        <w:rPr>
          <w:b/>
        </w:rPr>
        <w:t>Cross Check</w:t>
      </w:r>
      <w:r w:rsidR="00277F20" w:rsidRPr="00963081">
        <w:t xml:space="preserve"> </w:t>
      </w:r>
      <w:r w:rsidR="008E0F8A">
        <w:rPr>
          <w:b/>
        </w:rPr>
        <w:t>adjusments did you review?</w:t>
      </w:r>
    </w:p>
    <w:p w14:paraId="6FD7E3A5" w14:textId="7C912707" w:rsidR="008E0F8A" w:rsidRDefault="008E0F8A" w:rsidP="00362612">
      <w:pPr>
        <w:pStyle w:val="NoSpacing"/>
        <w:spacing w:line="480" w:lineRule="auto"/>
        <w:ind w:left="720" w:hanging="720"/>
      </w:pPr>
      <w:r>
        <w:t>A.</w:t>
      </w:r>
      <w:r>
        <w:tab/>
        <w:t>I reviewed the following four Cross Check adjustments that Avista uses to support the reasonableness of its electric and natual gas Attrition Study:</w:t>
      </w:r>
    </w:p>
    <w:p w14:paraId="595AFFA9" w14:textId="77777777" w:rsidR="008E0F8A" w:rsidRDefault="008E0F8A" w:rsidP="00AC1B8C">
      <w:pPr>
        <w:pStyle w:val="NoSpacing"/>
        <w:numPr>
          <w:ilvl w:val="0"/>
          <w:numId w:val="54"/>
        </w:numPr>
        <w:spacing w:line="480" w:lineRule="auto"/>
      </w:pPr>
      <w:r>
        <w:t>Cross Check Labor Non-Exec (Electric 4.02, Gas 4.00)</w:t>
      </w:r>
    </w:p>
    <w:p w14:paraId="130ECB11" w14:textId="77777777" w:rsidR="008E0F8A" w:rsidRDefault="008E0F8A" w:rsidP="00AC1B8C">
      <w:pPr>
        <w:pStyle w:val="NoSpacing"/>
        <w:numPr>
          <w:ilvl w:val="0"/>
          <w:numId w:val="54"/>
        </w:numPr>
        <w:spacing w:line="480" w:lineRule="auto"/>
      </w:pPr>
      <w:r>
        <w:t>Cross Check Labor Non-Exec (Electric 18.03, Gas 18.01)</w:t>
      </w:r>
    </w:p>
    <w:p w14:paraId="39910865" w14:textId="77777777" w:rsidR="008E0F8A" w:rsidRDefault="008E0F8A" w:rsidP="00AC1B8C">
      <w:pPr>
        <w:pStyle w:val="NoSpacing"/>
        <w:numPr>
          <w:ilvl w:val="0"/>
          <w:numId w:val="54"/>
        </w:numPr>
        <w:spacing w:line="480" w:lineRule="auto"/>
      </w:pPr>
      <w:r>
        <w:t>Cross Check 2017 AMI Capital &amp; Expense (Electric 4.03, Gas 4.03)</w:t>
      </w:r>
    </w:p>
    <w:p w14:paraId="0BFBCD88" w14:textId="77777777" w:rsidR="008E0F8A" w:rsidRDefault="008E0F8A" w:rsidP="00AC1B8C">
      <w:pPr>
        <w:pStyle w:val="NoSpacing"/>
        <w:numPr>
          <w:ilvl w:val="0"/>
          <w:numId w:val="54"/>
        </w:numPr>
        <w:spacing w:line="480" w:lineRule="auto"/>
      </w:pPr>
      <w:r>
        <w:t xml:space="preserve">Cross Check 2018 AMI Capital &amp; Expense (Electric 18.05, Gas 18.06) </w:t>
      </w:r>
    </w:p>
    <w:p w14:paraId="413161E8" w14:textId="77777777" w:rsidR="008E0F8A" w:rsidRDefault="008E0F8A" w:rsidP="00277F20">
      <w:pPr>
        <w:pStyle w:val="NoSpacing"/>
        <w:spacing w:line="480" w:lineRule="auto"/>
      </w:pPr>
    </w:p>
    <w:p w14:paraId="67DCF211" w14:textId="4EC3EC2E" w:rsidR="008E0F8A" w:rsidRDefault="008E0F8A" w:rsidP="00277F20">
      <w:pPr>
        <w:pStyle w:val="NoSpacing"/>
        <w:spacing w:line="480" w:lineRule="auto"/>
        <w:rPr>
          <w:b/>
        </w:rPr>
      </w:pPr>
      <w:r>
        <w:rPr>
          <w:b/>
        </w:rPr>
        <w:t>Q.</w:t>
      </w:r>
      <w:r>
        <w:rPr>
          <w:b/>
        </w:rPr>
        <w:tab/>
        <w:t>What is Staff’s position regarding the above Cross Check adjustments?</w:t>
      </w:r>
    </w:p>
    <w:p w14:paraId="45CFC4F6" w14:textId="569C0500" w:rsidR="008E0F8A" w:rsidRPr="00AC1B8C" w:rsidRDefault="008E0F8A" w:rsidP="00AC1B8C">
      <w:pPr>
        <w:pStyle w:val="NoSpacing"/>
        <w:spacing w:line="480" w:lineRule="auto"/>
        <w:ind w:left="720" w:hanging="720"/>
        <w:rPr>
          <w:u w:val="single"/>
        </w:rPr>
      </w:pPr>
      <w:r>
        <w:t>A.</w:t>
      </w:r>
      <w:r>
        <w:tab/>
      </w:r>
      <w:r w:rsidR="004249E5">
        <w:t>Avista is not requesting rate recovery of the Cross Check adjustments</w:t>
      </w:r>
      <w:r w:rsidR="005A02B0">
        <w:t xml:space="preserve"> (balances)</w:t>
      </w:r>
      <w:r w:rsidR="00C31417">
        <w:t>.</w:t>
      </w:r>
      <w:r w:rsidR="005A02B0">
        <w:rPr>
          <w:rStyle w:val="FootnoteReference"/>
        </w:rPr>
        <w:footnoteReference w:id="2"/>
      </w:r>
      <w:r w:rsidR="004249E5">
        <w:t xml:space="preserve"> </w:t>
      </w:r>
      <w:r w:rsidR="00C31417">
        <w:t>Ms. </w:t>
      </w:r>
      <w:r w:rsidR="00997950">
        <w:t xml:space="preserve">Joanna </w:t>
      </w:r>
      <w:r w:rsidR="00C31417">
        <w:t>Huang’s testimony</w:t>
      </w:r>
      <w:r w:rsidR="00997950">
        <w:t xml:space="preserve"> presents Staff’s opinions on the Cross Check adjustments</w:t>
      </w:r>
      <w:r w:rsidR="004249E5">
        <w:t>.</w:t>
      </w:r>
      <w:r w:rsidR="00645438">
        <w:rPr>
          <w:rStyle w:val="FootnoteReference"/>
        </w:rPr>
        <w:footnoteReference w:id="3"/>
      </w:r>
    </w:p>
    <w:p w14:paraId="0A0628B8" w14:textId="5728F202" w:rsidR="008E0F8A" w:rsidRDefault="008E0F8A" w:rsidP="00AC1B8C">
      <w:pPr>
        <w:pStyle w:val="NoSpacing"/>
        <w:spacing w:line="480" w:lineRule="auto"/>
        <w:ind w:left="1440"/>
      </w:pPr>
    </w:p>
    <w:p w14:paraId="28931D6B" w14:textId="7F5CE064" w:rsidR="0074494A" w:rsidRPr="00460E36" w:rsidRDefault="0074494A" w:rsidP="0074494A">
      <w:pPr>
        <w:spacing w:line="480" w:lineRule="auto"/>
        <w:ind w:left="720" w:hanging="720"/>
        <w:rPr>
          <w:b/>
        </w:rPr>
      </w:pPr>
      <w:r w:rsidRPr="00460E36">
        <w:rPr>
          <w:b/>
        </w:rPr>
        <w:t>Q.</w:t>
      </w:r>
      <w:r w:rsidRPr="00460E36">
        <w:rPr>
          <w:b/>
        </w:rPr>
        <w:tab/>
        <w:t>Please i</w:t>
      </w:r>
      <w:r w:rsidR="00F07FB7">
        <w:rPr>
          <w:b/>
        </w:rPr>
        <w:t xml:space="preserve">dentify the adjustments </w:t>
      </w:r>
      <w:r w:rsidRPr="00460E36">
        <w:rPr>
          <w:b/>
        </w:rPr>
        <w:t>that Staff is contesting.</w:t>
      </w:r>
    </w:p>
    <w:p w14:paraId="71A528E5" w14:textId="196C202C" w:rsidR="0074494A" w:rsidRDefault="00C738B4" w:rsidP="0074494A">
      <w:pPr>
        <w:pStyle w:val="NoSpacing"/>
        <w:spacing w:line="480" w:lineRule="auto"/>
        <w:ind w:left="720" w:hanging="720"/>
      </w:pPr>
      <w:r>
        <w:t>A.</w:t>
      </w:r>
      <w:r>
        <w:tab/>
      </w:r>
      <w:r w:rsidR="002F2411">
        <w:t>Staff has reviewed and now contests t</w:t>
      </w:r>
      <w:r w:rsidR="00666A01">
        <w:t xml:space="preserve">he remaining </w:t>
      </w:r>
      <w:r w:rsidR="004E7A16">
        <w:t xml:space="preserve">four </w:t>
      </w:r>
      <w:r w:rsidR="00E478EF">
        <w:t>adjustments</w:t>
      </w:r>
      <w:r w:rsidR="002F2411">
        <w:t>. The</w:t>
      </w:r>
      <w:r w:rsidR="00DE189A">
        <w:t xml:space="preserve">se </w:t>
      </w:r>
      <w:r w:rsidR="004E7A16">
        <w:t>four</w:t>
      </w:r>
      <w:r w:rsidR="00DE189A">
        <w:t xml:space="preserve"> adjustments</w:t>
      </w:r>
      <w:r w:rsidR="00E478EF">
        <w:t xml:space="preserve"> </w:t>
      </w:r>
      <w:r w:rsidR="000B608B">
        <w:t xml:space="preserve">relate to </w:t>
      </w:r>
      <w:r w:rsidR="00713F7A">
        <w:t xml:space="preserve">short-term </w:t>
      </w:r>
      <w:r w:rsidR="001C05D8">
        <w:t>employee incentive</w:t>
      </w:r>
      <w:r w:rsidR="00CB08E5">
        <w:t>s</w:t>
      </w:r>
      <w:r w:rsidR="001E452C">
        <w:t>,</w:t>
      </w:r>
      <w:r w:rsidR="000B608B">
        <w:t xml:space="preserve"> </w:t>
      </w:r>
      <w:r w:rsidR="00E07002">
        <w:t xml:space="preserve">employee benefits, </w:t>
      </w:r>
      <w:r w:rsidR="001E733E">
        <w:t>proposed</w:t>
      </w:r>
      <w:r w:rsidR="001C05D8">
        <w:t xml:space="preserve"> pipeline </w:t>
      </w:r>
      <w:r w:rsidR="00F51EE4">
        <w:t>F</w:t>
      </w:r>
      <w:r w:rsidR="005A02B0">
        <w:t>ull-</w:t>
      </w:r>
      <w:r w:rsidR="00F51EE4">
        <w:t>T</w:t>
      </w:r>
      <w:r w:rsidR="005A02B0">
        <w:t xml:space="preserve">ime </w:t>
      </w:r>
      <w:r w:rsidR="00F51EE4">
        <w:t>E</w:t>
      </w:r>
      <w:r w:rsidR="005A02B0">
        <w:t>mployees</w:t>
      </w:r>
      <w:r w:rsidR="004E7A16">
        <w:t xml:space="preserve"> </w:t>
      </w:r>
      <w:r w:rsidR="005A02B0">
        <w:t>(</w:t>
      </w:r>
      <w:r w:rsidR="001E733E">
        <w:t>FTEs</w:t>
      </w:r>
      <w:r w:rsidR="005A02B0">
        <w:t>)</w:t>
      </w:r>
      <w:r w:rsidR="002F2411">
        <w:t>,</w:t>
      </w:r>
      <w:r w:rsidR="005A02B0" w:rsidDel="005A02B0">
        <w:rPr>
          <w:rStyle w:val="FootnoteReference"/>
        </w:rPr>
        <w:t xml:space="preserve"> </w:t>
      </w:r>
      <w:r w:rsidR="005A02B0">
        <w:t>and</w:t>
      </w:r>
      <w:r w:rsidR="001C05D8">
        <w:t xml:space="preserve"> </w:t>
      </w:r>
      <w:r w:rsidR="001E452C">
        <w:t xml:space="preserve">electric meter </w:t>
      </w:r>
      <w:r w:rsidR="00EF42B0">
        <w:t>deferral</w:t>
      </w:r>
      <w:r w:rsidR="005A02B0">
        <w:t>.</w:t>
      </w:r>
      <w:r w:rsidR="00587D3F">
        <w:t xml:space="preserve"> </w:t>
      </w:r>
      <w:r w:rsidR="000B608B" w:rsidRPr="00460E36">
        <w:t xml:space="preserve">Avista’s proposed adjustments </w:t>
      </w:r>
      <w:r w:rsidR="002C1C12">
        <w:t>are</w:t>
      </w:r>
      <w:r w:rsidR="000B608B" w:rsidRPr="00460E36">
        <w:t xml:space="preserve"> sponsored by </w:t>
      </w:r>
      <w:r w:rsidR="002C1C12">
        <w:t>Ms.</w:t>
      </w:r>
      <w:r w:rsidR="004472BE">
        <w:t xml:space="preserve"> </w:t>
      </w:r>
      <w:r w:rsidR="001E452C">
        <w:t>Smith</w:t>
      </w:r>
      <w:r w:rsidR="00B248EF">
        <w:t>,</w:t>
      </w:r>
      <w:r w:rsidR="000B608B" w:rsidRPr="00460E36">
        <w:t xml:space="preserve"> in her direct testimony</w:t>
      </w:r>
      <w:r w:rsidR="002F2411">
        <w:t>.</w:t>
      </w:r>
      <w:r w:rsidR="000B608B" w:rsidRPr="00460E36">
        <w:rPr>
          <w:rStyle w:val="FootnoteReference"/>
        </w:rPr>
        <w:footnoteReference w:id="4"/>
      </w:r>
      <w:r w:rsidR="000B608B">
        <w:t xml:space="preserve"> </w:t>
      </w:r>
      <w:r w:rsidR="002C1C12">
        <w:t xml:space="preserve">For additional discussion on </w:t>
      </w:r>
      <w:r w:rsidR="0033029A">
        <w:t xml:space="preserve">Avista’s </w:t>
      </w:r>
      <w:r w:rsidR="008A0392">
        <w:t xml:space="preserve">electric meter </w:t>
      </w:r>
      <w:r w:rsidR="00EF42B0">
        <w:t>deferral</w:t>
      </w:r>
      <w:r w:rsidR="008A0392" w:rsidRPr="00A508FB">
        <w:t xml:space="preserve"> </w:t>
      </w:r>
      <w:r w:rsidR="002C1C12">
        <w:t xml:space="preserve">please refer to the </w:t>
      </w:r>
      <w:r w:rsidR="00277F20">
        <w:t>testimony</w:t>
      </w:r>
      <w:r w:rsidR="00277F20" w:rsidRPr="00460E36">
        <w:t xml:space="preserve"> </w:t>
      </w:r>
      <w:r w:rsidR="008A0392" w:rsidRPr="00460E36">
        <w:t xml:space="preserve">sponsored </w:t>
      </w:r>
      <w:r w:rsidR="008A0392" w:rsidRPr="00460E36">
        <w:lastRenderedPageBreak/>
        <w:t xml:space="preserve">by </w:t>
      </w:r>
      <w:r w:rsidR="00713F7A">
        <w:t xml:space="preserve">the </w:t>
      </w:r>
      <w:r w:rsidR="00C31417">
        <w:t>Company</w:t>
      </w:r>
      <w:r w:rsidR="00713F7A">
        <w:t>’s</w:t>
      </w:r>
      <w:r w:rsidR="00C31417">
        <w:t xml:space="preserve"> witness </w:t>
      </w:r>
      <w:r w:rsidR="004472BE">
        <w:t xml:space="preserve">Karen </w:t>
      </w:r>
      <w:r w:rsidR="008A0392">
        <w:t>Schuh</w:t>
      </w:r>
      <w:r w:rsidR="008A0392" w:rsidRPr="00460E36">
        <w:t xml:space="preserve"> in </w:t>
      </w:r>
      <w:r w:rsidR="00277F20">
        <w:t xml:space="preserve">her </w:t>
      </w:r>
      <w:r w:rsidR="00B248EF">
        <w:t>direct testimon</w:t>
      </w:r>
      <w:r w:rsidR="00277F20">
        <w:t>y</w:t>
      </w:r>
      <w:r w:rsidR="002F2411">
        <w:t>.</w:t>
      </w:r>
      <w:r w:rsidR="008A0392">
        <w:rPr>
          <w:rStyle w:val="FootnoteReference"/>
        </w:rPr>
        <w:footnoteReference w:id="5"/>
      </w:r>
      <w:r w:rsidR="008A0392" w:rsidRPr="00460E36">
        <w:t xml:space="preserve"> </w:t>
      </w:r>
      <w:r w:rsidR="00E07002">
        <w:t>In Exhibit No.</w:t>
      </w:r>
      <w:r w:rsidR="004963ED">
        <w:t> </w:t>
      </w:r>
      <w:r w:rsidR="00E07002">
        <w:t xml:space="preserve">___(JSS-2) and Exhibit No. ___(JSS-3), </w:t>
      </w:r>
      <w:r w:rsidR="004C184A">
        <w:t xml:space="preserve">Ms. </w:t>
      </w:r>
      <w:r w:rsidR="00A67825">
        <w:t>Smith</w:t>
      </w:r>
      <w:r w:rsidR="000B608B">
        <w:t xml:space="preserve"> </w:t>
      </w:r>
      <w:r w:rsidR="000B608B" w:rsidRPr="000B608B">
        <w:t xml:space="preserve">labeled </w:t>
      </w:r>
      <w:r w:rsidR="00447775">
        <w:t>the</w:t>
      </w:r>
      <w:r w:rsidR="000B608B" w:rsidRPr="000B608B">
        <w:t xml:space="preserve"> </w:t>
      </w:r>
      <w:r w:rsidR="00277F20">
        <w:t>four</w:t>
      </w:r>
      <w:r w:rsidR="002F2411">
        <w:t xml:space="preserve"> </w:t>
      </w:r>
      <w:r w:rsidR="000B608B" w:rsidRPr="000B608B">
        <w:t xml:space="preserve">adjustments </w:t>
      </w:r>
      <w:r w:rsidR="00BC25CD">
        <w:t xml:space="preserve">that Staff contests, </w:t>
      </w:r>
      <w:r w:rsidR="000B608B" w:rsidRPr="000B608B">
        <w:t>as</w:t>
      </w:r>
      <w:r w:rsidR="00BC25CD">
        <w:t xml:space="preserve"> follows</w:t>
      </w:r>
      <w:r w:rsidR="000B608B" w:rsidRPr="000B608B">
        <w:t>:</w:t>
      </w:r>
    </w:p>
    <w:p w14:paraId="122F13CF" w14:textId="3D2320E9" w:rsidR="000B608B" w:rsidRDefault="00A67825" w:rsidP="00A67825">
      <w:pPr>
        <w:pStyle w:val="NoSpacing"/>
        <w:numPr>
          <w:ilvl w:val="0"/>
          <w:numId w:val="38"/>
        </w:numPr>
        <w:spacing w:line="480" w:lineRule="auto"/>
      </w:pPr>
      <w:r w:rsidRPr="00A67825">
        <w:t>Restate Incentive Expense</w:t>
      </w:r>
      <w:r w:rsidR="00E07002">
        <w:t>s</w:t>
      </w:r>
      <w:r w:rsidR="00963081">
        <w:t xml:space="preserve"> (Electric </w:t>
      </w:r>
      <w:r w:rsidR="00E07002">
        <w:t>2.16) and Restating Incentive Adjustment</w:t>
      </w:r>
      <w:r w:rsidR="004C184A">
        <w:t xml:space="preserve"> </w:t>
      </w:r>
      <w:r w:rsidR="00E07002">
        <w:t>(</w:t>
      </w:r>
      <w:r w:rsidR="00715E4C">
        <w:t>Gas 2.14</w:t>
      </w:r>
      <w:r w:rsidR="00963081">
        <w:t>)</w:t>
      </w:r>
    </w:p>
    <w:p w14:paraId="6DE84DA0" w14:textId="2BF6584C" w:rsidR="00AD1CD9" w:rsidRDefault="00AD1CD9" w:rsidP="00AD1CD9">
      <w:pPr>
        <w:pStyle w:val="NoSpacing"/>
        <w:numPr>
          <w:ilvl w:val="0"/>
          <w:numId w:val="38"/>
        </w:numPr>
        <w:spacing w:line="480" w:lineRule="auto"/>
      </w:pPr>
      <w:r w:rsidRPr="00AD1CD9">
        <w:t>Pro Forma Employee Benefits (Electric 3.04, Gas 3.02)</w:t>
      </w:r>
    </w:p>
    <w:p w14:paraId="65FA0DC8" w14:textId="453AE46E" w:rsidR="00963081" w:rsidRPr="00963081" w:rsidRDefault="00963081" w:rsidP="00963081">
      <w:pPr>
        <w:pStyle w:val="NoSpacing"/>
        <w:numPr>
          <w:ilvl w:val="0"/>
          <w:numId w:val="38"/>
        </w:numPr>
        <w:spacing w:line="480" w:lineRule="auto"/>
      </w:pPr>
      <w:r w:rsidRPr="00AD1CD9">
        <w:t xml:space="preserve">Pro </w:t>
      </w:r>
      <w:r w:rsidR="009E5623">
        <w:t>F</w:t>
      </w:r>
      <w:r w:rsidR="009E5623" w:rsidRPr="00AD1CD9">
        <w:t xml:space="preserve">orma </w:t>
      </w:r>
      <w:r w:rsidRPr="00AD1CD9">
        <w:t>Pipeline Safety Labor (Gas 3.03)</w:t>
      </w:r>
    </w:p>
    <w:p w14:paraId="217D69D9" w14:textId="25CD68E0" w:rsidR="006C6224" w:rsidRPr="00460E36" w:rsidRDefault="006C6224" w:rsidP="00AD1CD9">
      <w:pPr>
        <w:pStyle w:val="NoSpacing"/>
        <w:numPr>
          <w:ilvl w:val="0"/>
          <w:numId w:val="38"/>
        </w:numPr>
        <w:spacing w:line="480" w:lineRule="auto"/>
      </w:pPr>
      <w:r w:rsidRPr="00AD1CD9">
        <w:t>Pro Forma Meter Deferral &amp; Amortization (Electric 3.07)</w:t>
      </w:r>
      <w:r w:rsidR="004472BE" w:rsidRPr="00AD1CD9">
        <w:t xml:space="preserve"> </w:t>
      </w:r>
    </w:p>
    <w:p w14:paraId="1C17DDBA" w14:textId="2078BB2A" w:rsidR="00FD1E3E" w:rsidRDefault="000B608B" w:rsidP="0000715D">
      <w:pPr>
        <w:pStyle w:val="NoSpacing"/>
        <w:spacing w:line="480" w:lineRule="auto"/>
        <w:ind w:left="720"/>
      </w:pPr>
      <w:r w:rsidRPr="000B608B">
        <w:t xml:space="preserve">I maintain the </w:t>
      </w:r>
      <w:r w:rsidR="00901107">
        <w:t>Company’s designated</w:t>
      </w:r>
      <w:r w:rsidRPr="000B608B">
        <w:t xml:space="preserve"> </w:t>
      </w:r>
      <w:r w:rsidR="00901107">
        <w:t xml:space="preserve">titles and </w:t>
      </w:r>
      <w:r w:rsidR="00E36A9F">
        <w:t>number</w:t>
      </w:r>
      <w:r w:rsidR="002F2411">
        <w:t>s</w:t>
      </w:r>
      <w:r w:rsidRPr="000B608B">
        <w:t xml:space="preserve"> </w:t>
      </w:r>
      <w:r w:rsidR="00E07002">
        <w:t xml:space="preserve">for </w:t>
      </w:r>
      <w:r w:rsidR="00901107">
        <w:t xml:space="preserve">these adjustments throughout my testimony </w:t>
      </w:r>
      <w:r w:rsidR="00E07002">
        <w:t xml:space="preserve">with the </w:t>
      </w:r>
      <w:r w:rsidR="00EC0206">
        <w:t>exception</w:t>
      </w:r>
      <w:r w:rsidR="00E07002">
        <w:t xml:space="preserve"> of </w:t>
      </w:r>
      <w:r w:rsidR="00E36A9F" w:rsidRPr="00E36A9F">
        <w:t>Restating Incentive Adjustment (Gas 2.14)</w:t>
      </w:r>
      <w:r w:rsidR="00E36A9F">
        <w:t xml:space="preserve">. In my testimony and exhibit, I refer to this adjustment as </w:t>
      </w:r>
      <w:r w:rsidR="002F2411">
        <w:t>“</w:t>
      </w:r>
      <w:r w:rsidR="00E36A9F">
        <w:t>Restate Incentive Expenses (Gas 2.14</w:t>
      </w:r>
      <w:r w:rsidR="00C31417">
        <w:t>),” and to the restating adjustment for both electric and gas, collectively, as “Restate Incentive Expenses (Electric 2.16, Gas 2.14).”</w:t>
      </w:r>
    </w:p>
    <w:p w14:paraId="238E7043" w14:textId="77777777" w:rsidR="005E6F99" w:rsidRPr="00125D5D" w:rsidRDefault="005E6F99" w:rsidP="00125D5D">
      <w:pPr>
        <w:pStyle w:val="NoSpacing"/>
        <w:spacing w:line="480" w:lineRule="auto"/>
        <w:rPr>
          <w:bCs/>
          <w:noProof/>
        </w:rPr>
      </w:pPr>
    </w:p>
    <w:p w14:paraId="4B7076BE" w14:textId="77777777" w:rsidR="001923A9" w:rsidRPr="00460E36" w:rsidRDefault="001923A9" w:rsidP="001923A9">
      <w:pPr>
        <w:spacing w:line="480" w:lineRule="auto"/>
        <w:rPr>
          <w:b/>
        </w:rPr>
      </w:pPr>
      <w:r w:rsidRPr="00460E36">
        <w:rPr>
          <w:b/>
        </w:rPr>
        <w:t>Q.</w:t>
      </w:r>
      <w:r w:rsidRPr="00460E36">
        <w:rPr>
          <w:b/>
        </w:rPr>
        <w:tab/>
        <w:t>Please summarize your testimony.</w:t>
      </w:r>
    </w:p>
    <w:p w14:paraId="34882A32" w14:textId="440C6D49" w:rsidR="001923A9" w:rsidRDefault="001923A9" w:rsidP="001923A9">
      <w:pPr>
        <w:spacing w:line="480" w:lineRule="auto"/>
        <w:ind w:left="720" w:hanging="720"/>
      </w:pPr>
      <w:r w:rsidRPr="00460E36">
        <w:t>A.</w:t>
      </w:r>
      <w:r w:rsidRPr="00460E36">
        <w:tab/>
        <w:t xml:space="preserve">For the </w:t>
      </w:r>
      <w:r w:rsidR="00FD1E3E">
        <w:t>four</w:t>
      </w:r>
      <w:r w:rsidR="00901107">
        <w:t xml:space="preserve"> </w:t>
      </w:r>
      <w:r w:rsidRPr="00460E36">
        <w:t>contested adjustments identified above, Staff proposes the following:</w:t>
      </w:r>
    </w:p>
    <w:p w14:paraId="5C69A45F" w14:textId="1AAFACB7" w:rsidR="00E35F8B" w:rsidRDefault="00E35F8B" w:rsidP="001606F7">
      <w:pPr>
        <w:pStyle w:val="NoSpacing"/>
        <w:numPr>
          <w:ilvl w:val="0"/>
          <w:numId w:val="38"/>
        </w:numPr>
        <w:spacing w:line="480" w:lineRule="auto"/>
      </w:pPr>
      <w:r w:rsidRPr="00A67825">
        <w:t>Restate Incentive Expense</w:t>
      </w:r>
      <w:r w:rsidR="00E36A9F">
        <w:t>s</w:t>
      </w:r>
      <w:r w:rsidR="006C7080">
        <w:t xml:space="preserve"> (Electric 2.16, Gas 2.14</w:t>
      </w:r>
      <w:r w:rsidR="00272E9D">
        <w:t xml:space="preserve">) </w:t>
      </w:r>
      <w:r w:rsidR="00BC25CD">
        <w:t>–</w:t>
      </w:r>
      <w:r>
        <w:t xml:space="preserve"> Staff proposes to </w:t>
      </w:r>
      <w:r w:rsidR="001606F7">
        <w:t xml:space="preserve">restate test period </w:t>
      </w:r>
      <w:r w:rsidR="001606F7" w:rsidRPr="001606F7">
        <w:t>short-term incentive</w:t>
      </w:r>
      <w:r w:rsidR="00D640D6">
        <w:t>s</w:t>
      </w:r>
      <w:r w:rsidR="00B67BD9">
        <w:t xml:space="preserve"> based on corrections and updates to Avista’s initially filed adjustment</w:t>
      </w:r>
      <w:r>
        <w:t>.</w:t>
      </w:r>
    </w:p>
    <w:p w14:paraId="20EB6A65" w14:textId="44256604" w:rsidR="00AD1CD9" w:rsidRDefault="00AD1CD9" w:rsidP="00AD1CD9">
      <w:pPr>
        <w:pStyle w:val="NoSpacing"/>
        <w:numPr>
          <w:ilvl w:val="0"/>
          <w:numId w:val="38"/>
        </w:numPr>
        <w:spacing w:line="480" w:lineRule="auto"/>
      </w:pPr>
      <w:r w:rsidRPr="00AD1CD9">
        <w:t>Pro Forma Employee Benefits (Electric 3.04, Gas 3.02)</w:t>
      </w:r>
      <w:r w:rsidR="00272E9D">
        <w:t xml:space="preserve"> </w:t>
      </w:r>
      <w:r w:rsidR="00BC25CD">
        <w:t xml:space="preserve">– </w:t>
      </w:r>
      <w:r>
        <w:t>Staff pro</w:t>
      </w:r>
      <w:r w:rsidR="00B234B5">
        <w:t xml:space="preserve">poses to </w:t>
      </w:r>
      <w:r w:rsidR="00713F7A">
        <w:t>pro form</w:t>
      </w:r>
      <w:r w:rsidR="00B234B5">
        <w:t xml:space="preserve"> Avista’s employee</w:t>
      </w:r>
      <w:r w:rsidR="00713F7A">
        <w:t xml:space="preserve"> retirement and medical</w:t>
      </w:r>
      <w:r w:rsidR="00B234B5">
        <w:t xml:space="preserve"> benefits </w:t>
      </w:r>
      <w:r w:rsidR="00F51EE4">
        <w:t>based on the 12-month</w:t>
      </w:r>
      <w:r w:rsidR="00BC25CD">
        <w:t xml:space="preserve"> period</w:t>
      </w:r>
      <w:r w:rsidR="00F51EE4">
        <w:t xml:space="preserve"> ending December 31, 2015</w:t>
      </w:r>
      <w:r w:rsidR="00B234B5">
        <w:t>.</w:t>
      </w:r>
    </w:p>
    <w:p w14:paraId="5845C8D9" w14:textId="6FA9CB4F" w:rsidR="00E35F8B" w:rsidRDefault="00E35F8B" w:rsidP="00AD1CD9">
      <w:pPr>
        <w:pStyle w:val="NoSpacing"/>
        <w:numPr>
          <w:ilvl w:val="0"/>
          <w:numId w:val="38"/>
        </w:numPr>
        <w:spacing w:line="480" w:lineRule="auto"/>
      </w:pPr>
      <w:r w:rsidRPr="00E35F8B">
        <w:lastRenderedPageBreak/>
        <w:t xml:space="preserve">Pro </w:t>
      </w:r>
      <w:r w:rsidR="009E5623">
        <w:t>F</w:t>
      </w:r>
      <w:r w:rsidRPr="00E35F8B">
        <w:t>orma Pipeline Safety Labor (Gas 3.03)</w:t>
      </w:r>
      <w:r w:rsidR="00272E9D">
        <w:t xml:space="preserve"> </w:t>
      </w:r>
      <w:r w:rsidR="00BC25CD">
        <w:t xml:space="preserve">– </w:t>
      </w:r>
      <w:r>
        <w:t>St</w:t>
      </w:r>
      <w:r w:rsidR="001606F7">
        <w:t>aff proposes completely remov</w:t>
      </w:r>
      <w:r w:rsidR="00901107">
        <w:t>ing</w:t>
      </w:r>
      <w:r w:rsidR="001606F7">
        <w:t xml:space="preserve"> estimated </w:t>
      </w:r>
      <w:r>
        <w:t xml:space="preserve">compensation for </w:t>
      </w:r>
      <w:r w:rsidR="001606F7">
        <w:t>2017</w:t>
      </w:r>
      <w:r>
        <w:t xml:space="preserve"> pipeline FTEs</w:t>
      </w:r>
      <w:r w:rsidR="001606F7">
        <w:t>.</w:t>
      </w:r>
      <w:r>
        <w:t xml:space="preserve"> </w:t>
      </w:r>
    </w:p>
    <w:p w14:paraId="3C8510B1" w14:textId="24C90FBE" w:rsidR="00E35F8B" w:rsidRDefault="00286C81" w:rsidP="00286C81">
      <w:pPr>
        <w:pStyle w:val="ListParagraph"/>
        <w:numPr>
          <w:ilvl w:val="0"/>
          <w:numId w:val="38"/>
        </w:numPr>
        <w:spacing w:line="480" w:lineRule="auto"/>
      </w:pPr>
      <w:r w:rsidRPr="00286C81">
        <w:t>Pro Forma Meter Deferral &amp; Amortization (Electric 3.07)</w:t>
      </w:r>
      <w:r w:rsidR="00272E9D">
        <w:t xml:space="preserve"> </w:t>
      </w:r>
      <w:r w:rsidR="00BC25CD">
        <w:t xml:space="preserve">– </w:t>
      </w:r>
      <w:r>
        <w:t xml:space="preserve">Staff proposes </w:t>
      </w:r>
      <w:r w:rsidR="001606F7">
        <w:t xml:space="preserve">completely </w:t>
      </w:r>
      <w:r>
        <w:t>remov</w:t>
      </w:r>
      <w:r w:rsidR="00901107">
        <w:t>ing</w:t>
      </w:r>
      <w:r>
        <w:t xml:space="preserve"> the </w:t>
      </w:r>
      <w:r w:rsidR="0033029A">
        <w:t>Company</w:t>
      </w:r>
      <w:r w:rsidR="001606F7">
        <w:t>’s</w:t>
      </w:r>
      <w:r>
        <w:t xml:space="preserve"> deferral and amortization of electric meters </w:t>
      </w:r>
      <w:r w:rsidR="001606F7">
        <w:t>adjustment pursuant to Order 01, Docket UE-160100.</w:t>
      </w:r>
      <w:r w:rsidR="005F65C5">
        <w:rPr>
          <w:rStyle w:val="FootnoteReference"/>
        </w:rPr>
        <w:footnoteReference w:id="6"/>
      </w:r>
    </w:p>
    <w:p w14:paraId="42762E47" w14:textId="77777777" w:rsidR="001923A9" w:rsidRDefault="001923A9" w:rsidP="001923A9">
      <w:pPr>
        <w:pStyle w:val="NoSpacing"/>
        <w:spacing w:line="480" w:lineRule="auto"/>
      </w:pPr>
    </w:p>
    <w:p w14:paraId="02ABC0A1" w14:textId="68E8AF1E" w:rsidR="00362612" w:rsidRPr="00ED7227" w:rsidRDefault="0074494A" w:rsidP="00ED7227">
      <w:pPr>
        <w:keepNext/>
        <w:spacing w:line="480" w:lineRule="auto"/>
        <w:jc w:val="center"/>
        <w:outlineLvl w:val="0"/>
        <w:rPr>
          <w:rFonts w:eastAsia="Times New Roman"/>
          <w:b/>
          <w:bCs/>
          <w:caps/>
        </w:rPr>
      </w:pPr>
      <w:bookmarkStart w:id="0" w:name="_Toc237682400"/>
      <w:r w:rsidRPr="0074494A">
        <w:rPr>
          <w:rFonts w:eastAsia="Times New Roman"/>
          <w:b/>
          <w:bCs/>
          <w:caps/>
        </w:rPr>
        <w:t>III.</w:t>
      </w:r>
      <w:r w:rsidRPr="0074494A">
        <w:rPr>
          <w:rFonts w:eastAsia="Times New Roman"/>
          <w:b/>
          <w:bCs/>
          <w:caps/>
        </w:rPr>
        <w:tab/>
      </w:r>
      <w:bookmarkEnd w:id="0"/>
      <w:r w:rsidR="001923A9">
        <w:rPr>
          <w:rFonts w:eastAsia="Times New Roman"/>
          <w:b/>
          <w:bCs/>
          <w:caps/>
        </w:rPr>
        <w:t>Discussion</w:t>
      </w:r>
    </w:p>
    <w:p w14:paraId="61419816" w14:textId="77777777" w:rsidR="00BD7D56" w:rsidRPr="00BD7D56" w:rsidRDefault="00BD7D56" w:rsidP="00BD7D56">
      <w:pPr>
        <w:keepNext/>
        <w:spacing w:line="480" w:lineRule="auto"/>
        <w:outlineLvl w:val="1"/>
        <w:rPr>
          <w:rFonts w:eastAsia="Times New Roman"/>
          <w:b/>
          <w:bCs/>
          <w:i/>
        </w:rPr>
      </w:pPr>
    </w:p>
    <w:p w14:paraId="2C747B6E" w14:textId="399EE8DD" w:rsidR="00BD7D56" w:rsidRPr="00F5298E" w:rsidRDefault="00901107" w:rsidP="00DE189A">
      <w:pPr>
        <w:keepNext/>
        <w:numPr>
          <w:ilvl w:val="0"/>
          <w:numId w:val="33"/>
        </w:numPr>
        <w:spacing w:line="480" w:lineRule="auto"/>
        <w:ind w:left="1440" w:hanging="720"/>
        <w:outlineLvl w:val="1"/>
        <w:rPr>
          <w:rFonts w:eastAsia="Times New Roman"/>
          <w:b/>
          <w:caps/>
        </w:rPr>
      </w:pPr>
      <w:bookmarkStart w:id="1" w:name="_Toc237682402"/>
      <w:r w:rsidRPr="00F5298E">
        <w:rPr>
          <w:rFonts w:eastAsia="Times New Roman"/>
          <w:b/>
          <w:bCs/>
          <w:caps/>
        </w:rPr>
        <w:t xml:space="preserve">Restating </w:t>
      </w:r>
      <w:r w:rsidR="00BD7D56" w:rsidRPr="00F5298E">
        <w:rPr>
          <w:rFonts w:eastAsia="Times New Roman"/>
          <w:b/>
          <w:caps/>
        </w:rPr>
        <w:t>Adjustment</w:t>
      </w:r>
      <w:bookmarkEnd w:id="1"/>
    </w:p>
    <w:p w14:paraId="1E8D102B" w14:textId="77777777" w:rsidR="00F71A3E" w:rsidRDefault="00F71A3E" w:rsidP="00362612">
      <w:pPr>
        <w:pStyle w:val="NoSpacing"/>
        <w:spacing w:line="480" w:lineRule="auto"/>
        <w:ind w:left="720" w:hanging="720"/>
      </w:pPr>
    </w:p>
    <w:p w14:paraId="3A9B58C9" w14:textId="5F792B72" w:rsidR="00F71A3E" w:rsidRPr="00DE189A" w:rsidRDefault="00F71A3E" w:rsidP="00362612">
      <w:pPr>
        <w:pStyle w:val="NoSpacing"/>
        <w:spacing w:line="480" w:lineRule="auto"/>
        <w:ind w:left="720" w:hanging="720"/>
        <w:rPr>
          <w:b/>
        </w:rPr>
      </w:pPr>
      <w:r w:rsidRPr="00DE189A">
        <w:rPr>
          <w:b/>
        </w:rPr>
        <w:t>Q.</w:t>
      </w:r>
      <w:r w:rsidRPr="00DE189A">
        <w:rPr>
          <w:b/>
        </w:rPr>
        <w:tab/>
        <w:t xml:space="preserve">What is the Commission’s standard </w:t>
      </w:r>
      <w:r w:rsidR="00B14B72">
        <w:rPr>
          <w:b/>
        </w:rPr>
        <w:t xml:space="preserve">practice </w:t>
      </w:r>
      <w:r w:rsidRPr="00DE189A">
        <w:rPr>
          <w:b/>
        </w:rPr>
        <w:t>for restating adjustments?</w:t>
      </w:r>
    </w:p>
    <w:p w14:paraId="5E9D40B1" w14:textId="3888CAE3" w:rsidR="00BD7D56" w:rsidRDefault="00F71A3E" w:rsidP="00362612">
      <w:pPr>
        <w:pStyle w:val="NoSpacing"/>
        <w:spacing w:line="480" w:lineRule="auto"/>
        <w:ind w:left="720" w:hanging="720"/>
      </w:pPr>
      <w:r>
        <w:t>A.</w:t>
      </w:r>
      <w:r>
        <w:tab/>
        <w:t>Restating adjustments, by definition,</w:t>
      </w:r>
      <w:r w:rsidRPr="000D790E">
        <w:t xml:space="preserve"> adjust the booked operating results for any defects or infirmities in actual recorded results that can distort test period earnings. Restating actual adjustments are also used to adjust from an as-recorded basis to a basis that is acceptable for rate making. </w:t>
      </w:r>
      <w:r w:rsidR="003977EB">
        <w:t>R</w:t>
      </w:r>
      <w:r w:rsidRPr="000D790E">
        <w:t xml:space="preserve">estating actual adjustments </w:t>
      </w:r>
      <w:r w:rsidR="003977EB">
        <w:t>could include</w:t>
      </w:r>
      <w:r>
        <w:t>:</w:t>
      </w:r>
      <w:r w:rsidRPr="000D790E">
        <w:t xml:space="preserve"> remov</w:t>
      </w:r>
      <w:r>
        <w:t>ing</w:t>
      </w:r>
      <w:r w:rsidRPr="000D790E">
        <w:t xml:space="preserve"> prior period amounts</w:t>
      </w:r>
      <w:r>
        <w:t>;</w:t>
      </w:r>
      <w:r w:rsidRPr="000D790E">
        <w:t xml:space="preserve"> eliminat</w:t>
      </w:r>
      <w:r>
        <w:t>ing</w:t>
      </w:r>
      <w:r w:rsidRPr="000D790E">
        <w:t xml:space="preserve"> below-the-line items that were recorded as operating expenses in error</w:t>
      </w:r>
      <w:r>
        <w:t>;</w:t>
      </w:r>
      <w:r w:rsidRPr="000D790E">
        <w:t xml:space="preserve"> adjust</w:t>
      </w:r>
      <w:r>
        <w:t>ing</w:t>
      </w:r>
      <w:r w:rsidRPr="000D790E">
        <w:t xml:space="preserve"> from book estimates to actual amounts</w:t>
      </w:r>
      <w:r>
        <w:t>;</w:t>
      </w:r>
      <w:r w:rsidRPr="000D790E">
        <w:t xml:space="preserve"> </w:t>
      </w:r>
      <w:r w:rsidR="00B14B72">
        <w:t>or</w:t>
      </w:r>
      <w:r w:rsidRPr="000D790E">
        <w:t xml:space="preserve"> eliminat</w:t>
      </w:r>
      <w:r>
        <w:t>ing</w:t>
      </w:r>
      <w:r w:rsidRPr="000D790E">
        <w:t xml:space="preserve"> or normaliz</w:t>
      </w:r>
      <w:r>
        <w:t>ing</w:t>
      </w:r>
      <w:r w:rsidRPr="000D790E">
        <w:t xml:space="preserve"> extraordinary items recorded during the test period.</w:t>
      </w:r>
      <w:r>
        <w:rPr>
          <w:rStyle w:val="FootnoteReference"/>
        </w:rPr>
        <w:footnoteReference w:id="7"/>
      </w:r>
    </w:p>
    <w:p w14:paraId="418F51A2" w14:textId="77777777" w:rsidR="00C51FDD" w:rsidRDefault="00C51FDD" w:rsidP="00362612">
      <w:pPr>
        <w:pStyle w:val="NoSpacing"/>
        <w:spacing w:line="480" w:lineRule="auto"/>
        <w:ind w:left="720" w:hanging="720"/>
      </w:pPr>
    </w:p>
    <w:p w14:paraId="453C524B" w14:textId="6E58C6B9" w:rsidR="00ED7227" w:rsidRDefault="00ED7227" w:rsidP="00ED7227">
      <w:pPr>
        <w:pStyle w:val="ListParagraph"/>
        <w:keepNext/>
        <w:numPr>
          <w:ilvl w:val="1"/>
          <w:numId w:val="33"/>
        </w:numPr>
        <w:tabs>
          <w:tab w:val="left" w:pos="720"/>
          <w:tab w:val="left" w:pos="1440"/>
        </w:tabs>
        <w:spacing w:line="480" w:lineRule="auto"/>
        <w:outlineLvl w:val="1"/>
        <w:rPr>
          <w:rFonts w:eastAsia="Times New Roman"/>
          <w:b/>
          <w:bCs/>
        </w:rPr>
      </w:pPr>
      <w:r w:rsidRPr="00ED7227">
        <w:rPr>
          <w:rFonts w:eastAsia="Times New Roman"/>
          <w:b/>
          <w:bCs/>
        </w:rPr>
        <w:lastRenderedPageBreak/>
        <w:t xml:space="preserve">Restate Incentive </w:t>
      </w:r>
      <w:r w:rsidR="006C7080">
        <w:rPr>
          <w:rFonts w:eastAsia="Times New Roman"/>
          <w:b/>
          <w:bCs/>
        </w:rPr>
        <w:t>Expense</w:t>
      </w:r>
      <w:r w:rsidR="00E36A9F">
        <w:rPr>
          <w:rFonts w:eastAsia="Times New Roman"/>
          <w:b/>
          <w:bCs/>
        </w:rPr>
        <w:t>s</w:t>
      </w:r>
      <w:r w:rsidR="006C7080">
        <w:rPr>
          <w:rFonts w:eastAsia="Times New Roman"/>
          <w:b/>
          <w:bCs/>
        </w:rPr>
        <w:t xml:space="preserve"> (Electric 2.16, Gas 2.14</w:t>
      </w:r>
      <w:r w:rsidRPr="00ED7227">
        <w:rPr>
          <w:rFonts w:eastAsia="Times New Roman"/>
          <w:b/>
          <w:bCs/>
        </w:rPr>
        <w:t>)</w:t>
      </w:r>
    </w:p>
    <w:p w14:paraId="561D5FC2" w14:textId="77777777" w:rsidR="004B017B" w:rsidRPr="004B017B" w:rsidRDefault="004B017B" w:rsidP="004B017B">
      <w:pPr>
        <w:keepNext/>
        <w:tabs>
          <w:tab w:val="left" w:pos="720"/>
          <w:tab w:val="left" w:pos="1440"/>
        </w:tabs>
        <w:spacing w:line="480" w:lineRule="auto"/>
        <w:outlineLvl w:val="1"/>
        <w:rPr>
          <w:rFonts w:eastAsia="Times New Roman"/>
          <w:b/>
          <w:bCs/>
        </w:rPr>
      </w:pPr>
    </w:p>
    <w:p w14:paraId="56D37B89" w14:textId="6D80967A" w:rsidR="007868C3" w:rsidRDefault="007868C3" w:rsidP="00406F1C">
      <w:pPr>
        <w:keepNext/>
        <w:tabs>
          <w:tab w:val="left" w:pos="720"/>
          <w:tab w:val="left" w:pos="1440"/>
        </w:tabs>
        <w:spacing w:line="480" w:lineRule="auto"/>
        <w:ind w:left="720" w:hanging="720"/>
        <w:outlineLvl w:val="1"/>
        <w:rPr>
          <w:b/>
        </w:rPr>
      </w:pPr>
      <w:r w:rsidRPr="00460E36">
        <w:rPr>
          <w:b/>
        </w:rPr>
        <w:t>Q.</w:t>
      </w:r>
      <w:r w:rsidRPr="00460E36">
        <w:rPr>
          <w:b/>
        </w:rPr>
        <w:tab/>
        <w:t xml:space="preserve">Please summarize the </w:t>
      </w:r>
      <w:r w:rsidR="0033029A">
        <w:rPr>
          <w:b/>
        </w:rPr>
        <w:t>Company</w:t>
      </w:r>
      <w:r w:rsidRPr="00460E36">
        <w:rPr>
          <w:b/>
        </w:rPr>
        <w:t xml:space="preserve">’s </w:t>
      </w:r>
      <w:r w:rsidR="00EE1C35">
        <w:rPr>
          <w:b/>
        </w:rPr>
        <w:t xml:space="preserve">proposed </w:t>
      </w:r>
      <w:r w:rsidR="009A525C">
        <w:rPr>
          <w:b/>
        </w:rPr>
        <w:t xml:space="preserve">restating </w:t>
      </w:r>
      <w:r w:rsidRPr="00460E36">
        <w:rPr>
          <w:b/>
        </w:rPr>
        <w:t>adjustment</w:t>
      </w:r>
      <w:r w:rsidR="009A525C">
        <w:rPr>
          <w:b/>
        </w:rPr>
        <w:t xml:space="preserve"> on </w:t>
      </w:r>
      <w:r w:rsidR="00B56643">
        <w:rPr>
          <w:b/>
        </w:rPr>
        <w:t xml:space="preserve">short-term </w:t>
      </w:r>
      <w:r w:rsidR="009A525C">
        <w:rPr>
          <w:b/>
        </w:rPr>
        <w:t>incentive expenses</w:t>
      </w:r>
      <w:r w:rsidR="0037318F">
        <w:rPr>
          <w:b/>
        </w:rPr>
        <w:t xml:space="preserve"> </w:t>
      </w:r>
      <w:r w:rsidR="0037318F">
        <w:rPr>
          <w:rFonts w:eastAsia="Times New Roman"/>
          <w:b/>
          <w:bCs/>
        </w:rPr>
        <w:t>(Electric 2.16, Gas 2.14</w:t>
      </w:r>
      <w:r w:rsidR="0037318F" w:rsidRPr="00ED7227">
        <w:rPr>
          <w:rFonts w:eastAsia="Times New Roman"/>
          <w:b/>
          <w:bCs/>
        </w:rPr>
        <w:t>)</w:t>
      </w:r>
      <w:r w:rsidR="00EF42B0">
        <w:rPr>
          <w:b/>
        </w:rPr>
        <w:t>.</w:t>
      </w:r>
    </w:p>
    <w:p w14:paraId="4CFE7B4D" w14:textId="0090A5E2" w:rsidR="00630D30" w:rsidRDefault="000D34EC" w:rsidP="00630D30">
      <w:pPr>
        <w:keepNext/>
        <w:tabs>
          <w:tab w:val="left" w:pos="720"/>
          <w:tab w:val="left" w:pos="1440"/>
        </w:tabs>
        <w:spacing w:line="480" w:lineRule="auto"/>
        <w:ind w:left="720" w:hanging="720"/>
        <w:outlineLvl w:val="1"/>
        <w:rPr>
          <w:rFonts w:eastAsia="Times New Roman"/>
          <w:bCs/>
        </w:rPr>
      </w:pPr>
      <w:r>
        <w:rPr>
          <w:rFonts w:eastAsia="Times New Roman"/>
          <w:bCs/>
        </w:rPr>
        <w:t>A.</w:t>
      </w:r>
      <w:r>
        <w:rPr>
          <w:rFonts w:eastAsia="Times New Roman"/>
          <w:bCs/>
        </w:rPr>
        <w:tab/>
      </w:r>
      <w:r w:rsidR="00F0185C">
        <w:rPr>
          <w:rFonts w:eastAsia="Times New Roman"/>
          <w:bCs/>
        </w:rPr>
        <w:t>Avista’s short-term incentive program is one component of the Company’s overall compensation package offered to it</w:t>
      </w:r>
      <w:r w:rsidR="00B14B72">
        <w:rPr>
          <w:rFonts w:eastAsia="Times New Roman"/>
          <w:bCs/>
        </w:rPr>
        <w:t>s</w:t>
      </w:r>
      <w:r w:rsidR="00F0185C">
        <w:rPr>
          <w:rFonts w:eastAsia="Times New Roman"/>
          <w:bCs/>
        </w:rPr>
        <w:t xml:space="preserve"> employees.</w:t>
      </w:r>
      <w:r w:rsidR="004C0812">
        <w:rPr>
          <w:rStyle w:val="FootnoteReference"/>
          <w:rFonts w:eastAsia="Times New Roman"/>
          <w:bCs/>
        </w:rPr>
        <w:footnoteReference w:id="8"/>
      </w:r>
      <w:r w:rsidR="00F0185C">
        <w:rPr>
          <w:rFonts w:eastAsia="Times New Roman"/>
          <w:bCs/>
        </w:rPr>
        <w:t xml:space="preserve"> The </w:t>
      </w:r>
      <w:r w:rsidR="00F0185C" w:rsidRPr="00F0185C">
        <w:rPr>
          <w:rFonts w:eastAsia="Times New Roman"/>
          <w:bCs/>
        </w:rPr>
        <w:t>short-term incentive program</w:t>
      </w:r>
      <w:r w:rsidR="00F0185C">
        <w:rPr>
          <w:rFonts w:eastAsia="Times New Roman"/>
          <w:bCs/>
        </w:rPr>
        <w:t xml:space="preserve"> </w:t>
      </w:r>
      <w:r w:rsidR="004C0812">
        <w:rPr>
          <w:rFonts w:eastAsia="Times New Roman"/>
          <w:bCs/>
        </w:rPr>
        <w:t>has</w:t>
      </w:r>
      <w:r w:rsidR="00175E71">
        <w:rPr>
          <w:rFonts w:eastAsia="Times New Roman"/>
          <w:bCs/>
        </w:rPr>
        <w:t xml:space="preserve"> </w:t>
      </w:r>
      <w:r w:rsidR="00A4272F">
        <w:rPr>
          <w:rFonts w:eastAsia="Times New Roman"/>
          <w:bCs/>
        </w:rPr>
        <w:t xml:space="preserve">performance </w:t>
      </w:r>
      <w:r w:rsidR="00175E71">
        <w:rPr>
          <w:rFonts w:eastAsia="Times New Roman"/>
          <w:bCs/>
        </w:rPr>
        <w:t xml:space="preserve">targets </w:t>
      </w:r>
      <w:r w:rsidR="00913A14">
        <w:rPr>
          <w:rFonts w:eastAsia="Times New Roman"/>
          <w:bCs/>
        </w:rPr>
        <w:t>for both executive and non-executive employees.</w:t>
      </w:r>
      <w:r w:rsidR="00F64413">
        <w:rPr>
          <w:rStyle w:val="FootnoteReference"/>
          <w:rFonts w:eastAsia="Times New Roman"/>
          <w:bCs/>
        </w:rPr>
        <w:footnoteReference w:id="9"/>
      </w:r>
      <w:r w:rsidR="00913A14">
        <w:rPr>
          <w:rFonts w:eastAsia="Times New Roman"/>
          <w:bCs/>
        </w:rPr>
        <w:t xml:space="preserve"> For e</w:t>
      </w:r>
      <w:r w:rsidR="00FC3994">
        <w:rPr>
          <w:rFonts w:eastAsia="Times New Roman"/>
          <w:bCs/>
        </w:rPr>
        <w:t>xecutives</w:t>
      </w:r>
      <w:r w:rsidR="00913A14">
        <w:rPr>
          <w:rFonts w:eastAsia="Times New Roman"/>
          <w:bCs/>
        </w:rPr>
        <w:t>, the</w:t>
      </w:r>
      <w:r w:rsidR="00FC3994">
        <w:rPr>
          <w:rFonts w:eastAsia="Times New Roman"/>
          <w:bCs/>
        </w:rPr>
        <w:t xml:space="preserve"> targets </w:t>
      </w:r>
      <w:r w:rsidR="00F64413">
        <w:rPr>
          <w:rFonts w:eastAsia="Times New Roman"/>
          <w:bCs/>
        </w:rPr>
        <w:t>include</w:t>
      </w:r>
      <w:r w:rsidR="00824E04">
        <w:rPr>
          <w:rFonts w:eastAsia="Times New Roman"/>
          <w:bCs/>
        </w:rPr>
        <w:t xml:space="preserve">: </w:t>
      </w:r>
      <w:r w:rsidR="00F64413">
        <w:rPr>
          <w:rFonts w:eastAsia="Times New Roman"/>
          <w:bCs/>
        </w:rPr>
        <w:t>e</w:t>
      </w:r>
      <w:r w:rsidR="00824E04">
        <w:rPr>
          <w:rFonts w:eastAsia="Times New Roman"/>
          <w:bCs/>
        </w:rPr>
        <w:t>arnings per share</w:t>
      </w:r>
      <w:r w:rsidR="00F64413">
        <w:rPr>
          <w:rFonts w:eastAsia="Times New Roman"/>
          <w:bCs/>
        </w:rPr>
        <w:t xml:space="preserve">; </w:t>
      </w:r>
      <w:r w:rsidR="006E0916">
        <w:t>general utility operation and maintenance (“</w:t>
      </w:r>
      <w:r w:rsidR="00FC3994">
        <w:rPr>
          <w:rFonts w:eastAsia="Times New Roman"/>
          <w:bCs/>
        </w:rPr>
        <w:t>O&amp;M</w:t>
      </w:r>
      <w:r w:rsidR="006E0916">
        <w:rPr>
          <w:rFonts w:eastAsia="Times New Roman"/>
          <w:bCs/>
        </w:rPr>
        <w:t>”)</w:t>
      </w:r>
      <w:r w:rsidR="00FC3994">
        <w:rPr>
          <w:rFonts w:eastAsia="Times New Roman"/>
          <w:bCs/>
        </w:rPr>
        <w:t xml:space="preserve"> </w:t>
      </w:r>
      <w:r w:rsidR="00F64413">
        <w:rPr>
          <w:rFonts w:eastAsia="Times New Roman"/>
          <w:bCs/>
        </w:rPr>
        <w:t>c</w:t>
      </w:r>
      <w:r w:rsidR="00FC3994">
        <w:rPr>
          <w:rFonts w:eastAsia="Times New Roman"/>
          <w:bCs/>
        </w:rPr>
        <w:t xml:space="preserve">ost per </w:t>
      </w:r>
      <w:r w:rsidR="00F64413">
        <w:rPr>
          <w:rFonts w:eastAsia="Times New Roman"/>
          <w:bCs/>
        </w:rPr>
        <w:t>c</w:t>
      </w:r>
      <w:r w:rsidR="00FC3994">
        <w:rPr>
          <w:rFonts w:eastAsia="Times New Roman"/>
          <w:bCs/>
        </w:rPr>
        <w:t xml:space="preserve">ustomer; </w:t>
      </w:r>
      <w:r w:rsidR="00F64413">
        <w:rPr>
          <w:rFonts w:eastAsia="Times New Roman"/>
          <w:bCs/>
        </w:rPr>
        <w:t>c</w:t>
      </w:r>
      <w:r w:rsidR="00FC3994">
        <w:rPr>
          <w:rFonts w:eastAsia="Times New Roman"/>
          <w:bCs/>
        </w:rPr>
        <w:t xml:space="preserve">ustomer </w:t>
      </w:r>
      <w:r w:rsidR="00F64413">
        <w:rPr>
          <w:rFonts w:eastAsia="Times New Roman"/>
          <w:bCs/>
        </w:rPr>
        <w:t>s</w:t>
      </w:r>
      <w:r w:rsidR="00FC3994">
        <w:rPr>
          <w:rFonts w:eastAsia="Times New Roman"/>
          <w:bCs/>
        </w:rPr>
        <w:t xml:space="preserve">atisfaction; </w:t>
      </w:r>
      <w:r w:rsidR="00F64413">
        <w:rPr>
          <w:rFonts w:eastAsia="Times New Roman"/>
          <w:bCs/>
        </w:rPr>
        <w:t>r</w:t>
      </w:r>
      <w:r w:rsidR="00FC3994">
        <w:rPr>
          <w:rFonts w:eastAsia="Times New Roman"/>
          <w:bCs/>
        </w:rPr>
        <w:t xml:space="preserve">eliablity </w:t>
      </w:r>
      <w:r w:rsidR="00F64413">
        <w:rPr>
          <w:rFonts w:eastAsia="Times New Roman"/>
          <w:bCs/>
        </w:rPr>
        <w:t>i</w:t>
      </w:r>
      <w:r w:rsidR="00FC3994">
        <w:rPr>
          <w:rFonts w:eastAsia="Times New Roman"/>
          <w:bCs/>
        </w:rPr>
        <w:t xml:space="preserve">ndex; and </w:t>
      </w:r>
      <w:r w:rsidR="00F64413">
        <w:rPr>
          <w:rFonts w:eastAsia="Times New Roman"/>
          <w:bCs/>
        </w:rPr>
        <w:t>r</w:t>
      </w:r>
      <w:r w:rsidR="00FC3994">
        <w:rPr>
          <w:rFonts w:eastAsia="Times New Roman"/>
          <w:bCs/>
        </w:rPr>
        <w:t xml:space="preserve">esponse </w:t>
      </w:r>
      <w:r w:rsidR="00F64413">
        <w:rPr>
          <w:rFonts w:eastAsia="Times New Roman"/>
          <w:bCs/>
        </w:rPr>
        <w:t>t</w:t>
      </w:r>
      <w:r w:rsidR="00FC3994">
        <w:rPr>
          <w:rFonts w:eastAsia="Times New Roman"/>
          <w:bCs/>
        </w:rPr>
        <w:t xml:space="preserve">ime. </w:t>
      </w:r>
      <w:r w:rsidR="00913A14">
        <w:rPr>
          <w:rFonts w:eastAsia="Times New Roman"/>
          <w:bCs/>
        </w:rPr>
        <w:t>For n</w:t>
      </w:r>
      <w:r w:rsidR="00FC3994">
        <w:rPr>
          <w:rFonts w:eastAsia="Times New Roman"/>
          <w:bCs/>
        </w:rPr>
        <w:t>on-e</w:t>
      </w:r>
      <w:r w:rsidR="00FC3994" w:rsidRPr="00FC3994">
        <w:rPr>
          <w:rFonts w:eastAsia="Times New Roman"/>
          <w:bCs/>
        </w:rPr>
        <w:t>xecutives</w:t>
      </w:r>
      <w:r w:rsidR="00913A14">
        <w:rPr>
          <w:rFonts w:eastAsia="Times New Roman"/>
          <w:bCs/>
        </w:rPr>
        <w:t>, the</w:t>
      </w:r>
      <w:r w:rsidR="00FC3994" w:rsidRPr="00FC3994">
        <w:rPr>
          <w:rFonts w:eastAsia="Times New Roman"/>
          <w:bCs/>
        </w:rPr>
        <w:t xml:space="preserve"> </w:t>
      </w:r>
      <w:r w:rsidR="00A4272F">
        <w:rPr>
          <w:rFonts w:eastAsia="Times New Roman"/>
          <w:bCs/>
        </w:rPr>
        <w:t>performance</w:t>
      </w:r>
      <w:r w:rsidR="00A4272F" w:rsidRPr="00FC3994">
        <w:rPr>
          <w:rFonts w:eastAsia="Times New Roman"/>
          <w:bCs/>
        </w:rPr>
        <w:t xml:space="preserve"> </w:t>
      </w:r>
      <w:r w:rsidR="00FC3994" w:rsidRPr="00FC3994">
        <w:rPr>
          <w:rFonts w:eastAsia="Times New Roman"/>
          <w:bCs/>
        </w:rPr>
        <w:t xml:space="preserve">targets </w:t>
      </w:r>
      <w:r w:rsidR="00F64413">
        <w:rPr>
          <w:rFonts w:eastAsia="Times New Roman"/>
          <w:bCs/>
        </w:rPr>
        <w:t>are the same, except that earnings per share are not included.</w:t>
      </w:r>
      <w:r w:rsidR="00F64413" w:rsidRPr="00FC3994" w:rsidDel="00F64413">
        <w:rPr>
          <w:rFonts w:eastAsia="Times New Roman"/>
          <w:bCs/>
        </w:rPr>
        <w:t xml:space="preserve"> </w:t>
      </w:r>
    </w:p>
    <w:p w14:paraId="7C061827" w14:textId="016C5821" w:rsidR="00406F1C" w:rsidRDefault="002B4FFF" w:rsidP="005D340F">
      <w:pPr>
        <w:keepNext/>
        <w:tabs>
          <w:tab w:val="left" w:pos="720"/>
          <w:tab w:val="left" w:pos="1440"/>
        </w:tabs>
        <w:spacing w:line="480" w:lineRule="auto"/>
        <w:ind w:left="720" w:firstLine="720"/>
        <w:outlineLvl w:val="1"/>
        <w:rPr>
          <w:rFonts w:eastAsia="Times New Roman"/>
          <w:bCs/>
        </w:rPr>
      </w:pPr>
      <w:r>
        <w:rPr>
          <w:rFonts w:eastAsia="Times New Roman"/>
          <w:bCs/>
        </w:rPr>
        <w:t xml:space="preserve">The </w:t>
      </w:r>
      <w:r w:rsidR="0033029A">
        <w:rPr>
          <w:rFonts w:eastAsia="Times New Roman"/>
          <w:bCs/>
        </w:rPr>
        <w:t>Company</w:t>
      </w:r>
      <w:r>
        <w:rPr>
          <w:rFonts w:eastAsia="Times New Roman"/>
          <w:bCs/>
        </w:rPr>
        <w:t xml:space="preserve"> </w:t>
      </w:r>
      <w:r w:rsidR="00486B33" w:rsidRPr="00A4272F">
        <w:rPr>
          <w:rFonts w:eastAsia="Times New Roman"/>
          <w:bCs/>
          <w:i/>
        </w:rPr>
        <w:t>restates</w:t>
      </w:r>
      <w:r w:rsidR="00486B33">
        <w:rPr>
          <w:rFonts w:eastAsia="Times New Roman"/>
          <w:bCs/>
        </w:rPr>
        <w:t xml:space="preserve"> </w:t>
      </w:r>
      <w:r w:rsidR="00C3224E">
        <w:rPr>
          <w:rFonts w:eastAsia="Times New Roman"/>
          <w:bCs/>
        </w:rPr>
        <w:t xml:space="preserve">the </w:t>
      </w:r>
      <w:r w:rsidR="00486B33">
        <w:rPr>
          <w:rFonts w:eastAsia="Times New Roman"/>
          <w:bCs/>
        </w:rPr>
        <w:t>actual short-term</w:t>
      </w:r>
      <w:r w:rsidR="00246F7F">
        <w:rPr>
          <w:rFonts w:eastAsia="Times New Roman"/>
          <w:bCs/>
        </w:rPr>
        <w:t xml:space="preserve"> executive and non-executive</w:t>
      </w:r>
      <w:r w:rsidR="00486B33">
        <w:rPr>
          <w:rFonts w:eastAsia="Times New Roman"/>
          <w:bCs/>
        </w:rPr>
        <w:t xml:space="preserve"> incentives for the test period ending September 30, 2015, </w:t>
      </w:r>
      <w:r>
        <w:rPr>
          <w:rFonts w:eastAsia="Times New Roman"/>
          <w:bCs/>
        </w:rPr>
        <w:t xml:space="preserve">by using </w:t>
      </w:r>
      <w:r w:rsidR="00D54822" w:rsidRPr="00A4272F">
        <w:rPr>
          <w:rFonts w:eastAsia="Times New Roman"/>
          <w:bCs/>
          <w:i/>
        </w:rPr>
        <w:t>projected</w:t>
      </w:r>
      <w:r w:rsidR="00D54822">
        <w:rPr>
          <w:rFonts w:eastAsia="Times New Roman"/>
          <w:bCs/>
        </w:rPr>
        <w:t xml:space="preserve"> </w:t>
      </w:r>
      <w:r>
        <w:rPr>
          <w:rFonts w:eastAsia="Times New Roman"/>
          <w:bCs/>
        </w:rPr>
        <w:t>2016</w:t>
      </w:r>
      <w:r w:rsidR="008344EA">
        <w:rPr>
          <w:rFonts w:eastAsia="Times New Roman"/>
          <w:bCs/>
        </w:rPr>
        <w:t xml:space="preserve"> O&amp;M</w:t>
      </w:r>
      <w:r>
        <w:rPr>
          <w:rFonts w:eastAsia="Times New Roman"/>
          <w:bCs/>
        </w:rPr>
        <w:t xml:space="preserve"> labor expense</w:t>
      </w:r>
      <w:r w:rsidR="00F03BE1">
        <w:rPr>
          <w:rFonts w:eastAsia="Times New Roman"/>
          <w:bCs/>
        </w:rPr>
        <w:t>s</w:t>
      </w:r>
      <w:r>
        <w:rPr>
          <w:rFonts w:eastAsia="Times New Roman"/>
          <w:bCs/>
        </w:rPr>
        <w:t xml:space="preserve"> and </w:t>
      </w:r>
      <w:r w:rsidRPr="002B4FFF" w:rsidDel="00BE3EAD">
        <w:rPr>
          <w:rFonts w:eastAsia="Times New Roman"/>
          <w:bCs/>
        </w:rPr>
        <w:t xml:space="preserve">an </w:t>
      </w:r>
      <w:r w:rsidRPr="002B4FFF">
        <w:rPr>
          <w:rFonts w:eastAsia="Times New Roman"/>
          <w:bCs/>
        </w:rPr>
        <w:t>average</w:t>
      </w:r>
      <w:r w:rsidR="00BE3EAD">
        <w:rPr>
          <w:rFonts w:eastAsia="Times New Roman"/>
          <w:bCs/>
        </w:rPr>
        <w:t xml:space="preserve"> of</w:t>
      </w:r>
      <w:r w:rsidRPr="002B4FFF">
        <w:rPr>
          <w:rFonts w:eastAsia="Times New Roman"/>
          <w:bCs/>
        </w:rPr>
        <w:t xml:space="preserve"> six-year percentage payout</w:t>
      </w:r>
      <w:r w:rsidR="00BE3EAD">
        <w:rPr>
          <w:rFonts w:eastAsia="Times New Roman"/>
          <w:bCs/>
        </w:rPr>
        <w:t>s</w:t>
      </w:r>
      <w:r w:rsidR="00486B33">
        <w:rPr>
          <w:rFonts w:eastAsia="Times New Roman"/>
          <w:bCs/>
        </w:rPr>
        <w:t>.</w:t>
      </w:r>
      <w:r w:rsidR="00353BDC">
        <w:rPr>
          <w:rStyle w:val="FootnoteReference"/>
          <w:rFonts w:eastAsia="Times New Roman"/>
          <w:bCs/>
        </w:rPr>
        <w:footnoteReference w:id="10"/>
      </w:r>
      <w:r w:rsidR="00486B33">
        <w:rPr>
          <w:rFonts w:eastAsia="Times New Roman"/>
          <w:bCs/>
        </w:rPr>
        <w:t xml:space="preserve"> </w:t>
      </w:r>
      <w:r w:rsidR="00D535E1">
        <w:t>Avista starts with a test period non-executive incentive expense of approximately $8.6 million and restates it</w:t>
      </w:r>
      <w:r w:rsidR="00D535E1" w:rsidRPr="00D26B77">
        <w:t xml:space="preserve"> using projected 2016</w:t>
      </w:r>
      <w:r w:rsidR="00BE3EAD">
        <w:t xml:space="preserve"> O&amp;M</w:t>
      </w:r>
      <w:r w:rsidR="00D535E1" w:rsidRPr="00D26B77">
        <w:t xml:space="preserve"> </w:t>
      </w:r>
      <w:r w:rsidR="00BE3EAD">
        <w:t xml:space="preserve">non-executive </w:t>
      </w:r>
      <w:r w:rsidR="00D535E1" w:rsidRPr="00D26B77">
        <w:t>labor expense</w:t>
      </w:r>
      <w:r w:rsidR="00D535E1">
        <w:t xml:space="preserve">s. For the executive incentive expense, the basis of the Company’s adjustment is test period O&amp;M incentive expenses and projected 2016 </w:t>
      </w:r>
      <w:r w:rsidR="00BE3EAD">
        <w:t>O&amp;M</w:t>
      </w:r>
      <w:r w:rsidR="00AA2E21">
        <w:t>-</w:t>
      </w:r>
      <w:r w:rsidR="00BE3EAD">
        <w:t xml:space="preserve">related executive </w:t>
      </w:r>
      <w:r w:rsidR="00D535E1">
        <w:t xml:space="preserve">labor expenses. </w:t>
      </w:r>
      <w:r w:rsidR="003E79B8">
        <w:rPr>
          <w:rFonts w:eastAsia="Times New Roman"/>
          <w:bCs/>
        </w:rPr>
        <w:t xml:space="preserve">Because the Company attempts to adjust </w:t>
      </w:r>
      <w:r w:rsidR="003E79B8" w:rsidRPr="00C41291">
        <w:rPr>
          <w:rFonts w:eastAsia="Times New Roman"/>
          <w:bCs/>
          <w:i/>
        </w:rPr>
        <w:t>test period</w:t>
      </w:r>
      <w:r w:rsidR="003E79B8">
        <w:rPr>
          <w:rFonts w:eastAsia="Times New Roman"/>
          <w:bCs/>
        </w:rPr>
        <w:t xml:space="preserve"> incentive expenses </w:t>
      </w:r>
      <w:r w:rsidR="003E79B8">
        <w:rPr>
          <w:rFonts w:eastAsia="Times New Roman"/>
          <w:bCs/>
        </w:rPr>
        <w:lastRenderedPageBreak/>
        <w:t xml:space="preserve">with projected 2016 </w:t>
      </w:r>
      <w:r w:rsidR="00BE3EAD">
        <w:rPr>
          <w:rFonts w:eastAsia="Times New Roman"/>
          <w:bCs/>
        </w:rPr>
        <w:t xml:space="preserve">O&amp;M </w:t>
      </w:r>
      <w:r w:rsidR="003E79B8">
        <w:rPr>
          <w:rFonts w:eastAsia="Times New Roman"/>
          <w:bCs/>
        </w:rPr>
        <w:t xml:space="preserve">labor expenses, Avista’s proposed adjustment </w:t>
      </w:r>
      <w:r w:rsidR="001F73B2">
        <w:rPr>
          <w:rFonts w:eastAsia="Times New Roman"/>
          <w:bCs/>
        </w:rPr>
        <w:t>more closely resembles</w:t>
      </w:r>
      <w:r w:rsidR="003E79B8">
        <w:rPr>
          <w:rFonts w:eastAsia="Times New Roman"/>
          <w:bCs/>
        </w:rPr>
        <w:t xml:space="preserve"> a pro forma adjustment than a restating adjustment.</w:t>
      </w:r>
      <w:r w:rsidR="00353BDC">
        <w:rPr>
          <w:rStyle w:val="FootnoteReference"/>
          <w:rFonts w:eastAsia="Times New Roman"/>
          <w:bCs/>
        </w:rPr>
        <w:footnoteReference w:id="11"/>
      </w:r>
      <w:r w:rsidR="00353BDC">
        <w:t xml:space="preserve"> </w:t>
      </w:r>
    </w:p>
    <w:p w14:paraId="6B31A5B1" w14:textId="68027B5D" w:rsidR="000D34EC" w:rsidRDefault="00C61F37" w:rsidP="00597867">
      <w:pPr>
        <w:keepNext/>
        <w:tabs>
          <w:tab w:val="left" w:pos="720"/>
          <w:tab w:val="left" w:pos="1440"/>
        </w:tabs>
        <w:spacing w:line="480" w:lineRule="auto"/>
        <w:ind w:left="720" w:firstLine="720"/>
        <w:outlineLvl w:val="1"/>
        <w:rPr>
          <w:rFonts w:eastAsia="Times New Roman"/>
          <w:bCs/>
        </w:rPr>
      </w:pPr>
      <w:r>
        <w:rPr>
          <w:rFonts w:eastAsia="Times New Roman"/>
          <w:bCs/>
        </w:rPr>
        <w:t>The</w:t>
      </w:r>
      <w:r w:rsidR="000835E7" w:rsidRPr="000835E7">
        <w:rPr>
          <w:rFonts w:eastAsia="Times New Roman"/>
          <w:bCs/>
        </w:rPr>
        <w:t xml:space="preserve"> approximate impact </w:t>
      </w:r>
      <w:r w:rsidR="009A525C">
        <w:rPr>
          <w:rFonts w:eastAsia="Times New Roman"/>
          <w:bCs/>
        </w:rPr>
        <w:t xml:space="preserve">of </w:t>
      </w:r>
      <w:r w:rsidR="00EE1C35">
        <w:rPr>
          <w:rFonts w:eastAsia="Times New Roman"/>
          <w:bCs/>
        </w:rPr>
        <w:t>the Company’s</w:t>
      </w:r>
      <w:r w:rsidR="009A525C">
        <w:rPr>
          <w:rFonts w:eastAsia="Times New Roman"/>
          <w:bCs/>
        </w:rPr>
        <w:t xml:space="preserve"> </w:t>
      </w:r>
      <w:r w:rsidR="00EE1C35">
        <w:rPr>
          <w:rFonts w:eastAsia="Times New Roman"/>
          <w:bCs/>
        </w:rPr>
        <w:t xml:space="preserve">proposed </w:t>
      </w:r>
      <w:r w:rsidR="009A525C">
        <w:rPr>
          <w:rFonts w:eastAsia="Times New Roman"/>
          <w:bCs/>
        </w:rPr>
        <w:t>adjustment</w:t>
      </w:r>
      <w:r w:rsidR="00C12847">
        <w:rPr>
          <w:rFonts w:eastAsia="Times New Roman"/>
          <w:bCs/>
        </w:rPr>
        <w:t xml:space="preserve"> to short-term incentives</w:t>
      </w:r>
      <w:r w:rsidR="009A525C">
        <w:rPr>
          <w:rFonts w:eastAsia="Times New Roman"/>
          <w:bCs/>
        </w:rPr>
        <w:t xml:space="preserve"> </w:t>
      </w:r>
      <w:r w:rsidR="000835E7" w:rsidRPr="000835E7">
        <w:rPr>
          <w:rFonts w:eastAsia="Times New Roman"/>
          <w:bCs/>
        </w:rPr>
        <w:t>increases electric net operating income by $</w:t>
      </w:r>
      <w:r w:rsidR="004802A6">
        <w:rPr>
          <w:rFonts w:eastAsia="Times New Roman"/>
          <w:bCs/>
        </w:rPr>
        <w:t>800,000</w:t>
      </w:r>
      <w:r w:rsidR="000835E7" w:rsidRPr="000835E7">
        <w:rPr>
          <w:rFonts w:eastAsia="Times New Roman"/>
          <w:bCs/>
        </w:rPr>
        <w:t xml:space="preserve"> and </w:t>
      </w:r>
      <w:r w:rsidR="00C3224E">
        <w:rPr>
          <w:rFonts w:eastAsia="Times New Roman"/>
          <w:bCs/>
        </w:rPr>
        <w:t xml:space="preserve">has </w:t>
      </w:r>
      <w:r w:rsidR="004802A6">
        <w:rPr>
          <w:rFonts w:eastAsia="Times New Roman"/>
          <w:bCs/>
        </w:rPr>
        <w:t>zero effect on rate base</w:t>
      </w:r>
      <w:r w:rsidR="000835E7" w:rsidRPr="000835E7">
        <w:rPr>
          <w:rFonts w:eastAsia="Times New Roman"/>
          <w:bCs/>
        </w:rPr>
        <w:t>. Additionally, the approximate impact increases gas net operating income by $</w:t>
      </w:r>
      <w:r w:rsidR="004802A6">
        <w:rPr>
          <w:rFonts w:eastAsia="Times New Roman"/>
          <w:bCs/>
        </w:rPr>
        <w:t>318,000</w:t>
      </w:r>
      <w:r w:rsidR="000835E7" w:rsidRPr="000835E7">
        <w:rPr>
          <w:rFonts w:eastAsia="Times New Roman"/>
          <w:bCs/>
        </w:rPr>
        <w:t xml:space="preserve"> and</w:t>
      </w:r>
      <w:r w:rsidR="00C3224E">
        <w:rPr>
          <w:rFonts w:eastAsia="Times New Roman"/>
          <w:bCs/>
        </w:rPr>
        <w:t xml:space="preserve"> has</w:t>
      </w:r>
      <w:r w:rsidR="000835E7" w:rsidRPr="000835E7">
        <w:rPr>
          <w:rFonts w:eastAsia="Times New Roman"/>
          <w:bCs/>
        </w:rPr>
        <w:t xml:space="preserve"> </w:t>
      </w:r>
      <w:r w:rsidR="004802A6">
        <w:rPr>
          <w:rFonts w:eastAsia="Times New Roman"/>
          <w:bCs/>
        </w:rPr>
        <w:t>zero effect on rate base</w:t>
      </w:r>
      <w:r w:rsidR="000835E7" w:rsidRPr="000835E7">
        <w:rPr>
          <w:rFonts w:eastAsia="Times New Roman"/>
          <w:bCs/>
        </w:rPr>
        <w:t>.</w:t>
      </w:r>
    </w:p>
    <w:p w14:paraId="234BBCE9" w14:textId="77777777" w:rsidR="004802A6" w:rsidRDefault="004802A6" w:rsidP="000835E7">
      <w:pPr>
        <w:keepNext/>
        <w:tabs>
          <w:tab w:val="left" w:pos="720"/>
          <w:tab w:val="left" w:pos="1440"/>
        </w:tabs>
        <w:spacing w:line="480" w:lineRule="auto"/>
        <w:ind w:left="720" w:hanging="720"/>
        <w:outlineLvl w:val="1"/>
        <w:rPr>
          <w:rFonts w:eastAsia="Times New Roman"/>
          <w:bCs/>
        </w:rPr>
      </w:pPr>
    </w:p>
    <w:p w14:paraId="437D5F0F" w14:textId="4AE74616" w:rsidR="00486B33" w:rsidRDefault="00486B33" w:rsidP="00486B33">
      <w:pPr>
        <w:spacing w:line="480" w:lineRule="auto"/>
        <w:rPr>
          <w:b/>
        </w:rPr>
      </w:pPr>
      <w:r w:rsidRPr="00460E36">
        <w:rPr>
          <w:b/>
        </w:rPr>
        <w:t>Q.</w:t>
      </w:r>
      <w:r w:rsidRPr="00460E36">
        <w:rPr>
          <w:b/>
        </w:rPr>
        <w:tab/>
      </w:r>
      <w:r w:rsidR="009D3DD4">
        <w:rPr>
          <w:b/>
        </w:rPr>
        <w:t>W</w:t>
      </w:r>
      <w:r w:rsidRPr="00460E36">
        <w:rPr>
          <w:b/>
        </w:rPr>
        <w:t xml:space="preserve">hy </w:t>
      </w:r>
      <w:r w:rsidR="009D3DD4">
        <w:rPr>
          <w:b/>
        </w:rPr>
        <w:t xml:space="preserve">is </w:t>
      </w:r>
      <w:r w:rsidRPr="00460E36">
        <w:rPr>
          <w:b/>
        </w:rPr>
        <w:t>Staff contesting</w:t>
      </w:r>
      <w:r w:rsidR="00AF7C21">
        <w:rPr>
          <w:b/>
        </w:rPr>
        <w:t xml:space="preserve"> this adjustment?</w:t>
      </w:r>
    </w:p>
    <w:p w14:paraId="3617708E" w14:textId="780B2A9B" w:rsidR="003B67DD" w:rsidRDefault="00AF7C21" w:rsidP="00AF7C21">
      <w:pPr>
        <w:spacing w:line="480" w:lineRule="auto"/>
        <w:ind w:left="720" w:hanging="720"/>
      </w:pPr>
      <w:r>
        <w:t>A.</w:t>
      </w:r>
      <w:r>
        <w:tab/>
      </w:r>
      <w:r w:rsidR="00F64413">
        <w:t>T</w:t>
      </w:r>
      <w:r w:rsidR="00597867">
        <w:t xml:space="preserve">he initial </w:t>
      </w:r>
      <w:r w:rsidR="0052593D">
        <w:t>workpapers</w:t>
      </w:r>
      <w:r w:rsidR="00597867">
        <w:t xml:space="preserve"> provided </w:t>
      </w:r>
      <w:r w:rsidR="0060439B">
        <w:t>by</w:t>
      </w:r>
      <w:r w:rsidR="00597867">
        <w:t xml:space="preserve"> the Company</w:t>
      </w:r>
      <w:r w:rsidR="0060439B">
        <w:t xml:space="preserve"> </w:t>
      </w:r>
      <w:r w:rsidR="00597867">
        <w:t xml:space="preserve">contained </w:t>
      </w:r>
      <w:r w:rsidR="00E77363">
        <w:t xml:space="preserve">three </w:t>
      </w:r>
      <w:r w:rsidR="00597867">
        <w:t>calculation errors,</w:t>
      </w:r>
      <w:r w:rsidR="00E77363">
        <w:t xml:space="preserve"> </w:t>
      </w:r>
      <w:r w:rsidR="00F37DBA">
        <w:t xml:space="preserve">identified </w:t>
      </w:r>
      <w:r w:rsidR="00E77363">
        <w:t>by Staff,</w:t>
      </w:r>
      <w:r w:rsidR="00597867">
        <w:t xml:space="preserve"> which must be corrected.</w:t>
      </w:r>
      <w:r w:rsidR="00223B4B">
        <w:rPr>
          <w:rStyle w:val="FootnoteReference"/>
        </w:rPr>
        <w:footnoteReference w:id="12"/>
      </w:r>
      <w:r w:rsidR="00597867">
        <w:t xml:space="preserve"> </w:t>
      </w:r>
      <w:r w:rsidR="00F64413">
        <w:t xml:space="preserve">The Company was made aware of these errors and corrected </w:t>
      </w:r>
      <w:r w:rsidR="00E77363">
        <w:t>two</w:t>
      </w:r>
      <w:r w:rsidR="00F64413">
        <w:t xml:space="preserve"> of the</w:t>
      </w:r>
      <w:r w:rsidR="00E77363">
        <w:t xml:space="preserve"> three</w:t>
      </w:r>
      <w:r w:rsidR="00F64413">
        <w:t xml:space="preserve"> in response to Staff </w:t>
      </w:r>
      <w:r w:rsidR="00DC62E7">
        <w:t>data requests</w:t>
      </w:r>
      <w:r w:rsidR="0095605C">
        <w:t xml:space="preserve"> and discussions with Staff</w:t>
      </w:r>
      <w:r w:rsidR="00F64413">
        <w:t>.</w:t>
      </w:r>
      <w:r w:rsidR="0028200F">
        <w:rPr>
          <w:rStyle w:val="FootnoteReference"/>
        </w:rPr>
        <w:footnoteReference w:id="13"/>
      </w:r>
      <w:r w:rsidR="00A83A55">
        <w:t xml:space="preserve"> The two</w:t>
      </w:r>
      <w:r w:rsidR="00F64413">
        <w:t xml:space="preserve"> errors</w:t>
      </w:r>
      <w:r w:rsidR="00F37DBA">
        <w:t xml:space="preserve"> that the Company corrected</w:t>
      </w:r>
      <w:r w:rsidR="00F64413">
        <w:t xml:space="preserve"> pertained to</w:t>
      </w:r>
      <w:r w:rsidR="0028200F">
        <w:t>:</w:t>
      </w:r>
      <w:r w:rsidR="00F64413">
        <w:t xml:space="preserve"> </w:t>
      </w:r>
      <w:r w:rsidR="0028200F">
        <w:t xml:space="preserve">updating the non-executive </w:t>
      </w:r>
      <w:r w:rsidR="0095605C">
        <w:t xml:space="preserve">test period </w:t>
      </w:r>
      <w:r w:rsidR="0028200F">
        <w:t xml:space="preserve">incentive expense using only the portion related to O&amp;M </w:t>
      </w:r>
      <w:r w:rsidR="008D62DD">
        <w:t>(</w:t>
      </w:r>
      <w:r w:rsidR="00C11DAF">
        <w:t>approximately $5.2 million instead of $8.</w:t>
      </w:r>
      <w:r w:rsidR="008D62DD">
        <w:t>6</w:t>
      </w:r>
      <w:r w:rsidR="00C11DAF">
        <w:t xml:space="preserve"> million</w:t>
      </w:r>
      <w:r w:rsidR="008D62DD">
        <w:t>)</w:t>
      </w:r>
      <w:r w:rsidR="0028200F">
        <w:t>;</w:t>
      </w:r>
      <w:r w:rsidR="0028200F">
        <w:rPr>
          <w:rStyle w:val="FootnoteReference"/>
        </w:rPr>
        <w:footnoteReference w:id="14"/>
      </w:r>
      <w:r w:rsidR="0028200F">
        <w:t xml:space="preserve"> and, </w:t>
      </w:r>
      <w:r w:rsidR="00E424B8">
        <w:t xml:space="preserve">incorrectly </w:t>
      </w:r>
      <w:r w:rsidR="003A3C0C">
        <w:t>reducing Account 920 for</w:t>
      </w:r>
      <w:r w:rsidR="0028200F">
        <w:t xml:space="preserve"> executive incentives related to earnings per share.</w:t>
      </w:r>
      <w:r w:rsidR="0028200F">
        <w:rPr>
          <w:rStyle w:val="FootnoteReference"/>
        </w:rPr>
        <w:footnoteReference w:id="15"/>
      </w:r>
    </w:p>
    <w:p w14:paraId="3068D053" w14:textId="0E680211" w:rsidR="00B31E15" w:rsidRDefault="00E77363" w:rsidP="00AA7F96">
      <w:pPr>
        <w:spacing w:line="480" w:lineRule="auto"/>
        <w:ind w:left="720" w:firstLine="720"/>
      </w:pPr>
      <w:r>
        <w:t xml:space="preserve">An error still remains in the Company’s </w:t>
      </w:r>
      <w:r w:rsidR="00E20767">
        <w:t xml:space="preserve">updated </w:t>
      </w:r>
      <w:r>
        <w:t>calculations. T</w:t>
      </w:r>
      <w:r w:rsidR="00B31E15">
        <w:t>he Company’s</w:t>
      </w:r>
      <w:r w:rsidR="00E20767">
        <w:t xml:space="preserve"> updated</w:t>
      </w:r>
      <w:r w:rsidR="00B31E15">
        <w:t xml:space="preserve"> restating calculation adjust</w:t>
      </w:r>
      <w:r w:rsidR="00EA1E18">
        <w:t>ed</w:t>
      </w:r>
      <w:r w:rsidR="00B31E15">
        <w:t xml:space="preserve"> test period incentive expense</w:t>
      </w:r>
      <w:r w:rsidR="00CD3799">
        <w:t>s</w:t>
      </w:r>
      <w:r w:rsidR="00B31E15">
        <w:t xml:space="preserve"> </w:t>
      </w:r>
      <w:r w:rsidR="00B31E15">
        <w:lastRenderedPageBreak/>
        <w:t xml:space="preserve">using </w:t>
      </w:r>
      <w:r w:rsidR="00AA7F96" w:rsidRPr="005C749A">
        <w:t>projected</w:t>
      </w:r>
      <w:r w:rsidR="00AA7434">
        <w:t xml:space="preserve"> O&amp;M</w:t>
      </w:r>
      <w:r w:rsidR="00AA7F96">
        <w:t xml:space="preserve"> 2016 labor expense</w:t>
      </w:r>
      <w:r w:rsidR="00597867">
        <w:t>s</w:t>
      </w:r>
      <w:r w:rsidR="00CD3799">
        <w:t>:</w:t>
      </w:r>
      <w:r w:rsidR="00853A13">
        <w:t xml:space="preserve"> </w:t>
      </w:r>
      <w:r w:rsidR="00C11DAF">
        <w:t xml:space="preserve">approximately </w:t>
      </w:r>
      <w:r w:rsidR="000D39B2" w:rsidRPr="000D39B2">
        <w:t>$41</w:t>
      </w:r>
      <w:r w:rsidR="00C11DAF">
        <w:t>.</w:t>
      </w:r>
      <w:r w:rsidR="000D39B2" w:rsidRPr="000D39B2">
        <w:t>2</w:t>
      </w:r>
      <w:r w:rsidR="00C11DAF">
        <w:t xml:space="preserve"> million f</w:t>
      </w:r>
      <w:r w:rsidR="000D39B2">
        <w:t>or non-executives</w:t>
      </w:r>
      <w:r w:rsidR="00CD3799">
        <w:t xml:space="preserve">; </w:t>
      </w:r>
      <w:r w:rsidR="000D39B2">
        <w:t xml:space="preserve">and </w:t>
      </w:r>
      <w:r w:rsidR="00C11DAF">
        <w:t xml:space="preserve">approximately </w:t>
      </w:r>
      <w:r w:rsidR="000D39B2" w:rsidRPr="000D39B2">
        <w:t>$1</w:t>
      </w:r>
      <w:r w:rsidR="00C11DAF">
        <w:t>.</w:t>
      </w:r>
      <w:r w:rsidR="00125BCE">
        <w:t>0</w:t>
      </w:r>
      <w:r w:rsidR="00C11DAF">
        <w:t xml:space="preserve"> million</w:t>
      </w:r>
      <w:r w:rsidR="000D39B2">
        <w:t xml:space="preserve"> for executives</w:t>
      </w:r>
      <w:r w:rsidR="00EA1E18">
        <w:t>.</w:t>
      </w:r>
      <w:r w:rsidR="00125BCE">
        <w:rPr>
          <w:rStyle w:val="FootnoteReference"/>
        </w:rPr>
        <w:footnoteReference w:id="16"/>
      </w:r>
      <w:r w:rsidR="00EA1E18">
        <w:t xml:space="preserve"> The calculation should have </w:t>
      </w:r>
      <w:r w:rsidR="001C59C8">
        <w:t>used</w:t>
      </w:r>
      <w:r w:rsidR="00AA7F96">
        <w:t xml:space="preserve"> </w:t>
      </w:r>
      <w:r w:rsidR="00B31E15">
        <w:t xml:space="preserve">the </w:t>
      </w:r>
      <w:r w:rsidR="00CD3799">
        <w:t xml:space="preserve">test year’s </w:t>
      </w:r>
      <w:r w:rsidR="00E36C20">
        <w:t xml:space="preserve">O&amp;M </w:t>
      </w:r>
      <w:r w:rsidR="00AA7F96">
        <w:t>labor expense</w:t>
      </w:r>
      <w:r w:rsidR="006E0916">
        <w:t>:</w:t>
      </w:r>
      <w:r w:rsidR="00853A13">
        <w:t xml:space="preserve"> </w:t>
      </w:r>
      <w:r w:rsidR="00C11DAF">
        <w:t xml:space="preserve">approximately </w:t>
      </w:r>
      <w:r w:rsidR="001C59C8" w:rsidRPr="001C59C8">
        <w:t>$39</w:t>
      </w:r>
      <w:r w:rsidR="00C11DAF">
        <w:t>.5 million</w:t>
      </w:r>
      <w:r w:rsidR="001C59C8" w:rsidRPr="001C59C8">
        <w:t xml:space="preserve"> </w:t>
      </w:r>
      <w:r w:rsidR="001C59C8">
        <w:t>for non-executives</w:t>
      </w:r>
      <w:r w:rsidR="006E0916">
        <w:t>;</w:t>
      </w:r>
      <w:r w:rsidR="001C59C8">
        <w:t xml:space="preserve"> and </w:t>
      </w:r>
      <w:r w:rsidR="001C59C8" w:rsidRPr="007C6252">
        <w:t>$980,759</w:t>
      </w:r>
      <w:r w:rsidR="001C59C8">
        <w:t xml:space="preserve"> for executives</w:t>
      </w:r>
      <w:r w:rsidR="003068BD">
        <w:t>.</w:t>
      </w:r>
      <w:r w:rsidR="001C59C8">
        <w:rPr>
          <w:rStyle w:val="FootnoteReference"/>
        </w:rPr>
        <w:footnoteReference w:id="17"/>
      </w:r>
      <w:r w:rsidR="00AA7F96">
        <w:t xml:space="preserve"> </w:t>
      </w:r>
      <w:r w:rsidR="00C61F37">
        <w:t>Restating</w:t>
      </w:r>
      <w:r w:rsidR="00AA7F96">
        <w:t xml:space="preserve"> test period </w:t>
      </w:r>
      <w:r w:rsidR="00125BCE">
        <w:t xml:space="preserve">O&amp;M </w:t>
      </w:r>
      <w:r w:rsidR="00AA7F96">
        <w:t>incentive expense</w:t>
      </w:r>
      <w:r w:rsidR="006E0916">
        <w:t>s</w:t>
      </w:r>
      <w:r w:rsidR="00AA7F96">
        <w:t xml:space="preserve"> </w:t>
      </w:r>
      <w:r w:rsidR="006E0916">
        <w:t xml:space="preserve">with </w:t>
      </w:r>
      <w:r w:rsidR="00AA7F96">
        <w:t xml:space="preserve">projected </w:t>
      </w:r>
      <w:r w:rsidR="00125BCE">
        <w:t xml:space="preserve">O&amp;M </w:t>
      </w:r>
      <w:r w:rsidR="00AA7F96">
        <w:t>2016 labor expenses</w:t>
      </w:r>
      <w:r w:rsidR="00B31E15">
        <w:t xml:space="preserve"> lack</w:t>
      </w:r>
      <w:r w:rsidR="00AA7F96">
        <w:t>s</w:t>
      </w:r>
      <w:r w:rsidR="00B31E15">
        <w:t xml:space="preserve"> congruency</w:t>
      </w:r>
      <w:r w:rsidR="00853A13">
        <w:t xml:space="preserve"> because </w:t>
      </w:r>
      <w:r w:rsidR="007C6252">
        <w:t xml:space="preserve">projected </w:t>
      </w:r>
      <w:r w:rsidR="00AA7434">
        <w:t xml:space="preserve">O&amp;M </w:t>
      </w:r>
      <w:r w:rsidR="007C6252">
        <w:t>2016 labor expense</w:t>
      </w:r>
      <w:r w:rsidR="006C392F">
        <w:t>s</w:t>
      </w:r>
      <w:r w:rsidR="007C6252">
        <w:t xml:space="preserve"> do not </w:t>
      </w:r>
      <w:r w:rsidR="00125BCE">
        <w:t xml:space="preserve">agree </w:t>
      </w:r>
      <w:r w:rsidR="00AA2E21">
        <w:t xml:space="preserve">– </w:t>
      </w:r>
      <w:r w:rsidR="00676DC7">
        <w:t xml:space="preserve">relating to </w:t>
      </w:r>
      <w:r w:rsidR="00AA2E21">
        <w:t>when these expenses are incurred – with</w:t>
      </w:r>
      <w:r w:rsidR="006E0916">
        <w:t xml:space="preserve"> </w:t>
      </w:r>
      <w:r w:rsidR="007C6252">
        <w:t>test period</w:t>
      </w:r>
      <w:r w:rsidR="009D6081">
        <w:t xml:space="preserve"> O&amp;M </w:t>
      </w:r>
      <w:r w:rsidR="00125BCE">
        <w:t xml:space="preserve">incentive </w:t>
      </w:r>
      <w:r w:rsidR="00A83A55">
        <w:t>expenses</w:t>
      </w:r>
      <w:r w:rsidR="006E0916">
        <w:t xml:space="preserve">, upon which the adjustment </w:t>
      </w:r>
      <w:r w:rsidR="00125BCE">
        <w:t>is</w:t>
      </w:r>
      <w:r w:rsidR="006E0916">
        <w:t xml:space="preserve"> based.</w:t>
      </w:r>
      <w:r w:rsidR="003977EB">
        <w:rPr>
          <w:rStyle w:val="FootnoteReference"/>
        </w:rPr>
        <w:footnoteReference w:id="18"/>
      </w:r>
      <w:r w:rsidR="00853A13">
        <w:t xml:space="preserve"> This</w:t>
      </w:r>
      <w:r w:rsidR="00B31E15">
        <w:t xml:space="preserve"> is in conflict with the very nature of a restating adjustment.</w:t>
      </w:r>
    </w:p>
    <w:p w14:paraId="162093E5" w14:textId="09CDC9A1" w:rsidR="00AA7F96" w:rsidRDefault="00AA7F96" w:rsidP="00AA7F96">
      <w:pPr>
        <w:spacing w:line="480" w:lineRule="auto"/>
      </w:pPr>
    </w:p>
    <w:p w14:paraId="671549B5" w14:textId="59773B20" w:rsidR="00AA7F96" w:rsidRDefault="00AA7F96" w:rsidP="00AA7F96">
      <w:pPr>
        <w:spacing w:line="480" w:lineRule="auto"/>
        <w:ind w:left="720" w:hanging="720"/>
        <w:rPr>
          <w:b/>
        </w:rPr>
      </w:pPr>
      <w:r>
        <w:rPr>
          <w:b/>
        </w:rPr>
        <w:t>Q.</w:t>
      </w:r>
      <w:r>
        <w:rPr>
          <w:b/>
        </w:rPr>
        <w:tab/>
        <w:t xml:space="preserve">Has Avista provided Staff with any additional information relevant to </w:t>
      </w:r>
      <w:r w:rsidR="0072571A">
        <w:rPr>
          <w:b/>
        </w:rPr>
        <w:t>this adjustment</w:t>
      </w:r>
      <w:r>
        <w:rPr>
          <w:b/>
        </w:rPr>
        <w:t>?</w:t>
      </w:r>
    </w:p>
    <w:p w14:paraId="58D5E312" w14:textId="383131B2" w:rsidR="002F4E11" w:rsidRDefault="00AA7F96" w:rsidP="00A4272F">
      <w:pPr>
        <w:spacing w:line="480" w:lineRule="auto"/>
        <w:ind w:left="720" w:hanging="720"/>
      </w:pPr>
      <w:r>
        <w:t>A.</w:t>
      </w:r>
      <w:r>
        <w:tab/>
        <w:t xml:space="preserve">Yes. </w:t>
      </w:r>
      <w:r w:rsidR="00A83A55">
        <w:t>T</w:t>
      </w:r>
      <w:r>
        <w:t xml:space="preserve">he Company provided Staff with </w:t>
      </w:r>
      <w:r w:rsidR="00BE433C">
        <w:t>an</w:t>
      </w:r>
      <w:r>
        <w:t xml:space="preserve"> update </w:t>
      </w:r>
      <w:r w:rsidR="00B14B72">
        <w:t xml:space="preserve">to include results from calendar year 2015 in </w:t>
      </w:r>
      <w:r w:rsidR="009A29E1">
        <w:t xml:space="preserve">the </w:t>
      </w:r>
      <w:r w:rsidR="009A29E1" w:rsidRPr="009A29E1">
        <w:t>average</w:t>
      </w:r>
      <w:r w:rsidR="00747BEE">
        <w:t xml:space="preserve"> of</w:t>
      </w:r>
      <w:r w:rsidR="009A29E1" w:rsidRPr="009A29E1">
        <w:t xml:space="preserve"> six-year percentage payout</w:t>
      </w:r>
      <w:r w:rsidR="00747BEE">
        <w:t>s</w:t>
      </w:r>
      <w:r w:rsidR="00286AE9">
        <w:t xml:space="preserve"> for both executive and non-executive incentives</w:t>
      </w:r>
      <w:r w:rsidR="004E125F">
        <w:t>.</w:t>
      </w:r>
      <w:r w:rsidR="00DB0C13">
        <w:rPr>
          <w:rStyle w:val="FootnoteReference"/>
        </w:rPr>
        <w:footnoteReference w:id="19"/>
      </w:r>
      <w:r w:rsidR="004E125F">
        <w:t xml:space="preserve"> </w:t>
      </w:r>
      <w:r w:rsidR="00AA7434">
        <w:t xml:space="preserve">With regards to the </w:t>
      </w:r>
      <w:r w:rsidR="00AA7434" w:rsidRPr="00AA7434">
        <w:t xml:space="preserve">average </w:t>
      </w:r>
      <w:r w:rsidR="00747BEE">
        <w:t xml:space="preserve">of </w:t>
      </w:r>
      <w:r w:rsidR="00AA7434" w:rsidRPr="00AA7434">
        <w:t>six-year percentage payout</w:t>
      </w:r>
      <w:r w:rsidR="00747BEE">
        <w:t>s</w:t>
      </w:r>
      <w:r w:rsidR="00AA7434">
        <w:t>, a</w:t>
      </w:r>
      <w:r w:rsidR="006C392F">
        <w:t>veraging data smooths fluctuations to reduce the output to one reasonable result.</w:t>
      </w:r>
      <w:r w:rsidR="006C392F">
        <w:rPr>
          <w:rStyle w:val="FootnoteReference"/>
        </w:rPr>
        <w:footnoteReference w:id="20"/>
      </w:r>
      <w:r w:rsidR="006C392F">
        <w:t xml:space="preserve"> </w:t>
      </w:r>
      <w:r w:rsidR="00F71CEF">
        <w:lastRenderedPageBreak/>
        <w:t>Its appropriateness depends on the circumstances and whether it reaches a balanced and fair rate decision</w:t>
      </w:r>
      <w:r w:rsidR="006C392F">
        <w:t>.</w:t>
      </w:r>
      <w:r w:rsidR="006C392F">
        <w:rPr>
          <w:rStyle w:val="FootnoteReference"/>
        </w:rPr>
        <w:footnoteReference w:id="21"/>
      </w:r>
      <w:r w:rsidR="006C392F">
        <w:t xml:space="preserve"> </w:t>
      </w:r>
      <w:r w:rsidR="00F71CEF">
        <w:t>In this instance</w:t>
      </w:r>
      <w:r w:rsidR="006C392F">
        <w:t xml:space="preserve">, </w:t>
      </w:r>
      <w:r w:rsidR="00F71CEF">
        <w:t>Staff supports the use of averaging.</w:t>
      </w:r>
    </w:p>
    <w:p w14:paraId="02DAC5D9" w14:textId="300A4866" w:rsidR="002402C6" w:rsidRDefault="00F679FB" w:rsidP="006C392F">
      <w:pPr>
        <w:spacing w:line="480" w:lineRule="auto"/>
        <w:ind w:left="720" w:firstLine="720"/>
      </w:pPr>
      <w:r>
        <w:t>Because the test year lies only minimally in calendar year 2014</w:t>
      </w:r>
      <w:r w:rsidR="00740940">
        <w:t xml:space="preserve"> and the results from the entire calendar year of 2015 are known</w:t>
      </w:r>
      <w:r>
        <w:t xml:space="preserve">, </w:t>
      </w:r>
      <w:r w:rsidR="00B13077">
        <w:t xml:space="preserve">for this adjustment </w:t>
      </w:r>
      <w:r w:rsidR="00147061">
        <w:t xml:space="preserve">Staff is agreeable to updating </w:t>
      </w:r>
      <w:r w:rsidR="00214EB5">
        <w:t xml:space="preserve">both </w:t>
      </w:r>
      <w:r w:rsidR="00147061">
        <w:t xml:space="preserve">the executive and non-executive </w:t>
      </w:r>
      <w:r w:rsidR="00214EB5">
        <w:t xml:space="preserve">short term </w:t>
      </w:r>
      <w:r w:rsidR="00CA22ED">
        <w:t>incentives based</w:t>
      </w:r>
      <w:r w:rsidR="00EB07C5">
        <w:t xml:space="preserve"> on an </w:t>
      </w:r>
      <w:r w:rsidR="00147061" w:rsidRPr="00B31E15">
        <w:t>average</w:t>
      </w:r>
      <w:r w:rsidR="00747BEE">
        <w:t xml:space="preserve"> of</w:t>
      </w:r>
      <w:r w:rsidR="00147061" w:rsidRPr="00B31E15">
        <w:t xml:space="preserve"> six-year percentage payout</w:t>
      </w:r>
      <w:r w:rsidR="00747BEE">
        <w:t>s</w:t>
      </w:r>
      <w:r w:rsidR="00147061">
        <w:t xml:space="preserve"> </w:t>
      </w:r>
      <w:r w:rsidR="00214EB5">
        <w:t xml:space="preserve">that </w:t>
      </w:r>
      <w:r w:rsidR="00147061">
        <w:t>include</w:t>
      </w:r>
      <w:r w:rsidR="00214EB5">
        <w:t>s</w:t>
      </w:r>
      <w:r w:rsidR="00147061">
        <w:t xml:space="preserve"> </w:t>
      </w:r>
      <w:r w:rsidR="00B14B72">
        <w:t xml:space="preserve">the results from </w:t>
      </w:r>
      <w:r w:rsidR="00214EB5">
        <w:t xml:space="preserve">all of </w:t>
      </w:r>
      <w:r>
        <w:t xml:space="preserve">calendar year </w:t>
      </w:r>
      <w:r w:rsidR="00147061">
        <w:t>2015</w:t>
      </w:r>
      <w:r w:rsidR="00B14B72">
        <w:t>.</w:t>
      </w:r>
      <w:r w:rsidR="00147061">
        <w:t xml:space="preserve"> </w:t>
      </w:r>
    </w:p>
    <w:p w14:paraId="4897BE90" w14:textId="395BC2F0" w:rsidR="00B31E15" w:rsidRPr="00AA7F96" w:rsidRDefault="002402C6" w:rsidP="006C392F">
      <w:pPr>
        <w:spacing w:line="480" w:lineRule="auto"/>
        <w:ind w:left="720" w:firstLine="720"/>
        <w:rPr>
          <w:b/>
        </w:rPr>
      </w:pPr>
      <w:r>
        <w:t xml:space="preserve">The Company also provided support for the non-executive incentive loader percentages used in </w:t>
      </w:r>
      <w:r w:rsidR="00B14B72">
        <w:t xml:space="preserve">its </w:t>
      </w:r>
      <w:r>
        <w:t>adjustment.</w:t>
      </w:r>
      <w:r>
        <w:rPr>
          <w:rStyle w:val="FootnoteReference"/>
        </w:rPr>
        <w:footnoteReference w:id="22"/>
      </w:r>
      <w:r w:rsidR="00FD16CB">
        <w:t xml:space="preserve"> </w:t>
      </w:r>
      <w:r w:rsidR="006B5ED1">
        <w:t xml:space="preserve">Staff </w:t>
      </w:r>
      <w:r>
        <w:t>believes it is just</w:t>
      </w:r>
      <w:r w:rsidR="00B14B72">
        <w:t>ifiable</w:t>
      </w:r>
      <w:r>
        <w:t xml:space="preserve"> to </w:t>
      </w:r>
      <w:r w:rsidR="00E33123">
        <w:t>update</w:t>
      </w:r>
      <w:r w:rsidR="00B31E15">
        <w:t xml:space="preserve"> </w:t>
      </w:r>
      <w:r w:rsidR="00EF42B0">
        <w:t>the</w:t>
      </w:r>
      <w:r w:rsidR="000979A5">
        <w:t>se</w:t>
      </w:r>
      <w:r w:rsidR="00E33123">
        <w:t xml:space="preserve"> percentage</w:t>
      </w:r>
      <w:r w:rsidR="00FA10D2">
        <w:t>s</w:t>
      </w:r>
      <w:r w:rsidR="00EF42B0">
        <w:t xml:space="preserve"> </w:t>
      </w:r>
      <w:r w:rsidR="00214EB5">
        <w:t xml:space="preserve">with </w:t>
      </w:r>
      <w:r w:rsidR="00EF42B0">
        <w:t xml:space="preserve">2015 results </w:t>
      </w:r>
      <w:r w:rsidR="00372176">
        <w:t xml:space="preserve">for the same reasons as </w:t>
      </w:r>
      <w:r>
        <w:t>the</w:t>
      </w:r>
      <w:r w:rsidR="00EF42B0">
        <w:t xml:space="preserve"> </w:t>
      </w:r>
      <w:r w:rsidR="00B31E15" w:rsidRPr="00B31E15">
        <w:t xml:space="preserve">average </w:t>
      </w:r>
      <w:r w:rsidR="00747BEE">
        <w:t xml:space="preserve">of </w:t>
      </w:r>
      <w:r w:rsidR="00B31E15" w:rsidRPr="00B31E15">
        <w:t>six-year percentage payout</w:t>
      </w:r>
      <w:r w:rsidR="00747BEE">
        <w:t>s</w:t>
      </w:r>
      <w:r w:rsidR="00B31E15">
        <w:t>.</w:t>
      </w:r>
    </w:p>
    <w:p w14:paraId="2B1B346C" w14:textId="77777777" w:rsidR="0002348C" w:rsidRPr="00AF7C21" w:rsidRDefault="0002348C" w:rsidP="00AF7C21">
      <w:pPr>
        <w:spacing w:line="480" w:lineRule="auto"/>
        <w:ind w:left="720" w:hanging="720"/>
      </w:pPr>
    </w:p>
    <w:p w14:paraId="3F32EE19" w14:textId="09ED7E41" w:rsidR="00486B33" w:rsidRDefault="00486B33" w:rsidP="00486B33">
      <w:pPr>
        <w:spacing w:line="480" w:lineRule="auto"/>
        <w:ind w:left="720" w:hanging="720"/>
        <w:rPr>
          <w:b/>
        </w:rPr>
      </w:pPr>
      <w:r>
        <w:rPr>
          <w:b/>
        </w:rPr>
        <w:t>Q.</w:t>
      </w:r>
      <w:r>
        <w:rPr>
          <w:b/>
        </w:rPr>
        <w:tab/>
      </w:r>
      <w:r w:rsidR="00EE1C35">
        <w:rPr>
          <w:b/>
        </w:rPr>
        <w:t>What is</w:t>
      </w:r>
      <w:r>
        <w:rPr>
          <w:b/>
        </w:rPr>
        <w:t xml:space="preserve"> Staff’s recommendation for</w:t>
      </w:r>
      <w:r w:rsidRPr="00486B33">
        <w:t xml:space="preserve"> </w:t>
      </w:r>
      <w:r w:rsidRPr="00486B33">
        <w:rPr>
          <w:b/>
        </w:rPr>
        <w:t xml:space="preserve">Restate Incentive </w:t>
      </w:r>
      <w:r w:rsidR="006C7080">
        <w:rPr>
          <w:b/>
        </w:rPr>
        <w:t>Expense</w:t>
      </w:r>
      <w:r w:rsidR="00E36A9F">
        <w:rPr>
          <w:b/>
        </w:rPr>
        <w:t>s</w:t>
      </w:r>
      <w:r w:rsidR="006C7080">
        <w:rPr>
          <w:b/>
        </w:rPr>
        <w:t xml:space="preserve"> (Electric 2.16, Gas 2.14</w:t>
      </w:r>
      <w:r w:rsidRPr="00486B33">
        <w:rPr>
          <w:b/>
        </w:rPr>
        <w:t>)</w:t>
      </w:r>
      <w:r>
        <w:rPr>
          <w:b/>
        </w:rPr>
        <w:t>.</w:t>
      </w:r>
    </w:p>
    <w:p w14:paraId="06964ABD" w14:textId="3FD2A5F4" w:rsidR="00A62FA6" w:rsidRDefault="00486B33" w:rsidP="00700474">
      <w:pPr>
        <w:keepNext/>
        <w:tabs>
          <w:tab w:val="left" w:pos="720"/>
          <w:tab w:val="left" w:pos="1440"/>
        </w:tabs>
        <w:spacing w:line="480" w:lineRule="auto"/>
        <w:ind w:left="720" w:hanging="720"/>
        <w:outlineLvl w:val="1"/>
        <w:rPr>
          <w:rFonts w:eastAsia="Times New Roman"/>
          <w:bCs/>
        </w:rPr>
      </w:pPr>
      <w:r>
        <w:rPr>
          <w:rFonts w:eastAsia="Times New Roman"/>
          <w:bCs/>
        </w:rPr>
        <w:t>A.</w:t>
      </w:r>
      <w:r>
        <w:rPr>
          <w:rFonts w:eastAsia="Times New Roman"/>
          <w:bCs/>
        </w:rPr>
        <w:tab/>
      </w:r>
      <w:r w:rsidR="00EE1C35">
        <w:rPr>
          <w:rFonts w:eastAsia="Times New Roman"/>
          <w:bCs/>
        </w:rPr>
        <w:t>Staff recommends that</w:t>
      </w:r>
      <w:r w:rsidR="006B5ED1">
        <w:rPr>
          <w:rFonts w:eastAsia="Times New Roman"/>
          <w:bCs/>
        </w:rPr>
        <w:t xml:space="preserve"> the Company’s initial adjustment be </w:t>
      </w:r>
      <w:r w:rsidR="00B57104">
        <w:rPr>
          <w:rFonts w:eastAsia="Times New Roman"/>
          <w:bCs/>
        </w:rPr>
        <w:t xml:space="preserve">updated </w:t>
      </w:r>
      <w:r w:rsidR="001F27E5">
        <w:rPr>
          <w:rFonts w:eastAsia="Times New Roman"/>
          <w:bCs/>
        </w:rPr>
        <w:t xml:space="preserve">consistent with the calculations </w:t>
      </w:r>
      <w:r w:rsidR="00B57104">
        <w:rPr>
          <w:rFonts w:eastAsia="Times New Roman"/>
          <w:bCs/>
        </w:rPr>
        <w:t xml:space="preserve">and information </w:t>
      </w:r>
      <w:r w:rsidR="001F27E5">
        <w:rPr>
          <w:rFonts w:eastAsia="Times New Roman"/>
          <w:bCs/>
        </w:rPr>
        <w:t>provided by the Company</w:t>
      </w:r>
      <w:r w:rsidR="001462FB">
        <w:rPr>
          <w:rFonts w:eastAsia="Times New Roman"/>
          <w:bCs/>
        </w:rPr>
        <w:t xml:space="preserve"> to</w:t>
      </w:r>
      <w:r w:rsidR="00B57104">
        <w:rPr>
          <w:rFonts w:eastAsia="Times New Roman"/>
          <w:bCs/>
        </w:rPr>
        <w:t xml:space="preserve"> reflect</w:t>
      </w:r>
      <w:r w:rsidR="001462FB">
        <w:rPr>
          <w:rFonts w:eastAsia="Times New Roman"/>
          <w:bCs/>
        </w:rPr>
        <w:t xml:space="preserve"> </w:t>
      </w:r>
      <w:r w:rsidR="00B57104">
        <w:rPr>
          <w:rFonts w:eastAsia="Times New Roman"/>
          <w:bCs/>
        </w:rPr>
        <w:t xml:space="preserve">corrections to </w:t>
      </w:r>
      <w:r w:rsidR="006B5ED1">
        <w:rPr>
          <w:rFonts w:eastAsia="Times New Roman"/>
          <w:bCs/>
        </w:rPr>
        <w:t xml:space="preserve">the </w:t>
      </w:r>
      <w:r w:rsidR="000979A5">
        <w:rPr>
          <w:rFonts w:eastAsia="Times New Roman"/>
          <w:bCs/>
        </w:rPr>
        <w:t>non-execu</w:t>
      </w:r>
      <w:r w:rsidR="00B57104">
        <w:rPr>
          <w:rFonts w:eastAsia="Times New Roman"/>
          <w:bCs/>
        </w:rPr>
        <w:t>tiv</w:t>
      </w:r>
      <w:r w:rsidR="000979A5">
        <w:rPr>
          <w:rFonts w:eastAsia="Times New Roman"/>
          <w:bCs/>
        </w:rPr>
        <w:t xml:space="preserve">e </w:t>
      </w:r>
      <w:r w:rsidR="00747BEE">
        <w:rPr>
          <w:rFonts w:eastAsia="Times New Roman"/>
          <w:bCs/>
        </w:rPr>
        <w:t xml:space="preserve">O&amp;M </w:t>
      </w:r>
      <w:r w:rsidR="000979A5">
        <w:rPr>
          <w:rFonts w:eastAsia="Times New Roman"/>
          <w:bCs/>
        </w:rPr>
        <w:t xml:space="preserve">incentive expense </w:t>
      </w:r>
      <w:r w:rsidR="00B57104">
        <w:rPr>
          <w:rFonts w:eastAsia="Times New Roman"/>
          <w:bCs/>
        </w:rPr>
        <w:t>and</w:t>
      </w:r>
      <w:r w:rsidR="006B5ED1">
        <w:rPr>
          <w:rFonts w:eastAsia="Times New Roman"/>
          <w:bCs/>
        </w:rPr>
        <w:t xml:space="preserve"> </w:t>
      </w:r>
      <w:r w:rsidR="00E77363">
        <w:rPr>
          <w:rFonts w:eastAsia="Times New Roman"/>
          <w:bCs/>
        </w:rPr>
        <w:t>Accounts 920 and 417.1</w:t>
      </w:r>
      <w:r w:rsidR="00B57104">
        <w:rPr>
          <w:rFonts w:eastAsia="Times New Roman"/>
          <w:bCs/>
        </w:rPr>
        <w:t>. Staff recommends that</w:t>
      </w:r>
      <w:r w:rsidR="00586206">
        <w:rPr>
          <w:rFonts w:eastAsia="Times New Roman"/>
          <w:bCs/>
        </w:rPr>
        <w:t xml:space="preserve"> </w:t>
      </w:r>
      <w:r w:rsidR="00372176">
        <w:t>calendar year 2015 results</w:t>
      </w:r>
      <w:r w:rsidR="00372176">
        <w:rPr>
          <w:rFonts w:eastAsia="Times New Roman"/>
          <w:bCs/>
        </w:rPr>
        <w:t xml:space="preserve"> be used to update: the average</w:t>
      </w:r>
      <w:r w:rsidR="00747BEE">
        <w:rPr>
          <w:rFonts w:eastAsia="Times New Roman"/>
          <w:bCs/>
        </w:rPr>
        <w:t xml:space="preserve"> of</w:t>
      </w:r>
      <w:r w:rsidR="00372176">
        <w:rPr>
          <w:rFonts w:eastAsia="Times New Roman"/>
          <w:bCs/>
        </w:rPr>
        <w:t xml:space="preserve"> six-year percentage payout</w:t>
      </w:r>
      <w:r w:rsidR="00747BEE">
        <w:rPr>
          <w:rFonts w:eastAsia="Times New Roman"/>
          <w:bCs/>
        </w:rPr>
        <w:t>s</w:t>
      </w:r>
      <w:r w:rsidR="00372176">
        <w:rPr>
          <w:rFonts w:eastAsia="Times New Roman"/>
          <w:bCs/>
        </w:rPr>
        <w:t xml:space="preserve"> for </w:t>
      </w:r>
      <w:r w:rsidR="000979A5">
        <w:rPr>
          <w:rFonts w:eastAsia="Times New Roman"/>
          <w:bCs/>
        </w:rPr>
        <w:t xml:space="preserve">both </w:t>
      </w:r>
      <w:r w:rsidR="00B57104">
        <w:rPr>
          <w:rFonts w:eastAsia="Times New Roman"/>
          <w:bCs/>
        </w:rPr>
        <w:t xml:space="preserve">the </w:t>
      </w:r>
      <w:r w:rsidR="000979A5">
        <w:rPr>
          <w:rFonts w:eastAsia="Times New Roman"/>
          <w:bCs/>
        </w:rPr>
        <w:t>executive and non-executive incentive expenses</w:t>
      </w:r>
      <w:r w:rsidR="00372176">
        <w:rPr>
          <w:rFonts w:eastAsia="Times New Roman"/>
          <w:bCs/>
        </w:rPr>
        <w:t xml:space="preserve">; and </w:t>
      </w:r>
      <w:r w:rsidR="00814F4F">
        <w:rPr>
          <w:rFonts w:eastAsia="Times New Roman"/>
          <w:bCs/>
        </w:rPr>
        <w:t xml:space="preserve">the </w:t>
      </w:r>
      <w:r w:rsidR="000979A5">
        <w:rPr>
          <w:rFonts w:eastAsia="Times New Roman"/>
          <w:bCs/>
        </w:rPr>
        <w:t>non-executive</w:t>
      </w:r>
      <w:r w:rsidR="000467BB">
        <w:rPr>
          <w:rFonts w:eastAsia="Times New Roman"/>
          <w:bCs/>
        </w:rPr>
        <w:t xml:space="preserve"> </w:t>
      </w:r>
      <w:r w:rsidR="00814F4F">
        <w:rPr>
          <w:rFonts w:eastAsia="Times New Roman"/>
          <w:bCs/>
        </w:rPr>
        <w:t>incentive loader</w:t>
      </w:r>
      <w:r w:rsidR="00E36DD7">
        <w:rPr>
          <w:rFonts w:eastAsia="Times New Roman"/>
          <w:bCs/>
        </w:rPr>
        <w:t>.</w:t>
      </w:r>
    </w:p>
    <w:p w14:paraId="59209AB5" w14:textId="26A275FB" w:rsidR="00486B33" w:rsidRDefault="00DE1F9B" w:rsidP="00A62FA6">
      <w:pPr>
        <w:keepNext/>
        <w:tabs>
          <w:tab w:val="left" w:pos="720"/>
          <w:tab w:val="left" w:pos="1440"/>
        </w:tabs>
        <w:spacing w:line="480" w:lineRule="auto"/>
        <w:ind w:left="720" w:firstLine="720"/>
        <w:outlineLvl w:val="1"/>
        <w:rPr>
          <w:rFonts w:eastAsia="Times New Roman"/>
          <w:bCs/>
        </w:rPr>
      </w:pPr>
      <w:r>
        <w:rPr>
          <w:rFonts w:eastAsia="Times New Roman"/>
          <w:bCs/>
        </w:rPr>
        <w:t xml:space="preserve">The approximate impact of </w:t>
      </w:r>
      <w:r w:rsidR="00A71092" w:rsidRPr="00A71092">
        <w:rPr>
          <w:rFonts w:eastAsia="Times New Roman"/>
          <w:bCs/>
        </w:rPr>
        <w:t>Staff’s recommendation decreases electric net operating income by $</w:t>
      </w:r>
      <w:r w:rsidR="004802A6">
        <w:rPr>
          <w:rFonts w:eastAsia="Times New Roman"/>
          <w:bCs/>
        </w:rPr>
        <w:t>560,000</w:t>
      </w:r>
      <w:r w:rsidR="00A71092" w:rsidRPr="00A71092">
        <w:rPr>
          <w:rFonts w:eastAsia="Times New Roman"/>
          <w:bCs/>
        </w:rPr>
        <w:t xml:space="preserve"> and </w:t>
      </w:r>
      <w:r w:rsidR="00EE1C35">
        <w:rPr>
          <w:rFonts w:eastAsia="Times New Roman"/>
          <w:bCs/>
        </w:rPr>
        <w:t xml:space="preserve">has </w:t>
      </w:r>
      <w:r w:rsidR="004802A6">
        <w:rPr>
          <w:rFonts w:eastAsia="Times New Roman"/>
          <w:bCs/>
        </w:rPr>
        <w:t>zero effect on rate base</w:t>
      </w:r>
      <w:r w:rsidR="00A71092" w:rsidRPr="00A71092">
        <w:rPr>
          <w:rFonts w:eastAsia="Times New Roman"/>
          <w:bCs/>
        </w:rPr>
        <w:t xml:space="preserve">. </w:t>
      </w:r>
      <w:r w:rsidR="00EE1C35">
        <w:rPr>
          <w:rFonts w:eastAsia="Times New Roman"/>
          <w:bCs/>
        </w:rPr>
        <w:t>T</w:t>
      </w:r>
      <w:r w:rsidRPr="00DE1F9B">
        <w:rPr>
          <w:rFonts w:eastAsia="Times New Roman"/>
          <w:bCs/>
        </w:rPr>
        <w:t xml:space="preserve">he approximate </w:t>
      </w:r>
      <w:r w:rsidRPr="00DE1F9B">
        <w:rPr>
          <w:rFonts w:eastAsia="Times New Roman"/>
          <w:bCs/>
        </w:rPr>
        <w:lastRenderedPageBreak/>
        <w:t xml:space="preserve">impact of Staff’s recommendation </w:t>
      </w:r>
      <w:r w:rsidR="00A71092" w:rsidRPr="00A71092">
        <w:rPr>
          <w:rFonts w:eastAsia="Times New Roman"/>
          <w:bCs/>
        </w:rPr>
        <w:t>decreases gas net operating income by $</w:t>
      </w:r>
      <w:r w:rsidR="00EC7B32">
        <w:rPr>
          <w:rFonts w:eastAsia="Times New Roman"/>
          <w:bCs/>
        </w:rPr>
        <w:t>87</w:t>
      </w:r>
      <w:r w:rsidR="004802A6">
        <w:rPr>
          <w:rFonts w:eastAsia="Times New Roman"/>
          <w:bCs/>
        </w:rPr>
        <w:t>,000</w:t>
      </w:r>
      <w:r w:rsidR="00A71092" w:rsidRPr="00A71092">
        <w:rPr>
          <w:rFonts w:eastAsia="Times New Roman"/>
          <w:bCs/>
        </w:rPr>
        <w:t xml:space="preserve"> and </w:t>
      </w:r>
      <w:r w:rsidR="00EE1C35">
        <w:rPr>
          <w:rFonts w:eastAsia="Times New Roman"/>
          <w:bCs/>
        </w:rPr>
        <w:t xml:space="preserve">has </w:t>
      </w:r>
      <w:r w:rsidR="004802A6">
        <w:rPr>
          <w:rFonts w:eastAsia="Times New Roman"/>
          <w:bCs/>
        </w:rPr>
        <w:t>zero effect on rate base</w:t>
      </w:r>
      <w:r w:rsidR="00A71092" w:rsidRPr="00A71092">
        <w:rPr>
          <w:rFonts w:eastAsia="Times New Roman"/>
          <w:bCs/>
        </w:rPr>
        <w:t>.</w:t>
      </w:r>
    </w:p>
    <w:p w14:paraId="389573D2" w14:textId="77777777" w:rsidR="00486B33" w:rsidRPr="000D34EC" w:rsidRDefault="00486B33" w:rsidP="007868C3">
      <w:pPr>
        <w:keepNext/>
        <w:tabs>
          <w:tab w:val="left" w:pos="720"/>
          <w:tab w:val="left" w:pos="1440"/>
        </w:tabs>
        <w:spacing w:line="480" w:lineRule="auto"/>
        <w:outlineLvl w:val="1"/>
        <w:rPr>
          <w:rFonts w:eastAsia="Times New Roman"/>
          <w:bCs/>
        </w:rPr>
      </w:pPr>
    </w:p>
    <w:p w14:paraId="009AD5E8" w14:textId="19F31A75" w:rsidR="007868C3" w:rsidRDefault="007868C3" w:rsidP="007868C3">
      <w:pPr>
        <w:keepNext/>
        <w:tabs>
          <w:tab w:val="left" w:pos="720"/>
          <w:tab w:val="left" w:pos="1440"/>
        </w:tabs>
        <w:spacing w:line="480" w:lineRule="auto"/>
        <w:outlineLvl w:val="1"/>
        <w:rPr>
          <w:b/>
        </w:rPr>
      </w:pPr>
      <w:r w:rsidRPr="00460E36">
        <w:rPr>
          <w:b/>
        </w:rPr>
        <w:t>Q.</w:t>
      </w:r>
      <w:r w:rsidRPr="00460E36">
        <w:rPr>
          <w:b/>
        </w:rPr>
        <w:tab/>
        <w:t>What</w:t>
      </w:r>
      <w:r>
        <w:rPr>
          <w:b/>
        </w:rPr>
        <w:t xml:space="preserve"> </w:t>
      </w:r>
      <w:r w:rsidR="00E76AFF">
        <w:rPr>
          <w:b/>
        </w:rPr>
        <w:t xml:space="preserve">information </w:t>
      </w:r>
      <w:r w:rsidR="00B37A0D">
        <w:rPr>
          <w:b/>
        </w:rPr>
        <w:t>forms</w:t>
      </w:r>
      <w:r w:rsidR="000A44E2">
        <w:rPr>
          <w:b/>
        </w:rPr>
        <w:t xml:space="preserve"> the basi</w:t>
      </w:r>
      <w:r w:rsidR="00E76AFF">
        <w:rPr>
          <w:b/>
        </w:rPr>
        <w:t>s of your recommendation</w:t>
      </w:r>
      <w:r w:rsidR="000D790E">
        <w:rPr>
          <w:b/>
        </w:rPr>
        <w:t>?</w:t>
      </w:r>
    </w:p>
    <w:p w14:paraId="61AF3B42" w14:textId="6DB5C386" w:rsidR="007868C3" w:rsidRDefault="00486B33" w:rsidP="003B0BCE">
      <w:pPr>
        <w:spacing w:line="480" w:lineRule="auto"/>
        <w:ind w:left="720" w:hanging="720"/>
        <w:rPr>
          <w:b/>
        </w:rPr>
      </w:pPr>
      <w:r>
        <w:t>A.</w:t>
      </w:r>
      <w:r>
        <w:tab/>
      </w:r>
      <w:r w:rsidR="003B0BCE">
        <w:t xml:space="preserve">I reviewed the </w:t>
      </w:r>
      <w:r w:rsidR="0033029A">
        <w:t>Company</w:t>
      </w:r>
      <w:r w:rsidR="003B0BCE">
        <w:t>’s 2015 Executive Officer Annual Cash Ince</w:t>
      </w:r>
      <w:r w:rsidR="000A44E2">
        <w:t>ntive Plan</w:t>
      </w:r>
      <w:r w:rsidR="00A328E7">
        <w:t>,</w:t>
      </w:r>
      <w:r w:rsidR="000A44E2">
        <w:t xml:space="preserve"> the 2015 Employee (Non-O</w:t>
      </w:r>
      <w:r w:rsidR="003B0BCE">
        <w:t>fficer) Incentive Plan</w:t>
      </w:r>
      <w:r w:rsidR="00A328E7">
        <w:t>,</w:t>
      </w:r>
      <w:r w:rsidR="003B0BCE">
        <w:t xml:space="preserve"> </w:t>
      </w:r>
      <w:r w:rsidR="009A3254">
        <w:t xml:space="preserve">2009 to 2015 incentive </w:t>
      </w:r>
      <w:r w:rsidR="00E76AFF">
        <w:t>payout percentages</w:t>
      </w:r>
      <w:r w:rsidR="00A328E7">
        <w:t>,</w:t>
      </w:r>
      <w:r w:rsidR="009A3254">
        <w:t xml:space="preserve"> the </w:t>
      </w:r>
      <w:r w:rsidR="0033029A">
        <w:t>Company</w:t>
      </w:r>
      <w:r w:rsidR="009A3254">
        <w:t>’s initial</w:t>
      </w:r>
      <w:r w:rsidR="00013AFC">
        <w:t>ly-</w:t>
      </w:r>
      <w:r w:rsidR="009A3254">
        <w:t xml:space="preserve">filed </w:t>
      </w:r>
      <w:r w:rsidR="0052593D">
        <w:t>workpapers</w:t>
      </w:r>
      <w:r w:rsidR="00A328E7">
        <w:t>,</w:t>
      </w:r>
      <w:r w:rsidR="009A3254">
        <w:t xml:space="preserve"> and the </w:t>
      </w:r>
      <w:r w:rsidR="0033029A">
        <w:t>Company</w:t>
      </w:r>
      <w:r w:rsidR="009A3254">
        <w:t xml:space="preserve">’s responses to </w:t>
      </w:r>
      <w:r w:rsidR="00612705">
        <w:t xml:space="preserve">UTC </w:t>
      </w:r>
      <w:r w:rsidR="009A3254">
        <w:t>Staff Data Reques</w:t>
      </w:r>
      <w:r w:rsidR="00645E15">
        <w:t>t No</w:t>
      </w:r>
      <w:r w:rsidR="00B37A0D">
        <w:t>s</w:t>
      </w:r>
      <w:r w:rsidR="00645E15">
        <w:t>.</w:t>
      </w:r>
      <w:r w:rsidR="009A3254">
        <w:t xml:space="preserve"> </w:t>
      </w:r>
      <w:r w:rsidR="00EE2C07">
        <w:t>91</w:t>
      </w:r>
      <w:r w:rsidR="00A328E7">
        <w:t>,</w:t>
      </w:r>
      <w:r w:rsidR="00EE2C07">
        <w:t xml:space="preserve"> </w:t>
      </w:r>
      <w:r w:rsidR="00A62BFD">
        <w:t>102</w:t>
      </w:r>
      <w:r w:rsidR="00E54551">
        <w:t xml:space="preserve"> </w:t>
      </w:r>
      <w:r w:rsidR="00FA054A">
        <w:t>(</w:t>
      </w:r>
      <w:r w:rsidR="00E54551">
        <w:t>for more narrative regarding Avista’s incentive plan goals</w:t>
      </w:r>
      <w:r w:rsidR="00FA054A">
        <w:t>)</w:t>
      </w:r>
      <w:r w:rsidR="00A328E7">
        <w:t>,</w:t>
      </w:r>
      <w:r w:rsidR="00A62BFD">
        <w:t xml:space="preserve"> 129</w:t>
      </w:r>
      <w:r w:rsidR="00D5255A">
        <w:t>, and 130.</w:t>
      </w:r>
      <w:r w:rsidR="003E79B8">
        <w:rPr>
          <w:rStyle w:val="FootnoteReference"/>
        </w:rPr>
        <w:footnoteReference w:id="23"/>
      </w:r>
      <w:r w:rsidR="00E76AFF">
        <w:t xml:space="preserve"> </w:t>
      </w:r>
      <w:r w:rsidR="00B37A0D">
        <w:t>My review of this information form</w:t>
      </w:r>
      <w:r w:rsidR="00661C6A">
        <w:t>ed</w:t>
      </w:r>
      <w:r w:rsidR="00B37A0D">
        <w:t xml:space="preserve"> the basis of my recommendation.</w:t>
      </w:r>
    </w:p>
    <w:p w14:paraId="19562272" w14:textId="77777777" w:rsidR="00486B33" w:rsidRPr="00486B33" w:rsidRDefault="00486B33" w:rsidP="00E76AFF">
      <w:pPr>
        <w:spacing w:line="480" w:lineRule="auto"/>
      </w:pPr>
    </w:p>
    <w:p w14:paraId="3C1D86F5" w14:textId="47A3DF98" w:rsidR="00FF1C96" w:rsidRDefault="00FF1C96" w:rsidP="00373EBF">
      <w:pPr>
        <w:spacing w:line="480" w:lineRule="auto"/>
        <w:ind w:left="720" w:hanging="720"/>
        <w:rPr>
          <w:b/>
        </w:rPr>
      </w:pPr>
      <w:r>
        <w:rPr>
          <w:b/>
        </w:rPr>
        <w:t>Q.</w:t>
      </w:r>
      <w:r>
        <w:rPr>
          <w:b/>
        </w:rPr>
        <w:tab/>
      </w:r>
      <w:r w:rsidR="00B37A0D">
        <w:rPr>
          <w:b/>
        </w:rPr>
        <w:t xml:space="preserve">How is </w:t>
      </w:r>
      <w:r>
        <w:rPr>
          <w:b/>
        </w:rPr>
        <w:t>Staff’s recommendation</w:t>
      </w:r>
      <w:r w:rsidR="00B37A0D">
        <w:rPr>
          <w:b/>
        </w:rPr>
        <w:t xml:space="preserve"> consistent with Commission standards for restating adjustments</w:t>
      </w:r>
      <w:r>
        <w:rPr>
          <w:b/>
        </w:rPr>
        <w:t>?</w:t>
      </w:r>
    </w:p>
    <w:p w14:paraId="466DB518" w14:textId="6967942C" w:rsidR="00857BBB" w:rsidRDefault="00C8225D" w:rsidP="00C8225D">
      <w:pPr>
        <w:spacing w:line="480" w:lineRule="auto"/>
        <w:ind w:left="720" w:hanging="720"/>
        <w:rPr>
          <w:b/>
        </w:rPr>
      </w:pPr>
      <w:r>
        <w:t>A.</w:t>
      </w:r>
      <w:r>
        <w:tab/>
      </w:r>
      <w:r w:rsidR="00857BBB">
        <w:t xml:space="preserve">Staff’s adjustment restates test period </w:t>
      </w:r>
      <w:r w:rsidR="00725561">
        <w:t xml:space="preserve">short-term </w:t>
      </w:r>
      <w:r w:rsidR="00EE2C07">
        <w:t xml:space="preserve">O&amp;M </w:t>
      </w:r>
      <w:r w:rsidR="00857BBB">
        <w:t xml:space="preserve">incentive expense by </w:t>
      </w:r>
      <w:r w:rsidR="00373EBF">
        <w:t xml:space="preserve">averaging </w:t>
      </w:r>
      <w:r w:rsidR="009801C4">
        <w:t>extraordinary payout</w:t>
      </w:r>
      <w:r w:rsidR="00373EBF">
        <w:t>s</w:t>
      </w:r>
      <w:r w:rsidR="009801C4">
        <w:t xml:space="preserve"> </w:t>
      </w:r>
      <w:r w:rsidR="00857BBB">
        <w:t xml:space="preserve">to reflect a historical </w:t>
      </w:r>
      <w:r w:rsidR="00857BBB" w:rsidRPr="00857BBB">
        <w:t xml:space="preserve">average </w:t>
      </w:r>
      <w:r w:rsidR="000467BB">
        <w:t xml:space="preserve">of </w:t>
      </w:r>
      <w:r w:rsidR="00857BBB" w:rsidRPr="00857BBB">
        <w:t>six-year percentage payout</w:t>
      </w:r>
      <w:r w:rsidR="000467BB">
        <w:t>s</w:t>
      </w:r>
      <w:r w:rsidR="00857BBB">
        <w:t xml:space="preserve"> based on test period</w:t>
      </w:r>
      <w:r w:rsidR="00EE2C07">
        <w:t xml:space="preserve"> O&amp;M</w:t>
      </w:r>
      <w:r w:rsidR="00857BBB">
        <w:t xml:space="preserve"> </w:t>
      </w:r>
      <w:r w:rsidR="00077C64">
        <w:t xml:space="preserve">non-executive and executive </w:t>
      </w:r>
      <w:r w:rsidR="00857BBB">
        <w:t>labor</w:t>
      </w:r>
      <w:r w:rsidR="00077C64">
        <w:t xml:space="preserve"> costs</w:t>
      </w:r>
      <w:r w:rsidR="00857BBB">
        <w:t>.</w:t>
      </w:r>
      <w:r w:rsidR="00373EBF">
        <w:t xml:space="preserve"> Going forward this adjustment will need to be reviewed to determine </w:t>
      </w:r>
      <w:r w:rsidR="001046EA">
        <w:t>whether</w:t>
      </w:r>
      <w:r w:rsidR="00373EBF">
        <w:t xml:space="preserve"> a </w:t>
      </w:r>
      <w:r w:rsidR="00373EBF" w:rsidRPr="00373EBF">
        <w:t xml:space="preserve">historical average </w:t>
      </w:r>
      <w:r w:rsidR="000467BB">
        <w:t xml:space="preserve">of </w:t>
      </w:r>
      <w:r w:rsidR="00373EBF" w:rsidRPr="00373EBF">
        <w:t>six-year percentage payout</w:t>
      </w:r>
      <w:r w:rsidR="000467BB">
        <w:t>s</w:t>
      </w:r>
      <w:r w:rsidR="004B34FD">
        <w:t xml:space="preserve"> provides a fair and re</w:t>
      </w:r>
      <w:r w:rsidR="00373EBF">
        <w:t>asonable result.</w:t>
      </w:r>
    </w:p>
    <w:p w14:paraId="1F811ECB" w14:textId="77777777" w:rsidR="00D70C8F" w:rsidRDefault="00D70C8F" w:rsidP="007868C3">
      <w:pPr>
        <w:spacing w:line="480" w:lineRule="auto"/>
        <w:ind w:left="720" w:hanging="720"/>
        <w:rPr>
          <w:b/>
        </w:rPr>
      </w:pPr>
    </w:p>
    <w:p w14:paraId="65AE9F30" w14:textId="64EC44CD" w:rsidR="00D70C8F" w:rsidRPr="00460E36" w:rsidRDefault="00D70C8F" w:rsidP="00D70C8F">
      <w:pPr>
        <w:spacing w:line="480" w:lineRule="auto"/>
        <w:rPr>
          <w:b/>
        </w:rPr>
      </w:pPr>
      <w:r w:rsidRPr="00460E36">
        <w:rPr>
          <w:b/>
        </w:rPr>
        <w:t>Q.</w:t>
      </w:r>
      <w:r w:rsidRPr="00460E36">
        <w:rPr>
          <w:b/>
        </w:rPr>
        <w:tab/>
        <w:t>Have you prepared an</w:t>
      </w:r>
      <w:r w:rsidR="00E46E5A">
        <w:rPr>
          <w:b/>
        </w:rPr>
        <w:t>y</w:t>
      </w:r>
      <w:r w:rsidRPr="00460E36">
        <w:rPr>
          <w:b/>
        </w:rPr>
        <w:t xml:space="preserve"> exhibit</w:t>
      </w:r>
      <w:r w:rsidR="00E46E5A">
        <w:rPr>
          <w:b/>
        </w:rPr>
        <w:t>s</w:t>
      </w:r>
      <w:r w:rsidRPr="00460E36">
        <w:rPr>
          <w:b/>
        </w:rPr>
        <w:t xml:space="preserve"> detailing Staff’s </w:t>
      </w:r>
      <w:r w:rsidR="00D023D4">
        <w:rPr>
          <w:b/>
        </w:rPr>
        <w:t>recommendation</w:t>
      </w:r>
      <w:r w:rsidRPr="00460E36">
        <w:rPr>
          <w:b/>
        </w:rPr>
        <w:t>?</w:t>
      </w:r>
    </w:p>
    <w:p w14:paraId="76859708" w14:textId="5C3516B4" w:rsidR="007F273B" w:rsidRDefault="00486B33" w:rsidP="00EE2C07">
      <w:pPr>
        <w:spacing w:line="480" w:lineRule="auto"/>
        <w:ind w:left="720" w:hanging="720"/>
      </w:pPr>
      <w:r>
        <w:t>A.</w:t>
      </w:r>
      <w:r>
        <w:tab/>
      </w:r>
      <w:r w:rsidR="00C8225D">
        <w:t xml:space="preserve">Yes, </w:t>
      </w:r>
      <w:r w:rsidR="00D023D4">
        <w:t>please refer to</w:t>
      </w:r>
      <w:r w:rsidR="00DE7DF9">
        <w:t xml:space="preserve"> the following.</w:t>
      </w:r>
      <w:r w:rsidR="00D023D4">
        <w:t xml:space="preserve"> </w:t>
      </w:r>
    </w:p>
    <w:p w14:paraId="40E4E8FC" w14:textId="518C5881" w:rsidR="00DE7DF9" w:rsidRDefault="00C8225D" w:rsidP="001462FB">
      <w:pPr>
        <w:pStyle w:val="ListParagraph"/>
        <w:numPr>
          <w:ilvl w:val="0"/>
          <w:numId w:val="56"/>
        </w:numPr>
        <w:spacing w:line="480" w:lineRule="auto"/>
        <w:ind w:left="1440"/>
      </w:pPr>
      <w:r w:rsidRPr="00C8225D">
        <w:lastRenderedPageBreak/>
        <w:t xml:space="preserve">Exhibit No. MC-2, Restate Incentive </w:t>
      </w:r>
      <w:r w:rsidR="006C7080">
        <w:t>Expense</w:t>
      </w:r>
      <w:r w:rsidR="00E36A9F">
        <w:t>s</w:t>
      </w:r>
      <w:r w:rsidR="006C7080">
        <w:t xml:space="preserve"> (Electric 2.16, Gas 2.14</w:t>
      </w:r>
      <w:r w:rsidRPr="00C8225D">
        <w:t>)</w:t>
      </w:r>
      <w:r w:rsidR="00CF006A">
        <w:t xml:space="preserve"> for Staff</w:t>
      </w:r>
      <w:r w:rsidR="00DE7DF9">
        <w:t>’s</w:t>
      </w:r>
      <w:r w:rsidR="00CF006A">
        <w:t xml:space="preserve"> </w:t>
      </w:r>
      <w:r w:rsidR="00C11DAF">
        <w:t xml:space="preserve">cumulative </w:t>
      </w:r>
      <w:r w:rsidR="00CF006A">
        <w:t>analysis</w:t>
      </w:r>
      <w:r w:rsidR="00DE7DF9">
        <w:t>.</w:t>
      </w:r>
    </w:p>
    <w:p w14:paraId="39466E6F" w14:textId="136FFCD2" w:rsidR="00DE7DF9" w:rsidRDefault="00EE2C07" w:rsidP="001462FB">
      <w:pPr>
        <w:pStyle w:val="ListParagraph"/>
        <w:numPr>
          <w:ilvl w:val="0"/>
          <w:numId w:val="56"/>
        </w:numPr>
        <w:spacing w:line="480" w:lineRule="auto"/>
        <w:ind w:left="1440"/>
      </w:pPr>
      <w:r>
        <w:t>Exhibit No. MC-3, Avista’s Initially Filed Restate Incentive Expenses (Electric 2.16, Gas 2.16)</w:t>
      </w:r>
      <w:r w:rsidR="00DE7DF9">
        <w:t>.</w:t>
      </w:r>
    </w:p>
    <w:p w14:paraId="40E4A228" w14:textId="06371517" w:rsidR="00DE7DF9" w:rsidRDefault="00EE2C07" w:rsidP="001462FB">
      <w:pPr>
        <w:pStyle w:val="ListParagraph"/>
        <w:numPr>
          <w:ilvl w:val="0"/>
          <w:numId w:val="56"/>
        </w:numPr>
        <w:spacing w:line="480" w:lineRule="auto"/>
        <w:ind w:left="1440"/>
      </w:pPr>
      <w:r>
        <w:t>Exhibit No. MC-4, Avista’s Updated Restate Incentive Expenses (Electric 2.16, Gas 2.16)</w:t>
      </w:r>
      <w:r w:rsidR="00927633" w:rsidRPr="00927633">
        <w:t xml:space="preserve"> (Avista’s 2nd Supplemental Response to UTC </w:t>
      </w:r>
      <w:r w:rsidR="002018EA">
        <w:t xml:space="preserve">Staff </w:t>
      </w:r>
      <w:r w:rsidR="00927633" w:rsidRPr="00927633">
        <w:t xml:space="preserve">Data Request </w:t>
      </w:r>
      <w:r w:rsidR="00927633">
        <w:t xml:space="preserve">No. </w:t>
      </w:r>
      <w:r w:rsidR="00927633" w:rsidRPr="00927633">
        <w:t>91)</w:t>
      </w:r>
      <w:r w:rsidR="00DE7DF9">
        <w:t>.</w:t>
      </w:r>
    </w:p>
    <w:p w14:paraId="024E28C0" w14:textId="17354F30" w:rsidR="00DE7DF9" w:rsidRDefault="00EE2C07" w:rsidP="001462FB">
      <w:pPr>
        <w:pStyle w:val="ListParagraph"/>
        <w:numPr>
          <w:ilvl w:val="0"/>
          <w:numId w:val="56"/>
        </w:numPr>
        <w:spacing w:line="480" w:lineRule="auto"/>
        <w:ind w:left="1440"/>
      </w:pPr>
      <w:r>
        <w:t xml:space="preserve">Exhibit No. MC-5, Avista’s Response to </w:t>
      </w:r>
      <w:r w:rsidR="00612705">
        <w:t>UTC Staff Data Request No.</w:t>
      </w:r>
      <w:r>
        <w:t xml:space="preserve"> 130</w:t>
      </w:r>
      <w:r w:rsidR="00DE7DF9">
        <w:t>.</w:t>
      </w:r>
    </w:p>
    <w:p w14:paraId="345D0CE4" w14:textId="6DAE2A0D" w:rsidR="00DE7DF9" w:rsidRDefault="00EE2C07" w:rsidP="001462FB">
      <w:pPr>
        <w:pStyle w:val="ListParagraph"/>
        <w:numPr>
          <w:ilvl w:val="0"/>
          <w:numId w:val="56"/>
        </w:numPr>
        <w:spacing w:line="480" w:lineRule="auto"/>
        <w:ind w:left="1440"/>
      </w:pPr>
      <w:r>
        <w:t xml:space="preserve">Exhibit No. MC-6, Avista’s Response to </w:t>
      </w:r>
      <w:r w:rsidR="00612705">
        <w:t>UTC Staff Data Request No.</w:t>
      </w:r>
      <w:r>
        <w:t xml:space="preserve"> 129</w:t>
      </w:r>
      <w:r w:rsidR="00DE7DF9">
        <w:t>.</w:t>
      </w:r>
    </w:p>
    <w:p w14:paraId="685D91D5" w14:textId="3E7280AE" w:rsidR="00DE7DF9" w:rsidRDefault="00EE2C07" w:rsidP="001462FB">
      <w:pPr>
        <w:pStyle w:val="ListParagraph"/>
        <w:numPr>
          <w:ilvl w:val="0"/>
          <w:numId w:val="56"/>
        </w:numPr>
        <w:spacing w:line="480" w:lineRule="auto"/>
        <w:ind w:left="1440"/>
      </w:pPr>
      <w:r>
        <w:t>Exhibit No. MC-7, Avista’s 2015 Incentive Plans</w:t>
      </w:r>
      <w:r w:rsidR="00DE7DF9">
        <w:t>.</w:t>
      </w:r>
    </w:p>
    <w:p w14:paraId="1B5F655F" w14:textId="64765C2C" w:rsidR="00D70C8F" w:rsidRPr="00486B33" w:rsidRDefault="00EE2C07" w:rsidP="001462FB">
      <w:pPr>
        <w:pStyle w:val="ListParagraph"/>
        <w:numPr>
          <w:ilvl w:val="0"/>
          <w:numId w:val="56"/>
        </w:numPr>
        <w:spacing w:line="480" w:lineRule="auto"/>
        <w:ind w:left="1440"/>
      </w:pPr>
      <w:r>
        <w:t xml:space="preserve">Exhibit No. MC-8, Avista’s Response to </w:t>
      </w:r>
      <w:r w:rsidR="0057643A">
        <w:t xml:space="preserve">UTC </w:t>
      </w:r>
      <w:r>
        <w:t>Staff Data Request</w:t>
      </w:r>
      <w:r w:rsidR="0057643A">
        <w:t xml:space="preserve"> No.</w:t>
      </w:r>
      <w:r>
        <w:t xml:space="preserve"> 102.</w:t>
      </w:r>
    </w:p>
    <w:p w14:paraId="5D1274EE" w14:textId="77777777" w:rsidR="007868C3" w:rsidRDefault="007868C3" w:rsidP="007868C3">
      <w:pPr>
        <w:keepNext/>
        <w:tabs>
          <w:tab w:val="left" w:pos="720"/>
          <w:tab w:val="left" w:pos="1440"/>
        </w:tabs>
        <w:spacing w:line="480" w:lineRule="auto"/>
        <w:outlineLvl w:val="1"/>
        <w:rPr>
          <w:rFonts w:eastAsia="Times New Roman"/>
          <w:b/>
          <w:bCs/>
        </w:rPr>
      </w:pPr>
    </w:p>
    <w:p w14:paraId="0D5F3A37" w14:textId="7EC3A07A" w:rsidR="00C51FDD" w:rsidRPr="00C126C5" w:rsidRDefault="00C51FDD" w:rsidP="00C05750">
      <w:pPr>
        <w:keepNext/>
        <w:numPr>
          <w:ilvl w:val="0"/>
          <w:numId w:val="33"/>
        </w:numPr>
        <w:spacing w:line="480" w:lineRule="auto"/>
        <w:ind w:left="1440" w:hanging="720"/>
        <w:outlineLvl w:val="1"/>
        <w:rPr>
          <w:rFonts w:eastAsia="Times New Roman"/>
          <w:b/>
          <w:bCs/>
          <w:caps/>
        </w:rPr>
      </w:pPr>
      <w:r w:rsidRPr="00C126C5">
        <w:rPr>
          <w:rFonts w:eastAsia="Times New Roman"/>
          <w:b/>
          <w:bCs/>
          <w:caps/>
        </w:rPr>
        <w:t>Pro Forma Adjustments</w:t>
      </w:r>
    </w:p>
    <w:p w14:paraId="1B01D9D1" w14:textId="77777777" w:rsidR="00C51FDD" w:rsidRDefault="00C51FDD" w:rsidP="007868C3">
      <w:pPr>
        <w:keepNext/>
        <w:tabs>
          <w:tab w:val="left" w:pos="720"/>
          <w:tab w:val="left" w:pos="1440"/>
        </w:tabs>
        <w:spacing w:line="480" w:lineRule="auto"/>
        <w:outlineLvl w:val="1"/>
        <w:rPr>
          <w:rFonts w:eastAsia="Times New Roman"/>
          <w:b/>
          <w:bCs/>
        </w:rPr>
      </w:pPr>
    </w:p>
    <w:p w14:paraId="021F13F1" w14:textId="7F3C1770" w:rsidR="00C51FDD" w:rsidRDefault="00C51FDD" w:rsidP="007868C3">
      <w:pPr>
        <w:keepNext/>
        <w:tabs>
          <w:tab w:val="left" w:pos="720"/>
          <w:tab w:val="left" w:pos="1440"/>
        </w:tabs>
        <w:spacing w:line="480" w:lineRule="auto"/>
        <w:outlineLvl w:val="1"/>
        <w:rPr>
          <w:rFonts w:eastAsia="Times New Roman"/>
          <w:b/>
          <w:bCs/>
        </w:rPr>
      </w:pPr>
      <w:r>
        <w:rPr>
          <w:rFonts w:eastAsia="Times New Roman"/>
          <w:b/>
          <w:bCs/>
        </w:rPr>
        <w:t>Q.</w:t>
      </w:r>
      <w:r>
        <w:rPr>
          <w:rFonts w:eastAsia="Times New Roman"/>
          <w:b/>
          <w:bCs/>
        </w:rPr>
        <w:tab/>
        <w:t xml:space="preserve">What is the Commission’s standard </w:t>
      </w:r>
      <w:r w:rsidR="00195B41">
        <w:rPr>
          <w:rFonts w:eastAsia="Times New Roman"/>
          <w:b/>
          <w:bCs/>
        </w:rPr>
        <w:t>practice for</w:t>
      </w:r>
      <w:r>
        <w:rPr>
          <w:rFonts w:eastAsia="Times New Roman"/>
          <w:b/>
          <w:bCs/>
        </w:rPr>
        <w:t xml:space="preserve"> pro forma adjustments?</w:t>
      </w:r>
    </w:p>
    <w:p w14:paraId="71C15AFA" w14:textId="0F205D05" w:rsidR="007E09C3" w:rsidRDefault="00C51FDD" w:rsidP="00615DDA">
      <w:pPr>
        <w:spacing w:line="480" w:lineRule="auto"/>
        <w:ind w:left="720" w:hanging="720"/>
      </w:pPr>
      <w:r w:rsidRPr="00C51FDD">
        <w:rPr>
          <w:rFonts w:eastAsia="Times New Roman"/>
          <w:bCs/>
        </w:rPr>
        <w:t>A.</w:t>
      </w:r>
      <w:r w:rsidRPr="00C51FDD">
        <w:rPr>
          <w:rFonts w:eastAsia="Times New Roman"/>
          <w:bCs/>
        </w:rPr>
        <w:tab/>
      </w:r>
      <w:r w:rsidR="003977EB">
        <w:rPr>
          <w:rFonts w:eastAsia="Times New Roman"/>
          <w:bCs/>
        </w:rPr>
        <w:t>Staff witness Ms. Huang addresses the Commission’s policy on pro forma adjustments in Exh</w:t>
      </w:r>
      <w:r w:rsidR="00F37DBA">
        <w:rPr>
          <w:rFonts w:eastAsia="Times New Roman"/>
          <w:bCs/>
        </w:rPr>
        <w:t>ibit</w:t>
      </w:r>
      <w:r w:rsidR="003977EB">
        <w:rPr>
          <w:rFonts w:eastAsia="Times New Roman"/>
          <w:bCs/>
        </w:rPr>
        <w:t xml:space="preserve"> JH-1T</w:t>
      </w:r>
      <w:r w:rsidR="00F37DBA">
        <w:rPr>
          <w:rFonts w:eastAsia="Times New Roman"/>
          <w:bCs/>
        </w:rPr>
        <w:t>, Sect</w:t>
      </w:r>
      <w:r w:rsidR="009638CE">
        <w:rPr>
          <w:rFonts w:eastAsia="Times New Roman"/>
          <w:bCs/>
        </w:rPr>
        <w:t>i</w:t>
      </w:r>
      <w:r w:rsidR="00F37DBA">
        <w:rPr>
          <w:rFonts w:eastAsia="Times New Roman"/>
          <w:bCs/>
        </w:rPr>
        <w:t>on IV.A</w:t>
      </w:r>
      <w:r w:rsidR="003977EB">
        <w:t>.</w:t>
      </w:r>
      <w:r w:rsidR="00B05E29">
        <w:t xml:space="preserve"> </w:t>
      </w:r>
      <w:r w:rsidR="00B061CD">
        <w:t xml:space="preserve">Pro forma </w:t>
      </w:r>
      <w:r w:rsidR="003977EB">
        <w:t>adjustments</w:t>
      </w:r>
      <w:r w:rsidR="00B05E29">
        <w:t xml:space="preserve"> </w:t>
      </w:r>
      <w:r w:rsidR="00B061CD">
        <w:t xml:space="preserve">of costs </w:t>
      </w:r>
      <w:r w:rsidR="00B05E29">
        <w:t>that are not offset by other factors</w:t>
      </w:r>
      <w:r w:rsidR="00E41A3C">
        <w:t xml:space="preserve"> must be </w:t>
      </w:r>
      <w:r w:rsidR="00B061CD">
        <w:t xml:space="preserve">known and measurable </w:t>
      </w:r>
      <w:r w:rsidR="00E41A3C">
        <w:t xml:space="preserve">and cannot </w:t>
      </w:r>
      <w:r w:rsidR="003977EB">
        <w:t>be mere estimates of future expenses.</w:t>
      </w:r>
      <w:r w:rsidR="00FD7ADA">
        <w:rPr>
          <w:rStyle w:val="FootnoteReference"/>
        </w:rPr>
        <w:footnoteReference w:id="24"/>
      </w:r>
      <w:r w:rsidR="007E09C3">
        <w:t xml:space="preserve"> </w:t>
      </w:r>
    </w:p>
    <w:p w14:paraId="475B7036" w14:textId="77777777" w:rsidR="004B017B" w:rsidRPr="004B017B" w:rsidRDefault="004B017B" w:rsidP="0016629E">
      <w:pPr>
        <w:keepNext/>
        <w:numPr>
          <w:ilvl w:val="0"/>
          <w:numId w:val="47"/>
        </w:numPr>
        <w:tabs>
          <w:tab w:val="left" w:pos="1440"/>
        </w:tabs>
        <w:spacing w:line="480" w:lineRule="auto"/>
        <w:ind w:left="1080" w:firstLine="0"/>
        <w:outlineLvl w:val="1"/>
        <w:rPr>
          <w:b/>
        </w:rPr>
      </w:pPr>
      <w:r w:rsidRPr="004B017B">
        <w:rPr>
          <w:rFonts w:eastAsia="Times New Roman"/>
          <w:b/>
          <w:bCs/>
        </w:rPr>
        <w:lastRenderedPageBreak/>
        <w:t>Pro Forma Employee Benefits (Electric 3.04, Gas 3.02)</w:t>
      </w:r>
    </w:p>
    <w:p w14:paraId="3B84B06E" w14:textId="1CB5BCB4" w:rsidR="004B017B" w:rsidRDefault="004B017B" w:rsidP="004B017B">
      <w:pPr>
        <w:keepNext/>
        <w:tabs>
          <w:tab w:val="left" w:pos="720"/>
          <w:tab w:val="left" w:pos="1440"/>
        </w:tabs>
        <w:spacing w:line="480" w:lineRule="auto"/>
        <w:outlineLvl w:val="1"/>
        <w:rPr>
          <w:b/>
        </w:rPr>
      </w:pPr>
    </w:p>
    <w:p w14:paraId="698F8EA3" w14:textId="469D36D6" w:rsidR="00B452B1" w:rsidRDefault="00B452B1" w:rsidP="00C05750">
      <w:pPr>
        <w:keepNext/>
        <w:tabs>
          <w:tab w:val="left" w:pos="720"/>
          <w:tab w:val="left" w:pos="1440"/>
        </w:tabs>
        <w:spacing w:line="480" w:lineRule="auto"/>
        <w:ind w:left="720" w:hanging="720"/>
        <w:outlineLvl w:val="1"/>
        <w:rPr>
          <w:b/>
        </w:rPr>
      </w:pPr>
      <w:r>
        <w:rPr>
          <w:b/>
        </w:rPr>
        <w:t>Q.</w:t>
      </w:r>
      <w:r>
        <w:rPr>
          <w:b/>
        </w:rPr>
        <w:tab/>
        <w:t xml:space="preserve">What is the basis of the Company’s proposed pro forma employee benefits adjustment </w:t>
      </w:r>
      <w:r w:rsidRPr="004B017B">
        <w:rPr>
          <w:rFonts w:eastAsia="Times New Roman"/>
          <w:b/>
          <w:bCs/>
        </w:rPr>
        <w:t>(Electric 3.04, Gas 3.02)</w:t>
      </w:r>
      <w:r>
        <w:rPr>
          <w:b/>
        </w:rPr>
        <w:t>?</w:t>
      </w:r>
    </w:p>
    <w:p w14:paraId="1A970746" w14:textId="16528F90" w:rsidR="00B452B1" w:rsidRPr="00B452B1" w:rsidRDefault="00B452B1" w:rsidP="00C05750">
      <w:pPr>
        <w:keepNext/>
        <w:tabs>
          <w:tab w:val="left" w:pos="720"/>
          <w:tab w:val="left" w:pos="1440"/>
        </w:tabs>
        <w:spacing w:line="480" w:lineRule="auto"/>
        <w:ind w:left="720" w:hanging="720"/>
        <w:outlineLvl w:val="1"/>
      </w:pPr>
      <w:r>
        <w:t>A.</w:t>
      </w:r>
      <w:r>
        <w:tab/>
        <w:t xml:space="preserve">The Company engaged </w:t>
      </w:r>
      <w:r w:rsidR="005F43BB">
        <w:t xml:space="preserve">a </w:t>
      </w:r>
      <w:r>
        <w:t xml:space="preserve">third-party firm </w:t>
      </w:r>
      <w:r w:rsidR="005415A8">
        <w:t>to</w:t>
      </w:r>
      <w:r>
        <w:t xml:space="preserve"> </w:t>
      </w:r>
      <w:r w:rsidR="0016629E">
        <w:t>provide an actu</w:t>
      </w:r>
      <w:r w:rsidR="00AB784A">
        <w:t>arial valu</w:t>
      </w:r>
      <w:r w:rsidR="00AE7919">
        <w:t xml:space="preserve">ation report </w:t>
      </w:r>
      <w:r w:rsidR="005415A8">
        <w:t xml:space="preserve">of Avista’s pension and post-employment benefits </w:t>
      </w:r>
      <w:r w:rsidR="00AE7919">
        <w:t>for</w:t>
      </w:r>
      <w:r w:rsidR="00AB784A">
        <w:t xml:space="preserve"> the</w:t>
      </w:r>
      <w:r w:rsidR="00AE7919">
        <w:t xml:space="preserve"> fiscal year ending December</w:t>
      </w:r>
      <w:r w:rsidR="003B5FCE">
        <w:t> </w:t>
      </w:r>
      <w:r w:rsidR="00AE7919">
        <w:t>31, 201</w:t>
      </w:r>
      <w:r w:rsidR="005375CB">
        <w:t>4</w:t>
      </w:r>
      <w:r w:rsidR="00AE7919">
        <w:t>, along with an estimated and for</w:t>
      </w:r>
      <w:r w:rsidR="00394BA3">
        <w:t>e</w:t>
      </w:r>
      <w:r w:rsidR="00AE7919">
        <w:t xml:space="preserve">casted summary of net periodic benefit costs and pension expense for </w:t>
      </w:r>
      <w:r w:rsidR="00704277">
        <w:t xml:space="preserve">years </w:t>
      </w:r>
      <w:r w:rsidR="00AE7919">
        <w:t>201</w:t>
      </w:r>
      <w:r w:rsidR="000F3F19">
        <w:t>5</w:t>
      </w:r>
      <w:r w:rsidR="00AE7919">
        <w:t xml:space="preserve"> through 20</w:t>
      </w:r>
      <w:r w:rsidR="000F3F19">
        <w:t>19</w:t>
      </w:r>
      <w:r>
        <w:t>.</w:t>
      </w:r>
    </w:p>
    <w:p w14:paraId="170EED30" w14:textId="77777777" w:rsidR="00B452B1" w:rsidRPr="004B017B" w:rsidRDefault="00B452B1" w:rsidP="004B017B">
      <w:pPr>
        <w:keepNext/>
        <w:tabs>
          <w:tab w:val="left" w:pos="720"/>
          <w:tab w:val="left" w:pos="1440"/>
        </w:tabs>
        <w:spacing w:line="480" w:lineRule="auto"/>
        <w:outlineLvl w:val="1"/>
        <w:rPr>
          <w:b/>
        </w:rPr>
      </w:pPr>
    </w:p>
    <w:p w14:paraId="268F3838" w14:textId="2BEDBE07" w:rsidR="004B017B" w:rsidRPr="004B017B" w:rsidRDefault="004B017B" w:rsidP="00CE0F41">
      <w:pPr>
        <w:keepNext/>
        <w:tabs>
          <w:tab w:val="left" w:pos="720"/>
          <w:tab w:val="left" w:pos="1440"/>
        </w:tabs>
        <w:spacing w:line="480" w:lineRule="auto"/>
        <w:ind w:left="720" w:hanging="720"/>
        <w:outlineLvl w:val="1"/>
        <w:rPr>
          <w:b/>
        </w:rPr>
      </w:pPr>
      <w:r w:rsidRPr="004B017B">
        <w:rPr>
          <w:b/>
        </w:rPr>
        <w:t>Q.</w:t>
      </w:r>
      <w:r w:rsidRPr="004B017B">
        <w:rPr>
          <w:b/>
        </w:rPr>
        <w:tab/>
        <w:t xml:space="preserve">Please summarize the Company’s </w:t>
      </w:r>
      <w:r w:rsidR="00B452B1">
        <w:rPr>
          <w:b/>
        </w:rPr>
        <w:t xml:space="preserve">proposed pro forma employee benefits </w:t>
      </w:r>
      <w:r w:rsidRPr="004B017B">
        <w:rPr>
          <w:b/>
        </w:rPr>
        <w:t>adjustment</w:t>
      </w:r>
      <w:r w:rsidR="00B452B1">
        <w:rPr>
          <w:b/>
        </w:rPr>
        <w:t xml:space="preserve"> </w:t>
      </w:r>
      <w:r w:rsidR="00B452B1" w:rsidRPr="004B017B">
        <w:rPr>
          <w:rFonts w:eastAsia="Times New Roman"/>
          <w:b/>
          <w:bCs/>
        </w:rPr>
        <w:t>(Electric 3.04, Gas 3.02)</w:t>
      </w:r>
      <w:r w:rsidRPr="004B017B">
        <w:rPr>
          <w:b/>
        </w:rPr>
        <w:t>.</w:t>
      </w:r>
    </w:p>
    <w:p w14:paraId="5F6C907D" w14:textId="249E0411" w:rsidR="004B017B" w:rsidRDefault="004B017B" w:rsidP="004B017B">
      <w:pPr>
        <w:keepNext/>
        <w:tabs>
          <w:tab w:val="left" w:pos="720"/>
          <w:tab w:val="left" w:pos="1440"/>
        </w:tabs>
        <w:spacing w:line="480" w:lineRule="auto"/>
        <w:ind w:left="720" w:hanging="720"/>
        <w:outlineLvl w:val="1"/>
        <w:rPr>
          <w:rFonts w:eastAsia="Times New Roman"/>
          <w:bCs/>
        </w:rPr>
      </w:pPr>
      <w:r>
        <w:rPr>
          <w:rFonts w:eastAsia="Times New Roman"/>
          <w:bCs/>
        </w:rPr>
        <w:t>A.</w:t>
      </w:r>
      <w:r>
        <w:rPr>
          <w:rFonts w:eastAsia="Times New Roman"/>
          <w:bCs/>
        </w:rPr>
        <w:tab/>
      </w:r>
      <w:r w:rsidR="00F13118">
        <w:rPr>
          <w:rFonts w:eastAsia="Times New Roman"/>
          <w:bCs/>
        </w:rPr>
        <w:t xml:space="preserve">Avista </w:t>
      </w:r>
      <w:r w:rsidR="005375CB">
        <w:rPr>
          <w:rFonts w:eastAsia="Times New Roman"/>
          <w:bCs/>
        </w:rPr>
        <w:t xml:space="preserve">initially </w:t>
      </w:r>
      <w:r w:rsidR="00F13118">
        <w:rPr>
          <w:rFonts w:eastAsia="Times New Roman"/>
          <w:bCs/>
        </w:rPr>
        <w:t>propose</w:t>
      </w:r>
      <w:r w:rsidR="005375CB">
        <w:rPr>
          <w:rFonts w:eastAsia="Times New Roman"/>
          <w:bCs/>
        </w:rPr>
        <w:t>d</w:t>
      </w:r>
      <w:r w:rsidR="00F13118">
        <w:rPr>
          <w:rFonts w:eastAsia="Times New Roman"/>
          <w:bCs/>
        </w:rPr>
        <w:t xml:space="preserve"> to </w:t>
      </w:r>
      <w:r w:rsidR="00A13CD0">
        <w:rPr>
          <w:rFonts w:eastAsia="Times New Roman"/>
          <w:bCs/>
        </w:rPr>
        <w:t xml:space="preserve">adjust test period retirement and medical benefits to reflect </w:t>
      </w:r>
      <w:r w:rsidR="00AE7919">
        <w:rPr>
          <w:rFonts w:eastAsia="Times New Roman"/>
          <w:bCs/>
        </w:rPr>
        <w:t xml:space="preserve">estimated and forecasted cost </w:t>
      </w:r>
      <w:r w:rsidR="00B51F73">
        <w:rPr>
          <w:rFonts w:eastAsia="Times New Roman"/>
          <w:bCs/>
        </w:rPr>
        <w:t xml:space="preserve">increases </w:t>
      </w:r>
      <w:r w:rsidR="00B452B1">
        <w:rPr>
          <w:rFonts w:eastAsia="Times New Roman"/>
          <w:bCs/>
        </w:rPr>
        <w:t>determined by an</w:t>
      </w:r>
      <w:r w:rsidR="00640BF0">
        <w:rPr>
          <w:rFonts w:eastAsia="Times New Roman"/>
          <w:bCs/>
        </w:rPr>
        <w:t xml:space="preserve"> actuary analysis provided by third-</w:t>
      </w:r>
      <w:r w:rsidR="00A13CD0">
        <w:rPr>
          <w:rFonts w:eastAsia="Times New Roman"/>
          <w:bCs/>
        </w:rPr>
        <w:t xml:space="preserve">party firms. </w:t>
      </w:r>
      <w:r w:rsidR="000A44E2">
        <w:rPr>
          <w:rFonts w:eastAsia="Times New Roman"/>
          <w:bCs/>
        </w:rPr>
        <w:t>The</w:t>
      </w:r>
      <w:r>
        <w:rPr>
          <w:rFonts w:eastAsia="Times New Roman"/>
          <w:bCs/>
        </w:rPr>
        <w:t xml:space="preserve"> approximate impact </w:t>
      </w:r>
      <w:r w:rsidR="00A13CD0">
        <w:rPr>
          <w:rFonts w:eastAsia="Times New Roman"/>
          <w:bCs/>
        </w:rPr>
        <w:t>decreases</w:t>
      </w:r>
      <w:r>
        <w:rPr>
          <w:rFonts w:eastAsia="Times New Roman"/>
          <w:bCs/>
        </w:rPr>
        <w:t xml:space="preserve"> electric net operating income by $</w:t>
      </w:r>
      <w:r w:rsidR="00A13CD0">
        <w:rPr>
          <w:rFonts w:eastAsia="Times New Roman"/>
          <w:bCs/>
        </w:rPr>
        <w:t>750,000</w:t>
      </w:r>
      <w:r>
        <w:rPr>
          <w:rFonts w:eastAsia="Times New Roman"/>
          <w:bCs/>
        </w:rPr>
        <w:t xml:space="preserve"> and </w:t>
      </w:r>
      <w:r w:rsidR="00B452B1">
        <w:rPr>
          <w:rFonts w:eastAsia="Times New Roman"/>
          <w:bCs/>
        </w:rPr>
        <w:t xml:space="preserve">has </w:t>
      </w:r>
      <w:r w:rsidR="00A13CD0">
        <w:rPr>
          <w:rFonts w:eastAsia="Times New Roman"/>
          <w:bCs/>
        </w:rPr>
        <w:t>zero effect on rate base</w:t>
      </w:r>
      <w:r>
        <w:rPr>
          <w:rFonts w:eastAsia="Times New Roman"/>
          <w:bCs/>
        </w:rPr>
        <w:t xml:space="preserve">. Additionally, the approximate impact </w:t>
      </w:r>
      <w:r w:rsidR="00A13CD0">
        <w:rPr>
          <w:rFonts w:eastAsia="Times New Roman"/>
          <w:bCs/>
        </w:rPr>
        <w:t>decreases</w:t>
      </w:r>
      <w:r>
        <w:rPr>
          <w:rFonts w:eastAsia="Times New Roman"/>
          <w:bCs/>
        </w:rPr>
        <w:t xml:space="preserve"> gas net operating income by $</w:t>
      </w:r>
      <w:r w:rsidR="00A13CD0">
        <w:rPr>
          <w:rFonts w:eastAsia="Times New Roman"/>
          <w:bCs/>
        </w:rPr>
        <w:t>224,000</w:t>
      </w:r>
      <w:r>
        <w:rPr>
          <w:rFonts w:eastAsia="Times New Roman"/>
          <w:bCs/>
        </w:rPr>
        <w:t xml:space="preserve"> and </w:t>
      </w:r>
      <w:r w:rsidR="00B452B1">
        <w:rPr>
          <w:rFonts w:eastAsia="Times New Roman"/>
          <w:bCs/>
        </w:rPr>
        <w:t xml:space="preserve">has </w:t>
      </w:r>
      <w:r w:rsidR="00A13CD0">
        <w:rPr>
          <w:rFonts w:eastAsia="Times New Roman"/>
          <w:bCs/>
        </w:rPr>
        <w:t>zero impact on rate base</w:t>
      </w:r>
      <w:r>
        <w:rPr>
          <w:rFonts w:eastAsia="Times New Roman"/>
          <w:bCs/>
        </w:rPr>
        <w:t>.</w:t>
      </w:r>
    </w:p>
    <w:p w14:paraId="62EFE493" w14:textId="77777777" w:rsidR="004B017B" w:rsidRDefault="004B017B" w:rsidP="004B017B">
      <w:pPr>
        <w:keepNext/>
        <w:tabs>
          <w:tab w:val="left" w:pos="720"/>
          <w:tab w:val="left" w:pos="1440"/>
        </w:tabs>
        <w:spacing w:line="480" w:lineRule="auto"/>
        <w:outlineLvl w:val="1"/>
        <w:rPr>
          <w:rFonts w:eastAsia="Times New Roman"/>
          <w:bCs/>
        </w:rPr>
      </w:pPr>
    </w:p>
    <w:p w14:paraId="2820BB16" w14:textId="1F32109D" w:rsidR="004B017B" w:rsidRDefault="004B017B" w:rsidP="004B017B">
      <w:pPr>
        <w:spacing w:line="480" w:lineRule="auto"/>
        <w:rPr>
          <w:b/>
        </w:rPr>
      </w:pPr>
      <w:r w:rsidRPr="00460E36">
        <w:rPr>
          <w:b/>
        </w:rPr>
        <w:t>Q.</w:t>
      </w:r>
      <w:r w:rsidRPr="00460E36">
        <w:rPr>
          <w:b/>
        </w:rPr>
        <w:tab/>
      </w:r>
      <w:r w:rsidR="00B452B1">
        <w:rPr>
          <w:b/>
        </w:rPr>
        <w:t>W</w:t>
      </w:r>
      <w:r w:rsidRPr="00460E36">
        <w:rPr>
          <w:b/>
        </w:rPr>
        <w:t xml:space="preserve">hy </w:t>
      </w:r>
      <w:r w:rsidR="00B452B1">
        <w:rPr>
          <w:b/>
        </w:rPr>
        <w:t xml:space="preserve">is </w:t>
      </w:r>
      <w:r w:rsidRPr="00460E36">
        <w:rPr>
          <w:b/>
        </w:rPr>
        <w:t>Staff contesting</w:t>
      </w:r>
      <w:r>
        <w:rPr>
          <w:b/>
        </w:rPr>
        <w:t xml:space="preserve"> this adjustment?</w:t>
      </w:r>
    </w:p>
    <w:p w14:paraId="69F7BCB4" w14:textId="0125E9F7" w:rsidR="00C1005E" w:rsidRDefault="004B017B" w:rsidP="00AE7919">
      <w:pPr>
        <w:spacing w:line="480" w:lineRule="auto"/>
        <w:ind w:left="720" w:hanging="720"/>
      </w:pPr>
      <w:r>
        <w:t>A.</w:t>
      </w:r>
      <w:r>
        <w:tab/>
      </w:r>
      <w:r w:rsidR="00AE7919">
        <w:t>Staff is conte</w:t>
      </w:r>
      <w:r w:rsidR="00CE0F41">
        <w:t>s</w:t>
      </w:r>
      <w:r w:rsidR="00AE7919">
        <w:t xml:space="preserve">ting this adjustment because the </w:t>
      </w:r>
      <w:r w:rsidR="00AE7919" w:rsidRPr="00AE7919">
        <w:t>estimated and forecasted costs determined by an actuary analysis provided by third-party firms</w:t>
      </w:r>
      <w:r w:rsidR="00AE7919">
        <w:t xml:space="preserve"> are not known and measurable.</w:t>
      </w:r>
      <w:r w:rsidR="00CE0F41">
        <w:t xml:space="preserve"> This adjustment should be based on known and measurable data, which the Company has for calendar year 2015</w:t>
      </w:r>
      <w:r w:rsidR="00AE7919">
        <w:t>.</w:t>
      </w:r>
    </w:p>
    <w:p w14:paraId="5771F979" w14:textId="77777777" w:rsidR="002B54C7" w:rsidRDefault="002B54C7" w:rsidP="002B54C7">
      <w:pPr>
        <w:spacing w:line="480" w:lineRule="auto"/>
        <w:ind w:left="720" w:hanging="720"/>
        <w:rPr>
          <w:b/>
        </w:rPr>
      </w:pPr>
      <w:r>
        <w:rPr>
          <w:b/>
        </w:rPr>
        <w:lastRenderedPageBreak/>
        <w:t>Q.</w:t>
      </w:r>
      <w:r>
        <w:rPr>
          <w:b/>
        </w:rPr>
        <w:tab/>
        <w:t>Has Avista provided Staff with any additional information relevant to this adjustment?</w:t>
      </w:r>
    </w:p>
    <w:p w14:paraId="6DA6BAD8" w14:textId="0947BC68" w:rsidR="002B54C7" w:rsidRDefault="002B54C7" w:rsidP="002B54C7">
      <w:pPr>
        <w:spacing w:line="480" w:lineRule="auto"/>
        <w:ind w:left="720" w:hanging="720"/>
      </w:pPr>
      <w:r>
        <w:t>A.</w:t>
      </w:r>
      <w:r>
        <w:tab/>
        <w:t xml:space="preserve">Yes. </w:t>
      </w:r>
      <w:r w:rsidR="00F669AE">
        <w:t xml:space="preserve">In response to </w:t>
      </w:r>
      <w:r w:rsidR="00A24C4F">
        <w:t xml:space="preserve">UTC </w:t>
      </w:r>
      <w:r w:rsidR="00F669AE">
        <w:t xml:space="preserve">Staff </w:t>
      </w:r>
      <w:r w:rsidR="00CD29D1">
        <w:t>D</w:t>
      </w:r>
      <w:r w:rsidR="00F669AE">
        <w:t xml:space="preserve">ata </w:t>
      </w:r>
      <w:r w:rsidR="00A24C4F">
        <w:t>R</w:t>
      </w:r>
      <w:r w:rsidR="00F669AE">
        <w:t xml:space="preserve">equest </w:t>
      </w:r>
      <w:r w:rsidR="00A24C4F">
        <w:t>No.</w:t>
      </w:r>
      <w:r w:rsidR="00F669AE">
        <w:t xml:space="preserve"> 80, Avista provided its </w:t>
      </w:r>
      <w:r>
        <w:t>most recent actuarial valuation</w:t>
      </w:r>
      <w:r w:rsidR="00F669AE">
        <w:t xml:space="preserve"> report regarding</w:t>
      </w:r>
      <w:r w:rsidRPr="002B54C7">
        <w:t xml:space="preserve"> pension and post-employment benefits for the fisc</w:t>
      </w:r>
      <w:r w:rsidR="00F669AE">
        <w:t>al year ending December 31, 201</w:t>
      </w:r>
      <w:r w:rsidRPr="002B54C7">
        <w:t>5, along with an estimated and for</w:t>
      </w:r>
      <w:r w:rsidR="00A24C4F">
        <w:t>e</w:t>
      </w:r>
      <w:r w:rsidRPr="002B54C7">
        <w:t>casted summary of net periodic benefit costs and</w:t>
      </w:r>
      <w:r>
        <w:t xml:space="preserve"> pension expense for years 2016 through 20</w:t>
      </w:r>
      <w:r w:rsidRPr="002B54C7">
        <w:t>20</w:t>
      </w:r>
      <w:r>
        <w:t>.</w:t>
      </w:r>
      <w:r w:rsidR="00F669AE">
        <w:t xml:space="preserve"> </w:t>
      </w:r>
      <w:r w:rsidR="00CD29D1" w:rsidDel="00A24C4F">
        <w:t>The</w:t>
      </w:r>
      <w:r w:rsidR="00A24C4F">
        <w:t xml:space="preserve"> Company updated its pro forma employee b</w:t>
      </w:r>
      <w:r w:rsidR="00A24C4F" w:rsidRPr="002B54C7">
        <w:t>enefits</w:t>
      </w:r>
      <w:r w:rsidR="00A24C4F">
        <w:t xml:space="preserve"> adjustment in response to UTC Staff </w:t>
      </w:r>
      <w:r w:rsidR="00CD29D1">
        <w:t>D</w:t>
      </w:r>
      <w:r w:rsidR="00CD29D1" w:rsidDel="00A24C4F">
        <w:t xml:space="preserve">ata </w:t>
      </w:r>
      <w:r w:rsidR="00CD29D1">
        <w:t>R</w:t>
      </w:r>
      <w:r w:rsidR="00CD29D1" w:rsidDel="00A24C4F">
        <w:t xml:space="preserve">equest </w:t>
      </w:r>
      <w:r w:rsidR="00CD29D1">
        <w:t xml:space="preserve">No. </w:t>
      </w:r>
      <w:r w:rsidR="00A24C4F">
        <w:t xml:space="preserve">91. </w:t>
      </w:r>
      <w:r w:rsidR="00F669AE">
        <w:t xml:space="preserve">Avista’s updated adjustment reflects </w:t>
      </w:r>
      <w:r w:rsidR="00FA1898">
        <w:t xml:space="preserve">the most recent </w:t>
      </w:r>
      <w:r w:rsidR="00F669AE">
        <w:t>estimat</w:t>
      </w:r>
      <w:r w:rsidR="00CD29D1">
        <w:t>ions</w:t>
      </w:r>
      <w:r w:rsidR="00A24C4F">
        <w:t xml:space="preserve"> and forecasts for 2017,</w:t>
      </w:r>
      <w:r w:rsidR="00F669AE">
        <w:t xml:space="preserve"> summar</w:t>
      </w:r>
      <w:r w:rsidR="00A24C4F">
        <w:t>izing</w:t>
      </w:r>
      <w:r w:rsidR="00F669AE" w:rsidRPr="00F669AE">
        <w:t xml:space="preserve"> net periodic benefit costs and pension expense for </w:t>
      </w:r>
      <w:r w:rsidR="00A24C4F">
        <w:t xml:space="preserve">that </w:t>
      </w:r>
      <w:r w:rsidR="00F669AE" w:rsidRPr="00F669AE">
        <w:t>year</w:t>
      </w:r>
      <w:r w:rsidR="00F669AE">
        <w:t>.</w:t>
      </w:r>
    </w:p>
    <w:p w14:paraId="169A4763" w14:textId="68529E90" w:rsidR="004B017B" w:rsidRPr="00AF7C21" w:rsidRDefault="004B017B" w:rsidP="005375CB">
      <w:pPr>
        <w:tabs>
          <w:tab w:val="left" w:pos="7920"/>
        </w:tabs>
        <w:spacing w:line="480" w:lineRule="auto"/>
        <w:ind w:left="720" w:hanging="720"/>
      </w:pPr>
    </w:p>
    <w:p w14:paraId="37B164DA" w14:textId="707106CF" w:rsidR="004B017B" w:rsidRDefault="004B017B" w:rsidP="004B017B">
      <w:pPr>
        <w:spacing w:line="480" w:lineRule="auto"/>
        <w:ind w:left="720" w:hanging="720"/>
        <w:rPr>
          <w:b/>
        </w:rPr>
      </w:pPr>
      <w:r>
        <w:rPr>
          <w:b/>
        </w:rPr>
        <w:t>Q.</w:t>
      </w:r>
      <w:r>
        <w:rPr>
          <w:b/>
        </w:rPr>
        <w:tab/>
        <w:t>Please summarize Staff’s recommendation for</w:t>
      </w:r>
      <w:r w:rsidRPr="00486B33">
        <w:t xml:space="preserve"> </w:t>
      </w:r>
      <w:r w:rsidR="00F13118" w:rsidRPr="00F13118">
        <w:rPr>
          <w:b/>
        </w:rPr>
        <w:t>Pro Forma Employee Benefits (Electric 3.04, Gas 3.02)</w:t>
      </w:r>
      <w:r>
        <w:rPr>
          <w:b/>
        </w:rPr>
        <w:t>.</w:t>
      </w:r>
    </w:p>
    <w:p w14:paraId="2B76C867" w14:textId="7792E0DA" w:rsidR="004B017B" w:rsidRDefault="004B017B" w:rsidP="004B017B">
      <w:pPr>
        <w:keepNext/>
        <w:tabs>
          <w:tab w:val="left" w:pos="720"/>
          <w:tab w:val="left" w:pos="1440"/>
        </w:tabs>
        <w:spacing w:line="480" w:lineRule="auto"/>
        <w:ind w:left="720" w:hanging="720"/>
        <w:outlineLvl w:val="1"/>
        <w:rPr>
          <w:rFonts w:eastAsia="Times New Roman"/>
          <w:bCs/>
        </w:rPr>
      </w:pPr>
      <w:r>
        <w:rPr>
          <w:rFonts w:eastAsia="Times New Roman"/>
          <w:bCs/>
        </w:rPr>
        <w:t>A.</w:t>
      </w:r>
      <w:r>
        <w:rPr>
          <w:rFonts w:eastAsia="Times New Roman"/>
          <w:bCs/>
        </w:rPr>
        <w:tab/>
      </w:r>
      <w:r w:rsidR="00411016">
        <w:rPr>
          <w:rFonts w:eastAsia="Times New Roman"/>
          <w:bCs/>
        </w:rPr>
        <w:t>Staff recommends</w:t>
      </w:r>
      <w:r w:rsidR="00F13118">
        <w:rPr>
          <w:rFonts w:eastAsia="Times New Roman"/>
          <w:bCs/>
        </w:rPr>
        <w:t xml:space="preserve"> </w:t>
      </w:r>
      <w:r w:rsidR="00704277">
        <w:rPr>
          <w:rFonts w:eastAsia="Times New Roman"/>
          <w:bCs/>
        </w:rPr>
        <w:t>using retirement and medical benefit expenses recorded in calendar year 2015</w:t>
      </w:r>
      <w:r w:rsidR="00A24C4F">
        <w:rPr>
          <w:rFonts w:eastAsia="Times New Roman"/>
          <w:bCs/>
        </w:rPr>
        <w:t>, not estimations for 2017,</w:t>
      </w:r>
      <w:r w:rsidR="00704277">
        <w:rPr>
          <w:rFonts w:eastAsia="Times New Roman"/>
          <w:bCs/>
        </w:rPr>
        <w:t xml:space="preserve"> to update those in the</w:t>
      </w:r>
      <w:r w:rsidR="007E7333">
        <w:rPr>
          <w:rFonts w:eastAsia="Times New Roman"/>
          <w:bCs/>
        </w:rPr>
        <w:t xml:space="preserve"> test period</w:t>
      </w:r>
      <w:r w:rsidR="00D519F9">
        <w:rPr>
          <w:rFonts w:eastAsia="Times New Roman"/>
          <w:bCs/>
        </w:rPr>
        <w:t>.</w:t>
      </w:r>
      <w:r w:rsidRPr="000D6790">
        <w:rPr>
          <w:rFonts w:eastAsia="Times New Roman"/>
          <w:bCs/>
        </w:rPr>
        <w:t xml:space="preserve"> The approximate impact </w:t>
      </w:r>
      <w:r w:rsidR="00D519F9">
        <w:rPr>
          <w:rFonts w:eastAsia="Times New Roman"/>
          <w:bCs/>
        </w:rPr>
        <w:t>decreases</w:t>
      </w:r>
      <w:r w:rsidRPr="000D6790">
        <w:rPr>
          <w:rFonts w:eastAsia="Times New Roman"/>
          <w:bCs/>
        </w:rPr>
        <w:t xml:space="preserve"> </w:t>
      </w:r>
      <w:r>
        <w:rPr>
          <w:rFonts w:eastAsia="Times New Roman"/>
          <w:bCs/>
        </w:rPr>
        <w:t>electric</w:t>
      </w:r>
      <w:r w:rsidRPr="000D6790">
        <w:rPr>
          <w:rFonts w:eastAsia="Times New Roman"/>
          <w:bCs/>
        </w:rPr>
        <w:t xml:space="preserve"> net operating income</w:t>
      </w:r>
      <w:r>
        <w:rPr>
          <w:rFonts w:eastAsia="Times New Roman"/>
          <w:bCs/>
        </w:rPr>
        <w:t xml:space="preserve"> by</w:t>
      </w:r>
      <w:r w:rsidRPr="000D6790">
        <w:rPr>
          <w:rFonts w:eastAsia="Times New Roman"/>
          <w:bCs/>
        </w:rPr>
        <w:t xml:space="preserve"> $</w:t>
      </w:r>
      <w:r w:rsidR="0038004E">
        <w:rPr>
          <w:rFonts w:eastAsia="Times New Roman"/>
          <w:bCs/>
        </w:rPr>
        <w:t>871</w:t>
      </w:r>
      <w:r w:rsidR="00D519F9">
        <w:rPr>
          <w:rFonts w:eastAsia="Times New Roman"/>
          <w:bCs/>
        </w:rPr>
        <w:t xml:space="preserve">,000 </w:t>
      </w:r>
      <w:r w:rsidRPr="000D6790">
        <w:rPr>
          <w:rFonts w:eastAsia="Times New Roman"/>
          <w:bCs/>
        </w:rPr>
        <w:t xml:space="preserve">and </w:t>
      </w:r>
      <w:r w:rsidR="000848CF">
        <w:rPr>
          <w:rFonts w:eastAsia="Times New Roman"/>
          <w:bCs/>
        </w:rPr>
        <w:t xml:space="preserve">has </w:t>
      </w:r>
      <w:r w:rsidR="00D519F9">
        <w:rPr>
          <w:rFonts w:eastAsia="Times New Roman"/>
          <w:bCs/>
        </w:rPr>
        <w:t>zero effect on rate base.</w:t>
      </w:r>
      <w:r>
        <w:rPr>
          <w:rFonts w:eastAsia="Times New Roman"/>
          <w:bCs/>
        </w:rPr>
        <w:t xml:space="preserve"> Additionally, </w:t>
      </w:r>
      <w:r w:rsidR="00D519F9">
        <w:rPr>
          <w:rFonts w:eastAsia="Times New Roman"/>
          <w:bCs/>
        </w:rPr>
        <w:t>the</w:t>
      </w:r>
      <w:r w:rsidRPr="00A55811">
        <w:rPr>
          <w:rFonts w:eastAsia="Times New Roman"/>
          <w:bCs/>
        </w:rPr>
        <w:t xml:space="preserve"> approximate impact decreases </w:t>
      </w:r>
      <w:r>
        <w:rPr>
          <w:rFonts w:eastAsia="Times New Roman"/>
          <w:bCs/>
        </w:rPr>
        <w:t>gas</w:t>
      </w:r>
      <w:r w:rsidRPr="00A55811">
        <w:rPr>
          <w:rFonts w:eastAsia="Times New Roman"/>
          <w:bCs/>
        </w:rPr>
        <w:t xml:space="preserve"> net operating income </w:t>
      </w:r>
      <w:r>
        <w:rPr>
          <w:rFonts w:eastAsia="Times New Roman"/>
          <w:bCs/>
        </w:rPr>
        <w:t xml:space="preserve">by </w:t>
      </w:r>
      <w:r w:rsidRPr="00A55811">
        <w:rPr>
          <w:rFonts w:eastAsia="Times New Roman"/>
          <w:bCs/>
        </w:rPr>
        <w:t>$</w:t>
      </w:r>
      <w:r w:rsidR="0038004E">
        <w:rPr>
          <w:rFonts w:eastAsia="Times New Roman"/>
          <w:bCs/>
        </w:rPr>
        <w:t>259</w:t>
      </w:r>
      <w:r w:rsidR="00D519F9">
        <w:rPr>
          <w:rFonts w:eastAsia="Times New Roman"/>
          <w:bCs/>
        </w:rPr>
        <w:t>,000</w:t>
      </w:r>
      <w:r w:rsidRPr="00A55811">
        <w:rPr>
          <w:rFonts w:eastAsia="Times New Roman"/>
          <w:bCs/>
        </w:rPr>
        <w:t xml:space="preserve"> and </w:t>
      </w:r>
      <w:r w:rsidR="000848CF">
        <w:rPr>
          <w:rFonts w:eastAsia="Times New Roman"/>
          <w:bCs/>
        </w:rPr>
        <w:t xml:space="preserve">has </w:t>
      </w:r>
      <w:r w:rsidR="00D519F9">
        <w:rPr>
          <w:rFonts w:eastAsia="Times New Roman"/>
          <w:bCs/>
        </w:rPr>
        <w:t>zero effect on rate base</w:t>
      </w:r>
      <w:r w:rsidRPr="00A55811">
        <w:rPr>
          <w:rFonts w:eastAsia="Times New Roman"/>
          <w:bCs/>
        </w:rPr>
        <w:t>.</w:t>
      </w:r>
    </w:p>
    <w:p w14:paraId="06F2DCA8" w14:textId="77777777" w:rsidR="004B017B" w:rsidRPr="000D34EC" w:rsidRDefault="004B017B" w:rsidP="004B017B">
      <w:pPr>
        <w:keepNext/>
        <w:tabs>
          <w:tab w:val="left" w:pos="720"/>
          <w:tab w:val="left" w:pos="1440"/>
        </w:tabs>
        <w:spacing w:line="480" w:lineRule="auto"/>
        <w:outlineLvl w:val="1"/>
        <w:rPr>
          <w:rFonts w:eastAsia="Times New Roman"/>
          <w:bCs/>
        </w:rPr>
      </w:pPr>
    </w:p>
    <w:p w14:paraId="2E07C637" w14:textId="38A3CAFB" w:rsidR="004B017B" w:rsidRDefault="004B017B" w:rsidP="004B017B">
      <w:pPr>
        <w:keepNext/>
        <w:tabs>
          <w:tab w:val="left" w:pos="720"/>
          <w:tab w:val="left" w:pos="1440"/>
        </w:tabs>
        <w:spacing w:line="480" w:lineRule="auto"/>
        <w:outlineLvl w:val="1"/>
        <w:rPr>
          <w:b/>
        </w:rPr>
      </w:pPr>
      <w:r w:rsidRPr="00460E36">
        <w:rPr>
          <w:b/>
        </w:rPr>
        <w:t>Q.</w:t>
      </w:r>
      <w:r w:rsidRPr="00460E36">
        <w:rPr>
          <w:b/>
        </w:rPr>
        <w:tab/>
        <w:t>What</w:t>
      </w:r>
      <w:r>
        <w:rPr>
          <w:b/>
        </w:rPr>
        <w:t xml:space="preserve"> information </w:t>
      </w:r>
      <w:r w:rsidR="00D0649F">
        <w:rPr>
          <w:b/>
        </w:rPr>
        <w:t>forms</w:t>
      </w:r>
      <w:r w:rsidR="00431DF3">
        <w:rPr>
          <w:b/>
        </w:rPr>
        <w:t xml:space="preserve"> the basi</w:t>
      </w:r>
      <w:r>
        <w:rPr>
          <w:b/>
        </w:rPr>
        <w:t>s of your recommendation?</w:t>
      </w:r>
    </w:p>
    <w:p w14:paraId="7B4BF3C2" w14:textId="70147512" w:rsidR="004B017B" w:rsidRDefault="004B017B" w:rsidP="004B017B">
      <w:pPr>
        <w:spacing w:line="480" w:lineRule="auto"/>
        <w:ind w:left="720" w:hanging="720"/>
        <w:rPr>
          <w:b/>
        </w:rPr>
      </w:pPr>
      <w:r>
        <w:t>A.</w:t>
      </w:r>
      <w:r>
        <w:tab/>
      </w:r>
      <w:r w:rsidR="0011428E">
        <w:t>In addition to</w:t>
      </w:r>
      <w:r w:rsidR="00621447">
        <w:t xml:space="preserve"> discussions with the C</w:t>
      </w:r>
      <w:r w:rsidR="00A518DB">
        <w:t xml:space="preserve">ompany </w:t>
      </w:r>
      <w:r w:rsidR="0011428E">
        <w:t>regarding</w:t>
      </w:r>
      <w:r w:rsidR="00A518DB">
        <w:t xml:space="preserve"> </w:t>
      </w:r>
      <w:r w:rsidR="00621447">
        <w:t>hardcoded figures</w:t>
      </w:r>
      <w:r w:rsidR="00A518DB">
        <w:t xml:space="preserve"> in </w:t>
      </w:r>
      <w:r w:rsidR="00750C58">
        <w:t>their</w:t>
      </w:r>
      <w:r w:rsidR="00A518DB">
        <w:t xml:space="preserve"> </w:t>
      </w:r>
      <w:r w:rsidR="0052593D">
        <w:t>workpapers</w:t>
      </w:r>
      <w:r w:rsidR="00A518DB">
        <w:t xml:space="preserve">, </w:t>
      </w:r>
      <w:r w:rsidR="00F13118">
        <w:t xml:space="preserve">I reviewed </w:t>
      </w:r>
      <w:r w:rsidR="00750C58">
        <w:t xml:space="preserve">the </w:t>
      </w:r>
      <w:r w:rsidR="00A518DB" w:rsidRPr="00A518DB">
        <w:t>Company’s</w:t>
      </w:r>
      <w:r w:rsidR="0076076A">
        <w:t xml:space="preserve"> initally</w:t>
      </w:r>
      <w:r w:rsidR="00A518DB" w:rsidRPr="00A518DB">
        <w:t xml:space="preserve"> </w:t>
      </w:r>
      <w:r w:rsidR="00CE0F41">
        <w:t xml:space="preserve">filed </w:t>
      </w:r>
      <w:r w:rsidR="0052593D">
        <w:t>workpapers</w:t>
      </w:r>
      <w:r w:rsidR="0011428E">
        <w:t xml:space="preserve"> on pro forma </w:t>
      </w:r>
      <w:r w:rsidR="0011428E">
        <w:lastRenderedPageBreak/>
        <w:t>employee benefits</w:t>
      </w:r>
      <w:r w:rsidR="00CE0F41">
        <w:t xml:space="preserve"> </w:t>
      </w:r>
      <w:r w:rsidR="00750C58">
        <w:t>and Avista’s</w:t>
      </w:r>
      <w:r w:rsidR="0076076A">
        <w:t xml:space="preserve"> </w:t>
      </w:r>
      <w:r w:rsidR="00CE0F41">
        <w:t xml:space="preserve">third </w:t>
      </w:r>
      <w:r w:rsidR="0076076A">
        <w:t>supplement</w:t>
      </w:r>
      <w:r w:rsidR="00CE0F41">
        <w:t>al</w:t>
      </w:r>
      <w:r w:rsidR="00750C58">
        <w:t xml:space="preserve"> response to </w:t>
      </w:r>
      <w:r w:rsidR="00612705">
        <w:t xml:space="preserve">UTC </w:t>
      </w:r>
      <w:r w:rsidR="00750C58">
        <w:t xml:space="preserve">Staff Data Request </w:t>
      </w:r>
      <w:r w:rsidR="00431DF3">
        <w:t xml:space="preserve">No. </w:t>
      </w:r>
      <w:r w:rsidR="00750C58">
        <w:t>91</w:t>
      </w:r>
      <w:r w:rsidR="00F40F70">
        <w:t>.</w:t>
      </w:r>
      <w:r w:rsidR="0038004E">
        <w:rPr>
          <w:rStyle w:val="FootnoteReference"/>
        </w:rPr>
        <w:footnoteReference w:id="25"/>
      </w:r>
      <w:r w:rsidR="00750C58">
        <w:t xml:space="preserve"> </w:t>
      </w:r>
    </w:p>
    <w:p w14:paraId="2BD35A21" w14:textId="77777777" w:rsidR="004B017B" w:rsidRPr="00486B33" w:rsidRDefault="004B017B" w:rsidP="004B017B">
      <w:pPr>
        <w:spacing w:line="480" w:lineRule="auto"/>
      </w:pPr>
    </w:p>
    <w:p w14:paraId="6635792E" w14:textId="18715B9A" w:rsidR="004B017B" w:rsidRDefault="0011428E" w:rsidP="0011428E">
      <w:pPr>
        <w:spacing w:line="480" w:lineRule="auto"/>
        <w:ind w:left="720" w:hanging="720"/>
        <w:rPr>
          <w:b/>
        </w:rPr>
      </w:pPr>
      <w:r>
        <w:rPr>
          <w:b/>
        </w:rPr>
        <w:t>Q.</w:t>
      </w:r>
      <w:r w:rsidR="004B017B">
        <w:rPr>
          <w:b/>
        </w:rPr>
        <w:tab/>
        <w:t>What is the regulatory basis for Staff’s recommendation?</w:t>
      </w:r>
    </w:p>
    <w:p w14:paraId="4C575C43" w14:textId="21142023" w:rsidR="007E7333" w:rsidRPr="00F13118" w:rsidRDefault="004B017B" w:rsidP="00C915D1">
      <w:pPr>
        <w:spacing w:line="480" w:lineRule="auto"/>
        <w:ind w:left="720" w:hanging="720"/>
      </w:pPr>
      <w:r>
        <w:t>A.</w:t>
      </w:r>
      <w:r>
        <w:tab/>
      </w:r>
      <w:r w:rsidR="00AE7C2A">
        <w:t>Staff’s recommendation of i</w:t>
      </w:r>
      <w:r w:rsidR="0076076A">
        <w:t xml:space="preserve">ncreasing </w:t>
      </w:r>
      <w:r w:rsidR="0076076A" w:rsidRPr="0076076A">
        <w:t>retirement and medical benefits</w:t>
      </w:r>
      <w:r w:rsidR="0076076A">
        <w:t xml:space="preserve"> </w:t>
      </w:r>
      <w:r w:rsidR="007271EA">
        <w:t>expenses to account</w:t>
      </w:r>
      <w:r w:rsidR="0076076A">
        <w:t xml:space="preserve"> for the change between 2015 results and the test period is know</w:t>
      </w:r>
      <w:r w:rsidR="007271EA">
        <w:t>n</w:t>
      </w:r>
      <w:r w:rsidR="0076076A">
        <w:t xml:space="preserve"> and measurable and provides reasonable </w:t>
      </w:r>
      <w:r w:rsidR="00AE7C2A">
        <w:t>results</w:t>
      </w:r>
      <w:r w:rsidR="0076076A">
        <w:t xml:space="preserve"> for </w:t>
      </w:r>
      <w:r w:rsidR="0076076A" w:rsidRPr="0076076A">
        <w:t>retirement and medical benefits</w:t>
      </w:r>
      <w:r w:rsidR="0076076A">
        <w:t xml:space="preserve"> going forward. </w:t>
      </w:r>
    </w:p>
    <w:p w14:paraId="3CB5B334" w14:textId="502B7229" w:rsidR="001A577E" w:rsidRDefault="001A577E" w:rsidP="001A577E">
      <w:pPr>
        <w:spacing w:after="240"/>
        <w:ind w:left="720"/>
      </w:pPr>
    </w:p>
    <w:p w14:paraId="012C2BE7" w14:textId="47115E2C" w:rsidR="004B017B" w:rsidRPr="00460E36" w:rsidRDefault="004B017B" w:rsidP="004B017B">
      <w:pPr>
        <w:spacing w:line="480" w:lineRule="auto"/>
        <w:rPr>
          <w:b/>
        </w:rPr>
      </w:pPr>
      <w:r w:rsidRPr="00460E36">
        <w:rPr>
          <w:b/>
        </w:rPr>
        <w:t>Q.</w:t>
      </w:r>
      <w:r w:rsidRPr="00460E36">
        <w:rPr>
          <w:b/>
        </w:rPr>
        <w:tab/>
        <w:t>Have you prepared an</w:t>
      </w:r>
      <w:r w:rsidR="001C7488">
        <w:rPr>
          <w:b/>
        </w:rPr>
        <w:t>y</w:t>
      </w:r>
      <w:r w:rsidRPr="00460E36">
        <w:rPr>
          <w:b/>
        </w:rPr>
        <w:t xml:space="preserve"> exhibit</w:t>
      </w:r>
      <w:r w:rsidR="001C7488">
        <w:rPr>
          <w:b/>
        </w:rPr>
        <w:t>s</w:t>
      </w:r>
      <w:r w:rsidRPr="00460E36">
        <w:rPr>
          <w:b/>
        </w:rPr>
        <w:t xml:space="preserve"> detailing Staff’s </w:t>
      </w:r>
      <w:r>
        <w:rPr>
          <w:b/>
        </w:rPr>
        <w:t>recommendation</w:t>
      </w:r>
      <w:r w:rsidRPr="00460E36">
        <w:rPr>
          <w:b/>
        </w:rPr>
        <w:t>?</w:t>
      </w:r>
    </w:p>
    <w:p w14:paraId="61427924" w14:textId="77777777" w:rsidR="003A645B" w:rsidRDefault="004B017B" w:rsidP="006E71A4">
      <w:pPr>
        <w:spacing w:line="480" w:lineRule="auto"/>
        <w:ind w:left="720" w:hanging="720"/>
      </w:pPr>
      <w:r>
        <w:t>A.</w:t>
      </w:r>
      <w:r>
        <w:tab/>
        <w:t xml:space="preserve">Yes, please refer to </w:t>
      </w:r>
      <w:r w:rsidR="003A645B">
        <w:t>the following exhibits.</w:t>
      </w:r>
    </w:p>
    <w:p w14:paraId="617E7B24" w14:textId="77777777" w:rsidR="003A645B" w:rsidRDefault="00F13118" w:rsidP="00D62B4E">
      <w:pPr>
        <w:pStyle w:val="ListParagraph"/>
        <w:numPr>
          <w:ilvl w:val="0"/>
          <w:numId w:val="58"/>
        </w:numPr>
        <w:spacing w:line="480" w:lineRule="auto"/>
        <w:ind w:left="1440"/>
      </w:pPr>
      <w:r>
        <w:t>Exhibit No. MC-</w:t>
      </w:r>
      <w:r w:rsidR="006E71A4">
        <w:t>9</w:t>
      </w:r>
      <w:r w:rsidR="004B017B" w:rsidRPr="00C8225D">
        <w:t xml:space="preserve">, </w:t>
      </w:r>
      <w:r w:rsidRPr="00F13118">
        <w:t>Pro Forma Employee Benefits (Electric 3.04, Gas 3.02)</w:t>
      </w:r>
      <w:r w:rsidR="006E71A4">
        <w:t xml:space="preserve"> for Staff</w:t>
      </w:r>
      <w:r w:rsidR="002A5EAD">
        <w:t>’s</w:t>
      </w:r>
      <w:r w:rsidR="006E71A4">
        <w:t xml:space="preserve"> analysis</w:t>
      </w:r>
      <w:r w:rsidR="003A645B">
        <w:t>.</w:t>
      </w:r>
    </w:p>
    <w:p w14:paraId="361AFA07" w14:textId="09753B56" w:rsidR="003A645B" w:rsidRDefault="006E71A4" w:rsidP="00D62B4E">
      <w:pPr>
        <w:pStyle w:val="ListParagraph"/>
        <w:numPr>
          <w:ilvl w:val="0"/>
          <w:numId w:val="58"/>
        </w:numPr>
        <w:spacing w:line="480" w:lineRule="auto"/>
        <w:ind w:left="1440"/>
      </w:pPr>
      <w:r>
        <w:t>Exhibit No. MC-10, Avista’s Initially Filed Pro Forma Employee Benefits (Electric 3.04, Gas 3.02)</w:t>
      </w:r>
      <w:r w:rsidR="003A645B">
        <w:t>.</w:t>
      </w:r>
    </w:p>
    <w:p w14:paraId="0822ADC3" w14:textId="646BECCF" w:rsidR="004B017B" w:rsidRDefault="006E71A4" w:rsidP="00D62B4E">
      <w:pPr>
        <w:pStyle w:val="ListParagraph"/>
        <w:numPr>
          <w:ilvl w:val="0"/>
          <w:numId w:val="58"/>
        </w:numPr>
        <w:spacing w:line="480" w:lineRule="auto"/>
        <w:ind w:left="1440"/>
      </w:pPr>
      <w:r>
        <w:t>Exhibit No. MC-11, Avista’s Updated Pro Forma Employee Benefits (Electric 3.04, Gas 3.02).</w:t>
      </w:r>
    </w:p>
    <w:p w14:paraId="5AEAD38A" w14:textId="77777777" w:rsidR="00F52CE6" w:rsidRPr="00431DF3" w:rsidRDefault="00F52CE6" w:rsidP="00431DF3">
      <w:pPr>
        <w:spacing w:line="480" w:lineRule="auto"/>
        <w:ind w:left="720" w:hanging="720"/>
      </w:pPr>
    </w:p>
    <w:p w14:paraId="0D813C43" w14:textId="241A383C" w:rsidR="007868C3" w:rsidRDefault="00ED7227" w:rsidP="00A9661F">
      <w:pPr>
        <w:keepNext/>
        <w:numPr>
          <w:ilvl w:val="0"/>
          <w:numId w:val="47"/>
        </w:numPr>
        <w:tabs>
          <w:tab w:val="left" w:pos="1440"/>
        </w:tabs>
        <w:spacing w:line="480" w:lineRule="auto"/>
        <w:ind w:left="1080" w:firstLine="0"/>
        <w:outlineLvl w:val="1"/>
        <w:rPr>
          <w:rFonts w:eastAsia="Times New Roman"/>
          <w:b/>
          <w:bCs/>
        </w:rPr>
      </w:pPr>
      <w:r w:rsidRPr="00ED7227">
        <w:rPr>
          <w:rFonts w:eastAsia="Times New Roman"/>
          <w:b/>
          <w:bCs/>
        </w:rPr>
        <w:lastRenderedPageBreak/>
        <w:t xml:space="preserve">Pro </w:t>
      </w:r>
      <w:r w:rsidR="0082794C">
        <w:rPr>
          <w:rFonts w:eastAsia="Times New Roman"/>
          <w:b/>
          <w:bCs/>
        </w:rPr>
        <w:t>F</w:t>
      </w:r>
      <w:r w:rsidRPr="00ED7227">
        <w:rPr>
          <w:rFonts w:eastAsia="Times New Roman"/>
          <w:b/>
          <w:bCs/>
        </w:rPr>
        <w:t>orma Pipeline Safety Labor (Gas 3.03)</w:t>
      </w:r>
    </w:p>
    <w:p w14:paraId="75F61DF4" w14:textId="77777777" w:rsidR="00431DF3" w:rsidRDefault="00431DF3" w:rsidP="00431DF3">
      <w:pPr>
        <w:keepNext/>
        <w:tabs>
          <w:tab w:val="left" w:pos="720"/>
          <w:tab w:val="left" w:pos="1440"/>
        </w:tabs>
        <w:spacing w:line="480" w:lineRule="auto"/>
        <w:outlineLvl w:val="1"/>
        <w:rPr>
          <w:rFonts w:eastAsia="Times New Roman"/>
          <w:b/>
          <w:bCs/>
        </w:rPr>
      </w:pPr>
    </w:p>
    <w:p w14:paraId="0DC15AA8" w14:textId="11965F84" w:rsidR="008B5770" w:rsidRDefault="008B5770" w:rsidP="008B5770">
      <w:pPr>
        <w:keepNext/>
        <w:tabs>
          <w:tab w:val="left" w:pos="720"/>
          <w:tab w:val="left" w:pos="1440"/>
        </w:tabs>
        <w:spacing w:line="480" w:lineRule="auto"/>
        <w:outlineLvl w:val="1"/>
        <w:rPr>
          <w:b/>
        </w:rPr>
      </w:pPr>
      <w:r w:rsidRPr="00460E36">
        <w:rPr>
          <w:b/>
        </w:rPr>
        <w:t>Q.</w:t>
      </w:r>
      <w:r w:rsidRPr="00460E36">
        <w:rPr>
          <w:b/>
        </w:rPr>
        <w:tab/>
        <w:t xml:space="preserve">Please summarize the </w:t>
      </w:r>
      <w:r w:rsidR="0033029A">
        <w:rPr>
          <w:b/>
        </w:rPr>
        <w:t>Company</w:t>
      </w:r>
      <w:r w:rsidRPr="00460E36">
        <w:rPr>
          <w:b/>
        </w:rPr>
        <w:t>’s adjustment</w:t>
      </w:r>
      <w:r w:rsidR="00EF42B0">
        <w:rPr>
          <w:b/>
        </w:rPr>
        <w:t>.</w:t>
      </w:r>
    </w:p>
    <w:p w14:paraId="49C8F25F" w14:textId="420A0E13" w:rsidR="008B5770" w:rsidRDefault="008B5770" w:rsidP="003A4EAC">
      <w:pPr>
        <w:keepNext/>
        <w:tabs>
          <w:tab w:val="left" w:pos="720"/>
          <w:tab w:val="left" w:pos="1440"/>
        </w:tabs>
        <w:spacing w:line="480" w:lineRule="auto"/>
        <w:ind w:left="720" w:hanging="720"/>
        <w:outlineLvl w:val="1"/>
        <w:rPr>
          <w:rFonts w:eastAsia="Times New Roman"/>
          <w:bCs/>
        </w:rPr>
      </w:pPr>
      <w:r>
        <w:rPr>
          <w:rFonts w:eastAsia="Times New Roman"/>
          <w:bCs/>
        </w:rPr>
        <w:t>A.</w:t>
      </w:r>
      <w:r>
        <w:rPr>
          <w:rFonts w:eastAsia="Times New Roman"/>
          <w:bCs/>
        </w:rPr>
        <w:tab/>
        <w:t xml:space="preserve">The </w:t>
      </w:r>
      <w:r w:rsidR="0033029A">
        <w:rPr>
          <w:rFonts w:eastAsia="Times New Roman"/>
          <w:bCs/>
        </w:rPr>
        <w:t>Company</w:t>
      </w:r>
      <w:r w:rsidR="004966C2">
        <w:rPr>
          <w:rFonts w:eastAsia="Times New Roman"/>
          <w:bCs/>
        </w:rPr>
        <w:t xml:space="preserve"> proposes to increase</w:t>
      </w:r>
      <w:r w:rsidR="00C8225D">
        <w:rPr>
          <w:rFonts w:eastAsia="Times New Roman"/>
          <w:bCs/>
        </w:rPr>
        <w:t xml:space="preserve"> gas labor </w:t>
      </w:r>
      <w:r w:rsidR="004966C2">
        <w:rPr>
          <w:rFonts w:eastAsia="Times New Roman"/>
          <w:bCs/>
        </w:rPr>
        <w:t>costs</w:t>
      </w:r>
      <w:r w:rsidR="00C8225D">
        <w:rPr>
          <w:rFonts w:eastAsia="Times New Roman"/>
          <w:bCs/>
        </w:rPr>
        <w:t xml:space="preserve"> to reflect </w:t>
      </w:r>
      <w:r w:rsidR="004966C2">
        <w:rPr>
          <w:rFonts w:eastAsia="Times New Roman"/>
          <w:bCs/>
        </w:rPr>
        <w:t xml:space="preserve">Avista’s interpretative operational </w:t>
      </w:r>
      <w:r w:rsidR="00EC0206">
        <w:rPr>
          <w:rFonts w:eastAsia="Times New Roman"/>
          <w:bCs/>
        </w:rPr>
        <w:t>integration</w:t>
      </w:r>
      <w:r w:rsidR="00C8225D">
        <w:rPr>
          <w:rFonts w:eastAsia="Times New Roman"/>
          <w:bCs/>
        </w:rPr>
        <w:t xml:space="preserve"> of </w:t>
      </w:r>
      <w:r w:rsidR="00021DEC">
        <w:rPr>
          <w:rFonts w:eastAsia="Times New Roman"/>
          <w:bCs/>
        </w:rPr>
        <w:t>the</w:t>
      </w:r>
      <w:r w:rsidR="00C8225D">
        <w:rPr>
          <w:rFonts w:eastAsia="Times New Roman"/>
          <w:bCs/>
        </w:rPr>
        <w:t xml:space="preserve"> American Petroleum Institute</w:t>
      </w:r>
      <w:r w:rsidR="00021DEC">
        <w:rPr>
          <w:rFonts w:eastAsia="Times New Roman"/>
          <w:bCs/>
        </w:rPr>
        <w:t xml:space="preserve"> </w:t>
      </w:r>
      <w:r w:rsidR="001D2B70">
        <w:rPr>
          <w:rFonts w:eastAsia="Times New Roman"/>
          <w:bCs/>
        </w:rPr>
        <w:t xml:space="preserve">(API) </w:t>
      </w:r>
      <w:r w:rsidR="00EF42B0">
        <w:rPr>
          <w:rFonts w:eastAsia="Times New Roman"/>
          <w:bCs/>
        </w:rPr>
        <w:t>Recommended</w:t>
      </w:r>
      <w:r w:rsidR="00021DEC">
        <w:rPr>
          <w:rFonts w:eastAsia="Times New Roman"/>
          <w:bCs/>
        </w:rPr>
        <w:t xml:space="preserve"> </w:t>
      </w:r>
      <w:r w:rsidR="00EF42B0">
        <w:rPr>
          <w:rFonts w:eastAsia="Times New Roman"/>
          <w:bCs/>
        </w:rPr>
        <w:t>Practice</w:t>
      </w:r>
      <w:r w:rsidR="00021DEC">
        <w:rPr>
          <w:rFonts w:eastAsia="Times New Roman"/>
          <w:bCs/>
        </w:rPr>
        <w:t xml:space="preserve"> (RP) 1173</w:t>
      </w:r>
      <w:r w:rsidR="00C8225D">
        <w:rPr>
          <w:rFonts w:eastAsia="Times New Roman"/>
          <w:bCs/>
        </w:rPr>
        <w:t xml:space="preserve"> </w:t>
      </w:r>
      <w:r w:rsidR="00021DEC">
        <w:rPr>
          <w:rFonts w:eastAsia="Times New Roman"/>
          <w:bCs/>
        </w:rPr>
        <w:t>by estimating</w:t>
      </w:r>
      <w:r w:rsidR="004966C2">
        <w:rPr>
          <w:rFonts w:eastAsia="Times New Roman"/>
          <w:bCs/>
        </w:rPr>
        <w:t xml:space="preserve"> </w:t>
      </w:r>
      <w:r w:rsidR="00021DEC">
        <w:rPr>
          <w:rFonts w:eastAsia="Times New Roman"/>
          <w:bCs/>
        </w:rPr>
        <w:t xml:space="preserve">the cost of additional </w:t>
      </w:r>
      <w:r w:rsidR="005504A6">
        <w:rPr>
          <w:rFonts w:eastAsia="Times New Roman"/>
          <w:bCs/>
        </w:rPr>
        <w:t xml:space="preserve">FTEs </w:t>
      </w:r>
      <w:r w:rsidR="004966C2">
        <w:rPr>
          <w:rFonts w:eastAsia="Times New Roman"/>
          <w:bCs/>
        </w:rPr>
        <w:t>considered essential</w:t>
      </w:r>
      <w:r w:rsidR="00021DEC">
        <w:rPr>
          <w:rFonts w:eastAsia="Times New Roman"/>
          <w:bCs/>
        </w:rPr>
        <w:t xml:space="preserve"> to implement RP 1173</w:t>
      </w:r>
      <w:r w:rsidR="001D2B70">
        <w:rPr>
          <w:rFonts w:eastAsia="Times New Roman"/>
          <w:bCs/>
        </w:rPr>
        <w:t>. The</w:t>
      </w:r>
      <w:r>
        <w:rPr>
          <w:rFonts w:eastAsia="Times New Roman"/>
          <w:bCs/>
        </w:rPr>
        <w:t xml:space="preserve"> </w:t>
      </w:r>
      <w:r w:rsidR="003A4EAC" w:rsidRPr="003A4EAC">
        <w:rPr>
          <w:rFonts w:eastAsia="Times New Roman"/>
          <w:bCs/>
        </w:rPr>
        <w:t xml:space="preserve">approximate impact </w:t>
      </w:r>
      <w:r w:rsidR="003A4EAC">
        <w:rPr>
          <w:rFonts w:eastAsia="Times New Roman"/>
          <w:bCs/>
        </w:rPr>
        <w:t>decreases</w:t>
      </w:r>
      <w:r w:rsidR="003A4EAC" w:rsidRPr="003A4EAC">
        <w:rPr>
          <w:rFonts w:eastAsia="Times New Roman"/>
          <w:bCs/>
        </w:rPr>
        <w:t xml:space="preserve"> gas net operating income by $</w:t>
      </w:r>
      <w:r w:rsidR="00270529">
        <w:rPr>
          <w:rFonts w:eastAsia="Times New Roman"/>
          <w:bCs/>
        </w:rPr>
        <w:t xml:space="preserve">68,000 </w:t>
      </w:r>
      <w:r w:rsidR="003A4EAC" w:rsidRPr="003A4EAC">
        <w:rPr>
          <w:rFonts w:eastAsia="Times New Roman"/>
          <w:bCs/>
        </w:rPr>
        <w:t xml:space="preserve">and </w:t>
      </w:r>
      <w:r w:rsidR="00022B94">
        <w:rPr>
          <w:rFonts w:eastAsia="Times New Roman"/>
          <w:bCs/>
        </w:rPr>
        <w:t xml:space="preserve">has </w:t>
      </w:r>
      <w:r w:rsidR="00270529">
        <w:rPr>
          <w:rFonts w:eastAsia="Times New Roman"/>
          <w:bCs/>
        </w:rPr>
        <w:t>zero effect on rate base</w:t>
      </w:r>
      <w:r w:rsidR="003A4EAC" w:rsidRPr="003A4EAC">
        <w:rPr>
          <w:rFonts w:eastAsia="Times New Roman"/>
          <w:bCs/>
        </w:rPr>
        <w:t>.</w:t>
      </w:r>
    </w:p>
    <w:p w14:paraId="29C4B387" w14:textId="77777777" w:rsidR="00270529" w:rsidRDefault="00270529" w:rsidP="003A4EAC">
      <w:pPr>
        <w:keepNext/>
        <w:tabs>
          <w:tab w:val="left" w:pos="720"/>
          <w:tab w:val="left" w:pos="1440"/>
        </w:tabs>
        <w:spacing w:line="480" w:lineRule="auto"/>
        <w:ind w:left="720" w:hanging="720"/>
        <w:outlineLvl w:val="1"/>
        <w:rPr>
          <w:rFonts w:eastAsia="Times New Roman"/>
          <w:bCs/>
        </w:rPr>
      </w:pPr>
    </w:p>
    <w:p w14:paraId="3D07091E" w14:textId="36AE105A" w:rsidR="008B5770" w:rsidRDefault="008B5770" w:rsidP="008B5770">
      <w:pPr>
        <w:spacing w:line="480" w:lineRule="auto"/>
        <w:rPr>
          <w:b/>
        </w:rPr>
      </w:pPr>
      <w:r w:rsidRPr="00460E36">
        <w:rPr>
          <w:b/>
        </w:rPr>
        <w:t>Q.</w:t>
      </w:r>
      <w:r w:rsidRPr="00460E36">
        <w:rPr>
          <w:b/>
        </w:rPr>
        <w:tab/>
      </w:r>
      <w:r w:rsidR="00022B94">
        <w:rPr>
          <w:b/>
        </w:rPr>
        <w:t>W</w:t>
      </w:r>
      <w:r w:rsidRPr="00460E36">
        <w:rPr>
          <w:b/>
        </w:rPr>
        <w:t>hy</w:t>
      </w:r>
      <w:r w:rsidR="00022B94">
        <w:rPr>
          <w:b/>
        </w:rPr>
        <w:t xml:space="preserve"> is</w:t>
      </w:r>
      <w:r w:rsidRPr="00460E36">
        <w:rPr>
          <w:b/>
        </w:rPr>
        <w:t xml:space="preserve"> Staff contesting</w:t>
      </w:r>
      <w:r>
        <w:rPr>
          <w:b/>
        </w:rPr>
        <w:t xml:space="preserve"> this adjustment?</w:t>
      </w:r>
    </w:p>
    <w:p w14:paraId="51F59F3C" w14:textId="0A30927F" w:rsidR="008B5770" w:rsidRDefault="008B5770" w:rsidP="008B5770">
      <w:pPr>
        <w:spacing w:line="480" w:lineRule="auto"/>
        <w:ind w:left="720" w:hanging="720"/>
      </w:pPr>
      <w:r>
        <w:t>A.</w:t>
      </w:r>
      <w:r>
        <w:tab/>
      </w:r>
      <w:r w:rsidR="00B52267">
        <w:t xml:space="preserve">The </w:t>
      </w:r>
      <w:r w:rsidR="0033029A">
        <w:t>Company</w:t>
      </w:r>
      <w:r w:rsidR="00B52267">
        <w:t>’s proposed</w:t>
      </w:r>
      <w:r w:rsidR="00510921">
        <w:t xml:space="preserve"> pro forma</w:t>
      </w:r>
      <w:r w:rsidR="00B52267">
        <w:t xml:space="preserve"> a</w:t>
      </w:r>
      <w:r w:rsidR="009C4BD9" w:rsidRPr="009C4BD9">
        <w:t xml:space="preserve">djustment </w:t>
      </w:r>
      <w:r w:rsidR="00C73756">
        <w:t xml:space="preserve">attempts to capture in the test period </w:t>
      </w:r>
      <w:r w:rsidR="00B52267">
        <w:t>estimated</w:t>
      </w:r>
      <w:r w:rsidR="00510921">
        <w:t xml:space="preserve"> </w:t>
      </w:r>
      <w:r w:rsidR="00C73756">
        <w:t xml:space="preserve">annualized </w:t>
      </w:r>
      <w:r w:rsidR="00510921">
        <w:t>O&amp;M</w:t>
      </w:r>
      <w:r w:rsidR="00C73756">
        <w:t xml:space="preserve"> wage expenses</w:t>
      </w:r>
      <w:r w:rsidR="009C4BD9" w:rsidRPr="009C4BD9">
        <w:t xml:space="preserve"> for </w:t>
      </w:r>
      <w:r w:rsidR="00022B94">
        <w:t>employees</w:t>
      </w:r>
      <w:r w:rsidR="00022B94" w:rsidRPr="009C4BD9">
        <w:t xml:space="preserve"> </w:t>
      </w:r>
      <w:r w:rsidR="009C4BD9" w:rsidRPr="009C4BD9">
        <w:t xml:space="preserve">that the </w:t>
      </w:r>
      <w:r w:rsidR="0033029A">
        <w:t>Company</w:t>
      </w:r>
      <w:r w:rsidR="009C4BD9" w:rsidRPr="009C4BD9">
        <w:t xml:space="preserve"> has </w:t>
      </w:r>
      <w:r w:rsidR="00022B94">
        <w:t xml:space="preserve">not </w:t>
      </w:r>
      <w:r w:rsidR="009C4BD9" w:rsidRPr="009C4BD9">
        <w:t>yet hire</w:t>
      </w:r>
      <w:r w:rsidR="00022B94">
        <w:t>d</w:t>
      </w:r>
      <w:r w:rsidR="009C4BD9" w:rsidRPr="009C4BD9">
        <w:t>.</w:t>
      </w:r>
      <w:r w:rsidR="00782CF0">
        <w:rPr>
          <w:rStyle w:val="FootnoteReference"/>
        </w:rPr>
        <w:footnoteReference w:id="26"/>
      </w:r>
      <w:r w:rsidR="009C4BD9" w:rsidRPr="009C4BD9">
        <w:t xml:space="preserve"> </w:t>
      </w:r>
      <w:r w:rsidR="00C73756">
        <w:t>Additionally</w:t>
      </w:r>
      <w:r w:rsidR="00B52267">
        <w:t xml:space="preserve">, the </w:t>
      </w:r>
      <w:r w:rsidR="0033029A">
        <w:t>Company</w:t>
      </w:r>
      <w:r w:rsidR="00B52267">
        <w:t xml:space="preserve"> estimates the percentage </w:t>
      </w:r>
      <w:r w:rsidR="001D2B70">
        <w:t xml:space="preserve">of proposed wages </w:t>
      </w:r>
      <w:r w:rsidR="00C73756">
        <w:t>allocated</w:t>
      </w:r>
      <w:r w:rsidR="00B52267">
        <w:t xml:space="preserve"> to O&amp;M </w:t>
      </w:r>
      <w:r w:rsidR="00D16533">
        <w:t>e</w:t>
      </w:r>
      <w:r w:rsidR="00B52267">
        <w:t>xpenses.</w:t>
      </w:r>
      <w:r w:rsidR="005359FF">
        <w:t xml:space="preserve"> </w:t>
      </w:r>
      <w:r w:rsidR="00022B94">
        <w:t>These adjustments are not known and measurable. T</w:t>
      </w:r>
      <w:r w:rsidR="001D2B70">
        <w:t xml:space="preserve">he Company has </w:t>
      </w:r>
      <w:r w:rsidR="00022B94">
        <w:t xml:space="preserve">only </w:t>
      </w:r>
      <w:r w:rsidR="001D2B70">
        <w:t>roughly</w:t>
      </w:r>
      <w:r w:rsidR="00C73756">
        <w:t xml:space="preserve"> estimated </w:t>
      </w:r>
      <w:r w:rsidR="000774AC">
        <w:t xml:space="preserve">its </w:t>
      </w:r>
      <w:r w:rsidR="001D2B70">
        <w:t xml:space="preserve">wages and </w:t>
      </w:r>
      <w:r w:rsidR="000774AC">
        <w:t xml:space="preserve">its </w:t>
      </w:r>
      <w:r w:rsidR="001D2B70">
        <w:t>allocation</w:t>
      </w:r>
      <w:r w:rsidR="005359FF">
        <w:t xml:space="preserve"> </w:t>
      </w:r>
      <w:r w:rsidR="001D2B70">
        <w:t xml:space="preserve">and has </w:t>
      </w:r>
      <w:r w:rsidR="001D04D6">
        <w:t xml:space="preserve">yet to </w:t>
      </w:r>
      <w:r w:rsidR="001D2B70">
        <w:t xml:space="preserve">hire </w:t>
      </w:r>
      <w:r w:rsidR="001D04D6">
        <w:t>for any of</w:t>
      </w:r>
      <w:r w:rsidR="001D2B70">
        <w:t xml:space="preserve"> these positions</w:t>
      </w:r>
      <w:r w:rsidR="005359FF">
        <w:t>.</w:t>
      </w:r>
    </w:p>
    <w:p w14:paraId="59D3E5DC" w14:textId="5BA9D0F1" w:rsidR="00C92801" w:rsidRPr="005169C5" w:rsidRDefault="00C92801" w:rsidP="005169C5">
      <w:pPr>
        <w:keepNext/>
        <w:tabs>
          <w:tab w:val="left" w:pos="720"/>
          <w:tab w:val="left" w:pos="1440"/>
        </w:tabs>
        <w:spacing w:line="480" w:lineRule="auto"/>
        <w:ind w:left="720" w:firstLine="720"/>
        <w:outlineLvl w:val="1"/>
        <w:rPr>
          <w:rFonts w:eastAsia="Times New Roman"/>
        </w:rPr>
      </w:pPr>
      <w:r>
        <w:rPr>
          <w:rFonts w:eastAsia="Times New Roman"/>
          <w:bCs/>
        </w:rPr>
        <w:t xml:space="preserve">Staff agrees that pipeline safety is paramount. </w:t>
      </w:r>
      <w:r w:rsidR="00022B94">
        <w:rPr>
          <w:rFonts w:eastAsia="Times New Roman"/>
          <w:bCs/>
        </w:rPr>
        <w:t>But</w:t>
      </w:r>
      <w:r>
        <w:rPr>
          <w:rFonts w:eastAsia="Times New Roman"/>
          <w:bCs/>
        </w:rPr>
        <w:t xml:space="preserve"> adding estimated </w:t>
      </w:r>
      <w:r w:rsidR="006E7767">
        <w:rPr>
          <w:rFonts w:eastAsia="Times New Roman"/>
          <w:bCs/>
        </w:rPr>
        <w:t xml:space="preserve">and forecasted </w:t>
      </w:r>
      <w:r w:rsidR="00393549">
        <w:rPr>
          <w:rFonts w:eastAsia="Times New Roman"/>
          <w:bCs/>
        </w:rPr>
        <w:t xml:space="preserve">amounts </w:t>
      </w:r>
      <w:r>
        <w:rPr>
          <w:rFonts w:eastAsia="Times New Roman"/>
          <w:bCs/>
        </w:rPr>
        <w:t xml:space="preserve">to the test year based </w:t>
      </w:r>
      <w:r w:rsidR="00A60FE3">
        <w:rPr>
          <w:rFonts w:eastAsia="Times New Roman"/>
          <w:bCs/>
        </w:rPr>
        <w:t xml:space="preserve">on Avista’s </w:t>
      </w:r>
      <w:r w:rsidR="00A60FE3" w:rsidRPr="00A60FE3">
        <w:rPr>
          <w:rFonts w:eastAsia="Times New Roman"/>
          <w:bCs/>
        </w:rPr>
        <w:t>interpretat</w:t>
      </w:r>
      <w:r w:rsidR="00A60FE3">
        <w:rPr>
          <w:rFonts w:eastAsia="Times New Roman"/>
          <w:bCs/>
        </w:rPr>
        <w:t xml:space="preserve">ion of </w:t>
      </w:r>
      <w:r w:rsidR="00393549">
        <w:rPr>
          <w:rFonts w:eastAsia="Times New Roman"/>
          <w:bCs/>
        </w:rPr>
        <w:t>RP 1173</w:t>
      </w:r>
      <w:r>
        <w:rPr>
          <w:rFonts w:eastAsia="Times New Roman"/>
          <w:bCs/>
        </w:rPr>
        <w:t xml:space="preserve"> </w:t>
      </w:r>
      <w:r w:rsidR="002B4987">
        <w:rPr>
          <w:rFonts w:eastAsia="Times New Roman"/>
          <w:bCs/>
        </w:rPr>
        <w:t xml:space="preserve">does not overcome the regulatory requirement </w:t>
      </w:r>
      <w:r w:rsidR="00022B94">
        <w:rPr>
          <w:rFonts w:eastAsia="Times New Roman"/>
          <w:bCs/>
        </w:rPr>
        <w:t>that such pro forma adjustments be</w:t>
      </w:r>
      <w:r w:rsidR="002B4987">
        <w:rPr>
          <w:rFonts w:eastAsia="Times New Roman"/>
          <w:bCs/>
        </w:rPr>
        <w:t xml:space="preserve"> known and measurable. </w:t>
      </w:r>
    </w:p>
    <w:p w14:paraId="2A6DEBF6" w14:textId="77777777" w:rsidR="00945F3E" w:rsidRDefault="00945F3E" w:rsidP="00945F3E">
      <w:pPr>
        <w:spacing w:line="480" w:lineRule="auto"/>
        <w:ind w:left="720" w:hanging="720"/>
        <w:rPr>
          <w:b/>
        </w:rPr>
      </w:pPr>
    </w:p>
    <w:p w14:paraId="56020DD0" w14:textId="77777777" w:rsidR="00945F3E" w:rsidRDefault="00945F3E" w:rsidP="001B51B5">
      <w:pPr>
        <w:keepNext/>
        <w:spacing w:line="480" w:lineRule="auto"/>
        <w:ind w:left="720" w:hanging="720"/>
        <w:rPr>
          <w:b/>
        </w:rPr>
      </w:pPr>
      <w:r>
        <w:rPr>
          <w:b/>
        </w:rPr>
        <w:lastRenderedPageBreak/>
        <w:t>Q.</w:t>
      </w:r>
      <w:r>
        <w:rPr>
          <w:b/>
        </w:rPr>
        <w:tab/>
        <w:t>Has the Company made progress towards hiring the new FTEs?</w:t>
      </w:r>
    </w:p>
    <w:p w14:paraId="27D8CF69" w14:textId="1E276EE9" w:rsidR="00945F3E" w:rsidRDefault="00945F3E" w:rsidP="001B51B5">
      <w:pPr>
        <w:keepNext/>
        <w:spacing w:line="480" w:lineRule="auto"/>
        <w:ind w:left="720" w:hanging="720"/>
      </w:pPr>
      <w:r>
        <w:t>A.</w:t>
      </w:r>
      <w:r>
        <w:tab/>
        <w:t>Yes. Based on the Company’s responses to UTC Staff Data Request Nos. 134 and 135, the Company filled the Washington/Idaho Inspector position</w:t>
      </w:r>
      <w:r w:rsidRPr="00EE2CE8">
        <w:t xml:space="preserve"> </w:t>
      </w:r>
      <w:r>
        <w:t>in June 2016. The Company states that the inspector union position was contracted at $34.37 per hour (approximately $71,500 annually). In UTC Staff Data Request No. 136, I asked the Company to update its “Pipeline Safety</w:t>
      </w:r>
      <w:r w:rsidR="00AB784A">
        <w:t xml:space="preserve"> Position Adjustment.xlsx” work</w:t>
      </w:r>
      <w:r>
        <w:t>paper to reflect</w:t>
      </w:r>
      <w:r w:rsidR="00473F03">
        <w:t xml:space="preserve"> any</w:t>
      </w:r>
      <w:r w:rsidDel="00473F03">
        <w:t xml:space="preserve"> </w:t>
      </w:r>
      <w:r>
        <w:t>newly-hired pipeline position</w:t>
      </w:r>
      <w:r w:rsidR="00473F03">
        <w:t>s</w:t>
      </w:r>
      <w:r>
        <w:t>. The Company responded, “Until such time as an offer has been extended and accepted, no updates are necessary at this time.”</w:t>
      </w:r>
      <w:r>
        <w:rPr>
          <w:rStyle w:val="FootnoteReference"/>
        </w:rPr>
        <w:footnoteReference w:id="27"/>
      </w:r>
      <w:r w:rsidR="00746A46">
        <w:t xml:space="preserve"> Staff is unsure how the Company’s responses can be reconciled.</w:t>
      </w:r>
    </w:p>
    <w:p w14:paraId="33DD5602" w14:textId="77777777" w:rsidR="0038623F" w:rsidRPr="00AF7C21" w:rsidRDefault="0038623F" w:rsidP="008B5770">
      <w:pPr>
        <w:spacing w:line="480" w:lineRule="auto"/>
        <w:ind w:left="720" w:hanging="720"/>
      </w:pPr>
    </w:p>
    <w:p w14:paraId="48F93EAB" w14:textId="77777777" w:rsidR="001364CE" w:rsidRDefault="008B5770" w:rsidP="00F82BEE">
      <w:pPr>
        <w:spacing w:line="480" w:lineRule="auto"/>
        <w:ind w:left="720" w:hanging="720"/>
        <w:rPr>
          <w:b/>
        </w:rPr>
      </w:pPr>
      <w:r>
        <w:rPr>
          <w:b/>
        </w:rPr>
        <w:t>Q.</w:t>
      </w:r>
      <w:r>
        <w:rPr>
          <w:b/>
        </w:rPr>
        <w:tab/>
        <w:t>Please summarize Staff’s recommendation for</w:t>
      </w:r>
      <w:r w:rsidRPr="00486B33">
        <w:t xml:space="preserve"> </w:t>
      </w:r>
      <w:r w:rsidR="00B52267" w:rsidRPr="00B52267">
        <w:rPr>
          <w:b/>
        </w:rPr>
        <w:t xml:space="preserve">Pro </w:t>
      </w:r>
      <w:r w:rsidR="009E5623">
        <w:rPr>
          <w:b/>
        </w:rPr>
        <w:t>F</w:t>
      </w:r>
      <w:r w:rsidR="00B52267" w:rsidRPr="00B52267">
        <w:rPr>
          <w:b/>
        </w:rPr>
        <w:t>orma Pipeline Safety Labor (Gas 3.03)</w:t>
      </w:r>
      <w:r>
        <w:rPr>
          <w:b/>
        </w:rPr>
        <w:t>.</w:t>
      </w:r>
    </w:p>
    <w:p w14:paraId="7F5EB041" w14:textId="1CE5F59F" w:rsidR="00C92801" w:rsidRPr="00F82BEE" w:rsidRDefault="00C92801" w:rsidP="00F82BEE">
      <w:pPr>
        <w:spacing w:line="480" w:lineRule="auto"/>
        <w:ind w:left="720" w:hanging="720"/>
        <w:rPr>
          <w:b/>
        </w:rPr>
      </w:pPr>
      <w:r>
        <w:t>A.</w:t>
      </w:r>
      <w:r>
        <w:tab/>
      </w:r>
      <w:r w:rsidRPr="00C92801">
        <w:rPr>
          <w:rFonts w:eastAsia="Times New Roman"/>
          <w:bCs/>
        </w:rPr>
        <w:t>Staff’s</w:t>
      </w:r>
      <w:r>
        <w:rPr>
          <w:rFonts w:eastAsia="Times New Roman"/>
          <w:bCs/>
        </w:rPr>
        <w:t xml:space="preserve"> recommendation </w:t>
      </w:r>
      <w:r w:rsidR="006934FE">
        <w:rPr>
          <w:rFonts w:eastAsia="Times New Roman"/>
          <w:bCs/>
        </w:rPr>
        <w:t xml:space="preserve">is to </w:t>
      </w:r>
      <w:r w:rsidR="009A06C4">
        <w:rPr>
          <w:rFonts w:eastAsia="Times New Roman"/>
          <w:bCs/>
        </w:rPr>
        <w:t>completely remov</w:t>
      </w:r>
      <w:r w:rsidR="006934FE">
        <w:rPr>
          <w:rFonts w:eastAsia="Times New Roman"/>
          <w:bCs/>
        </w:rPr>
        <w:t>e</w:t>
      </w:r>
      <w:r w:rsidR="008D706B">
        <w:rPr>
          <w:rFonts w:eastAsia="Times New Roman"/>
          <w:bCs/>
        </w:rPr>
        <w:t xml:space="preserve"> </w:t>
      </w:r>
      <w:r w:rsidR="006E7767">
        <w:rPr>
          <w:rFonts w:eastAsia="Times New Roman"/>
          <w:bCs/>
        </w:rPr>
        <w:t>Avista’s</w:t>
      </w:r>
      <w:r w:rsidR="008D706B">
        <w:rPr>
          <w:rFonts w:eastAsia="Times New Roman"/>
          <w:bCs/>
        </w:rPr>
        <w:t xml:space="preserve"> adjustment</w:t>
      </w:r>
      <w:r w:rsidR="00D97F0B">
        <w:rPr>
          <w:rFonts w:eastAsia="Times New Roman"/>
          <w:bCs/>
        </w:rPr>
        <w:t xml:space="preserve"> because it is not known and measurable</w:t>
      </w:r>
      <w:r w:rsidR="008D706B">
        <w:rPr>
          <w:rFonts w:eastAsia="Times New Roman"/>
          <w:bCs/>
        </w:rPr>
        <w:t xml:space="preserve">. </w:t>
      </w:r>
      <w:r w:rsidR="00746A46">
        <w:rPr>
          <w:rFonts w:eastAsia="Times New Roman"/>
          <w:bCs/>
        </w:rPr>
        <w:t xml:space="preserve">Alternatively, the Commission could </w:t>
      </w:r>
      <w:r w:rsidR="000D74BB">
        <w:rPr>
          <w:rFonts w:eastAsia="Times New Roman"/>
          <w:bCs/>
        </w:rPr>
        <w:t>conclude that only the Washington/Idaho Inspector has been hired.</w:t>
      </w:r>
    </w:p>
    <w:p w14:paraId="6E9CABA4" w14:textId="77777777" w:rsidR="00C92801" w:rsidRPr="000D34EC" w:rsidRDefault="00C92801" w:rsidP="00C92801">
      <w:pPr>
        <w:keepNext/>
        <w:tabs>
          <w:tab w:val="left" w:pos="720"/>
          <w:tab w:val="left" w:pos="1440"/>
        </w:tabs>
        <w:spacing w:line="480" w:lineRule="auto"/>
        <w:outlineLvl w:val="1"/>
        <w:rPr>
          <w:rFonts w:eastAsia="Times New Roman"/>
          <w:bCs/>
        </w:rPr>
      </w:pPr>
    </w:p>
    <w:p w14:paraId="2F01F461" w14:textId="65AA5FB1" w:rsidR="008B5770" w:rsidRDefault="00C92801" w:rsidP="00C92801">
      <w:pPr>
        <w:keepNext/>
        <w:tabs>
          <w:tab w:val="left" w:pos="720"/>
          <w:tab w:val="left" w:pos="1440"/>
        </w:tabs>
        <w:spacing w:line="480" w:lineRule="auto"/>
        <w:outlineLvl w:val="1"/>
        <w:rPr>
          <w:b/>
        </w:rPr>
      </w:pPr>
      <w:r w:rsidRPr="00460E36">
        <w:rPr>
          <w:b/>
        </w:rPr>
        <w:t>Q.</w:t>
      </w:r>
      <w:r w:rsidRPr="00460E36">
        <w:rPr>
          <w:b/>
        </w:rPr>
        <w:tab/>
        <w:t>What</w:t>
      </w:r>
      <w:r>
        <w:rPr>
          <w:b/>
        </w:rPr>
        <w:t xml:space="preserve"> information </w:t>
      </w:r>
      <w:r w:rsidR="00262DBB">
        <w:rPr>
          <w:b/>
        </w:rPr>
        <w:t>forms</w:t>
      </w:r>
      <w:r w:rsidR="00E71F28">
        <w:rPr>
          <w:b/>
        </w:rPr>
        <w:t xml:space="preserve"> </w:t>
      </w:r>
      <w:r>
        <w:rPr>
          <w:b/>
        </w:rPr>
        <w:t>the bas</w:t>
      </w:r>
      <w:r w:rsidR="008116D3">
        <w:rPr>
          <w:b/>
        </w:rPr>
        <w:t>i</w:t>
      </w:r>
      <w:r>
        <w:rPr>
          <w:b/>
        </w:rPr>
        <w:t>s of your recommendation?</w:t>
      </w:r>
    </w:p>
    <w:p w14:paraId="69CBE2A9" w14:textId="026B0149" w:rsidR="008B5770" w:rsidRDefault="008B5770" w:rsidP="004B09DF">
      <w:pPr>
        <w:spacing w:line="480" w:lineRule="auto"/>
        <w:ind w:left="720" w:hanging="720"/>
      </w:pPr>
      <w:r>
        <w:t>A.</w:t>
      </w:r>
      <w:r>
        <w:tab/>
      </w:r>
      <w:r w:rsidR="004A1A01">
        <w:t xml:space="preserve">I have reviewed the </w:t>
      </w:r>
      <w:r w:rsidR="0033029A">
        <w:t>Company</w:t>
      </w:r>
      <w:r w:rsidR="004A1A01">
        <w:t xml:space="preserve">’s </w:t>
      </w:r>
      <w:r w:rsidR="00E71F28">
        <w:t xml:space="preserve">initially filed </w:t>
      </w:r>
      <w:r w:rsidR="00AB784A">
        <w:t>work</w:t>
      </w:r>
      <w:r w:rsidR="004A1A01">
        <w:t>papers</w:t>
      </w:r>
      <w:r w:rsidR="00782CF0">
        <w:t>,</w:t>
      </w:r>
      <w:r w:rsidR="00E71F28">
        <w:t xml:space="preserve"> </w:t>
      </w:r>
      <w:r w:rsidR="004A1A01">
        <w:t xml:space="preserve">and </w:t>
      </w:r>
      <w:r w:rsidR="008116D3">
        <w:t xml:space="preserve">Avista’s responses to </w:t>
      </w:r>
      <w:r w:rsidR="00612705">
        <w:t xml:space="preserve">UTC </w:t>
      </w:r>
      <w:r w:rsidR="004A1A01">
        <w:t>Staff Data Request</w:t>
      </w:r>
      <w:r w:rsidR="008116D3">
        <w:t xml:space="preserve"> No</w:t>
      </w:r>
      <w:r w:rsidR="00E71F28">
        <w:t>s</w:t>
      </w:r>
      <w:r w:rsidR="008116D3">
        <w:t>.</w:t>
      </w:r>
      <w:r w:rsidR="004A1A01">
        <w:t xml:space="preserve"> 134</w:t>
      </w:r>
      <w:r w:rsidR="00782CF0">
        <w:t>,</w:t>
      </w:r>
      <w:r w:rsidR="004A1A01">
        <w:t xml:space="preserve"> 135</w:t>
      </w:r>
      <w:r w:rsidR="00782CF0">
        <w:t>,</w:t>
      </w:r>
      <w:r w:rsidR="004A1A01">
        <w:t xml:space="preserve"> and 136</w:t>
      </w:r>
      <w:r w:rsidR="00782CF0">
        <w:t>.</w:t>
      </w:r>
      <w:r w:rsidR="0029775A">
        <w:rPr>
          <w:rStyle w:val="FootnoteReference"/>
        </w:rPr>
        <w:footnoteReference w:id="28"/>
      </w:r>
      <w:r w:rsidR="00FA6750">
        <w:t xml:space="preserve"> Additionally, I have discussed </w:t>
      </w:r>
      <w:r w:rsidR="004B09DF">
        <w:t xml:space="preserve">RP 1173 </w:t>
      </w:r>
      <w:r w:rsidR="00FA6750">
        <w:t xml:space="preserve">with </w:t>
      </w:r>
      <w:r w:rsidR="007F48DB">
        <w:t xml:space="preserve">the </w:t>
      </w:r>
      <w:r w:rsidR="00FA6750">
        <w:t>Commission</w:t>
      </w:r>
      <w:r w:rsidR="0060140A">
        <w:t>’s</w:t>
      </w:r>
      <w:r w:rsidR="00FA6750">
        <w:t xml:space="preserve"> Pipeline Safety Staff.</w:t>
      </w:r>
    </w:p>
    <w:p w14:paraId="4AB6C807" w14:textId="77777777" w:rsidR="001B51B5" w:rsidRDefault="001B51B5" w:rsidP="004B09DF">
      <w:pPr>
        <w:spacing w:line="480" w:lineRule="auto"/>
        <w:ind w:left="720" w:hanging="720"/>
      </w:pPr>
    </w:p>
    <w:p w14:paraId="41553BCB" w14:textId="51932C12" w:rsidR="008B5770" w:rsidRDefault="005656CC" w:rsidP="001B51B5">
      <w:pPr>
        <w:keepNext/>
        <w:spacing w:line="480" w:lineRule="auto"/>
        <w:rPr>
          <w:b/>
        </w:rPr>
      </w:pPr>
      <w:r>
        <w:rPr>
          <w:b/>
        </w:rPr>
        <w:lastRenderedPageBreak/>
        <w:t>Q.</w:t>
      </w:r>
      <w:r w:rsidR="008B5770">
        <w:rPr>
          <w:b/>
        </w:rPr>
        <w:tab/>
        <w:t>What is the regulatory basis for Staff’s recommendation?</w:t>
      </w:r>
    </w:p>
    <w:p w14:paraId="207A53DC" w14:textId="745A0594" w:rsidR="008B5770" w:rsidRDefault="006D6837" w:rsidP="001B51B5">
      <w:pPr>
        <w:keepNext/>
        <w:spacing w:line="480" w:lineRule="auto"/>
        <w:ind w:left="720" w:hanging="720"/>
      </w:pPr>
      <w:r>
        <w:t>A.</w:t>
      </w:r>
      <w:r>
        <w:tab/>
      </w:r>
      <w:r w:rsidR="0089297A">
        <w:t xml:space="preserve">The </w:t>
      </w:r>
      <w:r w:rsidR="0033029A">
        <w:t>Company</w:t>
      </w:r>
      <w:r>
        <w:t xml:space="preserve">’s </w:t>
      </w:r>
      <w:r w:rsidR="00F92957">
        <w:t>pipeline safety labor</w:t>
      </w:r>
      <w:r>
        <w:t xml:space="preserve"> adjustment is based solely on management’s </w:t>
      </w:r>
      <w:r w:rsidR="00F92957">
        <w:t>estimat</w:t>
      </w:r>
      <w:r w:rsidR="003E1CE2">
        <w:t>ion</w:t>
      </w:r>
      <w:r w:rsidR="0089297A">
        <w:t xml:space="preserve"> of future new positions</w:t>
      </w:r>
      <w:r w:rsidR="00F92957">
        <w:t xml:space="preserve"> and estimate</w:t>
      </w:r>
      <w:r w:rsidR="00D96142">
        <w:t>d</w:t>
      </w:r>
      <w:r w:rsidR="00F92957">
        <w:t xml:space="preserve"> allocations to O&amp;M Expenses</w:t>
      </w:r>
      <w:r w:rsidR="0089297A">
        <w:t xml:space="preserve">; </w:t>
      </w:r>
      <w:r>
        <w:t xml:space="preserve">it </w:t>
      </w:r>
      <w:r w:rsidR="0089297A">
        <w:t xml:space="preserve">does </w:t>
      </w:r>
      <w:r>
        <w:t>not</w:t>
      </w:r>
      <w:r w:rsidR="0089297A">
        <w:t xml:space="preserve"> reach </w:t>
      </w:r>
      <w:r w:rsidR="00746A46">
        <w:t>the</w:t>
      </w:r>
      <w:r w:rsidR="0089297A">
        <w:t xml:space="preserve"> threshold of</w:t>
      </w:r>
      <w:r>
        <w:t xml:space="preserve"> </w:t>
      </w:r>
      <w:r w:rsidR="00746A46">
        <w:t xml:space="preserve">being </w:t>
      </w:r>
      <w:r>
        <w:t>“known and measurable</w:t>
      </w:r>
      <w:r w:rsidR="0089297A">
        <w:t>.</w:t>
      </w:r>
      <w:r>
        <w:t xml:space="preserve">” </w:t>
      </w:r>
      <w:r w:rsidR="0089297A">
        <w:t xml:space="preserve">Absent </w:t>
      </w:r>
      <w:r w:rsidR="00746A46">
        <w:t>such a demonstration</w:t>
      </w:r>
      <w:r w:rsidR="0089297A">
        <w:t xml:space="preserve">, Staff </w:t>
      </w:r>
      <w:r w:rsidR="00746A46">
        <w:t xml:space="preserve">recommends </w:t>
      </w:r>
      <w:r w:rsidR="0089297A">
        <w:t>eliminat</w:t>
      </w:r>
      <w:r w:rsidR="00746A46">
        <w:t>ing</w:t>
      </w:r>
      <w:r w:rsidR="0089297A">
        <w:t xml:space="preserve"> this</w:t>
      </w:r>
      <w:r w:rsidR="00637129">
        <w:t xml:space="preserve"> </w:t>
      </w:r>
      <w:r w:rsidR="0089297A">
        <w:t>expense</w:t>
      </w:r>
      <w:r>
        <w:t>.</w:t>
      </w:r>
    </w:p>
    <w:p w14:paraId="24DD8BF7" w14:textId="73F41E56" w:rsidR="00A411C6" w:rsidRDefault="00DA5DD0" w:rsidP="00A411C6">
      <w:pPr>
        <w:spacing w:line="480" w:lineRule="auto"/>
        <w:ind w:left="720" w:firstLine="720"/>
      </w:pPr>
      <w:r>
        <w:t>Alternatively, i</w:t>
      </w:r>
      <w:r w:rsidR="00CA716A">
        <w:t xml:space="preserve">f the Commission were to accept the </w:t>
      </w:r>
      <w:r w:rsidR="000F14FE">
        <w:t xml:space="preserve">Company’s </w:t>
      </w:r>
      <w:r w:rsidR="00CA716A">
        <w:t xml:space="preserve">estimated </w:t>
      </w:r>
      <w:r w:rsidR="00AB784A">
        <w:t xml:space="preserve">allocation to O&amp;M expense, zero </w:t>
      </w:r>
      <w:r w:rsidR="00CA716A">
        <w:t>out the other positions that have not yet been hired</w:t>
      </w:r>
      <w:r w:rsidR="000F14FE">
        <w:t>,</w:t>
      </w:r>
      <w:r w:rsidR="00CA716A">
        <w:t xml:space="preserve"> and add </w:t>
      </w:r>
      <w:r w:rsidR="000F14FE">
        <w:t xml:space="preserve">only </w:t>
      </w:r>
      <w:r w:rsidR="00CA716A">
        <w:t xml:space="preserve">the </w:t>
      </w:r>
      <w:r w:rsidR="00CA716A" w:rsidRPr="00EB673E">
        <w:t xml:space="preserve">Washington/Idaho Inspector </w:t>
      </w:r>
      <w:r w:rsidR="00CA716A">
        <w:t>at $71,500 to the</w:t>
      </w:r>
      <w:r w:rsidR="00AB784A">
        <w:t xml:space="preserve"> Company’s initially filed work</w:t>
      </w:r>
      <w:r w:rsidR="00CA716A">
        <w:t>papers</w:t>
      </w:r>
      <w:r w:rsidR="000F14FE">
        <w:t>;</w:t>
      </w:r>
      <w:r w:rsidR="00CA716A">
        <w:t xml:space="preserve"> the impact on rates would </w:t>
      </w:r>
      <w:r w:rsidR="00FC19EA">
        <w:t>dec</w:t>
      </w:r>
      <w:r w:rsidR="00657F4C">
        <w:t>r</w:t>
      </w:r>
      <w:r w:rsidR="00FC19EA">
        <w:t xml:space="preserve">ease </w:t>
      </w:r>
      <w:r w:rsidR="00477D1A">
        <w:t xml:space="preserve">gas </w:t>
      </w:r>
      <w:r w:rsidR="00FC19EA">
        <w:t xml:space="preserve">net operating income </w:t>
      </w:r>
      <w:r w:rsidR="00CA716A">
        <w:t>b</w:t>
      </w:r>
      <w:r w:rsidR="00FC19EA">
        <w:t>y</w:t>
      </w:r>
      <w:r w:rsidR="00CA716A">
        <w:t xml:space="preserve"> approximately $</w:t>
      </w:r>
      <w:r w:rsidR="00FC19EA">
        <w:t>3</w:t>
      </w:r>
      <w:r w:rsidR="00CA716A">
        <w:t>,000</w:t>
      </w:r>
      <w:r w:rsidR="00B12424">
        <w:t>,</w:t>
      </w:r>
      <w:r w:rsidR="00FC19EA">
        <w:t xml:space="preserve"> </w:t>
      </w:r>
      <w:r w:rsidR="00B12424">
        <w:t>but the</w:t>
      </w:r>
      <w:r w:rsidR="00FC19EA">
        <w:t xml:space="preserve"> impact on rate base</w:t>
      </w:r>
      <w:r w:rsidR="00B12424">
        <w:t xml:space="preserve"> would be zero</w:t>
      </w:r>
      <w:r w:rsidR="00CA716A">
        <w:t>.</w:t>
      </w:r>
      <w:r w:rsidR="00CA716A">
        <w:rPr>
          <w:rStyle w:val="FootnoteReference"/>
        </w:rPr>
        <w:footnoteReference w:id="29"/>
      </w:r>
      <w:r w:rsidR="00CA716A">
        <w:t xml:space="preserve">  </w:t>
      </w:r>
    </w:p>
    <w:p w14:paraId="7FD87304" w14:textId="77777777" w:rsidR="00CA716A" w:rsidRPr="00A411C6" w:rsidRDefault="00CA716A" w:rsidP="00A411C6">
      <w:pPr>
        <w:spacing w:line="480" w:lineRule="auto"/>
        <w:ind w:left="720" w:firstLine="720"/>
      </w:pPr>
    </w:p>
    <w:p w14:paraId="48454AE2" w14:textId="6927D628" w:rsidR="00F40F70" w:rsidRDefault="008B5770" w:rsidP="00F40F70">
      <w:pPr>
        <w:tabs>
          <w:tab w:val="right" w:leader="dot" w:pos="8910"/>
        </w:tabs>
        <w:spacing w:line="480" w:lineRule="auto"/>
        <w:ind w:left="720" w:hanging="720"/>
        <w:rPr>
          <w:b/>
        </w:rPr>
      </w:pPr>
      <w:r w:rsidRPr="00460E36">
        <w:rPr>
          <w:b/>
        </w:rPr>
        <w:t>Q.</w:t>
      </w:r>
      <w:r w:rsidRPr="00460E36">
        <w:rPr>
          <w:b/>
        </w:rPr>
        <w:tab/>
      </w:r>
      <w:r w:rsidR="002D388E" w:rsidRPr="002D388E">
        <w:rPr>
          <w:b/>
        </w:rPr>
        <w:t>Have you prepared an</w:t>
      </w:r>
      <w:r w:rsidR="00D33B94">
        <w:rPr>
          <w:b/>
        </w:rPr>
        <w:t>y</w:t>
      </w:r>
      <w:r w:rsidR="002D388E" w:rsidRPr="002D388E">
        <w:rPr>
          <w:b/>
        </w:rPr>
        <w:t xml:space="preserve"> exhibit</w:t>
      </w:r>
      <w:r w:rsidR="00D33B94">
        <w:rPr>
          <w:b/>
        </w:rPr>
        <w:t>s</w:t>
      </w:r>
      <w:r w:rsidR="002D388E" w:rsidRPr="002D388E">
        <w:rPr>
          <w:b/>
        </w:rPr>
        <w:t xml:space="preserve"> detailing Staff’s recommendation?</w:t>
      </w:r>
    </w:p>
    <w:p w14:paraId="211922F0" w14:textId="77777777" w:rsidR="003A645B" w:rsidRDefault="008B5770" w:rsidP="00F40F70">
      <w:pPr>
        <w:tabs>
          <w:tab w:val="right" w:leader="dot" w:pos="8910"/>
        </w:tabs>
        <w:spacing w:line="480" w:lineRule="auto"/>
        <w:ind w:left="720" w:hanging="720"/>
      </w:pPr>
      <w:r>
        <w:t>A.</w:t>
      </w:r>
      <w:r>
        <w:tab/>
      </w:r>
      <w:r w:rsidR="002D388E" w:rsidRPr="002D388E">
        <w:t xml:space="preserve">Yes, please refer to </w:t>
      </w:r>
      <w:r w:rsidR="003A645B">
        <w:t xml:space="preserve">the following exhibits. </w:t>
      </w:r>
    </w:p>
    <w:p w14:paraId="4000115F" w14:textId="195048D1" w:rsidR="003A645B" w:rsidRDefault="002D388E" w:rsidP="00864D22">
      <w:pPr>
        <w:pStyle w:val="ListParagraph"/>
        <w:numPr>
          <w:ilvl w:val="0"/>
          <w:numId w:val="57"/>
        </w:numPr>
        <w:tabs>
          <w:tab w:val="right" w:leader="dot" w:pos="8910"/>
        </w:tabs>
        <w:spacing w:line="480" w:lineRule="auto"/>
        <w:ind w:left="1440"/>
      </w:pPr>
      <w:r w:rsidRPr="002D388E">
        <w:t>Exhibit No. MC</w:t>
      </w:r>
      <w:r>
        <w:t>-12,</w:t>
      </w:r>
      <w:r w:rsidRPr="00702B48">
        <w:t xml:space="preserve"> Avista’s Initially Filed</w:t>
      </w:r>
      <w:r>
        <w:t xml:space="preserve"> </w:t>
      </w:r>
      <w:r w:rsidRPr="00702B48">
        <w:t>Pro Forma Pipeline Safety Labor (Gas 3.03)</w:t>
      </w:r>
      <w:r w:rsidR="003A645B">
        <w:t>.</w:t>
      </w:r>
    </w:p>
    <w:p w14:paraId="3AE215B2" w14:textId="630AA989" w:rsidR="003A645B" w:rsidRDefault="00AF5841" w:rsidP="00864D22">
      <w:pPr>
        <w:pStyle w:val="ListParagraph"/>
        <w:numPr>
          <w:ilvl w:val="0"/>
          <w:numId w:val="57"/>
        </w:numPr>
        <w:tabs>
          <w:tab w:val="right" w:leader="dot" w:pos="8910"/>
        </w:tabs>
        <w:spacing w:line="480" w:lineRule="auto"/>
        <w:ind w:left="1440"/>
      </w:pPr>
      <w:r>
        <w:t>Exhibit No. MC</w:t>
      </w:r>
      <w:r w:rsidR="002D388E">
        <w:t>-13,</w:t>
      </w:r>
      <w:r w:rsidR="002D388E" w:rsidRPr="00702B48">
        <w:t xml:space="preserve"> Avista’s Response to </w:t>
      </w:r>
      <w:r w:rsidR="00612705">
        <w:t xml:space="preserve">UTC </w:t>
      </w:r>
      <w:r w:rsidR="002D388E" w:rsidRPr="00702B48">
        <w:t xml:space="preserve">Staff Data Request </w:t>
      </w:r>
      <w:r w:rsidR="00612705">
        <w:t>Nos</w:t>
      </w:r>
      <w:r w:rsidR="003A645B">
        <w:t>. </w:t>
      </w:r>
      <w:r w:rsidR="002D388E" w:rsidRPr="00702B48">
        <w:t>13</w:t>
      </w:r>
      <w:r>
        <w:t>4 and 135</w:t>
      </w:r>
      <w:r w:rsidR="003A645B">
        <w:t>.</w:t>
      </w:r>
    </w:p>
    <w:p w14:paraId="399C805F" w14:textId="02AA032C" w:rsidR="003A645B" w:rsidRDefault="00AF5841" w:rsidP="00864D22">
      <w:pPr>
        <w:pStyle w:val="ListParagraph"/>
        <w:numPr>
          <w:ilvl w:val="0"/>
          <w:numId w:val="57"/>
        </w:numPr>
        <w:tabs>
          <w:tab w:val="right" w:leader="dot" w:pos="8910"/>
        </w:tabs>
        <w:spacing w:line="480" w:lineRule="auto"/>
        <w:ind w:left="1440"/>
      </w:pPr>
      <w:r>
        <w:t>Exhibit No. MC</w:t>
      </w:r>
      <w:r w:rsidR="002D388E">
        <w:t>-14,</w:t>
      </w:r>
      <w:r w:rsidR="002D388E" w:rsidRPr="00702B48">
        <w:t xml:space="preserve"> Avista’s Response to </w:t>
      </w:r>
      <w:r w:rsidR="00612705">
        <w:t xml:space="preserve">UTC </w:t>
      </w:r>
      <w:r w:rsidR="002D388E" w:rsidRPr="00702B48">
        <w:t xml:space="preserve">Staff Data Request </w:t>
      </w:r>
      <w:r w:rsidR="00612705">
        <w:t>No</w:t>
      </w:r>
      <w:r w:rsidR="003A645B">
        <w:t>. </w:t>
      </w:r>
      <w:r w:rsidR="002D388E" w:rsidRPr="00702B48">
        <w:t>13</w:t>
      </w:r>
      <w:r>
        <w:t>6</w:t>
      </w:r>
      <w:r w:rsidR="003A645B">
        <w:t>.</w:t>
      </w:r>
    </w:p>
    <w:p w14:paraId="02163A50" w14:textId="35D304B1" w:rsidR="008B5770" w:rsidRDefault="00AF5841" w:rsidP="00864D22">
      <w:pPr>
        <w:pStyle w:val="ListParagraph"/>
        <w:numPr>
          <w:ilvl w:val="0"/>
          <w:numId w:val="57"/>
        </w:numPr>
        <w:tabs>
          <w:tab w:val="right" w:leader="dot" w:pos="8910"/>
        </w:tabs>
        <w:spacing w:line="480" w:lineRule="auto"/>
        <w:ind w:left="1440"/>
      </w:pPr>
      <w:r>
        <w:t>Exhibit No. MC</w:t>
      </w:r>
      <w:r w:rsidR="002D388E">
        <w:t>-15</w:t>
      </w:r>
      <w:r w:rsidR="002D388E" w:rsidRPr="0054173C">
        <w:t>,</w:t>
      </w:r>
      <w:r w:rsidR="002D388E">
        <w:t xml:space="preserve"> Pipeline FTE Alternative.</w:t>
      </w:r>
    </w:p>
    <w:p w14:paraId="5F166F2F" w14:textId="77777777" w:rsidR="002D388E" w:rsidRDefault="002D388E" w:rsidP="00E64848">
      <w:pPr>
        <w:spacing w:line="480" w:lineRule="auto"/>
        <w:ind w:left="720" w:hanging="720"/>
      </w:pPr>
    </w:p>
    <w:p w14:paraId="0E12E895" w14:textId="42F6CAA5" w:rsidR="00E64848" w:rsidRDefault="00E64848" w:rsidP="0082794C">
      <w:pPr>
        <w:keepNext/>
        <w:numPr>
          <w:ilvl w:val="0"/>
          <w:numId w:val="47"/>
        </w:numPr>
        <w:tabs>
          <w:tab w:val="left" w:pos="1440"/>
        </w:tabs>
        <w:spacing w:line="480" w:lineRule="auto"/>
        <w:ind w:left="1080" w:firstLine="0"/>
        <w:outlineLvl w:val="1"/>
        <w:rPr>
          <w:rFonts w:eastAsia="Times New Roman"/>
          <w:b/>
          <w:bCs/>
        </w:rPr>
      </w:pPr>
      <w:r w:rsidRPr="00ED7227">
        <w:rPr>
          <w:rFonts w:eastAsia="Times New Roman"/>
          <w:b/>
          <w:bCs/>
        </w:rPr>
        <w:lastRenderedPageBreak/>
        <w:t>Pro Forma Meter Deferral &amp; Amortization (Electric 3.07</w:t>
      </w:r>
      <w:r w:rsidR="00774273">
        <w:rPr>
          <w:rFonts w:eastAsia="Times New Roman"/>
          <w:b/>
          <w:bCs/>
        </w:rPr>
        <w:t>)</w:t>
      </w:r>
    </w:p>
    <w:p w14:paraId="736696D1" w14:textId="77777777" w:rsidR="001F6DBF" w:rsidRDefault="001F6DBF" w:rsidP="001F6DBF">
      <w:pPr>
        <w:keepNext/>
        <w:tabs>
          <w:tab w:val="left" w:pos="1440"/>
        </w:tabs>
        <w:spacing w:line="480" w:lineRule="auto"/>
        <w:ind w:left="1080"/>
        <w:outlineLvl w:val="1"/>
        <w:rPr>
          <w:rFonts w:eastAsia="Times New Roman"/>
          <w:b/>
          <w:bCs/>
        </w:rPr>
      </w:pPr>
    </w:p>
    <w:p w14:paraId="6D8F3AC7" w14:textId="1C266332" w:rsidR="001F6DBF" w:rsidRPr="001F6DBF" w:rsidRDefault="001F6DBF" w:rsidP="00004351">
      <w:pPr>
        <w:keepNext/>
        <w:tabs>
          <w:tab w:val="left" w:pos="720"/>
          <w:tab w:val="left" w:pos="1440"/>
        </w:tabs>
        <w:spacing w:line="480" w:lineRule="auto"/>
        <w:ind w:left="720" w:hanging="720"/>
        <w:outlineLvl w:val="1"/>
        <w:rPr>
          <w:rFonts w:eastAsia="Times New Roman"/>
          <w:b/>
          <w:bCs/>
        </w:rPr>
      </w:pPr>
      <w:r w:rsidRPr="001F6DBF">
        <w:rPr>
          <w:rFonts w:eastAsia="Times New Roman"/>
          <w:b/>
          <w:bCs/>
        </w:rPr>
        <w:t>Q.</w:t>
      </w:r>
      <w:r w:rsidRPr="001F6DBF">
        <w:rPr>
          <w:rFonts w:eastAsia="Times New Roman"/>
          <w:b/>
          <w:bCs/>
        </w:rPr>
        <w:tab/>
        <w:t xml:space="preserve">Does the Commission rely on any other standards </w:t>
      </w:r>
      <w:r>
        <w:rPr>
          <w:rFonts w:eastAsia="Times New Roman"/>
          <w:b/>
          <w:bCs/>
        </w:rPr>
        <w:t xml:space="preserve">when reviewing </w:t>
      </w:r>
      <w:r w:rsidRPr="001F6DBF">
        <w:rPr>
          <w:rFonts w:eastAsia="Times New Roman"/>
          <w:b/>
          <w:bCs/>
        </w:rPr>
        <w:t>pro forma adjustments?</w:t>
      </w:r>
    </w:p>
    <w:p w14:paraId="2ACEDB9B" w14:textId="7CADB87B" w:rsidR="0084732A" w:rsidRDefault="001F6DBF" w:rsidP="00004351">
      <w:pPr>
        <w:keepNext/>
        <w:tabs>
          <w:tab w:val="left" w:pos="720"/>
          <w:tab w:val="left" w:pos="1440"/>
        </w:tabs>
        <w:spacing w:line="480" w:lineRule="auto"/>
        <w:ind w:left="720" w:hanging="720"/>
        <w:outlineLvl w:val="1"/>
        <w:rPr>
          <w:rFonts w:eastAsia="Times New Roman"/>
        </w:rPr>
      </w:pPr>
      <w:r w:rsidRPr="00477D1A">
        <w:rPr>
          <w:rFonts w:eastAsia="Times New Roman"/>
        </w:rPr>
        <w:t>A.</w:t>
      </w:r>
      <w:r w:rsidRPr="00477D1A">
        <w:rPr>
          <w:rFonts w:eastAsia="Times New Roman"/>
        </w:rPr>
        <w:tab/>
        <w:t>Yes.</w:t>
      </w:r>
      <w:r>
        <w:rPr>
          <w:rFonts w:eastAsia="Times New Roman"/>
        </w:rPr>
        <w:t xml:space="preserve"> </w:t>
      </w:r>
      <w:r w:rsidRPr="00004351">
        <w:rPr>
          <w:rFonts w:eastAsia="Times New Roman"/>
          <w:bCs/>
        </w:rPr>
        <w:t>The Co</w:t>
      </w:r>
      <w:r w:rsidR="00AB784A">
        <w:rPr>
          <w:rFonts w:eastAsia="Times New Roman"/>
          <w:bCs/>
        </w:rPr>
        <w:t>mmission, as well as Staff, has</w:t>
      </w:r>
      <w:r w:rsidRPr="00004351">
        <w:rPr>
          <w:rFonts w:eastAsia="Times New Roman"/>
          <w:bCs/>
        </w:rPr>
        <w:t xml:space="preserve"> a strong preference for adhering to the matching</w:t>
      </w:r>
      <w:r w:rsidRPr="00477D1A">
        <w:rPr>
          <w:rFonts w:eastAsia="Times New Roman"/>
        </w:rPr>
        <w:t xml:space="preserve"> principle wherever possible.</w:t>
      </w:r>
      <w:r w:rsidR="00834DF0">
        <w:rPr>
          <w:rStyle w:val="FootnoteReference"/>
          <w:rFonts w:eastAsia="Times New Roman"/>
        </w:rPr>
        <w:footnoteReference w:id="30"/>
      </w:r>
      <w:r>
        <w:rPr>
          <w:rFonts w:eastAsia="Times New Roman"/>
        </w:rPr>
        <w:t xml:space="preserve"> </w:t>
      </w:r>
      <w:r w:rsidRPr="00004351">
        <w:rPr>
          <w:rFonts w:eastAsia="Times New Roman"/>
          <w:bCs/>
        </w:rPr>
        <w:t xml:space="preserve">The matching principle is </w:t>
      </w:r>
      <w:r w:rsidRPr="00502ED5">
        <w:rPr>
          <w:rFonts w:eastAsia="Times New Roman"/>
        </w:rPr>
        <w:t>a</w:t>
      </w:r>
      <w:r w:rsidRPr="00EA5A81">
        <w:rPr>
          <w:rFonts w:eastAsia="Times New Roman"/>
        </w:rPr>
        <w:t xml:space="preserve">n </w:t>
      </w:r>
      <w:r w:rsidRPr="00004351">
        <w:rPr>
          <w:rFonts w:eastAsia="Times New Roman"/>
          <w:bCs/>
        </w:rPr>
        <w:t xml:space="preserve">important </w:t>
      </w:r>
      <w:r w:rsidR="00AB40B6">
        <w:rPr>
          <w:rFonts w:eastAsia="Times New Roman"/>
          <w:bCs/>
        </w:rPr>
        <w:t>basic</w:t>
      </w:r>
      <w:r w:rsidR="00AB40B6" w:rsidRPr="005D73CC">
        <w:rPr>
          <w:rFonts w:eastAsia="Times New Roman"/>
          <w:bCs/>
        </w:rPr>
        <w:t xml:space="preserve"> </w:t>
      </w:r>
      <w:r w:rsidRPr="00004351">
        <w:rPr>
          <w:rFonts w:eastAsia="Times New Roman"/>
          <w:bCs/>
        </w:rPr>
        <w:t xml:space="preserve">accounting </w:t>
      </w:r>
      <w:r w:rsidR="00650612">
        <w:rPr>
          <w:rFonts w:eastAsia="Times New Roman"/>
          <w:bCs/>
        </w:rPr>
        <w:t>guideline</w:t>
      </w:r>
      <w:r w:rsidRPr="00004351">
        <w:rPr>
          <w:rFonts w:eastAsia="Times New Roman"/>
          <w:bCs/>
        </w:rPr>
        <w:t xml:space="preserve"> in which </w:t>
      </w:r>
      <w:r w:rsidR="00AB40B6">
        <w:rPr>
          <w:rFonts w:eastAsia="Times New Roman"/>
          <w:bCs/>
        </w:rPr>
        <w:t xml:space="preserve">incurred </w:t>
      </w:r>
      <w:r w:rsidRPr="00004351">
        <w:rPr>
          <w:rFonts w:eastAsia="Times New Roman"/>
          <w:bCs/>
        </w:rPr>
        <w:t>expenses</w:t>
      </w:r>
      <w:r w:rsidRPr="00502ED5">
        <w:rPr>
          <w:rFonts w:eastAsia="Times New Roman"/>
        </w:rPr>
        <w:t xml:space="preserve"> </w:t>
      </w:r>
      <w:r w:rsidR="00650612">
        <w:rPr>
          <w:rFonts w:eastAsia="Times New Roman"/>
          <w:bCs/>
        </w:rPr>
        <w:t>should be recorded</w:t>
      </w:r>
      <w:r w:rsidRPr="00502ED5">
        <w:rPr>
          <w:rFonts w:eastAsia="Times New Roman"/>
        </w:rPr>
        <w:t xml:space="preserve"> in the same </w:t>
      </w:r>
      <w:r w:rsidR="00650612">
        <w:rPr>
          <w:rFonts w:eastAsia="Times New Roman"/>
          <w:bCs/>
        </w:rPr>
        <w:t>period in which t</w:t>
      </w:r>
      <w:r w:rsidR="00AB40B6">
        <w:rPr>
          <w:rFonts w:eastAsia="Times New Roman"/>
          <w:bCs/>
        </w:rPr>
        <w:t xml:space="preserve">he corresponding </w:t>
      </w:r>
      <w:r w:rsidRPr="00004351">
        <w:rPr>
          <w:rFonts w:eastAsia="Times New Roman"/>
          <w:bCs/>
        </w:rPr>
        <w:t xml:space="preserve">revenues </w:t>
      </w:r>
      <w:r w:rsidR="00834DF0">
        <w:rPr>
          <w:rFonts w:eastAsia="Times New Roman"/>
          <w:bCs/>
        </w:rPr>
        <w:t>are</w:t>
      </w:r>
      <w:r w:rsidR="00AB40B6">
        <w:rPr>
          <w:rFonts w:eastAsia="Times New Roman"/>
          <w:bCs/>
        </w:rPr>
        <w:t xml:space="preserve"> earned</w:t>
      </w:r>
      <w:r w:rsidRPr="00004351">
        <w:rPr>
          <w:rFonts w:eastAsia="Times New Roman"/>
          <w:bCs/>
        </w:rPr>
        <w:t>.</w:t>
      </w:r>
    </w:p>
    <w:p w14:paraId="4D6467D2" w14:textId="77777777" w:rsidR="001F6DBF" w:rsidRPr="00004351" w:rsidRDefault="001F6DBF" w:rsidP="001F6DBF">
      <w:pPr>
        <w:keepNext/>
        <w:tabs>
          <w:tab w:val="left" w:pos="720"/>
          <w:tab w:val="left" w:pos="1440"/>
        </w:tabs>
        <w:spacing w:line="480" w:lineRule="auto"/>
        <w:outlineLvl w:val="1"/>
        <w:rPr>
          <w:rFonts w:eastAsia="Times New Roman"/>
          <w:bCs/>
        </w:rPr>
      </w:pPr>
    </w:p>
    <w:p w14:paraId="2D09B4E0" w14:textId="5F6D0C27" w:rsidR="008116D3" w:rsidRDefault="00D04FAA" w:rsidP="00EE7BC0">
      <w:pPr>
        <w:spacing w:line="480" w:lineRule="auto"/>
        <w:ind w:left="720" w:hanging="720"/>
        <w:rPr>
          <w:rFonts w:eastAsia="Times New Roman"/>
          <w:b/>
          <w:bCs/>
        </w:rPr>
      </w:pPr>
      <w:r>
        <w:rPr>
          <w:rFonts w:eastAsia="Times New Roman"/>
          <w:b/>
          <w:bCs/>
        </w:rPr>
        <w:t>Q.</w:t>
      </w:r>
      <w:r>
        <w:rPr>
          <w:rFonts w:eastAsia="Times New Roman"/>
          <w:b/>
          <w:bCs/>
        </w:rPr>
        <w:tab/>
      </w:r>
      <w:r w:rsidR="00EE7BC0">
        <w:rPr>
          <w:rFonts w:eastAsia="Times New Roman"/>
          <w:b/>
          <w:bCs/>
        </w:rPr>
        <w:t>Has the Commission recently provided guidance for evaluating adjustments for meter deferral and amortization?</w:t>
      </w:r>
      <w:r w:rsidR="002577F5">
        <w:rPr>
          <w:rFonts w:eastAsia="Times New Roman"/>
          <w:b/>
          <w:bCs/>
        </w:rPr>
        <w:t xml:space="preserve"> </w:t>
      </w:r>
    </w:p>
    <w:p w14:paraId="60080C45" w14:textId="27F0C8EB" w:rsidR="008271D9" w:rsidRDefault="00D04FAA" w:rsidP="00EE7BC0">
      <w:pPr>
        <w:spacing w:line="480" w:lineRule="auto"/>
        <w:ind w:left="720" w:hanging="720"/>
        <w:rPr>
          <w:rFonts w:eastAsia="Times New Roman"/>
          <w:bCs/>
        </w:rPr>
      </w:pPr>
      <w:r>
        <w:rPr>
          <w:rFonts w:eastAsia="Times New Roman"/>
          <w:bCs/>
        </w:rPr>
        <w:t>A.</w:t>
      </w:r>
      <w:r>
        <w:rPr>
          <w:rFonts w:eastAsia="Times New Roman"/>
          <w:bCs/>
        </w:rPr>
        <w:tab/>
      </w:r>
      <w:r w:rsidR="008271D9">
        <w:rPr>
          <w:rFonts w:eastAsia="Times New Roman"/>
          <w:bCs/>
        </w:rPr>
        <w:t>Yes. In Order 01 of D</w:t>
      </w:r>
      <w:r w:rsidR="00AB784A">
        <w:rPr>
          <w:rFonts w:eastAsia="Times New Roman"/>
          <w:bCs/>
        </w:rPr>
        <w:t>ocket UE-160100,</w:t>
      </w:r>
      <w:r w:rsidR="008271D9">
        <w:rPr>
          <w:rFonts w:eastAsia="Times New Roman"/>
          <w:bCs/>
        </w:rPr>
        <w:t xml:space="preserve"> the Commission </w:t>
      </w:r>
      <w:r>
        <w:rPr>
          <w:rFonts w:eastAsia="Times New Roman"/>
          <w:bCs/>
        </w:rPr>
        <w:t>detail</w:t>
      </w:r>
      <w:r w:rsidR="008271D9">
        <w:rPr>
          <w:rFonts w:eastAsia="Times New Roman"/>
          <w:bCs/>
        </w:rPr>
        <w:t>ed</w:t>
      </w:r>
      <w:r w:rsidR="00A35834">
        <w:rPr>
          <w:rFonts w:eastAsia="Times New Roman"/>
          <w:bCs/>
        </w:rPr>
        <w:t xml:space="preserve"> </w:t>
      </w:r>
      <w:r w:rsidR="008271D9">
        <w:rPr>
          <w:rFonts w:eastAsia="Times New Roman"/>
          <w:bCs/>
        </w:rPr>
        <w:t>how</w:t>
      </w:r>
      <w:r>
        <w:rPr>
          <w:rFonts w:eastAsia="Times New Roman"/>
          <w:bCs/>
        </w:rPr>
        <w:t xml:space="preserve"> the retirement and deferral of Avista’s existing meters</w:t>
      </w:r>
      <w:r w:rsidR="008271D9">
        <w:rPr>
          <w:rFonts w:eastAsia="Times New Roman"/>
          <w:bCs/>
        </w:rPr>
        <w:t xml:space="preserve"> should be evaluated, stating:</w:t>
      </w:r>
    </w:p>
    <w:p w14:paraId="3AB1860D" w14:textId="7770A1DA" w:rsidR="008271D9" w:rsidRDefault="006F31E4" w:rsidP="00144B1E">
      <w:pPr>
        <w:spacing w:after="240"/>
        <w:ind w:left="1440" w:right="720" w:firstLine="720"/>
        <w:rPr>
          <w:rFonts w:eastAsia="Times New Roman"/>
          <w:bCs/>
        </w:rPr>
      </w:pPr>
      <w:r>
        <w:rPr>
          <w:rFonts w:eastAsia="Times New Roman"/>
          <w:bCs/>
        </w:rPr>
        <w:t xml:space="preserve">Avista Corporation[] . . . [is permitted to] </w:t>
      </w:r>
      <w:r w:rsidR="008271D9" w:rsidRPr="008271D9">
        <w:rPr>
          <w:rFonts w:eastAsia="Times New Roman"/>
          <w:bCs/>
        </w:rPr>
        <w:t xml:space="preserve">defer accounting the remaining net book value of its existing electric meters as the meters are removed from service to a regulatory asset account, Other Regulatory Assets – 182.3 </w:t>
      </w:r>
      <w:r w:rsidR="008271D9">
        <w:rPr>
          <w:rFonts w:eastAsia="Times New Roman"/>
          <w:bCs/>
        </w:rPr>
        <w:t>. . .</w:t>
      </w:r>
      <w:r w:rsidR="008271D9" w:rsidRPr="008271D9">
        <w:rPr>
          <w:rFonts w:eastAsia="Times New Roman"/>
          <w:bCs/>
        </w:rPr>
        <w:t xml:space="preserve"> subject to the condition that this Order is effective on the date Avista Corporation executes contracts with vendors and moves forward with its AMI investment as outlined in its Amended Petition.</w:t>
      </w:r>
    </w:p>
    <w:p w14:paraId="296361A6" w14:textId="001A7BE5" w:rsidR="00D04FAA" w:rsidRDefault="008271D9" w:rsidP="00144B1E">
      <w:pPr>
        <w:spacing w:after="240"/>
        <w:ind w:left="1440" w:right="720" w:firstLine="720"/>
        <w:rPr>
          <w:rFonts w:eastAsia="Times New Roman"/>
          <w:bCs/>
        </w:rPr>
      </w:pPr>
      <w:r w:rsidRPr="006F31E4">
        <w:rPr>
          <w:rFonts w:eastAsia="Times New Roman"/>
          <w:bCs/>
        </w:rPr>
        <w:t>Avista Corporation must file with the Commission an annual report by January 31 of each year, beginning January 31, 2017, documenting the actual number of meters retired in the previous calendar year and the net book value of those meters at the time of retirement</w:t>
      </w:r>
      <w:r w:rsidR="00D04FAA">
        <w:rPr>
          <w:rFonts w:eastAsia="Times New Roman"/>
          <w:bCs/>
        </w:rPr>
        <w:t>.</w:t>
      </w:r>
    </w:p>
    <w:p w14:paraId="1ABB851B" w14:textId="77777777" w:rsidR="0065277D" w:rsidRDefault="0065277D" w:rsidP="00AC5608">
      <w:pPr>
        <w:spacing w:after="240"/>
        <w:ind w:left="1440" w:right="734" w:firstLine="720"/>
        <w:jc w:val="both"/>
        <w:rPr>
          <w:rFonts w:eastAsia="Times New Roman"/>
          <w:bCs/>
        </w:rPr>
      </w:pPr>
    </w:p>
    <w:p w14:paraId="231C4044" w14:textId="7C5D2B73" w:rsidR="00E64848" w:rsidRDefault="008B5770" w:rsidP="00AC5608">
      <w:pPr>
        <w:keepNext/>
        <w:tabs>
          <w:tab w:val="left" w:pos="720"/>
          <w:tab w:val="left" w:pos="1440"/>
        </w:tabs>
        <w:spacing w:line="480" w:lineRule="auto"/>
        <w:ind w:left="720" w:hanging="720"/>
        <w:outlineLvl w:val="1"/>
        <w:rPr>
          <w:b/>
        </w:rPr>
      </w:pPr>
      <w:r w:rsidRPr="00460E36">
        <w:rPr>
          <w:b/>
        </w:rPr>
        <w:lastRenderedPageBreak/>
        <w:t>Q.</w:t>
      </w:r>
      <w:r w:rsidRPr="00460E36">
        <w:rPr>
          <w:b/>
        </w:rPr>
        <w:tab/>
        <w:t xml:space="preserve">Please summarize the </w:t>
      </w:r>
      <w:r w:rsidR="0033029A">
        <w:rPr>
          <w:b/>
        </w:rPr>
        <w:t>Company</w:t>
      </w:r>
      <w:r w:rsidRPr="00460E36">
        <w:rPr>
          <w:b/>
        </w:rPr>
        <w:t>’s adjustment</w:t>
      </w:r>
      <w:r w:rsidR="002577F5">
        <w:rPr>
          <w:b/>
        </w:rPr>
        <w:t>.</w:t>
      </w:r>
    </w:p>
    <w:p w14:paraId="407A4A4C" w14:textId="5243FB3F" w:rsidR="00E64848" w:rsidRPr="00E64848" w:rsidRDefault="00EA11E5" w:rsidP="00E64848">
      <w:pPr>
        <w:spacing w:line="480" w:lineRule="auto"/>
        <w:ind w:left="720" w:hanging="720"/>
      </w:pPr>
      <w:r>
        <w:rPr>
          <w:rFonts w:eastAsia="Times New Roman"/>
          <w:bCs/>
        </w:rPr>
        <w:t>A.</w:t>
      </w:r>
      <w:r>
        <w:rPr>
          <w:rFonts w:eastAsia="Times New Roman"/>
          <w:bCs/>
        </w:rPr>
        <w:tab/>
        <w:t xml:space="preserve">The </w:t>
      </w:r>
      <w:r w:rsidR="0033029A">
        <w:rPr>
          <w:rFonts w:eastAsia="Times New Roman"/>
          <w:bCs/>
        </w:rPr>
        <w:t>Company</w:t>
      </w:r>
      <w:r w:rsidR="008B5770">
        <w:rPr>
          <w:rFonts w:eastAsia="Times New Roman"/>
          <w:bCs/>
        </w:rPr>
        <w:t xml:space="preserve"> </w:t>
      </w:r>
      <w:r>
        <w:rPr>
          <w:rFonts w:eastAsia="Times New Roman"/>
          <w:bCs/>
        </w:rPr>
        <w:t xml:space="preserve">proposes to </w:t>
      </w:r>
      <w:r w:rsidR="00E64848">
        <w:rPr>
          <w:rFonts w:eastAsia="Times New Roman"/>
          <w:bCs/>
        </w:rPr>
        <w:t>transfer</w:t>
      </w:r>
      <w:r>
        <w:rPr>
          <w:rFonts w:eastAsia="Times New Roman"/>
          <w:bCs/>
        </w:rPr>
        <w:t xml:space="preserve"> </w:t>
      </w:r>
      <w:r w:rsidR="00E01D1E">
        <w:rPr>
          <w:rFonts w:eastAsia="Times New Roman"/>
          <w:bCs/>
        </w:rPr>
        <w:t xml:space="preserve">an estimated </w:t>
      </w:r>
      <w:r>
        <w:rPr>
          <w:rFonts w:eastAsia="Times New Roman"/>
          <w:bCs/>
        </w:rPr>
        <w:t>$18.6 million</w:t>
      </w:r>
      <w:r w:rsidR="00E64848">
        <w:rPr>
          <w:rFonts w:eastAsia="Times New Roman"/>
          <w:bCs/>
        </w:rPr>
        <w:t xml:space="preserve"> of</w:t>
      </w:r>
      <w:r>
        <w:rPr>
          <w:rFonts w:eastAsia="Times New Roman"/>
          <w:bCs/>
        </w:rPr>
        <w:t xml:space="preserve"> undepreciated electric meters from distribution plant to a regulatory asset</w:t>
      </w:r>
      <w:r w:rsidR="0063120A">
        <w:rPr>
          <w:rFonts w:eastAsia="Times New Roman"/>
          <w:bCs/>
        </w:rPr>
        <w:t>. Th</w:t>
      </w:r>
      <w:r w:rsidR="00972A19">
        <w:rPr>
          <w:rFonts w:eastAsia="Times New Roman"/>
          <w:bCs/>
        </w:rPr>
        <w:t>e</w:t>
      </w:r>
      <w:r w:rsidR="0063120A">
        <w:rPr>
          <w:rFonts w:eastAsia="Times New Roman"/>
          <w:bCs/>
        </w:rPr>
        <w:t xml:space="preserve"> </w:t>
      </w:r>
      <w:r w:rsidR="007D5AA3">
        <w:rPr>
          <w:rFonts w:eastAsia="Times New Roman"/>
          <w:bCs/>
        </w:rPr>
        <w:t xml:space="preserve">net </w:t>
      </w:r>
      <w:r w:rsidR="0063120A">
        <w:rPr>
          <w:rFonts w:eastAsia="Times New Roman"/>
          <w:bCs/>
        </w:rPr>
        <w:t xml:space="preserve">impact </w:t>
      </w:r>
      <w:r w:rsidR="00972A19">
        <w:rPr>
          <w:rFonts w:eastAsia="Times New Roman"/>
          <w:bCs/>
        </w:rPr>
        <w:t xml:space="preserve">to </w:t>
      </w:r>
      <w:r w:rsidR="00482236">
        <w:rPr>
          <w:rFonts w:eastAsia="Times New Roman"/>
          <w:bCs/>
        </w:rPr>
        <w:t xml:space="preserve">electric </w:t>
      </w:r>
      <w:r w:rsidR="0063120A">
        <w:rPr>
          <w:rFonts w:eastAsia="Times New Roman"/>
          <w:bCs/>
        </w:rPr>
        <w:t xml:space="preserve">rate base </w:t>
      </w:r>
      <w:r w:rsidR="00972A19">
        <w:rPr>
          <w:rFonts w:eastAsia="Times New Roman"/>
          <w:bCs/>
        </w:rPr>
        <w:t>is zero</w:t>
      </w:r>
      <w:r w:rsidR="008B5770">
        <w:rPr>
          <w:rFonts w:eastAsia="Times New Roman"/>
          <w:bCs/>
        </w:rPr>
        <w:t xml:space="preserve">. </w:t>
      </w:r>
    </w:p>
    <w:p w14:paraId="51843F2E" w14:textId="5D381C1B" w:rsidR="008B5770" w:rsidRDefault="00972A19" w:rsidP="006F31E4">
      <w:pPr>
        <w:keepNext/>
        <w:tabs>
          <w:tab w:val="left" w:pos="720"/>
          <w:tab w:val="left" w:pos="1440"/>
        </w:tabs>
        <w:spacing w:line="480" w:lineRule="auto"/>
        <w:ind w:left="720" w:firstLine="720"/>
        <w:outlineLvl w:val="1"/>
        <w:rPr>
          <w:rFonts w:eastAsia="Times New Roman"/>
          <w:bCs/>
        </w:rPr>
      </w:pPr>
      <w:r>
        <w:rPr>
          <w:rFonts w:eastAsia="Times New Roman"/>
          <w:bCs/>
        </w:rPr>
        <w:t>Additionally,</w:t>
      </w:r>
      <w:r w:rsidR="006503C6">
        <w:rPr>
          <w:rFonts w:eastAsia="Times New Roman"/>
          <w:bCs/>
        </w:rPr>
        <w:t xml:space="preserve"> because </w:t>
      </w:r>
      <w:r>
        <w:rPr>
          <w:rFonts w:eastAsia="Times New Roman"/>
          <w:bCs/>
        </w:rPr>
        <w:t xml:space="preserve">this adjustment </w:t>
      </w:r>
      <w:r w:rsidR="006503C6">
        <w:rPr>
          <w:rFonts w:eastAsia="Times New Roman"/>
          <w:bCs/>
        </w:rPr>
        <w:t>transfer</w:t>
      </w:r>
      <w:r w:rsidR="00482236">
        <w:rPr>
          <w:rFonts w:eastAsia="Times New Roman"/>
          <w:bCs/>
        </w:rPr>
        <w:t>s</w:t>
      </w:r>
      <w:r w:rsidR="006503C6">
        <w:rPr>
          <w:rFonts w:eastAsia="Times New Roman"/>
          <w:bCs/>
        </w:rPr>
        <w:t xml:space="preserve"> distribution plant to a regulatory asset there is a reduction</w:t>
      </w:r>
      <w:r>
        <w:rPr>
          <w:rFonts w:eastAsia="Times New Roman"/>
          <w:bCs/>
        </w:rPr>
        <w:t xml:space="preserve"> </w:t>
      </w:r>
      <w:r w:rsidR="00060A29">
        <w:rPr>
          <w:rFonts w:eastAsia="Times New Roman"/>
          <w:bCs/>
        </w:rPr>
        <w:t xml:space="preserve">in </w:t>
      </w:r>
      <w:r>
        <w:rPr>
          <w:rFonts w:eastAsia="Times New Roman"/>
          <w:bCs/>
        </w:rPr>
        <w:t xml:space="preserve">depreciation expense and </w:t>
      </w:r>
      <w:r w:rsidR="006503C6">
        <w:rPr>
          <w:rFonts w:eastAsia="Times New Roman"/>
          <w:bCs/>
        </w:rPr>
        <w:t>an increase in</w:t>
      </w:r>
      <w:r>
        <w:rPr>
          <w:rFonts w:eastAsia="Times New Roman"/>
          <w:bCs/>
        </w:rPr>
        <w:t xml:space="preserve"> amortization expense. The </w:t>
      </w:r>
      <w:r w:rsidR="00F67A27">
        <w:rPr>
          <w:rFonts w:eastAsia="Times New Roman"/>
          <w:bCs/>
        </w:rPr>
        <w:t>approximate impact decreases the electric net operating income</w:t>
      </w:r>
      <w:r w:rsidR="00A969C0">
        <w:rPr>
          <w:rFonts w:eastAsia="Times New Roman"/>
          <w:bCs/>
        </w:rPr>
        <w:t xml:space="preserve"> by approximately $749,000. </w:t>
      </w:r>
    </w:p>
    <w:p w14:paraId="5978A72B" w14:textId="77777777" w:rsidR="008B5770" w:rsidRDefault="008B5770" w:rsidP="008B5770">
      <w:pPr>
        <w:keepNext/>
        <w:tabs>
          <w:tab w:val="left" w:pos="720"/>
          <w:tab w:val="left" w:pos="1440"/>
        </w:tabs>
        <w:spacing w:line="480" w:lineRule="auto"/>
        <w:outlineLvl w:val="1"/>
        <w:rPr>
          <w:rFonts w:eastAsia="Times New Roman"/>
          <w:bCs/>
        </w:rPr>
      </w:pPr>
    </w:p>
    <w:p w14:paraId="04B20633" w14:textId="215AE8D7" w:rsidR="008B5770" w:rsidRDefault="008B5770" w:rsidP="008B5770">
      <w:pPr>
        <w:spacing w:line="480" w:lineRule="auto"/>
        <w:rPr>
          <w:b/>
        </w:rPr>
      </w:pPr>
      <w:r w:rsidRPr="00460E36">
        <w:rPr>
          <w:b/>
        </w:rPr>
        <w:t>Q.</w:t>
      </w:r>
      <w:r w:rsidRPr="00460E36">
        <w:rPr>
          <w:b/>
        </w:rPr>
        <w:tab/>
      </w:r>
      <w:r w:rsidR="002577F5">
        <w:rPr>
          <w:b/>
        </w:rPr>
        <w:t>W</w:t>
      </w:r>
      <w:r w:rsidRPr="00460E36">
        <w:rPr>
          <w:b/>
        </w:rPr>
        <w:t xml:space="preserve">hy </w:t>
      </w:r>
      <w:r w:rsidR="002577F5">
        <w:rPr>
          <w:b/>
        </w:rPr>
        <w:t xml:space="preserve">is </w:t>
      </w:r>
      <w:r w:rsidRPr="00460E36">
        <w:rPr>
          <w:b/>
        </w:rPr>
        <w:t>Staff contesting</w:t>
      </w:r>
      <w:r>
        <w:rPr>
          <w:b/>
        </w:rPr>
        <w:t xml:space="preserve"> this adjustment?</w:t>
      </w:r>
    </w:p>
    <w:p w14:paraId="2511AAFF" w14:textId="15E06CF5" w:rsidR="003064DD" w:rsidRDefault="008B5770" w:rsidP="00B50DB9">
      <w:pPr>
        <w:spacing w:line="480" w:lineRule="auto"/>
        <w:ind w:left="720" w:hanging="720"/>
      </w:pPr>
      <w:r>
        <w:t>A.</w:t>
      </w:r>
      <w:r>
        <w:tab/>
      </w:r>
      <w:r w:rsidR="00EF42B0">
        <w:t>Referring</w:t>
      </w:r>
      <w:r w:rsidR="000A2DE0">
        <w:t xml:space="preserve"> to </w:t>
      </w:r>
      <w:r w:rsidR="00682F6D">
        <w:t>the Commission decision in Order 01</w:t>
      </w:r>
      <w:r w:rsidR="00F37DE2">
        <w:t>,</w:t>
      </w:r>
      <w:r w:rsidR="00F37DE2" w:rsidRPr="00F37DE2">
        <w:t xml:space="preserve"> </w:t>
      </w:r>
      <w:r w:rsidR="00F37DE2">
        <w:t>Docket UE-160100,</w:t>
      </w:r>
      <w:r w:rsidR="00682F6D">
        <w:rPr>
          <w:rStyle w:val="FootnoteReference"/>
        </w:rPr>
        <w:footnoteReference w:id="31"/>
      </w:r>
      <w:r w:rsidR="00682F6D">
        <w:t xml:space="preserve"> which is not effective until the </w:t>
      </w:r>
      <w:r w:rsidR="0033029A">
        <w:t>Company</w:t>
      </w:r>
      <w:r w:rsidR="00682F6D">
        <w:t xml:space="preserve"> </w:t>
      </w:r>
      <w:r w:rsidR="005B4142" w:rsidRPr="005B4142">
        <w:t xml:space="preserve">executes </w:t>
      </w:r>
      <w:r w:rsidR="00E54AAE">
        <w:t>its</w:t>
      </w:r>
      <w:r w:rsidR="00E54AAE" w:rsidRPr="005B4142">
        <w:t xml:space="preserve"> </w:t>
      </w:r>
      <w:r w:rsidR="005B4142" w:rsidRPr="005B4142">
        <w:t>vendor contracts</w:t>
      </w:r>
      <w:r w:rsidR="005B4142">
        <w:t xml:space="preserve">, </w:t>
      </w:r>
      <w:r w:rsidR="007D5AA3">
        <w:t xml:space="preserve">the Company </w:t>
      </w:r>
      <w:r w:rsidR="005B4142">
        <w:t xml:space="preserve">may defer the remaining undepreciated value of existing </w:t>
      </w:r>
      <w:r w:rsidR="00705891">
        <w:t xml:space="preserve">electric </w:t>
      </w:r>
      <w:r w:rsidR="005B4142">
        <w:t xml:space="preserve">meters </w:t>
      </w:r>
      <w:r w:rsidR="00510CFC">
        <w:t xml:space="preserve">from distribution plant </w:t>
      </w:r>
      <w:r w:rsidR="00705891">
        <w:t xml:space="preserve">to Other Regulatory Assets – 182.3, </w:t>
      </w:r>
      <w:r w:rsidR="00705891" w:rsidRPr="00510CFC">
        <w:rPr>
          <w:u w:val="single"/>
        </w:rPr>
        <w:t>as the meters are removed from service</w:t>
      </w:r>
      <w:r w:rsidR="00705891">
        <w:t xml:space="preserve">. The </w:t>
      </w:r>
      <w:r w:rsidR="0033029A">
        <w:t>Company</w:t>
      </w:r>
      <w:r w:rsidR="00705891">
        <w:t xml:space="preserve"> </w:t>
      </w:r>
      <w:r w:rsidR="002A1D5B">
        <w:t xml:space="preserve">initially </w:t>
      </w:r>
      <w:r w:rsidR="00637129">
        <w:t>propose</w:t>
      </w:r>
      <w:r w:rsidR="002A1D5B">
        <w:t>d</w:t>
      </w:r>
      <w:r w:rsidR="00637129">
        <w:t xml:space="preserve"> transfer</w:t>
      </w:r>
      <w:r w:rsidR="002A1D5B">
        <w:t>ring</w:t>
      </w:r>
      <w:r w:rsidR="00705891">
        <w:t xml:space="preserve"> </w:t>
      </w:r>
      <w:r w:rsidR="00705891" w:rsidRPr="00705891">
        <w:t xml:space="preserve">the </w:t>
      </w:r>
      <w:r w:rsidR="005B2E70">
        <w:t xml:space="preserve">total </w:t>
      </w:r>
      <w:r w:rsidR="00705891" w:rsidRPr="00705891">
        <w:t xml:space="preserve">undepreciated </w:t>
      </w:r>
      <w:r w:rsidR="00637129">
        <w:t xml:space="preserve">balance for </w:t>
      </w:r>
      <w:r w:rsidR="00705891" w:rsidRPr="00705891">
        <w:t>existing electric meters</w:t>
      </w:r>
      <w:r w:rsidR="00705891">
        <w:t xml:space="preserve"> </w:t>
      </w:r>
      <w:r w:rsidR="00637129">
        <w:t>to a regulatory asset account</w:t>
      </w:r>
      <w:r w:rsidR="00705891">
        <w:t>.</w:t>
      </w:r>
      <w:r w:rsidR="003064DD">
        <w:t xml:space="preserve"> </w:t>
      </w:r>
      <w:r w:rsidR="00BC185E">
        <w:rPr>
          <w:rFonts w:eastAsia="Times New Roman"/>
          <w:bCs/>
        </w:rPr>
        <w:t xml:space="preserve">The Company’s proposed adjustment does not reflect the Commission’s decision in </w:t>
      </w:r>
      <w:r w:rsidR="003064DD">
        <w:rPr>
          <w:rFonts w:eastAsia="Times New Roman"/>
          <w:bCs/>
        </w:rPr>
        <w:t xml:space="preserve">Order 01 from </w:t>
      </w:r>
      <w:r w:rsidR="00BC185E">
        <w:rPr>
          <w:rFonts w:eastAsia="Times New Roman"/>
          <w:bCs/>
        </w:rPr>
        <w:t>Docket UE</w:t>
      </w:r>
      <w:r w:rsidR="000D129D">
        <w:rPr>
          <w:rFonts w:eastAsia="Times New Roman"/>
          <w:bCs/>
        </w:rPr>
        <w:noBreakHyphen/>
      </w:r>
      <w:r w:rsidR="00BC185E">
        <w:rPr>
          <w:rFonts w:eastAsia="Times New Roman"/>
          <w:bCs/>
        </w:rPr>
        <w:t>160100.</w:t>
      </w:r>
      <w:r w:rsidR="00810E85" w:rsidRPr="00810E85">
        <w:t xml:space="preserve"> </w:t>
      </w:r>
    </w:p>
    <w:p w14:paraId="74291125" w14:textId="31D9C969" w:rsidR="00BC185E" w:rsidRDefault="00810E85" w:rsidP="007D5AA3">
      <w:pPr>
        <w:spacing w:line="480" w:lineRule="auto"/>
        <w:ind w:left="720" w:firstLine="720"/>
      </w:pPr>
      <w:r>
        <w:lastRenderedPageBreak/>
        <w:t xml:space="preserve">In response to </w:t>
      </w:r>
      <w:r w:rsidR="00380B97">
        <w:t>Staff discovery,</w:t>
      </w:r>
      <w:r>
        <w:t xml:space="preserve"> the Company removed its </w:t>
      </w:r>
      <w:r w:rsidRPr="003E6C3A">
        <w:t>Pro Forma Meter Deferral &amp; Amortization (Electric 3.07)</w:t>
      </w:r>
      <w:r>
        <w:t xml:space="preserve"> adjustment</w:t>
      </w:r>
      <w:r w:rsidR="002C5A24">
        <w:t xml:space="preserve">: </w:t>
      </w:r>
      <w:r w:rsidR="00380B97">
        <w:t>explain</w:t>
      </w:r>
      <w:r w:rsidR="002C5A24">
        <w:t>ing</w:t>
      </w:r>
      <w:r w:rsidR="00380B97">
        <w:t xml:space="preserve"> that</w:t>
      </w:r>
      <w:r>
        <w:t xml:space="preserve">, when applying </w:t>
      </w:r>
      <w:r w:rsidRPr="00126C07">
        <w:t>Order 01</w:t>
      </w:r>
      <w:r>
        <w:t>(from</w:t>
      </w:r>
      <w:r w:rsidRPr="00126C07">
        <w:t xml:space="preserve"> Docket UE</w:t>
      </w:r>
      <w:r>
        <w:noBreakHyphen/>
      </w:r>
      <w:r w:rsidRPr="00126C07">
        <w:t>160100</w:t>
      </w:r>
      <w:r>
        <w:t>),</w:t>
      </w:r>
      <w:r w:rsidRPr="00126C07">
        <w:t xml:space="preserve"> </w:t>
      </w:r>
      <w:r>
        <w:t xml:space="preserve">“the deferred regulatory </w:t>
      </w:r>
      <w:r w:rsidRPr="007F532E">
        <w:t>asset during the 2017 rate period on an AMA basis would not be material.</w:t>
      </w:r>
      <w:r>
        <w:t>”</w:t>
      </w:r>
      <w:r>
        <w:rPr>
          <w:rStyle w:val="FootnoteReference"/>
        </w:rPr>
        <w:footnoteReference w:id="32"/>
      </w:r>
      <w:r w:rsidRPr="007F532E">
        <w:t xml:space="preserve"> The </w:t>
      </w:r>
      <w:r>
        <w:t>Company</w:t>
      </w:r>
      <w:r w:rsidRPr="007F532E">
        <w:t xml:space="preserve"> has</w:t>
      </w:r>
      <w:r>
        <w:t>,</w:t>
      </w:r>
      <w:r w:rsidRPr="007F532E">
        <w:t xml:space="preserve"> therefore, removed the regulatory asset balance (restoring distribution plant) and removed the impact</w:t>
      </w:r>
      <w:r>
        <w:t>s</w:t>
      </w:r>
      <w:r w:rsidRPr="007F532E">
        <w:t xml:space="preserve"> on deprec</w:t>
      </w:r>
      <w:r>
        <w:t>iation and amortization expense.</w:t>
      </w:r>
    </w:p>
    <w:p w14:paraId="3CA48362" w14:textId="1E624BE0" w:rsidR="008B5770" w:rsidRPr="00AF7C21" w:rsidRDefault="008B5770" w:rsidP="008B5770">
      <w:pPr>
        <w:spacing w:line="480" w:lineRule="auto"/>
        <w:ind w:left="720" w:hanging="720"/>
      </w:pPr>
    </w:p>
    <w:p w14:paraId="0E510A91" w14:textId="452C8E50" w:rsidR="008B5770" w:rsidRDefault="008B5770" w:rsidP="008B5770">
      <w:pPr>
        <w:spacing w:line="480" w:lineRule="auto"/>
        <w:ind w:left="720" w:hanging="720"/>
        <w:rPr>
          <w:b/>
        </w:rPr>
      </w:pPr>
      <w:r>
        <w:rPr>
          <w:b/>
        </w:rPr>
        <w:t>Q.</w:t>
      </w:r>
      <w:r>
        <w:rPr>
          <w:b/>
        </w:rPr>
        <w:tab/>
        <w:t>Please summarize Staff’s recommendation for</w:t>
      </w:r>
      <w:r w:rsidRPr="00486B33">
        <w:t xml:space="preserve"> </w:t>
      </w:r>
      <w:r w:rsidR="000A2DE0" w:rsidRPr="000A2DE0">
        <w:rPr>
          <w:b/>
        </w:rPr>
        <w:t>Pro Forma Meter Deferral &amp; Amortization (Electric 3.07)</w:t>
      </w:r>
      <w:r>
        <w:rPr>
          <w:b/>
        </w:rPr>
        <w:t>.</w:t>
      </w:r>
    </w:p>
    <w:p w14:paraId="560F067C" w14:textId="728925E2" w:rsidR="008B5770" w:rsidRDefault="008B5770" w:rsidP="00705891">
      <w:pPr>
        <w:keepNext/>
        <w:tabs>
          <w:tab w:val="left" w:pos="720"/>
          <w:tab w:val="left" w:pos="1440"/>
        </w:tabs>
        <w:spacing w:line="480" w:lineRule="auto"/>
        <w:ind w:left="720" w:hanging="720"/>
        <w:outlineLvl w:val="1"/>
        <w:rPr>
          <w:rFonts w:eastAsia="Times New Roman"/>
          <w:bCs/>
        </w:rPr>
      </w:pPr>
      <w:r>
        <w:rPr>
          <w:rFonts w:eastAsia="Times New Roman"/>
          <w:bCs/>
        </w:rPr>
        <w:t>A.</w:t>
      </w:r>
      <w:r>
        <w:rPr>
          <w:rFonts w:eastAsia="Times New Roman"/>
          <w:bCs/>
        </w:rPr>
        <w:tab/>
      </w:r>
      <w:r w:rsidR="006934FE" w:rsidRPr="006934FE">
        <w:rPr>
          <w:rFonts w:eastAsia="Times New Roman"/>
          <w:bCs/>
        </w:rPr>
        <w:t xml:space="preserve">Staff’s recommendation </w:t>
      </w:r>
      <w:r w:rsidR="006934FE">
        <w:rPr>
          <w:rFonts w:eastAsia="Times New Roman"/>
          <w:bCs/>
        </w:rPr>
        <w:t>is to completely remove</w:t>
      </w:r>
      <w:r w:rsidR="006934FE" w:rsidRPr="006934FE">
        <w:rPr>
          <w:rFonts w:eastAsia="Times New Roman"/>
          <w:bCs/>
        </w:rPr>
        <w:t xml:space="preserve"> Avista’s adjustment</w:t>
      </w:r>
      <w:r w:rsidR="00D51276">
        <w:rPr>
          <w:rFonts w:eastAsia="Times New Roman"/>
          <w:bCs/>
        </w:rPr>
        <w:t>.</w:t>
      </w:r>
      <w:r w:rsidR="00586F74">
        <w:rPr>
          <w:rFonts w:eastAsia="Times New Roman"/>
          <w:bCs/>
        </w:rPr>
        <w:t xml:space="preserve"> Avista received the regulatory </w:t>
      </w:r>
      <w:r w:rsidR="00F3088C">
        <w:rPr>
          <w:rFonts w:eastAsia="Times New Roman"/>
          <w:bCs/>
        </w:rPr>
        <w:t xml:space="preserve">permission </w:t>
      </w:r>
      <w:r w:rsidR="00586F74">
        <w:rPr>
          <w:rFonts w:eastAsia="Times New Roman"/>
          <w:bCs/>
        </w:rPr>
        <w:t>it needs to accomplish the deferrals at the appropriate time.</w:t>
      </w:r>
      <w:r w:rsidR="00810E85" w:rsidRPr="00810E85">
        <w:rPr>
          <w:rFonts w:eastAsia="Times New Roman"/>
          <w:bCs/>
        </w:rPr>
        <w:t xml:space="preserve"> </w:t>
      </w:r>
      <w:r w:rsidR="00810E85">
        <w:rPr>
          <w:rFonts w:eastAsia="Times New Roman"/>
          <w:bCs/>
        </w:rPr>
        <w:t>Staff recommends that this adjustment be updated consistent with the Company’s response to UTC Staff Data Request No. 91, resulting in the adjustment’s removal.</w:t>
      </w:r>
    </w:p>
    <w:p w14:paraId="1978AA87" w14:textId="77777777" w:rsidR="008B5770" w:rsidRPr="000D34EC" w:rsidRDefault="008B5770" w:rsidP="008B5770">
      <w:pPr>
        <w:keepNext/>
        <w:tabs>
          <w:tab w:val="left" w:pos="720"/>
          <w:tab w:val="left" w:pos="1440"/>
        </w:tabs>
        <w:spacing w:line="480" w:lineRule="auto"/>
        <w:outlineLvl w:val="1"/>
        <w:rPr>
          <w:rFonts w:eastAsia="Times New Roman"/>
          <w:bCs/>
        </w:rPr>
      </w:pPr>
    </w:p>
    <w:p w14:paraId="4532AA99" w14:textId="0D22B347" w:rsidR="008B5770" w:rsidRDefault="008B5770" w:rsidP="008B5770">
      <w:pPr>
        <w:keepNext/>
        <w:tabs>
          <w:tab w:val="left" w:pos="720"/>
          <w:tab w:val="left" w:pos="1440"/>
        </w:tabs>
        <w:spacing w:line="480" w:lineRule="auto"/>
        <w:outlineLvl w:val="1"/>
        <w:rPr>
          <w:b/>
        </w:rPr>
      </w:pPr>
      <w:r w:rsidRPr="00460E36">
        <w:rPr>
          <w:b/>
        </w:rPr>
        <w:t>Q.</w:t>
      </w:r>
      <w:r w:rsidRPr="00460E36">
        <w:rPr>
          <w:b/>
        </w:rPr>
        <w:tab/>
      </w:r>
      <w:r w:rsidR="00126C07" w:rsidRPr="00126C07">
        <w:rPr>
          <w:b/>
        </w:rPr>
        <w:t xml:space="preserve">What information </w:t>
      </w:r>
      <w:r w:rsidR="008A161F">
        <w:rPr>
          <w:b/>
        </w:rPr>
        <w:t>forms</w:t>
      </w:r>
      <w:r w:rsidR="00E6714B">
        <w:rPr>
          <w:b/>
        </w:rPr>
        <w:t xml:space="preserve"> the basi</w:t>
      </w:r>
      <w:r w:rsidR="00126C07" w:rsidRPr="00126C07">
        <w:rPr>
          <w:b/>
        </w:rPr>
        <w:t>s of your recommendation?</w:t>
      </w:r>
    </w:p>
    <w:p w14:paraId="43C79A35" w14:textId="6DC1FFF1" w:rsidR="008B5770" w:rsidRDefault="008B5770" w:rsidP="003E6C3A">
      <w:pPr>
        <w:spacing w:line="480" w:lineRule="auto"/>
        <w:ind w:left="720" w:hanging="720"/>
        <w:rPr>
          <w:b/>
        </w:rPr>
      </w:pPr>
      <w:r>
        <w:t>A.</w:t>
      </w:r>
      <w:r>
        <w:tab/>
      </w:r>
      <w:r w:rsidR="00D06F6F">
        <w:t xml:space="preserve">I reviewed the </w:t>
      </w:r>
      <w:r w:rsidR="0033029A">
        <w:t>Company</w:t>
      </w:r>
      <w:r w:rsidR="00D06F6F">
        <w:t>’</w:t>
      </w:r>
      <w:r w:rsidR="003E6C3A">
        <w:t xml:space="preserve">s </w:t>
      </w:r>
      <w:r w:rsidR="00A35834">
        <w:t>testimony</w:t>
      </w:r>
      <w:r w:rsidR="003E6C3A">
        <w:t xml:space="preserve">, the </w:t>
      </w:r>
      <w:r w:rsidR="0033029A">
        <w:t>Company</w:t>
      </w:r>
      <w:r w:rsidR="003E6C3A">
        <w:t xml:space="preserve">’s response to </w:t>
      </w:r>
      <w:r w:rsidR="00612705">
        <w:t xml:space="preserve">UTC </w:t>
      </w:r>
      <w:r w:rsidR="003E6C3A">
        <w:t>Staff Data Request</w:t>
      </w:r>
      <w:r w:rsidR="00E6714B">
        <w:t xml:space="preserve"> No.</w:t>
      </w:r>
      <w:r w:rsidR="003E6C3A">
        <w:t xml:space="preserve"> 91, and Order 01 in Docket UE-160100. </w:t>
      </w:r>
    </w:p>
    <w:p w14:paraId="0EC26687" w14:textId="77777777" w:rsidR="008B5770" w:rsidRPr="00486B33" w:rsidRDefault="008B5770" w:rsidP="003F515B">
      <w:pPr>
        <w:spacing w:line="480" w:lineRule="auto"/>
      </w:pPr>
    </w:p>
    <w:p w14:paraId="1CC345E2" w14:textId="30782E19" w:rsidR="00080319" w:rsidRDefault="00080319" w:rsidP="00364AE5">
      <w:pPr>
        <w:keepNext/>
        <w:spacing w:line="480" w:lineRule="auto"/>
        <w:ind w:left="720" w:hanging="720"/>
        <w:rPr>
          <w:b/>
        </w:rPr>
      </w:pPr>
      <w:r>
        <w:rPr>
          <w:b/>
        </w:rPr>
        <w:lastRenderedPageBreak/>
        <w:t xml:space="preserve">Q. </w:t>
      </w:r>
      <w:r>
        <w:rPr>
          <w:b/>
        </w:rPr>
        <w:tab/>
      </w:r>
      <w:r w:rsidRPr="00080319">
        <w:rPr>
          <w:b/>
        </w:rPr>
        <w:t>Have yo</w:t>
      </w:r>
      <w:r>
        <w:rPr>
          <w:b/>
        </w:rPr>
        <w:t xml:space="preserve">u prepared an exhibit </w:t>
      </w:r>
      <w:r w:rsidR="00474625">
        <w:rPr>
          <w:b/>
        </w:rPr>
        <w:t>to support</w:t>
      </w:r>
      <w:r w:rsidR="00EF288A">
        <w:rPr>
          <w:b/>
        </w:rPr>
        <w:t xml:space="preserve"> the</w:t>
      </w:r>
      <w:r>
        <w:rPr>
          <w:b/>
        </w:rPr>
        <w:t xml:space="preserve"> </w:t>
      </w:r>
      <w:r w:rsidR="0033029A">
        <w:rPr>
          <w:b/>
        </w:rPr>
        <w:t>Company</w:t>
      </w:r>
      <w:r>
        <w:rPr>
          <w:b/>
        </w:rPr>
        <w:t xml:space="preserve">’s most </w:t>
      </w:r>
      <w:r w:rsidR="00EF42B0">
        <w:rPr>
          <w:b/>
        </w:rPr>
        <w:t>recent</w:t>
      </w:r>
      <w:r>
        <w:rPr>
          <w:b/>
        </w:rPr>
        <w:t xml:space="preserve"> response to </w:t>
      </w:r>
      <w:r w:rsidR="00612705">
        <w:rPr>
          <w:b/>
        </w:rPr>
        <w:t>UTC Staff Data Request No.</w:t>
      </w:r>
      <w:r>
        <w:rPr>
          <w:b/>
        </w:rPr>
        <w:t xml:space="preserve"> 91?</w:t>
      </w:r>
    </w:p>
    <w:p w14:paraId="2C6E160B" w14:textId="71BFCEB3" w:rsidR="008B5770" w:rsidRDefault="008C7F7D" w:rsidP="007F532E">
      <w:pPr>
        <w:spacing w:line="480" w:lineRule="auto"/>
        <w:ind w:left="720" w:hanging="720"/>
      </w:pPr>
      <w:r>
        <w:t>A.</w:t>
      </w:r>
      <w:r>
        <w:tab/>
        <w:t>Yes</w:t>
      </w:r>
      <w:r w:rsidR="00945A21">
        <w:t xml:space="preserve">, </w:t>
      </w:r>
      <w:r>
        <w:t>p</w:t>
      </w:r>
      <w:r w:rsidR="00474625">
        <w:t xml:space="preserve">lease refer to </w:t>
      </w:r>
      <w:r w:rsidR="00EF288A">
        <w:t xml:space="preserve">Exhibit No. </w:t>
      </w:r>
      <w:r w:rsidR="00EF288A" w:rsidRPr="00EF4A27">
        <w:t>MC-</w:t>
      </w:r>
      <w:r w:rsidR="00A35834">
        <w:t>16</w:t>
      </w:r>
      <w:r w:rsidR="003E6C3A" w:rsidRPr="003E6C3A">
        <w:t xml:space="preserve">, </w:t>
      </w:r>
      <w:r w:rsidR="00612705">
        <w:t>Attachment to Avista’s Response to UTC Staff Data Request No. 91, “</w:t>
      </w:r>
      <w:r w:rsidR="003E6C3A" w:rsidRPr="003E6C3A">
        <w:t>Staff_DR_091 Supp 2 - Attach A - Summary of Changes.xlsx</w:t>
      </w:r>
      <w:r w:rsidR="00474625">
        <w:t>,</w:t>
      </w:r>
      <w:r w:rsidR="00612705">
        <w:t>”</w:t>
      </w:r>
      <w:r w:rsidR="00B177E2">
        <w:t xml:space="preserve"> outlined</w:t>
      </w:r>
      <w:r w:rsidR="00474625">
        <w:t xml:space="preserve"> </w:t>
      </w:r>
      <w:r w:rsidR="00B177E2">
        <w:t>item number (4)</w:t>
      </w:r>
      <w:r w:rsidR="00B16A5E">
        <w:t xml:space="preserve">, </w:t>
      </w:r>
      <w:r w:rsidR="00F82A2F">
        <w:t>in cel</w:t>
      </w:r>
      <w:r w:rsidR="00B16A5E">
        <w:t>l C14</w:t>
      </w:r>
      <w:r w:rsidR="00474625">
        <w:t>.</w:t>
      </w:r>
    </w:p>
    <w:p w14:paraId="557B1901" w14:textId="77777777" w:rsidR="00945A21" w:rsidRDefault="00945A21" w:rsidP="007F532E">
      <w:pPr>
        <w:spacing w:line="480" w:lineRule="auto"/>
        <w:ind w:left="720" w:hanging="720"/>
      </w:pPr>
    </w:p>
    <w:p w14:paraId="384A337B" w14:textId="1C0172AA" w:rsidR="00945A21" w:rsidRPr="00460E36" w:rsidRDefault="00945A21" w:rsidP="00C13430">
      <w:pPr>
        <w:spacing w:line="480" w:lineRule="auto"/>
        <w:ind w:left="720" w:hanging="720"/>
        <w:rPr>
          <w:b/>
        </w:rPr>
      </w:pPr>
      <w:r w:rsidRPr="00460E36">
        <w:rPr>
          <w:b/>
        </w:rPr>
        <w:t>Q.</w:t>
      </w:r>
      <w:r w:rsidRPr="00460E36">
        <w:rPr>
          <w:b/>
        </w:rPr>
        <w:tab/>
        <w:t xml:space="preserve">Have you prepared an exhibit </w:t>
      </w:r>
      <w:r>
        <w:rPr>
          <w:b/>
        </w:rPr>
        <w:t>regarding the status of Avista</w:t>
      </w:r>
      <w:r w:rsidR="00C13430">
        <w:rPr>
          <w:b/>
        </w:rPr>
        <w:t>’s</w:t>
      </w:r>
      <w:r w:rsidRPr="00945A21">
        <w:rPr>
          <w:b/>
        </w:rPr>
        <w:t xml:space="preserve"> executed vendor contracts for the AMI meters </w:t>
      </w:r>
      <w:r>
        <w:rPr>
          <w:b/>
        </w:rPr>
        <w:t>or</w:t>
      </w:r>
      <w:r w:rsidRPr="00945A21">
        <w:rPr>
          <w:b/>
        </w:rPr>
        <w:t xml:space="preserve"> installation of supporting computer hardware and software systems</w:t>
      </w:r>
      <w:r w:rsidRPr="00460E36">
        <w:rPr>
          <w:b/>
        </w:rPr>
        <w:t>?</w:t>
      </w:r>
    </w:p>
    <w:p w14:paraId="11A5C63C" w14:textId="012ECF53" w:rsidR="00945A21" w:rsidRPr="00486B33" w:rsidRDefault="00945A21" w:rsidP="00945A21">
      <w:pPr>
        <w:spacing w:line="480" w:lineRule="auto"/>
        <w:ind w:left="720" w:hanging="720"/>
      </w:pPr>
      <w:r>
        <w:t>A.</w:t>
      </w:r>
      <w:r>
        <w:tab/>
        <w:t>Yes</w:t>
      </w:r>
      <w:r w:rsidR="00C13430">
        <w:t>.</w:t>
      </w:r>
      <w:r>
        <w:t xml:space="preserve"> </w:t>
      </w:r>
      <w:r w:rsidR="00C13430">
        <w:t>F</w:t>
      </w:r>
      <w:r>
        <w:t xml:space="preserve">or Avista’s narrative response </w:t>
      </w:r>
      <w:r w:rsidR="00735FD6">
        <w:t xml:space="preserve">to Staff’s data request on this issue, </w:t>
      </w:r>
      <w:r>
        <w:t>please refer to Exhibit No. MC-</w:t>
      </w:r>
      <w:r w:rsidR="00A35834">
        <w:t>17</w:t>
      </w:r>
      <w:r w:rsidRPr="00C8225D">
        <w:t>,</w:t>
      </w:r>
      <w:r>
        <w:t xml:space="preserve"> Avista’s Response to </w:t>
      </w:r>
      <w:r w:rsidR="00104F71">
        <w:t xml:space="preserve">UTC </w:t>
      </w:r>
      <w:r>
        <w:t>Staff Data Request</w:t>
      </w:r>
      <w:r w:rsidR="00104F71">
        <w:t xml:space="preserve"> Nos.</w:t>
      </w:r>
      <w:r>
        <w:t xml:space="preserve"> </w:t>
      </w:r>
      <w:r w:rsidR="00A35834">
        <w:t xml:space="preserve">161 and </w:t>
      </w:r>
      <w:r>
        <w:t>162.</w:t>
      </w:r>
    </w:p>
    <w:p w14:paraId="50199E3A" w14:textId="2A789663" w:rsidR="008B5770" w:rsidRDefault="008B5770" w:rsidP="00C13430">
      <w:pPr>
        <w:spacing w:line="480" w:lineRule="auto"/>
        <w:ind w:left="720" w:hanging="720"/>
        <w:rPr>
          <w:b/>
        </w:rPr>
      </w:pPr>
    </w:p>
    <w:p w14:paraId="48A9CC98" w14:textId="5DF9926C" w:rsidR="0060653A" w:rsidRPr="00460E36" w:rsidRDefault="0060653A" w:rsidP="0060653A">
      <w:pPr>
        <w:spacing w:line="480" w:lineRule="auto"/>
        <w:rPr>
          <w:b/>
        </w:rPr>
      </w:pPr>
      <w:r w:rsidRPr="00460E36">
        <w:rPr>
          <w:b/>
        </w:rPr>
        <w:t>Q.</w:t>
      </w:r>
      <w:r w:rsidRPr="00460E36">
        <w:rPr>
          <w:b/>
        </w:rPr>
        <w:tab/>
      </w:r>
      <w:r>
        <w:rPr>
          <w:b/>
        </w:rPr>
        <w:t xml:space="preserve">Is there anything </w:t>
      </w:r>
      <w:r w:rsidR="00EF42B0">
        <w:rPr>
          <w:b/>
        </w:rPr>
        <w:t>else</w:t>
      </w:r>
      <w:r>
        <w:rPr>
          <w:b/>
        </w:rPr>
        <w:t xml:space="preserve"> you would like to add</w:t>
      </w:r>
      <w:r w:rsidRPr="00460E36">
        <w:rPr>
          <w:b/>
        </w:rPr>
        <w:t>?</w:t>
      </w:r>
    </w:p>
    <w:p w14:paraId="33866108" w14:textId="366E438A" w:rsidR="0060653A" w:rsidRDefault="0060653A" w:rsidP="0060653A">
      <w:pPr>
        <w:spacing w:line="480" w:lineRule="auto"/>
        <w:ind w:left="720" w:hanging="720"/>
      </w:pPr>
      <w:r>
        <w:t>A.</w:t>
      </w:r>
      <w:r>
        <w:tab/>
        <w:t xml:space="preserve">Yes. I represented Staff </w:t>
      </w:r>
      <w:r w:rsidR="003E1CE2">
        <w:t xml:space="preserve">in Docket UE-160100 </w:t>
      </w:r>
      <w:r>
        <w:t xml:space="preserve">regarding the appropriate </w:t>
      </w:r>
      <w:r w:rsidR="00141A2E">
        <w:t xml:space="preserve">accounting </w:t>
      </w:r>
      <w:r>
        <w:t xml:space="preserve">treatment </w:t>
      </w:r>
      <w:r w:rsidR="00FC2762">
        <w:t xml:space="preserve">and deferral of </w:t>
      </w:r>
      <w:r w:rsidR="00141A2E">
        <w:t>Avista’s</w:t>
      </w:r>
      <w:r>
        <w:t xml:space="preserve"> existing </w:t>
      </w:r>
      <w:r w:rsidR="00141A2E">
        <w:t xml:space="preserve">electric </w:t>
      </w:r>
      <w:r>
        <w:t>meters at the Commission’s regularly scheduled Open Meeting on March 10, 2016.</w:t>
      </w:r>
    </w:p>
    <w:p w14:paraId="1E22EF92" w14:textId="22573D58" w:rsidR="00AA514E" w:rsidRDefault="00AA514E" w:rsidP="002073EB">
      <w:pPr>
        <w:pStyle w:val="NoSpacing"/>
        <w:spacing w:line="480" w:lineRule="auto"/>
      </w:pPr>
    </w:p>
    <w:p w14:paraId="5ADA074F" w14:textId="77777777" w:rsidR="008B5770" w:rsidRPr="008918AC" w:rsidRDefault="008B5770" w:rsidP="008B5770">
      <w:pPr>
        <w:spacing w:line="480" w:lineRule="auto"/>
        <w:rPr>
          <w:b/>
        </w:rPr>
      </w:pPr>
      <w:r w:rsidRPr="008918AC">
        <w:rPr>
          <w:b/>
        </w:rPr>
        <w:t>Q.</w:t>
      </w:r>
      <w:r w:rsidRPr="008918AC">
        <w:rPr>
          <w:b/>
        </w:rPr>
        <w:tab/>
        <w:t xml:space="preserve">Does this conclude your testimony?  </w:t>
      </w:r>
    </w:p>
    <w:p w14:paraId="795758E8" w14:textId="77777777" w:rsidR="008B5770" w:rsidRPr="000E7F18" w:rsidRDefault="008B5770" w:rsidP="008B5770">
      <w:pPr>
        <w:spacing w:line="480" w:lineRule="auto"/>
        <w:ind w:left="720" w:hanging="720"/>
      </w:pPr>
      <w:r w:rsidRPr="008918AC">
        <w:t>A.</w:t>
      </w:r>
      <w:r w:rsidRPr="008918AC">
        <w:tab/>
        <w:t>Yes.</w:t>
      </w:r>
      <w:r>
        <w:t xml:space="preserve"> </w:t>
      </w:r>
    </w:p>
    <w:p w14:paraId="37C65883" w14:textId="77777777" w:rsidR="008B5770" w:rsidRPr="00755404" w:rsidRDefault="008B5770" w:rsidP="000E7F18">
      <w:pPr>
        <w:spacing w:line="480" w:lineRule="auto"/>
        <w:ind w:left="720" w:hanging="720"/>
      </w:pPr>
    </w:p>
    <w:sectPr w:rsidR="008B5770" w:rsidRPr="00755404" w:rsidSect="002C43AB">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A793D" w14:textId="77777777" w:rsidR="001B51B5" w:rsidRDefault="001B51B5" w:rsidP="0015026F">
      <w:r>
        <w:separator/>
      </w:r>
    </w:p>
  </w:endnote>
  <w:endnote w:type="continuationSeparator" w:id="0">
    <w:p w14:paraId="681835A4" w14:textId="77777777" w:rsidR="001B51B5" w:rsidRDefault="001B51B5" w:rsidP="0015026F">
      <w:r>
        <w:continuationSeparator/>
      </w:r>
    </w:p>
  </w:endnote>
  <w:endnote w:type="continuationNotice" w:id="1">
    <w:p w14:paraId="2B50CD2F" w14:textId="77777777" w:rsidR="001B51B5" w:rsidRDefault="001B5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6328A" w14:textId="77777777" w:rsidR="001B51B5" w:rsidRPr="00EA469D" w:rsidRDefault="001B51B5" w:rsidP="00F10013">
    <w:pPr>
      <w:pStyle w:val="Footer"/>
      <w:tabs>
        <w:tab w:val="clear" w:pos="9360"/>
        <w:tab w:val="right" w:pos="8910"/>
      </w:tabs>
      <w:rPr>
        <w:sz w:val="22"/>
        <w:szCs w:val="22"/>
      </w:rPr>
    </w:pPr>
    <w:r w:rsidRPr="00EA469D">
      <w:rPr>
        <w:sz w:val="22"/>
        <w:szCs w:val="22"/>
      </w:rPr>
      <w:t xml:space="preserve">TESTIMONY OF </w:t>
    </w:r>
    <w:r>
      <w:rPr>
        <w:sz w:val="22"/>
        <w:szCs w:val="22"/>
      </w:rPr>
      <w:t>MELISSA CHEESMAN</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MC</w:t>
    </w:r>
    <w:r w:rsidRPr="00EA469D">
      <w:rPr>
        <w:sz w:val="22"/>
        <w:szCs w:val="22"/>
      </w:rPr>
      <w:t>-1T</w:t>
    </w:r>
  </w:p>
  <w:p w14:paraId="56BDC142" w14:textId="03D8F2D3" w:rsidR="001B51B5" w:rsidRPr="00EA469D" w:rsidRDefault="001B51B5" w:rsidP="00F10013">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FD1A62">
      <w:rPr>
        <w:noProof/>
        <w:sz w:val="22"/>
        <w:szCs w:val="22"/>
      </w:rPr>
      <w:t>ii</w:t>
    </w:r>
    <w:r w:rsidRPr="00EA469D">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A41E" w14:textId="77777777" w:rsidR="001B51B5" w:rsidRPr="000619AE" w:rsidRDefault="001B51B5" w:rsidP="0015026F">
    <w:pPr>
      <w:pStyle w:val="Footer"/>
      <w:tabs>
        <w:tab w:val="clear" w:pos="9360"/>
        <w:tab w:val="right" w:pos="8910"/>
      </w:tabs>
      <w:rPr>
        <w:sz w:val="20"/>
        <w:szCs w:val="20"/>
      </w:rPr>
    </w:pPr>
  </w:p>
  <w:p w14:paraId="1098C494" w14:textId="50534F86" w:rsidR="001B51B5" w:rsidRPr="00EA469D" w:rsidRDefault="001B51B5" w:rsidP="0015026F">
    <w:pPr>
      <w:pStyle w:val="Footer"/>
      <w:tabs>
        <w:tab w:val="clear" w:pos="9360"/>
        <w:tab w:val="right" w:pos="8910"/>
      </w:tabs>
      <w:rPr>
        <w:sz w:val="22"/>
        <w:szCs w:val="22"/>
      </w:rPr>
    </w:pPr>
    <w:r w:rsidRPr="00EA469D">
      <w:rPr>
        <w:sz w:val="22"/>
        <w:szCs w:val="22"/>
      </w:rPr>
      <w:t xml:space="preserve">TESTIMONY OF </w:t>
    </w:r>
    <w:r>
      <w:rPr>
        <w:sz w:val="22"/>
        <w:szCs w:val="22"/>
      </w:rPr>
      <w:t>MELISSA CHEESMAN</w:t>
    </w:r>
    <w:r w:rsidRPr="00EA469D">
      <w:rPr>
        <w:sz w:val="22"/>
        <w:szCs w:val="22"/>
      </w:rPr>
      <w:t xml:space="preserve"> </w:t>
    </w:r>
    <w:r w:rsidRPr="00EA469D">
      <w:rPr>
        <w:sz w:val="22"/>
        <w:szCs w:val="22"/>
      </w:rPr>
      <w:tab/>
    </w:r>
    <w:r w:rsidRPr="00EA469D">
      <w:rPr>
        <w:sz w:val="22"/>
        <w:szCs w:val="22"/>
      </w:rPr>
      <w:tab/>
      <w:t xml:space="preserve">Exhibit No. </w:t>
    </w:r>
    <w:r>
      <w:rPr>
        <w:sz w:val="22"/>
        <w:szCs w:val="22"/>
      </w:rPr>
      <w:t>MC</w:t>
    </w:r>
    <w:r w:rsidRPr="00EA469D">
      <w:rPr>
        <w:sz w:val="22"/>
        <w:szCs w:val="22"/>
      </w:rPr>
      <w:t>-1T</w:t>
    </w:r>
  </w:p>
  <w:p w14:paraId="4FBA25A6" w14:textId="6B8FA43E" w:rsidR="001B51B5" w:rsidRPr="00EA469D" w:rsidRDefault="001B51B5"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FD1A62">
      <w:rPr>
        <w:noProof/>
        <w:sz w:val="22"/>
        <w:szCs w:val="22"/>
      </w:rPr>
      <w:t>19</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04CA2" w14:textId="77777777" w:rsidR="001B51B5" w:rsidRDefault="001B51B5" w:rsidP="0015026F">
      <w:r>
        <w:separator/>
      </w:r>
    </w:p>
  </w:footnote>
  <w:footnote w:type="continuationSeparator" w:id="0">
    <w:p w14:paraId="72A7595D" w14:textId="77777777" w:rsidR="001B51B5" w:rsidRDefault="001B51B5" w:rsidP="0015026F">
      <w:r>
        <w:continuationSeparator/>
      </w:r>
    </w:p>
  </w:footnote>
  <w:footnote w:type="continuationNotice" w:id="1">
    <w:p w14:paraId="6D97E3C2" w14:textId="77777777" w:rsidR="001B51B5" w:rsidRDefault="001B51B5"/>
  </w:footnote>
  <w:footnote w:id="2">
    <w:p w14:paraId="23734B70" w14:textId="7B24D93E" w:rsidR="001B51B5" w:rsidRPr="00277F20" w:rsidRDefault="001B51B5">
      <w:pPr>
        <w:pStyle w:val="FootnoteText"/>
      </w:pPr>
      <w:r>
        <w:rPr>
          <w:rStyle w:val="FootnoteReference"/>
        </w:rPr>
        <w:footnoteRef/>
      </w:r>
      <w:r>
        <w:t xml:space="preserve"> Smith, Exh. No</w:t>
      </w:r>
      <w:r w:rsidRPr="00AB5E43">
        <w:t xml:space="preserve">. </w:t>
      </w:r>
      <w:r>
        <w:t>__</w:t>
      </w:r>
      <w:r w:rsidRPr="00A328E7">
        <w:t xml:space="preserve"> (JSS-</w:t>
      </w:r>
      <w:r>
        <w:t>1</w:t>
      </w:r>
      <w:r w:rsidRPr="00A328E7">
        <w:t xml:space="preserve">T) </w:t>
      </w:r>
      <w:r>
        <w:t>5:1-7.</w:t>
      </w:r>
    </w:p>
  </w:footnote>
  <w:footnote w:id="3">
    <w:p w14:paraId="76B4FB7D" w14:textId="4BC89CFD" w:rsidR="001B51B5" w:rsidRPr="00277F20" w:rsidRDefault="001B51B5" w:rsidP="00645438">
      <w:pPr>
        <w:pStyle w:val="FootnoteText"/>
      </w:pPr>
      <w:r>
        <w:rPr>
          <w:rStyle w:val="FootnoteReference"/>
        </w:rPr>
        <w:footnoteRef/>
      </w:r>
      <w:r>
        <w:t xml:space="preserve"> Huang, Exh. No. </w:t>
      </w:r>
      <w:r w:rsidRPr="00A328E7">
        <w:t>JH-1T</w:t>
      </w:r>
      <w:r>
        <w:t xml:space="preserve"> in Section III.B</w:t>
      </w:r>
      <w:r w:rsidRPr="00C915D1">
        <w:t>.</w:t>
      </w:r>
    </w:p>
  </w:footnote>
  <w:footnote w:id="4">
    <w:p w14:paraId="48A412D0" w14:textId="35F01ED8" w:rsidR="001B51B5" w:rsidRDefault="001B51B5" w:rsidP="000B608B">
      <w:pPr>
        <w:pStyle w:val="FootnoteText"/>
      </w:pPr>
      <w:r>
        <w:rPr>
          <w:rStyle w:val="FootnoteReference"/>
        </w:rPr>
        <w:footnoteRef/>
      </w:r>
      <w:r>
        <w:t xml:space="preserve"> Smith, Exh. No. __ (JSS-1T).</w:t>
      </w:r>
    </w:p>
  </w:footnote>
  <w:footnote w:id="5">
    <w:p w14:paraId="08A8BB16" w14:textId="1979511A" w:rsidR="001B51B5" w:rsidRDefault="001B51B5" w:rsidP="008A0392">
      <w:pPr>
        <w:pStyle w:val="FootnoteText"/>
      </w:pPr>
      <w:r>
        <w:rPr>
          <w:rStyle w:val="FootnoteReference"/>
        </w:rPr>
        <w:footnoteRef/>
      </w:r>
      <w:r>
        <w:t xml:space="preserve"> Schuh, </w:t>
      </w:r>
      <w:r w:rsidRPr="00A56BAD">
        <w:t>Exh</w:t>
      </w:r>
      <w:r>
        <w:t>.</w:t>
      </w:r>
      <w:r w:rsidRPr="00A56BAD">
        <w:t xml:space="preserve"> No</w:t>
      </w:r>
      <w:r w:rsidRPr="00AB5E43">
        <w:t xml:space="preserve">. </w:t>
      </w:r>
      <w:r>
        <w:t>__</w:t>
      </w:r>
      <w:r w:rsidRPr="00A328E7">
        <w:t xml:space="preserve"> (KSS-T1</w:t>
      </w:r>
      <w:r w:rsidRPr="00C915D1">
        <w:t xml:space="preserve">) 39: </w:t>
      </w:r>
      <w:r>
        <w:t>18</w:t>
      </w:r>
      <w:r w:rsidRPr="00C915D1">
        <w:t xml:space="preserve"> - 41:2.</w:t>
      </w:r>
    </w:p>
  </w:footnote>
  <w:footnote w:id="6">
    <w:p w14:paraId="2C901A6E" w14:textId="714ABA26" w:rsidR="001B51B5" w:rsidRDefault="001B51B5">
      <w:pPr>
        <w:pStyle w:val="FootnoteText"/>
      </w:pPr>
      <w:r>
        <w:rPr>
          <w:rStyle w:val="FootnoteReference"/>
        </w:rPr>
        <w:footnoteRef/>
      </w:r>
      <w:r>
        <w:t xml:space="preserve"> </w:t>
      </w:r>
      <w:r>
        <w:rPr>
          <w:i/>
        </w:rPr>
        <w:t>In the Matter of the Petition of Avista Corp.</w:t>
      </w:r>
      <w:r>
        <w:t>, Docket UE-160100, Order 01 (Mar. 15, 2016).</w:t>
      </w:r>
    </w:p>
  </w:footnote>
  <w:footnote w:id="7">
    <w:p w14:paraId="7C09688C" w14:textId="370F941F" w:rsidR="001B51B5" w:rsidRDefault="001B51B5" w:rsidP="00F71A3E">
      <w:pPr>
        <w:pStyle w:val="FootnoteText"/>
      </w:pPr>
      <w:r>
        <w:rPr>
          <w:rStyle w:val="FootnoteReference"/>
        </w:rPr>
        <w:footnoteRef/>
      </w:r>
      <w:r>
        <w:t xml:space="preserve"> WAC 480-07-510(3)(e)(ii).</w:t>
      </w:r>
    </w:p>
  </w:footnote>
  <w:footnote w:id="8">
    <w:p w14:paraId="40CC35A7" w14:textId="14F5497B" w:rsidR="001B51B5" w:rsidRPr="00606FC5" w:rsidRDefault="001B51B5" w:rsidP="004C0812">
      <w:pPr>
        <w:pStyle w:val="FootnoteText"/>
      </w:pPr>
      <w:r>
        <w:rPr>
          <w:rStyle w:val="FootnoteReference"/>
        </w:rPr>
        <w:footnoteRef/>
      </w:r>
      <w:r>
        <w:t xml:space="preserve"> </w:t>
      </w:r>
      <w:r>
        <w:rPr>
          <w:i/>
        </w:rPr>
        <w:t xml:space="preserve">See </w:t>
      </w:r>
      <w:r w:rsidRPr="00C759E3">
        <w:t xml:space="preserve">Exhibit No. MC-8, Avista’s Response to </w:t>
      </w:r>
      <w:r>
        <w:t xml:space="preserve">UTC </w:t>
      </w:r>
      <w:r w:rsidRPr="00C759E3">
        <w:t xml:space="preserve">Staff Data Request </w:t>
      </w:r>
      <w:r>
        <w:t xml:space="preserve">No. </w:t>
      </w:r>
      <w:r w:rsidRPr="00C759E3">
        <w:t>102</w:t>
      </w:r>
      <w:r>
        <w:t>,</w:t>
      </w:r>
      <w:r w:rsidRPr="00C759E3">
        <w:t xml:space="preserve"> for Avista’s additional discussion regarding </w:t>
      </w:r>
      <w:r>
        <w:t>its</w:t>
      </w:r>
      <w:r w:rsidRPr="00C759E3">
        <w:t xml:space="preserve"> incentive plan</w:t>
      </w:r>
      <w:r>
        <w:t>s</w:t>
      </w:r>
      <w:r w:rsidRPr="00C759E3">
        <w:t>.</w:t>
      </w:r>
    </w:p>
  </w:footnote>
  <w:footnote w:id="9">
    <w:p w14:paraId="6973D2A2" w14:textId="497343B7" w:rsidR="001B51B5" w:rsidRPr="005C63AC" w:rsidRDefault="001B51B5" w:rsidP="00F64413">
      <w:pPr>
        <w:pStyle w:val="FootnoteText"/>
      </w:pPr>
      <w:r>
        <w:rPr>
          <w:rStyle w:val="FootnoteReference"/>
        </w:rPr>
        <w:footnoteRef/>
      </w:r>
      <w:r>
        <w:t xml:space="preserve"> </w:t>
      </w:r>
      <w:r>
        <w:rPr>
          <w:i/>
        </w:rPr>
        <w:t xml:space="preserve">See </w:t>
      </w:r>
      <w:r w:rsidRPr="0060493A">
        <w:t>Exhibit No. MC-7, Avista’s 2015 Incentive Plans</w:t>
      </w:r>
      <w:r>
        <w:t>, for a full description of the executive and non-executive plans. The incentive plans describe incentives for “executives” and “non-executives,” but sometimes refers to “non-executives” as “employees.”</w:t>
      </w:r>
    </w:p>
  </w:footnote>
  <w:footnote w:id="10">
    <w:p w14:paraId="19296DE2" w14:textId="652BDF83" w:rsidR="001B51B5" w:rsidRDefault="001B51B5">
      <w:pPr>
        <w:pStyle w:val="FootnoteText"/>
      </w:pPr>
      <w:r>
        <w:rPr>
          <w:rStyle w:val="FootnoteReference"/>
        </w:rPr>
        <w:footnoteRef/>
      </w:r>
      <w:r>
        <w:t xml:space="preserve"> </w:t>
      </w:r>
      <w:r w:rsidRPr="00353BDC">
        <w:t xml:space="preserve">The average </w:t>
      </w:r>
      <w:r>
        <w:t xml:space="preserve">of </w:t>
      </w:r>
      <w:r w:rsidRPr="00353BDC">
        <w:t>six-year percentage payout</w:t>
      </w:r>
      <w:r>
        <w:t>s</w:t>
      </w:r>
      <w:r w:rsidRPr="00353BDC">
        <w:t xml:space="preserve"> calculation in the Company’s initial filing used data from calendar years 2009 </w:t>
      </w:r>
      <w:r>
        <w:t>to</w:t>
      </w:r>
      <w:r w:rsidRPr="00353BDC">
        <w:t xml:space="preserve"> 2014.</w:t>
      </w:r>
    </w:p>
  </w:footnote>
  <w:footnote w:id="11">
    <w:p w14:paraId="25DB1A73" w14:textId="77777777" w:rsidR="001B51B5" w:rsidRDefault="001B51B5" w:rsidP="00353BDC">
      <w:pPr>
        <w:pStyle w:val="FootnoteText"/>
      </w:pPr>
      <w:r>
        <w:rPr>
          <w:rStyle w:val="FootnoteReference"/>
        </w:rPr>
        <w:footnoteRef/>
      </w:r>
      <w:r>
        <w:t xml:space="preserve"> Cheesman, </w:t>
      </w:r>
      <w:r w:rsidRPr="00D54822">
        <w:t>Exh</w:t>
      </w:r>
      <w:r>
        <w:t>.</w:t>
      </w:r>
      <w:r w:rsidRPr="00D54822">
        <w:t xml:space="preserve"> No. MC-3, Avista’s Initially Filed Restate Incentive Expenses (Electric 2.16, Gas 2.16)</w:t>
      </w:r>
      <w:r>
        <w:t>.</w:t>
      </w:r>
    </w:p>
  </w:footnote>
  <w:footnote w:id="12">
    <w:p w14:paraId="660918C2" w14:textId="31E35A5C" w:rsidR="001B51B5" w:rsidRPr="00223B4B" w:rsidRDefault="001B51B5">
      <w:pPr>
        <w:pStyle w:val="FootnoteText"/>
      </w:pPr>
      <w:r>
        <w:rPr>
          <w:rStyle w:val="FootnoteReference"/>
        </w:rPr>
        <w:footnoteRef/>
      </w:r>
      <w:r>
        <w:t xml:space="preserve"> </w:t>
      </w:r>
      <w:r>
        <w:rPr>
          <w:i/>
        </w:rPr>
        <w:t>See</w:t>
      </w:r>
      <w:r>
        <w:t xml:space="preserve"> </w:t>
      </w:r>
      <w:r w:rsidRPr="002402C6">
        <w:rPr>
          <w:i/>
        </w:rPr>
        <w:t>id</w:t>
      </w:r>
      <w:r>
        <w:t>.</w:t>
      </w:r>
    </w:p>
  </w:footnote>
  <w:footnote w:id="13">
    <w:p w14:paraId="3A007620" w14:textId="7A3385F6" w:rsidR="001B51B5" w:rsidRDefault="001B51B5">
      <w:pPr>
        <w:pStyle w:val="FootnoteText"/>
      </w:pPr>
      <w:r w:rsidRPr="003A3C0C">
        <w:rPr>
          <w:rStyle w:val="FootnoteReference"/>
        </w:rPr>
        <w:footnoteRef/>
      </w:r>
      <w:r w:rsidRPr="003A3C0C">
        <w:t xml:space="preserve"> </w:t>
      </w:r>
      <w:r w:rsidRPr="00DC62E7">
        <w:t>Exh</w:t>
      </w:r>
      <w:r>
        <w:t>.</w:t>
      </w:r>
      <w:r w:rsidRPr="00DC62E7">
        <w:t xml:space="preserve"> No. MC-4, Avista’s Updated Restate Incentive Expenses (Electric 2.16, Gas 2.16)</w:t>
      </w:r>
      <w:r>
        <w:t xml:space="preserve"> (Avista’s 2nd Supplemental Response to UTC Staff Data Request No. 91)</w:t>
      </w:r>
      <w:r w:rsidRPr="00C915D1">
        <w:t xml:space="preserve">; </w:t>
      </w:r>
      <w:r w:rsidRPr="00C915D1">
        <w:rPr>
          <w:i/>
        </w:rPr>
        <w:t>see</w:t>
      </w:r>
      <w:r>
        <w:rPr>
          <w:i/>
        </w:rPr>
        <w:t xml:space="preserve"> id.</w:t>
      </w:r>
    </w:p>
  </w:footnote>
  <w:footnote w:id="14">
    <w:p w14:paraId="123495B0" w14:textId="63C6D950" w:rsidR="001B51B5" w:rsidRDefault="001B51B5">
      <w:pPr>
        <w:pStyle w:val="FootnoteText"/>
      </w:pPr>
      <w:r>
        <w:rPr>
          <w:rStyle w:val="FootnoteReference"/>
        </w:rPr>
        <w:footnoteRef/>
      </w:r>
      <w:r>
        <w:t xml:space="preserve"> </w:t>
      </w:r>
      <w:r>
        <w:rPr>
          <w:i/>
        </w:rPr>
        <w:t xml:space="preserve">See </w:t>
      </w:r>
      <w:r>
        <w:t xml:space="preserve">Exh. </w:t>
      </w:r>
      <w:r w:rsidRPr="00C11DAF">
        <w:t>No. MC-2, Restate Incentive Expenses (Electric 2.16, Gas 2.14)</w:t>
      </w:r>
      <w:r>
        <w:t>,</w:t>
      </w:r>
      <w:r w:rsidRPr="00C11DAF">
        <w:t xml:space="preserve"> </w:t>
      </w:r>
      <w:r>
        <w:t xml:space="preserve">for greater detail of this adjustment. </w:t>
      </w:r>
      <w:r w:rsidRPr="0028200F">
        <w:t>It is important to make this update in order for the restating adjustment to have congruency</w:t>
      </w:r>
      <w:r>
        <w:t>.</w:t>
      </w:r>
    </w:p>
  </w:footnote>
  <w:footnote w:id="15">
    <w:p w14:paraId="349A6249" w14:textId="4782AF10" w:rsidR="001B51B5" w:rsidRDefault="001B51B5">
      <w:pPr>
        <w:pStyle w:val="FootnoteText"/>
      </w:pPr>
      <w:r>
        <w:rPr>
          <w:rStyle w:val="FootnoteReference"/>
        </w:rPr>
        <w:footnoteRef/>
      </w:r>
      <w:r>
        <w:t xml:space="preserve"> The executive incentives related to earnings per share are not booked in Account 920, but the amount was removed from that account pursuant to the Company’s adjustment. Instead, these incentives are booked in Account 417.1. The Company, correctly, does not include Account 417.1 in its revenue request in this rate case.</w:t>
      </w:r>
    </w:p>
  </w:footnote>
  <w:footnote w:id="16">
    <w:p w14:paraId="57EC153D" w14:textId="74F2D1DD" w:rsidR="001B51B5" w:rsidRDefault="001B51B5">
      <w:pPr>
        <w:pStyle w:val="FootnoteText"/>
      </w:pPr>
      <w:r>
        <w:rPr>
          <w:rStyle w:val="FootnoteReference"/>
        </w:rPr>
        <w:footnoteRef/>
      </w:r>
      <w:r>
        <w:t xml:space="preserve"> </w:t>
      </w:r>
      <w:r w:rsidRPr="00125BCE">
        <w:t xml:space="preserve">Executive </w:t>
      </w:r>
      <w:r>
        <w:t>projected 2016</w:t>
      </w:r>
      <w:r w:rsidRPr="00125BCE">
        <w:t xml:space="preserve"> labor expense must be reduced by the weighted-average percentage Award Opportunity and by the percentage relating to O&amp;M Incentive Opportunity to arrive at the Executive O&amp;M </w:t>
      </w:r>
      <w:r>
        <w:t>projected 2016</w:t>
      </w:r>
      <w:r w:rsidRPr="00125BCE">
        <w:t xml:space="preserve"> labor expense</w:t>
      </w:r>
      <w:r>
        <w:t xml:space="preserve"> (labeled as “Potential Payout @ 100%” in Exhibit MC-4)</w:t>
      </w:r>
      <w:r w:rsidRPr="00125BCE">
        <w:t>.</w:t>
      </w:r>
    </w:p>
  </w:footnote>
  <w:footnote w:id="17">
    <w:p w14:paraId="3CA0F047" w14:textId="2756380A" w:rsidR="001B51B5" w:rsidRDefault="001B51B5">
      <w:pPr>
        <w:pStyle w:val="FootnoteText"/>
      </w:pPr>
      <w:r>
        <w:rPr>
          <w:rStyle w:val="FootnoteReference"/>
        </w:rPr>
        <w:footnoteRef/>
      </w:r>
      <w:r>
        <w:t xml:space="preserve"> </w:t>
      </w:r>
      <w:r>
        <w:rPr>
          <w:i/>
        </w:rPr>
        <w:t xml:space="preserve">See </w:t>
      </w:r>
      <w:r>
        <w:t xml:space="preserve">Exh. </w:t>
      </w:r>
      <w:r w:rsidRPr="00C11DAF">
        <w:t xml:space="preserve">No. MC-2, Restate Incentive Expenses (Electric 2.16, Gas 2.14) </w:t>
      </w:r>
      <w:r>
        <w:t>for greater detail of this adjustment. Executive t</w:t>
      </w:r>
      <w:r w:rsidRPr="001C59C8">
        <w:t xml:space="preserve">est year labor expense </w:t>
      </w:r>
      <w:r>
        <w:t xml:space="preserve">must be reduced </w:t>
      </w:r>
      <w:r w:rsidRPr="001C59C8">
        <w:t>by the weighted-average percentage Award Opportunity and by the percentage relating to O&amp;M Incentive Opportunity</w:t>
      </w:r>
      <w:r>
        <w:t xml:space="preserve"> to arrive at the Executive O&amp;M test year labor expense (labeled as “Incentive Opportunity @ 100%”).</w:t>
      </w:r>
    </w:p>
  </w:footnote>
  <w:footnote w:id="18">
    <w:p w14:paraId="417B1A5D" w14:textId="325BFB48" w:rsidR="001B51B5" w:rsidRDefault="001B51B5">
      <w:pPr>
        <w:pStyle w:val="FootnoteText"/>
      </w:pPr>
      <w:r>
        <w:rPr>
          <w:rStyle w:val="FootnoteReference"/>
        </w:rPr>
        <w:footnoteRef/>
      </w:r>
      <w:r>
        <w:t xml:space="preserve"> The dictionary definition of the word congruent is: “matching or in agreement with something.”</w:t>
      </w:r>
      <w:r w:rsidRPr="003977EB">
        <w:rPr>
          <w:i/>
        </w:rPr>
        <w:t xml:space="preserve"> </w:t>
      </w:r>
      <w:r>
        <w:rPr>
          <w:i/>
        </w:rPr>
        <w:t>Congruent Definition</w:t>
      </w:r>
      <w:r w:rsidRPr="00773999">
        <w:rPr>
          <w:smallCaps/>
        </w:rPr>
        <w:t>, Merriam-Webster.com,</w:t>
      </w:r>
      <w:r w:rsidRPr="00FB7EA4">
        <w:t xml:space="preserve"> </w:t>
      </w:r>
      <w:hyperlink r:id="rId1" w:history="1">
        <w:r w:rsidRPr="00FB7EA4">
          <w:rPr>
            <w:rStyle w:val="Hyperlink"/>
            <w:color w:val="auto"/>
            <w:u w:val="none"/>
          </w:rPr>
          <w:t>http://www.merriam</w:t>
        </w:r>
        <w:bookmarkStart w:id="2" w:name="_GoBack"/>
        <w:bookmarkEnd w:id="2"/>
        <w:r w:rsidRPr="00FB7EA4">
          <w:rPr>
            <w:rStyle w:val="Hyperlink"/>
            <w:color w:val="auto"/>
            <w:u w:val="none"/>
          </w:rPr>
          <w:t>-webster.com/dictionary/congruent</w:t>
        </w:r>
      </w:hyperlink>
      <w:r>
        <w:t xml:space="preserve"> (last visited Aug. 12, 2016). For example, an adjustment restating an expense based on the results of another expense is only reasonable when both expenses are temporally (relating to time) in agreement.</w:t>
      </w:r>
    </w:p>
  </w:footnote>
  <w:footnote w:id="19">
    <w:p w14:paraId="52E56EF7" w14:textId="389759FA" w:rsidR="001B51B5" w:rsidRDefault="001B51B5">
      <w:pPr>
        <w:pStyle w:val="FootnoteText"/>
      </w:pPr>
      <w:r>
        <w:rPr>
          <w:rStyle w:val="FootnoteReference"/>
        </w:rPr>
        <w:footnoteRef/>
      </w:r>
      <w:r>
        <w:t xml:space="preserve"> </w:t>
      </w:r>
      <w:r w:rsidRPr="0023727D">
        <w:t>Exh</w:t>
      </w:r>
      <w:r>
        <w:t>.</w:t>
      </w:r>
      <w:r w:rsidRPr="0023727D">
        <w:t xml:space="preserve"> No. MC-5, Avista’s Response to </w:t>
      </w:r>
      <w:r>
        <w:t xml:space="preserve">UTC </w:t>
      </w:r>
      <w:r w:rsidRPr="0023727D">
        <w:t>Staff Data Request</w:t>
      </w:r>
      <w:r>
        <w:t xml:space="preserve"> No.</w:t>
      </w:r>
      <w:r w:rsidRPr="0023727D">
        <w:t xml:space="preserve"> 130</w:t>
      </w:r>
      <w:r>
        <w:t>.</w:t>
      </w:r>
    </w:p>
  </w:footnote>
  <w:footnote w:id="20">
    <w:p w14:paraId="4A0F3516" w14:textId="7BBBE082" w:rsidR="001B51B5" w:rsidRDefault="001B51B5" w:rsidP="006C392F">
      <w:pPr>
        <w:pStyle w:val="FootnoteText"/>
      </w:pPr>
      <w:r>
        <w:rPr>
          <w:rStyle w:val="FootnoteReference"/>
        </w:rPr>
        <w:footnoteRef/>
      </w:r>
      <w:r>
        <w:t xml:space="preserve"> 1 </w:t>
      </w:r>
      <w:r w:rsidRPr="00FD1A62">
        <w:t xml:space="preserve">Leonard Saul Goodman, </w:t>
      </w:r>
      <w:r w:rsidRPr="00FD1A62">
        <w:rPr>
          <w:i/>
        </w:rPr>
        <w:t>The Process of Ratemaking</w:t>
      </w:r>
      <w:r>
        <w:t xml:space="preserve"> 150</w:t>
      </w:r>
      <w:r w:rsidRPr="00FA7AE6">
        <w:t xml:space="preserve"> (1988)</w:t>
      </w:r>
      <w:r>
        <w:t>,</w:t>
      </w:r>
      <w:r w:rsidRPr="00FA7AE6">
        <w:t xml:space="preserve"> describing “Discretion and Judgment of Data averaging</w:t>
      </w:r>
      <w:r>
        <w:t>.</w:t>
      </w:r>
      <w:r w:rsidRPr="00FA7AE6">
        <w:t>”</w:t>
      </w:r>
    </w:p>
  </w:footnote>
  <w:footnote w:id="21">
    <w:p w14:paraId="07371376" w14:textId="496F6E43" w:rsidR="001B51B5" w:rsidRDefault="001B51B5" w:rsidP="006C392F">
      <w:pPr>
        <w:pStyle w:val="FootnoteText"/>
      </w:pPr>
      <w:r>
        <w:rPr>
          <w:rStyle w:val="FootnoteReference"/>
        </w:rPr>
        <w:footnoteRef/>
      </w:r>
      <w:r>
        <w:t xml:space="preserve"> </w:t>
      </w:r>
      <w:r>
        <w:rPr>
          <w:i/>
        </w:rPr>
        <w:t>Id.</w:t>
      </w:r>
      <w:r w:rsidRPr="00CF7814">
        <w:t xml:space="preserve"> at </w:t>
      </w:r>
      <w:r>
        <w:t xml:space="preserve">149, </w:t>
      </w:r>
      <w:r w:rsidRPr="003D2105">
        <w:t>describing “</w:t>
      </w:r>
      <w:r>
        <w:t>Discretion and Judgment of Data averaging</w:t>
      </w:r>
      <w:r w:rsidRPr="003D2105">
        <w:t>”</w:t>
      </w:r>
      <w:r>
        <w:t>.</w:t>
      </w:r>
    </w:p>
  </w:footnote>
  <w:footnote w:id="22">
    <w:p w14:paraId="65DA224B" w14:textId="77777777" w:rsidR="001B51B5" w:rsidRDefault="001B51B5" w:rsidP="002402C6">
      <w:pPr>
        <w:pStyle w:val="FootnoteText"/>
      </w:pPr>
      <w:r>
        <w:rPr>
          <w:rStyle w:val="FootnoteReference"/>
        </w:rPr>
        <w:footnoteRef/>
      </w:r>
      <w:r>
        <w:t xml:space="preserve"> </w:t>
      </w:r>
      <w:r w:rsidRPr="0023727D">
        <w:rPr>
          <w:i/>
        </w:rPr>
        <w:t>See</w:t>
      </w:r>
      <w:r>
        <w:t xml:space="preserve"> </w:t>
      </w:r>
      <w:r w:rsidRPr="004D0C42">
        <w:t>Exh</w:t>
      </w:r>
      <w:r>
        <w:t>.</w:t>
      </w:r>
      <w:r w:rsidRPr="004D0C42">
        <w:t xml:space="preserve"> No. MC-6, Avista’s Response to </w:t>
      </w:r>
      <w:r>
        <w:t xml:space="preserve">UTC </w:t>
      </w:r>
      <w:r w:rsidRPr="004D0C42">
        <w:t>Staff Data Request</w:t>
      </w:r>
      <w:r>
        <w:t xml:space="preserve"> No.</w:t>
      </w:r>
      <w:r w:rsidRPr="004D0C42">
        <w:t xml:space="preserve"> 129</w:t>
      </w:r>
      <w:r>
        <w:t>.</w:t>
      </w:r>
    </w:p>
  </w:footnote>
  <w:footnote w:id="23">
    <w:p w14:paraId="32115109" w14:textId="2850FD02" w:rsidR="001B51B5" w:rsidRDefault="001B51B5">
      <w:pPr>
        <w:pStyle w:val="FootnoteText"/>
      </w:pPr>
      <w:r>
        <w:rPr>
          <w:rStyle w:val="FootnoteReference"/>
        </w:rPr>
        <w:footnoteRef/>
      </w:r>
      <w:r>
        <w:t xml:space="preserve"> This material can be found in Exh. Nos. MC-</w:t>
      </w:r>
      <w:r w:rsidR="00D54C76">
        <w:t>3</w:t>
      </w:r>
      <w:r>
        <w:t xml:space="preserve"> through MC-8, attached to my testimony.</w:t>
      </w:r>
    </w:p>
  </w:footnote>
  <w:footnote w:id="24">
    <w:p w14:paraId="3BF3C43D" w14:textId="3895275C" w:rsidR="001B51B5" w:rsidRDefault="001B51B5" w:rsidP="00FD7ADA">
      <w:pPr>
        <w:pStyle w:val="FootnoteText"/>
      </w:pPr>
      <w:r>
        <w:rPr>
          <w:rStyle w:val="FootnoteReference"/>
        </w:rPr>
        <w:footnoteRef/>
      </w:r>
      <w:r>
        <w:t xml:space="preserve"> </w:t>
      </w:r>
      <w:r>
        <w:rPr>
          <w:i/>
        </w:rPr>
        <w:t xml:space="preserve">See </w:t>
      </w:r>
      <w:r w:rsidRPr="00C51FDD">
        <w:rPr>
          <w:rFonts w:eastAsia="Times New Roman"/>
          <w:bCs/>
        </w:rPr>
        <w:t>WAC 480</w:t>
      </w:r>
      <w:r w:rsidRPr="00C51FDD">
        <w:rPr>
          <w:rFonts w:eastAsia="Times New Roman"/>
          <w:bCs/>
        </w:rPr>
        <w:noBreakHyphen/>
        <w:t>07</w:t>
      </w:r>
      <w:r w:rsidRPr="00C51FDD">
        <w:rPr>
          <w:rFonts w:eastAsia="Times New Roman"/>
          <w:bCs/>
        </w:rPr>
        <w:noBreakHyphen/>
        <w:t>510(3)(e)(iii)</w:t>
      </w:r>
      <w:r>
        <w:rPr>
          <w:rFonts w:eastAsia="Times New Roman"/>
          <w:bCs/>
        </w:rPr>
        <w:t xml:space="preserve"> and </w:t>
      </w:r>
      <w:r>
        <w:rPr>
          <w:i/>
        </w:rPr>
        <w:t>Wash. Utils. &amp; Transp. Comm’n</w:t>
      </w:r>
      <w:r w:rsidRPr="003D699C">
        <w:rPr>
          <w:i/>
        </w:rPr>
        <w:t xml:space="preserve"> v. </w:t>
      </w:r>
      <w:r>
        <w:rPr>
          <w:i/>
        </w:rPr>
        <w:t>Avista Corp.</w:t>
      </w:r>
      <w:r>
        <w:t xml:space="preserve">, Docket UE-090134, </w:t>
      </w:r>
      <w:r w:rsidRPr="00075863">
        <w:t>Order</w:t>
      </w:r>
      <w:r>
        <w:t> 10, ¶ 45 (Dec. 22, 2009), explaining the known and measurable concept.</w:t>
      </w:r>
    </w:p>
  </w:footnote>
  <w:footnote w:id="25">
    <w:p w14:paraId="26A3C952" w14:textId="1ED56FDD" w:rsidR="001B51B5" w:rsidRPr="0038004E" w:rsidRDefault="001B51B5">
      <w:pPr>
        <w:pStyle w:val="FootnoteText"/>
      </w:pPr>
      <w:r>
        <w:rPr>
          <w:rStyle w:val="FootnoteReference"/>
        </w:rPr>
        <w:footnoteRef/>
      </w:r>
      <w:r w:rsidDel="004D2319">
        <w:t xml:space="preserve"> </w:t>
      </w:r>
      <w:r>
        <w:t>This material can be found in Exh. Nos. MC-10 and MC-11, attached to my testimony.</w:t>
      </w:r>
    </w:p>
  </w:footnote>
  <w:footnote w:id="26">
    <w:p w14:paraId="30618856" w14:textId="7A6A3A86" w:rsidR="001B51B5" w:rsidRPr="003C10EB" w:rsidRDefault="001B51B5" w:rsidP="00782CF0">
      <w:pPr>
        <w:pStyle w:val="FootnoteText"/>
      </w:pPr>
      <w:r>
        <w:rPr>
          <w:rStyle w:val="FootnoteReference"/>
        </w:rPr>
        <w:footnoteRef/>
      </w:r>
      <w:r>
        <w:t xml:space="preserve"> </w:t>
      </w:r>
      <w:r>
        <w:rPr>
          <w:i/>
        </w:rPr>
        <w:t xml:space="preserve">See </w:t>
      </w:r>
      <w:r w:rsidRPr="003C10EB">
        <w:t>Exh</w:t>
      </w:r>
      <w:r>
        <w:t>.</w:t>
      </w:r>
      <w:r w:rsidRPr="003C10EB">
        <w:t xml:space="preserve"> No. MC-12, Avista’s Initially Filed Pro Forma Pipeline Safety Labor (Gas 3.03)</w:t>
      </w:r>
      <w:r>
        <w:t>.</w:t>
      </w:r>
    </w:p>
  </w:footnote>
  <w:footnote w:id="27">
    <w:p w14:paraId="4399C9BC" w14:textId="77777777" w:rsidR="001B51B5" w:rsidRDefault="001B51B5" w:rsidP="00945F3E">
      <w:pPr>
        <w:pStyle w:val="FootnoteText"/>
      </w:pPr>
      <w:r w:rsidRPr="00550E2C">
        <w:rPr>
          <w:rStyle w:val="FootnoteReference"/>
        </w:rPr>
        <w:footnoteRef/>
      </w:r>
      <w:r w:rsidRPr="00550E2C">
        <w:t xml:space="preserve"> </w:t>
      </w:r>
      <w:r>
        <w:rPr>
          <w:i/>
        </w:rPr>
        <w:t xml:space="preserve">See </w:t>
      </w:r>
      <w:r>
        <w:t>Exh. No. MC-14</w:t>
      </w:r>
      <w:r w:rsidRPr="0029775A">
        <w:t>, Avista’s Respons</w:t>
      </w:r>
      <w:r>
        <w:t>e to UTC Staff Data Request No. 136.</w:t>
      </w:r>
    </w:p>
  </w:footnote>
  <w:footnote w:id="28">
    <w:p w14:paraId="7FACCDB4" w14:textId="40663276" w:rsidR="001B51B5" w:rsidRDefault="001B51B5">
      <w:pPr>
        <w:pStyle w:val="FootnoteText"/>
      </w:pPr>
      <w:r>
        <w:rPr>
          <w:rStyle w:val="FootnoteReference"/>
        </w:rPr>
        <w:footnoteRef/>
      </w:r>
      <w:r>
        <w:t xml:space="preserve"> This material can be found in Exh. Nos. MC-12 through MC-14, attached to my testimony.</w:t>
      </w:r>
    </w:p>
  </w:footnote>
  <w:footnote w:id="29">
    <w:p w14:paraId="74DCB3D6" w14:textId="7AE0FD99" w:rsidR="001B51B5" w:rsidRDefault="001B51B5" w:rsidP="00CA716A">
      <w:pPr>
        <w:pStyle w:val="FootnoteText"/>
      </w:pPr>
      <w:r>
        <w:rPr>
          <w:rStyle w:val="FootnoteReference"/>
        </w:rPr>
        <w:footnoteRef/>
      </w:r>
      <w:r>
        <w:t xml:space="preserve"> </w:t>
      </w:r>
      <w:r>
        <w:rPr>
          <w:i/>
        </w:rPr>
        <w:t xml:space="preserve">See </w:t>
      </w:r>
      <w:r w:rsidRPr="00782CF0">
        <w:t>Exh</w:t>
      </w:r>
      <w:r>
        <w:t>. No. MC</w:t>
      </w:r>
      <w:r w:rsidRPr="00782CF0">
        <w:t>-15, Pipeline FTE Alternative.</w:t>
      </w:r>
    </w:p>
  </w:footnote>
  <w:footnote w:id="30">
    <w:p w14:paraId="3E81A6D0" w14:textId="25156B2C" w:rsidR="001B51B5" w:rsidRDefault="001B51B5">
      <w:pPr>
        <w:pStyle w:val="FootnoteText"/>
      </w:pPr>
      <w:r>
        <w:rPr>
          <w:rStyle w:val="FootnoteReference"/>
        </w:rPr>
        <w:footnoteRef/>
      </w:r>
      <w:r>
        <w:t xml:space="preserve"> </w:t>
      </w:r>
      <w:r w:rsidRPr="00834DF0">
        <w:rPr>
          <w:i/>
        </w:rPr>
        <w:t xml:space="preserve">See </w:t>
      </w:r>
      <w:r>
        <w:rPr>
          <w:i/>
        </w:rPr>
        <w:t>Wash. Utils. &amp; Trans. Comm’n v. Pacific Power &amp; Light, Co.</w:t>
      </w:r>
      <w:r>
        <w:t>, Docket UE-140762, Order 08, n. 57 (Mar. 25, 2015).</w:t>
      </w:r>
    </w:p>
  </w:footnote>
  <w:footnote w:id="31">
    <w:p w14:paraId="44D507FF" w14:textId="26B4C6DD" w:rsidR="001B51B5" w:rsidRDefault="001B51B5">
      <w:pPr>
        <w:pStyle w:val="FootnoteText"/>
      </w:pPr>
      <w:r>
        <w:rPr>
          <w:rStyle w:val="FootnoteReference"/>
        </w:rPr>
        <w:footnoteRef/>
      </w:r>
      <w:r>
        <w:t xml:space="preserve"> </w:t>
      </w:r>
      <w:r>
        <w:rPr>
          <w:i/>
        </w:rPr>
        <w:t>In the Matter of the Petition of Avista Corp.</w:t>
      </w:r>
      <w:r>
        <w:t>, Docket UE-160100, Order 01, ¶¶ 6-10 (Mar. 15, 2016), granting the Company’s amended petition subject to several conditions, including the following: (a) that approval of the Company’s amended petition is not effective until the Company executes the vendor contracts; (b) any proposed transfer of the electric meters from plant-in-service to a regulatory asset account (182.3) will not take place until the date the contracts are executed; (c) the Company should</w:t>
      </w:r>
      <w:r w:rsidRPr="00154686">
        <w:t xml:space="preserve"> not </w:t>
      </w:r>
      <w:r>
        <w:t>interpret the Commission’s decision as a</w:t>
      </w:r>
      <w:r w:rsidRPr="00154686">
        <w:t xml:space="preserve"> guarantee that amounts recorded in a regulatory asset account will be recoverable in a future period</w:t>
      </w:r>
      <w:r>
        <w:t xml:space="preserve">; and, (d) </w:t>
      </w:r>
      <w:r w:rsidRPr="005B4142">
        <w:t xml:space="preserve">the </w:t>
      </w:r>
      <w:r>
        <w:t>Company</w:t>
      </w:r>
      <w:r w:rsidRPr="005B4142">
        <w:t xml:space="preserve"> should not interpret the Commission’s decision a</w:t>
      </w:r>
      <w:r>
        <w:t>s preapproval of the Company’s AMI investment and makes no determination of prudency.</w:t>
      </w:r>
    </w:p>
  </w:footnote>
  <w:footnote w:id="32">
    <w:p w14:paraId="0F88939D" w14:textId="57EEDACE" w:rsidR="001B51B5" w:rsidRDefault="001B51B5" w:rsidP="00810E85">
      <w:pPr>
        <w:pStyle w:val="FootnoteText"/>
      </w:pPr>
      <w:r>
        <w:rPr>
          <w:rStyle w:val="FootnoteReference"/>
        </w:rPr>
        <w:footnoteRef/>
      </w:r>
      <w:r>
        <w:t xml:space="preserve"> </w:t>
      </w:r>
      <w:r>
        <w:rPr>
          <w:i/>
        </w:rPr>
        <w:t xml:space="preserve">See </w:t>
      </w:r>
      <w:r w:rsidRPr="00A35834">
        <w:t>Exh</w:t>
      </w:r>
      <w:r>
        <w:t>.</w:t>
      </w:r>
      <w:r w:rsidRPr="00A35834">
        <w:t xml:space="preserve"> No.</w:t>
      </w:r>
      <w:r>
        <w:t xml:space="preserve"> MC</w:t>
      </w:r>
      <w:r w:rsidRPr="00A35834">
        <w:t xml:space="preserve">-16, </w:t>
      </w:r>
      <w:r>
        <w:t xml:space="preserve">UTC </w:t>
      </w:r>
      <w:r w:rsidRPr="00A35834">
        <w:t>Staff_DR_091 Supp 2 - Attach A - Summary of Changes.xlsx</w:t>
      </w:r>
      <w:r w:rsidR="0063083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E620922"/>
    <w:lvl w:ilvl="0">
      <w:start w:val="1"/>
      <w:numFmt w:val="bullet"/>
      <w:lvlText w:val=""/>
      <w:lvlJc w:val="left"/>
      <w:pPr>
        <w:tabs>
          <w:tab w:val="num" w:pos="720"/>
        </w:tabs>
        <w:ind w:left="720" w:hanging="360"/>
      </w:pPr>
      <w:rPr>
        <w:rFonts w:ascii="Symbol" w:hAnsi="Symbol" w:hint="default"/>
      </w:rPr>
    </w:lvl>
  </w:abstractNum>
  <w:abstractNum w:abstractNumId="1">
    <w:nsid w:val="03464E92"/>
    <w:multiLevelType w:val="hybridMultilevel"/>
    <w:tmpl w:val="1E9A4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9167DA"/>
    <w:multiLevelType w:val="hybridMultilevel"/>
    <w:tmpl w:val="C97873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8665E7F"/>
    <w:multiLevelType w:val="hybridMultilevel"/>
    <w:tmpl w:val="F5A42016"/>
    <w:lvl w:ilvl="0" w:tplc="04090015">
      <w:start w:val="1"/>
      <w:numFmt w:val="upperLetter"/>
      <w:lvlText w:val="%1."/>
      <w:lvlJc w:val="left"/>
      <w:pPr>
        <w:ind w:left="720" w:hanging="360"/>
      </w:pPr>
      <w:rPr>
        <w:rFonts w:hint="default"/>
      </w:rPr>
    </w:lvl>
    <w:lvl w:ilvl="1" w:tplc="327AC82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27CDF"/>
    <w:multiLevelType w:val="hybridMultilevel"/>
    <w:tmpl w:val="94B8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42452"/>
    <w:multiLevelType w:val="hybridMultilevel"/>
    <w:tmpl w:val="C3263CD4"/>
    <w:lvl w:ilvl="0" w:tplc="70A631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E441F"/>
    <w:multiLevelType w:val="hybridMultilevel"/>
    <w:tmpl w:val="38B29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577886"/>
    <w:multiLevelType w:val="hybridMultilevel"/>
    <w:tmpl w:val="F4842B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C1C25"/>
    <w:multiLevelType w:val="hybridMultilevel"/>
    <w:tmpl w:val="F0A8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D43C50"/>
    <w:multiLevelType w:val="hybridMultilevel"/>
    <w:tmpl w:val="8C922D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8B149F"/>
    <w:multiLevelType w:val="hybridMultilevel"/>
    <w:tmpl w:val="8832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47423E2"/>
    <w:multiLevelType w:val="hybridMultilevel"/>
    <w:tmpl w:val="61101BF0"/>
    <w:lvl w:ilvl="0" w:tplc="5454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B607D2"/>
    <w:multiLevelType w:val="hybridMultilevel"/>
    <w:tmpl w:val="50AEB252"/>
    <w:lvl w:ilvl="0" w:tplc="E2BA7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22D58"/>
    <w:multiLevelType w:val="hybridMultilevel"/>
    <w:tmpl w:val="BD585D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B3A7A4D"/>
    <w:multiLevelType w:val="hybridMultilevel"/>
    <w:tmpl w:val="6FF2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683915"/>
    <w:multiLevelType w:val="hybridMultilevel"/>
    <w:tmpl w:val="5A0A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nsid w:val="37D63F91"/>
    <w:multiLevelType w:val="hybridMultilevel"/>
    <w:tmpl w:val="E2C2BF04"/>
    <w:lvl w:ilvl="0" w:tplc="D2660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2D4554"/>
    <w:multiLevelType w:val="hybridMultilevel"/>
    <w:tmpl w:val="C430DD2E"/>
    <w:lvl w:ilvl="0" w:tplc="745C4A4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CEC6E98"/>
    <w:multiLevelType w:val="hybridMultilevel"/>
    <w:tmpl w:val="5E1812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D146AAC"/>
    <w:multiLevelType w:val="hybridMultilevel"/>
    <w:tmpl w:val="44781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30">
    <w:nsid w:val="4157763D"/>
    <w:multiLevelType w:val="hybridMultilevel"/>
    <w:tmpl w:val="ADF0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DE3347"/>
    <w:multiLevelType w:val="hybridMultilevel"/>
    <w:tmpl w:val="EA427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366750E"/>
    <w:multiLevelType w:val="hybridMultilevel"/>
    <w:tmpl w:val="D116B4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4A35449"/>
    <w:multiLevelType w:val="hybridMultilevel"/>
    <w:tmpl w:val="8C922D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4A3354A4"/>
    <w:multiLevelType w:val="hybridMultilevel"/>
    <w:tmpl w:val="D1543DA4"/>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5">
    <w:nsid w:val="4B1E76EB"/>
    <w:multiLevelType w:val="hybridMultilevel"/>
    <w:tmpl w:val="8C922D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4FE26137"/>
    <w:multiLevelType w:val="hybridMultilevel"/>
    <w:tmpl w:val="43A0D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4AB6099"/>
    <w:multiLevelType w:val="hybridMultilevel"/>
    <w:tmpl w:val="56BC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7BE5314"/>
    <w:multiLevelType w:val="hybridMultilevel"/>
    <w:tmpl w:val="E3F4C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9C35D2B"/>
    <w:multiLevelType w:val="hybridMultilevel"/>
    <w:tmpl w:val="9CD6335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nsid w:val="5AD30E55"/>
    <w:multiLevelType w:val="hybridMultilevel"/>
    <w:tmpl w:val="E2C2BF04"/>
    <w:lvl w:ilvl="0" w:tplc="D2660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352E7F"/>
    <w:multiLevelType w:val="hybridMultilevel"/>
    <w:tmpl w:val="D78EF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510127"/>
    <w:multiLevelType w:val="hybridMultilevel"/>
    <w:tmpl w:val="B35448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936778"/>
    <w:multiLevelType w:val="hybridMultilevel"/>
    <w:tmpl w:val="78BAF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E91611"/>
    <w:multiLevelType w:val="hybridMultilevel"/>
    <w:tmpl w:val="6D00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7BC61D3"/>
    <w:multiLevelType w:val="hybridMultilevel"/>
    <w:tmpl w:val="C33A01C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8AB438D"/>
    <w:multiLevelType w:val="hybridMultilevel"/>
    <w:tmpl w:val="0A582E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6F0245"/>
    <w:multiLevelType w:val="hybridMultilevel"/>
    <w:tmpl w:val="C9B23726"/>
    <w:lvl w:ilvl="0" w:tplc="745C4A4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2986FB4"/>
    <w:multiLevelType w:val="hybridMultilevel"/>
    <w:tmpl w:val="50F8A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765F6010"/>
    <w:multiLevelType w:val="hybridMultilevel"/>
    <w:tmpl w:val="62B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3053B8"/>
    <w:multiLevelType w:val="hybridMultilevel"/>
    <w:tmpl w:val="F46C5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8"/>
  </w:num>
  <w:num w:numId="2">
    <w:abstractNumId w:val="20"/>
  </w:num>
  <w:num w:numId="3">
    <w:abstractNumId w:val="5"/>
  </w:num>
  <w:num w:numId="4">
    <w:abstractNumId w:val="57"/>
  </w:num>
  <w:num w:numId="5">
    <w:abstractNumId w:val="38"/>
  </w:num>
  <w:num w:numId="6">
    <w:abstractNumId w:val="54"/>
  </w:num>
  <w:num w:numId="7">
    <w:abstractNumId w:val="7"/>
  </w:num>
  <w:num w:numId="8">
    <w:abstractNumId w:val="29"/>
  </w:num>
  <w:num w:numId="9">
    <w:abstractNumId w:val="24"/>
  </w:num>
  <w:num w:numId="10">
    <w:abstractNumId w:val="36"/>
  </w:num>
  <w:num w:numId="11">
    <w:abstractNumId w:val="23"/>
  </w:num>
  <w:num w:numId="12">
    <w:abstractNumId w:val="28"/>
  </w:num>
  <w:num w:numId="13">
    <w:abstractNumId w:val="52"/>
  </w:num>
  <w:num w:numId="14">
    <w:abstractNumId w:val="8"/>
  </w:num>
  <w:num w:numId="15">
    <w:abstractNumId w:val="14"/>
  </w:num>
  <w:num w:numId="16">
    <w:abstractNumId w:val="27"/>
  </w:num>
  <w:num w:numId="17">
    <w:abstractNumId w:val="0"/>
  </w:num>
  <w:num w:numId="18">
    <w:abstractNumId w:val="6"/>
  </w:num>
  <w:num w:numId="19">
    <w:abstractNumId w:val="18"/>
  </w:num>
  <w:num w:numId="20">
    <w:abstractNumId w:val="26"/>
  </w:num>
  <w:num w:numId="21">
    <w:abstractNumId w:val="1"/>
  </w:num>
  <w:num w:numId="22">
    <w:abstractNumId w:val="40"/>
  </w:num>
  <w:num w:numId="23">
    <w:abstractNumId w:val="39"/>
  </w:num>
  <w:num w:numId="24">
    <w:abstractNumId w:val="56"/>
  </w:num>
  <w:num w:numId="25">
    <w:abstractNumId w:val="41"/>
  </w:num>
  <w:num w:numId="26">
    <w:abstractNumId w:val="55"/>
  </w:num>
  <w:num w:numId="27">
    <w:abstractNumId w:val="42"/>
  </w:num>
  <w:num w:numId="28">
    <w:abstractNumId w:val="15"/>
  </w:num>
  <w:num w:numId="29">
    <w:abstractNumId w:val="47"/>
  </w:num>
  <w:num w:numId="30">
    <w:abstractNumId w:val="37"/>
  </w:num>
  <w:num w:numId="31">
    <w:abstractNumId w:val="32"/>
  </w:num>
  <w:num w:numId="32">
    <w:abstractNumId w:val="33"/>
  </w:num>
  <w:num w:numId="33">
    <w:abstractNumId w:val="3"/>
  </w:num>
  <w:num w:numId="34">
    <w:abstractNumId w:val="49"/>
  </w:num>
  <w:num w:numId="35">
    <w:abstractNumId w:val="30"/>
  </w:num>
  <w:num w:numId="36">
    <w:abstractNumId w:val="44"/>
  </w:num>
  <w:num w:numId="37">
    <w:abstractNumId w:val="50"/>
  </w:num>
  <w:num w:numId="38">
    <w:abstractNumId w:val="11"/>
  </w:num>
  <w:num w:numId="39">
    <w:abstractNumId w:val="2"/>
  </w:num>
  <w:num w:numId="40">
    <w:abstractNumId w:val="46"/>
  </w:num>
  <w:num w:numId="41">
    <w:abstractNumId w:val="10"/>
  </w:num>
  <w:num w:numId="42">
    <w:abstractNumId w:val="45"/>
  </w:num>
  <w:num w:numId="43">
    <w:abstractNumId w:val="22"/>
  </w:num>
  <w:num w:numId="44">
    <w:abstractNumId w:val="51"/>
  </w:num>
  <w:num w:numId="45">
    <w:abstractNumId w:val="53"/>
  </w:num>
  <w:num w:numId="46">
    <w:abstractNumId w:val="16"/>
  </w:num>
  <w:num w:numId="47">
    <w:abstractNumId w:val="21"/>
  </w:num>
  <w:num w:numId="48">
    <w:abstractNumId w:val="43"/>
  </w:num>
  <w:num w:numId="49">
    <w:abstractNumId w:val="35"/>
  </w:num>
  <w:num w:numId="50">
    <w:abstractNumId w:val="12"/>
  </w:num>
  <w:num w:numId="51">
    <w:abstractNumId w:val="17"/>
  </w:num>
  <w:num w:numId="52">
    <w:abstractNumId w:val="9"/>
  </w:num>
  <w:num w:numId="53">
    <w:abstractNumId w:val="31"/>
  </w:num>
  <w:num w:numId="54">
    <w:abstractNumId w:val="25"/>
  </w:num>
  <w:num w:numId="55">
    <w:abstractNumId w:val="34"/>
  </w:num>
  <w:num w:numId="56">
    <w:abstractNumId w:val="19"/>
  </w:num>
  <w:num w:numId="57">
    <w:abstractNumId w:val="4"/>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C60"/>
    <w:rsid w:val="000024E1"/>
    <w:rsid w:val="00003BD4"/>
    <w:rsid w:val="00003E28"/>
    <w:rsid w:val="00004351"/>
    <w:rsid w:val="00004875"/>
    <w:rsid w:val="00005935"/>
    <w:rsid w:val="0000715D"/>
    <w:rsid w:val="00007325"/>
    <w:rsid w:val="00007E11"/>
    <w:rsid w:val="00012762"/>
    <w:rsid w:val="00013AFC"/>
    <w:rsid w:val="0001434C"/>
    <w:rsid w:val="000144E6"/>
    <w:rsid w:val="00014FB2"/>
    <w:rsid w:val="00015765"/>
    <w:rsid w:val="00016634"/>
    <w:rsid w:val="00017B5D"/>
    <w:rsid w:val="00017ED1"/>
    <w:rsid w:val="0002088F"/>
    <w:rsid w:val="00021DEC"/>
    <w:rsid w:val="00021EEA"/>
    <w:rsid w:val="00022979"/>
    <w:rsid w:val="00022B94"/>
    <w:rsid w:val="0002348C"/>
    <w:rsid w:val="00024165"/>
    <w:rsid w:val="00024279"/>
    <w:rsid w:val="00024EE8"/>
    <w:rsid w:val="00024F9C"/>
    <w:rsid w:val="0002791A"/>
    <w:rsid w:val="00027E0B"/>
    <w:rsid w:val="0003042F"/>
    <w:rsid w:val="0003059A"/>
    <w:rsid w:val="000312F1"/>
    <w:rsid w:val="00031400"/>
    <w:rsid w:val="000326FE"/>
    <w:rsid w:val="00032A81"/>
    <w:rsid w:val="00032E7C"/>
    <w:rsid w:val="00033476"/>
    <w:rsid w:val="00034EB5"/>
    <w:rsid w:val="000357A7"/>
    <w:rsid w:val="00037975"/>
    <w:rsid w:val="00037DB2"/>
    <w:rsid w:val="00040735"/>
    <w:rsid w:val="0004075B"/>
    <w:rsid w:val="00040E91"/>
    <w:rsid w:val="00040F0C"/>
    <w:rsid w:val="000434C6"/>
    <w:rsid w:val="00044483"/>
    <w:rsid w:val="000449CA"/>
    <w:rsid w:val="00045486"/>
    <w:rsid w:val="000462B5"/>
    <w:rsid w:val="000467BB"/>
    <w:rsid w:val="00051A3C"/>
    <w:rsid w:val="00051BC8"/>
    <w:rsid w:val="00053708"/>
    <w:rsid w:val="00056E9D"/>
    <w:rsid w:val="00056FB2"/>
    <w:rsid w:val="00057B35"/>
    <w:rsid w:val="00060651"/>
    <w:rsid w:val="00060A29"/>
    <w:rsid w:val="00060C15"/>
    <w:rsid w:val="000619AE"/>
    <w:rsid w:val="00062A9C"/>
    <w:rsid w:val="000636AE"/>
    <w:rsid w:val="0006485D"/>
    <w:rsid w:val="00065AD8"/>
    <w:rsid w:val="00065D7F"/>
    <w:rsid w:val="00066885"/>
    <w:rsid w:val="00067D3C"/>
    <w:rsid w:val="000701BA"/>
    <w:rsid w:val="000701F9"/>
    <w:rsid w:val="000708D2"/>
    <w:rsid w:val="000729DD"/>
    <w:rsid w:val="00072D7E"/>
    <w:rsid w:val="000736D7"/>
    <w:rsid w:val="00073FB5"/>
    <w:rsid w:val="000758AD"/>
    <w:rsid w:val="000774AC"/>
    <w:rsid w:val="00077C64"/>
    <w:rsid w:val="00077CA4"/>
    <w:rsid w:val="00080319"/>
    <w:rsid w:val="000816DF"/>
    <w:rsid w:val="000835E7"/>
    <w:rsid w:val="00083FAE"/>
    <w:rsid w:val="0008410D"/>
    <w:rsid w:val="000848CF"/>
    <w:rsid w:val="00084A18"/>
    <w:rsid w:val="00086617"/>
    <w:rsid w:val="000869FD"/>
    <w:rsid w:val="00086AC8"/>
    <w:rsid w:val="00087100"/>
    <w:rsid w:val="00087FA4"/>
    <w:rsid w:val="00090575"/>
    <w:rsid w:val="00090625"/>
    <w:rsid w:val="000906E7"/>
    <w:rsid w:val="00091A39"/>
    <w:rsid w:val="00091D4A"/>
    <w:rsid w:val="00091E92"/>
    <w:rsid w:val="00092FF7"/>
    <w:rsid w:val="00093238"/>
    <w:rsid w:val="00093265"/>
    <w:rsid w:val="0009334B"/>
    <w:rsid w:val="0009394E"/>
    <w:rsid w:val="00095D2A"/>
    <w:rsid w:val="000960B1"/>
    <w:rsid w:val="000962E2"/>
    <w:rsid w:val="000979A5"/>
    <w:rsid w:val="00097B03"/>
    <w:rsid w:val="000A0B49"/>
    <w:rsid w:val="000A0DD8"/>
    <w:rsid w:val="000A166F"/>
    <w:rsid w:val="000A1F85"/>
    <w:rsid w:val="000A2DE0"/>
    <w:rsid w:val="000A44E2"/>
    <w:rsid w:val="000A57B4"/>
    <w:rsid w:val="000A5938"/>
    <w:rsid w:val="000A7A00"/>
    <w:rsid w:val="000A7FBE"/>
    <w:rsid w:val="000B0843"/>
    <w:rsid w:val="000B0EF1"/>
    <w:rsid w:val="000B474F"/>
    <w:rsid w:val="000B56A8"/>
    <w:rsid w:val="000B608B"/>
    <w:rsid w:val="000B6A10"/>
    <w:rsid w:val="000B72BA"/>
    <w:rsid w:val="000C022A"/>
    <w:rsid w:val="000C02AE"/>
    <w:rsid w:val="000C0894"/>
    <w:rsid w:val="000C0992"/>
    <w:rsid w:val="000C0AC6"/>
    <w:rsid w:val="000C2D89"/>
    <w:rsid w:val="000C3206"/>
    <w:rsid w:val="000C50ED"/>
    <w:rsid w:val="000C7D25"/>
    <w:rsid w:val="000D04BD"/>
    <w:rsid w:val="000D129D"/>
    <w:rsid w:val="000D19DA"/>
    <w:rsid w:val="000D34EC"/>
    <w:rsid w:val="000D39B2"/>
    <w:rsid w:val="000D74BB"/>
    <w:rsid w:val="000D790E"/>
    <w:rsid w:val="000E0E05"/>
    <w:rsid w:val="000E21D1"/>
    <w:rsid w:val="000E23E6"/>
    <w:rsid w:val="000E34BD"/>
    <w:rsid w:val="000E3BF6"/>
    <w:rsid w:val="000E6919"/>
    <w:rsid w:val="000E6F0C"/>
    <w:rsid w:val="000E798A"/>
    <w:rsid w:val="000E7F18"/>
    <w:rsid w:val="000F0A79"/>
    <w:rsid w:val="000F1241"/>
    <w:rsid w:val="000F14FE"/>
    <w:rsid w:val="000F17F7"/>
    <w:rsid w:val="000F20F2"/>
    <w:rsid w:val="000F27E0"/>
    <w:rsid w:val="000F3A54"/>
    <w:rsid w:val="000F3DE7"/>
    <w:rsid w:val="000F3F19"/>
    <w:rsid w:val="000F4561"/>
    <w:rsid w:val="000F4E5D"/>
    <w:rsid w:val="000F5CCD"/>
    <w:rsid w:val="000F65F7"/>
    <w:rsid w:val="000F6739"/>
    <w:rsid w:val="000F74F4"/>
    <w:rsid w:val="001000F4"/>
    <w:rsid w:val="001017E6"/>
    <w:rsid w:val="00101902"/>
    <w:rsid w:val="00101AE2"/>
    <w:rsid w:val="00101D26"/>
    <w:rsid w:val="001023D5"/>
    <w:rsid w:val="001034D7"/>
    <w:rsid w:val="001038B6"/>
    <w:rsid w:val="001038E8"/>
    <w:rsid w:val="001046EA"/>
    <w:rsid w:val="00104F71"/>
    <w:rsid w:val="00105588"/>
    <w:rsid w:val="001059C4"/>
    <w:rsid w:val="001063A4"/>
    <w:rsid w:val="00110351"/>
    <w:rsid w:val="00112967"/>
    <w:rsid w:val="00112B72"/>
    <w:rsid w:val="00113FFC"/>
    <w:rsid w:val="0011428E"/>
    <w:rsid w:val="001144B9"/>
    <w:rsid w:val="00116B7E"/>
    <w:rsid w:val="00116CB2"/>
    <w:rsid w:val="00117082"/>
    <w:rsid w:val="00117A5B"/>
    <w:rsid w:val="00117D45"/>
    <w:rsid w:val="001205C9"/>
    <w:rsid w:val="001225A0"/>
    <w:rsid w:val="00123079"/>
    <w:rsid w:val="0012363A"/>
    <w:rsid w:val="00123721"/>
    <w:rsid w:val="00123AE5"/>
    <w:rsid w:val="00123B79"/>
    <w:rsid w:val="00124ACE"/>
    <w:rsid w:val="00124CD2"/>
    <w:rsid w:val="00125BCE"/>
    <w:rsid w:val="00125D5D"/>
    <w:rsid w:val="00126C07"/>
    <w:rsid w:val="0012714E"/>
    <w:rsid w:val="00127292"/>
    <w:rsid w:val="00131C0A"/>
    <w:rsid w:val="00131E00"/>
    <w:rsid w:val="00132D12"/>
    <w:rsid w:val="00133D1C"/>
    <w:rsid w:val="00133F6E"/>
    <w:rsid w:val="001340ED"/>
    <w:rsid w:val="00134DA2"/>
    <w:rsid w:val="001351AE"/>
    <w:rsid w:val="0013550D"/>
    <w:rsid w:val="001364CE"/>
    <w:rsid w:val="001366A2"/>
    <w:rsid w:val="00137F34"/>
    <w:rsid w:val="00141A2E"/>
    <w:rsid w:val="001447FC"/>
    <w:rsid w:val="00144B1E"/>
    <w:rsid w:val="001462FB"/>
    <w:rsid w:val="00147061"/>
    <w:rsid w:val="00147898"/>
    <w:rsid w:val="0015026F"/>
    <w:rsid w:val="0015392B"/>
    <w:rsid w:val="00153AE6"/>
    <w:rsid w:val="00154686"/>
    <w:rsid w:val="00154DE5"/>
    <w:rsid w:val="001564C6"/>
    <w:rsid w:val="00160502"/>
    <w:rsid w:val="001606F7"/>
    <w:rsid w:val="001622CD"/>
    <w:rsid w:val="0016254A"/>
    <w:rsid w:val="00162B6D"/>
    <w:rsid w:val="00164782"/>
    <w:rsid w:val="00164A83"/>
    <w:rsid w:val="00165938"/>
    <w:rsid w:val="0016629E"/>
    <w:rsid w:val="001662DB"/>
    <w:rsid w:val="00166551"/>
    <w:rsid w:val="00166CFD"/>
    <w:rsid w:val="00166F86"/>
    <w:rsid w:val="00167C0E"/>
    <w:rsid w:val="001700A6"/>
    <w:rsid w:val="001746FD"/>
    <w:rsid w:val="00175E71"/>
    <w:rsid w:val="00176644"/>
    <w:rsid w:val="00176869"/>
    <w:rsid w:val="00176ABE"/>
    <w:rsid w:val="00177797"/>
    <w:rsid w:val="00177EC9"/>
    <w:rsid w:val="0018030B"/>
    <w:rsid w:val="00181590"/>
    <w:rsid w:val="00181718"/>
    <w:rsid w:val="001822CF"/>
    <w:rsid w:val="0018230C"/>
    <w:rsid w:val="001823DB"/>
    <w:rsid w:val="00185553"/>
    <w:rsid w:val="00185728"/>
    <w:rsid w:val="00191019"/>
    <w:rsid w:val="00191D9F"/>
    <w:rsid w:val="001923A9"/>
    <w:rsid w:val="00194626"/>
    <w:rsid w:val="001951EB"/>
    <w:rsid w:val="00195B41"/>
    <w:rsid w:val="00195BBB"/>
    <w:rsid w:val="001961D1"/>
    <w:rsid w:val="001966C2"/>
    <w:rsid w:val="00196704"/>
    <w:rsid w:val="00196839"/>
    <w:rsid w:val="00196A26"/>
    <w:rsid w:val="00197731"/>
    <w:rsid w:val="001A007E"/>
    <w:rsid w:val="001A15B5"/>
    <w:rsid w:val="001A326C"/>
    <w:rsid w:val="001A437E"/>
    <w:rsid w:val="001A498C"/>
    <w:rsid w:val="001A577E"/>
    <w:rsid w:val="001A63A9"/>
    <w:rsid w:val="001B0D87"/>
    <w:rsid w:val="001B13B3"/>
    <w:rsid w:val="001B36AD"/>
    <w:rsid w:val="001B37D0"/>
    <w:rsid w:val="001B4E74"/>
    <w:rsid w:val="001B51B5"/>
    <w:rsid w:val="001B5732"/>
    <w:rsid w:val="001B7AB0"/>
    <w:rsid w:val="001C05D8"/>
    <w:rsid w:val="001C59C8"/>
    <w:rsid w:val="001C5B62"/>
    <w:rsid w:val="001C6444"/>
    <w:rsid w:val="001C6920"/>
    <w:rsid w:val="001C7351"/>
    <w:rsid w:val="001C7488"/>
    <w:rsid w:val="001D04D6"/>
    <w:rsid w:val="001D124A"/>
    <w:rsid w:val="001D16A5"/>
    <w:rsid w:val="001D1D01"/>
    <w:rsid w:val="001D1D0D"/>
    <w:rsid w:val="001D2817"/>
    <w:rsid w:val="001D2B70"/>
    <w:rsid w:val="001D3157"/>
    <w:rsid w:val="001D3900"/>
    <w:rsid w:val="001D4F22"/>
    <w:rsid w:val="001D521E"/>
    <w:rsid w:val="001D6ECE"/>
    <w:rsid w:val="001E0C5E"/>
    <w:rsid w:val="001E398D"/>
    <w:rsid w:val="001E3D8D"/>
    <w:rsid w:val="001E452C"/>
    <w:rsid w:val="001E520F"/>
    <w:rsid w:val="001E5FFB"/>
    <w:rsid w:val="001E65BA"/>
    <w:rsid w:val="001E6648"/>
    <w:rsid w:val="001E733E"/>
    <w:rsid w:val="001F15F8"/>
    <w:rsid w:val="001F1D6D"/>
    <w:rsid w:val="001F2743"/>
    <w:rsid w:val="001F27E5"/>
    <w:rsid w:val="001F324A"/>
    <w:rsid w:val="001F3D9C"/>
    <w:rsid w:val="001F4C75"/>
    <w:rsid w:val="001F5AC9"/>
    <w:rsid w:val="001F6AFD"/>
    <w:rsid w:val="001F6DBF"/>
    <w:rsid w:val="001F73B2"/>
    <w:rsid w:val="001F76BC"/>
    <w:rsid w:val="002018EA"/>
    <w:rsid w:val="002020A7"/>
    <w:rsid w:val="002020BC"/>
    <w:rsid w:val="00202253"/>
    <w:rsid w:val="002035AB"/>
    <w:rsid w:val="00204EA5"/>
    <w:rsid w:val="002073EB"/>
    <w:rsid w:val="00211154"/>
    <w:rsid w:val="00212436"/>
    <w:rsid w:val="0021257C"/>
    <w:rsid w:val="00212D23"/>
    <w:rsid w:val="00213AB4"/>
    <w:rsid w:val="00213D18"/>
    <w:rsid w:val="00214EB5"/>
    <w:rsid w:val="002167A8"/>
    <w:rsid w:val="002200D9"/>
    <w:rsid w:val="00221939"/>
    <w:rsid w:val="00222CA0"/>
    <w:rsid w:val="0022301B"/>
    <w:rsid w:val="00223B4B"/>
    <w:rsid w:val="002240E2"/>
    <w:rsid w:val="002262E6"/>
    <w:rsid w:val="00226B26"/>
    <w:rsid w:val="00230856"/>
    <w:rsid w:val="00230A76"/>
    <w:rsid w:val="00230DD1"/>
    <w:rsid w:val="002319B6"/>
    <w:rsid w:val="00231A1B"/>
    <w:rsid w:val="002324A3"/>
    <w:rsid w:val="00233608"/>
    <w:rsid w:val="00233F40"/>
    <w:rsid w:val="00233FE2"/>
    <w:rsid w:val="00234844"/>
    <w:rsid w:val="0023489C"/>
    <w:rsid w:val="002352A7"/>
    <w:rsid w:val="00235471"/>
    <w:rsid w:val="00235CDD"/>
    <w:rsid w:val="0023727D"/>
    <w:rsid w:val="00237A1E"/>
    <w:rsid w:val="00237FE9"/>
    <w:rsid w:val="002402C6"/>
    <w:rsid w:val="0024308D"/>
    <w:rsid w:val="00244F2F"/>
    <w:rsid w:val="00245777"/>
    <w:rsid w:val="00246F7F"/>
    <w:rsid w:val="00247400"/>
    <w:rsid w:val="00252A43"/>
    <w:rsid w:val="00253A75"/>
    <w:rsid w:val="00254A26"/>
    <w:rsid w:val="00256025"/>
    <w:rsid w:val="00256493"/>
    <w:rsid w:val="002577F5"/>
    <w:rsid w:val="00261EF0"/>
    <w:rsid w:val="00262DBB"/>
    <w:rsid w:val="00265E38"/>
    <w:rsid w:val="00266D1A"/>
    <w:rsid w:val="00266E0A"/>
    <w:rsid w:val="00270529"/>
    <w:rsid w:val="00270754"/>
    <w:rsid w:val="00272E9D"/>
    <w:rsid w:val="0027319D"/>
    <w:rsid w:val="00273633"/>
    <w:rsid w:val="00274B36"/>
    <w:rsid w:val="002751F5"/>
    <w:rsid w:val="00276C6F"/>
    <w:rsid w:val="00276DBB"/>
    <w:rsid w:val="00277F20"/>
    <w:rsid w:val="002805EC"/>
    <w:rsid w:val="0028200F"/>
    <w:rsid w:val="00282FDE"/>
    <w:rsid w:val="00283E40"/>
    <w:rsid w:val="00284452"/>
    <w:rsid w:val="0028456F"/>
    <w:rsid w:val="002858B7"/>
    <w:rsid w:val="00285CB5"/>
    <w:rsid w:val="00286490"/>
    <w:rsid w:val="00286722"/>
    <w:rsid w:val="00286AE9"/>
    <w:rsid w:val="00286C81"/>
    <w:rsid w:val="00287B5B"/>
    <w:rsid w:val="00287F08"/>
    <w:rsid w:val="002904BA"/>
    <w:rsid w:val="002910AD"/>
    <w:rsid w:val="00291C5C"/>
    <w:rsid w:val="002937ED"/>
    <w:rsid w:val="00293B73"/>
    <w:rsid w:val="002948CE"/>
    <w:rsid w:val="0029535C"/>
    <w:rsid w:val="00295534"/>
    <w:rsid w:val="00296132"/>
    <w:rsid w:val="002964A0"/>
    <w:rsid w:val="0029775A"/>
    <w:rsid w:val="002A17D9"/>
    <w:rsid w:val="002A1BCA"/>
    <w:rsid w:val="002A1D5B"/>
    <w:rsid w:val="002A23E3"/>
    <w:rsid w:val="002A2962"/>
    <w:rsid w:val="002A3292"/>
    <w:rsid w:val="002A585B"/>
    <w:rsid w:val="002A59C5"/>
    <w:rsid w:val="002A5EAD"/>
    <w:rsid w:val="002A5FFB"/>
    <w:rsid w:val="002A7D45"/>
    <w:rsid w:val="002B1587"/>
    <w:rsid w:val="002B37EB"/>
    <w:rsid w:val="002B393A"/>
    <w:rsid w:val="002B4987"/>
    <w:rsid w:val="002B4C1D"/>
    <w:rsid w:val="002B4FFF"/>
    <w:rsid w:val="002B54C7"/>
    <w:rsid w:val="002B5C7E"/>
    <w:rsid w:val="002B644A"/>
    <w:rsid w:val="002B6CAC"/>
    <w:rsid w:val="002B6E71"/>
    <w:rsid w:val="002C0AC4"/>
    <w:rsid w:val="002C1C12"/>
    <w:rsid w:val="002C2C80"/>
    <w:rsid w:val="002C2F83"/>
    <w:rsid w:val="002C3284"/>
    <w:rsid w:val="002C337C"/>
    <w:rsid w:val="002C3E94"/>
    <w:rsid w:val="002C43AB"/>
    <w:rsid w:val="002C4A10"/>
    <w:rsid w:val="002C4F3E"/>
    <w:rsid w:val="002C5764"/>
    <w:rsid w:val="002C5A24"/>
    <w:rsid w:val="002C6315"/>
    <w:rsid w:val="002C63E3"/>
    <w:rsid w:val="002C7735"/>
    <w:rsid w:val="002C7974"/>
    <w:rsid w:val="002D00A2"/>
    <w:rsid w:val="002D388E"/>
    <w:rsid w:val="002D451D"/>
    <w:rsid w:val="002D671B"/>
    <w:rsid w:val="002E0A38"/>
    <w:rsid w:val="002E1833"/>
    <w:rsid w:val="002E24A7"/>
    <w:rsid w:val="002E26D8"/>
    <w:rsid w:val="002E408C"/>
    <w:rsid w:val="002E460A"/>
    <w:rsid w:val="002E659A"/>
    <w:rsid w:val="002E7CB4"/>
    <w:rsid w:val="002F006D"/>
    <w:rsid w:val="002F0D51"/>
    <w:rsid w:val="002F19C2"/>
    <w:rsid w:val="002F1ADA"/>
    <w:rsid w:val="002F2411"/>
    <w:rsid w:val="002F3723"/>
    <w:rsid w:val="002F421F"/>
    <w:rsid w:val="002F4E11"/>
    <w:rsid w:val="002F520C"/>
    <w:rsid w:val="002F590B"/>
    <w:rsid w:val="002F63B7"/>
    <w:rsid w:val="002F6B2C"/>
    <w:rsid w:val="002F71A0"/>
    <w:rsid w:val="002F737D"/>
    <w:rsid w:val="00300438"/>
    <w:rsid w:val="003008B1"/>
    <w:rsid w:val="00304C2B"/>
    <w:rsid w:val="003051C7"/>
    <w:rsid w:val="003051DF"/>
    <w:rsid w:val="003064DD"/>
    <w:rsid w:val="003068BD"/>
    <w:rsid w:val="00310720"/>
    <w:rsid w:val="00310819"/>
    <w:rsid w:val="00311848"/>
    <w:rsid w:val="00312806"/>
    <w:rsid w:val="003135CD"/>
    <w:rsid w:val="00313C2F"/>
    <w:rsid w:val="00313C6B"/>
    <w:rsid w:val="00314016"/>
    <w:rsid w:val="00314518"/>
    <w:rsid w:val="00314D95"/>
    <w:rsid w:val="00317B04"/>
    <w:rsid w:val="003206D0"/>
    <w:rsid w:val="00320FD9"/>
    <w:rsid w:val="00322D63"/>
    <w:rsid w:val="00323559"/>
    <w:rsid w:val="0032412E"/>
    <w:rsid w:val="00324A06"/>
    <w:rsid w:val="00325ABB"/>
    <w:rsid w:val="003265AB"/>
    <w:rsid w:val="00327935"/>
    <w:rsid w:val="0033029A"/>
    <w:rsid w:val="0033167E"/>
    <w:rsid w:val="00332958"/>
    <w:rsid w:val="00332FF7"/>
    <w:rsid w:val="00334448"/>
    <w:rsid w:val="00334A7E"/>
    <w:rsid w:val="00334F63"/>
    <w:rsid w:val="003358C9"/>
    <w:rsid w:val="00336770"/>
    <w:rsid w:val="003375AA"/>
    <w:rsid w:val="00337DB8"/>
    <w:rsid w:val="0034007D"/>
    <w:rsid w:val="00340C04"/>
    <w:rsid w:val="00340EC0"/>
    <w:rsid w:val="003411B9"/>
    <w:rsid w:val="00341BAC"/>
    <w:rsid w:val="0034255D"/>
    <w:rsid w:val="003440FC"/>
    <w:rsid w:val="00344124"/>
    <w:rsid w:val="00344828"/>
    <w:rsid w:val="00344FDE"/>
    <w:rsid w:val="00346CD3"/>
    <w:rsid w:val="003470B2"/>
    <w:rsid w:val="0034725D"/>
    <w:rsid w:val="00350DF1"/>
    <w:rsid w:val="003531B3"/>
    <w:rsid w:val="00353BDC"/>
    <w:rsid w:val="00353DA0"/>
    <w:rsid w:val="00355673"/>
    <w:rsid w:val="00355AA0"/>
    <w:rsid w:val="003564C9"/>
    <w:rsid w:val="00356A5B"/>
    <w:rsid w:val="0035790D"/>
    <w:rsid w:val="003619C4"/>
    <w:rsid w:val="00361BFF"/>
    <w:rsid w:val="00362612"/>
    <w:rsid w:val="0036436F"/>
    <w:rsid w:val="00364544"/>
    <w:rsid w:val="00364AE5"/>
    <w:rsid w:val="00364C4C"/>
    <w:rsid w:val="00365666"/>
    <w:rsid w:val="00366083"/>
    <w:rsid w:val="003660D5"/>
    <w:rsid w:val="00366392"/>
    <w:rsid w:val="00367C02"/>
    <w:rsid w:val="003717D3"/>
    <w:rsid w:val="00371EFF"/>
    <w:rsid w:val="00372176"/>
    <w:rsid w:val="003724AD"/>
    <w:rsid w:val="0037318F"/>
    <w:rsid w:val="00373228"/>
    <w:rsid w:val="00373EBF"/>
    <w:rsid w:val="003741A5"/>
    <w:rsid w:val="0038004E"/>
    <w:rsid w:val="003808D8"/>
    <w:rsid w:val="00380B97"/>
    <w:rsid w:val="00382BF1"/>
    <w:rsid w:val="00382F5D"/>
    <w:rsid w:val="00384C3C"/>
    <w:rsid w:val="00385B2F"/>
    <w:rsid w:val="0038623F"/>
    <w:rsid w:val="00386D1E"/>
    <w:rsid w:val="00391302"/>
    <w:rsid w:val="003924B2"/>
    <w:rsid w:val="00393549"/>
    <w:rsid w:val="00394268"/>
    <w:rsid w:val="00394BA3"/>
    <w:rsid w:val="003956E1"/>
    <w:rsid w:val="003976A1"/>
    <w:rsid w:val="003977EB"/>
    <w:rsid w:val="003A089B"/>
    <w:rsid w:val="003A1744"/>
    <w:rsid w:val="003A1B01"/>
    <w:rsid w:val="003A2EE3"/>
    <w:rsid w:val="003A37EB"/>
    <w:rsid w:val="003A3C0C"/>
    <w:rsid w:val="003A4BF3"/>
    <w:rsid w:val="003A4EAC"/>
    <w:rsid w:val="003A5137"/>
    <w:rsid w:val="003A532B"/>
    <w:rsid w:val="003A645B"/>
    <w:rsid w:val="003A737A"/>
    <w:rsid w:val="003A7C6A"/>
    <w:rsid w:val="003B06B7"/>
    <w:rsid w:val="003B08B3"/>
    <w:rsid w:val="003B0A59"/>
    <w:rsid w:val="003B0BCE"/>
    <w:rsid w:val="003B0C90"/>
    <w:rsid w:val="003B1244"/>
    <w:rsid w:val="003B2660"/>
    <w:rsid w:val="003B2A34"/>
    <w:rsid w:val="003B3BA1"/>
    <w:rsid w:val="003B5FCE"/>
    <w:rsid w:val="003B6456"/>
    <w:rsid w:val="003B67DD"/>
    <w:rsid w:val="003B79C5"/>
    <w:rsid w:val="003C10EB"/>
    <w:rsid w:val="003C1BA3"/>
    <w:rsid w:val="003C1E13"/>
    <w:rsid w:val="003C288D"/>
    <w:rsid w:val="003C2E91"/>
    <w:rsid w:val="003C2FA2"/>
    <w:rsid w:val="003C4E18"/>
    <w:rsid w:val="003C4F89"/>
    <w:rsid w:val="003C5839"/>
    <w:rsid w:val="003C5C70"/>
    <w:rsid w:val="003C61DD"/>
    <w:rsid w:val="003D0300"/>
    <w:rsid w:val="003D1226"/>
    <w:rsid w:val="003D15D6"/>
    <w:rsid w:val="003D16D8"/>
    <w:rsid w:val="003D2105"/>
    <w:rsid w:val="003D2A0A"/>
    <w:rsid w:val="003D2AEB"/>
    <w:rsid w:val="003D4674"/>
    <w:rsid w:val="003D66CF"/>
    <w:rsid w:val="003D6760"/>
    <w:rsid w:val="003E03A0"/>
    <w:rsid w:val="003E1CE2"/>
    <w:rsid w:val="003E2151"/>
    <w:rsid w:val="003E2D27"/>
    <w:rsid w:val="003E3666"/>
    <w:rsid w:val="003E5374"/>
    <w:rsid w:val="003E5A63"/>
    <w:rsid w:val="003E608B"/>
    <w:rsid w:val="003E6C3A"/>
    <w:rsid w:val="003E79B8"/>
    <w:rsid w:val="003E7AAD"/>
    <w:rsid w:val="003F03EF"/>
    <w:rsid w:val="003F2933"/>
    <w:rsid w:val="003F2F5F"/>
    <w:rsid w:val="003F3FEA"/>
    <w:rsid w:val="003F49DA"/>
    <w:rsid w:val="003F515B"/>
    <w:rsid w:val="003F5200"/>
    <w:rsid w:val="003F694F"/>
    <w:rsid w:val="003F6C00"/>
    <w:rsid w:val="004001B8"/>
    <w:rsid w:val="00402542"/>
    <w:rsid w:val="00402598"/>
    <w:rsid w:val="00403636"/>
    <w:rsid w:val="004045E8"/>
    <w:rsid w:val="00404F34"/>
    <w:rsid w:val="0040630D"/>
    <w:rsid w:val="00406F1C"/>
    <w:rsid w:val="00407674"/>
    <w:rsid w:val="004102AA"/>
    <w:rsid w:val="00410507"/>
    <w:rsid w:val="00411016"/>
    <w:rsid w:val="00411C89"/>
    <w:rsid w:val="00413CF3"/>
    <w:rsid w:val="0041406C"/>
    <w:rsid w:val="00414405"/>
    <w:rsid w:val="004145CF"/>
    <w:rsid w:val="00417B9A"/>
    <w:rsid w:val="00422536"/>
    <w:rsid w:val="004227C6"/>
    <w:rsid w:val="004249E5"/>
    <w:rsid w:val="00425903"/>
    <w:rsid w:val="004276B1"/>
    <w:rsid w:val="0043125E"/>
    <w:rsid w:val="00431C41"/>
    <w:rsid w:val="00431DF3"/>
    <w:rsid w:val="00432459"/>
    <w:rsid w:val="0043274D"/>
    <w:rsid w:val="004339B4"/>
    <w:rsid w:val="00433B6E"/>
    <w:rsid w:val="00434F95"/>
    <w:rsid w:val="0043587F"/>
    <w:rsid w:val="004366F8"/>
    <w:rsid w:val="00441E09"/>
    <w:rsid w:val="00441EAE"/>
    <w:rsid w:val="00445081"/>
    <w:rsid w:val="00445C1E"/>
    <w:rsid w:val="00446801"/>
    <w:rsid w:val="004472BE"/>
    <w:rsid w:val="00447775"/>
    <w:rsid w:val="00447E7A"/>
    <w:rsid w:val="00450252"/>
    <w:rsid w:val="00450528"/>
    <w:rsid w:val="0045112E"/>
    <w:rsid w:val="004515B7"/>
    <w:rsid w:val="00452F3C"/>
    <w:rsid w:val="004532D3"/>
    <w:rsid w:val="0045628B"/>
    <w:rsid w:val="00456968"/>
    <w:rsid w:val="0045794B"/>
    <w:rsid w:val="00457B6D"/>
    <w:rsid w:val="004600C7"/>
    <w:rsid w:val="00461C86"/>
    <w:rsid w:val="00461E44"/>
    <w:rsid w:val="0046251D"/>
    <w:rsid w:val="00462ED1"/>
    <w:rsid w:val="00462F31"/>
    <w:rsid w:val="00462FDE"/>
    <w:rsid w:val="0046338F"/>
    <w:rsid w:val="0046370F"/>
    <w:rsid w:val="004652D7"/>
    <w:rsid w:val="00465561"/>
    <w:rsid w:val="004663A1"/>
    <w:rsid w:val="00466432"/>
    <w:rsid w:val="00473F03"/>
    <w:rsid w:val="00473FB6"/>
    <w:rsid w:val="00474238"/>
    <w:rsid w:val="00474625"/>
    <w:rsid w:val="0047546A"/>
    <w:rsid w:val="00475602"/>
    <w:rsid w:val="00475C87"/>
    <w:rsid w:val="00477343"/>
    <w:rsid w:val="00477D1A"/>
    <w:rsid w:val="004802A6"/>
    <w:rsid w:val="00482236"/>
    <w:rsid w:val="00485B11"/>
    <w:rsid w:val="0048604A"/>
    <w:rsid w:val="0048683E"/>
    <w:rsid w:val="00486B33"/>
    <w:rsid w:val="004873A8"/>
    <w:rsid w:val="00487B33"/>
    <w:rsid w:val="004902B0"/>
    <w:rsid w:val="004932EE"/>
    <w:rsid w:val="00495087"/>
    <w:rsid w:val="004955B3"/>
    <w:rsid w:val="004963ED"/>
    <w:rsid w:val="004966C2"/>
    <w:rsid w:val="00496788"/>
    <w:rsid w:val="00496B54"/>
    <w:rsid w:val="004A07A3"/>
    <w:rsid w:val="004A1A01"/>
    <w:rsid w:val="004A1C6A"/>
    <w:rsid w:val="004A2FB7"/>
    <w:rsid w:val="004A3A6A"/>
    <w:rsid w:val="004A580A"/>
    <w:rsid w:val="004A5D0E"/>
    <w:rsid w:val="004B017B"/>
    <w:rsid w:val="004B09DF"/>
    <w:rsid w:val="004B34FD"/>
    <w:rsid w:val="004B3E82"/>
    <w:rsid w:val="004B3EB2"/>
    <w:rsid w:val="004B4C61"/>
    <w:rsid w:val="004B5D27"/>
    <w:rsid w:val="004B5FD0"/>
    <w:rsid w:val="004B6C7C"/>
    <w:rsid w:val="004B773D"/>
    <w:rsid w:val="004C0515"/>
    <w:rsid w:val="004C079A"/>
    <w:rsid w:val="004C0812"/>
    <w:rsid w:val="004C184A"/>
    <w:rsid w:val="004C208F"/>
    <w:rsid w:val="004C21B2"/>
    <w:rsid w:val="004C2909"/>
    <w:rsid w:val="004C2C8A"/>
    <w:rsid w:val="004C2F6C"/>
    <w:rsid w:val="004C35D4"/>
    <w:rsid w:val="004C3C26"/>
    <w:rsid w:val="004C4BAD"/>
    <w:rsid w:val="004C537C"/>
    <w:rsid w:val="004C5474"/>
    <w:rsid w:val="004C584C"/>
    <w:rsid w:val="004C66D3"/>
    <w:rsid w:val="004C7074"/>
    <w:rsid w:val="004D009A"/>
    <w:rsid w:val="004D0C42"/>
    <w:rsid w:val="004D15E6"/>
    <w:rsid w:val="004D1D39"/>
    <w:rsid w:val="004D1E6F"/>
    <w:rsid w:val="004D2101"/>
    <w:rsid w:val="004D2319"/>
    <w:rsid w:val="004D2934"/>
    <w:rsid w:val="004D3931"/>
    <w:rsid w:val="004D3CBF"/>
    <w:rsid w:val="004D4147"/>
    <w:rsid w:val="004D51AD"/>
    <w:rsid w:val="004D5557"/>
    <w:rsid w:val="004E09EE"/>
    <w:rsid w:val="004E125F"/>
    <w:rsid w:val="004E1FB9"/>
    <w:rsid w:val="004E224E"/>
    <w:rsid w:val="004E3EBF"/>
    <w:rsid w:val="004E3F82"/>
    <w:rsid w:val="004E44D1"/>
    <w:rsid w:val="004E4D89"/>
    <w:rsid w:val="004E5160"/>
    <w:rsid w:val="004E51F5"/>
    <w:rsid w:val="004E5252"/>
    <w:rsid w:val="004E5A6C"/>
    <w:rsid w:val="004E62D1"/>
    <w:rsid w:val="004E6F61"/>
    <w:rsid w:val="004E725A"/>
    <w:rsid w:val="004E7A16"/>
    <w:rsid w:val="004F6458"/>
    <w:rsid w:val="004F6D51"/>
    <w:rsid w:val="00502BB6"/>
    <w:rsid w:val="00502ED5"/>
    <w:rsid w:val="00502FB8"/>
    <w:rsid w:val="005041DE"/>
    <w:rsid w:val="005041DF"/>
    <w:rsid w:val="00504E32"/>
    <w:rsid w:val="00505353"/>
    <w:rsid w:val="00510189"/>
    <w:rsid w:val="005107CB"/>
    <w:rsid w:val="00510921"/>
    <w:rsid w:val="00510BED"/>
    <w:rsid w:val="00510C63"/>
    <w:rsid w:val="00510CFC"/>
    <w:rsid w:val="00512792"/>
    <w:rsid w:val="00512B61"/>
    <w:rsid w:val="00514393"/>
    <w:rsid w:val="005162AB"/>
    <w:rsid w:val="00516342"/>
    <w:rsid w:val="005165F9"/>
    <w:rsid w:val="005169C5"/>
    <w:rsid w:val="00517309"/>
    <w:rsid w:val="00520774"/>
    <w:rsid w:val="0052593D"/>
    <w:rsid w:val="00526D3A"/>
    <w:rsid w:val="00527CDD"/>
    <w:rsid w:val="00531870"/>
    <w:rsid w:val="005325AA"/>
    <w:rsid w:val="00532725"/>
    <w:rsid w:val="005330C5"/>
    <w:rsid w:val="00533DE5"/>
    <w:rsid w:val="00534093"/>
    <w:rsid w:val="00534333"/>
    <w:rsid w:val="00534E2B"/>
    <w:rsid w:val="005357E0"/>
    <w:rsid w:val="005359FF"/>
    <w:rsid w:val="00535DF2"/>
    <w:rsid w:val="00537504"/>
    <w:rsid w:val="005375CB"/>
    <w:rsid w:val="0054052C"/>
    <w:rsid w:val="005415A8"/>
    <w:rsid w:val="005416DF"/>
    <w:rsid w:val="0054173C"/>
    <w:rsid w:val="00541D34"/>
    <w:rsid w:val="00542BAF"/>
    <w:rsid w:val="00542C36"/>
    <w:rsid w:val="00542FCB"/>
    <w:rsid w:val="00545CC0"/>
    <w:rsid w:val="005466E6"/>
    <w:rsid w:val="005504A6"/>
    <w:rsid w:val="00550ACB"/>
    <w:rsid w:val="00550E2C"/>
    <w:rsid w:val="00551651"/>
    <w:rsid w:val="00553B93"/>
    <w:rsid w:val="00554488"/>
    <w:rsid w:val="00554D38"/>
    <w:rsid w:val="00555785"/>
    <w:rsid w:val="00555809"/>
    <w:rsid w:val="00555DF4"/>
    <w:rsid w:val="005574E8"/>
    <w:rsid w:val="0056039A"/>
    <w:rsid w:val="00561553"/>
    <w:rsid w:val="00561602"/>
    <w:rsid w:val="00562F9C"/>
    <w:rsid w:val="005636B5"/>
    <w:rsid w:val="00563DB8"/>
    <w:rsid w:val="005646C7"/>
    <w:rsid w:val="00564CA0"/>
    <w:rsid w:val="005656CC"/>
    <w:rsid w:val="0056629F"/>
    <w:rsid w:val="00566549"/>
    <w:rsid w:val="00566752"/>
    <w:rsid w:val="00567816"/>
    <w:rsid w:val="00571E7D"/>
    <w:rsid w:val="00572CA4"/>
    <w:rsid w:val="00573FB7"/>
    <w:rsid w:val="00574836"/>
    <w:rsid w:val="0057643A"/>
    <w:rsid w:val="0057696A"/>
    <w:rsid w:val="00576A48"/>
    <w:rsid w:val="005775D0"/>
    <w:rsid w:val="00577990"/>
    <w:rsid w:val="005779B6"/>
    <w:rsid w:val="00580645"/>
    <w:rsid w:val="00580773"/>
    <w:rsid w:val="005811C5"/>
    <w:rsid w:val="0058293E"/>
    <w:rsid w:val="0058443C"/>
    <w:rsid w:val="005844D6"/>
    <w:rsid w:val="0058454F"/>
    <w:rsid w:val="00586206"/>
    <w:rsid w:val="00586F74"/>
    <w:rsid w:val="00587D3F"/>
    <w:rsid w:val="00590168"/>
    <w:rsid w:val="00590600"/>
    <w:rsid w:val="00590C59"/>
    <w:rsid w:val="00591C10"/>
    <w:rsid w:val="00592CF3"/>
    <w:rsid w:val="00594588"/>
    <w:rsid w:val="00596C92"/>
    <w:rsid w:val="005974D1"/>
    <w:rsid w:val="00597867"/>
    <w:rsid w:val="00597F38"/>
    <w:rsid w:val="005A02B0"/>
    <w:rsid w:val="005A05FF"/>
    <w:rsid w:val="005A1737"/>
    <w:rsid w:val="005A2BDB"/>
    <w:rsid w:val="005A4334"/>
    <w:rsid w:val="005A47FE"/>
    <w:rsid w:val="005A4D5A"/>
    <w:rsid w:val="005A69AA"/>
    <w:rsid w:val="005B0CCF"/>
    <w:rsid w:val="005B167F"/>
    <w:rsid w:val="005B1FCB"/>
    <w:rsid w:val="005B2755"/>
    <w:rsid w:val="005B2E70"/>
    <w:rsid w:val="005B35CF"/>
    <w:rsid w:val="005B4142"/>
    <w:rsid w:val="005B415F"/>
    <w:rsid w:val="005B41DA"/>
    <w:rsid w:val="005B51D0"/>
    <w:rsid w:val="005B5F81"/>
    <w:rsid w:val="005B6405"/>
    <w:rsid w:val="005C1678"/>
    <w:rsid w:val="005C2692"/>
    <w:rsid w:val="005C50CA"/>
    <w:rsid w:val="005C5453"/>
    <w:rsid w:val="005C5D92"/>
    <w:rsid w:val="005C63AC"/>
    <w:rsid w:val="005C6731"/>
    <w:rsid w:val="005C6B8E"/>
    <w:rsid w:val="005C749A"/>
    <w:rsid w:val="005D1875"/>
    <w:rsid w:val="005D1A87"/>
    <w:rsid w:val="005D1D18"/>
    <w:rsid w:val="005D1EF5"/>
    <w:rsid w:val="005D27C4"/>
    <w:rsid w:val="005D2B33"/>
    <w:rsid w:val="005D340F"/>
    <w:rsid w:val="005D35E8"/>
    <w:rsid w:val="005D51E1"/>
    <w:rsid w:val="005D61C3"/>
    <w:rsid w:val="005D6BCB"/>
    <w:rsid w:val="005E02AA"/>
    <w:rsid w:val="005E0AE8"/>
    <w:rsid w:val="005E3179"/>
    <w:rsid w:val="005E3DFC"/>
    <w:rsid w:val="005E4015"/>
    <w:rsid w:val="005E517E"/>
    <w:rsid w:val="005E6C7A"/>
    <w:rsid w:val="005E6F99"/>
    <w:rsid w:val="005E750B"/>
    <w:rsid w:val="005F0D94"/>
    <w:rsid w:val="005F34DB"/>
    <w:rsid w:val="005F3804"/>
    <w:rsid w:val="005F4382"/>
    <w:rsid w:val="005F43BB"/>
    <w:rsid w:val="005F43D0"/>
    <w:rsid w:val="005F4FA5"/>
    <w:rsid w:val="005F65C5"/>
    <w:rsid w:val="005F749D"/>
    <w:rsid w:val="00600714"/>
    <w:rsid w:val="0060140A"/>
    <w:rsid w:val="00601793"/>
    <w:rsid w:val="006019FB"/>
    <w:rsid w:val="006023CF"/>
    <w:rsid w:val="00603A23"/>
    <w:rsid w:val="00603E4E"/>
    <w:rsid w:val="0060439B"/>
    <w:rsid w:val="006051A8"/>
    <w:rsid w:val="00605B0C"/>
    <w:rsid w:val="0060653A"/>
    <w:rsid w:val="00606FC5"/>
    <w:rsid w:val="00607116"/>
    <w:rsid w:val="00607FC5"/>
    <w:rsid w:val="0061070F"/>
    <w:rsid w:val="00610AA3"/>
    <w:rsid w:val="00610C8B"/>
    <w:rsid w:val="00611B69"/>
    <w:rsid w:val="00612705"/>
    <w:rsid w:val="00612936"/>
    <w:rsid w:val="00613E1A"/>
    <w:rsid w:val="00614EBC"/>
    <w:rsid w:val="006154FD"/>
    <w:rsid w:val="00615DDA"/>
    <w:rsid w:val="006163AA"/>
    <w:rsid w:val="00616E5B"/>
    <w:rsid w:val="0061713A"/>
    <w:rsid w:val="0062095A"/>
    <w:rsid w:val="00620B51"/>
    <w:rsid w:val="00621447"/>
    <w:rsid w:val="006218A0"/>
    <w:rsid w:val="00621CB3"/>
    <w:rsid w:val="00622B71"/>
    <w:rsid w:val="006236E2"/>
    <w:rsid w:val="00623F26"/>
    <w:rsid w:val="0062404B"/>
    <w:rsid w:val="006243C1"/>
    <w:rsid w:val="006248D5"/>
    <w:rsid w:val="006253F7"/>
    <w:rsid w:val="0063083B"/>
    <w:rsid w:val="0063083E"/>
    <w:rsid w:val="00630D30"/>
    <w:rsid w:val="0063120A"/>
    <w:rsid w:val="006358EA"/>
    <w:rsid w:val="006362A2"/>
    <w:rsid w:val="00637029"/>
    <w:rsid w:val="006370D1"/>
    <w:rsid w:val="00637129"/>
    <w:rsid w:val="00637152"/>
    <w:rsid w:val="00637AA7"/>
    <w:rsid w:val="00640BF0"/>
    <w:rsid w:val="0064140E"/>
    <w:rsid w:val="00642267"/>
    <w:rsid w:val="006435E5"/>
    <w:rsid w:val="0064362B"/>
    <w:rsid w:val="00644577"/>
    <w:rsid w:val="00644EF8"/>
    <w:rsid w:val="00645438"/>
    <w:rsid w:val="0064555B"/>
    <w:rsid w:val="00645E15"/>
    <w:rsid w:val="00647652"/>
    <w:rsid w:val="006503C6"/>
    <w:rsid w:val="00650612"/>
    <w:rsid w:val="006511FD"/>
    <w:rsid w:val="00651D02"/>
    <w:rsid w:val="0065277D"/>
    <w:rsid w:val="00652C21"/>
    <w:rsid w:val="006539BF"/>
    <w:rsid w:val="00654E12"/>
    <w:rsid w:val="0065625E"/>
    <w:rsid w:val="0065763F"/>
    <w:rsid w:val="00657F4C"/>
    <w:rsid w:val="00661B67"/>
    <w:rsid w:val="00661C6A"/>
    <w:rsid w:val="00661DC9"/>
    <w:rsid w:val="0066441D"/>
    <w:rsid w:val="00664F03"/>
    <w:rsid w:val="00666A01"/>
    <w:rsid w:val="00666E86"/>
    <w:rsid w:val="0067048E"/>
    <w:rsid w:val="00671968"/>
    <w:rsid w:val="006729B2"/>
    <w:rsid w:val="00673D23"/>
    <w:rsid w:val="00675EC8"/>
    <w:rsid w:val="00676DC7"/>
    <w:rsid w:val="006817B6"/>
    <w:rsid w:val="00682F6D"/>
    <w:rsid w:val="006833F8"/>
    <w:rsid w:val="00684D8A"/>
    <w:rsid w:val="00685BF8"/>
    <w:rsid w:val="0069078C"/>
    <w:rsid w:val="00691DE5"/>
    <w:rsid w:val="006927E0"/>
    <w:rsid w:val="0069308D"/>
    <w:rsid w:val="006932F5"/>
    <w:rsid w:val="006934FE"/>
    <w:rsid w:val="00695449"/>
    <w:rsid w:val="006957A3"/>
    <w:rsid w:val="00695B27"/>
    <w:rsid w:val="00695FE3"/>
    <w:rsid w:val="00697830"/>
    <w:rsid w:val="00697C01"/>
    <w:rsid w:val="006A207E"/>
    <w:rsid w:val="006A2EA9"/>
    <w:rsid w:val="006A303D"/>
    <w:rsid w:val="006A364F"/>
    <w:rsid w:val="006A3668"/>
    <w:rsid w:val="006A3A73"/>
    <w:rsid w:val="006A3F21"/>
    <w:rsid w:val="006A4B3D"/>
    <w:rsid w:val="006B028F"/>
    <w:rsid w:val="006B3E58"/>
    <w:rsid w:val="006B49C2"/>
    <w:rsid w:val="006B513B"/>
    <w:rsid w:val="006B5ED1"/>
    <w:rsid w:val="006B6063"/>
    <w:rsid w:val="006B6284"/>
    <w:rsid w:val="006B62E0"/>
    <w:rsid w:val="006B6C09"/>
    <w:rsid w:val="006B78E9"/>
    <w:rsid w:val="006C0519"/>
    <w:rsid w:val="006C1DB3"/>
    <w:rsid w:val="006C1FF9"/>
    <w:rsid w:val="006C2779"/>
    <w:rsid w:val="006C392F"/>
    <w:rsid w:val="006C4658"/>
    <w:rsid w:val="006C4D07"/>
    <w:rsid w:val="006C56E6"/>
    <w:rsid w:val="006C6224"/>
    <w:rsid w:val="006C6611"/>
    <w:rsid w:val="006C7080"/>
    <w:rsid w:val="006C726A"/>
    <w:rsid w:val="006C7919"/>
    <w:rsid w:val="006D1CF5"/>
    <w:rsid w:val="006D1EB4"/>
    <w:rsid w:val="006D22CE"/>
    <w:rsid w:val="006D504A"/>
    <w:rsid w:val="006D671E"/>
    <w:rsid w:val="006D6837"/>
    <w:rsid w:val="006E0916"/>
    <w:rsid w:val="006E0D94"/>
    <w:rsid w:val="006E2CF7"/>
    <w:rsid w:val="006E31D4"/>
    <w:rsid w:val="006E330F"/>
    <w:rsid w:val="006E378F"/>
    <w:rsid w:val="006E4745"/>
    <w:rsid w:val="006E5E58"/>
    <w:rsid w:val="006E71A4"/>
    <w:rsid w:val="006E7767"/>
    <w:rsid w:val="006F2228"/>
    <w:rsid w:val="006F25E5"/>
    <w:rsid w:val="006F26A8"/>
    <w:rsid w:val="006F31E4"/>
    <w:rsid w:val="006F3DB4"/>
    <w:rsid w:val="006F4187"/>
    <w:rsid w:val="006F6CF0"/>
    <w:rsid w:val="006F6D88"/>
    <w:rsid w:val="006F7C49"/>
    <w:rsid w:val="00700474"/>
    <w:rsid w:val="00701692"/>
    <w:rsid w:val="007021F0"/>
    <w:rsid w:val="00702B48"/>
    <w:rsid w:val="00702D39"/>
    <w:rsid w:val="00704277"/>
    <w:rsid w:val="00704432"/>
    <w:rsid w:val="00705891"/>
    <w:rsid w:val="00705C67"/>
    <w:rsid w:val="00706147"/>
    <w:rsid w:val="0070658B"/>
    <w:rsid w:val="007079BB"/>
    <w:rsid w:val="0071067F"/>
    <w:rsid w:val="007116A5"/>
    <w:rsid w:val="00711C8A"/>
    <w:rsid w:val="007122ED"/>
    <w:rsid w:val="00713F7A"/>
    <w:rsid w:val="00713FEC"/>
    <w:rsid w:val="00714FF2"/>
    <w:rsid w:val="007150BB"/>
    <w:rsid w:val="00715E4C"/>
    <w:rsid w:val="00716E74"/>
    <w:rsid w:val="007171BB"/>
    <w:rsid w:val="007200B7"/>
    <w:rsid w:val="007206DA"/>
    <w:rsid w:val="00720984"/>
    <w:rsid w:val="00720D07"/>
    <w:rsid w:val="00721BCA"/>
    <w:rsid w:val="00724AA8"/>
    <w:rsid w:val="00725561"/>
    <w:rsid w:val="0072571A"/>
    <w:rsid w:val="007265E2"/>
    <w:rsid w:val="007271EA"/>
    <w:rsid w:val="00731A6F"/>
    <w:rsid w:val="007322EE"/>
    <w:rsid w:val="00734DFB"/>
    <w:rsid w:val="00735995"/>
    <w:rsid w:val="00735FD6"/>
    <w:rsid w:val="00736705"/>
    <w:rsid w:val="00736DFB"/>
    <w:rsid w:val="007401FA"/>
    <w:rsid w:val="00740689"/>
    <w:rsid w:val="007407B2"/>
    <w:rsid w:val="00740940"/>
    <w:rsid w:val="0074176E"/>
    <w:rsid w:val="0074232E"/>
    <w:rsid w:val="007429E5"/>
    <w:rsid w:val="007434F7"/>
    <w:rsid w:val="00744713"/>
    <w:rsid w:val="0074494A"/>
    <w:rsid w:val="00744E65"/>
    <w:rsid w:val="00745940"/>
    <w:rsid w:val="00745DE6"/>
    <w:rsid w:val="00745E27"/>
    <w:rsid w:val="00746A46"/>
    <w:rsid w:val="00747468"/>
    <w:rsid w:val="00747BEE"/>
    <w:rsid w:val="00747F45"/>
    <w:rsid w:val="00750C58"/>
    <w:rsid w:val="00752132"/>
    <w:rsid w:val="007534F8"/>
    <w:rsid w:val="007536F2"/>
    <w:rsid w:val="00754DD5"/>
    <w:rsid w:val="00755404"/>
    <w:rsid w:val="00756435"/>
    <w:rsid w:val="0075725F"/>
    <w:rsid w:val="00757545"/>
    <w:rsid w:val="007604FC"/>
    <w:rsid w:val="00760768"/>
    <w:rsid w:val="0076076A"/>
    <w:rsid w:val="007609DE"/>
    <w:rsid w:val="00762A15"/>
    <w:rsid w:val="00762AC7"/>
    <w:rsid w:val="00763CBF"/>
    <w:rsid w:val="007645C5"/>
    <w:rsid w:val="00764CEB"/>
    <w:rsid w:val="00765A2E"/>
    <w:rsid w:val="007665FD"/>
    <w:rsid w:val="00770F3F"/>
    <w:rsid w:val="00772749"/>
    <w:rsid w:val="007738CF"/>
    <w:rsid w:val="00773999"/>
    <w:rsid w:val="00774273"/>
    <w:rsid w:val="0077497B"/>
    <w:rsid w:val="00774F58"/>
    <w:rsid w:val="0077552E"/>
    <w:rsid w:val="007778AD"/>
    <w:rsid w:val="00782CF0"/>
    <w:rsid w:val="0078381D"/>
    <w:rsid w:val="007840DD"/>
    <w:rsid w:val="0078491A"/>
    <w:rsid w:val="00786172"/>
    <w:rsid w:val="007868C3"/>
    <w:rsid w:val="007911BF"/>
    <w:rsid w:val="007919D5"/>
    <w:rsid w:val="00792AE5"/>
    <w:rsid w:val="00793AD2"/>
    <w:rsid w:val="00794857"/>
    <w:rsid w:val="0079536C"/>
    <w:rsid w:val="0079617C"/>
    <w:rsid w:val="0079657F"/>
    <w:rsid w:val="007A03A3"/>
    <w:rsid w:val="007A0714"/>
    <w:rsid w:val="007A1828"/>
    <w:rsid w:val="007A362B"/>
    <w:rsid w:val="007A4012"/>
    <w:rsid w:val="007A7AC8"/>
    <w:rsid w:val="007B06BE"/>
    <w:rsid w:val="007B08BC"/>
    <w:rsid w:val="007B290B"/>
    <w:rsid w:val="007B4433"/>
    <w:rsid w:val="007B5148"/>
    <w:rsid w:val="007B571B"/>
    <w:rsid w:val="007B60B6"/>
    <w:rsid w:val="007B68B8"/>
    <w:rsid w:val="007B68F7"/>
    <w:rsid w:val="007C173A"/>
    <w:rsid w:val="007C1AAF"/>
    <w:rsid w:val="007C20E3"/>
    <w:rsid w:val="007C28FD"/>
    <w:rsid w:val="007C2DA8"/>
    <w:rsid w:val="007C4239"/>
    <w:rsid w:val="007C4287"/>
    <w:rsid w:val="007C5290"/>
    <w:rsid w:val="007C5366"/>
    <w:rsid w:val="007C6252"/>
    <w:rsid w:val="007C65F4"/>
    <w:rsid w:val="007C7EC2"/>
    <w:rsid w:val="007D0313"/>
    <w:rsid w:val="007D11B8"/>
    <w:rsid w:val="007D5AA3"/>
    <w:rsid w:val="007E09C3"/>
    <w:rsid w:val="007E10D1"/>
    <w:rsid w:val="007E3219"/>
    <w:rsid w:val="007E4BE9"/>
    <w:rsid w:val="007E604F"/>
    <w:rsid w:val="007E7333"/>
    <w:rsid w:val="007F0645"/>
    <w:rsid w:val="007F12A5"/>
    <w:rsid w:val="007F273B"/>
    <w:rsid w:val="007F29BD"/>
    <w:rsid w:val="007F48DB"/>
    <w:rsid w:val="007F532E"/>
    <w:rsid w:val="007F53F7"/>
    <w:rsid w:val="007F7599"/>
    <w:rsid w:val="008011F7"/>
    <w:rsid w:val="0080193D"/>
    <w:rsid w:val="00802D9D"/>
    <w:rsid w:val="00803203"/>
    <w:rsid w:val="00804A3C"/>
    <w:rsid w:val="008050AB"/>
    <w:rsid w:val="008050B9"/>
    <w:rsid w:val="00806893"/>
    <w:rsid w:val="00807ED5"/>
    <w:rsid w:val="008102C8"/>
    <w:rsid w:val="0081035F"/>
    <w:rsid w:val="00810E85"/>
    <w:rsid w:val="008116D3"/>
    <w:rsid w:val="008117D0"/>
    <w:rsid w:val="008121CD"/>
    <w:rsid w:val="00812CEF"/>
    <w:rsid w:val="00814F4F"/>
    <w:rsid w:val="008158D7"/>
    <w:rsid w:val="008160A1"/>
    <w:rsid w:val="00816482"/>
    <w:rsid w:val="00820227"/>
    <w:rsid w:val="008206F4"/>
    <w:rsid w:val="0082315A"/>
    <w:rsid w:val="00823E65"/>
    <w:rsid w:val="00824851"/>
    <w:rsid w:val="00824E04"/>
    <w:rsid w:val="008258C2"/>
    <w:rsid w:val="00825A77"/>
    <w:rsid w:val="00825ED7"/>
    <w:rsid w:val="00826E14"/>
    <w:rsid w:val="008271D9"/>
    <w:rsid w:val="00827363"/>
    <w:rsid w:val="0082794C"/>
    <w:rsid w:val="008315D7"/>
    <w:rsid w:val="00831DD4"/>
    <w:rsid w:val="0083204A"/>
    <w:rsid w:val="00832A8E"/>
    <w:rsid w:val="00832BBA"/>
    <w:rsid w:val="00833C39"/>
    <w:rsid w:val="008344EA"/>
    <w:rsid w:val="0083456A"/>
    <w:rsid w:val="00834DF0"/>
    <w:rsid w:val="0083502B"/>
    <w:rsid w:val="00835A3E"/>
    <w:rsid w:val="00835DB5"/>
    <w:rsid w:val="00842E05"/>
    <w:rsid w:val="008439E0"/>
    <w:rsid w:val="008448B3"/>
    <w:rsid w:val="00844EB0"/>
    <w:rsid w:val="0084732A"/>
    <w:rsid w:val="00850149"/>
    <w:rsid w:val="00851CF6"/>
    <w:rsid w:val="00852FE9"/>
    <w:rsid w:val="00853318"/>
    <w:rsid w:val="00853A13"/>
    <w:rsid w:val="0085474D"/>
    <w:rsid w:val="0085481D"/>
    <w:rsid w:val="00855824"/>
    <w:rsid w:val="00856555"/>
    <w:rsid w:val="00857BBB"/>
    <w:rsid w:val="0086025B"/>
    <w:rsid w:val="008612B7"/>
    <w:rsid w:val="00861813"/>
    <w:rsid w:val="008627C6"/>
    <w:rsid w:val="008630F1"/>
    <w:rsid w:val="00864286"/>
    <w:rsid w:val="00864CD1"/>
    <w:rsid w:val="00864D22"/>
    <w:rsid w:val="00864D33"/>
    <w:rsid w:val="00864E96"/>
    <w:rsid w:val="00865CF1"/>
    <w:rsid w:val="0087057F"/>
    <w:rsid w:val="0087165D"/>
    <w:rsid w:val="008738B3"/>
    <w:rsid w:val="00874487"/>
    <w:rsid w:val="00875415"/>
    <w:rsid w:val="00875D67"/>
    <w:rsid w:val="008761FA"/>
    <w:rsid w:val="0087660F"/>
    <w:rsid w:val="008774E7"/>
    <w:rsid w:val="00877A80"/>
    <w:rsid w:val="00880395"/>
    <w:rsid w:val="008805D6"/>
    <w:rsid w:val="008807B4"/>
    <w:rsid w:val="00880C41"/>
    <w:rsid w:val="0088127A"/>
    <w:rsid w:val="00883AC0"/>
    <w:rsid w:val="00884076"/>
    <w:rsid w:val="008848BA"/>
    <w:rsid w:val="00884DA5"/>
    <w:rsid w:val="00885E80"/>
    <w:rsid w:val="00886F4B"/>
    <w:rsid w:val="0088768C"/>
    <w:rsid w:val="00890F09"/>
    <w:rsid w:val="0089113E"/>
    <w:rsid w:val="0089297A"/>
    <w:rsid w:val="00892A77"/>
    <w:rsid w:val="008941C0"/>
    <w:rsid w:val="00894A3A"/>
    <w:rsid w:val="00894BA2"/>
    <w:rsid w:val="00896B5D"/>
    <w:rsid w:val="008971DB"/>
    <w:rsid w:val="008A0392"/>
    <w:rsid w:val="008A161F"/>
    <w:rsid w:val="008A266C"/>
    <w:rsid w:val="008B10A2"/>
    <w:rsid w:val="008B1CD8"/>
    <w:rsid w:val="008B1FDC"/>
    <w:rsid w:val="008B2274"/>
    <w:rsid w:val="008B35D7"/>
    <w:rsid w:val="008B4329"/>
    <w:rsid w:val="008B4969"/>
    <w:rsid w:val="008B502B"/>
    <w:rsid w:val="008B556C"/>
    <w:rsid w:val="008B5770"/>
    <w:rsid w:val="008C2CE0"/>
    <w:rsid w:val="008C51F1"/>
    <w:rsid w:val="008C59A3"/>
    <w:rsid w:val="008C7AE1"/>
    <w:rsid w:val="008C7EDC"/>
    <w:rsid w:val="008C7F7D"/>
    <w:rsid w:val="008D09DB"/>
    <w:rsid w:val="008D0BA7"/>
    <w:rsid w:val="008D1416"/>
    <w:rsid w:val="008D157D"/>
    <w:rsid w:val="008D2884"/>
    <w:rsid w:val="008D291A"/>
    <w:rsid w:val="008D2E7A"/>
    <w:rsid w:val="008D3E96"/>
    <w:rsid w:val="008D5B5A"/>
    <w:rsid w:val="008D5F7C"/>
    <w:rsid w:val="008D62DD"/>
    <w:rsid w:val="008D6378"/>
    <w:rsid w:val="008D706B"/>
    <w:rsid w:val="008E0DB0"/>
    <w:rsid w:val="008E0F8A"/>
    <w:rsid w:val="008E1018"/>
    <w:rsid w:val="008E1698"/>
    <w:rsid w:val="008E2995"/>
    <w:rsid w:val="008E3664"/>
    <w:rsid w:val="008E650B"/>
    <w:rsid w:val="008E78B4"/>
    <w:rsid w:val="008E794B"/>
    <w:rsid w:val="008F05E9"/>
    <w:rsid w:val="008F1A47"/>
    <w:rsid w:val="008F1F54"/>
    <w:rsid w:val="008F2199"/>
    <w:rsid w:val="008F219D"/>
    <w:rsid w:val="008F2AEE"/>
    <w:rsid w:val="008F40EF"/>
    <w:rsid w:val="008F50BD"/>
    <w:rsid w:val="008F57A7"/>
    <w:rsid w:val="008F5AD0"/>
    <w:rsid w:val="008F65C5"/>
    <w:rsid w:val="008F7B28"/>
    <w:rsid w:val="008F7F7E"/>
    <w:rsid w:val="0090089E"/>
    <w:rsid w:val="00901107"/>
    <w:rsid w:val="00901ACC"/>
    <w:rsid w:val="00901F46"/>
    <w:rsid w:val="0090450A"/>
    <w:rsid w:val="00904B98"/>
    <w:rsid w:val="00907D96"/>
    <w:rsid w:val="009107D1"/>
    <w:rsid w:val="00911098"/>
    <w:rsid w:val="00911702"/>
    <w:rsid w:val="009117B5"/>
    <w:rsid w:val="00911C55"/>
    <w:rsid w:val="00913A14"/>
    <w:rsid w:val="009155A1"/>
    <w:rsid w:val="00916249"/>
    <w:rsid w:val="009162B9"/>
    <w:rsid w:val="00916544"/>
    <w:rsid w:val="009209A7"/>
    <w:rsid w:val="0092115E"/>
    <w:rsid w:val="00921174"/>
    <w:rsid w:val="0092133B"/>
    <w:rsid w:val="00922277"/>
    <w:rsid w:val="00922F91"/>
    <w:rsid w:val="00924165"/>
    <w:rsid w:val="00924200"/>
    <w:rsid w:val="009243A6"/>
    <w:rsid w:val="00924953"/>
    <w:rsid w:val="00924BBF"/>
    <w:rsid w:val="00927296"/>
    <w:rsid w:val="00927633"/>
    <w:rsid w:val="00930AC8"/>
    <w:rsid w:val="00931848"/>
    <w:rsid w:val="00931D4F"/>
    <w:rsid w:val="009320F5"/>
    <w:rsid w:val="00932625"/>
    <w:rsid w:val="00932828"/>
    <w:rsid w:val="0093464F"/>
    <w:rsid w:val="0093534D"/>
    <w:rsid w:val="00936873"/>
    <w:rsid w:val="00937A8D"/>
    <w:rsid w:val="00937ADF"/>
    <w:rsid w:val="00937C48"/>
    <w:rsid w:val="00937F78"/>
    <w:rsid w:val="00941395"/>
    <w:rsid w:val="00941A87"/>
    <w:rsid w:val="00943C53"/>
    <w:rsid w:val="0094412C"/>
    <w:rsid w:val="00945A21"/>
    <w:rsid w:val="00945F3E"/>
    <w:rsid w:val="00945FD0"/>
    <w:rsid w:val="00946534"/>
    <w:rsid w:val="00946E69"/>
    <w:rsid w:val="00950F7A"/>
    <w:rsid w:val="0095192B"/>
    <w:rsid w:val="00952000"/>
    <w:rsid w:val="00952063"/>
    <w:rsid w:val="009521A2"/>
    <w:rsid w:val="009533C5"/>
    <w:rsid w:val="009538D6"/>
    <w:rsid w:val="00953EA5"/>
    <w:rsid w:val="00954384"/>
    <w:rsid w:val="009546F6"/>
    <w:rsid w:val="00955344"/>
    <w:rsid w:val="009555B6"/>
    <w:rsid w:val="00955D1B"/>
    <w:rsid w:val="00955FD5"/>
    <w:rsid w:val="0095605C"/>
    <w:rsid w:val="00956667"/>
    <w:rsid w:val="009573E7"/>
    <w:rsid w:val="00960049"/>
    <w:rsid w:val="00961562"/>
    <w:rsid w:val="00963081"/>
    <w:rsid w:val="009638CE"/>
    <w:rsid w:val="009642D0"/>
    <w:rsid w:val="009643C1"/>
    <w:rsid w:val="0096499B"/>
    <w:rsid w:val="00964A21"/>
    <w:rsid w:val="00964C86"/>
    <w:rsid w:val="00965F76"/>
    <w:rsid w:val="009663BD"/>
    <w:rsid w:val="0096667D"/>
    <w:rsid w:val="009668D4"/>
    <w:rsid w:val="00966ACF"/>
    <w:rsid w:val="00966C8A"/>
    <w:rsid w:val="0096795D"/>
    <w:rsid w:val="00972A19"/>
    <w:rsid w:val="00973F41"/>
    <w:rsid w:val="00974337"/>
    <w:rsid w:val="00975DFC"/>
    <w:rsid w:val="00977C98"/>
    <w:rsid w:val="00977E5C"/>
    <w:rsid w:val="009801C4"/>
    <w:rsid w:val="0098201B"/>
    <w:rsid w:val="00982B2E"/>
    <w:rsid w:val="00984C0A"/>
    <w:rsid w:val="0098523C"/>
    <w:rsid w:val="00985E30"/>
    <w:rsid w:val="00987C8D"/>
    <w:rsid w:val="009902A9"/>
    <w:rsid w:val="00991759"/>
    <w:rsid w:val="009920DE"/>
    <w:rsid w:val="00992DA5"/>
    <w:rsid w:val="00993045"/>
    <w:rsid w:val="00993CD6"/>
    <w:rsid w:val="009942C1"/>
    <w:rsid w:val="00994C8C"/>
    <w:rsid w:val="009956A2"/>
    <w:rsid w:val="0099583E"/>
    <w:rsid w:val="00996567"/>
    <w:rsid w:val="00997710"/>
    <w:rsid w:val="00997950"/>
    <w:rsid w:val="00997F86"/>
    <w:rsid w:val="009A06C4"/>
    <w:rsid w:val="009A0EFF"/>
    <w:rsid w:val="009A1BE4"/>
    <w:rsid w:val="009A2123"/>
    <w:rsid w:val="009A29E1"/>
    <w:rsid w:val="009A2C2F"/>
    <w:rsid w:val="009A2F2C"/>
    <w:rsid w:val="009A3254"/>
    <w:rsid w:val="009A525C"/>
    <w:rsid w:val="009A69AF"/>
    <w:rsid w:val="009A6FEA"/>
    <w:rsid w:val="009A711C"/>
    <w:rsid w:val="009A7389"/>
    <w:rsid w:val="009B06A8"/>
    <w:rsid w:val="009B084D"/>
    <w:rsid w:val="009B099E"/>
    <w:rsid w:val="009B1148"/>
    <w:rsid w:val="009B1C9D"/>
    <w:rsid w:val="009B2FCA"/>
    <w:rsid w:val="009B3D4C"/>
    <w:rsid w:val="009B3E9F"/>
    <w:rsid w:val="009B4A96"/>
    <w:rsid w:val="009B4B19"/>
    <w:rsid w:val="009C008E"/>
    <w:rsid w:val="009C0137"/>
    <w:rsid w:val="009C0960"/>
    <w:rsid w:val="009C211C"/>
    <w:rsid w:val="009C2AD9"/>
    <w:rsid w:val="009C351B"/>
    <w:rsid w:val="009C44E3"/>
    <w:rsid w:val="009C4BD9"/>
    <w:rsid w:val="009C6960"/>
    <w:rsid w:val="009D0E78"/>
    <w:rsid w:val="009D177E"/>
    <w:rsid w:val="009D2FA7"/>
    <w:rsid w:val="009D395D"/>
    <w:rsid w:val="009D3DD4"/>
    <w:rsid w:val="009D4D58"/>
    <w:rsid w:val="009D528E"/>
    <w:rsid w:val="009D6081"/>
    <w:rsid w:val="009D71D8"/>
    <w:rsid w:val="009D7A1C"/>
    <w:rsid w:val="009D7FB8"/>
    <w:rsid w:val="009E0A40"/>
    <w:rsid w:val="009E0B3C"/>
    <w:rsid w:val="009E24A4"/>
    <w:rsid w:val="009E2BF2"/>
    <w:rsid w:val="009E3A66"/>
    <w:rsid w:val="009E434E"/>
    <w:rsid w:val="009E4409"/>
    <w:rsid w:val="009E446A"/>
    <w:rsid w:val="009E4A20"/>
    <w:rsid w:val="009E4DCF"/>
    <w:rsid w:val="009E5623"/>
    <w:rsid w:val="009E5805"/>
    <w:rsid w:val="009E5E08"/>
    <w:rsid w:val="009E72C7"/>
    <w:rsid w:val="009F17B7"/>
    <w:rsid w:val="009F3245"/>
    <w:rsid w:val="009F40A4"/>
    <w:rsid w:val="009F4760"/>
    <w:rsid w:val="009F63BD"/>
    <w:rsid w:val="00A00548"/>
    <w:rsid w:val="00A02186"/>
    <w:rsid w:val="00A02CA0"/>
    <w:rsid w:val="00A0459C"/>
    <w:rsid w:val="00A0476D"/>
    <w:rsid w:val="00A06061"/>
    <w:rsid w:val="00A06EE0"/>
    <w:rsid w:val="00A10F10"/>
    <w:rsid w:val="00A12E08"/>
    <w:rsid w:val="00A138CA"/>
    <w:rsid w:val="00A13C40"/>
    <w:rsid w:val="00A13CD0"/>
    <w:rsid w:val="00A1539A"/>
    <w:rsid w:val="00A17A81"/>
    <w:rsid w:val="00A201AB"/>
    <w:rsid w:val="00A20462"/>
    <w:rsid w:val="00A2101A"/>
    <w:rsid w:val="00A21079"/>
    <w:rsid w:val="00A21577"/>
    <w:rsid w:val="00A22984"/>
    <w:rsid w:val="00A22D54"/>
    <w:rsid w:val="00A24C4F"/>
    <w:rsid w:val="00A250F7"/>
    <w:rsid w:val="00A25349"/>
    <w:rsid w:val="00A26BAE"/>
    <w:rsid w:val="00A26C1E"/>
    <w:rsid w:val="00A30E94"/>
    <w:rsid w:val="00A30FDF"/>
    <w:rsid w:val="00A319C7"/>
    <w:rsid w:val="00A31C98"/>
    <w:rsid w:val="00A328E7"/>
    <w:rsid w:val="00A333A7"/>
    <w:rsid w:val="00A33F7C"/>
    <w:rsid w:val="00A3415D"/>
    <w:rsid w:val="00A34BCC"/>
    <w:rsid w:val="00A34FBC"/>
    <w:rsid w:val="00A35834"/>
    <w:rsid w:val="00A35F0E"/>
    <w:rsid w:val="00A360BF"/>
    <w:rsid w:val="00A37FCC"/>
    <w:rsid w:val="00A411C6"/>
    <w:rsid w:val="00A4189F"/>
    <w:rsid w:val="00A41A53"/>
    <w:rsid w:val="00A4272F"/>
    <w:rsid w:val="00A445FF"/>
    <w:rsid w:val="00A446AB"/>
    <w:rsid w:val="00A44F6D"/>
    <w:rsid w:val="00A45D44"/>
    <w:rsid w:val="00A47D5E"/>
    <w:rsid w:val="00A508FB"/>
    <w:rsid w:val="00A50AF8"/>
    <w:rsid w:val="00A51100"/>
    <w:rsid w:val="00A518DB"/>
    <w:rsid w:val="00A52B7B"/>
    <w:rsid w:val="00A53840"/>
    <w:rsid w:val="00A53DB3"/>
    <w:rsid w:val="00A545A2"/>
    <w:rsid w:val="00A553F3"/>
    <w:rsid w:val="00A55D4A"/>
    <w:rsid w:val="00A564AE"/>
    <w:rsid w:val="00A56BAD"/>
    <w:rsid w:val="00A56BED"/>
    <w:rsid w:val="00A5755B"/>
    <w:rsid w:val="00A606C5"/>
    <w:rsid w:val="00A6087E"/>
    <w:rsid w:val="00A60983"/>
    <w:rsid w:val="00A60E44"/>
    <w:rsid w:val="00A60FE3"/>
    <w:rsid w:val="00A61AFE"/>
    <w:rsid w:val="00A62BFD"/>
    <w:rsid w:val="00A62FA6"/>
    <w:rsid w:val="00A636EB"/>
    <w:rsid w:val="00A63FFF"/>
    <w:rsid w:val="00A65F75"/>
    <w:rsid w:val="00A673A9"/>
    <w:rsid w:val="00A67825"/>
    <w:rsid w:val="00A70605"/>
    <w:rsid w:val="00A71092"/>
    <w:rsid w:val="00A7220C"/>
    <w:rsid w:val="00A73D8F"/>
    <w:rsid w:val="00A7424A"/>
    <w:rsid w:val="00A746B8"/>
    <w:rsid w:val="00A7552D"/>
    <w:rsid w:val="00A8030D"/>
    <w:rsid w:val="00A82A6D"/>
    <w:rsid w:val="00A82E86"/>
    <w:rsid w:val="00A82F23"/>
    <w:rsid w:val="00A832A7"/>
    <w:rsid w:val="00A83A55"/>
    <w:rsid w:val="00A85607"/>
    <w:rsid w:val="00A85DDA"/>
    <w:rsid w:val="00A8657C"/>
    <w:rsid w:val="00A86E89"/>
    <w:rsid w:val="00A877AB"/>
    <w:rsid w:val="00A91886"/>
    <w:rsid w:val="00A92C13"/>
    <w:rsid w:val="00A94696"/>
    <w:rsid w:val="00A95904"/>
    <w:rsid w:val="00A9661F"/>
    <w:rsid w:val="00A96954"/>
    <w:rsid w:val="00A969C0"/>
    <w:rsid w:val="00A9745F"/>
    <w:rsid w:val="00AA0A70"/>
    <w:rsid w:val="00AA2E21"/>
    <w:rsid w:val="00AA3953"/>
    <w:rsid w:val="00AA3F09"/>
    <w:rsid w:val="00AA50D1"/>
    <w:rsid w:val="00AA514E"/>
    <w:rsid w:val="00AA5945"/>
    <w:rsid w:val="00AA7434"/>
    <w:rsid w:val="00AA7F96"/>
    <w:rsid w:val="00AB0305"/>
    <w:rsid w:val="00AB106C"/>
    <w:rsid w:val="00AB221F"/>
    <w:rsid w:val="00AB35B6"/>
    <w:rsid w:val="00AB40B6"/>
    <w:rsid w:val="00AB4D3F"/>
    <w:rsid w:val="00AB5503"/>
    <w:rsid w:val="00AB5E43"/>
    <w:rsid w:val="00AB66A6"/>
    <w:rsid w:val="00AB70AE"/>
    <w:rsid w:val="00AB7624"/>
    <w:rsid w:val="00AB784A"/>
    <w:rsid w:val="00AB7D33"/>
    <w:rsid w:val="00AC0683"/>
    <w:rsid w:val="00AC0D37"/>
    <w:rsid w:val="00AC16B5"/>
    <w:rsid w:val="00AC18BA"/>
    <w:rsid w:val="00AC1B8C"/>
    <w:rsid w:val="00AC26DC"/>
    <w:rsid w:val="00AC2834"/>
    <w:rsid w:val="00AC2E70"/>
    <w:rsid w:val="00AC2FD1"/>
    <w:rsid w:val="00AC4DF5"/>
    <w:rsid w:val="00AC5608"/>
    <w:rsid w:val="00AC5B64"/>
    <w:rsid w:val="00AC70D8"/>
    <w:rsid w:val="00AC73F7"/>
    <w:rsid w:val="00AC77EE"/>
    <w:rsid w:val="00AC7830"/>
    <w:rsid w:val="00AD14C3"/>
    <w:rsid w:val="00AD1CD9"/>
    <w:rsid w:val="00AD289C"/>
    <w:rsid w:val="00AD4FEE"/>
    <w:rsid w:val="00AD500B"/>
    <w:rsid w:val="00AD6B8E"/>
    <w:rsid w:val="00AE021F"/>
    <w:rsid w:val="00AE1F18"/>
    <w:rsid w:val="00AE2323"/>
    <w:rsid w:val="00AE3C7D"/>
    <w:rsid w:val="00AE48CE"/>
    <w:rsid w:val="00AE536D"/>
    <w:rsid w:val="00AE5DBF"/>
    <w:rsid w:val="00AE6A1F"/>
    <w:rsid w:val="00AE76B7"/>
    <w:rsid w:val="00AE7919"/>
    <w:rsid w:val="00AE7C2A"/>
    <w:rsid w:val="00AF03DB"/>
    <w:rsid w:val="00AF2C12"/>
    <w:rsid w:val="00AF319F"/>
    <w:rsid w:val="00AF355A"/>
    <w:rsid w:val="00AF4CDB"/>
    <w:rsid w:val="00AF5841"/>
    <w:rsid w:val="00AF5DBF"/>
    <w:rsid w:val="00AF625C"/>
    <w:rsid w:val="00AF7C21"/>
    <w:rsid w:val="00B00BFF"/>
    <w:rsid w:val="00B01414"/>
    <w:rsid w:val="00B01F1F"/>
    <w:rsid w:val="00B03E5E"/>
    <w:rsid w:val="00B04FF7"/>
    <w:rsid w:val="00B05E29"/>
    <w:rsid w:val="00B061CD"/>
    <w:rsid w:val="00B062AE"/>
    <w:rsid w:val="00B0653D"/>
    <w:rsid w:val="00B065D3"/>
    <w:rsid w:val="00B07B8F"/>
    <w:rsid w:val="00B1096C"/>
    <w:rsid w:val="00B11178"/>
    <w:rsid w:val="00B1150D"/>
    <w:rsid w:val="00B12424"/>
    <w:rsid w:val="00B12A3A"/>
    <w:rsid w:val="00B12AE0"/>
    <w:rsid w:val="00B12C67"/>
    <w:rsid w:val="00B13077"/>
    <w:rsid w:val="00B13685"/>
    <w:rsid w:val="00B14B72"/>
    <w:rsid w:val="00B153C7"/>
    <w:rsid w:val="00B16A5E"/>
    <w:rsid w:val="00B16BDA"/>
    <w:rsid w:val="00B16DD6"/>
    <w:rsid w:val="00B173D7"/>
    <w:rsid w:val="00B177E2"/>
    <w:rsid w:val="00B20556"/>
    <w:rsid w:val="00B22912"/>
    <w:rsid w:val="00B234B5"/>
    <w:rsid w:val="00B23665"/>
    <w:rsid w:val="00B24774"/>
    <w:rsid w:val="00B248C9"/>
    <w:rsid w:val="00B248EF"/>
    <w:rsid w:val="00B24B80"/>
    <w:rsid w:val="00B250F6"/>
    <w:rsid w:val="00B26642"/>
    <w:rsid w:val="00B3033C"/>
    <w:rsid w:val="00B310F2"/>
    <w:rsid w:val="00B31E15"/>
    <w:rsid w:val="00B320AB"/>
    <w:rsid w:val="00B327CC"/>
    <w:rsid w:val="00B33B39"/>
    <w:rsid w:val="00B377E7"/>
    <w:rsid w:val="00B37A0D"/>
    <w:rsid w:val="00B37A7C"/>
    <w:rsid w:val="00B40337"/>
    <w:rsid w:val="00B406D1"/>
    <w:rsid w:val="00B4186D"/>
    <w:rsid w:val="00B41F66"/>
    <w:rsid w:val="00B42ED3"/>
    <w:rsid w:val="00B430C5"/>
    <w:rsid w:val="00B43826"/>
    <w:rsid w:val="00B43A3D"/>
    <w:rsid w:val="00B43D6B"/>
    <w:rsid w:val="00B452B1"/>
    <w:rsid w:val="00B45E76"/>
    <w:rsid w:val="00B46A3C"/>
    <w:rsid w:val="00B47D4C"/>
    <w:rsid w:val="00B50DB9"/>
    <w:rsid w:val="00B51F73"/>
    <w:rsid w:val="00B520C5"/>
    <w:rsid w:val="00B52267"/>
    <w:rsid w:val="00B52FCB"/>
    <w:rsid w:val="00B536A2"/>
    <w:rsid w:val="00B54F18"/>
    <w:rsid w:val="00B55F78"/>
    <w:rsid w:val="00B56643"/>
    <w:rsid w:val="00B56FB4"/>
    <w:rsid w:val="00B57104"/>
    <w:rsid w:val="00B57C23"/>
    <w:rsid w:val="00B62563"/>
    <w:rsid w:val="00B628A8"/>
    <w:rsid w:val="00B62D9C"/>
    <w:rsid w:val="00B66B01"/>
    <w:rsid w:val="00B674DE"/>
    <w:rsid w:val="00B67BD9"/>
    <w:rsid w:val="00B709CD"/>
    <w:rsid w:val="00B72EB2"/>
    <w:rsid w:val="00B73517"/>
    <w:rsid w:val="00B74356"/>
    <w:rsid w:val="00B748A7"/>
    <w:rsid w:val="00B750C9"/>
    <w:rsid w:val="00B75440"/>
    <w:rsid w:val="00B75E1E"/>
    <w:rsid w:val="00B76954"/>
    <w:rsid w:val="00B76B77"/>
    <w:rsid w:val="00B8070F"/>
    <w:rsid w:val="00B80A2E"/>
    <w:rsid w:val="00B81281"/>
    <w:rsid w:val="00B814E2"/>
    <w:rsid w:val="00B8248E"/>
    <w:rsid w:val="00B83A59"/>
    <w:rsid w:val="00B83CC4"/>
    <w:rsid w:val="00B83E29"/>
    <w:rsid w:val="00B85345"/>
    <w:rsid w:val="00B87476"/>
    <w:rsid w:val="00B878C4"/>
    <w:rsid w:val="00B90489"/>
    <w:rsid w:val="00B91FB3"/>
    <w:rsid w:val="00B92414"/>
    <w:rsid w:val="00B931F2"/>
    <w:rsid w:val="00B95591"/>
    <w:rsid w:val="00B96BF6"/>
    <w:rsid w:val="00B97391"/>
    <w:rsid w:val="00BA0361"/>
    <w:rsid w:val="00BA0B85"/>
    <w:rsid w:val="00BA1FA4"/>
    <w:rsid w:val="00BA28B1"/>
    <w:rsid w:val="00BA3E91"/>
    <w:rsid w:val="00BA4BDB"/>
    <w:rsid w:val="00BA5112"/>
    <w:rsid w:val="00BA5B70"/>
    <w:rsid w:val="00BA7318"/>
    <w:rsid w:val="00BB317F"/>
    <w:rsid w:val="00BB6722"/>
    <w:rsid w:val="00BB6DC7"/>
    <w:rsid w:val="00BB7EEA"/>
    <w:rsid w:val="00BC08EF"/>
    <w:rsid w:val="00BC0B07"/>
    <w:rsid w:val="00BC1738"/>
    <w:rsid w:val="00BC185E"/>
    <w:rsid w:val="00BC25CD"/>
    <w:rsid w:val="00BC2A01"/>
    <w:rsid w:val="00BC34AA"/>
    <w:rsid w:val="00BC4CAE"/>
    <w:rsid w:val="00BC619F"/>
    <w:rsid w:val="00BC7F13"/>
    <w:rsid w:val="00BD0136"/>
    <w:rsid w:val="00BD0E6E"/>
    <w:rsid w:val="00BD1EEA"/>
    <w:rsid w:val="00BD2716"/>
    <w:rsid w:val="00BD32AB"/>
    <w:rsid w:val="00BD3A7F"/>
    <w:rsid w:val="00BD4250"/>
    <w:rsid w:val="00BD4A81"/>
    <w:rsid w:val="00BD502B"/>
    <w:rsid w:val="00BD5178"/>
    <w:rsid w:val="00BD6CB2"/>
    <w:rsid w:val="00BD7C48"/>
    <w:rsid w:val="00BD7D56"/>
    <w:rsid w:val="00BE034F"/>
    <w:rsid w:val="00BE0536"/>
    <w:rsid w:val="00BE09E4"/>
    <w:rsid w:val="00BE1245"/>
    <w:rsid w:val="00BE24FF"/>
    <w:rsid w:val="00BE2B48"/>
    <w:rsid w:val="00BE2E91"/>
    <w:rsid w:val="00BE30C5"/>
    <w:rsid w:val="00BE3EAD"/>
    <w:rsid w:val="00BE433C"/>
    <w:rsid w:val="00BE547F"/>
    <w:rsid w:val="00BE7C52"/>
    <w:rsid w:val="00BE7E37"/>
    <w:rsid w:val="00BF1550"/>
    <w:rsid w:val="00BF3419"/>
    <w:rsid w:val="00BF3A80"/>
    <w:rsid w:val="00BF3CDF"/>
    <w:rsid w:val="00BF4877"/>
    <w:rsid w:val="00BF5BFF"/>
    <w:rsid w:val="00BF61DF"/>
    <w:rsid w:val="00BF62B8"/>
    <w:rsid w:val="00C0258B"/>
    <w:rsid w:val="00C033D5"/>
    <w:rsid w:val="00C04DBF"/>
    <w:rsid w:val="00C05750"/>
    <w:rsid w:val="00C05A7D"/>
    <w:rsid w:val="00C0665B"/>
    <w:rsid w:val="00C06ACD"/>
    <w:rsid w:val="00C071B3"/>
    <w:rsid w:val="00C07482"/>
    <w:rsid w:val="00C075BF"/>
    <w:rsid w:val="00C07BC2"/>
    <w:rsid w:val="00C07CAE"/>
    <w:rsid w:val="00C1005E"/>
    <w:rsid w:val="00C104F2"/>
    <w:rsid w:val="00C11DAF"/>
    <w:rsid w:val="00C126C5"/>
    <w:rsid w:val="00C12847"/>
    <w:rsid w:val="00C13353"/>
    <w:rsid w:val="00C13430"/>
    <w:rsid w:val="00C14B28"/>
    <w:rsid w:val="00C154CA"/>
    <w:rsid w:val="00C15884"/>
    <w:rsid w:val="00C20AEF"/>
    <w:rsid w:val="00C21F59"/>
    <w:rsid w:val="00C23B37"/>
    <w:rsid w:val="00C25804"/>
    <w:rsid w:val="00C25A74"/>
    <w:rsid w:val="00C2613A"/>
    <w:rsid w:val="00C26D7D"/>
    <w:rsid w:val="00C27062"/>
    <w:rsid w:val="00C276D5"/>
    <w:rsid w:val="00C27BBD"/>
    <w:rsid w:val="00C307AA"/>
    <w:rsid w:val="00C31417"/>
    <w:rsid w:val="00C316D6"/>
    <w:rsid w:val="00C31BA2"/>
    <w:rsid w:val="00C3224E"/>
    <w:rsid w:val="00C348AF"/>
    <w:rsid w:val="00C353FB"/>
    <w:rsid w:val="00C3654A"/>
    <w:rsid w:val="00C367E0"/>
    <w:rsid w:val="00C36AB4"/>
    <w:rsid w:val="00C41358"/>
    <w:rsid w:val="00C41F8B"/>
    <w:rsid w:val="00C42BC5"/>
    <w:rsid w:val="00C42C79"/>
    <w:rsid w:val="00C430AB"/>
    <w:rsid w:val="00C43557"/>
    <w:rsid w:val="00C43643"/>
    <w:rsid w:val="00C43D62"/>
    <w:rsid w:val="00C44C0F"/>
    <w:rsid w:val="00C45ABB"/>
    <w:rsid w:val="00C46255"/>
    <w:rsid w:val="00C50F94"/>
    <w:rsid w:val="00C517C0"/>
    <w:rsid w:val="00C518FF"/>
    <w:rsid w:val="00C51FDD"/>
    <w:rsid w:val="00C5238F"/>
    <w:rsid w:val="00C54AFD"/>
    <w:rsid w:val="00C55705"/>
    <w:rsid w:val="00C57B14"/>
    <w:rsid w:val="00C608CF"/>
    <w:rsid w:val="00C61F37"/>
    <w:rsid w:val="00C61F8C"/>
    <w:rsid w:val="00C62565"/>
    <w:rsid w:val="00C62C18"/>
    <w:rsid w:val="00C67205"/>
    <w:rsid w:val="00C6738A"/>
    <w:rsid w:val="00C675B8"/>
    <w:rsid w:val="00C71413"/>
    <w:rsid w:val="00C72832"/>
    <w:rsid w:val="00C73756"/>
    <w:rsid w:val="00C738B4"/>
    <w:rsid w:val="00C7483D"/>
    <w:rsid w:val="00C74B3E"/>
    <w:rsid w:val="00C7509D"/>
    <w:rsid w:val="00C75762"/>
    <w:rsid w:val="00C75E02"/>
    <w:rsid w:val="00C77676"/>
    <w:rsid w:val="00C77D6B"/>
    <w:rsid w:val="00C8055E"/>
    <w:rsid w:val="00C807FE"/>
    <w:rsid w:val="00C815BF"/>
    <w:rsid w:val="00C8225D"/>
    <w:rsid w:val="00C8241F"/>
    <w:rsid w:val="00C8504F"/>
    <w:rsid w:val="00C85345"/>
    <w:rsid w:val="00C86A10"/>
    <w:rsid w:val="00C86E99"/>
    <w:rsid w:val="00C900A7"/>
    <w:rsid w:val="00C91281"/>
    <w:rsid w:val="00C915D1"/>
    <w:rsid w:val="00C917C0"/>
    <w:rsid w:val="00C92739"/>
    <w:rsid w:val="00C92801"/>
    <w:rsid w:val="00C94139"/>
    <w:rsid w:val="00C943EA"/>
    <w:rsid w:val="00C94DC4"/>
    <w:rsid w:val="00C963E4"/>
    <w:rsid w:val="00C9643F"/>
    <w:rsid w:val="00CA16B5"/>
    <w:rsid w:val="00CA1858"/>
    <w:rsid w:val="00CA22ED"/>
    <w:rsid w:val="00CA381B"/>
    <w:rsid w:val="00CA42EA"/>
    <w:rsid w:val="00CA5581"/>
    <w:rsid w:val="00CA716A"/>
    <w:rsid w:val="00CB00E1"/>
    <w:rsid w:val="00CB08E5"/>
    <w:rsid w:val="00CB11CD"/>
    <w:rsid w:val="00CB2BA4"/>
    <w:rsid w:val="00CB45C2"/>
    <w:rsid w:val="00CB5C5F"/>
    <w:rsid w:val="00CB73F3"/>
    <w:rsid w:val="00CB7774"/>
    <w:rsid w:val="00CB7D11"/>
    <w:rsid w:val="00CC361A"/>
    <w:rsid w:val="00CC67A2"/>
    <w:rsid w:val="00CC708B"/>
    <w:rsid w:val="00CC7551"/>
    <w:rsid w:val="00CC7DE4"/>
    <w:rsid w:val="00CD11A0"/>
    <w:rsid w:val="00CD1A82"/>
    <w:rsid w:val="00CD29D1"/>
    <w:rsid w:val="00CD308F"/>
    <w:rsid w:val="00CD33A1"/>
    <w:rsid w:val="00CD3799"/>
    <w:rsid w:val="00CD5A63"/>
    <w:rsid w:val="00CD5DD1"/>
    <w:rsid w:val="00CD635E"/>
    <w:rsid w:val="00CD73E7"/>
    <w:rsid w:val="00CD7953"/>
    <w:rsid w:val="00CE0F41"/>
    <w:rsid w:val="00CE2401"/>
    <w:rsid w:val="00CE29C4"/>
    <w:rsid w:val="00CE3441"/>
    <w:rsid w:val="00CE3D7F"/>
    <w:rsid w:val="00CE3E06"/>
    <w:rsid w:val="00CE44DC"/>
    <w:rsid w:val="00CE5B4B"/>
    <w:rsid w:val="00CE63A2"/>
    <w:rsid w:val="00CE75BC"/>
    <w:rsid w:val="00CF006A"/>
    <w:rsid w:val="00CF00E1"/>
    <w:rsid w:val="00CF121A"/>
    <w:rsid w:val="00CF1E43"/>
    <w:rsid w:val="00CF2750"/>
    <w:rsid w:val="00CF3531"/>
    <w:rsid w:val="00CF47EF"/>
    <w:rsid w:val="00CF60AC"/>
    <w:rsid w:val="00CF6723"/>
    <w:rsid w:val="00CF7814"/>
    <w:rsid w:val="00CF7C7E"/>
    <w:rsid w:val="00D000C2"/>
    <w:rsid w:val="00D000F3"/>
    <w:rsid w:val="00D00138"/>
    <w:rsid w:val="00D023D4"/>
    <w:rsid w:val="00D0313C"/>
    <w:rsid w:val="00D037C3"/>
    <w:rsid w:val="00D04158"/>
    <w:rsid w:val="00D04561"/>
    <w:rsid w:val="00D04FAA"/>
    <w:rsid w:val="00D0649F"/>
    <w:rsid w:val="00D06F6F"/>
    <w:rsid w:val="00D1099A"/>
    <w:rsid w:val="00D10AD9"/>
    <w:rsid w:val="00D11CC6"/>
    <w:rsid w:val="00D122E3"/>
    <w:rsid w:val="00D131A4"/>
    <w:rsid w:val="00D132D1"/>
    <w:rsid w:val="00D13C01"/>
    <w:rsid w:val="00D13CDD"/>
    <w:rsid w:val="00D14372"/>
    <w:rsid w:val="00D14DEF"/>
    <w:rsid w:val="00D16533"/>
    <w:rsid w:val="00D20472"/>
    <w:rsid w:val="00D22F6A"/>
    <w:rsid w:val="00D2339E"/>
    <w:rsid w:val="00D24704"/>
    <w:rsid w:val="00D24DB8"/>
    <w:rsid w:val="00D26B77"/>
    <w:rsid w:val="00D303A7"/>
    <w:rsid w:val="00D33B94"/>
    <w:rsid w:val="00D34338"/>
    <w:rsid w:val="00D35226"/>
    <w:rsid w:val="00D3563F"/>
    <w:rsid w:val="00D35FB1"/>
    <w:rsid w:val="00D36AF1"/>
    <w:rsid w:val="00D37239"/>
    <w:rsid w:val="00D37840"/>
    <w:rsid w:val="00D37CA1"/>
    <w:rsid w:val="00D400CA"/>
    <w:rsid w:val="00D41276"/>
    <w:rsid w:val="00D4243D"/>
    <w:rsid w:val="00D43647"/>
    <w:rsid w:val="00D44E03"/>
    <w:rsid w:val="00D45C5A"/>
    <w:rsid w:val="00D50436"/>
    <w:rsid w:val="00D51276"/>
    <w:rsid w:val="00D515B1"/>
    <w:rsid w:val="00D519F9"/>
    <w:rsid w:val="00D5255A"/>
    <w:rsid w:val="00D52C9D"/>
    <w:rsid w:val="00D53195"/>
    <w:rsid w:val="00D535E1"/>
    <w:rsid w:val="00D53701"/>
    <w:rsid w:val="00D54822"/>
    <w:rsid w:val="00D54C76"/>
    <w:rsid w:val="00D55023"/>
    <w:rsid w:val="00D55DEA"/>
    <w:rsid w:val="00D6165E"/>
    <w:rsid w:val="00D61F80"/>
    <w:rsid w:val="00D62B4E"/>
    <w:rsid w:val="00D6364A"/>
    <w:rsid w:val="00D640D6"/>
    <w:rsid w:val="00D674DB"/>
    <w:rsid w:val="00D67A4A"/>
    <w:rsid w:val="00D67DAD"/>
    <w:rsid w:val="00D67E2D"/>
    <w:rsid w:val="00D703E7"/>
    <w:rsid w:val="00D70505"/>
    <w:rsid w:val="00D70C8F"/>
    <w:rsid w:val="00D70ECF"/>
    <w:rsid w:val="00D71367"/>
    <w:rsid w:val="00D72A96"/>
    <w:rsid w:val="00D772FC"/>
    <w:rsid w:val="00D77C53"/>
    <w:rsid w:val="00D812FF"/>
    <w:rsid w:val="00D83705"/>
    <w:rsid w:val="00D8413D"/>
    <w:rsid w:val="00D846AC"/>
    <w:rsid w:val="00D86254"/>
    <w:rsid w:val="00D9124F"/>
    <w:rsid w:val="00D926AB"/>
    <w:rsid w:val="00D92E69"/>
    <w:rsid w:val="00D92F8A"/>
    <w:rsid w:val="00D93237"/>
    <w:rsid w:val="00D93F42"/>
    <w:rsid w:val="00D95964"/>
    <w:rsid w:val="00D95EB4"/>
    <w:rsid w:val="00D96142"/>
    <w:rsid w:val="00D968D2"/>
    <w:rsid w:val="00D96D33"/>
    <w:rsid w:val="00D97491"/>
    <w:rsid w:val="00D97567"/>
    <w:rsid w:val="00D976D3"/>
    <w:rsid w:val="00D97F0B"/>
    <w:rsid w:val="00DA0B0B"/>
    <w:rsid w:val="00DA0FE4"/>
    <w:rsid w:val="00DA1032"/>
    <w:rsid w:val="00DA1566"/>
    <w:rsid w:val="00DA1B9F"/>
    <w:rsid w:val="00DA5DD0"/>
    <w:rsid w:val="00DA6087"/>
    <w:rsid w:val="00DA7584"/>
    <w:rsid w:val="00DB027E"/>
    <w:rsid w:val="00DB0C13"/>
    <w:rsid w:val="00DB17BF"/>
    <w:rsid w:val="00DB22D3"/>
    <w:rsid w:val="00DB2F79"/>
    <w:rsid w:val="00DB3709"/>
    <w:rsid w:val="00DB58B8"/>
    <w:rsid w:val="00DB6234"/>
    <w:rsid w:val="00DB78B8"/>
    <w:rsid w:val="00DC049F"/>
    <w:rsid w:val="00DC0904"/>
    <w:rsid w:val="00DC291A"/>
    <w:rsid w:val="00DC3682"/>
    <w:rsid w:val="00DC4C61"/>
    <w:rsid w:val="00DC6124"/>
    <w:rsid w:val="00DC62E7"/>
    <w:rsid w:val="00DC6675"/>
    <w:rsid w:val="00DC67ED"/>
    <w:rsid w:val="00DC6926"/>
    <w:rsid w:val="00DC6E61"/>
    <w:rsid w:val="00DD1283"/>
    <w:rsid w:val="00DD2250"/>
    <w:rsid w:val="00DD2CB8"/>
    <w:rsid w:val="00DD429E"/>
    <w:rsid w:val="00DD7DB2"/>
    <w:rsid w:val="00DE1079"/>
    <w:rsid w:val="00DE12A9"/>
    <w:rsid w:val="00DE189A"/>
    <w:rsid w:val="00DE1F9B"/>
    <w:rsid w:val="00DE6E06"/>
    <w:rsid w:val="00DE7016"/>
    <w:rsid w:val="00DE7DF9"/>
    <w:rsid w:val="00DF1DFF"/>
    <w:rsid w:val="00DF2014"/>
    <w:rsid w:val="00DF47B1"/>
    <w:rsid w:val="00DF4EC1"/>
    <w:rsid w:val="00E008C3"/>
    <w:rsid w:val="00E01261"/>
    <w:rsid w:val="00E01323"/>
    <w:rsid w:val="00E01D1E"/>
    <w:rsid w:val="00E02789"/>
    <w:rsid w:val="00E02F3A"/>
    <w:rsid w:val="00E0452F"/>
    <w:rsid w:val="00E04BCE"/>
    <w:rsid w:val="00E04E9A"/>
    <w:rsid w:val="00E05AC7"/>
    <w:rsid w:val="00E05B36"/>
    <w:rsid w:val="00E07002"/>
    <w:rsid w:val="00E1050C"/>
    <w:rsid w:val="00E126AD"/>
    <w:rsid w:val="00E13E97"/>
    <w:rsid w:val="00E1533D"/>
    <w:rsid w:val="00E15AA1"/>
    <w:rsid w:val="00E16076"/>
    <w:rsid w:val="00E16567"/>
    <w:rsid w:val="00E20052"/>
    <w:rsid w:val="00E20767"/>
    <w:rsid w:val="00E20C6D"/>
    <w:rsid w:val="00E22094"/>
    <w:rsid w:val="00E22EB1"/>
    <w:rsid w:val="00E23A7D"/>
    <w:rsid w:val="00E23FC3"/>
    <w:rsid w:val="00E2430B"/>
    <w:rsid w:val="00E24518"/>
    <w:rsid w:val="00E250FE"/>
    <w:rsid w:val="00E3039A"/>
    <w:rsid w:val="00E33123"/>
    <w:rsid w:val="00E3365F"/>
    <w:rsid w:val="00E33F4F"/>
    <w:rsid w:val="00E3433F"/>
    <w:rsid w:val="00E344A9"/>
    <w:rsid w:val="00E348DD"/>
    <w:rsid w:val="00E35F8B"/>
    <w:rsid w:val="00E36A9F"/>
    <w:rsid w:val="00E36C20"/>
    <w:rsid w:val="00E36DD7"/>
    <w:rsid w:val="00E36F17"/>
    <w:rsid w:val="00E36F99"/>
    <w:rsid w:val="00E37120"/>
    <w:rsid w:val="00E40049"/>
    <w:rsid w:val="00E400D2"/>
    <w:rsid w:val="00E40D75"/>
    <w:rsid w:val="00E41A3C"/>
    <w:rsid w:val="00E424B8"/>
    <w:rsid w:val="00E44E2C"/>
    <w:rsid w:val="00E45D2F"/>
    <w:rsid w:val="00E46E5A"/>
    <w:rsid w:val="00E475CF"/>
    <w:rsid w:val="00E478EF"/>
    <w:rsid w:val="00E503E6"/>
    <w:rsid w:val="00E50618"/>
    <w:rsid w:val="00E5141C"/>
    <w:rsid w:val="00E51F20"/>
    <w:rsid w:val="00E52125"/>
    <w:rsid w:val="00E523F9"/>
    <w:rsid w:val="00E54551"/>
    <w:rsid w:val="00E54990"/>
    <w:rsid w:val="00E54AAE"/>
    <w:rsid w:val="00E54F28"/>
    <w:rsid w:val="00E55E54"/>
    <w:rsid w:val="00E562B9"/>
    <w:rsid w:val="00E5680A"/>
    <w:rsid w:val="00E61613"/>
    <w:rsid w:val="00E62B80"/>
    <w:rsid w:val="00E63393"/>
    <w:rsid w:val="00E63BA9"/>
    <w:rsid w:val="00E64848"/>
    <w:rsid w:val="00E64979"/>
    <w:rsid w:val="00E6578F"/>
    <w:rsid w:val="00E65DCA"/>
    <w:rsid w:val="00E6714B"/>
    <w:rsid w:val="00E678DE"/>
    <w:rsid w:val="00E70BAF"/>
    <w:rsid w:val="00E7194A"/>
    <w:rsid w:val="00E71F28"/>
    <w:rsid w:val="00E74525"/>
    <w:rsid w:val="00E7597C"/>
    <w:rsid w:val="00E75E9F"/>
    <w:rsid w:val="00E760D9"/>
    <w:rsid w:val="00E76AFF"/>
    <w:rsid w:val="00E77363"/>
    <w:rsid w:val="00E80518"/>
    <w:rsid w:val="00E82851"/>
    <w:rsid w:val="00E831E8"/>
    <w:rsid w:val="00E835EB"/>
    <w:rsid w:val="00E83698"/>
    <w:rsid w:val="00E846FF"/>
    <w:rsid w:val="00E85B82"/>
    <w:rsid w:val="00E87B5C"/>
    <w:rsid w:val="00E87B9A"/>
    <w:rsid w:val="00E87E4C"/>
    <w:rsid w:val="00E906E5"/>
    <w:rsid w:val="00E90A03"/>
    <w:rsid w:val="00E91D1C"/>
    <w:rsid w:val="00E920E4"/>
    <w:rsid w:val="00E939C7"/>
    <w:rsid w:val="00E93E6A"/>
    <w:rsid w:val="00E943A3"/>
    <w:rsid w:val="00E94421"/>
    <w:rsid w:val="00E9484C"/>
    <w:rsid w:val="00E94A3E"/>
    <w:rsid w:val="00E95E4E"/>
    <w:rsid w:val="00E96F5F"/>
    <w:rsid w:val="00E97E73"/>
    <w:rsid w:val="00EA05C1"/>
    <w:rsid w:val="00EA11E5"/>
    <w:rsid w:val="00EA13F8"/>
    <w:rsid w:val="00EA14CC"/>
    <w:rsid w:val="00EA1847"/>
    <w:rsid w:val="00EA1E18"/>
    <w:rsid w:val="00EA2D94"/>
    <w:rsid w:val="00EA37D0"/>
    <w:rsid w:val="00EA469D"/>
    <w:rsid w:val="00EA46CA"/>
    <w:rsid w:val="00EA5A81"/>
    <w:rsid w:val="00EA6F9A"/>
    <w:rsid w:val="00EA7909"/>
    <w:rsid w:val="00EB07C5"/>
    <w:rsid w:val="00EB13A4"/>
    <w:rsid w:val="00EB2081"/>
    <w:rsid w:val="00EB3EF3"/>
    <w:rsid w:val="00EB42CC"/>
    <w:rsid w:val="00EB673E"/>
    <w:rsid w:val="00EC0206"/>
    <w:rsid w:val="00EC0363"/>
    <w:rsid w:val="00EC05CA"/>
    <w:rsid w:val="00EC118B"/>
    <w:rsid w:val="00EC2FCA"/>
    <w:rsid w:val="00EC3044"/>
    <w:rsid w:val="00EC3C69"/>
    <w:rsid w:val="00EC3F73"/>
    <w:rsid w:val="00EC4DA6"/>
    <w:rsid w:val="00EC6A99"/>
    <w:rsid w:val="00EC7132"/>
    <w:rsid w:val="00EC7578"/>
    <w:rsid w:val="00EC7B32"/>
    <w:rsid w:val="00ED1577"/>
    <w:rsid w:val="00ED1976"/>
    <w:rsid w:val="00ED1C0E"/>
    <w:rsid w:val="00ED2030"/>
    <w:rsid w:val="00ED472A"/>
    <w:rsid w:val="00ED48F1"/>
    <w:rsid w:val="00ED4D5E"/>
    <w:rsid w:val="00ED50D2"/>
    <w:rsid w:val="00ED5EB7"/>
    <w:rsid w:val="00ED7227"/>
    <w:rsid w:val="00EE0474"/>
    <w:rsid w:val="00EE07F8"/>
    <w:rsid w:val="00EE0A70"/>
    <w:rsid w:val="00EE17C3"/>
    <w:rsid w:val="00EE1C35"/>
    <w:rsid w:val="00EE1FAB"/>
    <w:rsid w:val="00EE2C07"/>
    <w:rsid w:val="00EE2CE8"/>
    <w:rsid w:val="00EE3209"/>
    <w:rsid w:val="00EE39FF"/>
    <w:rsid w:val="00EE4BB7"/>
    <w:rsid w:val="00EE60FE"/>
    <w:rsid w:val="00EE757D"/>
    <w:rsid w:val="00EE75CE"/>
    <w:rsid w:val="00EE7BC0"/>
    <w:rsid w:val="00EE7EFB"/>
    <w:rsid w:val="00EF01C2"/>
    <w:rsid w:val="00EF085D"/>
    <w:rsid w:val="00EF126E"/>
    <w:rsid w:val="00EF186B"/>
    <w:rsid w:val="00EF1AEB"/>
    <w:rsid w:val="00EF288A"/>
    <w:rsid w:val="00EF3017"/>
    <w:rsid w:val="00EF367E"/>
    <w:rsid w:val="00EF370F"/>
    <w:rsid w:val="00EF42B0"/>
    <w:rsid w:val="00EF445E"/>
    <w:rsid w:val="00EF4A27"/>
    <w:rsid w:val="00EF4F00"/>
    <w:rsid w:val="00EF68C3"/>
    <w:rsid w:val="00EF7264"/>
    <w:rsid w:val="00F00E37"/>
    <w:rsid w:val="00F01056"/>
    <w:rsid w:val="00F0185C"/>
    <w:rsid w:val="00F03BE1"/>
    <w:rsid w:val="00F03D82"/>
    <w:rsid w:val="00F045EC"/>
    <w:rsid w:val="00F0554C"/>
    <w:rsid w:val="00F070CB"/>
    <w:rsid w:val="00F0750B"/>
    <w:rsid w:val="00F07DD9"/>
    <w:rsid w:val="00F07FB7"/>
    <w:rsid w:val="00F10013"/>
    <w:rsid w:val="00F12061"/>
    <w:rsid w:val="00F12F09"/>
    <w:rsid w:val="00F13118"/>
    <w:rsid w:val="00F138CA"/>
    <w:rsid w:val="00F17582"/>
    <w:rsid w:val="00F17B1C"/>
    <w:rsid w:val="00F2175C"/>
    <w:rsid w:val="00F21F4A"/>
    <w:rsid w:val="00F22335"/>
    <w:rsid w:val="00F230C1"/>
    <w:rsid w:val="00F23F2D"/>
    <w:rsid w:val="00F24252"/>
    <w:rsid w:val="00F24CAD"/>
    <w:rsid w:val="00F251BF"/>
    <w:rsid w:val="00F2618F"/>
    <w:rsid w:val="00F26AFC"/>
    <w:rsid w:val="00F30306"/>
    <w:rsid w:val="00F3088C"/>
    <w:rsid w:val="00F31956"/>
    <w:rsid w:val="00F322D9"/>
    <w:rsid w:val="00F336C7"/>
    <w:rsid w:val="00F350E3"/>
    <w:rsid w:val="00F36DE9"/>
    <w:rsid w:val="00F37227"/>
    <w:rsid w:val="00F37482"/>
    <w:rsid w:val="00F37DBA"/>
    <w:rsid w:val="00F37DE2"/>
    <w:rsid w:val="00F40040"/>
    <w:rsid w:val="00F40F70"/>
    <w:rsid w:val="00F42478"/>
    <w:rsid w:val="00F42D6E"/>
    <w:rsid w:val="00F4340E"/>
    <w:rsid w:val="00F43AEE"/>
    <w:rsid w:val="00F4462C"/>
    <w:rsid w:val="00F458DE"/>
    <w:rsid w:val="00F46EC3"/>
    <w:rsid w:val="00F50213"/>
    <w:rsid w:val="00F51EE4"/>
    <w:rsid w:val="00F5298E"/>
    <w:rsid w:val="00F52CE6"/>
    <w:rsid w:val="00F53835"/>
    <w:rsid w:val="00F53904"/>
    <w:rsid w:val="00F55266"/>
    <w:rsid w:val="00F56FD2"/>
    <w:rsid w:val="00F61B08"/>
    <w:rsid w:val="00F61F3A"/>
    <w:rsid w:val="00F62586"/>
    <w:rsid w:val="00F6264E"/>
    <w:rsid w:val="00F62A5F"/>
    <w:rsid w:val="00F63262"/>
    <w:rsid w:val="00F63420"/>
    <w:rsid w:val="00F63660"/>
    <w:rsid w:val="00F63C86"/>
    <w:rsid w:val="00F63D09"/>
    <w:rsid w:val="00F64413"/>
    <w:rsid w:val="00F644BF"/>
    <w:rsid w:val="00F66224"/>
    <w:rsid w:val="00F669AE"/>
    <w:rsid w:val="00F671A5"/>
    <w:rsid w:val="00F67985"/>
    <w:rsid w:val="00F679FB"/>
    <w:rsid w:val="00F67A27"/>
    <w:rsid w:val="00F67BBB"/>
    <w:rsid w:val="00F71824"/>
    <w:rsid w:val="00F719C0"/>
    <w:rsid w:val="00F71A3E"/>
    <w:rsid w:val="00F71CEF"/>
    <w:rsid w:val="00F73653"/>
    <w:rsid w:val="00F73789"/>
    <w:rsid w:val="00F74528"/>
    <w:rsid w:val="00F7575E"/>
    <w:rsid w:val="00F763D0"/>
    <w:rsid w:val="00F77B16"/>
    <w:rsid w:val="00F808E9"/>
    <w:rsid w:val="00F80D9E"/>
    <w:rsid w:val="00F81A18"/>
    <w:rsid w:val="00F82A2F"/>
    <w:rsid w:val="00F82BEE"/>
    <w:rsid w:val="00F82E51"/>
    <w:rsid w:val="00F831AD"/>
    <w:rsid w:val="00F8362B"/>
    <w:rsid w:val="00F83D0A"/>
    <w:rsid w:val="00F8562F"/>
    <w:rsid w:val="00F8623A"/>
    <w:rsid w:val="00F877E4"/>
    <w:rsid w:val="00F87DA0"/>
    <w:rsid w:val="00F90BEA"/>
    <w:rsid w:val="00F91C60"/>
    <w:rsid w:val="00F92361"/>
    <w:rsid w:val="00F92957"/>
    <w:rsid w:val="00F92A49"/>
    <w:rsid w:val="00F94345"/>
    <w:rsid w:val="00F9475F"/>
    <w:rsid w:val="00F9667F"/>
    <w:rsid w:val="00F96F75"/>
    <w:rsid w:val="00FA054A"/>
    <w:rsid w:val="00FA0DDE"/>
    <w:rsid w:val="00FA10D2"/>
    <w:rsid w:val="00FA1898"/>
    <w:rsid w:val="00FA191C"/>
    <w:rsid w:val="00FA409C"/>
    <w:rsid w:val="00FA5992"/>
    <w:rsid w:val="00FA63E4"/>
    <w:rsid w:val="00FA6750"/>
    <w:rsid w:val="00FA7AE6"/>
    <w:rsid w:val="00FB0C41"/>
    <w:rsid w:val="00FB1426"/>
    <w:rsid w:val="00FB15AE"/>
    <w:rsid w:val="00FB2C9A"/>
    <w:rsid w:val="00FB30C8"/>
    <w:rsid w:val="00FB3657"/>
    <w:rsid w:val="00FB5C2F"/>
    <w:rsid w:val="00FB750D"/>
    <w:rsid w:val="00FB751F"/>
    <w:rsid w:val="00FB7EA4"/>
    <w:rsid w:val="00FC05F6"/>
    <w:rsid w:val="00FC070B"/>
    <w:rsid w:val="00FC1816"/>
    <w:rsid w:val="00FC19EA"/>
    <w:rsid w:val="00FC20F3"/>
    <w:rsid w:val="00FC221B"/>
    <w:rsid w:val="00FC2762"/>
    <w:rsid w:val="00FC3891"/>
    <w:rsid w:val="00FC3994"/>
    <w:rsid w:val="00FC54C9"/>
    <w:rsid w:val="00FC5903"/>
    <w:rsid w:val="00FC6043"/>
    <w:rsid w:val="00FC69D4"/>
    <w:rsid w:val="00FC6AF8"/>
    <w:rsid w:val="00FC7272"/>
    <w:rsid w:val="00FD07F4"/>
    <w:rsid w:val="00FD109A"/>
    <w:rsid w:val="00FD16CB"/>
    <w:rsid w:val="00FD1851"/>
    <w:rsid w:val="00FD1A62"/>
    <w:rsid w:val="00FD1E3E"/>
    <w:rsid w:val="00FD279D"/>
    <w:rsid w:val="00FD2D67"/>
    <w:rsid w:val="00FD4C77"/>
    <w:rsid w:val="00FD50F8"/>
    <w:rsid w:val="00FD57C3"/>
    <w:rsid w:val="00FD623A"/>
    <w:rsid w:val="00FD65C7"/>
    <w:rsid w:val="00FD6E22"/>
    <w:rsid w:val="00FD7418"/>
    <w:rsid w:val="00FD7ADA"/>
    <w:rsid w:val="00FD7D6D"/>
    <w:rsid w:val="00FE0118"/>
    <w:rsid w:val="00FE0BA4"/>
    <w:rsid w:val="00FE1A88"/>
    <w:rsid w:val="00FE2C93"/>
    <w:rsid w:val="00FE2E5B"/>
    <w:rsid w:val="00FE35E1"/>
    <w:rsid w:val="00FE3931"/>
    <w:rsid w:val="00FE3D6B"/>
    <w:rsid w:val="00FE65FE"/>
    <w:rsid w:val="00FE6F44"/>
    <w:rsid w:val="00FF0470"/>
    <w:rsid w:val="00FF0549"/>
    <w:rsid w:val="00FF087C"/>
    <w:rsid w:val="00FF1C96"/>
    <w:rsid w:val="00FF25E8"/>
    <w:rsid w:val="00FF2DAC"/>
    <w:rsid w:val="00FF349A"/>
    <w:rsid w:val="00FF361B"/>
    <w:rsid w:val="00FF3F8D"/>
    <w:rsid w:val="00FF6DC8"/>
    <w:rsid w:val="00FF7375"/>
    <w:rsid w:val="00FF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823D620"/>
  <w15:docId w15:val="{EB3DAC9D-CB2E-4423-AFC8-15D82CD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26"/>
    <w:pPr>
      <w:spacing w:after="0" w:line="240" w:lineRule="auto"/>
    </w:pPr>
  </w:style>
  <w:style w:type="paragraph" w:styleId="Heading1">
    <w:name w:val="heading 1"/>
    <w:basedOn w:val="Normal"/>
    <w:next w:val="Normal"/>
    <w:link w:val="Heading1Char"/>
    <w:uiPriority w:val="9"/>
    <w:qFormat/>
    <w:rsid w:val="008B2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D7D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link w:val="Heading5Char"/>
    <w:uiPriority w:val="9"/>
    <w:unhideWhenUsed/>
    <w:qFormat/>
    <w:rsid w:val="00880C41"/>
    <w:pPr>
      <w:spacing w:after="0" w:line="480" w:lineRule="auto"/>
      <w:ind w:left="720" w:hanging="720"/>
      <w:contextualSpacing/>
      <w:outlineLvl w:val="4"/>
    </w:pPr>
    <w:rPr>
      <w:rFonts w:eastAsia="Times New Roman"/>
    </w:rPr>
  </w:style>
  <w:style w:type="paragraph" w:styleId="Heading8">
    <w:name w:val="heading 8"/>
    <w:basedOn w:val="Normal"/>
    <w:next w:val="Normal"/>
    <w:link w:val="Heading8Char"/>
    <w:uiPriority w:val="9"/>
    <w:unhideWhenUsed/>
    <w:qFormat/>
    <w:rsid w:val="008B22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unhideWhenUsed/>
    <w:qFormat/>
    <w:rsid w:val="00C86A10"/>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rsid w:val="00C86A10"/>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character" w:styleId="IntenseReference">
    <w:name w:val="Intense Reference"/>
    <w:basedOn w:val="DefaultParagraphFont"/>
    <w:uiPriority w:val="32"/>
    <w:qFormat/>
    <w:rsid w:val="003B1244"/>
    <w:rPr>
      <w:b/>
      <w:bCs/>
      <w:smallCaps/>
      <w:color w:val="4F81BD" w:themeColor="accent1"/>
      <w:spacing w:val="5"/>
    </w:rPr>
  </w:style>
  <w:style w:type="paragraph" w:customStyle="1" w:styleId="Answer">
    <w:name w:val="Answer"/>
    <w:basedOn w:val="Normal"/>
    <w:link w:val="AnswerChar1"/>
    <w:qFormat/>
    <w:rsid w:val="00974337"/>
    <w:pPr>
      <w:spacing w:line="480" w:lineRule="auto"/>
      <w:ind w:left="720" w:hanging="720"/>
      <w:jc w:val="both"/>
    </w:pPr>
    <w:rPr>
      <w:rFonts w:eastAsia="Times New Roman"/>
    </w:rPr>
  </w:style>
  <w:style w:type="character" w:customStyle="1" w:styleId="AnswerChar1">
    <w:name w:val="Answer Char1"/>
    <w:basedOn w:val="DefaultParagraphFont"/>
    <w:link w:val="Answer"/>
    <w:rsid w:val="00974337"/>
    <w:rPr>
      <w:rFonts w:eastAsia="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974337"/>
    <w:rPr>
      <w:sz w:val="20"/>
      <w:szCs w:val="20"/>
    </w:rPr>
  </w:style>
  <w:style w:type="paragraph" w:styleId="NoSpacing">
    <w:name w:val="No Spacing"/>
    <w:uiPriority w:val="1"/>
    <w:qFormat/>
    <w:rsid w:val="00FA191C"/>
    <w:pPr>
      <w:spacing w:after="0" w:line="240" w:lineRule="auto"/>
    </w:pPr>
  </w:style>
  <w:style w:type="character" w:customStyle="1" w:styleId="Heading5Char">
    <w:name w:val="Heading 5 Char"/>
    <w:basedOn w:val="DefaultParagraphFont"/>
    <w:link w:val="Heading5"/>
    <w:uiPriority w:val="9"/>
    <w:rsid w:val="00880C41"/>
    <w:rPr>
      <w:rFonts w:eastAsia="Times New Roman"/>
    </w:rPr>
  </w:style>
  <w:style w:type="paragraph" w:styleId="Quote">
    <w:name w:val="Quote"/>
    <w:basedOn w:val="Normal"/>
    <w:next w:val="Normal"/>
    <w:link w:val="QuoteChar"/>
    <w:uiPriority w:val="29"/>
    <w:qFormat/>
    <w:rsid w:val="00880C41"/>
    <w:pPr>
      <w:spacing w:after="160"/>
      <w:ind w:left="1440" w:right="864"/>
    </w:pPr>
    <w:rPr>
      <w:rFonts w:eastAsia="Times"/>
      <w:iCs/>
    </w:rPr>
  </w:style>
  <w:style w:type="character" w:customStyle="1" w:styleId="QuoteChar">
    <w:name w:val="Quote Char"/>
    <w:basedOn w:val="DefaultParagraphFont"/>
    <w:link w:val="Quote"/>
    <w:uiPriority w:val="29"/>
    <w:rsid w:val="00880C41"/>
    <w:rPr>
      <w:rFonts w:eastAsia="Times"/>
      <w:iCs/>
    </w:rPr>
  </w:style>
  <w:style w:type="character" w:styleId="Hyperlink">
    <w:name w:val="Hyperlink"/>
    <w:basedOn w:val="DefaultParagraphFont"/>
    <w:uiPriority w:val="99"/>
    <w:unhideWhenUsed/>
    <w:rsid w:val="008011F7"/>
    <w:rPr>
      <w:color w:val="0000FF" w:themeColor="hyperlink"/>
      <w:u w:val="single"/>
    </w:rPr>
  </w:style>
  <w:style w:type="character" w:styleId="FollowedHyperlink">
    <w:name w:val="FollowedHyperlink"/>
    <w:basedOn w:val="DefaultParagraphFont"/>
    <w:uiPriority w:val="99"/>
    <w:semiHidden/>
    <w:unhideWhenUsed/>
    <w:rsid w:val="001000F4"/>
    <w:rPr>
      <w:color w:val="800080" w:themeColor="followedHyperlink"/>
      <w:u w:val="single"/>
    </w:rPr>
  </w:style>
  <w:style w:type="paragraph" w:styleId="EndnoteText">
    <w:name w:val="endnote text"/>
    <w:basedOn w:val="Normal"/>
    <w:link w:val="EndnoteTextChar"/>
    <w:uiPriority w:val="99"/>
    <w:semiHidden/>
    <w:unhideWhenUsed/>
    <w:rsid w:val="00386D1E"/>
    <w:rPr>
      <w:sz w:val="20"/>
      <w:szCs w:val="20"/>
    </w:rPr>
  </w:style>
  <w:style w:type="character" w:customStyle="1" w:styleId="EndnoteTextChar">
    <w:name w:val="Endnote Text Char"/>
    <w:basedOn w:val="DefaultParagraphFont"/>
    <w:link w:val="EndnoteText"/>
    <w:uiPriority w:val="99"/>
    <w:semiHidden/>
    <w:rsid w:val="00386D1E"/>
    <w:rPr>
      <w:sz w:val="20"/>
      <w:szCs w:val="20"/>
    </w:rPr>
  </w:style>
  <w:style w:type="character" w:styleId="EndnoteReference">
    <w:name w:val="endnote reference"/>
    <w:basedOn w:val="DefaultParagraphFont"/>
    <w:uiPriority w:val="99"/>
    <w:semiHidden/>
    <w:unhideWhenUsed/>
    <w:rsid w:val="00386D1E"/>
    <w:rPr>
      <w:vertAlign w:val="superscript"/>
    </w:rPr>
  </w:style>
  <w:style w:type="character" w:styleId="PageNumber">
    <w:name w:val="page number"/>
    <w:basedOn w:val="DefaultParagraphFont"/>
    <w:uiPriority w:val="99"/>
    <w:rsid w:val="007206DA"/>
    <w:rPr>
      <w:rFonts w:cs="Times New Roman"/>
    </w:rPr>
  </w:style>
  <w:style w:type="character" w:customStyle="1" w:styleId="Heading1Char">
    <w:name w:val="Heading 1 Char"/>
    <w:basedOn w:val="DefaultParagraphFont"/>
    <w:link w:val="Heading1"/>
    <w:uiPriority w:val="9"/>
    <w:rsid w:val="008B2274"/>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rsid w:val="008B2274"/>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BD7D56"/>
    <w:rPr>
      <w:rFonts w:asciiTheme="majorHAnsi" w:eastAsiaTheme="majorEastAsia" w:hAnsiTheme="majorHAnsi" w:cstheme="majorBidi"/>
      <w:color w:val="365F91" w:themeColor="accent1" w:themeShade="BF"/>
      <w:sz w:val="26"/>
      <w:szCs w:val="26"/>
    </w:rPr>
  </w:style>
  <w:style w:type="table" w:styleId="LightGrid-Accent1">
    <w:name w:val="Light Grid Accent 1"/>
    <w:basedOn w:val="TableNormal"/>
    <w:uiPriority w:val="62"/>
    <w:rsid w:val="006B6284"/>
    <w:pPr>
      <w:spacing w:after="0" w:line="240" w:lineRule="auto"/>
    </w:pPr>
    <w:rPr>
      <w:rFonts w:ascii="Arial" w:hAnsi="Arial"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45071526">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288510777">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431782083">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83947713">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rriam-webster.com/dictionary/congru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2016-08-17T21:44:47+00:00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567A2-E930-48B6-A464-4C84DBF91468}"/>
</file>

<file path=customXml/itemProps2.xml><?xml version="1.0" encoding="utf-8"?>
<ds:datastoreItem xmlns:ds="http://schemas.openxmlformats.org/officeDocument/2006/customXml" ds:itemID="{C4C4BAC7-F6F8-4B9F-80EB-3299CA73ABEB}"/>
</file>

<file path=customXml/itemProps3.xml><?xml version="1.0" encoding="utf-8"?>
<ds:datastoreItem xmlns:ds="http://schemas.openxmlformats.org/officeDocument/2006/customXml" ds:itemID="{BAD8593C-FD15-4380-BE05-E69EA8A96256}"/>
</file>

<file path=customXml/itemProps4.xml><?xml version="1.0" encoding="utf-8"?>
<ds:datastoreItem xmlns:ds="http://schemas.openxmlformats.org/officeDocument/2006/customXml" ds:itemID="{0E52A536-D5C9-4DEB-8F01-F9A76DCB3E14}"/>
</file>

<file path=customXml/itemProps5.xml><?xml version="1.0" encoding="utf-8"?>
<ds:datastoreItem xmlns:ds="http://schemas.openxmlformats.org/officeDocument/2006/customXml" ds:itemID="{D5502C65-0AB9-4C05-8246-975EA6766391}"/>
</file>

<file path=docProps/app.xml><?xml version="1.0" encoding="utf-8"?>
<Properties xmlns="http://schemas.openxmlformats.org/officeDocument/2006/extended-properties" xmlns:vt="http://schemas.openxmlformats.org/officeDocument/2006/docPropsVTypes">
  <Template>Normal</Template>
  <TotalTime>4206</TotalTime>
  <Pages>24</Pages>
  <Words>4061</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Cheesman Testimony</vt:lpstr>
    </vt:vector>
  </TitlesOfParts>
  <Company>Washington Utilities and Transportation Commission</Company>
  <LinksUpToDate>false</LinksUpToDate>
  <CharactersWithSpaces>27159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Cheesman Testimony</dc:title>
  <dc:creator>Huang, Joanna (UTC)</dc:creator>
  <dc:description>Due 8/17 @ 3 PM</dc:description>
  <cp:lastModifiedBy>Andrew J. O'Connell</cp:lastModifiedBy>
  <cp:revision>675</cp:revision>
  <cp:lastPrinted>2016-08-17T17:06:00Z</cp:lastPrinted>
  <dcterms:created xsi:type="dcterms:W3CDTF">2016-07-25T15:58:00Z</dcterms:created>
  <dcterms:modified xsi:type="dcterms:W3CDTF">2016-08-17T20:00:00Z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