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5B0D78">
        <w:t>0</w:t>
      </w:r>
      <w:r w:rsidR="003B35EE">
        <w:t>4/</w:t>
      </w:r>
      <w:r w:rsidR="00376719">
        <w:t>16/2015</w:t>
      </w:r>
    </w:p>
    <w:p w:rsidR="00FD536A" w:rsidRDefault="00FD536A" w:rsidP="00F731E6">
      <w:pPr>
        <w:pStyle w:val="Heading1"/>
        <w:tabs>
          <w:tab w:val="clear" w:pos="4320"/>
          <w:tab w:val="left" w:pos="4770"/>
        </w:tabs>
      </w:pPr>
      <w:r>
        <w:t>CASE NO</w:t>
      </w:r>
      <w:r w:rsidR="00A92E80">
        <w:t>.</w:t>
      </w:r>
      <w:r>
        <w:t>:</w:t>
      </w:r>
      <w:r>
        <w:tab/>
      </w:r>
      <w:r w:rsidRPr="00941853">
        <w:t>U</w:t>
      </w:r>
      <w:r w:rsidR="00E64D12" w:rsidRPr="00941853">
        <w:t>E-</w:t>
      </w:r>
      <w:r w:rsidR="009727ED">
        <w:t>1</w:t>
      </w:r>
      <w:r w:rsidR="00C3641F">
        <w:t>5</w:t>
      </w:r>
      <w:r w:rsidR="005E7C5F">
        <w:t>0</w:t>
      </w:r>
      <w:r w:rsidR="00C3641F">
        <w:t>204</w:t>
      </w:r>
      <w:r w:rsidR="00E64D12" w:rsidRPr="00941853">
        <w:t xml:space="preserve"> &amp; </w:t>
      </w:r>
      <w:r w:rsidR="00C73FA6" w:rsidRPr="00941853">
        <w:t>UG-</w:t>
      </w:r>
      <w:r w:rsidR="00B76EAC">
        <w:t>1</w:t>
      </w:r>
      <w:r w:rsidR="00C3641F">
        <w:t>5</w:t>
      </w:r>
      <w:r w:rsidR="005E7C5F">
        <w:t>0</w:t>
      </w:r>
      <w:r w:rsidR="00C3641F">
        <w:t>205</w:t>
      </w:r>
      <w:r>
        <w:tab/>
        <w:t>WITNESS:</w:t>
      </w:r>
      <w:r>
        <w:tab/>
      </w:r>
      <w:r w:rsidR="00F731E6">
        <w:tab/>
      </w:r>
      <w:r w:rsidR="00F731E6">
        <w:tab/>
      </w:r>
      <w:r w:rsidR="00C72687">
        <w:t>Don Kopczynski</w:t>
      </w:r>
    </w:p>
    <w:p w:rsidR="001004DE" w:rsidRDefault="00C73FA6" w:rsidP="00F731E6">
      <w:pPr>
        <w:pStyle w:val="Heading1"/>
        <w:tabs>
          <w:tab w:val="clear" w:pos="4320"/>
          <w:tab w:val="left" w:pos="4770"/>
        </w:tabs>
      </w:pPr>
      <w:r>
        <w:t>REQUESTER:</w:t>
      </w:r>
      <w:r>
        <w:tab/>
      </w:r>
      <w:r w:rsidR="00A86444">
        <w:t xml:space="preserve">UTC Staff - </w:t>
      </w:r>
      <w:r w:rsidR="00C72687">
        <w:t>Nightingale</w:t>
      </w:r>
      <w:r w:rsidR="00FD536A">
        <w:tab/>
        <w:t>RESPONDER:</w:t>
      </w:r>
      <w:r w:rsidR="00FD536A">
        <w:tab/>
      </w:r>
      <w:r w:rsidR="00F731E6">
        <w:tab/>
      </w:r>
      <w:r w:rsidR="00F731E6">
        <w:tab/>
      </w:r>
      <w:r w:rsidR="003B35EE">
        <w:t>Larry La Bolle</w:t>
      </w:r>
    </w:p>
    <w:p w:rsidR="0038329F" w:rsidRDefault="00FD536A" w:rsidP="00F731E6">
      <w:pPr>
        <w:pStyle w:val="Heading1"/>
        <w:tabs>
          <w:tab w:val="clear" w:pos="4320"/>
          <w:tab w:val="left" w:pos="4770"/>
        </w:tabs>
      </w:pPr>
      <w:r>
        <w:t>TYPE:</w:t>
      </w:r>
      <w:r>
        <w:tab/>
        <w:t>Data Request</w:t>
      </w:r>
      <w:r>
        <w:tab/>
        <w:t>DEPT:</w:t>
      </w:r>
      <w:r>
        <w:tab/>
      </w:r>
      <w:r w:rsidR="00941853">
        <w:tab/>
      </w:r>
      <w:r w:rsidR="00941853">
        <w:tab/>
      </w:r>
      <w:r w:rsidR="001D4BE0">
        <w:t>State &amp; Federal Regulation</w:t>
      </w:r>
    </w:p>
    <w:p w:rsidR="00FD536A" w:rsidRDefault="001004DE" w:rsidP="00F731E6">
      <w:pPr>
        <w:pStyle w:val="Heading1"/>
        <w:tabs>
          <w:tab w:val="clear" w:pos="4320"/>
          <w:tab w:val="left" w:pos="4770"/>
        </w:tabs>
      </w:pPr>
      <w:r>
        <w:t>R</w:t>
      </w:r>
      <w:r w:rsidR="00FD536A">
        <w:t>EQUEST NO.</w:t>
      </w:r>
      <w:r w:rsidR="00FD536A" w:rsidRPr="008E3932">
        <w:t>:</w:t>
      </w:r>
      <w:r w:rsidR="008E3932" w:rsidRPr="008E3932">
        <w:tab/>
      </w:r>
      <w:r w:rsidR="00AB67D3">
        <w:t>Staff - 114</w:t>
      </w:r>
      <w:r w:rsidR="004A7704">
        <w:tab/>
      </w:r>
      <w:r w:rsidR="00FD536A">
        <w:t>TELEPHONE:</w:t>
      </w:r>
      <w:r w:rsidR="00FD536A">
        <w:tab/>
      </w:r>
      <w:r w:rsidR="00F731E6">
        <w:tab/>
      </w:r>
      <w:r w:rsidR="00F731E6">
        <w:tab/>
      </w:r>
      <w:r w:rsidR="00FD536A">
        <w:t>(509) 495</w:t>
      </w:r>
      <w:r w:rsidR="00FE3E7F">
        <w:t>-</w:t>
      </w:r>
      <w:r w:rsidR="003B35EE">
        <w:t>4710</w:t>
      </w:r>
    </w:p>
    <w:p w:rsidR="00FD536A" w:rsidRDefault="00AA791F" w:rsidP="00FE3E7F">
      <w:pPr>
        <w:tabs>
          <w:tab w:val="left" w:pos="1890"/>
          <w:tab w:val="left" w:pos="4770"/>
          <w:tab w:val="left" w:pos="6480"/>
        </w:tabs>
        <w:ind w:right="-216"/>
        <w:rPr>
          <w:sz w:val="24"/>
          <w:szCs w:val="24"/>
        </w:rPr>
      </w:pPr>
      <w:r>
        <w:rPr>
          <w:sz w:val="24"/>
          <w:szCs w:val="24"/>
        </w:rPr>
        <w:tab/>
      </w:r>
      <w:r>
        <w:rPr>
          <w:sz w:val="24"/>
          <w:szCs w:val="24"/>
        </w:rPr>
        <w:tab/>
        <w:t>EMAIL:</w:t>
      </w:r>
      <w:r>
        <w:rPr>
          <w:sz w:val="24"/>
          <w:szCs w:val="24"/>
        </w:rPr>
        <w:tab/>
      </w:r>
      <w:r w:rsidR="00941853">
        <w:rPr>
          <w:sz w:val="24"/>
          <w:szCs w:val="24"/>
        </w:rPr>
        <w:tab/>
      </w:r>
      <w:r w:rsidR="003B35EE">
        <w:rPr>
          <w:sz w:val="24"/>
          <w:szCs w:val="24"/>
        </w:rPr>
        <w:t>larry.labolle</w:t>
      </w:r>
      <w:r w:rsidR="001D4BE0">
        <w:rPr>
          <w:sz w:val="24"/>
          <w:szCs w:val="24"/>
        </w:rPr>
        <w:t>@avistacorp.com</w:t>
      </w:r>
    </w:p>
    <w:p w:rsidR="000E629D" w:rsidRDefault="000E629D">
      <w:pPr>
        <w:tabs>
          <w:tab w:val="left" w:pos="1890"/>
          <w:tab w:val="left" w:pos="4320"/>
          <w:tab w:val="left" w:pos="6480"/>
        </w:tabs>
        <w:rPr>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p>
    <w:p w:rsidR="006045D3" w:rsidRPr="00417AA4" w:rsidRDefault="006045D3" w:rsidP="000E629D">
      <w:pPr>
        <w:tabs>
          <w:tab w:val="left" w:pos="1890"/>
          <w:tab w:val="left" w:pos="4320"/>
          <w:tab w:val="left" w:pos="6480"/>
        </w:tabs>
        <w:jc w:val="both"/>
        <w:rPr>
          <w:b/>
          <w:sz w:val="24"/>
          <w:szCs w:val="24"/>
        </w:rPr>
      </w:pPr>
    </w:p>
    <w:p w:rsidR="00AB67D3" w:rsidRPr="00AB67D3" w:rsidRDefault="00AB67D3" w:rsidP="00AB67D3">
      <w:pPr>
        <w:rPr>
          <w:sz w:val="24"/>
        </w:rPr>
      </w:pPr>
      <w:r w:rsidRPr="00AB67D3">
        <w:rPr>
          <w:sz w:val="24"/>
        </w:rPr>
        <w:t>See page 16 - section III.K. Please provide the study demonstrating that the AMI project will result in a “potential benefit” of $1,053,322 associated with “identifying more … diversion cases.” Please include all assumptions, worksheets and any other material relied upon by the study to determine the above-referenced cost savings.</w:t>
      </w:r>
    </w:p>
    <w:p w:rsidR="005B0D78" w:rsidRDefault="005B0D78" w:rsidP="000E629D">
      <w:pPr>
        <w:tabs>
          <w:tab w:val="left" w:pos="1890"/>
          <w:tab w:val="left" w:pos="4320"/>
          <w:tab w:val="left" w:pos="6480"/>
        </w:tabs>
        <w:jc w:val="both"/>
        <w:rPr>
          <w:b/>
          <w:sz w:val="24"/>
          <w:szCs w:val="24"/>
        </w:rPr>
      </w:pPr>
    </w:p>
    <w:p w:rsidR="00883C3C" w:rsidRPr="00C72687" w:rsidRDefault="00883C3C" w:rsidP="000E629D">
      <w:pPr>
        <w:tabs>
          <w:tab w:val="left" w:pos="1890"/>
          <w:tab w:val="left" w:pos="4320"/>
          <w:tab w:val="left" w:pos="6480"/>
        </w:tabs>
        <w:jc w:val="both"/>
        <w:rPr>
          <w:b/>
          <w:sz w:val="24"/>
          <w:szCs w:val="24"/>
        </w:rPr>
      </w:pPr>
    </w:p>
    <w:p w:rsidR="00883C3C" w:rsidRDefault="00FD536A" w:rsidP="00AB67D3">
      <w:pPr>
        <w:pStyle w:val="NoSpacing"/>
        <w:rPr>
          <w:rFonts w:ascii="Times New Roman" w:hAnsi="Times New Roman" w:cs="Times New Roman"/>
          <w:b/>
          <w:sz w:val="24"/>
          <w:szCs w:val="24"/>
        </w:rPr>
      </w:pPr>
      <w:r w:rsidRPr="00AB67D3">
        <w:rPr>
          <w:rFonts w:ascii="Times New Roman" w:hAnsi="Times New Roman" w:cs="Times New Roman"/>
          <w:b/>
          <w:sz w:val="24"/>
          <w:szCs w:val="24"/>
        </w:rPr>
        <w:t>RESPONSE:</w:t>
      </w:r>
      <w:r w:rsidR="00AB67D3" w:rsidRPr="00AB67D3">
        <w:rPr>
          <w:rFonts w:ascii="Times New Roman" w:hAnsi="Times New Roman" w:cs="Times New Roman"/>
          <w:b/>
          <w:sz w:val="24"/>
          <w:szCs w:val="24"/>
        </w:rPr>
        <w:t xml:space="preserve">  </w:t>
      </w:r>
    </w:p>
    <w:p w:rsidR="00883C3C" w:rsidRDefault="00883C3C" w:rsidP="00AB67D3">
      <w:pPr>
        <w:pStyle w:val="NoSpacing"/>
        <w:rPr>
          <w:rFonts w:ascii="Times New Roman" w:hAnsi="Times New Roman" w:cs="Times New Roman"/>
          <w:b/>
          <w:sz w:val="24"/>
          <w:szCs w:val="24"/>
        </w:rPr>
      </w:pPr>
    </w:p>
    <w:p w:rsidR="00AB67D3" w:rsidRPr="00AB67D3" w:rsidRDefault="00AB67D3" w:rsidP="00AB67D3">
      <w:pPr>
        <w:pStyle w:val="NoSpacing"/>
        <w:rPr>
          <w:rFonts w:ascii="Times New Roman" w:hAnsi="Times New Roman" w:cs="Times New Roman"/>
          <w:sz w:val="24"/>
          <w:szCs w:val="24"/>
        </w:rPr>
      </w:pPr>
      <w:r w:rsidRPr="00AB67D3">
        <w:rPr>
          <w:rFonts w:ascii="Times New Roman" w:hAnsi="Times New Roman" w:cs="Times New Roman"/>
          <w:sz w:val="24"/>
          <w:szCs w:val="24"/>
        </w:rPr>
        <w:t>The work processes of curbing theft of energy service and reducing the incidence of unbilled usage is significantly enhanced by the availability of advanced metering systems and data. The four areas of focus are diversion of service (theft), unbilled usage, slow and failing meters, and stopped meters.  Each of these situations represents an opportunity to align metering with the actual energy consumption at the premise.</w:t>
      </w:r>
    </w:p>
    <w:p w:rsidR="00AB67D3" w:rsidRPr="00AB67D3" w:rsidRDefault="00AB67D3" w:rsidP="00AB67D3">
      <w:pPr>
        <w:pStyle w:val="NoSpacing"/>
        <w:rPr>
          <w:rFonts w:ascii="Times New Roman" w:hAnsi="Times New Roman" w:cs="Times New Roman"/>
          <w:sz w:val="24"/>
          <w:szCs w:val="24"/>
        </w:rPr>
      </w:pPr>
    </w:p>
    <w:p w:rsidR="00AB67D3" w:rsidRPr="00AB67D3" w:rsidRDefault="00AB67D3" w:rsidP="00AB67D3">
      <w:pPr>
        <w:pStyle w:val="NoSpacing"/>
        <w:rPr>
          <w:rFonts w:ascii="Times New Roman" w:hAnsi="Times New Roman" w:cs="Times New Roman"/>
          <w:b/>
          <w:sz w:val="24"/>
          <w:szCs w:val="24"/>
        </w:rPr>
      </w:pPr>
      <w:r>
        <w:rPr>
          <w:rFonts w:ascii="Times New Roman" w:hAnsi="Times New Roman" w:cs="Times New Roman"/>
          <w:b/>
          <w:sz w:val="24"/>
          <w:szCs w:val="24"/>
        </w:rPr>
        <w:t xml:space="preserve">Theft </w:t>
      </w:r>
      <w:r w:rsidRPr="00AB67D3">
        <w:rPr>
          <w:rFonts w:ascii="Times New Roman" w:hAnsi="Times New Roman" w:cs="Times New Roman"/>
          <w:b/>
          <w:sz w:val="24"/>
          <w:szCs w:val="24"/>
        </w:rPr>
        <w:t>Diversion</w:t>
      </w:r>
    </w:p>
    <w:p w:rsidR="00AB67D3" w:rsidRPr="00AB67D3" w:rsidRDefault="00AB67D3" w:rsidP="00AB67D3">
      <w:pPr>
        <w:pStyle w:val="NoSpacing"/>
        <w:rPr>
          <w:rFonts w:ascii="Times New Roman" w:hAnsi="Times New Roman" w:cs="Times New Roman"/>
          <w:b/>
          <w:sz w:val="24"/>
          <w:szCs w:val="24"/>
        </w:rPr>
      </w:pPr>
    </w:p>
    <w:p w:rsidR="00AB67D3" w:rsidRPr="00AB67D3" w:rsidRDefault="00AB67D3" w:rsidP="00AB67D3">
      <w:pPr>
        <w:pStyle w:val="NoSpacing"/>
        <w:rPr>
          <w:rFonts w:ascii="Times New Roman" w:hAnsi="Times New Roman" w:cs="Times New Roman"/>
          <w:sz w:val="24"/>
          <w:szCs w:val="24"/>
        </w:rPr>
      </w:pPr>
      <w:r w:rsidRPr="00AB67D3">
        <w:rPr>
          <w:rFonts w:ascii="Times New Roman" w:hAnsi="Times New Roman" w:cs="Times New Roman"/>
          <w:sz w:val="24"/>
          <w:szCs w:val="24"/>
        </w:rPr>
        <w:t>Diversion of service can include instances of complete diversion, partial diversion, and intermittent diversion.  A common trade reference on the significance of service diversion cites a range of revenue impact from 0.5% to 3.0%.  Several other articles support this range.  For purposes of this analysis, Avista started with a more conservative estimate of 0.4% of Washington revenues as the potential diversion occurring in our service area.  We then subtracted our documented level of diversion activity, 0.012% of revenue, for a remaining diversion potential of 0.388 %, or $2.24 million for both electric and gas.</w:t>
      </w:r>
    </w:p>
    <w:p w:rsidR="00AB67D3" w:rsidRPr="00AB67D3" w:rsidRDefault="00AB67D3" w:rsidP="00AB67D3">
      <w:pPr>
        <w:pStyle w:val="NoSpacing"/>
        <w:rPr>
          <w:rFonts w:ascii="Times New Roman" w:hAnsi="Times New Roman" w:cs="Times New Roman"/>
          <w:sz w:val="24"/>
          <w:szCs w:val="24"/>
        </w:rPr>
      </w:pPr>
    </w:p>
    <w:p w:rsidR="00AB67D3" w:rsidRDefault="00AB67D3" w:rsidP="00AB67D3">
      <w:pPr>
        <w:pStyle w:val="NoSpacing"/>
        <w:rPr>
          <w:rFonts w:ascii="Times New Roman" w:hAnsi="Times New Roman" w:cs="Times New Roman"/>
          <w:sz w:val="24"/>
          <w:szCs w:val="24"/>
        </w:rPr>
      </w:pPr>
      <w:r w:rsidRPr="00AB67D3">
        <w:rPr>
          <w:rFonts w:ascii="Times New Roman" w:hAnsi="Times New Roman" w:cs="Times New Roman"/>
          <w:sz w:val="24"/>
          <w:szCs w:val="24"/>
        </w:rPr>
        <w:t>Recognizing that there is a cost associated with investigating and resolving diversion cases, we estimated the cost associated with the initial field visit from Avista’s meter staff, billing analyst’s time to prepare a new bill, and a subsequent cost to perform additional investigation and resolution.  That cost was approximately $190 per investigation ($125 dispatch cost for service person + $58.13 service person time to service the meter + $9.75 for b</w:t>
      </w:r>
      <w:r w:rsidR="000440A0">
        <w:rPr>
          <w:rFonts w:ascii="Times New Roman" w:hAnsi="Times New Roman" w:cs="Times New Roman"/>
          <w:sz w:val="24"/>
          <w:szCs w:val="24"/>
        </w:rPr>
        <w:t>illing analyst’s time to rebill</w:t>
      </w:r>
      <w:r w:rsidRPr="00AB67D3">
        <w:rPr>
          <w:rFonts w:ascii="Times New Roman" w:hAnsi="Times New Roman" w:cs="Times New Roman"/>
          <w:sz w:val="24"/>
          <w:szCs w:val="24"/>
        </w:rPr>
        <w:t>).  Subtracting these investigation costs (1,387 potential cases X $190) reduces our estimated savings potential to approximately $2.1 million.  Finally, Avista assumed it would detect approximately half of these potential diversion cases, resulting in a potential for annual savings of $1.05 million in unbilled reve</w:t>
      </w:r>
      <w:r>
        <w:rPr>
          <w:rFonts w:ascii="Times New Roman" w:hAnsi="Times New Roman" w:cs="Times New Roman"/>
          <w:sz w:val="24"/>
          <w:szCs w:val="24"/>
        </w:rPr>
        <w:t>nue, or 0.18% of total revenue.</w:t>
      </w:r>
    </w:p>
    <w:p w:rsidR="00AB67D3" w:rsidRDefault="00AB67D3" w:rsidP="00AB67D3">
      <w:pPr>
        <w:pStyle w:val="NoSpacing"/>
        <w:rPr>
          <w:rFonts w:ascii="Times New Roman" w:hAnsi="Times New Roman" w:cs="Times New Roman"/>
          <w:sz w:val="24"/>
          <w:szCs w:val="24"/>
        </w:rPr>
      </w:pPr>
    </w:p>
    <w:p w:rsidR="00AB67D3" w:rsidRPr="00246652" w:rsidRDefault="00AB67D3" w:rsidP="00AB67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computation, </w:t>
      </w:r>
      <w:r w:rsidRPr="00246652">
        <w:rPr>
          <w:rFonts w:ascii="Times New Roman" w:hAnsi="Times New Roman" w:cs="Times New Roman"/>
          <w:sz w:val="24"/>
          <w:szCs w:val="24"/>
        </w:rPr>
        <w:t>determination</w:t>
      </w:r>
      <w:r>
        <w:rPr>
          <w:rFonts w:ascii="Times New Roman" w:hAnsi="Times New Roman" w:cs="Times New Roman"/>
          <w:sz w:val="24"/>
          <w:szCs w:val="24"/>
        </w:rPr>
        <w:t>, or source</w:t>
      </w:r>
      <w:r w:rsidRPr="00246652">
        <w:rPr>
          <w:rFonts w:ascii="Times New Roman" w:hAnsi="Times New Roman" w:cs="Times New Roman"/>
          <w:sz w:val="24"/>
          <w:szCs w:val="24"/>
        </w:rPr>
        <w:t xml:space="preserve"> of these values is provided </w:t>
      </w:r>
      <w:r>
        <w:rPr>
          <w:rFonts w:ascii="Times New Roman" w:hAnsi="Times New Roman" w:cs="Times New Roman"/>
          <w:sz w:val="24"/>
          <w:szCs w:val="24"/>
        </w:rPr>
        <w:t>in Excel format in Staff_DR_114</w:t>
      </w:r>
      <w:r w:rsidRPr="00246652">
        <w:rPr>
          <w:rFonts w:ascii="Times New Roman" w:hAnsi="Times New Roman" w:cs="Times New Roman"/>
          <w:sz w:val="24"/>
          <w:szCs w:val="24"/>
        </w:rPr>
        <w:t xml:space="preserve"> Attachment A, under the tab labeled “Benefits Meter </w:t>
      </w:r>
      <w:r>
        <w:rPr>
          <w:rFonts w:ascii="Times New Roman" w:hAnsi="Times New Roman" w:cs="Times New Roman"/>
          <w:sz w:val="24"/>
          <w:szCs w:val="24"/>
        </w:rPr>
        <w:t>Shop Rev Pro</w:t>
      </w:r>
      <w:r w:rsidRPr="00246652">
        <w:rPr>
          <w:rFonts w:ascii="Times New Roman" w:hAnsi="Times New Roman" w:cs="Times New Roman"/>
          <w:sz w:val="24"/>
          <w:szCs w:val="24"/>
        </w:rPr>
        <w:t xml:space="preserve">.” This worksheet contains the financial and other information used to calculate the benefit value, and the source of each element of information is also provided. Where values are calculated in the worksheet, the particular computation, as well as the location of the </w:t>
      </w:r>
      <w:r>
        <w:rPr>
          <w:rFonts w:ascii="Times New Roman" w:hAnsi="Times New Roman" w:cs="Times New Roman"/>
          <w:sz w:val="24"/>
          <w:szCs w:val="24"/>
        </w:rPr>
        <w:t>data</w:t>
      </w:r>
      <w:r w:rsidRPr="00246652">
        <w:rPr>
          <w:rFonts w:ascii="Times New Roman" w:hAnsi="Times New Roman" w:cs="Times New Roman"/>
          <w:sz w:val="24"/>
          <w:szCs w:val="24"/>
        </w:rPr>
        <w:t xml:space="preserve"> used, is provided by </w:t>
      </w:r>
      <w:r w:rsidR="003D0E9C">
        <w:rPr>
          <w:rFonts w:ascii="Times New Roman" w:hAnsi="Times New Roman" w:cs="Times New Roman"/>
          <w:sz w:val="24"/>
          <w:szCs w:val="24"/>
        </w:rPr>
        <w:t>“</w:t>
      </w:r>
      <w:r w:rsidRPr="00246652">
        <w:rPr>
          <w:rFonts w:ascii="Times New Roman" w:hAnsi="Times New Roman" w:cs="Times New Roman"/>
          <w:sz w:val="24"/>
          <w:szCs w:val="24"/>
        </w:rPr>
        <w:t>mouse clicking</w:t>
      </w:r>
      <w:r w:rsidR="003D0E9C">
        <w:rPr>
          <w:rFonts w:ascii="Times New Roman" w:hAnsi="Times New Roman" w:cs="Times New Roman"/>
          <w:sz w:val="24"/>
          <w:szCs w:val="24"/>
        </w:rPr>
        <w:t>” on the referenced cell.</w:t>
      </w:r>
    </w:p>
    <w:p w:rsidR="00AB67D3" w:rsidRPr="00AB67D3" w:rsidRDefault="00AB67D3" w:rsidP="00AB67D3">
      <w:pPr>
        <w:pStyle w:val="NoSpacing"/>
        <w:rPr>
          <w:rFonts w:ascii="Times New Roman" w:hAnsi="Times New Roman" w:cs="Times New Roman"/>
          <w:sz w:val="24"/>
          <w:szCs w:val="24"/>
        </w:rPr>
      </w:pPr>
    </w:p>
    <w:p w:rsidR="00637CFC" w:rsidRPr="00AB67D3" w:rsidRDefault="00637CFC" w:rsidP="000E629D">
      <w:pPr>
        <w:tabs>
          <w:tab w:val="left" w:pos="1890"/>
          <w:tab w:val="left" w:pos="4320"/>
          <w:tab w:val="left" w:pos="6480"/>
        </w:tabs>
        <w:jc w:val="both"/>
        <w:rPr>
          <w:b/>
          <w:sz w:val="24"/>
          <w:szCs w:val="24"/>
        </w:rPr>
      </w:pPr>
    </w:p>
    <w:p w:rsidR="000440A0" w:rsidRPr="002E484E" w:rsidRDefault="000440A0" w:rsidP="000440A0">
      <w:pPr>
        <w:pStyle w:val="Heading3"/>
        <w:jc w:val="left"/>
      </w:pPr>
      <w:r>
        <w:t>Sources Supporting Energy Theft and Unbilled Energy Usage</w:t>
      </w:r>
    </w:p>
    <w:p w:rsidR="000440A0" w:rsidRPr="002E484E" w:rsidRDefault="000440A0" w:rsidP="000440A0">
      <w:pPr>
        <w:pStyle w:val="NoSpacing"/>
        <w:jc w:val="both"/>
        <w:rPr>
          <w:rFonts w:asciiTheme="majorHAnsi" w:hAnsiTheme="majorHAnsi"/>
          <w:sz w:val="24"/>
          <w:szCs w:val="24"/>
        </w:rPr>
      </w:pPr>
    </w:p>
    <w:p w:rsidR="000440A0" w:rsidRPr="002E484E" w:rsidRDefault="000440A0" w:rsidP="000440A0">
      <w:pPr>
        <w:pStyle w:val="NoSpacing"/>
        <w:numPr>
          <w:ilvl w:val="0"/>
          <w:numId w:val="27"/>
        </w:numPr>
        <w:jc w:val="both"/>
        <w:rPr>
          <w:rStyle w:val="SubtleReference"/>
          <w:rFonts w:asciiTheme="majorHAnsi" w:hAnsiTheme="majorHAnsi"/>
          <w:color w:val="auto"/>
          <w:sz w:val="24"/>
          <w:szCs w:val="24"/>
        </w:rPr>
      </w:pPr>
      <w:r w:rsidRPr="002E484E">
        <w:rPr>
          <w:rStyle w:val="SubtleReference"/>
          <w:rFonts w:asciiTheme="majorHAnsi" w:hAnsiTheme="majorHAnsi"/>
          <w:color w:val="auto"/>
          <w:sz w:val="24"/>
          <w:szCs w:val="24"/>
        </w:rPr>
        <w:t xml:space="preserve"> Austin Energy : Noted that they had .5% with evidence of theft and or tampering (Conversation post AMI implementation in 2010)</w:t>
      </w:r>
    </w:p>
    <w:p w:rsidR="000440A0" w:rsidRPr="002E484E" w:rsidRDefault="000440A0" w:rsidP="000440A0">
      <w:pPr>
        <w:pStyle w:val="NoSpacing"/>
        <w:numPr>
          <w:ilvl w:val="0"/>
          <w:numId w:val="27"/>
        </w:numPr>
        <w:jc w:val="both"/>
        <w:rPr>
          <w:rStyle w:val="SubtleReference"/>
          <w:rFonts w:asciiTheme="majorHAnsi" w:hAnsiTheme="majorHAnsi"/>
          <w:color w:val="auto"/>
          <w:sz w:val="24"/>
          <w:szCs w:val="24"/>
        </w:rPr>
      </w:pPr>
      <w:r w:rsidRPr="002E484E">
        <w:rPr>
          <w:rStyle w:val="SubtleReference"/>
          <w:rFonts w:asciiTheme="majorHAnsi" w:hAnsiTheme="majorHAnsi"/>
          <w:color w:val="auto"/>
          <w:sz w:val="24"/>
          <w:szCs w:val="24"/>
        </w:rPr>
        <w:t>SMUD : .7% of revenue (Conversation with Augi - Mgr of corporate performance)</w:t>
      </w:r>
    </w:p>
    <w:p w:rsidR="000440A0" w:rsidRPr="002E484E" w:rsidRDefault="000440A0" w:rsidP="000440A0">
      <w:pPr>
        <w:pStyle w:val="NoSpacing"/>
        <w:numPr>
          <w:ilvl w:val="0"/>
          <w:numId w:val="27"/>
        </w:numPr>
        <w:jc w:val="both"/>
        <w:rPr>
          <w:rStyle w:val="SubtleReference"/>
          <w:rFonts w:asciiTheme="majorHAnsi" w:hAnsiTheme="majorHAnsi"/>
          <w:color w:val="auto"/>
          <w:sz w:val="24"/>
          <w:szCs w:val="24"/>
        </w:rPr>
      </w:pPr>
      <w:r w:rsidRPr="002E484E">
        <w:rPr>
          <w:rStyle w:val="SubtleReference"/>
          <w:rFonts w:asciiTheme="majorHAnsi" w:hAnsiTheme="majorHAnsi"/>
          <w:color w:val="auto"/>
          <w:sz w:val="24"/>
          <w:szCs w:val="24"/>
        </w:rPr>
        <w:t xml:space="preserve">ELP - Electric Light and Power Article : A national study found that .5 to 3 % showed evidence of theft.  </w:t>
      </w:r>
    </w:p>
    <w:p w:rsidR="000440A0" w:rsidRPr="002E484E" w:rsidRDefault="000440A0" w:rsidP="000440A0">
      <w:pPr>
        <w:pStyle w:val="NoSpacing"/>
        <w:numPr>
          <w:ilvl w:val="0"/>
          <w:numId w:val="27"/>
        </w:numPr>
        <w:jc w:val="both"/>
        <w:rPr>
          <w:rStyle w:val="SubtleReference"/>
          <w:rFonts w:asciiTheme="majorHAnsi" w:hAnsiTheme="majorHAnsi"/>
          <w:color w:val="auto"/>
          <w:sz w:val="24"/>
          <w:szCs w:val="24"/>
        </w:rPr>
      </w:pPr>
      <w:r w:rsidRPr="002E484E">
        <w:rPr>
          <w:rStyle w:val="SubtleReference"/>
          <w:rFonts w:asciiTheme="majorHAnsi" w:hAnsiTheme="majorHAnsi"/>
          <w:color w:val="auto"/>
          <w:sz w:val="24"/>
          <w:szCs w:val="24"/>
        </w:rPr>
        <w:t>APS : Sample study showed 1.7% of all meters had some tampering with an net .51% loss in revenue</w:t>
      </w:r>
    </w:p>
    <w:p w:rsidR="000440A0" w:rsidRPr="002E484E" w:rsidRDefault="000440A0" w:rsidP="000440A0">
      <w:pPr>
        <w:pStyle w:val="NoSpacing"/>
        <w:numPr>
          <w:ilvl w:val="0"/>
          <w:numId w:val="27"/>
        </w:numPr>
        <w:jc w:val="both"/>
        <w:rPr>
          <w:rStyle w:val="SubtleReference"/>
          <w:rFonts w:asciiTheme="majorHAnsi" w:hAnsiTheme="majorHAnsi"/>
          <w:color w:val="auto"/>
          <w:sz w:val="24"/>
          <w:szCs w:val="24"/>
        </w:rPr>
      </w:pPr>
      <w:r w:rsidRPr="002E484E">
        <w:rPr>
          <w:rStyle w:val="SubtleReference"/>
          <w:rFonts w:asciiTheme="majorHAnsi" w:hAnsiTheme="majorHAnsi"/>
          <w:color w:val="auto"/>
          <w:sz w:val="24"/>
          <w:szCs w:val="24"/>
        </w:rPr>
        <w:t>BC Hydro &amp; CenterPoint Energy: BC Hydro 3 % of revenue and CenterPoint 2% of Res and Small Customer</w:t>
      </w:r>
    </w:p>
    <w:p w:rsidR="000440A0" w:rsidRPr="002E484E" w:rsidRDefault="000440A0" w:rsidP="000440A0">
      <w:pPr>
        <w:pStyle w:val="NoSpacing"/>
        <w:numPr>
          <w:ilvl w:val="0"/>
          <w:numId w:val="27"/>
        </w:numPr>
        <w:jc w:val="both"/>
        <w:rPr>
          <w:rStyle w:val="SubtleReference"/>
          <w:rFonts w:asciiTheme="majorHAnsi" w:hAnsiTheme="majorHAnsi"/>
          <w:color w:val="auto"/>
          <w:sz w:val="24"/>
          <w:szCs w:val="24"/>
        </w:rPr>
      </w:pPr>
      <w:r w:rsidRPr="002E484E">
        <w:rPr>
          <w:rStyle w:val="SubtleReference"/>
          <w:rFonts w:asciiTheme="majorHAnsi" w:hAnsiTheme="majorHAnsi"/>
          <w:color w:val="auto"/>
          <w:sz w:val="24"/>
          <w:szCs w:val="24"/>
        </w:rPr>
        <w:t>DTE Energy : Between 1-3 %</w:t>
      </w:r>
    </w:p>
    <w:p w:rsidR="000440A0" w:rsidRPr="002E484E" w:rsidRDefault="000440A0" w:rsidP="000440A0">
      <w:pPr>
        <w:pStyle w:val="NoSpacing"/>
        <w:numPr>
          <w:ilvl w:val="0"/>
          <w:numId w:val="27"/>
        </w:numPr>
        <w:jc w:val="both"/>
        <w:rPr>
          <w:rStyle w:val="SubtleReference"/>
          <w:rFonts w:asciiTheme="majorHAnsi" w:hAnsiTheme="majorHAnsi"/>
          <w:color w:val="auto"/>
          <w:sz w:val="24"/>
          <w:szCs w:val="24"/>
        </w:rPr>
      </w:pPr>
      <w:r w:rsidRPr="002E484E">
        <w:rPr>
          <w:rStyle w:val="SubtleReference"/>
          <w:rFonts w:asciiTheme="majorHAnsi" w:hAnsiTheme="majorHAnsi"/>
          <w:color w:val="auto"/>
          <w:sz w:val="24"/>
          <w:szCs w:val="24"/>
        </w:rPr>
        <w:t xml:space="preserve">Seeing the Forest, Then the Trees  by By Michael Madrazo, founder and President of Detectent </w:t>
      </w:r>
    </w:p>
    <w:p w:rsidR="000440A0" w:rsidRPr="002E484E" w:rsidRDefault="000440A0" w:rsidP="000440A0">
      <w:pPr>
        <w:pStyle w:val="NoSpacing"/>
        <w:numPr>
          <w:ilvl w:val="0"/>
          <w:numId w:val="27"/>
        </w:numPr>
        <w:jc w:val="both"/>
        <w:rPr>
          <w:rStyle w:val="SubtleReference"/>
          <w:rFonts w:asciiTheme="majorHAnsi" w:hAnsiTheme="majorHAnsi"/>
          <w:color w:val="auto"/>
          <w:sz w:val="24"/>
          <w:szCs w:val="24"/>
        </w:rPr>
      </w:pPr>
      <w:r w:rsidRPr="002E484E">
        <w:rPr>
          <w:rStyle w:val="SubtleReference"/>
          <w:rFonts w:asciiTheme="majorHAnsi" w:hAnsiTheme="majorHAnsi"/>
          <w:color w:val="auto"/>
          <w:sz w:val="24"/>
          <w:szCs w:val="24"/>
        </w:rPr>
        <w:t>Accenture : Between 2-4 % with up to 80% being theft</w:t>
      </w:r>
    </w:p>
    <w:p w:rsidR="000440A0" w:rsidRPr="002E484E" w:rsidRDefault="000440A0" w:rsidP="000440A0">
      <w:pPr>
        <w:pStyle w:val="NoSpacing"/>
        <w:numPr>
          <w:ilvl w:val="0"/>
          <w:numId w:val="27"/>
        </w:numPr>
        <w:jc w:val="both"/>
        <w:rPr>
          <w:rStyle w:val="SubtleReference"/>
          <w:rFonts w:asciiTheme="majorHAnsi" w:hAnsiTheme="majorHAnsi"/>
          <w:color w:val="auto"/>
          <w:sz w:val="24"/>
          <w:szCs w:val="24"/>
        </w:rPr>
      </w:pPr>
      <w:r w:rsidRPr="002E484E">
        <w:rPr>
          <w:rStyle w:val="SubtleReference"/>
          <w:rFonts w:asciiTheme="majorHAnsi" w:hAnsiTheme="majorHAnsi"/>
          <w:color w:val="auto"/>
          <w:sz w:val="24"/>
          <w:szCs w:val="24"/>
        </w:rPr>
        <w:t>Detectant - Deputizing Data: Using AMI for Revenue Protection : Greater than 1% (from prior literature)</w:t>
      </w:r>
    </w:p>
    <w:p w:rsidR="000440A0" w:rsidRPr="002E484E" w:rsidRDefault="000440A0" w:rsidP="000440A0">
      <w:pPr>
        <w:pStyle w:val="NoSpacing"/>
        <w:numPr>
          <w:ilvl w:val="0"/>
          <w:numId w:val="27"/>
        </w:numPr>
        <w:jc w:val="both"/>
        <w:rPr>
          <w:rStyle w:val="SubtleReference"/>
          <w:rFonts w:asciiTheme="majorHAnsi" w:hAnsiTheme="majorHAnsi"/>
          <w:color w:val="auto"/>
          <w:sz w:val="24"/>
          <w:szCs w:val="24"/>
        </w:rPr>
      </w:pPr>
      <w:r w:rsidRPr="002E484E">
        <w:rPr>
          <w:rStyle w:val="SubtleReference"/>
          <w:rFonts w:asciiTheme="majorHAnsi" w:hAnsiTheme="majorHAnsi"/>
          <w:color w:val="auto"/>
          <w:sz w:val="24"/>
          <w:szCs w:val="24"/>
        </w:rPr>
        <w:t>Metering.com : ~1%</w:t>
      </w:r>
    </w:p>
    <w:p w:rsidR="000440A0" w:rsidRPr="002E484E" w:rsidRDefault="000440A0" w:rsidP="000440A0">
      <w:pPr>
        <w:pStyle w:val="NoSpacing"/>
        <w:numPr>
          <w:ilvl w:val="0"/>
          <w:numId w:val="27"/>
        </w:numPr>
        <w:jc w:val="both"/>
        <w:rPr>
          <w:rStyle w:val="SubtleReference"/>
          <w:rFonts w:asciiTheme="majorHAnsi" w:hAnsiTheme="majorHAnsi"/>
          <w:color w:val="auto"/>
          <w:sz w:val="24"/>
          <w:szCs w:val="24"/>
        </w:rPr>
      </w:pPr>
      <w:r w:rsidRPr="002E484E">
        <w:rPr>
          <w:rStyle w:val="SubtleReference"/>
          <w:rFonts w:asciiTheme="majorHAnsi" w:hAnsiTheme="majorHAnsi"/>
          <w:color w:val="auto"/>
          <w:sz w:val="24"/>
          <w:szCs w:val="24"/>
        </w:rPr>
        <w:t>Idaho Power : &lt; 1% -- Graesch Arnold, Mary [MGraeschArnold@idahopower.com] It tends to vary greatly based on local social acceptance and crime rate. Idaho is low on both counts.</w:t>
      </w:r>
    </w:p>
    <w:p w:rsidR="000440A0" w:rsidRPr="002E484E" w:rsidRDefault="000440A0" w:rsidP="000440A0">
      <w:pPr>
        <w:pStyle w:val="NoSpacing"/>
        <w:numPr>
          <w:ilvl w:val="0"/>
          <w:numId w:val="27"/>
        </w:numPr>
        <w:jc w:val="both"/>
        <w:rPr>
          <w:rStyle w:val="SubtleReference"/>
          <w:rFonts w:asciiTheme="majorHAnsi" w:hAnsiTheme="majorHAnsi"/>
          <w:color w:val="auto"/>
          <w:sz w:val="24"/>
          <w:szCs w:val="24"/>
        </w:rPr>
      </w:pPr>
      <w:r w:rsidRPr="002E484E">
        <w:rPr>
          <w:rStyle w:val="SubtleReference"/>
          <w:rFonts w:asciiTheme="majorHAnsi" w:hAnsiTheme="majorHAnsi"/>
          <w:color w:val="auto"/>
          <w:sz w:val="24"/>
          <w:szCs w:val="24"/>
        </w:rPr>
        <w:t>MeteringAmerica.com : ~1% - ROI on investigation is 4:1</w:t>
      </w:r>
    </w:p>
    <w:p w:rsidR="000440A0" w:rsidRPr="002E484E" w:rsidRDefault="000440A0" w:rsidP="000440A0">
      <w:pPr>
        <w:pStyle w:val="NoSpacing"/>
        <w:numPr>
          <w:ilvl w:val="0"/>
          <w:numId w:val="27"/>
        </w:numPr>
        <w:jc w:val="both"/>
        <w:rPr>
          <w:rStyle w:val="SubtleReference"/>
          <w:rFonts w:asciiTheme="majorHAnsi" w:hAnsiTheme="majorHAnsi"/>
          <w:color w:val="auto"/>
          <w:sz w:val="24"/>
          <w:szCs w:val="24"/>
        </w:rPr>
      </w:pPr>
      <w:r w:rsidRPr="002E484E">
        <w:rPr>
          <w:rStyle w:val="SubtleReference"/>
          <w:rFonts w:asciiTheme="majorHAnsi" w:hAnsiTheme="majorHAnsi"/>
          <w:color w:val="auto"/>
          <w:sz w:val="24"/>
          <w:szCs w:val="24"/>
        </w:rPr>
        <w:t>SAP : &gt;1%</w:t>
      </w:r>
    </w:p>
    <w:p w:rsidR="000440A0" w:rsidRPr="002E484E" w:rsidRDefault="000440A0" w:rsidP="000440A0">
      <w:pPr>
        <w:pStyle w:val="NoSpacing"/>
        <w:numPr>
          <w:ilvl w:val="0"/>
          <w:numId w:val="27"/>
        </w:numPr>
        <w:jc w:val="both"/>
        <w:rPr>
          <w:rStyle w:val="SubtleReference"/>
          <w:rFonts w:asciiTheme="majorHAnsi" w:hAnsiTheme="majorHAnsi"/>
          <w:color w:val="auto"/>
          <w:sz w:val="24"/>
          <w:szCs w:val="24"/>
        </w:rPr>
      </w:pPr>
      <w:r w:rsidRPr="002E484E">
        <w:rPr>
          <w:rStyle w:val="SubtleReference"/>
          <w:rFonts w:asciiTheme="majorHAnsi" w:hAnsiTheme="majorHAnsi"/>
          <w:color w:val="auto"/>
          <w:sz w:val="24"/>
          <w:szCs w:val="24"/>
        </w:rPr>
        <w:t>SDG&amp;E : 1-2%</w:t>
      </w:r>
    </w:p>
    <w:p w:rsidR="000440A0" w:rsidRPr="002E484E" w:rsidRDefault="000440A0" w:rsidP="000440A0">
      <w:pPr>
        <w:pStyle w:val="NoSpacing"/>
        <w:numPr>
          <w:ilvl w:val="0"/>
          <w:numId w:val="27"/>
        </w:numPr>
        <w:jc w:val="both"/>
        <w:rPr>
          <w:rStyle w:val="SubtleReference"/>
          <w:rFonts w:asciiTheme="majorHAnsi" w:hAnsiTheme="majorHAnsi"/>
          <w:color w:val="auto"/>
          <w:sz w:val="24"/>
          <w:szCs w:val="24"/>
        </w:rPr>
      </w:pPr>
      <w:r w:rsidRPr="002E484E">
        <w:rPr>
          <w:rStyle w:val="SubtleReference"/>
          <w:rFonts w:asciiTheme="majorHAnsi" w:hAnsiTheme="majorHAnsi"/>
          <w:color w:val="auto"/>
          <w:sz w:val="24"/>
          <w:szCs w:val="24"/>
        </w:rPr>
        <w:t>CP&amp;L : 0.40%</w:t>
      </w:r>
    </w:p>
    <w:p w:rsidR="000440A0" w:rsidRPr="002E484E" w:rsidRDefault="000440A0" w:rsidP="000440A0">
      <w:pPr>
        <w:pStyle w:val="NoSpacing"/>
        <w:numPr>
          <w:ilvl w:val="0"/>
          <w:numId w:val="27"/>
        </w:numPr>
        <w:jc w:val="both"/>
        <w:rPr>
          <w:rStyle w:val="SubtleReference"/>
          <w:rFonts w:asciiTheme="majorHAnsi" w:hAnsiTheme="majorHAnsi"/>
          <w:color w:val="auto"/>
          <w:sz w:val="24"/>
          <w:szCs w:val="24"/>
        </w:rPr>
      </w:pPr>
      <w:r w:rsidRPr="002E484E">
        <w:rPr>
          <w:rStyle w:val="SubtleReference"/>
          <w:rFonts w:asciiTheme="majorHAnsi" w:hAnsiTheme="majorHAnsi"/>
          <w:color w:val="auto"/>
          <w:sz w:val="24"/>
          <w:szCs w:val="24"/>
        </w:rPr>
        <w:t>Portland General : 0.10%</w:t>
      </w:r>
    </w:p>
    <w:p w:rsidR="000440A0" w:rsidRPr="002E484E" w:rsidRDefault="000440A0" w:rsidP="000440A0">
      <w:pPr>
        <w:pStyle w:val="NoSpacing"/>
        <w:numPr>
          <w:ilvl w:val="0"/>
          <w:numId w:val="27"/>
        </w:numPr>
        <w:jc w:val="both"/>
        <w:rPr>
          <w:rStyle w:val="SubtleReference"/>
          <w:rFonts w:asciiTheme="majorHAnsi" w:hAnsiTheme="majorHAnsi"/>
          <w:color w:val="auto"/>
          <w:sz w:val="24"/>
          <w:szCs w:val="24"/>
        </w:rPr>
      </w:pPr>
      <w:r w:rsidRPr="002E484E">
        <w:rPr>
          <w:rStyle w:val="SubtleReference"/>
          <w:rFonts w:asciiTheme="majorHAnsi" w:hAnsiTheme="majorHAnsi"/>
          <w:color w:val="auto"/>
          <w:sz w:val="24"/>
          <w:szCs w:val="24"/>
        </w:rPr>
        <w:t>UAI : Recent article - comments that Rev Pro is the default first analytics initiative</w:t>
      </w:r>
    </w:p>
    <w:p w:rsidR="000440A0" w:rsidRPr="002E484E" w:rsidRDefault="000440A0" w:rsidP="000440A0">
      <w:pPr>
        <w:pStyle w:val="NoSpacing"/>
        <w:numPr>
          <w:ilvl w:val="0"/>
          <w:numId w:val="27"/>
        </w:numPr>
        <w:jc w:val="both"/>
        <w:rPr>
          <w:rStyle w:val="SubtleReference"/>
          <w:rFonts w:asciiTheme="majorHAnsi" w:hAnsiTheme="majorHAnsi"/>
          <w:color w:val="auto"/>
          <w:sz w:val="24"/>
          <w:szCs w:val="24"/>
        </w:rPr>
      </w:pPr>
      <w:r w:rsidRPr="002E484E">
        <w:rPr>
          <w:rStyle w:val="SubtleReference"/>
          <w:rFonts w:asciiTheme="majorHAnsi" w:hAnsiTheme="majorHAnsi"/>
          <w:color w:val="auto"/>
          <w:sz w:val="24"/>
          <w:szCs w:val="24"/>
        </w:rPr>
        <w:t>http://sites.energetics.com/MADRI/toolbox/pdfs/background/king.pdf</w:t>
      </w:r>
    </w:p>
    <w:p w:rsidR="00417AA4" w:rsidRPr="00883C3C" w:rsidRDefault="00417AA4" w:rsidP="000E629D">
      <w:pPr>
        <w:tabs>
          <w:tab w:val="left" w:pos="1890"/>
          <w:tab w:val="left" w:pos="4320"/>
          <w:tab w:val="left" w:pos="6480"/>
        </w:tabs>
        <w:jc w:val="both"/>
        <w:rPr>
          <w:sz w:val="24"/>
          <w:szCs w:val="24"/>
        </w:rPr>
      </w:pPr>
    </w:p>
    <w:sectPr w:rsidR="00417AA4" w:rsidRPr="00883C3C" w:rsidSect="00941853">
      <w:headerReference w:type="default" r:id="rId7"/>
      <w:footerReference w:type="default" r:id="rId8"/>
      <w:footerReference w:type="first" r:id="rId9"/>
      <w:pgSz w:w="12240" w:h="15840" w:code="1"/>
      <w:pgMar w:top="720"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ECB" w:rsidRDefault="003C5ECB">
      <w:r>
        <w:separator/>
      </w:r>
    </w:p>
  </w:endnote>
  <w:endnote w:type="continuationSeparator" w:id="0">
    <w:p w:rsidR="003C5ECB" w:rsidRDefault="003C5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4F" w:rsidRDefault="00DA234F" w:rsidP="00056C64">
    <w:pPr>
      <w:pStyle w:val="Footer"/>
      <w:jc w:val="center"/>
    </w:pPr>
    <w:r>
      <w:t xml:space="preserve">Page </w:t>
    </w:r>
    <w:r w:rsidR="007A6B0A">
      <w:rPr>
        <w:rStyle w:val="PageNumber"/>
      </w:rPr>
      <w:fldChar w:fldCharType="begin"/>
    </w:r>
    <w:r>
      <w:rPr>
        <w:rStyle w:val="PageNumber"/>
      </w:rPr>
      <w:instrText xml:space="preserve"> PAGE </w:instrText>
    </w:r>
    <w:r w:rsidR="007A6B0A">
      <w:rPr>
        <w:rStyle w:val="PageNumber"/>
      </w:rPr>
      <w:fldChar w:fldCharType="separate"/>
    </w:r>
    <w:r w:rsidR="00B10212">
      <w:rPr>
        <w:rStyle w:val="PageNumber"/>
        <w:noProof/>
      </w:rPr>
      <w:t>1</w:t>
    </w:r>
    <w:r w:rsidR="007A6B0A">
      <w:rPr>
        <w:rStyle w:val="PageNumber"/>
      </w:rPr>
      <w:fldChar w:fldCharType="end"/>
    </w:r>
    <w:r>
      <w:rPr>
        <w:rStyle w:val="PageNumber"/>
      </w:rPr>
      <w:t xml:space="preserve"> of </w:t>
    </w:r>
    <w:r w:rsidR="007A6B0A">
      <w:rPr>
        <w:rStyle w:val="PageNumber"/>
      </w:rPr>
      <w:fldChar w:fldCharType="begin"/>
    </w:r>
    <w:r>
      <w:rPr>
        <w:rStyle w:val="PageNumber"/>
      </w:rPr>
      <w:instrText xml:space="preserve"> NUMPAGES </w:instrText>
    </w:r>
    <w:r w:rsidR="007A6B0A">
      <w:rPr>
        <w:rStyle w:val="PageNumber"/>
      </w:rPr>
      <w:fldChar w:fldCharType="separate"/>
    </w:r>
    <w:r w:rsidR="00B10212">
      <w:rPr>
        <w:rStyle w:val="PageNumber"/>
        <w:noProof/>
      </w:rPr>
      <w:t>2</w:t>
    </w:r>
    <w:r w:rsidR="007A6B0A">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4F" w:rsidRDefault="00DA234F" w:rsidP="00E64D12">
    <w:pPr>
      <w:pStyle w:val="Footer"/>
      <w:jc w:val="center"/>
    </w:pPr>
    <w:r>
      <w:t xml:space="preserve">Page </w:t>
    </w:r>
    <w:r w:rsidR="007A6B0A">
      <w:rPr>
        <w:rStyle w:val="PageNumber"/>
      </w:rPr>
      <w:fldChar w:fldCharType="begin"/>
    </w:r>
    <w:r>
      <w:rPr>
        <w:rStyle w:val="PageNumber"/>
      </w:rPr>
      <w:instrText xml:space="preserve"> PAGE </w:instrText>
    </w:r>
    <w:r w:rsidR="007A6B0A">
      <w:rPr>
        <w:rStyle w:val="PageNumber"/>
      </w:rPr>
      <w:fldChar w:fldCharType="separate"/>
    </w:r>
    <w:r>
      <w:rPr>
        <w:rStyle w:val="PageNumber"/>
        <w:noProof/>
      </w:rPr>
      <w:t>1</w:t>
    </w:r>
    <w:r w:rsidR="007A6B0A">
      <w:rPr>
        <w:rStyle w:val="PageNumber"/>
      </w:rPr>
      <w:fldChar w:fldCharType="end"/>
    </w:r>
    <w:r>
      <w:rPr>
        <w:rStyle w:val="PageNumber"/>
      </w:rPr>
      <w:t xml:space="preserve"> of </w:t>
    </w:r>
    <w:r w:rsidR="007A6B0A">
      <w:rPr>
        <w:rStyle w:val="PageNumber"/>
      </w:rPr>
      <w:fldChar w:fldCharType="begin"/>
    </w:r>
    <w:r>
      <w:rPr>
        <w:rStyle w:val="PageNumber"/>
      </w:rPr>
      <w:instrText xml:space="preserve"> NUMPAGES </w:instrText>
    </w:r>
    <w:r w:rsidR="007A6B0A">
      <w:rPr>
        <w:rStyle w:val="PageNumber"/>
      </w:rPr>
      <w:fldChar w:fldCharType="separate"/>
    </w:r>
    <w:r w:rsidR="00B10212">
      <w:rPr>
        <w:rStyle w:val="PageNumber"/>
        <w:noProof/>
      </w:rPr>
      <w:t>2</w:t>
    </w:r>
    <w:r w:rsidR="007A6B0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ECB" w:rsidRDefault="003C5ECB">
      <w:r>
        <w:separator/>
      </w:r>
    </w:p>
  </w:footnote>
  <w:footnote w:type="continuationSeparator" w:id="0">
    <w:p w:rsidR="003C5ECB" w:rsidRDefault="003C5E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4F" w:rsidRDefault="00DA234F">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3983"/>
    <w:multiLevelType w:val="hybridMultilevel"/>
    <w:tmpl w:val="173CBE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3">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5">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6">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8">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1">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3">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4">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5">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6">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7">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8">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9">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2">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3">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5">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6">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6"/>
  </w:num>
  <w:num w:numId="2">
    <w:abstractNumId w:val="18"/>
  </w:num>
  <w:num w:numId="3">
    <w:abstractNumId w:val="12"/>
  </w:num>
  <w:num w:numId="4">
    <w:abstractNumId w:val="1"/>
  </w:num>
  <w:num w:numId="5">
    <w:abstractNumId w:val="25"/>
  </w:num>
  <w:num w:numId="6">
    <w:abstractNumId w:val="22"/>
  </w:num>
  <w:num w:numId="7">
    <w:abstractNumId w:val="8"/>
  </w:num>
  <w:num w:numId="8">
    <w:abstractNumId w:val="24"/>
  </w:num>
  <w:num w:numId="9">
    <w:abstractNumId w:val="4"/>
  </w:num>
  <w:num w:numId="10">
    <w:abstractNumId w:val="17"/>
  </w:num>
  <w:num w:numId="11">
    <w:abstractNumId w:val="3"/>
  </w:num>
  <w:num w:numId="12">
    <w:abstractNumId w:val="9"/>
  </w:num>
  <w:num w:numId="13">
    <w:abstractNumId w:val="26"/>
  </w:num>
  <w:num w:numId="14">
    <w:abstractNumId w:val="5"/>
  </w:num>
  <w:num w:numId="15">
    <w:abstractNumId w:val="6"/>
  </w:num>
  <w:num w:numId="16">
    <w:abstractNumId w:val="7"/>
  </w:num>
  <w:num w:numId="17">
    <w:abstractNumId w:val="15"/>
  </w:num>
  <w:num w:numId="18">
    <w:abstractNumId w:val="21"/>
  </w:num>
  <w:num w:numId="19">
    <w:abstractNumId w:val="10"/>
  </w:num>
  <w:num w:numId="20">
    <w:abstractNumId w:val="13"/>
  </w:num>
  <w:num w:numId="21">
    <w:abstractNumId w:val="2"/>
  </w:num>
  <w:num w:numId="22">
    <w:abstractNumId w:val="19"/>
  </w:num>
  <w:num w:numId="23">
    <w:abstractNumId w:val="14"/>
  </w:num>
  <w:num w:numId="24">
    <w:abstractNumId w:val="11"/>
  </w:num>
  <w:num w:numId="25">
    <w:abstractNumId w:val="23"/>
  </w:num>
  <w:num w:numId="26">
    <w:abstractNumId w:val="20"/>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D6FAC"/>
    <w:rsid w:val="0001142D"/>
    <w:rsid w:val="000121D0"/>
    <w:rsid w:val="000177E6"/>
    <w:rsid w:val="00023B8E"/>
    <w:rsid w:val="000440A0"/>
    <w:rsid w:val="00056C64"/>
    <w:rsid w:val="00081D52"/>
    <w:rsid w:val="000E629D"/>
    <w:rsid w:val="001004DE"/>
    <w:rsid w:val="0011273E"/>
    <w:rsid w:val="0012408C"/>
    <w:rsid w:val="00147CD2"/>
    <w:rsid w:val="00153C42"/>
    <w:rsid w:val="00177390"/>
    <w:rsid w:val="00182B0B"/>
    <w:rsid w:val="00186A26"/>
    <w:rsid w:val="001A367B"/>
    <w:rsid w:val="001B03C0"/>
    <w:rsid w:val="001D4BE0"/>
    <w:rsid w:val="001E06F3"/>
    <w:rsid w:val="001E07A6"/>
    <w:rsid w:val="001F2C4B"/>
    <w:rsid w:val="001F6472"/>
    <w:rsid w:val="002146D9"/>
    <w:rsid w:val="00236EDE"/>
    <w:rsid w:val="002677D5"/>
    <w:rsid w:val="00285078"/>
    <w:rsid w:val="002B16E6"/>
    <w:rsid w:val="002D4804"/>
    <w:rsid w:val="002E674E"/>
    <w:rsid w:val="003348C4"/>
    <w:rsid w:val="00375C8C"/>
    <w:rsid w:val="00376719"/>
    <w:rsid w:val="0038329F"/>
    <w:rsid w:val="00383DD3"/>
    <w:rsid w:val="003B35EE"/>
    <w:rsid w:val="003B4E20"/>
    <w:rsid w:val="003C0AED"/>
    <w:rsid w:val="003C1D9A"/>
    <w:rsid w:val="003C5ECB"/>
    <w:rsid w:val="003D0E9C"/>
    <w:rsid w:val="003E487F"/>
    <w:rsid w:val="003E50F1"/>
    <w:rsid w:val="00417AA4"/>
    <w:rsid w:val="00422CC4"/>
    <w:rsid w:val="004424F8"/>
    <w:rsid w:val="00446369"/>
    <w:rsid w:val="004A7704"/>
    <w:rsid w:val="004C08CE"/>
    <w:rsid w:val="004C436E"/>
    <w:rsid w:val="004F03CE"/>
    <w:rsid w:val="004F0E06"/>
    <w:rsid w:val="004F7DA8"/>
    <w:rsid w:val="00500F1F"/>
    <w:rsid w:val="005048A8"/>
    <w:rsid w:val="005050C4"/>
    <w:rsid w:val="0055045F"/>
    <w:rsid w:val="005906BD"/>
    <w:rsid w:val="00591481"/>
    <w:rsid w:val="005A2255"/>
    <w:rsid w:val="005A49F0"/>
    <w:rsid w:val="005B0D78"/>
    <w:rsid w:val="005C0BD8"/>
    <w:rsid w:val="005C1EDF"/>
    <w:rsid w:val="005D72D7"/>
    <w:rsid w:val="005E7C5F"/>
    <w:rsid w:val="006045D3"/>
    <w:rsid w:val="00633F9B"/>
    <w:rsid w:val="00637CFC"/>
    <w:rsid w:val="00663AE9"/>
    <w:rsid w:val="00684ADD"/>
    <w:rsid w:val="006A6327"/>
    <w:rsid w:val="00741CF2"/>
    <w:rsid w:val="00744E06"/>
    <w:rsid w:val="00753FE9"/>
    <w:rsid w:val="00754422"/>
    <w:rsid w:val="00793045"/>
    <w:rsid w:val="007A30D4"/>
    <w:rsid w:val="007A6B0A"/>
    <w:rsid w:val="007B5EE6"/>
    <w:rsid w:val="007E3A66"/>
    <w:rsid w:val="008022DE"/>
    <w:rsid w:val="008074FC"/>
    <w:rsid w:val="00883C3C"/>
    <w:rsid w:val="00893D6F"/>
    <w:rsid w:val="008D1DFC"/>
    <w:rsid w:val="008E3932"/>
    <w:rsid w:val="009052D2"/>
    <w:rsid w:val="009257B1"/>
    <w:rsid w:val="00941853"/>
    <w:rsid w:val="00957712"/>
    <w:rsid w:val="009727ED"/>
    <w:rsid w:val="009D7503"/>
    <w:rsid w:val="00A0351B"/>
    <w:rsid w:val="00A825B8"/>
    <w:rsid w:val="00A82D5A"/>
    <w:rsid w:val="00A86444"/>
    <w:rsid w:val="00A92E80"/>
    <w:rsid w:val="00A96A19"/>
    <w:rsid w:val="00AA791F"/>
    <w:rsid w:val="00AB5D5A"/>
    <w:rsid w:val="00AB67D3"/>
    <w:rsid w:val="00AE55A9"/>
    <w:rsid w:val="00B10212"/>
    <w:rsid w:val="00B25021"/>
    <w:rsid w:val="00B41482"/>
    <w:rsid w:val="00B72352"/>
    <w:rsid w:val="00B76EAC"/>
    <w:rsid w:val="00BB73DC"/>
    <w:rsid w:val="00BD5789"/>
    <w:rsid w:val="00C040A5"/>
    <w:rsid w:val="00C3641F"/>
    <w:rsid w:val="00C41F75"/>
    <w:rsid w:val="00C72687"/>
    <w:rsid w:val="00C73FA6"/>
    <w:rsid w:val="00C83E18"/>
    <w:rsid w:val="00CA15F9"/>
    <w:rsid w:val="00CC4B04"/>
    <w:rsid w:val="00CD4D4E"/>
    <w:rsid w:val="00D04046"/>
    <w:rsid w:val="00D10588"/>
    <w:rsid w:val="00D323DF"/>
    <w:rsid w:val="00D376F6"/>
    <w:rsid w:val="00D40664"/>
    <w:rsid w:val="00D41724"/>
    <w:rsid w:val="00D52240"/>
    <w:rsid w:val="00D57FC2"/>
    <w:rsid w:val="00D75120"/>
    <w:rsid w:val="00D77A4E"/>
    <w:rsid w:val="00D82930"/>
    <w:rsid w:val="00DA234F"/>
    <w:rsid w:val="00DB4781"/>
    <w:rsid w:val="00DE5D38"/>
    <w:rsid w:val="00E404F2"/>
    <w:rsid w:val="00E43DB3"/>
    <w:rsid w:val="00E64D12"/>
    <w:rsid w:val="00E84C7F"/>
    <w:rsid w:val="00E94E42"/>
    <w:rsid w:val="00EA2239"/>
    <w:rsid w:val="00EC527F"/>
    <w:rsid w:val="00ED1DE2"/>
    <w:rsid w:val="00ED6C6D"/>
    <w:rsid w:val="00EE30BA"/>
    <w:rsid w:val="00F06D34"/>
    <w:rsid w:val="00F268AE"/>
    <w:rsid w:val="00F45461"/>
    <w:rsid w:val="00F514A7"/>
    <w:rsid w:val="00F731E6"/>
    <w:rsid w:val="00F87AEC"/>
    <w:rsid w:val="00FA4AFD"/>
    <w:rsid w:val="00FC099B"/>
    <w:rsid w:val="00FC1828"/>
    <w:rsid w:val="00FD0578"/>
    <w:rsid w:val="00FD159D"/>
    <w:rsid w:val="00FD536A"/>
    <w:rsid w:val="00FD6FAC"/>
    <w:rsid w:val="00FE3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C42"/>
    <w:pPr>
      <w:autoSpaceDE w:val="0"/>
      <w:autoSpaceDN w:val="0"/>
    </w:pPr>
  </w:style>
  <w:style w:type="paragraph" w:styleId="Heading1">
    <w:name w:val="heading 1"/>
    <w:basedOn w:val="Normal"/>
    <w:next w:val="Normal"/>
    <w:qFormat/>
    <w:rsid w:val="00153C42"/>
    <w:pPr>
      <w:keepNext/>
      <w:tabs>
        <w:tab w:val="left" w:pos="1890"/>
        <w:tab w:val="left" w:pos="4320"/>
        <w:tab w:val="left" w:pos="6390"/>
      </w:tabs>
      <w:outlineLvl w:val="0"/>
    </w:pPr>
    <w:rPr>
      <w:sz w:val="24"/>
      <w:szCs w:val="24"/>
    </w:rPr>
  </w:style>
  <w:style w:type="paragraph" w:styleId="Heading2">
    <w:name w:val="heading 2"/>
    <w:basedOn w:val="Normal"/>
    <w:next w:val="Normal"/>
    <w:qFormat/>
    <w:rsid w:val="00153C42"/>
    <w:pPr>
      <w:keepNext/>
      <w:ind w:right="540"/>
      <w:jc w:val="center"/>
      <w:outlineLvl w:val="1"/>
    </w:pPr>
    <w:rPr>
      <w:b/>
      <w:bCs/>
      <w:sz w:val="24"/>
      <w:szCs w:val="24"/>
    </w:rPr>
  </w:style>
  <w:style w:type="paragraph" w:styleId="Heading3">
    <w:name w:val="heading 3"/>
    <w:basedOn w:val="Normal"/>
    <w:next w:val="Normal"/>
    <w:link w:val="Heading3Char"/>
    <w:qFormat/>
    <w:rsid w:val="00153C42"/>
    <w:pPr>
      <w:keepNext/>
      <w:ind w:right="180"/>
      <w:jc w:val="center"/>
      <w:outlineLvl w:val="2"/>
    </w:pPr>
    <w:rPr>
      <w:b/>
      <w:bCs/>
      <w:sz w:val="24"/>
      <w:szCs w:val="24"/>
    </w:rPr>
  </w:style>
  <w:style w:type="paragraph" w:styleId="Heading4">
    <w:name w:val="heading 4"/>
    <w:basedOn w:val="Normal"/>
    <w:next w:val="Normal"/>
    <w:qFormat/>
    <w:rsid w:val="00153C42"/>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3C42"/>
    <w:pPr>
      <w:tabs>
        <w:tab w:val="center" w:pos="4320"/>
        <w:tab w:val="right" w:pos="8640"/>
      </w:tabs>
    </w:pPr>
  </w:style>
  <w:style w:type="paragraph" w:styleId="Footer">
    <w:name w:val="footer"/>
    <w:basedOn w:val="Normal"/>
    <w:rsid w:val="00153C42"/>
    <w:pPr>
      <w:tabs>
        <w:tab w:val="center" w:pos="4320"/>
        <w:tab w:val="right" w:pos="8640"/>
      </w:tabs>
    </w:pPr>
  </w:style>
  <w:style w:type="character" w:styleId="PageNumber">
    <w:name w:val="page number"/>
    <w:basedOn w:val="DefaultParagraphFont"/>
    <w:rsid w:val="00153C42"/>
    <w:rPr>
      <w:rFonts w:cs="Times New Roman"/>
    </w:rPr>
  </w:style>
  <w:style w:type="paragraph" w:styleId="PlainText">
    <w:name w:val="Plain Text"/>
    <w:basedOn w:val="Normal"/>
    <w:rsid w:val="00153C42"/>
    <w:rPr>
      <w:rFonts w:ascii="Courier New" w:hAnsi="Courier New" w:cs="Courier New"/>
    </w:rPr>
  </w:style>
  <w:style w:type="paragraph" w:styleId="BodyText2">
    <w:name w:val="Body Text 2"/>
    <w:basedOn w:val="Normal"/>
    <w:rsid w:val="00153C42"/>
    <w:pPr>
      <w:tabs>
        <w:tab w:val="left" w:pos="1890"/>
        <w:tab w:val="left" w:pos="4320"/>
        <w:tab w:val="left" w:pos="6480"/>
      </w:tabs>
      <w:jc w:val="both"/>
    </w:pPr>
  </w:style>
  <w:style w:type="paragraph" w:styleId="BodyTextIndent2">
    <w:name w:val="Body Text Indent 2"/>
    <w:basedOn w:val="Normal"/>
    <w:rsid w:val="00153C42"/>
    <w:pPr>
      <w:tabs>
        <w:tab w:val="left" w:pos="720"/>
        <w:tab w:val="left" w:pos="1890"/>
        <w:tab w:val="left" w:pos="4320"/>
        <w:tab w:val="left" w:pos="6480"/>
      </w:tabs>
      <w:ind w:left="720"/>
    </w:pPr>
    <w:rPr>
      <w:sz w:val="24"/>
      <w:szCs w:val="24"/>
    </w:rPr>
  </w:style>
  <w:style w:type="paragraph" w:styleId="BodyText">
    <w:name w:val="Body Text"/>
    <w:basedOn w:val="Normal"/>
    <w:rsid w:val="00153C42"/>
    <w:pPr>
      <w:tabs>
        <w:tab w:val="left" w:pos="1890"/>
        <w:tab w:val="left" w:pos="4320"/>
        <w:tab w:val="left" w:pos="6480"/>
      </w:tabs>
    </w:pPr>
    <w:rPr>
      <w:sz w:val="24"/>
      <w:szCs w:val="24"/>
    </w:rPr>
  </w:style>
  <w:style w:type="character" w:styleId="Hyperlink">
    <w:name w:val="Hyperlink"/>
    <w:basedOn w:val="DefaultParagraphFont"/>
    <w:rsid w:val="00153C42"/>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NoSpacing">
    <w:name w:val="No Spacing"/>
    <w:uiPriority w:val="1"/>
    <w:qFormat/>
    <w:rsid w:val="00AB67D3"/>
    <w:rPr>
      <w:rFonts w:asciiTheme="minorHAnsi" w:eastAsiaTheme="minorHAnsi" w:hAnsiTheme="minorHAnsi" w:cstheme="minorBidi"/>
      <w:sz w:val="22"/>
      <w:szCs w:val="22"/>
    </w:rPr>
  </w:style>
  <w:style w:type="character" w:styleId="SubtleReference">
    <w:name w:val="Subtle Reference"/>
    <w:basedOn w:val="DefaultParagraphFont"/>
    <w:uiPriority w:val="31"/>
    <w:qFormat/>
    <w:rsid w:val="00AB67D3"/>
    <w:rPr>
      <w:smallCaps/>
      <w:color w:val="C0504D" w:themeColor="accent2"/>
      <w:u w:val="single"/>
    </w:rPr>
  </w:style>
  <w:style w:type="character" w:customStyle="1" w:styleId="Heading3Char">
    <w:name w:val="Heading 3 Char"/>
    <w:basedOn w:val="DefaultParagraphFont"/>
    <w:link w:val="Heading3"/>
    <w:rsid w:val="000440A0"/>
    <w:rPr>
      <w:b/>
      <w:bCs/>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6192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B9A81-48E8-4460-9991-2E33CF2A5F86}"/>
</file>

<file path=customXml/itemProps2.xml><?xml version="1.0" encoding="utf-8"?>
<ds:datastoreItem xmlns:ds="http://schemas.openxmlformats.org/officeDocument/2006/customXml" ds:itemID="{9141759D-01C3-476B-9887-306491F04A2E}"/>
</file>

<file path=customXml/itemProps3.xml><?xml version="1.0" encoding="utf-8"?>
<ds:datastoreItem xmlns:ds="http://schemas.openxmlformats.org/officeDocument/2006/customXml" ds:itemID="{732E72C6-297F-4E37-91B0-6ED79DC5C003}"/>
</file>

<file path=customXml/itemProps4.xml><?xml version="1.0" encoding="utf-8"?>
<ds:datastoreItem xmlns:ds="http://schemas.openxmlformats.org/officeDocument/2006/customXml" ds:itemID="{04D76474-8361-4D53-ABCD-8084DC80F93C}"/>
</file>

<file path=docProps/app.xml><?xml version="1.0" encoding="utf-8"?>
<Properties xmlns="http://schemas.openxmlformats.org/officeDocument/2006/extended-properties" xmlns:vt="http://schemas.openxmlformats.org/officeDocument/2006/docPropsVTypes">
  <Template>Normal.dotm</Template>
  <TotalTime>11</TotalTime>
  <Pages>2</Pages>
  <Words>700</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jzlfgj</cp:lastModifiedBy>
  <cp:revision>8</cp:revision>
  <cp:lastPrinted>2015-04-17T22:14:00Z</cp:lastPrinted>
  <dcterms:created xsi:type="dcterms:W3CDTF">2015-04-16T22:15:00Z</dcterms:created>
  <dcterms:modified xsi:type="dcterms:W3CDTF">2015-04-17T22:14:00Z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