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62" w:rsidRPr="00432ECB" w:rsidRDefault="00AC2E62" w:rsidP="00AC2E62">
      <w:pPr>
        <w:pStyle w:val="Header"/>
        <w:tabs>
          <w:tab w:val="clear" w:pos="4320"/>
          <w:tab w:val="clear" w:pos="8640"/>
          <w:tab w:val="center" w:pos="4680"/>
        </w:tabs>
        <w:spacing w:line="480" w:lineRule="auto"/>
        <w:jc w:val="center"/>
        <w:rPr>
          <w:b/>
          <w:bCs/>
          <w:sz w:val="24"/>
          <w:szCs w:val="24"/>
        </w:rPr>
      </w:pPr>
      <w:r w:rsidRPr="00432ECB">
        <w:rPr>
          <w:b/>
          <w:bCs/>
          <w:sz w:val="24"/>
          <w:szCs w:val="24"/>
        </w:rPr>
        <w:t>BEFORE THE</w:t>
      </w:r>
    </w:p>
    <w:p w:rsidR="00AC2E62" w:rsidRPr="00432ECB" w:rsidRDefault="00AC2E62" w:rsidP="00AC2E62">
      <w:pPr>
        <w:pStyle w:val="Heading1"/>
        <w:jc w:val="center"/>
        <w:rPr>
          <w:sz w:val="24"/>
          <w:szCs w:val="24"/>
        </w:rPr>
      </w:pPr>
      <w:r w:rsidRPr="00432ECB">
        <w:rPr>
          <w:sz w:val="24"/>
          <w:szCs w:val="24"/>
        </w:rPr>
        <w:t>WASHINGTON UTILITIES AND TRANSPORTATION COMMISSION</w:t>
      </w:r>
    </w:p>
    <w:p w:rsidR="00AC2E62" w:rsidRPr="00432ECB" w:rsidRDefault="00AC2E62" w:rsidP="00AC2E62">
      <w:pPr>
        <w:rPr>
          <w:szCs w:val="24"/>
        </w:rPr>
      </w:pPr>
    </w:p>
    <w:p w:rsidR="00AC2E62" w:rsidRPr="00432ECB" w:rsidRDefault="00AC2E62" w:rsidP="00AC2E62">
      <w:pPr>
        <w:tabs>
          <w:tab w:val="center" w:pos="4680"/>
        </w:tabs>
        <w:rPr>
          <w:b/>
          <w:szCs w:val="24"/>
        </w:rPr>
      </w:pPr>
    </w:p>
    <w:tbl>
      <w:tblPr>
        <w:tblW w:w="8648" w:type="dxa"/>
        <w:tblLayout w:type="fixed"/>
        <w:tblCellMar>
          <w:left w:w="0" w:type="dxa"/>
          <w:right w:w="0" w:type="dxa"/>
        </w:tblCellMar>
        <w:tblLook w:val="0000"/>
      </w:tblPr>
      <w:tblGrid>
        <w:gridCol w:w="4328"/>
        <w:gridCol w:w="270"/>
        <w:gridCol w:w="4050"/>
      </w:tblGrid>
      <w:tr w:rsidR="00AC2E62" w:rsidRPr="00432ECB" w:rsidTr="008026CA">
        <w:tc>
          <w:tcPr>
            <w:tcW w:w="4328" w:type="dxa"/>
            <w:tcBorders>
              <w:bottom w:val="single" w:sz="4" w:space="0" w:color="auto"/>
            </w:tcBorders>
          </w:tcPr>
          <w:p w:rsidR="00AC2E62" w:rsidRPr="00432ECB" w:rsidRDefault="00AC2E62" w:rsidP="008026CA">
            <w:pPr>
              <w:tabs>
                <w:tab w:val="left" w:pos="2160"/>
              </w:tabs>
              <w:rPr>
                <w:bCs/>
                <w:szCs w:val="24"/>
              </w:rPr>
            </w:pPr>
            <w:bookmarkStart w:id="0" w:name="Parties"/>
            <w:bookmarkEnd w:id="0"/>
            <w:r w:rsidRPr="00432ECB">
              <w:rPr>
                <w:bCs/>
                <w:szCs w:val="24"/>
              </w:rPr>
              <w:t>WASHINGTON UTILITIES AND TRANSPORTATION COMMISSION,</w:t>
            </w:r>
          </w:p>
          <w:p w:rsidR="00AC2E62" w:rsidRPr="00432ECB" w:rsidRDefault="00AC2E62" w:rsidP="008026CA">
            <w:pPr>
              <w:tabs>
                <w:tab w:val="left" w:pos="2160"/>
              </w:tabs>
              <w:rPr>
                <w:bCs/>
                <w:szCs w:val="24"/>
              </w:rPr>
            </w:pPr>
          </w:p>
          <w:p w:rsidR="00AC2E62" w:rsidRPr="00432ECB" w:rsidRDefault="00AC2E62" w:rsidP="008026CA">
            <w:pPr>
              <w:tabs>
                <w:tab w:val="left" w:pos="2160"/>
              </w:tabs>
              <w:rPr>
                <w:bCs/>
                <w:szCs w:val="24"/>
              </w:rPr>
            </w:pPr>
            <w:r w:rsidRPr="00432ECB">
              <w:rPr>
                <w:bCs/>
                <w:szCs w:val="24"/>
              </w:rPr>
              <w:tab/>
              <w:t>Complainant,</w:t>
            </w:r>
          </w:p>
          <w:p w:rsidR="00AC2E62" w:rsidRPr="00432ECB" w:rsidRDefault="00AC2E62" w:rsidP="008026CA">
            <w:pPr>
              <w:tabs>
                <w:tab w:val="left" w:pos="2160"/>
              </w:tabs>
              <w:rPr>
                <w:bCs/>
                <w:szCs w:val="24"/>
              </w:rPr>
            </w:pPr>
          </w:p>
          <w:p w:rsidR="00AC2E62" w:rsidRPr="00432ECB" w:rsidRDefault="00AC2E62" w:rsidP="008026CA">
            <w:pPr>
              <w:rPr>
                <w:bCs/>
                <w:szCs w:val="24"/>
              </w:rPr>
            </w:pPr>
            <w:r w:rsidRPr="00432ECB">
              <w:rPr>
                <w:bCs/>
                <w:szCs w:val="24"/>
              </w:rPr>
              <w:t>v.</w:t>
            </w:r>
          </w:p>
          <w:p w:rsidR="00AC2E62" w:rsidRPr="00432ECB" w:rsidRDefault="00AC2E62" w:rsidP="008026CA">
            <w:pPr>
              <w:tabs>
                <w:tab w:val="left" w:pos="2160"/>
              </w:tabs>
              <w:rPr>
                <w:bCs/>
                <w:szCs w:val="24"/>
              </w:rPr>
            </w:pPr>
          </w:p>
          <w:p w:rsidR="00FC4822" w:rsidRDefault="00FC4822" w:rsidP="00FC4822">
            <w:pPr>
              <w:tabs>
                <w:tab w:val="left" w:pos="2168"/>
              </w:tabs>
            </w:pPr>
            <w:r>
              <w:t>PUGET SOUND ENERGY, INC.,</w:t>
            </w:r>
          </w:p>
          <w:p w:rsidR="00AC2E62" w:rsidRPr="00432ECB" w:rsidRDefault="00AC2E62" w:rsidP="008026CA">
            <w:pPr>
              <w:tabs>
                <w:tab w:val="left" w:pos="2160"/>
              </w:tabs>
              <w:rPr>
                <w:bCs/>
                <w:szCs w:val="24"/>
              </w:rPr>
            </w:pPr>
          </w:p>
          <w:p w:rsidR="00AC2E62" w:rsidRPr="00432ECB" w:rsidRDefault="00AC2E62" w:rsidP="008026CA">
            <w:pPr>
              <w:pStyle w:val="Footer"/>
              <w:widowControl/>
              <w:tabs>
                <w:tab w:val="clear" w:pos="4320"/>
                <w:tab w:val="clear" w:pos="8640"/>
                <w:tab w:val="left" w:pos="2160"/>
              </w:tabs>
              <w:rPr>
                <w:snapToGrid/>
                <w:szCs w:val="24"/>
              </w:rPr>
            </w:pPr>
            <w:r w:rsidRPr="00432ECB">
              <w:rPr>
                <w:bCs/>
                <w:szCs w:val="24"/>
              </w:rPr>
              <w:tab/>
              <w:t>Respondent.</w:t>
            </w:r>
          </w:p>
        </w:tc>
        <w:tc>
          <w:tcPr>
            <w:tcW w:w="270" w:type="dxa"/>
          </w:tcPr>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p w:rsidR="00AC2E62" w:rsidRPr="00432ECB" w:rsidRDefault="00AC2E62" w:rsidP="008026CA">
            <w:pPr>
              <w:pStyle w:val="SingleSpacing"/>
              <w:spacing w:line="240" w:lineRule="auto"/>
              <w:rPr>
                <w:szCs w:val="24"/>
              </w:rPr>
            </w:pPr>
            <w:r w:rsidRPr="00432ECB">
              <w:rPr>
                <w:szCs w:val="24"/>
              </w:rPr>
              <w:t>)</w:t>
            </w:r>
          </w:p>
        </w:tc>
        <w:tc>
          <w:tcPr>
            <w:tcW w:w="4050" w:type="dxa"/>
          </w:tcPr>
          <w:p w:rsidR="0064724B" w:rsidRPr="00432ECB" w:rsidRDefault="00AC2E62" w:rsidP="00FC4822">
            <w:pPr>
              <w:pStyle w:val="SingleSpacing"/>
              <w:spacing w:line="240" w:lineRule="auto"/>
              <w:rPr>
                <w:szCs w:val="24"/>
              </w:rPr>
            </w:pPr>
            <w:bookmarkStart w:id="1" w:name="CaseNumber"/>
            <w:bookmarkEnd w:id="1"/>
            <w:r w:rsidRPr="00432ECB">
              <w:rPr>
                <w:szCs w:val="24"/>
              </w:rPr>
              <w:t xml:space="preserve">DOCKET NO. </w:t>
            </w:r>
            <w:r w:rsidRPr="00432ECB">
              <w:rPr>
                <w:bCs/>
                <w:szCs w:val="24"/>
              </w:rPr>
              <w:t>UE-</w:t>
            </w:r>
            <w:r w:rsidR="00FC4822">
              <w:rPr>
                <w:bCs/>
                <w:szCs w:val="24"/>
              </w:rPr>
              <w:t>121373</w:t>
            </w:r>
          </w:p>
          <w:p w:rsidR="00AC2E62" w:rsidRPr="00432ECB" w:rsidRDefault="00AC2E62" w:rsidP="008026CA">
            <w:pPr>
              <w:pStyle w:val="BodyText2"/>
              <w:rPr>
                <w:szCs w:val="24"/>
              </w:rPr>
            </w:pPr>
          </w:p>
          <w:p w:rsidR="00AC2E62" w:rsidRPr="00432ECB" w:rsidRDefault="00AC2E62" w:rsidP="008026CA">
            <w:pPr>
              <w:pStyle w:val="BodyText2"/>
              <w:rPr>
                <w:szCs w:val="24"/>
              </w:rPr>
            </w:pPr>
          </w:p>
          <w:p w:rsidR="00AC2E62" w:rsidRPr="00432ECB" w:rsidRDefault="00FE2143" w:rsidP="008026CA">
            <w:pPr>
              <w:pStyle w:val="BodyText2"/>
              <w:rPr>
                <w:szCs w:val="24"/>
              </w:rPr>
            </w:pPr>
            <w:r>
              <w:rPr>
                <w:szCs w:val="24"/>
              </w:rPr>
              <w:t>RESPONSE</w:t>
            </w:r>
            <w:r w:rsidR="00AC2E62" w:rsidRPr="00432ECB">
              <w:rPr>
                <w:szCs w:val="24"/>
              </w:rPr>
              <w:t xml:space="preserve"> OF THE INDUSTRIAL CUSTOMERS OF NORTHWEST UTILITIES IN OPPOSITION TO </w:t>
            </w:r>
            <w:r w:rsidR="00FC4822">
              <w:rPr>
                <w:szCs w:val="24"/>
              </w:rPr>
              <w:t>PUGET SOUND ENERGY’S</w:t>
            </w:r>
            <w:r w:rsidR="00AC2E62" w:rsidRPr="00432ECB">
              <w:rPr>
                <w:szCs w:val="24"/>
              </w:rPr>
              <w:t xml:space="preserve"> PETITION FOR RECONSIDERATION</w:t>
            </w:r>
            <w:r w:rsidR="00FC4822">
              <w:rPr>
                <w:szCs w:val="24"/>
              </w:rPr>
              <w:t xml:space="preserve"> </w:t>
            </w:r>
            <w:r w:rsidR="00AC2E62" w:rsidRPr="00432ECB">
              <w:rPr>
                <w:szCs w:val="24"/>
              </w:rPr>
              <w:t>AND MOTION TO REOPEN</w:t>
            </w:r>
            <w:r w:rsidR="00FC4822">
              <w:rPr>
                <w:szCs w:val="24"/>
              </w:rPr>
              <w:t xml:space="preserve"> RECORD</w:t>
            </w:r>
          </w:p>
          <w:p w:rsidR="00AC2E62" w:rsidRPr="00432ECB" w:rsidRDefault="00AC2E62" w:rsidP="008026CA">
            <w:pPr>
              <w:pStyle w:val="SingleSpacing"/>
              <w:spacing w:line="240" w:lineRule="auto"/>
              <w:rPr>
                <w:szCs w:val="24"/>
              </w:rPr>
            </w:pPr>
          </w:p>
        </w:tc>
      </w:tr>
    </w:tbl>
    <w:p w:rsidR="00AC2E62" w:rsidRPr="009673E7" w:rsidRDefault="00AC2E62" w:rsidP="00AC2E62">
      <w:pPr>
        <w:pStyle w:val="WUTCParagraph"/>
        <w:numPr>
          <w:ilvl w:val="0"/>
          <w:numId w:val="0"/>
        </w:numPr>
        <w:tabs>
          <w:tab w:val="left" w:pos="720"/>
        </w:tabs>
        <w:spacing w:before="240"/>
        <w:jc w:val="center"/>
        <w:rPr>
          <w:b/>
        </w:rPr>
      </w:pPr>
      <w:r w:rsidRPr="009673E7">
        <w:rPr>
          <w:b/>
        </w:rPr>
        <w:t>I.</w:t>
      </w:r>
      <w:r w:rsidRPr="009673E7">
        <w:rPr>
          <w:b/>
        </w:rPr>
        <w:tab/>
        <w:t>INTRODUCTION</w:t>
      </w:r>
    </w:p>
    <w:p w:rsidR="003136EB" w:rsidRPr="005014EA" w:rsidRDefault="00AC2E62" w:rsidP="00205A34">
      <w:pPr>
        <w:pStyle w:val="MJDWUTCBrief"/>
      </w:pPr>
      <w:r w:rsidRPr="009673E7">
        <w:tab/>
        <w:t xml:space="preserve">Pursuant </w:t>
      </w:r>
      <w:r w:rsidR="00621F75">
        <w:t xml:space="preserve">to </w:t>
      </w:r>
      <w:r w:rsidRPr="009673E7">
        <w:t xml:space="preserve">the Washington Utilities and Transportation Commission’s (“WUTC” or the “Commission”) notice, the Industrial Customers of Northwest Utilities (“ICNU”) submits this </w:t>
      </w:r>
      <w:r w:rsidR="00FE2143">
        <w:t>response</w:t>
      </w:r>
      <w:r w:rsidRPr="009673E7">
        <w:t xml:space="preserve"> in opposition to </w:t>
      </w:r>
      <w:r w:rsidR="00FC4822" w:rsidRPr="009673E7">
        <w:t>Puget Sound Energy, Inc.’s</w:t>
      </w:r>
      <w:r w:rsidRPr="009673E7">
        <w:t xml:space="preserve"> (</w:t>
      </w:r>
      <w:r w:rsidR="00FC4822" w:rsidRPr="009673E7">
        <w:t xml:space="preserve">“PSE” </w:t>
      </w:r>
      <w:r w:rsidRPr="009673E7">
        <w:t xml:space="preserve">or the “Company”) </w:t>
      </w:r>
      <w:r w:rsidR="00BD45EA">
        <w:t>Petition for R</w:t>
      </w:r>
      <w:r w:rsidRPr="009673E7">
        <w:t>econsideration (</w:t>
      </w:r>
      <w:r w:rsidR="00FC4822" w:rsidRPr="009673E7">
        <w:t xml:space="preserve">“Petition for Reconsideration”) </w:t>
      </w:r>
      <w:r w:rsidRPr="009673E7">
        <w:t xml:space="preserve">of the Commission’s </w:t>
      </w:r>
      <w:r w:rsidR="0064724B" w:rsidRPr="009673E7">
        <w:t>O</w:t>
      </w:r>
      <w:r w:rsidRPr="009673E7">
        <w:t xml:space="preserve">rder </w:t>
      </w:r>
      <w:r w:rsidR="0064724B" w:rsidRPr="009673E7">
        <w:t>N</w:t>
      </w:r>
      <w:r w:rsidR="00FC4822" w:rsidRPr="009673E7">
        <w:t>o. 03</w:t>
      </w:r>
      <w:r w:rsidRPr="009673E7">
        <w:t xml:space="preserve"> (“Order</w:t>
      </w:r>
      <w:r w:rsidR="00FC4822" w:rsidRPr="009673E7">
        <w:t xml:space="preserve"> 03</w:t>
      </w:r>
      <w:r w:rsidRPr="009673E7">
        <w:t>”)</w:t>
      </w:r>
      <w:r w:rsidR="005014EA">
        <w:t xml:space="preserve"> </w:t>
      </w:r>
      <w:r w:rsidR="00BD45EA">
        <w:t>and Motion to Reopen the R</w:t>
      </w:r>
      <w:r w:rsidR="005014EA" w:rsidRPr="009673E7">
        <w:t>ecord (“Motion to Reopen”)</w:t>
      </w:r>
      <w:r w:rsidRPr="009673E7">
        <w:t>.</w:t>
      </w:r>
      <w:r w:rsidR="00C81721">
        <w:t xml:space="preserve">  </w:t>
      </w:r>
      <w:r w:rsidR="00E84F11" w:rsidRPr="009673E7">
        <w:t xml:space="preserve">PSE has raised no new issues that warrant revising Order 03, but </w:t>
      </w:r>
      <w:r w:rsidR="001826F5">
        <w:t>is</w:t>
      </w:r>
      <w:r w:rsidR="00E84F11" w:rsidRPr="009673E7">
        <w:t xml:space="preserve"> </w:t>
      </w:r>
      <w:r w:rsidR="00A12F26">
        <w:t>instead</w:t>
      </w:r>
      <w:r w:rsidR="00E84F11" w:rsidRPr="009673E7">
        <w:t xml:space="preserve"> attempt</w:t>
      </w:r>
      <w:r w:rsidR="001826F5">
        <w:t>ing</w:t>
      </w:r>
      <w:r w:rsidR="00E84F11" w:rsidRPr="009673E7">
        <w:t xml:space="preserve"> to </w:t>
      </w:r>
      <w:r w:rsidR="001826F5">
        <w:t xml:space="preserve">secure </w:t>
      </w:r>
      <w:r w:rsidR="00E84F11" w:rsidRPr="009673E7">
        <w:t xml:space="preserve">another </w:t>
      </w:r>
      <w:r w:rsidR="001826F5">
        <w:t>opportunity</w:t>
      </w:r>
      <w:r w:rsidR="00E84F11" w:rsidRPr="009673E7">
        <w:t xml:space="preserve"> to make its case to the Commission.  </w:t>
      </w:r>
      <w:r w:rsidR="00F556A4">
        <w:t xml:space="preserve">In addition, the “Global Settlement” proposed by Staff and PSE in Docket Nos. UE-121697, UE-121705, UE-130137, and UE-130138 </w:t>
      </w:r>
      <w:proofErr w:type="gramStart"/>
      <w:r w:rsidR="008F40EA">
        <w:t>do</w:t>
      </w:r>
      <w:r w:rsidR="00960F93">
        <w:t>es</w:t>
      </w:r>
      <w:proofErr w:type="gramEnd"/>
      <w:r w:rsidR="00F556A4">
        <w:t xml:space="preserve"> not provide a proper basis for granting PSE’s </w:t>
      </w:r>
      <w:r w:rsidR="005014EA">
        <w:t>Petition</w:t>
      </w:r>
      <w:r w:rsidR="00802249">
        <w:t xml:space="preserve">. </w:t>
      </w:r>
      <w:r w:rsidR="00F556A4">
        <w:t xml:space="preserve"> </w:t>
      </w:r>
      <w:r w:rsidR="00E84F11" w:rsidRPr="009673E7">
        <w:t>T</w:t>
      </w:r>
      <w:r w:rsidR="00F0417D" w:rsidRPr="009673E7">
        <w:t xml:space="preserve">he Commission should reaffirm its conclusions in </w:t>
      </w:r>
      <w:r w:rsidR="00FC4822" w:rsidRPr="009673E7">
        <w:t xml:space="preserve">Order 03 </w:t>
      </w:r>
      <w:r w:rsidR="00F0417D" w:rsidRPr="009673E7">
        <w:t>and reject all aspects of the Petition for Reconsideration.</w:t>
      </w:r>
      <w:r w:rsidR="00E84F11" w:rsidRPr="009673E7">
        <w:t xml:space="preserve">  </w:t>
      </w:r>
      <w:r w:rsidR="002C1ACC" w:rsidRPr="009673E7">
        <w:t xml:space="preserve">Finally, the Commission should decline to reopen the record to allow </w:t>
      </w:r>
      <w:r w:rsidR="00FC4822" w:rsidRPr="009673E7">
        <w:t>PSE</w:t>
      </w:r>
      <w:r w:rsidR="002C1ACC" w:rsidRPr="009673E7">
        <w:t xml:space="preserve"> to present its one-sided </w:t>
      </w:r>
      <w:r w:rsidR="00BD45EA">
        <w:t>“</w:t>
      </w:r>
      <w:r w:rsidR="002C1ACC" w:rsidRPr="009673E7">
        <w:t>new</w:t>
      </w:r>
      <w:r w:rsidR="00BD45EA">
        <w:t>”</w:t>
      </w:r>
      <w:r w:rsidR="002C1ACC" w:rsidRPr="009673E7">
        <w:t xml:space="preserve"> factual evidence.  </w:t>
      </w:r>
      <w:r w:rsidR="005014EA">
        <w:tab/>
        <w:t xml:space="preserve">  </w:t>
      </w:r>
    </w:p>
    <w:p w:rsidR="00AC2E62" w:rsidRPr="009673E7" w:rsidRDefault="00AC2E62" w:rsidP="00C81721">
      <w:pPr>
        <w:pStyle w:val="WUTCParagraph"/>
        <w:keepNext/>
        <w:numPr>
          <w:ilvl w:val="0"/>
          <w:numId w:val="0"/>
        </w:numPr>
        <w:tabs>
          <w:tab w:val="clear" w:pos="1440"/>
          <w:tab w:val="left" w:pos="0"/>
        </w:tabs>
        <w:jc w:val="center"/>
      </w:pPr>
      <w:r w:rsidRPr="009673E7">
        <w:rPr>
          <w:b/>
        </w:rPr>
        <w:lastRenderedPageBreak/>
        <w:t>II.</w:t>
      </w:r>
      <w:r w:rsidRPr="009673E7">
        <w:rPr>
          <w:b/>
        </w:rPr>
        <w:tab/>
      </w:r>
      <w:r w:rsidR="003C78EF">
        <w:rPr>
          <w:b/>
        </w:rPr>
        <w:t>RESPONSE</w:t>
      </w:r>
      <w:r w:rsidR="00BD45EA">
        <w:rPr>
          <w:b/>
        </w:rPr>
        <w:t xml:space="preserve"> IN OPPOSITION</w:t>
      </w:r>
    </w:p>
    <w:p w:rsidR="00A165C1" w:rsidRPr="009673E7" w:rsidRDefault="00C33B32" w:rsidP="00FC4822">
      <w:pPr>
        <w:pStyle w:val="WUTCParagraph"/>
        <w:numPr>
          <w:ilvl w:val="0"/>
          <w:numId w:val="0"/>
        </w:numPr>
        <w:tabs>
          <w:tab w:val="clear" w:pos="1440"/>
          <w:tab w:val="left" w:pos="0"/>
        </w:tabs>
        <w:rPr>
          <w:b/>
        </w:rPr>
      </w:pPr>
      <w:r w:rsidRPr="009673E7">
        <w:rPr>
          <w:b/>
        </w:rPr>
        <w:t>A.</w:t>
      </w:r>
      <w:r w:rsidRPr="009673E7">
        <w:rPr>
          <w:b/>
        </w:rPr>
        <w:tab/>
      </w:r>
      <w:r w:rsidR="00A165C1" w:rsidRPr="009673E7">
        <w:rPr>
          <w:b/>
        </w:rPr>
        <w:t xml:space="preserve">The Commission Should Deny the Petition for Reconsideration </w:t>
      </w:r>
    </w:p>
    <w:p w:rsidR="00AC2E62" w:rsidRPr="009673E7" w:rsidRDefault="00A165C1" w:rsidP="00A165C1">
      <w:pPr>
        <w:pStyle w:val="WUTCParagraph"/>
        <w:numPr>
          <w:ilvl w:val="0"/>
          <w:numId w:val="0"/>
        </w:numPr>
        <w:tabs>
          <w:tab w:val="clear" w:pos="1440"/>
          <w:tab w:val="left" w:pos="630"/>
        </w:tabs>
        <w:ind w:left="1440" w:hanging="720"/>
        <w:rPr>
          <w:b/>
        </w:rPr>
      </w:pPr>
      <w:r w:rsidRPr="009673E7">
        <w:rPr>
          <w:b/>
        </w:rPr>
        <w:t>1.</w:t>
      </w:r>
      <w:r w:rsidRPr="009673E7">
        <w:rPr>
          <w:b/>
        </w:rPr>
        <w:tab/>
      </w:r>
      <w:r w:rsidR="00AC2E62" w:rsidRPr="009673E7">
        <w:rPr>
          <w:b/>
        </w:rPr>
        <w:t>Legal Standard</w:t>
      </w:r>
      <w:r w:rsidRPr="009673E7">
        <w:rPr>
          <w:b/>
        </w:rPr>
        <w:t xml:space="preserve"> for Reconsideration </w:t>
      </w:r>
    </w:p>
    <w:p w:rsidR="00AC2E62" w:rsidRPr="009673E7" w:rsidRDefault="00AC2E62" w:rsidP="00205A34">
      <w:pPr>
        <w:pStyle w:val="MJDWUTCBrief"/>
      </w:pPr>
      <w:r w:rsidRPr="009673E7">
        <w:tab/>
        <w:t>A petition for reconsideration mu</w:t>
      </w:r>
      <w:r w:rsidR="009D4DC8">
        <w:t>st “request that the commission</w:t>
      </w:r>
      <w:r w:rsidR="00802249">
        <w:t xml:space="preserve"> </w:t>
      </w:r>
      <w:r w:rsidRPr="009673E7">
        <w:t>change the outcome with respect to one or more issues determined by the commission’s final order” and “must clearly identify each portion of the challenged order that it contends is erroneous or incomplete.”</w:t>
      </w:r>
      <w:r w:rsidRPr="009673E7">
        <w:rPr>
          <w:rStyle w:val="FootnoteReference"/>
        </w:rPr>
        <w:footnoteReference w:id="1"/>
      </w:r>
      <w:r w:rsidRPr="009673E7">
        <w:rPr>
          <w:vertAlign w:val="superscript"/>
        </w:rPr>
        <w:t>/</w:t>
      </w:r>
      <w:r w:rsidR="00E84F11" w:rsidRPr="009673E7">
        <w:t xml:space="preserve">  </w:t>
      </w:r>
      <w:r w:rsidR="005014EA">
        <w:t>Therefore, a</w:t>
      </w:r>
      <w:r w:rsidRPr="009673E7">
        <w:t xml:space="preserve"> petition for re</w:t>
      </w:r>
      <w:r w:rsidR="00A165C1" w:rsidRPr="009673E7">
        <w:t>consideration is allowed for the limited purpose of</w:t>
      </w:r>
      <w:r w:rsidRPr="009673E7">
        <w:t xml:space="preserve"> correct</w:t>
      </w:r>
      <w:r w:rsidR="00A165C1" w:rsidRPr="009673E7">
        <w:t>ing</w:t>
      </w:r>
      <w:r w:rsidRPr="009673E7">
        <w:t xml:space="preserve"> omissions and errors of fact o</w:t>
      </w:r>
      <w:r w:rsidR="003136EB" w:rsidRPr="009673E7">
        <w:t xml:space="preserve">r law.  </w:t>
      </w:r>
      <w:r w:rsidRPr="009673E7">
        <w:t xml:space="preserve"> </w:t>
      </w:r>
    </w:p>
    <w:p w:rsidR="00AC2E62" w:rsidRPr="009673E7" w:rsidRDefault="00AC2E62" w:rsidP="00205A34">
      <w:pPr>
        <w:pStyle w:val="MJDWUTCBrief"/>
      </w:pPr>
      <w:r w:rsidRPr="009673E7">
        <w:tab/>
        <w:t>The Commission has explained that petiti</w:t>
      </w:r>
      <w:r w:rsidR="003136EB" w:rsidRPr="009673E7">
        <w:t xml:space="preserve">ons for reconsideration should not be filed simply </w:t>
      </w:r>
      <w:r w:rsidRPr="009673E7">
        <w:t>to reargue or relitigate issues</w:t>
      </w:r>
      <w:r w:rsidR="00E84F11" w:rsidRPr="009673E7">
        <w:t xml:space="preserve"> th</w:t>
      </w:r>
      <w:r w:rsidR="00E84F11" w:rsidRPr="009673E7">
        <w:rPr>
          <w:rStyle w:val="LineNumber"/>
          <w:sz w:val="24"/>
        </w:rPr>
        <w:t>a</w:t>
      </w:r>
      <w:r w:rsidR="00E84F11" w:rsidRPr="009673E7">
        <w:t>t have been fully addressed</w:t>
      </w:r>
      <w:r w:rsidR="005014EA">
        <w:t xml:space="preserve"> in the proceeding.</w:t>
      </w:r>
      <w:r w:rsidR="003136EB" w:rsidRPr="009673E7">
        <w:t xml:space="preserve">  T</w:t>
      </w:r>
      <w:r w:rsidRPr="009673E7">
        <w:t>he Commission has repeatedly explained that:</w:t>
      </w:r>
    </w:p>
    <w:p w:rsidR="00AC2E62" w:rsidRPr="00432ECB" w:rsidRDefault="00AC2E62" w:rsidP="00510ED4">
      <w:pPr>
        <w:spacing w:after="240"/>
        <w:ind w:left="1080" w:right="1440"/>
        <w:jc w:val="both"/>
        <w:rPr>
          <w:szCs w:val="24"/>
        </w:rPr>
      </w:pPr>
      <w:r w:rsidRPr="00432ECB">
        <w:rPr>
          <w:szCs w:val="24"/>
        </w:rPr>
        <w:t xml:space="preserve">A petition for reconsideration must demonstrate errors of law, or of facts not reasonably available to the petitioner at the time of entry of an order.  A petition that cites no evidence that the Commission has not considered, and merely restates arguments the Commission thoroughly considered in its final order, states no basis for relief.  A petition for reconsideration is </w:t>
      </w:r>
      <w:r w:rsidRPr="00432ECB">
        <w:rPr>
          <w:szCs w:val="24"/>
          <w:u w:val="single"/>
        </w:rPr>
        <w:t>not a second opportunity to litigate issues which were fully developed prior to entry of the final order and which were discussed and decided in the final order.  The mere fact that a party disagrees with a final order does not state a basis for reconsideration</w:t>
      </w:r>
      <w:r w:rsidRPr="00432ECB">
        <w:rPr>
          <w:szCs w:val="24"/>
        </w:rPr>
        <w:t>.</w:t>
      </w:r>
      <w:r w:rsidRPr="00432ECB">
        <w:rPr>
          <w:rStyle w:val="FootnoteReference"/>
          <w:szCs w:val="24"/>
        </w:rPr>
        <w:footnoteReference w:id="2"/>
      </w:r>
      <w:r w:rsidRPr="00432ECB">
        <w:rPr>
          <w:szCs w:val="24"/>
          <w:vertAlign w:val="superscript"/>
        </w:rPr>
        <w:t>/</w:t>
      </w:r>
      <w:r w:rsidRPr="00432ECB">
        <w:rPr>
          <w:szCs w:val="24"/>
        </w:rPr>
        <w:t xml:space="preserve">    </w:t>
      </w:r>
    </w:p>
    <w:p w:rsidR="00AC2E62" w:rsidRPr="00432ECB" w:rsidRDefault="005014EA" w:rsidP="00AC2E62">
      <w:pPr>
        <w:spacing w:line="480" w:lineRule="auto"/>
        <w:rPr>
          <w:szCs w:val="24"/>
        </w:rPr>
      </w:pPr>
      <w:r>
        <w:t xml:space="preserve">Thus, </w:t>
      </w:r>
      <w:r w:rsidRPr="009673E7">
        <w:t xml:space="preserve">it is not appropriate to request reconsideration merely because a party </w:t>
      </w:r>
      <w:r>
        <w:t xml:space="preserve">is dissatisfied with the </w:t>
      </w:r>
      <w:r w:rsidRPr="009673E7">
        <w:t>Commission</w:t>
      </w:r>
      <w:r>
        <w:t>’s</w:t>
      </w:r>
      <w:r w:rsidRPr="009673E7">
        <w:t xml:space="preserve"> legal or factual resolutions that were fully litigated</w:t>
      </w:r>
      <w:r w:rsidR="00BD45EA">
        <w:t>,</w:t>
      </w:r>
      <w:r w:rsidRPr="009673E7">
        <w:t xml:space="preserve"> </w:t>
      </w:r>
      <w:r w:rsidR="00440206">
        <w:t xml:space="preserve">but </w:t>
      </w:r>
      <w:r>
        <w:t xml:space="preserve">do not constitute an </w:t>
      </w:r>
      <w:r>
        <w:lastRenderedPageBreak/>
        <w:t>error of fact or law</w:t>
      </w:r>
      <w:r w:rsidRPr="009673E7">
        <w:t>.</w:t>
      </w:r>
      <w:r>
        <w:t xml:space="preserve">  </w:t>
      </w:r>
      <w:r w:rsidR="00BD45EA">
        <w:rPr>
          <w:szCs w:val="24"/>
        </w:rPr>
        <w:t>PSE’s Petition fails to meet these standards warranting reconsideration.  PSE essentially argues that Order 03 fails to comply with the “letter or the spirit” of the Coal Transition Energy Bill.</w:t>
      </w:r>
      <w:r w:rsidR="00BD45EA">
        <w:rPr>
          <w:rStyle w:val="FootnoteReference"/>
          <w:szCs w:val="24"/>
        </w:rPr>
        <w:footnoteReference w:id="3"/>
      </w:r>
      <w:proofErr w:type="gramStart"/>
      <w:r w:rsidR="0094029E" w:rsidRPr="00432ECB">
        <w:rPr>
          <w:szCs w:val="24"/>
          <w:vertAlign w:val="superscript"/>
        </w:rPr>
        <w:t>/</w:t>
      </w:r>
      <w:r w:rsidR="00BD45EA">
        <w:rPr>
          <w:szCs w:val="24"/>
        </w:rPr>
        <w:t xml:space="preserve">  </w:t>
      </w:r>
      <w:r w:rsidR="00573262">
        <w:rPr>
          <w:szCs w:val="24"/>
        </w:rPr>
        <w:t>As</w:t>
      </w:r>
      <w:proofErr w:type="gramEnd"/>
      <w:r w:rsidR="00573262">
        <w:rPr>
          <w:szCs w:val="24"/>
        </w:rPr>
        <w:t xml:space="preserve"> a result, the Petition raises no error of fact or law, because t</w:t>
      </w:r>
      <w:r w:rsidR="00BD45EA">
        <w:rPr>
          <w:szCs w:val="24"/>
        </w:rPr>
        <w:t xml:space="preserve">he Commission fully considered and complied with this legislation. </w:t>
      </w:r>
    </w:p>
    <w:p w:rsidR="00E84F11" w:rsidRPr="009673E7" w:rsidRDefault="00E84F11" w:rsidP="00E84F11">
      <w:pPr>
        <w:pStyle w:val="WUTCParagraph"/>
        <w:numPr>
          <w:ilvl w:val="0"/>
          <w:numId w:val="0"/>
        </w:numPr>
        <w:tabs>
          <w:tab w:val="clear" w:pos="1440"/>
          <w:tab w:val="left" w:pos="630"/>
        </w:tabs>
        <w:spacing w:line="240" w:lineRule="auto"/>
        <w:ind w:left="1440" w:hanging="720"/>
        <w:rPr>
          <w:b/>
        </w:rPr>
      </w:pPr>
      <w:r w:rsidRPr="009673E7">
        <w:rPr>
          <w:b/>
        </w:rPr>
        <w:t>2.</w:t>
      </w:r>
      <w:r w:rsidRPr="009673E7">
        <w:rPr>
          <w:b/>
        </w:rPr>
        <w:tab/>
        <w:t xml:space="preserve">PSE’s Disagreement with Order 03 Does Not Warrant Reconsideration of Fully Addressed Issues </w:t>
      </w:r>
    </w:p>
    <w:p w:rsidR="00E84F11" w:rsidRPr="009673E7" w:rsidRDefault="00E84F11" w:rsidP="00E84F11">
      <w:pPr>
        <w:pStyle w:val="WUTCParagraph"/>
        <w:numPr>
          <w:ilvl w:val="0"/>
          <w:numId w:val="0"/>
        </w:numPr>
        <w:tabs>
          <w:tab w:val="clear" w:pos="1440"/>
          <w:tab w:val="left" w:pos="630"/>
        </w:tabs>
        <w:spacing w:line="240" w:lineRule="auto"/>
        <w:ind w:left="1440" w:hanging="720"/>
        <w:rPr>
          <w:b/>
        </w:rPr>
      </w:pPr>
      <w:r w:rsidRPr="009673E7">
        <w:rPr>
          <w:b/>
        </w:rPr>
        <w:t xml:space="preserve"> </w:t>
      </w:r>
    </w:p>
    <w:p w:rsidR="00AF3535" w:rsidRPr="009673E7" w:rsidRDefault="00E84F11" w:rsidP="00205A34">
      <w:pPr>
        <w:pStyle w:val="MJDWUTCBrief"/>
      </w:pPr>
      <w:r w:rsidRPr="009673E7">
        <w:tab/>
      </w:r>
      <w:r w:rsidR="00645893" w:rsidRPr="009673E7">
        <w:t xml:space="preserve">PSE has sought reconsideration </w:t>
      </w:r>
      <w:r w:rsidR="00137B65" w:rsidRPr="009673E7">
        <w:t>upon three</w:t>
      </w:r>
      <w:r w:rsidR="00645893" w:rsidRPr="009673E7">
        <w:t xml:space="preserve"> grounds, </w:t>
      </w:r>
      <w:r w:rsidR="00C778A7">
        <w:t>each</w:t>
      </w:r>
      <w:r w:rsidR="00645893" w:rsidRPr="009673E7">
        <w:t xml:space="preserve"> of which </w:t>
      </w:r>
      <w:r w:rsidR="00C778A7">
        <w:t>was</w:t>
      </w:r>
      <w:r w:rsidR="00645893" w:rsidRPr="009673E7">
        <w:t xml:space="preserve"> fully addressed in testimony, oral argument, and the Commission’s Order 03.</w:t>
      </w:r>
      <w:r w:rsidR="00137B65" w:rsidRPr="009673E7">
        <w:t xml:space="preserve">  Specifically, PSE is seeking reconsideration of the Commission’s: 1) determination of the appropriate </w:t>
      </w:r>
      <w:r w:rsidR="00AF3535" w:rsidRPr="009673E7">
        <w:t>“</w:t>
      </w:r>
      <w:r w:rsidR="00137B65" w:rsidRPr="009673E7">
        <w:t>equivalent plant</w:t>
      </w:r>
      <w:r w:rsidR="005014EA">
        <w:t>;</w:t>
      </w:r>
      <w:r w:rsidR="00AF3535" w:rsidRPr="009673E7">
        <w:t>”</w:t>
      </w:r>
      <w:r w:rsidR="00137B65" w:rsidRPr="009673E7">
        <w:t xml:space="preserve"> 2) imposition of a reporting requirement; and 3) conclusion that the question of deferred accounting should be reviewed in the context of a rate proceeding.</w:t>
      </w:r>
      <w:r w:rsidR="00AF3535" w:rsidRPr="009673E7">
        <w:rPr>
          <w:u w:val="single"/>
          <w:vertAlign w:val="superscript"/>
        </w:rPr>
        <w:footnoteReference w:id="4"/>
      </w:r>
      <w:r w:rsidR="00AF3535" w:rsidRPr="009673E7">
        <w:rPr>
          <w:vertAlign w:val="superscript"/>
        </w:rPr>
        <w:t>/</w:t>
      </w:r>
      <w:r w:rsidR="00137B65" w:rsidRPr="009673E7">
        <w:t xml:space="preserve">  </w:t>
      </w:r>
      <w:r w:rsidR="00BD45EA">
        <w:t>T</w:t>
      </w:r>
      <w:r w:rsidR="00645893" w:rsidRPr="009673E7">
        <w:t xml:space="preserve">here are no errors of fact or law that </w:t>
      </w:r>
      <w:r w:rsidR="00C778A7">
        <w:t>meet the Commission’s standards for</w:t>
      </w:r>
      <w:r w:rsidR="00645893" w:rsidRPr="009673E7">
        <w:t xml:space="preserve"> reconsideration</w:t>
      </w:r>
      <w:r w:rsidR="00BD45EA">
        <w:t xml:space="preserve"> in the Commission’s determinations on these three issues</w:t>
      </w:r>
      <w:r w:rsidR="00645893" w:rsidRPr="009673E7">
        <w:t xml:space="preserve">.  PSE’s Petition for Reconsideration simply </w:t>
      </w:r>
      <w:r w:rsidR="00D116F8">
        <w:t xml:space="preserve">attempts to provide the Company with another bite at the apple </w:t>
      </w:r>
      <w:r w:rsidR="00BD45EA">
        <w:t>and complain that the conditions imposed by the Commission places it at a “crossroad.”  It is far from clear how customers will be harmed if PSE fails to execute the Coal Transition PPA</w:t>
      </w:r>
      <w:r w:rsidR="00D116F8">
        <w:t>.</w:t>
      </w:r>
      <w:r w:rsidR="00645893" w:rsidRPr="009673E7">
        <w:t xml:space="preserve"> </w:t>
      </w:r>
      <w:r w:rsidR="00BD45EA">
        <w:t xml:space="preserve"> Thus, the</w:t>
      </w:r>
      <w:r w:rsidR="00D116F8">
        <w:t xml:space="preserve"> Petition should be rejected, as</w:t>
      </w:r>
      <w:r w:rsidR="00645893" w:rsidRPr="009673E7">
        <w:t xml:space="preserve"> PSE is improperly using the reconsideration process to voice its disagreement with Order </w:t>
      </w:r>
      <w:r w:rsidR="00137B65" w:rsidRPr="009673E7">
        <w:t xml:space="preserve">03 in an attempt to intimidate the Commission into changing </w:t>
      </w:r>
      <w:r w:rsidR="00440206">
        <w:t>f</w:t>
      </w:r>
      <w:r w:rsidR="00137B65" w:rsidRPr="009673E7">
        <w:t>actual,</w:t>
      </w:r>
      <w:r w:rsidR="005014EA">
        <w:t xml:space="preserve"> legal</w:t>
      </w:r>
      <w:r w:rsidR="00621F75">
        <w:t>,</w:t>
      </w:r>
      <w:r w:rsidR="005014EA">
        <w:t xml:space="preserve"> and policy conclusions.  Additionally, since filing its Petition for Reconsideration, PSE has attempted to use this Petition as leverage to force approval of other, unsupported filings.</w:t>
      </w:r>
    </w:p>
    <w:p w:rsidR="0098412B" w:rsidRPr="009673E7" w:rsidRDefault="0098412B" w:rsidP="0098412B">
      <w:pPr>
        <w:pStyle w:val="WUTCParagraph"/>
        <w:keepNext/>
        <w:keepLines/>
        <w:numPr>
          <w:ilvl w:val="0"/>
          <w:numId w:val="0"/>
        </w:numPr>
        <w:tabs>
          <w:tab w:val="clear" w:pos="1440"/>
        </w:tabs>
        <w:spacing w:after="240" w:line="240" w:lineRule="auto"/>
        <w:ind w:left="2160" w:hanging="720"/>
        <w:rPr>
          <w:b/>
        </w:rPr>
      </w:pPr>
      <w:r w:rsidRPr="009673E7">
        <w:rPr>
          <w:b/>
        </w:rPr>
        <w:lastRenderedPageBreak/>
        <w:t>a.</w:t>
      </w:r>
      <w:r w:rsidRPr="009673E7">
        <w:tab/>
      </w:r>
      <w:r w:rsidRPr="009673E7">
        <w:rPr>
          <w:b/>
        </w:rPr>
        <w:t xml:space="preserve">There Are No </w:t>
      </w:r>
      <w:r w:rsidR="00BD45EA">
        <w:rPr>
          <w:b/>
        </w:rPr>
        <w:t xml:space="preserve">Legitimate </w:t>
      </w:r>
      <w:r w:rsidRPr="009673E7">
        <w:rPr>
          <w:b/>
        </w:rPr>
        <w:t>Grounds to Reconsider the Commission’s Conclusions on the Cost of Equivalent Plant</w:t>
      </w:r>
    </w:p>
    <w:p w:rsidR="00A165C1" w:rsidRPr="009673E7" w:rsidRDefault="00AF3535" w:rsidP="00205A34">
      <w:pPr>
        <w:pStyle w:val="MJDWUTCBrief"/>
      </w:pPr>
      <w:r w:rsidRPr="009673E7">
        <w:tab/>
        <w:t xml:space="preserve">The Commission fully considered and rejected PSE’s arguments regarding the cost of an equivalent plant.  </w:t>
      </w:r>
      <w:r w:rsidR="00D2031A" w:rsidRPr="009673E7">
        <w:t>The Commission’s analysis did not simply repeat the parties</w:t>
      </w:r>
      <w:r w:rsidR="0098412B" w:rsidRPr="009673E7">
        <w:t>’</w:t>
      </w:r>
      <w:r w:rsidR="00D2031A" w:rsidRPr="009673E7">
        <w:t xml:space="preserve"> arguments and cursorily select </w:t>
      </w:r>
      <w:r w:rsidR="005014EA">
        <w:t xml:space="preserve">a cost for the equivalent plant; rather, </w:t>
      </w:r>
      <w:r w:rsidRPr="009673E7">
        <w:t>Order 03 includes a long</w:t>
      </w:r>
      <w:r w:rsidR="00D2031A" w:rsidRPr="009673E7">
        <w:t xml:space="preserve">, </w:t>
      </w:r>
      <w:r w:rsidRPr="009673E7">
        <w:t>detailed</w:t>
      </w:r>
      <w:r w:rsidR="00C778A7">
        <w:t>,</w:t>
      </w:r>
      <w:r w:rsidR="00D2031A" w:rsidRPr="009673E7">
        <w:t xml:space="preserve"> and thoughtful</w:t>
      </w:r>
      <w:r w:rsidRPr="009673E7">
        <w:t xml:space="preserve"> discussion </w:t>
      </w:r>
      <w:r w:rsidR="00776341">
        <w:t>in support of the</w:t>
      </w:r>
      <w:r w:rsidRPr="009673E7">
        <w:t xml:space="preserve"> resolution of the </w:t>
      </w:r>
      <w:r w:rsidR="00776341">
        <w:t xml:space="preserve">issue of the </w:t>
      </w:r>
      <w:r w:rsidRPr="009673E7">
        <w:t>cost of equivalent plant.</w:t>
      </w:r>
      <w:r w:rsidRPr="009673E7">
        <w:rPr>
          <w:u w:val="single"/>
          <w:vertAlign w:val="superscript"/>
        </w:rPr>
        <w:footnoteReference w:id="5"/>
      </w:r>
      <w:proofErr w:type="gramStart"/>
      <w:r w:rsidRPr="009673E7">
        <w:rPr>
          <w:vertAlign w:val="superscript"/>
        </w:rPr>
        <w:t>/</w:t>
      </w:r>
      <w:r w:rsidRPr="009673E7">
        <w:t xml:space="preserve">  </w:t>
      </w:r>
      <w:r w:rsidR="001B78CB">
        <w:t>The</w:t>
      </w:r>
      <w:proofErr w:type="gramEnd"/>
      <w:r w:rsidR="0098412B" w:rsidRPr="009673E7">
        <w:t xml:space="preserve"> Commission considered and rejected </w:t>
      </w:r>
      <w:r w:rsidR="00BD45EA">
        <w:t>PSE’s argument</w:t>
      </w:r>
      <w:r w:rsidR="00D2031A" w:rsidRPr="009673E7">
        <w:t xml:space="preserve"> that selecting any plant other than its proposal would not allow it an opportunity </w:t>
      </w:r>
      <w:r w:rsidR="006F5AA9">
        <w:t xml:space="preserve">to </w:t>
      </w:r>
      <w:r w:rsidR="00D2031A" w:rsidRPr="009673E7">
        <w:t>earn its authorized equity adder</w:t>
      </w:r>
      <w:r w:rsidR="000C1845">
        <w:t>.</w:t>
      </w:r>
      <w:r w:rsidR="000C1845" w:rsidRPr="009673E7">
        <w:rPr>
          <w:u w:val="single"/>
          <w:vertAlign w:val="superscript"/>
        </w:rPr>
        <w:footnoteReference w:id="6"/>
      </w:r>
      <w:proofErr w:type="gramStart"/>
      <w:r w:rsidR="000C1845" w:rsidRPr="009673E7">
        <w:rPr>
          <w:vertAlign w:val="superscript"/>
        </w:rPr>
        <w:t>/</w:t>
      </w:r>
      <w:r w:rsidR="000C1845">
        <w:t xml:space="preserve">  Similarly</w:t>
      </w:r>
      <w:proofErr w:type="gramEnd"/>
      <w:r w:rsidR="000C1845">
        <w:t xml:space="preserve">, the Commission already concluded </w:t>
      </w:r>
      <w:r w:rsidR="00D2031A" w:rsidRPr="009673E7">
        <w:t xml:space="preserve">that </w:t>
      </w:r>
      <w:r w:rsidR="00C778A7">
        <w:t>“equivalent”</w:t>
      </w:r>
      <w:r w:rsidR="00D2031A" w:rsidRPr="009673E7">
        <w:t xml:space="preserve"> plant </w:t>
      </w:r>
      <w:r w:rsidR="00C778A7">
        <w:t xml:space="preserve">may be measured by reference to a facility </w:t>
      </w:r>
      <w:r w:rsidR="00D2031A" w:rsidRPr="009673E7">
        <w:t xml:space="preserve">not currently available to </w:t>
      </w:r>
      <w:r w:rsidR="00C778A7">
        <w:t>PSE</w:t>
      </w:r>
      <w:r w:rsidR="00D2031A" w:rsidRPr="009673E7">
        <w:t>.</w:t>
      </w:r>
      <w:r w:rsidR="000C1845">
        <w:rPr>
          <w:rStyle w:val="FootnoteReference"/>
        </w:rPr>
        <w:footnoteReference w:id="7"/>
      </w:r>
      <w:proofErr w:type="gramStart"/>
      <w:r w:rsidR="000C1845" w:rsidRPr="000C1845">
        <w:rPr>
          <w:vertAlign w:val="superscript"/>
        </w:rPr>
        <w:t>/</w:t>
      </w:r>
      <w:r w:rsidR="00D2031A" w:rsidRPr="009673E7">
        <w:t xml:space="preserve">  In</w:t>
      </w:r>
      <w:proofErr w:type="gramEnd"/>
      <w:r w:rsidR="00D2031A" w:rsidRPr="009673E7">
        <w:t xml:space="preserve"> fact, the Commission concluded that PSE’s previously raised </w:t>
      </w:r>
      <w:r w:rsidR="0098412B" w:rsidRPr="009673E7">
        <w:t>position</w:t>
      </w:r>
      <w:r w:rsidR="00D2031A" w:rsidRPr="009673E7">
        <w:t xml:space="preserve"> “defies logic.”</w:t>
      </w:r>
      <w:r w:rsidR="00D2031A" w:rsidRPr="009673E7">
        <w:rPr>
          <w:u w:val="single"/>
          <w:vertAlign w:val="superscript"/>
        </w:rPr>
        <w:footnoteReference w:id="8"/>
      </w:r>
      <w:proofErr w:type="gramStart"/>
      <w:r w:rsidR="00D2031A" w:rsidRPr="009673E7">
        <w:rPr>
          <w:vertAlign w:val="superscript"/>
        </w:rPr>
        <w:t>/</w:t>
      </w:r>
      <w:r w:rsidR="00D2031A" w:rsidRPr="009673E7">
        <w:t xml:space="preserve">  </w:t>
      </w:r>
      <w:r w:rsidR="001826F5">
        <w:t>Reconsideration</w:t>
      </w:r>
      <w:proofErr w:type="gramEnd"/>
      <w:r w:rsidR="001826F5">
        <w:t xml:space="preserve"> </w:t>
      </w:r>
      <w:r w:rsidR="006F5AA9">
        <w:t xml:space="preserve">on this issue </w:t>
      </w:r>
      <w:r w:rsidR="001826F5">
        <w:t>should be rejected, as PSE has raised no new issues nor identified any errors of law or fact.</w:t>
      </w:r>
      <w:r w:rsidR="00D2031A" w:rsidRPr="009673E7">
        <w:t xml:space="preserve">  </w:t>
      </w:r>
      <w:r w:rsidRPr="009673E7">
        <w:t xml:space="preserve"> </w:t>
      </w:r>
      <w:r w:rsidR="00645893" w:rsidRPr="009673E7">
        <w:t xml:space="preserve">  </w:t>
      </w:r>
    </w:p>
    <w:p w:rsidR="0098412B" w:rsidRPr="009673E7" w:rsidRDefault="0098412B" w:rsidP="0098412B">
      <w:pPr>
        <w:pStyle w:val="WUTCParagraph"/>
        <w:keepNext/>
        <w:keepLines/>
        <w:numPr>
          <w:ilvl w:val="0"/>
          <w:numId w:val="0"/>
        </w:numPr>
        <w:tabs>
          <w:tab w:val="clear" w:pos="1440"/>
        </w:tabs>
        <w:spacing w:after="240" w:line="240" w:lineRule="auto"/>
        <w:ind w:left="2160" w:hanging="720"/>
        <w:rPr>
          <w:b/>
        </w:rPr>
      </w:pPr>
      <w:r w:rsidRPr="009673E7">
        <w:rPr>
          <w:b/>
        </w:rPr>
        <w:t>b.</w:t>
      </w:r>
      <w:r w:rsidRPr="009673E7">
        <w:tab/>
      </w:r>
      <w:r w:rsidRPr="009673E7">
        <w:rPr>
          <w:b/>
        </w:rPr>
        <w:t>The Commission Must Ensure that the TransAlta Contract Continues to Qualify as a Coal Transition Contract</w:t>
      </w:r>
    </w:p>
    <w:p w:rsidR="00317C00" w:rsidRPr="009673E7" w:rsidRDefault="00E84F11" w:rsidP="00205A34">
      <w:pPr>
        <w:pStyle w:val="MJDWUTCBrief"/>
      </w:pPr>
      <w:r w:rsidRPr="009673E7">
        <w:t xml:space="preserve"> </w:t>
      </w:r>
      <w:r w:rsidR="00F42ED1" w:rsidRPr="009673E7">
        <w:tab/>
      </w:r>
      <w:r w:rsidR="007910C6" w:rsidRPr="009673E7">
        <w:t xml:space="preserve">The Commission’s reporting requirements </w:t>
      </w:r>
      <w:r w:rsidR="00741D1E" w:rsidRPr="009673E7">
        <w:t xml:space="preserve">were </w:t>
      </w:r>
      <w:r w:rsidR="0098412B" w:rsidRPr="009673E7">
        <w:t xml:space="preserve">also </w:t>
      </w:r>
      <w:r w:rsidR="005014EA">
        <w:t xml:space="preserve">fully </w:t>
      </w:r>
      <w:r w:rsidR="00741D1E" w:rsidRPr="009673E7">
        <w:t xml:space="preserve">considered by the parties and are reasonable </w:t>
      </w:r>
      <w:r w:rsidR="00E2053E">
        <w:t>conditions</w:t>
      </w:r>
      <w:r w:rsidR="00741D1E" w:rsidRPr="009673E7">
        <w:t xml:space="preserve"> to ensure that the Commission maintains its obligations to regulate in the public interest.  PSE does not object to the reporting requirement </w:t>
      </w:r>
      <w:r w:rsidR="00741D1E" w:rsidRPr="009673E7">
        <w:rPr>
          <w:u w:val="single"/>
        </w:rPr>
        <w:t>per</w:t>
      </w:r>
      <w:r w:rsidR="00741D1E" w:rsidRPr="009673E7">
        <w:t xml:space="preserve"> </w:t>
      </w:r>
      <w:r w:rsidR="00741D1E" w:rsidRPr="009673E7">
        <w:rPr>
          <w:u w:val="single"/>
        </w:rPr>
        <w:t>se</w:t>
      </w:r>
      <w:r w:rsidR="00741D1E" w:rsidRPr="009673E7">
        <w:t>, but seeks reconsideration of the Commission’s conclusions that it will continue to monitor the TransAlta contract to ensure that it continues to qualify as a coal transition contract.</w:t>
      </w:r>
      <w:r w:rsidR="00741D1E" w:rsidRPr="009673E7">
        <w:rPr>
          <w:u w:val="single"/>
          <w:vertAlign w:val="superscript"/>
        </w:rPr>
        <w:footnoteReference w:id="9"/>
      </w:r>
      <w:r w:rsidR="00741D1E" w:rsidRPr="009673E7">
        <w:rPr>
          <w:vertAlign w:val="superscript"/>
        </w:rPr>
        <w:t>/</w:t>
      </w:r>
      <w:r w:rsidR="00741D1E" w:rsidRPr="009673E7">
        <w:t xml:space="preserve">  </w:t>
      </w:r>
      <w:r w:rsidR="00317C00" w:rsidRPr="009673E7">
        <w:t xml:space="preserve">PSE argues that it is inappropriate for the Commission to maintain its jurisdiction over the contract, and that any such </w:t>
      </w:r>
      <w:r w:rsidR="00317C00" w:rsidRPr="009673E7">
        <w:lastRenderedPageBreak/>
        <w:t>monitoring would be inconsistent with how the Commission reviews other PSE resources and contracts.</w:t>
      </w:r>
      <w:r w:rsidR="00317C00" w:rsidRPr="009673E7">
        <w:rPr>
          <w:u w:val="single"/>
          <w:vertAlign w:val="superscript"/>
        </w:rPr>
        <w:footnoteReference w:id="10"/>
      </w:r>
      <w:r w:rsidR="00317C00" w:rsidRPr="009673E7">
        <w:rPr>
          <w:vertAlign w:val="superscript"/>
        </w:rPr>
        <w:t>/</w:t>
      </w:r>
      <w:r w:rsidR="00317C00" w:rsidRPr="009673E7">
        <w:t xml:space="preserve">  </w:t>
      </w:r>
      <w:r w:rsidR="0098412B" w:rsidRPr="009673E7">
        <w:t xml:space="preserve">PSE presents </w:t>
      </w:r>
      <w:r w:rsidR="00C778A7">
        <w:t>an</w:t>
      </w:r>
      <w:r w:rsidR="00E2053E">
        <w:t xml:space="preserve"> inaccurate view of</w:t>
      </w:r>
      <w:r w:rsidR="0098412B" w:rsidRPr="009673E7">
        <w:t xml:space="preserve"> utility regulation that would require the Commission to abdicate its responsibilities to regulate in the public interest and protect customers.</w:t>
      </w:r>
    </w:p>
    <w:p w:rsidR="000B7121" w:rsidRPr="009673E7" w:rsidRDefault="00317C00" w:rsidP="00205A34">
      <w:pPr>
        <w:pStyle w:val="MJDWUTCBrief"/>
      </w:pPr>
      <w:r w:rsidRPr="009673E7">
        <w:tab/>
      </w:r>
      <w:r w:rsidR="000B7121" w:rsidRPr="009673E7">
        <w:t xml:space="preserve">The Commission adopted </w:t>
      </w:r>
      <w:r w:rsidR="00C778A7">
        <w:t>the Order 03</w:t>
      </w:r>
      <w:r w:rsidR="000B7121" w:rsidRPr="009673E7">
        <w:t xml:space="preserve"> reporting requirements only after rejecting similar, but more stringent conditions recommended by Staff and Public Counsel.  Staff and Public Counsel both recommended that the Commission condition any approval of the TransAlta contract upon requirements that would ensure that </w:t>
      </w:r>
      <w:r w:rsidR="00E2053E">
        <w:t xml:space="preserve">the </w:t>
      </w:r>
      <w:r w:rsidR="000B7121" w:rsidRPr="009673E7">
        <w:t>contract retains its essential purpose as a coal transition contract.</w:t>
      </w:r>
      <w:r w:rsidR="000B7121" w:rsidRPr="009673E7">
        <w:rPr>
          <w:u w:val="single"/>
          <w:vertAlign w:val="superscript"/>
        </w:rPr>
        <w:footnoteReference w:id="11"/>
      </w:r>
      <w:r w:rsidR="000B7121" w:rsidRPr="009673E7">
        <w:rPr>
          <w:vertAlign w:val="superscript"/>
        </w:rPr>
        <w:t>/</w:t>
      </w:r>
      <w:r w:rsidR="000B7121" w:rsidRPr="009673E7">
        <w:t xml:space="preserve">  In lieu of imposing more stringent conditions, the Commission simply required PSE to provide additional information in the future, which could </w:t>
      </w:r>
      <w:r w:rsidR="00105EA4" w:rsidRPr="009673E7">
        <w:t xml:space="preserve">be used to ensure that </w:t>
      </w:r>
      <w:r w:rsidR="00621F75">
        <w:t xml:space="preserve">the </w:t>
      </w:r>
      <w:r w:rsidR="00105EA4" w:rsidRPr="009673E7">
        <w:t>facility continues to “qualify under the terms of RCW 80.04.570 and related authority as a ‘coal transition PPA.’”</w:t>
      </w:r>
      <w:r w:rsidR="00105EA4" w:rsidRPr="009673E7">
        <w:rPr>
          <w:u w:val="single"/>
          <w:vertAlign w:val="superscript"/>
        </w:rPr>
        <w:footnoteReference w:id="12"/>
      </w:r>
      <w:r w:rsidR="00105EA4" w:rsidRPr="009673E7">
        <w:rPr>
          <w:vertAlign w:val="superscript"/>
        </w:rPr>
        <w:t>/</w:t>
      </w:r>
      <w:r w:rsidR="00105EA4" w:rsidRPr="009673E7">
        <w:t xml:space="preserve"> </w:t>
      </w:r>
      <w:r w:rsidR="000B7121" w:rsidRPr="009673E7">
        <w:t xml:space="preserve">  </w:t>
      </w:r>
    </w:p>
    <w:p w:rsidR="003672BD" w:rsidRPr="009673E7" w:rsidRDefault="000B7121" w:rsidP="00205A34">
      <w:pPr>
        <w:pStyle w:val="MJDWUTCBrief"/>
      </w:pPr>
      <w:r w:rsidRPr="009673E7">
        <w:tab/>
      </w:r>
      <w:r w:rsidR="00621F75">
        <w:t>PSE</w:t>
      </w:r>
      <w:r w:rsidR="00E06533">
        <w:t xml:space="preserve">’s </w:t>
      </w:r>
      <w:r w:rsidR="00317C00" w:rsidRPr="009673E7">
        <w:t xml:space="preserve">claims </w:t>
      </w:r>
      <w:r w:rsidR="00E06533">
        <w:t xml:space="preserve">that </w:t>
      </w:r>
      <w:r w:rsidR="006F5AA9">
        <w:t xml:space="preserve">the Commission must </w:t>
      </w:r>
      <w:r w:rsidR="00105EA4" w:rsidRPr="009673E7">
        <w:t xml:space="preserve">approve or disapprove the TransAlta contract and that </w:t>
      </w:r>
      <w:r w:rsidR="00317C00" w:rsidRPr="009673E7">
        <w:t>it is being treated differently than if it had built or purchased an equivalent plant are erroneous.  For example, PSE asserts that if it had purchased or</w:t>
      </w:r>
      <w:r w:rsidR="00621F75">
        <w:t xml:space="preserve"> built its own power plant,</w:t>
      </w:r>
      <w:r w:rsidR="00317C00" w:rsidRPr="009673E7">
        <w:t xml:space="preserve"> once the Commission determine</w:t>
      </w:r>
      <w:r w:rsidR="0098412B" w:rsidRPr="009673E7">
        <w:t>d</w:t>
      </w:r>
      <w:r w:rsidR="00317C00" w:rsidRPr="009673E7">
        <w:t xml:space="preserve"> th</w:t>
      </w:r>
      <w:r w:rsidR="00590F39">
        <w:t>e construction was prudent,</w:t>
      </w:r>
      <w:r w:rsidR="00317C00" w:rsidRPr="009673E7">
        <w:t xml:space="preserve"> PSE would be allowed to recover all its costs throughout the life of the plant.</w:t>
      </w:r>
      <w:r w:rsidR="00317C00" w:rsidRPr="009673E7">
        <w:rPr>
          <w:u w:val="single"/>
          <w:vertAlign w:val="superscript"/>
        </w:rPr>
        <w:footnoteReference w:id="13"/>
      </w:r>
      <w:r w:rsidR="00317C00" w:rsidRPr="009673E7">
        <w:rPr>
          <w:vertAlign w:val="superscript"/>
        </w:rPr>
        <w:t>/</w:t>
      </w:r>
      <w:r w:rsidR="00317C00" w:rsidRPr="009673E7">
        <w:t xml:space="preserve">  </w:t>
      </w:r>
      <w:r w:rsidR="00105EA4" w:rsidRPr="009673E7">
        <w:t>As a matter of law and sound regulatory policy, the Commission always retains the jurisdiction and option to review previously approved resources to ensure that they being prudently managed, continue to provide benefits to customers, and are used and useful.</w:t>
      </w:r>
      <w:r w:rsidR="003672BD" w:rsidRPr="009673E7">
        <w:t xml:space="preserve">  For example, the Commission recently disallowed the costs of </w:t>
      </w:r>
      <w:r w:rsidR="0098412B" w:rsidRPr="009673E7">
        <w:t xml:space="preserve">a </w:t>
      </w:r>
      <w:r w:rsidR="003672BD" w:rsidRPr="009673E7">
        <w:t xml:space="preserve">PacifiCorp </w:t>
      </w:r>
      <w:r w:rsidR="003672BD" w:rsidRPr="009673E7">
        <w:lastRenderedPageBreak/>
        <w:t xml:space="preserve">contract on the grounds that, even if it had been prudently </w:t>
      </w:r>
      <w:r w:rsidR="00E2053E">
        <w:t>entered into years ago</w:t>
      </w:r>
      <w:r w:rsidR="003672BD" w:rsidRPr="009673E7">
        <w:t>, PacifiCorp failed to provide evidence that the contract was being prudently managed and was currently used, useful or needed to provide service to Washington customers.</w:t>
      </w:r>
      <w:r w:rsidR="003672BD" w:rsidRPr="009673E7">
        <w:rPr>
          <w:u w:val="single"/>
          <w:vertAlign w:val="superscript"/>
        </w:rPr>
        <w:footnoteReference w:id="14"/>
      </w:r>
      <w:r w:rsidR="003672BD" w:rsidRPr="009673E7">
        <w:rPr>
          <w:vertAlign w:val="superscript"/>
        </w:rPr>
        <w:t>/</w:t>
      </w:r>
      <w:r w:rsidR="003672BD" w:rsidRPr="009673E7">
        <w:t xml:space="preserve">  </w:t>
      </w:r>
    </w:p>
    <w:p w:rsidR="006B0E5E" w:rsidRPr="009673E7" w:rsidRDefault="003672BD" w:rsidP="00205A34">
      <w:pPr>
        <w:pStyle w:val="MJDWUTCBrief"/>
      </w:pPr>
      <w:r w:rsidRPr="009673E7">
        <w:tab/>
        <w:t>Order No</w:t>
      </w:r>
      <w:r w:rsidR="00C778A7">
        <w:t>.</w:t>
      </w:r>
      <w:r w:rsidRPr="009673E7">
        <w:t xml:space="preserve"> 3 is no different in substance, but</w:t>
      </w:r>
      <w:r w:rsidR="0098412B" w:rsidRPr="009673E7">
        <w:t xml:space="preserve"> simply</w:t>
      </w:r>
      <w:r w:rsidRPr="009673E7">
        <w:t xml:space="preserve"> require</w:t>
      </w:r>
      <w:r w:rsidR="0098412B" w:rsidRPr="009673E7">
        <w:t>s</w:t>
      </w:r>
      <w:r w:rsidRPr="009673E7">
        <w:t xml:space="preserve"> additional reporting requirements</w:t>
      </w:r>
      <w:r w:rsidR="0098412B" w:rsidRPr="009673E7">
        <w:t>, which is reasonable</w:t>
      </w:r>
      <w:r w:rsidRPr="009673E7">
        <w:t xml:space="preserve"> given the unique nature of the contract and the </w:t>
      </w:r>
      <w:r w:rsidR="006B0E5E" w:rsidRPr="009673E7">
        <w:t>coal transition statute</w:t>
      </w:r>
      <w:r w:rsidR="001826F5">
        <w:t xml:space="preserve">.  The Commission </w:t>
      </w:r>
      <w:r w:rsidRPr="009673E7">
        <w:t xml:space="preserve">recognized that the factual details of the TransAlta </w:t>
      </w:r>
      <w:r w:rsidR="00590F39">
        <w:t>PPA</w:t>
      </w:r>
      <w:r w:rsidRPr="009673E7">
        <w:t xml:space="preserve"> could change in the future in a manner that </w:t>
      </w:r>
      <w:r w:rsidR="00621F75">
        <w:t xml:space="preserve">causes </w:t>
      </w:r>
      <w:r w:rsidRPr="009673E7">
        <w:t>it</w:t>
      </w:r>
      <w:r w:rsidR="00621F75">
        <w:t xml:space="preserve"> to</w:t>
      </w:r>
      <w:r w:rsidRPr="009673E7">
        <w:t xml:space="preserve"> no longer </w:t>
      </w:r>
      <w:r w:rsidR="006B0E5E" w:rsidRPr="009673E7">
        <w:t xml:space="preserve">legally </w:t>
      </w:r>
      <w:r w:rsidR="00EC019E">
        <w:t>qualify</w:t>
      </w:r>
      <w:r w:rsidRPr="009673E7">
        <w:t xml:space="preserve"> as a coal transition contract.</w:t>
      </w:r>
      <w:r w:rsidRPr="009673E7">
        <w:rPr>
          <w:u w:val="single"/>
          <w:vertAlign w:val="superscript"/>
        </w:rPr>
        <w:footnoteReference w:id="15"/>
      </w:r>
      <w:r w:rsidRPr="009673E7">
        <w:rPr>
          <w:vertAlign w:val="superscript"/>
        </w:rPr>
        <w:t>/</w:t>
      </w:r>
      <w:r w:rsidRPr="009673E7">
        <w:t xml:space="preserve">  Similar to any other resource that may no longer be necessary, used and useful</w:t>
      </w:r>
      <w:r w:rsidR="006B0E5E" w:rsidRPr="009673E7">
        <w:t>,</w:t>
      </w:r>
      <w:r w:rsidRPr="009673E7">
        <w:t xml:space="preserve"> or may become imprudently managed, the Commission must continue to monitor and ensure that the TransAlta </w:t>
      </w:r>
      <w:r w:rsidR="00590F39">
        <w:t>PPA</w:t>
      </w:r>
      <w:r w:rsidRPr="009673E7">
        <w:t xml:space="preserve"> </w:t>
      </w:r>
      <w:r w:rsidR="00301943" w:rsidRPr="009673E7">
        <w:t>complies with all statutory and public policy requirements.</w:t>
      </w:r>
      <w:r w:rsidR="00590F39">
        <w:t xml:space="preserve">  The Commission</w:t>
      </w:r>
      <w:r w:rsidR="001B2218">
        <w:t>’s</w:t>
      </w:r>
      <w:r w:rsidR="00590F39">
        <w:t xml:space="preserve"> imposed</w:t>
      </w:r>
      <w:r w:rsidR="001B2218">
        <w:t xml:space="preserve"> conditions</w:t>
      </w:r>
      <w:r w:rsidR="00301943" w:rsidRPr="009673E7">
        <w:t xml:space="preserve"> </w:t>
      </w:r>
      <w:r w:rsidR="00590F39">
        <w:t xml:space="preserve">do nothing more than this. </w:t>
      </w:r>
      <w:r w:rsidR="00301943" w:rsidRPr="009673E7">
        <w:t xml:space="preserve"> </w:t>
      </w:r>
      <w:r w:rsidRPr="009673E7">
        <w:t xml:space="preserve">    </w:t>
      </w:r>
      <w:r w:rsidR="00105EA4" w:rsidRPr="009673E7">
        <w:t xml:space="preserve">   </w:t>
      </w:r>
      <w:r w:rsidR="00317C00" w:rsidRPr="009673E7">
        <w:t xml:space="preserve">   </w:t>
      </w:r>
      <w:r w:rsidR="00741D1E" w:rsidRPr="009673E7">
        <w:t xml:space="preserve"> </w:t>
      </w:r>
    </w:p>
    <w:p w:rsidR="00E84F11" w:rsidRPr="009673E7" w:rsidRDefault="006B0E5E" w:rsidP="006B0E5E">
      <w:pPr>
        <w:pStyle w:val="WUTCParagraph"/>
        <w:keepNext/>
        <w:keepLines/>
        <w:numPr>
          <w:ilvl w:val="0"/>
          <w:numId w:val="0"/>
        </w:numPr>
        <w:tabs>
          <w:tab w:val="clear" w:pos="1440"/>
        </w:tabs>
        <w:spacing w:after="240" w:line="240" w:lineRule="auto"/>
        <w:ind w:left="2160" w:hanging="720"/>
        <w:rPr>
          <w:b/>
        </w:rPr>
      </w:pPr>
      <w:r w:rsidRPr="009673E7">
        <w:rPr>
          <w:b/>
        </w:rPr>
        <w:t>c.</w:t>
      </w:r>
      <w:r w:rsidRPr="009673E7">
        <w:tab/>
      </w:r>
      <w:r w:rsidRPr="009673E7">
        <w:rPr>
          <w:b/>
        </w:rPr>
        <w:t>The Commission Appropriately Postponed Consideration of Whether a Deferral is Warranted</w:t>
      </w:r>
      <w:r w:rsidR="00741D1E" w:rsidRPr="009673E7">
        <w:t xml:space="preserve">   </w:t>
      </w:r>
    </w:p>
    <w:p w:rsidR="00E84F11" w:rsidRPr="00205A34" w:rsidRDefault="00301943" w:rsidP="00205A34">
      <w:pPr>
        <w:pStyle w:val="MJDWUTCBrief"/>
      </w:pPr>
      <w:r w:rsidRPr="009673E7">
        <w:tab/>
      </w:r>
      <w:r w:rsidRPr="00205A34">
        <w:t>Finally, PSE argues that the Commission must issue a ruling on whether it will be allowed deferred accounting for costs associated with the TransAlta contract.</w:t>
      </w:r>
      <w:r w:rsidRPr="001B78CB">
        <w:rPr>
          <w:u w:val="single"/>
          <w:vertAlign w:val="superscript"/>
        </w:rPr>
        <w:footnoteReference w:id="16"/>
      </w:r>
      <w:r w:rsidRPr="001B78CB">
        <w:rPr>
          <w:vertAlign w:val="superscript"/>
        </w:rPr>
        <w:t xml:space="preserve">/ </w:t>
      </w:r>
      <w:r w:rsidRPr="00205A34">
        <w:t xml:space="preserve"> </w:t>
      </w:r>
      <w:r w:rsidR="00DE1C75" w:rsidRPr="00205A34">
        <w:t>PSE already requested that the Commission re</w:t>
      </w:r>
      <w:r w:rsidR="00E2053E" w:rsidRPr="00205A34">
        <w:t>solve this issue in its favor</w:t>
      </w:r>
      <w:r w:rsidR="00DE1C75" w:rsidRPr="00205A34">
        <w:t>, and provided arguments in its opening and rebuttal testimony.</w:t>
      </w:r>
      <w:r w:rsidR="00DE1C75" w:rsidRPr="001B78CB">
        <w:rPr>
          <w:u w:val="single"/>
          <w:vertAlign w:val="superscript"/>
        </w:rPr>
        <w:footnoteReference w:id="17"/>
      </w:r>
      <w:r w:rsidR="00DE1C75" w:rsidRPr="001B78CB">
        <w:rPr>
          <w:vertAlign w:val="superscript"/>
        </w:rPr>
        <w:t xml:space="preserve">/ </w:t>
      </w:r>
      <w:r w:rsidR="00DE1C75" w:rsidRPr="00205A34">
        <w:t xml:space="preserve"> PSE points to no specific statutory provision that requires the Commissio</w:t>
      </w:r>
      <w:r w:rsidR="00590F39">
        <w:t>n to open a deferred account</w:t>
      </w:r>
      <w:r w:rsidR="006B0E5E" w:rsidRPr="00205A34">
        <w:t xml:space="preserve"> to</w:t>
      </w:r>
      <w:r w:rsidR="00DE1C75" w:rsidRPr="00205A34">
        <w:t xml:space="preserve"> resolve the question of deferred accounting at this time.</w:t>
      </w:r>
      <w:r w:rsidR="00DE1C75" w:rsidRPr="001B78CB">
        <w:rPr>
          <w:u w:val="single"/>
          <w:vertAlign w:val="superscript"/>
        </w:rPr>
        <w:footnoteReference w:id="18"/>
      </w:r>
      <w:r w:rsidR="00DE1C75" w:rsidRPr="001B78CB">
        <w:rPr>
          <w:vertAlign w:val="superscript"/>
        </w:rPr>
        <w:t>/</w:t>
      </w:r>
      <w:r w:rsidR="00DE1C75" w:rsidRPr="00205A34">
        <w:t xml:space="preserve">  As the Commission explained, this is a ratemaking issue that is more appropriate to </w:t>
      </w:r>
      <w:r w:rsidR="00DE1C75" w:rsidRPr="00205A34">
        <w:lastRenderedPageBreak/>
        <w:t>address in the conte</w:t>
      </w:r>
      <w:r w:rsidR="00FC1557" w:rsidRPr="00205A34">
        <w:t>xt of a general rate proceeding.</w:t>
      </w:r>
      <w:r w:rsidR="00E2053E" w:rsidRPr="001B78CB">
        <w:rPr>
          <w:rStyle w:val="FootnoteReference"/>
        </w:rPr>
        <w:footnoteReference w:id="19"/>
      </w:r>
      <w:r w:rsidR="00E2053E" w:rsidRPr="001B78CB">
        <w:rPr>
          <w:vertAlign w:val="superscript"/>
        </w:rPr>
        <w:t>/</w:t>
      </w:r>
      <w:r w:rsidR="00FC1557" w:rsidRPr="00205A34">
        <w:t xml:space="preserve">  The coal transi</w:t>
      </w:r>
      <w:r w:rsidR="00CD445F" w:rsidRPr="00205A34">
        <w:t>tion statute specifically states that a request for approval of the contact “is not considered a general rate case</w:t>
      </w:r>
      <w:r w:rsidR="00FC1557" w:rsidRPr="00205A34">
        <w:t>,</w:t>
      </w:r>
      <w:r w:rsidR="00CD445F" w:rsidRPr="00205A34">
        <w:t>”</w:t>
      </w:r>
      <w:r w:rsidR="00CD445F" w:rsidRPr="00F279E8">
        <w:rPr>
          <w:u w:val="single"/>
          <w:vertAlign w:val="superscript"/>
        </w:rPr>
        <w:footnoteReference w:id="20"/>
      </w:r>
      <w:r w:rsidR="00CD445F" w:rsidRPr="00F279E8">
        <w:rPr>
          <w:vertAlign w:val="superscript"/>
        </w:rPr>
        <w:t>/</w:t>
      </w:r>
      <w:r w:rsidR="00590F39">
        <w:t xml:space="preserve"> and</w:t>
      </w:r>
      <w:r w:rsidR="00CD445F" w:rsidRPr="00205A34">
        <w:t xml:space="preserve"> </w:t>
      </w:r>
      <w:r w:rsidR="00DE1C75" w:rsidRPr="00205A34">
        <w:t>in the absence of a specific statutory provision</w:t>
      </w:r>
      <w:r w:rsidR="00FC1557" w:rsidRPr="00205A34">
        <w:t>, the Commission</w:t>
      </w:r>
      <w:r w:rsidR="00CD445F" w:rsidRPr="00205A34">
        <w:t xml:space="preserve"> is entirely within its discretion to postpone final resolution of issues regarding the deferral of any costs </w:t>
      </w:r>
      <w:r w:rsidR="00075455" w:rsidRPr="00205A34">
        <w:t xml:space="preserve">to an actual rate proceeding.  </w:t>
      </w:r>
    </w:p>
    <w:p w:rsidR="008428A7" w:rsidRPr="009673E7" w:rsidRDefault="00E123C0" w:rsidP="007A4288">
      <w:pPr>
        <w:pStyle w:val="WUTCParagraph"/>
        <w:numPr>
          <w:ilvl w:val="0"/>
          <w:numId w:val="0"/>
        </w:numPr>
        <w:tabs>
          <w:tab w:val="clear" w:pos="1440"/>
        </w:tabs>
      </w:pPr>
      <w:r w:rsidRPr="009673E7">
        <w:rPr>
          <w:b/>
        </w:rPr>
        <w:t>B</w:t>
      </w:r>
      <w:r w:rsidR="000C30A7" w:rsidRPr="009673E7">
        <w:rPr>
          <w:b/>
        </w:rPr>
        <w:t>.</w:t>
      </w:r>
      <w:r w:rsidR="000C30A7" w:rsidRPr="009673E7">
        <w:rPr>
          <w:b/>
        </w:rPr>
        <w:tab/>
        <w:t xml:space="preserve">The Commission Should Not Reopen the Record </w:t>
      </w:r>
      <w:r w:rsidR="0006250E" w:rsidRPr="009673E7">
        <w:t xml:space="preserve"> </w:t>
      </w:r>
      <w:r w:rsidR="00327E9E" w:rsidRPr="009673E7">
        <w:t xml:space="preserve"> </w:t>
      </w:r>
    </w:p>
    <w:p w:rsidR="002A4A00" w:rsidRPr="00081EA6" w:rsidRDefault="00E068D6" w:rsidP="00205A34">
      <w:pPr>
        <w:pStyle w:val="MJDWUTCBrief"/>
        <w:rPr>
          <w:vertAlign w:val="superscript"/>
        </w:rPr>
      </w:pPr>
      <w:r w:rsidRPr="009673E7">
        <w:tab/>
        <w:t xml:space="preserve">The Commission should deny </w:t>
      </w:r>
      <w:r w:rsidR="005B21C4" w:rsidRPr="009673E7">
        <w:t xml:space="preserve">PSE’s </w:t>
      </w:r>
      <w:r w:rsidR="00EC019E">
        <w:t>motion</w:t>
      </w:r>
      <w:r w:rsidRPr="009673E7">
        <w:t xml:space="preserve"> to reopen the record</w:t>
      </w:r>
      <w:r w:rsidR="00EC019E">
        <w:t>, because it</w:t>
      </w:r>
      <w:r w:rsidR="00810E7D">
        <w:t xml:space="preserve"> was deficiently filed in direct violation of Commission rules, and should be rejected on this basis alone.  In addition, </w:t>
      </w:r>
      <w:r w:rsidR="005B21C4" w:rsidRPr="009673E7">
        <w:t xml:space="preserve">PSE </w:t>
      </w:r>
      <w:r w:rsidR="002A4A00" w:rsidRPr="009673E7">
        <w:t>has faile</w:t>
      </w:r>
      <w:r w:rsidR="00E05746" w:rsidRPr="009673E7">
        <w:t>d to establish that its additional</w:t>
      </w:r>
      <w:r w:rsidR="002A4A00" w:rsidRPr="009673E7">
        <w:t xml:space="preserve"> evidence would meet any of the Commission’s requirements for reopening the record.  </w:t>
      </w:r>
      <w:r w:rsidR="00810E7D">
        <w:t>Finally</w:t>
      </w:r>
      <w:r w:rsidR="002A4A00" w:rsidRPr="009673E7">
        <w:t xml:space="preserve">, </w:t>
      </w:r>
      <w:r w:rsidR="005B21C4" w:rsidRPr="009673E7">
        <w:t xml:space="preserve">PSE’s </w:t>
      </w:r>
      <w:r w:rsidR="002A4A00" w:rsidRPr="009673E7">
        <w:t xml:space="preserve">new evidence </w:t>
      </w:r>
      <w:r w:rsidR="00FC1557" w:rsidRPr="009673E7">
        <w:t xml:space="preserve">has not been reviewed or subjected to discovery and cross examination, </w:t>
      </w:r>
      <w:r w:rsidR="002A4A00" w:rsidRPr="009673E7">
        <w:t xml:space="preserve">and </w:t>
      </w:r>
      <w:r w:rsidR="00FC1557" w:rsidRPr="009673E7">
        <w:t xml:space="preserve">all parties </w:t>
      </w:r>
      <w:r w:rsidR="00810E7D">
        <w:t>must</w:t>
      </w:r>
      <w:r w:rsidR="002A4A00" w:rsidRPr="009673E7">
        <w:t xml:space="preserve"> be provided an opportunity to respond if the record </w:t>
      </w:r>
      <w:r w:rsidR="005014EA">
        <w:t>were</w:t>
      </w:r>
      <w:r w:rsidR="002A4A00" w:rsidRPr="009673E7">
        <w:t xml:space="preserve"> reopened.</w:t>
      </w:r>
    </w:p>
    <w:p w:rsidR="00081EA6" w:rsidRPr="009673E7" w:rsidRDefault="00081EA6" w:rsidP="00205A34">
      <w:pPr>
        <w:pStyle w:val="MJDWUTCBrief"/>
        <w:rPr>
          <w:vertAlign w:val="superscript"/>
        </w:rPr>
      </w:pPr>
      <w:r>
        <w:t xml:space="preserve"> </w:t>
      </w:r>
      <w:r>
        <w:tab/>
        <w:t xml:space="preserve">As a threshold matter, Commission rules bar consideration of PSE’s </w:t>
      </w:r>
      <w:r w:rsidR="005014EA">
        <w:t>M</w:t>
      </w:r>
      <w:r>
        <w:t xml:space="preserve">otion to </w:t>
      </w:r>
      <w:r w:rsidR="005014EA">
        <w:t>R</w:t>
      </w:r>
      <w:r>
        <w:t xml:space="preserve">eopen.  </w:t>
      </w:r>
      <w:r w:rsidR="0057371D">
        <w:t>WAC § 480-07-375(2) states that</w:t>
      </w:r>
      <w:r>
        <w:t xml:space="preserve"> “[p]arties must file motions separately from any pleadi</w:t>
      </w:r>
      <w:r w:rsidR="00EC3359">
        <w:t xml:space="preserve">ng or other communication with </w:t>
      </w:r>
      <w:r>
        <w:t>the commission.  The commission will not consider motions that are merely stated in the body of a pleading . . . .”</w:t>
      </w:r>
      <w:r w:rsidRPr="009673E7">
        <w:rPr>
          <w:u w:val="single"/>
          <w:vertAlign w:val="superscript"/>
        </w:rPr>
        <w:footnoteReference w:id="21"/>
      </w:r>
      <w:r w:rsidRPr="009673E7">
        <w:rPr>
          <w:vertAlign w:val="superscript"/>
        </w:rPr>
        <w:t>/</w:t>
      </w:r>
      <w:r>
        <w:t xml:space="preserve">  A petition for reconsideration is a “pleading” under Washington rules.</w:t>
      </w:r>
      <w:r w:rsidRPr="009673E7">
        <w:rPr>
          <w:u w:val="single"/>
          <w:vertAlign w:val="superscript"/>
        </w:rPr>
        <w:footnoteReference w:id="22"/>
      </w:r>
      <w:r w:rsidRPr="009673E7">
        <w:rPr>
          <w:vertAlign w:val="superscript"/>
        </w:rPr>
        <w:t>/</w:t>
      </w:r>
      <w:r w:rsidR="00621F75">
        <w:t xml:space="preserve">  PSE has included its Motion to R</w:t>
      </w:r>
      <w:r>
        <w:t xml:space="preserve">eopen as a subsection of </w:t>
      </w:r>
      <w:r w:rsidR="0057371D">
        <w:t>its Petition for Reconsideration.</w:t>
      </w:r>
      <w:r w:rsidR="0057371D" w:rsidRPr="009673E7">
        <w:rPr>
          <w:u w:val="single"/>
          <w:vertAlign w:val="superscript"/>
        </w:rPr>
        <w:footnoteReference w:id="23"/>
      </w:r>
      <w:r w:rsidR="0057371D" w:rsidRPr="009673E7">
        <w:rPr>
          <w:vertAlign w:val="superscript"/>
        </w:rPr>
        <w:t>/</w:t>
      </w:r>
      <w:r w:rsidR="0057371D">
        <w:t xml:space="preserve">  Therefore, it has not filed the motion separately from its pleading, and the Commission should adhere to its rule and</w:t>
      </w:r>
      <w:r w:rsidR="00EC3359">
        <w:t xml:space="preserve"> refuse to consider PSE’s Motion to Reopen</w:t>
      </w:r>
      <w:r w:rsidR="0057371D">
        <w:t>.</w:t>
      </w:r>
    </w:p>
    <w:p w:rsidR="000130B3" w:rsidRDefault="00FC1557" w:rsidP="00205A34">
      <w:pPr>
        <w:pStyle w:val="MJDWUTCBrief"/>
      </w:pPr>
      <w:r w:rsidRPr="009673E7">
        <w:lastRenderedPageBreak/>
        <w:tab/>
        <w:t>PSE</w:t>
      </w:r>
      <w:r w:rsidR="0057371D">
        <w:t>’s deficient motion</w:t>
      </w:r>
      <w:r w:rsidR="00621F75">
        <w:t xml:space="preserve"> asserts that it</w:t>
      </w:r>
      <w:r w:rsidRPr="009673E7">
        <w:t xml:space="preserve"> “is not clear whether the record in this case has been officially closed or whether it remains open,” but that the record should be reopened to review new evidence regarding an amendment to the TransAlta contract.</w:t>
      </w:r>
      <w:r w:rsidR="006B0E5E" w:rsidRPr="009673E7">
        <w:rPr>
          <w:rStyle w:val="FootnoteReference"/>
        </w:rPr>
        <w:footnoteReference w:id="24"/>
      </w:r>
      <w:r w:rsidR="00B95314" w:rsidRPr="009673E7">
        <w:rPr>
          <w:vertAlign w:val="superscript"/>
        </w:rPr>
        <w:t>/</w:t>
      </w:r>
      <w:r w:rsidRPr="009673E7">
        <w:t xml:space="preserve">  </w:t>
      </w:r>
      <w:r w:rsidR="0057371D">
        <w:t xml:space="preserve">PSE here ignores Commission rule and practice.  The Commission’s rules state that a final order issues “within ninety days </w:t>
      </w:r>
      <w:r w:rsidR="0057371D" w:rsidRPr="00AA6E33">
        <w:t>after the commission receives transcripts following the close of the record,</w:t>
      </w:r>
      <w:r w:rsidR="0057371D">
        <w:t xml:space="preserve"> hears oral argument . . . receives a petition for administrative review or an answer to a petition for review, whichever occurs last.”</w:t>
      </w:r>
      <w:r w:rsidR="0057371D" w:rsidRPr="009673E7">
        <w:rPr>
          <w:u w:val="single"/>
          <w:vertAlign w:val="superscript"/>
        </w:rPr>
        <w:footnoteReference w:id="25"/>
      </w:r>
      <w:r w:rsidR="0057371D" w:rsidRPr="00DD10AF">
        <w:rPr>
          <w:vertAlign w:val="superscript"/>
        </w:rPr>
        <w:t>/</w:t>
      </w:r>
      <w:r w:rsidR="0057371D">
        <w:t xml:space="preserve">  Therefore, unless the Commission makes exception</w:t>
      </w:r>
      <w:r w:rsidR="005014EA">
        <w:t>,</w:t>
      </w:r>
      <w:r w:rsidR="00AA6E33">
        <w:t xml:space="preserve"> </w:t>
      </w:r>
      <w:r w:rsidR="0057371D">
        <w:t>the record is closed by the time the Commission receives transcripts</w:t>
      </w:r>
      <w:r w:rsidR="005014EA">
        <w:t>, and</w:t>
      </w:r>
      <w:r w:rsidR="005603E7">
        <w:t xml:space="preserve"> a final order is issued </w:t>
      </w:r>
      <w:r w:rsidR="005603E7" w:rsidRPr="005014EA">
        <w:rPr>
          <w:u w:val="single"/>
        </w:rPr>
        <w:t>after</w:t>
      </w:r>
      <w:r w:rsidR="005603E7">
        <w:t xml:space="preserve"> a series of events have occurred, one of which is closure of the record.</w:t>
      </w:r>
      <w:r w:rsidR="00AA6E33">
        <w:t xml:space="preserve"> </w:t>
      </w:r>
      <w:r w:rsidR="0057371D">
        <w:t xml:space="preserve"> The fact that the Commission </w:t>
      </w:r>
      <w:r w:rsidR="005603E7">
        <w:t>may</w:t>
      </w:r>
      <w:r w:rsidR="0057371D">
        <w:t xml:space="preserve"> not state in an order</w:t>
      </w:r>
      <w:r w:rsidR="005603E7">
        <w:t xml:space="preserve"> the precise day upon which closure of the record occurred </w:t>
      </w:r>
      <w:r w:rsidR="00AA6E33">
        <w:t>is irrelev</w:t>
      </w:r>
      <w:r w:rsidR="005603E7">
        <w:t xml:space="preserve">ant.  In this case, transcripts were received, oral argument and briefing occurred, an order </w:t>
      </w:r>
      <w:r w:rsidR="00621F75">
        <w:t xml:space="preserve">was </w:t>
      </w:r>
      <w:r w:rsidR="005603E7">
        <w:t>issued, and the record</w:t>
      </w:r>
      <w:r w:rsidR="00440206">
        <w:t xml:space="preserve"> has</w:t>
      </w:r>
      <w:r w:rsidR="005603E7">
        <w:t xml:space="preserve"> long since</w:t>
      </w:r>
      <w:r w:rsidR="00426697">
        <w:t xml:space="preserve"> closed.  This is reinforced by</w:t>
      </w:r>
      <w:r w:rsidRPr="009673E7">
        <w:t xml:space="preserve"> the Commission’s rule on reopen</w:t>
      </w:r>
      <w:r w:rsidR="005E1FD2">
        <w:t>ing proceedings, which states that “[a]</w:t>
      </w:r>
      <w:r w:rsidRPr="009673E7">
        <w:t xml:space="preserve">ny party may file a motion to reopen the record at any time after the close of the record and </w:t>
      </w:r>
      <w:r w:rsidRPr="005E1FD2">
        <w:rPr>
          <w:u w:val="single"/>
        </w:rPr>
        <w:t>before entry of the final order</w:t>
      </w:r>
      <w:r w:rsidR="00A04068">
        <w:t xml:space="preserve"> </w:t>
      </w:r>
      <w:r w:rsidR="005E1FD2">
        <w:t>. . . .”</w:t>
      </w:r>
      <w:r w:rsidRPr="009673E7">
        <w:rPr>
          <w:u w:val="single"/>
          <w:vertAlign w:val="superscript"/>
        </w:rPr>
        <w:footnoteReference w:id="26"/>
      </w:r>
      <w:r w:rsidRPr="005E1FD2">
        <w:rPr>
          <w:vertAlign w:val="superscript"/>
        </w:rPr>
        <w:t>/</w:t>
      </w:r>
      <w:r w:rsidR="005E1FD2">
        <w:t xml:space="preserve"> </w:t>
      </w:r>
      <w:r w:rsidR="000130B3">
        <w:t xml:space="preserve"> Thus</w:t>
      </w:r>
      <w:r w:rsidR="005603E7">
        <w:t>,</w:t>
      </w:r>
      <w:r w:rsidR="00AA6E33">
        <w:t xml:space="preserve"> </w:t>
      </w:r>
      <w:r w:rsidR="000130B3">
        <w:t>t</w:t>
      </w:r>
      <w:r w:rsidR="000130B3" w:rsidRPr="009673E7">
        <w:t>he record is closed at the end of the evidentiary hearing, and the rule allows a party to reopen the record after the close of the record only before entry of the final order.</w:t>
      </w:r>
      <w:r w:rsidR="000130B3">
        <w:t xml:space="preserve">  PS</w:t>
      </w:r>
      <w:r w:rsidR="000130B3" w:rsidRPr="009673E7">
        <w:t>E’s request</w:t>
      </w:r>
      <w:r w:rsidR="00AA6E33">
        <w:t xml:space="preserve"> ignores </w:t>
      </w:r>
      <w:r w:rsidR="00590F39">
        <w:t xml:space="preserve">the </w:t>
      </w:r>
      <w:r w:rsidR="005603E7">
        <w:t>Commission</w:t>
      </w:r>
      <w:r w:rsidR="00590F39">
        <w:t>’s</w:t>
      </w:r>
      <w:r w:rsidR="005603E7">
        <w:t xml:space="preserve"> rule</w:t>
      </w:r>
      <w:r w:rsidR="00590F39">
        <w:t>s</w:t>
      </w:r>
      <w:r w:rsidR="005603E7">
        <w:t xml:space="preserve"> and</w:t>
      </w:r>
      <w:r w:rsidR="00590F39">
        <w:t xml:space="preserve"> is not timely since</w:t>
      </w:r>
      <w:r w:rsidR="000130B3" w:rsidRPr="009673E7">
        <w:t xml:space="preserve"> it is seeking to reopen the record after the issuance of a final order.</w:t>
      </w:r>
      <w:r w:rsidR="000130B3">
        <w:t xml:space="preserve"> </w:t>
      </w:r>
    </w:p>
    <w:p w:rsidR="00590F39" w:rsidRDefault="005603E7" w:rsidP="00205A34">
      <w:pPr>
        <w:pStyle w:val="MJDWUTCBrief"/>
      </w:pPr>
      <w:r>
        <w:t xml:space="preserve"> </w:t>
      </w:r>
      <w:r>
        <w:tab/>
      </w:r>
      <w:r w:rsidR="005E1FD2">
        <w:t>The</w:t>
      </w:r>
      <w:r w:rsidR="000130B3">
        <w:t xml:space="preserve"> primary</w:t>
      </w:r>
      <w:r w:rsidR="005E1FD2">
        <w:t xml:space="preserve"> purpose of opening the record is to “allow receipt of evidence that is essential to a decision that was unavailable and not reasonably discoverable” at the time of the </w:t>
      </w:r>
      <w:r w:rsidR="005E1FD2">
        <w:lastRenderedPageBreak/>
        <w:t>hearing</w:t>
      </w:r>
      <w:r w:rsidR="000130B3">
        <w:t>.</w:t>
      </w:r>
      <w:r w:rsidR="000130B3" w:rsidRPr="009673E7">
        <w:rPr>
          <w:u w:val="single"/>
          <w:vertAlign w:val="superscript"/>
        </w:rPr>
        <w:footnoteReference w:id="27"/>
      </w:r>
      <w:r w:rsidR="000130B3" w:rsidRPr="000130B3">
        <w:rPr>
          <w:vertAlign w:val="superscript"/>
        </w:rPr>
        <w:t>/</w:t>
      </w:r>
      <w:r w:rsidR="00FC1557" w:rsidRPr="009673E7">
        <w:t xml:space="preserve">  The Commission has explained that a request to reopen the record will be denied if a party does not meet these requirements</w:t>
      </w:r>
      <w:r w:rsidR="005014EA">
        <w:t>,</w:t>
      </w:r>
      <w:r w:rsidR="00FC1557" w:rsidRPr="009673E7">
        <w:t xml:space="preserve"> or if reopening the record is unnecessary to resolve disputed issues.</w:t>
      </w:r>
      <w:r w:rsidR="00FC1557" w:rsidRPr="009673E7">
        <w:rPr>
          <w:u w:val="single"/>
          <w:vertAlign w:val="superscript"/>
        </w:rPr>
        <w:footnoteReference w:id="28"/>
      </w:r>
      <w:r w:rsidR="00FC1557" w:rsidRPr="000130B3">
        <w:rPr>
          <w:vertAlign w:val="superscript"/>
        </w:rPr>
        <w:t>/</w:t>
      </w:r>
      <w:r w:rsidR="00FC1557" w:rsidRPr="009673E7">
        <w:t xml:space="preserve">  </w:t>
      </w:r>
      <w:r w:rsidR="000130B3">
        <w:t>In this case, PSE is not presenting evidence that was unavailable and not reasonably discoverable at the time of the hearing.  The evidence PSE seeks to introduce did not exist, and, in fact, was created in response to the Commission Order resulting from the hearing.</w:t>
      </w:r>
      <w:r w:rsidR="001B2218">
        <w:t xml:space="preserve">  If the Commission allows this unorthodox practice, then no party is ever assured </w:t>
      </w:r>
      <w:r w:rsidR="0083318B">
        <w:t xml:space="preserve">of </w:t>
      </w:r>
      <w:r w:rsidR="001B2218">
        <w:t xml:space="preserve">closure of the record. </w:t>
      </w:r>
    </w:p>
    <w:p w:rsidR="00FC1557" w:rsidRPr="00590F39" w:rsidRDefault="00590F39" w:rsidP="00590F39">
      <w:pPr>
        <w:pStyle w:val="MJDWUTCBrief"/>
        <w:tabs>
          <w:tab w:val="left" w:pos="720"/>
        </w:tabs>
      </w:pPr>
      <w:r>
        <w:t xml:space="preserve"> </w:t>
      </w:r>
      <w:r>
        <w:tab/>
      </w:r>
      <w:r w:rsidR="001B2218">
        <w:t>The Commission has denied a</w:t>
      </w:r>
      <w:r w:rsidR="00C37D73" w:rsidRPr="00590F39">
        <w:t xml:space="preserve"> request to reopen</w:t>
      </w:r>
      <w:r w:rsidR="001B2218">
        <w:t xml:space="preserve"> the record</w:t>
      </w:r>
      <w:r w:rsidR="00C37D73" w:rsidRPr="00590F39">
        <w:t xml:space="preserve"> to enter evidence that was created by a party to bolster its case after an initial order </w:t>
      </w:r>
      <w:r w:rsidR="00621F75">
        <w:t xml:space="preserve">was </w:t>
      </w:r>
      <w:r w:rsidR="00C37D73" w:rsidRPr="00590F39">
        <w:t>made by an administrative law judge,</w:t>
      </w:r>
      <w:r w:rsidR="001B2218" w:rsidRPr="001B2218">
        <w:rPr>
          <w:u w:val="single"/>
          <w:vertAlign w:val="superscript"/>
        </w:rPr>
        <w:t xml:space="preserve"> </w:t>
      </w:r>
      <w:r w:rsidR="001B2218" w:rsidRPr="001B2218">
        <w:rPr>
          <w:u w:val="single"/>
          <w:vertAlign w:val="superscript"/>
        </w:rPr>
        <w:footnoteReference w:id="29"/>
      </w:r>
      <w:r w:rsidR="001B2218" w:rsidRPr="001B2218">
        <w:rPr>
          <w:vertAlign w:val="superscript"/>
        </w:rPr>
        <w:t>/</w:t>
      </w:r>
      <w:r w:rsidR="00C37D73" w:rsidRPr="00590F39">
        <w:t xml:space="preserve"> let alone subsequent to a</w:t>
      </w:r>
      <w:r w:rsidR="0083318B">
        <w:t xml:space="preserve"> final, dispositive Commission o</w:t>
      </w:r>
      <w:r w:rsidR="00C37D73" w:rsidRPr="00590F39">
        <w:t>rder.</w:t>
      </w:r>
      <w:r w:rsidR="000130B3" w:rsidRPr="00590F39">
        <w:t xml:space="preserve"> </w:t>
      </w:r>
      <w:r w:rsidR="00FC1557" w:rsidRPr="00590F39">
        <w:t xml:space="preserve"> </w:t>
      </w:r>
      <w:r w:rsidR="00C37D73" w:rsidRPr="00590F39">
        <w:t>Allowing a party to manufacture and enter new evidence designed to reach its desired outcome would make Commission findings of law and fact a moving target, and would vio</w:t>
      </w:r>
      <w:r w:rsidR="001B2218">
        <w:t>late basic due process.  T</w:t>
      </w:r>
      <w:r w:rsidR="000130B3" w:rsidRPr="00590F39">
        <w:t>he evidence PSE seeks to introduce is not essential to the Order in this case, but, rather, is responsive</w:t>
      </w:r>
      <w:r w:rsidR="00257943">
        <w:t xml:space="preserve"> to that Order.  Additionally, t</w:t>
      </w:r>
      <w:r w:rsidR="000130B3" w:rsidRPr="00590F39">
        <w:t>he Commission’s Final Order “dispose[s] of the merits of a proceeding,”</w:t>
      </w:r>
      <w:r w:rsidR="005014EA" w:rsidRPr="00590F39">
        <w:t xml:space="preserve"> and a motion to reconsider does not stay the effectiveness of that resolution.</w:t>
      </w:r>
      <w:r w:rsidR="005014EA" w:rsidRPr="001B2218">
        <w:rPr>
          <w:u w:val="single"/>
          <w:vertAlign w:val="superscript"/>
        </w:rPr>
        <w:footnoteReference w:id="30"/>
      </w:r>
      <w:r w:rsidR="005014EA" w:rsidRPr="001B2218">
        <w:rPr>
          <w:vertAlign w:val="superscript"/>
        </w:rPr>
        <w:t>/</w:t>
      </w:r>
      <w:r w:rsidR="000130B3" w:rsidRPr="00590F39">
        <w:t xml:space="preserve"> </w:t>
      </w:r>
      <w:r w:rsidR="001B2218">
        <w:t xml:space="preserve"> T</w:t>
      </w:r>
      <w:r w:rsidR="000130B3" w:rsidRPr="00590F39">
        <w:t xml:space="preserve">herefore, </w:t>
      </w:r>
      <w:r w:rsidR="000130B3" w:rsidRPr="00645EEA">
        <w:rPr>
          <w:u w:val="single"/>
        </w:rPr>
        <w:t>subsequent</w:t>
      </w:r>
      <w:r w:rsidR="000130B3" w:rsidRPr="00590F39">
        <w:t xml:space="preserve"> to the Commission’s entry of </w:t>
      </w:r>
      <w:r w:rsidR="00E71EA6" w:rsidRPr="00590F39">
        <w:t>final Order 03,</w:t>
      </w:r>
      <w:r w:rsidR="000130B3" w:rsidRPr="00590F39">
        <w:t xml:space="preserve"> </w:t>
      </w:r>
      <w:r w:rsidR="001B2218">
        <w:t xml:space="preserve">there </w:t>
      </w:r>
      <w:r w:rsidR="000130B3" w:rsidRPr="00590F39">
        <w:t>are no issues in dispute</w:t>
      </w:r>
      <w:r w:rsidR="00E71EA6" w:rsidRPr="00590F39">
        <w:t xml:space="preserve"> in this docket, so </w:t>
      </w:r>
      <w:r w:rsidR="000130B3" w:rsidRPr="00590F39">
        <w:t xml:space="preserve">PSE’s </w:t>
      </w:r>
      <w:r w:rsidR="00E71EA6" w:rsidRPr="00590F39">
        <w:t>proffered evidence cannot be necessary to resolve disputed issues.</w:t>
      </w:r>
      <w:r w:rsidR="00257943">
        <w:t xml:space="preserve"> </w:t>
      </w:r>
      <w:r w:rsidR="000130B3" w:rsidRPr="00590F39">
        <w:t xml:space="preserve"> Because PSE seeks to introduce evidence not essential to the final order</w:t>
      </w:r>
      <w:r w:rsidR="00E71EA6" w:rsidRPr="00590F39">
        <w:t xml:space="preserve"> and not necessary to </w:t>
      </w:r>
      <w:r w:rsidR="00E71EA6" w:rsidRPr="00590F39">
        <w:lastRenderedPageBreak/>
        <w:t xml:space="preserve">resolve any existing dispute in this docket, the Commission should reject its </w:t>
      </w:r>
      <w:r w:rsidR="005014EA" w:rsidRPr="00590F39">
        <w:t xml:space="preserve">deficient and </w:t>
      </w:r>
      <w:r w:rsidR="00E71EA6" w:rsidRPr="00590F39">
        <w:t>untimely motion to reopen the record.</w:t>
      </w:r>
      <w:r w:rsidR="000130B3" w:rsidRPr="00590F39">
        <w:t xml:space="preserve"> </w:t>
      </w:r>
    </w:p>
    <w:p w:rsidR="00C37D73" w:rsidRDefault="005603E7" w:rsidP="00205A34">
      <w:pPr>
        <w:pStyle w:val="MJDWUTCBrief"/>
      </w:pPr>
      <w:r>
        <w:t xml:space="preserve"> </w:t>
      </w:r>
      <w:r>
        <w:tab/>
      </w:r>
      <w:r w:rsidR="00C37D73">
        <w:t xml:space="preserve">If the Commission were to decide to grant PSE’s request to reopen the record, </w:t>
      </w:r>
      <w:r w:rsidR="00810E7D">
        <w:t xml:space="preserve">the Commission’s </w:t>
      </w:r>
      <w:r w:rsidR="00C37D73">
        <w:t xml:space="preserve">rules </w:t>
      </w:r>
      <w:r>
        <w:t xml:space="preserve">require that </w:t>
      </w:r>
      <w:r w:rsidR="00426697">
        <w:t xml:space="preserve">after the record has been reopened, </w:t>
      </w:r>
      <w:r w:rsidR="00EC3359">
        <w:t>“</w:t>
      </w:r>
      <w:r w:rsidR="00960F93">
        <w:t>[t]</w:t>
      </w:r>
      <w:r w:rsidR="00EC3359">
        <w:t>he commission will give all parties an opportunity to respond to any evidence received after the record has been closed.”</w:t>
      </w:r>
      <w:r w:rsidR="00EC3359" w:rsidRPr="009673E7">
        <w:rPr>
          <w:u w:val="single"/>
          <w:vertAlign w:val="superscript"/>
        </w:rPr>
        <w:footnoteReference w:id="31"/>
      </w:r>
      <w:proofErr w:type="gramStart"/>
      <w:r w:rsidR="00EC3359" w:rsidRPr="000130B3">
        <w:rPr>
          <w:vertAlign w:val="superscript"/>
        </w:rPr>
        <w:t>/</w:t>
      </w:r>
      <w:r w:rsidR="00EC3359">
        <w:t xml:space="preserve">  This</w:t>
      </w:r>
      <w:proofErr w:type="gramEnd"/>
      <w:r w:rsidR="00EC3359">
        <w:t xml:space="preserve"> means that if this record were to be reopened despite the procedural and substantive d</w:t>
      </w:r>
      <w:r w:rsidR="005014EA">
        <w:t>eficiencies of PSE’s</w:t>
      </w:r>
      <w:r w:rsidR="00EC3359">
        <w:t xml:space="preserve"> motion, all parties must be given the opportunity to respond</w:t>
      </w:r>
      <w:r w:rsidR="001B2218">
        <w:t xml:space="preserve"> to this newly created evidence</w:t>
      </w:r>
      <w:r w:rsidR="00EC3359">
        <w:t>.</w:t>
      </w:r>
    </w:p>
    <w:p w:rsidR="00E71EA6" w:rsidRDefault="00E71EA6" w:rsidP="00E71EA6">
      <w:pPr>
        <w:pStyle w:val="WUTCParagraph"/>
        <w:numPr>
          <w:ilvl w:val="0"/>
          <w:numId w:val="0"/>
        </w:numPr>
        <w:tabs>
          <w:tab w:val="clear" w:pos="1440"/>
        </w:tabs>
        <w:spacing w:line="240" w:lineRule="auto"/>
        <w:ind w:left="720" w:hanging="720"/>
      </w:pPr>
      <w:r>
        <w:rPr>
          <w:b/>
        </w:rPr>
        <w:t>C</w:t>
      </w:r>
      <w:r w:rsidRPr="009673E7">
        <w:rPr>
          <w:b/>
        </w:rPr>
        <w:t>.</w:t>
      </w:r>
      <w:r w:rsidRPr="009673E7">
        <w:rPr>
          <w:b/>
        </w:rPr>
        <w:tab/>
      </w:r>
      <w:r>
        <w:rPr>
          <w:b/>
        </w:rPr>
        <w:t xml:space="preserve">Reconsideration or Reopening the Record in Response to the “Global Settlement” </w:t>
      </w:r>
      <w:r w:rsidR="005A5FDB">
        <w:rPr>
          <w:b/>
        </w:rPr>
        <w:t>W</w:t>
      </w:r>
      <w:r>
        <w:rPr>
          <w:b/>
        </w:rPr>
        <w:t xml:space="preserve">ould </w:t>
      </w:r>
      <w:r w:rsidR="001B2218">
        <w:rPr>
          <w:b/>
        </w:rPr>
        <w:t xml:space="preserve">Also </w:t>
      </w:r>
      <w:r>
        <w:rPr>
          <w:b/>
        </w:rPr>
        <w:t>be Contrary to Law</w:t>
      </w:r>
      <w:r w:rsidRPr="009673E7">
        <w:rPr>
          <w:b/>
        </w:rPr>
        <w:t xml:space="preserve"> </w:t>
      </w:r>
      <w:r w:rsidRPr="009673E7">
        <w:t xml:space="preserve"> </w:t>
      </w:r>
    </w:p>
    <w:p w:rsidR="00E71EA6" w:rsidRPr="009673E7" w:rsidRDefault="00E71EA6" w:rsidP="00E71EA6">
      <w:pPr>
        <w:pStyle w:val="WUTCParagraph"/>
        <w:numPr>
          <w:ilvl w:val="0"/>
          <w:numId w:val="0"/>
        </w:numPr>
        <w:tabs>
          <w:tab w:val="clear" w:pos="1440"/>
        </w:tabs>
        <w:spacing w:line="240" w:lineRule="auto"/>
        <w:ind w:left="720" w:hanging="720"/>
      </w:pPr>
      <w:r w:rsidRPr="009673E7">
        <w:t xml:space="preserve"> </w:t>
      </w:r>
    </w:p>
    <w:p w:rsidR="00AA3B72" w:rsidRDefault="00E71EA6" w:rsidP="00205A34">
      <w:pPr>
        <w:pStyle w:val="MJDWUTCBrief"/>
      </w:pPr>
      <w:r w:rsidRPr="009673E7">
        <w:tab/>
      </w:r>
      <w:r w:rsidR="00AA3B72">
        <w:t xml:space="preserve">PSE and Staff cavalierly ignore the Washington </w:t>
      </w:r>
      <w:r w:rsidR="005A5FDB">
        <w:t>Administrative</w:t>
      </w:r>
      <w:r w:rsidR="00AA3B72">
        <w:t xml:space="preserve"> Procedure Act (“APA”) and </w:t>
      </w:r>
      <w:r w:rsidR="001B2218">
        <w:t xml:space="preserve">the </w:t>
      </w:r>
      <w:r w:rsidR="00AA3B72">
        <w:t>Commission</w:t>
      </w:r>
      <w:r w:rsidR="001B2218">
        <w:t>’s</w:t>
      </w:r>
      <w:r w:rsidR="00AA3B72">
        <w:t xml:space="preserve"> rules in requesting that the Commission substitute the terms of their </w:t>
      </w:r>
      <w:r w:rsidR="005A5FDB">
        <w:t>Global S</w:t>
      </w:r>
      <w:r w:rsidR="00AA3B72">
        <w:t>ettlement</w:t>
      </w:r>
      <w:r w:rsidR="004A2885">
        <w:t>,</w:t>
      </w:r>
      <w:r w:rsidR="005A5FDB">
        <w:t xml:space="preserve"> filed in the unrelated Decoupling and ERF proceedings,</w:t>
      </w:r>
      <w:r w:rsidR="00AA3B72">
        <w:t xml:space="preserve"> for the Commission’s determinations in Final Order 03.</w:t>
      </w:r>
      <w:r w:rsidR="005A5FDB" w:rsidRPr="009673E7">
        <w:rPr>
          <w:u w:val="single"/>
          <w:vertAlign w:val="superscript"/>
        </w:rPr>
        <w:footnoteReference w:id="32"/>
      </w:r>
      <w:proofErr w:type="gramStart"/>
      <w:r w:rsidR="005A5FDB" w:rsidRPr="000130B3">
        <w:rPr>
          <w:vertAlign w:val="superscript"/>
        </w:rPr>
        <w:t>/</w:t>
      </w:r>
      <w:r w:rsidR="00AA3B72">
        <w:t xml:space="preserve">  By</w:t>
      </w:r>
      <w:proofErr w:type="gramEnd"/>
      <w:r w:rsidR="00AA3B72">
        <w:t xml:space="preserve"> </w:t>
      </w:r>
      <w:r w:rsidR="005A5FDB">
        <w:t>r</w:t>
      </w:r>
      <w:r w:rsidR="00AA3B72">
        <w:t>ule, a final order “</w:t>
      </w:r>
      <w:r w:rsidR="00241531">
        <w:t>d</w:t>
      </w:r>
      <w:r w:rsidR="00AA3B72">
        <w:t>ispose</w:t>
      </w:r>
      <w:r w:rsidR="00241531">
        <w:t>[</w:t>
      </w:r>
      <w:r w:rsidR="00AA3B72">
        <w:t>s</w:t>
      </w:r>
      <w:r w:rsidR="00241531">
        <w:t>]</w:t>
      </w:r>
      <w:r w:rsidR="00AA3B72">
        <w:t xml:space="preserve"> of the merits of a proceeding.”</w:t>
      </w:r>
      <w:r w:rsidR="00810E7D" w:rsidRPr="009673E7">
        <w:rPr>
          <w:u w:val="single"/>
          <w:vertAlign w:val="superscript"/>
        </w:rPr>
        <w:footnoteReference w:id="33"/>
      </w:r>
      <w:proofErr w:type="gramStart"/>
      <w:r w:rsidR="00810E7D" w:rsidRPr="000130B3">
        <w:rPr>
          <w:vertAlign w:val="superscript"/>
        </w:rPr>
        <w:t>/</w:t>
      </w:r>
      <w:r w:rsidR="00AA3B72">
        <w:t xml:space="preserve">  The</w:t>
      </w:r>
      <w:proofErr w:type="gramEnd"/>
      <w:r w:rsidR="00AA3B72">
        <w:t xml:space="preserve"> law states that a request for reconsideration must be filed within ten days of a final order and state “the specific grounds upon which relief is requested.”</w:t>
      </w:r>
      <w:r w:rsidR="00810E7D" w:rsidRPr="009673E7">
        <w:rPr>
          <w:u w:val="single"/>
          <w:vertAlign w:val="superscript"/>
        </w:rPr>
        <w:footnoteReference w:id="34"/>
      </w:r>
      <w:r w:rsidR="00810E7D" w:rsidRPr="000130B3">
        <w:rPr>
          <w:vertAlign w:val="superscript"/>
        </w:rPr>
        <w:t>/</w:t>
      </w:r>
      <w:r w:rsidR="00AA3B72">
        <w:t xml:space="preserve">  The Commission’s rules further clarify that a petition for reconsideration must “identify each portion of the challenged order that it contends is erroneous or incomplete, [and] must cite those portions of the record and each law or commission r</w:t>
      </w:r>
      <w:r w:rsidR="005A5FDB">
        <w:t>ule . . .” that</w:t>
      </w:r>
      <w:r w:rsidR="00AA3B72">
        <w:t xml:space="preserve"> demonstrate Commission error or that </w:t>
      </w:r>
      <w:r w:rsidR="00AA3B72">
        <w:lastRenderedPageBreak/>
        <w:t>are incomplete.</w:t>
      </w:r>
      <w:r w:rsidR="00810E7D" w:rsidRPr="009673E7">
        <w:rPr>
          <w:u w:val="single"/>
          <w:vertAlign w:val="superscript"/>
        </w:rPr>
        <w:footnoteReference w:id="35"/>
      </w:r>
      <w:r w:rsidR="00810E7D" w:rsidRPr="000130B3">
        <w:rPr>
          <w:vertAlign w:val="superscript"/>
        </w:rPr>
        <w:t>/</w:t>
      </w:r>
      <w:r w:rsidR="00AA3B72">
        <w:t xml:space="preserve">  Reconsideration is limited to c</w:t>
      </w:r>
      <w:r w:rsidR="00440206">
        <w:t>onsidering allegations of error</w:t>
      </w:r>
      <w:r w:rsidR="00AA3B72">
        <w:t xml:space="preserve"> of law or fact, and does not constitute a second opportunity to litigate “issues that were fully developed prior to entry of the final order and which were discussed and decided in the final order.”</w:t>
      </w:r>
      <w:r w:rsidR="00810E7D" w:rsidRPr="00432ECB">
        <w:rPr>
          <w:rStyle w:val="FootnoteReference"/>
        </w:rPr>
        <w:footnoteReference w:id="36"/>
      </w:r>
      <w:r w:rsidR="00810E7D" w:rsidRPr="00432ECB">
        <w:rPr>
          <w:vertAlign w:val="superscript"/>
        </w:rPr>
        <w:t>/</w:t>
      </w:r>
      <w:r w:rsidR="00AA3B72">
        <w:t xml:space="preserve">  A motion for reconsideration does not stay the effectiveness of an order</w:t>
      </w:r>
      <w:r w:rsidR="00810E7D">
        <w:t>.</w:t>
      </w:r>
      <w:r w:rsidR="00810E7D" w:rsidRPr="009673E7">
        <w:rPr>
          <w:u w:val="single"/>
          <w:vertAlign w:val="superscript"/>
        </w:rPr>
        <w:footnoteReference w:id="37"/>
      </w:r>
      <w:r w:rsidR="00810E7D" w:rsidRPr="000130B3">
        <w:rPr>
          <w:vertAlign w:val="superscript"/>
        </w:rPr>
        <w:t>/</w:t>
      </w:r>
    </w:p>
    <w:p w:rsidR="00AA3B72" w:rsidRDefault="00AA3B72" w:rsidP="00205A34">
      <w:pPr>
        <w:pStyle w:val="MJDWUTCBrief"/>
      </w:pPr>
      <w:r>
        <w:t xml:space="preserve"> </w:t>
      </w:r>
      <w:r>
        <w:tab/>
        <w:t xml:space="preserve">The Commission </w:t>
      </w:r>
      <w:r w:rsidR="001B2218">
        <w:t>issued</w:t>
      </w:r>
      <w:r>
        <w:t xml:space="preserve"> Order No. 03 </w:t>
      </w:r>
      <w:r w:rsidR="001B2218">
        <w:t>o</w:t>
      </w:r>
      <w:r>
        <w:t>n January 9, 2013, disposing of the merits of th</w:t>
      </w:r>
      <w:r w:rsidR="00440206">
        <w:t>is</w:t>
      </w:r>
      <w:r>
        <w:t xml:space="preserve"> </w:t>
      </w:r>
      <w:r w:rsidR="005A5FDB">
        <w:t xml:space="preserve">case.  </w:t>
      </w:r>
      <w:r>
        <w:t xml:space="preserve">Thus, </w:t>
      </w:r>
      <w:r w:rsidR="005A5FDB">
        <w:t xml:space="preserve">on reconsideration, </w:t>
      </w:r>
      <w:r>
        <w:t>the Commission must determine only whether the Commission made an error of law when it</w:t>
      </w:r>
      <w:r w:rsidR="00621F75">
        <w:t>:</w:t>
      </w:r>
      <w:r>
        <w:t xml:space="preserve"> 1) set the PPA equit</w:t>
      </w:r>
      <w:r w:rsidR="00621F75">
        <w:t>y adder at $1.49 per mW;</w:t>
      </w:r>
      <w:r>
        <w:t xml:space="preserve"> 2) state</w:t>
      </w:r>
      <w:r w:rsidR="005A5FDB">
        <w:t>d</w:t>
      </w:r>
      <w:r>
        <w:t xml:space="preserve"> that the Commission retained ongoing prudence author</w:t>
      </w:r>
      <w:r w:rsidR="00621F75">
        <w:t>ity regarding the PPA;</w:t>
      </w:r>
      <w:r w:rsidR="005A5FDB">
        <w:t xml:space="preserve"> or 3) </w:t>
      </w:r>
      <w:r w:rsidR="008F40EA">
        <w:t>deferred</w:t>
      </w:r>
      <w:r>
        <w:t xml:space="preserve"> until a later proceeding determination of the particular method of cost recovery PSE will use to collect the costs associated with the contract.</w:t>
      </w:r>
      <w:r w:rsidR="00810E7D">
        <w:rPr>
          <w:rStyle w:val="FootnoteReference"/>
        </w:rPr>
        <w:footnoteReference w:id="38"/>
      </w:r>
      <w:proofErr w:type="gramStart"/>
      <w:r w:rsidR="00810E7D">
        <w:rPr>
          <w:vertAlign w:val="superscript"/>
        </w:rPr>
        <w:t>/</w:t>
      </w:r>
      <w:r w:rsidR="001B2218">
        <w:t xml:space="preserve">  All</w:t>
      </w:r>
      <w:proofErr w:type="gramEnd"/>
      <w:r>
        <w:t xml:space="preserve"> issues in </w:t>
      </w:r>
      <w:r w:rsidR="001B2218">
        <w:t>this docket, other than the three discussed above</w:t>
      </w:r>
      <w:r w:rsidR="00241531">
        <w:t>,</w:t>
      </w:r>
      <w:r>
        <w:t xml:space="preserve"> have been disposed of, and no party petition</w:t>
      </w:r>
      <w:r w:rsidR="00440206">
        <w:t>ed for a stay of Final Order 03</w:t>
      </w:r>
      <w:r w:rsidR="00257943">
        <w:t>.</w:t>
      </w:r>
      <w:r w:rsidR="004A2885">
        <w:t xml:space="preserve">  The </w:t>
      </w:r>
      <w:r>
        <w:t>Global</w:t>
      </w:r>
      <w:r w:rsidR="004A2885">
        <w:t xml:space="preserve"> Settlement</w:t>
      </w:r>
      <w:r>
        <w:t xml:space="preserve"> created by Staff and PSE in unrelated dockets has no bearing whatsoever on the question of whether any one of these three Commission actions </w:t>
      </w:r>
      <w:r w:rsidR="001B2218">
        <w:t>challenged in the PSE reconsideration constituted an error of law.</w:t>
      </w:r>
      <w:r>
        <w:t xml:space="preserve">  The Global Settlement is not referenced in PSE’s Petition for reconsideration – indeed, it was not created until well after the ten days to petition for reconsideration had passed, therefore, it is </w:t>
      </w:r>
      <w:r w:rsidR="005A5FDB">
        <w:t xml:space="preserve">irrelevant and </w:t>
      </w:r>
      <w:r>
        <w:t>unrelated to PSE’s petition for reconsideration</w:t>
      </w:r>
      <w:r w:rsidR="005A5FDB">
        <w:t>.</w:t>
      </w:r>
      <w:r>
        <w:t xml:space="preserve"> </w:t>
      </w:r>
    </w:p>
    <w:p w:rsidR="00AA3B72" w:rsidRDefault="00AA3B72" w:rsidP="00205A34">
      <w:pPr>
        <w:pStyle w:val="MJDWUTCBrief"/>
      </w:pPr>
      <w:r>
        <w:t xml:space="preserve"> </w:t>
      </w:r>
      <w:r>
        <w:tab/>
        <w:t xml:space="preserve">Further, even if the Commission were to decide that any or all of the three challenged components of the order were erroneously decided, the APA specifically requires that that </w:t>
      </w:r>
      <w:r>
        <w:lastRenderedPageBreak/>
        <w:t>decision must be made exclusively o</w:t>
      </w:r>
      <w:r w:rsidR="00440206">
        <w:t>n the basis of the record in this</w:t>
      </w:r>
      <w:r>
        <w:t xml:space="preserve"> docket, and making such a decision on the basis of the Global Settlement or the thin supporting evidence that has been introduced</w:t>
      </w:r>
      <w:r w:rsidR="005A5FDB">
        <w:t xml:space="preserve"> to the record in unrelated dockets</w:t>
      </w:r>
      <w:r>
        <w:t xml:space="preserve"> would be a violation of law.</w:t>
      </w:r>
      <w:r w:rsidR="00257943">
        <w:t xml:space="preserve"> </w:t>
      </w:r>
      <w:r>
        <w:t xml:space="preserve"> The APA states that “the agency record constitutes the exclusive basis for agency action in adjudicative proceedings . . . .”</w:t>
      </w:r>
      <w:r w:rsidR="00810E7D" w:rsidRPr="00810E7D">
        <w:rPr>
          <w:u w:val="single"/>
          <w:vertAlign w:val="superscript"/>
        </w:rPr>
        <w:t xml:space="preserve"> </w:t>
      </w:r>
      <w:r w:rsidR="00810E7D" w:rsidRPr="009673E7">
        <w:rPr>
          <w:u w:val="single"/>
          <w:vertAlign w:val="superscript"/>
        </w:rPr>
        <w:footnoteReference w:id="39"/>
      </w:r>
      <w:r w:rsidR="00810E7D" w:rsidRPr="000130B3">
        <w:rPr>
          <w:vertAlign w:val="superscript"/>
        </w:rPr>
        <w:t>/</w:t>
      </w:r>
      <w:r>
        <w:t xml:space="preserve">  Commission orders must contain statements of findings and conclusions on “all material issues of fact, law, or discretion presented on the record . . . [and] findings of fact shall be based exclusively on the evidence of record in the adjudicative proceeding . . . .”</w:t>
      </w:r>
      <w:r w:rsidR="00810E7D" w:rsidRPr="009673E7">
        <w:rPr>
          <w:u w:val="single"/>
          <w:vertAlign w:val="superscript"/>
        </w:rPr>
        <w:footnoteReference w:id="40"/>
      </w:r>
      <w:r w:rsidR="00810E7D" w:rsidRPr="000130B3">
        <w:rPr>
          <w:vertAlign w:val="superscript"/>
        </w:rPr>
        <w:t>/</w:t>
      </w:r>
      <w:r>
        <w:t xml:space="preserve">  The existence of a record </w:t>
      </w:r>
      <w:r w:rsidR="001B2218">
        <w:t xml:space="preserve">in </w:t>
      </w:r>
      <w:r w:rsidR="005A5FDB">
        <w:t>other, unrelated</w:t>
      </w:r>
      <w:r>
        <w:t xml:space="preserve"> dockets may not serve as the basis for decisions in </w:t>
      </w:r>
      <w:r w:rsidR="005A5FDB">
        <w:t>this</w:t>
      </w:r>
      <w:r>
        <w:t xml:space="preserve"> docket</w:t>
      </w:r>
      <w:r w:rsidR="001B2218">
        <w:t>.  T</w:t>
      </w:r>
      <w:r>
        <w:t>he requirement that findings must “be based exclusively on the evidence of record in the adjudicative proceeding” clarifies that the record relied upon must be that of each specific adjudicative proceeding.  This means that the Commission c</w:t>
      </w:r>
      <w:r w:rsidR="00DA23CA">
        <w:t>an</w:t>
      </w:r>
      <w:r>
        <w:t>not legally rely on an</w:t>
      </w:r>
      <w:r w:rsidR="00621F75">
        <w:t>y facts outside of the record</w:t>
      </w:r>
      <w:r>
        <w:t xml:space="preserve"> </w:t>
      </w:r>
      <w:r w:rsidR="00DA23CA">
        <w:t xml:space="preserve">in this docket to issue an order in this </w:t>
      </w:r>
      <w:r>
        <w:t>docket.  There is no evi</w:t>
      </w:r>
      <w:r w:rsidR="001B2218">
        <w:t>dence on the record in this docket</w:t>
      </w:r>
      <w:r>
        <w:t xml:space="preserve"> that supports </w:t>
      </w:r>
      <w:r w:rsidR="00DA23CA">
        <w:t>replacing Final Order 03 with the Global Settlement’s</w:t>
      </w:r>
      <w:r>
        <w:t xml:space="preserve"> resolution</w:t>
      </w:r>
      <w:r w:rsidR="00DA23CA">
        <w:t xml:space="preserve"> of already decided issues</w:t>
      </w:r>
      <w:r>
        <w:t>; therefore, adoptin</w:t>
      </w:r>
      <w:r w:rsidR="001B2218">
        <w:t>g the Global Settlement would</w:t>
      </w:r>
      <w:r>
        <w:t xml:space="preserve"> violate Washington law. </w:t>
      </w:r>
    </w:p>
    <w:p w:rsidR="00AA3B72" w:rsidRDefault="00AA3B72" w:rsidP="00205A34">
      <w:pPr>
        <w:pStyle w:val="MJDWUTCBrief"/>
      </w:pPr>
      <w:r>
        <w:t xml:space="preserve"> </w:t>
      </w:r>
      <w:r>
        <w:tab/>
        <w:t>PSE and Staff appear to acknowledge that the Washington APA’s due process protections stand as a legal bar to their inter-docket horse-trading.  Staff Counsel attempted to have the hearing</w:t>
      </w:r>
      <w:r w:rsidR="005A4C3A">
        <w:t xml:space="preserve"> of</w:t>
      </w:r>
      <w:r>
        <w:t xml:space="preserve"> </w:t>
      </w:r>
      <w:r w:rsidR="00DA23CA">
        <w:t>the Decoupling and ERF dockets</w:t>
      </w:r>
      <w:r>
        <w:t xml:space="preserve"> re-noticed so as to include Docket UE-121373 on o</w:t>
      </w:r>
      <w:r w:rsidR="00DA23CA">
        <w:t>ne</w:t>
      </w:r>
      <w:r w:rsidR="00241531">
        <w:t xml:space="preserve"> day’s</w:t>
      </w:r>
      <w:r>
        <w:t xml:space="preserve"> notice, which would have been a violation of WAC § 480-07-440.</w:t>
      </w:r>
      <w:r w:rsidR="00810E7D" w:rsidRPr="009673E7">
        <w:rPr>
          <w:u w:val="single"/>
          <w:vertAlign w:val="superscript"/>
        </w:rPr>
        <w:footnoteReference w:id="41"/>
      </w:r>
      <w:proofErr w:type="gramStart"/>
      <w:r w:rsidR="00810E7D" w:rsidRPr="000130B3">
        <w:rPr>
          <w:vertAlign w:val="superscript"/>
        </w:rPr>
        <w:t>/</w:t>
      </w:r>
      <w:r>
        <w:t xml:space="preserve">  PSE</w:t>
      </w:r>
      <w:proofErr w:type="gramEnd"/>
      <w:r>
        <w:t xml:space="preserve">, on the other hand, posits that all that is necessary to bypass the protections of the APA is a “hearing on the </w:t>
      </w:r>
      <w:r w:rsidR="00810E7D">
        <w:lastRenderedPageBreak/>
        <w:t>settlement.</w:t>
      </w:r>
      <w:r w:rsidR="00440206">
        <w:t>”</w:t>
      </w:r>
      <w:r w:rsidR="00810E7D" w:rsidRPr="009673E7">
        <w:rPr>
          <w:u w:val="single"/>
          <w:vertAlign w:val="superscript"/>
        </w:rPr>
        <w:footnoteReference w:id="42"/>
      </w:r>
      <w:r w:rsidR="00810E7D" w:rsidRPr="000130B3">
        <w:rPr>
          <w:vertAlign w:val="superscript"/>
        </w:rPr>
        <w:t>/</w:t>
      </w:r>
      <w:r>
        <w:t xml:space="preserve">  PSE would have the fact that a settlement was suggested in a separate docket</w:t>
      </w:r>
      <w:r w:rsidR="00440206">
        <w:t>,</w:t>
      </w:r>
      <w:r>
        <w:t xml:space="preserve"> </w:t>
      </w:r>
      <w:r w:rsidR="00DA23CA">
        <w:t>in which a hearing occurred</w:t>
      </w:r>
      <w:r w:rsidR="00440206">
        <w:t>,</w:t>
      </w:r>
      <w:r w:rsidR="00DA23CA">
        <w:t xml:space="preserve"> </w:t>
      </w:r>
      <w:r>
        <w:t>sweep aside the APA and the Commission’s rules and all due process protection these contain, including the importance of finality in agency proceedings.  PSE’s counsel elaborated, stating that the APA would be satisfied if there were a “joint eviden</w:t>
      </w:r>
      <w:r w:rsidR="005A4C3A">
        <w:t>tiary hearing looking at all—</w:t>
      </w:r>
      <w:r>
        <w:t>all the records together.”</w:t>
      </w:r>
      <w:r w:rsidR="00810E7D" w:rsidRPr="00810E7D">
        <w:t xml:space="preserve"> </w:t>
      </w:r>
      <w:r w:rsidR="00810E7D">
        <w:rPr>
          <w:rStyle w:val="FootnoteReference"/>
        </w:rPr>
        <w:footnoteReference w:id="43"/>
      </w:r>
      <w:r w:rsidR="00810E7D" w:rsidRPr="005014EA">
        <w:rPr>
          <w:vertAlign w:val="superscript"/>
        </w:rPr>
        <w:t>/</w:t>
      </w:r>
      <w:r>
        <w:t xml:space="preserve">  While this simply is a misstatement of Washington law, as described above, it also misse</w:t>
      </w:r>
      <w:r w:rsidR="00440206">
        <w:t xml:space="preserve">s the point that there has been </w:t>
      </w:r>
      <w:r>
        <w:t xml:space="preserve">no joint evidentiary hearing </w:t>
      </w:r>
      <w:r w:rsidR="00440206">
        <w:t>that</w:t>
      </w:r>
      <w:r w:rsidR="00DA23CA">
        <w:t xml:space="preserve"> </w:t>
      </w:r>
      <w:r>
        <w:t xml:space="preserve">included </w:t>
      </w:r>
      <w:r w:rsidR="00DA23CA">
        <w:t>the present docket.</w:t>
      </w:r>
      <w:r>
        <w:t xml:space="preserve"> </w:t>
      </w:r>
    </w:p>
    <w:p w:rsidR="00AB6DD3" w:rsidRPr="000130B3" w:rsidRDefault="00AA3B72" w:rsidP="00B14091">
      <w:pPr>
        <w:pStyle w:val="MJDWUTCBrief"/>
      </w:pPr>
      <w:r>
        <w:t xml:space="preserve"> </w:t>
      </w:r>
      <w:r>
        <w:tab/>
        <w:t xml:space="preserve">In what appears to be an ambitious effort to expand the record in this docket beyond those materials that were placed on the record by the Commission and that served as the basis for Final Order No. 03, Staff and PSE have </w:t>
      </w:r>
      <w:r w:rsidR="001B2218">
        <w:t xml:space="preserve">sought to </w:t>
      </w:r>
      <w:r>
        <w:t xml:space="preserve">file voluminous materials from </w:t>
      </w:r>
      <w:r w:rsidR="001B2218">
        <w:t>the Decoupling and ERF</w:t>
      </w:r>
      <w:r>
        <w:t xml:space="preserve"> dockets in th</w:t>
      </w:r>
      <w:r w:rsidR="00DA23CA">
        <w:t>e present docket</w:t>
      </w:r>
      <w:r>
        <w:t xml:space="preserve">.  In fact, at one point, PSE even </w:t>
      </w:r>
      <w:r w:rsidR="001B2218">
        <w:t xml:space="preserve">sought to </w:t>
      </w:r>
      <w:r>
        <w:t xml:space="preserve">file in this docket a bench request response pertaining to its decoupling proposal, stating “Attached please find PSE's Responses to Bench Request Nos. 1 and 2 in Docket Nos. UE-121373, UE-121697 &amp; UG-121705 (consolidated) . . . .”  This is ironic, as a careful review of Bench Requests One and </w:t>
      </w:r>
      <w:proofErr w:type="gramStart"/>
      <w:r>
        <w:t>Two</w:t>
      </w:r>
      <w:proofErr w:type="gramEnd"/>
      <w:r>
        <w:t xml:space="preserve"> </w:t>
      </w:r>
      <w:r w:rsidR="00DA5876">
        <w:t xml:space="preserve">in this docket </w:t>
      </w:r>
      <w:r>
        <w:t>reveals no requests pertaining to decoupling rates</w:t>
      </w:r>
      <w:r w:rsidR="00810E7D">
        <w:t>.</w:t>
      </w:r>
      <w:r w:rsidR="00810E7D" w:rsidRPr="009673E7">
        <w:rPr>
          <w:u w:val="single"/>
          <w:vertAlign w:val="superscript"/>
        </w:rPr>
        <w:footnoteReference w:id="44"/>
      </w:r>
      <w:proofErr w:type="gramStart"/>
      <w:r w:rsidR="00810E7D" w:rsidRPr="00DD10AF">
        <w:rPr>
          <w:vertAlign w:val="superscript"/>
        </w:rPr>
        <w:t>/</w:t>
      </w:r>
      <w:r w:rsidR="00DA5876">
        <w:t xml:space="preserve">  </w:t>
      </w:r>
      <w:r w:rsidR="00E05C3D">
        <w:t>Washington</w:t>
      </w:r>
      <w:proofErr w:type="gramEnd"/>
      <w:r w:rsidR="00E05C3D">
        <w:t xml:space="preserve"> statutes</w:t>
      </w:r>
      <w:r>
        <w:t xml:space="preserve"> and the Commission’s rules do not</w:t>
      </w:r>
      <w:r w:rsidR="00E05C3D">
        <w:t xml:space="preserve"> permit such sidestepping of</w:t>
      </w:r>
      <w:r>
        <w:t xml:space="preserve"> due process</w:t>
      </w:r>
      <w:r w:rsidR="00E05C3D">
        <w:t xml:space="preserve"> requirements</w:t>
      </w:r>
      <w:r>
        <w:t xml:space="preserve"> or </w:t>
      </w:r>
      <w:r w:rsidR="00E05C3D">
        <w:t>conflating of Commission record from multiple proceedings</w:t>
      </w:r>
      <w:r w:rsidR="00810E7D">
        <w:t xml:space="preserve">. </w:t>
      </w:r>
      <w:r w:rsidR="00DA5876">
        <w:t xml:space="preserve"> As discussed above, t</w:t>
      </w:r>
      <w:r>
        <w:t xml:space="preserve">he Commission’s rules state that the Commission issues a final order </w:t>
      </w:r>
      <w:r w:rsidR="00DA5876">
        <w:t>after, among other things, closure of the record.</w:t>
      </w:r>
      <w:r w:rsidR="00810E7D" w:rsidRPr="009673E7">
        <w:rPr>
          <w:u w:val="single"/>
          <w:vertAlign w:val="superscript"/>
        </w:rPr>
        <w:footnoteReference w:id="45"/>
      </w:r>
      <w:r w:rsidR="00810E7D" w:rsidRPr="00DD10AF">
        <w:rPr>
          <w:vertAlign w:val="superscript"/>
        </w:rPr>
        <w:t>/</w:t>
      </w:r>
      <w:r>
        <w:t xml:space="preserve">  This means that the Commission cannot issue a final order until the </w:t>
      </w:r>
      <w:r>
        <w:lastRenderedPageBreak/>
        <w:t>record has been closed.  Any argument that the record in this proceeding somehow remained open because the Commission did not explicitly state the date on which the record closed is opportunistic speculation because it is undisputed that Order No. 3 was issued on January 9, 2013.  This is cons</w:t>
      </w:r>
      <w:r w:rsidR="003471CC">
        <w:t xml:space="preserve">istent with Washington law, which </w:t>
      </w:r>
      <w:r>
        <w:t>states that the record includes “[e]vidence received or considered,” in the past tense</w:t>
      </w:r>
      <w:r w:rsidR="005A4C3A">
        <w:t>.</w:t>
      </w:r>
      <w:bookmarkStart w:id="2" w:name="_GoBack"/>
      <w:bookmarkEnd w:id="2"/>
      <w:r w:rsidR="00810E7D" w:rsidRPr="009673E7">
        <w:rPr>
          <w:u w:val="single"/>
          <w:vertAlign w:val="superscript"/>
        </w:rPr>
        <w:footnoteReference w:id="46"/>
      </w:r>
      <w:proofErr w:type="gramStart"/>
      <w:r w:rsidR="00810E7D" w:rsidRPr="00DD10AF">
        <w:rPr>
          <w:vertAlign w:val="superscript"/>
        </w:rPr>
        <w:t>/</w:t>
      </w:r>
      <w:r>
        <w:t xml:space="preserve">  </w:t>
      </w:r>
      <w:r w:rsidR="00DA5876">
        <w:t>PSE</w:t>
      </w:r>
      <w:proofErr w:type="gramEnd"/>
      <w:r w:rsidR="00DA5876">
        <w:t xml:space="preserve"> simply cannot</w:t>
      </w:r>
      <w:r>
        <w:t xml:space="preserve"> expand an agency record</w:t>
      </w:r>
      <w:r w:rsidR="00DA5876">
        <w:t xml:space="preserve"> by filing extraneous papers in a resolved docket</w:t>
      </w:r>
      <w:r>
        <w:t>.</w:t>
      </w:r>
      <w:r w:rsidR="00B14091">
        <w:t xml:space="preserve">  Accordingly, all of the documents from the Decoupling and ERF dockets must be rejected here.  </w:t>
      </w:r>
      <w:r w:rsidR="00DA5876">
        <w:t xml:space="preserve"> </w:t>
      </w:r>
    </w:p>
    <w:p w:rsidR="00D63F87" w:rsidRPr="009673E7" w:rsidRDefault="002A4A00" w:rsidP="003B62C3">
      <w:pPr>
        <w:pStyle w:val="WUTCParagraph"/>
        <w:keepNext/>
        <w:keepLines/>
        <w:numPr>
          <w:ilvl w:val="0"/>
          <w:numId w:val="0"/>
        </w:numPr>
        <w:tabs>
          <w:tab w:val="clear" w:pos="1440"/>
        </w:tabs>
        <w:jc w:val="center"/>
        <w:rPr>
          <w:b/>
        </w:rPr>
      </w:pPr>
      <w:r w:rsidRPr="009673E7">
        <w:tab/>
      </w:r>
      <w:r w:rsidR="00D63F87" w:rsidRPr="009673E7">
        <w:t xml:space="preserve">   </w:t>
      </w:r>
      <w:r w:rsidR="00D63F87" w:rsidRPr="009673E7">
        <w:rPr>
          <w:b/>
        </w:rPr>
        <w:t>III.</w:t>
      </w:r>
      <w:r w:rsidR="00D63F87" w:rsidRPr="009673E7">
        <w:rPr>
          <w:b/>
        </w:rPr>
        <w:tab/>
        <w:t>CONCLUSION</w:t>
      </w:r>
    </w:p>
    <w:p w:rsidR="00D63F87" w:rsidRPr="009673E7" w:rsidRDefault="00D63F87" w:rsidP="00205A34">
      <w:pPr>
        <w:pStyle w:val="MJDWUTCBrief"/>
      </w:pPr>
      <w:r w:rsidRPr="009673E7">
        <w:tab/>
        <w:t xml:space="preserve">The Commission should reject </w:t>
      </w:r>
      <w:r w:rsidR="005B21C4" w:rsidRPr="009673E7">
        <w:t xml:space="preserve">PSE’s </w:t>
      </w:r>
      <w:r w:rsidRPr="009673E7">
        <w:t>request to reconsider its Order</w:t>
      </w:r>
      <w:r w:rsidR="005B21C4" w:rsidRPr="009673E7">
        <w:t xml:space="preserve"> 03 and</w:t>
      </w:r>
      <w:r w:rsidR="00E123C0" w:rsidRPr="009673E7">
        <w:t xml:space="preserve"> </w:t>
      </w:r>
      <w:r w:rsidRPr="009673E7">
        <w:t xml:space="preserve">decline to reopen the record.  </w:t>
      </w:r>
      <w:r w:rsidR="005B21C4" w:rsidRPr="009673E7">
        <w:t>PSE</w:t>
      </w:r>
      <w:r w:rsidR="00440206">
        <w:t>’s</w:t>
      </w:r>
      <w:r w:rsidR="00CD445F" w:rsidRPr="009673E7">
        <w:t xml:space="preserve"> disagree</w:t>
      </w:r>
      <w:r w:rsidR="00440206">
        <w:t>ment</w:t>
      </w:r>
      <w:r w:rsidR="00CD445F" w:rsidRPr="009673E7">
        <w:t xml:space="preserve"> with the Commission’s decision</w:t>
      </w:r>
      <w:r w:rsidR="00440206">
        <w:t>s</w:t>
      </w:r>
      <w:r w:rsidR="00AF3715" w:rsidRPr="009673E7">
        <w:t xml:space="preserve"> </w:t>
      </w:r>
      <w:r w:rsidR="003B62C3" w:rsidRPr="009673E7">
        <w:t>does</w:t>
      </w:r>
      <w:r w:rsidR="00AF3715" w:rsidRPr="009673E7">
        <w:t xml:space="preserve"> not </w:t>
      </w:r>
      <w:r w:rsidR="003B62C3" w:rsidRPr="009673E7">
        <w:t xml:space="preserve">rise to </w:t>
      </w:r>
      <w:r w:rsidR="00AF3715" w:rsidRPr="009673E7">
        <w:t>a clear error of law or fact</w:t>
      </w:r>
      <w:r w:rsidR="00440206">
        <w:t>, nor</w:t>
      </w:r>
      <w:r w:rsidR="00AF3715" w:rsidRPr="009673E7">
        <w:t xml:space="preserve"> warrant granting any of the Company’s post-order </w:t>
      </w:r>
      <w:r w:rsidR="00440206">
        <w:t>requests</w:t>
      </w:r>
      <w:r w:rsidR="00AF3715" w:rsidRPr="009673E7">
        <w:t xml:space="preserve">.  </w:t>
      </w:r>
      <w:r w:rsidR="00DA5876">
        <w:t xml:space="preserve">Further, the Commission should not consider PSE’s Motion to Reopen because it violates Commission rules.  It should also be rejected because it does not seek to offer evidence essential to any </w:t>
      </w:r>
      <w:r w:rsidR="00440206">
        <w:t>dispute</w:t>
      </w:r>
      <w:r w:rsidR="00DA5876">
        <w:t>d issue, but offers evidence created in response to the Commission’s Final Order 03.  Finally, the APA limits Commission decisions to record evidence in each individual contested case, therefore, the Global Settlement proposed in unrelated dockets is both irrelevant to this resolved docket, and cannot substitut</w:t>
      </w:r>
      <w:r w:rsidR="008F40EA">
        <w:t>e for the Commission’s decision</w:t>
      </w:r>
      <w:r w:rsidR="00DA5876">
        <w:t>s in Final Order 03 without violating the law.</w:t>
      </w:r>
    </w:p>
    <w:p w:rsidR="0007570E" w:rsidRDefault="0007570E" w:rsidP="0007570E">
      <w:pPr>
        <w:keepNext/>
        <w:spacing w:line="480" w:lineRule="auto"/>
        <w:ind w:firstLine="1440"/>
      </w:pPr>
      <w:r>
        <w:lastRenderedPageBreak/>
        <w:t>Da</w:t>
      </w:r>
      <w:r w:rsidR="007A4288">
        <w:t xml:space="preserve">ted in Portland, Oregon, this </w:t>
      </w:r>
      <w:r w:rsidR="008F40EA">
        <w:t>30</w:t>
      </w:r>
      <w:r w:rsidR="00E84F11">
        <w:t>th</w:t>
      </w:r>
      <w:r w:rsidR="005B21C4">
        <w:t xml:space="preserve"> </w:t>
      </w:r>
      <w:r>
        <w:t xml:space="preserve">day of </w:t>
      </w:r>
      <w:r w:rsidR="001A4BAD">
        <w:t>May</w:t>
      </w:r>
      <w:r>
        <w:t xml:space="preserve">, </w:t>
      </w:r>
      <w:r w:rsidR="005B21C4">
        <w:t>2013</w:t>
      </w:r>
      <w:r>
        <w:t>.</w:t>
      </w:r>
    </w:p>
    <w:p w:rsidR="0007570E" w:rsidRDefault="0007570E" w:rsidP="0007570E">
      <w:pPr>
        <w:keepNext/>
        <w:spacing w:line="480" w:lineRule="auto"/>
        <w:ind w:left="2880" w:firstLine="720"/>
      </w:pPr>
      <w:r>
        <w:t>Respectfully submitted,</w:t>
      </w:r>
    </w:p>
    <w:p w:rsidR="0007570E" w:rsidRDefault="0007570E" w:rsidP="0007570E">
      <w:pPr>
        <w:keepNext/>
        <w:spacing w:line="480" w:lineRule="auto"/>
        <w:ind w:firstLine="3600"/>
      </w:pPr>
      <w:r>
        <w:t>DAVISON VAN CLEVE, P.C.</w:t>
      </w:r>
    </w:p>
    <w:p w:rsidR="0007570E" w:rsidRDefault="0007570E" w:rsidP="0007570E">
      <w:pPr>
        <w:keepNext/>
        <w:ind w:firstLine="3600"/>
      </w:pPr>
    </w:p>
    <w:p w:rsidR="0007570E" w:rsidRPr="00200EE5" w:rsidRDefault="0007570E" w:rsidP="0007570E">
      <w:pPr>
        <w:keepNext/>
        <w:ind w:firstLine="3600"/>
        <w:rPr>
          <w:u w:val="single"/>
        </w:rPr>
      </w:pPr>
      <w:r>
        <w:rPr>
          <w:i/>
          <w:u w:val="single"/>
        </w:rPr>
        <w:t xml:space="preserve">/s/ </w:t>
      </w:r>
      <w:r w:rsidR="00B14091">
        <w:rPr>
          <w:i/>
          <w:u w:val="single"/>
        </w:rPr>
        <w:t>Melinda J. Davison</w:t>
      </w:r>
    </w:p>
    <w:p w:rsidR="0007570E" w:rsidRDefault="0007570E" w:rsidP="0007570E">
      <w:pPr>
        <w:keepNext/>
        <w:ind w:firstLine="3600"/>
      </w:pPr>
      <w:r>
        <w:t>Melinda J. Davison</w:t>
      </w:r>
    </w:p>
    <w:p w:rsidR="0007570E" w:rsidRDefault="00FE2143" w:rsidP="0007570E">
      <w:pPr>
        <w:keepNext/>
        <w:ind w:firstLine="3600"/>
      </w:pPr>
      <w:r>
        <w:t>Joshua D. Weber</w:t>
      </w:r>
    </w:p>
    <w:p w:rsidR="0007570E" w:rsidRDefault="0007570E" w:rsidP="0007570E">
      <w:pPr>
        <w:keepNext/>
        <w:ind w:firstLine="3600"/>
      </w:pPr>
      <w:r>
        <w:t>333 S.W. Taylor, Suite 400</w:t>
      </w:r>
    </w:p>
    <w:p w:rsidR="0007570E" w:rsidRDefault="0007570E" w:rsidP="0007570E">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w:t>
          </w:r>
        </w:smartTag>
      </w:smartTag>
    </w:p>
    <w:p w:rsidR="0007570E" w:rsidRDefault="0007570E" w:rsidP="0007570E">
      <w:pPr>
        <w:keepNext/>
        <w:ind w:firstLine="3600"/>
      </w:pPr>
      <w:r>
        <w:t>(503) 241-7242 telephone</w:t>
      </w:r>
    </w:p>
    <w:p w:rsidR="0007570E" w:rsidRDefault="0007570E" w:rsidP="0007570E">
      <w:pPr>
        <w:keepNext/>
        <w:ind w:firstLine="3600"/>
      </w:pPr>
      <w:r>
        <w:t>(503) 241-8160 facsimile</w:t>
      </w:r>
    </w:p>
    <w:p w:rsidR="0007570E" w:rsidRDefault="0007570E" w:rsidP="0007570E">
      <w:pPr>
        <w:ind w:left="2912" w:firstLine="688"/>
      </w:pPr>
      <w:r w:rsidRPr="007A4288">
        <w:t>mjd@dvclaw.com</w:t>
      </w:r>
    </w:p>
    <w:p w:rsidR="0007570E" w:rsidRPr="00F2477B" w:rsidRDefault="00FE2143" w:rsidP="0007570E">
      <w:pPr>
        <w:ind w:left="2912" w:firstLine="688"/>
      </w:pPr>
      <w:r>
        <w:t>jdw</w:t>
      </w:r>
      <w:r w:rsidR="00EB595C" w:rsidRPr="00F2477B">
        <w:t>@dvclaw.com</w:t>
      </w:r>
    </w:p>
    <w:p w:rsidR="0007570E" w:rsidRDefault="00EB595C" w:rsidP="0007570E">
      <w:pPr>
        <w:ind w:left="3600"/>
      </w:pPr>
      <w:r w:rsidRPr="00F2477B">
        <w:t>O</w:t>
      </w:r>
      <w:r w:rsidR="0007570E" w:rsidRPr="00F2477B">
        <w:t>f</w:t>
      </w:r>
      <w:r w:rsidR="0007570E">
        <w:t xml:space="preserve"> Attorneys for Industrial Customers </w:t>
      </w:r>
    </w:p>
    <w:p w:rsidR="0007570E" w:rsidRDefault="0007570E" w:rsidP="0007570E">
      <w:pPr>
        <w:ind w:left="3600"/>
      </w:pPr>
      <w:r>
        <w:t>of Northwest Utilities</w:t>
      </w:r>
    </w:p>
    <w:p w:rsidR="008026CA" w:rsidRPr="00432ECB" w:rsidRDefault="008026CA">
      <w:pPr>
        <w:rPr>
          <w:szCs w:val="24"/>
        </w:rPr>
      </w:pPr>
    </w:p>
    <w:sectPr w:rsidR="008026CA" w:rsidRPr="00432ECB" w:rsidSect="00553EC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531" w:rsidRDefault="00241531" w:rsidP="00AC2E62">
      <w:r>
        <w:separator/>
      </w:r>
    </w:p>
  </w:endnote>
  <w:endnote w:type="continuationSeparator" w:id="0">
    <w:p w:rsidR="00241531" w:rsidRDefault="00241531" w:rsidP="00AC2E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531" w:rsidRDefault="00241531" w:rsidP="0071224A">
    <w:pPr>
      <w:pStyle w:val="Footer"/>
    </w:pPr>
  </w:p>
  <w:p w:rsidR="00241531" w:rsidRDefault="00241531" w:rsidP="0071224A">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A2885">
      <w:rPr>
        <w:rStyle w:val="PageNumber"/>
        <w:noProof/>
      </w:rPr>
      <w:t>1</w:t>
    </w:r>
    <w:r>
      <w:rPr>
        <w:rStyle w:val="PageNumber"/>
      </w:rPr>
      <w:fldChar w:fldCharType="end"/>
    </w:r>
    <w:r>
      <w:rPr>
        <w:rStyle w:val="PageNumber"/>
      </w:rPr>
      <w:t xml:space="preserve"> – ICNU RESPONSE IN OPPOSITION TO PSE</w:t>
    </w:r>
    <w:r>
      <w:rPr>
        <w:rStyle w:val="PageNumber"/>
      </w:rPr>
      <w:tab/>
    </w:r>
  </w:p>
  <w:p w:rsidR="00241531" w:rsidRPr="00A8153E" w:rsidRDefault="00241531" w:rsidP="0071224A">
    <w:pPr>
      <w:pStyle w:val="Footer"/>
      <w:rPr>
        <w:rStyle w:val="PageNumber"/>
        <w:sz w:val="16"/>
        <w:szCs w:val="16"/>
      </w:rPr>
    </w:pPr>
  </w:p>
  <w:p w:rsidR="00241531" w:rsidRPr="00A8153E" w:rsidRDefault="00241531" w:rsidP="0071224A">
    <w:pPr>
      <w:jc w:val="center"/>
      <w:rPr>
        <w:rFonts w:ascii="EngraversGothic BT" w:hAnsi="EngraversGothic BT"/>
        <w:sz w:val="16"/>
        <w:szCs w:val="16"/>
      </w:rPr>
    </w:pPr>
    <w:r w:rsidRPr="00A8153E">
      <w:rPr>
        <w:rFonts w:ascii="EngraversGothic BT" w:hAnsi="EngraversGothic BT"/>
        <w:sz w:val="16"/>
        <w:szCs w:val="16"/>
      </w:rPr>
      <w:t>DAVISON VAN CLEVE, P.C.</w:t>
    </w:r>
  </w:p>
  <w:p w:rsidR="00241531" w:rsidRPr="00A8153E" w:rsidRDefault="00241531" w:rsidP="0071224A">
    <w:pPr>
      <w:tabs>
        <w:tab w:val="center" w:pos="4680"/>
      </w:tabs>
      <w:jc w:val="center"/>
      <w:rPr>
        <w:rFonts w:ascii="EngraversGothic BT" w:hAnsi="EngraversGothic BT"/>
        <w:sz w:val="16"/>
        <w:szCs w:val="16"/>
      </w:rPr>
    </w:pPr>
    <w:r w:rsidRPr="00A8153E">
      <w:rPr>
        <w:rFonts w:ascii="EngraversGothic BT" w:hAnsi="EngraversGothic BT"/>
        <w:sz w:val="16"/>
        <w:szCs w:val="16"/>
      </w:rPr>
      <w:t>333 S.W. Taylor, Suite 400</w:t>
    </w:r>
  </w:p>
  <w:p w:rsidR="00241531" w:rsidRPr="00A8153E" w:rsidRDefault="00241531" w:rsidP="0071224A">
    <w:pPr>
      <w:tabs>
        <w:tab w:val="center" w:pos="4680"/>
      </w:tabs>
      <w:jc w:val="center"/>
      <w:rPr>
        <w:rFonts w:ascii="EngraversGothic BT" w:hAnsi="EngraversGothic BT"/>
        <w:sz w:val="16"/>
        <w:szCs w:val="16"/>
      </w:rPr>
    </w:pPr>
    <w:r w:rsidRPr="00A8153E">
      <w:rPr>
        <w:rFonts w:ascii="EngraversGothic BT" w:hAnsi="EngraversGothic BT"/>
        <w:sz w:val="16"/>
        <w:szCs w:val="16"/>
      </w:rPr>
      <w:t>Portland, OR 97204</w:t>
    </w:r>
  </w:p>
  <w:p w:rsidR="00241531" w:rsidRPr="00A8153E" w:rsidRDefault="00241531" w:rsidP="0071224A">
    <w:pPr>
      <w:pStyle w:val="Footer"/>
      <w:jc w:val="center"/>
      <w:rPr>
        <w:sz w:val="16"/>
        <w:szCs w:val="16"/>
      </w:rPr>
    </w:pPr>
    <w:r w:rsidRPr="00A8153E">
      <w:rPr>
        <w:rFonts w:ascii="EngraversGothic BT" w:hAnsi="EngraversGothic BT"/>
        <w:sz w:val="16"/>
        <w:szCs w:val="16"/>
      </w:rPr>
      <w:t>Telephone (503) 241-7242</w:t>
    </w:r>
  </w:p>
  <w:p w:rsidR="00241531" w:rsidRDefault="00241531" w:rsidP="007122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531" w:rsidRDefault="00241531" w:rsidP="00AC2E62">
      <w:r>
        <w:separator/>
      </w:r>
    </w:p>
  </w:footnote>
  <w:footnote w:type="continuationSeparator" w:id="0">
    <w:p w:rsidR="00241531" w:rsidRDefault="00241531" w:rsidP="00AC2E62">
      <w:r>
        <w:continuationSeparator/>
      </w:r>
    </w:p>
  </w:footnote>
  <w:footnote w:id="1">
    <w:p w:rsidR="00241531" w:rsidRPr="00CA3588" w:rsidRDefault="00241531" w:rsidP="00AC2E62">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 xml:space="preserve">WAC § 480-07-850(1)-(2).   </w:t>
      </w:r>
    </w:p>
  </w:footnote>
  <w:footnote w:id="2">
    <w:p w:rsidR="00241531" w:rsidRPr="00CA3588" w:rsidRDefault="00241531" w:rsidP="00AC2E62">
      <w:pPr>
        <w:pStyle w:val="FootnoteText"/>
        <w:tabs>
          <w:tab w:val="left" w:pos="810"/>
        </w:tabs>
        <w:ind w:left="720" w:right="-187" w:hanging="720"/>
      </w:pPr>
      <w:r w:rsidRPr="00530ED0">
        <w:rPr>
          <w:rStyle w:val="FootnoteReference"/>
        </w:rPr>
        <w:footnoteRef/>
      </w:r>
      <w:r w:rsidRPr="00530ED0">
        <w:rPr>
          <w:vertAlign w:val="superscript"/>
        </w:rPr>
        <w:t>/</w:t>
      </w:r>
      <w:r w:rsidRPr="00530ED0">
        <w:tab/>
      </w:r>
      <w:r>
        <w:rPr>
          <w:u w:val="single"/>
        </w:rPr>
        <w:t>R</w:t>
      </w:r>
      <w:r w:rsidRPr="00BD5DF6">
        <w:rPr>
          <w:u w:val="single"/>
        </w:rPr>
        <w:t>e</w:t>
      </w:r>
      <w:r>
        <w:rPr>
          <w:u w:val="single"/>
        </w:rPr>
        <w:t xml:space="preserve"> </w:t>
      </w:r>
      <w:proofErr w:type="spellStart"/>
      <w:r w:rsidRPr="00AB3D68">
        <w:rPr>
          <w:u w:val="single"/>
        </w:rPr>
        <w:t>Avista</w:t>
      </w:r>
      <w:proofErr w:type="spellEnd"/>
      <w:r w:rsidRPr="00AB3D68">
        <w:rPr>
          <w:u w:val="single"/>
        </w:rPr>
        <w:t xml:space="preserve"> Corp. for Authority to Sell Its Interest in the Coal-Fired Centralia Power Plant</w:t>
      </w:r>
      <w:r w:rsidRPr="00534E4C">
        <w:rPr>
          <w:i/>
        </w:rPr>
        <w:t xml:space="preserve">, </w:t>
      </w:r>
      <w:r w:rsidRPr="00534E4C">
        <w:t>Docket No. UE-991255 et al., Fourth Supp</w:t>
      </w:r>
      <w:r>
        <w:t>l</w:t>
      </w:r>
      <w:r w:rsidRPr="00534E4C">
        <w:t>. Order ¶ 40</w:t>
      </w:r>
      <w:r>
        <w:t xml:space="preserve"> (Apr. 21, 2000) </w:t>
      </w:r>
      <w:r w:rsidRPr="00534E4C">
        <w:t>(</w:t>
      </w:r>
      <w:r>
        <w:t xml:space="preserve">emphasis added and internal citations omitted); </w:t>
      </w:r>
      <w:r>
        <w:rPr>
          <w:u w:val="single"/>
        </w:rPr>
        <w:t>s</w:t>
      </w:r>
      <w:r w:rsidRPr="00AB3D68">
        <w:rPr>
          <w:u w:val="single"/>
        </w:rPr>
        <w:t>ee</w:t>
      </w:r>
      <w:r w:rsidRPr="00AB3D68">
        <w:t xml:space="preserve"> </w:t>
      </w:r>
      <w:r w:rsidRPr="00AB3D68">
        <w:rPr>
          <w:u w:val="single"/>
        </w:rPr>
        <w:t>also</w:t>
      </w:r>
      <w:r>
        <w:t xml:space="preserve"> </w:t>
      </w:r>
      <w:r w:rsidRPr="00AB3D68">
        <w:rPr>
          <w:u w:val="single"/>
        </w:rPr>
        <w:t>WUTC v. Olympic Pipe Line Co.</w:t>
      </w:r>
      <w:r w:rsidRPr="00534E4C">
        <w:t>, Docket No. TO-0</w:t>
      </w:r>
      <w:r>
        <w:t xml:space="preserve">11472, Eighth Suppl. Order ¶¶ 13, </w:t>
      </w:r>
      <w:r w:rsidRPr="00534E4C">
        <w:t>15</w:t>
      </w:r>
      <w:r>
        <w:t xml:space="preserve"> (Mar. 29, 2002) ; </w:t>
      </w:r>
      <w:r w:rsidRPr="00AB3D68">
        <w:rPr>
          <w:u w:val="single"/>
        </w:rPr>
        <w:t xml:space="preserve">WUTC v. </w:t>
      </w:r>
      <w:r>
        <w:rPr>
          <w:u w:val="single"/>
        </w:rPr>
        <w:t>PSE</w:t>
      </w:r>
      <w:r>
        <w:t>, Docket No. UE-011163, Seventh Suppl. Order ¶¶ 18, 22-23 (Oct. 24, 2001) (finding that PSE failed to meet its burden of demonstrating a basis for reconsideration where it had not shown error in the final order or that the order was incomplete).</w:t>
      </w:r>
      <w:r w:rsidRPr="00534E4C">
        <w:t xml:space="preserve">  </w:t>
      </w:r>
    </w:p>
  </w:footnote>
  <w:footnote w:id="3">
    <w:p w:rsidR="00241531" w:rsidRDefault="00241531">
      <w:pPr>
        <w:pStyle w:val="FootnoteText"/>
      </w:pPr>
      <w:r>
        <w:rPr>
          <w:rStyle w:val="FootnoteReference"/>
        </w:rPr>
        <w:footnoteRef/>
      </w:r>
      <w:r w:rsidRPr="00530ED0">
        <w:rPr>
          <w:vertAlign w:val="superscript"/>
        </w:rPr>
        <w:t>/</w:t>
      </w:r>
      <w:r>
        <w:rPr>
          <w:vertAlign w:val="superscript"/>
        </w:rPr>
        <w:tab/>
      </w:r>
      <w:r w:rsidRPr="00BD45EA">
        <w:t xml:space="preserve">Petition </w:t>
      </w:r>
      <w:r>
        <w:t>for Reconsideration at ¶ 4.</w:t>
      </w:r>
    </w:p>
  </w:footnote>
  <w:footnote w:id="4">
    <w:p w:rsidR="00241531" w:rsidRPr="00CA3588" w:rsidRDefault="00241531" w:rsidP="00AF3535">
      <w:pPr>
        <w:pStyle w:val="FootnoteText"/>
        <w:tabs>
          <w:tab w:val="left" w:pos="810"/>
        </w:tabs>
        <w:ind w:left="720" w:right="-187" w:hanging="720"/>
      </w:pPr>
      <w:r w:rsidRPr="00530ED0">
        <w:rPr>
          <w:rStyle w:val="FootnoteReference"/>
        </w:rPr>
        <w:footnoteRef/>
      </w:r>
      <w:r w:rsidRPr="00530ED0">
        <w:rPr>
          <w:vertAlign w:val="superscript"/>
        </w:rPr>
        <w:t>/</w:t>
      </w:r>
      <w:r w:rsidRPr="00530ED0">
        <w:tab/>
      </w:r>
      <w:r w:rsidRPr="00BD45EA">
        <w:rPr>
          <w:u w:val="single"/>
        </w:rPr>
        <w:t>Id</w:t>
      </w:r>
      <w:r w:rsidRPr="00551A5A">
        <w:rPr>
          <w:u w:val="single"/>
        </w:rPr>
        <w:t>.</w:t>
      </w:r>
    </w:p>
  </w:footnote>
  <w:footnote w:id="5">
    <w:p w:rsidR="00241531" w:rsidRPr="00CA3588" w:rsidRDefault="00241531" w:rsidP="00AF3535">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 xml:space="preserve">Order 03 at </w:t>
      </w:r>
      <w:r w:rsidRPr="00534E4C">
        <w:t>¶</w:t>
      </w:r>
      <w:r w:rsidRPr="00AF3535">
        <w:t xml:space="preserve">¶ </w:t>
      </w:r>
      <w:r>
        <w:t>27-43.</w:t>
      </w:r>
    </w:p>
  </w:footnote>
  <w:footnote w:id="6">
    <w:p w:rsidR="00241531" w:rsidRPr="00CA3588" w:rsidRDefault="00241531" w:rsidP="000C1845">
      <w:pPr>
        <w:pStyle w:val="FootnoteText"/>
        <w:tabs>
          <w:tab w:val="left" w:pos="810"/>
        </w:tabs>
        <w:ind w:left="720" w:right="-187" w:hanging="720"/>
      </w:pPr>
      <w:r w:rsidRPr="00530ED0">
        <w:rPr>
          <w:rStyle w:val="FootnoteReference"/>
        </w:rPr>
        <w:footnoteRef/>
      </w:r>
      <w:r w:rsidRPr="00530ED0">
        <w:rPr>
          <w:vertAlign w:val="superscript"/>
        </w:rPr>
        <w:t>/</w:t>
      </w:r>
      <w:r w:rsidRPr="00530ED0">
        <w:tab/>
      </w:r>
      <w:r w:rsidRPr="00D2031A">
        <w:rPr>
          <w:u w:val="single"/>
        </w:rPr>
        <w:t>Id.</w:t>
      </w:r>
      <w:r>
        <w:t xml:space="preserve"> at </w:t>
      </w:r>
      <w:r w:rsidRPr="00534E4C">
        <w:t>¶</w:t>
      </w:r>
      <w:r w:rsidRPr="00AF3535">
        <w:t xml:space="preserve">¶ </w:t>
      </w:r>
      <w:r>
        <w:t>39-43.</w:t>
      </w:r>
    </w:p>
  </w:footnote>
  <w:footnote w:id="7">
    <w:p w:rsidR="00241531" w:rsidRDefault="00241531">
      <w:pPr>
        <w:pStyle w:val="FootnoteText"/>
      </w:pPr>
      <w:r>
        <w:rPr>
          <w:rStyle w:val="FootnoteReference"/>
        </w:rPr>
        <w:footnoteRef/>
      </w:r>
      <w:r w:rsidRPr="000C1845">
        <w:rPr>
          <w:vertAlign w:val="superscript"/>
        </w:rPr>
        <w:t>/</w:t>
      </w:r>
      <w:r>
        <w:t xml:space="preserve"> </w:t>
      </w:r>
      <w:r>
        <w:tab/>
      </w:r>
      <w:r w:rsidRPr="000C1845">
        <w:rPr>
          <w:u w:val="single"/>
        </w:rPr>
        <w:t>Id.</w:t>
      </w:r>
    </w:p>
  </w:footnote>
  <w:footnote w:id="8">
    <w:p w:rsidR="00241531" w:rsidRPr="00CA3588" w:rsidRDefault="00241531" w:rsidP="00D2031A">
      <w:pPr>
        <w:pStyle w:val="FootnoteText"/>
        <w:tabs>
          <w:tab w:val="left" w:pos="810"/>
        </w:tabs>
        <w:ind w:left="720" w:right="-187" w:hanging="720"/>
      </w:pPr>
      <w:r w:rsidRPr="00530ED0">
        <w:rPr>
          <w:rStyle w:val="FootnoteReference"/>
        </w:rPr>
        <w:footnoteRef/>
      </w:r>
      <w:r w:rsidRPr="00530ED0">
        <w:rPr>
          <w:vertAlign w:val="superscript"/>
        </w:rPr>
        <w:t>/</w:t>
      </w:r>
      <w:r w:rsidRPr="00530ED0">
        <w:tab/>
      </w:r>
      <w:r w:rsidRPr="00D2031A">
        <w:rPr>
          <w:u w:val="single"/>
        </w:rPr>
        <w:t>Id.</w:t>
      </w:r>
      <w:r>
        <w:t xml:space="preserve"> at </w:t>
      </w:r>
      <w:r w:rsidRPr="00534E4C">
        <w:t>¶</w:t>
      </w:r>
      <w:r w:rsidRPr="00AF3535">
        <w:t xml:space="preserve"> </w:t>
      </w:r>
      <w:r>
        <w:t>42.</w:t>
      </w:r>
    </w:p>
  </w:footnote>
  <w:footnote w:id="9">
    <w:p w:rsidR="00241531" w:rsidRPr="00CA3588" w:rsidRDefault="00241531" w:rsidP="00741D1E">
      <w:pPr>
        <w:pStyle w:val="FootnoteText"/>
        <w:tabs>
          <w:tab w:val="left" w:pos="810"/>
        </w:tabs>
        <w:ind w:left="720" w:right="-187" w:hanging="720"/>
      </w:pPr>
      <w:r w:rsidRPr="00530ED0">
        <w:rPr>
          <w:rStyle w:val="FootnoteReference"/>
        </w:rPr>
        <w:footnoteRef/>
      </w:r>
      <w:r w:rsidRPr="00530ED0">
        <w:rPr>
          <w:vertAlign w:val="superscript"/>
        </w:rPr>
        <w:t>/</w:t>
      </w:r>
      <w:r w:rsidRPr="00530ED0">
        <w:tab/>
      </w:r>
      <w:r w:rsidRPr="00BD45EA">
        <w:rPr>
          <w:u w:val="single"/>
        </w:rPr>
        <w:t>Id.</w:t>
      </w:r>
      <w:r>
        <w:t xml:space="preserve"> at </w:t>
      </w:r>
      <w:r w:rsidRPr="00534E4C">
        <w:t>¶</w:t>
      </w:r>
      <w:r w:rsidRPr="00AF3535">
        <w:t xml:space="preserve">¶ </w:t>
      </w:r>
      <w:r>
        <w:t>4, 13-23.</w:t>
      </w:r>
    </w:p>
  </w:footnote>
  <w:footnote w:id="10">
    <w:p w:rsidR="00241531" w:rsidRPr="00CA3588" w:rsidRDefault="00241531" w:rsidP="00317C00">
      <w:pPr>
        <w:pStyle w:val="FootnoteText"/>
        <w:tabs>
          <w:tab w:val="left" w:pos="810"/>
        </w:tabs>
        <w:ind w:left="720" w:right="-187" w:hanging="720"/>
      </w:pPr>
      <w:r w:rsidRPr="00530ED0">
        <w:rPr>
          <w:rStyle w:val="FootnoteReference"/>
        </w:rPr>
        <w:footnoteRef/>
      </w:r>
      <w:r w:rsidRPr="00530ED0">
        <w:rPr>
          <w:vertAlign w:val="superscript"/>
        </w:rPr>
        <w:t>/</w:t>
      </w:r>
      <w:r w:rsidRPr="00530ED0">
        <w:tab/>
      </w:r>
      <w:r w:rsidRPr="00317C00">
        <w:rPr>
          <w:u w:val="single"/>
        </w:rPr>
        <w:t>Id.</w:t>
      </w:r>
    </w:p>
  </w:footnote>
  <w:footnote w:id="11">
    <w:p w:rsidR="00241531" w:rsidRPr="00CA3588" w:rsidRDefault="00241531" w:rsidP="000B7121">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 xml:space="preserve">Order 03 at </w:t>
      </w:r>
      <w:r w:rsidRPr="00534E4C">
        <w:t>¶</w:t>
      </w:r>
      <w:r w:rsidRPr="00AF3535">
        <w:t xml:space="preserve">¶ </w:t>
      </w:r>
      <w:r>
        <w:t>60-61.</w:t>
      </w:r>
    </w:p>
  </w:footnote>
  <w:footnote w:id="12">
    <w:p w:rsidR="00241531" w:rsidRPr="00CA3588" w:rsidRDefault="00241531" w:rsidP="00105EA4">
      <w:pPr>
        <w:pStyle w:val="FootnoteText"/>
        <w:tabs>
          <w:tab w:val="left" w:pos="810"/>
        </w:tabs>
        <w:ind w:left="720" w:right="-187" w:hanging="720"/>
      </w:pPr>
      <w:r w:rsidRPr="00530ED0">
        <w:rPr>
          <w:rStyle w:val="FootnoteReference"/>
        </w:rPr>
        <w:footnoteRef/>
      </w:r>
      <w:r w:rsidRPr="00530ED0">
        <w:rPr>
          <w:vertAlign w:val="superscript"/>
        </w:rPr>
        <w:t>/</w:t>
      </w:r>
      <w:r w:rsidRPr="00530ED0">
        <w:tab/>
      </w:r>
      <w:r w:rsidRPr="0098412B">
        <w:rPr>
          <w:u w:val="single"/>
        </w:rPr>
        <w:t>Id.</w:t>
      </w:r>
      <w:r>
        <w:t xml:space="preserve"> at </w:t>
      </w:r>
      <w:r w:rsidRPr="00534E4C">
        <w:t>¶</w:t>
      </w:r>
      <w:r w:rsidRPr="00AF3535">
        <w:t xml:space="preserve">¶ </w:t>
      </w:r>
      <w:r>
        <w:t>58.</w:t>
      </w:r>
    </w:p>
  </w:footnote>
  <w:footnote w:id="13">
    <w:p w:rsidR="00241531" w:rsidRPr="00CA3588" w:rsidRDefault="00241531" w:rsidP="00317C00">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 xml:space="preserve">Petition for Reconsideration at </w:t>
      </w:r>
      <w:r w:rsidRPr="00534E4C">
        <w:t>¶</w:t>
      </w:r>
      <w:r>
        <w:t xml:space="preserve"> 21.</w:t>
      </w:r>
    </w:p>
  </w:footnote>
  <w:footnote w:id="14">
    <w:p w:rsidR="00241531" w:rsidRPr="003672BD" w:rsidRDefault="00241531" w:rsidP="003672BD">
      <w:pPr>
        <w:pStyle w:val="FootnoteText"/>
        <w:tabs>
          <w:tab w:val="left" w:pos="810"/>
        </w:tabs>
        <w:ind w:left="720" w:right="-187" w:hanging="720"/>
      </w:pPr>
      <w:r w:rsidRPr="00530ED0">
        <w:rPr>
          <w:rStyle w:val="FootnoteReference"/>
        </w:rPr>
        <w:footnoteRef/>
      </w:r>
      <w:r w:rsidRPr="00530ED0">
        <w:rPr>
          <w:vertAlign w:val="superscript"/>
        </w:rPr>
        <w:t>/</w:t>
      </w:r>
      <w:r w:rsidRPr="00530ED0">
        <w:tab/>
      </w:r>
      <w:r>
        <w:rPr>
          <w:u w:val="single"/>
        </w:rPr>
        <w:t>WUTC v. PacifiCorp</w:t>
      </w:r>
      <w:r>
        <w:t xml:space="preserve">, Docket No. UE-100749, Order No. 06 </w:t>
      </w:r>
      <w:r w:rsidRPr="003672BD">
        <w:t>¶</w:t>
      </w:r>
      <w:r>
        <w:t xml:space="preserve"> 148-52 (March 25, 2011).</w:t>
      </w:r>
    </w:p>
  </w:footnote>
  <w:footnote w:id="15">
    <w:p w:rsidR="00241531" w:rsidRPr="00CA3588" w:rsidRDefault="00241531" w:rsidP="003672BD">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 xml:space="preserve">Order 03 at </w:t>
      </w:r>
      <w:r w:rsidRPr="00534E4C">
        <w:t>¶</w:t>
      </w:r>
      <w:r w:rsidRPr="00AF3535">
        <w:t xml:space="preserve"> </w:t>
      </w:r>
      <w:r>
        <w:t>58.</w:t>
      </w:r>
    </w:p>
  </w:footnote>
  <w:footnote w:id="16">
    <w:p w:rsidR="00241531" w:rsidRPr="00CA3588" w:rsidRDefault="00241531" w:rsidP="00301943">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 xml:space="preserve">Petition for Reconsideration at </w:t>
      </w:r>
      <w:r w:rsidRPr="00534E4C">
        <w:t>¶</w:t>
      </w:r>
      <w:r w:rsidRPr="00AF3535">
        <w:t xml:space="preserve">¶ </w:t>
      </w:r>
      <w:r>
        <w:t>24-26.</w:t>
      </w:r>
    </w:p>
  </w:footnote>
  <w:footnote w:id="17">
    <w:p w:rsidR="00241531" w:rsidRPr="00CA3588" w:rsidRDefault="00241531" w:rsidP="00DE1C75">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 xml:space="preserve">Order 03 at </w:t>
      </w:r>
      <w:r w:rsidRPr="00534E4C">
        <w:t>¶</w:t>
      </w:r>
      <w:r w:rsidRPr="00AF3535">
        <w:t xml:space="preserve">¶ </w:t>
      </w:r>
      <w:r>
        <w:t>95-97.</w:t>
      </w:r>
    </w:p>
  </w:footnote>
  <w:footnote w:id="18">
    <w:p w:rsidR="00241531" w:rsidRPr="00CA3588" w:rsidRDefault="00241531" w:rsidP="00DE1C75">
      <w:pPr>
        <w:pStyle w:val="FootnoteText"/>
        <w:tabs>
          <w:tab w:val="left" w:pos="810"/>
        </w:tabs>
        <w:ind w:left="720" w:right="-187" w:hanging="720"/>
      </w:pPr>
      <w:r w:rsidRPr="00530ED0">
        <w:rPr>
          <w:rStyle w:val="FootnoteReference"/>
        </w:rPr>
        <w:footnoteRef/>
      </w:r>
      <w:r w:rsidRPr="00530ED0">
        <w:rPr>
          <w:vertAlign w:val="superscript"/>
        </w:rPr>
        <w:t>/</w:t>
      </w:r>
      <w:r w:rsidRPr="00530ED0">
        <w:tab/>
      </w:r>
      <w:r w:rsidRPr="00DE1C75">
        <w:t>Petition for Reconsideration at ¶¶ 24-26</w:t>
      </w:r>
      <w:r>
        <w:t>.</w:t>
      </w:r>
    </w:p>
  </w:footnote>
  <w:footnote w:id="19">
    <w:p w:rsidR="00241531" w:rsidRDefault="00241531">
      <w:pPr>
        <w:pStyle w:val="FootnoteText"/>
      </w:pPr>
      <w:r>
        <w:rPr>
          <w:rStyle w:val="FootnoteReference"/>
        </w:rPr>
        <w:footnoteRef/>
      </w:r>
      <w:r w:rsidRPr="00E2053E">
        <w:rPr>
          <w:vertAlign w:val="superscript"/>
        </w:rPr>
        <w:t>/</w:t>
      </w:r>
      <w:r>
        <w:t xml:space="preserve"> </w:t>
      </w:r>
      <w:r>
        <w:tab/>
      </w:r>
      <w:r w:rsidRPr="00E2053E">
        <w:rPr>
          <w:u w:val="single"/>
        </w:rPr>
        <w:t>Id.</w:t>
      </w:r>
    </w:p>
  </w:footnote>
  <w:footnote w:id="20">
    <w:p w:rsidR="00241531" w:rsidRPr="00CA3588" w:rsidRDefault="00241531" w:rsidP="00CD445F">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RCW § 80.04.570(3).</w:t>
      </w:r>
    </w:p>
  </w:footnote>
  <w:footnote w:id="21">
    <w:p w:rsidR="00241531" w:rsidRPr="00CA3588" w:rsidRDefault="00241531" w:rsidP="00081EA6">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WAC § 480-07-375(2).</w:t>
      </w:r>
    </w:p>
  </w:footnote>
  <w:footnote w:id="22">
    <w:p w:rsidR="00241531" w:rsidRPr="00CA3588" w:rsidRDefault="00241531" w:rsidP="00081EA6">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WAC § 480-07-370(1)(b).</w:t>
      </w:r>
    </w:p>
  </w:footnote>
  <w:footnote w:id="23">
    <w:p w:rsidR="00241531" w:rsidRPr="00CA3588" w:rsidRDefault="00241531" w:rsidP="0057371D">
      <w:pPr>
        <w:pStyle w:val="FootnoteText"/>
        <w:tabs>
          <w:tab w:val="left" w:pos="810"/>
        </w:tabs>
        <w:ind w:left="720" w:right="-187" w:hanging="720"/>
      </w:pPr>
      <w:r w:rsidRPr="00530ED0">
        <w:rPr>
          <w:rStyle w:val="FootnoteReference"/>
        </w:rPr>
        <w:footnoteRef/>
      </w:r>
      <w:r w:rsidRPr="00530ED0">
        <w:rPr>
          <w:vertAlign w:val="superscript"/>
        </w:rPr>
        <w:t>/</w:t>
      </w:r>
      <w:r w:rsidRPr="00530ED0">
        <w:tab/>
      </w:r>
      <w:r>
        <w:t>Petition for Reconsideration at ¶ 27.</w:t>
      </w:r>
    </w:p>
  </w:footnote>
  <w:footnote w:id="24">
    <w:p w:rsidR="00241531" w:rsidRDefault="00241531">
      <w:pPr>
        <w:pStyle w:val="FootnoteText"/>
      </w:pPr>
      <w:r>
        <w:rPr>
          <w:rStyle w:val="FootnoteReference"/>
        </w:rPr>
        <w:footnoteRef/>
      </w:r>
      <w:r w:rsidRPr="006B0E5E">
        <w:rPr>
          <w:vertAlign w:val="superscript"/>
        </w:rPr>
        <w:t>/</w:t>
      </w:r>
      <w:r>
        <w:t xml:space="preserve"> </w:t>
      </w:r>
      <w:r>
        <w:tab/>
        <w:t xml:space="preserve">Petition for Reconsideration at ¶ 2, </w:t>
      </w:r>
      <w:r w:rsidRPr="006C5223">
        <w:t>n. 2.</w:t>
      </w:r>
    </w:p>
  </w:footnote>
  <w:footnote w:id="25">
    <w:p w:rsidR="00241531" w:rsidRPr="00FE0B78" w:rsidRDefault="00241531" w:rsidP="0057371D">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WAC § 480-07-820(3). </w:t>
      </w:r>
    </w:p>
  </w:footnote>
  <w:footnote w:id="26">
    <w:p w:rsidR="00241531" w:rsidRPr="00FE0B78" w:rsidRDefault="00241531" w:rsidP="00FC1557">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WAC § 480-07-830 (emphasis added).  </w:t>
      </w:r>
    </w:p>
  </w:footnote>
  <w:footnote w:id="27">
    <w:p w:rsidR="00241531" w:rsidRPr="00FE0B78" w:rsidRDefault="00241531" w:rsidP="000130B3">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00663F90" w:rsidRPr="00663F90">
        <w:rPr>
          <w:u w:val="single"/>
        </w:rPr>
        <w:t>Id.</w:t>
      </w:r>
      <w:r w:rsidRPr="00663F90">
        <w:rPr>
          <w:u w:val="single"/>
        </w:rPr>
        <w:t xml:space="preserve"> </w:t>
      </w:r>
    </w:p>
  </w:footnote>
  <w:footnote w:id="28">
    <w:p w:rsidR="00241531" w:rsidRPr="0049434E" w:rsidRDefault="00241531" w:rsidP="00FC1557">
      <w:pPr>
        <w:pStyle w:val="FootnoteText"/>
        <w:tabs>
          <w:tab w:val="left" w:pos="810"/>
        </w:tabs>
        <w:ind w:left="720" w:right="-180" w:hanging="720"/>
      </w:pPr>
      <w:r w:rsidRPr="00FE0B78">
        <w:rPr>
          <w:rStyle w:val="FootnoteReference"/>
        </w:rPr>
        <w:footnoteRef/>
      </w:r>
      <w:r w:rsidRPr="00FE0B78">
        <w:rPr>
          <w:vertAlign w:val="superscript"/>
        </w:rPr>
        <w:t>/</w:t>
      </w:r>
      <w:r w:rsidRPr="00FE0B78">
        <w:tab/>
      </w:r>
      <w:r w:rsidRPr="00FE0B78">
        <w:rPr>
          <w:u w:val="single"/>
        </w:rPr>
        <w:t>WUTC v. Olympic Pipeline Co.</w:t>
      </w:r>
      <w:r w:rsidRPr="00FE0B78">
        <w:t xml:space="preserve">, </w:t>
      </w:r>
      <w:r w:rsidR="00040D67">
        <w:t>Docket No. TO</w:t>
      </w:r>
      <w:r w:rsidRPr="00FE0B78">
        <w:t>-011472,</w:t>
      </w:r>
      <w:r>
        <w:t xml:space="preserve"> Eighth Suppl. Order ¶ 34 (Mar.</w:t>
      </w:r>
      <w:r w:rsidRPr="00FE0B78">
        <w:t xml:space="preserve"> 29, 2002); </w:t>
      </w:r>
      <w:r w:rsidRPr="00FE0B78">
        <w:rPr>
          <w:u w:val="single"/>
        </w:rPr>
        <w:t>BNSF Railway Co. v. Snohomish County</w:t>
      </w:r>
      <w:r w:rsidRPr="00FE0B78">
        <w:t>, Docket No.</w:t>
      </w:r>
      <w:r>
        <w:t xml:space="preserve"> TR-090121, Order No. 04 ¶¶ </w:t>
      </w:r>
      <w:r w:rsidRPr="00FE0B78">
        <w:t>17-19 (Nov. 30, 2009)</w:t>
      </w:r>
      <w:r>
        <w:t xml:space="preserve">.  </w:t>
      </w:r>
    </w:p>
  </w:footnote>
  <w:footnote w:id="29">
    <w:p w:rsidR="00241531" w:rsidRPr="0049434E" w:rsidRDefault="00241531" w:rsidP="001B2218">
      <w:pPr>
        <w:pStyle w:val="FootnoteText"/>
        <w:tabs>
          <w:tab w:val="left" w:pos="810"/>
        </w:tabs>
        <w:ind w:left="720" w:right="-180" w:hanging="720"/>
      </w:pPr>
      <w:r w:rsidRPr="00FE0B78">
        <w:rPr>
          <w:rStyle w:val="FootnoteReference"/>
        </w:rPr>
        <w:footnoteRef/>
      </w:r>
      <w:r w:rsidRPr="00FE0B78">
        <w:rPr>
          <w:vertAlign w:val="superscript"/>
        </w:rPr>
        <w:t>/</w:t>
      </w:r>
      <w:r w:rsidRPr="00FE0B78">
        <w:tab/>
      </w:r>
      <w:r w:rsidRPr="00FE0B78">
        <w:rPr>
          <w:u w:val="single"/>
        </w:rPr>
        <w:t>BNSF Railway Co. v. Snohomish County</w:t>
      </w:r>
      <w:r w:rsidRPr="00FE0B78">
        <w:t>, Docket No.</w:t>
      </w:r>
      <w:r>
        <w:t xml:space="preserve"> TR-090121, Order No. 04 ¶¶ </w:t>
      </w:r>
      <w:r w:rsidRPr="00FE0B78">
        <w:t>17-19 (Nov. 30, 2009)</w:t>
      </w:r>
      <w:r>
        <w:t xml:space="preserve">.  </w:t>
      </w:r>
    </w:p>
  </w:footnote>
  <w:footnote w:id="30">
    <w:p w:rsidR="00241531" w:rsidRPr="0049434E" w:rsidRDefault="00241531" w:rsidP="005014EA">
      <w:pPr>
        <w:pStyle w:val="FootnoteText"/>
        <w:tabs>
          <w:tab w:val="left" w:pos="810"/>
        </w:tabs>
        <w:ind w:left="720" w:right="-180" w:hanging="720"/>
      </w:pPr>
      <w:r w:rsidRPr="00FE0B78">
        <w:rPr>
          <w:rStyle w:val="FootnoteReference"/>
        </w:rPr>
        <w:footnoteRef/>
      </w:r>
      <w:r w:rsidRPr="00FE0B78">
        <w:rPr>
          <w:vertAlign w:val="superscript"/>
        </w:rPr>
        <w:t>/</w:t>
      </w:r>
      <w:r w:rsidRPr="00FE0B78">
        <w:tab/>
      </w:r>
      <w:r>
        <w:t xml:space="preserve">WAC §§ 480-07-820(b), 480-07-850(7).  </w:t>
      </w:r>
    </w:p>
  </w:footnote>
  <w:footnote w:id="31">
    <w:p w:rsidR="00241531" w:rsidRPr="00FE0B78" w:rsidRDefault="00241531" w:rsidP="00EC3359">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WAC § 480-07-830.  </w:t>
      </w:r>
    </w:p>
  </w:footnote>
  <w:footnote w:id="32">
    <w:p w:rsidR="00241531" w:rsidRPr="00FE0B78" w:rsidRDefault="00241531" w:rsidP="005A5FDB">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Pr="005A5FDB">
        <w:rPr>
          <w:u w:val="single"/>
        </w:rPr>
        <w:t>WUTC v. PSE</w:t>
      </w:r>
      <w:r>
        <w:t>, Docket Nos. UE-121697, UG-121705, UE-130137, and UG-130138, Multiparty Settlement at 2 (March 22, 2013).</w:t>
      </w:r>
    </w:p>
  </w:footnote>
  <w:footnote w:id="33">
    <w:p w:rsidR="00241531" w:rsidRPr="00FE0B78" w:rsidRDefault="00241531" w:rsidP="00810E7D">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WAC § 480-07-820(b).</w:t>
      </w:r>
    </w:p>
  </w:footnote>
  <w:footnote w:id="34">
    <w:p w:rsidR="00241531" w:rsidRPr="00FE0B78" w:rsidRDefault="00241531" w:rsidP="00810E7D">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RCW § 34.05.470(1).  </w:t>
      </w:r>
    </w:p>
  </w:footnote>
  <w:footnote w:id="35">
    <w:p w:rsidR="00241531" w:rsidRPr="00FE0B78" w:rsidRDefault="00241531" w:rsidP="00810E7D">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WAC § 480-07-850(2).</w:t>
      </w:r>
    </w:p>
  </w:footnote>
  <w:footnote w:id="36">
    <w:p w:rsidR="00241531" w:rsidRPr="00CA3588" w:rsidRDefault="00241531" w:rsidP="00810E7D">
      <w:pPr>
        <w:pStyle w:val="FootnoteText"/>
        <w:tabs>
          <w:tab w:val="left" w:pos="810"/>
        </w:tabs>
        <w:ind w:left="720" w:right="-187" w:hanging="720"/>
      </w:pPr>
      <w:r w:rsidRPr="00530ED0">
        <w:rPr>
          <w:rStyle w:val="FootnoteReference"/>
        </w:rPr>
        <w:footnoteRef/>
      </w:r>
      <w:r w:rsidRPr="00530ED0">
        <w:rPr>
          <w:vertAlign w:val="superscript"/>
        </w:rPr>
        <w:t>/</w:t>
      </w:r>
      <w:r w:rsidRPr="00530ED0">
        <w:tab/>
      </w:r>
      <w:r>
        <w:rPr>
          <w:u w:val="single"/>
        </w:rPr>
        <w:t>R</w:t>
      </w:r>
      <w:r w:rsidR="00E06533">
        <w:rPr>
          <w:u w:val="single"/>
        </w:rPr>
        <w:t>e</w:t>
      </w:r>
      <w:r>
        <w:rPr>
          <w:u w:val="single"/>
        </w:rPr>
        <w:t xml:space="preserve"> </w:t>
      </w:r>
      <w:proofErr w:type="spellStart"/>
      <w:r w:rsidR="00E06533">
        <w:rPr>
          <w:u w:val="single"/>
        </w:rPr>
        <w:t>Avista</w:t>
      </w:r>
      <w:proofErr w:type="spellEnd"/>
      <w:r w:rsidR="00E06533">
        <w:rPr>
          <w:u w:val="single"/>
        </w:rPr>
        <w:t xml:space="preserve"> </w:t>
      </w:r>
      <w:r w:rsidRPr="00AB3D68">
        <w:rPr>
          <w:u w:val="single"/>
        </w:rPr>
        <w:t>Corp. for Authority to Sell Its Interest in the Coal-Fired Centralia Power Plant</w:t>
      </w:r>
      <w:r w:rsidRPr="00534E4C">
        <w:rPr>
          <w:i/>
        </w:rPr>
        <w:t xml:space="preserve">, </w:t>
      </w:r>
      <w:r w:rsidRPr="00534E4C">
        <w:t>Docket No. UE-991255 et al., Fourth Supp</w:t>
      </w:r>
      <w:r>
        <w:t>l</w:t>
      </w:r>
      <w:r w:rsidRPr="00534E4C">
        <w:t>. Order ¶ 40</w:t>
      </w:r>
      <w:r>
        <w:t xml:space="preserve"> (Apr. 21, 2000).</w:t>
      </w:r>
      <w:r w:rsidRPr="00534E4C">
        <w:t xml:space="preserve">  </w:t>
      </w:r>
    </w:p>
  </w:footnote>
  <w:footnote w:id="37">
    <w:p w:rsidR="00241531" w:rsidRPr="00FE0B78" w:rsidRDefault="00241531" w:rsidP="00810E7D">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WAC § 480-07-850(7).</w:t>
      </w:r>
    </w:p>
  </w:footnote>
  <w:footnote w:id="38">
    <w:p w:rsidR="00241531" w:rsidRDefault="00241531" w:rsidP="00810E7D">
      <w:pPr>
        <w:pStyle w:val="FootnoteText"/>
        <w:ind w:left="720" w:hanging="720"/>
      </w:pPr>
      <w:r>
        <w:rPr>
          <w:rStyle w:val="FootnoteReference"/>
        </w:rPr>
        <w:footnoteRef/>
      </w:r>
      <w:r>
        <w:rPr>
          <w:vertAlign w:val="superscript"/>
        </w:rPr>
        <w:t>/</w:t>
      </w:r>
      <w:r>
        <w:tab/>
      </w:r>
      <w:r w:rsidRPr="004431AA">
        <w:rPr>
          <w:u w:val="single"/>
        </w:rPr>
        <w:t>WUTC v. PSE</w:t>
      </w:r>
      <w:r>
        <w:t xml:space="preserve">, Docket No. UE-121373, Petition for Reconsideration at ¶ 4 (January 22, 2013). </w:t>
      </w:r>
    </w:p>
  </w:footnote>
  <w:footnote w:id="39">
    <w:p w:rsidR="00241531" w:rsidRPr="00FE0B78" w:rsidRDefault="00241531" w:rsidP="00810E7D">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RCW § 34.05.476(3).  </w:t>
      </w:r>
    </w:p>
  </w:footnote>
  <w:footnote w:id="40">
    <w:p w:rsidR="00241531" w:rsidRPr="00FE0B78" w:rsidRDefault="00241531" w:rsidP="00810E7D">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RCW § 34.05.461(3)-(4).</w:t>
      </w:r>
    </w:p>
  </w:footnote>
  <w:footnote w:id="41">
    <w:p w:rsidR="00241531" w:rsidRPr="00FE0B78" w:rsidRDefault="00241531" w:rsidP="00810E7D">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WAC § 480-07-440(1); </w:t>
      </w:r>
      <w:r w:rsidRPr="00D62297">
        <w:rPr>
          <w:u w:val="single"/>
        </w:rPr>
        <w:t>compare</w:t>
      </w:r>
      <w:r>
        <w:t xml:space="preserve"> Letter of  AAG Sally Brown to ALJ Moss dated May 15, 2013.  </w:t>
      </w:r>
    </w:p>
  </w:footnote>
  <w:footnote w:id="42">
    <w:p w:rsidR="00241531" w:rsidRPr="00FE0B78" w:rsidRDefault="00241531" w:rsidP="00810E7D">
      <w:pPr>
        <w:pStyle w:val="FootnoteText"/>
        <w:tabs>
          <w:tab w:val="left" w:pos="810"/>
        </w:tabs>
        <w:ind w:left="720" w:right="-180" w:hanging="720"/>
      </w:pPr>
      <w:r w:rsidRPr="00530ED0">
        <w:rPr>
          <w:rStyle w:val="FootnoteReference"/>
        </w:rPr>
        <w:footnoteRef/>
      </w:r>
      <w:r w:rsidRPr="00530ED0">
        <w:rPr>
          <w:vertAlign w:val="superscript"/>
        </w:rPr>
        <w:t>/</w:t>
      </w:r>
      <w:r w:rsidRPr="00530ED0">
        <w:tab/>
      </w:r>
      <w:r w:rsidRPr="00DA23CA">
        <w:rPr>
          <w:u w:val="single"/>
        </w:rPr>
        <w:t>WUTC v. PSE</w:t>
      </w:r>
      <w:r>
        <w:t>, Docket Nos. UE-121697, UG-121705, Hearing Transcript at p. 121 ll. 23-25 (May 16, 2013).</w:t>
      </w:r>
    </w:p>
  </w:footnote>
  <w:footnote w:id="43">
    <w:p w:rsidR="00241531" w:rsidRDefault="00241531" w:rsidP="00810E7D">
      <w:pPr>
        <w:pStyle w:val="FootnoteText"/>
      </w:pPr>
      <w:r>
        <w:rPr>
          <w:rStyle w:val="FootnoteReference"/>
        </w:rPr>
        <w:footnoteRef/>
      </w:r>
      <w:r>
        <w:t xml:space="preserve"> </w:t>
      </w:r>
      <w:r>
        <w:tab/>
      </w:r>
      <w:proofErr w:type="gramStart"/>
      <w:r w:rsidRPr="00754F0F">
        <w:rPr>
          <w:u w:val="single"/>
        </w:rPr>
        <w:t>Id.</w:t>
      </w:r>
      <w:r>
        <w:t xml:space="preserve"> p. 123 ll. 4, 5.</w:t>
      </w:r>
      <w:proofErr w:type="gramEnd"/>
    </w:p>
  </w:footnote>
  <w:footnote w:id="44">
    <w:p w:rsidR="00241531" w:rsidRPr="00FE0B78" w:rsidRDefault="00241531" w:rsidP="00810E7D">
      <w:pPr>
        <w:pStyle w:val="FootnoteText"/>
        <w:tabs>
          <w:tab w:val="left" w:pos="810"/>
        </w:tabs>
        <w:ind w:left="720" w:right="-180" w:hanging="720"/>
      </w:pPr>
      <w:r w:rsidRPr="00530ED0">
        <w:rPr>
          <w:rStyle w:val="FootnoteReference"/>
        </w:rPr>
        <w:footnoteRef/>
      </w:r>
      <w:r w:rsidRPr="00530ED0">
        <w:rPr>
          <w:vertAlign w:val="superscript"/>
        </w:rPr>
        <w:t>/</w:t>
      </w:r>
      <w:r>
        <w:tab/>
        <w:t>Bench Request 1 requested employment levels at the Centralia generation plant while Bench Request 2 requested historical generation data from the same location.</w:t>
      </w:r>
    </w:p>
  </w:footnote>
  <w:footnote w:id="45">
    <w:p w:rsidR="00241531" w:rsidRPr="00FE0B78" w:rsidRDefault="00241531" w:rsidP="00810E7D">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WAC § 480-07-820(3). </w:t>
      </w:r>
    </w:p>
  </w:footnote>
  <w:footnote w:id="46">
    <w:p w:rsidR="00241531" w:rsidRPr="00FE0B78" w:rsidRDefault="00241531" w:rsidP="00810E7D">
      <w:pPr>
        <w:pStyle w:val="FootnoteText"/>
        <w:tabs>
          <w:tab w:val="left" w:pos="810"/>
        </w:tabs>
        <w:ind w:left="720" w:right="-180" w:hanging="720"/>
      </w:pPr>
      <w:r w:rsidRPr="00530ED0">
        <w:rPr>
          <w:rStyle w:val="FootnoteReference"/>
        </w:rPr>
        <w:footnoteRef/>
      </w:r>
      <w:r w:rsidRPr="00530ED0">
        <w:rPr>
          <w:vertAlign w:val="superscript"/>
        </w:rPr>
        <w:t>/</w:t>
      </w:r>
      <w:r w:rsidRPr="00530ED0">
        <w:tab/>
      </w:r>
      <w:r>
        <w:t xml:space="preserve">RCW § 34.05.476(2)(d).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6DEB256"/>
    <w:lvl w:ilvl="0">
      <w:start w:val="1"/>
      <w:numFmt w:val="decimal"/>
      <w:lvlText w:val="%1."/>
      <w:lvlJc w:val="left"/>
      <w:pPr>
        <w:tabs>
          <w:tab w:val="num" w:pos="1800"/>
        </w:tabs>
        <w:ind w:left="1800" w:hanging="360"/>
      </w:pPr>
    </w:lvl>
  </w:abstractNum>
  <w:abstractNum w:abstractNumId="1">
    <w:nsid w:val="FFFFFF7D"/>
    <w:multiLevelType w:val="singleLevel"/>
    <w:tmpl w:val="EC24E3B6"/>
    <w:lvl w:ilvl="0">
      <w:start w:val="1"/>
      <w:numFmt w:val="decimal"/>
      <w:lvlText w:val="%1."/>
      <w:lvlJc w:val="left"/>
      <w:pPr>
        <w:tabs>
          <w:tab w:val="num" w:pos="1440"/>
        </w:tabs>
        <w:ind w:left="1440" w:hanging="360"/>
      </w:pPr>
    </w:lvl>
  </w:abstractNum>
  <w:abstractNum w:abstractNumId="2">
    <w:nsid w:val="FFFFFF7E"/>
    <w:multiLevelType w:val="singleLevel"/>
    <w:tmpl w:val="574C5A00"/>
    <w:lvl w:ilvl="0">
      <w:start w:val="1"/>
      <w:numFmt w:val="decimal"/>
      <w:lvlText w:val="%1."/>
      <w:lvlJc w:val="left"/>
      <w:pPr>
        <w:tabs>
          <w:tab w:val="num" w:pos="1080"/>
        </w:tabs>
        <w:ind w:left="1080" w:hanging="360"/>
      </w:pPr>
    </w:lvl>
  </w:abstractNum>
  <w:abstractNum w:abstractNumId="3">
    <w:nsid w:val="FFFFFF7F"/>
    <w:multiLevelType w:val="singleLevel"/>
    <w:tmpl w:val="306AD6EA"/>
    <w:lvl w:ilvl="0">
      <w:start w:val="1"/>
      <w:numFmt w:val="decimal"/>
      <w:lvlText w:val="%1."/>
      <w:lvlJc w:val="left"/>
      <w:pPr>
        <w:tabs>
          <w:tab w:val="num" w:pos="720"/>
        </w:tabs>
        <w:ind w:left="720" w:hanging="360"/>
      </w:pPr>
    </w:lvl>
  </w:abstractNum>
  <w:abstractNum w:abstractNumId="4">
    <w:nsid w:val="FFFFFF80"/>
    <w:multiLevelType w:val="singleLevel"/>
    <w:tmpl w:val="29BC56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F460BE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8C07F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2422FD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066BA78"/>
    <w:lvl w:ilvl="0">
      <w:start w:val="1"/>
      <w:numFmt w:val="decimal"/>
      <w:lvlText w:val="%1."/>
      <w:lvlJc w:val="left"/>
      <w:pPr>
        <w:tabs>
          <w:tab w:val="num" w:pos="360"/>
        </w:tabs>
        <w:ind w:left="360" w:hanging="360"/>
      </w:pPr>
    </w:lvl>
  </w:abstractNum>
  <w:abstractNum w:abstractNumId="9">
    <w:nsid w:val="FFFFFF89"/>
    <w:multiLevelType w:val="singleLevel"/>
    <w:tmpl w:val="00A8978E"/>
    <w:lvl w:ilvl="0">
      <w:start w:val="1"/>
      <w:numFmt w:val="bullet"/>
      <w:lvlText w:val=""/>
      <w:lvlJc w:val="left"/>
      <w:pPr>
        <w:tabs>
          <w:tab w:val="num" w:pos="360"/>
        </w:tabs>
        <w:ind w:left="360" w:hanging="360"/>
      </w:pPr>
      <w:rPr>
        <w:rFonts w:ascii="Symbol" w:hAnsi="Symbol" w:hint="default"/>
      </w:rPr>
    </w:lvl>
  </w:abstractNum>
  <w:abstractNum w:abstractNumId="10">
    <w:nsid w:val="68931D5B"/>
    <w:multiLevelType w:val="hybridMultilevel"/>
    <w:tmpl w:val="C004D632"/>
    <w:lvl w:ilvl="0" w:tplc="D27EB810">
      <w:start w:val="1"/>
      <w:numFmt w:val="decimal"/>
      <w:pStyle w:val="WUTCParagraph"/>
      <w:lvlText w:val="%1"/>
      <w:lvlJc w:val="left"/>
      <w:pPr>
        <w:tabs>
          <w:tab w:val="num" w:pos="720"/>
        </w:tabs>
        <w:ind w:left="720" w:hanging="720"/>
      </w:pPr>
      <w:rPr>
        <w:rFonts w:ascii="Times New Roman" w:hAnsi="Times New Roman" w:cs="Times New Roman" w:hint="default"/>
        <w:b w:val="0"/>
        <w:i/>
        <w:sz w:val="20"/>
        <w:szCs w:val="24"/>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024"/>
  <w:defaultTabStop w:val="720"/>
  <w:characterSpacingControl w:val="doNotCompress"/>
  <w:footnotePr>
    <w:footnote w:id="-1"/>
    <w:footnote w:id="0"/>
  </w:footnotePr>
  <w:endnotePr>
    <w:endnote w:id="-1"/>
    <w:endnote w:id="0"/>
  </w:endnotePr>
  <w:compat/>
  <w:rsids>
    <w:rsidRoot w:val="00AC2E62"/>
    <w:rsid w:val="000014CB"/>
    <w:rsid w:val="00004CD0"/>
    <w:rsid w:val="00005C9B"/>
    <w:rsid w:val="000076DC"/>
    <w:rsid w:val="000130B3"/>
    <w:rsid w:val="000131A4"/>
    <w:rsid w:val="00033972"/>
    <w:rsid w:val="0003658B"/>
    <w:rsid w:val="00040D67"/>
    <w:rsid w:val="000415EA"/>
    <w:rsid w:val="000572CA"/>
    <w:rsid w:val="0006250E"/>
    <w:rsid w:val="00065A7B"/>
    <w:rsid w:val="00075455"/>
    <w:rsid w:val="0007570E"/>
    <w:rsid w:val="00076307"/>
    <w:rsid w:val="00081EA6"/>
    <w:rsid w:val="00086931"/>
    <w:rsid w:val="000A225B"/>
    <w:rsid w:val="000B7121"/>
    <w:rsid w:val="000C1845"/>
    <w:rsid w:val="000C30A7"/>
    <w:rsid w:val="000D1375"/>
    <w:rsid w:val="000D30E0"/>
    <w:rsid w:val="000D31CE"/>
    <w:rsid w:val="000F0E0F"/>
    <w:rsid w:val="000F66E1"/>
    <w:rsid w:val="00105EA4"/>
    <w:rsid w:val="00114CBC"/>
    <w:rsid w:val="00122C94"/>
    <w:rsid w:val="00127C1B"/>
    <w:rsid w:val="00130689"/>
    <w:rsid w:val="00131ED3"/>
    <w:rsid w:val="00137B65"/>
    <w:rsid w:val="0015774B"/>
    <w:rsid w:val="001826F5"/>
    <w:rsid w:val="00192854"/>
    <w:rsid w:val="001A4BAD"/>
    <w:rsid w:val="001B2218"/>
    <w:rsid w:val="001B78CB"/>
    <w:rsid w:val="001E4344"/>
    <w:rsid w:val="001E5F77"/>
    <w:rsid w:val="001F1791"/>
    <w:rsid w:val="001F36A4"/>
    <w:rsid w:val="00205A34"/>
    <w:rsid w:val="002067A5"/>
    <w:rsid w:val="00211561"/>
    <w:rsid w:val="00235399"/>
    <w:rsid w:val="00241531"/>
    <w:rsid w:val="00257943"/>
    <w:rsid w:val="00257EAD"/>
    <w:rsid w:val="0026686F"/>
    <w:rsid w:val="00277688"/>
    <w:rsid w:val="00282179"/>
    <w:rsid w:val="00297A1D"/>
    <w:rsid w:val="002A3E75"/>
    <w:rsid w:val="002A4699"/>
    <w:rsid w:val="002A4A00"/>
    <w:rsid w:val="002C1ACC"/>
    <w:rsid w:val="00301943"/>
    <w:rsid w:val="00305B07"/>
    <w:rsid w:val="003136EB"/>
    <w:rsid w:val="00317C00"/>
    <w:rsid w:val="00327E9E"/>
    <w:rsid w:val="00340D8B"/>
    <w:rsid w:val="003471CC"/>
    <w:rsid w:val="00366A5F"/>
    <w:rsid w:val="003672BD"/>
    <w:rsid w:val="003B62C3"/>
    <w:rsid w:val="003C5402"/>
    <w:rsid w:val="003C78EF"/>
    <w:rsid w:val="003D0D51"/>
    <w:rsid w:val="003D3A36"/>
    <w:rsid w:val="003D6CF3"/>
    <w:rsid w:val="003F2B8B"/>
    <w:rsid w:val="00405852"/>
    <w:rsid w:val="00426697"/>
    <w:rsid w:val="00432ECB"/>
    <w:rsid w:val="00440206"/>
    <w:rsid w:val="0044156E"/>
    <w:rsid w:val="00463205"/>
    <w:rsid w:val="00467444"/>
    <w:rsid w:val="00467528"/>
    <w:rsid w:val="00483BB6"/>
    <w:rsid w:val="004850F5"/>
    <w:rsid w:val="004901D1"/>
    <w:rsid w:val="0049434E"/>
    <w:rsid w:val="004A2196"/>
    <w:rsid w:val="004A2885"/>
    <w:rsid w:val="004B3895"/>
    <w:rsid w:val="004B426A"/>
    <w:rsid w:val="004C57B5"/>
    <w:rsid w:val="004D536F"/>
    <w:rsid w:val="004D75DE"/>
    <w:rsid w:val="004F0167"/>
    <w:rsid w:val="005014EA"/>
    <w:rsid w:val="00507116"/>
    <w:rsid w:val="00510ED4"/>
    <w:rsid w:val="00513CD9"/>
    <w:rsid w:val="00551A5A"/>
    <w:rsid w:val="00553ECD"/>
    <w:rsid w:val="005603E7"/>
    <w:rsid w:val="0056396A"/>
    <w:rsid w:val="00573262"/>
    <w:rsid w:val="0057371D"/>
    <w:rsid w:val="00574E56"/>
    <w:rsid w:val="00581D69"/>
    <w:rsid w:val="00590F39"/>
    <w:rsid w:val="00592AFF"/>
    <w:rsid w:val="00597FCD"/>
    <w:rsid w:val="005A4C3A"/>
    <w:rsid w:val="005A55CD"/>
    <w:rsid w:val="005A5FDB"/>
    <w:rsid w:val="005B0BFE"/>
    <w:rsid w:val="005B21C4"/>
    <w:rsid w:val="005B4F32"/>
    <w:rsid w:val="005D18AD"/>
    <w:rsid w:val="005D5560"/>
    <w:rsid w:val="005E1FD2"/>
    <w:rsid w:val="00613566"/>
    <w:rsid w:val="006170B8"/>
    <w:rsid w:val="00621F75"/>
    <w:rsid w:val="00645893"/>
    <w:rsid w:val="00645EEA"/>
    <w:rsid w:val="0064724B"/>
    <w:rsid w:val="006555FD"/>
    <w:rsid w:val="0066045F"/>
    <w:rsid w:val="00660BD9"/>
    <w:rsid w:val="00661AA3"/>
    <w:rsid w:val="00663F90"/>
    <w:rsid w:val="00665BEE"/>
    <w:rsid w:val="006A0E22"/>
    <w:rsid w:val="006B0E5E"/>
    <w:rsid w:val="006B4E9A"/>
    <w:rsid w:val="006B5D3B"/>
    <w:rsid w:val="006B6D00"/>
    <w:rsid w:val="006C5223"/>
    <w:rsid w:val="006D1928"/>
    <w:rsid w:val="006E0EF6"/>
    <w:rsid w:val="006F5AA9"/>
    <w:rsid w:val="00704925"/>
    <w:rsid w:val="00710CD1"/>
    <w:rsid w:val="0071224A"/>
    <w:rsid w:val="007178B6"/>
    <w:rsid w:val="00723CE7"/>
    <w:rsid w:val="0073220C"/>
    <w:rsid w:val="0073405F"/>
    <w:rsid w:val="0073463C"/>
    <w:rsid w:val="00741D1E"/>
    <w:rsid w:val="007459D3"/>
    <w:rsid w:val="00776341"/>
    <w:rsid w:val="007868D0"/>
    <w:rsid w:val="007910C6"/>
    <w:rsid w:val="00791304"/>
    <w:rsid w:val="007966D8"/>
    <w:rsid w:val="007A0CBF"/>
    <w:rsid w:val="007A4288"/>
    <w:rsid w:val="007B5C69"/>
    <w:rsid w:val="007D0EFF"/>
    <w:rsid w:val="007E61F3"/>
    <w:rsid w:val="00802249"/>
    <w:rsid w:val="008026CA"/>
    <w:rsid w:val="00810E7D"/>
    <w:rsid w:val="00822D9B"/>
    <w:rsid w:val="00823D56"/>
    <w:rsid w:val="0083318B"/>
    <w:rsid w:val="008428A7"/>
    <w:rsid w:val="00843737"/>
    <w:rsid w:val="008516B8"/>
    <w:rsid w:val="00877ABD"/>
    <w:rsid w:val="008842C8"/>
    <w:rsid w:val="008941E7"/>
    <w:rsid w:val="008F40EA"/>
    <w:rsid w:val="00916481"/>
    <w:rsid w:val="0092219F"/>
    <w:rsid w:val="009221A8"/>
    <w:rsid w:val="00927B19"/>
    <w:rsid w:val="00930C53"/>
    <w:rsid w:val="0094029E"/>
    <w:rsid w:val="009555BE"/>
    <w:rsid w:val="00955EA2"/>
    <w:rsid w:val="00960F93"/>
    <w:rsid w:val="009673E7"/>
    <w:rsid w:val="0098412B"/>
    <w:rsid w:val="009874CD"/>
    <w:rsid w:val="00997647"/>
    <w:rsid w:val="009A6EB8"/>
    <w:rsid w:val="009C0837"/>
    <w:rsid w:val="009D4DC8"/>
    <w:rsid w:val="009E12EE"/>
    <w:rsid w:val="00A04068"/>
    <w:rsid w:val="00A06429"/>
    <w:rsid w:val="00A10F7F"/>
    <w:rsid w:val="00A125AB"/>
    <w:rsid w:val="00A12F26"/>
    <w:rsid w:val="00A165C1"/>
    <w:rsid w:val="00A21688"/>
    <w:rsid w:val="00A279F9"/>
    <w:rsid w:val="00A821C0"/>
    <w:rsid w:val="00A828A0"/>
    <w:rsid w:val="00A858FE"/>
    <w:rsid w:val="00A952FD"/>
    <w:rsid w:val="00AA3B72"/>
    <w:rsid w:val="00AA65DA"/>
    <w:rsid w:val="00AA6E33"/>
    <w:rsid w:val="00AB6DD3"/>
    <w:rsid w:val="00AC1E57"/>
    <w:rsid w:val="00AC2E62"/>
    <w:rsid w:val="00AF3535"/>
    <w:rsid w:val="00AF3715"/>
    <w:rsid w:val="00B0449A"/>
    <w:rsid w:val="00B14091"/>
    <w:rsid w:val="00B26604"/>
    <w:rsid w:val="00B34BC4"/>
    <w:rsid w:val="00B44C59"/>
    <w:rsid w:val="00B647B9"/>
    <w:rsid w:val="00B741A8"/>
    <w:rsid w:val="00B95314"/>
    <w:rsid w:val="00BB7021"/>
    <w:rsid w:val="00BC6BAC"/>
    <w:rsid w:val="00BD45EA"/>
    <w:rsid w:val="00BD5DF6"/>
    <w:rsid w:val="00BE2510"/>
    <w:rsid w:val="00BE53B6"/>
    <w:rsid w:val="00BF2A57"/>
    <w:rsid w:val="00C33B32"/>
    <w:rsid w:val="00C3402A"/>
    <w:rsid w:val="00C37D73"/>
    <w:rsid w:val="00C4151B"/>
    <w:rsid w:val="00C43582"/>
    <w:rsid w:val="00C778A7"/>
    <w:rsid w:val="00C81721"/>
    <w:rsid w:val="00CA150C"/>
    <w:rsid w:val="00CB15A9"/>
    <w:rsid w:val="00CD445F"/>
    <w:rsid w:val="00CD7C28"/>
    <w:rsid w:val="00CE6713"/>
    <w:rsid w:val="00CE7654"/>
    <w:rsid w:val="00CF0535"/>
    <w:rsid w:val="00D05907"/>
    <w:rsid w:val="00D1164E"/>
    <w:rsid w:val="00D116F8"/>
    <w:rsid w:val="00D13306"/>
    <w:rsid w:val="00D2031A"/>
    <w:rsid w:val="00D34347"/>
    <w:rsid w:val="00D36460"/>
    <w:rsid w:val="00D4040D"/>
    <w:rsid w:val="00D63F87"/>
    <w:rsid w:val="00D72688"/>
    <w:rsid w:val="00DA23CA"/>
    <w:rsid w:val="00DA5876"/>
    <w:rsid w:val="00DA6CA0"/>
    <w:rsid w:val="00DB7380"/>
    <w:rsid w:val="00DD1AE4"/>
    <w:rsid w:val="00DD3459"/>
    <w:rsid w:val="00DE1C75"/>
    <w:rsid w:val="00E01072"/>
    <w:rsid w:val="00E05746"/>
    <w:rsid w:val="00E05C3D"/>
    <w:rsid w:val="00E06533"/>
    <w:rsid w:val="00E068D6"/>
    <w:rsid w:val="00E123C0"/>
    <w:rsid w:val="00E12963"/>
    <w:rsid w:val="00E15482"/>
    <w:rsid w:val="00E2053E"/>
    <w:rsid w:val="00E4358F"/>
    <w:rsid w:val="00E442E5"/>
    <w:rsid w:val="00E509E9"/>
    <w:rsid w:val="00E62BCA"/>
    <w:rsid w:val="00E71EA6"/>
    <w:rsid w:val="00E76FAD"/>
    <w:rsid w:val="00E80A0C"/>
    <w:rsid w:val="00E84F11"/>
    <w:rsid w:val="00EB595C"/>
    <w:rsid w:val="00EC019E"/>
    <w:rsid w:val="00EC06E1"/>
    <w:rsid w:val="00EC3359"/>
    <w:rsid w:val="00EE7CF7"/>
    <w:rsid w:val="00EF2D17"/>
    <w:rsid w:val="00EF5128"/>
    <w:rsid w:val="00F0417D"/>
    <w:rsid w:val="00F11325"/>
    <w:rsid w:val="00F204C6"/>
    <w:rsid w:val="00F23AB5"/>
    <w:rsid w:val="00F2477B"/>
    <w:rsid w:val="00F279E8"/>
    <w:rsid w:val="00F37A53"/>
    <w:rsid w:val="00F41FCB"/>
    <w:rsid w:val="00F42ED1"/>
    <w:rsid w:val="00F556A4"/>
    <w:rsid w:val="00F76A94"/>
    <w:rsid w:val="00F90469"/>
    <w:rsid w:val="00FA00B1"/>
    <w:rsid w:val="00FC1557"/>
    <w:rsid w:val="00FC4822"/>
    <w:rsid w:val="00FC4DE2"/>
    <w:rsid w:val="00FD29EA"/>
    <w:rsid w:val="00FE0B78"/>
    <w:rsid w:val="00FE2143"/>
    <w:rsid w:val="00FE2733"/>
    <w:rsid w:val="00FE52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E7"/>
    <w:pPr>
      <w:spacing w:after="0"/>
    </w:pPr>
    <w:rPr>
      <w:rFonts w:eastAsia="Times New Roman" w:cs="Times New Roman"/>
      <w:color w:val="000000"/>
      <w:szCs w:val="20"/>
    </w:rPr>
  </w:style>
  <w:style w:type="paragraph" w:styleId="Heading1">
    <w:name w:val="heading 1"/>
    <w:basedOn w:val="Normal"/>
    <w:next w:val="Normal"/>
    <w:link w:val="Heading1Char"/>
    <w:qFormat/>
    <w:rsid w:val="00AC2E62"/>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E62"/>
    <w:rPr>
      <w:rFonts w:eastAsia="Times New Roman" w:cs="Times New Roman"/>
      <w:b/>
      <w:snapToGrid w:val="0"/>
      <w:sz w:val="28"/>
      <w:szCs w:val="20"/>
    </w:rPr>
  </w:style>
  <w:style w:type="paragraph" w:styleId="Footer">
    <w:name w:val="footer"/>
    <w:basedOn w:val="Normal"/>
    <w:link w:val="FooterChar"/>
    <w:uiPriority w:val="99"/>
    <w:rsid w:val="00AC2E62"/>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AC2E62"/>
    <w:rPr>
      <w:rFonts w:eastAsia="Times New Roman" w:cs="Times New Roman"/>
      <w:snapToGrid w:val="0"/>
      <w:szCs w:val="20"/>
    </w:rPr>
  </w:style>
  <w:style w:type="paragraph" w:styleId="Header">
    <w:name w:val="header"/>
    <w:basedOn w:val="Normal"/>
    <w:link w:val="HeaderChar"/>
    <w:uiPriority w:val="99"/>
    <w:rsid w:val="00AC2E62"/>
    <w:pPr>
      <w:tabs>
        <w:tab w:val="center" w:pos="4320"/>
        <w:tab w:val="right" w:pos="8640"/>
      </w:tabs>
    </w:pPr>
    <w:rPr>
      <w:color w:val="auto"/>
      <w:sz w:val="20"/>
    </w:rPr>
  </w:style>
  <w:style w:type="character" w:customStyle="1" w:styleId="HeaderChar">
    <w:name w:val="Header Char"/>
    <w:basedOn w:val="DefaultParagraphFont"/>
    <w:link w:val="Header"/>
    <w:uiPriority w:val="99"/>
    <w:rsid w:val="00AC2E62"/>
    <w:rPr>
      <w:rFonts w:eastAsia="Times New Roman" w:cs="Times New Roman"/>
      <w:sz w:val="20"/>
      <w:szCs w:val="20"/>
    </w:rPr>
  </w:style>
  <w:style w:type="paragraph" w:customStyle="1" w:styleId="SingleSpacing">
    <w:name w:val="Single Spacing"/>
    <w:basedOn w:val="Normal"/>
    <w:rsid w:val="00AC2E62"/>
    <w:pPr>
      <w:spacing w:line="254" w:lineRule="exact"/>
    </w:pPr>
    <w:rPr>
      <w:color w:val="auto"/>
    </w:rPr>
  </w:style>
  <w:style w:type="paragraph" w:styleId="BodyText2">
    <w:name w:val="Body Text 2"/>
    <w:basedOn w:val="Normal"/>
    <w:link w:val="BodyText2Char"/>
    <w:rsid w:val="00AC2E62"/>
    <w:rPr>
      <w:color w:val="auto"/>
    </w:rPr>
  </w:style>
  <w:style w:type="character" w:customStyle="1" w:styleId="BodyText2Char">
    <w:name w:val="Body Text 2 Char"/>
    <w:basedOn w:val="DefaultParagraphFont"/>
    <w:link w:val="BodyText2"/>
    <w:rsid w:val="00AC2E62"/>
    <w:rPr>
      <w:rFonts w:eastAsia="Times New Roman" w:cs="Times New Roman"/>
      <w:szCs w:val="20"/>
    </w:rPr>
  </w:style>
  <w:style w:type="paragraph" w:customStyle="1" w:styleId="WUTCParagraph">
    <w:name w:val="WUTC Paragraph"/>
    <w:basedOn w:val="Normal"/>
    <w:rsid w:val="00AC2E62"/>
    <w:pPr>
      <w:numPr>
        <w:numId w:val="1"/>
      </w:numPr>
      <w:tabs>
        <w:tab w:val="clear" w:pos="720"/>
        <w:tab w:val="left" w:pos="1440"/>
      </w:tabs>
      <w:spacing w:line="480" w:lineRule="auto"/>
      <w:ind w:left="0"/>
    </w:pPr>
    <w:rPr>
      <w:color w:val="auto"/>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1,ALTS FOOTNO"/>
    <w:basedOn w:val="Normal"/>
    <w:link w:val="FootnoteTextChar"/>
    <w:rsid w:val="00AC2E62"/>
    <w:pPr>
      <w:keepLines/>
      <w:spacing w:line="220" w:lineRule="exact"/>
    </w:pPr>
    <w:rPr>
      <w:color w:val="auto"/>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AC2E62"/>
    <w:rPr>
      <w:rFonts w:eastAsia="Times New Roman" w:cs="Times New Roman"/>
      <w:sz w:val="20"/>
      <w:szCs w:val="20"/>
    </w:rPr>
  </w:style>
  <w:style w:type="character" w:styleId="FootnoteReference">
    <w:name w:val="footnote reference"/>
    <w:aliases w:val="o,fr,Style 3"/>
    <w:basedOn w:val="DefaultParagraphFont"/>
    <w:rsid w:val="00AC2E62"/>
    <w:rPr>
      <w:u w:val="single"/>
      <w:vertAlign w:val="superscript"/>
    </w:rPr>
  </w:style>
  <w:style w:type="character" w:styleId="PageNumber">
    <w:name w:val="page number"/>
    <w:basedOn w:val="DefaultParagraphFont"/>
    <w:uiPriority w:val="99"/>
    <w:rsid w:val="0071224A"/>
  </w:style>
  <w:style w:type="paragraph" w:customStyle="1" w:styleId="Body">
    <w:name w:val="Body"/>
    <w:autoRedefine/>
    <w:rsid w:val="00916481"/>
    <w:pPr>
      <w:spacing w:after="0"/>
    </w:pPr>
    <w:rPr>
      <w:rFonts w:ascii="Helvetica" w:eastAsia="ヒラギノ角ゴ Pro W3" w:hAnsi="Helvetica" w:cs="Times New Roman"/>
      <w:color w:val="000000"/>
      <w:szCs w:val="20"/>
    </w:rPr>
  </w:style>
  <w:style w:type="character" w:styleId="Hyperlink">
    <w:name w:val="Hyperlink"/>
    <w:basedOn w:val="DefaultParagraphFont"/>
    <w:uiPriority w:val="99"/>
    <w:unhideWhenUsed/>
    <w:rsid w:val="0007570E"/>
    <w:rPr>
      <w:color w:val="0000FF" w:themeColor="hyperlink"/>
      <w:u w:val="single"/>
    </w:rPr>
  </w:style>
  <w:style w:type="paragraph" w:customStyle="1" w:styleId="Default">
    <w:name w:val="Default"/>
    <w:rsid w:val="00F204C6"/>
    <w:pPr>
      <w:autoSpaceDE w:val="0"/>
      <w:autoSpaceDN w:val="0"/>
      <w:adjustRightInd w:val="0"/>
      <w:spacing w:after="0"/>
    </w:pPr>
    <w:rPr>
      <w:rFonts w:cs="Times New Roman"/>
      <w:color w:val="000000"/>
    </w:rPr>
  </w:style>
  <w:style w:type="character" w:styleId="CommentReference">
    <w:name w:val="annotation reference"/>
    <w:basedOn w:val="DefaultParagraphFont"/>
    <w:uiPriority w:val="99"/>
    <w:semiHidden/>
    <w:unhideWhenUsed/>
    <w:rsid w:val="007D0EFF"/>
    <w:rPr>
      <w:sz w:val="16"/>
      <w:szCs w:val="16"/>
    </w:rPr>
  </w:style>
  <w:style w:type="paragraph" w:styleId="CommentText">
    <w:name w:val="annotation text"/>
    <w:basedOn w:val="Normal"/>
    <w:link w:val="CommentTextChar"/>
    <w:uiPriority w:val="99"/>
    <w:semiHidden/>
    <w:unhideWhenUsed/>
    <w:rsid w:val="007D0EFF"/>
    <w:rPr>
      <w:sz w:val="20"/>
    </w:rPr>
  </w:style>
  <w:style w:type="character" w:customStyle="1" w:styleId="CommentTextChar">
    <w:name w:val="Comment Text Char"/>
    <w:basedOn w:val="DefaultParagraphFont"/>
    <w:link w:val="CommentText"/>
    <w:uiPriority w:val="99"/>
    <w:semiHidden/>
    <w:rsid w:val="007D0EFF"/>
    <w:rPr>
      <w:rFonts w:eastAsia="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D0EFF"/>
    <w:rPr>
      <w:b/>
      <w:bCs/>
    </w:rPr>
  </w:style>
  <w:style w:type="character" w:customStyle="1" w:styleId="CommentSubjectChar">
    <w:name w:val="Comment Subject Char"/>
    <w:basedOn w:val="CommentTextChar"/>
    <w:link w:val="CommentSubject"/>
    <w:uiPriority w:val="99"/>
    <w:semiHidden/>
    <w:rsid w:val="007D0EFF"/>
    <w:rPr>
      <w:rFonts w:eastAsia="Times New Roman" w:cs="Times New Roman"/>
      <w:b/>
      <w:bCs/>
      <w:color w:val="000000"/>
      <w:sz w:val="20"/>
      <w:szCs w:val="20"/>
    </w:rPr>
  </w:style>
  <w:style w:type="paragraph" w:styleId="BalloonText">
    <w:name w:val="Balloon Text"/>
    <w:basedOn w:val="Normal"/>
    <w:link w:val="BalloonTextChar"/>
    <w:uiPriority w:val="99"/>
    <w:semiHidden/>
    <w:unhideWhenUsed/>
    <w:rsid w:val="007D0EFF"/>
    <w:rPr>
      <w:rFonts w:ascii="Tahoma" w:hAnsi="Tahoma" w:cs="Tahoma"/>
      <w:sz w:val="16"/>
      <w:szCs w:val="16"/>
    </w:rPr>
  </w:style>
  <w:style w:type="character" w:customStyle="1" w:styleId="BalloonTextChar">
    <w:name w:val="Balloon Text Char"/>
    <w:basedOn w:val="DefaultParagraphFont"/>
    <w:link w:val="BalloonText"/>
    <w:uiPriority w:val="99"/>
    <w:semiHidden/>
    <w:rsid w:val="007D0EFF"/>
    <w:rPr>
      <w:rFonts w:ascii="Tahoma" w:eastAsia="Times New Roman" w:hAnsi="Tahoma" w:cs="Tahoma"/>
      <w:color w:val="000000"/>
      <w:sz w:val="16"/>
      <w:szCs w:val="16"/>
    </w:rPr>
  </w:style>
  <w:style w:type="character" w:styleId="LineNumber">
    <w:name w:val="line number"/>
    <w:basedOn w:val="DefaultParagraphFont"/>
    <w:uiPriority w:val="99"/>
    <w:unhideWhenUsed/>
    <w:rsid w:val="009673E7"/>
    <w:rPr>
      <w:sz w:val="20"/>
    </w:rPr>
  </w:style>
  <w:style w:type="paragraph" w:customStyle="1" w:styleId="MJDWUTCBrief">
    <w:name w:val="MJD WUTC Brief"/>
    <w:basedOn w:val="WUTCParagraph"/>
    <w:qFormat/>
    <w:rsid w:val="00205A34"/>
    <w:pPr>
      <w:tabs>
        <w:tab w:val="clear" w:pos="14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E7"/>
    <w:pPr>
      <w:spacing w:after="0"/>
    </w:pPr>
    <w:rPr>
      <w:rFonts w:eastAsia="Times New Roman" w:cs="Times New Roman"/>
      <w:color w:val="000000"/>
      <w:szCs w:val="20"/>
    </w:rPr>
  </w:style>
  <w:style w:type="paragraph" w:styleId="Heading1">
    <w:name w:val="heading 1"/>
    <w:basedOn w:val="Normal"/>
    <w:next w:val="Normal"/>
    <w:link w:val="Heading1Char"/>
    <w:qFormat/>
    <w:rsid w:val="00AC2E62"/>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E62"/>
    <w:rPr>
      <w:rFonts w:eastAsia="Times New Roman" w:cs="Times New Roman"/>
      <w:b/>
      <w:snapToGrid w:val="0"/>
      <w:sz w:val="28"/>
      <w:szCs w:val="20"/>
    </w:rPr>
  </w:style>
  <w:style w:type="paragraph" w:styleId="Footer">
    <w:name w:val="footer"/>
    <w:basedOn w:val="Normal"/>
    <w:link w:val="FooterChar"/>
    <w:uiPriority w:val="99"/>
    <w:rsid w:val="00AC2E62"/>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AC2E62"/>
    <w:rPr>
      <w:rFonts w:eastAsia="Times New Roman" w:cs="Times New Roman"/>
      <w:snapToGrid w:val="0"/>
      <w:szCs w:val="20"/>
    </w:rPr>
  </w:style>
  <w:style w:type="paragraph" w:styleId="Header">
    <w:name w:val="header"/>
    <w:basedOn w:val="Normal"/>
    <w:link w:val="HeaderChar"/>
    <w:uiPriority w:val="99"/>
    <w:rsid w:val="00AC2E62"/>
    <w:pPr>
      <w:tabs>
        <w:tab w:val="center" w:pos="4320"/>
        <w:tab w:val="right" w:pos="8640"/>
      </w:tabs>
    </w:pPr>
    <w:rPr>
      <w:color w:val="auto"/>
      <w:sz w:val="20"/>
    </w:rPr>
  </w:style>
  <w:style w:type="character" w:customStyle="1" w:styleId="HeaderChar">
    <w:name w:val="Header Char"/>
    <w:basedOn w:val="DefaultParagraphFont"/>
    <w:link w:val="Header"/>
    <w:uiPriority w:val="99"/>
    <w:rsid w:val="00AC2E62"/>
    <w:rPr>
      <w:rFonts w:eastAsia="Times New Roman" w:cs="Times New Roman"/>
      <w:sz w:val="20"/>
      <w:szCs w:val="20"/>
    </w:rPr>
  </w:style>
  <w:style w:type="paragraph" w:customStyle="1" w:styleId="SingleSpacing">
    <w:name w:val="Single Spacing"/>
    <w:basedOn w:val="Normal"/>
    <w:rsid w:val="00AC2E62"/>
    <w:pPr>
      <w:spacing w:line="254" w:lineRule="exact"/>
    </w:pPr>
    <w:rPr>
      <w:color w:val="auto"/>
    </w:rPr>
  </w:style>
  <w:style w:type="paragraph" w:styleId="BodyText2">
    <w:name w:val="Body Text 2"/>
    <w:basedOn w:val="Normal"/>
    <w:link w:val="BodyText2Char"/>
    <w:rsid w:val="00AC2E62"/>
    <w:rPr>
      <w:color w:val="auto"/>
    </w:rPr>
  </w:style>
  <w:style w:type="character" w:customStyle="1" w:styleId="BodyText2Char">
    <w:name w:val="Body Text 2 Char"/>
    <w:basedOn w:val="DefaultParagraphFont"/>
    <w:link w:val="BodyText2"/>
    <w:rsid w:val="00AC2E62"/>
    <w:rPr>
      <w:rFonts w:eastAsia="Times New Roman" w:cs="Times New Roman"/>
      <w:szCs w:val="20"/>
    </w:rPr>
  </w:style>
  <w:style w:type="paragraph" w:customStyle="1" w:styleId="WUTCParagraph">
    <w:name w:val="WUTC Paragraph"/>
    <w:basedOn w:val="Normal"/>
    <w:rsid w:val="00AC2E62"/>
    <w:pPr>
      <w:numPr>
        <w:numId w:val="1"/>
      </w:numPr>
      <w:tabs>
        <w:tab w:val="clear" w:pos="720"/>
        <w:tab w:val="left" w:pos="1440"/>
      </w:tabs>
      <w:spacing w:line="480" w:lineRule="auto"/>
      <w:ind w:left="0"/>
    </w:pPr>
    <w:rPr>
      <w:color w:val="auto"/>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1,ALTS FOOTNO"/>
    <w:basedOn w:val="Normal"/>
    <w:link w:val="FootnoteTextChar"/>
    <w:rsid w:val="00AC2E62"/>
    <w:pPr>
      <w:keepLines/>
      <w:spacing w:line="220" w:lineRule="exact"/>
    </w:pPr>
    <w:rPr>
      <w:color w:val="auto"/>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AC2E62"/>
    <w:rPr>
      <w:rFonts w:eastAsia="Times New Roman" w:cs="Times New Roman"/>
      <w:sz w:val="20"/>
      <w:szCs w:val="20"/>
    </w:rPr>
  </w:style>
  <w:style w:type="character" w:styleId="FootnoteReference">
    <w:name w:val="footnote reference"/>
    <w:aliases w:val="o,fr,Style 3"/>
    <w:basedOn w:val="DefaultParagraphFont"/>
    <w:rsid w:val="00AC2E62"/>
    <w:rPr>
      <w:u w:val="single"/>
      <w:vertAlign w:val="superscript"/>
    </w:rPr>
  </w:style>
  <w:style w:type="character" w:styleId="PageNumber">
    <w:name w:val="page number"/>
    <w:basedOn w:val="DefaultParagraphFont"/>
    <w:uiPriority w:val="99"/>
    <w:rsid w:val="0071224A"/>
  </w:style>
  <w:style w:type="paragraph" w:customStyle="1" w:styleId="Body">
    <w:name w:val="Body"/>
    <w:autoRedefine/>
    <w:rsid w:val="00916481"/>
    <w:pPr>
      <w:spacing w:after="0"/>
    </w:pPr>
    <w:rPr>
      <w:rFonts w:ascii="Helvetica" w:eastAsia="ヒラギノ角ゴ Pro W3" w:hAnsi="Helvetica" w:cs="Times New Roman"/>
      <w:color w:val="000000"/>
      <w:szCs w:val="20"/>
    </w:rPr>
  </w:style>
  <w:style w:type="character" w:styleId="Hyperlink">
    <w:name w:val="Hyperlink"/>
    <w:basedOn w:val="DefaultParagraphFont"/>
    <w:uiPriority w:val="99"/>
    <w:unhideWhenUsed/>
    <w:rsid w:val="0007570E"/>
    <w:rPr>
      <w:color w:val="0000FF" w:themeColor="hyperlink"/>
      <w:u w:val="single"/>
    </w:rPr>
  </w:style>
  <w:style w:type="paragraph" w:customStyle="1" w:styleId="Default">
    <w:name w:val="Default"/>
    <w:rsid w:val="00F204C6"/>
    <w:pPr>
      <w:autoSpaceDE w:val="0"/>
      <w:autoSpaceDN w:val="0"/>
      <w:adjustRightInd w:val="0"/>
      <w:spacing w:after="0"/>
    </w:pPr>
    <w:rPr>
      <w:rFonts w:cs="Times New Roman"/>
      <w:color w:val="000000"/>
    </w:rPr>
  </w:style>
  <w:style w:type="character" w:styleId="CommentReference">
    <w:name w:val="annotation reference"/>
    <w:basedOn w:val="DefaultParagraphFont"/>
    <w:uiPriority w:val="99"/>
    <w:semiHidden/>
    <w:unhideWhenUsed/>
    <w:rsid w:val="007D0EFF"/>
    <w:rPr>
      <w:sz w:val="16"/>
      <w:szCs w:val="16"/>
    </w:rPr>
  </w:style>
  <w:style w:type="paragraph" w:styleId="CommentText">
    <w:name w:val="annotation text"/>
    <w:basedOn w:val="Normal"/>
    <w:link w:val="CommentTextChar"/>
    <w:uiPriority w:val="99"/>
    <w:semiHidden/>
    <w:unhideWhenUsed/>
    <w:rsid w:val="007D0EFF"/>
    <w:rPr>
      <w:sz w:val="20"/>
    </w:rPr>
  </w:style>
  <w:style w:type="character" w:customStyle="1" w:styleId="CommentTextChar">
    <w:name w:val="Comment Text Char"/>
    <w:basedOn w:val="DefaultParagraphFont"/>
    <w:link w:val="CommentText"/>
    <w:uiPriority w:val="99"/>
    <w:semiHidden/>
    <w:rsid w:val="007D0EFF"/>
    <w:rPr>
      <w:rFonts w:eastAsia="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D0EFF"/>
    <w:rPr>
      <w:b/>
      <w:bCs/>
    </w:rPr>
  </w:style>
  <w:style w:type="character" w:customStyle="1" w:styleId="CommentSubjectChar">
    <w:name w:val="Comment Subject Char"/>
    <w:basedOn w:val="CommentTextChar"/>
    <w:link w:val="CommentSubject"/>
    <w:uiPriority w:val="99"/>
    <w:semiHidden/>
    <w:rsid w:val="007D0EFF"/>
    <w:rPr>
      <w:rFonts w:eastAsia="Times New Roman" w:cs="Times New Roman"/>
      <w:b/>
      <w:bCs/>
      <w:color w:val="000000"/>
      <w:sz w:val="20"/>
      <w:szCs w:val="20"/>
    </w:rPr>
  </w:style>
  <w:style w:type="paragraph" w:styleId="BalloonText">
    <w:name w:val="Balloon Text"/>
    <w:basedOn w:val="Normal"/>
    <w:link w:val="BalloonTextChar"/>
    <w:uiPriority w:val="99"/>
    <w:semiHidden/>
    <w:unhideWhenUsed/>
    <w:rsid w:val="007D0EFF"/>
    <w:rPr>
      <w:rFonts w:ascii="Tahoma" w:hAnsi="Tahoma" w:cs="Tahoma"/>
      <w:sz w:val="16"/>
      <w:szCs w:val="16"/>
    </w:rPr>
  </w:style>
  <w:style w:type="character" w:customStyle="1" w:styleId="BalloonTextChar">
    <w:name w:val="Balloon Text Char"/>
    <w:basedOn w:val="DefaultParagraphFont"/>
    <w:link w:val="BalloonText"/>
    <w:uiPriority w:val="99"/>
    <w:semiHidden/>
    <w:rsid w:val="007D0EFF"/>
    <w:rPr>
      <w:rFonts w:ascii="Tahoma" w:eastAsia="Times New Roman" w:hAnsi="Tahoma" w:cs="Tahoma"/>
      <w:color w:val="000000"/>
      <w:sz w:val="16"/>
      <w:szCs w:val="16"/>
    </w:rPr>
  </w:style>
  <w:style w:type="character" w:styleId="LineNumber">
    <w:name w:val="line number"/>
    <w:basedOn w:val="DefaultParagraphFont"/>
    <w:uiPriority w:val="99"/>
    <w:unhideWhenUsed/>
    <w:rsid w:val="009673E7"/>
    <w:rPr>
      <w:sz w:val="20"/>
    </w:rPr>
  </w:style>
  <w:style w:type="paragraph" w:customStyle="1" w:styleId="MJDWUTCBrief">
    <w:name w:val="MJD WUTC Brief"/>
    <w:basedOn w:val="WUTCParagraph"/>
    <w:qFormat/>
    <w:rsid w:val="00205A34"/>
    <w:pPr>
      <w:tabs>
        <w:tab w:val="clear" w:pos="1440"/>
      </w:tabs>
    </w:pPr>
  </w:style>
</w:styles>
</file>

<file path=word/webSettings.xml><?xml version="1.0" encoding="utf-8"?>
<w:webSettings xmlns:r="http://schemas.openxmlformats.org/officeDocument/2006/relationships" xmlns:w="http://schemas.openxmlformats.org/wordprocessingml/2006/main">
  <w:divs>
    <w:div w:id="858395066">
      <w:bodyDiv w:val="1"/>
      <w:marLeft w:val="0"/>
      <w:marRight w:val="0"/>
      <w:marTop w:val="0"/>
      <w:marBottom w:val="0"/>
      <w:divBdr>
        <w:top w:val="none" w:sz="0" w:space="0" w:color="auto"/>
        <w:left w:val="none" w:sz="0" w:space="0" w:color="auto"/>
        <w:bottom w:val="none" w:sz="0" w:space="0" w:color="auto"/>
        <w:right w:val="none" w:sz="0" w:space="0" w:color="auto"/>
      </w:divBdr>
    </w:div>
    <w:div w:id="943456954">
      <w:bodyDiv w:val="1"/>
      <w:marLeft w:val="0"/>
      <w:marRight w:val="0"/>
      <w:marTop w:val="0"/>
      <w:marBottom w:val="0"/>
      <w:divBdr>
        <w:top w:val="none" w:sz="0" w:space="0" w:color="auto"/>
        <w:left w:val="none" w:sz="0" w:space="0" w:color="auto"/>
        <w:bottom w:val="none" w:sz="0" w:space="0" w:color="auto"/>
        <w:right w:val="none" w:sz="0" w:space="0" w:color="auto"/>
      </w:divBdr>
    </w:div>
    <w:div w:id="170216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2013-05-30T07:00:00+00:00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E7E7D-45D4-475D-B31C-BB335F2721A9}"/>
</file>

<file path=customXml/itemProps2.xml><?xml version="1.0" encoding="utf-8"?>
<ds:datastoreItem xmlns:ds="http://schemas.openxmlformats.org/officeDocument/2006/customXml" ds:itemID="{FA66B954-31D6-4A53-947C-0044D9348199}"/>
</file>

<file path=customXml/itemProps3.xml><?xml version="1.0" encoding="utf-8"?>
<ds:datastoreItem xmlns:ds="http://schemas.openxmlformats.org/officeDocument/2006/customXml" ds:itemID="{92736137-6967-45A0-B25C-429C0B6B862A}"/>
</file>

<file path=customXml/itemProps4.xml><?xml version="1.0" encoding="utf-8"?>
<ds:datastoreItem xmlns:ds="http://schemas.openxmlformats.org/officeDocument/2006/customXml" ds:itemID="{402FF0AE-5565-4FDA-8196-7CE44E53D9E0}"/>
</file>

<file path=customXml/itemProps5.xml><?xml version="1.0" encoding="utf-8"?>
<ds:datastoreItem xmlns:ds="http://schemas.openxmlformats.org/officeDocument/2006/customXml" ds:itemID="{6723AADF-00F3-45DC-A19B-9E4C6F6A6635}"/>
</file>

<file path=docProps/app.xml><?xml version="1.0" encoding="utf-8"?>
<Properties xmlns="http://schemas.openxmlformats.org/officeDocument/2006/extended-properties" xmlns:vt="http://schemas.openxmlformats.org/officeDocument/2006/docPropsVTypes">
  <Template>Normal</Template>
  <TotalTime>1043</TotalTime>
  <Pages>15</Pages>
  <Words>3501</Words>
  <Characters>19961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Jesse O. Gorsuch</cp:lastModifiedBy>
  <cp:revision>45</cp:revision>
  <cp:lastPrinted>2013-05-30T17:27:00Z</cp:lastPrinted>
  <dcterms:created xsi:type="dcterms:W3CDTF">2013-05-17T21:50:00Z</dcterms:created>
  <dcterms:modified xsi:type="dcterms:W3CDTF">2013-05-30T17:49:00Z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0x0101006E56B4D1795A2E4DB2F0B01679ED314A00863EE574BB0F3E4FBB6C8B011E7001F0</vt:lpwstr>
  </property>
  <property fmtid="{D5CDD505-2E9C-101B-9397-08002B2CF9AE}" pid="3" name="_docset_NoMedatataSyncRequired">
    <vt:lpwstr>False</vt:lpwstr>
  </property>
</Properties>
</file>