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E4A80" w14:textId="03A5D122" w:rsidR="000F025A" w:rsidRPr="00192A46" w:rsidRDefault="000F025A" w:rsidP="000F025A">
      <w:pPr>
        <w:tabs>
          <w:tab w:val="clear" w:pos="-1440"/>
          <w:tab w:val="center" w:pos="4680"/>
        </w:tabs>
        <w:spacing w:line="240" w:lineRule="auto"/>
        <w:ind w:left="0" w:right="-252" w:hanging="360"/>
        <w:jc w:val="both"/>
        <w:rPr>
          <w:b/>
          <w:bCs/>
        </w:rPr>
      </w:pPr>
      <w:bookmarkStart w:id="0" w:name="_GoBack"/>
      <w:bookmarkEnd w:id="0"/>
      <w:r w:rsidRPr="00192A46">
        <w:rPr>
          <w:b/>
          <w:bCs/>
        </w:rPr>
        <w:tab/>
      </w:r>
      <w:r w:rsidRPr="00192A46">
        <w:rPr>
          <w:b/>
          <w:bCs/>
        </w:rPr>
        <w:tab/>
      </w:r>
      <w:r w:rsidRPr="00192A46">
        <w:rPr>
          <w:b/>
          <w:bCs/>
        </w:rPr>
        <w:tab/>
      </w:r>
      <w:r w:rsidRPr="00192A46">
        <w:rPr>
          <w:b/>
          <w:bCs/>
        </w:rPr>
        <w:tab/>
        <w:t>Exhibit No. ___</w:t>
      </w:r>
      <w:r w:rsidR="00BC26DC">
        <w:rPr>
          <w:b/>
          <w:bCs/>
        </w:rPr>
        <w:t>T</w:t>
      </w:r>
      <w:r w:rsidRPr="00192A46">
        <w:rPr>
          <w:b/>
          <w:bCs/>
        </w:rPr>
        <w:t xml:space="preserve"> (DJR-</w:t>
      </w:r>
      <w:r w:rsidR="0078276F" w:rsidRPr="00192A46">
        <w:rPr>
          <w:b/>
          <w:bCs/>
        </w:rPr>
        <w:t>5</w:t>
      </w:r>
      <w:r w:rsidRPr="00192A46">
        <w:rPr>
          <w:b/>
          <w:bCs/>
        </w:rPr>
        <w:t xml:space="preserve">T) </w:t>
      </w:r>
    </w:p>
    <w:p w14:paraId="3FEE4A81" w14:textId="18833072" w:rsidR="000F025A" w:rsidRPr="00192A46" w:rsidRDefault="000F025A" w:rsidP="000F025A">
      <w:pPr>
        <w:tabs>
          <w:tab w:val="clear" w:pos="-1440"/>
          <w:tab w:val="center" w:pos="4680"/>
        </w:tabs>
        <w:spacing w:line="240" w:lineRule="auto"/>
        <w:ind w:left="0" w:right="-252" w:hanging="360"/>
        <w:jc w:val="both"/>
        <w:rPr>
          <w:b/>
          <w:bCs/>
        </w:rPr>
      </w:pPr>
      <w:r w:rsidRPr="00192A46">
        <w:rPr>
          <w:b/>
          <w:bCs/>
        </w:rPr>
        <w:tab/>
      </w:r>
      <w:r w:rsidRPr="00192A46">
        <w:rPr>
          <w:b/>
          <w:bCs/>
        </w:rPr>
        <w:tab/>
      </w:r>
      <w:r w:rsidRPr="00192A46">
        <w:rPr>
          <w:b/>
          <w:bCs/>
        </w:rPr>
        <w:tab/>
      </w:r>
      <w:r w:rsidRPr="00192A46">
        <w:rPr>
          <w:b/>
          <w:bCs/>
        </w:rPr>
        <w:tab/>
        <w:t>Docket UE-</w:t>
      </w:r>
      <w:r w:rsidR="00BC26DC">
        <w:rPr>
          <w:b/>
          <w:bCs/>
        </w:rPr>
        <w:t>120436, et al.</w:t>
      </w:r>
      <w:r w:rsidR="003819E0" w:rsidRPr="00192A46" w:rsidDel="003819E0">
        <w:rPr>
          <w:b/>
          <w:bCs/>
        </w:rPr>
        <w:t xml:space="preserve"> </w:t>
      </w:r>
    </w:p>
    <w:p w14:paraId="3FEE4A82" w14:textId="77777777" w:rsidR="000F025A" w:rsidRPr="00192A46" w:rsidRDefault="000F025A" w:rsidP="000F025A">
      <w:pPr>
        <w:tabs>
          <w:tab w:val="clear" w:pos="-1440"/>
          <w:tab w:val="center" w:pos="4680"/>
        </w:tabs>
        <w:spacing w:line="240" w:lineRule="auto"/>
        <w:ind w:left="0" w:right="-252" w:hanging="360"/>
        <w:jc w:val="both"/>
        <w:rPr>
          <w:b/>
          <w:bCs/>
        </w:rPr>
      </w:pPr>
      <w:r w:rsidRPr="00192A46">
        <w:rPr>
          <w:b/>
          <w:bCs/>
        </w:rPr>
        <w:tab/>
      </w:r>
      <w:r w:rsidRPr="00192A46">
        <w:rPr>
          <w:b/>
          <w:bCs/>
        </w:rPr>
        <w:tab/>
      </w:r>
      <w:r w:rsidRPr="00192A46">
        <w:rPr>
          <w:b/>
          <w:bCs/>
        </w:rPr>
        <w:tab/>
      </w:r>
      <w:r w:rsidRPr="00192A46">
        <w:rPr>
          <w:b/>
          <w:bCs/>
        </w:rPr>
        <w:tab/>
        <w:t xml:space="preserve">Witness:  Deborah J. Reynolds </w:t>
      </w:r>
    </w:p>
    <w:p w14:paraId="3FEE4A83" w14:textId="77777777" w:rsidR="000F025A" w:rsidRPr="00192A46" w:rsidRDefault="000F025A" w:rsidP="000F025A">
      <w:pPr>
        <w:tabs>
          <w:tab w:val="clear" w:pos="-1440"/>
          <w:tab w:val="center" w:pos="4680"/>
        </w:tabs>
        <w:spacing w:line="240" w:lineRule="auto"/>
        <w:ind w:left="0" w:right="-252" w:hanging="360"/>
        <w:jc w:val="both"/>
        <w:rPr>
          <w:b/>
          <w:bCs/>
        </w:rPr>
      </w:pPr>
    </w:p>
    <w:p w14:paraId="28E23C6C" w14:textId="77777777" w:rsidR="00CD1ECA" w:rsidRPr="00CD1ECA" w:rsidRDefault="00CD1ECA" w:rsidP="00CD1ECA">
      <w:pPr>
        <w:tabs>
          <w:tab w:val="clear" w:pos="-1440"/>
          <w:tab w:val="center" w:pos="4680"/>
          <w:tab w:val="right" w:pos="9360"/>
        </w:tabs>
        <w:spacing w:line="240" w:lineRule="auto"/>
        <w:ind w:left="-180" w:right="-252" w:firstLine="0"/>
        <w:rPr>
          <w:rFonts w:eastAsia="Calibri"/>
          <w:b/>
        </w:rPr>
      </w:pPr>
      <w:r w:rsidRPr="00CD1ECA">
        <w:rPr>
          <w:rFonts w:eastAsia="Calibri"/>
          <w:b/>
        </w:rPr>
        <w:t>BEFORE THE WASHINGTON UTILITIES AND TRANSPORTATION COMMISSION</w:t>
      </w:r>
    </w:p>
    <w:p w14:paraId="0A34D6E0" w14:textId="77777777" w:rsidR="00CD1ECA" w:rsidRPr="00CD1ECA" w:rsidRDefault="00CD1ECA" w:rsidP="00CD1ECA">
      <w:pPr>
        <w:tabs>
          <w:tab w:val="clear" w:pos="-1440"/>
          <w:tab w:val="center" w:pos="4680"/>
          <w:tab w:val="right" w:pos="9360"/>
        </w:tabs>
        <w:spacing w:line="240" w:lineRule="auto"/>
        <w:ind w:left="0" w:firstLine="0"/>
        <w:rPr>
          <w:rFonts w:eastAsia="Calibri"/>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D1ECA" w:rsidRPr="00CD1ECA" w14:paraId="7716345B" w14:textId="77777777" w:rsidTr="00673CE3">
        <w:tc>
          <w:tcPr>
            <w:tcW w:w="4590" w:type="dxa"/>
            <w:tcBorders>
              <w:top w:val="single" w:sz="6" w:space="0" w:color="FFFFFF"/>
              <w:left w:val="single" w:sz="6" w:space="0" w:color="FFFFFF"/>
              <w:bottom w:val="single" w:sz="7" w:space="0" w:color="000000"/>
              <w:right w:val="single" w:sz="6" w:space="0" w:color="FFFFFF"/>
            </w:tcBorders>
          </w:tcPr>
          <w:p w14:paraId="28240879" w14:textId="77777777" w:rsidR="00CD1ECA" w:rsidRPr="00CD1ECA" w:rsidRDefault="00CD1ECA" w:rsidP="00CD1ECA">
            <w:pPr>
              <w:tabs>
                <w:tab w:val="clear" w:pos="-1440"/>
                <w:tab w:val="left" w:pos="681"/>
                <w:tab w:val="left" w:pos="1401"/>
                <w:tab w:val="center" w:pos="4680"/>
                <w:tab w:val="right" w:pos="9360"/>
              </w:tabs>
              <w:spacing w:line="240" w:lineRule="auto"/>
              <w:ind w:left="0" w:firstLine="0"/>
              <w:rPr>
                <w:rFonts w:eastAsia="Calibri"/>
                <w:b/>
              </w:rPr>
            </w:pPr>
            <w:r w:rsidRPr="00CD1ECA">
              <w:rPr>
                <w:rFonts w:eastAsia="Calibri"/>
                <w:b/>
              </w:rPr>
              <w:t xml:space="preserve">WASHINGTON UTILITIES AND TRANSPORTATION COMMISSION, </w:t>
            </w:r>
          </w:p>
          <w:p w14:paraId="0965CD2C" w14:textId="77777777" w:rsidR="00CD1ECA" w:rsidRPr="00CD1ECA" w:rsidRDefault="00CD1ECA" w:rsidP="00CD1ECA">
            <w:pPr>
              <w:tabs>
                <w:tab w:val="clear" w:pos="-1440"/>
                <w:tab w:val="left" w:pos="681"/>
                <w:tab w:val="left" w:pos="1401"/>
                <w:tab w:val="center" w:pos="4680"/>
                <w:tab w:val="right" w:pos="9360"/>
              </w:tabs>
              <w:spacing w:line="240" w:lineRule="auto"/>
              <w:ind w:left="0" w:firstLine="0"/>
              <w:rPr>
                <w:rFonts w:eastAsia="Calibri"/>
                <w:b/>
              </w:rPr>
            </w:pPr>
          </w:p>
          <w:p w14:paraId="217CC1D7" w14:textId="77777777" w:rsidR="00CD1ECA" w:rsidRPr="00CD1ECA" w:rsidRDefault="00CD1ECA" w:rsidP="00CD1ECA">
            <w:pPr>
              <w:tabs>
                <w:tab w:val="clear" w:pos="-1440"/>
                <w:tab w:val="left" w:pos="681"/>
                <w:tab w:val="left" w:pos="1401"/>
                <w:tab w:val="center" w:pos="4680"/>
                <w:tab w:val="right" w:pos="9360"/>
              </w:tabs>
              <w:spacing w:line="240" w:lineRule="auto"/>
              <w:ind w:left="0" w:firstLine="0"/>
              <w:rPr>
                <w:rFonts w:eastAsia="Calibri"/>
                <w:b/>
              </w:rPr>
            </w:pPr>
            <w:r w:rsidRPr="00CD1ECA">
              <w:rPr>
                <w:rFonts w:eastAsia="Calibri"/>
                <w:b/>
              </w:rPr>
              <w:tab/>
            </w:r>
            <w:r w:rsidRPr="00CD1ECA">
              <w:rPr>
                <w:rFonts w:eastAsia="Calibri"/>
                <w:b/>
              </w:rPr>
              <w:tab/>
              <w:t>Complainant,</w:t>
            </w:r>
          </w:p>
          <w:p w14:paraId="4A251911" w14:textId="77777777" w:rsidR="00CD1ECA" w:rsidRPr="00CD1ECA" w:rsidRDefault="00CD1ECA" w:rsidP="00CD1ECA">
            <w:pPr>
              <w:tabs>
                <w:tab w:val="clear" w:pos="-1440"/>
                <w:tab w:val="left" w:pos="681"/>
                <w:tab w:val="left" w:pos="1401"/>
                <w:tab w:val="center" w:pos="4680"/>
                <w:tab w:val="right" w:pos="9360"/>
              </w:tabs>
              <w:spacing w:line="240" w:lineRule="auto"/>
              <w:ind w:left="0" w:firstLine="0"/>
              <w:rPr>
                <w:rFonts w:eastAsia="Calibri"/>
                <w:b/>
              </w:rPr>
            </w:pPr>
          </w:p>
          <w:p w14:paraId="0C3F715A" w14:textId="77777777" w:rsidR="00CD1ECA" w:rsidRPr="00CD1ECA" w:rsidRDefault="00CD1ECA" w:rsidP="00CD1ECA">
            <w:pPr>
              <w:tabs>
                <w:tab w:val="clear" w:pos="-1440"/>
                <w:tab w:val="left" w:pos="681"/>
                <w:tab w:val="left" w:pos="1401"/>
                <w:tab w:val="center" w:pos="4680"/>
                <w:tab w:val="right" w:pos="9360"/>
              </w:tabs>
              <w:spacing w:line="240" w:lineRule="auto"/>
              <w:ind w:left="0" w:firstLine="0"/>
              <w:rPr>
                <w:rFonts w:eastAsia="Calibri"/>
                <w:b/>
              </w:rPr>
            </w:pPr>
            <w:r w:rsidRPr="00CD1ECA">
              <w:rPr>
                <w:rFonts w:eastAsia="Calibri"/>
                <w:b/>
              </w:rPr>
              <w:tab/>
              <w:t>v.</w:t>
            </w:r>
          </w:p>
          <w:p w14:paraId="78EC4ACE" w14:textId="77777777" w:rsidR="00CD1ECA" w:rsidRPr="00CD1ECA" w:rsidRDefault="00CD1ECA" w:rsidP="00CD1ECA">
            <w:pPr>
              <w:tabs>
                <w:tab w:val="clear" w:pos="-1440"/>
                <w:tab w:val="left" w:pos="681"/>
                <w:tab w:val="left" w:pos="1401"/>
                <w:tab w:val="center" w:pos="4680"/>
                <w:tab w:val="right" w:pos="9360"/>
              </w:tabs>
              <w:spacing w:line="240" w:lineRule="auto"/>
              <w:ind w:left="0" w:firstLine="0"/>
              <w:rPr>
                <w:rFonts w:eastAsia="Calibri"/>
                <w:b/>
              </w:rPr>
            </w:pPr>
          </w:p>
          <w:p w14:paraId="1BFEBB1F" w14:textId="77777777" w:rsidR="00CD1ECA" w:rsidRPr="00CD1ECA" w:rsidRDefault="00CD1ECA" w:rsidP="00CD1ECA">
            <w:pPr>
              <w:tabs>
                <w:tab w:val="clear" w:pos="-1440"/>
                <w:tab w:val="left" w:pos="681"/>
                <w:tab w:val="left" w:pos="1401"/>
                <w:tab w:val="center" w:pos="4680"/>
                <w:tab w:val="right" w:pos="9360"/>
              </w:tabs>
              <w:spacing w:line="240" w:lineRule="auto"/>
              <w:ind w:left="0" w:firstLine="0"/>
              <w:rPr>
                <w:rFonts w:eastAsia="Calibri"/>
                <w:b/>
              </w:rPr>
            </w:pPr>
            <w:r w:rsidRPr="00CD1ECA">
              <w:rPr>
                <w:rFonts w:eastAsia="Calibri"/>
                <w:b/>
              </w:rPr>
              <w:t xml:space="preserve">AVISTA CORPORATION, d/b/a AVISTA UTILITIES, </w:t>
            </w:r>
          </w:p>
          <w:p w14:paraId="165D5886" w14:textId="77777777" w:rsidR="00CD1ECA" w:rsidRPr="00CD1ECA" w:rsidRDefault="00CD1ECA" w:rsidP="00CD1ECA">
            <w:pPr>
              <w:tabs>
                <w:tab w:val="clear" w:pos="-1440"/>
                <w:tab w:val="left" w:pos="681"/>
                <w:tab w:val="left" w:pos="1401"/>
                <w:tab w:val="center" w:pos="4680"/>
                <w:tab w:val="right" w:pos="9360"/>
              </w:tabs>
              <w:spacing w:line="240" w:lineRule="auto"/>
              <w:ind w:left="0" w:firstLine="0"/>
              <w:rPr>
                <w:rFonts w:eastAsia="Calibri"/>
                <w:b/>
              </w:rPr>
            </w:pPr>
          </w:p>
          <w:p w14:paraId="1619D25E" w14:textId="77777777" w:rsidR="00CD1ECA" w:rsidRPr="00CD1ECA" w:rsidRDefault="00CD1ECA" w:rsidP="00CD1ECA">
            <w:pPr>
              <w:pBdr>
                <w:bottom w:val="single" w:sz="12" w:space="1" w:color="auto"/>
              </w:pBdr>
              <w:tabs>
                <w:tab w:val="clear" w:pos="-1440"/>
                <w:tab w:val="left" w:pos="681"/>
                <w:tab w:val="left" w:pos="1401"/>
                <w:tab w:val="center" w:pos="4680"/>
                <w:tab w:val="right" w:pos="9360"/>
              </w:tabs>
              <w:spacing w:line="240" w:lineRule="auto"/>
              <w:ind w:left="0" w:firstLine="0"/>
              <w:rPr>
                <w:rFonts w:eastAsia="Calibri"/>
                <w:b/>
              </w:rPr>
            </w:pPr>
            <w:r w:rsidRPr="00CD1ECA">
              <w:rPr>
                <w:rFonts w:eastAsia="Calibri"/>
                <w:b/>
              </w:rPr>
              <w:tab/>
            </w:r>
            <w:r w:rsidRPr="00CD1ECA">
              <w:rPr>
                <w:rFonts w:eastAsia="Calibri"/>
                <w:b/>
              </w:rPr>
              <w:tab/>
              <w:t>Respondent.</w:t>
            </w:r>
          </w:p>
          <w:p w14:paraId="77A810C6" w14:textId="77777777" w:rsidR="00CD1ECA" w:rsidRPr="00CD1ECA" w:rsidRDefault="00CD1ECA" w:rsidP="00CD1ECA">
            <w:pPr>
              <w:pBdr>
                <w:bottom w:val="single" w:sz="12" w:space="1" w:color="auto"/>
              </w:pBdr>
              <w:tabs>
                <w:tab w:val="clear" w:pos="-1440"/>
                <w:tab w:val="left" w:pos="681"/>
                <w:tab w:val="left" w:pos="1401"/>
                <w:tab w:val="center" w:pos="4680"/>
                <w:tab w:val="right" w:pos="9360"/>
              </w:tabs>
              <w:spacing w:line="240" w:lineRule="auto"/>
              <w:ind w:left="0" w:firstLine="0"/>
              <w:rPr>
                <w:rFonts w:eastAsia="Calibri"/>
                <w:b/>
              </w:rPr>
            </w:pPr>
          </w:p>
          <w:p w14:paraId="059877B7" w14:textId="77777777" w:rsidR="00CD1ECA" w:rsidRPr="00CD1ECA" w:rsidRDefault="00CD1ECA" w:rsidP="00CD1ECA">
            <w:pPr>
              <w:tabs>
                <w:tab w:val="clear" w:pos="-1440"/>
                <w:tab w:val="left" w:pos="2160"/>
              </w:tabs>
              <w:spacing w:line="240" w:lineRule="auto"/>
              <w:ind w:left="0" w:firstLine="0"/>
              <w:rPr>
                <w:rFonts w:eastAsia="Calibri"/>
                <w:b/>
                <w:bCs/>
              </w:rPr>
            </w:pPr>
          </w:p>
          <w:p w14:paraId="45355DA7" w14:textId="77777777" w:rsidR="00CD1ECA" w:rsidRPr="00CD1ECA" w:rsidRDefault="00CD1ECA" w:rsidP="00CD1ECA">
            <w:pPr>
              <w:tabs>
                <w:tab w:val="clear" w:pos="-1440"/>
                <w:tab w:val="left" w:pos="2160"/>
              </w:tabs>
              <w:spacing w:line="240" w:lineRule="auto"/>
              <w:ind w:left="0" w:firstLine="0"/>
              <w:rPr>
                <w:rFonts w:eastAsia="Calibri"/>
                <w:b/>
                <w:bCs/>
              </w:rPr>
            </w:pPr>
            <w:r w:rsidRPr="00CD1ECA">
              <w:rPr>
                <w:rFonts w:eastAsia="Calibri"/>
                <w:b/>
                <w:bCs/>
              </w:rPr>
              <w:t>WASHINGTON UTILITIES AND TRANSPORTATION COMMISSION,</w:t>
            </w:r>
          </w:p>
          <w:p w14:paraId="2B56B606" w14:textId="77777777" w:rsidR="00CD1ECA" w:rsidRPr="00CD1ECA" w:rsidRDefault="00CD1ECA" w:rsidP="00CD1ECA">
            <w:pPr>
              <w:tabs>
                <w:tab w:val="clear" w:pos="-1440"/>
                <w:tab w:val="left" w:pos="2160"/>
              </w:tabs>
              <w:spacing w:line="240" w:lineRule="auto"/>
              <w:ind w:left="0" w:firstLine="0"/>
              <w:rPr>
                <w:rFonts w:eastAsia="Calibri"/>
                <w:b/>
                <w:bCs/>
              </w:rPr>
            </w:pPr>
          </w:p>
          <w:p w14:paraId="3891BC4D" w14:textId="77777777" w:rsidR="00CD1ECA" w:rsidRPr="00CD1ECA" w:rsidRDefault="00CD1ECA" w:rsidP="00CD1ECA">
            <w:pPr>
              <w:tabs>
                <w:tab w:val="clear" w:pos="-1440"/>
                <w:tab w:val="left" w:pos="2160"/>
              </w:tabs>
              <w:spacing w:line="240" w:lineRule="auto"/>
              <w:ind w:left="0" w:firstLine="0"/>
              <w:rPr>
                <w:rFonts w:eastAsia="Calibri"/>
                <w:b/>
                <w:bCs/>
              </w:rPr>
            </w:pPr>
            <w:r w:rsidRPr="00CD1ECA">
              <w:rPr>
                <w:rFonts w:eastAsia="Calibri"/>
                <w:b/>
                <w:bCs/>
              </w:rPr>
              <w:tab/>
              <w:t>Complainant,</w:t>
            </w:r>
          </w:p>
          <w:p w14:paraId="49F1B1AF" w14:textId="77777777" w:rsidR="00CD1ECA" w:rsidRPr="00CD1ECA" w:rsidRDefault="00CD1ECA" w:rsidP="00CD1ECA">
            <w:pPr>
              <w:tabs>
                <w:tab w:val="clear" w:pos="-1440"/>
                <w:tab w:val="left" w:pos="2160"/>
              </w:tabs>
              <w:spacing w:line="240" w:lineRule="auto"/>
              <w:ind w:left="0" w:firstLine="0"/>
              <w:rPr>
                <w:rFonts w:eastAsia="Calibri"/>
                <w:b/>
                <w:bCs/>
              </w:rPr>
            </w:pPr>
          </w:p>
          <w:p w14:paraId="583A6D00" w14:textId="77777777" w:rsidR="00CD1ECA" w:rsidRPr="00CD1ECA" w:rsidRDefault="00CD1ECA" w:rsidP="00CD1ECA">
            <w:pPr>
              <w:tabs>
                <w:tab w:val="clear" w:pos="-1440"/>
                <w:tab w:val="left" w:pos="2160"/>
              </w:tabs>
              <w:spacing w:line="240" w:lineRule="auto"/>
              <w:ind w:left="0" w:firstLine="0"/>
              <w:rPr>
                <w:rFonts w:eastAsia="Calibri"/>
                <w:b/>
                <w:bCs/>
              </w:rPr>
            </w:pPr>
            <w:r w:rsidRPr="00CD1ECA">
              <w:rPr>
                <w:rFonts w:eastAsia="Calibri"/>
                <w:b/>
                <w:bCs/>
              </w:rPr>
              <w:t>v.</w:t>
            </w:r>
          </w:p>
          <w:p w14:paraId="54747E74" w14:textId="77777777" w:rsidR="00CD1ECA" w:rsidRPr="00CD1ECA" w:rsidRDefault="00CD1ECA" w:rsidP="00CD1ECA">
            <w:pPr>
              <w:tabs>
                <w:tab w:val="clear" w:pos="-1440"/>
                <w:tab w:val="left" w:pos="2160"/>
              </w:tabs>
              <w:spacing w:line="240" w:lineRule="auto"/>
              <w:ind w:left="0" w:firstLine="0"/>
              <w:rPr>
                <w:rFonts w:eastAsia="Calibri"/>
                <w:b/>
                <w:bCs/>
              </w:rPr>
            </w:pPr>
          </w:p>
          <w:p w14:paraId="1423FFBC" w14:textId="77777777" w:rsidR="00CD1ECA" w:rsidRPr="00CD1ECA" w:rsidRDefault="00CD1ECA" w:rsidP="00CD1ECA">
            <w:pPr>
              <w:tabs>
                <w:tab w:val="clear" w:pos="-1440"/>
                <w:tab w:val="left" w:pos="2160"/>
              </w:tabs>
              <w:spacing w:line="240" w:lineRule="auto"/>
              <w:ind w:left="0" w:firstLine="0"/>
              <w:rPr>
                <w:rFonts w:eastAsia="Calibri"/>
                <w:b/>
                <w:bCs/>
              </w:rPr>
            </w:pPr>
            <w:r w:rsidRPr="00CD1ECA">
              <w:rPr>
                <w:rFonts w:eastAsia="Calibri"/>
                <w:b/>
                <w:bCs/>
              </w:rPr>
              <w:t>AVISTA CORPORATION d/b/a AVISTA UTILITIES,</w:t>
            </w:r>
          </w:p>
          <w:p w14:paraId="44168FBC" w14:textId="77777777" w:rsidR="00CD1ECA" w:rsidRPr="00CD1ECA" w:rsidRDefault="00CD1ECA" w:rsidP="00CD1ECA">
            <w:pPr>
              <w:tabs>
                <w:tab w:val="clear" w:pos="-1440"/>
                <w:tab w:val="left" w:pos="2160"/>
              </w:tabs>
              <w:spacing w:line="240" w:lineRule="auto"/>
              <w:ind w:left="0" w:firstLine="0"/>
              <w:rPr>
                <w:rFonts w:eastAsia="Calibri"/>
                <w:b/>
                <w:bCs/>
              </w:rPr>
            </w:pPr>
          </w:p>
          <w:p w14:paraId="3095013B" w14:textId="77777777" w:rsidR="00CD1ECA" w:rsidRPr="00CD1ECA" w:rsidRDefault="00CD1ECA" w:rsidP="00CD1ECA">
            <w:pPr>
              <w:tabs>
                <w:tab w:val="clear" w:pos="-1440"/>
                <w:tab w:val="left" w:pos="2160"/>
              </w:tabs>
              <w:spacing w:line="240" w:lineRule="auto"/>
              <w:ind w:left="0" w:firstLine="0"/>
              <w:rPr>
                <w:rFonts w:eastAsia="Calibri"/>
                <w:b/>
                <w:bCs/>
              </w:rPr>
            </w:pPr>
            <w:r w:rsidRPr="00CD1ECA">
              <w:rPr>
                <w:rFonts w:eastAsia="Calibri"/>
                <w:b/>
                <w:bCs/>
              </w:rPr>
              <w:tab/>
              <w:t>Respondent.</w:t>
            </w:r>
          </w:p>
          <w:p w14:paraId="5F5CF76B" w14:textId="77777777" w:rsidR="00CD1ECA" w:rsidRPr="00CD1ECA" w:rsidRDefault="00CD1ECA" w:rsidP="00CD1ECA">
            <w:pPr>
              <w:tabs>
                <w:tab w:val="clear" w:pos="-1440"/>
                <w:tab w:val="left" w:pos="2160"/>
              </w:tabs>
              <w:spacing w:line="240" w:lineRule="auto"/>
              <w:ind w:left="0" w:firstLine="0"/>
              <w:rPr>
                <w:rFonts w:eastAsia="Calibri"/>
                <w:b/>
                <w:bCs/>
              </w:rPr>
            </w:pPr>
          </w:p>
        </w:tc>
        <w:tc>
          <w:tcPr>
            <w:tcW w:w="4590" w:type="dxa"/>
            <w:tcBorders>
              <w:top w:val="single" w:sz="6" w:space="0" w:color="FFFFFF"/>
              <w:left w:val="single" w:sz="7" w:space="0" w:color="000000"/>
              <w:bottom w:val="single" w:sz="6" w:space="0" w:color="FFFFFF"/>
              <w:right w:val="single" w:sz="6" w:space="0" w:color="FFFFFF"/>
            </w:tcBorders>
          </w:tcPr>
          <w:p w14:paraId="0C8CAC8D" w14:textId="77777777" w:rsidR="00CD1ECA" w:rsidRPr="00CD1ECA" w:rsidRDefault="00CD1ECA" w:rsidP="00CD1ECA">
            <w:pPr>
              <w:tabs>
                <w:tab w:val="clear" w:pos="-1440"/>
                <w:tab w:val="center" w:pos="4680"/>
                <w:tab w:val="right" w:pos="9360"/>
              </w:tabs>
              <w:spacing w:line="240" w:lineRule="auto"/>
              <w:ind w:left="416" w:firstLine="0"/>
              <w:rPr>
                <w:rFonts w:eastAsia="Calibri"/>
                <w:b/>
              </w:rPr>
            </w:pPr>
            <w:r w:rsidRPr="00CD1ECA">
              <w:rPr>
                <w:rFonts w:eastAsia="Calibri"/>
                <w:b/>
              </w:rPr>
              <w:t>DOCKETS UE-120436/UG-120437</w:t>
            </w:r>
          </w:p>
          <w:p w14:paraId="0BC44730" w14:textId="77777777" w:rsidR="00CD1ECA" w:rsidRPr="00CD1ECA" w:rsidRDefault="00CD1ECA" w:rsidP="00CD1ECA">
            <w:pPr>
              <w:tabs>
                <w:tab w:val="clear" w:pos="-1440"/>
                <w:tab w:val="center" w:pos="4680"/>
                <w:tab w:val="right" w:pos="9360"/>
              </w:tabs>
              <w:spacing w:line="240" w:lineRule="auto"/>
              <w:ind w:left="1496" w:hanging="1080"/>
              <w:rPr>
                <w:rFonts w:eastAsia="Calibri"/>
                <w:b/>
                <w:i/>
              </w:rPr>
            </w:pPr>
            <w:r w:rsidRPr="00CD1ECA">
              <w:rPr>
                <w:rFonts w:eastAsia="Calibri"/>
                <w:b/>
              </w:rPr>
              <w:tab/>
              <w:t>(</w:t>
            </w:r>
            <w:r w:rsidRPr="00CD1ECA">
              <w:rPr>
                <w:rFonts w:eastAsia="Calibri"/>
                <w:b/>
                <w:i/>
              </w:rPr>
              <w:t>consolidated)</w:t>
            </w:r>
          </w:p>
          <w:p w14:paraId="03EBA521" w14:textId="77777777" w:rsidR="00CD1ECA" w:rsidRPr="00CD1ECA" w:rsidRDefault="00CD1ECA" w:rsidP="00CD1ECA">
            <w:pPr>
              <w:tabs>
                <w:tab w:val="clear" w:pos="-1440"/>
                <w:tab w:val="center" w:pos="4680"/>
                <w:tab w:val="right" w:pos="9360"/>
              </w:tabs>
              <w:spacing w:line="240" w:lineRule="auto"/>
              <w:ind w:left="416" w:firstLine="0"/>
              <w:rPr>
                <w:rFonts w:eastAsia="Calibri"/>
                <w:b/>
              </w:rPr>
            </w:pPr>
          </w:p>
          <w:p w14:paraId="022A884F" w14:textId="77777777" w:rsidR="00CD1ECA" w:rsidRPr="00CD1ECA" w:rsidRDefault="00CD1ECA" w:rsidP="00CD1ECA">
            <w:pPr>
              <w:tabs>
                <w:tab w:val="clear" w:pos="-1440"/>
                <w:tab w:val="center" w:pos="4680"/>
                <w:tab w:val="right" w:pos="9360"/>
              </w:tabs>
              <w:spacing w:line="240" w:lineRule="auto"/>
              <w:ind w:left="416" w:firstLine="0"/>
              <w:rPr>
                <w:rFonts w:eastAsia="Calibri"/>
                <w:b/>
              </w:rPr>
            </w:pPr>
          </w:p>
          <w:p w14:paraId="34BBDD59" w14:textId="77777777" w:rsidR="00CD1ECA" w:rsidRPr="00CD1ECA" w:rsidRDefault="00CD1ECA" w:rsidP="00CD1ECA">
            <w:pPr>
              <w:tabs>
                <w:tab w:val="clear" w:pos="-1440"/>
                <w:tab w:val="center" w:pos="4680"/>
                <w:tab w:val="right" w:pos="9360"/>
              </w:tabs>
              <w:spacing w:line="240" w:lineRule="auto"/>
              <w:ind w:left="416" w:firstLine="0"/>
              <w:rPr>
                <w:rFonts w:eastAsia="Calibri"/>
                <w:b/>
              </w:rPr>
            </w:pPr>
          </w:p>
          <w:p w14:paraId="26275DFA" w14:textId="77777777" w:rsidR="00CD1ECA" w:rsidRPr="00CD1ECA" w:rsidRDefault="00CD1ECA" w:rsidP="00CD1ECA">
            <w:pPr>
              <w:tabs>
                <w:tab w:val="clear" w:pos="-1440"/>
                <w:tab w:val="center" w:pos="4680"/>
                <w:tab w:val="right" w:pos="9360"/>
              </w:tabs>
              <w:spacing w:line="240" w:lineRule="auto"/>
              <w:ind w:left="416" w:firstLine="0"/>
              <w:rPr>
                <w:rFonts w:eastAsia="Calibri"/>
                <w:b/>
              </w:rPr>
            </w:pPr>
          </w:p>
          <w:p w14:paraId="4F4D049B" w14:textId="77777777" w:rsidR="00CD1ECA" w:rsidRPr="00CD1ECA" w:rsidRDefault="00CD1ECA" w:rsidP="00CD1ECA">
            <w:pPr>
              <w:tabs>
                <w:tab w:val="clear" w:pos="-1440"/>
                <w:tab w:val="center" w:pos="4680"/>
                <w:tab w:val="right" w:pos="9360"/>
              </w:tabs>
              <w:spacing w:line="240" w:lineRule="auto"/>
              <w:ind w:left="416" w:firstLine="0"/>
              <w:rPr>
                <w:rFonts w:eastAsia="Calibri"/>
                <w:b/>
              </w:rPr>
            </w:pPr>
          </w:p>
          <w:p w14:paraId="58B67E68" w14:textId="77777777" w:rsidR="00CD1ECA" w:rsidRPr="00CD1ECA" w:rsidRDefault="00CD1ECA" w:rsidP="00CD1ECA">
            <w:pPr>
              <w:tabs>
                <w:tab w:val="clear" w:pos="-1440"/>
                <w:tab w:val="center" w:pos="4680"/>
                <w:tab w:val="right" w:pos="9360"/>
              </w:tabs>
              <w:spacing w:line="240" w:lineRule="auto"/>
              <w:ind w:left="416" w:firstLine="0"/>
              <w:rPr>
                <w:rFonts w:eastAsia="Calibri"/>
                <w:b/>
              </w:rPr>
            </w:pPr>
          </w:p>
          <w:p w14:paraId="6C1C3C49" w14:textId="77777777" w:rsidR="00CD1ECA" w:rsidRPr="00CD1ECA" w:rsidRDefault="00CD1ECA" w:rsidP="00CD1ECA">
            <w:pPr>
              <w:tabs>
                <w:tab w:val="clear" w:pos="-1440"/>
                <w:tab w:val="center" w:pos="4680"/>
                <w:tab w:val="right" w:pos="9360"/>
              </w:tabs>
              <w:spacing w:line="240" w:lineRule="auto"/>
              <w:ind w:left="416" w:firstLine="0"/>
              <w:rPr>
                <w:rFonts w:eastAsia="Calibri"/>
                <w:b/>
              </w:rPr>
            </w:pPr>
          </w:p>
          <w:p w14:paraId="1241BAED" w14:textId="77777777" w:rsidR="00CD1ECA" w:rsidRPr="00CD1ECA" w:rsidRDefault="00CD1ECA" w:rsidP="00CD1ECA">
            <w:pPr>
              <w:tabs>
                <w:tab w:val="clear" w:pos="-1440"/>
                <w:tab w:val="center" w:pos="4680"/>
                <w:tab w:val="right" w:pos="9360"/>
              </w:tabs>
              <w:spacing w:line="240" w:lineRule="auto"/>
              <w:ind w:left="416" w:firstLine="0"/>
              <w:rPr>
                <w:rFonts w:eastAsia="Calibri"/>
                <w:b/>
              </w:rPr>
            </w:pPr>
          </w:p>
          <w:p w14:paraId="7EACDA0E" w14:textId="77777777" w:rsidR="00CD1ECA" w:rsidRPr="00CD1ECA" w:rsidRDefault="00CD1ECA" w:rsidP="00CD1ECA">
            <w:pPr>
              <w:tabs>
                <w:tab w:val="clear" w:pos="-1440"/>
                <w:tab w:val="center" w:pos="4680"/>
                <w:tab w:val="right" w:pos="9360"/>
              </w:tabs>
              <w:spacing w:line="240" w:lineRule="auto"/>
              <w:ind w:left="416" w:firstLine="0"/>
              <w:rPr>
                <w:rFonts w:eastAsia="Calibri"/>
                <w:b/>
              </w:rPr>
            </w:pPr>
          </w:p>
          <w:p w14:paraId="4836419F" w14:textId="77777777" w:rsidR="00CD1ECA" w:rsidRPr="00CD1ECA" w:rsidRDefault="00CD1ECA" w:rsidP="00CD1ECA">
            <w:pPr>
              <w:tabs>
                <w:tab w:val="clear" w:pos="-1440"/>
                <w:tab w:val="center" w:pos="4680"/>
                <w:tab w:val="right" w:pos="9360"/>
              </w:tabs>
              <w:spacing w:line="240" w:lineRule="auto"/>
              <w:ind w:left="416" w:firstLine="0"/>
              <w:rPr>
                <w:rFonts w:eastAsia="Calibri"/>
                <w:b/>
              </w:rPr>
            </w:pPr>
          </w:p>
          <w:p w14:paraId="64805863" w14:textId="77777777" w:rsidR="00CD1ECA" w:rsidRPr="00CD1ECA" w:rsidRDefault="00CD1ECA" w:rsidP="00CD1ECA">
            <w:pPr>
              <w:tabs>
                <w:tab w:val="clear" w:pos="-1440"/>
                <w:tab w:val="center" w:pos="4680"/>
                <w:tab w:val="right" w:pos="9360"/>
              </w:tabs>
              <w:spacing w:line="240" w:lineRule="auto"/>
              <w:ind w:left="416" w:firstLine="0"/>
              <w:rPr>
                <w:rFonts w:eastAsia="Calibri"/>
                <w:b/>
              </w:rPr>
            </w:pPr>
            <w:r w:rsidRPr="00CD1ECA">
              <w:rPr>
                <w:rFonts w:eastAsia="Calibri"/>
                <w:b/>
              </w:rPr>
              <w:t>DOCKETS UE-110876/UG-110877</w:t>
            </w:r>
          </w:p>
          <w:p w14:paraId="2ACBAFD3" w14:textId="77777777" w:rsidR="00CD1ECA" w:rsidRPr="00CD1ECA" w:rsidRDefault="00CD1ECA" w:rsidP="00CD1ECA">
            <w:pPr>
              <w:tabs>
                <w:tab w:val="clear" w:pos="-1440"/>
                <w:tab w:val="left" w:pos="1543"/>
                <w:tab w:val="center" w:pos="4680"/>
                <w:tab w:val="right" w:pos="9360"/>
              </w:tabs>
              <w:spacing w:line="240" w:lineRule="auto"/>
              <w:ind w:left="416" w:firstLine="0"/>
              <w:rPr>
                <w:rFonts w:eastAsia="Calibri"/>
                <w:b/>
                <w:i/>
              </w:rPr>
            </w:pPr>
            <w:r w:rsidRPr="00CD1ECA">
              <w:rPr>
                <w:rFonts w:eastAsia="Calibri"/>
                <w:b/>
              </w:rPr>
              <w:tab/>
            </w:r>
            <w:r w:rsidRPr="00CD1ECA">
              <w:rPr>
                <w:rFonts w:eastAsia="Calibri"/>
                <w:b/>
                <w:i/>
              </w:rPr>
              <w:t>(consolidated)</w:t>
            </w:r>
          </w:p>
          <w:p w14:paraId="6324EDAB" w14:textId="77777777" w:rsidR="00CD1ECA" w:rsidRPr="00CD1ECA" w:rsidRDefault="00CD1ECA" w:rsidP="00CD1ECA">
            <w:pPr>
              <w:tabs>
                <w:tab w:val="clear" w:pos="-1440"/>
                <w:tab w:val="left" w:pos="1543"/>
                <w:tab w:val="center" w:pos="4680"/>
                <w:tab w:val="right" w:pos="9360"/>
              </w:tabs>
              <w:spacing w:line="240" w:lineRule="auto"/>
              <w:ind w:left="416" w:firstLine="0"/>
              <w:rPr>
                <w:rFonts w:eastAsia="Calibri"/>
                <w:b/>
                <w:i/>
              </w:rPr>
            </w:pPr>
          </w:p>
          <w:p w14:paraId="1ABEA5EB" w14:textId="77777777" w:rsidR="00CD1ECA" w:rsidRPr="00CD1ECA" w:rsidRDefault="00CD1ECA" w:rsidP="00CD1ECA">
            <w:pPr>
              <w:tabs>
                <w:tab w:val="clear" w:pos="-1440"/>
                <w:tab w:val="left" w:pos="1543"/>
                <w:tab w:val="center" w:pos="4680"/>
                <w:tab w:val="right" w:pos="9360"/>
              </w:tabs>
              <w:spacing w:line="240" w:lineRule="auto"/>
              <w:ind w:left="416" w:firstLine="0"/>
              <w:rPr>
                <w:rFonts w:eastAsia="Calibri"/>
                <w:b/>
              </w:rPr>
            </w:pPr>
          </w:p>
          <w:p w14:paraId="1EEFF852" w14:textId="77777777" w:rsidR="00CD1ECA" w:rsidRPr="00CD1ECA" w:rsidRDefault="00CD1ECA" w:rsidP="00CD1ECA">
            <w:pPr>
              <w:tabs>
                <w:tab w:val="clear" w:pos="-1440"/>
                <w:tab w:val="center" w:pos="4680"/>
                <w:tab w:val="right" w:pos="9360"/>
              </w:tabs>
              <w:spacing w:line="240" w:lineRule="auto"/>
              <w:ind w:left="416" w:firstLine="0"/>
              <w:rPr>
                <w:rFonts w:eastAsia="Calibri"/>
                <w:b/>
              </w:rPr>
            </w:pPr>
          </w:p>
        </w:tc>
      </w:tr>
    </w:tbl>
    <w:p w14:paraId="29E38DB5" w14:textId="77777777" w:rsidR="00CD1ECA" w:rsidRPr="00CD1ECA" w:rsidRDefault="00CD1ECA" w:rsidP="00CD1ECA">
      <w:pPr>
        <w:tabs>
          <w:tab w:val="clear" w:pos="-1440"/>
        </w:tabs>
        <w:spacing w:line="240" w:lineRule="auto"/>
        <w:ind w:left="0" w:firstLine="0"/>
        <w:rPr>
          <w:rFonts w:eastAsia="Calibri"/>
          <w:b/>
          <w:bCs/>
        </w:rPr>
      </w:pPr>
    </w:p>
    <w:p w14:paraId="3FEE4A9C" w14:textId="77777777" w:rsidR="00503B1B" w:rsidRPr="00192A46" w:rsidRDefault="00503B1B" w:rsidP="000F025A">
      <w:pPr>
        <w:tabs>
          <w:tab w:val="clear" w:pos="-1440"/>
        </w:tabs>
        <w:spacing w:line="240" w:lineRule="auto"/>
        <w:ind w:left="0" w:firstLine="0"/>
        <w:rPr>
          <w:b/>
          <w:bCs/>
        </w:rPr>
      </w:pPr>
    </w:p>
    <w:p w14:paraId="3FEE4A9D" w14:textId="0AEAAC67" w:rsidR="000F025A" w:rsidRPr="00192A46" w:rsidRDefault="00665F45" w:rsidP="000F025A">
      <w:pPr>
        <w:tabs>
          <w:tab w:val="clear" w:pos="-1440"/>
          <w:tab w:val="center" w:pos="4680"/>
        </w:tabs>
        <w:spacing w:line="240" w:lineRule="auto"/>
        <w:ind w:left="0" w:firstLine="0"/>
        <w:jc w:val="center"/>
        <w:rPr>
          <w:b/>
          <w:bCs/>
        </w:rPr>
      </w:pPr>
      <w:r>
        <w:rPr>
          <w:b/>
          <w:bCs/>
        </w:rPr>
        <w:t>CROSS</w:t>
      </w:r>
      <w:r w:rsidR="00DA4220">
        <w:rPr>
          <w:b/>
          <w:bCs/>
        </w:rPr>
        <w:t>-</w:t>
      </w:r>
      <w:r>
        <w:rPr>
          <w:b/>
          <w:bCs/>
        </w:rPr>
        <w:t xml:space="preserve">ANSWERING </w:t>
      </w:r>
      <w:r w:rsidR="000F025A" w:rsidRPr="00192A46">
        <w:rPr>
          <w:b/>
          <w:bCs/>
        </w:rPr>
        <w:t xml:space="preserve">TESTIMONY </w:t>
      </w:r>
      <w:r w:rsidR="00BC26DC">
        <w:rPr>
          <w:b/>
          <w:bCs/>
        </w:rPr>
        <w:t xml:space="preserve">AND DIRECT TESTIMONY </w:t>
      </w:r>
      <w:r w:rsidR="000F025A" w:rsidRPr="00192A46">
        <w:rPr>
          <w:b/>
          <w:bCs/>
        </w:rPr>
        <w:t>OF</w:t>
      </w:r>
    </w:p>
    <w:p w14:paraId="3FEE4A9E" w14:textId="77777777" w:rsidR="000F025A" w:rsidRPr="00192A46" w:rsidRDefault="000F025A" w:rsidP="000F025A">
      <w:pPr>
        <w:tabs>
          <w:tab w:val="clear" w:pos="-1440"/>
        </w:tabs>
        <w:spacing w:line="240" w:lineRule="auto"/>
        <w:ind w:left="0" w:firstLine="0"/>
        <w:jc w:val="center"/>
        <w:rPr>
          <w:b/>
          <w:bCs/>
        </w:rPr>
      </w:pPr>
    </w:p>
    <w:p w14:paraId="3FEE4A9F" w14:textId="77777777" w:rsidR="000F025A" w:rsidRPr="00192A46" w:rsidRDefault="000F025A" w:rsidP="000F025A">
      <w:pPr>
        <w:tabs>
          <w:tab w:val="clear" w:pos="-1440"/>
          <w:tab w:val="center" w:pos="4680"/>
        </w:tabs>
        <w:spacing w:line="240" w:lineRule="auto"/>
        <w:ind w:left="0" w:firstLine="0"/>
        <w:jc w:val="center"/>
        <w:rPr>
          <w:b/>
          <w:bCs/>
        </w:rPr>
      </w:pPr>
      <w:r w:rsidRPr="00192A46">
        <w:rPr>
          <w:b/>
          <w:bCs/>
        </w:rPr>
        <w:t>Deborah J. Reynolds</w:t>
      </w:r>
    </w:p>
    <w:p w14:paraId="3FEE4AA0" w14:textId="77777777" w:rsidR="000F025A" w:rsidRPr="00192A46" w:rsidRDefault="000F025A" w:rsidP="000F025A">
      <w:pPr>
        <w:tabs>
          <w:tab w:val="clear" w:pos="-1440"/>
          <w:tab w:val="center" w:pos="4680"/>
        </w:tabs>
        <w:spacing w:line="240" w:lineRule="auto"/>
        <w:ind w:left="0" w:firstLine="0"/>
        <w:jc w:val="center"/>
        <w:rPr>
          <w:b/>
          <w:bCs/>
        </w:rPr>
      </w:pPr>
    </w:p>
    <w:p w14:paraId="3FEE4AA1" w14:textId="77777777" w:rsidR="000F025A" w:rsidRPr="00192A46" w:rsidRDefault="000F025A" w:rsidP="000F025A">
      <w:pPr>
        <w:tabs>
          <w:tab w:val="clear" w:pos="-1440"/>
          <w:tab w:val="center" w:pos="4680"/>
        </w:tabs>
        <w:spacing w:line="240" w:lineRule="auto"/>
        <w:ind w:left="0" w:firstLine="0"/>
        <w:jc w:val="center"/>
        <w:rPr>
          <w:b/>
          <w:bCs/>
        </w:rPr>
      </w:pPr>
      <w:r w:rsidRPr="00192A46">
        <w:rPr>
          <w:b/>
          <w:bCs/>
        </w:rPr>
        <w:t>STAFF OF</w:t>
      </w:r>
    </w:p>
    <w:p w14:paraId="3FEE4AA2" w14:textId="77777777" w:rsidR="000F025A" w:rsidRPr="00192A46" w:rsidRDefault="000F025A" w:rsidP="000F025A">
      <w:pPr>
        <w:tabs>
          <w:tab w:val="clear" w:pos="-1440"/>
          <w:tab w:val="center" w:pos="4680"/>
        </w:tabs>
        <w:spacing w:line="240" w:lineRule="auto"/>
        <w:ind w:left="0" w:firstLine="0"/>
        <w:jc w:val="center"/>
        <w:rPr>
          <w:b/>
          <w:bCs/>
        </w:rPr>
      </w:pPr>
      <w:r w:rsidRPr="00192A46">
        <w:rPr>
          <w:b/>
          <w:bCs/>
        </w:rPr>
        <w:t>WASHINGTON UTILITIES AND</w:t>
      </w:r>
    </w:p>
    <w:p w14:paraId="3FEE4AA3" w14:textId="77777777" w:rsidR="000F025A" w:rsidRPr="00192A46" w:rsidRDefault="000F025A" w:rsidP="000F025A">
      <w:pPr>
        <w:tabs>
          <w:tab w:val="clear" w:pos="-1440"/>
          <w:tab w:val="center" w:pos="4680"/>
        </w:tabs>
        <w:spacing w:line="240" w:lineRule="auto"/>
        <w:ind w:left="0" w:firstLine="0"/>
        <w:jc w:val="center"/>
        <w:rPr>
          <w:b/>
          <w:bCs/>
        </w:rPr>
      </w:pPr>
      <w:r w:rsidRPr="00192A46">
        <w:rPr>
          <w:b/>
          <w:bCs/>
        </w:rPr>
        <w:t>TRANSPORTATION COMMISSION</w:t>
      </w:r>
    </w:p>
    <w:p w14:paraId="3FEE4AA5" w14:textId="77777777" w:rsidR="000F025A" w:rsidRPr="00192A46" w:rsidRDefault="000F025A" w:rsidP="000F025A">
      <w:pPr>
        <w:tabs>
          <w:tab w:val="clear" w:pos="-1440"/>
        </w:tabs>
        <w:spacing w:line="240" w:lineRule="auto"/>
        <w:ind w:left="0" w:firstLine="0"/>
        <w:rPr>
          <w:b/>
          <w:bCs/>
        </w:rPr>
      </w:pPr>
    </w:p>
    <w:p w14:paraId="3FEE4AA6" w14:textId="77777777" w:rsidR="000F025A" w:rsidRDefault="00C664DB" w:rsidP="000F025A">
      <w:pPr>
        <w:tabs>
          <w:tab w:val="clear" w:pos="-1440"/>
        </w:tabs>
        <w:spacing w:line="240" w:lineRule="auto"/>
        <w:ind w:left="0" w:firstLine="0"/>
        <w:jc w:val="center"/>
        <w:rPr>
          <w:b/>
          <w:bCs/>
          <w:i/>
        </w:rPr>
      </w:pPr>
      <w:r w:rsidRPr="00192A46">
        <w:rPr>
          <w:b/>
          <w:bCs/>
          <w:i/>
        </w:rPr>
        <w:t>Re: T</w:t>
      </w:r>
      <w:r w:rsidR="00CC0444" w:rsidRPr="00192A46">
        <w:rPr>
          <w:b/>
          <w:bCs/>
          <w:i/>
        </w:rPr>
        <w:t>he Decoupling Proposal of the NW Energy Coalition</w:t>
      </w:r>
    </w:p>
    <w:p w14:paraId="2A4371CA" w14:textId="326F1943" w:rsidR="002245A4" w:rsidRPr="00192A46" w:rsidRDefault="002245A4" w:rsidP="000F025A">
      <w:pPr>
        <w:tabs>
          <w:tab w:val="clear" w:pos="-1440"/>
        </w:tabs>
        <w:spacing w:line="240" w:lineRule="auto"/>
        <w:ind w:left="0" w:firstLine="0"/>
        <w:jc w:val="center"/>
        <w:rPr>
          <w:b/>
          <w:bCs/>
          <w:i/>
        </w:rPr>
      </w:pPr>
      <w:r>
        <w:rPr>
          <w:b/>
          <w:bCs/>
          <w:i/>
        </w:rPr>
        <w:t xml:space="preserve">And </w:t>
      </w:r>
      <w:r w:rsidR="009D18C5">
        <w:rPr>
          <w:b/>
          <w:bCs/>
          <w:i/>
        </w:rPr>
        <w:t>Low-income</w:t>
      </w:r>
      <w:r>
        <w:rPr>
          <w:b/>
          <w:bCs/>
          <w:i/>
        </w:rPr>
        <w:t xml:space="preserve"> Rate Assistance Program Issues </w:t>
      </w:r>
    </w:p>
    <w:p w14:paraId="3FEE4AA7" w14:textId="77777777" w:rsidR="000F025A" w:rsidRPr="00192A46" w:rsidRDefault="000F025A" w:rsidP="000F025A">
      <w:pPr>
        <w:tabs>
          <w:tab w:val="clear" w:pos="-1440"/>
        </w:tabs>
        <w:spacing w:line="240" w:lineRule="auto"/>
        <w:ind w:left="0" w:firstLine="0"/>
        <w:rPr>
          <w:b/>
          <w:bCs/>
        </w:rPr>
      </w:pPr>
    </w:p>
    <w:p w14:paraId="3FEE4AA9" w14:textId="77777777" w:rsidR="000F025A" w:rsidRPr="00192A46" w:rsidRDefault="00F16D79" w:rsidP="000F025A">
      <w:pPr>
        <w:tabs>
          <w:tab w:val="clear" w:pos="-1440"/>
          <w:tab w:val="center" w:pos="4680"/>
        </w:tabs>
        <w:spacing w:line="240" w:lineRule="auto"/>
        <w:ind w:left="0" w:firstLine="0"/>
        <w:jc w:val="center"/>
        <w:rPr>
          <w:b/>
          <w:bCs/>
        </w:rPr>
      </w:pPr>
      <w:r w:rsidRPr="00192A46">
        <w:rPr>
          <w:b/>
          <w:bCs/>
        </w:rPr>
        <w:t>September 19</w:t>
      </w:r>
      <w:r w:rsidR="000F025A" w:rsidRPr="00192A46">
        <w:rPr>
          <w:b/>
          <w:bCs/>
        </w:rPr>
        <w:t>, 2012</w:t>
      </w:r>
    </w:p>
    <w:p w14:paraId="3FEE4AAB" w14:textId="77777777" w:rsidR="000F025A" w:rsidRPr="00192A46" w:rsidRDefault="000F025A" w:rsidP="000F025A">
      <w:pPr>
        <w:ind w:left="0" w:firstLine="0"/>
      </w:pPr>
    </w:p>
    <w:p w14:paraId="3FEE4AAC" w14:textId="77777777" w:rsidR="000F025A" w:rsidRPr="00192A46" w:rsidRDefault="000F025A" w:rsidP="000F025A">
      <w:pPr>
        <w:ind w:left="0" w:firstLine="0"/>
        <w:sectPr w:rsidR="000F025A" w:rsidRPr="00192A46" w:rsidSect="000F025A">
          <w:footerReference w:type="default" r:id="rId12"/>
          <w:pgSz w:w="12240" w:h="15840"/>
          <w:pgMar w:top="1440" w:right="1440" w:bottom="1440" w:left="1872" w:header="720" w:footer="720" w:gutter="0"/>
          <w:cols w:space="720"/>
          <w:docGrid w:linePitch="360"/>
        </w:sectPr>
      </w:pPr>
    </w:p>
    <w:p w14:paraId="3FEE4AAD" w14:textId="77777777" w:rsidR="000704BF" w:rsidRPr="005A08E6" w:rsidRDefault="000704BF" w:rsidP="00772853">
      <w:pPr>
        <w:pStyle w:val="TOC1"/>
      </w:pPr>
      <w:r w:rsidRPr="005A08E6">
        <w:lastRenderedPageBreak/>
        <w:t>TABLE OF CONTENTS</w:t>
      </w:r>
    </w:p>
    <w:p w14:paraId="3FEE4AAE" w14:textId="77777777" w:rsidR="000F025A" w:rsidRPr="00192A46" w:rsidRDefault="000F025A" w:rsidP="009F65FA">
      <w:pPr>
        <w:spacing w:line="240" w:lineRule="auto"/>
      </w:pPr>
    </w:p>
    <w:p w14:paraId="12868A5D" w14:textId="77777777" w:rsidR="009F65FA" w:rsidRDefault="009F65FA" w:rsidP="009F65FA">
      <w:pPr>
        <w:tabs>
          <w:tab w:val="left" w:pos="720"/>
          <w:tab w:val="left" w:pos="1440"/>
          <w:tab w:val="left" w:pos="2160"/>
          <w:tab w:val="left" w:pos="2250"/>
          <w:tab w:val="right" w:leader="dot" w:pos="9360"/>
        </w:tabs>
        <w:spacing w:line="240" w:lineRule="auto"/>
      </w:pPr>
      <w:r w:rsidRPr="00DC405B">
        <w:rPr>
          <w:bCs/>
        </w:rPr>
        <w:fldChar w:fldCharType="begin"/>
      </w:r>
      <w:r w:rsidRPr="00DC405B">
        <w:rPr>
          <w:bCs/>
        </w:rPr>
        <w:instrText xml:space="preserve"> TOC \o "1-2" \h \z \u </w:instrText>
      </w:r>
      <w:r w:rsidRPr="00DC405B">
        <w:rPr>
          <w:bCs/>
        </w:rPr>
        <w:fldChar w:fldCharType="separate"/>
      </w:r>
      <w:hyperlink w:anchor="_Toc335731516" w:history="1">
        <w:r w:rsidRPr="00DC405B">
          <w:rPr>
            <w:rStyle w:val="Hyperlink"/>
            <w:bCs/>
          </w:rPr>
          <w:t>I.</w:t>
        </w:r>
        <w:r w:rsidRPr="00DC405B">
          <w:rPr>
            <w:rStyle w:val="Hyperlink"/>
            <w:rFonts w:eastAsiaTheme="minorEastAsia"/>
            <w:bCs/>
          </w:rPr>
          <w:tab/>
        </w:r>
        <w:r w:rsidRPr="00DC405B">
          <w:rPr>
            <w:rStyle w:val="Hyperlink"/>
            <w:bCs/>
          </w:rPr>
          <w:t>INTRODUCTION</w:t>
        </w:r>
        <w:r>
          <w:rPr>
            <w:rStyle w:val="Hyperlink"/>
            <w:bCs/>
            <w:webHidden/>
          </w:rPr>
          <w:t xml:space="preserve"> </w:t>
        </w:r>
        <w:r>
          <w:rPr>
            <w:rStyle w:val="Hyperlink"/>
            <w:bCs/>
            <w:webHidden/>
          </w:rPr>
          <w:tab/>
        </w:r>
        <w:r w:rsidRPr="00DC405B">
          <w:rPr>
            <w:rStyle w:val="Hyperlink"/>
            <w:bCs/>
            <w:webHidden/>
          </w:rPr>
          <w:fldChar w:fldCharType="begin"/>
        </w:r>
        <w:r w:rsidRPr="00DC405B">
          <w:rPr>
            <w:rStyle w:val="Hyperlink"/>
            <w:bCs/>
            <w:webHidden/>
          </w:rPr>
          <w:instrText xml:space="preserve"> PAGEREF _Toc335731516 \h </w:instrText>
        </w:r>
        <w:r w:rsidRPr="00DC405B">
          <w:rPr>
            <w:rStyle w:val="Hyperlink"/>
            <w:bCs/>
            <w:webHidden/>
          </w:rPr>
        </w:r>
        <w:r w:rsidRPr="00DC405B">
          <w:rPr>
            <w:rStyle w:val="Hyperlink"/>
            <w:bCs/>
            <w:webHidden/>
          </w:rPr>
          <w:fldChar w:fldCharType="separate"/>
        </w:r>
        <w:r w:rsidR="00AF56AB">
          <w:rPr>
            <w:rStyle w:val="Hyperlink"/>
            <w:bCs/>
            <w:noProof/>
            <w:webHidden/>
          </w:rPr>
          <w:t>1</w:t>
        </w:r>
        <w:r w:rsidRPr="00DC405B">
          <w:rPr>
            <w:rStyle w:val="Hyperlink"/>
            <w:webHidden/>
          </w:rPr>
          <w:fldChar w:fldCharType="end"/>
        </w:r>
      </w:hyperlink>
    </w:p>
    <w:p w14:paraId="4E76CD0E" w14:textId="77777777" w:rsidR="009F65FA" w:rsidRPr="00DC405B" w:rsidRDefault="009F65FA" w:rsidP="009F65FA">
      <w:pPr>
        <w:tabs>
          <w:tab w:val="left" w:pos="720"/>
          <w:tab w:val="left" w:pos="1440"/>
          <w:tab w:val="left" w:pos="2160"/>
          <w:tab w:val="left" w:pos="2250"/>
          <w:tab w:val="right" w:leader="dot" w:pos="9360"/>
        </w:tabs>
        <w:spacing w:line="240" w:lineRule="auto"/>
        <w:ind w:left="0" w:firstLine="0"/>
        <w:rPr>
          <w:rFonts w:eastAsiaTheme="minorEastAsia"/>
          <w:bCs/>
        </w:rPr>
      </w:pPr>
    </w:p>
    <w:p w14:paraId="3EA55F90" w14:textId="77777777" w:rsidR="009F65FA" w:rsidRDefault="00E413CD" w:rsidP="009F65FA">
      <w:pPr>
        <w:tabs>
          <w:tab w:val="left" w:pos="720"/>
          <w:tab w:val="left" w:pos="1440"/>
          <w:tab w:val="left" w:pos="2160"/>
          <w:tab w:val="left" w:pos="2250"/>
          <w:tab w:val="left" w:pos="2880"/>
          <w:tab w:val="left" w:pos="3600"/>
          <w:tab w:val="right" w:leader="dot" w:pos="9360"/>
        </w:tabs>
        <w:spacing w:line="240" w:lineRule="auto"/>
      </w:pPr>
      <w:hyperlink w:anchor="_Toc335731517" w:history="1">
        <w:r w:rsidR="009F65FA" w:rsidRPr="00DC405B">
          <w:rPr>
            <w:rStyle w:val="Hyperlink"/>
            <w:bCs/>
          </w:rPr>
          <w:t>II.</w:t>
        </w:r>
        <w:r w:rsidR="009F65FA" w:rsidRPr="00DC405B">
          <w:rPr>
            <w:rStyle w:val="Hyperlink"/>
            <w:rFonts w:eastAsiaTheme="minorEastAsia"/>
            <w:bCs/>
          </w:rPr>
          <w:tab/>
        </w:r>
        <w:r w:rsidR="009F65FA" w:rsidRPr="00DC405B">
          <w:rPr>
            <w:rStyle w:val="Hyperlink"/>
            <w:bCs/>
          </w:rPr>
          <w:t>PURPOSE AND SUMMARY</w:t>
        </w:r>
        <w:r w:rsidR="009F65FA">
          <w:rPr>
            <w:rStyle w:val="Hyperlink"/>
            <w:bCs/>
          </w:rPr>
          <w:t xml:space="preserve"> </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_Toc335731517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1</w:t>
        </w:r>
        <w:r w:rsidR="009F65FA" w:rsidRPr="00DC405B">
          <w:rPr>
            <w:rStyle w:val="Hyperlink"/>
            <w:webHidden/>
          </w:rPr>
          <w:fldChar w:fldCharType="end"/>
        </w:r>
      </w:hyperlink>
    </w:p>
    <w:p w14:paraId="694FEA1B" w14:textId="77777777" w:rsidR="009F65FA" w:rsidRPr="00DC405B" w:rsidRDefault="009F65FA" w:rsidP="009F65FA">
      <w:pPr>
        <w:tabs>
          <w:tab w:val="left" w:pos="720"/>
          <w:tab w:val="left" w:pos="1440"/>
          <w:tab w:val="left" w:pos="2160"/>
          <w:tab w:val="left" w:pos="2250"/>
          <w:tab w:val="left" w:pos="2880"/>
          <w:tab w:val="left" w:pos="3600"/>
          <w:tab w:val="right" w:leader="dot" w:pos="9360"/>
        </w:tabs>
        <w:spacing w:line="240" w:lineRule="auto"/>
        <w:ind w:left="0" w:firstLine="0"/>
        <w:rPr>
          <w:rFonts w:eastAsiaTheme="minorEastAsia"/>
          <w:bCs/>
        </w:rPr>
      </w:pPr>
    </w:p>
    <w:p w14:paraId="39D502FF" w14:textId="77777777" w:rsidR="009F65FA" w:rsidRDefault="00E413CD" w:rsidP="009F65FA">
      <w:pPr>
        <w:tabs>
          <w:tab w:val="left" w:pos="720"/>
          <w:tab w:val="left" w:pos="1440"/>
          <w:tab w:val="left" w:pos="2160"/>
          <w:tab w:val="left" w:pos="2250"/>
          <w:tab w:val="left" w:pos="2880"/>
          <w:tab w:val="left" w:pos="3600"/>
          <w:tab w:val="right" w:leader="dot" w:pos="9360"/>
        </w:tabs>
        <w:spacing w:line="240" w:lineRule="auto"/>
      </w:pPr>
      <w:hyperlink w:anchor="_Toc335731518" w:history="1">
        <w:r w:rsidR="009F65FA" w:rsidRPr="00DC405B">
          <w:rPr>
            <w:rStyle w:val="Hyperlink"/>
            <w:bCs/>
          </w:rPr>
          <w:t>III.</w:t>
        </w:r>
        <w:r w:rsidR="009F65FA" w:rsidRPr="00DC405B">
          <w:rPr>
            <w:rStyle w:val="Hyperlink"/>
            <w:rFonts w:eastAsiaTheme="minorEastAsia"/>
            <w:bCs/>
          </w:rPr>
          <w:tab/>
        </w:r>
        <w:r w:rsidR="009F65FA" w:rsidRPr="00DC405B">
          <w:rPr>
            <w:rStyle w:val="Hyperlink"/>
            <w:bCs/>
          </w:rPr>
          <w:t>THE COMMISSION’S RECENT PSE RATE ORDER</w:t>
        </w:r>
        <w:r w:rsidR="009F65FA">
          <w:rPr>
            <w:rStyle w:val="Hyperlink"/>
            <w:bCs/>
          </w:rPr>
          <w:t xml:space="preserve"> </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_Toc335731518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4</w:t>
        </w:r>
        <w:r w:rsidR="009F65FA" w:rsidRPr="00DC405B">
          <w:rPr>
            <w:rStyle w:val="Hyperlink"/>
            <w:webHidden/>
          </w:rPr>
          <w:fldChar w:fldCharType="end"/>
        </w:r>
      </w:hyperlink>
    </w:p>
    <w:p w14:paraId="3BE0CDC6" w14:textId="77777777" w:rsidR="009F65FA" w:rsidRPr="00DC405B" w:rsidRDefault="009F65FA" w:rsidP="009F65FA">
      <w:pPr>
        <w:tabs>
          <w:tab w:val="left" w:pos="720"/>
          <w:tab w:val="left" w:pos="1440"/>
          <w:tab w:val="left" w:pos="2160"/>
          <w:tab w:val="left" w:pos="2250"/>
          <w:tab w:val="left" w:pos="2880"/>
          <w:tab w:val="left" w:pos="3600"/>
          <w:tab w:val="right" w:leader="dot" w:pos="9360"/>
        </w:tabs>
        <w:spacing w:line="240" w:lineRule="auto"/>
        <w:ind w:left="0" w:firstLine="0"/>
        <w:rPr>
          <w:rFonts w:eastAsiaTheme="minorEastAsia"/>
          <w:bCs/>
        </w:rPr>
      </w:pPr>
    </w:p>
    <w:p w14:paraId="3A42F64D" w14:textId="77777777" w:rsidR="009F65FA" w:rsidRDefault="00E413CD" w:rsidP="009F65FA">
      <w:pPr>
        <w:tabs>
          <w:tab w:val="left" w:pos="720"/>
          <w:tab w:val="left" w:pos="1440"/>
          <w:tab w:val="left" w:pos="2160"/>
          <w:tab w:val="left" w:pos="2250"/>
          <w:tab w:val="left" w:pos="2880"/>
          <w:tab w:val="left" w:pos="3600"/>
          <w:tab w:val="right" w:leader="dot" w:pos="9360"/>
        </w:tabs>
        <w:spacing w:line="240" w:lineRule="auto"/>
      </w:pPr>
      <w:hyperlink w:anchor="_Toc335731519" w:history="1">
        <w:r w:rsidR="009F65FA" w:rsidRPr="00DC405B">
          <w:rPr>
            <w:rStyle w:val="Hyperlink"/>
            <w:bCs/>
          </w:rPr>
          <w:t>IV.</w:t>
        </w:r>
        <w:r w:rsidR="009F65FA" w:rsidRPr="00DC405B">
          <w:rPr>
            <w:rStyle w:val="Hyperlink"/>
            <w:rFonts w:eastAsiaTheme="minorEastAsia"/>
            <w:bCs/>
          </w:rPr>
          <w:tab/>
        </w:r>
        <w:r w:rsidR="009F65FA" w:rsidRPr="00DC405B">
          <w:rPr>
            <w:rStyle w:val="Hyperlink"/>
            <w:bCs/>
          </w:rPr>
          <w:t>STAFF RESPONSES TO DECOUPLING TESTIMONY OF OTHER PARTIES</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_Toc335731519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6</w:t>
        </w:r>
        <w:r w:rsidR="009F65FA" w:rsidRPr="00DC405B">
          <w:rPr>
            <w:rStyle w:val="Hyperlink"/>
            <w:webHidden/>
          </w:rPr>
          <w:fldChar w:fldCharType="end"/>
        </w:r>
      </w:hyperlink>
    </w:p>
    <w:p w14:paraId="35EFCBDA" w14:textId="77777777" w:rsidR="009F65FA" w:rsidRPr="00DC405B" w:rsidRDefault="009F65FA" w:rsidP="009F65FA">
      <w:pPr>
        <w:tabs>
          <w:tab w:val="left" w:pos="720"/>
          <w:tab w:val="left" w:pos="1440"/>
          <w:tab w:val="left" w:pos="2250"/>
          <w:tab w:val="right" w:leader="dot" w:pos="9360"/>
        </w:tabs>
        <w:spacing w:line="240" w:lineRule="auto"/>
        <w:ind w:left="1440"/>
        <w:rPr>
          <w:rFonts w:eastAsiaTheme="minorEastAsia"/>
          <w:bCs/>
        </w:rPr>
      </w:pPr>
    </w:p>
    <w:p w14:paraId="4B6C48E8" w14:textId="77777777" w:rsidR="009F65FA" w:rsidRDefault="00E413CD" w:rsidP="009F65FA">
      <w:pPr>
        <w:tabs>
          <w:tab w:val="left" w:pos="720"/>
          <w:tab w:val="left" w:pos="1440"/>
          <w:tab w:val="left" w:pos="2160"/>
          <w:tab w:val="left" w:pos="2250"/>
          <w:tab w:val="left" w:pos="2880"/>
          <w:tab w:val="left" w:pos="3600"/>
          <w:tab w:val="right" w:leader="dot" w:pos="9360"/>
        </w:tabs>
        <w:spacing w:line="240" w:lineRule="auto"/>
        <w:ind w:left="1440"/>
      </w:pPr>
      <w:hyperlink w:anchor="_Toc335731520" w:history="1">
        <w:r w:rsidR="009F65FA" w:rsidRPr="00DC405B">
          <w:rPr>
            <w:rStyle w:val="Hyperlink"/>
            <w:bCs/>
          </w:rPr>
          <w:t>A.</w:t>
        </w:r>
        <w:r w:rsidR="009F65FA" w:rsidRPr="00DC405B">
          <w:rPr>
            <w:rStyle w:val="Hyperlink"/>
            <w:rFonts w:eastAsiaTheme="minorEastAsia"/>
          </w:rPr>
          <w:tab/>
        </w:r>
        <w:r w:rsidR="009F65FA" w:rsidRPr="00DC405B">
          <w:rPr>
            <w:rStyle w:val="Hyperlink"/>
            <w:bCs/>
          </w:rPr>
          <w:t>Staff Response on Customer Issues: Including All Customer Classes; Decoupling Per-Customer Versus Per-Class; and Excluding New Customers</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_Toc335731520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7</w:t>
        </w:r>
        <w:r w:rsidR="009F65FA" w:rsidRPr="00DC405B">
          <w:rPr>
            <w:rStyle w:val="Hyperlink"/>
            <w:webHidden/>
          </w:rPr>
          <w:fldChar w:fldCharType="end"/>
        </w:r>
      </w:hyperlink>
    </w:p>
    <w:p w14:paraId="1435B68A" w14:textId="77777777" w:rsidR="009F65FA" w:rsidRPr="00DC405B" w:rsidRDefault="009F65FA" w:rsidP="009F65FA">
      <w:pPr>
        <w:tabs>
          <w:tab w:val="left" w:pos="720"/>
          <w:tab w:val="left" w:pos="1440"/>
          <w:tab w:val="left" w:pos="2250"/>
          <w:tab w:val="right" w:leader="dot" w:pos="9360"/>
        </w:tabs>
        <w:spacing w:line="240" w:lineRule="auto"/>
        <w:ind w:left="1440"/>
        <w:rPr>
          <w:rFonts w:eastAsiaTheme="minorEastAsia"/>
        </w:rPr>
      </w:pPr>
    </w:p>
    <w:p w14:paraId="6BA87FD5" w14:textId="77777777" w:rsidR="009F65FA" w:rsidRDefault="00E413CD" w:rsidP="009F65FA">
      <w:pPr>
        <w:tabs>
          <w:tab w:val="left" w:pos="720"/>
          <w:tab w:val="left" w:pos="1440"/>
          <w:tab w:val="left" w:pos="2160"/>
          <w:tab w:val="left" w:pos="2250"/>
          <w:tab w:val="left" w:pos="2880"/>
          <w:tab w:val="left" w:pos="3600"/>
          <w:tab w:val="right" w:leader="dot" w:pos="9360"/>
        </w:tabs>
        <w:spacing w:line="240" w:lineRule="auto"/>
        <w:ind w:left="1440"/>
      </w:pPr>
      <w:hyperlink w:anchor="_Toc335731521" w:history="1">
        <w:r w:rsidR="009F65FA" w:rsidRPr="00DC405B">
          <w:rPr>
            <w:rStyle w:val="Hyperlink"/>
            <w:bCs/>
          </w:rPr>
          <w:t>B.</w:t>
        </w:r>
        <w:r w:rsidR="009F65FA" w:rsidRPr="00DC405B">
          <w:rPr>
            <w:rStyle w:val="Hyperlink"/>
            <w:rFonts w:eastAsiaTheme="minorEastAsia"/>
          </w:rPr>
          <w:tab/>
        </w:r>
        <w:r w:rsidR="009F65FA" w:rsidRPr="00DC405B">
          <w:rPr>
            <w:rStyle w:val="Hyperlink"/>
            <w:bCs/>
          </w:rPr>
          <w:t>The Impact of Decoupling on the Rate of Return</w:t>
        </w:r>
        <w:r w:rsidR="009F65FA">
          <w:rPr>
            <w:rStyle w:val="Hyperlink"/>
            <w:bCs/>
          </w:rPr>
          <w:t xml:space="preserve"> </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_Toc335731521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11</w:t>
        </w:r>
        <w:r w:rsidR="009F65FA" w:rsidRPr="00DC405B">
          <w:rPr>
            <w:rStyle w:val="Hyperlink"/>
            <w:webHidden/>
          </w:rPr>
          <w:fldChar w:fldCharType="end"/>
        </w:r>
      </w:hyperlink>
    </w:p>
    <w:p w14:paraId="3A3CF4F5" w14:textId="77777777" w:rsidR="009F65FA" w:rsidRPr="00DC405B" w:rsidRDefault="009F65FA" w:rsidP="009F65FA">
      <w:pPr>
        <w:tabs>
          <w:tab w:val="left" w:pos="720"/>
          <w:tab w:val="left" w:pos="1440"/>
          <w:tab w:val="left" w:pos="2250"/>
          <w:tab w:val="right" w:leader="dot" w:pos="9360"/>
        </w:tabs>
        <w:spacing w:line="240" w:lineRule="auto"/>
        <w:ind w:left="1440"/>
        <w:rPr>
          <w:rFonts w:eastAsiaTheme="minorEastAsia"/>
        </w:rPr>
      </w:pPr>
    </w:p>
    <w:p w14:paraId="4F8E281B" w14:textId="77777777" w:rsidR="009F65FA" w:rsidRDefault="00E413CD" w:rsidP="009F65FA">
      <w:pPr>
        <w:tabs>
          <w:tab w:val="left" w:pos="720"/>
          <w:tab w:val="left" w:pos="1440"/>
          <w:tab w:val="left" w:pos="2160"/>
          <w:tab w:val="left" w:pos="2250"/>
          <w:tab w:val="left" w:pos="2880"/>
          <w:tab w:val="left" w:pos="3600"/>
          <w:tab w:val="right" w:leader="dot" w:pos="9360"/>
        </w:tabs>
        <w:spacing w:line="240" w:lineRule="auto"/>
        <w:ind w:left="1440"/>
      </w:pPr>
      <w:hyperlink w:anchor="_Toc335731522" w:history="1">
        <w:r w:rsidR="009F65FA" w:rsidRPr="00DC405B">
          <w:rPr>
            <w:rStyle w:val="Hyperlink"/>
            <w:bCs/>
          </w:rPr>
          <w:t>C.</w:t>
        </w:r>
        <w:r w:rsidR="009F65FA" w:rsidRPr="00DC405B">
          <w:rPr>
            <w:rStyle w:val="Hyperlink"/>
            <w:rFonts w:eastAsiaTheme="minorEastAsia"/>
          </w:rPr>
          <w:tab/>
        </w:r>
        <w:r w:rsidR="009F65FA" w:rsidRPr="00DC405B">
          <w:rPr>
            <w:rStyle w:val="Hyperlink"/>
            <w:bCs/>
          </w:rPr>
          <w:t>Conditioning Recovery of Deferred Amounts on Conservation Achievement</w:t>
        </w:r>
        <w:r w:rsidR="009F65FA">
          <w:rPr>
            <w:rStyle w:val="Hyperlink"/>
            <w:bCs/>
          </w:rPr>
          <w:t xml:space="preserve"> </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_Toc335731522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14</w:t>
        </w:r>
        <w:r w:rsidR="009F65FA" w:rsidRPr="00DC405B">
          <w:rPr>
            <w:rStyle w:val="Hyperlink"/>
            <w:webHidden/>
          </w:rPr>
          <w:fldChar w:fldCharType="end"/>
        </w:r>
      </w:hyperlink>
    </w:p>
    <w:p w14:paraId="1BA56A21" w14:textId="77777777" w:rsidR="009F65FA" w:rsidRPr="00DC405B" w:rsidRDefault="009F65FA" w:rsidP="009F65FA">
      <w:pPr>
        <w:tabs>
          <w:tab w:val="left" w:pos="720"/>
          <w:tab w:val="left" w:pos="1440"/>
          <w:tab w:val="left" w:pos="2250"/>
          <w:tab w:val="right" w:leader="dot" w:pos="9360"/>
        </w:tabs>
        <w:spacing w:line="240" w:lineRule="auto"/>
        <w:ind w:left="1440"/>
        <w:rPr>
          <w:rFonts w:eastAsiaTheme="minorEastAsia"/>
        </w:rPr>
      </w:pPr>
    </w:p>
    <w:p w14:paraId="33E5310E" w14:textId="77777777" w:rsidR="009F65FA" w:rsidRDefault="00E413CD" w:rsidP="009F65FA">
      <w:pPr>
        <w:tabs>
          <w:tab w:val="left" w:pos="720"/>
          <w:tab w:val="left" w:pos="1440"/>
          <w:tab w:val="left" w:pos="2250"/>
          <w:tab w:val="right" w:leader="dot" w:pos="9360"/>
        </w:tabs>
        <w:spacing w:line="240" w:lineRule="auto"/>
        <w:ind w:left="1440"/>
      </w:pPr>
      <w:hyperlink w:anchor="_Toc335731523" w:history="1">
        <w:r w:rsidR="009F65FA" w:rsidRPr="00DC405B">
          <w:rPr>
            <w:rStyle w:val="Hyperlink"/>
            <w:bCs/>
          </w:rPr>
          <w:t>D.</w:t>
        </w:r>
        <w:r w:rsidR="009F65FA" w:rsidRPr="00DC405B">
          <w:rPr>
            <w:rStyle w:val="Hyperlink"/>
            <w:rFonts w:eastAsiaTheme="minorEastAsia"/>
          </w:rPr>
          <w:tab/>
        </w:r>
        <w:r w:rsidR="009F65FA" w:rsidRPr="00DC405B">
          <w:rPr>
            <w:rStyle w:val="Hyperlink"/>
            <w:bCs/>
          </w:rPr>
          <w:t>Providing Comparable Conservation Benefits to Low-Income Customers</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_Toc335731523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16</w:t>
        </w:r>
        <w:r w:rsidR="009F65FA" w:rsidRPr="00DC405B">
          <w:rPr>
            <w:rStyle w:val="Hyperlink"/>
            <w:webHidden/>
          </w:rPr>
          <w:fldChar w:fldCharType="end"/>
        </w:r>
      </w:hyperlink>
    </w:p>
    <w:p w14:paraId="7A97C158" w14:textId="77777777" w:rsidR="009F65FA" w:rsidRPr="00DC405B" w:rsidRDefault="009F65FA" w:rsidP="009F65FA">
      <w:pPr>
        <w:tabs>
          <w:tab w:val="left" w:pos="720"/>
          <w:tab w:val="left" w:pos="1440"/>
          <w:tab w:val="left" w:pos="2250"/>
          <w:tab w:val="right" w:leader="dot" w:pos="9360"/>
        </w:tabs>
        <w:spacing w:line="240" w:lineRule="auto"/>
        <w:ind w:left="1440"/>
        <w:rPr>
          <w:rFonts w:eastAsiaTheme="minorEastAsia"/>
        </w:rPr>
      </w:pPr>
    </w:p>
    <w:p w14:paraId="2AE15650" w14:textId="77777777" w:rsidR="009F65FA" w:rsidRDefault="00E413CD" w:rsidP="009F65FA">
      <w:pPr>
        <w:tabs>
          <w:tab w:val="left" w:pos="720"/>
          <w:tab w:val="left" w:pos="1440"/>
          <w:tab w:val="left" w:pos="2250"/>
          <w:tab w:val="right" w:leader="dot" w:pos="9360"/>
        </w:tabs>
        <w:spacing w:line="240" w:lineRule="auto"/>
        <w:ind w:left="1440"/>
      </w:pPr>
      <w:hyperlink w:anchor="_Toc335731524" w:history="1">
        <w:r w:rsidR="009F65FA" w:rsidRPr="00DC405B">
          <w:rPr>
            <w:rStyle w:val="Hyperlink"/>
            <w:bCs/>
          </w:rPr>
          <w:t>E.</w:t>
        </w:r>
        <w:r w:rsidR="009F65FA" w:rsidRPr="00DC405B">
          <w:rPr>
            <w:rStyle w:val="Hyperlink"/>
            <w:rFonts w:eastAsiaTheme="minorEastAsia"/>
          </w:rPr>
          <w:tab/>
        </w:r>
        <w:r w:rsidR="009F65FA" w:rsidRPr="00DC405B">
          <w:rPr>
            <w:rStyle w:val="Hyperlink"/>
            <w:bCs/>
          </w:rPr>
          <w:t>Describing Incremental Conservation</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_Toc335731524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17</w:t>
        </w:r>
        <w:r w:rsidR="009F65FA" w:rsidRPr="00DC405B">
          <w:rPr>
            <w:rStyle w:val="Hyperlink"/>
            <w:webHidden/>
          </w:rPr>
          <w:fldChar w:fldCharType="end"/>
        </w:r>
      </w:hyperlink>
    </w:p>
    <w:p w14:paraId="21B912F5" w14:textId="77777777" w:rsidR="009F65FA" w:rsidRPr="00DC405B" w:rsidRDefault="009F65FA" w:rsidP="009F65FA">
      <w:pPr>
        <w:tabs>
          <w:tab w:val="left" w:pos="720"/>
          <w:tab w:val="left" w:pos="1440"/>
          <w:tab w:val="left" w:pos="2250"/>
          <w:tab w:val="right" w:leader="dot" w:pos="9360"/>
        </w:tabs>
        <w:spacing w:line="240" w:lineRule="auto"/>
        <w:ind w:left="1440"/>
        <w:rPr>
          <w:rFonts w:eastAsiaTheme="minorEastAsia"/>
        </w:rPr>
      </w:pPr>
    </w:p>
    <w:p w14:paraId="5418F6F4" w14:textId="77777777" w:rsidR="009F65FA" w:rsidRDefault="00E413CD" w:rsidP="009F65FA">
      <w:pPr>
        <w:tabs>
          <w:tab w:val="left" w:pos="720"/>
          <w:tab w:val="left" w:pos="1440"/>
          <w:tab w:val="left" w:pos="2250"/>
          <w:tab w:val="right" w:leader="dot" w:pos="9360"/>
        </w:tabs>
        <w:spacing w:line="240" w:lineRule="auto"/>
        <w:ind w:left="1440"/>
      </w:pPr>
      <w:hyperlink w:anchor="_Toc335731525" w:history="1">
        <w:r w:rsidR="009F65FA" w:rsidRPr="00DC405B">
          <w:rPr>
            <w:rStyle w:val="Hyperlink"/>
            <w:bCs/>
          </w:rPr>
          <w:t>F.</w:t>
        </w:r>
        <w:r w:rsidR="009F65FA" w:rsidRPr="00DC405B">
          <w:rPr>
            <w:rStyle w:val="Hyperlink"/>
            <w:rFonts w:eastAsiaTheme="minorEastAsia"/>
          </w:rPr>
          <w:tab/>
        </w:r>
        <w:r w:rsidR="009F65FA" w:rsidRPr="00DC405B">
          <w:rPr>
            <w:rStyle w:val="Hyperlink"/>
            <w:bCs/>
          </w:rPr>
          <w:t>Accounting for the Net Benefits of Off-System Sales or Costs Avoided Due to the Utility’s Conservation Efforts Under Decoupling</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_Toc335731525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21</w:t>
        </w:r>
        <w:r w:rsidR="009F65FA" w:rsidRPr="00DC405B">
          <w:rPr>
            <w:rStyle w:val="Hyperlink"/>
            <w:webHidden/>
          </w:rPr>
          <w:fldChar w:fldCharType="end"/>
        </w:r>
      </w:hyperlink>
    </w:p>
    <w:p w14:paraId="5CC6C016" w14:textId="77777777" w:rsidR="009F65FA" w:rsidRPr="00DC405B" w:rsidRDefault="009F65FA" w:rsidP="009F65FA">
      <w:pPr>
        <w:tabs>
          <w:tab w:val="left" w:pos="720"/>
          <w:tab w:val="left" w:pos="1440"/>
          <w:tab w:val="left" w:pos="2250"/>
          <w:tab w:val="right" w:leader="dot" w:pos="9360"/>
        </w:tabs>
        <w:spacing w:line="240" w:lineRule="auto"/>
        <w:ind w:left="0" w:firstLine="0"/>
        <w:rPr>
          <w:rFonts w:eastAsiaTheme="minorEastAsia"/>
        </w:rPr>
      </w:pPr>
    </w:p>
    <w:p w14:paraId="4FC3F6D7" w14:textId="77777777" w:rsidR="009F65FA" w:rsidRDefault="00E413CD" w:rsidP="009F65FA">
      <w:pPr>
        <w:tabs>
          <w:tab w:val="left" w:pos="720"/>
          <w:tab w:val="left" w:pos="1440"/>
          <w:tab w:val="left" w:pos="2250"/>
          <w:tab w:val="right" w:leader="dot" w:pos="9360"/>
        </w:tabs>
        <w:spacing w:line="240" w:lineRule="auto"/>
      </w:pPr>
      <w:hyperlink w:anchor="_Toc335731526" w:history="1">
        <w:r w:rsidR="009F65FA" w:rsidRPr="00DC405B">
          <w:rPr>
            <w:rStyle w:val="Hyperlink"/>
            <w:bCs/>
          </w:rPr>
          <w:t>V.</w:t>
        </w:r>
        <w:r w:rsidR="009F65FA" w:rsidRPr="00DC405B">
          <w:rPr>
            <w:rStyle w:val="Hyperlink"/>
            <w:rFonts w:eastAsiaTheme="minorEastAsia"/>
            <w:bCs/>
          </w:rPr>
          <w:tab/>
        </w:r>
        <w:r w:rsidR="009F65FA" w:rsidRPr="00DC405B">
          <w:rPr>
            <w:rStyle w:val="Hyperlink"/>
            <w:bCs/>
          </w:rPr>
          <w:t>OTHER ISSUES</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_Toc335731526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24</w:t>
        </w:r>
        <w:r w:rsidR="009F65FA" w:rsidRPr="00DC405B">
          <w:rPr>
            <w:rStyle w:val="Hyperlink"/>
            <w:webHidden/>
          </w:rPr>
          <w:fldChar w:fldCharType="end"/>
        </w:r>
      </w:hyperlink>
    </w:p>
    <w:p w14:paraId="2BE170B2" w14:textId="77777777" w:rsidR="009F65FA" w:rsidRPr="00DC405B" w:rsidRDefault="009F65FA" w:rsidP="009F65FA">
      <w:pPr>
        <w:tabs>
          <w:tab w:val="left" w:pos="720"/>
          <w:tab w:val="left" w:pos="1440"/>
          <w:tab w:val="left" w:pos="2250"/>
          <w:tab w:val="right" w:leader="dot" w:pos="9360"/>
        </w:tabs>
        <w:spacing w:line="240" w:lineRule="auto"/>
        <w:ind w:left="0" w:firstLine="0"/>
        <w:rPr>
          <w:rFonts w:eastAsiaTheme="minorEastAsia"/>
          <w:bCs/>
        </w:rPr>
      </w:pPr>
    </w:p>
    <w:p w14:paraId="02AD274C" w14:textId="77777777" w:rsidR="009F65FA" w:rsidRDefault="00E413CD" w:rsidP="009F65FA">
      <w:pPr>
        <w:tabs>
          <w:tab w:val="left" w:pos="720"/>
          <w:tab w:val="left" w:pos="1440"/>
          <w:tab w:val="left" w:pos="2250"/>
          <w:tab w:val="right" w:leader="dot" w:pos="9360"/>
        </w:tabs>
        <w:spacing w:line="240" w:lineRule="auto"/>
      </w:pPr>
      <w:hyperlink w:anchor="_Toc335731527" w:history="1">
        <w:r w:rsidR="009F65FA" w:rsidRPr="00DC405B">
          <w:rPr>
            <w:rStyle w:val="Hyperlink"/>
            <w:bCs/>
          </w:rPr>
          <w:t>VI.</w:t>
        </w:r>
        <w:r w:rsidR="009F65FA" w:rsidRPr="00DC405B">
          <w:rPr>
            <w:rStyle w:val="Hyperlink"/>
            <w:rFonts w:eastAsiaTheme="minorEastAsia"/>
            <w:bCs/>
          </w:rPr>
          <w:tab/>
        </w:r>
        <w:r w:rsidR="009F65FA" w:rsidRPr="00DC405B">
          <w:rPr>
            <w:rStyle w:val="Hyperlink"/>
            <w:bCs/>
          </w:rPr>
          <w:t>CONCLUSION ON DECOUPLING PROPOSAL</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_Toc335731527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26</w:t>
        </w:r>
        <w:r w:rsidR="009F65FA" w:rsidRPr="00DC405B">
          <w:rPr>
            <w:rStyle w:val="Hyperlink"/>
            <w:webHidden/>
          </w:rPr>
          <w:fldChar w:fldCharType="end"/>
        </w:r>
      </w:hyperlink>
    </w:p>
    <w:p w14:paraId="47C93ECA" w14:textId="77777777" w:rsidR="009F65FA" w:rsidRPr="00DC405B" w:rsidRDefault="009F65FA" w:rsidP="009F65FA">
      <w:pPr>
        <w:tabs>
          <w:tab w:val="left" w:pos="720"/>
          <w:tab w:val="left" w:pos="1440"/>
          <w:tab w:val="left" w:pos="2250"/>
          <w:tab w:val="right" w:leader="dot" w:pos="9360"/>
        </w:tabs>
        <w:spacing w:line="240" w:lineRule="auto"/>
        <w:ind w:left="0" w:firstLine="0"/>
        <w:rPr>
          <w:rFonts w:eastAsiaTheme="minorEastAsia"/>
          <w:bCs/>
        </w:rPr>
      </w:pPr>
    </w:p>
    <w:p w14:paraId="0E7A9D5C" w14:textId="77777777" w:rsidR="009F65FA" w:rsidRDefault="00E413CD" w:rsidP="009F65FA">
      <w:pPr>
        <w:tabs>
          <w:tab w:val="left" w:pos="720"/>
          <w:tab w:val="left" w:pos="1440"/>
          <w:tab w:val="left" w:pos="2250"/>
          <w:tab w:val="right" w:leader="dot" w:pos="9360"/>
        </w:tabs>
        <w:spacing w:line="240" w:lineRule="auto"/>
      </w:pPr>
      <w:hyperlink w:anchor="_Toc335731528" w:history="1">
        <w:r w:rsidR="009F65FA" w:rsidRPr="00DC405B">
          <w:rPr>
            <w:rStyle w:val="Hyperlink"/>
            <w:bCs/>
          </w:rPr>
          <w:t>VII.</w:t>
        </w:r>
        <w:r w:rsidR="009F65FA" w:rsidRPr="00DC405B">
          <w:rPr>
            <w:rStyle w:val="Hyperlink"/>
            <w:rFonts w:eastAsiaTheme="minorEastAsia"/>
            <w:bCs/>
          </w:rPr>
          <w:tab/>
        </w:r>
        <w:r w:rsidR="009F65FA" w:rsidRPr="00DC405B">
          <w:rPr>
            <w:rStyle w:val="Hyperlink"/>
            <w:bCs/>
          </w:rPr>
          <w:t>LOW-INCOME RATE ASSISTANCE PROGRAM ISSUES</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_Toc335731528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27</w:t>
        </w:r>
        <w:r w:rsidR="009F65FA" w:rsidRPr="00DC405B">
          <w:rPr>
            <w:rStyle w:val="Hyperlink"/>
            <w:webHidden/>
          </w:rPr>
          <w:fldChar w:fldCharType="end"/>
        </w:r>
      </w:hyperlink>
    </w:p>
    <w:p w14:paraId="10F391F7" w14:textId="77777777" w:rsidR="009F65FA" w:rsidRPr="00DC405B" w:rsidRDefault="009F65FA" w:rsidP="009F65FA">
      <w:pPr>
        <w:tabs>
          <w:tab w:val="left" w:pos="720"/>
          <w:tab w:val="left" w:pos="1440"/>
          <w:tab w:val="left" w:pos="2250"/>
          <w:tab w:val="right" w:leader="dot" w:pos="9360"/>
        </w:tabs>
        <w:spacing w:line="240" w:lineRule="auto"/>
        <w:ind w:firstLine="0"/>
        <w:rPr>
          <w:rFonts w:eastAsiaTheme="minorEastAsia"/>
          <w:bCs/>
        </w:rPr>
      </w:pPr>
    </w:p>
    <w:p w14:paraId="6B336567" w14:textId="77777777" w:rsidR="009F65FA" w:rsidRDefault="00E413CD" w:rsidP="009F65FA">
      <w:pPr>
        <w:tabs>
          <w:tab w:val="left" w:pos="720"/>
          <w:tab w:val="left" w:pos="1440"/>
          <w:tab w:val="left" w:pos="2160"/>
          <w:tab w:val="right" w:leader="dot" w:pos="9360"/>
        </w:tabs>
        <w:spacing w:line="240" w:lineRule="auto"/>
        <w:ind w:firstLine="0"/>
      </w:pPr>
      <w:hyperlink w:anchor="_Toc335731529" w:history="1">
        <w:r w:rsidR="009F65FA" w:rsidRPr="00DC405B">
          <w:rPr>
            <w:rStyle w:val="Hyperlink"/>
            <w:bCs/>
          </w:rPr>
          <w:t xml:space="preserve">A. </w:t>
        </w:r>
        <w:r w:rsidR="009F65FA" w:rsidRPr="00DC405B">
          <w:rPr>
            <w:rStyle w:val="Hyperlink"/>
            <w:rFonts w:eastAsiaTheme="minorEastAsia"/>
            <w:bCs/>
          </w:rPr>
          <w:tab/>
        </w:r>
        <w:r w:rsidR="009F65FA" w:rsidRPr="00DC405B">
          <w:rPr>
            <w:rStyle w:val="Hyperlink"/>
            <w:bCs/>
          </w:rPr>
          <w:t>Introduction</w:t>
        </w:r>
        <w:r w:rsidR="009F65FA">
          <w:rPr>
            <w:rStyle w:val="Hyperlink"/>
            <w:bCs/>
          </w:rPr>
          <w:t xml:space="preserve"> </w:t>
        </w:r>
        <w:r w:rsidR="009F65FA">
          <w:rPr>
            <w:rStyle w:val="Hyperlink"/>
            <w:bCs/>
          </w:rPr>
          <w:tab/>
        </w:r>
        <w:r w:rsidR="009F65FA" w:rsidRPr="00DC405B">
          <w:rPr>
            <w:rStyle w:val="Hyperlink"/>
            <w:bCs/>
            <w:webHidden/>
          </w:rPr>
          <w:fldChar w:fldCharType="begin"/>
        </w:r>
        <w:r w:rsidR="009F65FA" w:rsidRPr="00DC405B">
          <w:rPr>
            <w:rStyle w:val="Hyperlink"/>
            <w:bCs/>
            <w:webHidden/>
          </w:rPr>
          <w:instrText xml:space="preserve"> PAGEREF _Toc335731529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27</w:t>
        </w:r>
        <w:r w:rsidR="009F65FA" w:rsidRPr="00DC405B">
          <w:rPr>
            <w:rStyle w:val="Hyperlink"/>
            <w:webHidden/>
          </w:rPr>
          <w:fldChar w:fldCharType="end"/>
        </w:r>
      </w:hyperlink>
    </w:p>
    <w:p w14:paraId="2DC614DC" w14:textId="77777777" w:rsidR="009F65FA" w:rsidRPr="00DC405B" w:rsidRDefault="009F65FA" w:rsidP="009F65FA">
      <w:pPr>
        <w:tabs>
          <w:tab w:val="left" w:pos="720"/>
          <w:tab w:val="left" w:pos="1440"/>
          <w:tab w:val="left" w:pos="2250"/>
          <w:tab w:val="right" w:leader="dot" w:pos="9360"/>
        </w:tabs>
        <w:spacing w:line="240" w:lineRule="auto"/>
        <w:ind w:firstLine="0"/>
        <w:rPr>
          <w:rFonts w:eastAsiaTheme="minorEastAsia"/>
          <w:bCs/>
        </w:rPr>
      </w:pPr>
    </w:p>
    <w:p w14:paraId="231AF9BD" w14:textId="77777777" w:rsidR="009F65FA" w:rsidRDefault="00E413CD" w:rsidP="009F65FA">
      <w:pPr>
        <w:tabs>
          <w:tab w:val="left" w:pos="720"/>
          <w:tab w:val="left" w:pos="1440"/>
          <w:tab w:val="left" w:pos="2250"/>
          <w:tab w:val="right" w:leader="dot" w:pos="9360"/>
        </w:tabs>
        <w:spacing w:line="240" w:lineRule="auto"/>
        <w:ind w:firstLine="0"/>
      </w:pPr>
      <w:hyperlink w:anchor="_Toc335731530" w:history="1">
        <w:r w:rsidR="009F65FA" w:rsidRPr="00DC405B">
          <w:rPr>
            <w:rStyle w:val="Hyperlink"/>
            <w:bCs/>
          </w:rPr>
          <w:t>B.</w:t>
        </w:r>
        <w:r w:rsidR="009F65FA" w:rsidRPr="00DC405B">
          <w:rPr>
            <w:rStyle w:val="Hyperlink"/>
            <w:rFonts w:eastAsiaTheme="minorEastAsia"/>
          </w:rPr>
          <w:tab/>
        </w:r>
        <w:r w:rsidR="009F65FA" w:rsidRPr="00DC405B">
          <w:rPr>
            <w:rStyle w:val="Hyperlink"/>
            <w:bCs/>
          </w:rPr>
          <w:t>Description of LIRAP; Number of Customers Served; Nature of Grants</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_Toc335731530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28</w:t>
        </w:r>
        <w:r w:rsidR="009F65FA" w:rsidRPr="00DC405B">
          <w:rPr>
            <w:rStyle w:val="Hyperlink"/>
            <w:webHidden/>
          </w:rPr>
          <w:fldChar w:fldCharType="end"/>
        </w:r>
      </w:hyperlink>
    </w:p>
    <w:p w14:paraId="5CEB9BE1" w14:textId="77777777" w:rsidR="009F65FA" w:rsidRPr="00DC405B" w:rsidRDefault="009F65FA" w:rsidP="009F65FA">
      <w:pPr>
        <w:tabs>
          <w:tab w:val="left" w:pos="720"/>
          <w:tab w:val="left" w:pos="1440"/>
          <w:tab w:val="left" w:pos="2250"/>
          <w:tab w:val="right" w:leader="dot" w:pos="9360"/>
        </w:tabs>
        <w:spacing w:line="240" w:lineRule="auto"/>
        <w:ind w:firstLine="0"/>
        <w:rPr>
          <w:rFonts w:eastAsiaTheme="minorEastAsia"/>
        </w:rPr>
      </w:pPr>
    </w:p>
    <w:p w14:paraId="55C7E6DF" w14:textId="77777777" w:rsidR="009F65FA" w:rsidRDefault="00E413CD" w:rsidP="009F65FA">
      <w:pPr>
        <w:tabs>
          <w:tab w:val="left" w:pos="720"/>
          <w:tab w:val="left" w:pos="1440"/>
          <w:tab w:val="left" w:pos="2250"/>
          <w:tab w:val="right" w:leader="dot" w:pos="9360"/>
        </w:tabs>
        <w:spacing w:line="240" w:lineRule="auto"/>
        <w:ind w:firstLine="0"/>
      </w:pPr>
      <w:hyperlink w:anchor="_Toc335731531" w:history="1">
        <w:r w:rsidR="009F65FA" w:rsidRPr="00DC405B">
          <w:rPr>
            <w:rStyle w:val="Hyperlink"/>
            <w:bCs/>
          </w:rPr>
          <w:t>C.</w:t>
        </w:r>
        <w:r w:rsidR="009F65FA" w:rsidRPr="00DC405B">
          <w:rPr>
            <w:rStyle w:val="Hyperlink"/>
            <w:rFonts w:eastAsiaTheme="minorEastAsia"/>
          </w:rPr>
          <w:tab/>
        </w:r>
        <w:r w:rsidR="009F65FA" w:rsidRPr="00DC405B">
          <w:rPr>
            <w:rStyle w:val="Hyperlink"/>
            <w:bCs/>
          </w:rPr>
          <w:t>The Commission’s Low-income Statute</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_Toc335731531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31</w:t>
        </w:r>
        <w:r w:rsidR="009F65FA" w:rsidRPr="00DC405B">
          <w:rPr>
            <w:rStyle w:val="Hyperlink"/>
            <w:webHidden/>
          </w:rPr>
          <w:fldChar w:fldCharType="end"/>
        </w:r>
      </w:hyperlink>
    </w:p>
    <w:p w14:paraId="70F0D492" w14:textId="77777777" w:rsidR="009F65FA" w:rsidRPr="00DC405B" w:rsidRDefault="009F65FA" w:rsidP="009F65FA">
      <w:pPr>
        <w:tabs>
          <w:tab w:val="left" w:pos="720"/>
          <w:tab w:val="left" w:pos="1440"/>
          <w:tab w:val="left" w:pos="2250"/>
          <w:tab w:val="right" w:leader="dot" w:pos="9360"/>
        </w:tabs>
        <w:spacing w:line="240" w:lineRule="auto"/>
        <w:ind w:firstLine="0"/>
        <w:rPr>
          <w:rFonts w:eastAsiaTheme="minorEastAsia"/>
        </w:rPr>
      </w:pPr>
    </w:p>
    <w:p w14:paraId="6217E3E4" w14:textId="77777777" w:rsidR="009F65FA" w:rsidRDefault="00E413CD" w:rsidP="009F65FA">
      <w:pPr>
        <w:tabs>
          <w:tab w:val="left" w:pos="720"/>
          <w:tab w:val="left" w:pos="1440"/>
          <w:tab w:val="left" w:pos="2250"/>
          <w:tab w:val="right" w:leader="dot" w:pos="9360"/>
        </w:tabs>
        <w:spacing w:line="240" w:lineRule="auto"/>
        <w:ind w:firstLine="0"/>
      </w:pPr>
      <w:hyperlink w:anchor="_Toc335731532" w:history="1">
        <w:r w:rsidR="009F65FA" w:rsidRPr="00DC405B">
          <w:rPr>
            <w:rStyle w:val="Hyperlink"/>
            <w:bCs/>
          </w:rPr>
          <w:t>D.</w:t>
        </w:r>
        <w:r w:rsidR="009F65FA" w:rsidRPr="00DC405B">
          <w:rPr>
            <w:rStyle w:val="Hyperlink"/>
            <w:rFonts w:eastAsiaTheme="minorEastAsia"/>
          </w:rPr>
          <w:tab/>
        </w:r>
        <w:r w:rsidR="009F65FA" w:rsidRPr="00DC405B">
          <w:rPr>
            <w:rStyle w:val="Hyperlink"/>
            <w:bCs/>
          </w:rPr>
          <w:t>Advantages of a Discount Rate Program</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_Toc335731532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32</w:t>
        </w:r>
        <w:r w:rsidR="009F65FA" w:rsidRPr="00DC405B">
          <w:rPr>
            <w:rStyle w:val="Hyperlink"/>
            <w:webHidden/>
          </w:rPr>
          <w:fldChar w:fldCharType="end"/>
        </w:r>
      </w:hyperlink>
    </w:p>
    <w:p w14:paraId="498E8F99" w14:textId="77777777" w:rsidR="009F65FA" w:rsidRPr="00DC405B" w:rsidRDefault="009F65FA" w:rsidP="009F65FA">
      <w:pPr>
        <w:tabs>
          <w:tab w:val="left" w:pos="720"/>
          <w:tab w:val="left" w:pos="1440"/>
          <w:tab w:val="left" w:pos="2250"/>
          <w:tab w:val="right" w:leader="dot" w:pos="9360"/>
        </w:tabs>
        <w:spacing w:line="240" w:lineRule="auto"/>
        <w:ind w:firstLine="0"/>
        <w:rPr>
          <w:rFonts w:eastAsiaTheme="minorEastAsia"/>
        </w:rPr>
      </w:pPr>
    </w:p>
    <w:p w14:paraId="7D27BE64" w14:textId="77777777" w:rsidR="009F65FA" w:rsidRDefault="00E413CD" w:rsidP="009F65FA">
      <w:pPr>
        <w:tabs>
          <w:tab w:val="left" w:pos="720"/>
          <w:tab w:val="left" w:pos="1440"/>
          <w:tab w:val="left" w:pos="2250"/>
          <w:tab w:val="right" w:leader="dot" w:pos="9360"/>
        </w:tabs>
        <w:spacing w:line="240" w:lineRule="auto"/>
        <w:ind w:firstLine="0"/>
      </w:pPr>
      <w:hyperlink w:anchor="_Toc335731533" w:history="1">
        <w:r w:rsidR="009F65FA" w:rsidRPr="00DC405B">
          <w:rPr>
            <w:rStyle w:val="Hyperlink"/>
            <w:bCs/>
          </w:rPr>
          <w:t>E.</w:t>
        </w:r>
        <w:r w:rsidR="009F65FA" w:rsidRPr="00DC405B">
          <w:rPr>
            <w:rStyle w:val="Hyperlink"/>
            <w:rFonts w:eastAsiaTheme="minorEastAsia"/>
          </w:rPr>
          <w:tab/>
        </w:r>
        <w:r w:rsidR="009F65FA" w:rsidRPr="00DC405B">
          <w:rPr>
            <w:rStyle w:val="Hyperlink"/>
            <w:bCs/>
          </w:rPr>
          <w:t>Other Issues with LIRAP</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_Toc335731533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34</w:t>
        </w:r>
        <w:r w:rsidR="009F65FA" w:rsidRPr="00DC405B">
          <w:rPr>
            <w:rStyle w:val="Hyperlink"/>
            <w:webHidden/>
          </w:rPr>
          <w:fldChar w:fldCharType="end"/>
        </w:r>
      </w:hyperlink>
    </w:p>
    <w:p w14:paraId="78BFEC0C" w14:textId="77777777" w:rsidR="009F65FA" w:rsidRPr="00DC405B" w:rsidRDefault="009F65FA" w:rsidP="009F65FA">
      <w:pPr>
        <w:tabs>
          <w:tab w:val="left" w:pos="720"/>
          <w:tab w:val="left" w:pos="1440"/>
          <w:tab w:val="left" w:pos="2250"/>
          <w:tab w:val="right" w:leader="dot" w:pos="9360"/>
        </w:tabs>
        <w:spacing w:line="240" w:lineRule="auto"/>
        <w:ind w:firstLine="0"/>
        <w:rPr>
          <w:rFonts w:eastAsiaTheme="minorEastAsia"/>
        </w:rPr>
      </w:pPr>
    </w:p>
    <w:p w14:paraId="75CF93F3" w14:textId="77777777" w:rsidR="009F65FA" w:rsidRDefault="00E413CD" w:rsidP="009F65FA">
      <w:pPr>
        <w:tabs>
          <w:tab w:val="left" w:pos="720"/>
          <w:tab w:val="left" w:pos="1440"/>
          <w:tab w:val="left" w:pos="2250"/>
          <w:tab w:val="right" w:leader="dot" w:pos="9360"/>
        </w:tabs>
        <w:spacing w:line="240" w:lineRule="auto"/>
        <w:ind w:firstLine="0"/>
      </w:pPr>
      <w:hyperlink w:anchor="_Toc335731534" w:history="1">
        <w:r w:rsidR="009F65FA" w:rsidRPr="00DC405B">
          <w:rPr>
            <w:rStyle w:val="Hyperlink"/>
            <w:bCs/>
          </w:rPr>
          <w:t>F.</w:t>
        </w:r>
        <w:r w:rsidR="009F65FA" w:rsidRPr="00DC405B">
          <w:rPr>
            <w:rStyle w:val="Hyperlink"/>
            <w:rFonts w:eastAsiaTheme="minorEastAsia"/>
          </w:rPr>
          <w:tab/>
        </w:r>
        <w:r w:rsidR="009F65FA" w:rsidRPr="00DC405B">
          <w:rPr>
            <w:rStyle w:val="Hyperlink"/>
            <w:bCs/>
          </w:rPr>
          <w:t>Two Year Certification of Eligible Customers</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_Toc335731534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35</w:t>
        </w:r>
        <w:r w:rsidR="009F65FA" w:rsidRPr="00DC405B">
          <w:rPr>
            <w:rStyle w:val="Hyperlink"/>
            <w:webHidden/>
          </w:rPr>
          <w:fldChar w:fldCharType="end"/>
        </w:r>
      </w:hyperlink>
    </w:p>
    <w:p w14:paraId="376BBA67" w14:textId="77777777" w:rsidR="009F65FA" w:rsidRPr="00DC405B" w:rsidRDefault="009F65FA" w:rsidP="009F65FA">
      <w:pPr>
        <w:tabs>
          <w:tab w:val="left" w:pos="720"/>
          <w:tab w:val="left" w:pos="1440"/>
          <w:tab w:val="left" w:pos="2250"/>
          <w:tab w:val="right" w:leader="dot" w:pos="9360"/>
        </w:tabs>
        <w:spacing w:line="240" w:lineRule="auto"/>
        <w:ind w:firstLine="0"/>
        <w:rPr>
          <w:rFonts w:eastAsiaTheme="minorEastAsia"/>
        </w:rPr>
      </w:pPr>
    </w:p>
    <w:p w14:paraId="3ADAD543" w14:textId="77777777" w:rsidR="009F65FA" w:rsidRPr="00DC405B" w:rsidRDefault="00E413CD" w:rsidP="009F65FA">
      <w:pPr>
        <w:tabs>
          <w:tab w:val="left" w:pos="720"/>
          <w:tab w:val="left" w:pos="1440"/>
          <w:tab w:val="left" w:pos="2250"/>
          <w:tab w:val="right" w:leader="dot" w:pos="9360"/>
        </w:tabs>
        <w:spacing w:line="240" w:lineRule="auto"/>
        <w:ind w:firstLine="0"/>
        <w:rPr>
          <w:rFonts w:eastAsiaTheme="minorEastAsia"/>
        </w:rPr>
      </w:pPr>
      <w:hyperlink w:anchor="_Toc335731535" w:history="1">
        <w:r w:rsidR="009F65FA" w:rsidRPr="00DC405B">
          <w:rPr>
            <w:rStyle w:val="Hyperlink"/>
            <w:bCs/>
          </w:rPr>
          <w:t>G.</w:t>
        </w:r>
        <w:r w:rsidR="009F65FA" w:rsidRPr="00DC405B">
          <w:rPr>
            <w:rStyle w:val="Hyperlink"/>
            <w:rFonts w:eastAsiaTheme="minorEastAsia"/>
          </w:rPr>
          <w:tab/>
        </w:r>
        <w:r w:rsidR="009F65FA" w:rsidRPr="00DC405B">
          <w:rPr>
            <w:rStyle w:val="Hyperlink"/>
            <w:bCs/>
          </w:rPr>
          <w:t>Recommendations</w:t>
        </w:r>
        <w:r w:rsidR="009F65FA" w:rsidRPr="00DC405B">
          <w:rPr>
            <w:rStyle w:val="Hyperlink"/>
            <w:bCs/>
            <w:webHidden/>
          </w:rPr>
          <w:tab/>
        </w:r>
        <w:r w:rsidR="009F65FA" w:rsidRPr="00DC405B">
          <w:rPr>
            <w:rStyle w:val="Hyperlink"/>
            <w:bCs/>
            <w:webHidden/>
          </w:rPr>
          <w:fldChar w:fldCharType="begin"/>
        </w:r>
        <w:r w:rsidR="009F65FA" w:rsidRPr="00DC405B">
          <w:rPr>
            <w:rStyle w:val="Hyperlink"/>
            <w:bCs/>
            <w:webHidden/>
          </w:rPr>
          <w:instrText xml:space="preserve"> PAGEREF _Toc335731535 \h </w:instrText>
        </w:r>
        <w:r w:rsidR="009F65FA" w:rsidRPr="00DC405B">
          <w:rPr>
            <w:rStyle w:val="Hyperlink"/>
            <w:bCs/>
            <w:webHidden/>
          </w:rPr>
        </w:r>
        <w:r w:rsidR="009F65FA" w:rsidRPr="00DC405B">
          <w:rPr>
            <w:rStyle w:val="Hyperlink"/>
            <w:bCs/>
            <w:webHidden/>
          </w:rPr>
          <w:fldChar w:fldCharType="separate"/>
        </w:r>
        <w:r w:rsidR="00AF56AB">
          <w:rPr>
            <w:rStyle w:val="Hyperlink"/>
            <w:bCs/>
            <w:noProof/>
            <w:webHidden/>
          </w:rPr>
          <w:t>36</w:t>
        </w:r>
        <w:r w:rsidR="009F65FA" w:rsidRPr="00DC405B">
          <w:rPr>
            <w:rStyle w:val="Hyperlink"/>
            <w:webHidden/>
          </w:rPr>
          <w:fldChar w:fldCharType="end"/>
        </w:r>
      </w:hyperlink>
    </w:p>
    <w:p w14:paraId="2C90FD19" w14:textId="72A5CE0A" w:rsidR="002245A4" w:rsidRPr="00192A46" w:rsidRDefault="009F65FA" w:rsidP="00626452">
      <w:pPr>
        <w:tabs>
          <w:tab w:val="left" w:pos="720"/>
          <w:tab w:val="left" w:pos="1440"/>
          <w:tab w:val="left" w:pos="2160"/>
          <w:tab w:val="right" w:leader="dot" w:pos="9360"/>
        </w:tabs>
        <w:spacing w:before="240" w:line="240" w:lineRule="auto"/>
        <w:ind w:hanging="1440"/>
      </w:pPr>
      <w:r w:rsidRPr="00DC405B">
        <w:fldChar w:fldCharType="end"/>
      </w:r>
    </w:p>
    <w:p w14:paraId="3FEE4ABD" w14:textId="77777777" w:rsidR="000F025A" w:rsidRPr="00192A46" w:rsidRDefault="000F025A" w:rsidP="000F025A"/>
    <w:p w14:paraId="3FEE4ABE" w14:textId="77777777" w:rsidR="000F025A" w:rsidRPr="00192A46" w:rsidRDefault="000F025A" w:rsidP="000F025A">
      <w:pPr>
        <w:ind w:left="0" w:firstLine="0"/>
        <w:sectPr w:rsidR="000F025A" w:rsidRPr="00192A46" w:rsidSect="00503B1B">
          <w:footerReference w:type="default" r:id="rId13"/>
          <w:pgSz w:w="12240" w:h="15840"/>
          <w:pgMar w:top="1440" w:right="1440" w:bottom="1440" w:left="1872" w:header="720" w:footer="720" w:gutter="0"/>
          <w:pgNumType w:fmt="lowerRoman" w:start="1"/>
          <w:cols w:space="720"/>
          <w:docGrid w:linePitch="360"/>
        </w:sectPr>
      </w:pPr>
    </w:p>
    <w:p w14:paraId="3FEE4ABF" w14:textId="77777777" w:rsidR="00CD54E2" w:rsidRPr="00192A46" w:rsidRDefault="00CD54E2" w:rsidP="00C278B3">
      <w:pPr>
        <w:pStyle w:val="Heading1"/>
      </w:pPr>
      <w:bookmarkStart w:id="1" w:name="_Toc314559020"/>
      <w:bookmarkStart w:id="2" w:name="_Toc335731516"/>
      <w:r w:rsidRPr="00192A46">
        <w:lastRenderedPageBreak/>
        <w:t>INTRODUCTION</w:t>
      </w:r>
      <w:bookmarkEnd w:id="1"/>
      <w:bookmarkEnd w:id="2"/>
    </w:p>
    <w:p w14:paraId="3FEE4AC0" w14:textId="77777777" w:rsidR="002F09C6" w:rsidRPr="00192A46" w:rsidRDefault="002F09C6" w:rsidP="00C278B3"/>
    <w:p w14:paraId="3FEE4AC1" w14:textId="77777777" w:rsidR="00CD54E2" w:rsidRPr="00192A46" w:rsidRDefault="00CD54E2" w:rsidP="00C278B3">
      <w:pPr>
        <w:pStyle w:val="Heading3"/>
      </w:pPr>
      <w:r w:rsidRPr="00192A46">
        <w:t>Q.</w:t>
      </w:r>
      <w:r w:rsidRPr="00192A46">
        <w:tab/>
        <w:t>Please state your name</w:t>
      </w:r>
      <w:r w:rsidR="00561F39" w:rsidRPr="00192A46">
        <w:t xml:space="preserve"> and</w:t>
      </w:r>
      <w:r w:rsidRPr="00192A46">
        <w:t xml:space="preserve"> business address.</w:t>
      </w:r>
    </w:p>
    <w:p w14:paraId="3FEE4AC2" w14:textId="77777777" w:rsidR="00CD54E2" w:rsidRPr="00192A46" w:rsidRDefault="00CD54E2" w:rsidP="00C278B3">
      <w:r w:rsidRPr="00192A46">
        <w:t>A.</w:t>
      </w:r>
      <w:r w:rsidRPr="00192A46">
        <w:tab/>
        <w:t xml:space="preserve">My name is Deborah </w:t>
      </w:r>
      <w:r w:rsidR="00EC45FD" w:rsidRPr="00192A46">
        <w:t>J</w:t>
      </w:r>
      <w:r w:rsidRPr="00192A46">
        <w:t xml:space="preserve">. Reynolds.  My business address is the Richard Hemstad Building, 1300 S. Evergreen Park Dr. SW, Olympia, Washington 98504.  </w:t>
      </w:r>
    </w:p>
    <w:p w14:paraId="3FEE4AC3" w14:textId="77777777" w:rsidR="00CD54E2" w:rsidRPr="00192A46" w:rsidRDefault="00CD54E2" w:rsidP="00C278B3"/>
    <w:p w14:paraId="3FEE4AC4" w14:textId="77777777" w:rsidR="003F6AF0" w:rsidRPr="00192A46" w:rsidRDefault="003F6AF0" w:rsidP="00C278B3">
      <w:pPr>
        <w:pStyle w:val="Heading3"/>
      </w:pPr>
      <w:r w:rsidRPr="00192A46">
        <w:t>Q.</w:t>
      </w:r>
      <w:r w:rsidRPr="00192A46">
        <w:tab/>
      </w:r>
      <w:r w:rsidR="00D90452" w:rsidRPr="00192A46">
        <w:t>Are you the same Deborah J. Reynolds whose testimony and exhibits from Dockets UE-110876 and UG-110877 are included in this docket?</w:t>
      </w:r>
    </w:p>
    <w:p w14:paraId="3FEE4AC5" w14:textId="77777777" w:rsidR="003F6AF0" w:rsidRPr="00192A46" w:rsidRDefault="003F6AF0" w:rsidP="00D90452">
      <w:r w:rsidRPr="00192A46">
        <w:t>A.</w:t>
      </w:r>
      <w:r w:rsidRPr="00192A46">
        <w:tab/>
      </w:r>
      <w:r w:rsidR="00D90452" w:rsidRPr="00192A46">
        <w:t xml:space="preserve">Yes.  </w:t>
      </w:r>
      <w:r w:rsidR="00B10510" w:rsidRPr="00192A46">
        <w:t xml:space="preserve">That testimony is </w:t>
      </w:r>
      <w:r w:rsidR="00D90452" w:rsidRPr="00192A46">
        <w:t xml:space="preserve">Exhibit No. ___ (DJR-1T) and </w:t>
      </w:r>
      <w:r w:rsidR="00B10510" w:rsidRPr="00192A46">
        <w:t xml:space="preserve">those exhibits are </w:t>
      </w:r>
      <w:r w:rsidR="00D90452" w:rsidRPr="00192A46">
        <w:t>Exhibit Nos. ___ (DJR-2) through ___ (DJR-4</w:t>
      </w:r>
      <w:r w:rsidR="00B10510" w:rsidRPr="00192A46">
        <w:t>)</w:t>
      </w:r>
      <w:r w:rsidR="00D90452" w:rsidRPr="00192A46">
        <w:t>.  I set forth my qualifications in that testimony, so I will not repeat them here.</w:t>
      </w:r>
    </w:p>
    <w:p w14:paraId="3FEE4AC6" w14:textId="77777777" w:rsidR="003D5B77" w:rsidRPr="00192A46" w:rsidRDefault="003D5B77" w:rsidP="00C278B3">
      <w:pPr>
        <w:rPr>
          <w:b/>
        </w:rPr>
      </w:pPr>
    </w:p>
    <w:p w14:paraId="3FEE4AC7" w14:textId="77777777" w:rsidR="003F6AF0" w:rsidRPr="00192A46" w:rsidRDefault="003F6AF0" w:rsidP="00C278B3">
      <w:pPr>
        <w:pStyle w:val="Heading1"/>
      </w:pPr>
      <w:bookmarkStart w:id="3" w:name="_Toc335731517"/>
      <w:r w:rsidRPr="00192A46">
        <w:t>PURPOSE AND SUMMARY</w:t>
      </w:r>
      <w:bookmarkEnd w:id="3"/>
    </w:p>
    <w:p w14:paraId="3FEE4AC8" w14:textId="77777777" w:rsidR="003F6AF0" w:rsidRPr="00192A46" w:rsidRDefault="003F6AF0" w:rsidP="00C278B3">
      <w:pPr>
        <w:rPr>
          <w:b/>
        </w:rPr>
      </w:pPr>
    </w:p>
    <w:p w14:paraId="3FEE4AC9" w14:textId="77777777" w:rsidR="00CD54E2" w:rsidRPr="00192A46" w:rsidRDefault="00CD54E2" w:rsidP="00C278B3">
      <w:pPr>
        <w:pStyle w:val="Heading3"/>
      </w:pPr>
      <w:r w:rsidRPr="00192A46">
        <w:t>Q.</w:t>
      </w:r>
      <w:r w:rsidRPr="00192A46">
        <w:tab/>
        <w:t xml:space="preserve">What is the purpose of your </w:t>
      </w:r>
      <w:r w:rsidR="00665F45">
        <w:t xml:space="preserve">cross-answering </w:t>
      </w:r>
      <w:r w:rsidRPr="00192A46">
        <w:t>testimony?</w:t>
      </w:r>
    </w:p>
    <w:p w14:paraId="3FEE4ACA" w14:textId="77777777" w:rsidR="009B1C9D" w:rsidRDefault="00CD54E2" w:rsidP="008C4E36">
      <w:r w:rsidRPr="00192A46">
        <w:t>A.</w:t>
      </w:r>
      <w:r w:rsidRPr="00192A46">
        <w:tab/>
      </w:r>
      <w:r w:rsidR="00754B03" w:rsidRPr="00192A46">
        <w:t xml:space="preserve">The purpose of </w:t>
      </w:r>
      <w:r w:rsidR="00B10510" w:rsidRPr="00192A46">
        <w:t>this</w:t>
      </w:r>
      <w:r w:rsidR="00754B03" w:rsidRPr="00192A46">
        <w:t xml:space="preserve"> testimony is to </w:t>
      </w:r>
      <w:r w:rsidR="009438D5" w:rsidRPr="00192A46">
        <w:t>respond to</w:t>
      </w:r>
      <w:r w:rsidR="0078276F" w:rsidRPr="00192A46">
        <w:t xml:space="preserve"> the </w:t>
      </w:r>
      <w:r w:rsidR="008C4E36" w:rsidRPr="00192A46">
        <w:t xml:space="preserve">February 24, 2012, </w:t>
      </w:r>
      <w:r w:rsidR="00754B03" w:rsidRPr="00192A46">
        <w:t xml:space="preserve">testimony filed by </w:t>
      </w:r>
      <w:r w:rsidR="00D13D21" w:rsidRPr="00192A46">
        <w:t xml:space="preserve">various </w:t>
      </w:r>
      <w:r w:rsidR="008C4E36" w:rsidRPr="00192A46">
        <w:t>parties</w:t>
      </w:r>
      <w:r w:rsidR="009438D5" w:rsidRPr="00192A46">
        <w:t xml:space="preserve"> </w:t>
      </w:r>
      <w:r w:rsidR="00754B03" w:rsidRPr="00192A46">
        <w:t xml:space="preserve">that address the </w:t>
      </w:r>
      <w:r w:rsidR="00ED2025" w:rsidRPr="00192A46">
        <w:t xml:space="preserve">full </w:t>
      </w:r>
      <w:r w:rsidR="00E53711" w:rsidRPr="00192A46">
        <w:t xml:space="preserve">electric </w:t>
      </w:r>
      <w:r w:rsidRPr="00192A46">
        <w:t xml:space="preserve">decoupling proposal </w:t>
      </w:r>
      <w:r w:rsidR="0076172D" w:rsidRPr="00192A46">
        <w:t xml:space="preserve">of </w:t>
      </w:r>
      <w:r w:rsidRPr="00192A46">
        <w:t>the NW Energy Coalition</w:t>
      </w:r>
      <w:r w:rsidR="00D13D21" w:rsidRPr="00192A46">
        <w:t xml:space="preserve"> (NWEC)</w:t>
      </w:r>
      <w:r w:rsidR="0076172D" w:rsidRPr="00192A46">
        <w:t xml:space="preserve">, </w:t>
      </w:r>
      <w:r w:rsidR="00754B03" w:rsidRPr="00192A46">
        <w:t xml:space="preserve">as </w:t>
      </w:r>
      <w:r w:rsidR="0076172D" w:rsidRPr="00192A46">
        <w:t xml:space="preserve">presented by </w:t>
      </w:r>
      <w:r w:rsidR="00754B03" w:rsidRPr="00192A46">
        <w:t xml:space="preserve">its witness, </w:t>
      </w:r>
      <w:r w:rsidR="0076172D" w:rsidRPr="00192A46">
        <w:t>Mr. Ralph Cavanagh</w:t>
      </w:r>
      <w:r w:rsidR="008E585B" w:rsidRPr="00192A46">
        <w:t xml:space="preserve">.  </w:t>
      </w:r>
      <w:r w:rsidR="00754B03" w:rsidRPr="00192A46">
        <w:t xml:space="preserve">Specifically, </w:t>
      </w:r>
      <w:r w:rsidR="008C4E36" w:rsidRPr="00192A46">
        <w:t>I re</w:t>
      </w:r>
      <w:r w:rsidR="00D13D21" w:rsidRPr="00192A46">
        <w:t xml:space="preserve">spond </w:t>
      </w:r>
      <w:r w:rsidR="008C4E36" w:rsidRPr="00192A46">
        <w:t xml:space="preserve">to the testimony of Mr. Patrick Ehrbar on behalf of Avista, Exhibit No. </w:t>
      </w:r>
      <w:r w:rsidR="00646139" w:rsidRPr="00192A46">
        <w:t>___ (</w:t>
      </w:r>
      <w:r w:rsidR="008C4E36" w:rsidRPr="00192A46">
        <w:t xml:space="preserve">PDE-9T), Mr. David Dismukes on behalf of Public Counsel, Exhibit No. </w:t>
      </w:r>
      <w:r w:rsidR="00646139" w:rsidRPr="00192A46">
        <w:t>___ (</w:t>
      </w:r>
      <w:r w:rsidR="008C4E36" w:rsidRPr="00192A46">
        <w:t xml:space="preserve">DED-1T), and Mr. Michael Deen on behalf of the Industrial Customers of Northwest Utilities, Exhibit No. </w:t>
      </w:r>
      <w:r w:rsidR="00646139" w:rsidRPr="00192A46">
        <w:t>___ (</w:t>
      </w:r>
      <w:r w:rsidR="008C4E36" w:rsidRPr="00192A46">
        <w:t>MCD-1T).</w:t>
      </w:r>
    </w:p>
    <w:p w14:paraId="3FEE4ACB" w14:textId="77777777" w:rsidR="00665F45" w:rsidRPr="00192A46" w:rsidRDefault="00665F45" w:rsidP="008C4E36">
      <w:r>
        <w:lastRenderedPageBreak/>
        <w:tab/>
      </w:r>
      <w:r>
        <w:tab/>
        <w:t xml:space="preserve">In addition, I </w:t>
      </w:r>
      <w:r w:rsidRPr="00192A46">
        <w:t xml:space="preserve">explain how the Commission’s decision on the decoupling issue in the recent rate case </w:t>
      </w:r>
      <w:r w:rsidR="00F80180">
        <w:t xml:space="preserve">involving Puget Sound Energy (PSE) </w:t>
      </w:r>
      <w:r w:rsidRPr="00192A46">
        <w:t>may apply to this case</w:t>
      </w:r>
      <w:r>
        <w:t>.</w:t>
      </w:r>
    </w:p>
    <w:p w14:paraId="3FEE4ACC" w14:textId="77777777" w:rsidR="00D61723" w:rsidRPr="00192A46" w:rsidRDefault="00D61723" w:rsidP="008C4E36"/>
    <w:p w14:paraId="3FEE4ACD" w14:textId="77777777" w:rsidR="009B1C9D" w:rsidRPr="00192A46" w:rsidRDefault="009B1C9D" w:rsidP="007C4C1C">
      <w:pPr>
        <w:pStyle w:val="Heading3"/>
        <w:keepNext/>
      </w:pPr>
      <w:r w:rsidRPr="00192A46">
        <w:t>Q.</w:t>
      </w:r>
      <w:r w:rsidRPr="00192A46">
        <w:tab/>
      </w:r>
      <w:r w:rsidR="00665F45">
        <w:t xml:space="preserve">Did </w:t>
      </w:r>
      <w:r w:rsidRPr="00192A46">
        <w:t xml:space="preserve">you respond to a decoupling proposal by NWEC in </w:t>
      </w:r>
      <w:r w:rsidR="00665F45">
        <w:t xml:space="preserve">that recent PSE rate case </w:t>
      </w:r>
      <w:r w:rsidRPr="00192A46">
        <w:t>docket?</w:t>
      </w:r>
    </w:p>
    <w:p w14:paraId="3FEE4ACE" w14:textId="77777777" w:rsidR="00754B03" w:rsidRDefault="009B1C9D" w:rsidP="00714B8A">
      <w:r w:rsidRPr="00192A46">
        <w:t>A.</w:t>
      </w:r>
      <w:r w:rsidRPr="00192A46">
        <w:tab/>
        <w:t xml:space="preserve">Yes.  I filed and defended testimony on this issue in </w:t>
      </w:r>
      <w:r w:rsidR="00754B03" w:rsidRPr="00192A46">
        <w:t xml:space="preserve">that recent </w:t>
      </w:r>
      <w:r w:rsidRPr="00192A46">
        <w:t xml:space="preserve">PSE </w:t>
      </w:r>
      <w:r w:rsidR="00754B03" w:rsidRPr="00192A46">
        <w:t xml:space="preserve">rate case, </w:t>
      </w:r>
      <w:r w:rsidRPr="00192A46">
        <w:t xml:space="preserve">Dockets UE-111048 and </w:t>
      </w:r>
      <w:r w:rsidR="00B300D2" w:rsidRPr="00192A46">
        <w:t>UG-</w:t>
      </w:r>
      <w:r w:rsidRPr="00192A46">
        <w:t>111049.</w:t>
      </w:r>
      <w:r w:rsidR="00714B8A" w:rsidRPr="00192A46">
        <w:t xml:space="preserve">  </w:t>
      </w:r>
    </w:p>
    <w:p w14:paraId="3FEE4ACF" w14:textId="77777777" w:rsidR="000E5610" w:rsidRPr="00192A46" w:rsidRDefault="000E5610" w:rsidP="00714B8A"/>
    <w:p w14:paraId="3FEE4AD0" w14:textId="77777777" w:rsidR="008E585B" w:rsidRPr="00192A46" w:rsidRDefault="008E585B" w:rsidP="00C278B3">
      <w:pPr>
        <w:pStyle w:val="Heading3"/>
      </w:pPr>
      <w:r w:rsidRPr="00192A46">
        <w:t>Q.</w:t>
      </w:r>
      <w:r w:rsidRPr="00192A46">
        <w:tab/>
      </w:r>
      <w:r w:rsidR="00C452C4" w:rsidRPr="00192A46">
        <w:t xml:space="preserve">What is Staff’s </w:t>
      </w:r>
      <w:r w:rsidR="00E311BF" w:rsidRPr="00192A46">
        <w:t xml:space="preserve">recommendation </w:t>
      </w:r>
      <w:r w:rsidR="00754B03" w:rsidRPr="00192A46">
        <w:t xml:space="preserve">on </w:t>
      </w:r>
      <w:r w:rsidR="00C452C4" w:rsidRPr="00192A46">
        <w:t xml:space="preserve">decoupling </w:t>
      </w:r>
      <w:r w:rsidR="00754B03" w:rsidRPr="00192A46">
        <w:t>in this case</w:t>
      </w:r>
      <w:r w:rsidR="00C452C4" w:rsidRPr="00192A46">
        <w:t>?</w:t>
      </w:r>
    </w:p>
    <w:p w14:paraId="3FEE4AD1" w14:textId="77777777" w:rsidR="0045189F" w:rsidRPr="00192A46" w:rsidRDefault="008E585B" w:rsidP="00E311BF">
      <w:r w:rsidRPr="00192A46">
        <w:t xml:space="preserve">A. </w:t>
      </w:r>
      <w:r w:rsidRPr="00192A46">
        <w:tab/>
      </w:r>
      <w:r w:rsidR="00E311BF" w:rsidRPr="00192A46">
        <w:t>A</w:t>
      </w:r>
      <w:r w:rsidR="00C77AA9" w:rsidRPr="00192A46">
        <w:t xml:space="preserve">s Staff has already testified, </w:t>
      </w:r>
      <w:r w:rsidR="00092298" w:rsidRPr="00192A46">
        <w:t xml:space="preserve">the standards set forth in the </w:t>
      </w:r>
      <w:r w:rsidR="00665F45">
        <w:t xml:space="preserve">Commission’s </w:t>
      </w:r>
      <w:r w:rsidR="00C77AA9" w:rsidRPr="00192A46">
        <w:t>Decoupling</w:t>
      </w:r>
      <w:r w:rsidR="00092298" w:rsidRPr="00192A46">
        <w:t xml:space="preserve"> Policy Statement are proper policies </w:t>
      </w:r>
      <w:r w:rsidR="00754B03" w:rsidRPr="00192A46">
        <w:t xml:space="preserve">and </w:t>
      </w:r>
      <w:r w:rsidR="00092298" w:rsidRPr="00192A46">
        <w:t xml:space="preserve">the Commission should </w:t>
      </w:r>
      <w:r w:rsidR="00D13D21" w:rsidRPr="00192A46">
        <w:t>apply</w:t>
      </w:r>
      <w:r w:rsidR="00754B03" w:rsidRPr="00192A46">
        <w:t xml:space="preserve"> them in this case</w:t>
      </w:r>
      <w:r w:rsidR="00D13D21" w:rsidRPr="00192A46">
        <w:t xml:space="preserve">, or at least </w:t>
      </w:r>
      <w:r w:rsidR="00092298" w:rsidRPr="00192A46">
        <w:t>not lightly ignore</w:t>
      </w:r>
      <w:r w:rsidR="00754B03" w:rsidRPr="00192A46">
        <w:t xml:space="preserve"> them</w:t>
      </w:r>
      <w:r w:rsidR="00C77AA9" w:rsidRPr="00192A46">
        <w:t>.</w:t>
      </w:r>
      <w:r w:rsidR="00E311BF" w:rsidRPr="00192A46">
        <w:rPr>
          <w:rStyle w:val="FootnoteReference"/>
        </w:rPr>
        <w:footnoteReference w:id="2"/>
      </w:r>
      <w:r w:rsidR="00C77AA9" w:rsidRPr="00192A46">
        <w:t xml:space="preserve"> </w:t>
      </w:r>
      <w:r w:rsidR="0005218E" w:rsidRPr="00192A46">
        <w:t xml:space="preserve"> </w:t>
      </w:r>
      <w:r w:rsidR="0045189F" w:rsidRPr="00192A46">
        <w:t xml:space="preserve">Staff </w:t>
      </w:r>
      <w:r w:rsidR="00D13D21" w:rsidRPr="00192A46">
        <w:t xml:space="preserve">continues to </w:t>
      </w:r>
      <w:r w:rsidR="0045189F" w:rsidRPr="00192A46">
        <w:t xml:space="preserve">recommend </w:t>
      </w:r>
      <w:r w:rsidR="00665F45">
        <w:t xml:space="preserve">that if the </w:t>
      </w:r>
      <w:r w:rsidR="0045189F" w:rsidRPr="00192A46">
        <w:t xml:space="preserve">Commission </w:t>
      </w:r>
      <w:r w:rsidR="00665F45">
        <w:t xml:space="preserve">approves decoupling, it should </w:t>
      </w:r>
      <w:r w:rsidR="0045189F" w:rsidRPr="00192A46">
        <w:t>require the following conditions prior to implementing a decoupling mechanism</w:t>
      </w:r>
      <w:r w:rsidR="00D13D21" w:rsidRPr="00192A46">
        <w:t>:</w:t>
      </w:r>
    </w:p>
    <w:p w14:paraId="3FEE4AD2" w14:textId="77777777" w:rsidR="0045189F" w:rsidRPr="00192A46" w:rsidRDefault="0045189F" w:rsidP="0045189F">
      <w:pPr>
        <w:pStyle w:val="ListParagraph"/>
        <w:numPr>
          <w:ilvl w:val="0"/>
          <w:numId w:val="13"/>
        </w:numPr>
        <w:spacing w:line="480" w:lineRule="auto"/>
        <w:rPr>
          <w:rFonts w:cs="Times New Roman"/>
          <w:szCs w:val="24"/>
        </w:rPr>
      </w:pPr>
      <w:r w:rsidRPr="00192A46">
        <w:rPr>
          <w:rFonts w:cs="Times New Roman"/>
          <w:szCs w:val="24"/>
        </w:rPr>
        <w:t xml:space="preserve">Require additional evidence </w:t>
      </w:r>
      <w:r w:rsidR="000021AF">
        <w:rPr>
          <w:rFonts w:cs="Times New Roman"/>
          <w:szCs w:val="24"/>
        </w:rPr>
        <w:t xml:space="preserve">by decoupling proponents </w:t>
      </w:r>
      <w:r w:rsidRPr="00192A46">
        <w:rPr>
          <w:rFonts w:cs="Times New Roman"/>
          <w:szCs w:val="24"/>
        </w:rPr>
        <w:t xml:space="preserve">quantifying the change in the </w:t>
      </w:r>
      <w:r w:rsidR="000021AF">
        <w:rPr>
          <w:rFonts w:cs="Times New Roman"/>
          <w:szCs w:val="24"/>
        </w:rPr>
        <w:t xml:space="preserve">capital cost rates </w:t>
      </w:r>
      <w:r w:rsidRPr="00192A46">
        <w:rPr>
          <w:rFonts w:cs="Times New Roman"/>
          <w:szCs w:val="24"/>
        </w:rPr>
        <w:t>occasioned by the specific decoupling mechanism adopted by the Commission, or the amount of equity in the ratemaking capital structure appropriate</w:t>
      </w:r>
      <w:r w:rsidR="000021AF">
        <w:rPr>
          <w:rFonts w:cs="Times New Roman"/>
          <w:szCs w:val="24"/>
        </w:rPr>
        <w:t xml:space="preserve"> under decoupling</w:t>
      </w:r>
      <w:r w:rsidRPr="00192A46">
        <w:rPr>
          <w:rFonts w:cs="Times New Roman"/>
          <w:szCs w:val="24"/>
        </w:rPr>
        <w:t xml:space="preserve">, </w:t>
      </w:r>
      <w:r w:rsidRPr="00192A46">
        <w:rPr>
          <w:rStyle w:val="FootnoteReference"/>
          <w:rFonts w:cs="Times New Roman"/>
          <w:szCs w:val="24"/>
        </w:rPr>
        <w:t xml:space="preserve"> </w:t>
      </w:r>
      <w:r w:rsidRPr="00192A46">
        <w:rPr>
          <w:rFonts w:cs="Times New Roman"/>
          <w:szCs w:val="24"/>
        </w:rPr>
        <w:t>or both.</w:t>
      </w:r>
      <w:r w:rsidR="00665F45">
        <w:rPr>
          <w:rFonts w:cs="Times New Roman"/>
          <w:szCs w:val="24"/>
        </w:rPr>
        <w:t xml:space="preserve">    </w:t>
      </w:r>
    </w:p>
    <w:p w14:paraId="3FEE4AD3" w14:textId="77777777" w:rsidR="0045189F" w:rsidRPr="00192A46" w:rsidRDefault="0045189F" w:rsidP="0045189F">
      <w:pPr>
        <w:pStyle w:val="ListParagraph"/>
        <w:numPr>
          <w:ilvl w:val="0"/>
          <w:numId w:val="13"/>
        </w:numPr>
        <w:spacing w:line="480" w:lineRule="auto"/>
        <w:rPr>
          <w:rFonts w:cs="Times New Roman"/>
          <w:szCs w:val="24"/>
        </w:rPr>
      </w:pPr>
      <w:r w:rsidRPr="00192A46">
        <w:rPr>
          <w:rFonts w:cs="Times New Roman"/>
          <w:szCs w:val="24"/>
        </w:rPr>
        <w:t xml:space="preserve">Adopt the Earnings Test as outlined in </w:t>
      </w:r>
      <w:r w:rsidR="00D13D21" w:rsidRPr="00192A46">
        <w:rPr>
          <w:rFonts w:cs="Times New Roman"/>
          <w:szCs w:val="24"/>
        </w:rPr>
        <w:t xml:space="preserve">my </w:t>
      </w:r>
      <w:r w:rsidRPr="00192A46">
        <w:rPr>
          <w:rFonts w:cs="Times New Roman"/>
          <w:szCs w:val="24"/>
        </w:rPr>
        <w:t>Exhibit No. ___ (DJR-2), modifying the Earnings Test dead band as appropriate.</w:t>
      </w:r>
      <w:r w:rsidRPr="00192A46">
        <w:rPr>
          <w:rStyle w:val="FootnoteReference"/>
          <w:rFonts w:cs="Times New Roman"/>
          <w:szCs w:val="24"/>
        </w:rPr>
        <w:footnoteReference w:id="3"/>
      </w:r>
    </w:p>
    <w:p w14:paraId="3FEE4AD4" w14:textId="77777777" w:rsidR="0045189F" w:rsidRPr="00192A46" w:rsidRDefault="0045189F" w:rsidP="0045189F">
      <w:pPr>
        <w:pStyle w:val="ListParagraph"/>
        <w:numPr>
          <w:ilvl w:val="0"/>
          <w:numId w:val="13"/>
        </w:numPr>
        <w:spacing w:line="480" w:lineRule="auto"/>
        <w:rPr>
          <w:rFonts w:cs="Times New Roman"/>
          <w:szCs w:val="24"/>
        </w:rPr>
      </w:pPr>
      <w:r w:rsidRPr="00192A46">
        <w:rPr>
          <w:rFonts w:cs="Times New Roman"/>
          <w:szCs w:val="24"/>
        </w:rPr>
        <w:lastRenderedPageBreak/>
        <w:t xml:space="preserve">Adopt the Conservation Test as outlined in </w:t>
      </w:r>
      <w:r w:rsidR="00D13D21" w:rsidRPr="00192A46">
        <w:rPr>
          <w:rFonts w:cs="Times New Roman"/>
          <w:szCs w:val="24"/>
        </w:rPr>
        <w:t xml:space="preserve">my </w:t>
      </w:r>
      <w:r w:rsidRPr="00192A46">
        <w:rPr>
          <w:rFonts w:cs="Times New Roman"/>
          <w:szCs w:val="24"/>
        </w:rPr>
        <w:t>Exhibit No. ___ (DJR-2).</w:t>
      </w:r>
      <w:r w:rsidRPr="00192A46">
        <w:rPr>
          <w:rStyle w:val="FootnoteReference"/>
          <w:rFonts w:cs="Times New Roman"/>
          <w:szCs w:val="24"/>
        </w:rPr>
        <w:footnoteReference w:id="4"/>
      </w:r>
    </w:p>
    <w:p w14:paraId="3FEE4AD5" w14:textId="77777777" w:rsidR="0045189F" w:rsidRPr="00192A46" w:rsidRDefault="0045189F" w:rsidP="0045189F">
      <w:pPr>
        <w:pStyle w:val="ListParagraph"/>
        <w:numPr>
          <w:ilvl w:val="0"/>
          <w:numId w:val="13"/>
        </w:numPr>
        <w:spacing w:line="480" w:lineRule="auto"/>
        <w:rPr>
          <w:rFonts w:cs="Times New Roman"/>
          <w:szCs w:val="24"/>
        </w:rPr>
      </w:pPr>
      <w:r w:rsidRPr="00192A46">
        <w:rPr>
          <w:rFonts w:cs="Times New Roman"/>
          <w:szCs w:val="24"/>
        </w:rPr>
        <w:t>Require third party evaluation of conservation achievement, which will also identify any incremental conservation.</w:t>
      </w:r>
      <w:r w:rsidRPr="00192A46" w:rsidDel="005D0776">
        <w:rPr>
          <w:rStyle w:val="FootnoteReference"/>
          <w:rFonts w:cs="Times New Roman"/>
          <w:szCs w:val="24"/>
        </w:rPr>
        <w:t xml:space="preserve"> </w:t>
      </w:r>
    </w:p>
    <w:p w14:paraId="3FEE4AD6" w14:textId="77777777" w:rsidR="0045189F" w:rsidRPr="00192A46" w:rsidRDefault="0045189F" w:rsidP="0045189F">
      <w:pPr>
        <w:pStyle w:val="ListParagraph"/>
        <w:numPr>
          <w:ilvl w:val="0"/>
          <w:numId w:val="13"/>
        </w:numPr>
        <w:spacing w:line="480" w:lineRule="auto"/>
        <w:rPr>
          <w:rFonts w:cs="Times New Roman"/>
          <w:szCs w:val="24"/>
        </w:rPr>
      </w:pPr>
      <w:r w:rsidRPr="00192A46">
        <w:rPr>
          <w:rFonts w:cs="Times New Roman"/>
          <w:szCs w:val="24"/>
        </w:rPr>
        <w:t>Require third party evaluation of comparable benefits for low-income customers.</w:t>
      </w:r>
    </w:p>
    <w:p w14:paraId="3FEE4AD7" w14:textId="77777777" w:rsidR="0045189F" w:rsidRDefault="0045189F" w:rsidP="0045189F">
      <w:pPr>
        <w:pStyle w:val="ListParagraph"/>
        <w:numPr>
          <w:ilvl w:val="0"/>
          <w:numId w:val="13"/>
        </w:numPr>
        <w:spacing w:line="480" w:lineRule="auto"/>
        <w:rPr>
          <w:rFonts w:cs="Times New Roman"/>
          <w:szCs w:val="24"/>
        </w:rPr>
      </w:pPr>
      <w:r w:rsidRPr="00192A46">
        <w:rPr>
          <w:rFonts w:cs="Times New Roman"/>
          <w:szCs w:val="24"/>
        </w:rPr>
        <w:t>Require revision</w:t>
      </w:r>
      <w:r w:rsidR="003A503E" w:rsidRPr="00192A46">
        <w:rPr>
          <w:rFonts w:cs="Times New Roman"/>
          <w:szCs w:val="24"/>
        </w:rPr>
        <w:t>s</w:t>
      </w:r>
      <w:r w:rsidRPr="00192A46">
        <w:rPr>
          <w:rFonts w:cs="Times New Roman"/>
          <w:szCs w:val="24"/>
        </w:rPr>
        <w:t xml:space="preserve"> </w:t>
      </w:r>
      <w:r w:rsidR="003A503E" w:rsidRPr="00192A46">
        <w:rPr>
          <w:rFonts w:cs="Times New Roman"/>
          <w:szCs w:val="24"/>
        </w:rPr>
        <w:t xml:space="preserve">to </w:t>
      </w:r>
      <w:r w:rsidRPr="00192A46">
        <w:rPr>
          <w:rFonts w:cs="Times New Roman"/>
          <w:szCs w:val="24"/>
        </w:rPr>
        <w:t xml:space="preserve">the </w:t>
      </w:r>
      <w:r w:rsidR="001E03C4" w:rsidRPr="00192A46">
        <w:rPr>
          <w:rFonts w:cs="Times New Roman"/>
          <w:szCs w:val="24"/>
        </w:rPr>
        <w:t>Energy Recovery Mechanism</w:t>
      </w:r>
      <w:r w:rsidR="003A503E" w:rsidRPr="00192A46">
        <w:rPr>
          <w:rFonts w:cs="Times New Roman"/>
          <w:szCs w:val="24"/>
        </w:rPr>
        <w:t xml:space="preserve"> </w:t>
      </w:r>
      <w:r w:rsidR="001E03C4" w:rsidRPr="00192A46">
        <w:rPr>
          <w:rFonts w:cs="Times New Roman"/>
          <w:szCs w:val="24"/>
        </w:rPr>
        <w:t>(</w:t>
      </w:r>
      <w:r w:rsidRPr="00192A46">
        <w:rPr>
          <w:rFonts w:cs="Times New Roman"/>
          <w:szCs w:val="24"/>
        </w:rPr>
        <w:t>ERM</w:t>
      </w:r>
      <w:r w:rsidR="001E03C4" w:rsidRPr="00192A46">
        <w:rPr>
          <w:rFonts w:cs="Times New Roman"/>
          <w:szCs w:val="24"/>
        </w:rPr>
        <w:t>)</w:t>
      </w:r>
      <w:r w:rsidRPr="00192A46">
        <w:rPr>
          <w:rFonts w:cs="Times New Roman"/>
          <w:szCs w:val="24"/>
        </w:rPr>
        <w:t>.</w:t>
      </w:r>
    </w:p>
    <w:p w14:paraId="3FEE4AD8" w14:textId="77777777" w:rsidR="005B08FA" w:rsidRPr="00192A46" w:rsidRDefault="005B08FA" w:rsidP="00FE2678">
      <w:pPr>
        <w:pStyle w:val="ListParagraph"/>
        <w:numPr>
          <w:ilvl w:val="0"/>
          <w:numId w:val="13"/>
        </w:numPr>
        <w:spacing w:after="0" w:line="480" w:lineRule="auto"/>
        <w:rPr>
          <w:rFonts w:cs="Times New Roman"/>
          <w:szCs w:val="24"/>
        </w:rPr>
      </w:pPr>
      <w:r>
        <w:rPr>
          <w:rFonts w:cs="Times New Roman"/>
          <w:szCs w:val="24"/>
        </w:rPr>
        <w:t>Exclude the effect of weather.</w:t>
      </w:r>
    </w:p>
    <w:p w14:paraId="3FEE4AD9" w14:textId="77777777" w:rsidR="0045189F" w:rsidRPr="00192A46" w:rsidRDefault="0045189F" w:rsidP="0045189F"/>
    <w:p w14:paraId="3FEE4ADA" w14:textId="77777777" w:rsidR="00C452C4" w:rsidRPr="00192A46" w:rsidRDefault="00C452C4" w:rsidP="00C452C4">
      <w:pPr>
        <w:pStyle w:val="Heading3"/>
      </w:pPr>
      <w:r w:rsidRPr="00192A46">
        <w:t>Q.</w:t>
      </w:r>
      <w:r w:rsidRPr="00192A46">
        <w:tab/>
        <w:t xml:space="preserve">What is Staff’s </w:t>
      </w:r>
      <w:r w:rsidR="00754B03" w:rsidRPr="00192A46">
        <w:t>primary</w:t>
      </w:r>
      <w:r w:rsidRPr="00192A46">
        <w:t xml:space="preserve"> objection to NWEC’s decoupling proposal?</w:t>
      </w:r>
    </w:p>
    <w:p w14:paraId="3FEE4ADB" w14:textId="77777777" w:rsidR="00B10510" w:rsidRPr="00192A46" w:rsidRDefault="00C452C4" w:rsidP="00C452C4">
      <w:r w:rsidRPr="00192A46">
        <w:t>A.</w:t>
      </w:r>
      <w:r w:rsidRPr="00192A46">
        <w:tab/>
      </w:r>
      <w:r w:rsidR="00B10510" w:rsidRPr="00192A46">
        <w:t xml:space="preserve">In this docket, both Staff and </w:t>
      </w:r>
      <w:r w:rsidR="000E5610">
        <w:t xml:space="preserve">the </w:t>
      </w:r>
      <w:r w:rsidR="00B10510" w:rsidRPr="00192A46">
        <w:t xml:space="preserve">Company have </w:t>
      </w:r>
      <w:r w:rsidR="00B727BF">
        <w:t>analyzed attrition for Avista</w:t>
      </w:r>
      <w:r w:rsidR="00B10510" w:rsidRPr="00192A46">
        <w:t>.  M</w:t>
      </w:r>
      <w:r w:rsidR="000E5610">
        <w:t>s</w:t>
      </w:r>
      <w:r w:rsidR="00B10510" w:rsidRPr="00192A46">
        <w:t>. Kathryn Breda is Staff’s witness on this issue.</w:t>
      </w:r>
      <w:r w:rsidR="00D13D21" w:rsidRPr="00192A46">
        <w:t xml:space="preserve">  Typically, d</w:t>
      </w:r>
      <w:r w:rsidRPr="00192A46">
        <w:t xml:space="preserve">ecoupling does not address attrition, as Mr. Cavanagh has conceded in testimony he filed in the </w:t>
      </w:r>
      <w:r w:rsidR="000021AF">
        <w:t xml:space="preserve">recent </w:t>
      </w:r>
      <w:r w:rsidRPr="00192A46">
        <w:t>PSE rate case.</w:t>
      </w:r>
      <w:r w:rsidRPr="00192A46">
        <w:rPr>
          <w:rStyle w:val="FootnoteReference"/>
        </w:rPr>
        <w:footnoteReference w:id="5"/>
      </w:r>
      <w:r w:rsidR="00D61723" w:rsidRPr="00192A46">
        <w:t xml:space="preserve">  </w:t>
      </w:r>
      <w:r w:rsidR="00D13D21" w:rsidRPr="00192A46">
        <w:t xml:space="preserve">In fact, </w:t>
      </w:r>
      <w:r w:rsidR="00D61723" w:rsidRPr="00192A46">
        <w:t>Avista opposes decoupling in part because it does not address attrition.</w:t>
      </w:r>
      <w:r w:rsidR="00EA1E72">
        <w:rPr>
          <w:rStyle w:val="FootnoteReference"/>
        </w:rPr>
        <w:footnoteReference w:id="6"/>
      </w:r>
      <w:r w:rsidR="00D61723" w:rsidRPr="00192A46">
        <w:t xml:space="preserve">  </w:t>
      </w:r>
      <w:r w:rsidR="000021AF">
        <w:t>Staff’s a</w:t>
      </w:r>
      <w:r w:rsidR="00D13D21" w:rsidRPr="00192A46">
        <w:t xml:space="preserve">ttrition </w:t>
      </w:r>
      <w:r w:rsidR="00DC33A4">
        <w:t>allowance</w:t>
      </w:r>
      <w:r w:rsidR="00DC33A4" w:rsidRPr="00192A46">
        <w:t xml:space="preserve"> </w:t>
      </w:r>
      <w:r w:rsidR="00D13D21" w:rsidRPr="00192A46">
        <w:t>take</w:t>
      </w:r>
      <w:r w:rsidR="000021AF">
        <w:t>s</w:t>
      </w:r>
      <w:r w:rsidR="00D13D21" w:rsidRPr="00192A46">
        <w:t xml:space="preserve"> into </w:t>
      </w:r>
      <w:r w:rsidR="00B727BF">
        <w:t xml:space="preserve">consideration </w:t>
      </w:r>
      <w:r w:rsidR="00D13D21" w:rsidRPr="00192A46">
        <w:t>revenue trends, which can encompass lost revenues from all causes, including lost revenues due to conservation.</w:t>
      </w:r>
      <w:r w:rsidR="00D13D21" w:rsidRPr="00192A46">
        <w:rPr>
          <w:rStyle w:val="FootnoteReference"/>
        </w:rPr>
        <w:footnoteReference w:id="7"/>
      </w:r>
      <w:r w:rsidR="00D13D21" w:rsidRPr="00192A46">
        <w:t xml:space="preserve">  </w:t>
      </w:r>
    </w:p>
    <w:p w14:paraId="3FEE4ADC" w14:textId="6BC49052" w:rsidR="00C452C4" w:rsidRPr="00192A46" w:rsidRDefault="00B10510" w:rsidP="00C452C4">
      <w:r w:rsidRPr="00192A46">
        <w:tab/>
      </w:r>
      <w:r w:rsidRPr="00192A46">
        <w:tab/>
      </w:r>
      <w:r w:rsidR="000021AF">
        <w:t>I recognize</w:t>
      </w:r>
      <w:r w:rsidRPr="00192A46">
        <w:t xml:space="preserve"> the </w:t>
      </w:r>
      <w:r w:rsidR="00D61723" w:rsidRPr="00192A46">
        <w:t xml:space="preserve">Commission </w:t>
      </w:r>
      <w:r w:rsidR="00D13D21" w:rsidRPr="00192A46">
        <w:t xml:space="preserve">has </w:t>
      </w:r>
      <w:r w:rsidR="00D61723" w:rsidRPr="00192A46">
        <w:t>stated that decoupling “was never intended to supplant other tools that deal with demonstrated earnings attrition</w:t>
      </w:r>
      <w:r w:rsidR="00BC26DC">
        <w:t>.</w:t>
      </w:r>
      <w:r w:rsidR="00192A46" w:rsidRPr="00192A46">
        <w:t>”</w:t>
      </w:r>
      <w:r w:rsidR="000021AF">
        <w:rPr>
          <w:rStyle w:val="FootnoteReference"/>
        </w:rPr>
        <w:footnoteReference w:id="8"/>
      </w:r>
      <w:r w:rsidR="000021AF">
        <w:t xml:space="preserve">  </w:t>
      </w:r>
      <w:r w:rsidRPr="00192A46">
        <w:t xml:space="preserve">However, </w:t>
      </w:r>
      <w:r w:rsidR="00D61723" w:rsidRPr="00192A46">
        <w:t xml:space="preserve">there is a nexus between attrition and decoupling, because to the extent an attrition </w:t>
      </w:r>
      <w:r w:rsidR="00D61723" w:rsidRPr="00192A46">
        <w:lastRenderedPageBreak/>
        <w:t xml:space="preserve">analysis takes into account the impact of </w:t>
      </w:r>
      <w:r w:rsidR="000E5610">
        <w:t>changes in load</w:t>
      </w:r>
      <w:r w:rsidR="00D61723" w:rsidRPr="00192A46">
        <w:t xml:space="preserve"> due to conservation, it will address one of the impacts decoupling is intended to address.  Therefore, </w:t>
      </w:r>
      <w:r w:rsidRPr="00192A46">
        <w:t>should the Commission approve a decoupling mechanism, it</w:t>
      </w:r>
      <w:r w:rsidR="00D13D21" w:rsidRPr="00192A46">
        <w:t xml:space="preserve"> must take care</w:t>
      </w:r>
      <w:r w:rsidR="00D61723" w:rsidRPr="00192A46">
        <w:t xml:space="preserve"> to reconcile the two (decoupling and attrition) if both tools are in effect.</w:t>
      </w:r>
    </w:p>
    <w:p w14:paraId="3FEE4ADD" w14:textId="77777777" w:rsidR="00C452C4" w:rsidRPr="00192A46" w:rsidRDefault="00C452C4" w:rsidP="00C452C4"/>
    <w:p w14:paraId="3FEE4ADE" w14:textId="77777777" w:rsidR="00C452C4" w:rsidRPr="00192A46" w:rsidRDefault="00C452C4" w:rsidP="00C452C4">
      <w:pPr>
        <w:pStyle w:val="Heading3"/>
      </w:pPr>
      <w:r w:rsidRPr="00192A46">
        <w:t>Q.</w:t>
      </w:r>
      <w:r w:rsidRPr="00192A46">
        <w:tab/>
      </w:r>
      <w:r w:rsidR="00E311BF" w:rsidRPr="00192A46">
        <w:t>Are there other reasons</w:t>
      </w:r>
      <w:r w:rsidRPr="00192A46">
        <w:t xml:space="preserve"> </w:t>
      </w:r>
      <w:r w:rsidR="00E311BF" w:rsidRPr="00192A46">
        <w:t>Staff objects to NWEC’s decoupling proposal</w:t>
      </w:r>
      <w:r w:rsidRPr="00192A46">
        <w:t>?</w:t>
      </w:r>
    </w:p>
    <w:p w14:paraId="3FEE4ADF" w14:textId="77777777" w:rsidR="00C452C4" w:rsidRPr="00192A46" w:rsidRDefault="00C452C4" w:rsidP="00C452C4">
      <w:r w:rsidRPr="00192A46">
        <w:t>A.</w:t>
      </w:r>
      <w:r w:rsidRPr="00192A46">
        <w:tab/>
      </w:r>
      <w:r w:rsidR="00E311BF" w:rsidRPr="00192A46">
        <w:t xml:space="preserve">Yes. </w:t>
      </w:r>
      <w:r w:rsidR="00D13D21" w:rsidRPr="00192A46">
        <w:t xml:space="preserve"> </w:t>
      </w:r>
      <w:r w:rsidRPr="00192A46">
        <w:t xml:space="preserve">The NWEC proposal fails to comply with the most significant elements of the Decoupling Policy Statement, namely:  </w:t>
      </w:r>
    </w:p>
    <w:p w14:paraId="3FEE4AE0" w14:textId="77777777" w:rsidR="00C452C4" w:rsidRPr="00192A46" w:rsidRDefault="00C452C4" w:rsidP="00C452C4">
      <w:pPr>
        <w:pStyle w:val="ListParagraph"/>
        <w:numPr>
          <w:ilvl w:val="0"/>
          <w:numId w:val="11"/>
        </w:numPr>
        <w:spacing w:line="480" w:lineRule="auto"/>
        <w:rPr>
          <w:rFonts w:cs="Times New Roman"/>
          <w:szCs w:val="24"/>
        </w:rPr>
      </w:pPr>
      <w:r w:rsidRPr="00192A46">
        <w:rPr>
          <w:rFonts w:cs="Times New Roman"/>
          <w:szCs w:val="24"/>
        </w:rPr>
        <w:t>It does not appropriately analyze the impact of conservation on Avista;</w:t>
      </w:r>
    </w:p>
    <w:p w14:paraId="3FEE4AE1" w14:textId="77777777" w:rsidR="00C452C4" w:rsidRPr="00192A46" w:rsidRDefault="00F80180" w:rsidP="00C452C4">
      <w:pPr>
        <w:pStyle w:val="ListParagraph"/>
        <w:numPr>
          <w:ilvl w:val="0"/>
          <w:numId w:val="11"/>
        </w:numPr>
        <w:spacing w:line="480" w:lineRule="auto"/>
        <w:rPr>
          <w:rFonts w:cs="Times New Roman"/>
          <w:szCs w:val="24"/>
        </w:rPr>
      </w:pPr>
      <w:r>
        <w:rPr>
          <w:rFonts w:cs="Times New Roman"/>
          <w:szCs w:val="24"/>
        </w:rPr>
        <w:t>I</w:t>
      </w:r>
      <w:r w:rsidR="00C452C4" w:rsidRPr="00192A46">
        <w:rPr>
          <w:rFonts w:cs="Times New Roman"/>
          <w:szCs w:val="24"/>
        </w:rPr>
        <w:t xml:space="preserve">t is not appropriately applied to all customer classes; </w:t>
      </w:r>
    </w:p>
    <w:p w14:paraId="3FEE4AE2" w14:textId="77777777" w:rsidR="00C452C4" w:rsidRPr="00192A46" w:rsidRDefault="00F80180" w:rsidP="00C452C4">
      <w:pPr>
        <w:pStyle w:val="ListParagraph"/>
        <w:numPr>
          <w:ilvl w:val="0"/>
          <w:numId w:val="11"/>
        </w:numPr>
        <w:spacing w:line="480" w:lineRule="auto"/>
        <w:rPr>
          <w:rFonts w:cs="Times New Roman"/>
          <w:szCs w:val="24"/>
        </w:rPr>
      </w:pPr>
      <w:r>
        <w:rPr>
          <w:rFonts w:cs="Times New Roman"/>
          <w:szCs w:val="24"/>
        </w:rPr>
        <w:t>I</w:t>
      </w:r>
      <w:r w:rsidR="00C452C4" w:rsidRPr="00192A46">
        <w:rPr>
          <w:rFonts w:cs="Times New Roman"/>
          <w:szCs w:val="24"/>
        </w:rPr>
        <w:t xml:space="preserve">t makes no reduction to cost of capital;  </w:t>
      </w:r>
    </w:p>
    <w:p w14:paraId="3FEE4AE3" w14:textId="77777777" w:rsidR="00C452C4" w:rsidRPr="00192A46" w:rsidRDefault="00F80180" w:rsidP="00C452C4">
      <w:pPr>
        <w:pStyle w:val="ListParagraph"/>
        <w:numPr>
          <w:ilvl w:val="0"/>
          <w:numId w:val="11"/>
        </w:numPr>
        <w:spacing w:line="480" w:lineRule="auto"/>
        <w:rPr>
          <w:rFonts w:cs="Times New Roman"/>
          <w:szCs w:val="24"/>
        </w:rPr>
      </w:pPr>
      <w:r>
        <w:rPr>
          <w:rFonts w:cs="Times New Roman"/>
          <w:szCs w:val="24"/>
        </w:rPr>
        <w:t>I</w:t>
      </w:r>
      <w:r w:rsidR="00C452C4" w:rsidRPr="00192A46">
        <w:rPr>
          <w:rFonts w:cs="Times New Roman"/>
          <w:szCs w:val="24"/>
        </w:rPr>
        <w:t xml:space="preserve">t fails to condition </w:t>
      </w:r>
      <w:r w:rsidR="0005218E" w:rsidRPr="00192A46">
        <w:rPr>
          <w:rFonts w:cs="Times New Roman"/>
          <w:szCs w:val="24"/>
        </w:rPr>
        <w:t>revenue per customer</w:t>
      </w:r>
      <w:r w:rsidR="00C452C4" w:rsidRPr="00192A46">
        <w:rPr>
          <w:rFonts w:cs="Times New Roman"/>
          <w:szCs w:val="24"/>
        </w:rPr>
        <w:t xml:space="preserve"> recovery on achieving conservation targets; </w:t>
      </w:r>
    </w:p>
    <w:p w14:paraId="3FEE4AE4" w14:textId="3E88D72D" w:rsidR="00C452C4" w:rsidRPr="00192A46" w:rsidRDefault="00F80180" w:rsidP="00C452C4">
      <w:pPr>
        <w:pStyle w:val="ListParagraph"/>
        <w:numPr>
          <w:ilvl w:val="0"/>
          <w:numId w:val="11"/>
        </w:numPr>
        <w:spacing w:line="480" w:lineRule="auto"/>
        <w:rPr>
          <w:rFonts w:cs="Times New Roman"/>
          <w:szCs w:val="24"/>
        </w:rPr>
      </w:pPr>
      <w:r>
        <w:rPr>
          <w:rFonts w:cs="Times New Roman"/>
          <w:szCs w:val="24"/>
        </w:rPr>
        <w:t>I</w:t>
      </w:r>
      <w:r w:rsidR="00C452C4" w:rsidRPr="00192A46">
        <w:rPr>
          <w:rFonts w:cs="Times New Roman"/>
          <w:szCs w:val="24"/>
        </w:rPr>
        <w:t xml:space="preserve">t does not identify comparable conservation benefits for </w:t>
      </w:r>
      <w:r w:rsidR="009D18C5">
        <w:rPr>
          <w:rFonts w:cs="Times New Roman"/>
          <w:szCs w:val="24"/>
        </w:rPr>
        <w:t>low-income</w:t>
      </w:r>
      <w:r w:rsidR="00C452C4" w:rsidRPr="00192A46">
        <w:rPr>
          <w:rFonts w:cs="Times New Roman"/>
          <w:szCs w:val="24"/>
        </w:rPr>
        <w:t xml:space="preserve"> customers; </w:t>
      </w:r>
    </w:p>
    <w:p w14:paraId="3FEE4AE5" w14:textId="77777777" w:rsidR="00C452C4" w:rsidRPr="00192A46" w:rsidRDefault="00F80180" w:rsidP="00C452C4">
      <w:pPr>
        <w:pStyle w:val="ListParagraph"/>
        <w:numPr>
          <w:ilvl w:val="0"/>
          <w:numId w:val="11"/>
        </w:numPr>
        <w:spacing w:line="480" w:lineRule="auto"/>
        <w:rPr>
          <w:rFonts w:cs="Times New Roman"/>
          <w:szCs w:val="24"/>
        </w:rPr>
      </w:pPr>
      <w:r>
        <w:rPr>
          <w:rFonts w:cs="Times New Roman"/>
          <w:szCs w:val="24"/>
        </w:rPr>
        <w:t>I</w:t>
      </w:r>
      <w:r w:rsidR="00C452C4" w:rsidRPr="00192A46">
        <w:rPr>
          <w:rFonts w:cs="Times New Roman"/>
          <w:szCs w:val="24"/>
        </w:rPr>
        <w:t>t does not describe the incremental conservation the Company should pursue</w:t>
      </w:r>
      <w:r>
        <w:rPr>
          <w:rFonts w:cs="Times New Roman"/>
          <w:szCs w:val="24"/>
        </w:rPr>
        <w:t xml:space="preserve"> under decoupling</w:t>
      </w:r>
      <w:r w:rsidR="00C452C4" w:rsidRPr="00192A46">
        <w:rPr>
          <w:rFonts w:cs="Times New Roman"/>
          <w:szCs w:val="24"/>
        </w:rPr>
        <w:t xml:space="preserve">; and </w:t>
      </w:r>
    </w:p>
    <w:p w14:paraId="3FEE4AE6" w14:textId="77777777" w:rsidR="00C452C4" w:rsidRPr="00192A46" w:rsidRDefault="00F80180" w:rsidP="00C452C4">
      <w:pPr>
        <w:pStyle w:val="ListParagraph"/>
        <w:numPr>
          <w:ilvl w:val="0"/>
          <w:numId w:val="11"/>
        </w:numPr>
        <w:spacing w:line="480" w:lineRule="auto"/>
        <w:rPr>
          <w:rFonts w:cs="Times New Roman"/>
          <w:szCs w:val="24"/>
        </w:rPr>
      </w:pPr>
      <w:r>
        <w:rPr>
          <w:rFonts w:cs="Times New Roman"/>
          <w:szCs w:val="24"/>
        </w:rPr>
        <w:t>I</w:t>
      </w:r>
      <w:r w:rsidR="00C452C4" w:rsidRPr="00192A46">
        <w:rPr>
          <w:rFonts w:cs="Times New Roman"/>
          <w:szCs w:val="24"/>
        </w:rPr>
        <w:t xml:space="preserve">t fails to net increased wholesale sales due to conservation in the true-up.  </w:t>
      </w:r>
    </w:p>
    <w:p w14:paraId="3FEE4AE7" w14:textId="77777777" w:rsidR="008F3B67" w:rsidRPr="008F3B67" w:rsidRDefault="008F3B67" w:rsidP="008F3B67"/>
    <w:p w14:paraId="3FEE4AE8" w14:textId="77777777" w:rsidR="00754B03" w:rsidRPr="00192A46" w:rsidRDefault="0079469F" w:rsidP="00FE2678">
      <w:pPr>
        <w:pStyle w:val="Heading1"/>
        <w:keepNext/>
      </w:pPr>
      <w:bookmarkStart w:id="4" w:name="_Toc335731518"/>
      <w:r w:rsidRPr="00192A46">
        <w:t>THE COMMISSION’S RECENT PSE RATE ORDER</w:t>
      </w:r>
      <w:bookmarkEnd w:id="4"/>
    </w:p>
    <w:p w14:paraId="3FEE4AE9" w14:textId="77777777" w:rsidR="00754B03" w:rsidRPr="00192A46" w:rsidRDefault="00754B03" w:rsidP="00FE2678">
      <w:pPr>
        <w:keepNext/>
        <w:tabs>
          <w:tab w:val="left" w:pos="698"/>
        </w:tabs>
      </w:pPr>
    </w:p>
    <w:p w14:paraId="3FEE4AEA" w14:textId="77777777" w:rsidR="00811A02" w:rsidRPr="00192A46" w:rsidRDefault="00811A02" w:rsidP="00FE7D2E">
      <w:pPr>
        <w:pStyle w:val="Heading3"/>
      </w:pPr>
      <w:r w:rsidRPr="00192A46">
        <w:t>Q.</w:t>
      </w:r>
      <w:r w:rsidRPr="00192A46">
        <w:tab/>
      </w:r>
      <w:r w:rsidR="00754B03" w:rsidRPr="00192A46">
        <w:t xml:space="preserve">Have you reviewed the Commission’s </w:t>
      </w:r>
      <w:r w:rsidR="00BF02BA" w:rsidRPr="00192A46">
        <w:t xml:space="preserve">discussion of decoupling in its </w:t>
      </w:r>
      <w:r w:rsidR="00754B03" w:rsidRPr="00192A46">
        <w:t xml:space="preserve">recent rate order involving </w:t>
      </w:r>
      <w:r w:rsidR="004D0A40" w:rsidRPr="00192A46">
        <w:t>PSE</w:t>
      </w:r>
      <w:r w:rsidR="00754B03" w:rsidRPr="00192A46">
        <w:t>?</w:t>
      </w:r>
    </w:p>
    <w:p w14:paraId="3FEE4AEB" w14:textId="77777777" w:rsidR="00754B03" w:rsidRPr="00192A46" w:rsidRDefault="00811A02" w:rsidP="00E311BF">
      <w:pPr>
        <w:tabs>
          <w:tab w:val="left" w:pos="698"/>
        </w:tabs>
      </w:pPr>
      <w:r w:rsidRPr="00192A46">
        <w:t>A.</w:t>
      </w:r>
      <w:r w:rsidR="00C452C4" w:rsidRPr="00192A46">
        <w:tab/>
      </w:r>
      <w:r w:rsidRPr="00192A46">
        <w:t xml:space="preserve">Yes.  </w:t>
      </w:r>
    </w:p>
    <w:p w14:paraId="3FEE4AEC" w14:textId="77777777" w:rsidR="00754B03" w:rsidRPr="00192A46" w:rsidRDefault="00754B03" w:rsidP="00E311BF">
      <w:pPr>
        <w:tabs>
          <w:tab w:val="left" w:pos="698"/>
        </w:tabs>
      </w:pPr>
    </w:p>
    <w:p w14:paraId="3FEE4AED" w14:textId="77777777" w:rsidR="00754B03" w:rsidRPr="00192A46" w:rsidRDefault="00754B03" w:rsidP="00FE7D2E">
      <w:pPr>
        <w:pStyle w:val="Heading3"/>
      </w:pPr>
      <w:r w:rsidRPr="00192A46">
        <w:t>Q.</w:t>
      </w:r>
      <w:r w:rsidRPr="00192A46">
        <w:tab/>
        <w:t xml:space="preserve">How did the Commission characterize its Decoupling Policy Statement in that </w:t>
      </w:r>
      <w:r w:rsidR="004D0A40" w:rsidRPr="00192A46">
        <w:t xml:space="preserve">PSE </w:t>
      </w:r>
      <w:r w:rsidRPr="00192A46">
        <w:t>Order?</w:t>
      </w:r>
    </w:p>
    <w:p w14:paraId="3FEE4AEE" w14:textId="5D6D7052" w:rsidR="00754B03" w:rsidRPr="00192A46" w:rsidRDefault="00754B03" w:rsidP="00E311BF">
      <w:pPr>
        <w:tabs>
          <w:tab w:val="left" w:pos="698"/>
        </w:tabs>
      </w:pPr>
      <w:r w:rsidRPr="00192A46">
        <w:t>A.</w:t>
      </w:r>
      <w:r w:rsidRPr="00192A46">
        <w:tab/>
      </w:r>
      <w:r w:rsidR="00E311BF" w:rsidRPr="00192A46">
        <w:t xml:space="preserve">The Commission </w:t>
      </w:r>
      <w:r w:rsidR="004D0A40" w:rsidRPr="00192A46">
        <w:t>stated</w:t>
      </w:r>
      <w:r w:rsidRPr="00192A46">
        <w:t xml:space="preserve"> that it did not intend </w:t>
      </w:r>
      <w:r w:rsidR="00FE7D2E">
        <w:t xml:space="preserve">the </w:t>
      </w:r>
      <w:r w:rsidR="00E311BF" w:rsidRPr="00192A46">
        <w:t>Decoupling Policy Statement to be “immutable doctrine</w:t>
      </w:r>
      <w:r w:rsidR="00BC26DC">
        <w:t>,</w:t>
      </w:r>
      <w:r w:rsidR="00E311BF" w:rsidRPr="00192A46">
        <w:t>” and the Commission remained open to consider</w:t>
      </w:r>
      <w:r w:rsidR="00FE7D2E">
        <w:t>ing</w:t>
      </w:r>
      <w:r w:rsidR="00E311BF" w:rsidRPr="00192A46">
        <w:t xml:space="preserve"> proposals that varied from it.</w:t>
      </w:r>
      <w:r w:rsidR="00F80180">
        <w:rPr>
          <w:rStyle w:val="FootnoteReference"/>
        </w:rPr>
        <w:footnoteReference w:id="9"/>
      </w:r>
      <w:r w:rsidR="00E311BF" w:rsidRPr="00192A46">
        <w:t xml:space="preserve">  </w:t>
      </w:r>
    </w:p>
    <w:p w14:paraId="3FEE4AEF" w14:textId="77777777" w:rsidR="00BF02BA" w:rsidRPr="00192A46" w:rsidRDefault="00BF02BA" w:rsidP="00E311BF">
      <w:pPr>
        <w:tabs>
          <w:tab w:val="left" w:pos="698"/>
        </w:tabs>
        <w:rPr>
          <w:b/>
        </w:rPr>
      </w:pPr>
    </w:p>
    <w:p w14:paraId="3FEE4AF0" w14:textId="77777777" w:rsidR="00754B03" w:rsidRPr="00192A46" w:rsidRDefault="00754B03" w:rsidP="00FE7D2E">
      <w:pPr>
        <w:pStyle w:val="Heading3"/>
      </w:pPr>
      <w:r w:rsidRPr="00192A46">
        <w:t>Q.</w:t>
      </w:r>
      <w:r w:rsidRPr="00192A46">
        <w:tab/>
        <w:t xml:space="preserve">Is that consistent with what you assumed in your </w:t>
      </w:r>
      <w:r w:rsidR="00BF02BA" w:rsidRPr="00192A46">
        <w:t xml:space="preserve">earlier </w:t>
      </w:r>
      <w:r w:rsidRPr="00192A46">
        <w:t>decoupling testimony</w:t>
      </w:r>
      <w:r w:rsidR="00F80180">
        <w:t>, Exhibit No. ___ (DJR-1T)</w:t>
      </w:r>
      <w:r w:rsidRPr="00192A46">
        <w:t>?</w:t>
      </w:r>
    </w:p>
    <w:p w14:paraId="3FEE4AF1" w14:textId="77777777" w:rsidR="00754B03" w:rsidRDefault="00754B03" w:rsidP="00E311BF">
      <w:pPr>
        <w:tabs>
          <w:tab w:val="left" w:pos="698"/>
        </w:tabs>
      </w:pPr>
      <w:r w:rsidRPr="00192A46">
        <w:t>A,</w:t>
      </w:r>
      <w:r w:rsidRPr="00192A46">
        <w:tab/>
        <w:t xml:space="preserve">Yes.  </w:t>
      </w:r>
      <w:r w:rsidR="004D0A40" w:rsidRPr="00192A46">
        <w:t xml:space="preserve">Staff </w:t>
      </w:r>
      <w:r w:rsidR="00E311BF" w:rsidRPr="00192A46">
        <w:t xml:space="preserve">understands the Decoupling Policy Statement is a flexible document, </w:t>
      </w:r>
      <w:r w:rsidR="004D0A40" w:rsidRPr="00192A46">
        <w:t xml:space="preserve">and a specific decoupling proposal can depart from a particular policy or policies and still be accepted by the Commission.  However, </w:t>
      </w:r>
      <w:r w:rsidR="00811A02" w:rsidRPr="00192A46">
        <w:t xml:space="preserve">it is reasonable for </w:t>
      </w:r>
      <w:r w:rsidR="00E311BF" w:rsidRPr="00192A46">
        <w:t xml:space="preserve">the Commission </w:t>
      </w:r>
      <w:r w:rsidR="00811A02" w:rsidRPr="00192A46">
        <w:t xml:space="preserve">to </w:t>
      </w:r>
      <w:r w:rsidR="00E311BF" w:rsidRPr="00192A46">
        <w:t>expect parties proposing decoupling to address their proposal in light of that Decoupling Policy Statement.</w:t>
      </w:r>
      <w:r w:rsidR="00F80180">
        <w:rPr>
          <w:rStyle w:val="FootnoteReference"/>
        </w:rPr>
        <w:footnoteReference w:id="10"/>
      </w:r>
      <w:r w:rsidR="00E311BF" w:rsidRPr="00192A46">
        <w:t xml:space="preserve">  </w:t>
      </w:r>
    </w:p>
    <w:p w14:paraId="3FEE4AF2" w14:textId="77777777" w:rsidR="00FE7D2E" w:rsidRPr="00192A46" w:rsidRDefault="00FE7D2E" w:rsidP="00E311BF">
      <w:pPr>
        <w:tabs>
          <w:tab w:val="left" w:pos="698"/>
        </w:tabs>
      </w:pPr>
    </w:p>
    <w:p w14:paraId="3FEE4AF3" w14:textId="77777777" w:rsidR="00754B03" w:rsidRPr="00192A46" w:rsidRDefault="00754B03" w:rsidP="00FE7D2E">
      <w:pPr>
        <w:pStyle w:val="Heading3"/>
      </w:pPr>
      <w:r w:rsidRPr="00192A46">
        <w:t>Q.</w:t>
      </w:r>
      <w:r w:rsidRPr="00192A46">
        <w:tab/>
        <w:t xml:space="preserve">Did NWEC </w:t>
      </w:r>
      <w:r w:rsidR="004D0A40" w:rsidRPr="00192A46">
        <w:t xml:space="preserve">address </w:t>
      </w:r>
      <w:r w:rsidRPr="00192A46">
        <w:t>its</w:t>
      </w:r>
      <w:r w:rsidR="004D0A40" w:rsidRPr="00192A46">
        <w:t xml:space="preserve"> decoupling </w:t>
      </w:r>
      <w:r w:rsidRPr="00192A46">
        <w:t xml:space="preserve">proposal in light of the </w:t>
      </w:r>
      <w:r w:rsidR="004D0A40" w:rsidRPr="00192A46">
        <w:t xml:space="preserve">policies </w:t>
      </w:r>
      <w:r w:rsidRPr="00192A46">
        <w:t xml:space="preserve">in the </w:t>
      </w:r>
      <w:r w:rsidR="004D0A40" w:rsidRPr="00192A46">
        <w:t xml:space="preserve">Commission’s </w:t>
      </w:r>
      <w:r w:rsidRPr="00192A46">
        <w:t>Decoupling Policy Statement?</w:t>
      </w:r>
    </w:p>
    <w:p w14:paraId="3FEE4AF4" w14:textId="54879333" w:rsidR="00BF02BA" w:rsidRPr="00192A46" w:rsidRDefault="00754B03" w:rsidP="00E311BF">
      <w:pPr>
        <w:tabs>
          <w:tab w:val="left" w:pos="698"/>
        </w:tabs>
      </w:pPr>
      <w:r w:rsidRPr="00192A46">
        <w:t>A.</w:t>
      </w:r>
      <w:r w:rsidRPr="00192A46">
        <w:tab/>
        <w:t>No.  As I described in my earlier</w:t>
      </w:r>
      <w:r w:rsidR="00463037">
        <w:t>-</w:t>
      </w:r>
      <w:r w:rsidRPr="00192A46">
        <w:t xml:space="preserve">filed </w:t>
      </w:r>
      <w:r w:rsidR="004D0A40" w:rsidRPr="00192A46">
        <w:t xml:space="preserve">decoupling </w:t>
      </w:r>
      <w:r w:rsidRPr="00192A46">
        <w:t xml:space="preserve">testimony, </w:t>
      </w:r>
      <w:r w:rsidR="00BC26DC">
        <w:t xml:space="preserve">Exhibit No. ___ (DJR-1T) at 5, line </w:t>
      </w:r>
      <w:r w:rsidR="00F80180">
        <w:t>15 to 6</w:t>
      </w:r>
      <w:r w:rsidR="00BC26DC">
        <w:t xml:space="preserve">, </w:t>
      </w:r>
      <w:r w:rsidR="00772853">
        <w:t>line 4</w:t>
      </w:r>
      <w:r w:rsidR="00F80180">
        <w:t xml:space="preserve">, </w:t>
      </w:r>
      <w:r w:rsidR="00811A02" w:rsidRPr="00192A46">
        <w:t xml:space="preserve">NWEC’s witness Mr. Cavanagh failed to </w:t>
      </w:r>
      <w:r w:rsidR="00BF02BA" w:rsidRPr="00192A46">
        <w:t xml:space="preserve">address several of the </w:t>
      </w:r>
      <w:r w:rsidR="004D0A40" w:rsidRPr="00192A46">
        <w:t>pol</w:t>
      </w:r>
      <w:r w:rsidR="00B10510" w:rsidRPr="00192A46">
        <w:t>i</w:t>
      </w:r>
      <w:r w:rsidR="004D0A40" w:rsidRPr="00192A46">
        <w:t xml:space="preserve">cies that the Commission </w:t>
      </w:r>
      <w:r w:rsidR="00BF02BA" w:rsidRPr="00192A46">
        <w:t xml:space="preserve">directed </w:t>
      </w:r>
      <w:r w:rsidR="00F80180">
        <w:t xml:space="preserve">a proponent of decoupling </w:t>
      </w:r>
      <w:r w:rsidR="00BF02BA" w:rsidRPr="00192A46">
        <w:t xml:space="preserve">to address.  </w:t>
      </w:r>
      <w:r w:rsidR="00811A02" w:rsidRPr="00192A46">
        <w:t xml:space="preserve">  </w:t>
      </w:r>
    </w:p>
    <w:p w14:paraId="3FEE4AF5" w14:textId="77777777" w:rsidR="00C452C4" w:rsidRPr="00192A46" w:rsidRDefault="00C452C4" w:rsidP="00E311BF">
      <w:pPr>
        <w:tabs>
          <w:tab w:val="left" w:pos="698"/>
        </w:tabs>
      </w:pPr>
    </w:p>
    <w:p w14:paraId="3FEE4AF6" w14:textId="77777777" w:rsidR="00BF02BA" w:rsidRPr="00192A46" w:rsidRDefault="00BF02BA" w:rsidP="008F06D4">
      <w:pPr>
        <w:pStyle w:val="Heading3"/>
        <w:keepNext/>
      </w:pPr>
      <w:r w:rsidRPr="00192A46">
        <w:lastRenderedPageBreak/>
        <w:t>Q.</w:t>
      </w:r>
      <w:r w:rsidRPr="00192A46">
        <w:tab/>
        <w:t>Did the Commission provide other guidance on decoupling in that PSE Order?</w:t>
      </w:r>
    </w:p>
    <w:p w14:paraId="3FEE4AF7" w14:textId="35A20362" w:rsidR="00BF02BA" w:rsidRPr="00192A46" w:rsidRDefault="00BF02BA" w:rsidP="00BF02BA">
      <w:r w:rsidRPr="00192A46">
        <w:t>A.</w:t>
      </w:r>
      <w:r w:rsidRPr="00192A46">
        <w:tab/>
        <w:t xml:space="preserve">Yes.  In </w:t>
      </w:r>
      <w:r w:rsidR="00F80180">
        <w:t xml:space="preserve">that </w:t>
      </w:r>
      <w:r w:rsidR="004D0A40" w:rsidRPr="00192A46">
        <w:t>Order</w:t>
      </w:r>
      <w:r w:rsidRPr="00192A46">
        <w:t>, the Commission stated it would not approve a decoupling mechanism for PSE because of PSE’s “staunch opposition</w:t>
      </w:r>
      <w:r w:rsidR="00BC26DC">
        <w:t>.</w:t>
      </w:r>
      <w:r w:rsidRPr="00192A46">
        <w:t>”</w:t>
      </w:r>
      <w:r w:rsidR="00F80180">
        <w:rPr>
          <w:rStyle w:val="FootnoteReference"/>
        </w:rPr>
        <w:footnoteReference w:id="11"/>
      </w:r>
      <w:r w:rsidRPr="00192A46">
        <w:t xml:space="preserve">    </w:t>
      </w:r>
    </w:p>
    <w:p w14:paraId="3FEE4AF8" w14:textId="77777777" w:rsidR="00BF02BA" w:rsidRPr="00192A46" w:rsidRDefault="00BF02BA" w:rsidP="00BF02BA"/>
    <w:p w14:paraId="3FEE4AF9" w14:textId="77777777" w:rsidR="00BF02BA" w:rsidRPr="00192A46" w:rsidRDefault="00BF02BA" w:rsidP="00FE7D2E">
      <w:pPr>
        <w:pStyle w:val="Heading3"/>
      </w:pPr>
      <w:r w:rsidRPr="00192A46">
        <w:t>Q.</w:t>
      </w:r>
      <w:r w:rsidRPr="00192A46">
        <w:tab/>
        <w:t xml:space="preserve">Does that </w:t>
      </w:r>
      <w:r w:rsidR="00F80180">
        <w:t xml:space="preserve">statement </w:t>
      </w:r>
      <w:r w:rsidRPr="00192A46">
        <w:t>apply to Avista?</w:t>
      </w:r>
    </w:p>
    <w:p w14:paraId="3FEE4AFA" w14:textId="77777777" w:rsidR="00BF02BA" w:rsidRPr="00192A46" w:rsidRDefault="00BF02BA" w:rsidP="00BF02BA">
      <w:r w:rsidRPr="00192A46">
        <w:t>A.</w:t>
      </w:r>
      <w:r w:rsidRPr="00192A46">
        <w:tab/>
        <w:t xml:space="preserve">Yes.  While to date, Avista’s opposition to decoupling </w:t>
      </w:r>
      <w:r w:rsidR="004D0A40" w:rsidRPr="00192A46">
        <w:t xml:space="preserve">is more subtle than </w:t>
      </w:r>
      <w:r w:rsidRPr="00192A46">
        <w:t>PSE’s, like PSE, Avista also opposes decoupling.</w:t>
      </w:r>
      <w:r w:rsidR="00D530EE">
        <w:rPr>
          <w:rStyle w:val="FootnoteReference"/>
        </w:rPr>
        <w:footnoteReference w:id="12"/>
      </w:r>
      <w:r w:rsidRPr="00192A46">
        <w:t xml:space="preserve">  A consistent result for Avista would be </w:t>
      </w:r>
      <w:r w:rsidR="004D0A40" w:rsidRPr="00192A46">
        <w:t xml:space="preserve">for the </w:t>
      </w:r>
      <w:r w:rsidR="00192A46" w:rsidRPr="00192A46">
        <w:t>Commission</w:t>
      </w:r>
      <w:r w:rsidR="004D0A40" w:rsidRPr="00192A46">
        <w:t xml:space="preserve"> to deny</w:t>
      </w:r>
      <w:r w:rsidRPr="00192A46">
        <w:t xml:space="preserve"> NWEC’s decoupling proposal</w:t>
      </w:r>
      <w:r w:rsidR="004D0A40" w:rsidRPr="00192A46">
        <w:t xml:space="preserve"> in this case</w:t>
      </w:r>
      <w:r w:rsidRPr="00192A46">
        <w:t>.</w:t>
      </w:r>
    </w:p>
    <w:p w14:paraId="3FEE4AFB" w14:textId="77777777" w:rsidR="00BF02BA" w:rsidRDefault="00BF02BA" w:rsidP="00C452C4"/>
    <w:p w14:paraId="3FEE4AFC" w14:textId="77777777" w:rsidR="00617FB7" w:rsidRPr="00192A46" w:rsidRDefault="00BF02BA" w:rsidP="00951F6B">
      <w:pPr>
        <w:pStyle w:val="Heading1"/>
        <w:spacing w:line="240" w:lineRule="auto"/>
      </w:pPr>
      <w:bookmarkStart w:id="5" w:name="_Toc335731519"/>
      <w:bookmarkStart w:id="6" w:name="_Toc314559021"/>
      <w:r w:rsidRPr="00192A46">
        <w:t xml:space="preserve">STAFF </w:t>
      </w:r>
      <w:r w:rsidR="00491984" w:rsidRPr="00192A46">
        <w:t>RESPONSES</w:t>
      </w:r>
      <w:r w:rsidR="003F6AF0" w:rsidRPr="00192A46">
        <w:t xml:space="preserve"> </w:t>
      </w:r>
      <w:r w:rsidR="00491984" w:rsidRPr="00192A46">
        <w:t>TO</w:t>
      </w:r>
      <w:r w:rsidR="003F6AF0" w:rsidRPr="00192A46">
        <w:t xml:space="preserve"> </w:t>
      </w:r>
      <w:r w:rsidRPr="00192A46">
        <w:t>DECOUPLING TESTIMONY OF OTHER PARTIES</w:t>
      </w:r>
      <w:bookmarkEnd w:id="5"/>
      <w:r w:rsidRPr="00192A46">
        <w:t xml:space="preserve"> </w:t>
      </w:r>
      <w:bookmarkEnd w:id="6"/>
    </w:p>
    <w:p w14:paraId="3FEE4AFD" w14:textId="77777777" w:rsidR="009E549A" w:rsidRPr="00192A46" w:rsidRDefault="009E549A" w:rsidP="00C278B3"/>
    <w:p w14:paraId="3FEE4AFE" w14:textId="77777777" w:rsidR="009E549A" w:rsidRPr="00192A46" w:rsidRDefault="00617FB7" w:rsidP="00C278B3">
      <w:pPr>
        <w:pStyle w:val="Heading3"/>
      </w:pPr>
      <w:r w:rsidRPr="00192A46">
        <w:t>Q.</w:t>
      </w:r>
      <w:r w:rsidRPr="00192A46">
        <w:tab/>
      </w:r>
      <w:r w:rsidR="00B10510" w:rsidRPr="00192A46">
        <w:t xml:space="preserve">Before you respond </w:t>
      </w:r>
      <w:r w:rsidR="00B12CFF">
        <w:t xml:space="preserve">to </w:t>
      </w:r>
      <w:r w:rsidR="00B10510" w:rsidRPr="00192A46">
        <w:t>the other parties on decoupling, p</w:t>
      </w:r>
      <w:r w:rsidRPr="00192A46">
        <w:t xml:space="preserve">lease generally describe NWEC’s decoupling proposal.  </w:t>
      </w:r>
    </w:p>
    <w:p w14:paraId="3FEE4AFF" w14:textId="77777777" w:rsidR="0076172D" w:rsidRPr="00192A46" w:rsidRDefault="00491984" w:rsidP="00C278B3">
      <w:r w:rsidRPr="00192A46">
        <w:t>A.</w:t>
      </w:r>
      <w:r w:rsidRPr="00192A46">
        <w:tab/>
        <w:t>NWEC propose</w:t>
      </w:r>
      <w:r w:rsidR="00F80180">
        <w:t>s</w:t>
      </w:r>
      <w:r w:rsidR="00617FB7" w:rsidRPr="00192A46">
        <w:t xml:space="preserve"> a full decoupling mechanism for </w:t>
      </w:r>
      <w:r w:rsidR="005B2107" w:rsidRPr="00192A46">
        <w:t>Avista</w:t>
      </w:r>
      <w:r w:rsidR="00B66CF4" w:rsidRPr="00192A46">
        <w:t>’s electric operations</w:t>
      </w:r>
      <w:r w:rsidR="00617FB7" w:rsidRPr="00192A46">
        <w:t xml:space="preserve">.  </w:t>
      </w:r>
      <w:r w:rsidR="005B2107" w:rsidRPr="00192A46">
        <w:t>Avista’s</w:t>
      </w:r>
      <w:r w:rsidR="00446C14" w:rsidRPr="00192A46">
        <w:t xml:space="preserve"> revenues would be based upon a revenue</w:t>
      </w:r>
      <w:r w:rsidR="00213C95" w:rsidRPr="00192A46">
        <w:t>-</w:t>
      </w:r>
      <w:r w:rsidR="00446C14" w:rsidRPr="00192A46">
        <w:t>per</w:t>
      </w:r>
      <w:r w:rsidR="00213C95" w:rsidRPr="00192A46">
        <w:t>-</w:t>
      </w:r>
      <w:r w:rsidR="00446C14" w:rsidRPr="00192A46">
        <w:t xml:space="preserve">customer (“RPC”) </w:t>
      </w:r>
      <w:r w:rsidR="0076172D" w:rsidRPr="00192A46">
        <w:t xml:space="preserve">value </w:t>
      </w:r>
      <w:r w:rsidR="00446C14" w:rsidRPr="00192A46">
        <w:t xml:space="preserve">for </w:t>
      </w:r>
      <w:r w:rsidR="00596E8D" w:rsidRPr="00192A46">
        <w:t xml:space="preserve">all </w:t>
      </w:r>
      <w:r w:rsidR="00B66CF4" w:rsidRPr="00192A46">
        <w:t xml:space="preserve">electric </w:t>
      </w:r>
      <w:r w:rsidR="00596E8D" w:rsidRPr="00192A46">
        <w:t>customers</w:t>
      </w:r>
      <w:r w:rsidR="00F47E21" w:rsidRPr="00192A46">
        <w:t>,</w:t>
      </w:r>
      <w:r w:rsidR="00596E8D" w:rsidRPr="00192A46">
        <w:t xml:space="preserve"> except the 22 customers Avista serves under Schedule 25, Extra Large General Service</w:t>
      </w:r>
      <w:r w:rsidR="0076172D" w:rsidRPr="00192A46">
        <w:t>.</w:t>
      </w:r>
      <w:r w:rsidR="00446C14" w:rsidRPr="00192A46">
        <w:rPr>
          <w:rStyle w:val="FootnoteReference"/>
        </w:rPr>
        <w:footnoteReference w:id="13"/>
      </w:r>
      <w:r w:rsidR="00446C14" w:rsidRPr="00192A46">
        <w:t xml:space="preserve">  </w:t>
      </w:r>
    </w:p>
    <w:p w14:paraId="3FEE4B00" w14:textId="77777777" w:rsidR="0076172D" w:rsidRPr="00192A46" w:rsidRDefault="0076172D" w:rsidP="00C278B3">
      <w:r w:rsidRPr="00192A46">
        <w:tab/>
      </w:r>
      <w:r w:rsidRPr="00192A46">
        <w:tab/>
        <w:t xml:space="preserve">The </w:t>
      </w:r>
      <w:r w:rsidR="00596E8D" w:rsidRPr="00192A46">
        <w:t xml:space="preserve">NWEC </w:t>
      </w:r>
      <w:r w:rsidR="004161DE" w:rsidRPr="00192A46">
        <w:t>propos</w:t>
      </w:r>
      <w:r w:rsidR="002F09C6" w:rsidRPr="00192A46">
        <w:t xml:space="preserve">al </w:t>
      </w:r>
      <w:r w:rsidR="00617FB7" w:rsidRPr="00192A46">
        <w:t xml:space="preserve">would </w:t>
      </w:r>
      <w:r w:rsidRPr="00192A46">
        <w:t xml:space="preserve">guarantee </w:t>
      </w:r>
      <w:r w:rsidR="005B2107" w:rsidRPr="00192A46">
        <w:t>Avista</w:t>
      </w:r>
      <w:r w:rsidR="00617FB7" w:rsidRPr="00192A46">
        <w:t xml:space="preserve"> would recover that </w:t>
      </w:r>
      <w:r w:rsidR="004161DE" w:rsidRPr="00192A46">
        <w:t xml:space="preserve">RPC </w:t>
      </w:r>
      <w:r w:rsidRPr="00192A46">
        <w:t>through a deferred accounting and true-up process</w:t>
      </w:r>
      <w:r w:rsidR="00617FB7" w:rsidRPr="00192A46">
        <w:t>.  The true-ups</w:t>
      </w:r>
      <w:r w:rsidRPr="00192A46">
        <w:t xml:space="preserve"> of actual revenue to the </w:t>
      </w:r>
      <w:r w:rsidR="002F09C6" w:rsidRPr="00192A46">
        <w:t xml:space="preserve">RPC </w:t>
      </w:r>
      <w:r w:rsidRPr="00192A46">
        <w:t>level would occur annually</w:t>
      </w:r>
      <w:r w:rsidR="00617FB7" w:rsidRPr="00192A46">
        <w:t xml:space="preserve">, subject to a three percent rate increase cap.  </w:t>
      </w:r>
      <w:r w:rsidR="005B2107" w:rsidRPr="00192A46">
        <w:lastRenderedPageBreak/>
        <w:t>Avista</w:t>
      </w:r>
      <w:r w:rsidR="00617FB7" w:rsidRPr="00192A46">
        <w:t xml:space="preserve"> would defer any amount above the cap and recover it in later annual </w:t>
      </w:r>
      <w:r w:rsidR="00446C14" w:rsidRPr="00192A46">
        <w:t>rate changes</w:t>
      </w:r>
      <w:r w:rsidR="00617FB7" w:rsidRPr="00192A46">
        <w:t xml:space="preserve">.  </w:t>
      </w:r>
    </w:p>
    <w:p w14:paraId="3FEE4B01" w14:textId="77777777" w:rsidR="00617FB7" w:rsidRPr="00192A46" w:rsidRDefault="0076172D" w:rsidP="00C278B3">
      <w:r w:rsidRPr="00192A46">
        <w:tab/>
      </w:r>
      <w:r w:rsidRPr="00192A46">
        <w:tab/>
      </w:r>
      <w:r w:rsidR="00617FB7" w:rsidRPr="00192A46">
        <w:t>NWEC</w:t>
      </w:r>
      <w:r w:rsidR="00446C14" w:rsidRPr="00192A46">
        <w:t xml:space="preserve"> proposes that the</w:t>
      </w:r>
      <w:r w:rsidR="00617FB7" w:rsidRPr="00192A46">
        <w:t xml:space="preserve"> mechanism </w:t>
      </w:r>
      <w:r w:rsidR="00446C14" w:rsidRPr="00192A46">
        <w:t xml:space="preserve">run for </w:t>
      </w:r>
      <w:r w:rsidRPr="00192A46">
        <w:t xml:space="preserve">at least </w:t>
      </w:r>
      <w:r w:rsidR="00213C95" w:rsidRPr="00192A46">
        <w:t>f</w:t>
      </w:r>
      <w:r w:rsidR="00617FB7" w:rsidRPr="00192A46">
        <w:t>ive year</w:t>
      </w:r>
      <w:r w:rsidR="003B3D07" w:rsidRPr="00192A46">
        <w:t>s</w:t>
      </w:r>
      <w:r w:rsidRPr="00192A46">
        <w:t xml:space="preserve">, subject to a </w:t>
      </w:r>
      <w:r w:rsidR="00446C14" w:rsidRPr="00192A46">
        <w:t xml:space="preserve">future evaluation </w:t>
      </w:r>
      <w:r w:rsidR="00617FB7" w:rsidRPr="00192A46">
        <w:t xml:space="preserve">by an independent contractor.  </w:t>
      </w:r>
      <w:r w:rsidR="008C3E2A" w:rsidRPr="00192A46">
        <w:t xml:space="preserve">Finally, the </w:t>
      </w:r>
      <w:r w:rsidR="00D530EE" w:rsidRPr="00192A46">
        <w:t>NWEC</w:t>
      </w:r>
      <w:r w:rsidR="00D530EE">
        <w:t>-</w:t>
      </w:r>
      <w:r w:rsidRPr="00192A46">
        <w:t xml:space="preserve">proposed </w:t>
      </w:r>
      <w:r w:rsidR="008C3E2A" w:rsidRPr="00192A46">
        <w:t xml:space="preserve">mechanism requires annual reports by </w:t>
      </w:r>
      <w:r w:rsidR="005B2107" w:rsidRPr="00192A46">
        <w:t>Avista</w:t>
      </w:r>
      <w:r w:rsidR="00617FB7" w:rsidRPr="00192A46">
        <w:t xml:space="preserve"> </w:t>
      </w:r>
      <w:r w:rsidR="008C3E2A" w:rsidRPr="00192A46">
        <w:t>describing</w:t>
      </w:r>
      <w:r w:rsidR="00617FB7" w:rsidRPr="00192A46">
        <w:t xml:space="preserve"> its progress</w:t>
      </w:r>
      <w:r w:rsidR="00213C95" w:rsidRPr="00192A46">
        <w:t xml:space="preserve"> toward</w:t>
      </w:r>
      <w:r w:rsidR="00617FB7" w:rsidRPr="00192A46">
        <w:t xml:space="preserve"> conservation targets.</w:t>
      </w:r>
      <w:r w:rsidR="003B3D07" w:rsidRPr="00192A46">
        <w:rPr>
          <w:rStyle w:val="FootnoteReference"/>
        </w:rPr>
        <w:footnoteReference w:id="14"/>
      </w:r>
    </w:p>
    <w:p w14:paraId="3FEE4B02" w14:textId="77777777" w:rsidR="00617FB7" w:rsidRPr="00192A46" w:rsidRDefault="00617FB7" w:rsidP="00C278B3"/>
    <w:p w14:paraId="3FEE4B03" w14:textId="77777777" w:rsidR="002B2E41" w:rsidRPr="00192A46" w:rsidRDefault="00BF02BA" w:rsidP="00B12CFF">
      <w:pPr>
        <w:pStyle w:val="Heading2"/>
        <w:spacing w:line="240" w:lineRule="auto"/>
        <w:ind w:left="634" w:hanging="634"/>
      </w:pPr>
      <w:bookmarkStart w:id="7" w:name="_Toc314559022"/>
      <w:bookmarkStart w:id="8" w:name="_Toc335731520"/>
      <w:r w:rsidRPr="00192A46">
        <w:t xml:space="preserve">Staff </w:t>
      </w:r>
      <w:r w:rsidR="00811A02" w:rsidRPr="00192A46">
        <w:t xml:space="preserve">Response on </w:t>
      </w:r>
      <w:r w:rsidR="00DB1B76">
        <w:t xml:space="preserve">Customer </w:t>
      </w:r>
      <w:r w:rsidR="00811A02" w:rsidRPr="00192A46">
        <w:t>Issue</w:t>
      </w:r>
      <w:r w:rsidR="00DB1B76">
        <w:t>s:</w:t>
      </w:r>
      <w:r w:rsidR="00811A02" w:rsidRPr="00192A46">
        <w:t xml:space="preserve"> Including </w:t>
      </w:r>
      <w:r w:rsidRPr="00192A46">
        <w:t xml:space="preserve">All </w:t>
      </w:r>
      <w:r w:rsidR="00617FB7" w:rsidRPr="00192A46">
        <w:t>Customer Classes</w:t>
      </w:r>
      <w:bookmarkEnd w:id="7"/>
      <w:r w:rsidR="00B12CFF">
        <w:t xml:space="preserve">; </w:t>
      </w:r>
      <w:r w:rsidR="00EA1E72">
        <w:t>Decoupling</w:t>
      </w:r>
      <w:r w:rsidR="00FF607A">
        <w:t xml:space="preserve"> </w:t>
      </w:r>
      <w:r w:rsidR="00B12CFF">
        <w:t>Per-</w:t>
      </w:r>
      <w:r w:rsidR="00FF607A">
        <w:t>C</w:t>
      </w:r>
      <w:r w:rsidR="00B12CFF">
        <w:t xml:space="preserve">ustomer </w:t>
      </w:r>
      <w:r w:rsidR="00FF607A">
        <w:t>V</w:t>
      </w:r>
      <w:r w:rsidR="00B12CFF">
        <w:t xml:space="preserve">ersus </w:t>
      </w:r>
      <w:r w:rsidR="00FF607A">
        <w:t>P</w:t>
      </w:r>
      <w:r w:rsidR="00B12CFF">
        <w:t>er-</w:t>
      </w:r>
      <w:r w:rsidR="00FF607A">
        <w:t>C</w:t>
      </w:r>
      <w:r w:rsidR="00B12CFF">
        <w:t>lass;</w:t>
      </w:r>
      <w:r w:rsidR="00FF607A">
        <w:t xml:space="preserve"> and</w:t>
      </w:r>
      <w:r w:rsidR="00B12CFF">
        <w:t xml:space="preserve"> </w:t>
      </w:r>
      <w:r w:rsidR="00DB1B76">
        <w:t>Exclu</w:t>
      </w:r>
      <w:r w:rsidR="00FF607A">
        <w:t>ding</w:t>
      </w:r>
      <w:r w:rsidR="00DB1B76">
        <w:t xml:space="preserve"> </w:t>
      </w:r>
      <w:r w:rsidR="00FF607A">
        <w:t>N</w:t>
      </w:r>
      <w:r w:rsidR="00B12CFF">
        <w:t xml:space="preserve">ew </w:t>
      </w:r>
      <w:r w:rsidR="00FF607A">
        <w:t>C</w:t>
      </w:r>
      <w:r w:rsidR="00B12CFF">
        <w:t>ustomer</w:t>
      </w:r>
      <w:r w:rsidR="00DB1B76">
        <w:t>s</w:t>
      </w:r>
      <w:bookmarkEnd w:id="8"/>
    </w:p>
    <w:p w14:paraId="3FEE4B04" w14:textId="77777777" w:rsidR="00B0639E" w:rsidRPr="00192A46" w:rsidRDefault="00B0639E" w:rsidP="00035905"/>
    <w:p w14:paraId="3FEE4B05" w14:textId="77777777" w:rsidR="004D0A40" w:rsidRPr="00192A46" w:rsidRDefault="004D0A40" w:rsidP="003770CB">
      <w:pPr>
        <w:pStyle w:val="Heading3"/>
      </w:pPr>
      <w:r w:rsidRPr="00192A46">
        <w:t>Q.</w:t>
      </w:r>
      <w:r w:rsidRPr="00192A46">
        <w:tab/>
        <w:t>Please briefly summarize the Commission’s polic</w:t>
      </w:r>
      <w:r w:rsidR="00DB1B76">
        <w:t>ies</w:t>
      </w:r>
      <w:r w:rsidRPr="00192A46">
        <w:t xml:space="preserve"> on customer</w:t>
      </w:r>
      <w:r w:rsidR="00DB1B76">
        <w:t>-specific</w:t>
      </w:r>
      <w:r w:rsidRPr="00192A46">
        <w:t xml:space="preserve"> </w:t>
      </w:r>
      <w:r w:rsidR="00DB1B76">
        <w:t>issues</w:t>
      </w:r>
      <w:r w:rsidRPr="00192A46">
        <w:t xml:space="preserve">. </w:t>
      </w:r>
    </w:p>
    <w:p w14:paraId="3FEE4B06" w14:textId="77777777" w:rsidR="004D0A40" w:rsidRDefault="004D0A40" w:rsidP="004D0A40">
      <w:r w:rsidRPr="00192A46">
        <w:t>A.</w:t>
      </w:r>
      <w:r w:rsidRPr="00192A46">
        <w:tab/>
      </w:r>
      <w:r w:rsidR="00FF607A">
        <w:t>The Commission’s policy is that a</w:t>
      </w:r>
      <w:r w:rsidR="00035905">
        <w:t xml:space="preserve"> full decoupling proposal should include all customer classes, unless it would be lawful or consistent with the public interest to do otherwise.</w:t>
      </w:r>
      <w:r w:rsidR="00FF607A">
        <w:rPr>
          <w:rStyle w:val="FootnoteReference"/>
        </w:rPr>
        <w:footnoteReference w:id="15"/>
      </w:r>
      <w:r w:rsidR="00035905">
        <w:t xml:space="preserve">  </w:t>
      </w:r>
      <w:r w:rsidR="00FF607A">
        <w:t xml:space="preserve">In the Commission’s </w:t>
      </w:r>
      <w:r w:rsidR="00B84E18" w:rsidRPr="00B84E18">
        <w:t>recent PSE Order</w:t>
      </w:r>
      <w:r w:rsidR="00FF607A">
        <w:t>, the Commission concluded</w:t>
      </w:r>
      <w:r w:rsidR="00B84E18" w:rsidRPr="00B84E18">
        <w:t xml:space="preserve"> that the revenue per c</w:t>
      </w:r>
      <w:r w:rsidR="00DB1B76">
        <w:t>ustomer mechanism should be per-</w:t>
      </w:r>
      <w:r w:rsidR="00B84E18" w:rsidRPr="00B84E18">
        <w:t>class.</w:t>
      </w:r>
      <w:r w:rsidR="00FF607A">
        <w:rPr>
          <w:rStyle w:val="FootnoteReference"/>
        </w:rPr>
        <w:footnoteReference w:id="16"/>
      </w:r>
      <w:r w:rsidR="00B84E18" w:rsidRPr="00B84E18">
        <w:t xml:space="preserve"> </w:t>
      </w:r>
      <w:r w:rsidR="00FF607A">
        <w:t xml:space="preserve"> </w:t>
      </w:r>
      <w:r w:rsidR="00DB1B76">
        <w:t xml:space="preserve">The Commission </w:t>
      </w:r>
      <w:r w:rsidR="00FF607A">
        <w:t xml:space="preserve">has </w:t>
      </w:r>
      <w:r w:rsidR="00DB1B76">
        <w:t xml:space="preserve">further </w:t>
      </w:r>
      <w:r w:rsidR="00DB1B76" w:rsidRPr="00DB1B76">
        <w:t>recognize</w:t>
      </w:r>
      <w:r w:rsidR="00DB1B76">
        <w:t>d</w:t>
      </w:r>
      <w:r w:rsidR="00DB1B76" w:rsidRPr="00DB1B76">
        <w:t xml:space="preserve"> that revenue associated with new customers is offset by the costs to serve those customers</w:t>
      </w:r>
      <w:r w:rsidR="00DB1B76">
        <w:t xml:space="preserve">, and that </w:t>
      </w:r>
      <w:r w:rsidR="00DB1B76" w:rsidRPr="00DB1B76">
        <w:t xml:space="preserve">these revenues and costs </w:t>
      </w:r>
      <w:r w:rsidR="00DB1B76">
        <w:t>should be</w:t>
      </w:r>
      <w:r w:rsidR="00DB1B76" w:rsidRPr="00DB1B76">
        <w:t xml:space="preserve"> in reasonable balance</w:t>
      </w:r>
      <w:r w:rsidR="00DB1B76">
        <w:t xml:space="preserve"> if new customers are included in the mechanism</w:t>
      </w:r>
      <w:r w:rsidR="00DB1B76" w:rsidRPr="00DB1B76">
        <w:t>.</w:t>
      </w:r>
      <w:r w:rsidR="00FF607A">
        <w:rPr>
          <w:rStyle w:val="FootnoteReference"/>
        </w:rPr>
        <w:footnoteReference w:id="17"/>
      </w:r>
      <w:r w:rsidR="00DB1B76">
        <w:t xml:space="preserve">  </w:t>
      </w:r>
    </w:p>
    <w:p w14:paraId="3FEE4B07" w14:textId="77777777" w:rsidR="009A788F" w:rsidRPr="00192A46" w:rsidRDefault="009A788F" w:rsidP="004D0A40"/>
    <w:p w14:paraId="3FEE4B08" w14:textId="77777777" w:rsidR="00D61723" w:rsidRPr="00192A46" w:rsidRDefault="00D61723" w:rsidP="00D61723">
      <w:pPr>
        <w:pStyle w:val="Heading3"/>
      </w:pPr>
      <w:r w:rsidRPr="00192A46">
        <w:t>Q.</w:t>
      </w:r>
      <w:r w:rsidRPr="00192A46">
        <w:tab/>
        <w:t xml:space="preserve">What does </w:t>
      </w:r>
      <w:r w:rsidR="00811A02" w:rsidRPr="00192A46">
        <w:t xml:space="preserve">Avista </w:t>
      </w:r>
      <w:r w:rsidRPr="00192A46">
        <w:t xml:space="preserve">say about </w:t>
      </w:r>
      <w:r w:rsidR="00FF607A">
        <w:t xml:space="preserve">these </w:t>
      </w:r>
      <w:r w:rsidRPr="00192A46">
        <w:t>customer</w:t>
      </w:r>
      <w:r w:rsidR="00FF607A">
        <w:t>-</w:t>
      </w:r>
      <w:r w:rsidR="00C206BF">
        <w:t>specific issues</w:t>
      </w:r>
      <w:r w:rsidRPr="00192A46">
        <w:t>?</w:t>
      </w:r>
    </w:p>
    <w:p w14:paraId="3FEE4B09" w14:textId="77777777" w:rsidR="004D0A40" w:rsidRPr="00192A46" w:rsidRDefault="00D61723" w:rsidP="00C278B3">
      <w:r w:rsidRPr="00192A46">
        <w:lastRenderedPageBreak/>
        <w:t>A.</w:t>
      </w:r>
      <w:r w:rsidRPr="00192A46">
        <w:tab/>
      </w:r>
      <w:r w:rsidR="00811A02" w:rsidRPr="00192A46">
        <w:t xml:space="preserve">Avista </w:t>
      </w:r>
      <w:r w:rsidR="004D0A40" w:rsidRPr="00192A46">
        <w:t xml:space="preserve">would </w:t>
      </w:r>
      <w:r w:rsidR="00EA56BE" w:rsidRPr="00192A46">
        <w:t>include all customer</w:t>
      </w:r>
      <w:r w:rsidR="00327E53" w:rsidRPr="00192A46">
        <w:t xml:space="preserve"> classes</w:t>
      </w:r>
      <w:r w:rsidR="00EA56BE" w:rsidRPr="00192A46">
        <w:t xml:space="preserve"> in </w:t>
      </w:r>
      <w:r w:rsidR="004D0A40" w:rsidRPr="00192A46">
        <w:t xml:space="preserve">a decoupling </w:t>
      </w:r>
      <w:r w:rsidR="00EA56BE" w:rsidRPr="00192A46">
        <w:t>mechanism</w:t>
      </w:r>
      <w:r w:rsidR="00811A02" w:rsidRPr="00192A46">
        <w:t>,</w:t>
      </w:r>
      <w:r w:rsidR="00EA56BE" w:rsidRPr="00192A46">
        <w:t xml:space="preserve"> except for </w:t>
      </w:r>
      <w:r w:rsidR="004D0A40" w:rsidRPr="00192A46">
        <w:t xml:space="preserve">Street and Area Lighting </w:t>
      </w:r>
      <w:r w:rsidR="00EA56BE" w:rsidRPr="00192A46">
        <w:t>Schedules 41 through 48.</w:t>
      </w:r>
      <w:r w:rsidR="00FF607A">
        <w:rPr>
          <w:rStyle w:val="FootnoteReference"/>
        </w:rPr>
        <w:footnoteReference w:id="18"/>
      </w:r>
      <w:r w:rsidR="004D0A40" w:rsidRPr="00192A46">
        <w:t xml:space="preserve"> </w:t>
      </w:r>
      <w:r w:rsidR="00EA56BE" w:rsidRPr="00192A46">
        <w:t xml:space="preserve"> </w:t>
      </w:r>
      <w:r w:rsidR="00951F6B">
        <w:t>The calculations in Mr. </w:t>
      </w:r>
      <w:r w:rsidR="00B84E18">
        <w:t>Ehrbar</w:t>
      </w:r>
      <w:r w:rsidR="00B84E18" w:rsidRPr="00192A46">
        <w:t>’s Exhibit No. ___ (PDE-10) show cost per customer separately calculated for each rate schedule</w:t>
      </w:r>
      <w:r w:rsidR="00B84E18">
        <w:t>, consistent with the Commission’s guidance in the PSE Order</w:t>
      </w:r>
      <w:r w:rsidR="00B84E18" w:rsidRPr="00192A46">
        <w:t>.</w:t>
      </w:r>
      <w:r w:rsidR="00DB1B76">
        <w:t xml:space="preserve">  Avista does </w:t>
      </w:r>
      <w:r w:rsidR="00DB1B76" w:rsidRPr="00DC163C">
        <w:t>not mention new</w:t>
      </w:r>
      <w:r w:rsidR="00DB1B76">
        <w:t xml:space="preserve"> </w:t>
      </w:r>
      <w:r w:rsidR="00DB1B76" w:rsidRPr="00DC163C">
        <w:t>customers</w:t>
      </w:r>
      <w:r w:rsidR="00DB1B76">
        <w:t>.</w:t>
      </w:r>
    </w:p>
    <w:p w14:paraId="3FEE4B0A" w14:textId="77777777" w:rsidR="004D0A40" w:rsidRPr="00192A46" w:rsidRDefault="004D0A40" w:rsidP="00C278B3"/>
    <w:p w14:paraId="3FEE4B0B" w14:textId="77777777" w:rsidR="004D0A40" w:rsidRPr="00192A46" w:rsidRDefault="004D0A40" w:rsidP="003770CB">
      <w:pPr>
        <w:pStyle w:val="Heading3"/>
      </w:pPr>
      <w:r w:rsidRPr="00192A46">
        <w:t>Q.</w:t>
      </w:r>
      <w:r w:rsidRPr="00192A46">
        <w:tab/>
        <w:t xml:space="preserve">Is </w:t>
      </w:r>
      <w:r w:rsidR="00192A46" w:rsidRPr="00192A46">
        <w:t xml:space="preserve">it appropriate to </w:t>
      </w:r>
      <w:r w:rsidRPr="00192A46">
        <w:t>exc</w:t>
      </w:r>
      <w:r w:rsidR="00192A46" w:rsidRPr="00192A46">
        <w:t xml:space="preserve">lude </w:t>
      </w:r>
      <w:r w:rsidRPr="00192A46">
        <w:t>Street and Area Light</w:t>
      </w:r>
      <w:r w:rsidR="00192A46" w:rsidRPr="00192A46">
        <w:t>i</w:t>
      </w:r>
      <w:r w:rsidRPr="00192A46">
        <w:t xml:space="preserve">ng </w:t>
      </w:r>
      <w:r w:rsidR="00192A46" w:rsidRPr="00192A46">
        <w:t>from decoupling</w:t>
      </w:r>
      <w:r w:rsidRPr="00192A46">
        <w:t>?</w:t>
      </w:r>
    </w:p>
    <w:p w14:paraId="3FEE4B0C" w14:textId="77777777" w:rsidR="00BF02BA" w:rsidRPr="00192A46" w:rsidRDefault="004D0A40" w:rsidP="00C278B3">
      <w:r w:rsidRPr="00192A46">
        <w:t>A.</w:t>
      </w:r>
      <w:r w:rsidRPr="00192A46">
        <w:tab/>
        <w:t xml:space="preserve">Yes.  As Mr. </w:t>
      </w:r>
      <w:r w:rsidR="00192A46">
        <w:t>Ehrbar</w:t>
      </w:r>
      <w:r w:rsidRPr="00192A46">
        <w:t xml:space="preserve"> notes, </w:t>
      </w:r>
      <w:r w:rsidR="00BF02BA" w:rsidRPr="00192A46">
        <w:t>Street and Area Light</w:t>
      </w:r>
      <w:r w:rsidR="00781E79" w:rsidRPr="00192A46">
        <w:t xml:space="preserve">ing </w:t>
      </w:r>
      <w:r w:rsidR="00192A46" w:rsidRPr="00192A46">
        <w:t>customers</w:t>
      </w:r>
      <w:r w:rsidR="00781E79" w:rsidRPr="00192A46">
        <w:t xml:space="preserve"> </w:t>
      </w:r>
      <w:r w:rsidR="00BF02BA" w:rsidRPr="00192A46">
        <w:t xml:space="preserve">already </w:t>
      </w:r>
      <w:r w:rsidR="00781E79" w:rsidRPr="00192A46">
        <w:t xml:space="preserve">are </w:t>
      </w:r>
      <w:r w:rsidR="00BF02BA" w:rsidRPr="00192A46">
        <w:t xml:space="preserve">billed on a flat monthly rate, </w:t>
      </w:r>
      <w:r w:rsidR="00781E79" w:rsidRPr="00192A46">
        <w:t xml:space="preserve">so </w:t>
      </w:r>
      <w:r w:rsidR="00BF02BA" w:rsidRPr="00192A46">
        <w:t>a decoupling mechanism would have no effect</w:t>
      </w:r>
      <w:r w:rsidR="00781E79" w:rsidRPr="00192A46">
        <w:t xml:space="preserve"> on them</w:t>
      </w:r>
      <w:r w:rsidR="00BF02BA" w:rsidRPr="00192A46">
        <w:t xml:space="preserve">.  </w:t>
      </w:r>
      <w:r w:rsidR="005A1F58" w:rsidRPr="00192A46">
        <w:t xml:space="preserve">  </w:t>
      </w:r>
    </w:p>
    <w:p w14:paraId="3FEE4B0D" w14:textId="77777777" w:rsidR="00D61723" w:rsidRPr="00192A46" w:rsidRDefault="00D61723" w:rsidP="00C278B3"/>
    <w:p w14:paraId="3FEE4B0E" w14:textId="77777777" w:rsidR="00D61723" w:rsidRPr="00192A46" w:rsidRDefault="00D61723" w:rsidP="00D61723">
      <w:pPr>
        <w:pStyle w:val="Heading3"/>
      </w:pPr>
      <w:r w:rsidRPr="00192A46">
        <w:t>Q.</w:t>
      </w:r>
      <w:r w:rsidRPr="00192A46">
        <w:tab/>
        <w:t xml:space="preserve">What does </w:t>
      </w:r>
      <w:r w:rsidR="00811A02" w:rsidRPr="00192A46">
        <w:t xml:space="preserve">Public Counsel </w:t>
      </w:r>
      <w:r w:rsidRPr="00192A46">
        <w:t>s</w:t>
      </w:r>
      <w:r w:rsidR="005A1F58" w:rsidRPr="00192A46">
        <w:t xml:space="preserve">ay about </w:t>
      </w:r>
      <w:r w:rsidR="00FF607A">
        <w:t xml:space="preserve">these </w:t>
      </w:r>
      <w:r w:rsidR="005A1F58" w:rsidRPr="00192A46">
        <w:t>customer</w:t>
      </w:r>
      <w:r w:rsidRPr="00192A46">
        <w:t xml:space="preserve"> </w:t>
      </w:r>
      <w:r w:rsidR="00C206BF">
        <w:t>specific issues</w:t>
      </w:r>
      <w:r w:rsidRPr="00192A46">
        <w:t>?</w:t>
      </w:r>
    </w:p>
    <w:p w14:paraId="3FEE4B0F" w14:textId="77777777" w:rsidR="007F765B" w:rsidRPr="00192A46" w:rsidRDefault="00192A46" w:rsidP="00D61723">
      <w:r w:rsidRPr="00192A46">
        <w:t>A.</w:t>
      </w:r>
      <w:r w:rsidRPr="00192A46">
        <w:tab/>
      </w:r>
      <w:r w:rsidR="00FF607A">
        <w:t xml:space="preserve">Like Avista, </w:t>
      </w:r>
      <w:r w:rsidRPr="00192A46">
        <w:t>Public Counsel disagrees with NWEC’s proposal to exclude Schedule 25 customers from a decoupling mechanism</w:t>
      </w:r>
      <w:r>
        <w:t>.</w:t>
      </w:r>
      <w:r w:rsidRPr="00192A46">
        <w:t xml:space="preserve"> </w:t>
      </w:r>
      <w:r w:rsidR="00FF607A">
        <w:t xml:space="preserve"> </w:t>
      </w:r>
      <w:r w:rsidRPr="00192A46">
        <w:t>Public Counsel testifies that because these customers participate in conservation programs, it does not make sense to exclude them.</w:t>
      </w:r>
      <w:r w:rsidR="00FF607A">
        <w:rPr>
          <w:rStyle w:val="FootnoteReference"/>
        </w:rPr>
        <w:footnoteReference w:id="19"/>
      </w:r>
      <w:r w:rsidRPr="00192A46">
        <w:t xml:space="preserve">  </w:t>
      </w:r>
      <w:r w:rsidR="006D73BE" w:rsidRPr="00192A46">
        <w:t xml:space="preserve">Staff </w:t>
      </w:r>
      <w:r w:rsidR="00B0639E" w:rsidRPr="00192A46">
        <w:t xml:space="preserve">agrees with this </w:t>
      </w:r>
      <w:r w:rsidRPr="00192A46">
        <w:t>testimony</w:t>
      </w:r>
      <w:r w:rsidR="00B0639E" w:rsidRPr="00192A46">
        <w:t>.</w:t>
      </w:r>
      <w:r w:rsidR="00AC7F3E" w:rsidRPr="00192A46">
        <w:t xml:space="preserve">  </w:t>
      </w:r>
    </w:p>
    <w:p w14:paraId="3FEE4B10" w14:textId="77777777" w:rsidR="00D61723" w:rsidRPr="00192A46" w:rsidRDefault="007F765B" w:rsidP="00D61723">
      <w:r w:rsidRPr="00192A46">
        <w:tab/>
      </w:r>
      <w:r w:rsidRPr="00192A46">
        <w:tab/>
      </w:r>
      <w:r w:rsidR="00B727BF">
        <w:t xml:space="preserve">In Mr. Dismukes’ </w:t>
      </w:r>
      <w:r w:rsidR="00B727BF" w:rsidRPr="00192A46">
        <w:t>discuss</w:t>
      </w:r>
      <w:r w:rsidR="00B727BF">
        <w:t>ion of</w:t>
      </w:r>
      <w:r w:rsidR="00B727BF" w:rsidRPr="00192A46">
        <w:t xml:space="preserve"> found margins from increases in the customer base</w:t>
      </w:r>
      <w:r w:rsidR="00736F7C">
        <w:t>,</w:t>
      </w:r>
      <w:r w:rsidR="00B727BF" w:rsidRPr="00192A46">
        <w:t xml:space="preserve"> i.e., new customers</w:t>
      </w:r>
      <w:r w:rsidR="00B727BF">
        <w:t xml:space="preserve">, </w:t>
      </w:r>
      <w:r w:rsidR="00C206BF">
        <w:t>Public Counsel implies that new customers should be excluded from any mechanism</w:t>
      </w:r>
      <w:r w:rsidR="00B727BF">
        <w:t>.</w:t>
      </w:r>
      <w:r w:rsidR="00FF607A">
        <w:rPr>
          <w:rStyle w:val="FootnoteReference"/>
        </w:rPr>
        <w:footnoteReference w:id="20"/>
      </w:r>
      <w:r w:rsidR="00AC7F3E" w:rsidRPr="00192A46">
        <w:t xml:space="preserve">  However, </w:t>
      </w:r>
      <w:r w:rsidR="00284770" w:rsidRPr="00192A46">
        <w:t>Mr. Dismukes provides no evidence that revenues and costs are not in reasonable balance</w:t>
      </w:r>
      <w:r w:rsidR="00C206BF">
        <w:t xml:space="preserve"> as the Decoupling Policy Statement would require before removing new customers from a mechanism</w:t>
      </w:r>
      <w:r w:rsidR="00AC7F3E" w:rsidRPr="00192A46">
        <w:t>.</w:t>
      </w:r>
      <w:r w:rsidR="00284770" w:rsidRPr="00192A46">
        <w:t xml:space="preserve">  </w:t>
      </w:r>
      <w:r w:rsidR="00284770" w:rsidRPr="00DA4220">
        <w:lastRenderedPageBreak/>
        <w:t>Lacking such evidence, Staff sees no reason to exclude new customer revenue from the mechanism.</w:t>
      </w:r>
    </w:p>
    <w:p w14:paraId="3FEE4B11" w14:textId="77777777" w:rsidR="00D61723" w:rsidRPr="00192A46" w:rsidRDefault="00D61723" w:rsidP="00D61723"/>
    <w:p w14:paraId="3FEE4B12" w14:textId="77777777" w:rsidR="00D61723" w:rsidRPr="00192A46" w:rsidRDefault="00D61723" w:rsidP="00D61723">
      <w:pPr>
        <w:pStyle w:val="Heading3"/>
      </w:pPr>
      <w:r w:rsidRPr="00192A46">
        <w:t>Q.</w:t>
      </w:r>
      <w:r w:rsidRPr="00192A46">
        <w:tab/>
        <w:t xml:space="preserve">What does </w:t>
      </w:r>
      <w:r w:rsidR="007F765B" w:rsidRPr="00192A46">
        <w:t xml:space="preserve">ICNU </w:t>
      </w:r>
      <w:r w:rsidRPr="00192A46">
        <w:t>s</w:t>
      </w:r>
      <w:r w:rsidR="006D73BE" w:rsidRPr="00192A46">
        <w:t xml:space="preserve">ay about </w:t>
      </w:r>
      <w:r w:rsidR="00FF607A">
        <w:t xml:space="preserve">these </w:t>
      </w:r>
      <w:r w:rsidR="006D73BE" w:rsidRPr="00192A46">
        <w:t>customer</w:t>
      </w:r>
      <w:r w:rsidR="00FF607A">
        <w:t>-</w:t>
      </w:r>
      <w:r w:rsidR="00CD64F8">
        <w:t>specific issues</w:t>
      </w:r>
      <w:r w:rsidRPr="00192A46">
        <w:t>?</w:t>
      </w:r>
    </w:p>
    <w:p w14:paraId="3FEE4B13" w14:textId="77777777" w:rsidR="007F765B" w:rsidRPr="00192A46" w:rsidRDefault="00D61723" w:rsidP="00D61723">
      <w:r w:rsidRPr="00192A46">
        <w:t>A.</w:t>
      </w:r>
      <w:r w:rsidRPr="00192A46">
        <w:tab/>
      </w:r>
      <w:r w:rsidR="007F765B" w:rsidRPr="00192A46">
        <w:t>ICNU</w:t>
      </w:r>
      <w:r w:rsidR="00781E79" w:rsidRPr="00192A46">
        <w:t xml:space="preserve"> </w:t>
      </w:r>
      <w:r w:rsidR="00054395" w:rsidRPr="00192A46">
        <w:t xml:space="preserve">agrees with </w:t>
      </w:r>
      <w:r w:rsidR="00781E79" w:rsidRPr="00192A46">
        <w:t xml:space="preserve">NWEC </w:t>
      </w:r>
      <w:r w:rsidR="00054395" w:rsidRPr="00192A46">
        <w:t xml:space="preserve">that large industrial customers </w:t>
      </w:r>
      <w:r w:rsidR="00B0639E" w:rsidRPr="00192A46">
        <w:t xml:space="preserve">in Schedule 25 </w:t>
      </w:r>
      <w:r w:rsidR="00054395" w:rsidRPr="00192A46">
        <w:t>should be excluded from decoupling mechanisms</w:t>
      </w:r>
      <w:r w:rsidR="00FF607A">
        <w:t xml:space="preserve">.  ICNU notes </w:t>
      </w:r>
      <w:r w:rsidR="00D8215E" w:rsidRPr="00192A46">
        <w:t xml:space="preserve">that Avista’s </w:t>
      </w:r>
      <w:r w:rsidR="00CD64F8">
        <w:t xml:space="preserve">previously filed </w:t>
      </w:r>
      <w:r w:rsidR="00D8215E" w:rsidRPr="00192A46">
        <w:t xml:space="preserve">comments on the Decoupling Policy Statement </w:t>
      </w:r>
      <w:r w:rsidR="00FF607A">
        <w:t>suggested excluding Schedule</w:t>
      </w:r>
      <w:r w:rsidR="00DC163C">
        <w:t xml:space="preserve"> </w:t>
      </w:r>
      <w:r w:rsidR="00FF607A">
        <w:t>25 customers</w:t>
      </w:r>
      <w:r w:rsidR="00054395" w:rsidRPr="00192A46">
        <w:t>.</w:t>
      </w:r>
      <w:r w:rsidR="00FF607A">
        <w:rPr>
          <w:rStyle w:val="FootnoteReference"/>
        </w:rPr>
        <w:footnoteReference w:id="21"/>
      </w:r>
      <w:r w:rsidR="00D8215E" w:rsidRPr="00192A46">
        <w:t xml:space="preserve">  </w:t>
      </w:r>
      <w:r w:rsidR="00781E79" w:rsidRPr="00192A46">
        <w:t>ICNU</w:t>
      </w:r>
      <w:r w:rsidR="008B340C" w:rsidRPr="00192A46">
        <w:t xml:space="preserve"> </w:t>
      </w:r>
      <w:r w:rsidR="00B0639E" w:rsidRPr="00192A46">
        <w:t>alleges</w:t>
      </w:r>
      <w:r w:rsidR="008B340C" w:rsidRPr="00192A46">
        <w:t xml:space="preserve"> that a single customer dropping out of </w:t>
      </w:r>
      <w:r w:rsidR="00B0639E" w:rsidRPr="00192A46">
        <w:t>that</w:t>
      </w:r>
      <w:r w:rsidR="008B340C" w:rsidRPr="00192A46">
        <w:t xml:space="preserve"> rate schedule would have dire effects on the remaining customers.</w:t>
      </w:r>
      <w:r w:rsidR="00FF607A">
        <w:rPr>
          <w:rStyle w:val="FootnoteReference"/>
        </w:rPr>
        <w:footnoteReference w:id="22"/>
      </w:r>
      <w:r w:rsidR="008B340C" w:rsidRPr="00192A46">
        <w:t xml:space="preserve">  </w:t>
      </w:r>
    </w:p>
    <w:p w14:paraId="3FEE4B14" w14:textId="77777777" w:rsidR="007F765B" w:rsidRPr="00192A46" w:rsidRDefault="007F765B" w:rsidP="00D61723"/>
    <w:p w14:paraId="3FEE4B15" w14:textId="77777777" w:rsidR="007F765B" w:rsidRPr="00192A46" w:rsidRDefault="007F765B" w:rsidP="003770CB">
      <w:pPr>
        <w:pStyle w:val="Heading3"/>
      </w:pPr>
      <w:r w:rsidRPr="00192A46">
        <w:t>Q.</w:t>
      </w:r>
      <w:r w:rsidRPr="00192A46">
        <w:tab/>
        <w:t>What is Staff’s response</w:t>
      </w:r>
      <w:r w:rsidR="00FF607A">
        <w:t xml:space="preserve"> to ICNU</w:t>
      </w:r>
      <w:r w:rsidR="00253E2D">
        <w:t xml:space="preserve"> on excluding Schedule 25 customers from decoupling?</w:t>
      </w:r>
      <w:r w:rsidRPr="00192A46">
        <w:t>?</w:t>
      </w:r>
    </w:p>
    <w:p w14:paraId="3FEE4B16" w14:textId="77777777" w:rsidR="002D385B" w:rsidRPr="00192A46" w:rsidRDefault="007F765B" w:rsidP="00D61723">
      <w:r w:rsidRPr="00192A46">
        <w:t>A.</w:t>
      </w:r>
      <w:r w:rsidRPr="00192A46">
        <w:rPr>
          <w:b/>
        </w:rPr>
        <w:tab/>
      </w:r>
      <w:r w:rsidR="00B0639E" w:rsidRPr="00192A46">
        <w:t xml:space="preserve">First, </w:t>
      </w:r>
      <w:r w:rsidR="00781E79" w:rsidRPr="00192A46">
        <w:t>ICNU’s</w:t>
      </w:r>
      <w:r w:rsidR="00B0639E" w:rsidRPr="00192A46">
        <w:t xml:space="preserve"> point is unrealistic because Schedule 25 has had a stable customer base.</w:t>
      </w:r>
      <w:r w:rsidR="005E1E98">
        <w:t xml:space="preserve">  Only four customers were added to Schedule 25 in the last 10 years</w:t>
      </w:r>
      <w:r w:rsidR="0009312D">
        <w:t>, and none have departed</w:t>
      </w:r>
      <w:r w:rsidR="005E1E98">
        <w:t>.</w:t>
      </w:r>
      <w:r w:rsidR="00163C01">
        <w:rPr>
          <w:rStyle w:val="FootnoteReference"/>
        </w:rPr>
        <w:footnoteReference w:id="23"/>
      </w:r>
      <w:r w:rsidR="00B0639E" w:rsidRPr="00192A46">
        <w:t xml:space="preserve">  Second, </w:t>
      </w:r>
      <w:r w:rsidRPr="00192A46">
        <w:t xml:space="preserve">even if we assume </w:t>
      </w:r>
      <w:r w:rsidR="00781E79" w:rsidRPr="00192A46">
        <w:t xml:space="preserve">a Schedule 25 customer leaves the system and there is </w:t>
      </w:r>
      <w:r w:rsidRPr="00192A46">
        <w:t xml:space="preserve">an adverse effect, </w:t>
      </w:r>
      <w:r w:rsidR="00B0639E" w:rsidRPr="00192A46">
        <w:t xml:space="preserve">Avista would respond by </w:t>
      </w:r>
      <w:r w:rsidR="008B340C" w:rsidRPr="00192A46">
        <w:t>mov</w:t>
      </w:r>
      <w:r w:rsidR="00B0639E" w:rsidRPr="00192A46">
        <w:t>ing</w:t>
      </w:r>
      <w:r w:rsidR="008B340C" w:rsidRPr="00192A46">
        <w:t xml:space="preserve"> up the timing of </w:t>
      </w:r>
      <w:r w:rsidR="00B0639E" w:rsidRPr="00192A46">
        <w:t xml:space="preserve">its next </w:t>
      </w:r>
      <w:r w:rsidR="008B340C" w:rsidRPr="00192A46">
        <w:t>general rate case</w:t>
      </w:r>
      <w:r w:rsidR="00B0639E" w:rsidRPr="00192A46">
        <w:t xml:space="preserve"> filing</w:t>
      </w:r>
      <w:r w:rsidR="00781E79" w:rsidRPr="00192A46">
        <w:t xml:space="preserve"> to address the problem</w:t>
      </w:r>
      <w:r w:rsidR="00075BBC">
        <w:t>.</w:t>
      </w:r>
      <w:r w:rsidR="008B340C" w:rsidRPr="00192A46">
        <w:t xml:space="preserve">  </w:t>
      </w:r>
      <w:r w:rsidRPr="00192A46">
        <w:t xml:space="preserve">Also, </w:t>
      </w:r>
      <w:r w:rsidR="00781E79" w:rsidRPr="00192A46">
        <w:t xml:space="preserve">ICNU’s witness </w:t>
      </w:r>
      <w:r w:rsidRPr="00192A46">
        <w:t xml:space="preserve">fails to </w:t>
      </w:r>
      <w:r w:rsidR="00B727BF">
        <w:t xml:space="preserve">provide any evidence that would </w:t>
      </w:r>
      <w:r w:rsidR="00B0639E" w:rsidRPr="00192A46">
        <w:t xml:space="preserve">explain </w:t>
      </w:r>
      <w:r w:rsidRPr="00192A46">
        <w:t>how excluding Sch</w:t>
      </w:r>
      <w:r w:rsidR="00781E79" w:rsidRPr="00192A46">
        <w:t>e</w:t>
      </w:r>
      <w:r w:rsidRPr="00192A46">
        <w:t>d</w:t>
      </w:r>
      <w:r w:rsidR="00781E79" w:rsidRPr="00192A46">
        <w:t>u</w:t>
      </w:r>
      <w:r w:rsidRPr="00192A46">
        <w:t xml:space="preserve">le 25 customers would </w:t>
      </w:r>
      <w:r w:rsidR="00B0639E" w:rsidRPr="00192A46">
        <w:t xml:space="preserve">not </w:t>
      </w:r>
      <w:r w:rsidRPr="00192A46">
        <w:t xml:space="preserve">be an </w:t>
      </w:r>
      <w:r w:rsidR="00054395" w:rsidRPr="00192A46">
        <w:t>undue preference or discriminat</w:t>
      </w:r>
      <w:r w:rsidRPr="00192A46">
        <w:t>ory</w:t>
      </w:r>
      <w:r w:rsidR="00781E79" w:rsidRPr="00192A46">
        <w:t xml:space="preserve"> in favor of those customers</w:t>
      </w:r>
      <w:r w:rsidRPr="00192A46">
        <w:t>.</w:t>
      </w:r>
      <w:r w:rsidR="00AC7F3E" w:rsidRPr="00192A46">
        <w:t xml:space="preserve">  </w:t>
      </w:r>
    </w:p>
    <w:p w14:paraId="3FEE4B17" w14:textId="77777777" w:rsidR="002D385B" w:rsidRPr="00192A46" w:rsidRDefault="002D385B" w:rsidP="00D61723"/>
    <w:p w14:paraId="3FEE4B18" w14:textId="77777777" w:rsidR="002D385B" w:rsidRPr="00192A46" w:rsidRDefault="002D385B" w:rsidP="002D385B">
      <w:pPr>
        <w:pStyle w:val="Heading3"/>
      </w:pPr>
      <w:r w:rsidRPr="00192A46">
        <w:lastRenderedPageBreak/>
        <w:t>Q.</w:t>
      </w:r>
      <w:r w:rsidRPr="00192A46">
        <w:tab/>
      </w:r>
      <w:r w:rsidR="00B0639E" w:rsidRPr="00192A46">
        <w:t>How does ICNU address</w:t>
      </w:r>
      <w:r w:rsidR="00781E79" w:rsidRPr="00192A46">
        <w:t xml:space="preserve"> the issue of</w:t>
      </w:r>
      <w:r w:rsidR="00B0639E" w:rsidRPr="00192A46">
        <w:t xml:space="preserve"> decoupling </w:t>
      </w:r>
      <w:r w:rsidRPr="00192A46">
        <w:t xml:space="preserve">per-customer versus </w:t>
      </w:r>
      <w:r w:rsidR="00B0639E" w:rsidRPr="00192A46">
        <w:t xml:space="preserve">decoupling </w:t>
      </w:r>
      <w:r w:rsidRPr="00192A46">
        <w:t>per-class</w:t>
      </w:r>
      <w:r w:rsidR="00CD64F8">
        <w:t>, and how does ICNU relate this to the inclusion of new customers</w:t>
      </w:r>
      <w:r w:rsidRPr="00192A46">
        <w:t>?</w:t>
      </w:r>
    </w:p>
    <w:p w14:paraId="3FEE4B19" w14:textId="77777777" w:rsidR="00B0639E" w:rsidRPr="00192A46" w:rsidRDefault="002D385B" w:rsidP="00D61723">
      <w:r w:rsidRPr="00192A46">
        <w:t>A.</w:t>
      </w:r>
      <w:r w:rsidRPr="00192A46">
        <w:tab/>
      </w:r>
      <w:r w:rsidR="00781E79" w:rsidRPr="00192A46">
        <w:t>ICNU</w:t>
      </w:r>
      <w:r w:rsidR="00035905">
        <w:t xml:space="preserve"> </w:t>
      </w:r>
      <w:r w:rsidRPr="00192A46">
        <w:t>proposes an alternative decoupling mechanism</w:t>
      </w:r>
      <w:r w:rsidR="009A788F">
        <w:t xml:space="preserve"> that</w:t>
      </w:r>
      <w:r w:rsidRPr="00192A46">
        <w:t xml:space="preserve"> </w:t>
      </w:r>
      <w:r w:rsidR="00253E2D">
        <w:t xml:space="preserve">Mr. Deen </w:t>
      </w:r>
      <w:r w:rsidRPr="00192A46">
        <w:t>refers to as “rate-cap” decoupling.</w:t>
      </w:r>
      <w:r w:rsidR="00253E2D">
        <w:rPr>
          <w:rStyle w:val="FootnoteReference"/>
        </w:rPr>
        <w:footnoteReference w:id="24"/>
      </w:r>
      <w:r w:rsidRPr="00192A46">
        <w:t xml:space="preserve">  </w:t>
      </w:r>
      <w:r w:rsidR="00781E79" w:rsidRPr="00192A46">
        <w:t>ICNU’s witness</w:t>
      </w:r>
      <w:r w:rsidRPr="00192A46">
        <w:t xml:space="preserve"> </w:t>
      </w:r>
      <w:r w:rsidR="00CD64F8">
        <w:t xml:space="preserve">interprets the Decoupling Policy Statement to require evidence of </w:t>
      </w:r>
      <w:r w:rsidR="00253E2D">
        <w:t xml:space="preserve">a </w:t>
      </w:r>
      <w:r w:rsidR="00CD64F8">
        <w:t>reasonable balance between new customer costs and benefits before new customers would be included in a decoupling mechanism.</w:t>
      </w:r>
      <w:r w:rsidR="00253E2D">
        <w:rPr>
          <w:rStyle w:val="FootnoteReference"/>
        </w:rPr>
        <w:footnoteReference w:id="25"/>
      </w:r>
      <w:r w:rsidR="00CD64F8">
        <w:t xml:space="preserve">  ICNU’s proposed rate-cap decoupling would remove the off-setting revenues, but not the costs, associated with new customers.  </w:t>
      </w:r>
      <w:r w:rsidR="00785DAB" w:rsidRPr="00192A46">
        <w:t xml:space="preserve">  </w:t>
      </w:r>
    </w:p>
    <w:p w14:paraId="3FEE4B1A" w14:textId="77777777" w:rsidR="00B0639E" w:rsidRPr="00192A46" w:rsidRDefault="00B0639E" w:rsidP="00D61723"/>
    <w:p w14:paraId="3FEE4B1B" w14:textId="77777777" w:rsidR="00B0639E" w:rsidRPr="00192A46" w:rsidRDefault="00B0639E" w:rsidP="003770CB">
      <w:pPr>
        <w:pStyle w:val="Heading3"/>
      </w:pPr>
      <w:r w:rsidRPr="00192A46">
        <w:t>Q.</w:t>
      </w:r>
      <w:r w:rsidRPr="00192A46">
        <w:tab/>
        <w:t xml:space="preserve">What is Staff’s </w:t>
      </w:r>
      <w:r w:rsidR="00081F39" w:rsidRPr="00192A46">
        <w:t>response</w:t>
      </w:r>
      <w:r w:rsidR="00253E2D">
        <w:t xml:space="preserve"> to ICNU on the new customer issue</w:t>
      </w:r>
      <w:r w:rsidR="00081F39" w:rsidRPr="00192A46">
        <w:t>?</w:t>
      </w:r>
    </w:p>
    <w:p w14:paraId="3FEE4B1C" w14:textId="77777777" w:rsidR="009D0BCA" w:rsidRDefault="00081F39" w:rsidP="00D61723">
      <w:r w:rsidRPr="00192A46">
        <w:t>A.</w:t>
      </w:r>
      <w:r w:rsidRPr="00192A46">
        <w:tab/>
      </w:r>
      <w:r w:rsidR="00785DAB" w:rsidRPr="00192A46">
        <w:t xml:space="preserve">As </w:t>
      </w:r>
      <w:r w:rsidR="007F765B" w:rsidRPr="00192A46">
        <w:t xml:space="preserve">I </w:t>
      </w:r>
      <w:r w:rsidR="00785DAB" w:rsidRPr="00192A46">
        <w:t xml:space="preserve">mentioned above, </w:t>
      </w:r>
      <w:r w:rsidR="007F765B" w:rsidRPr="00192A46">
        <w:t>S</w:t>
      </w:r>
      <w:r w:rsidR="00785DAB" w:rsidRPr="00192A46">
        <w:t xml:space="preserve">taff disagrees that </w:t>
      </w:r>
      <w:r w:rsidR="00253E2D">
        <w:t xml:space="preserve">a full decoupling mechanism should </w:t>
      </w:r>
      <w:r w:rsidR="00EA1E72">
        <w:t>ignore</w:t>
      </w:r>
      <w:r w:rsidR="00253E2D">
        <w:t xml:space="preserve"> </w:t>
      </w:r>
      <w:r w:rsidR="00785DAB" w:rsidRPr="00192A46">
        <w:t xml:space="preserve">increases in the customer base.  </w:t>
      </w:r>
      <w:r w:rsidR="00EA1E72">
        <w:t xml:space="preserve">The portion of the Decoupling Policy Statement cited by Mr. Deen </w:t>
      </w:r>
      <w:r w:rsidR="00C1219F">
        <w:t xml:space="preserve">merely </w:t>
      </w:r>
      <w:r w:rsidR="00EA1E72">
        <w:t>recognizes the existence of offsetting factors in the current environment.</w:t>
      </w:r>
      <w:r w:rsidR="00EA1E72">
        <w:rPr>
          <w:rStyle w:val="FootnoteReference"/>
        </w:rPr>
        <w:footnoteReference w:id="26"/>
      </w:r>
      <w:r w:rsidR="00EB0B88">
        <w:t xml:space="preserve">  </w:t>
      </w:r>
      <w:r w:rsidR="009D0BCA">
        <w:t xml:space="preserve">As the Commission stated, “a </w:t>
      </w:r>
      <w:r w:rsidR="009D0BCA" w:rsidRPr="009D0BCA">
        <w:t>properly constructed full decoupling mechanism that is intended, between general rate cases, to balance out both lost and found margin from any source can be a tool that benefits both</w:t>
      </w:r>
      <w:r w:rsidR="009D0BCA">
        <w:t xml:space="preserve"> the company and its ratepayers</w:t>
      </w:r>
      <w:r w:rsidR="00EB0B88">
        <w:t>.</w:t>
      </w:r>
      <w:r w:rsidR="009D0BCA">
        <w:t>”</w:t>
      </w:r>
      <w:r w:rsidR="009D0BCA">
        <w:rPr>
          <w:rStyle w:val="FootnoteReference"/>
        </w:rPr>
        <w:footnoteReference w:id="27"/>
      </w:r>
      <w:r w:rsidR="00EB0B88">
        <w:t xml:space="preserve">  </w:t>
      </w:r>
    </w:p>
    <w:p w14:paraId="3FEE4B1D" w14:textId="77777777" w:rsidR="00253E2D" w:rsidRDefault="009D0BCA" w:rsidP="00D61723">
      <w:r>
        <w:tab/>
      </w:r>
      <w:r>
        <w:tab/>
        <w:t xml:space="preserve">Similar to </w:t>
      </w:r>
      <w:r w:rsidR="00C1219F" w:rsidRPr="00192A46">
        <w:t>Mr. Dismukes</w:t>
      </w:r>
      <w:r>
        <w:t xml:space="preserve"> above, Mr. Deen</w:t>
      </w:r>
      <w:r w:rsidR="00C1219F" w:rsidRPr="00192A46">
        <w:t xml:space="preserve"> provides no evidence that revenues and costs are not in reasonable balance</w:t>
      </w:r>
      <w:r w:rsidR="00C1219F">
        <w:t xml:space="preserve"> as the Decoupling Policy Statement would require before removing new customers from a mechanism</w:t>
      </w:r>
      <w:r w:rsidR="00C1219F" w:rsidRPr="00192A46">
        <w:t xml:space="preserve">.  </w:t>
      </w:r>
      <w:r w:rsidR="00C1219F" w:rsidRPr="00DA4220">
        <w:t xml:space="preserve">Lacking such </w:t>
      </w:r>
      <w:r w:rsidR="00C1219F" w:rsidRPr="00DA4220">
        <w:lastRenderedPageBreak/>
        <w:t>evidence, Staff sees no reason to exclude new customer revenue from the mechanism.</w:t>
      </w:r>
    </w:p>
    <w:p w14:paraId="3FEE4B1E" w14:textId="1584E38D" w:rsidR="00D61723" w:rsidRPr="00192A46" w:rsidRDefault="00253E2D" w:rsidP="00D61723">
      <w:r>
        <w:tab/>
      </w:r>
      <w:r>
        <w:tab/>
      </w:r>
      <w:r w:rsidR="007F765B" w:rsidRPr="00192A46">
        <w:t xml:space="preserve">While </w:t>
      </w:r>
      <w:r w:rsidR="00785DAB" w:rsidRPr="00192A46">
        <w:t>Staff agree</w:t>
      </w:r>
      <w:r w:rsidR="007F765B" w:rsidRPr="00192A46">
        <w:t>s</w:t>
      </w:r>
      <w:r w:rsidR="00785DAB" w:rsidRPr="00192A46">
        <w:t xml:space="preserve"> that </w:t>
      </w:r>
      <w:r w:rsidR="007F765B" w:rsidRPr="00192A46">
        <w:t xml:space="preserve">decoupling </w:t>
      </w:r>
      <w:r w:rsidR="00785DAB" w:rsidRPr="00192A46">
        <w:t xml:space="preserve">should be </w:t>
      </w:r>
      <w:r w:rsidR="007F765B" w:rsidRPr="00192A46">
        <w:t xml:space="preserve">done on a </w:t>
      </w:r>
      <w:r w:rsidR="00785DAB" w:rsidRPr="00192A46">
        <w:t>per-class</w:t>
      </w:r>
      <w:r w:rsidR="007F765B" w:rsidRPr="00192A46">
        <w:t xml:space="preserve"> basis</w:t>
      </w:r>
      <w:r w:rsidR="00785DAB" w:rsidRPr="00192A46">
        <w:t xml:space="preserve">, </w:t>
      </w:r>
      <w:r w:rsidR="002D385B" w:rsidRPr="00192A46">
        <w:t xml:space="preserve">this </w:t>
      </w:r>
      <w:r w:rsidR="00781E79" w:rsidRPr="00192A46">
        <w:t>c</w:t>
      </w:r>
      <w:r w:rsidR="002D385B" w:rsidRPr="00192A46">
        <w:t xml:space="preserve">ould be </w:t>
      </w:r>
      <w:r w:rsidR="007F765B" w:rsidRPr="00192A46">
        <w:t xml:space="preserve">done </w:t>
      </w:r>
      <w:r w:rsidR="00785DAB" w:rsidRPr="00192A46">
        <w:t>as described in Mr. Ehrbar’s testimony noted above</w:t>
      </w:r>
      <w:r w:rsidR="002D385B" w:rsidRPr="00192A46">
        <w:t xml:space="preserve">, not as described in Mr. Deen’s </w:t>
      </w:r>
      <w:r w:rsidR="00996E80">
        <w:t>Exhibit No. ___ (MCD-1T) at</w:t>
      </w:r>
      <w:r w:rsidR="002D385B" w:rsidRPr="00192A46">
        <w:t xml:space="preserve"> 7</w:t>
      </w:r>
      <w:r w:rsidR="00BC26DC">
        <w:t xml:space="preserve">, </w:t>
      </w:r>
      <w:r w:rsidR="00772853">
        <w:t xml:space="preserve">lines </w:t>
      </w:r>
      <w:r w:rsidR="00772853" w:rsidRPr="00192A46">
        <w:t>1</w:t>
      </w:r>
      <w:r w:rsidR="002D385B" w:rsidRPr="00192A46">
        <w:t>-6.</w:t>
      </w:r>
      <w:r w:rsidR="00EB0B88">
        <w:t xml:space="preserve">  </w:t>
      </w:r>
    </w:p>
    <w:p w14:paraId="3FEE4B1F" w14:textId="77777777" w:rsidR="00D61723" w:rsidRPr="00192A46" w:rsidRDefault="00D61723" w:rsidP="00C278B3"/>
    <w:p w14:paraId="3FEE4B20" w14:textId="77777777" w:rsidR="00617FB7" w:rsidRPr="00192A46" w:rsidRDefault="00781E79" w:rsidP="00DD2E7C">
      <w:pPr>
        <w:pStyle w:val="Heading2"/>
        <w:ind w:left="1440" w:hanging="720"/>
      </w:pPr>
      <w:bookmarkStart w:id="10" w:name="_Toc314559023"/>
      <w:bookmarkStart w:id="11" w:name="_Toc335731521"/>
      <w:r w:rsidRPr="00192A46">
        <w:t xml:space="preserve">The </w:t>
      </w:r>
      <w:r w:rsidR="00617FB7" w:rsidRPr="00192A46">
        <w:t xml:space="preserve">Impact </w:t>
      </w:r>
      <w:r w:rsidR="005B37A2" w:rsidRPr="00192A46">
        <w:t xml:space="preserve">of Decoupling </w:t>
      </w:r>
      <w:r w:rsidR="00617FB7" w:rsidRPr="00192A46">
        <w:t>on the Rate of Return</w:t>
      </w:r>
      <w:bookmarkEnd w:id="10"/>
      <w:bookmarkEnd w:id="11"/>
    </w:p>
    <w:p w14:paraId="3FEE4B21" w14:textId="77777777" w:rsidR="006A122C" w:rsidRPr="00192A46" w:rsidRDefault="006A122C" w:rsidP="00C278B3"/>
    <w:p w14:paraId="3FEE4B22" w14:textId="77777777" w:rsidR="00781E79" w:rsidRPr="00192A46" w:rsidRDefault="00781E79" w:rsidP="00C278B3">
      <w:pPr>
        <w:pStyle w:val="Heading3"/>
      </w:pPr>
      <w:r w:rsidRPr="00192A46">
        <w:t>Q.</w:t>
      </w:r>
      <w:r w:rsidRPr="00192A46">
        <w:tab/>
        <w:t>Please briefly describe the Commission’s policy on the impact of decoupling on rate of return.</w:t>
      </w:r>
    </w:p>
    <w:p w14:paraId="3FEE4B23" w14:textId="77777777" w:rsidR="00781E79" w:rsidRPr="00192A46" w:rsidRDefault="00781E79" w:rsidP="00781E79">
      <w:r w:rsidRPr="00192A46">
        <w:t>A.</w:t>
      </w:r>
      <w:r w:rsidRPr="00192A46">
        <w:tab/>
        <w:t xml:space="preserve">The Commission recognizes that decoupling </w:t>
      </w:r>
      <w:r w:rsidR="00AA2DCC" w:rsidRPr="00192A46">
        <w:t xml:space="preserve">can </w:t>
      </w:r>
      <w:r w:rsidRPr="00192A46">
        <w:t xml:space="preserve">reduce risk </w:t>
      </w:r>
      <w:r w:rsidR="00AA2DCC" w:rsidRPr="00192A46">
        <w:t xml:space="preserve">to investors </w:t>
      </w:r>
      <w:r w:rsidRPr="00192A46">
        <w:t xml:space="preserve">and that </w:t>
      </w:r>
      <w:r w:rsidR="00AA2DCC" w:rsidRPr="00192A46">
        <w:t xml:space="preserve">a decoupling proposal needs to evaluate this impact on cost of </w:t>
      </w:r>
      <w:r w:rsidRPr="00192A46">
        <w:t>capital</w:t>
      </w:r>
      <w:r w:rsidR="00AA2DCC" w:rsidRPr="00192A46">
        <w:t>.</w:t>
      </w:r>
      <w:r w:rsidR="00253E2D">
        <w:rPr>
          <w:rStyle w:val="FootnoteReference"/>
        </w:rPr>
        <w:footnoteReference w:id="28"/>
      </w:r>
      <w:r w:rsidR="00AA2DCC" w:rsidRPr="00192A46">
        <w:t xml:space="preserve">  </w:t>
      </w:r>
    </w:p>
    <w:p w14:paraId="3FEE4B24" w14:textId="77777777" w:rsidR="00AA2DCC" w:rsidRPr="00192A46" w:rsidRDefault="00AA2DCC" w:rsidP="00075BBC"/>
    <w:p w14:paraId="3FEE4B25" w14:textId="77777777" w:rsidR="009E549A" w:rsidRPr="00192A46" w:rsidRDefault="00617FB7" w:rsidP="00C278B3">
      <w:pPr>
        <w:pStyle w:val="Heading3"/>
      </w:pPr>
      <w:r w:rsidRPr="00192A46">
        <w:t>Q.</w:t>
      </w:r>
      <w:r w:rsidRPr="00192A46">
        <w:tab/>
      </w:r>
      <w:r w:rsidR="00F343AD" w:rsidRPr="00192A46">
        <w:t>I</w:t>
      </w:r>
      <w:r w:rsidR="00DF4B26" w:rsidRPr="00192A46">
        <w:t xml:space="preserve">f the </w:t>
      </w:r>
      <w:r w:rsidRPr="00192A46">
        <w:t>Commission approves a decoupling mechanism</w:t>
      </w:r>
      <w:r w:rsidR="00DD7EE8" w:rsidRPr="00192A46">
        <w:t>,</w:t>
      </w:r>
      <w:r w:rsidRPr="00192A46">
        <w:t xml:space="preserve"> </w:t>
      </w:r>
      <w:r w:rsidR="00DF4B26" w:rsidRPr="00192A46">
        <w:t xml:space="preserve">how </w:t>
      </w:r>
      <w:r w:rsidR="000D4851" w:rsidRPr="00192A46">
        <w:t xml:space="preserve">could </w:t>
      </w:r>
      <w:r w:rsidR="008F305C" w:rsidRPr="00192A46">
        <w:t>the Commission</w:t>
      </w:r>
      <w:r w:rsidR="00DF4B26" w:rsidRPr="00192A46">
        <w:t xml:space="preserve"> implement </w:t>
      </w:r>
      <w:r w:rsidR="00AA2DCC" w:rsidRPr="00192A46">
        <w:t xml:space="preserve">this </w:t>
      </w:r>
      <w:r w:rsidRPr="00192A46">
        <w:t>policy?</w:t>
      </w:r>
      <w:r w:rsidR="00DD7EE8" w:rsidRPr="00192A46">
        <w:t xml:space="preserve">  </w:t>
      </w:r>
    </w:p>
    <w:p w14:paraId="3FEE4B26" w14:textId="77777777" w:rsidR="00081F39" w:rsidRPr="00192A46" w:rsidRDefault="00617FB7" w:rsidP="00C278B3">
      <w:r w:rsidRPr="00192A46">
        <w:t>A.</w:t>
      </w:r>
      <w:r w:rsidRPr="00192A46">
        <w:tab/>
      </w:r>
      <w:r w:rsidR="00D741C3" w:rsidRPr="00192A46">
        <w:t>The</w:t>
      </w:r>
      <w:r w:rsidR="005936D4" w:rsidRPr="00192A46">
        <w:t xml:space="preserve"> Commission </w:t>
      </w:r>
      <w:r w:rsidR="000D4851" w:rsidRPr="00192A46">
        <w:t>c</w:t>
      </w:r>
      <w:r w:rsidR="00D741C3" w:rsidRPr="00192A46">
        <w:t xml:space="preserve">ould </w:t>
      </w:r>
      <w:r w:rsidR="00CE798F" w:rsidRPr="00192A46">
        <w:t xml:space="preserve">reduce </w:t>
      </w:r>
      <w:r w:rsidR="003C5737" w:rsidRPr="00192A46">
        <w:t xml:space="preserve">the overall rate of return by adopting a return on equity in the lower end of </w:t>
      </w:r>
      <w:r w:rsidR="00A63D82" w:rsidRPr="00192A46">
        <w:t>a reasonable range</w:t>
      </w:r>
      <w:r w:rsidR="003C5737" w:rsidRPr="00192A46">
        <w:t>,</w:t>
      </w:r>
      <w:r w:rsidR="00B138B7" w:rsidRPr="00192A46">
        <w:t xml:space="preserve"> </w:t>
      </w:r>
      <w:r w:rsidR="003C5737" w:rsidRPr="00192A46">
        <w:t xml:space="preserve">or by reducing the amount of equity in the </w:t>
      </w:r>
      <w:r w:rsidR="007F765B" w:rsidRPr="00192A46">
        <w:t>C</w:t>
      </w:r>
      <w:r w:rsidR="003C5737" w:rsidRPr="00192A46">
        <w:t xml:space="preserve">ompany’s </w:t>
      </w:r>
      <w:r w:rsidR="009B1C9D" w:rsidRPr="00192A46">
        <w:t xml:space="preserve">ratemaking </w:t>
      </w:r>
      <w:r w:rsidR="003C5737" w:rsidRPr="00192A46">
        <w:t>capital structure</w:t>
      </w:r>
      <w:r w:rsidR="00CC0444" w:rsidRPr="00192A46">
        <w:t xml:space="preserve">, </w:t>
      </w:r>
      <w:r w:rsidR="003C5737" w:rsidRPr="00192A46">
        <w:t>or both.</w:t>
      </w:r>
      <w:r w:rsidR="00A63D82" w:rsidRPr="00192A46">
        <w:t xml:space="preserve">  </w:t>
      </w:r>
    </w:p>
    <w:p w14:paraId="3FEE4B27" w14:textId="77777777" w:rsidR="00081F39" w:rsidRPr="00192A46" w:rsidRDefault="00081F39" w:rsidP="00C278B3"/>
    <w:p w14:paraId="3FEE4B28" w14:textId="77777777" w:rsidR="00081F39" w:rsidRPr="00192A46" w:rsidRDefault="00081F39" w:rsidP="003770CB">
      <w:pPr>
        <w:pStyle w:val="Heading3"/>
      </w:pPr>
      <w:r w:rsidRPr="00192A46">
        <w:t>Q.</w:t>
      </w:r>
      <w:r w:rsidRPr="00192A46">
        <w:tab/>
        <w:t>What does Staff propose?</w:t>
      </w:r>
    </w:p>
    <w:p w14:paraId="3FEE4B29" w14:textId="77777777" w:rsidR="009E549A" w:rsidRPr="00192A46" w:rsidRDefault="00081F39" w:rsidP="00C278B3">
      <w:r w:rsidRPr="00192A46">
        <w:lastRenderedPageBreak/>
        <w:t>A.</w:t>
      </w:r>
      <w:r w:rsidRPr="00192A46">
        <w:tab/>
      </w:r>
      <w:r w:rsidR="007F765B" w:rsidRPr="00192A46">
        <w:t>As Mr. Elgin testifies, the Commission should recognize the risk reduction impacts of a decoupling mechanism by reducing the amount of equity in the capital structure.</w:t>
      </w:r>
      <w:r w:rsidR="00B727BF">
        <w:rPr>
          <w:rStyle w:val="FootnoteReference"/>
        </w:rPr>
        <w:footnoteReference w:id="29"/>
      </w:r>
      <w:r w:rsidR="007F765B" w:rsidRPr="00192A46">
        <w:rPr>
          <w:rStyle w:val="CommentReference"/>
          <w:rFonts w:eastAsiaTheme="minorHAnsi"/>
          <w:sz w:val="24"/>
          <w:szCs w:val="24"/>
        </w:rPr>
        <w:t xml:space="preserve"> </w:t>
      </w:r>
    </w:p>
    <w:p w14:paraId="3FEE4B2A" w14:textId="77777777" w:rsidR="00D8215E" w:rsidRPr="00192A46" w:rsidRDefault="00D8215E" w:rsidP="00C278B3"/>
    <w:p w14:paraId="3FEE4B2B" w14:textId="77777777" w:rsidR="00D61723" w:rsidRPr="00192A46" w:rsidRDefault="00D61723" w:rsidP="00D61723">
      <w:pPr>
        <w:pStyle w:val="Heading3"/>
      </w:pPr>
      <w:r w:rsidRPr="00192A46">
        <w:t>Q.</w:t>
      </w:r>
      <w:r w:rsidRPr="00192A46">
        <w:tab/>
        <w:t xml:space="preserve">What does </w:t>
      </w:r>
      <w:r w:rsidR="007F765B" w:rsidRPr="00192A46">
        <w:t xml:space="preserve">Avista </w:t>
      </w:r>
      <w:r w:rsidRPr="00192A46">
        <w:t>say about the impact of a decoupling mechanism on the rate of return?</w:t>
      </w:r>
    </w:p>
    <w:p w14:paraId="3FEE4B2C" w14:textId="77777777" w:rsidR="00302247" w:rsidRDefault="00D61723" w:rsidP="00D61723">
      <w:r w:rsidRPr="00192A46">
        <w:t>A.</w:t>
      </w:r>
      <w:r w:rsidRPr="00192A46">
        <w:tab/>
      </w:r>
      <w:r w:rsidR="007F765B" w:rsidRPr="00192A46">
        <w:t>Avista</w:t>
      </w:r>
      <w:r w:rsidR="00AA2DCC" w:rsidRPr="00192A46">
        <w:t xml:space="preserve"> </w:t>
      </w:r>
      <w:r w:rsidR="00D8215E" w:rsidRPr="00192A46">
        <w:t>s</w:t>
      </w:r>
      <w:r w:rsidR="00AA2DCC" w:rsidRPr="00192A46">
        <w:t>ays</w:t>
      </w:r>
      <w:r w:rsidR="00D8215E" w:rsidRPr="00192A46">
        <w:t xml:space="preserve"> a decoupling mechanism should have no impact on the rate of return.</w:t>
      </w:r>
      <w:r w:rsidR="00253E2D">
        <w:rPr>
          <w:rStyle w:val="FootnoteReference"/>
        </w:rPr>
        <w:footnoteReference w:id="30"/>
      </w:r>
      <w:r w:rsidR="00917423" w:rsidRPr="00192A46">
        <w:t xml:space="preserve"> </w:t>
      </w:r>
      <w:r w:rsidR="00D8215E" w:rsidRPr="00192A46">
        <w:t xml:space="preserve"> </w:t>
      </w:r>
      <w:r w:rsidR="00634F8C" w:rsidRPr="00192A46">
        <w:t>A</w:t>
      </w:r>
      <w:r w:rsidR="000E4464">
        <w:t xml:space="preserve">vista </w:t>
      </w:r>
      <w:r w:rsidR="002E4D30" w:rsidRPr="00192A46">
        <w:t xml:space="preserve">suggests that decoupling is </w:t>
      </w:r>
      <w:r w:rsidR="000E4464">
        <w:t xml:space="preserve">simply </w:t>
      </w:r>
      <w:r w:rsidR="002E4D30" w:rsidRPr="00192A46">
        <w:t>a patch applied to the ratemaking process to restore the revenue related to energy efficiency.</w:t>
      </w:r>
      <w:r w:rsidR="00253E2D">
        <w:rPr>
          <w:rStyle w:val="FootnoteReference"/>
        </w:rPr>
        <w:footnoteReference w:id="31"/>
      </w:r>
      <w:r w:rsidR="002E4D30" w:rsidRPr="00192A46">
        <w:t xml:space="preserve">  </w:t>
      </w:r>
    </w:p>
    <w:p w14:paraId="3FEE4B2D" w14:textId="77777777" w:rsidR="009D0BCA" w:rsidRPr="00192A46" w:rsidRDefault="009D0BCA" w:rsidP="00D61723"/>
    <w:p w14:paraId="3FEE4B2E" w14:textId="77777777" w:rsidR="00302247" w:rsidRPr="00192A46" w:rsidRDefault="00302247" w:rsidP="003770CB">
      <w:pPr>
        <w:pStyle w:val="Heading3"/>
      </w:pPr>
      <w:r w:rsidRPr="00192A46">
        <w:t>Q.</w:t>
      </w:r>
      <w:r w:rsidRPr="00192A46">
        <w:tab/>
        <w:t>What is Staff’s response?</w:t>
      </w:r>
    </w:p>
    <w:p w14:paraId="3FEE4B2F" w14:textId="77777777" w:rsidR="00302247" w:rsidRPr="00192A46" w:rsidRDefault="00302247" w:rsidP="00D61723">
      <w:r w:rsidRPr="00192A46">
        <w:t>A.</w:t>
      </w:r>
      <w:r w:rsidRPr="00192A46">
        <w:tab/>
        <w:t xml:space="preserve">The Company </w:t>
      </w:r>
      <w:r w:rsidR="00AA2DCC" w:rsidRPr="00192A46">
        <w:t xml:space="preserve">is wrong because it disregards </w:t>
      </w:r>
      <w:r w:rsidRPr="00192A46">
        <w:t xml:space="preserve">the fact that the </w:t>
      </w:r>
      <w:r w:rsidR="00917423" w:rsidRPr="00192A46">
        <w:t>full decoupling mechanism under discussion in this docket restores far more than just energy efficiency.  As Mr. Ehrbar remarks</w:t>
      </w:r>
      <w:r w:rsidR="00081F39" w:rsidRPr="00192A46">
        <w:t xml:space="preserve">, </w:t>
      </w:r>
      <w:r w:rsidR="00917423" w:rsidRPr="00192A46">
        <w:t>“such a mechanism should factor in all changes in use per customer, including changes due to weather.”</w:t>
      </w:r>
      <w:r w:rsidR="009D0BCA">
        <w:rPr>
          <w:rStyle w:val="FootnoteReference"/>
        </w:rPr>
        <w:footnoteReference w:id="32"/>
      </w:r>
      <w:r w:rsidR="00917423" w:rsidRPr="00192A46">
        <w:t xml:space="preserve">  </w:t>
      </w:r>
    </w:p>
    <w:p w14:paraId="3FEE4B30" w14:textId="57302CAC" w:rsidR="00302247" w:rsidRPr="00192A46" w:rsidRDefault="00302247" w:rsidP="00D61723">
      <w:r w:rsidRPr="00192A46">
        <w:tab/>
      </w:r>
      <w:r w:rsidRPr="00192A46">
        <w:tab/>
      </w:r>
      <w:r w:rsidR="008D0A4E">
        <w:t xml:space="preserve">After making this claim, </w:t>
      </w:r>
      <w:r w:rsidRPr="00192A46">
        <w:t xml:space="preserve">the Company </w:t>
      </w:r>
      <w:r w:rsidR="00634F8C" w:rsidRPr="00192A46">
        <w:t xml:space="preserve">continues to use the energy savings estimates </w:t>
      </w:r>
      <w:r w:rsidR="008D0A4E">
        <w:t>to</w:t>
      </w:r>
      <w:r w:rsidR="004621C6">
        <w:t xml:space="preserve"> explicitly</w:t>
      </w:r>
      <w:r w:rsidR="008D0A4E">
        <w:t xml:space="preserve"> incorporate</w:t>
      </w:r>
      <w:r w:rsidR="00634F8C" w:rsidRPr="00192A46">
        <w:t xml:space="preserve"> the impact of energy efficiency on</w:t>
      </w:r>
      <w:r w:rsidR="004621C6">
        <w:t xml:space="preserve"> future</w:t>
      </w:r>
      <w:r w:rsidR="008D0A4E">
        <w:t xml:space="preserve"> load, even though the </w:t>
      </w:r>
      <w:r w:rsidR="004621C6">
        <w:t>“</w:t>
      </w:r>
      <w:r w:rsidR="008D0A4E">
        <w:t xml:space="preserve">energy savings estimates </w:t>
      </w:r>
      <w:r w:rsidR="004621C6">
        <w:t>are really intended to be used for [conservation program] forecasting and as a guide for making a decision about which plant to purchase, where plant A is conservation and plant B is a gas plant</w:t>
      </w:r>
      <w:r w:rsidR="00BC26DC">
        <w:t>.</w:t>
      </w:r>
      <w:r w:rsidR="004621C6">
        <w:t>”</w:t>
      </w:r>
      <w:r w:rsidR="004621C6">
        <w:rPr>
          <w:rStyle w:val="FootnoteReference"/>
        </w:rPr>
        <w:footnoteReference w:id="33"/>
      </w:r>
      <w:r w:rsidR="008D0A4E">
        <w:t xml:space="preserve"> </w:t>
      </w:r>
      <w:r w:rsidR="00634F8C" w:rsidRPr="00192A46">
        <w:t xml:space="preserve"> </w:t>
      </w:r>
      <w:r w:rsidR="008D0A4E" w:rsidRPr="00192A46">
        <w:t xml:space="preserve">Notably, Avista </w:t>
      </w:r>
      <w:r w:rsidR="008D0A4E">
        <w:t xml:space="preserve">also </w:t>
      </w:r>
      <w:r w:rsidR="008D0A4E" w:rsidRPr="00192A46">
        <w:t>fails to recommend</w:t>
      </w:r>
      <w:r w:rsidR="006024CE">
        <w:t xml:space="preserve"> either</w:t>
      </w:r>
      <w:r w:rsidR="008D0A4E" w:rsidRPr="00192A46">
        <w:t xml:space="preserve"> a specific capital structure or specific </w:t>
      </w:r>
      <w:r w:rsidR="008D0A4E" w:rsidRPr="00192A46">
        <w:lastRenderedPageBreak/>
        <w:t>capital cost rates under decoupling,</w:t>
      </w:r>
      <w:r w:rsidR="008D0A4E">
        <w:t xml:space="preserve"> even though </w:t>
      </w:r>
      <w:r w:rsidR="000E4464">
        <w:t xml:space="preserve">the Company </w:t>
      </w:r>
      <w:r w:rsidR="008D0A4E">
        <w:t>is recommending capturing the effects of weather, which is one of the main components of risk.</w:t>
      </w:r>
    </w:p>
    <w:p w14:paraId="3FEE4B31" w14:textId="77777777" w:rsidR="00D61723" w:rsidRPr="00192A46" w:rsidRDefault="00302247" w:rsidP="00D61723">
      <w:r w:rsidRPr="00192A46">
        <w:tab/>
      </w:r>
      <w:r w:rsidRPr="00192A46">
        <w:tab/>
        <w:t>In s</w:t>
      </w:r>
      <w:r w:rsidR="000E4464">
        <w:t>um</w:t>
      </w:r>
      <w:r w:rsidRPr="00192A46">
        <w:t>, t</w:t>
      </w:r>
      <w:r w:rsidR="00DC5FA5" w:rsidRPr="00192A46">
        <w:t xml:space="preserve">he </w:t>
      </w:r>
      <w:r w:rsidR="000E4464">
        <w:t xml:space="preserve">testimony Avista offers on this issue </w:t>
      </w:r>
      <w:r w:rsidR="00DC5FA5" w:rsidRPr="00192A46">
        <w:t xml:space="preserve">is insufficient to support </w:t>
      </w:r>
      <w:r w:rsidR="000E4464">
        <w:t xml:space="preserve">the Company’s </w:t>
      </w:r>
      <w:r w:rsidR="00DC5FA5" w:rsidRPr="00192A46">
        <w:t xml:space="preserve">conclusion that rate of return </w:t>
      </w:r>
      <w:r w:rsidR="00DD6755" w:rsidRPr="00192A46">
        <w:t>is un</w:t>
      </w:r>
      <w:r w:rsidR="00DC5FA5" w:rsidRPr="00192A46">
        <w:t>affected by a decoupling mechanism.</w:t>
      </w:r>
    </w:p>
    <w:p w14:paraId="3FEE4B32" w14:textId="77777777" w:rsidR="00D61723" w:rsidRPr="00192A46" w:rsidRDefault="00D61723" w:rsidP="00D61723"/>
    <w:p w14:paraId="3FEE4B33" w14:textId="77777777" w:rsidR="00D61723" w:rsidRPr="00192A46" w:rsidRDefault="00D61723" w:rsidP="00D61723">
      <w:pPr>
        <w:pStyle w:val="Heading3"/>
      </w:pPr>
      <w:r w:rsidRPr="00192A46">
        <w:t>Q.</w:t>
      </w:r>
      <w:r w:rsidRPr="00192A46">
        <w:tab/>
        <w:t xml:space="preserve">What do </w:t>
      </w:r>
      <w:r w:rsidR="00302247" w:rsidRPr="00192A46">
        <w:t xml:space="preserve">Public Counsel </w:t>
      </w:r>
      <w:r w:rsidR="00DD6755" w:rsidRPr="00192A46">
        <w:t xml:space="preserve">and ICNU </w:t>
      </w:r>
      <w:r w:rsidRPr="00192A46">
        <w:t>say about the impact of a decoupling mechanism on the rate of return?</w:t>
      </w:r>
    </w:p>
    <w:p w14:paraId="3FEE4B34" w14:textId="77777777" w:rsidR="00DD6755" w:rsidRPr="00192A46" w:rsidDel="00DD6755" w:rsidRDefault="00D61723" w:rsidP="00DD6755">
      <w:r w:rsidRPr="00192A46">
        <w:t>A.</w:t>
      </w:r>
      <w:r w:rsidRPr="00192A46">
        <w:tab/>
      </w:r>
      <w:r w:rsidR="000E4464">
        <w:t xml:space="preserve">Both </w:t>
      </w:r>
      <w:r w:rsidR="00AA2DCC" w:rsidRPr="00192A46">
        <w:t xml:space="preserve">Public Counsel and ICNU strongly agree with the Commission policy and urge the Commission to apply it.  </w:t>
      </w:r>
      <w:r w:rsidR="00302247" w:rsidRPr="00192A46">
        <w:t xml:space="preserve">Public Counsel’s witness </w:t>
      </w:r>
      <w:r w:rsidR="00DC5FA5" w:rsidRPr="00192A46">
        <w:t xml:space="preserve">Mr. Dismukes </w:t>
      </w:r>
      <w:r w:rsidR="00AA2DCC" w:rsidRPr="00192A46">
        <w:t xml:space="preserve">testifies that </w:t>
      </w:r>
      <w:r w:rsidR="00DC5FA5" w:rsidRPr="00192A46">
        <w:t xml:space="preserve">decoupling </w:t>
      </w:r>
      <w:r w:rsidR="00DD6755" w:rsidRPr="00192A46">
        <w:t xml:space="preserve">has </w:t>
      </w:r>
      <w:r w:rsidR="00DC5FA5" w:rsidRPr="00192A46">
        <w:t>an effect on the</w:t>
      </w:r>
      <w:r w:rsidR="0009584C" w:rsidRPr="00192A46">
        <w:t xml:space="preserve"> allowed</w:t>
      </w:r>
      <w:r w:rsidR="00DC5FA5" w:rsidRPr="00192A46">
        <w:t xml:space="preserve"> rate of return</w:t>
      </w:r>
      <w:r w:rsidR="00DD6755" w:rsidRPr="00192A46">
        <w:t>, and that effect should be incorporated into the mechanism</w:t>
      </w:r>
      <w:r w:rsidR="00DC5FA5" w:rsidRPr="00192A46">
        <w:t>.</w:t>
      </w:r>
      <w:r w:rsidR="000E4464">
        <w:rPr>
          <w:rStyle w:val="FootnoteReference"/>
        </w:rPr>
        <w:footnoteReference w:id="34"/>
      </w:r>
      <w:r w:rsidR="00DC5FA5" w:rsidRPr="00192A46">
        <w:t xml:space="preserve">  </w:t>
      </w:r>
      <w:r w:rsidR="00BA3C12" w:rsidRPr="00192A46">
        <w:t xml:space="preserve">He provides several examples of regulatory commissions that have reduced the rate of return when implementing </w:t>
      </w:r>
      <w:r w:rsidR="00192A46" w:rsidRPr="00192A46">
        <w:t>decoupling</w:t>
      </w:r>
      <w:r w:rsidR="00BA3C12" w:rsidRPr="00192A46">
        <w:t>.</w:t>
      </w:r>
      <w:r w:rsidR="000E4464">
        <w:rPr>
          <w:rStyle w:val="FootnoteReference"/>
        </w:rPr>
        <w:footnoteReference w:id="35"/>
      </w:r>
      <w:r w:rsidR="00BA3C12" w:rsidRPr="00192A46">
        <w:t xml:space="preserve">  </w:t>
      </w:r>
      <w:r w:rsidR="00302247" w:rsidRPr="00192A46">
        <w:t xml:space="preserve">While he </w:t>
      </w:r>
      <w:r w:rsidR="0009584C" w:rsidRPr="00192A46">
        <w:t>makes no specific</w:t>
      </w:r>
      <w:r w:rsidR="00302247" w:rsidRPr="00192A46">
        <w:t xml:space="preserve"> calculation of that effect, he </w:t>
      </w:r>
      <w:r w:rsidR="0009584C" w:rsidRPr="00192A46">
        <w:t>encourages consideration of these issues in the context of a general rate case.</w:t>
      </w:r>
      <w:r w:rsidR="000E4464">
        <w:rPr>
          <w:rStyle w:val="FootnoteReference"/>
        </w:rPr>
        <w:footnoteReference w:id="36"/>
      </w:r>
      <w:r w:rsidR="0009584C" w:rsidRPr="00192A46">
        <w:t xml:space="preserve">  </w:t>
      </w:r>
    </w:p>
    <w:p w14:paraId="3FEE4B35" w14:textId="77777777" w:rsidR="00302247" w:rsidRPr="00192A46" w:rsidRDefault="00DD6755" w:rsidP="00DD6755">
      <w:r w:rsidRPr="00192A46">
        <w:tab/>
      </w:r>
      <w:r w:rsidR="000E4464">
        <w:tab/>
      </w:r>
      <w:r w:rsidR="00302247" w:rsidRPr="00192A46">
        <w:t xml:space="preserve">ICNU witness </w:t>
      </w:r>
      <w:r w:rsidR="00DC5FA5" w:rsidRPr="00192A46">
        <w:t xml:space="preserve">Mr. Deen suggests </w:t>
      </w:r>
      <w:r w:rsidR="00AA2DCC" w:rsidRPr="00192A46">
        <w:t xml:space="preserve">the Commission use </w:t>
      </w:r>
      <w:r w:rsidR="00DC5FA5" w:rsidRPr="00192A46">
        <w:t>the low end of the return on equity range</w:t>
      </w:r>
      <w:r w:rsidR="00AA2DCC" w:rsidRPr="00192A46">
        <w:t xml:space="preserve"> </w:t>
      </w:r>
      <w:r w:rsidR="004506DB">
        <w:t xml:space="preserve">that </w:t>
      </w:r>
      <w:r w:rsidR="00AA2DCC" w:rsidRPr="00192A46">
        <w:t>the Commission otherwise finds appropriate</w:t>
      </w:r>
      <w:r w:rsidR="00DC5FA5" w:rsidRPr="00192A46">
        <w:t>.</w:t>
      </w:r>
      <w:r w:rsidR="000E4464">
        <w:rPr>
          <w:rStyle w:val="FootnoteReference"/>
        </w:rPr>
        <w:footnoteReference w:id="37"/>
      </w:r>
      <w:r w:rsidR="00DC5FA5" w:rsidRPr="00192A46">
        <w:t xml:space="preserve"> </w:t>
      </w:r>
      <w:r w:rsidR="00302247" w:rsidRPr="00192A46">
        <w:t xml:space="preserve"> </w:t>
      </w:r>
      <w:r w:rsidR="00BA3C12" w:rsidRPr="00192A46">
        <w:t>He also cites several regulatory commission cases in which the commission adjusted rate of return when adopting decoupling.</w:t>
      </w:r>
      <w:r w:rsidR="000E4464">
        <w:rPr>
          <w:rStyle w:val="FootnoteReference"/>
        </w:rPr>
        <w:footnoteReference w:id="38"/>
      </w:r>
      <w:r w:rsidR="00BA3C12" w:rsidRPr="00192A46">
        <w:t xml:space="preserve">  </w:t>
      </w:r>
      <w:r w:rsidR="00785DAB" w:rsidRPr="00192A46">
        <w:t xml:space="preserve">Mr. Deen further recommends </w:t>
      </w:r>
      <w:r w:rsidR="008B340C" w:rsidRPr="00192A46">
        <w:t>that</w:t>
      </w:r>
      <w:r w:rsidR="00785DAB" w:rsidRPr="00192A46">
        <w:t xml:space="preserve"> the Earnings Test</w:t>
      </w:r>
      <w:r w:rsidR="008B340C" w:rsidRPr="00192A46">
        <w:t xml:space="preserve"> be capped at the rate of return</w:t>
      </w:r>
      <w:r w:rsidRPr="00192A46">
        <w:t xml:space="preserve"> last determined by the Commission</w:t>
      </w:r>
      <w:r w:rsidR="008B340C" w:rsidRPr="00192A46">
        <w:t>, rather than 25 basis points above th</w:t>
      </w:r>
      <w:r w:rsidRPr="00192A46">
        <w:t>at</w:t>
      </w:r>
      <w:r w:rsidR="008B340C" w:rsidRPr="00192A46">
        <w:t xml:space="preserve"> rate of return.</w:t>
      </w:r>
      <w:r w:rsidR="000E4464">
        <w:rPr>
          <w:rStyle w:val="FootnoteReference"/>
        </w:rPr>
        <w:footnoteReference w:id="39"/>
      </w:r>
      <w:r w:rsidR="008B340C" w:rsidRPr="00192A46">
        <w:t xml:space="preserve">  </w:t>
      </w:r>
    </w:p>
    <w:p w14:paraId="3FEE4B36" w14:textId="77777777" w:rsidR="00302247" w:rsidRPr="00192A46" w:rsidRDefault="00302247" w:rsidP="00D61723"/>
    <w:p w14:paraId="3FEE4B37" w14:textId="77777777" w:rsidR="00302247" w:rsidRPr="00192A46" w:rsidRDefault="00302247" w:rsidP="004506DB">
      <w:pPr>
        <w:pStyle w:val="Heading3"/>
      </w:pPr>
      <w:r w:rsidRPr="00192A46">
        <w:t>Q.</w:t>
      </w:r>
      <w:r w:rsidRPr="00192A46">
        <w:tab/>
        <w:t>What is Staff’s response?</w:t>
      </w:r>
    </w:p>
    <w:p w14:paraId="3FEE4B38" w14:textId="77777777" w:rsidR="000E4464" w:rsidRDefault="00302247" w:rsidP="00D61723">
      <w:r w:rsidRPr="00192A46">
        <w:t>A.</w:t>
      </w:r>
      <w:r w:rsidRPr="00192A46">
        <w:tab/>
      </w:r>
      <w:r w:rsidR="00DD6755" w:rsidRPr="00192A46">
        <w:t xml:space="preserve">Staff agrees with ICNU and Public Counsel that the Commission should apply its policy on the rate of return impacts of decoupling.  </w:t>
      </w:r>
      <w:r w:rsidR="00AA2DCC" w:rsidRPr="00192A46">
        <w:t>Staff proposes the Commission lower the equity ratio as a means to address the issue.</w:t>
      </w:r>
      <w:r w:rsidR="004C36EC">
        <w:rPr>
          <w:rStyle w:val="FootnoteReference"/>
        </w:rPr>
        <w:footnoteReference w:id="40"/>
      </w:r>
      <w:r w:rsidR="00AA2DCC" w:rsidRPr="00192A46">
        <w:t xml:space="preserve">  </w:t>
      </w:r>
    </w:p>
    <w:p w14:paraId="3FEE4B39" w14:textId="77777777" w:rsidR="00D61723" w:rsidRPr="00192A46" w:rsidRDefault="000E4464" w:rsidP="00D61723">
      <w:r>
        <w:tab/>
      </w:r>
      <w:r>
        <w:tab/>
        <w:t xml:space="preserve">However, </w:t>
      </w:r>
      <w:r w:rsidR="00DD6755" w:rsidRPr="00192A46">
        <w:t xml:space="preserve">Staff disagrees with ICNU that the Earnings Test should be capped at the rate of return last approved by the Commission.  Mr. Deen offers no justification for </w:t>
      </w:r>
      <w:r>
        <w:t>t</w:t>
      </w:r>
      <w:r w:rsidR="00DD6755" w:rsidRPr="00192A46">
        <w:t xml:space="preserve">his proposal.  As I explained in my earlier filed </w:t>
      </w:r>
      <w:r w:rsidR="006024CE">
        <w:t>exhibit</w:t>
      </w:r>
      <w:r w:rsidR="006024CE" w:rsidRPr="00192A46">
        <w:t xml:space="preserve"> </w:t>
      </w:r>
      <w:r w:rsidR="00DD6755" w:rsidRPr="00192A46">
        <w:t xml:space="preserve">on decoupling, </w:t>
      </w:r>
      <w:r w:rsidR="00302247" w:rsidRPr="00192A46">
        <w:t xml:space="preserve">the Commission should </w:t>
      </w:r>
      <w:r w:rsidR="00DD6755" w:rsidRPr="00192A46">
        <w:t xml:space="preserve">use an Earnings Test based on </w:t>
      </w:r>
      <w:r w:rsidR="00A33D36" w:rsidRPr="00192A46">
        <w:t xml:space="preserve">the low end of the range with a 25 basis point dead band above the </w:t>
      </w:r>
      <w:r w:rsidR="00DD6755" w:rsidRPr="00192A46">
        <w:t xml:space="preserve">previously authorized </w:t>
      </w:r>
      <w:r w:rsidR="00A33D36" w:rsidRPr="00192A46">
        <w:t>rate of return</w:t>
      </w:r>
      <w:r w:rsidR="008D0A4E">
        <w:t xml:space="preserve"> to retain the Company’s incentive to manage costs appropriately</w:t>
      </w:r>
      <w:r w:rsidR="00302247" w:rsidRPr="00192A46">
        <w:t>.</w:t>
      </w:r>
      <w:r>
        <w:rPr>
          <w:rStyle w:val="FootnoteReference"/>
        </w:rPr>
        <w:footnoteReference w:id="41"/>
      </w:r>
      <w:r w:rsidR="00302247" w:rsidRPr="00192A46">
        <w:t xml:space="preserve">  </w:t>
      </w:r>
      <w:r w:rsidR="002D385B" w:rsidRPr="00192A46">
        <w:t xml:space="preserve">  </w:t>
      </w:r>
      <w:r w:rsidR="00A33D36" w:rsidRPr="00192A46">
        <w:t xml:space="preserve">  </w:t>
      </w:r>
    </w:p>
    <w:p w14:paraId="3FEE4B3A" w14:textId="77777777" w:rsidR="00BC4412" w:rsidRPr="00192A46" w:rsidRDefault="00BC4412" w:rsidP="00C278B3"/>
    <w:p w14:paraId="3FEE4B3B" w14:textId="77777777" w:rsidR="00617FB7" w:rsidRPr="00192A46" w:rsidRDefault="00DD6755" w:rsidP="00DD2E7C">
      <w:pPr>
        <w:pStyle w:val="Heading2"/>
        <w:spacing w:line="240" w:lineRule="auto"/>
        <w:ind w:left="1440" w:hanging="720"/>
      </w:pPr>
      <w:bookmarkStart w:id="12" w:name="_Toc314559024"/>
      <w:bookmarkStart w:id="13" w:name="_Toc335731522"/>
      <w:r w:rsidRPr="00192A46">
        <w:t xml:space="preserve">Conditioning </w:t>
      </w:r>
      <w:r w:rsidR="00617FB7" w:rsidRPr="00192A46">
        <w:t xml:space="preserve">Recovery </w:t>
      </w:r>
      <w:r w:rsidRPr="00192A46">
        <w:t xml:space="preserve">of Deferred Amounts </w:t>
      </w:r>
      <w:r w:rsidR="00617FB7" w:rsidRPr="00192A46">
        <w:t>on Conservation Achievement</w:t>
      </w:r>
      <w:bookmarkEnd w:id="12"/>
      <w:bookmarkEnd w:id="13"/>
    </w:p>
    <w:p w14:paraId="3FEE4B3C" w14:textId="77777777" w:rsidR="002353CA" w:rsidRPr="00192A46" w:rsidRDefault="002353CA" w:rsidP="005E25E5">
      <w:pPr>
        <w:keepNext/>
      </w:pPr>
    </w:p>
    <w:p w14:paraId="3FEE4B3D" w14:textId="77777777" w:rsidR="00AA2DCC" w:rsidRPr="00192A46" w:rsidRDefault="00AA2DCC" w:rsidP="004506DB">
      <w:pPr>
        <w:pStyle w:val="Heading3"/>
      </w:pPr>
      <w:r w:rsidRPr="00192A46">
        <w:t>Q.</w:t>
      </w:r>
      <w:r w:rsidRPr="00192A46">
        <w:tab/>
        <w:t xml:space="preserve">Please briefly describe the Commission’s policy on conditioning decoupling deferral </w:t>
      </w:r>
      <w:r w:rsidR="00192A46" w:rsidRPr="00192A46">
        <w:t>recovery</w:t>
      </w:r>
      <w:r w:rsidRPr="00192A46">
        <w:t xml:space="preserve"> on achieving conservation targets. </w:t>
      </w:r>
    </w:p>
    <w:p w14:paraId="3FEE4B3E" w14:textId="77777777" w:rsidR="00AA2DCC" w:rsidRPr="00192A46" w:rsidRDefault="00AA2DCC" w:rsidP="005E25E5">
      <w:pPr>
        <w:keepNext/>
      </w:pPr>
      <w:r w:rsidRPr="00192A46">
        <w:t>A.</w:t>
      </w:r>
      <w:r w:rsidRPr="00192A46">
        <w:tab/>
      </w:r>
      <w:r w:rsidR="007A21A3" w:rsidRPr="00192A46">
        <w:t>The Commission’s policy is that “[r]evenue recovery by the company under the mechanism will be conditioned upon a utility’s level of achievement with respect to its conservation target.”</w:t>
      </w:r>
      <w:r w:rsidR="000E4464">
        <w:rPr>
          <w:rStyle w:val="FootnoteReference"/>
        </w:rPr>
        <w:footnoteReference w:id="42"/>
      </w:r>
      <w:r w:rsidR="007A21A3" w:rsidRPr="00192A46">
        <w:t xml:space="preserve">  </w:t>
      </w:r>
    </w:p>
    <w:p w14:paraId="3FEE4B3F" w14:textId="77777777" w:rsidR="00AA2DCC" w:rsidRPr="00192A46" w:rsidRDefault="00AA2DCC" w:rsidP="0020324A"/>
    <w:p w14:paraId="3FEE4B40" w14:textId="77777777" w:rsidR="00603BC6" w:rsidRPr="00192A46" w:rsidRDefault="00603BC6" w:rsidP="0020324A">
      <w:pPr>
        <w:pStyle w:val="Heading3"/>
        <w:keepNext/>
      </w:pPr>
      <w:r w:rsidRPr="00192A46">
        <w:lastRenderedPageBreak/>
        <w:t>Q.</w:t>
      </w:r>
      <w:r w:rsidRPr="00192A46">
        <w:tab/>
        <w:t xml:space="preserve">What does </w:t>
      </w:r>
      <w:r w:rsidR="00302247" w:rsidRPr="00192A46">
        <w:t xml:space="preserve">Avista </w:t>
      </w:r>
      <w:r w:rsidRPr="00192A46">
        <w:t xml:space="preserve">say about </w:t>
      </w:r>
      <w:r w:rsidR="007A21A3" w:rsidRPr="00192A46">
        <w:t>this policy?</w:t>
      </w:r>
    </w:p>
    <w:p w14:paraId="3FEE4B41" w14:textId="77777777" w:rsidR="00603BC6" w:rsidRPr="00192A46" w:rsidRDefault="00603BC6" w:rsidP="00603BC6">
      <w:r w:rsidRPr="00192A46">
        <w:t>A.</w:t>
      </w:r>
      <w:r w:rsidRPr="00192A46">
        <w:tab/>
      </w:r>
      <w:r w:rsidR="00302247" w:rsidRPr="00192A46">
        <w:t>Avista</w:t>
      </w:r>
      <w:r w:rsidR="007A21A3" w:rsidRPr="00192A46">
        <w:t xml:space="preserve"> says the Commission should not apply this policy because </w:t>
      </w:r>
      <w:r w:rsidR="00BE7B6D" w:rsidRPr="00192A46">
        <w:t xml:space="preserve">the penalties in the Energy Independence Act </w:t>
      </w:r>
      <w:r w:rsidR="007A21A3" w:rsidRPr="00192A46">
        <w:t xml:space="preserve">(EIA) </w:t>
      </w:r>
      <w:r w:rsidR="00BE7B6D" w:rsidRPr="00192A46">
        <w:t>are sufficient</w:t>
      </w:r>
      <w:r w:rsidR="0012284F" w:rsidRPr="00192A46">
        <w:t xml:space="preserve"> to encourage the </w:t>
      </w:r>
      <w:r w:rsidR="00302247" w:rsidRPr="00192A46">
        <w:t>C</w:t>
      </w:r>
      <w:r w:rsidR="0012284F" w:rsidRPr="00192A46">
        <w:t>ompany to invest in conservation</w:t>
      </w:r>
      <w:r w:rsidR="00302247" w:rsidRPr="00192A46">
        <w:t>.</w:t>
      </w:r>
      <w:r w:rsidR="000E4464">
        <w:rPr>
          <w:rStyle w:val="FootnoteReference"/>
        </w:rPr>
        <w:footnoteReference w:id="43"/>
      </w:r>
      <w:r w:rsidR="00BE7B6D" w:rsidRPr="00192A46">
        <w:t xml:space="preserve">  </w:t>
      </w:r>
      <w:r w:rsidR="00E832B6" w:rsidRPr="00192A46">
        <w:t xml:space="preserve">It is interesting that </w:t>
      </w:r>
      <w:r w:rsidR="000E4464">
        <w:t xml:space="preserve">Avista’s witness, </w:t>
      </w:r>
      <w:r w:rsidR="00E832B6" w:rsidRPr="00192A46">
        <w:t>Mr. Ehrbar</w:t>
      </w:r>
      <w:r w:rsidR="000E4464">
        <w:t>,</w:t>
      </w:r>
      <w:r w:rsidR="00E832B6" w:rsidRPr="00192A46">
        <w:t xml:space="preserve"> makes no mention of the incentive inherent in the EIA penalty to set the targets as low as possible.</w:t>
      </w:r>
      <w:r w:rsidR="004A694B">
        <w:t xml:space="preserve">  In the presence of decoupling, this would need to be further explored.</w:t>
      </w:r>
    </w:p>
    <w:p w14:paraId="3FEE4B42" w14:textId="77777777" w:rsidR="007A21A3" w:rsidRPr="00192A46" w:rsidRDefault="007A21A3" w:rsidP="00603BC6">
      <w:pPr>
        <w:rPr>
          <w:b/>
        </w:rPr>
      </w:pPr>
    </w:p>
    <w:p w14:paraId="3FEE4B43" w14:textId="77777777" w:rsidR="00603BC6" w:rsidRPr="00192A46" w:rsidRDefault="00DD6755" w:rsidP="004506DB">
      <w:pPr>
        <w:pStyle w:val="Heading3"/>
      </w:pPr>
      <w:r w:rsidRPr="00192A46">
        <w:t>Q.</w:t>
      </w:r>
      <w:r w:rsidRPr="00192A46">
        <w:tab/>
      </w:r>
      <w:r w:rsidR="000E4464">
        <w:t>Should the Commission link conservation achievement to revenue recovery under decoupling?</w:t>
      </w:r>
    </w:p>
    <w:p w14:paraId="3FEE4B44" w14:textId="350F6495" w:rsidR="00DD6755" w:rsidRDefault="00DD6755" w:rsidP="00603BC6">
      <w:r w:rsidRPr="00192A46">
        <w:t>A.</w:t>
      </w:r>
      <w:r w:rsidRPr="00192A46">
        <w:tab/>
      </w:r>
      <w:r w:rsidR="000E4464">
        <w:t xml:space="preserve">Yes.  </w:t>
      </w:r>
      <w:r w:rsidR="004A694B">
        <w:t xml:space="preserve">The Commission’s linkage of conservation achievement to full decoupling is intended to transform the removal of a disincentive to invest in conservation into an incentive </w:t>
      </w:r>
      <w:r w:rsidR="004A694B" w:rsidRPr="004A694B">
        <w:rPr>
          <w:i/>
        </w:rPr>
        <w:t>to invest</w:t>
      </w:r>
      <w:r w:rsidR="004A694B">
        <w:t xml:space="preserve"> in conservation.</w:t>
      </w:r>
      <w:r w:rsidR="000E4464">
        <w:rPr>
          <w:rStyle w:val="FootnoteReference"/>
        </w:rPr>
        <w:footnoteReference w:id="44"/>
      </w:r>
      <w:r w:rsidR="004A694B">
        <w:t xml:space="preserve">  </w:t>
      </w:r>
      <w:r w:rsidR="000E4464">
        <w:t xml:space="preserve">Staff’s proposed </w:t>
      </w:r>
      <w:r w:rsidR="004A694B">
        <w:t xml:space="preserve">Conservation Test described in </w:t>
      </w:r>
      <w:r w:rsidR="000E4464">
        <w:t>my E</w:t>
      </w:r>
      <w:r w:rsidR="004A694B">
        <w:t xml:space="preserve">xhibit </w:t>
      </w:r>
      <w:r w:rsidR="000E4464">
        <w:t xml:space="preserve">No. ___ (DJR-2) </w:t>
      </w:r>
      <w:r w:rsidR="004A694B">
        <w:t>effectively implements th</w:t>
      </w:r>
      <w:r w:rsidR="000E4464">
        <w:t>at</w:t>
      </w:r>
      <w:r w:rsidR="004A694B">
        <w:t xml:space="preserve"> policy.  I am confident that an incentive </w:t>
      </w:r>
      <w:r w:rsidR="004A694B" w:rsidRPr="004A694B">
        <w:rPr>
          <w:i/>
        </w:rPr>
        <w:t>to invest</w:t>
      </w:r>
      <w:r w:rsidR="004A694B">
        <w:t xml:space="preserve"> in conservation will be more effective in increasing conservation than merely removing a disincentive.</w:t>
      </w:r>
    </w:p>
    <w:p w14:paraId="3FEE4B45" w14:textId="77777777" w:rsidR="004506DB" w:rsidRPr="00192A46" w:rsidRDefault="004506DB" w:rsidP="00603BC6"/>
    <w:p w14:paraId="3FEE4B46" w14:textId="77777777" w:rsidR="00603BC6" w:rsidRPr="00192A46" w:rsidRDefault="00603BC6" w:rsidP="00603BC6">
      <w:pPr>
        <w:pStyle w:val="Heading3"/>
      </w:pPr>
      <w:r w:rsidRPr="00192A46">
        <w:t>Q.</w:t>
      </w:r>
      <w:r w:rsidRPr="00192A46">
        <w:tab/>
        <w:t xml:space="preserve">What do </w:t>
      </w:r>
      <w:r w:rsidR="007C01EC" w:rsidRPr="00192A46">
        <w:t xml:space="preserve">Public Counsel and ICNU </w:t>
      </w:r>
      <w:r w:rsidRPr="00192A46">
        <w:t xml:space="preserve">say about conditioning </w:t>
      </w:r>
      <w:r w:rsidR="00192A46" w:rsidRPr="00192A46">
        <w:t>decoupling</w:t>
      </w:r>
      <w:r w:rsidR="00DD6755" w:rsidRPr="00192A46">
        <w:t xml:space="preserve"> deferrals </w:t>
      </w:r>
      <w:r w:rsidRPr="00192A46">
        <w:t xml:space="preserve">recovery on </w:t>
      </w:r>
      <w:r w:rsidR="00344E21" w:rsidRPr="00192A46">
        <w:t xml:space="preserve">Avista </w:t>
      </w:r>
      <w:r w:rsidR="00DD6755" w:rsidRPr="00192A46">
        <w:t xml:space="preserve">achieving </w:t>
      </w:r>
      <w:r w:rsidRPr="00192A46">
        <w:t xml:space="preserve">conservation </w:t>
      </w:r>
      <w:r w:rsidR="00DD6755" w:rsidRPr="00192A46">
        <w:t>targets</w:t>
      </w:r>
      <w:r w:rsidRPr="00192A46">
        <w:t>?</w:t>
      </w:r>
    </w:p>
    <w:p w14:paraId="3FEE4B47" w14:textId="77777777" w:rsidR="00DD6755" w:rsidRPr="00192A46" w:rsidRDefault="00192A46" w:rsidP="007C01EC">
      <w:r w:rsidRPr="00192A46">
        <w:t>A.</w:t>
      </w:r>
      <w:r w:rsidRPr="00192A46">
        <w:tab/>
        <w:t xml:space="preserve">Public Counsel and ICNU both </w:t>
      </w:r>
      <w:r>
        <w:t>support this condition</w:t>
      </w:r>
      <w:r w:rsidRPr="00192A46">
        <w:t>.</w:t>
      </w:r>
      <w:r w:rsidR="000E4464">
        <w:rPr>
          <w:rStyle w:val="FootnoteReference"/>
        </w:rPr>
        <w:footnoteReference w:id="45"/>
      </w:r>
      <w:r w:rsidRPr="00192A46">
        <w:t xml:space="preserve">  </w:t>
      </w:r>
      <w:r w:rsidR="007C01EC" w:rsidRPr="00192A46">
        <w:t xml:space="preserve">  </w:t>
      </w:r>
    </w:p>
    <w:p w14:paraId="3FEE4B48" w14:textId="77777777" w:rsidR="00DD6755" w:rsidRPr="00192A46" w:rsidRDefault="00DD6755" w:rsidP="007C01EC"/>
    <w:p w14:paraId="3FEE4B49" w14:textId="77777777" w:rsidR="00DD6755" w:rsidRPr="00192A46" w:rsidRDefault="00DD6755" w:rsidP="0020324A">
      <w:pPr>
        <w:pStyle w:val="Heading3"/>
        <w:keepNext/>
      </w:pPr>
      <w:r w:rsidRPr="00192A46">
        <w:lastRenderedPageBreak/>
        <w:t>Q.</w:t>
      </w:r>
      <w:r w:rsidRPr="00192A46">
        <w:tab/>
        <w:t>What is Staff’s response?</w:t>
      </w:r>
    </w:p>
    <w:p w14:paraId="3FEE4B4A" w14:textId="77777777" w:rsidR="00603BC6" w:rsidRPr="00192A46" w:rsidRDefault="00DD6755" w:rsidP="007C01EC">
      <w:r w:rsidRPr="00192A46">
        <w:t>A.</w:t>
      </w:r>
      <w:r w:rsidRPr="00192A46">
        <w:tab/>
        <w:t xml:space="preserve">Staff agrees.  </w:t>
      </w:r>
      <w:r w:rsidR="00344E21" w:rsidRPr="00192A46">
        <w:t xml:space="preserve">In exchange for customers guaranteeing Avista will receive a specific level of revenue recovery, it is </w:t>
      </w:r>
      <w:r w:rsidR="007C01EC" w:rsidRPr="00192A46">
        <w:t xml:space="preserve">fair to </w:t>
      </w:r>
      <w:r w:rsidR="00BA3C12" w:rsidRPr="00192A46">
        <w:t xml:space="preserve">condition the </w:t>
      </w:r>
      <w:r w:rsidR="007C01EC" w:rsidRPr="00192A46">
        <w:t>Company</w:t>
      </w:r>
      <w:r w:rsidR="00BA3C12" w:rsidRPr="00192A46">
        <w:t xml:space="preserve">’s recovery of those guaranteed revenues by proving it did </w:t>
      </w:r>
      <w:r w:rsidR="007C01EC" w:rsidRPr="00192A46">
        <w:t>what decoupling promises to do; remove barriers to acquiring all cost-effective conservation.</w:t>
      </w:r>
    </w:p>
    <w:p w14:paraId="3FEE4B4B" w14:textId="77777777" w:rsidR="00A3019D" w:rsidRPr="00192A46" w:rsidRDefault="00A3019D" w:rsidP="00C278B3">
      <w:pPr>
        <w:rPr>
          <w:i/>
        </w:rPr>
      </w:pPr>
    </w:p>
    <w:p w14:paraId="3FEE4B4C" w14:textId="77777777" w:rsidR="003F7147" w:rsidRPr="00192A46" w:rsidRDefault="005D3981" w:rsidP="006D239F">
      <w:pPr>
        <w:pStyle w:val="Heading2"/>
        <w:ind w:left="720" w:firstLine="0"/>
      </w:pPr>
      <w:bookmarkStart w:id="14" w:name="_Toc314559025"/>
      <w:bookmarkStart w:id="15" w:name="_Toc335731523"/>
      <w:r w:rsidRPr="00192A46">
        <w:t xml:space="preserve">Providing </w:t>
      </w:r>
      <w:r w:rsidR="00617FB7" w:rsidRPr="00192A46">
        <w:t xml:space="preserve">Comparable Conservation Benefits </w:t>
      </w:r>
      <w:r w:rsidR="00A3019D" w:rsidRPr="00192A46">
        <w:t xml:space="preserve">to </w:t>
      </w:r>
      <w:r w:rsidR="00617FB7" w:rsidRPr="00192A46">
        <w:t>Low</w:t>
      </w:r>
      <w:r w:rsidR="00A3019D" w:rsidRPr="00192A46">
        <w:t xml:space="preserve">-Income </w:t>
      </w:r>
      <w:r w:rsidR="00617FB7" w:rsidRPr="00192A46">
        <w:t>Customers</w:t>
      </w:r>
      <w:bookmarkEnd w:id="14"/>
      <w:bookmarkEnd w:id="15"/>
    </w:p>
    <w:p w14:paraId="3FEE4B4D" w14:textId="77777777" w:rsidR="004E29A8" w:rsidRPr="00192A46" w:rsidRDefault="004E29A8" w:rsidP="006D239F"/>
    <w:p w14:paraId="3FEE4B4E" w14:textId="625E5093" w:rsidR="00344E21" w:rsidRPr="00192A46" w:rsidRDefault="00344E21" w:rsidP="006D239F">
      <w:pPr>
        <w:pStyle w:val="Heading3"/>
      </w:pPr>
      <w:r w:rsidRPr="00192A46">
        <w:t>Q.</w:t>
      </w:r>
      <w:r w:rsidRPr="00192A46">
        <w:tab/>
        <w:t xml:space="preserve">Please briefly describe the Commission’s policy on </w:t>
      </w:r>
      <w:r w:rsidR="009D18C5">
        <w:t>low-income</w:t>
      </w:r>
      <w:r w:rsidRPr="00192A46">
        <w:t xml:space="preserve"> and decoupling. </w:t>
      </w:r>
    </w:p>
    <w:p w14:paraId="3FEE4B4F" w14:textId="33559167" w:rsidR="00344E21" w:rsidRDefault="00344E21" w:rsidP="00EB1865">
      <w:r w:rsidRPr="00192A46">
        <w:t>A.</w:t>
      </w:r>
      <w:r w:rsidRPr="00192A46">
        <w:tab/>
        <w:t xml:space="preserve">The Commission’s policy is that a decoupling proposal should demonstrate that the utility’s </w:t>
      </w:r>
      <w:r w:rsidR="009D18C5">
        <w:t>low-income</w:t>
      </w:r>
      <w:r w:rsidRPr="00192A46">
        <w:t xml:space="preserve"> conservation programs provide ben</w:t>
      </w:r>
      <w:r w:rsidR="00BA3C12" w:rsidRPr="00192A46">
        <w:t>e</w:t>
      </w:r>
      <w:r w:rsidRPr="00192A46">
        <w:t xml:space="preserve">fits to low-income customers that are </w:t>
      </w:r>
      <w:r w:rsidR="006D38BE">
        <w:t>roughly</w:t>
      </w:r>
      <w:r w:rsidRPr="00192A46">
        <w:t xml:space="preserve"> comparable to other ratepayers, and if not, that the low-income programs aim to achieve conservation levels comparable to other ratepayers.</w:t>
      </w:r>
      <w:r w:rsidR="000E4464">
        <w:rPr>
          <w:rStyle w:val="FootnoteReference"/>
          <w:b/>
        </w:rPr>
        <w:footnoteReference w:id="46"/>
      </w:r>
      <w:r w:rsidRPr="00192A46">
        <w:t xml:space="preserve">  </w:t>
      </w:r>
    </w:p>
    <w:p w14:paraId="3FEE4B50" w14:textId="77777777" w:rsidR="009A788F" w:rsidRPr="009A788F" w:rsidRDefault="009A788F" w:rsidP="009A788F"/>
    <w:p w14:paraId="3FEE4B51" w14:textId="77777777" w:rsidR="00603BC6" w:rsidRPr="00192A46" w:rsidRDefault="00603BC6" w:rsidP="00603BC6">
      <w:pPr>
        <w:pStyle w:val="Heading3"/>
      </w:pPr>
      <w:r w:rsidRPr="00192A46">
        <w:t>Q.</w:t>
      </w:r>
      <w:r w:rsidRPr="00192A46">
        <w:tab/>
        <w:t xml:space="preserve">What does </w:t>
      </w:r>
      <w:r w:rsidR="005D3981" w:rsidRPr="00192A46">
        <w:t xml:space="preserve">Avista </w:t>
      </w:r>
      <w:r w:rsidRPr="00192A46">
        <w:t xml:space="preserve">say about </w:t>
      </w:r>
      <w:r w:rsidR="00344E21" w:rsidRPr="00192A46">
        <w:t xml:space="preserve">this </w:t>
      </w:r>
      <w:r w:rsidR="00BA3C12" w:rsidRPr="00192A46">
        <w:t xml:space="preserve">low-income </w:t>
      </w:r>
      <w:r w:rsidR="00344E21" w:rsidRPr="00192A46">
        <w:t>policy</w:t>
      </w:r>
      <w:r w:rsidRPr="00192A46">
        <w:t>?</w:t>
      </w:r>
    </w:p>
    <w:p w14:paraId="3FEE4B52" w14:textId="45E9EA30" w:rsidR="005D3981" w:rsidRPr="00192A46" w:rsidRDefault="00603BC6" w:rsidP="00603BC6">
      <w:r w:rsidRPr="00192A46">
        <w:t>A.</w:t>
      </w:r>
      <w:r w:rsidRPr="00192A46">
        <w:tab/>
      </w:r>
      <w:r w:rsidR="005D3981" w:rsidRPr="00192A46">
        <w:t>Avista</w:t>
      </w:r>
      <w:r w:rsidR="00344E21" w:rsidRPr="00192A46">
        <w:t xml:space="preserve"> </w:t>
      </w:r>
      <w:r w:rsidR="0055286F" w:rsidRPr="00192A46">
        <w:t>states that</w:t>
      </w:r>
      <w:r w:rsidR="00BE7B6D" w:rsidRPr="00192A46">
        <w:t xml:space="preserve"> </w:t>
      </w:r>
      <w:r w:rsidR="0055286F" w:rsidRPr="00192A46">
        <w:t xml:space="preserve">Avista’s conservation programs provide benefits to low-income ratepayers that are roughly comparable to other ratepayers.  </w:t>
      </w:r>
      <w:r w:rsidR="000E4464">
        <w:t xml:space="preserve">Mr. Ehrbar </w:t>
      </w:r>
      <w:r w:rsidR="007A20C6" w:rsidRPr="00192A46">
        <w:t>explain</w:t>
      </w:r>
      <w:r w:rsidR="005D3981" w:rsidRPr="00192A46">
        <w:t>s</w:t>
      </w:r>
      <w:r w:rsidR="007A20C6" w:rsidRPr="00192A46">
        <w:t xml:space="preserve"> that customers participating in </w:t>
      </w:r>
      <w:r w:rsidR="005D3981" w:rsidRPr="00192A46">
        <w:t xml:space="preserve">the Company’s </w:t>
      </w:r>
      <w:r w:rsidR="007A20C6" w:rsidRPr="00192A46">
        <w:t xml:space="preserve">standard </w:t>
      </w:r>
      <w:r w:rsidR="005D3981" w:rsidRPr="00192A46">
        <w:t xml:space="preserve">(i.e., not </w:t>
      </w:r>
      <w:r w:rsidR="009D18C5">
        <w:t>low-income</w:t>
      </w:r>
      <w:r w:rsidR="005D3981" w:rsidRPr="00192A46">
        <w:t xml:space="preserve">) </w:t>
      </w:r>
      <w:r w:rsidR="007A20C6" w:rsidRPr="00192A46">
        <w:t xml:space="preserve">conservation programs receive funding of approximately 57 percent for the whole cost of the energy efficiency measure, which is much less than the 100 percent received by low-income customers.  He also says that the </w:t>
      </w:r>
      <w:r w:rsidR="005D3981" w:rsidRPr="00192A46">
        <w:t xml:space="preserve">Company’s </w:t>
      </w:r>
      <w:r w:rsidR="007A20C6" w:rsidRPr="00192A46">
        <w:t xml:space="preserve">budget </w:t>
      </w:r>
      <w:r w:rsidR="005D3981" w:rsidRPr="00192A46">
        <w:t xml:space="preserve">for </w:t>
      </w:r>
      <w:r w:rsidR="009D18C5">
        <w:lastRenderedPageBreak/>
        <w:t>low-income</w:t>
      </w:r>
      <w:r w:rsidR="005D3981" w:rsidRPr="00192A46">
        <w:t xml:space="preserve"> </w:t>
      </w:r>
      <w:r w:rsidR="00BA3C12" w:rsidRPr="00192A46">
        <w:t xml:space="preserve">conservation </w:t>
      </w:r>
      <w:r w:rsidR="007A20C6" w:rsidRPr="00192A46">
        <w:t xml:space="preserve">is 25 percent of the residential </w:t>
      </w:r>
      <w:r w:rsidR="00BA3C12" w:rsidRPr="00192A46">
        <w:t xml:space="preserve">conservation program </w:t>
      </w:r>
      <w:r w:rsidR="007A20C6" w:rsidRPr="00192A46">
        <w:t xml:space="preserve">budget, </w:t>
      </w:r>
      <w:r w:rsidR="00BA3C12" w:rsidRPr="00192A46">
        <w:t xml:space="preserve">which is </w:t>
      </w:r>
      <w:r w:rsidR="007A20C6" w:rsidRPr="00192A46">
        <w:t xml:space="preserve">similar </w:t>
      </w:r>
      <w:r w:rsidR="00BA3C12" w:rsidRPr="00192A46">
        <w:t xml:space="preserve">to the </w:t>
      </w:r>
      <w:r w:rsidR="007A20C6" w:rsidRPr="00192A46">
        <w:t>percentage of low-income customers in Avista’s service territory.</w:t>
      </w:r>
      <w:r w:rsidR="000E4464">
        <w:rPr>
          <w:rStyle w:val="FootnoteReference"/>
        </w:rPr>
        <w:footnoteReference w:id="47"/>
      </w:r>
      <w:r w:rsidR="007A20C6" w:rsidRPr="00192A46">
        <w:t xml:space="preserve">  </w:t>
      </w:r>
    </w:p>
    <w:p w14:paraId="3FEE4B53" w14:textId="77777777" w:rsidR="005D3981" w:rsidRPr="00192A46" w:rsidRDefault="005D3981" w:rsidP="00603BC6"/>
    <w:p w14:paraId="3FEE4B54" w14:textId="77777777" w:rsidR="005D3981" w:rsidRPr="00192A46" w:rsidRDefault="005D3981" w:rsidP="006D38BE">
      <w:pPr>
        <w:pStyle w:val="Heading3"/>
      </w:pPr>
      <w:r w:rsidRPr="00192A46">
        <w:t>Q.</w:t>
      </w:r>
      <w:r w:rsidRPr="00192A46">
        <w:tab/>
        <w:t>What is Staff’s response?</w:t>
      </w:r>
    </w:p>
    <w:p w14:paraId="3FEE4B55" w14:textId="77777777" w:rsidR="00603BC6" w:rsidRPr="00192A46" w:rsidRDefault="005D3981" w:rsidP="00603BC6">
      <w:r w:rsidRPr="00192A46">
        <w:t>A.</w:t>
      </w:r>
      <w:r w:rsidRPr="00192A46">
        <w:tab/>
      </w:r>
      <w:r w:rsidR="00BA3C12" w:rsidRPr="00192A46">
        <w:t xml:space="preserve">Staff </w:t>
      </w:r>
      <w:r w:rsidR="007A20C6" w:rsidRPr="00192A46">
        <w:t>finds these analyses helpful</w:t>
      </w:r>
      <w:r w:rsidR="004A694B">
        <w:t>.</w:t>
      </w:r>
      <w:r w:rsidR="0026337D">
        <w:t xml:space="preserve"> </w:t>
      </w:r>
      <w:r w:rsidR="007A20C6" w:rsidRPr="00192A46">
        <w:t xml:space="preserve"> </w:t>
      </w:r>
      <w:r w:rsidR="004A694B">
        <w:t xml:space="preserve">However, for the Commission’s policy to be fully implemented, it will be necessary for the Company to provide ongoing proof that low-income customers continue to enjoy roughly equivalent benefits.  Staff </w:t>
      </w:r>
      <w:r w:rsidR="007A20C6" w:rsidRPr="00192A46">
        <w:t xml:space="preserve">believes that </w:t>
      </w:r>
      <w:r w:rsidR="00E23088">
        <w:t>a</w:t>
      </w:r>
      <w:r w:rsidR="007A20C6" w:rsidRPr="00192A46">
        <w:t xml:space="preserve"> third-party evaluation</w:t>
      </w:r>
      <w:r w:rsidR="00E23088">
        <w:t>, combined with Avista’s additional evidence</w:t>
      </w:r>
      <w:r w:rsidR="007A20C6" w:rsidRPr="00192A46">
        <w:t xml:space="preserve"> will sufficiently </w:t>
      </w:r>
      <w:r w:rsidR="00E23088">
        <w:t>ensure that low-income customers appropriately benefit from conservation programs</w:t>
      </w:r>
      <w:r w:rsidR="007A20C6" w:rsidRPr="00192A46">
        <w:t>.</w:t>
      </w:r>
    </w:p>
    <w:p w14:paraId="3FEE4B56" w14:textId="77777777" w:rsidR="00603BC6" w:rsidRPr="00192A46" w:rsidRDefault="00603BC6" w:rsidP="00603BC6"/>
    <w:p w14:paraId="3FEE4B57" w14:textId="77777777" w:rsidR="00603BC6" w:rsidRPr="00192A46" w:rsidRDefault="00603BC6" w:rsidP="00603BC6">
      <w:pPr>
        <w:pStyle w:val="Heading3"/>
      </w:pPr>
      <w:r w:rsidRPr="00192A46">
        <w:t>Q.</w:t>
      </w:r>
      <w:r w:rsidRPr="00192A46">
        <w:tab/>
        <w:t xml:space="preserve">What do </w:t>
      </w:r>
      <w:r w:rsidR="005D3981" w:rsidRPr="00192A46">
        <w:t xml:space="preserve">Public Counsel and ICNU </w:t>
      </w:r>
      <w:r w:rsidRPr="00192A46">
        <w:t>say about conservation programs for low-income customers?</w:t>
      </w:r>
    </w:p>
    <w:p w14:paraId="3FEE4B58" w14:textId="77777777" w:rsidR="00603BC6" w:rsidRDefault="00603BC6" w:rsidP="00603BC6">
      <w:r w:rsidRPr="00192A46">
        <w:t>A.</w:t>
      </w:r>
      <w:r w:rsidRPr="00192A46">
        <w:tab/>
      </w:r>
      <w:r w:rsidR="0026337D">
        <w:t xml:space="preserve">Neither Public Counsel nor ICNU address </w:t>
      </w:r>
      <w:r w:rsidR="00192A46" w:rsidRPr="00192A46">
        <w:t>the merits of the issue</w:t>
      </w:r>
      <w:r w:rsidR="0026337D">
        <w:t xml:space="preserve">, though </w:t>
      </w:r>
      <w:r w:rsidR="005D3981" w:rsidRPr="00192A46">
        <w:t xml:space="preserve">Public Counsel </w:t>
      </w:r>
      <w:r w:rsidR="009738C2" w:rsidRPr="00192A46">
        <w:t>calls attention to NWEC’s failure to address low-income customer issues.</w:t>
      </w:r>
      <w:r w:rsidR="0026337D">
        <w:rPr>
          <w:rStyle w:val="FootnoteReference"/>
        </w:rPr>
        <w:footnoteReference w:id="48"/>
      </w:r>
    </w:p>
    <w:p w14:paraId="3FEE4B59" w14:textId="77777777" w:rsidR="009A788F" w:rsidRPr="00192A46" w:rsidRDefault="009A788F" w:rsidP="00603BC6"/>
    <w:p w14:paraId="3FEE4B5A" w14:textId="77777777" w:rsidR="00617FB7" w:rsidRPr="00192A46" w:rsidRDefault="00617FB7" w:rsidP="00DD2E7C">
      <w:pPr>
        <w:pStyle w:val="Heading2"/>
        <w:ind w:left="1440" w:hanging="720"/>
      </w:pPr>
      <w:bookmarkStart w:id="16" w:name="_Toc314559026"/>
      <w:bookmarkStart w:id="17" w:name="_Toc335731524"/>
      <w:r w:rsidRPr="00192A46">
        <w:t>Describ</w:t>
      </w:r>
      <w:r w:rsidR="00091CDC" w:rsidRPr="00192A46">
        <w:t>ing</w:t>
      </w:r>
      <w:r w:rsidRPr="00192A46">
        <w:t xml:space="preserve"> Incremental </w:t>
      </w:r>
      <w:r w:rsidR="002D1E41" w:rsidRPr="00192A46">
        <w:t>Conservation</w:t>
      </w:r>
      <w:bookmarkEnd w:id="16"/>
      <w:bookmarkEnd w:id="17"/>
    </w:p>
    <w:p w14:paraId="3FEE4B5B" w14:textId="77777777" w:rsidR="003B01D4" w:rsidRPr="00192A46" w:rsidRDefault="003B01D4" w:rsidP="00F90CBF"/>
    <w:p w14:paraId="3FEE4B5C" w14:textId="77777777" w:rsidR="00344E21" w:rsidRPr="00192A46" w:rsidRDefault="00344E21" w:rsidP="006D38BE">
      <w:pPr>
        <w:pStyle w:val="Heading3"/>
      </w:pPr>
      <w:r w:rsidRPr="00192A46">
        <w:t>Q.</w:t>
      </w:r>
      <w:r w:rsidRPr="00192A46">
        <w:tab/>
      </w:r>
      <w:r w:rsidR="00305077">
        <w:t>What is</w:t>
      </w:r>
      <w:r w:rsidRPr="00192A46">
        <w:t xml:space="preserve"> the Commission’s policy on </w:t>
      </w:r>
      <w:r w:rsidR="00D90452" w:rsidRPr="00192A46">
        <w:t>describing</w:t>
      </w:r>
      <w:r w:rsidRPr="00192A46">
        <w:t xml:space="preserve"> the incremental conservation the utility would </w:t>
      </w:r>
      <w:r w:rsidR="00192A46" w:rsidRPr="00192A46">
        <w:t>achieve</w:t>
      </w:r>
      <w:r w:rsidRPr="00192A46">
        <w:t xml:space="preserve"> via decoupling</w:t>
      </w:r>
      <w:r w:rsidR="00305077">
        <w:t>?</w:t>
      </w:r>
    </w:p>
    <w:p w14:paraId="3FEE4B5D" w14:textId="44015FEF" w:rsidR="003B2365" w:rsidRDefault="00344E21" w:rsidP="00EB1865">
      <w:r w:rsidRPr="00192A46">
        <w:lastRenderedPageBreak/>
        <w:t>A.</w:t>
      </w:r>
      <w:r w:rsidRPr="00192A46">
        <w:tab/>
        <w:t>The Commission’s policy is that a decoupling proposal be supported by “[e]vidence describing the incremental conservation the company intends to pursue in conjunction with the mechanism</w:t>
      </w:r>
      <w:r w:rsidR="00D10345">
        <w:t>.</w:t>
      </w:r>
      <w:r w:rsidRPr="00192A46">
        <w:t>”</w:t>
      </w:r>
      <w:r w:rsidR="0026337D" w:rsidRPr="00D10345">
        <w:rPr>
          <w:rStyle w:val="FootnoteReference"/>
        </w:rPr>
        <w:footnoteReference w:id="49"/>
      </w:r>
      <w:r w:rsidR="00D90452" w:rsidRPr="00192A46">
        <w:t xml:space="preserve"> </w:t>
      </w:r>
      <w:r w:rsidRPr="00192A46">
        <w:t xml:space="preserve"> </w:t>
      </w:r>
      <w:r w:rsidR="004B4B49">
        <w:t>As described in the Decoupling Policy Statement’s discussion of direct conservation incentives, t</w:t>
      </w:r>
      <w:r w:rsidR="0026337D">
        <w:t>his</w:t>
      </w:r>
      <w:r w:rsidR="00D10A28">
        <w:t xml:space="preserve"> </w:t>
      </w:r>
      <w:r w:rsidR="006024CE">
        <w:t>could include</w:t>
      </w:r>
      <w:r w:rsidR="006024CE" w:rsidRPr="00D10A28">
        <w:t xml:space="preserve"> </w:t>
      </w:r>
      <w:r w:rsidR="005D5BA2">
        <w:t xml:space="preserve">a plan to present </w:t>
      </w:r>
      <w:r w:rsidR="00D10A28" w:rsidRPr="00D10A28">
        <w:t>direct evidence</w:t>
      </w:r>
      <w:r w:rsidR="005D5BA2">
        <w:t xml:space="preserve"> at the end of the </w:t>
      </w:r>
      <w:r w:rsidR="00FA6758">
        <w:t xml:space="preserve">target </w:t>
      </w:r>
      <w:r w:rsidR="005D5BA2">
        <w:t>period</w:t>
      </w:r>
      <w:r w:rsidR="00D10A28" w:rsidRPr="00D10A28">
        <w:t xml:space="preserve"> </w:t>
      </w:r>
      <w:r w:rsidR="0026337D">
        <w:t xml:space="preserve">that </w:t>
      </w:r>
      <w:r w:rsidR="00D10A28" w:rsidRPr="00D10A28">
        <w:t>identif</w:t>
      </w:r>
      <w:r w:rsidR="0026337D">
        <w:t>ies</w:t>
      </w:r>
      <w:r w:rsidR="00D10A28" w:rsidRPr="00D10A28">
        <w:t xml:space="preserve"> </w:t>
      </w:r>
      <w:r w:rsidR="0026337D">
        <w:t xml:space="preserve">the </w:t>
      </w:r>
      <w:r w:rsidR="00D10A28" w:rsidRPr="00D10A28">
        <w:t xml:space="preserve">actions </w:t>
      </w:r>
      <w:r w:rsidR="00D10A28">
        <w:t>the company</w:t>
      </w:r>
      <w:r w:rsidR="00D10A28" w:rsidRPr="00D10A28">
        <w:t xml:space="preserve"> took to exceed the target that were not part of its conservation program at the time the Commission set the biennial conservation target.</w:t>
      </w:r>
      <w:r w:rsidR="004B4B49" w:rsidRPr="00D10345">
        <w:rPr>
          <w:rStyle w:val="FootnoteReference"/>
        </w:rPr>
        <w:footnoteReference w:id="50"/>
      </w:r>
      <w:r w:rsidR="00D10A28" w:rsidRPr="00D10A28">
        <w:t xml:space="preserve">  </w:t>
      </w:r>
      <w:r w:rsidR="005D5BA2">
        <w:t>Under this approach</w:t>
      </w:r>
      <w:r w:rsidR="00D10A28" w:rsidRPr="00D10A28">
        <w:t xml:space="preserve">, </w:t>
      </w:r>
      <w:r w:rsidR="0026337D">
        <w:t xml:space="preserve">the company </w:t>
      </w:r>
      <w:r w:rsidR="006024CE">
        <w:t>should</w:t>
      </w:r>
      <w:r w:rsidR="00D10A28" w:rsidRPr="00D10A28">
        <w:t xml:space="preserve"> </w:t>
      </w:r>
      <w:r w:rsidR="005D5BA2">
        <w:t xml:space="preserve">plan to </w:t>
      </w:r>
      <w:r w:rsidR="00D10A28" w:rsidRPr="00D10A28">
        <w:t xml:space="preserve">show why these actions were not included in its initial forecast of achievable energy efficiency for the target period.  The proposal </w:t>
      </w:r>
      <w:r w:rsidR="006024CE">
        <w:t>should also</w:t>
      </w:r>
      <w:r w:rsidR="006024CE" w:rsidRPr="00D10A28">
        <w:t xml:space="preserve"> </w:t>
      </w:r>
      <w:r w:rsidR="00D10A28" w:rsidRPr="00D10A28">
        <w:t xml:space="preserve">separately identify </w:t>
      </w:r>
      <w:r w:rsidR="005D5BA2">
        <w:t>plans</w:t>
      </w:r>
      <w:r w:rsidR="005D5BA2" w:rsidRPr="00D10A28">
        <w:t xml:space="preserve"> </w:t>
      </w:r>
      <w:r w:rsidR="00D10A28" w:rsidRPr="00D10A28">
        <w:t>to increase participation in existing measures versus implementing new measures.</w:t>
      </w:r>
      <w:r w:rsidR="00D10A28">
        <w:t xml:space="preserve"> </w:t>
      </w:r>
    </w:p>
    <w:p w14:paraId="3FEE4B5E" w14:textId="77777777" w:rsidR="003B2365" w:rsidRDefault="003B2365" w:rsidP="002E3C29"/>
    <w:p w14:paraId="3FEE4B5F" w14:textId="77777777" w:rsidR="003B2365" w:rsidRDefault="003B2365" w:rsidP="003B2365">
      <w:pPr>
        <w:pStyle w:val="Heading3"/>
      </w:pPr>
      <w:r>
        <w:t>Q.</w:t>
      </w:r>
      <w:r>
        <w:tab/>
        <w:t xml:space="preserve">Does </w:t>
      </w:r>
      <w:r w:rsidRPr="003B2365">
        <w:t>the</w:t>
      </w:r>
      <w:r>
        <w:t xml:space="preserve"> Commission require evidence that the incremental conservation results from decoupling?</w:t>
      </w:r>
    </w:p>
    <w:p w14:paraId="3FEE4B60" w14:textId="77777777" w:rsidR="003B2365" w:rsidRDefault="003B2365" w:rsidP="003B2365">
      <w:r>
        <w:t>A.</w:t>
      </w:r>
      <w:r>
        <w:tab/>
        <w:t xml:space="preserve">No.  The </w:t>
      </w:r>
      <w:r w:rsidRPr="003B2365">
        <w:t>Decoupling Policy Statement discusses incremental conservation in the context of the EIA target.</w:t>
      </w:r>
      <w:r>
        <w:t xml:space="preserve">  This suggests that the Commission is</w:t>
      </w:r>
      <w:r w:rsidRPr="006D239F">
        <w:t xml:space="preserve"> looking for the conservation </w:t>
      </w:r>
      <w:r w:rsidR="0026337D" w:rsidRPr="006D239F">
        <w:t xml:space="preserve">under decoupling that is </w:t>
      </w:r>
      <w:r w:rsidRPr="006D239F">
        <w:t xml:space="preserve">“incremental to the target.” </w:t>
      </w:r>
      <w:r w:rsidR="006D239F" w:rsidRPr="006D239F">
        <w:t xml:space="preserve"> </w:t>
      </w:r>
    </w:p>
    <w:p w14:paraId="3FEE4B61" w14:textId="77777777" w:rsidR="003B2365" w:rsidRDefault="003B2365" w:rsidP="003B2365"/>
    <w:p w14:paraId="3FEE4B62" w14:textId="77777777" w:rsidR="003B2365" w:rsidRPr="003B2365" w:rsidRDefault="003B2365" w:rsidP="003B2365">
      <w:pPr>
        <w:pStyle w:val="Heading3"/>
      </w:pPr>
      <w:r>
        <w:t>Q.</w:t>
      </w:r>
      <w:r>
        <w:tab/>
        <w:t>Does the Commission require evidence of the incremental conservation that the company will pursue?</w:t>
      </w:r>
    </w:p>
    <w:p w14:paraId="3FEE4B63" w14:textId="77777777" w:rsidR="003B2365" w:rsidRDefault="003B2365" w:rsidP="00EB1865">
      <w:r>
        <w:t>A.</w:t>
      </w:r>
      <w:r>
        <w:tab/>
        <w:t xml:space="preserve">Yes.  </w:t>
      </w:r>
      <w:r w:rsidR="00D10A28">
        <w:t xml:space="preserve">The </w:t>
      </w:r>
      <w:r>
        <w:t>Decoupling Policy Statement clearly requires evidence of the conservation the company will pursue</w:t>
      </w:r>
      <w:r w:rsidR="0026337D">
        <w:t xml:space="preserve"> that is incremental to the target</w:t>
      </w:r>
      <w:r>
        <w:t xml:space="preserve">.  This evidence is part of the </w:t>
      </w:r>
      <w:r>
        <w:lastRenderedPageBreak/>
        <w:t xml:space="preserve">target-setting process.  The conservation potential assessment provided by the company in the target-setting process </w:t>
      </w:r>
      <w:r w:rsidR="0026337D">
        <w:t xml:space="preserve">should </w:t>
      </w:r>
      <w:r>
        <w:t>thoroughly address this issue.</w:t>
      </w:r>
      <w:r w:rsidR="00D10A28">
        <w:t xml:space="preserve"> </w:t>
      </w:r>
      <w:r w:rsidR="006D239F">
        <w:t xml:space="preserve"> </w:t>
      </w:r>
    </w:p>
    <w:p w14:paraId="3FEE4B64" w14:textId="77777777" w:rsidR="003B2365" w:rsidRDefault="003B2365" w:rsidP="00EB1865"/>
    <w:p w14:paraId="3FEE4B65" w14:textId="77777777" w:rsidR="003B2365" w:rsidRDefault="003B2365" w:rsidP="007E1BAF">
      <w:pPr>
        <w:pStyle w:val="Heading3"/>
      </w:pPr>
      <w:r>
        <w:t>Q.</w:t>
      </w:r>
      <w:r>
        <w:tab/>
        <w:t xml:space="preserve">What else </w:t>
      </w:r>
      <w:r w:rsidRPr="007E1BAF">
        <w:t>does</w:t>
      </w:r>
      <w:r>
        <w:t xml:space="preserve"> the Commission require?</w:t>
      </w:r>
    </w:p>
    <w:p w14:paraId="3FEE4B66" w14:textId="77777777" w:rsidR="00344E21" w:rsidRPr="00192A46" w:rsidRDefault="003B2365" w:rsidP="00EB1865">
      <w:r>
        <w:t>A.</w:t>
      </w:r>
      <w:r>
        <w:tab/>
        <w:t>The Decoupling Policy Statement</w:t>
      </w:r>
      <w:r w:rsidR="00D10A28">
        <w:t xml:space="preserve"> combines </w:t>
      </w:r>
      <w:r>
        <w:t xml:space="preserve">discussion of </w:t>
      </w:r>
      <w:r w:rsidR="00D10A28">
        <w:t>evidence that would be included in a company’s conservation plan</w:t>
      </w:r>
      <w:r>
        <w:t xml:space="preserve"> (forward-looking)</w:t>
      </w:r>
      <w:r w:rsidR="00D10A28">
        <w:t xml:space="preserve"> with the evidence that would be included in a company’s conservation report</w:t>
      </w:r>
      <w:r>
        <w:t xml:space="preserve"> (backward-looking)</w:t>
      </w:r>
      <w:r w:rsidR="00D10A28">
        <w:t>.</w:t>
      </w:r>
      <w:r w:rsidR="004B4B49" w:rsidRPr="00D10345">
        <w:rPr>
          <w:rStyle w:val="FootnoteReference"/>
        </w:rPr>
        <w:footnoteReference w:id="51"/>
      </w:r>
      <w:r w:rsidR="00D10A28">
        <w:t xml:space="preserve">  It is reasonable to conclude that the Commission’s Decoupling Policy Statement intended to address both </w:t>
      </w:r>
      <w:r>
        <w:t>forward- and backward-looking aspects of incremental conservation</w:t>
      </w:r>
      <w:r w:rsidR="00FA6758">
        <w:t xml:space="preserve">, as described in the </w:t>
      </w:r>
      <w:r w:rsidR="001D16D7">
        <w:t xml:space="preserve">Commission’s </w:t>
      </w:r>
      <w:r w:rsidR="00FA6758">
        <w:t>target-setting orders under the EIA</w:t>
      </w:r>
      <w:r>
        <w:t>.</w:t>
      </w:r>
      <w:r w:rsidR="00FA6758" w:rsidRPr="004621C6">
        <w:rPr>
          <w:rStyle w:val="FootnoteReference"/>
        </w:rPr>
        <w:footnoteReference w:id="52"/>
      </w:r>
      <w:r>
        <w:t xml:space="preserve">    </w:t>
      </w:r>
    </w:p>
    <w:p w14:paraId="3FEE4B67" w14:textId="77777777" w:rsidR="00344E21" w:rsidRPr="00192A46" w:rsidRDefault="00344E21" w:rsidP="00EB1865"/>
    <w:p w14:paraId="3FEE4B68" w14:textId="77777777" w:rsidR="00603BC6" w:rsidRPr="00192A46" w:rsidRDefault="00603BC6" w:rsidP="00951F6B">
      <w:pPr>
        <w:pStyle w:val="Heading3"/>
        <w:keepNext/>
      </w:pPr>
      <w:r w:rsidRPr="00192A46">
        <w:t>Q.</w:t>
      </w:r>
      <w:r w:rsidRPr="00192A46">
        <w:tab/>
        <w:t xml:space="preserve">What does </w:t>
      </w:r>
      <w:r w:rsidR="00192A46" w:rsidRPr="00192A46">
        <w:t>Avista</w:t>
      </w:r>
      <w:r w:rsidR="00192A46">
        <w:t xml:space="preserve"> </w:t>
      </w:r>
      <w:r w:rsidR="00192A46" w:rsidRPr="00192A46">
        <w:t>say</w:t>
      </w:r>
      <w:r w:rsidRPr="00192A46">
        <w:t xml:space="preserve"> about </w:t>
      </w:r>
      <w:r w:rsidR="00091CDC" w:rsidRPr="00192A46">
        <w:t>th</w:t>
      </w:r>
      <w:r w:rsidR="00344E21" w:rsidRPr="00192A46">
        <w:t>is policy</w:t>
      </w:r>
      <w:r w:rsidRPr="00192A46">
        <w:t>?</w:t>
      </w:r>
    </w:p>
    <w:p w14:paraId="3FEE4B69" w14:textId="77777777" w:rsidR="00091CDC" w:rsidRPr="00192A46" w:rsidRDefault="00603BC6" w:rsidP="00603BC6">
      <w:r w:rsidRPr="00192A46">
        <w:t>A.</w:t>
      </w:r>
      <w:r w:rsidRPr="00192A46">
        <w:tab/>
      </w:r>
      <w:r w:rsidR="00091CDC" w:rsidRPr="00192A46">
        <w:t>Avista s</w:t>
      </w:r>
      <w:r w:rsidR="00344E21" w:rsidRPr="00192A46">
        <w:t>ays</w:t>
      </w:r>
      <w:r w:rsidR="00091CDC" w:rsidRPr="00192A46">
        <w:t xml:space="preserve"> the </w:t>
      </w:r>
      <w:r w:rsidR="0055286F" w:rsidRPr="00192A46">
        <w:t xml:space="preserve">EIA </w:t>
      </w:r>
      <w:r w:rsidR="00091CDC" w:rsidRPr="00192A46">
        <w:t xml:space="preserve">already </w:t>
      </w:r>
      <w:r w:rsidR="0055286F" w:rsidRPr="00192A46">
        <w:t>require</w:t>
      </w:r>
      <w:r w:rsidR="00091CDC" w:rsidRPr="00192A46">
        <w:t>s Avista</w:t>
      </w:r>
      <w:r w:rsidR="0055286F" w:rsidRPr="00192A46">
        <w:t xml:space="preserve"> to pursue all cost-effective conservation</w:t>
      </w:r>
      <w:r w:rsidR="00091CDC" w:rsidRPr="00192A46">
        <w:t>, and u</w:t>
      </w:r>
      <w:r w:rsidR="007C0BB4" w:rsidRPr="00192A46">
        <w:t xml:space="preserve">ntil there is a mechanism that addresses the historical test year, such as an attrition </w:t>
      </w:r>
      <w:r w:rsidR="00DC33A4">
        <w:t>allowance</w:t>
      </w:r>
      <w:r w:rsidR="007C0BB4" w:rsidRPr="00192A46">
        <w:t xml:space="preserve">, </w:t>
      </w:r>
      <w:r w:rsidR="00091CDC" w:rsidRPr="00192A46">
        <w:t xml:space="preserve">the Commission should not require Avista to pursue </w:t>
      </w:r>
      <w:r w:rsidR="00B93FD2" w:rsidRPr="00192A46">
        <w:t xml:space="preserve">any </w:t>
      </w:r>
      <w:r w:rsidR="007C0BB4" w:rsidRPr="00192A46">
        <w:t>additional conservation</w:t>
      </w:r>
      <w:r w:rsidR="0055286F" w:rsidRPr="00192A46">
        <w:t>.</w:t>
      </w:r>
      <w:r w:rsidR="0026337D">
        <w:rPr>
          <w:rStyle w:val="FootnoteReference"/>
        </w:rPr>
        <w:footnoteReference w:id="53"/>
      </w:r>
      <w:r w:rsidR="0055286F" w:rsidRPr="00192A46">
        <w:t xml:space="preserve">    </w:t>
      </w:r>
    </w:p>
    <w:p w14:paraId="3FEE4B6A" w14:textId="77777777" w:rsidR="00091CDC" w:rsidRPr="00192A46" w:rsidRDefault="00091CDC" w:rsidP="00603BC6"/>
    <w:p w14:paraId="3FEE4B6B" w14:textId="77777777" w:rsidR="00091CDC" w:rsidRPr="00192A46" w:rsidRDefault="00091CDC" w:rsidP="00673CE3">
      <w:pPr>
        <w:pStyle w:val="Heading3"/>
        <w:keepNext/>
      </w:pPr>
      <w:r w:rsidRPr="00192A46">
        <w:lastRenderedPageBreak/>
        <w:t>Q.</w:t>
      </w:r>
      <w:r w:rsidRPr="00192A46">
        <w:tab/>
        <w:t>What is Staff’s response?</w:t>
      </w:r>
    </w:p>
    <w:p w14:paraId="3FEE4B6C" w14:textId="77777777" w:rsidR="00603BC6" w:rsidRPr="00192A46" w:rsidRDefault="00091CDC" w:rsidP="00603BC6">
      <w:r w:rsidRPr="00192A46">
        <w:t>A.</w:t>
      </w:r>
      <w:r w:rsidRPr="00192A46">
        <w:tab/>
      </w:r>
      <w:r w:rsidR="007C0BB4" w:rsidRPr="00192A46">
        <w:t xml:space="preserve">Staff is not convinced by </w:t>
      </w:r>
      <w:r w:rsidR="003B2365">
        <w:t>Avista’s</w:t>
      </w:r>
      <w:r w:rsidR="003B2365" w:rsidRPr="00192A46">
        <w:t xml:space="preserve"> </w:t>
      </w:r>
      <w:r w:rsidR="007C0BB4" w:rsidRPr="00192A46">
        <w:t xml:space="preserve">argument.  </w:t>
      </w:r>
      <w:r w:rsidR="007E1BAF">
        <w:t xml:space="preserve">The incremental conservation that is available for the </w:t>
      </w:r>
      <w:r w:rsidR="0026337D">
        <w:t>C</w:t>
      </w:r>
      <w:r w:rsidR="007E1BAF">
        <w:t xml:space="preserve">ompany to pursue is already identified in the conservation potential assessment as part of the target-setting process.  </w:t>
      </w:r>
      <w:r w:rsidR="007C0BB4" w:rsidRPr="00192A46">
        <w:t xml:space="preserve">The Conservation Test outlined in </w:t>
      </w:r>
      <w:r w:rsidRPr="00192A46">
        <w:t>my earlier</w:t>
      </w:r>
      <w:r w:rsidR="0026337D">
        <w:t>-</w:t>
      </w:r>
      <w:r w:rsidRPr="00192A46">
        <w:t xml:space="preserve">filed </w:t>
      </w:r>
      <w:r w:rsidR="001F29A2" w:rsidRPr="00192A46">
        <w:t xml:space="preserve">Exhibit No. </w:t>
      </w:r>
      <w:r w:rsidR="00646139" w:rsidRPr="00192A46">
        <w:t>___ (</w:t>
      </w:r>
      <w:r w:rsidR="001F29A2" w:rsidRPr="00192A46">
        <w:t>DJR-2)</w:t>
      </w:r>
      <w:r w:rsidR="007C0BB4" w:rsidRPr="00192A46">
        <w:t>, at 16, is a reasonable approach to</w:t>
      </w:r>
      <w:r w:rsidR="007E1BAF">
        <w:t xml:space="preserve"> capturing</w:t>
      </w:r>
      <w:r w:rsidR="007C0BB4" w:rsidRPr="00192A46">
        <w:t xml:space="preserve"> incremental conservation</w:t>
      </w:r>
      <w:r w:rsidR="007E1BAF">
        <w:t xml:space="preserve"> that has been pursued</w:t>
      </w:r>
      <w:r w:rsidR="007C0BB4" w:rsidRPr="00192A46">
        <w:t xml:space="preserve">, and </w:t>
      </w:r>
      <w:r w:rsidRPr="00192A46">
        <w:t xml:space="preserve">it </w:t>
      </w:r>
      <w:r w:rsidR="007C0BB4" w:rsidRPr="00192A46">
        <w:t xml:space="preserve">creates an opportunity for the </w:t>
      </w:r>
      <w:r w:rsidR="0026337D">
        <w:t>C</w:t>
      </w:r>
      <w:r w:rsidR="007C0BB4" w:rsidRPr="00192A46">
        <w:t>ompany to achieve additional benefits from conservation investment.</w:t>
      </w:r>
    </w:p>
    <w:p w14:paraId="3FEE4B6D" w14:textId="77777777" w:rsidR="00603BC6" w:rsidRPr="00192A46" w:rsidRDefault="00603BC6" w:rsidP="00603BC6"/>
    <w:p w14:paraId="3FEE4B6E" w14:textId="77777777" w:rsidR="00603BC6" w:rsidRPr="00192A46" w:rsidRDefault="00603BC6" w:rsidP="00603BC6">
      <w:pPr>
        <w:pStyle w:val="Heading3"/>
      </w:pPr>
      <w:r w:rsidRPr="00192A46">
        <w:t>Q.</w:t>
      </w:r>
      <w:r w:rsidRPr="00192A46">
        <w:tab/>
        <w:t xml:space="preserve">What do </w:t>
      </w:r>
      <w:r w:rsidR="00091CDC" w:rsidRPr="00192A46">
        <w:t xml:space="preserve">Public Counsel and ICNU </w:t>
      </w:r>
      <w:r w:rsidRPr="00192A46">
        <w:t xml:space="preserve">say about </w:t>
      </w:r>
      <w:r w:rsidR="00091CDC" w:rsidRPr="00192A46">
        <w:t>this issue</w:t>
      </w:r>
      <w:r w:rsidRPr="00192A46">
        <w:t>?</w:t>
      </w:r>
    </w:p>
    <w:p w14:paraId="3FEE4B6F" w14:textId="77777777" w:rsidR="00603BC6" w:rsidRPr="00192A46" w:rsidRDefault="00603BC6" w:rsidP="00091CDC">
      <w:r w:rsidRPr="00192A46">
        <w:t>A.</w:t>
      </w:r>
      <w:r w:rsidRPr="00192A46">
        <w:tab/>
      </w:r>
      <w:r w:rsidR="00091CDC" w:rsidRPr="00192A46">
        <w:t xml:space="preserve">Public Counsel’s witness </w:t>
      </w:r>
      <w:r w:rsidR="00E3777C" w:rsidRPr="00192A46">
        <w:t xml:space="preserve">Mr. Dismukes </w:t>
      </w:r>
      <w:r w:rsidR="00091CDC" w:rsidRPr="00192A46">
        <w:t xml:space="preserve">correctly </w:t>
      </w:r>
      <w:r w:rsidR="00E3777C" w:rsidRPr="00192A46">
        <w:t xml:space="preserve">recognizes NWEC’s failure to discuss </w:t>
      </w:r>
      <w:r w:rsidR="00091CDC" w:rsidRPr="00192A46">
        <w:t xml:space="preserve">the Commission’s </w:t>
      </w:r>
      <w:r w:rsidR="00E3777C" w:rsidRPr="00192A46">
        <w:t>incremental conservation</w:t>
      </w:r>
      <w:r w:rsidR="00091CDC" w:rsidRPr="00192A46">
        <w:t xml:space="preserve"> policy</w:t>
      </w:r>
      <w:r w:rsidR="00E3777C" w:rsidRPr="00192A46">
        <w:t>.</w:t>
      </w:r>
      <w:r w:rsidR="0026337D">
        <w:rPr>
          <w:rStyle w:val="FootnoteReference"/>
        </w:rPr>
        <w:footnoteReference w:id="54"/>
      </w:r>
      <w:r w:rsidR="00E3777C" w:rsidRPr="00192A46">
        <w:t xml:space="preserve">  </w:t>
      </w:r>
      <w:r w:rsidR="00FD22FC">
        <w:t xml:space="preserve">More significantly, </w:t>
      </w:r>
      <w:r w:rsidR="00EF0CF0">
        <w:t xml:space="preserve">both </w:t>
      </w:r>
      <w:r w:rsidR="0026337D">
        <w:t xml:space="preserve">Public Counsel </w:t>
      </w:r>
      <w:r w:rsidR="00EF0CF0">
        <w:t xml:space="preserve">and ICNU </w:t>
      </w:r>
      <w:r w:rsidR="00FD22FC">
        <w:t xml:space="preserve">argue there is no incremental conservation to be achieved because </w:t>
      </w:r>
      <w:r w:rsidR="00EF0CF0">
        <w:t xml:space="preserve">of </w:t>
      </w:r>
      <w:r w:rsidR="00FD22FC">
        <w:t xml:space="preserve">the EIA </w:t>
      </w:r>
      <w:r w:rsidR="00EF0CF0">
        <w:t>requirement that Avista pursue all cost-effective, reliable conservation</w:t>
      </w:r>
      <w:r w:rsidR="00FD22FC">
        <w:t>.</w:t>
      </w:r>
      <w:r w:rsidR="0026337D">
        <w:rPr>
          <w:rStyle w:val="FootnoteReference"/>
        </w:rPr>
        <w:footnoteReference w:id="55"/>
      </w:r>
      <w:r w:rsidR="00FD22FC">
        <w:t xml:space="preserve">  </w:t>
      </w:r>
    </w:p>
    <w:p w14:paraId="3FEE4B70" w14:textId="77777777" w:rsidR="00603BC6" w:rsidRDefault="00603BC6" w:rsidP="00B5420A"/>
    <w:p w14:paraId="3FEE4B71" w14:textId="77777777" w:rsidR="00FD22FC" w:rsidRDefault="00FD22FC" w:rsidP="00C23DC7">
      <w:pPr>
        <w:pStyle w:val="Heading3"/>
      </w:pPr>
      <w:r>
        <w:t>Q.</w:t>
      </w:r>
      <w:r>
        <w:tab/>
        <w:t>What is your response</w:t>
      </w:r>
      <w:r w:rsidR="00EF0CF0">
        <w:t xml:space="preserve"> to Public Counsel’s and ICNU’s argument</w:t>
      </w:r>
      <w:r>
        <w:t>?</w:t>
      </w:r>
    </w:p>
    <w:p w14:paraId="3FEE4B72" w14:textId="77777777" w:rsidR="00FD22FC" w:rsidRDefault="00FD22FC" w:rsidP="00EF0CF0">
      <w:r>
        <w:t>A.</w:t>
      </w:r>
      <w:r>
        <w:tab/>
        <w:t>Staff does not agree.  In setting a target for conservation, the timing of the conservation is an important factor.</w:t>
      </w:r>
      <w:r w:rsidR="00C23DC7">
        <w:t xml:space="preserve">  Therefore, the </w:t>
      </w:r>
      <w:r w:rsidR="00EF0CF0">
        <w:t>C</w:t>
      </w:r>
      <w:r w:rsidR="00C23DC7">
        <w:t>ompany could acquire cost-effective incremental conservation over and above its target</w:t>
      </w:r>
      <w:r w:rsidR="00EF0CF0">
        <w:t xml:space="preserve"> by acquiring </w:t>
      </w:r>
      <w:r w:rsidR="00EF0CF0">
        <w:lastRenderedPageBreak/>
        <w:t xml:space="preserve">conservation earlier </w:t>
      </w:r>
      <w:r w:rsidR="00C23DC7">
        <w:t xml:space="preserve">in time than the </w:t>
      </w:r>
      <w:r w:rsidR="00EF0CF0">
        <w:t>C</w:t>
      </w:r>
      <w:r w:rsidR="00C23DC7">
        <w:t xml:space="preserve">ompany otherwise has planned, </w:t>
      </w:r>
      <w:r w:rsidR="00FA6758">
        <w:t xml:space="preserve">or </w:t>
      </w:r>
      <w:r w:rsidR="00EF0CF0">
        <w:t xml:space="preserve">by taking advantage of </w:t>
      </w:r>
      <w:r w:rsidR="00C23DC7">
        <w:t>conservation opportunities that are discovered after the targets are set.</w:t>
      </w:r>
      <w:r w:rsidR="00EF0CF0">
        <w:rPr>
          <w:rStyle w:val="FootnoteReference"/>
        </w:rPr>
        <w:footnoteReference w:id="56"/>
      </w:r>
      <w:r w:rsidR="00C23DC7">
        <w:t xml:space="preserve"> </w:t>
      </w:r>
      <w:r>
        <w:t xml:space="preserve"> </w:t>
      </w:r>
    </w:p>
    <w:p w14:paraId="3FEE4B73" w14:textId="77777777" w:rsidR="008B17EC" w:rsidRDefault="00C23DC7" w:rsidP="00C23DC7">
      <w:r>
        <w:tab/>
      </w:r>
      <w:r>
        <w:tab/>
        <w:t>This is supported by the Decoupling Policy Statement’s discussion of conservation incentive mechanisms.</w:t>
      </w:r>
      <w:r w:rsidR="00EF0CF0">
        <w:rPr>
          <w:rStyle w:val="FootnoteReference"/>
        </w:rPr>
        <w:footnoteReference w:id="57"/>
      </w:r>
      <w:r>
        <w:t xml:space="preserve">  </w:t>
      </w:r>
      <w:r w:rsidR="008B17EC">
        <w:t xml:space="preserve">In addition, the </w:t>
      </w:r>
      <w:r w:rsidR="00EF0CF0">
        <w:t xml:space="preserve">Company’s current conservation </w:t>
      </w:r>
      <w:r w:rsidR="008B17EC">
        <w:t>targets have been set based on what is now a three-year-old analysis by the N</w:t>
      </w:r>
      <w:r w:rsidR="00F14B6B">
        <w:t>orthwest</w:t>
      </w:r>
      <w:r w:rsidR="008B17EC">
        <w:t xml:space="preserve"> Power and Conservation Council.  New conservation technologies continually emerge, and provide additional opportunities</w:t>
      </w:r>
      <w:r w:rsidR="00EF0CF0">
        <w:t xml:space="preserve"> to acquire cost-effective conservation</w:t>
      </w:r>
      <w:r w:rsidR="008B17EC">
        <w:t>.</w:t>
      </w:r>
    </w:p>
    <w:p w14:paraId="3FEE4B74" w14:textId="77777777" w:rsidR="008D1D50" w:rsidRDefault="008D1D50" w:rsidP="00C23DC7"/>
    <w:p w14:paraId="3FEE4B75" w14:textId="77777777" w:rsidR="00617FB7" w:rsidRPr="00192A46" w:rsidRDefault="00617FB7" w:rsidP="006D239F">
      <w:pPr>
        <w:pStyle w:val="Heading2"/>
        <w:spacing w:line="240" w:lineRule="auto"/>
        <w:ind w:left="1440" w:hanging="720"/>
      </w:pPr>
      <w:bookmarkStart w:id="18" w:name="_Toc314559027"/>
      <w:bookmarkStart w:id="19" w:name="_Toc335731525"/>
      <w:r w:rsidRPr="00192A46">
        <w:t>Account</w:t>
      </w:r>
      <w:r w:rsidR="00091CDC" w:rsidRPr="00192A46">
        <w:t>ing</w:t>
      </w:r>
      <w:r w:rsidRPr="00192A46">
        <w:t xml:space="preserve"> for the Net Benefits of Off-System Sales</w:t>
      </w:r>
      <w:r w:rsidR="00EF0CF0">
        <w:t xml:space="preserve"> or </w:t>
      </w:r>
      <w:r w:rsidRPr="00192A46">
        <w:t>Costs Avoided Due to the Utility’s Conservation Efforts</w:t>
      </w:r>
      <w:bookmarkEnd w:id="18"/>
      <w:r w:rsidR="00091CDC" w:rsidRPr="00192A46">
        <w:t xml:space="preserve"> Under Decoupling</w:t>
      </w:r>
      <w:bookmarkEnd w:id="19"/>
    </w:p>
    <w:p w14:paraId="3FEE4B76" w14:textId="77777777" w:rsidR="00603BC6" w:rsidRPr="00192A46" w:rsidRDefault="00603BC6" w:rsidP="00617FB7"/>
    <w:p w14:paraId="3FEE4B77" w14:textId="77777777" w:rsidR="00D61198" w:rsidRPr="00192A46" w:rsidRDefault="00D61198" w:rsidP="006D38BE">
      <w:pPr>
        <w:pStyle w:val="Heading3"/>
      </w:pPr>
      <w:r w:rsidRPr="00192A46">
        <w:t>Q.</w:t>
      </w:r>
      <w:r w:rsidRPr="00192A46">
        <w:tab/>
        <w:t xml:space="preserve">Please briefly describe the Commission’s policy on off-system sales of electricity or avoided costs attributable to conservation efforts due to decoupling. </w:t>
      </w:r>
    </w:p>
    <w:p w14:paraId="3FEE4B78" w14:textId="77777777" w:rsidR="00D61198" w:rsidRPr="00192A46" w:rsidRDefault="00192A46" w:rsidP="00D61198">
      <w:r w:rsidRPr="00192A46">
        <w:t>A.</w:t>
      </w:r>
      <w:r w:rsidRPr="00192A46">
        <w:tab/>
        <w:t xml:space="preserve">The Commission’s policy is that a decoupling proposal </w:t>
      </w:r>
      <w:r>
        <w:t xml:space="preserve">must </w:t>
      </w:r>
      <w:r w:rsidRPr="00192A46">
        <w:t xml:space="preserve">describe how the off-system sales and avoided cost benefits </w:t>
      </w:r>
      <w:r w:rsidR="00EF0CF0">
        <w:t xml:space="preserve">that result from decoupling </w:t>
      </w:r>
      <w:r w:rsidRPr="00192A46">
        <w:t>would be determined and netted against the decoupling deferral true-up.</w:t>
      </w:r>
      <w:r w:rsidR="00EF0CF0">
        <w:rPr>
          <w:rStyle w:val="FootnoteReference"/>
        </w:rPr>
        <w:footnoteReference w:id="58"/>
      </w:r>
      <w:r w:rsidRPr="00192A46">
        <w:t xml:space="preserve">  </w:t>
      </w:r>
    </w:p>
    <w:p w14:paraId="3FEE4B79" w14:textId="77777777" w:rsidR="00D61198" w:rsidRPr="00192A46" w:rsidRDefault="00D61198" w:rsidP="00617FB7"/>
    <w:p w14:paraId="3FEE4B7A" w14:textId="77777777" w:rsidR="00603BC6" w:rsidRPr="00192A46" w:rsidRDefault="00603BC6" w:rsidP="00603BC6">
      <w:pPr>
        <w:pStyle w:val="Heading3"/>
      </w:pPr>
      <w:r w:rsidRPr="00192A46">
        <w:t>Q.</w:t>
      </w:r>
      <w:r w:rsidRPr="00192A46">
        <w:tab/>
        <w:t xml:space="preserve">What does </w:t>
      </w:r>
      <w:r w:rsidR="00192A46" w:rsidRPr="00192A46">
        <w:t>Avista</w:t>
      </w:r>
      <w:r w:rsidR="006D38BE">
        <w:t xml:space="preserve"> </w:t>
      </w:r>
      <w:r w:rsidR="00192A46" w:rsidRPr="00192A46">
        <w:t>say</w:t>
      </w:r>
      <w:r w:rsidRPr="00192A46">
        <w:t xml:space="preserve"> about </w:t>
      </w:r>
      <w:r w:rsidR="00D90452" w:rsidRPr="00192A46">
        <w:t>this issue</w:t>
      </w:r>
      <w:r w:rsidRPr="00192A46">
        <w:t>?</w:t>
      </w:r>
    </w:p>
    <w:p w14:paraId="3FEE4B7B" w14:textId="77777777" w:rsidR="00091CDC" w:rsidRPr="00192A46" w:rsidRDefault="00603BC6" w:rsidP="00603BC6">
      <w:r w:rsidRPr="00192A46">
        <w:t>A.</w:t>
      </w:r>
      <w:r w:rsidRPr="00192A46">
        <w:tab/>
      </w:r>
      <w:r w:rsidR="00091CDC" w:rsidRPr="00192A46">
        <w:t xml:space="preserve">Avista </w:t>
      </w:r>
      <w:r w:rsidR="00DE42F8" w:rsidRPr="00192A46">
        <w:t xml:space="preserve">agrees with </w:t>
      </w:r>
      <w:r w:rsidR="00D61198" w:rsidRPr="00192A46">
        <w:t xml:space="preserve">NWEC </w:t>
      </w:r>
      <w:r w:rsidR="00DE42F8" w:rsidRPr="00192A46">
        <w:t xml:space="preserve">that </w:t>
      </w:r>
      <w:r w:rsidR="00D61198" w:rsidRPr="00192A46">
        <w:t xml:space="preserve">no further action is necessary because Avista’s </w:t>
      </w:r>
      <w:r w:rsidR="00DE42F8" w:rsidRPr="00192A46">
        <w:t>E</w:t>
      </w:r>
      <w:r w:rsidR="00D61198" w:rsidRPr="00192A46">
        <w:t>nergy Recovery Mechanism (E</w:t>
      </w:r>
      <w:r w:rsidR="00DE42F8" w:rsidRPr="00192A46">
        <w:t>RM</w:t>
      </w:r>
      <w:r w:rsidR="00D61198" w:rsidRPr="00192A46">
        <w:t>)</w:t>
      </w:r>
      <w:r w:rsidR="00DE42F8" w:rsidRPr="00192A46">
        <w:t xml:space="preserve"> is “designed to transfer to customers any </w:t>
      </w:r>
      <w:r w:rsidR="00DE42F8" w:rsidRPr="00192A46">
        <w:lastRenderedPageBreak/>
        <w:t>margin on wholesale transactions in excess of the company’s generation and transmission costs.”</w:t>
      </w:r>
      <w:r w:rsidR="00EF0CF0">
        <w:rPr>
          <w:rStyle w:val="FootnoteReference"/>
        </w:rPr>
        <w:footnoteReference w:id="59"/>
      </w:r>
      <w:r w:rsidR="00DE42F8" w:rsidRPr="00192A46">
        <w:t xml:space="preserve">  </w:t>
      </w:r>
    </w:p>
    <w:p w14:paraId="3FEE4B7C" w14:textId="77777777" w:rsidR="00091CDC" w:rsidRPr="00192A46" w:rsidRDefault="00091CDC" w:rsidP="00603BC6"/>
    <w:p w14:paraId="3FEE4B7D" w14:textId="77777777" w:rsidR="00091CDC" w:rsidRPr="00192A46" w:rsidRDefault="00091CDC" w:rsidP="00A907BF">
      <w:pPr>
        <w:pStyle w:val="Heading3"/>
      </w:pPr>
      <w:r w:rsidRPr="00192A46">
        <w:t>Q.</w:t>
      </w:r>
      <w:r w:rsidRPr="00192A46">
        <w:tab/>
      </w:r>
      <w:r w:rsidR="00EF0CF0">
        <w:t>Is Avista correct in this description of the ERM</w:t>
      </w:r>
      <w:r w:rsidRPr="00192A46">
        <w:t>?</w:t>
      </w:r>
    </w:p>
    <w:p w14:paraId="3FEE4B7E" w14:textId="77777777" w:rsidR="00EF0CF0" w:rsidRDefault="00091CDC" w:rsidP="00603BC6">
      <w:r w:rsidRPr="00192A46">
        <w:t>A.</w:t>
      </w:r>
      <w:r w:rsidRPr="00192A46">
        <w:tab/>
      </w:r>
      <w:r w:rsidR="00EF0CF0">
        <w:t xml:space="preserve">No.  Like NWEC, </w:t>
      </w:r>
      <w:r w:rsidRPr="00192A46">
        <w:t>Avista</w:t>
      </w:r>
      <w:r w:rsidR="00EF0CF0">
        <w:t xml:space="preserve"> </w:t>
      </w:r>
      <w:r w:rsidR="00DE42F8" w:rsidRPr="00192A46">
        <w:t xml:space="preserve">ignores the existence of the </w:t>
      </w:r>
      <w:r w:rsidRPr="00192A46">
        <w:t xml:space="preserve">ERM </w:t>
      </w:r>
      <w:r w:rsidR="00DE42F8" w:rsidRPr="00192A46">
        <w:t>dead bands</w:t>
      </w:r>
      <w:r w:rsidR="00D90452" w:rsidRPr="00192A46">
        <w:t xml:space="preserve"> and sharing bands</w:t>
      </w:r>
      <w:r w:rsidR="00EF0CF0">
        <w:t xml:space="preserve">.  These bands </w:t>
      </w:r>
      <w:r w:rsidR="00DE42F8" w:rsidRPr="00192A46">
        <w:t xml:space="preserve">are in place to limit rate volatility, </w:t>
      </w:r>
      <w:r w:rsidR="00EF0CF0">
        <w:t>but</w:t>
      </w:r>
      <w:r w:rsidR="00026462">
        <w:t>, combined with the ERM 10 percent trigger,</w:t>
      </w:r>
      <w:r w:rsidR="00EF0CF0">
        <w:t xml:space="preserve"> they </w:t>
      </w:r>
      <w:r w:rsidR="00DE42F8" w:rsidRPr="00192A46">
        <w:t>have the added effect of limiting the transfer of margin on wholesale transactions until those</w:t>
      </w:r>
      <w:r w:rsidR="00013B48">
        <w:t xml:space="preserve"> cumulative</w:t>
      </w:r>
      <w:r w:rsidR="00DE42F8" w:rsidRPr="00192A46">
        <w:t xml:space="preserve"> margins are greater than </w:t>
      </w:r>
      <w:r w:rsidR="00DE42F8" w:rsidRPr="00026462">
        <w:t>$4</w:t>
      </w:r>
      <w:r w:rsidR="00013B48">
        <w:t>5 million</w:t>
      </w:r>
      <w:r w:rsidR="00DE42F8" w:rsidRPr="00192A46">
        <w:t>.</w:t>
      </w:r>
      <w:r w:rsidR="00026462">
        <w:rPr>
          <w:rStyle w:val="FootnoteReference"/>
        </w:rPr>
        <w:footnoteReference w:id="60"/>
      </w:r>
      <w:r w:rsidR="00DE42F8" w:rsidRPr="00192A46">
        <w:t xml:space="preserve">  </w:t>
      </w:r>
    </w:p>
    <w:p w14:paraId="3FEE4B7F" w14:textId="4228BBA2" w:rsidR="00603BC6" w:rsidRPr="00192A46" w:rsidRDefault="00EF0CF0" w:rsidP="00603BC6">
      <w:r>
        <w:tab/>
      </w:r>
      <w:r>
        <w:tab/>
      </w:r>
      <w:r w:rsidR="004D0A40" w:rsidRPr="00192A46">
        <w:t xml:space="preserve">I discuss this </w:t>
      </w:r>
      <w:r w:rsidR="00D61198" w:rsidRPr="00192A46">
        <w:t xml:space="preserve">issue </w:t>
      </w:r>
      <w:r w:rsidR="004D0A40" w:rsidRPr="00192A46">
        <w:t xml:space="preserve">in my earlier filed decoupling </w:t>
      </w:r>
      <w:r w:rsidR="00192A46" w:rsidRPr="00192A46">
        <w:t>testimony</w:t>
      </w:r>
      <w:r w:rsidR="004D0A40" w:rsidRPr="00192A46">
        <w:t xml:space="preserve">, </w:t>
      </w:r>
      <w:r w:rsidR="00DE42F8" w:rsidRPr="00192A46">
        <w:t>Exhibit</w:t>
      </w:r>
      <w:r w:rsidR="003D5B77" w:rsidRPr="00192A46">
        <w:t xml:space="preserve"> No. </w:t>
      </w:r>
      <w:r w:rsidR="00646139" w:rsidRPr="00192A46">
        <w:t>___ (</w:t>
      </w:r>
      <w:r w:rsidR="00DE42F8" w:rsidRPr="00192A46">
        <w:t>DJR-1T</w:t>
      </w:r>
      <w:r w:rsidR="003D5B77" w:rsidRPr="00192A46">
        <w:t>)</w:t>
      </w:r>
      <w:r w:rsidR="00D10345">
        <w:t>,</w:t>
      </w:r>
      <w:r w:rsidR="004D0A40" w:rsidRPr="00192A46">
        <w:t xml:space="preserve"> at</w:t>
      </w:r>
      <w:r w:rsidR="00DE42F8" w:rsidRPr="00192A46">
        <w:t xml:space="preserve"> 19</w:t>
      </w:r>
      <w:r w:rsidR="00D10345">
        <w:t xml:space="preserve">, lines </w:t>
      </w:r>
      <w:r w:rsidR="00DE42F8" w:rsidRPr="00192A46">
        <w:t>8-12.</w:t>
      </w:r>
      <w:r w:rsidR="00D61198" w:rsidRPr="00192A46">
        <w:t xml:space="preserve">  I conclude that </w:t>
      </w:r>
      <w:r w:rsidR="00F14B6B">
        <w:t>as</w:t>
      </w:r>
      <w:r w:rsidR="00F14B6B" w:rsidRPr="00192A46">
        <w:t xml:space="preserve"> </w:t>
      </w:r>
      <w:r w:rsidR="00D61198" w:rsidRPr="00192A46">
        <w:t>long as there are dead</w:t>
      </w:r>
      <w:r w:rsidR="00A907BF">
        <w:t xml:space="preserve"> </w:t>
      </w:r>
      <w:r w:rsidR="00D61198" w:rsidRPr="00192A46">
        <w:t>bands or sharing bands in the ERM, ratepayers will not receive the full value of the off-system sales benefits and related avoided cost benefits due to decoupling</w:t>
      </w:r>
      <w:r>
        <w:t xml:space="preserve">.  While </w:t>
      </w:r>
      <w:r w:rsidR="008B17EC">
        <w:t xml:space="preserve">a specific mechanism </w:t>
      </w:r>
      <w:r w:rsidR="006F1EF6">
        <w:t xml:space="preserve">could be developed </w:t>
      </w:r>
      <w:r w:rsidR="008B17EC">
        <w:t xml:space="preserve">to </w:t>
      </w:r>
      <w:r>
        <w:t xml:space="preserve">provide ratepayers these benefits, the ERM </w:t>
      </w:r>
      <w:r w:rsidR="006F1EF6">
        <w:t xml:space="preserve">simply </w:t>
      </w:r>
      <w:r>
        <w:t>is not such a mechanism</w:t>
      </w:r>
      <w:r w:rsidR="00D61198" w:rsidRPr="00192A46">
        <w:t xml:space="preserve">.   </w:t>
      </w:r>
    </w:p>
    <w:p w14:paraId="3FEE4B80" w14:textId="77777777" w:rsidR="00FC5059" w:rsidRPr="00192A46" w:rsidRDefault="00FC5059" w:rsidP="00603BC6"/>
    <w:p w14:paraId="3FEE4B81" w14:textId="77777777" w:rsidR="00FC5059" w:rsidRPr="00192A46" w:rsidRDefault="00FC5059" w:rsidP="00FC5059">
      <w:pPr>
        <w:pStyle w:val="Heading3"/>
      </w:pPr>
      <w:r w:rsidRPr="00192A46">
        <w:t>Q.</w:t>
      </w:r>
      <w:r w:rsidRPr="00192A46">
        <w:tab/>
      </w:r>
      <w:r w:rsidR="00D61198" w:rsidRPr="00192A46">
        <w:t>Does Avista also discuss the retail revenue credit as an issue for decoupling?</w:t>
      </w:r>
    </w:p>
    <w:p w14:paraId="3FEE4B82" w14:textId="542EE07D" w:rsidR="00902B3C" w:rsidRPr="00192A46" w:rsidRDefault="00FC5059" w:rsidP="00603BC6">
      <w:r w:rsidRPr="00192A46">
        <w:t>A.</w:t>
      </w:r>
      <w:r w:rsidRPr="00192A46">
        <w:tab/>
      </w:r>
      <w:r w:rsidR="00D61198" w:rsidRPr="00192A46">
        <w:t xml:space="preserve">Yes.  </w:t>
      </w:r>
      <w:r w:rsidRPr="00192A46">
        <w:t>Mr. Ehrbar discuss</w:t>
      </w:r>
      <w:r w:rsidR="00D61198" w:rsidRPr="00192A46">
        <w:t>es</w:t>
      </w:r>
      <w:r w:rsidRPr="00192A46">
        <w:t xml:space="preserve"> the retail revenue credit in </w:t>
      </w:r>
      <w:r w:rsidR="00D61198" w:rsidRPr="00192A46">
        <w:t xml:space="preserve">his </w:t>
      </w:r>
      <w:r w:rsidR="008816CB" w:rsidRPr="00192A46">
        <w:t xml:space="preserve">Exhibit No. </w:t>
      </w:r>
      <w:r w:rsidR="00646139" w:rsidRPr="00192A46">
        <w:t>___ (</w:t>
      </w:r>
      <w:r w:rsidR="008816CB" w:rsidRPr="00192A46">
        <w:t>PDE-9T)</w:t>
      </w:r>
      <w:r w:rsidR="00D10345">
        <w:t>,</w:t>
      </w:r>
      <w:r w:rsidRPr="00192A46">
        <w:t xml:space="preserve"> at 32</w:t>
      </w:r>
      <w:r w:rsidR="00D10345">
        <w:t xml:space="preserve">, lines </w:t>
      </w:r>
      <w:r w:rsidRPr="00192A46">
        <w:t>11-18</w:t>
      </w:r>
      <w:r w:rsidR="00D61198" w:rsidRPr="00192A46">
        <w:t xml:space="preserve">.  </w:t>
      </w:r>
      <w:r w:rsidR="00902B3C" w:rsidRPr="00192A46">
        <w:t xml:space="preserve">He </w:t>
      </w:r>
      <w:r w:rsidR="00D61198" w:rsidRPr="00192A46">
        <w:t xml:space="preserve">notes that it is important that </w:t>
      </w:r>
      <w:r w:rsidR="00902B3C" w:rsidRPr="00192A46">
        <w:t xml:space="preserve">any </w:t>
      </w:r>
      <w:r w:rsidRPr="00192A46">
        <w:t xml:space="preserve">decoupling mechanism </w:t>
      </w:r>
      <w:r w:rsidR="00902B3C" w:rsidRPr="00192A46">
        <w:t xml:space="preserve">be in harmony with </w:t>
      </w:r>
      <w:r w:rsidRPr="00192A46">
        <w:t>the ERM</w:t>
      </w:r>
      <w:r w:rsidR="00902B3C" w:rsidRPr="00192A46">
        <w:t xml:space="preserve"> and particularly the retail revenue credit, which is part of the ERM</w:t>
      </w:r>
      <w:r w:rsidRPr="00192A46">
        <w:t xml:space="preserve">.  </w:t>
      </w:r>
      <w:r w:rsidR="006F1EF6">
        <w:t>According to Avista, if</w:t>
      </w:r>
      <w:r w:rsidR="00902B3C" w:rsidRPr="00192A46">
        <w:t xml:space="preserve"> the Commission approved decoupling, </w:t>
      </w:r>
      <w:r w:rsidR="00DF03E3">
        <w:t>Avista</w:t>
      </w:r>
      <w:r w:rsidR="00DF03E3" w:rsidRPr="00192A46">
        <w:t xml:space="preserve"> </w:t>
      </w:r>
      <w:r w:rsidR="00902B3C" w:rsidRPr="00192A46">
        <w:t xml:space="preserve">would </w:t>
      </w:r>
      <w:r w:rsidR="00DF03E3">
        <w:t>need</w:t>
      </w:r>
      <w:r w:rsidR="00902B3C" w:rsidRPr="00192A46">
        <w:t xml:space="preserve"> to </w:t>
      </w:r>
      <w:r w:rsidRPr="00192A46">
        <w:t>establish individual retail revenue credits by rate schedule</w:t>
      </w:r>
      <w:r w:rsidR="00DF03E3">
        <w:t xml:space="preserve"> in the ERM</w:t>
      </w:r>
      <w:r w:rsidRPr="00192A46">
        <w:t xml:space="preserve">.  </w:t>
      </w:r>
    </w:p>
    <w:p w14:paraId="3FEE4B83" w14:textId="77777777" w:rsidR="00902B3C" w:rsidRPr="00192A46" w:rsidRDefault="00902B3C" w:rsidP="00603BC6"/>
    <w:p w14:paraId="3FEE4B84" w14:textId="77777777" w:rsidR="00902B3C" w:rsidRPr="00192A46" w:rsidRDefault="00902B3C" w:rsidP="00A907BF">
      <w:pPr>
        <w:pStyle w:val="Heading3"/>
      </w:pPr>
      <w:r w:rsidRPr="00192A46">
        <w:lastRenderedPageBreak/>
        <w:t>Q.</w:t>
      </w:r>
      <w:r w:rsidRPr="00192A46">
        <w:tab/>
        <w:t>What is Staff’s response?</w:t>
      </w:r>
    </w:p>
    <w:p w14:paraId="3FEE4B85" w14:textId="77777777" w:rsidR="00603BC6" w:rsidRPr="00192A46" w:rsidRDefault="00902B3C" w:rsidP="00603BC6">
      <w:r w:rsidRPr="00192A46">
        <w:t>A.</w:t>
      </w:r>
      <w:r w:rsidRPr="00192A46">
        <w:tab/>
      </w:r>
      <w:r w:rsidR="007E1BAF">
        <w:t>Avista’s proposal</w:t>
      </w:r>
      <w:r w:rsidR="00013B48">
        <w:t xml:space="preserve"> is accurate as far as it goes, but it</w:t>
      </w:r>
      <w:r w:rsidR="007E1BAF">
        <w:t xml:space="preserve"> would significantly complicate the ERM</w:t>
      </w:r>
      <w:r w:rsidR="00E36609">
        <w:t>, which is not designed to address variations in power supply costs by rate schedule</w:t>
      </w:r>
      <w:r w:rsidR="007E1BAF">
        <w:t xml:space="preserve">.  </w:t>
      </w:r>
      <w:r w:rsidR="00CB595F">
        <w:t xml:space="preserve">Staff witness Mr. Buckley explains that the ERM is functioning as intended, and </w:t>
      </w:r>
      <w:r w:rsidR="00DD2E7C">
        <w:t xml:space="preserve">Staff </w:t>
      </w:r>
      <w:r w:rsidR="00E36609">
        <w:t xml:space="preserve">is recommending the Commission accept certain </w:t>
      </w:r>
      <w:r w:rsidR="00CB595F">
        <w:t>changes in the calculation of the retail revenue credit</w:t>
      </w:r>
      <w:r w:rsidR="00013B48">
        <w:t xml:space="preserve"> </w:t>
      </w:r>
      <w:r w:rsidR="00E36609">
        <w:t xml:space="preserve">as </w:t>
      </w:r>
      <w:r w:rsidR="00013B48">
        <w:t>proposed by Avista witness Mr. Johnson</w:t>
      </w:r>
      <w:r w:rsidR="00CB595F">
        <w:t>.</w:t>
      </w:r>
      <w:r w:rsidR="00CB595F">
        <w:rPr>
          <w:rStyle w:val="FootnoteReference"/>
        </w:rPr>
        <w:footnoteReference w:id="61"/>
      </w:r>
      <w:r w:rsidR="00FC5059" w:rsidRPr="00192A46">
        <w:t xml:space="preserve"> </w:t>
      </w:r>
      <w:r w:rsidR="00CB595F">
        <w:t xml:space="preserve"> </w:t>
      </w:r>
      <w:r w:rsidR="00B74588">
        <w:t xml:space="preserve">Staff believes the combination of the </w:t>
      </w:r>
      <w:r w:rsidR="00E36609">
        <w:t xml:space="preserve">revised </w:t>
      </w:r>
      <w:r w:rsidR="00B74588">
        <w:t xml:space="preserve">ERM and an attrition </w:t>
      </w:r>
      <w:r w:rsidR="00DC33A4">
        <w:t xml:space="preserve">allowance </w:t>
      </w:r>
      <w:r w:rsidR="00B74588">
        <w:t>appropriately address</w:t>
      </w:r>
      <w:r w:rsidR="00E36609">
        <w:t>es</w:t>
      </w:r>
      <w:r w:rsidR="00B74588">
        <w:t xml:space="preserve"> Avista’s </w:t>
      </w:r>
      <w:r w:rsidR="00E36609">
        <w:t xml:space="preserve">revenue </w:t>
      </w:r>
      <w:r w:rsidR="00B74588">
        <w:t>concerns.</w:t>
      </w:r>
      <w:r w:rsidR="00013B48">
        <w:t xml:space="preserve">  </w:t>
      </w:r>
    </w:p>
    <w:p w14:paraId="3FEE4B86" w14:textId="77777777" w:rsidR="00FC5059" w:rsidRPr="00192A46" w:rsidRDefault="00FC5059" w:rsidP="00603BC6"/>
    <w:p w14:paraId="3FEE4B87" w14:textId="77777777" w:rsidR="00603BC6" w:rsidRPr="00192A46" w:rsidRDefault="00603BC6" w:rsidP="00603BC6">
      <w:pPr>
        <w:pStyle w:val="Heading3"/>
      </w:pPr>
      <w:r w:rsidRPr="00192A46">
        <w:t>Q.</w:t>
      </w:r>
      <w:r w:rsidRPr="00192A46">
        <w:tab/>
        <w:t xml:space="preserve">What does </w:t>
      </w:r>
      <w:r w:rsidR="00902B3C" w:rsidRPr="00192A46">
        <w:t xml:space="preserve">Public Counsel </w:t>
      </w:r>
      <w:r w:rsidRPr="00192A46">
        <w:t>say about the interaction between the ERM and decoupling?</w:t>
      </w:r>
    </w:p>
    <w:p w14:paraId="3FEE4B88" w14:textId="77777777" w:rsidR="00603BC6" w:rsidRPr="00192A46" w:rsidRDefault="00603BC6" w:rsidP="00603BC6">
      <w:r w:rsidRPr="00192A46">
        <w:t>A.</w:t>
      </w:r>
      <w:r w:rsidRPr="00192A46">
        <w:tab/>
      </w:r>
      <w:r w:rsidR="00902B3C" w:rsidRPr="00192A46">
        <w:t xml:space="preserve">Public Counsel </w:t>
      </w:r>
      <w:r w:rsidR="00E13771" w:rsidRPr="00192A46">
        <w:t xml:space="preserve">agrees ratepayers should get the benefits of incremental off-system sales, and </w:t>
      </w:r>
      <w:r w:rsidR="00E3777C" w:rsidRPr="00192A46">
        <w:t>recognize</w:t>
      </w:r>
      <w:r w:rsidR="00902B3C" w:rsidRPr="00192A46">
        <w:t>s</w:t>
      </w:r>
      <w:r w:rsidR="00E3777C" w:rsidRPr="00192A46">
        <w:t xml:space="preserve"> NWEC’s failure to </w:t>
      </w:r>
      <w:r w:rsidR="00902B3C" w:rsidRPr="00192A46">
        <w:t xml:space="preserve">adequately </w:t>
      </w:r>
      <w:r w:rsidR="00E3777C" w:rsidRPr="00192A46">
        <w:t xml:space="preserve">address off-system sales </w:t>
      </w:r>
      <w:r w:rsidR="00A907BF">
        <w:t>in its</w:t>
      </w:r>
      <w:r w:rsidR="00902B3C" w:rsidRPr="00192A46">
        <w:t xml:space="preserve"> proposed decoupling </w:t>
      </w:r>
      <w:r w:rsidR="00E3777C" w:rsidRPr="00192A46">
        <w:t>mechanism.</w:t>
      </w:r>
      <w:r w:rsidR="006F1EF6">
        <w:rPr>
          <w:rStyle w:val="FootnoteReference"/>
        </w:rPr>
        <w:footnoteReference w:id="62"/>
      </w:r>
      <w:r w:rsidR="00E3777C" w:rsidRPr="00192A46">
        <w:t xml:space="preserve">  </w:t>
      </w:r>
      <w:r w:rsidR="00902B3C" w:rsidRPr="00192A46">
        <w:t>Public Counsel also notes</w:t>
      </w:r>
      <w:r w:rsidR="00F14B6B">
        <w:t xml:space="preserve"> that</w:t>
      </w:r>
      <w:r w:rsidR="00902B3C" w:rsidRPr="00192A46">
        <w:t xml:space="preserve"> </w:t>
      </w:r>
      <w:r w:rsidR="00E3777C" w:rsidRPr="00192A46">
        <w:t>Avista</w:t>
      </w:r>
      <w:r w:rsidR="00F14B6B">
        <w:t>’s</w:t>
      </w:r>
      <w:r w:rsidR="00E3777C" w:rsidRPr="00192A46">
        <w:t xml:space="preserve"> </w:t>
      </w:r>
      <w:r w:rsidR="00902B3C" w:rsidRPr="00192A46">
        <w:t xml:space="preserve">previously-sponsored (but not accepted) mechanism called the </w:t>
      </w:r>
      <w:r w:rsidR="00E3777C" w:rsidRPr="00192A46">
        <w:t xml:space="preserve">EELA </w:t>
      </w:r>
      <w:r w:rsidR="00902B3C" w:rsidRPr="00192A46">
        <w:t>(</w:t>
      </w:r>
      <w:r w:rsidR="00192A46" w:rsidRPr="00192A46">
        <w:t>Energy</w:t>
      </w:r>
      <w:r w:rsidR="00902B3C" w:rsidRPr="00192A46">
        <w:t xml:space="preserve"> </w:t>
      </w:r>
      <w:r w:rsidR="00192A46" w:rsidRPr="00192A46">
        <w:t>Efficiency</w:t>
      </w:r>
      <w:r w:rsidR="00902B3C" w:rsidRPr="00192A46">
        <w:t xml:space="preserve"> Load Adjustment) </w:t>
      </w:r>
      <w:r w:rsidR="00E3777C" w:rsidRPr="00192A46">
        <w:t>includ</w:t>
      </w:r>
      <w:r w:rsidR="00902B3C" w:rsidRPr="00192A46">
        <w:t>ed</w:t>
      </w:r>
      <w:r w:rsidR="00E3777C" w:rsidRPr="00192A46">
        <w:t xml:space="preserve"> a base revenue credit to </w:t>
      </w:r>
      <w:r w:rsidR="00902B3C" w:rsidRPr="00192A46">
        <w:t xml:space="preserve">customers for found margins from </w:t>
      </w:r>
      <w:r w:rsidR="00E3777C" w:rsidRPr="00192A46">
        <w:t>off-system sales.</w:t>
      </w:r>
      <w:r w:rsidR="006F1EF6">
        <w:rPr>
          <w:rStyle w:val="FootnoteReference"/>
        </w:rPr>
        <w:footnoteReference w:id="63"/>
      </w:r>
      <w:r w:rsidR="00E3777C" w:rsidRPr="00192A46">
        <w:t xml:space="preserve">  </w:t>
      </w:r>
      <w:r w:rsidR="00026462" w:rsidRPr="00192A46">
        <w:t xml:space="preserve">Mr. Dismukes </w:t>
      </w:r>
      <w:r w:rsidR="00026462">
        <w:t>also</w:t>
      </w:r>
      <w:r w:rsidR="00026462" w:rsidRPr="00192A46">
        <w:t xml:space="preserve"> calculat</w:t>
      </w:r>
      <w:r w:rsidR="00026462">
        <w:t>es found margin from off-system sales</w:t>
      </w:r>
      <w:r w:rsidR="00026462" w:rsidRPr="00192A46">
        <w:t xml:space="preserve"> on pages 15 to 17 of Exhibit No. ___ (DED-1T).  </w:t>
      </w:r>
    </w:p>
    <w:p w14:paraId="3FEE4B89" w14:textId="77777777" w:rsidR="00E3777C" w:rsidRPr="00192A46" w:rsidRDefault="00E3777C" w:rsidP="00603BC6"/>
    <w:p w14:paraId="3FEE4B8A" w14:textId="77777777" w:rsidR="00E13771" w:rsidRPr="00192A46" w:rsidRDefault="00E13771" w:rsidP="00673CE3">
      <w:pPr>
        <w:pStyle w:val="Heading3"/>
        <w:keepNext/>
      </w:pPr>
      <w:r w:rsidRPr="00192A46">
        <w:lastRenderedPageBreak/>
        <w:t>Q.</w:t>
      </w:r>
      <w:r w:rsidRPr="00192A46">
        <w:tab/>
        <w:t>What is Staff’s response?</w:t>
      </w:r>
    </w:p>
    <w:p w14:paraId="3FEE4B8B" w14:textId="77777777" w:rsidR="008B17EC" w:rsidRPr="00F14B6B" w:rsidRDefault="00E13771" w:rsidP="00603BC6">
      <w:r w:rsidRPr="00192A46">
        <w:t>A.</w:t>
      </w:r>
      <w:r w:rsidRPr="00192A46">
        <w:rPr>
          <w:b/>
        </w:rPr>
        <w:tab/>
      </w:r>
      <w:r w:rsidR="006F1EF6" w:rsidRPr="00F14B6B">
        <w:t xml:space="preserve">Staff agrees it </w:t>
      </w:r>
      <w:r w:rsidR="008B17EC" w:rsidRPr="00F14B6B">
        <w:t xml:space="preserve">would be an error </w:t>
      </w:r>
      <w:r w:rsidR="006F1EF6" w:rsidRPr="00F14B6B">
        <w:t xml:space="preserve">for the Commission </w:t>
      </w:r>
      <w:r w:rsidR="008B17EC" w:rsidRPr="00F14B6B">
        <w:t xml:space="preserve">to accept the NWEC </w:t>
      </w:r>
      <w:r w:rsidR="006F1EF6" w:rsidRPr="00F14B6B">
        <w:t xml:space="preserve">decoupling </w:t>
      </w:r>
      <w:r w:rsidR="008B17EC" w:rsidRPr="00F14B6B">
        <w:t>proposal without consider</w:t>
      </w:r>
      <w:r w:rsidR="006F1EF6" w:rsidRPr="00F14B6B">
        <w:t>ing</w:t>
      </w:r>
      <w:r w:rsidR="008B17EC" w:rsidRPr="00F14B6B">
        <w:t xml:space="preserve"> the impact on power costs.  The ERM does not do this.  </w:t>
      </w:r>
      <w:r w:rsidR="006F1EF6" w:rsidRPr="00F14B6B">
        <w:t>For example, a</w:t>
      </w:r>
      <w:r w:rsidR="008B17EC" w:rsidRPr="00F14B6B">
        <w:t xml:space="preserve"> fairly aggressive conservation achievement level, of 1% of retail sales, would not be enough to even exceed the dead band of the ERM.</w:t>
      </w:r>
    </w:p>
    <w:p w14:paraId="3FEE4B8C" w14:textId="77777777" w:rsidR="006F1EF6" w:rsidRPr="00952466" w:rsidRDefault="006F1EF6" w:rsidP="00603BC6">
      <w:r w:rsidRPr="00952466">
        <w:tab/>
      </w:r>
      <w:r w:rsidRPr="00952466">
        <w:tab/>
      </w:r>
      <w:r w:rsidR="008B17EC" w:rsidRPr="00952466">
        <w:t>If the Commission wishes to move ahead with decoupling at this time, it would be necessary to address the changes in power cost</w:t>
      </w:r>
      <w:r w:rsidRPr="00952466">
        <w:t>s</w:t>
      </w:r>
      <w:r w:rsidR="008B17EC" w:rsidRPr="00952466">
        <w:t xml:space="preserve"> that occur when loads are lower</w:t>
      </w:r>
      <w:r w:rsidRPr="00952466">
        <w:t>, and</w:t>
      </w:r>
      <w:r w:rsidR="008B17EC" w:rsidRPr="00952466">
        <w:t xml:space="preserve"> that offset the lost retail revenue.  The simplest way to do this is to </w:t>
      </w:r>
      <w:r w:rsidR="00952466" w:rsidRPr="00952466">
        <w:t>use</w:t>
      </w:r>
      <w:r w:rsidR="008B17EC" w:rsidRPr="00952466">
        <w:t xml:space="preserve"> the per-kWh cost </w:t>
      </w:r>
      <w:r w:rsidR="00BD023A">
        <w:t>found</w:t>
      </w:r>
      <w:r w:rsidR="00BD023A" w:rsidRPr="00952466">
        <w:t xml:space="preserve"> </w:t>
      </w:r>
      <w:r w:rsidR="008B17EC" w:rsidRPr="00952466">
        <w:t xml:space="preserve">in the ERM, </w:t>
      </w:r>
      <w:r w:rsidRPr="00952466">
        <w:t xml:space="preserve">which currently is </w:t>
      </w:r>
      <w:r w:rsidR="008B17EC" w:rsidRPr="00952466">
        <w:t>about $.</w:t>
      </w:r>
      <w:r w:rsidR="00BD023A" w:rsidRPr="00952466">
        <w:t>0</w:t>
      </w:r>
      <w:r w:rsidR="00BD023A">
        <w:t>33</w:t>
      </w:r>
      <w:r w:rsidR="008B17EC" w:rsidRPr="00952466">
        <w:t xml:space="preserve">/kWh, when computing the </w:t>
      </w:r>
      <w:r w:rsidR="00952466" w:rsidRPr="00952466">
        <w:t xml:space="preserve">decoupling </w:t>
      </w:r>
      <w:r w:rsidR="008B17EC" w:rsidRPr="00952466">
        <w:t>deferral amount.</w:t>
      </w:r>
      <w:r w:rsidR="00952466" w:rsidRPr="00952466">
        <w:rPr>
          <w:rStyle w:val="FootnoteReference"/>
        </w:rPr>
        <w:footnoteReference w:id="64"/>
      </w:r>
      <w:r w:rsidR="008B17EC" w:rsidRPr="00952466">
        <w:t xml:space="preserve">   </w:t>
      </w:r>
    </w:p>
    <w:p w14:paraId="3FEE4B8D" w14:textId="77777777" w:rsidR="008F3B67" w:rsidRPr="00192A46" w:rsidRDefault="008F3B67" w:rsidP="00603BC6"/>
    <w:p w14:paraId="3FEE4B8E" w14:textId="77777777" w:rsidR="00603BC6" w:rsidRPr="00192A46" w:rsidRDefault="00603BC6" w:rsidP="00603BC6">
      <w:pPr>
        <w:pStyle w:val="Heading3"/>
      </w:pPr>
      <w:r w:rsidRPr="00192A46">
        <w:t>Q.</w:t>
      </w:r>
      <w:r w:rsidRPr="00192A46">
        <w:tab/>
        <w:t xml:space="preserve">What does </w:t>
      </w:r>
      <w:r w:rsidR="00902B3C" w:rsidRPr="00192A46">
        <w:t xml:space="preserve">ICNU </w:t>
      </w:r>
      <w:r w:rsidRPr="00192A46">
        <w:t>say about the interaction between the ERM and decoupling?</w:t>
      </w:r>
    </w:p>
    <w:p w14:paraId="3FEE4B8F" w14:textId="77777777" w:rsidR="00603BC6" w:rsidRPr="00192A46" w:rsidRDefault="00603BC6" w:rsidP="00603BC6">
      <w:r w:rsidRPr="00192A46">
        <w:t>A.</w:t>
      </w:r>
      <w:r w:rsidRPr="00192A46">
        <w:tab/>
      </w:r>
      <w:r w:rsidR="00902B3C" w:rsidRPr="00192A46">
        <w:t>ICNU does not address this issue</w:t>
      </w:r>
      <w:r w:rsidR="0060377B" w:rsidRPr="00192A46">
        <w:t>.</w:t>
      </w:r>
    </w:p>
    <w:p w14:paraId="3FEE4B90" w14:textId="77777777" w:rsidR="00075BBC" w:rsidRPr="00192A46" w:rsidRDefault="00075BBC" w:rsidP="00075BBC"/>
    <w:p w14:paraId="3FEE4B91" w14:textId="77777777" w:rsidR="00075BBC" w:rsidRPr="00192A46" w:rsidRDefault="00996E80" w:rsidP="00075BBC">
      <w:pPr>
        <w:pStyle w:val="Heading1"/>
      </w:pPr>
      <w:bookmarkStart w:id="20" w:name="_Toc335731526"/>
      <w:r>
        <w:t>OTHER ISSUES</w:t>
      </w:r>
      <w:bookmarkEnd w:id="20"/>
    </w:p>
    <w:p w14:paraId="3FEE4B92" w14:textId="77777777" w:rsidR="005C4DEF" w:rsidRPr="00192A46" w:rsidRDefault="005C4DEF" w:rsidP="005C4DEF"/>
    <w:p w14:paraId="3FEE4B93" w14:textId="206BFFE0" w:rsidR="002953AD" w:rsidRPr="00192A46" w:rsidRDefault="002953AD" w:rsidP="002953AD">
      <w:pPr>
        <w:pStyle w:val="Heading3"/>
      </w:pPr>
      <w:r w:rsidRPr="00192A46">
        <w:t>Q.</w:t>
      </w:r>
      <w:r w:rsidRPr="00192A46">
        <w:tab/>
      </w:r>
      <w:r w:rsidR="00E13771" w:rsidRPr="00192A46">
        <w:t xml:space="preserve">Does the </w:t>
      </w:r>
      <w:r w:rsidRPr="00192A46">
        <w:t xml:space="preserve">Commission </w:t>
      </w:r>
      <w:r w:rsidR="00E13771" w:rsidRPr="00192A46">
        <w:t xml:space="preserve">approve the use </w:t>
      </w:r>
      <w:r w:rsidRPr="00192A46">
        <w:t xml:space="preserve">of </w:t>
      </w:r>
      <w:r w:rsidR="00E13771" w:rsidRPr="00192A46">
        <w:t xml:space="preserve">conservation </w:t>
      </w:r>
      <w:r w:rsidRPr="00192A46">
        <w:t xml:space="preserve">savings </w:t>
      </w:r>
      <w:r w:rsidR="00E13771" w:rsidRPr="00192A46">
        <w:t xml:space="preserve">in the way Avista uses them </w:t>
      </w:r>
      <w:r w:rsidR="00BD023A">
        <w:t xml:space="preserve">in </w:t>
      </w:r>
      <w:r w:rsidR="00BD023A" w:rsidRPr="00192A46">
        <w:t>Mr. Ehrbar’s Chart 2, Exhibit No. ___ (PDE-9T)</w:t>
      </w:r>
      <w:r w:rsidR="00BD023A">
        <w:t xml:space="preserve"> at</w:t>
      </w:r>
      <w:r w:rsidR="00BD023A" w:rsidRPr="00192A46">
        <w:t xml:space="preserve"> 6</w:t>
      </w:r>
      <w:r w:rsidR="00F42F97">
        <w:t xml:space="preserve">, lines </w:t>
      </w:r>
      <w:r w:rsidR="00BD023A" w:rsidRPr="00192A46">
        <w:t>6-14</w:t>
      </w:r>
      <w:r w:rsidRPr="00192A46">
        <w:t>?</w:t>
      </w:r>
    </w:p>
    <w:p w14:paraId="3FEE4B94" w14:textId="77777777" w:rsidR="002953AD" w:rsidRPr="00192A46" w:rsidRDefault="002953AD" w:rsidP="005C4DEF">
      <w:r w:rsidRPr="00192A46">
        <w:t>A.</w:t>
      </w:r>
      <w:r w:rsidRPr="00192A46">
        <w:tab/>
      </w:r>
      <w:r w:rsidR="00E13771" w:rsidRPr="00192A46">
        <w:t xml:space="preserve">No.  </w:t>
      </w:r>
      <w:r w:rsidR="00BD023A" w:rsidRPr="00192A46">
        <w:t>Mr. Ehrbar simply adds the conservation savings estimates to the weather-normalized use-per-customer.  This is not the same as the actual effect conservation has on load in a particular year.</w:t>
      </w:r>
      <w:r w:rsidR="00BD023A">
        <w:t xml:space="preserve">  </w:t>
      </w:r>
      <w:r w:rsidRPr="00192A46">
        <w:t xml:space="preserve">In the </w:t>
      </w:r>
      <w:r w:rsidR="00E13771" w:rsidRPr="00192A46">
        <w:t xml:space="preserve">Commission’s recent </w:t>
      </w:r>
      <w:r w:rsidRPr="00192A46">
        <w:t>PSE Order, the Commission said</w:t>
      </w:r>
      <w:r w:rsidR="00E13771" w:rsidRPr="00192A46">
        <w:t>:</w:t>
      </w:r>
      <w:r w:rsidRPr="00192A46">
        <w:t xml:space="preserve"> “No matter how well-suited the engineering estimates of savings </w:t>
      </w:r>
      <w:r w:rsidRPr="00192A46">
        <w:lastRenderedPageBreak/>
        <w:t>may be for their intended purposes, we do not find them suitable for the purpose of determining rates.”</w:t>
      </w:r>
      <w:r w:rsidR="000C7457">
        <w:rPr>
          <w:rStyle w:val="FootnoteReference"/>
        </w:rPr>
        <w:footnoteReference w:id="65"/>
      </w:r>
      <w:r w:rsidRPr="00192A46">
        <w:t xml:space="preserve">  Although </w:t>
      </w:r>
      <w:r w:rsidR="00E13771" w:rsidRPr="00192A46">
        <w:t xml:space="preserve">the Commission made that </w:t>
      </w:r>
      <w:r w:rsidRPr="00192A46">
        <w:t>statement in the context of den</w:t>
      </w:r>
      <w:r w:rsidR="00E13771" w:rsidRPr="00192A46">
        <w:t xml:space="preserve">ying PSE’s </w:t>
      </w:r>
      <w:r w:rsidRPr="00192A46">
        <w:t>Conservation Savings Adjustment, th</w:t>
      </w:r>
      <w:r w:rsidR="000C7457">
        <w:t xml:space="preserve">at statement </w:t>
      </w:r>
      <w:r w:rsidRPr="00192A46">
        <w:t>applies here as well.</w:t>
      </w:r>
    </w:p>
    <w:p w14:paraId="3FEE4B95" w14:textId="77777777" w:rsidR="005C4DEF" w:rsidRPr="00192A46" w:rsidRDefault="005C4DEF" w:rsidP="005C4DEF"/>
    <w:p w14:paraId="3FEE4B96" w14:textId="77777777" w:rsidR="005C4DEF" w:rsidRPr="00192A46" w:rsidRDefault="005C4DEF" w:rsidP="005C4DEF">
      <w:pPr>
        <w:pStyle w:val="Heading3"/>
      </w:pPr>
      <w:r w:rsidRPr="00192A46">
        <w:t>Q.</w:t>
      </w:r>
      <w:r w:rsidRPr="00192A46">
        <w:tab/>
      </w:r>
      <w:r w:rsidR="00064AD6" w:rsidRPr="00192A46">
        <w:t xml:space="preserve">Do you agree with </w:t>
      </w:r>
      <w:r w:rsidR="00E13771" w:rsidRPr="00192A46">
        <w:t xml:space="preserve">Public Counsel’s </w:t>
      </w:r>
      <w:r w:rsidR="00064AD6" w:rsidRPr="00192A46">
        <w:t xml:space="preserve">discussion about </w:t>
      </w:r>
      <w:r w:rsidR="00E13771" w:rsidRPr="00192A46">
        <w:t>NWEC’s proposal to include the effects of weather in the decoupling mechanism?</w:t>
      </w:r>
      <w:r w:rsidR="00E13771" w:rsidRPr="00192A46" w:rsidDel="00E13771">
        <w:t xml:space="preserve"> </w:t>
      </w:r>
    </w:p>
    <w:p w14:paraId="3FEE4B97" w14:textId="77777777" w:rsidR="00413D80" w:rsidRPr="00192A46" w:rsidRDefault="005C4DEF" w:rsidP="005C4DEF">
      <w:r w:rsidRPr="00192A46">
        <w:t>A.</w:t>
      </w:r>
      <w:r w:rsidRPr="00192A46">
        <w:tab/>
        <w:t>Yes</w:t>
      </w:r>
      <w:r w:rsidR="004840B3" w:rsidRPr="00192A46">
        <w:t>, in part</w:t>
      </w:r>
      <w:r w:rsidRPr="00192A46">
        <w:t>.</w:t>
      </w:r>
      <w:r w:rsidR="004840B3" w:rsidRPr="00192A46">
        <w:t xml:space="preserve">  </w:t>
      </w:r>
      <w:r w:rsidR="00E13771" w:rsidRPr="00192A46">
        <w:t xml:space="preserve">Mr. Dismukes accurately describes how including the impacts of weather </w:t>
      </w:r>
      <w:r w:rsidR="004840B3" w:rsidRPr="00192A46">
        <w:t>shift</w:t>
      </w:r>
      <w:r w:rsidR="00E13771" w:rsidRPr="00192A46">
        <w:t>s</w:t>
      </w:r>
      <w:r w:rsidR="004840B3" w:rsidRPr="00192A46">
        <w:t xml:space="preserve"> </w:t>
      </w:r>
      <w:r w:rsidR="00E13771" w:rsidRPr="00192A46">
        <w:t xml:space="preserve">this </w:t>
      </w:r>
      <w:r w:rsidR="004840B3" w:rsidRPr="00192A46">
        <w:t>risk to the customer.</w:t>
      </w:r>
      <w:r w:rsidR="000C7457">
        <w:rPr>
          <w:rStyle w:val="FootnoteReference"/>
        </w:rPr>
        <w:footnoteReference w:id="66"/>
      </w:r>
      <w:r w:rsidR="004840B3" w:rsidRPr="00192A46">
        <w:t xml:space="preserve">  </w:t>
      </w:r>
    </w:p>
    <w:p w14:paraId="3FEE4B98" w14:textId="77777777" w:rsidR="00413D80" w:rsidRPr="00192A46" w:rsidRDefault="00413D80" w:rsidP="005C4DEF">
      <w:r w:rsidRPr="00192A46">
        <w:tab/>
      </w:r>
      <w:r w:rsidRPr="00192A46">
        <w:tab/>
      </w:r>
      <w:r w:rsidR="004840B3" w:rsidRPr="00192A46">
        <w:t xml:space="preserve">However, Mr. Dismukes goes on to </w:t>
      </w:r>
      <w:r w:rsidRPr="00192A46">
        <w:t>suggest NWEC</w:t>
      </w:r>
      <w:r w:rsidR="000C7457">
        <w:t xml:space="preserve">’s proposed </w:t>
      </w:r>
      <w:r w:rsidRPr="00192A46">
        <w:t xml:space="preserve">decoupling mechanism would adjust for </w:t>
      </w:r>
      <w:r w:rsidR="004840B3" w:rsidRPr="00192A46">
        <w:t xml:space="preserve">weather </w:t>
      </w:r>
      <w:r w:rsidRPr="00192A46">
        <w:t>on a monthly basis</w:t>
      </w:r>
      <w:r w:rsidR="004840B3" w:rsidRPr="00192A46">
        <w:t>,</w:t>
      </w:r>
      <w:r w:rsidR="000C7457">
        <w:rPr>
          <w:rStyle w:val="FootnoteReference"/>
        </w:rPr>
        <w:footnoteReference w:id="67"/>
      </w:r>
      <w:r w:rsidR="004840B3" w:rsidRPr="00192A46">
        <w:t xml:space="preserve"> </w:t>
      </w:r>
      <w:r w:rsidRPr="00192A46">
        <w:t xml:space="preserve">but NWEC is proposing </w:t>
      </w:r>
      <w:r w:rsidR="007E1BAF">
        <w:t>an annual adjustment that incorporates weather effects</w:t>
      </w:r>
      <w:r w:rsidRPr="00192A46">
        <w:t xml:space="preserve">.  </w:t>
      </w:r>
    </w:p>
    <w:p w14:paraId="3FEE4B99" w14:textId="77777777" w:rsidR="005C4DEF" w:rsidRPr="00192A46" w:rsidRDefault="00413D80" w:rsidP="005C4DEF">
      <w:r w:rsidRPr="00192A46">
        <w:tab/>
      </w:r>
      <w:r w:rsidRPr="00192A46">
        <w:tab/>
      </w:r>
      <w:r w:rsidR="004840B3" w:rsidRPr="00192A46">
        <w:t>Notwithstanding these arguments, Staff believes</w:t>
      </w:r>
      <w:r w:rsidR="00064AD6" w:rsidRPr="00192A46">
        <w:t xml:space="preserve"> full decoupling should </w:t>
      </w:r>
      <w:r w:rsidR="00B57A75">
        <w:t>ex</w:t>
      </w:r>
      <w:r w:rsidR="00B57A75" w:rsidRPr="00192A46">
        <w:t xml:space="preserve">clude </w:t>
      </w:r>
      <w:r w:rsidR="00064AD6" w:rsidRPr="00192A46">
        <w:t xml:space="preserve">the effects of weather.  </w:t>
      </w:r>
      <w:r w:rsidR="00B57A75">
        <w:t>Weather variability is one of the risks that is appropriately shared by the status quo, i.e.</w:t>
      </w:r>
      <w:r w:rsidR="00DD2E7C">
        <w:t>,</w:t>
      </w:r>
      <w:r w:rsidR="00B57A75">
        <w:t xml:space="preserve"> existing weather normalization adjustments and volumetric rates</w:t>
      </w:r>
      <w:r w:rsidR="00064AD6" w:rsidRPr="00192A46">
        <w:t>.</w:t>
      </w:r>
      <w:r w:rsidR="004840B3" w:rsidRPr="00192A46">
        <w:t xml:space="preserve"> </w:t>
      </w:r>
    </w:p>
    <w:p w14:paraId="3FEE4B9A" w14:textId="77777777" w:rsidR="00A33D36" w:rsidRPr="00192A46" w:rsidRDefault="00A33D36" w:rsidP="005C4DEF"/>
    <w:p w14:paraId="3FEE4B9B" w14:textId="77777777" w:rsidR="00A33D36" w:rsidRPr="00192A46" w:rsidRDefault="00A33D36" w:rsidP="00A33D36">
      <w:pPr>
        <w:pStyle w:val="Heading3"/>
      </w:pPr>
      <w:r w:rsidRPr="00192A46">
        <w:t>Q.</w:t>
      </w:r>
      <w:r w:rsidRPr="00192A46">
        <w:tab/>
      </w:r>
      <w:r w:rsidR="00A45FA6" w:rsidRPr="00192A46">
        <w:t>ICNU recommend</w:t>
      </w:r>
      <w:r w:rsidR="00A45FA6">
        <w:t>s</w:t>
      </w:r>
      <w:r w:rsidR="00A45FA6" w:rsidRPr="00192A46">
        <w:t xml:space="preserve"> that the Commission review the decoupling program after 12 months, and at least every two years thereafter</w:t>
      </w:r>
      <w:r w:rsidR="00A45FA6">
        <w:t xml:space="preserve">.  </w:t>
      </w:r>
      <w:r w:rsidR="00413D80" w:rsidRPr="00192A46">
        <w:t xml:space="preserve">ICNU </w:t>
      </w:r>
      <w:r w:rsidRPr="00192A46">
        <w:t xml:space="preserve">quotes from </w:t>
      </w:r>
      <w:r w:rsidR="00413D80" w:rsidRPr="00192A46">
        <w:t xml:space="preserve">your </w:t>
      </w:r>
      <w:r w:rsidR="001F29A2" w:rsidRPr="00192A46">
        <w:t xml:space="preserve">Exhibit No. </w:t>
      </w:r>
      <w:r w:rsidR="00646139" w:rsidRPr="00192A46">
        <w:t>___ (</w:t>
      </w:r>
      <w:r w:rsidR="001F29A2" w:rsidRPr="00192A46">
        <w:t>DJR-2)</w:t>
      </w:r>
      <w:r w:rsidR="008816CB" w:rsidRPr="00192A46">
        <w:t xml:space="preserve"> at </w:t>
      </w:r>
      <w:r w:rsidR="000869AB">
        <w:t>14-15</w:t>
      </w:r>
      <w:r w:rsidR="00413D80" w:rsidRPr="00192A46">
        <w:t xml:space="preserve"> regarding “continuing Commission scrutiny” </w:t>
      </w:r>
      <w:r w:rsidR="00413D80" w:rsidRPr="00192A46">
        <w:lastRenderedPageBreak/>
        <w:t xml:space="preserve">of a decoupling mechanism to </w:t>
      </w:r>
      <w:r w:rsidRPr="00192A46">
        <w:t>support</w:t>
      </w:r>
      <w:r w:rsidR="00A45FA6">
        <w:t xml:space="preserve"> its recommendation.</w:t>
      </w:r>
      <w:r w:rsidR="000C7457">
        <w:rPr>
          <w:rStyle w:val="FootnoteReference"/>
        </w:rPr>
        <w:footnoteReference w:id="68"/>
      </w:r>
      <w:r w:rsidRPr="00192A46">
        <w:t xml:space="preserve">  What is </w:t>
      </w:r>
      <w:r w:rsidR="000C7457">
        <w:t>Staff’s</w:t>
      </w:r>
      <w:r w:rsidR="00413D80" w:rsidRPr="00192A46">
        <w:t xml:space="preserve"> response</w:t>
      </w:r>
      <w:r w:rsidRPr="00192A46">
        <w:t>?</w:t>
      </w:r>
    </w:p>
    <w:p w14:paraId="3FEE4B9C" w14:textId="77777777" w:rsidR="00A33D36" w:rsidRDefault="00A33D36" w:rsidP="005C4DEF">
      <w:r w:rsidRPr="00192A46">
        <w:t>A.</w:t>
      </w:r>
      <w:r w:rsidRPr="00192A46">
        <w:tab/>
      </w:r>
      <w:r w:rsidR="00EA1E72">
        <w:t xml:space="preserve">A two-year review cycle is not necessary.  </w:t>
      </w:r>
      <w:r w:rsidR="00413D80" w:rsidRPr="00192A46">
        <w:t>I</w:t>
      </w:r>
      <w:r w:rsidR="00BA3C12" w:rsidRPr="00192A46">
        <w:t>n the testimony cited by ICNU</w:t>
      </w:r>
      <w:r w:rsidR="00B84E18">
        <w:t>,</w:t>
      </w:r>
      <w:r w:rsidR="00413D80" w:rsidRPr="00192A46">
        <w:t xml:space="preserve"> I </w:t>
      </w:r>
      <w:r w:rsidR="00BA3C12" w:rsidRPr="00192A46">
        <w:t xml:space="preserve">also </w:t>
      </w:r>
      <w:r w:rsidR="00413D80" w:rsidRPr="00192A46">
        <w:t>referred to a requirement that the utility file a rate case within four years of the start of a decoupling mechanism.</w:t>
      </w:r>
      <w:r w:rsidR="00EA1E72">
        <w:rPr>
          <w:rStyle w:val="FootnoteReference"/>
        </w:rPr>
        <w:footnoteReference w:id="69"/>
      </w:r>
      <w:r w:rsidR="00413D80" w:rsidRPr="00192A46">
        <w:t xml:space="preserve">  I contemplated that rate case would be the docket for Commission review of the mechanism.  </w:t>
      </w:r>
      <w:r w:rsidRPr="00192A46">
        <w:t>Regulatory certainty is an important aspect of a decoupling program</w:t>
      </w:r>
      <w:r w:rsidR="00B218C0">
        <w:t xml:space="preserve"> and contributes to ensuring that the cost of capital benefits </w:t>
      </w:r>
      <w:r w:rsidR="00EA1E72">
        <w:t>of decoupling continue to be reflected in rates</w:t>
      </w:r>
      <w:r w:rsidR="00B218C0">
        <w:t>.</w:t>
      </w:r>
      <w:r w:rsidR="001A5E16">
        <w:t xml:space="preserve">  In fact, Moody’s Investor’s Service uses the permanency of a decoupling mechanism as one of the characteristics it evaluates in determining the credit support offered by a decoupling mechanism.</w:t>
      </w:r>
      <w:r w:rsidR="001A5E16">
        <w:rPr>
          <w:rStyle w:val="FootnoteReference"/>
        </w:rPr>
        <w:footnoteReference w:id="70"/>
      </w:r>
      <w:r w:rsidR="00B218C0">
        <w:t xml:space="preserve">  R</w:t>
      </w:r>
      <w:r w:rsidRPr="00192A46">
        <w:t xml:space="preserve">eview on the </w:t>
      </w:r>
      <w:r w:rsidR="00413D80" w:rsidRPr="00192A46">
        <w:t xml:space="preserve">shorter </w:t>
      </w:r>
      <w:r w:rsidRPr="00192A46">
        <w:t xml:space="preserve">schedule recommended by </w:t>
      </w:r>
      <w:r w:rsidR="00192A46" w:rsidRPr="00192A46">
        <w:t>ICNU</w:t>
      </w:r>
      <w:r w:rsidR="00192A46">
        <w:t xml:space="preserve"> </w:t>
      </w:r>
      <w:r w:rsidR="00192A46" w:rsidRPr="00192A46">
        <w:t>would</w:t>
      </w:r>
      <w:r w:rsidRPr="00192A46">
        <w:t xml:space="preserve"> likely be detrimental to that goal.</w:t>
      </w:r>
    </w:p>
    <w:p w14:paraId="3FEE4B9D" w14:textId="77777777" w:rsidR="00075BBC" w:rsidRPr="00192A46" w:rsidRDefault="00075BBC" w:rsidP="005C4DEF"/>
    <w:p w14:paraId="3FEE4B9E" w14:textId="0041EF9B" w:rsidR="00075BBC" w:rsidRPr="00192A46" w:rsidRDefault="00772853" w:rsidP="00075BBC">
      <w:pPr>
        <w:pStyle w:val="Heading1"/>
      </w:pPr>
      <w:bookmarkStart w:id="21" w:name="_Toc335731527"/>
      <w:r w:rsidRPr="00192A46">
        <w:t>CONCLUSION</w:t>
      </w:r>
      <w:r>
        <w:t xml:space="preserve"> ON</w:t>
      </w:r>
      <w:r w:rsidR="00F42F97">
        <w:t xml:space="preserve"> DECOUPLING PROPOSAL</w:t>
      </w:r>
      <w:bookmarkEnd w:id="21"/>
    </w:p>
    <w:p w14:paraId="3FEE4B9F" w14:textId="77777777" w:rsidR="00075BBC" w:rsidRPr="00192A46" w:rsidRDefault="00075BBC" w:rsidP="00075BBC"/>
    <w:p w14:paraId="3FEE4BA0" w14:textId="77777777" w:rsidR="00075BBC" w:rsidRPr="00192A46" w:rsidRDefault="00075BBC" w:rsidP="00EB1865">
      <w:pPr>
        <w:pStyle w:val="Heading3"/>
      </w:pPr>
      <w:r w:rsidRPr="00192A46">
        <w:t>Q.</w:t>
      </w:r>
      <w:r w:rsidRPr="00192A46">
        <w:tab/>
        <w:t>Please summarize your position on the full decoupling proposal offered by NWEC.</w:t>
      </w:r>
    </w:p>
    <w:p w14:paraId="3FEE4BA1" w14:textId="77777777" w:rsidR="00075BBC" w:rsidRPr="00192A46" w:rsidRDefault="00075BBC" w:rsidP="00075BBC">
      <w:r w:rsidRPr="00192A46">
        <w:t>A.</w:t>
      </w:r>
      <w:r w:rsidRPr="00192A46">
        <w:tab/>
        <w:t>The Commission should reject in its entirety NWEC’s full decoupling proposal as inconsistent with the several elements I have identified from the Commission’s Decoupling Policy Statement.</w:t>
      </w:r>
    </w:p>
    <w:p w14:paraId="3FEE4BA2" w14:textId="77777777" w:rsidR="005C4DEF" w:rsidRPr="00192A46" w:rsidRDefault="005C4DEF" w:rsidP="005C4DEF"/>
    <w:p w14:paraId="3FEE4BA3" w14:textId="605B5D59" w:rsidR="005C4DEF" w:rsidRPr="00192A46" w:rsidRDefault="005C4DEF" w:rsidP="005C4DEF">
      <w:pPr>
        <w:pStyle w:val="Heading3"/>
      </w:pPr>
      <w:r w:rsidRPr="00192A46">
        <w:lastRenderedPageBreak/>
        <w:t>Q.</w:t>
      </w:r>
      <w:r w:rsidRPr="00192A46">
        <w:tab/>
        <w:t>Does this conclude your testimony</w:t>
      </w:r>
      <w:r w:rsidR="00673CE3">
        <w:t xml:space="preserve"> on decoupling</w:t>
      </w:r>
      <w:r w:rsidRPr="00192A46">
        <w:t>?</w:t>
      </w:r>
    </w:p>
    <w:p w14:paraId="3FEE4BA4" w14:textId="77777777" w:rsidR="005C4DEF" w:rsidRPr="00192A46" w:rsidRDefault="005C4DEF" w:rsidP="005C4DEF">
      <w:r w:rsidRPr="00192A46">
        <w:t>A.</w:t>
      </w:r>
      <w:r w:rsidRPr="00192A46">
        <w:tab/>
        <w:t>Yes.</w:t>
      </w:r>
    </w:p>
    <w:p w14:paraId="3FEE4BA5" w14:textId="2C19035D" w:rsidR="002245A4" w:rsidRDefault="002245A4">
      <w:pPr>
        <w:tabs>
          <w:tab w:val="clear" w:pos="-1440"/>
        </w:tabs>
        <w:spacing w:after="200" w:line="276" w:lineRule="auto"/>
        <w:ind w:left="0" w:firstLine="0"/>
      </w:pPr>
    </w:p>
    <w:p w14:paraId="51527805" w14:textId="78CF6EB5" w:rsidR="002245A4" w:rsidRDefault="000A7C1B" w:rsidP="00673CE3">
      <w:pPr>
        <w:pStyle w:val="Heading1"/>
      </w:pPr>
      <w:bookmarkStart w:id="22" w:name="_Toc335731528"/>
      <w:r>
        <w:t>LOW-</w:t>
      </w:r>
      <w:r w:rsidR="002245A4">
        <w:t>INCOME RATE ASSISTANCE PROGRAM ISSUES</w:t>
      </w:r>
      <w:bookmarkEnd w:id="22"/>
    </w:p>
    <w:p w14:paraId="5BAF22E2" w14:textId="77777777" w:rsidR="00673CE3" w:rsidRPr="00673CE3" w:rsidRDefault="00673CE3" w:rsidP="00673CE3"/>
    <w:p w14:paraId="67E55E02" w14:textId="4917F9B2" w:rsidR="002245A4" w:rsidRDefault="002245A4" w:rsidP="00673CE3">
      <w:pPr>
        <w:pStyle w:val="Heading1"/>
        <w:numPr>
          <w:ilvl w:val="0"/>
          <w:numId w:val="0"/>
        </w:numPr>
        <w:jc w:val="left"/>
      </w:pPr>
      <w:r>
        <w:tab/>
      </w:r>
      <w:bookmarkStart w:id="23" w:name="_Toc335731529"/>
      <w:r>
        <w:t xml:space="preserve">A. </w:t>
      </w:r>
      <w:r>
        <w:tab/>
      </w:r>
      <w:r w:rsidR="00673CE3">
        <w:t>Introduction</w:t>
      </w:r>
      <w:bookmarkEnd w:id="23"/>
      <w:r w:rsidR="00673CE3">
        <w:t xml:space="preserve"> </w:t>
      </w:r>
    </w:p>
    <w:p w14:paraId="7E562009" w14:textId="77777777" w:rsidR="00673CE3" w:rsidRPr="00673CE3" w:rsidRDefault="00673CE3" w:rsidP="00673CE3"/>
    <w:p w14:paraId="144EE548" w14:textId="366EBC33" w:rsidR="002245A4" w:rsidRDefault="002245A4" w:rsidP="002245A4">
      <w:pPr>
        <w:pStyle w:val="Heading3"/>
      </w:pPr>
      <w:r>
        <w:t>Q.</w:t>
      </w:r>
      <w:r>
        <w:tab/>
        <w:t xml:space="preserve">What is the purpose of this </w:t>
      </w:r>
      <w:r w:rsidR="009D18C5">
        <w:t xml:space="preserve">section of your </w:t>
      </w:r>
      <w:r>
        <w:t>testimony?</w:t>
      </w:r>
    </w:p>
    <w:p w14:paraId="31BEB501" w14:textId="77777777" w:rsidR="002245A4" w:rsidRPr="006139D2" w:rsidRDefault="002245A4" w:rsidP="002245A4">
      <w:r w:rsidRPr="006139D2">
        <w:t>A.</w:t>
      </w:r>
      <w:r w:rsidRPr="006139D2">
        <w:tab/>
        <w:t xml:space="preserve">I respond to the testimony of Avista witness </w:t>
      </w:r>
      <w:r>
        <w:t>Mr. Kopczynski</w:t>
      </w:r>
      <w:r w:rsidRPr="006139D2">
        <w:t xml:space="preserve"> on </w:t>
      </w:r>
      <w:r>
        <w:t>low-income</w:t>
      </w:r>
      <w:r w:rsidRPr="006139D2">
        <w:t xml:space="preserve"> rate assistance funding.  </w:t>
      </w:r>
    </w:p>
    <w:p w14:paraId="7C32A387" w14:textId="77777777" w:rsidR="002245A4" w:rsidRDefault="002245A4" w:rsidP="002245A4">
      <w:pPr>
        <w:rPr>
          <w:b/>
        </w:rPr>
      </w:pPr>
    </w:p>
    <w:p w14:paraId="3DB86CC7" w14:textId="77777777" w:rsidR="002245A4" w:rsidRPr="000017F4" w:rsidRDefault="002245A4" w:rsidP="002245A4">
      <w:pPr>
        <w:pStyle w:val="Heading3"/>
      </w:pPr>
      <w:r w:rsidRPr="000017F4">
        <w:t>Q.</w:t>
      </w:r>
      <w:r w:rsidRPr="000017F4">
        <w:tab/>
        <w:t xml:space="preserve">What is Staff’s recommendation for Avista’s </w:t>
      </w:r>
      <w:r>
        <w:t xml:space="preserve">low-income rate assistance program </w:t>
      </w:r>
      <w:r w:rsidRPr="000017F4">
        <w:t>tariff in this case?</w:t>
      </w:r>
    </w:p>
    <w:p w14:paraId="6731D626" w14:textId="77777777" w:rsidR="002245A4" w:rsidRDefault="002245A4" w:rsidP="002245A4">
      <w:r w:rsidRPr="000017F4">
        <w:t>A.</w:t>
      </w:r>
      <w:r w:rsidRPr="000017F4">
        <w:tab/>
        <w:t xml:space="preserve">For the purpose of this case, Staff recommends the Commission </w:t>
      </w:r>
      <w:r>
        <w:t xml:space="preserve">maintain </w:t>
      </w:r>
      <w:r w:rsidRPr="000017F4">
        <w:t xml:space="preserve">the </w:t>
      </w:r>
      <w:r>
        <w:t xml:space="preserve">existing </w:t>
      </w:r>
      <w:r w:rsidRPr="000017F4">
        <w:t xml:space="preserve">funding level for </w:t>
      </w:r>
      <w:r>
        <w:t xml:space="preserve">the Company’s Low-income Rate Assistance Program (LIRAP), and implement a two-year certification for certain low-income customers, to be determined in consultation with </w:t>
      </w:r>
      <w:r w:rsidRPr="000017F4">
        <w:t>C</w:t>
      </w:r>
      <w:r>
        <w:t>ommunity Action Agencies (CAAs)</w:t>
      </w:r>
      <w:r w:rsidRPr="000017F4">
        <w:t xml:space="preserve">.  </w:t>
      </w:r>
    </w:p>
    <w:p w14:paraId="7DF1510F" w14:textId="77777777" w:rsidR="002245A4" w:rsidRPr="000017F4" w:rsidRDefault="002245A4" w:rsidP="002245A4">
      <w:pPr>
        <w:rPr>
          <w:highlight w:val="yellow"/>
        </w:rPr>
      </w:pPr>
      <w:r>
        <w:tab/>
      </w:r>
      <w:r>
        <w:tab/>
      </w:r>
      <w:r w:rsidRPr="000017F4">
        <w:t>Staff also recommends the Commission require Avista</w:t>
      </w:r>
      <w:r>
        <w:t>,</w:t>
      </w:r>
      <w:r w:rsidRPr="000017F4">
        <w:t xml:space="preserve"> in </w:t>
      </w:r>
      <w:r>
        <w:t>its</w:t>
      </w:r>
      <w:r w:rsidRPr="000017F4">
        <w:t xml:space="preserve"> next general rate case</w:t>
      </w:r>
      <w:r>
        <w:t>,</w:t>
      </w:r>
      <w:r w:rsidRPr="000017F4">
        <w:t xml:space="preserve"> to submit a proposal for changing LIRAP from a grant program to a discount rate program. </w:t>
      </w:r>
      <w:r>
        <w:t xml:space="preserve"> I describe the specifics of this recommendation at the end of my testimony.</w:t>
      </w:r>
    </w:p>
    <w:p w14:paraId="2DBFA3D0" w14:textId="77777777" w:rsidR="002245A4" w:rsidRDefault="002245A4" w:rsidP="002245A4">
      <w:pPr>
        <w:rPr>
          <w:highlight w:val="yellow"/>
        </w:rPr>
      </w:pPr>
    </w:p>
    <w:p w14:paraId="048C84D4" w14:textId="7CB492F0" w:rsidR="002245A4" w:rsidRDefault="009D18C5" w:rsidP="00375618">
      <w:pPr>
        <w:pStyle w:val="Heading2"/>
        <w:numPr>
          <w:ilvl w:val="0"/>
          <w:numId w:val="0"/>
        </w:numPr>
        <w:ind w:left="1440" w:hanging="630"/>
      </w:pPr>
      <w:bookmarkStart w:id="24" w:name="_Toc335731530"/>
      <w:r>
        <w:lastRenderedPageBreak/>
        <w:t>B</w:t>
      </w:r>
      <w:r w:rsidR="002245A4">
        <w:t>.</w:t>
      </w:r>
      <w:r w:rsidR="002245A4">
        <w:tab/>
        <w:t xml:space="preserve">Description of </w:t>
      </w:r>
      <w:r w:rsidR="002245A4" w:rsidRPr="00370DF6">
        <w:t>LIRAP</w:t>
      </w:r>
      <w:r w:rsidR="002245A4">
        <w:t>; Number of Customers Served; Nature of Grants</w:t>
      </w:r>
      <w:bookmarkEnd w:id="24"/>
    </w:p>
    <w:p w14:paraId="1DD07EB4" w14:textId="77777777" w:rsidR="002245A4" w:rsidRDefault="002245A4" w:rsidP="00375618">
      <w:pPr>
        <w:pStyle w:val="NoSpacing"/>
        <w:keepNext/>
        <w:spacing w:line="480" w:lineRule="auto"/>
        <w:ind w:left="720" w:hanging="720"/>
        <w:rPr>
          <w:rFonts w:ascii="Times New Roman" w:hAnsi="Times New Roman" w:cs="Times New Roman"/>
          <w:b/>
          <w:sz w:val="24"/>
          <w:szCs w:val="24"/>
        </w:rPr>
      </w:pPr>
    </w:p>
    <w:p w14:paraId="62998703" w14:textId="77777777" w:rsidR="002245A4" w:rsidRPr="000017F4" w:rsidRDefault="002245A4" w:rsidP="002245A4">
      <w:pPr>
        <w:pStyle w:val="Heading3"/>
      </w:pPr>
      <w:r w:rsidRPr="000017F4">
        <w:t>Q.</w:t>
      </w:r>
      <w:r w:rsidRPr="000017F4">
        <w:tab/>
      </w:r>
      <w:r>
        <w:t>Please generally describe Avista’s LIRAP tariff.</w:t>
      </w:r>
    </w:p>
    <w:p w14:paraId="36DD618F" w14:textId="77777777" w:rsidR="002245A4" w:rsidRPr="000017F4" w:rsidRDefault="002245A4" w:rsidP="002245A4">
      <w:pPr>
        <w:pStyle w:val="NoSpacing"/>
        <w:spacing w:line="480" w:lineRule="auto"/>
        <w:ind w:left="720" w:hanging="720"/>
        <w:rPr>
          <w:rFonts w:ascii="Times New Roman" w:hAnsi="Times New Roman" w:cs="Times New Roman"/>
          <w:sz w:val="24"/>
          <w:szCs w:val="24"/>
        </w:rPr>
      </w:pPr>
      <w:r w:rsidRPr="000017F4">
        <w:rPr>
          <w:rFonts w:ascii="Times New Roman" w:hAnsi="Times New Roman" w:cs="Times New Roman"/>
          <w:sz w:val="24"/>
          <w:szCs w:val="24"/>
        </w:rPr>
        <w:t>A.</w:t>
      </w:r>
      <w:r w:rsidRPr="000017F4">
        <w:rPr>
          <w:rFonts w:ascii="Times New Roman" w:hAnsi="Times New Roman" w:cs="Times New Roman"/>
          <w:sz w:val="24"/>
          <w:szCs w:val="24"/>
        </w:rPr>
        <w:tab/>
        <w:t>Avista’s</w:t>
      </w:r>
      <w:r>
        <w:rPr>
          <w:rFonts w:ascii="Times New Roman" w:hAnsi="Times New Roman" w:cs="Times New Roman"/>
          <w:sz w:val="24"/>
          <w:szCs w:val="24"/>
        </w:rPr>
        <w:t xml:space="preserve"> LIRAP </w:t>
      </w:r>
      <w:r w:rsidRPr="000017F4">
        <w:rPr>
          <w:rFonts w:ascii="Times New Roman" w:hAnsi="Times New Roman" w:cs="Times New Roman"/>
          <w:sz w:val="24"/>
          <w:szCs w:val="24"/>
        </w:rPr>
        <w:t>tariff went into effect</w:t>
      </w:r>
      <w:r>
        <w:rPr>
          <w:rFonts w:ascii="Times New Roman" w:hAnsi="Times New Roman" w:cs="Times New Roman"/>
          <w:sz w:val="24"/>
          <w:szCs w:val="24"/>
        </w:rPr>
        <w:t xml:space="preserve"> as a pilot program</w:t>
      </w:r>
      <w:r w:rsidRPr="000017F4">
        <w:rPr>
          <w:rFonts w:ascii="Times New Roman" w:hAnsi="Times New Roman" w:cs="Times New Roman"/>
          <w:sz w:val="24"/>
          <w:szCs w:val="24"/>
        </w:rPr>
        <w:t xml:space="preserve"> (without suspension) in 2001 in Dockets UE-010436 and UG-010437</w:t>
      </w:r>
      <w:r>
        <w:rPr>
          <w:rFonts w:ascii="Times New Roman" w:hAnsi="Times New Roman" w:cs="Times New Roman"/>
          <w:sz w:val="24"/>
          <w:szCs w:val="24"/>
        </w:rPr>
        <w:t xml:space="preserve">.  </w:t>
      </w:r>
      <w:r w:rsidRPr="000017F4">
        <w:rPr>
          <w:rFonts w:ascii="Times New Roman" w:hAnsi="Times New Roman" w:cs="Times New Roman"/>
          <w:sz w:val="24"/>
          <w:szCs w:val="24"/>
        </w:rPr>
        <w:t xml:space="preserve">Avista’s program </w:t>
      </w:r>
      <w:r>
        <w:rPr>
          <w:rFonts w:ascii="Times New Roman" w:hAnsi="Times New Roman" w:cs="Times New Roman"/>
          <w:sz w:val="24"/>
          <w:szCs w:val="24"/>
        </w:rPr>
        <w:t>is</w:t>
      </w:r>
      <w:r w:rsidRPr="000017F4">
        <w:rPr>
          <w:rFonts w:ascii="Times New Roman" w:hAnsi="Times New Roman" w:cs="Times New Roman"/>
          <w:sz w:val="24"/>
          <w:szCs w:val="24"/>
        </w:rPr>
        <w:t xml:space="preserve"> modeled after the federal </w:t>
      </w:r>
      <w:r>
        <w:rPr>
          <w:rFonts w:ascii="Times New Roman" w:hAnsi="Times New Roman" w:cs="Times New Roman"/>
          <w:sz w:val="24"/>
          <w:szCs w:val="24"/>
        </w:rPr>
        <w:t>Low-income</w:t>
      </w:r>
      <w:r w:rsidRPr="000017F4">
        <w:rPr>
          <w:rFonts w:ascii="Times New Roman" w:hAnsi="Times New Roman" w:cs="Times New Roman"/>
          <w:sz w:val="24"/>
          <w:szCs w:val="24"/>
        </w:rPr>
        <w:t xml:space="preserve"> Home Energy Assistance Program (LIHEAP). </w:t>
      </w:r>
      <w:r>
        <w:rPr>
          <w:rFonts w:ascii="Times New Roman" w:hAnsi="Times New Roman" w:cs="Times New Roman"/>
          <w:sz w:val="24"/>
          <w:szCs w:val="24"/>
        </w:rPr>
        <w:t xml:space="preserve"> </w:t>
      </w:r>
      <w:r w:rsidRPr="000017F4">
        <w:rPr>
          <w:rFonts w:ascii="Times New Roman" w:hAnsi="Times New Roman" w:cs="Times New Roman"/>
          <w:sz w:val="24"/>
          <w:szCs w:val="24"/>
        </w:rPr>
        <w:t xml:space="preserve">Avista collects the funds for LIRAP </w:t>
      </w:r>
      <w:r>
        <w:rPr>
          <w:rFonts w:ascii="Times New Roman" w:hAnsi="Times New Roman" w:cs="Times New Roman"/>
          <w:sz w:val="24"/>
          <w:szCs w:val="24"/>
        </w:rPr>
        <w:t xml:space="preserve">from ratepayers </w:t>
      </w:r>
      <w:r w:rsidRPr="000017F4">
        <w:rPr>
          <w:rFonts w:ascii="Times New Roman" w:hAnsi="Times New Roman" w:cs="Times New Roman"/>
          <w:sz w:val="24"/>
          <w:szCs w:val="24"/>
        </w:rPr>
        <w:t xml:space="preserve">through electric and natural gas surcharges on Schedules 91 and 191, </w:t>
      </w:r>
      <w:r>
        <w:rPr>
          <w:rFonts w:ascii="Times New Roman" w:hAnsi="Times New Roman" w:cs="Times New Roman"/>
          <w:sz w:val="24"/>
          <w:szCs w:val="24"/>
        </w:rPr>
        <w:t xml:space="preserve">respectively, </w:t>
      </w:r>
      <w:r w:rsidRPr="000017F4">
        <w:rPr>
          <w:rFonts w:ascii="Times New Roman" w:hAnsi="Times New Roman" w:cs="Times New Roman"/>
          <w:sz w:val="24"/>
          <w:szCs w:val="24"/>
        </w:rPr>
        <w:t xml:space="preserve">entitled the </w:t>
      </w:r>
      <w:r>
        <w:rPr>
          <w:rFonts w:ascii="Times New Roman" w:hAnsi="Times New Roman" w:cs="Times New Roman"/>
          <w:sz w:val="24"/>
          <w:szCs w:val="24"/>
        </w:rPr>
        <w:t>“</w:t>
      </w:r>
      <w:r w:rsidRPr="000017F4">
        <w:rPr>
          <w:rFonts w:ascii="Times New Roman" w:hAnsi="Times New Roman" w:cs="Times New Roman"/>
          <w:sz w:val="24"/>
          <w:szCs w:val="24"/>
        </w:rPr>
        <w:t>Public Purposes Rider Adjustment – Washington</w:t>
      </w:r>
      <w:r>
        <w:rPr>
          <w:rFonts w:ascii="Times New Roman" w:hAnsi="Times New Roman" w:cs="Times New Roman"/>
          <w:sz w:val="24"/>
          <w:szCs w:val="24"/>
        </w:rPr>
        <w:t>”</w:t>
      </w:r>
      <w:r w:rsidRPr="000017F4">
        <w:rPr>
          <w:rFonts w:ascii="Times New Roman" w:hAnsi="Times New Roman" w:cs="Times New Roman"/>
          <w:sz w:val="24"/>
          <w:szCs w:val="24"/>
        </w:rPr>
        <w:t>.</w:t>
      </w:r>
    </w:p>
    <w:p w14:paraId="65F4767A" w14:textId="77777777" w:rsidR="002245A4" w:rsidRDefault="002245A4" w:rsidP="002245A4">
      <w:pPr>
        <w:rPr>
          <w:highlight w:val="yellow"/>
        </w:rPr>
      </w:pPr>
      <w:r>
        <w:tab/>
      </w:r>
      <w:r>
        <w:tab/>
      </w:r>
      <w:r w:rsidRPr="000017F4">
        <w:t xml:space="preserve">Avista’s LIRAP aims to reduce the percentage of income that low-income households spend on energy services, called the </w:t>
      </w:r>
      <w:r>
        <w:t>“</w:t>
      </w:r>
      <w:r w:rsidRPr="000017F4">
        <w:t>energy burden</w:t>
      </w:r>
      <w:r>
        <w:t>”</w:t>
      </w:r>
      <w:r w:rsidRPr="000017F4">
        <w:t>.</w:t>
      </w:r>
      <w:r w:rsidRPr="000017F4">
        <w:rPr>
          <w:rStyle w:val="FootnoteReference"/>
        </w:rPr>
        <w:footnoteReference w:id="71"/>
      </w:r>
      <w:r w:rsidRPr="000017F4">
        <w:t xml:space="preserve"> </w:t>
      </w:r>
      <w:r>
        <w:t xml:space="preserve"> </w:t>
      </w:r>
      <w:r w:rsidRPr="000017F4">
        <w:t xml:space="preserve">This is accomplished through bill assistance grants, </w:t>
      </w:r>
      <w:r>
        <w:t>low-income</w:t>
      </w:r>
      <w:r w:rsidRPr="000017F4">
        <w:t xml:space="preserve"> and senior outreach programs, conservation education and support of community programs that increase customers’ ability to pay basic living costs.  Grants are distributed to customers whose eligibility is verified by CAAs.</w:t>
      </w:r>
    </w:p>
    <w:p w14:paraId="6E7203C1" w14:textId="77777777" w:rsidR="002245A4" w:rsidRDefault="002245A4" w:rsidP="002245A4">
      <w:pPr>
        <w:rPr>
          <w:b/>
        </w:rPr>
      </w:pPr>
    </w:p>
    <w:p w14:paraId="2706F05C" w14:textId="77777777" w:rsidR="002245A4" w:rsidRPr="00F332A2" w:rsidRDefault="002245A4" w:rsidP="002245A4">
      <w:pPr>
        <w:pStyle w:val="Heading3"/>
      </w:pPr>
      <w:r w:rsidRPr="00F332A2">
        <w:t xml:space="preserve">Q. </w:t>
      </w:r>
      <w:r w:rsidRPr="00F332A2">
        <w:tab/>
        <w:t xml:space="preserve">Who is eligible to participate in LIRAP?  </w:t>
      </w:r>
    </w:p>
    <w:p w14:paraId="503FCCF7" w14:textId="77777777" w:rsidR="002245A4" w:rsidRPr="00F332A2" w:rsidRDefault="002245A4" w:rsidP="002245A4">
      <w:pPr>
        <w:pStyle w:val="NoSpacing"/>
        <w:spacing w:line="480" w:lineRule="auto"/>
        <w:ind w:left="720" w:hanging="720"/>
        <w:rPr>
          <w:rFonts w:ascii="Times New Roman" w:hAnsi="Times New Roman" w:cs="Times New Roman"/>
          <w:sz w:val="24"/>
          <w:szCs w:val="24"/>
        </w:rPr>
      </w:pPr>
      <w:r w:rsidRPr="00F332A2">
        <w:rPr>
          <w:rFonts w:ascii="Times New Roman" w:hAnsi="Times New Roman" w:cs="Times New Roman"/>
          <w:sz w:val="24"/>
          <w:szCs w:val="24"/>
        </w:rPr>
        <w:t xml:space="preserve">A. </w:t>
      </w:r>
      <w:r w:rsidRPr="00F332A2">
        <w:rPr>
          <w:rFonts w:ascii="Times New Roman" w:hAnsi="Times New Roman" w:cs="Times New Roman"/>
          <w:sz w:val="24"/>
          <w:szCs w:val="24"/>
        </w:rPr>
        <w:tab/>
        <w:t>Customers with an annual household income of 125</w:t>
      </w:r>
      <w:r>
        <w:rPr>
          <w:rFonts w:ascii="Times New Roman" w:hAnsi="Times New Roman" w:cs="Times New Roman"/>
          <w:sz w:val="24"/>
          <w:szCs w:val="24"/>
        </w:rPr>
        <w:t xml:space="preserve"> percent</w:t>
      </w:r>
      <w:r w:rsidRPr="00F332A2">
        <w:rPr>
          <w:rFonts w:ascii="Times New Roman" w:hAnsi="Times New Roman" w:cs="Times New Roman"/>
          <w:sz w:val="24"/>
          <w:szCs w:val="24"/>
        </w:rPr>
        <w:t xml:space="preserve"> or less of the Federal Poverty Level (FPL) are eligible for participation in LIRAP Heat, and customers older than 60 years of age on fixed incomes at or below 200</w:t>
      </w:r>
      <w:r>
        <w:rPr>
          <w:rFonts w:ascii="Times New Roman" w:hAnsi="Times New Roman" w:cs="Times New Roman"/>
          <w:sz w:val="24"/>
          <w:szCs w:val="24"/>
        </w:rPr>
        <w:t xml:space="preserve"> percent</w:t>
      </w:r>
      <w:r w:rsidRPr="00F332A2">
        <w:rPr>
          <w:rFonts w:ascii="Times New Roman" w:hAnsi="Times New Roman" w:cs="Times New Roman"/>
          <w:sz w:val="24"/>
          <w:szCs w:val="24"/>
        </w:rPr>
        <w:t xml:space="preserve"> FPL are eligible for participation in LIRAP Senior Energy Outreach.  LIRAP Share is available to </w:t>
      </w:r>
      <w:r w:rsidRPr="00F332A2">
        <w:rPr>
          <w:rFonts w:ascii="Times New Roman" w:hAnsi="Times New Roman" w:cs="Times New Roman"/>
          <w:sz w:val="24"/>
          <w:szCs w:val="24"/>
        </w:rPr>
        <w:lastRenderedPageBreak/>
        <w:t>customers who are not eligible for or have exhausted all other energy assistance resources.</w:t>
      </w:r>
    </w:p>
    <w:p w14:paraId="3AA70DE0" w14:textId="77777777" w:rsidR="002245A4" w:rsidRPr="00F332A2" w:rsidRDefault="002245A4" w:rsidP="002245A4"/>
    <w:p w14:paraId="35CC24AA" w14:textId="77777777" w:rsidR="002245A4" w:rsidRPr="00F332A2" w:rsidRDefault="002245A4" w:rsidP="002245A4">
      <w:pPr>
        <w:pStyle w:val="Heading3"/>
      </w:pPr>
      <w:r w:rsidRPr="00F332A2">
        <w:t xml:space="preserve">Q. </w:t>
      </w:r>
      <w:r w:rsidRPr="00F332A2">
        <w:tab/>
      </w:r>
      <w:r>
        <w:t xml:space="preserve">Can you estimate the percentage of Avista </w:t>
      </w:r>
      <w:r w:rsidRPr="00F332A2">
        <w:t xml:space="preserve">customers </w:t>
      </w:r>
      <w:r>
        <w:t xml:space="preserve">that receive </w:t>
      </w:r>
      <w:r w:rsidRPr="00F332A2">
        <w:t>bill assistance through LIRAP</w:t>
      </w:r>
      <w:r>
        <w:t xml:space="preserve"> compared to the total number of eligible customers</w:t>
      </w:r>
      <w:r w:rsidRPr="00F332A2">
        <w:t xml:space="preserve">?    </w:t>
      </w:r>
    </w:p>
    <w:p w14:paraId="73A762E0" w14:textId="77777777" w:rsidR="002245A4" w:rsidRDefault="002245A4" w:rsidP="002245A4">
      <w:r w:rsidRPr="00F332A2">
        <w:t xml:space="preserve">A. </w:t>
      </w:r>
      <w:r w:rsidRPr="00F332A2">
        <w:tab/>
      </w:r>
      <w:r>
        <w:t xml:space="preserve">Yes.  I estimate that only about 21 percent of eligible Avista customers actually receive LIRAP assistance.  </w:t>
      </w:r>
    </w:p>
    <w:p w14:paraId="77891266" w14:textId="77777777" w:rsidR="002245A4" w:rsidRDefault="002245A4" w:rsidP="002245A4">
      <w:r>
        <w:tab/>
      </w:r>
      <w:r>
        <w:tab/>
      </w:r>
      <w:r w:rsidRPr="00F332A2">
        <w:t>In 2009, an estimated 31,000 customers, or about 17 percent of total residential customers, in Avista’s Washington service territory were at or below 125 percent of the FPL, and therefore eligible to qualify for LIRAP.</w:t>
      </w:r>
      <w:r w:rsidRPr="00F332A2">
        <w:rPr>
          <w:rStyle w:val="FootnoteReference"/>
        </w:rPr>
        <w:footnoteReference w:id="72"/>
      </w:r>
      <w:r>
        <w:t xml:space="preserve">  </w:t>
      </w:r>
      <w:r w:rsidRPr="00F332A2">
        <w:t xml:space="preserve">Applying that same proportion of </w:t>
      </w:r>
      <w:r>
        <w:t>low-income</w:t>
      </w:r>
      <w:r w:rsidRPr="00F332A2">
        <w:t xml:space="preserve"> customers to the 2011 customer base results in an estimated 36,500 eligible </w:t>
      </w:r>
      <w:r>
        <w:t>low-income</w:t>
      </w:r>
      <w:r w:rsidRPr="00F332A2">
        <w:t xml:space="preserve"> customers.</w:t>
      </w:r>
      <w:r w:rsidRPr="00F332A2">
        <w:rPr>
          <w:rStyle w:val="FootnoteReference"/>
        </w:rPr>
        <w:footnoteReference w:id="73"/>
      </w:r>
      <w:r w:rsidRPr="00F332A2">
        <w:t xml:space="preserve">  </w:t>
      </w:r>
    </w:p>
    <w:p w14:paraId="6093C9F7" w14:textId="77777777" w:rsidR="002245A4" w:rsidRPr="00F332A2" w:rsidRDefault="002245A4" w:rsidP="002245A4">
      <w:r>
        <w:tab/>
      </w:r>
      <w:r>
        <w:tab/>
      </w:r>
      <w:r w:rsidRPr="00F332A2">
        <w:t>By comparison, a total of 7,543 of grants were distributed in the Company’s Washington service territory in program year 2010-2011,</w:t>
      </w:r>
      <w:r w:rsidRPr="00F332A2">
        <w:rPr>
          <w:rStyle w:val="FootnoteReference"/>
        </w:rPr>
        <w:footnoteReference w:id="74"/>
      </w:r>
      <w:r w:rsidRPr="00F332A2">
        <w:t xml:space="preserve"> or approximately 21 percent of the estimated eligible </w:t>
      </w:r>
      <w:r>
        <w:t>low-income</w:t>
      </w:r>
      <w:r w:rsidRPr="00F332A2">
        <w:t xml:space="preserve"> customer base.   </w:t>
      </w:r>
    </w:p>
    <w:p w14:paraId="20B7ECC3" w14:textId="77777777" w:rsidR="002245A4" w:rsidRPr="00F332A2" w:rsidRDefault="002245A4" w:rsidP="002245A4"/>
    <w:p w14:paraId="4B02BB1F" w14:textId="77777777" w:rsidR="002245A4" w:rsidRPr="00F332A2" w:rsidRDefault="002245A4" w:rsidP="002245A4">
      <w:pPr>
        <w:pStyle w:val="Heading3"/>
      </w:pPr>
      <w:r w:rsidRPr="00F332A2">
        <w:t xml:space="preserve">Q. </w:t>
      </w:r>
      <w:r w:rsidRPr="00F332A2">
        <w:tab/>
        <w:t>How much LIRAP funding directly benefits Avista’s customers through grants?</w:t>
      </w:r>
    </w:p>
    <w:p w14:paraId="42D17CA3" w14:textId="14B16DF2" w:rsidR="002245A4" w:rsidRDefault="002245A4" w:rsidP="00375618">
      <w:pPr>
        <w:ind w:right="-252"/>
      </w:pPr>
      <w:r w:rsidRPr="00F332A2">
        <w:t xml:space="preserve">A. </w:t>
      </w:r>
      <w:r w:rsidRPr="00F332A2">
        <w:tab/>
        <w:t xml:space="preserve">In program year 2010-2011, the total revenue collected by Avista for LIRAP was $4,701,900, and the total amount spent on direct bill assistance grants was $2,610,161, </w:t>
      </w:r>
      <w:r w:rsidRPr="00F332A2">
        <w:lastRenderedPageBreak/>
        <w:t>or 55 percent of the total program budget.</w:t>
      </w:r>
      <w:r w:rsidRPr="00F332A2">
        <w:rPr>
          <w:rStyle w:val="FootnoteReference"/>
        </w:rPr>
        <w:footnoteReference w:id="75"/>
      </w:r>
      <w:r w:rsidRPr="00F332A2">
        <w:t xml:space="preserve">  The large amount of the program budget left unspent at the end of the program year is due to the late distribution of LIHEAP funding in that program year, which took precedence over distribution of LIRAP grants.  Unspent funds are typically carried over to be spent in the next program year.  Table 1 shows the relative funding levels of LIRAP since the program’s inception. </w:t>
      </w:r>
    </w:p>
    <w:p w14:paraId="75D39BED" w14:textId="0F2A9FFA" w:rsidR="002245A4" w:rsidRDefault="002245A4">
      <w:pPr>
        <w:tabs>
          <w:tab w:val="clear" w:pos="-1440"/>
        </w:tabs>
        <w:spacing w:after="200" w:line="276" w:lineRule="auto"/>
        <w:ind w:left="0" w:firstLine="0"/>
      </w:pPr>
    </w:p>
    <w:p w14:paraId="79A75406" w14:textId="77777777" w:rsidR="002245A4" w:rsidRPr="00D30BCB" w:rsidRDefault="002245A4" w:rsidP="002245A4">
      <w:pPr>
        <w:jc w:val="center"/>
        <w:rPr>
          <w:b/>
        </w:rPr>
      </w:pPr>
      <w:r w:rsidRPr="00D30BCB">
        <w:rPr>
          <w:b/>
        </w:rPr>
        <w:t>Table</w:t>
      </w:r>
      <w:r>
        <w:rPr>
          <w:b/>
        </w:rPr>
        <w:t xml:space="preserve"> </w:t>
      </w:r>
      <w:r w:rsidRPr="00D30BCB">
        <w:rPr>
          <w:b/>
        </w:rPr>
        <w:t xml:space="preserve">1. </w:t>
      </w:r>
      <w:r>
        <w:rPr>
          <w:b/>
        </w:rPr>
        <w:t xml:space="preserve"> </w:t>
      </w:r>
      <w:r w:rsidRPr="00D30BCB">
        <w:rPr>
          <w:b/>
        </w:rPr>
        <w:t>LIRAP Revenue Relative to Total Revenue, 2001-2011</w:t>
      </w:r>
    </w:p>
    <w:tbl>
      <w:tblPr>
        <w:tblStyle w:val="TableGrid"/>
        <w:tblW w:w="9144" w:type="dxa"/>
        <w:tblInd w:w="720" w:type="dxa"/>
        <w:tblLook w:val="04A0" w:firstRow="1" w:lastRow="0" w:firstColumn="1" w:lastColumn="0" w:noHBand="0" w:noVBand="1"/>
      </w:tblPr>
      <w:tblGrid>
        <w:gridCol w:w="2270"/>
        <w:gridCol w:w="2294"/>
        <w:gridCol w:w="2316"/>
        <w:gridCol w:w="2264"/>
      </w:tblGrid>
      <w:tr w:rsidR="002245A4" w:rsidRPr="00F332A2" w14:paraId="1043D6F5" w14:textId="77777777" w:rsidTr="00673CE3">
        <w:tc>
          <w:tcPr>
            <w:tcW w:w="2270" w:type="dxa"/>
            <w:vAlign w:val="bottom"/>
          </w:tcPr>
          <w:p w14:paraId="234F7014" w14:textId="77777777" w:rsidR="002245A4" w:rsidRPr="00F332A2" w:rsidRDefault="002245A4" w:rsidP="00375618">
            <w:pPr>
              <w:spacing w:line="240" w:lineRule="auto"/>
              <w:jc w:val="center"/>
            </w:pPr>
            <w:r w:rsidRPr="00F332A2">
              <w:t xml:space="preserve">Program Year </w:t>
            </w:r>
          </w:p>
        </w:tc>
        <w:tc>
          <w:tcPr>
            <w:tcW w:w="2294" w:type="dxa"/>
            <w:vAlign w:val="bottom"/>
          </w:tcPr>
          <w:p w14:paraId="398B7985" w14:textId="77777777" w:rsidR="002245A4" w:rsidRPr="00F332A2" w:rsidRDefault="002245A4" w:rsidP="00375618">
            <w:pPr>
              <w:spacing w:line="240" w:lineRule="auto"/>
              <w:jc w:val="center"/>
            </w:pPr>
            <w:r w:rsidRPr="00F332A2">
              <w:t>LIRAP Revenue</w:t>
            </w:r>
            <w:r w:rsidRPr="00F332A2">
              <w:rPr>
                <w:rStyle w:val="FootnoteReference"/>
              </w:rPr>
              <w:footnoteReference w:id="76"/>
            </w:r>
          </w:p>
        </w:tc>
        <w:tc>
          <w:tcPr>
            <w:tcW w:w="2316" w:type="dxa"/>
            <w:vAlign w:val="bottom"/>
          </w:tcPr>
          <w:p w14:paraId="36C1BD62" w14:textId="77777777" w:rsidR="002245A4" w:rsidRPr="00F332A2" w:rsidRDefault="002245A4" w:rsidP="00375618">
            <w:pPr>
              <w:spacing w:line="240" w:lineRule="auto"/>
              <w:jc w:val="center"/>
            </w:pPr>
            <w:r w:rsidRPr="00F332A2">
              <w:t>Gas &amp; electric revenue</w:t>
            </w:r>
            <w:r w:rsidRPr="00F332A2">
              <w:rPr>
                <w:rStyle w:val="FootnoteReference"/>
              </w:rPr>
              <w:footnoteReference w:id="77"/>
            </w:r>
            <w:r w:rsidRPr="00D43732">
              <w:rPr>
                <w:vertAlign w:val="superscript"/>
              </w:rPr>
              <w:t>,</w:t>
            </w:r>
            <w:r w:rsidRPr="00F332A2">
              <w:rPr>
                <w:rStyle w:val="FootnoteReference"/>
              </w:rPr>
              <w:footnoteReference w:id="78"/>
            </w:r>
          </w:p>
        </w:tc>
        <w:tc>
          <w:tcPr>
            <w:tcW w:w="2264" w:type="dxa"/>
            <w:vAlign w:val="bottom"/>
          </w:tcPr>
          <w:p w14:paraId="418B18D1" w14:textId="77777777" w:rsidR="002245A4" w:rsidRPr="00F332A2" w:rsidRDefault="002245A4" w:rsidP="00375618">
            <w:pPr>
              <w:spacing w:line="240" w:lineRule="auto"/>
              <w:jc w:val="center"/>
            </w:pPr>
            <w:r w:rsidRPr="00F332A2">
              <w:t>Percent of revenue spent on LIRAP</w:t>
            </w:r>
          </w:p>
        </w:tc>
      </w:tr>
      <w:tr w:rsidR="002245A4" w:rsidRPr="00F332A2" w14:paraId="7E631074" w14:textId="77777777" w:rsidTr="00375618">
        <w:trPr>
          <w:trHeight w:val="449"/>
        </w:trPr>
        <w:tc>
          <w:tcPr>
            <w:tcW w:w="2270" w:type="dxa"/>
            <w:vAlign w:val="bottom"/>
          </w:tcPr>
          <w:p w14:paraId="159A1DFE" w14:textId="77777777" w:rsidR="002245A4" w:rsidRPr="00F332A2" w:rsidRDefault="002245A4" w:rsidP="00673CE3">
            <w:pPr>
              <w:jc w:val="center"/>
            </w:pPr>
            <w:r w:rsidRPr="00F332A2">
              <w:t>2002</w:t>
            </w:r>
          </w:p>
        </w:tc>
        <w:tc>
          <w:tcPr>
            <w:tcW w:w="2294" w:type="dxa"/>
            <w:vAlign w:val="bottom"/>
          </w:tcPr>
          <w:p w14:paraId="547D5A76" w14:textId="77777777" w:rsidR="002245A4" w:rsidRPr="00F332A2" w:rsidRDefault="002245A4" w:rsidP="00673CE3">
            <w:pPr>
              <w:jc w:val="center"/>
            </w:pPr>
            <w:r w:rsidRPr="00F332A2">
              <w:t>$2,731,616</w:t>
            </w:r>
          </w:p>
        </w:tc>
        <w:tc>
          <w:tcPr>
            <w:tcW w:w="2316" w:type="dxa"/>
            <w:vAlign w:val="bottom"/>
          </w:tcPr>
          <w:p w14:paraId="68043BC1" w14:textId="77777777" w:rsidR="002245A4" w:rsidRPr="00F332A2" w:rsidRDefault="002245A4" w:rsidP="00673CE3">
            <w:pPr>
              <w:jc w:val="center"/>
            </w:pPr>
            <w:r w:rsidRPr="00F332A2">
              <w:t>$457,758,970</w:t>
            </w:r>
          </w:p>
        </w:tc>
        <w:tc>
          <w:tcPr>
            <w:tcW w:w="2264" w:type="dxa"/>
            <w:vAlign w:val="bottom"/>
          </w:tcPr>
          <w:p w14:paraId="0575419E" w14:textId="77777777" w:rsidR="002245A4" w:rsidRPr="00F332A2" w:rsidRDefault="002245A4" w:rsidP="00673CE3">
            <w:pPr>
              <w:jc w:val="center"/>
            </w:pPr>
            <w:r w:rsidRPr="00F332A2">
              <w:t>0.52%</w:t>
            </w:r>
          </w:p>
        </w:tc>
      </w:tr>
      <w:tr w:rsidR="002245A4" w:rsidRPr="00F332A2" w14:paraId="295AEE96" w14:textId="77777777" w:rsidTr="00375618">
        <w:trPr>
          <w:trHeight w:val="144"/>
        </w:trPr>
        <w:tc>
          <w:tcPr>
            <w:tcW w:w="2270" w:type="dxa"/>
            <w:vAlign w:val="bottom"/>
          </w:tcPr>
          <w:p w14:paraId="397B2BFA" w14:textId="77777777" w:rsidR="002245A4" w:rsidRPr="00F332A2" w:rsidRDefault="002245A4" w:rsidP="00673CE3">
            <w:pPr>
              <w:jc w:val="center"/>
            </w:pPr>
            <w:r w:rsidRPr="00F332A2">
              <w:t>2003</w:t>
            </w:r>
          </w:p>
        </w:tc>
        <w:tc>
          <w:tcPr>
            <w:tcW w:w="2294" w:type="dxa"/>
            <w:vAlign w:val="bottom"/>
          </w:tcPr>
          <w:p w14:paraId="4552D6C8" w14:textId="77777777" w:rsidR="002245A4" w:rsidRPr="00F332A2" w:rsidRDefault="002245A4" w:rsidP="00673CE3">
            <w:pPr>
              <w:jc w:val="center"/>
            </w:pPr>
            <w:r w:rsidRPr="00F332A2">
              <w:t>$2,678,068</w:t>
            </w:r>
          </w:p>
        </w:tc>
        <w:tc>
          <w:tcPr>
            <w:tcW w:w="2316" w:type="dxa"/>
            <w:vAlign w:val="bottom"/>
          </w:tcPr>
          <w:p w14:paraId="1606A301" w14:textId="77777777" w:rsidR="002245A4" w:rsidRPr="00F332A2" w:rsidRDefault="002245A4" w:rsidP="00673CE3">
            <w:pPr>
              <w:jc w:val="center"/>
            </w:pPr>
            <w:r w:rsidRPr="00F332A2">
              <w:t>$449,705,487</w:t>
            </w:r>
          </w:p>
        </w:tc>
        <w:tc>
          <w:tcPr>
            <w:tcW w:w="2264" w:type="dxa"/>
            <w:vAlign w:val="bottom"/>
          </w:tcPr>
          <w:p w14:paraId="17A829DE" w14:textId="77777777" w:rsidR="002245A4" w:rsidRPr="00F332A2" w:rsidRDefault="002245A4" w:rsidP="00673CE3">
            <w:pPr>
              <w:jc w:val="center"/>
            </w:pPr>
            <w:r w:rsidRPr="00F332A2">
              <w:t>0.60%</w:t>
            </w:r>
          </w:p>
        </w:tc>
      </w:tr>
      <w:tr w:rsidR="002245A4" w:rsidRPr="00F332A2" w14:paraId="31B110D5" w14:textId="77777777" w:rsidTr="00375618">
        <w:trPr>
          <w:trHeight w:val="144"/>
        </w:trPr>
        <w:tc>
          <w:tcPr>
            <w:tcW w:w="2270" w:type="dxa"/>
            <w:vAlign w:val="bottom"/>
          </w:tcPr>
          <w:p w14:paraId="207FA82B" w14:textId="77777777" w:rsidR="002245A4" w:rsidRPr="00F332A2" w:rsidRDefault="002245A4" w:rsidP="00673CE3">
            <w:pPr>
              <w:jc w:val="center"/>
            </w:pPr>
            <w:r w:rsidRPr="00F332A2">
              <w:t>2004</w:t>
            </w:r>
          </w:p>
        </w:tc>
        <w:tc>
          <w:tcPr>
            <w:tcW w:w="2294" w:type="dxa"/>
            <w:vAlign w:val="bottom"/>
          </w:tcPr>
          <w:p w14:paraId="5C632B86" w14:textId="77777777" w:rsidR="002245A4" w:rsidRPr="00F332A2" w:rsidRDefault="002245A4" w:rsidP="00673CE3">
            <w:pPr>
              <w:jc w:val="center"/>
            </w:pPr>
            <w:r w:rsidRPr="00F332A2">
              <w:t>$3,158,220</w:t>
            </w:r>
          </w:p>
        </w:tc>
        <w:tc>
          <w:tcPr>
            <w:tcW w:w="2316" w:type="dxa"/>
            <w:vAlign w:val="bottom"/>
          </w:tcPr>
          <w:p w14:paraId="63898C78" w14:textId="77777777" w:rsidR="002245A4" w:rsidRPr="00F332A2" w:rsidRDefault="002245A4" w:rsidP="00673CE3">
            <w:pPr>
              <w:jc w:val="center"/>
            </w:pPr>
            <w:r w:rsidRPr="00F332A2">
              <w:t>$466,054,767</w:t>
            </w:r>
          </w:p>
        </w:tc>
        <w:tc>
          <w:tcPr>
            <w:tcW w:w="2264" w:type="dxa"/>
            <w:vAlign w:val="bottom"/>
          </w:tcPr>
          <w:p w14:paraId="2EDEBACD" w14:textId="77777777" w:rsidR="002245A4" w:rsidRPr="00F332A2" w:rsidRDefault="002245A4" w:rsidP="00673CE3">
            <w:pPr>
              <w:jc w:val="center"/>
            </w:pPr>
            <w:r w:rsidRPr="00F332A2">
              <w:t>0.68%</w:t>
            </w:r>
          </w:p>
        </w:tc>
      </w:tr>
      <w:tr w:rsidR="002245A4" w:rsidRPr="00F332A2" w14:paraId="59CFC948" w14:textId="77777777" w:rsidTr="00375618">
        <w:trPr>
          <w:trHeight w:val="144"/>
        </w:trPr>
        <w:tc>
          <w:tcPr>
            <w:tcW w:w="2270" w:type="dxa"/>
            <w:vAlign w:val="bottom"/>
          </w:tcPr>
          <w:p w14:paraId="70DF845B" w14:textId="77777777" w:rsidR="002245A4" w:rsidRPr="00F332A2" w:rsidRDefault="002245A4" w:rsidP="00673CE3">
            <w:pPr>
              <w:jc w:val="center"/>
            </w:pPr>
            <w:r w:rsidRPr="00F332A2">
              <w:t>2005</w:t>
            </w:r>
          </w:p>
        </w:tc>
        <w:tc>
          <w:tcPr>
            <w:tcW w:w="2294" w:type="dxa"/>
            <w:vAlign w:val="bottom"/>
          </w:tcPr>
          <w:p w14:paraId="49E5941D" w14:textId="77777777" w:rsidR="002245A4" w:rsidRPr="00F332A2" w:rsidRDefault="002245A4" w:rsidP="00673CE3">
            <w:pPr>
              <w:jc w:val="center"/>
            </w:pPr>
            <w:r w:rsidRPr="00F332A2">
              <w:t>$3,039,672</w:t>
            </w:r>
          </w:p>
        </w:tc>
        <w:tc>
          <w:tcPr>
            <w:tcW w:w="2316" w:type="dxa"/>
            <w:vAlign w:val="bottom"/>
          </w:tcPr>
          <w:p w14:paraId="076FFC86" w14:textId="77777777" w:rsidR="002245A4" w:rsidRPr="00F332A2" w:rsidRDefault="002245A4" w:rsidP="00673CE3">
            <w:pPr>
              <w:jc w:val="center"/>
            </w:pPr>
            <w:r w:rsidRPr="00F332A2">
              <w:t>$502,198,862</w:t>
            </w:r>
          </w:p>
        </w:tc>
        <w:tc>
          <w:tcPr>
            <w:tcW w:w="2264" w:type="dxa"/>
            <w:vAlign w:val="bottom"/>
          </w:tcPr>
          <w:p w14:paraId="6E3747F1" w14:textId="77777777" w:rsidR="002245A4" w:rsidRPr="00F332A2" w:rsidRDefault="002245A4" w:rsidP="00673CE3">
            <w:pPr>
              <w:jc w:val="center"/>
            </w:pPr>
            <w:r w:rsidRPr="00F332A2">
              <w:t>0.61%</w:t>
            </w:r>
          </w:p>
        </w:tc>
      </w:tr>
      <w:tr w:rsidR="002245A4" w:rsidRPr="00F332A2" w14:paraId="24CD3E59" w14:textId="77777777" w:rsidTr="00375618">
        <w:trPr>
          <w:trHeight w:val="144"/>
        </w:trPr>
        <w:tc>
          <w:tcPr>
            <w:tcW w:w="2270" w:type="dxa"/>
            <w:vAlign w:val="bottom"/>
          </w:tcPr>
          <w:p w14:paraId="1369BC2E" w14:textId="77777777" w:rsidR="002245A4" w:rsidRPr="00F332A2" w:rsidRDefault="002245A4" w:rsidP="00673CE3">
            <w:pPr>
              <w:jc w:val="center"/>
            </w:pPr>
            <w:r w:rsidRPr="00F332A2">
              <w:t>2006</w:t>
            </w:r>
          </w:p>
        </w:tc>
        <w:tc>
          <w:tcPr>
            <w:tcW w:w="2294" w:type="dxa"/>
            <w:vAlign w:val="bottom"/>
          </w:tcPr>
          <w:p w14:paraId="5A64EF33" w14:textId="77777777" w:rsidR="002245A4" w:rsidRPr="00F332A2" w:rsidRDefault="002245A4" w:rsidP="00673CE3">
            <w:pPr>
              <w:jc w:val="center"/>
            </w:pPr>
            <w:r w:rsidRPr="00F332A2">
              <w:t>$3,157,635</w:t>
            </w:r>
          </w:p>
        </w:tc>
        <w:tc>
          <w:tcPr>
            <w:tcW w:w="2316" w:type="dxa"/>
            <w:vAlign w:val="bottom"/>
          </w:tcPr>
          <w:p w14:paraId="6D396419" w14:textId="77777777" w:rsidR="002245A4" w:rsidRPr="00F332A2" w:rsidRDefault="002245A4" w:rsidP="00673CE3">
            <w:pPr>
              <w:jc w:val="center"/>
            </w:pPr>
            <w:r w:rsidRPr="00F332A2">
              <w:t>$567,308,768</w:t>
            </w:r>
          </w:p>
        </w:tc>
        <w:tc>
          <w:tcPr>
            <w:tcW w:w="2264" w:type="dxa"/>
            <w:vAlign w:val="bottom"/>
          </w:tcPr>
          <w:p w14:paraId="4DC1F47D" w14:textId="77777777" w:rsidR="002245A4" w:rsidRPr="00F332A2" w:rsidRDefault="002245A4" w:rsidP="00673CE3">
            <w:pPr>
              <w:jc w:val="center"/>
            </w:pPr>
            <w:r w:rsidRPr="00F332A2">
              <w:t>0.56%</w:t>
            </w:r>
          </w:p>
        </w:tc>
      </w:tr>
      <w:tr w:rsidR="002245A4" w:rsidRPr="00F332A2" w14:paraId="785804BA" w14:textId="77777777" w:rsidTr="00375618">
        <w:trPr>
          <w:trHeight w:val="144"/>
        </w:trPr>
        <w:tc>
          <w:tcPr>
            <w:tcW w:w="2270" w:type="dxa"/>
            <w:vAlign w:val="bottom"/>
          </w:tcPr>
          <w:p w14:paraId="70DD9520" w14:textId="77777777" w:rsidR="002245A4" w:rsidRPr="00F332A2" w:rsidRDefault="002245A4" w:rsidP="00673CE3">
            <w:pPr>
              <w:jc w:val="center"/>
            </w:pPr>
            <w:r w:rsidRPr="00F332A2">
              <w:t>2007</w:t>
            </w:r>
          </w:p>
        </w:tc>
        <w:tc>
          <w:tcPr>
            <w:tcW w:w="2294" w:type="dxa"/>
            <w:vAlign w:val="bottom"/>
          </w:tcPr>
          <w:p w14:paraId="7FAEE0AF" w14:textId="77777777" w:rsidR="002245A4" w:rsidRPr="00F332A2" w:rsidRDefault="002245A4" w:rsidP="00673CE3">
            <w:pPr>
              <w:jc w:val="center"/>
            </w:pPr>
            <w:r w:rsidRPr="00F332A2">
              <w:t>$3,846,394</w:t>
            </w:r>
          </w:p>
        </w:tc>
        <w:tc>
          <w:tcPr>
            <w:tcW w:w="2316" w:type="dxa"/>
            <w:vAlign w:val="bottom"/>
          </w:tcPr>
          <w:p w14:paraId="72EEA7B6" w14:textId="77777777" w:rsidR="002245A4" w:rsidRPr="00F332A2" w:rsidRDefault="002245A4" w:rsidP="00673CE3">
            <w:pPr>
              <w:jc w:val="center"/>
            </w:pPr>
            <w:r w:rsidRPr="00F332A2">
              <w:t>$672,855,318</w:t>
            </w:r>
          </w:p>
        </w:tc>
        <w:tc>
          <w:tcPr>
            <w:tcW w:w="2264" w:type="dxa"/>
            <w:vAlign w:val="bottom"/>
          </w:tcPr>
          <w:p w14:paraId="48A4E0FC" w14:textId="77777777" w:rsidR="002245A4" w:rsidRPr="00F332A2" w:rsidRDefault="002245A4" w:rsidP="00673CE3">
            <w:pPr>
              <w:jc w:val="center"/>
            </w:pPr>
            <w:r w:rsidRPr="00F332A2">
              <w:t>0.57%</w:t>
            </w:r>
          </w:p>
        </w:tc>
      </w:tr>
      <w:tr w:rsidR="002245A4" w:rsidRPr="00F332A2" w14:paraId="785B9A3A" w14:textId="77777777" w:rsidTr="00375618">
        <w:trPr>
          <w:trHeight w:val="144"/>
        </w:trPr>
        <w:tc>
          <w:tcPr>
            <w:tcW w:w="2270" w:type="dxa"/>
            <w:vAlign w:val="bottom"/>
          </w:tcPr>
          <w:p w14:paraId="63BA43F6" w14:textId="77777777" w:rsidR="002245A4" w:rsidRPr="00F332A2" w:rsidRDefault="002245A4" w:rsidP="00673CE3">
            <w:pPr>
              <w:jc w:val="center"/>
            </w:pPr>
            <w:r w:rsidRPr="00F332A2">
              <w:t>2008</w:t>
            </w:r>
          </w:p>
        </w:tc>
        <w:tc>
          <w:tcPr>
            <w:tcW w:w="2294" w:type="dxa"/>
            <w:vAlign w:val="bottom"/>
          </w:tcPr>
          <w:p w14:paraId="7BCE1FE3" w14:textId="77777777" w:rsidR="002245A4" w:rsidRPr="00F332A2" w:rsidRDefault="002245A4" w:rsidP="00673CE3">
            <w:pPr>
              <w:jc w:val="center"/>
            </w:pPr>
            <w:r w:rsidRPr="00F332A2">
              <w:t>$3,302,091</w:t>
            </w:r>
          </w:p>
        </w:tc>
        <w:tc>
          <w:tcPr>
            <w:tcW w:w="2316" w:type="dxa"/>
            <w:vAlign w:val="bottom"/>
          </w:tcPr>
          <w:p w14:paraId="2DAA3A68" w14:textId="77777777" w:rsidR="002245A4" w:rsidRPr="00F332A2" w:rsidRDefault="002245A4" w:rsidP="00673CE3">
            <w:pPr>
              <w:jc w:val="center"/>
            </w:pPr>
            <w:r w:rsidRPr="00F332A2">
              <w:t>$632,282,185</w:t>
            </w:r>
          </w:p>
        </w:tc>
        <w:tc>
          <w:tcPr>
            <w:tcW w:w="2264" w:type="dxa"/>
            <w:vAlign w:val="bottom"/>
          </w:tcPr>
          <w:p w14:paraId="768F73D5" w14:textId="77777777" w:rsidR="002245A4" w:rsidRPr="00F332A2" w:rsidRDefault="002245A4" w:rsidP="00673CE3">
            <w:pPr>
              <w:jc w:val="center"/>
            </w:pPr>
            <w:r w:rsidRPr="00F332A2">
              <w:t>0.52%</w:t>
            </w:r>
          </w:p>
        </w:tc>
      </w:tr>
      <w:tr w:rsidR="002245A4" w:rsidRPr="00F332A2" w14:paraId="6CAD2D2F" w14:textId="77777777" w:rsidTr="00375618">
        <w:trPr>
          <w:trHeight w:val="144"/>
        </w:trPr>
        <w:tc>
          <w:tcPr>
            <w:tcW w:w="2270" w:type="dxa"/>
            <w:vAlign w:val="bottom"/>
          </w:tcPr>
          <w:p w14:paraId="6D3899FB" w14:textId="77777777" w:rsidR="002245A4" w:rsidRPr="00F332A2" w:rsidRDefault="002245A4" w:rsidP="00673CE3">
            <w:pPr>
              <w:jc w:val="center"/>
            </w:pPr>
            <w:r w:rsidRPr="00F332A2">
              <w:t>2009</w:t>
            </w:r>
          </w:p>
        </w:tc>
        <w:tc>
          <w:tcPr>
            <w:tcW w:w="2294" w:type="dxa"/>
            <w:vAlign w:val="bottom"/>
          </w:tcPr>
          <w:p w14:paraId="2F781637" w14:textId="77777777" w:rsidR="002245A4" w:rsidRPr="00F332A2" w:rsidRDefault="002245A4" w:rsidP="00673CE3">
            <w:pPr>
              <w:jc w:val="center"/>
            </w:pPr>
            <w:r w:rsidRPr="00F332A2">
              <w:t>$4,078,532</w:t>
            </w:r>
          </w:p>
        </w:tc>
        <w:tc>
          <w:tcPr>
            <w:tcW w:w="2316" w:type="dxa"/>
            <w:vAlign w:val="bottom"/>
          </w:tcPr>
          <w:p w14:paraId="2CF90257" w14:textId="77777777" w:rsidR="002245A4" w:rsidRPr="00F332A2" w:rsidRDefault="002245A4" w:rsidP="00673CE3">
            <w:pPr>
              <w:jc w:val="center"/>
            </w:pPr>
            <w:r w:rsidRPr="00F332A2">
              <w:t>$652,499,763</w:t>
            </w:r>
          </w:p>
        </w:tc>
        <w:tc>
          <w:tcPr>
            <w:tcW w:w="2264" w:type="dxa"/>
            <w:vAlign w:val="bottom"/>
          </w:tcPr>
          <w:p w14:paraId="67DB8C95" w14:textId="77777777" w:rsidR="002245A4" w:rsidRPr="00F332A2" w:rsidRDefault="002245A4" w:rsidP="00673CE3">
            <w:pPr>
              <w:jc w:val="center"/>
            </w:pPr>
            <w:r w:rsidRPr="00F332A2">
              <w:t>0.63%</w:t>
            </w:r>
          </w:p>
        </w:tc>
      </w:tr>
      <w:tr w:rsidR="002245A4" w:rsidRPr="00F332A2" w14:paraId="372F25A0" w14:textId="77777777" w:rsidTr="00375618">
        <w:trPr>
          <w:trHeight w:val="144"/>
        </w:trPr>
        <w:tc>
          <w:tcPr>
            <w:tcW w:w="2270" w:type="dxa"/>
            <w:vAlign w:val="bottom"/>
          </w:tcPr>
          <w:p w14:paraId="4AAB43FB" w14:textId="77777777" w:rsidR="002245A4" w:rsidRPr="00F332A2" w:rsidRDefault="002245A4" w:rsidP="00673CE3">
            <w:pPr>
              <w:jc w:val="center"/>
            </w:pPr>
            <w:r w:rsidRPr="00F332A2">
              <w:t>2010</w:t>
            </w:r>
          </w:p>
        </w:tc>
        <w:tc>
          <w:tcPr>
            <w:tcW w:w="2294" w:type="dxa"/>
            <w:vAlign w:val="bottom"/>
          </w:tcPr>
          <w:p w14:paraId="275BE135" w14:textId="77777777" w:rsidR="002245A4" w:rsidRPr="00F332A2" w:rsidRDefault="002245A4" w:rsidP="00673CE3">
            <w:pPr>
              <w:jc w:val="center"/>
            </w:pPr>
            <w:r w:rsidRPr="00F332A2">
              <w:t>$4,220,837</w:t>
            </w:r>
          </w:p>
        </w:tc>
        <w:tc>
          <w:tcPr>
            <w:tcW w:w="2316" w:type="dxa"/>
            <w:vAlign w:val="bottom"/>
          </w:tcPr>
          <w:p w14:paraId="0ADB6CBF" w14:textId="77777777" w:rsidR="002245A4" w:rsidRPr="00F332A2" w:rsidRDefault="002245A4" w:rsidP="00673CE3">
            <w:pPr>
              <w:jc w:val="center"/>
            </w:pPr>
            <w:r w:rsidRPr="00F332A2">
              <w:t>$569,508,215</w:t>
            </w:r>
          </w:p>
        </w:tc>
        <w:tc>
          <w:tcPr>
            <w:tcW w:w="2264" w:type="dxa"/>
            <w:vAlign w:val="bottom"/>
          </w:tcPr>
          <w:p w14:paraId="1EE7A199" w14:textId="77777777" w:rsidR="002245A4" w:rsidRPr="00F332A2" w:rsidRDefault="002245A4" w:rsidP="00673CE3">
            <w:pPr>
              <w:jc w:val="center"/>
            </w:pPr>
            <w:r w:rsidRPr="00F332A2">
              <w:t>0.74%</w:t>
            </w:r>
          </w:p>
        </w:tc>
      </w:tr>
      <w:tr w:rsidR="002245A4" w:rsidRPr="00F332A2" w14:paraId="5B983271" w14:textId="77777777" w:rsidTr="00375618">
        <w:trPr>
          <w:trHeight w:val="144"/>
        </w:trPr>
        <w:tc>
          <w:tcPr>
            <w:tcW w:w="2270" w:type="dxa"/>
            <w:vAlign w:val="bottom"/>
          </w:tcPr>
          <w:p w14:paraId="26C34A10" w14:textId="77777777" w:rsidR="002245A4" w:rsidRPr="00F332A2" w:rsidRDefault="002245A4" w:rsidP="00673CE3">
            <w:pPr>
              <w:jc w:val="center"/>
            </w:pPr>
            <w:r w:rsidRPr="00F332A2">
              <w:t>2011</w:t>
            </w:r>
          </w:p>
        </w:tc>
        <w:tc>
          <w:tcPr>
            <w:tcW w:w="2294" w:type="dxa"/>
            <w:vAlign w:val="bottom"/>
          </w:tcPr>
          <w:p w14:paraId="2CFD009C" w14:textId="77777777" w:rsidR="002245A4" w:rsidRPr="00F332A2" w:rsidRDefault="002245A4" w:rsidP="00673CE3">
            <w:pPr>
              <w:jc w:val="center"/>
            </w:pPr>
            <w:r w:rsidRPr="00F332A2">
              <w:t>$4,701,900</w:t>
            </w:r>
          </w:p>
        </w:tc>
        <w:tc>
          <w:tcPr>
            <w:tcW w:w="2316" w:type="dxa"/>
            <w:vAlign w:val="bottom"/>
          </w:tcPr>
          <w:p w14:paraId="010D2E60" w14:textId="77777777" w:rsidR="002245A4" w:rsidRPr="00F332A2" w:rsidRDefault="002245A4" w:rsidP="00673CE3">
            <w:pPr>
              <w:jc w:val="center"/>
            </w:pPr>
            <w:r w:rsidRPr="00F332A2">
              <w:t>$628,593,123</w:t>
            </w:r>
          </w:p>
        </w:tc>
        <w:tc>
          <w:tcPr>
            <w:tcW w:w="2264" w:type="dxa"/>
            <w:vAlign w:val="bottom"/>
          </w:tcPr>
          <w:p w14:paraId="71B8DA36" w14:textId="77777777" w:rsidR="002245A4" w:rsidRPr="00F332A2" w:rsidRDefault="002245A4" w:rsidP="00673CE3">
            <w:pPr>
              <w:jc w:val="center"/>
            </w:pPr>
            <w:r w:rsidRPr="00F332A2">
              <w:t>0.75%</w:t>
            </w:r>
          </w:p>
        </w:tc>
      </w:tr>
    </w:tbl>
    <w:p w14:paraId="78D402EC" w14:textId="77777777" w:rsidR="002245A4" w:rsidRPr="00F332A2" w:rsidRDefault="002245A4" w:rsidP="002245A4"/>
    <w:p w14:paraId="78810AD2" w14:textId="77777777" w:rsidR="002245A4" w:rsidRDefault="002245A4" w:rsidP="002245A4">
      <w:pPr>
        <w:ind w:firstLine="720"/>
      </w:pPr>
      <w:r w:rsidRPr="00F332A2">
        <w:lastRenderedPageBreak/>
        <w:t xml:space="preserve">There are three types of grants funded through Avista’s LIRAP: LIRAP Heat, Senior Energy Outreach and LIRAP Share. In 2010-2011, the average LIRAP Heat grant amount was $454 per customer, the average LIRAP Share grant was $230, and the average Senior </w:t>
      </w:r>
      <w:r>
        <w:t>Energy O</w:t>
      </w:r>
      <w:r w:rsidRPr="00F332A2">
        <w:t>utreach grant was $254.</w:t>
      </w:r>
      <w:r w:rsidRPr="00F332A2">
        <w:rPr>
          <w:rStyle w:val="FootnoteReference"/>
        </w:rPr>
        <w:footnoteReference w:id="79"/>
      </w:r>
    </w:p>
    <w:p w14:paraId="6BCA2585" w14:textId="05B55A1F" w:rsidR="002245A4" w:rsidRDefault="002245A4" w:rsidP="002245A4">
      <w:pPr>
        <w:ind w:firstLine="720"/>
      </w:pPr>
      <w:r>
        <w:t>Table 1 also shows that LIRAP funding is approaching 1 percent.  As LIRAP funding approaches 1 percent of revenue, questions about the structure of the current program, the right amount of funding necessary to meet the needs, and how that funding should be managed to efficiently meet the needs of low-income customers need to be addressed.</w:t>
      </w:r>
    </w:p>
    <w:p w14:paraId="450E3FAD" w14:textId="77777777" w:rsidR="002245A4" w:rsidRDefault="002245A4" w:rsidP="002245A4">
      <w:pPr>
        <w:rPr>
          <w:b/>
        </w:rPr>
      </w:pPr>
    </w:p>
    <w:p w14:paraId="4EAD9A1A" w14:textId="240E9BFB" w:rsidR="002245A4" w:rsidRPr="00D30BCB" w:rsidRDefault="00E91DCF" w:rsidP="002245A4">
      <w:pPr>
        <w:pStyle w:val="Heading2"/>
        <w:keepNext w:val="0"/>
        <w:numPr>
          <w:ilvl w:val="0"/>
          <w:numId w:val="0"/>
        </w:numPr>
        <w:ind w:left="810"/>
      </w:pPr>
      <w:bookmarkStart w:id="25" w:name="_Toc335731531"/>
      <w:r>
        <w:t>C</w:t>
      </w:r>
      <w:r w:rsidR="002245A4">
        <w:t>.</w:t>
      </w:r>
      <w:r w:rsidR="002245A4">
        <w:tab/>
        <w:t>The Commission’s Low-income Statute</w:t>
      </w:r>
      <w:bookmarkEnd w:id="25"/>
    </w:p>
    <w:p w14:paraId="74FDB182" w14:textId="77777777" w:rsidR="002245A4" w:rsidRDefault="002245A4" w:rsidP="002245A4">
      <w:pPr>
        <w:rPr>
          <w:b/>
        </w:rPr>
      </w:pPr>
    </w:p>
    <w:p w14:paraId="438FAECE" w14:textId="2764913F" w:rsidR="002245A4" w:rsidRPr="000017F4" w:rsidRDefault="002245A4" w:rsidP="002245A4">
      <w:pPr>
        <w:pStyle w:val="Heading3"/>
      </w:pPr>
      <w:r w:rsidRPr="000017F4">
        <w:t>Q.</w:t>
      </w:r>
      <w:r w:rsidRPr="000017F4">
        <w:tab/>
      </w:r>
      <w:r>
        <w:t>Please identify the Commission’s low-income statute.</w:t>
      </w:r>
    </w:p>
    <w:p w14:paraId="7A31E1EF" w14:textId="77777777" w:rsidR="002245A4" w:rsidRPr="000017F4" w:rsidRDefault="002245A4" w:rsidP="002245A4">
      <w:pPr>
        <w:pStyle w:val="NoSpacing"/>
        <w:spacing w:line="480" w:lineRule="auto"/>
        <w:ind w:left="720" w:hanging="720"/>
        <w:rPr>
          <w:rFonts w:ascii="Times New Roman" w:hAnsi="Times New Roman" w:cs="Times New Roman"/>
          <w:sz w:val="24"/>
          <w:szCs w:val="24"/>
        </w:rPr>
      </w:pPr>
      <w:r w:rsidRPr="000017F4">
        <w:rPr>
          <w:rFonts w:ascii="Times New Roman" w:hAnsi="Times New Roman" w:cs="Times New Roman"/>
          <w:sz w:val="24"/>
          <w:szCs w:val="24"/>
        </w:rPr>
        <w:t xml:space="preserve">A. </w:t>
      </w:r>
      <w:r w:rsidRPr="000017F4">
        <w:rPr>
          <w:rFonts w:ascii="Times New Roman" w:hAnsi="Times New Roman" w:cs="Times New Roman"/>
          <w:sz w:val="24"/>
          <w:szCs w:val="24"/>
        </w:rPr>
        <w:tab/>
      </w:r>
      <w:r>
        <w:rPr>
          <w:rFonts w:ascii="Times New Roman" w:hAnsi="Times New Roman" w:cs="Times New Roman"/>
          <w:sz w:val="24"/>
          <w:szCs w:val="24"/>
        </w:rPr>
        <w:t>The</w:t>
      </w:r>
      <w:r w:rsidRPr="000017F4">
        <w:rPr>
          <w:rFonts w:ascii="Times New Roman" w:hAnsi="Times New Roman" w:cs="Times New Roman"/>
          <w:sz w:val="24"/>
          <w:szCs w:val="24"/>
        </w:rPr>
        <w:t xml:space="preserve"> Commission</w:t>
      </w:r>
      <w:r>
        <w:rPr>
          <w:rFonts w:ascii="Times New Roman" w:hAnsi="Times New Roman" w:cs="Times New Roman"/>
          <w:sz w:val="24"/>
          <w:szCs w:val="24"/>
        </w:rPr>
        <w:t xml:space="preserve">’s authority regarding low-income programs is set forth in </w:t>
      </w:r>
      <w:r w:rsidRPr="000017F4">
        <w:rPr>
          <w:rFonts w:ascii="Times New Roman" w:hAnsi="Times New Roman" w:cs="Times New Roman"/>
          <w:sz w:val="24"/>
          <w:szCs w:val="24"/>
        </w:rPr>
        <w:t>RCW 80.28.068, which was enacted in 1999, and states:</w:t>
      </w:r>
    </w:p>
    <w:p w14:paraId="66B58A81" w14:textId="77777777" w:rsidR="002245A4" w:rsidRPr="000017F4" w:rsidRDefault="002245A4" w:rsidP="002245A4">
      <w:pPr>
        <w:pStyle w:val="NoSpacing"/>
        <w:ind w:left="1440"/>
        <w:rPr>
          <w:rFonts w:ascii="Times New Roman" w:hAnsi="Times New Roman" w:cs="Times New Roman"/>
          <w:sz w:val="24"/>
          <w:szCs w:val="24"/>
        </w:rPr>
      </w:pPr>
      <w:r w:rsidRPr="000017F4">
        <w:rPr>
          <w:rFonts w:ascii="Times New Roman" w:hAnsi="Times New Roman" w:cs="Times New Roman"/>
          <w:sz w:val="24"/>
          <w:szCs w:val="24"/>
        </w:rPr>
        <w:t>Upon request by an electrical or gas company, or other party to a general rate case hearing,</w:t>
      </w:r>
      <w:r w:rsidRPr="00B123A1">
        <w:rPr>
          <w:rFonts w:ascii="Times New Roman" w:hAnsi="Times New Roman" w:cs="Times New Roman"/>
          <w:sz w:val="24"/>
          <w:szCs w:val="24"/>
          <w:vertAlign w:val="superscript"/>
        </w:rPr>
        <w:t>[</w:t>
      </w:r>
      <w:r>
        <w:rPr>
          <w:rStyle w:val="FootnoteReference"/>
          <w:rFonts w:ascii="Times New Roman" w:hAnsi="Times New Roman" w:cs="Times New Roman"/>
          <w:sz w:val="24"/>
          <w:szCs w:val="24"/>
        </w:rPr>
        <w:footnoteReference w:id="80"/>
      </w:r>
      <w:r>
        <w:rPr>
          <w:rFonts w:ascii="Times New Roman" w:hAnsi="Times New Roman" w:cs="Times New Roman"/>
          <w:sz w:val="24"/>
          <w:szCs w:val="24"/>
          <w:vertAlign w:val="superscript"/>
        </w:rPr>
        <w:t>]</w:t>
      </w:r>
      <w:r w:rsidRPr="000017F4">
        <w:rPr>
          <w:rFonts w:ascii="Times New Roman" w:hAnsi="Times New Roman" w:cs="Times New Roman"/>
          <w:sz w:val="24"/>
          <w:szCs w:val="24"/>
        </w:rPr>
        <w:t xml:space="preserve"> the commission may approve rates, charges, services, and/or physical facilities at a discount for low-income senior customers and low-income customers. </w:t>
      </w:r>
      <w:r>
        <w:rPr>
          <w:rFonts w:ascii="Times New Roman" w:hAnsi="Times New Roman" w:cs="Times New Roman"/>
          <w:sz w:val="24"/>
          <w:szCs w:val="24"/>
        </w:rPr>
        <w:t xml:space="preserve"> </w:t>
      </w:r>
      <w:r w:rsidRPr="000017F4">
        <w:rPr>
          <w:rFonts w:ascii="Times New Roman" w:hAnsi="Times New Roman" w:cs="Times New Roman"/>
          <w:sz w:val="24"/>
          <w:szCs w:val="24"/>
        </w:rPr>
        <w:t xml:space="preserve">Expenses and lost revenues as a result of these discounts shall be included in the company's cost of service and recovered in rates to other customers. </w:t>
      </w:r>
    </w:p>
    <w:p w14:paraId="5D8F5A4B" w14:textId="77777777" w:rsidR="002245A4" w:rsidRDefault="002245A4" w:rsidP="002245A4">
      <w:pPr>
        <w:pStyle w:val="NoSpacing"/>
        <w:spacing w:line="480" w:lineRule="auto"/>
        <w:ind w:left="720" w:firstLine="720"/>
        <w:rPr>
          <w:rFonts w:ascii="Times New Roman" w:hAnsi="Times New Roman" w:cs="Times New Roman"/>
          <w:sz w:val="24"/>
          <w:szCs w:val="24"/>
        </w:rPr>
      </w:pPr>
    </w:p>
    <w:p w14:paraId="5F87CA82" w14:textId="77777777" w:rsidR="002245A4" w:rsidRDefault="002245A4" w:rsidP="002245A4">
      <w:pPr>
        <w:pStyle w:val="Heading3"/>
      </w:pPr>
      <w:r>
        <w:t>Q.</w:t>
      </w:r>
      <w:r>
        <w:tab/>
        <w:t>What issues does Staff wish to bring to the Commission’s attention in this docket regarding that statute?</w:t>
      </w:r>
    </w:p>
    <w:p w14:paraId="7770C034" w14:textId="77777777" w:rsidR="002245A4" w:rsidRPr="00F332A2" w:rsidRDefault="002245A4" w:rsidP="002245A4">
      <w:pPr>
        <w:pStyle w:val="NoSpacing"/>
        <w:spacing w:line="480" w:lineRule="auto"/>
        <w:ind w:left="720" w:hanging="720"/>
        <w:rPr>
          <w:rFonts w:ascii="Times New Roman" w:hAnsi="Times New Roman" w:cs="Times New Roman"/>
          <w:sz w:val="24"/>
          <w:szCs w:val="24"/>
        </w:rPr>
      </w:pPr>
      <w:r w:rsidRPr="00D30BCB">
        <w:rPr>
          <w:rFonts w:ascii="Times New Roman" w:hAnsi="Times New Roman" w:cs="Times New Roman"/>
          <w:sz w:val="24"/>
          <w:szCs w:val="24"/>
        </w:rPr>
        <w:lastRenderedPageBreak/>
        <w:t>A</w:t>
      </w:r>
      <w:r>
        <w:rPr>
          <w:rFonts w:ascii="Times New Roman" w:hAnsi="Times New Roman" w:cs="Times New Roman"/>
          <w:sz w:val="24"/>
          <w:szCs w:val="24"/>
        </w:rPr>
        <w:t>.</w:t>
      </w:r>
      <w:r>
        <w:rPr>
          <w:rFonts w:ascii="Times New Roman" w:hAnsi="Times New Roman" w:cs="Times New Roman"/>
          <w:sz w:val="24"/>
          <w:szCs w:val="24"/>
        </w:rPr>
        <w:tab/>
        <w:t>The above statute refers to “rate discounts” with the related costs and lost revenues include in the utility’s cost of service.  The LIRAP currently is a grant program, which effectively offers low-income customers service at a reduced rate.  Staff recommends the Commission approve a transition from the LIRAP to a rate discount program</w:t>
      </w:r>
      <w:r w:rsidRPr="00F332A2">
        <w:rPr>
          <w:rFonts w:ascii="Times New Roman" w:hAnsi="Times New Roman" w:cs="Times New Roman"/>
          <w:sz w:val="24"/>
          <w:szCs w:val="24"/>
        </w:rPr>
        <w:t>.</w:t>
      </w:r>
    </w:p>
    <w:p w14:paraId="3B8A8912" w14:textId="77777777" w:rsidR="002245A4" w:rsidRPr="00F332A2" w:rsidRDefault="002245A4" w:rsidP="002245A4">
      <w:pPr>
        <w:pStyle w:val="NoSpacing"/>
        <w:spacing w:line="480" w:lineRule="auto"/>
        <w:ind w:left="720" w:hanging="720"/>
        <w:rPr>
          <w:rFonts w:ascii="Times New Roman" w:hAnsi="Times New Roman" w:cs="Times New Roman"/>
          <w:sz w:val="24"/>
          <w:szCs w:val="24"/>
        </w:rPr>
      </w:pPr>
    </w:p>
    <w:p w14:paraId="4CB94CE2" w14:textId="14C5EA65" w:rsidR="002245A4" w:rsidRPr="00D30BCB" w:rsidRDefault="00E91DCF" w:rsidP="002245A4">
      <w:pPr>
        <w:pStyle w:val="Heading2"/>
        <w:keepNext w:val="0"/>
        <w:numPr>
          <w:ilvl w:val="0"/>
          <w:numId w:val="0"/>
        </w:numPr>
        <w:ind w:left="810"/>
      </w:pPr>
      <w:bookmarkStart w:id="26" w:name="_Toc335731532"/>
      <w:r>
        <w:t>D</w:t>
      </w:r>
      <w:r w:rsidR="002245A4">
        <w:t>.</w:t>
      </w:r>
      <w:r w:rsidR="002245A4">
        <w:tab/>
      </w:r>
      <w:r w:rsidR="002245A4" w:rsidRPr="008932E3">
        <w:t>Advantages of a Discount Rate Program</w:t>
      </w:r>
      <w:bookmarkEnd w:id="26"/>
    </w:p>
    <w:p w14:paraId="7BC74FAB" w14:textId="77777777" w:rsidR="002245A4" w:rsidRPr="00F332A2" w:rsidRDefault="002245A4" w:rsidP="002245A4"/>
    <w:p w14:paraId="28483D99" w14:textId="77777777" w:rsidR="002245A4" w:rsidRPr="00F332A2" w:rsidRDefault="002245A4" w:rsidP="002245A4">
      <w:pPr>
        <w:pStyle w:val="Heading3"/>
      </w:pPr>
      <w:r w:rsidRPr="00F332A2">
        <w:t>Q.</w:t>
      </w:r>
      <w:r w:rsidRPr="00F332A2">
        <w:tab/>
      </w:r>
      <w:r>
        <w:t>Are</w:t>
      </w:r>
      <w:r w:rsidRPr="00F332A2">
        <w:t xml:space="preserve"> the</w:t>
      </w:r>
      <w:r>
        <w:t>re</w:t>
      </w:r>
      <w:r w:rsidRPr="00F332A2">
        <w:t xml:space="preserve"> advantages </w:t>
      </w:r>
      <w:r>
        <w:t>to</w:t>
      </w:r>
      <w:r w:rsidRPr="00F332A2">
        <w:t xml:space="preserve"> a discount rate program over a grant program?</w:t>
      </w:r>
    </w:p>
    <w:p w14:paraId="766FCE67" w14:textId="77777777" w:rsidR="002245A4" w:rsidRDefault="002245A4" w:rsidP="002245A4">
      <w:r w:rsidRPr="00F332A2">
        <w:t>A.</w:t>
      </w:r>
      <w:r w:rsidRPr="00F332A2">
        <w:tab/>
      </w:r>
      <w:r>
        <w:t xml:space="preserve">Yes.  </w:t>
      </w:r>
      <w:r w:rsidRPr="00F332A2">
        <w:t xml:space="preserve">A </w:t>
      </w:r>
      <w:r>
        <w:t>rate discount program could serve more eligible low-income customers, and would not be implemented on a first come, first served basis.</w:t>
      </w:r>
    </w:p>
    <w:p w14:paraId="3A4E2B9F" w14:textId="77777777" w:rsidR="002245A4" w:rsidRDefault="002245A4" w:rsidP="002245A4">
      <w:r>
        <w:tab/>
      </w:r>
      <w:r>
        <w:tab/>
        <w:t xml:space="preserve">Also, a </w:t>
      </w:r>
      <w:r w:rsidRPr="00F332A2">
        <w:t xml:space="preserve">grant-based program provides a one-time lump sum </w:t>
      </w:r>
      <w:r>
        <w:t xml:space="preserve">dollar amount </w:t>
      </w:r>
      <w:r w:rsidRPr="00F332A2">
        <w:t>to apply toward a customer’s energy bill, whereas a discounted monthly energy rate can smooth out eligible customers’ monthly energy expenditures, thereby providing greater predictability throughout the year for bill payment</w:t>
      </w:r>
      <w:r>
        <w:t xml:space="preserve"> and reducing arrearages</w:t>
      </w:r>
      <w:r w:rsidRPr="00F332A2">
        <w:t xml:space="preserve">.  </w:t>
      </w:r>
    </w:p>
    <w:p w14:paraId="63EC434F" w14:textId="77777777" w:rsidR="002245A4" w:rsidRPr="00F332A2" w:rsidRDefault="002245A4" w:rsidP="002245A4">
      <w:r>
        <w:tab/>
      </w:r>
      <w:r>
        <w:tab/>
      </w:r>
      <w:r w:rsidRPr="00F332A2">
        <w:t xml:space="preserve">A discount rate program can also include tiered rates based on income to meet varied customer needs without requiring an individual benefit calculation, which should reduce the administrative burden. </w:t>
      </w:r>
    </w:p>
    <w:p w14:paraId="79DF11A6" w14:textId="77777777" w:rsidR="002245A4" w:rsidRPr="00F332A2" w:rsidRDefault="002245A4" w:rsidP="002245A4">
      <w:pPr>
        <w:ind w:firstLine="720"/>
      </w:pPr>
      <w:r w:rsidRPr="00F332A2">
        <w:t>A discounted rate would also bring the program closer in line with the language of the statute, which allows the Commission to “approve rates…at a discount for low-income senior customers and low-income customers.”</w:t>
      </w:r>
      <w:r w:rsidRPr="00F332A2">
        <w:rPr>
          <w:rStyle w:val="FootnoteReference"/>
        </w:rPr>
        <w:footnoteReference w:id="81"/>
      </w:r>
      <w:r w:rsidRPr="00F332A2">
        <w:t xml:space="preserve">  A discount </w:t>
      </w:r>
      <w:r w:rsidRPr="00F332A2">
        <w:lastRenderedPageBreak/>
        <w:t xml:space="preserve">rate </w:t>
      </w:r>
      <w:r>
        <w:t xml:space="preserve">would </w:t>
      </w:r>
      <w:r w:rsidRPr="00F332A2">
        <w:t xml:space="preserve">be reviewed in a general rate case and included in the </w:t>
      </w:r>
      <w:r>
        <w:t xml:space="preserve">utility’s </w:t>
      </w:r>
      <w:r w:rsidRPr="00F332A2">
        <w:t>cost of service.</w:t>
      </w:r>
    </w:p>
    <w:p w14:paraId="7DB51958" w14:textId="77777777" w:rsidR="002245A4" w:rsidRPr="00F332A2" w:rsidRDefault="002245A4" w:rsidP="002245A4"/>
    <w:p w14:paraId="279A318B" w14:textId="77777777" w:rsidR="002245A4" w:rsidRPr="00F332A2" w:rsidRDefault="002245A4" w:rsidP="002245A4">
      <w:pPr>
        <w:pStyle w:val="Heading3"/>
      </w:pPr>
      <w:r w:rsidRPr="00F332A2">
        <w:t xml:space="preserve">Q. </w:t>
      </w:r>
      <w:r w:rsidRPr="00F332A2">
        <w:tab/>
        <w:t xml:space="preserve">Is there precedent for a discount rate </w:t>
      </w:r>
      <w:r>
        <w:t>low-income</w:t>
      </w:r>
      <w:r w:rsidRPr="00F332A2">
        <w:t xml:space="preserve"> program?</w:t>
      </w:r>
    </w:p>
    <w:p w14:paraId="616B5C9D" w14:textId="6660E29F" w:rsidR="002245A4" w:rsidRPr="00F332A2" w:rsidRDefault="002245A4" w:rsidP="002245A4">
      <w:r w:rsidRPr="00F332A2">
        <w:t>A.</w:t>
      </w:r>
      <w:r w:rsidRPr="00F332A2">
        <w:tab/>
        <w:t xml:space="preserve">Yes.  PacifiCorp’s </w:t>
      </w:r>
      <w:r>
        <w:t>Low-income</w:t>
      </w:r>
      <w:r w:rsidRPr="00F332A2">
        <w:t xml:space="preserve"> Bill Assistance (LIBA) program uses a discount rate.  The Commission approved this program in 2001,</w:t>
      </w:r>
      <w:r w:rsidRPr="00F332A2">
        <w:rPr>
          <w:rStyle w:val="FootnoteReference"/>
        </w:rPr>
        <w:footnoteReference w:id="82"/>
      </w:r>
      <w:r w:rsidRPr="00F332A2">
        <w:t xml:space="preserve"> and approved a five year plan for the program when it approved a settlement in Docket UE-111190.</w:t>
      </w:r>
      <w:r w:rsidRPr="00F332A2">
        <w:rPr>
          <w:rStyle w:val="FootnoteReference"/>
        </w:rPr>
        <w:footnoteReference w:id="83"/>
      </w:r>
      <w:r w:rsidRPr="00F332A2">
        <w:t xml:space="preserve">  </w:t>
      </w:r>
      <w:r>
        <w:t>In a 2007 study by a consultant, PacifiCorp’s program was found to reduce arrearages more effectively than grant programs.</w:t>
      </w:r>
      <w:r>
        <w:rPr>
          <w:rStyle w:val="FootnoteReference"/>
        </w:rPr>
        <w:footnoteReference w:id="84"/>
      </w:r>
    </w:p>
    <w:p w14:paraId="6ECCD8EF" w14:textId="77777777" w:rsidR="002245A4" w:rsidRPr="00F332A2" w:rsidRDefault="002245A4" w:rsidP="002245A4"/>
    <w:p w14:paraId="43AB4A3A" w14:textId="77777777" w:rsidR="002245A4" w:rsidRPr="00F332A2" w:rsidRDefault="002245A4" w:rsidP="002245A4">
      <w:pPr>
        <w:pStyle w:val="Heading3"/>
      </w:pPr>
      <w:r w:rsidRPr="00F332A2">
        <w:t>Q.</w:t>
      </w:r>
      <w:r w:rsidRPr="00F332A2">
        <w:tab/>
        <w:t xml:space="preserve">What are the advantages </w:t>
      </w:r>
      <w:r>
        <w:t>to</w:t>
      </w:r>
      <w:r w:rsidRPr="00F332A2">
        <w:t xml:space="preserve"> focusing on minimizing arrearages rather than reducing energy burden?</w:t>
      </w:r>
    </w:p>
    <w:p w14:paraId="1D4B6139" w14:textId="77777777" w:rsidR="002245A4" w:rsidRPr="00F332A2" w:rsidRDefault="002245A4" w:rsidP="002245A4">
      <w:r w:rsidRPr="00F332A2">
        <w:t>A.</w:t>
      </w:r>
      <w:r w:rsidRPr="00F332A2">
        <w:tab/>
        <w:t xml:space="preserve">Focusing on minimizing arrearages directly addresses one of the key goals of a </w:t>
      </w:r>
      <w:r>
        <w:t>low-income</w:t>
      </w:r>
      <w:r w:rsidRPr="00F332A2">
        <w:t xml:space="preserve"> assistance program: to keep </w:t>
      </w:r>
      <w:r>
        <w:t>low-income</w:t>
      </w:r>
      <w:r w:rsidRPr="00F332A2">
        <w:t xml:space="preserve"> customers connected to energy service.  Minimizing arrearages is a clearer metric to use for measuring the success of a program than reducing energy burden, because the company already tracks this information.  There is uncertainty about how much the energy burden should be reduced, and therefore how much benefit each customer should receive.  Energy burden is better suited to a grant program rather than to a rate discount program.</w:t>
      </w:r>
    </w:p>
    <w:p w14:paraId="6FDD8C7D" w14:textId="77777777" w:rsidR="002245A4" w:rsidRPr="00F332A2" w:rsidRDefault="002245A4" w:rsidP="002245A4"/>
    <w:p w14:paraId="21638DE0" w14:textId="77777777" w:rsidR="002245A4" w:rsidRPr="00F332A2" w:rsidRDefault="002245A4" w:rsidP="005E0131">
      <w:pPr>
        <w:pStyle w:val="Heading3"/>
        <w:keepNext/>
      </w:pPr>
      <w:r w:rsidRPr="00F332A2">
        <w:lastRenderedPageBreak/>
        <w:t>Q.</w:t>
      </w:r>
      <w:r w:rsidRPr="00F332A2">
        <w:tab/>
        <w:t>Are there impacts of moving to a discount rate program?</w:t>
      </w:r>
    </w:p>
    <w:p w14:paraId="03468499" w14:textId="77777777" w:rsidR="002245A4" w:rsidRPr="00F332A2" w:rsidRDefault="002245A4" w:rsidP="002245A4">
      <w:r w:rsidRPr="00F332A2">
        <w:t>A.</w:t>
      </w:r>
      <w:r w:rsidRPr="00F332A2">
        <w:tab/>
      </w:r>
      <w:r>
        <w:t xml:space="preserve">Yes.  </w:t>
      </w:r>
      <w:r w:rsidRPr="00F332A2">
        <w:t>A transition from the current grant</w:t>
      </w:r>
      <w:r>
        <w:t>-</w:t>
      </w:r>
      <w:r w:rsidRPr="00F332A2">
        <w:t xml:space="preserve">based program to a discount program will have impacts on Senior Energy Outreach and LIRAP Share, which are both currently funded through the same Public Purpose Rider Adjustment – Washington. </w:t>
      </w:r>
      <w:r>
        <w:t xml:space="preserve"> </w:t>
      </w:r>
      <w:r w:rsidRPr="00F332A2">
        <w:t xml:space="preserve">Staff recognizes the value of both of these programs and suggests that the </w:t>
      </w:r>
      <w:r>
        <w:t>C</w:t>
      </w:r>
      <w:r w:rsidRPr="00F332A2">
        <w:t xml:space="preserve">ompany shareholders fund </w:t>
      </w:r>
      <w:r>
        <w:t xml:space="preserve">Senior Energy Outreach and </w:t>
      </w:r>
      <w:r w:rsidRPr="00F332A2">
        <w:t xml:space="preserve">LIRAP Share. </w:t>
      </w:r>
    </w:p>
    <w:p w14:paraId="43599A3A" w14:textId="77777777" w:rsidR="002245A4" w:rsidRDefault="002245A4" w:rsidP="002245A4"/>
    <w:p w14:paraId="5F7E8933" w14:textId="406FB581" w:rsidR="002245A4" w:rsidRPr="00D30BCB" w:rsidRDefault="00E91DCF" w:rsidP="00E91DCF">
      <w:pPr>
        <w:pStyle w:val="Heading2"/>
        <w:keepNext w:val="0"/>
        <w:numPr>
          <w:ilvl w:val="0"/>
          <w:numId w:val="0"/>
        </w:numPr>
        <w:ind w:left="810"/>
      </w:pPr>
      <w:bookmarkStart w:id="27" w:name="_Toc335731533"/>
      <w:r>
        <w:t>E.</w:t>
      </w:r>
      <w:r>
        <w:tab/>
      </w:r>
      <w:r w:rsidR="002245A4">
        <w:t>Other Issues with LIRAP</w:t>
      </w:r>
      <w:bookmarkEnd w:id="27"/>
      <w:r w:rsidR="002245A4">
        <w:t xml:space="preserve"> </w:t>
      </w:r>
    </w:p>
    <w:p w14:paraId="14624A1D" w14:textId="77777777" w:rsidR="002245A4" w:rsidRPr="00F332A2" w:rsidRDefault="002245A4" w:rsidP="002245A4"/>
    <w:p w14:paraId="19C1F32F" w14:textId="77777777" w:rsidR="002245A4" w:rsidRPr="00F332A2" w:rsidRDefault="002245A4" w:rsidP="002245A4">
      <w:pPr>
        <w:pStyle w:val="Heading3"/>
      </w:pPr>
      <w:r w:rsidRPr="00F332A2">
        <w:t xml:space="preserve">Q. </w:t>
      </w:r>
      <w:r w:rsidRPr="00F332A2">
        <w:tab/>
      </w:r>
      <w:r>
        <w:t>Are there other issues with Avista’s LIRAP that Staff is concerned about?</w:t>
      </w:r>
    </w:p>
    <w:p w14:paraId="409B11D7" w14:textId="77777777" w:rsidR="002245A4" w:rsidRDefault="002245A4" w:rsidP="002245A4">
      <w:r w:rsidRPr="00F332A2">
        <w:t xml:space="preserve">A. </w:t>
      </w:r>
      <w:r w:rsidRPr="00F332A2">
        <w:tab/>
      </w:r>
      <w:r>
        <w:t xml:space="preserve">Yes.  As I described above, </w:t>
      </w:r>
      <w:r w:rsidRPr="00F332A2">
        <w:t xml:space="preserve">Avista’s LIRAP is not available to all eligible </w:t>
      </w:r>
      <w:r>
        <w:t>low-income</w:t>
      </w:r>
      <w:r w:rsidRPr="00F332A2">
        <w:t xml:space="preserve"> customers because the current funding level is capped, </w:t>
      </w:r>
      <w:r>
        <w:t xml:space="preserve">which limits </w:t>
      </w:r>
      <w:r w:rsidRPr="00F332A2">
        <w:t xml:space="preserve">the number of participants.  In effect, </w:t>
      </w:r>
      <w:r>
        <w:t xml:space="preserve">LIRAP benefits </w:t>
      </w:r>
      <w:r w:rsidRPr="00F332A2">
        <w:t>are distributed on a first-come, first-served basis</w:t>
      </w:r>
      <w:r>
        <w:t>, which presents a fairness issue.</w:t>
      </w:r>
      <w:r w:rsidRPr="00F332A2">
        <w:t xml:space="preserve">  </w:t>
      </w:r>
    </w:p>
    <w:p w14:paraId="18082EB0" w14:textId="77777777" w:rsidR="002245A4" w:rsidRPr="00F332A2" w:rsidRDefault="002245A4" w:rsidP="002245A4">
      <w:r>
        <w:tab/>
      </w:r>
      <w:r>
        <w:tab/>
      </w:r>
      <w:r w:rsidRPr="00F332A2">
        <w:t xml:space="preserve">Further, there is uncertainty about the level of benefit sufficient to keep customers connected to energy services and whether the LIRAP benefits accomplish this effectively and efficiently.  </w:t>
      </w:r>
    </w:p>
    <w:p w14:paraId="0CF3D7A7" w14:textId="77777777" w:rsidR="002245A4" w:rsidRPr="00F332A2" w:rsidRDefault="002245A4" w:rsidP="002245A4">
      <w:pPr>
        <w:ind w:firstLine="720"/>
      </w:pPr>
      <w:r>
        <w:t xml:space="preserve">Having said that, Staff acknowledges that </w:t>
      </w:r>
      <w:r w:rsidRPr="00F332A2">
        <w:t>Avista’s LIRAP has made significant progress in reducing energy burden.  In the last program year</w:t>
      </w:r>
      <w:r>
        <w:t>,</w:t>
      </w:r>
      <w:r w:rsidRPr="00F332A2">
        <w:t xml:space="preserve"> the energy burden was reduced by 47 percent for customers between 51 and 100 percent of the FPL and by 39 percent for customers between 100 and 125 percent of the FPL.</w:t>
      </w:r>
      <w:r w:rsidRPr="00F332A2">
        <w:rPr>
          <w:rStyle w:val="FootnoteReference"/>
        </w:rPr>
        <w:footnoteReference w:id="85"/>
      </w:r>
      <w:r w:rsidRPr="00F332A2">
        <w:t xml:space="preserve">  </w:t>
      </w:r>
      <w:r w:rsidRPr="00F332A2">
        <w:lastRenderedPageBreak/>
        <w:t xml:space="preserve">However, as mentioned above, reducing energy burden may not be the only appropriate goal for LIRAP.  </w:t>
      </w:r>
    </w:p>
    <w:p w14:paraId="01A4E09D" w14:textId="77777777" w:rsidR="002245A4" w:rsidRPr="00F332A2" w:rsidRDefault="002245A4" w:rsidP="002245A4"/>
    <w:p w14:paraId="794C8132" w14:textId="655D0365" w:rsidR="002245A4" w:rsidRPr="008932E3" w:rsidRDefault="00E91DCF" w:rsidP="00E91DCF">
      <w:pPr>
        <w:pStyle w:val="Heading2"/>
        <w:keepNext w:val="0"/>
        <w:numPr>
          <w:ilvl w:val="0"/>
          <w:numId w:val="0"/>
        </w:numPr>
        <w:ind w:left="810"/>
      </w:pPr>
      <w:bookmarkStart w:id="28" w:name="_Toc335731534"/>
      <w:r>
        <w:t>F.</w:t>
      </w:r>
      <w:r>
        <w:tab/>
      </w:r>
      <w:r w:rsidR="002245A4" w:rsidRPr="008932E3">
        <w:t xml:space="preserve">Two Year Certification </w:t>
      </w:r>
      <w:r w:rsidR="002245A4">
        <w:t>of Eligible Customers</w:t>
      </w:r>
      <w:bookmarkEnd w:id="28"/>
    </w:p>
    <w:p w14:paraId="070547DA" w14:textId="77777777" w:rsidR="002245A4" w:rsidRDefault="002245A4" w:rsidP="002245A4">
      <w:pPr>
        <w:rPr>
          <w:b/>
        </w:rPr>
      </w:pPr>
    </w:p>
    <w:p w14:paraId="70A2289F" w14:textId="77777777" w:rsidR="002245A4" w:rsidRDefault="002245A4" w:rsidP="002245A4">
      <w:pPr>
        <w:pStyle w:val="Heading3"/>
      </w:pPr>
      <w:r>
        <w:t>Q.</w:t>
      </w:r>
      <w:r>
        <w:tab/>
        <w:t>What is the issue regarding the frequency of certification of qualified customers?</w:t>
      </w:r>
    </w:p>
    <w:p w14:paraId="17FD3EF8" w14:textId="77777777" w:rsidR="002245A4" w:rsidRPr="00D30BCB" w:rsidRDefault="002245A4" w:rsidP="002245A4">
      <w:r>
        <w:t>A.</w:t>
      </w:r>
      <w:r>
        <w:tab/>
        <w:t>Certification of eligible customers is the main administrative cost of low-income programs.  This is true for both LIRAP and a discount program.</w:t>
      </w:r>
    </w:p>
    <w:p w14:paraId="69657673" w14:textId="77777777" w:rsidR="002245A4" w:rsidRDefault="002245A4" w:rsidP="002245A4">
      <w:pPr>
        <w:rPr>
          <w:b/>
        </w:rPr>
      </w:pPr>
    </w:p>
    <w:p w14:paraId="747E091E" w14:textId="77777777" w:rsidR="002245A4" w:rsidRPr="00F332A2" w:rsidRDefault="002245A4" w:rsidP="002245A4">
      <w:pPr>
        <w:pStyle w:val="Heading3"/>
      </w:pPr>
      <w:r w:rsidRPr="00F332A2">
        <w:t>Q.</w:t>
      </w:r>
      <w:r w:rsidRPr="00F332A2">
        <w:tab/>
        <w:t>What are the advantages of two-year certification of certain qualified customers?</w:t>
      </w:r>
    </w:p>
    <w:p w14:paraId="2230C0F5" w14:textId="77777777" w:rsidR="002245A4" w:rsidRPr="00F332A2" w:rsidRDefault="002245A4" w:rsidP="002245A4">
      <w:r w:rsidRPr="00F332A2">
        <w:t>A.</w:t>
      </w:r>
      <w:r w:rsidRPr="00F332A2">
        <w:tab/>
        <w:t>The bulk of the administrative costs for LIRAP come from certifying customer eligibility.  Currently</w:t>
      </w:r>
      <w:r>
        <w:t>,</w:t>
      </w:r>
      <w:r w:rsidRPr="00F332A2">
        <w:t xml:space="preserve"> the CAAs certify customer eligibility on an annual basis.  However, for certain customers, such as those on fixed incomes or Supplemental Security Income, it is unlikely their eligibility will change from one year to the next.  Certifying these customers’ eligibility for two years instead of one will allow the CAAs to increase the number of customers certified for any given year without increasing funding.  </w:t>
      </w:r>
    </w:p>
    <w:p w14:paraId="436730A0" w14:textId="77777777" w:rsidR="002245A4" w:rsidRPr="00F332A2" w:rsidRDefault="002245A4" w:rsidP="002245A4"/>
    <w:p w14:paraId="68C137C0" w14:textId="77777777" w:rsidR="002245A4" w:rsidRPr="00F332A2" w:rsidRDefault="002245A4" w:rsidP="002245A4">
      <w:pPr>
        <w:pStyle w:val="Heading3"/>
      </w:pPr>
      <w:r w:rsidRPr="00F332A2">
        <w:t>Q.</w:t>
      </w:r>
      <w:r w:rsidRPr="00F332A2">
        <w:tab/>
        <w:t>Is there precedent for using two-year certification?</w:t>
      </w:r>
    </w:p>
    <w:p w14:paraId="5784A17B" w14:textId="77777777" w:rsidR="002245A4" w:rsidRDefault="002245A4" w:rsidP="002245A4">
      <w:r w:rsidRPr="00F332A2">
        <w:t>A.</w:t>
      </w:r>
      <w:r w:rsidRPr="00F332A2">
        <w:tab/>
        <w:t xml:space="preserve">Yes.  PacifiCorp’s </w:t>
      </w:r>
      <w:r>
        <w:t>Low-income</w:t>
      </w:r>
      <w:r w:rsidRPr="00F332A2">
        <w:t xml:space="preserve"> Bill Assistance (LIBA) program allows certain eligible customers, primarily those on fixed incomes, to be certified for LIBA </w:t>
      </w:r>
      <w:r w:rsidRPr="00F332A2">
        <w:lastRenderedPageBreak/>
        <w:t xml:space="preserve">participation for two years, instead of one.  </w:t>
      </w:r>
      <w:r>
        <w:t>PacifiCorp’s</w:t>
      </w:r>
      <w:r w:rsidRPr="00F332A2">
        <w:t xml:space="preserve"> two-year certification will be phased in over a five</w:t>
      </w:r>
      <w:r>
        <w:t>-</w:t>
      </w:r>
      <w:r w:rsidRPr="00F332A2">
        <w:t xml:space="preserve">year period beginning in 2012.  This will allow 25 percent more customers to participate in the program by 2016, while keeping the administrative load of the CAAs constant. </w:t>
      </w:r>
    </w:p>
    <w:p w14:paraId="1633D8A2" w14:textId="77777777" w:rsidR="002245A4" w:rsidRDefault="002245A4" w:rsidP="002245A4">
      <w:pPr>
        <w:rPr>
          <w:b/>
        </w:rPr>
      </w:pPr>
    </w:p>
    <w:p w14:paraId="5E0A765F" w14:textId="77777777" w:rsidR="002245A4" w:rsidRPr="00D30BCB" w:rsidRDefault="002245A4" w:rsidP="002245A4">
      <w:pPr>
        <w:pStyle w:val="Heading2"/>
        <w:keepNext w:val="0"/>
        <w:ind w:left="1440" w:hanging="720"/>
      </w:pPr>
      <w:bookmarkStart w:id="29" w:name="_Toc335731535"/>
      <w:r>
        <w:t>Recommendations</w:t>
      </w:r>
      <w:bookmarkEnd w:id="29"/>
    </w:p>
    <w:p w14:paraId="526C0B34" w14:textId="77777777" w:rsidR="002245A4" w:rsidRDefault="002245A4" w:rsidP="002245A4"/>
    <w:p w14:paraId="15F6AAED" w14:textId="77777777" w:rsidR="002245A4" w:rsidRPr="000017F4" w:rsidRDefault="002245A4" w:rsidP="002245A4">
      <w:pPr>
        <w:pStyle w:val="Heading3"/>
      </w:pPr>
      <w:r w:rsidRPr="000017F4">
        <w:t>Q.</w:t>
      </w:r>
      <w:r w:rsidRPr="000017F4">
        <w:tab/>
        <w:t xml:space="preserve">What </w:t>
      </w:r>
      <w:r>
        <w:t>does Avista propose concerning low-income assistance</w:t>
      </w:r>
      <w:r w:rsidRPr="000017F4">
        <w:t>?</w:t>
      </w:r>
    </w:p>
    <w:p w14:paraId="33080231" w14:textId="77777777" w:rsidR="002245A4" w:rsidRDefault="002245A4" w:rsidP="002245A4">
      <w:r w:rsidRPr="000017F4">
        <w:t>A.</w:t>
      </w:r>
      <w:r w:rsidRPr="000017F4">
        <w:tab/>
      </w:r>
      <w:r>
        <w:t xml:space="preserve">Avista witness Mr. Kopczynski proposes increasing the funding level for LIRAP </w:t>
      </w:r>
      <w:r w:rsidRPr="000017F4">
        <w:t>“by a percentage amount equal to the percentage base rate increase granted in this case for residential customers.”</w:t>
      </w:r>
      <w:r w:rsidRPr="000017F4">
        <w:rPr>
          <w:rStyle w:val="FootnoteReference"/>
        </w:rPr>
        <w:footnoteReference w:id="86"/>
      </w:r>
      <w:r>
        <w:t xml:space="preserve">  He recommends no changes in the LIRAP program design, but he recommends that program design issues be addressed in a statewide discussion with the Commission, utilities, low-income advocates and other interested parties.  Avista does not discuss the rate discount issue, presumably because the Company was not aware of Staff’s concerns in that regard.</w:t>
      </w:r>
    </w:p>
    <w:p w14:paraId="5548DF33" w14:textId="77777777" w:rsidR="002245A4" w:rsidRPr="00F332A2" w:rsidRDefault="002245A4" w:rsidP="002245A4"/>
    <w:p w14:paraId="67A799B7" w14:textId="77777777" w:rsidR="002245A4" w:rsidRPr="00F332A2" w:rsidRDefault="002245A4" w:rsidP="002245A4">
      <w:pPr>
        <w:pStyle w:val="Heading3"/>
      </w:pPr>
      <w:r w:rsidRPr="00F332A2">
        <w:t xml:space="preserve">Q. </w:t>
      </w:r>
      <w:r w:rsidRPr="00F332A2">
        <w:tab/>
        <w:t>What is Staff’s recommendation?</w:t>
      </w:r>
    </w:p>
    <w:p w14:paraId="23C0FACB" w14:textId="77777777" w:rsidR="002245A4" w:rsidRPr="00F332A2" w:rsidRDefault="002245A4" w:rsidP="002245A4">
      <w:r w:rsidRPr="00F332A2">
        <w:t>A.</w:t>
      </w:r>
      <w:r w:rsidRPr="00F332A2">
        <w:tab/>
        <w:t xml:space="preserve">Staff recommends that the Commission order Avista </w:t>
      </w:r>
      <w:r>
        <w:t xml:space="preserve">to </w:t>
      </w:r>
      <w:r w:rsidRPr="00F332A2">
        <w:t xml:space="preserve">file a proposal in the next general rate case to change LIRAP from a grant program to a discount rate that is included in the company’s cost of service. </w:t>
      </w:r>
      <w:r>
        <w:t xml:space="preserve"> </w:t>
      </w:r>
      <w:r w:rsidRPr="00F332A2">
        <w:t xml:space="preserve">The proposal must: </w:t>
      </w:r>
    </w:p>
    <w:p w14:paraId="3D61F425" w14:textId="77777777" w:rsidR="002245A4" w:rsidRPr="00F332A2" w:rsidRDefault="002245A4" w:rsidP="002245A4">
      <w:pPr>
        <w:pStyle w:val="ListParagraph"/>
        <w:numPr>
          <w:ilvl w:val="0"/>
          <w:numId w:val="23"/>
        </w:numPr>
        <w:spacing w:after="0" w:line="480" w:lineRule="auto"/>
      </w:pPr>
      <w:r w:rsidRPr="00F332A2">
        <w:t>Evaluate minimizing arrearages as the basis for determining benefit amount;</w:t>
      </w:r>
    </w:p>
    <w:p w14:paraId="71E00455" w14:textId="77777777" w:rsidR="002245A4" w:rsidRPr="00F332A2" w:rsidRDefault="002245A4" w:rsidP="002245A4">
      <w:pPr>
        <w:pStyle w:val="ListParagraph"/>
        <w:numPr>
          <w:ilvl w:val="0"/>
          <w:numId w:val="23"/>
        </w:numPr>
        <w:spacing w:after="0" w:line="480" w:lineRule="auto"/>
      </w:pPr>
      <w:r w:rsidRPr="00F332A2">
        <w:lastRenderedPageBreak/>
        <w:t xml:space="preserve">Implement two-year certification for certain eligible </w:t>
      </w:r>
      <w:r>
        <w:t>low-income</w:t>
      </w:r>
      <w:r w:rsidRPr="00F332A2">
        <w:t xml:space="preserve"> customers, determined in consultation with CAAs; and</w:t>
      </w:r>
    </w:p>
    <w:p w14:paraId="3A13295D" w14:textId="77777777" w:rsidR="002245A4" w:rsidRPr="00F332A2" w:rsidRDefault="002245A4" w:rsidP="002245A4">
      <w:pPr>
        <w:pStyle w:val="ListParagraph"/>
        <w:numPr>
          <w:ilvl w:val="0"/>
          <w:numId w:val="23"/>
        </w:numPr>
        <w:spacing w:after="0" w:line="480" w:lineRule="auto"/>
      </w:pPr>
      <w:r w:rsidRPr="00F332A2">
        <w:t>Explore options for reducing administrative burden.</w:t>
      </w:r>
    </w:p>
    <w:p w14:paraId="0C26B1A0" w14:textId="0D2D74EC" w:rsidR="002245A4" w:rsidRPr="00F332A2" w:rsidRDefault="00E91DCF" w:rsidP="002245A4">
      <w:r>
        <w:tab/>
      </w:r>
      <w:r w:rsidR="002245A4" w:rsidRPr="00F332A2">
        <w:t>Additionally</w:t>
      </w:r>
      <w:r w:rsidR="002245A4">
        <w:t>,</w:t>
      </w:r>
      <w:r w:rsidR="002245A4" w:rsidRPr="00F332A2">
        <w:t xml:space="preserve"> the proposal should: </w:t>
      </w:r>
    </w:p>
    <w:p w14:paraId="4378FCA0" w14:textId="77777777" w:rsidR="002245A4" w:rsidRPr="00F332A2" w:rsidRDefault="002245A4" w:rsidP="002245A4">
      <w:pPr>
        <w:pStyle w:val="ListParagraph"/>
        <w:numPr>
          <w:ilvl w:val="0"/>
          <w:numId w:val="22"/>
        </w:numPr>
        <w:spacing w:after="0" w:line="480" w:lineRule="auto"/>
      </w:pPr>
      <w:r w:rsidRPr="00F332A2">
        <w:t>Consider tiered rates based on income level;</w:t>
      </w:r>
    </w:p>
    <w:p w14:paraId="13805421" w14:textId="77777777" w:rsidR="002245A4" w:rsidRPr="00F332A2" w:rsidRDefault="002245A4" w:rsidP="002245A4">
      <w:pPr>
        <w:pStyle w:val="ListParagraph"/>
        <w:numPr>
          <w:ilvl w:val="0"/>
          <w:numId w:val="22"/>
        </w:numPr>
        <w:spacing w:after="0" w:line="480" w:lineRule="auto"/>
      </w:pPr>
      <w:r w:rsidRPr="00F332A2">
        <w:t xml:space="preserve">Include a multi-year transition plan; </w:t>
      </w:r>
    </w:p>
    <w:p w14:paraId="3D282CD6" w14:textId="77777777" w:rsidR="002245A4" w:rsidRPr="00F332A2" w:rsidRDefault="002245A4" w:rsidP="002245A4">
      <w:pPr>
        <w:pStyle w:val="ListParagraph"/>
        <w:numPr>
          <w:ilvl w:val="0"/>
          <w:numId w:val="22"/>
        </w:numPr>
        <w:spacing w:after="0" w:line="480" w:lineRule="auto"/>
      </w:pPr>
      <w:r w:rsidRPr="00F332A2">
        <w:t>Address the funding for Senior Energy outreach and LIRAP Share; and</w:t>
      </w:r>
    </w:p>
    <w:p w14:paraId="494CE615" w14:textId="77777777" w:rsidR="002245A4" w:rsidRPr="00F332A2" w:rsidRDefault="002245A4" w:rsidP="002245A4">
      <w:pPr>
        <w:pStyle w:val="ListParagraph"/>
        <w:numPr>
          <w:ilvl w:val="0"/>
          <w:numId w:val="22"/>
        </w:numPr>
        <w:spacing w:after="0" w:line="480" w:lineRule="auto"/>
      </w:pPr>
      <w:r w:rsidRPr="00F332A2">
        <w:t xml:space="preserve">Be developed in consultation with Staff, The Energy Project, and the affected agencies. </w:t>
      </w:r>
    </w:p>
    <w:p w14:paraId="26239364" w14:textId="77777777" w:rsidR="002245A4" w:rsidRPr="00F332A2" w:rsidRDefault="002245A4" w:rsidP="00E91DCF">
      <w:pPr>
        <w:ind w:firstLine="0"/>
      </w:pPr>
      <w:r w:rsidRPr="00F332A2">
        <w:t xml:space="preserve">Staff further recommends that the broader issues of </w:t>
      </w:r>
      <w:r>
        <w:t>low-income</w:t>
      </w:r>
      <w:r w:rsidRPr="00F332A2">
        <w:t xml:space="preserve"> assistance program goals, design and implementation be discussed in a statewide context, consistent with Avist</w:t>
      </w:r>
      <w:r>
        <w:t>a</w:t>
      </w:r>
      <w:r w:rsidRPr="00F332A2">
        <w:t>’s recommendation.</w:t>
      </w:r>
    </w:p>
    <w:p w14:paraId="3DDA1C0D" w14:textId="77777777" w:rsidR="002245A4" w:rsidRPr="00F332A2" w:rsidRDefault="002245A4" w:rsidP="002245A4"/>
    <w:p w14:paraId="7372E574" w14:textId="77777777" w:rsidR="002245A4" w:rsidRPr="00F332A2" w:rsidRDefault="002245A4" w:rsidP="002245A4">
      <w:pPr>
        <w:pStyle w:val="Heading3"/>
      </w:pPr>
      <w:r w:rsidRPr="00F332A2">
        <w:t>Q.</w:t>
      </w:r>
      <w:r w:rsidRPr="00F332A2">
        <w:tab/>
        <w:t xml:space="preserve">What is Staff’s recommendation for LIRAP </w:t>
      </w:r>
      <w:r>
        <w:t xml:space="preserve">funding </w:t>
      </w:r>
      <w:r w:rsidRPr="00F332A2">
        <w:t>in this case?</w:t>
      </w:r>
    </w:p>
    <w:p w14:paraId="19D97EF7" w14:textId="77777777" w:rsidR="002245A4" w:rsidRPr="00F332A2" w:rsidRDefault="002245A4" w:rsidP="002245A4">
      <w:r w:rsidRPr="00F332A2">
        <w:t>A.</w:t>
      </w:r>
      <w:r w:rsidRPr="00F332A2">
        <w:tab/>
      </w:r>
      <w:r>
        <w:t xml:space="preserve">To accommodate an orderly transition to a rate discount program, </w:t>
      </w:r>
      <w:r w:rsidRPr="00F332A2">
        <w:t xml:space="preserve">Staff recommends the Commission </w:t>
      </w:r>
      <w:r>
        <w:t xml:space="preserve">maintain </w:t>
      </w:r>
      <w:r w:rsidRPr="00F332A2">
        <w:t xml:space="preserve">the </w:t>
      </w:r>
      <w:r>
        <w:t xml:space="preserve">existing </w:t>
      </w:r>
      <w:r w:rsidRPr="00F332A2">
        <w:t>funding level for LIRAP</w:t>
      </w:r>
      <w:r>
        <w:t xml:space="preserve">.  The Commission should require Avista to </w:t>
      </w:r>
      <w:r w:rsidRPr="00F332A2">
        <w:t xml:space="preserve">implement a two-year certification for certain </w:t>
      </w:r>
      <w:r>
        <w:t>low-income</w:t>
      </w:r>
      <w:r w:rsidRPr="00F332A2">
        <w:t xml:space="preserve"> customers, to be determined in consultation with Community Action Agencies (CAAs).  </w:t>
      </w:r>
    </w:p>
    <w:p w14:paraId="47E88BE4" w14:textId="77777777" w:rsidR="002245A4" w:rsidRPr="00F332A2" w:rsidRDefault="002245A4" w:rsidP="002245A4"/>
    <w:p w14:paraId="3F4B9294" w14:textId="77777777" w:rsidR="002245A4" w:rsidRPr="00F332A2" w:rsidRDefault="002245A4" w:rsidP="002245A4">
      <w:pPr>
        <w:pStyle w:val="Heading3"/>
      </w:pPr>
      <w:r w:rsidRPr="00F332A2">
        <w:t xml:space="preserve">Q. </w:t>
      </w:r>
      <w:r w:rsidRPr="00F332A2">
        <w:tab/>
        <w:t>Does this conclude your testimony?</w:t>
      </w:r>
    </w:p>
    <w:p w14:paraId="51430F0E" w14:textId="77777777" w:rsidR="002245A4" w:rsidRPr="00F332A2" w:rsidRDefault="002245A4" w:rsidP="002245A4">
      <w:r w:rsidRPr="00F332A2">
        <w:t xml:space="preserve">A. </w:t>
      </w:r>
      <w:r w:rsidRPr="00F332A2">
        <w:tab/>
        <w:t>Yes.</w:t>
      </w:r>
    </w:p>
    <w:p w14:paraId="045FE101" w14:textId="77777777" w:rsidR="009E549A" w:rsidRPr="00192A46" w:rsidRDefault="009E549A" w:rsidP="005E0131">
      <w:pPr>
        <w:ind w:left="0" w:firstLine="0"/>
      </w:pPr>
    </w:p>
    <w:sectPr w:rsidR="009E549A" w:rsidRPr="00192A46" w:rsidSect="00503B1B">
      <w:footerReference w:type="default" r:id="rId14"/>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E4BA9" w14:textId="77777777" w:rsidR="00772853" w:rsidRDefault="00772853" w:rsidP="00A84518">
      <w:pPr>
        <w:spacing w:line="240" w:lineRule="auto"/>
      </w:pPr>
      <w:r>
        <w:separator/>
      </w:r>
    </w:p>
  </w:endnote>
  <w:endnote w:type="continuationSeparator" w:id="0">
    <w:p w14:paraId="3FEE4BAA" w14:textId="77777777" w:rsidR="00772853" w:rsidRDefault="00772853" w:rsidP="00A84518">
      <w:pPr>
        <w:spacing w:line="240" w:lineRule="auto"/>
      </w:pPr>
      <w:r>
        <w:continuationSeparator/>
      </w:r>
    </w:p>
  </w:endnote>
  <w:endnote w:type="continuationNotice" w:id="1">
    <w:p w14:paraId="3FEE4BAB" w14:textId="77777777" w:rsidR="00772853" w:rsidRDefault="00772853" w:rsidP="00A84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E4BAC" w14:textId="77777777" w:rsidR="00772853" w:rsidRPr="000F025A" w:rsidRDefault="00772853" w:rsidP="000F025A">
    <w:pPr>
      <w:pStyle w:val="Footer"/>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E4BAD" w14:textId="77777777" w:rsidR="00772853" w:rsidRDefault="00772853" w:rsidP="000F025A">
    <w:pPr>
      <w:pStyle w:val="Footer"/>
      <w:rPr>
        <w:sz w:val="20"/>
        <w:szCs w:val="20"/>
      </w:rPr>
    </w:pPr>
    <w:r w:rsidRPr="000F025A">
      <w:rPr>
        <w:sz w:val="20"/>
        <w:szCs w:val="20"/>
      </w:rPr>
      <w:t>TESTIMONY OF DEBORAH J. REYNOLDS</w:t>
    </w:r>
    <w:r w:rsidRPr="000F025A">
      <w:rPr>
        <w:sz w:val="20"/>
        <w:szCs w:val="20"/>
      </w:rPr>
      <w:tab/>
    </w:r>
    <w:r w:rsidRPr="000F025A">
      <w:rPr>
        <w:sz w:val="20"/>
        <w:szCs w:val="20"/>
      </w:rPr>
      <w:tab/>
      <w:t>Exhibit No. ___ T (DJR-</w:t>
    </w:r>
    <w:r>
      <w:rPr>
        <w:sz w:val="20"/>
        <w:szCs w:val="20"/>
      </w:rPr>
      <w:t>5</w:t>
    </w:r>
    <w:r w:rsidRPr="000F025A">
      <w:rPr>
        <w:sz w:val="20"/>
        <w:szCs w:val="20"/>
      </w:rPr>
      <w:t>T)</w:t>
    </w:r>
  </w:p>
  <w:p w14:paraId="3FEE4BAE" w14:textId="3AAAEF4E" w:rsidR="00772853" w:rsidRPr="000F025A" w:rsidRDefault="00772853" w:rsidP="000F025A">
    <w:pPr>
      <w:pStyle w:val="Footer"/>
      <w:rPr>
        <w:sz w:val="20"/>
        <w:szCs w:val="20"/>
        <w:lang w:val="fr-FR"/>
      </w:rPr>
    </w:pPr>
    <w:r w:rsidRPr="000F025A">
      <w:rPr>
        <w:sz w:val="20"/>
        <w:szCs w:val="20"/>
      </w:rPr>
      <w:t>Dockets</w:t>
    </w:r>
    <w:r>
      <w:rPr>
        <w:sz w:val="20"/>
        <w:szCs w:val="20"/>
        <w:lang w:val="fr-FR"/>
      </w:rPr>
      <w:t xml:space="preserve"> UE-120436, et al. </w:t>
    </w:r>
    <w:r>
      <w:rPr>
        <w:sz w:val="20"/>
        <w:szCs w:val="20"/>
        <w:lang w:val="fr-FR"/>
      </w:rPr>
      <w:tab/>
    </w:r>
    <w:r>
      <w:rPr>
        <w:sz w:val="20"/>
        <w:szCs w:val="20"/>
        <w:lang w:val="fr-FR"/>
      </w:rPr>
      <w:tab/>
    </w:r>
    <w:r w:rsidRPr="000F025A">
      <w:rPr>
        <w:sz w:val="20"/>
        <w:szCs w:val="20"/>
        <w:lang w:val="fr-FR"/>
      </w:rPr>
      <w:t xml:space="preserve">Page </w:t>
    </w:r>
    <w:r w:rsidRPr="000F025A">
      <w:rPr>
        <w:rStyle w:val="PageNumber"/>
        <w:sz w:val="20"/>
        <w:szCs w:val="20"/>
      </w:rPr>
      <w:fldChar w:fldCharType="begin"/>
    </w:r>
    <w:r w:rsidRPr="000F025A">
      <w:rPr>
        <w:rStyle w:val="PageNumber"/>
        <w:sz w:val="20"/>
        <w:szCs w:val="20"/>
        <w:lang w:val="fr-FR"/>
      </w:rPr>
      <w:instrText xml:space="preserve"> PAGE </w:instrText>
    </w:r>
    <w:r w:rsidRPr="000F025A">
      <w:rPr>
        <w:rStyle w:val="PageNumber"/>
        <w:sz w:val="20"/>
        <w:szCs w:val="20"/>
      </w:rPr>
      <w:fldChar w:fldCharType="separate"/>
    </w:r>
    <w:r w:rsidR="00E413CD">
      <w:rPr>
        <w:rStyle w:val="PageNumber"/>
        <w:noProof/>
        <w:sz w:val="20"/>
        <w:szCs w:val="20"/>
        <w:lang w:val="fr-FR"/>
      </w:rPr>
      <w:t>i</w:t>
    </w:r>
    <w:r w:rsidRPr="000F025A">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E4BAF" w14:textId="77777777" w:rsidR="00772853" w:rsidRDefault="00772853" w:rsidP="000F025A">
    <w:pPr>
      <w:pStyle w:val="Footer"/>
      <w:rPr>
        <w:sz w:val="20"/>
        <w:szCs w:val="20"/>
      </w:rPr>
    </w:pPr>
    <w:r w:rsidRPr="000F025A">
      <w:rPr>
        <w:sz w:val="20"/>
        <w:szCs w:val="20"/>
      </w:rPr>
      <w:t>TESTIMONY OF DEBORAH J. REYNOLDS</w:t>
    </w:r>
    <w:r w:rsidRPr="000F025A">
      <w:rPr>
        <w:sz w:val="20"/>
        <w:szCs w:val="20"/>
      </w:rPr>
      <w:tab/>
    </w:r>
    <w:r w:rsidRPr="000F025A">
      <w:rPr>
        <w:sz w:val="20"/>
        <w:szCs w:val="20"/>
      </w:rPr>
      <w:tab/>
      <w:t>Exhibit No. ___ T (DJR-</w:t>
    </w:r>
    <w:r>
      <w:rPr>
        <w:sz w:val="20"/>
        <w:szCs w:val="20"/>
      </w:rPr>
      <w:t>5</w:t>
    </w:r>
    <w:r w:rsidRPr="000F025A">
      <w:rPr>
        <w:sz w:val="20"/>
        <w:szCs w:val="20"/>
      </w:rPr>
      <w:t>T)</w:t>
    </w:r>
  </w:p>
  <w:p w14:paraId="3FEE4BB0" w14:textId="27738371" w:rsidR="00772853" w:rsidRPr="000F025A" w:rsidRDefault="00772853" w:rsidP="000F025A">
    <w:pPr>
      <w:pStyle w:val="Footer"/>
      <w:rPr>
        <w:sz w:val="20"/>
        <w:szCs w:val="20"/>
        <w:lang w:val="fr-FR"/>
      </w:rPr>
    </w:pPr>
    <w:r w:rsidRPr="000F025A">
      <w:rPr>
        <w:sz w:val="20"/>
        <w:szCs w:val="20"/>
      </w:rPr>
      <w:t>Dockets</w:t>
    </w:r>
    <w:r>
      <w:rPr>
        <w:sz w:val="20"/>
        <w:szCs w:val="20"/>
        <w:lang w:val="fr-FR"/>
      </w:rPr>
      <w:t xml:space="preserve"> UE-120436, et al. </w:t>
    </w:r>
    <w:r>
      <w:rPr>
        <w:sz w:val="20"/>
        <w:szCs w:val="20"/>
        <w:lang w:val="fr-FR"/>
      </w:rPr>
      <w:tab/>
    </w:r>
    <w:r>
      <w:rPr>
        <w:sz w:val="20"/>
        <w:szCs w:val="20"/>
        <w:lang w:val="fr-FR"/>
      </w:rPr>
      <w:tab/>
    </w:r>
    <w:r w:rsidRPr="000F025A">
      <w:rPr>
        <w:sz w:val="20"/>
        <w:szCs w:val="20"/>
        <w:lang w:val="fr-FR"/>
      </w:rPr>
      <w:t xml:space="preserve">Page </w:t>
    </w:r>
    <w:r w:rsidRPr="000F025A">
      <w:rPr>
        <w:rStyle w:val="PageNumber"/>
        <w:sz w:val="20"/>
        <w:szCs w:val="20"/>
      </w:rPr>
      <w:fldChar w:fldCharType="begin"/>
    </w:r>
    <w:r w:rsidRPr="000F025A">
      <w:rPr>
        <w:rStyle w:val="PageNumber"/>
        <w:sz w:val="20"/>
        <w:szCs w:val="20"/>
        <w:lang w:val="fr-FR"/>
      </w:rPr>
      <w:instrText xml:space="preserve"> PAGE </w:instrText>
    </w:r>
    <w:r w:rsidRPr="000F025A">
      <w:rPr>
        <w:rStyle w:val="PageNumber"/>
        <w:sz w:val="20"/>
        <w:szCs w:val="20"/>
      </w:rPr>
      <w:fldChar w:fldCharType="separate"/>
    </w:r>
    <w:r w:rsidR="00E413CD">
      <w:rPr>
        <w:rStyle w:val="PageNumber"/>
        <w:noProof/>
        <w:sz w:val="20"/>
        <w:szCs w:val="20"/>
        <w:lang w:val="fr-FR"/>
      </w:rPr>
      <w:t>37</w:t>
    </w:r>
    <w:r w:rsidRPr="000F025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E4BA6" w14:textId="77777777" w:rsidR="00772853" w:rsidRDefault="00772853" w:rsidP="00A84518">
      <w:pPr>
        <w:spacing w:line="240" w:lineRule="auto"/>
      </w:pPr>
      <w:r>
        <w:separator/>
      </w:r>
    </w:p>
  </w:footnote>
  <w:footnote w:type="continuationSeparator" w:id="0">
    <w:p w14:paraId="3FEE4BA7" w14:textId="77777777" w:rsidR="00772853" w:rsidRDefault="00772853" w:rsidP="00A84518">
      <w:pPr>
        <w:spacing w:line="240" w:lineRule="auto"/>
      </w:pPr>
      <w:r>
        <w:continuationSeparator/>
      </w:r>
    </w:p>
  </w:footnote>
  <w:footnote w:type="continuationNotice" w:id="1">
    <w:p w14:paraId="3FEE4BA8" w14:textId="77777777" w:rsidR="00772853" w:rsidRPr="00E32A84" w:rsidRDefault="00772853" w:rsidP="00E32A84">
      <w:pPr>
        <w:pStyle w:val="Footer"/>
        <w:rPr>
          <w:sz w:val="12"/>
          <w:szCs w:val="12"/>
        </w:rPr>
      </w:pPr>
    </w:p>
  </w:footnote>
  <w:footnote w:id="2">
    <w:p w14:paraId="3FEE4BB1" w14:textId="77777777" w:rsidR="00772853" w:rsidRDefault="00772853" w:rsidP="0026337D">
      <w:pPr>
        <w:pStyle w:val="FootnoteText"/>
      </w:pPr>
      <w:r>
        <w:rPr>
          <w:rStyle w:val="FootnoteReference"/>
        </w:rPr>
        <w:footnoteRef/>
      </w:r>
      <w:r>
        <w:t xml:space="preserve"> Report and Policy Statement on Regulatory Mechanisms, Including Decoupling, to Encourage Utilities to Meet or Exceed their Conservation Targets, Docket U-100522 (November 4, 2010) (“Decoupling Policy Statement”).</w:t>
      </w:r>
    </w:p>
  </w:footnote>
  <w:footnote w:id="3">
    <w:p w14:paraId="3FEE4BB2" w14:textId="77777777" w:rsidR="00772853" w:rsidRDefault="00772853" w:rsidP="0026337D">
      <w:pPr>
        <w:pStyle w:val="FootnoteText"/>
      </w:pPr>
      <w:r>
        <w:rPr>
          <w:rStyle w:val="FootnoteReference"/>
        </w:rPr>
        <w:footnoteRef/>
      </w:r>
      <w:r>
        <w:t xml:space="preserve"> My Exhibit No. ___ (DJR-2) at 12 includes an earnings test for discussion purposes that was essentially the same as that addressed by Mr. Cavanagh.  It is also very similar to the earnings test in Avista’s gas decoupling mechanism, although Avista’s gas mechanism does not contemplate the 25 basis point dead band.  I would clarify, however, that whatever dead band is chosen by the Commission, it should be based on a rate of return set in the general rate case that implements decoupling.  In addition, the dead band should be carefully crafted to provide upside earnings only if the Company can demonstrate a connection between achieved efficiencies beyond those required by statute and its earnings at the high end of any range are determined to be fair.</w:t>
      </w:r>
    </w:p>
  </w:footnote>
  <w:footnote w:id="4">
    <w:p w14:paraId="3FEE4BB3" w14:textId="77777777" w:rsidR="00772853" w:rsidRDefault="00772853" w:rsidP="0026337D">
      <w:pPr>
        <w:pStyle w:val="FootnoteText"/>
      </w:pPr>
      <w:r>
        <w:rPr>
          <w:rStyle w:val="FootnoteReference"/>
        </w:rPr>
        <w:footnoteRef/>
      </w:r>
      <w:r>
        <w:t xml:space="preserve"> Exhibit No. ___ (DJR-2), at 15, 16, and 28.</w:t>
      </w:r>
    </w:p>
  </w:footnote>
  <w:footnote w:id="5">
    <w:p w14:paraId="3FEE4BB4" w14:textId="07C8FFB9" w:rsidR="00772853" w:rsidRDefault="00772853" w:rsidP="0026337D">
      <w:pPr>
        <w:pStyle w:val="FootnoteText"/>
      </w:pPr>
      <w:r>
        <w:rPr>
          <w:rStyle w:val="FootnoteReference"/>
        </w:rPr>
        <w:footnoteRef/>
      </w:r>
      <w:r>
        <w:t xml:space="preserve"> </w:t>
      </w:r>
      <w:r>
        <w:rPr>
          <w:i/>
        </w:rPr>
        <w:t xml:space="preserve">Utilities and Transp. Comm’n v. Puget Sound Energy, </w:t>
      </w:r>
      <w:r>
        <w:t>Dockets UE-111048 &amp; UG-111049, Cavanagh, Exhibit No. ___ (RCC-1T) at 10, line 14.</w:t>
      </w:r>
    </w:p>
  </w:footnote>
  <w:footnote w:id="6">
    <w:p w14:paraId="3FEE4BB5" w14:textId="3057788E" w:rsidR="00772853" w:rsidRDefault="00772853" w:rsidP="00951F6B">
      <w:pPr>
        <w:spacing w:line="240" w:lineRule="auto"/>
      </w:pPr>
      <w:r w:rsidRPr="00EA1E72">
        <w:rPr>
          <w:rStyle w:val="FootnoteReference"/>
          <w:sz w:val="20"/>
          <w:szCs w:val="20"/>
        </w:rPr>
        <w:footnoteRef/>
      </w:r>
      <w:r w:rsidRPr="00EA1E72">
        <w:rPr>
          <w:sz w:val="20"/>
          <w:szCs w:val="20"/>
        </w:rPr>
        <w:t xml:space="preserve"> Ehrbar, Exhibit No. ___ (PDE-9T) at 10</w:t>
      </w:r>
      <w:r>
        <w:rPr>
          <w:sz w:val="20"/>
          <w:szCs w:val="20"/>
        </w:rPr>
        <w:t>, line</w:t>
      </w:r>
      <w:r w:rsidRPr="00EA1E72">
        <w:rPr>
          <w:sz w:val="20"/>
          <w:szCs w:val="20"/>
        </w:rPr>
        <w:t xml:space="preserve"> 20.  </w:t>
      </w:r>
    </w:p>
  </w:footnote>
  <w:footnote w:id="7">
    <w:p w14:paraId="3FEE4BB6" w14:textId="29F55179" w:rsidR="00772853" w:rsidRDefault="00772853" w:rsidP="0026337D">
      <w:pPr>
        <w:pStyle w:val="FootnoteText"/>
      </w:pPr>
      <w:r>
        <w:rPr>
          <w:rStyle w:val="FootnoteReference"/>
        </w:rPr>
        <w:footnoteRef/>
      </w:r>
      <w:r>
        <w:t xml:space="preserve"> </w:t>
      </w:r>
      <w:r>
        <w:rPr>
          <w:i/>
        </w:rPr>
        <w:t xml:space="preserve">Utilities and Transp. Comm’n v. Puget Sound Energy, </w:t>
      </w:r>
      <w:r>
        <w:t>Dockets UE-111048 &amp; UG-111049, Elgin, Exhibit No. ___ (KLE-1T) at 79, lines 9-11.</w:t>
      </w:r>
    </w:p>
  </w:footnote>
  <w:footnote w:id="8">
    <w:p w14:paraId="3FEE4BB7" w14:textId="77777777" w:rsidR="00772853" w:rsidRPr="000021AF" w:rsidRDefault="00772853" w:rsidP="0026337D">
      <w:pPr>
        <w:pStyle w:val="FootnoteText"/>
      </w:pPr>
      <w:r>
        <w:rPr>
          <w:rStyle w:val="FootnoteReference"/>
        </w:rPr>
        <w:footnoteRef/>
      </w:r>
      <w:r>
        <w:t xml:space="preserve"> </w:t>
      </w:r>
      <w:r>
        <w:rPr>
          <w:i/>
        </w:rPr>
        <w:t xml:space="preserve">Utilities and Transp. Comm’n v. Puget Sound Energy, Inc., </w:t>
      </w:r>
      <w:r>
        <w:t>Dockets UE-111048 &amp; UG-111049, Order 08 (May 7, 2012) at 167, Paragraph 455 (PSE Order).</w:t>
      </w:r>
    </w:p>
  </w:footnote>
  <w:footnote w:id="9">
    <w:p w14:paraId="3FEE4BB8" w14:textId="77777777" w:rsidR="00772853" w:rsidRDefault="00772853" w:rsidP="0026337D">
      <w:pPr>
        <w:pStyle w:val="FootnoteText"/>
      </w:pPr>
      <w:r>
        <w:rPr>
          <w:rStyle w:val="FootnoteReference"/>
        </w:rPr>
        <w:footnoteRef/>
      </w:r>
      <w:r>
        <w:t xml:space="preserve"> </w:t>
      </w:r>
      <w:r w:rsidRPr="00192A46">
        <w:t xml:space="preserve">PSE Order at 167, n 617.  </w:t>
      </w:r>
    </w:p>
  </w:footnote>
  <w:footnote w:id="10">
    <w:p w14:paraId="3FEE4BB9" w14:textId="07927CD7" w:rsidR="00772853" w:rsidRDefault="00772853" w:rsidP="0026337D">
      <w:pPr>
        <w:pStyle w:val="FootnoteText"/>
      </w:pPr>
      <w:r>
        <w:rPr>
          <w:rStyle w:val="FootnoteReference"/>
        </w:rPr>
        <w:footnoteRef/>
      </w:r>
      <w:r>
        <w:t xml:space="preserve"> See Decoupling Policy Statement at </w:t>
      </w:r>
      <w:r w:rsidRPr="00192A46">
        <w:t>23</w:t>
      </w:r>
      <w:r>
        <w:t xml:space="preserve">, </w:t>
      </w:r>
      <w:r w:rsidRPr="00192A46">
        <w:t>¶</w:t>
      </w:r>
      <w:r>
        <w:t xml:space="preserve"> </w:t>
      </w:r>
      <w:r w:rsidRPr="00192A46">
        <w:t>36.</w:t>
      </w:r>
    </w:p>
  </w:footnote>
  <w:footnote w:id="11">
    <w:p w14:paraId="3FEE4BBA" w14:textId="77777777" w:rsidR="00772853" w:rsidRDefault="00772853" w:rsidP="0026337D">
      <w:pPr>
        <w:pStyle w:val="FootnoteText"/>
      </w:pPr>
      <w:r>
        <w:rPr>
          <w:rStyle w:val="FootnoteReference"/>
        </w:rPr>
        <w:footnoteRef/>
      </w:r>
      <w:r>
        <w:t xml:space="preserve"> </w:t>
      </w:r>
      <w:r w:rsidRPr="00192A46">
        <w:t>PSE Order at 166, ¶ 453.</w:t>
      </w:r>
    </w:p>
  </w:footnote>
  <w:footnote w:id="12">
    <w:p w14:paraId="3FEE4BBB" w14:textId="7712409A" w:rsidR="00772853" w:rsidRDefault="00772853">
      <w:pPr>
        <w:pStyle w:val="FootnoteText"/>
      </w:pPr>
      <w:r>
        <w:rPr>
          <w:rStyle w:val="FootnoteReference"/>
        </w:rPr>
        <w:footnoteRef/>
      </w:r>
      <w:r>
        <w:t xml:space="preserve"> Ehrbar</w:t>
      </w:r>
      <w:r w:rsidRPr="00192A46">
        <w:t>, Exhibit No. ___ (PDE-9T) at 1</w:t>
      </w:r>
      <w:r>
        <w:t>, line</w:t>
      </w:r>
      <w:r w:rsidRPr="00192A46">
        <w:t xml:space="preserve"> 18.</w:t>
      </w:r>
    </w:p>
  </w:footnote>
  <w:footnote w:id="13">
    <w:p w14:paraId="3FEE4BBC" w14:textId="77777777" w:rsidR="00772853" w:rsidRDefault="00772853" w:rsidP="0026337D">
      <w:pPr>
        <w:pStyle w:val="FootnoteText"/>
      </w:pPr>
      <w:r>
        <w:rPr>
          <w:rStyle w:val="FootnoteReference"/>
        </w:rPr>
        <w:footnoteRef/>
      </w:r>
      <w:r>
        <w:t xml:space="preserve"> Schedules 1 (Residential), 11/12 (General), 21/22 (Large General), 31/32 (Pumping), 41-49 (Street and Area Lighting).</w:t>
      </w:r>
    </w:p>
  </w:footnote>
  <w:footnote w:id="14">
    <w:p w14:paraId="3FEE4BBD" w14:textId="77777777" w:rsidR="00772853" w:rsidRDefault="00772853" w:rsidP="0026337D">
      <w:pPr>
        <w:pStyle w:val="FootnoteText"/>
      </w:pPr>
      <w:r>
        <w:rPr>
          <w:rStyle w:val="FootnoteReference"/>
        </w:rPr>
        <w:footnoteRef/>
      </w:r>
      <w:r>
        <w:t xml:space="preserve"> The Commission requires Avista to file similar reports per Docket UE-100176.</w:t>
      </w:r>
    </w:p>
  </w:footnote>
  <w:footnote w:id="15">
    <w:p w14:paraId="3FEE4BBE" w14:textId="77777777" w:rsidR="00772853" w:rsidRDefault="00772853" w:rsidP="0026337D">
      <w:pPr>
        <w:pStyle w:val="FootnoteText"/>
      </w:pPr>
      <w:r>
        <w:rPr>
          <w:rStyle w:val="FootnoteReference"/>
        </w:rPr>
        <w:footnoteRef/>
      </w:r>
      <w:r>
        <w:t xml:space="preserve"> Decoupling Policy Statement at 18, Criterion 1, ¶ </w:t>
      </w:r>
      <w:r w:rsidRPr="00192A46">
        <w:t>28</w:t>
      </w:r>
      <w:r>
        <w:t xml:space="preserve">.  </w:t>
      </w:r>
    </w:p>
  </w:footnote>
  <w:footnote w:id="16">
    <w:p w14:paraId="3FEE4BBF" w14:textId="77777777" w:rsidR="00772853" w:rsidRDefault="00772853" w:rsidP="0026337D">
      <w:pPr>
        <w:pStyle w:val="FootnoteText"/>
      </w:pPr>
      <w:r>
        <w:rPr>
          <w:rStyle w:val="FootnoteReference"/>
        </w:rPr>
        <w:footnoteRef/>
      </w:r>
      <w:r>
        <w:t xml:space="preserve"> PSE Order at </w:t>
      </w:r>
      <w:r w:rsidRPr="00B84E18">
        <w:t>164,</w:t>
      </w:r>
      <w:r w:rsidRPr="00192A46">
        <w:t xml:space="preserve"> n. 605.</w:t>
      </w:r>
      <w:r>
        <w:t xml:space="preserve">   </w:t>
      </w:r>
    </w:p>
  </w:footnote>
  <w:footnote w:id="17">
    <w:p w14:paraId="3FEE4BC0" w14:textId="77777777" w:rsidR="00772853" w:rsidRDefault="00772853" w:rsidP="00E32A84">
      <w:pPr>
        <w:spacing w:line="240" w:lineRule="auto"/>
      </w:pPr>
      <w:r w:rsidRPr="00FF607A">
        <w:rPr>
          <w:rStyle w:val="FootnoteReference"/>
          <w:sz w:val="20"/>
          <w:szCs w:val="20"/>
        </w:rPr>
        <w:footnoteRef/>
      </w:r>
      <w:r w:rsidRPr="00FF607A">
        <w:rPr>
          <w:sz w:val="20"/>
          <w:szCs w:val="20"/>
        </w:rPr>
        <w:t xml:space="preserve"> Decoupling Policy Statement at ¶ 28, n. 44.</w:t>
      </w:r>
    </w:p>
  </w:footnote>
  <w:footnote w:id="18">
    <w:p w14:paraId="3FEE4BC1" w14:textId="4C4F5552" w:rsidR="00772853" w:rsidRDefault="00772853" w:rsidP="0026337D">
      <w:pPr>
        <w:pStyle w:val="FootnoteText"/>
      </w:pPr>
      <w:r>
        <w:rPr>
          <w:rStyle w:val="FootnoteReference"/>
        </w:rPr>
        <w:footnoteRef/>
      </w:r>
      <w:r>
        <w:t xml:space="preserve"> Ehrbar</w:t>
      </w:r>
      <w:r w:rsidRPr="00192A46">
        <w:t xml:space="preserve">, Exhibit No. ___ (PDE-9T) at </w:t>
      </w:r>
      <w:r>
        <w:t xml:space="preserve">24, lines </w:t>
      </w:r>
      <w:r w:rsidRPr="00192A46">
        <w:t>25-29, and Exhibit No. ___ (PDE-10).</w:t>
      </w:r>
    </w:p>
  </w:footnote>
  <w:footnote w:id="19">
    <w:p w14:paraId="3FEE4BC2" w14:textId="221AFEC5" w:rsidR="00772853" w:rsidRDefault="00772853" w:rsidP="0026337D">
      <w:pPr>
        <w:pStyle w:val="FootnoteText"/>
      </w:pPr>
      <w:r>
        <w:rPr>
          <w:rStyle w:val="FootnoteReference"/>
        </w:rPr>
        <w:footnoteRef/>
      </w:r>
      <w:r>
        <w:t xml:space="preserve"> </w:t>
      </w:r>
      <w:r w:rsidRPr="00192A46">
        <w:t>Dismukes,</w:t>
      </w:r>
      <w:r>
        <w:t xml:space="preserve"> Exhibit No. ___ (DED-1T) at 31, lines </w:t>
      </w:r>
      <w:r w:rsidRPr="00192A46">
        <w:t xml:space="preserve">1-7.  </w:t>
      </w:r>
    </w:p>
  </w:footnote>
  <w:footnote w:id="20">
    <w:p w14:paraId="3FEE4BC3" w14:textId="096B9D6B" w:rsidR="00772853" w:rsidRDefault="00772853" w:rsidP="0026337D">
      <w:pPr>
        <w:pStyle w:val="FootnoteText"/>
      </w:pPr>
      <w:r>
        <w:rPr>
          <w:rStyle w:val="FootnoteReference"/>
        </w:rPr>
        <w:footnoteRef/>
      </w:r>
      <w:r>
        <w:t xml:space="preserve"> Id. at 31, line </w:t>
      </w:r>
      <w:r w:rsidRPr="00192A46">
        <w:t>8</w:t>
      </w:r>
      <w:r>
        <w:t xml:space="preserve"> through </w:t>
      </w:r>
      <w:r w:rsidRPr="00192A46">
        <w:t>32</w:t>
      </w:r>
      <w:r>
        <w:t xml:space="preserve">, line </w:t>
      </w:r>
      <w:r w:rsidRPr="00192A46">
        <w:t xml:space="preserve">6.  </w:t>
      </w:r>
    </w:p>
  </w:footnote>
  <w:footnote w:id="21">
    <w:p w14:paraId="3FEE4BC4" w14:textId="57E8A4ED" w:rsidR="00772853" w:rsidRDefault="00772853" w:rsidP="0026337D">
      <w:pPr>
        <w:pStyle w:val="FootnoteText"/>
      </w:pPr>
      <w:r>
        <w:rPr>
          <w:rStyle w:val="FootnoteReference"/>
        </w:rPr>
        <w:footnoteRef/>
      </w:r>
      <w:r>
        <w:t xml:space="preserve"> </w:t>
      </w:r>
      <w:r w:rsidRPr="00192A46">
        <w:t>Deen</w:t>
      </w:r>
      <w:r>
        <w:t xml:space="preserve">, Exhibit No. ___ (MCD-1T) at 4, lines </w:t>
      </w:r>
      <w:r w:rsidRPr="00192A46">
        <w:t xml:space="preserve">8-13.  </w:t>
      </w:r>
    </w:p>
  </w:footnote>
  <w:footnote w:id="22">
    <w:p w14:paraId="3FEE4BC5" w14:textId="4FA02F94" w:rsidR="00772853" w:rsidRDefault="00772853" w:rsidP="0026337D">
      <w:pPr>
        <w:pStyle w:val="FootnoteText"/>
      </w:pPr>
      <w:r>
        <w:rPr>
          <w:rStyle w:val="FootnoteReference"/>
        </w:rPr>
        <w:footnoteRef/>
      </w:r>
      <w:r>
        <w:t xml:space="preserve"> </w:t>
      </w:r>
      <w:r w:rsidRPr="00192A46">
        <w:t>Id. at 5</w:t>
      </w:r>
      <w:r>
        <w:t xml:space="preserve">, lines </w:t>
      </w:r>
      <w:r w:rsidRPr="00192A46">
        <w:t>2-4.</w:t>
      </w:r>
    </w:p>
  </w:footnote>
  <w:footnote w:id="23">
    <w:p w14:paraId="3FEE4BC6" w14:textId="77777777" w:rsidR="00772853" w:rsidRDefault="00772853">
      <w:pPr>
        <w:pStyle w:val="FootnoteText"/>
      </w:pPr>
      <w:r>
        <w:rPr>
          <w:rStyle w:val="FootnoteReference"/>
        </w:rPr>
        <w:footnoteRef/>
      </w:r>
      <w:r>
        <w:t xml:space="preserve"> Avista Response to Staff Data Request 4, Attachment A.</w:t>
      </w:r>
    </w:p>
  </w:footnote>
  <w:footnote w:id="24">
    <w:p w14:paraId="3FEE4BC7" w14:textId="0683C65C" w:rsidR="00772853" w:rsidRDefault="00772853" w:rsidP="0026337D">
      <w:pPr>
        <w:pStyle w:val="FootnoteText"/>
      </w:pPr>
      <w:r>
        <w:rPr>
          <w:rStyle w:val="FootnoteReference"/>
        </w:rPr>
        <w:footnoteRef/>
      </w:r>
      <w:r>
        <w:t xml:space="preserve"> </w:t>
      </w:r>
      <w:r w:rsidRPr="00192A46">
        <w:t>D</w:t>
      </w:r>
      <w:r>
        <w:t xml:space="preserve">een, Exhibit No. ___ (MCD-1T), </w:t>
      </w:r>
      <w:r w:rsidRPr="00192A46">
        <w:t>at 7</w:t>
      </w:r>
      <w:r>
        <w:t xml:space="preserve">, lines </w:t>
      </w:r>
      <w:r w:rsidRPr="00192A46">
        <w:t>1-6</w:t>
      </w:r>
      <w:r>
        <w:t>,</w:t>
      </w:r>
      <w:r w:rsidRPr="00192A46">
        <w:t xml:space="preserve"> and 9</w:t>
      </w:r>
      <w:r>
        <w:t xml:space="preserve">, lines </w:t>
      </w:r>
      <w:r w:rsidRPr="00192A46">
        <w:t xml:space="preserve">10-17.  </w:t>
      </w:r>
    </w:p>
  </w:footnote>
  <w:footnote w:id="25">
    <w:p w14:paraId="3FEE4BC8" w14:textId="392BF894" w:rsidR="00772853" w:rsidRDefault="00772853" w:rsidP="0026337D">
      <w:pPr>
        <w:pStyle w:val="FootnoteText"/>
      </w:pPr>
      <w:r>
        <w:rPr>
          <w:rStyle w:val="FootnoteReference"/>
        </w:rPr>
        <w:footnoteRef/>
      </w:r>
      <w:r>
        <w:t xml:space="preserve"> Id. at 7, line 17.  </w:t>
      </w:r>
    </w:p>
  </w:footnote>
  <w:footnote w:id="26">
    <w:p w14:paraId="3FEE4BC9" w14:textId="77777777" w:rsidR="00772853" w:rsidRDefault="00772853" w:rsidP="0026337D">
      <w:pPr>
        <w:pStyle w:val="FootnoteText"/>
      </w:pPr>
      <w:r>
        <w:rPr>
          <w:rStyle w:val="FootnoteReference"/>
        </w:rPr>
        <w:footnoteRef/>
      </w:r>
      <w:r>
        <w:t xml:space="preserve"> </w:t>
      </w:r>
      <w:moveToRangeStart w:id="9" w:author="Don Trotter" w:date="2012-08-31T08:51:00Z" w:name="move334166397"/>
      <w:r>
        <w:t xml:space="preserve">Decoupling Policy Statement at ¶ 11, n. 22 and ¶ 28, n. 44.  </w:t>
      </w:r>
      <w:moveToRangeEnd w:id="9"/>
    </w:p>
  </w:footnote>
  <w:footnote w:id="27">
    <w:p w14:paraId="3FEE4BCA" w14:textId="0ACD5743" w:rsidR="00772853" w:rsidRDefault="00772853">
      <w:pPr>
        <w:pStyle w:val="FootnoteText"/>
      </w:pPr>
      <w:r>
        <w:rPr>
          <w:rStyle w:val="FootnoteReference"/>
        </w:rPr>
        <w:footnoteRef/>
      </w:r>
      <w:r>
        <w:t xml:space="preserve"> Id. at 16, line 27.</w:t>
      </w:r>
    </w:p>
  </w:footnote>
  <w:footnote w:id="28">
    <w:p w14:paraId="3FEE4BCB" w14:textId="77777777" w:rsidR="00772853" w:rsidRDefault="00772853" w:rsidP="0026337D">
      <w:pPr>
        <w:pStyle w:val="FootnoteText"/>
      </w:pPr>
      <w:r>
        <w:rPr>
          <w:rStyle w:val="FootnoteReference"/>
        </w:rPr>
        <w:footnoteRef/>
      </w:r>
      <w:r>
        <w:t xml:space="preserve"> Id.</w:t>
      </w:r>
      <w:r w:rsidRPr="00192A46">
        <w:t xml:space="preserve"> at 16-17, ¶¶ 27-28.</w:t>
      </w:r>
    </w:p>
  </w:footnote>
  <w:footnote w:id="29">
    <w:p w14:paraId="3FEE4BCC" w14:textId="03EA28B0" w:rsidR="00772853" w:rsidRDefault="00772853">
      <w:pPr>
        <w:pStyle w:val="FootnoteText"/>
      </w:pPr>
      <w:r>
        <w:rPr>
          <w:rStyle w:val="FootnoteReference"/>
        </w:rPr>
        <w:footnoteRef/>
      </w:r>
      <w:r>
        <w:t xml:space="preserve"> Elgin, Exhibit No. ___ (KLE-2T), at 3, lines 1-11.</w:t>
      </w:r>
    </w:p>
  </w:footnote>
  <w:footnote w:id="30">
    <w:p w14:paraId="3FEE4BCD" w14:textId="20534031" w:rsidR="00772853" w:rsidRDefault="00772853" w:rsidP="0026337D">
      <w:pPr>
        <w:pStyle w:val="FootnoteText"/>
      </w:pPr>
      <w:r>
        <w:rPr>
          <w:rStyle w:val="FootnoteReference"/>
        </w:rPr>
        <w:footnoteRef/>
      </w:r>
      <w:r>
        <w:t xml:space="preserve"> Ehrbar, Exhibit No. ___ (PDE-9T) at 9, line </w:t>
      </w:r>
      <w:r w:rsidRPr="00192A46">
        <w:t>9 to 10</w:t>
      </w:r>
      <w:r>
        <w:t xml:space="preserve">, line </w:t>
      </w:r>
      <w:r w:rsidRPr="00192A46">
        <w:t>10</w:t>
      </w:r>
      <w:r>
        <w:t>,</w:t>
      </w:r>
      <w:r w:rsidRPr="00192A46">
        <w:t xml:space="preserve"> and 29</w:t>
      </w:r>
      <w:r>
        <w:t xml:space="preserve">, lines </w:t>
      </w:r>
      <w:r w:rsidRPr="00192A46">
        <w:t xml:space="preserve">17-23.  </w:t>
      </w:r>
    </w:p>
  </w:footnote>
  <w:footnote w:id="31">
    <w:p w14:paraId="3FEE4BCE" w14:textId="32353FAD" w:rsidR="00772853" w:rsidRDefault="00772853" w:rsidP="00951F6B">
      <w:pPr>
        <w:spacing w:line="240" w:lineRule="auto"/>
      </w:pPr>
      <w:r w:rsidRPr="00253E2D">
        <w:rPr>
          <w:rStyle w:val="FootnoteReference"/>
          <w:sz w:val="20"/>
          <w:szCs w:val="20"/>
        </w:rPr>
        <w:footnoteRef/>
      </w:r>
      <w:r w:rsidRPr="00253E2D">
        <w:rPr>
          <w:sz w:val="20"/>
          <w:szCs w:val="20"/>
        </w:rPr>
        <w:t xml:space="preserve"> Id. at 9</w:t>
      </w:r>
      <w:r>
        <w:rPr>
          <w:sz w:val="20"/>
          <w:szCs w:val="20"/>
        </w:rPr>
        <w:t xml:space="preserve">, lines </w:t>
      </w:r>
      <w:r w:rsidRPr="00253E2D">
        <w:rPr>
          <w:sz w:val="20"/>
          <w:szCs w:val="20"/>
        </w:rPr>
        <w:t xml:space="preserve">13-15.  </w:t>
      </w:r>
    </w:p>
  </w:footnote>
  <w:footnote w:id="32">
    <w:p w14:paraId="3FEE4BCF" w14:textId="1D0FB194" w:rsidR="00772853" w:rsidRDefault="00772853">
      <w:pPr>
        <w:pStyle w:val="FootnoteText"/>
      </w:pPr>
      <w:r>
        <w:rPr>
          <w:rStyle w:val="FootnoteReference"/>
        </w:rPr>
        <w:footnoteRef/>
      </w:r>
      <w:r>
        <w:t xml:space="preserve"> Ehrbar</w:t>
      </w:r>
      <w:r w:rsidRPr="00192A46">
        <w:t xml:space="preserve">, Exhibit No. ___ (PDE-9T) at </w:t>
      </w:r>
      <w:r>
        <w:t>1, line 20.</w:t>
      </w:r>
    </w:p>
  </w:footnote>
  <w:footnote w:id="33">
    <w:p w14:paraId="3FEE4BD0" w14:textId="18AA0FA8" w:rsidR="00772853" w:rsidRDefault="00772853">
      <w:pPr>
        <w:pStyle w:val="FootnoteText"/>
      </w:pPr>
      <w:r>
        <w:rPr>
          <w:rStyle w:val="FootnoteReference"/>
        </w:rPr>
        <w:footnoteRef/>
      </w:r>
      <w:r>
        <w:t xml:space="preserve"> PSE Order at 171, </w:t>
      </w:r>
      <w:r w:rsidRPr="00192A46">
        <w:t xml:space="preserve">¶ </w:t>
      </w:r>
      <w:r>
        <w:t>465.</w:t>
      </w:r>
    </w:p>
  </w:footnote>
  <w:footnote w:id="34">
    <w:p w14:paraId="3FEE4BD1" w14:textId="7C6CB00F" w:rsidR="00772853" w:rsidRDefault="00772853" w:rsidP="0026337D">
      <w:pPr>
        <w:pStyle w:val="FootnoteText"/>
      </w:pPr>
      <w:r>
        <w:rPr>
          <w:rStyle w:val="FootnoteReference"/>
        </w:rPr>
        <w:footnoteRef/>
      </w:r>
      <w:r>
        <w:t xml:space="preserve"> </w:t>
      </w:r>
      <w:r w:rsidRPr="00192A46">
        <w:t>Dismukes, Exhibit No. ___ (DED-1T) at 21</w:t>
      </w:r>
      <w:r>
        <w:t xml:space="preserve">, lines </w:t>
      </w:r>
      <w:r w:rsidRPr="00192A46">
        <w:t xml:space="preserve">18-22.  </w:t>
      </w:r>
    </w:p>
  </w:footnote>
  <w:footnote w:id="35">
    <w:p w14:paraId="3FEE4BD2" w14:textId="77777777" w:rsidR="00772853" w:rsidRDefault="00772853" w:rsidP="0026337D">
      <w:pPr>
        <w:pStyle w:val="FootnoteText"/>
      </w:pPr>
      <w:r>
        <w:rPr>
          <w:rStyle w:val="FootnoteReference"/>
        </w:rPr>
        <w:footnoteRef/>
      </w:r>
      <w:r>
        <w:t xml:space="preserve"> </w:t>
      </w:r>
      <w:r w:rsidRPr="00192A46">
        <w:t xml:space="preserve">Exhibit No. ___ (DED-6).  </w:t>
      </w:r>
    </w:p>
  </w:footnote>
  <w:footnote w:id="36">
    <w:p w14:paraId="3FEE4BD3" w14:textId="4BC4238C" w:rsidR="00772853" w:rsidRDefault="00772853" w:rsidP="0026337D">
      <w:pPr>
        <w:pStyle w:val="FootnoteText"/>
      </w:pPr>
      <w:r>
        <w:rPr>
          <w:rStyle w:val="FootnoteReference"/>
        </w:rPr>
        <w:footnoteRef/>
      </w:r>
      <w:r>
        <w:t xml:space="preserve"> </w:t>
      </w:r>
      <w:r w:rsidRPr="00192A46">
        <w:t>Dismukes, Exhibit No. ___ (DED-1T) at</w:t>
      </w:r>
      <w:r>
        <w:t xml:space="preserve"> 25, lines </w:t>
      </w:r>
      <w:r w:rsidRPr="00192A46">
        <w:t xml:space="preserve">6-7.  </w:t>
      </w:r>
    </w:p>
  </w:footnote>
  <w:footnote w:id="37">
    <w:p w14:paraId="3FEE4BD4" w14:textId="64052098" w:rsidR="00772853" w:rsidRDefault="00772853" w:rsidP="0026337D">
      <w:pPr>
        <w:pStyle w:val="FootnoteText"/>
      </w:pPr>
      <w:r>
        <w:rPr>
          <w:rStyle w:val="FootnoteReference"/>
        </w:rPr>
        <w:footnoteRef/>
      </w:r>
      <w:r>
        <w:t xml:space="preserve"> </w:t>
      </w:r>
      <w:r w:rsidRPr="00192A46">
        <w:t>Deen, Exhibit No. ___ (MCD-1T) at 11</w:t>
      </w:r>
      <w:r>
        <w:t xml:space="preserve">, lines </w:t>
      </w:r>
      <w:r w:rsidRPr="00192A46">
        <w:t xml:space="preserve">18-21.  </w:t>
      </w:r>
    </w:p>
  </w:footnote>
  <w:footnote w:id="38">
    <w:p w14:paraId="3FEE4BD5" w14:textId="73E852F6" w:rsidR="00772853" w:rsidRDefault="00772853" w:rsidP="0026337D">
      <w:pPr>
        <w:pStyle w:val="FootnoteText"/>
      </w:pPr>
      <w:r>
        <w:rPr>
          <w:rStyle w:val="FootnoteReference"/>
        </w:rPr>
        <w:footnoteRef/>
      </w:r>
      <w:r>
        <w:t xml:space="preserve"> </w:t>
      </w:r>
      <w:r w:rsidRPr="00192A46">
        <w:t>Id at 13</w:t>
      </w:r>
      <w:r>
        <w:t xml:space="preserve">, lines </w:t>
      </w:r>
      <w:r w:rsidRPr="00192A46">
        <w:t>2-6.</w:t>
      </w:r>
      <w:r>
        <w:t xml:space="preserve">  </w:t>
      </w:r>
    </w:p>
  </w:footnote>
  <w:footnote w:id="39">
    <w:p w14:paraId="3FEE4BD6" w14:textId="3BCA004E" w:rsidR="00772853" w:rsidRDefault="00772853" w:rsidP="0026337D">
      <w:pPr>
        <w:pStyle w:val="FootnoteText"/>
      </w:pPr>
      <w:r>
        <w:rPr>
          <w:rStyle w:val="FootnoteReference"/>
        </w:rPr>
        <w:footnoteRef/>
      </w:r>
      <w:r>
        <w:t xml:space="preserve"> Id. at 10, lines </w:t>
      </w:r>
      <w:r w:rsidRPr="00192A46">
        <w:t xml:space="preserve">12-13.  </w:t>
      </w:r>
    </w:p>
  </w:footnote>
  <w:footnote w:id="40">
    <w:p w14:paraId="3FEE4BD7" w14:textId="27C31844" w:rsidR="00772853" w:rsidRDefault="00772853">
      <w:pPr>
        <w:pStyle w:val="FootnoteText"/>
      </w:pPr>
      <w:r>
        <w:rPr>
          <w:rStyle w:val="FootnoteReference"/>
        </w:rPr>
        <w:footnoteRef/>
      </w:r>
      <w:r>
        <w:t xml:space="preserve"> Elgin, Exhibit No. ___ (KLE-2T) at 3, lines 1-11.</w:t>
      </w:r>
    </w:p>
  </w:footnote>
  <w:footnote w:id="41">
    <w:p w14:paraId="3FEE4BD8" w14:textId="77777777" w:rsidR="00772853" w:rsidRDefault="00772853" w:rsidP="0026337D">
      <w:pPr>
        <w:pStyle w:val="FootnoteText"/>
      </w:pPr>
      <w:r>
        <w:rPr>
          <w:rStyle w:val="FootnoteReference"/>
        </w:rPr>
        <w:footnoteRef/>
      </w:r>
      <w:r>
        <w:t xml:space="preserve"> </w:t>
      </w:r>
      <w:r w:rsidRPr="00192A46">
        <w:t>Exhibit No. ___ (DJR-2) at 1</w:t>
      </w:r>
      <w:r>
        <w:t>2</w:t>
      </w:r>
      <w:r w:rsidRPr="00192A46">
        <w:t>-1</w:t>
      </w:r>
      <w:r>
        <w:t>4</w:t>
      </w:r>
      <w:r w:rsidRPr="00192A46">
        <w:t>.</w:t>
      </w:r>
    </w:p>
  </w:footnote>
  <w:footnote w:id="42">
    <w:p w14:paraId="3FEE4BD9" w14:textId="77777777" w:rsidR="00772853" w:rsidRDefault="00772853" w:rsidP="0026337D">
      <w:pPr>
        <w:pStyle w:val="FootnoteText"/>
      </w:pPr>
      <w:r>
        <w:rPr>
          <w:rStyle w:val="FootnoteReference"/>
        </w:rPr>
        <w:footnoteRef/>
      </w:r>
      <w:r>
        <w:t xml:space="preserve"> </w:t>
      </w:r>
      <w:r w:rsidRPr="00192A46">
        <w:t>Decoupling Policy Statement at 17, ¶ 28.</w:t>
      </w:r>
    </w:p>
  </w:footnote>
  <w:footnote w:id="43">
    <w:p w14:paraId="3FEE4BDA" w14:textId="3CD6751A" w:rsidR="00772853" w:rsidRDefault="00772853" w:rsidP="0026337D">
      <w:pPr>
        <w:pStyle w:val="FootnoteText"/>
      </w:pPr>
      <w:r>
        <w:rPr>
          <w:rStyle w:val="FootnoteReference"/>
        </w:rPr>
        <w:footnoteRef/>
      </w:r>
      <w:r>
        <w:t xml:space="preserve"> Ehrbar</w:t>
      </w:r>
      <w:r w:rsidRPr="00192A46">
        <w:t>, Exhibit No. ___ (PDE-9T) at 30</w:t>
      </w:r>
      <w:r>
        <w:t xml:space="preserve">, lines </w:t>
      </w:r>
      <w:r w:rsidRPr="00192A46">
        <w:t xml:space="preserve">26-31.  </w:t>
      </w:r>
    </w:p>
  </w:footnote>
  <w:footnote w:id="44">
    <w:p w14:paraId="3FEE4BDB" w14:textId="77777777" w:rsidR="00772853" w:rsidRDefault="00772853" w:rsidP="0026337D">
      <w:pPr>
        <w:pStyle w:val="FootnoteText"/>
      </w:pPr>
      <w:r>
        <w:rPr>
          <w:rStyle w:val="FootnoteReference"/>
        </w:rPr>
        <w:footnoteRef/>
      </w:r>
      <w:r>
        <w:t xml:space="preserve"> Exhibit No. ___ (DJR-2) at 16.  </w:t>
      </w:r>
    </w:p>
  </w:footnote>
  <w:footnote w:id="45">
    <w:p w14:paraId="3FEE4BDC" w14:textId="76BDA2FA" w:rsidR="00772853" w:rsidRDefault="00772853" w:rsidP="0026337D">
      <w:pPr>
        <w:pStyle w:val="FootnoteText"/>
      </w:pPr>
      <w:r>
        <w:rPr>
          <w:rStyle w:val="FootnoteReference"/>
        </w:rPr>
        <w:footnoteRef/>
      </w:r>
      <w:r>
        <w:t xml:space="preserve"> </w:t>
      </w:r>
      <w:r w:rsidRPr="00192A46">
        <w:t>Dismukes, Exhibit No. ___ (DED-1T) at 10</w:t>
      </w:r>
      <w:r>
        <w:t xml:space="preserve">, lines </w:t>
      </w:r>
      <w:r w:rsidRPr="00192A46">
        <w:t>4-17; Deen, Exhibit No. ___ (MCD-1T) at 10</w:t>
      </w:r>
      <w:r>
        <w:t xml:space="preserve">, lines </w:t>
      </w:r>
      <w:r w:rsidRPr="00192A46">
        <w:t>1-6.</w:t>
      </w:r>
    </w:p>
  </w:footnote>
  <w:footnote w:id="46">
    <w:p w14:paraId="3FEE4BDD" w14:textId="77777777" w:rsidR="00772853" w:rsidRDefault="00772853" w:rsidP="000E4464">
      <w:pPr>
        <w:pStyle w:val="Heading3"/>
      </w:pPr>
      <w:r w:rsidRPr="000E4464">
        <w:rPr>
          <w:rStyle w:val="FootnoteReference"/>
          <w:sz w:val="20"/>
          <w:szCs w:val="20"/>
        </w:rPr>
        <w:footnoteRef/>
      </w:r>
      <w:r w:rsidRPr="000E4464">
        <w:rPr>
          <w:sz w:val="20"/>
          <w:szCs w:val="20"/>
        </w:rPr>
        <w:t xml:space="preserve"> </w:t>
      </w:r>
      <w:r w:rsidRPr="000E4464">
        <w:rPr>
          <w:b w:val="0"/>
          <w:sz w:val="20"/>
          <w:szCs w:val="20"/>
        </w:rPr>
        <w:t>Decoupling Policy Statement at 19, Criterion 4, ¶ 28.</w:t>
      </w:r>
    </w:p>
  </w:footnote>
  <w:footnote w:id="47">
    <w:p w14:paraId="3FEE4BDE" w14:textId="3C4DB883" w:rsidR="00772853" w:rsidRDefault="00772853" w:rsidP="0026337D">
      <w:pPr>
        <w:pStyle w:val="FootnoteText"/>
      </w:pPr>
      <w:r>
        <w:rPr>
          <w:rStyle w:val="FootnoteReference"/>
        </w:rPr>
        <w:footnoteRef/>
      </w:r>
      <w:r>
        <w:t xml:space="preserve"> Ehrbar</w:t>
      </w:r>
      <w:r w:rsidRPr="00192A46">
        <w:t>, Exhibit No. ___ (PDE-9T) at 26</w:t>
      </w:r>
      <w:r>
        <w:t xml:space="preserve">, lines </w:t>
      </w:r>
      <w:r w:rsidRPr="00192A46">
        <w:t>10-14 and 27</w:t>
      </w:r>
      <w:r>
        <w:t xml:space="preserve">, lines </w:t>
      </w:r>
      <w:r w:rsidRPr="00192A46">
        <w:t xml:space="preserve">8-16.  </w:t>
      </w:r>
    </w:p>
  </w:footnote>
  <w:footnote w:id="48">
    <w:p w14:paraId="3FEE4BDF" w14:textId="5306AA9E" w:rsidR="00772853" w:rsidRDefault="00772853" w:rsidP="0026337D">
      <w:pPr>
        <w:pStyle w:val="FootnoteText"/>
      </w:pPr>
      <w:r>
        <w:rPr>
          <w:rStyle w:val="FootnoteReference"/>
        </w:rPr>
        <w:footnoteRef/>
      </w:r>
      <w:r w:rsidRPr="00192A46">
        <w:t xml:space="preserve"> Dismukes,</w:t>
      </w:r>
      <w:r>
        <w:t xml:space="preserve"> Exhibit No. ___ (DED-1T) at 34, lines </w:t>
      </w:r>
      <w:r w:rsidRPr="00192A46">
        <w:t xml:space="preserve">6-11.  </w:t>
      </w:r>
    </w:p>
  </w:footnote>
  <w:footnote w:id="49">
    <w:p w14:paraId="3FEE4BE0" w14:textId="77777777" w:rsidR="00772853" w:rsidRPr="0026337D" w:rsidRDefault="00772853" w:rsidP="0026337D">
      <w:pPr>
        <w:pStyle w:val="FootnoteText"/>
      </w:pPr>
      <w:r w:rsidRPr="0026337D">
        <w:rPr>
          <w:rStyle w:val="FootnoteReference"/>
          <w:b/>
        </w:rPr>
        <w:footnoteRef/>
      </w:r>
      <w:r w:rsidRPr="0026337D">
        <w:t xml:space="preserve"> Decoupling Policy Statement at 19, Criterion 3, ¶ 28.  </w:t>
      </w:r>
    </w:p>
  </w:footnote>
  <w:footnote w:id="50">
    <w:p w14:paraId="3FEE4BE1" w14:textId="77777777" w:rsidR="00772853" w:rsidRDefault="00772853">
      <w:pPr>
        <w:pStyle w:val="FootnoteText"/>
      </w:pPr>
      <w:r>
        <w:rPr>
          <w:rStyle w:val="FootnoteReference"/>
        </w:rPr>
        <w:footnoteRef/>
      </w:r>
      <w:r>
        <w:t xml:space="preserve"> Id. at 21</w:t>
      </w:r>
      <w:r w:rsidRPr="0026337D">
        <w:t xml:space="preserve">, ¶ </w:t>
      </w:r>
      <w:r>
        <w:t>33.</w:t>
      </w:r>
    </w:p>
  </w:footnote>
  <w:footnote w:id="51">
    <w:p w14:paraId="3FEE4BE2" w14:textId="77777777" w:rsidR="00772853" w:rsidRDefault="00772853">
      <w:pPr>
        <w:pStyle w:val="FootnoteText"/>
      </w:pPr>
      <w:r>
        <w:rPr>
          <w:rStyle w:val="FootnoteReference"/>
        </w:rPr>
        <w:footnoteRef/>
      </w:r>
      <w:r>
        <w:t xml:space="preserve"> Id. at 21, Element 2, </w:t>
      </w:r>
      <w:r w:rsidRPr="0026337D">
        <w:t xml:space="preserve">¶ </w:t>
      </w:r>
      <w:r>
        <w:t>33 and at 22, Element 3</w:t>
      </w:r>
      <w:r w:rsidRPr="0026337D">
        <w:t xml:space="preserve">, ¶ </w:t>
      </w:r>
      <w:r>
        <w:t>33.</w:t>
      </w:r>
    </w:p>
  </w:footnote>
  <w:footnote w:id="52">
    <w:p w14:paraId="3FEE4BE3" w14:textId="77777777" w:rsidR="00772853" w:rsidRDefault="00772853">
      <w:pPr>
        <w:pStyle w:val="FootnoteText"/>
      </w:pPr>
      <w:r>
        <w:rPr>
          <w:rStyle w:val="FootnoteReference"/>
        </w:rPr>
        <w:footnoteRef/>
      </w:r>
      <w:r>
        <w:t xml:space="preserve"> </w:t>
      </w:r>
      <w:r>
        <w:rPr>
          <w:i/>
        </w:rPr>
        <w:t>Pac. Power &amp; Light Co.</w:t>
      </w:r>
      <w:r>
        <w:t>, Docket UE</w:t>
      </w:r>
      <w:r>
        <w:noBreakHyphen/>
        <w:t xml:space="preserve">111880, Order 01 Approving Pacific Power &amp; Light Company’s 2012-2021 Achievable Conservation Potential and 2012-2013 Conservation Target Subject to Conditions (April 26, 2012);  </w:t>
      </w:r>
      <w:r w:rsidRPr="00DA5109">
        <w:rPr>
          <w:i/>
        </w:rPr>
        <w:t>Puget Sound Energy</w:t>
      </w:r>
      <w:r>
        <w:t>, Docket UE</w:t>
      </w:r>
      <w:r>
        <w:noBreakHyphen/>
        <w:t xml:space="preserve">111881, Order 01 Approving Puget Sound Energy’s 2012-2021 Achievable Conservation Potential and 2012-2013 Conservation Target Subject to Conditions (June 14, 2012);  </w:t>
      </w:r>
      <w:r>
        <w:rPr>
          <w:i/>
        </w:rPr>
        <w:t>Avista Corporation</w:t>
      </w:r>
      <w:r>
        <w:t>, Docket UE</w:t>
      </w:r>
      <w:r>
        <w:noBreakHyphen/>
        <w:t>111882, Order 01 Approving Avista Corporation’s 2012-2021 Achievable Conservation Potential and 2012-2013 Conservation Target Subject to Conditions (February 10, 2012).</w:t>
      </w:r>
    </w:p>
  </w:footnote>
  <w:footnote w:id="53">
    <w:p w14:paraId="3FEE4BE4" w14:textId="781CCBEE" w:rsidR="00772853" w:rsidRDefault="00772853">
      <w:pPr>
        <w:pStyle w:val="FootnoteText"/>
      </w:pPr>
      <w:r>
        <w:rPr>
          <w:rStyle w:val="FootnoteReference"/>
        </w:rPr>
        <w:footnoteRef/>
      </w:r>
      <w:r>
        <w:t xml:space="preserve"> Ehrbar</w:t>
      </w:r>
      <w:r w:rsidRPr="00192A46">
        <w:t>,</w:t>
      </w:r>
      <w:r>
        <w:t xml:space="preserve"> Exhibit No. ___ (PDE-9T) at 26, lines </w:t>
      </w:r>
      <w:r w:rsidRPr="00192A46">
        <w:t>1-6.</w:t>
      </w:r>
    </w:p>
  </w:footnote>
  <w:footnote w:id="54">
    <w:p w14:paraId="3FEE4BE5" w14:textId="66E0725C" w:rsidR="00772853" w:rsidRDefault="00772853">
      <w:pPr>
        <w:pStyle w:val="FootnoteText"/>
      </w:pPr>
      <w:r>
        <w:rPr>
          <w:rStyle w:val="FootnoteReference"/>
        </w:rPr>
        <w:footnoteRef/>
      </w:r>
      <w:r>
        <w:t xml:space="preserve"> </w:t>
      </w:r>
      <w:r w:rsidRPr="00192A46">
        <w:t>Dismukes,</w:t>
      </w:r>
      <w:r>
        <w:t xml:space="preserve"> Exhibit No. ___ (DED-1T) at 34, lines </w:t>
      </w:r>
      <w:r w:rsidRPr="00192A46">
        <w:t>1-4.</w:t>
      </w:r>
    </w:p>
  </w:footnote>
  <w:footnote w:id="55">
    <w:p w14:paraId="3FEE4BE6" w14:textId="6CA02004" w:rsidR="00772853" w:rsidRDefault="00772853">
      <w:pPr>
        <w:pStyle w:val="FootnoteText"/>
      </w:pPr>
      <w:r>
        <w:rPr>
          <w:rStyle w:val="FootnoteReference"/>
        </w:rPr>
        <w:footnoteRef/>
      </w:r>
      <w:r>
        <w:t xml:space="preserve"> Id. at 6, line 12; Deen, Exhibit No. ___ (MCD-1T) at 3, line 21.</w:t>
      </w:r>
    </w:p>
  </w:footnote>
  <w:footnote w:id="56">
    <w:p w14:paraId="3FEE4BE7" w14:textId="77777777" w:rsidR="00772853" w:rsidRDefault="00772853">
      <w:pPr>
        <w:pStyle w:val="FootnoteText"/>
      </w:pPr>
      <w:r>
        <w:rPr>
          <w:rStyle w:val="FootnoteReference"/>
        </w:rPr>
        <w:footnoteRef/>
      </w:r>
      <w:r>
        <w:t xml:space="preserve"> See my Exhibit No. ___ (DJR-2) at 18.</w:t>
      </w:r>
    </w:p>
  </w:footnote>
  <w:footnote w:id="57">
    <w:p w14:paraId="3FEE4BE8" w14:textId="77777777" w:rsidR="00772853" w:rsidRDefault="00772853">
      <w:pPr>
        <w:pStyle w:val="FootnoteText"/>
      </w:pPr>
      <w:r>
        <w:rPr>
          <w:rStyle w:val="FootnoteReference"/>
        </w:rPr>
        <w:footnoteRef/>
      </w:r>
      <w:r>
        <w:t xml:space="preserve"> </w:t>
      </w:r>
      <w:r w:rsidRPr="00C23DC7">
        <w:t>Decoupling Policy Statement at ¶ 33.</w:t>
      </w:r>
      <w:r>
        <w:t xml:space="preserve">  </w:t>
      </w:r>
    </w:p>
  </w:footnote>
  <w:footnote w:id="58">
    <w:p w14:paraId="3FEE4BE9" w14:textId="77777777" w:rsidR="00772853" w:rsidRDefault="00772853">
      <w:pPr>
        <w:pStyle w:val="FootnoteText"/>
      </w:pPr>
      <w:r>
        <w:rPr>
          <w:rStyle w:val="FootnoteReference"/>
        </w:rPr>
        <w:footnoteRef/>
      </w:r>
      <w:r>
        <w:t xml:space="preserve"> Id.</w:t>
      </w:r>
      <w:r w:rsidRPr="00192A46">
        <w:t xml:space="preserve"> at 17, Element 4, ¶ 28 and at n.45.</w:t>
      </w:r>
    </w:p>
  </w:footnote>
  <w:footnote w:id="59">
    <w:p w14:paraId="3FEE4BEA" w14:textId="66BF641B" w:rsidR="00772853" w:rsidRDefault="00772853">
      <w:pPr>
        <w:pStyle w:val="FootnoteText"/>
      </w:pPr>
      <w:r>
        <w:rPr>
          <w:rStyle w:val="FootnoteReference"/>
        </w:rPr>
        <w:footnoteRef/>
      </w:r>
      <w:r>
        <w:t xml:space="preserve"> Ehrbar</w:t>
      </w:r>
      <w:r w:rsidRPr="00192A46">
        <w:t>,</w:t>
      </w:r>
      <w:r>
        <w:t xml:space="preserve"> Exhibit No. ___ (PDE-9T), at 31, line </w:t>
      </w:r>
      <w:r w:rsidRPr="00192A46">
        <w:t>19 to</w:t>
      </w:r>
      <w:r>
        <w:t xml:space="preserve"> </w:t>
      </w:r>
      <w:r w:rsidRPr="00192A46">
        <w:t>32</w:t>
      </w:r>
      <w:r>
        <w:t xml:space="preserve">, line </w:t>
      </w:r>
      <w:r w:rsidRPr="00192A46">
        <w:t>18.</w:t>
      </w:r>
    </w:p>
  </w:footnote>
  <w:footnote w:id="60">
    <w:p w14:paraId="3FEE4BEB" w14:textId="297962C9" w:rsidR="00772853" w:rsidRDefault="00772853">
      <w:pPr>
        <w:pStyle w:val="FootnoteText"/>
      </w:pPr>
      <w:r>
        <w:rPr>
          <w:rStyle w:val="FootnoteReference"/>
        </w:rPr>
        <w:footnoteRef/>
      </w:r>
      <w:r>
        <w:t xml:space="preserve"> Buckley, Exhibit No. ___ (APB-CT1,) at 21.</w:t>
      </w:r>
    </w:p>
  </w:footnote>
  <w:footnote w:id="61">
    <w:p w14:paraId="3FEE4BEC" w14:textId="38FAA5BC" w:rsidR="00772853" w:rsidRDefault="00772853">
      <w:pPr>
        <w:pStyle w:val="FootnoteText"/>
      </w:pPr>
      <w:r>
        <w:rPr>
          <w:rStyle w:val="FootnoteReference"/>
        </w:rPr>
        <w:footnoteRef/>
      </w:r>
      <w:r>
        <w:t xml:space="preserve"> Buckley, Exhibit No. ___ (APB-1CT), at 19-21.</w:t>
      </w:r>
    </w:p>
  </w:footnote>
  <w:footnote w:id="62">
    <w:p w14:paraId="3FEE4BED" w14:textId="58470E41" w:rsidR="00772853" w:rsidRDefault="00772853">
      <w:pPr>
        <w:pStyle w:val="FootnoteText"/>
      </w:pPr>
      <w:r>
        <w:rPr>
          <w:rStyle w:val="FootnoteReference"/>
        </w:rPr>
        <w:footnoteRef/>
      </w:r>
      <w:r>
        <w:t xml:space="preserve"> </w:t>
      </w:r>
      <w:r w:rsidRPr="00192A46">
        <w:t>Dis</w:t>
      </w:r>
      <w:r>
        <w:t>m</w:t>
      </w:r>
      <w:r w:rsidRPr="00192A46">
        <w:t>ukes,</w:t>
      </w:r>
      <w:r>
        <w:t xml:space="preserve"> Exhibit No. ___ (DED-1T), at 32, line </w:t>
      </w:r>
      <w:r w:rsidRPr="00192A46">
        <w:t>7 to 33</w:t>
      </w:r>
      <w:r>
        <w:t xml:space="preserve">, line </w:t>
      </w:r>
      <w:r w:rsidRPr="00192A46">
        <w:t xml:space="preserve">5.  </w:t>
      </w:r>
    </w:p>
  </w:footnote>
  <w:footnote w:id="63">
    <w:p w14:paraId="3FEE4BEE" w14:textId="73ECC636" w:rsidR="00772853" w:rsidRDefault="00772853">
      <w:pPr>
        <w:pStyle w:val="FootnoteText"/>
      </w:pPr>
      <w:r>
        <w:rPr>
          <w:rStyle w:val="FootnoteReference"/>
        </w:rPr>
        <w:footnoteRef/>
      </w:r>
      <w:r>
        <w:t xml:space="preserve"> </w:t>
      </w:r>
      <w:r w:rsidRPr="00192A46">
        <w:t>Id. at 33</w:t>
      </w:r>
      <w:r>
        <w:t xml:space="preserve">, lines </w:t>
      </w:r>
      <w:r w:rsidRPr="00192A46">
        <w:t>10-12.</w:t>
      </w:r>
    </w:p>
  </w:footnote>
  <w:footnote w:id="64">
    <w:p w14:paraId="3FEE4BEF" w14:textId="680C6AAF" w:rsidR="00772853" w:rsidRDefault="00772853">
      <w:pPr>
        <w:pStyle w:val="FootnoteText"/>
      </w:pPr>
      <w:r>
        <w:rPr>
          <w:rStyle w:val="FootnoteReference"/>
        </w:rPr>
        <w:footnoteRef/>
      </w:r>
      <w:r>
        <w:t xml:space="preserve"> Exhibit No. ___ (WGJ-5), Retail Revenue Credit = $33.29 per MWh; also, see my Exhibit No. ___ (DJR-2), at 29, line 13, column c.</w:t>
      </w:r>
    </w:p>
  </w:footnote>
  <w:footnote w:id="65">
    <w:p w14:paraId="3FEE4BF0" w14:textId="77777777" w:rsidR="00772853" w:rsidRDefault="00772853">
      <w:pPr>
        <w:pStyle w:val="FootnoteText"/>
      </w:pPr>
      <w:r>
        <w:rPr>
          <w:rStyle w:val="FootnoteReference"/>
        </w:rPr>
        <w:footnoteRef/>
      </w:r>
      <w:r>
        <w:t xml:space="preserve"> </w:t>
      </w:r>
      <w:r w:rsidRPr="00192A46">
        <w:t xml:space="preserve">PSE Order at 175, ¶ 473.  </w:t>
      </w:r>
    </w:p>
  </w:footnote>
  <w:footnote w:id="66">
    <w:p w14:paraId="3FEE4BF1" w14:textId="5BD129A3" w:rsidR="00772853" w:rsidRDefault="00772853">
      <w:pPr>
        <w:pStyle w:val="FootnoteText"/>
      </w:pPr>
      <w:r>
        <w:rPr>
          <w:rStyle w:val="FootnoteReference"/>
        </w:rPr>
        <w:footnoteRef/>
      </w:r>
      <w:r>
        <w:t xml:space="preserve"> </w:t>
      </w:r>
      <w:r w:rsidRPr="00192A46">
        <w:t xml:space="preserve">Exhibit No. ___ (DED-1T), </w:t>
      </w:r>
      <w:r>
        <w:t xml:space="preserve">at </w:t>
      </w:r>
      <w:r w:rsidRPr="00192A46">
        <w:t>26</w:t>
      </w:r>
      <w:r>
        <w:t xml:space="preserve">, line </w:t>
      </w:r>
      <w:r w:rsidRPr="00192A46">
        <w:t>13</w:t>
      </w:r>
      <w:r>
        <w:t xml:space="preserve">, through </w:t>
      </w:r>
      <w:r w:rsidRPr="00192A46">
        <w:t>27</w:t>
      </w:r>
      <w:r>
        <w:t xml:space="preserve">, line </w:t>
      </w:r>
      <w:r w:rsidRPr="00192A46">
        <w:t xml:space="preserve">2.  </w:t>
      </w:r>
    </w:p>
  </w:footnote>
  <w:footnote w:id="67">
    <w:p w14:paraId="3FEE4BF2" w14:textId="09B5C3B0" w:rsidR="00772853" w:rsidRDefault="00772853">
      <w:pPr>
        <w:pStyle w:val="FootnoteText"/>
      </w:pPr>
      <w:r>
        <w:rPr>
          <w:rStyle w:val="FootnoteReference"/>
        </w:rPr>
        <w:footnoteRef/>
      </w:r>
      <w:r>
        <w:t xml:space="preserve"> Id. at 27, line 12.</w:t>
      </w:r>
    </w:p>
  </w:footnote>
  <w:footnote w:id="68">
    <w:p w14:paraId="3FEE4BF3" w14:textId="7D9B5550" w:rsidR="00772853" w:rsidRDefault="00772853">
      <w:pPr>
        <w:pStyle w:val="FootnoteText"/>
      </w:pPr>
      <w:r>
        <w:rPr>
          <w:rStyle w:val="FootnoteReference"/>
        </w:rPr>
        <w:footnoteRef/>
      </w:r>
      <w:r>
        <w:t xml:space="preserve"> </w:t>
      </w:r>
      <w:r w:rsidRPr="00192A46">
        <w:t xml:space="preserve">Deen, Exhibit No. ___ (MCD-1T), </w:t>
      </w:r>
      <w:r>
        <w:t xml:space="preserve">at </w:t>
      </w:r>
      <w:r w:rsidRPr="00192A46">
        <w:t>15</w:t>
      </w:r>
      <w:r>
        <w:t xml:space="preserve">, lines </w:t>
      </w:r>
      <w:r w:rsidRPr="00192A46">
        <w:t xml:space="preserve">10-13.  </w:t>
      </w:r>
    </w:p>
  </w:footnote>
  <w:footnote w:id="69">
    <w:p w14:paraId="3FEE4BF4" w14:textId="77777777" w:rsidR="00772853" w:rsidRDefault="00772853">
      <w:pPr>
        <w:pStyle w:val="FootnoteText"/>
      </w:pPr>
      <w:r>
        <w:rPr>
          <w:rStyle w:val="FootnoteReference"/>
        </w:rPr>
        <w:footnoteRef/>
      </w:r>
      <w:r>
        <w:t xml:space="preserve"> </w:t>
      </w:r>
      <w:r w:rsidRPr="00192A46">
        <w:t>Exhibit No. ___ (DJR-2) at 1</w:t>
      </w:r>
      <w:r>
        <w:t>4</w:t>
      </w:r>
      <w:r w:rsidRPr="00192A46">
        <w:t xml:space="preserve">, last ¶.  </w:t>
      </w:r>
    </w:p>
  </w:footnote>
  <w:footnote w:id="70">
    <w:p w14:paraId="3FEE4BF5" w14:textId="77777777" w:rsidR="00772853" w:rsidRDefault="00772853">
      <w:pPr>
        <w:pStyle w:val="FootnoteText"/>
      </w:pPr>
      <w:r>
        <w:rPr>
          <w:rStyle w:val="FootnoteReference"/>
        </w:rPr>
        <w:footnoteRef/>
      </w:r>
      <w:r>
        <w:t xml:space="preserve"> Moody’s Investor’s Service, Special Comment: Decoupling and 21</w:t>
      </w:r>
      <w:r w:rsidRPr="001A5E16">
        <w:rPr>
          <w:vertAlign w:val="superscript"/>
        </w:rPr>
        <w:t>st</w:t>
      </w:r>
      <w:r>
        <w:t xml:space="preserve"> Century Rate Making, at 6 and 7 (November 4, 2011).</w:t>
      </w:r>
    </w:p>
  </w:footnote>
  <w:footnote w:id="71">
    <w:p w14:paraId="28DC04BC" w14:textId="2692313C" w:rsidR="00772853" w:rsidRPr="00646583" w:rsidRDefault="00772853" w:rsidP="002245A4">
      <w:pPr>
        <w:pStyle w:val="FootnoteText"/>
      </w:pPr>
      <w:r w:rsidRPr="00646583">
        <w:rPr>
          <w:rStyle w:val="FootnoteReference"/>
        </w:rPr>
        <w:footnoteRef/>
      </w:r>
      <w:r w:rsidRPr="00646583">
        <w:t xml:space="preserve"> Avista, Low-Income Rate Assistance Program Annual Summary Report </w:t>
      </w:r>
      <w:r>
        <w:t>(</w:t>
      </w:r>
      <w:r w:rsidRPr="00646583">
        <w:t>2011</w:t>
      </w:r>
      <w:r>
        <w:t>)</w:t>
      </w:r>
      <w:r w:rsidRPr="00646583">
        <w:t xml:space="preserve">, </w:t>
      </w:r>
      <w:r>
        <w:t>at</w:t>
      </w:r>
      <w:r w:rsidRPr="00646583">
        <w:t xml:space="preserve"> 2.</w:t>
      </w:r>
      <w:r>
        <w:t xml:space="preserve">  (“LIRAP Report”).</w:t>
      </w:r>
    </w:p>
  </w:footnote>
  <w:footnote w:id="72">
    <w:p w14:paraId="1BAE70B3" w14:textId="65E2CAC2" w:rsidR="00772853" w:rsidRPr="00646583" w:rsidRDefault="00772853" w:rsidP="002245A4">
      <w:pPr>
        <w:pStyle w:val="FootnoteText"/>
      </w:pPr>
      <w:r w:rsidRPr="00646583">
        <w:rPr>
          <w:rStyle w:val="FootnoteReference"/>
        </w:rPr>
        <w:footnoteRef/>
      </w:r>
      <w:r>
        <w:t xml:space="preserve"> Dockets UE-090134, UG-090135 &amp; UG-060518, Exhibit No. ___ (BJH-2), at 76.</w:t>
      </w:r>
    </w:p>
  </w:footnote>
  <w:footnote w:id="73">
    <w:p w14:paraId="0E2632AF" w14:textId="77777777" w:rsidR="00772853" w:rsidRPr="00FC2FA3" w:rsidRDefault="00772853" w:rsidP="002245A4">
      <w:pPr>
        <w:pStyle w:val="FootnoteText"/>
      </w:pPr>
      <w:r w:rsidRPr="00FC2FA3">
        <w:rPr>
          <w:rStyle w:val="FootnoteReference"/>
        </w:rPr>
        <w:footnoteRef/>
      </w:r>
      <w:r w:rsidRPr="00FC2FA3">
        <w:t xml:space="preserve"> “Avista </w:t>
      </w:r>
      <w:r>
        <w:t>Corporation 2011 Washington State Electric Annual Report,” at 20, filed 4/13/2012 pursuant to RCW 80.04.080.</w:t>
      </w:r>
    </w:p>
  </w:footnote>
  <w:footnote w:id="74">
    <w:p w14:paraId="6A732B21" w14:textId="77777777" w:rsidR="00772853" w:rsidRPr="002C0DA1" w:rsidRDefault="00772853" w:rsidP="002245A4">
      <w:pPr>
        <w:pStyle w:val="FootnoteText"/>
      </w:pPr>
      <w:r w:rsidRPr="002C0DA1">
        <w:rPr>
          <w:rStyle w:val="FootnoteReference"/>
        </w:rPr>
        <w:footnoteRef/>
      </w:r>
      <w:r w:rsidRPr="002C0DA1">
        <w:t xml:space="preserve"> The LIRAP program year </w:t>
      </w:r>
      <w:r>
        <w:t xml:space="preserve">was initially May 1 to April 30, and was adjusted to </w:t>
      </w:r>
      <w:r w:rsidRPr="002C0DA1">
        <w:t>match the federal budgeting year, running from October 1, 201</w:t>
      </w:r>
      <w:r>
        <w:t>1</w:t>
      </w:r>
      <w:r w:rsidRPr="002C0DA1">
        <w:t xml:space="preserve"> to September 30, 201</w:t>
      </w:r>
      <w:r>
        <w:t>2</w:t>
      </w:r>
      <w:r w:rsidRPr="002C0DA1">
        <w:t>.</w:t>
      </w:r>
      <w:r>
        <w:t xml:space="preserve">  The 2011 LIRAP Report covers the program year May 2010 to April 2011, before that adjustment was made.</w:t>
      </w:r>
    </w:p>
  </w:footnote>
  <w:footnote w:id="75">
    <w:p w14:paraId="5F4A7CBC" w14:textId="77777777" w:rsidR="00772853" w:rsidRPr="00646583" w:rsidRDefault="00772853" w:rsidP="002245A4">
      <w:pPr>
        <w:pStyle w:val="FootnoteText"/>
      </w:pPr>
      <w:r w:rsidRPr="00646583">
        <w:rPr>
          <w:rStyle w:val="FootnoteReference"/>
        </w:rPr>
        <w:footnoteRef/>
      </w:r>
      <w:r w:rsidRPr="00646583">
        <w:t xml:space="preserve"> </w:t>
      </w:r>
      <w:r>
        <w:t>LIRAP Report, at 6</w:t>
      </w:r>
      <w:r w:rsidRPr="00646583">
        <w:t>.</w:t>
      </w:r>
    </w:p>
  </w:footnote>
  <w:footnote w:id="76">
    <w:p w14:paraId="47A019C7" w14:textId="77777777" w:rsidR="00772853" w:rsidRPr="00B02658" w:rsidRDefault="00772853" w:rsidP="002245A4">
      <w:pPr>
        <w:pStyle w:val="FootnoteText"/>
      </w:pPr>
      <w:r w:rsidRPr="00B02658">
        <w:rPr>
          <w:rStyle w:val="FootnoteReference"/>
        </w:rPr>
        <w:footnoteRef/>
      </w:r>
      <w:r w:rsidRPr="00B02658">
        <w:t xml:space="preserve"> LIRAP Report, </w:t>
      </w:r>
      <w:r>
        <w:t>at</w:t>
      </w:r>
      <w:r w:rsidRPr="00B02658">
        <w:t xml:space="preserve"> 5.</w:t>
      </w:r>
      <w:r>
        <w:t xml:space="preserve">  This column covers the program year.</w:t>
      </w:r>
    </w:p>
  </w:footnote>
  <w:footnote w:id="77">
    <w:p w14:paraId="6409CD32" w14:textId="7DBAB7CD" w:rsidR="00772853" w:rsidRPr="00D30BCB" w:rsidRDefault="00772853" w:rsidP="002245A4">
      <w:pPr>
        <w:pStyle w:val="FootnoteText"/>
      </w:pPr>
      <w:r w:rsidRPr="00D30BCB">
        <w:rPr>
          <w:rStyle w:val="FootnoteReference"/>
        </w:rPr>
        <w:footnoteRef/>
      </w:r>
      <w:r w:rsidRPr="00D30BCB">
        <w:t xml:space="preserve"> </w:t>
      </w:r>
      <w:r>
        <w:t>Annual g</w:t>
      </w:r>
      <w:r w:rsidRPr="00D30BCB">
        <w:t>as and electric revenue from residential, commercial and industrial sales.</w:t>
      </w:r>
      <w:r>
        <w:t xml:space="preserve"> For ease of reference, Staff compared LIRAP program year revenue from May 1, 2001, to April 30, 2002, with annual gas and electric revenue from 2002, and so on for each year in this table.</w:t>
      </w:r>
    </w:p>
  </w:footnote>
  <w:footnote w:id="78">
    <w:p w14:paraId="6711D233" w14:textId="77777777" w:rsidR="00772853" w:rsidRPr="00B02658" w:rsidRDefault="00772853" w:rsidP="00E91DCF">
      <w:pPr>
        <w:spacing w:line="240" w:lineRule="auto"/>
        <w:ind w:left="0" w:firstLine="0"/>
        <w:rPr>
          <w:sz w:val="20"/>
          <w:szCs w:val="20"/>
        </w:rPr>
      </w:pPr>
      <w:r w:rsidRPr="00B02658">
        <w:rPr>
          <w:rStyle w:val="FootnoteReference"/>
          <w:sz w:val="20"/>
          <w:szCs w:val="20"/>
        </w:rPr>
        <w:footnoteRef/>
      </w:r>
      <w:r w:rsidRPr="00B02658">
        <w:rPr>
          <w:sz w:val="20"/>
          <w:szCs w:val="20"/>
        </w:rPr>
        <w:t xml:space="preserve"> Avista Corporation Washington State Annual Electric Reports and Avista Corporation Washington State Annual Gas Reports, 2002-2011.</w:t>
      </w:r>
    </w:p>
  </w:footnote>
  <w:footnote w:id="79">
    <w:p w14:paraId="31B9E2F8" w14:textId="77777777" w:rsidR="00772853" w:rsidRPr="00646583" w:rsidRDefault="00772853" w:rsidP="002245A4">
      <w:pPr>
        <w:pStyle w:val="FootnoteText"/>
      </w:pPr>
      <w:r w:rsidRPr="00646583">
        <w:rPr>
          <w:rStyle w:val="FootnoteReference"/>
        </w:rPr>
        <w:footnoteRef/>
      </w:r>
      <w:r>
        <w:t xml:space="preserve"> LIRAP Report, at 6.</w:t>
      </w:r>
    </w:p>
  </w:footnote>
  <w:footnote w:id="80">
    <w:p w14:paraId="434501E9" w14:textId="77777777" w:rsidR="00772853" w:rsidRPr="00B123A1" w:rsidRDefault="00772853" w:rsidP="002245A4">
      <w:pPr>
        <w:pStyle w:val="FootnoteText"/>
      </w:pPr>
      <w:r w:rsidRPr="00B123A1">
        <w:rPr>
          <w:rStyle w:val="FootnoteReference"/>
        </w:rPr>
        <w:footnoteRef/>
      </w:r>
      <w:r w:rsidRPr="00B123A1">
        <w:t xml:space="preserve"> The language regarding requests by an “other party to a general rate case hearing” was added in 2009.</w:t>
      </w:r>
    </w:p>
  </w:footnote>
  <w:footnote w:id="81">
    <w:p w14:paraId="49671BDD" w14:textId="77777777" w:rsidR="00772853" w:rsidRPr="00646583" w:rsidRDefault="00772853" w:rsidP="002245A4">
      <w:pPr>
        <w:pStyle w:val="FootnoteText"/>
      </w:pPr>
      <w:r w:rsidRPr="00646583">
        <w:rPr>
          <w:rStyle w:val="FootnoteReference"/>
        </w:rPr>
        <w:footnoteRef/>
      </w:r>
      <w:r w:rsidRPr="00646583">
        <w:t xml:space="preserve"> RCW 80.28.068</w:t>
      </w:r>
      <w:r>
        <w:t>.</w:t>
      </w:r>
    </w:p>
  </w:footnote>
  <w:footnote w:id="82">
    <w:p w14:paraId="13A4CD6C" w14:textId="77777777" w:rsidR="00772853" w:rsidRPr="00C51655" w:rsidRDefault="00772853" w:rsidP="002245A4">
      <w:pPr>
        <w:pStyle w:val="FootnoteText"/>
      </w:pPr>
      <w:r w:rsidRPr="00C51655">
        <w:rPr>
          <w:rStyle w:val="FootnoteReference"/>
        </w:rPr>
        <w:footnoteRef/>
      </w:r>
      <w:r w:rsidRPr="00C51655">
        <w:t xml:space="preserve"> </w:t>
      </w:r>
      <w:r>
        <w:t>PacifiCorp Docket UE-002063, (January 24, 2001).</w:t>
      </w:r>
    </w:p>
  </w:footnote>
  <w:footnote w:id="83">
    <w:p w14:paraId="34695D6F" w14:textId="77777777" w:rsidR="00772853" w:rsidRPr="006A62E0" w:rsidRDefault="00772853" w:rsidP="002245A4">
      <w:pPr>
        <w:pStyle w:val="FootnoteText"/>
      </w:pPr>
      <w:r w:rsidRPr="006A62E0">
        <w:rPr>
          <w:rStyle w:val="FootnoteReference"/>
        </w:rPr>
        <w:footnoteRef/>
      </w:r>
      <w:r w:rsidRPr="006A62E0">
        <w:t xml:space="preserve"> </w:t>
      </w:r>
      <w:r w:rsidRPr="00E360DD">
        <w:rPr>
          <w:i/>
        </w:rPr>
        <w:t xml:space="preserve">Utilities and Transp. Comm’n v. </w:t>
      </w:r>
      <w:r>
        <w:rPr>
          <w:i/>
        </w:rPr>
        <w:t xml:space="preserve">Avista Corp., </w:t>
      </w:r>
      <w:r w:rsidRPr="006A62E0">
        <w:t>Docket</w:t>
      </w:r>
      <w:r>
        <w:t>s</w:t>
      </w:r>
      <w:r w:rsidRPr="006A62E0">
        <w:t xml:space="preserve"> UE-111190</w:t>
      </w:r>
      <w:r>
        <w:t>, Settlement Stipulation (February 21, 2012), at 8-10.</w:t>
      </w:r>
    </w:p>
  </w:footnote>
  <w:footnote w:id="84">
    <w:p w14:paraId="493243D0" w14:textId="77777777" w:rsidR="00772853" w:rsidRPr="0087479F" w:rsidRDefault="00772853" w:rsidP="002245A4">
      <w:pPr>
        <w:pStyle w:val="FootnoteText"/>
      </w:pPr>
      <w:r w:rsidRPr="0087479F">
        <w:rPr>
          <w:rStyle w:val="FootnoteReference"/>
        </w:rPr>
        <w:footnoteRef/>
      </w:r>
      <w:r w:rsidRPr="0087479F">
        <w:t xml:space="preserve"> Quantec</w:t>
      </w:r>
      <w:r>
        <w:t>,</w:t>
      </w:r>
      <w:r w:rsidRPr="0087479F">
        <w:t xml:space="preserve"> Low-In</w:t>
      </w:r>
      <w:r>
        <w:t>come Arrearage Study (2007)</w:t>
      </w:r>
      <w:r w:rsidRPr="0087479F">
        <w:t>.</w:t>
      </w:r>
    </w:p>
  </w:footnote>
  <w:footnote w:id="85">
    <w:p w14:paraId="28607042" w14:textId="77777777" w:rsidR="00772853" w:rsidRPr="005067C0" w:rsidRDefault="00772853" w:rsidP="002245A4">
      <w:pPr>
        <w:pStyle w:val="FootnoteText"/>
      </w:pPr>
      <w:r w:rsidRPr="005067C0">
        <w:rPr>
          <w:rStyle w:val="FootnoteReference"/>
        </w:rPr>
        <w:footnoteRef/>
      </w:r>
      <w:r w:rsidRPr="005067C0">
        <w:t xml:space="preserve"> </w:t>
      </w:r>
      <w:r>
        <w:t xml:space="preserve">LIRAP Report, at </w:t>
      </w:r>
      <w:r w:rsidRPr="005067C0">
        <w:t>4.</w:t>
      </w:r>
    </w:p>
  </w:footnote>
  <w:footnote w:id="86">
    <w:p w14:paraId="16BF6AD2" w14:textId="77777777" w:rsidR="00772853" w:rsidRPr="00F81E68" w:rsidRDefault="00772853" w:rsidP="002245A4">
      <w:pPr>
        <w:pStyle w:val="FootnoteText"/>
      </w:pPr>
      <w:r w:rsidRPr="00F81E68">
        <w:rPr>
          <w:rStyle w:val="FootnoteReference"/>
        </w:rPr>
        <w:footnoteRef/>
      </w:r>
      <w:r w:rsidRPr="00F81E68">
        <w:t xml:space="preserve"> </w:t>
      </w:r>
      <w:r>
        <w:t xml:space="preserve">Dockets </w:t>
      </w:r>
      <w:r w:rsidRPr="00F81E68">
        <w:t>UE-120436</w:t>
      </w:r>
      <w:r>
        <w:t xml:space="preserve"> &amp; UG-120437, Exhibit No. ___(DFK-1T), at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D64"/>
    <w:multiLevelType w:val="hybridMultilevel"/>
    <w:tmpl w:val="7496F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303F13"/>
    <w:multiLevelType w:val="hybridMultilevel"/>
    <w:tmpl w:val="1FD47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890359"/>
    <w:multiLevelType w:val="hybridMultilevel"/>
    <w:tmpl w:val="48567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B153E"/>
    <w:multiLevelType w:val="hybridMultilevel"/>
    <w:tmpl w:val="7870E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82F64"/>
    <w:multiLevelType w:val="hybridMultilevel"/>
    <w:tmpl w:val="506CA6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283084"/>
    <w:multiLevelType w:val="hybridMultilevel"/>
    <w:tmpl w:val="2D464F9C"/>
    <w:lvl w:ilvl="0" w:tplc="85EACEF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2C2D76D5"/>
    <w:multiLevelType w:val="hybridMultilevel"/>
    <w:tmpl w:val="261C5CB4"/>
    <w:lvl w:ilvl="0" w:tplc="B4745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7F030B"/>
    <w:multiLevelType w:val="hybridMultilevel"/>
    <w:tmpl w:val="F4202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124C83"/>
    <w:multiLevelType w:val="hybridMultilevel"/>
    <w:tmpl w:val="3322E906"/>
    <w:lvl w:ilvl="0" w:tplc="64FC6CD2">
      <w:start w:val="4"/>
      <w:numFmt w:val="upperLetter"/>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5AA6066"/>
    <w:multiLevelType w:val="hybridMultilevel"/>
    <w:tmpl w:val="BE2639DA"/>
    <w:lvl w:ilvl="0" w:tplc="B8C0421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B5CFE"/>
    <w:multiLevelType w:val="hybridMultilevel"/>
    <w:tmpl w:val="8A124C76"/>
    <w:lvl w:ilvl="0" w:tplc="C90A22C2">
      <w:start w:val="1"/>
      <w:numFmt w:val="upperLetter"/>
      <w:pStyle w:val="Heading2"/>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A203ADC"/>
    <w:multiLevelType w:val="hybridMultilevel"/>
    <w:tmpl w:val="A5B80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EF637C"/>
    <w:multiLevelType w:val="hybridMultilevel"/>
    <w:tmpl w:val="CFA8F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632AB6"/>
    <w:multiLevelType w:val="hybridMultilevel"/>
    <w:tmpl w:val="80EEC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BE7E11"/>
    <w:multiLevelType w:val="hybridMultilevel"/>
    <w:tmpl w:val="534CE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4"/>
  </w:num>
  <w:num w:numId="4">
    <w:abstractNumId w:val="3"/>
  </w:num>
  <w:num w:numId="5">
    <w:abstractNumId w:val="5"/>
  </w:num>
  <w:num w:numId="6">
    <w:abstractNumId w:val="9"/>
    <w:lvlOverride w:ilvl="0">
      <w:startOverride w:val="1"/>
    </w:lvlOverride>
  </w:num>
  <w:num w:numId="7">
    <w:abstractNumId w:val="0"/>
  </w:num>
  <w:num w:numId="8">
    <w:abstractNumId w:val="14"/>
  </w:num>
  <w:num w:numId="9">
    <w:abstractNumId w:val="9"/>
  </w:num>
  <w:num w:numId="10">
    <w:abstractNumId w:val="13"/>
  </w:num>
  <w:num w:numId="11">
    <w:abstractNumId w:val="15"/>
  </w:num>
  <w:num w:numId="12">
    <w:abstractNumId w:val="12"/>
  </w:num>
  <w:num w:numId="13">
    <w:abstractNumId w:val="8"/>
  </w:num>
  <w:num w:numId="14">
    <w:abstractNumId w:val="11"/>
  </w:num>
  <w:num w:numId="15">
    <w:abstractNumId w:val="6"/>
  </w:num>
  <w:num w:numId="16">
    <w:abstractNumId w:val="9"/>
  </w:num>
  <w:num w:numId="17">
    <w:abstractNumId w:val="9"/>
  </w:num>
  <w:num w:numId="18">
    <w:abstractNumId w:val="9"/>
  </w:num>
  <w:num w:numId="19">
    <w:abstractNumId w:val="9"/>
  </w:num>
  <w:num w:numId="20">
    <w:abstractNumId w:val="11"/>
  </w:num>
  <w:num w:numId="21">
    <w:abstractNumId w:val="7"/>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B7"/>
    <w:rsid w:val="000021AF"/>
    <w:rsid w:val="00004CFA"/>
    <w:rsid w:val="00007075"/>
    <w:rsid w:val="00010A0F"/>
    <w:rsid w:val="00012CB6"/>
    <w:rsid w:val="00013B48"/>
    <w:rsid w:val="00026462"/>
    <w:rsid w:val="00027B39"/>
    <w:rsid w:val="00035905"/>
    <w:rsid w:val="00042186"/>
    <w:rsid w:val="00046278"/>
    <w:rsid w:val="000463A0"/>
    <w:rsid w:val="0005218E"/>
    <w:rsid w:val="00054395"/>
    <w:rsid w:val="00054A44"/>
    <w:rsid w:val="000571BA"/>
    <w:rsid w:val="0006130D"/>
    <w:rsid w:val="00064AD6"/>
    <w:rsid w:val="000679D6"/>
    <w:rsid w:val="0007020D"/>
    <w:rsid w:val="000704BF"/>
    <w:rsid w:val="00072E09"/>
    <w:rsid w:val="00075BBC"/>
    <w:rsid w:val="00081BA2"/>
    <w:rsid w:val="00081F39"/>
    <w:rsid w:val="000869AB"/>
    <w:rsid w:val="00091CDC"/>
    <w:rsid w:val="00092298"/>
    <w:rsid w:val="0009312D"/>
    <w:rsid w:val="000935EF"/>
    <w:rsid w:val="00094CA0"/>
    <w:rsid w:val="0009584C"/>
    <w:rsid w:val="00097607"/>
    <w:rsid w:val="000A5963"/>
    <w:rsid w:val="000A7C1B"/>
    <w:rsid w:val="000C7457"/>
    <w:rsid w:val="000D275A"/>
    <w:rsid w:val="000D4363"/>
    <w:rsid w:val="000D4851"/>
    <w:rsid w:val="000D6770"/>
    <w:rsid w:val="000E1B39"/>
    <w:rsid w:val="000E4464"/>
    <w:rsid w:val="000E5610"/>
    <w:rsid w:val="000E640C"/>
    <w:rsid w:val="000F025A"/>
    <w:rsid w:val="000F3CE1"/>
    <w:rsid w:val="000F5581"/>
    <w:rsid w:val="00100077"/>
    <w:rsid w:val="001102D2"/>
    <w:rsid w:val="00111BFB"/>
    <w:rsid w:val="00112861"/>
    <w:rsid w:val="00112E75"/>
    <w:rsid w:val="00113E2D"/>
    <w:rsid w:val="00114697"/>
    <w:rsid w:val="00114823"/>
    <w:rsid w:val="00114F78"/>
    <w:rsid w:val="001206C9"/>
    <w:rsid w:val="0012284F"/>
    <w:rsid w:val="00127465"/>
    <w:rsid w:val="001321CB"/>
    <w:rsid w:val="00136BB7"/>
    <w:rsid w:val="00140526"/>
    <w:rsid w:val="001603F9"/>
    <w:rsid w:val="0016191E"/>
    <w:rsid w:val="00163C01"/>
    <w:rsid w:val="00167359"/>
    <w:rsid w:val="0017202C"/>
    <w:rsid w:val="001753C2"/>
    <w:rsid w:val="00176E60"/>
    <w:rsid w:val="00177F6E"/>
    <w:rsid w:val="00181989"/>
    <w:rsid w:val="00192A46"/>
    <w:rsid w:val="001A5508"/>
    <w:rsid w:val="001A5E16"/>
    <w:rsid w:val="001A6E46"/>
    <w:rsid w:val="001A7E9C"/>
    <w:rsid w:val="001B3F5A"/>
    <w:rsid w:val="001B53CA"/>
    <w:rsid w:val="001C1453"/>
    <w:rsid w:val="001C1CB0"/>
    <w:rsid w:val="001C59A2"/>
    <w:rsid w:val="001C5AB1"/>
    <w:rsid w:val="001D16D7"/>
    <w:rsid w:val="001D475C"/>
    <w:rsid w:val="001D766B"/>
    <w:rsid w:val="001E03C4"/>
    <w:rsid w:val="001E1D7A"/>
    <w:rsid w:val="001E2B14"/>
    <w:rsid w:val="001E740E"/>
    <w:rsid w:val="001F29A2"/>
    <w:rsid w:val="001F688A"/>
    <w:rsid w:val="0020324A"/>
    <w:rsid w:val="002060C4"/>
    <w:rsid w:val="002104A9"/>
    <w:rsid w:val="0021376B"/>
    <w:rsid w:val="00213C95"/>
    <w:rsid w:val="00222389"/>
    <w:rsid w:val="00222B75"/>
    <w:rsid w:val="002245A4"/>
    <w:rsid w:val="00225257"/>
    <w:rsid w:val="0023063E"/>
    <w:rsid w:val="00234904"/>
    <w:rsid w:val="002353CA"/>
    <w:rsid w:val="002366EF"/>
    <w:rsid w:val="002406B2"/>
    <w:rsid w:val="00244176"/>
    <w:rsid w:val="00246AAB"/>
    <w:rsid w:val="00253E2D"/>
    <w:rsid w:val="00253ED0"/>
    <w:rsid w:val="002540E1"/>
    <w:rsid w:val="00257310"/>
    <w:rsid w:val="0026337D"/>
    <w:rsid w:val="002633CD"/>
    <w:rsid w:val="002646D5"/>
    <w:rsid w:val="002748A5"/>
    <w:rsid w:val="00277F8D"/>
    <w:rsid w:val="00284257"/>
    <w:rsid w:val="00284770"/>
    <w:rsid w:val="00285365"/>
    <w:rsid w:val="00290B02"/>
    <w:rsid w:val="00291A68"/>
    <w:rsid w:val="00292EAA"/>
    <w:rsid w:val="002953AD"/>
    <w:rsid w:val="00296766"/>
    <w:rsid w:val="00297341"/>
    <w:rsid w:val="002A6A88"/>
    <w:rsid w:val="002B0F6A"/>
    <w:rsid w:val="002B2E41"/>
    <w:rsid w:val="002C039A"/>
    <w:rsid w:val="002C67E3"/>
    <w:rsid w:val="002C7EB3"/>
    <w:rsid w:val="002D1E41"/>
    <w:rsid w:val="002D34A0"/>
    <w:rsid w:val="002D385B"/>
    <w:rsid w:val="002E28F4"/>
    <w:rsid w:val="002E3C29"/>
    <w:rsid w:val="002E3ECB"/>
    <w:rsid w:val="002E4258"/>
    <w:rsid w:val="002E4D30"/>
    <w:rsid w:val="002F0871"/>
    <w:rsid w:val="002F09C6"/>
    <w:rsid w:val="002F3C7A"/>
    <w:rsid w:val="002F42C2"/>
    <w:rsid w:val="002F725A"/>
    <w:rsid w:val="00302247"/>
    <w:rsid w:val="003038D6"/>
    <w:rsid w:val="00305077"/>
    <w:rsid w:val="00311974"/>
    <w:rsid w:val="00315C94"/>
    <w:rsid w:val="00325302"/>
    <w:rsid w:val="00327E53"/>
    <w:rsid w:val="00330F9D"/>
    <w:rsid w:val="003416B0"/>
    <w:rsid w:val="00341DC1"/>
    <w:rsid w:val="00343D20"/>
    <w:rsid w:val="00344870"/>
    <w:rsid w:val="00344E21"/>
    <w:rsid w:val="003470F7"/>
    <w:rsid w:val="00350F6D"/>
    <w:rsid w:val="00351C7E"/>
    <w:rsid w:val="00355B2E"/>
    <w:rsid w:val="00361A31"/>
    <w:rsid w:val="003666D3"/>
    <w:rsid w:val="00371C9A"/>
    <w:rsid w:val="00375618"/>
    <w:rsid w:val="003770CB"/>
    <w:rsid w:val="003819E0"/>
    <w:rsid w:val="00396F9D"/>
    <w:rsid w:val="003A1692"/>
    <w:rsid w:val="003A2633"/>
    <w:rsid w:val="003A2DBF"/>
    <w:rsid w:val="003A4B39"/>
    <w:rsid w:val="003A503E"/>
    <w:rsid w:val="003B01D4"/>
    <w:rsid w:val="003B07DA"/>
    <w:rsid w:val="003B2365"/>
    <w:rsid w:val="003B3D07"/>
    <w:rsid w:val="003C4E16"/>
    <w:rsid w:val="003C5737"/>
    <w:rsid w:val="003C58AA"/>
    <w:rsid w:val="003D4879"/>
    <w:rsid w:val="003D5B77"/>
    <w:rsid w:val="003D6167"/>
    <w:rsid w:val="003E0487"/>
    <w:rsid w:val="003E66ED"/>
    <w:rsid w:val="003F48DD"/>
    <w:rsid w:val="003F678D"/>
    <w:rsid w:val="003F6AF0"/>
    <w:rsid w:val="003F7147"/>
    <w:rsid w:val="00413D80"/>
    <w:rsid w:val="00415995"/>
    <w:rsid w:val="004161DE"/>
    <w:rsid w:val="00441E00"/>
    <w:rsid w:val="00442040"/>
    <w:rsid w:val="00446C14"/>
    <w:rsid w:val="004506DB"/>
    <w:rsid w:val="0045189F"/>
    <w:rsid w:val="004621C6"/>
    <w:rsid w:val="00463037"/>
    <w:rsid w:val="00464600"/>
    <w:rsid w:val="00465115"/>
    <w:rsid w:val="00470DE5"/>
    <w:rsid w:val="00471AFC"/>
    <w:rsid w:val="00471F5A"/>
    <w:rsid w:val="00473B72"/>
    <w:rsid w:val="00474436"/>
    <w:rsid w:val="0047510B"/>
    <w:rsid w:val="004764D7"/>
    <w:rsid w:val="00476BF9"/>
    <w:rsid w:val="004840B3"/>
    <w:rsid w:val="00490E74"/>
    <w:rsid w:val="00491984"/>
    <w:rsid w:val="0049575B"/>
    <w:rsid w:val="00495C8C"/>
    <w:rsid w:val="004971F8"/>
    <w:rsid w:val="004A017F"/>
    <w:rsid w:val="004A44B6"/>
    <w:rsid w:val="004A694B"/>
    <w:rsid w:val="004A70F2"/>
    <w:rsid w:val="004A7BDC"/>
    <w:rsid w:val="004B4B49"/>
    <w:rsid w:val="004C36EC"/>
    <w:rsid w:val="004C46D9"/>
    <w:rsid w:val="004C4CB3"/>
    <w:rsid w:val="004D055B"/>
    <w:rsid w:val="004D0A40"/>
    <w:rsid w:val="004D1E64"/>
    <w:rsid w:val="004D3301"/>
    <w:rsid w:val="004D6132"/>
    <w:rsid w:val="004E29A8"/>
    <w:rsid w:val="004E310C"/>
    <w:rsid w:val="004F5E27"/>
    <w:rsid w:val="00500760"/>
    <w:rsid w:val="00503B1B"/>
    <w:rsid w:val="00510E81"/>
    <w:rsid w:val="00516A36"/>
    <w:rsid w:val="00516C71"/>
    <w:rsid w:val="00516E1D"/>
    <w:rsid w:val="0052360D"/>
    <w:rsid w:val="00530B98"/>
    <w:rsid w:val="005336C3"/>
    <w:rsid w:val="005429F4"/>
    <w:rsid w:val="00547916"/>
    <w:rsid w:val="00552600"/>
    <w:rsid w:val="0055286F"/>
    <w:rsid w:val="00554432"/>
    <w:rsid w:val="00554DB5"/>
    <w:rsid w:val="00556521"/>
    <w:rsid w:val="00556E2F"/>
    <w:rsid w:val="00561F39"/>
    <w:rsid w:val="005779A8"/>
    <w:rsid w:val="005824CD"/>
    <w:rsid w:val="0058735E"/>
    <w:rsid w:val="00592218"/>
    <w:rsid w:val="005936D4"/>
    <w:rsid w:val="005946ED"/>
    <w:rsid w:val="00596CB9"/>
    <w:rsid w:val="00596E8D"/>
    <w:rsid w:val="005A01C5"/>
    <w:rsid w:val="005A08E6"/>
    <w:rsid w:val="005A1F58"/>
    <w:rsid w:val="005A6C74"/>
    <w:rsid w:val="005B08FA"/>
    <w:rsid w:val="005B1F27"/>
    <w:rsid w:val="005B2107"/>
    <w:rsid w:val="005B30DB"/>
    <w:rsid w:val="005B37A2"/>
    <w:rsid w:val="005C3CE3"/>
    <w:rsid w:val="005C4DEF"/>
    <w:rsid w:val="005C6FF1"/>
    <w:rsid w:val="005D0776"/>
    <w:rsid w:val="005D2B05"/>
    <w:rsid w:val="005D3981"/>
    <w:rsid w:val="005D5BA2"/>
    <w:rsid w:val="005E0131"/>
    <w:rsid w:val="005E01AE"/>
    <w:rsid w:val="005E1C96"/>
    <w:rsid w:val="005E1E98"/>
    <w:rsid w:val="005E25E5"/>
    <w:rsid w:val="005E4672"/>
    <w:rsid w:val="005E769A"/>
    <w:rsid w:val="005F4E66"/>
    <w:rsid w:val="005F7FD2"/>
    <w:rsid w:val="006001BC"/>
    <w:rsid w:val="006008EB"/>
    <w:rsid w:val="006024CE"/>
    <w:rsid w:val="0060377B"/>
    <w:rsid w:val="00603BC6"/>
    <w:rsid w:val="00610A23"/>
    <w:rsid w:val="00617FB7"/>
    <w:rsid w:val="00626452"/>
    <w:rsid w:val="006269C3"/>
    <w:rsid w:val="00634F8C"/>
    <w:rsid w:val="00636D17"/>
    <w:rsid w:val="0063721D"/>
    <w:rsid w:val="00640822"/>
    <w:rsid w:val="00646139"/>
    <w:rsid w:val="006472B4"/>
    <w:rsid w:val="006546FB"/>
    <w:rsid w:val="006565DA"/>
    <w:rsid w:val="00660497"/>
    <w:rsid w:val="00663DCD"/>
    <w:rsid w:val="00665F45"/>
    <w:rsid w:val="006721E8"/>
    <w:rsid w:val="00672F7B"/>
    <w:rsid w:val="00673AF0"/>
    <w:rsid w:val="00673CE3"/>
    <w:rsid w:val="006741D6"/>
    <w:rsid w:val="00682E2B"/>
    <w:rsid w:val="00685697"/>
    <w:rsid w:val="00690061"/>
    <w:rsid w:val="00690A90"/>
    <w:rsid w:val="006911E2"/>
    <w:rsid w:val="00695970"/>
    <w:rsid w:val="00696FCF"/>
    <w:rsid w:val="006A122C"/>
    <w:rsid w:val="006A41EE"/>
    <w:rsid w:val="006B3E43"/>
    <w:rsid w:val="006B57B5"/>
    <w:rsid w:val="006C1D8C"/>
    <w:rsid w:val="006C2120"/>
    <w:rsid w:val="006C29D0"/>
    <w:rsid w:val="006C6715"/>
    <w:rsid w:val="006C789B"/>
    <w:rsid w:val="006D239F"/>
    <w:rsid w:val="006D38BE"/>
    <w:rsid w:val="006D4037"/>
    <w:rsid w:val="006D7286"/>
    <w:rsid w:val="006D73BE"/>
    <w:rsid w:val="006E42D0"/>
    <w:rsid w:val="006E4A04"/>
    <w:rsid w:val="006F1EF6"/>
    <w:rsid w:val="006F41CA"/>
    <w:rsid w:val="006F4A1C"/>
    <w:rsid w:val="006F6866"/>
    <w:rsid w:val="00702379"/>
    <w:rsid w:val="00710447"/>
    <w:rsid w:val="00714B8A"/>
    <w:rsid w:val="00717C47"/>
    <w:rsid w:val="00724773"/>
    <w:rsid w:val="0072658C"/>
    <w:rsid w:val="00731383"/>
    <w:rsid w:val="00732F9C"/>
    <w:rsid w:val="00733FAF"/>
    <w:rsid w:val="00735B87"/>
    <w:rsid w:val="0073643B"/>
    <w:rsid w:val="00736791"/>
    <w:rsid w:val="00736F7C"/>
    <w:rsid w:val="007374E0"/>
    <w:rsid w:val="0074020D"/>
    <w:rsid w:val="007545DB"/>
    <w:rsid w:val="00754B03"/>
    <w:rsid w:val="0076172D"/>
    <w:rsid w:val="0076422C"/>
    <w:rsid w:val="007713F7"/>
    <w:rsid w:val="00772853"/>
    <w:rsid w:val="00772BF7"/>
    <w:rsid w:val="00781E79"/>
    <w:rsid w:val="0078276F"/>
    <w:rsid w:val="00785DAB"/>
    <w:rsid w:val="0079469F"/>
    <w:rsid w:val="007957AD"/>
    <w:rsid w:val="007A20C6"/>
    <w:rsid w:val="007A21A3"/>
    <w:rsid w:val="007A6824"/>
    <w:rsid w:val="007B02E0"/>
    <w:rsid w:val="007B39D9"/>
    <w:rsid w:val="007B520C"/>
    <w:rsid w:val="007C01EC"/>
    <w:rsid w:val="007C0BB4"/>
    <w:rsid w:val="007C3BFB"/>
    <w:rsid w:val="007C4C1C"/>
    <w:rsid w:val="007C4E3D"/>
    <w:rsid w:val="007D171C"/>
    <w:rsid w:val="007D3A17"/>
    <w:rsid w:val="007D66BC"/>
    <w:rsid w:val="007E150E"/>
    <w:rsid w:val="007E1BAF"/>
    <w:rsid w:val="007F129F"/>
    <w:rsid w:val="007F60F1"/>
    <w:rsid w:val="007F765B"/>
    <w:rsid w:val="008030EE"/>
    <w:rsid w:val="00811A02"/>
    <w:rsid w:val="00811DF2"/>
    <w:rsid w:val="00812039"/>
    <w:rsid w:val="008206BA"/>
    <w:rsid w:val="008218CB"/>
    <w:rsid w:val="00821A71"/>
    <w:rsid w:val="00821F50"/>
    <w:rsid w:val="0082286A"/>
    <w:rsid w:val="00827F61"/>
    <w:rsid w:val="00830679"/>
    <w:rsid w:val="008308F1"/>
    <w:rsid w:val="00831ECF"/>
    <w:rsid w:val="008324B6"/>
    <w:rsid w:val="008544F1"/>
    <w:rsid w:val="00857518"/>
    <w:rsid w:val="00864D9E"/>
    <w:rsid w:val="008713EC"/>
    <w:rsid w:val="00880CD3"/>
    <w:rsid w:val="008816CB"/>
    <w:rsid w:val="008864B5"/>
    <w:rsid w:val="008879CA"/>
    <w:rsid w:val="0089190E"/>
    <w:rsid w:val="008A2F38"/>
    <w:rsid w:val="008A3975"/>
    <w:rsid w:val="008B100D"/>
    <w:rsid w:val="008B17EC"/>
    <w:rsid w:val="008B340C"/>
    <w:rsid w:val="008B66AC"/>
    <w:rsid w:val="008C3E2A"/>
    <w:rsid w:val="008C4E36"/>
    <w:rsid w:val="008C60B2"/>
    <w:rsid w:val="008D0A4E"/>
    <w:rsid w:val="008D1D50"/>
    <w:rsid w:val="008D2E05"/>
    <w:rsid w:val="008E1D6C"/>
    <w:rsid w:val="008E2200"/>
    <w:rsid w:val="008E2346"/>
    <w:rsid w:val="008E585B"/>
    <w:rsid w:val="008E5ACA"/>
    <w:rsid w:val="008E73F2"/>
    <w:rsid w:val="008E7D71"/>
    <w:rsid w:val="008F06D4"/>
    <w:rsid w:val="008F305C"/>
    <w:rsid w:val="008F3B67"/>
    <w:rsid w:val="008F6CD3"/>
    <w:rsid w:val="00902B3C"/>
    <w:rsid w:val="00914414"/>
    <w:rsid w:val="0091448E"/>
    <w:rsid w:val="00917423"/>
    <w:rsid w:val="00920E1C"/>
    <w:rsid w:val="00924E8D"/>
    <w:rsid w:val="00925704"/>
    <w:rsid w:val="00942516"/>
    <w:rsid w:val="009438D5"/>
    <w:rsid w:val="00945865"/>
    <w:rsid w:val="0095015C"/>
    <w:rsid w:val="00951F6B"/>
    <w:rsid w:val="00952466"/>
    <w:rsid w:val="00954B24"/>
    <w:rsid w:val="00954FFD"/>
    <w:rsid w:val="00955740"/>
    <w:rsid w:val="00957F2F"/>
    <w:rsid w:val="009679EC"/>
    <w:rsid w:val="0097377D"/>
    <w:rsid w:val="00973824"/>
    <w:rsid w:val="009738C2"/>
    <w:rsid w:val="00973ADF"/>
    <w:rsid w:val="00980A79"/>
    <w:rsid w:val="00981154"/>
    <w:rsid w:val="00983234"/>
    <w:rsid w:val="00983628"/>
    <w:rsid w:val="0098401F"/>
    <w:rsid w:val="00984EA0"/>
    <w:rsid w:val="00987BA7"/>
    <w:rsid w:val="00996E80"/>
    <w:rsid w:val="00997AFD"/>
    <w:rsid w:val="00997F29"/>
    <w:rsid w:val="009A0554"/>
    <w:rsid w:val="009A788F"/>
    <w:rsid w:val="009B0896"/>
    <w:rsid w:val="009B1C9D"/>
    <w:rsid w:val="009B281C"/>
    <w:rsid w:val="009C1910"/>
    <w:rsid w:val="009C19C7"/>
    <w:rsid w:val="009C3491"/>
    <w:rsid w:val="009D0BCA"/>
    <w:rsid w:val="009D18C5"/>
    <w:rsid w:val="009D4F75"/>
    <w:rsid w:val="009E549A"/>
    <w:rsid w:val="009E6C88"/>
    <w:rsid w:val="009F0406"/>
    <w:rsid w:val="009F16F2"/>
    <w:rsid w:val="009F65FA"/>
    <w:rsid w:val="00A004B0"/>
    <w:rsid w:val="00A01E8D"/>
    <w:rsid w:val="00A149D4"/>
    <w:rsid w:val="00A15601"/>
    <w:rsid w:val="00A20CE0"/>
    <w:rsid w:val="00A270A1"/>
    <w:rsid w:val="00A27CF4"/>
    <w:rsid w:val="00A3019D"/>
    <w:rsid w:val="00A306AD"/>
    <w:rsid w:val="00A30810"/>
    <w:rsid w:val="00A30EB7"/>
    <w:rsid w:val="00A33D36"/>
    <w:rsid w:val="00A34753"/>
    <w:rsid w:val="00A4292E"/>
    <w:rsid w:val="00A43A6B"/>
    <w:rsid w:val="00A44191"/>
    <w:rsid w:val="00A45FA6"/>
    <w:rsid w:val="00A61849"/>
    <w:rsid w:val="00A63D82"/>
    <w:rsid w:val="00A653E9"/>
    <w:rsid w:val="00A65DD1"/>
    <w:rsid w:val="00A722EF"/>
    <w:rsid w:val="00A72878"/>
    <w:rsid w:val="00A7685A"/>
    <w:rsid w:val="00A80BB4"/>
    <w:rsid w:val="00A831B7"/>
    <w:rsid w:val="00A831F9"/>
    <w:rsid w:val="00A84518"/>
    <w:rsid w:val="00A84C2A"/>
    <w:rsid w:val="00A907BF"/>
    <w:rsid w:val="00A91CF2"/>
    <w:rsid w:val="00A94537"/>
    <w:rsid w:val="00A96666"/>
    <w:rsid w:val="00A978EB"/>
    <w:rsid w:val="00A979BD"/>
    <w:rsid w:val="00AA0A52"/>
    <w:rsid w:val="00AA21AF"/>
    <w:rsid w:val="00AA2DCC"/>
    <w:rsid w:val="00AA2F25"/>
    <w:rsid w:val="00AA640D"/>
    <w:rsid w:val="00AB30F9"/>
    <w:rsid w:val="00AB5232"/>
    <w:rsid w:val="00AC15E0"/>
    <w:rsid w:val="00AC1C21"/>
    <w:rsid w:val="00AC7F3E"/>
    <w:rsid w:val="00AD040E"/>
    <w:rsid w:val="00AD1DF5"/>
    <w:rsid w:val="00AD3312"/>
    <w:rsid w:val="00AD64DE"/>
    <w:rsid w:val="00AE21E3"/>
    <w:rsid w:val="00AE273E"/>
    <w:rsid w:val="00AE3B2F"/>
    <w:rsid w:val="00AF1D6D"/>
    <w:rsid w:val="00AF56AB"/>
    <w:rsid w:val="00B010CD"/>
    <w:rsid w:val="00B01A11"/>
    <w:rsid w:val="00B0639E"/>
    <w:rsid w:val="00B10510"/>
    <w:rsid w:val="00B12CFF"/>
    <w:rsid w:val="00B13041"/>
    <w:rsid w:val="00B134B6"/>
    <w:rsid w:val="00B138B7"/>
    <w:rsid w:val="00B13E4D"/>
    <w:rsid w:val="00B1407F"/>
    <w:rsid w:val="00B15324"/>
    <w:rsid w:val="00B16137"/>
    <w:rsid w:val="00B218C0"/>
    <w:rsid w:val="00B2591D"/>
    <w:rsid w:val="00B268F3"/>
    <w:rsid w:val="00B300D2"/>
    <w:rsid w:val="00B30A97"/>
    <w:rsid w:val="00B33C04"/>
    <w:rsid w:val="00B41609"/>
    <w:rsid w:val="00B43593"/>
    <w:rsid w:val="00B46C8F"/>
    <w:rsid w:val="00B5420A"/>
    <w:rsid w:val="00B57A75"/>
    <w:rsid w:val="00B63E58"/>
    <w:rsid w:val="00B65840"/>
    <w:rsid w:val="00B66CF4"/>
    <w:rsid w:val="00B727BF"/>
    <w:rsid w:val="00B73B9D"/>
    <w:rsid w:val="00B74588"/>
    <w:rsid w:val="00B825DC"/>
    <w:rsid w:val="00B827F0"/>
    <w:rsid w:val="00B831CD"/>
    <w:rsid w:val="00B84E18"/>
    <w:rsid w:val="00B91784"/>
    <w:rsid w:val="00B93FD2"/>
    <w:rsid w:val="00B95756"/>
    <w:rsid w:val="00BA007D"/>
    <w:rsid w:val="00BA38D8"/>
    <w:rsid w:val="00BA3C12"/>
    <w:rsid w:val="00BB0E8F"/>
    <w:rsid w:val="00BC0C12"/>
    <w:rsid w:val="00BC26DC"/>
    <w:rsid w:val="00BC4412"/>
    <w:rsid w:val="00BD023A"/>
    <w:rsid w:val="00BD13F3"/>
    <w:rsid w:val="00BD70F7"/>
    <w:rsid w:val="00BE1DBA"/>
    <w:rsid w:val="00BE656D"/>
    <w:rsid w:val="00BE7B6D"/>
    <w:rsid w:val="00BE7E8D"/>
    <w:rsid w:val="00BF02BA"/>
    <w:rsid w:val="00BF50A1"/>
    <w:rsid w:val="00BF620B"/>
    <w:rsid w:val="00BF7468"/>
    <w:rsid w:val="00C00C76"/>
    <w:rsid w:val="00C00C9F"/>
    <w:rsid w:val="00C03B27"/>
    <w:rsid w:val="00C0606A"/>
    <w:rsid w:val="00C1219F"/>
    <w:rsid w:val="00C206BF"/>
    <w:rsid w:val="00C22118"/>
    <w:rsid w:val="00C235AA"/>
    <w:rsid w:val="00C23DC7"/>
    <w:rsid w:val="00C258B3"/>
    <w:rsid w:val="00C278B3"/>
    <w:rsid w:val="00C310AE"/>
    <w:rsid w:val="00C31919"/>
    <w:rsid w:val="00C328C8"/>
    <w:rsid w:val="00C411A1"/>
    <w:rsid w:val="00C43E87"/>
    <w:rsid w:val="00C452C4"/>
    <w:rsid w:val="00C463B0"/>
    <w:rsid w:val="00C4698E"/>
    <w:rsid w:val="00C51A9F"/>
    <w:rsid w:val="00C53D3E"/>
    <w:rsid w:val="00C5557F"/>
    <w:rsid w:val="00C6599B"/>
    <w:rsid w:val="00C664DB"/>
    <w:rsid w:val="00C67A22"/>
    <w:rsid w:val="00C77AA9"/>
    <w:rsid w:val="00C97ED8"/>
    <w:rsid w:val="00CA4CA2"/>
    <w:rsid w:val="00CB0EB4"/>
    <w:rsid w:val="00CB2203"/>
    <w:rsid w:val="00CB595F"/>
    <w:rsid w:val="00CB7FAC"/>
    <w:rsid w:val="00CC0444"/>
    <w:rsid w:val="00CC141D"/>
    <w:rsid w:val="00CC5995"/>
    <w:rsid w:val="00CD1ECA"/>
    <w:rsid w:val="00CD54E2"/>
    <w:rsid w:val="00CD64F8"/>
    <w:rsid w:val="00CE1914"/>
    <w:rsid w:val="00CE236E"/>
    <w:rsid w:val="00CE278E"/>
    <w:rsid w:val="00CE3576"/>
    <w:rsid w:val="00CE798F"/>
    <w:rsid w:val="00CE7BE8"/>
    <w:rsid w:val="00CF03B9"/>
    <w:rsid w:val="00CF2F1E"/>
    <w:rsid w:val="00CF357C"/>
    <w:rsid w:val="00CF5817"/>
    <w:rsid w:val="00D01A15"/>
    <w:rsid w:val="00D04702"/>
    <w:rsid w:val="00D10345"/>
    <w:rsid w:val="00D10A28"/>
    <w:rsid w:val="00D13D21"/>
    <w:rsid w:val="00D1596A"/>
    <w:rsid w:val="00D225A3"/>
    <w:rsid w:val="00D237D4"/>
    <w:rsid w:val="00D31489"/>
    <w:rsid w:val="00D31A6A"/>
    <w:rsid w:val="00D40025"/>
    <w:rsid w:val="00D436E5"/>
    <w:rsid w:val="00D46259"/>
    <w:rsid w:val="00D530EE"/>
    <w:rsid w:val="00D539BE"/>
    <w:rsid w:val="00D54130"/>
    <w:rsid w:val="00D551D4"/>
    <w:rsid w:val="00D61198"/>
    <w:rsid w:val="00D61723"/>
    <w:rsid w:val="00D741C3"/>
    <w:rsid w:val="00D76141"/>
    <w:rsid w:val="00D80C0A"/>
    <w:rsid w:val="00D81441"/>
    <w:rsid w:val="00D8215E"/>
    <w:rsid w:val="00D90452"/>
    <w:rsid w:val="00D93D67"/>
    <w:rsid w:val="00D94ACC"/>
    <w:rsid w:val="00DA1B86"/>
    <w:rsid w:val="00DA2A67"/>
    <w:rsid w:val="00DA4220"/>
    <w:rsid w:val="00DA5109"/>
    <w:rsid w:val="00DB1B76"/>
    <w:rsid w:val="00DB2A12"/>
    <w:rsid w:val="00DB7104"/>
    <w:rsid w:val="00DB7A68"/>
    <w:rsid w:val="00DC163C"/>
    <w:rsid w:val="00DC33A4"/>
    <w:rsid w:val="00DC5950"/>
    <w:rsid w:val="00DC5FA5"/>
    <w:rsid w:val="00DD11DA"/>
    <w:rsid w:val="00DD2A47"/>
    <w:rsid w:val="00DD2E7C"/>
    <w:rsid w:val="00DD6755"/>
    <w:rsid w:val="00DD7C06"/>
    <w:rsid w:val="00DD7EE8"/>
    <w:rsid w:val="00DE0F17"/>
    <w:rsid w:val="00DE42F8"/>
    <w:rsid w:val="00DE51DB"/>
    <w:rsid w:val="00DF03E3"/>
    <w:rsid w:val="00DF34FA"/>
    <w:rsid w:val="00DF4B26"/>
    <w:rsid w:val="00DF5D03"/>
    <w:rsid w:val="00DF7D2A"/>
    <w:rsid w:val="00E003BA"/>
    <w:rsid w:val="00E07C71"/>
    <w:rsid w:val="00E10504"/>
    <w:rsid w:val="00E13771"/>
    <w:rsid w:val="00E15D15"/>
    <w:rsid w:val="00E175DD"/>
    <w:rsid w:val="00E21DEE"/>
    <w:rsid w:val="00E23088"/>
    <w:rsid w:val="00E23D8D"/>
    <w:rsid w:val="00E311BF"/>
    <w:rsid w:val="00E3238D"/>
    <w:rsid w:val="00E32A84"/>
    <w:rsid w:val="00E347E0"/>
    <w:rsid w:val="00E36609"/>
    <w:rsid w:val="00E36EA2"/>
    <w:rsid w:val="00E3777C"/>
    <w:rsid w:val="00E413CD"/>
    <w:rsid w:val="00E45A13"/>
    <w:rsid w:val="00E47B62"/>
    <w:rsid w:val="00E53711"/>
    <w:rsid w:val="00E56E17"/>
    <w:rsid w:val="00E65070"/>
    <w:rsid w:val="00E6599B"/>
    <w:rsid w:val="00E7042A"/>
    <w:rsid w:val="00E70478"/>
    <w:rsid w:val="00E764EE"/>
    <w:rsid w:val="00E770AA"/>
    <w:rsid w:val="00E832B6"/>
    <w:rsid w:val="00E84BCE"/>
    <w:rsid w:val="00E86D10"/>
    <w:rsid w:val="00E91DCF"/>
    <w:rsid w:val="00E95E96"/>
    <w:rsid w:val="00EA17DD"/>
    <w:rsid w:val="00EA1E72"/>
    <w:rsid w:val="00EA2524"/>
    <w:rsid w:val="00EA56BE"/>
    <w:rsid w:val="00EA7939"/>
    <w:rsid w:val="00EB0B88"/>
    <w:rsid w:val="00EB1865"/>
    <w:rsid w:val="00EB3AE7"/>
    <w:rsid w:val="00EC125F"/>
    <w:rsid w:val="00EC1326"/>
    <w:rsid w:val="00EC45FD"/>
    <w:rsid w:val="00ED15FB"/>
    <w:rsid w:val="00ED1DE0"/>
    <w:rsid w:val="00ED2025"/>
    <w:rsid w:val="00ED713C"/>
    <w:rsid w:val="00EE0598"/>
    <w:rsid w:val="00EE51FA"/>
    <w:rsid w:val="00EE5B1E"/>
    <w:rsid w:val="00EF0C1F"/>
    <w:rsid w:val="00EF0CF0"/>
    <w:rsid w:val="00EF133C"/>
    <w:rsid w:val="00EF46EB"/>
    <w:rsid w:val="00EF60DE"/>
    <w:rsid w:val="00F10BE1"/>
    <w:rsid w:val="00F14B6B"/>
    <w:rsid w:val="00F16D79"/>
    <w:rsid w:val="00F21B68"/>
    <w:rsid w:val="00F25ED2"/>
    <w:rsid w:val="00F26464"/>
    <w:rsid w:val="00F33615"/>
    <w:rsid w:val="00F339FC"/>
    <w:rsid w:val="00F343AD"/>
    <w:rsid w:val="00F40606"/>
    <w:rsid w:val="00F42F97"/>
    <w:rsid w:val="00F444D6"/>
    <w:rsid w:val="00F46975"/>
    <w:rsid w:val="00F46D6D"/>
    <w:rsid w:val="00F47E21"/>
    <w:rsid w:val="00F5062B"/>
    <w:rsid w:val="00F53422"/>
    <w:rsid w:val="00F55FEA"/>
    <w:rsid w:val="00F57F94"/>
    <w:rsid w:val="00F6448C"/>
    <w:rsid w:val="00F64B87"/>
    <w:rsid w:val="00F65613"/>
    <w:rsid w:val="00F80180"/>
    <w:rsid w:val="00F83AD8"/>
    <w:rsid w:val="00F86E60"/>
    <w:rsid w:val="00F90CBF"/>
    <w:rsid w:val="00F94773"/>
    <w:rsid w:val="00F94EB8"/>
    <w:rsid w:val="00FA470D"/>
    <w:rsid w:val="00FA6758"/>
    <w:rsid w:val="00FB2784"/>
    <w:rsid w:val="00FB493A"/>
    <w:rsid w:val="00FB73E7"/>
    <w:rsid w:val="00FC0B3C"/>
    <w:rsid w:val="00FC3AB6"/>
    <w:rsid w:val="00FC5059"/>
    <w:rsid w:val="00FD22FC"/>
    <w:rsid w:val="00FD2C45"/>
    <w:rsid w:val="00FD6AD8"/>
    <w:rsid w:val="00FE0A2C"/>
    <w:rsid w:val="00FE2678"/>
    <w:rsid w:val="00FE7D2E"/>
    <w:rsid w:val="00FE7E3B"/>
    <w:rsid w:val="00FF31AD"/>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18"/>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3711"/>
    <w:pPr>
      <w:numPr>
        <w:numId w:val="1"/>
      </w:numPr>
      <w:ind w:left="0" w:firstLine="0"/>
      <w:jc w:val="center"/>
      <w:outlineLvl w:val="0"/>
    </w:pPr>
    <w:rPr>
      <w:rFonts w:eastAsiaTheme="majorEastAsia"/>
      <w:b/>
      <w:bCs/>
    </w:rPr>
  </w:style>
  <w:style w:type="paragraph" w:styleId="Heading2">
    <w:name w:val="heading 2"/>
    <w:basedOn w:val="Normal"/>
    <w:next w:val="Normal"/>
    <w:link w:val="Heading2Char"/>
    <w:uiPriority w:val="9"/>
    <w:qFormat/>
    <w:rsid w:val="004E29A8"/>
    <w:pPr>
      <w:keepNext/>
      <w:numPr>
        <w:numId w:val="14"/>
      </w:numPr>
      <w:tabs>
        <w:tab w:val="clear" w:pos="-1440"/>
      </w:tabs>
      <w:outlineLvl w:val="1"/>
    </w:pPr>
    <w:rPr>
      <w:b/>
    </w:rPr>
  </w:style>
  <w:style w:type="paragraph" w:styleId="Heading3">
    <w:name w:val="heading 3"/>
    <w:basedOn w:val="Normal"/>
    <w:next w:val="Normal"/>
    <w:link w:val="Heading3Char"/>
    <w:qFormat/>
    <w:rsid w:val="00E53711"/>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711"/>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4E29A8"/>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E53711"/>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uiPriority w:val="99"/>
    <w:qFormat/>
    <w:rsid w:val="0026337D"/>
    <w:pPr>
      <w:widowControl w:val="0"/>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26337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iPriority w:val="99"/>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uiPriority w:val="99"/>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772853"/>
    <w:pPr>
      <w:tabs>
        <w:tab w:val="clear" w:pos="-1440"/>
        <w:tab w:val="right" w:leader="dot" w:pos="8918"/>
      </w:tabs>
      <w:spacing w:before="240" w:line="240" w:lineRule="auto"/>
      <w:jc w:val="center"/>
    </w:pPr>
    <w:rPr>
      <w:b/>
      <w:bCs/>
      <w:caps/>
      <w:noProof/>
    </w:rPr>
  </w:style>
  <w:style w:type="paragraph" w:styleId="TOC2">
    <w:name w:val="toc 2"/>
    <w:basedOn w:val="Normal"/>
    <w:next w:val="Normal"/>
    <w:autoRedefine/>
    <w:uiPriority w:val="39"/>
    <w:unhideWhenUsed/>
    <w:qFormat/>
    <w:rsid w:val="009C3491"/>
    <w:pPr>
      <w:tabs>
        <w:tab w:val="clear" w:pos="-1440"/>
        <w:tab w:val="right" w:leader="dot" w:pos="8918"/>
      </w:tabs>
      <w:spacing w:before="240" w:line="240" w:lineRule="auto"/>
    </w:pPr>
    <w:rPr>
      <w:rFonts w:asciiTheme="minorHAnsi" w:hAnsiTheme="minorHAnsi" w:cstheme="minorHAnsi"/>
      <w:b/>
      <w:bCs/>
      <w:sz w:val="20"/>
      <w:szCs w:val="20"/>
    </w:rPr>
  </w:style>
  <w:style w:type="character" w:styleId="Hyperlink">
    <w:name w:val="Hyperlink"/>
    <w:basedOn w:val="DefaultParagraphFont"/>
    <w:uiPriority w:val="99"/>
    <w:unhideWhenUsed/>
    <w:rsid w:val="000704BF"/>
    <w:rPr>
      <w:color w:val="0000FF" w:themeColor="hyperlink"/>
      <w:u w:val="single"/>
    </w:rPr>
  </w:style>
  <w:style w:type="paragraph" w:styleId="TOCHeading">
    <w:name w:val="TOC Heading"/>
    <w:basedOn w:val="Heading1"/>
    <w:next w:val="Normal"/>
    <w:uiPriority w:val="39"/>
    <w:semiHidden/>
    <w:unhideWhenUsed/>
    <w:qFormat/>
    <w:rsid w:val="008F3B67"/>
    <w:pPr>
      <w:keepNext/>
      <w:keepLines/>
      <w:numPr>
        <w:numId w:val="0"/>
      </w:numPr>
      <w:tabs>
        <w:tab w:val="clear" w:pos="-1440"/>
      </w:tabs>
      <w:spacing w:before="480" w:line="276" w:lineRule="auto"/>
      <w:jc w:val="left"/>
      <w:outlineLvl w:val="9"/>
    </w:pPr>
    <w:rPr>
      <w:rFonts w:asciiTheme="majorHAnsi" w:hAnsiTheme="majorHAnsi" w:cstheme="majorBidi"/>
      <w:color w:val="365F91" w:themeColor="accent1" w:themeShade="BF"/>
      <w:sz w:val="28"/>
      <w:szCs w:val="28"/>
      <w:lang w:eastAsia="ja-JP"/>
    </w:rPr>
  </w:style>
  <w:style w:type="paragraph" w:styleId="TOC3">
    <w:name w:val="toc 3"/>
    <w:basedOn w:val="Normal"/>
    <w:next w:val="Normal"/>
    <w:autoRedefine/>
    <w:uiPriority w:val="39"/>
    <w:unhideWhenUsed/>
    <w:qFormat/>
    <w:rsid w:val="008F3B67"/>
    <w:pPr>
      <w:tabs>
        <w:tab w:val="clear" w:pos="-1440"/>
      </w:tabs>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8F3B67"/>
    <w:pPr>
      <w:tabs>
        <w:tab w:val="clear" w:pos="-1440"/>
      </w:tabs>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8F3B67"/>
    <w:pPr>
      <w:tabs>
        <w:tab w:val="clear" w:pos="-1440"/>
      </w:tabs>
    </w:pPr>
    <w:rPr>
      <w:rFonts w:asciiTheme="minorHAnsi" w:hAnsiTheme="minorHAnsi" w:cstheme="minorHAnsi"/>
      <w:sz w:val="20"/>
      <w:szCs w:val="20"/>
    </w:rPr>
  </w:style>
  <w:style w:type="paragraph" w:styleId="TOC6">
    <w:name w:val="toc 6"/>
    <w:basedOn w:val="Normal"/>
    <w:next w:val="Normal"/>
    <w:autoRedefine/>
    <w:uiPriority w:val="39"/>
    <w:unhideWhenUsed/>
    <w:rsid w:val="008F3B67"/>
    <w:pPr>
      <w:tabs>
        <w:tab w:val="clear" w:pos="-1440"/>
      </w:tabs>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8F3B67"/>
    <w:pPr>
      <w:tabs>
        <w:tab w:val="clear" w:pos="-1440"/>
      </w:tabs>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8F3B67"/>
    <w:pPr>
      <w:tabs>
        <w:tab w:val="clear" w:pos="-1440"/>
      </w:tabs>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8F3B67"/>
    <w:pPr>
      <w:tabs>
        <w:tab w:val="clear" w:pos="-1440"/>
      </w:tabs>
      <w:ind w:left="1680"/>
    </w:pPr>
    <w:rPr>
      <w:rFonts w:asciiTheme="minorHAnsi" w:hAnsiTheme="minorHAnsi" w:cstheme="minorHAnsi"/>
      <w:sz w:val="20"/>
      <w:szCs w:val="20"/>
    </w:rPr>
  </w:style>
  <w:style w:type="paragraph" w:styleId="NoSpacing">
    <w:name w:val="No Spacing"/>
    <w:uiPriority w:val="1"/>
    <w:qFormat/>
    <w:rsid w:val="002245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18"/>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3711"/>
    <w:pPr>
      <w:numPr>
        <w:numId w:val="1"/>
      </w:numPr>
      <w:ind w:left="0" w:firstLine="0"/>
      <w:jc w:val="center"/>
      <w:outlineLvl w:val="0"/>
    </w:pPr>
    <w:rPr>
      <w:rFonts w:eastAsiaTheme="majorEastAsia"/>
      <w:b/>
      <w:bCs/>
    </w:rPr>
  </w:style>
  <w:style w:type="paragraph" w:styleId="Heading2">
    <w:name w:val="heading 2"/>
    <w:basedOn w:val="Normal"/>
    <w:next w:val="Normal"/>
    <w:link w:val="Heading2Char"/>
    <w:uiPriority w:val="9"/>
    <w:qFormat/>
    <w:rsid w:val="004E29A8"/>
    <w:pPr>
      <w:keepNext/>
      <w:numPr>
        <w:numId w:val="14"/>
      </w:numPr>
      <w:tabs>
        <w:tab w:val="clear" w:pos="-1440"/>
      </w:tabs>
      <w:outlineLvl w:val="1"/>
    </w:pPr>
    <w:rPr>
      <w:b/>
    </w:rPr>
  </w:style>
  <w:style w:type="paragraph" w:styleId="Heading3">
    <w:name w:val="heading 3"/>
    <w:basedOn w:val="Normal"/>
    <w:next w:val="Normal"/>
    <w:link w:val="Heading3Char"/>
    <w:qFormat/>
    <w:rsid w:val="00E53711"/>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711"/>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4E29A8"/>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E53711"/>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uiPriority w:val="99"/>
    <w:qFormat/>
    <w:rsid w:val="0026337D"/>
    <w:pPr>
      <w:widowControl w:val="0"/>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26337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iPriority w:val="99"/>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uiPriority w:val="99"/>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772853"/>
    <w:pPr>
      <w:tabs>
        <w:tab w:val="clear" w:pos="-1440"/>
        <w:tab w:val="right" w:leader="dot" w:pos="8918"/>
      </w:tabs>
      <w:spacing w:before="240" w:line="240" w:lineRule="auto"/>
      <w:jc w:val="center"/>
    </w:pPr>
    <w:rPr>
      <w:b/>
      <w:bCs/>
      <w:caps/>
      <w:noProof/>
    </w:rPr>
  </w:style>
  <w:style w:type="paragraph" w:styleId="TOC2">
    <w:name w:val="toc 2"/>
    <w:basedOn w:val="Normal"/>
    <w:next w:val="Normal"/>
    <w:autoRedefine/>
    <w:uiPriority w:val="39"/>
    <w:unhideWhenUsed/>
    <w:qFormat/>
    <w:rsid w:val="009C3491"/>
    <w:pPr>
      <w:tabs>
        <w:tab w:val="clear" w:pos="-1440"/>
        <w:tab w:val="right" w:leader="dot" w:pos="8918"/>
      </w:tabs>
      <w:spacing w:before="240" w:line="240" w:lineRule="auto"/>
    </w:pPr>
    <w:rPr>
      <w:rFonts w:asciiTheme="minorHAnsi" w:hAnsiTheme="minorHAnsi" w:cstheme="minorHAnsi"/>
      <w:b/>
      <w:bCs/>
      <w:sz w:val="20"/>
      <w:szCs w:val="20"/>
    </w:rPr>
  </w:style>
  <w:style w:type="character" w:styleId="Hyperlink">
    <w:name w:val="Hyperlink"/>
    <w:basedOn w:val="DefaultParagraphFont"/>
    <w:uiPriority w:val="99"/>
    <w:unhideWhenUsed/>
    <w:rsid w:val="000704BF"/>
    <w:rPr>
      <w:color w:val="0000FF" w:themeColor="hyperlink"/>
      <w:u w:val="single"/>
    </w:rPr>
  </w:style>
  <w:style w:type="paragraph" w:styleId="TOCHeading">
    <w:name w:val="TOC Heading"/>
    <w:basedOn w:val="Heading1"/>
    <w:next w:val="Normal"/>
    <w:uiPriority w:val="39"/>
    <w:semiHidden/>
    <w:unhideWhenUsed/>
    <w:qFormat/>
    <w:rsid w:val="008F3B67"/>
    <w:pPr>
      <w:keepNext/>
      <w:keepLines/>
      <w:numPr>
        <w:numId w:val="0"/>
      </w:numPr>
      <w:tabs>
        <w:tab w:val="clear" w:pos="-1440"/>
      </w:tabs>
      <w:spacing w:before="480" w:line="276" w:lineRule="auto"/>
      <w:jc w:val="left"/>
      <w:outlineLvl w:val="9"/>
    </w:pPr>
    <w:rPr>
      <w:rFonts w:asciiTheme="majorHAnsi" w:hAnsiTheme="majorHAnsi" w:cstheme="majorBidi"/>
      <w:color w:val="365F91" w:themeColor="accent1" w:themeShade="BF"/>
      <w:sz w:val="28"/>
      <w:szCs w:val="28"/>
      <w:lang w:eastAsia="ja-JP"/>
    </w:rPr>
  </w:style>
  <w:style w:type="paragraph" w:styleId="TOC3">
    <w:name w:val="toc 3"/>
    <w:basedOn w:val="Normal"/>
    <w:next w:val="Normal"/>
    <w:autoRedefine/>
    <w:uiPriority w:val="39"/>
    <w:unhideWhenUsed/>
    <w:qFormat/>
    <w:rsid w:val="008F3B67"/>
    <w:pPr>
      <w:tabs>
        <w:tab w:val="clear" w:pos="-1440"/>
      </w:tabs>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8F3B67"/>
    <w:pPr>
      <w:tabs>
        <w:tab w:val="clear" w:pos="-1440"/>
      </w:tabs>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8F3B67"/>
    <w:pPr>
      <w:tabs>
        <w:tab w:val="clear" w:pos="-1440"/>
      </w:tabs>
    </w:pPr>
    <w:rPr>
      <w:rFonts w:asciiTheme="minorHAnsi" w:hAnsiTheme="minorHAnsi" w:cstheme="minorHAnsi"/>
      <w:sz w:val="20"/>
      <w:szCs w:val="20"/>
    </w:rPr>
  </w:style>
  <w:style w:type="paragraph" w:styleId="TOC6">
    <w:name w:val="toc 6"/>
    <w:basedOn w:val="Normal"/>
    <w:next w:val="Normal"/>
    <w:autoRedefine/>
    <w:uiPriority w:val="39"/>
    <w:unhideWhenUsed/>
    <w:rsid w:val="008F3B67"/>
    <w:pPr>
      <w:tabs>
        <w:tab w:val="clear" w:pos="-1440"/>
      </w:tabs>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8F3B67"/>
    <w:pPr>
      <w:tabs>
        <w:tab w:val="clear" w:pos="-1440"/>
      </w:tabs>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8F3B67"/>
    <w:pPr>
      <w:tabs>
        <w:tab w:val="clear" w:pos="-1440"/>
      </w:tabs>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8F3B67"/>
    <w:pPr>
      <w:tabs>
        <w:tab w:val="clear" w:pos="-1440"/>
      </w:tabs>
      <w:ind w:left="1680"/>
    </w:pPr>
    <w:rPr>
      <w:rFonts w:asciiTheme="minorHAnsi" w:hAnsiTheme="minorHAnsi" w:cstheme="minorHAnsi"/>
      <w:sz w:val="20"/>
      <w:szCs w:val="20"/>
    </w:rPr>
  </w:style>
  <w:style w:type="paragraph" w:styleId="NoSpacing">
    <w:name w:val="No Spacing"/>
    <w:uiPriority w:val="1"/>
    <w:qFormat/>
    <w:rsid w:val="002245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32B70-1BF5-4531-B4CE-193126D67B02}"/>
</file>

<file path=customXml/itemProps2.xml><?xml version="1.0" encoding="utf-8"?>
<ds:datastoreItem xmlns:ds="http://schemas.openxmlformats.org/officeDocument/2006/customXml" ds:itemID="{1F9A53FD-A294-44CB-9BB0-64C17BA3EE22}"/>
</file>

<file path=customXml/itemProps3.xml><?xml version="1.0" encoding="utf-8"?>
<ds:datastoreItem xmlns:ds="http://schemas.openxmlformats.org/officeDocument/2006/customXml" ds:itemID="{BF702617-7A32-49EB-89D4-7F05F85F58E5}"/>
</file>

<file path=customXml/itemProps4.xml><?xml version="1.0" encoding="utf-8"?>
<ds:datastoreItem xmlns:ds="http://schemas.openxmlformats.org/officeDocument/2006/customXml" ds:itemID="{27471A0D-D5CC-4CDA-B690-C4CA1DFAF256}"/>
</file>

<file path=customXml/itemProps5.xml><?xml version="1.0" encoding="utf-8"?>
<ds:datastoreItem xmlns:ds="http://schemas.openxmlformats.org/officeDocument/2006/customXml" ds:itemID="{1A1297E4-C2E4-463B-A81E-C7652CB92C24}"/>
</file>

<file path=docProps/app.xml><?xml version="1.0" encoding="utf-8"?>
<Properties xmlns="http://schemas.openxmlformats.org/officeDocument/2006/extended-properties" xmlns:vt="http://schemas.openxmlformats.org/officeDocument/2006/docPropsVTypes">
  <Template>Normal.dotm</Template>
  <TotalTime>0</TotalTime>
  <Pages>39</Pages>
  <Words>7230</Words>
  <Characters>41214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Reynolds</dc:creator>
  <cp:lastModifiedBy>Krista Gross</cp:lastModifiedBy>
  <cp:revision>2</cp:revision>
  <cp:lastPrinted>2012-09-18T18:48:00Z</cp:lastPrinted>
  <dcterms:created xsi:type="dcterms:W3CDTF">2012-09-19T16:10:00Z</dcterms:created>
  <dcterms:modified xsi:type="dcterms:W3CDTF">2012-09-19T16:10:00Z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