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F7B" w:rsidRDefault="00D21F7B">
      <w:pPr>
        <w:pStyle w:val="BodyTextIndent"/>
        <w:keepNext/>
        <w:tabs>
          <w:tab w:val="clear" w:pos="0"/>
          <w:tab w:val="clear" w:pos="720"/>
          <w:tab w:val="left" w:pos="1260"/>
          <w:tab w:val="left" w:pos="1440"/>
          <w:tab w:val="left" w:pos="2160"/>
          <w:tab w:val="left" w:pos="2880"/>
          <w:tab w:val="left" w:pos="3600"/>
        </w:tabs>
        <w:spacing w:line="240" w:lineRule="auto"/>
        <w:ind w:firstLine="720"/>
        <w:jc w:val="center"/>
        <w:outlineLvl w:val="0"/>
        <w:rPr>
          <w:b/>
          <w:bCs/>
        </w:rPr>
      </w:pPr>
    </w:p>
    <w:p w:rsidR="00D21F7B" w:rsidRDefault="00D21F7B">
      <w:pPr>
        <w:pStyle w:val="BodyTextIndent"/>
        <w:keepNext/>
        <w:tabs>
          <w:tab w:val="clear" w:pos="0"/>
          <w:tab w:val="clear" w:pos="720"/>
          <w:tab w:val="left" w:pos="1260"/>
          <w:tab w:val="left" w:pos="1440"/>
          <w:tab w:val="left" w:pos="2160"/>
          <w:tab w:val="left" w:pos="2880"/>
          <w:tab w:val="left" w:pos="3600"/>
        </w:tabs>
        <w:spacing w:line="240" w:lineRule="auto"/>
        <w:ind w:firstLine="720"/>
        <w:jc w:val="center"/>
        <w:outlineLvl w:val="0"/>
        <w:rPr>
          <w:b/>
          <w:bCs/>
        </w:rPr>
      </w:pPr>
    </w:p>
    <w:p w:rsidR="00D21F7B" w:rsidRDefault="00D21F7B">
      <w:pPr>
        <w:pStyle w:val="BodyTextIndent"/>
        <w:keepNext/>
        <w:tabs>
          <w:tab w:val="clear" w:pos="0"/>
          <w:tab w:val="clear" w:pos="720"/>
          <w:tab w:val="left" w:pos="1260"/>
          <w:tab w:val="left" w:pos="1440"/>
          <w:tab w:val="left" w:pos="2160"/>
          <w:tab w:val="left" w:pos="2880"/>
          <w:tab w:val="left" w:pos="3600"/>
        </w:tabs>
        <w:spacing w:line="240" w:lineRule="auto"/>
        <w:ind w:firstLine="720"/>
        <w:jc w:val="center"/>
        <w:outlineLvl w:val="0"/>
        <w:rPr>
          <w:b/>
          <w:bCs/>
        </w:rPr>
      </w:pPr>
    </w:p>
    <w:p w:rsidR="00D21F7B" w:rsidRDefault="00D21F7B">
      <w:pPr>
        <w:pStyle w:val="BodyTextIndent"/>
        <w:keepNext/>
        <w:tabs>
          <w:tab w:val="clear" w:pos="0"/>
          <w:tab w:val="clear" w:pos="720"/>
          <w:tab w:val="left" w:pos="1260"/>
          <w:tab w:val="left" w:pos="1440"/>
          <w:tab w:val="left" w:pos="2160"/>
          <w:tab w:val="left" w:pos="2880"/>
          <w:tab w:val="left" w:pos="3600"/>
        </w:tabs>
        <w:spacing w:line="240" w:lineRule="auto"/>
        <w:ind w:firstLine="720"/>
        <w:jc w:val="center"/>
        <w:outlineLvl w:val="0"/>
        <w:rPr>
          <w:b/>
          <w:bCs/>
        </w:rPr>
      </w:pP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ind w:firstLine="720"/>
        <w:jc w:val="center"/>
        <w:outlineLvl w:val="0"/>
        <w:rPr>
          <w:b/>
          <w:bCs/>
        </w:rPr>
      </w:pPr>
      <w:r>
        <w:rPr>
          <w:b/>
          <w:bCs/>
        </w:rPr>
        <w:t>BEFORE THE</w:t>
      </w: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ind w:firstLine="720"/>
        <w:jc w:val="center"/>
        <w:outlineLvl w:val="0"/>
        <w:rPr>
          <w:b/>
          <w:bCs/>
        </w:rPr>
      </w:pPr>
      <w:smartTag w:uri="urn:schemas-microsoft-com:office:smarttags" w:element="place">
        <w:smartTag w:uri="urn:schemas-microsoft-com:office:smarttags" w:element="State">
          <w:r>
            <w:rPr>
              <w:b/>
              <w:bCs/>
            </w:rPr>
            <w:t>WASHINGTON</w:t>
          </w:r>
        </w:smartTag>
      </w:smartTag>
      <w:r>
        <w:rPr>
          <w:b/>
          <w:bCs/>
        </w:rPr>
        <w:t xml:space="preserve"> UTILITIES </w:t>
      </w:r>
      <w:smartTag w:uri="urn:schemas-microsoft-com:office:smarttags" w:element="stockticker">
        <w:r>
          <w:rPr>
            <w:b/>
            <w:bCs/>
          </w:rPr>
          <w:t>AND</w:t>
        </w:r>
      </w:smartTag>
      <w:r>
        <w:rPr>
          <w:b/>
          <w:bCs/>
        </w:rPr>
        <w:t xml:space="preserve"> TRANSPORTATION COMMISSION</w:t>
      </w:r>
    </w:p>
    <w:p w:rsidR="00D21F7B" w:rsidRDefault="00D21F7B">
      <w:pPr>
        <w:pStyle w:val="BodyTextIndent"/>
        <w:keepNext/>
        <w:tabs>
          <w:tab w:val="clear" w:pos="0"/>
          <w:tab w:val="clear" w:pos="720"/>
          <w:tab w:val="left" w:pos="1260"/>
          <w:tab w:val="left" w:pos="1440"/>
          <w:tab w:val="left" w:pos="2160"/>
          <w:tab w:val="left" w:pos="2880"/>
          <w:tab w:val="left" w:pos="3600"/>
        </w:tabs>
        <w:ind w:firstLine="720"/>
        <w:outlineLvl w:val="0"/>
      </w:pP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outlineLvl w:val="0"/>
      </w:pPr>
      <w:smartTag w:uri="urn:schemas-microsoft-com:office:smarttags" w:element="place">
        <w:smartTag w:uri="urn:schemas-microsoft-com:office:smarttags" w:element="State">
          <w:r>
            <w:t>WASHINGTON</w:t>
          </w:r>
        </w:smartTag>
      </w:smartTag>
      <w:r>
        <w:t xml:space="preserve"> UTILITIES </w:t>
      </w:r>
      <w:smartTag w:uri="urn:schemas-microsoft-com:office:smarttags" w:element="stockticker">
        <w:r>
          <w:t>AND</w:t>
        </w:r>
      </w:smartTag>
      <w:r>
        <w:tab/>
      </w:r>
      <w:r>
        <w:tab/>
        <w:t>)</w:t>
      </w:r>
      <w:r>
        <w:tab/>
      </w:r>
    </w:p>
    <w:p w:rsidR="00023863" w:rsidRDefault="00D24EB8" w:rsidP="00023863">
      <w:pPr>
        <w:pStyle w:val="BodyTextIndent"/>
        <w:keepNext/>
        <w:tabs>
          <w:tab w:val="clear" w:pos="0"/>
          <w:tab w:val="clear" w:pos="720"/>
          <w:tab w:val="left" w:pos="1260"/>
          <w:tab w:val="left" w:pos="1440"/>
          <w:tab w:val="left" w:pos="2160"/>
          <w:tab w:val="left" w:pos="2880"/>
          <w:tab w:val="left" w:pos="3600"/>
        </w:tabs>
        <w:spacing w:line="240" w:lineRule="auto"/>
        <w:ind w:left="4320" w:hanging="4320"/>
        <w:outlineLvl w:val="0"/>
      </w:pPr>
      <w:r>
        <w:t>TRANSPORTATION COMMISSION</w:t>
      </w:r>
      <w:r>
        <w:tab/>
        <w:t>)</w:t>
      </w:r>
      <w:r>
        <w:tab/>
        <w:t xml:space="preserve">DOCKETS </w:t>
      </w:r>
      <w:r w:rsidR="00023863" w:rsidRPr="00023863">
        <w:t>UE-151148</w:t>
      </w:r>
      <w:r w:rsidRPr="00023863">
        <w:t xml:space="preserve"> </w:t>
      </w:r>
    </w:p>
    <w:p w:rsidR="00D21F7B" w:rsidRDefault="00D21F7B">
      <w:pPr>
        <w:pStyle w:val="BodyTextIndent"/>
        <w:keepNext/>
        <w:tabs>
          <w:tab w:val="clear" w:pos="0"/>
          <w:tab w:val="clear" w:pos="720"/>
          <w:tab w:val="left" w:pos="1260"/>
          <w:tab w:val="left" w:pos="1440"/>
          <w:tab w:val="left" w:pos="2160"/>
          <w:tab w:val="left" w:pos="2880"/>
          <w:tab w:val="left" w:pos="3600"/>
        </w:tabs>
        <w:spacing w:line="240" w:lineRule="auto"/>
        <w:ind w:left="4320" w:hanging="4320"/>
        <w:outlineLvl w:val="0"/>
      </w:pPr>
    </w:p>
    <w:p w:rsidR="00D21F7B" w:rsidRPr="00023863" w:rsidRDefault="00D24EB8">
      <w:pPr>
        <w:pStyle w:val="BodyTextIndent"/>
        <w:keepNext/>
        <w:tabs>
          <w:tab w:val="clear" w:pos="0"/>
          <w:tab w:val="clear" w:pos="720"/>
          <w:tab w:val="left" w:pos="1260"/>
          <w:tab w:val="left" w:pos="1440"/>
          <w:tab w:val="left" w:pos="2160"/>
          <w:tab w:val="left" w:pos="2880"/>
          <w:tab w:val="left" w:pos="3600"/>
        </w:tabs>
        <w:spacing w:line="240" w:lineRule="auto"/>
        <w:outlineLvl w:val="0"/>
      </w:pPr>
      <w:r w:rsidRPr="00023863">
        <w:tab/>
      </w:r>
      <w:r w:rsidRPr="00023863">
        <w:tab/>
      </w:r>
      <w:r w:rsidRPr="00023863">
        <w:tab/>
      </w:r>
      <w:r w:rsidRPr="00023863">
        <w:tab/>
      </w:r>
      <w:r w:rsidRPr="00023863">
        <w:tab/>
      </w:r>
      <w:r w:rsidRPr="00023863">
        <w:tab/>
        <w:t>)</w:t>
      </w:r>
      <w:r w:rsidRPr="00023863">
        <w:tab/>
      </w: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outlineLvl w:val="0"/>
      </w:pPr>
      <w:r w:rsidRPr="00023863">
        <w:tab/>
      </w:r>
      <w:r w:rsidRPr="00023863">
        <w:tab/>
      </w:r>
      <w:r w:rsidRPr="00023863">
        <w:tab/>
        <w:t>Complainant,</w:t>
      </w:r>
      <w:r w:rsidRPr="00023863">
        <w:tab/>
      </w:r>
      <w:r w:rsidRPr="00023863">
        <w:tab/>
        <w:t>)</w:t>
      </w:r>
      <w:r w:rsidRPr="00023863">
        <w:tab/>
      </w: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outlineLvl w:val="0"/>
      </w:pPr>
      <w:r>
        <w:tab/>
      </w:r>
      <w:r>
        <w:tab/>
      </w:r>
      <w:r>
        <w:tab/>
      </w:r>
      <w:r>
        <w:tab/>
      </w:r>
      <w:r>
        <w:tab/>
      </w:r>
      <w:r>
        <w:tab/>
      </w:r>
      <w:r w:rsidRPr="00023863">
        <w:t>)</w:t>
      </w:r>
      <w:r w:rsidRPr="00023863">
        <w:tab/>
      </w: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outlineLvl w:val="0"/>
      </w:pPr>
      <w:r>
        <w:t>v.</w:t>
      </w:r>
      <w:r>
        <w:tab/>
      </w:r>
      <w:r>
        <w:tab/>
      </w:r>
      <w:r>
        <w:tab/>
      </w:r>
      <w:r>
        <w:tab/>
      </w:r>
      <w:r>
        <w:tab/>
      </w:r>
      <w:r>
        <w:tab/>
        <w:t>)</w:t>
      </w:r>
      <w:r>
        <w:tab/>
      </w: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outlineLvl w:val="0"/>
      </w:pPr>
      <w:r>
        <w:tab/>
      </w:r>
      <w:r>
        <w:tab/>
      </w:r>
      <w:r>
        <w:tab/>
      </w:r>
      <w:r>
        <w:tab/>
      </w:r>
      <w:r>
        <w:tab/>
      </w:r>
      <w:r>
        <w:tab/>
        <w:t>)</w:t>
      </w:r>
      <w:r>
        <w:tab/>
      </w:r>
      <w:r w:rsidR="00823C48">
        <w:t xml:space="preserve">MULTIPARTY </w:t>
      </w:r>
      <w:r>
        <w:t xml:space="preserve">SETTLEMENT </w:t>
      </w:r>
    </w:p>
    <w:p w:rsidR="00D21F7B" w:rsidRPr="00023863" w:rsidRDefault="00D24EB8">
      <w:pPr>
        <w:pStyle w:val="BodyTextIndent"/>
        <w:keepNext/>
        <w:tabs>
          <w:tab w:val="clear" w:pos="0"/>
          <w:tab w:val="clear" w:pos="720"/>
          <w:tab w:val="left" w:pos="1260"/>
          <w:tab w:val="left" w:pos="1440"/>
          <w:tab w:val="left" w:pos="2160"/>
          <w:tab w:val="left" w:pos="2880"/>
          <w:tab w:val="left" w:pos="3600"/>
        </w:tabs>
        <w:spacing w:line="240" w:lineRule="auto"/>
        <w:outlineLvl w:val="0"/>
        <w:rPr>
          <w:lang w:val="fr-FR"/>
        </w:rPr>
      </w:pPr>
      <w:r w:rsidRPr="00023863">
        <w:rPr>
          <w:lang w:val="fr-FR"/>
        </w:rPr>
        <w:t>AVISTA CORPORATION d/b/a</w:t>
      </w:r>
      <w:r w:rsidRPr="00023863">
        <w:rPr>
          <w:lang w:val="fr-FR"/>
        </w:rPr>
        <w:tab/>
      </w:r>
      <w:r w:rsidRPr="00023863">
        <w:rPr>
          <w:lang w:val="fr-FR"/>
        </w:rPr>
        <w:tab/>
        <w:t>)</w:t>
      </w:r>
      <w:r w:rsidRPr="00023863">
        <w:rPr>
          <w:lang w:val="fr-FR"/>
        </w:rPr>
        <w:tab/>
      </w:r>
      <w:r w:rsidR="008E51F3" w:rsidRPr="00023863">
        <w:rPr>
          <w:lang w:val="fr-FR"/>
        </w:rPr>
        <w:t>STIPULATION</w:t>
      </w:r>
    </w:p>
    <w:p w:rsidR="00D21F7B" w:rsidRPr="00023863" w:rsidRDefault="00D24EB8">
      <w:pPr>
        <w:pStyle w:val="BodyTextIndent"/>
        <w:keepNext/>
        <w:tabs>
          <w:tab w:val="clear" w:pos="0"/>
          <w:tab w:val="clear" w:pos="720"/>
          <w:tab w:val="left" w:pos="1260"/>
          <w:tab w:val="left" w:pos="1440"/>
          <w:tab w:val="left" w:pos="2160"/>
          <w:tab w:val="left" w:pos="2880"/>
          <w:tab w:val="left" w:pos="3600"/>
        </w:tabs>
        <w:spacing w:line="240" w:lineRule="auto"/>
        <w:jc w:val="left"/>
        <w:outlineLvl w:val="0"/>
        <w:rPr>
          <w:lang w:val="fr-FR"/>
        </w:rPr>
      </w:pPr>
      <w:r w:rsidRPr="00023863">
        <w:rPr>
          <w:lang w:val="fr-FR"/>
        </w:rPr>
        <w:t>AVISTA UTILITIES</w:t>
      </w:r>
      <w:r w:rsidRPr="00023863">
        <w:rPr>
          <w:lang w:val="fr-FR"/>
        </w:rPr>
        <w:tab/>
      </w:r>
      <w:r w:rsidRPr="00023863">
        <w:rPr>
          <w:lang w:val="fr-FR"/>
        </w:rPr>
        <w:tab/>
      </w:r>
      <w:r w:rsidRPr="00023863">
        <w:rPr>
          <w:lang w:val="fr-FR"/>
        </w:rPr>
        <w:tab/>
      </w:r>
      <w:r w:rsidRPr="00023863">
        <w:rPr>
          <w:lang w:val="fr-FR"/>
        </w:rPr>
        <w:tab/>
        <w:t>)</w:t>
      </w:r>
      <w:r w:rsidRPr="00023863">
        <w:rPr>
          <w:lang w:val="fr-FR"/>
        </w:rPr>
        <w:tab/>
      </w:r>
      <w:r w:rsidRPr="00023863">
        <w:rPr>
          <w:lang w:val="fr-FR"/>
        </w:rPr>
        <w:tab/>
      </w: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outlineLvl w:val="0"/>
      </w:pPr>
      <w:r w:rsidRPr="00023863">
        <w:rPr>
          <w:lang w:val="fr-FR"/>
        </w:rPr>
        <w:tab/>
      </w:r>
      <w:r w:rsidRPr="00023863">
        <w:rPr>
          <w:lang w:val="fr-FR"/>
        </w:rPr>
        <w:tab/>
      </w:r>
      <w:r w:rsidRPr="00023863">
        <w:rPr>
          <w:lang w:val="fr-FR"/>
        </w:rPr>
        <w:tab/>
      </w:r>
      <w:r>
        <w:t>Respondent.</w:t>
      </w:r>
      <w:r>
        <w:tab/>
      </w:r>
      <w:r>
        <w:tab/>
        <w:t>)</w:t>
      </w: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outlineLvl w:val="0"/>
      </w:pPr>
      <w:r>
        <w:t>……………………………………….……....)</w:t>
      </w: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outlineLvl w:val="0"/>
      </w:pPr>
      <w:r>
        <w:tab/>
      </w:r>
      <w:r>
        <w:tab/>
      </w:r>
      <w:r>
        <w:tab/>
      </w:r>
      <w:r>
        <w:tab/>
      </w:r>
      <w:r>
        <w:tab/>
      </w:r>
      <w:r>
        <w:tab/>
      </w:r>
    </w:p>
    <w:p w:rsidR="00D21F7B" w:rsidRDefault="00D21F7B">
      <w:pPr>
        <w:pStyle w:val="BodyTextIndent"/>
        <w:keepNext/>
        <w:tabs>
          <w:tab w:val="clear" w:pos="0"/>
          <w:tab w:val="clear" w:pos="720"/>
          <w:tab w:val="left" w:pos="1260"/>
          <w:tab w:val="left" w:pos="1440"/>
          <w:tab w:val="left" w:pos="2160"/>
          <w:tab w:val="left" w:pos="2880"/>
          <w:tab w:val="left" w:pos="3600"/>
        </w:tabs>
        <w:spacing w:line="240" w:lineRule="auto"/>
        <w:outlineLvl w:val="0"/>
      </w:pPr>
    </w:p>
    <w:p w:rsidR="00D21F7B" w:rsidRDefault="00D21F7B">
      <w:pPr>
        <w:pStyle w:val="BodyTextIndent"/>
        <w:keepNext/>
        <w:tabs>
          <w:tab w:val="clear" w:pos="0"/>
          <w:tab w:val="clear" w:pos="720"/>
          <w:tab w:val="left" w:pos="1260"/>
          <w:tab w:val="left" w:pos="1440"/>
          <w:tab w:val="left" w:pos="2160"/>
          <w:tab w:val="left" w:pos="2880"/>
          <w:tab w:val="left" w:pos="3600"/>
        </w:tabs>
        <w:spacing w:line="240" w:lineRule="auto"/>
        <w:outlineLvl w:val="0"/>
      </w:pPr>
    </w:p>
    <w:p w:rsidR="00D21F7B" w:rsidRDefault="00D24EB8">
      <w:pPr>
        <w:pStyle w:val="BodyTextIndent"/>
        <w:keepNext/>
        <w:numPr>
          <w:ilvl w:val="0"/>
          <w:numId w:val="1"/>
        </w:numPr>
        <w:tabs>
          <w:tab w:val="clear" w:pos="0"/>
          <w:tab w:val="clear" w:pos="720"/>
          <w:tab w:val="left" w:pos="1260"/>
          <w:tab w:val="left" w:pos="2160"/>
          <w:tab w:val="left" w:pos="2880"/>
          <w:tab w:val="left" w:pos="3600"/>
        </w:tabs>
        <w:jc w:val="center"/>
        <w:outlineLvl w:val="0"/>
        <w:rPr>
          <w:b/>
        </w:rPr>
      </w:pPr>
      <w:r>
        <w:rPr>
          <w:b/>
        </w:rPr>
        <w:t>PARTIES</w:t>
      </w:r>
    </w:p>
    <w:p w:rsidR="00023863" w:rsidRPr="00120DB8" w:rsidRDefault="00CB1AC6" w:rsidP="00120DB8">
      <w:pPr>
        <w:pStyle w:val="BodyTextIndent"/>
        <w:keepNext/>
        <w:tabs>
          <w:tab w:val="clear" w:pos="0"/>
          <w:tab w:val="left" w:pos="2160"/>
          <w:tab w:val="left" w:pos="2880"/>
          <w:tab w:val="left" w:pos="3600"/>
        </w:tabs>
        <w:ind w:left="90"/>
        <w:outlineLvl w:val="0"/>
      </w:pPr>
      <w:r>
        <w:tab/>
      </w:r>
      <w:r w:rsidR="00D24EB8">
        <w:t xml:space="preserve">This </w:t>
      </w:r>
      <w:r w:rsidR="00823C48">
        <w:t xml:space="preserve">Multiparty </w:t>
      </w:r>
      <w:r w:rsidR="008E51F3">
        <w:t>Settlement</w:t>
      </w:r>
      <w:r w:rsidR="00D24EB8">
        <w:t xml:space="preserve"> Stipulation is entered into by Avista Corporation (“Avista” or the “Company”), the Staff of the Washington Utilities and Transportation Commission (“Staff”), </w:t>
      </w:r>
      <w:r w:rsidR="00023863">
        <w:t xml:space="preserve">and </w:t>
      </w:r>
      <w:r w:rsidR="00D24EB8">
        <w:t>the Public Counsel Unit of the Washington Office of Attorney General (“Public Counsel”), jointly referred to herein as the “Parties</w:t>
      </w:r>
      <w:r w:rsidR="00823C48">
        <w:t>”</w:t>
      </w:r>
      <w:r w:rsidR="00D24EB8">
        <w:t>.</w:t>
      </w:r>
      <w:r w:rsidR="00823C48" w:rsidRPr="00823C48">
        <w:rPr>
          <w:rStyle w:val="FootnoteReference"/>
          <w:vertAlign w:val="superscript"/>
        </w:rPr>
        <w:footnoteReference w:id="1"/>
      </w:r>
      <w:r w:rsidR="00D24EB8">
        <w:t xml:space="preserve">  </w:t>
      </w:r>
      <w:r w:rsidR="00284475" w:rsidRPr="00A85B7C">
        <w:rPr>
          <w:color w:val="000000"/>
          <w:szCs w:val="24"/>
        </w:rPr>
        <w:t xml:space="preserve">This </w:t>
      </w:r>
      <w:r w:rsidR="00823C48">
        <w:rPr>
          <w:color w:val="000000"/>
          <w:szCs w:val="24"/>
        </w:rPr>
        <w:t>Multiparty Settlement S</w:t>
      </w:r>
      <w:r w:rsidR="00823C48" w:rsidRPr="00A85B7C">
        <w:rPr>
          <w:color w:val="000000"/>
          <w:szCs w:val="24"/>
        </w:rPr>
        <w:t xml:space="preserve">tipulation </w:t>
      </w:r>
      <w:r w:rsidR="00284475" w:rsidRPr="00A85B7C">
        <w:rPr>
          <w:color w:val="000000"/>
          <w:szCs w:val="24"/>
        </w:rPr>
        <w:t>identifies each of the issues identified by Staff and Public Counsel during the course of the review, and provides the Company's response on each issue.  Staff and Public Counsel are satisfied with the statements and resolution as set forth in this settlement stipulation.</w:t>
      </w:r>
      <w:r w:rsidR="00284475">
        <w:rPr>
          <w:color w:val="000000"/>
          <w:szCs w:val="24"/>
        </w:rPr>
        <w:t xml:space="preserve">  </w:t>
      </w:r>
      <w:r w:rsidR="00D24EB8">
        <w:t>Accordingly, this represents a “</w:t>
      </w:r>
      <w:r w:rsidR="008E51F3">
        <w:t>Settlement</w:t>
      </w:r>
      <w:r w:rsidR="00D24EB8">
        <w:t xml:space="preserve">” under WAC 480-07-730.  The Parties agree that this </w:t>
      </w:r>
      <w:r w:rsidR="00823C48">
        <w:t xml:space="preserve">Multiparty </w:t>
      </w:r>
      <w:r w:rsidR="008E51F3">
        <w:t>Settlement</w:t>
      </w:r>
      <w:r w:rsidR="00D24EB8">
        <w:t xml:space="preserve"> Stipulation (hereinafter “</w:t>
      </w:r>
      <w:r w:rsidR="008E51F3">
        <w:t>Settlement</w:t>
      </w:r>
      <w:r w:rsidR="00D24EB8">
        <w:t>” or “Stipulation”) is in the public interest and should be accepted by the Commission as a resolut</w:t>
      </w:r>
      <w:r w:rsidR="00023863">
        <w:t xml:space="preserve">ion of the issues </w:t>
      </w:r>
      <w:r w:rsidR="0046128C">
        <w:t>identified</w:t>
      </w:r>
      <w:r w:rsidR="00F8617E">
        <w:t xml:space="preserve"> in </w:t>
      </w:r>
      <w:r w:rsidR="00F8617E">
        <w:lastRenderedPageBreak/>
        <w:t xml:space="preserve">Order 01 </w:t>
      </w:r>
      <w:r w:rsidR="0046128C">
        <w:t>and Public Counsel’s comments dated July, 27, 2015</w:t>
      </w:r>
      <w:r w:rsidR="00D24EB8">
        <w:t xml:space="preserve">.  The Parties understand this </w:t>
      </w:r>
      <w:r w:rsidR="008E51F3">
        <w:t>Settlement</w:t>
      </w:r>
      <w:r w:rsidR="00D24EB8">
        <w:t xml:space="preserve"> Stipulation is subject to approval of the Washington Utilities and Transportation Commission (the “Commission”).</w:t>
      </w:r>
    </w:p>
    <w:p w:rsidR="00823C48" w:rsidRDefault="00823C48">
      <w:pPr>
        <w:pStyle w:val="BodyTextIndent"/>
        <w:keepNext/>
        <w:tabs>
          <w:tab w:val="clear" w:pos="0"/>
          <w:tab w:val="clear" w:pos="720"/>
          <w:tab w:val="left" w:pos="1260"/>
          <w:tab w:val="left" w:pos="2160"/>
          <w:tab w:val="left" w:pos="2880"/>
          <w:tab w:val="left" w:pos="3600"/>
        </w:tabs>
        <w:ind w:left="720"/>
        <w:jc w:val="center"/>
        <w:outlineLvl w:val="0"/>
        <w:rPr>
          <w:b/>
        </w:rPr>
      </w:pPr>
    </w:p>
    <w:p w:rsidR="00D21F7B" w:rsidRDefault="00D24EB8">
      <w:pPr>
        <w:pStyle w:val="BodyTextIndent"/>
        <w:keepNext/>
        <w:tabs>
          <w:tab w:val="clear" w:pos="0"/>
          <w:tab w:val="clear" w:pos="720"/>
          <w:tab w:val="left" w:pos="1260"/>
          <w:tab w:val="left" w:pos="2160"/>
          <w:tab w:val="left" w:pos="2880"/>
          <w:tab w:val="left" w:pos="3600"/>
        </w:tabs>
        <w:ind w:left="720"/>
        <w:jc w:val="center"/>
        <w:outlineLvl w:val="0"/>
        <w:rPr>
          <w:b/>
        </w:rPr>
      </w:pPr>
      <w:r>
        <w:rPr>
          <w:b/>
        </w:rPr>
        <w:t>II.  INTRODUCTION</w:t>
      </w:r>
    </w:p>
    <w:p w:rsidR="00D21F7B" w:rsidRDefault="00CB1AC6">
      <w:pPr>
        <w:pStyle w:val="BodyTextIndent"/>
        <w:keepNext/>
        <w:tabs>
          <w:tab w:val="clear" w:pos="0"/>
          <w:tab w:val="left" w:pos="2160"/>
          <w:tab w:val="left" w:pos="2880"/>
          <w:tab w:val="left" w:pos="3600"/>
        </w:tabs>
        <w:outlineLvl w:val="0"/>
      </w:pPr>
      <w:r>
        <w:tab/>
      </w:r>
      <w:r w:rsidR="00D24EB8">
        <w:t xml:space="preserve">On </w:t>
      </w:r>
      <w:r w:rsidR="00567B3C">
        <w:t>May 2</w:t>
      </w:r>
      <w:r w:rsidR="00D24EB8">
        <w:t xml:space="preserve">9, 2015, Avista filed with the Commission certain tariff revisions </w:t>
      </w:r>
      <w:r w:rsidR="00567B3C">
        <w:rPr>
          <w:szCs w:val="24"/>
        </w:rPr>
        <w:t xml:space="preserve">to its electric demand side management (DSM) tariff, Schedule 91. Schedule 91 is a tariff rider with rates set to match the future year’s electric energy efficiency expenditures and budget, and trued-up with the prior year’s actual expenditures and revenue collection. </w:t>
      </w:r>
      <w:r w:rsidR="00A85B7C">
        <w:rPr>
          <w:szCs w:val="24"/>
        </w:rPr>
        <w:t xml:space="preserve"> </w:t>
      </w:r>
      <w:r w:rsidR="00567B3C">
        <w:rPr>
          <w:szCs w:val="24"/>
        </w:rPr>
        <w:t xml:space="preserve">Avista’s filing is based on supporting workpapers and the </w:t>
      </w:r>
      <w:r w:rsidR="00823C48">
        <w:rPr>
          <w:szCs w:val="24"/>
        </w:rPr>
        <w:t xml:space="preserve">Company’s </w:t>
      </w:r>
      <w:r w:rsidR="00567B3C">
        <w:rPr>
          <w:szCs w:val="24"/>
        </w:rPr>
        <w:t>2015 DSM Business Plan</w:t>
      </w:r>
      <w:r w:rsidR="00567B3C" w:rsidRPr="003E58B9">
        <w:rPr>
          <w:rStyle w:val="FootnoteReference"/>
          <w:szCs w:val="24"/>
          <w:vertAlign w:val="superscript"/>
        </w:rPr>
        <w:footnoteReference w:id="2"/>
      </w:r>
      <w:r w:rsidR="00567B3C">
        <w:rPr>
          <w:szCs w:val="24"/>
        </w:rPr>
        <w:t>.</w:t>
      </w:r>
      <w:r w:rsidR="00D24EB8">
        <w:t xml:space="preserve">  Representatives of all Parties appeared at a Settlement Conference held on </w:t>
      </w:r>
      <w:r w:rsidR="003E58B9">
        <w:t>September 21</w:t>
      </w:r>
      <w:r w:rsidR="00D24EB8">
        <w:t>, 2015</w:t>
      </w:r>
      <w:r w:rsidR="00A85B7C">
        <w:t>. S</w:t>
      </w:r>
      <w:r w:rsidR="00D24EB8">
        <w:t xml:space="preserve">ubsequent discussions led to this </w:t>
      </w:r>
      <w:r w:rsidR="008E51F3">
        <w:t>Settlement</w:t>
      </w:r>
      <w:r w:rsidR="00D24EB8">
        <w:t xml:space="preserve"> Stipulation.</w:t>
      </w:r>
    </w:p>
    <w:p w:rsidR="00D21F7B" w:rsidRDefault="00D24EB8" w:rsidP="00CB1AC6">
      <w:pPr>
        <w:spacing w:line="480" w:lineRule="auto"/>
        <w:ind w:firstLine="720"/>
        <w:jc w:val="both"/>
      </w:pPr>
      <w:r>
        <w:t xml:space="preserve">The </w:t>
      </w:r>
      <w:r w:rsidR="007410EE">
        <w:t xml:space="preserve">signing </w:t>
      </w:r>
      <w:r>
        <w:t xml:space="preserve">Parties have reached a </w:t>
      </w:r>
      <w:r w:rsidR="008E51F3">
        <w:t>Settlement</w:t>
      </w:r>
      <w:r>
        <w:t xml:space="preserve"> of </w:t>
      </w:r>
      <w:r w:rsidR="0010222D">
        <w:t xml:space="preserve">the </w:t>
      </w:r>
      <w:r>
        <w:t xml:space="preserve">issues </w:t>
      </w:r>
      <w:r w:rsidR="0010222D">
        <w:t xml:space="preserve">that warranted further investigation and discussion </w:t>
      </w:r>
      <w:r>
        <w:t xml:space="preserve">in this proceeding.  If approved, this </w:t>
      </w:r>
      <w:r w:rsidR="008E51F3">
        <w:t>Settlement</w:t>
      </w:r>
      <w:r>
        <w:t xml:space="preserve"> woul</w:t>
      </w:r>
      <w:r w:rsidR="00567B3C">
        <w:t xml:space="preserve">d resolve all </w:t>
      </w:r>
      <w:r w:rsidR="0010222D">
        <w:t xml:space="preserve">the </w:t>
      </w:r>
      <w:r w:rsidR="00567B3C">
        <w:t>issues iden</w:t>
      </w:r>
      <w:r w:rsidR="0010222D">
        <w:t>tified in Commission Order No. 01</w:t>
      </w:r>
      <w:r w:rsidR="00567B3C">
        <w:t xml:space="preserve">, and Public Counsel’s comments dated July 27, 2015. </w:t>
      </w:r>
      <w:r>
        <w:t xml:space="preserve">The Parties, therefore, adopt the following </w:t>
      </w:r>
      <w:r w:rsidR="008E51F3">
        <w:t>Settlement</w:t>
      </w:r>
      <w:r>
        <w:t xml:space="preserve"> Stipulation and wish to present their agreement for the Commission’s consideration and approval.</w:t>
      </w:r>
    </w:p>
    <w:p w:rsidR="00823C48" w:rsidRDefault="00823C48">
      <w:pPr>
        <w:spacing w:line="480" w:lineRule="auto"/>
        <w:jc w:val="center"/>
        <w:rPr>
          <w:b/>
        </w:rPr>
      </w:pPr>
    </w:p>
    <w:p w:rsidR="00D21F7B" w:rsidRDefault="00D24EB8">
      <w:pPr>
        <w:spacing w:line="480" w:lineRule="auto"/>
        <w:jc w:val="center"/>
        <w:rPr>
          <w:b/>
        </w:rPr>
      </w:pPr>
      <w:r>
        <w:rPr>
          <w:b/>
        </w:rPr>
        <w:t>III.</w:t>
      </w:r>
      <w:r w:rsidR="00823C48">
        <w:rPr>
          <w:b/>
        </w:rPr>
        <w:t xml:space="preserve">  </w:t>
      </w:r>
      <w:r w:rsidR="0010222D">
        <w:rPr>
          <w:b/>
        </w:rPr>
        <w:t>BACKGROUND</w:t>
      </w:r>
    </w:p>
    <w:p w:rsidR="0010222D" w:rsidRPr="0010222D" w:rsidRDefault="0010222D" w:rsidP="00CB1AC6">
      <w:pPr>
        <w:spacing w:line="480" w:lineRule="auto"/>
        <w:ind w:firstLine="720"/>
        <w:jc w:val="both"/>
        <w:rPr>
          <w:szCs w:val="24"/>
        </w:rPr>
      </w:pPr>
      <w:r w:rsidRPr="0010222D">
        <w:rPr>
          <w:szCs w:val="24"/>
        </w:rPr>
        <w:t>On July 7, 2015, Staff and Public Counsel performed an on-site audit of Avista’s conservation incentive and non-incentive expenditures.  Prior to the on-site audit, Staff reviewed over 1000 expenditures, and selected 34 electric and natural gas line items for comprehensive on-site review</w:t>
      </w:r>
      <w:r w:rsidR="00A85B7C">
        <w:rPr>
          <w:szCs w:val="24"/>
        </w:rPr>
        <w:t>.</w:t>
      </w:r>
      <w:r w:rsidRPr="0010222D">
        <w:rPr>
          <w:szCs w:val="24"/>
        </w:rPr>
        <w:t xml:space="preserve"> Public Counsel selected 10 additional line items for review, including:</w:t>
      </w:r>
    </w:p>
    <w:p w:rsidR="0010222D" w:rsidRPr="0010222D" w:rsidRDefault="0010222D" w:rsidP="0010222D">
      <w:pPr>
        <w:pStyle w:val="ListParagraph"/>
        <w:numPr>
          <w:ilvl w:val="0"/>
          <w:numId w:val="12"/>
        </w:numPr>
        <w:contextualSpacing w:val="0"/>
        <w:rPr>
          <w:rFonts w:ascii="Times New Roman" w:hAnsi="Times New Roman"/>
          <w:sz w:val="24"/>
          <w:szCs w:val="24"/>
        </w:rPr>
      </w:pPr>
      <w:r w:rsidRPr="0010222D">
        <w:rPr>
          <w:rFonts w:ascii="Times New Roman" w:hAnsi="Times New Roman"/>
          <w:sz w:val="24"/>
          <w:szCs w:val="24"/>
        </w:rPr>
        <w:lastRenderedPageBreak/>
        <w:t>Invoice dollar match to line-item expenditures;</w:t>
      </w:r>
    </w:p>
    <w:p w:rsidR="0010222D" w:rsidRPr="0010222D" w:rsidRDefault="0010222D" w:rsidP="0010222D">
      <w:pPr>
        <w:pStyle w:val="ListParagraph"/>
        <w:numPr>
          <w:ilvl w:val="0"/>
          <w:numId w:val="12"/>
        </w:numPr>
        <w:contextualSpacing w:val="0"/>
        <w:rPr>
          <w:rFonts w:ascii="Times New Roman" w:hAnsi="Times New Roman"/>
          <w:sz w:val="24"/>
          <w:szCs w:val="24"/>
        </w:rPr>
      </w:pPr>
      <w:r w:rsidRPr="0010222D">
        <w:rPr>
          <w:rFonts w:ascii="Times New Roman" w:hAnsi="Times New Roman"/>
          <w:sz w:val="24"/>
          <w:szCs w:val="24"/>
        </w:rPr>
        <w:t>Existence of proper supporting documentation for expenditures;</w:t>
      </w:r>
    </w:p>
    <w:p w:rsidR="0010222D" w:rsidRPr="0010222D" w:rsidRDefault="0010222D" w:rsidP="0010222D">
      <w:pPr>
        <w:pStyle w:val="ListParagraph"/>
        <w:numPr>
          <w:ilvl w:val="0"/>
          <w:numId w:val="12"/>
        </w:numPr>
        <w:contextualSpacing w:val="0"/>
        <w:rPr>
          <w:rFonts w:ascii="Times New Roman" w:hAnsi="Times New Roman"/>
          <w:sz w:val="24"/>
          <w:szCs w:val="24"/>
        </w:rPr>
      </w:pPr>
      <w:r w:rsidRPr="0010222D">
        <w:rPr>
          <w:rFonts w:ascii="Times New Roman" w:hAnsi="Times New Roman"/>
          <w:sz w:val="24"/>
          <w:szCs w:val="24"/>
        </w:rPr>
        <w:t>Appropriate Washington allocation of expenditures;</w:t>
      </w:r>
    </w:p>
    <w:p w:rsidR="0010222D" w:rsidRPr="0010222D" w:rsidRDefault="0010222D" w:rsidP="0010222D">
      <w:pPr>
        <w:pStyle w:val="ListParagraph"/>
        <w:numPr>
          <w:ilvl w:val="0"/>
          <w:numId w:val="12"/>
        </w:numPr>
        <w:contextualSpacing w:val="0"/>
        <w:rPr>
          <w:rFonts w:ascii="Times New Roman" w:hAnsi="Times New Roman"/>
          <w:sz w:val="24"/>
          <w:szCs w:val="24"/>
        </w:rPr>
      </w:pPr>
      <w:r w:rsidRPr="0010222D">
        <w:rPr>
          <w:rFonts w:ascii="Times New Roman" w:hAnsi="Times New Roman"/>
          <w:sz w:val="24"/>
          <w:szCs w:val="24"/>
        </w:rPr>
        <w:t>Overall appropriateness of expenditures; and</w:t>
      </w:r>
    </w:p>
    <w:p w:rsidR="0010222D" w:rsidRDefault="0010222D" w:rsidP="0010222D">
      <w:pPr>
        <w:pStyle w:val="ListParagraph"/>
        <w:numPr>
          <w:ilvl w:val="0"/>
          <w:numId w:val="12"/>
        </w:numPr>
        <w:contextualSpacing w:val="0"/>
        <w:rPr>
          <w:rFonts w:ascii="Times New Roman" w:hAnsi="Times New Roman"/>
          <w:sz w:val="24"/>
          <w:szCs w:val="24"/>
        </w:rPr>
      </w:pPr>
      <w:r w:rsidRPr="0010222D">
        <w:rPr>
          <w:rFonts w:ascii="Times New Roman" w:hAnsi="Times New Roman"/>
          <w:sz w:val="24"/>
          <w:szCs w:val="24"/>
        </w:rPr>
        <w:t xml:space="preserve">Presence of proper internal control mechanisms.  </w:t>
      </w:r>
      <w:r w:rsidRPr="0010222D">
        <w:rPr>
          <w:rFonts w:ascii="Times New Roman" w:hAnsi="Times New Roman"/>
          <w:sz w:val="24"/>
          <w:szCs w:val="24"/>
        </w:rPr>
        <w:br/>
      </w:r>
    </w:p>
    <w:p w:rsidR="00D21F7B" w:rsidRPr="0010222D" w:rsidRDefault="0010222D" w:rsidP="0010222D">
      <w:pPr>
        <w:spacing w:line="480" w:lineRule="auto"/>
        <w:ind w:firstLine="720"/>
        <w:jc w:val="both"/>
        <w:rPr>
          <w:bCs/>
          <w:noProof/>
          <w:szCs w:val="24"/>
        </w:rPr>
      </w:pPr>
      <w:r w:rsidRPr="0010222D">
        <w:rPr>
          <w:szCs w:val="24"/>
        </w:rPr>
        <w:t>All line item expenditures were supported by invoices, and supporting documentation was provided upon request. All reviewed expenditures were found to be appropriately allocated to Washington.  However, Staff and Public Counsel discovered seven issues that warranted further investigation and discussion.</w:t>
      </w:r>
      <w:r w:rsidR="007E0EEE" w:rsidRPr="00295946">
        <w:rPr>
          <w:rStyle w:val="FootnoteReference"/>
          <w:szCs w:val="24"/>
          <w:vertAlign w:val="superscript"/>
        </w:rPr>
        <w:footnoteReference w:id="3"/>
      </w:r>
    </w:p>
    <w:p w:rsidR="00823C48" w:rsidRDefault="00823C48" w:rsidP="0010222D">
      <w:pPr>
        <w:spacing w:line="480" w:lineRule="auto"/>
        <w:jc w:val="center"/>
      </w:pPr>
    </w:p>
    <w:p w:rsidR="0010222D" w:rsidRDefault="0010222D" w:rsidP="0010222D">
      <w:pPr>
        <w:spacing w:line="480" w:lineRule="auto"/>
        <w:jc w:val="center"/>
        <w:rPr>
          <w:b/>
          <w:bCs/>
          <w:szCs w:val="24"/>
        </w:rPr>
      </w:pPr>
      <w:r>
        <w:rPr>
          <w:b/>
          <w:bCs/>
          <w:szCs w:val="24"/>
        </w:rPr>
        <w:t>IV.</w:t>
      </w:r>
      <w:r w:rsidR="007E0EEE">
        <w:rPr>
          <w:b/>
          <w:bCs/>
          <w:szCs w:val="24"/>
        </w:rPr>
        <w:t xml:space="preserve">  </w:t>
      </w:r>
      <w:r>
        <w:rPr>
          <w:b/>
          <w:bCs/>
          <w:szCs w:val="24"/>
        </w:rPr>
        <w:t>AGREEMENT</w:t>
      </w:r>
    </w:p>
    <w:p w:rsidR="00D21F7B" w:rsidRDefault="0010222D">
      <w:pPr>
        <w:spacing w:line="480" w:lineRule="auto"/>
        <w:jc w:val="both"/>
      </w:pPr>
      <w:r>
        <w:tab/>
        <w:t>The following represents the Company’s response and resolution to the seven issues</w:t>
      </w:r>
      <w:r w:rsidR="005F2BB3">
        <w:t xml:space="preserve"> identified by Commission Staff and Public Counsel</w:t>
      </w:r>
      <w:r w:rsidR="00823C48">
        <w:t xml:space="preserve">.  (The </w:t>
      </w:r>
      <w:r w:rsidR="00295946">
        <w:t>description</w:t>
      </w:r>
      <w:r w:rsidR="00823C48">
        <w:t xml:space="preserve"> of each issue represents the characterization provided by Staff and Public Counsel.)</w:t>
      </w:r>
    </w:p>
    <w:p w:rsidR="0010222D" w:rsidRPr="0010222D" w:rsidRDefault="00823C48" w:rsidP="00823C48">
      <w:pPr>
        <w:pStyle w:val="ListParagraph"/>
        <w:spacing w:line="360" w:lineRule="auto"/>
        <w:jc w:val="both"/>
        <w:rPr>
          <w:rFonts w:ascii="Times New Roman" w:hAnsi="Times New Roman"/>
          <w:sz w:val="24"/>
          <w:szCs w:val="24"/>
        </w:rPr>
      </w:pPr>
      <w:r w:rsidRPr="00823C48">
        <w:rPr>
          <w:rFonts w:ascii="Times New Roman" w:hAnsi="Times New Roman"/>
          <w:b/>
          <w:sz w:val="24"/>
          <w:szCs w:val="24"/>
          <w:u w:val="single"/>
        </w:rPr>
        <w:t>Issue No. 1</w:t>
      </w:r>
      <w:r>
        <w:rPr>
          <w:rFonts w:ascii="Times New Roman" w:hAnsi="Times New Roman"/>
          <w:sz w:val="24"/>
          <w:szCs w:val="24"/>
        </w:rPr>
        <w:t xml:space="preserve">: </w:t>
      </w:r>
      <w:r w:rsidR="0010222D" w:rsidRPr="0010222D">
        <w:rPr>
          <w:rFonts w:ascii="Times New Roman" w:hAnsi="Times New Roman"/>
          <w:sz w:val="24"/>
          <w:szCs w:val="24"/>
        </w:rPr>
        <w:t xml:space="preserve">Avista spent $2,500 to sponsor a Northwest Energy Coalition (NWEC) evening event entitled ‘Four under Forty,’ which honored four clean energy leaders under the age of 40 from the Pacific Northwest. </w:t>
      </w:r>
    </w:p>
    <w:p w:rsidR="0010222D" w:rsidRPr="0010222D" w:rsidRDefault="0010222D" w:rsidP="0010222D">
      <w:pPr>
        <w:rPr>
          <w:szCs w:val="24"/>
        </w:rPr>
      </w:pPr>
    </w:p>
    <w:p w:rsidR="00823C48" w:rsidRDefault="00A85B7C" w:rsidP="0010222D">
      <w:pPr>
        <w:spacing w:line="360" w:lineRule="auto"/>
        <w:ind w:left="720"/>
        <w:jc w:val="both"/>
      </w:pPr>
      <w:r>
        <w:rPr>
          <w:b/>
        </w:rPr>
        <w:t xml:space="preserve">Avista </w:t>
      </w:r>
      <w:r w:rsidR="0010222D" w:rsidRPr="00E25BCE">
        <w:rPr>
          <w:b/>
        </w:rPr>
        <w:t>Response</w:t>
      </w:r>
      <w:r w:rsidR="00823C48">
        <w:rPr>
          <w:b/>
        </w:rPr>
        <w:t>/Resolution</w:t>
      </w:r>
      <w:r w:rsidR="0010222D" w:rsidRPr="00E25BCE">
        <w:rPr>
          <w:b/>
        </w:rPr>
        <w:t>:</w:t>
      </w:r>
      <w:r w:rsidR="00823C48">
        <w:rPr>
          <w:b/>
        </w:rPr>
        <w:t xml:space="preserve"> </w:t>
      </w:r>
      <w:r w:rsidR="0010222D" w:rsidRPr="00E25BCE">
        <w:t>The Company removed this expenditure and adjusted the rider balance</w:t>
      </w:r>
      <w:r w:rsidR="0010222D">
        <w:t xml:space="preserve"> in a revised tariff filing on July 28, 2015, as explained further in </w:t>
      </w:r>
      <w:r w:rsidR="0010222D" w:rsidRPr="00E25BCE">
        <w:t xml:space="preserve">response to </w:t>
      </w:r>
      <w:r w:rsidR="0010222D">
        <w:t xml:space="preserve">the </w:t>
      </w:r>
      <w:r w:rsidR="0010222D" w:rsidRPr="00E25BCE">
        <w:t>second issue below.</w:t>
      </w:r>
    </w:p>
    <w:p w:rsidR="0010222D" w:rsidRPr="00E25BCE" w:rsidRDefault="0010222D" w:rsidP="0010222D">
      <w:pPr>
        <w:spacing w:line="360" w:lineRule="auto"/>
        <w:ind w:left="720"/>
        <w:jc w:val="both"/>
      </w:pPr>
    </w:p>
    <w:p w:rsidR="0010222D" w:rsidRPr="00E25BCE" w:rsidRDefault="00823C48" w:rsidP="00823C48">
      <w:pPr>
        <w:spacing w:line="360" w:lineRule="auto"/>
        <w:ind w:left="720"/>
        <w:jc w:val="both"/>
      </w:pPr>
      <w:r w:rsidRPr="00823C48">
        <w:rPr>
          <w:b/>
          <w:szCs w:val="24"/>
          <w:u w:val="single"/>
        </w:rPr>
        <w:t>Issue No. 2</w:t>
      </w:r>
      <w:r>
        <w:rPr>
          <w:szCs w:val="24"/>
        </w:rPr>
        <w:t xml:space="preserve">: </w:t>
      </w:r>
      <w:r w:rsidR="0010222D" w:rsidRPr="00E25BCE">
        <w:t>Staff discovered a natural gas reimbursement of more than $300,000 that was misallocated to the Company’s electric program. The error occurred when the conservation team worked with the utility accounting office to allocate an incoming invoice from a collaborative project with Washington State University. The Company has provided documentation that demonstrates that the money has been applied to the natural gas program, however</w:t>
      </w:r>
      <w:r w:rsidR="0010222D">
        <w:t xml:space="preserve">, a revision to </w:t>
      </w:r>
      <w:r w:rsidR="0010222D" w:rsidRPr="00E25BCE">
        <w:t xml:space="preserve">Schedule 91 </w:t>
      </w:r>
      <w:r w:rsidR="0010222D">
        <w:t xml:space="preserve">was necessary </w:t>
      </w:r>
      <w:r w:rsidR="0010222D" w:rsidRPr="00E25BCE">
        <w:t xml:space="preserve">to account for </w:t>
      </w:r>
      <w:r w:rsidR="0010222D">
        <w:t xml:space="preserve">correcting </w:t>
      </w:r>
      <w:r w:rsidR="0010222D">
        <w:lastRenderedPageBreak/>
        <w:t xml:space="preserve">this allocation and </w:t>
      </w:r>
      <w:r w:rsidR="0010222D" w:rsidRPr="00E25BCE">
        <w:t xml:space="preserve">the </w:t>
      </w:r>
      <w:r w:rsidR="0010222D">
        <w:t>subsequent impact on</w:t>
      </w:r>
      <w:r w:rsidR="0010222D" w:rsidRPr="00E25BCE">
        <w:t xml:space="preserve"> rates. </w:t>
      </w:r>
    </w:p>
    <w:p w:rsidR="0010222D" w:rsidRPr="00E25BCE" w:rsidRDefault="0010222D" w:rsidP="0010222D"/>
    <w:p w:rsidR="0010222D" w:rsidRPr="00E25BCE" w:rsidRDefault="00A85B7C" w:rsidP="005F2BB3">
      <w:pPr>
        <w:spacing w:line="360" w:lineRule="auto"/>
        <w:ind w:left="720"/>
        <w:jc w:val="both"/>
      </w:pPr>
      <w:r>
        <w:rPr>
          <w:b/>
        </w:rPr>
        <w:t xml:space="preserve">Avista </w:t>
      </w:r>
      <w:r w:rsidR="0010222D" w:rsidRPr="00E25BCE">
        <w:rPr>
          <w:b/>
        </w:rPr>
        <w:t>Response</w:t>
      </w:r>
      <w:r w:rsidR="00823C48">
        <w:rPr>
          <w:b/>
        </w:rPr>
        <w:t>/Resolution</w:t>
      </w:r>
      <w:r w:rsidR="0010222D" w:rsidRPr="00E25BCE">
        <w:rPr>
          <w:b/>
        </w:rPr>
        <w:t>:</w:t>
      </w:r>
      <w:r w:rsidR="00823C48">
        <w:t xml:space="preserve"> </w:t>
      </w:r>
      <w:r w:rsidR="0010222D" w:rsidRPr="00E25BCE">
        <w:t xml:space="preserve">Per Commission Staff’s memo </w:t>
      </w:r>
      <w:r w:rsidR="0010222D">
        <w:t xml:space="preserve">for the July 30, 2015 Open Meeting </w:t>
      </w:r>
      <w:r w:rsidR="0010222D" w:rsidRPr="00E25BCE">
        <w:t xml:space="preserve">– “The </w:t>
      </w:r>
      <w:r w:rsidR="0010222D">
        <w:t>C</w:t>
      </w:r>
      <w:r w:rsidR="0010222D" w:rsidRPr="00E25BCE">
        <w:t>ompany has provided documentation that demonstrates that the money has been applied to the natural gas program…”</w:t>
      </w:r>
      <w:r w:rsidR="00295946">
        <w:t>.</w:t>
      </w:r>
      <w:r w:rsidR="0010222D" w:rsidRPr="00E25BCE">
        <w:t xml:space="preserve"> On July 28</w:t>
      </w:r>
      <w:r w:rsidR="0010222D" w:rsidRPr="00E25BCE">
        <w:rPr>
          <w:vertAlign w:val="superscript"/>
        </w:rPr>
        <w:t>th</w:t>
      </w:r>
      <w:r w:rsidR="0010222D" w:rsidRPr="00E25BCE">
        <w:t xml:space="preserve">, substitute revisions were filed to reflect the corrected misallocation of the Washington State University (WSU) reimbursements that were incorrectly assigned to the electric program in 2013 and 2014.  The reimbursements totaling $311,153, were mistakenly </w:t>
      </w:r>
      <w:r w:rsidR="0010222D">
        <w:t>assigned</w:t>
      </w:r>
      <w:r w:rsidR="0010222D" w:rsidRPr="00E25BCE">
        <w:t xml:space="preserve"> to the electric program and have now been </w:t>
      </w:r>
      <w:r w:rsidR="0010222D">
        <w:t>assigned</w:t>
      </w:r>
      <w:r w:rsidR="0010222D" w:rsidRPr="00E25BCE">
        <w:t xml:space="preserve"> to the natural gas program. Also, the revision included the removal of $2,500 for sponsorship of a NWEC event.</w:t>
      </w:r>
    </w:p>
    <w:p w:rsidR="0010222D" w:rsidRPr="00E25BCE" w:rsidRDefault="0010222D" w:rsidP="0010222D"/>
    <w:p w:rsidR="00120DB8" w:rsidRDefault="00823C48" w:rsidP="007E0EEE">
      <w:pPr>
        <w:spacing w:line="360" w:lineRule="auto"/>
        <w:ind w:left="720"/>
        <w:jc w:val="both"/>
      </w:pPr>
      <w:r w:rsidRPr="00823C48">
        <w:rPr>
          <w:b/>
          <w:szCs w:val="24"/>
          <w:u w:val="single"/>
        </w:rPr>
        <w:t>Issue No. 3</w:t>
      </w:r>
      <w:r>
        <w:rPr>
          <w:szCs w:val="24"/>
        </w:rPr>
        <w:t xml:space="preserve">:  </w:t>
      </w:r>
      <w:r w:rsidR="0010222D" w:rsidRPr="00CB1AC6">
        <w:t>Opower Home Energy Reports. The third and most significant issue discovered by</w:t>
      </w:r>
      <w:r w:rsidR="0010222D" w:rsidRPr="00E25BCE">
        <w:t xml:space="preserve"> Staff </w:t>
      </w:r>
      <w:r w:rsidR="0010222D">
        <w:t xml:space="preserve">and Public Counsel </w:t>
      </w:r>
      <w:r w:rsidR="0010222D" w:rsidRPr="00E25BCE">
        <w:t>is that Avista ceased issuing Opower Home Energy Reports in January 2015 due to technical difficulties related to its new billing system</w:t>
      </w:r>
      <w:r w:rsidR="00A85B7C">
        <w:t>.  Unfortunately, Avista also neglected to notify the Commission of the</w:t>
      </w:r>
      <w:r w:rsidR="00A86258">
        <w:t xml:space="preserve"> </w:t>
      </w:r>
      <w:r w:rsidR="00A85B7C">
        <w:t>interruption in the program</w:t>
      </w:r>
      <w:r w:rsidR="0010222D" w:rsidRPr="00E25BCE">
        <w:t xml:space="preserve">. The Company </w:t>
      </w:r>
      <w:r w:rsidR="0010222D">
        <w:t xml:space="preserve">was </w:t>
      </w:r>
      <w:r w:rsidR="00A85B7C">
        <w:t xml:space="preserve">not </w:t>
      </w:r>
      <w:r w:rsidR="0010222D">
        <w:t>able</w:t>
      </w:r>
      <w:r w:rsidR="0010222D" w:rsidRPr="00E25BCE">
        <w:t xml:space="preserve"> to resume issuing reports </w:t>
      </w:r>
      <w:r w:rsidR="00A85B7C">
        <w:t xml:space="preserve">until </w:t>
      </w:r>
      <w:r w:rsidR="0010222D" w:rsidRPr="00E25BCE">
        <w:t xml:space="preserve">August 2015, resulting in a </w:t>
      </w:r>
      <w:r w:rsidR="00A85B7C">
        <w:t>program interruption</w:t>
      </w:r>
      <w:r w:rsidR="0010222D" w:rsidRPr="00E25BCE">
        <w:t xml:space="preserve"> of eight months. Staff </w:t>
      </w:r>
      <w:r w:rsidR="0010222D">
        <w:t xml:space="preserve">and Public Counsel were </w:t>
      </w:r>
      <w:r w:rsidR="0010222D" w:rsidRPr="00E25BCE">
        <w:t>concerned about Avista continuing to pay Opower</w:t>
      </w:r>
      <w:r w:rsidR="00A85B7C" w:rsidRPr="00A85B7C">
        <w:t xml:space="preserve"> </w:t>
      </w:r>
      <w:r w:rsidR="00A85B7C" w:rsidRPr="00E25BCE">
        <w:t>for a program it did not implement</w:t>
      </w:r>
      <w:r w:rsidR="0010222D" w:rsidRPr="00E25BCE">
        <w:t xml:space="preserve"> − and collecting more than $295,000 from its customers during the program </w:t>
      </w:r>
      <w:r w:rsidR="00A85B7C">
        <w:t>interruption</w:t>
      </w:r>
      <w:r w:rsidR="0010222D" w:rsidRPr="00E25BCE">
        <w:t xml:space="preserve">. Accordingly, Staff </w:t>
      </w:r>
      <w:r w:rsidR="0010222D">
        <w:t>found</w:t>
      </w:r>
      <w:r w:rsidR="0010222D" w:rsidRPr="00E25BCE">
        <w:t xml:space="preserve"> that the program was not used and useful.</w:t>
      </w:r>
      <w:r w:rsidR="0010222D" w:rsidRPr="00E25BCE">
        <w:br/>
      </w:r>
    </w:p>
    <w:p w:rsidR="0010222D" w:rsidRPr="00E25BCE" w:rsidRDefault="0010222D" w:rsidP="005F2BB3">
      <w:pPr>
        <w:spacing w:line="360" w:lineRule="auto"/>
        <w:ind w:left="720"/>
        <w:jc w:val="both"/>
      </w:pPr>
      <w:r w:rsidRPr="00E25BCE">
        <w:t xml:space="preserve">Staff </w:t>
      </w:r>
      <w:r>
        <w:t>and Public Counsel are</w:t>
      </w:r>
      <w:r w:rsidRPr="00E25BCE">
        <w:t xml:space="preserve"> also concerned about the long-term impact of program savings. Opower is designed as a three year program, with regularly-issued Home Energy Reports. The eight-month program </w:t>
      </w:r>
      <w:r w:rsidR="00D037DA">
        <w:t>interruption</w:t>
      </w:r>
      <w:r w:rsidR="00D037DA" w:rsidRPr="00E25BCE">
        <w:t xml:space="preserve"> </w:t>
      </w:r>
      <w:r w:rsidRPr="00E25BCE">
        <w:t xml:space="preserve">could have a negative impact on the program’s overall efficacy and savings potential. Avista failed to inform its Advisory Group about the lapse in </w:t>
      </w:r>
      <w:r w:rsidR="00D037DA">
        <w:t>program</w:t>
      </w:r>
      <w:r w:rsidR="00D037DA" w:rsidRPr="00E25BCE">
        <w:t xml:space="preserve"> </w:t>
      </w:r>
      <w:r w:rsidRPr="00E25BCE">
        <w:t>until May 1</w:t>
      </w:r>
      <w:r>
        <w:t>, 2015</w:t>
      </w:r>
      <w:r w:rsidRPr="00E25BCE">
        <w:t xml:space="preserve">; </w:t>
      </w:r>
      <w:r w:rsidR="00D037DA">
        <w:t>although</w:t>
      </w:r>
      <w:r w:rsidRPr="00E25BCE">
        <w:t xml:space="preserve"> this is precisely the type of issue the Company should have brought to its Advisory Group for discussion. For each of these reasons, Staff </w:t>
      </w:r>
      <w:r>
        <w:t>and Public Counsel recommended</w:t>
      </w:r>
      <w:r w:rsidRPr="00E25BCE">
        <w:t xml:space="preserve"> that the Opower program </w:t>
      </w:r>
      <w:r w:rsidR="00D037DA">
        <w:t>interruption</w:t>
      </w:r>
      <w:r w:rsidRPr="00E25BCE">
        <w:t xml:space="preserve"> warrant</w:t>
      </w:r>
      <w:r w:rsidR="00D037DA">
        <w:t>ed</w:t>
      </w:r>
      <w:r w:rsidRPr="00E25BCE">
        <w:t xml:space="preserve"> further investigation.</w:t>
      </w:r>
    </w:p>
    <w:p w:rsidR="0010222D" w:rsidRPr="00E25BCE" w:rsidRDefault="0010222D" w:rsidP="005F2BB3">
      <w:pPr>
        <w:ind w:left="720" w:hanging="360"/>
      </w:pPr>
    </w:p>
    <w:p w:rsidR="0010222D" w:rsidRPr="00E25BCE" w:rsidRDefault="00D037DA" w:rsidP="005F2BB3">
      <w:pPr>
        <w:spacing w:line="360" w:lineRule="auto"/>
        <w:ind w:left="720"/>
        <w:jc w:val="both"/>
        <w:rPr>
          <w:color w:val="000000"/>
        </w:rPr>
      </w:pPr>
      <w:r>
        <w:rPr>
          <w:b/>
        </w:rPr>
        <w:t xml:space="preserve">Avista </w:t>
      </w:r>
      <w:r w:rsidR="0010222D" w:rsidRPr="00E25BCE">
        <w:rPr>
          <w:b/>
        </w:rPr>
        <w:t>Response</w:t>
      </w:r>
      <w:r w:rsidR="00823C48">
        <w:rPr>
          <w:b/>
        </w:rPr>
        <w:t>/Resolution</w:t>
      </w:r>
      <w:r w:rsidR="0010222D" w:rsidRPr="00E25BCE">
        <w:rPr>
          <w:b/>
        </w:rPr>
        <w:t>:</w:t>
      </w:r>
      <w:r w:rsidR="00823C48">
        <w:rPr>
          <w:b/>
        </w:rPr>
        <w:t xml:space="preserve"> </w:t>
      </w:r>
      <w:r w:rsidR="0010222D" w:rsidRPr="00E25BCE">
        <w:rPr>
          <w:color w:val="000000"/>
        </w:rPr>
        <w:t xml:space="preserve">After considerable effort, Avista was able to extract data files that succeeded in meeting the Opower specifications. By the end of June, extract files for the past and then-current periods were sent to Opower for analysis and reporting.  </w:t>
      </w:r>
      <w:r w:rsidR="0010222D" w:rsidRPr="00E25BCE">
        <w:rPr>
          <w:color w:val="000000"/>
        </w:rPr>
        <w:lastRenderedPageBreak/>
        <w:t>This process can take up to five weeks after Opower receives the extract files.  Accordingly, Opower resumed its reporting on Friday August 14</w:t>
      </w:r>
      <w:r w:rsidR="0010222D" w:rsidRPr="00E25BCE">
        <w:rPr>
          <w:color w:val="000000"/>
          <w:vertAlign w:val="superscript"/>
        </w:rPr>
        <w:t>th</w:t>
      </w:r>
      <w:r w:rsidR="0010222D" w:rsidRPr="00E25BCE">
        <w:rPr>
          <w:color w:val="000000"/>
        </w:rPr>
        <w:t>, 2015.</w:t>
      </w:r>
    </w:p>
    <w:p w:rsidR="0010222D" w:rsidRPr="00E25BCE" w:rsidRDefault="0010222D" w:rsidP="005F2BB3">
      <w:pPr>
        <w:spacing w:line="360" w:lineRule="auto"/>
        <w:ind w:left="720" w:hanging="360"/>
        <w:jc w:val="both"/>
        <w:rPr>
          <w:color w:val="000000"/>
        </w:rPr>
      </w:pPr>
    </w:p>
    <w:p w:rsidR="001A69EC" w:rsidRDefault="0010222D" w:rsidP="005F2BB3">
      <w:pPr>
        <w:spacing w:line="360" w:lineRule="auto"/>
        <w:ind w:left="720"/>
        <w:jc w:val="both"/>
        <w:rPr>
          <w:color w:val="000000"/>
        </w:rPr>
      </w:pPr>
      <w:r w:rsidRPr="00E25BCE">
        <w:rPr>
          <w:color w:val="000000"/>
        </w:rPr>
        <w:t xml:space="preserve">Avista has been assessing the potential impact to the Home Energy Reports program, associated with the interruption of three scheduled report-outs to customers during the period in question. Overall, </w:t>
      </w:r>
      <w:r w:rsidR="00D037DA">
        <w:rPr>
          <w:color w:val="000000"/>
        </w:rPr>
        <w:t xml:space="preserve">it appears that </w:t>
      </w:r>
      <w:r w:rsidRPr="00E25BCE">
        <w:rPr>
          <w:color w:val="000000"/>
        </w:rPr>
        <w:t>the level of customer savings has been stable through this period, and the Company has not seen any discernible increase in the attrition of customers from the treatment group.  Avista has not received any complaints from customers associated with the interruption of the reports</w:t>
      </w:r>
      <w:r w:rsidR="00D037DA">
        <w:rPr>
          <w:color w:val="000000"/>
        </w:rPr>
        <w:t xml:space="preserve"> and t</w:t>
      </w:r>
      <w:r w:rsidRPr="00E25BCE">
        <w:rPr>
          <w:color w:val="000000"/>
        </w:rPr>
        <w:t xml:space="preserve">he web portal tool </w:t>
      </w:r>
      <w:r w:rsidR="00D037DA">
        <w:rPr>
          <w:color w:val="000000"/>
        </w:rPr>
        <w:t>was</w:t>
      </w:r>
      <w:r w:rsidRPr="00E25BCE">
        <w:rPr>
          <w:color w:val="000000"/>
        </w:rPr>
        <w:t xml:space="preserve"> available during this period</w:t>
      </w:r>
      <w:r w:rsidR="00D037DA">
        <w:rPr>
          <w:color w:val="000000"/>
        </w:rPr>
        <w:t>.</w:t>
      </w:r>
      <w:r w:rsidRPr="00E25BCE">
        <w:rPr>
          <w:color w:val="000000"/>
        </w:rPr>
        <w:t xml:space="preserve"> </w:t>
      </w:r>
    </w:p>
    <w:p w:rsidR="001A69EC" w:rsidRDefault="001A69EC" w:rsidP="005F2BB3">
      <w:pPr>
        <w:spacing w:line="360" w:lineRule="auto"/>
        <w:ind w:left="720"/>
        <w:jc w:val="both"/>
        <w:rPr>
          <w:color w:val="000000"/>
        </w:rPr>
      </w:pPr>
    </w:p>
    <w:p w:rsidR="00245117" w:rsidRDefault="00045935" w:rsidP="005F2BB3">
      <w:pPr>
        <w:spacing w:line="360" w:lineRule="auto"/>
        <w:ind w:left="720"/>
        <w:jc w:val="both"/>
        <w:rPr>
          <w:color w:val="000000"/>
        </w:rPr>
      </w:pPr>
      <w:r>
        <w:rPr>
          <w:color w:val="000000"/>
        </w:rPr>
        <w:t xml:space="preserve">In response to the </w:t>
      </w:r>
      <w:r w:rsidR="00D037DA">
        <w:rPr>
          <w:color w:val="000000"/>
        </w:rPr>
        <w:t xml:space="preserve">program interruption, </w:t>
      </w:r>
      <w:r w:rsidR="00D037DA" w:rsidRPr="00E25BCE">
        <w:rPr>
          <w:color w:val="000000"/>
        </w:rPr>
        <w:t xml:space="preserve">Avista </w:t>
      </w:r>
      <w:r w:rsidR="00A4571D">
        <w:rPr>
          <w:color w:val="000000"/>
        </w:rPr>
        <w:t xml:space="preserve">will refund to customers the costs associated with the interruption in the amount of $211,589 dollars. The details of the proposed customer refund are set forth below in </w:t>
      </w:r>
      <w:r w:rsidR="007E0EEE">
        <w:rPr>
          <w:color w:val="000000"/>
        </w:rPr>
        <w:t>T</w:t>
      </w:r>
      <w:r w:rsidR="00A4571D">
        <w:rPr>
          <w:color w:val="000000"/>
        </w:rPr>
        <w:t>able</w:t>
      </w:r>
      <w:r w:rsidR="007E0EEE">
        <w:rPr>
          <w:color w:val="000000"/>
        </w:rPr>
        <w:t xml:space="preserve"> No. 1</w:t>
      </w:r>
      <w:r w:rsidR="00A4571D">
        <w:rPr>
          <w:color w:val="000000"/>
        </w:rPr>
        <w:t xml:space="preserve"> below. The Company will implement the refund by way of a tariff change that will reduce Schedule 91 rates for the remainder of the 2015-16 period. The tariff change will be filed as soon as practicable after approval of this settlement.  Any over</w:t>
      </w:r>
      <w:r w:rsidR="00295946">
        <w:rPr>
          <w:color w:val="000000"/>
        </w:rPr>
        <w:t>-</w:t>
      </w:r>
      <w:r w:rsidR="00A4571D">
        <w:rPr>
          <w:color w:val="000000"/>
        </w:rPr>
        <w:t xml:space="preserve"> or </w:t>
      </w:r>
      <w:r w:rsidR="00295946">
        <w:rPr>
          <w:color w:val="000000"/>
        </w:rPr>
        <w:t>under-</w:t>
      </w:r>
      <w:r w:rsidR="00A4571D">
        <w:rPr>
          <w:color w:val="000000"/>
        </w:rPr>
        <w:t xml:space="preserve">recovery of the refund amount will be accounted for in </w:t>
      </w:r>
      <w:r w:rsidR="0046128C">
        <w:rPr>
          <w:color w:val="000000"/>
        </w:rPr>
        <w:t xml:space="preserve">the </w:t>
      </w:r>
      <w:r w:rsidR="00A4571D">
        <w:rPr>
          <w:color w:val="000000"/>
        </w:rPr>
        <w:t xml:space="preserve">Company’s 2016 conservation tariff filing.  </w:t>
      </w:r>
    </w:p>
    <w:p w:rsidR="007E0EEE" w:rsidRDefault="007E0EEE" w:rsidP="005F2BB3">
      <w:pPr>
        <w:spacing w:line="360" w:lineRule="auto"/>
        <w:ind w:left="720"/>
        <w:jc w:val="both"/>
        <w:rPr>
          <w:b/>
          <w:color w:val="000000"/>
          <w:u w:val="single"/>
        </w:rPr>
      </w:pPr>
    </w:p>
    <w:p w:rsidR="00B70649" w:rsidRPr="007E0EEE" w:rsidRDefault="007E0EEE" w:rsidP="005F2BB3">
      <w:pPr>
        <w:spacing w:line="360" w:lineRule="auto"/>
        <w:ind w:left="720"/>
        <w:jc w:val="both"/>
        <w:rPr>
          <w:b/>
          <w:color w:val="000000"/>
          <w:u w:val="single"/>
        </w:rPr>
      </w:pPr>
      <w:r w:rsidRPr="007E0EEE">
        <w:rPr>
          <w:b/>
          <w:color w:val="000000"/>
          <w:u w:val="single"/>
        </w:rPr>
        <w:t>Table No. 1</w:t>
      </w:r>
      <w:r>
        <w:rPr>
          <w:b/>
          <w:color w:val="000000"/>
          <w:u w:val="single"/>
        </w:rPr>
        <w:t xml:space="preserve"> – Refund Reconciliation</w:t>
      </w:r>
    </w:p>
    <w:tbl>
      <w:tblPr>
        <w:tblW w:w="0" w:type="auto"/>
        <w:tblInd w:w="118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tblPr>
      <w:tblGrid>
        <w:gridCol w:w="2250"/>
        <w:gridCol w:w="3150"/>
        <w:gridCol w:w="1152"/>
        <w:gridCol w:w="1296"/>
      </w:tblGrid>
      <w:tr w:rsidR="00B70649" w:rsidRPr="00E25BCE" w:rsidTr="00120DB8">
        <w:trPr>
          <w:trHeight w:val="288"/>
        </w:trPr>
        <w:tc>
          <w:tcPr>
            <w:tcW w:w="2250" w:type="dxa"/>
            <w:noWrap/>
            <w:tcMar>
              <w:top w:w="0" w:type="dxa"/>
              <w:left w:w="108" w:type="dxa"/>
              <w:bottom w:w="0" w:type="dxa"/>
              <w:right w:w="108" w:type="dxa"/>
            </w:tcMar>
            <w:hideMark/>
          </w:tcPr>
          <w:p w:rsidR="00B70649" w:rsidRPr="00E25BCE" w:rsidRDefault="00B70649" w:rsidP="00120DB8">
            <w:pPr>
              <w:rPr>
                <w:color w:val="000000"/>
              </w:rPr>
            </w:pPr>
            <w:r w:rsidRPr="00E25BCE">
              <w:rPr>
                <w:color w:val="000000"/>
              </w:rPr>
              <w:t>Quarterly Print &amp; Mail Fees</w:t>
            </w:r>
          </w:p>
        </w:tc>
        <w:tc>
          <w:tcPr>
            <w:tcW w:w="3150" w:type="dxa"/>
            <w:noWrap/>
            <w:tcMar>
              <w:top w:w="0" w:type="dxa"/>
              <w:left w:w="108" w:type="dxa"/>
              <w:bottom w:w="0" w:type="dxa"/>
              <w:right w:w="108" w:type="dxa"/>
            </w:tcMar>
            <w:hideMark/>
          </w:tcPr>
          <w:p w:rsidR="00B70649" w:rsidRPr="00E25BCE" w:rsidRDefault="00B70649" w:rsidP="00120DB8">
            <w:pPr>
              <w:rPr>
                <w:color w:val="000000"/>
              </w:rPr>
            </w:pPr>
            <w:r w:rsidRPr="00E25BCE">
              <w:rPr>
                <w:color w:val="000000"/>
              </w:rPr>
              <w:t>Jan 2015 - March 2015</w:t>
            </w:r>
          </w:p>
        </w:tc>
        <w:tc>
          <w:tcPr>
            <w:tcW w:w="1152" w:type="dxa"/>
            <w:noWrap/>
            <w:tcMar>
              <w:top w:w="0" w:type="dxa"/>
              <w:left w:w="108" w:type="dxa"/>
              <w:bottom w:w="0" w:type="dxa"/>
              <w:right w:w="108" w:type="dxa"/>
            </w:tcMar>
            <w:hideMark/>
          </w:tcPr>
          <w:p w:rsidR="00B70649" w:rsidRPr="00E25BCE" w:rsidRDefault="00B70649" w:rsidP="00120DB8">
            <w:pPr>
              <w:rPr>
                <w:color w:val="000000"/>
              </w:rPr>
            </w:pPr>
            <w:r w:rsidRPr="00E25BCE">
              <w:rPr>
                <w:color w:val="000000"/>
              </w:rPr>
              <w:t>WA</w:t>
            </w:r>
          </w:p>
        </w:tc>
        <w:tc>
          <w:tcPr>
            <w:tcW w:w="1296" w:type="dxa"/>
            <w:noWrap/>
            <w:tcMar>
              <w:top w:w="0" w:type="dxa"/>
              <w:left w:w="108" w:type="dxa"/>
              <w:bottom w:w="0" w:type="dxa"/>
              <w:right w:w="108" w:type="dxa"/>
            </w:tcMar>
            <w:hideMark/>
          </w:tcPr>
          <w:p w:rsidR="00B70649" w:rsidRPr="00E25BCE" w:rsidRDefault="00B70649" w:rsidP="00120DB8">
            <w:pPr>
              <w:rPr>
                <w:color w:val="000000"/>
              </w:rPr>
            </w:pPr>
            <w:r w:rsidRPr="00E25BCE">
              <w:rPr>
                <w:color w:val="000000"/>
              </w:rPr>
              <w:t xml:space="preserve">     </w:t>
            </w:r>
            <w:r>
              <w:rPr>
                <w:color w:val="000000"/>
              </w:rPr>
              <w:t>$</w:t>
            </w:r>
            <w:r w:rsidRPr="00E25BCE">
              <w:rPr>
                <w:color w:val="000000"/>
              </w:rPr>
              <w:t xml:space="preserve">46,746 </w:t>
            </w:r>
          </w:p>
        </w:tc>
      </w:tr>
      <w:tr w:rsidR="00B70649" w:rsidRPr="00E25BCE" w:rsidTr="00120DB8">
        <w:trPr>
          <w:trHeight w:val="288"/>
        </w:trPr>
        <w:tc>
          <w:tcPr>
            <w:tcW w:w="2250" w:type="dxa"/>
            <w:noWrap/>
            <w:tcMar>
              <w:top w:w="0" w:type="dxa"/>
              <w:left w:w="108" w:type="dxa"/>
              <w:bottom w:w="0" w:type="dxa"/>
              <w:right w:w="108" w:type="dxa"/>
            </w:tcMar>
            <w:hideMark/>
          </w:tcPr>
          <w:p w:rsidR="00B70649" w:rsidRPr="00E25BCE" w:rsidRDefault="00B70649" w:rsidP="00120DB8">
            <w:pPr>
              <w:rPr>
                <w:color w:val="000000"/>
              </w:rPr>
            </w:pPr>
            <w:r w:rsidRPr="00E25BCE">
              <w:rPr>
                <w:color w:val="000000"/>
              </w:rPr>
              <w:t>Quarterly Print &amp; Mail Fees</w:t>
            </w:r>
          </w:p>
        </w:tc>
        <w:tc>
          <w:tcPr>
            <w:tcW w:w="3150" w:type="dxa"/>
            <w:noWrap/>
            <w:tcMar>
              <w:top w:w="0" w:type="dxa"/>
              <w:left w:w="108" w:type="dxa"/>
              <w:bottom w:w="0" w:type="dxa"/>
              <w:right w:w="108" w:type="dxa"/>
            </w:tcMar>
            <w:hideMark/>
          </w:tcPr>
          <w:p w:rsidR="00B70649" w:rsidRPr="00E25BCE" w:rsidRDefault="00B70649" w:rsidP="00120DB8">
            <w:pPr>
              <w:rPr>
                <w:color w:val="000000"/>
              </w:rPr>
            </w:pPr>
            <w:r w:rsidRPr="00E25BCE">
              <w:rPr>
                <w:color w:val="000000"/>
              </w:rPr>
              <w:t>April 2015 - June 2015</w:t>
            </w:r>
          </w:p>
        </w:tc>
        <w:tc>
          <w:tcPr>
            <w:tcW w:w="1152" w:type="dxa"/>
            <w:noWrap/>
            <w:tcMar>
              <w:top w:w="0" w:type="dxa"/>
              <w:left w:w="108" w:type="dxa"/>
              <w:bottom w:w="0" w:type="dxa"/>
              <w:right w:w="108" w:type="dxa"/>
            </w:tcMar>
            <w:hideMark/>
          </w:tcPr>
          <w:p w:rsidR="00B70649" w:rsidRPr="00E25BCE" w:rsidRDefault="00B70649" w:rsidP="00120DB8">
            <w:pPr>
              <w:rPr>
                <w:color w:val="000000"/>
              </w:rPr>
            </w:pPr>
            <w:r w:rsidRPr="00E25BCE">
              <w:rPr>
                <w:color w:val="000000"/>
              </w:rPr>
              <w:t>WA</w:t>
            </w:r>
          </w:p>
        </w:tc>
        <w:tc>
          <w:tcPr>
            <w:tcW w:w="1296" w:type="dxa"/>
            <w:noWrap/>
            <w:tcMar>
              <w:top w:w="0" w:type="dxa"/>
              <w:left w:w="108" w:type="dxa"/>
              <w:bottom w:w="0" w:type="dxa"/>
              <w:right w:w="108" w:type="dxa"/>
            </w:tcMar>
            <w:hideMark/>
          </w:tcPr>
          <w:p w:rsidR="00B70649" w:rsidRPr="00E25BCE" w:rsidRDefault="00B70649" w:rsidP="00120DB8">
            <w:pPr>
              <w:rPr>
                <w:color w:val="000000"/>
              </w:rPr>
            </w:pPr>
            <w:r w:rsidRPr="00E25BCE">
              <w:rPr>
                <w:color w:val="000000"/>
              </w:rPr>
              <w:t xml:space="preserve">     </w:t>
            </w:r>
            <w:r>
              <w:rPr>
                <w:color w:val="000000"/>
              </w:rPr>
              <w:t>$</w:t>
            </w:r>
            <w:r w:rsidRPr="00E25BCE">
              <w:rPr>
                <w:color w:val="000000"/>
              </w:rPr>
              <w:t xml:space="preserve">46,746 </w:t>
            </w:r>
          </w:p>
        </w:tc>
      </w:tr>
      <w:tr w:rsidR="00B70649" w:rsidRPr="00E25BCE" w:rsidTr="00120DB8">
        <w:trPr>
          <w:trHeight w:val="288"/>
        </w:trPr>
        <w:tc>
          <w:tcPr>
            <w:tcW w:w="2250" w:type="dxa"/>
            <w:noWrap/>
            <w:tcMar>
              <w:top w:w="0" w:type="dxa"/>
              <w:left w:w="108" w:type="dxa"/>
              <w:bottom w:w="0" w:type="dxa"/>
              <w:right w:w="108" w:type="dxa"/>
            </w:tcMar>
            <w:hideMark/>
          </w:tcPr>
          <w:p w:rsidR="00B70649" w:rsidRPr="00E25BCE" w:rsidRDefault="00B70649" w:rsidP="00120DB8">
            <w:pPr>
              <w:rPr>
                <w:color w:val="000000"/>
              </w:rPr>
            </w:pPr>
            <w:r w:rsidRPr="00E25BCE">
              <w:rPr>
                <w:color w:val="000000"/>
              </w:rPr>
              <w:t>Quarterly Print &amp; Mail Fees</w:t>
            </w:r>
          </w:p>
        </w:tc>
        <w:tc>
          <w:tcPr>
            <w:tcW w:w="3150" w:type="dxa"/>
            <w:noWrap/>
            <w:tcMar>
              <w:top w:w="0" w:type="dxa"/>
              <w:left w:w="108" w:type="dxa"/>
              <w:bottom w:w="0" w:type="dxa"/>
              <w:right w:w="108" w:type="dxa"/>
            </w:tcMar>
            <w:hideMark/>
          </w:tcPr>
          <w:p w:rsidR="00B70649" w:rsidRPr="00E25BCE" w:rsidRDefault="00B70649" w:rsidP="00120DB8">
            <w:pPr>
              <w:rPr>
                <w:color w:val="000000"/>
              </w:rPr>
            </w:pPr>
            <w:r w:rsidRPr="00E25BCE">
              <w:rPr>
                <w:color w:val="000000"/>
              </w:rPr>
              <w:t xml:space="preserve">July 2015 </w:t>
            </w:r>
          </w:p>
        </w:tc>
        <w:tc>
          <w:tcPr>
            <w:tcW w:w="1152" w:type="dxa"/>
            <w:noWrap/>
            <w:tcMar>
              <w:top w:w="0" w:type="dxa"/>
              <w:left w:w="108" w:type="dxa"/>
              <w:bottom w:w="0" w:type="dxa"/>
              <w:right w:w="108" w:type="dxa"/>
            </w:tcMar>
            <w:hideMark/>
          </w:tcPr>
          <w:p w:rsidR="00B70649" w:rsidRPr="00E25BCE" w:rsidRDefault="00B70649" w:rsidP="00120DB8">
            <w:pPr>
              <w:rPr>
                <w:color w:val="000000"/>
              </w:rPr>
            </w:pPr>
            <w:r w:rsidRPr="00E25BCE">
              <w:rPr>
                <w:color w:val="000000"/>
              </w:rPr>
              <w:t>WA</w:t>
            </w:r>
          </w:p>
        </w:tc>
        <w:tc>
          <w:tcPr>
            <w:tcW w:w="1296" w:type="dxa"/>
            <w:noWrap/>
            <w:tcMar>
              <w:top w:w="0" w:type="dxa"/>
              <w:left w:w="108" w:type="dxa"/>
              <w:bottom w:w="0" w:type="dxa"/>
              <w:right w:w="108" w:type="dxa"/>
            </w:tcMar>
            <w:hideMark/>
          </w:tcPr>
          <w:p w:rsidR="00B70649" w:rsidRPr="00E25BCE" w:rsidRDefault="00B70649" w:rsidP="00120DB8">
            <w:pPr>
              <w:jc w:val="right"/>
              <w:rPr>
                <w:color w:val="000000"/>
              </w:rPr>
            </w:pPr>
            <w:r>
              <w:rPr>
                <w:color w:val="000000"/>
              </w:rPr>
              <w:t>$15,582</w:t>
            </w:r>
          </w:p>
        </w:tc>
      </w:tr>
      <w:tr w:rsidR="00B70649" w:rsidRPr="00E25BCE" w:rsidTr="00120DB8">
        <w:trPr>
          <w:trHeight w:val="288"/>
        </w:trPr>
        <w:tc>
          <w:tcPr>
            <w:tcW w:w="2250" w:type="dxa"/>
            <w:noWrap/>
            <w:tcMar>
              <w:top w:w="0" w:type="dxa"/>
              <w:left w:w="108" w:type="dxa"/>
              <w:bottom w:w="0" w:type="dxa"/>
              <w:right w:w="108" w:type="dxa"/>
            </w:tcMar>
            <w:hideMark/>
          </w:tcPr>
          <w:p w:rsidR="00B70649" w:rsidRPr="00E25BCE" w:rsidRDefault="00B70649" w:rsidP="00120DB8">
            <w:pPr>
              <w:rPr>
                <w:color w:val="000000"/>
              </w:rPr>
            </w:pPr>
            <w:r>
              <w:rPr>
                <w:color w:val="000000"/>
              </w:rPr>
              <w:t>Half of Annual License Fee</w:t>
            </w:r>
          </w:p>
        </w:tc>
        <w:tc>
          <w:tcPr>
            <w:tcW w:w="3150" w:type="dxa"/>
            <w:noWrap/>
            <w:tcMar>
              <w:top w:w="0" w:type="dxa"/>
              <w:left w:w="108" w:type="dxa"/>
              <w:bottom w:w="0" w:type="dxa"/>
              <w:right w:w="108" w:type="dxa"/>
            </w:tcMar>
            <w:hideMark/>
          </w:tcPr>
          <w:p w:rsidR="00B70649" w:rsidRPr="00E25BCE" w:rsidRDefault="00B70649" w:rsidP="00120DB8">
            <w:pPr>
              <w:rPr>
                <w:color w:val="000000"/>
              </w:rPr>
            </w:pPr>
            <w:r>
              <w:rPr>
                <w:color w:val="000000"/>
              </w:rPr>
              <w:t>March</w:t>
            </w:r>
            <w:r w:rsidRPr="00E25BCE">
              <w:rPr>
                <w:color w:val="000000"/>
              </w:rPr>
              <w:t xml:space="preserve"> 2015 </w:t>
            </w:r>
          </w:p>
        </w:tc>
        <w:tc>
          <w:tcPr>
            <w:tcW w:w="1152" w:type="dxa"/>
            <w:noWrap/>
            <w:tcMar>
              <w:top w:w="0" w:type="dxa"/>
              <w:left w:w="108" w:type="dxa"/>
              <w:bottom w:w="0" w:type="dxa"/>
              <w:right w:w="108" w:type="dxa"/>
            </w:tcMar>
            <w:hideMark/>
          </w:tcPr>
          <w:p w:rsidR="00B70649" w:rsidRPr="00E25BCE" w:rsidRDefault="00B70649" w:rsidP="00120DB8">
            <w:pPr>
              <w:rPr>
                <w:color w:val="000000"/>
              </w:rPr>
            </w:pPr>
            <w:r w:rsidRPr="00E25BCE">
              <w:rPr>
                <w:color w:val="000000"/>
              </w:rPr>
              <w:t>WA</w:t>
            </w:r>
          </w:p>
        </w:tc>
        <w:tc>
          <w:tcPr>
            <w:tcW w:w="1296" w:type="dxa"/>
            <w:noWrap/>
            <w:tcMar>
              <w:top w:w="0" w:type="dxa"/>
              <w:left w:w="108" w:type="dxa"/>
              <w:bottom w:w="0" w:type="dxa"/>
              <w:right w:w="108" w:type="dxa"/>
            </w:tcMar>
            <w:hideMark/>
          </w:tcPr>
          <w:p w:rsidR="00B70649" w:rsidRPr="00E25BCE" w:rsidRDefault="00B70649" w:rsidP="00120DB8">
            <w:pPr>
              <w:jc w:val="right"/>
              <w:rPr>
                <w:color w:val="000000"/>
              </w:rPr>
            </w:pPr>
            <w:r>
              <w:rPr>
                <w:color w:val="000000"/>
              </w:rPr>
              <w:t>$102,515</w:t>
            </w:r>
          </w:p>
        </w:tc>
      </w:tr>
      <w:tr w:rsidR="00B70649" w:rsidRPr="00E25BCE" w:rsidTr="00120DB8">
        <w:trPr>
          <w:trHeight w:val="288"/>
        </w:trPr>
        <w:tc>
          <w:tcPr>
            <w:tcW w:w="2250" w:type="dxa"/>
            <w:noWrap/>
            <w:tcMar>
              <w:top w:w="0" w:type="dxa"/>
              <w:left w:w="108" w:type="dxa"/>
              <w:bottom w:w="0" w:type="dxa"/>
              <w:right w:w="108" w:type="dxa"/>
            </w:tcMar>
            <w:hideMark/>
          </w:tcPr>
          <w:p w:rsidR="00B70649" w:rsidRPr="00E25BCE" w:rsidRDefault="00B70649" w:rsidP="00120DB8">
            <w:pPr>
              <w:rPr>
                <w:color w:val="000000"/>
              </w:rPr>
            </w:pPr>
          </w:p>
        </w:tc>
        <w:tc>
          <w:tcPr>
            <w:tcW w:w="3150" w:type="dxa"/>
            <w:noWrap/>
            <w:tcMar>
              <w:top w:w="0" w:type="dxa"/>
              <w:left w:w="108" w:type="dxa"/>
              <w:bottom w:w="0" w:type="dxa"/>
              <w:right w:w="108" w:type="dxa"/>
            </w:tcMar>
            <w:hideMark/>
          </w:tcPr>
          <w:p w:rsidR="00B70649" w:rsidRPr="00E25BCE" w:rsidRDefault="00B70649" w:rsidP="00120DB8">
            <w:pPr>
              <w:rPr>
                <w:color w:val="000000"/>
              </w:rPr>
            </w:pPr>
          </w:p>
        </w:tc>
        <w:tc>
          <w:tcPr>
            <w:tcW w:w="1152" w:type="dxa"/>
            <w:noWrap/>
            <w:tcMar>
              <w:top w:w="0" w:type="dxa"/>
              <w:left w:w="108" w:type="dxa"/>
              <w:bottom w:w="0" w:type="dxa"/>
              <w:right w:w="108" w:type="dxa"/>
            </w:tcMar>
            <w:hideMark/>
          </w:tcPr>
          <w:p w:rsidR="00B70649" w:rsidRDefault="00B70649" w:rsidP="00120DB8">
            <w:pPr>
              <w:rPr>
                <w:color w:val="000000"/>
              </w:rPr>
            </w:pPr>
          </w:p>
          <w:p w:rsidR="00B70649" w:rsidRPr="00E25BCE" w:rsidRDefault="00B70649" w:rsidP="00120DB8">
            <w:pPr>
              <w:rPr>
                <w:color w:val="000000"/>
              </w:rPr>
            </w:pPr>
            <w:r>
              <w:rPr>
                <w:color w:val="000000"/>
              </w:rPr>
              <w:t>Total</w:t>
            </w:r>
          </w:p>
        </w:tc>
        <w:tc>
          <w:tcPr>
            <w:tcW w:w="1296" w:type="dxa"/>
            <w:noWrap/>
            <w:tcMar>
              <w:top w:w="0" w:type="dxa"/>
              <w:left w:w="108" w:type="dxa"/>
              <w:bottom w:w="0" w:type="dxa"/>
              <w:right w:w="108" w:type="dxa"/>
            </w:tcMar>
            <w:hideMark/>
          </w:tcPr>
          <w:p w:rsidR="00B70649" w:rsidRPr="00E25BCE" w:rsidRDefault="00B70649" w:rsidP="00120DB8">
            <w:pPr>
              <w:rPr>
                <w:color w:val="000000"/>
              </w:rPr>
            </w:pPr>
          </w:p>
          <w:p w:rsidR="00B70649" w:rsidRPr="00E25BCE" w:rsidRDefault="00B70649" w:rsidP="00120DB8">
            <w:pPr>
              <w:jc w:val="right"/>
              <w:rPr>
                <w:color w:val="000000"/>
              </w:rPr>
            </w:pPr>
            <w:r w:rsidRPr="00E25BCE">
              <w:rPr>
                <w:color w:val="000000"/>
              </w:rPr>
              <w:t>$</w:t>
            </w:r>
            <w:r>
              <w:rPr>
                <w:color w:val="000000"/>
              </w:rPr>
              <w:t>211,589</w:t>
            </w:r>
          </w:p>
        </w:tc>
      </w:tr>
    </w:tbl>
    <w:p w:rsidR="00B70649" w:rsidRDefault="00B70649" w:rsidP="00B70649"/>
    <w:p w:rsidR="00245117" w:rsidRDefault="00245117" w:rsidP="005F2BB3">
      <w:pPr>
        <w:spacing w:line="360" w:lineRule="auto"/>
        <w:ind w:left="720"/>
        <w:jc w:val="both"/>
        <w:rPr>
          <w:color w:val="000000"/>
        </w:rPr>
      </w:pPr>
    </w:p>
    <w:p w:rsidR="0010222D" w:rsidRDefault="00B70649" w:rsidP="00120DB8">
      <w:pPr>
        <w:spacing w:line="360" w:lineRule="auto"/>
        <w:ind w:left="720"/>
        <w:jc w:val="both"/>
        <w:rPr>
          <w:color w:val="000000"/>
        </w:rPr>
      </w:pPr>
      <w:r>
        <w:rPr>
          <w:color w:val="000000"/>
        </w:rPr>
        <w:t xml:space="preserve">Also in response to </w:t>
      </w:r>
      <w:r w:rsidR="00D037DA">
        <w:rPr>
          <w:color w:val="000000"/>
        </w:rPr>
        <w:t>the program interruption the</w:t>
      </w:r>
      <w:r w:rsidR="00245117">
        <w:rPr>
          <w:color w:val="000000"/>
        </w:rPr>
        <w:t xml:space="preserve"> Company </w:t>
      </w:r>
      <w:r w:rsidR="0010222D" w:rsidRPr="00E25BCE">
        <w:rPr>
          <w:color w:val="000000"/>
        </w:rPr>
        <w:t>is planning to extend the study period for the program</w:t>
      </w:r>
      <w:r w:rsidR="00045935">
        <w:rPr>
          <w:color w:val="000000"/>
        </w:rPr>
        <w:t xml:space="preserve">, </w:t>
      </w:r>
      <w:r w:rsidR="0010222D" w:rsidRPr="00E25BCE">
        <w:rPr>
          <w:color w:val="000000"/>
        </w:rPr>
        <w:t>includ</w:t>
      </w:r>
      <w:r w:rsidR="00045935">
        <w:rPr>
          <w:color w:val="000000"/>
        </w:rPr>
        <w:t xml:space="preserve">ing </w:t>
      </w:r>
      <w:r w:rsidR="0010222D" w:rsidRPr="00E25BCE">
        <w:rPr>
          <w:color w:val="000000"/>
        </w:rPr>
        <w:t xml:space="preserve"> the three Home Energy Reports that were </w:t>
      </w:r>
      <w:r>
        <w:rPr>
          <w:color w:val="000000"/>
        </w:rPr>
        <w:t xml:space="preserve"> not provided customers</w:t>
      </w:r>
      <w:r w:rsidR="0010222D" w:rsidRPr="00E25BCE">
        <w:rPr>
          <w:color w:val="000000"/>
        </w:rPr>
        <w:t xml:space="preserve">.  </w:t>
      </w:r>
      <w:r w:rsidR="0010222D">
        <w:rPr>
          <w:color w:val="000000"/>
        </w:rPr>
        <w:t xml:space="preserve">Ratepayers will not experience any additional costs as a result of the program </w:t>
      </w:r>
      <w:r w:rsidR="007E0EEE">
        <w:rPr>
          <w:color w:val="000000"/>
        </w:rPr>
        <w:t>interruption</w:t>
      </w:r>
      <w:r w:rsidR="0010222D">
        <w:rPr>
          <w:color w:val="000000"/>
        </w:rPr>
        <w:t xml:space="preserve">. </w:t>
      </w:r>
      <w:r w:rsidR="0010222D" w:rsidRPr="00E25BCE">
        <w:rPr>
          <w:color w:val="000000"/>
        </w:rPr>
        <w:t xml:space="preserve">Further, Avista has invited a representative from Opower to </w:t>
      </w:r>
      <w:r w:rsidR="0010222D" w:rsidRPr="00E25BCE">
        <w:rPr>
          <w:color w:val="000000"/>
        </w:rPr>
        <w:lastRenderedPageBreak/>
        <w:t xml:space="preserve">participate in its </w:t>
      </w:r>
      <w:r w:rsidR="0010222D">
        <w:rPr>
          <w:color w:val="000000"/>
        </w:rPr>
        <w:t xml:space="preserve">energy efficiency </w:t>
      </w:r>
      <w:r w:rsidR="0010222D" w:rsidRPr="00E25BCE">
        <w:rPr>
          <w:color w:val="000000"/>
        </w:rPr>
        <w:t>advisory</w:t>
      </w:r>
      <w:r w:rsidR="0010222D">
        <w:rPr>
          <w:color w:val="000000"/>
        </w:rPr>
        <w:t xml:space="preserve"> group</w:t>
      </w:r>
      <w:r w:rsidR="0010222D" w:rsidRPr="00E25BCE">
        <w:rPr>
          <w:color w:val="000000"/>
        </w:rPr>
        <w:t xml:space="preserve"> meetings, to answer relevant questions, help assess any potential impact to the program, and to provide recommendations for the continued implementation of the effort.</w:t>
      </w:r>
      <w:r w:rsidR="00942D02">
        <w:rPr>
          <w:color w:val="000000"/>
        </w:rPr>
        <w:t xml:space="preserve"> </w:t>
      </w:r>
      <w:r w:rsidR="00D037DA">
        <w:rPr>
          <w:color w:val="000000"/>
        </w:rPr>
        <w:t xml:space="preserve">Any costs associated with </w:t>
      </w:r>
      <w:proofErr w:type="spellStart"/>
      <w:r w:rsidR="00D037DA">
        <w:rPr>
          <w:color w:val="000000"/>
        </w:rPr>
        <w:t>Opower’s</w:t>
      </w:r>
      <w:proofErr w:type="spellEnd"/>
      <w:r w:rsidR="00D037DA">
        <w:rPr>
          <w:color w:val="000000"/>
        </w:rPr>
        <w:t xml:space="preserve"> participation in the advisory group meetings will be borne by Avista. </w:t>
      </w:r>
    </w:p>
    <w:p w:rsidR="00823C48" w:rsidRDefault="00823C48" w:rsidP="00823C48">
      <w:pPr>
        <w:spacing w:line="360" w:lineRule="auto"/>
        <w:ind w:left="720"/>
        <w:jc w:val="both"/>
      </w:pPr>
    </w:p>
    <w:p w:rsidR="0010222D" w:rsidRDefault="0010222D" w:rsidP="00823C48">
      <w:pPr>
        <w:spacing w:line="360" w:lineRule="auto"/>
        <w:ind w:left="720"/>
        <w:jc w:val="both"/>
      </w:pPr>
      <w:r>
        <w:t xml:space="preserve">Because </w:t>
      </w:r>
      <w:r w:rsidRPr="00E25BCE">
        <w:rPr>
          <w:color w:val="000000"/>
        </w:rPr>
        <w:t>Avista is planning to extend the study period for the program to include the three Home Energy Reports that were interrupted</w:t>
      </w:r>
      <w:r>
        <w:rPr>
          <w:color w:val="000000"/>
        </w:rPr>
        <w:t>,</w:t>
      </w:r>
      <w:r>
        <w:t xml:space="preserve"> Avista </w:t>
      </w:r>
      <w:r w:rsidR="007E0EEE">
        <w:t xml:space="preserve">agrees </w:t>
      </w:r>
      <w:r>
        <w:t>that the costs ($109,074 for Print and Mailing, and $102,515</w:t>
      </w:r>
      <w:r w:rsidRPr="00591D83">
        <w:rPr>
          <w:rStyle w:val="FootnoteReference"/>
          <w:vertAlign w:val="superscript"/>
        </w:rPr>
        <w:footnoteReference w:id="4"/>
      </w:r>
      <w:r>
        <w:t xml:space="preserve"> </w:t>
      </w:r>
      <w:r w:rsidR="007E0EEE">
        <w:t>(</w:t>
      </w:r>
      <w:r>
        <w:t xml:space="preserve">half of the Annual License Fee) remain in the tariff rider balancing account (FERC Account No. 242600) </w:t>
      </w:r>
      <w:r w:rsidR="00AA2DC5">
        <w:t xml:space="preserve">as a regulatory liability. </w:t>
      </w:r>
      <w:r w:rsidR="003B320A">
        <w:t xml:space="preserve"> This </w:t>
      </w:r>
      <w:r w:rsidR="00295946">
        <w:t xml:space="preserve">Settlement </w:t>
      </w:r>
      <w:r w:rsidR="003B320A">
        <w:t xml:space="preserve">shall not be construed to preclude Avista from seeking recovery of these costs as part of Avista’s </w:t>
      </w:r>
      <w:r w:rsidR="00AA2DC5">
        <w:t xml:space="preserve"> </w:t>
      </w:r>
      <w:r w:rsidR="003B320A">
        <w:t xml:space="preserve"> 2016-17 conservation tariff and </w:t>
      </w:r>
      <w:r>
        <w:t>true-up adjustment</w:t>
      </w:r>
      <w:r w:rsidR="003B320A" w:rsidRPr="003B320A">
        <w:t xml:space="preserve"> </w:t>
      </w:r>
      <w:r w:rsidR="003B320A">
        <w:t>filing</w:t>
      </w:r>
      <w:r>
        <w:t xml:space="preserve">. </w:t>
      </w:r>
      <w:r w:rsidR="00686FB0">
        <w:t>If included in the Company’s 2016-17 conservation tariff filing, Staff</w:t>
      </w:r>
      <w:r w:rsidR="00C7411B">
        <w:t xml:space="preserve"> and Public Counsel</w:t>
      </w:r>
      <w:r w:rsidR="00686FB0">
        <w:t xml:space="preserve"> will consider and evaluate the overall performance of the Opower program and the individual measures affected by the </w:t>
      </w:r>
      <w:r w:rsidR="00713B35">
        <w:t xml:space="preserve">program interruption </w:t>
      </w:r>
      <w:r w:rsidR="00686FB0">
        <w:t xml:space="preserve">to determine if cost recovery is reasonable.  </w:t>
      </w:r>
    </w:p>
    <w:p w:rsidR="0010222D" w:rsidRPr="00E25BCE" w:rsidRDefault="0010222D" w:rsidP="0010222D"/>
    <w:p w:rsidR="00823C48" w:rsidRDefault="00823C48" w:rsidP="00823C48">
      <w:pPr>
        <w:spacing w:line="360" w:lineRule="auto"/>
        <w:ind w:left="720"/>
        <w:jc w:val="both"/>
      </w:pPr>
      <w:r w:rsidRPr="00823C48">
        <w:rPr>
          <w:b/>
          <w:szCs w:val="24"/>
          <w:u w:val="single"/>
        </w:rPr>
        <w:t>Issue No. 4</w:t>
      </w:r>
      <w:r>
        <w:rPr>
          <w:szCs w:val="24"/>
        </w:rPr>
        <w:t xml:space="preserve">: </w:t>
      </w:r>
      <w:r w:rsidR="0010222D" w:rsidRPr="00CB1AC6">
        <w:rPr>
          <w:color w:val="000000"/>
        </w:rPr>
        <w:t>Rates – Schedule 191 (Natural Gas).</w:t>
      </w:r>
      <w:r w:rsidR="0010222D" w:rsidRPr="00E25BCE">
        <w:rPr>
          <w:b/>
          <w:color w:val="000000"/>
        </w:rPr>
        <w:t xml:space="preserve"> </w:t>
      </w:r>
      <w:r w:rsidR="0010222D" w:rsidRPr="00E25BCE">
        <w:t xml:space="preserve">The Company </w:t>
      </w:r>
      <w:r w:rsidR="0010222D">
        <w:t xml:space="preserve">had originally </w:t>
      </w:r>
      <w:r w:rsidR="0010222D" w:rsidRPr="00E25BCE">
        <w:t>propose</w:t>
      </w:r>
      <w:r w:rsidR="0010222D">
        <w:t>d</w:t>
      </w:r>
      <w:r w:rsidR="0010222D" w:rsidRPr="00E25BCE">
        <w:t xml:space="preserve"> to leave current schedule 191 </w:t>
      </w:r>
      <w:r w:rsidR="0010222D">
        <w:t xml:space="preserve">natural gas DSM </w:t>
      </w:r>
      <w:r w:rsidR="0010222D" w:rsidRPr="00E25BCE">
        <w:t xml:space="preserve">rates unchanged because they continue to support the ongoing natural gas portfolio. Based on the information provided at the time, Staff agreed that it was not necessary to modify rates if the rate change would be less than 0.1 percent of retail revenues, as shown in the draft workpapers. </w:t>
      </w:r>
      <w:r w:rsidR="0010222D">
        <w:t xml:space="preserve"> </w:t>
      </w:r>
      <w:r w:rsidR="0010222D" w:rsidRPr="00E25BCE">
        <w:t>The Company’s informal workpapers from June 2015 projected that the gas portfolio would be underfunded by $500,000 at the end of July. However, the Company’s July 2015 stakeholder newsletter indicates that the natural gas rider balance is underfunded by $1.2 million, a substantial one month increase.</w:t>
      </w:r>
      <w:r w:rsidR="0010222D">
        <w:t xml:space="preserve"> Public Counsel and</w:t>
      </w:r>
      <w:r w:rsidR="0010222D" w:rsidRPr="00E25BCE">
        <w:t xml:space="preserve"> Staff </w:t>
      </w:r>
      <w:r w:rsidR="0010222D">
        <w:t xml:space="preserve">expressed </w:t>
      </w:r>
      <w:r w:rsidR="0010222D" w:rsidRPr="00E25BCE">
        <w:t xml:space="preserve">concern that the natural gas portfolio could be underfunded, and that the </w:t>
      </w:r>
      <w:r w:rsidR="0010222D">
        <w:t xml:space="preserve">Schedule 191 </w:t>
      </w:r>
      <w:r w:rsidR="0010222D" w:rsidRPr="00E25BCE">
        <w:t>tariff may need an adjustment.</w:t>
      </w:r>
    </w:p>
    <w:p w:rsidR="00823C48" w:rsidRDefault="00823C48" w:rsidP="005F2BB3">
      <w:pPr>
        <w:spacing w:line="360" w:lineRule="auto"/>
        <w:ind w:left="720"/>
        <w:jc w:val="both"/>
      </w:pPr>
    </w:p>
    <w:p w:rsidR="0010222D" w:rsidRDefault="00713B35" w:rsidP="005F2BB3">
      <w:pPr>
        <w:spacing w:line="360" w:lineRule="auto"/>
        <w:ind w:left="720"/>
        <w:jc w:val="both"/>
      </w:pPr>
      <w:r>
        <w:rPr>
          <w:b/>
        </w:rPr>
        <w:t xml:space="preserve">Avista </w:t>
      </w:r>
      <w:r w:rsidR="0010222D" w:rsidRPr="00E25BCE">
        <w:rPr>
          <w:b/>
        </w:rPr>
        <w:t>Response</w:t>
      </w:r>
      <w:r w:rsidR="00823C48">
        <w:rPr>
          <w:b/>
        </w:rPr>
        <w:t>/Resolution</w:t>
      </w:r>
      <w:r w:rsidR="0010222D" w:rsidRPr="00E25BCE">
        <w:rPr>
          <w:b/>
        </w:rPr>
        <w:t>:</w:t>
      </w:r>
      <w:r w:rsidR="00823C48">
        <w:rPr>
          <w:b/>
        </w:rPr>
        <w:t xml:space="preserve"> </w:t>
      </w:r>
      <w:r w:rsidR="0010222D" w:rsidRPr="00E25BCE">
        <w:t xml:space="preserve">The Company has </w:t>
      </w:r>
      <w:r w:rsidR="0010222D">
        <w:t xml:space="preserve">recently revised its </w:t>
      </w:r>
      <w:r w:rsidR="006225A9">
        <w:t xml:space="preserve">budget </w:t>
      </w:r>
      <w:r w:rsidR="0010222D">
        <w:t>analysis</w:t>
      </w:r>
      <w:r w:rsidR="006225A9">
        <w:t xml:space="preserve">, </w:t>
      </w:r>
      <w:r w:rsidR="0010222D">
        <w:t xml:space="preserve">incorporating the current fund balance through August, 2015, and updating the budget forecast </w:t>
      </w:r>
      <w:r w:rsidR="00120DB8">
        <w:t>prepared</w:t>
      </w:r>
      <w:r w:rsidR="0010222D">
        <w:t xml:space="preserve"> in late September. </w:t>
      </w:r>
      <w:r w:rsidR="006225A9">
        <w:t xml:space="preserve">The recent budget revision projects </w:t>
      </w:r>
      <w:r w:rsidR="0010222D">
        <w:t>a growing negative balance ($1.5 million in August)</w:t>
      </w:r>
      <w:r w:rsidR="006225A9">
        <w:t xml:space="preserve"> in the Schedule 191 account. In an e-mail sent </w:t>
      </w:r>
      <w:r w:rsidR="006225A9">
        <w:lastRenderedPageBreak/>
        <w:t>September 22, 2015</w:t>
      </w:r>
      <w:r w:rsidR="0010222D">
        <w:t xml:space="preserve">, the Company proposed to its Advisory Group </w:t>
      </w:r>
      <w:r w:rsidR="006225A9">
        <w:t xml:space="preserve">that an </w:t>
      </w:r>
      <w:r w:rsidR="0010222D">
        <w:t xml:space="preserve">increase </w:t>
      </w:r>
      <w:r w:rsidR="006225A9">
        <w:t xml:space="preserve">to </w:t>
      </w:r>
      <w:r w:rsidR="0010222D">
        <w:t>Schedule 191</w:t>
      </w:r>
      <w:r w:rsidR="006225A9">
        <w:t xml:space="preserve"> </w:t>
      </w:r>
      <w:r w:rsidR="00BB1196">
        <w:t>would be necessary to resolve the negative balance in the account</w:t>
      </w:r>
      <w:r w:rsidR="006225A9">
        <w:t>.</w:t>
      </w:r>
      <w:r w:rsidR="00BB1196" w:rsidRPr="007E0EEE">
        <w:rPr>
          <w:rStyle w:val="FootnoteReference"/>
          <w:vertAlign w:val="superscript"/>
        </w:rPr>
        <w:footnoteReference w:id="5"/>
      </w:r>
      <w:r w:rsidR="006225A9">
        <w:t xml:space="preserve"> </w:t>
      </w:r>
      <w:r w:rsidR="0010222D">
        <w:t xml:space="preserve">  Avista filed revised</w:t>
      </w:r>
      <w:r w:rsidR="005F2BB3">
        <w:t xml:space="preserve"> Schedule 191 tariffs with the C</w:t>
      </w:r>
      <w:r w:rsidR="0010222D">
        <w:t xml:space="preserve">ommission on October 2, </w:t>
      </w:r>
      <w:r w:rsidR="007E0EEE">
        <w:t xml:space="preserve">2015 </w:t>
      </w:r>
      <w:r w:rsidR="0010222D">
        <w:t xml:space="preserve">with proposed rates to become effective on November 1, 2015, at the same time as the </w:t>
      </w:r>
      <w:r w:rsidR="007E0EEE">
        <w:t xml:space="preserve">Company’s </w:t>
      </w:r>
      <w:r w:rsidR="0010222D">
        <w:t>PGA filing would also become effective.</w:t>
      </w:r>
      <w:r w:rsidR="007E0EEE">
        <w:t xml:space="preserve">  The effect of that filing, as shown in Table No. 2 below, is to have a DSM balance of $0 in July 2017.</w:t>
      </w:r>
    </w:p>
    <w:p w:rsidR="007E0EEE" w:rsidRDefault="007E0EEE" w:rsidP="005F2BB3">
      <w:pPr>
        <w:spacing w:line="360" w:lineRule="auto"/>
        <w:ind w:left="720"/>
        <w:jc w:val="both"/>
      </w:pPr>
    </w:p>
    <w:p w:rsidR="007E0EEE" w:rsidRDefault="007E0EEE" w:rsidP="0010222D">
      <w:pPr>
        <w:rPr>
          <w:b/>
          <w:u w:val="single"/>
        </w:rPr>
      </w:pPr>
      <w:r w:rsidRPr="007E0EEE">
        <w:rPr>
          <w:b/>
          <w:u w:val="single"/>
        </w:rPr>
        <w:t>Table No. 2 – Schedule 191 Budget Analysis Results:</w:t>
      </w:r>
    </w:p>
    <w:p w:rsidR="0010222D" w:rsidRPr="007E0EEE" w:rsidRDefault="0010222D" w:rsidP="0010222D">
      <w:pPr>
        <w:rPr>
          <w:b/>
          <w:u w:val="single"/>
        </w:rPr>
      </w:pPr>
    </w:p>
    <w:tbl>
      <w:tblPr>
        <w:tblW w:w="10812" w:type="dxa"/>
        <w:tblInd w:w="-342" w:type="dxa"/>
        <w:tblLook w:val="04A0"/>
      </w:tblPr>
      <w:tblGrid>
        <w:gridCol w:w="4556"/>
        <w:gridCol w:w="1740"/>
        <w:gridCol w:w="813"/>
        <w:gridCol w:w="1083"/>
        <w:gridCol w:w="980"/>
        <w:gridCol w:w="1205"/>
        <w:gridCol w:w="435"/>
      </w:tblGrid>
      <w:tr w:rsidR="0010222D" w:rsidTr="0010222D">
        <w:trPr>
          <w:trHeight w:val="273"/>
        </w:trPr>
        <w:tc>
          <w:tcPr>
            <w:tcW w:w="4556" w:type="dxa"/>
            <w:tcBorders>
              <w:top w:val="single" w:sz="4" w:space="0" w:color="auto"/>
              <w:left w:val="single" w:sz="4" w:space="0" w:color="auto"/>
            </w:tcBorders>
            <w:noWrap/>
            <w:vAlign w:val="bottom"/>
            <w:hideMark/>
          </w:tcPr>
          <w:p w:rsidR="0010222D" w:rsidRDefault="0010222D" w:rsidP="0010222D">
            <w:pPr>
              <w:jc w:val="right"/>
              <w:rPr>
                <w:color w:val="000000"/>
                <w:sz w:val="18"/>
                <w:szCs w:val="18"/>
              </w:rPr>
            </w:pPr>
            <w:r>
              <w:rPr>
                <w:color w:val="000000"/>
                <w:sz w:val="18"/>
                <w:szCs w:val="18"/>
              </w:rPr>
              <w:t xml:space="preserve">2015 Washington gas DSM budget </w:t>
            </w:r>
          </w:p>
        </w:tc>
        <w:tc>
          <w:tcPr>
            <w:tcW w:w="1740" w:type="dxa"/>
            <w:tcBorders>
              <w:top w:val="single" w:sz="4" w:space="0" w:color="auto"/>
            </w:tcBorders>
            <w:noWrap/>
            <w:vAlign w:val="bottom"/>
            <w:hideMark/>
          </w:tcPr>
          <w:p w:rsidR="0010222D" w:rsidRDefault="0010222D" w:rsidP="0010222D">
            <w:pPr>
              <w:rPr>
                <w:color w:val="000000"/>
                <w:sz w:val="18"/>
                <w:szCs w:val="18"/>
              </w:rPr>
            </w:pPr>
            <w:r>
              <w:rPr>
                <w:color w:val="000000"/>
                <w:sz w:val="18"/>
                <w:szCs w:val="18"/>
              </w:rPr>
              <w:t xml:space="preserve"> $       2,914,280 </w:t>
            </w:r>
          </w:p>
        </w:tc>
        <w:tc>
          <w:tcPr>
            <w:tcW w:w="4516" w:type="dxa"/>
            <w:gridSpan w:val="5"/>
            <w:tcBorders>
              <w:top w:val="single" w:sz="4" w:space="0" w:color="auto"/>
              <w:right w:val="single" w:sz="4" w:space="0" w:color="auto"/>
            </w:tcBorders>
            <w:noWrap/>
            <w:vAlign w:val="bottom"/>
            <w:hideMark/>
          </w:tcPr>
          <w:p w:rsidR="0010222D" w:rsidRDefault="0010222D" w:rsidP="0010222D">
            <w:pPr>
              <w:rPr>
                <w:color w:val="000000"/>
                <w:sz w:val="18"/>
                <w:szCs w:val="18"/>
              </w:rPr>
            </w:pPr>
            <w:r>
              <w:rPr>
                <w:color w:val="000000"/>
                <w:sz w:val="18"/>
                <w:szCs w:val="18"/>
              </w:rPr>
              <w:t>CY 2015 expected expenditures (From DSM Business Plan)</w:t>
            </w:r>
          </w:p>
        </w:tc>
      </w:tr>
      <w:tr w:rsidR="0010222D" w:rsidTr="0010222D">
        <w:trPr>
          <w:trHeight w:val="273"/>
        </w:trPr>
        <w:tc>
          <w:tcPr>
            <w:tcW w:w="4556" w:type="dxa"/>
            <w:tcBorders>
              <w:left w:val="single" w:sz="4" w:space="0" w:color="auto"/>
            </w:tcBorders>
            <w:noWrap/>
            <w:vAlign w:val="bottom"/>
            <w:hideMark/>
          </w:tcPr>
          <w:p w:rsidR="0010222D" w:rsidRDefault="0010222D" w:rsidP="0010222D">
            <w:pPr>
              <w:jc w:val="right"/>
              <w:rPr>
                <w:color w:val="000000"/>
                <w:sz w:val="18"/>
                <w:szCs w:val="18"/>
              </w:rPr>
            </w:pPr>
            <w:r>
              <w:rPr>
                <w:color w:val="000000"/>
                <w:sz w:val="18"/>
                <w:szCs w:val="18"/>
              </w:rPr>
              <w:t xml:space="preserve">2016 Washington gas DSM budget </w:t>
            </w:r>
          </w:p>
        </w:tc>
        <w:tc>
          <w:tcPr>
            <w:tcW w:w="1740" w:type="dxa"/>
            <w:noWrap/>
            <w:vAlign w:val="bottom"/>
            <w:hideMark/>
          </w:tcPr>
          <w:p w:rsidR="0010222D" w:rsidRDefault="0010222D" w:rsidP="0010222D">
            <w:pPr>
              <w:rPr>
                <w:color w:val="000000"/>
                <w:sz w:val="18"/>
                <w:szCs w:val="18"/>
              </w:rPr>
            </w:pPr>
            <w:r>
              <w:rPr>
                <w:color w:val="000000"/>
                <w:sz w:val="18"/>
                <w:szCs w:val="18"/>
              </w:rPr>
              <w:t xml:space="preserve"> $       3,634,439 </w:t>
            </w:r>
          </w:p>
        </w:tc>
        <w:tc>
          <w:tcPr>
            <w:tcW w:w="2876" w:type="dxa"/>
            <w:gridSpan w:val="3"/>
            <w:noWrap/>
            <w:vAlign w:val="bottom"/>
            <w:hideMark/>
          </w:tcPr>
          <w:p w:rsidR="0010222D" w:rsidRDefault="0010222D" w:rsidP="0010222D">
            <w:pPr>
              <w:rPr>
                <w:color w:val="000000"/>
                <w:sz w:val="18"/>
                <w:szCs w:val="18"/>
              </w:rPr>
            </w:pPr>
            <w:r>
              <w:rPr>
                <w:color w:val="000000"/>
                <w:sz w:val="18"/>
                <w:szCs w:val="18"/>
              </w:rPr>
              <w:t>CY 2016 expected expenditures</w:t>
            </w:r>
          </w:p>
        </w:tc>
        <w:tc>
          <w:tcPr>
            <w:tcW w:w="1205" w:type="dxa"/>
            <w:noWrap/>
            <w:vAlign w:val="bottom"/>
            <w:hideMark/>
          </w:tcPr>
          <w:p w:rsidR="0010222D" w:rsidRDefault="0010222D" w:rsidP="0010222D">
            <w:pPr>
              <w:rPr>
                <w:rFonts w:asciiTheme="minorHAnsi" w:eastAsiaTheme="minorEastAsia" w:hAnsiTheme="minorHAnsi" w:cstheme="minorBidi"/>
              </w:rPr>
            </w:pPr>
          </w:p>
        </w:tc>
        <w:tc>
          <w:tcPr>
            <w:tcW w:w="435" w:type="dxa"/>
            <w:tcBorders>
              <w:right w:val="single" w:sz="4" w:space="0" w:color="auto"/>
            </w:tcBorders>
            <w:noWrap/>
            <w:vAlign w:val="bottom"/>
            <w:hideMark/>
          </w:tcPr>
          <w:p w:rsidR="0010222D" w:rsidRDefault="0010222D" w:rsidP="0010222D">
            <w:pPr>
              <w:rPr>
                <w:rFonts w:asciiTheme="minorHAnsi" w:eastAsiaTheme="minorEastAsia" w:hAnsiTheme="minorHAnsi" w:cstheme="minorBidi"/>
              </w:rPr>
            </w:pPr>
          </w:p>
        </w:tc>
      </w:tr>
      <w:tr w:rsidR="0010222D" w:rsidTr="0010222D">
        <w:trPr>
          <w:trHeight w:val="273"/>
        </w:trPr>
        <w:tc>
          <w:tcPr>
            <w:tcW w:w="4556" w:type="dxa"/>
            <w:tcBorders>
              <w:left w:val="single" w:sz="4" w:space="0" w:color="auto"/>
            </w:tcBorders>
            <w:noWrap/>
            <w:vAlign w:val="bottom"/>
            <w:hideMark/>
          </w:tcPr>
          <w:p w:rsidR="0010222D" w:rsidRDefault="0010222D" w:rsidP="0010222D">
            <w:pPr>
              <w:jc w:val="right"/>
              <w:rPr>
                <w:color w:val="000000"/>
                <w:sz w:val="18"/>
                <w:szCs w:val="18"/>
              </w:rPr>
            </w:pPr>
            <w:r>
              <w:rPr>
                <w:color w:val="000000"/>
                <w:sz w:val="18"/>
                <w:szCs w:val="18"/>
              </w:rPr>
              <w:t xml:space="preserve">2017 Washington gas DSM budget </w:t>
            </w:r>
          </w:p>
        </w:tc>
        <w:tc>
          <w:tcPr>
            <w:tcW w:w="1740" w:type="dxa"/>
            <w:noWrap/>
            <w:vAlign w:val="bottom"/>
            <w:hideMark/>
          </w:tcPr>
          <w:p w:rsidR="0010222D" w:rsidRDefault="0010222D" w:rsidP="0010222D">
            <w:pPr>
              <w:rPr>
                <w:color w:val="000000"/>
                <w:sz w:val="18"/>
                <w:szCs w:val="18"/>
              </w:rPr>
            </w:pPr>
            <w:r>
              <w:rPr>
                <w:color w:val="000000"/>
                <w:sz w:val="18"/>
                <w:szCs w:val="18"/>
              </w:rPr>
              <w:t xml:space="preserve"> $       3,707,128 </w:t>
            </w:r>
          </w:p>
        </w:tc>
        <w:tc>
          <w:tcPr>
            <w:tcW w:w="2876" w:type="dxa"/>
            <w:gridSpan w:val="3"/>
            <w:noWrap/>
            <w:vAlign w:val="bottom"/>
            <w:hideMark/>
          </w:tcPr>
          <w:p w:rsidR="0010222D" w:rsidRDefault="0010222D" w:rsidP="0010222D">
            <w:pPr>
              <w:rPr>
                <w:color w:val="000000"/>
                <w:sz w:val="18"/>
                <w:szCs w:val="18"/>
              </w:rPr>
            </w:pPr>
            <w:r>
              <w:rPr>
                <w:color w:val="000000"/>
                <w:sz w:val="18"/>
                <w:szCs w:val="18"/>
              </w:rPr>
              <w:t>CY 2016 expected expenditures + 2%</w:t>
            </w:r>
          </w:p>
        </w:tc>
        <w:tc>
          <w:tcPr>
            <w:tcW w:w="1205" w:type="dxa"/>
            <w:noWrap/>
            <w:vAlign w:val="bottom"/>
            <w:hideMark/>
          </w:tcPr>
          <w:p w:rsidR="0010222D" w:rsidRDefault="0010222D" w:rsidP="0010222D">
            <w:pPr>
              <w:rPr>
                <w:rFonts w:asciiTheme="minorHAnsi" w:eastAsiaTheme="minorEastAsia" w:hAnsiTheme="minorHAnsi" w:cstheme="minorBidi"/>
              </w:rPr>
            </w:pPr>
          </w:p>
        </w:tc>
        <w:tc>
          <w:tcPr>
            <w:tcW w:w="435" w:type="dxa"/>
            <w:tcBorders>
              <w:right w:val="single" w:sz="4" w:space="0" w:color="auto"/>
            </w:tcBorders>
            <w:noWrap/>
            <w:vAlign w:val="bottom"/>
            <w:hideMark/>
          </w:tcPr>
          <w:p w:rsidR="0010222D" w:rsidRDefault="0010222D" w:rsidP="0010222D">
            <w:pPr>
              <w:rPr>
                <w:rFonts w:asciiTheme="minorHAnsi" w:eastAsiaTheme="minorEastAsia" w:hAnsiTheme="minorHAnsi" w:cstheme="minorBidi"/>
              </w:rPr>
            </w:pPr>
          </w:p>
        </w:tc>
      </w:tr>
      <w:tr w:rsidR="0010222D" w:rsidTr="0010222D">
        <w:trPr>
          <w:trHeight w:val="273"/>
        </w:trPr>
        <w:tc>
          <w:tcPr>
            <w:tcW w:w="4556" w:type="dxa"/>
            <w:tcBorders>
              <w:left w:val="single" w:sz="4" w:space="0" w:color="auto"/>
            </w:tcBorders>
            <w:noWrap/>
            <w:vAlign w:val="bottom"/>
            <w:hideMark/>
          </w:tcPr>
          <w:p w:rsidR="0010222D" w:rsidRDefault="0010222D" w:rsidP="0010222D">
            <w:pPr>
              <w:jc w:val="right"/>
              <w:rPr>
                <w:color w:val="000000"/>
                <w:sz w:val="18"/>
                <w:szCs w:val="18"/>
              </w:rPr>
            </w:pPr>
            <w:r>
              <w:rPr>
                <w:color w:val="000000"/>
                <w:sz w:val="18"/>
                <w:szCs w:val="18"/>
              </w:rPr>
              <w:t xml:space="preserve">2018 Washington gas DSM budget </w:t>
            </w:r>
          </w:p>
        </w:tc>
        <w:tc>
          <w:tcPr>
            <w:tcW w:w="1740" w:type="dxa"/>
            <w:noWrap/>
            <w:vAlign w:val="bottom"/>
            <w:hideMark/>
          </w:tcPr>
          <w:p w:rsidR="0010222D" w:rsidRDefault="0010222D" w:rsidP="0010222D">
            <w:pPr>
              <w:rPr>
                <w:color w:val="000000"/>
                <w:sz w:val="18"/>
                <w:szCs w:val="18"/>
              </w:rPr>
            </w:pPr>
            <w:r>
              <w:rPr>
                <w:color w:val="000000"/>
                <w:sz w:val="18"/>
                <w:szCs w:val="18"/>
              </w:rPr>
              <w:t xml:space="preserve"> $       3,781,270 </w:t>
            </w:r>
          </w:p>
        </w:tc>
        <w:tc>
          <w:tcPr>
            <w:tcW w:w="2876" w:type="dxa"/>
            <w:gridSpan w:val="3"/>
            <w:noWrap/>
            <w:vAlign w:val="bottom"/>
            <w:hideMark/>
          </w:tcPr>
          <w:p w:rsidR="0010222D" w:rsidRDefault="0010222D" w:rsidP="0010222D">
            <w:pPr>
              <w:rPr>
                <w:color w:val="000000"/>
                <w:sz w:val="18"/>
                <w:szCs w:val="18"/>
              </w:rPr>
            </w:pPr>
            <w:r>
              <w:rPr>
                <w:color w:val="000000"/>
                <w:sz w:val="18"/>
                <w:szCs w:val="18"/>
              </w:rPr>
              <w:t>CY 2017 expected expenditures + 2%</w:t>
            </w:r>
          </w:p>
        </w:tc>
        <w:tc>
          <w:tcPr>
            <w:tcW w:w="1205" w:type="dxa"/>
            <w:noWrap/>
            <w:vAlign w:val="bottom"/>
            <w:hideMark/>
          </w:tcPr>
          <w:p w:rsidR="0010222D" w:rsidRDefault="0010222D" w:rsidP="0010222D">
            <w:pPr>
              <w:rPr>
                <w:rFonts w:asciiTheme="minorHAnsi" w:eastAsiaTheme="minorEastAsia" w:hAnsiTheme="minorHAnsi" w:cstheme="minorBidi"/>
              </w:rPr>
            </w:pPr>
          </w:p>
        </w:tc>
        <w:tc>
          <w:tcPr>
            <w:tcW w:w="435" w:type="dxa"/>
            <w:tcBorders>
              <w:right w:val="single" w:sz="4" w:space="0" w:color="auto"/>
            </w:tcBorders>
            <w:noWrap/>
            <w:vAlign w:val="bottom"/>
            <w:hideMark/>
          </w:tcPr>
          <w:p w:rsidR="0010222D" w:rsidRDefault="0010222D" w:rsidP="0010222D">
            <w:pPr>
              <w:rPr>
                <w:rFonts w:asciiTheme="minorHAnsi" w:eastAsiaTheme="minorEastAsia" w:hAnsiTheme="minorHAnsi" w:cstheme="minorBidi"/>
              </w:rPr>
            </w:pPr>
          </w:p>
        </w:tc>
      </w:tr>
      <w:tr w:rsidR="0010222D" w:rsidTr="0010222D">
        <w:trPr>
          <w:trHeight w:val="273"/>
        </w:trPr>
        <w:tc>
          <w:tcPr>
            <w:tcW w:w="4556" w:type="dxa"/>
            <w:tcBorders>
              <w:left w:val="single" w:sz="4" w:space="0" w:color="auto"/>
            </w:tcBorders>
            <w:noWrap/>
            <w:vAlign w:val="bottom"/>
            <w:hideMark/>
          </w:tcPr>
          <w:p w:rsidR="0010222D" w:rsidRDefault="0010222D" w:rsidP="0010222D">
            <w:pPr>
              <w:rPr>
                <w:rFonts w:asciiTheme="minorHAnsi" w:eastAsiaTheme="minorEastAsia" w:hAnsiTheme="minorHAnsi" w:cstheme="minorBidi"/>
              </w:rPr>
            </w:pPr>
          </w:p>
        </w:tc>
        <w:tc>
          <w:tcPr>
            <w:tcW w:w="1740" w:type="dxa"/>
            <w:noWrap/>
            <w:vAlign w:val="bottom"/>
            <w:hideMark/>
          </w:tcPr>
          <w:p w:rsidR="0010222D" w:rsidRDefault="0010222D" w:rsidP="0010222D">
            <w:pPr>
              <w:rPr>
                <w:rFonts w:asciiTheme="minorHAnsi" w:eastAsiaTheme="minorEastAsia" w:hAnsiTheme="minorHAnsi" w:cstheme="minorBidi"/>
              </w:rPr>
            </w:pPr>
          </w:p>
        </w:tc>
        <w:tc>
          <w:tcPr>
            <w:tcW w:w="813" w:type="dxa"/>
            <w:noWrap/>
            <w:vAlign w:val="bottom"/>
            <w:hideMark/>
          </w:tcPr>
          <w:p w:rsidR="0010222D" w:rsidRDefault="0010222D" w:rsidP="0010222D">
            <w:pPr>
              <w:rPr>
                <w:rFonts w:asciiTheme="minorHAnsi" w:eastAsiaTheme="minorEastAsia" w:hAnsiTheme="minorHAnsi" w:cstheme="minorBidi"/>
              </w:rPr>
            </w:pPr>
          </w:p>
        </w:tc>
        <w:tc>
          <w:tcPr>
            <w:tcW w:w="1083" w:type="dxa"/>
            <w:noWrap/>
            <w:vAlign w:val="bottom"/>
            <w:hideMark/>
          </w:tcPr>
          <w:p w:rsidR="0010222D" w:rsidRDefault="0010222D" w:rsidP="0010222D">
            <w:pPr>
              <w:rPr>
                <w:rFonts w:asciiTheme="minorHAnsi" w:eastAsiaTheme="minorEastAsia" w:hAnsiTheme="minorHAnsi" w:cstheme="minorBidi"/>
              </w:rPr>
            </w:pPr>
          </w:p>
        </w:tc>
        <w:tc>
          <w:tcPr>
            <w:tcW w:w="980" w:type="dxa"/>
            <w:noWrap/>
            <w:vAlign w:val="bottom"/>
            <w:hideMark/>
          </w:tcPr>
          <w:p w:rsidR="0010222D" w:rsidRDefault="0010222D" w:rsidP="0010222D">
            <w:pPr>
              <w:rPr>
                <w:rFonts w:asciiTheme="minorHAnsi" w:eastAsiaTheme="minorEastAsia" w:hAnsiTheme="minorHAnsi" w:cstheme="minorBidi"/>
              </w:rPr>
            </w:pPr>
          </w:p>
        </w:tc>
        <w:tc>
          <w:tcPr>
            <w:tcW w:w="1205" w:type="dxa"/>
            <w:noWrap/>
            <w:vAlign w:val="bottom"/>
            <w:hideMark/>
          </w:tcPr>
          <w:p w:rsidR="0010222D" w:rsidRDefault="0010222D" w:rsidP="0010222D">
            <w:pPr>
              <w:rPr>
                <w:rFonts w:asciiTheme="minorHAnsi" w:eastAsiaTheme="minorEastAsia" w:hAnsiTheme="minorHAnsi" w:cstheme="minorBidi"/>
              </w:rPr>
            </w:pPr>
          </w:p>
        </w:tc>
        <w:tc>
          <w:tcPr>
            <w:tcW w:w="435" w:type="dxa"/>
            <w:tcBorders>
              <w:right w:val="single" w:sz="4" w:space="0" w:color="auto"/>
            </w:tcBorders>
            <w:noWrap/>
            <w:vAlign w:val="bottom"/>
            <w:hideMark/>
          </w:tcPr>
          <w:p w:rsidR="0010222D" w:rsidRDefault="0010222D" w:rsidP="0010222D">
            <w:pPr>
              <w:rPr>
                <w:rFonts w:asciiTheme="minorHAnsi" w:eastAsiaTheme="minorEastAsia" w:hAnsiTheme="minorHAnsi" w:cstheme="minorBidi"/>
              </w:rPr>
            </w:pPr>
          </w:p>
        </w:tc>
      </w:tr>
      <w:tr w:rsidR="0010222D" w:rsidTr="0010222D">
        <w:trPr>
          <w:trHeight w:val="273"/>
        </w:trPr>
        <w:tc>
          <w:tcPr>
            <w:tcW w:w="4556" w:type="dxa"/>
            <w:tcBorders>
              <w:left w:val="single" w:sz="4" w:space="0" w:color="auto"/>
            </w:tcBorders>
            <w:noWrap/>
            <w:vAlign w:val="bottom"/>
            <w:hideMark/>
          </w:tcPr>
          <w:p w:rsidR="0010222D" w:rsidRPr="00BF2720" w:rsidRDefault="0010222D" w:rsidP="0010222D">
            <w:pPr>
              <w:jc w:val="right"/>
              <w:rPr>
                <w:color w:val="000000"/>
                <w:sz w:val="20"/>
              </w:rPr>
            </w:pPr>
            <w:r w:rsidRPr="00BF2720">
              <w:rPr>
                <w:color w:val="000000"/>
                <w:sz w:val="20"/>
              </w:rPr>
              <w:t>August Balance</w:t>
            </w:r>
          </w:p>
        </w:tc>
        <w:tc>
          <w:tcPr>
            <w:tcW w:w="1740" w:type="dxa"/>
            <w:noWrap/>
            <w:vAlign w:val="bottom"/>
            <w:hideMark/>
          </w:tcPr>
          <w:p w:rsidR="0010222D" w:rsidRPr="00BF2720" w:rsidRDefault="0010222D" w:rsidP="0010222D">
            <w:pPr>
              <w:rPr>
                <w:color w:val="000000"/>
                <w:sz w:val="20"/>
              </w:rPr>
            </w:pPr>
            <w:r w:rsidRPr="00BF2720">
              <w:rPr>
                <w:color w:val="000000"/>
                <w:sz w:val="20"/>
              </w:rPr>
              <w:t xml:space="preserve"> $   1,518,050 </w:t>
            </w:r>
          </w:p>
        </w:tc>
        <w:tc>
          <w:tcPr>
            <w:tcW w:w="1896" w:type="dxa"/>
            <w:gridSpan w:val="2"/>
            <w:noWrap/>
            <w:vAlign w:val="bottom"/>
            <w:hideMark/>
          </w:tcPr>
          <w:p w:rsidR="0010222D" w:rsidRDefault="0010222D" w:rsidP="0010222D">
            <w:pPr>
              <w:rPr>
                <w:color w:val="000000"/>
                <w:sz w:val="18"/>
                <w:szCs w:val="18"/>
              </w:rPr>
            </w:pPr>
            <w:r>
              <w:rPr>
                <w:color w:val="000000"/>
                <w:sz w:val="18"/>
                <w:szCs w:val="18"/>
              </w:rPr>
              <w:t>Underfunded (Surcharge)</w:t>
            </w:r>
          </w:p>
        </w:tc>
        <w:tc>
          <w:tcPr>
            <w:tcW w:w="980" w:type="dxa"/>
            <w:noWrap/>
            <w:vAlign w:val="bottom"/>
            <w:hideMark/>
          </w:tcPr>
          <w:p w:rsidR="0010222D" w:rsidRDefault="0010222D" w:rsidP="0010222D">
            <w:pPr>
              <w:rPr>
                <w:rFonts w:asciiTheme="minorHAnsi" w:eastAsiaTheme="minorEastAsia" w:hAnsiTheme="minorHAnsi" w:cstheme="minorBidi"/>
              </w:rPr>
            </w:pPr>
          </w:p>
        </w:tc>
        <w:tc>
          <w:tcPr>
            <w:tcW w:w="1205" w:type="dxa"/>
            <w:noWrap/>
            <w:vAlign w:val="bottom"/>
            <w:hideMark/>
          </w:tcPr>
          <w:p w:rsidR="0010222D" w:rsidRDefault="0010222D" w:rsidP="0010222D">
            <w:pPr>
              <w:rPr>
                <w:rFonts w:asciiTheme="minorHAnsi" w:eastAsiaTheme="minorEastAsia" w:hAnsiTheme="minorHAnsi" w:cstheme="minorBidi"/>
              </w:rPr>
            </w:pPr>
          </w:p>
        </w:tc>
        <w:tc>
          <w:tcPr>
            <w:tcW w:w="435" w:type="dxa"/>
            <w:tcBorders>
              <w:right w:val="single" w:sz="4" w:space="0" w:color="auto"/>
            </w:tcBorders>
            <w:noWrap/>
            <w:vAlign w:val="bottom"/>
            <w:hideMark/>
          </w:tcPr>
          <w:p w:rsidR="0010222D" w:rsidRDefault="0010222D" w:rsidP="0010222D">
            <w:pPr>
              <w:rPr>
                <w:rFonts w:asciiTheme="minorHAnsi" w:eastAsiaTheme="minorEastAsia" w:hAnsiTheme="minorHAnsi" w:cstheme="minorBidi"/>
              </w:rPr>
            </w:pPr>
          </w:p>
        </w:tc>
      </w:tr>
      <w:tr w:rsidR="0010222D" w:rsidTr="0010222D">
        <w:trPr>
          <w:trHeight w:val="286"/>
        </w:trPr>
        <w:tc>
          <w:tcPr>
            <w:tcW w:w="4556" w:type="dxa"/>
            <w:tcBorders>
              <w:left w:val="single" w:sz="4" w:space="0" w:color="auto"/>
            </w:tcBorders>
            <w:noWrap/>
            <w:vAlign w:val="bottom"/>
            <w:hideMark/>
          </w:tcPr>
          <w:p w:rsidR="0010222D" w:rsidRPr="00BF2720" w:rsidRDefault="0010222D" w:rsidP="0010222D">
            <w:pPr>
              <w:jc w:val="right"/>
              <w:rPr>
                <w:color w:val="000000"/>
                <w:sz w:val="20"/>
              </w:rPr>
            </w:pPr>
            <w:r w:rsidRPr="00BF2720">
              <w:rPr>
                <w:color w:val="000000"/>
                <w:sz w:val="20"/>
              </w:rPr>
              <w:t xml:space="preserve"> September 2015 - July 2016 Expenditure Budget </w:t>
            </w:r>
          </w:p>
        </w:tc>
        <w:tc>
          <w:tcPr>
            <w:tcW w:w="1740" w:type="dxa"/>
            <w:tcBorders>
              <w:top w:val="nil"/>
              <w:left w:val="nil"/>
              <w:bottom w:val="single" w:sz="4" w:space="0" w:color="auto"/>
              <w:right w:val="nil"/>
            </w:tcBorders>
            <w:noWrap/>
            <w:vAlign w:val="bottom"/>
            <w:hideMark/>
          </w:tcPr>
          <w:p w:rsidR="0010222D" w:rsidRPr="00BF2720" w:rsidRDefault="0010222D" w:rsidP="0010222D">
            <w:pPr>
              <w:rPr>
                <w:color w:val="000000"/>
                <w:sz w:val="20"/>
              </w:rPr>
            </w:pPr>
            <w:r w:rsidRPr="00BF2720">
              <w:rPr>
                <w:color w:val="000000"/>
                <w:sz w:val="20"/>
              </w:rPr>
              <w:t xml:space="preserve"> $   3,091,516 </w:t>
            </w:r>
          </w:p>
        </w:tc>
        <w:tc>
          <w:tcPr>
            <w:tcW w:w="813" w:type="dxa"/>
            <w:noWrap/>
            <w:vAlign w:val="bottom"/>
            <w:hideMark/>
          </w:tcPr>
          <w:p w:rsidR="0010222D" w:rsidRDefault="0010222D" w:rsidP="0010222D">
            <w:pPr>
              <w:rPr>
                <w:rFonts w:asciiTheme="minorHAnsi" w:eastAsiaTheme="minorEastAsia" w:hAnsiTheme="minorHAnsi" w:cstheme="minorBidi"/>
              </w:rPr>
            </w:pPr>
          </w:p>
        </w:tc>
        <w:tc>
          <w:tcPr>
            <w:tcW w:w="1083" w:type="dxa"/>
            <w:noWrap/>
            <w:vAlign w:val="bottom"/>
            <w:hideMark/>
          </w:tcPr>
          <w:p w:rsidR="0010222D" w:rsidRDefault="0010222D" w:rsidP="0010222D">
            <w:pPr>
              <w:rPr>
                <w:rFonts w:asciiTheme="minorHAnsi" w:eastAsiaTheme="minorEastAsia" w:hAnsiTheme="minorHAnsi" w:cstheme="minorBidi"/>
              </w:rPr>
            </w:pPr>
          </w:p>
        </w:tc>
        <w:tc>
          <w:tcPr>
            <w:tcW w:w="980" w:type="dxa"/>
            <w:noWrap/>
            <w:vAlign w:val="bottom"/>
            <w:hideMark/>
          </w:tcPr>
          <w:p w:rsidR="0010222D" w:rsidRDefault="0010222D" w:rsidP="0010222D">
            <w:pPr>
              <w:rPr>
                <w:rFonts w:asciiTheme="minorHAnsi" w:eastAsiaTheme="minorEastAsia" w:hAnsiTheme="minorHAnsi" w:cstheme="minorBidi"/>
              </w:rPr>
            </w:pPr>
          </w:p>
        </w:tc>
        <w:tc>
          <w:tcPr>
            <w:tcW w:w="1205" w:type="dxa"/>
            <w:noWrap/>
            <w:vAlign w:val="bottom"/>
            <w:hideMark/>
          </w:tcPr>
          <w:p w:rsidR="0010222D" w:rsidRDefault="0010222D" w:rsidP="0010222D">
            <w:pPr>
              <w:rPr>
                <w:rFonts w:asciiTheme="minorHAnsi" w:eastAsiaTheme="minorEastAsia" w:hAnsiTheme="minorHAnsi" w:cstheme="minorBidi"/>
              </w:rPr>
            </w:pPr>
          </w:p>
        </w:tc>
        <w:tc>
          <w:tcPr>
            <w:tcW w:w="435" w:type="dxa"/>
            <w:tcBorders>
              <w:right w:val="single" w:sz="4" w:space="0" w:color="auto"/>
            </w:tcBorders>
            <w:noWrap/>
            <w:vAlign w:val="bottom"/>
            <w:hideMark/>
          </w:tcPr>
          <w:p w:rsidR="0010222D" w:rsidRDefault="0010222D" w:rsidP="0010222D">
            <w:pPr>
              <w:rPr>
                <w:rFonts w:asciiTheme="minorHAnsi" w:eastAsiaTheme="minorEastAsia" w:hAnsiTheme="minorHAnsi" w:cstheme="minorBidi"/>
              </w:rPr>
            </w:pPr>
          </w:p>
        </w:tc>
      </w:tr>
      <w:tr w:rsidR="0010222D" w:rsidTr="0010222D">
        <w:trPr>
          <w:trHeight w:val="273"/>
        </w:trPr>
        <w:tc>
          <w:tcPr>
            <w:tcW w:w="4556" w:type="dxa"/>
            <w:tcBorders>
              <w:left w:val="single" w:sz="4" w:space="0" w:color="auto"/>
            </w:tcBorders>
            <w:noWrap/>
            <w:vAlign w:val="bottom"/>
            <w:hideMark/>
          </w:tcPr>
          <w:p w:rsidR="0010222D" w:rsidRPr="00BF2720" w:rsidRDefault="0010222D" w:rsidP="0010222D">
            <w:pPr>
              <w:rPr>
                <w:color w:val="000000"/>
                <w:sz w:val="20"/>
              </w:rPr>
            </w:pPr>
            <w:r w:rsidRPr="00BF2720">
              <w:rPr>
                <w:color w:val="000000"/>
                <w:sz w:val="20"/>
              </w:rPr>
              <w:t>Total Projected DSM Balance + Expenditures</w:t>
            </w:r>
          </w:p>
        </w:tc>
        <w:tc>
          <w:tcPr>
            <w:tcW w:w="1740" w:type="dxa"/>
            <w:noWrap/>
            <w:vAlign w:val="bottom"/>
            <w:hideMark/>
          </w:tcPr>
          <w:p w:rsidR="0010222D" w:rsidRPr="00BF2720" w:rsidRDefault="0010222D" w:rsidP="0010222D">
            <w:pPr>
              <w:rPr>
                <w:color w:val="000000"/>
                <w:sz w:val="20"/>
              </w:rPr>
            </w:pPr>
            <w:r w:rsidRPr="00BF2720">
              <w:rPr>
                <w:color w:val="000000"/>
                <w:sz w:val="20"/>
              </w:rPr>
              <w:t xml:space="preserve"> $   4,609,566 </w:t>
            </w:r>
          </w:p>
        </w:tc>
        <w:tc>
          <w:tcPr>
            <w:tcW w:w="813" w:type="dxa"/>
            <w:noWrap/>
            <w:vAlign w:val="bottom"/>
            <w:hideMark/>
          </w:tcPr>
          <w:p w:rsidR="0010222D" w:rsidRDefault="0010222D" w:rsidP="0010222D">
            <w:pPr>
              <w:rPr>
                <w:rFonts w:asciiTheme="minorHAnsi" w:eastAsiaTheme="minorEastAsia" w:hAnsiTheme="minorHAnsi" w:cstheme="minorBidi"/>
              </w:rPr>
            </w:pPr>
          </w:p>
        </w:tc>
        <w:tc>
          <w:tcPr>
            <w:tcW w:w="1083" w:type="dxa"/>
            <w:noWrap/>
            <w:vAlign w:val="bottom"/>
            <w:hideMark/>
          </w:tcPr>
          <w:p w:rsidR="0010222D" w:rsidRDefault="0010222D" w:rsidP="0010222D">
            <w:pPr>
              <w:rPr>
                <w:rFonts w:asciiTheme="minorHAnsi" w:eastAsiaTheme="minorEastAsia" w:hAnsiTheme="minorHAnsi" w:cstheme="minorBidi"/>
              </w:rPr>
            </w:pPr>
          </w:p>
        </w:tc>
        <w:tc>
          <w:tcPr>
            <w:tcW w:w="980" w:type="dxa"/>
            <w:noWrap/>
            <w:vAlign w:val="bottom"/>
            <w:hideMark/>
          </w:tcPr>
          <w:p w:rsidR="0010222D" w:rsidRDefault="0010222D" w:rsidP="0010222D">
            <w:pPr>
              <w:rPr>
                <w:rFonts w:asciiTheme="minorHAnsi" w:eastAsiaTheme="minorEastAsia" w:hAnsiTheme="minorHAnsi" w:cstheme="minorBidi"/>
              </w:rPr>
            </w:pPr>
          </w:p>
        </w:tc>
        <w:tc>
          <w:tcPr>
            <w:tcW w:w="1205" w:type="dxa"/>
            <w:noWrap/>
            <w:vAlign w:val="bottom"/>
            <w:hideMark/>
          </w:tcPr>
          <w:p w:rsidR="0010222D" w:rsidRDefault="0010222D" w:rsidP="0010222D">
            <w:pPr>
              <w:rPr>
                <w:rFonts w:asciiTheme="minorHAnsi" w:eastAsiaTheme="minorEastAsia" w:hAnsiTheme="minorHAnsi" w:cstheme="minorBidi"/>
              </w:rPr>
            </w:pPr>
          </w:p>
        </w:tc>
        <w:tc>
          <w:tcPr>
            <w:tcW w:w="435" w:type="dxa"/>
            <w:tcBorders>
              <w:right w:val="single" w:sz="4" w:space="0" w:color="auto"/>
            </w:tcBorders>
            <w:noWrap/>
            <w:vAlign w:val="bottom"/>
            <w:hideMark/>
          </w:tcPr>
          <w:p w:rsidR="0010222D" w:rsidRDefault="0010222D" w:rsidP="0010222D">
            <w:pPr>
              <w:rPr>
                <w:rFonts w:asciiTheme="minorHAnsi" w:eastAsiaTheme="minorEastAsia" w:hAnsiTheme="minorHAnsi" w:cstheme="minorBidi"/>
              </w:rPr>
            </w:pPr>
          </w:p>
        </w:tc>
      </w:tr>
      <w:tr w:rsidR="0010222D" w:rsidTr="0010222D">
        <w:trPr>
          <w:trHeight w:val="273"/>
        </w:trPr>
        <w:tc>
          <w:tcPr>
            <w:tcW w:w="4556" w:type="dxa"/>
            <w:tcBorders>
              <w:left w:val="single" w:sz="4" w:space="0" w:color="auto"/>
            </w:tcBorders>
            <w:noWrap/>
            <w:vAlign w:val="bottom"/>
            <w:hideMark/>
          </w:tcPr>
          <w:p w:rsidR="0010222D" w:rsidRPr="00BF2720" w:rsidRDefault="0010222D" w:rsidP="0010222D">
            <w:pPr>
              <w:rPr>
                <w:rFonts w:asciiTheme="minorHAnsi" w:eastAsiaTheme="minorEastAsia" w:hAnsiTheme="minorHAnsi" w:cstheme="minorBidi"/>
                <w:sz w:val="20"/>
              </w:rPr>
            </w:pPr>
          </w:p>
        </w:tc>
        <w:tc>
          <w:tcPr>
            <w:tcW w:w="1740" w:type="dxa"/>
            <w:noWrap/>
            <w:vAlign w:val="bottom"/>
            <w:hideMark/>
          </w:tcPr>
          <w:p w:rsidR="0010222D" w:rsidRPr="00BF2720" w:rsidRDefault="0010222D" w:rsidP="0010222D">
            <w:pPr>
              <w:rPr>
                <w:rFonts w:asciiTheme="minorHAnsi" w:eastAsiaTheme="minorEastAsia" w:hAnsiTheme="minorHAnsi" w:cstheme="minorBidi"/>
                <w:sz w:val="20"/>
              </w:rPr>
            </w:pPr>
          </w:p>
        </w:tc>
        <w:tc>
          <w:tcPr>
            <w:tcW w:w="813" w:type="dxa"/>
            <w:noWrap/>
            <w:vAlign w:val="bottom"/>
            <w:hideMark/>
          </w:tcPr>
          <w:p w:rsidR="0010222D" w:rsidRDefault="0010222D" w:rsidP="0010222D">
            <w:pPr>
              <w:rPr>
                <w:rFonts w:asciiTheme="minorHAnsi" w:eastAsiaTheme="minorEastAsia" w:hAnsiTheme="minorHAnsi" w:cstheme="minorBidi"/>
              </w:rPr>
            </w:pPr>
          </w:p>
        </w:tc>
        <w:tc>
          <w:tcPr>
            <w:tcW w:w="1083" w:type="dxa"/>
            <w:noWrap/>
            <w:vAlign w:val="bottom"/>
            <w:hideMark/>
          </w:tcPr>
          <w:p w:rsidR="0010222D" w:rsidRDefault="0010222D" w:rsidP="0010222D">
            <w:pPr>
              <w:rPr>
                <w:rFonts w:asciiTheme="minorHAnsi" w:eastAsiaTheme="minorEastAsia" w:hAnsiTheme="minorHAnsi" w:cstheme="minorBidi"/>
              </w:rPr>
            </w:pPr>
          </w:p>
        </w:tc>
        <w:tc>
          <w:tcPr>
            <w:tcW w:w="980" w:type="dxa"/>
            <w:noWrap/>
            <w:vAlign w:val="bottom"/>
            <w:hideMark/>
          </w:tcPr>
          <w:p w:rsidR="0010222D" w:rsidRDefault="0010222D" w:rsidP="0010222D">
            <w:pPr>
              <w:rPr>
                <w:rFonts w:asciiTheme="minorHAnsi" w:eastAsiaTheme="minorEastAsia" w:hAnsiTheme="minorHAnsi" w:cstheme="minorBidi"/>
              </w:rPr>
            </w:pPr>
          </w:p>
        </w:tc>
        <w:tc>
          <w:tcPr>
            <w:tcW w:w="1205" w:type="dxa"/>
            <w:noWrap/>
            <w:vAlign w:val="bottom"/>
            <w:hideMark/>
          </w:tcPr>
          <w:p w:rsidR="0010222D" w:rsidRDefault="0010222D" w:rsidP="0010222D">
            <w:pPr>
              <w:rPr>
                <w:rFonts w:asciiTheme="minorHAnsi" w:eastAsiaTheme="minorEastAsia" w:hAnsiTheme="minorHAnsi" w:cstheme="minorBidi"/>
              </w:rPr>
            </w:pPr>
          </w:p>
        </w:tc>
        <w:tc>
          <w:tcPr>
            <w:tcW w:w="435" w:type="dxa"/>
            <w:tcBorders>
              <w:right w:val="single" w:sz="4" w:space="0" w:color="auto"/>
            </w:tcBorders>
            <w:noWrap/>
            <w:vAlign w:val="bottom"/>
            <w:hideMark/>
          </w:tcPr>
          <w:p w:rsidR="0010222D" w:rsidRDefault="0010222D" w:rsidP="0010222D">
            <w:pPr>
              <w:rPr>
                <w:rFonts w:asciiTheme="minorHAnsi" w:eastAsiaTheme="minorEastAsia" w:hAnsiTheme="minorHAnsi" w:cstheme="minorBidi"/>
              </w:rPr>
            </w:pPr>
          </w:p>
        </w:tc>
      </w:tr>
      <w:tr w:rsidR="0010222D" w:rsidTr="0010222D">
        <w:trPr>
          <w:trHeight w:val="273"/>
        </w:trPr>
        <w:tc>
          <w:tcPr>
            <w:tcW w:w="4556" w:type="dxa"/>
            <w:tcBorders>
              <w:left w:val="single" w:sz="4" w:space="0" w:color="auto"/>
            </w:tcBorders>
            <w:noWrap/>
            <w:vAlign w:val="bottom"/>
            <w:hideMark/>
          </w:tcPr>
          <w:p w:rsidR="0010222D" w:rsidRPr="00BF2720" w:rsidRDefault="0010222D" w:rsidP="0010222D">
            <w:pPr>
              <w:rPr>
                <w:color w:val="000000"/>
                <w:sz w:val="20"/>
              </w:rPr>
            </w:pPr>
            <w:r w:rsidRPr="00BF2720">
              <w:rPr>
                <w:color w:val="000000"/>
                <w:sz w:val="20"/>
              </w:rPr>
              <w:t xml:space="preserve">Net Revenue Projected to be Recovered </w:t>
            </w:r>
          </w:p>
        </w:tc>
        <w:tc>
          <w:tcPr>
            <w:tcW w:w="1740" w:type="dxa"/>
            <w:noWrap/>
            <w:vAlign w:val="bottom"/>
            <w:hideMark/>
          </w:tcPr>
          <w:p w:rsidR="0010222D" w:rsidRPr="00BF2720" w:rsidRDefault="0010222D" w:rsidP="0010222D">
            <w:pPr>
              <w:rPr>
                <w:color w:val="000000"/>
                <w:sz w:val="20"/>
              </w:rPr>
            </w:pPr>
            <w:r w:rsidRPr="00BF2720">
              <w:rPr>
                <w:color w:val="000000"/>
                <w:sz w:val="20"/>
              </w:rPr>
              <w:t xml:space="preserve"> $ (4,037,112)</w:t>
            </w:r>
          </w:p>
        </w:tc>
        <w:tc>
          <w:tcPr>
            <w:tcW w:w="2876" w:type="dxa"/>
            <w:gridSpan w:val="3"/>
            <w:noWrap/>
            <w:vAlign w:val="bottom"/>
            <w:hideMark/>
          </w:tcPr>
          <w:p w:rsidR="0010222D" w:rsidRDefault="0010222D" w:rsidP="0010222D">
            <w:pPr>
              <w:rPr>
                <w:color w:val="000000"/>
              </w:rPr>
            </w:pPr>
            <w:r>
              <w:rPr>
                <w:color w:val="000000"/>
              </w:rPr>
              <w:t>September 2015 - July 2016</w:t>
            </w:r>
          </w:p>
        </w:tc>
        <w:tc>
          <w:tcPr>
            <w:tcW w:w="1205" w:type="dxa"/>
            <w:noWrap/>
            <w:vAlign w:val="bottom"/>
            <w:hideMark/>
          </w:tcPr>
          <w:p w:rsidR="0010222D" w:rsidRDefault="0010222D" w:rsidP="0010222D">
            <w:pPr>
              <w:rPr>
                <w:rFonts w:asciiTheme="minorHAnsi" w:eastAsiaTheme="minorEastAsia" w:hAnsiTheme="minorHAnsi" w:cstheme="minorBidi"/>
              </w:rPr>
            </w:pPr>
          </w:p>
        </w:tc>
        <w:tc>
          <w:tcPr>
            <w:tcW w:w="435" w:type="dxa"/>
            <w:tcBorders>
              <w:right w:val="single" w:sz="4" w:space="0" w:color="auto"/>
            </w:tcBorders>
            <w:noWrap/>
            <w:vAlign w:val="bottom"/>
            <w:hideMark/>
          </w:tcPr>
          <w:p w:rsidR="0010222D" w:rsidRDefault="0010222D" w:rsidP="0010222D">
            <w:pPr>
              <w:rPr>
                <w:rFonts w:asciiTheme="minorHAnsi" w:eastAsiaTheme="minorEastAsia" w:hAnsiTheme="minorHAnsi" w:cstheme="minorBidi"/>
              </w:rPr>
            </w:pPr>
          </w:p>
        </w:tc>
      </w:tr>
      <w:tr w:rsidR="0010222D" w:rsidTr="0010222D">
        <w:trPr>
          <w:trHeight w:val="273"/>
        </w:trPr>
        <w:tc>
          <w:tcPr>
            <w:tcW w:w="4556" w:type="dxa"/>
            <w:tcBorders>
              <w:left w:val="single" w:sz="4" w:space="0" w:color="auto"/>
            </w:tcBorders>
            <w:noWrap/>
            <w:vAlign w:val="bottom"/>
            <w:hideMark/>
          </w:tcPr>
          <w:p w:rsidR="0010222D" w:rsidRPr="00BF2720" w:rsidRDefault="0010222D" w:rsidP="0010222D">
            <w:pPr>
              <w:rPr>
                <w:rFonts w:asciiTheme="minorHAnsi" w:eastAsiaTheme="minorEastAsia" w:hAnsiTheme="minorHAnsi" w:cstheme="minorBidi"/>
                <w:sz w:val="20"/>
              </w:rPr>
            </w:pPr>
          </w:p>
        </w:tc>
        <w:tc>
          <w:tcPr>
            <w:tcW w:w="1740" w:type="dxa"/>
            <w:noWrap/>
            <w:vAlign w:val="bottom"/>
            <w:hideMark/>
          </w:tcPr>
          <w:p w:rsidR="0010222D" w:rsidRPr="00BF2720" w:rsidRDefault="0010222D" w:rsidP="0010222D">
            <w:pPr>
              <w:rPr>
                <w:rFonts w:asciiTheme="minorHAnsi" w:eastAsiaTheme="minorEastAsia" w:hAnsiTheme="minorHAnsi" w:cstheme="minorBidi"/>
                <w:sz w:val="20"/>
              </w:rPr>
            </w:pPr>
          </w:p>
        </w:tc>
        <w:tc>
          <w:tcPr>
            <w:tcW w:w="813" w:type="dxa"/>
            <w:noWrap/>
            <w:vAlign w:val="bottom"/>
            <w:hideMark/>
          </w:tcPr>
          <w:p w:rsidR="0010222D" w:rsidRDefault="0010222D" w:rsidP="0010222D">
            <w:pPr>
              <w:rPr>
                <w:rFonts w:asciiTheme="minorHAnsi" w:eastAsiaTheme="minorEastAsia" w:hAnsiTheme="minorHAnsi" w:cstheme="minorBidi"/>
              </w:rPr>
            </w:pPr>
          </w:p>
        </w:tc>
        <w:tc>
          <w:tcPr>
            <w:tcW w:w="1083" w:type="dxa"/>
            <w:noWrap/>
            <w:vAlign w:val="bottom"/>
            <w:hideMark/>
          </w:tcPr>
          <w:p w:rsidR="0010222D" w:rsidRDefault="0010222D" w:rsidP="0010222D">
            <w:pPr>
              <w:rPr>
                <w:rFonts w:asciiTheme="minorHAnsi" w:eastAsiaTheme="minorEastAsia" w:hAnsiTheme="minorHAnsi" w:cstheme="minorBidi"/>
              </w:rPr>
            </w:pPr>
          </w:p>
        </w:tc>
        <w:tc>
          <w:tcPr>
            <w:tcW w:w="980" w:type="dxa"/>
            <w:noWrap/>
            <w:vAlign w:val="bottom"/>
            <w:hideMark/>
          </w:tcPr>
          <w:p w:rsidR="0010222D" w:rsidRDefault="0010222D" w:rsidP="0010222D">
            <w:pPr>
              <w:rPr>
                <w:rFonts w:asciiTheme="minorHAnsi" w:eastAsiaTheme="minorEastAsia" w:hAnsiTheme="minorHAnsi" w:cstheme="minorBidi"/>
              </w:rPr>
            </w:pPr>
          </w:p>
        </w:tc>
        <w:tc>
          <w:tcPr>
            <w:tcW w:w="1205" w:type="dxa"/>
            <w:noWrap/>
            <w:vAlign w:val="bottom"/>
            <w:hideMark/>
          </w:tcPr>
          <w:p w:rsidR="0010222D" w:rsidRDefault="0010222D" w:rsidP="0010222D">
            <w:pPr>
              <w:rPr>
                <w:rFonts w:asciiTheme="minorHAnsi" w:eastAsiaTheme="minorEastAsia" w:hAnsiTheme="minorHAnsi" w:cstheme="minorBidi"/>
              </w:rPr>
            </w:pPr>
          </w:p>
        </w:tc>
        <w:tc>
          <w:tcPr>
            <w:tcW w:w="435" w:type="dxa"/>
            <w:tcBorders>
              <w:right w:val="single" w:sz="4" w:space="0" w:color="auto"/>
            </w:tcBorders>
            <w:noWrap/>
            <w:vAlign w:val="bottom"/>
            <w:hideMark/>
          </w:tcPr>
          <w:p w:rsidR="0010222D" w:rsidRDefault="0010222D" w:rsidP="0010222D">
            <w:pPr>
              <w:rPr>
                <w:rFonts w:asciiTheme="minorHAnsi" w:eastAsiaTheme="minorEastAsia" w:hAnsiTheme="minorHAnsi" w:cstheme="minorBidi"/>
              </w:rPr>
            </w:pPr>
          </w:p>
        </w:tc>
      </w:tr>
      <w:tr w:rsidR="0010222D" w:rsidTr="0010222D">
        <w:trPr>
          <w:trHeight w:val="273"/>
        </w:trPr>
        <w:tc>
          <w:tcPr>
            <w:tcW w:w="4556" w:type="dxa"/>
            <w:tcBorders>
              <w:left w:val="single" w:sz="4" w:space="0" w:color="auto"/>
            </w:tcBorders>
            <w:noWrap/>
            <w:vAlign w:val="bottom"/>
            <w:hideMark/>
          </w:tcPr>
          <w:p w:rsidR="0010222D" w:rsidRPr="00BF2720" w:rsidRDefault="0010222D" w:rsidP="0010222D">
            <w:pPr>
              <w:rPr>
                <w:color w:val="000000"/>
                <w:sz w:val="20"/>
              </w:rPr>
            </w:pPr>
            <w:r w:rsidRPr="00BF2720">
              <w:rPr>
                <w:color w:val="000000"/>
                <w:sz w:val="20"/>
              </w:rPr>
              <w:t>Total Projected DSM Balance (July 2016)</w:t>
            </w:r>
          </w:p>
        </w:tc>
        <w:tc>
          <w:tcPr>
            <w:tcW w:w="1740" w:type="dxa"/>
            <w:noWrap/>
            <w:vAlign w:val="bottom"/>
            <w:hideMark/>
          </w:tcPr>
          <w:p w:rsidR="0010222D" w:rsidRPr="00BF2720" w:rsidRDefault="0010222D" w:rsidP="0010222D">
            <w:pPr>
              <w:rPr>
                <w:b/>
                <w:bCs/>
                <w:color w:val="000000"/>
                <w:sz w:val="20"/>
              </w:rPr>
            </w:pPr>
            <w:r w:rsidRPr="00BF2720">
              <w:rPr>
                <w:b/>
                <w:bCs/>
                <w:color w:val="000000"/>
                <w:sz w:val="20"/>
              </w:rPr>
              <w:t xml:space="preserve"> $       572,454 </w:t>
            </w:r>
          </w:p>
        </w:tc>
        <w:tc>
          <w:tcPr>
            <w:tcW w:w="1896" w:type="dxa"/>
            <w:gridSpan w:val="2"/>
            <w:noWrap/>
            <w:vAlign w:val="bottom"/>
            <w:hideMark/>
          </w:tcPr>
          <w:p w:rsidR="0010222D" w:rsidRDefault="0010222D" w:rsidP="0010222D">
            <w:pPr>
              <w:rPr>
                <w:color w:val="000000"/>
                <w:sz w:val="18"/>
                <w:szCs w:val="18"/>
              </w:rPr>
            </w:pPr>
            <w:r>
              <w:rPr>
                <w:color w:val="000000"/>
                <w:sz w:val="18"/>
                <w:szCs w:val="18"/>
              </w:rPr>
              <w:t>Underfunded (Surcharge)</w:t>
            </w:r>
          </w:p>
        </w:tc>
        <w:tc>
          <w:tcPr>
            <w:tcW w:w="980" w:type="dxa"/>
            <w:noWrap/>
            <w:vAlign w:val="bottom"/>
            <w:hideMark/>
          </w:tcPr>
          <w:p w:rsidR="0010222D" w:rsidRDefault="0010222D" w:rsidP="0010222D">
            <w:pPr>
              <w:rPr>
                <w:rFonts w:asciiTheme="minorHAnsi" w:eastAsiaTheme="minorEastAsia" w:hAnsiTheme="minorHAnsi" w:cstheme="minorBidi"/>
              </w:rPr>
            </w:pPr>
          </w:p>
        </w:tc>
        <w:tc>
          <w:tcPr>
            <w:tcW w:w="1205" w:type="dxa"/>
            <w:noWrap/>
            <w:vAlign w:val="bottom"/>
            <w:hideMark/>
          </w:tcPr>
          <w:p w:rsidR="0010222D" w:rsidRDefault="0010222D" w:rsidP="0010222D">
            <w:pPr>
              <w:rPr>
                <w:rFonts w:asciiTheme="minorHAnsi" w:eastAsiaTheme="minorEastAsia" w:hAnsiTheme="minorHAnsi" w:cstheme="minorBidi"/>
              </w:rPr>
            </w:pPr>
          </w:p>
        </w:tc>
        <w:tc>
          <w:tcPr>
            <w:tcW w:w="435" w:type="dxa"/>
            <w:tcBorders>
              <w:right w:val="single" w:sz="4" w:space="0" w:color="auto"/>
            </w:tcBorders>
            <w:noWrap/>
            <w:vAlign w:val="bottom"/>
            <w:hideMark/>
          </w:tcPr>
          <w:p w:rsidR="0010222D" w:rsidRDefault="0010222D" w:rsidP="0010222D">
            <w:pPr>
              <w:rPr>
                <w:rFonts w:asciiTheme="minorHAnsi" w:eastAsiaTheme="minorEastAsia" w:hAnsiTheme="minorHAnsi" w:cstheme="minorBidi"/>
              </w:rPr>
            </w:pPr>
          </w:p>
        </w:tc>
      </w:tr>
      <w:tr w:rsidR="0010222D" w:rsidTr="0010222D">
        <w:trPr>
          <w:trHeight w:val="273"/>
        </w:trPr>
        <w:tc>
          <w:tcPr>
            <w:tcW w:w="4556" w:type="dxa"/>
            <w:tcBorders>
              <w:left w:val="single" w:sz="4" w:space="0" w:color="auto"/>
            </w:tcBorders>
            <w:noWrap/>
            <w:vAlign w:val="bottom"/>
            <w:hideMark/>
          </w:tcPr>
          <w:p w:rsidR="0010222D" w:rsidRPr="00BF2720" w:rsidRDefault="0010222D" w:rsidP="0010222D">
            <w:pPr>
              <w:rPr>
                <w:color w:val="000000"/>
                <w:sz w:val="20"/>
              </w:rPr>
            </w:pPr>
            <w:r w:rsidRPr="00BF2720">
              <w:rPr>
                <w:color w:val="000000"/>
                <w:sz w:val="20"/>
              </w:rPr>
              <w:t>Total Projected DSM Balance (July 2017)</w:t>
            </w:r>
          </w:p>
        </w:tc>
        <w:tc>
          <w:tcPr>
            <w:tcW w:w="1740" w:type="dxa"/>
            <w:noWrap/>
            <w:vAlign w:val="bottom"/>
            <w:hideMark/>
          </w:tcPr>
          <w:p w:rsidR="0010222D" w:rsidRPr="00BF2720" w:rsidRDefault="0010222D" w:rsidP="0010222D">
            <w:pPr>
              <w:rPr>
                <w:b/>
                <w:bCs/>
                <w:color w:val="000000"/>
                <w:sz w:val="20"/>
              </w:rPr>
            </w:pPr>
            <w:r w:rsidRPr="00BF2720">
              <w:rPr>
                <w:b/>
                <w:bCs/>
                <w:color w:val="000000"/>
                <w:sz w:val="20"/>
              </w:rPr>
              <w:t xml:space="preserve"> $                  (0)</w:t>
            </w:r>
          </w:p>
        </w:tc>
        <w:tc>
          <w:tcPr>
            <w:tcW w:w="813" w:type="dxa"/>
            <w:noWrap/>
            <w:vAlign w:val="bottom"/>
            <w:hideMark/>
          </w:tcPr>
          <w:p w:rsidR="0010222D" w:rsidRDefault="0010222D" w:rsidP="0010222D">
            <w:pPr>
              <w:rPr>
                <w:rFonts w:asciiTheme="minorHAnsi" w:eastAsiaTheme="minorEastAsia" w:hAnsiTheme="minorHAnsi" w:cstheme="minorBidi"/>
              </w:rPr>
            </w:pPr>
          </w:p>
        </w:tc>
        <w:tc>
          <w:tcPr>
            <w:tcW w:w="1083" w:type="dxa"/>
            <w:noWrap/>
            <w:vAlign w:val="bottom"/>
            <w:hideMark/>
          </w:tcPr>
          <w:p w:rsidR="0010222D" w:rsidRDefault="0010222D" w:rsidP="0010222D">
            <w:pPr>
              <w:rPr>
                <w:rFonts w:asciiTheme="minorHAnsi" w:eastAsiaTheme="minorEastAsia" w:hAnsiTheme="minorHAnsi" w:cstheme="minorBidi"/>
              </w:rPr>
            </w:pPr>
          </w:p>
        </w:tc>
        <w:tc>
          <w:tcPr>
            <w:tcW w:w="980" w:type="dxa"/>
            <w:noWrap/>
            <w:vAlign w:val="bottom"/>
            <w:hideMark/>
          </w:tcPr>
          <w:p w:rsidR="0010222D" w:rsidRDefault="0010222D" w:rsidP="0010222D">
            <w:pPr>
              <w:rPr>
                <w:rFonts w:asciiTheme="minorHAnsi" w:eastAsiaTheme="minorEastAsia" w:hAnsiTheme="minorHAnsi" w:cstheme="minorBidi"/>
              </w:rPr>
            </w:pPr>
          </w:p>
        </w:tc>
        <w:tc>
          <w:tcPr>
            <w:tcW w:w="1205" w:type="dxa"/>
            <w:noWrap/>
            <w:vAlign w:val="bottom"/>
            <w:hideMark/>
          </w:tcPr>
          <w:p w:rsidR="0010222D" w:rsidRDefault="0010222D" w:rsidP="0010222D">
            <w:pPr>
              <w:rPr>
                <w:rFonts w:asciiTheme="minorHAnsi" w:eastAsiaTheme="minorEastAsia" w:hAnsiTheme="minorHAnsi" w:cstheme="minorBidi"/>
              </w:rPr>
            </w:pPr>
          </w:p>
        </w:tc>
        <w:tc>
          <w:tcPr>
            <w:tcW w:w="435" w:type="dxa"/>
            <w:tcBorders>
              <w:right w:val="single" w:sz="4" w:space="0" w:color="auto"/>
            </w:tcBorders>
            <w:noWrap/>
            <w:vAlign w:val="bottom"/>
            <w:hideMark/>
          </w:tcPr>
          <w:p w:rsidR="0010222D" w:rsidRDefault="0010222D" w:rsidP="0010222D">
            <w:pPr>
              <w:rPr>
                <w:rFonts w:asciiTheme="minorHAnsi" w:eastAsiaTheme="minorEastAsia" w:hAnsiTheme="minorHAnsi" w:cstheme="minorBidi"/>
              </w:rPr>
            </w:pPr>
          </w:p>
        </w:tc>
      </w:tr>
      <w:tr w:rsidR="0010222D" w:rsidTr="0010222D">
        <w:trPr>
          <w:trHeight w:val="273"/>
        </w:trPr>
        <w:tc>
          <w:tcPr>
            <w:tcW w:w="4556" w:type="dxa"/>
            <w:tcBorders>
              <w:left w:val="single" w:sz="4" w:space="0" w:color="auto"/>
              <w:bottom w:val="single" w:sz="4" w:space="0" w:color="auto"/>
            </w:tcBorders>
            <w:noWrap/>
            <w:vAlign w:val="bottom"/>
            <w:hideMark/>
          </w:tcPr>
          <w:p w:rsidR="0010222D" w:rsidRPr="00BF2720" w:rsidRDefault="0010222D" w:rsidP="0010222D">
            <w:pPr>
              <w:rPr>
                <w:color w:val="000000"/>
                <w:sz w:val="20"/>
              </w:rPr>
            </w:pPr>
            <w:r w:rsidRPr="00BF2720">
              <w:rPr>
                <w:color w:val="000000"/>
                <w:sz w:val="20"/>
              </w:rPr>
              <w:t>Total Projected DSM Balance (July 2018)</w:t>
            </w:r>
          </w:p>
        </w:tc>
        <w:tc>
          <w:tcPr>
            <w:tcW w:w="1740" w:type="dxa"/>
            <w:tcBorders>
              <w:bottom w:val="single" w:sz="4" w:space="0" w:color="auto"/>
            </w:tcBorders>
            <w:noWrap/>
            <w:vAlign w:val="bottom"/>
            <w:hideMark/>
          </w:tcPr>
          <w:p w:rsidR="0010222D" w:rsidRPr="00BF2720" w:rsidRDefault="0010222D" w:rsidP="0010222D">
            <w:pPr>
              <w:rPr>
                <w:b/>
                <w:bCs/>
                <w:color w:val="000000"/>
                <w:sz w:val="20"/>
              </w:rPr>
            </w:pPr>
            <w:r w:rsidRPr="00BF2720">
              <w:rPr>
                <w:b/>
                <w:bCs/>
                <w:color w:val="000000"/>
                <w:sz w:val="20"/>
              </w:rPr>
              <w:t xml:space="preserve"> $     (559,899)</w:t>
            </w:r>
          </w:p>
        </w:tc>
        <w:tc>
          <w:tcPr>
            <w:tcW w:w="1896" w:type="dxa"/>
            <w:gridSpan w:val="2"/>
            <w:tcBorders>
              <w:bottom w:val="single" w:sz="4" w:space="0" w:color="auto"/>
            </w:tcBorders>
            <w:noWrap/>
            <w:vAlign w:val="bottom"/>
            <w:hideMark/>
          </w:tcPr>
          <w:p w:rsidR="0010222D" w:rsidRDefault="0010222D" w:rsidP="0010222D">
            <w:pPr>
              <w:rPr>
                <w:color w:val="000000"/>
                <w:sz w:val="18"/>
                <w:szCs w:val="18"/>
              </w:rPr>
            </w:pPr>
            <w:r>
              <w:rPr>
                <w:color w:val="000000"/>
                <w:sz w:val="18"/>
                <w:szCs w:val="18"/>
              </w:rPr>
              <w:t>Overfunded (Rebate)</w:t>
            </w:r>
          </w:p>
        </w:tc>
        <w:tc>
          <w:tcPr>
            <w:tcW w:w="980" w:type="dxa"/>
            <w:tcBorders>
              <w:bottom w:val="single" w:sz="4" w:space="0" w:color="auto"/>
            </w:tcBorders>
            <w:noWrap/>
            <w:vAlign w:val="bottom"/>
            <w:hideMark/>
          </w:tcPr>
          <w:p w:rsidR="0010222D" w:rsidRDefault="0010222D" w:rsidP="0010222D">
            <w:pPr>
              <w:rPr>
                <w:rFonts w:asciiTheme="minorHAnsi" w:eastAsiaTheme="minorEastAsia" w:hAnsiTheme="minorHAnsi" w:cstheme="minorBidi"/>
              </w:rPr>
            </w:pPr>
          </w:p>
        </w:tc>
        <w:tc>
          <w:tcPr>
            <w:tcW w:w="1205" w:type="dxa"/>
            <w:tcBorders>
              <w:bottom w:val="single" w:sz="4" w:space="0" w:color="auto"/>
            </w:tcBorders>
            <w:noWrap/>
            <w:vAlign w:val="bottom"/>
            <w:hideMark/>
          </w:tcPr>
          <w:p w:rsidR="0010222D" w:rsidRDefault="0010222D" w:rsidP="0010222D">
            <w:pPr>
              <w:rPr>
                <w:rFonts w:asciiTheme="minorHAnsi" w:eastAsiaTheme="minorEastAsia" w:hAnsiTheme="minorHAnsi" w:cstheme="minorBidi"/>
              </w:rPr>
            </w:pPr>
          </w:p>
        </w:tc>
        <w:tc>
          <w:tcPr>
            <w:tcW w:w="435" w:type="dxa"/>
            <w:tcBorders>
              <w:bottom w:val="single" w:sz="4" w:space="0" w:color="auto"/>
              <w:right w:val="single" w:sz="4" w:space="0" w:color="auto"/>
            </w:tcBorders>
            <w:noWrap/>
            <w:vAlign w:val="bottom"/>
            <w:hideMark/>
          </w:tcPr>
          <w:p w:rsidR="0010222D" w:rsidRDefault="0010222D" w:rsidP="0010222D">
            <w:pPr>
              <w:rPr>
                <w:rFonts w:asciiTheme="minorHAnsi" w:eastAsiaTheme="minorEastAsia" w:hAnsiTheme="minorHAnsi" w:cstheme="minorBidi"/>
              </w:rPr>
            </w:pPr>
          </w:p>
        </w:tc>
      </w:tr>
    </w:tbl>
    <w:p w:rsidR="0010222D" w:rsidRDefault="0010222D" w:rsidP="0010222D"/>
    <w:p w:rsidR="0010222D" w:rsidRDefault="0010222D" w:rsidP="0010222D">
      <w:pPr>
        <w:spacing w:line="320" w:lineRule="exact"/>
      </w:pPr>
    </w:p>
    <w:p w:rsidR="0010222D" w:rsidRDefault="00823C48" w:rsidP="00823C48">
      <w:pPr>
        <w:spacing w:line="360" w:lineRule="auto"/>
        <w:ind w:left="720"/>
        <w:jc w:val="both"/>
      </w:pPr>
      <w:r w:rsidRPr="00823C48">
        <w:rPr>
          <w:b/>
          <w:szCs w:val="24"/>
          <w:u w:val="single"/>
        </w:rPr>
        <w:t>Issue No. 5</w:t>
      </w:r>
      <w:r>
        <w:rPr>
          <w:szCs w:val="24"/>
        </w:rPr>
        <w:t xml:space="preserve">: </w:t>
      </w:r>
      <w:r w:rsidR="0010222D">
        <w:t xml:space="preserve">Public Counsel also identified some operations issues that would benefit from further investigation to clarify existing practices and consider any opportunities for improvement or modification.  One issue pertains to the residential weatherization program, where Avista’s program eligibility requirements state that contractor certification of existing condition is required (e.g. window u-factor, insulation R-value), but the samples reviewed during the July 7 on-site audit indicate the company is relying instead on customer provided information on the rebate form. </w:t>
      </w:r>
    </w:p>
    <w:p w:rsidR="0010222D" w:rsidRDefault="0010222D" w:rsidP="0010222D">
      <w:pPr>
        <w:spacing w:line="320" w:lineRule="exact"/>
        <w:jc w:val="both"/>
        <w:rPr>
          <w:b/>
        </w:rPr>
      </w:pPr>
    </w:p>
    <w:p w:rsidR="0010222D" w:rsidRDefault="00713B35" w:rsidP="005F2BB3">
      <w:pPr>
        <w:spacing w:line="360" w:lineRule="auto"/>
        <w:ind w:left="720"/>
        <w:jc w:val="both"/>
      </w:pPr>
      <w:r>
        <w:rPr>
          <w:b/>
        </w:rPr>
        <w:t xml:space="preserve">Avista </w:t>
      </w:r>
      <w:r w:rsidR="0010222D" w:rsidRPr="002D375C">
        <w:rPr>
          <w:b/>
        </w:rPr>
        <w:t>Response</w:t>
      </w:r>
      <w:r w:rsidR="00823C48">
        <w:rPr>
          <w:b/>
        </w:rPr>
        <w:t>/Resolution</w:t>
      </w:r>
      <w:r w:rsidR="0010222D" w:rsidRPr="002D375C">
        <w:rPr>
          <w:b/>
        </w:rPr>
        <w:t>:</w:t>
      </w:r>
      <w:r w:rsidR="00823C48">
        <w:t xml:space="preserve"> </w:t>
      </w:r>
      <w:r w:rsidR="0010222D">
        <w:t xml:space="preserve">Avista has revised its program eligibility requirements to correct this inconsistency and remove the reference to contractor certification.  Please see </w:t>
      </w:r>
      <w:r w:rsidR="0010222D">
        <w:lastRenderedPageBreak/>
        <w:t xml:space="preserve">Attachment B for </w:t>
      </w:r>
      <w:r w:rsidR="00BB1196">
        <w:t xml:space="preserve">the </w:t>
      </w:r>
      <w:r w:rsidR="0010222D">
        <w:t>revised form.</w:t>
      </w:r>
    </w:p>
    <w:p w:rsidR="0010222D" w:rsidRDefault="0010222D" w:rsidP="0010222D">
      <w:pPr>
        <w:spacing w:line="320" w:lineRule="exact"/>
        <w:jc w:val="both"/>
      </w:pPr>
    </w:p>
    <w:p w:rsidR="0010222D" w:rsidRDefault="00823C48" w:rsidP="00823C48">
      <w:pPr>
        <w:spacing w:line="360" w:lineRule="auto"/>
        <w:ind w:left="720"/>
        <w:jc w:val="both"/>
      </w:pPr>
      <w:r w:rsidRPr="00823C48">
        <w:rPr>
          <w:b/>
          <w:szCs w:val="24"/>
          <w:u w:val="single"/>
        </w:rPr>
        <w:t>Issue No. 6</w:t>
      </w:r>
      <w:r>
        <w:rPr>
          <w:szCs w:val="24"/>
        </w:rPr>
        <w:t xml:space="preserve">: </w:t>
      </w:r>
      <w:r w:rsidR="0010222D">
        <w:t>Another issue pertains to a large non-residential new construction project that included HVAC controls, with an incentive of $482,020</w:t>
      </w:r>
      <w:r w:rsidR="00713B35" w:rsidRPr="00713B35">
        <w:t xml:space="preserve"> </w:t>
      </w:r>
      <w:r w:rsidR="00713B35">
        <w:t>paid to the project owner.</w:t>
      </w:r>
      <w:r w:rsidR="0010222D">
        <w:t xml:space="preserve">  The verification report stated that the controls were in place but were not yet fully programmed. However, the project was considered installed and completed, and the incentive was paid.  The larger issue raised here is at what point should measures such as these controls, which require programming, be considered ‘fully installed and verified,’ and qualify for incentive payment. </w:t>
      </w:r>
    </w:p>
    <w:p w:rsidR="0010222D" w:rsidRDefault="0010222D" w:rsidP="0010222D">
      <w:pPr>
        <w:spacing w:line="320" w:lineRule="exact"/>
        <w:jc w:val="both"/>
      </w:pPr>
    </w:p>
    <w:p w:rsidR="0010222D" w:rsidRPr="009042AC" w:rsidRDefault="00713B35" w:rsidP="00823C48">
      <w:pPr>
        <w:spacing w:line="360" w:lineRule="auto"/>
        <w:ind w:left="720"/>
        <w:jc w:val="both"/>
      </w:pPr>
      <w:r>
        <w:rPr>
          <w:b/>
        </w:rPr>
        <w:t xml:space="preserve">Avista </w:t>
      </w:r>
      <w:r w:rsidR="0010222D" w:rsidRPr="009042AC">
        <w:rPr>
          <w:b/>
        </w:rPr>
        <w:t>Response</w:t>
      </w:r>
      <w:r w:rsidR="00823C48">
        <w:rPr>
          <w:b/>
        </w:rPr>
        <w:t>/Resolution</w:t>
      </w:r>
      <w:r w:rsidR="0010222D" w:rsidRPr="009042AC">
        <w:rPr>
          <w:b/>
        </w:rPr>
        <w:t>:</w:t>
      </w:r>
      <w:r w:rsidR="00823C48">
        <w:t xml:space="preserve"> </w:t>
      </w:r>
      <w:r w:rsidR="0010222D">
        <w:t xml:space="preserve">At the time the Company verified </w:t>
      </w:r>
      <w:r w:rsidR="0010222D" w:rsidRPr="009042AC">
        <w:t xml:space="preserve">the installation </w:t>
      </w:r>
      <w:r w:rsidR="0010222D">
        <w:t>that the</w:t>
      </w:r>
      <w:r w:rsidR="0010222D" w:rsidRPr="009042AC">
        <w:t xml:space="preserve"> controls had the capabilities analyzed and that they were to be implemented</w:t>
      </w:r>
      <w:r w:rsidR="0010222D">
        <w:t>,</w:t>
      </w:r>
      <w:r w:rsidR="0010222D" w:rsidRPr="009042AC">
        <w:t xml:space="preserve"> the controls contractor indicated that the programming </w:t>
      </w:r>
      <w:r w:rsidR="0010222D">
        <w:t>for the rest of the zones was in progress.</w:t>
      </w:r>
      <w:r w:rsidR="0010222D" w:rsidRPr="009042AC">
        <w:t xml:space="preserve"> As evidence of the programming that was being done, an </w:t>
      </w:r>
      <w:r w:rsidR="00D32E91">
        <w:t xml:space="preserve">installation verification </w:t>
      </w:r>
      <w:r w:rsidR="0010222D" w:rsidRPr="009042AC">
        <w:t xml:space="preserve">picture was taken showing the code of the programming that was being done.  Since the building had just been completed, the parameters for the equipment schedules based on occupancy were still being programmed as the building had yet to be occupied to its full capacity.  </w:t>
      </w:r>
      <w:r w:rsidR="0010222D">
        <w:t>This project will be evaluated by Avista’s third-party evaluator as part of the 2014-2015 impact evaluation and verification.</w:t>
      </w:r>
    </w:p>
    <w:p w:rsidR="0010222D" w:rsidRPr="009042AC" w:rsidRDefault="0010222D" w:rsidP="005F2BB3">
      <w:pPr>
        <w:spacing w:line="360" w:lineRule="auto"/>
        <w:ind w:left="720" w:hanging="360"/>
      </w:pPr>
    </w:p>
    <w:p w:rsidR="0010222D" w:rsidRPr="009042AC" w:rsidRDefault="0010222D" w:rsidP="005F2BB3">
      <w:pPr>
        <w:spacing w:line="360" w:lineRule="auto"/>
        <w:ind w:left="720"/>
        <w:jc w:val="both"/>
      </w:pPr>
      <w:r w:rsidRPr="009042AC">
        <w:t xml:space="preserve">According to </w:t>
      </w:r>
      <w:r>
        <w:t xml:space="preserve">Avista’s </w:t>
      </w:r>
      <w:proofErr w:type="spellStart"/>
      <w:r w:rsidRPr="009042AC">
        <w:t>SaleLogix</w:t>
      </w:r>
      <w:proofErr w:type="spellEnd"/>
      <w:r>
        <w:t xml:space="preserve"> tracking system</w:t>
      </w:r>
      <w:r w:rsidRPr="009042AC">
        <w:t>, the contract for this project was sent out in July of 2013 and returned signed in September 2013.  Also in September of 2013</w:t>
      </w:r>
      <w:r>
        <w:t>, the Company</w:t>
      </w:r>
      <w:r w:rsidRPr="009042AC">
        <w:t xml:space="preserve"> decided to switch to a performance contract for HVAC controls, based on both 2012 Cadmus Impact results for HVAC measures and some poor performing controls projects where the owners chose to use the system differently than the specified controls plan.  HVAC controls projects </w:t>
      </w:r>
      <w:r>
        <w:t xml:space="preserve">that were contracted beginning </w:t>
      </w:r>
      <w:r w:rsidRPr="009042AC">
        <w:t>January</w:t>
      </w:r>
      <w:r>
        <w:t xml:space="preserve"> 1,</w:t>
      </w:r>
      <w:r w:rsidRPr="009042AC">
        <w:t xml:space="preserve"> 2014 </w:t>
      </w:r>
      <w:r>
        <w:t>are</w:t>
      </w:r>
      <w:r w:rsidRPr="009042AC">
        <w:t xml:space="preserve"> performance based.  </w:t>
      </w:r>
      <w:r>
        <w:t>Avista determined</w:t>
      </w:r>
      <w:r w:rsidRPr="009042AC">
        <w:t xml:space="preserve"> that this </w:t>
      </w:r>
      <w:r>
        <w:t xml:space="preserve">approach </w:t>
      </w:r>
      <w:r w:rsidRPr="009042AC">
        <w:t>was the best way to capture the savings related to a controls measure because there can be a lot of interactive effects between all of the distribution HVAC equipment (i.e. fans, pumps, etc.).  In some cases there can be a lot of fine tuning that can happen on an ongoing basis at a facility to generate energy savings that our analysis method (</w:t>
      </w:r>
      <w:proofErr w:type="spellStart"/>
      <w:r w:rsidRPr="009042AC">
        <w:t>eQUEST</w:t>
      </w:r>
      <w:proofErr w:type="spellEnd"/>
      <w:r w:rsidRPr="009042AC">
        <w:t xml:space="preserve">) may not capture.  In other cases it can also be very difficult to differentiate energy savings from the replacement of high efficiency equipment (i.e. boilers, chillers, etc.) and the effect of the controls on </w:t>
      </w:r>
      <w:r w:rsidRPr="009042AC">
        <w:lastRenderedPageBreak/>
        <w:t xml:space="preserve">such equipment if the facility operator is very good at making continuous fine tuning adjustments.  </w:t>
      </w:r>
      <w:r>
        <w:t xml:space="preserve">Because controls projects are now performance-based, customer incentives are not paid until Avista has received sufficient confirmation of energy savings consistent with the contract.  </w:t>
      </w:r>
      <w:r w:rsidR="00F12172">
        <w:t>Accordingly, this resolves the issues presented relative to when a project of this type is considered “fully installed and verified” and therefore qualifying for an incentive payment.</w:t>
      </w:r>
    </w:p>
    <w:p w:rsidR="0010222D" w:rsidRDefault="0010222D" w:rsidP="0010222D">
      <w:pPr>
        <w:spacing w:line="320" w:lineRule="exact"/>
        <w:jc w:val="both"/>
      </w:pPr>
    </w:p>
    <w:p w:rsidR="0010222D" w:rsidRDefault="00823C48" w:rsidP="00823C48">
      <w:pPr>
        <w:spacing w:line="360" w:lineRule="auto"/>
        <w:ind w:left="720"/>
        <w:jc w:val="both"/>
      </w:pPr>
      <w:r w:rsidRPr="00823C48">
        <w:rPr>
          <w:b/>
          <w:szCs w:val="24"/>
          <w:u w:val="single"/>
        </w:rPr>
        <w:t>Issue No. 7</w:t>
      </w:r>
      <w:r>
        <w:rPr>
          <w:szCs w:val="24"/>
        </w:rPr>
        <w:t xml:space="preserve">: </w:t>
      </w:r>
      <w:r w:rsidR="0010222D">
        <w:t>The final issue is whether Avista’s procedures for authorizing expenditures should be modified to require not just a signature of the appropriate person (e.g. manager, director, or officer) but also the date that such authorization is provided.</w:t>
      </w:r>
    </w:p>
    <w:p w:rsidR="0010222D" w:rsidRDefault="0010222D" w:rsidP="0010222D">
      <w:pPr>
        <w:spacing w:line="320" w:lineRule="exact"/>
        <w:jc w:val="both"/>
      </w:pPr>
    </w:p>
    <w:p w:rsidR="0010222D" w:rsidRDefault="00713B35" w:rsidP="00CB1AC6">
      <w:pPr>
        <w:spacing w:line="360" w:lineRule="auto"/>
        <w:ind w:left="720"/>
        <w:jc w:val="both"/>
      </w:pPr>
      <w:r>
        <w:rPr>
          <w:b/>
        </w:rPr>
        <w:t xml:space="preserve">Avista </w:t>
      </w:r>
      <w:r w:rsidR="0010222D" w:rsidRPr="002D375C">
        <w:rPr>
          <w:b/>
        </w:rPr>
        <w:t>Response</w:t>
      </w:r>
      <w:r w:rsidR="00823C48">
        <w:rPr>
          <w:b/>
        </w:rPr>
        <w:t>/Resolution</w:t>
      </w:r>
      <w:r w:rsidR="0010222D" w:rsidRPr="002D375C">
        <w:rPr>
          <w:b/>
        </w:rPr>
        <w:t>:</w:t>
      </w:r>
      <w:r w:rsidR="00823C48">
        <w:rPr>
          <w:b/>
        </w:rPr>
        <w:t xml:space="preserve"> </w:t>
      </w:r>
      <w:r w:rsidR="0010222D">
        <w:t xml:space="preserve">Avista has agreed to revise its procedures to require that the authorization form include the signature and date of all individuals who authorize or approve expenditures. Please see Attachment C for revised form. </w:t>
      </w:r>
    </w:p>
    <w:p w:rsidR="0010222D" w:rsidRDefault="0010222D">
      <w:pPr>
        <w:spacing w:line="480" w:lineRule="auto"/>
        <w:jc w:val="both"/>
      </w:pPr>
    </w:p>
    <w:p w:rsidR="00D21F7B" w:rsidRDefault="00D24EB8">
      <w:pPr>
        <w:spacing w:line="480" w:lineRule="auto"/>
        <w:jc w:val="center"/>
        <w:rPr>
          <w:b/>
          <w:bCs/>
          <w:szCs w:val="24"/>
        </w:rPr>
      </w:pPr>
      <w:r>
        <w:rPr>
          <w:b/>
          <w:bCs/>
          <w:szCs w:val="24"/>
        </w:rPr>
        <w:t>V.</w:t>
      </w:r>
      <w:r w:rsidR="007E0EEE">
        <w:rPr>
          <w:b/>
          <w:bCs/>
          <w:szCs w:val="24"/>
        </w:rPr>
        <w:t xml:space="preserve">  </w:t>
      </w:r>
      <w:r>
        <w:rPr>
          <w:b/>
          <w:bCs/>
          <w:szCs w:val="24"/>
        </w:rPr>
        <w:t xml:space="preserve">EFFECT OF THE </w:t>
      </w:r>
      <w:r w:rsidR="008E51F3">
        <w:rPr>
          <w:b/>
          <w:bCs/>
          <w:szCs w:val="24"/>
        </w:rPr>
        <w:t>SETTLEMENT</w:t>
      </w:r>
      <w:r>
        <w:rPr>
          <w:b/>
          <w:bCs/>
          <w:szCs w:val="24"/>
        </w:rPr>
        <w:t xml:space="preserve"> STIPULATION</w:t>
      </w:r>
    </w:p>
    <w:p w:rsidR="00D21F7B" w:rsidRDefault="00D24EB8" w:rsidP="00CB1AC6">
      <w:pPr>
        <w:spacing w:line="480" w:lineRule="auto"/>
        <w:ind w:firstLine="720"/>
        <w:jc w:val="both"/>
        <w:rPr>
          <w:b/>
          <w:bCs/>
          <w:szCs w:val="24"/>
        </w:rPr>
      </w:pPr>
      <w:r>
        <w:rPr>
          <w:szCs w:val="24"/>
          <w:u w:val="single"/>
        </w:rPr>
        <w:t>Binding on Parties</w:t>
      </w:r>
      <w:r>
        <w:rPr>
          <w:szCs w:val="24"/>
        </w:rPr>
        <w:t xml:space="preserve">.  The Parties agree to support the terms of the </w:t>
      </w:r>
      <w:r w:rsidR="008E51F3">
        <w:rPr>
          <w:szCs w:val="24"/>
        </w:rPr>
        <w:t>Settlement</w:t>
      </w:r>
      <w:r>
        <w:t xml:space="preserve"> Stipulation</w:t>
      </w:r>
      <w:r>
        <w:rPr>
          <w:szCs w:val="24"/>
        </w:rPr>
        <w:t xml:space="preserve"> and recommend that the Commission issue an order adopting the </w:t>
      </w:r>
      <w:r w:rsidR="008E51F3">
        <w:rPr>
          <w:szCs w:val="24"/>
        </w:rPr>
        <w:t>Settlement</w:t>
      </w:r>
      <w:r>
        <w:t xml:space="preserve"> Stipulation</w:t>
      </w:r>
      <w:r>
        <w:rPr>
          <w:szCs w:val="24"/>
        </w:rPr>
        <w:t xml:space="preserve"> contained herein.  The Parties understand that this </w:t>
      </w:r>
      <w:r w:rsidR="008E51F3">
        <w:rPr>
          <w:szCs w:val="24"/>
        </w:rPr>
        <w:t>Settlement</w:t>
      </w:r>
      <w:r>
        <w:t xml:space="preserve"> Stipulation</w:t>
      </w:r>
      <w:r>
        <w:rPr>
          <w:szCs w:val="24"/>
        </w:rPr>
        <w:t xml:space="preserve"> is subject to Commission approval. The Parties agree that this </w:t>
      </w:r>
      <w:r w:rsidR="008E51F3">
        <w:rPr>
          <w:szCs w:val="24"/>
        </w:rPr>
        <w:t>Settlement</w:t>
      </w:r>
      <w:r>
        <w:t xml:space="preserve"> Stipulation</w:t>
      </w:r>
      <w:r>
        <w:rPr>
          <w:szCs w:val="24"/>
        </w:rPr>
        <w:t xml:space="preserve"> represents a compromise in the positions of the Parties.  </w:t>
      </w:r>
    </w:p>
    <w:p w:rsidR="00D21F7B" w:rsidRDefault="00D24EB8" w:rsidP="00CB1AC6">
      <w:pPr>
        <w:spacing w:line="480" w:lineRule="auto"/>
        <w:ind w:firstLine="720"/>
        <w:jc w:val="both"/>
        <w:rPr>
          <w:szCs w:val="24"/>
        </w:rPr>
      </w:pPr>
      <w:r>
        <w:rPr>
          <w:szCs w:val="24"/>
          <w:u w:val="single"/>
        </w:rPr>
        <w:t xml:space="preserve">Integrated Terms of </w:t>
      </w:r>
      <w:r w:rsidR="008E51F3">
        <w:rPr>
          <w:szCs w:val="24"/>
          <w:u w:val="single"/>
        </w:rPr>
        <w:t>Settlement</w:t>
      </w:r>
      <w:r>
        <w:rPr>
          <w:szCs w:val="24"/>
        </w:rPr>
        <w:t xml:space="preserve">.  The Parties have negotiated this </w:t>
      </w:r>
      <w:r w:rsidR="008E51F3">
        <w:rPr>
          <w:szCs w:val="24"/>
        </w:rPr>
        <w:t>Settlement</w:t>
      </w:r>
      <w:r>
        <w:t xml:space="preserve"> Stipulation</w:t>
      </w:r>
      <w:r>
        <w:rPr>
          <w:szCs w:val="24"/>
        </w:rPr>
        <w:t xml:space="preserve"> as an integrated document.  Accordingly, the Parties recommend that the Commission adopt this </w:t>
      </w:r>
      <w:r w:rsidR="008E51F3">
        <w:rPr>
          <w:szCs w:val="24"/>
        </w:rPr>
        <w:t>Settlement</w:t>
      </w:r>
      <w:r>
        <w:t xml:space="preserve"> Stipulation</w:t>
      </w:r>
      <w:r>
        <w:rPr>
          <w:szCs w:val="24"/>
        </w:rPr>
        <w:t xml:space="preserve"> in its entirety.  Each Party has participated in the drafting of this </w:t>
      </w:r>
      <w:r w:rsidR="008E51F3">
        <w:rPr>
          <w:szCs w:val="24"/>
        </w:rPr>
        <w:t>Settlement</w:t>
      </w:r>
      <w:r>
        <w:rPr>
          <w:szCs w:val="24"/>
        </w:rPr>
        <w:t xml:space="preserve"> Stipulation, so it should not be construed in favor of, or against, any particular Party. </w:t>
      </w:r>
    </w:p>
    <w:p w:rsidR="00D21F7B" w:rsidRDefault="00D24EB8" w:rsidP="00CB1AC6">
      <w:pPr>
        <w:spacing w:line="480" w:lineRule="auto"/>
        <w:ind w:firstLine="720"/>
        <w:jc w:val="both"/>
        <w:rPr>
          <w:szCs w:val="24"/>
        </w:rPr>
      </w:pPr>
      <w:r>
        <w:rPr>
          <w:szCs w:val="24"/>
          <w:u w:val="single"/>
        </w:rPr>
        <w:t>Public Interest</w:t>
      </w:r>
      <w:r>
        <w:rPr>
          <w:szCs w:val="24"/>
        </w:rPr>
        <w:t xml:space="preserve">.  The Parties agree that this </w:t>
      </w:r>
      <w:r w:rsidR="008E51F3">
        <w:rPr>
          <w:szCs w:val="24"/>
        </w:rPr>
        <w:t>Settlement</w:t>
      </w:r>
      <w:r>
        <w:t xml:space="preserve"> Stipulation</w:t>
      </w:r>
      <w:r>
        <w:rPr>
          <w:szCs w:val="24"/>
        </w:rPr>
        <w:t xml:space="preserve"> is in the public interest. </w:t>
      </w:r>
    </w:p>
    <w:p w:rsidR="00D21F7B" w:rsidRDefault="00D24EB8">
      <w:pPr>
        <w:spacing w:line="480" w:lineRule="auto"/>
        <w:jc w:val="both"/>
        <w:rPr>
          <w:szCs w:val="24"/>
        </w:rPr>
      </w:pPr>
      <w:r>
        <w:rPr>
          <w:szCs w:val="24"/>
        </w:rPr>
        <w:t xml:space="preserve">Entered into this ______day of </w:t>
      </w:r>
      <w:r w:rsidR="004229D3">
        <w:rPr>
          <w:szCs w:val="24"/>
        </w:rPr>
        <w:t>October</w:t>
      </w:r>
      <w:r w:rsidR="0037195E">
        <w:rPr>
          <w:szCs w:val="24"/>
        </w:rPr>
        <w:t xml:space="preserve"> </w:t>
      </w:r>
      <w:r>
        <w:rPr>
          <w:szCs w:val="24"/>
        </w:rPr>
        <w:t>2015.</w:t>
      </w:r>
    </w:p>
    <w:p w:rsidR="00D21F7B" w:rsidRDefault="00D24EB8">
      <w:pPr>
        <w:ind w:left="720" w:firstLine="720"/>
        <w:jc w:val="both"/>
        <w:rPr>
          <w:szCs w:val="24"/>
          <w:u w:val="single"/>
        </w:rPr>
      </w:pPr>
      <w:r>
        <w:rPr>
          <w:szCs w:val="24"/>
          <w:u w:val="single"/>
        </w:rPr>
        <w:br w:type="page"/>
      </w:r>
      <w:r>
        <w:rPr>
          <w:szCs w:val="24"/>
          <w:u w:val="single"/>
        </w:rPr>
        <w:lastRenderedPageBreak/>
        <w:t>Company</w:t>
      </w:r>
      <w:r>
        <w:rPr>
          <w:szCs w:val="24"/>
        </w:rPr>
        <w:t>:</w:t>
      </w:r>
      <w:r>
        <w:rPr>
          <w:szCs w:val="24"/>
        </w:rPr>
        <w:tab/>
      </w:r>
      <w:r>
        <w:rPr>
          <w:szCs w:val="24"/>
        </w:rPr>
        <w:tab/>
      </w:r>
      <w:r>
        <w:rPr>
          <w:szCs w:val="24"/>
        </w:rPr>
        <w:tab/>
        <w:t>By: ________________________________</w:t>
      </w:r>
    </w:p>
    <w:p w:rsidR="00D21F7B" w:rsidRDefault="00D24EB8">
      <w:pPr>
        <w:ind w:left="3600" w:firstLine="720"/>
        <w:rPr>
          <w:szCs w:val="24"/>
        </w:rPr>
      </w:pPr>
      <w:r>
        <w:rPr>
          <w:szCs w:val="24"/>
        </w:rPr>
        <w:t>David J. Meyer</w:t>
      </w:r>
    </w:p>
    <w:p w:rsidR="00D21F7B" w:rsidRDefault="00D24EB8">
      <w:pPr>
        <w:ind w:left="4320"/>
        <w:rPr>
          <w:szCs w:val="24"/>
        </w:rPr>
      </w:pPr>
      <w:r>
        <w:rPr>
          <w:szCs w:val="24"/>
        </w:rPr>
        <w:t>VP, Chief Counsel for Regulatory and Governmental Affairs</w:t>
      </w:r>
    </w:p>
    <w:p w:rsidR="00D21F7B" w:rsidRDefault="00D21F7B">
      <w:pPr>
        <w:ind w:left="4320"/>
        <w:rPr>
          <w:szCs w:val="24"/>
        </w:rPr>
      </w:pPr>
    </w:p>
    <w:p w:rsidR="00D21F7B" w:rsidRDefault="00D21F7B">
      <w:pPr>
        <w:ind w:left="4320"/>
        <w:rPr>
          <w:szCs w:val="24"/>
        </w:rPr>
      </w:pPr>
    </w:p>
    <w:p w:rsidR="00D21F7B" w:rsidRDefault="00D24EB8">
      <w:pPr>
        <w:ind w:left="720" w:firstLine="720"/>
        <w:rPr>
          <w:szCs w:val="24"/>
        </w:rPr>
      </w:pPr>
      <w:r>
        <w:rPr>
          <w:szCs w:val="24"/>
          <w:u w:val="single"/>
        </w:rPr>
        <w:t>Staff</w:t>
      </w:r>
      <w:r>
        <w:rPr>
          <w:szCs w:val="24"/>
        </w:rPr>
        <w:t>:</w:t>
      </w:r>
      <w:r>
        <w:rPr>
          <w:szCs w:val="24"/>
        </w:rPr>
        <w:tab/>
      </w:r>
      <w:r>
        <w:rPr>
          <w:szCs w:val="24"/>
        </w:rPr>
        <w:tab/>
      </w:r>
      <w:r>
        <w:rPr>
          <w:szCs w:val="24"/>
        </w:rPr>
        <w:tab/>
      </w:r>
      <w:r>
        <w:rPr>
          <w:szCs w:val="24"/>
        </w:rPr>
        <w:tab/>
        <w:t>By: ________________________________</w:t>
      </w:r>
    </w:p>
    <w:p w:rsidR="00D21F7B" w:rsidRDefault="00D24EB8">
      <w:pPr>
        <w:ind w:left="3600" w:firstLine="720"/>
        <w:rPr>
          <w:szCs w:val="24"/>
        </w:rPr>
      </w:pPr>
      <w:r>
        <w:rPr>
          <w:szCs w:val="24"/>
        </w:rPr>
        <w:t>Patrick J. Oshie</w:t>
      </w:r>
    </w:p>
    <w:p w:rsidR="00D21F7B" w:rsidRDefault="00D24EB8">
      <w:pPr>
        <w:ind w:left="3600" w:firstLine="720"/>
        <w:rPr>
          <w:szCs w:val="24"/>
        </w:rPr>
      </w:pPr>
      <w:r>
        <w:rPr>
          <w:szCs w:val="24"/>
        </w:rPr>
        <w:t>Assistant Attorney General</w:t>
      </w:r>
    </w:p>
    <w:p w:rsidR="00D21F7B" w:rsidRDefault="00D21F7B">
      <w:pPr>
        <w:ind w:left="720" w:firstLine="720"/>
        <w:rPr>
          <w:szCs w:val="24"/>
          <w:u w:val="single"/>
        </w:rPr>
      </w:pPr>
    </w:p>
    <w:p w:rsidR="00D21F7B" w:rsidRDefault="00D21F7B">
      <w:pPr>
        <w:ind w:left="720" w:firstLine="720"/>
        <w:rPr>
          <w:szCs w:val="24"/>
          <w:u w:val="single"/>
        </w:rPr>
      </w:pPr>
    </w:p>
    <w:p w:rsidR="00D21F7B" w:rsidRDefault="00D24EB8">
      <w:pPr>
        <w:ind w:left="720" w:firstLine="720"/>
        <w:rPr>
          <w:szCs w:val="24"/>
        </w:rPr>
      </w:pPr>
      <w:r>
        <w:rPr>
          <w:szCs w:val="24"/>
          <w:u w:val="single"/>
        </w:rPr>
        <w:t>Public Counsel</w:t>
      </w:r>
      <w:r>
        <w:rPr>
          <w:szCs w:val="24"/>
        </w:rPr>
        <w:t>:</w:t>
      </w:r>
      <w:r>
        <w:rPr>
          <w:szCs w:val="24"/>
        </w:rPr>
        <w:tab/>
      </w:r>
      <w:r>
        <w:rPr>
          <w:szCs w:val="24"/>
        </w:rPr>
        <w:tab/>
        <w:t>By: ________________________________</w:t>
      </w:r>
    </w:p>
    <w:p w:rsidR="00D21F7B" w:rsidRDefault="00CB1AC6">
      <w:pPr>
        <w:ind w:left="3600" w:firstLine="720"/>
        <w:rPr>
          <w:szCs w:val="24"/>
        </w:rPr>
      </w:pPr>
      <w:r>
        <w:rPr>
          <w:szCs w:val="24"/>
        </w:rPr>
        <w:t>Simon ffitch</w:t>
      </w:r>
    </w:p>
    <w:p w:rsidR="00D21F7B" w:rsidRDefault="00D24EB8" w:rsidP="004229D3">
      <w:pPr>
        <w:ind w:left="3600" w:firstLine="720"/>
        <w:rPr>
          <w:szCs w:val="24"/>
        </w:rPr>
      </w:pPr>
      <w:r>
        <w:rPr>
          <w:szCs w:val="24"/>
        </w:rPr>
        <w:t>Assistant Attorney General</w:t>
      </w:r>
    </w:p>
    <w:p w:rsidR="00D21F7B" w:rsidRDefault="00D21F7B">
      <w:pPr>
        <w:ind w:left="4320"/>
        <w:rPr>
          <w:szCs w:val="24"/>
        </w:rPr>
      </w:pPr>
    </w:p>
    <w:p w:rsidR="00D21F7B" w:rsidRDefault="00D21F7B">
      <w:pPr>
        <w:ind w:left="4320"/>
        <w:rPr>
          <w:szCs w:val="24"/>
        </w:rPr>
      </w:pPr>
    </w:p>
    <w:p w:rsidR="00D21F7B" w:rsidRDefault="00D21F7B">
      <w:pPr>
        <w:ind w:left="3600" w:firstLine="720"/>
        <w:rPr>
          <w:szCs w:val="24"/>
          <w:lang w:val="es-ES"/>
        </w:rPr>
      </w:pPr>
    </w:p>
    <w:p w:rsidR="00D21F7B" w:rsidRDefault="00D21F7B">
      <w:pPr>
        <w:tabs>
          <w:tab w:val="left" w:pos="720"/>
        </w:tabs>
        <w:spacing w:line="480" w:lineRule="auto"/>
      </w:pPr>
    </w:p>
    <w:p w:rsidR="00D21F7B" w:rsidRDefault="00D21F7B">
      <w:pPr>
        <w:spacing w:line="480" w:lineRule="auto"/>
        <w:jc w:val="center"/>
      </w:pPr>
    </w:p>
    <w:sectPr w:rsidR="00D21F7B" w:rsidSect="00D21F7B">
      <w:footerReference w:type="default" r:id="rId8"/>
      <w:endnotePr>
        <w:numFmt w:val="decimal"/>
      </w:endnotePr>
      <w:pgSz w:w="12240" w:h="15840" w:code="1"/>
      <w:pgMar w:top="990" w:right="1440" w:bottom="1440" w:left="1440" w:header="1008" w:footer="1008"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ED9" w:rsidRDefault="00A91ED9">
      <w:r>
        <w:separator/>
      </w:r>
    </w:p>
  </w:endnote>
  <w:endnote w:type="continuationSeparator" w:id="0">
    <w:p w:rsidR="00A91ED9" w:rsidRDefault="00A91E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E91" w:rsidRDefault="00D32E91">
    <w:pPr>
      <w:pStyle w:val="Footer"/>
      <w:rPr>
        <w:sz w:val="20"/>
      </w:rPr>
    </w:pPr>
    <w:r>
      <w:rPr>
        <w:sz w:val="20"/>
      </w:rPr>
      <w:t xml:space="preserve">MULTIPARTY SETTLEMENT STIPULATION – </w:t>
    </w:r>
    <w:r w:rsidR="003F5B57">
      <w:rPr>
        <w:rStyle w:val="PageNumber"/>
        <w:sz w:val="20"/>
      </w:rPr>
      <w:fldChar w:fldCharType="begin"/>
    </w:r>
    <w:r>
      <w:rPr>
        <w:rStyle w:val="PageNumber"/>
        <w:sz w:val="20"/>
      </w:rPr>
      <w:instrText xml:space="preserve"> PAGE </w:instrText>
    </w:r>
    <w:r w:rsidR="003F5B57">
      <w:rPr>
        <w:rStyle w:val="PageNumber"/>
        <w:sz w:val="20"/>
      </w:rPr>
      <w:fldChar w:fldCharType="separate"/>
    </w:r>
    <w:r w:rsidR="00425C70">
      <w:rPr>
        <w:rStyle w:val="PageNumber"/>
        <w:noProof/>
        <w:sz w:val="20"/>
      </w:rPr>
      <w:t>8</w:t>
    </w:r>
    <w:r w:rsidR="003F5B57">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ED9" w:rsidRDefault="00A91ED9">
      <w:r>
        <w:separator/>
      </w:r>
    </w:p>
  </w:footnote>
  <w:footnote w:type="continuationSeparator" w:id="0">
    <w:p w:rsidR="00A91ED9" w:rsidRDefault="00A91ED9">
      <w:r>
        <w:continuationSeparator/>
      </w:r>
    </w:p>
  </w:footnote>
  <w:footnote w:id="1">
    <w:p w:rsidR="00D32E91" w:rsidRDefault="00D32E91" w:rsidP="00823C48">
      <w:pPr>
        <w:pStyle w:val="FootnoteText"/>
        <w:jc w:val="both"/>
      </w:pPr>
      <w:r w:rsidRPr="00823C48">
        <w:rPr>
          <w:rStyle w:val="FootnoteReference"/>
          <w:vertAlign w:val="superscript"/>
        </w:rPr>
        <w:footnoteRef/>
      </w:r>
      <w:r>
        <w:t xml:space="preserve">  The Industrial Customers of Northwest Utilities also intervened in this proceeding, and, while not a signatory, does not oppose the Settlement. </w:t>
      </w:r>
    </w:p>
  </w:footnote>
  <w:footnote w:id="2">
    <w:p w:rsidR="00D32E91" w:rsidRDefault="00D32E91">
      <w:pPr>
        <w:pStyle w:val="FootnoteText"/>
      </w:pPr>
      <w:r w:rsidRPr="00591D83">
        <w:rPr>
          <w:rStyle w:val="FootnoteReference"/>
          <w:vertAlign w:val="superscript"/>
        </w:rPr>
        <w:footnoteRef/>
      </w:r>
      <w:r>
        <w:t xml:space="preserve"> </w:t>
      </w:r>
      <w:r w:rsidRPr="00120DB8">
        <w:t>Docket UE-132045, filed October 31, 2014.</w:t>
      </w:r>
      <w:r>
        <w:t xml:space="preserve"> </w:t>
      </w:r>
    </w:p>
  </w:footnote>
  <w:footnote w:id="3">
    <w:p w:rsidR="00D32E91" w:rsidRDefault="00D32E91" w:rsidP="007E0EEE">
      <w:pPr>
        <w:pStyle w:val="FootnoteText"/>
        <w:jc w:val="both"/>
      </w:pPr>
      <w:r w:rsidRPr="00295946">
        <w:rPr>
          <w:rStyle w:val="FootnoteReference"/>
          <w:vertAlign w:val="superscript"/>
        </w:rPr>
        <w:footnoteRef/>
      </w:r>
      <w:r>
        <w:t xml:space="preserve"> The narrative contained in Section IV is mean</w:t>
      </w:r>
      <w:r w:rsidR="00295946">
        <w:t>t</w:t>
      </w:r>
      <w:r>
        <w:t xml:space="preserve"> to satisfy the requirements of WAC 480-07-740 with respect to supporting documentation.  The Parties will offer to present one or more witnesses to testify in support of the Settlement, if requested.</w:t>
      </w:r>
    </w:p>
  </w:footnote>
  <w:footnote w:id="4">
    <w:p w:rsidR="00D32E91" w:rsidRDefault="00D32E91" w:rsidP="0010222D">
      <w:pPr>
        <w:pStyle w:val="FootnoteText"/>
      </w:pPr>
      <w:r w:rsidRPr="00591D83">
        <w:rPr>
          <w:rStyle w:val="FootnoteReference"/>
          <w:vertAlign w:val="superscript"/>
        </w:rPr>
        <w:footnoteRef/>
      </w:r>
      <w:r w:rsidRPr="00591D83">
        <w:rPr>
          <w:vertAlign w:val="superscript"/>
        </w:rPr>
        <w:t xml:space="preserve"> </w:t>
      </w:r>
      <w:r>
        <w:t>Washington’s share of the Annual License Fee.</w:t>
      </w:r>
    </w:p>
  </w:footnote>
  <w:footnote w:id="5">
    <w:p w:rsidR="00D32E91" w:rsidRDefault="00D32E91">
      <w:pPr>
        <w:pStyle w:val="FootnoteText"/>
      </w:pPr>
      <w:r w:rsidRPr="007E0EEE">
        <w:rPr>
          <w:rStyle w:val="FootnoteReference"/>
          <w:vertAlign w:val="superscript"/>
        </w:rPr>
        <w:footnoteRef/>
      </w:r>
      <w:r>
        <w:t xml:space="preserve"> The worksheet demonstrating the current and projected balances for Schedule 191  is provided as Attachment 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0FD"/>
    <w:multiLevelType w:val="hybridMultilevel"/>
    <w:tmpl w:val="D86C59B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222086"/>
    <w:multiLevelType w:val="hybridMultilevel"/>
    <w:tmpl w:val="57942138"/>
    <w:lvl w:ilvl="0" w:tplc="04090019">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FD2C18"/>
    <w:multiLevelType w:val="hybridMultilevel"/>
    <w:tmpl w:val="1C96EC2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CF7B59"/>
    <w:multiLevelType w:val="hybridMultilevel"/>
    <w:tmpl w:val="C28859EC"/>
    <w:lvl w:ilvl="0" w:tplc="04090001">
      <w:start w:val="1"/>
      <w:numFmt w:val="bullet"/>
      <w:lvlText w:val=""/>
      <w:lvlJc w:val="left"/>
      <w:pPr>
        <w:ind w:left="2340" w:hanging="360"/>
      </w:pPr>
      <w:rPr>
        <w:rFonts w:ascii="Symbol" w:hAnsi="Symbol" w:hint="default"/>
      </w:rPr>
    </w:lvl>
    <w:lvl w:ilvl="1" w:tplc="0409001B">
      <w:start w:val="1"/>
      <w:numFmt w:val="lowerRoman"/>
      <w:lvlText w:val="%2."/>
      <w:lvlJc w:val="right"/>
      <w:pPr>
        <w:ind w:left="3060" w:hanging="360"/>
      </w:pPr>
    </w:lvl>
    <w:lvl w:ilvl="2" w:tplc="04090001">
      <w:start w:val="1"/>
      <w:numFmt w:val="bullet"/>
      <w:lvlText w:val=""/>
      <w:lvlJc w:val="left"/>
      <w:pPr>
        <w:ind w:left="3780" w:hanging="180"/>
      </w:pPr>
      <w:rPr>
        <w:rFonts w:ascii="Symbol" w:hAnsi="Symbol"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397D2E02"/>
    <w:multiLevelType w:val="hybridMultilevel"/>
    <w:tmpl w:val="32C05444"/>
    <w:lvl w:ilvl="0" w:tplc="6C708A72">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662124"/>
    <w:multiLevelType w:val="hybridMultilevel"/>
    <w:tmpl w:val="912A6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C74F30"/>
    <w:multiLevelType w:val="hybridMultilevel"/>
    <w:tmpl w:val="334A25E8"/>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9E78BE"/>
    <w:multiLevelType w:val="hybridMultilevel"/>
    <w:tmpl w:val="BDDC389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DD49E0"/>
    <w:multiLevelType w:val="hybridMultilevel"/>
    <w:tmpl w:val="E7B0F3AA"/>
    <w:lvl w:ilvl="0" w:tplc="A04E4354">
      <w:start w:val="1"/>
      <w:numFmt w:val="upperRoman"/>
      <w:lvlText w:val="%1."/>
      <w:lvlJc w:val="left"/>
      <w:pPr>
        <w:tabs>
          <w:tab w:val="num" w:pos="1440"/>
        </w:tabs>
        <w:ind w:left="1440" w:hanging="720"/>
      </w:pPr>
      <w:rPr>
        <w:rFonts w:cs="Times New Roman" w:hint="default"/>
      </w:rPr>
    </w:lvl>
    <w:lvl w:ilvl="1" w:tplc="753AA8C0">
      <w:start w:val="1"/>
      <w:numFmt w:val="decimal"/>
      <w:lvlText w:val="%2."/>
      <w:lvlJc w:val="left"/>
      <w:pPr>
        <w:tabs>
          <w:tab w:val="num" w:pos="1980"/>
        </w:tabs>
        <w:ind w:left="1980" w:hanging="54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56000EE5"/>
    <w:multiLevelType w:val="hybridMultilevel"/>
    <w:tmpl w:val="2A1A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3E326E"/>
    <w:multiLevelType w:val="hybridMultilevel"/>
    <w:tmpl w:val="9B720B02"/>
    <w:lvl w:ilvl="0" w:tplc="6C708A72">
      <w:start w:val="1"/>
      <w:numFmt w:val="lowerRoman"/>
      <w:lvlText w:val="(%1.)"/>
      <w:lvlJc w:val="left"/>
      <w:pPr>
        <w:ind w:left="180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76033E8"/>
    <w:multiLevelType w:val="hybridMultilevel"/>
    <w:tmpl w:val="BA90A5B8"/>
    <w:lvl w:ilvl="0" w:tplc="6C708A72">
      <w:start w:val="1"/>
      <w:numFmt w:val="lowerRoman"/>
      <w:lvlText w:val="(%1.)"/>
      <w:lvlJc w:val="left"/>
      <w:pPr>
        <w:ind w:left="1440" w:hanging="360"/>
      </w:pPr>
      <w:rPr>
        <w:rFonts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0B07080"/>
    <w:multiLevelType w:val="hybridMultilevel"/>
    <w:tmpl w:val="6F64C8E2"/>
    <w:lvl w:ilvl="0" w:tplc="04090017">
      <w:start w:val="1"/>
      <w:numFmt w:val="lowerLetter"/>
      <w:lvlText w:val="%1)"/>
      <w:lvlJc w:val="left"/>
      <w:pPr>
        <w:ind w:left="720" w:hanging="360"/>
      </w:pPr>
      <w:rPr>
        <w:rFonts w:hint="default"/>
      </w:rPr>
    </w:lvl>
    <w:lvl w:ilvl="1" w:tplc="6C708A72">
      <w:start w:val="1"/>
      <w:numFmt w:val="lowerRoman"/>
      <w:lvlText w:val="(%2.)"/>
      <w:lvlJc w:val="left"/>
      <w:pPr>
        <w:ind w:left="1440" w:hanging="360"/>
      </w:pPr>
      <w:rPr>
        <w:rFonts w:cs="Times New Roman" w:hint="default"/>
      </w:rPr>
    </w:lvl>
    <w:lvl w:ilvl="2" w:tplc="6C708A72">
      <w:start w:val="1"/>
      <w:numFmt w:val="lowerRoman"/>
      <w:lvlText w:val="(%3.)"/>
      <w:lvlJc w:val="left"/>
      <w:pPr>
        <w:ind w:left="2160" w:hanging="180"/>
      </w:pPr>
      <w:rPr>
        <w:rFonts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12"/>
  </w:num>
  <w:num w:numId="4">
    <w:abstractNumId w:val="3"/>
  </w:num>
  <w:num w:numId="5">
    <w:abstractNumId w:val="6"/>
  </w:num>
  <w:num w:numId="6">
    <w:abstractNumId w:val="7"/>
  </w:num>
  <w:num w:numId="7">
    <w:abstractNumId w:val="4"/>
  </w:num>
  <w:num w:numId="8">
    <w:abstractNumId w:val="2"/>
  </w:num>
  <w:num w:numId="9">
    <w:abstractNumId w:val="11"/>
  </w:num>
  <w:num w:numId="10">
    <w:abstractNumId w:val="0"/>
  </w:num>
  <w:num w:numId="11">
    <w:abstractNumId w:val="10"/>
  </w:num>
  <w:num w:numId="12">
    <w:abstractNumId w:val="9"/>
  </w:num>
  <w:num w:numId="13">
    <w:abstractNumId w:val="5"/>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bulko, Bradley (UTC)">
    <w15:presenceInfo w15:providerId="AD" w15:userId="S-1-5-21-1844237615-1844823847-839522115-39533"/>
  </w15:person>
  <w15:person w15:author="Oshie, Patrick (UTC)">
    <w15:presenceInfo w15:providerId="AD" w15:userId="S-1-5-21-1844237615-1844823847-839522115-1200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trackRevisions/>
  <w:defaultTabStop w:val="720"/>
  <w:doNotHyphenateCaps/>
  <w:drawingGridHorizontalSpacing w:val="120"/>
  <w:drawingGridVerticalSpacing w:val="0"/>
  <w:displayHorizontalDrawingGridEvery w:val="0"/>
  <w:displayVerticalDrawingGridEvery w:val="0"/>
  <w:doNotShadeFormData/>
  <w:characterSpacingControl w:val="doNotCompress"/>
  <w:hdrShapeDefaults>
    <o:shapedefaults v:ext="edit" spidmax="4097"/>
  </w:hdrShapeDefaults>
  <w:footnotePr>
    <w:footnote w:id="-1"/>
    <w:footnote w:id="0"/>
  </w:footnotePr>
  <w:endnotePr>
    <w:numFmt w:val="decimal"/>
    <w:endnote w:id="-1"/>
    <w:endnote w:id="0"/>
  </w:endnotePr>
  <w:compat/>
  <w:rsids>
    <w:rsidRoot w:val="00D21F7B"/>
    <w:rsid w:val="00023863"/>
    <w:rsid w:val="00045935"/>
    <w:rsid w:val="000B134C"/>
    <w:rsid w:val="0010222D"/>
    <w:rsid w:val="00120DB8"/>
    <w:rsid w:val="001418D0"/>
    <w:rsid w:val="0014718E"/>
    <w:rsid w:val="00147AA7"/>
    <w:rsid w:val="00181A0A"/>
    <w:rsid w:val="001A69EC"/>
    <w:rsid w:val="001C1108"/>
    <w:rsid w:val="00220B53"/>
    <w:rsid w:val="00245117"/>
    <w:rsid w:val="00284475"/>
    <w:rsid w:val="00295946"/>
    <w:rsid w:val="002C3C06"/>
    <w:rsid w:val="002D6603"/>
    <w:rsid w:val="00331B77"/>
    <w:rsid w:val="00345491"/>
    <w:rsid w:val="0037195E"/>
    <w:rsid w:val="003B320A"/>
    <w:rsid w:val="003C3796"/>
    <w:rsid w:val="003D265F"/>
    <w:rsid w:val="003E58B9"/>
    <w:rsid w:val="003F5B57"/>
    <w:rsid w:val="004229D3"/>
    <w:rsid w:val="00425C70"/>
    <w:rsid w:val="00427D5C"/>
    <w:rsid w:val="0046128C"/>
    <w:rsid w:val="0047013B"/>
    <w:rsid w:val="00567B3C"/>
    <w:rsid w:val="00591D83"/>
    <w:rsid w:val="005E1039"/>
    <w:rsid w:val="005E247E"/>
    <w:rsid w:val="005F2BB3"/>
    <w:rsid w:val="005F5F0D"/>
    <w:rsid w:val="006225A9"/>
    <w:rsid w:val="00686FB0"/>
    <w:rsid w:val="006B0429"/>
    <w:rsid w:val="006B0A0D"/>
    <w:rsid w:val="006C4476"/>
    <w:rsid w:val="006C7EAF"/>
    <w:rsid w:val="006F7CBB"/>
    <w:rsid w:val="00713B35"/>
    <w:rsid w:val="007410EE"/>
    <w:rsid w:val="00743FDE"/>
    <w:rsid w:val="00751C2F"/>
    <w:rsid w:val="007A2AB8"/>
    <w:rsid w:val="007B1E15"/>
    <w:rsid w:val="007B410A"/>
    <w:rsid w:val="007D20C4"/>
    <w:rsid w:val="007E0EEE"/>
    <w:rsid w:val="007F2FE4"/>
    <w:rsid w:val="00800C47"/>
    <w:rsid w:val="00823C48"/>
    <w:rsid w:val="0085584F"/>
    <w:rsid w:val="008A064A"/>
    <w:rsid w:val="008B1FDB"/>
    <w:rsid w:val="008C571D"/>
    <w:rsid w:val="008E51F3"/>
    <w:rsid w:val="009126E7"/>
    <w:rsid w:val="00942D02"/>
    <w:rsid w:val="009834ED"/>
    <w:rsid w:val="00A00CA8"/>
    <w:rsid w:val="00A4571D"/>
    <w:rsid w:val="00A46F56"/>
    <w:rsid w:val="00A75776"/>
    <w:rsid w:val="00A85B7C"/>
    <w:rsid w:val="00A86258"/>
    <w:rsid w:val="00A86710"/>
    <w:rsid w:val="00A91ED9"/>
    <w:rsid w:val="00AA2DC5"/>
    <w:rsid w:val="00B660F9"/>
    <w:rsid w:val="00B70649"/>
    <w:rsid w:val="00BB1196"/>
    <w:rsid w:val="00BD3467"/>
    <w:rsid w:val="00BD4198"/>
    <w:rsid w:val="00BF47D3"/>
    <w:rsid w:val="00C052FE"/>
    <w:rsid w:val="00C202C4"/>
    <w:rsid w:val="00C7411B"/>
    <w:rsid w:val="00C80749"/>
    <w:rsid w:val="00CA5560"/>
    <w:rsid w:val="00CB1AC6"/>
    <w:rsid w:val="00D037DA"/>
    <w:rsid w:val="00D13288"/>
    <w:rsid w:val="00D21F7B"/>
    <w:rsid w:val="00D24EB8"/>
    <w:rsid w:val="00D32E91"/>
    <w:rsid w:val="00DB7AA3"/>
    <w:rsid w:val="00DC202E"/>
    <w:rsid w:val="00DF61C3"/>
    <w:rsid w:val="00E71659"/>
    <w:rsid w:val="00F04F68"/>
    <w:rsid w:val="00F12172"/>
    <w:rsid w:val="00F166E6"/>
    <w:rsid w:val="00F20CCB"/>
    <w:rsid w:val="00F8617E"/>
    <w:rsid w:val="00FA7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84F"/>
    <w:pPr>
      <w:widowControl w:val="0"/>
    </w:pPr>
    <w:rPr>
      <w:sz w:val="24"/>
    </w:rPr>
  </w:style>
  <w:style w:type="paragraph" w:styleId="Heading1">
    <w:name w:val="heading 1"/>
    <w:basedOn w:val="Normal"/>
    <w:next w:val="Normal"/>
    <w:qFormat/>
    <w:rsid w:val="0085584F"/>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b/>
    </w:rPr>
  </w:style>
  <w:style w:type="paragraph" w:styleId="Heading2">
    <w:name w:val="heading 2"/>
    <w:basedOn w:val="Normal"/>
    <w:next w:val="Normal"/>
    <w:qFormat/>
    <w:rsid w:val="0085584F"/>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outlineLvl w:val="1"/>
    </w:pPr>
    <w:rPr>
      <w:b/>
    </w:rPr>
  </w:style>
  <w:style w:type="paragraph" w:styleId="Heading3">
    <w:name w:val="heading 3"/>
    <w:basedOn w:val="Normal"/>
    <w:next w:val="Normal"/>
    <w:qFormat/>
    <w:rsid w:val="0085584F"/>
    <w:pPr>
      <w:keepNext/>
      <w:widowControl/>
      <w:tabs>
        <w:tab w:val="left" w:pos="1260"/>
      </w:tabs>
      <w:spacing w:line="360" w:lineRule="auto"/>
      <w:ind w:left="540" w:hanging="540"/>
      <w:jc w:val="center"/>
      <w:outlineLvl w:val="2"/>
    </w:pPr>
    <w:rPr>
      <w:b/>
    </w:rPr>
  </w:style>
  <w:style w:type="paragraph" w:styleId="Heading4">
    <w:name w:val="heading 4"/>
    <w:basedOn w:val="Normal"/>
    <w:next w:val="Normal"/>
    <w:qFormat/>
    <w:rsid w:val="0085584F"/>
    <w:pPr>
      <w:keepNext/>
      <w:tabs>
        <w:tab w:val="left" w:pos="1260"/>
      </w:tabs>
      <w:spacing w:line="480" w:lineRule="auto"/>
      <w:ind w:firstLine="720"/>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5584F"/>
    <w:rPr>
      <w:rFonts w:cs="Times New Roman"/>
    </w:rPr>
  </w:style>
  <w:style w:type="character" w:styleId="PageNumber">
    <w:name w:val="page number"/>
    <w:rsid w:val="0085584F"/>
    <w:rPr>
      <w:rFonts w:ascii="Times New Roman" w:hAnsi="Times New Roman" w:cs="Times New Roman"/>
      <w:sz w:val="24"/>
    </w:rPr>
  </w:style>
  <w:style w:type="paragraph" w:styleId="Header">
    <w:name w:val="header"/>
    <w:basedOn w:val="Normal"/>
    <w:link w:val="HeaderChar"/>
    <w:uiPriority w:val="99"/>
    <w:rsid w:val="0085584F"/>
    <w:pPr>
      <w:tabs>
        <w:tab w:val="center" w:pos="4320"/>
        <w:tab w:val="right" w:pos="8640"/>
      </w:tabs>
    </w:pPr>
  </w:style>
  <w:style w:type="paragraph" w:styleId="Footer">
    <w:name w:val="footer"/>
    <w:basedOn w:val="Normal"/>
    <w:rsid w:val="0085584F"/>
    <w:pPr>
      <w:tabs>
        <w:tab w:val="center" w:pos="4320"/>
        <w:tab w:val="right" w:pos="8640"/>
      </w:tabs>
    </w:pPr>
  </w:style>
  <w:style w:type="paragraph" w:styleId="BodyTextIndent">
    <w:name w:val="Body Text Indent"/>
    <w:basedOn w:val="Normal"/>
    <w:link w:val="BodyTextIndentChar"/>
    <w:rsid w:val="0085584F"/>
    <w:pPr>
      <w:widowControl/>
      <w:tabs>
        <w:tab w:val="left" w:pos="0"/>
        <w:tab w:val="left" w:pos="720"/>
        <w:tab w:val="left" w:pos="4320"/>
        <w:tab w:val="left" w:pos="5040"/>
        <w:tab w:val="left" w:pos="5760"/>
        <w:tab w:val="left" w:pos="6480"/>
        <w:tab w:val="left" w:pos="7200"/>
        <w:tab w:val="left" w:pos="7920"/>
      </w:tabs>
      <w:spacing w:line="480" w:lineRule="auto"/>
      <w:jc w:val="both"/>
    </w:pPr>
  </w:style>
  <w:style w:type="paragraph" w:styleId="BodyTextIndent3">
    <w:name w:val="Body Text Indent 3"/>
    <w:basedOn w:val="Normal"/>
    <w:rsid w:val="0085584F"/>
    <w:pPr>
      <w:widowControl/>
      <w:tabs>
        <w:tab w:val="left" w:pos="1260"/>
      </w:tabs>
      <w:ind w:left="720" w:hanging="720"/>
      <w:jc w:val="both"/>
    </w:pPr>
  </w:style>
  <w:style w:type="paragraph" w:styleId="FootnoteText">
    <w:name w:val="footnote text"/>
    <w:basedOn w:val="Normal"/>
    <w:link w:val="FootnoteTextChar"/>
    <w:rsid w:val="0085584F"/>
    <w:rPr>
      <w:sz w:val="20"/>
    </w:rPr>
  </w:style>
  <w:style w:type="paragraph" w:styleId="BodyText">
    <w:name w:val="Body Text"/>
    <w:basedOn w:val="Normal"/>
    <w:rsid w:val="0085584F"/>
    <w:pPr>
      <w:widowControl/>
    </w:pPr>
  </w:style>
  <w:style w:type="character" w:styleId="LineNumber">
    <w:name w:val="line number"/>
    <w:rsid w:val="0085584F"/>
    <w:rPr>
      <w:rFonts w:cs="Times New Roman"/>
    </w:rPr>
  </w:style>
  <w:style w:type="paragraph" w:styleId="BodyTextIndent2">
    <w:name w:val="Body Text Indent 2"/>
    <w:basedOn w:val="Normal"/>
    <w:rsid w:val="0085584F"/>
    <w:pPr>
      <w:widowControl/>
      <w:tabs>
        <w:tab w:val="left" w:pos="1260"/>
      </w:tabs>
      <w:spacing w:line="360" w:lineRule="auto"/>
      <w:ind w:left="540" w:hanging="540"/>
      <w:jc w:val="both"/>
    </w:pPr>
  </w:style>
  <w:style w:type="paragraph" w:styleId="DocumentMap">
    <w:name w:val="Document Map"/>
    <w:basedOn w:val="Normal"/>
    <w:semiHidden/>
    <w:rsid w:val="0085584F"/>
    <w:pPr>
      <w:shd w:val="clear" w:color="auto" w:fill="000080"/>
    </w:pPr>
    <w:rPr>
      <w:rFonts w:ascii="Tahoma" w:hAnsi="Tahoma"/>
    </w:rPr>
  </w:style>
  <w:style w:type="paragraph" w:styleId="List2">
    <w:name w:val="List 2"/>
    <w:basedOn w:val="Normal"/>
    <w:rsid w:val="0085584F"/>
    <w:pPr>
      <w:ind w:left="720" w:hanging="360"/>
    </w:pPr>
  </w:style>
  <w:style w:type="paragraph" w:styleId="List3">
    <w:name w:val="List 3"/>
    <w:basedOn w:val="Normal"/>
    <w:rsid w:val="0085584F"/>
    <w:pPr>
      <w:ind w:left="1080" w:hanging="360"/>
    </w:pPr>
  </w:style>
  <w:style w:type="paragraph" w:styleId="Title">
    <w:name w:val="Title"/>
    <w:basedOn w:val="Normal"/>
    <w:qFormat/>
    <w:rsid w:val="0085584F"/>
    <w:pPr>
      <w:spacing w:before="240" w:after="60"/>
      <w:jc w:val="center"/>
      <w:outlineLvl w:val="0"/>
    </w:pPr>
    <w:rPr>
      <w:rFonts w:ascii="Arial" w:hAnsi="Arial" w:cs="Arial"/>
      <w:b/>
      <w:bCs/>
      <w:kern w:val="28"/>
      <w:sz w:val="32"/>
      <w:szCs w:val="32"/>
    </w:rPr>
  </w:style>
  <w:style w:type="paragraph" w:styleId="Subtitle">
    <w:name w:val="Subtitle"/>
    <w:basedOn w:val="Normal"/>
    <w:qFormat/>
    <w:rsid w:val="0085584F"/>
    <w:pPr>
      <w:spacing w:after="60"/>
      <w:jc w:val="center"/>
      <w:outlineLvl w:val="1"/>
    </w:pPr>
    <w:rPr>
      <w:rFonts w:ascii="Arial" w:hAnsi="Arial" w:cs="Arial"/>
      <w:szCs w:val="24"/>
    </w:rPr>
  </w:style>
  <w:style w:type="paragraph" w:styleId="NormalIndent">
    <w:name w:val="Normal Indent"/>
    <w:basedOn w:val="Normal"/>
    <w:rsid w:val="0085584F"/>
    <w:pPr>
      <w:ind w:left="720"/>
    </w:pPr>
  </w:style>
  <w:style w:type="paragraph" w:customStyle="1" w:styleId="ShortReturnAddress">
    <w:name w:val="Short Return Address"/>
    <w:basedOn w:val="Normal"/>
    <w:rsid w:val="0085584F"/>
  </w:style>
  <w:style w:type="paragraph" w:styleId="List">
    <w:name w:val="List"/>
    <w:basedOn w:val="Normal"/>
    <w:rsid w:val="0085584F"/>
    <w:pPr>
      <w:ind w:left="360" w:hanging="360"/>
    </w:pPr>
  </w:style>
  <w:style w:type="paragraph" w:customStyle="1" w:styleId="RomanHeader">
    <w:name w:val="Roman Header"/>
    <w:basedOn w:val="Normal"/>
    <w:rsid w:val="0085584F"/>
    <w:pPr>
      <w:widowControl/>
      <w:tabs>
        <w:tab w:val="left" w:pos="360"/>
      </w:tabs>
      <w:autoSpaceDE w:val="0"/>
      <w:autoSpaceDN w:val="0"/>
      <w:spacing w:line="360" w:lineRule="atLeast"/>
    </w:pPr>
    <w:rPr>
      <w:rFonts w:ascii="Times" w:hAnsi="Times"/>
      <w:szCs w:val="24"/>
    </w:rPr>
  </w:style>
  <w:style w:type="paragraph" w:customStyle="1" w:styleId="SubHeader">
    <w:name w:val="Sub Header"/>
    <w:basedOn w:val="Normal"/>
    <w:rsid w:val="0085584F"/>
    <w:pPr>
      <w:widowControl/>
      <w:tabs>
        <w:tab w:val="left" w:pos="360"/>
        <w:tab w:val="left" w:pos="900"/>
      </w:tabs>
      <w:autoSpaceDE w:val="0"/>
      <w:autoSpaceDN w:val="0"/>
      <w:spacing w:line="360" w:lineRule="atLeast"/>
    </w:pPr>
    <w:rPr>
      <w:rFonts w:ascii="Times" w:hAnsi="Times"/>
      <w:b/>
      <w:bCs/>
      <w:szCs w:val="24"/>
    </w:rPr>
  </w:style>
  <w:style w:type="paragraph" w:styleId="EndnoteText">
    <w:name w:val="endnote text"/>
    <w:basedOn w:val="Normal"/>
    <w:link w:val="EndnoteTextChar"/>
    <w:rsid w:val="0085584F"/>
    <w:rPr>
      <w:sz w:val="20"/>
    </w:rPr>
  </w:style>
  <w:style w:type="character" w:customStyle="1" w:styleId="EndnoteTextChar">
    <w:name w:val="Endnote Text Char"/>
    <w:basedOn w:val="DefaultParagraphFont"/>
    <w:link w:val="EndnoteText"/>
    <w:rsid w:val="0085584F"/>
  </w:style>
  <w:style w:type="character" w:styleId="EndnoteReference">
    <w:name w:val="endnote reference"/>
    <w:rsid w:val="0085584F"/>
    <w:rPr>
      <w:vertAlign w:val="superscript"/>
    </w:rPr>
  </w:style>
  <w:style w:type="character" w:customStyle="1" w:styleId="FootnoteTextChar">
    <w:name w:val="Footnote Text Char"/>
    <w:basedOn w:val="DefaultParagraphFont"/>
    <w:link w:val="FootnoteText"/>
    <w:rsid w:val="0085584F"/>
  </w:style>
  <w:style w:type="paragraph" w:styleId="ListParagraph">
    <w:name w:val="List Paragraph"/>
    <w:basedOn w:val="Normal"/>
    <w:uiPriority w:val="34"/>
    <w:qFormat/>
    <w:rsid w:val="0085584F"/>
    <w:pPr>
      <w:widowControl/>
      <w:ind w:left="720"/>
      <w:contextualSpacing/>
    </w:pPr>
    <w:rPr>
      <w:rFonts w:ascii="Calibri" w:eastAsia="Calibri" w:hAnsi="Calibri"/>
      <w:sz w:val="22"/>
      <w:szCs w:val="22"/>
    </w:rPr>
  </w:style>
  <w:style w:type="table" w:styleId="TableGrid">
    <w:name w:val="Table Grid"/>
    <w:basedOn w:val="TableNormal"/>
    <w:rsid w:val="008558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rsid w:val="0085584F"/>
    <w:rPr>
      <w:sz w:val="16"/>
      <w:szCs w:val="16"/>
    </w:rPr>
  </w:style>
  <w:style w:type="paragraph" w:styleId="CommentText">
    <w:name w:val="annotation text"/>
    <w:basedOn w:val="Normal"/>
    <w:link w:val="CommentTextChar"/>
    <w:rsid w:val="0085584F"/>
    <w:rPr>
      <w:sz w:val="20"/>
    </w:rPr>
  </w:style>
  <w:style w:type="character" w:customStyle="1" w:styleId="CommentTextChar">
    <w:name w:val="Comment Text Char"/>
    <w:basedOn w:val="DefaultParagraphFont"/>
    <w:link w:val="CommentText"/>
    <w:rsid w:val="0085584F"/>
  </w:style>
  <w:style w:type="paragraph" w:styleId="CommentSubject">
    <w:name w:val="annotation subject"/>
    <w:basedOn w:val="CommentText"/>
    <w:next w:val="CommentText"/>
    <w:link w:val="CommentSubjectChar"/>
    <w:rsid w:val="0085584F"/>
    <w:rPr>
      <w:b/>
      <w:bCs/>
    </w:rPr>
  </w:style>
  <w:style w:type="character" w:customStyle="1" w:styleId="CommentSubjectChar">
    <w:name w:val="Comment Subject Char"/>
    <w:link w:val="CommentSubject"/>
    <w:rsid w:val="0085584F"/>
    <w:rPr>
      <w:b/>
      <w:bCs/>
    </w:rPr>
  </w:style>
  <w:style w:type="paragraph" w:styleId="BalloonText">
    <w:name w:val="Balloon Text"/>
    <w:basedOn w:val="Normal"/>
    <w:link w:val="BalloonTextChar"/>
    <w:rsid w:val="0085584F"/>
    <w:rPr>
      <w:rFonts w:ascii="Tahoma" w:hAnsi="Tahoma"/>
      <w:sz w:val="16"/>
      <w:szCs w:val="16"/>
    </w:rPr>
  </w:style>
  <w:style w:type="character" w:customStyle="1" w:styleId="BalloonTextChar">
    <w:name w:val="Balloon Text Char"/>
    <w:link w:val="BalloonText"/>
    <w:rsid w:val="0085584F"/>
    <w:rPr>
      <w:rFonts w:ascii="Tahoma" w:hAnsi="Tahoma" w:cs="Tahoma"/>
      <w:sz w:val="16"/>
      <w:szCs w:val="16"/>
    </w:rPr>
  </w:style>
  <w:style w:type="paragraph" w:styleId="Revision">
    <w:name w:val="Revision"/>
    <w:hidden/>
    <w:uiPriority w:val="99"/>
    <w:semiHidden/>
    <w:rsid w:val="0085584F"/>
    <w:rPr>
      <w:sz w:val="24"/>
    </w:rPr>
  </w:style>
  <w:style w:type="character" w:customStyle="1" w:styleId="BodyTextIndentChar">
    <w:name w:val="Body Text Indent Char"/>
    <w:link w:val="BodyTextIndent"/>
    <w:rsid w:val="0085584F"/>
    <w:rPr>
      <w:sz w:val="24"/>
    </w:rPr>
  </w:style>
  <w:style w:type="paragraph" w:styleId="BodyText2">
    <w:name w:val="Body Text 2"/>
    <w:basedOn w:val="Normal"/>
    <w:link w:val="BodyText2Char"/>
    <w:rsid w:val="0085584F"/>
    <w:pPr>
      <w:spacing w:after="120" w:line="480" w:lineRule="auto"/>
    </w:pPr>
  </w:style>
  <w:style w:type="character" w:customStyle="1" w:styleId="BodyText2Char">
    <w:name w:val="Body Text 2 Char"/>
    <w:link w:val="BodyText2"/>
    <w:rsid w:val="0085584F"/>
    <w:rPr>
      <w:sz w:val="24"/>
    </w:rPr>
  </w:style>
  <w:style w:type="character" w:customStyle="1" w:styleId="HeaderChar">
    <w:name w:val="Header Char"/>
    <w:link w:val="Header"/>
    <w:uiPriority w:val="99"/>
    <w:rsid w:val="0085584F"/>
    <w:rPr>
      <w:sz w:val="24"/>
    </w:rPr>
  </w:style>
  <w:style w:type="character" w:customStyle="1" w:styleId="bumpedfont15">
    <w:name w:val="bumpedfont15"/>
    <w:basedOn w:val="DefaultParagraphFont"/>
    <w:rsid w:val="008558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84F"/>
    <w:pPr>
      <w:widowControl w:val="0"/>
    </w:pPr>
    <w:rPr>
      <w:sz w:val="24"/>
    </w:rPr>
  </w:style>
  <w:style w:type="paragraph" w:styleId="Heading1">
    <w:name w:val="heading 1"/>
    <w:basedOn w:val="Normal"/>
    <w:next w:val="Normal"/>
    <w:qFormat/>
    <w:rsid w:val="0085584F"/>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b/>
    </w:rPr>
  </w:style>
  <w:style w:type="paragraph" w:styleId="Heading2">
    <w:name w:val="heading 2"/>
    <w:basedOn w:val="Normal"/>
    <w:next w:val="Normal"/>
    <w:qFormat/>
    <w:rsid w:val="0085584F"/>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outlineLvl w:val="1"/>
    </w:pPr>
    <w:rPr>
      <w:b/>
    </w:rPr>
  </w:style>
  <w:style w:type="paragraph" w:styleId="Heading3">
    <w:name w:val="heading 3"/>
    <w:basedOn w:val="Normal"/>
    <w:next w:val="Normal"/>
    <w:qFormat/>
    <w:rsid w:val="0085584F"/>
    <w:pPr>
      <w:keepNext/>
      <w:widowControl/>
      <w:tabs>
        <w:tab w:val="left" w:pos="1260"/>
      </w:tabs>
      <w:spacing w:line="360" w:lineRule="auto"/>
      <w:ind w:left="540" w:hanging="540"/>
      <w:jc w:val="center"/>
      <w:outlineLvl w:val="2"/>
    </w:pPr>
    <w:rPr>
      <w:b/>
    </w:rPr>
  </w:style>
  <w:style w:type="paragraph" w:styleId="Heading4">
    <w:name w:val="heading 4"/>
    <w:basedOn w:val="Normal"/>
    <w:next w:val="Normal"/>
    <w:qFormat/>
    <w:rsid w:val="0085584F"/>
    <w:pPr>
      <w:keepNext/>
      <w:tabs>
        <w:tab w:val="left" w:pos="1260"/>
      </w:tabs>
      <w:spacing w:line="480" w:lineRule="auto"/>
      <w:ind w:firstLine="720"/>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5584F"/>
    <w:rPr>
      <w:rFonts w:cs="Times New Roman"/>
    </w:rPr>
  </w:style>
  <w:style w:type="character" w:styleId="PageNumber">
    <w:name w:val="page number"/>
    <w:rsid w:val="0085584F"/>
    <w:rPr>
      <w:rFonts w:ascii="Times New Roman" w:hAnsi="Times New Roman" w:cs="Times New Roman"/>
      <w:sz w:val="24"/>
    </w:rPr>
  </w:style>
  <w:style w:type="paragraph" w:styleId="Header">
    <w:name w:val="header"/>
    <w:basedOn w:val="Normal"/>
    <w:link w:val="HeaderChar"/>
    <w:uiPriority w:val="99"/>
    <w:rsid w:val="0085584F"/>
    <w:pPr>
      <w:tabs>
        <w:tab w:val="center" w:pos="4320"/>
        <w:tab w:val="right" w:pos="8640"/>
      </w:tabs>
    </w:pPr>
  </w:style>
  <w:style w:type="paragraph" w:styleId="Footer">
    <w:name w:val="footer"/>
    <w:basedOn w:val="Normal"/>
    <w:rsid w:val="0085584F"/>
    <w:pPr>
      <w:tabs>
        <w:tab w:val="center" w:pos="4320"/>
        <w:tab w:val="right" w:pos="8640"/>
      </w:tabs>
    </w:pPr>
  </w:style>
  <w:style w:type="paragraph" w:styleId="BodyTextIndent">
    <w:name w:val="Body Text Indent"/>
    <w:basedOn w:val="Normal"/>
    <w:link w:val="BodyTextIndentChar"/>
    <w:rsid w:val="0085584F"/>
    <w:pPr>
      <w:widowControl/>
      <w:tabs>
        <w:tab w:val="left" w:pos="0"/>
        <w:tab w:val="left" w:pos="720"/>
        <w:tab w:val="left" w:pos="4320"/>
        <w:tab w:val="left" w:pos="5040"/>
        <w:tab w:val="left" w:pos="5760"/>
        <w:tab w:val="left" w:pos="6480"/>
        <w:tab w:val="left" w:pos="7200"/>
        <w:tab w:val="left" w:pos="7920"/>
      </w:tabs>
      <w:spacing w:line="480" w:lineRule="auto"/>
      <w:jc w:val="both"/>
    </w:pPr>
  </w:style>
  <w:style w:type="paragraph" w:styleId="BodyTextIndent3">
    <w:name w:val="Body Text Indent 3"/>
    <w:basedOn w:val="Normal"/>
    <w:rsid w:val="0085584F"/>
    <w:pPr>
      <w:widowControl/>
      <w:tabs>
        <w:tab w:val="left" w:pos="1260"/>
      </w:tabs>
      <w:ind w:left="720" w:hanging="720"/>
      <w:jc w:val="both"/>
    </w:pPr>
  </w:style>
  <w:style w:type="paragraph" w:styleId="FootnoteText">
    <w:name w:val="footnote text"/>
    <w:basedOn w:val="Normal"/>
    <w:link w:val="FootnoteTextChar"/>
    <w:rsid w:val="0085584F"/>
    <w:rPr>
      <w:sz w:val="20"/>
    </w:rPr>
  </w:style>
  <w:style w:type="paragraph" w:styleId="BodyText">
    <w:name w:val="Body Text"/>
    <w:basedOn w:val="Normal"/>
    <w:rsid w:val="0085584F"/>
    <w:pPr>
      <w:widowControl/>
    </w:pPr>
  </w:style>
  <w:style w:type="character" w:styleId="LineNumber">
    <w:name w:val="line number"/>
    <w:rsid w:val="0085584F"/>
    <w:rPr>
      <w:rFonts w:cs="Times New Roman"/>
    </w:rPr>
  </w:style>
  <w:style w:type="paragraph" w:styleId="BodyTextIndent2">
    <w:name w:val="Body Text Indent 2"/>
    <w:basedOn w:val="Normal"/>
    <w:rsid w:val="0085584F"/>
    <w:pPr>
      <w:widowControl/>
      <w:tabs>
        <w:tab w:val="left" w:pos="1260"/>
      </w:tabs>
      <w:spacing w:line="360" w:lineRule="auto"/>
      <w:ind w:left="540" w:hanging="540"/>
      <w:jc w:val="both"/>
    </w:pPr>
  </w:style>
  <w:style w:type="paragraph" w:styleId="DocumentMap">
    <w:name w:val="Document Map"/>
    <w:basedOn w:val="Normal"/>
    <w:semiHidden/>
    <w:rsid w:val="0085584F"/>
    <w:pPr>
      <w:shd w:val="clear" w:color="auto" w:fill="000080"/>
    </w:pPr>
    <w:rPr>
      <w:rFonts w:ascii="Tahoma" w:hAnsi="Tahoma"/>
    </w:rPr>
  </w:style>
  <w:style w:type="paragraph" w:styleId="List2">
    <w:name w:val="List 2"/>
    <w:basedOn w:val="Normal"/>
    <w:rsid w:val="0085584F"/>
    <w:pPr>
      <w:ind w:left="720" w:hanging="360"/>
    </w:pPr>
  </w:style>
  <w:style w:type="paragraph" w:styleId="List3">
    <w:name w:val="List 3"/>
    <w:basedOn w:val="Normal"/>
    <w:rsid w:val="0085584F"/>
    <w:pPr>
      <w:ind w:left="1080" w:hanging="360"/>
    </w:pPr>
  </w:style>
  <w:style w:type="paragraph" w:styleId="Title">
    <w:name w:val="Title"/>
    <w:basedOn w:val="Normal"/>
    <w:qFormat/>
    <w:rsid w:val="0085584F"/>
    <w:pPr>
      <w:spacing w:before="240" w:after="60"/>
      <w:jc w:val="center"/>
      <w:outlineLvl w:val="0"/>
    </w:pPr>
    <w:rPr>
      <w:rFonts w:ascii="Arial" w:hAnsi="Arial" w:cs="Arial"/>
      <w:b/>
      <w:bCs/>
      <w:kern w:val="28"/>
      <w:sz w:val="32"/>
      <w:szCs w:val="32"/>
    </w:rPr>
  </w:style>
  <w:style w:type="paragraph" w:styleId="Subtitle">
    <w:name w:val="Subtitle"/>
    <w:basedOn w:val="Normal"/>
    <w:qFormat/>
    <w:rsid w:val="0085584F"/>
    <w:pPr>
      <w:spacing w:after="60"/>
      <w:jc w:val="center"/>
      <w:outlineLvl w:val="1"/>
    </w:pPr>
    <w:rPr>
      <w:rFonts w:ascii="Arial" w:hAnsi="Arial" w:cs="Arial"/>
      <w:szCs w:val="24"/>
    </w:rPr>
  </w:style>
  <w:style w:type="paragraph" w:styleId="NormalIndent">
    <w:name w:val="Normal Indent"/>
    <w:basedOn w:val="Normal"/>
    <w:rsid w:val="0085584F"/>
    <w:pPr>
      <w:ind w:left="720"/>
    </w:pPr>
  </w:style>
  <w:style w:type="paragraph" w:customStyle="1" w:styleId="ShortReturnAddress">
    <w:name w:val="Short Return Address"/>
    <w:basedOn w:val="Normal"/>
    <w:rsid w:val="0085584F"/>
  </w:style>
  <w:style w:type="paragraph" w:styleId="List">
    <w:name w:val="List"/>
    <w:basedOn w:val="Normal"/>
    <w:rsid w:val="0085584F"/>
    <w:pPr>
      <w:ind w:left="360" w:hanging="360"/>
    </w:pPr>
  </w:style>
  <w:style w:type="paragraph" w:customStyle="1" w:styleId="RomanHeader">
    <w:name w:val="Roman Header"/>
    <w:basedOn w:val="Normal"/>
    <w:rsid w:val="0085584F"/>
    <w:pPr>
      <w:widowControl/>
      <w:tabs>
        <w:tab w:val="left" w:pos="360"/>
      </w:tabs>
      <w:autoSpaceDE w:val="0"/>
      <w:autoSpaceDN w:val="0"/>
      <w:spacing w:line="360" w:lineRule="atLeast"/>
    </w:pPr>
    <w:rPr>
      <w:rFonts w:ascii="Times" w:hAnsi="Times"/>
      <w:szCs w:val="24"/>
    </w:rPr>
  </w:style>
  <w:style w:type="paragraph" w:customStyle="1" w:styleId="SubHeader">
    <w:name w:val="Sub Header"/>
    <w:basedOn w:val="Normal"/>
    <w:rsid w:val="0085584F"/>
    <w:pPr>
      <w:widowControl/>
      <w:tabs>
        <w:tab w:val="left" w:pos="360"/>
        <w:tab w:val="left" w:pos="900"/>
      </w:tabs>
      <w:autoSpaceDE w:val="0"/>
      <w:autoSpaceDN w:val="0"/>
      <w:spacing w:line="360" w:lineRule="atLeast"/>
    </w:pPr>
    <w:rPr>
      <w:rFonts w:ascii="Times" w:hAnsi="Times"/>
      <w:b/>
      <w:bCs/>
      <w:szCs w:val="24"/>
    </w:rPr>
  </w:style>
  <w:style w:type="paragraph" w:styleId="EndnoteText">
    <w:name w:val="endnote text"/>
    <w:basedOn w:val="Normal"/>
    <w:link w:val="EndnoteTextChar"/>
    <w:rsid w:val="0085584F"/>
    <w:rPr>
      <w:sz w:val="20"/>
    </w:rPr>
  </w:style>
  <w:style w:type="character" w:customStyle="1" w:styleId="EndnoteTextChar">
    <w:name w:val="Endnote Text Char"/>
    <w:basedOn w:val="DefaultParagraphFont"/>
    <w:link w:val="EndnoteText"/>
    <w:rsid w:val="0085584F"/>
  </w:style>
  <w:style w:type="character" w:styleId="EndnoteReference">
    <w:name w:val="endnote reference"/>
    <w:rsid w:val="0085584F"/>
    <w:rPr>
      <w:vertAlign w:val="superscript"/>
    </w:rPr>
  </w:style>
  <w:style w:type="character" w:customStyle="1" w:styleId="FootnoteTextChar">
    <w:name w:val="Footnote Text Char"/>
    <w:basedOn w:val="DefaultParagraphFont"/>
    <w:link w:val="FootnoteText"/>
    <w:rsid w:val="0085584F"/>
  </w:style>
  <w:style w:type="paragraph" w:styleId="ListParagraph">
    <w:name w:val="List Paragraph"/>
    <w:basedOn w:val="Normal"/>
    <w:uiPriority w:val="34"/>
    <w:qFormat/>
    <w:rsid w:val="0085584F"/>
    <w:pPr>
      <w:widowControl/>
      <w:ind w:left="720"/>
      <w:contextualSpacing/>
    </w:pPr>
    <w:rPr>
      <w:rFonts w:ascii="Calibri" w:eastAsia="Calibri" w:hAnsi="Calibri"/>
      <w:sz w:val="22"/>
      <w:szCs w:val="22"/>
    </w:rPr>
  </w:style>
  <w:style w:type="table" w:styleId="TableGrid">
    <w:name w:val="Table Grid"/>
    <w:basedOn w:val="TableNormal"/>
    <w:rsid w:val="008558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85584F"/>
    <w:rPr>
      <w:sz w:val="16"/>
      <w:szCs w:val="16"/>
    </w:rPr>
  </w:style>
  <w:style w:type="paragraph" w:styleId="CommentText">
    <w:name w:val="annotation text"/>
    <w:basedOn w:val="Normal"/>
    <w:link w:val="CommentTextChar"/>
    <w:rsid w:val="0085584F"/>
    <w:rPr>
      <w:sz w:val="20"/>
    </w:rPr>
  </w:style>
  <w:style w:type="character" w:customStyle="1" w:styleId="CommentTextChar">
    <w:name w:val="Comment Text Char"/>
    <w:basedOn w:val="DefaultParagraphFont"/>
    <w:link w:val="CommentText"/>
    <w:rsid w:val="0085584F"/>
  </w:style>
  <w:style w:type="paragraph" w:styleId="CommentSubject">
    <w:name w:val="annotation subject"/>
    <w:basedOn w:val="CommentText"/>
    <w:next w:val="CommentText"/>
    <w:link w:val="CommentSubjectChar"/>
    <w:rsid w:val="0085584F"/>
    <w:rPr>
      <w:b/>
      <w:bCs/>
    </w:rPr>
  </w:style>
  <w:style w:type="character" w:customStyle="1" w:styleId="CommentSubjectChar">
    <w:name w:val="Comment Subject Char"/>
    <w:link w:val="CommentSubject"/>
    <w:rsid w:val="0085584F"/>
    <w:rPr>
      <w:b/>
      <w:bCs/>
    </w:rPr>
  </w:style>
  <w:style w:type="paragraph" w:styleId="BalloonText">
    <w:name w:val="Balloon Text"/>
    <w:basedOn w:val="Normal"/>
    <w:link w:val="BalloonTextChar"/>
    <w:rsid w:val="0085584F"/>
    <w:rPr>
      <w:rFonts w:ascii="Tahoma" w:hAnsi="Tahoma"/>
      <w:sz w:val="16"/>
      <w:szCs w:val="16"/>
    </w:rPr>
  </w:style>
  <w:style w:type="character" w:customStyle="1" w:styleId="BalloonTextChar">
    <w:name w:val="Balloon Text Char"/>
    <w:link w:val="BalloonText"/>
    <w:rsid w:val="0085584F"/>
    <w:rPr>
      <w:rFonts w:ascii="Tahoma" w:hAnsi="Tahoma" w:cs="Tahoma"/>
      <w:sz w:val="16"/>
      <w:szCs w:val="16"/>
    </w:rPr>
  </w:style>
  <w:style w:type="paragraph" w:styleId="Revision">
    <w:name w:val="Revision"/>
    <w:hidden/>
    <w:uiPriority w:val="99"/>
    <w:semiHidden/>
    <w:rsid w:val="0085584F"/>
    <w:rPr>
      <w:sz w:val="24"/>
    </w:rPr>
  </w:style>
  <w:style w:type="character" w:customStyle="1" w:styleId="BodyTextIndentChar">
    <w:name w:val="Body Text Indent Char"/>
    <w:link w:val="BodyTextIndent"/>
    <w:rsid w:val="0085584F"/>
    <w:rPr>
      <w:sz w:val="24"/>
    </w:rPr>
  </w:style>
  <w:style w:type="paragraph" w:styleId="BodyText2">
    <w:name w:val="Body Text 2"/>
    <w:basedOn w:val="Normal"/>
    <w:link w:val="BodyText2Char"/>
    <w:rsid w:val="0085584F"/>
    <w:pPr>
      <w:spacing w:after="120" w:line="480" w:lineRule="auto"/>
    </w:pPr>
  </w:style>
  <w:style w:type="character" w:customStyle="1" w:styleId="BodyText2Char">
    <w:name w:val="Body Text 2 Char"/>
    <w:link w:val="BodyText2"/>
    <w:rsid w:val="0085584F"/>
    <w:rPr>
      <w:sz w:val="24"/>
    </w:rPr>
  </w:style>
  <w:style w:type="character" w:customStyle="1" w:styleId="HeaderChar">
    <w:name w:val="Header Char"/>
    <w:link w:val="Header"/>
    <w:uiPriority w:val="99"/>
    <w:rsid w:val="0085584F"/>
    <w:rPr>
      <w:sz w:val="24"/>
    </w:rPr>
  </w:style>
  <w:style w:type="character" w:customStyle="1" w:styleId="bumpedfont15">
    <w:name w:val="bumpedfont15"/>
    <w:basedOn w:val="DefaultParagraphFont"/>
    <w:rsid w:val="0085584F"/>
  </w:style>
</w:styles>
</file>

<file path=word/webSettings.xml><?xml version="1.0" encoding="utf-8"?>
<w:webSettings xmlns:r="http://schemas.openxmlformats.org/officeDocument/2006/relationships" xmlns:w="http://schemas.openxmlformats.org/wordprocessingml/2006/main">
  <w:divs>
    <w:div w:id="170143232">
      <w:bodyDiv w:val="1"/>
      <w:marLeft w:val="0"/>
      <w:marRight w:val="0"/>
      <w:marTop w:val="0"/>
      <w:marBottom w:val="0"/>
      <w:divBdr>
        <w:top w:val="none" w:sz="0" w:space="0" w:color="auto"/>
        <w:left w:val="none" w:sz="0" w:space="0" w:color="auto"/>
        <w:bottom w:val="none" w:sz="0" w:space="0" w:color="auto"/>
        <w:right w:val="none" w:sz="0" w:space="0" w:color="auto"/>
      </w:divBdr>
    </w:div>
    <w:div w:id="185103622">
      <w:bodyDiv w:val="1"/>
      <w:marLeft w:val="0"/>
      <w:marRight w:val="0"/>
      <w:marTop w:val="0"/>
      <w:marBottom w:val="0"/>
      <w:divBdr>
        <w:top w:val="none" w:sz="0" w:space="0" w:color="auto"/>
        <w:left w:val="none" w:sz="0" w:space="0" w:color="auto"/>
        <w:bottom w:val="none" w:sz="0" w:space="0" w:color="auto"/>
        <w:right w:val="none" w:sz="0" w:space="0" w:color="auto"/>
      </w:divBdr>
    </w:div>
    <w:div w:id="441725086">
      <w:bodyDiv w:val="1"/>
      <w:marLeft w:val="0"/>
      <w:marRight w:val="0"/>
      <w:marTop w:val="0"/>
      <w:marBottom w:val="0"/>
      <w:divBdr>
        <w:top w:val="none" w:sz="0" w:space="0" w:color="auto"/>
        <w:left w:val="none" w:sz="0" w:space="0" w:color="auto"/>
        <w:bottom w:val="none" w:sz="0" w:space="0" w:color="auto"/>
        <w:right w:val="none" w:sz="0" w:space="0" w:color="auto"/>
      </w:divBdr>
    </w:div>
    <w:div w:id="449933625">
      <w:bodyDiv w:val="1"/>
      <w:marLeft w:val="0"/>
      <w:marRight w:val="0"/>
      <w:marTop w:val="0"/>
      <w:marBottom w:val="0"/>
      <w:divBdr>
        <w:top w:val="none" w:sz="0" w:space="0" w:color="auto"/>
        <w:left w:val="none" w:sz="0" w:space="0" w:color="auto"/>
        <w:bottom w:val="none" w:sz="0" w:space="0" w:color="auto"/>
        <w:right w:val="none" w:sz="0" w:space="0" w:color="auto"/>
      </w:divBdr>
    </w:div>
    <w:div w:id="760446154">
      <w:bodyDiv w:val="1"/>
      <w:marLeft w:val="0"/>
      <w:marRight w:val="0"/>
      <w:marTop w:val="0"/>
      <w:marBottom w:val="0"/>
      <w:divBdr>
        <w:top w:val="none" w:sz="0" w:space="0" w:color="auto"/>
        <w:left w:val="none" w:sz="0" w:space="0" w:color="auto"/>
        <w:bottom w:val="none" w:sz="0" w:space="0" w:color="auto"/>
        <w:right w:val="none" w:sz="0" w:space="0" w:color="auto"/>
      </w:divBdr>
    </w:div>
    <w:div w:id="863596547">
      <w:bodyDiv w:val="1"/>
      <w:marLeft w:val="0"/>
      <w:marRight w:val="0"/>
      <w:marTop w:val="0"/>
      <w:marBottom w:val="0"/>
      <w:divBdr>
        <w:top w:val="none" w:sz="0" w:space="0" w:color="auto"/>
        <w:left w:val="none" w:sz="0" w:space="0" w:color="auto"/>
        <w:bottom w:val="none" w:sz="0" w:space="0" w:color="auto"/>
        <w:right w:val="none" w:sz="0" w:space="0" w:color="auto"/>
      </w:divBdr>
    </w:div>
    <w:div w:id="918246211">
      <w:bodyDiv w:val="1"/>
      <w:marLeft w:val="0"/>
      <w:marRight w:val="0"/>
      <w:marTop w:val="0"/>
      <w:marBottom w:val="0"/>
      <w:divBdr>
        <w:top w:val="none" w:sz="0" w:space="0" w:color="auto"/>
        <w:left w:val="none" w:sz="0" w:space="0" w:color="auto"/>
        <w:bottom w:val="none" w:sz="0" w:space="0" w:color="auto"/>
        <w:right w:val="none" w:sz="0" w:space="0" w:color="auto"/>
      </w:divBdr>
    </w:div>
    <w:div w:id="1129863163">
      <w:bodyDiv w:val="1"/>
      <w:marLeft w:val="0"/>
      <w:marRight w:val="0"/>
      <w:marTop w:val="0"/>
      <w:marBottom w:val="0"/>
      <w:divBdr>
        <w:top w:val="none" w:sz="0" w:space="0" w:color="auto"/>
        <w:left w:val="none" w:sz="0" w:space="0" w:color="auto"/>
        <w:bottom w:val="none" w:sz="0" w:space="0" w:color="auto"/>
        <w:right w:val="none" w:sz="0" w:space="0" w:color="auto"/>
      </w:divBdr>
    </w:div>
    <w:div w:id="1253392634">
      <w:bodyDiv w:val="1"/>
      <w:marLeft w:val="0"/>
      <w:marRight w:val="0"/>
      <w:marTop w:val="0"/>
      <w:marBottom w:val="0"/>
      <w:divBdr>
        <w:top w:val="none" w:sz="0" w:space="0" w:color="auto"/>
        <w:left w:val="none" w:sz="0" w:space="0" w:color="auto"/>
        <w:bottom w:val="none" w:sz="0" w:space="0" w:color="auto"/>
        <w:right w:val="none" w:sz="0" w:space="0" w:color="auto"/>
      </w:divBdr>
    </w:div>
    <w:div w:id="1256865437">
      <w:bodyDiv w:val="1"/>
      <w:marLeft w:val="0"/>
      <w:marRight w:val="0"/>
      <w:marTop w:val="0"/>
      <w:marBottom w:val="0"/>
      <w:divBdr>
        <w:top w:val="none" w:sz="0" w:space="0" w:color="auto"/>
        <w:left w:val="none" w:sz="0" w:space="0" w:color="auto"/>
        <w:bottom w:val="none" w:sz="0" w:space="0" w:color="auto"/>
        <w:right w:val="none" w:sz="0" w:space="0" w:color="auto"/>
      </w:divBdr>
    </w:div>
    <w:div w:id="1258488293">
      <w:bodyDiv w:val="1"/>
      <w:marLeft w:val="0"/>
      <w:marRight w:val="0"/>
      <w:marTop w:val="0"/>
      <w:marBottom w:val="0"/>
      <w:divBdr>
        <w:top w:val="none" w:sz="0" w:space="0" w:color="auto"/>
        <w:left w:val="none" w:sz="0" w:space="0" w:color="auto"/>
        <w:bottom w:val="none" w:sz="0" w:space="0" w:color="auto"/>
        <w:right w:val="none" w:sz="0" w:space="0" w:color="auto"/>
      </w:divBdr>
    </w:div>
    <w:div w:id="1609386472">
      <w:bodyDiv w:val="1"/>
      <w:marLeft w:val="0"/>
      <w:marRight w:val="0"/>
      <w:marTop w:val="0"/>
      <w:marBottom w:val="0"/>
      <w:divBdr>
        <w:top w:val="none" w:sz="0" w:space="0" w:color="auto"/>
        <w:left w:val="none" w:sz="0" w:space="0" w:color="auto"/>
        <w:bottom w:val="none" w:sz="0" w:space="0" w:color="auto"/>
        <w:right w:val="none" w:sz="0" w:space="0" w:color="auto"/>
      </w:divBdr>
    </w:div>
    <w:div w:id="1980259158">
      <w:bodyDiv w:val="1"/>
      <w:marLeft w:val="0"/>
      <w:marRight w:val="0"/>
      <w:marTop w:val="0"/>
      <w:marBottom w:val="0"/>
      <w:divBdr>
        <w:top w:val="none" w:sz="0" w:space="0" w:color="auto"/>
        <w:left w:val="none" w:sz="0" w:space="0" w:color="auto"/>
        <w:bottom w:val="none" w:sz="0" w:space="0" w:color="auto"/>
        <w:right w:val="none" w:sz="0" w:space="0" w:color="auto"/>
      </w:divBdr>
    </w:div>
    <w:div w:id="210818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B97135DB884C4EB5B296BE111C958D" ma:contentTypeVersion="119" ma:contentTypeDescription="" ma:contentTypeScope="" ma:versionID="fb04e8abffa4dfc75ba9a01e6737b8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Stipulation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2015-05-29T07:00:00+00:00</OpenedDate>
    <Date1 xmlns="dc463f71-b30c-4ab2-9473-d307f9d35888">2015-10-29T07:00:00+00:00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151148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5C5B88F-0AF9-4539-9652-51B78ACF4D4B}"/>
</file>

<file path=customXml/itemProps2.xml><?xml version="1.0" encoding="utf-8"?>
<ds:datastoreItem xmlns:ds="http://schemas.openxmlformats.org/officeDocument/2006/customXml" ds:itemID="{A34AA13A-B24B-4C1B-BB55-985912C3C993}"/>
</file>

<file path=customXml/itemProps3.xml><?xml version="1.0" encoding="utf-8"?>
<ds:datastoreItem xmlns:ds="http://schemas.openxmlformats.org/officeDocument/2006/customXml" ds:itemID="{04AAD260-DF9B-445A-BE47-B71FF6E2B937}"/>
</file>

<file path=customXml/itemProps4.xml><?xml version="1.0" encoding="utf-8"?>
<ds:datastoreItem xmlns:ds="http://schemas.openxmlformats.org/officeDocument/2006/customXml" ds:itemID="{9B4CC8D4-1A4B-4DB8-9B8B-4EF12B4A808D}"/>
</file>

<file path=customXml/itemProps5.xml><?xml version="1.0" encoding="utf-8"?>
<ds:datastoreItem xmlns:ds="http://schemas.openxmlformats.org/officeDocument/2006/customXml" ds:itemID="{6DBE1907-EE52-4A91-A3DF-4AF32B58034C}"/>
</file>

<file path=docProps/app.xml><?xml version="1.0" encoding="utf-8"?>
<Properties xmlns="http://schemas.openxmlformats.org/officeDocument/2006/extended-properties" xmlns:vt="http://schemas.openxmlformats.org/officeDocument/2006/docPropsVTypes">
  <Template>Normal.dotm</Template>
  <TotalTime>3</TotalTime>
  <Pages>10</Pages>
  <Words>2697</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Gary A</vt:lpstr>
    </vt:vector>
  </TitlesOfParts>
  <Company>Avista Corp</Company>
  <LinksUpToDate>false</LinksUpToDate>
  <CharactersWithSpaces>18194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Gary A</dc:title>
  <dc:creator>Avista Corp Employee</dc:creator>
  <cp:lastModifiedBy>Pat Ehrbar</cp:lastModifiedBy>
  <cp:revision>3</cp:revision>
  <cp:lastPrinted>2015-10-27T19:38:00Z</cp:lastPrinted>
  <dcterms:created xsi:type="dcterms:W3CDTF">2015-10-28T19:35:00Z</dcterms:created>
  <dcterms:modified xsi:type="dcterms:W3CDTF">2015-10-28T19:37:00Z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0x0101006E56B4D1795A2E4DB2F0B01679ED314A0006B97135DB884C4EB5B296BE111C958D</vt:lpwstr>
  </property>
  <property fmtid="{D5CDD505-2E9C-101B-9397-08002B2CF9AE}" pid="4" name="_docset_NoMedatataSyncRequired">
    <vt:lpwstr>False</vt:lpwstr>
  </property>
</Properties>
</file>