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E5" w:rsidRPr="00DF4C0E" w:rsidRDefault="005711E5">
      <w:pPr>
        <w:pStyle w:val="BodyText"/>
        <w:rPr>
          <w:b/>
          <w:bCs/>
          <w:sz w:val="25"/>
          <w:szCs w:val="25"/>
        </w:rPr>
      </w:pPr>
      <w:bookmarkStart w:id="0" w:name="_GoBack"/>
      <w:bookmarkEnd w:id="0"/>
      <w:r w:rsidRPr="00DF4C0E">
        <w:rPr>
          <w:b/>
          <w:bCs/>
          <w:sz w:val="25"/>
          <w:szCs w:val="25"/>
        </w:rPr>
        <w:t>BEFORE THE WASHINGTON</w:t>
      </w:r>
    </w:p>
    <w:p w:rsidR="005711E5" w:rsidRPr="00DF4C0E" w:rsidRDefault="005711E5">
      <w:pPr>
        <w:pStyle w:val="BodyText"/>
        <w:rPr>
          <w:b/>
          <w:bCs/>
          <w:sz w:val="25"/>
          <w:szCs w:val="25"/>
        </w:rPr>
      </w:pPr>
      <w:r w:rsidRPr="00DF4C0E">
        <w:rPr>
          <w:b/>
          <w:bCs/>
          <w:sz w:val="25"/>
          <w:szCs w:val="25"/>
        </w:rPr>
        <w:t>UTILITIES AND TRANSPORTATION COMMISSION</w:t>
      </w:r>
    </w:p>
    <w:p w:rsidR="00DC39A1" w:rsidRPr="00DF4C0E" w:rsidRDefault="00DC39A1">
      <w:pPr>
        <w:pStyle w:val="BodyText"/>
        <w:rPr>
          <w:sz w:val="25"/>
          <w:szCs w:val="25"/>
        </w:rPr>
      </w:pPr>
    </w:p>
    <w:p w:rsidR="00892A0D" w:rsidRPr="00DF4C0E" w:rsidRDefault="00892A0D">
      <w:pPr>
        <w:pStyle w:val="BodyText"/>
        <w:rPr>
          <w:sz w:val="25"/>
          <w:szCs w:val="25"/>
        </w:rPr>
      </w:pPr>
    </w:p>
    <w:tbl>
      <w:tblPr>
        <w:tblStyle w:val="TableGrid"/>
        <w:tblW w:w="8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0"/>
        <w:gridCol w:w="4248"/>
      </w:tblGrid>
      <w:tr w:rsidR="00892A0D" w:rsidRPr="00DF4C0E" w:rsidTr="00892A0D">
        <w:tc>
          <w:tcPr>
            <w:tcW w:w="4248" w:type="dxa"/>
          </w:tcPr>
          <w:p w:rsidR="00892A0D" w:rsidRPr="00DF4C0E" w:rsidRDefault="00892A0D" w:rsidP="00892A0D">
            <w:pPr>
              <w:pStyle w:val="BodyText"/>
              <w:jc w:val="left"/>
              <w:rPr>
                <w:sz w:val="25"/>
                <w:szCs w:val="25"/>
              </w:rPr>
            </w:pPr>
            <w:r w:rsidRPr="00DF4C0E">
              <w:rPr>
                <w:sz w:val="25"/>
                <w:szCs w:val="25"/>
              </w:rPr>
              <w:t>WASHINGTON UTILITIES AND TRANSPORTATION COMMISSION,</w:t>
            </w:r>
          </w:p>
          <w:p w:rsidR="00892A0D" w:rsidRPr="00DF4C0E" w:rsidRDefault="00892A0D" w:rsidP="00892A0D">
            <w:pPr>
              <w:pStyle w:val="BodyText"/>
              <w:jc w:val="left"/>
              <w:rPr>
                <w:sz w:val="25"/>
                <w:szCs w:val="25"/>
              </w:rPr>
            </w:pPr>
          </w:p>
          <w:p w:rsidR="00892A0D" w:rsidRPr="00DF4C0E" w:rsidRDefault="00892A0D" w:rsidP="00892A0D">
            <w:pPr>
              <w:pStyle w:val="BodyText"/>
              <w:tabs>
                <w:tab w:val="left" w:pos="2174"/>
              </w:tabs>
              <w:jc w:val="left"/>
              <w:rPr>
                <w:sz w:val="25"/>
                <w:szCs w:val="25"/>
              </w:rPr>
            </w:pPr>
            <w:r w:rsidRPr="00DF4C0E">
              <w:rPr>
                <w:sz w:val="25"/>
                <w:szCs w:val="25"/>
              </w:rPr>
              <w:tab/>
              <w:t>Complainant,</w:t>
            </w:r>
          </w:p>
          <w:p w:rsidR="00892A0D" w:rsidRPr="00DF4C0E" w:rsidRDefault="00892A0D" w:rsidP="00892A0D">
            <w:pPr>
              <w:pStyle w:val="BodyText"/>
              <w:tabs>
                <w:tab w:val="left" w:pos="2174"/>
              </w:tabs>
              <w:jc w:val="left"/>
              <w:rPr>
                <w:sz w:val="25"/>
                <w:szCs w:val="25"/>
              </w:rPr>
            </w:pPr>
          </w:p>
          <w:p w:rsidR="00892A0D" w:rsidRPr="00DF4C0E" w:rsidRDefault="00892A0D" w:rsidP="00892A0D">
            <w:pPr>
              <w:pStyle w:val="BodyText"/>
              <w:tabs>
                <w:tab w:val="left" w:pos="2174"/>
              </w:tabs>
              <w:jc w:val="left"/>
              <w:rPr>
                <w:sz w:val="25"/>
                <w:szCs w:val="25"/>
              </w:rPr>
            </w:pPr>
            <w:r w:rsidRPr="00DF4C0E">
              <w:rPr>
                <w:sz w:val="25"/>
                <w:szCs w:val="25"/>
              </w:rPr>
              <w:t>v.</w:t>
            </w:r>
          </w:p>
          <w:p w:rsidR="00892A0D" w:rsidRPr="00DF4C0E" w:rsidRDefault="00892A0D" w:rsidP="00892A0D">
            <w:pPr>
              <w:pStyle w:val="BodyText"/>
              <w:tabs>
                <w:tab w:val="left" w:pos="2174"/>
              </w:tabs>
              <w:jc w:val="left"/>
              <w:rPr>
                <w:sz w:val="25"/>
                <w:szCs w:val="25"/>
              </w:rPr>
            </w:pPr>
          </w:p>
          <w:p w:rsidR="00892A0D" w:rsidRPr="00DF4C0E" w:rsidRDefault="005E6F51" w:rsidP="00892A0D">
            <w:pPr>
              <w:pStyle w:val="BodyText"/>
              <w:tabs>
                <w:tab w:val="left" w:pos="2174"/>
              </w:tabs>
              <w:jc w:val="left"/>
              <w:rPr>
                <w:sz w:val="25"/>
                <w:szCs w:val="25"/>
              </w:rPr>
            </w:pPr>
            <w:r w:rsidRPr="00DF4C0E">
              <w:rPr>
                <w:sz w:val="25"/>
                <w:szCs w:val="25"/>
              </w:rPr>
              <w:t>WASTE CONTROL, INC.</w:t>
            </w:r>
            <w:r w:rsidR="003C3D41" w:rsidRPr="00DF4C0E">
              <w:rPr>
                <w:sz w:val="25"/>
                <w:szCs w:val="25"/>
              </w:rPr>
              <w:t xml:space="preserve"> (G-101)</w:t>
            </w:r>
            <w:r w:rsidR="00892A0D" w:rsidRPr="00DF4C0E">
              <w:rPr>
                <w:sz w:val="25"/>
                <w:szCs w:val="25"/>
              </w:rPr>
              <w:t>,</w:t>
            </w:r>
          </w:p>
          <w:p w:rsidR="00892A0D" w:rsidRPr="00DF4C0E" w:rsidRDefault="00892A0D" w:rsidP="00892A0D">
            <w:pPr>
              <w:pStyle w:val="BodyText"/>
              <w:tabs>
                <w:tab w:val="left" w:pos="2174"/>
              </w:tabs>
              <w:jc w:val="left"/>
              <w:rPr>
                <w:sz w:val="25"/>
                <w:szCs w:val="25"/>
              </w:rPr>
            </w:pPr>
          </w:p>
          <w:p w:rsidR="00892A0D" w:rsidRPr="00DF4C0E" w:rsidRDefault="00892A0D" w:rsidP="00892A0D">
            <w:pPr>
              <w:pStyle w:val="BodyText"/>
              <w:tabs>
                <w:tab w:val="left" w:pos="2174"/>
              </w:tabs>
              <w:jc w:val="left"/>
              <w:rPr>
                <w:sz w:val="25"/>
                <w:szCs w:val="25"/>
              </w:rPr>
            </w:pPr>
            <w:r w:rsidRPr="00DF4C0E">
              <w:rPr>
                <w:sz w:val="25"/>
                <w:szCs w:val="25"/>
              </w:rPr>
              <w:tab/>
              <w:t>Respondent.</w:t>
            </w:r>
          </w:p>
          <w:p w:rsidR="000A30D2" w:rsidRPr="00DF4C0E" w:rsidRDefault="000A30D2" w:rsidP="00892A0D">
            <w:pPr>
              <w:pStyle w:val="BodyText"/>
              <w:tabs>
                <w:tab w:val="left" w:pos="2174"/>
              </w:tabs>
              <w:jc w:val="left"/>
              <w:rPr>
                <w:sz w:val="25"/>
                <w:szCs w:val="25"/>
              </w:rPr>
            </w:pPr>
          </w:p>
          <w:p w:rsidR="00892A0D" w:rsidRPr="00DF4C0E" w:rsidRDefault="00892A0D" w:rsidP="00892A0D">
            <w:pPr>
              <w:pStyle w:val="BodyText"/>
              <w:tabs>
                <w:tab w:val="left" w:pos="2174"/>
              </w:tabs>
              <w:jc w:val="left"/>
              <w:rPr>
                <w:sz w:val="25"/>
                <w:szCs w:val="25"/>
              </w:rPr>
            </w:pPr>
            <w:r w:rsidRPr="00DF4C0E">
              <w:rPr>
                <w:sz w:val="25"/>
                <w:szCs w:val="25"/>
              </w:rPr>
              <w:t>. . . . . . . . . . . . . . . . . . . . . . . . . . . . . . . .</w:t>
            </w:r>
          </w:p>
        </w:tc>
        <w:tc>
          <w:tcPr>
            <w:tcW w:w="450" w:type="dxa"/>
          </w:tcPr>
          <w:p w:rsidR="00892A0D" w:rsidRPr="00DF4C0E" w:rsidRDefault="00892A0D" w:rsidP="00892A0D">
            <w:pPr>
              <w:pStyle w:val="BodyText"/>
              <w:jc w:val="left"/>
              <w:rPr>
                <w:sz w:val="25"/>
                <w:szCs w:val="25"/>
              </w:rPr>
            </w:pPr>
            <w:r w:rsidRPr="00DF4C0E">
              <w:rPr>
                <w:sz w:val="25"/>
                <w:szCs w:val="25"/>
              </w:rPr>
              <w:t>)</w:t>
            </w:r>
          </w:p>
          <w:p w:rsidR="00892A0D" w:rsidRPr="00DF4C0E" w:rsidRDefault="00892A0D" w:rsidP="00892A0D">
            <w:pPr>
              <w:pStyle w:val="BodyText"/>
              <w:jc w:val="left"/>
              <w:rPr>
                <w:sz w:val="25"/>
                <w:szCs w:val="25"/>
              </w:rPr>
            </w:pPr>
            <w:r w:rsidRPr="00DF4C0E">
              <w:rPr>
                <w:sz w:val="25"/>
                <w:szCs w:val="25"/>
              </w:rPr>
              <w:t>)</w:t>
            </w:r>
          </w:p>
          <w:p w:rsidR="00892A0D" w:rsidRPr="00DF4C0E" w:rsidRDefault="00892A0D" w:rsidP="00892A0D">
            <w:pPr>
              <w:pStyle w:val="BodyText"/>
              <w:jc w:val="left"/>
              <w:rPr>
                <w:sz w:val="25"/>
                <w:szCs w:val="25"/>
              </w:rPr>
            </w:pPr>
            <w:r w:rsidRPr="00DF4C0E">
              <w:rPr>
                <w:sz w:val="25"/>
                <w:szCs w:val="25"/>
              </w:rPr>
              <w:t>)</w:t>
            </w:r>
          </w:p>
          <w:p w:rsidR="00892A0D" w:rsidRPr="00DF4C0E" w:rsidRDefault="00892A0D" w:rsidP="00892A0D">
            <w:pPr>
              <w:pStyle w:val="BodyText"/>
              <w:jc w:val="left"/>
              <w:rPr>
                <w:sz w:val="25"/>
                <w:szCs w:val="25"/>
              </w:rPr>
            </w:pPr>
            <w:r w:rsidRPr="00DF4C0E">
              <w:rPr>
                <w:sz w:val="25"/>
                <w:szCs w:val="25"/>
              </w:rPr>
              <w:t>)</w:t>
            </w:r>
          </w:p>
          <w:p w:rsidR="00892A0D" w:rsidRPr="00DF4C0E" w:rsidRDefault="00892A0D" w:rsidP="00892A0D">
            <w:pPr>
              <w:pStyle w:val="BodyText"/>
              <w:jc w:val="left"/>
              <w:rPr>
                <w:sz w:val="25"/>
                <w:szCs w:val="25"/>
              </w:rPr>
            </w:pPr>
            <w:r w:rsidRPr="00DF4C0E">
              <w:rPr>
                <w:sz w:val="25"/>
                <w:szCs w:val="25"/>
              </w:rPr>
              <w:t>)</w:t>
            </w:r>
          </w:p>
          <w:p w:rsidR="00892A0D" w:rsidRPr="00DF4C0E" w:rsidRDefault="00892A0D" w:rsidP="00892A0D">
            <w:pPr>
              <w:pStyle w:val="BodyText"/>
              <w:jc w:val="left"/>
              <w:rPr>
                <w:sz w:val="25"/>
                <w:szCs w:val="25"/>
              </w:rPr>
            </w:pPr>
            <w:r w:rsidRPr="00DF4C0E">
              <w:rPr>
                <w:sz w:val="25"/>
                <w:szCs w:val="25"/>
              </w:rPr>
              <w:t>)</w:t>
            </w:r>
          </w:p>
          <w:p w:rsidR="00892A0D" w:rsidRPr="00DF4C0E" w:rsidRDefault="00892A0D" w:rsidP="00892A0D">
            <w:pPr>
              <w:pStyle w:val="BodyText"/>
              <w:jc w:val="left"/>
              <w:rPr>
                <w:sz w:val="25"/>
                <w:szCs w:val="25"/>
              </w:rPr>
            </w:pPr>
            <w:r w:rsidRPr="00DF4C0E">
              <w:rPr>
                <w:sz w:val="25"/>
                <w:szCs w:val="25"/>
              </w:rPr>
              <w:t>)</w:t>
            </w:r>
          </w:p>
          <w:p w:rsidR="00892A0D" w:rsidRPr="00DF4C0E" w:rsidRDefault="00892A0D" w:rsidP="00892A0D">
            <w:pPr>
              <w:pStyle w:val="BodyText"/>
              <w:jc w:val="left"/>
              <w:rPr>
                <w:sz w:val="25"/>
                <w:szCs w:val="25"/>
              </w:rPr>
            </w:pPr>
            <w:r w:rsidRPr="00DF4C0E">
              <w:rPr>
                <w:sz w:val="25"/>
                <w:szCs w:val="25"/>
              </w:rPr>
              <w:t>)</w:t>
            </w:r>
          </w:p>
          <w:p w:rsidR="00892A0D" w:rsidRPr="00DF4C0E" w:rsidRDefault="00892A0D" w:rsidP="00892A0D">
            <w:pPr>
              <w:pStyle w:val="BodyText"/>
              <w:jc w:val="left"/>
              <w:rPr>
                <w:sz w:val="25"/>
                <w:szCs w:val="25"/>
              </w:rPr>
            </w:pPr>
            <w:r w:rsidRPr="00DF4C0E">
              <w:rPr>
                <w:sz w:val="25"/>
                <w:szCs w:val="25"/>
              </w:rPr>
              <w:t>)</w:t>
            </w:r>
          </w:p>
          <w:p w:rsidR="00892A0D" w:rsidRPr="00DF4C0E" w:rsidRDefault="00892A0D" w:rsidP="00892A0D">
            <w:pPr>
              <w:pStyle w:val="BodyText"/>
              <w:jc w:val="left"/>
              <w:rPr>
                <w:sz w:val="25"/>
                <w:szCs w:val="25"/>
              </w:rPr>
            </w:pPr>
            <w:r w:rsidRPr="00DF4C0E">
              <w:rPr>
                <w:sz w:val="25"/>
                <w:szCs w:val="25"/>
              </w:rPr>
              <w:t>)</w:t>
            </w:r>
          </w:p>
          <w:p w:rsidR="00892A0D" w:rsidRPr="00DF4C0E" w:rsidRDefault="00892A0D" w:rsidP="00892A0D">
            <w:pPr>
              <w:pStyle w:val="BodyText"/>
              <w:jc w:val="left"/>
              <w:rPr>
                <w:sz w:val="25"/>
                <w:szCs w:val="25"/>
              </w:rPr>
            </w:pPr>
            <w:r w:rsidRPr="00DF4C0E">
              <w:rPr>
                <w:sz w:val="25"/>
                <w:szCs w:val="25"/>
              </w:rPr>
              <w:t>)</w:t>
            </w:r>
          </w:p>
          <w:p w:rsidR="000A30D2" w:rsidRPr="00DF4C0E" w:rsidRDefault="00892A0D" w:rsidP="006F16E7">
            <w:pPr>
              <w:pStyle w:val="BodyText"/>
              <w:jc w:val="left"/>
              <w:rPr>
                <w:sz w:val="25"/>
                <w:szCs w:val="25"/>
              </w:rPr>
            </w:pPr>
            <w:r w:rsidRPr="00DF4C0E">
              <w:rPr>
                <w:sz w:val="25"/>
                <w:szCs w:val="25"/>
              </w:rPr>
              <w:t>)</w:t>
            </w:r>
          </w:p>
        </w:tc>
        <w:tc>
          <w:tcPr>
            <w:tcW w:w="4248" w:type="dxa"/>
          </w:tcPr>
          <w:p w:rsidR="00892A0D" w:rsidRPr="00DF4C0E" w:rsidRDefault="005E6F51" w:rsidP="00892A0D">
            <w:pPr>
              <w:pStyle w:val="BodyText"/>
              <w:jc w:val="left"/>
              <w:rPr>
                <w:sz w:val="25"/>
                <w:szCs w:val="25"/>
              </w:rPr>
            </w:pPr>
            <w:r w:rsidRPr="00DF4C0E">
              <w:rPr>
                <w:sz w:val="25"/>
                <w:szCs w:val="25"/>
              </w:rPr>
              <w:t>DO</w:t>
            </w:r>
            <w:r w:rsidR="000E4BC9" w:rsidRPr="00DF4C0E">
              <w:rPr>
                <w:sz w:val="25"/>
                <w:szCs w:val="25"/>
              </w:rPr>
              <w:t>CKET TG</w:t>
            </w:r>
            <w:r w:rsidRPr="00DF4C0E">
              <w:rPr>
                <w:sz w:val="25"/>
                <w:szCs w:val="25"/>
              </w:rPr>
              <w:t>-131794</w:t>
            </w:r>
          </w:p>
          <w:p w:rsidR="00892A0D" w:rsidRPr="00DF4C0E" w:rsidRDefault="00892A0D" w:rsidP="00892A0D">
            <w:pPr>
              <w:pStyle w:val="BodyText"/>
              <w:jc w:val="left"/>
              <w:rPr>
                <w:sz w:val="25"/>
                <w:szCs w:val="25"/>
              </w:rPr>
            </w:pPr>
          </w:p>
          <w:p w:rsidR="00892A0D" w:rsidRPr="00DF4C0E" w:rsidRDefault="00892A0D" w:rsidP="00892A0D">
            <w:pPr>
              <w:pStyle w:val="BodyText"/>
              <w:jc w:val="left"/>
              <w:rPr>
                <w:sz w:val="25"/>
                <w:szCs w:val="25"/>
              </w:rPr>
            </w:pPr>
          </w:p>
          <w:p w:rsidR="00892A0D" w:rsidRPr="00DF4C0E" w:rsidRDefault="00892A0D" w:rsidP="00892A0D">
            <w:pPr>
              <w:pStyle w:val="BodyText"/>
              <w:jc w:val="left"/>
              <w:rPr>
                <w:sz w:val="25"/>
                <w:szCs w:val="25"/>
              </w:rPr>
            </w:pPr>
            <w:r w:rsidRPr="00DF4C0E">
              <w:rPr>
                <w:sz w:val="25"/>
                <w:szCs w:val="25"/>
              </w:rPr>
              <w:t>ORDER 0</w:t>
            </w:r>
            <w:r w:rsidR="007B09C5" w:rsidRPr="00DF4C0E">
              <w:rPr>
                <w:sz w:val="25"/>
                <w:szCs w:val="25"/>
              </w:rPr>
              <w:t>4</w:t>
            </w:r>
          </w:p>
          <w:p w:rsidR="00892A0D" w:rsidRPr="00DF4C0E" w:rsidRDefault="00892A0D" w:rsidP="00892A0D">
            <w:pPr>
              <w:pStyle w:val="BodyText"/>
              <w:jc w:val="left"/>
              <w:rPr>
                <w:sz w:val="25"/>
                <w:szCs w:val="25"/>
              </w:rPr>
            </w:pPr>
          </w:p>
          <w:p w:rsidR="00CC64FE" w:rsidRPr="00DF4C0E" w:rsidRDefault="00CC64FE" w:rsidP="00892A0D">
            <w:pPr>
              <w:pStyle w:val="BodyText"/>
              <w:jc w:val="left"/>
              <w:rPr>
                <w:sz w:val="25"/>
                <w:szCs w:val="25"/>
              </w:rPr>
            </w:pPr>
          </w:p>
          <w:p w:rsidR="007B09C5" w:rsidRPr="00DF4C0E" w:rsidRDefault="006D2993" w:rsidP="007B09C5">
            <w:pPr>
              <w:spacing w:line="264" w:lineRule="auto"/>
              <w:rPr>
                <w:b/>
                <w:sz w:val="25"/>
                <w:szCs w:val="25"/>
              </w:rPr>
            </w:pPr>
            <w:r w:rsidRPr="00DF4C0E">
              <w:rPr>
                <w:sz w:val="25"/>
                <w:szCs w:val="25"/>
              </w:rPr>
              <w:t>ORDER</w:t>
            </w:r>
            <w:r w:rsidR="003D1190" w:rsidRPr="00DF4C0E">
              <w:rPr>
                <w:sz w:val="25"/>
                <w:szCs w:val="25"/>
              </w:rPr>
              <w:t xml:space="preserve"> APPROVING TEMPORARY </w:t>
            </w:r>
            <w:r w:rsidR="0098396F" w:rsidRPr="00DF4C0E">
              <w:rPr>
                <w:sz w:val="25"/>
                <w:szCs w:val="25"/>
              </w:rPr>
              <w:t xml:space="preserve">SPECIAL </w:t>
            </w:r>
            <w:r w:rsidR="003D1190" w:rsidRPr="00DF4C0E">
              <w:rPr>
                <w:sz w:val="25"/>
                <w:szCs w:val="25"/>
              </w:rPr>
              <w:t xml:space="preserve">FUEL SURCHARGE ON LESS THAN STATUTORY NOTICE </w:t>
            </w:r>
          </w:p>
          <w:p w:rsidR="006F16E7" w:rsidRPr="00DF4C0E" w:rsidRDefault="006F16E7" w:rsidP="006D2993">
            <w:pPr>
              <w:spacing w:line="264" w:lineRule="auto"/>
              <w:rPr>
                <w:b/>
                <w:sz w:val="25"/>
                <w:szCs w:val="25"/>
              </w:rPr>
            </w:pPr>
          </w:p>
          <w:p w:rsidR="006D2993" w:rsidRPr="00DF4C0E" w:rsidRDefault="006D2993" w:rsidP="006D2993">
            <w:pPr>
              <w:spacing w:line="264" w:lineRule="auto"/>
              <w:rPr>
                <w:b/>
                <w:sz w:val="25"/>
                <w:szCs w:val="25"/>
              </w:rPr>
            </w:pPr>
          </w:p>
          <w:p w:rsidR="00892A0D" w:rsidRPr="00DF4C0E" w:rsidRDefault="00892A0D">
            <w:pPr>
              <w:pStyle w:val="BodyText"/>
              <w:jc w:val="left"/>
              <w:rPr>
                <w:sz w:val="25"/>
                <w:szCs w:val="25"/>
              </w:rPr>
            </w:pPr>
          </w:p>
        </w:tc>
      </w:tr>
    </w:tbl>
    <w:p w:rsidR="005711E5" w:rsidRPr="00DF4C0E" w:rsidRDefault="005711E5">
      <w:pPr>
        <w:pStyle w:val="Header"/>
        <w:tabs>
          <w:tab w:val="clear" w:pos="4320"/>
          <w:tab w:val="clear" w:pos="8640"/>
        </w:tabs>
        <w:rPr>
          <w:sz w:val="25"/>
          <w:szCs w:val="25"/>
        </w:rPr>
        <w:sectPr w:rsidR="005711E5" w:rsidRPr="00DF4C0E">
          <w:headerReference w:type="default" r:id="rId9"/>
          <w:headerReference w:type="first" r:id="rId10"/>
          <w:pgSz w:w="12240" w:h="15840"/>
          <w:pgMar w:top="1440" w:right="1440" w:bottom="1440" w:left="2160" w:header="720" w:footer="720" w:gutter="0"/>
          <w:cols w:space="720"/>
          <w:titlePg/>
          <w:docGrid w:linePitch="360"/>
        </w:sectPr>
      </w:pPr>
    </w:p>
    <w:p w:rsidR="00434B19" w:rsidRPr="00DF4C0E" w:rsidRDefault="00434B19" w:rsidP="00892A0D">
      <w:pPr>
        <w:rPr>
          <w:sz w:val="25"/>
          <w:szCs w:val="25"/>
        </w:rPr>
      </w:pPr>
    </w:p>
    <w:p w:rsidR="001C5C92" w:rsidRPr="00DF4C0E" w:rsidRDefault="001C5C92" w:rsidP="00892A0D">
      <w:pPr>
        <w:rPr>
          <w:sz w:val="25"/>
          <w:szCs w:val="25"/>
        </w:rPr>
      </w:pPr>
    </w:p>
    <w:p w:rsidR="004059E6" w:rsidRPr="00DF4C0E" w:rsidRDefault="00DC3D40" w:rsidP="004059E6">
      <w:pPr>
        <w:numPr>
          <w:ilvl w:val="0"/>
          <w:numId w:val="2"/>
        </w:numPr>
        <w:spacing w:line="288" w:lineRule="auto"/>
        <w:rPr>
          <w:sz w:val="25"/>
          <w:szCs w:val="25"/>
        </w:rPr>
      </w:pPr>
      <w:r w:rsidRPr="00DF4C0E">
        <w:rPr>
          <w:b/>
          <w:sz w:val="25"/>
          <w:szCs w:val="25"/>
        </w:rPr>
        <w:t>NATURE OF PROCEEDING.</w:t>
      </w:r>
      <w:r w:rsidR="004059E6" w:rsidRPr="00DF4C0E">
        <w:rPr>
          <w:b/>
          <w:sz w:val="25"/>
          <w:szCs w:val="25"/>
        </w:rPr>
        <w:t xml:space="preserve">  </w:t>
      </w:r>
      <w:r w:rsidR="002D3B16" w:rsidRPr="00DF4C0E">
        <w:rPr>
          <w:sz w:val="25"/>
          <w:szCs w:val="25"/>
        </w:rPr>
        <w:t>On September 23, 2013, Waste Control, Inc. (Waste Control or Company) filed with the Washington Utilities and Transportation Commission (Commission) new Tariff No. 15 reflecting a general rate increase</w:t>
      </w:r>
      <w:r w:rsidR="007B09C5" w:rsidRPr="00DF4C0E">
        <w:rPr>
          <w:sz w:val="25"/>
          <w:szCs w:val="25"/>
        </w:rPr>
        <w:t xml:space="preserve"> of approximately $392,000 (11.4 percent) in additional annual revenue.</w:t>
      </w:r>
      <w:r w:rsidR="002D3B16" w:rsidRPr="00DF4C0E">
        <w:rPr>
          <w:sz w:val="25"/>
          <w:szCs w:val="25"/>
        </w:rPr>
        <w:t xml:space="preserve">  </w:t>
      </w:r>
      <w:r w:rsidR="004059E6" w:rsidRPr="00DF4C0E">
        <w:rPr>
          <w:sz w:val="25"/>
          <w:szCs w:val="25"/>
        </w:rPr>
        <w:t xml:space="preserve">On </w:t>
      </w:r>
      <w:r w:rsidR="000F6A61" w:rsidRPr="00DF4C0E">
        <w:rPr>
          <w:sz w:val="25"/>
          <w:szCs w:val="25"/>
        </w:rPr>
        <w:t>October 10</w:t>
      </w:r>
      <w:r w:rsidR="004059E6" w:rsidRPr="00DF4C0E">
        <w:rPr>
          <w:sz w:val="25"/>
          <w:szCs w:val="25"/>
        </w:rPr>
        <w:t>, 201</w:t>
      </w:r>
      <w:r w:rsidR="000F6A61" w:rsidRPr="00DF4C0E">
        <w:rPr>
          <w:sz w:val="25"/>
          <w:szCs w:val="25"/>
        </w:rPr>
        <w:t>3</w:t>
      </w:r>
      <w:r w:rsidR="004059E6" w:rsidRPr="00DF4C0E">
        <w:rPr>
          <w:sz w:val="25"/>
          <w:szCs w:val="25"/>
        </w:rPr>
        <w:t xml:space="preserve">, the </w:t>
      </w:r>
      <w:r w:rsidR="004059E6" w:rsidRPr="00DF4C0E">
        <w:rPr>
          <w:bCs/>
          <w:sz w:val="25"/>
          <w:szCs w:val="25"/>
        </w:rPr>
        <w:t xml:space="preserve">Commission entered Order 01 in this docket </w:t>
      </w:r>
      <w:r w:rsidR="000F6A61" w:rsidRPr="00DF4C0E">
        <w:rPr>
          <w:bCs/>
          <w:sz w:val="25"/>
          <w:szCs w:val="25"/>
        </w:rPr>
        <w:t>denying Waste Control</w:t>
      </w:r>
      <w:r w:rsidR="00B44ED0" w:rsidRPr="00DF4C0E">
        <w:rPr>
          <w:bCs/>
          <w:sz w:val="25"/>
          <w:szCs w:val="25"/>
        </w:rPr>
        <w:t>’s</w:t>
      </w:r>
      <w:r w:rsidR="000F6A61" w:rsidRPr="00DF4C0E">
        <w:rPr>
          <w:bCs/>
          <w:sz w:val="25"/>
          <w:szCs w:val="25"/>
        </w:rPr>
        <w:t xml:space="preserve"> request for exemption from WAC 480-07-520(4)(j), which requires solid waste companies to include certain information in general rate increase filings</w:t>
      </w:r>
      <w:r w:rsidR="004059E6" w:rsidRPr="00DF4C0E">
        <w:rPr>
          <w:bCs/>
          <w:sz w:val="25"/>
          <w:szCs w:val="25"/>
        </w:rPr>
        <w:t xml:space="preserve">.  </w:t>
      </w:r>
      <w:r w:rsidR="000F6A61" w:rsidRPr="00DF4C0E">
        <w:rPr>
          <w:bCs/>
          <w:sz w:val="25"/>
          <w:szCs w:val="25"/>
        </w:rPr>
        <w:t xml:space="preserve">On November 27, 2013, the Commission </w:t>
      </w:r>
      <w:r w:rsidR="001C37C8" w:rsidRPr="00DF4C0E">
        <w:rPr>
          <w:bCs/>
          <w:sz w:val="25"/>
          <w:szCs w:val="25"/>
        </w:rPr>
        <w:t xml:space="preserve">entered </w:t>
      </w:r>
      <w:r w:rsidR="008D1805" w:rsidRPr="00DF4C0E">
        <w:rPr>
          <w:bCs/>
          <w:sz w:val="25"/>
          <w:szCs w:val="25"/>
        </w:rPr>
        <w:t xml:space="preserve">Order 02, </w:t>
      </w:r>
      <w:r w:rsidR="000F6A61" w:rsidRPr="00DF4C0E">
        <w:rPr>
          <w:bCs/>
          <w:sz w:val="25"/>
          <w:szCs w:val="25"/>
        </w:rPr>
        <w:t>a complaint and order suspending Waste Control’s revised tariff</w:t>
      </w:r>
      <w:r w:rsidR="005A10B4" w:rsidRPr="00DF4C0E">
        <w:rPr>
          <w:bCs/>
          <w:sz w:val="25"/>
          <w:szCs w:val="25"/>
        </w:rPr>
        <w:t xml:space="preserve"> pending Commission investigation of the proposed rates,</w:t>
      </w:r>
      <w:r w:rsidR="000F6A61" w:rsidRPr="00DF4C0E">
        <w:rPr>
          <w:bCs/>
          <w:sz w:val="25"/>
          <w:szCs w:val="25"/>
        </w:rPr>
        <w:t xml:space="preserve"> and allowed </w:t>
      </w:r>
      <w:r w:rsidR="008D1805" w:rsidRPr="00DF4C0E">
        <w:rPr>
          <w:bCs/>
          <w:sz w:val="25"/>
          <w:szCs w:val="25"/>
        </w:rPr>
        <w:t xml:space="preserve">Waste Control’s proposed </w:t>
      </w:r>
      <w:r w:rsidR="007B09C5" w:rsidRPr="00DF4C0E">
        <w:rPr>
          <w:bCs/>
          <w:sz w:val="25"/>
          <w:szCs w:val="25"/>
        </w:rPr>
        <w:t>disposal fees</w:t>
      </w:r>
      <w:r w:rsidR="000F6A61" w:rsidRPr="00DF4C0E">
        <w:rPr>
          <w:bCs/>
          <w:sz w:val="25"/>
          <w:szCs w:val="25"/>
        </w:rPr>
        <w:t xml:space="preserve"> </w:t>
      </w:r>
      <w:r w:rsidR="001C37C8" w:rsidRPr="00DF4C0E">
        <w:rPr>
          <w:bCs/>
          <w:sz w:val="25"/>
          <w:szCs w:val="25"/>
        </w:rPr>
        <w:t xml:space="preserve">to become effective </w:t>
      </w:r>
      <w:r w:rsidR="000F6A61" w:rsidRPr="00DF4C0E">
        <w:rPr>
          <w:bCs/>
          <w:sz w:val="25"/>
          <w:szCs w:val="25"/>
        </w:rPr>
        <w:t>on a temporary basis, subject to refund.</w:t>
      </w:r>
      <w:r w:rsidR="008C0C7D" w:rsidRPr="00DF4C0E">
        <w:rPr>
          <w:rStyle w:val="FootnoteReference"/>
          <w:bCs/>
          <w:sz w:val="25"/>
          <w:szCs w:val="25"/>
        </w:rPr>
        <w:footnoteReference w:id="1"/>
      </w:r>
      <w:r w:rsidR="008D1805" w:rsidRPr="00DF4C0E">
        <w:rPr>
          <w:bCs/>
          <w:sz w:val="25"/>
          <w:szCs w:val="25"/>
        </w:rPr>
        <w:t xml:space="preserve"> </w:t>
      </w:r>
      <w:r w:rsidR="004059E6" w:rsidRPr="00DF4C0E">
        <w:rPr>
          <w:bCs/>
          <w:sz w:val="25"/>
          <w:szCs w:val="25"/>
        </w:rPr>
        <w:t xml:space="preserve">   </w:t>
      </w:r>
    </w:p>
    <w:p w:rsidR="002B02ED" w:rsidRPr="00DF4C0E" w:rsidRDefault="002B02ED" w:rsidP="002B02ED">
      <w:pPr>
        <w:spacing w:line="288" w:lineRule="auto"/>
        <w:rPr>
          <w:sz w:val="25"/>
          <w:szCs w:val="25"/>
        </w:rPr>
      </w:pPr>
    </w:p>
    <w:p w:rsidR="003A54DE" w:rsidRPr="00DF4C0E" w:rsidRDefault="004872D8" w:rsidP="008446C2">
      <w:pPr>
        <w:numPr>
          <w:ilvl w:val="0"/>
          <w:numId w:val="2"/>
        </w:numPr>
        <w:spacing w:line="288" w:lineRule="auto"/>
        <w:rPr>
          <w:sz w:val="25"/>
          <w:szCs w:val="25"/>
        </w:rPr>
      </w:pPr>
      <w:r w:rsidRPr="00DF4C0E">
        <w:rPr>
          <w:b/>
          <w:sz w:val="25"/>
          <w:szCs w:val="25"/>
        </w:rPr>
        <w:t>MOTION TO LIFT SUSPENSION</w:t>
      </w:r>
      <w:r w:rsidR="008446C2" w:rsidRPr="00DF4C0E">
        <w:rPr>
          <w:b/>
          <w:sz w:val="25"/>
          <w:szCs w:val="25"/>
        </w:rPr>
        <w:t xml:space="preserve"> AND APPROVE SURCHARGE</w:t>
      </w:r>
      <w:r w:rsidR="004059E6" w:rsidRPr="00DF4C0E">
        <w:rPr>
          <w:b/>
          <w:bCs/>
          <w:sz w:val="25"/>
          <w:szCs w:val="25"/>
        </w:rPr>
        <w:t>.</w:t>
      </w:r>
      <w:r w:rsidR="004059E6" w:rsidRPr="00DF4C0E">
        <w:rPr>
          <w:sz w:val="25"/>
          <w:szCs w:val="25"/>
        </w:rPr>
        <w:t xml:space="preserve">  </w:t>
      </w:r>
      <w:r w:rsidR="006B237C" w:rsidRPr="00DF4C0E">
        <w:rPr>
          <w:sz w:val="25"/>
          <w:szCs w:val="25"/>
        </w:rPr>
        <w:t xml:space="preserve">On January 22, 2014, the Commission received a request from Waste Control </w:t>
      </w:r>
      <w:r w:rsidR="008446C2" w:rsidRPr="00DF4C0E">
        <w:rPr>
          <w:sz w:val="25"/>
          <w:szCs w:val="25"/>
        </w:rPr>
        <w:t xml:space="preserve">asking the Commission to lift the current suspension of the Company’s Tariff No. 15 and approve </w:t>
      </w:r>
      <w:r w:rsidR="00B767F2" w:rsidRPr="00DF4C0E">
        <w:rPr>
          <w:sz w:val="25"/>
          <w:szCs w:val="25"/>
        </w:rPr>
        <w:t>a Special Fuel S</w:t>
      </w:r>
      <w:r w:rsidR="006B237C" w:rsidRPr="00DF4C0E">
        <w:rPr>
          <w:sz w:val="25"/>
          <w:szCs w:val="25"/>
        </w:rPr>
        <w:t>urcharge in the amount of 1.13 percent with less than statutory notice</w:t>
      </w:r>
      <w:r w:rsidR="008446C2" w:rsidRPr="00DF4C0E">
        <w:rPr>
          <w:sz w:val="25"/>
          <w:szCs w:val="25"/>
        </w:rPr>
        <w:t xml:space="preserve"> (Motion)</w:t>
      </w:r>
      <w:r w:rsidR="006B237C" w:rsidRPr="00DF4C0E">
        <w:rPr>
          <w:sz w:val="25"/>
          <w:szCs w:val="25"/>
        </w:rPr>
        <w:t>.</w:t>
      </w:r>
      <w:r w:rsidR="006B237C" w:rsidRPr="00DF4C0E">
        <w:rPr>
          <w:rStyle w:val="FootnoteReference"/>
          <w:sz w:val="25"/>
          <w:szCs w:val="25"/>
        </w:rPr>
        <w:footnoteReference w:id="2"/>
      </w:r>
      <w:r w:rsidR="00974227" w:rsidRPr="00DF4C0E">
        <w:rPr>
          <w:sz w:val="25"/>
          <w:szCs w:val="25"/>
        </w:rPr>
        <w:t xml:space="preserve">  The Company </w:t>
      </w:r>
      <w:r w:rsidR="00B767F2" w:rsidRPr="00DF4C0E">
        <w:rPr>
          <w:sz w:val="25"/>
          <w:szCs w:val="25"/>
        </w:rPr>
        <w:t>stat</w:t>
      </w:r>
      <w:r w:rsidR="00974227" w:rsidRPr="00DF4C0E">
        <w:rPr>
          <w:sz w:val="25"/>
          <w:szCs w:val="25"/>
        </w:rPr>
        <w:t xml:space="preserve">ed that </w:t>
      </w:r>
      <w:r w:rsidR="00AA1325" w:rsidRPr="00DF4C0E">
        <w:rPr>
          <w:sz w:val="25"/>
          <w:szCs w:val="25"/>
        </w:rPr>
        <w:t xml:space="preserve">it incurred increased </w:t>
      </w:r>
      <w:r w:rsidR="006B237C" w:rsidRPr="00DF4C0E">
        <w:rPr>
          <w:sz w:val="25"/>
          <w:szCs w:val="25"/>
        </w:rPr>
        <w:t>fuel costs</w:t>
      </w:r>
      <w:r w:rsidR="00AA1325" w:rsidRPr="00DF4C0E">
        <w:rPr>
          <w:sz w:val="25"/>
          <w:szCs w:val="25"/>
        </w:rPr>
        <w:t>,</w:t>
      </w:r>
      <w:r w:rsidR="00974227" w:rsidRPr="00DF4C0E">
        <w:rPr>
          <w:sz w:val="25"/>
          <w:szCs w:val="25"/>
        </w:rPr>
        <w:t xml:space="preserve"> from $2.36 per gallon </w:t>
      </w:r>
      <w:r w:rsidR="00B767F2" w:rsidRPr="00DF4C0E">
        <w:rPr>
          <w:sz w:val="25"/>
          <w:szCs w:val="25"/>
        </w:rPr>
        <w:t xml:space="preserve">for the base period </w:t>
      </w:r>
      <w:r w:rsidR="00974227" w:rsidRPr="00DF4C0E">
        <w:rPr>
          <w:sz w:val="25"/>
          <w:szCs w:val="25"/>
        </w:rPr>
        <w:t>to $3</w:t>
      </w:r>
      <w:r w:rsidR="00AA1325" w:rsidRPr="00DF4C0E">
        <w:rPr>
          <w:sz w:val="25"/>
          <w:szCs w:val="25"/>
        </w:rPr>
        <w:t>.5955 per gallon</w:t>
      </w:r>
      <w:r w:rsidR="00B767F2" w:rsidRPr="00DF4C0E">
        <w:rPr>
          <w:sz w:val="25"/>
          <w:szCs w:val="25"/>
        </w:rPr>
        <w:t xml:space="preserve"> current price</w:t>
      </w:r>
      <w:r w:rsidR="00AA1325" w:rsidRPr="00DF4C0E">
        <w:rPr>
          <w:sz w:val="25"/>
          <w:szCs w:val="25"/>
        </w:rPr>
        <w:t>,</w:t>
      </w:r>
      <w:r w:rsidR="00974227" w:rsidRPr="00DF4C0E">
        <w:rPr>
          <w:sz w:val="25"/>
          <w:szCs w:val="25"/>
        </w:rPr>
        <w:t xml:space="preserve"> </w:t>
      </w:r>
      <w:r w:rsidR="006B237C" w:rsidRPr="00DF4C0E">
        <w:rPr>
          <w:sz w:val="25"/>
          <w:szCs w:val="25"/>
        </w:rPr>
        <w:t xml:space="preserve">during the months of November and </w:t>
      </w:r>
      <w:r w:rsidR="006B237C" w:rsidRPr="00DF4C0E">
        <w:rPr>
          <w:sz w:val="25"/>
          <w:szCs w:val="25"/>
        </w:rPr>
        <w:lastRenderedPageBreak/>
        <w:t>December 2013</w:t>
      </w:r>
      <w:r w:rsidR="00974227" w:rsidRPr="00DF4C0E">
        <w:rPr>
          <w:sz w:val="25"/>
          <w:szCs w:val="25"/>
        </w:rPr>
        <w:t xml:space="preserve">.  </w:t>
      </w:r>
      <w:r w:rsidR="00AA1325" w:rsidRPr="00DF4C0E">
        <w:rPr>
          <w:sz w:val="25"/>
          <w:szCs w:val="25"/>
        </w:rPr>
        <w:t>Waste Control</w:t>
      </w:r>
      <w:r w:rsidR="00974227" w:rsidRPr="00DF4C0E">
        <w:rPr>
          <w:sz w:val="25"/>
          <w:szCs w:val="25"/>
        </w:rPr>
        <w:t xml:space="preserve"> asked that the surcharge </w:t>
      </w:r>
      <w:r w:rsidR="006B237C" w:rsidRPr="00DF4C0E">
        <w:rPr>
          <w:sz w:val="25"/>
          <w:szCs w:val="25"/>
        </w:rPr>
        <w:t xml:space="preserve">temporarily become effective February 1, 2014, </w:t>
      </w:r>
      <w:r w:rsidR="008446C2" w:rsidRPr="00DF4C0E">
        <w:rPr>
          <w:sz w:val="25"/>
          <w:szCs w:val="25"/>
        </w:rPr>
        <w:t>for all customers</w:t>
      </w:r>
      <w:r w:rsidR="00974227" w:rsidRPr="00DF4C0E">
        <w:rPr>
          <w:sz w:val="25"/>
          <w:szCs w:val="25"/>
        </w:rPr>
        <w:t>,</w:t>
      </w:r>
      <w:r w:rsidR="008446C2" w:rsidRPr="00DF4C0E">
        <w:rPr>
          <w:sz w:val="25"/>
          <w:szCs w:val="25"/>
        </w:rPr>
        <w:t xml:space="preserve"> </w:t>
      </w:r>
      <w:r w:rsidR="006B237C" w:rsidRPr="00DF4C0E">
        <w:rPr>
          <w:sz w:val="25"/>
          <w:szCs w:val="25"/>
        </w:rPr>
        <w:t xml:space="preserve">and expire on April 30, 2014.   </w:t>
      </w:r>
    </w:p>
    <w:p w:rsidR="003A54DE" w:rsidRPr="00DF4C0E" w:rsidRDefault="003A54DE" w:rsidP="003A54DE">
      <w:pPr>
        <w:pStyle w:val="ListParagraph"/>
        <w:rPr>
          <w:sz w:val="25"/>
          <w:szCs w:val="25"/>
        </w:rPr>
      </w:pPr>
    </w:p>
    <w:p w:rsidR="00D03BB4" w:rsidRPr="00DF4C0E" w:rsidRDefault="008446C2" w:rsidP="008446C2">
      <w:pPr>
        <w:numPr>
          <w:ilvl w:val="0"/>
          <w:numId w:val="2"/>
        </w:numPr>
        <w:spacing w:line="288" w:lineRule="auto"/>
        <w:rPr>
          <w:sz w:val="25"/>
          <w:szCs w:val="25"/>
        </w:rPr>
      </w:pPr>
      <w:r w:rsidRPr="00DF4C0E">
        <w:rPr>
          <w:sz w:val="25"/>
          <w:szCs w:val="25"/>
        </w:rPr>
        <w:t>On January 29, 2014, Staff filed a response to Waste Control’s Motion (Response)</w:t>
      </w:r>
      <w:r w:rsidR="00D03BB4" w:rsidRPr="00DF4C0E">
        <w:rPr>
          <w:sz w:val="25"/>
          <w:szCs w:val="25"/>
        </w:rPr>
        <w:t xml:space="preserve">, raising </w:t>
      </w:r>
      <w:r w:rsidR="003A54DE" w:rsidRPr="00DF4C0E">
        <w:rPr>
          <w:sz w:val="25"/>
          <w:szCs w:val="25"/>
        </w:rPr>
        <w:t xml:space="preserve">several concerns regarding the Company’s </w:t>
      </w:r>
      <w:r w:rsidR="00B767F2" w:rsidRPr="00DF4C0E">
        <w:rPr>
          <w:sz w:val="25"/>
          <w:szCs w:val="25"/>
        </w:rPr>
        <w:t>request</w:t>
      </w:r>
      <w:r w:rsidR="003A54DE" w:rsidRPr="00DF4C0E">
        <w:rPr>
          <w:sz w:val="25"/>
          <w:szCs w:val="25"/>
        </w:rPr>
        <w:t>.  Specifically, Staff asserted that Waste Control’s fuel surcharge of 1.13 percent on all customers would result in excessive earnings and would unfairly discriminate between customers billed on different cycles.</w:t>
      </w:r>
      <w:r w:rsidR="003A54DE" w:rsidRPr="00DF4C0E">
        <w:rPr>
          <w:rStyle w:val="FootnoteReference"/>
          <w:sz w:val="25"/>
          <w:szCs w:val="25"/>
        </w:rPr>
        <w:footnoteReference w:id="3"/>
      </w:r>
      <w:r w:rsidR="003A54DE" w:rsidRPr="00DF4C0E">
        <w:rPr>
          <w:sz w:val="25"/>
          <w:szCs w:val="25"/>
        </w:rPr>
        <w:t xml:space="preserve">  </w:t>
      </w:r>
      <w:r w:rsidR="00D4753C" w:rsidRPr="00DF4C0E">
        <w:rPr>
          <w:sz w:val="25"/>
          <w:szCs w:val="25"/>
        </w:rPr>
        <w:t xml:space="preserve">With regard to the charge of excessive earnings, Staff claimed the Company failed to include the temporary disposal fees on </w:t>
      </w:r>
      <w:r w:rsidR="00B767F2" w:rsidRPr="00DF4C0E">
        <w:rPr>
          <w:sz w:val="25"/>
          <w:szCs w:val="25"/>
        </w:rPr>
        <w:t>its</w:t>
      </w:r>
      <w:r w:rsidR="001D2E1C" w:rsidRPr="00DF4C0E">
        <w:rPr>
          <w:sz w:val="25"/>
          <w:szCs w:val="25"/>
        </w:rPr>
        <w:t xml:space="preserve"> Fuel Surcharge Worksheet.</w:t>
      </w:r>
      <w:r w:rsidR="001D2E1C" w:rsidRPr="00DF4C0E">
        <w:rPr>
          <w:rStyle w:val="FootnoteReference"/>
          <w:sz w:val="25"/>
          <w:szCs w:val="25"/>
        </w:rPr>
        <w:footnoteReference w:id="4"/>
      </w:r>
      <w:r w:rsidR="001D2E1C" w:rsidRPr="00DF4C0E">
        <w:rPr>
          <w:sz w:val="25"/>
          <w:szCs w:val="25"/>
        </w:rPr>
        <w:t xml:space="preserve">  Waste Control indicated its regulated revenue filed with the Commission is $3,931,979</w:t>
      </w:r>
      <w:r w:rsidR="00B767F2" w:rsidRPr="00DF4C0E">
        <w:rPr>
          <w:sz w:val="25"/>
          <w:szCs w:val="25"/>
        </w:rPr>
        <w:t>, and</w:t>
      </w:r>
      <w:r w:rsidR="001D2E1C" w:rsidRPr="00DF4C0E">
        <w:rPr>
          <w:sz w:val="25"/>
          <w:szCs w:val="25"/>
        </w:rPr>
        <w:t xml:space="preserve"> Staff </w:t>
      </w:r>
      <w:r w:rsidR="00B767F2" w:rsidRPr="00DF4C0E">
        <w:rPr>
          <w:sz w:val="25"/>
          <w:szCs w:val="25"/>
        </w:rPr>
        <w:t>argu</w:t>
      </w:r>
      <w:r w:rsidR="001D2E1C" w:rsidRPr="00DF4C0E">
        <w:rPr>
          <w:sz w:val="25"/>
          <w:szCs w:val="25"/>
        </w:rPr>
        <w:t>ed that this number should actually be $176,638 higher, or $4,108,</w:t>
      </w:r>
      <w:r w:rsidR="00B767F2" w:rsidRPr="00DF4C0E">
        <w:rPr>
          <w:sz w:val="25"/>
          <w:szCs w:val="25"/>
        </w:rPr>
        <w:t>617</w:t>
      </w:r>
      <w:r w:rsidR="001D2E1C" w:rsidRPr="00DF4C0E">
        <w:rPr>
          <w:sz w:val="25"/>
          <w:szCs w:val="25"/>
        </w:rPr>
        <w:t>.</w:t>
      </w:r>
      <w:r w:rsidR="001D2E1C" w:rsidRPr="00DF4C0E">
        <w:rPr>
          <w:rStyle w:val="FootnoteReference"/>
          <w:sz w:val="25"/>
          <w:szCs w:val="25"/>
        </w:rPr>
        <w:footnoteReference w:id="5"/>
      </w:r>
      <w:r w:rsidR="001D2E1C" w:rsidRPr="00DF4C0E">
        <w:rPr>
          <w:sz w:val="25"/>
          <w:szCs w:val="25"/>
        </w:rPr>
        <w:t xml:space="preserve">  </w:t>
      </w:r>
      <w:r w:rsidR="00D03BB4" w:rsidRPr="00DF4C0E">
        <w:rPr>
          <w:sz w:val="25"/>
          <w:szCs w:val="25"/>
        </w:rPr>
        <w:t>This increase in regulated revenue results in a fuel surcharge of 0.82 percent instead of the 1.13 percent originally requested by the Company.</w:t>
      </w:r>
    </w:p>
    <w:p w:rsidR="00D03BB4" w:rsidRPr="00DF4C0E" w:rsidRDefault="00D03BB4" w:rsidP="00D03BB4">
      <w:pPr>
        <w:pStyle w:val="ListParagraph"/>
        <w:rPr>
          <w:sz w:val="25"/>
          <w:szCs w:val="25"/>
        </w:rPr>
      </w:pPr>
    </w:p>
    <w:p w:rsidR="00D4753C" w:rsidRPr="00DF4C0E" w:rsidRDefault="001D2E1C" w:rsidP="008446C2">
      <w:pPr>
        <w:numPr>
          <w:ilvl w:val="0"/>
          <w:numId w:val="2"/>
        </w:numPr>
        <w:spacing w:line="288" w:lineRule="auto"/>
        <w:rPr>
          <w:sz w:val="25"/>
          <w:szCs w:val="25"/>
        </w:rPr>
      </w:pPr>
      <w:r w:rsidRPr="00DF4C0E">
        <w:rPr>
          <w:sz w:val="25"/>
          <w:szCs w:val="25"/>
        </w:rPr>
        <w:t xml:space="preserve">In addition, Staff stated that </w:t>
      </w:r>
      <w:r w:rsidR="000A2E10" w:rsidRPr="00DF4C0E">
        <w:rPr>
          <w:sz w:val="25"/>
          <w:szCs w:val="25"/>
        </w:rPr>
        <w:t xml:space="preserve">the Company has proposed billing this temporary </w:t>
      </w:r>
      <w:r w:rsidR="00B767F2" w:rsidRPr="00DF4C0E">
        <w:rPr>
          <w:sz w:val="25"/>
          <w:szCs w:val="25"/>
        </w:rPr>
        <w:t>Special F</w:t>
      </w:r>
      <w:r w:rsidR="000A2E10" w:rsidRPr="00DF4C0E">
        <w:rPr>
          <w:sz w:val="25"/>
          <w:szCs w:val="25"/>
        </w:rPr>
        <w:t xml:space="preserve">uel </w:t>
      </w:r>
      <w:r w:rsidR="00B767F2" w:rsidRPr="00DF4C0E">
        <w:rPr>
          <w:sz w:val="25"/>
          <w:szCs w:val="25"/>
        </w:rPr>
        <w:t>S</w:t>
      </w:r>
      <w:r w:rsidR="000A2E10" w:rsidRPr="00DF4C0E">
        <w:rPr>
          <w:sz w:val="25"/>
          <w:szCs w:val="25"/>
        </w:rPr>
        <w:t>urcharge inconsistently, and thus, inequitably, amongst its customers.</w:t>
      </w:r>
      <w:r w:rsidR="000A2E10" w:rsidRPr="00DF4C0E">
        <w:rPr>
          <w:rStyle w:val="FootnoteReference"/>
          <w:sz w:val="25"/>
          <w:szCs w:val="25"/>
        </w:rPr>
        <w:footnoteReference w:id="6"/>
      </w:r>
      <w:r w:rsidR="000A2E10" w:rsidRPr="00DF4C0E">
        <w:rPr>
          <w:sz w:val="25"/>
          <w:szCs w:val="25"/>
        </w:rPr>
        <w:t xml:space="preserve">  As an example, Staff points to the conflicting application of the surcharge across bi-monthly customers.</w:t>
      </w:r>
      <w:r w:rsidR="000A2E10" w:rsidRPr="00DF4C0E">
        <w:rPr>
          <w:rStyle w:val="FootnoteReference"/>
          <w:sz w:val="25"/>
          <w:szCs w:val="25"/>
        </w:rPr>
        <w:footnoteReference w:id="7"/>
      </w:r>
      <w:r w:rsidR="000A2E10" w:rsidRPr="00DF4C0E">
        <w:rPr>
          <w:sz w:val="25"/>
          <w:szCs w:val="25"/>
        </w:rPr>
        <w:t xml:space="preserve">  </w:t>
      </w:r>
      <w:r w:rsidR="00D03BB4" w:rsidRPr="00DF4C0E">
        <w:rPr>
          <w:sz w:val="25"/>
          <w:szCs w:val="25"/>
        </w:rPr>
        <w:t>As proposed by Waste Control, b</w:t>
      </w:r>
      <w:r w:rsidR="000A2E10" w:rsidRPr="00DF4C0E">
        <w:rPr>
          <w:sz w:val="25"/>
          <w:szCs w:val="25"/>
        </w:rPr>
        <w:t>i-monthly customers billed at the end of February would see the surcharge applied to all services provided in the months of March and April 2014; while the bi-monthly customers billed at the end of March would only see the surcharge for April 2014.</w:t>
      </w:r>
      <w:r w:rsidR="000A2E10" w:rsidRPr="00DF4C0E">
        <w:rPr>
          <w:rStyle w:val="FootnoteReference"/>
          <w:sz w:val="25"/>
          <w:szCs w:val="25"/>
        </w:rPr>
        <w:footnoteReference w:id="8"/>
      </w:r>
      <w:r w:rsidR="00FC741B" w:rsidRPr="00DF4C0E">
        <w:rPr>
          <w:sz w:val="25"/>
          <w:szCs w:val="25"/>
        </w:rPr>
        <w:t xml:space="preserve">  Equitable treatment of bi-monthly customers billed at the end of March would require application of the surcharge to services provided in April and May 2014.</w:t>
      </w:r>
      <w:r w:rsidR="00FC741B" w:rsidRPr="00DF4C0E">
        <w:rPr>
          <w:rStyle w:val="FootnoteReference"/>
          <w:sz w:val="25"/>
          <w:szCs w:val="25"/>
        </w:rPr>
        <w:footnoteReference w:id="9"/>
      </w:r>
      <w:r w:rsidR="00FC741B" w:rsidRPr="00DF4C0E">
        <w:rPr>
          <w:sz w:val="25"/>
          <w:szCs w:val="25"/>
        </w:rPr>
        <w:t xml:space="preserve">  </w:t>
      </w:r>
      <w:r w:rsidR="00CC0361" w:rsidRPr="00DF4C0E">
        <w:rPr>
          <w:sz w:val="25"/>
          <w:szCs w:val="25"/>
        </w:rPr>
        <w:t xml:space="preserve">The Company also inaccurately designated, within the Supplements in Effect portion of its proposed tariff sheet as “Special Fuel Surcharge Supplement No. 11” instead of “Special Fuel Surcharge Supplement No. 1.”  </w:t>
      </w:r>
      <w:r w:rsidR="00FC741B" w:rsidRPr="00DF4C0E">
        <w:rPr>
          <w:sz w:val="25"/>
          <w:szCs w:val="25"/>
        </w:rPr>
        <w:t>Staff states that, if Waste Co</w:t>
      </w:r>
      <w:r w:rsidR="003D1190" w:rsidRPr="00DF4C0E">
        <w:rPr>
          <w:sz w:val="25"/>
          <w:szCs w:val="25"/>
        </w:rPr>
        <w:t xml:space="preserve">ntrol </w:t>
      </w:r>
      <w:r w:rsidR="003D1190" w:rsidRPr="00DF4C0E">
        <w:rPr>
          <w:sz w:val="25"/>
          <w:szCs w:val="25"/>
        </w:rPr>
        <w:lastRenderedPageBreak/>
        <w:t xml:space="preserve">corrects these issues, the Commission </w:t>
      </w:r>
      <w:r w:rsidR="00FC741B" w:rsidRPr="00DF4C0E">
        <w:rPr>
          <w:sz w:val="25"/>
          <w:szCs w:val="25"/>
        </w:rPr>
        <w:t>should “[a]uthorize the [C]ompany to file a fuel surcharge to Tariff [No.] 15, and [a]pprove the fuel surcharge to become effective on less than statutory notice.”</w:t>
      </w:r>
      <w:r w:rsidR="00FC741B" w:rsidRPr="00DF4C0E">
        <w:rPr>
          <w:rStyle w:val="FootnoteReference"/>
          <w:sz w:val="25"/>
          <w:szCs w:val="25"/>
        </w:rPr>
        <w:footnoteReference w:id="10"/>
      </w:r>
    </w:p>
    <w:p w:rsidR="00D4753C" w:rsidRPr="00DF4C0E" w:rsidRDefault="00D4753C" w:rsidP="00D4753C">
      <w:pPr>
        <w:pStyle w:val="ListParagraph"/>
        <w:rPr>
          <w:sz w:val="25"/>
          <w:szCs w:val="25"/>
        </w:rPr>
      </w:pPr>
    </w:p>
    <w:p w:rsidR="00A81DE4" w:rsidRPr="00DF4C0E" w:rsidRDefault="008446C2" w:rsidP="008446C2">
      <w:pPr>
        <w:numPr>
          <w:ilvl w:val="0"/>
          <w:numId w:val="2"/>
        </w:numPr>
        <w:spacing w:line="288" w:lineRule="auto"/>
        <w:rPr>
          <w:sz w:val="25"/>
          <w:szCs w:val="25"/>
        </w:rPr>
      </w:pPr>
      <w:r w:rsidRPr="00DF4C0E">
        <w:rPr>
          <w:sz w:val="25"/>
          <w:szCs w:val="25"/>
        </w:rPr>
        <w:t xml:space="preserve">The Company filed a reply to Staff’s Response </w:t>
      </w:r>
      <w:r w:rsidR="00D4753C" w:rsidRPr="00DF4C0E">
        <w:rPr>
          <w:sz w:val="25"/>
          <w:szCs w:val="25"/>
        </w:rPr>
        <w:t xml:space="preserve">(Reply) </w:t>
      </w:r>
      <w:r w:rsidRPr="00DF4C0E">
        <w:rPr>
          <w:sz w:val="25"/>
          <w:szCs w:val="25"/>
        </w:rPr>
        <w:t>on January 30, 2014.</w:t>
      </w:r>
      <w:r w:rsidR="00D4753C" w:rsidRPr="00DF4C0E">
        <w:rPr>
          <w:rStyle w:val="FootnoteReference"/>
          <w:sz w:val="25"/>
          <w:szCs w:val="25"/>
        </w:rPr>
        <w:footnoteReference w:id="11"/>
      </w:r>
      <w:r w:rsidR="00461360" w:rsidRPr="00DF4C0E">
        <w:rPr>
          <w:sz w:val="25"/>
          <w:szCs w:val="25"/>
        </w:rPr>
        <w:t xml:space="preserve">  Waste Control’s Reply corrected the Fuel Surcharge Worksheet to include the temporary disposal fee and recalculated the </w:t>
      </w:r>
      <w:r w:rsidR="00CC0361" w:rsidRPr="00DF4C0E">
        <w:rPr>
          <w:sz w:val="25"/>
          <w:szCs w:val="25"/>
        </w:rPr>
        <w:t>Special F</w:t>
      </w:r>
      <w:r w:rsidR="00AE0AFD" w:rsidRPr="00DF4C0E">
        <w:rPr>
          <w:sz w:val="25"/>
          <w:szCs w:val="25"/>
        </w:rPr>
        <w:t xml:space="preserve">uel </w:t>
      </w:r>
      <w:r w:rsidR="00CC0361" w:rsidRPr="00DF4C0E">
        <w:rPr>
          <w:sz w:val="25"/>
          <w:szCs w:val="25"/>
        </w:rPr>
        <w:t>S</w:t>
      </w:r>
      <w:r w:rsidR="00461360" w:rsidRPr="00DF4C0E">
        <w:rPr>
          <w:sz w:val="25"/>
          <w:szCs w:val="25"/>
        </w:rPr>
        <w:t>urcharge at 0.82 percent.</w:t>
      </w:r>
      <w:r w:rsidR="00861098" w:rsidRPr="00DF4C0E">
        <w:rPr>
          <w:rStyle w:val="FootnoteReference"/>
          <w:sz w:val="25"/>
          <w:szCs w:val="25"/>
        </w:rPr>
        <w:footnoteReference w:id="12"/>
      </w:r>
      <w:r w:rsidR="00233306" w:rsidRPr="00DF4C0E">
        <w:rPr>
          <w:sz w:val="25"/>
          <w:szCs w:val="25"/>
        </w:rPr>
        <w:t xml:space="preserve">  The Company also </w:t>
      </w:r>
      <w:r w:rsidR="00B857DC" w:rsidRPr="00DF4C0E">
        <w:rPr>
          <w:sz w:val="25"/>
          <w:szCs w:val="25"/>
        </w:rPr>
        <w:t xml:space="preserve">revised its request for implementation of the temporary surcharge, extending the duration of the surcharge from April 30, 2014, to May 31, 2014.  This modification corrected the inequity of the Company’s </w:t>
      </w:r>
      <w:r w:rsidR="009203B6" w:rsidRPr="00DF4C0E">
        <w:rPr>
          <w:sz w:val="25"/>
          <w:szCs w:val="25"/>
        </w:rPr>
        <w:t>request</w:t>
      </w:r>
      <w:r w:rsidR="00B857DC" w:rsidRPr="00DF4C0E">
        <w:rPr>
          <w:sz w:val="25"/>
          <w:szCs w:val="25"/>
        </w:rPr>
        <w:t>ed billing for bi-monthly customers</w:t>
      </w:r>
      <w:r w:rsidR="009203B6" w:rsidRPr="00DF4C0E">
        <w:rPr>
          <w:sz w:val="25"/>
          <w:szCs w:val="25"/>
        </w:rPr>
        <w:t xml:space="preserve">, who are billed two months in advance, </w:t>
      </w:r>
      <w:r w:rsidR="00B857DC" w:rsidRPr="00DF4C0E">
        <w:rPr>
          <w:sz w:val="25"/>
          <w:szCs w:val="25"/>
        </w:rPr>
        <w:t>by applying the surcharge to their end of March 2014 bills for services provided in April and May 2014</w:t>
      </w:r>
      <w:r w:rsidR="009203B6" w:rsidRPr="00DF4C0E">
        <w:rPr>
          <w:sz w:val="25"/>
          <w:szCs w:val="25"/>
        </w:rPr>
        <w:t xml:space="preserve">, rather than solely </w:t>
      </w:r>
      <w:r w:rsidR="00780175" w:rsidRPr="00DF4C0E">
        <w:rPr>
          <w:sz w:val="25"/>
          <w:szCs w:val="25"/>
        </w:rPr>
        <w:t xml:space="preserve">in </w:t>
      </w:r>
      <w:r w:rsidR="009203B6" w:rsidRPr="00DF4C0E">
        <w:rPr>
          <w:sz w:val="25"/>
          <w:szCs w:val="25"/>
        </w:rPr>
        <w:t>April 2014 as originally proposed</w:t>
      </w:r>
      <w:r w:rsidR="00B857DC" w:rsidRPr="00DF4C0E">
        <w:rPr>
          <w:sz w:val="25"/>
          <w:szCs w:val="25"/>
        </w:rPr>
        <w:t>.</w:t>
      </w:r>
      <w:r w:rsidR="00B857DC" w:rsidRPr="00DF4C0E">
        <w:rPr>
          <w:rStyle w:val="FootnoteReference"/>
          <w:sz w:val="25"/>
          <w:szCs w:val="25"/>
        </w:rPr>
        <w:footnoteReference w:id="13"/>
      </w:r>
      <w:r w:rsidR="00B857DC" w:rsidRPr="00DF4C0E">
        <w:rPr>
          <w:sz w:val="25"/>
          <w:szCs w:val="25"/>
        </w:rPr>
        <w:t xml:space="preserve"> </w:t>
      </w:r>
      <w:r w:rsidR="00BA6928" w:rsidRPr="00DF4C0E">
        <w:rPr>
          <w:sz w:val="25"/>
          <w:szCs w:val="25"/>
        </w:rPr>
        <w:t xml:space="preserve"> Finally, Waste Control also re-filed its proposed </w:t>
      </w:r>
      <w:r w:rsidR="00CC0361" w:rsidRPr="00DF4C0E">
        <w:rPr>
          <w:sz w:val="25"/>
          <w:szCs w:val="25"/>
        </w:rPr>
        <w:t>Tariff No. 15, Revised Page No. 2, listing “Special Fuel Surcharge Supplement No. 1” instead of the inaccurate “Special Fuel Surcharge Supplement No. 11.”</w:t>
      </w:r>
    </w:p>
    <w:p w:rsidR="008446C2" w:rsidRPr="00DF4C0E" w:rsidRDefault="008446C2" w:rsidP="006B237C">
      <w:pPr>
        <w:pStyle w:val="NoSpacing"/>
        <w:spacing w:line="264" w:lineRule="auto"/>
        <w:rPr>
          <w:szCs w:val="25"/>
        </w:rPr>
      </w:pPr>
    </w:p>
    <w:p w:rsidR="004059E6" w:rsidRPr="00DF4C0E" w:rsidRDefault="003A54DE" w:rsidP="003A54DE">
      <w:pPr>
        <w:jc w:val="center"/>
        <w:rPr>
          <w:b/>
          <w:sz w:val="25"/>
          <w:szCs w:val="25"/>
        </w:rPr>
      </w:pPr>
      <w:r w:rsidRPr="00DF4C0E">
        <w:rPr>
          <w:b/>
          <w:sz w:val="25"/>
          <w:szCs w:val="25"/>
        </w:rPr>
        <w:t>DISCUSSION</w:t>
      </w:r>
    </w:p>
    <w:p w:rsidR="004059E6" w:rsidRPr="00DF4C0E" w:rsidRDefault="004059E6" w:rsidP="004059E6">
      <w:pPr>
        <w:pStyle w:val="ListParagraph"/>
        <w:rPr>
          <w:sz w:val="25"/>
          <w:szCs w:val="25"/>
        </w:rPr>
      </w:pPr>
    </w:p>
    <w:p w:rsidR="003A45CF" w:rsidRPr="00DF4C0E" w:rsidRDefault="00AE0AFD" w:rsidP="00427395">
      <w:pPr>
        <w:numPr>
          <w:ilvl w:val="0"/>
          <w:numId w:val="2"/>
        </w:numPr>
        <w:spacing w:line="264" w:lineRule="auto"/>
        <w:rPr>
          <w:color w:val="000000"/>
          <w:sz w:val="25"/>
          <w:szCs w:val="25"/>
        </w:rPr>
      </w:pPr>
      <w:r w:rsidRPr="00DF4C0E">
        <w:rPr>
          <w:sz w:val="25"/>
          <w:szCs w:val="25"/>
        </w:rPr>
        <w:t xml:space="preserve">Waste Control alleges, and the parties do not disagree, that its fuel costs have </w:t>
      </w:r>
      <w:r w:rsidR="003A45CF" w:rsidRPr="00DF4C0E">
        <w:rPr>
          <w:sz w:val="25"/>
          <w:szCs w:val="25"/>
        </w:rPr>
        <w:t>risen</w:t>
      </w:r>
      <w:r w:rsidRPr="00DF4C0E">
        <w:rPr>
          <w:sz w:val="25"/>
          <w:szCs w:val="25"/>
        </w:rPr>
        <w:t xml:space="preserve"> from $2.36 per gallon for the base period to $3.5955 per gallon current price.  The fuel surcharge would temporarily allow the Company to recoup these </w:t>
      </w:r>
      <w:r w:rsidR="003A45CF" w:rsidRPr="00DF4C0E">
        <w:rPr>
          <w:sz w:val="25"/>
          <w:szCs w:val="25"/>
        </w:rPr>
        <w:t xml:space="preserve">increased costs.  As Waste Control has corrected the defects in its request </w:t>
      </w:r>
      <w:r w:rsidR="00AB67C7" w:rsidRPr="00DF4C0E">
        <w:rPr>
          <w:sz w:val="25"/>
          <w:szCs w:val="25"/>
        </w:rPr>
        <w:t xml:space="preserve">and </w:t>
      </w:r>
      <w:r w:rsidR="003A45CF" w:rsidRPr="00DF4C0E">
        <w:rPr>
          <w:sz w:val="25"/>
          <w:szCs w:val="25"/>
        </w:rPr>
        <w:t xml:space="preserve">referenced by Staff, the Company’s request is reasonable and should be approved.  </w:t>
      </w:r>
    </w:p>
    <w:p w:rsidR="003A45CF" w:rsidRPr="00DF4C0E" w:rsidRDefault="003A45CF" w:rsidP="003A45CF">
      <w:pPr>
        <w:spacing w:line="264" w:lineRule="auto"/>
        <w:rPr>
          <w:sz w:val="25"/>
          <w:szCs w:val="25"/>
        </w:rPr>
      </w:pPr>
    </w:p>
    <w:p w:rsidR="00DF4C0E" w:rsidRDefault="00DF4C0E">
      <w:pPr>
        <w:rPr>
          <w:sz w:val="25"/>
          <w:szCs w:val="25"/>
        </w:rPr>
      </w:pPr>
      <w:r>
        <w:rPr>
          <w:sz w:val="25"/>
          <w:szCs w:val="25"/>
        </w:rPr>
        <w:br w:type="page"/>
      </w:r>
    </w:p>
    <w:p w:rsidR="003A45CF" w:rsidRPr="00DF4C0E" w:rsidRDefault="003A45CF" w:rsidP="003A45CF">
      <w:pPr>
        <w:rPr>
          <w:sz w:val="25"/>
          <w:szCs w:val="25"/>
        </w:rPr>
      </w:pPr>
    </w:p>
    <w:p w:rsidR="003A45CF" w:rsidRPr="00DF4C0E" w:rsidRDefault="003A45CF" w:rsidP="003A45CF">
      <w:pPr>
        <w:pStyle w:val="Heading2"/>
        <w:spacing w:line="264" w:lineRule="auto"/>
        <w:rPr>
          <w:rFonts w:ascii="Times New Roman" w:hAnsi="Times New Roman"/>
          <w:b w:val="0"/>
          <w:bCs w:val="0"/>
          <w:sz w:val="25"/>
          <w:szCs w:val="25"/>
        </w:rPr>
      </w:pPr>
      <w:r w:rsidRPr="00DF4C0E">
        <w:rPr>
          <w:rFonts w:ascii="Times New Roman" w:hAnsi="Times New Roman"/>
          <w:sz w:val="25"/>
          <w:szCs w:val="25"/>
        </w:rPr>
        <w:t>O R D E R</w:t>
      </w:r>
    </w:p>
    <w:p w:rsidR="003A45CF" w:rsidRPr="00DF4C0E" w:rsidRDefault="003A45CF" w:rsidP="003A45CF">
      <w:pPr>
        <w:spacing w:line="264" w:lineRule="auto"/>
        <w:rPr>
          <w:sz w:val="25"/>
          <w:szCs w:val="25"/>
        </w:rPr>
      </w:pPr>
    </w:p>
    <w:p w:rsidR="004059E6" w:rsidRPr="00DF4C0E" w:rsidRDefault="003A45CF" w:rsidP="0098396F">
      <w:pPr>
        <w:numPr>
          <w:ilvl w:val="0"/>
          <w:numId w:val="2"/>
        </w:numPr>
        <w:spacing w:line="264" w:lineRule="auto"/>
        <w:rPr>
          <w:sz w:val="25"/>
          <w:szCs w:val="25"/>
        </w:rPr>
      </w:pPr>
      <w:r w:rsidRPr="00DF4C0E">
        <w:rPr>
          <w:sz w:val="25"/>
          <w:szCs w:val="25"/>
        </w:rPr>
        <w:t xml:space="preserve">THE COMMISSION ORDERS That </w:t>
      </w:r>
      <w:r w:rsidR="00924E42" w:rsidRPr="00DF4C0E">
        <w:rPr>
          <w:sz w:val="25"/>
          <w:szCs w:val="25"/>
        </w:rPr>
        <w:t xml:space="preserve">the temporary Special Fuel Surcharge requested by </w:t>
      </w:r>
      <w:r w:rsidRPr="00DF4C0E">
        <w:rPr>
          <w:sz w:val="25"/>
          <w:szCs w:val="25"/>
        </w:rPr>
        <w:t xml:space="preserve">Waste Control, Inc. </w:t>
      </w:r>
      <w:r w:rsidR="0098396F" w:rsidRPr="00DF4C0E">
        <w:rPr>
          <w:sz w:val="25"/>
          <w:szCs w:val="25"/>
        </w:rPr>
        <w:t xml:space="preserve">in its revised January 30, 2014, </w:t>
      </w:r>
      <w:r w:rsidR="00AB67C7" w:rsidRPr="00DF4C0E">
        <w:rPr>
          <w:sz w:val="25"/>
          <w:szCs w:val="25"/>
        </w:rPr>
        <w:t>filing</w:t>
      </w:r>
      <w:r w:rsidR="0098396F" w:rsidRPr="00DF4C0E">
        <w:rPr>
          <w:sz w:val="25"/>
          <w:szCs w:val="25"/>
        </w:rPr>
        <w:t xml:space="preserve"> </w:t>
      </w:r>
      <w:r w:rsidRPr="00DF4C0E">
        <w:rPr>
          <w:sz w:val="25"/>
          <w:szCs w:val="25"/>
        </w:rPr>
        <w:t xml:space="preserve">is </w:t>
      </w:r>
      <w:r w:rsidR="0098396F" w:rsidRPr="00DF4C0E">
        <w:rPr>
          <w:sz w:val="25"/>
          <w:szCs w:val="25"/>
        </w:rPr>
        <w:t>approved</w:t>
      </w:r>
      <w:r w:rsidRPr="00DF4C0E">
        <w:rPr>
          <w:sz w:val="25"/>
          <w:szCs w:val="25"/>
        </w:rPr>
        <w:t>.</w:t>
      </w:r>
    </w:p>
    <w:p w:rsidR="004059E6" w:rsidRPr="00DF4C0E" w:rsidRDefault="004059E6" w:rsidP="00405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color w:val="000000"/>
          <w:sz w:val="25"/>
          <w:szCs w:val="25"/>
        </w:rPr>
      </w:pPr>
    </w:p>
    <w:p w:rsidR="004059E6" w:rsidRPr="00DF4C0E" w:rsidRDefault="004059E6" w:rsidP="004059E6">
      <w:pPr>
        <w:spacing w:line="288" w:lineRule="auto"/>
        <w:rPr>
          <w:sz w:val="25"/>
          <w:szCs w:val="25"/>
        </w:rPr>
      </w:pPr>
      <w:r w:rsidRPr="00DF4C0E">
        <w:rPr>
          <w:sz w:val="25"/>
          <w:szCs w:val="25"/>
        </w:rPr>
        <w:t xml:space="preserve">Dated at Olympia, Washington, and effective </w:t>
      </w:r>
      <w:r w:rsidR="000E75B5" w:rsidRPr="00DF4C0E">
        <w:rPr>
          <w:sz w:val="25"/>
          <w:szCs w:val="25"/>
        </w:rPr>
        <w:t xml:space="preserve">January </w:t>
      </w:r>
      <w:r w:rsidR="00E87F73" w:rsidRPr="00DF4C0E">
        <w:rPr>
          <w:sz w:val="25"/>
          <w:szCs w:val="25"/>
        </w:rPr>
        <w:t>31,</w:t>
      </w:r>
      <w:r w:rsidR="00614AA9" w:rsidRPr="00DF4C0E">
        <w:rPr>
          <w:sz w:val="25"/>
          <w:szCs w:val="25"/>
        </w:rPr>
        <w:t xml:space="preserve"> 2014</w:t>
      </w:r>
      <w:r w:rsidRPr="00DF4C0E">
        <w:rPr>
          <w:sz w:val="25"/>
          <w:szCs w:val="25"/>
        </w:rPr>
        <w:t>.</w:t>
      </w:r>
    </w:p>
    <w:p w:rsidR="004059E6" w:rsidRPr="00DF4C0E" w:rsidRDefault="004059E6" w:rsidP="004059E6">
      <w:pPr>
        <w:pStyle w:val="Header"/>
        <w:tabs>
          <w:tab w:val="clear" w:pos="4320"/>
          <w:tab w:val="clear" w:pos="8640"/>
        </w:tabs>
        <w:spacing w:line="288" w:lineRule="auto"/>
        <w:rPr>
          <w:sz w:val="25"/>
          <w:szCs w:val="25"/>
        </w:rPr>
      </w:pPr>
    </w:p>
    <w:p w:rsidR="004059E6" w:rsidRPr="00DF4C0E" w:rsidRDefault="004059E6" w:rsidP="004059E6">
      <w:pPr>
        <w:spacing w:line="288" w:lineRule="auto"/>
        <w:jc w:val="center"/>
        <w:rPr>
          <w:sz w:val="25"/>
          <w:szCs w:val="25"/>
        </w:rPr>
      </w:pPr>
      <w:r w:rsidRPr="00DF4C0E">
        <w:rPr>
          <w:sz w:val="25"/>
          <w:szCs w:val="25"/>
        </w:rPr>
        <w:t>WASHINGTON UTILITIES AND TRANSPORTATION COMMISSION</w:t>
      </w:r>
    </w:p>
    <w:p w:rsidR="004059E6" w:rsidRPr="00DF4C0E" w:rsidRDefault="004059E6" w:rsidP="004059E6">
      <w:pPr>
        <w:spacing w:line="288" w:lineRule="auto"/>
        <w:rPr>
          <w:sz w:val="25"/>
          <w:szCs w:val="25"/>
        </w:rPr>
      </w:pPr>
    </w:p>
    <w:p w:rsidR="004059E6" w:rsidRPr="00DF4C0E" w:rsidRDefault="004059E6" w:rsidP="004059E6">
      <w:pPr>
        <w:spacing w:line="288" w:lineRule="auto"/>
        <w:rPr>
          <w:sz w:val="25"/>
          <w:szCs w:val="25"/>
        </w:rPr>
      </w:pPr>
    </w:p>
    <w:p w:rsidR="00024CD1" w:rsidRPr="00DF4C0E" w:rsidRDefault="00024CD1" w:rsidP="004059E6">
      <w:pPr>
        <w:spacing w:line="288" w:lineRule="auto"/>
        <w:rPr>
          <w:sz w:val="25"/>
          <w:szCs w:val="25"/>
        </w:rPr>
      </w:pPr>
    </w:p>
    <w:p w:rsidR="00024CD1" w:rsidRPr="00DF4C0E" w:rsidRDefault="00E87F73" w:rsidP="00024CD1">
      <w:pPr>
        <w:spacing w:line="288" w:lineRule="auto"/>
        <w:ind w:left="3600" w:firstLine="720"/>
        <w:rPr>
          <w:sz w:val="25"/>
          <w:szCs w:val="25"/>
        </w:rPr>
      </w:pPr>
      <w:r w:rsidRPr="00DF4C0E">
        <w:rPr>
          <w:sz w:val="25"/>
          <w:szCs w:val="25"/>
        </w:rPr>
        <w:t>MARGUERITE E. FRIEDLANDER</w:t>
      </w:r>
    </w:p>
    <w:p w:rsidR="004059E6" w:rsidRPr="00DF4C0E" w:rsidRDefault="00024CD1" w:rsidP="004059E6">
      <w:pPr>
        <w:spacing w:line="288" w:lineRule="auto"/>
        <w:rPr>
          <w:sz w:val="25"/>
          <w:szCs w:val="25"/>
        </w:rPr>
      </w:pPr>
      <w:r w:rsidRPr="00DF4C0E">
        <w:rPr>
          <w:sz w:val="25"/>
          <w:szCs w:val="25"/>
        </w:rPr>
        <w:tab/>
      </w:r>
      <w:r w:rsidRPr="00DF4C0E">
        <w:rPr>
          <w:sz w:val="25"/>
          <w:szCs w:val="25"/>
        </w:rPr>
        <w:tab/>
      </w:r>
      <w:r w:rsidRPr="00DF4C0E">
        <w:rPr>
          <w:sz w:val="25"/>
          <w:szCs w:val="25"/>
        </w:rPr>
        <w:tab/>
      </w:r>
      <w:r w:rsidRPr="00DF4C0E">
        <w:rPr>
          <w:sz w:val="25"/>
          <w:szCs w:val="25"/>
        </w:rPr>
        <w:tab/>
      </w:r>
      <w:r w:rsidRPr="00DF4C0E">
        <w:rPr>
          <w:sz w:val="25"/>
          <w:szCs w:val="25"/>
        </w:rPr>
        <w:tab/>
      </w:r>
      <w:r w:rsidRPr="00DF4C0E">
        <w:rPr>
          <w:sz w:val="25"/>
          <w:szCs w:val="25"/>
        </w:rPr>
        <w:tab/>
        <w:t>Administrative Law Judge</w:t>
      </w:r>
    </w:p>
    <w:sectPr w:rsidR="004059E6" w:rsidRPr="00DF4C0E" w:rsidSect="00CC64FE">
      <w:headerReference w:type="default" r:id="rId11"/>
      <w:type w:val="continuous"/>
      <w:pgSz w:w="12240" w:h="15840"/>
      <w:pgMar w:top="1440" w:right="1440" w:bottom="1440" w:left="2160" w:header="1440" w:footer="720" w:gutter="0"/>
      <w:cols w:space="0" w:equalWidth="0">
        <w:col w:w="9000" w:space="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361" w:rsidRDefault="00CC0361">
      <w:r>
        <w:separator/>
      </w:r>
    </w:p>
  </w:endnote>
  <w:endnote w:type="continuationSeparator" w:id="0">
    <w:p w:rsidR="00CC0361" w:rsidRDefault="00CC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361" w:rsidRDefault="00CC0361">
      <w:r>
        <w:separator/>
      </w:r>
    </w:p>
  </w:footnote>
  <w:footnote w:type="continuationSeparator" w:id="0">
    <w:p w:rsidR="00CC0361" w:rsidRDefault="00CC0361">
      <w:r>
        <w:continuationSeparator/>
      </w:r>
    </w:p>
  </w:footnote>
  <w:footnote w:id="1">
    <w:p w:rsidR="00CC0361" w:rsidRPr="00582A11" w:rsidRDefault="00CC0361" w:rsidP="00582A11">
      <w:pPr>
        <w:pStyle w:val="FootnoteText"/>
        <w:spacing w:after="120"/>
        <w:rPr>
          <w:sz w:val="22"/>
          <w:szCs w:val="22"/>
        </w:rPr>
      </w:pPr>
      <w:r w:rsidRPr="00582A11">
        <w:rPr>
          <w:rStyle w:val="FootnoteReference"/>
          <w:sz w:val="22"/>
          <w:szCs w:val="22"/>
        </w:rPr>
        <w:footnoteRef/>
      </w:r>
      <w:r w:rsidRPr="00582A11">
        <w:rPr>
          <w:sz w:val="22"/>
          <w:szCs w:val="22"/>
        </w:rPr>
        <w:t xml:space="preserve"> Due to a clerical error, Order 02 was erroneously designated Order 01.  We will refer to the November 27, 2013 order as Order 02.</w:t>
      </w:r>
    </w:p>
  </w:footnote>
  <w:footnote w:id="2">
    <w:p w:rsidR="00CC0361" w:rsidRDefault="00CC0361">
      <w:pPr>
        <w:pStyle w:val="FootnoteText"/>
      </w:pPr>
      <w:r w:rsidRPr="006B237C">
        <w:rPr>
          <w:rStyle w:val="FootnoteReference"/>
          <w:sz w:val="22"/>
        </w:rPr>
        <w:footnoteRef/>
      </w:r>
      <w:r w:rsidRPr="006B237C">
        <w:rPr>
          <w:sz w:val="22"/>
        </w:rPr>
        <w:t xml:space="preserve"> </w:t>
      </w:r>
      <w:r w:rsidRPr="006B237C">
        <w:rPr>
          <w:sz w:val="22"/>
          <w:szCs w:val="25"/>
        </w:rPr>
        <w:t>While the Company filed this request in the form of a letter, the Commission construes the letter as a motion</w:t>
      </w:r>
      <w:r>
        <w:rPr>
          <w:sz w:val="22"/>
          <w:szCs w:val="25"/>
        </w:rPr>
        <w:t>.</w:t>
      </w:r>
    </w:p>
  </w:footnote>
  <w:footnote w:id="3">
    <w:p w:rsidR="00CC0361" w:rsidRPr="001D2E1C" w:rsidRDefault="00CC0361" w:rsidP="00DF4C0E">
      <w:pPr>
        <w:pStyle w:val="FootnoteText"/>
        <w:spacing w:after="120"/>
        <w:rPr>
          <w:sz w:val="22"/>
        </w:rPr>
      </w:pPr>
      <w:r w:rsidRPr="003A54DE">
        <w:rPr>
          <w:rStyle w:val="FootnoteReference"/>
          <w:sz w:val="22"/>
        </w:rPr>
        <w:footnoteRef/>
      </w:r>
      <w:r w:rsidRPr="003A54DE">
        <w:rPr>
          <w:sz w:val="22"/>
        </w:rPr>
        <w:t xml:space="preserve"> </w:t>
      </w:r>
      <w:r>
        <w:rPr>
          <w:sz w:val="22"/>
        </w:rPr>
        <w:t xml:space="preserve">Staff referenced Waste Control’s inconsistent citations to its own tariff as “Tariff No. 14” and “Tariff No. 15.” This minor issue, while vexing, has been resolved by the Company promptly. </w:t>
      </w:r>
    </w:p>
  </w:footnote>
  <w:footnote w:id="4">
    <w:p w:rsidR="00CC0361" w:rsidRPr="001D2E1C" w:rsidRDefault="00CC0361" w:rsidP="00DF4C0E">
      <w:pPr>
        <w:pStyle w:val="FootnoteText"/>
        <w:spacing w:after="120"/>
        <w:rPr>
          <w:sz w:val="22"/>
        </w:rPr>
      </w:pPr>
      <w:r w:rsidRPr="001D2E1C">
        <w:rPr>
          <w:rStyle w:val="FootnoteReference"/>
          <w:sz w:val="22"/>
        </w:rPr>
        <w:footnoteRef/>
      </w:r>
      <w:r w:rsidRPr="001D2E1C">
        <w:rPr>
          <w:sz w:val="22"/>
        </w:rPr>
        <w:t xml:space="preserve"> </w:t>
      </w:r>
      <w:r>
        <w:rPr>
          <w:sz w:val="22"/>
        </w:rPr>
        <w:t>Staff’s Response, ¶ 6.</w:t>
      </w:r>
    </w:p>
  </w:footnote>
  <w:footnote w:id="5">
    <w:p w:rsidR="00CC0361" w:rsidRPr="001D2E1C" w:rsidRDefault="00CC0361" w:rsidP="00DF4C0E">
      <w:pPr>
        <w:pStyle w:val="FootnoteText"/>
        <w:spacing w:after="120"/>
        <w:rPr>
          <w:i/>
        </w:rPr>
      </w:pPr>
      <w:r w:rsidRPr="001D2E1C">
        <w:rPr>
          <w:rStyle w:val="FootnoteReference"/>
          <w:sz w:val="22"/>
        </w:rPr>
        <w:footnoteRef/>
      </w:r>
      <w:r w:rsidRPr="001D2E1C">
        <w:rPr>
          <w:sz w:val="22"/>
        </w:rPr>
        <w:t xml:space="preserve"> </w:t>
      </w:r>
      <w:r>
        <w:rPr>
          <w:i/>
          <w:sz w:val="22"/>
        </w:rPr>
        <w:t>Id.</w:t>
      </w:r>
    </w:p>
  </w:footnote>
  <w:footnote w:id="6">
    <w:p w:rsidR="00CC0361" w:rsidRPr="000A2E10" w:rsidRDefault="00CC0361" w:rsidP="00DF4C0E">
      <w:pPr>
        <w:pStyle w:val="FootnoteText"/>
        <w:spacing w:after="120"/>
      </w:pPr>
      <w:r w:rsidRPr="000A2E10">
        <w:rPr>
          <w:rStyle w:val="FootnoteReference"/>
          <w:sz w:val="22"/>
        </w:rPr>
        <w:footnoteRef/>
      </w:r>
      <w:r w:rsidRPr="000A2E10">
        <w:rPr>
          <w:sz w:val="22"/>
        </w:rPr>
        <w:t xml:space="preserve"> </w:t>
      </w:r>
      <w:r>
        <w:rPr>
          <w:i/>
          <w:sz w:val="22"/>
        </w:rPr>
        <w:t>Id.</w:t>
      </w:r>
      <w:r>
        <w:rPr>
          <w:sz w:val="22"/>
        </w:rPr>
        <w:t>, ¶ 13.</w:t>
      </w:r>
    </w:p>
  </w:footnote>
  <w:footnote w:id="7">
    <w:p w:rsidR="00CC0361" w:rsidRPr="000A2E10" w:rsidRDefault="00CC0361" w:rsidP="00DF4C0E">
      <w:pPr>
        <w:pStyle w:val="FootnoteText"/>
        <w:spacing w:after="120"/>
      </w:pPr>
      <w:r w:rsidRPr="000A2E10">
        <w:rPr>
          <w:rStyle w:val="FootnoteReference"/>
          <w:sz w:val="22"/>
        </w:rPr>
        <w:footnoteRef/>
      </w:r>
      <w:r w:rsidRPr="000A2E10">
        <w:rPr>
          <w:sz w:val="22"/>
        </w:rPr>
        <w:t xml:space="preserve"> </w:t>
      </w:r>
      <w:r>
        <w:rPr>
          <w:i/>
          <w:sz w:val="22"/>
        </w:rPr>
        <w:t>Id.</w:t>
      </w:r>
      <w:r>
        <w:rPr>
          <w:sz w:val="22"/>
        </w:rPr>
        <w:t>, ¶ 10.</w:t>
      </w:r>
    </w:p>
  </w:footnote>
  <w:footnote w:id="8">
    <w:p w:rsidR="00CC0361" w:rsidRPr="000A2E10" w:rsidRDefault="00CC0361" w:rsidP="00DF4C0E">
      <w:pPr>
        <w:pStyle w:val="FootnoteText"/>
        <w:spacing w:after="120"/>
        <w:rPr>
          <w:i/>
        </w:rPr>
      </w:pPr>
      <w:r w:rsidRPr="000A2E10">
        <w:rPr>
          <w:rStyle w:val="FootnoteReference"/>
          <w:sz w:val="22"/>
        </w:rPr>
        <w:footnoteRef/>
      </w:r>
      <w:r w:rsidRPr="000A2E10">
        <w:rPr>
          <w:sz w:val="22"/>
        </w:rPr>
        <w:t xml:space="preserve"> </w:t>
      </w:r>
      <w:r>
        <w:rPr>
          <w:i/>
          <w:sz w:val="22"/>
        </w:rPr>
        <w:t xml:space="preserve">Id.  </w:t>
      </w:r>
      <w:r>
        <w:rPr>
          <w:sz w:val="22"/>
        </w:rPr>
        <w:t xml:space="preserve">Staff also pointed to the Company’s incorrect usage of the term “arrears” in its Special Fuel Surcharge Supplement No. 11 when applies to the billing months listed by Waste Control.  This, too, has been resolved by the Company.  </w:t>
      </w:r>
    </w:p>
  </w:footnote>
  <w:footnote w:id="9">
    <w:p w:rsidR="00CC0361" w:rsidRPr="003D1190" w:rsidRDefault="00CC0361" w:rsidP="00DF4C0E">
      <w:pPr>
        <w:pStyle w:val="FootnoteText"/>
        <w:spacing w:after="120"/>
      </w:pPr>
      <w:r w:rsidRPr="00FC741B">
        <w:rPr>
          <w:rStyle w:val="FootnoteReference"/>
          <w:sz w:val="22"/>
        </w:rPr>
        <w:footnoteRef/>
      </w:r>
      <w:r w:rsidRPr="00FC741B">
        <w:rPr>
          <w:sz w:val="22"/>
        </w:rPr>
        <w:t xml:space="preserve"> </w:t>
      </w:r>
      <w:r>
        <w:rPr>
          <w:i/>
          <w:sz w:val="22"/>
        </w:rPr>
        <w:t xml:space="preserve">Id. </w:t>
      </w:r>
    </w:p>
  </w:footnote>
  <w:footnote w:id="10">
    <w:p w:rsidR="00CC0361" w:rsidRPr="00FC741B" w:rsidRDefault="00CC0361" w:rsidP="00DF4C0E">
      <w:pPr>
        <w:pStyle w:val="FootnoteText"/>
        <w:spacing w:after="120"/>
      </w:pPr>
      <w:r w:rsidRPr="00FC741B">
        <w:rPr>
          <w:rStyle w:val="FootnoteReference"/>
          <w:sz w:val="22"/>
        </w:rPr>
        <w:footnoteRef/>
      </w:r>
      <w:r w:rsidRPr="00FC741B">
        <w:rPr>
          <w:sz w:val="22"/>
        </w:rPr>
        <w:t xml:space="preserve"> </w:t>
      </w:r>
      <w:r>
        <w:rPr>
          <w:i/>
          <w:sz w:val="22"/>
        </w:rPr>
        <w:t>Id.</w:t>
      </w:r>
      <w:r>
        <w:rPr>
          <w:sz w:val="22"/>
        </w:rPr>
        <w:t>, ¶ 17.  Staff argues that the suspension does not need to be lifted in order for the Commission to approve the temporary fuel surcharge.</w:t>
      </w:r>
    </w:p>
  </w:footnote>
  <w:footnote w:id="11">
    <w:p w:rsidR="00CC0361" w:rsidRPr="00861098" w:rsidRDefault="00CC0361" w:rsidP="00DF4C0E">
      <w:pPr>
        <w:pStyle w:val="FootnoteText"/>
        <w:spacing w:after="120"/>
        <w:rPr>
          <w:sz w:val="22"/>
        </w:rPr>
      </w:pPr>
      <w:r w:rsidRPr="00D4753C">
        <w:rPr>
          <w:rStyle w:val="FootnoteReference"/>
          <w:sz w:val="22"/>
        </w:rPr>
        <w:footnoteRef/>
      </w:r>
      <w:r w:rsidRPr="00D4753C">
        <w:rPr>
          <w:sz w:val="22"/>
        </w:rPr>
        <w:t xml:space="preserve"> </w:t>
      </w:r>
      <w:r>
        <w:rPr>
          <w:sz w:val="22"/>
        </w:rPr>
        <w:t>Due to the rapidly approaching requested effective date, the Company filed its Reply in the form of a letter and requested the Commission treat it “as a formal Reply to a Motion Response under WAC 480-07-375.”  Waste Control’s Cover Letter to its Reply.</w:t>
      </w:r>
    </w:p>
  </w:footnote>
  <w:footnote w:id="12">
    <w:p w:rsidR="00CC0361" w:rsidRDefault="00CC0361" w:rsidP="00DF4C0E">
      <w:pPr>
        <w:pStyle w:val="FootnoteText"/>
        <w:spacing w:after="120"/>
      </w:pPr>
      <w:r w:rsidRPr="00861098">
        <w:rPr>
          <w:rStyle w:val="FootnoteReference"/>
          <w:sz w:val="22"/>
        </w:rPr>
        <w:footnoteRef/>
      </w:r>
      <w:r w:rsidRPr="00861098">
        <w:rPr>
          <w:sz w:val="22"/>
        </w:rPr>
        <w:t xml:space="preserve"> </w:t>
      </w:r>
      <w:r>
        <w:rPr>
          <w:sz w:val="22"/>
        </w:rPr>
        <w:t xml:space="preserve">Fuel Surcharge Worksheet, at 1 (January 30, 2014).  See also Waste Control’s Cover Letter to Reply.  </w:t>
      </w:r>
    </w:p>
  </w:footnote>
  <w:footnote w:id="13">
    <w:p w:rsidR="00CC0361" w:rsidRDefault="00CC0361" w:rsidP="00DF4C0E">
      <w:pPr>
        <w:pStyle w:val="FootnoteText"/>
        <w:spacing w:after="120"/>
      </w:pPr>
      <w:r w:rsidRPr="00B857DC">
        <w:rPr>
          <w:rStyle w:val="FootnoteReference"/>
          <w:sz w:val="22"/>
        </w:rPr>
        <w:footnoteRef/>
      </w:r>
      <w:r w:rsidRPr="00B857DC">
        <w:rPr>
          <w:sz w:val="22"/>
        </w:rPr>
        <w:t xml:space="preserve"> </w:t>
      </w:r>
      <w:r>
        <w:rPr>
          <w:sz w:val="22"/>
        </w:rPr>
        <w:t xml:space="preserve">Waste Control’s Special Fuel Surcharge Supplement No. 1.  The Company </w:t>
      </w:r>
      <w:r w:rsidR="00AB67C7">
        <w:rPr>
          <w:sz w:val="22"/>
        </w:rPr>
        <w:t>complained of typographical errors</w:t>
      </w:r>
      <w:r>
        <w:rPr>
          <w:sz w:val="22"/>
        </w:rPr>
        <w:t xml:space="preserve"> Staff</w:t>
      </w:r>
      <w:r w:rsidR="00AB67C7">
        <w:rPr>
          <w:sz w:val="22"/>
        </w:rPr>
        <w:t xml:space="preserve"> committed </w:t>
      </w:r>
      <w:r>
        <w:rPr>
          <w:sz w:val="22"/>
        </w:rPr>
        <w:t xml:space="preserve">in </w:t>
      </w:r>
      <w:r w:rsidR="00AB67C7">
        <w:rPr>
          <w:sz w:val="22"/>
        </w:rPr>
        <w:t>its</w:t>
      </w:r>
      <w:r>
        <w:rPr>
          <w:sz w:val="22"/>
        </w:rPr>
        <w:t xml:space="preserve"> Response.  As with Waste Control, these are errors are minor and do not change the substance of Staff’s arguments.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361" w:rsidRDefault="00CC0361">
    <w:pPr>
      <w:pStyle w:val="Header"/>
    </w:pPr>
    <w:r>
      <w:t>DOCKET NO</w:t>
    </w:r>
    <w:r>
      <w:rPr>
        <w:b/>
        <w:bCs/>
      </w:rPr>
      <w:t xml:space="preserve">. </w:t>
    </w:r>
    <w:r>
      <w:t>UW-</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361" w:rsidRPr="00C6151D" w:rsidRDefault="00CC0361" w:rsidP="00C6151D">
    <w:pPr>
      <w:pStyle w:val="Header"/>
      <w:tabs>
        <w:tab w:val="clear" w:pos="4320"/>
        <w:tab w:val="clear" w:pos="8640"/>
        <w:tab w:val="right" w:pos="8470"/>
      </w:tabs>
      <w:rPr>
        <w:b/>
        <w:bCs/>
        <w:sz w:val="20"/>
      </w:rPr>
    </w:pPr>
    <w:r>
      <w:rPr>
        <w:rFonts w:ascii="Palatino Linotype" w:hAnsi="Palatino Linotype"/>
        <w:b/>
        <w:bCs/>
        <w:sz w:val="20"/>
      </w:rPr>
      <w:tab/>
    </w:r>
    <w:r w:rsidR="00754749">
      <w:rPr>
        <w:rFonts w:ascii="Palatino Linotype" w:hAnsi="Palatino Linotype"/>
        <w:b/>
        <w:bCs/>
        <w:sz w:val="20"/>
      </w:rPr>
      <w:t>[Service Date January 31,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361" w:rsidRPr="00F523EC" w:rsidRDefault="00CC0361">
    <w:pPr>
      <w:pStyle w:val="Header"/>
      <w:rPr>
        <w:rStyle w:val="PageNumber"/>
        <w:b/>
        <w:bCs/>
        <w:sz w:val="20"/>
      </w:rPr>
    </w:pPr>
    <w:r>
      <w:rPr>
        <w:b/>
        <w:bCs/>
        <w:sz w:val="20"/>
      </w:rPr>
      <w:t>DOCKET TG-131794</w:t>
    </w:r>
    <w:r w:rsidRPr="00F523EC">
      <w:rPr>
        <w:b/>
        <w:bCs/>
        <w:sz w:val="20"/>
      </w:rPr>
      <w:tab/>
    </w:r>
    <w:r w:rsidRPr="00F523EC">
      <w:rPr>
        <w:b/>
        <w:bCs/>
        <w:sz w:val="20"/>
      </w:rPr>
      <w:tab/>
      <w:t xml:space="preserve">PAGE </w:t>
    </w:r>
    <w:r w:rsidRPr="00F523EC">
      <w:rPr>
        <w:rStyle w:val="PageNumber"/>
        <w:b/>
        <w:bCs/>
        <w:sz w:val="20"/>
      </w:rPr>
      <w:fldChar w:fldCharType="begin"/>
    </w:r>
    <w:r w:rsidRPr="00F523EC">
      <w:rPr>
        <w:rStyle w:val="PageNumber"/>
        <w:b/>
        <w:bCs/>
        <w:sz w:val="20"/>
      </w:rPr>
      <w:instrText xml:space="preserve"> PAGE </w:instrText>
    </w:r>
    <w:r w:rsidRPr="00F523EC">
      <w:rPr>
        <w:rStyle w:val="PageNumber"/>
        <w:b/>
        <w:bCs/>
        <w:sz w:val="20"/>
      </w:rPr>
      <w:fldChar w:fldCharType="separate"/>
    </w:r>
    <w:r w:rsidR="00BA7554">
      <w:rPr>
        <w:rStyle w:val="PageNumber"/>
        <w:b/>
        <w:bCs/>
        <w:noProof/>
        <w:sz w:val="20"/>
      </w:rPr>
      <w:t>2</w:t>
    </w:r>
    <w:r w:rsidRPr="00F523EC">
      <w:rPr>
        <w:rStyle w:val="PageNumber"/>
        <w:b/>
        <w:bCs/>
        <w:sz w:val="20"/>
      </w:rPr>
      <w:fldChar w:fldCharType="end"/>
    </w:r>
  </w:p>
  <w:p w:rsidR="00CC0361" w:rsidRPr="00F523EC" w:rsidRDefault="00CC0361">
    <w:pPr>
      <w:pStyle w:val="Header"/>
      <w:rPr>
        <w:rStyle w:val="PageNumber"/>
        <w:b/>
        <w:bCs/>
        <w:sz w:val="20"/>
      </w:rPr>
    </w:pPr>
    <w:r w:rsidRPr="00F523EC">
      <w:rPr>
        <w:rStyle w:val="PageNumber"/>
        <w:b/>
        <w:bCs/>
        <w:sz w:val="20"/>
      </w:rPr>
      <w:t>ORDER 0</w:t>
    </w:r>
    <w:r>
      <w:rPr>
        <w:rStyle w:val="PageNumber"/>
        <w:b/>
        <w:bCs/>
        <w:sz w:val="20"/>
      </w:rPr>
      <w:t>4</w:t>
    </w:r>
  </w:p>
  <w:p w:rsidR="00CC0361" w:rsidRPr="00F523EC" w:rsidRDefault="00CC0361">
    <w:pPr>
      <w:pStyle w:val="Header"/>
      <w:rPr>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B74294"/>
    <w:multiLevelType w:val="hybridMultilevel"/>
    <w:tmpl w:val="87BEFAA0"/>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Moves/>
  <w:defaultTabStop w:val="720"/>
  <w:drawingGridHorizontalSpacing w:val="55"/>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A1B"/>
    <w:rsid w:val="00024CD1"/>
    <w:rsid w:val="000477A6"/>
    <w:rsid w:val="00061E67"/>
    <w:rsid w:val="00077947"/>
    <w:rsid w:val="00083556"/>
    <w:rsid w:val="000A2E10"/>
    <w:rsid w:val="000A30D2"/>
    <w:rsid w:val="000A5CAE"/>
    <w:rsid w:val="000B4295"/>
    <w:rsid w:val="000C200E"/>
    <w:rsid w:val="000C468E"/>
    <w:rsid w:val="000D5F40"/>
    <w:rsid w:val="000D6A1B"/>
    <w:rsid w:val="000E14C0"/>
    <w:rsid w:val="000E4BC9"/>
    <w:rsid w:val="000E75B5"/>
    <w:rsid w:val="000F1D22"/>
    <w:rsid w:val="000F45EC"/>
    <w:rsid w:val="000F6A61"/>
    <w:rsid w:val="0011065E"/>
    <w:rsid w:val="0012336B"/>
    <w:rsid w:val="00161DE2"/>
    <w:rsid w:val="0017428F"/>
    <w:rsid w:val="00177BFE"/>
    <w:rsid w:val="00181093"/>
    <w:rsid w:val="001851E1"/>
    <w:rsid w:val="001922F7"/>
    <w:rsid w:val="001B5A8E"/>
    <w:rsid w:val="001C37C8"/>
    <w:rsid w:val="001C5C92"/>
    <w:rsid w:val="001D2E1C"/>
    <w:rsid w:val="001E456A"/>
    <w:rsid w:val="00200E0C"/>
    <w:rsid w:val="00233306"/>
    <w:rsid w:val="00236A18"/>
    <w:rsid w:val="002458F0"/>
    <w:rsid w:val="00245E9C"/>
    <w:rsid w:val="00257F90"/>
    <w:rsid w:val="0026515A"/>
    <w:rsid w:val="00272DB6"/>
    <w:rsid w:val="002841B6"/>
    <w:rsid w:val="002B02ED"/>
    <w:rsid w:val="002B7624"/>
    <w:rsid w:val="002D3B16"/>
    <w:rsid w:val="00321F71"/>
    <w:rsid w:val="00343481"/>
    <w:rsid w:val="00373A0E"/>
    <w:rsid w:val="003A45CF"/>
    <w:rsid w:val="003A54DE"/>
    <w:rsid w:val="003C3D41"/>
    <w:rsid w:val="003C400B"/>
    <w:rsid w:val="003D0A22"/>
    <w:rsid w:val="003D1190"/>
    <w:rsid w:val="003E7566"/>
    <w:rsid w:val="004059E6"/>
    <w:rsid w:val="00407582"/>
    <w:rsid w:val="00410180"/>
    <w:rsid w:val="00416DB9"/>
    <w:rsid w:val="00427395"/>
    <w:rsid w:val="00434B19"/>
    <w:rsid w:val="00461360"/>
    <w:rsid w:val="004661ED"/>
    <w:rsid w:val="00474753"/>
    <w:rsid w:val="004806A5"/>
    <w:rsid w:val="00483D29"/>
    <w:rsid w:val="004872D8"/>
    <w:rsid w:val="004B7A43"/>
    <w:rsid w:val="004D4A06"/>
    <w:rsid w:val="004F0ABB"/>
    <w:rsid w:val="00504B40"/>
    <w:rsid w:val="0052470A"/>
    <w:rsid w:val="00533D33"/>
    <w:rsid w:val="00535C63"/>
    <w:rsid w:val="00554D04"/>
    <w:rsid w:val="005711E5"/>
    <w:rsid w:val="00576CE9"/>
    <w:rsid w:val="00582A11"/>
    <w:rsid w:val="00585DDF"/>
    <w:rsid w:val="005872A3"/>
    <w:rsid w:val="00590813"/>
    <w:rsid w:val="005A10B4"/>
    <w:rsid w:val="005D7742"/>
    <w:rsid w:val="005E6F51"/>
    <w:rsid w:val="005F41C0"/>
    <w:rsid w:val="006034BA"/>
    <w:rsid w:val="00614AA9"/>
    <w:rsid w:val="00624601"/>
    <w:rsid w:val="006271E8"/>
    <w:rsid w:val="0067482D"/>
    <w:rsid w:val="00687C38"/>
    <w:rsid w:val="006B008C"/>
    <w:rsid w:val="006B237C"/>
    <w:rsid w:val="006C3612"/>
    <w:rsid w:val="006D2993"/>
    <w:rsid w:val="006E11B3"/>
    <w:rsid w:val="006F16E7"/>
    <w:rsid w:val="0071495E"/>
    <w:rsid w:val="00723E4D"/>
    <w:rsid w:val="00754749"/>
    <w:rsid w:val="00764701"/>
    <w:rsid w:val="00780175"/>
    <w:rsid w:val="00790181"/>
    <w:rsid w:val="007B09C5"/>
    <w:rsid w:val="007C6396"/>
    <w:rsid w:val="00815A2E"/>
    <w:rsid w:val="00817AF5"/>
    <w:rsid w:val="00835849"/>
    <w:rsid w:val="00841C4C"/>
    <w:rsid w:val="008446C2"/>
    <w:rsid w:val="00846882"/>
    <w:rsid w:val="00861098"/>
    <w:rsid w:val="0086626A"/>
    <w:rsid w:val="00871AF0"/>
    <w:rsid w:val="00871C36"/>
    <w:rsid w:val="00881A92"/>
    <w:rsid w:val="0088564D"/>
    <w:rsid w:val="00892A0D"/>
    <w:rsid w:val="00894FB7"/>
    <w:rsid w:val="008B0AC8"/>
    <w:rsid w:val="008C0C7D"/>
    <w:rsid w:val="008C33FA"/>
    <w:rsid w:val="008C3602"/>
    <w:rsid w:val="008C67C4"/>
    <w:rsid w:val="008D1805"/>
    <w:rsid w:val="008F1FCE"/>
    <w:rsid w:val="008F522B"/>
    <w:rsid w:val="00900204"/>
    <w:rsid w:val="009054DC"/>
    <w:rsid w:val="009203B6"/>
    <w:rsid w:val="00922D7C"/>
    <w:rsid w:val="00923999"/>
    <w:rsid w:val="00924E42"/>
    <w:rsid w:val="0092713B"/>
    <w:rsid w:val="00965F84"/>
    <w:rsid w:val="00972457"/>
    <w:rsid w:val="00973B3C"/>
    <w:rsid w:val="00974227"/>
    <w:rsid w:val="0097454A"/>
    <w:rsid w:val="009766F2"/>
    <w:rsid w:val="0098396F"/>
    <w:rsid w:val="009B0D06"/>
    <w:rsid w:val="009C6E59"/>
    <w:rsid w:val="009D1BF4"/>
    <w:rsid w:val="009F53BE"/>
    <w:rsid w:val="00A05A5E"/>
    <w:rsid w:val="00A11DD7"/>
    <w:rsid w:val="00A12760"/>
    <w:rsid w:val="00A1514B"/>
    <w:rsid w:val="00A3253B"/>
    <w:rsid w:val="00A32770"/>
    <w:rsid w:val="00A64AED"/>
    <w:rsid w:val="00A81DE4"/>
    <w:rsid w:val="00A84830"/>
    <w:rsid w:val="00A8530D"/>
    <w:rsid w:val="00A912B3"/>
    <w:rsid w:val="00AA1325"/>
    <w:rsid w:val="00AA3CB6"/>
    <w:rsid w:val="00AB67C7"/>
    <w:rsid w:val="00AD5050"/>
    <w:rsid w:val="00AE0AFD"/>
    <w:rsid w:val="00AE1F2C"/>
    <w:rsid w:val="00AE2198"/>
    <w:rsid w:val="00AE5D30"/>
    <w:rsid w:val="00AF6C67"/>
    <w:rsid w:val="00B132CB"/>
    <w:rsid w:val="00B154B4"/>
    <w:rsid w:val="00B42B7C"/>
    <w:rsid w:val="00B44ED0"/>
    <w:rsid w:val="00B4570A"/>
    <w:rsid w:val="00B61BF7"/>
    <w:rsid w:val="00B74567"/>
    <w:rsid w:val="00B767F2"/>
    <w:rsid w:val="00B8506F"/>
    <w:rsid w:val="00B857DC"/>
    <w:rsid w:val="00B91D7E"/>
    <w:rsid w:val="00BA3DC9"/>
    <w:rsid w:val="00BA4E78"/>
    <w:rsid w:val="00BA6928"/>
    <w:rsid w:val="00BA7554"/>
    <w:rsid w:val="00BB23F4"/>
    <w:rsid w:val="00BC1B21"/>
    <w:rsid w:val="00BF481F"/>
    <w:rsid w:val="00BF6AAC"/>
    <w:rsid w:val="00C2536E"/>
    <w:rsid w:val="00C27E41"/>
    <w:rsid w:val="00C35593"/>
    <w:rsid w:val="00C50397"/>
    <w:rsid w:val="00C508F7"/>
    <w:rsid w:val="00C6151D"/>
    <w:rsid w:val="00C81123"/>
    <w:rsid w:val="00CC0361"/>
    <w:rsid w:val="00CC64FE"/>
    <w:rsid w:val="00CD3241"/>
    <w:rsid w:val="00CE551A"/>
    <w:rsid w:val="00D0002C"/>
    <w:rsid w:val="00D03BB4"/>
    <w:rsid w:val="00D47014"/>
    <w:rsid w:val="00D4753C"/>
    <w:rsid w:val="00D53941"/>
    <w:rsid w:val="00D55305"/>
    <w:rsid w:val="00D80B74"/>
    <w:rsid w:val="00D8388C"/>
    <w:rsid w:val="00DC39A1"/>
    <w:rsid w:val="00DC3D40"/>
    <w:rsid w:val="00DC5382"/>
    <w:rsid w:val="00DD0DE6"/>
    <w:rsid w:val="00DF4C0E"/>
    <w:rsid w:val="00DF7FC4"/>
    <w:rsid w:val="00E3735C"/>
    <w:rsid w:val="00E37F95"/>
    <w:rsid w:val="00E50DC4"/>
    <w:rsid w:val="00E61EF1"/>
    <w:rsid w:val="00E6570A"/>
    <w:rsid w:val="00E720B0"/>
    <w:rsid w:val="00E77771"/>
    <w:rsid w:val="00E77C95"/>
    <w:rsid w:val="00E77D3F"/>
    <w:rsid w:val="00E87F73"/>
    <w:rsid w:val="00E93208"/>
    <w:rsid w:val="00EC3B3D"/>
    <w:rsid w:val="00EE31EA"/>
    <w:rsid w:val="00EE5CE7"/>
    <w:rsid w:val="00EF45DF"/>
    <w:rsid w:val="00F01266"/>
    <w:rsid w:val="00F12196"/>
    <w:rsid w:val="00F24673"/>
    <w:rsid w:val="00F326EC"/>
    <w:rsid w:val="00F342D5"/>
    <w:rsid w:val="00F523EC"/>
    <w:rsid w:val="00F578A6"/>
    <w:rsid w:val="00F7532D"/>
    <w:rsid w:val="00F97419"/>
    <w:rsid w:val="00FC630D"/>
    <w:rsid w:val="00FC741B"/>
    <w:rsid w:val="00FD16D5"/>
    <w:rsid w:val="00FE42B4"/>
    <w:rsid w:val="00FF57EC"/>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6D2993"/>
    <w:rPr>
      <w:sz w:val="20"/>
      <w:szCs w:val="20"/>
    </w:rPr>
  </w:style>
  <w:style w:type="character" w:customStyle="1" w:styleId="FootnoteTextChar">
    <w:name w:val="Footnote Text Char"/>
    <w:basedOn w:val="DefaultParagraphFont"/>
    <w:link w:val="FootnoteText"/>
    <w:uiPriority w:val="99"/>
    <w:semiHidden/>
    <w:rsid w:val="006D2993"/>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 w:type="paragraph" w:styleId="NoSpacing">
    <w:name w:val="No Spacing"/>
    <w:uiPriority w:val="1"/>
    <w:qFormat/>
    <w:rsid w:val="006B237C"/>
    <w:rPr>
      <w:rFonts w:eastAsia="Calibri"/>
      <w:sz w:val="25"/>
      <w:szCs w:val="22"/>
    </w:rPr>
  </w:style>
  <w:style w:type="paragraph" w:customStyle="1" w:styleId="Findings">
    <w:name w:val="Findings"/>
    <w:basedOn w:val="Normal"/>
    <w:rsid w:val="003A45CF"/>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6D2993"/>
    <w:rPr>
      <w:sz w:val="20"/>
      <w:szCs w:val="20"/>
    </w:rPr>
  </w:style>
  <w:style w:type="character" w:customStyle="1" w:styleId="FootnoteTextChar">
    <w:name w:val="Footnote Text Char"/>
    <w:basedOn w:val="DefaultParagraphFont"/>
    <w:link w:val="FootnoteText"/>
    <w:uiPriority w:val="99"/>
    <w:semiHidden/>
    <w:rsid w:val="006D2993"/>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 w:type="paragraph" w:styleId="NoSpacing">
    <w:name w:val="No Spacing"/>
    <w:uiPriority w:val="1"/>
    <w:qFormat/>
    <w:rsid w:val="006B237C"/>
    <w:rPr>
      <w:rFonts w:eastAsia="Calibri"/>
      <w:sz w:val="25"/>
      <w:szCs w:val="22"/>
    </w:rPr>
  </w:style>
  <w:style w:type="paragraph" w:customStyle="1" w:styleId="Findings">
    <w:name w:val="Findings"/>
    <w:basedOn w:val="Normal"/>
    <w:rsid w:val="003A45C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057CE67F4D81469E75A716744123B4" ma:contentTypeVersion="135" ma:contentTypeDescription="" ma:contentTypeScope="" ma:versionID="4da0cc8e6ce95b0f08cfe8d955d8c5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2013-09-23T07:00:00+00:00</OpenedDate>
    <Date1 xmlns="dc463f71-b30c-4ab2-9473-d307f9d35888">2014-01-31T08:00:00+00:00</Date1>
    <IsDocumentOrder xmlns="dc463f71-b30c-4ab2-9473-d307f9d35888">true</IsDocumentOrder>
    <IsHighlyConfidential xmlns="dc463f71-b30c-4ab2-9473-d307f9d35888">false</IsHighlyConfidential>
    <CaseCompanyNames xmlns="dc463f71-b30c-4ab2-9473-d307f9d35888">WASTE CONTROL, INC.</CaseCompanyNames>
    <DocketNumber xmlns="dc463f71-b30c-4ab2-9473-d307f9d35888">131794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8C36BCC-AB23-404C-93FA-A3027392A86B}"/>
</file>

<file path=customXml/itemProps2.xml><?xml version="1.0" encoding="utf-8"?>
<ds:datastoreItem xmlns:ds="http://schemas.openxmlformats.org/officeDocument/2006/customXml" ds:itemID="{81F59981-3F30-480B-9B0E-B4A29FC37385}"/>
</file>

<file path=customXml/itemProps3.xml><?xml version="1.0" encoding="utf-8"?>
<ds:datastoreItem xmlns:ds="http://schemas.openxmlformats.org/officeDocument/2006/customXml" ds:itemID="{765E5CA7-7BCD-4A37-BF69-251EE0FC622E}"/>
</file>

<file path=customXml/itemProps4.xml><?xml version="1.0" encoding="utf-8"?>
<ds:datastoreItem xmlns:ds="http://schemas.openxmlformats.org/officeDocument/2006/customXml" ds:itemID="{81332AC7-958D-4A31-A691-CE7B4DC626D7}"/>
</file>

<file path=customXml/itemProps5.xml><?xml version="1.0" encoding="utf-8"?>
<ds:datastoreItem xmlns:ds="http://schemas.openxmlformats.org/officeDocument/2006/customXml" ds:itemID="{1CF2D9A9-45DC-4861-B5BE-DEF007430697}"/>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4665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2014-01-31T18:39:00Z</dcterms:created>
  <dcterms:modified xsi:type="dcterms:W3CDTF">2014-01-31T19:57:00Z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0x0101006E56B4D1795A2E4DB2F0B01679ED314A00CC057CE67F4D81469E75A716744123B4</vt:lpwstr>
  </property>
  <property fmtid="{D5CDD505-2E9C-101B-9397-08002B2CF9AE}" pid="3" name="_docset_NoMedatataSyncRequired">
    <vt:lpwstr>False</vt:lpwstr>
  </property>
</Properties>
</file>