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center"/>
        <w:rPr>
          <w:sz w:val="28"/>
          <w:szCs w:val="28"/>
        </w:rPr>
      </w:pPr>
    </w:p>
    <w:p w:rsidR="00182994" w:rsidRDefault="00182994">
      <w:pPr>
        <w:tabs>
          <w:tab w:val="left" w:pos="1260"/>
        </w:tabs>
        <w:spacing w:line="480" w:lineRule="auto"/>
        <w:ind w:firstLine="720"/>
        <w:jc w:val="center"/>
        <w:rPr>
          <w:sz w:val="28"/>
          <w:szCs w:val="28"/>
        </w:rPr>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pPr>
    </w:p>
    <w:p w:rsidR="00182994" w:rsidRDefault="00182994">
      <w:pPr>
        <w:tabs>
          <w:tab w:val="left" w:pos="1260"/>
        </w:tabs>
        <w:spacing w:line="480" w:lineRule="auto"/>
        <w:ind w:firstLine="720"/>
        <w:jc w:val="center"/>
        <w:rPr>
          <w:rStyle w:val="LineNumber"/>
        </w:rPr>
      </w:pPr>
    </w:p>
    <w:p w:rsidR="00182994" w:rsidRDefault="00182994">
      <w:pPr>
        <w:spacing w:line="480" w:lineRule="auto"/>
        <w:jc w:val="center"/>
      </w:pPr>
      <w:r>
        <w:t xml:space="preserve">BEFORE THE </w:t>
      </w:r>
      <w:smartTag w:uri="urn:schemas-microsoft-com:office:smarttags" w:element="place">
        <w:smartTag w:uri="urn:schemas-microsoft-com:office:smarttags" w:element="State">
          <w:r>
            <w:t>WASHINGTON</w:t>
          </w:r>
        </w:smartTag>
      </w:smartTag>
      <w:r>
        <w:t xml:space="preserve"> UTILITIES AND TRANSPORTATION COMMISSION</w:t>
      </w:r>
    </w:p>
    <w:p w:rsidR="00182994" w:rsidRDefault="00182994">
      <w:pPr>
        <w:tabs>
          <w:tab w:val="left" w:pos="1260"/>
        </w:tabs>
        <w:spacing w:line="480" w:lineRule="auto"/>
      </w:pPr>
    </w:p>
    <w:p w:rsidR="00182994" w:rsidRDefault="000773D0" w:rsidP="00182994">
      <w:pPr>
        <w:tabs>
          <w:tab w:val="left" w:pos="1260"/>
        </w:tabs>
        <w:jc w:val="center"/>
      </w:pPr>
      <w:r>
        <w:t>DOCKET NO</w:t>
      </w:r>
      <w:r w:rsidR="00182994">
        <w:t>. UE-</w:t>
      </w:r>
      <w:r w:rsidR="00876525">
        <w:t>1</w:t>
      </w:r>
      <w:r w:rsidR="00593E33">
        <w:t>1</w:t>
      </w:r>
      <w:r w:rsidR="00182994">
        <w:t>______</w:t>
      </w:r>
    </w:p>
    <w:p w:rsidR="00182994" w:rsidRDefault="00182994">
      <w:pPr>
        <w:tabs>
          <w:tab w:val="left" w:pos="1260"/>
        </w:tabs>
        <w:spacing w:line="480" w:lineRule="auto"/>
        <w:ind w:firstLine="720"/>
        <w:jc w:val="center"/>
      </w:pPr>
    </w:p>
    <w:p w:rsidR="00182994" w:rsidRDefault="00182994">
      <w:pPr>
        <w:tabs>
          <w:tab w:val="left" w:pos="1260"/>
        </w:tabs>
        <w:spacing w:line="480" w:lineRule="auto"/>
        <w:jc w:val="center"/>
      </w:pPr>
      <w:r>
        <w:t xml:space="preserve">DIRECT TESTIMONY OF </w:t>
      </w:r>
    </w:p>
    <w:p w:rsidR="00182994" w:rsidRDefault="002D0C51">
      <w:pPr>
        <w:tabs>
          <w:tab w:val="left" w:pos="1260"/>
        </w:tabs>
        <w:spacing w:line="480" w:lineRule="auto"/>
        <w:jc w:val="center"/>
      </w:pPr>
      <w:r>
        <w:t>WILLIAM G. JOHNSON</w:t>
      </w:r>
    </w:p>
    <w:p w:rsidR="00182994" w:rsidRDefault="00182994">
      <w:pPr>
        <w:tabs>
          <w:tab w:val="left" w:pos="1260"/>
        </w:tabs>
        <w:spacing w:line="480" w:lineRule="auto"/>
        <w:jc w:val="center"/>
      </w:pPr>
      <w:r>
        <w:t>REPRESENTING AVISTA CORPORATION</w:t>
      </w: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both"/>
      </w:pPr>
    </w:p>
    <w:p w:rsidR="00182994" w:rsidRDefault="00182994">
      <w:pPr>
        <w:tabs>
          <w:tab w:val="left" w:pos="1260"/>
        </w:tabs>
        <w:spacing w:line="480" w:lineRule="auto"/>
        <w:ind w:firstLine="720"/>
        <w:jc w:val="both"/>
        <w:sectPr w:rsidR="00182994" w:rsidSect="00D70A5F">
          <w:headerReference w:type="default" r:id="rId8"/>
          <w:footerReference w:type="default" r:id="rId9"/>
          <w:headerReference w:type="first" r:id="rId10"/>
          <w:footerReference w:type="first" r:id="rId11"/>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BE21E7" w:rsidRPr="00BE21E7" w:rsidRDefault="00BE21E7" w:rsidP="00BE21E7">
      <w:pPr>
        <w:pStyle w:val="TestBody"/>
        <w:spacing w:line="480" w:lineRule="auto"/>
        <w:ind w:left="0" w:firstLine="0"/>
        <w:jc w:val="center"/>
        <w:rPr>
          <w:rFonts w:ascii="Times New Roman" w:hAnsi="Times New Roman" w:cs="Times New Roman"/>
          <w:b/>
          <w:bCs/>
          <w:u w:val="single"/>
        </w:rPr>
      </w:pPr>
      <w:r w:rsidRPr="00BE21E7">
        <w:rPr>
          <w:rFonts w:ascii="Times New Roman" w:hAnsi="Times New Roman" w:cs="Times New Roman"/>
          <w:b/>
          <w:bCs/>
          <w:u w:val="single"/>
        </w:rPr>
        <w:lastRenderedPageBreak/>
        <w:t>I.</w:t>
      </w:r>
      <w:r w:rsidRPr="00BE21E7">
        <w:rPr>
          <w:rFonts w:ascii="Times New Roman" w:hAnsi="Times New Roman" w:cs="Times New Roman"/>
          <w:b/>
          <w:bCs/>
          <w:u w:val="single"/>
        </w:rPr>
        <w:tab/>
        <w:t>INTRODUCTION</w:t>
      </w:r>
    </w:p>
    <w:p w:rsidR="00BE21E7" w:rsidRPr="00BE21E7" w:rsidRDefault="00BE21E7" w:rsidP="00BE21E7">
      <w:pPr>
        <w:pStyle w:val="TestBody"/>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t>Please state your name, business address, and present position with Avista Corporation.</w:t>
      </w:r>
    </w:p>
    <w:p w:rsidR="00BE21E7" w:rsidRPr="00BE21E7" w:rsidRDefault="00BE21E7" w:rsidP="00BE21E7">
      <w:pPr>
        <w:pStyle w:val="TestBody"/>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My name is William G. Johnson.  My business address is </w:t>
      </w:r>
      <w:smartTag w:uri="urn:schemas-microsoft-com:office:smarttags" w:element="address">
        <w:smartTag w:uri="urn:schemas-microsoft-com:office:smarttags" w:element="Street">
          <w:r w:rsidRPr="00BE21E7">
            <w:rPr>
              <w:rFonts w:ascii="Times New Roman" w:hAnsi="Times New Roman" w:cs="Times New Roman"/>
            </w:rPr>
            <w:t>1411 East Mission Avenue</w:t>
          </w:r>
        </w:smartTag>
        <w:r w:rsidRPr="00BE21E7">
          <w:rPr>
            <w:rFonts w:ascii="Times New Roman" w:hAnsi="Times New Roman" w:cs="Times New Roman"/>
          </w:rPr>
          <w:t xml:space="preserve">, </w:t>
        </w:r>
        <w:smartTag w:uri="urn:schemas-microsoft-com:office:smarttags" w:element="City">
          <w:r w:rsidRPr="00BE21E7">
            <w:rPr>
              <w:rFonts w:ascii="Times New Roman" w:hAnsi="Times New Roman" w:cs="Times New Roman"/>
            </w:rPr>
            <w:t>Spokane</w:t>
          </w:r>
        </w:smartTag>
        <w:r w:rsidRPr="00BE21E7">
          <w:rPr>
            <w:rFonts w:ascii="Times New Roman" w:hAnsi="Times New Roman" w:cs="Times New Roman"/>
          </w:rPr>
          <w:t xml:space="preserve">, </w:t>
        </w:r>
        <w:smartTag w:uri="urn:schemas-microsoft-com:office:smarttags" w:element="State">
          <w:r w:rsidRPr="00BE21E7">
            <w:rPr>
              <w:rFonts w:ascii="Times New Roman" w:hAnsi="Times New Roman" w:cs="Times New Roman"/>
            </w:rPr>
            <w:t>Washington</w:t>
          </w:r>
        </w:smartTag>
      </w:smartTag>
      <w:r w:rsidRPr="00BE21E7">
        <w:rPr>
          <w:rFonts w:ascii="Times New Roman" w:hAnsi="Times New Roman" w:cs="Times New Roman"/>
        </w:rPr>
        <w:t>, and I am employed by the Company as a Wholesale Marketing Manager in the Energy Resources Department.</w:t>
      </w:r>
    </w:p>
    <w:p w:rsidR="00BE21E7" w:rsidRPr="00BE21E7" w:rsidRDefault="00BE21E7" w:rsidP="00BE21E7">
      <w:pPr>
        <w:pStyle w:val="TestBody"/>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t>What is your educational background?</w:t>
      </w:r>
    </w:p>
    <w:p w:rsidR="00BE21E7" w:rsidRPr="00BE21E7" w:rsidRDefault="00BE21E7" w:rsidP="00BE21E7">
      <w:pPr>
        <w:pStyle w:val="TestBody"/>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I graduated from the </w:t>
      </w:r>
      <w:smartTag w:uri="urn:schemas-microsoft-com:office:smarttags" w:element="place">
        <w:smartTag w:uri="urn:schemas-microsoft-com:office:smarttags" w:element="PlaceType">
          <w:r w:rsidRPr="00BE21E7">
            <w:rPr>
              <w:rFonts w:ascii="Times New Roman" w:hAnsi="Times New Roman" w:cs="Times New Roman"/>
            </w:rPr>
            <w:t>University</w:t>
          </w:r>
        </w:smartTag>
        <w:r w:rsidRPr="00BE21E7">
          <w:rPr>
            <w:rFonts w:ascii="Times New Roman" w:hAnsi="Times New Roman" w:cs="Times New Roman"/>
          </w:rPr>
          <w:t xml:space="preserve"> of </w:t>
        </w:r>
        <w:smartTag w:uri="urn:schemas-microsoft-com:office:smarttags" w:element="PlaceName">
          <w:r w:rsidRPr="00BE21E7">
            <w:rPr>
              <w:rFonts w:ascii="Times New Roman" w:hAnsi="Times New Roman" w:cs="Times New Roman"/>
            </w:rPr>
            <w:t>Montana</w:t>
          </w:r>
        </w:smartTag>
      </w:smartTag>
      <w:r w:rsidRPr="00BE21E7">
        <w:rPr>
          <w:rFonts w:ascii="Times New Roman" w:hAnsi="Times New Roman" w:cs="Times New Roman"/>
        </w:rPr>
        <w:t xml:space="preserve"> in 1981 with a Bachelor of Arts Degree in Political Science/Economics.  I obtained a Master of Arts Degree in Economics from the </w:t>
      </w:r>
      <w:smartTag w:uri="urn:schemas-microsoft-com:office:smarttags" w:element="place">
        <w:smartTag w:uri="urn:schemas-microsoft-com:office:smarttags" w:element="PlaceType">
          <w:r w:rsidRPr="00BE21E7">
            <w:rPr>
              <w:rFonts w:ascii="Times New Roman" w:hAnsi="Times New Roman" w:cs="Times New Roman"/>
            </w:rPr>
            <w:t>University</w:t>
          </w:r>
        </w:smartTag>
        <w:r w:rsidRPr="00BE21E7">
          <w:rPr>
            <w:rFonts w:ascii="Times New Roman" w:hAnsi="Times New Roman" w:cs="Times New Roman"/>
          </w:rPr>
          <w:t xml:space="preserve"> of </w:t>
        </w:r>
        <w:smartTag w:uri="urn:schemas-microsoft-com:office:smarttags" w:element="PlaceName">
          <w:r w:rsidRPr="00BE21E7">
            <w:rPr>
              <w:rFonts w:ascii="Times New Roman" w:hAnsi="Times New Roman" w:cs="Times New Roman"/>
            </w:rPr>
            <w:t>Montana</w:t>
          </w:r>
        </w:smartTag>
      </w:smartTag>
      <w:r w:rsidRPr="00BE21E7">
        <w:rPr>
          <w:rFonts w:ascii="Times New Roman" w:hAnsi="Times New Roman" w:cs="Times New Roman"/>
        </w:rPr>
        <w:t xml:space="preserve"> in 1985.</w:t>
      </w:r>
    </w:p>
    <w:p w:rsidR="00BE21E7" w:rsidRPr="00BE21E7" w:rsidRDefault="00BE21E7" w:rsidP="00BE21E7">
      <w:pPr>
        <w:pStyle w:val="TestBody"/>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t>How long have you been employed by the Company and what are your duties as a Wholesale Marketing Manager?</w:t>
      </w:r>
    </w:p>
    <w:p w:rsidR="00BE21E7" w:rsidRPr="00BE21E7" w:rsidRDefault="00BE21E7" w:rsidP="00BE21E7">
      <w:pPr>
        <w:pStyle w:val="TestBody"/>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I started working for Avista in April 1990 as a Demand Side Resource Analyst.  I joined the Energy Resources Department as a Power Contracts Analyst in June 1996.  My primary responsibilities involve power contract origination and management and power supply regulatory issues.</w:t>
      </w:r>
    </w:p>
    <w:p w:rsidR="00BE21E7" w:rsidRPr="00BE21E7" w:rsidRDefault="00BE21E7" w:rsidP="00BE21E7">
      <w:pPr>
        <w:pStyle w:val="TestBody"/>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t>What is the scope of your testimony in this proceeding?</w:t>
      </w:r>
    </w:p>
    <w:p w:rsidR="00BE21E7" w:rsidRPr="00BE21E7" w:rsidRDefault="00BE21E7" w:rsidP="00BE21E7">
      <w:pPr>
        <w:pStyle w:val="TestBody"/>
        <w:tabs>
          <w:tab w:val="left" w:pos="72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My testimony will 1) identify and explain the proposed normalizing and pro forma adjustments to the </w:t>
      </w:r>
      <w:r w:rsidR="00876525">
        <w:rPr>
          <w:rFonts w:ascii="Times New Roman" w:hAnsi="Times New Roman" w:cs="Times New Roman"/>
        </w:rPr>
        <w:t>January 20</w:t>
      </w:r>
      <w:r w:rsidR="00593E33">
        <w:rPr>
          <w:rFonts w:ascii="Times New Roman" w:hAnsi="Times New Roman" w:cs="Times New Roman"/>
        </w:rPr>
        <w:t>10</w:t>
      </w:r>
      <w:r w:rsidRPr="00BE21E7">
        <w:rPr>
          <w:rFonts w:ascii="Times New Roman" w:hAnsi="Times New Roman" w:cs="Times New Roman"/>
        </w:rPr>
        <w:t xml:space="preserve"> through </w:t>
      </w:r>
      <w:r w:rsidR="00876525">
        <w:rPr>
          <w:rFonts w:ascii="Times New Roman" w:hAnsi="Times New Roman" w:cs="Times New Roman"/>
        </w:rPr>
        <w:t>December</w:t>
      </w:r>
      <w:r w:rsidRPr="00BE21E7">
        <w:rPr>
          <w:rFonts w:ascii="Times New Roman" w:hAnsi="Times New Roman" w:cs="Times New Roman"/>
        </w:rPr>
        <w:t xml:space="preserve"> 20</w:t>
      </w:r>
      <w:r w:rsidR="00593E33">
        <w:rPr>
          <w:rFonts w:ascii="Times New Roman" w:hAnsi="Times New Roman" w:cs="Times New Roman"/>
        </w:rPr>
        <w:t>10</w:t>
      </w:r>
      <w:r w:rsidRPr="00BE21E7">
        <w:rPr>
          <w:rFonts w:ascii="Times New Roman" w:hAnsi="Times New Roman" w:cs="Times New Roman"/>
        </w:rPr>
        <w:t xml:space="preserve"> test period power supply revenues and expenses, and 2) describe the proposed level of expense and retail revenue credit for </w:t>
      </w:r>
      <w:r w:rsidR="00431EB0">
        <w:rPr>
          <w:rFonts w:ascii="Times New Roman" w:hAnsi="Times New Roman" w:cs="Times New Roman"/>
        </w:rPr>
        <w:t>Energy Recovery Mechanism (</w:t>
      </w:r>
      <w:r w:rsidRPr="00BE21E7">
        <w:rPr>
          <w:rFonts w:ascii="Times New Roman" w:hAnsi="Times New Roman" w:cs="Times New Roman"/>
        </w:rPr>
        <w:t>ERM</w:t>
      </w:r>
      <w:r w:rsidR="00431EB0">
        <w:rPr>
          <w:rFonts w:ascii="Times New Roman" w:hAnsi="Times New Roman" w:cs="Times New Roman"/>
        </w:rPr>
        <w:t>)</w:t>
      </w:r>
      <w:r w:rsidRPr="00BE21E7">
        <w:rPr>
          <w:rFonts w:ascii="Times New Roman" w:hAnsi="Times New Roman" w:cs="Times New Roman"/>
        </w:rPr>
        <w:t xml:space="preserve"> purposes, using the pro forma costs proposed by the </w:t>
      </w:r>
      <w:r w:rsidRPr="00BE21E7">
        <w:rPr>
          <w:rFonts w:ascii="Times New Roman" w:hAnsi="Times New Roman" w:cs="Times New Roman"/>
        </w:rPr>
        <w:lastRenderedPageBreak/>
        <w:t xml:space="preserve">Company in this filing. </w:t>
      </w:r>
      <w:r w:rsidR="00DC7D94">
        <w:rPr>
          <w:rFonts w:ascii="Times New Roman" w:hAnsi="Times New Roman" w:cs="Times New Roman"/>
        </w:rPr>
        <w:t xml:space="preserve"> My testimony also shows the change in power supply expense incorporating the Energy Efficiency Load Adjustment proposed by the Company in this case.</w:t>
      </w:r>
    </w:p>
    <w:p w:rsidR="00BE21E7" w:rsidRPr="00A774E3" w:rsidRDefault="00BE21E7" w:rsidP="00BE21E7">
      <w:pPr>
        <w:pStyle w:val="TestBody"/>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r>
      <w:r w:rsidRPr="00A774E3">
        <w:rPr>
          <w:rFonts w:ascii="Times New Roman" w:hAnsi="Times New Roman" w:cs="Times New Roman"/>
          <w:b/>
          <w:bCs/>
        </w:rPr>
        <w:t>Are you sponsoring any exhibits to be introduced in this proceeding?</w:t>
      </w:r>
    </w:p>
    <w:p w:rsidR="00BE21E7" w:rsidRPr="00A774E3" w:rsidRDefault="00BE21E7" w:rsidP="00BE21E7">
      <w:pPr>
        <w:pStyle w:val="TestBody"/>
        <w:spacing w:line="480" w:lineRule="auto"/>
        <w:ind w:left="0" w:firstLine="720"/>
        <w:rPr>
          <w:rFonts w:ascii="Times New Roman" w:hAnsi="Times New Roman" w:cs="Times New Roman"/>
        </w:rPr>
      </w:pPr>
      <w:r w:rsidRPr="00A774E3">
        <w:rPr>
          <w:rFonts w:ascii="Times New Roman" w:hAnsi="Times New Roman" w:cs="Times New Roman"/>
        </w:rPr>
        <w:t>A.</w:t>
      </w:r>
      <w:r w:rsidRPr="00A774E3">
        <w:rPr>
          <w:rFonts w:ascii="Times New Roman" w:hAnsi="Times New Roman" w:cs="Times New Roman"/>
        </w:rPr>
        <w:tab/>
        <w:t>Yes.  I am sponsoring Exhibit No</w:t>
      </w:r>
      <w:r w:rsidR="00B10EED" w:rsidRPr="00A774E3">
        <w:rPr>
          <w:rFonts w:ascii="Times New Roman" w:hAnsi="Times New Roman" w:cs="Times New Roman"/>
        </w:rPr>
        <w:t>s</w:t>
      </w:r>
      <w:r w:rsidRPr="00A774E3">
        <w:rPr>
          <w:rFonts w:ascii="Times New Roman" w:hAnsi="Times New Roman" w:cs="Times New Roman"/>
        </w:rPr>
        <w:t>.</w:t>
      </w:r>
      <w:r w:rsidR="00B10EED" w:rsidRPr="00A774E3">
        <w:rPr>
          <w:rFonts w:ascii="Times New Roman" w:hAnsi="Times New Roman" w:cs="Times New Roman"/>
        </w:rPr>
        <w:t>__</w:t>
      </w:r>
      <w:r w:rsidR="0012703B" w:rsidRPr="00A774E3">
        <w:rPr>
          <w:rFonts w:ascii="Times New Roman" w:hAnsi="Times New Roman" w:cs="Times New Roman"/>
        </w:rPr>
        <w:t>_ (</w:t>
      </w:r>
      <w:r w:rsidRPr="00A774E3">
        <w:rPr>
          <w:rFonts w:ascii="Times New Roman" w:hAnsi="Times New Roman" w:cs="Times New Roman"/>
        </w:rPr>
        <w:t xml:space="preserve">WGJ-2) through </w:t>
      </w:r>
      <w:r w:rsidR="00B10EED" w:rsidRPr="00A774E3">
        <w:rPr>
          <w:rFonts w:ascii="Times New Roman" w:hAnsi="Times New Roman" w:cs="Times New Roman"/>
        </w:rPr>
        <w:t>__</w:t>
      </w:r>
      <w:r w:rsidR="0012703B" w:rsidRPr="00A774E3">
        <w:rPr>
          <w:rFonts w:ascii="Times New Roman" w:hAnsi="Times New Roman" w:cs="Times New Roman"/>
        </w:rPr>
        <w:t>_ (</w:t>
      </w:r>
      <w:r w:rsidRPr="00A774E3">
        <w:rPr>
          <w:rFonts w:ascii="Times New Roman" w:hAnsi="Times New Roman" w:cs="Times New Roman"/>
        </w:rPr>
        <w:t>WGJ-</w:t>
      </w:r>
      <w:r w:rsidR="00751E45" w:rsidRPr="00A774E3">
        <w:rPr>
          <w:rFonts w:ascii="Times New Roman" w:hAnsi="Times New Roman" w:cs="Times New Roman"/>
        </w:rPr>
        <w:t>6</w:t>
      </w:r>
      <w:r w:rsidRPr="00A774E3">
        <w:rPr>
          <w:rFonts w:ascii="Times New Roman" w:hAnsi="Times New Roman" w:cs="Times New Roman"/>
        </w:rPr>
        <w:t>), which were prepared under my supervision and direction.</w:t>
      </w:r>
      <w:r w:rsidR="00DC7D94" w:rsidRPr="00A774E3">
        <w:rPr>
          <w:rFonts w:ascii="Times New Roman" w:hAnsi="Times New Roman" w:cs="Times New Roman"/>
        </w:rPr>
        <w:t xml:space="preserve">  </w:t>
      </w:r>
      <w:r w:rsidR="00751E45" w:rsidRPr="00A774E3">
        <w:rPr>
          <w:rFonts w:ascii="Times New Roman" w:hAnsi="Times New Roman" w:cs="Times New Roman"/>
        </w:rPr>
        <w:t>Exhibit No. __</w:t>
      </w:r>
      <w:r w:rsidR="0012703B" w:rsidRPr="00A774E3">
        <w:rPr>
          <w:rFonts w:ascii="Times New Roman" w:hAnsi="Times New Roman" w:cs="Times New Roman"/>
        </w:rPr>
        <w:t>_ (</w:t>
      </w:r>
      <w:r w:rsidR="00751E45" w:rsidRPr="00A774E3">
        <w:rPr>
          <w:rFonts w:ascii="Times New Roman" w:hAnsi="Times New Roman" w:cs="Times New Roman"/>
        </w:rPr>
        <w:t>WGJ-2) identifies the power supply expense and revenue items that fall within the scope of my testimony. A brief description of each adjustment is provided in Exhibit No.</w:t>
      </w:r>
      <w:r w:rsidR="005F4F7A" w:rsidRPr="00A774E3">
        <w:rPr>
          <w:rFonts w:ascii="Times New Roman" w:hAnsi="Times New Roman" w:cs="Times New Roman"/>
        </w:rPr>
        <w:t xml:space="preserve"> __</w:t>
      </w:r>
      <w:r w:rsidR="0012703B" w:rsidRPr="00A774E3">
        <w:rPr>
          <w:rFonts w:ascii="Times New Roman" w:hAnsi="Times New Roman" w:cs="Times New Roman"/>
        </w:rPr>
        <w:t>_ (</w:t>
      </w:r>
      <w:r w:rsidR="00751E45" w:rsidRPr="00A774E3">
        <w:rPr>
          <w:rFonts w:ascii="Times New Roman" w:hAnsi="Times New Roman" w:cs="Times New Roman"/>
        </w:rPr>
        <w:t>WGJ-</w:t>
      </w:r>
      <w:r w:rsidR="00F22C09" w:rsidRPr="00A774E3">
        <w:rPr>
          <w:rFonts w:ascii="Times New Roman" w:hAnsi="Times New Roman" w:cs="Times New Roman"/>
        </w:rPr>
        <w:t>3</w:t>
      </w:r>
      <w:r w:rsidR="00751E45" w:rsidRPr="00A774E3">
        <w:rPr>
          <w:rFonts w:ascii="Times New Roman" w:hAnsi="Times New Roman" w:cs="Times New Roman"/>
        </w:rPr>
        <w:t xml:space="preserve">).  </w:t>
      </w:r>
      <w:r w:rsidR="00F22C09" w:rsidRPr="00A774E3">
        <w:rPr>
          <w:rFonts w:ascii="Times New Roman" w:hAnsi="Times New Roman" w:cs="Times New Roman"/>
        </w:rPr>
        <w:t>Exhibit No. __</w:t>
      </w:r>
      <w:r w:rsidR="0012703B" w:rsidRPr="00A774E3">
        <w:rPr>
          <w:rFonts w:ascii="Times New Roman" w:hAnsi="Times New Roman" w:cs="Times New Roman"/>
        </w:rPr>
        <w:t>_ (</w:t>
      </w:r>
      <w:r w:rsidR="00F22C09" w:rsidRPr="00A774E3">
        <w:rPr>
          <w:rFonts w:ascii="Times New Roman" w:hAnsi="Times New Roman" w:cs="Times New Roman"/>
        </w:rPr>
        <w:t xml:space="preserve">WGJ-4) shows the pro forma fuel costs </w:t>
      </w:r>
      <w:r w:rsidR="005F4F7A" w:rsidRPr="00A774E3">
        <w:rPr>
          <w:rFonts w:ascii="Times New Roman" w:hAnsi="Times New Roman" w:cs="Times New Roman"/>
        </w:rPr>
        <w:t xml:space="preserve">and short-term purchase and sales </w:t>
      </w:r>
      <w:r w:rsidR="00F22C09" w:rsidRPr="00A774E3">
        <w:rPr>
          <w:rFonts w:ascii="Times New Roman" w:hAnsi="Times New Roman" w:cs="Times New Roman"/>
        </w:rPr>
        <w:t xml:space="preserve">by month for each plant.  </w:t>
      </w:r>
      <w:r w:rsidR="00F22C09" w:rsidRPr="00A774E3">
        <w:rPr>
          <w:rFonts w:ascii="Times New Roman" w:hAnsi="Times New Roman" w:cs="Times New Roman"/>
          <w:bCs/>
        </w:rPr>
        <w:t xml:space="preserve">The proposed authorized ERM power supply expense and revenue, transmission expense and revenue, and </w:t>
      </w:r>
      <w:r w:rsidR="0012703B" w:rsidRPr="00A774E3">
        <w:rPr>
          <w:rFonts w:ascii="Times New Roman" w:hAnsi="Times New Roman" w:cs="Times New Roman"/>
          <w:bCs/>
        </w:rPr>
        <w:t>retail sales are</w:t>
      </w:r>
      <w:r w:rsidR="00F22C09" w:rsidRPr="00A774E3">
        <w:rPr>
          <w:rFonts w:ascii="Times New Roman" w:hAnsi="Times New Roman" w:cs="Times New Roman"/>
          <w:bCs/>
        </w:rPr>
        <w:t xml:space="preserve"> shown in Exhibit No._</w:t>
      </w:r>
      <w:r w:rsidR="0012703B" w:rsidRPr="00A774E3">
        <w:rPr>
          <w:rFonts w:ascii="Times New Roman" w:hAnsi="Times New Roman" w:cs="Times New Roman"/>
          <w:bCs/>
        </w:rPr>
        <w:t>_ (</w:t>
      </w:r>
      <w:r w:rsidR="00F22C09" w:rsidRPr="00A774E3">
        <w:rPr>
          <w:rFonts w:ascii="Times New Roman" w:hAnsi="Times New Roman" w:cs="Times New Roman"/>
          <w:bCs/>
        </w:rPr>
        <w:t xml:space="preserve">WGJ-5).  </w:t>
      </w:r>
      <w:r w:rsidR="006D5BF7" w:rsidRPr="00A774E3">
        <w:rPr>
          <w:rFonts w:ascii="Times New Roman" w:hAnsi="Times New Roman" w:cs="Times New Roman"/>
        </w:rPr>
        <w:t>Exhibit</w:t>
      </w:r>
      <w:r w:rsidR="00F22C09" w:rsidRPr="00A774E3">
        <w:rPr>
          <w:rFonts w:ascii="Times New Roman" w:hAnsi="Times New Roman" w:cs="Times New Roman"/>
        </w:rPr>
        <w:t xml:space="preserve"> No._</w:t>
      </w:r>
      <w:r w:rsidR="0012703B" w:rsidRPr="00A774E3">
        <w:rPr>
          <w:rFonts w:ascii="Times New Roman" w:hAnsi="Times New Roman" w:cs="Times New Roman"/>
        </w:rPr>
        <w:t>_ (</w:t>
      </w:r>
      <w:r w:rsidR="00DC7D94" w:rsidRPr="00A774E3">
        <w:rPr>
          <w:rFonts w:ascii="Times New Roman" w:hAnsi="Times New Roman" w:cs="Times New Roman"/>
        </w:rPr>
        <w:t>WGJ-</w:t>
      </w:r>
      <w:r w:rsidR="00F22C09" w:rsidRPr="00A774E3">
        <w:rPr>
          <w:rFonts w:ascii="Times New Roman" w:hAnsi="Times New Roman" w:cs="Times New Roman"/>
        </w:rPr>
        <w:t>6</w:t>
      </w:r>
      <w:r w:rsidR="00DC7D94" w:rsidRPr="00A774E3">
        <w:rPr>
          <w:rFonts w:ascii="Times New Roman" w:hAnsi="Times New Roman" w:cs="Times New Roman"/>
        </w:rPr>
        <w:t xml:space="preserve">) </w:t>
      </w:r>
      <w:r w:rsidR="006D5BF7" w:rsidRPr="00A774E3">
        <w:rPr>
          <w:rFonts w:ascii="Times New Roman" w:hAnsi="Times New Roman" w:cs="Times New Roman"/>
        </w:rPr>
        <w:t>identifies the power supply expense and revenue without the Energy Efficiency Load Adjustment</w:t>
      </w:r>
      <w:r w:rsidR="00A774E3">
        <w:rPr>
          <w:rFonts w:ascii="Times New Roman" w:hAnsi="Times New Roman" w:cs="Times New Roman"/>
        </w:rPr>
        <w:t>,</w:t>
      </w:r>
      <w:r w:rsidR="006D5BF7" w:rsidRPr="00A774E3">
        <w:rPr>
          <w:rFonts w:ascii="Times New Roman" w:hAnsi="Times New Roman" w:cs="Times New Roman"/>
        </w:rPr>
        <w:t xml:space="preserve"> and </w:t>
      </w:r>
      <w:r w:rsidR="00F22C09" w:rsidRPr="00A774E3">
        <w:rPr>
          <w:rFonts w:ascii="Times New Roman" w:hAnsi="Times New Roman" w:cs="Times New Roman"/>
        </w:rPr>
        <w:t xml:space="preserve">is provided for information purposes to </w:t>
      </w:r>
      <w:r w:rsidR="007D09A6" w:rsidRPr="00A774E3">
        <w:rPr>
          <w:rFonts w:ascii="Times New Roman" w:hAnsi="Times New Roman" w:cs="Times New Roman"/>
        </w:rPr>
        <w:t xml:space="preserve">isolate </w:t>
      </w:r>
      <w:r w:rsidR="0012703B" w:rsidRPr="00A774E3">
        <w:rPr>
          <w:rFonts w:ascii="Times New Roman" w:hAnsi="Times New Roman" w:cs="Times New Roman"/>
        </w:rPr>
        <w:t>the impact</w:t>
      </w:r>
      <w:r w:rsidR="00F22C09" w:rsidRPr="00A774E3">
        <w:rPr>
          <w:rFonts w:ascii="Times New Roman" w:hAnsi="Times New Roman" w:cs="Times New Roman"/>
        </w:rPr>
        <w:t xml:space="preserve"> of </w:t>
      </w:r>
      <w:r w:rsidR="00DC7D94" w:rsidRPr="00A774E3">
        <w:rPr>
          <w:rFonts w:ascii="Times New Roman" w:hAnsi="Times New Roman" w:cs="Times New Roman"/>
        </w:rPr>
        <w:t>the Energy Efficiency Load Adjustment</w:t>
      </w:r>
      <w:r w:rsidR="00F22C09" w:rsidRPr="00A774E3">
        <w:rPr>
          <w:rFonts w:ascii="Times New Roman" w:hAnsi="Times New Roman" w:cs="Times New Roman"/>
        </w:rPr>
        <w:t xml:space="preserve"> on power supply expense</w:t>
      </w:r>
      <w:r w:rsidR="00DC7D94" w:rsidRPr="00A774E3">
        <w:rPr>
          <w:rFonts w:ascii="Times New Roman" w:hAnsi="Times New Roman" w:cs="Times New Roman"/>
        </w:rPr>
        <w:t xml:space="preserve">.  </w:t>
      </w:r>
    </w:p>
    <w:p w:rsidR="00BE21E7" w:rsidRPr="00BE21E7" w:rsidRDefault="00A55DD3" w:rsidP="00BE21E7">
      <w:pPr>
        <w:pStyle w:val="TestBody"/>
        <w:spacing w:line="480" w:lineRule="auto"/>
        <w:ind w:left="0" w:firstLine="720"/>
        <w:rPr>
          <w:rFonts w:ascii="Times New Roman" w:hAnsi="Times New Roman" w:cs="Times New Roman"/>
          <w:b/>
          <w:bCs/>
        </w:rPr>
      </w:pPr>
      <w:r>
        <w:rPr>
          <w:rFonts w:ascii="Times New Roman" w:hAnsi="Times New Roman" w:cs="Times New Roman"/>
          <w:b/>
          <w:bCs/>
        </w:rPr>
        <w:t>Q.</w:t>
      </w:r>
      <w:r>
        <w:rPr>
          <w:rFonts w:ascii="Times New Roman" w:hAnsi="Times New Roman" w:cs="Times New Roman"/>
          <w:b/>
          <w:bCs/>
        </w:rPr>
        <w:tab/>
        <w:t xml:space="preserve">Are </w:t>
      </w:r>
      <w:r w:rsidR="00876525">
        <w:rPr>
          <w:rFonts w:ascii="Times New Roman" w:hAnsi="Times New Roman" w:cs="Times New Roman"/>
          <w:b/>
          <w:bCs/>
        </w:rPr>
        <w:t xml:space="preserve">there </w:t>
      </w:r>
      <w:r>
        <w:rPr>
          <w:rFonts w:ascii="Times New Roman" w:hAnsi="Times New Roman" w:cs="Times New Roman"/>
          <w:b/>
          <w:bCs/>
        </w:rPr>
        <w:t>other C</w:t>
      </w:r>
      <w:r w:rsidR="00BE21E7" w:rsidRPr="00BE21E7">
        <w:rPr>
          <w:rFonts w:ascii="Times New Roman" w:hAnsi="Times New Roman" w:cs="Times New Roman"/>
          <w:b/>
          <w:bCs/>
        </w:rPr>
        <w:t>ompany witnesses providing testimony regarding issues you are addressing?</w:t>
      </w:r>
    </w:p>
    <w:p w:rsidR="00BE21E7" w:rsidRDefault="00BE21E7" w:rsidP="007D09A6">
      <w:pPr>
        <w:pStyle w:val="TestBody"/>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Yes.  Company witness Mr. Kalich provides detailed testimony on the </w:t>
      </w:r>
      <w:smartTag w:uri="urn:schemas-microsoft-com:office:smarttags" w:element="City">
        <w:smartTag w:uri="urn:schemas-microsoft-com:office:smarttags" w:element="place">
          <w:r w:rsidRPr="00BE21E7">
            <w:rPr>
              <w:rFonts w:ascii="Times New Roman" w:hAnsi="Times New Roman" w:cs="Times New Roman"/>
            </w:rPr>
            <w:t>AURORA</w:t>
          </w:r>
        </w:smartTag>
      </w:smartTag>
      <w:r w:rsidRPr="00BE21E7">
        <w:rPr>
          <w:rFonts w:ascii="Times New Roman" w:hAnsi="Times New Roman" w:cs="Times New Roman"/>
        </w:rPr>
        <w:t xml:space="preserve"> model used by the Company to develop short-term power purchase expense, fuel expense and short-term power sales revenue included in my exhibits.  </w:t>
      </w:r>
      <w:r w:rsidR="00751E45">
        <w:rPr>
          <w:rFonts w:ascii="Times New Roman" w:hAnsi="Times New Roman" w:cs="Times New Roman"/>
        </w:rPr>
        <w:t>Mr. Ehrbar addresses the Energy Efficiency Load Adjustment in his testimony.</w:t>
      </w:r>
    </w:p>
    <w:p w:rsidR="00CC1C97" w:rsidRPr="00BE21E7" w:rsidRDefault="00CC1C97" w:rsidP="007D09A6">
      <w:pPr>
        <w:pStyle w:val="TestBody"/>
        <w:spacing w:line="480" w:lineRule="auto"/>
        <w:ind w:left="0" w:firstLine="720"/>
        <w:rPr>
          <w:rFonts w:ascii="Times New Roman" w:hAnsi="Times New Roman" w:cs="Times New Roman"/>
        </w:rPr>
      </w:pPr>
    </w:p>
    <w:p w:rsidR="00BE21E7" w:rsidRPr="00BE21E7" w:rsidRDefault="00BE21E7" w:rsidP="00BE21E7">
      <w:pPr>
        <w:pStyle w:val="TestBody"/>
        <w:spacing w:line="480" w:lineRule="auto"/>
        <w:ind w:left="0" w:firstLine="0"/>
        <w:jc w:val="center"/>
        <w:rPr>
          <w:rFonts w:ascii="Times New Roman" w:hAnsi="Times New Roman" w:cs="Times New Roman"/>
          <w:b/>
          <w:bCs/>
          <w:u w:val="single"/>
        </w:rPr>
      </w:pPr>
      <w:r w:rsidRPr="00BE21E7">
        <w:rPr>
          <w:rFonts w:ascii="Times New Roman" w:hAnsi="Times New Roman" w:cs="Times New Roman"/>
          <w:b/>
          <w:bCs/>
          <w:u w:val="single"/>
        </w:rPr>
        <w:t>II.</w:t>
      </w:r>
      <w:r w:rsidRPr="00BE21E7">
        <w:rPr>
          <w:rFonts w:ascii="Times New Roman" w:hAnsi="Times New Roman" w:cs="Times New Roman"/>
          <w:b/>
          <w:bCs/>
          <w:u w:val="single"/>
        </w:rPr>
        <w:tab/>
      </w:r>
      <w:r w:rsidRPr="00BE21E7">
        <w:rPr>
          <w:rFonts w:ascii="Times New Roman" w:hAnsi="Times New Roman" w:cs="Times New Roman"/>
          <w:b/>
          <w:bCs/>
          <w:caps/>
          <w:u w:val="single"/>
        </w:rPr>
        <w:t xml:space="preserve">Overview of Pro Forma </w:t>
      </w:r>
      <w:r w:rsidR="00431EB0">
        <w:rPr>
          <w:rFonts w:ascii="Times New Roman" w:hAnsi="Times New Roman" w:cs="Times New Roman"/>
          <w:b/>
          <w:bCs/>
          <w:caps/>
          <w:u w:val="single"/>
        </w:rPr>
        <w:t>POWER SUPPLY</w:t>
      </w:r>
      <w:r w:rsidRPr="00BE21E7">
        <w:rPr>
          <w:rFonts w:ascii="Times New Roman" w:hAnsi="Times New Roman" w:cs="Times New Roman"/>
          <w:b/>
          <w:bCs/>
          <w:caps/>
          <w:u w:val="single"/>
        </w:rPr>
        <w:t xml:space="preserve"> Adjustment</w:t>
      </w:r>
    </w:p>
    <w:p w:rsidR="00BE21E7" w:rsidRPr="00BE21E7" w:rsidRDefault="00BE21E7" w:rsidP="00BE21E7">
      <w:pPr>
        <w:pStyle w:val="TestBody"/>
        <w:numPr>
          <w:ilvl w:val="0"/>
          <w:numId w:val="2"/>
        </w:numPr>
        <w:tabs>
          <w:tab w:val="clear" w:pos="1080"/>
          <w:tab w:val="num" w:pos="0"/>
        </w:tabs>
        <w:spacing w:line="480" w:lineRule="auto"/>
        <w:ind w:left="0" w:firstLine="720"/>
        <w:rPr>
          <w:rFonts w:ascii="Times New Roman" w:hAnsi="Times New Roman" w:cs="Times New Roman"/>
          <w:b/>
          <w:bCs/>
        </w:rPr>
      </w:pPr>
      <w:r w:rsidRPr="00BE21E7">
        <w:rPr>
          <w:rFonts w:ascii="Times New Roman" w:hAnsi="Times New Roman" w:cs="Times New Roman"/>
          <w:b/>
          <w:bCs/>
        </w:rPr>
        <w:t xml:space="preserve">Please provide an overview of the pro forma </w:t>
      </w:r>
      <w:r w:rsidR="00431EB0">
        <w:rPr>
          <w:rFonts w:ascii="Times New Roman" w:hAnsi="Times New Roman" w:cs="Times New Roman"/>
          <w:b/>
          <w:bCs/>
        </w:rPr>
        <w:t>power supply</w:t>
      </w:r>
      <w:r w:rsidRPr="00BE21E7">
        <w:rPr>
          <w:rFonts w:ascii="Times New Roman" w:hAnsi="Times New Roman" w:cs="Times New Roman"/>
          <w:b/>
          <w:bCs/>
        </w:rPr>
        <w:t xml:space="preserve"> adjustment.</w:t>
      </w:r>
    </w:p>
    <w:p w:rsidR="00BE21E7" w:rsidRPr="00BE21E7" w:rsidRDefault="00BE21E7" w:rsidP="00BE21E7">
      <w:pPr>
        <w:pStyle w:val="TestBody"/>
        <w:numPr>
          <w:ilvl w:val="0"/>
          <w:numId w:val="3"/>
        </w:numPr>
        <w:tabs>
          <w:tab w:val="clear" w:pos="2160"/>
          <w:tab w:val="num" w:pos="0"/>
        </w:tabs>
        <w:spacing w:line="480" w:lineRule="auto"/>
        <w:ind w:left="0" w:firstLine="720"/>
        <w:rPr>
          <w:rFonts w:ascii="Times New Roman" w:hAnsi="Times New Roman" w:cs="Times New Roman"/>
        </w:rPr>
      </w:pPr>
      <w:r w:rsidRPr="00BE21E7">
        <w:rPr>
          <w:rFonts w:ascii="Times New Roman" w:hAnsi="Times New Roman" w:cs="Times New Roman"/>
        </w:rPr>
        <w:lastRenderedPageBreak/>
        <w:t xml:space="preserve">The pro forma </w:t>
      </w:r>
      <w:r w:rsidR="00431EB0" w:rsidRPr="00BE21E7">
        <w:rPr>
          <w:rFonts w:ascii="Times New Roman" w:hAnsi="Times New Roman" w:cs="Times New Roman"/>
        </w:rPr>
        <w:t xml:space="preserve">power supply </w:t>
      </w:r>
      <w:r w:rsidRPr="00BE21E7">
        <w:rPr>
          <w:rFonts w:ascii="Times New Roman" w:hAnsi="Times New Roman" w:cs="Times New Roman"/>
        </w:rPr>
        <w:t xml:space="preserve">adjustment involves the determination of revenues and expenses based on the generation and dispatch of Company resources and expected wholesale market power prices as determined by the AURORA model simulation for the pro forma period under normal weather and hydro generation conditions.  In addition, adjustments are made to reflect contract changes between </w:t>
      </w:r>
      <w:r w:rsidR="00431EB0">
        <w:rPr>
          <w:rFonts w:ascii="Times New Roman" w:hAnsi="Times New Roman" w:cs="Times New Roman"/>
        </w:rPr>
        <w:t xml:space="preserve">the </w:t>
      </w:r>
      <w:r w:rsidRPr="00BE21E7">
        <w:rPr>
          <w:rFonts w:ascii="Times New Roman" w:hAnsi="Times New Roman" w:cs="Times New Roman"/>
        </w:rPr>
        <w:t>test period and the pro forma period.  The table below shows total net power supply expense during the test period and the pro forma period.  For information purposes only, the power supply expense</w:t>
      </w:r>
      <w:r w:rsidR="00431EB0">
        <w:rPr>
          <w:rStyle w:val="FootnoteReference"/>
          <w:rFonts w:ascii="Times New Roman" w:hAnsi="Times New Roman"/>
        </w:rPr>
        <w:footnoteReference w:id="1"/>
      </w:r>
      <w:r w:rsidR="004F758B">
        <w:rPr>
          <w:rFonts w:ascii="Times New Roman" w:hAnsi="Times New Roman" w:cs="Times New Roman"/>
        </w:rPr>
        <w:t xml:space="preserve"> </w:t>
      </w:r>
      <w:r w:rsidRPr="00BE21E7">
        <w:rPr>
          <w:rFonts w:ascii="Times New Roman" w:hAnsi="Times New Roman" w:cs="Times New Roman"/>
        </w:rPr>
        <w:t xml:space="preserve">currently in </w:t>
      </w:r>
      <w:r w:rsidR="00C026FD">
        <w:rPr>
          <w:rFonts w:ascii="Times New Roman" w:hAnsi="Times New Roman" w:cs="Times New Roman"/>
        </w:rPr>
        <w:t xml:space="preserve">base retail </w:t>
      </w:r>
      <w:r w:rsidR="006D5BF7">
        <w:rPr>
          <w:rFonts w:ascii="Times New Roman" w:hAnsi="Times New Roman" w:cs="Times New Roman"/>
        </w:rPr>
        <w:t>rates, which</w:t>
      </w:r>
      <w:r w:rsidRPr="00BE21E7">
        <w:rPr>
          <w:rFonts w:ascii="Times New Roman" w:hAnsi="Times New Roman" w:cs="Times New Roman"/>
        </w:rPr>
        <w:t xml:space="preserve"> is based on a calendar 20</w:t>
      </w:r>
      <w:r w:rsidR="00876525">
        <w:rPr>
          <w:rFonts w:ascii="Times New Roman" w:hAnsi="Times New Roman" w:cs="Times New Roman"/>
        </w:rPr>
        <w:t>1</w:t>
      </w:r>
      <w:r w:rsidR="00E700D9">
        <w:rPr>
          <w:rFonts w:ascii="Times New Roman" w:hAnsi="Times New Roman" w:cs="Times New Roman"/>
        </w:rPr>
        <w:t>1</w:t>
      </w:r>
      <w:r w:rsidRPr="00BE21E7">
        <w:rPr>
          <w:rFonts w:ascii="Times New Roman" w:hAnsi="Times New Roman" w:cs="Times New Roman"/>
        </w:rPr>
        <w:t xml:space="preserve"> pro forma period, is also shown.</w:t>
      </w:r>
    </w:p>
    <w:p w:rsidR="00BE21E7" w:rsidRPr="00C03549" w:rsidRDefault="00A402FE" w:rsidP="0072665A">
      <w:pPr>
        <w:pStyle w:val="TestBody"/>
        <w:spacing w:line="480" w:lineRule="auto"/>
        <w:ind w:left="0" w:firstLine="0"/>
        <w:rPr>
          <w:rFonts w:ascii="Times New Roman" w:hAnsi="Times New Roman" w:cs="Times New Roman"/>
        </w:rPr>
      </w:pPr>
      <w:r>
        <w:rPr>
          <w:noProof/>
        </w:rPr>
      </w:r>
      <w:r>
        <w:rPr>
          <w:rFonts w:ascii="Times New Roman" w:hAnsi="Times New Roman" w:cs="Times New Roman"/>
        </w:rPr>
        <w:pict>
          <v:group id="_x0000_s1072" editas="canvas" style="width:417.75pt;height:172.5pt;mso-position-horizontal-relative:char;mso-position-vertical-relative:line" coordorigin="-15,-15" coordsize="8355,345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1" type="#_x0000_t75" style="position:absolute;left:-15;top:-15;width:8355;height:3450" o:preferrelative="f">
              <v:fill o:detectmouseclick="t"/>
              <v:path o:extrusionok="t" o:connecttype="none"/>
              <o:lock v:ext="edit" text="t"/>
            </v:shape>
            <v:rect id="_x0000_s1073" style="position:absolute;width:8340;height:330" fillcolor="#d7e4bc" stroked="f"/>
            <v:rect id="_x0000_s1074" style="position:absolute;left:2475;top:30;width:2641;height:276;mso-wrap-style:none;v-text-anchor:top" filled="f" stroked="f">
              <v:textbox style="mso-fit-shape-to-text:t" inset="0,0,0,0">
                <w:txbxContent>
                  <w:p w:rsidR="00A402FE" w:rsidRDefault="00A402FE">
                    <w:r>
                      <w:rPr>
                        <w:rFonts w:ascii="Arial" w:hAnsi="Arial" w:cs="Arial"/>
                        <w:b/>
                        <w:bCs/>
                        <w:color w:val="000000"/>
                      </w:rPr>
                      <w:t>Power Supply Expense</w:t>
                    </w:r>
                  </w:p>
                </w:txbxContent>
              </v:textbox>
            </v:rect>
            <v:rect id="_x0000_s1075" style="position:absolute;left:7215;top:750;width:667;height:230;mso-wrap-style:none;v-text-anchor:top" filled="f" stroked="f">
              <v:textbox style="mso-fit-shape-to-text:t" inset="0,0,0,0">
                <w:txbxContent>
                  <w:p w:rsidR="00A402FE" w:rsidRDefault="00A402FE">
                    <w:r>
                      <w:rPr>
                        <w:rFonts w:ascii="Arial" w:hAnsi="Arial" w:cs="Arial"/>
                        <w:color w:val="000000"/>
                        <w:sz w:val="20"/>
                        <w:szCs w:val="20"/>
                      </w:rPr>
                      <w:t>System</w:t>
                    </w:r>
                  </w:p>
                </w:txbxContent>
              </v:textbox>
            </v:rect>
            <v:rect id="_x0000_s1076" style="position:absolute;left:7215;top:960;width:675;height:15" fillcolor="black" stroked="f"/>
            <v:rect id="_x0000_s1077" style="position:absolute;left:45;top:1125;width:5637;height:230;mso-wrap-style:none;v-text-anchor:top" filled="f" stroked="f">
              <v:textbox style="mso-fit-shape-to-text:t" inset="0,0,0,0">
                <w:txbxContent>
                  <w:p w:rsidR="00A402FE" w:rsidRDefault="00A402FE">
                    <w:r>
                      <w:rPr>
                        <w:rFonts w:ascii="Arial" w:hAnsi="Arial" w:cs="Arial"/>
                        <w:color w:val="000000"/>
                        <w:sz w:val="20"/>
                        <w:szCs w:val="20"/>
                      </w:rPr>
                      <w:t>Power Supply Expense in Current Base Rates (2011 pro forma)</w:t>
                    </w:r>
                  </w:p>
                </w:txbxContent>
              </v:textbox>
            </v:rect>
            <v:rect id="_x0000_s1078" style="position:absolute;left:6975;top:1125;width:1224;height:230;mso-wrap-style:none;v-text-anchor:top" filled="f" stroked="f">
              <v:textbox style="mso-fit-shape-to-text:t" inset="0,0,0,0">
                <w:txbxContent>
                  <w:p w:rsidR="00A402FE" w:rsidRDefault="00A402FE">
                    <w:r>
                      <w:rPr>
                        <w:rFonts w:ascii="Arial" w:hAnsi="Arial" w:cs="Arial"/>
                        <w:color w:val="000000"/>
                        <w:sz w:val="20"/>
                        <w:szCs w:val="20"/>
                      </w:rPr>
                      <w:t>$199,609,000</w:t>
                    </w:r>
                  </w:p>
                </w:txbxContent>
              </v:textbox>
            </v:rect>
            <v:rect id="_x0000_s1079" style="position:absolute;left:45;top:1635;width:4147;height:230;mso-wrap-style:none;v-text-anchor:top" filled="f" stroked="f">
              <v:textbox style="mso-fit-shape-to-text:t" inset="0,0,0,0">
                <w:txbxContent>
                  <w:p w:rsidR="00A402FE" w:rsidRDefault="00A402FE">
                    <w:r>
                      <w:rPr>
                        <w:rFonts w:ascii="Arial" w:hAnsi="Arial" w:cs="Arial"/>
                        <w:color w:val="000000"/>
                        <w:sz w:val="20"/>
                        <w:szCs w:val="20"/>
                      </w:rPr>
                      <w:t>Actual Jan 10 - Dec 10 Power Supply Expense</w:t>
                    </w:r>
                  </w:p>
                </w:txbxContent>
              </v:textbox>
            </v:rect>
            <v:rect id="_x0000_s1080" style="position:absolute;left:6975;top:1635;width:1224;height:230;mso-wrap-style:none;v-text-anchor:top" filled="f" stroked="f">
              <v:textbox style="mso-fit-shape-to-text:t" inset="0,0,0,0">
                <w:txbxContent>
                  <w:p w:rsidR="00A402FE" w:rsidRDefault="00A402FE">
                    <w:r>
                      <w:rPr>
                        <w:rFonts w:ascii="Arial" w:hAnsi="Arial" w:cs="Arial"/>
                        <w:color w:val="000000"/>
                        <w:sz w:val="20"/>
                        <w:szCs w:val="20"/>
                      </w:rPr>
                      <w:t>$190,323,000</w:t>
                    </w:r>
                  </w:p>
                </w:txbxContent>
              </v:textbox>
            </v:rect>
            <v:rect id="_x0000_s1081" style="position:absolute;left:45;top:2145;width:2524;height:230;mso-wrap-style:none;v-text-anchor:top" filled="f" stroked="f">
              <v:textbox style="mso-fit-shape-to-text:t" inset="0,0,0,0">
                <w:txbxContent>
                  <w:p w:rsidR="00A402FE" w:rsidRDefault="00A402FE">
                    <w:r>
                      <w:rPr>
                        <w:rFonts w:ascii="Arial" w:hAnsi="Arial" w:cs="Arial"/>
                        <w:color w:val="000000"/>
                        <w:sz w:val="20"/>
                        <w:szCs w:val="20"/>
                      </w:rPr>
                      <w:t xml:space="preserve">    Adjustment to Test Period</w:t>
                    </w:r>
                  </w:p>
                </w:txbxContent>
              </v:textbox>
            </v:rect>
            <v:rect id="_x0000_s1082" style="position:absolute;left:7020;top:2145;width:1113;height:230;mso-wrap-style:none;v-text-anchor:top" filled="f" stroked="f">
              <v:textbox style="mso-fit-shape-to-text:t" inset="0,0,0,0">
                <w:txbxContent>
                  <w:p w:rsidR="00A402FE" w:rsidRDefault="00A402FE">
                    <w:r>
                      <w:rPr>
                        <w:rFonts w:ascii="Arial" w:hAnsi="Arial" w:cs="Arial"/>
                        <w:color w:val="000000"/>
                        <w:sz w:val="20"/>
                        <w:szCs w:val="20"/>
                      </w:rPr>
                      <w:t>$18,309,000</w:t>
                    </w:r>
                  </w:p>
                </w:txbxContent>
              </v:textbox>
            </v:rect>
            <v:rect id="_x0000_s1083" style="position:absolute;left:45;top:2655;width:4414;height:230;mso-wrap-style:none;v-text-anchor:top" filled="f" stroked="f">
              <v:textbox style="mso-fit-shape-to-text:t" inset="0,0,0,0">
                <w:txbxContent>
                  <w:p w:rsidR="00A402FE" w:rsidRDefault="00A402FE">
                    <w:r>
                      <w:rPr>
                        <w:rFonts w:ascii="Arial" w:hAnsi="Arial" w:cs="Arial"/>
                        <w:color w:val="000000"/>
                        <w:sz w:val="20"/>
                        <w:szCs w:val="20"/>
                      </w:rPr>
                      <w:t xml:space="preserve">Proposed 2012 Pro forma Power Supply Expense </w:t>
                    </w:r>
                  </w:p>
                </w:txbxContent>
              </v:textbox>
            </v:rect>
            <v:rect id="_x0000_s1084" style="position:absolute;left:6975;top:2655;width:1224;height:230;mso-wrap-style:none;v-text-anchor:top" filled="f" stroked="f">
              <v:textbox style="mso-fit-shape-to-text:t" inset="0,0,0,0">
                <w:txbxContent>
                  <w:p w:rsidR="00A402FE" w:rsidRDefault="00A402FE">
                    <w:r>
                      <w:rPr>
                        <w:rFonts w:ascii="Arial" w:hAnsi="Arial" w:cs="Arial"/>
                        <w:color w:val="000000"/>
                        <w:sz w:val="20"/>
                        <w:szCs w:val="20"/>
                      </w:rPr>
                      <w:t>$208,632,000</w:t>
                    </w:r>
                  </w:p>
                </w:txbxContent>
              </v:textbox>
            </v:rect>
            <v:rect id="_x0000_s1085" style="position:absolute;left:45;top:3165;width:3735;height:230;mso-wrap-style:none;v-text-anchor:top" filled="f" stroked="f">
              <v:textbox style="mso-fit-shape-to-text:t" inset="0,0,0,0">
                <w:txbxContent>
                  <w:p w:rsidR="00A402FE" w:rsidRDefault="00A402FE">
                    <w:r>
                      <w:rPr>
                        <w:rFonts w:ascii="Arial" w:hAnsi="Arial" w:cs="Arial"/>
                        <w:color w:val="000000"/>
                        <w:sz w:val="20"/>
                        <w:szCs w:val="20"/>
                      </w:rPr>
                      <w:t xml:space="preserve">   Increase from Expense in Current Rates</w:t>
                    </w:r>
                  </w:p>
                </w:txbxContent>
              </v:textbox>
            </v:rect>
            <v:rect id="_x0000_s1086" style="position:absolute;left:7080;top:3165;width:1001;height:230;mso-wrap-style:none;v-text-anchor:top" filled="f" stroked="f">
              <v:textbox style="mso-fit-shape-to-text:t" inset="0,0,0,0">
                <w:txbxContent>
                  <w:p w:rsidR="00A402FE" w:rsidRDefault="00A402FE">
                    <w:r>
                      <w:rPr>
                        <w:rFonts w:ascii="Arial" w:hAnsi="Arial" w:cs="Arial"/>
                        <w:color w:val="000000"/>
                        <w:sz w:val="20"/>
                        <w:szCs w:val="20"/>
                      </w:rPr>
                      <w:t>$9,023,000</w:t>
                    </w:r>
                  </w:p>
                </w:txbxContent>
              </v:textbox>
            </v:rect>
            <v:rect id="_x0000_s1087" style="position:absolute;left:-15;top:-15;width:30;height:3450" fillcolor="black" stroked="f"/>
            <v:rect id="_x0000_s1088" style="position:absolute;left:8310;top:15;width:30;height:3420" fillcolor="black" stroked="f"/>
            <v:rect id="_x0000_s1089" style="position:absolute;left:15;top:-15;width:8325;height:30" fillcolor="black" stroked="f"/>
            <v:rect id="_x0000_s1090" style="position:absolute;left:15;top:3405;width:8325;height:30" fillcolor="black" stroked="f"/>
            <w10:wrap type="none"/>
            <w10:anchorlock/>
          </v:group>
        </w:pict>
      </w:r>
    </w:p>
    <w:p w:rsidR="00BE21E7" w:rsidRPr="00BE21E7" w:rsidRDefault="00BE21E7" w:rsidP="00BE21E7">
      <w:pPr>
        <w:pStyle w:val="TestBody"/>
        <w:spacing w:line="480" w:lineRule="auto"/>
        <w:ind w:left="0" w:firstLine="720"/>
        <w:rPr>
          <w:rFonts w:ascii="Times New Roman" w:hAnsi="Times New Roman" w:cs="Times New Roman"/>
        </w:rPr>
      </w:pPr>
      <w:r w:rsidRPr="00BE21E7">
        <w:rPr>
          <w:rFonts w:ascii="Times New Roman" w:hAnsi="Times New Roman" w:cs="Times New Roman"/>
        </w:rPr>
        <w:t xml:space="preserve">The net effect of my adjustments to the test year power supply expense is an increase of </w:t>
      </w:r>
      <w:r w:rsidRPr="0072665A">
        <w:rPr>
          <w:rFonts w:ascii="Times New Roman" w:hAnsi="Times New Roman" w:cs="Times New Roman"/>
        </w:rPr>
        <w:t>$</w:t>
      </w:r>
      <w:r w:rsidR="007D09A6">
        <w:rPr>
          <w:rFonts w:ascii="Times New Roman" w:hAnsi="Times New Roman" w:cs="Times New Roman"/>
        </w:rPr>
        <w:t>18</w:t>
      </w:r>
      <w:r w:rsidR="00C579DD">
        <w:rPr>
          <w:rFonts w:ascii="Times New Roman" w:hAnsi="Times New Roman" w:cs="Times New Roman"/>
        </w:rPr>
        <w:t>,</w:t>
      </w:r>
      <w:r w:rsidR="007D09A6">
        <w:rPr>
          <w:rFonts w:ascii="Times New Roman" w:hAnsi="Times New Roman" w:cs="Times New Roman"/>
        </w:rPr>
        <w:t>309</w:t>
      </w:r>
      <w:r w:rsidR="0072665A" w:rsidRPr="0072665A">
        <w:rPr>
          <w:rFonts w:ascii="Times New Roman" w:hAnsi="Times New Roman" w:cs="Times New Roman"/>
        </w:rPr>
        <w:t>,00</w:t>
      </w:r>
      <w:r w:rsidRPr="0072665A">
        <w:rPr>
          <w:rFonts w:ascii="Times New Roman" w:hAnsi="Times New Roman" w:cs="Times New Roman"/>
        </w:rPr>
        <w:t>0 ($2</w:t>
      </w:r>
      <w:r w:rsidR="00954DB7">
        <w:rPr>
          <w:rFonts w:ascii="Times New Roman" w:hAnsi="Times New Roman" w:cs="Times New Roman"/>
        </w:rPr>
        <w:t>08</w:t>
      </w:r>
      <w:r w:rsidRPr="0072665A">
        <w:rPr>
          <w:rFonts w:ascii="Times New Roman" w:hAnsi="Times New Roman" w:cs="Times New Roman"/>
        </w:rPr>
        <w:t>,</w:t>
      </w:r>
      <w:r w:rsidR="00954DB7">
        <w:rPr>
          <w:rFonts w:ascii="Times New Roman" w:hAnsi="Times New Roman" w:cs="Times New Roman"/>
        </w:rPr>
        <w:t>632</w:t>
      </w:r>
      <w:r w:rsidRPr="0072665A">
        <w:rPr>
          <w:rFonts w:ascii="Times New Roman" w:hAnsi="Times New Roman" w:cs="Times New Roman"/>
        </w:rPr>
        <w:t>,000 - $1</w:t>
      </w:r>
      <w:r w:rsidR="00C579DD">
        <w:rPr>
          <w:rFonts w:ascii="Times New Roman" w:hAnsi="Times New Roman" w:cs="Times New Roman"/>
        </w:rPr>
        <w:t>90</w:t>
      </w:r>
      <w:r w:rsidRPr="0072665A">
        <w:rPr>
          <w:rFonts w:ascii="Times New Roman" w:hAnsi="Times New Roman" w:cs="Times New Roman"/>
        </w:rPr>
        <w:t>,</w:t>
      </w:r>
      <w:r w:rsidR="00C579DD">
        <w:rPr>
          <w:rFonts w:ascii="Times New Roman" w:hAnsi="Times New Roman" w:cs="Times New Roman"/>
        </w:rPr>
        <w:t>323</w:t>
      </w:r>
      <w:r w:rsidRPr="0072665A">
        <w:rPr>
          <w:rFonts w:ascii="Times New Roman" w:hAnsi="Times New Roman" w:cs="Times New Roman"/>
        </w:rPr>
        <w:t>,000)</w:t>
      </w:r>
      <w:r w:rsidR="00407CC1">
        <w:rPr>
          <w:rFonts w:ascii="Times New Roman" w:hAnsi="Times New Roman" w:cs="Times New Roman"/>
        </w:rPr>
        <w:t xml:space="preserve"> on a system basis</w:t>
      </w:r>
      <w:r w:rsidRPr="00BE21E7">
        <w:rPr>
          <w:rFonts w:ascii="Times New Roman" w:hAnsi="Times New Roman" w:cs="Times New Roman"/>
        </w:rPr>
        <w:t xml:space="preserve">. </w:t>
      </w:r>
    </w:p>
    <w:p w:rsidR="00BE21E7" w:rsidRPr="00BE21E7" w:rsidRDefault="00BE21E7" w:rsidP="004C0725">
      <w:pPr>
        <w:pStyle w:val="TestBody"/>
        <w:spacing w:line="480" w:lineRule="auto"/>
        <w:ind w:left="0" w:firstLine="720"/>
        <w:rPr>
          <w:rFonts w:ascii="Times New Roman" w:hAnsi="Times New Roman" w:cs="Times New Roman"/>
        </w:rPr>
      </w:pPr>
      <w:r w:rsidRPr="00BE21E7">
        <w:rPr>
          <w:rFonts w:ascii="Times New Roman" w:hAnsi="Times New Roman" w:cs="Times New Roman"/>
        </w:rPr>
        <w:t xml:space="preserve">The increase in power supply expense compared to the </w:t>
      </w:r>
      <w:r w:rsidR="00431EB0">
        <w:rPr>
          <w:rFonts w:ascii="Times New Roman" w:hAnsi="Times New Roman" w:cs="Times New Roman"/>
        </w:rPr>
        <w:t>authorized</w:t>
      </w:r>
      <w:r w:rsidRPr="00BE21E7">
        <w:rPr>
          <w:rFonts w:ascii="Times New Roman" w:hAnsi="Times New Roman" w:cs="Times New Roman"/>
        </w:rPr>
        <w:t xml:space="preserve"> level in current base rates </w:t>
      </w:r>
      <w:r w:rsidR="00200197">
        <w:rPr>
          <w:rFonts w:ascii="Times New Roman" w:hAnsi="Times New Roman" w:cs="Times New Roman"/>
        </w:rPr>
        <w:t>is</w:t>
      </w:r>
      <w:r w:rsidRPr="00BE21E7">
        <w:rPr>
          <w:rFonts w:ascii="Times New Roman" w:hAnsi="Times New Roman" w:cs="Times New Roman"/>
        </w:rPr>
        <w:t xml:space="preserve"> </w:t>
      </w:r>
      <w:r w:rsidRPr="0072665A">
        <w:rPr>
          <w:rFonts w:ascii="Times New Roman" w:hAnsi="Times New Roman" w:cs="Times New Roman"/>
        </w:rPr>
        <w:t>$</w:t>
      </w:r>
      <w:r w:rsidR="007D09A6">
        <w:rPr>
          <w:rFonts w:ascii="Times New Roman" w:hAnsi="Times New Roman" w:cs="Times New Roman"/>
        </w:rPr>
        <w:t>9</w:t>
      </w:r>
      <w:r w:rsidR="00817F2D">
        <w:rPr>
          <w:rFonts w:ascii="Times New Roman" w:hAnsi="Times New Roman" w:cs="Times New Roman"/>
        </w:rPr>
        <w:t>,</w:t>
      </w:r>
      <w:r w:rsidR="007D09A6">
        <w:rPr>
          <w:rFonts w:ascii="Times New Roman" w:hAnsi="Times New Roman" w:cs="Times New Roman"/>
        </w:rPr>
        <w:t>023</w:t>
      </w:r>
      <w:r w:rsidRPr="0072665A">
        <w:rPr>
          <w:rFonts w:ascii="Times New Roman" w:hAnsi="Times New Roman" w:cs="Times New Roman"/>
        </w:rPr>
        <w:t>,</w:t>
      </w:r>
      <w:r w:rsidR="00817F2D">
        <w:rPr>
          <w:rFonts w:ascii="Times New Roman" w:hAnsi="Times New Roman" w:cs="Times New Roman"/>
        </w:rPr>
        <w:t>000</w:t>
      </w:r>
      <w:r w:rsidRPr="0072665A">
        <w:rPr>
          <w:rFonts w:ascii="Times New Roman" w:hAnsi="Times New Roman" w:cs="Times New Roman"/>
        </w:rPr>
        <w:t xml:space="preserve"> (system) and $</w:t>
      </w:r>
      <w:r w:rsidR="007D09A6">
        <w:rPr>
          <w:rFonts w:ascii="Times New Roman" w:hAnsi="Times New Roman" w:cs="Times New Roman"/>
        </w:rPr>
        <w:t>5</w:t>
      </w:r>
      <w:r w:rsidRPr="0072665A">
        <w:rPr>
          <w:rFonts w:ascii="Times New Roman" w:hAnsi="Times New Roman" w:cs="Times New Roman"/>
        </w:rPr>
        <w:t>,</w:t>
      </w:r>
      <w:r w:rsidR="007D09A6">
        <w:rPr>
          <w:rFonts w:ascii="Times New Roman" w:hAnsi="Times New Roman" w:cs="Times New Roman"/>
        </w:rPr>
        <w:t>879</w:t>
      </w:r>
      <w:r w:rsidR="00E273CB" w:rsidRPr="0072665A">
        <w:rPr>
          <w:rFonts w:ascii="Times New Roman" w:hAnsi="Times New Roman" w:cs="Times New Roman"/>
        </w:rPr>
        <w:t>,</w:t>
      </w:r>
      <w:r w:rsidR="00200197">
        <w:rPr>
          <w:rFonts w:ascii="Times New Roman" w:hAnsi="Times New Roman" w:cs="Times New Roman"/>
        </w:rPr>
        <w:t xml:space="preserve">000 (Washington allocation).  </w:t>
      </w:r>
    </w:p>
    <w:p w:rsidR="00BE21E7" w:rsidRPr="00BE21E7" w:rsidRDefault="00BE21E7" w:rsidP="00BE21E7">
      <w:pPr>
        <w:pStyle w:val="TestBody"/>
        <w:numPr>
          <w:ilvl w:val="0"/>
          <w:numId w:val="10"/>
        </w:numPr>
        <w:tabs>
          <w:tab w:val="clear" w:pos="720"/>
          <w:tab w:val="num" w:pos="0"/>
        </w:tabs>
        <w:spacing w:line="480" w:lineRule="auto"/>
        <w:ind w:left="0" w:firstLine="720"/>
        <w:rPr>
          <w:rFonts w:ascii="Times New Roman" w:hAnsi="Times New Roman" w:cs="Times New Roman"/>
          <w:b/>
          <w:bCs/>
        </w:rPr>
      </w:pPr>
      <w:r w:rsidRPr="00BE21E7">
        <w:rPr>
          <w:rFonts w:ascii="Times New Roman" w:hAnsi="Times New Roman" w:cs="Times New Roman"/>
          <w:b/>
          <w:bCs/>
        </w:rPr>
        <w:t>What are the major factors driving the increased power supply expense in the pro forma year over the level of power supply expense currently in base rates?</w:t>
      </w:r>
    </w:p>
    <w:p w:rsidR="00BE21E7" w:rsidRPr="00BE21E7" w:rsidRDefault="00BE21E7" w:rsidP="00BE21E7">
      <w:pPr>
        <w:pStyle w:val="TestBody"/>
        <w:tabs>
          <w:tab w:val="num" w:pos="720"/>
        </w:tabs>
        <w:spacing w:line="480" w:lineRule="auto"/>
        <w:ind w:left="0" w:firstLine="720"/>
        <w:rPr>
          <w:rFonts w:ascii="Times New Roman" w:hAnsi="Times New Roman" w:cs="Times New Roman"/>
        </w:rPr>
      </w:pPr>
      <w:r w:rsidRPr="00BE21E7">
        <w:rPr>
          <w:rFonts w:ascii="Times New Roman" w:hAnsi="Times New Roman" w:cs="Times New Roman"/>
        </w:rPr>
        <w:lastRenderedPageBreak/>
        <w:t>A.</w:t>
      </w:r>
      <w:r w:rsidRPr="00BE21E7">
        <w:rPr>
          <w:rFonts w:ascii="Times New Roman" w:hAnsi="Times New Roman" w:cs="Times New Roman"/>
        </w:rPr>
        <w:tab/>
        <w:t xml:space="preserve">The level of power supply expense currently in base rates is </w:t>
      </w:r>
      <w:r w:rsidR="00876525">
        <w:rPr>
          <w:rFonts w:ascii="Times New Roman" w:hAnsi="Times New Roman" w:cs="Times New Roman"/>
        </w:rPr>
        <w:t>$1</w:t>
      </w:r>
      <w:r w:rsidR="00C579DD">
        <w:rPr>
          <w:rFonts w:ascii="Times New Roman" w:hAnsi="Times New Roman" w:cs="Times New Roman"/>
        </w:rPr>
        <w:t>99</w:t>
      </w:r>
      <w:r w:rsidR="00876525">
        <w:rPr>
          <w:rFonts w:ascii="Times New Roman" w:hAnsi="Times New Roman" w:cs="Times New Roman"/>
        </w:rPr>
        <w:t>,</w:t>
      </w:r>
      <w:r w:rsidR="00C579DD">
        <w:rPr>
          <w:rFonts w:ascii="Times New Roman" w:hAnsi="Times New Roman" w:cs="Times New Roman"/>
        </w:rPr>
        <w:t>609</w:t>
      </w:r>
      <w:r w:rsidR="00876525">
        <w:rPr>
          <w:rFonts w:ascii="Times New Roman" w:hAnsi="Times New Roman" w:cs="Times New Roman"/>
        </w:rPr>
        <w:t>,000</w:t>
      </w:r>
      <w:r w:rsidRPr="00BE21E7">
        <w:rPr>
          <w:rFonts w:ascii="Times New Roman" w:hAnsi="Times New Roman" w:cs="Times New Roman"/>
        </w:rPr>
        <w:t xml:space="preserve"> (system number).  This expense level is based on a calendar 20</w:t>
      </w:r>
      <w:r w:rsidR="00876525">
        <w:rPr>
          <w:rFonts w:ascii="Times New Roman" w:hAnsi="Times New Roman" w:cs="Times New Roman"/>
        </w:rPr>
        <w:t>1</w:t>
      </w:r>
      <w:r w:rsidR="00C579DD">
        <w:rPr>
          <w:rFonts w:ascii="Times New Roman" w:hAnsi="Times New Roman" w:cs="Times New Roman"/>
        </w:rPr>
        <w:t>1</w:t>
      </w:r>
      <w:r w:rsidR="00876525">
        <w:rPr>
          <w:rFonts w:ascii="Times New Roman" w:hAnsi="Times New Roman" w:cs="Times New Roman"/>
        </w:rPr>
        <w:t xml:space="preserve"> pro forma period.</w:t>
      </w:r>
      <w:r w:rsidRPr="00BE21E7">
        <w:rPr>
          <w:rFonts w:ascii="Times New Roman" w:hAnsi="Times New Roman" w:cs="Times New Roman"/>
        </w:rPr>
        <w:t xml:space="preserve">  This compares to the proposed </w:t>
      </w:r>
      <w:r w:rsidR="006D5BF7">
        <w:rPr>
          <w:rFonts w:ascii="Times New Roman" w:hAnsi="Times New Roman" w:cs="Times New Roman"/>
        </w:rPr>
        <w:t xml:space="preserve">2012 </w:t>
      </w:r>
      <w:r w:rsidRPr="00BE21E7">
        <w:rPr>
          <w:rFonts w:ascii="Times New Roman" w:hAnsi="Times New Roman" w:cs="Times New Roman"/>
        </w:rPr>
        <w:t>pro forma power supply expense of $</w:t>
      </w:r>
      <w:r w:rsidRPr="00691CB7">
        <w:rPr>
          <w:rFonts w:ascii="Times New Roman" w:hAnsi="Times New Roman" w:cs="Times New Roman"/>
        </w:rPr>
        <w:t>2</w:t>
      </w:r>
      <w:r w:rsidR="0003296D">
        <w:rPr>
          <w:rFonts w:ascii="Times New Roman" w:hAnsi="Times New Roman" w:cs="Times New Roman"/>
        </w:rPr>
        <w:t>08</w:t>
      </w:r>
      <w:r w:rsidRPr="00691CB7">
        <w:rPr>
          <w:rFonts w:ascii="Times New Roman" w:hAnsi="Times New Roman" w:cs="Times New Roman"/>
        </w:rPr>
        <w:t>,</w:t>
      </w:r>
      <w:r w:rsidR="0003296D">
        <w:rPr>
          <w:rFonts w:ascii="Times New Roman" w:hAnsi="Times New Roman" w:cs="Times New Roman"/>
        </w:rPr>
        <w:t>632</w:t>
      </w:r>
      <w:r w:rsidRPr="00691CB7">
        <w:rPr>
          <w:rFonts w:ascii="Times New Roman" w:hAnsi="Times New Roman" w:cs="Times New Roman"/>
        </w:rPr>
        <w:t>,000,</w:t>
      </w:r>
      <w:r w:rsidRPr="00BE21E7">
        <w:rPr>
          <w:rFonts w:ascii="Times New Roman" w:hAnsi="Times New Roman" w:cs="Times New Roman"/>
        </w:rPr>
        <w:t xml:space="preserve"> an increase of approximately </w:t>
      </w:r>
      <w:r w:rsidRPr="00691CB7">
        <w:rPr>
          <w:rFonts w:ascii="Times New Roman" w:hAnsi="Times New Roman" w:cs="Times New Roman"/>
        </w:rPr>
        <w:t>$</w:t>
      </w:r>
      <w:r w:rsidR="0003296D">
        <w:rPr>
          <w:rFonts w:ascii="Times New Roman" w:hAnsi="Times New Roman" w:cs="Times New Roman"/>
        </w:rPr>
        <w:t>9.0</w:t>
      </w:r>
      <w:r w:rsidRPr="00BE21E7">
        <w:rPr>
          <w:rFonts w:ascii="Times New Roman" w:hAnsi="Times New Roman" w:cs="Times New Roman"/>
        </w:rPr>
        <w:t xml:space="preserve"> million on a system basis and a Washington allocation of approximately </w:t>
      </w:r>
      <w:r w:rsidRPr="00691CB7">
        <w:rPr>
          <w:rFonts w:ascii="Times New Roman" w:hAnsi="Times New Roman" w:cs="Times New Roman"/>
        </w:rPr>
        <w:t>$</w:t>
      </w:r>
      <w:r w:rsidR="0003296D">
        <w:rPr>
          <w:rFonts w:ascii="Times New Roman" w:hAnsi="Times New Roman" w:cs="Times New Roman"/>
        </w:rPr>
        <w:t>5.9</w:t>
      </w:r>
      <w:r w:rsidRPr="00BE21E7">
        <w:rPr>
          <w:rFonts w:ascii="Times New Roman" w:hAnsi="Times New Roman" w:cs="Times New Roman"/>
        </w:rPr>
        <w:t xml:space="preserve"> million.</w:t>
      </w:r>
    </w:p>
    <w:p w:rsidR="00BE21E7" w:rsidRPr="00BE21E7" w:rsidRDefault="00BE21E7" w:rsidP="00BE21E7">
      <w:pPr>
        <w:pStyle w:val="TestBody"/>
        <w:tabs>
          <w:tab w:val="num" w:pos="720"/>
        </w:tabs>
        <w:spacing w:line="480" w:lineRule="auto"/>
        <w:ind w:left="0" w:firstLine="720"/>
        <w:rPr>
          <w:rFonts w:ascii="Times New Roman" w:hAnsi="Times New Roman" w:cs="Times New Roman"/>
        </w:rPr>
      </w:pPr>
      <w:r w:rsidRPr="00BE21E7">
        <w:rPr>
          <w:rFonts w:ascii="Times New Roman" w:hAnsi="Times New Roman" w:cs="Times New Roman"/>
        </w:rPr>
        <w:t xml:space="preserve">This increase in pro forma power supply expense over the expense currently in base rates is caused by numerous factors, primarily </w:t>
      </w:r>
      <w:r w:rsidR="00580970">
        <w:rPr>
          <w:rFonts w:ascii="Times New Roman" w:hAnsi="Times New Roman" w:cs="Times New Roman"/>
        </w:rPr>
        <w:t>higher prices for market transactions</w:t>
      </w:r>
      <w:r w:rsidR="0071369A">
        <w:rPr>
          <w:rFonts w:ascii="Times New Roman" w:hAnsi="Times New Roman" w:cs="Times New Roman"/>
        </w:rPr>
        <w:t xml:space="preserve">, </w:t>
      </w:r>
      <w:r w:rsidR="00E00851">
        <w:rPr>
          <w:rFonts w:ascii="Times New Roman" w:hAnsi="Times New Roman" w:cs="Times New Roman"/>
        </w:rPr>
        <w:t>higher effective costs for Mid-</w:t>
      </w:r>
      <w:r w:rsidR="00580970">
        <w:rPr>
          <w:rFonts w:ascii="Times New Roman" w:hAnsi="Times New Roman" w:cs="Times New Roman"/>
        </w:rPr>
        <w:t>Columbia purchased hydro g</w:t>
      </w:r>
      <w:r w:rsidR="006D5BF7">
        <w:rPr>
          <w:rFonts w:ascii="Times New Roman" w:hAnsi="Times New Roman" w:cs="Times New Roman"/>
        </w:rPr>
        <w:t>eneration, with higher costs</w:t>
      </w:r>
      <w:r w:rsidR="00E00851">
        <w:rPr>
          <w:rFonts w:ascii="Times New Roman" w:hAnsi="Times New Roman" w:cs="Times New Roman"/>
        </w:rPr>
        <w:t xml:space="preserve"> partially offset by the Energy Efficiency Load Adjustment</w:t>
      </w:r>
      <w:r w:rsidRPr="00BE21E7">
        <w:rPr>
          <w:rFonts w:ascii="Times New Roman" w:hAnsi="Times New Roman" w:cs="Times New Roman"/>
        </w:rPr>
        <w:t>.</w:t>
      </w:r>
    </w:p>
    <w:p w:rsidR="009A2DAA" w:rsidRDefault="00580970" w:rsidP="00580970">
      <w:pPr>
        <w:pStyle w:val="BodyText"/>
        <w:spacing w:line="480" w:lineRule="auto"/>
        <w:ind w:firstLine="720"/>
        <w:jc w:val="both"/>
        <w:rPr>
          <w:b w:val="0"/>
        </w:rPr>
      </w:pPr>
      <w:r>
        <w:rPr>
          <w:b w:val="0"/>
          <w:bCs w:val="0"/>
        </w:rPr>
        <w:t xml:space="preserve">Overall, the pro forma in this case has 20.8 aMW more hydro generation than was in the 2010 general </w:t>
      </w:r>
      <w:r w:rsidR="0003296D">
        <w:rPr>
          <w:b w:val="0"/>
          <w:bCs w:val="0"/>
        </w:rPr>
        <w:t>rate case.  The cost of the Mid-</w:t>
      </w:r>
      <w:r>
        <w:rPr>
          <w:b w:val="0"/>
          <w:bCs w:val="0"/>
        </w:rPr>
        <w:t>Columbia purchased generation, however, is higher.  This is primarily a result of the expiration of the original Rocky Reach purchase agreement, which was priced at project cost (</w:t>
      </w:r>
      <w:r w:rsidR="00765BA1">
        <w:rPr>
          <w:b w:val="0"/>
          <w:bCs w:val="0"/>
        </w:rPr>
        <w:t>approximately $11.50/Mwh).  The Rocky Reach and Rock Island purchase in this pro forma was acquired through a competitive bid at market pric</w:t>
      </w:r>
      <w:r w:rsidR="0003296D">
        <w:rPr>
          <w:b w:val="0"/>
          <w:bCs w:val="0"/>
        </w:rPr>
        <w:t>es.  The cost for the other Mid-</w:t>
      </w:r>
      <w:r w:rsidR="00765BA1">
        <w:rPr>
          <w:b w:val="0"/>
          <w:bCs w:val="0"/>
        </w:rPr>
        <w:t>Columbia generation from the Wells project and the Priest Rapids project is also higher.  Overall the net effect of higher hydro generation cost is an increase of $3.1 million on a system basis</w:t>
      </w:r>
      <w:r w:rsidR="00765BA1" w:rsidRPr="00765BA1">
        <w:rPr>
          <w:b w:val="0"/>
        </w:rPr>
        <w:t xml:space="preserve"> </w:t>
      </w:r>
      <w:r w:rsidR="00765BA1" w:rsidRPr="00FB6544">
        <w:rPr>
          <w:b w:val="0"/>
        </w:rPr>
        <w:t>(</w:t>
      </w:r>
      <w:r w:rsidR="00765BA1">
        <w:rPr>
          <w:b w:val="0"/>
        </w:rPr>
        <w:t xml:space="preserve">$2.0 million </w:t>
      </w:r>
      <w:r w:rsidR="00765BA1" w:rsidRPr="00FB6544">
        <w:rPr>
          <w:b w:val="0"/>
        </w:rPr>
        <w:t>Washington allocation)</w:t>
      </w:r>
      <w:r w:rsidR="00A402FE">
        <w:rPr>
          <w:b w:val="0"/>
        </w:rPr>
        <w:t>.</w:t>
      </w:r>
    </w:p>
    <w:p w:rsidR="00AA2ED4" w:rsidRPr="00AA2ED4" w:rsidRDefault="00FB6544" w:rsidP="00AA2ED4">
      <w:pPr>
        <w:pStyle w:val="BodyText"/>
        <w:spacing w:line="480" w:lineRule="auto"/>
        <w:ind w:firstLine="720"/>
        <w:jc w:val="both"/>
        <w:rPr>
          <w:b w:val="0"/>
        </w:rPr>
      </w:pPr>
      <w:r w:rsidRPr="00FB6544">
        <w:rPr>
          <w:b w:val="0"/>
        </w:rPr>
        <w:t xml:space="preserve">Pro forma loads are </w:t>
      </w:r>
      <w:r w:rsidR="00E00851">
        <w:rPr>
          <w:b w:val="0"/>
        </w:rPr>
        <w:t>15.7</w:t>
      </w:r>
      <w:r w:rsidRPr="00FB6544">
        <w:rPr>
          <w:b w:val="0"/>
        </w:rPr>
        <w:t xml:space="preserve"> aMW </w:t>
      </w:r>
      <w:r w:rsidR="00E00851">
        <w:rPr>
          <w:b w:val="0"/>
        </w:rPr>
        <w:t>lower</w:t>
      </w:r>
      <w:r w:rsidRPr="00FB6544">
        <w:rPr>
          <w:b w:val="0"/>
        </w:rPr>
        <w:t xml:space="preserve"> than loads that current rates are </w:t>
      </w:r>
      <w:r w:rsidRPr="006D5BF7">
        <w:rPr>
          <w:b w:val="0"/>
        </w:rPr>
        <w:t>based</w:t>
      </w:r>
      <w:r w:rsidRPr="00FB6544">
        <w:rPr>
          <w:b w:val="0"/>
        </w:rPr>
        <w:t xml:space="preserve"> on</w:t>
      </w:r>
      <w:r w:rsidR="00E00851">
        <w:rPr>
          <w:b w:val="0"/>
        </w:rPr>
        <w:t xml:space="preserve"> due to </w:t>
      </w:r>
      <w:r w:rsidR="006D5BF7">
        <w:rPr>
          <w:b w:val="0"/>
        </w:rPr>
        <w:t xml:space="preserve">the reduced retail sales from the </w:t>
      </w:r>
      <w:r w:rsidR="00E00851">
        <w:rPr>
          <w:b w:val="0"/>
        </w:rPr>
        <w:t>Energy Efficiency Load Adjustment</w:t>
      </w:r>
      <w:r w:rsidRPr="00FB6544">
        <w:rPr>
          <w:b w:val="0"/>
        </w:rPr>
        <w:t xml:space="preserve">.  This </w:t>
      </w:r>
      <w:r w:rsidR="00E00851">
        <w:rPr>
          <w:b w:val="0"/>
        </w:rPr>
        <w:t>decreases</w:t>
      </w:r>
      <w:r w:rsidRPr="00FB6544">
        <w:rPr>
          <w:b w:val="0"/>
        </w:rPr>
        <w:t xml:space="preserve"> power supply expense by $</w:t>
      </w:r>
      <w:r w:rsidR="00E00851">
        <w:rPr>
          <w:b w:val="0"/>
        </w:rPr>
        <w:t>4.9</w:t>
      </w:r>
      <w:r w:rsidRPr="00FB6544">
        <w:rPr>
          <w:b w:val="0"/>
        </w:rPr>
        <w:t xml:space="preserve"> million </w:t>
      </w:r>
      <w:r w:rsidR="00765BA1">
        <w:rPr>
          <w:b w:val="0"/>
        </w:rPr>
        <w:t xml:space="preserve">on a system basis </w:t>
      </w:r>
      <w:r w:rsidRPr="00FB6544">
        <w:rPr>
          <w:b w:val="0"/>
        </w:rPr>
        <w:t>(</w:t>
      </w:r>
      <w:r w:rsidR="00765BA1">
        <w:rPr>
          <w:b w:val="0"/>
        </w:rPr>
        <w:t>$</w:t>
      </w:r>
      <w:r w:rsidR="00E00851">
        <w:rPr>
          <w:b w:val="0"/>
        </w:rPr>
        <w:t>3.2</w:t>
      </w:r>
      <w:r w:rsidR="00765BA1">
        <w:rPr>
          <w:b w:val="0"/>
        </w:rPr>
        <w:t xml:space="preserve"> million </w:t>
      </w:r>
      <w:r w:rsidR="00AA2ED4">
        <w:rPr>
          <w:b w:val="0"/>
        </w:rPr>
        <w:t>Washington allocation)</w:t>
      </w:r>
      <w:r w:rsidRPr="00FB6544">
        <w:rPr>
          <w:b w:val="0"/>
        </w:rPr>
        <w:t>.</w:t>
      </w:r>
    </w:p>
    <w:p w:rsidR="00BE21E7" w:rsidRPr="00BE21E7" w:rsidRDefault="00AA2ED4" w:rsidP="007A7EF9">
      <w:pPr>
        <w:pStyle w:val="TestBody"/>
        <w:tabs>
          <w:tab w:val="num" w:pos="720"/>
        </w:tabs>
        <w:spacing w:line="480" w:lineRule="auto"/>
        <w:ind w:left="0" w:firstLine="720"/>
        <w:rPr>
          <w:rFonts w:ascii="Times New Roman" w:hAnsi="Times New Roman" w:cs="Times New Roman"/>
        </w:rPr>
      </w:pPr>
      <w:r>
        <w:rPr>
          <w:rFonts w:ascii="Times New Roman" w:hAnsi="Times New Roman" w:cs="Times New Roman"/>
        </w:rPr>
        <w:t>Changes in long-term contracts increased expense by $1 million system ($</w:t>
      </w:r>
      <w:r w:rsidR="00A402FE">
        <w:rPr>
          <w:rFonts w:ascii="Times New Roman" w:hAnsi="Times New Roman" w:cs="Times New Roman"/>
        </w:rPr>
        <w:t>0</w:t>
      </w:r>
      <w:r>
        <w:rPr>
          <w:rFonts w:ascii="Times New Roman" w:hAnsi="Times New Roman" w:cs="Times New Roman"/>
        </w:rPr>
        <w:t>.7</w:t>
      </w:r>
      <w:r w:rsidR="00A402FE">
        <w:rPr>
          <w:rFonts w:ascii="Times New Roman" w:hAnsi="Times New Roman" w:cs="Times New Roman"/>
        </w:rPr>
        <w:t xml:space="preserve"> million</w:t>
      </w:r>
      <w:r>
        <w:rPr>
          <w:rFonts w:ascii="Times New Roman" w:hAnsi="Times New Roman" w:cs="Times New Roman"/>
        </w:rPr>
        <w:t xml:space="preserve"> Washington allocation).</w:t>
      </w:r>
      <w:r w:rsidR="00353674">
        <w:rPr>
          <w:rFonts w:ascii="Times New Roman" w:hAnsi="Times New Roman" w:cs="Times New Roman"/>
        </w:rPr>
        <w:t xml:space="preserve"> </w:t>
      </w:r>
      <w:r>
        <w:rPr>
          <w:rFonts w:ascii="Times New Roman" w:hAnsi="Times New Roman" w:cs="Times New Roman"/>
        </w:rPr>
        <w:t xml:space="preserve"> This is primarily a result of the </w:t>
      </w:r>
      <w:r w:rsidR="00A8574B">
        <w:rPr>
          <w:rFonts w:ascii="Times New Roman" w:hAnsi="Times New Roman" w:cs="Times New Roman"/>
        </w:rPr>
        <w:t>expiration</w:t>
      </w:r>
      <w:r w:rsidR="00326EEB">
        <w:rPr>
          <w:rFonts w:ascii="Times New Roman" w:hAnsi="Times New Roman" w:cs="Times New Roman"/>
        </w:rPr>
        <w:t xml:space="preserve"> of the Grant PUD </w:t>
      </w:r>
      <w:r w:rsidR="00326EEB">
        <w:rPr>
          <w:rFonts w:ascii="Times New Roman" w:hAnsi="Times New Roman" w:cs="Times New Roman"/>
        </w:rPr>
        <w:lastRenderedPageBreak/>
        <w:t xml:space="preserve">Displacement purchase on September 30, 2011, in which the </w:t>
      </w:r>
      <w:r w:rsidR="00C026FD">
        <w:rPr>
          <w:rFonts w:ascii="Times New Roman" w:hAnsi="Times New Roman" w:cs="Times New Roman"/>
        </w:rPr>
        <w:t>C</w:t>
      </w:r>
      <w:r w:rsidR="00326EEB">
        <w:rPr>
          <w:rFonts w:ascii="Times New Roman" w:hAnsi="Times New Roman" w:cs="Times New Roman"/>
        </w:rPr>
        <w:t>ompany purchase</w:t>
      </w:r>
      <w:r w:rsidR="00037B2A">
        <w:rPr>
          <w:rFonts w:ascii="Times New Roman" w:hAnsi="Times New Roman" w:cs="Times New Roman"/>
        </w:rPr>
        <w:t>s</w:t>
      </w:r>
      <w:r w:rsidR="00326EEB">
        <w:rPr>
          <w:rFonts w:ascii="Times New Roman" w:hAnsi="Times New Roman" w:cs="Times New Roman"/>
        </w:rPr>
        <w:t xml:space="preserve"> power at a rate equivalent to the BPA Priority Firm price.  </w:t>
      </w:r>
    </w:p>
    <w:p w:rsidR="00197849" w:rsidRDefault="00AA2ED4" w:rsidP="00C03549">
      <w:pPr>
        <w:pStyle w:val="TestBody"/>
        <w:tabs>
          <w:tab w:val="num" w:pos="720"/>
        </w:tabs>
        <w:spacing w:line="480" w:lineRule="auto"/>
        <w:ind w:left="0" w:firstLine="720"/>
        <w:rPr>
          <w:rFonts w:ascii="Times New Roman" w:hAnsi="Times New Roman" w:cs="Times New Roman"/>
        </w:rPr>
      </w:pPr>
      <w:r>
        <w:rPr>
          <w:rFonts w:ascii="Times New Roman" w:hAnsi="Times New Roman" w:cs="Times New Roman"/>
        </w:rPr>
        <w:t>Finally, the largest factor increasing power supply expense over the amount i</w:t>
      </w:r>
      <w:r w:rsidR="00653B88">
        <w:rPr>
          <w:rFonts w:ascii="Times New Roman" w:hAnsi="Times New Roman" w:cs="Times New Roman"/>
        </w:rPr>
        <w:t xml:space="preserve">n current base rates is the </w:t>
      </w:r>
      <w:r w:rsidR="00F46162">
        <w:rPr>
          <w:rFonts w:ascii="Times New Roman" w:hAnsi="Times New Roman" w:cs="Times New Roman"/>
        </w:rPr>
        <w:t xml:space="preserve">impact of transactions made in a market of continuously falling prices.  </w:t>
      </w:r>
      <w:r w:rsidR="00197849">
        <w:rPr>
          <w:rFonts w:ascii="Times New Roman" w:hAnsi="Times New Roman" w:cs="Times New Roman"/>
        </w:rPr>
        <w:t xml:space="preserve">Mr. Lafferty further describes the </w:t>
      </w:r>
      <w:r w:rsidR="00A402FE">
        <w:rPr>
          <w:rFonts w:ascii="Times New Roman" w:hAnsi="Times New Roman" w:cs="Times New Roman"/>
        </w:rPr>
        <w:t>C</w:t>
      </w:r>
      <w:r w:rsidR="00197849">
        <w:rPr>
          <w:rFonts w:ascii="Times New Roman" w:hAnsi="Times New Roman" w:cs="Times New Roman"/>
        </w:rPr>
        <w:t>ompany’s hedging strategies, including the time horizon for future market purchases.</w:t>
      </w:r>
    </w:p>
    <w:p w:rsidR="00BE21E7" w:rsidRPr="00C117D9" w:rsidRDefault="00BE21E7" w:rsidP="00C03549">
      <w:pPr>
        <w:pStyle w:val="TestBody"/>
        <w:tabs>
          <w:tab w:val="num" w:pos="720"/>
        </w:tabs>
        <w:spacing w:line="480" w:lineRule="auto"/>
        <w:ind w:left="0" w:firstLine="720"/>
        <w:rPr>
          <w:rFonts w:ascii="Times New Roman" w:hAnsi="Times New Roman" w:cs="Times New Roman"/>
        </w:rPr>
      </w:pPr>
      <w:r w:rsidRPr="00BE21E7">
        <w:rPr>
          <w:rFonts w:ascii="Times New Roman" w:hAnsi="Times New Roman" w:cs="Times New Roman"/>
        </w:rPr>
        <w:t>The table below shows the primary factors driving the increase in power supply expense compared to the level in current base rates.</w:t>
      </w:r>
    </w:p>
    <w:p w:rsidR="00BE21E7" w:rsidRPr="00BE21E7" w:rsidRDefault="00A402FE" w:rsidP="00A55DD3">
      <w:pPr>
        <w:pStyle w:val="TestBody"/>
        <w:tabs>
          <w:tab w:val="num" w:pos="720"/>
        </w:tabs>
        <w:spacing w:line="480" w:lineRule="auto"/>
        <w:ind w:left="0" w:firstLine="0"/>
        <w:jc w:val="center"/>
        <w:rPr>
          <w:rFonts w:ascii="Times New Roman" w:hAnsi="Times New Roman" w:cs="Times New Roman"/>
          <w:b/>
          <w:bCs/>
          <w:u w:val="single"/>
        </w:rPr>
      </w:pPr>
      <w:r>
        <w:rPr>
          <w:noProof/>
        </w:rPr>
      </w:r>
      <w:r>
        <w:rPr>
          <w:rFonts w:ascii="Times New Roman" w:hAnsi="Times New Roman" w:cs="Times New Roman"/>
        </w:rPr>
        <w:pict>
          <v:group id="_x0000_s1093" editas="canvas" style="width:394.5pt;height:243pt;mso-position-horizontal-relative:char;mso-position-vertical-relative:line" coordorigin="-15,-15" coordsize="7890,4860">
            <o:lock v:ext="edit" aspectratio="t"/>
            <v:shape id="_x0000_s1092" type="#_x0000_t75" style="position:absolute;left:-15;top:-15;width:7890;height:4860" o:preferrelative="f">
              <v:fill o:detectmouseclick="t"/>
              <v:path o:extrusionok="t" o:connecttype="none"/>
              <o:lock v:ext="edit" text="t"/>
            </v:shape>
            <v:rect id="_x0000_s1094" style="position:absolute;width:7875;height:525" fillcolor="#cfc" stroked="f"/>
            <v:rect id="_x0000_s1095" style="position:absolute;left:4650;top:675;width:1168;height:230;mso-wrap-style:none;v-text-anchor:top" filled="f" stroked="f">
              <v:textbox style="mso-fit-shape-to-text:t" inset="0,0,0,0">
                <w:txbxContent>
                  <w:p w:rsidR="00A402FE" w:rsidRDefault="00A402FE">
                    <w:r>
                      <w:rPr>
                        <w:rFonts w:ascii="Arial" w:hAnsi="Arial" w:cs="Arial"/>
                        <w:color w:val="000000"/>
                        <w:sz w:val="20"/>
                        <w:szCs w:val="20"/>
                      </w:rPr>
                      <w:t>2011 to 2012</w:t>
                    </w:r>
                  </w:p>
                </w:txbxContent>
              </v:textbox>
            </v:rect>
            <v:rect id="_x0000_s1096" style="position:absolute;left:4785;top:930;width:879;height:230;mso-wrap-style:none;v-text-anchor:top" filled="f" stroked="f">
              <v:textbox style="mso-fit-shape-to-text:t" inset="0,0,0,0">
                <w:txbxContent>
                  <w:p w:rsidR="00A402FE" w:rsidRDefault="00A402FE">
                    <w:r>
                      <w:rPr>
                        <w:rFonts w:ascii="Arial" w:hAnsi="Arial" w:cs="Arial"/>
                        <w:color w:val="000000"/>
                        <w:sz w:val="20"/>
                        <w:szCs w:val="20"/>
                      </w:rPr>
                      <w:t>Pro forma</w:t>
                    </w:r>
                  </w:p>
                </w:txbxContent>
              </v:textbox>
            </v:rect>
            <v:rect id="_x0000_s1097" style="position:absolute;left:6645;top:930;width:1057;height:230;mso-wrap-style:none;v-text-anchor:top" filled="f" stroked="f">
              <v:textbox style="mso-fit-shape-to-text:t" inset="0,0,0,0">
                <w:txbxContent>
                  <w:p w:rsidR="00A402FE" w:rsidRDefault="00A402FE">
                    <w:r>
                      <w:rPr>
                        <w:rFonts w:ascii="Arial" w:hAnsi="Arial" w:cs="Arial"/>
                        <w:color w:val="000000"/>
                        <w:sz w:val="20"/>
                        <w:szCs w:val="20"/>
                      </w:rPr>
                      <w:t>Washington</w:t>
                    </w:r>
                  </w:p>
                </w:txbxContent>
              </v:textbox>
            </v:rect>
            <v:rect id="_x0000_s1098" style="position:absolute;left:45;top:1185;width:567;height:230;mso-wrap-style:none;v-text-anchor:top" filled="f" stroked="f">
              <v:textbox style="mso-fit-shape-to-text:t" inset="0,0,0,0">
                <w:txbxContent>
                  <w:p w:rsidR="00A402FE" w:rsidRDefault="00A402FE">
                    <w:r>
                      <w:rPr>
                        <w:rFonts w:ascii="Arial" w:hAnsi="Arial" w:cs="Arial"/>
                        <w:color w:val="000000"/>
                        <w:sz w:val="20"/>
                        <w:szCs w:val="20"/>
                      </w:rPr>
                      <w:t>Factor</w:t>
                    </w:r>
                  </w:p>
                </w:txbxContent>
              </v:textbox>
            </v:rect>
            <v:rect id="_x0000_s1099" style="position:absolute;left:45;top:1395;width:555;height:15" fillcolor="black" stroked="f"/>
            <v:rect id="_x0000_s1100" style="position:absolute;left:4875;top:1185;width:701;height:230;mso-wrap-style:none;v-text-anchor:top" filled="f" stroked="f">
              <v:textbox style="mso-fit-shape-to-text:t" inset="0,0,0,0">
                <w:txbxContent>
                  <w:p w:rsidR="00A402FE" w:rsidRDefault="00A402FE">
                    <w:r>
                      <w:rPr>
                        <w:rFonts w:ascii="Arial" w:hAnsi="Arial" w:cs="Arial"/>
                        <w:color w:val="000000"/>
                        <w:sz w:val="20"/>
                        <w:szCs w:val="20"/>
                      </w:rPr>
                      <w:t>Change</w:t>
                    </w:r>
                  </w:p>
                </w:txbxContent>
              </v:textbox>
            </v:rect>
            <v:rect id="_x0000_s1101" style="position:absolute;left:4875;top:1395;width:660;height:15" fillcolor="black" stroked="f"/>
            <v:rect id="_x0000_s1102" style="position:absolute;left:6735;top:1185;width:868;height:230;mso-wrap-style:none;v-text-anchor:top" filled="f" stroked="f">
              <v:textbox style="mso-fit-shape-to-text:t" inset="0,0,0,0">
                <w:txbxContent>
                  <w:p w:rsidR="00A402FE" w:rsidRDefault="00A402FE">
                    <w:r>
                      <w:rPr>
                        <w:rFonts w:ascii="Arial" w:hAnsi="Arial" w:cs="Arial"/>
                        <w:color w:val="000000"/>
                        <w:sz w:val="20"/>
                        <w:szCs w:val="20"/>
                      </w:rPr>
                      <w:t>Allocation</w:t>
                    </w:r>
                  </w:p>
                </w:txbxContent>
              </v:textbox>
            </v:rect>
            <v:rect id="_x0000_s1103" style="position:absolute;left:6735;top:1395;width:855;height:15" fillcolor="black" stroked="f"/>
            <v:rect id="_x0000_s1104" style="position:absolute;left:4830;top:1455;width:701;height:207;mso-wrap-style:none;v-text-anchor:top" filled="f" stroked="f">
              <v:textbox style="mso-fit-shape-to-text:t" inset="0,0,0,0">
                <w:txbxContent>
                  <w:p w:rsidR="00A402FE" w:rsidRDefault="00A402FE">
                    <w:r>
                      <w:rPr>
                        <w:rFonts w:ascii="Arial" w:hAnsi="Arial" w:cs="Arial"/>
                        <w:color w:val="000000"/>
                        <w:sz w:val="18"/>
                        <w:szCs w:val="18"/>
                      </w:rPr>
                      <w:t>$millions</w:t>
                    </w:r>
                  </w:p>
                </w:txbxContent>
              </v:textbox>
            </v:rect>
            <v:rect id="_x0000_s1105" style="position:absolute;left:6780;top:1455;width:701;height:207;mso-wrap-style:none;v-text-anchor:top" filled="f" stroked="f">
              <v:textbox style="mso-fit-shape-to-text:t" inset="0,0,0,0">
                <w:txbxContent>
                  <w:p w:rsidR="00A402FE" w:rsidRDefault="00A402FE">
                    <w:r>
                      <w:rPr>
                        <w:rFonts w:ascii="Arial" w:hAnsi="Arial" w:cs="Arial"/>
                        <w:color w:val="000000"/>
                        <w:sz w:val="18"/>
                        <w:szCs w:val="18"/>
                      </w:rPr>
                      <w:t>$millions</w:t>
                    </w:r>
                  </w:p>
                </w:txbxContent>
              </v:textbox>
            </v:rect>
            <v:rect id="_x0000_s1106" style="position:absolute;left:45;top:1890;width:2913;height:230;mso-wrap-style:none;v-text-anchor:top" filled="f" stroked="f">
              <v:textbox style="mso-fit-shape-to-text:t" inset="0,0,0,0">
                <w:txbxContent>
                  <w:p w:rsidR="00A402FE" w:rsidRDefault="00A402FE">
                    <w:r>
                      <w:rPr>
                        <w:rFonts w:ascii="Arial" w:hAnsi="Arial" w:cs="Arial"/>
                        <w:color w:val="000000"/>
                        <w:sz w:val="20"/>
                        <w:szCs w:val="20"/>
                      </w:rPr>
                      <w:t>Hydro Generation &amp; Mid C Costs</w:t>
                    </w:r>
                  </w:p>
                </w:txbxContent>
              </v:textbox>
            </v:rect>
            <v:rect id="_x0000_s1107" style="position:absolute;left:5025;top:1890;width:390;height:230;mso-wrap-style:none;v-text-anchor:top" filled="f" stroked="f">
              <v:textbox style="mso-fit-shape-to-text:t" inset="0,0,0,0">
                <w:txbxContent>
                  <w:p w:rsidR="00A402FE" w:rsidRDefault="00A402FE">
                    <w:r>
                      <w:rPr>
                        <w:rFonts w:ascii="Arial" w:hAnsi="Arial" w:cs="Arial"/>
                        <w:color w:val="000000"/>
                        <w:sz w:val="20"/>
                        <w:szCs w:val="20"/>
                      </w:rPr>
                      <w:t>$3.1</w:t>
                    </w:r>
                  </w:p>
                </w:txbxContent>
              </v:textbox>
            </v:rect>
            <v:rect id="_x0000_s1108" style="position:absolute;left:6975;top:1890;width:390;height:230;mso-wrap-style:none;v-text-anchor:top" filled="f" stroked="f">
              <v:textbox style="mso-fit-shape-to-text:t" inset="0,0,0,0">
                <w:txbxContent>
                  <w:p w:rsidR="00A402FE" w:rsidRDefault="00A402FE">
                    <w:r>
                      <w:rPr>
                        <w:rFonts w:ascii="Arial" w:hAnsi="Arial" w:cs="Arial"/>
                        <w:color w:val="000000"/>
                        <w:sz w:val="20"/>
                        <w:szCs w:val="20"/>
                      </w:rPr>
                      <w:t>$2.0</w:t>
                    </w:r>
                  </w:p>
                </w:txbxContent>
              </v:textbox>
            </v:rect>
            <v:rect id="_x0000_s1109" style="position:absolute;left:45;top:2340;width:2135;height:230;mso-wrap-style:none;v-text-anchor:top" filled="f" stroked="f">
              <v:textbox style="mso-fit-shape-to-text:t" inset="0,0,0,0">
                <w:txbxContent>
                  <w:p w:rsidR="00A402FE" w:rsidRDefault="00A402FE">
                    <w:r>
                      <w:rPr>
                        <w:rFonts w:ascii="Arial" w:hAnsi="Arial" w:cs="Arial"/>
                        <w:color w:val="000000"/>
                        <w:sz w:val="20"/>
                        <w:szCs w:val="20"/>
                      </w:rPr>
                      <w:t>Change in System Load</w:t>
                    </w:r>
                  </w:p>
                </w:txbxContent>
              </v:textbox>
            </v:rect>
            <v:rect id="_x0000_s1110" style="position:absolute;left:4995;top:2340;width:456;height:230;mso-wrap-style:none;v-text-anchor:top" filled="f" stroked="f">
              <v:textbox style="mso-fit-shape-to-text:t" inset="0,0,0,0">
                <w:txbxContent>
                  <w:p w:rsidR="00A402FE" w:rsidRDefault="00A402FE">
                    <w:r>
                      <w:rPr>
                        <w:rFonts w:ascii="Arial" w:hAnsi="Arial" w:cs="Arial"/>
                        <w:color w:val="000000"/>
                        <w:sz w:val="20"/>
                        <w:szCs w:val="20"/>
                      </w:rPr>
                      <w:t>-$4.9</w:t>
                    </w:r>
                  </w:p>
                </w:txbxContent>
              </v:textbox>
            </v:rect>
            <v:rect id="_x0000_s1111" style="position:absolute;left:6945;top:2340;width:456;height:230;mso-wrap-style:none;v-text-anchor:top" filled="f" stroked="f">
              <v:textbox style="mso-fit-shape-to-text:t" inset="0,0,0,0">
                <w:txbxContent>
                  <w:p w:rsidR="00A402FE" w:rsidRDefault="00A402FE">
                    <w:r>
                      <w:rPr>
                        <w:rFonts w:ascii="Arial" w:hAnsi="Arial" w:cs="Arial"/>
                        <w:color w:val="000000"/>
                        <w:sz w:val="20"/>
                        <w:szCs w:val="20"/>
                      </w:rPr>
                      <w:t>-$3.2</w:t>
                    </w:r>
                  </w:p>
                </w:txbxContent>
              </v:textbox>
            </v:rect>
            <v:rect id="_x0000_s1112" style="position:absolute;left:45;top:2790;width:1746;height:230;mso-wrap-style:none;v-text-anchor:top" filled="f" stroked="f">
              <v:textbox style="mso-fit-shape-to-text:t" inset="0,0,0,0">
                <w:txbxContent>
                  <w:p w:rsidR="00A402FE" w:rsidRDefault="00A402FE">
                    <w:proofErr w:type="spellStart"/>
                    <w:r>
                      <w:rPr>
                        <w:rFonts w:ascii="Arial" w:hAnsi="Arial" w:cs="Arial"/>
                        <w:color w:val="000000"/>
                        <w:sz w:val="20"/>
                        <w:szCs w:val="20"/>
                      </w:rPr>
                      <w:t>Themal</w:t>
                    </w:r>
                    <w:proofErr w:type="spellEnd"/>
                    <w:r>
                      <w:rPr>
                        <w:rFonts w:ascii="Arial" w:hAnsi="Arial" w:cs="Arial"/>
                        <w:color w:val="000000"/>
                        <w:sz w:val="20"/>
                        <w:szCs w:val="20"/>
                      </w:rPr>
                      <w:t xml:space="preserve"> Plant Costs</w:t>
                    </w:r>
                  </w:p>
                </w:txbxContent>
              </v:textbox>
            </v:rect>
            <v:rect id="_x0000_s1113" style="position:absolute;left:5025;top:2790;width:390;height:230;mso-wrap-style:none;v-text-anchor:top" filled="f" stroked="f">
              <v:textbox style="mso-fit-shape-to-text:t" inset="0,0,0,0">
                <w:txbxContent>
                  <w:p w:rsidR="00A402FE" w:rsidRDefault="00A402FE">
                    <w:r>
                      <w:rPr>
                        <w:rFonts w:ascii="Arial" w:hAnsi="Arial" w:cs="Arial"/>
                        <w:color w:val="000000"/>
                        <w:sz w:val="20"/>
                        <w:szCs w:val="20"/>
                      </w:rPr>
                      <w:t>$0.5</w:t>
                    </w:r>
                  </w:p>
                </w:txbxContent>
              </v:textbox>
            </v:rect>
            <v:rect id="_x0000_s1114" style="position:absolute;left:6975;top:2790;width:390;height:230;mso-wrap-style:none;v-text-anchor:top" filled="f" stroked="f">
              <v:textbox style="mso-fit-shape-to-text:t" inset="0,0,0,0">
                <w:txbxContent>
                  <w:p w:rsidR="00A402FE" w:rsidRDefault="00A402FE">
                    <w:r>
                      <w:rPr>
                        <w:rFonts w:ascii="Arial" w:hAnsi="Arial" w:cs="Arial"/>
                        <w:color w:val="000000"/>
                        <w:sz w:val="20"/>
                        <w:szCs w:val="20"/>
                      </w:rPr>
                      <w:t>$0.3</w:t>
                    </w:r>
                  </w:p>
                </w:txbxContent>
              </v:textbox>
            </v:rect>
            <v:rect id="_x0000_s1115" style="position:absolute;left:45;top:3240;width:2157;height:230;mso-wrap-style:none;v-text-anchor:top" filled="f" stroked="f">
              <v:textbox style="mso-fit-shape-to-text:t" inset="0,0,0,0">
                <w:txbxContent>
                  <w:p w:rsidR="00A402FE" w:rsidRDefault="00A402FE">
                    <w:proofErr w:type="spellStart"/>
                    <w:r>
                      <w:rPr>
                        <w:rFonts w:ascii="Arial" w:hAnsi="Arial" w:cs="Arial"/>
                        <w:color w:val="000000"/>
                        <w:sz w:val="20"/>
                        <w:szCs w:val="20"/>
                      </w:rPr>
                      <w:t>CCCT</w:t>
                    </w:r>
                    <w:proofErr w:type="spellEnd"/>
                    <w:r>
                      <w:rPr>
                        <w:rFonts w:ascii="Arial" w:hAnsi="Arial" w:cs="Arial"/>
                        <w:color w:val="000000"/>
                        <w:sz w:val="20"/>
                        <w:szCs w:val="20"/>
                      </w:rPr>
                      <w:t xml:space="preserve"> Operating Margin</w:t>
                    </w:r>
                  </w:p>
                </w:txbxContent>
              </v:textbox>
            </v:rect>
            <v:rect id="_x0000_s1116" style="position:absolute;left:5025;top:3240;width:390;height:230;mso-wrap-style:none;v-text-anchor:top" filled="f" stroked="f">
              <v:textbox style="mso-fit-shape-to-text:t" inset="0,0,0,0">
                <w:txbxContent>
                  <w:p w:rsidR="00A402FE" w:rsidRDefault="00A402FE">
                    <w:r>
                      <w:rPr>
                        <w:rFonts w:ascii="Arial" w:hAnsi="Arial" w:cs="Arial"/>
                        <w:color w:val="000000"/>
                        <w:sz w:val="20"/>
                        <w:szCs w:val="20"/>
                      </w:rPr>
                      <w:t>$1.1</w:t>
                    </w:r>
                  </w:p>
                </w:txbxContent>
              </v:textbox>
            </v:rect>
            <v:rect id="_x0000_s1117" style="position:absolute;left:6981;top:3240;width:420;height:230;v-text-anchor:top" filled="f" stroked="f">
              <v:textbox style="mso-fit-shape-to-text:t" inset="0,0,0,0">
                <w:txbxContent>
                  <w:p w:rsidR="00A402FE" w:rsidRDefault="00A402FE">
                    <w:r>
                      <w:rPr>
                        <w:rFonts w:ascii="Arial" w:hAnsi="Arial" w:cs="Arial"/>
                        <w:color w:val="000000"/>
                        <w:sz w:val="20"/>
                        <w:szCs w:val="20"/>
                      </w:rPr>
                      <w:t>$0.8</w:t>
                    </w:r>
                  </w:p>
                </w:txbxContent>
              </v:textbox>
            </v:rect>
            <v:rect id="_x0000_s1118" style="position:absolute;left:45;top:3690;width:2646;height:230;mso-wrap-style:none;v-text-anchor:top" filled="f" stroked="f">
              <v:textbox style="mso-fit-shape-to-text:t" inset="0,0,0,0">
                <w:txbxContent>
                  <w:p w:rsidR="00A402FE" w:rsidRDefault="00A402FE">
                    <w:r>
                      <w:rPr>
                        <w:rFonts w:ascii="Arial" w:hAnsi="Arial" w:cs="Arial"/>
                        <w:color w:val="000000"/>
                        <w:sz w:val="20"/>
                        <w:szCs w:val="20"/>
                      </w:rPr>
                      <w:t>Long-Term Contract Changes</w:t>
                    </w:r>
                  </w:p>
                </w:txbxContent>
              </v:textbox>
            </v:rect>
            <v:rect id="_x0000_s1119" style="position:absolute;left:5025;top:3690;width:390;height:230;mso-wrap-style:none;v-text-anchor:top" filled="f" stroked="f">
              <v:textbox style="mso-fit-shape-to-text:t" inset="0,0,0,0">
                <w:txbxContent>
                  <w:p w:rsidR="00A402FE" w:rsidRDefault="00A402FE">
                    <w:r>
                      <w:rPr>
                        <w:rFonts w:ascii="Arial" w:hAnsi="Arial" w:cs="Arial"/>
                        <w:color w:val="000000"/>
                        <w:sz w:val="20"/>
                        <w:szCs w:val="20"/>
                      </w:rPr>
                      <w:t>$0.6</w:t>
                    </w:r>
                  </w:p>
                </w:txbxContent>
              </v:textbox>
            </v:rect>
            <v:rect id="_x0000_s1120" style="position:absolute;left:6975;top:3690;width:390;height:230;mso-wrap-style:none;v-text-anchor:top" filled="f" stroked="f">
              <v:textbox style="mso-fit-shape-to-text:t" inset="0,0,0,0">
                <w:txbxContent>
                  <w:p w:rsidR="00A402FE" w:rsidRDefault="00A402FE">
                    <w:r>
                      <w:rPr>
                        <w:rFonts w:ascii="Arial" w:hAnsi="Arial" w:cs="Arial"/>
                        <w:color w:val="000000"/>
                        <w:sz w:val="20"/>
                        <w:szCs w:val="20"/>
                      </w:rPr>
                      <w:t>$0.4</w:t>
                    </w:r>
                  </w:p>
                </w:txbxContent>
              </v:textbox>
            </v:rect>
            <v:rect id="_x0000_s1121" style="position:absolute;left:45;top:4140;width:2368;height:230;mso-wrap-style:none;v-text-anchor:top" filled="f" stroked="f">
              <v:textbox style="mso-fit-shape-to-text:t" inset="0,0,0,0">
                <w:txbxContent>
                  <w:p w:rsidR="00A402FE" w:rsidRDefault="00A402FE">
                    <w:r>
                      <w:rPr>
                        <w:rFonts w:ascii="Arial" w:hAnsi="Arial" w:cs="Arial"/>
                        <w:color w:val="000000"/>
                        <w:sz w:val="20"/>
                        <w:szCs w:val="20"/>
                      </w:rPr>
                      <w:t>Market Transactions/Other</w:t>
                    </w:r>
                  </w:p>
                </w:txbxContent>
              </v:textbox>
            </v:rect>
            <v:rect id="_x0000_s1122" style="position:absolute;left:5025;top:4140;width:390;height:230;mso-wrap-style:none;v-text-anchor:top" filled="f" stroked="f">
              <v:textbox style="mso-fit-shape-to-text:t" inset="0,0,0,0">
                <w:txbxContent>
                  <w:p w:rsidR="00A402FE" w:rsidRDefault="00A402FE">
                    <w:r>
                      <w:rPr>
                        <w:rFonts w:ascii="Arial" w:hAnsi="Arial" w:cs="Arial"/>
                        <w:color w:val="000000"/>
                        <w:sz w:val="20"/>
                        <w:szCs w:val="20"/>
                      </w:rPr>
                      <w:t>$8.6</w:t>
                    </w:r>
                  </w:p>
                </w:txbxContent>
              </v:textbox>
            </v:rect>
            <v:rect id="_x0000_s1123" style="position:absolute;left:6975;top:4140;width:390;height:230;mso-wrap-style:none;v-text-anchor:top" filled="f" stroked="f">
              <v:textbox style="mso-fit-shape-to-text:t" inset="0,0,0,0">
                <w:txbxContent>
                  <w:p w:rsidR="00A402FE" w:rsidRDefault="00A402FE">
                    <w:r>
                      <w:rPr>
                        <w:rFonts w:ascii="Arial" w:hAnsi="Arial" w:cs="Arial"/>
                        <w:color w:val="000000"/>
                        <w:sz w:val="20"/>
                        <w:szCs w:val="20"/>
                      </w:rPr>
                      <w:t>$5.6</w:t>
                    </w:r>
                  </w:p>
                </w:txbxContent>
              </v:textbox>
            </v:rect>
            <v:rect id="_x0000_s1124" style="position:absolute;left:45;top:4560;width:3280;height:230;mso-wrap-style:none;v-text-anchor:top" filled="f" stroked="f">
              <v:textbox style="mso-fit-shape-to-text:t" inset="0,0,0,0">
                <w:txbxContent>
                  <w:p w:rsidR="00A402FE" w:rsidRDefault="00A402FE">
                    <w:r>
                      <w:rPr>
                        <w:rFonts w:ascii="Arial" w:hAnsi="Arial" w:cs="Arial"/>
                        <w:color w:val="000000"/>
                        <w:sz w:val="20"/>
                        <w:szCs w:val="20"/>
                      </w:rPr>
                      <w:t>2011 to 2012 Power Supply Increase</w:t>
                    </w:r>
                  </w:p>
                </w:txbxContent>
              </v:textbox>
            </v:rect>
            <v:rect id="_x0000_s1125" style="position:absolute;left:5025;top:4560;width:390;height:230;mso-wrap-style:none;v-text-anchor:top" filled="f" stroked="f">
              <v:textbox style="mso-fit-shape-to-text:t" inset="0,0,0,0">
                <w:txbxContent>
                  <w:p w:rsidR="00A402FE" w:rsidRDefault="00A402FE">
                    <w:r>
                      <w:rPr>
                        <w:rFonts w:ascii="Arial" w:hAnsi="Arial" w:cs="Arial"/>
                        <w:color w:val="000000"/>
                        <w:sz w:val="20"/>
                        <w:szCs w:val="20"/>
                      </w:rPr>
                      <w:t>$9.0</w:t>
                    </w:r>
                  </w:p>
                </w:txbxContent>
              </v:textbox>
            </v:rect>
            <v:rect id="_x0000_s1126" style="position:absolute;left:6975;top:4560;width:390;height:230;mso-wrap-style:none;v-text-anchor:top" filled="f" stroked="f">
              <v:textbox style="mso-fit-shape-to-text:t" inset="0,0,0,0">
                <w:txbxContent>
                  <w:p w:rsidR="00A402FE" w:rsidRDefault="00A402FE">
                    <w:r>
                      <w:rPr>
                        <w:rFonts w:ascii="Arial" w:hAnsi="Arial" w:cs="Arial"/>
                        <w:color w:val="000000"/>
                        <w:sz w:val="20"/>
                        <w:szCs w:val="20"/>
                      </w:rPr>
                      <w:t>$5.9</w:t>
                    </w:r>
                  </w:p>
                </w:txbxContent>
              </v:textbox>
            </v:rect>
            <v:rect id="_x0000_s1127" style="position:absolute;left:2445;top:15;width:2990;height:230;mso-wrap-style:none;v-text-anchor:top" filled="f" stroked="f">
              <v:textbox style="mso-fit-shape-to-text:t" inset="0,0,0,0">
                <w:txbxContent>
                  <w:p w:rsidR="00A402FE" w:rsidRDefault="00A402FE">
                    <w:r>
                      <w:rPr>
                        <w:rFonts w:ascii="Arial" w:hAnsi="Arial" w:cs="Arial"/>
                        <w:b/>
                        <w:bCs/>
                        <w:color w:val="000000"/>
                        <w:sz w:val="20"/>
                        <w:szCs w:val="20"/>
                      </w:rPr>
                      <w:t>Power Supply Expense Change</w:t>
                    </w:r>
                  </w:p>
                </w:txbxContent>
              </v:textbox>
            </v:rect>
            <v:rect id="_x0000_s1128" style="position:absolute;left:2250;top:270;width:3380;height:230;mso-wrap-style:none;v-text-anchor:top" filled="f" stroked="f">
              <v:textbox style="mso-fit-shape-to-text:t" inset="0,0,0,0">
                <w:txbxContent>
                  <w:p w:rsidR="00A402FE" w:rsidRDefault="00A402FE">
                    <w:r>
                      <w:rPr>
                        <w:rFonts w:ascii="Arial" w:hAnsi="Arial" w:cs="Arial"/>
                        <w:b/>
                        <w:bCs/>
                        <w:color w:val="000000"/>
                        <w:sz w:val="20"/>
                        <w:szCs w:val="20"/>
                      </w:rPr>
                      <w:t xml:space="preserve">2012 Pro forma vs. 2011 Authorized </w:t>
                    </w:r>
                  </w:p>
                </w:txbxContent>
              </v:textbox>
            </v:rect>
            <v:rect id="_x0000_s1129" style="position:absolute;left:-15;top:-15;width:30;height:4845" fillcolor="black" stroked="f"/>
            <v:rect id="_x0000_s1130" style="position:absolute;left:7845;top:15;width:30;height:4815" fillcolor="black" stroked="f"/>
            <v:rect id="_x0000_s1131" style="position:absolute;left:15;top:-15;width:7860;height:30" fillcolor="black" stroked="f"/>
            <v:line id="_x0000_s1132" style="position:absolute" from="15,4380" to="7845,4381" strokeweight="0"/>
            <v:rect id="_x0000_s1133" style="position:absolute;left:15;top:4380;width:7830;height:15" fillcolor="black" stroked="f"/>
            <v:rect id="_x0000_s1134" style="position:absolute;left:15;top:4800;width:7860;height:30" fillcolor="black" stroked="f"/>
            <w10:wrap type="none"/>
            <w10:anchorlock/>
          </v:group>
        </w:pict>
      </w:r>
      <w:r w:rsidR="00A55DD3">
        <w:rPr>
          <w:rFonts w:ascii="Times New Roman" w:hAnsi="Times New Roman" w:cs="Times New Roman"/>
        </w:rPr>
        <w:br w:type="page"/>
      </w:r>
      <w:r w:rsidR="00BE21E7" w:rsidRPr="00BE21E7">
        <w:rPr>
          <w:rFonts w:ascii="Times New Roman" w:hAnsi="Times New Roman" w:cs="Times New Roman"/>
          <w:b/>
          <w:bCs/>
          <w:u w:val="single"/>
        </w:rPr>
        <w:lastRenderedPageBreak/>
        <w:t>III.</w:t>
      </w:r>
      <w:r w:rsidR="00BE21E7" w:rsidRPr="00BE21E7">
        <w:rPr>
          <w:rFonts w:ascii="Times New Roman" w:hAnsi="Times New Roman" w:cs="Times New Roman"/>
          <w:b/>
          <w:bCs/>
          <w:u w:val="single"/>
        </w:rPr>
        <w:tab/>
        <w:t xml:space="preserve">PRO FORMA POWER SUPPLY ADJUSTMENTS </w:t>
      </w:r>
    </w:p>
    <w:p w:rsidR="00BE21E7" w:rsidRPr="00BE21E7" w:rsidRDefault="00BE21E7" w:rsidP="00BE21E7">
      <w:pPr>
        <w:pStyle w:val="TestBody"/>
        <w:tabs>
          <w:tab w:val="num" w:pos="720"/>
        </w:tabs>
        <w:spacing w:line="480" w:lineRule="auto"/>
        <w:ind w:left="0" w:firstLine="0"/>
        <w:rPr>
          <w:rFonts w:ascii="Times New Roman" w:hAnsi="Times New Roman" w:cs="Times New Roman"/>
          <w:b/>
          <w:bCs/>
          <w:u w:val="single"/>
        </w:rPr>
      </w:pPr>
      <w:r w:rsidRPr="00BE21E7">
        <w:rPr>
          <w:rFonts w:ascii="Times New Roman" w:hAnsi="Times New Roman" w:cs="Times New Roman"/>
          <w:b/>
          <w:bCs/>
          <w:u w:val="single"/>
        </w:rPr>
        <w:t>Overview</w:t>
      </w:r>
    </w:p>
    <w:p w:rsidR="00BE21E7" w:rsidRPr="00BE21E7" w:rsidRDefault="00BE21E7" w:rsidP="00BE21E7">
      <w:pPr>
        <w:pStyle w:val="TestBody"/>
        <w:tabs>
          <w:tab w:val="num" w:pos="0"/>
        </w:tabs>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t xml:space="preserve">Please identify the specific power supply cost items that are covered by your testimony and the total adjustment being proposed. </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Exhibit No.</w:t>
      </w:r>
      <w:r w:rsidR="00A55DD3">
        <w:rPr>
          <w:rFonts w:ascii="Times New Roman" w:hAnsi="Times New Roman" w:cs="Times New Roman"/>
        </w:rPr>
        <w:t xml:space="preserve"> ___</w:t>
      </w:r>
      <w:r w:rsidRPr="00BE21E7">
        <w:rPr>
          <w:rFonts w:ascii="Times New Roman" w:hAnsi="Times New Roman" w:cs="Times New Roman"/>
        </w:rPr>
        <w:t xml:space="preserve">(WGJ-2) identifies the power supply expense and revenue items that fall within the scope of my testimony.  These revenue and expense items are related to power purchases and sales, fuel expenses, transmission expense, and other miscellaneous power supply expenses and revenues.  </w:t>
      </w:r>
    </w:p>
    <w:p w:rsidR="00BE21E7" w:rsidRPr="00BE21E7" w:rsidRDefault="00BE21E7" w:rsidP="00BE21E7">
      <w:pPr>
        <w:pStyle w:val="TestBody"/>
        <w:tabs>
          <w:tab w:val="num" w:pos="0"/>
        </w:tabs>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t>What is the basis for the adjustments to the test period power supply revenues and expenses?</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The purpose of the adjustments to the test period is to normalize power supply expenses for normal weather and </w:t>
      </w:r>
      <w:r w:rsidR="007A6DE3">
        <w:rPr>
          <w:rFonts w:ascii="Times New Roman" w:hAnsi="Times New Roman" w:cs="Times New Roman"/>
        </w:rPr>
        <w:t xml:space="preserve">normal </w:t>
      </w:r>
      <w:r w:rsidRPr="00BE21E7">
        <w:rPr>
          <w:rFonts w:ascii="Times New Roman" w:hAnsi="Times New Roman" w:cs="Times New Roman"/>
        </w:rPr>
        <w:t xml:space="preserve">hydroelectric generation and to reflect </w:t>
      </w:r>
      <w:r w:rsidR="006D5BF7">
        <w:rPr>
          <w:rFonts w:ascii="Times New Roman" w:hAnsi="Times New Roman" w:cs="Times New Roman"/>
        </w:rPr>
        <w:t xml:space="preserve">current forward natural gas prices and other </w:t>
      </w:r>
      <w:r w:rsidRPr="00BE21E7">
        <w:rPr>
          <w:rFonts w:ascii="Times New Roman" w:hAnsi="Times New Roman" w:cs="Times New Roman"/>
        </w:rPr>
        <w:t xml:space="preserve">known and measurable changes for the pro forma period.  </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The AURORA Model</w:t>
      </w:r>
      <w:r w:rsidR="007A6DE3">
        <w:rPr>
          <w:rFonts w:ascii="Times New Roman" w:hAnsi="Times New Roman" w:cs="Times New Roman"/>
        </w:rPr>
        <w:t>, as explained by Mr. Kalich,</w:t>
      </w:r>
      <w:r w:rsidRPr="00BE21E7">
        <w:rPr>
          <w:rFonts w:ascii="Times New Roman" w:hAnsi="Times New Roman" w:cs="Times New Roman"/>
        </w:rPr>
        <w:t xml:space="preserve"> dispatches Company resources </w:t>
      </w:r>
      <w:r w:rsidR="006D5BF7">
        <w:rPr>
          <w:rFonts w:ascii="Times New Roman" w:hAnsi="Times New Roman" w:cs="Times New Roman"/>
        </w:rPr>
        <w:t xml:space="preserve">using the current forward natural gas prices </w:t>
      </w:r>
      <w:r w:rsidRPr="00BE21E7">
        <w:rPr>
          <w:rFonts w:ascii="Times New Roman" w:hAnsi="Times New Roman" w:cs="Times New Roman"/>
        </w:rPr>
        <w:t xml:space="preserve">and calculates the level of generation from the Company’s thermal resources, fuel costs for thermal resources, and the short-term purchases and sales necessary to </w:t>
      </w:r>
      <w:r w:rsidR="00E00851">
        <w:rPr>
          <w:rFonts w:ascii="Times New Roman" w:hAnsi="Times New Roman" w:cs="Times New Roman"/>
        </w:rPr>
        <w:t>balance system requirements and resources.</w:t>
      </w:r>
    </w:p>
    <w:p w:rsidR="00BE21E7" w:rsidRPr="00BE21E7" w:rsidRDefault="00BE21E7" w:rsidP="00BE21E7">
      <w:pPr>
        <w:pStyle w:val="TestBody"/>
        <w:tabs>
          <w:tab w:val="num" w:pos="0"/>
        </w:tabs>
        <w:spacing w:line="480" w:lineRule="auto"/>
        <w:ind w:left="0" w:firstLine="720"/>
        <w:rPr>
          <w:rFonts w:ascii="Times New Roman" w:hAnsi="Times New Roman" w:cs="Times New Roman"/>
          <w:b/>
        </w:rPr>
      </w:pPr>
      <w:r w:rsidRPr="00BE21E7">
        <w:rPr>
          <w:rFonts w:ascii="Times New Roman" w:hAnsi="Times New Roman" w:cs="Times New Roman"/>
          <w:b/>
        </w:rPr>
        <w:t>Q.</w:t>
      </w:r>
      <w:r w:rsidR="00A55DD3">
        <w:rPr>
          <w:rFonts w:ascii="Times New Roman" w:hAnsi="Times New Roman" w:cs="Times New Roman"/>
          <w:b/>
        </w:rPr>
        <w:tab/>
      </w:r>
      <w:r w:rsidRPr="00BE21E7">
        <w:rPr>
          <w:rFonts w:ascii="Times New Roman" w:hAnsi="Times New Roman" w:cs="Times New Roman"/>
          <w:b/>
        </w:rPr>
        <w:t xml:space="preserve"> Are there any changes in how the pro forma in this case was develo</w:t>
      </w:r>
      <w:r w:rsidR="00A040D3">
        <w:rPr>
          <w:rFonts w:ascii="Times New Roman" w:hAnsi="Times New Roman" w:cs="Times New Roman"/>
          <w:b/>
        </w:rPr>
        <w:t>ped versus the authorized power supply expense currently in base rates</w:t>
      </w:r>
      <w:r w:rsidRPr="00BE21E7">
        <w:rPr>
          <w:rFonts w:ascii="Times New Roman" w:hAnsi="Times New Roman" w:cs="Times New Roman"/>
          <w:b/>
        </w:rPr>
        <w:t>?</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No.  </w:t>
      </w:r>
      <w:r w:rsidR="0003296D">
        <w:rPr>
          <w:rFonts w:ascii="Times New Roman" w:hAnsi="Times New Roman" w:cs="Times New Roman"/>
        </w:rPr>
        <w:t xml:space="preserve">With the exception of </w:t>
      </w:r>
      <w:r w:rsidR="006D5BF7">
        <w:rPr>
          <w:rFonts w:ascii="Times New Roman" w:hAnsi="Times New Roman" w:cs="Times New Roman"/>
        </w:rPr>
        <w:t xml:space="preserve">reducing system load for </w:t>
      </w:r>
      <w:r w:rsidR="0003296D">
        <w:rPr>
          <w:rFonts w:ascii="Times New Roman" w:hAnsi="Times New Roman" w:cs="Times New Roman"/>
        </w:rPr>
        <w:t>the Energy Efficiency Load Adjustment, t</w:t>
      </w:r>
      <w:r w:rsidRPr="00BE21E7">
        <w:rPr>
          <w:rFonts w:ascii="Times New Roman" w:hAnsi="Times New Roman" w:cs="Times New Roman"/>
        </w:rPr>
        <w:t>he process to develop the pro forma net power supply expense in th</w:t>
      </w:r>
      <w:r w:rsidR="00A040D3">
        <w:rPr>
          <w:rFonts w:ascii="Times New Roman" w:hAnsi="Times New Roman" w:cs="Times New Roman"/>
        </w:rPr>
        <w:t>is case is th</w:t>
      </w:r>
      <w:r w:rsidR="00E00851">
        <w:rPr>
          <w:rFonts w:ascii="Times New Roman" w:hAnsi="Times New Roman" w:cs="Times New Roman"/>
        </w:rPr>
        <w:t>e</w:t>
      </w:r>
      <w:r w:rsidR="00A040D3">
        <w:rPr>
          <w:rFonts w:ascii="Times New Roman" w:hAnsi="Times New Roman" w:cs="Times New Roman"/>
        </w:rPr>
        <w:t xml:space="preserve"> same as the process used to develop authorized power supply expense in current base rates</w:t>
      </w:r>
      <w:r w:rsidRPr="00BE21E7">
        <w:rPr>
          <w:rFonts w:ascii="Times New Roman" w:hAnsi="Times New Roman" w:cs="Times New Roman"/>
        </w:rPr>
        <w:t>.</w:t>
      </w:r>
      <w:r w:rsidR="0003296D">
        <w:rPr>
          <w:rFonts w:ascii="Times New Roman" w:hAnsi="Times New Roman" w:cs="Times New Roman"/>
        </w:rPr>
        <w:t xml:space="preserve">  The </w:t>
      </w:r>
      <w:r w:rsidR="0003296D">
        <w:rPr>
          <w:rFonts w:ascii="Times New Roman" w:hAnsi="Times New Roman" w:cs="Times New Roman"/>
        </w:rPr>
        <w:lastRenderedPageBreak/>
        <w:t>Energ</w:t>
      </w:r>
      <w:r w:rsidR="00EA4963">
        <w:rPr>
          <w:rFonts w:ascii="Times New Roman" w:hAnsi="Times New Roman" w:cs="Times New Roman"/>
        </w:rPr>
        <w:t>y Efficiency Load Adjustment, as</w:t>
      </w:r>
      <w:r w:rsidR="0003296D">
        <w:rPr>
          <w:rFonts w:ascii="Times New Roman" w:hAnsi="Times New Roman" w:cs="Times New Roman"/>
        </w:rPr>
        <w:t xml:space="preserve"> further explained later in my testimony, lowers the system load used to develop the pro forma to a level below the weather adjusted test-year load.</w:t>
      </w:r>
    </w:p>
    <w:p w:rsidR="00BE21E7" w:rsidRPr="00BE21E7" w:rsidRDefault="00BE21E7" w:rsidP="00BE21E7">
      <w:pPr>
        <w:pStyle w:val="TestBody"/>
        <w:tabs>
          <w:tab w:val="num" w:pos="720"/>
        </w:tabs>
        <w:spacing w:line="480" w:lineRule="auto"/>
        <w:ind w:left="0" w:firstLine="720"/>
        <w:rPr>
          <w:rFonts w:ascii="Times New Roman" w:hAnsi="Times New Roman" w:cs="Times New Roman"/>
        </w:rPr>
      </w:pPr>
      <w:r w:rsidRPr="00BE21E7">
        <w:rPr>
          <w:rFonts w:ascii="Times New Roman" w:hAnsi="Times New Roman" w:cs="Times New Roman"/>
        </w:rPr>
        <w:t>A brief description of each adjustment is provided in Exhibit</w:t>
      </w:r>
      <w:r w:rsidR="00A55DD3">
        <w:rPr>
          <w:rFonts w:ascii="Times New Roman" w:hAnsi="Times New Roman" w:cs="Times New Roman"/>
        </w:rPr>
        <w:t xml:space="preserve"> </w:t>
      </w:r>
      <w:r w:rsidRPr="00BE21E7">
        <w:rPr>
          <w:rFonts w:ascii="Times New Roman" w:hAnsi="Times New Roman" w:cs="Times New Roman"/>
        </w:rPr>
        <w:t>No.</w:t>
      </w:r>
      <w:r w:rsidR="00A55DD3">
        <w:rPr>
          <w:rFonts w:ascii="Times New Roman" w:hAnsi="Times New Roman" w:cs="Times New Roman"/>
        </w:rPr>
        <w:t xml:space="preserve"> ___</w:t>
      </w:r>
      <w:r w:rsidRPr="00BE21E7">
        <w:rPr>
          <w:rFonts w:ascii="Times New Roman" w:hAnsi="Times New Roman" w:cs="Times New Roman"/>
        </w:rPr>
        <w:t>(WGJ-</w:t>
      </w:r>
      <w:r w:rsidR="00A402FE">
        <w:rPr>
          <w:rFonts w:ascii="Times New Roman" w:hAnsi="Times New Roman" w:cs="Times New Roman"/>
        </w:rPr>
        <w:t>3</w:t>
      </w:r>
      <w:r w:rsidRPr="00BE21E7">
        <w:rPr>
          <w:rFonts w:ascii="Times New Roman" w:hAnsi="Times New Roman" w:cs="Times New Roman"/>
        </w:rPr>
        <w:t>).  Detailed workpapers have been provided to the Commission coincident to this filing to support each of the pro forma revenues and expenses.  The detailed workpapers for each adjustment show the actual revenue or expense in the test period, and the pro forma revenue or expense.</w:t>
      </w:r>
    </w:p>
    <w:p w:rsidR="00BE21E7" w:rsidRPr="00BE21E7" w:rsidRDefault="00BE21E7" w:rsidP="00BE21E7">
      <w:pPr>
        <w:pStyle w:val="TestBody"/>
        <w:tabs>
          <w:tab w:val="num" w:pos="720"/>
        </w:tabs>
        <w:spacing w:line="480" w:lineRule="auto"/>
        <w:ind w:left="0" w:firstLine="0"/>
        <w:rPr>
          <w:rFonts w:ascii="Times New Roman" w:hAnsi="Times New Roman" w:cs="Times New Roman"/>
          <w:b/>
          <w:bCs/>
          <w:u w:val="single"/>
        </w:rPr>
      </w:pPr>
      <w:r w:rsidRPr="00BE21E7">
        <w:rPr>
          <w:rFonts w:ascii="Times New Roman" w:hAnsi="Times New Roman" w:cs="Times New Roman"/>
          <w:b/>
          <w:bCs/>
          <w:u w:val="single"/>
        </w:rPr>
        <w:t>Long-Term Contracts</w:t>
      </w:r>
    </w:p>
    <w:p w:rsidR="00BE21E7" w:rsidRPr="00BE21E7" w:rsidRDefault="00BE21E7" w:rsidP="009C2006">
      <w:pPr>
        <w:pStyle w:val="TestBody"/>
        <w:numPr>
          <w:ilvl w:val="0"/>
          <w:numId w:val="5"/>
        </w:numPr>
        <w:tabs>
          <w:tab w:val="clear" w:pos="1530"/>
          <w:tab w:val="num" w:pos="0"/>
          <w:tab w:val="num" w:pos="1440"/>
        </w:tabs>
        <w:spacing w:line="480" w:lineRule="auto"/>
        <w:ind w:left="0" w:firstLine="720"/>
        <w:rPr>
          <w:rFonts w:ascii="Times New Roman" w:hAnsi="Times New Roman" w:cs="Times New Roman"/>
          <w:b/>
          <w:bCs/>
        </w:rPr>
      </w:pPr>
      <w:r w:rsidRPr="00BE21E7">
        <w:rPr>
          <w:rFonts w:ascii="Times New Roman" w:hAnsi="Times New Roman" w:cs="Times New Roman"/>
          <w:b/>
          <w:bCs/>
        </w:rPr>
        <w:t>How are long-term power contracts included in the pro forma?</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Long-term power contracts are included in the pro forma by including the energy receipt or obligation associated with the contract in the </w:t>
      </w:r>
      <w:smartTag w:uri="urn:schemas-microsoft-com:office:smarttags" w:element="City">
        <w:smartTag w:uri="urn:schemas-microsoft-com:office:smarttags" w:element="place">
          <w:r w:rsidRPr="00BE21E7">
            <w:rPr>
              <w:rFonts w:ascii="Times New Roman" w:hAnsi="Times New Roman" w:cs="Times New Roman"/>
            </w:rPr>
            <w:t>AURORA</w:t>
          </w:r>
        </w:smartTag>
      </w:smartTag>
      <w:r w:rsidRPr="00BE21E7">
        <w:rPr>
          <w:rFonts w:ascii="Times New Roman" w:hAnsi="Times New Roman" w:cs="Times New Roman"/>
        </w:rPr>
        <w:t xml:space="preserve"> model and including the cost or revenue in the pro forma net power supply expense.  </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b/>
        </w:rPr>
        <w:t>Q</w:t>
      </w:r>
      <w:r w:rsidRPr="00BE21E7">
        <w:rPr>
          <w:rFonts w:ascii="Times New Roman" w:hAnsi="Times New Roman" w:cs="Times New Roman"/>
        </w:rPr>
        <w:t>.</w:t>
      </w:r>
      <w:r w:rsidRPr="00BE21E7">
        <w:rPr>
          <w:rFonts w:ascii="Times New Roman" w:hAnsi="Times New Roman" w:cs="Times New Roman"/>
        </w:rPr>
        <w:tab/>
      </w:r>
      <w:r w:rsidRPr="00BE21E7">
        <w:rPr>
          <w:rFonts w:ascii="Times New Roman" w:hAnsi="Times New Roman" w:cs="Times New Roman"/>
          <w:b/>
        </w:rPr>
        <w:t>Are there any new power purchases or sales in the pro forma</w:t>
      </w:r>
      <w:r w:rsidR="00B53214">
        <w:rPr>
          <w:rFonts w:ascii="Times New Roman" w:hAnsi="Times New Roman" w:cs="Times New Roman"/>
          <w:b/>
        </w:rPr>
        <w:t xml:space="preserve"> that are not in the current </w:t>
      </w:r>
      <w:r w:rsidR="00C026FD">
        <w:rPr>
          <w:rFonts w:ascii="Times New Roman" w:hAnsi="Times New Roman" w:cs="Times New Roman"/>
          <w:b/>
        </w:rPr>
        <w:t>base rates</w:t>
      </w:r>
      <w:r w:rsidRPr="00BE21E7">
        <w:rPr>
          <w:rFonts w:ascii="Times New Roman" w:hAnsi="Times New Roman" w:cs="Times New Roman"/>
          <w:b/>
        </w:rPr>
        <w:t>?</w:t>
      </w:r>
    </w:p>
    <w:p w:rsid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Yes. This pro forma includes the </w:t>
      </w:r>
      <w:r w:rsidR="00B53214">
        <w:rPr>
          <w:rFonts w:ascii="Times New Roman" w:hAnsi="Times New Roman" w:cs="Times New Roman"/>
        </w:rPr>
        <w:t xml:space="preserve">expenses and </w:t>
      </w:r>
      <w:r w:rsidR="008F3931">
        <w:rPr>
          <w:rFonts w:ascii="Times New Roman" w:hAnsi="Times New Roman" w:cs="Times New Roman"/>
        </w:rPr>
        <w:t>generation</w:t>
      </w:r>
      <w:r w:rsidR="00B53214">
        <w:rPr>
          <w:rFonts w:ascii="Times New Roman" w:hAnsi="Times New Roman" w:cs="Times New Roman"/>
        </w:rPr>
        <w:t xml:space="preserve"> related to the</w:t>
      </w:r>
      <w:r w:rsidR="008F3931">
        <w:rPr>
          <w:rFonts w:ascii="Times New Roman" w:hAnsi="Times New Roman" w:cs="Times New Roman"/>
        </w:rPr>
        <w:t xml:space="preserve"> purchase of a </w:t>
      </w:r>
      <w:r w:rsidR="00B3712F">
        <w:rPr>
          <w:rFonts w:ascii="Times New Roman" w:hAnsi="Times New Roman" w:cs="Times New Roman"/>
        </w:rPr>
        <w:t xml:space="preserve">3.0% </w:t>
      </w:r>
      <w:r w:rsidR="008F3931">
        <w:rPr>
          <w:rFonts w:ascii="Times New Roman" w:hAnsi="Times New Roman" w:cs="Times New Roman"/>
        </w:rPr>
        <w:t xml:space="preserve">slice of </w:t>
      </w:r>
      <w:r w:rsidR="00A402FE">
        <w:rPr>
          <w:rFonts w:ascii="Times New Roman" w:hAnsi="Times New Roman" w:cs="Times New Roman"/>
        </w:rPr>
        <w:t xml:space="preserve">the output of the </w:t>
      </w:r>
      <w:r w:rsidR="008F3931">
        <w:rPr>
          <w:rFonts w:ascii="Times New Roman" w:hAnsi="Times New Roman" w:cs="Times New Roman"/>
        </w:rPr>
        <w:t xml:space="preserve">Rocky Reach and Rock Island dams owned and operated by Chelan PUD.   This purchase was made through a competitive auction and has a term of July 2011 through December 2014. </w:t>
      </w:r>
      <w:r w:rsidRPr="00BE21E7">
        <w:rPr>
          <w:rFonts w:ascii="Times New Roman" w:hAnsi="Times New Roman" w:cs="Times New Roman"/>
        </w:rPr>
        <w:t xml:space="preserve"> </w:t>
      </w:r>
      <w:r w:rsidR="008F3931">
        <w:rPr>
          <w:rFonts w:ascii="Times New Roman" w:hAnsi="Times New Roman" w:cs="Times New Roman"/>
        </w:rPr>
        <w:t>The purchase was made to ma</w:t>
      </w:r>
      <w:r w:rsidR="00E00851">
        <w:rPr>
          <w:rFonts w:ascii="Times New Roman" w:hAnsi="Times New Roman" w:cs="Times New Roman"/>
        </w:rPr>
        <w:t>intain an adequate level of Mid-</w:t>
      </w:r>
      <w:r w:rsidR="008F3931">
        <w:rPr>
          <w:rFonts w:ascii="Times New Roman" w:hAnsi="Times New Roman" w:cs="Times New Roman"/>
        </w:rPr>
        <w:t xml:space="preserve">Columbia generation to provide load shaping and </w:t>
      </w:r>
      <w:r w:rsidR="00E00851">
        <w:rPr>
          <w:rFonts w:ascii="Times New Roman" w:hAnsi="Times New Roman" w:cs="Times New Roman"/>
        </w:rPr>
        <w:t>ramping capabilities at the Mid-</w:t>
      </w:r>
      <w:r w:rsidR="008F3931">
        <w:rPr>
          <w:rFonts w:ascii="Times New Roman" w:hAnsi="Times New Roman" w:cs="Times New Roman"/>
        </w:rPr>
        <w:t>Columbia, which al</w:t>
      </w:r>
      <w:r w:rsidR="00CC1C97">
        <w:rPr>
          <w:rFonts w:ascii="Times New Roman" w:hAnsi="Times New Roman" w:cs="Times New Roman"/>
        </w:rPr>
        <w:t>lows the C</w:t>
      </w:r>
      <w:r w:rsidR="008F3931">
        <w:rPr>
          <w:rFonts w:ascii="Times New Roman" w:hAnsi="Times New Roman" w:cs="Times New Roman"/>
        </w:rPr>
        <w:t>ompany to operate its own hydro facilities in a more efficient manner.</w:t>
      </w:r>
      <w:r w:rsidR="003A768F">
        <w:rPr>
          <w:rFonts w:ascii="Times New Roman" w:hAnsi="Times New Roman" w:cs="Times New Roman"/>
        </w:rPr>
        <w:t xml:space="preserve"> </w:t>
      </w:r>
    </w:p>
    <w:p w:rsidR="0065453C" w:rsidRPr="00BE21E7" w:rsidRDefault="0065453C" w:rsidP="00BE21E7">
      <w:pPr>
        <w:pStyle w:val="TestBody"/>
        <w:tabs>
          <w:tab w:val="num" w:pos="0"/>
        </w:tabs>
        <w:spacing w:line="480" w:lineRule="auto"/>
        <w:ind w:left="0" w:firstLine="720"/>
        <w:rPr>
          <w:rFonts w:ascii="Times New Roman" w:hAnsi="Times New Roman" w:cs="Times New Roman"/>
        </w:rPr>
      </w:pPr>
      <w:r>
        <w:rPr>
          <w:rFonts w:ascii="Times New Roman" w:hAnsi="Times New Roman" w:cs="Times New Roman"/>
        </w:rPr>
        <w:t>The pro forma also includes</w:t>
      </w:r>
      <w:r w:rsidR="00D2745E">
        <w:rPr>
          <w:rFonts w:ascii="Times New Roman" w:hAnsi="Times New Roman" w:cs="Times New Roman"/>
        </w:rPr>
        <w:t xml:space="preserve"> the purchase of Renewable Energy Credits to meet the requirements of Washington’s Energy Independence Act (EIA).  Additional information regarding this purchase is contained in Mr. Lafferty’s testimony.</w:t>
      </w:r>
    </w:p>
    <w:p w:rsidR="00BE21E7" w:rsidRPr="00BE21E7" w:rsidRDefault="006A26AD" w:rsidP="00BE21E7">
      <w:pPr>
        <w:pStyle w:val="TestBody"/>
        <w:numPr>
          <w:ilvl w:val="0"/>
          <w:numId w:val="9"/>
        </w:numPr>
        <w:tabs>
          <w:tab w:val="clear" w:pos="720"/>
          <w:tab w:val="num" w:pos="0"/>
        </w:tabs>
        <w:spacing w:line="480" w:lineRule="auto"/>
        <w:ind w:left="0" w:firstLine="720"/>
        <w:rPr>
          <w:rFonts w:ascii="Times New Roman" w:hAnsi="Times New Roman" w:cs="Times New Roman"/>
          <w:b/>
        </w:rPr>
      </w:pPr>
      <w:r>
        <w:rPr>
          <w:rFonts w:ascii="Times New Roman" w:hAnsi="Times New Roman" w:cs="Times New Roman"/>
          <w:b/>
        </w:rPr>
        <w:lastRenderedPageBreak/>
        <w:t xml:space="preserve">Are there any power purchases or sales that are in current </w:t>
      </w:r>
      <w:r w:rsidR="00C026FD">
        <w:rPr>
          <w:rFonts w:ascii="Times New Roman" w:hAnsi="Times New Roman" w:cs="Times New Roman"/>
          <w:b/>
        </w:rPr>
        <w:t>base rate</w:t>
      </w:r>
      <w:r>
        <w:rPr>
          <w:rFonts w:ascii="Times New Roman" w:hAnsi="Times New Roman" w:cs="Times New Roman"/>
          <w:b/>
        </w:rPr>
        <w:t>s but not in this pro forma</w:t>
      </w:r>
      <w:r w:rsidR="00BE21E7" w:rsidRPr="00BE21E7">
        <w:rPr>
          <w:rFonts w:ascii="Times New Roman" w:hAnsi="Times New Roman" w:cs="Times New Roman"/>
          <w:b/>
        </w:rPr>
        <w:t>?</w:t>
      </w:r>
    </w:p>
    <w:p w:rsidR="00BE21E7" w:rsidRPr="00BE21E7" w:rsidRDefault="00BE21E7" w:rsidP="00BE21E7">
      <w:pPr>
        <w:pStyle w:val="TestBody"/>
        <w:tabs>
          <w:tab w:val="num" w:pos="72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Yes.  </w:t>
      </w:r>
      <w:r w:rsidR="003A768F">
        <w:rPr>
          <w:rFonts w:ascii="Times New Roman" w:hAnsi="Times New Roman" w:cs="Times New Roman"/>
        </w:rPr>
        <w:t xml:space="preserve">The </w:t>
      </w:r>
      <w:r w:rsidR="00092D05">
        <w:rPr>
          <w:rFonts w:ascii="Times New Roman" w:hAnsi="Times New Roman" w:cs="Times New Roman"/>
        </w:rPr>
        <w:t>C</w:t>
      </w:r>
      <w:r w:rsidR="003A768F">
        <w:rPr>
          <w:rFonts w:ascii="Times New Roman" w:hAnsi="Times New Roman" w:cs="Times New Roman"/>
        </w:rPr>
        <w:t xml:space="preserve">ompany’s long-term purchase of Rocky Reach generation at project cost </w:t>
      </w:r>
      <w:r w:rsidR="00EA4963">
        <w:rPr>
          <w:rFonts w:ascii="Times New Roman" w:hAnsi="Times New Roman" w:cs="Times New Roman"/>
        </w:rPr>
        <w:t>ends</w:t>
      </w:r>
      <w:r w:rsidR="003A768F">
        <w:rPr>
          <w:rFonts w:ascii="Times New Roman" w:hAnsi="Times New Roman" w:cs="Times New Roman"/>
        </w:rPr>
        <w:t xml:space="preserve"> October 31, 2011</w:t>
      </w:r>
      <w:r w:rsidR="00541D93">
        <w:rPr>
          <w:rFonts w:ascii="Times New Roman" w:hAnsi="Times New Roman" w:cs="Times New Roman"/>
        </w:rPr>
        <w:t xml:space="preserve">. </w:t>
      </w:r>
      <w:r w:rsidR="00576309">
        <w:rPr>
          <w:rFonts w:ascii="Times New Roman" w:hAnsi="Times New Roman" w:cs="Times New Roman"/>
        </w:rPr>
        <w:t xml:space="preserve"> </w:t>
      </w:r>
      <w:r w:rsidR="00472C4D">
        <w:rPr>
          <w:rFonts w:ascii="Times New Roman" w:hAnsi="Times New Roman" w:cs="Times New Roman"/>
        </w:rPr>
        <w:t xml:space="preserve">The Grant PUD Displacement power purchase ends September 30, 2011.  The Black Creek purchase ended March 25, 2011. </w:t>
      </w:r>
      <w:r w:rsidR="007D3E87">
        <w:rPr>
          <w:rFonts w:ascii="Times New Roman" w:hAnsi="Times New Roman" w:cs="Times New Roman"/>
        </w:rPr>
        <w:t xml:space="preserve"> </w:t>
      </w:r>
      <w:r w:rsidR="00D81DE9">
        <w:rPr>
          <w:rFonts w:ascii="Times New Roman" w:hAnsi="Times New Roman" w:cs="Times New Roman"/>
        </w:rPr>
        <w:t xml:space="preserve">At the time </w:t>
      </w:r>
      <w:r w:rsidR="00A402FE">
        <w:rPr>
          <w:rFonts w:ascii="Times New Roman" w:hAnsi="Times New Roman" w:cs="Times New Roman"/>
        </w:rPr>
        <w:t>the</w:t>
      </w:r>
      <w:r w:rsidR="00D81DE9">
        <w:rPr>
          <w:rFonts w:ascii="Times New Roman" w:hAnsi="Times New Roman" w:cs="Times New Roman"/>
        </w:rPr>
        <w:t xml:space="preserve"> pro forma was developed</w:t>
      </w:r>
      <w:r w:rsidR="00A402FE">
        <w:rPr>
          <w:rFonts w:ascii="Times New Roman" w:hAnsi="Times New Roman" w:cs="Times New Roman"/>
        </w:rPr>
        <w:t>,</w:t>
      </w:r>
      <w:r w:rsidR="00D81DE9">
        <w:rPr>
          <w:rFonts w:ascii="Times New Roman" w:hAnsi="Times New Roman" w:cs="Times New Roman"/>
        </w:rPr>
        <w:t xml:space="preserve"> the Stateline wind purchase was scheduled to end on </w:t>
      </w:r>
      <w:r w:rsidR="00472C4D">
        <w:rPr>
          <w:rFonts w:ascii="Times New Roman" w:hAnsi="Times New Roman" w:cs="Times New Roman"/>
        </w:rPr>
        <w:t>D</w:t>
      </w:r>
      <w:r w:rsidR="00D81DE9">
        <w:rPr>
          <w:rFonts w:ascii="Times New Roman" w:hAnsi="Times New Roman" w:cs="Times New Roman"/>
        </w:rPr>
        <w:t>ecember 31, 2011, but has since been extended through April 30, 2014</w:t>
      </w:r>
      <w:r w:rsidR="00D81DE9">
        <w:rPr>
          <w:rStyle w:val="FootnoteReference"/>
          <w:rFonts w:ascii="Times New Roman" w:hAnsi="Times New Roman"/>
        </w:rPr>
        <w:footnoteReference w:id="2"/>
      </w:r>
      <w:r w:rsidR="00D81DE9">
        <w:rPr>
          <w:rFonts w:ascii="Times New Roman" w:hAnsi="Times New Roman" w:cs="Times New Roman"/>
        </w:rPr>
        <w:t xml:space="preserve">. </w:t>
      </w:r>
      <w:r w:rsidR="009F2E2E">
        <w:rPr>
          <w:rFonts w:ascii="Times New Roman" w:hAnsi="Times New Roman" w:cs="Times New Roman"/>
        </w:rPr>
        <w:t xml:space="preserve"> The purchase</w:t>
      </w:r>
      <w:r w:rsidR="00472C4D">
        <w:rPr>
          <w:rFonts w:ascii="Times New Roman" w:hAnsi="Times New Roman" w:cs="Times New Roman"/>
        </w:rPr>
        <w:t xml:space="preserve"> of operating reserves from BPA for the Lancaster plant ended March 29, 2011 when the Lancaster plant was put into Avista’s balancing authority (electronically in Avista’s balancing authority</w:t>
      </w:r>
      <w:r w:rsidR="00D81DE9">
        <w:rPr>
          <w:rFonts w:ascii="Times New Roman" w:hAnsi="Times New Roman" w:cs="Times New Roman"/>
        </w:rPr>
        <w:t>,</w:t>
      </w:r>
      <w:r w:rsidR="00472C4D">
        <w:rPr>
          <w:rFonts w:ascii="Times New Roman" w:hAnsi="Times New Roman" w:cs="Times New Roman"/>
        </w:rPr>
        <w:t xml:space="preserve"> but still connected to BPA’s transmission system).</w:t>
      </w:r>
      <w:r w:rsidR="00541D93">
        <w:rPr>
          <w:rFonts w:ascii="Times New Roman" w:hAnsi="Times New Roman" w:cs="Times New Roman"/>
        </w:rPr>
        <w:t xml:space="preserve"> </w:t>
      </w:r>
      <w:r w:rsidR="00472C4D">
        <w:rPr>
          <w:rFonts w:ascii="Times New Roman" w:hAnsi="Times New Roman" w:cs="Times New Roman"/>
        </w:rPr>
        <w:t>On the</w:t>
      </w:r>
      <w:r w:rsidR="00541D93">
        <w:rPr>
          <w:rFonts w:ascii="Times New Roman" w:hAnsi="Times New Roman" w:cs="Times New Roman"/>
        </w:rPr>
        <w:t xml:space="preserve"> revenue side, </w:t>
      </w:r>
      <w:r w:rsidR="00147465">
        <w:rPr>
          <w:rFonts w:ascii="Times New Roman" w:hAnsi="Times New Roman" w:cs="Times New Roman"/>
        </w:rPr>
        <w:t>t</w:t>
      </w:r>
      <w:r w:rsidR="00576309">
        <w:rPr>
          <w:rFonts w:ascii="Times New Roman" w:hAnsi="Times New Roman" w:cs="Times New Roman"/>
        </w:rPr>
        <w:t>he load following contract</w:t>
      </w:r>
      <w:r w:rsidR="00147465">
        <w:rPr>
          <w:rFonts w:ascii="Times New Roman" w:hAnsi="Times New Roman" w:cs="Times New Roman"/>
        </w:rPr>
        <w:t xml:space="preserve"> </w:t>
      </w:r>
      <w:r w:rsidR="00576309">
        <w:rPr>
          <w:rFonts w:ascii="Times New Roman" w:hAnsi="Times New Roman" w:cs="Times New Roman"/>
        </w:rPr>
        <w:t>with Northweste</w:t>
      </w:r>
      <w:r w:rsidR="00472C4D">
        <w:rPr>
          <w:rFonts w:ascii="Times New Roman" w:hAnsi="Times New Roman" w:cs="Times New Roman"/>
        </w:rPr>
        <w:t>rn Energy ended</w:t>
      </w:r>
      <w:r w:rsidR="002D06C3">
        <w:rPr>
          <w:rFonts w:ascii="Times New Roman" w:hAnsi="Times New Roman" w:cs="Times New Roman"/>
        </w:rPr>
        <w:t xml:space="preserve"> January 9, 2011</w:t>
      </w:r>
      <w:r w:rsidR="00EA4963">
        <w:rPr>
          <w:rFonts w:ascii="Times New Roman" w:hAnsi="Times New Roman" w:cs="Times New Roman"/>
        </w:rPr>
        <w:t>,</w:t>
      </w:r>
      <w:r w:rsidR="005542A8">
        <w:rPr>
          <w:rFonts w:ascii="Times New Roman" w:hAnsi="Times New Roman" w:cs="Times New Roman"/>
        </w:rPr>
        <w:t xml:space="preserve"> and the load following contract with NatuEner ends August 31, 2011.</w:t>
      </w:r>
      <w:r w:rsidR="00092D05">
        <w:rPr>
          <w:rFonts w:ascii="Times New Roman" w:hAnsi="Times New Roman" w:cs="Times New Roman"/>
        </w:rPr>
        <w:t xml:space="preserve">  The overall impact of all the long-term contracts changes is less than a $500,000 increase on power supply expense (Washington allocation).</w:t>
      </w:r>
    </w:p>
    <w:p w:rsidR="00BE21E7" w:rsidRPr="00BE21E7" w:rsidRDefault="00BE21E7" w:rsidP="00BE21E7">
      <w:pPr>
        <w:pStyle w:val="TestBody"/>
        <w:tabs>
          <w:tab w:val="num" w:pos="720"/>
        </w:tabs>
        <w:spacing w:line="480" w:lineRule="auto"/>
        <w:ind w:left="0" w:firstLine="0"/>
        <w:rPr>
          <w:rFonts w:ascii="Times New Roman" w:hAnsi="Times New Roman" w:cs="Times New Roman"/>
          <w:b/>
          <w:bCs/>
          <w:u w:val="single"/>
        </w:rPr>
      </w:pPr>
      <w:r w:rsidRPr="00BE21E7">
        <w:rPr>
          <w:rFonts w:ascii="Times New Roman" w:hAnsi="Times New Roman" w:cs="Times New Roman"/>
          <w:b/>
          <w:bCs/>
          <w:u w:val="single"/>
        </w:rPr>
        <w:t>Short-Term Power Purchases and Sales</w:t>
      </w:r>
    </w:p>
    <w:p w:rsidR="00BE21E7" w:rsidRPr="00BE21E7" w:rsidRDefault="00BE21E7" w:rsidP="00BE21E7">
      <w:pPr>
        <w:pStyle w:val="TestBody"/>
        <w:tabs>
          <w:tab w:val="num" w:pos="0"/>
        </w:tabs>
        <w:spacing w:line="480" w:lineRule="auto"/>
        <w:ind w:left="0" w:firstLine="720"/>
        <w:rPr>
          <w:rFonts w:ascii="Times New Roman" w:hAnsi="Times New Roman" w:cs="Times New Roman"/>
          <w:b/>
        </w:rPr>
      </w:pPr>
      <w:r w:rsidRPr="00BE21E7">
        <w:rPr>
          <w:rFonts w:ascii="Times New Roman" w:hAnsi="Times New Roman" w:cs="Times New Roman"/>
          <w:b/>
        </w:rPr>
        <w:t>Q.</w:t>
      </w:r>
      <w:r w:rsidRPr="00BE21E7">
        <w:rPr>
          <w:rFonts w:ascii="Times New Roman" w:hAnsi="Times New Roman" w:cs="Times New Roman"/>
          <w:b/>
        </w:rPr>
        <w:tab/>
        <w:t>How are short-term transactions included in the pro forma?</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After including the actual </w:t>
      </w:r>
      <w:r w:rsidR="00095636">
        <w:rPr>
          <w:rFonts w:ascii="Times New Roman" w:hAnsi="Times New Roman" w:cs="Times New Roman"/>
        </w:rPr>
        <w:t xml:space="preserve">physical </w:t>
      </w:r>
      <w:r w:rsidR="007A6DE3">
        <w:rPr>
          <w:rFonts w:ascii="Times New Roman" w:hAnsi="Times New Roman" w:cs="Times New Roman"/>
        </w:rPr>
        <w:t xml:space="preserve">forward </w:t>
      </w:r>
      <w:r w:rsidRPr="00BE21E7">
        <w:rPr>
          <w:rFonts w:ascii="Times New Roman" w:hAnsi="Times New Roman" w:cs="Times New Roman"/>
        </w:rPr>
        <w:t xml:space="preserve">short-term transactions as resources and obligations in the AURORA model, the balance of the short-term electric power purchases and sales are an output of the AURORA model.  The model calculates both the volumes and price of short-term purchases and sales that balance the system’s generation and long-term purchases with retail load and </w:t>
      </w:r>
      <w:r w:rsidR="007A6DE3">
        <w:rPr>
          <w:rFonts w:ascii="Times New Roman" w:hAnsi="Times New Roman" w:cs="Times New Roman"/>
        </w:rPr>
        <w:t>other</w:t>
      </w:r>
      <w:r w:rsidRPr="00BE21E7">
        <w:rPr>
          <w:rFonts w:ascii="Times New Roman" w:hAnsi="Times New Roman" w:cs="Times New Roman"/>
        </w:rPr>
        <w:t xml:space="preserve"> obligations.  The price of the short-term transactions represents the price of spot market power as determined by the AURORA model. </w:t>
      </w:r>
      <w:r w:rsidR="00095636">
        <w:rPr>
          <w:rFonts w:ascii="Times New Roman" w:hAnsi="Times New Roman" w:cs="Times New Roman"/>
        </w:rPr>
        <w:t xml:space="preserve"> Short-term </w:t>
      </w:r>
      <w:r w:rsidR="00095636">
        <w:rPr>
          <w:rFonts w:ascii="Times New Roman" w:hAnsi="Times New Roman" w:cs="Times New Roman"/>
        </w:rPr>
        <w:lastRenderedPageBreak/>
        <w:t xml:space="preserve">financial electric and </w:t>
      </w:r>
      <w:r w:rsidR="0075076D">
        <w:rPr>
          <w:rFonts w:ascii="Times New Roman" w:hAnsi="Times New Roman" w:cs="Times New Roman"/>
        </w:rPr>
        <w:t xml:space="preserve">all </w:t>
      </w:r>
      <w:r w:rsidR="00095636">
        <w:rPr>
          <w:rFonts w:ascii="Times New Roman" w:hAnsi="Times New Roman" w:cs="Times New Roman"/>
        </w:rPr>
        <w:t>natural gas transaction</w:t>
      </w:r>
      <w:r w:rsidR="0075076D">
        <w:rPr>
          <w:rFonts w:ascii="Times New Roman" w:hAnsi="Times New Roman" w:cs="Times New Roman"/>
        </w:rPr>
        <w:t>s</w:t>
      </w:r>
      <w:r w:rsidR="00095636">
        <w:rPr>
          <w:rFonts w:ascii="Times New Roman" w:hAnsi="Times New Roman" w:cs="Times New Roman"/>
        </w:rPr>
        <w:t xml:space="preserve"> are included as a mark-to-model price line item in the pro forma and are not included as inputs in the A</w:t>
      </w:r>
      <w:r w:rsidR="004C0725">
        <w:rPr>
          <w:rFonts w:ascii="Times New Roman" w:hAnsi="Times New Roman" w:cs="Times New Roman"/>
        </w:rPr>
        <w:t>U</w:t>
      </w:r>
      <w:r w:rsidR="00095636">
        <w:rPr>
          <w:rFonts w:ascii="Times New Roman" w:hAnsi="Times New Roman" w:cs="Times New Roman"/>
        </w:rPr>
        <w:t>RORA model.</w:t>
      </w:r>
    </w:p>
    <w:p w:rsidR="00BE21E7" w:rsidRPr="00BE21E7" w:rsidRDefault="00BE21E7" w:rsidP="00BE21E7">
      <w:pPr>
        <w:pStyle w:val="TestBody"/>
        <w:tabs>
          <w:tab w:val="num" w:pos="0"/>
        </w:tabs>
        <w:spacing w:line="480" w:lineRule="auto"/>
        <w:ind w:left="0" w:firstLine="720"/>
        <w:rPr>
          <w:rFonts w:ascii="Times New Roman" w:hAnsi="Times New Roman" w:cs="Times New Roman"/>
          <w:b/>
        </w:rPr>
      </w:pPr>
      <w:r w:rsidRPr="00BE21E7">
        <w:rPr>
          <w:rFonts w:ascii="Times New Roman" w:hAnsi="Times New Roman" w:cs="Times New Roman"/>
          <w:b/>
        </w:rPr>
        <w:t>Q.</w:t>
      </w:r>
      <w:r w:rsidRPr="00BE21E7">
        <w:rPr>
          <w:rFonts w:ascii="Times New Roman" w:hAnsi="Times New Roman" w:cs="Times New Roman"/>
          <w:b/>
        </w:rPr>
        <w:tab/>
        <w:t xml:space="preserve">What actual </w:t>
      </w:r>
      <w:r w:rsidR="007A6DE3">
        <w:rPr>
          <w:rFonts w:ascii="Times New Roman" w:hAnsi="Times New Roman" w:cs="Times New Roman"/>
          <w:b/>
        </w:rPr>
        <w:t xml:space="preserve">forward </w:t>
      </w:r>
      <w:r w:rsidRPr="00BE21E7">
        <w:rPr>
          <w:rFonts w:ascii="Times New Roman" w:hAnsi="Times New Roman" w:cs="Times New Roman"/>
          <w:b/>
        </w:rPr>
        <w:t>short-term transactions are included in the pro forma?</w:t>
      </w:r>
    </w:p>
    <w:p w:rsidR="00E263B2" w:rsidRDefault="00BE21E7" w:rsidP="00E263B2">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The pro forma includes </w:t>
      </w:r>
      <w:r w:rsidR="007C4511">
        <w:rPr>
          <w:rFonts w:ascii="Times New Roman" w:hAnsi="Times New Roman" w:cs="Times New Roman"/>
        </w:rPr>
        <w:t xml:space="preserve">transactions entered into through </w:t>
      </w:r>
      <w:r w:rsidR="005108F2">
        <w:rPr>
          <w:rFonts w:ascii="Times New Roman" w:hAnsi="Times New Roman" w:cs="Times New Roman"/>
        </w:rPr>
        <w:t>February 8</w:t>
      </w:r>
      <w:r w:rsidR="007C4511">
        <w:rPr>
          <w:rFonts w:ascii="Times New Roman" w:hAnsi="Times New Roman" w:cs="Times New Roman"/>
        </w:rPr>
        <w:t>, 20</w:t>
      </w:r>
      <w:r w:rsidR="005108F2">
        <w:rPr>
          <w:rFonts w:ascii="Times New Roman" w:hAnsi="Times New Roman" w:cs="Times New Roman"/>
        </w:rPr>
        <w:t>11</w:t>
      </w:r>
      <w:r w:rsidR="007C4511">
        <w:rPr>
          <w:rFonts w:ascii="Times New Roman" w:hAnsi="Times New Roman" w:cs="Times New Roman"/>
        </w:rPr>
        <w:t xml:space="preserve"> for the 201</w:t>
      </w:r>
      <w:r w:rsidR="005108F2">
        <w:rPr>
          <w:rFonts w:ascii="Times New Roman" w:hAnsi="Times New Roman" w:cs="Times New Roman"/>
        </w:rPr>
        <w:t>2</w:t>
      </w:r>
      <w:r w:rsidR="007C4511">
        <w:rPr>
          <w:rFonts w:ascii="Times New Roman" w:hAnsi="Times New Roman" w:cs="Times New Roman"/>
        </w:rPr>
        <w:t xml:space="preserve"> pro forma period.  These transactions include </w:t>
      </w:r>
      <w:r w:rsidR="00095636">
        <w:rPr>
          <w:rFonts w:ascii="Times New Roman" w:hAnsi="Times New Roman" w:cs="Times New Roman"/>
        </w:rPr>
        <w:t>6</w:t>
      </w:r>
      <w:r w:rsidR="007C4511">
        <w:rPr>
          <w:rFonts w:ascii="Times New Roman" w:hAnsi="Times New Roman" w:cs="Times New Roman"/>
        </w:rPr>
        <w:t xml:space="preserve"> physical electric </w:t>
      </w:r>
      <w:r w:rsidR="00095636">
        <w:rPr>
          <w:rFonts w:ascii="Times New Roman" w:hAnsi="Times New Roman" w:cs="Times New Roman"/>
        </w:rPr>
        <w:t>transactions</w:t>
      </w:r>
      <w:r w:rsidR="007C4511">
        <w:rPr>
          <w:rFonts w:ascii="Times New Roman" w:hAnsi="Times New Roman" w:cs="Times New Roman"/>
        </w:rPr>
        <w:t xml:space="preserve">, </w:t>
      </w:r>
      <w:r w:rsidR="00095636">
        <w:rPr>
          <w:rFonts w:ascii="Times New Roman" w:hAnsi="Times New Roman" w:cs="Times New Roman"/>
        </w:rPr>
        <w:t>18</w:t>
      </w:r>
      <w:r w:rsidR="007C4511">
        <w:rPr>
          <w:rFonts w:ascii="Times New Roman" w:hAnsi="Times New Roman" w:cs="Times New Roman"/>
        </w:rPr>
        <w:t xml:space="preserve"> financial electric </w:t>
      </w:r>
      <w:r w:rsidR="00095636">
        <w:rPr>
          <w:rFonts w:ascii="Times New Roman" w:hAnsi="Times New Roman" w:cs="Times New Roman"/>
        </w:rPr>
        <w:t>transaction</w:t>
      </w:r>
      <w:r w:rsidR="0075076D">
        <w:rPr>
          <w:rFonts w:ascii="Times New Roman" w:hAnsi="Times New Roman" w:cs="Times New Roman"/>
        </w:rPr>
        <w:t>s</w:t>
      </w:r>
      <w:r w:rsidR="00095636">
        <w:rPr>
          <w:rFonts w:ascii="Times New Roman" w:hAnsi="Times New Roman" w:cs="Times New Roman"/>
        </w:rPr>
        <w:t>, 15 physical natural gas transactions</w:t>
      </w:r>
      <w:r w:rsidR="007C4511">
        <w:rPr>
          <w:rFonts w:ascii="Times New Roman" w:hAnsi="Times New Roman" w:cs="Times New Roman"/>
        </w:rPr>
        <w:t xml:space="preserve"> and </w:t>
      </w:r>
      <w:r w:rsidR="00095636">
        <w:rPr>
          <w:rFonts w:ascii="Times New Roman" w:hAnsi="Times New Roman" w:cs="Times New Roman"/>
        </w:rPr>
        <w:t>8</w:t>
      </w:r>
      <w:r w:rsidR="007C4511">
        <w:rPr>
          <w:rFonts w:ascii="Times New Roman" w:hAnsi="Times New Roman" w:cs="Times New Roman"/>
        </w:rPr>
        <w:t xml:space="preserve"> </w:t>
      </w:r>
      <w:r w:rsidR="00095636">
        <w:rPr>
          <w:rFonts w:ascii="Times New Roman" w:hAnsi="Times New Roman" w:cs="Times New Roman"/>
        </w:rPr>
        <w:t>financial</w:t>
      </w:r>
      <w:r w:rsidR="007C4511">
        <w:rPr>
          <w:rFonts w:ascii="Times New Roman" w:hAnsi="Times New Roman" w:cs="Times New Roman"/>
        </w:rPr>
        <w:t xml:space="preserve"> natural gas </w:t>
      </w:r>
      <w:r w:rsidR="00095636">
        <w:rPr>
          <w:rFonts w:ascii="Times New Roman" w:hAnsi="Times New Roman" w:cs="Times New Roman"/>
        </w:rPr>
        <w:t>transactions</w:t>
      </w:r>
      <w:r w:rsidR="007C4511">
        <w:rPr>
          <w:rFonts w:ascii="Times New Roman" w:hAnsi="Times New Roman" w:cs="Times New Roman"/>
        </w:rPr>
        <w:t>.</w:t>
      </w:r>
      <w:r w:rsidR="00AA1E96">
        <w:rPr>
          <w:rFonts w:ascii="Times New Roman" w:hAnsi="Times New Roman" w:cs="Times New Roman"/>
        </w:rPr>
        <w:t xml:space="preserve">  The details of these transactions are provided in workpapers.</w:t>
      </w:r>
    </w:p>
    <w:p w:rsidR="00BE21E7" w:rsidRPr="00E263B2" w:rsidRDefault="00E263B2" w:rsidP="00E263B2">
      <w:pPr>
        <w:pStyle w:val="TestBody"/>
        <w:tabs>
          <w:tab w:val="num" w:pos="0"/>
        </w:tabs>
        <w:spacing w:line="480" w:lineRule="auto"/>
        <w:ind w:left="0" w:firstLine="0"/>
        <w:rPr>
          <w:rFonts w:ascii="Times New Roman" w:hAnsi="Times New Roman" w:cs="Times New Roman"/>
        </w:rPr>
      </w:pPr>
      <w:r w:rsidRPr="00E263B2">
        <w:rPr>
          <w:rFonts w:ascii="Times New Roman" w:hAnsi="Times New Roman" w:cs="Times New Roman"/>
          <w:b/>
          <w:u w:val="single"/>
        </w:rPr>
        <w:t>Energy Efficiency Load</w:t>
      </w:r>
      <w:r w:rsidRPr="00E263B2">
        <w:rPr>
          <w:rFonts w:ascii="Times New Roman" w:hAnsi="Times New Roman" w:cs="Times New Roman"/>
          <w:u w:val="single"/>
        </w:rPr>
        <w:t xml:space="preserve"> </w:t>
      </w:r>
      <w:r w:rsidRPr="00E263B2">
        <w:rPr>
          <w:rFonts w:ascii="Times New Roman" w:hAnsi="Times New Roman" w:cs="Times New Roman"/>
          <w:b/>
          <w:u w:val="single"/>
        </w:rPr>
        <w:t>Adjustment</w:t>
      </w:r>
      <w:r w:rsidR="007C4511" w:rsidRPr="00E263B2">
        <w:rPr>
          <w:rFonts w:ascii="Times New Roman" w:hAnsi="Times New Roman" w:cs="Times New Roman"/>
          <w:b/>
          <w:u w:val="single"/>
        </w:rPr>
        <w:t xml:space="preserve">  </w:t>
      </w:r>
    </w:p>
    <w:p w:rsidR="00E263B2" w:rsidRPr="00BE21E7" w:rsidRDefault="00E263B2" w:rsidP="00E263B2">
      <w:pPr>
        <w:pStyle w:val="TestBody"/>
        <w:tabs>
          <w:tab w:val="num" w:pos="0"/>
        </w:tabs>
        <w:spacing w:line="480" w:lineRule="auto"/>
        <w:ind w:left="0" w:firstLine="720"/>
        <w:rPr>
          <w:rFonts w:ascii="Times New Roman" w:hAnsi="Times New Roman" w:cs="Times New Roman"/>
          <w:b/>
        </w:rPr>
      </w:pPr>
      <w:r>
        <w:rPr>
          <w:rFonts w:ascii="Times New Roman" w:hAnsi="Times New Roman" w:cs="Times New Roman"/>
          <w:b/>
        </w:rPr>
        <w:t>Q.</w:t>
      </w:r>
      <w:r>
        <w:rPr>
          <w:rFonts w:ascii="Times New Roman" w:hAnsi="Times New Roman" w:cs="Times New Roman"/>
          <w:b/>
        </w:rPr>
        <w:tab/>
        <w:t xml:space="preserve">How was the </w:t>
      </w:r>
      <w:r w:rsidR="00AA1E96">
        <w:rPr>
          <w:rFonts w:ascii="Times New Roman" w:hAnsi="Times New Roman" w:cs="Times New Roman"/>
          <w:b/>
        </w:rPr>
        <w:t xml:space="preserve">net </w:t>
      </w:r>
      <w:r>
        <w:rPr>
          <w:rFonts w:ascii="Times New Roman" w:hAnsi="Times New Roman" w:cs="Times New Roman"/>
          <w:b/>
        </w:rPr>
        <w:t xml:space="preserve">power supply expense adjusted for the </w:t>
      </w:r>
      <w:r w:rsidR="00AA1E96">
        <w:rPr>
          <w:rFonts w:ascii="Times New Roman" w:hAnsi="Times New Roman" w:cs="Times New Roman"/>
          <w:b/>
        </w:rPr>
        <w:t xml:space="preserve">proposed </w:t>
      </w:r>
      <w:r>
        <w:rPr>
          <w:rFonts w:ascii="Times New Roman" w:hAnsi="Times New Roman" w:cs="Times New Roman"/>
          <w:b/>
        </w:rPr>
        <w:t xml:space="preserve">Energy Efficiency Load Adjustment </w:t>
      </w:r>
      <w:r w:rsidR="00EA4963">
        <w:rPr>
          <w:rFonts w:ascii="Times New Roman" w:hAnsi="Times New Roman" w:cs="Times New Roman"/>
          <w:b/>
        </w:rPr>
        <w:t>that is expl</w:t>
      </w:r>
      <w:r w:rsidR="00AA1E96">
        <w:rPr>
          <w:rFonts w:ascii="Times New Roman" w:hAnsi="Times New Roman" w:cs="Times New Roman"/>
          <w:b/>
        </w:rPr>
        <w:t>ained</w:t>
      </w:r>
      <w:r>
        <w:rPr>
          <w:rFonts w:ascii="Times New Roman" w:hAnsi="Times New Roman" w:cs="Times New Roman"/>
          <w:b/>
        </w:rPr>
        <w:t xml:space="preserve"> in Mr. Eh</w:t>
      </w:r>
      <w:r w:rsidR="00105104">
        <w:rPr>
          <w:rFonts w:ascii="Times New Roman" w:hAnsi="Times New Roman" w:cs="Times New Roman"/>
          <w:b/>
        </w:rPr>
        <w:t>r</w:t>
      </w:r>
      <w:r>
        <w:rPr>
          <w:rFonts w:ascii="Times New Roman" w:hAnsi="Times New Roman" w:cs="Times New Roman"/>
          <w:b/>
        </w:rPr>
        <w:t>bar’s testimony</w:t>
      </w:r>
      <w:r w:rsidRPr="00BE21E7">
        <w:rPr>
          <w:rFonts w:ascii="Times New Roman" w:hAnsi="Times New Roman" w:cs="Times New Roman"/>
          <w:b/>
        </w:rPr>
        <w:t>?</w:t>
      </w:r>
    </w:p>
    <w:p w:rsidR="00E263B2" w:rsidRDefault="00E263B2" w:rsidP="00E263B2">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The </w:t>
      </w:r>
      <w:r w:rsidR="00AA1E96">
        <w:rPr>
          <w:rFonts w:ascii="Times New Roman" w:hAnsi="Times New Roman" w:cs="Times New Roman"/>
        </w:rPr>
        <w:t xml:space="preserve">power supply </w:t>
      </w:r>
      <w:r w:rsidRPr="00BE21E7">
        <w:rPr>
          <w:rFonts w:ascii="Times New Roman" w:hAnsi="Times New Roman" w:cs="Times New Roman"/>
        </w:rPr>
        <w:t>pro forma</w:t>
      </w:r>
      <w:r w:rsidR="00AA1E96">
        <w:rPr>
          <w:rFonts w:ascii="Times New Roman" w:hAnsi="Times New Roman" w:cs="Times New Roman"/>
        </w:rPr>
        <w:t xml:space="preserve"> incorporates the </w:t>
      </w:r>
      <w:r w:rsidR="0058225F">
        <w:rPr>
          <w:rFonts w:ascii="Times New Roman" w:hAnsi="Times New Roman" w:cs="Times New Roman"/>
        </w:rPr>
        <w:t>reduction in Washington retail sales shown in Table 17 of Mr. Ehrbar’s direct testimony</w:t>
      </w:r>
      <w:r w:rsidR="00EA4963">
        <w:rPr>
          <w:rFonts w:ascii="Times New Roman" w:hAnsi="Times New Roman" w:cs="Times New Roman"/>
        </w:rPr>
        <w:t>,</w:t>
      </w:r>
      <w:r w:rsidR="0058225F">
        <w:rPr>
          <w:rFonts w:ascii="Times New Roman" w:hAnsi="Times New Roman" w:cs="Times New Roman"/>
        </w:rPr>
        <w:t xml:space="preserve"> </w:t>
      </w:r>
      <w:r w:rsidR="008A76B4">
        <w:rPr>
          <w:rFonts w:ascii="Times New Roman" w:hAnsi="Times New Roman" w:cs="Times New Roman"/>
        </w:rPr>
        <w:t xml:space="preserve">which was then grossed up for losses and then divided by Washington’s allocation to create a system load reduction.  The </w:t>
      </w:r>
      <w:r w:rsidR="0058225F">
        <w:rPr>
          <w:rFonts w:ascii="Times New Roman" w:hAnsi="Times New Roman" w:cs="Times New Roman"/>
        </w:rPr>
        <w:t xml:space="preserve">power supply </w:t>
      </w:r>
      <w:r w:rsidR="008A76B4">
        <w:rPr>
          <w:rFonts w:ascii="Times New Roman" w:hAnsi="Times New Roman" w:cs="Times New Roman"/>
        </w:rPr>
        <w:t xml:space="preserve">pro forma was then developed using the lower system load incorporating the </w:t>
      </w:r>
      <w:r w:rsidR="0058225F">
        <w:rPr>
          <w:rFonts w:ascii="Times New Roman" w:hAnsi="Times New Roman" w:cs="Times New Roman"/>
        </w:rPr>
        <w:t>E</w:t>
      </w:r>
      <w:r w:rsidR="008A76B4">
        <w:rPr>
          <w:rFonts w:ascii="Times New Roman" w:hAnsi="Times New Roman" w:cs="Times New Roman"/>
        </w:rPr>
        <w:t xml:space="preserve">nergy </w:t>
      </w:r>
      <w:r w:rsidR="0058225F">
        <w:rPr>
          <w:rFonts w:ascii="Times New Roman" w:hAnsi="Times New Roman" w:cs="Times New Roman"/>
        </w:rPr>
        <w:t>E</w:t>
      </w:r>
      <w:r w:rsidR="008A76B4">
        <w:rPr>
          <w:rFonts w:ascii="Times New Roman" w:hAnsi="Times New Roman" w:cs="Times New Roman"/>
        </w:rPr>
        <w:t xml:space="preserve">fficiency </w:t>
      </w:r>
      <w:r w:rsidR="0058225F">
        <w:rPr>
          <w:rFonts w:ascii="Times New Roman" w:hAnsi="Times New Roman" w:cs="Times New Roman"/>
        </w:rPr>
        <w:t>Load A</w:t>
      </w:r>
      <w:r w:rsidR="00BD5EFD">
        <w:rPr>
          <w:rFonts w:ascii="Times New Roman" w:hAnsi="Times New Roman" w:cs="Times New Roman"/>
        </w:rPr>
        <w:t>djustment</w:t>
      </w:r>
      <w:r w:rsidR="008A76B4">
        <w:rPr>
          <w:rFonts w:ascii="Times New Roman" w:hAnsi="Times New Roman" w:cs="Times New Roman"/>
        </w:rPr>
        <w:t xml:space="preserve">.  </w:t>
      </w:r>
    </w:p>
    <w:p w:rsidR="008A76B4" w:rsidRPr="00BE21E7" w:rsidRDefault="008A76B4" w:rsidP="008A76B4">
      <w:pPr>
        <w:pStyle w:val="TestBody"/>
        <w:tabs>
          <w:tab w:val="num" w:pos="0"/>
        </w:tabs>
        <w:spacing w:line="480" w:lineRule="auto"/>
        <w:ind w:left="0" w:firstLine="720"/>
        <w:rPr>
          <w:rFonts w:ascii="Times New Roman" w:hAnsi="Times New Roman" w:cs="Times New Roman"/>
          <w:b/>
        </w:rPr>
      </w:pPr>
      <w:r>
        <w:rPr>
          <w:rFonts w:ascii="Times New Roman" w:hAnsi="Times New Roman" w:cs="Times New Roman"/>
          <w:b/>
        </w:rPr>
        <w:t>Q.</w:t>
      </w:r>
      <w:r>
        <w:rPr>
          <w:rFonts w:ascii="Times New Roman" w:hAnsi="Times New Roman" w:cs="Times New Roman"/>
          <w:b/>
        </w:rPr>
        <w:tab/>
        <w:t>What power supply expenses are affected using the Energy Efficiency Load Adjustment</w:t>
      </w:r>
      <w:r w:rsidRPr="00BE21E7">
        <w:rPr>
          <w:rFonts w:ascii="Times New Roman" w:hAnsi="Times New Roman" w:cs="Times New Roman"/>
          <w:b/>
        </w:rPr>
        <w:t>?</w:t>
      </w:r>
    </w:p>
    <w:p w:rsidR="00E263B2" w:rsidRPr="00E263B2" w:rsidRDefault="008A76B4" w:rsidP="004C2BF7">
      <w:pPr>
        <w:pStyle w:val="TestBody"/>
        <w:tabs>
          <w:tab w:val="num" w:pos="0"/>
        </w:tabs>
        <w:spacing w:line="480" w:lineRule="auto"/>
        <w:ind w:left="0" w:firstLine="720"/>
        <w:rPr>
          <w:rFonts w:ascii="Times New Roman" w:hAnsi="Times New Roman" w:cs="Times New Roman"/>
          <w:b/>
          <w:u w:val="single"/>
        </w:rPr>
      </w:pPr>
      <w:r w:rsidRPr="00BE21E7">
        <w:rPr>
          <w:rFonts w:ascii="Times New Roman" w:hAnsi="Times New Roman" w:cs="Times New Roman"/>
        </w:rPr>
        <w:t>A.</w:t>
      </w:r>
      <w:r w:rsidRPr="00BE21E7">
        <w:rPr>
          <w:rFonts w:ascii="Times New Roman" w:hAnsi="Times New Roman" w:cs="Times New Roman"/>
        </w:rPr>
        <w:tab/>
        <w:t xml:space="preserve">The </w:t>
      </w:r>
      <w:r>
        <w:rPr>
          <w:rFonts w:ascii="Times New Roman" w:hAnsi="Times New Roman" w:cs="Times New Roman"/>
        </w:rPr>
        <w:t xml:space="preserve">only </w:t>
      </w:r>
      <w:r w:rsidR="00EA4963">
        <w:rPr>
          <w:rFonts w:ascii="Times New Roman" w:hAnsi="Times New Roman" w:cs="Times New Roman"/>
        </w:rPr>
        <w:t>a</w:t>
      </w:r>
      <w:r>
        <w:rPr>
          <w:rFonts w:ascii="Times New Roman" w:hAnsi="Times New Roman" w:cs="Times New Roman"/>
        </w:rPr>
        <w:t xml:space="preserve">ccounts affected in the power supply </w:t>
      </w:r>
      <w:r w:rsidRPr="00BE21E7">
        <w:rPr>
          <w:rFonts w:ascii="Times New Roman" w:hAnsi="Times New Roman" w:cs="Times New Roman"/>
        </w:rPr>
        <w:t xml:space="preserve">pro forma </w:t>
      </w:r>
      <w:r>
        <w:rPr>
          <w:rFonts w:ascii="Times New Roman" w:hAnsi="Times New Roman" w:cs="Times New Roman"/>
        </w:rPr>
        <w:t xml:space="preserve">for </w:t>
      </w:r>
      <w:r w:rsidR="00EA4963">
        <w:rPr>
          <w:rFonts w:ascii="Times New Roman" w:hAnsi="Times New Roman" w:cs="Times New Roman"/>
        </w:rPr>
        <w:t>the Energy Efficiency Load Adjustment</w:t>
      </w:r>
      <w:r>
        <w:rPr>
          <w:rFonts w:ascii="Times New Roman" w:hAnsi="Times New Roman" w:cs="Times New Roman"/>
        </w:rPr>
        <w:t xml:space="preserve"> are Account 555</w:t>
      </w:r>
      <w:r w:rsidR="005E439A">
        <w:rPr>
          <w:rFonts w:ascii="Times New Roman" w:hAnsi="Times New Roman" w:cs="Times New Roman"/>
        </w:rPr>
        <w:t>,</w:t>
      </w:r>
      <w:r>
        <w:rPr>
          <w:rFonts w:ascii="Times New Roman" w:hAnsi="Times New Roman" w:cs="Times New Roman"/>
        </w:rPr>
        <w:t xml:space="preserve"> Purchased Power and Account 447</w:t>
      </w:r>
      <w:r w:rsidR="005E439A">
        <w:rPr>
          <w:rFonts w:ascii="Times New Roman" w:hAnsi="Times New Roman" w:cs="Times New Roman"/>
        </w:rPr>
        <w:t>,</w:t>
      </w:r>
      <w:r>
        <w:rPr>
          <w:rFonts w:ascii="Times New Roman" w:hAnsi="Times New Roman" w:cs="Times New Roman"/>
        </w:rPr>
        <w:t xml:space="preserve"> Sales for Resale.  </w:t>
      </w:r>
      <w:r w:rsidR="004C2BF7">
        <w:rPr>
          <w:rFonts w:ascii="Times New Roman" w:hAnsi="Times New Roman" w:cs="Times New Roman"/>
        </w:rPr>
        <w:t>Purchased power expense decreased by $3,912,000 on a system bas</w:t>
      </w:r>
      <w:r w:rsidR="00A402FE">
        <w:rPr>
          <w:rFonts w:ascii="Times New Roman" w:hAnsi="Times New Roman" w:cs="Times New Roman"/>
        </w:rPr>
        <w:t>i</w:t>
      </w:r>
      <w:r w:rsidR="004C2BF7">
        <w:rPr>
          <w:rFonts w:ascii="Times New Roman" w:hAnsi="Times New Roman" w:cs="Times New Roman"/>
        </w:rPr>
        <w:t>s ($2,549</w:t>
      </w:r>
      <w:r w:rsidR="00A402FE">
        <w:rPr>
          <w:rFonts w:ascii="Times New Roman" w:hAnsi="Times New Roman" w:cs="Times New Roman"/>
        </w:rPr>
        <w:t>,000</w:t>
      </w:r>
      <w:r w:rsidR="004C2BF7">
        <w:rPr>
          <w:rFonts w:ascii="Times New Roman" w:hAnsi="Times New Roman" w:cs="Times New Roman"/>
        </w:rPr>
        <w:t xml:space="preserve"> Washington allocation) and Sales for Resale increased by $4,876,000 on a system bas</w:t>
      </w:r>
      <w:r w:rsidR="00A402FE">
        <w:rPr>
          <w:rFonts w:ascii="Times New Roman" w:hAnsi="Times New Roman" w:cs="Times New Roman"/>
        </w:rPr>
        <w:t>i</w:t>
      </w:r>
      <w:r w:rsidR="004C2BF7">
        <w:rPr>
          <w:rFonts w:ascii="Times New Roman" w:hAnsi="Times New Roman" w:cs="Times New Roman"/>
        </w:rPr>
        <w:t>s ($3,178</w:t>
      </w:r>
      <w:r w:rsidR="00A402FE">
        <w:rPr>
          <w:rFonts w:ascii="Times New Roman" w:hAnsi="Times New Roman" w:cs="Times New Roman"/>
        </w:rPr>
        <w:t>,000</w:t>
      </w:r>
      <w:r w:rsidR="004C2BF7">
        <w:rPr>
          <w:rFonts w:ascii="Times New Roman" w:hAnsi="Times New Roman" w:cs="Times New Roman"/>
        </w:rPr>
        <w:t xml:space="preserve"> Washington allocation).  All other power supply accounts are unaffected by the </w:t>
      </w:r>
      <w:r w:rsidR="0058225F">
        <w:rPr>
          <w:rFonts w:ascii="Times New Roman" w:hAnsi="Times New Roman" w:cs="Times New Roman"/>
        </w:rPr>
        <w:lastRenderedPageBreak/>
        <w:t>E</w:t>
      </w:r>
      <w:r w:rsidR="004C2BF7">
        <w:rPr>
          <w:rFonts w:ascii="Times New Roman" w:hAnsi="Times New Roman" w:cs="Times New Roman"/>
        </w:rPr>
        <w:t xml:space="preserve">nergy </w:t>
      </w:r>
      <w:r w:rsidR="0058225F">
        <w:rPr>
          <w:rFonts w:ascii="Times New Roman" w:hAnsi="Times New Roman" w:cs="Times New Roman"/>
        </w:rPr>
        <w:t>E</w:t>
      </w:r>
      <w:r w:rsidR="004C2BF7">
        <w:rPr>
          <w:rFonts w:ascii="Times New Roman" w:hAnsi="Times New Roman" w:cs="Times New Roman"/>
        </w:rPr>
        <w:t xml:space="preserve">fficiency </w:t>
      </w:r>
      <w:r w:rsidR="0058225F">
        <w:rPr>
          <w:rFonts w:ascii="Times New Roman" w:hAnsi="Times New Roman" w:cs="Times New Roman"/>
        </w:rPr>
        <w:t>L</w:t>
      </w:r>
      <w:r w:rsidR="004C2BF7">
        <w:rPr>
          <w:rFonts w:ascii="Times New Roman" w:hAnsi="Times New Roman" w:cs="Times New Roman"/>
        </w:rPr>
        <w:t xml:space="preserve">oad </w:t>
      </w:r>
      <w:r w:rsidR="0058225F">
        <w:rPr>
          <w:rFonts w:ascii="Times New Roman" w:hAnsi="Times New Roman" w:cs="Times New Roman"/>
        </w:rPr>
        <w:t>Adjustment</w:t>
      </w:r>
      <w:r w:rsidR="004C2BF7">
        <w:rPr>
          <w:rFonts w:ascii="Times New Roman" w:hAnsi="Times New Roman" w:cs="Times New Roman"/>
        </w:rPr>
        <w:t>.</w:t>
      </w:r>
      <w:r w:rsidR="0065505F">
        <w:rPr>
          <w:rFonts w:ascii="Times New Roman" w:hAnsi="Times New Roman" w:cs="Times New Roman"/>
        </w:rPr>
        <w:t xml:space="preserve">  Exhib</w:t>
      </w:r>
      <w:r w:rsidR="0012703B">
        <w:rPr>
          <w:rFonts w:ascii="Times New Roman" w:hAnsi="Times New Roman" w:cs="Times New Roman"/>
        </w:rPr>
        <w:t>i</w:t>
      </w:r>
      <w:r w:rsidR="0065505F">
        <w:rPr>
          <w:rFonts w:ascii="Times New Roman" w:hAnsi="Times New Roman" w:cs="Times New Roman"/>
        </w:rPr>
        <w:t>t No.__</w:t>
      </w:r>
      <w:r w:rsidR="0012703B">
        <w:rPr>
          <w:rFonts w:ascii="Times New Roman" w:hAnsi="Times New Roman" w:cs="Times New Roman"/>
        </w:rPr>
        <w:t>_ (</w:t>
      </w:r>
      <w:r w:rsidR="0065505F">
        <w:rPr>
          <w:rFonts w:ascii="Times New Roman" w:hAnsi="Times New Roman" w:cs="Times New Roman"/>
        </w:rPr>
        <w:t xml:space="preserve">WGJ-6) </w:t>
      </w:r>
      <w:r w:rsidR="00EA4963">
        <w:rPr>
          <w:rFonts w:ascii="Times New Roman" w:hAnsi="Times New Roman" w:cs="Times New Roman"/>
        </w:rPr>
        <w:t xml:space="preserve">is provided for information purposes and </w:t>
      </w:r>
      <w:r w:rsidR="0065505F">
        <w:rPr>
          <w:rFonts w:ascii="Times New Roman" w:hAnsi="Times New Roman" w:cs="Times New Roman"/>
        </w:rPr>
        <w:t xml:space="preserve">shows the power supply pro forma excluding the Energy Efficiency Load Adjustment.  The difference between net power supply costs in this </w:t>
      </w:r>
      <w:r w:rsidR="00A402FE">
        <w:rPr>
          <w:rFonts w:ascii="Times New Roman" w:hAnsi="Times New Roman" w:cs="Times New Roman"/>
        </w:rPr>
        <w:t>E</w:t>
      </w:r>
      <w:r w:rsidR="0065505F">
        <w:rPr>
          <w:rFonts w:ascii="Times New Roman" w:hAnsi="Times New Roman" w:cs="Times New Roman"/>
        </w:rPr>
        <w:t>xhibit and Exhibit No.__</w:t>
      </w:r>
      <w:r w:rsidR="0012703B">
        <w:rPr>
          <w:rFonts w:ascii="Times New Roman" w:hAnsi="Times New Roman" w:cs="Times New Roman"/>
        </w:rPr>
        <w:t>_ (</w:t>
      </w:r>
      <w:r w:rsidR="0065505F">
        <w:rPr>
          <w:rFonts w:ascii="Times New Roman" w:hAnsi="Times New Roman" w:cs="Times New Roman"/>
        </w:rPr>
        <w:t xml:space="preserve">WGJ-2) reflects the change in net power supply </w:t>
      </w:r>
      <w:r w:rsidR="0012703B">
        <w:rPr>
          <w:rFonts w:ascii="Times New Roman" w:hAnsi="Times New Roman" w:cs="Times New Roman"/>
        </w:rPr>
        <w:t>costs associated</w:t>
      </w:r>
      <w:r w:rsidR="0065505F">
        <w:rPr>
          <w:rFonts w:ascii="Times New Roman" w:hAnsi="Times New Roman" w:cs="Times New Roman"/>
        </w:rPr>
        <w:t xml:space="preserve"> with the Energy Efficiency Load Adjustment.</w:t>
      </w:r>
    </w:p>
    <w:p w:rsidR="00BE21E7" w:rsidRPr="00BE21E7" w:rsidRDefault="00BE21E7" w:rsidP="00BE21E7">
      <w:pPr>
        <w:pStyle w:val="TestBody"/>
        <w:tabs>
          <w:tab w:val="num" w:pos="0"/>
        </w:tabs>
        <w:spacing w:line="480" w:lineRule="auto"/>
        <w:ind w:left="0" w:firstLine="0"/>
        <w:rPr>
          <w:rFonts w:ascii="Times New Roman" w:hAnsi="Times New Roman" w:cs="Times New Roman"/>
          <w:b/>
          <w:bCs/>
          <w:u w:val="single"/>
        </w:rPr>
      </w:pPr>
      <w:r w:rsidRPr="00BE21E7">
        <w:rPr>
          <w:rFonts w:ascii="Times New Roman" w:hAnsi="Times New Roman" w:cs="Times New Roman"/>
          <w:b/>
          <w:bCs/>
          <w:u w:val="single"/>
        </w:rPr>
        <w:t>Thermal Fuel Expense</w:t>
      </w:r>
    </w:p>
    <w:p w:rsidR="00BE21E7" w:rsidRPr="00BE21E7" w:rsidRDefault="00BE21E7" w:rsidP="00BE21E7">
      <w:pPr>
        <w:pStyle w:val="TestBody"/>
        <w:numPr>
          <w:ilvl w:val="0"/>
          <w:numId w:val="4"/>
        </w:numPr>
        <w:tabs>
          <w:tab w:val="clear" w:pos="1440"/>
          <w:tab w:val="num" w:pos="0"/>
        </w:tabs>
        <w:spacing w:line="480" w:lineRule="auto"/>
        <w:ind w:left="0" w:firstLine="720"/>
        <w:rPr>
          <w:rFonts w:ascii="Times New Roman" w:hAnsi="Times New Roman" w:cs="Times New Roman"/>
          <w:b/>
          <w:bCs/>
        </w:rPr>
      </w:pPr>
      <w:r w:rsidRPr="00BE21E7">
        <w:rPr>
          <w:rFonts w:ascii="Times New Roman" w:hAnsi="Times New Roman" w:cs="Times New Roman"/>
          <w:b/>
          <w:bCs/>
        </w:rPr>
        <w:t>How are thermal fuel expenses determined in the pro forma?</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Thermal fuel expenses include Colstrip coal costs, Kettle Falls</w:t>
      </w:r>
      <w:r w:rsidR="0044617E">
        <w:rPr>
          <w:rFonts w:ascii="Times New Roman" w:hAnsi="Times New Roman" w:cs="Times New Roman"/>
        </w:rPr>
        <w:t xml:space="preserve"> wood-</w:t>
      </w:r>
      <w:r w:rsidRPr="00BE21E7">
        <w:rPr>
          <w:rFonts w:ascii="Times New Roman" w:hAnsi="Times New Roman" w:cs="Times New Roman"/>
        </w:rPr>
        <w:t>waste costs and natural gas expense for the Company’s gas-fired resources including Coyote Springs 2,</w:t>
      </w:r>
      <w:r w:rsidR="009C2006">
        <w:rPr>
          <w:rFonts w:ascii="Times New Roman" w:hAnsi="Times New Roman" w:cs="Times New Roman"/>
        </w:rPr>
        <w:t xml:space="preserve"> </w:t>
      </w:r>
      <w:smartTag w:uri="urn:schemas-microsoft-com:office:smarttags" w:element="City">
        <w:r w:rsidR="009C2006">
          <w:rPr>
            <w:rFonts w:ascii="Times New Roman" w:hAnsi="Times New Roman" w:cs="Times New Roman"/>
          </w:rPr>
          <w:t>Lancaster</w:t>
        </w:r>
      </w:smartTag>
      <w:r w:rsidR="009C2006">
        <w:rPr>
          <w:rFonts w:ascii="Times New Roman" w:hAnsi="Times New Roman" w:cs="Times New Roman"/>
        </w:rPr>
        <w:t>,</w:t>
      </w:r>
      <w:r w:rsidRPr="00BE21E7">
        <w:rPr>
          <w:rFonts w:ascii="Times New Roman" w:hAnsi="Times New Roman" w:cs="Times New Roman"/>
        </w:rPr>
        <w:t xml:space="preserve"> Rathdrum, Northeast, </w:t>
      </w:r>
      <w:smartTag w:uri="urn:schemas-microsoft-com:office:smarttags" w:element="PlaceName">
        <w:r w:rsidRPr="00BE21E7">
          <w:rPr>
            <w:rFonts w:ascii="Times New Roman" w:hAnsi="Times New Roman" w:cs="Times New Roman"/>
          </w:rPr>
          <w:t>Boulder</w:t>
        </w:r>
      </w:smartTag>
      <w:r w:rsidRPr="00BE21E7">
        <w:rPr>
          <w:rFonts w:ascii="Times New Roman" w:hAnsi="Times New Roman" w:cs="Times New Roman"/>
        </w:rPr>
        <w:t xml:space="preserve"> </w:t>
      </w:r>
      <w:smartTag w:uri="urn:schemas-microsoft-com:office:smarttags" w:element="PlaceType">
        <w:r w:rsidRPr="00BE21E7">
          <w:rPr>
            <w:rFonts w:ascii="Times New Roman" w:hAnsi="Times New Roman" w:cs="Times New Roman"/>
          </w:rPr>
          <w:t>Park</w:t>
        </w:r>
      </w:smartTag>
      <w:r w:rsidRPr="00BE21E7">
        <w:rPr>
          <w:rFonts w:ascii="Times New Roman" w:hAnsi="Times New Roman" w:cs="Times New Roman"/>
        </w:rPr>
        <w:t xml:space="preserve">, and the </w:t>
      </w:r>
      <w:smartTag w:uri="urn:schemas-microsoft-com:office:smarttags" w:element="place">
        <w:smartTag w:uri="urn:schemas-microsoft-com:office:smarttags" w:element="PlaceName">
          <w:r w:rsidRPr="00BE21E7">
            <w:rPr>
              <w:rFonts w:ascii="Times New Roman" w:hAnsi="Times New Roman" w:cs="Times New Roman"/>
            </w:rPr>
            <w:t>Kettle</w:t>
          </w:r>
        </w:smartTag>
        <w:r w:rsidRPr="00BE21E7">
          <w:rPr>
            <w:rFonts w:ascii="Times New Roman" w:hAnsi="Times New Roman" w:cs="Times New Roman"/>
          </w:rPr>
          <w:t xml:space="preserve"> </w:t>
        </w:r>
        <w:smartTag w:uri="urn:schemas-microsoft-com:office:smarttags" w:element="PlaceType">
          <w:r w:rsidRPr="00BE21E7">
            <w:rPr>
              <w:rFonts w:ascii="Times New Roman" w:hAnsi="Times New Roman" w:cs="Times New Roman"/>
            </w:rPr>
            <w:t>Falls</w:t>
          </w:r>
        </w:smartTag>
      </w:smartTag>
      <w:r w:rsidRPr="00BE21E7">
        <w:rPr>
          <w:rFonts w:ascii="Times New Roman" w:hAnsi="Times New Roman" w:cs="Times New Roman"/>
        </w:rPr>
        <w:t xml:space="preserve"> combustion turbine.  Unit coal costs at Colstrip are based on the long-term coal supply and transportation agreements.  Unit wood fuel costs at </w:t>
      </w:r>
      <w:smartTag w:uri="urn:schemas-microsoft-com:office:smarttags" w:element="place">
        <w:smartTag w:uri="urn:schemas-microsoft-com:office:smarttags" w:element="PlaceName">
          <w:r w:rsidRPr="00BE21E7">
            <w:rPr>
              <w:rFonts w:ascii="Times New Roman" w:hAnsi="Times New Roman" w:cs="Times New Roman"/>
            </w:rPr>
            <w:t>Kettle</w:t>
          </w:r>
        </w:smartTag>
        <w:r w:rsidRPr="00BE21E7">
          <w:rPr>
            <w:rFonts w:ascii="Times New Roman" w:hAnsi="Times New Roman" w:cs="Times New Roman"/>
          </w:rPr>
          <w:t xml:space="preserve"> </w:t>
        </w:r>
        <w:smartTag w:uri="urn:schemas-microsoft-com:office:smarttags" w:element="PlaceType">
          <w:r w:rsidRPr="00BE21E7">
            <w:rPr>
              <w:rFonts w:ascii="Times New Roman" w:hAnsi="Times New Roman" w:cs="Times New Roman"/>
            </w:rPr>
            <w:t>Falls</w:t>
          </w:r>
        </w:smartTag>
      </w:smartTag>
      <w:r w:rsidRPr="00BE21E7">
        <w:rPr>
          <w:rFonts w:ascii="Times New Roman" w:hAnsi="Times New Roman" w:cs="Times New Roman"/>
        </w:rPr>
        <w:t xml:space="preserve"> are based on multiple shorter-term contracts with fuel suppliers and inventory.  Total fuel costs for each plant are based on the unit fuel cost and the plant’s level of generation as determined by the </w:t>
      </w:r>
      <w:smartTag w:uri="urn:schemas-microsoft-com:office:smarttags" w:element="City">
        <w:smartTag w:uri="urn:schemas-microsoft-com:office:smarttags" w:element="place">
          <w:r w:rsidRPr="00BE21E7">
            <w:rPr>
              <w:rFonts w:ascii="Times New Roman" w:hAnsi="Times New Roman" w:cs="Times New Roman"/>
            </w:rPr>
            <w:t>AURORA</w:t>
          </w:r>
        </w:smartTag>
      </w:smartTag>
      <w:r w:rsidRPr="00BE21E7">
        <w:rPr>
          <w:rFonts w:ascii="Times New Roman" w:hAnsi="Times New Roman" w:cs="Times New Roman"/>
        </w:rPr>
        <w:t xml:space="preserve"> model.  </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 xml:space="preserve">Exhibit No. </w:t>
      </w:r>
      <w:r w:rsidR="00A55DD3">
        <w:rPr>
          <w:rFonts w:ascii="Times New Roman" w:hAnsi="Times New Roman" w:cs="Times New Roman"/>
        </w:rPr>
        <w:t>__</w:t>
      </w:r>
      <w:r w:rsidR="0012703B">
        <w:rPr>
          <w:rFonts w:ascii="Times New Roman" w:hAnsi="Times New Roman" w:cs="Times New Roman"/>
        </w:rPr>
        <w:t>_</w:t>
      </w:r>
      <w:r w:rsidR="0012703B" w:rsidRPr="00BE21E7">
        <w:rPr>
          <w:rFonts w:ascii="Times New Roman" w:hAnsi="Times New Roman" w:cs="Times New Roman"/>
        </w:rPr>
        <w:t xml:space="preserve"> (</w:t>
      </w:r>
      <w:r w:rsidRPr="00BE21E7">
        <w:rPr>
          <w:rFonts w:ascii="Times New Roman" w:hAnsi="Times New Roman" w:cs="Times New Roman"/>
        </w:rPr>
        <w:t>WGJ-</w:t>
      </w:r>
      <w:r w:rsidR="00A402FE">
        <w:rPr>
          <w:rFonts w:ascii="Times New Roman" w:hAnsi="Times New Roman" w:cs="Times New Roman"/>
        </w:rPr>
        <w:t>4</w:t>
      </w:r>
      <w:r w:rsidRPr="00BE21E7">
        <w:rPr>
          <w:rFonts w:ascii="Times New Roman" w:hAnsi="Times New Roman" w:cs="Times New Roman"/>
        </w:rPr>
        <w:t xml:space="preserve">) shows the pro forma fuel costs by month for each plant.  Mr. Kalich provides details and supporting workpapers regarding the </w:t>
      </w:r>
      <w:r w:rsidR="007A6DE3">
        <w:rPr>
          <w:rFonts w:ascii="Times New Roman" w:hAnsi="Times New Roman" w:cs="Times New Roman"/>
        </w:rPr>
        <w:t>level of generation</w:t>
      </w:r>
      <w:r w:rsidRPr="00BE21E7">
        <w:rPr>
          <w:rFonts w:ascii="Times New Roman" w:hAnsi="Times New Roman" w:cs="Times New Roman"/>
        </w:rPr>
        <w:t xml:space="preserve"> f</w:t>
      </w:r>
      <w:r w:rsidR="007A6DE3">
        <w:rPr>
          <w:rFonts w:ascii="Times New Roman" w:hAnsi="Times New Roman" w:cs="Times New Roman"/>
        </w:rPr>
        <w:t xml:space="preserve">or the Company’s thermal plants, and the fuel cost for </w:t>
      </w:r>
      <w:r w:rsidR="003D15A9">
        <w:rPr>
          <w:rFonts w:ascii="Times New Roman" w:hAnsi="Times New Roman" w:cs="Times New Roman"/>
        </w:rPr>
        <w:t>thermal and</w:t>
      </w:r>
      <w:r w:rsidR="007A6DE3">
        <w:rPr>
          <w:rFonts w:ascii="Times New Roman" w:hAnsi="Times New Roman" w:cs="Times New Roman"/>
        </w:rPr>
        <w:t xml:space="preserve"> natural gas-fired plants.</w:t>
      </w:r>
    </w:p>
    <w:p w:rsidR="00BE21E7" w:rsidRPr="00BE21E7" w:rsidRDefault="00BE21E7" w:rsidP="00BE21E7">
      <w:pPr>
        <w:pStyle w:val="TestBody"/>
        <w:tabs>
          <w:tab w:val="num" w:pos="0"/>
        </w:tabs>
        <w:spacing w:line="480" w:lineRule="auto"/>
        <w:ind w:left="0" w:firstLine="0"/>
        <w:rPr>
          <w:rFonts w:ascii="Times New Roman" w:hAnsi="Times New Roman" w:cs="Times New Roman"/>
          <w:b/>
          <w:bCs/>
          <w:u w:val="single"/>
        </w:rPr>
      </w:pPr>
      <w:r w:rsidRPr="00BE21E7">
        <w:rPr>
          <w:rFonts w:ascii="Times New Roman" w:hAnsi="Times New Roman" w:cs="Times New Roman"/>
          <w:b/>
          <w:bCs/>
          <w:u w:val="single"/>
        </w:rPr>
        <w:t>Transmission Expense</w:t>
      </w:r>
    </w:p>
    <w:p w:rsidR="00BE21E7" w:rsidRPr="00BE21E7" w:rsidRDefault="009C2006" w:rsidP="00BE21E7">
      <w:pPr>
        <w:pStyle w:val="TestBody"/>
        <w:numPr>
          <w:ilvl w:val="0"/>
          <w:numId w:val="6"/>
        </w:numPr>
        <w:tabs>
          <w:tab w:val="num" w:pos="1260"/>
        </w:tabs>
        <w:spacing w:line="480" w:lineRule="auto"/>
        <w:ind w:left="0" w:firstLine="720"/>
        <w:rPr>
          <w:rFonts w:ascii="Times New Roman" w:hAnsi="Times New Roman" w:cs="Times New Roman"/>
          <w:b/>
          <w:bCs/>
        </w:rPr>
      </w:pPr>
      <w:r>
        <w:rPr>
          <w:rFonts w:ascii="Times New Roman" w:hAnsi="Times New Roman" w:cs="Times New Roman"/>
          <w:b/>
          <w:bCs/>
        </w:rPr>
        <w:tab/>
      </w:r>
      <w:r w:rsidR="00BE21E7" w:rsidRPr="00BE21E7">
        <w:rPr>
          <w:rFonts w:ascii="Times New Roman" w:hAnsi="Times New Roman" w:cs="Times New Roman"/>
          <w:b/>
          <w:bCs/>
        </w:rPr>
        <w:t>What changes in transmission expense are in the pro forma comp</w:t>
      </w:r>
      <w:r w:rsidR="007C4511">
        <w:rPr>
          <w:rFonts w:ascii="Times New Roman" w:hAnsi="Times New Roman" w:cs="Times New Roman"/>
          <w:b/>
          <w:bCs/>
        </w:rPr>
        <w:t xml:space="preserve">ared to the expense in current </w:t>
      </w:r>
      <w:r w:rsidR="00C026FD">
        <w:rPr>
          <w:rFonts w:ascii="Times New Roman" w:hAnsi="Times New Roman" w:cs="Times New Roman"/>
          <w:b/>
          <w:bCs/>
        </w:rPr>
        <w:t>base rates</w:t>
      </w:r>
      <w:r w:rsidR="00BE21E7" w:rsidRPr="00BE21E7">
        <w:rPr>
          <w:rFonts w:ascii="Times New Roman" w:hAnsi="Times New Roman" w:cs="Times New Roman"/>
          <w:b/>
          <w:bCs/>
        </w:rPr>
        <w:t>?</w:t>
      </w:r>
    </w:p>
    <w:p w:rsidR="00BE21E7" w:rsidRPr="00BE21E7" w:rsidRDefault="009C2006" w:rsidP="00BE21E7">
      <w:pPr>
        <w:pStyle w:val="TestBody"/>
        <w:spacing w:line="480" w:lineRule="auto"/>
        <w:ind w:left="0"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7C4511">
        <w:rPr>
          <w:rFonts w:ascii="Times New Roman" w:hAnsi="Times New Roman" w:cs="Times New Roman"/>
        </w:rPr>
        <w:t xml:space="preserve">The </w:t>
      </w:r>
      <w:r w:rsidR="00095636">
        <w:rPr>
          <w:rFonts w:ascii="Times New Roman" w:hAnsi="Times New Roman" w:cs="Times New Roman"/>
        </w:rPr>
        <w:t xml:space="preserve">only change in transmission expense is the elimination of the Black Creek wheeling expense since that </w:t>
      </w:r>
      <w:r w:rsidR="00A745AE">
        <w:rPr>
          <w:rFonts w:ascii="Times New Roman" w:hAnsi="Times New Roman" w:cs="Times New Roman"/>
        </w:rPr>
        <w:t>contract ended March 25, 2011</w:t>
      </w:r>
      <w:r w:rsidR="00BE21E7" w:rsidRPr="00BE21E7">
        <w:rPr>
          <w:rFonts w:ascii="Times New Roman" w:hAnsi="Times New Roman" w:cs="Times New Roman"/>
        </w:rPr>
        <w:t>.</w:t>
      </w:r>
    </w:p>
    <w:p w:rsidR="00BE21E7" w:rsidRPr="00BE21E7" w:rsidRDefault="00BE21E7" w:rsidP="00BE21E7">
      <w:pPr>
        <w:pStyle w:val="TestBody"/>
        <w:tabs>
          <w:tab w:val="num" w:pos="0"/>
          <w:tab w:val="num" w:pos="720"/>
        </w:tabs>
        <w:spacing w:line="480" w:lineRule="auto"/>
        <w:ind w:left="0" w:firstLine="0"/>
        <w:jc w:val="center"/>
        <w:rPr>
          <w:rFonts w:ascii="Times New Roman" w:hAnsi="Times New Roman" w:cs="Times New Roman"/>
          <w:b/>
          <w:bCs/>
          <w:u w:val="single"/>
        </w:rPr>
      </w:pPr>
      <w:r w:rsidRPr="00BE21E7">
        <w:rPr>
          <w:rFonts w:ascii="Times New Roman" w:hAnsi="Times New Roman" w:cs="Times New Roman"/>
          <w:b/>
          <w:bCs/>
          <w:u w:val="single"/>
        </w:rPr>
        <w:lastRenderedPageBreak/>
        <w:t>IV.</w:t>
      </w:r>
      <w:r w:rsidRPr="00BE21E7">
        <w:rPr>
          <w:rFonts w:ascii="Times New Roman" w:hAnsi="Times New Roman" w:cs="Times New Roman"/>
          <w:b/>
          <w:bCs/>
          <w:u w:val="single"/>
        </w:rPr>
        <w:tab/>
        <w:t>ERM CALCULATIONS</w:t>
      </w:r>
    </w:p>
    <w:p w:rsidR="00BE21E7" w:rsidRPr="00BE21E7" w:rsidRDefault="00BE21E7" w:rsidP="00BE21E7">
      <w:pPr>
        <w:pStyle w:val="BodyText"/>
        <w:tabs>
          <w:tab w:val="num" w:pos="0"/>
        </w:tabs>
        <w:spacing w:line="480" w:lineRule="auto"/>
        <w:jc w:val="both"/>
        <w:rPr>
          <w:bCs w:val="0"/>
          <w:u w:val="single"/>
        </w:rPr>
      </w:pPr>
      <w:r w:rsidRPr="00BE21E7">
        <w:rPr>
          <w:bCs w:val="0"/>
          <w:u w:val="single"/>
        </w:rPr>
        <w:t>New Authorized Power Supply and Transmission Expense</w:t>
      </w:r>
    </w:p>
    <w:p w:rsidR="00BE21E7" w:rsidRPr="00BE21E7" w:rsidRDefault="00BE21E7" w:rsidP="00BE21E7">
      <w:pPr>
        <w:pStyle w:val="BodyText"/>
        <w:numPr>
          <w:ilvl w:val="0"/>
          <w:numId w:val="7"/>
        </w:numPr>
        <w:tabs>
          <w:tab w:val="num" w:pos="0"/>
        </w:tabs>
        <w:spacing w:line="480" w:lineRule="auto"/>
        <w:ind w:left="0" w:firstLine="720"/>
        <w:jc w:val="both"/>
      </w:pPr>
      <w:r w:rsidRPr="00BE21E7">
        <w:t>What is the authorized power supply expense and revenue proposed by the Company for the ERM?</w:t>
      </w:r>
    </w:p>
    <w:p w:rsidR="00BE21E7" w:rsidRPr="00BE21E7" w:rsidRDefault="00BE21E7" w:rsidP="00BE21E7">
      <w:pPr>
        <w:pStyle w:val="BodyText"/>
        <w:tabs>
          <w:tab w:val="num" w:pos="0"/>
        </w:tabs>
        <w:spacing w:line="480" w:lineRule="auto"/>
        <w:ind w:firstLine="720"/>
        <w:jc w:val="both"/>
        <w:rPr>
          <w:b w:val="0"/>
          <w:bCs w:val="0"/>
        </w:rPr>
      </w:pPr>
      <w:r w:rsidRPr="00BE21E7">
        <w:rPr>
          <w:b w:val="0"/>
          <w:bCs w:val="0"/>
        </w:rPr>
        <w:t>A.</w:t>
      </w:r>
      <w:r w:rsidRPr="00BE21E7">
        <w:tab/>
      </w:r>
      <w:r w:rsidRPr="00BE21E7">
        <w:rPr>
          <w:b w:val="0"/>
          <w:bCs w:val="0"/>
        </w:rPr>
        <w:t>The proposed authorized level of annual system power supply expense</w:t>
      </w:r>
      <w:r w:rsidR="00A745AE">
        <w:rPr>
          <w:b w:val="0"/>
          <w:bCs w:val="0"/>
        </w:rPr>
        <w:t xml:space="preserve"> </w:t>
      </w:r>
      <w:r w:rsidRPr="00BE21E7">
        <w:rPr>
          <w:b w:val="0"/>
          <w:bCs w:val="0"/>
        </w:rPr>
        <w:t xml:space="preserve">is </w:t>
      </w:r>
      <w:r w:rsidRPr="007F462F">
        <w:rPr>
          <w:b w:val="0"/>
          <w:bCs w:val="0"/>
        </w:rPr>
        <w:t>$</w:t>
      </w:r>
      <w:r w:rsidR="007F462F">
        <w:rPr>
          <w:b w:val="0"/>
          <w:bCs w:val="0"/>
        </w:rPr>
        <w:t>1</w:t>
      </w:r>
      <w:r w:rsidR="00105104">
        <w:rPr>
          <w:b w:val="0"/>
          <w:bCs w:val="0"/>
        </w:rPr>
        <w:t>89</w:t>
      </w:r>
      <w:r w:rsidR="007F462F">
        <w:rPr>
          <w:b w:val="0"/>
          <w:bCs w:val="0"/>
        </w:rPr>
        <w:t>,</w:t>
      </w:r>
      <w:r w:rsidR="00105104">
        <w:rPr>
          <w:b w:val="0"/>
          <w:bCs w:val="0"/>
        </w:rPr>
        <w:t>516</w:t>
      </w:r>
      <w:r w:rsidR="007F462F">
        <w:rPr>
          <w:b w:val="0"/>
          <w:bCs w:val="0"/>
        </w:rPr>
        <w:t>,</w:t>
      </w:r>
      <w:r w:rsidR="002F6EB0">
        <w:rPr>
          <w:b w:val="0"/>
          <w:bCs w:val="0"/>
        </w:rPr>
        <w:t>428</w:t>
      </w:r>
      <w:r w:rsidRPr="00BE21E7">
        <w:rPr>
          <w:b w:val="0"/>
          <w:bCs w:val="0"/>
        </w:rPr>
        <w:t>.  This is the sum of Accounts 555 (Purchased Power), 501 (Thermal Fuel), 547 (Fuel), less Account 447 (</w:t>
      </w:r>
      <w:smartTag w:uri="urn:schemas-microsoft-com:office:smarttags" w:element="City">
        <w:smartTag w:uri="urn:schemas-microsoft-com:office:smarttags" w:element="place">
          <w:r w:rsidRPr="00BE21E7">
            <w:rPr>
              <w:b w:val="0"/>
              <w:bCs w:val="0"/>
            </w:rPr>
            <w:t>Sale</w:t>
          </w:r>
        </w:smartTag>
      </w:smartTag>
      <w:r w:rsidRPr="00BE21E7">
        <w:rPr>
          <w:b w:val="0"/>
          <w:bCs w:val="0"/>
        </w:rPr>
        <w:t xml:space="preserve"> for Resale).  The proposed level of Transmission Expense is </w:t>
      </w:r>
      <w:r w:rsidRPr="007F462F">
        <w:rPr>
          <w:b w:val="0"/>
          <w:bCs w:val="0"/>
        </w:rPr>
        <w:t>$1</w:t>
      </w:r>
      <w:r w:rsidR="00F7443D" w:rsidRPr="007F462F">
        <w:rPr>
          <w:b w:val="0"/>
          <w:bCs w:val="0"/>
        </w:rPr>
        <w:t>7</w:t>
      </w:r>
      <w:r w:rsidRPr="007F462F">
        <w:rPr>
          <w:b w:val="0"/>
          <w:bCs w:val="0"/>
        </w:rPr>
        <w:t>,</w:t>
      </w:r>
      <w:r w:rsidR="00F7443D" w:rsidRPr="007F462F">
        <w:rPr>
          <w:b w:val="0"/>
          <w:bCs w:val="0"/>
        </w:rPr>
        <w:t>64</w:t>
      </w:r>
      <w:r w:rsidR="007F462F" w:rsidRPr="007F462F">
        <w:rPr>
          <w:b w:val="0"/>
          <w:bCs w:val="0"/>
        </w:rPr>
        <w:t>1</w:t>
      </w:r>
      <w:r w:rsidRPr="007F462F">
        <w:rPr>
          <w:b w:val="0"/>
          <w:bCs w:val="0"/>
        </w:rPr>
        <w:t>,</w:t>
      </w:r>
      <w:r w:rsidR="007F462F" w:rsidRPr="007F462F">
        <w:rPr>
          <w:b w:val="0"/>
          <w:bCs w:val="0"/>
        </w:rPr>
        <w:t>176</w:t>
      </w:r>
      <w:r w:rsidRPr="00BE21E7">
        <w:rPr>
          <w:b w:val="0"/>
          <w:bCs w:val="0"/>
        </w:rPr>
        <w:t xml:space="preserve">.  The proposed level of Transmission Revenue is </w:t>
      </w:r>
      <w:r w:rsidRPr="00DC7D94">
        <w:rPr>
          <w:b w:val="0"/>
          <w:bCs w:val="0"/>
        </w:rPr>
        <w:t>$</w:t>
      </w:r>
      <w:r w:rsidR="001F4990" w:rsidRPr="00DC7D94">
        <w:rPr>
          <w:b w:val="0"/>
          <w:bCs w:val="0"/>
        </w:rPr>
        <w:t>1</w:t>
      </w:r>
      <w:r w:rsidR="00DC7D94" w:rsidRPr="00DC7D94">
        <w:rPr>
          <w:b w:val="0"/>
          <w:bCs w:val="0"/>
        </w:rPr>
        <w:t>1</w:t>
      </w:r>
      <w:r w:rsidRPr="00DC7D94">
        <w:rPr>
          <w:b w:val="0"/>
          <w:bCs w:val="0"/>
        </w:rPr>
        <w:t>,</w:t>
      </w:r>
      <w:r w:rsidR="00DC7D94" w:rsidRPr="00DC7D94">
        <w:rPr>
          <w:b w:val="0"/>
          <w:bCs w:val="0"/>
        </w:rPr>
        <w:t>524</w:t>
      </w:r>
      <w:r w:rsidRPr="00DC7D94">
        <w:rPr>
          <w:b w:val="0"/>
          <w:bCs w:val="0"/>
        </w:rPr>
        <w:t>,</w:t>
      </w:r>
      <w:r w:rsidR="00DC7D94">
        <w:rPr>
          <w:b w:val="0"/>
          <w:bCs w:val="0"/>
        </w:rPr>
        <w:t>732</w:t>
      </w:r>
      <w:r w:rsidRPr="00BE21E7">
        <w:rPr>
          <w:b w:val="0"/>
          <w:bCs w:val="0"/>
        </w:rPr>
        <w:t>.</w:t>
      </w:r>
    </w:p>
    <w:p w:rsidR="00BE21E7" w:rsidRPr="00BE21E7" w:rsidRDefault="00BE21E7" w:rsidP="00BE21E7">
      <w:pPr>
        <w:pStyle w:val="BodyText"/>
        <w:tabs>
          <w:tab w:val="num" w:pos="0"/>
        </w:tabs>
        <w:spacing w:line="480" w:lineRule="auto"/>
        <w:ind w:firstLine="720"/>
        <w:jc w:val="both"/>
        <w:rPr>
          <w:b w:val="0"/>
          <w:bCs w:val="0"/>
        </w:rPr>
      </w:pPr>
      <w:r w:rsidRPr="00BE21E7">
        <w:rPr>
          <w:b w:val="0"/>
          <w:bCs w:val="0"/>
        </w:rPr>
        <w:t xml:space="preserve">The level of retail sales MWh and the retail revenue credit </w:t>
      </w:r>
      <w:r w:rsidR="00092D05">
        <w:rPr>
          <w:b w:val="0"/>
          <w:bCs w:val="0"/>
        </w:rPr>
        <w:t>is</w:t>
      </w:r>
      <w:r w:rsidRPr="00BE21E7">
        <w:rPr>
          <w:b w:val="0"/>
          <w:bCs w:val="0"/>
        </w:rPr>
        <w:t xml:space="preserve"> also updated.  The proposed authorized level of retail sales to be used in the ERM is the January 201</w:t>
      </w:r>
      <w:r w:rsidR="001177A0">
        <w:rPr>
          <w:b w:val="0"/>
          <w:bCs w:val="0"/>
        </w:rPr>
        <w:t>0</w:t>
      </w:r>
      <w:r w:rsidRPr="00BE21E7">
        <w:rPr>
          <w:b w:val="0"/>
          <w:bCs w:val="0"/>
        </w:rPr>
        <w:t xml:space="preserve"> through December 20</w:t>
      </w:r>
      <w:r w:rsidR="001177A0">
        <w:rPr>
          <w:b w:val="0"/>
          <w:bCs w:val="0"/>
        </w:rPr>
        <w:t>10</w:t>
      </w:r>
      <w:r w:rsidRPr="00BE21E7">
        <w:rPr>
          <w:b w:val="0"/>
          <w:bCs w:val="0"/>
        </w:rPr>
        <w:t xml:space="preserve"> </w:t>
      </w:r>
      <w:r w:rsidR="001177A0">
        <w:rPr>
          <w:b w:val="0"/>
          <w:bCs w:val="0"/>
        </w:rPr>
        <w:t>weather adjusted</w:t>
      </w:r>
      <w:r w:rsidRPr="00BE21E7">
        <w:rPr>
          <w:b w:val="0"/>
          <w:bCs w:val="0"/>
        </w:rPr>
        <w:t xml:space="preserve"> retail sales</w:t>
      </w:r>
      <w:r w:rsidR="00105104">
        <w:rPr>
          <w:b w:val="0"/>
          <w:bCs w:val="0"/>
        </w:rPr>
        <w:t xml:space="preserve"> incorporating the Energy Efficiency Load Adjustment</w:t>
      </w:r>
      <w:r w:rsidRPr="00BE21E7">
        <w:rPr>
          <w:b w:val="0"/>
          <w:bCs w:val="0"/>
        </w:rPr>
        <w:t xml:space="preserve">.  The proposed retail revenue credit is </w:t>
      </w:r>
      <w:r w:rsidRPr="00105104">
        <w:rPr>
          <w:b w:val="0"/>
          <w:bCs w:val="0"/>
        </w:rPr>
        <w:t>$</w:t>
      </w:r>
      <w:r w:rsidR="00105104">
        <w:rPr>
          <w:b w:val="0"/>
          <w:bCs w:val="0"/>
        </w:rPr>
        <w:t>53.01</w:t>
      </w:r>
      <w:r w:rsidRPr="001F4990">
        <w:rPr>
          <w:b w:val="0"/>
          <w:bCs w:val="0"/>
        </w:rPr>
        <w:t>/MWh</w:t>
      </w:r>
      <w:r w:rsidRPr="00BE21E7">
        <w:rPr>
          <w:b w:val="0"/>
          <w:bCs w:val="0"/>
        </w:rPr>
        <w:t>, which is the average cost of production/transmission in this filing</w:t>
      </w:r>
      <w:r w:rsidR="0044617E">
        <w:rPr>
          <w:b w:val="0"/>
          <w:bCs w:val="0"/>
        </w:rPr>
        <w:t xml:space="preserve"> developed </w:t>
      </w:r>
      <w:r w:rsidR="009C2006">
        <w:rPr>
          <w:b w:val="0"/>
          <w:bCs w:val="0"/>
        </w:rPr>
        <w:t>by Company witness Ms. Knox</w:t>
      </w:r>
      <w:r w:rsidRPr="00BE21E7">
        <w:rPr>
          <w:b w:val="0"/>
          <w:bCs w:val="0"/>
        </w:rPr>
        <w:t>.</w:t>
      </w:r>
    </w:p>
    <w:p w:rsidR="00BE21E7" w:rsidRPr="00BE21E7" w:rsidRDefault="00BE21E7" w:rsidP="00BE21E7">
      <w:pPr>
        <w:pStyle w:val="BodyText"/>
        <w:tabs>
          <w:tab w:val="num" w:pos="0"/>
        </w:tabs>
        <w:spacing w:line="480" w:lineRule="auto"/>
        <w:jc w:val="both"/>
        <w:rPr>
          <w:b w:val="0"/>
          <w:bCs w:val="0"/>
        </w:rPr>
      </w:pPr>
      <w:r w:rsidRPr="00BE21E7">
        <w:rPr>
          <w:b w:val="0"/>
          <w:bCs w:val="0"/>
        </w:rPr>
        <w:tab/>
        <w:t>The proposed authorized ERM power supply expense and revenue, transmission expense and revenue, and retail sales is shown in Exhibit No.</w:t>
      </w:r>
      <w:r w:rsidR="00A55DD3">
        <w:rPr>
          <w:b w:val="0"/>
          <w:bCs w:val="0"/>
        </w:rPr>
        <w:t>___</w:t>
      </w:r>
      <w:r w:rsidRPr="00BE21E7">
        <w:rPr>
          <w:b w:val="0"/>
          <w:bCs w:val="0"/>
        </w:rPr>
        <w:t>(WGJ-</w:t>
      </w:r>
      <w:r w:rsidR="00A745AE">
        <w:rPr>
          <w:b w:val="0"/>
          <w:bCs w:val="0"/>
        </w:rPr>
        <w:t>5</w:t>
      </w:r>
      <w:r w:rsidRPr="00BE21E7">
        <w:rPr>
          <w:b w:val="0"/>
          <w:bCs w:val="0"/>
        </w:rPr>
        <w:t>).</w:t>
      </w:r>
    </w:p>
    <w:p w:rsidR="00BE21E7" w:rsidRPr="00BE21E7" w:rsidRDefault="00BE21E7" w:rsidP="00BE21E7">
      <w:pPr>
        <w:pStyle w:val="TestBody"/>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t>Does that conclude your pre-filed direct testimony?</w:t>
      </w:r>
    </w:p>
    <w:p w:rsidR="00182994" w:rsidRDefault="00BE21E7" w:rsidP="0044617E">
      <w:pPr>
        <w:pStyle w:val="BodyText2"/>
        <w:tabs>
          <w:tab w:val="left" w:pos="1440"/>
        </w:tabs>
        <w:ind w:firstLine="720"/>
        <w:jc w:val="left"/>
      </w:pPr>
      <w:r w:rsidRPr="00BE21E7">
        <w:t>A.</w:t>
      </w:r>
      <w:r w:rsidRPr="00BE21E7">
        <w:tab/>
        <w:t xml:space="preserve">Yes. </w:t>
      </w:r>
    </w:p>
    <w:sectPr w:rsidR="00182994" w:rsidSect="00BE21E7">
      <w:pgSz w:w="12240" w:h="15840" w:code="1"/>
      <w:pgMar w:top="1440" w:right="1008" w:bottom="2160" w:left="1872" w:header="720" w:footer="360" w:gutter="0"/>
      <w:lnNumType w:countBy="1" w:distance="432"/>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4E3" w:rsidRDefault="00A774E3">
      <w:r>
        <w:separator/>
      </w:r>
    </w:p>
  </w:endnote>
  <w:endnote w:type="continuationSeparator" w:id="0">
    <w:p w:rsidR="00A774E3" w:rsidRDefault="00A774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Palatino">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E3" w:rsidRDefault="00A774E3">
    <w:pPr>
      <w:pStyle w:val="Footer"/>
      <w:tabs>
        <w:tab w:val="clear" w:pos="4320"/>
        <w:tab w:val="clear" w:pos="8640"/>
        <w:tab w:val="left" w:pos="180"/>
        <w:tab w:val="right" w:pos="9360"/>
      </w:tabs>
      <w:rPr>
        <w:sz w:val="22"/>
        <w:szCs w:val="22"/>
      </w:rPr>
    </w:pPr>
    <w:r>
      <w:rPr>
        <w:sz w:val="22"/>
        <w:szCs w:val="22"/>
      </w:rPr>
      <w:t>Direct Testimony of William G. Johnson</w:t>
    </w:r>
    <w:r>
      <w:rPr>
        <w:sz w:val="22"/>
        <w:szCs w:val="22"/>
      </w:rPr>
      <w:tab/>
    </w:r>
  </w:p>
  <w:p w:rsidR="00A774E3" w:rsidRPr="00BE21E7" w:rsidRDefault="00A774E3">
    <w:pPr>
      <w:pStyle w:val="Footer"/>
      <w:tabs>
        <w:tab w:val="clear" w:pos="4320"/>
        <w:tab w:val="clear" w:pos="8640"/>
        <w:tab w:val="left" w:pos="180"/>
        <w:tab w:val="right" w:pos="9360"/>
      </w:tabs>
      <w:rPr>
        <w:sz w:val="22"/>
        <w:szCs w:val="22"/>
        <w:lang w:val="fr-FR"/>
      </w:rPr>
    </w:pPr>
    <w:r w:rsidRPr="00BE21E7">
      <w:rPr>
        <w:sz w:val="22"/>
        <w:szCs w:val="22"/>
        <w:lang w:val="fr-FR"/>
      </w:rPr>
      <w:t>Avista Corporation</w:t>
    </w:r>
  </w:p>
  <w:p w:rsidR="00A774E3" w:rsidRDefault="00A774E3">
    <w:pPr>
      <w:pStyle w:val="Footer"/>
      <w:tabs>
        <w:tab w:val="clear" w:pos="4320"/>
        <w:tab w:val="clear" w:pos="8640"/>
        <w:tab w:val="left" w:pos="180"/>
        <w:tab w:val="right" w:pos="9360"/>
      </w:tabs>
      <w:rPr>
        <w:lang w:val="fr-FR"/>
      </w:rPr>
    </w:pPr>
    <w:r w:rsidRPr="00BE21E7">
      <w:rPr>
        <w:lang w:val="fr-FR"/>
      </w:rPr>
      <w:t>Docket No. UE-</w:t>
    </w:r>
    <w:r>
      <w:rPr>
        <w:lang w:val="fr-FR"/>
      </w:rPr>
      <w:t>11</w:t>
    </w:r>
    <w:r w:rsidRPr="00BE21E7">
      <w:rPr>
        <w:lang w:val="fr-FR"/>
      </w:rPr>
      <w:t>____</w:t>
    </w:r>
    <w:r w:rsidRPr="00BE21E7">
      <w:rPr>
        <w:lang w:val="fr-FR"/>
      </w:rPr>
      <w:tab/>
      <w:t>Page</w:t>
    </w:r>
    <w:r w:rsidRPr="00BE21E7">
      <w:rPr>
        <w:rFonts w:ascii="Palatino Linotype" w:hAnsi="Palatino Linotype" w:cs="Palatino Linotype"/>
        <w:lang w:val="fr-FR"/>
      </w:rPr>
      <w:t xml:space="preserve"> </w:t>
    </w:r>
    <w:r>
      <w:rPr>
        <w:rStyle w:val="PageNumber"/>
        <w:rFonts w:ascii="Palatino Linotype" w:hAnsi="Palatino Linotype" w:cs="Palatino Linotype"/>
      </w:rPr>
      <w:fldChar w:fldCharType="begin"/>
    </w:r>
    <w:r w:rsidRPr="00BE21E7">
      <w:rPr>
        <w:rStyle w:val="PageNumber"/>
        <w:rFonts w:ascii="Palatino Linotype" w:hAnsi="Palatino Linotype" w:cs="Palatino Linotype"/>
        <w:lang w:val="fr-FR"/>
      </w:rPr>
      <w:instrText xml:space="preserve"> PAGE </w:instrText>
    </w:r>
    <w:r>
      <w:rPr>
        <w:rStyle w:val="PageNumber"/>
        <w:rFonts w:ascii="Palatino Linotype" w:hAnsi="Palatino Linotype" w:cs="Palatino Linotype"/>
      </w:rPr>
      <w:fldChar w:fldCharType="separate"/>
    </w:r>
    <w:r w:rsidR="00A402FE">
      <w:rPr>
        <w:rStyle w:val="PageNumber"/>
        <w:rFonts w:ascii="Palatino Linotype" w:hAnsi="Palatino Linotype" w:cs="Palatino Linotype"/>
        <w:noProof/>
        <w:lang w:val="fr-FR"/>
      </w:rPr>
      <w:t>11</w:t>
    </w:r>
    <w:r>
      <w:rPr>
        <w:rStyle w:val="PageNumber"/>
        <w:rFonts w:ascii="Palatino Linotype" w:hAnsi="Palatino Linotype" w:cs="Palatino Linotype"/>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E3" w:rsidRDefault="00A774E3">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4E3" w:rsidRDefault="00A774E3">
      <w:r>
        <w:separator/>
      </w:r>
    </w:p>
  </w:footnote>
  <w:footnote w:type="continuationSeparator" w:id="0">
    <w:p w:rsidR="00A774E3" w:rsidRDefault="00A774E3">
      <w:r>
        <w:continuationSeparator/>
      </w:r>
    </w:p>
  </w:footnote>
  <w:footnote w:id="1">
    <w:p w:rsidR="00A774E3" w:rsidRDefault="00A774E3">
      <w:pPr>
        <w:pStyle w:val="FootnoteText"/>
      </w:pPr>
      <w:r>
        <w:rPr>
          <w:rStyle w:val="FootnoteReference"/>
        </w:rPr>
        <w:footnoteRef/>
      </w:r>
      <w:r>
        <w:t xml:space="preserve"> For the remainder of my testimony, for purposes of the power supply adjustment I will refer to the net of power supply revenues and expenses as power supply expense for ease of reference.</w:t>
      </w:r>
    </w:p>
  </w:footnote>
  <w:footnote w:id="2">
    <w:p w:rsidR="00A774E3" w:rsidRDefault="00A774E3">
      <w:pPr>
        <w:pStyle w:val="FootnoteText"/>
      </w:pPr>
      <w:r>
        <w:rPr>
          <w:rStyle w:val="FootnoteReference"/>
        </w:rPr>
        <w:footnoteRef/>
      </w:r>
      <w:r>
        <w:t xml:space="preserve"> The Stateline wind contract was extended through April 30, 2014 on April 20, 2011.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E3" w:rsidRDefault="00A774E3">
    <w:pPr>
      <w:pStyle w:val="Header"/>
      <w:jc w:val="right"/>
    </w:pPr>
    <w:r>
      <w:t>Exhibit No. ___ (WGJ-1T)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E3" w:rsidRDefault="00A774E3">
    <w:pPr>
      <w:pStyle w:val="Header"/>
    </w:pPr>
    <w:r>
      <w:tab/>
    </w:r>
    <w:r>
      <w:tab/>
      <w:t>Exhibit No. ___ (WGJ-1T)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7659"/>
    <w:multiLevelType w:val="singleLevel"/>
    <w:tmpl w:val="31E6C7FA"/>
    <w:lvl w:ilvl="0">
      <w:start w:val="1"/>
      <w:numFmt w:val="upperLetter"/>
      <w:lvlText w:val="%1."/>
      <w:lvlJc w:val="left"/>
      <w:pPr>
        <w:tabs>
          <w:tab w:val="num" w:pos="2160"/>
        </w:tabs>
        <w:ind w:left="2160" w:hanging="720"/>
      </w:pPr>
      <w:rPr>
        <w:rFonts w:cs="Times New Roman" w:hint="default"/>
      </w:rPr>
    </w:lvl>
  </w:abstractNum>
  <w:abstractNum w:abstractNumId="1">
    <w:nsid w:val="016E1223"/>
    <w:multiLevelType w:val="singleLevel"/>
    <w:tmpl w:val="D5A49794"/>
    <w:lvl w:ilvl="0">
      <w:start w:val="17"/>
      <w:numFmt w:val="upperLetter"/>
      <w:lvlText w:val="%1."/>
      <w:lvlJc w:val="left"/>
      <w:pPr>
        <w:tabs>
          <w:tab w:val="num" w:pos="1440"/>
        </w:tabs>
        <w:ind w:left="1440" w:hanging="720"/>
      </w:pPr>
      <w:rPr>
        <w:rFonts w:cs="Times New Roman" w:hint="default"/>
      </w:rPr>
    </w:lvl>
  </w:abstractNum>
  <w:abstractNum w:abstractNumId="2">
    <w:nsid w:val="07A9108C"/>
    <w:multiLevelType w:val="hybridMultilevel"/>
    <w:tmpl w:val="CA86005C"/>
    <w:lvl w:ilvl="0" w:tplc="04090015">
      <w:start w:val="1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D793E7B"/>
    <w:multiLevelType w:val="hybridMultilevel"/>
    <w:tmpl w:val="B726CB52"/>
    <w:lvl w:ilvl="0" w:tplc="ECCC0978">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
    <w:nsid w:val="37AF0368"/>
    <w:multiLevelType w:val="singleLevel"/>
    <w:tmpl w:val="99CC9422"/>
    <w:lvl w:ilvl="0">
      <w:start w:val="17"/>
      <w:numFmt w:val="upperLetter"/>
      <w:lvlText w:val="%1."/>
      <w:lvlJc w:val="left"/>
      <w:pPr>
        <w:tabs>
          <w:tab w:val="num" w:pos="1530"/>
        </w:tabs>
        <w:ind w:left="1530" w:hanging="720"/>
      </w:pPr>
      <w:rPr>
        <w:rFonts w:cs="Times New Roman" w:hint="default"/>
      </w:rPr>
    </w:lvl>
  </w:abstractNum>
  <w:abstractNum w:abstractNumId="5">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6">
    <w:nsid w:val="48164804"/>
    <w:multiLevelType w:val="singleLevel"/>
    <w:tmpl w:val="298677E4"/>
    <w:lvl w:ilvl="0">
      <w:start w:val="17"/>
      <w:numFmt w:val="upperLetter"/>
      <w:lvlText w:val="%1."/>
      <w:lvlJc w:val="left"/>
      <w:pPr>
        <w:tabs>
          <w:tab w:val="num" w:pos="1080"/>
        </w:tabs>
        <w:ind w:left="1080" w:hanging="360"/>
      </w:pPr>
      <w:rPr>
        <w:rFonts w:cs="Times New Roman" w:hint="default"/>
      </w:rPr>
    </w:lvl>
  </w:abstractNum>
  <w:abstractNum w:abstractNumId="7">
    <w:nsid w:val="6F7060FF"/>
    <w:multiLevelType w:val="hybridMultilevel"/>
    <w:tmpl w:val="0B366080"/>
    <w:lvl w:ilvl="0" w:tplc="04090015">
      <w:start w:val="1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70AD7DC5"/>
    <w:multiLevelType w:val="singleLevel"/>
    <w:tmpl w:val="7AB25DA2"/>
    <w:lvl w:ilvl="0">
      <w:start w:val="17"/>
      <w:numFmt w:val="upperLetter"/>
      <w:lvlText w:val="%1."/>
      <w:lvlJc w:val="left"/>
      <w:pPr>
        <w:tabs>
          <w:tab w:val="num" w:pos="1440"/>
        </w:tabs>
        <w:ind w:left="1440" w:hanging="720"/>
      </w:pPr>
      <w:rPr>
        <w:rFonts w:cs="Times New Roman" w:hint="default"/>
      </w:rPr>
    </w:lvl>
  </w:abstractNum>
  <w:abstractNum w:abstractNumId="9">
    <w:nsid w:val="7BDB5FCF"/>
    <w:multiLevelType w:val="hybridMultilevel"/>
    <w:tmpl w:val="FE2EEE88"/>
    <w:lvl w:ilvl="0" w:tplc="A4E22566">
      <w:start w:val="17"/>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5"/>
  </w:num>
  <w:num w:numId="2">
    <w:abstractNumId w:val="6"/>
  </w:num>
  <w:num w:numId="3">
    <w:abstractNumId w:val="0"/>
  </w:num>
  <w:num w:numId="4">
    <w:abstractNumId w:val="8"/>
  </w:num>
  <w:num w:numId="5">
    <w:abstractNumId w:val="4"/>
  </w:num>
  <w:num w:numId="6">
    <w:abstractNumId w:val="1"/>
  </w:num>
  <w:num w:numId="7">
    <w:abstractNumId w:val="3"/>
  </w:num>
  <w:num w:numId="8">
    <w:abstractNumId w:val="9"/>
  </w:num>
  <w:num w:numId="9">
    <w:abstractNumId w:val="2"/>
  </w:num>
  <w:num w:numId="10">
    <w:abstractNumId w:val="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182994"/>
    <w:rsid w:val="00022CA6"/>
    <w:rsid w:val="0003296D"/>
    <w:rsid w:val="00036DBA"/>
    <w:rsid w:val="00037B2A"/>
    <w:rsid w:val="000519D7"/>
    <w:rsid w:val="00055978"/>
    <w:rsid w:val="00067E1A"/>
    <w:rsid w:val="00071F0A"/>
    <w:rsid w:val="00076370"/>
    <w:rsid w:val="000773D0"/>
    <w:rsid w:val="00087A02"/>
    <w:rsid w:val="00092D05"/>
    <w:rsid w:val="00095636"/>
    <w:rsid w:val="000C6001"/>
    <w:rsid w:val="000E01AF"/>
    <w:rsid w:val="000F40A2"/>
    <w:rsid w:val="00105104"/>
    <w:rsid w:val="001177A0"/>
    <w:rsid w:val="001245BE"/>
    <w:rsid w:val="0012703B"/>
    <w:rsid w:val="0013441E"/>
    <w:rsid w:val="00137F9D"/>
    <w:rsid w:val="00147465"/>
    <w:rsid w:val="001665E9"/>
    <w:rsid w:val="001705BE"/>
    <w:rsid w:val="00182994"/>
    <w:rsid w:val="00187892"/>
    <w:rsid w:val="00190B9E"/>
    <w:rsid w:val="001951A0"/>
    <w:rsid w:val="00197849"/>
    <w:rsid w:val="001B0749"/>
    <w:rsid w:val="001B0DAD"/>
    <w:rsid w:val="001B4D44"/>
    <w:rsid w:val="001C4C68"/>
    <w:rsid w:val="001F1D02"/>
    <w:rsid w:val="001F37AE"/>
    <w:rsid w:val="001F3D71"/>
    <w:rsid w:val="001F4990"/>
    <w:rsid w:val="001F7A60"/>
    <w:rsid w:val="00200197"/>
    <w:rsid w:val="00201A6E"/>
    <w:rsid w:val="00201AC3"/>
    <w:rsid w:val="002276E4"/>
    <w:rsid w:val="00231AD4"/>
    <w:rsid w:val="002477D3"/>
    <w:rsid w:val="00254D97"/>
    <w:rsid w:val="00291043"/>
    <w:rsid w:val="002A2261"/>
    <w:rsid w:val="002C2686"/>
    <w:rsid w:val="002D06C3"/>
    <w:rsid w:val="002D0C51"/>
    <w:rsid w:val="002E5016"/>
    <w:rsid w:val="002F1C20"/>
    <w:rsid w:val="002F6EB0"/>
    <w:rsid w:val="00301D3F"/>
    <w:rsid w:val="00305307"/>
    <w:rsid w:val="003214E3"/>
    <w:rsid w:val="00321801"/>
    <w:rsid w:val="00326EEB"/>
    <w:rsid w:val="00335253"/>
    <w:rsid w:val="0035252D"/>
    <w:rsid w:val="00353674"/>
    <w:rsid w:val="00363D96"/>
    <w:rsid w:val="00387A30"/>
    <w:rsid w:val="003932C2"/>
    <w:rsid w:val="003A768F"/>
    <w:rsid w:val="003B5B38"/>
    <w:rsid w:val="003C2A70"/>
    <w:rsid w:val="003D15A9"/>
    <w:rsid w:val="003F3CBF"/>
    <w:rsid w:val="00407CC1"/>
    <w:rsid w:val="00414AC3"/>
    <w:rsid w:val="00414DD7"/>
    <w:rsid w:val="00431EB0"/>
    <w:rsid w:val="00434B9F"/>
    <w:rsid w:val="0044617E"/>
    <w:rsid w:val="00452AA7"/>
    <w:rsid w:val="004628CA"/>
    <w:rsid w:val="00465B31"/>
    <w:rsid w:val="00472C4D"/>
    <w:rsid w:val="00476EBC"/>
    <w:rsid w:val="004936A1"/>
    <w:rsid w:val="004967E7"/>
    <w:rsid w:val="004A3454"/>
    <w:rsid w:val="004B4C41"/>
    <w:rsid w:val="004C0725"/>
    <w:rsid w:val="004C2BF7"/>
    <w:rsid w:val="004D3D45"/>
    <w:rsid w:val="004E6CF8"/>
    <w:rsid w:val="004E7A16"/>
    <w:rsid w:val="004F758B"/>
    <w:rsid w:val="00506FC8"/>
    <w:rsid w:val="005108F2"/>
    <w:rsid w:val="005145D4"/>
    <w:rsid w:val="00514AC4"/>
    <w:rsid w:val="00541D93"/>
    <w:rsid w:val="00542569"/>
    <w:rsid w:val="005430BA"/>
    <w:rsid w:val="005517D9"/>
    <w:rsid w:val="005542A8"/>
    <w:rsid w:val="00565FD8"/>
    <w:rsid w:val="00576309"/>
    <w:rsid w:val="00580970"/>
    <w:rsid w:val="0058225F"/>
    <w:rsid w:val="00583433"/>
    <w:rsid w:val="00590DD4"/>
    <w:rsid w:val="00591D43"/>
    <w:rsid w:val="00593E33"/>
    <w:rsid w:val="005B1E66"/>
    <w:rsid w:val="005C366C"/>
    <w:rsid w:val="005C39B4"/>
    <w:rsid w:val="005D7E94"/>
    <w:rsid w:val="005D7EE1"/>
    <w:rsid w:val="005E439A"/>
    <w:rsid w:val="005E6D8E"/>
    <w:rsid w:val="005F4F7A"/>
    <w:rsid w:val="00601E14"/>
    <w:rsid w:val="0061735C"/>
    <w:rsid w:val="006242F7"/>
    <w:rsid w:val="0063791F"/>
    <w:rsid w:val="00653B88"/>
    <w:rsid w:val="0065453C"/>
    <w:rsid w:val="0065505F"/>
    <w:rsid w:val="00655366"/>
    <w:rsid w:val="00662BFE"/>
    <w:rsid w:val="0066587A"/>
    <w:rsid w:val="00665EFE"/>
    <w:rsid w:val="0067610F"/>
    <w:rsid w:val="00676BEE"/>
    <w:rsid w:val="00684DC5"/>
    <w:rsid w:val="00691CB7"/>
    <w:rsid w:val="006A26AD"/>
    <w:rsid w:val="006A2758"/>
    <w:rsid w:val="006A6139"/>
    <w:rsid w:val="006A7CFD"/>
    <w:rsid w:val="006B492E"/>
    <w:rsid w:val="006B7E17"/>
    <w:rsid w:val="006C01C8"/>
    <w:rsid w:val="006D1A9B"/>
    <w:rsid w:val="006D353A"/>
    <w:rsid w:val="006D5BF7"/>
    <w:rsid w:val="0070505F"/>
    <w:rsid w:val="007119B4"/>
    <w:rsid w:val="0071369A"/>
    <w:rsid w:val="0072665A"/>
    <w:rsid w:val="00742583"/>
    <w:rsid w:val="00747553"/>
    <w:rsid w:val="0075076D"/>
    <w:rsid w:val="00751E45"/>
    <w:rsid w:val="00754E86"/>
    <w:rsid w:val="00765BA1"/>
    <w:rsid w:val="007937D3"/>
    <w:rsid w:val="007A6DE3"/>
    <w:rsid w:val="007A795E"/>
    <w:rsid w:val="007A7EF9"/>
    <w:rsid w:val="007C4511"/>
    <w:rsid w:val="007D01A9"/>
    <w:rsid w:val="007D09A6"/>
    <w:rsid w:val="007D3E87"/>
    <w:rsid w:val="007E2219"/>
    <w:rsid w:val="007E6C13"/>
    <w:rsid w:val="007E7BC2"/>
    <w:rsid w:val="007F0DC8"/>
    <w:rsid w:val="007F462F"/>
    <w:rsid w:val="00800A6B"/>
    <w:rsid w:val="0081197F"/>
    <w:rsid w:val="00816FAB"/>
    <w:rsid w:val="00817F2D"/>
    <w:rsid w:val="00834809"/>
    <w:rsid w:val="00844535"/>
    <w:rsid w:val="00845CCE"/>
    <w:rsid w:val="008726A9"/>
    <w:rsid w:val="00876525"/>
    <w:rsid w:val="00883CEC"/>
    <w:rsid w:val="00890A57"/>
    <w:rsid w:val="00892EAA"/>
    <w:rsid w:val="008A76B4"/>
    <w:rsid w:val="008D3155"/>
    <w:rsid w:val="008E0200"/>
    <w:rsid w:val="008F3931"/>
    <w:rsid w:val="009055A6"/>
    <w:rsid w:val="00922C46"/>
    <w:rsid w:val="009366BC"/>
    <w:rsid w:val="00946E37"/>
    <w:rsid w:val="0095196D"/>
    <w:rsid w:val="00953816"/>
    <w:rsid w:val="00954DB7"/>
    <w:rsid w:val="00954E28"/>
    <w:rsid w:val="00976E12"/>
    <w:rsid w:val="009920E0"/>
    <w:rsid w:val="009A26DF"/>
    <w:rsid w:val="009A2DAA"/>
    <w:rsid w:val="009A4D7E"/>
    <w:rsid w:val="009A610C"/>
    <w:rsid w:val="009B1B04"/>
    <w:rsid w:val="009C2006"/>
    <w:rsid w:val="009E49FE"/>
    <w:rsid w:val="009E6F0C"/>
    <w:rsid w:val="009F0721"/>
    <w:rsid w:val="009F2E2E"/>
    <w:rsid w:val="00A040D3"/>
    <w:rsid w:val="00A2043B"/>
    <w:rsid w:val="00A402FE"/>
    <w:rsid w:val="00A47217"/>
    <w:rsid w:val="00A55DD3"/>
    <w:rsid w:val="00A726C8"/>
    <w:rsid w:val="00A73B72"/>
    <w:rsid w:val="00A745AE"/>
    <w:rsid w:val="00A774E3"/>
    <w:rsid w:val="00A8574B"/>
    <w:rsid w:val="00A95D47"/>
    <w:rsid w:val="00AA1E96"/>
    <w:rsid w:val="00AA20C9"/>
    <w:rsid w:val="00AA2ED4"/>
    <w:rsid w:val="00AA3E66"/>
    <w:rsid w:val="00AA4BA2"/>
    <w:rsid w:val="00AC036F"/>
    <w:rsid w:val="00AE2899"/>
    <w:rsid w:val="00B06EB1"/>
    <w:rsid w:val="00B07EE5"/>
    <w:rsid w:val="00B07FCC"/>
    <w:rsid w:val="00B10EED"/>
    <w:rsid w:val="00B174B1"/>
    <w:rsid w:val="00B3712F"/>
    <w:rsid w:val="00B4374B"/>
    <w:rsid w:val="00B500C4"/>
    <w:rsid w:val="00B502D2"/>
    <w:rsid w:val="00B53214"/>
    <w:rsid w:val="00B53D8C"/>
    <w:rsid w:val="00B708DF"/>
    <w:rsid w:val="00B71810"/>
    <w:rsid w:val="00B7736F"/>
    <w:rsid w:val="00B77F17"/>
    <w:rsid w:val="00B80027"/>
    <w:rsid w:val="00B968D6"/>
    <w:rsid w:val="00BA6FE4"/>
    <w:rsid w:val="00BB6621"/>
    <w:rsid w:val="00BB766A"/>
    <w:rsid w:val="00BC03AA"/>
    <w:rsid w:val="00BD5EFD"/>
    <w:rsid w:val="00BE21E7"/>
    <w:rsid w:val="00C026FD"/>
    <w:rsid w:val="00C030B8"/>
    <w:rsid w:val="00C03549"/>
    <w:rsid w:val="00C117D9"/>
    <w:rsid w:val="00C20A53"/>
    <w:rsid w:val="00C213E7"/>
    <w:rsid w:val="00C23C54"/>
    <w:rsid w:val="00C26DE3"/>
    <w:rsid w:val="00C579DD"/>
    <w:rsid w:val="00C608F0"/>
    <w:rsid w:val="00C62BDA"/>
    <w:rsid w:val="00C74C46"/>
    <w:rsid w:val="00C74E30"/>
    <w:rsid w:val="00C95537"/>
    <w:rsid w:val="00CA4C19"/>
    <w:rsid w:val="00CA52FC"/>
    <w:rsid w:val="00CB1427"/>
    <w:rsid w:val="00CB6E42"/>
    <w:rsid w:val="00CC1C97"/>
    <w:rsid w:val="00CD0757"/>
    <w:rsid w:val="00CD172A"/>
    <w:rsid w:val="00D007A9"/>
    <w:rsid w:val="00D118D9"/>
    <w:rsid w:val="00D21307"/>
    <w:rsid w:val="00D244AB"/>
    <w:rsid w:val="00D26E33"/>
    <w:rsid w:val="00D2745E"/>
    <w:rsid w:val="00D36CB0"/>
    <w:rsid w:val="00D47735"/>
    <w:rsid w:val="00D51E9F"/>
    <w:rsid w:val="00D60043"/>
    <w:rsid w:val="00D70A5F"/>
    <w:rsid w:val="00D7657F"/>
    <w:rsid w:val="00D77B2C"/>
    <w:rsid w:val="00D81DE9"/>
    <w:rsid w:val="00D83854"/>
    <w:rsid w:val="00DB3BCC"/>
    <w:rsid w:val="00DC7D94"/>
    <w:rsid w:val="00DD3971"/>
    <w:rsid w:val="00DF0891"/>
    <w:rsid w:val="00E00851"/>
    <w:rsid w:val="00E04B65"/>
    <w:rsid w:val="00E24BB0"/>
    <w:rsid w:val="00E263B2"/>
    <w:rsid w:val="00E273CB"/>
    <w:rsid w:val="00E31282"/>
    <w:rsid w:val="00E469CC"/>
    <w:rsid w:val="00E502AC"/>
    <w:rsid w:val="00E62431"/>
    <w:rsid w:val="00E65C27"/>
    <w:rsid w:val="00E700D9"/>
    <w:rsid w:val="00E81931"/>
    <w:rsid w:val="00EA44DF"/>
    <w:rsid w:val="00EA4963"/>
    <w:rsid w:val="00EA7203"/>
    <w:rsid w:val="00EB2665"/>
    <w:rsid w:val="00EC62F1"/>
    <w:rsid w:val="00F105DA"/>
    <w:rsid w:val="00F155E9"/>
    <w:rsid w:val="00F22C09"/>
    <w:rsid w:val="00F34D22"/>
    <w:rsid w:val="00F4206A"/>
    <w:rsid w:val="00F46162"/>
    <w:rsid w:val="00F63D5B"/>
    <w:rsid w:val="00F67CA5"/>
    <w:rsid w:val="00F7443D"/>
    <w:rsid w:val="00F83CE7"/>
    <w:rsid w:val="00F92D8E"/>
    <w:rsid w:val="00FA2BB9"/>
    <w:rsid w:val="00FA5D11"/>
    <w:rsid w:val="00FB6544"/>
    <w:rsid w:val="00FC09A4"/>
    <w:rsid w:val="00FD413F"/>
    <w:rsid w:val="00FF2C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hapeDefaults>
    <o:shapedefaults v:ext="edit" spidmax="11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A16"/>
    <w:pPr>
      <w:autoSpaceDE w:val="0"/>
      <w:autoSpaceDN w:val="0"/>
    </w:pPr>
    <w:rPr>
      <w:sz w:val="24"/>
      <w:szCs w:val="24"/>
    </w:rPr>
  </w:style>
  <w:style w:type="paragraph" w:styleId="Heading1">
    <w:name w:val="heading 1"/>
    <w:basedOn w:val="Normal"/>
    <w:next w:val="Normal"/>
    <w:qFormat/>
    <w:rsid w:val="004E7A16"/>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4E7A16"/>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4E7A16"/>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4E7A16"/>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4E7A16"/>
    <w:pPr>
      <w:keepNext/>
      <w:spacing w:line="480" w:lineRule="auto"/>
      <w:jc w:val="center"/>
      <w:outlineLvl w:val="4"/>
    </w:pPr>
    <w:rPr>
      <w:b/>
      <w:bCs/>
    </w:rPr>
  </w:style>
  <w:style w:type="paragraph" w:styleId="Heading6">
    <w:name w:val="heading 6"/>
    <w:basedOn w:val="Normal"/>
    <w:next w:val="Normal"/>
    <w:qFormat/>
    <w:rsid w:val="004E7A16"/>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4E7A16"/>
    <w:pPr>
      <w:keepNext/>
      <w:tabs>
        <w:tab w:val="left" w:pos="1260"/>
      </w:tabs>
      <w:jc w:val="right"/>
      <w:outlineLvl w:val="6"/>
    </w:pPr>
    <w:rPr>
      <w:sz w:val="20"/>
      <w:szCs w:val="20"/>
    </w:rPr>
  </w:style>
  <w:style w:type="paragraph" w:styleId="Heading8">
    <w:name w:val="heading 8"/>
    <w:basedOn w:val="Normal"/>
    <w:next w:val="Normal"/>
    <w:qFormat/>
    <w:rsid w:val="004E7A16"/>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4E7A16"/>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E7A16"/>
    <w:pPr>
      <w:tabs>
        <w:tab w:val="center" w:pos="4320"/>
        <w:tab w:val="right" w:pos="8640"/>
      </w:tabs>
    </w:pPr>
  </w:style>
  <w:style w:type="paragraph" w:styleId="Footer">
    <w:name w:val="footer"/>
    <w:basedOn w:val="Normal"/>
    <w:rsid w:val="004E7A16"/>
    <w:pPr>
      <w:tabs>
        <w:tab w:val="center" w:pos="4320"/>
        <w:tab w:val="right" w:pos="8640"/>
      </w:tabs>
    </w:pPr>
  </w:style>
  <w:style w:type="character" w:styleId="PageNumber">
    <w:name w:val="page number"/>
    <w:basedOn w:val="DefaultParagraphFont"/>
    <w:rsid w:val="004E7A16"/>
    <w:rPr>
      <w:rFonts w:ascii="Times New Roman" w:hAnsi="Times New Roman" w:cs="Times New Roman"/>
      <w:sz w:val="24"/>
      <w:szCs w:val="24"/>
    </w:rPr>
  </w:style>
  <w:style w:type="character" w:styleId="LineNumber">
    <w:name w:val="line number"/>
    <w:basedOn w:val="DefaultParagraphFont"/>
    <w:rsid w:val="004E7A16"/>
    <w:rPr>
      <w:rFonts w:ascii="Times New Roman" w:hAnsi="Times New Roman" w:cs="Times New Roman"/>
      <w:sz w:val="24"/>
      <w:szCs w:val="24"/>
    </w:rPr>
  </w:style>
  <w:style w:type="paragraph" w:styleId="BodyText2">
    <w:name w:val="Body Text 2"/>
    <w:basedOn w:val="Normal"/>
    <w:rsid w:val="004E7A16"/>
    <w:pPr>
      <w:spacing w:line="480" w:lineRule="auto"/>
      <w:jc w:val="both"/>
    </w:pPr>
  </w:style>
  <w:style w:type="paragraph" w:styleId="BodyTextIndent2">
    <w:name w:val="Body Text Indent 2"/>
    <w:basedOn w:val="Normal"/>
    <w:rsid w:val="004E7A16"/>
    <w:pPr>
      <w:tabs>
        <w:tab w:val="left" w:pos="1260"/>
      </w:tabs>
      <w:spacing w:line="480" w:lineRule="auto"/>
      <w:ind w:left="540" w:hanging="540"/>
      <w:jc w:val="both"/>
    </w:pPr>
  </w:style>
  <w:style w:type="paragraph" w:styleId="BodyTextIndent3">
    <w:name w:val="Body Text Indent 3"/>
    <w:basedOn w:val="Normal"/>
    <w:rsid w:val="004E7A16"/>
    <w:pPr>
      <w:tabs>
        <w:tab w:val="left" w:pos="1260"/>
      </w:tabs>
      <w:spacing w:line="480" w:lineRule="auto"/>
      <w:ind w:firstLine="720"/>
      <w:jc w:val="both"/>
    </w:pPr>
    <w:rPr>
      <w:b/>
      <w:bCs/>
    </w:rPr>
  </w:style>
  <w:style w:type="paragraph" w:styleId="FootnoteText">
    <w:name w:val="footnote text"/>
    <w:basedOn w:val="Normal"/>
    <w:rsid w:val="004E7A16"/>
    <w:rPr>
      <w:sz w:val="20"/>
      <w:szCs w:val="20"/>
    </w:rPr>
  </w:style>
  <w:style w:type="character" w:styleId="FootnoteReference">
    <w:name w:val="footnote reference"/>
    <w:basedOn w:val="DefaultParagraphFont"/>
    <w:rsid w:val="004E7A16"/>
    <w:rPr>
      <w:rFonts w:cs="Times New Roman"/>
      <w:vertAlign w:val="superscript"/>
    </w:rPr>
  </w:style>
  <w:style w:type="paragraph" w:styleId="BodyText">
    <w:name w:val="Body Text"/>
    <w:basedOn w:val="Normal"/>
    <w:rsid w:val="004E7A16"/>
    <w:pPr>
      <w:spacing w:line="360" w:lineRule="auto"/>
      <w:jc w:val="center"/>
    </w:pPr>
    <w:rPr>
      <w:b/>
      <w:bCs/>
    </w:rPr>
  </w:style>
  <w:style w:type="paragraph" w:styleId="DocumentMap">
    <w:name w:val="Document Map"/>
    <w:basedOn w:val="Normal"/>
    <w:rsid w:val="004E7A16"/>
    <w:pPr>
      <w:shd w:val="clear" w:color="auto" w:fill="000080"/>
    </w:pPr>
    <w:rPr>
      <w:rFonts w:ascii="Tahoma" w:hAnsi="Tahoma" w:cs="Tahoma"/>
    </w:rPr>
  </w:style>
  <w:style w:type="paragraph" w:customStyle="1" w:styleId="TestBody">
    <w:name w:val="Test Body"/>
    <w:rsid w:val="004E7A16"/>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4E7A16"/>
    <w:pPr>
      <w:numPr>
        <w:numId w:val="1"/>
      </w:numPr>
    </w:pPr>
  </w:style>
  <w:style w:type="paragraph" w:styleId="BalloonText">
    <w:name w:val="Balloon Text"/>
    <w:basedOn w:val="Normal"/>
    <w:link w:val="BalloonTextChar"/>
    <w:rsid w:val="00AA1E96"/>
    <w:rPr>
      <w:rFonts w:ascii="Tahoma" w:hAnsi="Tahoma" w:cs="Tahoma"/>
      <w:sz w:val="16"/>
      <w:szCs w:val="16"/>
    </w:rPr>
  </w:style>
  <w:style w:type="character" w:customStyle="1" w:styleId="BalloonTextChar">
    <w:name w:val="Balloon Text Char"/>
    <w:basedOn w:val="DefaultParagraphFont"/>
    <w:link w:val="BalloonText"/>
    <w:rsid w:val="00AA1E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452792746">
      <w:bodyDiv w:val="1"/>
      <w:marLeft w:val="0"/>
      <w:marRight w:val="0"/>
      <w:marTop w:val="0"/>
      <w:marBottom w:val="0"/>
      <w:divBdr>
        <w:top w:val="none" w:sz="0" w:space="0" w:color="auto"/>
        <w:left w:val="none" w:sz="0" w:space="0" w:color="auto"/>
        <w:bottom w:val="none" w:sz="0" w:space="0" w:color="auto"/>
        <w:right w:val="none" w:sz="0" w:space="0" w:color="auto"/>
      </w:divBdr>
    </w:div>
    <w:div w:id="179270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DF5022C8CA9C74EAC24E02BF6DDE455" ma:contentTypeVersion="143" ma:contentTypeDescription="" ma:contentTypeScope="" ma:versionID="e2ba8f076305413dc1d294c92ceeae9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2011-05-16T07:00:00+00:00</OpenedDate>
    <Date1 xmlns="dc463f71-b30c-4ab2-9473-d307f9d35888">2011-05-16T07:00:00+00:00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110877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15CD5D4-9F5F-4719-95E1-1DD31832AC98}"/>
</file>

<file path=customXml/itemProps2.xml><?xml version="1.0" encoding="utf-8"?>
<ds:datastoreItem xmlns:ds="http://schemas.openxmlformats.org/officeDocument/2006/customXml" ds:itemID="{FD61EFD8-3001-4CD8-91B4-49D6105F8698}"/>
</file>

<file path=customXml/itemProps3.xml><?xml version="1.0" encoding="utf-8"?>
<ds:datastoreItem xmlns:ds="http://schemas.openxmlformats.org/officeDocument/2006/customXml" ds:itemID="{21054C52-B281-455B-88E8-F27C20249EB3}"/>
</file>

<file path=customXml/itemProps4.xml><?xml version="1.0" encoding="utf-8"?>
<ds:datastoreItem xmlns:ds="http://schemas.openxmlformats.org/officeDocument/2006/customXml" ds:itemID="{D4D7CDA3-78BD-4169-AA5D-296025A1C22A}"/>
</file>

<file path=customXml/itemProps5.xml><?xml version="1.0" encoding="utf-8"?>
<ds:datastoreItem xmlns:ds="http://schemas.openxmlformats.org/officeDocument/2006/customXml" ds:itemID="{08BAE237-C8BC-4921-8343-6B8ADAA48F5F}"/>
</file>

<file path=docProps/app.xml><?xml version="1.0" encoding="utf-8"?>
<Properties xmlns="http://schemas.openxmlformats.org/officeDocument/2006/extended-properties" xmlns:vt="http://schemas.openxmlformats.org/officeDocument/2006/docPropsVTypes">
  <Template>Normal.dotm</Template>
  <TotalTime>28</TotalTime>
  <Pages>12</Pages>
  <Words>2519</Words>
  <Characters>13613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16100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dc:description/>
  <cp:lastModifiedBy>Patrick Ehrbar</cp:lastModifiedBy>
  <cp:revision>6</cp:revision>
  <cp:lastPrinted>2010-03-17T00:31:00Z</cp:lastPrinted>
  <dcterms:created xsi:type="dcterms:W3CDTF">2011-05-10T18:09:00Z</dcterms:created>
  <dcterms:modified xsi:type="dcterms:W3CDTF">2011-05-11T14:26:00Z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0x0101006E56B4D1795A2E4DB2F0B01679ED314A001DF5022C8CA9C74EAC24E02BF6DDE455</vt:lpwstr>
  </property>
  <property fmtid="{D5CDD505-2E9C-101B-9397-08002B2CF9AE}" pid="3" name="_docset_NoMedatataSyncRequired">
    <vt:lpwstr>False</vt:lpwstr>
  </property>
</Properties>
</file>