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593E33">
        <w:t>1</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70A5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address">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876525">
        <w:rPr>
          <w:rFonts w:ascii="Times New Roman" w:hAnsi="Times New Roman" w:cs="Times New Roman"/>
        </w:rPr>
        <w:t>January 20</w:t>
      </w:r>
      <w:r w:rsidR="00593E33">
        <w:rPr>
          <w:rFonts w:ascii="Times New Roman" w:hAnsi="Times New Roman" w:cs="Times New Roman"/>
        </w:rPr>
        <w:t>10</w:t>
      </w:r>
      <w:r w:rsidRPr="00BE21E7">
        <w:rPr>
          <w:rFonts w:ascii="Times New Roman" w:hAnsi="Times New Roman" w:cs="Times New Roman"/>
        </w:rPr>
        <w:t xml:space="preserve"> through </w:t>
      </w:r>
      <w:r w:rsidR="00876525">
        <w:rPr>
          <w:rFonts w:ascii="Times New Roman" w:hAnsi="Times New Roman" w:cs="Times New Roman"/>
        </w:rPr>
        <w:t>December</w:t>
      </w:r>
      <w:r w:rsidRPr="00BE21E7">
        <w:rPr>
          <w:rFonts w:ascii="Times New Roman" w:hAnsi="Times New Roman" w:cs="Times New Roman"/>
        </w:rPr>
        <w:t xml:space="preserve"> 20</w:t>
      </w:r>
      <w:r w:rsidR="00593E33">
        <w:rPr>
          <w:rFonts w:ascii="Times New Roman" w:hAnsi="Times New Roman" w:cs="Times New Roman"/>
        </w:rPr>
        <w:t>10</w:t>
      </w:r>
      <w:r w:rsidRPr="00BE21E7">
        <w:rPr>
          <w:rFonts w:ascii="Times New Roman" w:hAnsi="Times New Roman" w:cs="Times New Roman"/>
        </w:rPr>
        <w:t xml:space="preserve"> test period power supply revenues and expenses, and 2) describe the proposed level of expense and retail revenue credit for </w:t>
      </w:r>
      <w:r w:rsidR="00431EB0">
        <w:rPr>
          <w:rFonts w:ascii="Times New Roman" w:hAnsi="Times New Roman" w:cs="Times New Roman"/>
        </w:rPr>
        <w:t>Energy Recovery Mechanism (</w:t>
      </w:r>
      <w:r w:rsidRPr="00BE21E7">
        <w:rPr>
          <w:rFonts w:ascii="Times New Roman" w:hAnsi="Times New Roman" w:cs="Times New Roman"/>
        </w:rPr>
        <w:t>ERM</w:t>
      </w:r>
      <w:r w:rsidR="00431EB0">
        <w:rPr>
          <w:rFonts w:ascii="Times New Roman" w:hAnsi="Times New Roman" w:cs="Times New Roman"/>
        </w:rPr>
        <w:t>)</w:t>
      </w:r>
      <w:r w:rsidRPr="00BE21E7">
        <w:rPr>
          <w:rFonts w:ascii="Times New Roman" w:hAnsi="Times New Roman" w:cs="Times New Roman"/>
        </w:rPr>
        <w:t xml:space="preserve"> purposes, using the pro forma costs proposed by the </w:t>
      </w:r>
      <w:r w:rsidRPr="00BE21E7">
        <w:rPr>
          <w:rFonts w:ascii="Times New Roman" w:hAnsi="Times New Roman" w:cs="Times New Roman"/>
        </w:rPr>
        <w:lastRenderedPageBreak/>
        <w:t xml:space="preserve">Company in this filing. </w:t>
      </w:r>
      <w:r w:rsidR="00DC7D94">
        <w:rPr>
          <w:rFonts w:ascii="Times New Roman" w:hAnsi="Times New Roman" w:cs="Times New Roman"/>
        </w:rPr>
        <w:t xml:space="preserve"> My testimony also shows the change in power supply expense incorporating the Energy Efficiency Load Adjustment proposed by the Company in this case.</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751E45" w:rsidRPr="00A774E3">
        <w:rPr>
          <w:rFonts w:ascii="Times New Roman" w:hAnsi="Times New Roman" w:cs="Times New Roman"/>
        </w:rPr>
        <w:t>6</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5F4F7A" w:rsidRPr="00A774E3">
        <w:rPr>
          <w:rFonts w:ascii="Times New Roman" w:hAnsi="Times New Roman" w:cs="Times New Roman"/>
        </w:rPr>
        <w:t xml:space="preserve">and short-term purchase and sales </w:t>
      </w:r>
      <w:r w:rsidR="00F22C09" w:rsidRPr="00A774E3">
        <w:rPr>
          <w:rFonts w:ascii="Times New Roman" w:hAnsi="Times New Roman" w:cs="Times New Roman"/>
        </w:rPr>
        <w:t xml:space="preserve">by month for each plant.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 xml:space="preserve">WGJ-5).  </w:t>
      </w:r>
      <w:r w:rsidR="006D5BF7" w:rsidRPr="00A774E3">
        <w:rPr>
          <w:rFonts w:ascii="Times New Roman" w:hAnsi="Times New Roman" w:cs="Times New Roman"/>
        </w:rPr>
        <w:t>Exhibit</w:t>
      </w:r>
      <w:r w:rsidR="00F22C09" w:rsidRPr="00A774E3">
        <w:rPr>
          <w:rFonts w:ascii="Times New Roman" w:hAnsi="Times New Roman" w:cs="Times New Roman"/>
        </w:rPr>
        <w:t xml:space="preserve"> No._</w:t>
      </w:r>
      <w:r w:rsidR="0012703B" w:rsidRPr="00A774E3">
        <w:rPr>
          <w:rFonts w:ascii="Times New Roman" w:hAnsi="Times New Roman" w:cs="Times New Roman"/>
        </w:rPr>
        <w:t>_ (</w:t>
      </w:r>
      <w:r w:rsidR="00DC7D94" w:rsidRPr="00A774E3">
        <w:rPr>
          <w:rFonts w:ascii="Times New Roman" w:hAnsi="Times New Roman" w:cs="Times New Roman"/>
        </w:rPr>
        <w:t>WGJ-</w:t>
      </w:r>
      <w:r w:rsidR="00F22C09" w:rsidRPr="00A774E3">
        <w:rPr>
          <w:rFonts w:ascii="Times New Roman" w:hAnsi="Times New Roman" w:cs="Times New Roman"/>
        </w:rPr>
        <w:t>6</w:t>
      </w:r>
      <w:r w:rsidR="00DC7D94" w:rsidRPr="00A774E3">
        <w:rPr>
          <w:rFonts w:ascii="Times New Roman" w:hAnsi="Times New Roman" w:cs="Times New Roman"/>
        </w:rPr>
        <w:t xml:space="preserve">) </w:t>
      </w:r>
      <w:r w:rsidR="006D5BF7" w:rsidRPr="00A774E3">
        <w:rPr>
          <w:rFonts w:ascii="Times New Roman" w:hAnsi="Times New Roman" w:cs="Times New Roman"/>
        </w:rPr>
        <w:t>identifies the power supply expense and revenue without the Energy Efficiency Load Adjustment</w:t>
      </w:r>
      <w:r w:rsidR="00A774E3">
        <w:rPr>
          <w:rFonts w:ascii="Times New Roman" w:hAnsi="Times New Roman" w:cs="Times New Roman"/>
        </w:rPr>
        <w:t>,</w:t>
      </w:r>
      <w:r w:rsidR="006D5BF7" w:rsidRPr="00A774E3">
        <w:rPr>
          <w:rFonts w:ascii="Times New Roman" w:hAnsi="Times New Roman" w:cs="Times New Roman"/>
        </w:rPr>
        <w:t xml:space="preserve"> and </w:t>
      </w:r>
      <w:r w:rsidR="00F22C09" w:rsidRPr="00A774E3">
        <w:rPr>
          <w:rFonts w:ascii="Times New Roman" w:hAnsi="Times New Roman" w:cs="Times New Roman"/>
        </w:rPr>
        <w:t xml:space="preserve">is provided for information purposes to </w:t>
      </w:r>
      <w:r w:rsidR="007D09A6" w:rsidRPr="00A774E3">
        <w:rPr>
          <w:rFonts w:ascii="Times New Roman" w:hAnsi="Times New Roman" w:cs="Times New Roman"/>
        </w:rPr>
        <w:t xml:space="preserve">isolate </w:t>
      </w:r>
      <w:r w:rsidR="0012703B" w:rsidRPr="00A774E3">
        <w:rPr>
          <w:rFonts w:ascii="Times New Roman" w:hAnsi="Times New Roman" w:cs="Times New Roman"/>
        </w:rPr>
        <w:t>the impact</w:t>
      </w:r>
      <w:r w:rsidR="00F22C09" w:rsidRPr="00A774E3">
        <w:rPr>
          <w:rFonts w:ascii="Times New Roman" w:hAnsi="Times New Roman" w:cs="Times New Roman"/>
        </w:rPr>
        <w:t xml:space="preserve"> of </w:t>
      </w:r>
      <w:r w:rsidR="00DC7D94" w:rsidRPr="00A774E3">
        <w:rPr>
          <w:rFonts w:ascii="Times New Roman" w:hAnsi="Times New Roman" w:cs="Times New Roman"/>
        </w:rPr>
        <w:t>the Energy Efficiency Load Adjustment</w:t>
      </w:r>
      <w:r w:rsidR="00F22C09" w:rsidRPr="00A774E3">
        <w:rPr>
          <w:rFonts w:ascii="Times New Roman" w:hAnsi="Times New Roman" w:cs="Times New Roman"/>
        </w:rPr>
        <w:t xml:space="preserve"> on power supply expense</w:t>
      </w:r>
      <w:r w:rsidR="00DC7D94" w:rsidRPr="00A774E3">
        <w:rPr>
          <w:rFonts w:ascii="Times New Roman" w:hAnsi="Times New Roman" w:cs="Times New Roman"/>
        </w:rPr>
        <w:t xml:space="preserve">.  </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r>
        <w:rPr>
          <w:rFonts w:ascii="Times New Roman" w:hAnsi="Times New Roman" w:cs="Times New Roman"/>
          <w:b/>
          <w:bCs/>
        </w:rPr>
        <w:t>other C</w:t>
      </w:r>
      <w:r w:rsidR="00BE21E7" w:rsidRPr="00BE21E7">
        <w:rPr>
          <w:rFonts w:ascii="Times New Roman" w:hAnsi="Times New Roman" w:cs="Times New Roman"/>
          <w:b/>
          <w:bCs/>
        </w:rPr>
        <w:t>ompany witnesses providing testimony regarding issues you are addressing?</w:t>
      </w:r>
    </w:p>
    <w:p w:rsidR="00BE21E7" w:rsidRDefault="00BE21E7"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Company witness Mr. Kalich provides detailed testimony on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used by the Company to develop short-term power purchase expense, fuel expense and short-term power sales revenue included in my exhibits.  </w:t>
      </w:r>
      <w:r w:rsidR="00751E45">
        <w:rPr>
          <w:rFonts w:ascii="Times New Roman" w:hAnsi="Times New Roman" w:cs="Times New Roman"/>
        </w:rPr>
        <w:t>Mr. Ehrbar addresses the Energy Efficiency Load Adjustment in his testimony.</w:t>
      </w:r>
    </w:p>
    <w:p w:rsidR="00CC1C97" w:rsidRPr="00BE21E7" w:rsidRDefault="00CC1C97" w:rsidP="007D09A6">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Pr="00BE21E7">
        <w:rPr>
          <w:rFonts w:ascii="Times New Roman" w:hAnsi="Times New Roman" w:cs="Times New Roman"/>
        </w:rPr>
        <w:t>test period and the pro forma period.  The table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6D5BF7">
        <w:rPr>
          <w:rFonts w:ascii="Times New Roman" w:hAnsi="Times New Roman" w:cs="Times New Roman"/>
        </w:rPr>
        <w:t>rates, which</w:t>
      </w:r>
      <w:r w:rsidRPr="00BE21E7">
        <w:rPr>
          <w:rFonts w:ascii="Times New Roman" w:hAnsi="Times New Roman" w:cs="Times New Roman"/>
        </w:rPr>
        <w:t xml:space="preserve"> is based on a calendar 20</w:t>
      </w:r>
      <w:r w:rsidR="00876525">
        <w:rPr>
          <w:rFonts w:ascii="Times New Roman" w:hAnsi="Times New Roman" w:cs="Times New Roman"/>
        </w:rPr>
        <w:t>1</w:t>
      </w:r>
      <w:r w:rsidR="00E700D9">
        <w:rPr>
          <w:rFonts w:ascii="Times New Roman" w:hAnsi="Times New Roman" w:cs="Times New Roman"/>
        </w:rPr>
        <w:t>1</w:t>
      </w:r>
      <w:r w:rsidRPr="00BE21E7">
        <w:rPr>
          <w:rFonts w:ascii="Times New Roman" w:hAnsi="Times New Roman" w:cs="Times New Roman"/>
        </w:rPr>
        <w:t xml:space="preserve"> pro forma period, is also shown.</w:t>
      </w:r>
    </w:p>
    <w:p w:rsidR="00BE21E7" w:rsidRPr="00C03549" w:rsidRDefault="00A402FE" w:rsidP="0072665A">
      <w:pPr>
        <w:pStyle w:val="TestBody"/>
        <w:spacing w:line="480" w:lineRule="auto"/>
        <w:ind w:left="0" w:firstLine="0"/>
        <w:rPr>
          <w:rFonts w:ascii="Times New Roman" w:hAnsi="Times New Roman" w:cs="Times New Roman"/>
        </w:rPr>
      </w:pPr>
      <w:r>
        <w:rPr>
          <w:noProof/>
        </w:rPr>
      </w:r>
      <w:r>
        <w:rPr>
          <w:rFonts w:ascii="Times New Roman" w:hAnsi="Times New Roman" w:cs="Times New Roman"/>
        </w:rPr>
        <w:pict>
          <v:group id="_x0000_s1072" editas="canvas" style="width:417.75pt;height:172.5pt;mso-position-horizontal-relative:char;mso-position-vertical-relative:line" coordorigin="-15,-15" coordsize="8355,3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5;top:-15;width:8355;height:3450" o:preferrelative="f">
              <v:fill o:detectmouseclick="t"/>
              <v:path o:extrusionok="t" o:connecttype="none"/>
              <o:lock v:ext="edit" text="t"/>
            </v:shape>
            <v:rect id="_x0000_s1073" style="position:absolute;width:8340;height:330" fillcolor="#d7e4bc" stroked="f"/>
            <v:rect id="_x0000_s1074" style="position:absolute;left:2475;top:30;width:2641;height:276;mso-wrap-style:none;v-text-anchor:top" filled="f" stroked="f">
              <v:textbox style="mso-fit-shape-to-text:t" inset="0,0,0,0">
                <w:txbxContent>
                  <w:p w:rsidR="00A402FE" w:rsidRDefault="00A402FE">
                    <w:r>
                      <w:rPr>
                        <w:rFonts w:ascii="Arial" w:hAnsi="Arial" w:cs="Arial"/>
                        <w:b/>
                        <w:bCs/>
                        <w:color w:val="000000"/>
                      </w:rPr>
                      <w:t>Power Supply Expense</w:t>
                    </w:r>
                  </w:p>
                </w:txbxContent>
              </v:textbox>
            </v:rect>
            <v:rect id="_x0000_s1075" style="position:absolute;left:7215;top:750;width:667;height:230;mso-wrap-style:none;v-text-anchor:top" filled="f" stroked="f">
              <v:textbox style="mso-fit-shape-to-text:t" inset="0,0,0,0">
                <w:txbxContent>
                  <w:p w:rsidR="00A402FE" w:rsidRDefault="00A402FE">
                    <w:r>
                      <w:rPr>
                        <w:rFonts w:ascii="Arial" w:hAnsi="Arial" w:cs="Arial"/>
                        <w:color w:val="000000"/>
                        <w:sz w:val="20"/>
                        <w:szCs w:val="20"/>
                      </w:rPr>
                      <w:t>System</w:t>
                    </w:r>
                  </w:p>
                </w:txbxContent>
              </v:textbox>
            </v:rect>
            <v:rect id="_x0000_s1076" style="position:absolute;left:7215;top:960;width:675;height:15" fillcolor="black" stroked="f"/>
            <v:rect id="_x0000_s1077" style="position:absolute;left:45;top:1125;width:5637;height:230;mso-wrap-style:none;v-text-anchor:top" filled="f" stroked="f">
              <v:textbox style="mso-fit-shape-to-text:t" inset="0,0,0,0">
                <w:txbxContent>
                  <w:p w:rsidR="00A402FE" w:rsidRDefault="00A402FE">
                    <w:r>
                      <w:rPr>
                        <w:rFonts w:ascii="Arial" w:hAnsi="Arial" w:cs="Arial"/>
                        <w:color w:val="000000"/>
                        <w:sz w:val="20"/>
                        <w:szCs w:val="20"/>
                      </w:rPr>
                      <w:t>Power Supply Expense in Current Base Rates (2011 pro forma)</w:t>
                    </w:r>
                  </w:p>
                </w:txbxContent>
              </v:textbox>
            </v:rect>
            <v:rect id="_x0000_s1078" style="position:absolute;left:6975;top:1125;width:1224;height:230;mso-wrap-style:none;v-text-anchor:top" filled="f" stroked="f">
              <v:textbox style="mso-fit-shape-to-text:t" inset="0,0,0,0">
                <w:txbxContent>
                  <w:p w:rsidR="00A402FE" w:rsidRDefault="00A402FE">
                    <w:r>
                      <w:rPr>
                        <w:rFonts w:ascii="Arial" w:hAnsi="Arial" w:cs="Arial"/>
                        <w:color w:val="000000"/>
                        <w:sz w:val="20"/>
                        <w:szCs w:val="20"/>
                      </w:rPr>
                      <w:t>$199,609,000</w:t>
                    </w:r>
                  </w:p>
                </w:txbxContent>
              </v:textbox>
            </v:rect>
            <v:rect id="_x0000_s1079" style="position:absolute;left:45;top:1635;width:4147;height:230;mso-wrap-style:none;v-text-anchor:top" filled="f" stroked="f">
              <v:textbox style="mso-fit-shape-to-text:t" inset="0,0,0,0">
                <w:txbxContent>
                  <w:p w:rsidR="00A402FE" w:rsidRDefault="00A402FE">
                    <w:r>
                      <w:rPr>
                        <w:rFonts w:ascii="Arial" w:hAnsi="Arial" w:cs="Arial"/>
                        <w:color w:val="000000"/>
                        <w:sz w:val="20"/>
                        <w:szCs w:val="20"/>
                      </w:rPr>
                      <w:t>Actual Jan 10 - Dec 10 Power Supply Expense</w:t>
                    </w:r>
                  </w:p>
                </w:txbxContent>
              </v:textbox>
            </v:rect>
            <v:rect id="_x0000_s1080" style="position:absolute;left:6975;top:1635;width:1224;height:230;mso-wrap-style:none;v-text-anchor:top" filled="f" stroked="f">
              <v:textbox style="mso-fit-shape-to-text:t" inset="0,0,0,0">
                <w:txbxContent>
                  <w:p w:rsidR="00A402FE" w:rsidRDefault="00A402FE">
                    <w:r>
                      <w:rPr>
                        <w:rFonts w:ascii="Arial" w:hAnsi="Arial" w:cs="Arial"/>
                        <w:color w:val="000000"/>
                        <w:sz w:val="20"/>
                        <w:szCs w:val="20"/>
                      </w:rPr>
                      <w:t>$190,323,000</w:t>
                    </w:r>
                  </w:p>
                </w:txbxContent>
              </v:textbox>
            </v:rect>
            <v:rect id="_x0000_s1081" style="position:absolute;left:45;top:2145;width:2524;height:230;mso-wrap-style:none;v-text-anchor:top" filled="f" stroked="f">
              <v:textbox style="mso-fit-shape-to-text:t" inset="0,0,0,0">
                <w:txbxContent>
                  <w:p w:rsidR="00A402FE" w:rsidRDefault="00A402FE">
                    <w:r>
                      <w:rPr>
                        <w:rFonts w:ascii="Arial" w:hAnsi="Arial" w:cs="Arial"/>
                        <w:color w:val="000000"/>
                        <w:sz w:val="20"/>
                        <w:szCs w:val="20"/>
                      </w:rPr>
                      <w:t xml:space="preserve">    Adjustment to Test Period</w:t>
                    </w:r>
                  </w:p>
                </w:txbxContent>
              </v:textbox>
            </v:rect>
            <v:rect id="_x0000_s1082" style="position:absolute;left:7020;top:2145;width:1113;height:230;mso-wrap-style:none;v-text-anchor:top" filled="f" stroked="f">
              <v:textbox style="mso-fit-shape-to-text:t" inset="0,0,0,0">
                <w:txbxContent>
                  <w:p w:rsidR="00A402FE" w:rsidRDefault="00A402FE">
                    <w:r>
                      <w:rPr>
                        <w:rFonts w:ascii="Arial" w:hAnsi="Arial" w:cs="Arial"/>
                        <w:color w:val="000000"/>
                        <w:sz w:val="20"/>
                        <w:szCs w:val="20"/>
                      </w:rPr>
                      <w:t>$18,309,000</w:t>
                    </w:r>
                  </w:p>
                </w:txbxContent>
              </v:textbox>
            </v:rect>
            <v:rect id="_x0000_s1083" style="position:absolute;left:45;top:2655;width:4414;height:230;mso-wrap-style:none;v-text-anchor:top" filled="f" stroked="f">
              <v:textbox style="mso-fit-shape-to-text:t" inset="0,0,0,0">
                <w:txbxContent>
                  <w:p w:rsidR="00A402FE" w:rsidRDefault="00A402FE">
                    <w:r>
                      <w:rPr>
                        <w:rFonts w:ascii="Arial" w:hAnsi="Arial" w:cs="Arial"/>
                        <w:color w:val="000000"/>
                        <w:sz w:val="20"/>
                        <w:szCs w:val="20"/>
                      </w:rPr>
                      <w:t xml:space="preserve">Proposed 2012 Pro forma Power Supply Expense </w:t>
                    </w:r>
                  </w:p>
                </w:txbxContent>
              </v:textbox>
            </v:rect>
            <v:rect id="_x0000_s1084" style="position:absolute;left:6975;top:2655;width:1224;height:230;mso-wrap-style:none;v-text-anchor:top" filled="f" stroked="f">
              <v:textbox style="mso-fit-shape-to-text:t" inset="0,0,0,0">
                <w:txbxContent>
                  <w:p w:rsidR="00A402FE" w:rsidRDefault="00A402FE">
                    <w:r>
                      <w:rPr>
                        <w:rFonts w:ascii="Arial" w:hAnsi="Arial" w:cs="Arial"/>
                        <w:color w:val="000000"/>
                        <w:sz w:val="20"/>
                        <w:szCs w:val="20"/>
                      </w:rPr>
                      <w:t>$208,632,000</w:t>
                    </w:r>
                  </w:p>
                </w:txbxContent>
              </v:textbox>
            </v:rect>
            <v:rect id="_x0000_s1085" style="position:absolute;left:45;top:3165;width:3735;height:230;mso-wrap-style:none;v-text-anchor:top" filled="f" stroked="f">
              <v:textbox style="mso-fit-shape-to-text:t" inset="0,0,0,0">
                <w:txbxContent>
                  <w:p w:rsidR="00A402FE" w:rsidRDefault="00A402FE">
                    <w:r>
                      <w:rPr>
                        <w:rFonts w:ascii="Arial" w:hAnsi="Arial" w:cs="Arial"/>
                        <w:color w:val="000000"/>
                        <w:sz w:val="20"/>
                        <w:szCs w:val="20"/>
                      </w:rPr>
                      <w:t xml:space="preserve">   Increase from Expense in Current Rates</w:t>
                    </w:r>
                  </w:p>
                </w:txbxContent>
              </v:textbox>
            </v:rect>
            <v:rect id="_x0000_s1086" style="position:absolute;left:7080;top:3165;width:1001;height:230;mso-wrap-style:none;v-text-anchor:top" filled="f" stroked="f">
              <v:textbox style="mso-fit-shape-to-text:t" inset="0,0,0,0">
                <w:txbxContent>
                  <w:p w:rsidR="00A402FE" w:rsidRDefault="00A402FE">
                    <w:r>
                      <w:rPr>
                        <w:rFonts w:ascii="Arial" w:hAnsi="Arial" w:cs="Arial"/>
                        <w:color w:val="000000"/>
                        <w:sz w:val="20"/>
                        <w:szCs w:val="20"/>
                      </w:rPr>
                      <w:t>$9,023,000</w:t>
                    </w:r>
                  </w:p>
                </w:txbxContent>
              </v:textbox>
            </v:rect>
            <v:rect id="_x0000_s1087" style="position:absolute;left:-15;top:-15;width:30;height:3450" fillcolor="black" stroked="f"/>
            <v:rect id="_x0000_s1088" style="position:absolute;left:8310;top:15;width:30;height:3420" fillcolor="black" stroked="f"/>
            <v:rect id="_x0000_s1089" style="position:absolute;left:15;top:-15;width:8325;height:30" fillcolor="black" stroked="f"/>
            <v:rect id="_x0000_s1090" style="position:absolute;left:15;top:3405;width:8325;height:30" fillcolor="black" stroked="f"/>
            <w10:wrap type="none"/>
            <w10:anchorlock/>
          </v:group>
        </w:pic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an increase of </w:t>
      </w:r>
      <w:r w:rsidRPr="0072665A">
        <w:rPr>
          <w:rFonts w:ascii="Times New Roman" w:hAnsi="Times New Roman" w:cs="Times New Roman"/>
        </w:rPr>
        <w:t>$</w:t>
      </w:r>
      <w:r w:rsidR="007D09A6">
        <w:rPr>
          <w:rFonts w:ascii="Times New Roman" w:hAnsi="Times New Roman" w:cs="Times New Roman"/>
        </w:rPr>
        <w:t>18</w:t>
      </w:r>
      <w:r w:rsidR="00C579DD">
        <w:rPr>
          <w:rFonts w:ascii="Times New Roman" w:hAnsi="Times New Roman" w:cs="Times New Roman"/>
        </w:rPr>
        <w:t>,</w:t>
      </w:r>
      <w:r w:rsidR="007D09A6">
        <w:rPr>
          <w:rFonts w:ascii="Times New Roman" w:hAnsi="Times New Roman" w:cs="Times New Roman"/>
        </w:rPr>
        <w:t>309</w:t>
      </w:r>
      <w:r w:rsidR="0072665A" w:rsidRPr="0072665A">
        <w:rPr>
          <w:rFonts w:ascii="Times New Roman" w:hAnsi="Times New Roman" w:cs="Times New Roman"/>
        </w:rPr>
        <w:t>,00</w:t>
      </w:r>
      <w:r w:rsidRPr="0072665A">
        <w:rPr>
          <w:rFonts w:ascii="Times New Roman" w:hAnsi="Times New Roman" w:cs="Times New Roman"/>
        </w:rPr>
        <w:t>0 ($2</w:t>
      </w:r>
      <w:r w:rsidR="00954DB7">
        <w:rPr>
          <w:rFonts w:ascii="Times New Roman" w:hAnsi="Times New Roman" w:cs="Times New Roman"/>
        </w:rPr>
        <w:t>08</w:t>
      </w:r>
      <w:r w:rsidRPr="0072665A">
        <w:rPr>
          <w:rFonts w:ascii="Times New Roman" w:hAnsi="Times New Roman" w:cs="Times New Roman"/>
        </w:rPr>
        <w:t>,</w:t>
      </w:r>
      <w:r w:rsidR="00954DB7">
        <w:rPr>
          <w:rFonts w:ascii="Times New Roman" w:hAnsi="Times New Roman" w:cs="Times New Roman"/>
        </w:rPr>
        <w:t>632</w:t>
      </w:r>
      <w:r w:rsidRPr="0072665A">
        <w:rPr>
          <w:rFonts w:ascii="Times New Roman" w:hAnsi="Times New Roman" w:cs="Times New Roman"/>
        </w:rPr>
        <w:t>,000 - $1</w:t>
      </w:r>
      <w:r w:rsidR="00C579DD">
        <w:rPr>
          <w:rFonts w:ascii="Times New Roman" w:hAnsi="Times New Roman" w:cs="Times New Roman"/>
        </w:rPr>
        <w:t>90</w:t>
      </w:r>
      <w:r w:rsidRPr="0072665A">
        <w:rPr>
          <w:rFonts w:ascii="Times New Roman" w:hAnsi="Times New Roman" w:cs="Times New Roman"/>
        </w:rPr>
        <w:t>,</w:t>
      </w:r>
      <w:r w:rsidR="00C579DD">
        <w:rPr>
          <w:rFonts w:ascii="Times New Roman" w:hAnsi="Times New Roman" w:cs="Times New Roman"/>
        </w:rPr>
        <w:t>323</w:t>
      </w:r>
      <w:r w:rsidRPr="0072665A">
        <w:rPr>
          <w:rFonts w:ascii="Times New Roman" w:hAnsi="Times New Roman" w:cs="Times New Roman"/>
        </w:rPr>
        <w:t>,000)</w:t>
      </w:r>
      <w:r w:rsidR="00407CC1">
        <w:rPr>
          <w:rFonts w:ascii="Times New Roman" w:hAnsi="Times New Roman" w:cs="Times New Roman"/>
        </w:rPr>
        <w:t xml:space="preserve"> on a system basis</w:t>
      </w:r>
      <w:r w:rsidRPr="00BE21E7">
        <w:rPr>
          <w:rFonts w:ascii="Times New Roman" w:hAnsi="Times New Roman" w:cs="Times New Roman"/>
        </w:rPr>
        <w:t xml:space="preserve">. </w:t>
      </w:r>
    </w:p>
    <w:p w:rsidR="00BE21E7" w:rsidRPr="00BE21E7" w:rsidRDefault="00BE21E7" w:rsidP="004C0725">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increase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7D09A6">
        <w:rPr>
          <w:rFonts w:ascii="Times New Roman" w:hAnsi="Times New Roman" w:cs="Times New Roman"/>
        </w:rPr>
        <w:t>9</w:t>
      </w:r>
      <w:r w:rsidR="00817F2D">
        <w:rPr>
          <w:rFonts w:ascii="Times New Roman" w:hAnsi="Times New Roman" w:cs="Times New Roman"/>
        </w:rPr>
        <w:t>,</w:t>
      </w:r>
      <w:r w:rsidR="007D09A6">
        <w:rPr>
          <w:rFonts w:ascii="Times New Roman" w:hAnsi="Times New Roman" w:cs="Times New Roman"/>
        </w:rPr>
        <w:t>023</w:t>
      </w:r>
      <w:r w:rsidRPr="0072665A">
        <w:rPr>
          <w:rFonts w:ascii="Times New Roman" w:hAnsi="Times New Roman" w:cs="Times New Roman"/>
        </w:rPr>
        <w:t>,</w:t>
      </w:r>
      <w:r w:rsidR="00817F2D">
        <w:rPr>
          <w:rFonts w:ascii="Times New Roman" w:hAnsi="Times New Roman" w:cs="Times New Roman"/>
        </w:rPr>
        <w:t>000</w:t>
      </w:r>
      <w:r w:rsidRPr="0072665A">
        <w:rPr>
          <w:rFonts w:ascii="Times New Roman" w:hAnsi="Times New Roman" w:cs="Times New Roman"/>
        </w:rPr>
        <w:t xml:space="preserve"> (system) and $</w:t>
      </w:r>
      <w:r w:rsidR="007D09A6">
        <w:rPr>
          <w:rFonts w:ascii="Times New Roman" w:hAnsi="Times New Roman" w:cs="Times New Roman"/>
        </w:rPr>
        <w:t>5</w:t>
      </w:r>
      <w:r w:rsidRPr="0072665A">
        <w:rPr>
          <w:rFonts w:ascii="Times New Roman" w:hAnsi="Times New Roman" w:cs="Times New Roman"/>
        </w:rPr>
        <w:t>,</w:t>
      </w:r>
      <w:r w:rsidR="007D09A6">
        <w:rPr>
          <w:rFonts w:ascii="Times New Roman" w:hAnsi="Times New Roman" w:cs="Times New Roman"/>
        </w:rPr>
        <w:t>879</w:t>
      </w:r>
      <w:r w:rsidR="00E273CB" w:rsidRPr="0072665A">
        <w:rPr>
          <w:rFonts w:ascii="Times New Roman" w:hAnsi="Times New Roman" w:cs="Times New Roman"/>
        </w:rPr>
        <w:t>,</w:t>
      </w:r>
      <w:r w:rsidR="00200197">
        <w:rPr>
          <w:rFonts w:ascii="Times New Roman" w:hAnsi="Times New Roman" w:cs="Times New Roman"/>
        </w:rPr>
        <w:t xml:space="preserve">000 (Washington allocation).  </w:t>
      </w:r>
    </w:p>
    <w:p w:rsidR="00BE21E7" w:rsidRPr="00BE21E7" w:rsidRDefault="00BE21E7"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What are the major factors driving the increased power supply expense in the pro forma year over the level of power supply expense currently in base rates?</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The level of power supply expense currently in base rates is </w:t>
      </w:r>
      <w:r w:rsidR="00876525">
        <w:rPr>
          <w:rFonts w:ascii="Times New Roman" w:hAnsi="Times New Roman" w:cs="Times New Roman"/>
        </w:rPr>
        <w:t>$1</w:t>
      </w:r>
      <w:r w:rsidR="00C579DD">
        <w:rPr>
          <w:rFonts w:ascii="Times New Roman" w:hAnsi="Times New Roman" w:cs="Times New Roman"/>
        </w:rPr>
        <w:t>99</w:t>
      </w:r>
      <w:r w:rsidR="00876525">
        <w:rPr>
          <w:rFonts w:ascii="Times New Roman" w:hAnsi="Times New Roman" w:cs="Times New Roman"/>
        </w:rPr>
        <w:t>,</w:t>
      </w:r>
      <w:r w:rsidR="00C579DD">
        <w:rPr>
          <w:rFonts w:ascii="Times New Roman" w:hAnsi="Times New Roman" w:cs="Times New Roman"/>
        </w:rPr>
        <w:t>609</w:t>
      </w:r>
      <w:r w:rsidR="00876525">
        <w:rPr>
          <w:rFonts w:ascii="Times New Roman" w:hAnsi="Times New Roman" w:cs="Times New Roman"/>
        </w:rPr>
        <w:t>,000</w:t>
      </w:r>
      <w:r w:rsidRPr="00BE21E7">
        <w:rPr>
          <w:rFonts w:ascii="Times New Roman" w:hAnsi="Times New Roman" w:cs="Times New Roman"/>
        </w:rPr>
        <w:t xml:space="preserve"> (system number).  This expense level is based on a calendar 20</w:t>
      </w:r>
      <w:r w:rsidR="00876525">
        <w:rPr>
          <w:rFonts w:ascii="Times New Roman" w:hAnsi="Times New Roman" w:cs="Times New Roman"/>
        </w:rPr>
        <w:t>1</w:t>
      </w:r>
      <w:r w:rsidR="00C579DD">
        <w:rPr>
          <w:rFonts w:ascii="Times New Roman" w:hAnsi="Times New Roman" w:cs="Times New Roman"/>
        </w:rPr>
        <w:t>1</w:t>
      </w:r>
      <w:r w:rsidR="00876525">
        <w:rPr>
          <w:rFonts w:ascii="Times New Roman" w:hAnsi="Times New Roman" w:cs="Times New Roman"/>
        </w:rPr>
        <w:t xml:space="preserve"> pro forma period.</w:t>
      </w:r>
      <w:r w:rsidRPr="00BE21E7">
        <w:rPr>
          <w:rFonts w:ascii="Times New Roman" w:hAnsi="Times New Roman" w:cs="Times New Roman"/>
        </w:rPr>
        <w:t xml:space="preserve">  This compares to the proposed </w:t>
      </w:r>
      <w:r w:rsidR="006D5BF7">
        <w:rPr>
          <w:rFonts w:ascii="Times New Roman" w:hAnsi="Times New Roman" w:cs="Times New Roman"/>
        </w:rPr>
        <w:t xml:space="preserve">2012 </w:t>
      </w:r>
      <w:r w:rsidRPr="00BE21E7">
        <w:rPr>
          <w:rFonts w:ascii="Times New Roman" w:hAnsi="Times New Roman" w:cs="Times New Roman"/>
        </w:rPr>
        <w:t>pro forma power supply expense of $</w:t>
      </w:r>
      <w:r w:rsidRPr="00691CB7">
        <w:rPr>
          <w:rFonts w:ascii="Times New Roman" w:hAnsi="Times New Roman" w:cs="Times New Roman"/>
        </w:rPr>
        <w:t>2</w:t>
      </w:r>
      <w:r w:rsidR="0003296D">
        <w:rPr>
          <w:rFonts w:ascii="Times New Roman" w:hAnsi="Times New Roman" w:cs="Times New Roman"/>
        </w:rPr>
        <w:t>08</w:t>
      </w:r>
      <w:r w:rsidRPr="00691CB7">
        <w:rPr>
          <w:rFonts w:ascii="Times New Roman" w:hAnsi="Times New Roman" w:cs="Times New Roman"/>
        </w:rPr>
        <w:t>,</w:t>
      </w:r>
      <w:r w:rsidR="0003296D">
        <w:rPr>
          <w:rFonts w:ascii="Times New Roman" w:hAnsi="Times New Roman" w:cs="Times New Roman"/>
        </w:rPr>
        <w:t>632</w:t>
      </w:r>
      <w:r w:rsidRPr="00691CB7">
        <w:rPr>
          <w:rFonts w:ascii="Times New Roman" w:hAnsi="Times New Roman" w:cs="Times New Roman"/>
        </w:rPr>
        <w:t>,000,</w:t>
      </w:r>
      <w:r w:rsidRPr="00BE21E7">
        <w:rPr>
          <w:rFonts w:ascii="Times New Roman" w:hAnsi="Times New Roman" w:cs="Times New Roman"/>
        </w:rPr>
        <w:t xml:space="preserve"> an increase of approximately </w:t>
      </w:r>
      <w:r w:rsidRPr="00691CB7">
        <w:rPr>
          <w:rFonts w:ascii="Times New Roman" w:hAnsi="Times New Roman" w:cs="Times New Roman"/>
        </w:rPr>
        <w:t>$</w:t>
      </w:r>
      <w:r w:rsidR="0003296D">
        <w:rPr>
          <w:rFonts w:ascii="Times New Roman" w:hAnsi="Times New Roman" w:cs="Times New Roman"/>
        </w:rPr>
        <w:t>9.0</w:t>
      </w:r>
      <w:r w:rsidRPr="00BE21E7">
        <w:rPr>
          <w:rFonts w:ascii="Times New Roman" w:hAnsi="Times New Roman" w:cs="Times New Roman"/>
        </w:rPr>
        <w:t xml:space="preserve"> million on a system basis and a Washington allocation of approximately </w:t>
      </w:r>
      <w:r w:rsidRPr="00691CB7">
        <w:rPr>
          <w:rFonts w:ascii="Times New Roman" w:hAnsi="Times New Roman" w:cs="Times New Roman"/>
        </w:rPr>
        <w:t>$</w:t>
      </w:r>
      <w:r w:rsidR="0003296D">
        <w:rPr>
          <w:rFonts w:ascii="Times New Roman" w:hAnsi="Times New Roman" w:cs="Times New Roman"/>
        </w:rPr>
        <w:t>5.9</w:t>
      </w:r>
      <w:r w:rsidRPr="00BE21E7">
        <w:rPr>
          <w:rFonts w:ascii="Times New Roman" w:hAnsi="Times New Roman" w:cs="Times New Roman"/>
        </w:rPr>
        <w:t xml:space="preserve"> million.</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 xml:space="preserve">This increase in pro forma power supply expense over the expense currently in base rates is caused by numerous factors, primarily </w:t>
      </w:r>
      <w:r w:rsidR="00580970">
        <w:rPr>
          <w:rFonts w:ascii="Times New Roman" w:hAnsi="Times New Roman" w:cs="Times New Roman"/>
        </w:rPr>
        <w:t>higher prices for market transactions</w:t>
      </w:r>
      <w:r w:rsidR="0071369A">
        <w:rPr>
          <w:rFonts w:ascii="Times New Roman" w:hAnsi="Times New Roman" w:cs="Times New Roman"/>
        </w:rPr>
        <w:t xml:space="preserve">, </w:t>
      </w:r>
      <w:r w:rsidR="00E00851">
        <w:rPr>
          <w:rFonts w:ascii="Times New Roman" w:hAnsi="Times New Roman" w:cs="Times New Roman"/>
        </w:rPr>
        <w:t>higher effective costs for Mid-</w:t>
      </w:r>
      <w:r w:rsidR="00580970">
        <w:rPr>
          <w:rFonts w:ascii="Times New Roman" w:hAnsi="Times New Roman" w:cs="Times New Roman"/>
        </w:rPr>
        <w:t>Columbia purchased hydro g</w:t>
      </w:r>
      <w:r w:rsidR="006D5BF7">
        <w:rPr>
          <w:rFonts w:ascii="Times New Roman" w:hAnsi="Times New Roman" w:cs="Times New Roman"/>
        </w:rPr>
        <w:t>eneration, with higher costs</w:t>
      </w:r>
      <w:r w:rsidR="00E00851">
        <w:rPr>
          <w:rFonts w:ascii="Times New Roman" w:hAnsi="Times New Roman" w:cs="Times New Roman"/>
        </w:rPr>
        <w:t xml:space="preserve"> partially offset by the Energy Efficiency Load Adjustment</w:t>
      </w:r>
      <w:r w:rsidRPr="00BE21E7">
        <w:rPr>
          <w:rFonts w:ascii="Times New Roman" w:hAnsi="Times New Roman" w:cs="Times New Roman"/>
        </w:rPr>
        <w:t>.</w:t>
      </w:r>
    </w:p>
    <w:p w:rsidR="009A2DAA" w:rsidRDefault="00580970" w:rsidP="00580970">
      <w:pPr>
        <w:pStyle w:val="BodyText"/>
        <w:spacing w:line="480" w:lineRule="auto"/>
        <w:ind w:firstLine="720"/>
        <w:jc w:val="both"/>
        <w:rPr>
          <w:b w:val="0"/>
        </w:rPr>
      </w:pPr>
      <w:r>
        <w:rPr>
          <w:b w:val="0"/>
          <w:bCs w:val="0"/>
        </w:rPr>
        <w:t xml:space="preserve">Overall, the pro forma in this case has 20.8 aMW more hydro generation than was in the 2010 general </w:t>
      </w:r>
      <w:r w:rsidR="0003296D">
        <w:rPr>
          <w:b w:val="0"/>
          <w:bCs w:val="0"/>
        </w:rPr>
        <w:t>rate case.  The cost of the Mid-</w:t>
      </w:r>
      <w:r>
        <w:rPr>
          <w:b w:val="0"/>
          <w:bCs w:val="0"/>
        </w:rPr>
        <w:t>Columbia purchased generation, however, is higher.  This is primarily a result of the expiration of the original Rocky Reach purchase agreement, which was priced at project cost (</w:t>
      </w:r>
      <w:r w:rsidR="00765BA1">
        <w:rPr>
          <w:b w:val="0"/>
          <w:bCs w:val="0"/>
        </w:rPr>
        <w:t>approximately $11.50/Mwh).  The Rocky Reach and Rock Island purchase in this pro forma was acquired through a competitive bid at market pric</w:t>
      </w:r>
      <w:r w:rsidR="0003296D">
        <w:rPr>
          <w:b w:val="0"/>
          <w:bCs w:val="0"/>
        </w:rPr>
        <w:t>es.  The cost for the other Mid-</w:t>
      </w:r>
      <w:r w:rsidR="00765BA1">
        <w:rPr>
          <w:b w:val="0"/>
          <w:bCs w:val="0"/>
        </w:rPr>
        <w:t>Columbia generation from the Wells project and the Priest Rapids project is also higher.  Overall the net effect of higher hydro generation cost is an increase of $3.1 million on a system basis</w:t>
      </w:r>
      <w:r w:rsidR="00765BA1" w:rsidRPr="00765BA1">
        <w:rPr>
          <w:b w:val="0"/>
        </w:rPr>
        <w:t xml:space="preserve"> </w:t>
      </w:r>
      <w:r w:rsidR="00765BA1" w:rsidRPr="00FB6544">
        <w:rPr>
          <w:b w:val="0"/>
        </w:rPr>
        <w:t>(</w:t>
      </w:r>
      <w:r w:rsidR="00765BA1">
        <w:rPr>
          <w:b w:val="0"/>
        </w:rPr>
        <w:t xml:space="preserve">$2.0 million </w:t>
      </w:r>
      <w:r w:rsidR="00765BA1" w:rsidRPr="00FB6544">
        <w:rPr>
          <w:b w:val="0"/>
        </w:rPr>
        <w:t>Washington allocation)</w:t>
      </w:r>
      <w:r w:rsidR="00A402FE">
        <w:rPr>
          <w:b w:val="0"/>
        </w:rPr>
        <w:t>.</w:t>
      </w:r>
    </w:p>
    <w:p w:rsidR="00AA2ED4" w:rsidRPr="00AA2ED4" w:rsidRDefault="00FB6544" w:rsidP="00AA2ED4">
      <w:pPr>
        <w:pStyle w:val="BodyText"/>
        <w:spacing w:line="480" w:lineRule="auto"/>
        <w:ind w:firstLine="720"/>
        <w:jc w:val="both"/>
        <w:rPr>
          <w:b w:val="0"/>
        </w:rPr>
      </w:pPr>
      <w:r w:rsidRPr="00FB6544">
        <w:rPr>
          <w:b w:val="0"/>
        </w:rPr>
        <w:t xml:space="preserve">Pro forma loads are </w:t>
      </w:r>
      <w:r w:rsidR="00E00851">
        <w:rPr>
          <w:b w:val="0"/>
        </w:rPr>
        <w:t>15.7</w:t>
      </w:r>
      <w:r w:rsidRPr="00FB6544">
        <w:rPr>
          <w:b w:val="0"/>
        </w:rPr>
        <w:t xml:space="preserve"> aMW </w:t>
      </w:r>
      <w:r w:rsidR="00E00851">
        <w:rPr>
          <w:b w:val="0"/>
        </w:rPr>
        <w:t>lower</w:t>
      </w:r>
      <w:r w:rsidRPr="00FB6544">
        <w:rPr>
          <w:b w:val="0"/>
        </w:rPr>
        <w:t xml:space="preserve"> than loads that current rates are </w:t>
      </w:r>
      <w:r w:rsidRPr="006D5BF7">
        <w:rPr>
          <w:b w:val="0"/>
        </w:rPr>
        <w:t>based</w:t>
      </w:r>
      <w:r w:rsidRPr="00FB6544">
        <w:rPr>
          <w:b w:val="0"/>
        </w:rPr>
        <w:t xml:space="preserve"> on</w:t>
      </w:r>
      <w:r w:rsidR="00E00851">
        <w:rPr>
          <w:b w:val="0"/>
        </w:rPr>
        <w:t xml:space="preserve"> due to </w:t>
      </w:r>
      <w:r w:rsidR="006D5BF7">
        <w:rPr>
          <w:b w:val="0"/>
        </w:rPr>
        <w:t xml:space="preserve">the reduced retail sales from the </w:t>
      </w:r>
      <w:r w:rsidR="00E00851">
        <w:rPr>
          <w:b w:val="0"/>
        </w:rPr>
        <w:t>Energy Efficiency Load Adjustment</w:t>
      </w:r>
      <w:r w:rsidRPr="00FB6544">
        <w:rPr>
          <w:b w:val="0"/>
        </w:rPr>
        <w:t xml:space="preserve">.  This </w:t>
      </w:r>
      <w:r w:rsidR="00E00851">
        <w:rPr>
          <w:b w:val="0"/>
        </w:rPr>
        <w:t>decreases</w:t>
      </w:r>
      <w:r w:rsidRPr="00FB6544">
        <w:rPr>
          <w:b w:val="0"/>
        </w:rPr>
        <w:t xml:space="preserve"> power supply expense by $</w:t>
      </w:r>
      <w:r w:rsidR="00E00851">
        <w:rPr>
          <w:b w:val="0"/>
        </w:rPr>
        <w:t>4.9</w:t>
      </w:r>
      <w:r w:rsidRPr="00FB6544">
        <w:rPr>
          <w:b w:val="0"/>
        </w:rPr>
        <w:t xml:space="preserve"> million </w:t>
      </w:r>
      <w:r w:rsidR="00765BA1">
        <w:rPr>
          <w:b w:val="0"/>
        </w:rPr>
        <w:t xml:space="preserve">on a system basis </w:t>
      </w:r>
      <w:r w:rsidRPr="00FB6544">
        <w:rPr>
          <w:b w:val="0"/>
        </w:rPr>
        <w:t>(</w:t>
      </w:r>
      <w:r w:rsidR="00765BA1">
        <w:rPr>
          <w:b w:val="0"/>
        </w:rPr>
        <w:t>$</w:t>
      </w:r>
      <w:r w:rsidR="00E00851">
        <w:rPr>
          <w:b w:val="0"/>
        </w:rPr>
        <w:t>3.2</w:t>
      </w:r>
      <w:r w:rsidR="00765BA1">
        <w:rPr>
          <w:b w:val="0"/>
        </w:rPr>
        <w:t xml:space="preserve"> million </w:t>
      </w:r>
      <w:r w:rsidR="00AA2ED4">
        <w:rPr>
          <w:b w:val="0"/>
        </w:rPr>
        <w:t>Washington allocation)</w:t>
      </w:r>
      <w:r w:rsidRPr="00FB6544">
        <w:rPr>
          <w:b w:val="0"/>
        </w:rPr>
        <w:t>.</w:t>
      </w:r>
    </w:p>
    <w:p w:rsidR="00BE21E7" w:rsidRPr="00BE21E7" w:rsidRDefault="00AA2ED4" w:rsidP="007A7EF9">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Changes in long-term contracts increased expense by $1 million system ($</w:t>
      </w:r>
      <w:r w:rsidR="00A402FE">
        <w:rPr>
          <w:rFonts w:ascii="Times New Roman" w:hAnsi="Times New Roman" w:cs="Times New Roman"/>
        </w:rPr>
        <w:t>0</w:t>
      </w:r>
      <w:r>
        <w:rPr>
          <w:rFonts w:ascii="Times New Roman" w:hAnsi="Times New Roman" w:cs="Times New Roman"/>
        </w:rPr>
        <w:t>.7</w:t>
      </w:r>
      <w:r w:rsidR="00A402FE">
        <w:rPr>
          <w:rFonts w:ascii="Times New Roman" w:hAnsi="Times New Roman" w:cs="Times New Roman"/>
        </w:rPr>
        <w:t xml:space="preserve"> million</w:t>
      </w:r>
      <w:r>
        <w:rPr>
          <w:rFonts w:ascii="Times New Roman" w:hAnsi="Times New Roman" w:cs="Times New Roman"/>
        </w:rPr>
        <w:t xml:space="preserve"> Washington allocation).</w:t>
      </w:r>
      <w:r w:rsidR="00353674">
        <w:rPr>
          <w:rFonts w:ascii="Times New Roman" w:hAnsi="Times New Roman" w:cs="Times New Roman"/>
        </w:rPr>
        <w:t xml:space="preserve"> </w:t>
      </w:r>
      <w:r>
        <w:rPr>
          <w:rFonts w:ascii="Times New Roman" w:hAnsi="Times New Roman" w:cs="Times New Roman"/>
        </w:rPr>
        <w:t xml:space="preserve"> This is primarily a result of the </w:t>
      </w:r>
      <w:r w:rsidR="00A8574B">
        <w:rPr>
          <w:rFonts w:ascii="Times New Roman" w:hAnsi="Times New Roman" w:cs="Times New Roman"/>
        </w:rPr>
        <w:t>expiration</w:t>
      </w:r>
      <w:r w:rsidR="00326EEB">
        <w:rPr>
          <w:rFonts w:ascii="Times New Roman" w:hAnsi="Times New Roman" w:cs="Times New Roman"/>
        </w:rPr>
        <w:t xml:space="preserve"> of the Grant PUD </w:t>
      </w:r>
      <w:r w:rsidR="00326EEB">
        <w:rPr>
          <w:rFonts w:ascii="Times New Roman" w:hAnsi="Times New Roman" w:cs="Times New Roman"/>
        </w:rPr>
        <w:lastRenderedPageBreak/>
        <w:t xml:space="preserve">Displacement purchase on September 30, 2011, in which the </w:t>
      </w:r>
      <w:r w:rsidR="00C026FD">
        <w:rPr>
          <w:rFonts w:ascii="Times New Roman" w:hAnsi="Times New Roman" w:cs="Times New Roman"/>
        </w:rPr>
        <w:t>C</w:t>
      </w:r>
      <w:r w:rsidR="00326EEB">
        <w:rPr>
          <w:rFonts w:ascii="Times New Roman" w:hAnsi="Times New Roman" w:cs="Times New Roman"/>
        </w:rPr>
        <w:t>ompany purchase</w:t>
      </w:r>
      <w:r w:rsidR="00037B2A">
        <w:rPr>
          <w:rFonts w:ascii="Times New Roman" w:hAnsi="Times New Roman" w:cs="Times New Roman"/>
        </w:rPr>
        <w:t>s</w:t>
      </w:r>
      <w:r w:rsidR="00326EEB">
        <w:rPr>
          <w:rFonts w:ascii="Times New Roman" w:hAnsi="Times New Roman" w:cs="Times New Roman"/>
        </w:rPr>
        <w:t xml:space="preserve"> power at a rate equivalent to the BPA Priority Firm price.  </w:t>
      </w:r>
    </w:p>
    <w:p w:rsidR="00197849" w:rsidRDefault="00AA2ED4" w:rsidP="00C03549">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Finally, the largest factor increasing power supply expense over the amount i</w:t>
      </w:r>
      <w:r w:rsidR="00653B88">
        <w:rPr>
          <w:rFonts w:ascii="Times New Roman" w:hAnsi="Times New Roman" w:cs="Times New Roman"/>
        </w:rPr>
        <w:t xml:space="preserve">n current base rates is the </w:t>
      </w:r>
      <w:r w:rsidR="00F46162">
        <w:rPr>
          <w:rFonts w:ascii="Times New Roman" w:hAnsi="Times New Roman" w:cs="Times New Roman"/>
        </w:rPr>
        <w:t xml:space="preserve">impact of transactions made in a market of continuously falling prices.  </w:t>
      </w:r>
      <w:r w:rsidR="00197849">
        <w:rPr>
          <w:rFonts w:ascii="Times New Roman" w:hAnsi="Times New Roman" w:cs="Times New Roman"/>
        </w:rPr>
        <w:t xml:space="preserve">Mr. Lafferty further describes the </w:t>
      </w:r>
      <w:r w:rsidR="00A402FE">
        <w:rPr>
          <w:rFonts w:ascii="Times New Roman" w:hAnsi="Times New Roman" w:cs="Times New Roman"/>
        </w:rPr>
        <w:t>C</w:t>
      </w:r>
      <w:r w:rsidR="00197849">
        <w:rPr>
          <w:rFonts w:ascii="Times New Roman" w:hAnsi="Times New Roman" w:cs="Times New Roman"/>
        </w:rPr>
        <w:t>ompany’s hedging strategies, including the time horizon for future market purchases.</w:t>
      </w:r>
    </w:p>
    <w:p w:rsidR="00BE21E7" w:rsidRPr="00C117D9" w:rsidRDefault="00BE21E7" w:rsidP="00C03549">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The table below shows the primary factors driving the increase in power supply expense compared to the level in current base rates.</w:t>
      </w:r>
    </w:p>
    <w:p w:rsidR="00BE21E7" w:rsidRPr="00BE21E7" w:rsidRDefault="00A402FE" w:rsidP="00A55DD3">
      <w:pPr>
        <w:pStyle w:val="TestBody"/>
        <w:tabs>
          <w:tab w:val="num" w:pos="720"/>
        </w:tabs>
        <w:spacing w:line="480" w:lineRule="auto"/>
        <w:ind w:left="0" w:firstLine="0"/>
        <w:jc w:val="center"/>
        <w:rPr>
          <w:rFonts w:ascii="Times New Roman" w:hAnsi="Times New Roman" w:cs="Times New Roman"/>
          <w:b/>
          <w:bCs/>
          <w:u w:val="single"/>
        </w:rPr>
      </w:pPr>
      <w:r>
        <w:rPr>
          <w:noProof/>
        </w:rPr>
      </w:r>
      <w:r>
        <w:rPr>
          <w:rFonts w:ascii="Times New Roman" w:hAnsi="Times New Roman" w:cs="Times New Roman"/>
        </w:rPr>
        <w:pict>
          <v:group id="_x0000_s1093" editas="canvas" style="width:394.5pt;height:243pt;mso-position-horizontal-relative:char;mso-position-vertical-relative:line" coordorigin="-15,-15" coordsize="7890,4860">
            <o:lock v:ext="edit" aspectratio="t"/>
            <v:shape id="_x0000_s1092" type="#_x0000_t75" style="position:absolute;left:-15;top:-15;width:7890;height:4860" o:preferrelative="f">
              <v:fill o:detectmouseclick="t"/>
              <v:path o:extrusionok="t" o:connecttype="none"/>
              <o:lock v:ext="edit" text="t"/>
            </v:shape>
            <v:rect id="_x0000_s1094" style="position:absolute;width:7875;height:525" fillcolor="#cfc" stroked="f"/>
            <v:rect id="_x0000_s1095" style="position:absolute;left:4650;top:675;width:1168;height:230;mso-wrap-style:none;v-text-anchor:top" filled="f" stroked="f">
              <v:textbox style="mso-fit-shape-to-text:t" inset="0,0,0,0">
                <w:txbxContent>
                  <w:p w:rsidR="00A402FE" w:rsidRDefault="00A402FE">
                    <w:r>
                      <w:rPr>
                        <w:rFonts w:ascii="Arial" w:hAnsi="Arial" w:cs="Arial"/>
                        <w:color w:val="000000"/>
                        <w:sz w:val="20"/>
                        <w:szCs w:val="20"/>
                      </w:rPr>
                      <w:t>2011 to 2012</w:t>
                    </w:r>
                  </w:p>
                </w:txbxContent>
              </v:textbox>
            </v:rect>
            <v:rect id="_x0000_s1096" style="position:absolute;left:4785;top:930;width:879;height:230;mso-wrap-style:none;v-text-anchor:top" filled="f" stroked="f">
              <v:textbox style="mso-fit-shape-to-text:t" inset="0,0,0,0">
                <w:txbxContent>
                  <w:p w:rsidR="00A402FE" w:rsidRDefault="00A402FE">
                    <w:r>
                      <w:rPr>
                        <w:rFonts w:ascii="Arial" w:hAnsi="Arial" w:cs="Arial"/>
                        <w:color w:val="000000"/>
                        <w:sz w:val="20"/>
                        <w:szCs w:val="20"/>
                      </w:rPr>
                      <w:t>Pro forma</w:t>
                    </w:r>
                  </w:p>
                </w:txbxContent>
              </v:textbox>
            </v:rect>
            <v:rect id="_x0000_s1097" style="position:absolute;left:6645;top:930;width:1057;height:230;mso-wrap-style:none;v-text-anchor:top" filled="f" stroked="f">
              <v:textbox style="mso-fit-shape-to-text:t" inset="0,0,0,0">
                <w:txbxContent>
                  <w:p w:rsidR="00A402FE" w:rsidRDefault="00A402FE">
                    <w:r>
                      <w:rPr>
                        <w:rFonts w:ascii="Arial" w:hAnsi="Arial" w:cs="Arial"/>
                        <w:color w:val="000000"/>
                        <w:sz w:val="20"/>
                        <w:szCs w:val="20"/>
                      </w:rPr>
                      <w:t>Washington</w:t>
                    </w:r>
                  </w:p>
                </w:txbxContent>
              </v:textbox>
            </v:rect>
            <v:rect id="_x0000_s1098" style="position:absolute;left:45;top:1185;width:567;height:230;mso-wrap-style:none;v-text-anchor:top" filled="f" stroked="f">
              <v:textbox style="mso-fit-shape-to-text:t" inset="0,0,0,0">
                <w:txbxContent>
                  <w:p w:rsidR="00A402FE" w:rsidRDefault="00A402FE">
                    <w:r>
                      <w:rPr>
                        <w:rFonts w:ascii="Arial" w:hAnsi="Arial" w:cs="Arial"/>
                        <w:color w:val="000000"/>
                        <w:sz w:val="20"/>
                        <w:szCs w:val="20"/>
                      </w:rPr>
                      <w:t>Factor</w:t>
                    </w:r>
                  </w:p>
                </w:txbxContent>
              </v:textbox>
            </v:rect>
            <v:rect id="_x0000_s1099" style="position:absolute;left:45;top:1395;width:555;height:15" fillcolor="black" stroked="f"/>
            <v:rect id="_x0000_s1100" style="position:absolute;left:4875;top:1185;width:701;height:230;mso-wrap-style:none;v-text-anchor:top" filled="f" stroked="f">
              <v:textbox style="mso-fit-shape-to-text:t" inset="0,0,0,0">
                <w:txbxContent>
                  <w:p w:rsidR="00A402FE" w:rsidRDefault="00A402FE">
                    <w:r>
                      <w:rPr>
                        <w:rFonts w:ascii="Arial" w:hAnsi="Arial" w:cs="Arial"/>
                        <w:color w:val="000000"/>
                        <w:sz w:val="20"/>
                        <w:szCs w:val="20"/>
                      </w:rPr>
                      <w:t>Change</w:t>
                    </w:r>
                  </w:p>
                </w:txbxContent>
              </v:textbox>
            </v:rect>
            <v:rect id="_x0000_s1101" style="position:absolute;left:4875;top:1395;width:660;height:15" fillcolor="black" stroked="f"/>
            <v:rect id="_x0000_s1102" style="position:absolute;left:6735;top:1185;width:868;height:230;mso-wrap-style:none;v-text-anchor:top" filled="f" stroked="f">
              <v:textbox style="mso-fit-shape-to-text:t" inset="0,0,0,0">
                <w:txbxContent>
                  <w:p w:rsidR="00A402FE" w:rsidRDefault="00A402FE">
                    <w:r>
                      <w:rPr>
                        <w:rFonts w:ascii="Arial" w:hAnsi="Arial" w:cs="Arial"/>
                        <w:color w:val="000000"/>
                        <w:sz w:val="20"/>
                        <w:szCs w:val="20"/>
                      </w:rPr>
                      <w:t>Allocation</w:t>
                    </w:r>
                  </w:p>
                </w:txbxContent>
              </v:textbox>
            </v:rect>
            <v:rect id="_x0000_s1103" style="position:absolute;left:6735;top:1395;width:855;height:15" fillcolor="black" stroked="f"/>
            <v:rect id="_x0000_s1104" style="position:absolute;left:4830;top:1455;width:701;height:207;mso-wrap-style:none;v-text-anchor:top" filled="f" stroked="f">
              <v:textbox style="mso-fit-shape-to-text:t" inset="0,0,0,0">
                <w:txbxContent>
                  <w:p w:rsidR="00A402FE" w:rsidRDefault="00A402FE">
                    <w:r>
                      <w:rPr>
                        <w:rFonts w:ascii="Arial" w:hAnsi="Arial" w:cs="Arial"/>
                        <w:color w:val="000000"/>
                        <w:sz w:val="18"/>
                        <w:szCs w:val="18"/>
                      </w:rPr>
                      <w:t>$millions</w:t>
                    </w:r>
                  </w:p>
                </w:txbxContent>
              </v:textbox>
            </v:rect>
            <v:rect id="_x0000_s1105" style="position:absolute;left:6780;top:1455;width:701;height:207;mso-wrap-style:none;v-text-anchor:top" filled="f" stroked="f">
              <v:textbox style="mso-fit-shape-to-text:t" inset="0,0,0,0">
                <w:txbxContent>
                  <w:p w:rsidR="00A402FE" w:rsidRDefault="00A402FE">
                    <w:r>
                      <w:rPr>
                        <w:rFonts w:ascii="Arial" w:hAnsi="Arial" w:cs="Arial"/>
                        <w:color w:val="000000"/>
                        <w:sz w:val="18"/>
                        <w:szCs w:val="18"/>
                      </w:rPr>
                      <w:t>$millions</w:t>
                    </w:r>
                  </w:p>
                </w:txbxContent>
              </v:textbox>
            </v:rect>
            <v:rect id="_x0000_s1106" style="position:absolute;left:45;top:1890;width:2913;height:230;mso-wrap-style:none;v-text-anchor:top" filled="f" stroked="f">
              <v:textbox style="mso-fit-shape-to-text:t" inset="0,0,0,0">
                <w:txbxContent>
                  <w:p w:rsidR="00A402FE" w:rsidRDefault="00A402FE">
                    <w:r>
                      <w:rPr>
                        <w:rFonts w:ascii="Arial" w:hAnsi="Arial" w:cs="Arial"/>
                        <w:color w:val="000000"/>
                        <w:sz w:val="20"/>
                        <w:szCs w:val="20"/>
                      </w:rPr>
                      <w:t>Hydro Generation &amp; Mid C Costs</w:t>
                    </w:r>
                  </w:p>
                </w:txbxContent>
              </v:textbox>
            </v:rect>
            <v:rect id="_x0000_s1107" style="position:absolute;left:5025;top:1890;width:390;height:230;mso-wrap-style:none;v-text-anchor:top" filled="f" stroked="f">
              <v:textbox style="mso-fit-shape-to-text:t" inset="0,0,0,0">
                <w:txbxContent>
                  <w:p w:rsidR="00A402FE" w:rsidRDefault="00A402FE">
                    <w:r>
                      <w:rPr>
                        <w:rFonts w:ascii="Arial" w:hAnsi="Arial" w:cs="Arial"/>
                        <w:color w:val="000000"/>
                        <w:sz w:val="20"/>
                        <w:szCs w:val="20"/>
                      </w:rPr>
                      <w:t>$3.1</w:t>
                    </w:r>
                  </w:p>
                </w:txbxContent>
              </v:textbox>
            </v:rect>
            <v:rect id="_x0000_s1108" style="position:absolute;left:6975;top:1890;width:390;height:230;mso-wrap-style:none;v-text-anchor:top" filled="f" stroked="f">
              <v:textbox style="mso-fit-shape-to-text:t" inset="0,0,0,0">
                <w:txbxContent>
                  <w:p w:rsidR="00A402FE" w:rsidRDefault="00A402FE">
                    <w:r>
                      <w:rPr>
                        <w:rFonts w:ascii="Arial" w:hAnsi="Arial" w:cs="Arial"/>
                        <w:color w:val="000000"/>
                        <w:sz w:val="20"/>
                        <w:szCs w:val="20"/>
                      </w:rPr>
                      <w:t>$2.0</w:t>
                    </w:r>
                  </w:p>
                </w:txbxContent>
              </v:textbox>
            </v:rect>
            <v:rect id="_x0000_s1109" style="position:absolute;left:45;top:2340;width:2135;height:230;mso-wrap-style:none;v-text-anchor:top" filled="f" stroked="f">
              <v:textbox style="mso-fit-shape-to-text:t" inset="0,0,0,0">
                <w:txbxContent>
                  <w:p w:rsidR="00A402FE" w:rsidRDefault="00A402FE">
                    <w:r>
                      <w:rPr>
                        <w:rFonts w:ascii="Arial" w:hAnsi="Arial" w:cs="Arial"/>
                        <w:color w:val="000000"/>
                        <w:sz w:val="20"/>
                        <w:szCs w:val="20"/>
                      </w:rPr>
                      <w:t>Change in System Load</w:t>
                    </w:r>
                  </w:p>
                </w:txbxContent>
              </v:textbox>
            </v:rect>
            <v:rect id="_x0000_s1110" style="position:absolute;left:4995;top:2340;width:456;height:230;mso-wrap-style:none;v-text-anchor:top" filled="f" stroked="f">
              <v:textbox style="mso-fit-shape-to-text:t" inset="0,0,0,0">
                <w:txbxContent>
                  <w:p w:rsidR="00A402FE" w:rsidRDefault="00A402FE">
                    <w:r>
                      <w:rPr>
                        <w:rFonts w:ascii="Arial" w:hAnsi="Arial" w:cs="Arial"/>
                        <w:color w:val="000000"/>
                        <w:sz w:val="20"/>
                        <w:szCs w:val="20"/>
                      </w:rPr>
                      <w:t>-$4.9</w:t>
                    </w:r>
                  </w:p>
                </w:txbxContent>
              </v:textbox>
            </v:rect>
            <v:rect id="_x0000_s1111" style="position:absolute;left:6945;top:2340;width:456;height:230;mso-wrap-style:none;v-text-anchor:top" filled="f" stroked="f">
              <v:textbox style="mso-fit-shape-to-text:t" inset="0,0,0,0">
                <w:txbxContent>
                  <w:p w:rsidR="00A402FE" w:rsidRDefault="00A402FE">
                    <w:r>
                      <w:rPr>
                        <w:rFonts w:ascii="Arial" w:hAnsi="Arial" w:cs="Arial"/>
                        <w:color w:val="000000"/>
                        <w:sz w:val="20"/>
                        <w:szCs w:val="20"/>
                      </w:rPr>
                      <w:t>-$3.2</w:t>
                    </w:r>
                  </w:p>
                </w:txbxContent>
              </v:textbox>
            </v:rect>
            <v:rect id="_x0000_s1112" style="position:absolute;left:45;top:2790;width:1746;height:230;mso-wrap-style:none;v-text-anchor:top" filled="f" stroked="f">
              <v:textbox style="mso-fit-shape-to-text:t" inset="0,0,0,0">
                <w:txbxContent>
                  <w:p w:rsidR="00A402FE" w:rsidRDefault="00A402FE">
                    <w:proofErr w:type="spellStart"/>
                    <w:r>
                      <w:rPr>
                        <w:rFonts w:ascii="Arial" w:hAnsi="Arial" w:cs="Arial"/>
                        <w:color w:val="000000"/>
                        <w:sz w:val="20"/>
                        <w:szCs w:val="20"/>
                      </w:rPr>
                      <w:t>Themal</w:t>
                    </w:r>
                    <w:proofErr w:type="spellEnd"/>
                    <w:r>
                      <w:rPr>
                        <w:rFonts w:ascii="Arial" w:hAnsi="Arial" w:cs="Arial"/>
                        <w:color w:val="000000"/>
                        <w:sz w:val="20"/>
                        <w:szCs w:val="20"/>
                      </w:rPr>
                      <w:t xml:space="preserve"> Plant Costs</w:t>
                    </w:r>
                  </w:p>
                </w:txbxContent>
              </v:textbox>
            </v:rect>
            <v:rect id="_x0000_s1113" style="position:absolute;left:5025;top:2790;width:390;height:230;mso-wrap-style:none;v-text-anchor:top" filled="f" stroked="f">
              <v:textbox style="mso-fit-shape-to-text:t" inset="0,0,0,0">
                <w:txbxContent>
                  <w:p w:rsidR="00A402FE" w:rsidRDefault="00A402FE">
                    <w:r>
                      <w:rPr>
                        <w:rFonts w:ascii="Arial" w:hAnsi="Arial" w:cs="Arial"/>
                        <w:color w:val="000000"/>
                        <w:sz w:val="20"/>
                        <w:szCs w:val="20"/>
                      </w:rPr>
                      <w:t>$0.5</w:t>
                    </w:r>
                  </w:p>
                </w:txbxContent>
              </v:textbox>
            </v:rect>
            <v:rect id="_x0000_s1114" style="position:absolute;left:6975;top:2790;width:390;height:230;mso-wrap-style:none;v-text-anchor:top" filled="f" stroked="f">
              <v:textbox style="mso-fit-shape-to-text:t" inset="0,0,0,0">
                <w:txbxContent>
                  <w:p w:rsidR="00A402FE" w:rsidRDefault="00A402FE">
                    <w:r>
                      <w:rPr>
                        <w:rFonts w:ascii="Arial" w:hAnsi="Arial" w:cs="Arial"/>
                        <w:color w:val="000000"/>
                        <w:sz w:val="20"/>
                        <w:szCs w:val="20"/>
                      </w:rPr>
                      <w:t>$0.3</w:t>
                    </w:r>
                  </w:p>
                </w:txbxContent>
              </v:textbox>
            </v:rect>
            <v:rect id="_x0000_s1115" style="position:absolute;left:45;top:3240;width:2157;height:230;mso-wrap-style:none;v-text-anchor:top" filled="f" stroked="f">
              <v:textbox style="mso-fit-shape-to-text:t" inset="0,0,0,0">
                <w:txbxContent>
                  <w:p w:rsidR="00A402FE" w:rsidRDefault="00A402FE">
                    <w:proofErr w:type="spellStart"/>
                    <w:r>
                      <w:rPr>
                        <w:rFonts w:ascii="Arial" w:hAnsi="Arial" w:cs="Arial"/>
                        <w:color w:val="000000"/>
                        <w:sz w:val="20"/>
                        <w:szCs w:val="20"/>
                      </w:rPr>
                      <w:t>CCCT</w:t>
                    </w:r>
                    <w:proofErr w:type="spellEnd"/>
                    <w:r>
                      <w:rPr>
                        <w:rFonts w:ascii="Arial" w:hAnsi="Arial" w:cs="Arial"/>
                        <w:color w:val="000000"/>
                        <w:sz w:val="20"/>
                        <w:szCs w:val="20"/>
                      </w:rPr>
                      <w:t xml:space="preserve"> Operating Margin</w:t>
                    </w:r>
                  </w:p>
                </w:txbxContent>
              </v:textbox>
            </v:rect>
            <v:rect id="_x0000_s1116" style="position:absolute;left:5025;top:3240;width:390;height:230;mso-wrap-style:none;v-text-anchor:top" filled="f" stroked="f">
              <v:textbox style="mso-fit-shape-to-text:t" inset="0,0,0,0">
                <w:txbxContent>
                  <w:p w:rsidR="00A402FE" w:rsidRDefault="00A402FE">
                    <w:r>
                      <w:rPr>
                        <w:rFonts w:ascii="Arial" w:hAnsi="Arial" w:cs="Arial"/>
                        <w:color w:val="000000"/>
                        <w:sz w:val="20"/>
                        <w:szCs w:val="20"/>
                      </w:rPr>
                      <w:t>$1.1</w:t>
                    </w:r>
                  </w:p>
                </w:txbxContent>
              </v:textbox>
            </v:rect>
            <v:rect id="_x0000_s1117" style="position:absolute;left:6981;top:3240;width:420;height:230;v-text-anchor:top" filled="f" stroked="f">
              <v:textbox style="mso-fit-shape-to-text:t" inset="0,0,0,0">
                <w:txbxContent>
                  <w:p w:rsidR="00A402FE" w:rsidRDefault="00A402FE">
                    <w:r>
                      <w:rPr>
                        <w:rFonts w:ascii="Arial" w:hAnsi="Arial" w:cs="Arial"/>
                        <w:color w:val="000000"/>
                        <w:sz w:val="20"/>
                        <w:szCs w:val="20"/>
                      </w:rPr>
                      <w:t>$0.8</w:t>
                    </w:r>
                  </w:p>
                </w:txbxContent>
              </v:textbox>
            </v:rect>
            <v:rect id="_x0000_s1118" style="position:absolute;left:45;top:3690;width:2646;height:230;mso-wrap-style:none;v-text-anchor:top" filled="f" stroked="f">
              <v:textbox style="mso-fit-shape-to-text:t" inset="0,0,0,0">
                <w:txbxContent>
                  <w:p w:rsidR="00A402FE" w:rsidRDefault="00A402FE">
                    <w:r>
                      <w:rPr>
                        <w:rFonts w:ascii="Arial" w:hAnsi="Arial" w:cs="Arial"/>
                        <w:color w:val="000000"/>
                        <w:sz w:val="20"/>
                        <w:szCs w:val="20"/>
                      </w:rPr>
                      <w:t>Long-Term Contract Changes</w:t>
                    </w:r>
                  </w:p>
                </w:txbxContent>
              </v:textbox>
            </v:rect>
            <v:rect id="_x0000_s1119" style="position:absolute;left:5025;top:3690;width:390;height:230;mso-wrap-style:none;v-text-anchor:top" filled="f" stroked="f">
              <v:textbox style="mso-fit-shape-to-text:t" inset="0,0,0,0">
                <w:txbxContent>
                  <w:p w:rsidR="00A402FE" w:rsidRDefault="00A402FE">
                    <w:r>
                      <w:rPr>
                        <w:rFonts w:ascii="Arial" w:hAnsi="Arial" w:cs="Arial"/>
                        <w:color w:val="000000"/>
                        <w:sz w:val="20"/>
                        <w:szCs w:val="20"/>
                      </w:rPr>
                      <w:t>$0.6</w:t>
                    </w:r>
                  </w:p>
                </w:txbxContent>
              </v:textbox>
            </v:rect>
            <v:rect id="_x0000_s1120" style="position:absolute;left:6975;top:3690;width:390;height:230;mso-wrap-style:none;v-text-anchor:top" filled="f" stroked="f">
              <v:textbox style="mso-fit-shape-to-text:t" inset="0,0,0,0">
                <w:txbxContent>
                  <w:p w:rsidR="00A402FE" w:rsidRDefault="00A402FE">
                    <w:r>
                      <w:rPr>
                        <w:rFonts w:ascii="Arial" w:hAnsi="Arial" w:cs="Arial"/>
                        <w:color w:val="000000"/>
                        <w:sz w:val="20"/>
                        <w:szCs w:val="20"/>
                      </w:rPr>
                      <w:t>$0.4</w:t>
                    </w:r>
                  </w:p>
                </w:txbxContent>
              </v:textbox>
            </v:rect>
            <v:rect id="_x0000_s1121" style="position:absolute;left:45;top:4140;width:2368;height:230;mso-wrap-style:none;v-text-anchor:top" filled="f" stroked="f">
              <v:textbox style="mso-fit-shape-to-text:t" inset="0,0,0,0">
                <w:txbxContent>
                  <w:p w:rsidR="00A402FE" w:rsidRDefault="00A402FE">
                    <w:r>
                      <w:rPr>
                        <w:rFonts w:ascii="Arial" w:hAnsi="Arial" w:cs="Arial"/>
                        <w:color w:val="000000"/>
                        <w:sz w:val="20"/>
                        <w:szCs w:val="20"/>
                      </w:rPr>
                      <w:t>Market Transactions/Other</w:t>
                    </w:r>
                  </w:p>
                </w:txbxContent>
              </v:textbox>
            </v:rect>
            <v:rect id="_x0000_s1122" style="position:absolute;left:5025;top:4140;width:390;height:230;mso-wrap-style:none;v-text-anchor:top" filled="f" stroked="f">
              <v:textbox style="mso-fit-shape-to-text:t" inset="0,0,0,0">
                <w:txbxContent>
                  <w:p w:rsidR="00A402FE" w:rsidRDefault="00A402FE">
                    <w:r>
                      <w:rPr>
                        <w:rFonts w:ascii="Arial" w:hAnsi="Arial" w:cs="Arial"/>
                        <w:color w:val="000000"/>
                        <w:sz w:val="20"/>
                        <w:szCs w:val="20"/>
                      </w:rPr>
                      <w:t>$8.6</w:t>
                    </w:r>
                  </w:p>
                </w:txbxContent>
              </v:textbox>
            </v:rect>
            <v:rect id="_x0000_s1123" style="position:absolute;left:6975;top:4140;width:390;height:230;mso-wrap-style:none;v-text-anchor:top" filled="f" stroked="f">
              <v:textbox style="mso-fit-shape-to-text:t" inset="0,0,0,0">
                <w:txbxContent>
                  <w:p w:rsidR="00A402FE" w:rsidRDefault="00A402FE">
                    <w:r>
                      <w:rPr>
                        <w:rFonts w:ascii="Arial" w:hAnsi="Arial" w:cs="Arial"/>
                        <w:color w:val="000000"/>
                        <w:sz w:val="20"/>
                        <w:szCs w:val="20"/>
                      </w:rPr>
                      <w:t>$5.6</w:t>
                    </w:r>
                  </w:p>
                </w:txbxContent>
              </v:textbox>
            </v:rect>
            <v:rect id="_x0000_s1124" style="position:absolute;left:45;top:4560;width:3280;height:230;mso-wrap-style:none;v-text-anchor:top" filled="f" stroked="f">
              <v:textbox style="mso-fit-shape-to-text:t" inset="0,0,0,0">
                <w:txbxContent>
                  <w:p w:rsidR="00A402FE" w:rsidRDefault="00A402FE">
                    <w:r>
                      <w:rPr>
                        <w:rFonts w:ascii="Arial" w:hAnsi="Arial" w:cs="Arial"/>
                        <w:color w:val="000000"/>
                        <w:sz w:val="20"/>
                        <w:szCs w:val="20"/>
                      </w:rPr>
                      <w:t>2011 to 2012 Power Supply Increase</w:t>
                    </w:r>
                  </w:p>
                </w:txbxContent>
              </v:textbox>
            </v:rect>
            <v:rect id="_x0000_s1125" style="position:absolute;left:5025;top:4560;width:390;height:230;mso-wrap-style:none;v-text-anchor:top" filled="f" stroked="f">
              <v:textbox style="mso-fit-shape-to-text:t" inset="0,0,0,0">
                <w:txbxContent>
                  <w:p w:rsidR="00A402FE" w:rsidRDefault="00A402FE">
                    <w:r>
                      <w:rPr>
                        <w:rFonts w:ascii="Arial" w:hAnsi="Arial" w:cs="Arial"/>
                        <w:color w:val="000000"/>
                        <w:sz w:val="20"/>
                        <w:szCs w:val="20"/>
                      </w:rPr>
                      <w:t>$9.0</w:t>
                    </w:r>
                  </w:p>
                </w:txbxContent>
              </v:textbox>
            </v:rect>
            <v:rect id="_x0000_s1126" style="position:absolute;left:6975;top:4560;width:390;height:230;mso-wrap-style:none;v-text-anchor:top" filled="f" stroked="f">
              <v:textbox style="mso-fit-shape-to-text:t" inset="0,0,0,0">
                <w:txbxContent>
                  <w:p w:rsidR="00A402FE" w:rsidRDefault="00A402FE">
                    <w:r>
                      <w:rPr>
                        <w:rFonts w:ascii="Arial" w:hAnsi="Arial" w:cs="Arial"/>
                        <w:color w:val="000000"/>
                        <w:sz w:val="20"/>
                        <w:szCs w:val="20"/>
                      </w:rPr>
                      <w:t>$5.9</w:t>
                    </w:r>
                  </w:p>
                </w:txbxContent>
              </v:textbox>
            </v:rect>
            <v:rect id="_x0000_s1127" style="position:absolute;left:2445;top:15;width:2990;height:230;mso-wrap-style:none;v-text-anchor:top" filled="f" stroked="f">
              <v:textbox style="mso-fit-shape-to-text:t" inset="0,0,0,0">
                <w:txbxContent>
                  <w:p w:rsidR="00A402FE" w:rsidRDefault="00A402FE">
                    <w:r>
                      <w:rPr>
                        <w:rFonts w:ascii="Arial" w:hAnsi="Arial" w:cs="Arial"/>
                        <w:b/>
                        <w:bCs/>
                        <w:color w:val="000000"/>
                        <w:sz w:val="20"/>
                        <w:szCs w:val="20"/>
                      </w:rPr>
                      <w:t>Power Supply Expense Change</w:t>
                    </w:r>
                  </w:p>
                </w:txbxContent>
              </v:textbox>
            </v:rect>
            <v:rect id="_x0000_s1128" style="position:absolute;left:2250;top:270;width:3380;height:230;mso-wrap-style:none;v-text-anchor:top" filled="f" stroked="f">
              <v:textbox style="mso-fit-shape-to-text:t" inset="0,0,0,0">
                <w:txbxContent>
                  <w:p w:rsidR="00A402FE" w:rsidRDefault="00A402FE">
                    <w:r>
                      <w:rPr>
                        <w:rFonts w:ascii="Arial" w:hAnsi="Arial" w:cs="Arial"/>
                        <w:b/>
                        <w:bCs/>
                        <w:color w:val="000000"/>
                        <w:sz w:val="20"/>
                        <w:szCs w:val="20"/>
                      </w:rPr>
                      <w:t xml:space="preserve">2012 Pro forma vs. 2011 Authorized </w:t>
                    </w:r>
                  </w:p>
                </w:txbxContent>
              </v:textbox>
            </v:rect>
            <v:rect id="_x0000_s1129" style="position:absolute;left:-15;top:-15;width:30;height:4845" fillcolor="black" stroked="f"/>
            <v:rect id="_x0000_s1130" style="position:absolute;left:7845;top:15;width:30;height:4815" fillcolor="black" stroked="f"/>
            <v:rect id="_x0000_s1131" style="position:absolute;left:15;top:-15;width:7860;height:30" fillcolor="black" stroked="f"/>
            <v:line id="_x0000_s1132" style="position:absolute" from="15,4380" to="7845,4381" strokeweight="0"/>
            <v:rect id="_x0000_s1133" style="position:absolute;left:15;top:4380;width:7830;height:15" fillcolor="black" stroked="f"/>
            <v:rect id="_x0000_s1134" style="position:absolute;left:15;top:4800;width:7860;height:30" fillcolor="black" stroked="f"/>
            <w10:wrap type="none"/>
            <w10:anchorlock/>
          </v:group>
        </w:pict>
      </w:r>
      <w:r w:rsidR="00A55DD3">
        <w:rPr>
          <w:rFonts w:ascii="Times New Roman" w:hAnsi="Times New Roman" w:cs="Times New Roman"/>
        </w:rPr>
        <w:br w:type="page"/>
      </w:r>
      <w:r w:rsidR="00BE21E7" w:rsidRPr="00BE21E7">
        <w:rPr>
          <w:rFonts w:ascii="Times New Roman" w:hAnsi="Times New Roman" w:cs="Times New Roman"/>
          <w:b/>
          <w:bCs/>
          <w:u w:val="single"/>
        </w:rPr>
        <w:lastRenderedPageBreak/>
        <w:t>III.</w:t>
      </w:r>
      <w:r w:rsidR="00BE21E7" w:rsidRPr="00BE21E7">
        <w:rPr>
          <w:rFonts w:ascii="Times New Roman" w:hAnsi="Times New Roman" w:cs="Times New Roman"/>
          <w:b/>
          <w:bCs/>
          <w:u w:val="single"/>
        </w:rPr>
        <w:tab/>
        <w:t xml:space="preserve">PRO FORMA POWER SUPPLY ADJUSTMENTS </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Overview</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___</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 xml:space="preserve"> 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No.  </w:t>
      </w:r>
      <w:r w:rsidR="0003296D">
        <w:rPr>
          <w:rFonts w:ascii="Times New Roman" w:hAnsi="Times New Roman" w:cs="Times New Roman"/>
        </w:rPr>
        <w:t xml:space="preserve">With the exception of </w:t>
      </w:r>
      <w:r w:rsidR="006D5BF7">
        <w:rPr>
          <w:rFonts w:ascii="Times New Roman" w:hAnsi="Times New Roman" w:cs="Times New Roman"/>
        </w:rPr>
        <w:t xml:space="preserve">reducing system load for </w:t>
      </w:r>
      <w:r w:rsidR="0003296D">
        <w:rPr>
          <w:rFonts w:ascii="Times New Roman" w:hAnsi="Times New Roman" w:cs="Times New Roman"/>
        </w:rPr>
        <w:t>the Energy Efficiency Load Adjustment, t</w:t>
      </w:r>
      <w:r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Pr="00BE21E7">
        <w:rPr>
          <w:rFonts w:ascii="Times New Roman" w:hAnsi="Times New Roman" w:cs="Times New Roman"/>
        </w:rPr>
        <w:t>.</w:t>
      </w:r>
      <w:r w:rsidR="0003296D">
        <w:rPr>
          <w:rFonts w:ascii="Times New Roman" w:hAnsi="Times New Roman" w:cs="Times New Roman"/>
        </w:rPr>
        <w:t xml:space="preserve">  The </w:t>
      </w:r>
      <w:r w:rsidR="0003296D">
        <w:rPr>
          <w:rFonts w:ascii="Times New Roman" w:hAnsi="Times New Roman" w:cs="Times New Roman"/>
        </w:rPr>
        <w:lastRenderedPageBreak/>
        <w:t>Energ</w:t>
      </w:r>
      <w:r w:rsidR="00EA4963">
        <w:rPr>
          <w:rFonts w:ascii="Times New Roman" w:hAnsi="Times New Roman" w:cs="Times New Roman"/>
        </w:rPr>
        <w:t>y Efficiency Load Adjustment, as</w:t>
      </w:r>
      <w:r w:rsidR="0003296D">
        <w:rPr>
          <w:rFonts w:ascii="Times New Roman" w:hAnsi="Times New Roman" w:cs="Times New Roman"/>
        </w:rPr>
        <w:t xml:space="preserve"> further explained later in my testimony, lowers the system load used to develop the pro forma to a level below the weather adjusted test-year load.</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___</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  Detailed workpapers have been provided to the Commission coincident to this filing to support each of the pro forma revenues and expenses.  The detailed workpapers for each adjustment show the actual revenue or expense in the test period, and the pro forma revenue or expense.</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How are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Are there any new 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This pro forma includes the </w:t>
      </w:r>
      <w:r w:rsidR="00B53214">
        <w:rPr>
          <w:rFonts w:ascii="Times New Roman" w:hAnsi="Times New Roman" w:cs="Times New Roman"/>
        </w:rPr>
        <w:t xml:space="preserve">expenses and </w:t>
      </w:r>
      <w:r w:rsidR="008F3931">
        <w:rPr>
          <w:rFonts w:ascii="Times New Roman" w:hAnsi="Times New Roman" w:cs="Times New Roman"/>
        </w:rPr>
        <w:t>generation</w:t>
      </w:r>
      <w:r w:rsidR="00B53214">
        <w:rPr>
          <w:rFonts w:ascii="Times New Roman" w:hAnsi="Times New Roman" w:cs="Times New Roman"/>
        </w:rPr>
        <w:t xml:space="preserve"> related to the</w:t>
      </w:r>
      <w:r w:rsidR="008F3931">
        <w:rPr>
          <w:rFonts w:ascii="Times New Roman" w:hAnsi="Times New Roman" w:cs="Times New Roman"/>
        </w:rPr>
        <w:t xml:space="preserve"> purchase of a </w:t>
      </w:r>
      <w:r w:rsidR="00B3712F">
        <w:rPr>
          <w:rFonts w:ascii="Times New Roman" w:hAnsi="Times New Roman" w:cs="Times New Roman"/>
        </w:rPr>
        <w:t xml:space="preserve">3.0% </w:t>
      </w:r>
      <w:r w:rsidR="008F3931">
        <w:rPr>
          <w:rFonts w:ascii="Times New Roman" w:hAnsi="Times New Roman" w:cs="Times New Roman"/>
        </w:rPr>
        <w:t xml:space="preserve">slice of </w:t>
      </w:r>
      <w:r w:rsidR="00A402FE">
        <w:rPr>
          <w:rFonts w:ascii="Times New Roman" w:hAnsi="Times New Roman" w:cs="Times New Roman"/>
        </w:rPr>
        <w:t xml:space="preserve">the output of the </w:t>
      </w:r>
      <w:r w:rsidR="008F3931">
        <w:rPr>
          <w:rFonts w:ascii="Times New Roman" w:hAnsi="Times New Roman" w:cs="Times New Roman"/>
        </w:rPr>
        <w:t xml:space="preserve">Rocky Reach and Rock Island dams owned and operated by Chelan PUD.   This purchase was made through a competitive auction and has a term of July 2011 through December 2014. </w:t>
      </w:r>
      <w:r w:rsidRPr="00BE21E7">
        <w:rPr>
          <w:rFonts w:ascii="Times New Roman" w:hAnsi="Times New Roman" w:cs="Times New Roman"/>
        </w:rPr>
        <w:t xml:space="preserve"> </w:t>
      </w:r>
      <w:r w:rsidR="008F3931">
        <w:rPr>
          <w:rFonts w:ascii="Times New Roman" w:hAnsi="Times New Roman" w:cs="Times New Roman"/>
        </w:rPr>
        <w:t>The purchase was made to ma</w:t>
      </w:r>
      <w:r w:rsidR="00E00851">
        <w:rPr>
          <w:rFonts w:ascii="Times New Roman" w:hAnsi="Times New Roman" w:cs="Times New Roman"/>
        </w:rPr>
        <w:t>intain an adequate level of Mid-</w:t>
      </w:r>
      <w:r w:rsidR="008F3931">
        <w:rPr>
          <w:rFonts w:ascii="Times New Roman" w:hAnsi="Times New Roman" w:cs="Times New Roman"/>
        </w:rPr>
        <w:t xml:space="preserve">Columbia generation to provide load shaping and </w:t>
      </w:r>
      <w:r w:rsidR="00E00851">
        <w:rPr>
          <w:rFonts w:ascii="Times New Roman" w:hAnsi="Times New Roman" w:cs="Times New Roman"/>
        </w:rPr>
        <w:t>ramping capabilities at the Mid-</w:t>
      </w:r>
      <w:r w:rsidR="008F3931">
        <w:rPr>
          <w:rFonts w:ascii="Times New Roman" w:hAnsi="Times New Roman" w:cs="Times New Roman"/>
        </w:rPr>
        <w:t>Columbia, which al</w:t>
      </w:r>
      <w:r w:rsidR="00CC1C97">
        <w:rPr>
          <w:rFonts w:ascii="Times New Roman" w:hAnsi="Times New Roman" w:cs="Times New Roman"/>
        </w:rPr>
        <w:t>lows the C</w:t>
      </w:r>
      <w:r w:rsidR="008F3931">
        <w:rPr>
          <w:rFonts w:ascii="Times New Roman" w:hAnsi="Times New Roman" w:cs="Times New Roman"/>
        </w:rPr>
        <w:t>ompany to operate its own hydro facilities in a more efficient manner.</w:t>
      </w:r>
      <w:r w:rsidR="003A768F">
        <w:rPr>
          <w:rFonts w:ascii="Times New Roman" w:hAnsi="Times New Roman" w:cs="Times New Roman"/>
        </w:rPr>
        <w:t xml:space="preserve"> </w:t>
      </w:r>
    </w:p>
    <w:p w:rsidR="0065453C" w:rsidRPr="00BE21E7" w:rsidRDefault="0065453C"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The pro forma also includes</w:t>
      </w:r>
      <w:r w:rsidR="00D2745E">
        <w:rPr>
          <w:rFonts w:ascii="Times New Roman" w:hAnsi="Times New Roman" w:cs="Times New Roman"/>
        </w:rPr>
        <w:t xml:space="preserve"> the purchase of Renewable Energy Credits to meet the requirements of Washington’s Energy Independence Act (EIA).  Additional information regarding this purchase is contained in Mr. Lafferty’s testimony.</w:t>
      </w:r>
    </w:p>
    <w:p w:rsidR="00BE21E7" w:rsidRPr="00BE21E7" w:rsidRDefault="006A26AD" w:rsidP="00BE21E7">
      <w:pPr>
        <w:pStyle w:val="TestBody"/>
        <w:numPr>
          <w:ilvl w:val="0"/>
          <w:numId w:val="9"/>
        </w:numPr>
        <w:tabs>
          <w:tab w:val="clear" w:pos="720"/>
          <w:tab w:val="num" w:pos="0"/>
        </w:tabs>
        <w:spacing w:line="480" w:lineRule="auto"/>
        <w:ind w:left="0" w:firstLine="720"/>
        <w:rPr>
          <w:rFonts w:ascii="Times New Roman" w:hAnsi="Times New Roman" w:cs="Times New Roman"/>
          <w:b/>
        </w:rPr>
      </w:pPr>
      <w:r>
        <w:rPr>
          <w:rFonts w:ascii="Times New Roman" w:hAnsi="Times New Roman" w:cs="Times New Roman"/>
          <w:b/>
        </w:rPr>
        <w:lastRenderedPageBreak/>
        <w:t xml:space="preserve">Are there any power purchases or sales that are in current </w:t>
      </w:r>
      <w:r w:rsidR="00C026FD">
        <w:rPr>
          <w:rFonts w:ascii="Times New Roman" w:hAnsi="Times New Roman" w:cs="Times New Roman"/>
          <w:b/>
        </w:rPr>
        <w:t>base rate</w:t>
      </w:r>
      <w:r>
        <w:rPr>
          <w:rFonts w:ascii="Times New Roman" w:hAnsi="Times New Roman" w:cs="Times New Roman"/>
          <w:b/>
        </w:rPr>
        <w:t>s but not in this pro forma</w:t>
      </w:r>
      <w:r w:rsidR="00BE21E7" w:rsidRPr="00BE21E7">
        <w:rPr>
          <w:rFonts w:ascii="Times New Roman" w:hAnsi="Times New Roman" w:cs="Times New Roman"/>
          <w:b/>
        </w:rPr>
        <w:t>?</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w:t>
      </w:r>
      <w:r w:rsidR="003A768F">
        <w:rPr>
          <w:rFonts w:ascii="Times New Roman" w:hAnsi="Times New Roman" w:cs="Times New Roman"/>
        </w:rPr>
        <w:t xml:space="preserve">The </w:t>
      </w:r>
      <w:r w:rsidR="00092D05">
        <w:rPr>
          <w:rFonts w:ascii="Times New Roman" w:hAnsi="Times New Roman" w:cs="Times New Roman"/>
        </w:rPr>
        <w:t>C</w:t>
      </w:r>
      <w:r w:rsidR="003A768F">
        <w:rPr>
          <w:rFonts w:ascii="Times New Roman" w:hAnsi="Times New Roman" w:cs="Times New Roman"/>
        </w:rPr>
        <w:t xml:space="preserve">ompany’s long-term purchase of Rocky Reach generation at project cost </w:t>
      </w:r>
      <w:r w:rsidR="00EA4963">
        <w:rPr>
          <w:rFonts w:ascii="Times New Roman" w:hAnsi="Times New Roman" w:cs="Times New Roman"/>
        </w:rPr>
        <w:t>ends</w:t>
      </w:r>
      <w:r w:rsidR="003A768F">
        <w:rPr>
          <w:rFonts w:ascii="Times New Roman" w:hAnsi="Times New Roman" w:cs="Times New Roman"/>
        </w:rPr>
        <w:t xml:space="preserve"> October 31, 2011</w:t>
      </w:r>
      <w:r w:rsidR="00541D93">
        <w:rPr>
          <w:rFonts w:ascii="Times New Roman" w:hAnsi="Times New Roman" w:cs="Times New Roman"/>
        </w:rPr>
        <w:t xml:space="preserve">. </w:t>
      </w:r>
      <w:r w:rsidR="00576309">
        <w:rPr>
          <w:rFonts w:ascii="Times New Roman" w:hAnsi="Times New Roman" w:cs="Times New Roman"/>
        </w:rPr>
        <w:t xml:space="preserve"> </w:t>
      </w:r>
      <w:r w:rsidR="00472C4D">
        <w:rPr>
          <w:rFonts w:ascii="Times New Roman" w:hAnsi="Times New Roman" w:cs="Times New Roman"/>
        </w:rPr>
        <w:t xml:space="preserve">The Grant PUD Displacement power purchase ends September 30, 2011.  The Black Creek purchase ended March 25, 2011. </w:t>
      </w:r>
      <w:r w:rsidR="007D3E87">
        <w:rPr>
          <w:rFonts w:ascii="Times New Roman" w:hAnsi="Times New Roman" w:cs="Times New Roman"/>
        </w:rPr>
        <w:t xml:space="preserve"> </w:t>
      </w:r>
      <w:r w:rsidR="00D81DE9">
        <w:rPr>
          <w:rFonts w:ascii="Times New Roman" w:hAnsi="Times New Roman" w:cs="Times New Roman"/>
        </w:rPr>
        <w:t xml:space="preserve">At the time </w:t>
      </w:r>
      <w:r w:rsidR="00A402FE">
        <w:rPr>
          <w:rFonts w:ascii="Times New Roman" w:hAnsi="Times New Roman" w:cs="Times New Roman"/>
        </w:rPr>
        <w:t>the</w:t>
      </w:r>
      <w:r w:rsidR="00D81DE9">
        <w:rPr>
          <w:rFonts w:ascii="Times New Roman" w:hAnsi="Times New Roman" w:cs="Times New Roman"/>
        </w:rPr>
        <w:t xml:space="preserve"> pro forma was developed</w:t>
      </w:r>
      <w:r w:rsidR="00A402FE">
        <w:rPr>
          <w:rFonts w:ascii="Times New Roman" w:hAnsi="Times New Roman" w:cs="Times New Roman"/>
        </w:rPr>
        <w:t>,</w:t>
      </w:r>
      <w:r w:rsidR="00D81DE9">
        <w:rPr>
          <w:rFonts w:ascii="Times New Roman" w:hAnsi="Times New Roman" w:cs="Times New Roman"/>
        </w:rPr>
        <w:t xml:space="preserve"> the Stateline wind purchase was scheduled to end on </w:t>
      </w:r>
      <w:r w:rsidR="00472C4D">
        <w:rPr>
          <w:rFonts w:ascii="Times New Roman" w:hAnsi="Times New Roman" w:cs="Times New Roman"/>
        </w:rPr>
        <w:t>D</w:t>
      </w:r>
      <w:r w:rsidR="00D81DE9">
        <w:rPr>
          <w:rFonts w:ascii="Times New Roman" w:hAnsi="Times New Roman" w:cs="Times New Roman"/>
        </w:rPr>
        <w:t>ecember 31, 2011, but has since been extended through April 30, 2014</w:t>
      </w:r>
      <w:r w:rsidR="00D81DE9">
        <w:rPr>
          <w:rStyle w:val="FootnoteReference"/>
          <w:rFonts w:ascii="Times New Roman" w:hAnsi="Times New Roman"/>
        </w:rPr>
        <w:footnoteReference w:id="2"/>
      </w:r>
      <w:r w:rsidR="00D81DE9">
        <w:rPr>
          <w:rFonts w:ascii="Times New Roman" w:hAnsi="Times New Roman" w:cs="Times New Roman"/>
        </w:rPr>
        <w:t xml:space="preserve">. </w:t>
      </w:r>
      <w:r w:rsidR="009F2E2E">
        <w:rPr>
          <w:rFonts w:ascii="Times New Roman" w:hAnsi="Times New Roman" w:cs="Times New Roman"/>
        </w:rPr>
        <w:t xml:space="preserve"> The purchase</w:t>
      </w:r>
      <w:r w:rsidR="00472C4D">
        <w:rPr>
          <w:rFonts w:ascii="Times New Roman" w:hAnsi="Times New Roman" w:cs="Times New Roman"/>
        </w:rPr>
        <w:t xml:space="preserve"> of operating reserves from BPA for the Lancaster plant ended March 29, 2011 when the Lancaster plant was put into Avista’s balancing authority (electronically in Avista’s balancing authority</w:t>
      </w:r>
      <w:r w:rsidR="00D81DE9">
        <w:rPr>
          <w:rFonts w:ascii="Times New Roman" w:hAnsi="Times New Roman" w:cs="Times New Roman"/>
        </w:rPr>
        <w:t>,</w:t>
      </w:r>
      <w:r w:rsidR="00472C4D">
        <w:rPr>
          <w:rFonts w:ascii="Times New Roman" w:hAnsi="Times New Roman" w:cs="Times New Roman"/>
        </w:rPr>
        <w:t xml:space="preserve"> but still connected to BPA’s transmission system).</w:t>
      </w:r>
      <w:r w:rsidR="00541D93">
        <w:rPr>
          <w:rFonts w:ascii="Times New Roman" w:hAnsi="Times New Roman" w:cs="Times New Roman"/>
        </w:rPr>
        <w:t xml:space="preserve"> </w:t>
      </w:r>
      <w:r w:rsidR="00472C4D">
        <w:rPr>
          <w:rFonts w:ascii="Times New Roman" w:hAnsi="Times New Roman" w:cs="Times New Roman"/>
        </w:rPr>
        <w:t>On the</w:t>
      </w:r>
      <w:r w:rsidR="00541D93">
        <w:rPr>
          <w:rFonts w:ascii="Times New Roman" w:hAnsi="Times New Roman" w:cs="Times New Roman"/>
        </w:rPr>
        <w:t xml:space="preserve"> revenue side, </w:t>
      </w:r>
      <w:r w:rsidR="00147465">
        <w:rPr>
          <w:rFonts w:ascii="Times New Roman" w:hAnsi="Times New Roman" w:cs="Times New Roman"/>
        </w:rPr>
        <w:t>t</w:t>
      </w:r>
      <w:r w:rsidR="00576309">
        <w:rPr>
          <w:rFonts w:ascii="Times New Roman" w:hAnsi="Times New Roman" w:cs="Times New Roman"/>
        </w:rPr>
        <w:t>he load following contract</w:t>
      </w:r>
      <w:r w:rsidR="00147465">
        <w:rPr>
          <w:rFonts w:ascii="Times New Roman" w:hAnsi="Times New Roman" w:cs="Times New Roman"/>
        </w:rPr>
        <w:t xml:space="preserve"> </w:t>
      </w:r>
      <w:r w:rsidR="00576309">
        <w:rPr>
          <w:rFonts w:ascii="Times New Roman" w:hAnsi="Times New Roman" w:cs="Times New Roman"/>
        </w:rPr>
        <w:t>with Northweste</w:t>
      </w:r>
      <w:r w:rsidR="00472C4D">
        <w:rPr>
          <w:rFonts w:ascii="Times New Roman" w:hAnsi="Times New Roman" w:cs="Times New Roman"/>
        </w:rPr>
        <w:t>rn Energy ended</w:t>
      </w:r>
      <w:r w:rsidR="002D06C3">
        <w:rPr>
          <w:rFonts w:ascii="Times New Roman" w:hAnsi="Times New Roman" w:cs="Times New Roman"/>
        </w:rPr>
        <w:t xml:space="preserve"> January 9, 2011</w:t>
      </w:r>
      <w:r w:rsidR="00EA4963">
        <w:rPr>
          <w:rFonts w:ascii="Times New Roman" w:hAnsi="Times New Roman" w:cs="Times New Roman"/>
        </w:rPr>
        <w:t>,</w:t>
      </w:r>
      <w:r w:rsidR="005542A8">
        <w:rPr>
          <w:rFonts w:ascii="Times New Roman" w:hAnsi="Times New Roman" w:cs="Times New Roman"/>
        </w:rPr>
        <w:t xml:space="preserve"> and the load following contract with NatuEner ends August 31, 2011.</w:t>
      </w:r>
      <w:r w:rsidR="00092D05">
        <w:rPr>
          <w:rFonts w:ascii="Times New Roman" w:hAnsi="Times New Roman" w:cs="Times New Roman"/>
        </w:rPr>
        <w:t xml:space="preserve">  The overall impact of all the long-term contracts changes is less than a $500,000 increase on power supply expense (Washington allocation).</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w:t>
      </w:r>
      <w:r w:rsidR="00095636">
        <w:rPr>
          <w:rFonts w:ascii="Times New Roman" w:hAnsi="Times New Roman" w:cs="Times New Roman"/>
        </w:rPr>
        <w:lastRenderedPageBreak/>
        <w:t xml:space="preserve">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line item in the pro forma and are not included as inputs in the A</w:t>
      </w:r>
      <w:r w:rsidR="004C0725">
        <w:rPr>
          <w:rFonts w:ascii="Times New Roman" w:hAnsi="Times New Roman" w:cs="Times New Roman"/>
        </w:rPr>
        <w:t>U</w:t>
      </w:r>
      <w:r w:rsidR="00095636">
        <w:rPr>
          <w:rFonts w:ascii="Times New Roman" w:hAnsi="Times New Roman" w:cs="Times New Roman"/>
        </w:rPr>
        <w:t>RORA model.</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5108F2">
        <w:rPr>
          <w:rFonts w:ascii="Times New Roman" w:hAnsi="Times New Roman" w:cs="Times New Roman"/>
        </w:rPr>
        <w:t>February 8</w:t>
      </w:r>
      <w:r w:rsidR="007C4511">
        <w:rPr>
          <w:rFonts w:ascii="Times New Roman" w:hAnsi="Times New Roman" w:cs="Times New Roman"/>
        </w:rPr>
        <w:t>, 20</w:t>
      </w:r>
      <w:r w:rsidR="005108F2">
        <w:rPr>
          <w:rFonts w:ascii="Times New Roman" w:hAnsi="Times New Roman" w:cs="Times New Roman"/>
        </w:rPr>
        <w:t>11</w:t>
      </w:r>
      <w:r w:rsidR="007C4511">
        <w:rPr>
          <w:rFonts w:ascii="Times New Roman" w:hAnsi="Times New Roman" w:cs="Times New Roman"/>
        </w:rPr>
        <w:t xml:space="preserve"> for the 201</w:t>
      </w:r>
      <w:r w:rsidR="005108F2">
        <w:rPr>
          <w:rFonts w:ascii="Times New Roman" w:hAnsi="Times New Roman" w:cs="Times New Roman"/>
        </w:rPr>
        <w:t>2</w:t>
      </w:r>
      <w:r w:rsidR="007C4511">
        <w:rPr>
          <w:rFonts w:ascii="Times New Roman" w:hAnsi="Times New Roman" w:cs="Times New Roman"/>
        </w:rPr>
        <w:t xml:space="preserve"> pro forma period.  These transactions include </w:t>
      </w:r>
      <w:r w:rsidR="00095636">
        <w:rPr>
          <w:rFonts w:ascii="Times New Roman" w:hAnsi="Times New Roman" w:cs="Times New Roman"/>
        </w:rPr>
        <w:t>6</w:t>
      </w:r>
      <w:r w:rsidR="007C4511">
        <w:rPr>
          <w:rFonts w:ascii="Times New Roman" w:hAnsi="Times New Roman" w:cs="Times New Roman"/>
        </w:rPr>
        <w:t xml:space="preserve"> physical electric </w:t>
      </w:r>
      <w:r w:rsidR="00095636">
        <w:rPr>
          <w:rFonts w:ascii="Times New Roman" w:hAnsi="Times New Roman" w:cs="Times New Roman"/>
        </w:rPr>
        <w:t>transactions</w:t>
      </w:r>
      <w:r w:rsidR="007C4511">
        <w:rPr>
          <w:rFonts w:ascii="Times New Roman" w:hAnsi="Times New Roman" w:cs="Times New Roman"/>
        </w:rPr>
        <w:t xml:space="preserve">, </w:t>
      </w:r>
      <w:r w:rsidR="00095636">
        <w:rPr>
          <w:rFonts w:ascii="Times New Roman" w:hAnsi="Times New Roman" w:cs="Times New Roman"/>
        </w:rPr>
        <w:t>18</w:t>
      </w:r>
      <w:r w:rsidR="007C4511">
        <w:rPr>
          <w:rFonts w:ascii="Times New Roman" w:hAnsi="Times New Roman" w:cs="Times New Roman"/>
        </w:rPr>
        <w:t xml:space="preserve"> financial electric </w:t>
      </w:r>
      <w:r w:rsidR="00095636">
        <w:rPr>
          <w:rFonts w:ascii="Times New Roman" w:hAnsi="Times New Roman" w:cs="Times New Roman"/>
        </w:rPr>
        <w:t>transaction</w:t>
      </w:r>
      <w:r w:rsidR="0075076D">
        <w:rPr>
          <w:rFonts w:ascii="Times New Roman" w:hAnsi="Times New Roman" w:cs="Times New Roman"/>
        </w:rPr>
        <w:t>s</w:t>
      </w:r>
      <w:r w:rsidR="00095636">
        <w:rPr>
          <w:rFonts w:ascii="Times New Roman" w:hAnsi="Times New Roman" w:cs="Times New Roman"/>
        </w:rPr>
        <w:t>, 15 physical natural gas transactions</w:t>
      </w:r>
      <w:r w:rsidR="007C4511">
        <w:rPr>
          <w:rFonts w:ascii="Times New Roman" w:hAnsi="Times New Roman" w:cs="Times New Roman"/>
        </w:rPr>
        <w:t xml:space="preserve"> and </w:t>
      </w:r>
      <w:r w:rsidR="00095636">
        <w:rPr>
          <w:rFonts w:ascii="Times New Roman" w:hAnsi="Times New Roman" w:cs="Times New Roman"/>
        </w:rPr>
        <w:t>8</w:t>
      </w:r>
      <w:r w:rsidR="007C4511">
        <w:rPr>
          <w:rFonts w:ascii="Times New Roman" w:hAnsi="Times New Roman" w:cs="Times New Roman"/>
        </w:rPr>
        <w:t xml:space="preserve"> </w:t>
      </w:r>
      <w:r w:rsidR="00095636">
        <w:rPr>
          <w:rFonts w:ascii="Times New Roman" w:hAnsi="Times New Roman" w:cs="Times New Roman"/>
        </w:rPr>
        <w:t>financial</w:t>
      </w:r>
      <w:r w:rsidR="007C4511">
        <w:rPr>
          <w:rFonts w:ascii="Times New Roman" w:hAnsi="Times New Roman" w:cs="Times New Roman"/>
        </w:rPr>
        <w:t xml:space="preserve"> natural gas </w:t>
      </w:r>
      <w:r w:rsidR="00095636">
        <w:rPr>
          <w:rFonts w:ascii="Times New Roman" w:hAnsi="Times New Roman" w:cs="Times New Roman"/>
        </w:rPr>
        <w:t>transactions</w:t>
      </w:r>
      <w:r w:rsidR="007C4511">
        <w:rPr>
          <w:rFonts w:ascii="Times New Roman" w:hAnsi="Times New Roman" w:cs="Times New Roman"/>
        </w:rPr>
        <w:t>.</w:t>
      </w:r>
      <w:r w:rsidR="00AA1E96">
        <w:rPr>
          <w:rFonts w:ascii="Times New Roman" w:hAnsi="Times New Roman" w:cs="Times New Roman"/>
        </w:rPr>
        <w:t xml:space="preserve">  The details of these transactions are provided in workpapers.</w:t>
      </w:r>
    </w:p>
    <w:p w:rsidR="00BE21E7" w:rsidRPr="00E263B2" w:rsidRDefault="00E263B2" w:rsidP="00E263B2">
      <w:pPr>
        <w:pStyle w:val="TestBody"/>
        <w:tabs>
          <w:tab w:val="num" w:pos="0"/>
        </w:tabs>
        <w:spacing w:line="480" w:lineRule="auto"/>
        <w:ind w:left="0" w:firstLine="0"/>
        <w:rPr>
          <w:rFonts w:ascii="Times New Roman" w:hAnsi="Times New Roman" w:cs="Times New Roman"/>
        </w:rPr>
      </w:pPr>
      <w:r w:rsidRPr="00E263B2">
        <w:rPr>
          <w:rFonts w:ascii="Times New Roman" w:hAnsi="Times New Roman" w:cs="Times New Roman"/>
          <w:b/>
          <w:u w:val="single"/>
        </w:rPr>
        <w:t>Energy Efficiency Load</w:t>
      </w:r>
      <w:r w:rsidRPr="00E263B2">
        <w:rPr>
          <w:rFonts w:ascii="Times New Roman" w:hAnsi="Times New Roman" w:cs="Times New Roman"/>
          <w:u w:val="single"/>
        </w:rPr>
        <w:t xml:space="preserve"> </w:t>
      </w:r>
      <w:r w:rsidRPr="00E263B2">
        <w:rPr>
          <w:rFonts w:ascii="Times New Roman" w:hAnsi="Times New Roman" w:cs="Times New Roman"/>
          <w:b/>
          <w:u w:val="single"/>
        </w:rPr>
        <w:t>Adjustment</w:t>
      </w:r>
      <w:r w:rsidR="007C4511" w:rsidRPr="00E263B2">
        <w:rPr>
          <w:rFonts w:ascii="Times New Roman" w:hAnsi="Times New Roman" w:cs="Times New Roman"/>
          <w:b/>
          <w:u w:val="single"/>
        </w:rPr>
        <w:t xml:space="preserve">  </w:t>
      </w:r>
    </w:p>
    <w:p w:rsidR="00E263B2" w:rsidRPr="00BE21E7" w:rsidRDefault="00E263B2" w:rsidP="00E263B2">
      <w:pPr>
        <w:pStyle w:val="TestBody"/>
        <w:tabs>
          <w:tab w:val="num" w:pos="0"/>
        </w:tabs>
        <w:spacing w:line="480" w:lineRule="auto"/>
        <w:ind w:lef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How was the </w:t>
      </w:r>
      <w:r w:rsidR="00AA1E96">
        <w:rPr>
          <w:rFonts w:ascii="Times New Roman" w:hAnsi="Times New Roman" w:cs="Times New Roman"/>
          <w:b/>
        </w:rPr>
        <w:t xml:space="preserve">net </w:t>
      </w:r>
      <w:r>
        <w:rPr>
          <w:rFonts w:ascii="Times New Roman" w:hAnsi="Times New Roman" w:cs="Times New Roman"/>
          <w:b/>
        </w:rPr>
        <w:t xml:space="preserve">power supply expense adjusted for the </w:t>
      </w:r>
      <w:r w:rsidR="00AA1E96">
        <w:rPr>
          <w:rFonts w:ascii="Times New Roman" w:hAnsi="Times New Roman" w:cs="Times New Roman"/>
          <w:b/>
        </w:rPr>
        <w:t xml:space="preserve">proposed </w:t>
      </w:r>
      <w:r>
        <w:rPr>
          <w:rFonts w:ascii="Times New Roman" w:hAnsi="Times New Roman" w:cs="Times New Roman"/>
          <w:b/>
        </w:rPr>
        <w:t xml:space="preserve">Energy Efficiency Load Adjustment </w:t>
      </w:r>
      <w:r w:rsidR="00EA4963">
        <w:rPr>
          <w:rFonts w:ascii="Times New Roman" w:hAnsi="Times New Roman" w:cs="Times New Roman"/>
          <w:b/>
        </w:rPr>
        <w:t>that is expl</w:t>
      </w:r>
      <w:r w:rsidR="00AA1E96">
        <w:rPr>
          <w:rFonts w:ascii="Times New Roman" w:hAnsi="Times New Roman" w:cs="Times New Roman"/>
          <w:b/>
        </w:rPr>
        <w:t>ained</w:t>
      </w:r>
      <w:r>
        <w:rPr>
          <w:rFonts w:ascii="Times New Roman" w:hAnsi="Times New Roman" w:cs="Times New Roman"/>
          <w:b/>
        </w:rPr>
        <w:t xml:space="preserve"> in Mr. Eh</w:t>
      </w:r>
      <w:r w:rsidR="00105104">
        <w:rPr>
          <w:rFonts w:ascii="Times New Roman" w:hAnsi="Times New Roman" w:cs="Times New Roman"/>
          <w:b/>
        </w:rPr>
        <w:t>r</w:t>
      </w:r>
      <w:r>
        <w:rPr>
          <w:rFonts w:ascii="Times New Roman" w:hAnsi="Times New Roman" w:cs="Times New Roman"/>
          <w:b/>
        </w:rPr>
        <w:t>bar’s testimony</w:t>
      </w:r>
      <w:r w:rsidRPr="00BE21E7">
        <w:rPr>
          <w:rFonts w:ascii="Times New Roman" w:hAnsi="Times New Roman" w:cs="Times New Roman"/>
          <w:b/>
        </w:rPr>
        <w:t>?</w:t>
      </w:r>
    </w:p>
    <w:p w:rsidR="00E263B2" w:rsidRDefault="00E263B2"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w:t>
      </w:r>
      <w:r w:rsidR="00AA1E96">
        <w:rPr>
          <w:rFonts w:ascii="Times New Roman" w:hAnsi="Times New Roman" w:cs="Times New Roman"/>
        </w:rPr>
        <w:t xml:space="preserve">power supply </w:t>
      </w:r>
      <w:r w:rsidRPr="00BE21E7">
        <w:rPr>
          <w:rFonts w:ascii="Times New Roman" w:hAnsi="Times New Roman" w:cs="Times New Roman"/>
        </w:rPr>
        <w:t>pro forma</w:t>
      </w:r>
      <w:r w:rsidR="00AA1E96">
        <w:rPr>
          <w:rFonts w:ascii="Times New Roman" w:hAnsi="Times New Roman" w:cs="Times New Roman"/>
        </w:rPr>
        <w:t xml:space="preserve"> incorporates the </w:t>
      </w:r>
      <w:r w:rsidR="0058225F">
        <w:rPr>
          <w:rFonts w:ascii="Times New Roman" w:hAnsi="Times New Roman" w:cs="Times New Roman"/>
        </w:rPr>
        <w:t>reduction in Washington retail sales shown in Table 17 of Mr. Ehrbar’s direct testimony</w:t>
      </w:r>
      <w:r w:rsidR="00EA4963">
        <w:rPr>
          <w:rFonts w:ascii="Times New Roman" w:hAnsi="Times New Roman" w:cs="Times New Roman"/>
        </w:rPr>
        <w:t>,</w:t>
      </w:r>
      <w:r w:rsidR="0058225F">
        <w:rPr>
          <w:rFonts w:ascii="Times New Roman" w:hAnsi="Times New Roman" w:cs="Times New Roman"/>
        </w:rPr>
        <w:t xml:space="preserve"> </w:t>
      </w:r>
      <w:r w:rsidR="008A76B4">
        <w:rPr>
          <w:rFonts w:ascii="Times New Roman" w:hAnsi="Times New Roman" w:cs="Times New Roman"/>
        </w:rPr>
        <w:t xml:space="preserve">which was then grossed up for losses and then divided by Washington’s allocation to create a system load reduction.  The </w:t>
      </w:r>
      <w:r w:rsidR="0058225F">
        <w:rPr>
          <w:rFonts w:ascii="Times New Roman" w:hAnsi="Times New Roman" w:cs="Times New Roman"/>
        </w:rPr>
        <w:t xml:space="preserve">power supply </w:t>
      </w:r>
      <w:r w:rsidR="008A76B4">
        <w:rPr>
          <w:rFonts w:ascii="Times New Roman" w:hAnsi="Times New Roman" w:cs="Times New Roman"/>
        </w:rPr>
        <w:t xml:space="preserve">pro forma was then developed using the lower system load incorporating the </w:t>
      </w:r>
      <w:r w:rsidR="0058225F">
        <w:rPr>
          <w:rFonts w:ascii="Times New Roman" w:hAnsi="Times New Roman" w:cs="Times New Roman"/>
        </w:rPr>
        <w:t>E</w:t>
      </w:r>
      <w:r w:rsidR="008A76B4">
        <w:rPr>
          <w:rFonts w:ascii="Times New Roman" w:hAnsi="Times New Roman" w:cs="Times New Roman"/>
        </w:rPr>
        <w:t xml:space="preserve">nergy </w:t>
      </w:r>
      <w:r w:rsidR="0058225F">
        <w:rPr>
          <w:rFonts w:ascii="Times New Roman" w:hAnsi="Times New Roman" w:cs="Times New Roman"/>
        </w:rPr>
        <w:t>E</w:t>
      </w:r>
      <w:r w:rsidR="008A76B4">
        <w:rPr>
          <w:rFonts w:ascii="Times New Roman" w:hAnsi="Times New Roman" w:cs="Times New Roman"/>
        </w:rPr>
        <w:t xml:space="preserve">fficiency </w:t>
      </w:r>
      <w:r w:rsidR="0058225F">
        <w:rPr>
          <w:rFonts w:ascii="Times New Roman" w:hAnsi="Times New Roman" w:cs="Times New Roman"/>
        </w:rPr>
        <w:t>Load A</w:t>
      </w:r>
      <w:r w:rsidR="00BD5EFD">
        <w:rPr>
          <w:rFonts w:ascii="Times New Roman" w:hAnsi="Times New Roman" w:cs="Times New Roman"/>
        </w:rPr>
        <w:t>djustment</w:t>
      </w:r>
      <w:r w:rsidR="008A76B4">
        <w:rPr>
          <w:rFonts w:ascii="Times New Roman" w:hAnsi="Times New Roman" w:cs="Times New Roman"/>
        </w:rPr>
        <w:t xml:space="preserve">.  </w:t>
      </w:r>
    </w:p>
    <w:p w:rsidR="008A76B4" w:rsidRPr="00BE21E7" w:rsidRDefault="008A76B4" w:rsidP="008A76B4">
      <w:pPr>
        <w:pStyle w:val="TestBody"/>
        <w:tabs>
          <w:tab w:val="num" w:pos="0"/>
        </w:tabs>
        <w:spacing w:line="480" w:lineRule="auto"/>
        <w:ind w:lef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What power supply expenses are affected using the Energy Efficiency Load Adjustment</w:t>
      </w:r>
      <w:r w:rsidRPr="00BE21E7">
        <w:rPr>
          <w:rFonts w:ascii="Times New Roman" w:hAnsi="Times New Roman" w:cs="Times New Roman"/>
          <w:b/>
        </w:rPr>
        <w:t>?</w:t>
      </w:r>
    </w:p>
    <w:p w:rsidR="00E263B2" w:rsidRPr="00E263B2" w:rsidRDefault="008A76B4" w:rsidP="004C2BF7">
      <w:pPr>
        <w:pStyle w:val="TestBody"/>
        <w:tabs>
          <w:tab w:val="num" w:pos="0"/>
        </w:tabs>
        <w:spacing w:line="480" w:lineRule="auto"/>
        <w:ind w:left="0" w:firstLine="720"/>
        <w:rPr>
          <w:rFonts w:ascii="Times New Roman" w:hAnsi="Times New Roman" w:cs="Times New Roman"/>
          <w:b/>
          <w:u w:val="single"/>
        </w:rPr>
      </w:pPr>
      <w:r w:rsidRPr="00BE21E7">
        <w:rPr>
          <w:rFonts w:ascii="Times New Roman" w:hAnsi="Times New Roman" w:cs="Times New Roman"/>
        </w:rPr>
        <w:t>A.</w:t>
      </w:r>
      <w:r w:rsidRPr="00BE21E7">
        <w:rPr>
          <w:rFonts w:ascii="Times New Roman" w:hAnsi="Times New Roman" w:cs="Times New Roman"/>
        </w:rPr>
        <w:tab/>
        <w:t xml:space="preserve">The </w:t>
      </w:r>
      <w:r>
        <w:rPr>
          <w:rFonts w:ascii="Times New Roman" w:hAnsi="Times New Roman" w:cs="Times New Roman"/>
        </w:rPr>
        <w:t xml:space="preserve">only </w:t>
      </w:r>
      <w:r w:rsidR="00EA4963">
        <w:rPr>
          <w:rFonts w:ascii="Times New Roman" w:hAnsi="Times New Roman" w:cs="Times New Roman"/>
        </w:rPr>
        <w:t>a</w:t>
      </w:r>
      <w:r>
        <w:rPr>
          <w:rFonts w:ascii="Times New Roman" w:hAnsi="Times New Roman" w:cs="Times New Roman"/>
        </w:rPr>
        <w:t xml:space="preserve">ccounts affected in the power supply </w:t>
      </w:r>
      <w:r w:rsidRPr="00BE21E7">
        <w:rPr>
          <w:rFonts w:ascii="Times New Roman" w:hAnsi="Times New Roman" w:cs="Times New Roman"/>
        </w:rPr>
        <w:t xml:space="preserve">pro forma </w:t>
      </w:r>
      <w:r>
        <w:rPr>
          <w:rFonts w:ascii="Times New Roman" w:hAnsi="Times New Roman" w:cs="Times New Roman"/>
        </w:rPr>
        <w:t xml:space="preserve">for </w:t>
      </w:r>
      <w:r w:rsidR="00EA4963">
        <w:rPr>
          <w:rFonts w:ascii="Times New Roman" w:hAnsi="Times New Roman" w:cs="Times New Roman"/>
        </w:rPr>
        <w:t>the Energy Efficiency Load Adjustment</w:t>
      </w:r>
      <w:r>
        <w:rPr>
          <w:rFonts w:ascii="Times New Roman" w:hAnsi="Times New Roman" w:cs="Times New Roman"/>
        </w:rPr>
        <w:t xml:space="preserve"> are Account 555</w:t>
      </w:r>
      <w:r w:rsidR="005E439A">
        <w:rPr>
          <w:rFonts w:ascii="Times New Roman" w:hAnsi="Times New Roman" w:cs="Times New Roman"/>
        </w:rPr>
        <w:t>,</w:t>
      </w:r>
      <w:r>
        <w:rPr>
          <w:rFonts w:ascii="Times New Roman" w:hAnsi="Times New Roman" w:cs="Times New Roman"/>
        </w:rPr>
        <w:t xml:space="preserve"> Purchased Power and Account 447</w:t>
      </w:r>
      <w:r w:rsidR="005E439A">
        <w:rPr>
          <w:rFonts w:ascii="Times New Roman" w:hAnsi="Times New Roman" w:cs="Times New Roman"/>
        </w:rPr>
        <w:t>,</w:t>
      </w:r>
      <w:r>
        <w:rPr>
          <w:rFonts w:ascii="Times New Roman" w:hAnsi="Times New Roman" w:cs="Times New Roman"/>
        </w:rPr>
        <w:t xml:space="preserve"> Sales for Resale.  </w:t>
      </w:r>
      <w:r w:rsidR="004C2BF7">
        <w:rPr>
          <w:rFonts w:ascii="Times New Roman" w:hAnsi="Times New Roman" w:cs="Times New Roman"/>
        </w:rPr>
        <w:t>Purchased power expense decreased by $3,912,000 on a system bas</w:t>
      </w:r>
      <w:r w:rsidR="00A402FE">
        <w:rPr>
          <w:rFonts w:ascii="Times New Roman" w:hAnsi="Times New Roman" w:cs="Times New Roman"/>
        </w:rPr>
        <w:t>i</w:t>
      </w:r>
      <w:r w:rsidR="004C2BF7">
        <w:rPr>
          <w:rFonts w:ascii="Times New Roman" w:hAnsi="Times New Roman" w:cs="Times New Roman"/>
        </w:rPr>
        <w:t>s ($2,549</w:t>
      </w:r>
      <w:r w:rsidR="00A402FE">
        <w:rPr>
          <w:rFonts w:ascii="Times New Roman" w:hAnsi="Times New Roman" w:cs="Times New Roman"/>
        </w:rPr>
        <w:t>,000</w:t>
      </w:r>
      <w:r w:rsidR="004C2BF7">
        <w:rPr>
          <w:rFonts w:ascii="Times New Roman" w:hAnsi="Times New Roman" w:cs="Times New Roman"/>
        </w:rPr>
        <w:t xml:space="preserve"> Washington allocation) and Sales for Resale increased by $4,876,000 on a system bas</w:t>
      </w:r>
      <w:r w:rsidR="00A402FE">
        <w:rPr>
          <w:rFonts w:ascii="Times New Roman" w:hAnsi="Times New Roman" w:cs="Times New Roman"/>
        </w:rPr>
        <w:t>i</w:t>
      </w:r>
      <w:r w:rsidR="004C2BF7">
        <w:rPr>
          <w:rFonts w:ascii="Times New Roman" w:hAnsi="Times New Roman" w:cs="Times New Roman"/>
        </w:rPr>
        <w:t>s ($3,178</w:t>
      </w:r>
      <w:r w:rsidR="00A402FE">
        <w:rPr>
          <w:rFonts w:ascii="Times New Roman" w:hAnsi="Times New Roman" w:cs="Times New Roman"/>
        </w:rPr>
        <w:t>,000</w:t>
      </w:r>
      <w:r w:rsidR="004C2BF7">
        <w:rPr>
          <w:rFonts w:ascii="Times New Roman" w:hAnsi="Times New Roman" w:cs="Times New Roman"/>
        </w:rPr>
        <w:t xml:space="preserve"> Washington allocation).  All other power supply accounts are unaffected by the </w:t>
      </w:r>
      <w:r w:rsidR="0058225F">
        <w:rPr>
          <w:rFonts w:ascii="Times New Roman" w:hAnsi="Times New Roman" w:cs="Times New Roman"/>
        </w:rPr>
        <w:lastRenderedPageBreak/>
        <w:t>E</w:t>
      </w:r>
      <w:r w:rsidR="004C2BF7">
        <w:rPr>
          <w:rFonts w:ascii="Times New Roman" w:hAnsi="Times New Roman" w:cs="Times New Roman"/>
        </w:rPr>
        <w:t xml:space="preserve">nergy </w:t>
      </w:r>
      <w:r w:rsidR="0058225F">
        <w:rPr>
          <w:rFonts w:ascii="Times New Roman" w:hAnsi="Times New Roman" w:cs="Times New Roman"/>
        </w:rPr>
        <w:t>E</w:t>
      </w:r>
      <w:r w:rsidR="004C2BF7">
        <w:rPr>
          <w:rFonts w:ascii="Times New Roman" w:hAnsi="Times New Roman" w:cs="Times New Roman"/>
        </w:rPr>
        <w:t xml:space="preserve">fficiency </w:t>
      </w:r>
      <w:r w:rsidR="0058225F">
        <w:rPr>
          <w:rFonts w:ascii="Times New Roman" w:hAnsi="Times New Roman" w:cs="Times New Roman"/>
        </w:rPr>
        <w:t>L</w:t>
      </w:r>
      <w:r w:rsidR="004C2BF7">
        <w:rPr>
          <w:rFonts w:ascii="Times New Roman" w:hAnsi="Times New Roman" w:cs="Times New Roman"/>
        </w:rPr>
        <w:t xml:space="preserve">oad </w:t>
      </w:r>
      <w:r w:rsidR="0058225F">
        <w:rPr>
          <w:rFonts w:ascii="Times New Roman" w:hAnsi="Times New Roman" w:cs="Times New Roman"/>
        </w:rPr>
        <w:t>Adjustment</w:t>
      </w:r>
      <w:r w:rsidR="004C2BF7">
        <w:rPr>
          <w:rFonts w:ascii="Times New Roman" w:hAnsi="Times New Roman" w:cs="Times New Roman"/>
        </w:rPr>
        <w:t>.</w:t>
      </w:r>
      <w:r w:rsidR="0065505F">
        <w:rPr>
          <w:rFonts w:ascii="Times New Roman" w:hAnsi="Times New Roman" w:cs="Times New Roman"/>
        </w:rPr>
        <w:t xml:space="preserve">  Exhib</w:t>
      </w:r>
      <w:r w:rsidR="0012703B">
        <w:rPr>
          <w:rFonts w:ascii="Times New Roman" w:hAnsi="Times New Roman" w:cs="Times New Roman"/>
        </w:rPr>
        <w:t>i</w:t>
      </w:r>
      <w:r w:rsidR="0065505F">
        <w:rPr>
          <w:rFonts w:ascii="Times New Roman" w:hAnsi="Times New Roman" w:cs="Times New Roman"/>
        </w:rPr>
        <w:t>t No.__</w:t>
      </w:r>
      <w:r w:rsidR="0012703B">
        <w:rPr>
          <w:rFonts w:ascii="Times New Roman" w:hAnsi="Times New Roman" w:cs="Times New Roman"/>
        </w:rPr>
        <w:t>_ (</w:t>
      </w:r>
      <w:r w:rsidR="0065505F">
        <w:rPr>
          <w:rFonts w:ascii="Times New Roman" w:hAnsi="Times New Roman" w:cs="Times New Roman"/>
        </w:rPr>
        <w:t xml:space="preserve">WGJ-6) </w:t>
      </w:r>
      <w:r w:rsidR="00EA4963">
        <w:rPr>
          <w:rFonts w:ascii="Times New Roman" w:hAnsi="Times New Roman" w:cs="Times New Roman"/>
        </w:rPr>
        <w:t xml:space="preserve">is provided for information purposes and </w:t>
      </w:r>
      <w:r w:rsidR="0065505F">
        <w:rPr>
          <w:rFonts w:ascii="Times New Roman" w:hAnsi="Times New Roman" w:cs="Times New Roman"/>
        </w:rPr>
        <w:t xml:space="preserve">shows the power supply pro forma excluding the Energy Efficiency Load Adjustment.  The difference between net power supply costs in this </w:t>
      </w:r>
      <w:r w:rsidR="00A402FE">
        <w:rPr>
          <w:rFonts w:ascii="Times New Roman" w:hAnsi="Times New Roman" w:cs="Times New Roman"/>
        </w:rPr>
        <w:t>E</w:t>
      </w:r>
      <w:r w:rsidR="0065505F">
        <w:rPr>
          <w:rFonts w:ascii="Times New Roman" w:hAnsi="Times New Roman" w:cs="Times New Roman"/>
        </w:rPr>
        <w:t>xhibit and Exhibit No.__</w:t>
      </w:r>
      <w:r w:rsidR="0012703B">
        <w:rPr>
          <w:rFonts w:ascii="Times New Roman" w:hAnsi="Times New Roman" w:cs="Times New Roman"/>
        </w:rPr>
        <w:t>_ (</w:t>
      </w:r>
      <w:r w:rsidR="0065505F">
        <w:rPr>
          <w:rFonts w:ascii="Times New Roman" w:hAnsi="Times New Roman" w:cs="Times New Roman"/>
        </w:rPr>
        <w:t xml:space="preserve">WGJ-2) reflects the change in net power supply </w:t>
      </w:r>
      <w:r w:rsidR="0012703B">
        <w:rPr>
          <w:rFonts w:ascii="Times New Roman" w:hAnsi="Times New Roman" w:cs="Times New Roman"/>
        </w:rPr>
        <w:t>costs associated</w:t>
      </w:r>
      <w:r w:rsidR="0065505F">
        <w:rPr>
          <w:rFonts w:ascii="Times New Roman" w:hAnsi="Times New Roman" w:cs="Times New Roman"/>
        </w:rPr>
        <w:t xml:space="preserve"> with the Energy Efficiency Load Adjustment.</w:t>
      </w:r>
    </w:p>
    <w:p w:rsidR="00BE21E7" w:rsidRPr="00BE21E7" w:rsidRDefault="00BE21E7" w:rsidP="00BE21E7">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Thermal fuel expenses include Colstrip coal costs, Kettle Falls</w:t>
      </w:r>
      <w:r w:rsidR="0044617E">
        <w:rPr>
          <w:rFonts w:ascii="Times New Roman" w:hAnsi="Times New Roman" w:cs="Times New Roman"/>
        </w:rPr>
        <w:t xml:space="preserve"> wood-</w:t>
      </w:r>
      <w:r w:rsidRPr="00BE21E7">
        <w:rPr>
          <w:rFonts w:ascii="Times New Roman" w:hAnsi="Times New Roman" w:cs="Times New Roman"/>
        </w:rPr>
        <w:t>waste costs and natural gas expense for the Company’s gas-fired resources including Coyote Springs 2,</w:t>
      </w:r>
      <w:r w:rsidR="009C2006">
        <w:rPr>
          <w:rFonts w:ascii="Times New Roman" w:hAnsi="Times New Roman" w:cs="Times New Roman"/>
        </w:rPr>
        <w:t xml:space="preserve"> </w:t>
      </w:r>
      <w:smartTag w:uri="urn:schemas-microsoft-com:office:smarttags" w:element="City">
        <w:r w:rsidR="009C2006">
          <w:rPr>
            <w:rFonts w:ascii="Times New Roman" w:hAnsi="Times New Roman" w:cs="Times New Roman"/>
          </w:rPr>
          <w:t>Lancaster</w:t>
        </w:r>
      </w:smartTag>
      <w:r w:rsidR="009C2006">
        <w:rPr>
          <w:rFonts w:ascii="Times New Roman" w:hAnsi="Times New Roman" w:cs="Times New Roman"/>
        </w:rPr>
        <w:t>,</w:t>
      </w:r>
      <w:r w:rsidRPr="00BE21E7">
        <w:rPr>
          <w:rFonts w:ascii="Times New Roman" w:hAnsi="Times New Roman" w:cs="Times New Roman"/>
        </w:rPr>
        <w:t xml:space="preserve"> Rathdrum, Northeast, </w:t>
      </w:r>
      <w:smartTag w:uri="urn:schemas-microsoft-com:office:smarttags" w:element="PlaceName">
        <w:r w:rsidRPr="00BE21E7">
          <w:rPr>
            <w:rFonts w:ascii="Times New Roman" w:hAnsi="Times New Roman" w:cs="Times New Roman"/>
          </w:rPr>
          <w:t>Boulder</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Park</w:t>
        </w:r>
      </w:smartTag>
      <w:r w:rsidRPr="00BE21E7">
        <w:rPr>
          <w:rFonts w:ascii="Times New Roman" w:hAnsi="Times New Roman" w:cs="Times New Roman"/>
        </w:rPr>
        <w:t xml:space="preserve">, and the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BE21E7">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BE21E7" w:rsidRPr="00BE21E7"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095636">
        <w:rPr>
          <w:rFonts w:ascii="Times New Roman" w:hAnsi="Times New Roman" w:cs="Times New Roman"/>
        </w:rPr>
        <w:t xml:space="preserve">only change in transmission expense is the elimination of the Black Creek wheeling expense since that </w:t>
      </w:r>
      <w:r w:rsidR="00A745AE">
        <w:rPr>
          <w:rFonts w:ascii="Times New Roman" w:hAnsi="Times New Roman" w:cs="Times New Roman"/>
        </w:rPr>
        <w:t>contract ended March 25, 2011</w:t>
      </w:r>
      <w:r w:rsidR="00BE21E7" w:rsidRPr="00BE21E7">
        <w:rPr>
          <w:rFonts w:ascii="Times New Roman" w:hAnsi="Times New Roman" w:cs="Times New Roman"/>
        </w:rPr>
        <w:t>.</w:t>
      </w:r>
    </w:p>
    <w:p w:rsidR="00BE21E7" w:rsidRPr="00BE21E7" w:rsidRDefault="00BE21E7" w:rsidP="00BE21E7">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IV.</w:t>
      </w:r>
      <w:r w:rsidRPr="00BE21E7">
        <w:rPr>
          <w:rFonts w:ascii="Times New Roman" w:hAnsi="Times New Roman" w:cs="Times New Roman"/>
          <w:b/>
          <w:bCs/>
          <w:u w:val="single"/>
        </w:rPr>
        <w:tab/>
        <w:t>ERM CALCULATIONS</w:t>
      </w:r>
    </w:p>
    <w:p w:rsidR="00BE21E7" w:rsidRPr="00BE21E7" w:rsidRDefault="00BE21E7" w:rsidP="00BE21E7">
      <w:pPr>
        <w:pStyle w:val="BodyText"/>
        <w:tabs>
          <w:tab w:val="num" w:pos="0"/>
        </w:tabs>
        <w:spacing w:line="480" w:lineRule="auto"/>
        <w:jc w:val="both"/>
        <w:rPr>
          <w:bCs w:val="0"/>
          <w:u w:val="single"/>
        </w:rPr>
      </w:pPr>
      <w:r w:rsidRPr="00BE21E7">
        <w:rPr>
          <w:bCs w:val="0"/>
          <w:u w:val="single"/>
        </w:rPr>
        <w:t>New Authorized Power Supply and Transmission Expense</w:t>
      </w:r>
    </w:p>
    <w:p w:rsidR="00BE21E7" w:rsidRPr="00BE21E7" w:rsidRDefault="00BE21E7" w:rsidP="00BE21E7">
      <w:pPr>
        <w:pStyle w:val="BodyText"/>
        <w:numPr>
          <w:ilvl w:val="0"/>
          <w:numId w:val="7"/>
        </w:numPr>
        <w:tabs>
          <w:tab w:val="num" w:pos="0"/>
        </w:tabs>
        <w:spacing w:line="480" w:lineRule="auto"/>
        <w:ind w:left="0" w:firstLine="720"/>
        <w:jc w:val="both"/>
      </w:pPr>
      <w:r w:rsidRPr="00BE21E7">
        <w:t>What is the authorized power supply expense and revenue proposed by the Company 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7F462F">
        <w:rPr>
          <w:b w:val="0"/>
          <w:bCs w:val="0"/>
        </w:rPr>
        <w:t>$</w:t>
      </w:r>
      <w:r w:rsidR="007F462F">
        <w:rPr>
          <w:b w:val="0"/>
          <w:bCs w:val="0"/>
        </w:rPr>
        <w:t>1</w:t>
      </w:r>
      <w:r w:rsidR="00105104">
        <w:rPr>
          <w:b w:val="0"/>
          <w:bCs w:val="0"/>
        </w:rPr>
        <w:t>89</w:t>
      </w:r>
      <w:r w:rsidR="007F462F">
        <w:rPr>
          <w:b w:val="0"/>
          <w:bCs w:val="0"/>
        </w:rPr>
        <w:t>,</w:t>
      </w:r>
      <w:r w:rsidR="00105104">
        <w:rPr>
          <w:b w:val="0"/>
          <w:bCs w:val="0"/>
        </w:rPr>
        <w:t>516</w:t>
      </w:r>
      <w:r w:rsidR="007F462F">
        <w:rPr>
          <w:b w:val="0"/>
          <w:bCs w:val="0"/>
        </w:rPr>
        <w:t>,</w:t>
      </w:r>
      <w:r w:rsidR="002F6EB0">
        <w:rPr>
          <w:b w:val="0"/>
          <w:bCs w:val="0"/>
        </w:rPr>
        <w:t>428</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Pr="007F462F">
        <w:rPr>
          <w:b w:val="0"/>
          <w:bCs w:val="0"/>
        </w:rPr>
        <w:t>$1</w:t>
      </w:r>
      <w:r w:rsidR="00F7443D" w:rsidRPr="007F462F">
        <w:rPr>
          <w:b w:val="0"/>
          <w:bCs w:val="0"/>
        </w:rPr>
        <w:t>7</w:t>
      </w:r>
      <w:r w:rsidRPr="007F462F">
        <w:rPr>
          <w:b w:val="0"/>
          <w:bCs w:val="0"/>
        </w:rPr>
        <w:t>,</w:t>
      </w:r>
      <w:r w:rsidR="00F7443D" w:rsidRPr="007F462F">
        <w:rPr>
          <w:b w:val="0"/>
          <w:bCs w:val="0"/>
        </w:rPr>
        <w:t>64</w:t>
      </w:r>
      <w:r w:rsidR="007F462F" w:rsidRPr="007F462F">
        <w:rPr>
          <w:b w:val="0"/>
          <w:bCs w:val="0"/>
        </w:rPr>
        <w:t>1</w:t>
      </w:r>
      <w:r w:rsidRPr="007F462F">
        <w:rPr>
          <w:b w:val="0"/>
          <w:bCs w:val="0"/>
        </w:rPr>
        <w:t>,</w:t>
      </w:r>
      <w:r w:rsidR="007F462F" w:rsidRPr="007F462F">
        <w:rPr>
          <w:b w:val="0"/>
          <w:bCs w:val="0"/>
        </w:rPr>
        <w:t>176</w:t>
      </w:r>
      <w:r w:rsidRPr="00BE21E7">
        <w:rPr>
          <w:b w:val="0"/>
          <w:bCs w:val="0"/>
        </w:rPr>
        <w:t xml:space="preserve">.  The proposed level of Transmission Revenue is </w:t>
      </w:r>
      <w:r w:rsidRPr="00DC7D94">
        <w:rPr>
          <w:b w:val="0"/>
          <w:bCs w:val="0"/>
        </w:rPr>
        <w:t>$</w:t>
      </w:r>
      <w:r w:rsidR="001F4990" w:rsidRPr="00DC7D94">
        <w:rPr>
          <w:b w:val="0"/>
          <w:bCs w:val="0"/>
        </w:rPr>
        <w:t>1</w:t>
      </w:r>
      <w:r w:rsidR="00DC7D94" w:rsidRPr="00DC7D94">
        <w:rPr>
          <w:b w:val="0"/>
          <w:bCs w:val="0"/>
        </w:rPr>
        <w:t>1</w:t>
      </w:r>
      <w:r w:rsidRPr="00DC7D94">
        <w:rPr>
          <w:b w:val="0"/>
          <w:bCs w:val="0"/>
        </w:rPr>
        <w:t>,</w:t>
      </w:r>
      <w:r w:rsidR="00DC7D94" w:rsidRPr="00DC7D94">
        <w:rPr>
          <w:b w:val="0"/>
          <w:bCs w:val="0"/>
        </w:rPr>
        <w:t>524</w:t>
      </w:r>
      <w:r w:rsidRPr="00DC7D94">
        <w:rPr>
          <w:b w:val="0"/>
          <w:bCs w:val="0"/>
        </w:rPr>
        <w:t>,</w:t>
      </w:r>
      <w:r w:rsidR="00DC7D94">
        <w:rPr>
          <w:b w:val="0"/>
          <w:bCs w:val="0"/>
        </w:rPr>
        <w:t>732</w:t>
      </w:r>
      <w:r w:rsidRPr="00BE21E7">
        <w:rPr>
          <w:b w:val="0"/>
          <w:bCs w:val="0"/>
        </w:rPr>
        <w:t>.</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 xml:space="preserve">The level of retail sales MWh and the retail revenue credit </w:t>
      </w:r>
      <w:r w:rsidR="00092D05">
        <w:rPr>
          <w:b w:val="0"/>
          <w:bCs w:val="0"/>
        </w:rPr>
        <w:t>is</w:t>
      </w:r>
      <w:r w:rsidRPr="00BE21E7">
        <w:rPr>
          <w:b w:val="0"/>
          <w:bCs w:val="0"/>
        </w:rPr>
        <w:t xml:space="preserve"> also updated.  The proposed authorized level of retail sales to be used in the ERM is the January 201</w:t>
      </w:r>
      <w:r w:rsidR="001177A0">
        <w:rPr>
          <w:b w:val="0"/>
          <w:bCs w:val="0"/>
        </w:rPr>
        <w:t>0</w:t>
      </w:r>
      <w:r w:rsidRPr="00BE21E7">
        <w:rPr>
          <w:b w:val="0"/>
          <w:bCs w:val="0"/>
        </w:rPr>
        <w:t xml:space="preserve"> through December 20</w:t>
      </w:r>
      <w:r w:rsidR="001177A0">
        <w:rPr>
          <w:b w:val="0"/>
          <w:bCs w:val="0"/>
        </w:rPr>
        <w:t>10</w:t>
      </w:r>
      <w:r w:rsidRPr="00BE21E7">
        <w:rPr>
          <w:b w:val="0"/>
          <w:bCs w:val="0"/>
        </w:rPr>
        <w:t xml:space="preserve"> </w:t>
      </w:r>
      <w:r w:rsidR="001177A0">
        <w:rPr>
          <w:b w:val="0"/>
          <w:bCs w:val="0"/>
        </w:rPr>
        <w:t>weather adjusted</w:t>
      </w:r>
      <w:r w:rsidRPr="00BE21E7">
        <w:rPr>
          <w:b w:val="0"/>
          <w:bCs w:val="0"/>
        </w:rPr>
        <w:t xml:space="preserve"> retail sales</w:t>
      </w:r>
      <w:r w:rsidR="00105104">
        <w:rPr>
          <w:b w:val="0"/>
          <w:bCs w:val="0"/>
        </w:rPr>
        <w:t xml:space="preserve"> incorporating the Energy Efficiency Load Adjustment</w:t>
      </w:r>
      <w:r w:rsidRPr="00BE21E7">
        <w:rPr>
          <w:b w:val="0"/>
          <w:bCs w:val="0"/>
        </w:rPr>
        <w:t xml:space="preserve">.  The proposed retail revenue credit is </w:t>
      </w:r>
      <w:r w:rsidRPr="00105104">
        <w:rPr>
          <w:b w:val="0"/>
          <w:bCs w:val="0"/>
        </w:rPr>
        <w:t>$</w:t>
      </w:r>
      <w:r w:rsidR="00105104">
        <w:rPr>
          <w:b w:val="0"/>
          <w:bCs w:val="0"/>
        </w:rPr>
        <w:t>53.01</w:t>
      </w:r>
      <w:r w:rsidRPr="001F4990">
        <w:rPr>
          <w:b w:val="0"/>
          <w:bCs w:val="0"/>
        </w:rPr>
        <w:t>/MWh</w:t>
      </w:r>
      <w:r w:rsidRPr="00BE21E7">
        <w:rPr>
          <w:b w:val="0"/>
          <w:bCs w:val="0"/>
        </w:rPr>
        <w:t>, which is the average cost of production/transmission in this filing</w:t>
      </w:r>
      <w:r w:rsidR="0044617E">
        <w:rPr>
          <w:b w:val="0"/>
          <w:bCs w:val="0"/>
        </w:rPr>
        <w:t xml:space="preserve"> developed </w:t>
      </w:r>
      <w:r w:rsidR="009C2006">
        <w:rPr>
          <w:b w:val="0"/>
          <w:bCs w:val="0"/>
        </w:rPr>
        <w:t>by Company witness Ms. Knox</w:t>
      </w:r>
      <w:r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The proposed authorized ERM power supply expense and revenue, transmission expense and revenue, and retail sales is shown in Exhibit No.</w:t>
      </w:r>
      <w:r w:rsidR="00A55DD3">
        <w:rPr>
          <w:b w:val="0"/>
          <w:bCs w:val="0"/>
        </w:rPr>
        <w:t>___</w:t>
      </w:r>
      <w:r w:rsidRPr="00BE21E7">
        <w:rPr>
          <w:b w:val="0"/>
          <w:bCs w:val="0"/>
        </w:rPr>
        <w:t>(WGJ-</w:t>
      </w:r>
      <w:r w:rsidR="00A745AE">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BE21E7">
      <w:pgSz w:w="12240" w:h="15840" w:code="1"/>
      <w:pgMar w:top="1440" w:right="1008" w:bottom="2160"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E3" w:rsidRDefault="00A774E3">
      <w:r>
        <w:separator/>
      </w:r>
    </w:p>
  </w:endnote>
  <w:endnote w:type="continuationSeparator" w:id="0">
    <w:p w:rsidR="00A774E3" w:rsidRDefault="00A7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Footer"/>
      <w:tabs>
        <w:tab w:val="clear" w:pos="4320"/>
        <w:tab w:val="clear" w:pos="8640"/>
        <w:tab w:val="left" w:pos="180"/>
        <w:tab w:val="right" w:pos="9360"/>
      </w:tabs>
      <w:rPr>
        <w:sz w:val="22"/>
        <w:szCs w:val="22"/>
      </w:rPr>
    </w:pPr>
    <w:r>
      <w:rPr>
        <w:sz w:val="22"/>
        <w:szCs w:val="22"/>
      </w:rPr>
      <w:t>Direct Testimony of William G. Johnson</w:t>
    </w:r>
    <w:r>
      <w:rPr>
        <w:sz w:val="22"/>
        <w:szCs w:val="22"/>
      </w:rPr>
      <w:tab/>
    </w:r>
  </w:p>
  <w:p w:rsidR="00A774E3" w:rsidRPr="00BE21E7" w:rsidRDefault="00A774E3">
    <w:pPr>
      <w:pStyle w:val="Footer"/>
      <w:tabs>
        <w:tab w:val="clear" w:pos="4320"/>
        <w:tab w:val="clear" w:pos="8640"/>
        <w:tab w:val="left" w:pos="180"/>
        <w:tab w:val="right" w:pos="9360"/>
      </w:tabs>
      <w:rPr>
        <w:sz w:val="22"/>
        <w:szCs w:val="22"/>
        <w:lang w:val="fr-FR"/>
      </w:rPr>
    </w:pPr>
    <w:r w:rsidRPr="00BE21E7">
      <w:rPr>
        <w:sz w:val="22"/>
        <w:szCs w:val="22"/>
        <w:lang w:val="fr-FR"/>
      </w:rPr>
      <w:t>Avista Corporation</w:t>
    </w:r>
  </w:p>
  <w:p w:rsidR="00A774E3" w:rsidRDefault="00A774E3">
    <w:pPr>
      <w:pStyle w:val="Footer"/>
      <w:tabs>
        <w:tab w:val="clear" w:pos="4320"/>
        <w:tab w:val="clear" w:pos="8640"/>
        <w:tab w:val="left" w:pos="180"/>
        <w:tab w:val="right" w:pos="9360"/>
      </w:tabs>
      <w:rPr>
        <w:lang w:val="fr-FR"/>
      </w:rPr>
    </w:pPr>
    <w:r w:rsidRPr="00BE21E7">
      <w:rPr>
        <w:lang w:val="fr-FR"/>
      </w:rPr>
      <w:t>Docket No. UE-</w:t>
    </w:r>
    <w:r>
      <w:rPr>
        <w:lang w:val="fr-FR"/>
      </w:rPr>
      <w:t>11</w:t>
    </w:r>
    <w:r w:rsidRPr="00BE21E7">
      <w:rPr>
        <w:lang w:val="fr-FR"/>
      </w:rPr>
      <w:t>____</w:t>
    </w:r>
    <w:r w:rsidRPr="00BE21E7">
      <w:rPr>
        <w:lang w:val="fr-FR"/>
      </w:rPr>
      <w:tab/>
      <w:t>Page</w:t>
    </w:r>
    <w:r w:rsidRPr="00BE21E7">
      <w:rPr>
        <w:rFonts w:ascii="Palatino Linotype" w:hAnsi="Palatino Linotype" w:cs="Palatino Linotype"/>
        <w:lang w:val="fr-FR"/>
      </w:rPr>
      <w:t xml:space="preserve"> </w:t>
    </w:r>
    <w:r>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Pr>
        <w:rStyle w:val="PageNumber"/>
        <w:rFonts w:ascii="Palatino Linotype" w:hAnsi="Palatino Linotype" w:cs="Palatino Linotype"/>
      </w:rPr>
      <w:fldChar w:fldCharType="separate"/>
    </w:r>
    <w:r w:rsidR="00A402FE">
      <w:rPr>
        <w:rStyle w:val="PageNumber"/>
        <w:rFonts w:ascii="Palatino Linotype" w:hAnsi="Palatino Linotype" w:cs="Palatino Linotype"/>
        <w:noProof/>
        <w:lang w:val="fr-FR"/>
      </w:rPr>
      <w:t>11</w:t>
    </w:r>
    <w:r>
      <w:rPr>
        <w:rStyle w:val="PageNumber"/>
        <w:rFonts w:ascii="Palatino Linotype" w:hAnsi="Palatino Linotype" w:cs="Palatino Linoty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E3" w:rsidRDefault="00A774E3">
      <w:r>
        <w:separator/>
      </w:r>
    </w:p>
  </w:footnote>
  <w:footnote w:type="continuationSeparator" w:id="0">
    <w:p w:rsidR="00A774E3" w:rsidRDefault="00A774E3">
      <w:r>
        <w:continuationSeparator/>
      </w:r>
    </w:p>
  </w:footnote>
  <w:footnote w:id="1">
    <w:p w:rsidR="00A774E3" w:rsidRDefault="00A774E3">
      <w:pPr>
        <w:pStyle w:val="FootnoteText"/>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A774E3" w:rsidRDefault="00A774E3">
      <w:pPr>
        <w:pStyle w:val="FootnoteText"/>
      </w:pPr>
      <w:r>
        <w:rPr>
          <w:rStyle w:val="FootnoteReference"/>
        </w:rPr>
        <w:footnoteRef/>
      </w:r>
      <w:r>
        <w:t xml:space="preserve"> The Stateline wind contract was extended through April 30, 2014 on April 20,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Header"/>
    </w:pPr>
    <w:r>
      <w:tab/>
    </w:r>
    <w:r>
      <w:tab/>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7">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9">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0"/>
  </w:num>
  <w:num w:numId="4">
    <w:abstractNumId w:val="8"/>
  </w:num>
  <w:num w:numId="5">
    <w:abstractNumId w:val="4"/>
  </w:num>
  <w:num w:numId="6">
    <w:abstractNumId w:val="1"/>
  </w:num>
  <w:num w:numId="7">
    <w:abstractNumId w:val="3"/>
  </w:num>
  <w:num w:numId="8">
    <w:abstractNumId w:val="9"/>
  </w:num>
  <w:num w:numId="9">
    <w:abstractNumId w:val="2"/>
  </w:num>
  <w:num w:numId="1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22CA6"/>
    <w:rsid w:val="0003296D"/>
    <w:rsid w:val="00036DBA"/>
    <w:rsid w:val="00037B2A"/>
    <w:rsid w:val="000519D7"/>
    <w:rsid w:val="00055978"/>
    <w:rsid w:val="00067E1A"/>
    <w:rsid w:val="00071F0A"/>
    <w:rsid w:val="00076370"/>
    <w:rsid w:val="000773D0"/>
    <w:rsid w:val="00087A02"/>
    <w:rsid w:val="00092D05"/>
    <w:rsid w:val="00095636"/>
    <w:rsid w:val="000C6001"/>
    <w:rsid w:val="000E01AF"/>
    <w:rsid w:val="000F40A2"/>
    <w:rsid w:val="00105104"/>
    <w:rsid w:val="001177A0"/>
    <w:rsid w:val="001245BE"/>
    <w:rsid w:val="0012703B"/>
    <w:rsid w:val="0013441E"/>
    <w:rsid w:val="00137F9D"/>
    <w:rsid w:val="00147465"/>
    <w:rsid w:val="001665E9"/>
    <w:rsid w:val="001705BE"/>
    <w:rsid w:val="00182994"/>
    <w:rsid w:val="00187892"/>
    <w:rsid w:val="00190B9E"/>
    <w:rsid w:val="001951A0"/>
    <w:rsid w:val="00197849"/>
    <w:rsid w:val="001B0749"/>
    <w:rsid w:val="001B0DAD"/>
    <w:rsid w:val="001B4D44"/>
    <w:rsid w:val="001C4C68"/>
    <w:rsid w:val="001F1D02"/>
    <w:rsid w:val="001F37AE"/>
    <w:rsid w:val="001F3D71"/>
    <w:rsid w:val="001F4990"/>
    <w:rsid w:val="001F7A60"/>
    <w:rsid w:val="00200197"/>
    <w:rsid w:val="00201A6E"/>
    <w:rsid w:val="00201AC3"/>
    <w:rsid w:val="002276E4"/>
    <w:rsid w:val="00231AD4"/>
    <w:rsid w:val="002477D3"/>
    <w:rsid w:val="00254D97"/>
    <w:rsid w:val="00291043"/>
    <w:rsid w:val="002A2261"/>
    <w:rsid w:val="002C2686"/>
    <w:rsid w:val="002D06C3"/>
    <w:rsid w:val="002D0C51"/>
    <w:rsid w:val="002E5016"/>
    <w:rsid w:val="002F1C20"/>
    <w:rsid w:val="002F6EB0"/>
    <w:rsid w:val="00301D3F"/>
    <w:rsid w:val="00305307"/>
    <w:rsid w:val="003214E3"/>
    <w:rsid w:val="00321801"/>
    <w:rsid w:val="00326EEB"/>
    <w:rsid w:val="00335253"/>
    <w:rsid w:val="0035252D"/>
    <w:rsid w:val="00353674"/>
    <w:rsid w:val="00363D96"/>
    <w:rsid w:val="00387A30"/>
    <w:rsid w:val="003932C2"/>
    <w:rsid w:val="003A768F"/>
    <w:rsid w:val="003B5B38"/>
    <w:rsid w:val="003C2A70"/>
    <w:rsid w:val="003D15A9"/>
    <w:rsid w:val="003F3CBF"/>
    <w:rsid w:val="00407CC1"/>
    <w:rsid w:val="00414AC3"/>
    <w:rsid w:val="00414DD7"/>
    <w:rsid w:val="00431EB0"/>
    <w:rsid w:val="00434B9F"/>
    <w:rsid w:val="0044617E"/>
    <w:rsid w:val="00452AA7"/>
    <w:rsid w:val="004628CA"/>
    <w:rsid w:val="00465B31"/>
    <w:rsid w:val="00472C4D"/>
    <w:rsid w:val="00476EBC"/>
    <w:rsid w:val="004936A1"/>
    <w:rsid w:val="004967E7"/>
    <w:rsid w:val="004A3454"/>
    <w:rsid w:val="004B4C41"/>
    <w:rsid w:val="004C0725"/>
    <w:rsid w:val="004C2BF7"/>
    <w:rsid w:val="004D3D45"/>
    <w:rsid w:val="004E6CF8"/>
    <w:rsid w:val="004E7A16"/>
    <w:rsid w:val="004F758B"/>
    <w:rsid w:val="00506FC8"/>
    <w:rsid w:val="005108F2"/>
    <w:rsid w:val="005145D4"/>
    <w:rsid w:val="00514AC4"/>
    <w:rsid w:val="00541D93"/>
    <w:rsid w:val="00542569"/>
    <w:rsid w:val="005430BA"/>
    <w:rsid w:val="005517D9"/>
    <w:rsid w:val="005542A8"/>
    <w:rsid w:val="00565FD8"/>
    <w:rsid w:val="00576309"/>
    <w:rsid w:val="00580970"/>
    <w:rsid w:val="0058225F"/>
    <w:rsid w:val="00583433"/>
    <w:rsid w:val="00590DD4"/>
    <w:rsid w:val="00591D43"/>
    <w:rsid w:val="00593E33"/>
    <w:rsid w:val="005B1E66"/>
    <w:rsid w:val="005C366C"/>
    <w:rsid w:val="005C39B4"/>
    <w:rsid w:val="005D7E94"/>
    <w:rsid w:val="005D7EE1"/>
    <w:rsid w:val="005E439A"/>
    <w:rsid w:val="005E6D8E"/>
    <w:rsid w:val="005F4F7A"/>
    <w:rsid w:val="00601E14"/>
    <w:rsid w:val="0061735C"/>
    <w:rsid w:val="006242F7"/>
    <w:rsid w:val="0063791F"/>
    <w:rsid w:val="00653B88"/>
    <w:rsid w:val="0065453C"/>
    <w:rsid w:val="0065505F"/>
    <w:rsid w:val="00655366"/>
    <w:rsid w:val="00662BFE"/>
    <w:rsid w:val="0066587A"/>
    <w:rsid w:val="00665EFE"/>
    <w:rsid w:val="0067610F"/>
    <w:rsid w:val="00676BEE"/>
    <w:rsid w:val="00684DC5"/>
    <w:rsid w:val="00691CB7"/>
    <w:rsid w:val="006A26AD"/>
    <w:rsid w:val="006A2758"/>
    <w:rsid w:val="006A6139"/>
    <w:rsid w:val="006A7CFD"/>
    <w:rsid w:val="006B492E"/>
    <w:rsid w:val="006B7E17"/>
    <w:rsid w:val="006C01C8"/>
    <w:rsid w:val="006D1A9B"/>
    <w:rsid w:val="006D353A"/>
    <w:rsid w:val="006D5BF7"/>
    <w:rsid w:val="0070505F"/>
    <w:rsid w:val="007119B4"/>
    <w:rsid w:val="0071369A"/>
    <w:rsid w:val="0072665A"/>
    <w:rsid w:val="00742583"/>
    <w:rsid w:val="00747553"/>
    <w:rsid w:val="0075076D"/>
    <w:rsid w:val="00751E45"/>
    <w:rsid w:val="00754E86"/>
    <w:rsid w:val="00765BA1"/>
    <w:rsid w:val="007937D3"/>
    <w:rsid w:val="007A6DE3"/>
    <w:rsid w:val="007A795E"/>
    <w:rsid w:val="007A7EF9"/>
    <w:rsid w:val="007C4511"/>
    <w:rsid w:val="007D01A9"/>
    <w:rsid w:val="007D09A6"/>
    <w:rsid w:val="007D3E87"/>
    <w:rsid w:val="007E2219"/>
    <w:rsid w:val="007E6C13"/>
    <w:rsid w:val="007E7BC2"/>
    <w:rsid w:val="007F0DC8"/>
    <w:rsid w:val="007F462F"/>
    <w:rsid w:val="00800A6B"/>
    <w:rsid w:val="0081197F"/>
    <w:rsid w:val="00816FAB"/>
    <w:rsid w:val="00817F2D"/>
    <w:rsid w:val="00834809"/>
    <w:rsid w:val="00844535"/>
    <w:rsid w:val="00845CCE"/>
    <w:rsid w:val="008726A9"/>
    <w:rsid w:val="00876525"/>
    <w:rsid w:val="00883CEC"/>
    <w:rsid w:val="00890A57"/>
    <w:rsid w:val="00892EAA"/>
    <w:rsid w:val="008A76B4"/>
    <w:rsid w:val="008D3155"/>
    <w:rsid w:val="008E0200"/>
    <w:rsid w:val="008F3931"/>
    <w:rsid w:val="009055A6"/>
    <w:rsid w:val="00922C46"/>
    <w:rsid w:val="009366BC"/>
    <w:rsid w:val="00946E37"/>
    <w:rsid w:val="0095196D"/>
    <w:rsid w:val="00953816"/>
    <w:rsid w:val="00954DB7"/>
    <w:rsid w:val="00954E28"/>
    <w:rsid w:val="00976E12"/>
    <w:rsid w:val="009920E0"/>
    <w:rsid w:val="009A26DF"/>
    <w:rsid w:val="009A2DAA"/>
    <w:rsid w:val="009A4D7E"/>
    <w:rsid w:val="009A610C"/>
    <w:rsid w:val="009B1B04"/>
    <w:rsid w:val="009C2006"/>
    <w:rsid w:val="009E49FE"/>
    <w:rsid w:val="009E6F0C"/>
    <w:rsid w:val="009F0721"/>
    <w:rsid w:val="009F2E2E"/>
    <w:rsid w:val="00A040D3"/>
    <w:rsid w:val="00A2043B"/>
    <w:rsid w:val="00A402FE"/>
    <w:rsid w:val="00A47217"/>
    <w:rsid w:val="00A55DD3"/>
    <w:rsid w:val="00A726C8"/>
    <w:rsid w:val="00A73B72"/>
    <w:rsid w:val="00A745AE"/>
    <w:rsid w:val="00A774E3"/>
    <w:rsid w:val="00A8574B"/>
    <w:rsid w:val="00A95D47"/>
    <w:rsid w:val="00AA1E96"/>
    <w:rsid w:val="00AA20C9"/>
    <w:rsid w:val="00AA2ED4"/>
    <w:rsid w:val="00AA3E66"/>
    <w:rsid w:val="00AA4BA2"/>
    <w:rsid w:val="00AC036F"/>
    <w:rsid w:val="00AE2899"/>
    <w:rsid w:val="00B06EB1"/>
    <w:rsid w:val="00B07EE5"/>
    <w:rsid w:val="00B07FCC"/>
    <w:rsid w:val="00B10EED"/>
    <w:rsid w:val="00B174B1"/>
    <w:rsid w:val="00B3712F"/>
    <w:rsid w:val="00B4374B"/>
    <w:rsid w:val="00B500C4"/>
    <w:rsid w:val="00B502D2"/>
    <w:rsid w:val="00B53214"/>
    <w:rsid w:val="00B53D8C"/>
    <w:rsid w:val="00B708DF"/>
    <w:rsid w:val="00B71810"/>
    <w:rsid w:val="00B7736F"/>
    <w:rsid w:val="00B77F17"/>
    <w:rsid w:val="00B80027"/>
    <w:rsid w:val="00B968D6"/>
    <w:rsid w:val="00BA6FE4"/>
    <w:rsid w:val="00BB6621"/>
    <w:rsid w:val="00BB766A"/>
    <w:rsid w:val="00BC03AA"/>
    <w:rsid w:val="00BD5EFD"/>
    <w:rsid w:val="00BE21E7"/>
    <w:rsid w:val="00C026FD"/>
    <w:rsid w:val="00C030B8"/>
    <w:rsid w:val="00C03549"/>
    <w:rsid w:val="00C117D9"/>
    <w:rsid w:val="00C20A53"/>
    <w:rsid w:val="00C213E7"/>
    <w:rsid w:val="00C23C54"/>
    <w:rsid w:val="00C26DE3"/>
    <w:rsid w:val="00C579DD"/>
    <w:rsid w:val="00C608F0"/>
    <w:rsid w:val="00C62BDA"/>
    <w:rsid w:val="00C74C46"/>
    <w:rsid w:val="00C74E30"/>
    <w:rsid w:val="00C95537"/>
    <w:rsid w:val="00CA4C19"/>
    <w:rsid w:val="00CA52FC"/>
    <w:rsid w:val="00CB1427"/>
    <w:rsid w:val="00CB6E42"/>
    <w:rsid w:val="00CC1C97"/>
    <w:rsid w:val="00CD0757"/>
    <w:rsid w:val="00CD172A"/>
    <w:rsid w:val="00D007A9"/>
    <w:rsid w:val="00D118D9"/>
    <w:rsid w:val="00D21307"/>
    <w:rsid w:val="00D244AB"/>
    <w:rsid w:val="00D26E33"/>
    <w:rsid w:val="00D2745E"/>
    <w:rsid w:val="00D36CB0"/>
    <w:rsid w:val="00D47735"/>
    <w:rsid w:val="00D51E9F"/>
    <w:rsid w:val="00D60043"/>
    <w:rsid w:val="00D70A5F"/>
    <w:rsid w:val="00D7657F"/>
    <w:rsid w:val="00D77B2C"/>
    <w:rsid w:val="00D81DE9"/>
    <w:rsid w:val="00D83854"/>
    <w:rsid w:val="00DB3BCC"/>
    <w:rsid w:val="00DC7D94"/>
    <w:rsid w:val="00DD3971"/>
    <w:rsid w:val="00DF0891"/>
    <w:rsid w:val="00E00851"/>
    <w:rsid w:val="00E04B65"/>
    <w:rsid w:val="00E24BB0"/>
    <w:rsid w:val="00E263B2"/>
    <w:rsid w:val="00E273CB"/>
    <w:rsid w:val="00E31282"/>
    <w:rsid w:val="00E469CC"/>
    <w:rsid w:val="00E502AC"/>
    <w:rsid w:val="00E62431"/>
    <w:rsid w:val="00E65C27"/>
    <w:rsid w:val="00E700D9"/>
    <w:rsid w:val="00E81931"/>
    <w:rsid w:val="00EA44DF"/>
    <w:rsid w:val="00EA4963"/>
    <w:rsid w:val="00EA7203"/>
    <w:rsid w:val="00EB2665"/>
    <w:rsid w:val="00EC62F1"/>
    <w:rsid w:val="00F105DA"/>
    <w:rsid w:val="00F155E9"/>
    <w:rsid w:val="00F22C09"/>
    <w:rsid w:val="00F34D22"/>
    <w:rsid w:val="00F4206A"/>
    <w:rsid w:val="00F46162"/>
    <w:rsid w:val="00F63D5B"/>
    <w:rsid w:val="00F67CA5"/>
    <w:rsid w:val="00F7443D"/>
    <w:rsid w:val="00F83CE7"/>
    <w:rsid w:val="00F92D8E"/>
    <w:rsid w:val="00FA2BB9"/>
    <w:rsid w:val="00FA5D11"/>
    <w:rsid w:val="00FB6544"/>
    <w:rsid w:val="00FC09A4"/>
    <w:rsid w:val="00FD413F"/>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1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86CD15-62B9-4FAC-B2FD-6B87922E1686}"/>
</file>

<file path=customXml/itemProps2.xml><?xml version="1.0" encoding="utf-8"?>
<ds:datastoreItem xmlns:ds="http://schemas.openxmlformats.org/officeDocument/2006/customXml" ds:itemID="{5884AC0F-4DF6-47FD-A076-8404E2EADD98}"/>
</file>

<file path=customXml/itemProps3.xml><?xml version="1.0" encoding="utf-8"?>
<ds:datastoreItem xmlns:ds="http://schemas.openxmlformats.org/officeDocument/2006/customXml" ds:itemID="{3F9C05D6-9646-4543-A469-D6AF830E6774}"/>
</file>

<file path=customXml/itemProps4.xml><?xml version="1.0" encoding="utf-8"?>
<ds:datastoreItem xmlns:ds="http://schemas.openxmlformats.org/officeDocument/2006/customXml" ds:itemID="{D4D7CDA3-78BD-4169-AA5D-296025A1C22A}"/>
</file>

<file path=customXml/itemProps5.xml><?xml version="1.0" encoding="utf-8"?>
<ds:datastoreItem xmlns:ds="http://schemas.openxmlformats.org/officeDocument/2006/customXml" ds:itemID="{FF451027-4E04-4F47-83A1-58051C310419}"/>
</file>

<file path=docProps/app.xml><?xml version="1.0" encoding="utf-8"?>
<Properties xmlns="http://schemas.openxmlformats.org/officeDocument/2006/extended-properties" xmlns:vt="http://schemas.openxmlformats.org/officeDocument/2006/docPropsVTypes">
  <Template>Normal.dotm</Template>
  <TotalTime>28</TotalTime>
  <Pages>12</Pages>
  <Words>2519</Words>
  <Characters>13613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6</cp:revision>
  <cp:lastPrinted>2010-03-17T00:31:00Z</cp:lastPrinted>
  <dcterms:created xsi:type="dcterms:W3CDTF">2011-05-10T18:09:00Z</dcterms:created>
  <dcterms:modified xsi:type="dcterms:W3CDTF">2011-05-11T14:26:00Z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