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C0B47" w14:textId="77777777" w:rsidR="00C3471C" w:rsidRPr="007E50F7" w:rsidRDefault="00C3471C" w:rsidP="00C3471C">
      <w:pPr>
        <w:tabs>
          <w:tab w:val="center" w:pos="4680"/>
        </w:tabs>
        <w:ind w:right="-252" w:hanging="360"/>
        <w:jc w:val="both"/>
        <w:rPr>
          <w:b/>
          <w:bCs/>
        </w:rPr>
      </w:pPr>
      <w:r w:rsidRPr="007E50F7">
        <w:rPr>
          <w:b/>
          <w:bCs/>
        </w:rPr>
        <w:tab/>
      </w:r>
      <w:r w:rsidRPr="007E50F7">
        <w:rPr>
          <w:b/>
          <w:bCs/>
        </w:rPr>
        <w:tab/>
      </w:r>
      <w:r w:rsidRPr="007E50F7">
        <w:rPr>
          <w:b/>
          <w:bCs/>
        </w:rPr>
        <w:tab/>
        <w:t xml:space="preserve">Exhibit </w:t>
      </w:r>
      <w:r w:rsidR="00EA5286" w:rsidRPr="007E50F7">
        <w:rPr>
          <w:b/>
          <w:bCs/>
        </w:rPr>
        <w:t>No.</w:t>
      </w:r>
      <w:r w:rsidR="00940838" w:rsidRPr="007E50F7">
        <w:rPr>
          <w:b/>
          <w:bCs/>
        </w:rPr>
        <w:t xml:space="preserve"> </w:t>
      </w:r>
      <w:r w:rsidR="00CD5EF2" w:rsidRPr="007E50F7">
        <w:rPr>
          <w:b/>
          <w:bCs/>
        </w:rPr>
        <w:t>_</w:t>
      </w:r>
      <w:r w:rsidR="00940838" w:rsidRPr="007E50F7">
        <w:rPr>
          <w:b/>
          <w:bCs/>
        </w:rPr>
        <w:t>_</w:t>
      </w:r>
      <w:r w:rsidR="00CD5EF2" w:rsidRPr="007E50F7">
        <w:rPr>
          <w:b/>
          <w:bCs/>
        </w:rPr>
        <w:t>_</w:t>
      </w:r>
      <w:r w:rsidR="006E47E0">
        <w:rPr>
          <w:b/>
          <w:bCs/>
        </w:rPr>
        <w:t>T</w:t>
      </w:r>
      <w:r w:rsidR="00CB6378" w:rsidRPr="007E50F7">
        <w:rPr>
          <w:b/>
          <w:bCs/>
        </w:rPr>
        <w:t xml:space="preserve"> </w:t>
      </w:r>
      <w:r w:rsidR="00783CB8" w:rsidRPr="007E50F7">
        <w:rPr>
          <w:b/>
          <w:bCs/>
        </w:rPr>
        <w:t>(</w:t>
      </w:r>
      <w:proofErr w:type="spellStart"/>
      <w:r w:rsidR="002F1187" w:rsidRPr="007E50F7">
        <w:rPr>
          <w:b/>
          <w:bCs/>
        </w:rPr>
        <w:t>CTM</w:t>
      </w:r>
      <w:r w:rsidR="00783CB8" w:rsidRPr="007E50F7">
        <w:rPr>
          <w:b/>
          <w:bCs/>
        </w:rPr>
        <w:t>-</w:t>
      </w:r>
      <w:r w:rsidR="0088018B" w:rsidRPr="007E50F7">
        <w:rPr>
          <w:b/>
          <w:bCs/>
        </w:rPr>
        <w:t>1</w:t>
      </w:r>
      <w:r w:rsidR="00783CB8" w:rsidRPr="007E50F7">
        <w:rPr>
          <w:b/>
          <w:bCs/>
        </w:rPr>
        <w:t>T</w:t>
      </w:r>
      <w:proofErr w:type="spellEnd"/>
      <w:r w:rsidR="00783CB8" w:rsidRPr="007E50F7">
        <w:rPr>
          <w:b/>
          <w:bCs/>
        </w:rPr>
        <w:t>)</w:t>
      </w:r>
    </w:p>
    <w:p w14:paraId="6CFC0B48" w14:textId="77777777" w:rsidR="00C3471C" w:rsidRPr="007E50F7" w:rsidRDefault="00C3471C" w:rsidP="00C3471C">
      <w:pPr>
        <w:tabs>
          <w:tab w:val="center" w:pos="4680"/>
        </w:tabs>
        <w:ind w:right="-252" w:hanging="360"/>
        <w:jc w:val="both"/>
        <w:rPr>
          <w:b/>
          <w:bCs/>
        </w:rPr>
      </w:pPr>
      <w:r w:rsidRPr="007E50F7">
        <w:rPr>
          <w:b/>
          <w:bCs/>
        </w:rPr>
        <w:tab/>
      </w:r>
      <w:r w:rsidRPr="007E50F7">
        <w:rPr>
          <w:b/>
          <w:bCs/>
        </w:rPr>
        <w:tab/>
      </w:r>
      <w:r w:rsidRPr="007E50F7">
        <w:rPr>
          <w:b/>
          <w:bCs/>
        </w:rPr>
        <w:tab/>
        <w:t>Docket</w:t>
      </w:r>
      <w:r w:rsidR="00B12659" w:rsidRPr="007E50F7">
        <w:rPr>
          <w:b/>
          <w:bCs/>
        </w:rPr>
        <w:t xml:space="preserve">s </w:t>
      </w:r>
      <w:proofErr w:type="spellStart"/>
      <w:r w:rsidR="00B12659" w:rsidRPr="007E50F7">
        <w:rPr>
          <w:b/>
          <w:bCs/>
        </w:rPr>
        <w:t>UE</w:t>
      </w:r>
      <w:proofErr w:type="spellEnd"/>
      <w:r w:rsidR="00B12659" w:rsidRPr="007E50F7">
        <w:rPr>
          <w:b/>
          <w:bCs/>
        </w:rPr>
        <w:t>-1</w:t>
      </w:r>
      <w:r w:rsidR="0088018B" w:rsidRPr="007E50F7">
        <w:rPr>
          <w:b/>
          <w:bCs/>
        </w:rPr>
        <w:t>20436</w:t>
      </w:r>
      <w:r w:rsidR="00701323" w:rsidRPr="007E50F7">
        <w:rPr>
          <w:b/>
          <w:bCs/>
        </w:rPr>
        <w:t xml:space="preserve"> et al.</w:t>
      </w:r>
    </w:p>
    <w:p w14:paraId="6CFC0B49" w14:textId="77777777" w:rsidR="00C3471C" w:rsidRPr="007E50F7" w:rsidRDefault="00C3471C" w:rsidP="00C3471C">
      <w:pPr>
        <w:tabs>
          <w:tab w:val="center" w:pos="4680"/>
        </w:tabs>
        <w:ind w:right="-252" w:hanging="360"/>
        <w:jc w:val="both"/>
        <w:rPr>
          <w:b/>
          <w:bCs/>
        </w:rPr>
      </w:pPr>
      <w:r w:rsidRPr="007E50F7">
        <w:rPr>
          <w:b/>
          <w:bCs/>
        </w:rPr>
        <w:tab/>
      </w:r>
      <w:r w:rsidRPr="007E50F7">
        <w:rPr>
          <w:b/>
          <w:bCs/>
        </w:rPr>
        <w:tab/>
      </w:r>
      <w:r w:rsidRPr="007E50F7">
        <w:rPr>
          <w:b/>
          <w:bCs/>
        </w:rPr>
        <w:tab/>
        <w:t xml:space="preserve">Witness: </w:t>
      </w:r>
      <w:r w:rsidR="002F1187" w:rsidRPr="007E50F7">
        <w:rPr>
          <w:b/>
          <w:bCs/>
        </w:rPr>
        <w:t>Christopher T. Mickelson</w:t>
      </w:r>
    </w:p>
    <w:p w14:paraId="6CFC0B4A" w14:textId="77777777" w:rsidR="00B12659" w:rsidRPr="007E50F7" w:rsidRDefault="00B12659" w:rsidP="00B12659">
      <w:pPr>
        <w:tabs>
          <w:tab w:val="center" w:pos="4680"/>
        </w:tabs>
        <w:ind w:right="-108" w:hanging="180"/>
        <w:jc w:val="both"/>
        <w:rPr>
          <w:b/>
        </w:rPr>
      </w:pPr>
    </w:p>
    <w:p w14:paraId="6CFC0B4B" w14:textId="77777777" w:rsidR="00B12659" w:rsidRPr="007E50F7" w:rsidRDefault="00B12659" w:rsidP="00B12659">
      <w:pPr>
        <w:tabs>
          <w:tab w:val="center" w:pos="4680"/>
        </w:tabs>
        <w:ind w:right="-108" w:hanging="180"/>
        <w:jc w:val="both"/>
        <w:rPr>
          <w:b/>
        </w:rPr>
      </w:pPr>
    </w:p>
    <w:p w14:paraId="6CFC0B4C" w14:textId="77777777" w:rsidR="00B12659" w:rsidRPr="007E50F7" w:rsidRDefault="00B12659" w:rsidP="00B12659">
      <w:pPr>
        <w:tabs>
          <w:tab w:val="center" w:pos="4680"/>
        </w:tabs>
        <w:ind w:right="-108" w:hanging="180"/>
        <w:jc w:val="both"/>
        <w:rPr>
          <w:b/>
        </w:rPr>
      </w:pPr>
      <w:r w:rsidRPr="007E50F7">
        <w:rPr>
          <w:b/>
        </w:rPr>
        <w:t>BEFORE THE WASHINGTON UTILITIES AND TRANSPORTATION COMMISSION</w:t>
      </w:r>
    </w:p>
    <w:p w14:paraId="6CFC0B4D" w14:textId="77777777" w:rsidR="00701323" w:rsidRPr="007E50F7" w:rsidRDefault="00701323" w:rsidP="00B12659">
      <w:pPr>
        <w:tabs>
          <w:tab w:val="center" w:pos="4680"/>
        </w:tabs>
        <w:ind w:right="-108" w:hanging="180"/>
        <w:jc w:val="both"/>
        <w:rPr>
          <w:b/>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7E50F7" w:rsidRPr="007E50F7" w14:paraId="6CFC0B73" w14:textId="77777777" w:rsidTr="00E13E68">
        <w:tc>
          <w:tcPr>
            <w:tcW w:w="4590" w:type="dxa"/>
            <w:tcBorders>
              <w:top w:val="single" w:sz="6" w:space="0" w:color="FFFFFF"/>
              <w:left w:val="single" w:sz="6" w:space="0" w:color="FFFFFF"/>
              <w:bottom w:val="single" w:sz="7" w:space="0" w:color="000000"/>
              <w:right w:val="single" w:sz="6" w:space="0" w:color="FFFFFF"/>
            </w:tcBorders>
          </w:tcPr>
          <w:p w14:paraId="6CFC0B4E" w14:textId="77777777" w:rsidR="00701323" w:rsidRPr="007E50F7" w:rsidRDefault="00701323" w:rsidP="00E13E68">
            <w:pPr>
              <w:pStyle w:val="Header"/>
              <w:tabs>
                <w:tab w:val="left" w:pos="681"/>
                <w:tab w:val="left" w:pos="1401"/>
              </w:tabs>
              <w:rPr>
                <w:b/>
              </w:rPr>
            </w:pPr>
            <w:r w:rsidRPr="007E50F7">
              <w:rPr>
                <w:b/>
              </w:rPr>
              <w:t xml:space="preserve">WASHINGTON UTILITIES AND TRANSPORTATION COMMISSION, </w:t>
            </w:r>
          </w:p>
          <w:p w14:paraId="6CFC0B4F" w14:textId="77777777" w:rsidR="00701323" w:rsidRPr="007E50F7" w:rsidRDefault="00701323" w:rsidP="00E13E68">
            <w:pPr>
              <w:pStyle w:val="Header"/>
              <w:tabs>
                <w:tab w:val="left" w:pos="681"/>
                <w:tab w:val="left" w:pos="1401"/>
              </w:tabs>
              <w:rPr>
                <w:b/>
              </w:rPr>
            </w:pPr>
          </w:p>
          <w:p w14:paraId="6CFC0B50" w14:textId="77777777" w:rsidR="00701323" w:rsidRPr="007E50F7" w:rsidRDefault="00701323" w:rsidP="00E13E68">
            <w:pPr>
              <w:pStyle w:val="Header"/>
              <w:tabs>
                <w:tab w:val="left" w:pos="681"/>
                <w:tab w:val="left" w:pos="1401"/>
              </w:tabs>
              <w:rPr>
                <w:b/>
              </w:rPr>
            </w:pPr>
            <w:r w:rsidRPr="007E50F7">
              <w:rPr>
                <w:b/>
              </w:rPr>
              <w:tab/>
            </w:r>
            <w:r w:rsidRPr="007E50F7">
              <w:rPr>
                <w:b/>
              </w:rPr>
              <w:tab/>
              <w:t>Complainant,</w:t>
            </w:r>
          </w:p>
          <w:p w14:paraId="6CFC0B51" w14:textId="77777777" w:rsidR="00701323" w:rsidRPr="007E50F7" w:rsidRDefault="00701323" w:rsidP="00E13E68">
            <w:pPr>
              <w:pStyle w:val="Header"/>
              <w:tabs>
                <w:tab w:val="left" w:pos="681"/>
                <w:tab w:val="left" w:pos="1401"/>
              </w:tabs>
              <w:rPr>
                <w:b/>
              </w:rPr>
            </w:pPr>
          </w:p>
          <w:p w14:paraId="6CFC0B52" w14:textId="77777777" w:rsidR="00701323" w:rsidRPr="007E50F7" w:rsidRDefault="00701323" w:rsidP="00E13E68">
            <w:pPr>
              <w:pStyle w:val="Header"/>
              <w:tabs>
                <w:tab w:val="left" w:pos="681"/>
                <w:tab w:val="left" w:pos="1401"/>
              </w:tabs>
              <w:rPr>
                <w:b/>
              </w:rPr>
            </w:pPr>
            <w:r w:rsidRPr="007E50F7">
              <w:rPr>
                <w:b/>
              </w:rPr>
              <w:tab/>
              <w:t>v.</w:t>
            </w:r>
          </w:p>
          <w:p w14:paraId="6CFC0B53" w14:textId="77777777" w:rsidR="00701323" w:rsidRPr="007E50F7" w:rsidRDefault="00701323" w:rsidP="00E13E68">
            <w:pPr>
              <w:pStyle w:val="Header"/>
              <w:tabs>
                <w:tab w:val="left" w:pos="681"/>
                <w:tab w:val="left" w:pos="1401"/>
              </w:tabs>
              <w:rPr>
                <w:b/>
              </w:rPr>
            </w:pPr>
          </w:p>
          <w:p w14:paraId="6CFC0B54" w14:textId="77777777" w:rsidR="00701323" w:rsidRPr="007E50F7" w:rsidRDefault="00701323" w:rsidP="00E13E68">
            <w:pPr>
              <w:pStyle w:val="Header"/>
              <w:tabs>
                <w:tab w:val="left" w:pos="681"/>
                <w:tab w:val="left" w:pos="1401"/>
              </w:tabs>
              <w:rPr>
                <w:b/>
              </w:rPr>
            </w:pPr>
            <w:r w:rsidRPr="007E50F7">
              <w:rPr>
                <w:b/>
              </w:rPr>
              <w:t xml:space="preserve">AVISTA CORPORATION, d/b/a AVISTA UTILITIES, </w:t>
            </w:r>
          </w:p>
          <w:p w14:paraId="6CFC0B55" w14:textId="77777777" w:rsidR="00701323" w:rsidRPr="007E50F7" w:rsidRDefault="00701323" w:rsidP="00E13E68">
            <w:pPr>
              <w:pStyle w:val="Header"/>
              <w:tabs>
                <w:tab w:val="left" w:pos="681"/>
                <w:tab w:val="left" w:pos="1401"/>
              </w:tabs>
              <w:rPr>
                <w:b/>
              </w:rPr>
            </w:pPr>
          </w:p>
          <w:p w14:paraId="6CFC0B56" w14:textId="77777777" w:rsidR="00701323" w:rsidRPr="007E50F7" w:rsidRDefault="00701323" w:rsidP="00E13E68">
            <w:pPr>
              <w:pStyle w:val="Header"/>
              <w:pBdr>
                <w:bottom w:val="single" w:sz="12" w:space="1" w:color="auto"/>
              </w:pBdr>
              <w:tabs>
                <w:tab w:val="left" w:pos="681"/>
                <w:tab w:val="left" w:pos="1401"/>
              </w:tabs>
              <w:rPr>
                <w:b/>
              </w:rPr>
            </w:pPr>
            <w:r w:rsidRPr="007E50F7">
              <w:rPr>
                <w:b/>
              </w:rPr>
              <w:tab/>
            </w:r>
            <w:r w:rsidRPr="007E50F7">
              <w:rPr>
                <w:b/>
              </w:rPr>
              <w:tab/>
              <w:t>Respondent.</w:t>
            </w:r>
          </w:p>
          <w:p w14:paraId="6CFC0B57" w14:textId="77777777" w:rsidR="00701323" w:rsidRPr="007E50F7" w:rsidRDefault="00701323" w:rsidP="00E13E68">
            <w:pPr>
              <w:pStyle w:val="Header"/>
              <w:pBdr>
                <w:bottom w:val="single" w:sz="12" w:space="1" w:color="auto"/>
              </w:pBdr>
              <w:tabs>
                <w:tab w:val="left" w:pos="681"/>
                <w:tab w:val="left" w:pos="1401"/>
              </w:tabs>
              <w:rPr>
                <w:b/>
              </w:rPr>
            </w:pPr>
          </w:p>
          <w:p w14:paraId="6CFC0B58" w14:textId="77777777" w:rsidR="00701323" w:rsidRPr="007E50F7" w:rsidRDefault="00701323" w:rsidP="00E13E68">
            <w:pPr>
              <w:tabs>
                <w:tab w:val="left" w:pos="2160"/>
              </w:tabs>
              <w:rPr>
                <w:b/>
                <w:bCs/>
              </w:rPr>
            </w:pPr>
          </w:p>
          <w:p w14:paraId="6CFC0B59" w14:textId="77777777" w:rsidR="00701323" w:rsidRPr="007E50F7" w:rsidRDefault="00701323" w:rsidP="00E13E68">
            <w:pPr>
              <w:tabs>
                <w:tab w:val="left" w:pos="2160"/>
              </w:tabs>
              <w:rPr>
                <w:b/>
                <w:bCs/>
              </w:rPr>
            </w:pPr>
            <w:r w:rsidRPr="007E50F7">
              <w:rPr>
                <w:b/>
                <w:bCs/>
              </w:rPr>
              <w:t>WASHINGTON UTILITIES AND TRANSPORTATION COMMISSION,</w:t>
            </w:r>
          </w:p>
          <w:p w14:paraId="6CFC0B5A" w14:textId="77777777" w:rsidR="00701323" w:rsidRPr="007E50F7" w:rsidRDefault="00701323" w:rsidP="00E13E68">
            <w:pPr>
              <w:tabs>
                <w:tab w:val="left" w:pos="2160"/>
              </w:tabs>
              <w:rPr>
                <w:b/>
                <w:bCs/>
              </w:rPr>
            </w:pPr>
          </w:p>
          <w:p w14:paraId="6CFC0B5B" w14:textId="77777777" w:rsidR="00701323" w:rsidRPr="007E50F7" w:rsidRDefault="00701323" w:rsidP="00E13E68">
            <w:pPr>
              <w:tabs>
                <w:tab w:val="left" w:pos="2160"/>
              </w:tabs>
              <w:rPr>
                <w:b/>
                <w:bCs/>
              </w:rPr>
            </w:pPr>
            <w:r w:rsidRPr="007E50F7">
              <w:rPr>
                <w:b/>
                <w:bCs/>
              </w:rPr>
              <w:tab/>
              <w:t>Complainant,</w:t>
            </w:r>
          </w:p>
          <w:p w14:paraId="6CFC0B5C" w14:textId="77777777" w:rsidR="00701323" w:rsidRPr="007E50F7" w:rsidRDefault="00701323" w:rsidP="00E13E68">
            <w:pPr>
              <w:tabs>
                <w:tab w:val="left" w:pos="2160"/>
              </w:tabs>
              <w:rPr>
                <w:b/>
                <w:bCs/>
              </w:rPr>
            </w:pPr>
          </w:p>
          <w:p w14:paraId="6CFC0B5D" w14:textId="77777777" w:rsidR="00701323" w:rsidRPr="007E50F7" w:rsidRDefault="00701323" w:rsidP="00E13E68">
            <w:pPr>
              <w:tabs>
                <w:tab w:val="left" w:pos="2160"/>
              </w:tabs>
              <w:rPr>
                <w:b/>
                <w:bCs/>
              </w:rPr>
            </w:pPr>
            <w:r w:rsidRPr="007E50F7">
              <w:rPr>
                <w:b/>
                <w:bCs/>
              </w:rPr>
              <w:t>v.</w:t>
            </w:r>
          </w:p>
          <w:p w14:paraId="6CFC0B5E" w14:textId="77777777" w:rsidR="00701323" w:rsidRPr="007E50F7" w:rsidRDefault="00701323" w:rsidP="00E13E68">
            <w:pPr>
              <w:tabs>
                <w:tab w:val="left" w:pos="2160"/>
              </w:tabs>
              <w:rPr>
                <w:b/>
                <w:bCs/>
              </w:rPr>
            </w:pPr>
          </w:p>
          <w:p w14:paraId="6CFC0B5F" w14:textId="77777777" w:rsidR="00701323" w:rsidRPr="007E50F7" w:rsidRDefault="00701323" w:rsidP="00E13E68">
            <w:pPr>
              <w:tabs>
                <w:tab w:val="left" w:pos="2160"/>
              </w:tabs>
              <w:rPr>
                <w:b/>
                <w:bCs/>
              </w:rPr>
            </w:pPr>
            <w:r w:rsidRPr="007E50F7">
              <w:rPr>
                <w:b/>
                <w:bCs/>
              </w:rPr>
              <w:t>AVISTA CORPORATION d/b/a AVISTA UTILITIES,</w:t>
            </w:r>
          </w:p>
          <w:p w14:paraId="6CFC0B60" w14:textId="77777777" w:rsidR="00701323" w:rsidRPr="007E50F7" w:rsidRDefault="00701323" w:rsidP="00E13E68">
            <w:pPr>
              <w:tabs>
                <w:tab w:val="left" w:pos="2160"/>
              </w:tabs>
              <w:rPr>
                <w:b/>
                <w:bCs/>
              </w:rPr>
            </w:pPr>
          </w:p>
          <w:p w14:paraId="6CFC0B61" w14:textId="77777777" w:rsidR="00701323" w:rsidRPr="007E50F7" w:rsidRDefault="00701323" w:rsidP="00E13E68">
            <w:pPr>
              <w:tabs>
                <w:tab w:val="left" w:pos="2160"/>
              </w:tabs>
              <w:rPr>
                <w:b/>
                <w:bCs/>
              </w:rPr>
            </w:pPr>
            <w:r w:rsidRPr="007E50F7">
              <w:rPr>
                <w:b/>
                <w:bCs/>
              </w:rPr>
              <w:tab/>
              <w:t>Respondent.</w:t>
            </w:r>
          </w:p>
        </w:tc>
        <w:tc>
          <w:tcPr>
            <w:tcW w:w="4590" w:type="dxa"/>
            <w:tcBorders>
              <w:top w:val="single" w:sz="6" w:space="0" w:color="FFFFFF"/>
              <w:left w:val="single" w:sz="7" w:space="0" w:color="000000"/>
              <w:bottom w:val="single" w:sz="6" w:space="0" w:color="FFFFFF"/>
              <w:right w:val="single" w:sz="6" w:space="0" w:color="FFFFFF"/>
            </w:tcBorders>
          </w:tcPr>
          <w:p w14:paraId="6CFC0B62" w14:textId="77777777" w:rsidR="00701323" w:rsidRPr="007E50F7" w:rsidRDefault="00701323" w:rsidP="00E13E68">
            <w:pPr>
              <w:pStyle w:val="Header"/>
              <w:ind w:left="416"/>
              <w:rPr>
                <w:b/>
              </w:rPr>
            </w:pPr>
            <w:r w:rsidRPr="007E50F7">
              <w:rPr>
                <w:b/>
              </w:rPr>
              <w:t xml:space="preserve">DOCKETS </w:t>
            </w:r>
            <w:proofErr w:type="spellStart"/>
            <w:r w:rsidRPr="007E50F7">
              <w:rPr>
                <w:b/>
              </w:rPr>
              <w:t>UE</w:t>
            </w:r>
            <w:proofErr w:type="spellEnd"/>
            <w:r w:rsidRPr="007E50F7">
              <w:rPr>
                <w:b/>
              </w:rPr>
              <w:t>-120436/</w:t>
            </w:r>
            <w:proofErr w:type="spellStart"/>
            <w:r w:rsidRPr="007E50F7">
              <w:rPr>
                <w:b/>
              </w:rPr>
              <w:t>UG</w:t>
            </w:r>
            <w:proofErr w:type="spellEnd"/>
            <w:r w:rsidRPr="007E50F7">
              <w:rPr>
                <w:b/>
              </w:rPr>
              <w:t>-120437</w:t>
            </w:r>
          </w:p>
          <w:p w14:paraId="6CFC0B63" w14:textId="77777777" w:rsidR="00701323" w:rsidRPr="007E50F7" w:rsidRDefault="00701323" w:rsidP="00E13E68">
            <w:pPr>
              <w:pStyle w:val="Header"/>
              <w:ind w:left="1496" w:hanging="1080"/>
              <w:rPr>
                <w:b/>
                <w:i/>
              </w:rPr>
            </w:pPr>
            <w:r w:rsidRPr="007E50F7">
              <w:rPr>
                <w:b/>
              </w:rPr>
              <w:tab/>
              <w:t>(</w:t>
            </w:r>
            <w:r w:rsidRPr="007E50F7">
              <w:rPr>
                <w:b/>
                <w:i/>
              </w:rPr>
              <w:t>consolidated)</w:t>
            </w:r>
          </w:p>
          <w:p w14:paraId="6CFC0B64" w14:textId="77777777" w:rsidR="00701323" w:rsidRPr="007E50F7" w:rsidRDefault="00701323" w:rsidP="00E13E68">
            <w:pPr>
              <w:pStyle w:val="Header"/>
              <w:ind w:left="416"/>
              <w:rPr>
                <w:b/>
              </w:rPr>
            </w:pPr>
          </w:p>
          <w:p w14:paraId="6CFC0B65" w14:textId="77777777" w:rsidR="00701323" w:rsidRPr="007E50F7" w:rsidRDefault="00701323" w:rsidP="00E13E68">
            <w:pPr>
              <w:pStyle w:val="Header"/>
              <w:ind w:left="416"/>
              <w:rPr>
                <w:b/>
              </w:rPr>
            </w:pPr>
          </w:p>
          <w:p w14:paraId="6CFC0B66" w14:textId="77777777" w:rsidR="00701323" w:rsidRPr="007E50F7" w:rsidRDefault="00701323" w:rsidP="00E13E68">
            <w:pPr>
              <w:pStyle w:val="Header"/>
              <w:ind w:left="416"/>
              <w:rPr>
                <w:b/>
              </w:rPr>
            </w:pPr>
          </w:p>
          <w:p w14:paraId="6CFC0B67" w14:textId="77777777" w:rsidR="00701323" w:rsidRPr="007E50F7" w:rsidRDefault="00701323" w:rsidP="00E13E68">
            <w:pPr>
              <w:pStyle w:val="Header"/>
              <w:ind w:left="416"/>
              <w:rPr>
                <w:b/>
              </w:rPr>
            </w:pPr>
          </w:p>
          <w:p w14:paraId="6CFC0B68" w14:textId="77777777" w:rsidR="00701323" w:rsidRPr="007E50F7" w:rsidRDefault="00701323" w:rsidP="00E13E68">
            <w:pPr>
              <w:pStyle w:val="Header"/>
              <w:ind w:left="416"/>
              <w:rPr>
                <w:b/>
              </w:rPr>
            </w:pPr>
          </w:p>
          <w:p w14:paraId="6CFC0B69" w14:textId="77777777" w:rsidR="00701323" w:rsidRPr="007E50F7" w:rsidRDefault="00701323" w:rsidP="00E13E68">
            <w:pPr>
              <w:pStyle w:val="Header"/>
              <w:ind w:left="416"/>
              <w:rPr>
                <w:b/>
              </w:rPr>
            </w:pPr>
          </w:p>
          <w:p w14:paraId="6CFC0B6A" w14:textId="77777777" w:rsidR="00701323" w:rsidRPr="007E50F7" w:rsidRDefault="00701323" w:rsidP="00E13E68">
            <w:pPr>
              <w:pStyle w:val="Header"/>
              <w:ind w:left="416"/>
              <w:rPr>
                <w:b/>
              </w:rPr>
            </w:pPr>
          </w:p>
          <w:p w14:paraId="6CFC0B6B" w14:textId="77777777" w:rsidR="00701323" w:rsidRPr="007E50F7" w:rsidRDefault="00701323" w:rsidP="00E13E68">
            <w:pPr>
              <w:pStyle w:val="Header"/>
              <w:ind w:left="416"/>
              <w:rPr>
                <w:b/>
              </w:rPr>
            </w:pPr>
          </w:p>
          <w:p w14:paraId="6CFC0B6C" w14:textId="77777777" w:rsidR="00701323" w:rsidRPr="007E50F7" w:rsidRDefault="00701323" w:rsidP="00E13E68">
            <w:pPr>
              <w:pStyle w:val="Header"/>
              <w:ind w:left="416"/>
              <w:rPr>
                <w:b/>
              </w:rPr>
            </w:pPr>
          </w:p>
          <w:p w14:paraId="6CFC0B6D" w14:textId="77777777" w:rsidR="00701323" w:rsidRPr="007E50F7" w:rsidRDefault="00701323" w:rsidP="00E13E68">
            <w:pPr>
              <w:pStyle w:val="Header"/>
              <w:ind w:left="416"/>
              <w:rPr>
                <w:b/>
              </w:rPr>
            </w:pPr>
          </w:p>
          <w:p w14:paraId="6CFC0B6E" w14:textId="77777777" w:rsidR="00701323" w:rsidRPr="007E50F7" w:rsidRDefault="00701323" w:rsidP="00E13E68">
            <w:pPr>
              <w:pStyle w:val="Header"/>
              <w:ind w:left="416"/>
              <w:rPr>
                <w:b/>
              </w:rPr>
            </w:pPr>
            <w:r w:rsidRPr="007E50F7">
              <w:rPr>
                <w:b/>
              </w:rPr>
              <w:t xml:space="preserve">DOCKETS </w:t>
            </w:r>
            <w:proofErr w:type="spellStart"/>
            <w:r w:rsidRPr="007E50F7">
              <w:rPr>
                <w:b/>
              </w:rPr>
              <w:t>UE</w:t>
            </w:r>
            <w:proofErr w:type="spellEnd"/>
            <w:r w:rsidRPr="007E50F7">
              <w:rPr>
                <w:b/>
              </w:rPr>
              <w:t>-110876/</w:t>
            </w:r>
            <w:proofErr w:type="spellStart"/>
            <w:r w:rsidRPr="007E50F7">
              <w:rPr>
                <w:b/>
              </w:rPr>
              <w:t>UG</w:t>
            </w:r>
            <w:proofErr w:type="spellEnd"/>
            <w:r w:rsidRPr="007E50F7">
              <w:rPr>
                <w:b/>
              </w:rPr>
              <w:t>-110877</w:t>
            </w:r>
          </w:p>
          <w:p w14:paraId="6CFC0B6F" w14:textId="77777777" w:rsidR="00701323" w:rsidRPr="007E50F7" w:rsidRDefault="00701323" w:rsidP="00E13E68">
            <w:pPr>
              <w:pStyle w:val="Header"/>
              <w:tabs>
                <w:tab w:val="left" w:pos="1543"/>
              </w:tabs>
              <w:ind w:left="416"/>
              <w:rPr>
                <w:b/>
                <w:i/>
              </w:rPr>
            </w:pPr>
            <w:r w:rsidRPr="007E50F7">
              <w:rPr>
                <w:b/>
              </w:rPr>
              <w:tab/>
            </w:r>
            <w:r w:rsidRPr="007E50F7">
              <w:rPr>
                <w:b/>
                <w:i/>
              </w:rPr>
              <w:t>(consolidated)</w:t>
            </w:r>
          </w:p>
          <w:p w14:paraId="6CFC0B70" w14:textId="77777777" w:rsidR="00701323" w:rsidRPr="007E50F7" w:rsidRDefault="00701323" w:rsidP="00E13E68">
            <w:pPr>
              <w:pStyle w:val="Header"/>
              <w:tabs>
                <w:tab w:val="left" w:pos="1543"/>
              </w:tabs>
              <w:ind w:left="416"/>
              <w:rPr>
                <w:b/>
                <w:i/>
              </w:rPr>
            </w:pPr>
          </w:p>
          <w:p w14:paraId="6CFC0B71" w14:textId="77777777" w:rsidR="00701323" w:rsidRPr="007E50F7" w:rsidRDefault="00701323" w:rsidP="00E13E68">
            <w:pPr>
              <w:pStyle w:val="Header"/>
              <w:tabs>
                <w:tab w:val="left" w:pos="1543"/>
              </w:tabs>
              <w:ind w:left="416"/>
              <w:rPr>
                <w:b/>
              </w:rPr>
            </w:pPr>
          </w:p>
          <w:p w14:paraId="6CFC0B72" w14:textId="77777777" w:rsidR="00701323" w:rsidRPr="007E50F7" w:rsidRDefault="00701323" w:rsidP="00E13E68">
            <w:pPr>
              <w:pStyle w:val="Header"/>
              <w:ind w:left="416"/>
              <w:rPr>
                <w:b/>
              </w:rPr>
            </w:pPr>
          </w:p>
        </w:tc>
      </w:tr>
    </w:tbl>
    <w:p w14:paraId="6CFC0B74" w14:textId="77777777" w:rsidR="00C3471C" w:rsidRPr="007E50F7" w:rsidRDefault="00C3471C" w:rsidP="00C3471C">
      <w:pPr>
        <w:rPr>
          <w:b/>
          <w:bCs/>
        </w:rPr>
      </w:pPr>
    </w:p>
    <w:p w14:paraId="6CFC0B75" w14:textId="77777777" w:rsidR="00C3471C" w:rsidRPr="007E50F7" w:rsidRDefault="00C3471C" w:rsidP="00C3471C">
      <w:pPr>
        <w:tabs>
          <w:tab w:val="center" w:pos="4680"/>
        </w:tabs>
        <w:jc w:val="center"/>
        <w:rPr>
          <w:b/>
          <w:bCs/>
        </w:rPr>
      </w:pPr>
      <w:r w:rsidRPr="007E50F7">
        <w:rPr>
          <w:b/>
          <w:bCs/>
        </w:rPr>
        <w:t>TESTIMONY OF</w:t>
      </w:r>
    </w:p>
    <w:p w14:paraId="6CFC0B76" w14:textId="77777777" w:rsidR="00C3471C" w:rsidRPr="007E50F7" w:rsidRDefault="00C3471C" w:rsidP="00C3471C">
      <w:pPr>
        <w:jc w:val="center"/>
        <w:rPr>
          <w:b/>
          <w:bCs/>
        </w:rPr>
      </w:pPr>
    </w:p>
    <w:p w14:paraId="6CFC0B77" w14:textId="77777777" w:rsidR="00C3471C" w:rsidRPr="007E50F7" w:rsidRDefault="002F1187" w:rsidP="00C3471C">
      <w:pPr>
        <w:tabs>
          <w:tab w:val="center" w:pos="4680"/>
        </w:tabs>
        <w:jc w:val="center"/>
        <w:rPr>
          <w:b/>
          <w:bCs/>
        </w:rPr>
      </w:pPr>
      <w:r w:rsidRPr="007E50F7">
        <w:rPr>
          <w:b/>
          <w:bCs/>
        </w:rPr>
        <w:t>CHRISTOPHER T. MICKELSON</w:t>
      </w:r>
    </w:p>
    <w:p w14:paraId="6CFC0B78" w14:textId="77777777" w:rsidR="00C3471C" w:rsidRPr="007E50F7" w:rsidRDefault="00C3471C" w:rsidP="00C3471C">
      <w:pPr>
        <w:tabs>
          <w:tab w:val="center" w:pos="4680"/>
        </w:tabs>
        <w:jc w:val="center"/>
        <w:rPr>
          <w:b/>
          <w:bCs/>
        </w:rPr>
      </w:pPr>
    </w:p>
    <w:p w14:paraId="6CFC0B79" w14:textId="77777777" w:rsidR="00C3471C" w:rsidRPr="007E50F7" w:rsidRDefault="00C3471C" w:rsidP="00C3471C">
      <w:pPr>
        <w:tabs>
          <w:tab w:val="center" w:pos="4680"/>
        </w:tabs>
        <w:jc w:val="center"/>
        <w:rPr>
          <w:b/>
          <w:bCs/>
        </w:rPr>
      </w:pPr>
      <w:r w:rsidRPr="007E50F7">
        <w:rPr>
          <w:b/>
          <w:bCs/>
        </w:rPr>
        <w:t>STAFF OF</w:t>
      </w:r>
    </w:p>
    <w:p w14:paraId="6CFC0B7A" w14:textId="77777777" w:rsidR="00C3471C" w:rsidRPr="007E50F7" w:rsidRDefault="00C3471C" w:rsidP="00C3471C">
      <w:pPr>
        <w:tabs>
          <w:tab w:val="center" w:pos="4680"/>
        </w:tabs>
        <w:jc w:val="center"/>
        <w:rPr>
          <w:b/>
          <w:bCs/>
        </w:rPr>
      </w:pPr>
      <w:r w:rsidRPr="007E50F7">
        <w:rPr>
          <w:b/>
          <w:bCs/>
        </w:rPr>
        <w:t>WASHINGTON UTILITIES AND</w:t>
      </w:r>
    </w:p>
    <w:p w14:paraId="6CFC0B7B" w14:textId="77777777" w:rsidR="00C3471C" w:rsidRPr="007E50F7" w:rsidRDefault="00C3471C" w:rsidP="00C3471C">
      <w:pPr>
        <w:tabs>
          <w:tab w:val="center" w:pos="4680"/>
        </w:tabs>
        <w:jc w:val="center"/>
        <w:rPr>
          <w:b/>
          <w:bCs/>
        </w:rPr>
      </w:pPr>
      <w:r w:rsidRPr="007E50F7">
        <w:rPr>
          <w:b/>
          <w:bCs/>
        </w:rPr>
        <w:t>TRANSPORTATION COMMISSION</w:t>
      </w:r>
    </w:p>
    <w:p w14:paraId="6CFC0B7C" w14:textId="77777777" w:rsidR="0074370C" w:rsidRPr="007E50F7" w:rsidRDefault="0074370C" w:rsidP="00C3471C">
      <w:pPr>
        <w:tabs>
          <w:tab w:val="center" w:pos="4680"/>
        </w:tabs>
        <w:jc w:val="center"/>
        <w:rPr>
          <w:b/>
          <w:bCs/>
        </w:rPr>
      </w:pPr>
    </w:p>
    <w:p w14:paraId="6CFC0B7D" w14:textId="77777777" w:rsidR="0074370C" w:rsidRPr="007E50F7" w:rsidRDefault="0074370C" w:rsidP="0074370C">
      <w:pPr>
        <w:jc w:val="center"/>
        <w:rPr>
          <w:b/>
          <w:bCs/>
          <w:i/>
        </w:rPr>
      </w:pPr>
      <w:proofErr w:type="spellStart"/>
      <w:r w:rsidRPr="007E50F7">
        <w:rPr>
          <w:b/>
          <w:bCs/>
          <w:i/>
        </w:rPr>
        <w:t>Aldyl</w:t>
      </w:r>
      <w:proofErr w:type="spellEnd"/>
      <w:r w:rsidRPr="007E50F7">
        <w:rPr>
          <w:b/>
          <w:bCs/>
          <w:i/>
        </w:rPr>
        <w:t>-A Pipe Replacement Program</w:t>
      </w:r>
    </w:p>
    <w:p w14:paraId="6CFC0B7E" w14:textId="77777777" w:rsidR="00464A47" w:rsidRPr="007E50F7" w:rsidRDefault="00464A47" w:rsidP="002F1187">
      <w:pPr>
        <w:jc w:val="center"/>
        <w:rPr>
          <w:b/>
          <w:bCs/>
          <w:i/>
        </w:rPr>
      </w:pPr>
      <w:r w:rsidRPr="007E50F7">
        <w:rPr>
          <w:b/>
          <w:bCs/>
          <w:i/>
        </w:rPr>
        <w:t xml:space="preserve">Electric </w:t>
      </w:r>
      <w:r w:rsidR="006F1931" w:rsidRPr="007E50F7">
        <w:rPr>
          <w:b/>
          <w:bCs/>
          <w:i/>
        </w:rPr>
        <w:t>Cost of Service</w:t>
      </w:r>
      <w:r w:rsidR="00820A91" w:rsidRPr="007E50F7">
        <w:rPr>
          <w:b/>
          <w:bCs/>
          <w:i/>
        </w:rPr>
        <w:t>, Revenue Allocation</w:t>
      </w:r>
      <w:r w:rsidR="0092519E" w:rsidRPr="007E50F7">
        <w:rPr>
          <w:b/>
          <w:bCs/>
          <w:i/>
        </w:rPr>
        <w:t>,</w:t>
      </w:r>
      <w:r w:rsidR="00D47143" w:rsidRPr="007E50F7">
        <w:rPr>
          <w:b/>
          <w:bCs/>
          <w:i/>
        </w:rPr>
        <w:t xml:space="preserve"> </w:t>
      </w:r>
      <w:r w:rsidRPr="007E50F7">
        <w:rPr>
          <w:b/>
          <w:bCs/>
          <w:i/>
        </w:rPr>
        <w:t>and Rate Design</w:t>
      </w:r>
    </w:p>
    <w:p w14:paraId="6CFC0B7F" w14:textId="77777777" w:rsidR="00C3471C" w:rsidRPr="007E50F7" w:rsidRDefault="00E80CFE" w:rsidP="002F1187">
      <w:pPr>
        <w:jc w:val="center"/>
        <w:rPr>
          <w:b/>
          <w:bCs/>
          <w:i/>
        </w:rPr>
      </w:pPr>
      <w:r w:rsidRPr="007E50F7">
        <w:rPr>
          <w:b/>
          <w:bCs/>
          <w:i/>
        </w:rPr>
        <w:t>Natural Gas</w:t>
      </w:r>
      <w:r w:rsidR="00464A47" w:rsidRPr="007E50F7">
        <w:rPr>
          <w:b/>
          <w:bCs/>
          <w:i/>
        </w:rPr>
        <w:t xml:space="preserve"> </w:t>
      </w:r>
      <w:r w:rsidR="00D47143" w:rsidRPr="007E50F7">
        <w:rPr>
          <w:b/>
          <w:bCs/>
          <w:i/>
        </w:rPr>
        <w:t>Cost of Service</w:t>
      </w:r>
      <w:r w:rsidR="00820A91" w:rsidRPr="007E50F7">
        <w:rPr>
          <w:b/>
          <w:bCs/>
          <w:i/>
        </w:rPr>
        <w:t>, Revenue Allocation</w:t>
      </w:r>
      <w:r w:rsidR="0092519E" w:rsidRPr="007E50F7">
        <w:rPr>
          <w:b/>
          <w:bCs/>
          <w:i/>
        </w:rPr>
        <w:t>,</w:t>
      </w:r>
      <w:r w:rsidR="002F1187" w:rsidRPr="007E50F7">
        <w:rPr>
          <w:b/>
          <w:bCs/>
          <w:i/>
        </w:rPr>
        <w:t xml:space="preserve"> </w:t>
      </w:r>
      <w:r w:rsidR="00440606" w:rsidRPr="007E50F7">
        <w:rPr>
          <w:b/>
          <w:bCs/>
          <w:i/>
        </w:rPr>
        <w:t>and</w:t>
      </w:r>
      <w:r w:rsidR="002F1187" w:rsidRPr="007E50F7">
        <w:rPr>
          <w:b/>
          <w:bCs/>
          <w:i/>
        </w:rPr>
        <w:t xml:space="preserve"> Rate Design</w:t>
      </w:r>
    </w:p>
    <w:p w14:paraId="6CFC0B80" w14:textId="77777777" w:rsidR="00C3471C" w:rsidRPr="007E50F7" w:rsidRDefault="00C3471C" w:rsidP="00C3471C">
      <w:pPr>
        <w:rPr>
          <w:b/>
          <w:bCs/>
        </w:rPr>
      </w:pPr>
    </w:p>
    <w:p w14:paraId="6CFC0B81" w14:textId="77777777" w:rsidR="00C3471C" w:rsidRPr="007E50F7" w:rsidRDefault="0088018B" w:rsidP="00C3471C">
      <w:pPr>
        <w:tabs>
          <w:tab w:val="center" w:pos="4680"/>
        </w:tabs>
        <w:jc w:val="center"/>
        <w:rPr>
          <w:b/>
          <w:bCs/>
        </w:rPr>
      </w:pPr>
      <w:r w:rsidRPr="007E50F7">
        <w:rPr>
          <w:b/>
          <w:bCs/>
        </w:rPr>
        <w:t>September</w:t>
      </w:r>
      <w:r w:rsidR="00E80CFE" w:rsidRPr="007E50F7">
        <w:rPr>
          <w:b/>
          <w:bCs/>
        </w:rPr>
        <w:t xml:space="preserve"> </w:t>
      </w:r>
      <w:r w:rsidR="00BA0543" w:rsidRPr="007E50F7">
        <w:rPr>
          <w:b/>
          <w:bCs/>
        </w:rPr>
        <w:t>19</w:t>
      </w:r>
      <w:r w:rsidR="002F1187" w:rsidRPr="007E50F7">
        <w:rPr>
          <w:b/>
          <w:bCs/>
        </w:rPr>
        <w:t>, 201</w:t>
      </w:r>
      <w:r w:rsidRPr="007E50F7">
        <w:rPr>
          <w:b/>
          <w:bCs/>
        </w:rPr>
        <w:t>2</w:t>
      </w:r>
    </w:p>
    <w:p w14:paraId="6CFC0B82" w14:textId="77777777" w:rsidR="00C3471C" w:rsidRPr="007E50F7" w:rsidRDefault="00C3471C" w:rsidP="00C3471C">
      <w:pPr>
        <w:tabs>
          <w:tab w:val="center" w:pos="4680"/>
        </w:tabs>
        <w:rPr>
          <w:b/>
          <w:bCs/>
        </w:rPr>
      </w:pPr>
    </w:p>
    <w:p w14:paraId="6CFC0B83" w14:textId="77777777" w:rsidR="00C3471C" w:rsidRPr="007E50F7" w:rsidRDefault="00C3471C" w:rsidP="00C3471C">
      <w:pPr>
        <w:tabs>
          <w:tab w:val="center" w:pos="4680"/>
        </w:tabs>
        <w:sectPr w:rsidR="00C3471C" w:rsidRPr="007E50F7" w:rsidSect="00C3471C">
          <w:footerReference w:type="default" r:id="rId12"/>
          <w:pgSz w:w="12240" w:h="15840" w:code="1"/>
          <w:pgMar w:top="1440" w:right="1440" w:bottom="1440" w:left="1872" w:header="720" w:footer="720" w:gutter="0"/>
          <w:cols w:space="720"/>
          <w:titlePg/>
          <w:docGrid w:linePitch="360"/>
        </w:sectPr>
      </w:pPr>
    </w:p>
    <w:sdt>
      <w:sdtPr>
        <w:rPr>
          <w:rFonts w:ascii="Times New Roman" w:eastAsia="Times New Roman" w:hAnsi="Times New Roman" w:cs="Times New Roman"/>
          <w:b w:val="0"/>
          <w:bCs w:val="0"/>
          <w:color w:val="auto"/>
          <w:sz w:val="24"/>
          <w:szCs w:val="24"/>
          <w:lang w:eastAsia="en-US"/>
        </w:rPr>
        <w:id w:val="192658470"/>
        <w:docPartObj>
          <w:docPartGallery w:val="Table of Contents"/>
          <w:docPartUnique/>
        </w:docPartObj>
      </w:sdtPr>
      <w:sdtEndPr>
        <w:rPr>
          <w:noProof/>
        </w:rPr>
      </w:sdtEndPr>
      <w:sdtContent>
        <w:p w14:paraId="6CFC0B84" w14:textId="77777777" w:rsidR="00641F26" w:rsidRPr="007E50F7" w:rsidRDefault="00641F26" w:rsidP="006B4E3E">
          <w:pPr>
            <w:pStyle w:val="TOCHeading"/>
            <w:numPr>
              <w:ilvl w:val="0"/>
              <w:numId w:val="0"/>
            </w:numPr>
            <w:jc w:val="center"/>
            <w:rPr>
              <w:rFonts w:ascii="Times New Roman" w:hAnsi="Times New Roman" w:cs="Times New Roman"/>
              <w:color w:val="auto"/>
              <w:sz w:val="24"/>
              <w:szCs w:val="24"/>
            </w:rPr>
          </w:pPr>
          <w:r w:rsidRPr="007E50F7">
            <w:rPr>
              <w:rFonts w:ascii="Times New Roman" w:hAnsi="Times New Roman" w:cs="Times New Roman"/>
              <w:color w:val="auto"/>
              <w:sz w:val="24"/>
              <w:szCs w:val="24"/>
            </w:rPr>
            <w:t>TABLE OF CONTENTS</w:t>
          </w:r>
        </w:p>
        <w:p w14:paraId="6CFC0B85" w14:textId="77777777" w:rsidR="00641F26" w:rsidRPr="007E50F7" w:rsidRDefault="00641F26" w:rsidP="00641F26">
          <w:pPr>
            <w:rPr>
              <w:lang w:eastAsia="ja-JP"/>
            </w:rPr>
          </w:pPr>
        </w:p>
        <w:p w14:paraId="1AB64190" w14:textId="77777777" w:rsidR="00E05828" w:rsidRPr="00E05828" w:rsidRDefault="006C0746">
          <w:pPr>
            <w:pStyle w:val="TOC1"/>
            <w:rPr>
              <w:rFonts w:asciiTheme="minorHAnsi" w:hAnsiTheme="minorHAnsi"/>
              <w:noProof/>
              <w:sz w:val="22"/>
              <w:lang w:eastAsia="en-US"/>
            </w:rPr>
          </w:pPr>
          <w:r w:rsidRPr="007E50F7">
            <w:fldChar w:fldCharType="begin"/>
          </w:r>
          <w:r w:rsidR="006B4E3E" w:rsidRPr="007E50F7">
            <w:instrText xml:space="preserve"> TOC \o "1-7" \h \z \u </w:instrText>
          </w:r>
          <w:r w:rsidRPr="007E50F7">
            <w:fldChar w:fldCharType="separate"/>
          </w:r>
          <w:hyperlink w:anchor="_Toc335809608" w:history="1">
            <w:r w:rsidR="00E05828" w:rsidRPr="00E05828">
              <w:rPr>
                <w:rStyle w:val="Hyperlink"/>
                <w:noProof/>
                <w:u w:val="none"/>
              </w:rPr>
              <w:t>I.</w:t>
            </w:r>
            <w:r w:rsidR="00E05828" w:rsidRPr="00E05828">
              <w:rPr>
                <w:rFonts w:asciiTheme="minorHAnsi" w:hAnsiTheme="minorHAnsi"/>
                <w:noProof/>
                <w:sz w:val="22"/>
                <w:lang w:eastAsia="en-US"/>
              </w:rPr>
              <w:tab/>
            </w:r>
            <w:r w:rsidR="00E05828" w:rsidRPr="00E05828">
              <w:rPr>
                <w:rStyle w:val="Hyperlink"/>
                <w:noProof/>
                <w:u w:val="none"/>
              </w:rPr>
              <w:t>INTRODUCTION</w:t>
            </w:r>
            <w:r w:rsidR="00E05828" w:rsidRPr="00E05828">
              <w:rPr>
                <w:noProof/>
                <w:webHidden/>
              </w:rPr>
              <w:tab/>
            </w:r>
            <w:r w:rsidR="00E05828" w:rsidRPr="00E05828">
              <w:rPr>
                <w:noProof/>
                <w:webHidden/>
              </w:rPr>
              <w:fldChar w:fldCharType="begin"/>
            </w:r>
            <w:r w:rsidR="00E05828" w:rsidRPr="00E05828">
              <w:rPr>
                <w:noProof/>
                <w:webHidden/>
              </w:rPr>
              <w:instrText xml:space="preserve"> PAGEREF _Toc335809608 \h </w:instrText>
            </w:r>
            <w:r w:rsidR="00E05828" w:rsidRPr="00E05828">
              <w:rPr>
                <w:noProof/>
                <w:webHidden/>
              </w:rPr>
            </w:r>
            <w:r w:rsidR="00E05828" w:rsidRPr="00E05828">
              <w:rPr>
                <w:noProof/>
                <w:webHidden/>
              </w:rPr>
              <w:fldChar w:fldCharType="separate"/>
            </w:r>
            <w:r w:rsidR="00E05828" w:rsidRPr="00E05828">
              <w:rPr>
                <w:noProof/>
                <w:webHidden/>
              </w:rPr>
              <w:t>1</w:t>
            </w:r>
            <w:r w:rsidR="00E05828" w:rsidRPr="00E05828">
              <w:rPr>
                <w:noProof/>
                <w:webHidden/>
              </w:rPr>
              <w:fldChar w:fldCharType="end"/>
            </w:r>
          </w:hyperlink>
        </w:p>
        <w:p w14:paraId="5CFDE443" w14:textId="77777777" w:rsidR="00E05828" w:rsidRPr="00E05828" w:rsidRDefault="00E05828">
          <w:pPr>
            <w:pStyle w:val="TOC1"/>
            <w:rPr>
              <w:rFonts w:asciiTheme="minorHAnsi" w:hAnsiTheme="minorHAnsi"/>
              <w:noProof/>
              <w:sz w:val="22"/>
              <w:lang w:eastAsia="en-US"/>
            </w:rPr>
          </w:pPr>
          <w:hyperlink w:anchor="_Toc335809609" w:history="1">
            <w:r w:rsidRPr="00E05828">
              <w:rPr>
                <w:rStyle w:val="Hyperlink"/>
                <w:noProof/>
                <w:u w:val="none"/>
              </w:rPr>
              <w:t>II.</w:t>
            </w:r>
            <w:r w:rsidRPr="00E05828">
              <w:rPr>
                <w:rFonts w:asciiTheme="minorHAnsi" w:hAnsiTheme="minorHAnsi"/>
                <w:noProof/>
                <w:sz w:val="22"/>
                <w:lang w:eastAsia="en-US"/>
              </w:rPr>
              <w:tab/>
            </w:r>
            <w:r w:rsidRPr="00E05828">
              <w:rPr>
                <w:rStyle w:val="Hyperlink"/>
                <w:noProof/>
                <w:u w:val="none"/>
              </w:rPr>
              <w:t>SCOPE AND SUMMARY OF TESTIMONY</w:t>
            </w:r>
            <w:r w:rsidRPr="00E05828">
              <w:rPr>
                <w:noProof/>
                <w:webHidden/>
              </w:rPr>
              <w:tab/>
            </w:r>
            <w:r w:rsidRPr="00E05828">
              <w:rPr>
                <w:noProof/>
                <w:webHidden/>
              </w:rPr>
              <w:fldChar w:fldCharType="begin"/>
            </w:r>
            <w:r w:rsidRPr="00E05828">
              <w:rPr>
                <w:noProof/>
                <w:webHidden/>
              </w:rPr>
              <w:instrText xml:space="preserve"> PAGEREF _Toc335809609 \h </w:instrText>
            </w:r>
            <w:r w:rsidRPr="00E05828">
              <w:rPr>
                <w:noProof/>
                <w:webHidden/>
              </w:rPr>
            </w:r>
            <w:r w:rsidRPr="00E05828">
              <w:rPr>
                <w:noProof/>
                <w:webHidden/>
              </w:rPr>
              <w:fldChar w:fldCharType="separate"/>
            </w:r>
            <w:r w:rsidRPr="00E05828">
              <w:rPr>
                <w:noProof/>
                <w:webHidden/>
              </w:rPr>
              <w:t>2</w:t>
            </w:r>
            <w:r w:rsidRPr="00E05828">
              <w:rPr>
                <w:noProof/>
                <w:webHidden/>
              </w:rPr>
              <w:fldChar w:fldCharType="end"/>
            </w:r>
          </w:hyperlink>
        </w:p>
        <w:p w14:paraId="132ACBF7" w14:textId="77777777" w:rsidR="00E05828" w:rsidRPr="00E05828" w:rsidRDefault="00E05828">
          <w:pPr>
            <w:pStyle w:val="TOC1"/>
            <w:rPr>
              <w:rFonts w:asciiTheme="minorHAnsi" w:hAnsiTheme="minorHAnsi"/>
              <w:noProof/>
              <w:sz w:val="22"/>
              <w:lang w:eastAsia="en-US"/>
            </w:rPr>
          </w:pPr>
          <w:hyperlink w:anchor="_Toc335809610" w:history="1">
            <w:r w:rsidRPr="00E05828">
              <w:rPr>
                <w:rStyle w:val="Hyperlink"/>
                <w:noProof/>
                <w:u w:val="none"/>
              </w:rPr>
              <w:t>III.</w:t>
            </w:r>
            <w:r w:rsidRPr="00E05828">
              <w:rPr>
                <w:rFonts w:asciiTheme="minorHAnsi" w:hAnsiTheme="minorHAnsi"/>
                <w:noProof/>
                <w:sz w:val="22"/>
                <w:lang w:eastAsia="en-US"/>
              </w:rPr>
              <w:tab/>
            </w:r>
            <w:r w:rsidRPr="00E05828">
              <w:rPr>
                <w:rStyle w:val="Hyperlink"/>
                <w:noProof/>
                <w:u w:val="none"/>
              </w:rPr>
              <w:t>ALDYL-A PIPE REPLACEMENT PROGRAM</w:t>
            </w:r>
            <w:r w:rsidRPr="00E05828">
              <w:rPr>
                <w:noProof/>
                <w:webHidden/>
              </w:rPr>
              <w:tab/>
            </w:r>
            <w:r w:rsidRPr="00E05828">
              <w:rPr>
                <w:noProof/>
                <w:webHidden/>
              </w:rPr>
              <w:fldChar w:fldCharType="begin"/>
            </w:r>
            <w:r w:rsidRPr="00E05828">
              <w:rPr>
                <w:noProof/>
                <w:webHidden/>
              </w:rPr>
              <w:instrText xml:space="preserve"> PAGEREF _Toc335809610 \h </w:instrText>
            </w:r>
            <w:r w:rsidRPr="00E05828">
              <w:rPr>
                <w:noProof/>
                <w:webHidden/>
              </w:rPr>
            </w:r>
            <w:r w:rsidRPr="00E05828">
              <w:rPr>
                <w:noProof/>
                <w:webHidden/>
              </w:rPr>
              <w:fldChar w:fldCharType="separate"/>
            </w:r>
            <w:r w:rsidRPr="00E05828">
              <w:rPr>
                <w:noProof/>
                <w:webHidden/>
              </w:rPr>
              <w:t>5</w:t>
            </w:r>
            <w:r w:rsidRPr="00E05828">
              <w:rPr>
                <w:noProof/>
                <w:webHidden/>
              </w:rPr>
              <w:fldChar w:fldCharType="end"/>
            </w:r>
          </w:hyperlink>
        </w:p>
        <w:p w14:paraId="6BDF6C3D" w14:textId="77777777" w:rsidR="00E05828" w:rsidRPr="00E05828" w:rsidRDefault="00E05828">
          <w:pPr>
            <w:pStyle w:val="TOC1"/>
            <w:rPr>
              <w:rFonts w:asciiTheme="minorHAnsi" w:hAnsiTheme="minorHAnsi"/>
              <w:noProof/>
              <w:sz w:val="22"/>
              <w:lang w:eastAsia="en-US"/>
            </w:rPr>
          </w:pPr>
          <w:hyperlink w:anchor="_Toc335809611" w:history="1">
            <w:r w:rsidRPr="00E05828">
              <w:rPr>
                <w:rStyle w:val="Hyperlink"/>
                <w:noProof/>
                <w:u w:val="none"/>
              </w:rPr>
              <w:t>IV.</w:t>
            </w:r>
            <w:r w:rsidRPr="00E05828">
              <w:rPr>
                <w:rFonts w:asciiTheme="minorHAnsi" w:hAnsiTheme="minorHAnsi"/>
                <w:noProof/>
                <w:sz w:val="22"/>
                <w:lang w:eastAsia="en-US"/>
              </w:rPr>
              <w:tab/>
            </w:r>
            <w:r w:rsidRPr="00E05828">
              <w:rPr>
                <w:rStyle w:val="Hyperlink"/>
                <w:noProof/>
                <w:u w:val="none"/>
              </w:rPr>
              <w:t>ELECTRIC COST OF SERVICE, REVENUE ALLOCATION, AND RATE DESIGN</w:t>
            </w:r>
            <w:r w:rsidRPr="00E05828">
              <w:rPr>
                <w:noProof/>
                <w:webHidden/>
              </w:rPr>
              <w:tab/>
            </w:r>
            <w:r w:rsidRPr="00E05828">
              <w:rPr>
                <w:noProof/>
                <w:webHidden/>
              </w:rPr>
              <w:fldChar w:fldCharType="begin"/>
            </w:r>
            <w:r w:rsidRPr="00E05828">
              <w:rPr>
                <w:noProof/>
                <w:webHidden/>
              </w:rPr>
              <w:instrText xml:space="preserve"> PAGEREF _Toc335809611 \h </w:instrText>
            </w:r>
            <w:r w:rsidRPr="00E05828">
              <w:rPr>
                <w:noProof/>
                <w:webHidden/>
              </w:rPr>
            </w:r>
            <w:r w:rsidRPr="00E05828">
              <w:rPr>
                <w:noProof/>
                <w:webHidden/>
              </w:rPr>
              <w:fldChar w:fldCharType="separate"/>
            </w:r>
            <w:r w:rsidRPr="00E05828">
              <w:rPr>
                <w:noProof/>
                <w:webHidden/>
              </w:rPr>
              <w:t>8</w:t>
            </w:r>
            <w:r w:rsidRPr="00E05828">
              <w:rPr>
                <w:noProof/>
                <w:webHidden/>
              </w:rPr>
              <w:fldChar w:fldCharType="end"/>
            </w:r>
          </w:hyperlink>
        </w:p>
        <w:p w14:paraId="75485220" w14:textId="77777777" w:rsidR="00E05828" w:rsidRPr="00E05828" w:rsidRDefault="00E05828" w:rsidP="00E05828">
          <w:pPr>
            <w:pStyle w:val="TOC3"/>
            <w:rPr>
              <w:rFonts w:asciiTheme="minorHAnsi" w:hAnsiTheme="minorHAnsi"/>
              <w:noProof/>
              <w:sz w:val="22"/>
              <w:lang w:eastAsia="en-US"/>
            </w:rPr>
          </w:pPr>
          <w:hyperlink w:anchor="_Toc335809612" w:history="1">
            <w:r w:rsidRPr="00E05828">
              <w:rPr>
                <w:rStyle w:val="Hyperlink"/>
                <w:noProof/>
                <w:u w:val="none"/>
              </w:rPr>
              <w:t>A.</w:t>
            </w:r>
            <w:r w:rsidRPr="00E05828">
              <w:rPr>
                <w:rFonts w:asciiTheme="minorHAnsi" w:hAnsiTheme="minorHAnsi"/>
                <w:noProof/>
                <w:sz w:val="22"/>
                <w:lang w:eastAsia="en-US"/>
              </w:rPr>
              <w:tab/>
            </w:r>
            <w:r w:rsidRPr="00E05828">
              <w:rPr>
                <w:rStyle w:val="Hyperlink"/>
                <w:noProof/>
                <w:u w:val="none"/>
              </w:rPr>
              <w:t>Cost of Service Study</w:t>
            </w:r>
            <w:r w:rsidRPr="00E05828">
              <w:rPr>
                <w:noProof/>
                <w:webHidden/>
              </w:rPr>
              <w:tab/>
            </w:r>
            <w:r w:rsidRPr="00E05828">
              <w:rPr>
                <w:noProof/>
                <w:webHidden/>
              </w:rPr>
              <w:fldChar w:fldCharType="begin"/>
            </w:r>
            <w:r w:rsidRPr="00E05828">
              <w:rPr>
                <w:noProof/>
                <w:webHidden/>
              </w:rPr>
              <w:instrText xml:space="preserve"> PAGEREF _Toc335809612 \h </w:instrText>
            </w:r>
            <w:r w:rsidRPr="00E05828">
              <w:rPr>
                <w:noProof/>
                <w:webHidden/>
              </w:rPr>
            </w:r>
            <w:r w:rsidRPr="00E05828">
              <w:rPr>
                <w:noProof/>
                <w:webHidden/>
              </w:rPr>
              <w:fldChar w:fldCharType="separate"/>
            </w:r>
            <w:r w:rsidRPr="00E05828">
              <w:rPr>
                <w:noProof/>
                <w:webHidden/>
              </w:rPr>
              <w:t>8</w:t>
            </w:r>
            <w:r w:rsidRPr="00E05828">
              <w:rPr>
                <w:noProof/>
                <w:webHidden/>
              </w:rPr>
              <w:fldChar w:fldCharType="end"/>
            </w:r>
          </w:hyperlink>
        </w:p>
        <w:p w14:paraId="72837A1A" w14:textId="77777777" w:rsidR="00E05828" w:rsidRPr="00E05828" w:rsidRDefault="00E05828" w:rsidP="00E05828">
          <w:pPr>
            <w:pStyle w:val="TOC3"/>
            <w:rPr>
              <w:rFonts w:asciiTheme="minorHAnsi" w:hAnsiTheme="minorHAnsi"/>
              <w:noProof/>
              <w:sz w:val="22"/>
              <w:lang w:eastAsia="en-US"/>
            </w:rPr>
          </w:pPr>
          <w:hyperlink w:anchor="_Toc335809613" w:history="1">
            <w:r w:rsidRPr="00E05828">
              <w:rPr>
                <w:rStyle w:val="Hyperlink"/>
                <w:noProof/>
                <w:u w:val="none"/>
              </w:rPr>
              <w:t>B.</w:t>
            </w:r>
            <w:r w:rsidRPr="00E05828">
              <w:rPr>
                <w:rFonts w:asciiTheme="minorHAnsi" w:hAnsiTheme="minorHAnsi"/>
                <w:noProof/>
                <w:sz w:val="22"/>
                <w:lang w:eastAsia="en-US"/>
              </w:rPr>
              <w:tab/>
            </w:r>
            <w:r w:rsidRPr="00E05828">
              <w:rPr>
                <w:rStyle w:val="Hyperlink"/>
                <w:noProof/>
                <w:u w:val="none"/>
              </w:rPr>
              <w:t>Revenue Allocation</w:t>
            </w:r>
            <w:r w:rsidRPr="00E05828">
              <w:rPr>
                <w:noProof/>
                <w:webHidden/>
              </w:rPr>
              <w:tab/>
            </w:r>
            <w:r w:rsidRPr="00E05828">
              <w:rPr>
                <w:noProof/>
                <w:webHidden/>
              </w:rPr>
              <w:fldChar w:fldCharType="begin"/>
            </w:r>
            <w:r w:rsidRPr="00E05828">
              <w:rPr>
                <w:noProof/>
                <w:webHidden/>
              </w:rPr>
              <w:instrText xml:space="preserve"> PAGEREF _Toc335809613 \h </w:instrText>
            </w:r>
            <w:r w:rsidRPr="00E05828">
              <w:rPr>
                <w:noProof/>
                <w:webHidden/>
              </w:rPr>
            </w:r>
            <w:r w:rsidRPr="00E05828">
              <w:rPr>
                <w:noProof/>
                <w:webHidden/>
              </w:rPr>
              <w:fldChar w:fldCharType="separate"/>
            </w:r>
            <w:r w:rsidRPr="00E05828">
              <w:rPr>
                <w:noProof/>
                <w:webHidden/>
              </w:rPr>
              <w:t>12</w:t>
            </w:r>
            <w:r w:rsidRPr="00E05828">
              <w:rPr>
                <w:noProof/>
                <w:webHidden/>
              </w:rPr>
              <w:fldChar w:fldCharType="end"/>
            </w:r>
          </w:hyperlink>
        </w:p>
        <w:p w14:paraId="38F0279D" w14:textId="77777777" w:rsidR="00E05828" w:rsidRPr="00E05828" w:rsidRDefault="00E05828" w:rsidP="00E05828">
          <w:pPr>
            <w:pStyle w:val="TOC3"/>
            <w:rPr>
              <w:rFonts w:asciiTheme="minorHAnsi" w:hAnsiTheme="minorHAnsi"/>
              <w:noProof/>
              <w:sz w:val="22"/>
              <w:lang w:eastAsia="en-US"/>
            </w:rPr>
          </w:pPr>
          <w:hyperlink w:anchor="_Toc335809614" w:history="1">
            <w:r w:rsidRPr="00E05828">
              <w:rPr>
                <w:rStyle w:val="Hyperlink"/>
                <w:noProof/>
                <w:u w:val="none"/>
              </w:rPr>
              <w:t>C.</w:t>
            </w:r>
            <w:r w:rsidRPr="00E05828">
              <w:rPr>
                <w:rFonts w:asciiTheme="minorHAnsi" w:hAnsiTheme="minorHAnsi"/>
                <w:noProof/>
                <w:sz w:val="22"/>
                <w:lang w:eastAsia="en-US"/>
              </w:rPr>
              <w:tab/>
            </w:r>
            <w:r w:rsidRPr="00E05828">
              <w:rPr>
                <w:rStyle w:val="Hyperlink"/>
                <w:noProof/>
                <w:u w:val="none"/>
              </w:rPr>
              <w:t>Rate Design</w:t>
            </w:r>
            <w:r w:rsidRPr="00E05828">
              <w:rPr>
                <w:noProof/>
                <w:webHidden/>
              </w:rPr>
              <w:tab/>
            </w:r>
            <w:r w:rsidRPr="00E05828">
              <w:rPr>
                <w:noProof/>
                <w:webHidden/>
              </w:rPr>
              <w:fldChar w:fldCharType="begin"/>
            </w:r>
            <w:r w:rsidRPr="00E05828">
              <w:rPr>
                <w:noProof/>
                <w:webHidden/>
              </w:rPr>
              <w:instrText xml:space="preserve"> PAGEREF _Toc335809614 \h </w:instrText>
            </w:r>
            <w:r w:rsidRPr="00E05828">
              <w:rPr>
                <w:noProof/>
                <w:webHidden/>
              </w:rPr>
            </w:r>
            <w:r w:rsidRPr="00E05828">
              <w:rPr>
                <w:noProof/>
                <w:webHidden/>
              </w:rPr>
              <w:fldChar w:fldCharType="separate"/>
            </w:r>
            <w:r w:rsidRPr="00E05828">
              <w:rPr>
                <w:noProof/>
                <w:webHidden/>
              </w:rPr>
              <w:t>17</w:t>
            </w:r>
            <w:r w:rsidRPr="00E05828">
              <w:rPr>
                <w:noProof/>
                <w:webHidden/>
              </w:rPr>
              <w:fldChar w:fldCharType="end"/>
            </w:r>
          </w:hyperlink>
        </w:p>
        <w:p w14:paraId="702C88B9" w14:textId="77777777" w:rsidR="00E05828" w:rsidRPr="00E05828" w:rsidRDefault="00E05828" w:rsidP="00E05828">
          <w:pPr>
            <w:pStyle w:val="TOC3"/>
            <w:ind w:left="2160"/>
            <w:rPr>
              <w:rFonts w:asciiTheme="minorHAnsi" w:hAnsiTheme="minorHAnsi"/>
              <w:noProof/>
              <w:sz w:val="22"/>
              <w:lang w:eastAsia="en-US"/>
            </w:rPr>
          </w:pPr>
          <w:hyperlink w:anchor="_Toc335809615" w:history="1">
            <w:r w:rsidRPr="00E05828">
              <w:rPr>
                <w:rStyle w:val="Hyperlink"/>
                <w:noProof/>
                <w:u w:val="none"/>
              </w:rPr>
              <w:t>1.</w:t>
            </w:r>
            <w:r w:rsidRPr="00E05828">
              <w:rPr>
                <w:rFonts w:asciiTheme="minorHAnsi" w:hAnsiTheme="minorHAnsi"/>
                <w:noProof/>
                <w:sz w:val="22"/>
                <w:lang w:eastAsia="en-US"/>
              </w:rPr>
              <w:tab/>
            </w:r>
            <w:r w:rsidRPr="00E05828">
              <w:rPr>
                <w:rStyle w:val="Hyperlink"/>
                <w:noProof/>
                <w:u w:val="none"/>
              </w:rPr>
              <w:t>Monthly Customer Charge</w:t>
            </w:r>
            <w:r w:rsidRPr="00E05828">
              <w:rPr>
                <w:noProof/>
                <w:webHidden/>
              </w:rPr>
              <w:tab/>
            </w:r>
            <w:r w:rsidRPr="00E05828">
              <w:rPr>
                <w:noProof/>
                <w:webHidden/>
              </w:rPr>
              <w:fldChar w:fldCharType="begin"/>
            </w:r>
            <w:r w:rsidRPr="00E05828">
              <w:rPr>
                <w:noProof/>
                <w:webHidden/>
              </w:rPr>
              <w:instrText xml:space="preserve"> PAGEREF _Toc335809615 \h </w:instrText>
            </w:r>
            <w:r w:rsidRPr="00E05828">
              <w:rPr>
                <w:noProof/>
                <w:webHidden/>
              </w:rPr>
            </w:r>
            <w:r w:rsidRPr="00E05828">
              <w:rPr>
                <w:noProof/>
                <w:webHidden/>
              </w:rPr>
              <w:fldChar w:fldCharType="separate"/>
            </w:r>
            <w:r w:rsidRPr="00E05828">
              <w:rPr>
                <w:noProof/>
                <w:webHidden/>
              </w:rPr>
              <w:t>18</w:t>
            </w:r>
            <w:r w:rsidRPr="00E05828">
              <w:rPr>
                <w:noProof/>
                <w:webHidden/>
              </w:rPr>
              <w:fldChar w:fldCharType="end"/>
            </w:r>
          </w:hyperlink>
        </w:p>
        <w:p w14:paraId="7786277A" w14:textId="77777777" w:rsidR="00E05828" w:rsidRPr="00E05828" w:rsidRDefault="00E05828" w:rsidP="00E05828">
          <w:pPr>
            <w:pStyle w:val="TOC3"/>
            <w:ind w:left="2160"/>
            <w:rPr>
              <w:rFonts w:asciiTheme="minorHAnsi" w:hAnsiTheme="minorHAnsi"/>
              <w:noProof/>
              <w:sz w:val="22"/>
              <w:lang w:eastAsia="en-US"/>
            </w:rPr>
          </w:pPr>
          <w:hyperlink w:anchor="_Toc335809616" w:history="1">
            <w:r w:rsidRPr="00E05828">
              <w:rPr>
                <w:rStyle w:val="Hyperlink"/>
                <w:noProof/>
                <w:u w:val="none"/>
              </w:rPr>
              <w:t>2.</w:t>
            </w:r>
            <w:r w:rsidRPr="00E05828">
              <w:rPr>
                <w:rFonts w:asciiTheme="minorHAnsi" w:hAnsiTheme="minorHAnsi"/>
                <w:noProof/>
                <w:sz w:val="22"/>
                <w:lang w:eastAsia="en-US"/>
              </w:rPr>
              <w:tab/>
            </w:r>
            <w:r w:rsidRPr="00E05828">
              <w:rPr>
                <w:rStyle w:val="Hyperlink"/>
                <w:noProof/>
                <w:u w:val="none"/>
              </w:rPr>
              <w:t>Volumetric Blocks</w:t>
            </w:r>
            <w:r w:rsidRPr="00E05828">
              <w:rPr>
                <w:noProof/>
                <w:webHidden/>
              </w:rPr>
              <w:tab/>
            </w:r>
            <w:r w:rsidRPr="00E05828">
              <w:rPr>
                <w:noProof/>
                <w:webHidden/>
              </w:rPr>
              <w:fldChar w:fldCharType="begin"/>
            </w:r>
            <w:r w:rsidRPr="00E05828">
              <w:rPr>
                <w:noProof/>
                <w:webHidden/>
              </w:rPr>
              <w:instrText xml:space="preserve"> PAGEREF _Toc335809616 \h </w:instrText>
            </w:r>
            <w:r w:rsidRPr="00E05828">
              <w:rPr>
                <w:noProof/>
                <w:webHidden/>
              </w:rPr>
            </w:r>
            <w:r w:rsidRPr="00E05828">
              <w:rPr>
                <w:noProof/>
                <w:webHidden/>
              </w:rPr>
              <w:fldChar w:fldCharType="separate"/>
            </w:r>
            <w:r w:rsidRPr="00E05828">
              <w:rPr>
                <w:noProof/>
                <w:webHidden/>
              </w:rPr>
              <w:t>22</w:t>
            </w:r>
            <w:r w:rsidRPr="00E05828">
              <w:rPr>
                <w:noProof/>
                <w:webHidden/>
              </w:rPr>
              <w:fldChar w:fldCharType="end"/>
            </w:r>
          </w:hyperlink>
        </w:p>
        <w:p w14:paraId="70A56057" w14:textId="77777777" w:rsidR="00E05828" w:rsidRDefault="00E05828" w:rsidP="00E05828">
          <w:pPr>
            <w:pStyle w:val="TOC3"/>
            <w:ind w:left="2160"/>
            <w:rPr>
              <w:rFonts w:asciiTheme="minorHAnsi" w:hAnsiTheme="minorHAnsi"/>
              <w:noProof/>
              <w:sz w:val="22"/>
              <w:lang w:eastAsia="en-US"/>
            </w:rPr>
          </w:pPr>
          <w:hyperlink w:anchor="_Toc335809617" w:history="1">
            <w:r w:rsidRPr="00E05828">
              <w:rPr>
                <w:rStyle w:val="Hyperlink"/>
                <w:noProof/>
              </w:rPr>
              <w:t>3.</w:t>
            </w:r>
            <w:r w:rsidRPr="00E05828">
              <w:rPr>
                <w:rFonts w:asciiTheme="minorHAnsi" w:hAnsiTheme="minorHAnsi"/>
                <w:noProof/>
                <w:sz w:val="22"/>
                <w:lang w:eastAsia="en-US"/>
              </w:rPr>
              <w:tab/>
            </w:r>
            <w:r w:rsidRPr="00E05828">
              <w:rPr>
                <w:rStyle w:val="Hyperlink"/>
                <w:noProof/>
              </w:rPr>
              <w:t>Volumetric Rates</w:t>
            </w:r>
            <w:r>
              <w:rPr>
                <w:noProof/>
                <w:webHidden/>
              </w:rPr>
              <w:tab/>
            </w:r>
            <w:r>
              <w:rPr>
                <w:noProof/>
                <w:webHidden/>
              </w:rPr>
              <w:fldChar w:fldCharType="begin"/>
            </w:r>
            <w:r>
              <w:rPr>
                <w:noProof/>
                <w:webHidden/>
              </w:rPr>
              <w:instrText xml:space="preserve"> PAGEREF _Toc335809617 \h </w:instrText>
            </w:r>
            <w:r>
              <w:rPr>
                <w:noProof/>
                <w:webHidden/>
              </w:rPr>
            </w:r>
            <w:r>
              <w:rPr>
                <w:noProof/>
                <w:webHidden/>
              </w:rPr>
              <w:fldChar w:fldCharType="separate"/>
            </w:r>
            <w:r>
              <w:rPr>
                <w:noProof/>
                <w:webHidden/>
              </w:rPr>
              <w:t>25</w:t>
            </w:r>
            <w:r>
              <w:rPr>
                <w:noProof/>
                <w:webHidden/>
              </w:rPr>
              <w:fldChar w:fldCharType="end"/>
            </w:r>
          </w:hyperlink>
        </w:p>
        <w:p w14:paraId="136DCE89" w14:textId="77777777" w:rsidR="00E05828" w:rsidRDefault="00E05828">
          <w:pPr>
            <w:pStyle w:val="TOC1"/>
            <w:rPr>
              <w:rFonts w:asciiTheme="minorHAnsi" w:hAnsiTheme="minorHAnsi"/>
              <w:noProof/>
              <w:sz w:val="22"/>
              <w:lang w:eastAsia="en-US"/>
            </w:rPr>
          </w:pPr>
          <w:hyperlink w:anchor="_Toc335809618" w:history="1">
            <w:r w:rsidRPr="00A42A2F">
              <w:rPr>
                <w:rStyle w:val="Hyperlink"/>
                <w:noProof/>
              </w:rPr>
              <w:t>V.</w:t>
            </w:r>
            <w:r>
              <w:rPr>
                <w:rFonts w:asciiTheme="minorHAnsi" w:hAnsiTheme="minorHAnsi"/>
                <w:noProof/>
                <w:sz w:val="22"/>
                <w:lang w:eastAsia="en-US"/>
              </w:rPr>
              <w:tab/>
            </w:r>
            <w:r w:rsidRPr="00A42A2F">
              <w:rPr>
                <w:rStyle w:val="Hyperlink"/>
                <w:noProof/>
              </w:rPr>
              <w:t>NATURAL GAS COST OF SERVICE, REVENUE ALLOCATION, AND RATE DESIGN</w:t>
            </w:r>
            <w:r>
              <w:rPr>
                <w:noProof/>
                <w:webHidden/>
              </w:rPr>
              <w:tab/>
            </w:r>
            <w:r>
              <w:rPr>
                <w:noProof/>
                <w:webHidden/>
              </w:rPr>
              <w:fldChar w:fldCharType="begin"/>
            </w:r>
            <w:r>
              <w:rPr>
                <w:noProof/>
                <w:webHidden/>
              </w:rPr>
              <w:instrText xml:space="preserve"> PAGEREF _Toc335809618 \h </w:instrText>
            </w:r>
            <w:r>
              <w:rPr>
                <w:noProof/>
                <w:webHidden/>
              </w:rPr>
            </w:r>
            <w:r>
              <w:rPr>
                <w:noProof/>
                <w:webHidden/>
              </w:rPr>
              <w:fldChar w:fldCharType="separate"/>
            </w:r>
            <w:r>
              <w:rPr>
                <w:noProof/>
                <w:webHidden/>
              </w:rPr>
              <w:t>31</w:t>
            </w:r>
            <w:r>
              <w:rPr>
                <w:noProof/>
                <w:webHidden/>
              </w:rPr>
              <w:fldChar w:fldCharType="end"/>
            </w:r>
          </w:hyperlink>
        </w:p>
        <w:p w14:paraId="76992B05" w14:textId="77777777" w:rsidR="00E05828" w:rsidRDefault="00E05828" w:rsidP="00E05828">
          <w:pPr>
            <w:pStyle w:val="TOC3"/>
            <w:rPr>
              <w:rFonts w:asciiTheme="minorHAnsi" w:hAnsiTheme="minorHAnsi"/>
              <w:noProof/>
              <w:sz w:val="22"/>
              <w:lang w:eastAsia="en-US"/>
            </w:rPr>
          </w:pPr>
          <w:hyperlink w:anchor="_Toc335809619" w:history="1">
            <w:r w:rsidRPr="00A42A2F">
              <w:rPr>
                <w:rStyle w:val="Hyperlink"/>
                <w:noProof/>
              </w:rPr>
              <w:t>A.</w:t>
            </w:r>
            <w:r>
              <w:rPr>
                <w:rFonts w:asciiTheme="minorHAnsi" w:hAnsiTheme="minorHAnsi"/>
                <w:noProof/>
                <w:sz w:val="22"/>
                <w:lang w:eastAsia="en-US"/>
              </w:rPr>
              <w:tab/>
            </w:r>
            <w:r w:rsidRPr="00A42A2F">
              <w:rPr>
                <w:rStyle w:val="Hyperlink"/>
                <w:noProof/>
              </w:rPr>
              <w:t>Cost of Service Study</w:t>
            </w:r>
            <w:r>
              <w:rPr>
                <w:noProof/>
                <w:webHidden/>
              </w:rPr>
              <w:tab/>
            </w:r>
            <w:r>
              <w:rPr>
                <w:noProof/>
                <w:webHidden/>
              </w:rPr>
              <w:fldChar w:fldCharType="begin"/>
            </w:r>
            <w:r>
              <w:rPr>
                <w:noProof/>
                <w:webHidden/>
              </w:rPr>
              <w:instrText xml:space="preserve"> PAGEREF _Toc335809619 \h </w:instrText>
            </w:r>
            <w:r>
              <w:rPr>
                <w:noProof/>
                <w:webHidden/>
              </w:rPr>
            </w:r>
            <w:r>
              <w:rPr>
                <w:noProof/>
                <w:webHidden/>
              </w:rPr>
              <w:fldChar w:fldCharType="separate"/>
            </w:r>
            <w:r>
              <w:rPr>
                <w:noProof/>
                <w:webHidden/>
              </w:rPr>
              <w:t>31</w:t>
            </w:r>
            <w:r>
              <w:rPr>
                <w:noProof/>
                <w:webHidden/>
              </w:rPr>
              <w:fldChar w:fldCharType="end"/>
            </w:r>
          </w:hyperlink>
        </w:p>
        <w:p w14:paraId="6D144311" w14:textId="77777777" w:rsidR="00E05828" w:rsidRDefault="00E05828" w:rsidP="00E05828">
          <w:pPr>
            <w:pStyle w:val="TOC3"/>
            <w:rPr>
              <w:rFonts w:asciiTheme="minorHAnsi" w:hAnsiTheme="minorHAnsi"/>
              <w:noProof/>
              <w:sz w:val="22"/>
              <w:lang w:eastAsia="en-US"/>
            </w:rPr>
          </w:pPr>
          <w:hyperlink w:anchor="_Toc335809620" w:history="1">
            <w:r w:rsidRPr="00A42A2F">
              <w:rPr>
                <w:rStyle w:val="Hyperlink"/>
                <w:noProof/>
              </w:rPr>
              <w:t>B.</w:t>
            </w:r>
            <w:r>
              <w:rPr>
                <w:rFonts w:asciiTheme="minorHAnsi" w:hAnsiTheme="minorHAnsi"/>
                <w:noProof/>
                <w:sz w:val="22"/>
                <w:lang w:eastAsia="en-US"/>
              </w:rPr>
              <w:tab/>
            </w:r>
            <w:r w:rsidRPr="00A42A2F">
              <w:rPr>
                <w:rStyle w:val="Hyperlink"/>
                <w:noProof/>
              </w:rPr>
              <w:t>Revenue Allocation</w:t>
            </w:r>
            <w:r>
              <w:rPr>
                <w:noProof/>
                <w:webHidden/>
              </w:rPr>
              <w:tab/>
            </w:r>
            <w:r>
              <w:rPr>
                <w:noProof/>
                <w:webHidden/>
              </w:rPr>
              <w:fldChar w:fldCharType="begin"/>
            </w:r>
            <w:r>
              <w:rPr>
                <w:noProof/>
                <w:webHidden/>
              </w:rPr>
              <w:instrText xml:space="preserve"> PAGEREF _Toc335809620 \h </w:instrText>
            </w:r>
            <w:r>
              <w:rPr>
                <w:noProof/>
                <w:webHidden/>
              </w:rPr>
            </w:r>
            <w:r>
              <w:rPr>
                <w:noProof/>
                <w:webHidden/>
              </w:rPr>
              <w:fldChar w:fldCharType="separate"/>
            </w:r>
            <w:r>
              <w:rPr>
                <w:noProof/>
                <w:webHidden/>
              </w:rPr>
              <w:t>42</w:t>
            </w:r>
            <w:r>
              <w:rPr>
                <w:noProof/>
                <w:webHidden/>
              </w:rPr>
              <w:fldChar w:fldCharType="end"/>
            </w:r>
          </w:hyperlink>
        </w:p>
        <w:p w14:paraId="3D5DE4E1" w14:textId="77777777" w:rsidR="00E05828" w:rsidRDefault="00E05828" w:rsidP="00E05828">
          <w:pPr>
            <w:pStyle w:val="TOC3"/>
            <w:rPr>
              <w:rFonts w:asciiTheme="minorHAnsi" w:hAnsiTheme="minorHAnsi"/>
              <w:noProof/>
              <w:sz w:val="22"/>
              <w:lang w:eastAsia="en-US"/>
            </w:rPr>
          </w:pPr>
          <w:hyperlink w:anchor="_Toc335809621" w:history="1">
            <w:r w:rsidRPr="00A42A2F">
              <w:rPr>
                <w:rStyle w:val="Hyperlink"/>
                <w:noProof/>
              </w:rPr>
              <w:t>C.</w:t>
            </w:r>
            <w:r>
              <w:rPr>
                <w:rFonts w:asciiTheme="minorHAnsi" w:hAnsiTheme="minorHAnsi"/>
                <w:noProof/>
                <w:sz w:val="22"/>
                <w:lang w:eastAsia="en-US"/>
              </w:rPr>
              <w:tab/>
            </w:r>
            <w:r w:rsidRPr="00A42A2F">
              <w:rPr>
                <w:rStyle w:val="Hyperlink"/>
                <w:noProof/>
              </w:rPr>
              <w:t>Rate Design</w:t>
            </w:r>
            <w:r>
              <w:rPr>
                <w:noProof/>
                <w:webHidden/>
              </w:rPr>
              <w:tab/>
            </w:r>
            <w:r>
              <w:rPr>
                <w:noProof/>
                <w:webHidden/>
              </w:rPr>
              <w:fldChar w:fldCharType="begin"/>
            </w:r>
            <w:r>
              <w:rPr>
                <w:noProof/>
                <w:webHidden/>
              </w:rPr>
              <w:instrText xml:space="preserve"> PAGEREF _Toc335809621 \h </w:instrText>
            </w:r>
            <w:r>
              <w:rPr>
                <w:noProof/>
                <w:webHidden/>
              </w:rPr>
            </w:r>
            <w:r>
              <w:rPr>
                <w:noProof/>
                <w:webHidden/>
              </w:rPr>
              <w:fldChar w:fldCharType="separate"/>
            </w:r>
            <w:r>
              <w:rPr>
                <w:noProof/>
                <w:webHidden/>
              </w:rPr>
              <w:t>43</w:t>
            </w:r>
            <w:r>
              <w:rPr>
                <w:noProof/>
                <w:webHidden/>
              </w:rPr>
              <w:fldChar w:fldCharType="end"/>
            </w:r>
          </w:hyperlink>
        </w:p>
        <w:p w14:paraId="6CFC0B99" w14:textId="77777777" w:rsidR="00276957" w:rsidRPr="007E50F7" w:rsidRDefault="006C0746" w:rsidP="000004F0">
          <w:pPr>
            <w:spacing w:line="360" w:lineRule="auto"/>
            <w:rPr>
              <w:rFonts w:eastAsiaTheme="minorEastAsia" w:cstheme="minorBidi"/>
              <w:szCs w:val="22"/>
              <w:lang w:eastAsia="ja-JP"/>
            </w:rPr>
          </w:pPr>
          <w:r w:rsidRPr="007E50F7">
            <w:rPr>
              <w:rFonts w:eastAsiaTheme="minorEastAsia" w:cstheme="minorBidi"/>
              <w:szCs w:val="22"/>
              <w:lang w:eastAsia="ja-JP"/>
            </w:rPr>
            <w:fldChar w:fldCharType="end"/>
          </w:r>
          <w:r w:rsidR="00276957" w:rsidRPr="007E50F7">
            <w:rPr>
              <w:rFonts w:eastAsiaTheme="minorEastAsia" w:cstheme="minorBidi"/>
              <w:szCs w:val="22"/>
              <w:lang w:eastAsia="ja-JP"/>
            </w:rPr>
            <w:br w:type="page"/>
          </w:r>
        </w:p>
        <w:p w14:paraId="6CFC0B9A" w14:textId="77777777" w:rsidR="00B44F4A" w:rsidRPr="007E50F7" w:rsidRDefault="00B44F4A" w:rsidP="00641F26">
          <w:pPr>
            <w:spacing w:line="360" w:lineRule="auto"/>
            <w:rPr>
              <w:b/>
              <w:bCs/>
              <w:noProof/>
            </w:rPr>
          </w:pPr>
        </w:p>
        <w:p w14:paraId="6CFC0B9B" w14:textId="77777777" w:rsidR="00B44F4A" w:rsidRPr="007E50F7" w:rsidRDefault="00B44F4A" w:rsidP="00B44F4A">
          <w:pPr>
            <w:spacing w:line="360" w:lineRule="auto"/>
            <w:jc w:val="center"/>
            <w:rPr>
              <w:b/>
              <w:bCs/>
              <w:noProof/>
            </w:rPr>
          </w:pPr>
          <w:r w:rsidRPr="007E50F7">
            <w:rPr>
              <w:b/>
              <w:bCs/>
              <w:noProof/>
            </w:rPr>
            <w:t>LIST OF EXHIBITS</w:t>
          </w:r>
        </w:p>
        <w:p w14:paraId="6CFC0B9C" w14:textId="77777777" w:rsidR="004E0D94" w:rsidRPr="007E50F7" w:rsidRDefault="004E0D94" w:rsidP="004E0D94"/>
        <w:p w14:paraId="6CFC0B9D" w14:textId="77777777" w:rsidR="00484857" w:rsidRPr="007E50F7" w:rsidRDefault="00477F8A" w:rsidP="00484857">
          <w:pPr>
            <w:spacing w:line="360" w:lineRule="auto"/>
          </w:pPr>
          <w:r w:rsidRPr="007E50F7">
            <w:rPr>
              <w:bCs/>
            </w:rPr>
            <w:t>Exhibit No.</w:t>
          </w:r>
          <w:r w:rsidR="00940838" w:rsidRPr="007E50F7">
            <w:rPr>
              <w:bCs/>
            </w:rPr>
            <w:t xml:space="preserve"> </w:t>
          </w:r>
          <w:r w:rsidRPr="007E50F7">
            <w:rPr>
              <w:bCs/>
            </w:rPr>
            <w:t>_</w:t>
          </w:r>
          <w:r w:rsidR="00940838" w:rsidRPr="007E50F7">
            <w:rPr>
              <w:bCs/>
            </w:rPr>
            <w:t>_</w:t>
          </w:r>
          <w:r w:rsidRPr="007E50F7">
            <w:rPr>
              <w:bCs/>
            </w:rPr>
            <w:t>_ (</w:t>
          </w:r>
          <w:proofErr w:type="spellStart"/>
          <w:r w:rsidRPr="007E50F7">
            <w:rPr>
              <w:bCs/>
            </w:rPr>
            <w:t>CTM</w:t>
          </w:r>
          <w:proofErr w:type="spellEnd"/>
          <w:r w:rsidRPr="007E50F7">
            <w:rPr>
              <w:bCs/>
            </w:rPr>
            <w:t>-</w:t>
          </w:r>
          <w:r w:rsidR="005C0100" w:rsidRPr="007E50F7">
            <w:rPr>
              <w:bCs/>
            </w:rPr>
            <w:t>2</w:t>
          </w:r>
          <w:r w:rsidRPr="007E50F7">
            <w:rPr>
              <w:bCs/>
            </w:rPr>
            <w:t>)</w:t>
          </w:r>
          <w:r w:rsidRPr="007E50F7">
            <w:rPr>
              <w:bCs/>
            </w:rPr>
            <w:tab/>
          </w:r>
          <w:r w:rsidR="00484857" w:rsidRPr="007E50F7">
            <w:rPr>
              <w:bCs/>
            </w:rPr>
            <w:t xml:space="preserve">Electric </w:t>
          </w:r>
          <w:r w:rsidR="00251BED" w:rsidRPr="007E50F7">
            <w:rPr>
              <w:bCs/>
            </w:rPr>
            <w:t>Cost of Service</w:t>
          </w:r>
        </w:p>
        <w:p w14:paraId="6CFC0B9E" w14:textId="77777777" w:rsidR="00B758B7" w:rsidRPr="007E50F7" w:rsidRDefault="00B758B7" w:rsidP="00B758B7">
          <w:pPr>
            <w:spacing w:line="360" w:lineRule="auto"/>
          </w:pPr>
          <w:r w:rsidRPr="007E50F7">
            <w:rPr>
              <w:bCs/>
            </w:rPr>
            <w:t>Exhibit No.</w:t>
          </w:r>
          <w:r w:rsidR="00940838" w:rsidRPr="007E50F7">
            <w:rPr>
              <w:bCs/>
            </w:rPr>
            <w:t xml:space="preserve"> </w:t>
          </w:r>
          <w:r w:rsidRPr="007E50F7">
            <w:rPr>
              <w:bCs/>
            </w:rPr>
            <w:t>_</w:t>
          </w:r>
          <w:r w:rsidR="00940838" w:rsidRPr="007E50F7">
            <w:rPr>
              <w:bCs/>
            </w:rPr>
            <w:t>_</w:t>
          </w:r>
          <w:r w:rsidRPr="007E50F7">
            <w:rPr>
              <w:bCs/>
            </w:rPr>
            <w:t>_ (</w:t>
          </w:r>
          <w:proofErr w:type="spellStart"/>
          <w:r w:rsidRPr="007E50F7">
            <w:rPr>
              <w:bCs/>
            </w:rPr>
            <w:t>CTM</w:t>
          </w:r>
          <w:proofErr w:type="spellEnd"/>
          <w:r w:rsidRPr="007E50F7">
            <w:rPr>
              <w:bCs/>
            </w:rPr>
            <w:t>-</w:t>
          </w:r>
          <w:r w:rsidR="005C0100" w:rsidRPr="007E50F7">
            <w:rPr>
              <w:bCs/>
            </w:rPr>
            <w:t>3</w:t>
          </w:r>
          <w:r w:rsidRPr="007E50F7">
            <w:rPr>
              <w:bCs/>
            </w:rPr>
            <w:t>)</w:t>
          </w:r>
          <w:r w:rsidRPr="007E50F7">
            <w:rPr>
              <w:bCs/>
            </w:rPr>
            <w:tab/>
            <w:t xml:space="preserve">Electric </w:t>
          </w:r>
          <w:r w:rsidRPr="007E50F7">
            <w:t>Revenue Allocation and Rate Design</w:t>
          </w:r>
        </w:p>
        <w:p w14:paraId="6CFC0B9F" w14:textId="77777777" w:rsidR="004E747D" w:rsidRPr="007E50F7" w:rsidRDefault="004E747D" w:rsidP="004E747D">
          <w:pPr>
            <w:spacing w:line="360" w:lineRule="auto"/>
          </w:pPr>
          <w:r w:rsidRPr="007E50F7">
            <w:rPr>
              <w:bCs/>
            </w:rPr>
            <w:t>Exhibit No. ___ (</w:t>
          </w:r>
          <w:proofErr w:type="spellStart"/>
          <w:r w:rsidRPr="007E50F7">
            <w:rPr>
              <w:bCs/>
            </w:rPr>
            <w:t>CTM</w:t>
          </w:r>
          <w:proofErr w:type="spellEnd"/>
          <w:r w:rsidRPr="007E50F7">
            <w:rPr>
              <w:bCs/>
            </w:rPr>
            <w:t>-</w:t>
          </w:r>
          <w:r w:rsidR="005C0100" w:rsidRPr="007E50F7">
            <w:rPr>
              <w:bCs/>
            </w:rPr>
            <w:t>4</w:t>
          </w:r>
          <w:r w:rsidRPr="007E50F7">
            <w:rPr>
              <w:bCs/>
            </w:rPr>
            <w:t>)</w:t>
          </w:r>
          <w:r w:rsidRPr="007E50F7">
            <w:rPr>
              <w:bCs/>
            </w:rPr>
            <w:tab/>
            <w:t>Electric Bill Frequency and Histogram Analysis</w:t>
          </w:r>
        </w:p>
        <w:p w14:paraId="6CFC0BA0" w14:textId="77777777" w:rsidR="004E747D" w:rsidRPr="007E50F7" w:rsidRDefault="004E747D" w:rsidP="004E747D">
          <w:pPr>
            <w:spacing w:line="360" w:lineRule="auto"/>
          </w:pPr>
          <w:r w:rsidRPr="007E50F7">
            <w:rPr>
              <w:bCs/>
            </w:rPr>
            <w:t>Exhibit No. ___ (</w:t>
          </w:r>
          <w:proofErr w:type="spellStart"/>
          <w:r w:rsidRPr="007E50F7">
            <w:rPr>
              <w:bCs/>
            </w:rPr>
            <w:t>CTM</w:t>
          </w:r>
          <w:proofErr w:type="spellEnd"/>
          <w:r w:rsidRPr="007E50F7">
            <w:rPr>
              <w:bCs/>
            </w:rPr>
            <w:t>-</w:t>
          </w:r>
          <w:r w:rsidR="005C0100" w:rsidRPr="007E50F7">
            <w:rPr>
              <w:bCs/>
            </w:rPr>
            <w:t>5</w:t>
          </w:r>
          <w:r w:rsidRPr="007E50F7">
            <w:rPr>
              <w:bCs/>
            </w:rPr>
            <w:t>)</w:t>
          </w:r>
          <w:r w:rsidRPr="007E50F7">
            <w:rPr>
              <w:bCs/>
            </w:rPr>
            <w:tab/>
            <w:t>Natural Gas Cost of Service</w:t>
          </w:r>
        </w:p>
        <w:p w14:paraId="6CFC0BA1" w14:textId="77777777" w:rsidR="00B758B7" w:rsidRPr="007E50F7" w:rsidRDefault="00B758B7" w:rsidP="004E0D94">
          <w:pPr>
            <w:spacing w:line="360" w:lineRule="auto"/>
          </w:pPr>
          <w:r w:rsidRPr="007E50F7">
            <w:rPr>
              <w:bCs/>
            </w:rPr>
            <w:t>Exhibit No.</w:t>
          </w:r>
          <w:r w:rsidR="00940838" w:rsidRPr="007E50F7">
            <w:rPr>
              <w:bCs/>
            </w:rPr>
            <w:t xml:space="preserve"> </w:t>
          </w:r>
          <w:r w:rsidRPr="007E50F7">
            <w:rPr>
              <w:bCs/>
            </w:rPr>
            <w:t>__</w:t>
          </w:r>
          <w:r w:rsidR="00940838" w:rsidRPr="007E50F7">
            <w:rPr>
              <w:bCs/>
            </w:rPr>
            <w:t>_</w:t>
          </w:r>
          <w:r w:rsidRPr="007E50F7">
            <w:rPr>
              <w:bCs/>
            </w:rPr>
            <w:t xml:space="preserve"> (</w:t>
          </w:r>
          <w:proofErr w:type="spellStart"/>
          <w:r w:rsidRPr="007E50F7">
            <w:rPr>
              <w:bCs/>
            </w:rPr>
            <w:t>CTM</w:t>
          </w:r>
          <w:proofErr w:type="spellEnd"/>
          <w:r w:rsidRPr="007E50F7">
            <w:rPr>
              <w:bCs/>
            </w:rPr>
            <w:t>-</w:t>
          </w:r>
          <w:r w:rsidR="005C0100" w:rsidRPr="007E50F7">
            <w:rPr>
              <w:bCs/>
            </w:rPr>
            <w:t>6</w:t>
          </w:r>
          <w:r w:rsidRPr="007E50F7">
            <w:rPr>
              <w:bCs/>
            </w:rPr>
            <w:t>)</w:t>
          </w:r>
          <w:r w:rsidRPr="007E50F7">
            <w:rPr>
              <w:bCs/>
            </w:rPr>
            <w:tab/>
            <w:t xml:space="preserve">Natural Gas </w:t>
          </w:r>
          <w:r w:rsidRPr="007E50F7">
            <w:t>Revenue Allocation and Rate Design</w:t>
          </w:r>
        </w:p>
        <w:p w14:paraId="6CFC0BA2" w14:textId="77777777" w:rsidR="00276957" w:rsidRPr="007E50F7" w:rsidRDefault="00276957" w:rsidP="00276957">
          <w:pPr>
            <w:spacing w:line="360" w:lineRule="auto"/>
          </w:pPr>
          <w:r w:rsidRPr="007E50F7">
            <w:rPr>
              <w:bCs/>
            </w:rPr>
            <w:t>Exhibit No.</w:t>
          </w:r>
          <w:r w:rsidR="00940838" w:rsidRPr="007E50F7">
            <w:rPr>
              <w:bCs/>
            </w:rPr>
            <w:t xml:space="preserve"> </w:t>
          </w:r>
          <w:r w:rsidRPr="007E50F7">
            <w:rPr>
              <w:bCs/>
            </w:rPr>
            <w:t>_</w:t>
          </w:r>
          <w:r w:rsidR="00940838" w:rsidRPr="007E50F7">
            <w:rPr>
              <w:bCs/>
            </w:rPr>
            <w:t>_</w:t>
          </w:r>
          <w:r w:rsidRPr="007E50F7">
            <w:rPr>
              <w:bCs/>
            </w:rPr>
            <w:t>_ (</w:t>
          </w:r>
          <w:proofErr w:type="spellStart"/>
          <w:r w:rsidRPr="007E50F7">
            <w:rPr>
              <w:bCs/>
            </w:rPr>
            <w:t>CTM</w:t>
          </w:r>
          <w:proofErr w:type="spellEnd"/>
          <w:r w:rsidRPr="007E50F7">
            <w:rPr>
              <w:bCs/>
            </w:rPr>
            <w:t>-</w:t>
          </w:r>
          <w:r w:rsidR="005C0100" w:rsidRPr="007E50F7">
            <w:rPr>
              <w:bCs/>
            </w:rPr>
            <w:t>7</w:t>
          </w:r>
          <w:r w:rsidRPr="007E50F7">
            <w:rPr>
              <w:bCs/>
            </w:rPr>
            <w:t>)</w:t>
          </w:r>
          <w:r w:rsidRPr="007E50F7">
            <w:rPr>
              <w:bCs/>
            </w:rPr>
            <w:tab/>
            <w:t>Natural Gas</w:t>
          </w:r>
          <w:r w:rsidRPr="007E50F7">
            <w:t xml:space="preserve"> </w:t>
          </w:r>
          <w:r w:rsidR="00477F8A" w:rsidRPr="007E50F7">
            <w:t>Bill Frequency and Histogram Analysis</w:t>
          </w:r>
        </w:p>
        <w:p w14:paraId="6CFC0BA3" w14:textId="77777777" w:rsidR="00276957" w:rsidRPr="007E50F7" w:rsidRDefault="00276957" w:rsidP="00276957">
          <w:pPr>
            <w:spacing w:line="360" w:lineRule="auto"/>
          </w:pPr>
          <w:r w:rsidRPr="007E50F7">
            <w:rPr>
              <w:bCs/>
            </w:rPr>
            <w:t>Exhibit No.</w:t>
          </w:r>
          <w:r w:rsidR="00940838" w:rsidRPr="007E50F7">
            <w:rPr>
              <w:bCs/>
            </w:rPr>
            <w:t xml:space="preserve"> </w:t>
          </w:r>
          <w:r w:rsidRPr="007E50F7">
            <w:rPr>
              <w:bCs/>
            </w:rPr>
            <w:t>__</w:t>
          </w:r>
          <w:r w:rsidR="00940838" w:rsidRPr="007E50F7">
            <w:rPr>
              <w:bCs/>
            </w:rPr>
            <w:t>_</w:t>
          </w:r>
          <w:r w:rsidRPr="007E50F7">
            <w:rPr>
              <w:bCs/>
            </w:rPr>
            <w:t xml:space="preserve"> (</w:t>
          </w:r>
          <w:proofErr w:type="spellStart"/>
          <w:r w:rsidRPr="007E50F7">
            <w:rPr>
              <w:bCs/>
            </w:rPr>
            <w:t>CTM</w:t>
          </w:r>
          <w:proofErr w:type="spellEnd"/>
          <w:r w:rsidRPr="007E50F7">
            <w:rPr>
              <w:bCs/>
            </w:rPr>
            <w:t>-</w:t>
          </w:r>
          <w:r w:rsidR="005C0100" w:rsidRPr="007E50F7">
            <w:rPr>
              <w:bCs/>
            </w:rPr>
            <w:t>8</w:t>
          </w:r>
          <w:r w:rsidRPr="007E50F7">
            <w:rPr>
              <w:bCs/>
            </w:rPr>
            <w:t>)</w:t>
          </w:r>
          <w:r w:rsidRPr="007E50F7">
            <w:rPr>
              <w:bCs/>
            </w:rPr>
            <w:tab/>
          </w:r>
          <w:r w:rsidRPr="007E50F7">
            <w:t>Allocation of Natural Gas Distribution Mains</w:t>
          </w:r>
        </w:p>
        <w:p w14:paraId="6CFC0BA4" w14:textId="77777777" w:rsidR="00641F26" w:rsidRPr="007E50F7" w:rsidRDefault="00E05828" w:rsidP="004E0D94">
          <w:pPr>
            <w:spacing w:line="360" w:lineRule="auto"/>
            <w:rPr>
              <w:noProof/>
            </w:rPr>
          </w:pPr>
        </w:p>
      </w:sdtContent>
    </w:sdt>
    <w:p w14:paraId="6CFC0BA5" w14:textId="77777777" w:rsidR="00FB6F77" w:rsidRPr="007E50F7" w:rsidRDefault="00B65674" w:rsidP="005A6989">
      <w:pPr>
        <w:sectPr w:rsidR="00FB6F77" w:rsidRPr="007E50F7" w:rsidSect="00B65674">
          <w:footerReference w:type="default" r:id="rId13"/>
          <w:pgSz w:w="12240" w:h="15840" w:code="1"/>
          <w:pgMar w:top="1440" w:right="1440" w:bottom="1440" w:left="1872" w:header="720" w:footer="720" w:gutter="0"/>
          <w:pgNumType w:fmt="lowerRoman" w:start="1"/>
          <w:cols w:space="720"/>
          <w:docGrid w:linePitch="360"/>
        </w:sectPr>
      </w:pPr>
      <w:r w:rsidRPr="007E50F7">
        <w:br w:type="page"/>
      </w:r>
    </w:p>
    <w:p w14:paraId="6CFC0BA6" w14:textId="77777777" w:rsidR="00FB6F77" w:rsidRPr="007E50F7" w:rsidRDefault="00FB6F77" w:rsidP="00E24E40">
      <w:pPr>
        <w:pStyle w:val="Heading1"/>
        <w:jc w:val="both"/>
      </w:pPr>
      <w:bookmarkStart w:id="0" w:name="_Toc335809608"/>
      <w:r w:rsidRPr="007E50F7">
        <w:lastRenderedPageBreak/>
        <w:t>INTRODUCTION</w:t>
      </w:r>
      <w:bookmarkEnd w:id="0"/>
    </w:p>
    <w:p w14:paraId="6CFC0BA7" w14:textId="77777777" w:rsidR="001D211D" w:rsidRPr="007E50F7" w:rsidRDefault="001D211D" w:rsidP="00641F26">
      <w:pPr>
        <w:pStyle w:val="Question-Testimony"/>
      </w:pPr>
    </w:p>
    <w:p w14:paraId="6CFC0BA8" w14:textId="77777777" w:rsidR="00C3471C" w:rsidRPr="007E50F7" w:rsidRDefault="00C3471C" w:rsidP="00641F26">
      <w:pPr>
        <w:pStyle w:val="Question-Testimony"/>
      </w:pPr>
      <w:r w:rsidRPr="007E50F7">
        <w:t>Q.</w:t>
      </w:r>
      <w:r w:rsidRPr="007E50F7">
        <w:tab/>
        <w:t>Please state your name and busines</w:t>
      </w:r>
      <w:bookmarkStart w:id="1" w:name="_GoBack"/>
      <w:bookmarkEnd w:id="1"/>
      <w:r w:rsidRPr="007E50F7">
        <w:t xml:space="preserve">s address.  </w:t>
      </w:r>
    </w:p>
    <w:p w14:paraId="6CFC0BA9" w14:textId="77777777" w:rsidR="00C3471C" w:rsidRPr="007E50F7" w:rsidRDefault="002F1187" w:rsidP="00641F26">
      <w:pPr>
        <w:pStyle w:val="Answer-Testimony"/>
      </w:pPr>
      <w:r w:rsidRPr="007E50F7">
        <w:t>A.</w:t>
      </w:r>
      <w:r w:rsidRPr="007E50F7">
        <w:tab/>
        <w:t>My name is Christopher T</w:t>
      </w:r>
      <w:r w:rsidR="003A238D" w:rsidRPr="007E50F7">
        <w:t>homas</w:t>
      </w:r>
      <w:r w:rsidRPr="007E50F7">
        <w:t xml:space="preserve"> Mickelson</w:t>
      </w:r>
      <w:r w:rsidR="00C3471C" w:rsidRPr="007E50F7">
        <w:t>.  My business address is</w:t>
      </w:r>
      <w:r w:rsidR="00100D8D" w:rsidRPr="007E50F7">
        <w:t xml:space="preserve"> t</w:t>
      </w:r>
      <w:r w:rsidRPr="007E50F7">
        <w:t>he Richard Hemstad Building,</w:t>
      </w:r>
      <w:r w:rsidR="00C3471C" w:rsidRPr="007E50F7">
        <w:t xml:space="preserve"> 1300 S. Evergreen Park Drive S.W., P.O. Box 47250, Olympia, W</w:t>
      </w:r>
      <w:r w:rsidR="00100D8D" w:rsidRPr="007E50F7">
        <w:t>ashington</w:t>
      </w:r>
      <w:r w:rsidR="00C3471C" w:rsidRPr="007E50F7">
        <w:t xml:space="preserve">  98504.  </w:t>
      </w:r>
      <w:r w:rsidR="004D0ADB" w:rsidRPr="007E50F7">
        <w:t>My e</w:t>
      </w:r>
      <w:r w:rsidR="006F35F6" w:rsidRPr="007E50F7">
        <w:t xml:space="preserve">mail address is </w:t>
      </w:r>
      <w:hyperlink r:id="rId14" w:history="1">
        <w:r w:rsidR="006F35F6" w:rsidRPr="007E50F7">
          <w:rPr>
            <w:rStyle w:val="Hyperlink"/>
            <w:color w:val="auto"/>
            <w:u w:val="none"/>
          </w:rPr>
          <w:t>cmickels@utc.wa.gov</w:t>
        </w:r>
      </w:hyperlink>
      <w:r w:rsidR="006F35F6" w:rsidRPr="007E50F7">
        <w:t>.</w:t>
      </w:r>
    </w:p>
    <w:p w14:paraId="6CFC0BAA" w14:textId="77777777" w:rsidR="00464A47" w:rsidRPr="007E50F7" w:rsidRDefault="00464A47" w:rsidP="00464A47">
      <w:pPr>
        <w:spacing w:line="480" w:lineRule="auto"/>
        <w:ind w:left="720" w:hanging="720"/>
      </w:pPr>
    </w:p>
    <w:p w14:paraId="6CFC0BAB" w14:textId="77777777" w:rsidR="00464A47" w:rsidRPr="007E50F7" w:rsidRDefault="00464A47" w:rsidP="00464A47">
      <w:pPr>
        <w:pStyle w:val="Question-Testimony"/>
      </w:pPr>
      <w:r w:rsidRPr="007E50F7">
        <w:t>Q.</w:t>
      </w:r>
      <w:r w:rsidRPr="007E50F7">
        <w:tab/>
        <w:t xml:space="preserve">By whom are you employed and in what capacity?  </w:t>
      </w:r>
    </w:p>
    <w:p w14:paraId="6CFC0BAC" w14:textId="77777777" w:rsidR="00464A47" w:rsidRPr="007E50F7" w:rsidRDefault="00464A47" w:rsidP="00464A47">
      <w:pPr>
        <w:pStyle w:val="Answer-Testimony"/>
      </w:pPr>
      <w:r w:rsidRPr="007E50F7">
        <w:rPr>
          <w:rStyle w:val="Answer-TestimonyChar"/>
        </w:rPr>
        <w:t>A.</w:t>
      </w:r>
      <w:r w:rsidRPr="007E50F7">
        <w:rPr>
          <w:rStyle w:val="Answer-TestimonyChar"/>
        </w:rPr>
        <w:tab/>
        <w:t>I am employed by the Washington Utilities and Transportation Commission</w:t>
      </w:r>
      <w:r w:rsidRPr="007E50F7">
        <w:t xml:space="preserve"> (“Commission”) as a Senior Regulatory Analyst in the Energy Section of the Regulatory Services Division.</w:t>
      </w:r>
      <w:r w:rsidR="0092519E" w:rsidRPr="007E50F7">
        <w:t xml:space="preserve">  A</w:t>
      </w:r>
      <w:r w:rsidRPr="007E50F7">
        <w:t>mong other duties,</w:t>
      </w:r>
      <w:r w:rsidR="0092519E" w:rsidRPr="007E50F7">
        <w:t xml:space="preserve"> I am responsible </w:t>
      </w:r>
      <w:r w:rsidRPr="007E50F7">
        <w:t>for analyzing financial, accounting</w:t>
      </w:r>
      <w:r w:rsidR="0092519E" w:rsidRPr="007E50F7">
        <w:t xml:space="preserve"> and</w:t>
      </w:r>
      <w:r w:rsidRPr="007E50F7">
        <w:t xml:space="preserve"> rate</w:t>
      </w:r>
      <w:r w:rsidR="0092519E" w:rsidRPr="007E50F7">
        <w:t>-related</w:t>
      </w:r>
      <w:r w:rsidRPr="007E50F7">
        <w:t xml:space="preserve"> issues in general rate cases, accounting petitions, and other tariff filings as they pertain to the investor-owned utilities</w:t>
      </w:r>
      <w:r w:rsidR="003A238D" w:rsidRPr="007E50F7">
        <w:t xml:space="preserve"> (“IOUs”)</w:t>
      </w:r>
      <w:r w:rsidRPr="007E50F7">
        <w:t xml:space="preserve"> under the jurisdiction of this Commission.</w:t>
      </w:r>
    </w:p>
    <w:p w14:paraId="6CFC0BAD" w14:textId="77777777" w:rsidR="00464A47" w:rsidRPr="007E50F7" w:rsidRDefault="00464A47" w:rsidP="00464A47">
      <w:pPr>
        <w:spacing w:line="480" w:lineRule="auto"/>
        <w:ind w:left="720" w:hanging="720"/>
      </w:pPr>
    </w:p>
    <w:p w14:paraId="6CFC0BAE" w14:textId="77777777" w:rsidR="00464A47" w:rsidRPr="007E50F7" w:rsidRDefault="00464A47" w:rsidP="00464A47">
      <w:pPr>
        <w:pStyle w:val="Question-Testimony"/>
      </w:pPr>
      <w:r w:rsidRPr="007E50F7">
        <w:t>Q.</w:t>
      </w:r>
      <w:r w:rsidRPr="007E50F7">
        <w:tab/>
        <w:t>How long have you been employed by the Commission?</w:t>
      </w:r>
    </w:p>
    <w:p w14:paraId="6CFC0BAF" w14:textId="77777777" w:rsidR="00464A47" w:rsidRPr="007E50F7" w:rsidRDefault="00464A47" w:rsidP="00464A47">
      <w:pPr>
        <w:pStyle w:val="Answer-Testimony"/>
      </w:pPr>
      <w:r w:rsidRPr="007E50F7">
        <w:t>A.</w:t>
      </w:r>
      <w:r w:rsidRPr="007E50F7">
        <w:tab/>
        <w:t>I have been employed by the Commission since June 2007.</w:t>
      </w:r>
    </w:p>
    <w:p w14:paraId="6CFC0BB0" w14:textId="77777777" w:rsidR="00464A47" w:rsidRPr="007E50F7" w:rsidRDefault="00464A47" w:rsidP="00464A47">
      <w:pPr>
        <w:tabs>
          <w:tab w:val="left" w:pos="-1440"/>
        </w:tabs>
        <w:spacing w:line="480" w:lineRule="auto"/>
      </w:pPr>
    </w:p>
    <w:p w14:paraId="6CFC0BB1" w14:textId="77777777" w:rsidR="00464A47" w:rsidRPr="007E50F7" w:rsidRDefault="00464A47" w:rsidP="00464A47">
      <w:pPr>
        <w:pStyle w:val="Question-Testimony"/>
      </w:pPr>
      <w:r w:rsidRPr="007E50F7">
        <w:t>Q.</w:t>
      </w:r>
      <w:r w:rsidRPr="007E50F7">
        <w:tab/>
        <w:t>Would you please state your educational and professional background?</w:t>
      </w:r>
    </w:p>
    <w:p w14:paraId="6CFC0BB2" w14:textId="77777777" w:rsidR="00464A47" w:rsidRPr="007E50F7" w:rsidRDefault="00464A47" w:rsidP="00464A47">
      <w:pPr>
        <w:pStyle w:val="Answer-Testimony"/>
      </w:pPr>
      <w:r w:rsidRPr="007E50F7">
        <w:t>A.</w:t>
      </w:r>
      <w:r w:rsidRPr="007E50F7">
        <w:tab/>
        <w:t>I graduated from the University of Washington in 2002</w:t>
      </w:r>
      <w:r w:rsidR="00167B0D" w:rsidRPr="007E50F7">
        <w:t>,</w:t>
      </w:r>
      <w:r w:rsidRPr="007E50F7">
        <w:t xml:space="preserve"> receiving a Bachelor of Arts degree in Business Administration.  Since joining the Commission, I have attended several regulatory courses, including the 49th Annual National Association of </w:t>
      </w:r>
      <w:r w:rsidRPr="007E50F7">
        <w:lastRenderedPageBreak/>
        <w:t>Regulatory Utility Commissioners Regulatory Studies Program held at Michigan State University in East Lansing, Michigan.</w:t>
      </w:r>
    </w:p>
    <w:p w14:paraId="6CFC0BB3" w14:textId="77777777" w:rsidR="00464A47" w:rsidRPr="007E50F7" w:rsidRDefault="00464A47" w:rsidP="00464A47">
      <w:pPr>
        <w:pStyle w:val="Answer-Testimony"/>
      </w:pPr>
      <w:r w:rsidRPr="007E50F7">
        <w:tab/>
      </w:r>
      <w:r w:rsidRPr="007E50F7">
        <w:tab/>
      </w:r>
      <w:r w:rsidR="008D1A1E" w:rsidRPr="007E50F7">
        <w:t xml:space="preserve">I have filed testimony on natural gas revenue requirement, revenue allocation and rate design in Puget Sound Energy’s consolidated general rate case, Docket </w:t>
      </w:r>
      <w:proofErr w:type="spellStart"/>
      <w:r w:rsidR="008D1A1E" w:rsidRPr="007E50F7">
        <w:t>UE</w:t>
      </w:r>
      <w:proofErr w:type="spellEnd"/>
      <w:r w:rsidR="008D1A1E" w:rsidRPr="007E50F7">
        <w:t xml:space="preserve">-111048 and </w:t>
      </w:r>
      <w:proofErr w:type="spellStart"/>
      <w:r w:rsidR="008D1A1E" w:rsidRPr="007E50F7">
        <w:t>UG</w:t>
      </w:r>
      <w:proofErr w:type="spellEnd"/>
      <w:r w:rsidR="008D1A1E" w:rsidRPr="007E50F7">
        <w:t xml:space="preserve">-111049.  </w:t>
      </w:r>
      <w:r w:rsidRPr="007E50F7">
        <w:t xml:space="preserve">I was the lead analyst in numerous tariff applications filed by regulated water, solid waste, and transportation companies.  These filings included general rate cases of </w:t>
      </w:r>
      <w:proofErr w:type="spellStart"/>
      <w:r w:rsidRPr="007E50F7">
        <w:t>Murrey’s</w:t>
      </w:r>
      <w:proofErr w:type="spellEnd"/>
      <w:r w:rsidRPr="007E50F7">
        <w:t xml:space="preserve"> Disposal Company, Inc., Docket TG-090097; American Disposal Company, Inc., Docket TG-090098; Washington Water Service Company, Docket UW-090733; and Waste Management of Washington, Inc., Dockets TG-091933 and TG-101080.</w:t>
      </w:r>
    </w:p>
    <w:p w14:paraId="6CFC0BB4" w14:textId="77777777" w:rsidR="00464A47" w:rsidRPr="007E50F7" w:rsidRDefault="00464A47" w:rsidP="00464A47">
      <w:pPr>
        <w:pStyle w:val="Answer-Testimony"/>
        <w:ind w:firstLine="720"/>
      </w:pPr>
      <w:r w:rsidRPr="007E50F7">
        <w:t>I have participated in the development of Commission rules, prepared detailed statistical studies for use by commissioners and other Commission employees, and examined utility and transportation company reports for compliance with Commission regulations.  I have also presented Staff recommendations at numerous open public meetings.</w:t>
      </w:r>
    </w:p>
    <w:p w14:paraId="6CFC0BB5" w14:textId="77777777" w:rsidR="00DC40BC" w:rsidRPr="007E50F7" w:rsidRDefault="00DC40BC" w:rsidP="00FD5B3E">
      <w:pPr>
        <w:pStyle w:val="BodyTextIndent"/>
      </w:pPr>
    </w:p>
    <w:p w14:paraId="6CFC0BB6" w14:textId="77777777" w:rsidR="00DC40BC" w:rsidRPr="007E50F7" w:rsidRDefault="00FB6F77" w:rsidP="008304C3">
      <w:pPr>
        <w:pStyle w:val="Heading1"/>
      </w:pPr>
      <w:bookmarkStart w:id="2" w:name="_Toc335809609"/>
      <w:r w:rsidRPr="007E50F7">
        <w:t xml:space="preserve">SCOPE AND </w:t>
      </w:r>
      <w:r w:rsidR="003831A5" w:rsidRPr="007E50F7">
        <w:t>SUMMARY OF TESTIMONY</w:t>
      </w:r>
      <w:bookmarkEnd w:id="2"/>
    </w:p>
    <w:p w14:paraId="6CFC0BB7" w14:textId="77777777" w:rsidR="00C04987" w:rsidRPr="007E50F7" w:rsidRDefault="00C04987" w:rsidP="002079C0">
      <w:pPr>
        <w:spacing w:line="480" w:lineRule="auto"/>
      </w:pPr>
    </w:p>
    <w:p w14:paraId="6CFC0BB8" w14:textId="77777777" w:rsidR="004D3E3B" w:rsidRPr="007E50F7" w:rsidRDefault="00EB4706" w:rsidP="00B44F4A">
      <w:pPr>
        <w:pStyle w:val="Question-Testimony"/>
      </w:pPr>
      <w:r w:rsidRPr="007E50F7">
        <w:t>Q.</w:t>
      </w:r>
      <w:r w:rsidRPr="007E50F7">
        <w:tab/>
      </w:r>
      <w:r w:rsidR="00660396" w:rsidRPr="007E50F7">
        <w:t xml:space="preserve">What is the </w:t>
      </w:r>
      <w:r w:rsidR="004D3E3B" w:rsidRPr="007E50F7">
        <w:t>purpose of your testimony</w:t>
      </w:r>
      <w:r w:rsidR="00660396" w:rsidRPr="007E50F7">
        <w:t>?</w:t>
      </w:r>
    </w:p>
    <w:p w14:paraId="6CFC0BB9" w14:textId="77777777" w:rsidR="003A238D" w:rsidRPr="007E50F7" w:rsidRDefault="004D3E3B" w:rsidP="009D2441">
      <w:pPr>
        <w:pStyle w:val="Answer-Testimony"/>
      </w:pPr>
      <w:r w:rsidRPr="007E50F7">
        <w:t>A.</w:t>
      </w:r>
      <w:r w:rsidRPr="007E50F7">
        <w:tab/>
      </w:r>
      <w:r w:rsidR="003A238D" w:rsidRPr="007E50F7">
        <w:t xml:space="preserve">The purpose of my testimony is to address </w:t>
      </w:r>
      <w:r w:rsidR="00167B0D" w:rsidRPr="007E50F7">
        <w:t xml:space="preserve">Avista Corporation’s (“Avista” or “the Company”) </w:t>
      </w:r>
      <w:r w:rsidR="0074370C" w:rsidRPr="007E50F7">
        <w:t xml:space="preserve">proposed </w:t>
      </w:r>
      <w:proofErr w:type="spellStart"/>
      <w:r w:rsidR="0074370C" w:rsidRPr="007E50F7">
        <w:t>Aldyl</w:t>
      </w:r>
      <w:proofErr w:type="spellEnd"/>
      <w:r w:rsidR="0074370C" w:rsidRPr="007E50F7">
        <w:t>-A polyethylene (“</w:t>
      </w:r>
      <w:proofErr w:type="spellStart"/>
      <w:r w:rsidR="0074370C" w:rsidRPr="007E50F7">
        <w:t>Aldyl</w:t>
      </w:r>
      <w:proofErr w:type="spellEnd"/>
      <w:r w:rsidR="0074370C" w:rsidRPr="007E50F7">
        <w:t xml:space="preserve">-A”) pipe replacement program as well as </w:t>
      </w:r>
      <w:r w:rsidR="009D2441" w:rsidRPr="007E50F7">
        <w:t>electric and natural gas</w:t>
      </w:r>
      <w:r w:rsidR="009F13B5" w:rsidRPr="007E50F7">
        <w:t xml:space="preserve"> cost of service studies,</w:t>
      </w:r>
      <w:r w:rsidR="0034764E" w:rsidRPr="007E50F7">
        <w:t xml:space="preserve"> </w:t>
      </w:r>
      <w:r w:rsidR="009D2441" w:rsidRPr="007E50F7">
        <w:t>revenue allocations</w:t>
      </w:r>
      <w:r w:rsidR="009F13B5" w:rsidRPr="007E50F7">
        <w:t>,</w:t>
      </w:r>
      <w:r w:rsidR="009D2441" w:rsidRPr="007E50F7">
        <w:t xml:space="preserve"> and rate design</w:t>
      </w:r>
      <w:r w:rsidR="00167B0D" w:rsidRPr="007E50F7">
        <w:t xml:space="preserve">.  I respond to </w:t>
      </w:r>
      <w:r w:rsidR="009D2441" w:rsidRPr="007E50F7">
        <w:t>the</w:t>
      </w:r>
      <w:r w:rsidR="00167B0D" w:rsidRPr="007E50F7">
        <w:t xml:space="preserve"> Company proposals</w:t>
      </w:r>
      <w:r w:rsidR="009D2441" w:rsidRPr="007E50F7">
        <w:t xml:space="preserve"> sponsored by </w:t>
      </w:r>
      <w:r w:rsidR="00543142" w:rsidRPr="007E50F7">
        <w:t xml:space="preserve">Mr. </w:t>
      </w:r>
      <w:proofErr w:type="spellStart"/>
      <w:r w:rsidR="00543142" w:rsidRPr="007E50F7">
        <w:t>Kopczynski</w:t>
      </w:r>
      <w:proofErr w:type="spellEnd"/>
      <w:r w:rsidR="00543142" w:rsidRPr="007E50F7">
        <w:t xml:space="preserve"> </w:t>
      </w:r>
      <w:r w:rsidR="00543142" w:rsidRPr="007E50F7">
        <w:lastRenderedPageBreak/>
        <w:t>(</w:t>
      </w:r>
      <w:proofErr w:type="spellStart"/>
      <w:r w:rsidR="00543142" w:rsidRPr="007E50F7">
        <w:t>Aldyl</w:t>
      </w:r>
      <w:proofErr w:type="spellEnd"/>
      <w:r w:rsidR="00543142" w:rsidRPr="007E50F7">
        <w:t xml:space="preserve">-A pipe replacement program), </w:t>
      </w:r>
      <w:r w:rsidR="003E4D91" w:rsidRPr="007E50F7">
        <w:t>Ms. Knox (Cost of Service)</w:t>
      </w:r>
      <w:r w:rsidR="00C064AA" w:rsidRPr="007E50F7">
        <w:t xml:space="preserve"> and Mr. </w:t>
      </w:r>
      <w:proofErr w:type="spellStart"/>
      <w:r w:rsidR="00C064AA" w:rsidRPr="007E50F7">
        <w:t>Ehrbar</w:t>
      </w:r>
      <w:proofErr w:type="spellEnd"/>
      <w:r w:rsidR="00C064AA" w:rsidRPr="007E50F7">
        <w:t xml:space="preserve"> (Rate Design)</w:t>
      </w:r>
      <w:r w:rsidR="009D2441" w:rsidRPr="007E50F7">
        <w:t>.</w:t>
      </w:r>
    </w:p>
    <w:p w14:paraId="6CFC0BBA" w14:textId="77777777" w:rsidR="00543142" w:rsidRPr="007E50F7" w:rsidRDefault="00543142" w:rsidP="00543142">
      <w:pPr>
        <w:pStyle w:val="Answer-Testimony"/>
      </w:pPr>
    </w:p>
    <w:p w14:paraId="6CFC0BBB" w14:textId="77777777" w:rsidR="00543142" w:rsidRPr="007E50F7" w:rsidRDefault="00543142" w:rsidP="00543142">
      <w:pPr>
        <w:pStyle w:val="Question-Testimony"/>
      </w:pPr>
      <w:r w:rsidRPr="007E50F7">
        <w:t>Q.</w:t>
      </w:r>
      <w:r w:rsidRPr="007E50F7">
        <w:tab/>
        <w:t xml:space="preserve">Please summarize your recommendations with respect to </w:t>
      </w:r>
      <w:proofErr w:type="spellStart"/>
      <w:r w:rsidRPr="007E50F7">
        <w:t>Aldyl</w:t>
      </w:r>
      <w:proofErr w:type="spellEnd"/>
      <w:r w:rsidRPr="007E50F7">
        <w:t>-A pipe replacement program.</w:t>
      </w:r>
    </w:p>
    <w:p w14:paraId="6CFC0BBC" w14:textId="77777777" w:rsidR="00543142" w:rsidRPr="007E50F7" w:rsidRDefault="00543142" w:rsidP="00543142">
      <w:pPr>
        <w:pStyle w:val="Answer-Testimony"/>
      </w:pPr>
      <w:r w:rsidRPr="007E50F7">
        <w:t>A.</w:t>
      </w:r>
      <w:r w:rsidRPr="007E50F7">
        <w:tab/>
        <w:t xml:space="preserve">The Company’s </w:t>
      </w:r>
      <w:proofErr w:type="spellStart"/>
      <w:r w:rsidRPr="007E50F7">
        <w:t>Aldyl</w:t>
      </w:r>
      <w:proofErr w:type="spellEnd"/>
      <w:r w:rsidRPr="007E50F7">
        <w:t xml:space="preserve">-A pipe replacement program is a twenty-year program designed to analytically </w:t>
      </w:r>
      <w:r w:rsidR="00256C92" w:rsidRPr="007E50F7">
        <w:t>determine the appropriate</w:t>
      </w:r>
      <w:r w:rsidRPr="007E50F7">
        <w:t xml:space="preserve"> portions of the E.I. du Pont de Nemours and Company, Inc. (“DuPont”) </w:t>
      </w:r>
      <w:proofErr w:type="spellStart"/>
      <w:r w:rsidRPr="007E50F7">
        <w:t>Aldyl</w:t>
      </w:r>
      <w:proofErr w:type="spellEnd"/>
      <w:r w:rsidRPr="007E50F7">
        <w:t>-A medium density pipe</w:t>
      </w:r>
      <w:r w:rsidR="00256C92" w:rsidRPr="007E50F7">
        <w:t xml:space="preserve"> to remove and replace</w:t>
      </w:r>
      <w:r w:rsidRPr="007E50F7">
        <w:t xml:space="preserve"> in Avista’s natural gas distribution system.  Staff recommends that the Commission require the Company to track steel and polyethylene, particularly </w:t>
      </w:r>
      <w:proofErr w:type="spellStart"/>
      <w:r w:rsidRPr="007E50F7">
        <w:t>Aldyl</w:t>
      </w:r>
      <w:proofErr w:type="spellEnd"/>
      <w:r w:rsidRPr="007E50F7">
        <w:t>-A pipe, distribution mains in separate</w:t>
      </w:r>
      <w:r w:rsidR="000441B0" w:rsidRPr="007E50F7">
        <w:t xml:space="preserve"> subaccount</w:t>
      </w:r>
      <w:r w:rsidR="00F9094D" w:rsidRPr="007E50F7">
        <w:t>s</w:t>
      </w:r>
      <w:r w:rsidR="000441B0" w:rsidRPr="007E50F7">
        <w:t xml:space="preserve"> under </w:t>
      </w:r>
      <w:r w:rsidRPr="007E50F7">
        <w:t>Federal Energy Regulatory Commission</w:t>
      </w:r>
      <w:r w:rsidR="00F9094D" w:rsidRPr="007E50F7">
        <w:t>’s</w:t>
      </w:r>
      <w:r w:rsidRPr="007E50F7">
        <w:t xml:space="preserve"> (“FERC”) </w:t>
      </w:r>
      <w:r w:rsidR="00F9094D" w:rsidRPr="007E50F7">
        <w:t>Uniform System of Accounts (“</w:t>
      </w:r>
      <w:proofErr w:type="spellStart"/>
      <w:r w:rsidR="00F9094D" w:rsidRPr="007E50F7">
        <w:t>USoA</w:t>
      </w:r>
      <w:proofErr w:type="spellEnd"/>
      <w:r w:rsidR="00F9094D" w:rsidRPr="007E50F7">
        <w:t xml:space="preserve">”) </w:t>
      </w:r>
      <w:r w:rsidRPr="007E50F7">
        <w:t>376 for past and future plant.</w:t>
      </w:r>
    </w:p>
    <w:p w14:paraId="6CFC0BBD" w14:textId="77777777" w:rsidR="00891A10" w:rsidRPr="007E50F7" w:rsidRDefault="00891A10" w:rsidP="00BE03C9">
      <w:pPr>
        <w:pStyle w:val="Answer-Testimony"/>
      </w:pPr>
    </w:p>
    <w:p w14:paraId="6CFC0BBE" w14:textId="77777777" w:rsidR="00FC044E" w:rsidRPr="007E50F7" w:rsidRDefault="00E311DF" w:rsidP="00FC044E">
      <w:pPr>
        <w:pStyle w:val="Question-Testimony"/>
      </w:pPr>
      <w:r w:rsidRPr="007E50F7">
        <w:t>Q.</w:t>
      </w:r>
      <w:r w:rsidRPr="007E50F7">
        <w:tab/>
        <w:t>Please summarize your recommendation</w:t>
      </w:r>
      <w:r w:rsidR="004003A6" w:rsidRPr="007E50F7">
        <w:t>s</w:t>
      </w:r>
      <w:r w:rsidRPr="007E50F7">
        <w:t xml:space="preserve"> with respect to </w:t>
      </w:r>
      <w:r w:rsidR="00C838BF" w:rsidRPr="007E50F7">
        <w:t xml:space="preserve">the </w:t>
      </w:r>
      <w:r w:rsidR="00891A10" w:rsidRPr="007E50F7">
        <w:t>electric</w:t>
      </w:r>
      <w:r w:rsidRPr="007E50F7">
        <w:t xml:space="preserve"> </w:t>
      </w:r>
      <w:r w:rsidR="004003A6" w:rsidRPr="007E50F7">
        <w:t>cost of service</w:t>
      </w:r>
      <w:r w:rsidR="00C838BF" w:rsidRPr="007E50F7">
        <w:t xml:space="preserve"> study</w:t>
      </w:r>
      <w:r w:rsidR="004003A6" w:rsidRPr="007E50F7">
        <w:t xml:space="preserve">, </w:t>
      </w:r>
      <w:r w:rsidRPr="007E50F7">
        <w:t>revenue allocation</w:t>
      </w:r>
      <w:r w:rsidR="0092519E" w:rsidRPr="007E50F7">
        <w:t>,</w:t>
      </w:r>
      <w:r w:rsidRPr="007E50F7">
        <w:t xml:space="preserve"> and rate design</w:t>
      </w:r>
      <w:r w:rsidR="001B527C" w:rsidRPr="007E50F7">
        <w:t>.</w:t>
      </w:r>
    </w:p>
    <w:p w14:paraId="6CFC0BBF" w14:textId="77777777" w:rsidR="006437EC" w:rsidRPr="007E50F7" w:rsidRDefault="00FC044E" w:rsidP="00FC044E">
      <w:pPr>
        <w:pStyle w:val="Answer-Testimony"/>
      </w:pPr>
      <w:r w:rsidRPr="007E50F7">
        <w:t>A.</w:t>
      </w:r>
      <w:r w:rsidRPr="007E50F7">
        <w:tab/>
      </w:r>
      <w:r w:rsidR="002A1C15" w:rsidRPr="007E50F7">
        <w:t xml:space="preserve">The </w:t>
      </w:r>
      <w:r w:rsidR="003831A5" w:rsidRPr="007E50F7">
        <w:t>C</w:t>
      </w:r>
      <w:r w:rsidR="002A1C15" w:rsidRPr="007E50F7">
        <w:t xml:space="preserve">ompany’s </w:t>
      </w:r>
      <w:r w:rsidR="00794B0F" w:rsidRPr="007E50F7">
        <w:t xml:space="preserve">electric </w:t>
      </w:r>
      <w:r w:rsidR="008A14BC" w:rsidRPr="007E50F7">
        <w:t>cost of service</w:t>
      </w:r>
      <w:r w:rsidR="00256C92" w:rsidRPr="007E50F7">
        <w:t xml:space="preserve"> study</w:t>
      </w:r>
      <w:r w:rsidR="000F743B" w:rsidRPr="007E50F7">
        <w:rPr>
          <w:rStyle w:val="FootnoteReference"/>
        </w:rPr>
        <w:footnoteReference w:id="1"/>
      </w:r>
      <w:r w:rsidR="002A1C15" w:rsidRPr="007E50F7">
        <w:t xml:space="preserve"> fairly presents the costs imposed on the system by the customers on each rate schedule</w:t>
      </w:r>
      <w:r w:rsidR="006437EC" w:rsidRPr="007E50F7">
        <w:t>.  Staff takes no exception to the Company’s electric cost of service study.</w:t>
      </w:r>
    </w:p>
    <w:p w14:paraId="6CFC0BC0" w14:textId="77777777" w:rsidR="006437EC" w:rsidRPr="007E50F7" w:rsidRDefault="006437EC" w:rsidP="00FC044E">
      <w:pPr>
        <w:pStyle w:val="Answer-Testimony"/>
      </w:pPr>
      <w:r w:rsidRPr="007E50F7">
        <w:tab/>
      </w:r>
      <w:r w:rsidRPr="007E50F7">
        <w:tab/>
        <w:t xml:space="preserve">With respect to revenue allocation, Staff proposes a rate </w:t>
      </w:r>
      <w:r w:rsidR="001F4EBF" w:rsidRPr="007E50F7">
        <w:t>spread</w:t>
      </w:r>
      <w:r w:rsidRPr="007E50F7">
        <w:t xml:space="preserve"> that is consistent with the cost of service study results and principles of cost causation.  By </w:t>
      </w:r>
      <w:r w:rsidR="001F4EBF" w:rsidRPr="007E50F7">
        <w:lastRenderedPageBreak/>
        <w:t>contrast, the</w:t>
      </w:r>
      <w:r w:rsidR="008A14BC" w:rsidRPr="007E50F7">
        <w:t xml:space="preserve"> Company </w:t>
      </w:r>
      <w:r w:rsidR="001F4EBF" w:rsidRPr="007E50F7">
        <w:t>proposes</w:t>
      </w:r>
      <w:r w:rsidRPr="007E50F7">
        <w:t xml:space="preserve"> a </w:t>
      </w:r>
      <w:r w:rsidR="008A14BC" w:rsidRPr="007E50F7">
        <w:t xml:space="preserve">revenue allocation </w:t>
      </w:r>
      <w:r w:rsidRPr="007E50F7">
        <w:t xml:space="preserve">that perpetuates </w:t>
      </w:r>
      <w:r w:rsidR="008A14BC" w:rsidRPr="007E50F7">
        <w:t>inequities</w:t>
      </w:r>
      <w:r w:rsidR="00996BA3" w:rsidRPr="007E50F7">
        <w:t xml:space="preserve"> between rate schedules.</w:t>
      </w:r>
    </w:p>
    <w:p w14:paraId="6CFC0BC1" w14:textId="77777777" w:rsidR="00C74494" w:rsidRPr="007E50F7" w:rsidRDefault="006437EC" w:rsidP="00C74494">
      <w:pPr>
        <w:pStyle w:val="Answer-Testimony"/>
      </w:pPr>
      <w:r w:rsidRPr="007E50F7">
        <w:tab/>
      </w:r>
      <w:r w:rsidRPr="007E50F7">
        <w:tab/>
      </w:r>
      <w:r w:rsidR="00F45F78" w:rsidRPr="007E50F7">
        <w:t xml:space="preserve">As for </w:t>
      </w:r>
      <w:r w:rsidRPr="007E50F7">
        <w:t xml:space="preserve">electric </w:t>
      </w:r>
      <w:r w:rsidR="00F45F78" w:rsidRPr="007E50F7">
        <w:t xml:space="preserve">rate design, Staff </w:t>
      </w:r>
      <w:r w:rsidR="003831A5" w:rsidRPr="007E50F7">
        <w:t>recommend</w:t>
      </w:r>
      <w:r w:rsidR="00250327" w:rsidRPr="007E50F7">
        <w:t>s</w:t>
      </w:r>
      <w:r w:rsidR="00D7546E" w:rsidRPr="007E50F7">
        <w:t xml:space="preserve"> </w:t>
      </w:r>
      <w:r w:rsidR="00C74494" w:rsidRPr="007E50F7">
        <w:t>increas</w:t>
      </w:r>
      <w:r w:rsidR="0076547E" w:rsidRPr="007E50F7">
        <w:t>e</w:t>
      </w:r>
      <w:r w:rsidR="00C74494" w:rsidRPr="007E50F7">
        <w:t xml:space="preserve"> the monthly customer charge to </w:t>
      </w:r>
      <w:r w:rsidR="0076547E" w:rsidRPr="007E50F7">
        <w:t xml:space="preserve">$7.34 to </w:t>
      </w:r>
      <w:r w:rsidR="00C74494" w:rsidRPr="007E50F7">
        <w:t>include more fixed cost</w:t>
      </w:r>
      <w:r w:rsidR="0076547E" w:rsidRPr="007E50F7">
        <w:t xml:space="preserve"> recovery</w:t>
      </w:r>
      <w:r w:rsidR="00C74494" w:rsidRPr="007E50F7">
        <w:t xml:space="preserve">, </w:t>
      </w:r>
      <w:r w:rsidR="00F45F78" w:rsidRPr="007E50F7">
        <w:t>adjusting the volumetric blocks for Residential Schedule 1</w:t>
      </w:r>
      <w:r w:rsidR="00C74494" w:rsidRPr="007E50F7">
        <w:t>, and set</w:t>
      </w:r>
      <w:r w:rsidR="00996BA3" w:rsidRPr="007E50F7">
        <w:t>ting</w:t>
      </w:r>
      <w:r w:rsidR="00C74494" w:rsidRPr="007E50F7">
        <w:t xml:space="preserve"> a uniform percentage increase for volumetric rates in</w:t>
      </w:r>
      <w:r w:rsidR="00F45F78" w:rsidRPr="007E50F7">
        <w:t xml:space="preserve"> Residential Schedule 1</w:t>
      </w:r>
      <w:r w:rsidR="00C74494" w:rsidRPr="007E50F7">
        <w:t>.</w:t>
      </w:r>
    </w:p>
    <w:p w14:paraId="6CFC0BC2" w14:textId="77777777" w:rsidR="00167B0D" w:rsidRPr="007E50F7" w:rsidRDefault="00167B0D" w:rsidP="00167B0D">
      <w:pPr>
        <w:pStyle w:val="Answer-Testimony"/>
      </w:pPr>
    </w:p>
    <w:p w14:paraId="6CFC0BC3" w14:textId="77777777" w:rsidR="00167B0D" w:rsidRPr="007E50F7" w:rsidRDefault="00167B0D" w:rsidP="00167B0D">
      <w:pPr>
        <w:pStyle w:val="Question-Testimony"/>
      </w:pPr>
      <w:r w:rsidRPr="007E50F7">
        <w:t>Q.</w:t>
      </w:r>
      <w:r w:rsidRPr="007E50F7">
        <w:tab/>
        <w:t xml:space="preserve">Please summarize </w:t>
      </w:r>
      <w:r w:rsidR="006437EC" w:rsidRPr="007E50F7">
        <w:t>Staff’s</w:t>
      </w:r>
      <w:r w:rsidRPr="007E50F7">
        <w:t xml:space="preserve"> recommendation</w:t>
      </w:r>
      <w:r w:rsidR="004003A6" w:rsidRPr="007E50F7">
        <w:t>s</w:t>
      </w:r>
      <w:r w:rsidRPr="007E50F7">
        <w:t xml:space="preserve"> </w:t>
      </w:r>
      <w:r w:rsidR="00256C92" w:rsidRPr="007E50F7">
        <w:t xml:space="preserve">for </w:t>
      </w:r>
      <w:r w:rsidR="00C838BF" w:rsidRPr="007E50F7">
        <w:t xml:space="preserve">the </w:t>
      </w:r>
      <w:r w:rsidRPr="007E50F7">
        <w:t xml:space="preserve">natural gas </w:t>
      </w:r>
      <w:r w:rsidR="004003A6" w:rsidRPr="007E50F7">
        <w:t>cost of service</w:t>
      </w:r>
      <w:r w:rsidR="00C838BF" w:rsidRPr="007E50F7">
        <w:t xml:space="preserve"> study</w:t>
      </w:r>
      <w:r w:rsidR="004003A6" w:rsidRPr="007E50F7">
        <w:t xml:space="preserve">, </w:t>
      </w:r>
      <w:r w:rsidRPr="007E50F7">
        <w:t>revenue allocation</w:t>
      </w:r>
      <w:r w:rsidR="0092519E" w:rsidRPr="007E50F7">
        <w:t>,</w:t>
      </w:r>
      <w:r w:rsidRPr="007E50F7">
        <w:t xml:space="preserve"> and rate design.</w:t>
      </w:r>
    </w:p>
    <w:p w14:paraId="6CFC0BC4" w14:textId="77777777" w:rsidR="006437EC" w:rsidRPr="007E50F7" w:rsidRDefault="00167B0D" w:rsidP="004759D8">
      <w:pPr>
        <w:pStyle w:val="Answer-Testimony"/>
      </w:pPr>
      <w:r w:rsidRPr="007E50F7">
        <w:t>A.</w:t>
      </w:r>
      <w:r w:rsidRPr="007E50F7">
        <w:tab/>
      </w:r>
      <w:r w:rsidR="00C838BF" w:rsidRPr="007E50F7">
        <w:t>The Company</w:t>
      </w:r>
      <w:r w:rsidR="00D7546E" w:rsidRPr="007E50F7">
        <w:t xml:space="preserve">’s </w:t>
      </w:r>
      <w:r w:rsidR="0044178F" w:rsidRPr="007E50F7">
        <w:t xml:space="preserve">natural gas </w:t>
      </w:r>
      <w:r w:rsidR="00D7546E" w:rsidRPr="007E50F7">
        <w:t>cost of service study reasonably functionalizes, classifies and allocates capital investments and operating expenses to each rate schedule</w:t>
      </w:r>
      <w:r w:rsidR="00C838BF" w:rsidRPr="007E50F7">
        <w:t>, except for the Company’s classification of gas distribution mains</w:t>
      </w:r>
      <w:r w:rsidR="00D7546E" w:rsidRPr="007E50F7">
        <w:t xml:space="preserve">.  </w:t>
      </w:r>
      <w:r w:rsidR="006437EC" w:rsidRPr="007E50F7">
        <w:t>Staff classifies these mains differently to reflect the fact that</w:t>
      </w:r>
      <w:r w:rsidR="0040543E" w:rsidRPr="007E50F7">
        <w:t xml:space="preserve"> large load customers (i.e., Schedules 131, 132, </w:t>
      </w:r>
      <w:r w:rsidR="00EA397E" w:rsidRPr="007E50F7">
        <w:t xml:space="preserve">and </w:t>
      </w:r>
      <w:r w:rsidR="0040543E" w:rsidRPr="007E50F7">
        <w:t>146) benefit from the reliability and capacity of the system that the smaller pipe</w:t>
      </w:r>
      <w:r w:rsidR="00EA397E" w:rsidRPr="007E50F7">
        <w:t>s</w:t>
      </w:r>
      <w:r w:rsidR="0040543E" w:rsidRPr="007E50F7">
        <w:t>, less than four inches in diameter, deliver.</w:t>
      </w:r>
    </w:p>
    <w:p w14:paraId="6CFC0BC5" w14:textId="77777777" w:rsidR="006437EC" w:rsidRPr="007E50F7" w:rsidRDefault="006437EC" w:rsidP="004759D8">
      <w:pPr>
        <w:pStyle w:val="Answer-Testimony"/>
      </w:pPr>
      <w:r w:rsidRPr="007E50F7">
        <w:tab/>
      </w:r>
      <w:r w:rsidRPr="007E50F7">
        <w:tab/>
        <w:t xml:space="preserve">This change in the cost study leads Staff to recommend a </w:t>
      </w:r>
      <w:r w:rsidR="00F5655A" w:rsidRPr="007E50F7">
        <w:t>revenue allocation differ</w:t>
      </w:r>
      <w:r w:rsidRPr="007E50F7">
        <w:t xml:space="preserve">ent </w:t>
      </w:r>
      <w:r w:rsidR="00F5655A" w:rsidRPr="007E50F7">
        <w:t xml:space="preserve">from the equal percentage method proposed by the Company.  </w:t>
      </w:r>
      <w:r w:rsidRPr="007E50F7">
        <w:t xml:space="preserve">Staff recommends </w:t>
      </w:r>
      <w:r w:rsidR="00FC5EF2" w:rsidRPr="007E50F7">
        <w:t xml:space="preserve">Interruptible </w:t>
      </w:r>
      <w:r w:rsidR="007D2FE0" w:rsidRPr="007E50F7">
        <w:t>Schedules 131</w:t>
      </w:r>
      <w:r w:rsidR="00FC5EF2" w:rsidRPr="007E50F7">
        <w:t xml:space="preserve"> and</w:t>
      </w:r>
      <w:r w:rsidR="007D2FE0" w:rsidRPr="007E50F7">
        <w:t xml:space="preserve"> 132 and </w:t>
      </w:r>
      <w:r w:rsidR="00FC5EF2" w:rsidRPr="007E50F7">
        <w:t xml:space="preserve">Transportation Schedule </w:t>
      </w:r>
      <w:r w:rsidR="007D2FE0" w:rsidRPr="007E50F7">
        <w:t>146 get</w:t>
      </w:r>
      <w:r w:rsidR="00FC5EF2" w:rsidRPr="007E50F7">
        <w:t>ting</w:t>
      </w:r>
      <w:r w:rsidR="007D2FE0" w:rsidRPr="007E50F7">
        <w:t xml:space="preserve"> a higher than average increase, while </w:t>
      </w:r>
      <w:r w:rsidR="00FC5EF2" w:rsidRPr="007E50F7">
        <w:t xml:space="preserve">Large General Service </w:t>
      </w:r>
      <w:r w:rsidR="007D2FE0" w:rsidRPr="007E50F7">
        <w:t>Schedules 111</w:t>
      </w:r>
      <w:r w:rsidR="00FC5EF2" w:rsidRPr="007E50F7">
        <w:t xml:space="preserve"> and</w:t>
      </w:r>
      <w:r w:rsidR="007D2FE0" w:rsidRPr="007E50F7">
        <w:t xml:space="preserve"> 112 </w:t>
      </w:r>
      <w:r w:rsidR="00FC5EF2" w:rsidRPr="007E50F7">
        <w:t xml:space="preserve">and Extra Large General Service Schedules </w:t>
      </w:r>
      <w:r w:rsidR="007D2FE0" w:rsidRPr="007E50F7">
        <w:t>121 and 122 get a lower than average increase</w:t>
      </w:r>
      <w:r w:rsidR="002257DF" w:rsidRPr="007E50F7">
        <w:t>, while General Service Schedule 101 gets an average increase</w:t>
      </w:r>
      <w:r w:rsidR="007D2FE0" w:rsidRPr="007E50F7">
        <w:t>.</w:t>
      </w:r>
    </w:p>
    <w:p w14:paraId="6CFC0BC6" w14:textId="77777777" w:rsidR="00794B0F" w:rsidRPr="007E50F7" w:rsidRDefault="006437EC" w:rsidP="004759D8">
      <w:pPr>
        <w:pStyle w:val="Answer-Testimony"/>
      </w:pPr>
      <w:r w:rsidRPr="007E50F7">
        <w:tab/>
      </w:r>
      <w:r w:rsidRPr="007E50F7">
        <w:tab/>
      </w:r>
      <w:r w:rsidR="00CD6CFF" w:rsidRPr="007E50F7">
        <w:t>As f</w:t>
      </w:r>
      <w:r w:rsidR="00794B0F" w:rsidRPr="007E50F7">
        <w:t>or</w:t>
      </w:r>
      <w:r w:rsidR="00EA397E" w:rsidRPr="007E50F7">
        <w:t xml:space="preserve"> natural</w:t>
      </w:r>
      <w:r w:rsidR="00794B0F" w:rsidRPr="007E50F7">
        <w:t xml:space="preserve"> </w:t>
      </w:r>
      <w:r w:rsidRPr="007E50F7">
        <w:t xml:space="preserve">gas </w:t>
      </w:r>
      <w:r w:rsidR="00794B0F" w:rsidRPr="007E50F7">
        <w:t xml:space="preserve">rate </w:t>
      </w:r>
      <w:r w:rsidR="00167B0D" w:rsidRPr="007E50F7">
        <w:t>design</w:t>
      </w:r>
      <w:r w:rsidR="00CD6CFF" w:rsidRPr="007E50F7">
        <w:t xml:space="preserve">, </w:t>
      </w:r>
      <w:r w:rsidR="00EA397E" w:rsidRPr="007E50F7">
        <w:t>Staff recommends the Commission increas</w:t>
      </w:r>
      <w:r w:rsidR="0076547E" w:rsidRPr="007E50F7">
        <w:t xml:space="preserve">e </w:t>
      </w:r>
      <w:r w:rsidR="00EA397E" w:rsidRPr="007E50F7">
        <w:t>the monthly customer charge to</w:t>
      </w:r>
      <w:r w:rsidR="0076547E" w:rsidRPr="007E50F7">
        <w:t xml:space="preserve"> $10.98 to</w:t>
      </w:r>
      <w:r w:rsidR="00EA397E" w:rsidRPr="007E50F7">
        <w:t xml:space="preserve"> </w:t>
      </w:r>
      <w:r w:rsidR="009D1A98" w:rsidRPr="007E50F7">
        <w:t xml:space="preserve">recover more </w:t>
      </w:r>
      <w:r w:rsidR="00EA397E" w:rsidRPr="007E50F7">
        <w:t>fixed cost</w:t>
      </w:r>
      <w:r w:rsidR="009D1A98" w:rsidRPr="007E50F7">
        <w:t>s</w:t>
      </w:r>
      <w:r w:rsidR="0076547E" w:rsidRPr="007E50F7">
        <w:t xml:space="preserve"> </w:t>
      </w:r>
      <w:r w:rsidR="009D1A98" w:rsidRPr="007E50F7">
        <w:t xml:space="preserve">through the basic </w:t>
      </w:r>
      <w:r w:rsidR="009D1A98" w:rsidRPr="007E50F7">
        <w:lastRenderedPageBreak/>
        <w:t>charge</w:t>
      </w:r>
      <w:r w:rsidR="00EA397E" w:rsidRPr="007E50F7">
        <w:t xml:space="preserve">, and </w:t>
      </w:r>
      <w:r w:rsidR="00DC6916" w:rsidRPr="007E50F7">
        <w:t>creat</w:t>
      </w:r>
      <w:r w:rsidRPr="007E50F7">
        <w:t>e</w:t>
      </w:r>
      <w:r w:rsidR="00CD6CFF" w:rsidRPr="007E50F7">
        <w:t xml:space="preserve"> a </w:t>
      </w:r>
      <w:r w:rsidR="008D7EB0" w:rsidRPr="007E50F7">
        <w:t xml:space="preserve">new </w:t>
      </w:r>
      <w:r w:rsidR="00CD6CFF" w:rsidRPr="007E50F7">
        <w:t>volumetric block</w:t>
      </w:r>
      <w:r w:rsidR="00DC6916" w:rsidRPr="007E50F7">
        <w:t xml:space="preserve"> </w:t>
      </w:r>
      <w:r w:rsidR="009D1A98" w:rsidRPr="007E50F7">
        <w:t xml:space="preserve">and rate </w:t>
      </w:r>
      <w:r w:rsidR="008D7EB0" w:rsidRPr="007E50F7">
        <w:t xml:space="preserve">that starts </w:t>
      </w:r>
      <w:r w:rsidR="00DC6916" w:rsidRPr="007E50F7">
        <w:t>at 70 therms</w:t>
      </w:r>
      <w:r w:rsidR="00CD6CFF" w:rsidRPr="007E50F7">
        <w:t xml:space="preserve"> for General Service Schedule 101</w:t>
      </w:r>
      <w:r w:rsidR="00794B0F" w:rsidRPr="007E50F7">
        <w:t>.</w:t>
      </w:r>
    </w:p>
    <w:p w14:paraId="6CFC0BC7" w14:textId="77777777" w:rsidR="00757F0D" w:rsidRPr="007E50F7" w:rsidRDefault="00757F0D" w:rsidP="00757F0D">
      <w:pPr>
        <w:pStyle w:val="Answer-Testimony"/>
      </w:pPr>
    </w:p>
    <w:p w14:paraId="6CFC0BC8" w14:textId="77777777" w:rsidR="00757F0D" w:rsidRPr="007E50F7" w:rsidRDefault="00757F0D" w:rsidP="00757F0D">
      <w:pPr>
        <w:pStyle w:val="Question-Testimony"/>
      </w:pPr>
      <w:r w:rsidRPr="007E50F7">
        <w:t>Q.</w:t>
      </w:r>
      <w:r w:rsidRPr="007E50F7">
        <w:tab/>
        <w:t>Do you sponsor any exhibits in support of Staff’s recommendations?</w:t>
      </w:r>
    </w:p>
    <w:p w14:paraId="6CFC0BC9" w14:textId="77777777" w:rsidR="00757F0D" w:rsidRPr="007E50F7" w:rsidRDefault="00757F0D" w:rsidP="00757F0D">
      <w:pPr>
        <w:pStyle w:val="Answer-Testimony"/>
      </w:pPr>
      <w:r w:rsidRPr="007E50F7">
        <w:t>A.</w:t>
      </w:r>
      <w:r w:rsidRPr="007E50F7">
        <w:tab/>
        <w:t>Yes, I sponsor the following exhibits in support of my testimony:</w:t>
      </w:r>
    </w:p>
    <w:p w14:paraId="6CFC0BCA" w14:textId="77777777" w:rsidR="001E1863" w:rsidRPr="007E50F7" w:rsidRDefault="001E1863" w:rsidP="001E1863">
      <w:pPr>
        <w:pStyle w:val="Answer-Testimony"/>
        <w:numPr>
          <w:ilvl w:val="0"/>
          <w:numId w:val="10"/>
        </w:numPr>
      </w:pPr>
      <w:r w:rsidRPr="007E50F7">
        <w:t>Exhibit No.</w:t>
      </w:r>
      <w:r w:rsidR="00940838" w:rsidRPr="007E50F7">
        <w:t xml:space="preserve"> _</w:t>
      </w:r>
      <w:r w:rsidRPr="007E50F7">
        <w:t>__</w:t>
      </w:r>
      <w:r w:rsidR="00940838" w:rsidRPr="007E50F7">
        <w:t xml:space="preserve"> </w:t>
      </w:r>
      <w:r w:rsidR="00E75CCC" w:rsidRPr="007E50F7">
        <w:t>(</w:t>
      </w:r>
      <w:proofErr w:type="spellStart"/>
      <w:r w:rsidR="00E75CCC" w:rsidRPr="007E50F7">
        <w:t>CTM</w:t>
      </w:r>
      <w:proofErr w:type="spellEnd"/>
      <w:r w:rsidR="00E75CCC" w:rsidRPr="007E50F7">
        <w:t>-</w:t>
      </w:r>
      <w:r w:rsidR="005C0100" w:rsidRPr="007E50F7">
        <w:t>2</w:t>
      </w:r>
      <w:r w:rsidRPr="007E50F7">
        <w:t>), Electric</w:t>
      </w:r>
      <w:r w:rsidR="009E0103" w:rsidRPr="007E50F7">
        <w:t xml:space="preserve"> Cost of Service</w:t>
      </w:r>
    </w:p>
    <w:p w14:paraId="6CFC0BCB" w14:textId="77777777" w:rsidR="001E1863" w:rsidRPr="007E50F7" w:rsidRDefault="001E1863" w:rsidP="001E1863">
      <w:pPr>
        <w:pStyle w:val="Answer-Testimony"/>
        <w:numPr>
          <w:ilvl w:val="0"/>
          <w:numId w:val="10"/>
        </w:numPr>
      </w:pPr>
      <w:r w:rsidRPr="007E50F7">
        <w:t>Exhibit No.</w:t>
      </w:r>
      <w:r w:rsidR="00940838" w:rsidRPr="007E50F7">
        <w:t xml:space="preserve"> </w:t>
      </w:r>
      <w:r w:rsidRPr="007E50F7">
        <w:t>__</w:t>
      </w:r>
      <w:r w:rsidR="00940838" w:rsidRPr="007E50F7">
        <w:t xml:space="preserve">_ </w:t>
      </w:r>
      <w:r w:rsidR="00E75CCC" w:rsidRPr="007E50F7">
        <w:t>(</w:t>
      </w:r>
      <w:proofErr w:type="spellStart"/>
      <w:r w:rsidR="00E75CCC" w:rsidRPr="007E50F7">
        <w:t>CTM</w:t>
      </w:r>
      <w:proofErr w:type="spellEnd"/>
      <w:r w:rsidR="00E75CCC" w:rsidRPr="007E50F7">
        <w:t>-</w:t>
      </w:r>
      <w:r w:rsidR="005C0100" w:rsidRPr="007E50F7">
        <w:t>3</w:t>
      </w:r>
      <w:r w:rsidRPr="007E50F7">
        <w:t>), Electric Revenue Allocation and Rate Design</w:t>
      </w:r>
    </w:p>
    <w:p w14:paraId="6CFC0BCC" w14:textId="77777777" w:rsidR="004E747D" w:rsidRPr="007E50F7" w:rsidRDefault="004E747D" w:rsidP="004E747D">
      <w:pPr>
        <w:pStyle w:val="Answer-Testimony"/>
        <w:numPr>
          <w:ilvl w:val="0"/>
          <w:numId w:val="10"/>
        </w:numPr>
      </w:pPr>
      <w:r w:rsidRPr="007E50F7">
        <w:t>Exhibit No. ___</w:t>
      </w:r>
      <w:r w:rsidR="00E75CCC" w:rsidRPr="007E50F7">
        <w:t xml:space="preserve"> (</w:t>
      </w:r>
      <w:proofErr w:type="spellStart"/>
      <w:r w:rsidR="00E75CCC" w:rsidRPr="007E50F7">
        <w:t>CTM</w:t>
      </w:r>
      <w:proofErr w:type="spellEnd"/>
      <w:r w:rsidR="00E75CCC" w:rsidRPr="007E50F7">
        <w:t>-</w:t>
      </w:r>
      <w:r w:rsidR="005C0100" w:rsidRPr="007E50F7">
        <w:t>4</w:t>
      </w:r>
      <w:r w:rsidRPr="007E50F7">
        <w:t>), Electric Bill Frequency and Histogram Analysis</w:t>
      </w:r>
    </w:p>
    <w:p w14:paraId="6CFC0BCD" w14:textId="77777777" w:rsidR="004E747D" w:rsidRPr="007E50F7" w:rsidRDefault="004E747D" w:rsidP="004E747D">
      <w:pPr>
        <w:pStyle w:val="Answer-Testimony"/>
        <w:numPr>
          <w:ilvl w:val="0"/>
          <w:numId w:val="10"/>
        </w:numPr>
      </w:pPr>
      <w:r w:rsidRPr="007E50F7">
        <w:t>Exhibit No. ___</w:t>
      </w:r>
      <w:r w:rsidR="00E75CCC" w:rsidRPr="007E50F7">
        <w:t xml:space="preserve"> (</w:t>
      </w:r>
      <w:proofErr w:type="spellStart"/>
      <w:r w:rsidR="00E75CCC" w:rsidRPr="007E50F7">
        <w:t>CTM</w:t>
      </w:r>
      <w:proofErr w:type="spellEnd"/>
      <w:r w:rsidR="00E75CCC" w:rsidRPr="007E50F7">
        <w:t>-</w:t>
      </w:r>
      <w:r w:rsidR="005C0100" w:rsidRPr="007E50F7">
        <w:t>5</w:t>
      </w:r>
      <w:r w:rsidRPr="007E50F7">
        <w:t>), Natural Gas Cost of Service</w:t>
      </w:r>
    </w:p>
    <w:p w14:paraId="6CFC0BCE" w14:textId="77777777" w:rsidR="001E1863" w:rsidRPr="007E50F7" w:rsidRDefault="001E1863" w:rsidP="001E1863">
      <w:pPr>
        <w:pStyle w:val="Answer-Testimony"/>
        <w:numPr>
          <w:ilvl w:val="0"/>
          <w:numId w:val="10"/>
        </w:numPr>
      </w:pPr>
      <w:r w:rsidRPr="007E50F7">
        <w:t>Exhibit No.</w:t>
      </w:r>
      <w:r w:rsidR="00940838" w:rsidRPr="007E50F7">
        <w:t xml:space="preserve"> _</w:t>
      </w:r>
      <w:r w:rsidRPr="007E50F7">
        <w:t>__</w:t>
      </w:r>
      <w:r w:rsidR="00940838" w:rsidRPr="007E50F7">
        <w:t xml:space="preserve"> </w:t>
      </w:r>
      <w:r w:rsidR="00E75CCC" w:rsidRPr="007E50F7">
        <w:t>(</w:t>
      </w:r>
      <w:proofErr w:type="spellStart"/>
      <w:r w:rsidR="00E75CCC" w:rsidRPr="007E50F7">
        <w:t>CTM</w:t>
      </w:r>
      <w:proofErr w:type="spellEnd"/>
      <w:r w:rsidR="00E75CCC" w:rsidRPr="007E50F7">
        <w:t>-</w:t>
      </w:r>
      <w:r w:rsidR="005C0100" w:rsidRPr="007E50F7">
        <w:t>6</w:t>
      </w:r>
      <w:r w:rsidRPr="007E50F7">
        <w:t xml:space="preserve">), </w:t>
      </w:r>
      <w:r w:rsidR="009E0103" w:rsidRPr="007E50F7">
        <w:t>Natural Gas</w:t>
      </w:r>
      <w:r w:rsidRPr="007E50F7">
        <w:t xml:space="preserve"> Revenue Allocation and Rate Design</w:t>
      </w:r>
    </w:p>
    <w:p w14:paraId="6CFC0BCF" w14:textId="77777777" w:rsidR="001E1863" w:rsidRPr="007E50F7" w:rsidRDefault="001E1863" w:rsidP="001E1863">
      <w:pPr>
        <w:pStyle w:val="Answer-Testimony"/>
        <w:numPr>
          <w:ilvl w:val="0"/>
          <w:numId w:val="10"/>
        </w:numPr>
      </w:pPr>
      <w:r w:rsidRPr="007E50F7">
        <w:t>Exhibit No.</w:t>
      </w:r>
      <w:r w:rsidR="00940838" w:rsidRPr="007E50F7">
        <w:t xml:space="preserve"> </w:t>
      </w:r>
      <w:r w:rsidRPr="007E50F7">
        <w:t>__</w:t>
      </w:r>
      <w:r w:rsidR="00940838" w:rsidRPr="007E50F7">
        <w:t xml:space="preserve">_ </w:t>
      </w:r>
      <w:r w:rsidR="00E75CCC" w:rsidRPr="007E50F7">
        <w:t>(</w:t>
      </w:r>
      <w:proofErr w:type="spellStart"/>
      <w:r w:rsidR="00E75CCC" w:rsidRPr="007E50F7">
        <w:t>CTM</w:t>
      </w:r>
      <w:proofErr w:type="spellEnd"/>
      <w:r w:rsidR="00E75CCC" w:rsidRPr="007E50F7">
        <w:t>-</w:t>
      </w:r>
      <w:r w:rsidR="005C0100" w:rsidRPr="007E50F7">
        <w:t>7</w:t>
      </w:r>
      <w:r w:rsidRPr="007E50F7">
        <w:t xml:space="preserve">), </w:t>
      </w:r>
      <w:r w:rsidR="009E0103" w:rsidRPr="007E50F7">
        <w:t>Natural Gas Bill Frequency and Histogram Analysis</w:t>
      </w:r>
    </w:p>
    <w:p w14:paraId="6CFC0BD0" w14:textId="77777777" w:rsidR="001E1863" w:rsidRPr="007E50F7" w:rsidRDefault="001E1863" w:rsidP="001E1863">
      <w:pPr>
        <w:pStyle w:val="Answer-Testimony"/>
        <w:numPr>
          <w:ilvl w:val="0"/>
          <w:numId w:val="10"/>
        </w:numPr>
      </w:pPr>
      <w:r w:rsidRPr="007E50F7">
        <w:t>Exhibit No.</w:t>
      </w:r>
      <w:r w:rsidR="00940838" w:rsidRPr="007E50F7">
        <w:t xml:space="preserve"> </w:t>
      </w:r>
      <w:r w:rsidRPr="007E50F7">
        <w:t>__</w:t>
      </w:r>
      <w:r w:rsidR="00940838" w:rsidRPr="007E50F7">
        <w:t xml:space="preserve">_ </w:t>
      </w:r>
      <w:r w:rsidRPr="007E50F7">
        <w:t>(</w:t>
      </w:r>
      <w:proofErr w:type="spellStart"/>
      <w:r w:rsidR="00E75CCC" w:rsidRPr="007E50F7">
        <w:t>CTM</w:t>
      </w:r>
      <w:proofErr w:type="spellEnd"/>
      <w:r w:rsidR="00E75CCC" w:rsidRPr="007E50F7">
        <w:t>-</w:t>
      </w:r>
      <w:r w:rsidR="005C0100" w:rsidRPr="007E50F7">
        <w:t>8</w:t>
      </w:r>
      <w:r w:rsidRPr="007E50F7">
        <w:t xml:space="preserve">), </w:t>
      </w:r>
      <w:r w:rsidR="009E0103" w:rsidRPr="007E50F7">
        <w:t>Allocation of Natural Gas Distribution Mains</w:t>
      </w:r>
    </w:p>
    <w:p w14:paraId="6CFC0BD1" w14:textId="77777777" w:rsidR="00543142" w:rsidRPr="007E50F7" w:rsidRDefault="00543142" w:rsidP="00543142">
      <w:pPr>
        <w:pStyle w:val="BodyTextIndent"/>
      </w:pPr>
    </w:p>
    <w:p w14:paraId="6CFC0BD2" w14:textId="77777777" w:rsidR="00543142" w:rsidRPr="007E50F7" w:rsidRDefault="00543142" w:rsidP="00543142">
      <w:pPr>
        <w:pStyle w:val="Heading1"/>
      </w:pPr>
      <w:bookmarkStart w:id="3" w:name="_Toc334018582"/>
      <w:bookmarkStart w:id="4" w:name="_Toc335809610"/>
      <w:proofErr w:type="spellStart"/>
      <w:r w:rsidRPr="007E50F7">
        <w:t>ALDYL</w:t>
      </w:r>
      <w:proofErr w:type="spellEnd"/>
      <w:r w:rsidRPr="007E50F7">
        <w:t>-A PIPE REPLACEMENT PROGRAM</w:t>
      </w:r>
      <w:bookmarkEnd w:id="3"/>
      <w:bookmarkEnd w:id="4"/>
    </w:p>
    <w:p w14:paraId="6CFC0BD3" w14:textId="77777777" w:rsidR="00543142" w:rsidRPr="007E50F7" w:rsidRDefault="00543142" w:rsidP="00543142">
      <w:pPr>
        <w:spacing w:line="480" w:lineRule="auto"/>
      </w:pPr>
    </w:p>
    <w:p w14:paraId="6CFC0BD4" w14:textId="77777777" w:rsidR="00543142" w:rsidRPr="007E50F7" w:rsidRDefault="00543142" w:rsidP="00543142">
      <w:pPr>
        <w:pStyle w:val="Question-Testimony"/>
      </w:pPr>
      <w:r w:rsidRPr="007E50F7">
        <w:t>Q.</w:t>
      </w:r>
      <w:r w:rsidRPr="007E50F7">
        <w:tab/>
        <w:t xml:space="preserve">What is </w:t>
      </w:r>
      <w:proofErr w:type="spellStart"/>
      <w:r w:rsidRPr="007E50F7">
        <w:t>Aldyl</w:t>
      </w:r>
      <w:proofErr w:type="spellEnd"/>
      <w:r w:rsidRPr="007E50F7">
        <w:t>-A pipe?</w:t>
      </w:r>
    </w:p>
    <w:p w14:paraId="6CFC0BD5" w14:textId="77777777" w:rsidR="00543142" w:rsidRPr="007E50F7" w:rsidRDefault="00543142" w:rsidP="00543142">
      <w:pPr>
        <w:pStyle w:val="Answer-Testimony"/>
      </w:pPr>
      <w:r w:rsidRPr="007E50F7">
        <w:t>A.</w:t>
      </w:r>
      <w:r w:rsidRPr="007E50F7">
        <w:tab/>
      </w:r>
      <w:proofErr w:type="spellStart"/>
      <w:r w:rsidRPr="007E50F7">
        <w:t>Aldyl</w:t>
      </w:r>
      <w:proofErr w:type="spellEnd"/>
      <w:r w:rsidRPr="007E50F7">
        <w:t>-A pipe is the brand name of a certain type of polyethylene pipe manufactured by DuPont.  Avista purchased this pipe from 1968 to 1991.</w:t>
      </w:r>
    </w:p>
    <w:p w14:paraId="6CFC0BD6" w14:textId="77777777" w:rsidR="00543142" w:rsidRPr="007E50F7" w:rsidRDefault="00543142" w:rsidP="00543142">
      <w:pPr>
        <w:pStyle w:val="Answer-Testimony"/>
      </w:pPr>
    </w:p>
    <w:p w14:paraId="6CFC0BD7" w14:textId="77777777" w:rsidR="00543142" w:rsidRPr="007E50F7" w:rsidRDefault="00543142" w:rsidP="00543142">
      <w:pPr>
        <w:pStyle w:val="Question-Testimony"/>
      </w:pPr>
      <w:r w:rsidRPr="007E50F7">
        <w:t>Q.</w:t>
      </w:r>
      <w:r w:rsidRPr="007E50F7">
        <w:tab/>
        <w:t xml:space="preserve">Please describe the Company’s </w:t>
      </w:r>
      <w:proofErr w:type="spellStart"/>
      <w:r w:rsidRPr="007E50F7">
        <w:t>Aldyl</w:t>
      </w:r>
      <w:proofErr w:type="spellEnd"/>
      <w:r w:rsidRPr="007E50F7">
        <w:t>-A pipe replacement program.</w:t>
      </w:r>
    </w:p>
    <w:p w14:paraId="6CFC0BD8" w14:textId="77777777" w:rsidR="00543142" w:rsidRPr="007E50F7" w:rsidRDefault="00543142" w:rsidP="00543142">
      <w:pPr>
        <w:pStyle w:val="Answer-Testimony"/>
      </w:pPr>
      <w:r w:rsidRPr="007E50F7">
        <w:t>A.</w:t>
      </w:r>
      <w:r w:rsidRPr="007E50F7">
        <w:tab/>
        <w:t xml:space="preserve">The Company’s proposed </w:t>
      </w:r>
      <w:proofErr w:type="spellStart"/>
      <w:r w:rsidRPr="007E50F7">
        <w:t>Aldyl</w:t>
      </w:r>
      <w:proofErr w:type="spellEnd"/>
      <w:r w:rsidRPr="007E50F7">
        <w:t xml:space="preserve">-A pipe replacement program is a twenty-year program to remove and replace portions of the DuPont </w:t>
      </w:r>
      <w:proofErr w:type="spellStart"/>
      <w:r w:rsidRPr="007E50F7">
        <w:t>Aldyl</w:t>
      </w:r>
      <w:proofErr w:type="spellEnd"/>
      <w:r w:rsidRPr="007E50F7">
        <w:t xml:space="preserve">-A medium density pipe </w:t>
      </w:r>
      <w:r w:rsidRPr="007E50F7">
        <w:lastRenderedPageBreak/>
        <w:t>and service tees in Avista’s natural gas distribution system in all three states in which Avista offers natural gas service: Washington, Oregon and Idaho.</w:t>
      </w:r>
    </w:p>
    <w:p w14:paraId="6CFC0BD9" w14:textId="77777777" w:rsidR="00543142" w:rsidRPr="007E50F7" w:rsidRDefault="00543142" w:rsidP="00543142">
      <w:pPr>
        <w:pStyle w:val="Answer-Testimony"/>
        <w:ind w:firstLine="720"/>
      </w:pPr>
      <w:r w:rsidRPr="007E50F7">
        <w:t xml:space="preserve">The pipe subject to removal consists of distribution mains and services operating at a maximum operating pressure of 60 psi, with pipe diameters ranging from 1 ¼ to 4 inches.  Approximately 46 percent of this </w:t>
      </w:r>
      <w:proofErr w:type="spellStart"/>
      <w:r w:rsidRPr="007E50F7">
        <w:t>Aldyl</w:t>
      </w:r>
      <w:proofErr w:type="spellEnd"/>
      <w:r w:rsidRPr="007E50F7">
        <w:t>-A pipe is located in Washington State.</w:t>
      </w:r>
      <w:r w:rsidRPr="007E50F7">
        <w:rPr>
          <w:rStyle w:val="FootnoteReference"/>
        </w:rPr>
        <w:footnoteReference w:id="2"/>
      </w:r>
    </w:p>
    <w:p w14:paraId="6CFC0BDA" w14:textId="77777777" w:rsidR="00543142" w:rsidRPr="007E50F7" w:rsidRDefault="00543142" w:rsidP="00543142">
      <w:pPr>
        <w:pStyle w:val="Answer-Testimony"/>
        <w:ind w:firstLine="720"/>
      </w:pPr>
      <w:r w:rsidRPr="007E50F7">
        <w:t xml:space="preserve">Avista does not propose to replace all </w:t>
      </w:r>
      <w:proofErr w:type="spellStart"/>
      <w:r w:rsidRPr="007E50F7">
        <w:t>Aldyl</w:t>
      </w:r>
      <w:proofErr w:type="spellEnd"/>
      <w:r w:rsidRPr="007E50F7">
        <w:t>-A pipe in its system, but rather only service mains</w:t>
      </w:r>
      <w:r w:rsidR="0076547E" w:rsidRPr="007E50F7">
        <w:t xml:space="preserve"> from</w:t>
      </w:r>
      <w:r w:rsidRPr="007E50F7">
        <w:t xml:space="preserve"> 1 ¼ inches in diameter</w:t>
      </w:r>
      <w:r w:rsidR="0076547E" w:rsidRPr="007E50F7">
        <w:t xml:space="preserve"> to mains under six inches</w:t>
      </w:r>
      <w:r w:rsidRPr="007E50F7">
        <w:t xml:space="preserve">.  Avista does not plan to replace </w:t>
      </w:r>
      <w:proofErr w:type="spellStart"/>
      <w:r w:rsidRPr="007E50F7">
        <w:t>Aldyl</w:t>
      </w:r>
      <w:proofErr w:type="spellEnd"/>
      <w:r w:rsidRPr="007E50F7">
        <w:t xml:space="preserve">-A pipe with a diameter smaller than 1 ¼ inches because, according to Avista, this smaller diameter </w:t>
      </w:r>
      <w:proofErr w:type="spellStart"/>
      <w:r w:rsidRPr="007E50F7">
        <w:t>Aldyl</w:t>
      </w:r>
      <w:proofErr w:type="spellEnd"/>
      <w:r w:rsidRPr="007E50F7">
        <w:t>-A pipe does not exhibit the problems of the larger diameter pipe.</w:t>
      </w:r>
      <w:r w:rsidRPr="007E50F7">
        <w:rPr>
          <w:rStyle w:val="FootnoteReference"/>
        </w:rPr>
        <w:footnoteReference w:id="3"/>
      </w:r>
    </w:p>
    <w:p w14:paraId="6CFC0BDB" w14:textId="77777777" w:rsidR="00543142" w:rsidRPr="007E50F7" w:rsidRDefault="00543142" w:rsidP="00543142">
      <w:pPr>
        <w:pStyle w:val="BodyTextIndent"/>
      </w:pPr>
    </w:p>
    <w:p w14:paraId="6CFC0BDC" w14:textId="77777777" w:rsidR="00543142" w:rsidRPr="007E50F7" w:rsidRDefault="00543142" w:rsidP="00543142">
      <w:pPr>
        <w:pStyle w:val="Question-Testimony"/>
      </w:pPr>
      <w:r w:rsidRPr="007E50F7">
        <w:t>Q.</w:t>
      </w:r>
      <w:r w:rsidRPr="007E50F7">
        <w:tab/>
        <w:t xml:space="preserve">How much </w:t>
      </w:r>
      <w:proofErr w:type="spellStart"/>
      <w:r w:rsidRPr="007E50F7">
        <w:t>Aldyl</w:t>
      </w:r>
      <w:proofErr w:type="spellEnd"/>
      <w:r w:rsidRPr="007E50F7">
        <w:t>-A pipe does the Company have in Washington State?</w:t>
      </w:r>
    </w:p>
    <w:p w14:paraId="6CFC0BDD" w14:textId="77777777" w:rsidR="00543142" w:rsidRPr="007E50F7" w:rsidRDefault="00543142" w:rsidP="00543142">
      <w:pPr>
        <w:pStyle w:val="BodyTextIndent"/>
      </w:pPr>
      <w:r w:rsidRPr="007E50F7">
        <w:t>A.</w:t>
      </w:r>
      <w:r w:rsidRPr="007E50F7">
        <w:tab/>
        <w:t xml:space="preserve">In Washington, 7.68 percent of plastic gas pipe is pre-1973 </w:t>
      </w:r>
      <w:proofErr w:type="spellStart"/>
      <w:r w:rsidRPr="007E50F7">
        <w:t>Aldyl</w:t>
      </w:r>
      <w:proofErr w:type="spellEnd"/>
      <w:r w:rsidRPr="007E50F7">
        <w:t xml:space="preserve">-A pipe, 36.23 percent is pre-1984 </w:t>
      </w:r>
      <w:proofErr w:type="spellStart"/>
      <w:r w:rsidRPr="007E50F7">
        <w:t>Aldyl</w:t>
      </w:r>
      <w:proofErr w:type="spellEnd"/>
      <w:r w:rsidRPr="007E50F7">
        <w:t xml:space="preserve">-A pipe, and 56.10 percent is 1984 and later </w:t>
      </w:r>
      <w:proofErr w:type="spellStart"/>
      <w:r w:rsidRPr="007E50F7">
        <w:t>Aldyl</w:t>
      </w:r>
      <w:proofErr w:type="spellEnd"/>
      <w:r w:rsidRPr="007E50F7">
        <w:t xml:space="preserve">-A pipe.  </w:t>
      </w:r>
      <w:r w:rsidR="0076547E" w:rsidRPr="007E50F7">
        <w:t>W</w:t>
      </w:r>
      <w:r w:rsidRPr="007E50F7">
        <w:t xml:space="preserve">ithin the pre-1973 </w:t>
      </w:r>
      <w:proofErr w:type="spellStart"/>
      <w:r w:rsidR="0076547E" w:rsidRPr="007E50F7">
        <w:t>Aldyl</w:t>
      </w:r>
      <w:proofErr w:type="spellEnd"/>
      <w:r w:rsidR="0076547E" w:rsidRPr="007E50F7">
        <w:t>-A pipe</w:t>
      </w:r>
      <w:r w:rsidRPr="007E50F7">
        <w:t>, 3.12 percent is pipe of unknown manufacture.</w:t>
      </w:r>
    </w:p>
    <w:p w14:paraId="6CFC0BDE" w14:textId="77777777" w:rsidR="00595338" w:rsidRPr="007E50F7" w:rsidRDefault="00595338" w:rsidP="00595338">
      <w:pPr>
        <w:pStyle w:val="Answer-Testimony"/>
      </w:pPr>
    </w:p>
    <w:p w14:paraId="6CFC0BDF" w14:textId="77777777" w:rsidR="00595338" w:rsidRPr="007E50F7" w:rsidRDefault="00595338" w:rsidP="00595338">
      <w:pPr>
        <w:pStyle w:val="Question-Testimony"/>
      </w:pPr>
      <w:r w:rsidRPr="007E50F7">
        <w:t>Q.</w:t>
      </w:r>
      <w:r w:rsidRPr="007E50F7">
        <w:tab/>
        <w:t>What is Staff’s</w:t>
      </w:r>
      <w:r w:rsidR="0076547E" w:rsidRPr="007E50F7">
        <w:t xml:space="preserve"> position on the Company’s replacement program</w:t>
      </w:r>
      <w:r w:rsidRPr="007E50F7">
        <w:t>?</w:t>
      </w:r>
    </w:p>
    <w:p w14:paraId="6CFC0BE0" w14:textId="77777777" w:rsidR="00595338" w:rsidRPr="007E50F7" w:rsidRDefault="00595338" w:rsidP="00595338">
      <w:pPr>
        <w:pStyle w:val="BodyTextIndent"/>
      </w:pPr>
      <w:r w:rsidRPr="007E50F7">
        <w:t>A.</w:t>
      </w:r>
      <w:r w:rsidRPr="007E50F7">
        <w:tab/>
      </w:r>
      <w:r w:rsidR="0076547E" w:rsidRPr="007E50F7">
        <w:t xml:space="preserve">As Staff witness Mr. Lykken testifies, Staff accepts the Company’s </w:t>
      </w:r>
      <w:proofErr w:type="spellStart"/>
      <w:r w:rsidR="0076547E" w:rsidRPr="007E50F7">
        <w:t>Aldyl</w:t>
      </w:r>
      <w:proofErr w:type="spellEnd"/>
      <w:r w:rsidR="0076547E" w:rsidRPr="007E50F7">
        <w:t xml:space="preserve">-A pipe replacement program.  </w:t>
      </w:r>
      <w:r w:rsidRPr="007E50F7">
        <w:t xml:space="preserve">Staff </w:t>
      </w:r>
      <w:r w:rsidR="00E13E68">
        <w:t xml:space="preserve">also </w:t>
      </w:r>
      <w:r w:rsidRPr="007E50F7">
        <w:t xml:space="preserve">recommends </w:t>
      </w:r>
      <w:r w:rsidR="00F9094D" w:rsidRPr="007E50F7">
        <w:t xml:space="preserve">the Commission require the Company to track steel and polyethylene, particularly </w:t>
      </w:r>
      <w:proofErr w:type="spellStart"/>
      <w:r w:rsidR="00F9094D" w:rsidRPr="007E50F7">
        <w:t>Aldyl</w:t>
      </w:r>
      <w:proofErr w:type="spellEnd"/>
      <w:r w:rsidR="00F9094D" w:rsidRPr="007E50F7">
        <w:t>-A pipe, distribution mains in separate subaccounts under FERC Account 376 for past and future plant</w:t>
      </w:r>
      <w:r w:rsidRPr="007E50F7">
        <w:t>.</w:t>
      </w:r>
    </w:p>
    <w:p w14:paraId="6CFC0BE1" w14:textId="77777777" w:rsidR="002E058A" w:rsidRPr="007E50F7" w:rsidRDefault="002E058A" w:rsidP="00595338">
      <w:pPr>
        <w:pStyle w:val="Answer-Testimony"/>
      </w:pPr>
    </w:p>
    <w:p w14:paraId="6CFC0BE2" w14:textId="77777777" w:rsidR="00595338" w:rsidRPr="007E50F7" w:rsidRDefault="00595338" w:rsidP="00595338">
      <w:pPr>
        <w:pStyle w:val="Question-Testimony"/>
      </w:pPr>
      <w:r w:rsidRPr="007E50F7">
        <w:t>Q.</w:t>
      </w:r>
      <w:r w:rsidRPr="007E50F7">
        <w:tab/>
      </w:r>
      <w:r w:rsidR="006A54E7" w:rsidRPr="007E50F7">
        <w:t xml:space="preserve">What is the basis for Staff’s </w:t>
      </w:r>
      <w:r w:rsidR="0076547E" w:rsidRPr="007E50F7">
        <w:t xml:space="preserve">accounting </w:t>
      </w:r>
      <w:r w:rsidR="006A54E7" w:rsidRPr="007E50F7">
        <w:t>recommendation</w:t>
      </w:r>
      <w:r w:rsidRPr="007E50F7">
        <w:t>?</w:t>
      </w:r>
    </w:p>
    <w:p w14:paraId="6CFC0BE3" w14:textId="77777777" w:rsidR="00595338" w:rsidRDefault="00595338" w:rsidP="00757AE1">
      <w:pPr>
        <w:pStyle w:val="BodyTextIndent"/>
      </w:pPr>
      <w:r w:rsidRPr="007E50F7">
        <w:t>A.</w:t>
      </w:r>
      <w:r w:rsidRPr="007E50F7">
        <w:tab/>
      </w:r>
      <w:r w:rsidR="002E058A" w:rsidRPr="007E50F7">
        <w:t>For accounting purposes, t</w:t>
      </w:r>
      <w:r w:rsidR="00106FDD" w:rsidRPr="007E50F7">
        <w:t xml:space="preserve">he </w:t>
      </w:r>
      <w:r w:rsidR="00E664F4" w:rsidRPr="007E50F7">
        <w:t>Company uses a composite convention of accounting called</w:t>
      </w:r>
      <w:r w:rsidR="00F83F8A" w:rsidRPr="007E50F7">
        <w:t xml:space="preserve"> the</w:t>
      </w:r>
      <w:r w:rsidR="00E664F4" w:rsidRPr="007E50F7">
        <w:t xml:space="preserve"> “group”</w:t>
      </w:r>
      <w:r w:rsidR="00F83F8A" w:rsidRPr="007E50F7">
        <w:t xml:space="preserve"> method</w:t>
      </w:r>
      <w:r w:rsidR="00E664F4" w:rsidRPr="007E50F7">
        <w:t xml:space="preserve"> which is considered acceptable by both FERC</w:t>
      </w:r>
      <w:r w:rsidR="00AB2278" w:rsidRPr="007E50F7">
        <w:t xml:space="preserve">’s </w:t>
      </w:r>
      <w:proofErr w:type="spellStart"/>
      <w:r w:rsidR="00AB2278" w:rsidRPr="007E50F7">
        <w:t>USoA</w:t>
      </w:r>
      <w:proofErr w:type="spellEnd"/>
      <w:r w:rsidR="00E664F4" w:rsidRPr="007E50F7">
        <w:t xml:space="preserve"> and Generally Accepted Accounting Principles (“</w:t>
      </w:r>
      <w:proofErr w:type="spellStart"/>
      <w:r w:rsidR="00E664F4" w:rsidRPr="007E50F7">
        <w:t>GAAP</w:t>
      </w:r>
      <w:proofErr w:type="spellEnd"/>
      <w:r w:rsidR="00E664F4" w:rsidRPr="007E50F7">
        <w:t>”).</w:t>
      </w:r>
      <w:r w:rsidR="006A54E7" w:rsidRPr="007E50F7">
        <w:t xml:space="preserve">  However, composite convention </w:t>
      </w:r>
      <w:r w:rsidR="00293511" w:rsidRPr="007E50F7">
        <w:t xml:space="preserve">of accounting groups </w:t>
      </w:r>
      <w:r w:rsidR="006A54E7" w:rsidRPr="007E50F7">
        <w:t>assets together</w:t>
      </w:r>
      <w:r w:rsidR="00741EC7">
        <w:t>,</w:t>
      </w:r>
      <w:r w:rsidR="00A80692" w:rsidRPr="007E50F7">
        <w:t xml:space="preserve"> which </w:t>
      </w:r>
      <w:r w:rsidR="00293511" w:rsidRPr="007E50F7">
        <w:t>ultimately los</w:t>
      </w:r>
      <w:r w:rsidR="00A80692" w:rsidRPr="007E50F7">
        <w:t>es</w:t>
      </w:r>
      <w:r w:rsidR="00F40DF9" w:rsidRPr="007E50F7">
        <w:t xml:space="preserve"> any</w:t>
      </w:r>
      <w:r w:rsidR="00293511" w:rsidRPr="007E50F7">
        <w:t xml:space="preserve"> detail </w:t>
      </w:r>
      <w:r w:rsidR="00F40DF9" w:rsidRPr="007E50F7">
        <w:t xml:space="preserve">about </w:t>
      </w:r>
      <w:r w:rsidR="00293511" w:rsidRPr="007E50F7">
        <w:t xml:space="preserve">the </w:t>
      </w:r>
      <w:r w:rsidR="006A54E7" w:rsidRPr="007E50F7">
        <w:t xml:space="preserve">vintage of </w:t>
      </w:r>
      <w:r w:rsidR="00293511" w:rsidRPr="007E50F7">
        <w:t>the assets</w:t>
      </w:r>
      <w:r w:rsidR="00A80692" w:rsidRPr="007E50F7">
        <w:t xml:space="preserve"> that co</w:t>
      </w:r>
      <w:r w:rsidR="00F40DF9" w:rsidRPr="007E50F7">
        <w:t>uld be particular</w:t>
      </w:r>
      <w:r w:rsidR="00741EC7">
        <w:t>ly</w:t>
      </w:r>
      <w:r w:rsidR="00F40DF9" w:rsidRPr="007E50F7">
        <w:t xml:space="preserve"> </w:t>
      </w:r>
      <w:r w:rsidR="00A80692" w:rsidRPr="007E50F7">
        <w:t xml:space="preserve">useful </w:t>
      </w:r>
      <w:r w:rsidR="00F40DF9" w:rsidRPr="007E50F7">
        <w:t>for</w:t>
      </w:r>
      <w:r w:rsidR="00A80692" w:rsidRPr="007E50F7">
        <w:t xml:space="preserve"> a</w:t>
      </w:r>
      <w:r w:rsidR="00F40DF9" w:rsidRPr="007E50F7">
        <w:t xml:space="preserve"> specialize</w:t>
      </w:r>
      <w:r w:rsidR="00A80692" w:rsidRPr="007E50F7">
        <w:t>d</w:t>
      </w:r>
      <w:r w:rsidR="00F40DF9" w:rsidRPr="007E50F7">
        <w:t xml:space="preserve"> replacement program</w:t>
      </w:r>
      <w:r w:rsidR="006A54E7" w:rsidRPr="007E50F7">
        <w:t>.</w:t>
      </w:r>
    </w:p>
    <w:p w14:paraId="6CFC0BE4" w14:textId="77777777" w:rsidR="00E13E68" w:rsidRPr="007E50F7" w:rsidRDefault="00E13E68" w:rsidP="00757AE1">
      <w:pPr>
        <w:pStyle w:val="BodyTextIndent"/>
      </w:pPr>
      <w:r>
        <w:tab/>
      </w:r>
      <w:r>
        <w:tab/>
        <w:t xml:space="preserve">My recommendation that </w:t>
      </w:r>
      <w:r w:rsidR="00741EC7">
        <w:t>the Company keep track of this plant in separate subaccounts will maintain this detail for future use by the Commission.</w:t>
      </w:r>
    </w:p>
    <w:p w14:paraId="6CFC0BE5" w14:textId="77777777" w:rsidR="00E664F4" w:rsidRPr="007E50F7" w:rsidRDefault="00E664F4" w:rsidP="00E664F4">
      <w:pPr>
        <w:pStyle w:val="Answer-Testimony"/>
      </w:pPr>
    </w:p>
    <w:p w14:paraId="6CFC0BE6" w14:textId="77777777" w:rsidR="00E664F4" w:rsidRPr="007E50F7" w:rsidRDefault="00E664F4" w:rsidP="00E664F4">
      <w:pPr>
        <w:pStyle w:val="Question-Testimony"/>
      </w:pPr>
      <w:r w:rsidRPr="007E50F7">
        <w:t>Q.</w:t>
      </w:r>
      <w:r w:rsidRPr="007E50F7">
        <w:tab/>
      </w:r>
      <w:r w:rsidR="00757AE1" w:rsidRPr="007E50F7">
        <w:t>Please e</w:t>
      </w:r>
      <w:r w:rsidRPr="007E50F7">
        <w:t xml:space="preserve">xplain </w:t>
      </w:r>
      <w:r w:rsidR="00757AE1" w:rsidRPr="007E50F7">
        <w:t xml:space="preserve">further the </w:t>
      </w:r>
      <w:r w:rsidR="0076547E" w:rsidRPr="007E50F7">
        <w:t>“group” and “</w:t>
      </w:r>
      <w:r w:rsidR="00757AE1" w:rsidRPr="007E50F7">
        <w:t>composite</w:t>
      </w:r>
      <w:r w:rsidR="0076547E" w:rsidRPr="007E50F7">
        <w:t>”</w:t>
      </w:r>
      <w:r w:rsidR="00757AE1" w:rsidRPr="007E50F7">
        <w:t xml:space="preserve"> convention</w:t>
      </w:r>
      <w:r w:rsidR="0076547E" w:rsidRPr="007E50F7">
        <w:t>s</w:t>
      </w:r>
      <w:r w:rsidR="00757AE1" w:rsidRPr="007E50F7">
        <w:t xml:space="preserve"> of accounting</w:t>
      </w:r>
      <w:r w:rsidR="00741EC7">
        <w:t>.</w:t>
      </w:r>
    </w:p>
    <w:p w14:paraId="6CFC0BE7" w14:textId="77777777" w:rsidR="00757AE1" w:rsidRPr="007E50F7" w:rsidRDefault="00E664F4" w:rsidP="00E664F4">
      <w:pPr>
        <w:pStyle w:val="BodyTextIndent"/>
      </w:pPr>
      <w:r w:rsidRPr="007E50F7">
        <w:t>A.</w:t>
      </w:r>
      <w:r w:rsidRPr="007E50F7">
        <w:tab/>
      </w:r>
      <w:r w:rsidR="00757AE1" w:rsidRPr="007E50F7">
        <w:t>There are two methods of depreciating multiple-asset accounts are employed: the group method and the composite method.  The term “group” refers to a collection of assets that are similar in nature.  “Composite” refers to a collection of assets that are dissimilar in nature.  The group method is frequently used when the assets are fairly homogeneous and have approximately the same useful lives.  The composite approach is used when the assets are heterogeneous and have different lives.  The group method more closely approximates a single-unit cost procedure because the dispersion from the average is not as great.  The method of computation for group or composite is essentially the same: find an average and depreciate on that basis.</w:t>
      </w:r>
    </w:p>
    <w:p w14:paraId="6CFC0BE8" w14:textId="77777777" w:rsidR="00757AE1" w:rsidRPr="007E50F7" w:rsidRDefault="00757AE1" w:rsidP="00E664F4">
      <w:pPr>
        <w:pStyle w:val="BodyTextIndent"/>
      </w:pPr>
      <w:r w:rsidRPr="007E50F7">
        <w:tab/>
      </w:r>
      <w:r w:rsidRPr="007E50F7">
        <w:tab/>
        <w:t xml:space="preserve">The differences between the group or composite method and the single-unit depreciation method become accentuated when we look at asset retirements.  If an </w:t>
      </w:r>
      <w:r w:rsidRPr="007E50F7">
        <w:lastRenderedPageBreak/>
        <w:t>asset is retired before, or after the average service life of the group is reached, the resulting gain or loss is buried in the Accumulated Depreciation account.  This practice is justified because some assets will be retired before the average service life and others after the avera</w:t>
      </w:r>
      <w:r w:rsidR="006B47EF" w:rsidRPr="007E50F7">
        <w:t>ge life.</w:t>
      </w:r>
    </w:p>
    <w:p w14:paraId="6CFC0BE9" w14:textId="77777777" w:rsidR="006B47EF" w:rsidRPr="007E50F7" w:rsidRDefault="006B47EF" w:rsidP="00E664F4">
      <w:pPr>
        <w:pStyle w:val="BodyTextIndent"/>
      </w:pPr>
      <w:r w:rsidRPr="007E50F7">
        <w:tab/>
      </w:r>
      <w:r w:rsidRPr="007E50F7">
        <w:tab/>
        <w:t>The group or composite method simplifies the bookkeeping process and tends to average out errors caused by over-or under depreciation.  As a result, periodic income is not distorted by gains or losses on disposals of assets.</w:t>
      </w:r>
    </w:p>
    <w:p w14:paraId="6CFC0BEA" w14:textId="77777777" w:rsidR="00C40AD8" w:rsidRPr="007E50F7" w:rsidRDefault="00C40AD8" w:rsidP="00891A10">
      <w:pPr>
        <w:pStyle w:val="BodyTextIndent"/>
      </w:pPr>
    </w:p>
    <w:p w14:paraId="6CFC0BEB" w14:textId="77777777" w:rsidR="00891A10" w:rsidRPr="007E50F7" w:rsidRDefault="008A14BC" w:rsidP="00421E84">
      <w:pPr>
        <w:pStyle w:val="Heading1"/>
        <w:spacing w:line="240" w:lineRule="auto"/>
      </w:pPr>
      <w:bookmarkStart w:id="5" w:name="_Toc335809611"/>
      <w:r w:rsidRPr="007E50F7">
        <w:t>ELECTRIC</w:t>
      </w:r>
      <w:r w:rsidR="00955041" w:rsidRPr="007E50F7">
        <w:t xml:space="preserve"> </w:t>
      </w:r>
      <w:r w:rsidR="007B4B29" w:rsidRPr="007E50F7">
        <w:t xml:space="preserve">COST OF </w:t>
      </w:r>
      <w:r w:rsidR="00955041" w:rsidRPr="007E50F7">
        <w:t>SERVICE</w:t>
      </w:r>
      <w:r w:rsidR="007B4B29" w:rsidRPr="007E50F7">
        <w:t>, REVENUE ALLOCATION, AND RATE DESIGN</w:t>
      </w:r>
      <w:bookmarkEnd w:id="5"/>
    </w:p>
    <w:p w14:paraId="6CFC0BEC" w14:textId="77777777" w:rsidR="006F1931" w:rsidRPr="007E50F7" w:rsidRDefault="006F1931" w:rsidP="00980C24">
      <w:pPr>
        <w:pStyle w:val="Answer-Testimony"/>
        <w:ind w:left="0" w:firstLine="0"/>
      </w:pPr>
    </w:p>
    <w:p w14:paraId="6CFC0BED" w14:textId="77777777" w:rsidR="00980C24" w:rsidRPr="007E50F7" w:rsidRDefault="00980C24" w:rsidP="001511AA">
      <w:pPr>
        <w:pStyle w:val="Heading3"/>
        <w:ind w:left="1440"/>
      </w:pPr>
      <w:bookmarkStart w:id="6" w:name="_Toc335809612"/>
      <w:r w:rsidRPr="007E50F7">
        <w:t>Cost of Service</w:t>
      </w:r>
      <w:r w:rsidR="0076547E" w:rsidRPr="007E50F7">
        <w:t xml:space="preserve"> Study</w:t>
      </w:r>
      <w:bookmarkEnd w:id="6"/>
    </w:p>
    <w:p w14:paraId="6CFC0BEE" w14:textId="77777777" w:rsidR="0002192E" w:rsidRPr="007E50F7" w:rsidRDefault="0002192E" w:rsidP="0002192E">
      <w:pPr>
        <w:pStyle w:val="Answer-Testimony"/>
      </w:pPr>
    </w:p>
    <w:p w14:paraId="6CFC0BEF" w14:textId="77777777" w:rsidR="0002192E" w:rsidRPr="007E50F7" w:rsidRDefault="0002192E" w:rsidP="0002192E">
      <w:pPr>
        <w:pStyle w:val="Question-Testimony"/>
      </w:pPr>
      <w:r w:rsidRPr="007E50F7">
        <w:t>Q.</w:t>
      </w:r>
      <w:r w:rsidRPr="007E50F7">
        <w:tab/>
        <w:t>What does a cost of service study measure?</w:t>
      </w:r>
    </w:p>
    <w:p w14:paraId="6CFC0BF0" w14:textId="77777777" w:rsidR="004C2599" w:rsidRPr="007E50F7" w:rsidRDefault="0002192E" w:rsidP="0002192E">
      <w:pPr>
        <w:pStyle w:val="Answer-Testimony"/>
      </w:pPr>
      <w:r w:rsidRPr="007E50F7">
        <w:t>A.</w:t>
      </w:r>
      <w:r w:rsidRPr="007E50F7">
        <w:tab/>
        <w:t>A cost of service study measures</w:t>
      </w:r>
      <w:r w:rsidR="004C193E" w:rsidRPr="007E50F7">
        <w:t xml:space="preserve"> whether the revenue provided by the customers recovers th</w:t>
      </w:r>
      <w:r w:rsidR="00CD188D" w:rsidRPr="007E50F7">
        <w:t>e cost to serv</w:t>
      </w:r>
      <w:r w:rsidR="003E0848" w:rsidRPr="007E50F7">
        <w:t>e those customers, by apportioning</w:t>
      </w:r>
      <w:r w:rsidR="00CD188D" w:rsidRPr="007E50F7">
        <w:t xml:space="preserve"> the revenue, expenses, and rate base associated with providing service to </w:t>
      </w:r>
      <w:r w:rsidR="007E7EAB" w:rsidRPr="007E50F7">
        <w:t xml:space="preserve">defined </w:t>
      </w:r>
      <w:r w:rsidR="00CD188D" w:rsidRPr="007E50F7">
        <w:t>groups of customers.</w:t>
      </w:r>
    </w:p>
    <w:p w14:paraId="6CFC0BF1" w14:textId="77777777" w:rsidR="0002192E" w:rsidRPr="007E50F7" w:rsidRDefault="0002192E" w:rsidP="0002192E">
      <w:pPr>
        <w:pStyle w:val="Answer-Testimony"/>
      </w:pPr>
    </w:p>
    <w:p w14:paraId="6CFC0BF2" w14:textId="77777777" w:rsidR="004C2599" w:rsidRPr="007E50F7" w:rsidRDefault="004C2599" w:rsidP="004C2599">
      <w:pPr>
        <w:pStyle w:val="Question-Testimony"/>
      </w:pPr>
      <w:r w:rsidRPr="007E50F7">
        <w:t>Q.</w:t>
      </w:r>
      <w:r w:rsidRPr="007E50F7">
        <w:tab/>
        <w:t>Did Staff review the Company’s proposed electric cost of service study?</w:t>
      </w:r>
    </w:p>
    <w:p w14:paraId="6CFC0BF3" w14:textId="77777777" w:rsidR="004C2599" w:rsidRPr="007E50F7" w:rsidRDefault="004C2599" w:rsidP="00940838">
      <w:pPr>
        <w:pStyle w:val="Answer-Testimony"/>
      </w:pPr>
      <w:r w:rsidRPr="007E50F7">
        <w:t>A.</w:t>
      </w:r>
      <w:r w:rsidRPr="007E50F7">
        <w:tab/>
        <w:t>Yes.  The Company’s proposed electric cost of service</w:t>
      </w:r>
      <w:r w:rsidR="001511AA">
        <w:t xml:space="preserve"> is contained in M</w:t>
      </w:r>
      <w:r w:rsidR="0002192E" w:rsidRPr="007E50F7">
        <w:t>s. Knox’s Exhibit No.</w:t>
      </w:r>
      <w:r w:rsidR="00540F01" w:rsidRPr="007E50F7">
        <w:t xml:space="preserve"> </w:t>
      </w:r>
      <w:r w:rsidR="0002192E" w:rsidRPr="007E50F7">
        <w:t>__</w:t>
      </w:r>
      <w:r w:rsidR="006437EC" w:rsidRPr="007E50F7">
        <w:t xml:space="preserve">_ </w:t>
      </w:r>
      <w:r w:rsidR="0002192E" w:rsidRPr="007E50F7">
        <w:t>(</w:t>
      </w:r>
      <w:proofErr w:type="spellStart"/>
      <w:r w:rsidR="0002192E" w:rsidRPr="007E50F7">
        <w:t>T</w:t>
      </w:r>
      <w:r w:rsidR="00433A19" w:rsidRPr="007E50F7">
        <w:t>L</w:t>
      </w:r>
      <w:r w:rsidR="0002192E" w:rsidRPr="007E50F7">
        <w:t>K</w:t>
      </w:r>
      <w:proofErr w:type="spellEnd"/>
      <w:r w:rsidR="0002192E" w:rsidRPr="007E50F7">
        <w:t>-</w:t>
      </w:r>
      <w:r w:rsidR="00433A19" w:rsidRPr="007E50F7">
        <w:t>3</w:t>
      </w:r>
      <w:r w:rsidR="0002192E" w:rsidRPr="007E50F7">
        <w:t>).</w:t>
      </w:r>
      <w:r w:rsidRPr="007E50F7">
        <w:t xml:space="preserve"> </w:t>
      </w:r>
      <w:r w:rsidR="0002192E" w:rsidRPr="007E50F7">
        <w:t xml:space="preserve"> </w:t>
      </w:r>
      <w:r w:rsidR="001511AA">
        <w:t>M</w:t>
      </w:r>
      <w:r w:rsidR="00940838" w:rsidRPr="007E50F7">
        <w:t xml:space="preserve">s. Knox’s </w:t>
      </w:r>
      <w:r w:rsidRPr="007E50F7">
        <w:t>study reasonably functionalizes, classifies and allocates capital investments and operating expenses to each rate schedule</w:t>
      </w:r>
      <w:r w:rsidR="0002192E" w:rsidRPr="007E50F7">
        <w:t xml:space="preserve">.  Therefore, Staff </w:t>
      </w:r>
      <w:r w:rsidR="00003A61" w:rsidRPr="007E50F7">
        <w:t>uses the same method of allocation</w:t>
      </w:r>
      <w:r w:rsidR="006437EC" w:rsidRPr="007E50F7">
        <w:t>,</w:t>
      </w:r>
      <w:r w:rsidR="00003A61" w:rsidRPr="007E50F7">
        <w:t xml:space="preserve"> </w:t>
      </w:r>
      <w:r w:rsidRPr="007E50F7">
        <w:t>adjusted proportionally to reflect Staff’s lower revenue requirement recommendation.</w:t>
      </w:r>
    </w:p>
    <w:p w14:paraId="6CFC0BF4" w14:textId="77777777" w:rsidR="00980C24" w:rsidRPr="007E50F7" w:rsidRDefault="00980C24" w:rsidP="00980C24">
      <w:pPr>
        <w:pStyle w:val="Question-Testimony"/>
        <w:ind w:left="0" w:firstLine="0"/>
      </w:pPr>
    </w:p>
    <w:p w14:paraId="6CFC0BF5" w14:textId="77777777" w:rsidR="00980C24" w:rsidRPr="007E50F7" w:rsidRDefault="00980C24" w:rsidP="00980C24">
      <w:pPr>
        <w:pStyle w:val="Question-Testimony"/>
      </w:pPr>
      <w:r w:rsidRPr="007E50F7">
        <w:t>Q.</w:t>
      </w:r>
      <w:r w:rsidRPr="007E50F7">
        <w:tab/>
        <w:t>Does the Company’s electric cost of service study follow the same methodology</w:t>
      </w:r>
      <w:r w:rsidR="00940838" w:rsidRPr="007E50F7">
        <w:t xml:space="preserve"> that</w:t>
      </w:r>
      <w:r w:rsidRPr="007E50F7">
        <w:t xml:space="preserve"> the Commission has accepted in the past?</w:t>
      </w:r>
    </w:p>
    <w:p w14:paraId="6CFC0BF6" w14:textId="77777777" w:rsidR="00980C24" w:rsidRPr="007E50F7" w:rsidRDefault="00980C24" w:rsidP="00980C24">
      <w:pPr>
        <w:pStyle w:val="Answer-Testimony"/>
      </w:pPr>
      <w:r w:rsidRPr="007E50F7">
        <w:t>A.</w:t>
      </w:r>
      <w:r w:rsidRPr="007E50F7">
        <w:tab/>
      </w:r>
      <w:r w:rsidR="0002192E" w:rsidRPr="007E50F7">
        <w:t xml:space="preserve">Yes, with one exception.  </w:t>
      </w:r>
      <w:r w:rsidRPr="007E50F7">
        <w:t>The Company’s</w:t>
      </w:r>
      <w:r w:rsidR="0002192E" w:rsidRPr="007E50F7">
        <w:t xml:space="preserve"> current </w:t>
      </w:r>
      <w:r w:rsidRPr="007E50F7">
        <w:t xml:space="preserve">cost of service study revises the peak credit classification of production and transmission costs.  According to </w:t>
      </w:r>
      <w:r w:rsidR="001511AA">
        <w:t>Ms.</w:t>
      </w:r>
      <w:r w:rsidRPr="007E50F7">
        <w:t xml:space="preserve"> Knox, the</w:t>
      </w:r>
      <w:r w:rsidR="0002192E" w:rsidRPr="007E50F7">
        <w:t xml:space="preserve"> Company’s</w:t>
      </w:r>
      <w:r w:rsidRPr="007E50F7">
        <w:t xml:space="preserve"> prior method was “complicated to compute and apply, unrelated to the actual usage of the system, and has a tendency to shift costs back and forth between energy and demand</w:t>
      </w:r>
      <w:r w:rsidR="00940838" w:rsidRPr="007E50F7">
        <w:t>.</w:t>
      </w:r>
      <w:r w:rsidRPr="007E50F7">
        <w:t>”</w:t>
      </w:r>
      <w:r w:rsidRPr="007E50F7">
        <w:rPr>
          <w:rStyle w:val="FootnoteReference"/>
        </w:rPr>
        <w:footnoteReference w:id="4"/>
      </w:r>
    </w:p>
    <w:p w14:paraId="6CFC0BF7" w14:textId="77777777" w:rsidR="006437EC" w:rsidRPr="007E50F7" w:rsidRDefault="003E0848" w:rsidP="003E0848">
      <w:pPr>
        <w:pStyle w:val="Answer-Testimony"/>
        <w:ind w:firstLine="720"/>
      </w:pPr>
      <w:r w:rsidRPr="007E50F7">
        <w:t>Under the prior method, the Company would classify energy and demand using a comparison of the replacement cost for thermal and hydro plants separately</w:t>
      </w:r>
      <w:r w:rsidR="006437EC" w:rsidRPr="007E50F7">
        <w:t>,</w:t>
      </w:r>
      <w:r w:rsidRPr="007E50F7">
        <w:t xml:space="preserve"> </w:t>
      </w:r>
      <w:r w:rsidR="006437EC" w:rsidRPr="007E50F7">
        <w:t xml:space="preserve">which </w:t>
      </w:r>
      <w:r w:rsidRPr="007E50F7">
        <w:t xml:space="preserve">created separate peak credit ratios.  For transmission costs, </w:t>
      </w:r>
      <w:r w:rsidR="006437EC" w:rsidRPr="007E50F7">
        <w:t xml:space="preserve">Avista assigned </w:t>
      </w:r>
      <w:r w:rsidRPr="007E50F7">
        <w:t xml:space="preserve">a 50/50 weighting of the separate peak credit ratios </w:t>
      </w:r>
      <w:r w:rsidR="00940838" w:rsidRPr="007E50F7">
        <w:t>to energy and demand</w:t>
      </w:r>
      <w:r w:rsidR="00226528" w:rsidRPr="007E50F7">
        <w:t xml:space="preserve"> while </w:t>
      </w:r>
      <w:r w:rsidR="006437EC" w:rsidRPr="007E50F7">
        <w:t xml:space="preserve">classifying </w:t>
      </w:r>
      <w:r w:rsidR="00226528" w:rsidRPr="007E50F7">
        <w:t xml:space="preserve">fuel and load dispatching expenses to energy and peaking </w:t>
      </w:r>
      <w:r w:rsidR="00940838" w:rsidRPr="007E50F7">
        <w:t>plant related costs to demand.</w:t>
      </w:r>
    </w:p>
    <w:p w14:paraId="6CFC0BF8" w14:textId="77777777" w:rsidR="003E0848" w:rsidRPr="007E50F7" w:rsidRDefault="00980C24" w:rsidP="003E0848">
      <w:pPr>
        <w:pStyle w:val="Answer-Testimony"/>
        <w:ind w:firstLine="720"/>
      </w:pPr>
      <w:r w:rsidRPr="007E50F7">
        <w:t xml:space="preserve">In contrast, the Company’s current method </w:t>
      </w:r>
      <w:r w:rsidR="00741EC7">
        <w:t xml:space="preserve">is </w:t>
      </w:r>
      <w:r w:rsidRPr="007E50F7">
        <w:t>a less complex way to determine a fair and reasonable allocat</w:t>
      </w:r>
      <w:r w:rsidR="00741EC7">
        <w:t>ion of</w:t>
      </w:r>
      <w:r w:rsidR="003E0848" w:rsidRPr="007E50F7">
        <w:t xml:space="preserve"> </w:t>
      </w:r>
      <w:r w:rsidR="006437EC" w:rsidRPr="007E50F7">
        <w:t xml:space="preserve">costs, </w:t>
      </w:r>
      <w:r w:rsidR="003E0848" w:rsidRPr="007E50F7">
        <w:t xml:space="preserve">by applying </w:t>
      </w:r>
      <w:r w:rsidRPr="007E50F7">
        <w:t xml:space="preserve">a single peak credit ratio uniformly to all production </w:t>
      </w:r>
      <w:r w:rsidR="003E0848" w:rsidRPr="007E50F7">
        <w:t xml:space="preserve">and transmission </w:t>
      </w:r>
      <w:r w:rsidRPr="007E50F7">
        <w:t>costs</w:t>
      </w:r>
      <w:r w:rsidR="007E0329" w:rsidRPr="007E50F7">
        <w:t xml:space="preserve"> based off a system load factor to determine the proportion of the functions that are demand-related</w:t>
      </w:r>
      <w:r w:rsidRPr="007E50F7">
        <w:t>.</w:t>
      </w:r>
    </w:p>
    <w:p w14:paraId="6CFC0BF9" w14:textId="77777777" w:rsidR="00980C24" w:rsidRPr="007E50F7" w:rsidRDefault="00980C24" w:rsidP="00980C24">
      <w:pPr>
        <w:pStyle w:val="Answer-Testimony"/>
      </w:pPr>
    </w:p>
    <w:p w14:paraId="6CFC0BFA" w14:textId="77777777" w:rsidR="00980C24" w:rsidRPr="007E50F7" w:rsidRDefault="00980C24" w:rsidP="00980C24">
      <w:pPr>
        <w:pStyle w:val="Question-Testimony"/>
      </w:pPr>
      <w:r w:rsidRPr="007E50F7">
        <w:t>Q.</w:t>
      </w:r>
      <w:r w:rsidRPr="007E50F7">
        <w:tab/>
        <w:t xml:space="preserve">Has the Company proposed this methodology </w:t>
      </w:r>
      <w:r w:rsidR="005415AD" w:rsidRPr="007E50F7">
        <w:t xml:space="preserve">change </w:t>
      </w:r>
      <w:r w:rsidRPr="007E50F7">
        <w:t>in a</w:t>
      </w:r>
      <w:r w:rsidR="005415AD" w:rsidRPr="007E50F7">
        <w:t>ny</w:t>
      </w:r>
      <w:r w:rsidRPr="007E50F7">
        <w:t xml:space="preserve"> </w:t>
      </w:r>
      <w:r w:rsidR="005415AD" w:rsidRPr="007E50F7">
        <w:t xml:space="preserve">prior </w:t>
      </w:r>
      <w:r w:rsidRPr="007E50F7">
        <w:t>general rate case?</w:t>
      </w:r>
    </w:p>
    <w:p w14:paraId="6CFC0BFB" w14:textId="77777777" w:rsidR="00980C24" w:rsidRPr="007E50F7" w:rsidRDefault="00980C24" w:rsidP="00980C24">
      <w:pPr>
        <w:pStyle w:val="Answer-Testimony"/>
      </w:pPr>
      <w:r w:rsidRPr="007E50F7">
        <w:t>A.</w:t>
      </w:r>
      <w:r w:rsidRPr="007E50F7">
        <w:tab/>
        <w:t xml:space="preserve">Yes.  In </w:t>
      </w:r>
      <w:r w:rsidR="005415AD" w:rsidRPr="007E50F7">
        <w:t xml:space="preserve">Avista’s two prior </w:t>
      </w:r>
      <w:r w:rsidR="00540F01" w:rsidRPr="007E50F7">
        <w:t>electric</w:t>
      </w:r>
      <w:r w:rsidR="00DE6039" w:rsidRPr="007E50F7">
        <w:t xml:space="preserve"> </w:t>
      </w:r>
      <w:r w:rsidR="005415AD" w:rsidRPr="007E50F7">
        <w:t xml:space="preserve">rate cases, </w:t>
      </w:r>
      <w:r w:rsidRPr="007E50F7">
        <w:t xml:space="preserve">Dockets </w:t>
      </w:r>
      <w:proofErr w:type="spellStart"/>
      <w:r w:rsidRPr="007E50F7">
        <w:t>UE</w:t>
      </w:r>
      <w:proofErr w:type="spellEnd"/>
      <w:r w:rsidRPr="007E50F7">
        <w:t xml:space="preserve">-100467 and </w:t>
      </w:r>
      <w:proofErr w:type="spellStart"/>
      <w:r w:rsidRPr="007E50F7">
        <w:t>UE</w:t>
      </w:r>
      <w:proofErr w:type="spellEnd"/>
      <w:r w:rsidRPr="007E50F7">
        <w:t xml:space="preserve">-110876, the Company proposed this </w:t>
      </w:r>
      <w:r w:rsidR="00DE6039" w:rsidRPr="007E50F7">
        <w:t>changed methodology</w:t>
      </w:r>
      <w:r w:rsidRPr="007E50F7">
        <w:t xml:space="preserve">.  However, </w:t>
      </w:r>
      <w:r w:rsidR="00DE6039" w:rsidRPr="007E50F7">
        <w:t xml:space="preserve">each of </w:t>
      </w:r>
      <w:r w:rsidRPr="007E50F7">
        <w:t xml:space="preserve">those dockets </w:t>
      </w:r>
      <w:r w:rsidRPr="007E50F7">
        <w:lastRenderedPageBreak/>
        <w:t>w</w:t>
      </w:r>
      <w:r w:rsidR="00DE6039" w:rsidRPr="007E50F7">
        <w:t>as</w:t>
      </w:r>
      <w:r w:rsidRPr="007E50F7">
        <w:t xml:space="preserve"> resolved by settlement</w:t>
      </w:r>
      <w:r w:rsidR="00DE6039" w:rsidRPr="007E50F7">
        <w:t>, and t</w:t>
      </w:r>
      <w:r w:rsidR="005415AD" w:rsidRPr="007E50F7">
        <w:t>he cost of service study issue was not resolved in e</w:t>
      </w:r>
      <w:r w:rsidRPr="007E50F7">
        <w:t>ither settlement.</w:t>
      </w:r>
    </w:p>
    <w:p w14:paraId="6CFC0BFC" w14:textId="77777777" w:rsidR="00980C24" w:rsidRPr="007E50F7" w:rsidRDefault="00980C24" w:rsidP="00980C24">
      <w:pPr>
        <w:pStyle w:val="Answer-Testimony"/>
      </w:pPr>
    </w:p>
    <w:p w14:paraId="6CFC0BFD" w14:textId="77777777" w:rsidR="00980C24" w:rsidRPr="007E50F7" w:rsidRDefault="00980C24" w:rsidP="00980C24">
      <w:pPr>
        <w:pStyle w:val="Question-Testimony"/>
      </w:pPr>
      <w:r w:rsidRPr="007E50F7">
        <w:t>Q.</w:t>
      </w:r>
      <w:r w:rsidRPr="007E50F7">
        <w:tab/>
        <w:t xml:space="preserve">Do the results from the cost of service study </w:t>
      </w:r>
      <w:r w:rsidR="00DE6039" w:rsidRPr="007E50F7">
        <w:t xml:space="preserve">using the new methodology </w:t>
      </w:r>
      <w:r w:rsidRPr="007E50F7">
        <w:t xml:space="preserve">differ from </w:t>
      </w:r>
      <w:r w:rsidR="00DE6039" w:rsidRPr="007E50F7">
        <w:t xml:space="preserve">using </w:t>
      </w:r>
      <w:r w:rsidRPr="007E50F7">
        <w:t>the former method</w:t>
      </w:r>
      <w:r w:rsidR="00DE6039" w:rsidRPr="007E50F7">
        <w:t>ology</w:t>
      </w:r>
      <w:r w:rsidRPr="007E50F7">
        <w:t>?</w:t>
      </w:r>
    </w:p>
    <w:p w14:paraId="6CFC0BFE" w14:textId="77777777" w:rsidR="00980C24" w:rsidRPr="007E50F7" w:rsidRDefault="00980C24" w:rsidP="00980C24">
      <w:pPr>
        <w:pStyle w:val="Answer-Testimony"/>
      </w:pPr>
      <w:r w:rsidRPr="007E50F7">
        <w:t>A.</w:t>
      </w:r>
      <w:r w:rsidRPr="007E50F7">
        <w:tab/>
        <w:t>Very slightly.  The change in method slightly increases the overall production and transmission costs that are classified as demand.  This shifts the parity ratio by approximately one one-thousandth (0.001).  This difference is immaterial because Staff typically uses parity ratios out to the hundredth (0.01) decimal place for rate design.</w:t>
      </w:r>
    </w:p>
    <w:p w14:paraId="6CFC0BFF" w14:textId="77777777" w:rsidR="00980C24" w:rsidRPr="007E50F7" w:rsidRDefault="00980C24" w:rsidP="00980C24">
      <w:pPr>
        <w:pStyle w:val="Question-Testimony"/>
        <w:ind w:left="0" w:firstLine="0"/>
      </w:pPr>
    </w:p>
    <w:p w14:paraId="6CFC0C00" w14:textId="77777777" w:rsidR="00980C24" w:rsidRPr="007E50F7" w:rsidRDefault="00980C24" w:rsidP="00980C24">
      <w:pPr>
        <w:pStyle w:val="Question-Testimony"/>
      </w:pPr>
      <w:r w:rsidRPr="007E50F7">
        <w:t>Q.</w:t>
      </w:r>
      <w:r w:rsidRPr="007E50F7">
        <w:tab/>
      </w:r>
      <w:r w:rsidR="00DE6039" w:rsidRPr="007E50F7">
        <w:t xml:space="preserve">Should the Commission </w:t>
      </w:r>
      <w:r w:rsidRPr="007E50F7">
        <w:t>accept the Company’s proposed method to allocate plant and expenses?</w:t>
      </w:r>
    </w:p>
    <w:p w14:paraId="6CFC0C01" w14:textId="77777777" w:rsidR="00980C24" w:rsidRPr="007E50F7" w:rsidRDefault="00980C24" w:rsidP="00980C24">
      <w:pPr>
        <w:pStyle w:val="Answer-Testimony"/>
      </w:pPr>
      <w:r w:rsidRPr="007E50F7">
        <w:t>A.</w:t>
      </w:r>
      <w:r w:rsidRPr="007E50F7">
        <w:tab/>
        <w:t xml:space="preserve">Yes.  </w:t>
      </w:r>
      <w:r w:rsidR="005415AD" w:rsidRPr="007E50F7">
        <w:t>T</w:t>
      </w:r>
      <w:r w:rsidRPr="007E50F7">
        <w:t xml:space="preserve">he </w:t>
      </w:r>
      <w:r w:rsidR="005415AD" w:rsidRPr="007E50F7">
        <w:t xml:space="preserve">refinement to the </w:t>
      </w:r>
      <w:r w:rsidRPr="007E50F7">
        <w:t xml:space="preserve">Company’s </w:t>
      </w:r>
      <w:r w:rsidR="00CD020A" w:rsidRPr="007E50F7">
        <w:t xml:space="preserve">prior </w:t>
      </w:r>
      <w:r w:rsidR="005415AD" w:rsidRPr="007E50F7">
        <w:t>method is reasonable.  Overall, t</w:t>
      </w:r>
      <w:r w:rsidRPr="007E50F7">
        <w:t>he Company’s cost of service study reasonably functionalizes, classifies and allocates capital investments and operating expenses to each rate schedule</w:t>
      </w:r>
      <w:r w:rsidR="005415AD" w:rsidRPr="007E50F7">
        <w:t xml:space="preserve">.  The Company’s electric cost of service study fairly and equitably </w:t>
      </w:r>
      <w:r w:rsidRPr="007E50F7">
        <w:t>identifi</w:t>
      </w:r>
      <w:r w:rsidR="005415AD" w:rsidRPr="007E50F7">
        <w:t>es</w:t>
      </w:r>
      <w:r w:rsidRPr="007E50F7">
        <w:t xml:space="preserve"> </w:t>
      </w:r>
      <w:r w:rsidR="005415AD" w:rsidRPr="007E50F7">
        <w:t xml:space="preserve">the </w:t>
      </w:r>
      <w:r w:rsidRPr="007E50F7">
        <w:t>costs required to serve each particular customer class</w:t>
      </w:r>
      <w:r w:rsidR="00F5655A" w:rsidRPr="007E50F7">
        <w:t>.</w:t>
      </w:r>
    </w:p>
    <w:p w14:paraId="6CFC0C02" w14:textId="77777777" w:rsidR="00F30B8D" w:rsidRPr="007E50F7" w:rsidRDefault="00F30B8D" w:rsidP="00980C24">
      <w:pPr>
        <w:pStyle w:val="Answer-Testimony"/>
      </w:pPr>
      <w:r w:rsidRPr="007E50F7">
        <w:tab/>
      </w:r>
      <w:r w:rsidRPr="007E50F7">
        <w:tab/>
        <w:t>In addition, this method should be more stable compared to the prior method, due to the reduction of shifting costs back and forth between energy and demand</w:t>
      </w:r>
      <w:r w:rsidR="00DE6039" w:rsidRPr="007E50F7">
        <w:t xml:space="preserve">, as </w:t>
      </w:r>
      <w:r w:rsidRPr="007E50F7">
        <w:t>the cost of natural gas to fuel combustion turbines</w:t>
      </w:r>
      <w:r w:rsidR="00DE6039" w:rsidRPr="007E50F7">
        <w:t xml:space="preserve"> changes</w:t>
      </w:r>
      <w:r w:rsidRPr="007E50F7">
        <w:t>.</w:t>
      </w:r>
    </w:p>
    <w:p w14:paraId="6CFC0C03" w14:textId="77777777" w:rsidR="00980C24" w:rsidRPr="007E50F7" w:rsidRDefault="00980C24" w:rsidP="00980C24">
      <w:pPr>
        <w:pStyle w:val="Answer-Testimony"/>
      </w:pPr>
    </w:p>
    <w:p w14:paraId="6CFC0C04" w14:textId="77777777" w:rsidR="00980C24" w:rsidRPr="007E50F7" w:rsidRDefault="00980C24" w:rsidP="004D0ADB">
      <w:pPr>
        <w:pStyle w:val="Question-Testimony"/>
        <w:keepNext/>
      </w:pPr>
      <w:r w:rsidRPr="007E50F7">
        <w:lastRenderedPageBreak/>
        <w:t>Q.</w:t>
      </w:r>
      <w:r w:rsidRPr="007E50F7">
        <w:tab/>
        <w:t>Wh</w:t>
      </w:r>
      <w:r w:rsidR="005415AD" w:rsidRPr="007E50F7">
        <w:t xml:space="preserve">at </w:t>
      </w:r>
      <w:r w:rsidR="00DE6039" w:rsidRPr="007E50F7">
        <w:t xml:space="preserve">is the typical output of a </w:t>
      </w:r>
      <w:r w:rsidR="005415AD" w:rsidRPr="007E50F7">
        <w:t>cost of service study</w:t>
      </w:r>
      <w:r w:rsidRPr="007E50F7">
        <w:t>?</w:t>
      </w:r>
    </w:p>
    <w:p w14:paraId="6CFC0C05" w14:textId="77777777" w:rsidR="00D10E54" w:rsidRPr="007E50F7" w:rsidRDefault="001F4EBF" w:rsidP="007E7EAB">
      <w:pPr>
        <w:pStyle w:val="Answer-Testimony"/>
      </w:pPr>
      <w:r w:rsidRPr="007E50F7">
        <w:t>A.</w:t>
      </w:r>
      <w:r w:rsidRPr="007E50F7">
        <w:tab/>
        <w:t>Typically, the outputs of a cost of service study are parity ratios for each customer class.</w:t>
      </w:r>
    </w:p>
    <w:p w14:paraId="6CFC0C06" w14:textId="77777777" w:rsidR="00D10E54" w:rsidRPr="007E50F7" w:rsidRDefault="00D10E54" w:rsidP="007E7EAB">
      <w:pPr>
        <w:pStyle w:val="Answer-Testimony"/>
      </w:pPr>
    </w:p>
    <w:p w14:paraId="6CFC0C07" w14:textId="77777777" w:rsidR="00D10E54" w:rsidRPr="007E50F7" w:rsidRDefault="00D10E54" w:rsidP="00D10E54">
      <w:pPr>
        <w:pStyle w:val="Question-Testimony"/>
      </w:pPr>
      <w:r w:rsidRPr="007E50F7">
        <w:t>Q.</w:t>
      </w:r>
      <w:r w:rsidRPr="007E50F7">
        <w:tab/>
        <w:t>What is a parity ratio?</w:t>
      </w:r>
    </w:p>
    <w:p w14:paraId="6CFC0C08" w14:textId="77777777" w:rsidR="00D10E54" w:rsidRPr="007E50F7" w:rsidRDefault="00D10E54" w:rsidP="007E7EAB">
      <w:pPr>
        <w:pStyle w:val="Answer-Testimony"/>
      </w:pPr>
      <w:r w:rsidRPr="007E50F7">
        <w:t>A.</w:t>
      </w:r>
      <w:r w:rsidRPr="007E50F7">
        <w:tab/>
        <w:t>A parity ratio indicates how close a particular rate schedule is to covering its cost of service.  For example, if a rate schedule is producing revenues that are 100 percent of its cost of service, that rate schedule has a parity ratio of 1.00.  If a rate schedule covers only 70 percent of its cost of service, it has a parity ratio of 0.70.  If a rate schedule covers 130 percent of its cost of service, its parity ratio is 1.30.</w:t>
      </w:r>
    </w:p>
    <w:p w14:paraId="6CFC0C09" w14:textId="77777777" w:rsidR="00D10E54" w:rsidRPr="007E50F7" w:rsidRDefault="00D10E54" w:rsidP="007E7EAB">
      <w:pPr>
        <w:pStyle w:val="Answer-Testimony"/>
      </w:pPr>
    </w:p>
    <w:p w14:paraId="6CFC0C0A" w14:textId="77777777" w:rsidR="00D10E54" w:rsidRPr="007E50F7" w:rsidRDefault="00D10E54" w:rsidP="007E7EAB">
      <w:pPr>
        <w:pStyle w:val="Answer-Testimony"/>
        <w:rPr>
          <w:b/>
        </w:rPr>
      </w:pPr>
      <w:r w:rsidRPr="007E50F7">
        <w:rPr>
          <w:b/>
        </w:rPr>
        <w:t>Q.</w:t>
      </w:r>
      <w:r w:rsidRPr="007E50F7">
        <w:rPr>
          <w:b/>
        </w:rPr>
        <w:tab/>
        <w:t>What parity ratios result from the Company’s cost of service study in this case?</w:t>
      </w:r>
    </w:p>
    <w:p w14:paraId="6CFC0C0B" w14:textId="77777777" w:rsidR="0006430B" w:rsidRPr="007E50F7" w:rsidRDefault="00D10E54" w:rsidP="00342685">
      <w:pPr>
        <w:pStyle w:val="Answer-Testimony"/>
      </w:pPr>
      <w:r w:rsidRPr="007E50F7">
        <w:t>A.</w:t>
      </w:r>
      <w:r w:rsidR="00DE6039" w:rsidRPr="007E50F7">
        <w:tab/>
      </w:r>
      <w:r w:rsidR="00E97EDA" w:rsidRPr="007E50F7">
        <w:t xml:space="preserve">Table 1 below sets forth the </w:t>
      </w:r>
      <w:r w:rsidR="0006430B" w:rsidRPr="007E50F7">
        <w:t>parity ratios</w:t>
      </w:r>
      <w:r w:rsidR="009E433E" w:rsidRPr="007E50F7">
        <w:t xml:space="preserve"> using the Company’s</w:t>
      </w:r>
      <w:r w:rsidR="00DE6039" w:rsidRPr="007E50F7">
        <w:t xml:space="preserve"> cost of service study, </w:t>
      </w:r>
      <w:r w:rsidR="00E97EDA" w:rsidRPr="007E50F7">
        <w:t xml:space="preserve">under </w:t>
      </w:r>
      <w:r w:rsidR="00DE6039" w:rsidRPr="007E50F7">
        <w:t xml:space="preserve">the </w:t>
      </w:r>
      <w:r w:rsidR="00E97EDA" w:rsidRPr="007E50F7">
        <w:t>current rate structure</w:t>
      </w:r>
      <w:r w:rsidR="007E7EAB" w:rsidRPr="007E50F7">
        <w:t xml:space="preserve"> and</w:t>
      </w:r>
      <w:r w:rsidR="00E97EDA" w:rsidRPr="007E50F7">
        <w:t xml:space="preserve"> the Company’s proposal.  </w:t>
      </w:r>
      <w:r w:rsidR="00980C24" w:rsidRPr="007E50F7">
        <w:t>Avista shows th</w:t>
      </w:r>
      <w:r w:rsidR="005415AD" w:rsidRPr="007E50F7">
        <w:t xml:space="preserve">e results of the cost of service study in </w:t>
      </w:r>
      <w:r w:rsidR="001511AA">
        <w:t>Ms.</w:t>
      </w:r>
      <w:r w:rsidR="00980C24" w:rsidRPr="007E50F7">
        <w:t xml:space="preserve"> Knox’s Exhibit No.</w:t>
      </w:r>
      <w:r w:rsidR="007E48C3" w:rsidRPr="007E50F7">
        <w:t xml:space="preserve"> _</w:t>
      </w:r>
      <w:r w:rsidR="00980C24" w:rsidRPr="007E50F7">
        <w:t>__</w:t>
      </w:r>
      <w:r w:rsidR="0006430B" w:rsidRPr="007E50F7">
        <w:t xml:space="preserve"> </w:t>
      </w:r>
      <w:r w:rsidR="00980C24" w:rsidRPr="007E50F7">
        <w:t>(</w:t>
      </w:r>
      <w:proofErr w:type="spellStart"/>
      <w:r w:rsidR="00980C24" w:rsidRPr="007E50F7">
        <w:t>TLK</w:t>
      </w:r>
      <w:proofErr w:type="spellEnd"/>
      <w:r w:rsidR="00980C24" w:rsidRPr="007E50F7">
        <w:t>-4).</w:t>
      </w:r>
    </w:p>
    <w:tbl>
      <w:tblPr>
        <w:tblpPr w:leftFromText="187" w:rightFromText="187" w:vertAnchor="text" w:horzAnchor="page" w:tblpX="2634" w:tblpY="818"/>
        <w:tblOverlap w:val="never"/>
        <w:tblW w:w="7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691"/>
        <w:gridCol w:w="1296"/>
        <w:gridCol w:w="1296"/>
      </w:tblGrid>
      <w:tr w:rsidR="007E50F7" w:rsidRPr="007E50F7" w14:paraId="6CFC0C0F" w14:textId="77777777" w:rsidTr="007E7EAB">
        <w:trPr>
          <w:cantSplit/>
        </w:trPr>
        <w:tc>
          <w:tcPr>
            <w:tcW w:w="4691" w:type="dxa"/>
            <w:vAlign w:val="center"/>
          </w:tcPr>
          <w:p w14:paraId="6CFC0C0C" w14:textId="77777777" w:rsidR="007E7EAB" w:rsidRPr="007E50F7" w:rsidRDefault="007E7EAB" w:rsidP="00DB4841">
            <w:pPr>
              <w:pStyle w:val="answer"/>
              <w:keepNext/>
              <w:spacing w:before="60" w:after="60" w:line="240" w:lineRule="auto"/>
              <w:ind w:left="0" w:firstLine="0"/>
              <w:jc w:val="center"/>
              <w:rPr>
                <w:b/>
              </w:rPr>
            </w:pPr>
            <w:r w:rsidRPr="007E50F7">
              <w:rPr>
                <w:b/>
              </w:rPr>
              <w:t>Customer Class</w:t>
            </w:r>
          </w:p>
        </w:tc>
        <w:tc>
          <w:tcPr>
            <w:tcW w:w="1296" w:type="dxa"/>
            <w:vAlign w:val="center"/>
          </w:tcPr>
          <w:p w14:paraId="6CFC0C0D" w14:textId="77777777" w:rsidR="007E7EAB" w:rsidRPr="007E50F7" w:rsidRDefault="007E7EAB" w:rsidP="00DB4841">
            <w:pPr>
              <w:pStyle w:val="answer"/>
              <w:keepNext/>
              <w:spacing w:before="60" w:after="60" w:line="240" w:lineRule="auto"/>
              <w:ind w:left="0" w:firstLine="0"/>
              <w:jc w:val="center"/>
              <w:rPr>
                <w:b/>
              </w:rPr>
            </w:pPr>
            <w:r w:rsidRPr="007E50F7">
              <w:rPr>
                <w:b/>
              </w:rPr>
              <w:t>Current</w:t>
            </w:r>
          </w:p>
        </w:tc>
        <w:tc>
          <w:tcPr>
            <w:tcW w:w="1296" w:type="dxa"/>
            <w:vAlign w:val="center"/>
          </w:tcPr>
          <w:p w14:paraId="6CFC0C0E" w14:textId="77777777" w:rsidR="007E7EAB" w:rsidRPr="007E50F7" w:rsidRDefault="007E7EAB" w:rsidP="00DB4841">
            <w:pPr>
              <w:pStyle w:val="answer"/>
              <w:keepNext/>
              <w:spacing w:before="60" w:after="60" w:line="240" w:lineRule="auto"/>
              <w:ind w:left="0" w:firstLine="0"/>
              <w:jc w:val="center"/>
              <w:rPr>
                <w:b/>
              </w:rPr>
            </w:pPr>
            <w:r w:rsidRPr="007E50F7">
              <w:rPr>
                <w:b/>
              </w:rPr>
              <w:t>Company Proposal</w:t>
            </w:r>
          </w:p>
        </w:tc>
      </w:tr>
      <w:tr w:rsidR="007E50F7" w:rsidRPr="007E50F7" w14:paraId="6CFC0C13" w14:textId="77777777" w:rsidTr="007E7EAB">
        <w:trPr>
          <w:cantSplit/>
        </w:trPr>
        <w:tc>
          <w:tcPr>
            <w:tcW w:w="4691" w:type="dxa"/>
            <w:vAlign w:val="center"/>
          </w:tcPr>
          <w:p w14:paraId="6CFC0C10" w14:textId="77777777" w:rsidR="007E7EAB" w:rsidRPr="007E50F7" w:rsidRDefault="007E7EAB" w:rsidP="00DB4841">
            <w:pPr>
              <w:pStyle w:val="answer"/>
              <w:keepNext/>
              <w:spacing w:before="60" w:after="60" w:line="240" w:lineRule="auto"/>
              <w:ind w:left="0" w:firstLine="0"/>
            </w:pPr>
            <w:r w:rsidRPr="007E50F7">
              <w:t>Total System</w:t>
            </w:r>
          </w:p>
        </w:tc>
        <w:tc>
          <w:tcPr>
            <w:tcW w:w="1296" w:type="dxa"/>
            <w:vAlign w:val="center"/>
          </w:tcPr>
          <w:p w14:paraId="6CFC0C11" w14:textId="77777777" w:rsidR="007E7EAB" w:rsidRPr="007E50F7" w:rsidRDefault="007E7EAB" w:rsidP="00AF632B">
            <w:pPr>
              <w:pStyle w:val="answer"/>
              <w:keepNext/>
              <w:spacing w:before="60" w:after="60" w:line="240" w:lineRule="auto"/>
              <w:ind w:left="0" w:firstLine="0"/>
              <w:jc w:val="center"/>
            </w:pPr>
            <w:r w:rsidRPr="007E50F7">
              <w:t>1.00</w:t>
            </w:r>
          </w:p>
        </w:tc>
        <w:tc>
          <w:tcPr>
            <w:tcW w:w="1296" w:type="dxa"/>
            <w:vAlign w:val="center"/>
          </w:tcPr>
          <w:p w14:paraId="6CFC0C12" w14:textId="77777777" w:rsidR="007E7EAB" w:rsidRPr="007E50F7" w:rsidRDefault="007E7EAB" w:rsidP="00AF632B">
            <w:pPr>
              <w:pStyle w:val="answer"/>
              <w:keepNext/>
              <w:spacing w:before="60" w:after="60" w:line="240" w:lineRule="auto"/>
              <w:ind w:left="0" w:firstLine="0"/>
              <w:jc w:val="center"/>
            </w:pPr>
            <w:r w:rsidRPr="007E50F7">
              <w:t>1.00</w:t>
            </w:r>
          </w:p>
        </w:tc>
      </w:tr>
      <w:tr w:rsidR="007E50F7" w:rsidRPr="007E50F7" w14:paraId="6CFC0C17" w14:textId="77777777" w:rsidTr="007E7EAB">
        <w:trPr>
          <w:cantSplit/>
        </w:trPr>
        <w:tc>
          <w:tcPr>
            <w:tcW w:w="4691" w:type="dxa"/>
            <w:vAlign w:val="center"/>
          </w:tcPr>
          <w:p w14:paraId="6CFC0C14" w14:textId="77777777" w:rsidR="007E7EAB" w:rsidRPr="007E50F7" w:rsidRDefault="007E7EAB" w:rsidP="00E97EDA">
            <w:pPr>
              <w:pStyle w:val="answer"/>
              <w:keepNext/>
              <w:spacing w:before="60" w:after="60" w:line="240" w:lineRule="auto"/>
              <w:ind w:left="0" w:firstLine="0"/>
            </w:pPr>
            <w:r w:rsidRPr="007E50F7">
              <w:t>Residential (Schedule 1)</w:t>
            </w:r>
          </w:p>
        </w:tc>
        <w:tc>
          <w:tcPr>
            <w:tcW w:w="1296" w:type="dxa"/>
            <w:vAlign w:val="center"/>
          </w:tcPr>
          <w:p w14:paraId="6CFC0C15" w14:textId="77777777" w:rsidR="007E7EAB" w:rsidRPr="007E50F7" w:rsidRDefault="007E7EAB" w:rsidP="00DB4841">
            <w:pPr>
              <w:pStyle w:val="answer"/>
              <w:keepNext/>
              <w:spacing w:before="60" w:after="60" w:line="240" w:lineRule="auto"/>
              <w:ind w:left="0" w:firstLine="0"/>
              <w:jc w:val="center"/>
            </w:pPr>
            <w:r w:rsidRPr="007E50F7">
              <w:t>0.89</w:t>
            </w:r>
          </w:p>
        </w:tc>
        <w:tc>
          <w:tcPr>
            <w:tcW w:w="1296" w:type="dxa"/>
            <w:vAlign w:val="center"/>
          </w:tcPr>
          <w:p w14:paraId="6CFC0C16" w14:textId="77777777" w:rsidR="007E7EAB" w:rsidRPr="007E50F7" w:rsidRDefault="007E7EAB" w:rsidP="00AF632B">
            <w:pPr>
              <w:pStyle w:val="answer"/>
              <w:keepNext/>
              <w:spacing w:before="60" w:after="60" w:line="240" w:lineRule="auto"/>
              <w:ind w:left="0" w:firstLine="0"/>
              <w:jc w:val="center"/>
            </w:pPr>
            <w:r w:rsidRPr="007E50F7">
              <w:t>0.89</w:t>
            </w:r>
          </w:p>
        </w:tc>
      </w:tr>
      <w:tr w:rsidR="007E50F7" w:rsidRPr="007E50F7" w14:paraId="6CFC0C1B" w14:textId="77777777" w:rsidTr="007E7EAB">
        <w:trPr>
          <w:cantSplit/>
        </w:trPr>
        <w:tc>
          <w:tcPr>
            <w:tcW w:w="4691" w:type="dxa"/>
            <w:vAlign w:val="center"/>
          </w:tcPr>
          <w:p w14:paraId="6CFC0C18" w14:textId="77777777" w:rsidR="007E7EAB" w:rsidRPr="007E50F7" w:rsidRDefault="007E7EAB" w:rsidP="00E97EDA">
            <w:pPr>
              <w:pStyle w:val="answer"/>
              <w:keepNext/>
              <w:spacing w:before="60" w:after="60" w:line="240" w:lineRule="auto"/>
              <w:ind w:left="0" w:firstLine="0"/>
            </w:pPr>
            <w:r w:rsidRPr="007E50F7">
              <w:t>General Service (Schedules 11, 12)</w:t>
            </w:r>
          </w:p>
        </w:tc>
        <w:tc>
          <w:tcPr>
            <w:tcW w:w="1296" w:type="dxa"/>
            <w:vAlign w:val="center"/>
          </w:tcPr>
          <w:p w14:paraId="6CFC0C19" w14:textId="77777777" w:rsidR="007E7EAB" w:rsidRPr="007E50F7" w:rsidRDefault="007E7EAB" w:rsidP="00BF14F4">
            <w:pPr>
              <w:pStyle w:val="answer"/>
              <w:keepNext/>
              <w:spacing w:before="60" w:after="60" w:line="240" w:lineRule="auto"/>
              <w:ind w:left="0" w:firstLine="0"/>
              <w:jc w:val="center"/>
            </w:pPr>
            <w:r w:rsidRPr="007E50F7">
              <w:t>1.3</w:t>
            </w:r>
            <w:r w:rsidR="00BF14F4" w:rsidRPr="007E50F7">
              <w:t>1</w:t>
            </w:r>
          </w:p>
        </w:tc>
        <w:tc>
          <w:tcPr>
            <w:tcW w:w="1296" w:type="dxa"/>
            <w:vAlign w:val="center"/>
          </w:tcPr>
          <w:p w14:paraId="6CFC0C1A" w14:textId="77777777" w:rsidR="007E7EAB" w:rsidRPr="007E50F7" w:rsidRDefault="007E7EAB" w:rsidP="00AF632B">
            <w:pPr>
              <w:pStyle w:val="answer"/>
              <w:keepNext/>
              <w:spacing w:before="60" w:after="60" w:line="240" w:lineRule="auto"/>
              <w:ind w:left="0" w:firstLine="0"/>
              <w:jc w:val="center"/>
            </w:pPr>
            <w:r w:rsidRPr="007E50F7">
              <w:t>1.30</w:t>
            </w:r>
          </w:p>
        </w:tc>
      </w:tr>
      <w:tr w:rsidR="007E50F7" w:rsidRPr="007E50F7" w14:paraId="6CFC0C1F" w14:textId="77777777" w:rsidTr="007E7EAB">
        <w:trPr>
          <w:cantSplit/>
        </w:trPr>
        <w:tc>
          <w:tcPr>
            <w:tcW w:w="4691" w:type="dxa"/>
            <w:vAlign w:val="center"/>
          </w:tcPr>
          <w:p w14:paraId="6CFC0C1C" w14:textId="77777777" w:rsidR="007E7EAB" w:rsidRPr="007E50F7" w:rsidRDefault="007E7EAB" w:rsidP="00E97EDA">
            <w:pPr>
              <w:pStyle w:val="answer"/>
              <w:keepNext/>
              <w:spacing w:before="60" w:after="60" w:line="240" w:lineRule="auto"/>
              <w:ind w:left="0" w:firstLine="0"/>
            </w:pPr>
            <w:r w:rsidRPr="007E50F7">
              <w:t>Large General Service (Schedules 21, 22)</w:t>
            </w:r>
          </w:p>
        </w:tc>
        <w:tc>
          <w:tcPr>
            <w:tcW w:w="1296" w:type="dxa"/>
            <w:vAlign w:val="center"/>
          </w:tcPr>
          <w:p w14:paraId="6CFC0C1D" w14:textId="77777777" w:rsidR="007E7EAB" w:rsidRPr="007E50F7" w:rsidRDefault="007E7EAB" w:rsidP="00BF14F4">
            <w:pPr>
              <w:pStyle w:val="answer"/>
              <w:keepNext/>
              <w:spacing w:before="60" w:after="60" w:line="240" w:lineRule="auto"/>
              <w:ind w:left="0" w:firstLine="0"/>
              <w:jc w:val="center"/>
            </w:pPr>
            <w:r w:rsidRPr="007E50F7">
              <w:t>1.1</w:t>
            </w:r>
            <w:r w:rsidR="00BF14F4" w:rsidRPr="007E50F7">
              <w:t>4</w:t>
            </w:r>
          </w:p>
        </w:tc>
        <w:tc>
          <w:tcPr>
            <w:tcW w:w="1296" w:type="dxa"/>
            <w:vAlign w:val="center"/>
          </w:tcPr>
          <w:p w14:paraId="6CFC0C1E" w14:textId="77777777" w:rsidR="007E7EAB" w:rsidRPr="007E50F7" w:rsidRDefault="007E7EAB" w:rsidP="00955041">
            <w:pPr>
              <w:pStyle w:val="answer"/>
              <w:keepNext/>
              <w:spacing w:before="60" w:after="60" w:line="240" w:lineRule="auto"/>
              <w:ind w:left="0" w:firstLine="0"/>
              <w:jc w:val="center"/>
            </w:pPr>
            <w:r w:rsidRPr="007E50F7">
              <w:t>1.1</w:t>
            </w:r>
            <w:r w:rsidR="00955041" w:rsidRPr="007E50F7">
              <w:t>4</w:t>
            </w:r>
          </w:p>
        </w:tc>
      </w:tr>
      <w:tr w:rsidR="007E50F7" w:rsidRPr="007E50F7" w14:paraId="6CFC0C23" w14:textId="77777777" w:rsidTr="007E7EAB">
        <w:trPr>
          <w:cantSplit/>
        </w:trPr>
        <w:tc>
          <w:tcPr>
            <w:tcW w:w="4691" w:type="dxa"/>
            <w:vAlign w:val="center"/>
          </w:tcPr>
          <w:p w14:paraId="6CFC0C20" w14:textId="77777777" w:rsidR="007E7EAB" w:rsidRPr="007E50F7" w:rsidRDefault="007E7EAB" w:rsidP="00E97EDA">
            <w:pPr>
              <w:pStyle w:val="answer"/>
              <w:keepNext/>
              <w:spacing w:before="60" w:after="60" w:line="240" w:lineRule="auto"/>
              <w:ind w:left="0" w:firstLine="0"/>
            </w:pPr>
            <w:r w:rsidRPr="007E50F7">
              <w:t>Extra Large General Service (Schedule 25)</w:t>
            </w:r>
          </w:p>
        </w:tc>
        <w:tc>
          <w:tcPr>
            <w:tcW w:w="1296" w:type="dxa"/>
            <w:vAlign w:val="center"/>
          </w:tcPr>
          <w:p w14:paraId="6CFC0C21" w14:textId="77777777" w:rsidR="007E7EAB" w:rsidRPr="007E50F7" w:rsidRDefault="007E7EAB" w:rsidP="00E97EDA">
            <w:pPr>
              <w:pStyle w:val="answer"/>
              <w:keepNext/>
              <w:spacing w:before="60" w:after="60" w:line="240" w:lineRule="auto"/>
              <w:ind w:left="0" w:firstLine="0"/>
              <w:jc w:val="center"/>
            </w:pPr>
            <w:r w:rsidRPr="007E50F7">
              <w:t>0.93</w:t>
            </w:r>
          </w:p>
        </w:tc>
        <w:tc>
          <w:tcPr>
            <w:tcW w:w="1296" w:type="dxa"/>
            <w:vAlign w:val="center"/>
          </w:tcPr>
          <w:p w14:paraId="6CFC0C22" w14:textId="77777777" w:rsidR="007E7EAB" w:rsidRPr="007E50F7" w:rsidRDefault="007E7EAB" w:rsidP="00AF632B">
            <w:pPr>
              <w:pStyle w:val="answer"/>
              <w:keepNext/>
              <w:spacing w:before="60" w:after="60" w:line="240" w:lineRule="auto"/>
              <w:ind w:left="0" w:firstLine="0"/>
              <w:jc w:val="center"/>
            </w:pPr>
            <w:r w:rsidRPr="007E50F7">
              <w:t>0.94</w:t>
            </w:r>
          </w:p>
        </w:tc>
      </w:tr>
      <w:tr w:rsidR="007E50F7" w:rsidRPr="007E50F7" w14:paraId="6CFC0C27" w14:textId="77777777" w:rsidTr="007E7EAB">
        <w:trPr>
          <w:cantSplit/>
        </w:trPr>
        <w:tc>
          <w:tcPr>
            <w:tcW w:w="4691" w:type="dxa"/>
            <w:vAlign w:val="center"/>
          </w:tcPr>
          <w:p w14:paraId="6CFC0C24" w14:textId="77777777" w:rsidR="007E7EAB" w:rsidRPr="007E50F7" w:rsidRDefault="007E7EAB" w:rsidP="00E97EDA">
            <w:pPr>
              <w:pStyle w:val="answer"/>
              <w:keepNext/>
              <w:spacing w:before="60" w:after="60" w:line="240" w:lineRule="auto"/>
              <w:ind w:left="0" w:firstLine="0"/>
            </w:pPr>
            <w:r w:rsidRPr="007E50F7">
              <w:t>Pumping Service (Schedules 31, 32)</w:t>
            </w:r>
          </w:p>
        </w:tc>
        <w:tc>
          <w:tcPr>
            <w:tcW w:w="1296" w:type="dxa"/>
            <w:vAlign w:val="center"/>
          </w:tcPr>
          <w:p w14:paraId="6CFC0C25" w14:textId="77777777" w:rsidR="007E7EAB" w:rsidRPr="007E50F7" w:rsidRDefault="007E7EAB" w:rsidP="00AF632B">
            <w:pPr>
              <w:pStyle w:val="answer"/>
              <w:keepNext/>
              <w:spacing w:before="60" w:after="60" w:line="240" w:lineRule="auto"/>
              <w:ind w:left="0" w:firstLine="0"/>
              <w:jc w:val="center"/>
            </w:pPr>
            <w:r w:rsidRPr="007E50F7">
              <w:t>0.97</w:t>
            </w:r>
          </w:p>
        </w:tc>
        <w:tc>
          <w:tcPr>
            <w:tcW w:w="1296" w:type="dxa"/>
            <w:vAlign w:val="center"/>
          </w:tcPr>
          <w:p w14:paraId="6CFC0C26" w14:textId="77777777" w:rsidR="007E7EAB" w:rsidRPr="007E50F7" w:rsidRDefault="007E7EAB" w:rsidP="00955041">
            <w:pPr>
              <w:pStyle w:val="answer"/>
              <w:keepNext/>
              <w:spacing w:before="60" w:after="60" w:line="240" w:lineRule="auto"/>
              <w:ind w:left="0" w:firstLine="0"/>
              <w:jc w:val="center"/>
            </w:pPr>
            <w:r w:rsidRPr="007E50F7">
              <w:t>0.9</w:t>
            </w:r>
            <w:r w:rsidR="00955041" w:rsidRPr="007E50F7">
              <w:t>7</w:t>
            </w:r>
          </w:p>
        </w:tc>
      </w:tr>
      <w:tr w:rsidR="007E50F7" w:rsidRPr="007E50F7" w14:paraId="6CFC0C2B" w14:textId="77777777" w:rsidTr="007E7EAB">
        <w:trPr>
          <w:cantSplit/>
        </w:trPr>
        <w:tc>
          <w:tcPr>
            <w:tcW w:w="4691" w:type="dxa"/>
            <w:vAlign w:val="center"/>
          </w:tcPr>
          <w:p w14:paraId="6CFC0C28" w14:textId="77777777" w:rsidR="007E7EAB" w:rsidRPr="007E50F7" w:rsidRDefault="007E7EAB" w:rsidP="00E97EDA">
            <w:pPr>
              <w:pStyle w:val="answer"/>
              <w:keepNext/>
              <w:spacing w:before="60" w:after="60" w:line="240" w:lineRule="auto"/>
              <w:ind w:left="0" w:firstLine="0"/>
            </w:pPr>
            <w:r w:rsidRPr="007E50F7">
              <w:t>Street &amp; Area Lights (Schedules 41-49)</w:t>
            </w:r>
          </w:p>
        </w:tc>
        <w:tc>
          <w:tcPr>
            <w:tcW w:w="1296" w:type="dxa"/>
            <w:vAlign w:val="center"/>
          </w:tcPr>
          <w:p w14:paraId="6CFC0C29" w14:textId="77777777" w:rsidR="007E7EAB" w:rsidRPr="007E50F7" w:rsidRDefault="007E7EAB" w:rsidP="00AF632B">
            <w:pPr>
              <w:pStyle w:val="answer"/>
              <w:keepNext/>
              <w:spacing w:before="60" w:after="60" w:line="240" w:lineRule="auto"/>
              <w:ind w:left="0" w:firstLine="0"/>
              <w:jc w:val="center"/>
            </w:pPr>
            <w:r w:rsidRPr="007E50F7">
              <w:t>1.01</w:t>
            </w:r>
          </w:p>
        </w:tc>
        <w:tc>
          <w:tcPr>
            <w:tcW w:w="1296" w:type="dxa"/>
            <w:vAlign w:val="center"/>
          </w:tcPr>
          <w:p w14:paraId="6CFC0C2A" w14:textId="77777777" w:rsidR="007E7EAB" w:rsidRPr="007E50F7" w:rsidRDefault="007E7EAB" w:rsidP="00AF632B">
            <w:pPr>
              <w:pStyle w:val="answer"/>
              <w:keepNext/>
              <w:spacing w:before="60" w:after="60" w:line="240" w:lineRule="auto"/>
              <w:ind w:left="0" w:firstLine="0"/>
              <w:jc w:val="center"/>
            </w:pPr>
            <w:r w:rsidRPr="007E50F7">
              <w:t>0.98</w:t>
            </w:r>
          </w:p>
        </w:tc>
      </w:tr>
    </w:tbl>
    <w:p w14:paraId="6CFC0C2C" w14:textId="77777777" w:rsidR="00E97EDA" w:rsidRPr="007E50F7" w:rsidRDefault="00E97EDA" w:rsidP="00E97EDA">
      <w:pPr>
        <w:pStyle w:val="Answer-Testimony"/>
        <w:jc w:val="center"/>
      </w:pPr>
      <w:r w:rsidRPr="007E50F7">
        <w:t xml:space="preserve">Table 1:  Summary of Parity </w:t>
      </w:r>
      <w:r w:rsidR="00AF632B" w:rsidRPr="007E50F7">
        <w:t>Ratios</w:t>
      </w:r>
    </w:p>
    <w:p w14:paraId="6CFC0C2D" w14:textId="77777777" w:rsidR="00E97EDA" w:rsidRPr="000559D0" w:rsidRDefault="00E97EDA" w:rsidP="00E97EDA">
      <w:pPr>
        <w:pStyle w:val="Answer-Testimony"/>
        <w:rPr>
          <w:color w:val="FFFFFF" w:themeColor="background1"/>
        </w:rPr>
      </w:pPr>
      <w:r w:rsidRPr="000559D0">
        <w:rPr>
          <w:color w:val="FFFFFF" w:themeColor="background1"/>
        </w:rPr>
        <w:t>R</w:t>
      </w:r>
    </w:p>
    <w:p w14:paraId="6CFC0C2E" w14:textId="77777777" w:rsidR="00E97EDA" w:rsidRPr="000559D0" w:rsidRDefault="00E97EDA" w:rsidP="00E97EDA">
      <w:pPr>
        <w:pStyle w:val="Answer-Testimony"/>
        <w:rPr>
          <w:color w:val="FFFFFF" w:themeColor="background1"/>
        </w:rPr>
      </w:pPr>
      <w:r w:rsidRPr="000559D0">
        <w:rPr>
          <w:color w:val="FFFFFF" w:themeColor="background1"/>
        </w:rPr>
        <w:t>R</w:t>
      </w:r>
    </w:p>
    <w:p w14:paraId="6CFC0C2F" w14:textId="77777777" w:rsidR="00E97EDA" w:rsidRPr="000559D0" w:rsidRDefault="00E97EDA" w:rsidP="00E97EDA">
      <w:pPr>
        <w:pStyle w:val="Answer-Testimony"/>
        <w:rPr>
          <w:color w:val="FFFFFF" w:themeColor="background1"/>
        </w:rPr>
      </w:pPr>
      <w:r w:rsidRPr="000559D0">
        <w:rPr>
          <w:color w:val="FFFFFF" w:themeColor="background1"/>
        </w:rPr>
        <w:t>R</w:t>
      </w:r>
    </w:p>
    <w:p w14:paraId="6CFC0C30" w14:textId="77777777" w:rsidR="00E97EDA" w:rsidRPr="000559D0" w:rsidRDefault="00E97EDA" w:rsidP="00E97EDA">
      <w:pPr>
        <w:pStyle w:val="Answer-Testimony"/>
        <w:rPr>
          <w:color w:val="FFFFFF" w:themeColor="background1"/>
        </w:rPr>
      </w:pPr>
      <w:r w:rsidRPr="000559D0">
        <w:rPr>
          <w:color w:val="FFFFFF" w:themeColor="background1"/>
        </w:rPr>
        <w:t>R</w:t>
      </w:r>
    </w:p>
    <w:p w14:paraId="6CFC0C31" w14:textId="77777777" w:rsidR="00E97EDA" w:rsidRPr="000559D0" w:rsidRDefault="00E97EDA" w:rsidP="00E97EDA">
      <w:pPr>
        <w:pStyle w:val="Answer-Testimony"/>
        <w:rPr>
          <w:color w:val="FFFFFF" w:themeColor="background1"/>
        </w:rPr>
      </w:pPr>
      <w:r w:rsidRPr="000559D0">
        <w:rPr>
          <w:color w:val="FFFFFF" w:themeColor="background1"/>
        </w:rPr>
        <w:t>R</w:t>
      </w:r>
    </w:p>
    <w:p w14:paraId="6CFC0C32" w14:textId="77777777" w:rsidR="00E97EDA" w:rsidRPr="000559D0" w:rsidRDefault="00E97EDA" w:rsidP="00E97EDA">
      <w:pPr>
        <w:pStyle w:val="Question-Testimony"/>
        <w:rPr>
          <w:color w:val="FFFFFF" w:themeColor="background1"/>
        </w:rPr>
      </w:pPr>
      <w:r w:rsidRPr="000559D0">
        <w:rPr>
          <w:color w:val="FFFFFF" w:themeColor="background1"/>
        </w:rPr>
        <w:t>R</w:t>
      </w:r>
    </w:p>
    <w:p w14:paraId="6CFC0C33" w14:textId="77777777" w:rsidR="00E97EDA" w:rsidRPr="000559D0" w:rsidRDefault="00E97EDA" w:rsidP="00E97EDA">
      <w:pPr>
        <w:pStyle w:val="Question-Testimony"/>
        <w:rPr>
          <w:color w:val="FFFFFF" w:themeColor="background1"/>
        </w:rPr>
      </w:pPr>
      <w:r w:rsidRPr="000559D0">
        <w:rPr>
          <w:color w:val="FFFFFF" w:themeColor="background1"/>
        </w:rPr>
        <w:t>R</w:t>
      </w:r>
    </w:p>
    <w:p w14:paraId="6CFC0C34" w14:textId="77777777" w:rsidR="00540F01" w:rsidRPr="000559D0" w:rsidRDefault="00540F01" w:rsidP="00540F01">
      <w:pPr>
        <w:pStyle w:val="Question-Testimony"/>
        <w:rPr>
          <w:b w:val="0"/>
          <w:color w:val="FFFFFF" w:themeColor="background1"/>
        </w:rPr>
      </w:pPr>
    </w:p>
    <w:p w14:paraId="6CFC0C35" w14:textId="77777777" w:rsidR="00980C24" w:rsidRPr="007E50F7" w:rsidRDefault="00980C24" w:rsidP="00980C24">
      <w:pPr>
        <w:pStyle w:val="Question-Testimony"/>
      </w:pPr>
      <w:r w:rsidRPr="007E50F7">
        <w:t>Q.</w:t>
      </w:r>
      <w:r w:rsidRPr="007E50F7">
        <w:tab/>
        <w:t xml:space="preserve">Does that </w:t>
      </w:r>
      <w:r w:rsidR="005415AD" w:rsidRPr="007E50F7">
        <w:t xml:space="preserve">table </w:t>
      </w:r>
      <w:r w:rsidRPr="007E50F7">
        <w:t xml:space="preserve">provide a fair representation of each </w:t>
      </w:r>
      <w:r w:rsidR="00DE6039" w:rsidRPr="007E50F7">
        <w:t xml:space="preserve">customer </w:t>
      </w:r>
      <w:r w:rsidRPr="007E50F7">
        <w:t>class’ contributions to the overall rate of return?</w:t>
      </w:r>
    </w:p>
    <w:p w14:paraId="6CFC0C36" w14:textId="77777777" w:rsidR="00980C24" w:rsidRPr="007E50F7" w:rsidRDefault="00980C24" w:rsidP="00DC78B5">
      <w:pPr>
        <w:pStyle w:val="Answer-Testimony"/>
      </w:pPr>
      <w:r w:rsidRPr="007E50F7">
        <w:t>A.</w:t>
      </w:r>
      <w:r w:rsidRPr="007E50F7">
        <w:tab/>
      </w:r>
      <w:r w:rsidR="00CB726C" w:rsidRPr="007E50F7">
        <w:t>Yes</w:t>
      </w:r>
      <w:r w:rsidRPr="007E50F7">
        <w:t xml:space="preserve">.  While Staff’s different revenue requirement adjustments </w:t>
      </w:r>
      <w:r w:rsidR="006526D6" w:rsidRPr="007E50F7">
        <w:t xml:space="preserve">change </w:t>
      </w:r>
      <w:r w:rsidRPr="007E50F7">
        <w:t xml:space="preserve">the resulting </w:t>
      </w:r>
      <w:r w:rsidR="00DE6039" w:rsidRPr="007E50F7">
        <w:t>parity ratios somewhat</w:t>
      </w:r>
      <w:r w:rsidRPr="007E50F7">
        <w:t>, the relative proportion of each schedule’s contribution to the total remains approximately the same.</w:t>
      </w:r>
      <w:r w:rsidR="00CB726C" w:rsidRPr="007E50F7">
        <w:t xml:space="preserve"> </w:t>
      </w:r>
      <w:r w:rsidR="00F5655A" w:rsidRPr="007E50F7">
        <w:t xml:space="preserve"> </w:t>
      </w:r>
      <w:r w:rsidR="00CB726C" w:rsidRPr="007E50F7">
        <w:t>However, t</w:t>
      </w:r>
      <w:r w:rsidR="00F5655A" w:rsidRPr="007E50F7">
        <w:t xml:space="preserve">he Company </w:t>
      </w:r>
      <w:r w:rsidR="006526D6" w:rsidRPr="007E50F7">
        <w:t xml:space="preserve">does not </w:t>
      </w:r>
      <w:r w:rsidR="00F5655A" w:rsidRPr="007E50F7">
        <w:t>allocat</w:t>
      </w:r>
      <w:r w:rsidR="006526D6" w:rsidRPr="007E50F7">
        <w:t xml:space="preserve">e the </w:t>
      </w:r>
      <w:r w:rsidR="00F5655A" w:rsidRPr="007E50F7">
        <w:t xml:space="preserve">revenue increase among the schedules </w:t>
      </w:r>
      <w:r w:rsidR="006526D6" w:rsidRPr="007E50F7">
        <w:t xml:space="preserve">per its </w:t>
      </w:r>
      <w:r w:rsidR="00F5655A" w:rsidRPr="007E50F7">
        <w:t>cost of service study</w:t>
      </w:r>
      <w:r w:rsidR="006526D6" w:rsidRPr="007E50F7">
        <w:t>.  T</w:t>
      </w:r>
      <w:r w:rsidR="00CB726C" w:rsidRPr="007E50F7">
        <w:t>herefore</w:t>
      </w:r>
      <w:r w:rsidR="00DE6039" w:rsidRPr="007E50F7">
        <w:t>,</w:t>
      </w:r>
      <w:r w:rsidR="00CB726C" w:rsidRPr="007E50F7">
        <w:t xml:space="preserve"> the inequities between </w:t>
      </w:r>
      <w:r w:rsidR="006526D6" w:rsidRPr="007E50F7">
        <w:t xml:space="preserve">the </w:t>
      </w:r>
      <w:r w:rsidR="00CB726C" w:rsidRPr="007E50F7">
        <w:t xml:space="preserve">rate </w:t>
      </w:r>
      <w:r w:rsidR="00F5655A" w:rsidRPr="007E50F7">
        <w:t>schedule</w:t>
      </w:r>
      <w:r w:rsidR="006526D6" w:rsidRPr="007E50F7">
        <w:t>s remain</w:t>
      </w:r>
      <w:r w:rsidR="00F5655A" w:rsidRPr="007E50F7">
        <w:t>.</w:t>
      </w:r>
      <w:r w:rsidR="00DE6039" w:rsidRPr="007E50F7">
        <w:t xml:space="preserve">  I address that issue next.</w:t>
      </w:r>
    </w:p>
    <w:p w14:paraId="6CFC0C37" w14:textId="77777777" w:rsidR="008A14BC" w:rsidRPr="007E50F7" w:rsidRDefault="008A14BC" w:rsidP="008A14BC">
      <w:pPr>
        <w:pStyle w:val="Answer-Testimony"/>
        <w:ind w:left="0" w:firstLine="0"/>
      </w:pPr>
    </w:p>
    <w:p w14:paraId="6CFC0C38" w14:textId="77777777" w:rsidR="008A14BC" w:rsidRPr="007E50F7" w:rsidRDefault="008A14BC" w:rsidP="001511AA">
      <w:pPr>
        <w:pStyle w:val="Heading3"/>
        <w:ind w:left="1440"/>
      </w:pPr>
      <w:bookmarkStart w:id="7" w:name="_Toc335809613"/>
      <w:r w:rsidRPr="007E50F7">
        <w:t>Revenue Allocation</w:t>
      </w:r>
      <w:bookmarkEnd w:id="7"/>
    </w:p>
    <w:p w14:paraId="6CFC0C39" w14:textId="77777777" w:rsidR="000905D9" w:rsidRPr="007E50F7" w:rsidRDefault="000905D9" w:rsidP="000905D9">
      <w:pPr>
        <w:pStyle w:val="BodyTextIndent"/>
      </w:pPr>
    </w:p>
    <w:p w14:paraId="6CFC0C3A" w14:textId="77777777" w:rsidR="000905D9" w:rsidRPr="007E50F7" w:rsidRDefault="000905D9" w:rsidP="000905D9">
      <w:pPr>
        <w:pStyle w:val="Question-Testimony"/>
      </w:pPr>
      <w:r w:rsidRPr="007E50F7">
        <w:t>Q.</w:t>
      </w:r>
      <w:r w:rsidRPr="007E50F7">
        <w:tab/>
        <w:t>Please explain the general concept of r</w:t>
      </w:r>
      <w:r w:rsidR="00C87022" w:rsidRPr="007E50F7">
        <w:t>evenue allocation</w:t>
      </w:r>
      <w:r w:rsidRPr="007E50F7">
        <w:t>.</w:t>
      </w:r>
    </w:p>
    <w:p w14:paraId="6CFC0C3B" w14:textId="77777777" w:rsidR="000905D9" w:rsidRPr="007E50F7" w:rsidRDefault="000905D9" w:rsidP="000905D9">
      <w:pPr>
        <w:pStyle w:val="Answer-Testimony"/>
      </w:pPr>
      <w:r w:rsidRPr="007E50F7">
        <w:t>A.</w:t>
      </w:r>
      <w:r w:rsidRPr="007E50F7">
        <w:tab/>
      </w:r>
      <w:r w:rsidR="00CA3B4C" w:rsidRPr="007E50F7">
        <w:t>R</w:t>
      </w:r>
      <w:r w:rsidRPr="007E50F7">
        <w:t>evenue allocation, also known as “rate spread</w:t>
      </w:r>
      <w:r w:rsidR="00741EC7">
        <w:t>,</w:t>
      </w:r>
      <w:r w:rsidRPr="007E50F7">
        <w:t>” is the process of determining the portion of total revenues to be collected from each rate schedule.</w:t>
      </w:r>
    </w:p>
    <w:p w14:paraId="6CFC0C3C" w14:textId="77777777" w:rsidR="00FE5FD1" w:rsidRPr="007E50F7" w:rsidRDefault="00FE5FD1" w:rsidP="00FE5FD1">
      <w:pPr>
        <w:pStyle w:val="Answer-Testimony"/>
      </w:pPr>
    </w:p>
    <w:p w14:paraId="6CFC0C3D" w14:textId="77777777" w:rsidR="00FE5FD1" w:rsidRPr="007E50F7" w:rsidRDefault="00FE5FD1" w:rsidP="00FE5FD1">
      <w:pPr>
        <w:pStyle w:val="Question-Testimony"/>
      </w:pPr>
      <w:r w:rsidRPr="007E50F7">
        <w:t>Q.</w:t>
      </w:r>
      <w:r w:rsidRPr="007E50F7">
        <w:tab/>
        <w:t xml:space="preserve">How should the Commission use </w:t>
      </w:r>
      <w:r w:rsidR="00D10E54" w:rsidRPr="007E50F7">
        <w:t xml:space="preserve">the </w:t>
      </w:r>
      <w:r w:rsidRPr="007E50F7">
        <w:t xml:space="preserve">parity ratios </w:t>
      </w:r>
      <w:r w:rsidR="00D10E54" w:rsidRPr="007E50F7">
        <w:t xml:space="preserve">from the cost of service study </w:t>
      </w:r>
      <w:r w:rsidR="0006430B" w:rsidRPr="007E50F7">
        <w:t xml:space="preserve">to </w:t>
      </w:r>
      <w:r w:rsidRPr="007E50F7">
        <w:t>allocat</w:t>
      </w:r>
      <w:r w:rsidR="0006430B" w:rsidRPr="007E50F7">
        <w:t>e</w:t>
      </w:r>
      <w:r w:rsidRPr="007E50F7">
        <w:t xml:space="preserve"> revenues in this case?</w:t>
      </w:r>
    </w:p>
    <w:p w14:paraId="6CFC0C3E" w14:textId="77777777" w:rsidR="00FE5FD1" w:rsidRPr="007E50F7" w:rsidRDefault="00FE5FD1" w:rsidP="00FE5FD1">
      <w:pPr>
        <w:pStyle w:val="Answer-Testimony"/>
        <w:rPr>
          <w:b/>
        </w:rPr>
      </w:pPr>
      <w:r w:rsidRPr="007E50F7">
        <w:t>A.</w:t>
      </w:r>
      <w:r w:rsidRPr="007E50F7">
        <w:tab/>
        <w:t xml:space="preserve">The Commission should consider parity ratios as an important part of the process.  Overall, the Commission should move rate schedules closer to parity if they are significantly out of parity.  </w:t>
      </w:r>
    </w:p>
    <w:p w14:paraId="6CFC0C3F" w14:textId="77777777" w:rsidR="00FE5FD1" w:rsidRPr="007E50F7" w:rsidRDefault="00FE5FD1" w:rsidP="00FE5FD1">
      <w:pPr>
        <w:pStyle w:val="Answer-Testimony"/>
        <w:rPr>
          <w:b/>
        </w:rPr>
      </w:pPr>
      <w:r w:rsidRPr="007E50F7">
        <w:tab/>
      </w:r>
      <w:r w:rsidRPr="007E50F7">
        <w:tab/>
        <w:t xml:space="preserve">However, parity is not the only factor.  The Commission should also consider the appearance of fairness, perceptions of equity, economic conditions in the service </w:t>
      </w:r>
      <w:r w:rsidRPr="007E50F7">
        <w:lastRenderedPageBreak/>
        <w:t>territory, and rate stability.</w:t>
      </w:r>
      <w:r w:rsidRPr="007E50F7">
        <w:rPr>
          <w:rStyle w:val="FootnoteReference"/>
        </w:rPr>
        <w:footnoteReference w:id="5"/>
      </w:r>
      <w:r w:rsidR="00C71FF0" w:rsidRPr="007E50F7">
        <w:t xml:space="preserve">  </w:t>
      </w:r>
      <w:r w:rsidR="00D10E54" w:rsidRPr="007E50F7">
        <w:t xml:space="preserve">I discuss each of </w:t>
      </w:r>
      <w:r w:rsidR="00C71FF0" w:rsidRPr="007E50F7">
        <w:t xml:space="preserve">these considerations later </w:t>
      </w:r>
      <w:r w:rsidR="00D10E54" w:rsidRPr="007E50F7">
        <w:t xml:space="preserve">in </w:t>
      </w:r>
      <w:r w:rsidR="00C71FF0" w:rsidRPr="007E50F7">
        <w:t>my testimony.</w:t>
      </w:r>
    </w:p>
    <w:p w14:paraId="6CFC0C40" w14:textId="77777777" w:rsidR="00FE5FD1" w:rsidRPr="007E50F7" w:rsidRDefault="00FE5FD1" w:rsidP="00FE5FD1">
      <w:pPr>
        <w:pStyle w:val="Question-Testimony"/>
      </w:pPr>
    </w:p>
    <w:p w14:paraId="6CFC0C41" w14:textId="77777777" w:rsidR="00FE5FD1" w:rsidRPr="007E50F7" w:rsidRDefault="00FE5FD1" w:rsidP="00FE5FD1">
      <w:pPr>
        <w:pStyle w:val="Question-Testimony"/>
      </w:pPr>
      <w:r w:rsidRPr="007E50F7">
        <w:t>Q.</w:t>
      </w:r>
      <w:r w:rsidRPr="007E50F7">
        <w:tab/>
        <w:t>Is it practical to achieve a parity ratio of 1.00 for every rate schedule?</w:t>
      </w:r>
    </w:p>
    <w:p w14:paraId="6CFC0C42" w14:textId="77777777" w:rsidR="00FE5FD1" w:rsidRPr="007E50F7" w:rsidRDefault="00FE5FD1" w:rsidP="00FE5FD1">
      <w:pPr>
        <w:pStyle w:val="Answer-Testimony"/>
      </w:pPr>
      <w:r w:rsidRPr="007E50F7">
        <w:t>A.</w:t>
      </w:r>
      <w:r w:rsidRPr="007E50F7">
        <w:tab/>
        <w:t xml:space="preserve">No.  For one thing, the assumptions and results of the cost of service study are often disputed among the parties.  It is a matter of informed judgment to determine how much of the average rate increase is fairly apportioned to each schedule.  </w:t>
      </w:r>
      <w:r w:rsidR="00D10E54" w:rsidRPr="007E50F7">
        <w:t xml:space="preserve">Consequently, </w:t>
      </w:r>
      <w:r w:rsidRPr="007E50F7">
        <w:t>if a rate schedule is at 95 percent parity or 105 percent parity, that likely justifies an equal percentage increase.</w:t>
      </w:r>
    </w:p>
    <w:p w14:paraId="6CFC0C43" w14:textId="77777777" w:rsidR="003E0CC4" w:rsidRPr="007E50F7" w:rsidRDefault="003E0CC4" w:rsidP="003E0CC4">
      <w:pPr>
        <w:pStyle w:val="Question-Testimony"/>
      </w:pPr>
    </w:p>
    <w:p w14:paraId="6CFC0C44" w14:textId="77777777" w:rsidR="003E0CC4" w:rsidRPr="007E50F7" w:rsidRDefault="003E0CC4" w:rsidP="003E0CC4">
      <w:pPr>
        <w:pStyle w:val="Question-Testimony"/>
      </w:pPr>
      <w:r w:rsidRPr="007E50F7">
        <w:t>Q.</w:t>
      </w:r>
      <w:r w:rsidRPr="007E50F7">
        <w:tab/>
      </w:r>
      <w:r w:rsidR="00D10E54" w:rsidRPr="007E50F7">
        <w:t>Where are the imbalances shown in the results of the cost of service study?</w:t>
      </w:r>
    </w:p>
    <w:p w14:paraId="6CFC0C45" w14:textId="77777777" w:rsidR="003E0CC4" w:rsidRPr="007E50F7" w:rsidRDefault="003E0CC4" w:rsidP="003E0CC4">
      <w:pPr>
        <w:pStyle w:val="Answer-Testimony"/>
      </w:pPr>
      <w:r w:rsidRPr="007E50F7">
        <w:t>A.</w:t>
      </w:r>
      <w:r w:rsidRPr="007E50F7">
        <w:tab/>
        <w:t>As the above</w:t>
      </w:r>
      <w:r w:rsidR="001A1F78" w:rsidRPr="007E50F7">
        <w:t xml:space="preserve"> T</w:t>
      </w:r>
      <w:r w:rsidRPr="007E50F7">
        <w:t>able</w:t>
      </w:r>
      <w:r w:rsidR="001A1F78" w:rsidRPr="007E50F7">
        <w:t xml:space="preserve"> 1</w:t>
      </w:r>
      <w:r w:rsidRPr="007E50F7">
        <w:t xml:space="preserve"> shows, </w:t>
      </w:r>
      <w:r w:rsidR="00264C9B" w:rsidRPr="007E50F7">
        <w:t xml:space="preserve">the </w:t>
      </w:r>
      <w:r w:rsidR="00D10E54" w:rsidRPr="007E50F7">
        <w:t xml:space="preserve">parity </w:t>
      </w:r>
      <w:r w:rsidR="00264C9B" w:rsidRPr="007E50F7">
        <w:t xml:space="preserve">imbalances are reflected in </w:t>
      </w:r>
      <w:r w:rsidR="001A1F78" w:rsidRPr="007E50F7">
        <w:t>Residential Schedule 1</w:t>
      </w:r>
      <w:r w:rsidR="00D10E54" w:rsidRPr="007E50F7">
        <w:t>,</w:t>
      </w:r>
      <w:r w:rsidR="001A1F78" w:rsidRPr="007E50F7">
        <w:t xml:space="preserve"> </w:t>
      </w:r>
      <w:r w:rsidR="00264C9B" w:rsidRPr="007E50F7">
        <w:t xml:space="preserve">which is </w:t>
      </w:r>
      <w:r w:rsidR="001A1F78" w:rsidRPr="007E50F7">
        <w:t>covering 89 percent of its cost of service</w:t>
      </w:r>
      <w:r w:rsidR="00146A9C" w:rsidRPr="007E50F7">
        <w:t>;</w:t>
      </w:r>
      <w:r w:rsidR="001A1F78" w:rsidRPr="007E50F7">
        <w:t xml:space="preserve"> while </w:t>
      </w:r>
      <w:r w:rsidR="00264C9B" w:rsidRPr="007E50F7">
        <w:t xml:space="preserve">General Service </w:t>
      </w:r>
      <w:r w:rsidR="001A1F78" w:rsidRPr="007E50F7">
        <w:t>Schedules</w:t>
      </w:r>
      <w:r w:rsidR="00264C9B" w:rsidRPr="007E50F7">
        <w:t xml:space="preserve"> 11 and 12</w:t>
      </w:r>
      <w:r w:rsidR="001A1F78" w:rsidRPr="007E50F7">
        <w:t xml:space="preserve"> covers 13</w:t>
      </w:r>
      <w:r w:rsidR="00BF14F4" w:rsidRPr="007E50F7">
        <w:t>1</w:t>
      </w:r>
      <w:r w:rsidR="001A1F78" w:rsidRPr="007E50F7">
        <w:t xml:space="preserve"> percent of its cost of service, </w:t>
      </w:r>
      <w:r w:rsidR="00264C9B" w:rsidRPr="007E50F7">
        <w:t>and Large General Service Schedules 21 and 22 covers 11</w:t>
      </w:r>
      <w:r w:rsidR="00BF14F4" w:rsidRPr="007E50F7">
        <w:t>4</w:t>
      </w:r>
      <w:r w:rsidR="00264C9B" w:rsidRPr="007E50F7">
        <w:t xml:space="preserve"> percent of its cost of service</w:t>
      </w:r>
      <w:r w:rsidR="001A1F78" w:rsidRPr="007E50F7">
        <w:t xml:space="preserve">.  The other rate schedules are within </w:t>
      </w:r>
      <w:r w:rsidR="00D10E54" w:rsidRPr="007E50F7">
        <w:t xml:space="preserve">an acceptable range of </w:t>
      </w:r>
      <w:r w:rsidR="001A1F78" w:rsidRPr="007E50F7">
        <w:t>covering their particular cost of service</w:t>
      </w:r>
      <w:r w:rsidRPr="007E50F7">
        <w:t>.</w:t>
      </w:r>
    </w:p>
    <w:p w14:paraId="6CFC0C46" w14:textId="77777777" w:rsidR="003E0CC4" w:rsidRPr="007E50F7" w:rsidRDefault="003E0CC4" w:rsidP="00C87022">
      <w:pPr>
        <w:pStyle w:val="Answer-Testimony"/>
      </w:pPr>
    </w:p>
    <w:p w14:paraId="6CFC0C47" w14:textId="77777777" w:rsidR="00434467" w:rsidRPr="007E50F7" w:rsidRDefault="00434467" w:rsidP="00434467">
      <w:pPr>
        <w:pStyle w:val="Question-Testimony"/>
      </w:pPr>
      <w:r w:rsidRPr="007E50F7">
        <w:t>Q.</w:t>
      </w:r>
      <w:r w:rsidRPr="007E50F7">
        <w:tab/>
        <w:t>Why are the parity ratios for the Residential and General Service Schedules so out of balance?</w:t>
      </w:r>
    </w:p>
    <w:p w14:paraId="6CFC0C48" w14:textId="77777777" w:rsidR="00434467" w:rsidRPr="007E50F7" w:rsidRDefault="00434467" w:rsidP="00434467">
      <w:pPr>
        <w:pStyle w:val="Answer-Testimony"/>
      </w:pPr>
      <w:r w:rsidRPr="007E50F7">
        <w:t>A.</w:t>
      </w:r>
      <w:r w:rsidRPr="007E50F7">
        <w:tab/>
        <w:t>This is likely due to the equal percentage increases that were applied in the past several general rate cases, most of which involved settlements.</w:t>
      </w:r>
    </w:p>
    <w:p w14:paraId="6CFC0C49" w14:textId="77777777" w:rsidR="00434467" w:rsidRPr="007E50F7" w:rsidRDefault="00434467" w:rsidP="00C87022">
      <w:pPr>
        <w:pStyle w:val="Answer-Testimony"/>
      </w:pPr>
    </w:p>
    <w:p w14:paraId="6CFC0C4A" w14:textId="77777777" w:rsidR="003E0CC4" w:rsidRPr="007E50F7" w:rsidRDefault="003E0CC4" w:rsidP="003E0CC4">
      <w:pPr>
        <w:pStyle w:val="Question-Testimony"/>
      </w:pPr>
      <w:r w:rsidRPr="007E50F7">
        <w:lastRenderedPageBreak/>
        <w:t>Q.</w:t>
      </w:r>
      <w:r w:rsidRPr="007E50F7">
        <w:tab/>
        <w:t>What is Staff’s recommendation on revenue allocation?</w:t>
      </w:r>
    </w:p>
    <w:p w14:paraId="6CFC0C4B" w14:textId="77777777" w:rsidR="003E0CC4" w:rsidRPr="007E50F7" w:rsidRDefault="003E0CC4" w:rsidP="003E0CC4">
      <w:pPr>
        <w:pStyle w:val="Answer-Testimony"/>
      </w:pPr>
      <w:r w:rsidRPr="007E50F7">
        <w:t>A.</w:t>
      </w:r>
      <w:r w:rsidRPr="007E50F7">
        <w:tab/>
      </w:r>
      <w:r w:rsidR="00D10E54" w:rsidRPr="007E50F7">
        <w:t xml:space="preserve">Based on </w:t>
      </w:r>
      <w:r w:rsidRPr="007E50F7">
        <w:t xml:space="preserve">Staff’s recommended overall revenue </w:t>
      </w:r>
      <w:r w:rsidR="00000DA1" w:rsidRPr="007E50F7">
        <w:t>de</w:t>
      </w:r>
      <w:r w:rsidRPr="007E50F7">
        <w:t xml:space="preserve">crease of </w:t>
      </w:r>
      <w:r w:rsidR="00704120" w:rsidRPr="007E50F7">
        <w:t>0.</w:t>
      </w:r>
      <w:r w:rsidR="00000DA1" w:rsidRPr="007E50F7">
        <w:t>29</w:t>
      </w:r>
      <w:r w:rsidRPr="007E50F7">
        <w:t xml:space="preserve"> percent</w:t>
      </w:r>
      <w:r w:rsidR="00D10E54" w:rsidRPr="007E50F7">
        <w:t xml:space="preserve">, and in </w:t>
      </w:r>
      <w:r w:rsidRPr="007E50F7">
        <w:t xml:space="preserve">order to move </w:t>
      </w:r>
      <w:r w:rsidR="00D10E54" w:rsidRPr="007E50F7">
        <w:t>S</w:t>
      </w:r>
      <w:r w:rsidRPr="007E50F7">
        <w:t xml:space="preserve">chedules </w:t>
      </w:r>
      <w:r w:rsidR="00D10E54" w:rsidRPr="007E50F7">
        <w:t xml:space="preserve">1, 11, 12, 21 and 22 </w:t>
      </w:r>
      <w:r w:rsidRPr="007E50F7">
        <w:t>closer to parity, Staff recommends the following increases</w:t>
      </w:r>
      <w:r w:rsidR="00704120" w:rsidRPr="007E50F7">
        <w:t>/decreases</w:t>
      </w:r>
      <w:r w:rsidRPr="007E50F7">
        <w:t>:</w:t>
      </w:r>
    </w:p>
    <w:p w14:paraId="6CFC0C4C" w14:textId="77777777" w:rsidR="003E0CC4" w:rsidRPr="007E50F7" w:rsidRDefault="003E0CC4" w:rsidP="003E0CC4">
      <w:pPr>
        <w:pStyle w:val="Answer-Testimony"/>
        <w:numPr>
          <w:ilvl w:val="0"/>
          <w:numId w:val="31"/>
        </w:numPr>
      </w:pPr>
      <w:r w:rsidRPr="007E50F7">
        <w:t>Schedule 1, Residential, get</w:t>
      </w:r>
      <w:r w:rsidR="00832957" w:rsidRPr="007E50F7">
        <w:t>s</w:t>
      </w:r>
      <w:r w:rsidRPr="007E50F7">
        <w:t xml:space="preserve"> a</w:t>
      </w:r>
      <w:r w:rsidR="00832957" w:rsidRPr="007E50F7">
        <w:t>n</w:t>
      </w:r>
      <w:r w:rsidRPr="007E50F7">
        <w:t xml:space="preserve"> increase of </w:t>
      </w:r>
      <w:r w:rsidR="00000DA1" w:rsidRPr="007E50F7">
        <w:t>0</w:t>
      </w:r>
      <w:r w:rsidRPr="007E50F7">
        <w:t>.</w:t>
      </w:r>
      <w:r w:rsidR="00000DA1" w:rsidRPr="007E50F7">
        <w:t>88</w:t>
      </w:r>
      <w:r w:rsidRPr="007E50F7">
        <w:t xml:space="preserve"> percent.</w:t>
      </w:r>
    </w:p>
    <w:p w14:paraId="6CFC0C4D" w14:textId="77777777" w:rsidR="003E0CC4" w:rsidRPr="007E50F7" w:rsidRDefault="00832957" w:rsidP="003E0CC4">
      <w:pPr>
        <w:pStyle w:val="Answer-Testimony"/>
        <w:numPr>
          <w:ilvl w:val="0"/>
          <w:numId w:val="31"/>
        </w:numPr>
      </w:pPr>
      <w:r w:rsidRPr="007E50F7">
        <w:t>Schedules 11 and 12, General Service, get</w:t>
      </w:r>
      <w:r w:rsidR="003E0CC4" w:rsidRPr="007E50F7">
        <w:t xml:space="preserve"> a </w:t>
      </w:r>
      <w:r w:rsidR="00704120" w:rsidRPr="007E50F7">
        <w:t>decrease</w:t>
      </w:r>
      <w:r w:rsidR="003E0CC4" w:rsidRPr="007E50F7">
        <w:t xml:space="preserve"> of </w:t>
      </w:r>
      <w:r w:rsidR="00704120" w:rsidRPr="007E50F7">
        <w:t>1</w:t>
      </w:r>
      <w:r w:rsidR="003E0CC4" w:rsidRPr="007E50F7">
        <w:t>.</w:t>
      </w:r>
      <w:r w:rsidR="00000DA1" w:rsidRPr="007E50F7">
        <w:t>91</w:t>
      </w:r>
      <w:r w:rsidR="003E0CC4" w:rsidRPr="007E50F7">
        <w:t xml:space="preserve"> percent.</w:t>
      </w:r>
    </w:p>
    <w:p w14:paraId="6CFC0C4E" w14:textId="77777777" w:rsidR="003E0CC4" w:rsidRPr="007E50F7" w:rsidRDefault="003E0CC4" w:rsidP="003E0CC4">
      <w:pPr>
        <w:pStyle w:val="Answer-Testimony"/>
        <w:numPr>
          <w:ilvl w:val="0"/>
          <w:numId w:val="31"/>
        </w:numPr>
      </w:pPr>
      <w:r w:rsidRPr="007E50F7">
        <w:t xml:space="preserve">Schedules 21 and 22, Large General Service, get a </w:t>
      </w:r>
      <w:r w:rsidR="00704120" w:rsidRPr="007E50F7">
        <w:t>de</w:t>
      </w:r>
      <w:r w:rsidRPr="007E50F7">
        <w:t xml:space="preserve">crease of </w:t>
      </w:r>
      <w:r w:rsidR="00000DA1" w:rsidRPr="007E50F7">
        <w:t>2</w:t>
      </w:r>
      <w:r w:rsidRPr="007E50F7">
        <w:t>.</w:t>
      </w:r>
      <w:r w:rsidR="00000DA1" w:rsidRPr="007E50F7">
        <w:t>20</w:t>
      </w:r>
      <w:r w:rsidRPr="007E50F7">
        <w:t xml:space="preserve"> percent.</w:t>
      </w:r>
    </w:p>
    <w:p w14:paraId="6CFC0C4F" w14:textId="77777777" w:rsidR="003E0CC4" w:rsidRPr="007E50F7" w:rsidRDefault="003E0CC4" w:rsidP="003E0CC4">
      <w:pPr>
        <w:pStyle w:val="Answer-Testimony"/>
        <w:numPr>
          <w:ilvl w:val="0"/>
          <w:numId w:val="31"/>
        </w:numPr>
      </w:pPr>
      <w:r w:rsidRPr="007E50F7">
        <w:t xml:space="preserve">Schedule 25, Extra Large General Service, get </w:t>
      </w:r>
      <w:r w:rsidR="00704120" w:rsidRPr="007E50F7">
        <w:t>an</w:t>
      </w:r>
      <w:r w:rsidR="00D10E54" w:rsidRPr="007E50F7">
        <w:t xml:space="preserve"> </w:t>
      </w:r>
      <w:r w:rsidRPr="007E50F7">
        <w:t xml:space="preserve">increase of </w:t>
      </w:r>
      <w:r w:rsidR="00704120" w:rsidRPr="007E50F7">
        <w:t>1</w:t>
      </w:r>
      <w:r w:rsidRPr="007E50F7">
        <w:t>.</w:t>
      </w:r>
      <w:r w:rsidR="00000DA1" w:rsidRPr="007E50F7">
        <w:t>18</w:t>
      </w:r>
      <w:r w:rsidRPr="007E50F7">
        <w:t xml:space="preserve"> percent.</w:t>
      </w:r>
    </w:p>
    <w:p w14:paraId="6CFC0C50" w14:textId="77777777" w:rsidR="003E0CC4" w:rsidRPr="007E50F7" w:rsidRDefault="003E0CC4" w:rsidP="003E0CC4">
      <w:pPr>
        <w:pStyle w:val="Answer-Testimony"/>
        <w:numPr>
          <w:ilvl w:val="0"/>
          <w:numId w:val="31"/>
        </w:numPr>
      </w:pPr>
      <w:r w:rsidRPr="007E50F7">
        <w:t>Schedule 30-32, Pumping, get</w:t>
      </w:r>
      <w:r w:rsidR="00704120" w:rsidRPr="007E50F7">
        <w:t xml:space="preserve"> an</w:t>
      </w:r>
      <w:r w:rsidR="00D10E54" w:rsidRPr="007E50F7">
        <w:t xml:space="preserve"> </w:t>
      </w:r>
      <w:r w:rsidRPr="007E50F7">
        <w:t xml:space="preserve">increase of </w:t>
      </w:r>
      <w:r w:rsidR="00F96510" w:rsidRPr="007E50F7">
        <w:t>1</w:t>
      </w:r>
      <w:r w:rsidRPr="007E50F7">
        <w:t>.</w:t>
      </w:r>
      <w:r w:rsidR="00000DA1" w:rsidRPr="007E50F7">
        <w:t>49</w:t>
      </w:r>
      <w:r w:rsidRPr="007E50F7">
        <w:t xml:space="preserve"> percent.</w:t>
      </w:r>
    </w:p>
    <w:p w14:paraId="6CFC0C51" w14:textId="77777777" w:rsidR="003E0CC4" w:rsidRPr="007E50F7" w:rsidRDefault="003E0CC4" w:rsidP="003E0CC4">
      <w:pPr>
        <w:pStyle w:val="Answer-Testimony"/>
        <w:numPr>
          <w:ilvl w:val="0"/>
          <w:numId w:val="31"/>
        </w:numPr>
      </w:pPr>
      <w:r w:rsidRPr="007E50F7">
        <w:t>Schedule 41-48, Street &amp; Area Lighting, get</w:t>
      </w:r>
      <w:r w:rsidR="00704120" w:rsidRPr="007E50F7">
        <w:t xml:space="preserve"> a</w:t>
      </w:r>
      <w:r w:rsidR="00D10E54" w:rsidRPr="007E50F7">
        <w:t xml:space="preserve"> </w:t>
      </w:r>
      <w:r w:rsidR="00704120" w:rsidRPr="007E50F7">
        <w:t>de</w:t>
      </w:r>
      <w:r w:rsidRPr="007E50F7">
        <w:t xml:space="preserve">crease of </w:t>
      </w:r>
      <w:r w:rsidR="00704120" w:rsidRPr="007E50F7">
        <w:t>0</w:t>
      </w:r>
      <w:r w:rsidRPr="007E50F7">
        <w:t>.</w:t>
      </w:r>
      <w:r w:rsidR="00000DA1" w:rsidRPr="007E50F7">
        <w:t>69</w:t>
      </w:r>
      <w:r w:rsidRPr="007E50F7">
        <w:t xml:space="preserve"> percent.</w:t>
      </w:r>
    </w:p>
    <w:p w14:paraId="6CFC0C52" w14:textId="77777777" w:rsidR="003E0CC4" w:rsidRPr="00376BA8" w:rsidRDefault="003E0CC4" w:rsidP="003E0CC4">
      <w:pPr>
        <w:pStyle w:val="Answer-Testimony"/>
      </w:pPr>
    </w:p>
    <w:p w14:paraId="6CFC0C53" w14:textId="77777777" w:rsidR="003E0CC4" w:rsidRPr="00376BA8" w:rsidRDefault="003E0CC4" w:rsidP="003E0CC4">
      <w:pPr>
        <w:pStyle w:val="Question-Testimony"/>
      </w:pPr>
      <w:r w:rsidRPr="00376BA8">
        <w:t>Q.</w:t>
      </w:r>
      <w:r w:rsidRPr="00376BA8">
        <w:tab/>
        <w:t>Please explain why Schedule 1</w:t>
      </w:r>
      <w:r w:rsidR="00C61091" w:rsidRPr="00376BA8">
        <w:t>, 25, 30, 31 and 32</w:t>
      </w:r>
      <w:r w:rsidRPr="00376BA8">
        <w:t xml:space="preserve"> gets a</w:t>
      </w:r>
      <w:r w:rsidR="000559D0" w:rsidRPr="00376BA8">
        <w:t>n</w:t>
      </w:r>
      <w:r w:rsidRPr="00376BA8">
        <w:t xml:space="preserve"> increase, while Schedules 11, 12, 21, and 22 get a </w:t>
      </w:r>
      <w:r w:rsidR="000559D0" w:rsidRPr="00376BA8">
        <w:t>higher</w:t>
      </w:r>
      <w:r w:rsidRPr="00376BA8">
        <w:t xml:space="preserve"> than average </w:t>
      </w:r>
      <w:r w:rsidR="000559D0" w:rsidRPr="00376BA8">
        <w:t>de</w:t>
      </w:r>
      <w:r w:rsidRPr="00376BA8">
        <w:t>crease.</w:t>
      </w:r>
    </w:p>
    <w:p w14:paraId="6CFC0C54" w14:textId="77777777" w:rsidR="00D10E54" w:rsidRPr="00376BA8" w:rsidRDefault="001F4EBF" w:rsidP="003E0CC4">
      <w:pPr>
        <w:pStyle w:val="Answer-Testimony"/>
      </w:pPr>
      <w:r w:rsidRPr="00376BA8">
        <w:t>A.</w:t>
      </w:r>
      <w:r w:rsidRPr="00376BA8">
        <w:tab/>
        <w:t xml:space="preserve">Staff proposes a gradual move toward parity for those schedules that are not close to parity.  </w:t>
      </w:r>
      <w:r w:rsidR="00D10E54" w:rsidRPr="00376BA8">
        <w:t xml:space="preserve">In the context of all schedules </w:t>
      </w:r>
      <w:r w:rsidR="000559D0" w:rsidRPr="00376BA8">
        <w:t>gradually moving to reduce parity ratio imbalances</w:t>
      </w:r>
      <w:r w:rsidR="00D10E54" w:rsidRPr="00376BA8">
        <w:t xml:space="preserve">, Staff applied a much </w:t>
      </w:r>
      <w:r w:rsidR="000559D0" w:rsidRPr="00376BA8">
        <w:t>more</w:t>
      </w:r>
      <w:r w:rsidR="00D10E54" w:rsidRPr="00376BA8">
        <w:t xml:space="preserve"> than average </w:t>
      </w:r>
      <w:r w:rsidR="000559D0" w:rsidRPr="00376BA8">
        <w:t>de</w:t>
      </w:r>
      <w:r w:rsidR="00D10E54" w:rsidRPr="00376BA8">
        <w:t>crease to those schedules that are over-earning their cost of service, and a</w:t>
      </w:r>
      <w:r w:rsidR="000559D0" w:rsidRPr="00376BA8">
        <w:t>n</w:t>
      </w:r>
      <w:r w:rsidR="00D10E54" w:rsidRPr="00376BA8">
        <w:t xml:space="preserve"> increase for schedules that are under-earning their cost of service.</w:t>
      </w:r>
    </w:p>
    <w:p w14:paraId="6CFC0C55" w14:textId="77777777" w:rsidR="003E0CC4" w:rsidRPr="00376BA8" w:rsidRDefault="00D10E54" w:rsidP="00461C56">
      <w:pPr>
        <w:pStyle w:val="Answer-Testimony"/>
      </w:pPr>
      <w:r w:rsidRPr="00376BA8">
        <w:tab/>
      </w:r>
      <w:r w:rsidRPr="00376BA8">
        <w:tab/>
      </w:r>
      <w:r w:rsidR="003E0CC4" w:rsidRPr="00376BA8">
        <w:t>To reach parity</w:t>
      </w:r>
      <w:r w:rsidR="000559D0" w:rsidRPr="00376BA8">
        <w:t xml:space="preserve"> at </w:t>
      </w:r>
      <w:r w:rsidR="00C61091" w:rsidRPr="00376BA8">
        <w:t xml:space="preserve">existing </w:t>
      </w:r>
      <w:r w:rsidR="000559D0" w:rsidRPr="00376BA8">
        <w:t>rates</w:t>
      </w:r>
      <w:r w:rsidR="003E0CC4" w:rsidRPr="00376BA8">
        <w:t>, Residential Schedule 1 requires a</w:t>
      </w:r>
      <w:r w:rsidR="00C61091" w:rsidRPr="00376BA8">
        <w:t>pproximately an 11</w:t>
      </w:r>
      <w:r w:rsidR="003E0CC4" w:rsidRPr="00376BA8">
        <w:t xml:space="preserve"> percent increase; customers on General Service Schedules 11 and 12 would require a rate decrease of approximately </w:t>
      </w:r>
      <w:r w:rsidR="00C61091" w:rsidRPr="00376BA8">
        <w:t>3</w:t>
      </w:r>
      <w:r w:rsidR="003E0CC4" w:rsidRPr="00376BA8">
        <w:t xml:space="preserve">1 percent, while Schedules 21 and 22 would merit a rate decrease of approximately </w:t>
      </w:r>
      <w:r w:rsidR="00C61091" w:rsidRPr="00376BA8">
        <w:t>14</w:t>
      </w:r>
      <w:r w:rsidR="003E0CC4" w:rsidRPr="00376BA8">
        <w:t xml:space="preserve"> percent</w:t>
      </w:r>
      <w:r w:rsidR="00C61091" w:rsidRPr="00376BA8">
        <w:t>, and Sch</w:t>
      </w:r>
      <w:r w:rsidR="001511AA">
        <w:t>edule</w:t>
      </w:r>
      <w:r w:rsidR="00C61091" w:rsidRPr="00376BA8">
        <w:t xml:space="preserve"> 25 </w:t>
      </w:r>
      <w:r w:rsidR="00C61091" w:rsidRPr="00376BA8">
        <w:lastRenderedPageBreak/>
        <w:t>would merit a rate increase of approximately 8 percent, and Schedules 30 through 32 would require a rate increase of approximately 3 percent</w:t>
      </w:r>
      <w:r w:rsidR="00461C56" w:rsidRPr="00376BA8">
        <w:t>.</w:t>
      </w:r>
    </w:p>
    <w:p w14:paraId="6CFC0C56" w14:textId="77777777" w:rsidR="00AD448F" w:rsidRPr="00376BA8" w:rsidRDefault="00A21EAB" w:rsidP="008344C0">
      <w:pPr>
        <w:pStyle w:val="Answer-Testimony"/>
        <w:ind w:firstLine="720"/>
      </w:pPr>
      <w:r w:rsidRPr="00376BA8">
        <w:t>Table 2 below</w:t>
      </w:r>
      <w:r w:rsidR="002D7DCE" w:rsidRPr="00376BA8">
        <w:t>, shows t</w:t>
      </w:r>
      <w:r w:rsidR="003E0CC4" w:rsidRPr="00376BA8">
        <w:t>he results that Schedules with increase</w:t>
      </w:r>
      <w:r w:rsidR="00C61091" w:rsidRPr="00376BA8">
        <w:t>s</w:t>
      </w:r>
      <w:r w:rsidR="003E0CC4" w:rsidRPr="00376BA8">
        <w:t xml:space="preserve"> improve, but remain below parity at 9</w:t>
      </w:r>
      <w:r w:rsidR="002F39CF" w:rsidRPr="00376BA8">
        <w:t>1</w:t>
      </w:r>
      <w:r w:rsidR="003E0CC4" w:rsidRPr="00376BA8">
        <w:t xml:space="preserve"> percent; while Schedules with </w:t>
      </w:r>
      <w:r w:rsidR="00C61091" w:rsidRPr="00376BA8">
        <w:t>more</w:t>
      </w:r>
      <w:r w:rsidR="003E0CC4" w:rsidRPr="00376BA8">
        <w:t xml:space="preserve"> than average </w:t>
      </w:r>
      <w:r w:rsidR="00C61091" w:rsidRPr="00376BA8">
        <w:t>de</w:t>
      </w:r>
      <w:r w:rsidR="003E0CC4" w:rsidRPr="00376BA8">
        <w:t xml:space="preserve">creases improve, but remain above parity at </w:t>
      </w:r>
      <w:r w:rsidR="00832957" w:rsidRPr="00376BA8">
        <w:t>11</w:t>
      </w:r>
      <w:r w:rsidR="002F39CF" w:rsidRPr="00376BA8">
        <w:t>1</w:t>
      </w:r>
      <w:r w:rsidR="003E0CC4" w:rsidRPr="00376BA8">
        <w:t xml:space="preserve"> percent to </w:t>
      </w:r>
      <w:r w:rsidR="00832957" w:rsidRPr="00376BA8">
        <w:t>12</w:t>
      </w:r>
      <w:r w:rsidR="002F39CF" w:rsidRPr="00376BA8">
        <w:t>6</w:t>
      </w:r>
      <w:r w:rsidRPr="00376BA8">
        <w:t xml:space="preserve"> percent.  </w:t>
      </w:r>
      <w:r w:rsidR="007E7EAB" w:rsidRPr="00376BA8">
        <w:t xml:space="preserve">These results are provided in the summary of results from the cost of service study on page one, line </w:t>
      </w:r>
      <w:r w:rsidR="002F39CF" w:rsidRPr="00376BA8">
        <w:t>113</w:t>
      </w:r>
      <w:r w:rsidR="007E7EAB" w:rsidRPr="00376BA8">
        <w:t xml:space="preserve"> of my Exhibit No. ___</w:t>
      </w:r>
      <w:r w:rsidR="00D10E54" w:rsidRPr="00376BA8">
        <w:t xml:space="preserve"> </w:t>
      </w:r>
      <w:r w:rsidR="007E7EAB" w:rsidRPr="00376BA8">
        <w:t>(</w:t>
      </w:r>
      <w:proofErr w:type="spellStart"/>
      <w:r w:rsidR="007E7EAB" w:rsidRPr="00376BA8">
        <w:t>CTM</w:t>
      </w:r>
      <w:proofErr w:type="spellEnd"/>
      <w:r w:rsidR="007E7EAB" w:rsidRPr="00376BA8">
        <w:t>-</w:t>
      </w:r>
      <w:r w:rsidR="009E433E" w:rsidRPr="00376BA8">
        <w:t>2</w:t>
      </w:r>
      <w:r w:rsidR="007E7EAB" w:rsidRPr="00376BA8">
        <w:t>).</w:t>
      </w:r>
    </w:p>
    <w:tbl>
      <w:tblPr>
        <w:tblpPr w:leftFromText="187" w:rightFromText="187" w:vertAnchor="text" w:horzAnchor="page" w:tblpX="2634" w:tblpY="818"/>
        <w:tblOverlap w:val="never"/>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691"/>
        <w:gridCol w:w="1296"/>
        <w:gridCol w:w="1296"/>
        <w:gridCol w:w="1296"/>
      </w:tblGrid>
      <w:tr w:rsidR="007E50F7" w:rsidRPr="007E50F7" w14:paraId="6CFC0C5B" w14:textId="77777777" w:rsidTr="005A05E0">
        <w:trPr>
          <w:cantSplit/>
        </w:trPr>
        <w:tc>
          <w:tcPr>
            <w:tcW w:w="4691" w:type="dxa"/>
            <w:vAlign w:val="center"/>
          </w:tcPr>
          <w:p w14:paraId="6CFC0C57" w14:textId="77777777" w:rsidR="007E7EAB" w:rsidRPr="007E50F7" w:rsidRDefault="007E7EAB" w:rsidP="005A05E0">
            <w:pPr>
              <w:pStyle w:val="answer"/>
              <w:keepNext/>
              <w:spacing w:before="60" w:after="60" w:line="240" w:lineRule="auto"/>
              <w:ind w:left="0" w:firstLine="0"/>
              <w:jc w:val="center"/>
              <w:rPr>
                <w:b/>
              </w:rPr>
            </w:pPr>
            <w:r w:rsidRPr="007E50F7">
              <w:rPr>
                <w:b/>
              </w:rPr>
              <w:t>Customer Class</w:t>
            </w:r>
          </w:p>
        </w:tc>
        <w:tc>
          <w:tcPr>
            <w:tcW w:w="1296" w:type="dxa"/>
            <w:vAlign w:val="center"/>
          </w:tcPr>
          <w:p w14:paraId="6CFC0C58" w14:textId="77777777" w:rsidR="007E7EAB" w:rsidRPr="007E50F7" w:rsidRDefault="007E7EAB" w:rsidP="005A05E0">
            <w:pPr>
              <w:pStyle w:val="answer"/>
              <w:keepNext/>
              <w:spacing w:before="60" w:after="60" w:line="240" w:lineRule="auto"/>
              <w:ind w:left="0" w:firstLine="0"/>
              <w:jc w:val="center"/>
              <w:rPr>
                <w:b/>
              </w:rPr>
            </w:pPr>
            <w:r w:rsidRPr="007E50F7">
              <w:rPr>
                <w:b/>
              </w:rPr>
              <w:t>Current</w:t>
            </w:r>
          </w:p>
        </w:tc>
        <w:tc>
          <w:tcPr>
            <w:tcW w:w="1296" w:type="dxa"/>
            <w:vAlign w:val="center"/>
          </w:tcPr>
          <w:p w14:paraId="6CFC0C59" w14:textId="77777777" w:rsidR="007E7EAB" w:rsidRPr="007E50F7" w:rsidRDefault="007E7EAB" w:rsidP="005A05E0">
            <w:pPr>
              <w:pStyle w:val="answer"/>
              <w:keepNext/>
              <w:spacing w:before="60" w:after="60" w:line="240" w:lineRule="auto"/>
              <w:ind w:left="0" w:firstLine="0"/>
              <w:jc w:val="center"/>
              <w:rPr>
                <w:b/>
              </w:rPr>
            </w:pPr>
            <w:r w:rsidRPr="007E50F7">
              <w:rPr>
                <w:b/>
              </w:rPr>
              <w:t>Company Proposal</w:t>
            </w:r>
          </w:p>
        </w:tc>
        <w:tc>
          <w:tcPr>
            <w:tcW w:w="1296" w:type="dxa"/>
            <w:vAlign w:val="center"/>
          </w:tcPr>
          <w:p w14:paraId="6CFC0C5A" w14:textId="77777777" w:rsidR="007E7EAB" w:rsidRPr="007E50F7" w:rsidRDefault="007E7EAB" w:rsidP="005A05E0">
            <w:pPr>
              <w:pStyle w:val="answer"/>
              <w:keepNext/>
              <w:spacing w:before="60" w:after="60" w:line="240" w:lineRule="auto"/>
              <w:ind w:left="0" w:firstLine="0"/>
              <w:jc w:val="center"/>
              <w:rPr>
                <w:b/>
              </w:rPr>
            </w:pPr>
            <w:r w:rsidRPr="007E50F7">
              <w:rPr>
                <w:b/>
              </w:rPr>
              <w:t>Staff Proposal</w:t>
            </w:r>
          </w:p>
        </w:tc>
      </w:tr>
      <w:tr w:rsidR="007E50F7" w:rsidRPr="007E50F7" w14:paraId="6CFC0C60" w14:textId="77777777" w:rsidTr="005A05E0">
        <w:trPr>
          <w:cantSplit/>
        </w:trPr>
        <w:tc>
          <w:tcPr>
            <w:tcW w:w="4691" w:type="dxa"/>
            <w:vAlign w:val="center"/>
          </w:tcPr>
          <w:p w14:paraId="6CFC0C5C" w14:textId="77777777" w:rsidR="007E7EAB" w:rsidRPr="007E50F7" w:rsidRDefault="007E7EAB" w:rsidP="005A05E0">
            <w:pPr>
              <w:pStyle w:val="answer"/>
              <w:keepNext/>
              <w:spacing w:before="60" w:after="60" w:line="240" w:lineRule="auto"/>
              <w:ind w:left="0" w:firstLine="0"/>
            </w:pPr>
            <w:r w:rsidRPr="007E50F7">
              <w:t>Total System</w:t>
            </w:r>
          </w:p>
        </w:tc>
        <w:tc>
          <w:tcPr>
            <w:tcW w:w="1296" w:type="dxa"/>
            <w:vAlign w:val="center"/>
          </w:tcPr>
          <w:p w14:paraId="6CFC0C5D" w14:textId="77777777" w:rsidR="007E7EAB" w:rsidRPr="007E50F7" w:rsidRDefault="007E7EAB" w:rsidP="005A05E0">
            <w:pPr>
              <w:pStyle w:val="answer"/>
              <w:keepNext/>
              <w:spacing w:before="60" w:after="60" w:line="240" w:lineRule="auto"/>
              <w:ind w:left="0" w:firstLine="0"/>
              <w:jc w:val="center"/>
            </w:pPr>
            <w:r w:rsidRPr="007E50F7">
              <w:t>1.00</w:t>
            </w:r>
          </w:p>
        </w:tc>
        <w:tc>
          <w:tcPr>
            <w:tcW w:w="1296" w:type="dxa"/>
            <w:vAlign w:val="center"/>
          </w:tcPr>
          <w:p w14:paraId="6CFC0C5E" w14:textId="77777777" w:rsidR="007E7EAB" w:rsidRPr="007E50F7" w:rsidRDefault="007E7EAB" w:rsidP="005A05E0">
            <w:pPr>
              <w:pStyle w:val="answer"/>
              <w:keepNext/>
              <w:spacing w:before="60" w:after="60" w:line="240" w:lineRule="auto"/>
              <w:ind w:left="0" w:firstLine="0"/>
              <w:jc w:val="center"/>
            </w:pPr>
            <w:r w:rsidRPr="007E50F7">
              <w:t>1.00</w:t>
            </w:r>
          </w:p>
        </w:tc>
        <w:tc>
          <w:tcPr>
            <w:tcW w:w="1296" w:type="dxa"/>
            <w:vAlign w:val="center"/>
          </w:tcPr>
          <w:p w14:paraId="6CFC0C5F" w14:textId="77777777" w:rsidR="007E7EAB" w:rsidRPr="007E50F7" w:rsidRDefault="007E7EAB" w:rsidP="005A05E0">
            <w:pPr>
              <w:pStyle w:val="answer"/>
              <w:keepNext/>
              <w:spacing w:before="60" w:after="60" w:line="240" w:lineRule="auto"/>
              <w:ind w:left="0" w:firstLine="0"/>
              <w:jc w:val="center"/>
            </w:pPr>
            <w:r w:rsidRPr="007E50F7">
              <w:t>1.00</w:t>
            </w:r>
          </w:p>
        </w:tc>
      </w:tr>
      <w:tr w:rsidR="007E50F7" w:rsidRPr="007E50F7" w14:paraId="6CFC0C65" w14:textId="77777777" w:rsidTr="005A05E0">
        <w:trPr>
          <w:cantSplit/>
        </w:trPr>
        <w:tc>
          <w:tcPr>
            <w:tcW w:w="4691" w:type="dxa"/>
            <w:vAlign w:val="center"/>
          </w:tcPr>
          <w:p w14:paraId="6CFC0C61" w14:textId="77777777" w:rsidR="007E7EAB" w:rsidRPr="007E50F7" w:rsidRDefault="007E7EAB" w:rsidP="005A05E0">
            <w:pPr>
              <w:pStyle w:val="answer"/>
              <w:keepNext/>
              <w:spacing w:before="60" w:after="60" w:line="240" w:lineRule="auto"/>
              <w:ind w:left="0" w:firstLine="0"/>
            </w:pPr>
            <w:r w:rsidRPr="007E50F7">
              <w:t>Residential (Schedule 1)</w:t>
            </w:r>
          </w:p>
        </w:tc>
        <w:tc>
          <w:tcPr>
            <w:tcW w:w="1296" w:type="dxa"/>
            <w:vAlign w:val="center"/>
          </w:tcPr>
          <w:p w14:paraId="6CFC0C62" w14:textId="77777777" w:rsidR="007E7EAB" w:rsidRPr="007E50F7" w:rsidRDefault="007E7EAB" w:rsidP="005A05E0">
            <w:pPr>
              <w:pStyle w:val="answer"/>
              <w:keepNext/>
              <w:spacing w:before="60" w:after="60" w:line="240" w:lineRule="auto"/>
              <w:ind w:left="0" w:firstLine="0"/>
              <w:jc w:val="center"/>
            </w:pPr>
            <w:r w:rsidRPr="007E50F7">
              <w:t>0.89</w:t>
            </w:r>
          </w:p>
        </w:tc>
        <w:tc>
          <w:tcPr>
            <w:tcW w:w="1296" w:type="dxa"/>
            <w:vAlign w:val="center"/>
          </w:tcPr>
          <w:p w14:paraId="6CFC0C63" w14:textId="77777777" w:rsidR="007E7EAB" w:rsidRPr="007E50F7" w:rsidRDefault="007E7EAB" w:rsidP="005A05E0">
            <w:pPr>
              <w:pStyle w:val="answer"/>
              <w:keepNext/>
              <w:spacing w:before="60" w:after="60" w:line="240" w:lineRule="auto"/>
              <w:ind w:left="0" w:firstLine="0"/>
              <w:jc w:val="center"/>
            </w:pPr>
            <w:r w:rsidRPr="007E50F7">
              <w:t>0.89</w:t>
            </w:r>
          </w:p>
        </w:tc>
        <w:tc>
          <w:tcPr>
            <w:tcW w:w="1296" w:type="dxa"/>
            <w:vAlign w:val="center"/>
          </w:tcPr>
          <w:p w14:paraId="6CFC0C64" w14:textId="77777777" w:rsidR="007E7EAB" w:rsidRPr="007E50F7" w:rsidRDefault="007E7EAB" w:rsidP="002F39CF">
            <w:pPr>
              <w:pStyle w:val="answer"/>
              <w:keepNext/>
              <w:spacing w:before="60" w:after="60" w:line="240" w:lineRule="auto"/>
              <w:ind w:left="0" w:firstLine="0"/>
              <w:jc w:val="center"/>
            </w:pPr>
            <w:r w:rsidRPr="007E50F7">
              <w:t>0.9</w:t>
            </w:r>
            <w:r w:rsidR="002F39CF" w:rsidRPr="007E50F7">
              <w:t>1</w:t>
            </w:r>
          </w:p>
        </w:tc>
      </w:tr>
      <w:tr w:rsidR="007E50F7" w:rsidRPr="007E50F7" w14:paraId="6CFC0C6A" w14:textId="77777777" w:rsidTr="005A05E0">
        <w:trPr>
          <w:cantSplit/>
        </w:trPr>
        <w:tc>
          <w:tcPr>
            <w:tcW w:w="4691" w:type="dxa"/>
            <w:vAlign w:val="center"/>
          </w:tcPr>
          <w:p w14:paraId="6CFC0C66" w14:textId="77777777" w:rsidR="007E7EAB" w:rsidRPr="007E50F7" w:rsidRDefault="007E7EAB" w:rsidP="005A05E0">
            <w:pPr>
              <w:pStyle w:val="answer"/>
              <w:keepNext/>
              <w:spacing w:before="60" w:after="60" w:line="240" w:lineRule="auto"/>
              <w:ind w:left="0" w:firstLine="0"/>
            </w:pPr>
            <w:r w:rsidRPr="007E50F7">
              <w:t>General Service (Schedules 11, 12)</w:t>
            </w:r>
          </w:p>
        </w:tc>
        <w:tc>
          <w:tcPr>
            <w:tcW w:w="1296" w:type="dxa"/>
            <w:vAlign w:val="center"/>
          </w:tcPr>
          <w:p w14:paraId="6CFC0C67" w14:textId="77777777" w:rsidR="007E7EAB" w:rsidRPr="007E50F7" w:rsidRDefault="007E7EAB" w:rsidP="00955041">
            <w:pPr>
              <w:pStyle w:val="answer"/>
              <w:keepNext/>
              <w:spacing w:before="60" w:after="60" w:line="240" w:lineRule="auto"/>
              <w:ind w:left="0" w:firstLine="0"/>
              <w:jc w:val="center"/>
            </w:pPr>
            <w:r w:rsidRPr="007E50F7">
              <w:t>1.3</w:t>
            </w:r>
            <w:r w:rsidR="00955041" w:rsidRPr="007E50F7">
              <w:t>1</w:t>
            </w:r>
          </w:p>
        </w:tc>
        <w:tc>
          <w:tcPr>
            <w:tcW w:w="1296" w:type="dxa"/>
            <w:vAlign w:val="center"/>
          </w:tcPr>
          <w:p w14:paraId="6CFC0C68" w14:textId="77777777" w:rsidR="007E7EAB" w:rsidRPr="007E50F7" w:rsidRDefault="007E7EAB" w:rsidP="005A05E0">
            <w:pPr>
              <w:pStyle w:val="answer"/>
              <w:keepNext/>
              <w:spacing w:before="60" w:after="60" w:line="240" w:lineRule="auto"/>
              <w:ind w:left="0" w:firstLine="0"/>
              <w:jc w:val="center"/>
            </w:pPr>
            <w:r w:rsidRPr="007E50F7">
              <w:t>1.30</w:t>
            </w:r>
          </w:p>
        </w:tc>
        <w:tc>
          <w:tcPr>
            <w:tcW w:w="1296" w:type="dxa"/>
            <w:vAlign w:val="center"/>
          </w:tcPr>
          <w:p w14:paraId="6CFC0C69" w14:textId="77777777" w:rsidR="007E7EAB" w:rsidRPr="007E50F7" w:rsidRDefault="00914879" w:rsidP="002F39CF">
            <w:pPr>
              <w:pStyle w:val="answer"/>
              <w:keepNext/>
              <w:spacing w:before="60" w:after="60" w:line="240" w:lineRule="auto"/>
              <w:ind w:left="0" w:firstLine="0"/>
              <w:jc w:val="center"/>
            </w:pPr>
            <w:r w:rsidRPr="007E50F7">
              <w:t>1.</w:t>
            </w:r>
            <w:r w:rsidR="002F39CF" w:rsidRPr="007E50F7">
              <w:t>26</w:t>
            </w:r>
          </w:p>
        </w:tc>
      </w:tr>
      <w:tr w:rsidR="007E50F7" w:rsidRPr="007E50F7" w14:paraId="6CFC0C6F" w14:textId="77777777" w:rsidTr="005A05E0">
        <w:trPr>
          <w:cantSplit/>
        </w:trPr>
        <w:tc>
          <w:tcPr>
            <w:tcW w:w="4691" w:type="dxa"/>
            <w:vAlign w:val="center"/>
          </w:tcPr>
          <w:p w14:paraId="6CFC0C6B" w14:textId="77777777" w:rsidR="007E7EAB" w:rsidRPr="007E50F7" w:rsidRDefault="007E7EAB" w:rsidP="005A05E0">
            <w:pPr>
              <w:pStyle w:val="answer"/>
              <w:keepNext/>
              <w:spacing w:before="60" w:after="60" w:line="240" w:lineRule="auto"/>
              <w:ind w:left="0" w:firstLine="0"/>
            </w:pPr>
            <w:r w:rsidRPr="007E50F7">
              <w:t>Large General Service (Schedules 21, 22)</w:t>
            </w:r>
          </w:p>
        </w:tc>
        <w:tc>
          <w:tcPr>
            <w:tcW w:w="1296" w:type="dxa"/>
            <w:vAlign w:val="center"/>
          </w:tcPr>
          <w:p w14:paraId="6CFC0C6C" w14:textId="77777777" w:rsidR="007E7EAB" w:rsidRPr="007E50F7" w:rsidRDefault="007E7EAB" w:rsidP="00955041">
            <w:pPr>
              <w:pStyle w:val="answer"/>
              <w:keepNext/>
              <w:spacing w:before="60" w:after="60" w:line="240" w:lineRule="auto"/>
              <w:ind w:left="0" w:firstLine="0"/>
              <w:jc w:val="center"/>
            </w:pPr>
            <w:r w:rsidRPr="007E50F7">
              <w:t>1.1</w:t>
            </w:r>
            <w:r w:rsidR="00955041" w:rsidRPr="007E50F7">
              <w:t>4</w:t>
            </w:r>
          </w:p>
        </w:tc>
        <w:tc>
          <w:tcPr>
            <w:tcW w:w="1296" w:type="dxa"/>
            <w:vAlign w:val="center"/>
          </w:tcPr>
          <w:p w14:paraId="6CFC0C6D" w14:textId="77777777" w:rsidR="007E7EAB" w:rsidRPr="007E50F7" w:rsidRDefault="007E7EAB" w:rsidP="00955041">
            <w:pPr>
              <w:pStyle w:val="answer"/>
              <w:keepNext/>
              <w:spacing w:before="60" w:after="60" w:line="240" w:lineRule="auto"/>
              <w:ind w:left="0" w:firstLine="0"/>
              <w:jc w:val="center"/>
            </w:pPr>
            <w:r w:rsidRPr="007E50F7">
              <w:t>1.1</w:t>
            </w:r>
            <w:r w:rsidR="00955041" w:rsidRPr="007E50F7">
              <w:t>4</w:t>
            </w:r>
          </w:p>
        </w:tc>
        <w:tc>
          <w:tcPr>
            <w:tcW w:w="1296" w:type="dxa"/>
            <w:vAlign w:val="center"/>
          </w:tcPr>
          <w:p w14:paraId="6CFC0C6E" w14:textId="77777777" w:rsidR="007E7EAB" w:rsidRPr="007E50F7" w:rsidRDefault="00914879" w:rsidP="002F39CF">
            <w:pPr>
              <w:pStyle w:val="answer"/>
              <w:keepNext/>
              <w:spacing w:before="60" w:after="60" w:line="240" w:lineRule="auto"/>
              <w:ind w:left="0" w:firstLine="0"/>
              <w:jc w:val="center"/>
            </w:pPr>
            <w:r w:rsidRPr="007E50F7">
              <w:t>1.</w:t>
            </w:r>
            <w:r w:rsidR="002F39CF" w:rsidRPr="007E50F7">
              <w:t>11</w:t>
            </w:r>
          </w:p>
        </w:tc>
      </w:tr>
      <w:tr w:rsidR="007E50F7" w:rsidRPr="007E50F7" w14:paraId="6CFC0C74" w14:textId="77777777" w:rsidTr="005A05E0">
        <w:trPr>
          <w:cantSplit/>
        </w:trPr>
        <w:tc>
          <w:tcPr>
            <w:tcW w:w="4691" w:type="dxa"/>
            <w:vAlign w:val="center"/>
          </w:tcPr>
          <w:p w14:paraId="6CFC0C70" w14:textId="77777777" w:rsidR="007E7EAB" w:rsidRPr="007E50F7" w:rsidRDefault="007E7EAB" w:rsidP="005A05E0">
            <w:pPr>
              <w:pStyle w:val="answer"/>
              <w:keepNext/>
              <w:spacing w:before="60" w:after="60" w:line="240" w:lineRule="auto"/>
              <w:ind w:left="0" w:firstLine="0"/>
            </w:pPr>
            <w:r w:rsidRPr="007E50F7">
              <w:t>Extra Large General Service (Schedule 25)</w:t>
            </w:r>
          </w:p>
        </w:tc>
        <w:tc>
          <w:tcPr>
            <w:tcW w:w="1296" w:type="dxa"/>
            <w:vAlign w:val="center"/>
          </w:tcPr>
          <w:p w14:paraId="6CFC0C71" w14:textId="77777777" w:rsidR="007E7EAB" w:rsidRPr="007E50F7" w:rsidRDefault="007E7EAB" w:rsidP="005A05E0">
            <w:pPr>
              <w:pStyle w:val="answer"/>
              <w:keepNext/>
              <w:spacing w:before="60" w:after="60" w:line="240" w:lineRule="auto"/>
              <w:ind w:left="0" w:firstLine="0"/>
              <w:jc w:val="center"/>
            </w:pPr>
            <w:r w:rsidRPr="007E50F7">
              <w:t>0.93</w:t>
            </w:r>
          </w:p>
        </w:tc>
        <w:tc>
          <w:tcPr>
            <w:tcW w:w="1296" w:type="dxa"/>
            <w:vAlign w:val="center"/>
          </w:tcPr>
          <w:p w14:paraId="6CFC0C72" w14:textId="77777777" w:rsidR="007E7EAB" w:rsidRPr="007E50F7" w:rsidRDefault="007E7EAB" w:rsidP="005A05E0">
            <w:pPr>
              <w:pStyle w:val="answer"/>
              <w:keepNext/>
              <w:spacing w:before="60" w:after="60" w:line="240" w:lineRule="auto"/>
              <w:ind w:left="0" w:firstLine="0"/>
              <w:jc w:val="center"/>
            </w:pPr>
            <w:r w:rsidRPr="007E50F7">
              <w:t>0.94</w:t>
            </w:r>
          </w:p>
        </w:tc>
        <w:tc>
          <w:tcPr>
            <w:tcW w:w="1296" w:type="dxa"/>
            <w:vAlign w:val="center"/>
          </w:tcPr>
          <w:p w14:paraId="6CFC0C73" w14:textId="77777777" w:rsidR="007E7EAB" w:rsidRPr="007E50F7" w:rsidRDefault="00914879" w:rsidP="002F39CF">
            <w:pPr>
              <w:pStyle w:val="answer"/>
              <w:keepNext/>
              <w:spacing w:before="60" w:after="60" w:line="240" w:lineRule="auto"/>
              <w:ind w:left="0" w:firstLine="0"/>
              <w:jc w:val="center"/>
            </w:pPr>
            <w:r w:rsidRPr="007E50F7">
              <w:t>0.9</w:t>
            </w:r>
            <w:r w:rsidR="002F39CF" w:rsidRPr="007E50F7">
              <w:t>5</w:t>
            </w:r>
          </w:p>
        </w:tc>
      </w:tr>
      <w:tr w:rsidR="007E50F7" w:rsidRPr="007E50F7" w14:paraId="6CFC0C79" w14:textId="77777777" w:rsidTr="005A05E0">
        <w:trPr>
          <w:cantSplit/>
        </w:trPr>
        <w:tc>
          <w:tcPr>
            <w:tcW w:w="4691" w:type="dxa"/>
            <w:vAlign w:val="center"/>
          </w:tcPr>
          <w:p w14:paraId="6CFC0C75" w14:textId="77777777" w:rsidR="007E7EAB" w:rsidRPr="007E50F7" w:rsidRDefault="007E7EAB" w:rsidP="005A05E0">
            <w:pPr>
              <w:pStyle w:val="answer"/>
              <w:keepNext/>
              <w:spacing w:before="60" w:after="60" w:line="240" w:lineRule="auto"/>
              <w:ind w:left="0" w:firstLine="0"/>
            </w:pPr>
            <w:r w:rsidRPr="007E50F7">
              <w:t>Pumping Service (Schedules 31, 32)</w:t>
            </w:r>
          </w:p>
        </w:tc>
        <w:tc>
          <w:tcPr>
            <w:tcW w:w="1296" w:type="dxa"/>
            <w:vAlign w:val="center"/>
          </w:tcPr>
          <w:p w14:paraId="6CFC0C76" w14:textId="77777777" w:rsidR="007E7EAB" w:rsidRPr="007E50F7" w:rsidRDefault="007E7EAB" w:rsidP="005A05E0">
            <w:pPr>
              <w:pStyle w:val="answer"/>
              <w:keepNext/>
              <w:spacing w:before="60" w:after="60" w:line="240" w:lineRule="auto"/>
              <w:ind w:left="0" w:firstLine="0"/>
              <w:jc w:val="center"/>
            </w:pPr>
            <w:r w:rsidRPr="007E50F7">
              <w:t>0.97</w:t>
            </w:r>
          </w:p>
        </w:tc>
        <w:tc>
          <w:tcPr>
            <w:tcW w:w="1296" w:type="dxa"/>
            <w:vAlign w:val="center"/>
          </w:tcPr>
          <w:p w14:paraId="6CFC0C77" w14:textId="77777777" w:rsidR="007E7EAB" w:rsidRPr="007E50F7" w:rsidRDefault="007E7EAB" w:rsidP="00955041">
            <w:pPr>
              <w:pStyle w:val="answer"/>
              <w:keepNext/>
              <w:spacing w:before="60" w:after="60" w:line="240" w:lineRule="auto"/>
              <w:ind w:left="0" w:firstLine="0"/>
              <w:jc w:val="center"/>
            </w:pPr>
            <w:r w:rsidRPr="007E50F7">
              <w:t>0.9</w:t>
            </w:r>
            <w:r w:rsidR="00955041" w:rsidRPr="007E50F7">
              <w:t>7</w:t>
            </w:r>
          </w:p>
        </w:tc>
        <w:tc>
          <w:tcPr>
            <w:tcW w:w="1296" w:type="dxa"/>
            <w:vAlign w:val="center"/>
          </w:tcPr>
          <w:p w14:paraId="6CFC0C78" w14:textId="77777777" w:rsidR="007E7EAB" w:rsidRPr="007E50F7" w:rsidRDefault="00233F91" w:rsidP="00233F91">
            <w:pPr>
              <w:pStyle w:val="answer"/>
              <w:keepNext/>
              <w:spacing w:before="60" w:after="60" w:line="240" w:lineRule="auto"/>
              <w:ind w:left="0" w:firstLine="0"/>
              <w:jc w:val="center"/>
            </w:pPr>
            <w:r w:rsidRPr="007E50F7">
              <w:t>0.99</w:t>
            </w:r>
          </w:p>
        </w:tc>
      </w:tr>
      <w:tr w:rsidR="007E50F7" w:rsidRPr="007E50F7" w14:paraId="6CFC0C7E" w14:textId="77777777" w:rsidTr="005A05E0">
        <w:trPr>
          <w:cantSplit/>
        </w:trPr>
        <w:tc>
          <w:tcPr>
            <w:tcW w:w="4691" w:type="dxa"/>
            <w:vAlign w:val="center"/>
          </w:tcPr>
          <w:p w14:paraId="6CFC0C7A" w14:textId="77777777" w:rsidR="007E7EAB" w:rsidRPr="007E50F7" w:rsidRDefault="007E7EAB" w:rsidP="005A05E0">
            <w:pPr>
              <w:pStyle w:val="answer"/>
              <w:keepNext/>
              <w:spacing w:before="60" w:after="60" w:line="240" w:lineRule="auto"/>
              <w:ind w:left="0" w:firstLine="0"/>
            </w:pPr>
            <w:r w:rsidRPr="007E50F7">
              <w:t>Street &amp; Area Lights (Schedules 41-49)</w:t>
            </w:r>
          </w:p>
        </w:tc>
        <w:tc>
          <w:tcPr>
            <w:tcW w:w="1296" w:type="dxa"/>
            <w:vAlign w:val="center"/>
          </w:tcPr>
          <w:p w14:paraId="6CFC0C7B" w14:textId="77777777" w:rsidR="007E7EAB" w:rsidRPr="007E50F7" w:rsidRDefault="007E7EAB" w:rsidP="005A05E0">
            <w:pPr>
              <w:pStyle w:val="answer"/>
              <w:keepNext/>
              <w:spacing w:before="60" w:after="60" w:line="240" w:lineRule="auto"/>
              <w:ind w:left="0" w:firstLine="0"/>
              <w:jc w:val="center"/>
            </w:pPr>
            <w:r w:rsidRPr="007E50F7">
              <w:t>1.01</w:t>
            </w:r>
          </w:p>
        </w:tc>
        <w:tc>
          <w:tcPr>
            <w:tcW w:w="1296" w:type="dxa"/>
            <w:vAlign w:val="center"/>
          </w:tcPr>
          <w:p w14:paraId="6CFC0C7C" w14:textId="77777777" w:rsidR="007E7EAB" w:rsidRPr="007E50F7" w:rsidRDefault="007E7EAB" w:rsidP="005A05E0">
            <w:pPr>
              <w:pStyle w:val="answer"/>
              <w:keepNext/>
              <w:spacing w:before="60" w:after="60" w:line="240" w:lineRule="auto"/>
              <w:ind w:left="0" w:firstLine="0"/>
              <w:jc w:val="center"/>
            </w:pPr>
            <w:r w:rsidRPr="007E50F7">
              <w:t>0.98</w:t>
            </w:r>
          </w:p>
        </w:tc>
        <w:tc>
          <w:tcPr>
            <w:tcW w:w="1296" w:type="dxa"/>
            <w:vAlign w:val="center"/>
          </w:tcPr>
          <w:p w14:paraId="6CFC0C7D" w14:textId="77777777" w:rsidR="007E7EAB" w:rsidRPr="007E50F7" w:rsidRDefault="00914879" w:rsidP="00286C00">
            <w:pPr>
              <w:pStyle w:val="answer"/>
              <w:keepNext/>
              <w:spacing w:before="60" w:after="60" w:line="240" w:lineRule="auto"/>
              <w:ind w:left="0" w:firstLine="0"/>
              <w:jc w:val="center"/>
            </w:pPr>
            <w:r w:rsidRPr="007E50F7">
              <w:t>1.00</w:t>
            </w:r>
          </w:p>
        </w:tc>
      </w:tr>
    </w:tbl>
    <w:p w14:paraId="6CFC0C7F" w14:textId="77777777" w:rsidR="007E7EAB" w:rsidRPr="007E50F7" w:rsidRDefault="007E7EAB" w:rsidP="007E7EAB">
      <w:pPr>
        <w:pStyle w:val="Answer-Testimony"/>
        <w:jc w:val="center"/>
      </w:pPr>
      <w:r w:rsidRPr="007E50F7">
        <w:t xml:space="preserve">Table </w:t>
      </w:r>
      <w:r w:rsidR="00A21EAB" w:rsidRPr="007E50F7">
        <w:t>2</w:t>
      </w:r>
      <w:r w:rsidRPr="007E50F7">
        <w:t>:  Summary of Parity Ratios</w:t>
      </w:r>
    </w:p>
    <w:p w14:paraId="6CFC0C80" w14:textId="77777777" w:rsidR="007E7EAB" w:rsidRPr="000559D0" w:rsidRDefault="007E7EAB" w:rsidP="007E7EAB">
      <w:pPr>
        <w:pStyle w:val="Answer-Testimony"/>
        <w:rPr>
          <w:color w:val="FFFFFF" w:themeColor="background1"/>
        </w:rPr>
      </w:pPr>
      <w:r w:rsidRPr="000559D0">
        <w:rPr>
          <w:color w:val="FFFFFF" w:themeColor="background1"/>
        </w:rPr>
        <w:t>R</w:t>
      </w:r>
    </w:p>
    <w:p w14:paraId="6CFC0C81" w14:textId="77777777" w:rsidR="007E7EAB" w:rsidRPr="000559D0" w:rsidRDefault="007E7EAB" w:rsidP="007E7EAB">
      <w:pPr>
        <w:pStyle w:val="Answer-Testimony"/>
        <w:rPr>
          <w:color w:val="FFFFFF" w:themeColor="background1"/>
        </w:rPr>
      </w:pPr>
      <w:r w:rsidRPr="000559D0">
        <w:rPr>
          <w:color w:val="FFFFFF" w:themeColor="background1"/>
        </w:rPr>
        <w:t>R</w:t>
      </w:r>
    </w:p>
    <w:p w14:paraId="6CFC0C82" w14:textId="77777777" w:rsidR="007E7EAB" w:rsidRPr="000559D0" w:rsidRDefault="007E7EAB" w:rsidP="007E7EAB">
      <w:pPr>
        <w:pStyle w:val="Answer-Testimony"/>
        <w:rPr>
          <w:color w:val="FFFFFF" w:themeColor="background1"/>
        </w:rPr>
      </w:pPr>
      <w:r w:rsidRPr="000559D0">
        <w:rPr>
          <w:color w:val="FFFFFF" w:themeColor="background1"/>
        </w:rPr>
        <w:t>R</w:t>
      </w:r>
    </w:p>
    <w:p w14:paraId="6CFC0C83" w14:textId="77777777" w:rsidR="007E7EAB" w:rsidRPr="000559D0" w:rsidRDefault="007E7EAB" w:rsidP="007E7EAB">
      <w:pPr>
        <w:pStyle w:val="Answer-Testimony"/>
        <w:rPr>
          <w:color w:val="FFFFFF" w:themeColor="background1"/>
        </w:rPr>
      </w:pPr>
      <w:r w:rsidRPr="000559D0">
        <w:rPr>
          <w:color w:val="FFFFFF" w:themeColor="background1"/>
        </w:rPr>
        <w:t>R</w:t>
      </w:r>
    </w:p>
    <w:p w14:paraId="6CFC0C84" w14:textId="77777777" w:rsidR="007E7EAB" w:rsidRPr="000559D0" w:rsidRDefault="007E7EAB" w:rsidP="007E7EAB">
      <w:pPr>
        <w:pStyle w:val="Answer-Testimony"/>
        <w:rPr>
          <w:color w:val="FFFFFF" w:themeColor="background1"/>
        </w:rPr>
      </w:pPr>
      <w:r w:rsidRPr="000559D0">
        <w:rPr>
          <w:color w:val="FFFFFF" w:themeColor="background1"/>
        </w:rPr>
        <w:t>R</w:t>
      </w:r>
    </w:p>
    <w:p w14:paraId="6CFC0C85" w14:textId="77777777" w:rsidR="007E7EAB" w:rsidRPr="000559D0" w:rsidRDefault="007E7EAB" w:rsidP="007E7EAB">
      <w:pPr>
        <w:pStyle w:val="Question-Testimony"/>
        <w:rPr>
          <w:color w:val="FFFFFF" w:themeColor="background1"/>
        </w:rPr>
      </w:pPr>
      <w:r w:rsidRPr="000559D0">
        <w:rPr>
          <w:color w:val="FFFFFF" w:themeColor="background1"/>
        </w:rPr>
        <w:t>R</w:t>
      </w:r>
    </w:p>
    <w:p w14:paraId="6CFC0C86" w14:textId="77777777" w:rsidR="007E7EAB" w:rsidRPr="000559D0" w:rsidRDefault="007E7EAB" w:rsidP="007E7EAB">
      <w:pPr>
        <w:pStyle w:val="Question-Testimony"/>
        <w:rPr>
          <w:color w:val="FFFFFF" w:themeColor="background1"/>
        </w:rPr>
      </w:pPr>
      <w:r w:rsidRPr="000559D0">
        <w:rPr>
          <w:color w:val="FFFFFF" w:themeColor="background1"/>
        </w:rPr>
        <w:t>R</w:t>
      </w:r>
    </w:p>
    <w:p w14:paraId="6CFC0C87" w14:textId="77777777" w:rsidR="007E7EAB" w:rsidRPr="000559D0" w:rsidRDefault="007E7EAB" w:rsidP="007E7EAB">
      <w:pPr>
        <w:pStyle w:val="Question-Testimony"/>
        <w:rPr>
          <w:color w:val="FFFFFF" w:themeColor="background1"/>
        </w:rPr>
      </w:pPr>
    </w:p>
    <w:p w14:paraId="6CFC0C88" w14:textId="77777777" w:rsidR="008C55C9" w:rsidRPr="007E50F7" w:rsidRDefault="008C55C9" w:rsidP="008C55C9">
      <w:pPr>
        <w:pStyle w:val="Question-Testimony"/>
      </w:pPr>
      <w:r w:rsidRPr="007E50F7">
        <w:t>Q.</w:t>
      </w:r>
      <w:r w:rsidRPr="007E50F7">
        <w:tab/>
        <w:t>How does this proposal reflect consideration of fairness, equity, economic conditions and rate stability?</w:t>
      </w:r>
    </w:p>
    <w:p w14:paraId="6CFC0C89" w14:textId="77777777" w:rsidR="00D10E54" w:rsidRPr="007E50F7" w:rsidRDefault="008C55C9" w:rsidP="00107408">
      <w:pPr>
        <w:pStyle w:val="Answer-Testimony"/>
      </w:pPr>
      <w:r w:rsidRPr="007E50F7">
        <w:t>A.</w:t>
      </w:r>
      <w:r w:rsidRPr="007E50F7">
        <w:tab/>
      </w:r>
      <w:r w:rsidR="00107408" w:rsidRPr="007E50F7">
        <w:t xml:space="preserve">Staff’s recommendation emphasizes the customer class relationship to parity and customer bill impacts.  The parity percentages discussed earlier in my testimony indicate that some classes currently pay less than it costs to serve them, and other classes pay more than it costs to serve them.  Because this relationship between costs and revenues varies by customer class, the Company’s earned return also varies by </w:t>
      </w:r>
      <w:r w:rsidR="00107408" w:rsidRPr="007E50F7">
        <w:lastRenderedPageBreak/>
        <w:t xml:space="preserve">customer class.  By adjusting rate spread, classes can be brought closer to paying the costs incurred to serve the class and class level rates of return can be brought closer to the system average rate of return.  </w:t>
      </w:r>
    </w:p>
    <w:p w14:paraId="6CFC0C8A" w14:textId="77777777" w:rsidR="009F5AB0" w:rsidRPr="007E50F7" w:rsidRDefault="00D10E54" w:rsidP="00107408">
      <w:pPr>
        <w:pStyle w:val="Answer-Testimony"/>
      </w:pPr>
      <w:r w:rsidRPr="007E50F7">
        <w:tab/>
      </w:r>
      <w:r w:rsidRPr="007E50F7">
        <w:tab/>
      </w:r>
      <w:r w:rsidR="00107408" w:rsidRPr="007E50F7">
        <w:t>Staff’s long-term goal is to set rates at parity for each class, and the recommended rate spread is designed to move classes toward those levels without producing unacceptably large customer impacts.</w:t>
      </w:r>
    </w:p>
    <w:p w14:paraId="6CFC0C8B" w14:textId="77777777" w:rsidR="00107408" w:rsidRPr="007E50F7" w:rsidRDefault="00555DC2" w:rsidP="009F5AB0">
      <w:pPr>
        <w:pStyle w:val="Answer-Testimony"/>
        <w:ind w:firstLine="720"/>
      </w:pPr>
      <w:r w:rsidRPr="007E50F7">
        <w:t>Staff</w:t>
      </w:r>
      <w:r w:rsidR="009F5AB0" w:rsidRPr="007E50F7">
        <w:t xml:space="preserve"> also</w:t>
      </w:r>
      <w:r w:rsidRPr="007E50F7">
        <w:t xml:space="preserve"> recognizes the </w:t>
      </w:r>
      <w:r w:rsidR="00103139" w:rsidRPr="007E50F7">
        <w:t xml:space="preserve">current </w:t>
      </w:r>
      <w:r w:rsidRPr="007E50F7">
        <w:t xml:space="preserve">economic conditions </w:t>
      </w:r>
      <w:r w:rsidR="00103139" w:rsidRPr="007E50F7">
        <w:t xml:space="preserve">for the Company’s </w:t>
      </w:r>
      <w:r w:rsidRPr="007E50F7">
        <w:t xml:space="preserve">service area </w:t>
      </w:r>
      <w:r w:rsidR="00103139" w:rsidRPr="007E50F7">
        <w:t>c</w:t>
      </w:r>
      <w:r w:rsidRPr="007E50F7">
        <w:t xml:space="preserve">ould not warrant </w:t>
      </w:r>
      <w:r w:rsidR="00103139" w:rsidRPr="007E50F7">
        <w:t>a complete shift to</w:t>
      </w:r>
      <w:r w:rsidR="009F5AB0" w:rsidRPr="007E50F7">
        <w:t xml:space="preserve"> the</w:t>
      </w:r>
      <w:r w:rsidR="00103139" w:rsidRPr="007E50F7">
        <w:t xml:space="preserve"> cost o</w:t>
      </w:r>
      <w:r w:rsidR="009F5AB0" w:rsidRPr="007E50F7">
        <w:t>f</w:t>
      </w:r>
      <w:r w:rsidR="00103139" w:rsidRPr="007E50F7">
        <w:t xml:space="preserve"> service, let alone the rate instability this would cause.</w:t>
      </w:r>
      <w:r w:rsidR="009F5AB0" w:rsidRPr="007E50F7">
        <w:t xml:space="preserve">  Therefore, Staff is applying the concept of gradualism in small and discrete increments to reduce these imbalances, instead of abrupt strokes.</w:t>
      </w:r>
    </w:p>
    <w:p w14:paraId="6CFC0C8C" w14:textId="77777777" w:rsidR="008C55C9" w:rsidRPr="007E50F7" w:rsidRDefault="008C55C9" w:rsidP="008C55C9">
      <w:pPr>
        <w:pStyle w:val="Answer-Testimony"/>
      </w:pPr>
    </w:p>
    <w:p w14:paraId="6CFC0C8D" w14:textId="77777777" w:rsidR="008C55C9" w:rsidRPr="007E50F7" w:rsidRDefault="008C55C9" w:rsidP="008C55C9">
      <w:pPr>
        <w:pStyle w:val="Question-Testimony"/>
      </w:pPr>
      <w:r w:rsidRPr="007E50F7">
        <w:t>Q.</w:t>
      </w:r>
      <w:r w:rsidRPr="007E50F7">
        <w:tab/>
        <w:t>How does Staff’s propos</w:t>
      </w:r>
      <w:r w:rsidR="009D1A98" w:rsidRPr="007E50F7">
        <w:t>ed</w:t>
      </w:r>
      <w:r w:rsidRPr="007E50F7">
        <w:t xml:space="preserve"> revenue allocation compare to the Company’s?</w:t>
      </w:r>
    </w:p>
    <w:p w14:paraId="6CFC0C8E" w14:textId="77777777" w:rsidR="008C55C9" w:rsidRPr="007E50F7" w:rsidRDefault="008C55C9" w:rsidP="008C55C9">
      <w:pPr>
        <w:pStyle w:val="Answer-Testimony"/>
      </w:pPr>
      <w:r w:rsidRPr="007E50F7">
        <w:t>A.</w:t>
      </w:r>
      <w:r w:rsidRPr="007E50F7">
        <w:tab/>
        <w:t>Staff’s proposed revenue allocation reduces the inequities demonstrated by the disparate parity ratios shown in the table above.  Avista’s proposed rate design does not address the current problems related to parity</w:t>
      </w:r>
      <w:r w:rsidR="008A7881" w:rsidRPr="007E50F7">
        <w:t xml:space="preserve">; instead, it maintains the imbalances, or </w:t>
      </w:r>
      <w:r w:rsidR="00D10E54" w:rsidRPr="007E50F7">
        <w:t xml:space="preserve">makes them </w:t>
      </w:r>
      <w:r w:rsidR="008A7881" w:rsidRPr="007E50F7">
        <w:t>w</w:t>
      </w:r>
      <w:r w:rsidR="007A2557" w:rsidRPr="007E50F7">
        <w:t>orse, as shown in Table 2</w:t>
      </w:r>
      <w:r w:rsidR="00832957" w:rsidRPr="007E50F7">
        <w:t xml:space="preserve"> above.</w:t>
      </w:r>
    </w:p>
    <w:p w14:paraId="6CFC0C8F" w14:textId="77777777" w:rsidR="00FE5FD1" w:rsidRPr="007E50F7" w:rsidRDefault="00FE5FD1" w:rsidP="00C87022">
      <w:pPr>
        <w:pStyle w:val="Answer-Testimony"/>
      </w:pPr>
    </w:p>
    <w:p w14:paraId="6CFC0C90" w14:textId="77777777" w:rsidR="00C87022" w:rsidRPr="007E50F7" w:rsidRDefault="00C87022" w:rsidP="00C87022">
      <w:pPr>
        <w:pStyle w:val="Question-Testimony"/>
      </w:pPr>
      <w:r w:rsidRPr="007E50F7">
        <w:t>Q.</w:t>
      </w:r>
      <w:r w:rsidRPr="007E50F7">
        <w:tab/>
        <w:t xml:space="preserve">Please explain </w:t>
      </w:r>
      <w:r w:rsidR="00FE5FD1" w:rsidRPr="007E50F7">
        <w:t xml:space="preserve">the primary problem with </w:t>
      </w:r>
      <w:r w:rsidRPr="007E50F7">
        <w:t>the Company’s proposed rate spread.</w:t>
      </w:r>
    </w:p>
    <w:p w14:paraId="6CFC0C91" w14:textId="77777777" w:rsidR="00434467" w:rsidRPr="007E50F7" w:rsidRDefault="00C87022" w:rsidP="002D34A4">
      <w:pPr>
        <w:pStyle w:val="Answer-Testimony"/>
      </w:pPr>
      <w:r w:rsidRPr="007E50F7">
        <w:t>A.</w:t>
      </w:r>
      <w:r w:rsidRPr="007E50F7">
        <w:tab/>
      </w:r>
      <w:r w:rsidR="00FE5FD1" w:rsidRPr="007E50F7">
        <w:t xml:space="preserve">As shown on </w:t>
      </w:r>
      <w:r w:rsidR="00434467" w:rsidRPr="007E50F7">
        <w:t xml:space="preserve">the tables above, </w:t>
      </w:r>
      <w:r w:rsidRPr="007E50F7">
        <w:t>Avista</w:t>
      </w:r>
      <w:r w:rsidR="00FE5FD1" w:rsidRPr="007E50F7">
        <w:t>’s revenue allocation proposal results in a parity ratio for</w:t>
      </w:r>
      <w:r w:rsidRPr="007E50F7">
        <w:t xml:space="preserve"> Residential Schedule 1 of </w:t>
      </w:r>
      <w:r w:rsidR="00BF14F4" w:rsidRPr="007E50F7">
        <w:t>0.89</w:t>
      </w:r>
      <w:r w:rsidRPr="007E50F7">
        <w:t xml:space="preserve"> </w:t>
      </w:r>
      <w:r w:rsidR="00FE5FD1" w:rsidRPr="007E50F7">
        <w:t xml:space="preserve">and a </w:t>
      </w:r>
      <w:r w:rsidR="003E0CC4" w:rsidRPr="007E50F7">
        <w:t>parity</w:t>
      </w:r>
      <w:r w:rsidR="00FE5FD1" w:rsidRPr="007E50F7">
        <w:t xml:space="preserve"> ratio of 1.30 for</w:t>
      </w:r>
      <w:r w:rsidRPr="007E50F7">
        <w:t xml:space="preserve"> General Service Schedules 11 and 12</w:t>
      </w:r>
      <w:r w:rsidR="00FE5FD1" w:rsidRPr="007E50F7">
        <w:t xml:space="preserve">.  This means that under Avista’s proposal, the Residential Schedule </w:t>
      </w:r>
      <w:r w:rsidR="00434467" w:rsidRPr="007E50F7">
        <w:t>continues to</w:t>
      </w:r>
      <w:r w:rsidR="00FE5FD1" w:rsidRPr="007E50F7">
        <w:t xml:space="preserve"> significantly underpay </w:t>
      </w:r>
      <w:r w:rsidR="00434467" w:rsidRPr="007E50F7">
        <w:t>its</w:t>
      </w:r>
      <w:r w:rsidR="00FE5FD1" w:rsidRPr="007E50F7">
        <w:t xml:space="preserve"> cost of service and the </w:t>
      </w:r>
      <w:r w:rsidR="00FE5FD1" w:rsidRPr="007E50F7">
        <w:lastRenderedPageBreak/>
        <w:t xml:space="preserve">General Service Schedules </w:t>
      </w:r>
      <w:r w:rsidR="00434467" w:rsidRPr="007E50F7">
        <w:t xml:space="preserve">continue to </w:t>
      </w:r>
      <w:r w:rsidR="00FE5FD1" w:rsidRPr="007E50F7">
        <w:t>significantly overpay their cost of service, with no meaningful movement toward parity</w:t>
      </w:r>
      <w:r w:rsidR="002D34A4" w:rsidRPr="007E50F7">
        <w:t>.</w:t>
      </w:r>
    </w:p>
    <w:p w14:paraId="6CFC0C92" w14:textId="77777777" w:rsidR="00E121BA" w:rsidRPr="007E50F7" w:rsidRDefault="00E121BA" w:rsidP="002D34A4">
      <w:pPr>
        <w:pStyle w:val="Answer-Testimony"/>
      </w:pPr>
    </w:p>
    <w:p w14:paraId="6CFC0C93" w14:textId="77777777" w:rsidR="00E121BA" w:rsidRPr="007E50F7" w:rsidRDefault="00E121BA" w:rsidP="00E121BA">
      <w:pPr>
        <w:pStyle w:val="Question-Testimony"/>
      </w:pPr>
      <w:r w:rsidRPr="007E50F7">
        <w:t>Q.</w:t>
      </w:r>
      <w:r w:rsidRPr="007E50F7">
        <w:tab/>
      </w:r>
      <w:r w:rsidR="00B21ED9" w:rsidRPr="007E50F7">
        <w:t>U</w:t>
      </w:r>
      <w:r w:rsidRPr="007E50F7">
        <w:t xml:space="preserve">sing </w:t>
      </w:r>
      <w:r w:rsidR="002F39CF" w:rsidRPr="007E50F7">
        <w:t>Staff</w:t>
      </w:r>
      <w:r w:rsidRPr="007E50F7">
        <w:t xml:space="preserve">’s revenue requirement, </w:t>
      </w:r>
      <w:r w:rsidR="00B21ED9" w:rsidRPr="007E50F7">
        <w:t xml:space="preserve">how would the parity ratios </w:t>
      </w:r>
      <w:r w:rsidRPr="007E50F7">
        <w:t>translate into revenue increases</w:t>
      </w:r>
      <w:r w:rsidR="002F39CF" w:rsidRPr="007E50F7">
        <w:t>/decreases</w:t>
      </w:r>
      <w:r w:rsidRPr="007E50F7">
        <w:t xml:space="preserve"> under Staff’s rate spread?</w:t>
      </w:r>
    </w:p>
    <w:p w14:paraId="6CFC0C94" w14:textId="77777777" w:rsidR="009002B3" w:rsidRPr="007E50F7" w:rsidRDefault="00E121BA" w:rsidP="002D34A4">
      <w:pPr>
        <w:pStyle w:val="Answer-Testimony"/>
      </w:pPr>
      <w:r w:rsidRPr="007E50F7">
        <w:t>A.</w:t>
      </w:r>
      <w:r w:rsidRPr="007E50F7">
        <w:tab/>
      </w:r>
      <w:r w:rsidR="009002B3" w:rsidRPr="007E50F7">
        <w:t>Table 3</w:t>
      </w:r>
      <w:r w:rsidR="00351D79" w:rsidRPr="007E50F7">
        <w:t xml:space="preserve"> </w:t>
      </w:r>
      <w:r w:rsidR="00434467" w:rsidRPr="007E50F7">
        <w:t xml:space="preserve">below </w:t>
      </w:r>
      <w:r w:rsidR="009002B3" w:rsidRPr="007E50F7">
        <w:t xml:space="preserve">demonstrates how </w:t>
      </w:r>
      <w:r w:rsidR="00351D79" w:rsidRPr="007E50F7">
        <w:t xml:space="preserve">the parity ratios translate into revenue increases between schedules under the cost of service, the Company’s </w:t>
      </w:r>
      <w:r w:rsidR="00871D6B" w:rsidRPr="007E50F7">
        <w:t>proposal</w:t>
      </w:r>
      <w:r w:rsidR="00351D79" w:rsidRPr="007E50F7">
        <w:t>, and Staff’s proposal</w:t>
      </w:r>
      <w:r w:rsidR="00434467" w:rsidRPr="007E50F7">
        <w:t>:</w:t>
      </w:r>
    </w:p>
    <w:tbl>
      <w:tblPr>
        <w:tblpPr w:leftFromText="187" w:rightFromText="187" w:vertAnchor="text" w:horzAnchor="page" w:tblpX="2634" w:tblpY="818"/>
        <w:tblOverlap w:val="never"/>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691"/>
        <w:gridCol w:w="1296"/>
        <w:gridCol w:w="1296"/>
        <w:gridCol w:w="1296"/>
      </w:tblGrid>
      <w:tr w:rsidR="007E50F7" w:rsidRPr="007E50F7" w14:paraId="6CFC0C99" w14:textId="77777777" w:rsidTr="0002192E">
        <w:trPr>
          <w:cantSplit/>
        </w:trPr>
        <w:tc>
          <w:tcPr>
            <w:tcW w:w="4691" w:type="dxa"/>
            <w:vAlign w:val="center"/>
          </w:tcPr>
          <w:p w14:paraId="6CFC0C95" w14:textId="77777777" w:rsidR="002D34A4" w:rsidRPr="007E50F7" w:rsidRDefault="002D34A4" w:rsidP="0002192E">
            <w:pPr>
              <w:pStyle w:val="answer"/>
              <w:keepNext/>
              <w:spacing w:before="60" w:after="60" w:line="240" w:lineRule="auto"/>
              <w:ind w:left="0" w:firstLine="0"/>
              <w:jc w:val="center"/>
              <w:rPr>
                <w:b/>
              </w:rPr>
            </w:pPr>
            <w:r w:rsidRPr="007E50F7">
              <w:rPr>
                <w:b/>
              </w:rPr>
              <w:t>Customer Class</w:t>
            </w:r>
          </w:p>
        </w:tc>
        <w:tc>
          <w:tcPr>
            <w:tcW w:w="1296" w:type="dxa"/>
            <w:vAlign w:val="center"/>
          </w:tcPr>
          <w:p w14:paraId="6CFC0C96" w14:textId="77777777" w:rsidR="002D34A4" w:rsidRPr="007E50F7" w:rsidRDefault="002D34A4" w:rsidP="002D34A4">
            <w:pPr>
              <w:pStyle w:val="answer"/>
              <w:keepNext/>
              <w:spacing w:before="60" w:after="60" w:line="240" w:lineRule="auto"/>
              <w:ind w:left="0" w:firstLine="0"/>
              <w:jc w:val="center"/>
              <w:rPr>
                <w:b/>
              </w:rPr>
            </w:pPr>
            <w:r w:rsidRPr="007E50F7">
              <w:rPr>
                <w:b/>
              </w:rPr>
              <w:t>Cost of Service</w:t>
            </w:r>
          </w:p>
        </w:tc>
        <w:tc>
          <w:tcPr>
            <w:tcW w:w="1296" w:type="dxa"/>
            <w:vAlign w:val="center"/>
          </w:tcPr>
          <w:p w14:paraId="6CFC0C97" w14:textId="77777777" w:rsidR="002D34A4" w:rsidRPr="007E50F7" w:rsidRDefault="002D34A4" w:rsidP="00B21ED9">
            <w:pPr>
              <w:pStyle w:val="answer"/>
              <w:keepNext/>
              <w:spacing w:before="60" w:after="60" w:line="240" w:lineRule="auto"/>
              <w:ind w:left="0" w:firstLine="0"/>
              <w:jc w:val="center"/>
              <w:rPr>
                <w:b/>
              </w:rPr>
            </w:pPr>
            <w:r w:rsidRPr="007E50F7">
              <w:rPr>
                <w:b/>
              </w:rPr>
              <w:t xml:space="preserve">Company </w:t>
            </w:r>
            <w:r w:rsidR="00B21ED9" w:rsidRPr="007E50F7">
              <w:rPr>
                <w:b/>
              </w:rPr>
              <w:t>Spread</w:t>
            </w:r>
          </w:p>
        </w:tc>
        <w:tc>
          <w:tcPr>
            <w:tcW w:w="1296" w:type="dxa"/>
            <w:vAlign w:val="center"/>
          </w:tcPr>
          <w:p w14:paraId="6CFC0C98" w14:textId="77777777" w:rsidR="002D34A4" w:rsidRPr="007E50F7" w:rsidRDefault="002D34A4" w:rsidP="00B21ED9">
            <w:pPr>
              <w:pStyle w:val="answer"/>
              <w:keepNext/>
              <w:spacing w:before="60" w:after="60" w:line="240" w:lineRule="auto"/>
              <w:ind w:left="0" w:firstLine="0"/>
              <w:jc w:val="center"/>
              <w:rPr>
                <w:b/>
              </w:rPr>
            </w:pPr>
            <w:r w:rsidRPr="007E50F7">
              <w:rPr>
                <w:b/>
              </w:rPr>
              <w:t xml:space="preserve">Staff </w:t>
            </w:r>
            <w:r w:rsidR="00B21ED9" w:rsidRPr="007E50F7">
              <w:rPr>
                <w:b/>
              </w:rPr>
              <w:t>Spread</w:t>
            </w:r>
          </w:p>
        </w:tc>
      </w:tr>
      <w:tr w:rsidR="007E50F7" w:rsidRPr="007E50F7" w14:paraId="6CFC0C9E" w14:textId="77777777" w:rsidTr="0002192E">
        <w:trPr>
          <w:cantSplit/>
        </w:trPr>
        <w:tc>
          <w:tcPr>
            <w:tcW w:w="4691" w:type="dxa"/>
            <w:vAlign w:val="center"/>
          </w:tcPr>
          <w:p w14:paraId="6CFC0C9A" w14:textId="77777777" w:rsidR="002D34A4" w:rsidRPr="007E50F7" w:rsidRDefault="002D34A4" w:rsidP="0002192E">
            <w:pPr>
              <w:pStyle w:val="answer"/>
              <w:keepNext/>
              <w:spacing w:before="60" w:after="60" w:line="240" w:lineRule="auto"/>
              <w:ind w:left="0" w:firstLine="0"/>
            </w:pPr>
            <w:r w:rsidRPr="007E50F7">
              <w:t>Total System</w:t>
            </w:r>
          </w:p>
        </w:tc>
        <w:tc>
          <w:tcPr>
            <w:tcW w:w="1296" w:type="dxa"/>
            <w:vAlign w:val="center"/>
          </w:tcPr>
          <w:p w14:paraId="6CFC0C9B" w14:textId="77777777" w:rsidR="002D34A4" w:rsidRPr="007E50F7" w:rsidRDefault="008344C0" w:rsidP="002523A7">
            <w:pPr>
              <w:pStyle w:val="answer"/>
              <w:keepNext/>
              <w:spacing w:before="60" w:after="60" w:line="240" w:lineRule="auto"/>
              <w:ind w:left="0" w:firstLine="0"/>
              <w:jc w:val="center"/>
            </w:pPr>
            <w:r w:rsidRPr="007E50F7">
              <w:t>($1,3</w:t>
            </w:r>
            <w:r w:rsidR="002523A7" w:rsidRPr="007E50F7">
              <w:t>1</w:t>
            </w:r>
            <w:r w:rsidRPr="007E50F7">
              <w:t>2)</w:t>
            </w:r>
          </w:p>
        </w:tc>
        <w:tc>
          <w:tcPr>
            <w:tcW w:w="1296" w:type="dxa"/>
            <w:vAlign w:val="center"/>
          </w:tcPr>
          <w:p w14:paraId="6CFC0C9C" w14:textId="77777777" w:rsidR="002D34A4" w:rsidRPr="007E50F7" w:rsidRDefault="008344C0" w:rsidP="002523A7">
            <w:pPr>
              <w:pStyle w:val="answer"/>
              <w:keepNext/>
              <w:spacing w:before="60" w:after="60" w:line="240" w:lineRule="auto"/>
              <w:ind w:left="0" w:firstLine="0"/>
              <w:jc w:val="center"/>
            </w:pPr>
            <w:r w:rsidRPr="007E50F7">
              <w:t>($1,3</w:t>
            </w:r>
            <w:r w:rsidR="002523A7" w:rsidRPr="007E50F7">
              <w:t>1</w:t>
            </w:r>
            <w:r w:rsidRPr="007E50F7">
              <w:t>2)</w:t>
            </w:r>
          </w:p>
        </w:tc>
        <w:tc>
          <w:tcPr>
            <w:tcW w:w="1296" w:type="dxa"/>
            <w:vAlign w:val="center"/>
          </w:tcPr>
          <w:p w14:paraId="6CFC0C9D" w14:textId="77777777" w:rsidR="002D34A4" w:rsidRPr="007E50F7" w:rsidRDefault="008344C0" w:rsidP="002523A7">
            <w:pPr>
              <w:pStyle w:val="answer"/>
              <w:keepNext/>
              <w:spacing w:before="60" w:after="60" w:line="240" w:lineRule="auto"/>
              <w:ind w:left="0" w:firstLine="0"/>
              <w:jc w:val="center"/>
            </w:pPr>
            <w:r w:rsidRPr="007E50F7">
              <w:t>(</w:t>
            </w:r>
            <w:r w:rsidR="002D34A4" w:rsidRPr="007E50F7">
              <w:t>$</w:t>
            </w:r>
            <w:r w:rsidRPr="007E50F7">
              <w:t>1,3</w:t>
            </w:r>
            <w:r w:rsidR="002523A7" w:rsidRPr="007E50F7">
              <w:t>1</w:t>
            </w:r>
            <w:r w:rsidRPr="007E50F7">
              <w:t>2)</w:t>
            </w:r>
          </w:p>
        </w:tc>
      </w:tr>
      <w:tr w:rsidR="007E50F7" w:rsidRPr="007E50F7" w14:paraId="6CFC0CA3" w14:textId="77777777" w:rsidTr="0002192E">
        <w:trPr>
          <w:cantSplit/>
        </w:trPr>
        <w:tc>
          <w:tcPr>
            <w:tcW w:w="4691" w:type="dxa"/>
            <w:vAlign w:val="center"/>
          </w:tcPr>
          <w:p w14:paraId="6CFC0C9F" w14:textId="77777777" w:rsidR="002D34A4" w:rsidRPr="007E50F7" w:rsidRDefault="007F107D" w:rsidP="007F107D">
            <w:pPr>
              <w:pStyle w:val="answer"/>
              <w:keepNext/>
              <w:spacing w:before="60" w:after="60" w:line="240" w:lineRule="auto"/>
              <w:ind w:left="0" w:firstLine="0"/>
            </w:pPr>
            <w:r w:rsidRPr="007E50F7">
              <w:t>Residential</w:t>
            </w:r>
            <w:r w:rsidR="002D34A4" w:rsidRPr="007E50F7">
              <w:t xml:space="preserve"> </w:t>
            </w:r>
            <w:r w:rsidRPr="007E50F7">
              <w:t xml:space="preserve">Service </w:t>
            </w:r>
            <w:r w:rsidR="002D34A4" w:rsidRPr="007E50F7">
              <w:t>(Schedule 1)</w:t>
            </w:r>
          </w:p>
        </w:tc>
        <w:tc>
          <w:tcPr>
            <w:tcW w:w="1296" w:type="dxa"/>
            <w:vAlign w:val="center"/>
          </w:tcPr>
          <w:p w14:paraId="6CFC0CA0" w14:textId="77777777" w:rsidR="002D34A4" w:rsidRPr="007E50F7" w:rsidRDefault="002D34A4" w:rsidP="002523A7">
            <w:pPr>
              <w:pStyle w:val="answer"/>
              <w:keepNext/>
              <w:spacing w:before="60" w:after="60" w:line="240" w:lineRule="auto"/>
              <w:ind w:left="0" w:firstLine="0"/>
              <w:jc w:val="center"/>
            </w:pPr>
            <w:r w:rsidRPr="007E50F7">
              <w:t>$</w:t>
            </w:r>
            <w:r w:rsidR="00E858EF" w:rsidRPr="007E50F7">
              <w:t>23</w:t>
            </w:r>
            <w:r w:rsidR="007F107D" w:rsidRPr="007E50F7">
              <w:t>,</w:t>
            </w:r>
            <w:r w:rsidR="008344C0" w:rsidRPr="007E50F7">
              <w:t>1</w:t>
            </w:r>
            <w:r w:rsidR="002523A7" w:rsidRPr="007E50F7">
              <w:t>24</w:t>
            </w:r>
          </w:p>
        </w:tc>
        <w:tc>
          <w:tcPr>
            <w:tcW w:w="1296" w:type="dxa"/>
            <w:vAlign w:val="center"/>
          </w:tcPr>
          <w:p w14:paraId="6CFC0CA1" w14:textId="77777777" w:rsidR="002D34A4" w:rsidRPr="007E50F7" w:rsidRDefault="002F39CF" w:rsidP="008344C0">
            <w:pPr>
              <w:pStyle w:val="answer"/>
              <w:keepNext/>
              <w:spacing w:before="60" w:after="60" w:line="240" w:lineRule="auto"/>
              <w:ind w:left="0" w:firstLine="0"/>
              <w:jc w:val="center"/>
            </w:pPr>
            <w:r w:rsidRPr="007E50F7">
              <w:t>(</w:t>
            </w:r>
            <w:r w:rsidR="002D34A4" w:rsidRPr="007E50F7">
              <w:t>$</w:t>
            </w:r>
            <w:r w:rsidR="00E666A6" w:rsidRPr="007E50F7">
              <w:t>1,</w:t>
            </w:r>
            <w:r w:rsidR="002523A7" w:rsidRPr="007E50F7">
              <w:t>584</w:t>
            </w:r>
            <w:r w:rsidRPr="007E50F7">
              <w:t>)</w:t>
            </w:r>
          </w:p>
        </w:tc>
        <w:tc>
          <w:tcPr>
            <w:tcW w:w="1296" w:type="dxa"/>
            <w:vAlign w:val="center"/>
          </w:tcPr>
          <w:p w14:paraId="6CFC0CA2" w14:textId="77777777" w:rsidR="002D34A4" w:rsidRPr="007E50F7" w:rsidRDefault="002D34A4" w:rsidP="008344C0">
            <w:pPr>
              <w:pStyle w:val="answer"/>
              <w:keepNext/>
              <w:spacing w:before="60" w:after="60" w:line="240" w:lineRule="auto"/>
              <w:ind w:left="0" w:firstLine="0"/>
              <w:jc w:val="center"/>
            </w:pPr>
            <w:r w:rsidRPr="007E50F7">
              <w:t>$</w:t>
            </w:r>
            <w:r w:rsidR="008344C0" w:rsidRPr="007E50F7">
              <w:t>1</w:t>
            </w:r>
            <w:r w:rsidR="00B21ED9" w:rsidRPr="007E50F7">
              <w:t>,</w:t>
            </w:r>
            <w:r w:rsidR="002523A7" w:rsidRPr="007E50F7">
              <w:t>753</w:t>
            </w:r>
          </w:p>
        </w:tc>
      </w:tr>
      <w:tr w:rsidR="007E50F7" w:rsidRPr="007E50F7" w14:paraId="6CFC0CA8" w14:textId="77777777" w:rsidTr="0002192E">
        <w:trPr>
          <w:cantSplit/>
        </w:trPr>
        <w:tc>
          <w:tcPr>
            <w:tcW w:w="4691" w:type="dxa"/>
            <w:vAlign w:val="center"/>
          </w:tcPr>
          <w:p w14:paraId="6CFC0CA4" w14:textId="77777777" w:rsidR="002D34A4" w:rsidRPr="007E50F7" w:rsidRDefault="002D34A4" w:rsidP="007F107D">
            <w:pPr>
              <w:pStyle w:val="answer"/>
              <w:keepNext/>
              <w:spacing w:before="60" w:after="60" w:line="240" w:lineRule="auto"/>
              <w:ind w:left="0" w:firstLine="0"/>
            </w:pPr>
            <w:r w:rsidRPr="007E50F7">
              <w:t>General Service (Schedules 11, 12)</w:t>
            </w:r>
          </w:p>
        </w:tc>
        <w:tc>
          <w:tcPr>
            <w:tcW w:w="1296" w:type="dxa"/>
            <w:vAlign w:val="center"/>
          </w:tcPr>
          <w:p w14:paraId="6CFC0CA5" w14:textId="77777777" w:rsidR="002D34A4" w:rsidRPr="007E50F7" w:rsidRDefault="007F107D" w:rsidP="002523A7">
            <w:pPr>
              <w:pStyle w:val="answer"/>
              <w:keepNext/>
              <w:spacing w:before="60" w:after="60" w:line="240" w:lineRule="auto"/>
              <w:ind w:left="0" w:firstLine="0"/>
              <w:jc w:val="center"/>
            </w:pPr>
            <w:r w:rsidRPr="007E50F7">
              <w:t>(</w:t>
            </w:r>
            <w:r w:rsidR="002D34A4" w:rsidRPr="007E50F7">
              <w:t>$</w:t>
            </w:r>
            <w:r w:rsidR="00E858EF" w:rsidRPr="007E50F7">
              <w:t>13</w:t>
            </w:r>
            <w:r w:rsidRPr="007E50F7">
              <w:t>,</w:t>
            </w:r>
            <w:r w:rsidR="008344C0" w:rsidRPr="007E50F7">
              <w:t>18</w:t>
            </w:r>
            <w:r w:rsidR="002523A7" w:rsidRPr="007E50F7">
              <w:t>4</w:t>
            </w:r>
            <w:r w:rsidRPr="007E50F7">
              <w:t>)</w:t>
            </w:r>
          </w:p>
        </w:tc>
        <w:tc>
          <w:tcPr>
            <w:tcW w:w="1296" w:type="dxa"/>
            <w:vAlign w:val="center"/>
          </w:tcPr>
          <w:p w14:paraId="6CFC0CA6" w14:textId="77777777" w:rsidR="002D34A4" w:rsidRPr="007E50F7" w:rsidRDefault="002F39CF" w:rsidP="008344C0">
            <w:pPr>
              <w:pStyle w:val="answer"/>
              <w:keepNext/>
              <w:spacing w:before="60" w:after="60" w:line="240" w:lineRule="auto"/>
              <w:ind w:left="0" w:firstLine="0"/>
              <w:jc w:val="center"/>
            </w:pPr>
            <w:r w:rsidRPr="007E50F7">
              <w:t>(</w:t>
            </w:r>
            <w:r w:rsidR="002D34A4" w:rsidRPr="007E50F7">
              <w:t>$</w:t>
            </w:r>
            <w:r w:rsidR="002523A7" w:rsidRPr="007E50F7">
              <w:t>858</w:t>
            </w:r>
            <w:r w:rsidRPr="007E50F7">
              <w:t>)</w:t>
            </w:r>
          </w:p>
        </w:tc>
        <w:tc>
          <w:tcPr>
            <w:tcW w:w="1296" w:type="dxa"/>
            <w:vAlign w:val="center"/>
          </w:tcPr>
          <w:p w14:paraId="6CFC0CA7" w14:textId="77777777" w:rsidR="002D34A4" w:rsidRPr="007E50F7" w:rsidRDefault="00871D6B" w:rsidP="008344C0">
            <w:pPr>
              <w:pStyle w:val="answer"/>
              <w:keepNext/>
              <w:spacing w:before="60" w:after="60" w:line="240" w:lineRule="auto"/>
              <w:ind w:left="0" w:firstLine="0"/>
              <w:jc w:val="center"/>
            </w:pPr>
            <w:r w:rsidRPr="007E50F7">
              <w:t>(</w:t>
            </w:r>
            <w:r w:rsidR="002D34A4" w:rsidRPr="007E50F7">
              <w:t>$</w:t>
            </w:r>
            <w:r w:rsidR="002523A7" w:rsidRPr="007E50F7">
              <w:t>1,060</w:t>
            </w:r>
            <w:r w:rsidRPr="007E50F7">
              <w:t>)</w:t>
            </w:r>
          </w:p>
        </w:tc>
      </w:tr>
      <w:tr w:rsidR="007E50F7" w:rsidRPr="007E50F7" w14:paraId="6CFC0CAD" w14:textId="77777777" w:rsidTr="0002192E">
        <w:trPr>
          <w:cantSplit/>
        </w:trPr>
        <w:tc>
          <w:tcPr>
            <w:tcW w:w="4691" w:type="dxa"/>
            <w:vAlign w:val="center"/>
          </w:tcPr>
          <w:p w14:paraId="6CFC0CA9" w14:textId="77777777" w:rsidR="002D34A4" w:rsidRPr="007E50F7" w:rsidRDefault="002D34A4" w:rsidP="007F107D">
            <w:pPr>
              <w:pStyle w:val="answer"/>
              <w:keepNext/>
              <w:spacing w:before="60" w:after="60" w:line="240" w:lineRule="auto"/>
              <w:ind w:left="0" w:firstLine="0"/>
            </w:pPr>
            <w:r w:rsidRPr="007E50F7">
              <w:t>Large General Service (Schedules 21, 22)</w:t>
            </w:r>
          </w:p>
        </w:tc>
        <w:tc>
          <w:tcPr>
            <w:tcW w:w="1296" w:type="dxa"/>
            <w:vAlign w:val="center"/>
          </w:tcPr>
          <w:p w14:paraId="6CFC0CAA" w14:textId="77777777" w:rsidR="002D34A4" w:rsidRPr="007E50F7" w:rsidRDefault="007F107D" w:rsidP="008344C0">
            <w:pPr>
              <w:pStyle w:val="answer"/>
              <w:keepNext/>
              <w:spacing w:before="60" w:after="60" w:line="240" w:lineRule="auto"/>
              <w:ind w:left="0" w:firstLine="0"/>
              <w:jc w:val="center"/>
            </w:pPr>
            <w:r w:rsidRPr="007E50F7">
              <w:t>(</w:t>
            </w:r>
            <w:r w:rsidR="002D34A4" w:rsidRPr="007E50F7">
              <w:t>$</w:t>
            </w:r>
            <w:r w:rsidR="00E858EF" w:rsidRPr="007E50F7">
              <w:t>15</w:t>
            </w:r>
            <w:r w:rsidRPr="007E50F7">
              <w:t>,</w:t>
            </w:r>
            <w:r w:rsidR="002523A7" w:rsidRPr="007E50F7">
              <w:t>934</w:t>
            </w:r>
            <w:r w:rsidRPr="007E50F7">
              <w:t>)</w:t>
            </w:r>
          </w:p>
        </w:tc>
        <w:tc>
          <w:tcPr>
            <w:tcW w:w="1296" w:type="dxa"/>
            <w:vAlign w:val="center"/>
          </w:tcPr>
          <w:p w14:paraId="6CFC0CAB" w14:textId="77777777" w:rsidR="002D34A4" w:rsidRPr="007E50F7" w:rsidRDefault="002D34A4" w:rsidP="008344C0">
            <w:pPr>
              <w:pStyle w:val="answer"/>
              <w:keepNext/>
              <w:spacing w:before="60" w:after="60" w:line="240" w:lineRule="auto"/>
              <w:ind w:left="0" w:firstLine="0"/>
              <w:jc w:val="center"/>
            </w:pPr>
            <w:r w:rsidRPr="007E50F7">
              <w:t>$</w:t>
            </w:r>
            <w:r w:rsidR="002523A7" w:rsidRPr="007E50F7">
              <w:t>436</w:t>
            </w:r>
          </w:p>
        </w:tc>
        <w:tc>
          <w:tcPr>
            <w:tcW w:w="1296" w:type="dxa"/>
            <w:vAlign w:val="center"/>
          </w:tcPr>
          <w:p w14:paraId="6CFC0CAC" w14:textId="77777777" w:rsidR="002D34A4" w:rsidRPr="007E50F7" w:rsidRDefault="00871D6B" w:rsidP="008344C0">
            <w:pPr>
              <w:pStyle w:val="answer"/>
              <w:keepNext/>
              <w:spacing w:before="60" w:after="60" w:line="240" w:lineRule="auto"/>
              <w:ind w:left="0" w:firstLine="0"/>
              <w:jc w:val="center"/>
            </w:pPr>
            <w:r w:rsidRPr="007E50F7">
              <w:t>(</w:t>
            </w:r>
            <w:r w:rsidR="002D34A4" w:rsidRPr="007E50F7">
              <w:t>$</w:t>
            </w:r>
            <w:r w:rsidRPr="007E50F7">
              <w:t>2</w:t>
            </w:r>
            <w:r w:rsidR="00B21ED9" w:rsidRPr="007E50F7">
              <w:t>,</w:t>
            </w:r>
            <w:r w:rsidR="002523A7" w:rsidRPr="007E50F7">
              <w:t>790</w:t>
            </w:r>
            <w:r w:rsidRPr="007E50F7">
              <w:t>)</w:t>
            </w:r>
          </w:p>
        </w:tc>
      </w:tr>
      <w:tr w:rsidR="007E50F7" w:rsidRPr="007E50F7" w14:paraId="6CFC0CB2" w14:textId="77777777" w:rsidTr="0002192E">
        <w:trPr>
          <w:cantSplit/>
        </w:trPr>
        <w:tc>
          <w:tcPr>
            <w:tcW w:w="4691" w:type="dxa"/>
            <w:vAlign w:val="center"/>
          </w:tcPr>
          <w:p w14:paraId="6CFC0CAE" w14:textId="77777777" w:rsidR="007F107D" w:rsidRPr="007E50F7" w:rsidRDefault="007F107D" w:rsidP="007F107D">
            <w:pPr>
              <w:pStyle w:val="answer"/>
              <w:keepNext/>
              <w:spacing w:before="60" w:after="60" w:line="240" w:lineRule="auto"/>
              <w:ind w:left="0" w:firstLine="0"/>
            </w:pPr>
            <w:r w:rsidRPr="007E50F7">
              <w:t>Extra Large General Service (Schedule 25)</w:t>
            </w:r>
          </w:p>
        </w:tc>
        <w:tc>
          <w:tcPr>
            <w:tcW w:w="1296" w:type="dxa"/>
            <w:vAlign w:val="center"/>
          </w:tcPr>
          <w:p w14:paraId="6CFC0CAF" w14:textId="77777777" w:rsidR="007F107D" w:rsidRPr="007E50F7" w:rsidRDefault="007F107D" w:rsidP="008344C0">
            <w:pPr>
              <w:pStyle w:val="answer"/>
              <w:keepNext/>
              <w:spacing w:before="60" w:after="60" w:line="240" w:lineRule="auto"/>
              <w:ind w:left="0" w:firstLine="0"/>
              <w:jc w:val="center"/>
            </w:pPr>
            <w:r w:rsidRPr="007E50F7">
              <w:t>$</w:t>
            </w:r>
            <w:r w:rsidR="00E858EF" w:rsidRPr="007E50F7">
              <w:t>4</w:t>
            </w:r>
            <w:r w:rsidRPr="007E50F7">
              <w:t>,</w:t>
            </w:r>
            <w:r w:rsidR="002523A7" w:rsidRPr="007E50F7">
              <w:t>455</w:t>
            </w:r>
          </w:p>
        </w:tc>
        <w:tc>
          <w:tcPr>
            <w:tcW w:w="1296" w:type="dxa"/>
            <w:vAlign w:val="center"/>
          </w:tcPr>
          <w:p w14:paraId="6CFC0CB0" w14:textId="77777777" w:rsidR="007F107D" w:rsidRPr="007E50F7" w:rsidRDefault="007F107D" w:rsidP="008344C0">
            <w:pPr>
              <w:pStyle w:val="answer"/>
              <w:keepNext/>
              <w:spacing w:before="60" w:after="60" w:line="240" w:lineRule="auto"/>
              <w:ind w:left="0" w:firstLine="0"/>
              <w:jc w:val="center"/>
            </w:pPr>
            <w:r w:rsidRPr="007E50F7">
              <w:t>$</w:t>
            </w:r>
            <w:r w:rsidR="002523A7" w:rsidRPr="007E50F7">
              <w:t>970</w:t>
            </w:r>
          </w:p>
        </w:tc>
        <w:tc>
          <w:tcPr>
            <w:tcW w:w="1296" w:type="dxa"/>
            <w:vAlign w:val="center"/>
          </w:tcPr>
          <w:p w14:paraId="6CFC0CB1" w14:textId="77777777" w:rsidR="007F107D" w:rsidRPr="007E50F7" w:rsidRDefault="007F107D" w:rsidP="008344C0">
            <w:pPr>
              <w:pStyle w:val="answer"/>
              <w:keepNext/>
              <w:spacing w:before="60" w:after="60" w:line="240" w:lineRule="auto"/>
              <w:ind w:left="0" w:firstLine="0"/>
              <w:jc w:val="center"/>
            </w:pPr>
            <w:r w:rsidRPr="007E50F7">
              <w:t>$</w:t>
            </w:r>
            <w:r w:rsidR="002523A7" w:rsidRPr="007E50F7">
              <w:t>689</w:t>
            </w:r>
          </w:p>
        </w:tc>
      </w:tr>
      <w:tr w:rsidR="007E50F7" w:rsidRPr="007E50F7" w14:paraId="6CFC0CB7" w14:textId="77777777" w:rsidTr="0002192E">
        <w:trPr>
          <w:cantSplit/>
        </w:trPr>
        <w:tc>
          <w:tcPr>
            <w:tcW w:w="4691" w:type="dxa"/>
            <w:vAlign w:val="center"/>
          </w:tcPr>
          <w:p w14:paraId="6CFC0CB3" w14:textId="77777777" w:rsidR="007F107D" w:rsidRPr="007E50F7" w:rsidRDefault="007F107D" w:rsidP="007F107D">
            <w:pPr>
              <w:pStyle w:val="answer"/>
              <w:keepNext/>
              <w:spacing w:before="60" w:after="60" w:line="240" w:lineRule="auto"/>
              <w:ind w:left="0" w:firstLine="0"/>
            </w:pPr>
            <w:r w:rsidRPr="007E50F7">
              <w:t>Pumping Service (Schedules 31, 32)</w:t>
            </w:r>
          </w:p>
        </w:tc>
        <w:tc>
          <w:tcPr>
            <w:tcW w:w="1296" w:type="dxa"/>
            <w:vAlign w:val="center"/>
          </w:tcPr>
          <w:p w14:paraId="6CFC0CB4" w14:textId="77777777" w:rsidR="007F107D" w:rsidRPr="007E50F7" w:rsidRDefault="007F107D" w:rsidP="008344C0">
            <w:pPr>
              <w:pStyle w:val="answer"/>
              <w:keepNext/>
              <w:spacing w:before="60" w:after="60" w:line="240" w:lineRule="auto"/>
              <w:ind w:left="0" w:firstLine="0"/>
              <w:jc w:val="center"/>
            </w:pPr>
            <w:r w:rsidRPr="007E50F7">
              <w:t>$</w:t>
            </w:r>
            <w:r w:rsidR="008344C0" w:rsidRPr="007E50F7">
              <w:t>27</w:t>
            </w:r>
            <w:r w:rsidR="00212851" w:rsidRPr="007E50F7">
              <w:t>3</w:t>
            </w:r>
          </w:p>
        </w:tc>
        <w:tc>
          <w:tcPr>
            <w:tcW w:w="1296" w:type="dxa"/>
            <w:vAlign w:val="center"/>
          </w:tcPr>
          <w:p w14:paraId="6CFC0CB5" w14:textId="77777777" w:rsidR="007F107D" w:rsidRPr="007E50F7" w:rsidRDefault="002F39CF" w:rsidP="008344C0">
            <w:pPr>
              <w:pStyle w:val="answer"/>
              <w:keepNext/>
              <w:spacing w:before="60" w:after="60" w:line="240" w:lineRule="auto"/>
              <w:ind w:left="0" w:firstLine="0"/>
              <w:jc w:val="center"/>
            </w:pPr>
            <w:r w:rsidRPr="007E50F7">
              <w:t>(</w:t>
            </w:r>
            <w:r w:rsidR="007F107D" w:rsidRPr="007E50F7">
              <w:t>$</w:t>
            </w:r>
            <w:r w:rsidR="002523A7" w:rsidRPr="007E50F7">
              <w:t>75</w:t>
            </w:r>
            <w:r w:rsidRPr="007E50F7">
              <w:t>)</w:t>
            </w:r>
          </w:p>
        </w:tc>
        <w:tc>
          <w:tcPr>
            <w:tcW w:w="1296" w:type="dxa"/>
            <w:vAlign w:val="center"/>
          </w:tcPr>
          <w:p w14:paraId="6CFC0CB6" w14:textId="77777777" w:rsidR="007F107D" w:rsidRPr="007E50F7" w:rsidRDefault="007F107D" w:rsidP="008344C0">
            <w:pPr>
              <w:pStyle w:val="answer"/>
              <w:keepNext/>
              <w:spacing w:before="60" w:after="60" w:line="240" w:lineRule="auto"/>
              <w:ind w:left="0" w:firstLine="0"/>
              <w:jc w:val="center"/>
            </w:pPr>
            <w:r w:rsidRPr="007E50F7">
              <w:t>$</w:t>
            </w:r>
            <w:r w:rsidR="00212851" w:rsidRPr="007E50F7">
              <w:t>1</w:t>
            </w:r>
            <w:r w:rsidR="008344C0" w:rsidRPr="007E50F7">
              <w:t>41</w:t>
            </w:r>
          </w:p>
        </w:tc>
      </w:tr>
      <w:tr w:rsidR="007E50F7" w:rsidRPr="007E50F7" w14:paraId="6CFC0CBC" w14:textId="77777777" w:rsidTr="0002192E">
        <w:trPr>
          <w:cantSplit/>
        </w:trPr>
        <w:tc>
          <w:tcPr>
            <w:tcW w:w="4691" w:type="dxa"/>
            <w:vAlign w:val="center"/>
          </w:tcPr>
          <w:p w14:paraId="6CFC0CB8" w14:textId="77777777" w:rsidR="007F107D" w:rsidRPr="007E50F7" w:rsidRDefault="007F107D" w:rsidP="007F107D">
            <w:pPr>
              <w:pStyle w:val="answer"/>
              <w:keepNext/>
              <w:spacing w:before="60" w:after="60" w:line="240" w:lineRule="auto"/>
              <w:ind w:left="0" w:firstLine="0"/>
            </w:pPr>
            <w:r w:rsidRPr="007E50F7">
              <w:t>Street &amp; Area Lights (Schedules 41-49)</w:t>
            </w:r>
          </w:p>
        </w:tc>
        <w:tc>
          <w:tcPr>
            <w:tcW w:w="1296" w:type="dxa"/>
            <w:vAlign w:val="center"/>
          </w:tcPr>
          <w:p w14:paraId="6CFC0CB9" w14:textId="77777777" w:rsidR="007F107D" w:rsidRPr="007E50F7" w:rsidRDefault="00E858EF" w:rsidP="002523A7">
            <w:pPr>
              <w:pStyle w:val="answer"/>
              <w:keepNext/>
              <w:spacing w:before="60" w:after="60" w:line="240" w:lineRule="auto"/>
              <w:ind w:left="0" w:firstLine="0"/>
              <w:jc w:val="center"/>
            </w:pPr>
            <w:r w:rsidRPr="007E50F7">
              <w:t>(</w:t>
            </w:r>
            <w:r w:rsidR="007F107D" w:rsidRPr="007E50F7">
              <w:t>$</w:t>
            </w:r>
            <w:r w:rsidR="008344C0" w:rsidRPr="007E50F7">
              <w:t>4</w:t>
            </w:r>
            <w:r w:rsidR="002523A7" w:rsidRPr="007E50F7">
              <w:t>5</w:t>
            </w:r>
            <w:r w:rsidRPr="007E50F7">
              <w:t>)</w:t>
            </w:r>
          </w:p>
        </w:tc>
        <w:tc>
          <w:tcPr>
            <w:tcW w:w="1296" w:type="dxa"/>
            <w:vAlign w:val="center"/>
          </w:tcPr>
          <w:p w14:paraId="6CFC0CBA" w14:textId="77777777" w:rsidR="007F107D" w:rsidRPr="007E50F7" w:rsidRDefault="002F39CF" w:rsidP="008344C0">
            <w:pPr>
              <w:pStyle w:val="answer"/>
              <w:keepNext/>
              <w:spacing w:before="60" w:after="60" w:line="240" w:lineRule="auto"/>
              <w:ind w:left="0" w:firstLine="0"/>
              <w:jc w:val="center"/>
            </w:pPr>
            <w:r w:rsidRPr="007E50F7">
              <w:t>(</w:t>
            </w:r>
            <w:r w:rsidR="007F107D" w:rsidRPr="007E50F7">
              <w:t>$</w:t>
            </w:r>
            <w:r w:rsidR="008344C0" w:rsidRPr="007E50F7">
              <w:t>201</w:t>
            </w:r>
            <w:r w:rsidRPr="007E50F7">
              <w:t>)</w:t>
            </w:r>
          </w:p>
        </w:tc>
        <w:tc>
          <w:tcPr>
            <w:tcW w:w="1296" w:type="dxa"/>
            <w:vAlign w:val="center"/>
          </w:tcPr>
          <w:p w14:paraId="6CFC0CBB" w14:textId="77777777" w:rsidR="007F107D" w:rsidRPr="007E50F7" w:rsidRDefault="00871D6B" w:rsidP="008344C0">
            <w:pPr>
              <w:pStyle w:val="answer"/>
              <w:keepNext/>
              <w:spacing w:before="60" w:after="60" w:line="240" w:lineRule="auto"/>
              <w:ind w:left="0" w:firstLine="0"/>
              <w:jc w:val="center"/>
            </w:pPr>
            <w:r w:rsidRPr="007E50F7">
              <w:t>(</w:t>
            </w:r>
            <w:r w:rsidR="007F107D" w:rsidRPr="007E50F7">
              <w:t>$</w:t>
            </w:r>
            <w:r w:rsidR="002523A7" w:rsidRPr="007E50F7">
              <w:t>45</w:t>
            </w:r>
            <w:r w:rsidRPr="007E50F7">
              <w:t>)</w:t>
            </w:r>
          </w:p>
        </w:tc>
      </w:tr>
    </w:tbl>
    <w:p w14:paraId="6CFC0CBD" w14:textId="77777777" w:rsidR="002D34A4" w:rsidRPr="007E50F7" w:rsidRDefault="009002B3" w:rsidP="002D34A4">
      <w:pPr>
        <w:pStyle w:val="Answer-Testimony"/>
        <w:jc w:val="center"/>
      </w:pPr>
      <w:r w:rsidRPr="007E50F7">
        <w:t>Table 3</w:t>
      </w:r>
      <w:r w:rsidR="002D34A4" w:rsidRPr="007E50F7">
        <w:t>:  Summary of Revenue Increases</w:t>
      </w:r>
      <w:r w:rsidR="007F107D" w:rsidRPr="007E50F7">
        <w:t xml:space="preserve"> (in </w:t>
      </w:r>
      <w:proofErr w:type="spellStart"/>
      <w:r w:rsidR="007F107D" w:rsidRPr="007E50F7">
        <w:t>000s</w:t>
      </w:r>
      <w:proofErr w:type="spellEnd"/>
      <w:r w:rsidR="007F107D" w:rsidRPr="007E50F7">
        <w:t xml:space="preserve"> of Dollars)</w:t>
      </w:r>
    </w:p>
    <w:p w14:paraId="6CFC0CBE" w14:textId="77777777" w:rsidR="002D34A4" w:rsidRPr="000559D0" w:rsidRDefault="002D34A4" w:rsidP="002D34A4">
      <w:pPr>
        <w:pStyle w:val="Answer-Testimony"/>
        <w:rPr>
          <w:color w:val="FFFFFF" w:themeColor="background1"/>
        </w:rPr>
      </w:pPr>
      <w:r w:rsidRPr="000559D0">
        <w:rPr>
          <w:color w:val="FFFFFF" w:themeColor="background1"/>
        </w:rPr>
        <w:t>R</w:t>
      </w:r>
    </w:p>
    <w:p w14:paraId="6CFC0CBF" w14:textId="77777777" w:rsidR="002D34A4" w:rsidRPr="000559D0" w:rsidRDefault="002D34A4" w:rsidP="002D34A4">
      <w:pPr>
        <w:pStyle w:val="Answer-Testimony"/>
        <w:rPr>
          <w:color w:val="FFFFFF" w:themeColor="background1"/>
        </w:rPr>
      </w:pPr>
      <w:r w:rsidRPr="000559D0">
        <w:rPr>
          <w:color w:val="FFFFFF" w:themeColor="background1"/>
        </w:rPr>
        <w:t>R</w:t>
      </w:r>
    </w:p>
    <w:p w14:paraId="6CFC0CC0" w14:textId="77777777" w:rsidR="002D34A4" w:rsidRPr="000559D0" w:rsidRDefault="002D34A4" w:rsidP="002D34A4">
      <w:pPr>
        <w:pStyle w:val="Answer-Testimony"/>
        <w:rPr>
          <w:color w:val="FFFFFF" w:themeColor="background1"/>
        </w:rPr>
      </w:pPr>
      <w:r w:rsidRPr="000559D0">
        <w:rPr>
          <w:color w:val="FFFFFF" w:themeColor="background1"/>
        </w:rPr>
        <w:t>R</w:t>
      </w:r>
    </w:p>
    <w:p w14:paraId="6CFC0CC1" w14:textId="77777777" w:rsidR="002D34A4" w:rsidRPr="000559D0" w:rsidRDefault="002D34A4" w:rsidP="002D34A4">
      <w:pPr>
        <w:pStyle w:val="Answer-Testimony"/>
        <w:rPr>
          <w:color w:val="FFFFFF" w:themeColor="background1"/>
        </w:rPr>
      </w:pPr>
      <w:r w:rsidRPr="000559D0">
        <w:rPr>
          <w:color w:val="FFFFFF" w:themeColor="background1"/>
        </w:rPr>
        <w:t>R</w:t>
      </w:r>
    </w:p>
    <w:p w14:paraId="6CFC0CC2" w14:textId="77777777" w:rsidR="002D34A4" w:rsidRPr="000559D0" w:rsidRDefault="002D34A4" w:rsidP="002D34A4">
      <w:pPr>
        <w:pStyle w:val="Answer-Testimony"/>
        <w:rPr>
          <w:color w:val="FFFFFF" w:themeColor="background1"/>
        </w:rPr>
      </w:pPr>
      <w:r w:rsidRPr="000559D0">
        <w:rPr>
          <w:color w:val="FFFFFF" w:themeColor="background1"/>
        </w:rPr>
        <w:t>R</w:t>
      </w:r>
    </w:p>
    <w:p w14:paraId="6CFC0CC3" w14:textId="77777777" w:rsidR="002D34A4" w:rsidRPr="000559D0" w:rsidRDefault="002D34A4" w:rsidP="002D34A4">
      <w:pPr>
        <w:pStyle w:val="Question-Testimony"/>
        <w:rPr>
          <w:color w:val="FFFFFF" w:themeColor="background1"/>
        </w:rPr>
      </w:pPr>
      <w:r w:rsidRPr="000559D0">
        <w:rPr>
          <w:color w:val="FFFFFF" w:themeColor="background1"/>
        </w:rPr>
        <w:t>R</w:t>
      </w:r>
    </w:p>
    <w:p w14:paraId="6CFC0CC4" w14:textId="77777777" w:rsidR="002D34A4" w:rsidRPr="000559D0" w:rsidRDefault="002D34A4" w:rsidP="002D34A4">
      <w:pPr>
        <w:pStyle w:val="Question-Testimony"/>
        <w:rPr>
          <w:color w:val="FFFFFF" w:themeColor="background1"/>
        </w:rPr>
      </w:pPr>
      <w:r w:rsidRPr="000559D0">
        <w:rPr>
          <w:color w:val="FFFFFF" w:themeColor="background1"/>
        </w:rPr>
        <w:t>R</w:t>
      </w:r>
    </w:p>
    <w:p w14:paraId="6CFC0CC5" w14:textId="77777777" w:rsidR="007F107D" w:rsidRPr="000559D0" w:rsidRDefault="007F107D" w:rsidP="00C87022">
      <w:pPr>
        <w:pStyle w:val="Answer-Testimony"/>
        <w:rPr>
          <w:color w:val="FFFFFF" w:themeColor="background1"/>
        </w:rPr>
      </w:pPr>
    </w:p>
    <w:p w14:paraId="6CFC0CC6" w14:textId="77777777" w:rsidR="008A14BC" w:rsidRPr="007E50F7" w:rsidRDefault="008A14BC" w:rsidP="00F14F69">
      <w:pPr>
        <w:pStyle w:val="Heading3"/>
        <w:ind w:left="1440"/>
      </w:pPr>
      <w:bookmarkStart w:id="8" w:name="_Toc335809614"/>
      <w:r w:rsidRPr="007E50F7">
        <w:t>Rate Design</w:t>
      </w:r>
      <w:bookmarkEnd w:id="8"/>
    </w:p>
    <w:p w14:paraId="6CFC0CC7" w14:textId="77777777" w:rsidR="008A14BC" w:rsidRPr="007E50F7" w:rsidRDefault="008A14BC" w:rsidP="008A14BC">
      <w:pPr>
        <w:pStyle w:val="BodyTextIndent"/>
      </w:pPr>
    </w:p>
    <w:p w14:paraId="6CFC0CC8" w14:textId="77777777" w:rsidR="008A14BC" w:rsidRPr="007E50F7" w:rsidRDefault="008A14BC" w:rsidP="008A14BC">
      <w:pPr>
        <w:pStyle w:val="Question-Testimony"/>
      </w:pPr>
      <w:r w:rsidRPr="007E50F7">
        <w:t>Q.</w:t>
      </w:r>
      <w:r w:rsidRPr="007E50F7">
        <w:tab/>
        <w:t xml:space="preserve">Please explain the general concept of </w:t>
      </w:r>
      <w:r w:rsidR="00AE6A9F" w:rsidRPr="007E50F7">
        <w:t xml:space="preserve">electric </w:t>
      </w:r>
      <w:r w:rsidRPr="007E50F7">
        <w:t>rate design.</w:t>
      </w:r>
    </w:p>
    <w:p w14:paraId="6CFC0CC9" w14:textId="77777777" w:rsidR="008A14BC" w:rsidRPr="007E50F7" w:rsidRDefault="008A14BC" w:rsidP="008A14BC">
      <w:pPr>
        <w:pStyle w:val="Answer-Testimony"/>
      </w:pPr>
      <w:r w:rsidRPr="007E50F7">
        <w:t>A.</w:t>
      </w:r>
      <w:r w:rsidRPr="007E50F7">
        <w:tab/>
      </w:r>
      <w:r w:rsidR="00AE6A9F" w:rsidRPr="007E50F7">
        <w:t>Electric r</w:t>
      </w:r>
      <w:r w:rsidRPr="007E50F7">
        <w:t xml:space="preserve">ate design takes total allocated revenue for each </w:t>
      </w:r>
      <w:r w:rsidR="00AE6A9F" w:rsidRPr="007E50F7">
        <w:t xml:space="preserve">electric </w:t>
      </w:r>
      <w:r w:rsidRPr="007E50F7">
        <w:t>rate schedule and determines the specific charges within the schedule, such as the basic charge per month, the demand charge per kilowatt, and the cents per kilowatt-hour (kWh).</w:t>
      </w:r>
    </w:p>
    <w:p w14:paraId="6CFC0CCA" w14:textId="77777777" w:rsidR="00AA261E" w:rsidRPr="007E50F7" w:rsidRDefault="00AA261E" w:rsidP="008A14BC">
      <w:pPr>
        <w:pStyle w:val="Answer-Testimony"/>
      </w:pPr>
    </w:p>
    <w:p w14:paraId="6CFC0CCB" w14:textId="77777777" w:rsidR="00AA261E" w:rsidRPr="007E50F7" w:rsidRDefault="00AA261E" w:rsidP="00AA261E">
      <w:pPr>
        <w:pStyle w:val="Question-Testimony"/>
      </w:pPr>
      <w:r w:rsidRPr="007E50F7">
        <w:t>Q.</w:t>
      </w:r>
      <w:r w:rsidRPr="007E50F7">
        <w:tab/>
        <w:t>What are Staff’s electric rate design structure proposals?</w:t>
      </w:r>
    </w:p>
    <w:p w14:paraId="6CFC0CCC" w14:textId="77777777" w:rsidR="00AA261E" w:rsidRPr="007E50F7" w:rsidRDefault="00AA261E" w:rsidP="00AA261E">
      <w:pPr>
        <w:pStyle w:val="Answer-Testimony"/>
      </w:pPr>
      <w:r w:rsidRPr="007E50F7">
        <w:t>A.</w:t>
      </w:r>
      <w:r w:rsidRPr="007E50F7">
        <w:tab/>
        <w:t>Staff proposes three changes</w:t>
      </w:r>
      <w:r w:rsidR="00AE6A9F" w:rsidRPr="007E50F7">
        <w:t xml:space="preserve"> to the rate design in Avista’s current electric rate schedules</w:t>
      </w:r>
      <w:r w:rsidRPr="007E50F7">
        <w:t>: (1) Increase the</w:t>
      </w:r>
      <w:r w:rsidR="00AE6A9F" w:rsidRPr="007E50F7">
        <w:t xml:space="preserve"> monthly customer</w:t>
      </w:r>
      <w:r w:rsidRPr="007E50F7">
        <w:t xml:space="preserve"> charge to include more fixed costs; (2) Adjust volumetric blocks for Residential Schedule 1; and (3) Set a uniform percentage increase for volumetric rates in Residential Schedule 1.</w:t>
      </w:r>
    </w:p>
    <w:p w14:paraId="6CFC0CCD" w14:textId="77777777" w:rsidR="00040A50" w:rsidRDefault="00040A50" w:rsidP="00F14F69">
      <w:pPr>
        <w:pStyle w:val="Answer-Testimony"/>
        <w:ind w:left="1440"/>
      </w:pPr>
    </w:p>
    <w:p w14:paraId="4598DA0B" w14:textId="5C406A49" w:rsidR="00786CF9" w:rsidRPr="00786CF9" w:rsidRDefault="00786CF9" w:rsidP="0043396E">
      <w:pPr>
        <w:pStyle w:val="Answer-Testimony"/>
        <w:ind w:left="1440"/>
        <w:outlineLvl w:val="2"/>
        <w:rPr>
          <w:b/>
        </w:rPr>
      </w:pPr>
      <w:r w:rsidRPr="00786CF9">
        <w:rPr>
          <w:b/>
        </w:rPr>
        <w:tab/>
      </w:r>
      <w:bookmarkStart w:id="9" w:name="_Toc335809615"/>
      <w:r w:rsidRPr="00786CF9">
        <w:rPr>
          <w:b/>
        </w:rPr>
        <w:t>1.</w:t>
      </w:r>
      <w:r w:rsidRPr="00786CF9">
        <w:rPr>
          <w:b/>
        </w:rPr>
        <w:tab/>
        <w:t>Monthly Customer Charge</w:t>
      </w:r>
      <w:bookmarkEnd w:id="9"/>
      <w:r w:rsidRPr="00786CF9">
        <w:rPr>
          <w:b/>
        </w:rPr>
        <w:t xml:space="preserve"> </w:t>
      </w:r>
    </w:p>
    <w:p w14:paraId="6CFC0CCF" w14:textId="77777777" w:rsidR="0022334C" w:rsidRPr="007E50F7" w:rsidRDefault="0022334C" w:rsidP="0022334C">
      <w:pPr>
        <w:pStyle w:val="Question-Testimony"/>
      </w:pPr>
    </w:p>
    <w:p w14:paraId="6CFC0CD0" w14:textId="77777777" w:rsidR="008A14BC" w:rsidRPr="007E50F7" w:rsidRDefault="008A14BC" w:rsidP="0022334C">
      <w:pPr>
        <w:pStyle w:val="Question-Testimony"/>
      </w:pPr>
      <w:r w:rsidRPr="007E50F7">
        <w:t>Q.</w:t>
      </w:r>
      <w:r w:rsidRPr="007E50F7">
        <w:tab/>
        <w:t>What rate design does Staff propose</w:t>
      </w:r>
      <w:r w:rsidR="007A1000" w:rsidRPr="007E50F7">
        <w:t xml:space="preserve"> for</w:t>
      </w:r>
      <w:r w:rsidR="00AE6A9F" w:rsidRPr="007E50F7">
        <w:t xml:space="preserve"> the</w:t>
      </w:r>
      <w:r w:rsidR="007A1000" w:rsidRPr="007E50F7">
        <w:t xml:space="preserve"> monthly customer charge</w:t>
      </w:r>
      <w:r w:rsidRPr="007E50F7">
        <w:t xml:space="preserve"> given Staff’s </w:t>
      </w:r>
      <w:r w:rsidR="007A1000" w:rsidRPr="007E50F7">
        <w:t xml:space="preserve">lower recommend </w:t>
      </w:r>
      <w:r w:rsidRPr="007E50F7">
        <w:t>revenue requirement?</w:t>
      </w:r>
    </w:p>
    <w:p w14:paraId="6CFC0CD1" w14:textId="77777777" w:rsidR="00434467" w:rsidRPr="007E50F7" w:rsidRDefault="008A14BC" w:rsidP="0022334C">
      <w:pPr>
        <w:pStyle w:val="Answer-Testimony"/>
      </w:pPr>
      <w:r w:rsidRPr="007E50F7">
        <w:t>A.</w:t>
      </w:r>
      <w:r w:rsidRPr="007E50F7">
        <w:tab/>
        <w:t xml:space="preserve">Staff proposes to increase the </w:t>
      </w:r>
      <w:r w:rsidR="008902AE" w:rsidRPr="007E50F7">
        <w:t xml:space="preserve">monthly customer charge </w:t>
      </w:r>
      <w:r w:rsidR="009F4996" w:rsidRPr="007E50F7">
        <w:t xml:space="preserve">for </w:t>
      </w:r>
      <w:r w:rsidRPr="007E50F7">
        <w:t>Residenti</w:t>
      </w:r>
      <w:r w:rsidR="009F4996" w:rsidRPr="007E50F7">
        <w:t xml:space="preserve">al Schedule 1 </w:t>
      </w:r>
      <w:r w:rsidRPr="007E50F7">
        <w:t>from $6.00 to $</w:t>
      </w:r>
      <w:r w:rsidR="003B47C5" w:rsidRPr="007E50F7">
        <w:t>7</w:t>
      </w:r>
      <w:r w:rsidRPr="007E50F7">
        <w:t>.</w:t>
      </w:r>
      <w:r w:rsidR="003B47C5" w:rsidRPr="007E50F7">
        <w:t>34</w:t>
      </w:r>
      <w:r w:rsidRPr="007E50F7">
        <w:t>.</w:t>
      </w:r>
    </w:p>
    <w:p w14:paraId="6CFC0CD2" w14:textId="77777777" w:rsidR="00434467" w:rsidRPr="007E50F7" w:rsidRDefault="00434467" w:rsidP="0022334C">
      <w:pPr>
        <w:pStyle w:val="Answer-Testimony"/>
      </w:pPr>
    </w:p>
    <w:p w14:paraId="6CFC0CD3" w14:textId="77777777" w:rsidR="00434467" w:rsidRPr="007E50F7" w:rsidRDefault="00434467" w:rsidP="0022334C">
      <w:pPr>
        <w:pStyle w:val="Answer-Testimony"/>
        <w:rPr>
          <w:b/>
        </w:rPr>
      </w:pPr>
      <w:r w:rsidRPr="007E50F7">
        <w:rPr>
          <w:b/>
        </w:rPr>
        <w:t>Q.</w:t>
      </w:r>
      <w:r w:rsidRPr="007E50F7">
        <w:rPr>
          <w:b/>
        </w:rPr>
        <w:tab/>
        <w:t>Are Staff’s proposed monthly customer charges cost based?</w:t>
      </w:r>
    </w:p>
    <w:p w14:paraId="6CFC0CD4" w14:textId="77777777" w:rsidR="008A14BC" w:rsidRPr="007E50F7" w:rsidRDefault="00434467" w:rsidP="0022334C">
      <w:pPr>
        <w:pStyle w:val="Answer-Testimony"/>
      </w:pPr>
      <w:r w:rsidRPr="007E50F7">
        <w:t>A.</w:t>
      </w:r>
      <w:r w:rsidRPr="007E50F7">
        <w:tab/>
        <w:t xml:space="preserve">Yes.  </w:t>
      </w:r>
      <w:r w:rsidR="003602A5" w:rsidRPr="007E50F7">
        <w:t xml:space="preserve">I show the cost basis for </w:t>
      </w:r>
      <w:r w:rsidR="009F4996" w:rsidRPr="007E50F7">
        <w:t xml:space="preserve">these price levels in </w:t>
      </w:r>
      <w:r w:rsidR="008A14BC" w:rsidRPr="007E50F7">
        <w:t xml:space="preserve">my </w:t>
      </w:r>
      <w:r w:rsidR="00B36DD6" w:rsidRPr="007E50F7">
        <w:t>Exhibit No.</w:t>
      </w:r>
      <w:r w:rsidRPr="007E50F7">
        <w:t xml:space="preserve"> </w:t>
      </w:r>
      <w:r w:rsidR="00B36DD6" w:rsidRPr="007E50F7">
        <w:t>__</w:t>
      </w:r>
      <w:r w:rsidRPr="007E50F7">
        <w:t>_</w:t>
      </w:r>
      <w:r w:rsidR="00B36DD6" w:rsidRPr="007E50F7">
        <w:t xml:space="preserve"> (</w:t>
      </w:r>
      <w:proofErr w:type="spellStart"/>
      <w:r w:rsidR="00B36DD6" w:rsidRPr="007E50F7">
        <w:t>CTM</w:t>
      </w:r>
      <w:proofErr w:type="spellEnd"/>
      <w:r w:rsidR="00B36DD6" w:rsidRPr="007E50F7">
        <w:t>-</w:t>
      </w:r>
      <w:r w:rsidR="009E433E" w:rsidRPr="007E50F7">
        <w:t>2</w:t>
      </w:r>
      <w:r w:rsidR="00955041" w:rsidRPr="007E50F7">
        <w:t>),</w:t>
      </w:r>
      <w:r w:rsidR="008A14BC" w:rsidRPr="007E50F7">
        <w:t xml:space="preserve"> </w:t>
      </w:r>
      <w:r w:rsidR="00F14F69">
        <w:t>at</w:t>
      </w:r>
      <w:r w:rsidR="008A14BC" w:rsidRPr="007E50F7">
        <w:t xml:space="preserve"> </w:t>
      </w:r>
      <w:r w:rsidR="002660C6" w:rsidRPr="007E50F7">
        <w:t>4</w:t>
      </w:r>
      <w:r w:rsidR="00F14F69">
        <w:t>, line</w:t>
      </w:r>
      <w:r w:rsidR="007A1000" w:rsidRPr="007E50F7">
        <w:t xml:space="preserve"> </w:t>
      </w:r>
      <w:r w:rsidR="002660C6" w:rsidRPr="007E50F7">
        <w:t>207</w:t>
      </w:r>
      <w:r w:rsidR="008A14BC" w:rsidRPr="007E50F7">
        <w:t>.</w:t>
      </w:r>
    </w:p>
    <w:p w14:paraId="6CFC0CD5" w14:textId="77777777" w:rsidR="00AA261E" w:rsidRPr="007E50F7" w:rsidRDefault="00AA261E" w:rsidP="0022334C">
      <w:pPr>
        <w:pStyle w:val="BodyTextIndent"/>
      </w:pPr>
    </w:p>
    <w:p w14:paraId="6CFC0CD6" w14:textId="77777777" w:rsidR="00AA261E" w:rsidRPr="007E50F7" w:rsidRDefault="00AA261E" w:rsidP="0022334C">
      <w:pPr>
        <w:pStyle w:val="Question-Testimony"/>
      </w:pPr>
      <w:r w:rsidRPr="007E50F7">
        <w:t>Q.</w:t>
      </w:r>
      <w:r w:rsidRPr="007E50F7">
        <w:tab/>
      </w:r>
      <w:r w:rsidR="003602A5" w:rsidRPr="007E50F7">
        <w:t>Please explain your exhibit.</w:t>
      </w:r>
    </w:p>
    <w:p w14:paraId="6CFC0CD7" w14:textId="77777777" w:rsidR="00434467" w:rsidRPr="007E50F7" w:rsidRDefault="00AA261E" w:rsidP="0022334C">
      <w:pPr>
        <w:pStyle w:val="Answer-Testimony"/>
      </w:pPr>
      <w:r w:rsidRPr="007E50F7">
        <w:t>A.</w:t>
      </w:r>
      <w:r w:rsidRPr="007E50F7">
        <w:tab/>
      </w:r>
      <w:r w:rsidR="003602A5" w:rsidRPr="007E50F7">
        <w:t>As my exhibit shows, t</w:t>
      </w:r>
      <w:r w:rsidRPr="007E50F7">
        <w:t>he monthly customer charge, also known as</w:t>
      </w:r>
      <w:r w:rsidR="003602A5" w:rsidRPr="007E50F7">
        <w:t xml:space="preserve"> the</w:t>
      </w:r>
      <w:r w:rsidRPr="007E50F7">
        <w:t xml:space="preserve"> “basic charge</w:t>
      </w:r>
      <w:r w:rsidR="003430BA" w:rsidRPr="007E50F7">
        <w:t>,</w:t>
      </w:r>
      <w:r w:rsidRPr="007E50F7">
        <w:t xml:space="preserve">” covers </w:t>
      </w:r>
      <w:r w:rsidR="003602A5" w:rsidRPr="007E50F7">
        <w:t>c</w:t>
      </w:r>
      <w:r w:rsidR="009F4996" w:rsidRPr="007E50F7">
        <w:t>ustomer-related c</w:t>
      </w:r>
      <w:r w:rsidRPr="007E50F7">
        <w:t>osts</w:t>
      </w:r>
      <w:r w:rsidR="003602A5" w:rsidRPr="007E50F7">
        <w:t xml:space="preserve"> such as </w:t>
      </w:r>
      <w:r w:rsidRPr="007E50F7">
        <w:t>the cost of meters, service drops, meter reading, meter maintenance, and billing.</w:t>
      </w:r>
      <w:r w:rsidR="009F4996" w:rsidRPr="007E50F7">
        <w:rPr>
          <w:rStyle w:val="FootnoteReference"/>
        </w:rPr>
        <w:footnoteReference w:id="6"/>
      </w:r>
      <w:r w:rsidR="003602A5" w:rsidRPr="007E50F7">
        <w:t xml:space="preserve">  These are costs that vary with the </w:t>
      </w:r>
      <w:r w:rsidR="003602A5" w:rsidRPr="007E50F7">
        <w:lastRenderedPageBreak/>
        <w:t>addition or subtraction of customers.  These costs do not vary with usage</w:t>
      </w:r>
      <w:r w:rsidR="007F1B05" w:rsidRPr="007E50F7">
        <w:t>; therefore, t</w:t>
      </w:r>
      <w:r w:rsidR="003602A5" w:rsidRPr="007E50F7">
        <w:t>hese costs are properly considered customer-related costs rat</w:t>
      </w:r>
      <w:r w:rsidR="000D7DC5" w:rsidRPr="007E50F7">
        <w:t>her than demand-related costs.</w:t>
      </w:r>
    </w:p>
    <w:p w14:paraId="6CFC0CD8" w14:textId="77777777" w:rsidR="008A14BC" w:rsidRPr="007E50F7" w:rsidRDefault="00434467" w:rsidP="0022334C">
      <w:pPr>
        <w:pStyle w:val="Answer-Testimony"/>
        <w:rPr>
          <w:b/>
        </w:rPr>
      </w:pPr>
      <w:r w:rsidRPr="007E50F7">
        <w:tab/>
      </w:r>
      <w:r w:rsidRPr="007E50F7">
        <w:tab/>
      </w:r>
      <w:r w:rsidR="003602A5" w:rsidRPr="007E50F7">
        <w:t>Because these costs vary by the number of customers rather than usage, it is appropriate for Avista to recover these costs in the basic charge, rather than usage charges.</w:t>
      </w:r>
    </w:p>
    <w:p w14:paraId="6CFC0CD9" w14:textId="77777777" w:rsidR="009F4996" w:rsidRPr="007E50F7" w:rsidRDefault="009F4996" w:rsidP="0022334C">
      <w:pPr>
        <w:pStyle w:val="BodyTextIndent"/>
      </w:pPr>
    </w:p>
    <w:p w14:paraId="6CFC0CDA" w14:textId="77777777" w:rsidR="009F4996" w:rsidRPr="007E50F7" w:rsidRDefault="009F4996" w:rsidP="0022334C">
      <w:pPr>
        <w:pStyle w:val="Question-Testimony"/>
      </w:pPr>
      <w:r w:rsidRPr="007E50F7">
        <w:t>Q.</w:t>
      </w:r>
      <w:r w:rsidRPr="007E50F7">
        <w:tab/>
        <w:t>Why is Staff proposing to increase the basic charge?</w:t>
      </w:r>
    </w:p>
    <w:p w14:paraId="6CFC0CDB" w14:textId="77777777" w:rsidR="009F4996" w:rsidRPr="007E50F7" w:rsidRDefault="009F4996" w:rsidP="0022334C">
      <w:pPr>
        <w:pStyle w:val="Answer-Testimony"/>
      </w:pPr>
      <w:r w:rsidRPr="007E50F7">
        <w:t>A.</w:t>
      </w:r>
      <w:r w:rsidRPr="007E50F7">
        <w:tab/>
        <w:t xml:space="preserve">Staff is proposing to increase the basic charge so that customers will pay an amount that reflects the fixed costs incurred by the Company to serve customers regardless of the level of energy usage.  When customer-related costs are not entirely collected through the basic charge, the </w:t>
      </w:r>
      <w:r w:rsidR="00434467" w:rsidRPr="007E50F7">
        <w:t xml:space="preserve">Company collects the </w:t>
      </w:r>
      <w:r w:rsidRPr="007E50F7">
        <w:t>remaining portion of the customer-related fixed costs through per kWh charges</w:t>
      </w:r>
      <w:r w:rsidR="00434467" w:rsidRPr="007E50F7">
        <w:t>,</w:t>
      </w:r>
      <w:r w:rsidRPr="007E50F7">
        <w:t xml:space="preserve"> which ultimately result</w:t>
      </w:r>
      <w:r w:rsidR="007B273E" w:rsidRPr="007E50F7">
        <w:t>s</w:t>
      </w:r>
      <w:r w:rsidRPr="007E50F7">
        <w:t xml:space="preserve"> in cross-subsidization</w:t>
      </w:r>
      <w:r w:rsidR="003602A5" w:rsidRPr="007E50F7">
        <w:t>.</w:t>
      </w:r>
      <w:r w:rsidR="007F1B05" w:rsidRPr="007E50F7">
        <w:t xml:space="preserve">  </w:t>
      </w:r>
      <w:r w:rsidR="003602A5" w:rsidRPr="007E50F7">
        <w:t xml:space="preserve">In other words, </w:t>
      </w:r>
      <w:r w:rsidRPr="007E50F7">
        <w:t>if customer-related costs are collected through volumetric rates, those customers with above-average consumption are paying more than their fair share of customer-related fixed costs, thus subsidizing customers with below-average usage who are paying les</w:t>
      </w:r>
      <w:r w:rsidR="000F739B" w:rsidRPr="007E50F7">
        <w:t>s than their fair share.</w:t>
      </w:r>
    </w:p>
    <w:p w14:paraId="6CFC0CDC" w14:textId="77777777" w:rsidR="003602A5" w:rsidRPr="007E50F7" w:rsidRDefault="009F4996" w:rsidP="0022334C">
      <w:pPr>
        <w:pStyle w:val="Answer-Testimony"/>
        <w:ind w:firstLine="720"/>
      </w:pPr>
      <w:r w:rsidRPr="007E50F7">
        <w:t>In addition to the problem of cross-subsidization, the collection of customer-related costs through volumetric charges can lead to over- or under-collection of the fixed costs</w:t>
      </w:r>
      <w:r w:rsidR="00434467" w:rsidRPr="007E50F7">
        <w:t>,</w:t>
      </w:r>
      <w:r w:rsidRPr="007E50F7">
        <w:t xml:space="preserve"> </w:t>
      </w:r>
      <w:r w:rsidR="00434467" w:rsidRPr="007E50F7">
        <w:t xml:space="preserve">because electricity </w:t>
      </w:r>
      <w:r w:rsidRPr="007E50F7">
        <w:t xml:space="preserve">sales fluctuate with weather, </w:t>
      </w:r>
      <w:r w:rsidR="00B36DD6" w:rsidRPr="007E50F7">
        <w:t xml:space="preserve">the </w:t>
      </w:r>
      <w:r w:rsidRPr="007E50F7">
        <w:t>economy, energy efficienc</w:t>
      </w:r>
      <w:r w:rsidR="00B36DD6" w:rsidRPr="007E50F7">
        <w:t>ies</w:t>
      </w:r>
      <w:r w:rsidRPr="007E50F7">
        <w:t>, cons</w:t>
      </w:r>
      <w:r w:rsidR="003602A5" w:rsidRPr="007E50F7">
        <w:t>ervation, and self-generation.</w:t>
      </w:r>
      <w:r w:rsidR="007F1B05" w:rsidRPr="007E50F7">
        <w:rPr>
          <w:rStyle w:val="FootnoteReference"/>
        </w:rPr>
        <w:footnoteReference w:id="7"/>
      </w:r>
    </w:p>
    <w:p w14:paraId="6CFC0CDD" w14:textId="77777777" w:rsidR="000F739B" w:rsidRPr="007E50F7" w:rsidRDefault="003602A5" w:rsidP="0022334C">
      <w:pPr>
        <w:pStyle w:val="Answer-Testimony"/>
        <w:ind w:firstLine="720"/>
      </w:pPr>
      <w:r w:rsidRPr="007E50F7">
        <w:lastRenderedPageBreak/>
        <w:t>R</w:t>
      </w:r>
      <w:r w:rsidR="009F4996" w:rsidRPr="007E50F7">
        <w:t>emov</w:t>
      </w:r>
      <w:r w:rsidRPr="007E50F7">
        <w:t>ing</w:t>
      </w:r>
      <w:r w:rsidR="009F4996" w:rsidRPr="007E50F7">
        <w:t xml:space="preserve"> customer-related costs from volumetric sales is therefore beneficial on two fronts: it remove</w:t>
      </w:r>
      <w:r w:rsidRPr="007E50F7">
        <w:t>s</w:t>
      </w:r>
      <w:r w:rsidR="009F4996" w:rsidRPr="007E50F7">
        <w:t xml:space="preserve"> some of the disincentive utilities currently experience regarding the promotion of energy efficien</w:t>
      </w:r>
      <w:r w:rsidRPr="007E50F7">
        <w:t>cy and conservation, and it</w:t>
      </w:r>
      <w:r w:rsidR="009F4996" w:rsidRPr="007E50F7">
        <w:t xml:space="preserve"> improve</w:t>
      </w:r>
      <w:r w:rsidRPr="007E50F7">
        <w:t>s</w:t>
      </w:r>
      <w:r w:rsidR="009F4996" w:rsidRPr="007E50F7">
        <w:t xml:space="preserve"> the </w:t>
      </w:r>
      <w:r w:rsidRPr="007E50F7">
        <w:t xml:space="preserve">certainty of </w:t>
      </w:r>
      <w:r w:rsidR="009F4996" w:rsidRPr="007E50F7">
        <w:t xml:space="preserve">recovery </w:t>
      </w:r>
      <w:r w:rsidRPr="007E50F7">
        <w:t xml:space="preserve">of </w:t>
      </w:r>
      <w:r w:rsidR="009F4996" w:rsidRPr="007E50F7">
        <w:t>customer-related fixed costs.</w:t>
      </w:r>
    </w:p>
    <w:p w14:paraId="6CFC0CDE" w14:textId="77777777" w:rsidR="000F739B" w:rsidRPr="007E50F7" w:rsidRDefault="000F739B" w:rsidP="0022334C">
      <w:pPr>
        <w:pStyle w:val="Answer-Testimony"/>
      </w:pPr>
    </w:p>
    <w:p w14:paraId="6CFC0CDF" w14:textId="77777777" w:rsidR="000F739B" w:rsidRPr="007E50F7" w:rsidRDefault="000F739B" w:rsidP="0022334C">
      <w:pPr>
        <w:pStyle w:val="Question-Testimony"/>
      </w:pPr>
      <w:r w:rsidRPr="007E50F7">
        <w:t>Q.</w:t>
      </w:r>
      <w:r w:rsidRPr="007E50F7">
        <w:tab/>
        <w:t xml:space="preserve">Will Staff’s proposal to increase the basic charge harm </w:t>
      </w:r>
      <w:r w:rsidR="00434467" w:rsidRPr="007E50F7">
        <w:t>l</w:t>
      </w:r>
      <w:r w:rsidRPr="007E50F7">
        <w:t xml:space="preserve">imited </w:t>
      </w:r>
      <w:r w:rsidR="00434467" w:rsidRPr="007E50F7">
        <w:t>i</w:t>
      </w:r>
      <w:r w:rsidRPr="007E50F7">
        <w:t>ncome customers?</w:t>
      </w:r>
    </w:p>
    <w:p w14:paraId="6CFC0CE0" w14:textId="77777777" w:rsidR="00434467" w:rsidRPr="007E50F7" w:rsidRDefault="000F739B" w:rsidP="0022334C">
      <w:pPr>
        <w:pStyle w:val="Answer-Testimony"/>
      </w:pPr>
      <w:r w:rsidRPr="007E50F7">
        <w:t>A.</w:t>
      </w:r>
      <w:r w:rsidRPr="007E50F7">
        <w:tab/>
      </w:r>
      <w:r w:rsidR="003602A5" w:rsidRPr="007E50F7">
        <w:t>No.  In fact, t</w:t>
      </w:r>
      <w:r w:rsidRPr="007E50F7">
        <w:t xml:space="preserve">he increase in the basic charge will actually help the average </w:t>
      </w:r>
      <w:r w:rsidR="00434467" w:rsidRPr="007E50F7">
        <w:t>l</w:t>
      </w:r>
      <w:r w:rsidRPr="007E50F7">
        <w:t xml:space="preserve">imited </w:t>
      </w:r>
      <w:r w:rsidR="00434467" w:rsidRPr="007E50F7">
        <w:t>i</w:t>
      </w:r>
      <w:r w:rsidRPr="007E50F7">
        <w:t xml:space="preserve">ncome customer.  </w:t>
      </w:r>
      <w:r w:rsidR="007B273E" w:rsidRPr="007E50F7">
        <w:t>S</w:t>
      </w:r>
      <w:r w:rsidRPr="007E50F7">
        <w:t xml:space="preserve">tudies have shown that the housing stock for most </w:t>
      </w:r>
      <w:r w:rsidR="00434467" w:rsidRPr="007E50F7">
        <w:t>l</w:t>
      </w:r>
      <w:r w:rsidRPr="007E50F7">
        <w:t xml:space="preserve">imited </w:t>
      </w:r>
      <w:r w:rsidR="00434467" w:rsidRPr="007E50F7">
        <w:t>i</w:t>
      </w:r>
      <w:r w:rsidRPr="007E50F7">
        <w:t>ncome customers is relatively inefficient</w:t>
      </w:r>
      <w:r w:rsidR="00434467" w:rsidRPr="007E50F7">
        <w:t>,</w:t>
      </w:r>
      <w:r w:rsidRPr="007E50F7">
        <w:t xml:space="preserve"> resulting in above-average usage for most </w:t>
      </w:r>
      <w:r w:rsidR="00434467" w:rsidRPr="007E50F7">
        <w:t>l</w:t>
      </w:r>
      <w:r w:rsidRPr="007E50F7">
        <w:t xml:space="preserve">imited </w:t>
      </w:r>
      <w:r w:rsidR="00434467" w:rsidRPr="007E50F7">
        <w:t>i</w:t>
      </w:r>
      <w:r w:rsidRPr="007E50F7">
        <w:t>ncome customers</w:t>
      </w:r>
      <w:r w:rsidR="007B273E" w:rsidRPr="007E50F7">
        <w:t>;</w:t>
      </w:r>
      <w:r w:rsidR="00B91B7A" w:rsidRPr="007E50F7">
        <w:rPr>
          <w:rStyle w:val="FootnoteReference"/>
        </w:rPr>
        <w:footnoteReference w:id="8"/>
      </w:r>
      <w:r w:rsidR="007B273E" w:rsidRPr="007E50F7">
        <w:t xml:space="preserve"> specifically, </w:t>
      </w:r>
      <w:r w:rsidR="00434467" w:rsidRPr="007E50F7">
        <w:t>l</w:t>
      </w:r>
      <w:r w:rsidR="007B273E" w:rsidRPr="007E50F7">
        <w:t xml:space="preserve">imited </w:t>
      </w:r>
      <w:r w:rsidR="00434467" w:rsidRPr="007E50F7">
        <w:t>i</w:t>
      </w:r>
      <w:r w:rsidR="007B273E" w:rsidRPr="007E50F7">
        <w:t xml:space="preserve">ncome customers have an average monthly usage of 1,218 kWh compared to </w:t>
      </w:r>
      <w:r w:rsidR="00434467" w:rsidRPr="007E50F7">
        <w:t xml:space="preserve">other </w:t>
      </w:r>
      <w:r w:rsidR="007B273E" w:rsidRPr="007E50F7">
        <w:t>customers</w:t>
      </w:r>
      <w:r w:rsidR="00434467" w:rsidRPr="007E50F7">
        <w:t>,</w:t>
      </w:r>
      <w:r w:rsidR="007B273E" w:rsidRPr="007E50F7">
        <w:t xml:space="preserve"> who have an average monthly usage of 1,143 kWh.</w:t>
      </w:r>
      <w:r w:rsidR="007B273E" w:rsidRPr="007E50F7">
        <w:rPr>
          <w:rStyle w:val="FootnoteReference"/>
        </w:rPr>
        <w:footnoteReference w:id="9"/>
      </w:r>
      <w:r w:rsidR="007B273E" w:rsidRPr="007E50F7">
        <w:t xml:space="preserve">  </w:t>
      </w:r>
    </w:p>
    <w:p w14:paraId="6CFC0CE1" w14:textId="77777777" w:rsidR="000F739B" w:rsidRPr="007E50F7" w:rsidRDefault="00434467" w:rsidP="0022334C">
      <w:pPr>
        <w:pStyle w:val="Answer-Testimony"/>
      </w:pPr>
      <w:r w:rsidRPr="007E50F7">
        <w:tab/>
      </w:r>
      <w:r w:rsidRPr="007E50F7">
        <w:tab/>
      </w:r>
      <w:r w:rsidR="000F739B" w:rsidRPr="007E50F7">
        <w:t xml:space="preserve">As </w:t>
      </w:r>
      <w:r w:rsidR="003602A5" w:rsidRPr="007E50F7">
        <w:t xml:space="preserve">I just </w:t>
      </w:r>
      <w:r w:rsidR="000F739B" w:rsidRPr="007E50F7">
        <w:t xml:space="preserve">explained, customers with above-average usage subsidize customers with below-average usage if customer-related costs are included in volumetric charges.  Therefore, moving more of the customer-related fixed costs to the basic charge will help </w:t>
      </w:r>
      <w:r w:rsidRPr="007E50F7">
        <w:t>l</w:t>
      </w:r>
      <w:r w:rsidR="000F739B" w:rsidRPr="007E50F7">
        <w:t xml:space="preserve">imited </w:t>
      </w:r>
      <w:r w:rsidRPr="007E50F7">
        <w:t>i</w:t>
      </w:r>
      <w:r w:rsidR="000F739B" w:rsidRPr="007E50F7">
        <w:t>ncome customers by reducing the amount they subsidize other customers with lower usage</w:t>
      </w:r>
      <w:r w:rsidR="000220EF" w:rsidRPr="007E50F7">
        <w:t>, including</w:t>
      </w:r>
      <w:r w:rsidR="000F739B" w:rsidRPr="007E50F7">
        <w:t xml:space="preserve"> customers</w:t>
      </w:r>
      <w:r w:rsidR="000220EF" w:rsidRPr="007E50F7">
        <w:t xml:space="preserve"> </w:t>
      </w:r>
      <w:r w:rsidR="007B273E" w:rsidRPr="007E50F7">
        <w:t xml:space="preserve">with non-electric </w:t>
      </w:r>
      <w:r w:rsidR="000F739B" w:rsidRPr="007E50F7">
        <w:t>heating (i.e. natural gas, wood, propane, etc.).</w:t>
      </w:r>
    </w:p>
    <w:p w14:paraId="6CFC0CE2" w14:textId="77777777" w:rsidR="000F739B" w:rsidRPr="007E50F7" w:rsidRDefault="000F739B" w:rsidP="0022334C">
      <w:pPr>
        <w:pStyle w:val="Answer-Testimony"/>
      </w:pPr>
    </w:p>
    <w:p w14:paraId="6CFC0CE3" w14:textId="77777777" w:rsidR="000F739B" w:rsidRPr="007E50F7" w:rsidRDefault="000F739B" w:rsidP="00342685">
      <w:pPr>
        <w:pStyle w:val="Question-Testimony"/>
        <w:keepNext/>
      </w:pPr>
      <w:r w:rsidRPr="007E50F7">
        <w:lastRenderedPageBreak/>
        <w:t>Q.</w:t>
      </w:r>
      <w:r w:rsidRPr="007E50F7">
        <w:tab/>
        <w:t xml:space="preserve">Is the increase to the basic charge in addition to changes in volumetric rates? </w:t>
      </w:r>
    </w:p>
    <w:p w14:paraId="6CFC0CE4" w14:textId="77777777" w:rsidR="00434467" w:rsidRPr="007E50F7" w:rsidRDefault="000F739B" w:rsidP="0022334C">
      <w:pPr>
        <w:pStyle w:val="Answer-Testimony"/>
      </w:pPr>
      <w:r w:rsidRPr="007E50F7">
        <w:t>A.</w:t>
      </w:r>
      <w:r w:rsidRPr="007E50F7">
        <w:tab/>
        <w:t>Yes</w:t>
      </w:r>
      <w:r w:rsidR="003602A5" w:rsidRPr="007E50F7">
        <w:t xml:space="preserve">.  However, </w:t>
      </w:r>
      <w:r w:rsidRPr="007E50F7">
        <w:t>the volumetric charge increase is less than it would be if there was not an increase in the basic charge.  The revenue requirement for the Company drives the total increase in rates.  Without an increase to the basic charge, a greater amount of the revenue requirement would need to be achieved through larger increases</w:t>
      </w:r>
      <w:r w:rsidR="00CF6EEE" w:rsidRPr="007E50F7">
        <w:t xml:space="preserve"> to the volumetric charges.</w:t>
      </w:r>
    </w:p>
    <w:p w14:paraId="6CFC0CE5" w14:textId="77777777" w:rsidR="00AD448F" w:rsidRPr="007E50F7" w:rsidRDefault="00CF6EEE" w:rsidP="00AD448F">
      <w:pPr>
        <w:pStyle w:val="Answer-Testimony"/>
        <w:ind w:firstLine="720"/>
      </w:pPr>
      <w:r w:rsidRPr="007E50F7">
        <w:t>For customers with usage levels consistent with limited income customers, Staff’s revised rates are between 0.</w:t>
      </w:r>
      <w:r w:rsidR="004C34F7" w:rsidRPr="007E50F7">
        <w:t>2</w:t>
      </w:r>
      <w:r w:rsidRPr="007E50F7">
        <w:t xml:space="preserve">% and </w:t>
      </w:r>
      <w:r w:rsidR="00BA20AF" w:rsidRPr="007E50F7">
        <w:t>0</w:t>
      </w:r>
      <w:r w:rsidRPr="007E50F7">
        <w:t>.</w:t>
      </w:r>
      <w:r w:rsidR="004C34F7" w:rsidRPr="007E50F7">
        <w:t>4</w:t>
      </w:r>
      <w:r w:rsidRPr="007E50F7">
        <w:t>% lower with the basic charge increase than they would have been if that amount of revenue were collected strictly through increases to volumetric charges, as seen in the following Table</w:t>
      </w:r>
      <w:r w:rsidR="0036396B" w:rsidRPr="007E50F7">
        <w:t xml:space="preserve"> 4</w:t>
      </w:r>
      <w:r w:rsidR="007F1B05" w:rsidRPr="007E50F7">
        <w:t>:</w:t>
      </w:r>
    </w:p>
    <w:tbl>
      <w:tblPr>
        <w:tblpPr w:leftFromText="187" w:rightFromText="187" w:vertAnchor="text" w:horzAnchor="page" w:tblpX="2634" w:tblpY="818"/>
        <w:tblOverlap w:val="never"/>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075"/>
        <w:gridCol w:w="1620"/>
        <w:gridCol w:w="1588"/>
        <w:gridCol w:w="1296"/>
      </w:tblGrid>
      <w:tr w:rsidR="007E50F7" w:rsidRPr="007E50F7" w14:paraId="6CFC0CE8" w14:textId="77777777" w:rsidTr="00AF3DDC">
        <w:trPr>
          <w:cantSplit/>
        </w:trPr>
        <w:tc>
          <w:tcPr>
            <w:tcW w:w="4075" w:type="dxa"/>
            <w:vMerge w:val="restart"/>
            <w:vAlign w:val="bottom"/>
          </w:tcPr>
          <w:p w14:paraId="6CFC0CE6" w14:textId="77777777" w:rsidR="0036396B" w:rsidRPr="007E50F7" w:rsidRDefault="0036396B" w:rsidP="00AF3DDC">
            <w:pPr>
              <w:pStyle w:val="answer"/>
              <w:keepNext/>
              <w:spacing w:before="60" w:after="60" w:line="240" w:lineRule="auto"/>
              <w:ind w:left="0" w:firstLine="0"/>
              <w:jc w:val="center"/>
              <w:rPr>
                <w:b/>
              </w:rPr>
            </w:pPr>
            <w:r w:rsidRPr="007E50F7">
              <w:rPr>
                <w:b/>
              </w:rPr>
              <w:t>Usage in kWh</w:t>
            </w:r>
          </w:p>
        </w:tc>
        <w:tc>
          <w:tcPr>
            <w:tcW w:w="4504" w:type="dxa"/>
            <w:gridSpan w:val="3"/>
            <w:vAlign w:val="center"/>
          </w:tcPr>
          <w:p w14:paraId="6CFC0CE7" w14:textId="77777777" w:rsidR="0036396B" w:rsidRPr="007E50F7" w:rsidRDefault="0036396B" w:rsidP="0022334C">
            <w:pPr>
              <w:pStyle w:val="answer"/>
              <w:keepNext/>
              <w:spacing w:before="60" w:after="60" w:line="240" w:lineRule="auto"/>
              <w:ind w:left="0" w:firstLine="0"/>
              <w:jc w:val="center"/>
              <w:rPr>
                <w:b/>
              </w:rPr>
            </w:pPr>
            <w:r w:rsidRPr="007E50F7">
              <w:rPr>
                <w:b/>
              </w:rPr>
              <w:t>Total Bill per Rate Design Option</w:t>
            </w:r>
          </w:p>
        </w:tc>
      </w:tr>
      <w:tr w:rsidR="007E50F7" w:rsidRPr="007E50F7" w14:paraId="6CFC0CED" w14:textId="77777777" w:rsidTr="00AF3DDC">
        <w:trPr>
          <w:cantSplit/>
        </w:trPr>
        <w:tc>
          <w:tcPr>
            <w:tcW w:w="4075" w:type="dxa"/>
            <w:vMerge/>
            <w:vAlign w:val="center"/>
          </w:tcPr>
          <w:p w14:paraId="6CFC0CE9" w14:textId="77777777" w:rsidR="0036396B" w:rsidRPr="007E50F7" w:rsidRDefault="0036396B" w:rsidP="0022334C">
            <w:pPr>
              <w:pStyle w:val="answer"/>
              <w:keepNext/>
              <w:spacing w:before="60" w:after="60" w:line="240" w:lineRule="auto"/>
              <w:ind w:left="0" w:firstLine="0"/>
              <w:jc w:val="center"/>
              <w:rPr>
                <w:b/>
              </w:rPr>
            </w:pPr>
          </w:p>
        </w:tc>
        <w:tc>
          <w:tcPr>
            <w:tcW w:w="1620" w:type="dxa"/>
            <w:vAlign w:val="center"/>
          </w:tcPr>
          <w:p w14:paraId="6CFC0CEA" w14:textId="77777777" w:rsidR="0036396B" w:rsidRPr="007E50F7" w:rsidRDefault="0036396B" w:rsidP="0022334C">
            <w:pPr>
              <w:pStyle w:val="answer"/>
              <w:keepNext/>
              <w:spacing w:before="60" w:after="60" w:line="240" w:lineRule="auto"/>
              <w:ind w:left="0" w:firstLine="0"/>
              <w:jc w:val="center"/>
              <w:rPr>
                <w:b/>
              </w:rPr>
            </w:pPr>
            <w:r w:rsidRPr="007E50F7">
              <w:rPr>
                <w:b/>
              </w:rPr>
              <w:t>Basic Rate = $6</w:t>
            </w:r>
            <w:r w:rsidR="004C34F7" w:rsidRPr="007E50F7">
              <w:rPr>
                <w:b/>
              </w:rPr>
              <w:t>.00</w:t>
            </w:r>
          </w:p>
        </w:tc>
        <w:tc>
          <w:tcPr>
            <w:tcW w:w="1588" w:type="dxa"/>
            <w:vAlign w:val="center"/>
          </w:tcPr>
          <w:p w14:paraId="6CFC0CEB" w14:textId="77777777" w:rsidR="0036396B" w:rsidRPr="007E50F7" w:rsidRDefault="004C34F7" w:rsidP="004C34F7">
            <w:pPr>
              <w:pStyle w:val="answer"/>
              <w:keepNext/>
              <w:spacing w:before="60" w:after="60" w:line="240" w:lineRule="auto"/>
              <w:ind w:left="0" w:firstLine="0"/>
              <w:jc w:val="center"/>
              <w:rPr>
                <w:b/>
              </w:rPr>
            </w:pPr>
            <w:r w:rsidRPr="007E50F7">
              <w:rPr>
                <w:b/>
              </w:rPr>
              <w:t>Basic Rate = $7.34</w:t>
            </w:r>
          </w:p>
        </w:tc>
        <w:tc>
          <w:tcPr>
            <w:tcW w:w="1296" w:type="dxa"/>
            <w:vAlign w:val="center"/>
          </w:tcPr>
          <w:p w14:paraId="6CFC0CEC" w14:textId="77777777" w:rsidR="0036396B" w:rsidRPr="007E50F7" w:rsidRDefault="0036396B" w:rsidP="0022334C">
            <w:pPr>
              <w:pStyle w:val="answer"/>
              <w:keepNext/>
              <w:spacing w:before="60" w:after="60" w:line="240" w:lineRule="auto"/>
              <w:ind w:left="0" w:firstLine="0"/>
              <w:jc w:val="center"/>
              <w:rPr>
                <w:b/>
              </w:rPr>
            </w:pPr>
            <w:r w:rsidRPr="007E50F7">
              <w:rPr>
                <w:b/>
              </w:rPr>
              <w:t>% Difference</w:t>
            </w:r>
          </w:p>
        </w:tc>
      </w:tr>
      <w:tr w:rsidR="007E50F7" w:rsidRPr="007E50F7" w14:paraId="6CFC0CF2" w14:textId="77777777" w:rsidTr="00AF3DDC">
        <w:trPr>
          <w:cantSplit/>
        </w:trPr>
        <w:tc>
          <w:tcPr>
            <w:tcW w:w="4075" w:type="dxa"/>
            <w:vAlign w:val="center"/>
          </w:tcPr>
          <w:p w14:paraId="6CFC0CEE" w14:textId="77777777" w:rsidR="004C34F7" w:rsidRPr="007E50F7" w:rsidRDefault="004C34F7" w:rsidP="004C34F7">
            <w:pPr>
              <w:pStyle w:val="answer"/>
              <w:keepNext/>
              <w:spacing w:before="60" w:after="60" w:line="240" w:lineRule="auto"/>
              <w:ind w:left="0" w:firstLine="0"/>
            </w:pPr>
            <w:r w:rsidRPr="007E50F7">
              <w:t>1,000</w:t>
            </w:r>
          </w:p>
        </w:tc>
        <w:tc>
          <w:tcPr>
            <w:tcW w:w="1620" w:type="dxa"/>
            <w:vAlign w:val="center"/>
          </w:tcPr>
          <w:p w14:paraId="6CFC0CEF" w14:textId="77777777" w:rsidR="004C34F7" w:rsidRPr="007E50F7" w:rsidRDefault="004C34F7" w:rsidP="00117A3E">
            <w:pPr>
              <w:pStyle w:val="answer"/>
              <w:keepNext/>
              <w:spacing w:before="60" w:after="60" w:line="240" w:lineRule="auto"/>
              <w:ind w:left="0" w:firstLine="0"/>
              <w:jc w:val="center"/>
            </w:pPr>
            <w:r w:rsidRPr="007E50F7">
              <w:t>$80.</w:t>
            </w:r>
            <w:r w:rsidR="00117A3E" w:rsidRPr="007E50F7">
              <w:t>12</w:t>
            </w:r>
          </w:p>
        </w:tc>
        <w:tc>
          <w:tcPr>
            <w:tcW w:w="1588" w:type="dxa"/>
            <w:vAlign w:val="center"/>
          </w:tcPr>
          <w:p w14:paraId="6CFC0CF0" w14:textId="77777777" w:rsidR="004C34F7" w:rsidRPr="007E50F7" w:rsidRDefault="004C34F7" w:rsidP="00701323">
            <w:pPr>
              <w:pStyle w:val="answer"/>
              <w:keepNext/>
              <w:spacing w:before="60" w:after="60" w:line="240" w:lineRule="auto"/>
              <w:ind w:left="0" w:firstLine="0"/>
              <w:jc w:val="center"/>
            </w:pPr>
            <w:r w:rsidRPr="007E50F7">
              <w:t>$80.</w:t>
            </w:r>
            <w:r w:rsidR="00701323" w:rsidRPr="007E50F7">
              <w:t>17</w:t>
            </w:r>
          </w:p>
        </w:tc>
        <w:tc>
          <w:tcPr>
            <w:tcW w:w="1296" w:type="dxa"/>
            <w:vAlign w:val="center"/>
          </w:tcPr>
          <w:p w14:paraId="6CFC0CF1" w14:textId="77777777" w:rsidR="004C34F7" w:rsidRPr="007E50F7" w:rsidRDefault="004C34F7" w:rsidP="004C34F7">
            <w:pPr>
              <w:pStyle w:val="answer"/>
              <w:keepNext/>
              <w:spacing w:before="60" w:after="60" w:line="240" w:lineRule="auto"/>
              <w:ind w:left="0" w:firstLine="0"/>
              <w:jc w:val="center"/>
            </w:pPr>
            <w:r w:rsidRPr="007E50F7">
              <w:t>0.1%</w:t>
            </w:r>
          </w:p>
        </w:tc>
      </w:tr>
      <w:tr w:rsidR="007E50F7" w:rsidRPr="007E50F7" w14:paraId="6CFC0CF7" w14:textId="77777777" w:rsidTr="00AF3DDC">
        <w:trPr>
          <w:cantSplit/>
        </w:trPr>
        <w:tc>
          <w:tcPr>
            <w:tcW w:w="4075" w:type="dxa"/>
            <w:vAlign w:val="center"/>
          </w:tcPr>
          <w:p w14:paraId="6CFC0CF3" w14:textId="77777777" w:rsidR="00040A50" w:rsidRPr="007E50F7" w:rsidRDefault="00040A50" w:rsidP="0022334C">
            <w:pPr>
              <w:pStyle w:val="answer"/>
              <w:keepNext/>
              <w:spacing w:before="60" w:after="60" w:line="240" w:lineRule="auto"/>
              <w:ind w:left="0" w:firstLine="0"/>
            </w:pPr>
            <w:r w:rsidRPr="007E50F7">
              <w:t>1,100</w:t>
            </w:r>
          </w:p>
        </w:tc>
        <w:tc>
          <w:tcPr>
            <w:tcW w:w="1620" w:type="dxa"/>
            <w:vAlign w:val="center"/>
          </w:tcPr>
          <w:p w14:paraId="6CFC0CF4" w14:textId="77777777" w:rsidR="00040A50" w:rsidRPr="007E50F7" w:rsidRDefault="00040A50" w:rsidP="00117A3E">
            <w:pPr>
              <w:pStyle w:val="answer"/>
              <w:keepNext/>
              <w:spacing w:before="60" w:after="60" w:line="240" w:lineRule="auto"/>
              <w:ind w:left="0" w:firstLine="0"/>
              <w:jc w:val="center"/>
            </w:pPr>
            <w:r w:rsidRPr="007E50F7">
              <w:t>$</w:t>
            </w:r>
            <w:r w:rsidR="00BA20AF" w:rsidRPr="007E50F7">
              <w:t>88</w:t>
            </w:r>
            <w:r w:rsidRPr="007E50F7">
              <w:t>.</w:t>
            </w:r>
            <w:r w:rsidR="00117A3E" w:rsidRPr="007E50F7">
              <w:t>4</w:t>
            </w:r>
            <w:r w:rsidR="00BA20AF" w:rsidRPr="007E50F7">
              <w:t>7</w:t>
            </w:r>
          </w:p>
        </w:tc>
        <w:tc>
          <w:tcPr>
            <w:tcW w:w="1588" w:type="dxa"/>
            <w:vAlign w:val="center"/>
          </w:tcPr>
          <w:p w14:paraId="6CFC0CF5" w14:textId="77777777" w:rsidR="00040A50" w:rsidRPr="007E50F7" w:rsidRDefault="00040A50" w:rsidP="00701323">
            <w:pPr>
              <w:pStyle w:val="answer"/>
              <w:keepNext/>
              <w:spacing w:before="60" w:after="60" w:line="240" w:lineRule="auto"/>
              <w:ind w:left="0" w:firstLine="0"/>
              <w:jc w:val="center"/>
            </w:pPr>
            <w:r w:rsidRPr="007E50F7">
              <w:t>$</w:t>
            </w:r>
            <w:r w:rsidR="00BA20AF" w:rsidRPr="007E50F7">
              <w:t>88</w:t>
            </w:r>
            <w:r w:rsidRPr="007E50F7">
              <w:t>.</w:t>
            </w:r>
            <w:r w:rsidR="00701323" w:rsidRPr="007E50F7">
              <w:t>37</w:t>
            </w:r>
          </w:p>
        </w:tc>
        <w:tc>
          <w:tcPr>
            <w:tcW w:w="1296" w:type="dxa"/>
            <w:vAlign w:val="center"/>
          </w:tcPr>
          <w:p w14:paraId="6CFC0CF6" w14:textId="77777777" w:rsidR="00040A50" w:rsidRPr="007E50F7" w:rsidRDefault="00040A50" w:rsidP="004C34F7">
            <w:pPr>
              <w:pStyle w:val="answer"/>
              <w:keepNext/>
              <w:spacing w:before="60" w:after="60" w:line="240" w:lineRule="auto"/>
              <w:ind w:left="0" w:firstLine="0"/>
              <w:jc w:val="center"/>
            </w:pPr>
            <w:r w:rsidRPr="007E50F7">
              <w:t>-0.</w:t>
            </w:r>
            <w:r w:rsidR="00BA20AF" w:rsidRPr="007E50F7">
              <w:t>1</w:t>
            </w:r>
            <w:r w:rsidRPr="007E50F7">
              <w:t>%</w:t>
            </w:r>
          </w:p>
        </w:tc>
      </w:tr>
      <w:tr w:rsidR="007E50F7" w:rsidRPr="007E50F7" w14:paraId="6CFC0CFC" w14:textId="77777777" w:rsidTr="00AF3DDC">
        <w:trPr>
          <w:cantSplit/>
        </w:trPr>
        <w:tc>
          <w:tcPr>
            <w:tcW w:w="4075" w:type="dxa"/>
            <w:vAlign w:val="center"/>
          </w:tcPr>
          <w:p w14:paraId="6CFC0CF8" w14:textId="77777777" w:rsidR="00040A50" w:rsidRPr="007E50F7" w:rsidRDefault="00040A50" w:rsidP="0022334C">
            <w:pPr>
              <w:pStyle w:val="answer"/>
              <w:keepNext/>
              <w:spacing w:before="60" w:after="60" w:line="240" w:lineRule="auto"/>
              <w:ind w:left="0" w:firstLine="0"/>
            </w:pPr>
            <w:r w:rsidRPr="007E50F7">
              <w:t>1,200</w:t>
            </w:r>
          </w:p>
        </w:tc>
        <w:tc>
          <w:tcPr>
            <w:tcW w:w="1620" w:type="dxa"/>
            <w:vAlign w:val="center"/>
          </w:tcPr>
          <w:p w14:paraId="6CFC0CF9" w14:textId="77777777" w:rsidR="00040A50" w:rsidRPr="007E50F7" w:rsidRDefault="00040A50" w:rsidP="00117A3E">
            <w:pPr>
              <w:pStyle w:val="answer"/>
              <w:keepNext/>
              <w:spacing w:before="60" w:after="60" w:line="240" w:lineRule="auto"/>
              <w:ind w:left="0" w:firstLine="0"/>
              <w:jc w:val="center"/>
            </w:pPr>
            <w:r w:rsidRPr="007E50F7">
              <w:t>$</w:t>
            </w:r>
            <w:r w:rsidR="00BA20AF" w:rsidRPr="007E50F7">
              <w:t>9</w:t>
            </w:r>
            <w:r w:rsidR="00117A3E" w:rsidRPr="007E50F7">
              <w:t>6</w:t>
            </w:r>
            <w:r w:rsidRPr="007E50F7">
              <w:t>.</w:t>
            </w:r>
            <w:r w:rsidR="00117A3E" w:rsidRPr="007E50F7">
              <w:t>82</w:t>
            </w:r>
          </w:p>
        </w:tc>
        <w:tc>
          <w:tcPr>
            <w:tcW w:w="1588" w:type="dxa"/>
            <w:vAlign w:val="center"/>
          </w:tcPr>
          <w:p w14:paraId="6CFC0CFA" w14:textId="77777777" w:rsidR="00040A50" w:rsidRPr="007E50F7" w:rsidRDefault="00040A50" w:rsidP="00701323">
            <w:pPr>
              <w:pStyle w:val="answer"/>
              <w:keepNext/>
              <w:spacing w:before="60" w:after="60" w:line="240" w:lineRule="auto"/>
              <w:ind w:left="0" w:firstLine="0"/>
              <w:jc w:val="center"/>
            </w:pPr>
            <w:r w:rsidRPr="007E50F7">
              <w:t>$</w:t>
            </w:r>
            <w:r w:rsidR="00BA20AF" w:rsidRPr="007E50F7">
              <w:t>96</w:t>
            </w:r>
            <w:r w:rsidRPr="007E50F7">
              <w:t>.</w:t>
            </w:r>
            <w:r w:rsidR="00701323" w:rsidRPr="007E50F7">
              <w:t>58</w:t>
            </w:r>
          </w:p>
        </w:tc>
        <w:tc>
          <w:tcPr>
            <w:tcW w:w="1296" w:type="dxa"/>
            <w:vAlign w:val="center"/>
          </w:tcPr>
          <w:p w14:paraId="6CFC0CFB" w14:textId="77777777" w:rsidR="00040A50" w:rsidRPr="007E50F7" w:rsidRDefault="00040A50" w:rsidP="00BA20AF">
            <w:pPr>
              <w:pStyle w:val="answer"/>
              <w:keepNext/>
              <w:spacing w:before="60" w:after="60" w:line="240" w:lineRule="auto"/>
              <w:ind w:left="0" w:firstLine="0"/>
              <w:jc w:val="center"/>
            </w:pPr>
            <w:r w:rsidRPr="007E50F7">
              <w:t>-0.</w:t>
            </w:r>
            <w:r w:rsidR="00BA20AF" w:rsidRPr="007E50F7">
              <w:t>2</w:t>
            </w:r>
            <w:r w:rsidRPr="007E50F7">
              <w:t>%</w:t>
            </w:r>
          </w:p>
        </w:tc>
      </w:tr>
      <w:tr w:rsidR="007E50F7" w:rsidRPr="007E50F7" w14:paraId="6CFC0D01" w14:textId="77777777" w:rsidTr="00AF3DDC">
        <w:trPr>
          <w:cantSplit/>
        </w:trPr>
        <w:tc>
          <w:tcPr>
            <w:tcW w:w="4075" w:type="dxa"/>
            <w:vAlign w:val="center"/>
          </w:tcPr>
          <w:p w14:paraId="6CFC0CFD" w14:textId="77777777" w:rsidR="00040A50" w:rsidRPr="007E50F7" w:rsidRDefault="00040A50" w:rsidP="0022334C">
            <w:pPr>
              <w:pStyle w:val="answer"/>
              <w:keepNext/>
              <w:spacing w:before="60" w:after="60" w:line="240" w:lineRule="auto"/>
              <w:ind w:left="0" w:firstLine="0"/>
            </w:pPr>
            <w:r w:rsidRPr="007E50F7">
              <w:t>1,300</w:t>
            </w:r>
          </w:p>
        </w:tc>
        <w:tc>
          <w:tcPr>
            <w:tcW w:w="1620" w:type="dxa"/>
            <w:vAlign w:val="center"/>
          </w:tcPr>
          <w:p w14:paraId="6CFC0CFE" w14:textId="77777777" w:rsidR="00040A50" w:rsidRPr="007E50F7" w:rsidRDefault="00040A50" w:rsidP="00117A3E">
            <w:pPr>
              <w:pStyle w:val="answer"/>
              <w:keepNext/>
              <w:spacing w:before="60" w:after="60" w:line="240" w:lineRule="auto"/>
              <w:ind w:left="0" w:firstLine="0"/>
              <w:jc w:val="center"/>
            </w:pPr>
            <w:r w:rsidRPr="007E50F7">
              <w:t>$1</w:t>
            </w:r>
            <w:r w:rsidR="00BA20AF" w:rsidRPr="007E50F7">
              <w:t>05</w:t>
            </w:r>
            <w:r w:rsidRPr="007E50F7">
              <w:t>.</w:t>
            </w:r>
            <w:r w:rsidR="00117A3E" w:rsidRPr="007E50F7">
              <w:t>16</w:t>
            </w:r>
          </w:p>
        </w:tc>
        <w:tc>
          <w:tcPr>
            <w:tcW w:w="1588" w:type="dxa"/>
            <w:vAlign w:val="center"/>
          </w:tcPr>
          <w:p w14:paraId="6CFC0CFF" w14:textId="77777777" w:rsidR="00040A50" w:rsidRPr="007E50F7" w:rsidRDefault="00040A50" w:rsidP="00701323">
            <w:pPr>
              <w:pStyle w:val="answer"/>
              <w:keepNext/>
              <w:spacing w:before="60" w:after="60" w:line="240" w:lineRule="auto"/>
              <w:ind w:left="0" w:firstLine="0"/>
              <w:jc w:val="center"/>
            </w:pPr>
            <w:r w:rsidRPr="007E50F7">
              <w:t>$1</w:t>
            </w:r>
            <w:r w:rsidR="00BA20AF" w:rsidRPr="007E50F7">
              <w:t>0</w:t>
            </w:r>
            <w:r w:rsidR="00701323" w:rsidRPr="007E50F7">
              <w:t>4</w:t>
            </w:r>
            <w:r w:rsidRPr="007E50F7">
              <w:t>.</w:t>
            </w:r>
            <w:r w:rsidR="00701323" w:rsidRPr="007E50F7">
              <w:t>78</w:t>
            </w:r>
          </w:p>
        </w:tc>
        <w:tc>
          <w:tcPr>
            <w:tcW w:w="1296" w:type="dxa"/>
            <w:vAlign w:val="center"/>
          </w:tcPr>
          <w:p w14:paraId="6CFC0D00" w14:textId="77777777" w:rsidR="00040A50" w:rsidRPr="007E50F7" w:rsidRDefault="00040A50" w:rsidP="00BA20AF">
            <w:pPr>
              <w:pStyle w:val="answer"/>
              <w:keepNext/>
              <w:spacing w:before="60" w:after="60" w:line="240" w:lineRule="auto"/>
              <w:ind w:left="0" w:firstLine="0"/>
              <w:jc w:val="center"/>
            </w:pPr>
            <w:r w:rsidRPr="007E50F7">
              <w:t>-</w:t>
            </w:r>
            <w:r w:rsidR="00BA20AF" w:rsidRPr="007E50F7">
              <w:t>0</w:t>
            </w:r>
            <w:r w:rsidRPr="007E50F7">
              <w:t>.</w:t>
            </w:r>
            <w:r w:rsidR="00BA20AF" w:rsidRPr="007E50F7">
              <w:t>4</w:t>
            </w:r>
            <w:r w:rsidRPr="007E50F7">
              <w:t>%</w:t>
            </w:r>
          </w:p>
        </w:tc>
      </w:tr>
      <w:tr w:rsidR="007E50F7" w:rsidRPr="007E50F7" w14:paraId="6CFC0D06" w14:textId="77777777" w:rsidTr="00AF3DDC">
        <w:trPr>
          <w:cantSplit/>
        </w:trPr>
        <w:tc>
          <w:tcPr>
            <w:tcW w:w="4075" w:type="dxa"/>
            <w:vAlign w:val="center"/>
          </w:tcPr>
          <w:p w14:paraId="6CFC0D02" w14:textId="77777777" w:rsidR="00040A50" w:rsidRPr="007E50F7" w:rsidRDefault="00040A50" w:rsidP="0022334C">
            <w:pPr>
              <w:pStyle w:val="answer"/>
              <w:keepNext/>
              <w:spacing w:before="60" w:after="60" w:line="240" w:lineRule="auto"/>
              <w:ind w:left="0" w:firstLine="0"/>
            </w:pPr>
            <w:r w:rsidRPr="007E50F7">
              <w:t>1,400</w:t>
            </w:r>
          </w:p>
        </w:tc>
        <w:tc>
          <w:tcPr>
            <w:tcW w:w="1620" w:type="dxa"/>
            <w:vAlign w:val="center"/>
          </w:tcPr>
          <w:p w14:paraId="6CFC0D03" w14:textId="77777777" w:rsidR="00040A50" w:rsidRPr="007E50F7" w:rsidRDefault="00040A50" w:rsidP="00117A3E">
            <w:pPr>
              <w:pStyle w:val="answer"/>
              <w:keepNext/>
              <w:spacing w:before="60" w:after="60" w:line="240" w:lineRule="auto"/>
              <w:ind w:left="0" w:firstLine="0"/>
              <w:jc w:val="center"/>
            </w:pPr>
            <w:r w:rsidRPr="007E50F7">
              <w:t>$1</w:t>
            </w:r>
            <w:r w:rsidR="00BA20AF" w:rsidRPr="007E50F7">
              <w:t>13</w:t>
            </w:r>
            <w:r w:rsidRPr="007E50F7">
              <w:t>.</w:t>
            </w:r>
            <w:r w:rsidR="00117A3E" w:rsidRPr="007E50F7">
              <w:t>51</w:t>
            </w:r>
          </w:p>
        </w:tc>
        <w:tc>
          <w:tcPr>
            <w:tcW w:w="1588" w:type="dxa"/>
            <w:vAlign w:val="center"/>
          </w:tcPr>
          <w:p w14:paraId="6CFC0D04" w14:textId="77777777" w:rsidR="00040A50" w:rsidRPr="007E50F7" w:rsidRDefault="00040A50" w:rsidP="00117A3E">
            <w:pPr>
              <w:pStyle w:val="answer"/>
              <w:keepNext/>
              <w:spacing w:before="60" w:after="60" w:line="240" w:lineRule="auto"/>
              <w:ind w:left="0" w:firstLine="0"/>
              <w:jc w:val="center"/>
            </w:pPr>
            <w:r w:rsidRPr="007E50F7">
              <w:t>$1</w:t>
            </w:r>
            <w:r w:rsidR="00BA20AF" w:rsidRPr="007E50F7">
              <w:t>1</w:t>
            </w:r>
            <w:r w:rsidR="00117A3E" w:rsidRPr="007E50F7">
              <w:t>2</w:t>
            </w:r>
            <w:r w:rsidRPr="007E50F7">
              <w:t>.</w:t>
            </w:r>
            <w:r w:rsidR="00117A3E" w:rsidRPr="007E50F7">
              <w:t>98</w:t>
            </w:r>
          </w:p>
        </w:tc>
        <w:tc>
          <w:tcPr>
            <w:tcW w:w="1296" w:type="dxa"/>
            <w:vAlign w:val="center"/>
          </w:tcPr>
          <w:p w14:paraId="6CFC0D05" w14:textId="77777777" w:rsidR="00040A50" w:rsidRPr="007E50F7" w:rsidRDefault="00040A50" w:rsidP="00BA20AF">
            <w:pPr>
              <w:pStyle w:val="answer"/>
              <w:keepNext/>
              <w:spacing w:before="60" w:after="60" w:line="240" w:lineRule="auto"/>
              <w:ind w:left="0" w:firstLine="0"/>
              <w:jc w:val="center"/>
            </w:pPr>
            <w:r w:rsidRPr="007E50F7">
              <w:t>-</w:t>
            </w:r>
            <w:r w:rsidR="00BA20AF" w:rsidRPr="007E50F7">
              <w:t>0</w:t>
            </w:r>
            <w:r w:rsidRPr="007E50F7">
              <w:t>.</w:t>
            </w:r>
            <w:r w:rsidR="00BA20AF" w:rsidRPr="007E50F7">
              <w:t>5</w:t>
            </w:r>
            <w:r w:rsidRPr="007E50F7">
              <w:t>%</w:t>
            </w:r>
          </w:p>
        </w:tc>
      </w:tr>
      <w:tr w:rsidR="007E50F7" w:rsidRPr="007E50F7" w14:paraId="6CFC0D0B" w14:textId="77777777" w:rsidTr="00AF3DDC">
        <w:trPr>
          <w:cantSplit/>
        </w:trPr>
        <w:tc>
          <w:tcPr>
            <w:tcW w:w="4075" w:type="dxa"/>
            <w:vAlign w:val="center"/>
          </w:tcPr>
          <w:p w14:paraId="6CFC0D07" w14:textId="77777777" w:rsidR="00040A50" w:rsidRPr="007E50F7" w:rsidRDefault="00040A50" w:rsidP="0022334C">
            <w:pPr>
              <w:pStyle w:val="answer"/>
              <w:keepNext/>
              <w:spacing w:before="60" w:after="60" w:line="240" w:lineRule="auto"/>
              <w:ind w:left="0" w:firstLine="0"/>
            </w:pPr>
            <w:r w:rsidRPr="007E50F7">
              <w:t>1,500</w:t>
            </w:r>
          </w:p>
        </w:tc>
        <w:tc>
          <w:tcPr>
            <w:tcW w:w="1620" w:type="dxa"/>
            <w:vAlign w:val="center"/>
          </w:tcPr>
          <w:p w14:paraId="6CFC0D08" w14:textId="77777777" w:rsidR="00040A50" w:rsidRPr="007E50F7" w:rsidRDefault="00040A50" w:rsidP="00117A3E">
            <w:pPr>
              <w:pStyle w:val="answer"/>
              <w:keepNext/>
              <w:spacing w:before="60" w:after="60" w:line="240" w:lineRule="auto"/>
              <w:ind w:left="0" w:firstLine="0"/>
              <w:jc w:val="center"/>
            </w:pPr>
            <w:r w:rsidRPr="007E50F7">
              <w:t>$1</w:t>
            </w:r>
            <w:r w:rsidR="00BA20AF" w:rsidRPr="007E50F7">
              <w:t>2</w:t>
            </w:r>
            <w:r w:rsidR="00117A3E" w:rsidRPr="007E50F7">
              <w:t>1</w:t>
            </w:r>
            <w:r w:rsidRPr="007E50F7">
              <w:t>.</w:t>
            </w:r>
            <w:r w:rsidR="00117A3E" w:rsidRPr="007E50F7">
              <w:t>86</w:t>
            </w:r>
          </w:p>
        </w:tc>
        <w:tc>
          <w:tcPr>
            <w:tcW w:w="1588" w:type="dxa"/>
            <w:vAlign w:val="center"/>
          </w:tcPr>
          <w:p w14:paraId="6CFC0D09" w14:textId="77777777" w:rsidR="00040A50" w:rsidRPr="007E50F7" w:rsidRDefault="00BA20AF" w:rsidP="00117A3E">
            <w:pPr>
              <w:pStyle w:val="answer"/>
              <w:keepNext/>
              <w:spacing w:before="60" w:after="60" w:line="240" w:lineRule="auto"/>
              <w:ind w:left="0" w:firstLine="0"/>
              <w:jc w:val="center"/>
            </w:pPr>
            <w:r w:rsidRPr="007E50F7">
              <w:t>$121.</w:t>
            </w:r>
            <w:r w:rsidR="00117A3E" w:rsidRPr="007E50F7">
              <w:t>19</w:t>
            </w:r>
          </w:p>
        </w:tc>
        <w:tc>
          <w:tcPr>
            <w:tcW w:w="1296" w:type="dxa"/>
            <w:vAlign w:val="center"/>
          </w:tcPr>
          <w:p w14:paraId="6CFC0D0A" w14:textId="77777777" w:rsidR="00040A50" w:rsidRPr="007E50F7" w:rsidRDefault="00040A50" w:rsidP="00BA20AF">
            <w:pPr>
              <w:pStyle w:val="answer"/>
              <w:keepNext/>
              <w:spacing w:before="60" w:after="60" w:line="240" w:lineRule="auto"/>
              <w:ind w:left="0" w:firstLine="0"/>
              <w:jc w:val="center"/>
            </w:pPr>
            <w:r w:rsidRPr="007E50F7">
              <w:t>-</w:t>
            </w:r>
            <w:r w:rsidR="00BA20AF" w:rsidRPr="007E50F7">
              <w:t>0</w:t>
            </w:r>
            <w:r w:rsidRPr="007E50F7">
              <w:t>.</w:t>
            </w:r>
            <w:r w:rsidR="00BA20AF" w:rsidRPr="007E50F7">
              <w:t>6</w:t>
            </w:r>
            <w:r w:rsidRPr="007E50F7">
              <w:t>%</w:t>
            </w:r>
          </w:p>
        </w:tc>
      </w:tr>
    </w:tbl>
    <w:p w14:paraId="6CFC0D0C" w14:textId="77777777" w:rsidR="007F1B05" w:rsidRPr="007E50F7" w:rsidRDefault="0036396B" w:rsidP="0022334C">
      <w:pPr>
        <w:pStyle w:val="Answer-Testimony"/>
        <w:jc w:val="center"/>
      </w:pPr>
      <w:r w:rsidRPr="007E50F7">
        <w:t xml:space="preserve">Table 4: </w:t>
      </w:r>
      <w:r w:rsidR="00040A50" w:rsidRPr="007E50F7">
        <w:t>Crossover Chart</w:t>
      </w:r>
    </w:p>
    <w:p w14:paraId="6CFC0D0D" w14:textId="77777777" w:rsidR="004C34F7" w:rsidRPr="000559D0" w:rsidRDefault="004C34F7" w:rsidP="0022334C">
      <w:pPr>
        <w:pStyle w:val="Answer-Testimony"/>
        <w:rPr>
          <w:color w:val="FFFFFF" w:themeColor="background1"/>
        </w:rPr>
      </w:pPr>
    </w:p>
    <w:p w14:paraId="6CFC0D0E" w14:textId="77777777" w:rsidR="007F1B05" w:rsidRPr="000559D0" w:rsidRDefault="007F1B05" w:rsidP="0022334C">
      <w:pPr>
        <w:pStyle w:val="Answer-Testimony"/>
        <w:rPr>
          <w:color w:val="FFFFFF" w:themeColor="background1"/>
        </w:rPr>
      </w:pPr>
      <w:r w:rsidRPr="000559D0">
        <w:rPr>
          <w:color w:val="FFFFFF" w:themeColor="background1"/>
        </w:rPr>
        <w:t>R</w:t>
      </w:r>
    </w:p>
    <w:p w14:paraId="6CFC0D0F" w14:textId="77777777" w:rsidR="007F1B05" w:rsidRPr="000559D0" w:rsidRDefault="007F1B05" w:rsidP="0022334C">
      <w:pPr>
        <w:pStyle w:val="Answer-Testimony"/>
        <w:rPr>
          <w:color w:val="FFFFFF" w:themeColor="background1"/>
        </w:rPr>
      </w:pPr>
      <w:r w:rsidRPr="000559D0">
        <w:rPr>
          <w:color w:val="FFFFFF" w:themeColor="background1"/>
        </w:rPr>
        <w:t>R</w:t>
      </w:r>
    </w:p>
    <w:p w14:paraId="6CFC0D10" w14:textId="77777777" w:rsidR="007F1B05" w:rsidRPr="000559D0" w:rsidRDefault="007F1B05" w:rsidP="0022334C">
      <w:pPr>
        <w:pStyle w:val="Answer-Testimony"/>
        <w:rPr>
          <w:color w:val="FFFFFF" w:themeColor="background1"/>
        </w:rPr>
      </w:pPr>
      <w:r w:rsidRPr="000559D0">
        <w:rPr>
          <w:color w:val="FFFFFF" w:themeColor="background1"/>
        </w:rPr>
        <w:t>R</w:t>
      </w:r>
    </w:p>
    <w:p w14:paraId="6CFC0D11" w14:textId="77777777" w:rsidR="0036396B" w:rsidRPr="000559D0" w:rsidRDefault="0036396B" w:rsidP="0022334C">
      <w:pPr>
        <w:pStyle w:val="Answer-Testimony"/>
        <w:rPr>
          <w:color w:val="FFFFFF" w:themeColor="background1"/>
        </w:rPr>
      </w:pPr>
    </w:p>
    <w:p w14:paraId="6CFC0D12" w14:textId="77777777" w:rsidR="007F1B05" w:rsidRPr="000559D0" w:rsidRDefault="007F1B05" w:rsidP="0022334C">
      <w:pPr>
        <w:pStyle w:val="Answer-Testimony"/>
        <w:rPr>
          <w:color w:val="FFFFFF" w:themeColor="background1"/>
        </w:rPr>
      </w:pPr>
      <w:r w:rsidRPr="000559D0">
        <w:rPr>
          <w:color w:val="FFFFFF" w:themeColor="background1"/>
        </w:rPr>
        <w:t>R</w:t>
      </w:r>
    </w:p>
    <w:p w14:paraId="6CFC0D13" w14:textId="77777777" w:rsidR="007F1B05" w:rsidRPr="000559D0" w:rsidRDefault="007F1B05" w:rsidP="0022334C">
      <w:pPr>
        <w:pStyle w:val="Answer-Testimony"/>
        <w:rPr>
          <w:color w:val="FFFFFF" w:themeColor="background1"/>
        </w:rPr>
      </w:pPr>
      <w:r w:rsidRPr="000559D0">
        <w:rPr>
          <w:color w:val="FFFFFF" w:themeColor="background1"/>
        </w:rPr>
        <w:t>R</w:t>
      </w:r>
    </w:p>
    <w:p w14:paraId="6CFC0D14" w14:textId="77777777" w:rsidR="004C34F7" w:rsidRPr="000559D0" w:rsidRDefault="007F1B05" w:rsidP="0022334C">
      <w:pPr>
        <w:pStyle w:val="Question-Testimony"/>
        <w:rPr>
          <w:color w:val="FFFFFF" w:themeColor="background1"/>
        </w:rPr>
      </w:pPr>
      <w:r w:rsidRPr="000559D0">
        <w:rPr>
          <w:color w:val="FFFFFF" w:themeColor="background1"/>
        </w:rPr>
        <w:t>R</w:t>
      </w:r>
    </w:p>
    <w:p w14:paraId="6CFC0D15" w14:textId="77777777" w:rsidR="003602A5" w:rsidRPr="007E50F7" w:rsidRDefault="003602A5" w:rsidP="0022334C">
      <w:pPr>
        <w:pStyle w:val="Question-Testimony"/>
      </w:pPr>
      <w:r w:rsidRPr="007E50F7">
        <w:t>Q.</w:t>
      </w:r>
      <w:r w:rsidRPr="007E50F7">
        <w:tab/>
        <w:t xml:space="preserve">Will increasing the basic charge send the wrong price signal </w:t>
      </w:r>
      <w:r w:rsidR="000D7DC5" w:rsidRPr="007E50F7">
        <w:t>to</w:t>
      </w:r>
      <w:r w:rsidRPr="007E50F7">
        <w:t xml:space="preserve"> customers?</w:t>
      </w:r>
    </w:p>
    <w:p w14:paraId="6CFC0D16" w14:textId="77777777" w:rsidR="003602A5" w:rsidRPr="007E50F7" w:rsidRDefault="003602A5" w:rsidP="0022334C">
      <w:pPr>
        <w:pStyle w:val="Answer-Testimony"/>
      </w:pPr>
      <w:r w:rsidRPr="007E50F7">
        <w:t>A.</w:t>
      </w:r>
      <w:r w:rsidRPr="007E50F7">
        <w:tab/>
        <w:t xml:space="preserve">No.  The increase to the basic charge sends the correct price signal because it recovers the fixed costs the </w:t>
      </w:r>
      <w:r w:rsidR="00434467" w:rsidRPr="007E50F7">
        <w:t>C</w:t>
      </w:r>
      <w:r w:rsidRPr="007E50F7">
        <w:t>ompany incurs directly to serve that customer, e.g., t</w:t>
      </w:r>
      <w:r w:rsidR="00040A50" w:rsidRPr="007E50F7">
        <w:t>he service drop and the meter.</w:t>
      </w:r>
    </w:p>
    <w:p w14:paraId="6CFC0D17" w14:textId="77777777" w:rsidR="003602A5" w:rsidRPr="007E50F7" w:rsidRDefault="003602A5" w:rsidP="0022334C">
      <w:pPr>
        <w:pStyle w:val="Answer-Testimony"/>
      </w:pPr>
    </w:p>
    <w:p w14:paraId="6CFC0D18" w14:textId="77777777" w:rsidR="003602A5" w:rsidRPr="007E50F7" w:rsidRDefault="003602A5" w:rsidP="0022334C">
      <w:pPr>
        <w:pStyle w:val="Question-Testimony"/>
      </w:pPr>
      <w:r w:rsidRPr="007E50F7">
        <w:t>Q.</w:t>
      </w:r>
      <w:r w:rsidRPr="007E50F7">
        <w:tab/>
        <w:t>Is Staff’s level of customer charge appropriate?</w:t>
      </w:r>
    </w:p>
    <w:p w14:paraId="6CFC0D19" w14:textId="77777777" w:rsidR="003602A5" w:rsidRPr="007E50F7" w:rsidRDefault="003602A5" w:rsidP="0022334C">
      <w:pPr>
        <w:pStyle w:val="Answer-Testimony"/>
        <w:rPr>
          <w:b/>
        </w:rPr>
      </w:pPr>
      <w:r w:rsidRPr="007E50F7">
        <w:rPr>
          <w:b/>
          <w:bCs/>
        </w:rPr>
        <w:t>A.</w:t>
      </w:r>
      <w:r w:rsidRPr="007E50F7">
        <w:rPr>
          <w:b/>
          <w:bCs/>
        </w:rPr>
        <w:tab/>
      </w:r>
      <w:r w:rsidRPr="007E50F7">
        <w:rPr>
          <w:bCs/>
        </w:rPr>
        <w:t xml:space="preserve">Yes.  </w:t>
      </w:r>
      <w:r w:rsidRPr="007E50F7">
        <w:t>In</w:t>
      </w:r>
      <w:r w:rsidR="003430BA" w:rsidRPr="007E50F7">
        <w:t xml:space="preserve"> a</w:t>
      </w:r>
      <w:r w:rsidRPr="007E50F7">
        <w:t xml:space="preserve"> </w:t>
      </w:r>
      <w:r w:rsidR="009F1850" w:rsidRPr="007E50F7">
        <w:t xml:space="preserve">January </w:t>
      </w:r>
      <w:r w:rsidR="00CC02CD" w:rsidRPr="007E50F7">
        <w:t>200</w:t>
      </w:r>
      <w:r w:rsidR="009F1850" w:rsidRPr="007E50F7">
        <w:t xml:space="preserve">7, </w:t>
      </w:r>
      <w:r w:rsidR="003430BA" w:rsidRPr="007E50F7">
        <w:t>r</w:t>
      </w:r>
      <w:r w:rsidRPr="007E50F7">
        <w:t>ate order for Puget Sound Energy</w:t>
      </w:r>
      <w:r w:rsidR="00423389" w:rsidRPr="007E50F7">
        <w:t>, Inc. (“PSE”)</w:t>
      </w:r>
      <w:r w:rsidRPr="007E50F7">
        <w:t>, the Commission identified the appropriate level of customer charge</w:t>
      </w:r>
      <w:r w:rsidR="00116A80" w:rsidRPr="007E50F7">
        <w:t xml:space="preserve"> as follows</w:t>
      </w:r>
      <w:r w:rsidRPr="007E50F7">
        <w:rPr>
          <w:bCs/>
        </w:rPr>
        <w:t>:</w:t>
      </w:r>
    </w:p>
    <w:p w14:paraId="6CFC0D1A" w14:textId="77777777" w:rsidR="003602A5" w:rsidRPr="007E50F7" w:rsidRDefault="003602A5" w:rsidP="00342685">
      <w:pPr>
        <w:pStyle w:val="Answer-Testimony"/>
        <w:spacing w:line="240" w:lineRule="auto"/>
        <w:ind w:left="1440" w:firstLine="0"/>
      </w:pPr>
      <w:r w:rsidRPr="007E50F7">
        <w:t>an increase in the customer charge…will result in the Company recovering about one-fourth of its fixed costs allocated to residential customers via a fixed charge on each customer’s bill.  This is about eight to ten percent of an average customer’s total bill, considering both fixed and variable costs.  This seems to us the right balance point for the recovery of fixed costs via the customer charge.</w:t>
      </w:r>
      <w:r w:rsidRPr="007E50F7">
        <w:rPr>
          <w:rStyle w:val="FootnoteReference"/>
        </w:rPr>
        <w:footnoteReference w:id="10"/>
      </w:r>
    </w:p>
    <w:p w14:paraId="6CFC0D1B" w14:textId="77777777" w:rsidR="00342685" w:rsidRPr="007E50F7" w:rsidRDefault="00342685" w:rsidP="00342685">
      <w:pPr>
        <w:pStyle w:val="Answer-Testimony"/>
        <w:spacing w:line="240" w:lineRule="auto"/>
      </w:pPr>
    </w:p>
    <w:p w14:paraId="6CFC0D1C" w14:textId="77777777" w:rsidR="0022334C" w:rsidRPr="007E50F7" w:rsidRDefault="003602A5" w:rsidP="0022334C">
      <w:pPr>
        <w:pStyle w:val="Answer-Testimony"/>
      </w:pPr>
      <w:r w:rsidRPr="007E50F7">
        <w:tab/>
        <w:t>Staff’s proposed $</w:t>
      </w:r>
      <w:r w:rsidR="009F1850" w:rsidRPr="007E50F7">
        <w:t>7.</w:t>
      </w:r>
      <w:r w:rsidR="00CA317A" w:rsidRPr="007E50F7">
        <w:t>34</w:t>
      </w:r>
      <w:r w:rsidRPr="007E50F7">
        <w:t xml:space="preserve"> customer charge </w:t>
      </w:r>
      <w:r w:rsidR="00116A80" w:rsidRPr="007E50F7">
        <w:t xml:space="preserve">for electric customers </w:t>
      </w:r>
      <w:r w:rsidRPr="007E50F7">
        <w:t>meets this “balance point” because</w:t>
      </w:r>
      <w:r w:rsidR="009D3927" w:rsidRPr="007E50F7">
        <w:t xml:space="preserve"> it </w:t>
      </w:r>
      <w:r w:rsidR="00116A80" w:rsidRPr="007E50F7">
        <w:t xml:space="preserve">represents </w:t>
      </w:r>
      <w:r w:rsidR="009D3927" w:rsidRPr="007E50F7">
        <w:t>2</w:t>
      </w:r>
      <w:r w:rsidR="00CA317A" w:rsidRPr="007E50F7">
        <w:t>3</w:t>
      </w:r>
      <w:r w:rsidR="009D3927" w:rsidRPr="007E50F7">
        <w:t>.</w:t>
      </w:r>
      <w:r w:rsidR="00CA317A" w:rsidRPr="007E50F7">
        <w:t>6</w:t>
      </w:r>
      <w:r w:rsidR="00E45AF0" w:rsidRPr="007E50F7">
        <w:t>1</w:t>
      </w:r>
      <w:r w:rsidR="009D3927" w:rsidRPr="007E50F7">
        <w:t xml:space="preserve"> percent of </w:t>
      </w:r>
      <w:r w:rsidR="00116A80" w:rsidRPr="007E50F7">
        <w:t xml:space="preserve">the </w:t>
      </w:r>
      <w:r w:rsidR="009D3927" w:rsidRPr="007E50F7">
        <w:t>fixed costs allocated to residential customers</w:t>
      </w:r>
      <w:r w:rsidR="00D425EF" w:rsidRPr="007E50F7">
        <w:rPr>
          <w:rStyle w:val="FootnoteReference"/>
        </w:rPr>
        <w:footnoteReference w:id="11"/>
      </w:r>
      <w:r w:rsidR="009D3927" w:rsidRPr="007E50F7">
        <w:t xml:space="preserve"> and equals 9.</w:t>
      </w:r>
      <w:r w:rsidR="00CA317A" w:rsidRPr="007E50F7">
        <w:t>1</w:t>
      </w:r>
      <w:r w:rsidR="008344C0" w:rsidRPr="007E50F7">
        <w:t>6</w:t>
      </w:r>
      <w:r w:rsidR="009D3927" w:rsidRPr="007E50F7">
        <w:t xml:space="preserve"> percent of an average customer’s total bill.</w:t>
      </w:r>
      <w:r w:rsidR="00116A80" w:rsidRPr="007E50F7">
        <w:t xml:space="preserve">  These percentages are within the limits the Commission approved in the PSE order I quoted.</w:t>
      </w:r>
    </w:p>
    <w:p w14:paraId="6CFC0D1D" w14:textId="77777777" w:rsidR="0022334C" w:rsidRDefault="0022334C" w:rsidP="0022334C">
      <w:pPr>
        <w:pStyle w:val="Answer-Testimony"/>
      </w:pPr>
    </w:p>
    <w:p w14:paraId="3EF98868" w14:textId="5D28A356" w:rsidR="000C6862" w:rsidRPr="000C6862" w:rsidRDefault="000C6862" w:rsidP="0043396E">
      <w:pPr>
        <w:pStyle w:val="Answer-Testimony"/>
        <w:outlineLvl w:val="2"/>
        <w:rPr>
          <w:b/>
        </w:rPr>
      </w:pPr>
      <w:r w:rsidRPr="000C6862">
        <w:rPr>
          <w:b/>
        </w:rPr>
        <w:tab/>
      </w:r>
      <w:r w:rsidRPr="000C6862">
        <w:rPr>
          <w:b/>
        </w:rPr>
        <w:tab/>
      </w:r>
      <w:bookmarkStart w:id="10" w:name="_Toc335809616"/>
      <w:r w:rsidRPr="000C6862">
        <w:rPr>
          <w:b/>
        </w:rPr>
        <w:t>2.</w:t>
      </w:r>
      <w:r w:rsidRPr="000C6862">
        <w:rPr>
          <w:b/>
        </w:rPr>
        <w:tab/>
        <w:t>Volumetric Blocks</w:t>
      </w:r>
      <w:bookmarkEnd w:id="10"/>
      <w:r w:rsidRPr="000C6862">
        <w:rPr>
          <w:b/>
        </w:rPr>
        <w:t xml:space="preserve"> </w:t>
      </w:r>
    </w:p>
    <w:p w14:paraId="6CFC0D1F" w14:textId="77777777" w:rsidR="0022334C" w:rsidRPr="007E50F7" w:rsidRDefault="0022334C" w:rsidP="0022334C">
      <w:pPr>
        <w:pStyle w:val="Question-Testimony"/>
      </w:pPr>
    </w:p>
    <w:p w14:paraId="6CFC0D20" w14:textId="77777777" w:rsidR="008A14BC" w:rsidRPr="007E50F7" w:rsidRDefault="008A14BC" w:rsidP="002429C8">
      <w:pPr>
        <w:pStyle w:val="Question-Testimony"/>
      </w:pPr>
      <w:r w:rsidRPr="007E50F7">
        <w:t>Q.</w:t>
      </w:r>
      <w:r w:rsidRPr="007E50F7">
        <w:tab/>
        <w:t>Please</w:t>
      </w:r>
      <w:r w:rsidR="000F739B" w:rsidRPr="007E50F7">
        <w:t xml:space="preserve"> summarize Staff’s proposed change to the </w:t>
      </w:r>
      <w:r w:rsidRPr="007E50F7">
        <w:t>volumetric block</w:t>
      </w:r>
      <w:r w:rsidR="000F739B" w:rsidRPr="007E50F7">
        <w:t xml:space="preserve"> design</w:t>
      </w:r>
      <w:r w:rsidRPr="007E50F7">
        <w:t xml:space="preserve"> for Residential Schedule 1.</w:t>
      </w:r>
    </w:p>
    <w:p w14:paraId="6CFC0D21" w14:textId="77777777" w:rsidR="008A14BC" w:rsidRPr="007E50F7" w:rsidRDefault="008A14BC" w:rsidP="002429C8">
      <w:pPr>
        <w:pStyle w:val="Answer-Testimony"/>
      </w:pPr>
      <w:r w:rsidRPr="007E50F7">
        <w:t>A.</w:t>
      </w:r>
      <w:r w:rsidRPr="007E50F7">
        <w:tab/>
      </w:r>
      <w:r w:rsidR="00B30897" w:rsidRPr="007E50F7">
        <w:t xml:space="preserve">Staff recommends </w:t>
      </w:r>
      <w:r w:rsidR="00511931" w:rsidRPr="007E50F7">
        <w:t xml:space="preserve">changing </w:t>
      </w:r>
      <w:r w:rsidR="00B30897" w:rsidRPr="007E50F7">
        <w:t xml:space="preserve">the first block from </w:t>
      </w:r>
      <w:r w:rsidR="00423389" w:rsidRPr="007E50F7">
        <w:t xml:space="preserve">0 – </w:t>
      </w:r>
      <w:r w:rsidR="00B30897" w:rsidRPr="007E50F7">
        <w:t>600</w:t>
      </w:r>
      <w:r w:rsidR="00423389" w:rsidRPr="007E50F7">
        <w:t xml:space="preserve"> </w:t>
      </w:r>
      <w:r w:rsidR="00B30897" w:rsidRPr="007E50F7">
        <w:t xml:space="preserve">kWh to </w:t>
      </w:r>
      <w:r w:rsidR="00423389" w:rsidRPr="007E50F7">
        <w:t xml:space="preserve">0 – </w:t>
      </w:r>
      <w:r w:rsidR="00B30897" w:rsidRPr="007E50F7">
        <w:t>800</w:t>
      </w:r>
      <w:r w:rsidR="00423389" w:rsidRPr="007E50F7">
        <w:t xml:space="preserve"> </w:t>
      </w:r>
      <w:r w:rsidR="00B30897" w:rsidRPr="007E50F7">
        <w:t xml:space="preserve">kWh and the second block from </w:t>
      </w:r>
      <w:r w:rsidR="00423389" w:rsidRPr="007E50F7">
        <w:t xml:space="preserve">600 – </w:t>
      </w:r>
      <w:r w:rsidR="00B30897" w:rsidRPr="007E50F7">
        <w:t>1,300</w:t>
      </w:r>
      <w:r w:rsidR="00423389" w:rsidRPr="007E50F7">
        <w:t xml:space="preserve"> </w:t>
      </w:r>
      <w:r w:rsidR="00B30897" w:rsidRPr="007E50F7">
        <w:t xml:space="preserve">kWh to </w:t>
      </w:r>
      <w:r w:rsidR="00423389" w:rsidRPr="007E50F7">
        <w:t xml:space="preserve">800 – </w:t>
      </w:r>
      <w:r w:rsidR="00B30897" w:rsidRPr="007E50F7">
        <w:t>1,500 kWh</w:t>
      </w:r>
      <w:r w:rsidRPr="007E50F7">
        <w:t>.</w:t>
      </w:r>
    </w:p>
    <w:p w14:paraId="6CFC0D22" w14:textId="77777777" w:rsidR="000F739B" w:rsidRPr="007E50F7" w:rsidRDefault="000F739B" w:rsidP="002429C8">
      <w:pPr>
        <w:pStyle w:val="Answer-Testimony"/>
      </w:pPr>
    </w:p>
    <w:p w14:paraId="6CFC0D23" w14:textId="77777777" w:rsidR="000F739B" w:rsidRPr="007E50F7" w:rsidRDefault="000F739B" w:rsidP="00342685">
      <w:pPr>
        <w:pStyle w:val="Question-Testimony"/>
        <w:keepNext/>
      </w:pPr>
      <w:r w:rsidRPr="007E50F7">
        <w:lastRenderedPageBreak/>
        <w:t>Q.</w:t>
      </w:r>
      <w:r w:rsidRPr="007E50F7">
        <w:tab/>
        <w:t>Please explain why Staff is proposing to increase the first block to 800 kWh.</w:t>
      </w:r>
    </w:p>
    <w:p w14:paraId="6CFC0D24" w14:textId="77777777" w:rsidR="00116A80" w:rsidRPr="007E50F7" w:rsidRDefault="000F739B" w:rsidP="0022334C">
      <w:pPr>
        <w:pStyle w:val="Answer-Testimony"/>
      </w:pPr>
      <w:r w:rsidRPr="007E50F7">
        <w:t>A.</w:t>
      </w:r>
      <w:r w:rsidRPr="007E50F7">
        <w:tab/>
      </w:r>
      <w:r w:rsidR="00116A80" w:rsidRPr="007E50F7">
        <w:t>This 800 kWh first block is appropriate because consumption in this range is likely inelastic.</w:t>
      </w:r>
      <w:r w:rsidR="00116A80" w:rsidRPr="007E50F7">
        <w:rPr>
          <w:rStyle w:val="FootnoteReference"/>
        </w:rPr>
        <w:footnoteReference w:id="12"/>
      </w:r>
      <w:r w:rsidR="00116A80" w:rsidRPr="007E50F7">
        <w:t xml:space="preserve">  This supports a more appropriate price signal for conservation because it moves the elastic usage to the rate blocks with more elastic usage.</w:t>
      </w:r>
    </w:p>
    <w:p w14:paraId="6CFC0D25" w14:textId="77777777" w:rsidR="00736967" w:rsidRPr="007E50F7" w:rsidRDefault="00116A80" w:rsidP="0022334C">
      <w:pPr>
        <w:pStyle w:val="Answer-Testimony"/>
      </w:pPr>
      <w:r w:rsidRPr="007E50F7">
        <w:tab/>
      </w:r>
      <w:r w:rsidRPr="007E50F7">
        <w:tab/>
      </w:r>
      <w:r w:rsidR="00B30897" w:rsidRPr="007E50F7">
        <w:t xml:space="preserve">Staff </w:t>
      </w:r>
      <w:r w:rsidR="00511931" w:rsidRPr="007E50F7">
        <w:t xml:space="preserve">recommends that the first </w:t>
      </w:r>
      <w:r w:rsidR="00736967" w:rsidRPr="007E50F7">
        <w:t xml:space="preserve">block </w:t>
      </w:r>
      <w:r w:rsidRPr="007E50F7">
        <w:t xml:space="preserve">should </w:t>
      </w:r>
      <w:r w:rsidR="0005488A" w:rsidRPr="007E50F7">
        <w:t>represent the amount of energy</w:t>
      </w:r>
      <w:r w:rsidR="00511931" w:rsidRPr="007E50F7">
        <w:t xml:space="preserve"> an average customer</w:t>
      </w:r>
      <w:r w:rsidR="0005488A" w:rsidRPr="007E50F7">
        <w:t xml:space="preserve"> need</w:t>
      </w:r>
      <w:r w:rsidR="00511931" w:rsidRPr="007E50F7">
        <w:t xml:space="preserve">s </w:t>
      </w:r>
      <w:r w:rsidR="0005488A" w:rsidRPr="007E50F7">
        <w:t xml:space="preserve">for </w:t>
      </w:r>
      <w:r w:rsidR="00B30897" w:rsidRPr="007E50F7">
        <w:t xml:space="preserve">essential </w:t>
      </w:r>
      <w:r w:rsidR="0005488A" w:rsidRPr="007E50F7">
        <w:t>uses</w:t>
      </w:r>
      <w:r w:rsidR="00B30897" w:rsidRPr="007E50F7">
        <w:t>,</w:t>
      </w:r>
      <w:r w:rsidR="00736967" w:rsidRPr="007E50F7">
        <w:t xml:space="preserve"> </w:t>
      </w:r>
      <w:r w:rsidR="0005488A" w:rsidRPr="007E50F7">
        <w:t>which includes cooking, domestic hot water, lighting, and home appliances</w:t>
      </w:r>
      <w:r w:rsidR="00B36DD6" w:rsidRPr="007E50F7">
        <w:t xml:space="preserve"> (i.e. refrigeration)</w:t>
      </w:r>
      <w:r w:rsidR="0005488A" w:rsidRPr="007E50F7">
        <w:t>.  A</w:t>
      </w:r>
      <w:r w:rsidR="00736967" w:rsidRPr="007E50F7">
        <w:t>ccording to the U.S. Department of Housing and Urban Development</w:t>
      </w:r>
      <w:r w:rsidR="00B91B7A" w:rsidRPr="007E50F7">
        <w:t xml:space="preserve"> (HUD)</w:t>
      </w:r>
      <w:r w:rsidR="00736967" w:rsidRPr="007E50F7">
        <w:t>, the</w:t>
      </w:r>
      <w:r w:rsidR="0005488A" w:rsidRPr="007E50F7">
        <w:t xml:space="preserve"> average</w:t>
      </w:r>
      <w:r w:rsidR="00736967" w:rsidRPr="007E50F7">
        <w:t xml:space="preserve"> end</w:t>
      </w:r>
      <w:r w:rsidR="0005488A" w:rsidRPr="007E50F7">
        <w:t>-</w:t>
      </w:r>
      <w:r w:rsidR="00736967" w:rsidRPr="007E50F7">
        <w:t xml:space="preserve">use consumption </w:t>
      </w:r>
      <w:r w:rsidR="0005488A" w:rsidRPr="007E50F7">
        <w:t xml:space="preserve">for these categories of usage </w:t>
      </w:r>
      <w:r w:rsidR="00736967" w:rsidRPr="007E50F7">
        <w:t xml:space="preserve">is between </w:t>
      </w:r>
      <w:r w:rsidR="009C1BFD" w:rsidRPr="007E50F7">
        <w:t>765</w:t>
      </w:r>
      <w:r w:rsidR="00736967" w:rsidRPr="007E50F7">
        <w:t xml:space="preserve"> and </w:t>
      </w:r>
      <w:r w:rsidR="009C1BFD" w:rsidRPr="007E50F7">
        <w:t>850</w:t>
      </w:r>
      <w:r w:rsidR="00736967" w:rsidRPr="007E50F7">
        <w:t xml:space="preserve"> </w:t>
      </w:r>
      <w:r w:rsidR="009C1BFD" w:rsidRPr="007E50F7">
        <w:t>kWh</w:t>
      </w:r>
      <w:r w:rsidR="00736967" w:rsidRPr="007E50F7">
        <w:t xml:space="preserve"> (based on 2 bedroom dwelling unit and 2.5 bedroom dwelling unit, respectively)</w:t>
      </w:r>
      <w:r w:rsidR="00736967" w:rsidRPr="007E50F7">
        <w:rPr>
          <w:rStyle w:val="FootnoteReference"/>
        </w:rPr>
        <w:footnoteReference w:id="13"/>
      </w:r>
      <w:r w:rsidR="00736967" w:rsidRPr="007E50F7">
        <w:t>.</w:t>
      </w:r>
      <w:r w:rsidRPr="007E50F7">
        <w:t xml:space="preserve">  Staff’s proposed first rate block of 800 kWh reflects this average. </w:t>
      </w:r>
    </w:p>
    <w:p w14:paraId="6CFC0D26" w14:textId="77777777" w:rsidR="0005488A" w:rsidRPr="007E50F7" w:rsidRDefault="0005488A" w:rsidP="0022334C">
      <w:pPr>
        <w:pStyle w:val="Answer-Testimony"/>
      </w:pPr>
      <w:r w:rsidRPr="007E50F7">
        <w:tab/>
      </w:r>
      <w:r w:rsidRPr="007E50F7">
        <w:tab/>
      </w:r>
      <w:r w:rsidR="00A46AAD" w:rsidRPr="007E50F7">
        <w:t>In addition, the Company’s previous 10-year increment “base load” studies show that the inelastic usage is at least above 600 kWh, with an average base load of 661.25 kWh.  The time period ranged from 1998 to 2010.</w:t>
      </w:r>
      <w:r w:rsidR="00A46AAD" w:rsidRPr="007E50F7">
        <w:rPr>
          <w:rStyle w:val="FootnoteReference"/>
        </w:rPr>
        <w:footnoteReference w:id="14"/>
      </w:r>
    </w:p>
    <w:p w14:paraId="6CFC0D27" w14:textId="77777777" w:rsidR="00423389" w:rsidRPr="007E50F7" w:rsidRDefault="00423389" w:rsidP="0022334C">
      <w:pPr>
        <w:pStyle w:val="Question-Testimony"/>
      </w:pPr>
    </w:p>
    <w:p w14:paraId="6CFC0D28" w14:textId="77777777" w:rsidR="00423389" w:rsidRPr="007E50F7" w:rsidRDefault="00423389" w:rsidP="0022334C">
      <w:pPr>
        <w:pStyle w:val="Question-Testimony"/>
      </w:pPr>
      <w:r w:rsidRPr="007E50F7">
        <w:t>Q.</w:t>
      </w:r>
      <w:r w:rsidRPr="007E50F7">
        <w:tab/>
      </w:r>
      <w:r w:rsidR="00116A80" w:rsidRPr="007E50F7">
        <w:t>D</w:t>
      </w:r>
      <w:r w:rsidRPr="007E50F7">
        <w:t xml:space="preserve">oes Staff’s proposed change </w:t>
      </w:r>
      <w:r w:rsidR="00116A80" w:rsidRPr="007E50F7">
        <w:t xml:space="preserve">to the first block reflect </w:t>
      </w:r>
      <w:r w:rsidR="007A256E" w:rsidRPr="007E50F7">
        <w:t xml:space="preserve">inelastic </w:t>
      </w:r>
      <w:r w:rsidR="00585D91" w:rsidRPr="007E50F7">
        <w:t xml:space="preserve">usage </w:t>
      </w:r>
      <w:r w:rsidR="00116A80" w:rsidRPr="007E50F7">
        <w:t>for customers who have dual fuel sources or non-electric heating</w:t>
      </w:r>
      <w:r w:rsidRPr="007E50F7">
        <w:t>?</w:t>
      </w:r>
    </w:p>
    <w:p w14:paraId="6CFC0D29" w14:textId="77777777" w:rsidR="00585D91" w:rsidRPr="007E50F7" w:rsidRDefault="00423389" w:rsidP="0022334C">
      <w:pPr>
        <w:pStyle w:val="Answer-Testimony"/>
      </w:pPr>
      <w:r w:rsidRPr="007E50F7">
        <w:t>A.</w:t>
      </w:r>
      <w:r w:rsidRPr="007E50F7">
        <w:tab/>
      </w:r>
      <w:r w:rsidR="00585D91" w:rsidRPr="007E50F7">
        <w:t>Yes</w:t>
      </w:r>
      <w:r w:rsidRPr="007E50F7">
        <w:t xml:space="preserve">.  In fact, </w:t>
      </w:r>
      <w:r w:rsidR="00585D91" w:rsidRPr="007E50F7">
        <w:t xml:space="preserve">the average monthly usage for </w:t>
      </w:r>
      <w:r w:rsidR="007A256E" w:rsidRPr="007E50F7">
        <w:t xml:space="preserve">Dual Fuel Non-Limited Income customers is 918 kWh and 833 kWh for Dual Fuel Limited Income customers.  Therefore, </w:t>
      </w:r>
      <w:r w:rsidR="00116A80" w:rsidRPr="007E50F7">
        <w:t xml:space="preserve">it is fair to assume </w:t>
      </w:r>
      <w:r w:rsidR="007A256E" w:rsidRPr="007E50F7">
        <w:t>the majority of the electric</w:t>
      </w:r>
      <w:r w:rsidR="00585D91" w:rsidRPr="007E50F7">
        <w:t>ity</w:t>
      </w:r>
      <w:r w:rsidR="007A256E" w:rsidRPr="007E50F7">
        <w:t xml:space="preserve"> usage for these </w:t>
      </w:r>
      <w:r w:rsidR="007A256E" w:rsidRPr="007E50F7">
        <w:lastRenderedPageBreak/>
        <w:t xml:space="preserve">customers is inelastic, </w:t>
      </w:r>
      <w:r w:rsidR="00116A80" w:rsidRPr="007E50F7">
        <w:t xml:space="preserve">because </w:t>
      </w:r>
      <w:r w:rsidR="007A256E" w:rsidRPr="007E50F7">
        <w:t>they would rely on some other fuel source for heating and possibl</w:t>
      </w:r>
      <w:r w:rsidR="00436D4F" w:rsidRPr="007E50F7">
        <w:t xml:space="preserve">y </w:t>
      </w:r>
      <w:r w:rsidR="007A256E" w:rsidRPr="007E50F7">
        <w:t>cooking and domestic hot water.</w:t>
      </w:r>
    </w:p>
    <w:p w14:paraId="6CFC0D2A" w14:textId="77777777" w:rsidR="0005488A" w:rsidRPr="007E50F7" w:rsidRDefault="0005488A" w:rsidP="0022334C">
      <w:pPr>
        <w:pStyle w:val="Answer-Testimony"/>
        <w:ind w:left="0" w:firstLine="0"/>
      </w:pPr>
    </w:p>
    <w:p w14:paraId="6CFC0D2B" w14:textId="77777777" w:rsidR="0005488A" w:rsidRPr="007E50F7" w:rsidRDefault="0005488A" w:rsidP="0022334C">
      <w:pPr>
        <w:pStyle w:val="Question-Testimony"/>
      </w:pPr>
      <w:r w:rsidRPr="007E50F7">
        <w:t>Q.</w:t>
      </w:r>
      <w:r w:rsidRPr="007E50F7">
        <w:tab/>
        <w:t>Please explain why Staff is proposing to increase the second block to 1,500 kWh.</w:t>
      </w:r>
    </w:p>
    <w:p w14:paraId="6CFC0D2C" w14:textId="77777777" w:rsidR="00B30897" w:rsidRPr="007E50F7" w:rsidRDefault="0005488A" w:rsidP="0022334C">
      <w:pPr>
        <w:pStyle w:val="Answer-Testimony"/>
      </w:pPr>
      <w:r w:rsidRPr="007E50F7">
        <w:t>A.</w:t>
      </w:r>
      <w:r w:rsidRPr="007E50F7">
        <w:tab/>
      </w:r>
      <w:r w:rsidR="00B000BA" w:rsidRPr="007E50F7">
        <w:t xml:space="preserve">1,500 kWh </w:t>
      </w:r>
      <w:r w:rsidR="00511931" w:rsidRPr="007E50F7">
        <w:t xml:space="preserve">represents </w:t>
      </w:r>
      <w:r w:rsidR="00B000BA" w:rsidRPr="007E50F7">
        <w:t xml:space="preserve">essential needs </w:t>
      </w:r>
      <w:r w:rsidR="00511931" w:rsidRPr="007E50F7">
        <w:t xml:space="preserve">usage </w:t>
      </w:r>
      <w:r w:rsidR="00B000BA" w:rsidRPr="007E50F7">
        <w:t>plus space heating</w:t>
      </w:r>
      <w:r w:rsidR="00511931" w:rsidRPr="007E50F7">
        <w:t>, also</w:t>
      </w:r>
      <w:r w:rsidR="00B000BA" w:rsidRPr="007E50F7">
        <w:t xml:space="preserve"> according to HUD</w:t>
      </w:r>
      <w:r w:rsidR="00B000BA" w:rsidRPr="007E50F7">
        <w:rPr>
          <w:rStyle w:val="FootnoteReference"/>
        </w:rPr>
        <w:footnoteReference w:id="15"/>
      </w:r>
      <w:r w:rsidR="00846AE2" w:rsidRPr="007E50F7">
        <w:t xml:space="preserve">.  Therefore, </w:t>
      </w:r>
      <w:r w:rsidRPr="007E50F7">
        <w:t>any</w:t>
      </w:r>
      <w:r w:rsidR="00846AE2" w:rsidRPr="007E50F7">
        <w:t xml:space="preserve"> usage o</w:t>
      </w:r>
      <w:r w:rsidRPr="007E50F7">
        <w:t xml:space="preserve">ver 1,500 kWh </w:t>
      </w:r>
      <w:r w:rsidR="00A144DC" w:rsidRPr="007E50F7">
        <w:t>sh</w:t>
      </w:r>
      <w:r w:rsidR="00846AE2" w:rsidRPr="007E50F7">
        <w:t xml:space="preserve">ould be considered </w:t>
      </w:r>
      <w:r w:rsidRPr="007E50F7">
        <w:t>discretionary</w:t>
      </w:r>
      <w:r w:rsidR="00846AE2" w:rsidRPr="007E50F7">
        <w:t>, or excessive, energy use</w:t>
      </w:r>
      <w:r w:rsidR="00511931" w:rsidRPr="007E50F7">
        <w:t xml:space="preserve"> and that should be the demarcation </w:t>
      </w:r>
      <w:r w:rsidR="00545CF5" w:rsidRPr="007E50F7">
        <w:t xml:space="preserve">between the second block and </w:t>
      </w:r>
      <w:r w:rsidR="00511931" w:rsidRPr="007E50F7">
        <w:t>the tail block</w:t>
      </w:r>
      <w:r w:rsidR="00846AE2" w:rsidRPr="007E50F7">
        <w:t>.</w:t>
      </w:r>
    </w:p>
    <w:p w14:paraId="6CFC0D2D" w14:textId="77777777" w:rsidR="00C24207" w:rsidRPr="007E50F7" w:rsidRDefault="00C24207" w:rsidP="0022334C">
      <w:pPr>
        <w:pStyle w:val="Answer-Testimony"/>
      </w:pPr>
    </w:p>
    <w:p w14:paraId="6CFC0D2E" w14:textId="77777777" w:rsidR="00C24207" w:rsidRPr="007E50F7" w:rsidRDefault="00C24207" w:rsidP="0022334C">
      <w:pPr>
        <w:pStyle w:val="Question-Testimony"/>
      </w:pPr>
      <w:r w:rsidRPr="007E50F7">
        <w:t>Q.</w:t>
      </w:r>
      <w:r w:rsidRPr="007E50F7">
        <w:tab/>
      </w:r>
      <w:r w:rsidR="00846AE2" w:rsidRPr="007E50F7">
        <w:t xml:space="preserve">Will </w:t>
      </w:r>
      <w:r w:rsidRPr="007E50F7">
        <w:t>increasing the volumetric blocks reduce price signals to conserve?</w:t>
      </w:r>
    </w:p>
    <w:p w14:paraId="6CFC0D2F" w14:textId="77777777" w:rsidR="00C0417E" w:rsidRPr="007E50F7" w:rsidRDefault="00C24207" w:rsidP="0022334C">
      <w:pPr>
        <w:pStyle w:val="Answer-Testimony"/>
      </w:pPr>
      <w:r w:rsidRPr="007E50F7">
        <w:t>A.</w:t>
      </w:r>
      <w:r w:rsidRPr="007E50F7">
        <w:tab/>
      </w:r>
      <w:r w:rsidR="001C422E" w:rsidRPr="007E50F7">
        <w:t xml:space="preserve">Yes and </w:t>
      </w:r>
      <w:r w:rsidR="00846AE2" w:rsidRPr="007E50F7">
        <w:t>n</w:t>
      </w:r>
      <w:r w:rsidR="001C422E" w:rsidRPr="007E50F7">
        <w:t xml:space="preserve">o.  </w:t>
      </w:r>
      <w:r w:rsidRPr="007E50F7">
        <w:t xml:space="preserve">Staff understands moving to a higher first block (i.e. more </w:t>
      </w:r>
      <w:proofErr w:type="spellStart"/>
      <w:r w:rsidRPr="007E50F7">
        <w:t>kWhs</w:t>
      </w:r>
      <w:proofErr w:type="spellEnd"/>
      <w:r w:rsidRPr="007E50F7">
        <w:t xml:space="preserve"> in the first block) </w:t>
      </w:r>
      <w:r w:rsidR="00846AE2" w:rsidRPr="007E50F7">
        <w:t xml:space="preserve">places </w:t>
      </w:r>
      <w:r w:rsidRPr="007E50F7">
        <w:t xml:space="preserve">a larger proportion of </w:t>
      </w:r>
      <w:r w:rsidR="00846AE2" w:rsidRPr="007E50F7">
        <w:t>a customer’s usage</w:t>
      </w:r>
      <w:r w:rsidRPr="007E50F7">
        <w:t xml:space="preserve"> in the first block</w:t>
      </w:r>
      <w:r w:rsidR="00846AE2" w:rsidRPr="007E50F7">
        <w:t>.</w:t>
      </w:r>
      <w:r w:rsidRPr="007E50F7">
        <w:t xml:space="preserve"> </w:t>
      </w:r>
      <w:r w:rsidR="00846AE2" w:rsidRPr="007E50F7">
        <w:t xml:space="preserve"> This slightly reduces </w:t>
      </w:r>
      <w:r w:rsidRPr="007E50F7">
        <w:t>the effect of</w:t>
      </w:r>
      <w:r w:rsidR="00846AE2" w:rsidRPr="007E50F7">
        <w:t xml:space="preserve"> conservation-oriented</w:t>
      </w:r>
      <w:r w:rsidRPr="007E50F7">
        <w:t xml:space="preserve"> price signal</w:t>
      </w:r>
      <w:r w:rsidR="00846AE2" w:rsidRPr="007E50F7">
        <w:t>s</w:t>
      </w:r>
      <w:r w:rsidRPr="007E50F7">
        <w:t xml:space="preserve"> for customers</w:t>
      </w:r>
      <w:r w:rsidR="00116A80" w:rsidRPr="007E50F7">
        <w:t xml:space="preserve">, because </w:t>
      </w:r>
      <w:r w:rsidR="00846AE2" w:rsidRPr="007E50F7">
        <w:t>a larger amount of energy consumption can o</w:t>
      </w:r>
      <w:r w:rsidR="00C0417E" w:rsidRPr="007E50F7">
        <w:t>ccur at a slightly lower cost.</w:t>
      </w:r>
    </w:p>
    <w:p w14:paraId="6CFC0D30" w14:textId="77777777" w:rsidR="00C0417E" w:rsidRPr="007E50F7" w:rsidRDefault="00C24207" w:rsidP="0022334C">
      <w:pPr>
        <w:pStyle w:val="Answer-Testimony"/>
        <w:ind w:firstLine="720"/>
      </w:pPr>
      <w:r w:rsidRPr="007E50F7">
        <w:t xml:space="preserve">However, </w:t>
      </w:r>
      <w:r w:rsidR="009A5297" w:rsidRPr="007E50F7">
        <w:t>the Commission</w:t>
      </w:r>
      <w:r w:rsidR="00C0417E" w:rsidRPr="007E50F7">
        <w:t>’s</w:t>
      </w:r>
      <w:r w:rsidR="009A5297" w:rsidRPr="007E50F7">
        <w:t xml:space="preserve"> focus </w:t>
      </w:r>
      <w:r w:rsidRPr="007E50F7">
        <w:t xml:space="preserve">should be </w:t>
      </w:r>
      <w:r w:rsidR="009A5297" w:rsidRPr="007E50F7">
        <w:t xml:space="preserve">on </w:t>
      </w:r>
      <w:r w:rsidR="00116A80" w:rsidRPr="007E50F7">
        <w:t xml:space="preserve">residential </w:t>
      </w:r>
      <w:r w:rsidRPr="007E50F7">
        <w:t xml:space="preserve">customers </w:t>
      </w:r>
      <w:r w:rsidR="00116A80" w:rsidRPr="007E50F7">
        <w:t xml:space="preserve">that </w:t>
      </w:r>
      <w:r w:rsidRPr="007E50F7">
        <w:t>us</w:t>
      </w:r>
      <w:r w:rsidR="00116A80" w:rsidRPr="007E50F7">
        <w:t>e</w:t>
      </w:r>
      <w:r w:rsidRPr="007E50F7">
        <w:t xml:space="preserve"> </w:t>
      </w:r>
      <w:r w:rsidR="009A5297" w:rsidRPr="007E50F7">
        <w:t>four</w:t>
      </w:r>
      <w:r w:rsidRPr="007E50F7">
        <w:t xml:space="preserve"> or </w:t>
      </w:r>
      <w:r w:rsidR="009A5297" w:rsidRPr="007E50F7">
        <w:t>five,</w:t>
      </w:r>
      <w:r w:rsidRPr="007E50F7">
        <w:t xml:space="preserve"> o</w:t>
      </w:r>
      <w:r w:rsidR="00116A80" w:rsidRPr="007E50F7">
        <w:t>r</w:t>
      </w:r>
      <w:r w:rsidRPr="007E50F7">
        <w:t xml:space="preserve"> up to 20 times</w:t>
      </w:r>
      <w:r w:rsidR="009A5297" w:rsidRPr="007E50F7">
        <w:t>,</w:t>
      </w:r>
      <w:r w:rsidRPr="007E50F7">
        <w:t xml:space="preserve"> the average monthly system usage</w:t>
      </w:r>
      <w:r w:rsidR="00F96E4E" w:rsidRPr="007E50F7">
        <w:t>.</w:t>
      </w:r>
      <w:r w:rsidRPr="007E50F7">
        <w:rPr>
          <w:rStyle w:val="FootnoteReference"/>
        </w:rPr>
        <w:footnoteReference w:id="16"/>
      </w:r>
      <w:r w:rsidRPr="007E50F7">
        <w:t xml:space="preserve">  </w:t>
      </w:r>
      <w:r w:rsidR="009A5297" w:rsidRPr="007E50F7">
        <w:t>For conservation reasons, the Company</w:t>
      </w:r>
      <w:r w:rsidR="001C422E" w:rsidRPr="007E50F7">
        <w:t xml:space="preserve"> and ratepayers</w:t>
      </w:r>
      <w:r w:rsidR="009A5297" w:rsidRPr="007E50F7">
        <w:t xml:space="preserve"> would see a bigger </w:t>
      </w:r>
      <w:r w:rsidR="001C422E" w:rsidRPr="007E50F7">
        <w:t>reduction</w:t>
      </w:r>
      <w:r w:rsidR="009A5297" w:rsidRPr="007E50F7">
        <w:t xml:space="preserve"> </w:t>
      </w:r>
      <w:r w:rsidR="001C422E" w:rsidRPr="007E50F7">
        <w:t xml:space="preserve">in system loads </w:t>
      </w:r>
      <w:r w:rsidR="009A5297" w:rsidRPr="007E50F7">
        <w:t>because customers</w:t>
      </w:r>
      <w:r w:rsidRPr="007E50F7">
        <w:t xml:space="preserve"> </w:t>
      </w:r>
      <w:r w:rsidR="00116A80" w:rsidRPr="007E50F7">
        <w:t xml:space="preserve">using </w:t>
      </w:r>
      <w:r w:rsidRPr="007E50F7">
        <w:t>over four times the average monthly system usage</w:t>
      </w:r>
      <w:r w:rsidR="00116A80" w:rsidRPr="007E50F7">
        <w:t xml:space="preserve"> likely have more opportunity to </w:t>
      </w:r>
      <w:r w:rsidR="00545CF5" w:rsidRPr="007E50F7">
        <w:t>reduce their usage</w:t>
      </w:r>
      <w:r w:rsidRPr="007E50F7">
        <w:t>.</w:t>
      </w:r>
    </w:p>
    <w:p w14:paraId="6CFC0D31" w14:textId="77777777" w:rsidR="00C24207" w:rsidRPr="007E50F7" w:rsidRDefault="009A5297" w:rsidP="0022334C">
      <w:pPr>
        <w:pStyle w:val="Answer-Testimony"/>
        <w:ind w:firstLine="720"/>
      </w:pPr>
      <w:r w:rsidRPr="007E50F7">
        <w:t xml:space="preserve">For example, a </w:t>
      </w:r>
      <w:r w:rsidR="000220EF" w:rsidRPr="007E50F7">
        <w:t>20 percent</w:t>
      </w:r>
      <w:r w:rsidR="00C0417E" w:rsidRPr="007E50F7">
        <w:t xml:space="preserve"> reduction in usage</w:t>
      </w:r>
      <w:r w:rsidRPr="007E50F7">
        <w:t xml:space="preserve"> from 600 kWh would be 120 kWh</w:t>
      </w:r>
      <w:r w:rsidR="00EC74C4" w:rsidRPr="007E50F7">
        <w:t xml:space="preserve"> </w:t>
      </w:r>
      <w:r w:rsidR="00C0417E" w:rsidRPr="007E50F7">
        <w:t xml:space="preserve">less per month, which is the </w:t>
      </w:r>
      <w:r w:rsidR="00EC74C4" w:rsidRPr="007E50F7">
        <w:t xml:space="preserve">equivalent </w:t>
      </w:r>
      <w:r w:rsidR="00C0417E" w:rsidRPr="007E50F7">
        <w:t xml:space="preserve">of </w:t>
      </w:r>
      <w:r w:rsidR="00EC74C4" w:rsidRPr="007E50F7">
        <w:t>not cooking for an entire month</w:t>
      </w:r>
      <w:r w:rsidR="00C0417E" w:rsidRPr="007E50F7">
        <w:t>,</w:t>
      </w:r>
      <w:r w:rsidRPr="007E50F7">
        <w:t xml:space="preserve"> leaving a net of 480 kWh</w:t>
      </w:r>
      <w:r w:rsidR="00C0417E" w:rsidRPr="007E50F7">
        <w:t xml:space="preserve">.  A 20 percent reduction </w:t>
      </w:r>
      <w:r w:rsidRPr="007E50F7">
        <w:t>f</w:t>
      </w:r>
      <w:r w:rsidR="000220EF" w:rsidRPr="007E50F7">
        <w:t>rom</w:t>
      </w:r>
      <w:r w:rsidRPr="007E50F7">
        <w:t xml:space="preserve"> 4,000 kWh would be 800 </w:t>
      </w:r>
      <w:r w:rsidRPr="007E50F7">
        <w:lastRenderedPageBreak/>
        <w:t xml:space="preserve">kWh </w:t>
      </w:r>
      <w:r w:rsidR="00C0417E" w:rsidRPr="007E50F7">
        <w:t xml:space="preserve">less each month, which is </w:t>
      </w:r>
      <w:r w:rsidR="00E16125" w:rsidRPr="007E50F7">
        <w:t xml:space="preserve">greater than </w:t>
      </w:r>
      <w:r w:rsidR="0049367F" w:rsidRPr="007E50F7">
        <w:t xml:space="preserve">what HUD indicates </w:t>
      </w:r>
      <w:r w:rsidR="000220EF" w:rsidRPr="007E50F7">
        <w:t xml:space="preserve">is needed </w:t>
      </w:r>
      <w:r w:rsidR="00E16125" w:rsidRPr="007E50F7">
        <w:t xml:space="preserve">to heat </w:t>
      </w:r>
      <w:r w:rsidR="0049367F" w:rsidRPr="007E50F7">
        <w:t xml:space="preserve">the average </w:t>
      </w:r>
      <w:r w:rsidR="000220EF" w:rsidRPr="007E50F7">
        <w:t xml:space="preserve">2 to 2.5 </w:t>
      </w:r>
      <w:r w:rsidR="00A46AAD" w:rsidRPr="007E50F7">
        <w:t>bedroom dwelling unit</w:t>
      </w:r>
      <w:r w:rsidR="00A34925" w:rsidRPr="007E50F7">
        <w:t xml:space="preserve"> </w:t>
      </w:r>
      <w:r w:rsidR="0049367F" w:rsidRPr="007E50F7">
        <w:t>f</w:t>
      </w:r>
      <w:r w:rsidR="00E16125" w:rsidRPr="007E50F7">
        <w:t xml:space="preserve">or </w:t>
      </w:r>
      <w:r w:rsidR="0049367F" w:rsidRPr="007E50F7">
        <w:t>a</w:t>
      </w:r>
      <w:r w:rsidR="00E16125" w:rsidRPr="007E50F7">
        <w:t xml:space="preserve"> month</w:t>
      </w:r>
      <w:r w:rsidR="00C0417E" w:rsidRPr="007E50F7">
        <w:t>,</w:t>
      </w:r>
      <w:r w:rsidR="00E16125" w:rsidRPr="007E50F7">
        <w:t xml:space="preserve"> </w:t>
      </w:r>
      <w:r w:rsidRPr="007E50F7">
        <w:t>leaving a net of 3,200 kWh</w:t>
      </w:r>
      <w:r w:rsidR="00EC74C4" w:rsidRPr="007E50F7">
        <w:t>, which is still over three times the average monthly usage of 1,019</w:t>
      </w:r>
      <w:r w:rsidR="00A34925" w:rsidRPr="007E50F7">
        <w:t xml:space="preserve"> kWh</w:t>
      </w:r>
      <w:r w:rsidR="00E16125" w:rsidRPr="007E50F7">
        <w:t xml:space="preserve"> for Residential Schedule 1 customers</w:t>
      </w:r>
      <w:r w:rsidRPr="007E50F7">
        <w:t>.</w:t>
      </w:r>
    </w:p>
    <w:p w14:paraId="6CFC0D32" w14:textId="77777777" w:rsidR="007A1C45" w:rsidRPr="007E50F7" w:rsidRDefault="007A1C45" w:rsidP="0022334C">
      <w:pPr>
        <w:pStyle w:val="Answer-Testimony"/>
      </w:pPr>
    </w:p>
    <w:p w14:paraId="6CFC0D33" w14:textId="77777777" w:rsidR="007A1C45" w:rsidRPr="007E50F7" w:rsidRDefault="007A1C45" w:rsidP="0022334C">
      <w:pPr>
        <w:pStyle w:val="Question-Testimony"/>
      </w:pPr>
      <w:r w:rsidRPr="007E50F7">
        <w:t>Q.</w:t>
      </w:r>
      <w:r w:rsidRPr="007E50F7">
        <w:tab/>
        <w:t>Does Avista propose any changes to the existing rate blocks in the Residential Schedule 1?</w:t>
      </w:r>
    </w:p>
    <w:p w14:paraId="6CFC0D34" w14:textId="4A9C08E7" w:rsidR="007A1C45" w:rsidRDefault="007A1C45" w:rsidP="0022334C">
      <w:pPr>
        <w:pStyle w:val="Answer-Testimony"/>
      </w:pPr>
      <w:r w:rsidRPr="007E50F7">
        <w:t>A.</w:t>
      </w:r>
      <w:r w:rsidRPr="007E50F7">
        <w:tab/>
        <w:t>No.</w:t>
      </w:r>
      <w:r w:rsidR="0088742F">
        <w:br/>
      </w:r>
    </w:p>
    <w:p w14:paraId="5F0E617B" w14:textId="38D2C484" w:rsidR="0088742F" w:rsidRPr="0088742F" w:rsidRDefault="0088742F" w:rsidP="00E05828">
      <w:pPr>
        <w:pStyle w:val="Answer-Testimony"/>
        <w:outlineLvl w:val="2"/>
        <w:rPr>
          <w:b/>
        </w:rPr>
      </w:pPr>
      <w:r w:rsidRPr="0088742F">
        <w:rPr>
          <w:b/>
        </w:rPr>
        <w:tab/>
      </w:r>
      <w:r>
        <w:rPr>
          <w:b/>
        </w:rPr>
        <w:tab/>
      </w:r>
      <w:bookmarkStart w:id="11" w:name="_Toc335809617"/>
      <w:r w:rsidRPr="0088742F">
        <w:rPr>
          <w:b/>
        </w:rPr>
        <w:t>3.</w:t>
      </w:r>
      <w:r w:rsidRPr="0088742F">
        <w:rPr>
          <w:b/>
        </w:rPr>
        <w:tab/>
        <w:t>Volumetric Rates</w:t>
      </w:r>
      <w:bookmarkEnd w:id="11"/>
      <w:r w:rsidRPr="0088742F">
        <w:rPr>
          <w:b/>
        </w:rPr>
        <w:t xml:space="preserve"> </w:t>
      </w:r>
    </w:p>
    <w:p w14:paraId="6CFC0D35" w14:textId="77777777" w:rsidR="0022334C" w:rsidRPr="007E50F7" w:rsidRDefault="0022334C" w:rsidP="0022334C">
      <w:pPr>
        <w:pStyle w:val="Answer-Testimony"/>
      </w:pPr>
    </w:p>
    <w:p w14:paraId="6CFC0D38" w14:textId="77777777" w:rsidR="008A14BC" w:rsidRPr="007E50F7" w:rsidRDefault="008A14BC" w:rsidP="008A14BC">
      <w:pPr>
        <w:pStyle w:val="Question-Testimony"/>
      </w:pPr>
      <w:r w:rsidRPr="007E50F7">
        <w:t>Q.</w:t>
      </w:r>
      <w:r w:rsidRPr="007E50F7">
        <w:tab/>
        <w:t xml:space="preserve">Please describe and explain </w:t>
      </w:r>
      <w:r w:rsidR="000220EF" w:rsidRPr="007E50F7">
        <w:t>Staff’s third</w:t>
      </w:r>
      <w:r w:rsidRPr="007E50F7">
        <w:t xml:space="preserve"> </w:t>
      </w:r>
      <w:r w:rsidR="007A1C45" w:rsidRPr="007E50F7">
        <w:t>proposal i</w:t>
      </w:r>
      <w:r w:rsidRPr="007E50F7">
        <w:t>n the electric rate design, set</w:t>
      </w:r>
      <w:r w:rsidR="00846AE2" w:rsidRPr="007E50F7">
        <w:t>ting</w:t>
      </w:r>
      <w:r w:rsidRPr="007E50F7">
        <w:t xml:space="preserve"> a </w:t>
      </w:r>
      <w:r w:rsidR="00322669" w:rsidRPr="007E50F7">
        <w:t xml:space="preserve">uniform percentage increase for </w:t>
      </w:r>
      <w:r w:rsidRPr="007E50F7">
        <w:t>volumetric rate</w:t>
      </w:r>
      <w:r w:rsidR="00322669" w:rsidRPr="007E50F7">
        <w:t>s</w:t>
      </w:r>
      <w:r w:rsidRPr="007E50F7">
        <w:t xml:space="preserve"> in Schedule 1.</w:t>
      </w:r>
    </w:p>
    <w:p w14:paraId="6CFC0D39" w14:textId="77777777" w:rsidR="007A1C45" w:rsidRPr="007E50F7" w:rsidRDefault="008A14BC" w:rsidP="00967FB4">
      <w:pPr>
        <w:pStyle w:val="Answer-Testimony"/>
      </w:pPr>
      <w:r w:rsidRPr="007E50F7">
        <w:t>A.</w:t>
      </w:r>
      <w:r w:rsidRPr="007E50F7">
        <w:tab/>
      </w:r>
      <w:r w:rsidR="0045672A" w:rsidRPr="007E50F7">
        <w:t xml:space="preserve">Staff </w:t>
      </w:r>
      <w:r w:rsidR="00E62576" w:rsidRPr="007E50F7">
        <w:t xml:space="preserve">recommends </w:t>
      </w:r>
      <w:r w:rsidR="007A1C45" w:rsidRPr="007E50F7">
        <w:t xml:space="preserve">the Commission </w:t>
      </w:r>
      <w:r w:rsidR="00385622" w:rsidRPr="007E50F7">
        <w:t>apply a</w:t>
      </w:r>
      <w:r w:rsidR="0045672A" w:rsidRPr="007E50F7">
        <w:t xml:space="preserve"> uniform percentage increase for </w:t>
      </w:r>
      <w:r w:rsidR="00385622" w:rsidRPr="007E50F7">
        <w:t xml:space="preserve">all </w:t>
      </w:r>
      <w:r w:rsidR="00E62576" w:rsidRPr="007E50F7">
        <w:t xml:space="preserve">volumetric rates in </w:t>
      </w:r>
      <w:r w:rsidR="00E16125" w:rsidRPr="007E50F7">
        <w:t xml:space="preserve">Residential </w:t>
      </w:r>
      <w:r w:rsidR="00E62576" w:rsidRPr="007E50F7">
        <w:t>Schedule 1</w:t>
      </w:r>
      <w:r w:rsidR="007A1C45" w:rsidRPr="007E50F7">
        <w:t xml:space="preserve">.  This will </w:t>
      </w:r>
      <w:r w:rsidR="00827A83" w:rsidRPr="007E50F7">
        <w:t>maintain consistency between the rates</w:t>
      </w:r>
      <w:r w:rsidR="007A1C45" w:rsidRPr="007E50F7">
        <w:t>.</w:t>
      </w:r>
    </w:p>
    <w:p w14:paraId="6CFC0D3A" w14:textId="77777777" w:rsidR="007A1C45" w:rsidRPr="007E50F7" w:rsidRDefault="007A1C45" w:rsidP="007A1C45">
      <w:pPr>
        <w:pStyle w:val="Answer-Testimony"/>
      </w:pPr>
    </w:p>
    <w:p w14:paraId="6CFC0D3B" w14:textId="77777777" w:rsidR="007A1C45" w:rsidRPr="007E50F7" w:rsidRDefault="007A1C45" w:rsidP="007A1C45">
      <w:pPr>
        <w:pStyle w:val="Question-Testimony"/>
      </w:pPr>
      <w:r w:rsidRPr="007E50F7">
        <w:t>Q.</w:t>
      </w:r>
      <w:r w:rsidRPr="007E50F7">
        <w:tab/>
        <w:t>How does Staff’s uniform percent</w:t>
      </w:r>
      <w:r w:rsidR="00545CF5" w:rsidRPr="007E50F7">
        <w:t>age</w:t>
      </w:r>
      <w:r w:rsidRPr="007E50F7">
        <w:t xml:space="preserve"> increase to each block compare to Avista’s proposal?</w:t>
      </w:r>
    </w:p>
    <w:p w14:paraId="6CFC0D3C" w14:textId="77777777" w:rsidR="00545CF5" w:rsidRPr="007E50F7" w:rsidRDefault="007A1C45" w:rsidP="00967FB4">
      <w:pPr>
        <w:pStyle w:val="Answer-Testimony"/>
      </w:pPr>
      <w:r w:rsidRPr="007E50F7">
        <w:t>A.</w:t>
      </w:r>
      <w:r w:rsidRPr="007E50F7">
        <w:tab/>
        <w:t xml:space="preserve">Avista proposes </w:t>
      </w:r>
      <w:r w:rsidR="00EB0A1F" w:rsidRPr="007E50F7">
        <w:t>a flat cent increase</w:t>
      </w:r>
      <w:r w:rsidRPr="007E50F7">
        <w:t xml:space="preserve"> of </w:t>
      </w:r>
      <w:r w:rsidR="00140E11" w:rsidRPr="007E50F7">
        <w:t>0.343 cents per kWh</w:t>
      </w:r>
      <w:r w:rsidRPr="007E50F7">
        <w:t xml:space="preserve"> to each block</w:t>
      </w:r>
      <w:r w:rsidR="00E62576" w:rsidRPr="007E50F7">
        <w:rPr>
          <w:rStyle w:val="FootnoteReference"/>
        </w:rPr>
        <w:footnoteReference w:id="17"/>
      </w:r>
      <w:r w:rsidR="005F7B96" w:rsidRPr="007E50F7">
        <w:t>.</w:t>
      </w:r>
      <w:r w:rsidR="00EB0A1F" w:rsidRPr="007E50F7">
        <w:t xml:space="preserve">  </w:t>
      </w:r>
    </w:p>
    <w:p w14:paraId="6CFC0D3D" w14:textId="77777777" w:rsidR="00545CF5" w:rsidRPr="007E50F7" w:rsidRDefault="00545CF5" w:rsidP="00967FB4">
      <w:pPr>
        <w:pStyle w:val="Answer-Testimony"/>
      </w:pPr>
    </w:p>
    <w:p w14:paraId="6CFC0D3E" w14:textId="77777777" w:rsidR="00545CF5" w:rsidRPr="007E50F7" w:rsidRDefault="00545CF5" w:rsidP="00342685">
      <w:pPr>
        <w:pStyle w:val="Answer-Testimony"/>
        <w:keepNext/>
        <w:rPr>
          <w:b/>
        </w:rPr>
      </w:pPr>
      <w:r w:rsidRPr="007E50F7">
        <w:rPr>
          <w:b/>
        </w:rPr>
        <w:lastRenderedPageBreak/>
        <w:t>Q.</w:t>
      </w:r>
      <w:r w:rsidRPr="007E50F7">
        <w:rPr>
          <w:b/>
        </w:rPr>
        <w:tab/>
        <w:t>Is Avista’s proposal fair?</w:t>
      </w:r>
    </w:p>
    <w:p w14:paraId="6CFC0D3F" w14:textId="77777777" w:rsidR="00140E11" w:rsidRPr="007E50F7" w:rsidRDefault="00545CF5" w:rsidP="00967FB4">
      <w:pPr>
        <w:pStyle w:val="Answer-Testimony"/>
      </w:pPr>
      <w:r w:rsidRPr="007E50F7">
        <w:t>A.</w:t>
      </w:r>
      <w:r w:rsidRPr="007E50F7">
        <w:tab/>
        <w:t xml:space="preserve">No.  </w:t>
      </w:r>
      <w:r w:rsidR="00EB0A1F" w:rsidRPr="007E50F7">
        <w:t>On the surface</w:t>
      </w:r>
      <w:r w:rsidR="00A34925" w:rsidRPr="007E50F7">
        <w:t>,</w:t>
      </w:r>
      <w:r w:rsidR="00EB0A1F" w:rsidRPr="007E50F7">
        <w:t xml:space="preserve"> </w:t>
      </w:r>
      <w:r w:rsidR="00385622" w:rsidRPr="007E50F7">
        <w:t xml:space="preserve">a flat cent increase </w:t>
      </w:r>
      <w:r w:rsidRPr="007E50F7">
        <w:t xml:space="preserve">may </w:t>
      </w:r>
      <w:r w:rsidR="00EB0A1F" w:rsidRPr="007E50F7">
        <w:t>seem fair and equitable</w:t>
      </w:r>
      <w:r w:rsidR="00846AE2" w:rsidRPr="007E50F7">
        <w:t xml:space="preserve">.  However, </w:t>
      </w:r>
      <w:r w:rsidR="00871CF5" w:rsidRPr="007E50F7">
        <w:t>a one cent ($0.01) increase on six cents ($0.06) is a great</w:t>
      </w:r>
      <w:r w:rsidR="00561F1A" w:rsidRPr="007E50F7">
        <w:t>er</w:t>
      </w:r>
      <w:r w:rsidR="00871CF5" w:rsidRPr="007E50F7">
        <w:t xml:space="preserve"> percentage increase compared to a one cent ($0.01) increase on nine cents ($0.09).  </w:t>
      </w:r>
      <w:r w:rsidR="00846AE2" w:rsidRPr="007E50F7">
        <w:t>This means that, in effect, the</w:t>
      </w:r>
      <w:r w:rsidR="00140E11" w:rsidRPr="007E50F7">
        <w:t xml:space="preserve"> Company is proposing to place </w:t>
      </w:r>
      <w:r w:rsidR="00A34925" w:rsidRPr="007E50F7">
        <w:t>a greater burden on low-</w:t>
      </w:r>
      <w:r w:rsidR="00846AE2" w:rsidRPr="007E50F7">
        <w:t>us</w:t>
      </w:r>
      <w:r w:rsidR="00A34925" w:rsidRPr="007E50F7">
        <w:t>ag</w:t>
      </w:r>
      <w:r w:rsidR="00846AE2" w:rsidRPr="007E50F7">
        <w:t>e customers</w:t>
      </w:r>
      <w:r w:rsidR="00140E11" w:rsidRPr="007E50F7">
        <w:t>,</w:t>
      </w:r>
      <w:r w:rsidR="00846AE2" w:rsidRPr="007E50F7">
        <w:t xml:space="preserve"> with the increases getting progressively smaller the more </w:t>
      </w:r>
      <w:r w:rsidRPr="007E50F7">
        <w:t xml:space="preserve">electricity </w:t>
      </w:r>
      <w:r w:rsidR="00846AE2" w:rsidRPr="007E50F7">
        <w:t>a customer uses</w:t>
      </w:r>
      <w:r w:rsidR="00EB0A1F" w:rsidRPr="007E50F7">
        <w:t>.</w:t>
      </w:r>
    </w:p>
    <w:p w14:paraId="6CFC0D40" w14:textId="77777777" w:rsidR="00140E11" w:rsidRPr="007E50F7" w:rsidRDefault="00140E11" w:rsidP="00140E11">
      <w:pPr>
        <w:pStyle w:val="Answer-Testimony"/>
      </w:pPr>
    </w:p>
    <w:p w14:paraId="6CFC0D41" w14:textId="77777777" w:rsidR="00140E11" w:rsidRPr="007E50F7" w:rsidRDefault="00140E11" w:rsidP="00140E11">
      <w:pPr>
        <w:pStyle w:val="Question-Testimony"/>
      </w:pPr>
      <w:r w:rsidRPr="007E50F7">
        <w:t>Q.</w:t>
      </w:r>
      <w:r w:rsidRPr="007E50F7">
        <w:tab/>
        <w:t>Can you quantify this disparate effect created by Avista’s proposal?</w:t>
      </w:r>
    </w:p>
    <w:p w14:paraId="6CFC0D42" w14:textId="77777777" w:rsidR="00532D68" w:rsidRPr="007E50F7" w:rsidRDefault="00140E11" w:rsidP="008344C0">
      <w:pPr>
        <w:pStyle w:val="Answer-Testimony"/>
      </w:pPr>
      <w:r w:rsidRPr="007E50F7">
        <w:t>A.</w:t>
      </w:r>
      <w:r w:rsidRPr="007E50F7">
        <w:tab/>
        <w:t>Yes.  Table</w:t>
      </w:r>
      <w:r w:rsidR="0036396B" w:rsidRPr="007E50F7">
        <w:t xml:space="preserve"> 5</w:t>
      </w:r>
      <w:r w:rsidRPr="007E50F7">
        <w:t xml:space="preserve"> below </w:t>
      </w:r>
      <w:r w:rsidR="009C3ACB" w:rsidRPr="007E50F7">
        <w:t>illustrate</w:t>
      </w:r>
      <w:r w:rsidRPr="007E50F7">
        <w:t>s</w:t>
      </w:r>
      <w:r w:rsidR="009C3ACB" w:rsidRPr="007E50F7">
        <w:t xml:space="preserve"> the effects o</w:t>
      </w:r>
      <w:r w:rsidR="00385622" w:rsidRPr="007E50F7">
        <w:t>f a flat cent increase</w:t>
      </w:r>
      <w:r w:rsidR="009C3ACB" w:rsidRPr="007E50F7">
        <w:t>.</w:t>
      </w:r>
      <w:r w:rsidR="00A34925" w:rsidRPr="007E50F7">
        <w:rPr>
          <w:rStyle w:val="FootnoteReference"/>
        </w:rPr>
        <w:footnoteReference w:id="18"/>
      </w:r>
    </w:p>
    <w:tbl>
      <w:tblPr>
        <w:tblpPr w:leftFromText="187" w:rightFromText="187" w:vertAnchor="text" w:horzAnchor="page" w:tblpX="2634" w:tblpY="818"/>
        <w:tblOverlap w:val="never"/>
        <w:tblW w:w="8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2"/>
        <w:gridCol w:w="1070"/>
        <w:gridCol w:w="1403"/>
        <w:gridCol w:w="1349"/>
        <w:gridCol w:w="1070"/>
        <w:gridCol w:w="1235"/>
        <w:gridCol w:w="1349"/>
      </w:tblGrid>
      <w:tr w:rsidR="007E50F7" w:rsidRPr="007E50F7" w14:paraId="6CFC0D45" w14:textId="77777777" w:rsidTr="003466EE">
        <w:trPr>
          <w:cantSplit/>
          <w:trHeight w:val="496"/>
        </w:trPr>
        <w:tc>
          <w:tcPr>
            <w:tcW w:w="0" w:type="auto"/>
            <w:vMerge w:val="restart"/>
            <w:vAlign w:val="bottom"/>
          </w:tcPr>
          <w:p w14:paraId="6CFC0D43" w14:textId="77777777" w:rsidR="00AD448F" w:rsidRPr="007E50F7" w:rsidRDefault="00AD448F" w:rsidP="003466EE">
            <w:pPr>
              <w:pStyle w:val="answer"/>
              <w:keepNext/>
              <w:spacing w:before="60" w:after="60" w:line="240" w:lineRule="auto"/>
              <w:ind w:left="0" w:firstLine="0"/>
              <w:jc w:val="center"/>
              <w:rPr>
                <w:b/>
              </w:rPr>
            </w:pPr>
            <w:r w:rsidRPr="007E50F7">
              <w:rPr>
                <w:b/>
              </w:rPr>
              <w:t>Usage in kWh</w:t>
            </w:r>
          </w:p>
        </w:tc>
        <w:tc>
          <w:tcPr>
            <w:tcW w:w="0" w:type="auto"/>
            <w:gridSpan w:val="6"/>
            <w:vAlign w:val="center"/>
          </w:tcPr>
          <w:p w14:paraId="6CFC0D44" w14:textId="77777777" w:rsidR="00AD448F" w:rsidRPr="007E50F7" w:rsidRDefault="00AD448F" w:rsidP="009219D4">
            <w:pPr>
              <w:pStyle w:val="answer"/>
              <w:keepNext/>
              <w:spacing w:before="60" w:after="60" w:line="240" w:lineRule="auto"/>
              <w:ind w:left="0" w:firstLine="0"/>
              <w:jc w:val="center"/>
              <w:rPr>
                <w:b/>
              </w:rPr>
            </w:pPr>
            <w:r w:rsidRPr="007E50F7">
              <w:rPr>
                <w:b/>
              </w:rPr>
              <w:t>Total Residential Bill</w:t>
            </w:r>
          </w:p>
        </w:tc>
      </w:tr>
      <w:tr w:rsidR="007E50F7" w:rsidRPr="007E50F7" w14:paraId="6CFC0D4D" w14:textId="77777777" w:rsidTr="003466EE">
        <w:trPr>
          <w:cantSplit/>
          <w:trHeight w:val="184"/>
        </w:trPr>
        <w:tc>
          <w:tcPr>
            <w:tcW w:w="0" w:type="auto"/>
            <w:vMerge/>
            <w:vAlign w:val="center"/>
          </w:tcPr>
          <w:p w14:paraId="6CFC0D46" w14:textId="77777777" w:rsidR="00AD448F" w:rsidRPr="007E50F7" w:rsidRDefault="00AD448F" w:rsidP="00AD448F">
            <w:pPr>
              <w:pStyle w:val="answer"/>
              <w:keepNext/>
              <w:spacing w:before="60" w:after="60" w:line="240" w:lineRule="auto"/>
              <w:ind w:left="0" w:firstLine="0"/>
              <w:jc w:val="center"/>
              <w:rPr>
                <w:b/>
              </w:rPr>
            </w:pPr>
          </w:p>
        </w:tc>
        <w:tc>
          <w:tcPr>
            <w:tcW w:w="0" w:type="auto"/>
            <w:vAlign w:val="bottom"/>
          </w:tcPr>
          <w:p w14:paraId="6CFC0D47" w14:textId="77777777" w:rsidR="00AD448F" w:rsidRPr="007E50F7" w:rsidRDefault="00AD448F" w:rsidP="003466EE">
            <w:pPr>
              <w:pStyle w:val="answer"/>
              <w:keepNext/>
              <w:spacing w:before="60" w:after="60" w:line="240" w:lineRule="auto"/>
              <w:ind w:left="0" w:firstLine="0"/>
              <w:jc w:val="center"/>
              <w:rPr>
                <w:b/>
              </w:rPr>
            </w:pPr>
            <w:r w:rsidRPr="007E50F7">
              <w:rPr>
                <w:b/>
              </w:rPr>
              <w:t>Current</w:t>
            </w:r>
          </w:p>
        </w:tc>
        <w:tc>
          <w:tcPr>
            <w:tcW w:w="0" w:type="auto"/>
            <w:vAlign w:val="bottom"/>
          </w:tcPr>
          <w:p w14:paraId="6CFC0D48" w14:textId="77777777" w:rsidR="00AD448F" w:rsidRPr="007E50F7" w:rsidRDefault="00AD448F" w:rsidP="003466EE">
            <w:pPr>
              <w:pStyle w:val="answer"/>
              <w:keepNext/>
              <w:spacing w:before="60" w:after="60" w:line="240" w:lineRule="auto"/>
              <w:ind w:left="0" w:firstLine="0"/>
              <w:jc w:val="center"/>
              <w:rPr>
                <w:b/>
              </w:rPr>
            </w:pPr>
            <w:r w:rsidRPr="007E50F7">
              <w:rPr>
                <w:b/>
              </w:rPr>
              <w:t>Company Proposal</w:t>
            </w:r>
          </w:p>
        </w:tc>
        <w:tc>
          <w:tcPr>
            <w:tcW w:w="0" w:type="auto"/>
            <w:vAlign w:val="bottom"/>
          </w:tcPr>
          <w:p w14:paraId="6CFC0D49" w14:textId="77777777" w:rsidR="00AD448F" w:rsidRPr="007E50F7" w:rsidRDefault="00AD448F" w:rsidP="003466EE">
            <w:pPr>
              <w:pStyle w:val="answer"/>
              <w:keepNext/>
              <w:spacing w:before="60" w:after="60" w:line="240" w:lineRule="auto"/>
              <w:ind w:left="0" w:firstLine="0"/>
              <w:jc w:val="center"/>
              <w:rPr>
                <w:b/>
              </w:rPr>
            </w:pPr>
            <w:r w:rsidRPr="007E50F7">
              <w:rPr>
                <w:b/>
              </w:rPr>
              <w:t>% Difference</w:t>
            </w:r>
          </w:p>
        </w:tc>
        <w:tc>
          <w:tcPr>
            <w:tcW w:w="0" w:type="auto"/>
            <w:vAlign w:val="bottom"/>
          </w:tcPr>
          <w:p w14:paraId="6CFC0D4A" w14:textId="77777777" w:rsidR="00AD448F" w:rsidRPr="007E50F7" w:rsidRDefault="00AD448F" w:rsidP="003466EE">
            <w:pPr>
              <w:pStyle w:val="answer"/>
              <w:keepNext/>
              <w:spacing w:before="60" w:after="60" w:line="240" w:lineRule="auto"/>
              <w:ind w:left="0" w:firstLine="0"/>
              <w:jc w:val="center"/>
              <w:rPr>
                <w:b/>
              </w:rPr>
            </w:pPr>
            <w:r w:rsidRPr="007E50F7">
              <w:rPr>
                <w:b/>
              </w:rPr>
              <w:t>Current</w:t>
            </w:r>
          </w:p>
        </w:tc>
        <w:tc>
          <w:tcPr>
            <w:tcW w:w="0" w:type="auto"/>
            <w:vAlign w:val="bottom"/>
          </w:tcPr>
          <w:p w14:paraId="6CFC0D4B" w14:textId="77777777" w:rsidR="00AD448F" w:rsidRPr="007E50F7" w:rsidRDefault="00AD448F" w:rsidP="003466EE">
            <w:pPr>
              <w:pStyle w:val="answer"/>
              <w:keepNext/>
              <w:spacing w:before="60" w:after="60" w:line="240" w:lineRule="auto"/>
              <w:ind w:left="0" w:firstLine="0"/>
              <w:jc w:val="center"/>
              <w:rPr>
                <w:b/>
              </w:rPr>
            </w:pPr>
            <w:r w:rsidRPr="007E50F7">
              <w:rPr>
                <w:b/>
              </w:rPr>
              <w:t>Staff Proposal</w:t>
            </w:r>
          </w:p>
        </w:tc>
        <w:tc>
          <w:tcPr>
            <w:tcW w:w="0" w:type="auto"/>
            <w:vAlign w:val="bottom"/>
          </w:tcPr>
          <w:p w14:paraId="6CFC0D4C" w14:textId="77777777" w:rsidR="00AD448F" w:rsidRPr="007E50F7" w:rsidRDefault="00AD448F" w:rsidP="003466EE">
            <w:pPr>
              <w:pStyle w:val="answer"/>
              <w:keepNext/>
              <w:spacing w:before="60" w:after="60" w:line="240" w:lineRule="auto"/>
              <w:ind w:left="0" w:firstLine="0"/>
              <w:jc w:val="center"/>
              <w:rPr>
                <w:b/>
              </w:rPr>
            </w:pPr>
            <w:r w:rsidRPr="007E50F7">
              <w:rPr>
                <w:b/>
              </w:rPr>
              <w:t>% Difference</w:t>
            </w:r>
          </w:p>
        </w:tc>
      </w:tr>
      <w:tr w:rsidR="007E50F7" w:rsidRPr="007E50F7" w14:paraId="6CFC0D55" w14:textId="77777777" w:rsidTr="003466EE">
        <w:trPr>
          <w:cantSplit/>
          <w:trHeight w:val="496"/>
        </w:trPr>
        <w:tc>
          <w:tcPr>
            <w:tcW w:w="0" w:type="auto"/>
            <w:vAlign w:val="center"/>
          </w:tcPr>
          <w:p w14:paraId="6CFC0D4E" w14:textId="77777777" w:rsidR="00AD448F" w:rsidRPr="007E50F7" w:rsidRDefault="00AD448F" w:rsidP="00AD448F">
            <w:pPr>
              <w:pStyle w:val="answer"/>
              <w:keepNext/>
              <w:spacing w:before="60" w:after="60" w:line="240" w:lineRule="auto"/>
              <w:ind w:left="0" w:firstLine="0"/>
            </w:pPr>
            <w:r w:rsidRPr="007E50F7">
              <w:t>50</w:t>
            </w:r>
          </w:p>
        </w:tc>
        <w:tc>
          <w:tcPr>
            <w:tcW w:w="0" w:type="auto"/>
            <w:vAlign w:val="center"/>
          </w:tcPr>
          <w:p w14:paraId="6CFC0D4F" w14:textId="77777777" w:rsidR="00AD448F" w:rsidRPr="007E50F7" w:rsidRDefault="00AD448F" w:rsidP="00AD448F">
            <w:pPr>
              <w:pStyle w:val="answer"/>
              <w:keepNext/>
              <w:spacing w:before="60" w:after="60" w:line="240" w:lineRule="auto"/>
              <w:ind w:left="0" w:firstLine="0"/>
              <w:jc w:val="center"/>
            </w:pPr>
            <w:r w:rsidRPr="007E50F7">
              <w:t>$9.47</w:t>
            </w:r>
          </w:p>
        </w:tc>
        <w:tc>
          <w:tcPr>
            <w:tcW w:w="0" w:type="auto"/>
            <w:vAlign w:val="center"/>
          </w:tcPr>
          <w:p w14:paraId="6CFC0D50" w14:textId="77777777" w:rsidR="00AD448F" w:rsidRPr="007E50F7" w:rsidRDefault="00AD448F" w:rsidP="00AD448F">
            <w:pPr>
              <w:pStyle w:val="answer"/>
              <w:keepNext/>
              <w:spacing w:before="60" w:after="60" w:line="240" w:lineRule="auto"/>
              <w:ind w:left="0" w:firstLine="0"/>
              <w:jc w:val="center"/>
            </w:pPr>
            <w:r w:rsidRPr="007E50F7">
              <w:t>$13.64</w:t>
            </w:r>
          </w:p>
        </w:tc>
        <w:tc>
          <w:tcPr>
            <w:tcW w:w="0" w:type="auto"/>
            <w:vAlign w:val="center"/>
          </w:tcPr>
          <w:p w14:paraId="6CFC0D51" w14:textId="77777777" w:rsidR="00AD448F" w:rsidRPr="007E50F7" w:rsidRDefault="00AD448F" w:rsidP="00AD448F">
            <w:pPr>
              <w:pStyle w:val="answer"/>
              <w:keepNext/>
              <w:spacing w:before="60" w:after="60" w:line="240" w:lineRule="auto"/>
              <w:ind w:left="0" w:firstLine="0"/>
              <w:jc w:val="center"/>
            </w:pPr>
            <w:r w:rsidRPr="007E50F7">
              <w:t>44.1%</w:t>
            </w:r>
          </w:p>
        </w:tc>
        <w:tc>
          <w:tcPr>
            <w:tcW w:w="0" w:type="auto"/>
            <w:vAlign w:val="center"/>
          </w:tcPr>
          <w:p w14:paraId="6CFC0D52" w14:textId="77777777" w:rsidR="00AD448F" w:rsidRPr="007E50F7" w:rsidRDefault="00AD448F" w:rsidP="00AD448F">
            <w:pPr>
              <w:pStyle w:val="answer"/>
              <w:keepNext/>
              <w:spacing w:before="60" w:after="60" w:line="240" w:lineRule="auto"/>
              <w:ind w:left="0" w:firstLine="0"/>
              <w:jc w:val="center"/>
            </w:pPr>
            <w:r w:rsidRPr="007E50F7">
              <w:t>$9.47</w:t>
            </w:r>
          </w:p>
        </w:tc>
        <w:tc>
          <w:tcPr>
            <w:tcW w:w="0" w:type="auto"/>
            <w:vAlign w:val="center"/>
          </w:tcPr>
          <w:p w14:paraId="6CFC0D53" w14:textId="77777777" w:rsidR="00AD448F" w:rsidRPr="007E50F7" w:rsidRDefault="00AD448F" w:rsidP="008344C0">
            <w:pPr>
              <w:pStyle w:val="answer"/>
              <w:keepNext/>
              <w:spacing w:before="60" w:after="60" w:line="240" w:lineRule="auto"/>
              <w:ind w:left="0" w:firstLine="0"/>
              <w:jc w:val="center"/>
            </w:pPr>
            <w:r w:rsidRPr="007E50F7">
              <w:t>$</w:t>
            </w:r>
            <w:r w:rsidR="00B9238D" w:rsidRPr="007E50F7">
              <w:t>10.8</w:t>
            </w:r>
            <w:r w:rsidR="008344C0" w:rsidRPr="007E50F7">
              <w:t>7</w:t>
            </w:r>
          </w:p>
        </w:tc>
        <w:tc>
          <w:tcPr>
            <w:tcW w:w="0" w:type="auto"/>
            <w:vAlign w:val="center"/>
          </w:tcPr>
          <w:p w14:paraId="6CFC0D54" w14:textId="77777777" w:rsidR="00AD448F" w:rsidRPr="007E50F7" w:rsidRDefault="00B9238D" w:rsidP="008344C0">
            <w:pPr>
              <w:pStyle w:val="answer"/>
              <w:keepNext/>
              <w:spacing w:before="60" w:after="60" w:line="240" w:lineRule="auto"/>
              <w:ind w:left="0" w:firstLine="0"/>
              <w:jc w:val="center"/>
            </w:pPr>
            <w:r w:rsidRPr="007E50F7">
              <w:t>14.</w:t>
            </w:r>
            <w:r w:rsidR="008344C0" w:rsidRPr="007E50F7">
              <w:t>8</w:t>
            </w:r>
            <w:r w:rsidR="00AD448F" w:rsidRPr="007E50F7">
              <w:t>%</w:t>
            </w:r>
          </w:p>
        </w:tc>
      </w:tr>
      <w:tr w:rsidR="007E50F7" w:rsidRPr="007E50F7" w14:paraId="6CFC0D5D" w14:textId="77777777" w:rsidTr="003466EE">
        <w:trPr>
          <w:cantSplit/>
          <w:trHeight w:val="496"/>
        </w:trPr>
        <w:tc>
          <w:tcPr>
            <w:tcW w:w="0" w:type="auto"/>
            <w:vAlign w:val="center"/>
          </w:tcPr>
          <w:p w14:paraId="6CFC0D56" w14:textId="77777777" w:rsidR="00AD448F" w:rsidRPr="007E50F7" w:rsidRDefault="00AD448F" w:rsidP="00AD448F">
            <w:pPr>
              <w:pStyle w:val="answer"/>
              <w:keepNext/>
              <w:spacing w:before="60" w:after="60" w:line="240" w:lineRule="auto"/>
              <w:ind w:left="0" w:firstLine="0"/>
            </w:pPr>
            <w:r w:rsidRPr="007E50F7">
              <w:t>300</w:t>
            </w:r>
          </w:p>
        </w:tc>
        <w:tc>
          <w:tcPr>
            <w:tcW w:w="0" w:type="auto"/>
            <w:vAlign w:val="center"/>
          </w:tcPr>
          <w:p w14:paraId="6CFC0D57" w14:textId="77777777" w:rsidR="00AD448F" w:rsidRPr="007E50F7" w:rsidRDefault="00AD448F" w:rsidP="00AD448F">
            <w:pPr>
              <w:pStyle w:val="answer"/>
              <w:keepNext/>
              <w:spacing w:before="60" w:after="60" w:line="240" w:lineRule="auto"/>
              <w:ind w:left="0" w:firstLine="0"/>
              <w:jc w:val="center"/>
            </w:pPr>
            <w:r w:rsidRPr="007E50F7">
              <w:t>$26.80</w:t>
            </w:r>
          </w:p>
        </w:tc>
        <w:tc>
          <w:tcPr>
            <w:tcW w:w="0" w:type="auto"/>
            <w:vAlign w:val="center"/>
          </w:tcPr>
          <w:p w14:paraId="6CFC0D58" w14:textId="77777777" w:rsidR="00AD448F" w:rsidRPr="007E50F7" w:rsidRDefault="00AD448F" w:rsidP="00AD448F">
            <w:pPr>
              <w:pStyle w:val="answer"/>
              <w:keepNext/>
              <w:spacing w:before="60" w:after="60" w:line="240" w:lineRule="auto"/>
              <w:ind w:left="0" w:firstLine="0"/>
              <w:jc w:val="center"/>
            </w:pPr>
            <w:r w:rsidRPr="007E50F7">
              <w:t>$31.83</w:t>
            </w:r>
          </w:p>
        </w:tc>
        <w:tc>
          <w:tcPr>
            <w:tcW w:w="0" w:type="auto"/>
            <w:vAlign w:val="center"/>
          </w:tcPr>
          <w:p w14:paraId="6CFC0D59" w14:textId="77777777" w:rsidR="00AD448F" w:rsidRPr="007E50F7" w:rsidRDefault="00AD448F" w:rsidP="00AD448F">
            <w:pPr>
              <w:pStyle w:val="answer"/>
              <w:keepNext/>
              <w:spacing w:before="60" w:after="60" w:line="240" w:lineRule="auto"/>
              <w:ind w:left="0" w:firstLine="0"/>
              <w:jc w:val="center"/>
            </w:pPr>
            <w:r w:rsidRPr="007E50F7">
              <w:t>18.8%</w:t>
            </w:r>
          </w:p>
        </w:tc>
        <w:tc>
          <w:tcPr>
            <w:tcW w:w="0" w:type="auto"/>
            <w:vAlign w:val="center"/>
          </w:tcPr>
          <w:p w14:paraId="6CFC0D5A" w14:textId="77777777" w:rsidR="00AD448F" w:rsidRPr="007E50F7" w:rsidRDefault="00AD448F" w:rsidP="00AD448F">
            <w:pPr>
              <w:pStyle w:val="answer"/>
              <w:keepNext/>
              <w:spacing w:before="60" w:after="60" w:line="240" w:lineRule="auto"/>
              <w:ind w:left="0" w:firstLine="0"/>
              <w:jc w:val="center"/>
            </w:pPr>
            <w:r w:rsidRPr="007E50F7">
              <w:t>$26.80</w:t>
            </w:r>
          </w:p>
        </w:tc>
        <w:tc>
          <w:tcPr>
            <w:tcW w:w="0" w:type="auto"/>
            <w:vAlign w:val="center"/>
          </w:tcPr>
          <w:p w14:paraId="6CFC0D5B" w14:textId="77777777" w:rsidR="00AD448F" w:rsidRPr="007E50F7" w:rsidRDefault="00AD448F" w:rsidP="008344C0">
            <w:pPr>
              <w:pStyle w:val="answer"/>
              <w:keepNext/>
              <w:spacing w:before="60" w:after="60" w:line="240" w:lineRule="auto"/>
              <w:ind w:left="0" w:firstLine="0"/>
              <w:jc w:val="center"/>
            </w:pPr>
            <w:r w:rsidRPr="007E50F7">
              <w:t>$</w:t>
            </w:r>
            <w:r w:rsidR="00E45AF0" w:rsidRPr="007E50F7">
              <w:t>28.5</w:t>
            </w:r>
            <w:r w:rsidR="008344C0" w:rsidRPr="007E50F7">
              <w:t>0</w:t>
            </w:r>
          </w:p>
        </w:tc>
        <w:tc>
          <w:tcPr>
            <w:tcW w:w="0" w:type="auto"/>
            <w:vAlign w:val="center"/>
          </w:tcPr>
          <w:p w14:paraId="6CFC0D5C" w14:textId="77777777" w:rsidR="00AD448F" w:rsidRPr="007E50F7" w:rsidRDefault="00B9238D" w:rsidP="008344C0">
            <w:pPr>
              <w:pStyle w:val="answer"/>
              <w:keepNext/>
              <w:spacing w:before="60" w:after="60" w:line="240" w:lineRule="auto"/>
              <w:ind w:left="0" w:firstLine="0"/>
              <w:jc w:val="center"/>
            </w:pPr>
            <w:r w:rsidRPr="007E50F7">
              <w:t>6.</w:t>
            </w:r>
            <w:r w:rsidR="008344C0" w:rsidRPr="007E50F7">
              <w:t>3</w:t>
            </w:r>
            <w:r w:rsidR="00AD448F" w:rsidRPr="007E50F7">
              <w:t>%</w:t>
            </w:r>
          </w:p>
        </w:tc>
      </w:tr>
      <w:tr w:rsidR="007E50F7" w:rsidRPr="007E50F7" w14:paraId="6CFC0D65" w14:textId="77777777" w:rsidTr="003466EE">
        <w:trPr>
          <w:cantSplit/>
          <w:trHeight w:val="496"/>
        </w:trPr>
        <w:tc>
          <w:tcPr>
            <w:tcW w:w="0" w:type="auto"/>
            <w:vAlign w:val="center"/>
          </w:tcPr>
          <w:p w14:paraId="6CFC0D5E" w14:textId="77777777" w:rsidR="00AD448F" w:rsidRPr="007E50F7" w:rsidRDefault="00AD448F" w:rsidP="00AD448F">
            <w:pPr>
              <w:pStyle w:val="answer"/>
              <w:keepNext/>
              <w:spacing w:before="60" w:after="60" w:line="240" w:lineRule="auto"/>
              <w:ind w:left="0" w:firstLine="0"/>
            </w:pPr>
            <w:r w:rsidRPr="007E50F7">
              <w:t>1,000</w:t>
            </w:r>
          </w:p>
        </w:tc>
        <w:tc>
          <w:tcPr>
            <w:tcW w:w="0" w:type="auto"/>
            <w:vAlign w:val="center"/>
          </w:tcPr>
          <w:p w14:paraId="6CFC0D5F" w14:textId="77777777" w:rsidR="00AD448F" w:rsidRPr="007E50F7" w:rsidRDefault="00AD448F" w:rsidP="00AD448F">
            <w:pPr>
              <w:pStyle w:val="answer"/>
              <w:keepNext/>
              <w:spacing w:before="60" w:after="60" w:line="240" w:lineRule="auto"/>
              <w:ind w:left="0" w:firstLine="0"/>
              <w:jc w:val="center"/>
            </w:pPr>
            <w:r w:rsidRPr="007E50F7">
              <w:t>$79.85</w:t>
            </w:r>
          </w:p>
        </w:tc>
        <w:tc>
          <w:tcPr>
            <w:tcW w:w="0" w:type="auto"/>
            <w:vAlign w:val="center"/>
          </w:tcPr>
          <w:p w14:paraId="6CFC0D60" w14:textId="77777777" w:rsidR="00AD448F" w:rsidRPr="007E50F7" w:rsidRDefault="00AD448F" w:rsidP="00AD448F">
            <w:pPr>
              <w:pStyle w:val="answer"/>
              <w:keepNext/>
              <w:spacing w:before="60" w:after="60" w:line="240" w:lineRule="auto"/>
              <w:ind w:left="0" w:firstLine="0"/>
              <w:jc w:val="center"/>
            </w:pPr>
            <w:r w:rsidRPr="007E50F7">
              <w:t>$87.28</w:t>
            </w:r>
          </w:p>
        </w:tc>
        <w:tc>
          <w:tcPr>
            <w:tcW w:w="0" w:type="auto"/>
            <w:vAlign w:val="center"/>
          </w:tcPr>
          <w:p w14:paraId="6CFC0D61" w14:textId="77777777" w:rsidR="00AD448F" w:rsidRPr="007E50F7" w:rsidRDefault="00AD448F" w:rsidP="00AD448F">
            <w:pPr>
              <w:pStyle w:val="answer"/>
              <w:keepNext/>
              <w:spacing w:before="60" w:after="60" w:line="240" w:lineRule="auto"/>
              <w:ind w:left="0" w:firstLine="0"/>
              <w:jc w:val="center"/>
            </w:pPr>
            <w:r w:rsidRPr="007E50F7">
              <w:t>9.3%</w:t>
            </w:r>
          </w:p>
        </w:tc>
        <w:tc>
          <w:tcPr>
            <w:tcW w:w="0" w:type="auto"/>
            <w:vAlign w:val="center"/>
          </w:tcPr>
          <w:p w14:paraId="6CFC0D62" w14:textId="77777777" w:rsidR="00AD448F" w:rsidRPr="007E50F7" w:rsidRDefault="00AD448F" w:rsidP="00AD448F">
            <w:pPr>
              <w:pStyle w:val="answer"/>
              <w:keepNext/>
              <w:spacing w:before="60" w:after="60" w:line="240" w:lineRule="auto"/>
              <w:ind w:left="0" w:firstLine="0"/>
              <w:jc w:val="center"/>
            </w:pPr>
            <w:r w:rsidRPr="007E50F7">
              <w:t>$79.85</w:t>
            </w:r>
          </w:p>
        </w:tc>
        <w:tc>
          <w:tcPr>
            <w:tcW w:w="0" w:type="auto"/>
            <w:vAlign w:val="center"/>
          </w:tcPr>
          <w:p w14:paraId="6CFC0D63" w14:textId="77777777" w:rsidR="00AD448F" w:rsidRPr="007E50F7" w:rsidRDefault="00AD448F" w:rsidP="008344C0">
            <w:pPr>
              <w:pStyle w:val="answer"/>
              <w:keepNext/>
              <w:spacing w:before="60" w:after="60" w:line="240" w:lineRule="auto"/>
              <w:ind w:left="0" w:firstLine="0"/>
              <w:jc w:val="center"/>
            </w:pPr>
            <w:r w:rsidRPr="007E50F7">
              <w:t>$</w:t>
            </w:r>
            <w:r w:rsidR="00B9238D" w:rsidRPr="007E50F7">
              <w:t>80</w:t>
            </w:r>
            <w:r w:rsidR="00E45AF0" w:rsidRPr="007E50F7">
              <w:t>.</w:t>
            </w:r>
            <w:r w:rsidR="008344C0" w:rsidRPr="007E50F7">
              <w:t>17</w:t>
            </w:r>
          </w:p>
        </w:tc>
        <w:tc>
          <w:tcPr>
            <w:tcW w:w="0" w:type="auto"/>
            <w:vAlign w:val="center"/>
          </w:tcPr>
          <w:p w14:paraId="6CFC0D64" w14:textId="77777777" w:rsidR="00AD448F" w:rsidRPr="007E50F7" w:rsidRDefault="00B9238D" w:rsidP="008344C0">
            <w:pPr>
              <w:pStyle w:val="answer"/>
              <w:keepNext/>
              <w:spacing w:before="60" w:after="60" w:line="240" w:lineRule="auto"/>
              <w:ind w:left="0" w:firstLine="0"/>
              <w:jc w:val="center"/>
            </w:pPr>
            <w:r w:rsidRPr="007E50F7">
              <w:t>0.</w:t>
            </w:r>
            <w:r w:rsidR="008344C0" w:rsidRPr="007E50F7">
              <w:t>4</w:t>
            </w:r>
            <w:r w:rsidR="00AD448F" w:rsidRPr="007E50F7">
              <w:t>%</w:t>
            </w:r>
          </w:p>
        </w:tc>
      </w:tr>
      <w:tr w:rsidR="007E50F7" w:rsidRPr="007E50F7" w14:paraId="6CFC0D6D" w14:textId="77777777" w:rsidTr="003466EE">
        <w:trPr>
          <w:cantSplit/>
          <w:trHeight w:val="496"/>
        </w:trPr>
        <w:tc>
          <w:tcPr>
            <w:tcW w:w="0" w:type="auto"/>
            <w:vAlign w:val="center"/>
          </w:tcPr>
          <w:p w14:paraId="6CFC0D66" w14:textId="77777777" w:rsidR="00AD448F" w:rsidRPr="007E50F7" w:rsidRDefault="00E45AF0" w:rsidP="00AD448F">
            <w:pPr>
              <w:pStyle w:val="answer"/>
              <w:keepNext/>
              <w:spacing w:before="60" w:after="60" w:line="240" w:lineRule="auto"/>
              <w:ind w:left="0" w:firstLine="0"/>
            </w:pPr>
            <w:r w:rsidRPr="007E50F7">
              <w:t>3</w:t>
            </w:r>
            <w:r w:rsidR="00AD448F" w:rsidRPr="007E50F7">
              <w:t>,000</w:t>
            </w:r>
          </w:p>
        </w:tc>
        <w:tc>
          <w:tcPr>
            <w:tcW w:w="0" w:type="auto"/>
            <w:vAlign w:val="center"/>
          </w:tcPr>
          <w:p w14:paraId="6CFC0D67" w14:textId="77777777" w:rsidR="00AD448F" w:rsidRPr="007E50F7" w:rsidRDefault="00AD448F" w:rsidP="00E45AF0">
            <w:pPr>
              <w:pStyle w:val="answer"/>
              <w:keepNext/>
              <w:spacing w:before="60" w:after="60" w:line="240" w:lineRule="auto"/>
              <w:ind w:left="0" w:firstLine="0"/>
              <w:jc w:val="center"/>
            </w:pPr>
            <w:r w:rsidRPr="007E50F7">
              <w:t>$</w:t>
            </w:r>
            <w:r w:rsidR="00E45AF0" w:rsidRPr="007E50F7">
              <w:t>264</w:t>
            </w:r>
            <w:r w:rsidRPr="007E50F7">
              <w:t>.</w:t>
            </w:r>
            <w:r w:rsidR="00E45AF0" w:rsidRPr="007E50F7">
              <w:t>66</w:t>
            </w:r>
          </w:p>
        </w:tc>
        <w:tc>
          <w:tcPr>
            <w:tcW w:w="0" w:type="auto"/>
            <w:vAlign w:val="center"/>
          </w:tcPr>
          <w:p w14:paraId="6CFC0D68" w14:textId="77777777" w:rsidR="00AD448F" w:rsidRPr="007E50F7" w:rsidRDefault="00AD448F" w:rsidP="00E45AF0">
            <w:pPr>
              <w:pStyle w:val="answer"/>
              <w:keepNext/>
              <w:spacing w:before="60" w:after="60" w:line="240" w:lineRule="auto"/>
              <w:ind w:left="0" w:firstLine="0"/>
              <w:jc w:val="center"/>
            </w:pPr>
            <w:r w:rsidRPr="007E50F7">
              <w:t>$</w:t>
            </w:r>
            <w:r w:rsidR="00E45AF0" w:rsidRPr="007E50F7">
              <w:t>278</w:t>
            </w:r>
            <w:r w:rsidRPr="007E50F7">
              <w:t>.</w:t>
            </w:r>
            <w:r w:rsidR="00E45AF0" w:rsidRPr="007E50F7">
              <w:t>95</w:t>
            </w:r>
          </w:p>
        </w:tc>
        <w:tc>
          <w:tcPr>
            <w:tcW w:w="0" w:type="auto"/>
            <w:vAlign w:val="center"/>
          </w:tcPr>
          <w:p w14:paraId="6CFC0D69" w14:textId="77777777" w:rsidR="00AD448F" w:rsidRPr="007E50F7" w:rsidRDefault="00E45AF0" w:rsidP="00AD448F">
            <w:pPr>
              <w:pStyle w:val="answer"/>
              <w:keepNext/>
              <w:spacing w:before="60" w:after="60" w:line="240" w:lineRule="auto"/>
              <w:ind w:left="0" w:firstLine="0"/>
              <w:jc w:val="center"/>
            </w:pPr>
            <w:r w:rsidRPr="007E50F7">
              <w:t>5</w:t>
            </w:r>
            <w:r w:rsidR="00AD448F" w:rsidRPr="007E50F7">
              <w:t>.4%</w:t>
            </w:r>
          </w:p>
        </w:tc>
        <w:tc>
          <w:tcPr>
            <w:tcW w:w="0" w:type="auto"/>
            <w:vAlign w:val="center"/>
          </w:tcPr>
          <w:p w14:paraId="6CFC0D6A" w14:textId="77777777" w:rsidR="00AD448F" w:rsidRPr="007E50F7" w:rsidRDefault="00AD448F" w:rsidP="00E45AF0">
            <w:pPr>
              <w:pStyle w:val="answer"/>
              <w:keepNext/>
              <w:spacing w:before="60" w:after="60" w:line="240" w:lineRule="auto"/>
              <w:ind w:left="0" w:firstLine="0"/>
              <w:jc w:val="center"/>
            </w:pPr>
            <w:r w:rsidRPr="007E50F7">
              <w:t>$</w:t>
            </w:r>
            <w:r w:rsidR="00E45AF0" w:rsidRPr="007E50F7">
              <w:t>264</w:t>
            </w:r>
            <w:r w:rsidRPr="007E50F7">
              <w:t>.</w:t>
            </w:r>
            <w:r w:rsidR="00E45AF0" w:rsidRPr="007E50F7">
              <w:t>66</w:t>
            </w:r>
          </w:p>
        </w:tc>
        <w:tc>
          <w:tcPr>
            <w:tcW w:w="0" w:type="auto"/>
            <w:vAlign w:val="center"/>
          </w:tcPr>
          <w:p w14:paraId="6CFC0D6B" w14:textId="77777777" w:rsidR="00AD448F" w:rsidRPr="007E50F7" w:rsidRDefault="00AD448F" w:rsidP="008344C0">
            <w:pPr>
              <w:pStyle w:val="answer"/>
              <w:keepNext/>
              <w:spacing w:before="60" w:after="60" w:line="240" w:lineRule="auto"/>
              <w:ind w:left="0" w:firstLine="0"/>
              <w:jc w:val="center"/>
            </w:pPr>
            <w:r w:rsidRPr="007E50F7">
              <w:t>$</w:t>
            </w:r>
            <w:r w:rsidR="00E45AF0" w:rsidRPr="007E50F7">
              <w:t>26</w:t>
            </w:r>
            <w:r w:rsidR="008344C0" w:rsidRPr="007E50F7">
              <w:t>5</w:t>
            </w:r>
            <w:r w:rsidR="00F47CE6" w:rsidRPr="007E50F7">
              <w:t>.</w:t>
            </w:r>
            <w:r w:rsidR="008344C0" w:rsidRPr="007E50F7">
              <w:t>38</w:t>
            </w:r>
          </w:p>
        </w:tc>
        <w:tc>
          <w:tcPr>
            <w:tcW w:w="0" w:type="auto"/>
            <w:vAlign w:val="center"/>
          </w:tcPr>
          <w:p w14:paraId="6CFC0D6C" w14:textId="77777777" w:rsidR="00AD448F" w:rsidRPr="007E50F7" w:rsidRDefault="00E45AF0" w:rsidP="008344C0">
            <w:pPr>
              <w:pStyle w:val="answer"/>
              <w:keepNext/>
              <w:spacing w:before="60" w:after="60" w:line="240" w:lineRule="auto"/>
              <w:ind w:left="0" w:firstLine="0"/>
              <w:jc w:val="center"/>
            </w:pPr>
            <w:r w:rsidRPr="007E50F7">
              <w:t>0.</w:t>
            </w:r>
            <w:r w:rsidR="008344C0" w:rsidRPr="007E50F7">
              <w:t>3</w:t>
            </w:r>
            <w:r w:rsidR="00AD448F" w:rsidRPr="007E50F7">
              <w:t>%</w:t>
            </w:r>
          </w:p>
        </w:tc>
      </w:tr>
      <w:tr w:rsidR="007E50F7" w:rsidRPr="007E50F7" w14:paraId="6CFC0D75" w14:textId="77777777" w:rsidTr="003466EE">
        <w:trPr>
          <w:cantSplit/>
          <w:trHeight w:val="515"/>
        </w:trPr>
        <w:tc>
          <w:tcPr>
            <w:tcW w:w="0" w:type="auto"/>
            <w:vAlign w:val="center"/>
          </w:tcPr>
          <w:p w14:paraId="6CFC0D6E" w14:textId="77777777" w:rsidR="00AD448F" w:rsidRPr="007E50F7" w:rsidRDefault="00AD448F" w:rsidP="00AD448F">
            <w:pPr>
              <w:pStyle w:val="answer"/>
              <w:keepNext/>
              <w:spacing w:before="60" w:after="60" w:line="240" w:lineRule="auto"/>
              <w:ind w:left="0" w:firstLine="0"/>
            </w:pPr>
            <w:r w:rsidRPr="007E50F7">
              <w:t>4,000</w:t>
            </w:r>
          </w:p>
        </w:tc>
        <w:tc>
          <w:tcPr>
            <w:tcW w:w="0" w:type="auto"/>
            <w:vAlign w:val="center"/>
          </w:tcPr>
          <w:p w14:paraId="6CFC0D6F" w14:textId="77777777" w:rsidR="00AD448F" w:rsidRPr="007E50F7" w:rsidRDefault="00AD448F" w:rsidP="00AD448F">
            <w:pPr>
              <w:pStyle w:val="answer"/>
              <w:keepNext/>
              <w:spacing w:before="60" w:after="60" w:line="240" w:lineRule="auto"/>
              <w:ind w:left="0" w:firstLine="0"/>
              <w:jc w:val="center"/>
            </w:pPr>
            <w:r w:rsidRPr="007E50F7">
              <w:t>$359.14</w:t>
            </w:r>
          </w:p>
        </w:tc>
        <w:tc>
          <w:tcPr>
            <w:tcW w:w="0" w:type="auto"/>
            <w:vAlign w:val="center"/>
          </w:tcPr>
          <w:p w14:paraId="6CFC0D70" w14:textId="77777777" w:rsidR="00AD448F" w:rsidRPr="007E50F7" w:rsidRDefault="00AD448F" w:rsidP="00AD448F">
            <w:pPr>
              <w:pStyle w:val="answer"/>
              <w:keepNext/>
              <w:spacing w:before="60" w:after="60" w:line="240" w:lineRule="auto"/>
              <w:ind w:left="0" w:firstLine="0"/>
              <w:jc w:val="center"/>
            </w:pPr>
            <w:r w:rsidRPr="007E50F7">
              <w:t>$376.86</w:t>
            </w:r>
          </w:p>
        </w:tc>
        <w:tc>
          <w:tcPr>
            <w:tcW w:w="0" w:type="auto"/>
            <w:vAlign w:val="center"/>
          </w:tcPr>
          <w:p w14:paraId="6CFC0D71" w14:textId="77777777" w:rsidR="00AD448F" w:rsidRPr="007E50F7" w:rsidRDefault="00AD448F" w:rsidP="00AD448F">
            <w:pPr>
              <w:pStyle w:val="answer"/>
              <w:keepNext/>
              <w:spacing w:before="60" w:after="60" w:line="240" w:lineRule="auto"/>
              <w:ind w:left="0" w:firstLine="0"/>
              <w:jc w:val="center"/>
            </w:pPr>
            <w:r w:rsidRPr="007E50F7">
              <w:t>4.9%</w:t>
            </w:r>
          </w:p>
        </w:tc>
        <w:tc>
          <w:tcPr>
            <w:tcW w:w="0" w:type="auto"/>
            <w:vAlign w:val="center"/>
          </w:tcPr>
          <w:p w14:paraId="6CFC0D72" w14:textId="77777777" w:rsidR="00AD448F" w:rsidRPr="007E50F7" w:rsidRDefault="00AD448F" w:rsidP="00AD448F">
            <w:pPr>
              <w:pStyle w:val="answer"/>
              <w:keepNext/>
              <w:spacing w:before="60" w:after="60" w:line="240" w:lineRule="auto"/>
              <w:ind w:left="0" w:firstLine="0"/>
              <w:jc w:val="center"/>
            </w:pPr>
            <w:r w:rsidRPr="007E50F7">
              <w:t>$359.14</w:t>
            </w:r>
          </w:p>
        </w:tc>
        <w:tc>
          <w:tcPr>
            <w:tcW w:w="0" w:type="auto"/>
            <w:vAlign w:val="center"/>
          </w:tcPr>
          <w:p w14:paraId="6CFC0D73" w14:textId="77777777" w:rsidR="00AD448F" w:rsidRPr="007E50F7" w:rsidRDefault="00AD448F" w:rsidP="008344C0">
            <w:pPr>
              <w:pStyle w:val="answer"/>
              <w:keepNext/>
              <w:spacing w:before="60" w:after="60" w:line="240" w:lineRule="auto"/>
              <w:ind w:left="0" w:firstLine="0"/>
              <w:jc w:val="center"/>
            </w:pPr>
            <w:r w:rsidRPr="007E50F7">
              <w:t>$</w:t>
            </w:r>
            <w:r w:rsidR="00B9238D" w:rsidRPr="007E50F7">
              <w:t>36</w:t>
            </w:r>
            <w:r w:rsidR="008344C0" w:rsidRPr="007E50F7">
              <w:t>1</w:t>
            </w:r>
            <w:r w:rsidR="00B9238D" w:rsidRPr="007E50F7">
              <w:t>.</w:t>
            </w:r>
            <w:r w:rsidR="008344C0" w:rsidRPr="007E50F7">
              <w:t>51</w:t>
            </w:r>
          </w:p>
        </w:tc>
        <w:tc>
          <w:tcPr>
            <w:tcW w:w="0" w:type="auto"/>
            <w:vAlign w:val="center"/>
          </w:tcPr>
          <w:p w14:paraId="6CFC0D74" w14:textId="77777777" w:rsidR="00AD448F" w:rsidRPr="007E50F7" w:rsidRDefault="008344C0" w:rsidP="008344C0">
            <w:pPr>
              <w:pStyle w:val="answer"/>
              <w:keepNext/>
              <w:spacing w:before="60" w:after="60" w:line="240" w:lineRule="auto"/>
              <w:ind w:left="0" w:firstLine="0"/>
              <w:jc w:val="center"/>
            </w:pPr>
            <w:r w:rsidRPr="007E50F7">
              <w:t>0</w:t>
            </w:r>
            <w:r w:rsidR="00E45AF0" w:rsidRPr="007E50F7">
              <w:t>.</w:t>
            </w:r>
            <w:r w:rsidRPr="007E50F7">
              <w:t>7</w:t>
            </w:r>
            <w:r w:rsidR="00AD448F" w:rsidRPr="007E50F7">
              <w:t>%</w:t>
            </w:r>
          </w:p>
        </w:tc>
      </w:tr>
    </w:tbl>
    <w:p w14:paraId="6CFC0D76" w14:textId="77777777" w:rsidR="009E433E" w:rsidRPr="007E50F7" w:rsidRDefault="009E433E" w:rsidP="009E433E">
      <w:pPr>
        <w:pStyle w:val="Answer-Testimony"/>
        <w:jc w:val="center"/>
      </w:pPr>
      <w:r w:rsidRPr="007E50F7">
        <w:t>Table 5: Showing the Effect of Flat Cent</w:t>
      </w:r>
      <w:r w:rsidR="00AD448F" w:rsidRPr="007E50F7">
        <w:t xml:space="preserve"> vs. Uniform Percentage</w:t>
      </w:r>
    </w:p>
    <w:p w14:paraId="6CFC0D77" w14:textId="77777777" w:rsidR="009E433E" w:rsidRPr="000559D0" w:rsidRDefault="009E433E" w:rsidP="009E433E">
      <w:pPr>
        <w:pStyle w:val="Answer-Testimony"/>
        <w:rPr>
          <w:color w:val="FFFFFF" w:themeColor="background1"/>
        </w:rPr>
      </w:pPr>
      <w:r w:rsidRPr="000559D0">
        <w:rPr>
          <w:color w:val="FFFFFF" w:themeColor="background1"/>
        </w:rPr>
        <w:t>R</w:t>
      </w:r>
    </w:p>
    <w:p w14:paraId="6CFC0D78" w14:textId="77777777" w:rsidR="009E433E" w:rsidRPr="000559D0" w:rsidRDefault="009E433E" w:rsidP="009E433E">
      <w:pPr>
        <w:pStyle w:val="Answer-Testimony"/>
        <w:rPr>
          <w:color w:val="FFFFFF" w:themeColor="background1"/>
        </w:rPr>
      </w:pPr>
      <w:r w:rsidRPr="000559D0">
        <w:rPr>
          <w:color w:val="FFFFFF" w:themeColor="background1"/>
        </w:rPr>
        <w:t>R</w:t>
      </w:r>
    </w:p>
    <w:p w14:paraId="6CFC0D79" w14:textId="77777777" w:rsidR="009E433E" w:rsidRPr="000559D0" w:rsidRDefault="009E433E" w:rsidP="009E433E">
      <w:pPr>
        <w:pStyle w:val="Answer-Testimony"/>
        <w:rPr>
          <w:color w:val="FFFFFF" w:themeColor="background1"/>
        </w:rPr>
      </w:pPr>
      <w:r w:rsidRPr="000559D0">
        <w:rPr>
          <w:color w:val="FFFFFF" w:themeColor="background1"/>
        </w:rPr>
        <w:t>R</w:t>
      </w:r>
    </w:p>
    <w:p w14:paraId="6CFC0D7A" w14:textId="77777777" w:rsidR="009E433E" w:rsidRPr="000559D0" w:rsidRDefault="009E433E" w:rsidP="009E433E">
      <w:pPr>
        <w:pStyle w:val="Answer-Testimony"/>
        <w:rPr>
          <w:color w:val="FFFFFF" w:themeColor="background1"/>
        </w:rPr>
      </w:pPr>
    </w:p>
    <w:p w14:paraId="6CFC0D7B" w14:textId="77777777" w:rsidR="009E433E" w:rsidRPr="000559D0" w:rsidRDefault="009E433E" w:rsidP="009E433E">
      <w:pPr>
        <w:pStyle w:val="Answer-Testimony"/>
        <w:rPr>
          <w:color w:val="FFFFFF" w:themeColor="background1"/>
        </w:rPr>
      </w:pPr>
      <w:r w:rsidRPr="000559D0">
        <w:rPr>
          <w:color w:val="FFFFFF" w:themeColor="background1"/>
        </w:rPr>
        <w:t>R</w:t>
      </w:r>
    </w:p>
    <w:p w14:paraId="6CFC0D7C" w14:textId="77777777" w:rsidR="009E433E" w:rsidRPr="000559D0" w:rsidRDefault="009E433E" w:rsidP="009E433E">
      <w:pPr>
        <w:pStyle w:val="Answer-Testimony"/>
        <w:rPr>
          <w:color w:val="FFFFFF" w:themeColor="background1"/>
        </w:rPr>
      </w:pPr>
      <w:r w:rsidRPr="000559D0">
        <w:rPr>
          <w:color w:val="FFFFFF" w:themeColor="background1"/>
        </w:rPr>
        <w:t>R</w:t>
      </w:r>
    </w:p>
    <w:p w14:paraId="6CFC0D7D" w14:textId="77777777" w:rsidR="009E433E" w:rsidRPr="000559D0" w:rsidRDefault="00AD448F" w:rsidP="00AD448F">
      <w:pPr>
        <w:pStyle w:val="Question-Testimony"/>
        <w:rPr>
          <w:b w:val="0"/>
          <w:bCs w:val="0"/>
          <w:color w:val="FFFFFF" w:themeColor="background1"/>
        </w:rPr>
      </w:pPr>
      <w:r w:rsidRPr="000559D0">
        <w:rPr>
          <w:b w:val="0"/>
          <w:bCs w:val="0"/>
          <w:color w:val="FFFFFF" w:themeColor="background1"/>
        </w:rPr>
        <w:t>R</w:t>
      </w:r>
    </w:p>
    <w:p w14:paraId="6CFC0D7E" w14:textId="77777777" w:rsidR="003466EE" w:rsidRPr="000559D0" w:rsidRDefault="003466EE" w:rsidP="00AD448F">
      <w:pPr>
        <w:pStyle w:val="Question-Testimony"/>
        <w:rPr>
          <w:b w:val="0"/>
          <w:bCs w:val="0"/>
          <w:color w:val="FFFFFF" w:themeColor="background1"/>
        </w:rPr>
      </w:pPr>
    </w:p>
    <w:p w14:paraId="6CFC0D7F" w14:textId="77777777" w:rsidR="00140E11" w:rsidRPr="007E50F7" w:rsidRDefault="009C3ACB" w:rsidP="00140E11">
      <w:pPr>
        <w:pStyle w:val="Answer-Testimony"/>
        <w:ind w:firstLine="720"/>
      </w:pPr>
      <w:r w:rsidRPr="007E50F7">
        <w:t>The table</w:t>
      </w:r>
      <w:r w:rsidR="00871CF5" w:rsidRPr="007E50F7">
        <w:t xml:space="preserve"> shows </w:t>
      </w:r>
      <w:r w:rsidRPr="007E50F7">
        <w:t>what a customer bill would be on Residential Schedule 1 under the current rate structure, the Company’s proposed rate structure, and Staff’s revised rate str</w:t>
      </w:r>
      <w:r w:rsidR="00140E11" w:rsidRPr="007E50F7">
        <w:t>ucture at a variety of usages</w:t>
      </w:r>
      <w:r w:rsidR="003466EE" w:rsidRPr="007E50F7">
        <w:t xml:space="preserve"> using the Company’s revenue requirement</w:t>
      </w:r>
      <w:r w:rsidR="00140E11" w:rsidRPr="007E50F7">
        <w:t>.</w:t>
      </w:r>
    </w:p>
    <w:p w14:paraId="6CFC0D80" w14:textId="77777777" w:rsidR="00155E61" w:rsidRPr="007E50F7" w:rsidRDefault="00A34925" w:rsidP="00140E11">
      <w:pPr>
        <w:pStyle w:val="Answer-Testimony"/>
        <w:ind w:firstLine="720"/>
      </w:pPr>
      <w:r w:rsidRPr="007E50F7">
        <w:lastRenderedPageBreak/>
        <w:t xml:space="preserve">Comparing </w:t>
      </w:r>
      <w:r w:rsidR="009C3ACB" w:rsidRPr="007E50F7">
        <w:t xml:space="preserve">the Company’s proposed rate design </w:t>
      </w:r>
      <w:r w:rsidRPr="007E50F7">
        <w:t>against</w:t>
      </w:r>
      <w:r w:rsidR="009C3ACB" w:rsidRPr="007E50F7">
        <w:t xml:space="preserve"> the current rate design, </w:t>
      </w:r>
      <w:r w:rsidR="00EB0A1F" w:rsidRPr="007E50F7">
        <w:t xml:space="preserve">a customer using </w:t>
      </w:r>
      <w:r w:rsidR="00871CF5" w:rsidRPr="007E50F7">
        <w:t>50</w:t>
      </w:r>
      <w:r w:rsidR="00EB0A1F" w:rsidRPr="007E50F7">
        <w:t xml:space="preserve"> kWh will have a </w:t>
      </w:r>
      <w:r w:rsidR="00871CF5" w:rsidRPr="007E50F7">
        <w:t>44.1</w:t>
      </w:r>
      <w:r w:rsidR="00EB0A1F" w:rsidRPr="007E50F7">
        <w:t xml:space="preserve">% increase, a customer using 300 kWh will have a 18.8% increase, a customer using </w:t>
      </w:r>
      <w:r w:rsidR="00AA1A67" w:rsidRPr="007E50F7">
        <w:t>1,000 kWh will have a 9.3</w:t>
      </w:r>
      <w:r w:rsidR="00EB0A1F" w:rsidRPr="007E50F7">
        <w:t xml:space="preserve">% increase, a customer using </w:t>
      </w:r>
      <w:r w:rsidR="00E45AF0" w:rsidRPr="007E50F7">
        <w:t>3,000 kWh will have a 5</w:t>
      </w:r>
      <w:r w:rsidR="00EB0A1F" w:rsidRPr="007E50F7">
        <w:t>.</w:t>
      </w:r>
      <w:r w:rsidR="00AA1A67" w:rsidRPr="007E50F7">
        <w:t>4</w:t>
      </w:r>
      <w:r w:rsidR="00EB0A1F" w:rsidRPr="007E50F7">
        <w:t>% increase,</w:t>
      </w:r>
      <w:r w:rsidR="00AA1A67" w:rsidRPr="007E50F7">
        <w:t xml:space="preserve"> </w:t>
      </w:r>
      <w:r w:rsidR="00EB0A1F" w:rsidRPr="007E50F7">
        <w:t>a</w:t>
      </w:r>
      <w:r w:rsidR="00967FB4" w:rsidRPr="007E50F7">
        <w:t>nd a</w:t>
      </w:r>
      <w:r w:rsidR="00EB0A1F" w:rsidRPr="007E50F7">
        <w:t xml:space="preserve"> customer using </w:t>
      </w:r>
      <w:r w:rsidR="00AA1A67" w:rsidRPr="007E50F7">
        <w:t>4,0</w:t>
      </w:r>
      <w:r w:rsidR="00EB0A1F" w:rsidRPr="007E50F7">
        <w:t xml:space="preserve">00 kWh will have a </w:t>
      </w:r>
      <w:r w:rsidR="00AA1A67" w:rsidRPr="007E50F7">
        <w:t>4</w:t>
      </w:r>
      <w:r w:rsidR="00EB0A1F" w:rsidRPr="007E50F7">
        <w:t>.</w:t>
      </w:r>
      <w:r w:rsidR="00AA1A67" w:rsidRPr="007E50F7">
        <w:t>9</w:t>
      </w:r>
      <w:r w:rsidR="00EB0A1F" w:rsidRPr="007E50F7">
        <w:t>% increase</w:t>
      </w:r>
      <w:r w:rsidR="00967FB4" w:rsidRPr="007E50F7">
        <w:t xml:space="preserve">.  These percentages show that </w:t>
      </w:r>
      <w:r w:rsidR="002C333C" w:rsidRPr="007E50F7">
        <w:t>the increases continu</w:t>
      </w:r>
      <w:r w:rsidR="00967FB4" w:rsidRPr="007E50F7">
        <w:t xml:space="preserve">e to </w:t>
      </w:r>
      <w:r w:rsidR="002C333C" w:rsidRPr="007E50F7">
        <w:t>get smaller the greater the usage</w:t>
      </w:r>
      <w:r w:rsidR="00EB0A1F" w:rsidRPr="007E50F7">
        <w:t>.</w:t>
      </w:r>
    </w:p>
    <w:p w14:paraId="6CFC0D81" w14:textId="77777777" w:rsidR="00CE30EB" w:rsidRPr="007E50F7" w:rsidRDefault="00545CF5" w:rsidP="00CE30EB">
      <w:pPr>
        <w:pStyle w:val="Answer-Testimony"/>
        <w:ind w:firstLine="720"/>
      </w:pPr>
      <w:r w:rsidRPr="007E50F7">
        <w:t xml:space="preserve">In short, Avista’s proposed </w:t>
      </w:r>
      <w:r w:rsidR="00AA1A67" w:rsidRPr="007E50F7">
        <w:t xml:space="preserve">flat cent increase </w:t>
      </w:r>
      <w:r w:rsidR="002C333C" w:rsidRPr="007E50F7">
        <w:t>is un</w:t>
      </w:r>
      <w:r w:rsidR="00AA1A67" w:rsidRPr="007E50F7">
        <w:t xml:space="preserve">fair, </w:t>
      </w:r>
      <w:r w:rsidR="002C333C" w:rsidRPr="007E50F7">
        <w:t>un</w:t>
      </w:r>
      <w:r w:rsidR="00AA1A67" w:rsidRPr="007E50F7">
        <w:t xml:space="preserve">just and </w:t>
      </w:r>
      <w:r w:rsidR="002C333C" w:rsidRPr="007E50F7">
        <w:t xml:space="preserve">unreasonable </w:t>
      </w:r>
      <w:r w:rsidR="00E62576" w:rsidRPr="007E50F7">
        <w:t xml:space="preserve">in this situation </w:t>
      </w:r>
      <w:r w:rsidR="002C333C" w:rsidRPr="007E50F7">
        <w:t>because it g</w:t>
      </w:r>
      <w:r w:rsidR="00AA1A67" w:rsidRPr="007E50F7">
        <w:t>oes against</w:t>
      </w:r>
      <w:r w:rsidR="009C3ACB" w:rsidRPr="007E50F7">
        <w:t xml:space="preserve"> </w:t>
      </w:r>
      <w:r w:rsidR="002C333C" w:rsidRPr="007E50F7">
        <w:t xml:space="preserve">the sound rate structure principle of </w:t>
      </w:r>
      <w:r w:rsidR="009C3ACB" w:rsidRPr="007E50F7">
        <w:t>discouraging wasteful use while promoting conservation</w:t>
      </w:r>
      <w:r w:rsidR="003430BA" w:rsidRPr="007E50F7">
        <w:t>.</w:t>
      </w:r>
      <w:r w:rsidR="00C833C7" w:rsidRPr="007E50F7">
        <w:rPr>
          <w:rStyle w:val="FootnoteReference"/>
        </w:rPr>
        <w:footnoteReference w:id="19"/>
      </w:r>
    </w:p>
    <w:p w14:paraId="6CFC0D82" w14:textId="77777777" w:rsidR="008A14BC" w:rsidRPr="007E50F7" w:rsidRDefault="008A14BC" w:rsidP="008A14BC">
      <w:pPr>
        <w:pStyle w:val="Answer-Testimony"/>
      </w:pPr>
    </w:p>
    <w:p w14:paraId="6CFC0D83" w14:textId="77777777" w:rsidR="008A14BC" w:rsidRPr="007E50F7" w:rsidRDefault="008A14BC" w:rsidP="008A14BC">
      <w:pPr>
        <w:pStyle w:val="Question-Testimony"/>
      </w:pPr>
      <w:r w:rsidRPr="007E50F7">
        <w:t>Q.</w:t>
      </w:r>
      <w:r w:rsidRPr="007E50F7">
        <w:tab/>
        <w:t xml:space="preserve">What are the </w:t>
      </w:r>
      <w:r w:rsidR="00967FB4" w:rsidRPr="007E50F7">
        <w:t xml:space="preserve">overarching </w:t>
      </w:r>
      <w:r w:rsidRPr="007E50F7">
        <w:t>benefits of Staff’s recommended rate design</w:t>
      </w:r>
      <w:r w:rsidR="00140E11" w:rsidRPr="007E50F7">
        <w:t xml:space="preserve"> changes</w:t>
      </w:r>
      <w:r w:rsidRPr="007E50F7">
        <w:t>?</w:t>
      </w:r>
    </w:p>
    <w:p w14:paraId="6CFC0D84" w14:textId="77777777" w:rsidR="008A14BC" w:rsidRPr="007E50F7" w:rsidRDefault="008A14BC" w:rsidP="008A14BC">
      <w:pPr>
        <w:pStyle w:val="Answer-Testimony"/>
      </w:pPr>
      <w:r w:rsidRPr="007E50F7">
        <w:t>A.</w:t>
      </w:r>
      <w:r w:rsidRPr="007E50F7">
        <w:tab/>
        <w:t xml:space="preserve">There are three broad benefits to Staff’s recommended </w:t>
      </w:r>
      <w:r w:rsidR="00A34925" w:rsidRPr="007E50F7">
        <w:t>rate design</w:t>
      </w:r>
      <w:r w:rsidR="00140E11" w:rsidRPr="007E50F7">
        <w:t xml:space="preserve"> changes</w:t>
      </w:r>
      <w:r w:rsidRPr="007E50F7">
        <w:t>: (1) revenue stability; (2) realigning the blocks to match the inelastic consumption of service for essential needs</w:t>
      </w:r>
      <w:r w:rsidR="00140E11" w:rsidRPr="007E50F7">
        <w:t>, as I have explained</w:t>
      </w:r>
      <w:r w:rsidRPr="007E50F7">
        <w:t>; and (3) providing proper price signals for conservation</w:t>
      </w:r>
      <w:r w:rsidR="00140E11" w:rsidRPr="007E50F7">
        <w:t xml:space="preserve"> and discouraging</w:t>
      </w:r>
      <w:r w:rsidR="00E16125" w:rsidRPr="007E50F7">
        <w:t xml:space="preserve"> wasteful use of service</w:t>
      </w:r>
      <w:r w:rsidRPr="007E50F7">
        <w:t>.</w:t>
      </w:r>
    </w:p>
    <w:p w14:paraId="6CFC0D85" w14:textId="77777777" w:rsidR="008A14BC" w:rsidRPr="007E50F7" w:rsidRDefault="008A14BC" w:rsidP="008A14BC">
      <w:pPr>
        <w:pStyle w:val="Answer-Testimony"/>
      </w:pPr>
    </w:p>
    <w:p w14:paraId="6CFC0D86" w14:textId="77777777" w:rsidR="008A14BC" w:rsidRPr="007E50F7" w:rsidRDefault="001F4EBF" w:rsidP="008A14BC">
      <w:pPr>
        <w:pStyle w:val="Question-Testimony"/>
      </w:pPr>
      <w:r w:rsidRPr="007E50F7">
        <w:t>Q.</w:t>
      </w:r>
      <w:r w:rsidRPr="007E50F7">
        <w:tab/>
        <w:t>How do Staff’s proposed rate design changes promote revenue stability?</w:t>
      </w:r>
    </w:p>
    <w:p w14:paraId="6CFC0D87" w14:textId="77777777" w:rsidR="00C92ED8" w:rsidRPr="007E50F7" w:rsidRDefault="008A14BC" w:rsidP="009F4942">
      <w:pPr>
        <w:pStyle w:val="Answer-Testimony"/>
      </w:pPr>
      <w:r w:rsidRPr="007E50F7">
        <w:t>A.</w:t>
      </w:r>
      <w:r w:rsidRPr="007E50F7">
        <w:tab/>
      </w:r>
      <w:r w:rsidR="006532B3" w:rsidRPr="007E50F7">
        <w:t xml:space="preserve">From year to year, rates should be stable and predictable </w:t>
      </w:r>
      <w:r w:rsidR="00545CF5" w:rsidRPr="007E50F7">
        <w:t xml:space="preserve">to help the Company manage </w:t>
      </w:r>
      <w:r w:rsidR="006532B3" w:rsidRPr="007E50F7">
        <w:t xml:space="preserve">cash flow effectively to meet the financial needs of the Company.  These needs include the costs of operations, maintenance, and administration as well as current debt service obligations.  Inverted block rate structures tend to result in more revenue volatility than other rate structures (i.e. declining and uniform block rates); </w:t>
      </w:r>
      <w:r w:rsidR="006532B3" w:rsidRPr="007E50F7">
        <w:lastRenderedPageBreak/>
        <w:t xml:space="preserve">this revenue volatility is because an inverted block rate anticipates recovering a proportionately greater percentage of the customer class’s revenue requirement at higher levels of consumption.  These higher levels of consumption tend to be </w:t>
      </w:r>
      <w:r w:rsidR="00344D85" w:rsidRPr="007E50F7">
        <w:t xml:space="preserve">susceptible to </w:t>
      </w:r>
      <w:r w:rsidR="006532B3" w:rsidRPr="007E50F7">
        <w:t>variations in seasonal weather, the economy, energy efficiencies, and conservation</w:t>
      </w:r>
      <w:r w:rsidR="00D119FD" w:rsidRPr="007E50F7">
        <w:t xml:space="preserve"> and</w:t>
      </w:r>
      <w:r w:rsidR="00545CF5" w:rsidRPr="007E50F7">
        <w:t>,</w:t>
      </w:r>
      <w:r w:rsidR="006532B3" w:rsidRPr="007E50F7">
        <w:t xml:space="preserve"> when coupled with a higher unit pricing, customers tend to curtail consumption in these higher consump</w:t>
      </w:r>
      <w:r w:rsidR="00C92ED8" w:rsidRPr="007E50F7">
        <w:t>tion blocks.</w:t>
      </w:r>
    </w:p>
    <w:p w14:paraId="6CFC0D88" w14:textId="77777777" w:rsidR="00D119FD" w:rsidRPr="007E50F7" w:rsidRDefault="003430BA" w:rsidP="00977B69">
      <w:pPr>
        <w:pStyle w:val="Answer-Testimony"/>
        <w:ind w:firstLine="720"/>
      </w:pPr>
      <w:r w:rsidRPr="007E50F7">
        <w:t>When there is</w:t>
      </w:r>
      <w:r w:rsidR="006532B3" w:rsidRPr="007E50F7">
        <w:t xml:space="preserve"> </w:t>
      </w:r>
      <w:r w:rsidR="00344D85" w:rsidRPr="007E50F7">
        <w:t xml:space="preserve">a </w:t>
      </w:r>
      <w:r w:rsidR="002A5205" w:rsidRPr="007E50F7">
        <w:t>larger share of total revenue from elastic usage</w:t>
      </w:r>
      <w:r w:rsidRPr="007E50F7">
        <w:t>, this</w:t>
      </w:r>
      <w:r w:rsidR="002A5205" w:rsidRPr="007E50F7">
        <w:t xml:space="preserve"> results in the total revenue being more susceptible to the short-run business cycle</w:t>
      </w:r>
      <w:r w:rsidR="00FD1827" w:rsidRPr="007E50F7">
        <w:t>s</w:t>
      </w:r>
      <w:r w:rsidR="002A5205" w:rsidRPr="007E50F7">
        <w:t xml:space="preserve">, which causes fluctuations in </w:t>
      </w:r>
      <w:r w:rsidR="00545CF5" w:rsidRPr="007E50F7">
        <w:t xml:space="preserve">the </w:t>
      </w:r>
      <w:r w:rsidR="002A5205" w:rsidRPr="007E50F7">
        <w:t xml:space="preserve">revenue stream.  Therefore, </w:t>
      </w:r>
      <w:r w:rsidR="00C92ED8" w:rsidRPr="007E50F7">
        <w:t>by i</w:t>
      </w:r>
      <w:r w:rsidR="009F4D1B" w:rsidRPr="007E50F7">
        <w:t>mplementing Staff’s rate design proposals</w:t>
      </w:r>
      <w:r w:rsidR="00FD1827" w:rsidRPr="007E50F7">
        <w:t xml:space="preserve"> of setting the rate design structure to appropriately reflect customer-related costs in the base charge, adjusting the blocks to consider inelastic demand and discretionary energy usage in the tail block, and applying a uniform percent increase</w:t>
      </w:r>
      <w:r w:rsidR="00C92ED8" w:rsidRPr="007E50F7">
        <w:t xml:space="preserve"> to include low elasticity usage</w:t>
      </w:r>
      <w:r w:rsidR="00FD1827" w:rsidRPr="007E50F7">
        <w:t>;</w:t>
      </w:r>
      <w:r w:rsidR="00C92ED8" w:rsidRPr="007E50F7">
        <w:t xml:space="preserve"> the revenue risk </w:t>
      </w:r>
      <w:r w:rsidR="00FD1827" w:rsidRPr="007E50F7">
        <w:t xml:space="preserve">that tends to be more susceptible would </w:t>
      </w:r>
      <w:r w:rsidR="00C92ED8" w:rsidRPr="007E50F7">
        <w:t>be reduced</w:t>
      </w:r>
      <w:r w:rsidR="007B01C1" w:rsidRPr="007E50F7">
        <w:t>,</w:t>
      </w:r>
      <w:r w:rsidR="00C92ED8" w:rsidRPr="007E50F7">
        <w:t xml:space="preserve"> which</w:t>
      </w:r>
      <w:r w:rsidR="007B01C1" w:rsidRPr="007E50F7">
        <w:t xml:space="preserve"> </w:t>
      </w:r>
      <w:r w:rsidR="00140E11" w:rsidRPr="007E50F7">
        <w:t xml:space="preserve">will lead to </w:t>
      </w:r>
      <w:r w:rsidR="00967FB4" w:rsidRPr="007E50F7">
        <w:t xml:space="preserve">greater </w:t>
      </w:r>
      <w:r w:rsidR="009F4D1B" w:rsidRPr="007E50F7">
        <w:t>revenue stability and predictability which is one of the attributes of a sound rate structure</w:t>
      </w:r>
      <w:r w:rsidR="00741EC7">
        <w:t>.</w:t>
      </w:r>
      <w:r w:rsidR="009F4D1B" w:rsidRPr="007E50F7">
        <w:rPr>
          <w:rStyle w:val="FootnoteReference"/>
        </w:rPr>
        <w:footnoteReference w:id="20"/>
      </w:r>
    </w:p>
    <w:p w14:paraId="6CFC0D89" w14:textId="77777777" w:rsidR="003466EE" w:rsidRPr="007E50F7" w:rsidRDefault="00D70E85" w:rsidP="00532D68">
      <w:pPr>
        <w:pStyle w:val="Answer-Testimony"/>
        <w:ind w:firstLine="720"/>
      </w:pPr>
      <w:r w:rsidRPr="007E50F7">
        <w:t>Staff’s analysis</w:t>
      </w:r>
      <w:r w:rsidRPr="007E50F7">
        <w:rPr>
          <w:rStyle w:val="FootnoteReference"/>
        </w:rPr>
        <w:footnoteReference w:id="21"/>
      </w:r>
      <w:r w:rsidRPr="007E50F7">
        <w:t xml:space="preserve"> for </w:t>
      </w:r>
      <w:r w:rsidR="00315B76" w:rsidRPr="007E50F7">
        <w:t xml:space="preserve">Residential </w:t>
      </w:r>
      <w:r w:rsidRPr="007E50F7">
        <w:t>Schedule 1,</w:t>
      </w:r>
      <w:r w:rsidR="007B7A24" w:rsidRPr="007E50F7">
        <w:t xml:space="preserve"> reflected in Table </w:t>
      </w:r>
      <w:r w:rsidR="0036396B" w:rsidRPr="007E50F7">
        <w:t>6</w:t>
      </w:r>
      <w:r w:rsidR="007B7A24" w:rsidRPr="007E50F7">
        <w:t xml:space="preserve"> below,</w:t>
      </w:r>
      <w:r w:rsidRPr="007E50F7">
        <w:t xml:space="preserve"> demonstrates</w:t>
      </w:r>
      <w:r w:rsidR="00967FB4" w:rsidRPr="007E50F7">
        <w:t xml:space="preserve"> that</w:t>
      </w:r>
      <w:r w:rsidRPr="007E50F7">
        <w:t xml:space="preserve"> </w:t>
      </w:r>
      <w:r w:rsidR="008A14BC" w:rsidRPr="007E50F7">
        <w:t>the current</w:t>
      </w:r>
      <w:r w:rsidR="003430BA" w:rsidRPr="007E50F7">
        <w:t xml:space="preserve"> rate design</w:t>
      </w:r>
      <w:r w:rsidR="008A14BC" w:rsidRPr="007E50F7">
        <w:t xml:space="preserve"> and</w:t>
      </w:r>
      <w:r w:rsidR="00A34925" w:rsidRPr="007E50F7">
        <w:t xml:space="preserve"> the Company’s</w:t>
      </w:r>
      <w:r w:rsidR="008A14BC" w:rsidRPr="007E50F7">
        <w:t xml:space="preserve"> proposed rate designs </w:t>
      </w:r>
      <w:r w:rsidR="00140E11" w:rsidRPr="007E50F7">
        <w:t>produce</w:t>
      </w:r>
      <w:r w:rsidR="008A14BC" w:rsidRPr="007E50F7">
        <w:t xml:space="preserve"> revenue </w:t>
      </w:r>
      <w:r w:rsidR="00140E11" w:rsidRPr="007E50F7">
        <w:t>instability</w:t>
      </w:r>
      <w:r w:rsidR="00543CE7" w:rsidRPr="007E50F7">
        <w:t xml:space="preserve">, due to </w:t>
      </w:r>
      <w:r w:rsidR="00C92ED8" w:rsidRPr="007E50F7">
        <w:t xml:space="preserve">the percentage of revenue </w:t>
      </w:r>
      <w:r w:rsidR="00D417DB" w:rsidRPr="007E50F7">
        <w:t xml:space="preserve">being less in the first block and greater </w:t>
      </w:r>
      <w:r w:rsidR="00543CE7" w:rsidRPr="007E50F7">
        <w:t xml:space="preserve">within the third block </w:t>
      </w:r>
      <w:r w:rsidR="002627B3" w:rsidRPr="007E50F7">
        <w:t>compared to Staff’s proposal</w:t>
      </w:r>
      <w:r w:rsidR="007B01C1" w:rsidRPr="007E50F7">
        <w:t>.</w:t>
      </w:r>
    </w:p>
    <w:p w14:paraId="6CFC0D8A" w14:textId="77777777" w:rsidR="00532D68" w:rsidRPr="007E50F7" w:rsidRDefault="00532D68" w:rsidP="00532D68">
      <w:pPr>
        <w:pStyle w:val="Answer-Testimony"/>
        <w:ind w:firstLine="720"/>
      </w:pPr>
    </w:p>
    <w:p w14:paraId="6CFC0D8B" w14:textId="77777777" w:rsidR="00532D68" w:rsidRPr="007E50F7" w:rsidRDefault="00532D68" w:rsidP="00532D68">
      <w:pPr>
        <w:pStyle w:val="Answer-Testimony"/>
        <w:ind w:firstLine="720"/>
      </w:pPr>
    </w:p>
    <w:p w14:paraId="6CFC0D8C" w14:textId="77777777" w:rsidR="00532D68" w:rsidRPr="007E50F7" w:rsidRDefault="00532D68" w:rsidP="00532D68">
      <w:pPr>
        <w:pStyle w:val="Answer-Testimony"/>
        <w:ind w:firstLine="720"/>
      </w:pPr>
    </w:p>
    <w:p w14:paraId="6CFC0D8D" w14:textId="77777777" w:rsidR="00532D68" w:rsidRPr="007E50F7" w:rsidRDefault="00532D68" w:rsidP="00532D68">
      <w:pPr>
        <w:pStyle w:val="Answer-Testimony"/>
        <w:ind w:firstLine="720"/>
      </w:pPr>
    </w:p>
    <w:tbl>
      <w:tblPr>
        <w:tblpPr w:leftFromText="187" w:rightFromText="187" w:vertAnchor="text" w:horzAnchor="page" w:tblpX="2634" w:tblpY="818"/>
        <w:tblOverlap w:val="never"/>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691"/>
        <w:gridCol w:w="1296"/>
        <w:gridCol w:w="1296"/>
        <w:gridCol w:w="1296"/>
      </w:tblGrid>
      <w:tr w:rsidR="007E50F7" w:rsidRPr="007E50F7" w14:paraId="6CFC0D90" w14:textId="77777777" w:rsidTr="00CE30EB">
        <w:trPr>
          <w:cantSplit/>
        </w:trPr>
        <w:tc>
          <w:tcPr>
            <w:tcW w:w="4691" w:type="dxa"/>
            <w:vMerge w:val="restart"/>
            <w:vAlign w:val="bottom"/>
          </w:tcPr>
          <w:p w14:paraId="6CFC0D8E" w14:textId="77777777" w:rsidR="00CE30EB" w:rsidRPr="007E50F7" w:rsidRDefault="00CE30EB" w:rsidP="00CE30EB">
            <w:pPr>
              <w:pStyle w:val="answer"/>
              <w:keepNext/>
              <w:spacing w:before="60" w:after="60" w:line="240" w:lineRule="auto"/>
              <w:ind w:left="0"/>
              <w:jc w:val="center"/>
              <w:rPr>
                <w:b/>
              </w:rPr>
            </w:pPr>
            <w:r w:rsidRPr="007E50F7">
              <w:rPr>
                <w:b/>
              </w:rPr>
              <w:t>Rate Design Structure</w:t>
            </w:r>
          </w:p>
        </w:tc>
        <w:tc>
          <w:tcPr>
            <w:tcW w:w="3888" w:type="dxa"/>
            <w:gridSpan w:val="3"/>
            <w:vAlign w:val="center"/>
          </w:tcPr>
          <w:p w14:paraId="6CFC0D8F" w14:textId="77777777" w:rsidR="00CE30EB" w:rsidRPr="007E50F7" w:rsidRDefault="00CE30EB" w:rsidP="00CE30EB">
            <w:pPr>
              <w:pStyle w:val="answer"/>
              <w:keepNext/>
              <w:spacing w:before="60" w:after="60" w:line="240" w:lineRule="auto"/>
              <w:ind w:left="0" w:firstLine="0"/>
              <w:jc w:val="center"/>
              <w:rPr>
                <w:b/>
              </w:rPr>
            </w:pPr>
            <w:r w:rsidRPr="007E50F7">
              <w:rPr>
                <w:b/>
              </w:rPr>
              <w:t>Percentage of Revenues</w:t>
            </w:r>
          </w:p>
        </w:tc>
      </w:tr>
      <w:tr w:rsidR="007E50F7" w:rsidRPr="007E50F7" w14:paraId="6CFC0D95" w14:textId="77777777" w:rsidTr="00CE30EB">
        <w:trPr>
          <w:cantSplit/>
        </w:trPr>
        <w:tc>
          <w:tcPr>
            <w:tcW w:w="4691" w:type="dxa"/>
            <w:vMerge/>
            <w:vAlign w:val="center"/>
          </w:tcPr>
          <w:p w14:paraId="6CFC0D91" w14:textId="77777777" w:rsidR="00CE30EB" w:rsidRPr="007E50F7" w:rsidRDefault="00CE30EB" w:rsidP="00CE30EB">
            <w:pPr>
              <w:pStyle w:val="answer"/>
              <w:keepNext/>
              <w:spacing w:before="60" w:after="60" w:line="240" w:lineRule="auto"/>
              <w:ind w:left="0" w:firstLine="0"/>
              <w:jc w:val="center"/>
              <w:rPr>
                <w:b/>
              </w:rPr>
            </w:pPr>
          </w:p>
        </w:tc>
        <w:tc>
          <w:tcPr>
            <w:tcW w:w="1296" w:type="dxa"/>
            <w:vAlign w:val="center"/>
          </w:tcPr>
          <w:p w14:paraId="6CFC0D92" w14:textId="77777777" w:rsidR="00CE30EB" w:rsidRPr="007E50F7" w:rsidRDefault="00CE30EB" w:rsidP="00CE30EB">
            <w:pPr>
              <w:pStyle w:val="answer"/>
              <w:keepNext/>
              <w:spacing w:before="60" w:after="60" w:line="240" w:lineRule="auto"/>
              <w:ind w:left="0" w:firstLine="0"/>
              <w:jc w:val="center"/>
              <w:rPr>
                <w:b/>
              </w:rPr>
            </w:pPr>
            <w:r w:rsidRPr="007E50F7">
              <w:rPr>
                <w:b/>
              </w:rPr>
              <w:t>Current</w:t>
            </w:r>
          </w:p>
        </w:tc>
        <w:tc>
          <w:tcPr>
            <w:tcW w:w="1296" w:type="dxa"/>
            <w:vAlign w:val="center"/>
          </w:tcPr>
          <w:p w14:paraId="6CFC0D93" w14:textId="77777777" w:rsidR="00CE30EB" w:rsidRPr="007E50F7" w:rsidRDefault="00CE30EB" w:rsidP="00CE30EB">
            <w:pPr>
              <w:pStyle w:val="answer"/>
              <w:keepNext/>
              <w:spacing w:before="60" w:after="60" w:line="240" w:lineRule="auto"/>
              <w:ind w:left="0" w:firstLine="0"/>
              <w:jc w:val="center"/>
              <w:rPr>
                <w:b/>
              </w:rPr>
            </w:pPr>
            <w:r w:rsidRPr="007E50F7">
              <w:rPr>
                <w:b/>
              </w:rPr>
              <w:t>Company Proposal</w:t>
            </w:r>
          </w:p>
        </w:tc>
        <w:tc>
          <w:tcPr>
            <w:tcW w:w="1296" w:type="dxa"/>
            <w:vAlign w:val="center"/>
          </w:tcPr>
          <w:p w14:paraId="6CFC0D94" w14:textId="77777777" w:rsidR="00CE30EB" w:rsidRPr="007E50F7" w:rsidRDefault="00CE30EB" w:rsidP="00CE30EB">
            <w:pPr>
              <w:pStyle w:val="answer"/>
              <w:keepNext/>
              <w:spacing w:before="60" w:after="60" w:line="240" w:lineRule="auto"/>
              <w:ind w:left="0" w:firstLine="0"/>
              <w:jc w:val="center"/>
              <w:rPr>
                <w:b/>
              </w:rPr>
            </w:pPr>
            <w:r w:rsidRPr="007E50F7">
              <w:rPr>
                <w:b/>
              </w:rPr>
              <w:t>Staff Proposal</w:t>
            </w:r>
          </w:p>
        </w:tc>
      </w:tr>
      <w:tr w:rsidR="007E50F7" w:rsidRPr="007E50F7" w14:paraId="6CFC0D9A" w14:textId="77777777" w:rsidTr="00CE30EB">
        <w:trPr>
          <w:cantSplit/>
        </w:trPr>
        <w:tc>
          <w:tcPr>
            <w:tcW w:w="4691" w:type="dxa"/>
            <w:vAlign w:val="center"/>
          </w:tcPr>
          <w:p w14:paraId="6CFC0D96" w14:textId="77777777" w:rsidR="00CE30EB" w:rsidRPr="007E50F7" w:rsidRDefault="00CE30EB" w:rsidP="00CE30EB">
            <w:pPr>
              <w:pStyle w:val="answer"/>
              <w:keepNext/>
              <w:spacing w:before="60" w:after="60" w:line="240" w:lineRule="auto"/>
              <w:ind w:left="0" w:firstLine="0"/>
            </w:pPr>
            <w:r w:rsidRPr="007E50F7">
              <w:t>Base Charge</w:t>
            </w:r>
          </w:p>
        </w:tc>
        <w:tc>
          <w:tcPr>
            <w:tcW w:w="1296" w:type="dxa"/>
            <w:vAlign w:val="center"/>
          </w:tcPr>
          <w:p w14:paraId="6CFC0D97" w14:textId="77777777" w:rsidR="00CE30EB" w:rsidRPr="007E50F7" w:rsidRDefault="00CE30EB" w:rsidP="00CE30EB">
            <w:pPr>
              <w:pStyle w:val="answer"/>
              <w:keepNext/>
              <w:spacing w:before="60" w:after="60" w:line="240" w:lineRule="auto"/>
              <w:ind w:left="0" w:firstLine="0"/>
              <w:jc w:val="center"/>
            </w:pPr>
            <w:r w:rsidRPr="007E50F7">
              <w:t>7.2%</w:t>
            </w:r>
          </w:p>
        </w:tc>
        <w:tc>
          <w:tcPr>
            <w:tcW w:w="1296" w:type="dxa"/>
            <w:vAlign w:val="center"/>
          </w:tcPr>
          <w:p w14:paraId="6CFC0D98" w14:textId="77777777" w:rsidR="00CE30EB" w:rsidRPr="007E50F7" w:rsidRDefault="007B7A24" w:rsidP="00CE30EB">
            <w:pPr>
              <w:pStyle w:val="answer"/>
              <w:keepNext/>
              <w:spacing w:before="60" w:after="60" w:line="240" w:lineRule="auto"/>
              <w:ind w:left="0" w:firstLine="0"/>
              <w:jc w:val="center"/>
            </w:pPr>
            <w:r w:rsidRPr="007E50F7">
              <w:t>11.0</w:t>
            </w:r>
            <w:r w:rsidR="00CE30EB" w:rsidRPr="007E50F7">
              <w:t>%</w:t>
            </w:r>
          </w:p>
        </w:tc>
        <w:tc>
          <w:tcPr>
            <w:tcW w:w="1296" w:type="dxa"/>
            <w:vAlign w:val="center"/>
          </w:tcPr>
          <w:p w14:paraId="6CFC0D99" w14:textId="77777777" w:rsidR="00CE30EB" w:rsidRPr="007E50F7" w:rsidRDefault="00F47CE6" w:rsidP="00F47CE6">
            <w:pPr>
              <w:pStyle w:val="answer"/>
              <w:keepNext/>
              <w:spacing w:before="60" w:after="60" w:line="240" w:lineRule="auto"/>
              <w:ind w:left="0" w:firstLine="0"/>
              <w:jc w:val="center"/>
            </w:pPr>
            <w:r w:rsidRPr="007E50F7">
              <w:t>8</w:t>
            </w:r>
            <w:r w:rsidR="007B7A24" w:rsidRPr="007E50F7">
              <w:t>.</w:t>
            </w:r>
            <w:r w:rsidR="00E45AF0" w:rsidRPr="007E50F7">
              <w:t>7</w:t>
            </w:r>
            <w:r w:rsidR="00CE30EB" w:rsidRPr="007E50F7">
              <w:t>%</w:t>
            </w:r>
          </w:p>
        </w:tc>
      </w:tr>
      <w:tr w:rsidR="007E50F7" w:rsidRPr="007E50F7" w14:paraId="6CFC0D9F" w14:textId="77777777" w:rsidTr="00CE30EB">
        <w:trPr>
          <w:cantSplit/>
        </w:trPr>
        <w:tc>
          <w:tcPr>
            <w:tcW w:w="4691" w:type="dxa"/>
            <w:vAlign w:val="center"/>
          </w:tcPr>
          <w:p w14:paraId="6CFC0D9B" w14:textId="77777777" w:rsidR="00CE30EB" w:rsidRPr="007E50F7" w:rsidRDefault="00CE30EB" w:rsidP="00CE30EB">
            <w:pPr>
              <w:pStyle w:val="answer"/>
              <w:keepNext/>
              <w:spacing w:before="60" w:after="60" w:line="240" w:lineRule="auto"/>
              <w:ind w:left="0" w:firstLine="0"/>
            </w:pPr>
            <w:r w:rsidRPr="007E50F7">
              <w:t>First Block</w:t>
            </w:r>
          </w:p>
        </w:tc>
        <w:tc>
          <w:tcPr>
            <w:tcW w:w="1296" w:type="dxa"/>
            <w:vAlign w:val="center"/>
          </w:tcPr>
          <w:p w14:paraId="6CFC0D9C" w14:textId="77777777" w:rsidR="00CE30EB" w:rsidRPr="007E50F7" w:rsidRDefault="00CE30EB" w:rsidP="00CE30EB">
            <w:pPr>
              <w:pStyle w:val="answer"/>
              <w:keepNext/>
              <w:spacing w:before="60" w:after="60" w:line="240" w:lineRule="auto"/>
              <w:ind w:left="0" w:firstLine="0"/>
              <w:jc w:val="center"/>
            </w:pPr>
            <w:r w:rsidRPr="007E50F7">
              <w:t>43.2%</w:t>
            </w:r>
          </w:p>
        </w:tc>
        <w:tc>
          <w:tcPr>
            <w:tcW w:w="1296" w:type="dxa"/>
            <w:vAlign w:val="center"/>
          </w:tcPr>
          <w:p w14:paraId="6CFC0D9D" w14:textId="77777777" w:rsidR="00CE30EB" w:rsidRPr="007E50F7" w:rsidRDefault="007B7A24" w:rsidP="00CE30EB">
            <w:pPr>
              <w:pStyle w:val="answer"/>
              <w:keepNext/>
              <w:spacing w:before="60" w:after="60" w:line="240" w:lineRule="auto"/>
              <w:ind w:left="0" w:firstLine="0"/>
              <w:jc w:val="center"/>
            </w:pPr>
            <w:r w:rsidRPr="007E50F7">
              <w:t>41.7</w:t>
            </w:r>
            <w:r w:rsidR="00CE30EB" w:rsidRPr="007E50F7">
              <w:t>%</w:t>
            </w:r>
          </w:p>
        </w:tc>
        <w:tc>
          <w:tcPr>
            <w:tcW w:w="1296" w:type="dxa"/>
            <w:vAlign w:val="center"/>
          </w:tcPr>
          <w:p w14:paraId="6CFC0D9E" w14:textId="77777777" w:rsidR="00CE30EB" w:rsidRPr="007E50F7" w:rsidRDefault="00F47CE6" w:rsidP="00F47CE6">
            <w:pPr>
              <w:pStyle w:val="answer"/>
              <w:keepNext/>
              <w:spacing w:before="60" w:after="60" w:line="240" w:lineRule="auto"/>
              <w:ind w:left="0" w:firstLine="0"/>
              <w:jc w:val="center"/>
            </w:pPr>
            <w:r w:rsidRPr="007E50F7">
              <w:t>53</w:t>
            </w:r>
            <w:r w:rsidR="007B7A24" w:rsidRPr="007E50F7">
              <w:t>.</w:t>
            </w:r>
            <w:r w:rsidR="00E45AF0" w:rsidRPr="007E50F7">
              <w:t>6</w:t>
            </w:r>
            <w:r w:rsidR="00CE30EB" w:rsidRPr="007E50F7">
              <w:t>%</w:t>
            </w:r>
          </w:p>
        </w:tc>
      </w:tr>
      <w:tr w:rsidR="007E50F7" w:rsidRPr="007E50F7" w14:paraId="6CFC0DA4" w14:textId="77777777" w:rsidTr="00CE30EB">
        <w:trPr>
          <w:cantSplit/>
        </w:trPr>
        <w:tc>
          <w:tcPr>
            <w:tcW w:w="4691" w:type="dxa"/>
            <w:vAlign w:val="center"/>
          </w:tcPr>
          <w:p w14:paraId="6CFC0DA0" w14:textId="77777777" w:rsidR="00CE30EB" w:rsidRPr="007E50F7" w:rsidRDefault="00CE30EB" w:rsidP="00CE30EB">
            <w:pPr>
              <w:pStyle w:val="answer"/>
              <w:keepNext/>
              <w:spacing w:before="60" w:after="60" w:line="240" w:lineRule="auto"/>
              <w:ind w:left="0" w:firstLine="0"/>
            </w:pPr>
            <w:r w:rsidRPr="007E50F7">
              <w:t>Second Block</w:t>
            </w:r>
          </w:p>
        </w:tc>
        <w:tc>
          <w:tcPr>
            <w:tcW w:w="1296" w:type="dxa"/>
            <w:vAlign w:val="center"/>
          </w:tcPr>
          <w:p w14:paraId="6CFC0DA1" w14:textId="77777777" w:rsidR="00CE30EB" w:rsidRPr="007E50F7" w:rsidRDefault="00CE30EB" w:rsidP="00CE30EB">
            <w:pPr>
              <w:pStyle w:val="answer"/>
              <w:keepNext/>
              <w:spacing w:before="60" w:after="60" w:line="240" w:lineRule="auto"/>
              <w:ind w:left="0" w:firstLine="0"/>
              <w:jc w:val="center"/>
            </w:pPr>
            <w:r w:rsidRPr="007E50F7">
              <w:t>28.9%</w:t>
            </w:r>
          </w:p>
        </w:tc>
        <w:tc>
          <w:tcPr>
            <w:tcW w:w="1296" w:type="dxa"/>
            <w:vAlign w:val="center"/>
          </w:tcPr>
          <w:p w14:paraId="6CFC0DA2" w14:textId="77777777" w:rsidR="00CE30EB" w:rsidRPr="007E50F7" w:rsidRDefault="007B7A24" w:rsidP="00CE30EB">
            <w:pPr>
              <w:pStyle w:val="answer"/>
              <w:keepNext/>
              <w:spacing w:before="60" w:after="60" w:line="240" w:lineRule="auto"/>
              <w:ind w:left="0" w:firstLine="0"/>
              <w:jc w:val="center"/>
            </w:pPr>
            <w:r w:rsidRPr="007E50F7">
              <w:t>27.7</w:t>
            </w:r>
            <w:r w:rsidR="00CE30EB" w:rsidRPr="007E50F7">
              <w:t>%</w:t>
            </w:r>
          </w:p>
        </w:tc>
        <w:tc>
          <w:tcPr>
            <w:tcW w:w="1296" w:type="dxa"/>
            <w:vAlign w:val="center"/>
          </w:tcPr>
          <w:p w14:paraId="6CFC0DA3" w14:textId="77777777" w:rsidR="00CE30EB" w:rsidRPr="007E50F7" w:rsidRDefault="00F47CE6" w:rsidP="00F47CE6">
            <w:pPr>
              <w:pStyle w:val="answer"/>
              <w:keepNext/>
              <w:spacing w:before="60" w:after="60" w:line="240" w:lineRule="auto"/>
              <w:ind w:left="0" w:firstLine="0"/>
              <w:jc w:val="center"/>
            </w:pPr>
            <w:r w:rsidRPr="007E50F7">
              <w:t>21</w:t>
            </w:r>
            <w:r w:rsidR="007B7A24" w:rsidRPr="007E50F7">
              <w:t>.</w:t>
            </w:r>
            <w:r w:rsidRPr="007E50F7">
              <w:t>6</w:t>
            </w:r>
            <w:r w:rsidR="00CE30EB" w:rsidRPr="007E50F7">
              <w:t>%</w:t>
            </w:r>
          </w:p>
        </w:tc>
      </w:tr>
      <w:tr w:rsidR="007E50F7" w:rsidRPr="007E50F7" w14:paraId="6CFC0DA9" w14:textId="77777777" w:rsidTr="00CE30EB">
        <w:trPr>
          <w:cantSplit/>
        </w:trPr>
        <w:tc>
          <w:tcPr>
            <w:tcW w:w="4691" w:type="dxa"/>
            <w:vAlign w:val="center"/>
          </w:tcPr>
          <w:p w14:paraId="6CFC0DA5" w14:textId="77777777" w:rsidR="00CE30EB" w:rsidRPr="007E50F7" w:rsidRDefault="00CE30EB" w:rsidP="00CE30EB">
            <w:pPr>
              <w:pStyle w:val="answer"/>
              <w:keepNext/>
              <w:spacing w:before="60" w:after="60" w:line="240" w:lineRule="auto"/>
              <w:ind w:left="0" w:firstLine="0"/>
            </w:pPr>
            <w:r w:rsidRPr="007E50F7">
              <w:t>Third Block</w:t>
            </w:r>
          </w:p>
        </w:tc>
        <w:tc>
          <w:tcPr>
            <w:tcW w:w="1296" w:type="dxa"/>
            <w:vAlign w:val="center"/>
          </w:tcPr>
          <w:p w14:paraId="6CFC0DA6" w14:textId="77777777" w:rsidR="00CE30EB" w:rsidRPr="007E50F7" w:rsidRDefault="00CE30EB" w:rsidP="00CE30EB">
            <w:pPr>
              <w:pStyle w:val="answer"/>
              <w:keepNext/>
              <w:spacing w:before="60" w:after="60" w:line="240" w:lineRule="auto"/>
              <w:ind w:left="0" w:firstLine="0"/>
              <w:jc w:val="center"/>
            </w:pPr>
            <w:r w:rsidRPr="007E50F7">
              <w:t>20.6%</w:t>
            </w:r>
          </w:p>
        </w:tc>
        <w:tc>
          <w:tcPr>
            <w:tcW w:w="1296" w:type="dxa"/>
            <w:vAlign w:val="center"/>
          </w:tcPr>
          <w:p w14:paraId="6CFC0DA7" w14:textId="77777777" w:rsidR="00CE30EB" w:rsidRPr="007E50F7" w:rsidRDefault="007B7A24" w:rsidP="00CE30EB">
            <w:pPr>
              <w:pStyle w:val="answer"/>
              <w:keepNext/>
              <w:spacing w:before="60" w:after="60" w:line="240" w:lineRule="auto"/>
              <w:ind w:left="0" w:firstLine="0"/>
              <w:jc w:val="center"/>
            </w:pPr>
            <w:r w:rsidRPr="007E50F7">
              <w:t>19.6</w:t>
            </w:r>
            <w:r w:rsidR="00CE30EB" w:rsidRPr="007E50F7">
              <w:t>%</w:t>
            </w:r>
          </w:p>
        </w:tc>
        <w:tc>
          <w:tcPr>
            <w:tcW w:w="1296" w:type="dxa"/>
            <w:vAlign w:val="center"/>
          </w:tcPr>
          <w:p w14:paraId="6CFC0DA8" w14:textId="77777777" w:rsidR="00CE30EB" w:rsidRPr="007E50F7" w:rsidRDefault="00F47CE6" w:rsidP="00AA0706">
            <w:pPr>
              <w:pStyle w:val="answer"/>
              <w:keepNext/>
              <w:spacing w:before="60" w:after="60" w:line="240" w:lineRule="auto"/>
              <w:ind w:left="0" w:firstLine="0"/>
              <w:jc w:val="center"/>
            </w:pPr>
            <w:r w:rsidRPr="007E50F7">
              <w:t>16.1</w:t>
            </w:r>
            <w:r w:rsidR="00CE30EB" w:rsidRPr="007E50F7">
              <w:t>%</w:t>
            </w:r>
          </w:p>
        </w:tc>
      </w:tr>
    </w:tbl>
    <w:p w14:paraId="6CFC0DAA" w14:textId="77777777" w:rsidR="00CE30EB" w:rsidRPr="007E50F7" w:rsidRDefault="00CE30EB" w:rsidP="00CE30EB">
      <w:pPr>
        <w:pStyle w:val="Answer-Testimony"/>
        <w:jc w:val="center"/>
      </w:pPr>
      <w:r w:rsidRPr="007E50F7">
        <w:t xml:space="preserve">Table </w:t>
      </w:r>
      <w:r w:rsidR="0036396B" w:rsidRPr="007E50F7">
        <w:t>6</w:t>
      </w:r>
      <w:r w:rsidRPr="007E50F7">
        <w:t>:  Summary of Percentage</w:t>
      </w:r>
      <w:r w:rsidR="007B7A24" w:rsidRPr="007E50F7">
        <w:t xml:space="preserve"> of Revenue</w:t>
      </w:r>
      <w:r w:rsidRPr="007E50F7">
        <w:t>s</w:t>
      </w:r>
      <w:r w:rsidR="004D3C42" w:rsidRPr="007E50F7">
        <w:t xml:space="preserve"> by Rate Design Structure</w:t>
      </w:r>
    </w:p>
    <w:p w14:paraId="6CFC0DAB" w14:textId="77777777" w:rsidR="0022334C" w:rsidRPr="007E50F7" w:rsidRDefault="0022334C" w:rsidP="00CE30EB">
      <w:pPr>
        <w:pStyle w:val="Answer-Testimony"/>
        <w:jc w:val="center"/>
      </w:pPr>
    </w:p>
    <w:p w14:paraId="6CFC0DAC" w14:textId="77777777" w:rsidR="0022334C" w:rsidRPr="007E50F7" w:rsidRDefault="0022334C" w:rsidP="00CE30EB">
      <w:pPr>
        <w:pStyle w:val="Answer-Testimony"/>
        <w:jc w:val="center"/>
      </w:pPr>
    </w:p>
    <w:p w14:paraId="6CFC0DAD" w14:textId="77777777" w:rsidR="0022334C" w:rsidRPr="007E50F7" w:rsidRDefault="0022334C" w:rsidP="00CE30EB">
      <w:pPr>
        <w:pStyle w:val="Answer-Testimony"/>
        <w:jc w:val="center"/>
      </w:pPr>
    </w:p>
    <w:p w14:paraId="6CFC0DAE" w14:textId="77777777" w:rsidR="0022334C" w:rsidRPr="007E50F7" w:rsidRDefault="0022334C" w:rsidP="00CE30EB">
      <w:pPr>
        <w:pStyle w:val="Answer-Testimony"/>
        <w:jc w:val="center"/>
      </w:pPr>
    </w:p>
    <w:p w14:paraId="6CFC0DAF" w14:textId="77777777" w:rsidR="0022334C" w:rsidRPr="007E50F7" w:rsidRDefault="0022334C" w:rsidP="00CE30EB">
      <w:pPr>
        <w:pStyle w:val="Answer-Testimony"/>
        <w:jc w:val="center"/>
      </w:pPr>
    </w:p>
    <w:p w14:paraId="6CFC0DB0" w14:textId="77777777" w:rsidR="0022334C" w:rsidRPr="007E50F7" w:rsidRDefault="0022334C" w:rsidP="00CE30EB">
      <w:pPr>
        <w:pStyle w:val="Answer-Testimony"/>
        <w:jc w:val="center"/>
      </w:pPr>
    </w:p>
    <w:p w14:paraId="6CFC0DB1" w14:textId="77777777" w:rsidR="00CE30EB" w:rsidRPr="000559D0" w:rsidRDefault="00CE30EB" w:rsidP="00545CF5">
      <w:pPr>
        <w:pStyle w:val="Answer-Testimony"/>
        <w:rPr>
          <w:color w:val="FFFFFF" w:themeColor="background1"/>
        </w:rPr>
      </w:pPr>
      <w:r w:rsidRPr="000559D0">
        <w:rPr>
          <w:color w:val="FFFFFF" w:themeColor="background1"/>
        </w:rPr>
        <w:t>R</w:t>
      </w:r>
    </w:p>
    <w:p w14:paraId="6CFC0DB2" w14:textId="77777777" w:rsidR="008A14BC" w:rsidRPr="007E50F7" w:rsidRDefault="008A14BC" w:rsidP="008A14BC">
      <w:pPr>
        <w:pStyle w:val="Question-Testimony"/>
      </w:pPr>
      <w:r w:rsidRPr="007E50F7">
        <w:t>Q.</w:t>
      </w:r>
      <w:r w:rsidRPr="007E50F7">
        <w:tab/>
        <w:t xml:space="preserve">Please explain </w:t>
      </w:r>
      <w:r w:rsidR="00AF1145" w:rsidRPr="007E50F7">
        <w:t xml:space="preserve">how Staff’s proposed rate design </w:t>
      </w:r>
      <w:r w:rsidRPr="007E50F7">
        <w:t>provid</w:t>
      </w:r>
      <w:r w:rsidR="00AF1145" w:rsidRPr="007E50F7">
        <w:t>es</w:t>
      </w:r>
      <w:r w:rsidRPr="007E50F7">
        <w:t xml:space="preserve"> proper price signals.</w:t>
      </w:r>
    </w:p>
    <w:p w14:paraId="6CFC0DB3" w14:textId="77777777" w:rsidR="00545CF5" w:rsidRPr="007E50F7" w:rsidRDefault="008A14BC" w:rsidP="008A14BC">
      <w:pPr>
        <w:pStyle w:val="Answer-Testimony"/>
      </w:pPr>
      <w:r w:rsidRPr="007E50F7">
        <w:t>A.</w:t>
      </w:r>
      <w:r w:rsidRPr="007E50F7">
        <w:tab/>
      </w:r>
      <w:r w:rsidR="00654EF6" w:rsidRPr="007E50F7">
        <w:t>When appropriately applied,</w:t>
      </w:r>
      <w:r w:rsidR="002951A8" w:rsidRPr="007E50F7">
        <w:t xml:space="preserve"> a potential rate adjustment of </w:t>
      </w:r>
      <w:r w:rsidR="00393872" w:rsidRPr="007E50F7">
        <w:t>substantial</w:t>
      </w:r>
      <w:r w:rsidR="002951A8" w:rsidRPr="007E50F7">
        <w:t xml:space="preserve"> magnitude </w:t>
      </w:r>
      <w:r w:rsidRPr="007E50F7">
        <w:t>is beneficial to promote proper price signals</w:t>
      </w:r>
      <w:r w:rsidR="00654EF6" w:rsidRPr="007E50F7">
        <w:t xml:space="preserve">.  This </w:t>
      </w:r>
      <w:r w:rsidR="00735360" w:rsidRPr="007E50F7">
        <w:t xml:space="preserve">delivers a clear message about the </w:t>
      </w:r>
      <w:r w:rsidR="00654EF6" w:rsidRPr="007E50F7">
        <w:t xml:space="preserve">benefit </w:t>
      </w:r>
      <w:r w:rsidR="00735360" w:rsidRPr="007E50F7">
        <w:t xml:space="preserve">of taking an action, </w:t>
      </w:r>
      <w:r w:rsidR="00654EF6" w:rsidRPr="007E50F7">
        <w:t xml:space="preserve">and the cost of </w:t>
      </w:r>
      <w:r w:rsidR="00735360" w:rsidRPr="007E50F7">
        <w:t>not taking an action.  “Price” is one of the classic “Four P’s” of marketing – Product, Price, Place, and Promotion</w:t>
      </w:r>
      <w:r w:rsidR="00654EF6" w:rsidRPr="007E50F7">
        <w:t>.  T</w:t>
      </w:r>
      <w:r w:rsidR="00735360" w:rsidRPr="007E50F7">
        <w:t xml:space="preserve">herefore, price signals offer </w:t>
      </w:r>
      <w:r w:rsidR="00654EF6" w:rsidRPr="007E50F7">
        <w:t xml:space="preserve">the avenue </w:t>
      </w:r>
      <w:r w:rsidR="00735360" w:rsidRPr="007E50F7">
        <w:t xml:space="preserve">for utilities to communicate to their customers the </w:t>
      </w:r>
      <w:r w:rsidR="00654EF6" w:rsidRPr="007E50F7">
        <w:t xml:space="preserve">true </w:t>
      </w:r>
      <w:r w:rsidR="00735360" w:rsidRPr="007E50F7">
        <w:t xml:space="preserve">cost of </w:t>
      </w:r>
      <w:r w:rsidR="00654EF6" w:rsidRPr="007E50F7">
        <w:t>power</w:t>
      </w:r>
      <w:r w:rsidR="00735360" w:rsidRPr="007E50F7">
        <w:t xml:space="preserve"> </w:t>
      </w:r>
      <w:r w:rsidR="00654EF6" w:rsidRPr="007E50F7">
        <w:t xml:space="preserve">and </w:t>
      </w:r>
      <w:r w:rsidR="00735360" w:rsidRPr="007E50F7">
        <w:t>also to provide them with an appropriate incentive to change their energy consumption in a manner that can both lower their power bill and lower the utility’s costs of providing service.</w:t>
      </w:r>
    </w:p>
    <w:p w14:paraId="6CFC0DB4" w14:textId="77777777" w:rsidR="008A14BC" w:rsidRPr="007E50F7" w:rsidRDefault="00545CF5" w:rsidP="008A14BC">
      <w:pPr>
        <w:pStyle w:val="Answer-Testimony"/>
      </w:pPr>
      <w:r w:rsidRPr="007E50F7">
        <w:tab/>
      </w:r>
      <w:r w:rsidRPr="007E50F7">
        <w:tab/>
      </w:r>
      <w:r w:rsidR="008A14BC" w:rsidRPr="007E50F7">
        <w:t xml:space="preserve">The </w:t>
      </w:r>
      <w:r w:rsidRPr="007E50F7">
        <w:t>primary</w:t>
      </w:r>
      <w:r w:rsidR="008A14BC" w:rsidRPr="007E50F7">
        <w:t xml:space="preserve"> reason Staff is promoting these price signals </w:t>
      </w:r>
      <w:r w:rsidR="000367EB" w:rsidRPr="007E50F7">
        <w:t xml:space="preserve">is </w:t>
      </w:r>
      <w:r w:rsidR="008A14BC" w:rsidRPr="007E50F7">
        <w:t>to</w:t>
      </w:r>
      <w:r w:rsidR="000367EB" w:rsidRPr="007E50F7">
        <w:t xml:space="preserve"> </w:t>
      </w:r>
      <w:r w:rsidR="008A14BC" w:rsidRPr="007E50F7">
        <w:t>discourag</w:t>
      </w:r>
      <w:r w:rsidRPr="007E50F7">
        <w:t>e</w:t>
      </w:r>
      <w:r w:rsidR="008A14BC" w:rsidRPr="007E50F7">
        <w:t xml:space="preserve"> wasteful use while promoting justified use, which </w:t>
      </w:r>
      <w:r w:rsidR="000367EB" w:rsidRPr="007E50F7">
        <w:t>is an</w:t>
      </w:r>
      <w:r w:rsidR="008A14BC" w:rsidRPr="007E50F7">
        <w:t xml:space="preserve"> attribute of a sound rate structure.</w:t>
      </w:r>
      <w:r w:rsidR="008A14BC" w:rsidRPr="007E50F7">
        <w:rPr>
          <w:rStyle w:val="FootnoteReference"/>
        </w:rPr>
        <w:footnoteReference w:id="22"/>
      </w:r>
    </w:p>
    <w:p w14:paraId="6CFC0DB5" w14:textId="77777777" w:rsidR="003A477D" w:rsidRDefault="003A477D">
      <w:r>
        <w:br w:type="page"/>
      </w:r>
    </w:p>
    <w:p w14:paraId="6CFC0DB6" w14:textId="77777777" w:rsidR="00391D78" w:rsidRPr="007E50F7" w:rsidRDefault="00391D78" w:rsidP="00391D78">
      <w:pPr>
        <w:pStyle w:val="Answer-Testimony"/>
        <w:ind w:firstLine="720"/>
      </w:pPr>
      <w:r w:rsidRPr="007E50F7">
        <w:lastRenderedPageBreak/>
        <w:t>Recogniz</w:t>
      </w:r>
      <w:r w:rsidR="00730BE0" w:rsidRPr="007E50F7">
        <w:t xml:space="preserve">ing </w:t>
      </w:r>
      <w:r w:rsidRPr="007E50F7">
        <w:t xml:space="preserve">that </w:t>
      </w:r>
      <w:r w:rsidR="00730BE0" w:rsidRPr="007E50F7">
        <w:t xml:space="preserve">the </w:t>
      </w:r>
      <w:r w:rsidRPr="007E50F7">
        <w:t>upper-block usage is characterized by high seasonality</w:t>
      </w:r>
      <w:r w:rsidRPr="007E50F7">
        <w:rPr>
          <w:rStyle w:val="FootnoteReference"/>
        </w:rPr>
        <w:footnoteReference w:id="23"/>
      </w:r>
      <w:r w:rsidRPr="007E50F7">
        <w:t xml:space="preserve">, </w:t>
      </w:r>
      <w:r w:rsidR="000367EB" w:rsidRPr="007E50F7">
        <w:t xml:space="preserve">with </w:t>
      </w:r>
      <w:r w:rsidRPr="007E50F7">
        <w:t xml:space="preserve">usage </w:t>
      </w:r>
      <w:r w:rsidR="000367EB" w:rsidRPr="007E50F7">
        <w:t xml:space="preserve">highly </w:t>
      </w:r>
      <w:r w:rsidRPr="007E50F7">
        <w:t>concentrated during the peak hours</w:t>
      </w:r>
      <w:r w:rsidR="00B14A70" w:rsidRPr="007E50F7">
        <w:rPr>
          <w:rStyle w:val="FootnoteReference"/>
        </w:rPr>
        <w:footnoteReference w:id="24"/>
      </w:r>
      <w:r w:rsidRPr="007E50F7">
        <w:t xml:space="preserve">, and low load-factor end-uses, </w:t>
      </w:r>
      <w:r w:rsidR="000367EB" w:rsidRPr="007E50F7">
        <w:t>it is important to make high-use prices reflect the higher expenses related to serving high-use customers.</w:t>
      </w:r>
      <w:r w:rsidRPr="007E50F7">
        <w:t xml:space="preserve">  Therefore, a steeply inverted third block rate properly collect</w:t>
      </w:r>
      <w:r w:rsidR="003B5571" w:rsidRPr="007E50F7">
        <w:t>s</w:t>
      </w:r>
      <w:r w:rsidRPr="007E50F7">
        <w:t xml:space="preserve"> the appropriate costs from these expensive end uses.  The</w:t>
      </w:r>
      <w:r w:rsidR="000367EB" w:rsidRPr="007E50F7">
        <w:t xml:space="preserve"> high tail-block rates </w:t>
      </w:r>
      <w:r w:rsidRPr="007E50F7">
        <w:t>also serve to encourage energy efficiency and energy manageme</w:t>
      </w:r>
      <w:r w:rsidR="003B5571" w:rsidRPr="007E50F7">
        <w:t>nt practices by consumers, while allowing the Company to focus its conservation programs on discretionary, or excessive, energy use.</w:t>
      </w:r>
    </w:p>
    <w:p w14:paraId="6CFC0DB7" w14:textId="77777777" w:rsidR="008A14BC" w:rsidRPr="007E50F7" w:rsidRDefault="008A14BC" w:rsidP="008A14BC">
      <w:pPr>
        <w:pStyle w:val="Answer-Testimony"/>
        <w:ind w:left="0" w:firstLine="0"/>
      </w:pPr>
    </w:p>
    <w:p w14:paraId="6CFC0DB8" w14:textId="77777777" w:rsidR="008A14BC" w:rsidRPr="007E50F7" w:rsidRDefault="008A14BC" w:rsidP="008A14BC">
      <w:pPr>
        <w:pStyle w:val="Question-Testimony"/>
      </w:pPr>
      <w:r w:rsidRPr="007E50F7">
        <w:t>Q.</w:t>
      </w:r>
      <w:r w:rsidRPr="007E50F7">
        <w:tab/>
      </w:r>
      <w:r w:rsidR="00AF1145" w:rsidRPr="007E50F7">
        <w:t xml:space="preserve">Does Staff have </w:t>
      </w:r>
      <w:r w:rsidRPr="007E50F7">
        <w:t>any other recommend</w:t>
      </w:r>
      <w:r w:rsidR="00AF1145" w:rsidRPr="007E50F7">
        <w:t xml:space="preserve">ations regarding </w:t>
      </w:r>
      <w:r w:rsidR="00545CF5" w:rsidRPr="007E50F7">
        <w:t xml:space="preserve">electric </w:t>
      </w:r>
      <w:r w:rsidR="00AF1145" w:rsidRPr="007E50F7">
        <w:t>rate design</w:t>
      </w:r>
      <w:r w:rsidRPr="007E50F7">
        <w:t>?</w:t>
      </w:r>
    </w:p>
    <w:p w14:paraId="6CFC0DB9" w14:textId="77777777" w:rsidR="008A14BC" w:rsidRPr="007E50F7" w:rsidRDefault="008A14BC" w:rsidP="008A14BC">
      <w:pPr>
        <w:pStyle w:val="Answer-Testimony"/>
      </w:pPr>
      <w:r w:rsidRPr="007E50F7">
        <w:t>A.</w:t>
      </w:r>
      <w:r w:rsidRPr="007E50F7">
        <w:tab/>
        <w:t xml:space="preserve">Yes.  Staff recommends the Commission direct the Company to examine </w:t>
      </w:r>
      <w:r w:rsidR="00AF1145" w:rsidRPr="007E50F7">
        <w:t xml:space="preserve">in its next general rate case filing </w:t>
      </w:r>
      <w:r w:rsidRPr="007E50F7">
        <w:t>its volumetric blocks in Schedule’s 11, 12, 21, 22 and 25</w:t>
      </w:r>
      <w:r w:rsidR="00AF1145" w:rsidRPr="007E50F7">
        <w:t>, and demonstrate whether or not those rate blocks</w:t>
      </w:r>
      <w:r w:rsidRPr="007E50F7">
        <w:t xml:space="preserve"> are valid and convey the appropriate price signals.</w:t>
      </w:r>
    </w:p>
    <w:p w14:paraId="6CFC0DBA" w14:textId="77777777" w:rsidR="008A14BC" w:rsidRPr="007E50F7" w:rsidRDefault="008A14BC" w:rsidP="008966A8">
      <w:pPr>
        <w:pStyle w:val="Answer-Testimony"/>
      </w:pPr>
    </w:p>
    <w:p w14:paraId="6CFC0DBB" w14:textId="77777777" w:rsidR="008A14BC" w:rsidRPr="007E50F7" w:rsidRDefault="008A14BC" w:rsidP="008A14BC">
      <w:pPr>
        <w:pStyle w:val="Question-Testimony"/>
      </w:pPr>
      <w:r w:rsidRPr="007E50F7">
        <w:t>Q.</w:t>
      </w:r>
      <w:r w:rsidRPr="007E50F7">
        <w:tab/>
        <w:t>What is the basis for this recommendation?</w:t>
      </w:r>
    </w:p>
    <w:p w14:paraId="6CFC0DBC" w14:textId="77777777" w:rsidR="00AF1145" w:rsidRPr="007E50F7" w:rsidRDefault="008A14BC" w:rsidP="008A14BC">
      <w:pPr>
        <w:pStyle w:val="Answer-Testimony"/>
      </w:pPr>
      <w:r w:rsidRPr="007E50F7">
        <w:t>A.</w:t>
      </w:r>
      <w:r w:rsidRPr="007E50F7">
        <w:tab/>
        <w:t xml:space="preserve">The Company’s data shows the following statistics: (1) </w:t>
      </w:r>
      <w:r w:rsidR="00183A08" w:rsidRPr="007E50F7">
        <w:t xml:space="preserve">For Schedule’s 11 and 12, </w:t>
      </w:r>
      <w:r w:rsidRPr="007E50F7">
        <w:t>at least 86.7 percent of all billing determinates with volumetric of 3,500 kWh or less are below the first block of 3,650 kWh</w:t>
      </w:r>
      <w:r w:rsidRPr="007E50F7">
        <w:rPr>
          <w:rStyle w:val="FootnoteReference"/>
        </w:rPr>
        <w:footnoteReference w:id="25"/>
      </w:r>
      <w:r w:rsidRPr="007E50F7">
        <w:t xml:space="preserve">; (2) </w:t>
      </w:r>
      <w:r w:rsidR="00183A08" w:rsidRPr="007E50F7">
        <w:t xml:space="preserve">For Schedule’s 21 and 22, </w:t>
      </w:r>
      <w:r w:rsidRPr="007E50F7">
        <w:t>at least 67.0 percent of all billing determinates with volume</w:t>
      </w:r>
      <w:r w:rsidR="00AF1145" w:rsidRPr="007E50F7">
        <w:t>s</w:t>
      </w:r>
      <w:r w:rsidRPr="007E50F7">
        <w:t xml:space="preserve"> of 35,000 kWh or less are below the </w:t>
      </w:r>
      <w:r w:rsidRPr="007E50F7">
        <w:lastRenderedPageBreak/>
        <w:t>first block of 250,000 kWh</w:t>
      </w:r>
      <w:r w:rsidRPr="007E50F7">
        <w:rPr>
          <w:rStyle w:val="FootnoteReference"/>
        </w:rPr>
        <w:footnoteReference w:id="26"/>
      </w:r>
      <w:r w:rsidRPr="007E50F7">
        <w:t xml:space="preserve">; and (3) </w:t>
      </w:r>
      <w:r w:rsidR="00183A08" w:rsidRPr="007E50F7">
        <w:t>F</w:t>
      </w:r>
      <w:r w:rsidRPr="007E50F7">
        <w:t>or Schedule 25</w:t>
      </w:r>
      <w:r w:rsidR="00183A08" w:rsidRPr="007E50F7">
        <w:t>, all billing determinates</w:t>
      </w:r>
      <w:r w:rsidRPr="007E50F7">
        <w:t xml:space="preserve"> are above the first block of 500,000 kWh.</w:t>
      </w:r>
    </w:p>
    <w:p w14:paraId="6CFC0DBD" w14:textId="77777777" w:rsidR="008A14BC" w:rsidRPr="007E50F7" w:rsidRDefault="00AF1145" w:rsidP="00AF1145">
      <w:pPr>
        <w:pStyle w:val="Answer-Testimony"/>
        <w:ind w:firstLine="720"/>
      </w:pPr>
      <w:r w:rsidRPr="007E50F7">
        <w:t xml:space="preserve">When </w:t>
      </w:r>
      <w:r w:rsidR="0081428B" w:rsidRPr="007E50F7">
        <w:t xml:space="preserve">the majority of the customers </w:t>
      </w:r>
      <w:r w:rsidRPr="007E50F7">
        <w:t>in a rate s</w:t>
      </w:r>
      <w:r w:rsidR="0081428B" w:rsidRPr="007E50F7">
        <w:t xml:space="preserve">chedule </w:t>
      </w:r>
      <w:r w:rsidR="00976405" w:rsidRPr="007E50F7">
        <w:t>fall</w:t>
      </w:r>
      <w:r w:rsidR="0081428B" w:rsidRPr="007E50F7">
        <w:t xml:space="preserve"> </w:t>
      </w:r>
      <w:r w:rsidRPr="007E50F7">
        <w:t xml:space="preserve">either above or </w:t>
      </w:r>
      <w:r w:rsidR="0081428B" w:rsidRPr="007E50F7">
        <w:t xml:space="preserve">below the </w:t>
      </w:r>
      <w:r w:rsidRPr="007E50F7">
        <w:t xml:space="preserve">first block, it is </w:t>
      </w:r>
      <w:r w:rsidR="00DD3A28" w:rsidRPr="007E50F7">
        <w:t xml:space="preserve">conceivable </w:t>
      </w:r>
      <w:r w:rsidR="0081428B" w:rsidRPr="007E50F7">
        <w:t>the appropriate proper price signals are not being reflected.</w:t>
      </w:r>
    </w:p>
    <w:p w14:paraId="6CFC0DBE" w14:textId="77777777" w:rsidR="008A14BC" w:rsidRPr="007E50F7" w:rsidRDefault="008A14BC" w:rsidP="008A14BC">
      <w:pPr>
        <w:pStyle w:val="Answer-Testimony"/>
      </w:pPr>
    </w:p>
    <w:p w14:paraId="6CFC0DBF" w14:textId="77777777" w:rsidR="00980C24" w:rsidRPr="007E50F7" w:rsidRDefault="008A14BC" w:rsidP="003A477D">
      <w:pPr>
        <w:pStyle w:val="Heading1"/>
        <w:spacing w:line="240" w:lineRule="auto"/>
        <w:ind w:left="0" w:firstLine="0"/>
        <w:jc w:val="center"/>
      </w:pPr>
      <w:bookmarkStart w:id="12" w:name="_Toc335809618"/>
      <w:r w:rsidRPr="007E50F7">
        <w:t>NATURAL GAS</w:t>
      </w:r>
      <w:r w:rsidR="007B4B29" w:rsidRPr="007E50F7">
        <w:t xml:space="preserve"> COST OF</w:t>
      </w:r>
      <w:r w:rsidR="00955041" w:rsidRPr="007E50F7">
        <w:t xml:space="preserve"> SERVICE</w:t>
      </w:r>
      <w:r w:rsidR="007B4B29" w:rsidRPr="007E50F7">
        <w:t>, REVENUE ALLOCATION, AND RATE DESIGN</w:t>
      </w:r>
      <w:bookmarkEnd w:id="12"/>
    </w:p>
    <w:p w14:paraId="6CFC0DC0" w14:textId="77777777" w:rsidR="00980C24" w:rsidRPr="007E50F7" w:rsidRDefault="00980C24" w:rsidP="001372D4">
      <w:pPr>
        <w:pStyle w:val="Answer-Testimony"/>
      </w:pPr>
    </w:p>
    <w:p w14:paraId="6CFC0DC1" w14:textId="77777777" w:rsidR="008A14BC" w:rsidRPr="007E50F7" w:rsidRDefault="008A14BC" w:rsidP="003A477D">
      <w:pPr>
        <w:pStyle w:val="Heading3"/>
        <w:ind w:left="1440"/>
      </w:pPr>
      <w:bookmarkStart w:id="13" w:name="_Toc335809619"/>
      <w:r w:rsidRPr="007E50F7">
        <w:t>Cost of Service</w:t>
      </w:r>
      <w:r w:rsidR="003430BA" w:rsidRPr="007E50F7">
        <w:t xml:space="preserve"> Study</w:t>
      </w:r>
      <w:bookmarkEnd w:id="13"/>
    </w:p>
    <w:p w14:paraId="6CFC0DC2" w14:textId="77777777" w:rsidR="008A14BC" w:rsidRPr="007E50F7" w:rsidRDefault="008A14BC" w:rsidP="008A14BC">
      <w:pPr>
        <w:pStyle w:val="Question-Testimony"/>
      </w:pPr>
    </w:p>
    <w:p w14:paraId="6CFC0DC3" w14:textId="77777777" w:rsidR="008966A8" w:rsidRPr="007E50F7" w:rsidRDefault="008966A8" w:rsidP="008966A8">
      <w:pPr>
        <w:pStyle w:val="Question-Testimony"/>
      </w:pPr>
      <w:r w:rsidRPr="007E50F7">
        <w:t>Q.</w:t>
      </w:r>
      <w:r w:rsidRPr="007E50F7">
        <w:tab/>
        <w:t>Did Staff review the Company’s proposed natural gas cost of service study?</w:t>
      </w:r>
    </w:p>
    <w:p w14:paraId="6CFC0DC4" w14:textId="77777777" w:rsidR="008966A8" w:rsidRPr="007E50F7" w:rsidRDefault="008966A8" w:rsidP="008966A8">
      <w:pPr>
        <w:pStyle w:val="Answer-Testimony"/>
      </w:pPr>
      <w:r w:rsidRPr="007E50F7">
        <w:t>A.</w:t>
      </w:r>
      <w:r w:rsidRPr="007E50F7">
        <w:tab/>
        <w:t xml:space="preserve">Yes.  </w:t>
      </w:r>
      <w:r w:rsidR="003079AE" w:rsidRPr="007E50F7">
        <w:t xml:space="preserve">Except for the allocation of </w:t>
      </w:r>
      <w:r w:rsidRPr="007E50F7">
        <w:t xml:space="preserve">natural gas distribution mains, </w:t>
      </w:r>
      <w:r w:rsidR="003079AE" w:rsidRPr="007E50F7">
        <w:t xml:space="preserve">which I discuss in detail below, </w:t>
      </w:r>
      <w:r w:rsidRPr="007E50F7">
        <w:t>the Company’s proposed natural gas cost of service study reasonably functionalizes, classifies and allocates capital investments and operating expenses to each rate schedule, adjusted proportionally to reflect Staff’s lower revenue requirement recommendation.</w:t>
      </w:r>
    </w:p>
    <w:p w14:paraId="6CFC0DC5" w14:textId="77777777" w:rsidR="008966A8" w:rsidRPr="007E50F7" w:rsidRDefault="008966A8" w:rsidP="008A14BC">
      <w:pPr>
        <w:pStyle w:val="Question-Testimony"/>
      </w:pPr>
    </w:p>
    <w:p w14:paraId="6CFC0DC6" w14:textId="77777777" w:rsidR="008A14BC" w:rsidRPr="007E50F7" w:rsidRDefault="008A14BC" w:rsidP="008A14BC">
      <w:pPr>
        <w:pStyle w:val="Question-Testimony"/>
      </w:pPr>
      <w:r w:rsidRPr="007E50F7">
        <w:t>Q.</w:t>
      </w:r>
      <w:r w:rsidRPr="007E50F7">
        <w:tab/>
        <w:t>Are distribution mains a significant driver in the cost of service study?</w:t>
      </w:r>
    </w:p>
    <w:p w14:paraId="6CFC0DC7" w14:textId="77777777" w:rsidR="008A14BC" w:rsidRPr="007E50F7" w:rsidRDefault="008A14BC" w:rsidP="008A14BC">
      <w:pPr>
        <w:pStyle w:val="Answer-Testimony"/>
      </w:pPr>
      <w:r w:rsidRPr="007E50F7">
        <w:t>A.</w:t>
      </w:r>
      <w:r w:rsidRPr="007E50F7">
        <w:tab/>
        <w:t>Yes.  In fact, gas distribution mains are the biggest driver, representing over 35 percent of total rate base.  This</w:t>
      </w:r>
      <w:r w:rsidR="003079AE" w:rsidRPr="007E50F7">
        <w:t xml:space="preserve"> means that </w:t>
      </w:r>
      <w:r w:rsidRPr="007E50F7">
        <w:t xml:space="preserve">small movements in </w:t>
      </w:r>
      <w:r w:rsidR="003079AE" w:rsidRPr="007E50F7">
        <w:t xml:space="preserve">the </w:t>
      </w:r>
      <w:r w:rsidRPr="007E50F7">
        <w:t>allocation</w:t>
      </w:r>
      <w:r w:rsidR="003079AE" w:rsidRPr="007E50F7">
        <w:t xml:space="preserve"> of </w:t>
      </w:r>
      <w:r w:rsidRPr="007E50F7">
        <w:t>these costs can make big differences</w:t>
      </w:r>
      <w:r w:rsidR="003079AE" w:rsidRPr="007E50F7">
        <w:t xml:space="preserve"> in the cost</w:t>
      </w:r>
      <w:r w:rsidRPr="007E50F7">
        <w:t xml:space="preserve"> to </w:t>
      </w:r>
      <w:r w:rsidR="003079AE" w:rsidRPr="007E50F7">
        <w:t xml:space="preserve">serve </w:t>
      </w:r>
      <w:r w:rsidRPr="007E50F7">
        <w:t xml:space="preserve">certain customer </w:t>
      </w:r>
      <w:r w:rsidR="003079AE" w:rsidRPr="007E50F7">
        <w:t>classes</w:t>
      </w:r>
      <w:r w:rsidRPr="007E50F7">
        <w:t>.</w:t>
      </w:r>
    </w:p>
    <w:p w14:paraId="6CFC0DC8" w14:textId="77777777" w:rsidR="008A14BC" w:rsidRPr="007E50F7" w:rsidRDefault="008A14BC" w:rsidP="008A14BC">
      <w:pPr>
        <w:pStyle w:val="Answer-Testimony"/>
      </w:pPr>
    </w:p>
    <w:p w14:paraId="6CFC0DC9" w14:textId="77777777" w:rsidR="008A14BC" w:rsidRPr="007E50F7" w:rsidRDefault="008A14BC" w:rsidP="003A477D">
      <w:pPr>
        <w:pStyle w:val="Question-Testimony"/>
        <w:keepNext/>
      </w:pPr>
      <w:r w:rsidRPr="007E50F7">
        <w:lastRenderedPageBreak/>
        <w:t>Q.</w:t>
      </w:r>
      <w:r w:rsidRPr="007E50F7">
        <w:tab/>
        <w:t>On what basis does Staff classify and allocate gas distribution mains?</w:t>
      </w:r>
    </w:p>
    <w:p w14:paraId="6CFC0DCA" w14:textId="77777777" w:rsidR="003079AE" w:rsidRPr="007E50F7" w:rsidRDefault="008A14BC" w:rsidP="008A14BC">
      <w:pPr>
        <w:pStyle w:val="Answer-Testimony"/>
      </w:pPr>
      <w:r w:rsidRPr="007E50F7">
        <w:t>A.</w:t>
      </w:r>
      <w:r w:rsidRPr="007E50F7">
        <w:tab/>
        <w:t xml:space="preserve">Staff classifies gas distribution mains as a demand-related cost.  Staff allocates </w:t>
      </w:r>
      <w:r w:rsidR="003079AE" w:rsidRPr="007E50F7">
        <w:t xml:space="preserve">the cost of </w:t>
      </w:r>
      <w:r w:rsidRPr="007E50F7">
        <w:t xml:space="preserve">gas distribution mains </w:t>
      </w:r>
      <w:r w:rsidR="00523214" w:rsidRPr="007E50F7">
        <w:t>on a combination of peak demand and average demand</w:t>
      </w:r>
      <w:r w:rsidR="00183A08" w:rsidRPr="007E50F7">
        <w:t xml:space="preserve">.  Specifically, Staff allocates the cost of mains </w:t>
      </w:r>
      <w:r w:rsidR="00523214" w:rsidRPr="007E50F7">
        <w:t>36.3 percent on average demand and 63.7 percent on peak demand</w:t>
      </w:r>
      <w:r w:rsidR="003079AE" w:rsidRPr="007E50F7">
        <w:t>.</w:t>
      </w:r>
    </w:p>
    <w:p w14:paraId="6CFC0DCB" w14:textId="77777777" w:rsidR="003079AE" w:rsidRPr="007E50F7" w:rsidRDefault="003079AE" w:rsidP="003079AE">
      <w:pPr>
        <w:pStyle w:val="Answer-Testimony"/>
      </w:pPr>
    </w:p>
    <w:p w14:paraId="6CFC0DCC" w14:textId="77777777" w:rsidR="003079AE" w:rsidRPr="007E50F7" w:rsidRDefault="003079AE" w:rsidP="003079AE">
      <w:pPr>
        <w:pStyle w:val="Question-Testimony"/>
      </w:pPr>
      <w:r w:rsidRPr="007E50F7">
        <w:t>Q.</w:t>
      </w:r>
      <w:r w:rsidRPr="007E50F7">
        <w:tab/>
        <w:t>Please define “peak demand” and “average demand”.</w:t>
      </w:r>
    </w:p>
    <w:p w14:paraId="6CFC0DCD" w14:textId="77777777" w:rsidR="00FF4B8A" w:rsidRPr="007E50F7" w:rsidRDefault="003079AE" w:rsidP="008A14BC">
      <w:pPr>
        <w:pStyle w:val="Answer-Testimony"/>
      </w:pPr>
      <w:r w:rsidRPr="007E50F7">
        <w:t>A.</w:t>
      </w:r>
      <w:r w:rsidRPr="007E50F7">
        <w:tab/>
        <w:t>“P</w:t>
      </w:r>
      <w:r w:rsidR="008A14BC" w:rsidRPr="007E50F7">
        <w:t xml:space="preserve">eak demand” </w:t>
      </w:r>
      <w:r w:rsidRPr="007E50F7">
        <w:t xml:space="preserve">is </w:t>
      </w:r>
      <w:r w:rsidR="008A14BC" w:rsidRPr="007E50F7">
        <w:t>the demand for gas on the</w:t>
      </w:r>
      <w:r w:rsidR="00FF4B8A" w:rsidRPr="007E50F7">
        <w:t xml:space="preserve"> average</w:t>
      </w:r>
      <w:r w:rsidR="008A14BC" w:rsidRPr="007E50F7">
        <w:t xml:space="preserve"> </w:t>
      </w:r>
      <w:r w:rsidR="00FF4B8A" w:rsidRPr="007E50F7">
        <w:t>five</w:t>
      </w:r>
      <w:r w:rsidR="004D4979" w:rsidRPr="007E50F7">
        <w:t xml:space="preserve"> consecutive</w:t>
      </w:r>
      <w:r w:rsidR="00FF4B8A" w:rsidRPr="007E50F7">
        <w:t xml:space="preserve"> peak days of the heating season for the last three years.</w:t>
      </w:r>
    </w:p>
    <w:p w14:paraId="6CFC0DCE" w14:textId="77777777" w:rsidR="008A14BC" w:rsidRPr="007E50F7" w:rsidRDefault="00183A08" w:rsidP="00523214">
      <w:pPr>
        <w:pStyle w:val="Answer-Testimony"/>
        <w:ind w:firstLine="720"/>
      </w:pPr>
      <w:r w:rsidRPr="007E50F7">
        <w:t>“</w:t>
      </w:r>
      <w:r w:rsidR="008A14BC" w:rsidRPr="007E50F7">
        <w:t>Average demand</w:t>
      </w:r>
      <w:r w:rsidRPr="007E50F7">
        <w:t>”</w:t>
      </w:r>
      <w:r w:rsidR="008A14BC" w:rsidRPr="007E50F7">
        <w:t xml:space="preserve"> is the total consumption for the year divided by the days in the year.</w:t>
      </w:r>
    </w:p>
    <w:p w14:paraId="6CFC0DCF" w14:textId="77777777" w:rsidR="008A14BC" w:rsidRPr="007E50F7" w:rsidRDefault="008A14BC" w:rsidP="008A14BC">
      <w:pPr>
        <w:pStyle w:val="BodyTextIndent"/>
      </w:pPr>
    </w:p>
    <w:p w14:paraId="6CFC0DD0" w14:textId="77777777" w:rsidR="008A14BC" w:rsidRPr="007E50F7" w:rsidRDefault="008A14BC" w:rsidP="008A14BC">
      <w:pPr>
        <w:pStyle w:val="Question-Testimony"/>
      </w:pPr>
      <w:r w:rsidRPr="007E50F7">
        <w:t>Q.</w:t>
      </w:r>
      <w:r w:rsidRPr="007E50F7">
        <w:tab/>
        <w:t>Why does Staff propose to allocate gas distribution mains using a combination of peak and average demand?</w:t>
      </w:r>
    </w:p>
    <w:p w14:paraId="6CFC0DD1" w14:textId="77777777" w:rsidR="00183A08" w:rsidRPr="007E50F7" w:rsidRDefault="008A14BC" w:rsidP="002C23CD">
      <w:pPr>
        <w:pStyle w:val="Answer-Testimony"/>
      </w:pPr>
      <w:r w:rsidRPr="007E50F7">
        <w:t>A.</w:t>
      </w:r>
      <w:r w:rsidRPr="007E50F7">
        <w:tab/>
        <w:t>The</w:t>
      </w:r>
      <w:r w:rsidR="00CB7BB1" w:rsidRPr="007E50F7">
        <w:t xml:space="preserve"> </w:t>
      </w:r>
      <w:r w:rsidRPr="007E50F7">
        <w:t>primary reason</w:t>
      </w:r>
      <w:r w:rsidR="00CB7BB1" w:rsidRPr="007E50F7">
        <w:t xml:space="preserve"> i</w:t>
      </w:r>
      <w:r w:rsidRPr="007E50F7">
        <w:t>s</w:t>
      </w:r>
      <w:r w:rsidR="00CB7BB1" w:rsidRPr="007E50F7">
        <w:t xml:space="preserve"> </w:t>
      </w:r>
      <w:r w:rsidR="00183A08" w:rsidRPr="007E50F7">
        <w:t xml:space="preserve">large customers (i.e., on Schedules 131, 132, </w:t>
      </w:r>
      <w:r w:rsidR="00E01292" w:rsidRPr="007E50F7">
        <w:t xml:space="preserve">and </w:t>
      </w:r>
      <w:r w:rsidR="00183A08" w:rsidRPr="007E50F7">
        <w:t>146)</w:t>
      </w:r>
      <w:r w:rsidR="00E01292" w:rsidRPr="007E50F7">
        <w:rPr>
          <w:rStyle w:val="FootnoteReference"/>
        </w:rPr>
        <w:footnoteReference w:id="27"/>
      </w:r>
      <w:r w:rsidR="00183A08" w:rsidRPr="007E50F7">
        <w:t xml:space="preserve"> benefit from </w:t>
      </w:r>
      <w:r w:rsidR="0036396B" w:rsidRPr="007E50F7">
        <w:t>smaller</w:t>
      </w:r>
      <w:r w:rsidR="00CB7BB1" w:rsidRPr="007E50F7">
        <w:t>, pipe less than four inches in diameter,</w:t>
      </w:r>
      <w:r w:rsidR="0036396B" w:rsidRPr="007E50F7">
        <w:t xml:space="preserve"> </w:t>
      </w:r>
      <w:r w:rsidR="00183A08" w:rsidRPr="007E50F7">
        <w:t>g</w:t>
      </w:r>
      <w:r w:rsidR="00CB7BB1" w:rsidRPr="007E50F7">
        <w:t>as distribution mains.</w:t>
      </w:r>
    </w:p>
    <w:p w14:paraId="6CFC0DD2" w14:textId="77777777" w:rsidR="00183A08" w:rsidRPr="007E50F7" w:rsidRDefault="00183A08" w:rsidP="002C23CD">
      <w:pPr>
        <w:pStyle w:val="Answer-Testimony"/>
      </w:pPr>
    </w:p>
    <w:p w14:paraId="6CFC0DD3" w14:textId="77777777" w:rsidR="002C23CD" w:rsidRPr="007E50F7" w:rsidRDefault="00183A08" w:rsidP="002C23CD">
      <w:pPr>
        <w:pStyle w:val="Answer-Testimony"/>
        <w:rPr>
          <w:b/>
        </w:rPr>
      </w:pPr>
      <w:r w:rsidRPr="007E50F7">
        <w:rPr>
          <w:b/>
        </w:rPr>
        <w:t>Q,</w:t>
      </w:r>
      <w:r w:rsidRPr="007E50F7">
        <w:rPr>
          <w:b/>
        </w:rPr>
        <w:tab/>
        <w:t xml:space="preserve">Please explain how large customers benefit from gas distribution mains.  </w:t>
      </w:r>
    </w:p>
    <w:p w14:paraId="6CFC0DD4" w14:textId="77777777" w:rsidR="008A14BC" w:rsidRPr="007E50F7" w:rsidRDefault="002C23CD" w:rsidP="002C23CD">
      <w:pPr>
        <w:pStyle w:val="Answer-Testimony"/>
      </w:pPr>
      <w:r w:rsidRPr="007E50F7">
        <w:t>A.</w:t>
      </w:r>
      <w:r w:rsidRPr="007E50F7">
        <w:tab/>
      </w:r>
      <w:r w:rsidR="00183A08" w:rsidRPr="007E50F7">
        <w:t>W</w:t>
      </w:r>
      <w:r w:rsidR="00523214" w:rsidRPr="007E50F7">
        <w:t xml:space="preserve">hile it is true that Avista may not </w:t>
      </w:r>
      <w:r w:rsidR="00183A08" w:rsidRPr="007E50F7">
        <w:t xml:space="preserve">directly </w:t>
      </w:r>
      <w:r w:rsidR="00523214" w:rsidRPr="007E50F7">
        <w:t xml:space="preserve">serve large load customers </w:t>
      </w:r>
      <w:r w:rsidR="00183A08" w:rsidRPr="007E50F7">
        <w:t xml:space="preserve">(i.e., Schedules 131, 132, </w:t>
      </w:r>
      <w:r w:rsidR="00911FB8" w:rsidRPr="007E50F7">
        <w:t xml:space="preserve">and </w:t>
      </w:r>
      <w:r w:rsidR="00183A08" w:rsidRPr="007E50F7">
        <w:t xml:space="preserve">146) </w:t>
      </w:r>
      <w:r w:rsidR="00523214" w:rsidRPr="007E50F7">
        <w:t xml:space="preserve">with pipe less than four inches in diameter, </w:t>
      </w:r>
      <w:r w:rsidR="008A14BC" w:rsidRPr="007E50F7">
        <w:t>large customers benefit from the reliability and capacity of the system that the smaller pipe</w:t>
      </w:r>
      <w:r w:rsidR="005B6486" w:rsidRPr="007E50F7">
        <w:t>s</w:t>
      </w:r>
      <w:r w:rsidR="008A14BC" w:rsidRPr="007E50F7">
        <w:t xml:space="preserve"> </w:t>
      </w:r>
      <w:r w:rsidR="005B6486" w:rsidRPr="007E50F7">
        <w:t>deliver</w:t>
      </w:r>
      <w:r w:rsidR="008A14BC" w:rsidRPr="007E50F7">
        <w:t>.</w:t>
      </w:r>
    </w:p>
    <w:p w14:paraId="6CFC0DD5" w14:textId="77777777" w:rsidR="00183A08" w:rsidRPr="007E50F7" w:rsidRDefault="008A14BC" w:rsidP="008A14BC">
      <w:pPr>
        <w:pStyle w:val="Answer-Testimony"/>
        <w:ind w:firstLine="720"/>
      </w:pPr>
      <w:r w:rsidRPr="007E50F7">
        <w:lastRenderedPageBreak/>
        <w:t>The Company’s distribution system is a network of parallel and interconnected pipes that are used to move gas from one point to another</w:t>
      </w:r>
      <w:r w:rsidR="00523214" w:rsidRPr="007E50F7">
        <w:t>.  W</w:t>
      </w:r>
      <w:r w:rsidRPr="007E50F7">
        <w:t xml:space="preserve">hether the Company chooses to use medium diameter pipes to </w:t>
      </w:r>
      <w:r w:rsidR="00183A08" w:rsidRPr="007E50F7">
        <w:t xml:space="preserve">directly </w:t>
      </w:r>
      <w:r w:rsidRPr="007E50F7">
        <w:t xml:space="preserve">serve smaller customers and larger diameter pipes to </w:t>
      </w:r>
      <w:r w:rsidR="00183A08" w:rsidRPr="007E50F7">
        <w:t xml:space="preserve">directly </w:t>
      </w:r>
      <w:r w:rsidRPr="007E50F7">
        <w:t>serve larger customers</w:t>
      </w:r>
      <w:r w:rsidR="00183A08" w:rsidRPr="007E50F7">
        <w:t>,</w:t>
      </w:r>
      <w:r w:rsidR="00523214" w:rsidRPr="007E50F7">
        <w:t xml:space="preserve"> </w:t>
      </w:r>
      <w:r w:rsidRPr="007E50F7">
        <w:t>both</w:t>
      </w:r>
      <w:r w:rsidR="00523214" w:rsidRPr="007E50F7">
        <w:t xml:space="preserve"> types of pipes</w:t>
      </w:r>
      <w:r w:rsidRPr="007E50F7">
        <w:t xml:space="preserve"> </w:t>
      </w:r>
      <w:r w:rsidR="00523214" w:rsidRPr="007E50F7">
        <w:t>create capacity on the system.</w:t>
      </w:r>
    </w:p>
    <w:p w14:paraId="6CFC0DD6" w14:textId="77777777" w:rsidR="008A14BC" w:rsidRPr="007E50F7" w:rsidRDefault="00523214" w:rsidP="008A14BC">
      <w:pPr>
        <w:pStyle w:val="Answer-Testimony"/>
        <w:ind w:firstLine="720"/>
      </w:pPr>
      <w:r w:rsidRPr="007E50F7">
        <w:t>For example, i</w:t>
      </w:r>
      <w:r w:rsidR="008A14BC" w:rsidRPr="007E50F7">
        <w:t xml:space="preserve">f </w:t>
      </w:r>
      <w:r w:rsidRPr="007E50F7">
        <w:t xml:space="preserve">Avista had </w:t>
      </w:r>
      <w:r w:rsidR="008A14BC" w:rsidRPr="007E50F7">
        <w:t>less medium sized pipe, either</w:t>
      </w:r>
      <w:r w:rsidRPr="007E50F7">
        <w:t xml:space="preserve"> it would have more </w:t>
      </w:r>
      <w:r w:rsidR="008A14BC" w:rsidRPr="007E50F7">
        <w:t xml:space="preserve">larger diameter pipe or </w:t>
      </w:r>
      <w:r w:rsidR="00183A08" w:rsidRPr="007E50F7">
        <w:t>it</w:t>
      </w:r>
      <w:r w:rsidRPr="007E50F7">
        <w:t xml:space="preserve"> would have </w:t>
      </w:r>
      <w:r w:rsidR="008A14BC" w:rsidRPr="007E50F7">
        <w:t xml:space="preserve">less capacity available to serve all </w:t>
      </w:r>
      <w:r w:rsidRPr="007E50F7">
        <w:t xml:space="preserve">large and small </w:t>
      </w:r>
      <w:r w:rsidR="008A14BC" w:rsidRPr="007E50F7">
        <w:t xml:space="preserve">customers.  </w:t>
      </w:r>
      <w:r w:rsidRPr="007E50F7">
        <w:t>In other words, fr</w:t>
      </w:r>
      <w:r w:rsidR="00183A08" w:rsidRPr="007E50F7">
        <w:t>o</w:t>
      </w:r>
      <w:r w:rsidRPr="007E50F7">
        <w:t>m a cost of service perspective, c</w:t>
      </w:r>
      <w:r w:rsidR="008A14BC" w:rsidRPr="007E50F7">
        <w:t xml:space="preserve">apacity must be looked at as a whole, </w:t>
      </w:r>
      <w:r w:rsidRPr="007E50F7">
        <w:t xml:space="preserve">and </w:t>
      </w:r>
      <w:r w:rsidR="008A14BC" w:rsidRPr="007E50F7">
        <w:t>total capacity allows</w:t>
      </w:r>
      <w:r w:rsidRPr="007E50F7">
        <w:t xml:space="preserve"> the Company to</w:t>
      </w:r>
      <w:r w:rsidR="008A14BC" w:rsidRPr="007E50F7">
        <w:t xml:space="preserve"> service large interruptible customers</w:t>
      </w:r>
      <w:r w:rsidRPr="007E50F7">
        <w:t>,</w:t>
      </w:r>
      <w:r w:rsidR="008A14BC" w:rsidRPr="007E50F7">
        <w:t xml:space="preserve"> even though some of the capacity is in the form of medium size main</w:t>
      </w:r>
      <w:r w:rsidRPr="007E50F7">
        <w:t>s.  O</w:t>
      </w:r>
      <w:r w:rsidR="008A14BC" w:rsidRPr="007E50F7">
        <w:t xml:space="preserve">therwise, more interruptible customers </w:t>
      </w:r>
      <w:r w:rsidRPr="007E50F7">
        <w:t>would be curtailed more often due to capacity constraints.</w:t>
      </w:r>
    </w:p>
    <w:p w14:paraId="6CFC0DD7" w14:textId="77777777" w:rsidR="00523214" w:rsidRPr="007E50F7" w:rsidRDefault="00523214" w:rsidP="00523214">
      <w:pPr>
        <w:pStyle w:val="BodyTextIndent"/>
      </w:pPr>
    </w:p>
    <w:p w14:paraId="6CFC0DD8" w14:textId="77777777" w:rsidR="00523214" w:rsidRPr="007E50F7" w:rsidRDefault="00523214" w:rsidP="00523214">
      <w:pPr>
        <w:pStyle w:val="Question-Testimony"/>
      </w:pPr>
      <w:r w:rsidRPr="007E50F7">
        <w:t>Q.</w:t>
      </w:r>
      <w:r w:rsidRPr="007E50F7">
        <w:tab/>
        <w:t>Can you provide an analogy to help illustrate this point?</w:t>
      </w:r>
    </w:p>
    <w:p w14:paraId="6CFC0DD9" w14:textId="77777777" w:rsidR="008A14BC" w:rsidRPr="007E50F7" w:rsidRDefault="00523214" w:rsidP="00523214">
      <w:pPr>
        <w:pStyle w:val="Answer-Testimony"/>
      </w:pPr>
      <w:r w:rsidRPr="007E50F7">
        <w:t>A.</w:t>
      </w:r>
      <w:r w:rsidRPr="007E50F7">
        <w:tab/>
        <w:t xml:space="preserve">Yes.  </w:t>
      </w:r>
      <w:r w:rsidR="008A14BC" w:rsidRPr="007E50F7">
        <w:t xml:space="preserve">The gas distribution system can be </w:t>
      </w:r>
      <w:r w:rsidRPr="007E50F7">
        <w:t xml:space="preserve">analogized </w:t>
      </w:r>
      <w:r w:rsidR="008A14BC" w:rsidRPr="007E50F7">
        <w:t>to a network of roads that includes freeways</w:t>
      </w:r>
      <w:r w:rsidR="008A14BC" w:rsidRPr="007E50F7">
        <w:rPr>
          <w:rStyle w:val="FootnoteReference"/>
        </w:rPr>
        <w:footnoteReference w:id="28"/>
      </w:r>
      <w:r w:rsidR="008A14BC" w:rsidRPr="007E50F7">
        <w:t>, arterials and side streets</w:t>
      </w:r>
      <w:r w:rsidR="008A14BC" w:rsidRPr="007E50F7">
        <w:rPr>
          <w:rStyle w:val="FootnoteReference"/>
        </w:rPr>
        <w:footnoteReference w:id="29"/>
      </w:r>
      <w:r w:rsidR="008A14BC" w:rsidRPr="007E50F7">
        <w:t>.  During times of normal or low traffic volumes, everything is moving freely in the direction of their destination</w:t>
      </w:r>
      <w:r w:rsidRPr="007E50F7">
        <w:t>.  Passenger vehicles and large</w:t>
      </w:r>
      <w:r w:rsidR="008A14BC" w:rsidRPr="007E50F7">
        <w:t xml:space="preserve"> semi</w:t>
      </w:r>
      <w:r w:rsidRPr="007E50F7">
        <w:t>-tractor-trailer rigs</w:t>
      </w:r>
      <w:r w:rsidR="008A14BC" w:rsidRPr="007E50F7">
        <w:t xml:space="preserve"> use the side streets to get to the arterials and the arterials to get to the freeways.  </w:t>
      </w:r>
      <w:r w:rsidRPr="007E50F7">
        <w:t>The system works well</w:t>
      </w:r>
      <w:r w:rsidR="008A14BC" w:rsidRPr="007E50F7">
        <w:t>, until traffic gets heavy and the freeways get congested and traffic slows down</w:t>
      </w:r>
      <w:r w:rsidR="008B09FF" w:rsidRPr="007E50F7">
        <w:t xml:space="preserve">.  At that point, </w:t>
      </w:r>
      <w:r w:rsidR="008A14BC" w:rsidRPr="007E50F7">
        <w:t xml:space="preserve">drivers of some of the cars and trucks then use more of the arterials and side streets, rather than continuing to add to the </w:t>
      </w:r>
      <w:r w:rsidR="008B09FF" w:rsidRPr="007E50F7">
        <w:t xml:space="preserve">freeway </w:t>
      </w:r>
      <w:r w:rsidR="008A14BC" w:rsidRPr="007E50F7">
        <w:t>congestion</w:t>
      </w:r>
      <w:r w:rsidR="008B09FF" w:rsidRPr="007E50F7">
        <w:t>.</w:t>
      </w:r>
    </w:p>
    <w:p w14:paraId="6CFC0DDA" w14:textId="77777777" w:rsidR="008B09FF" w:rsidRPr="007E50F7" w:rsidRDefault="008A14BC" w:rsidP="008A14BC">
      <w:pPr>
        <w:pStyle w:val="Answer-Testimony"/>
        <w:ind w:firstLine="720"/>
      </w:pPr>
      <w:r w:rsidRPr="007E50F7">
        <w:lastRenderedPageBreak/>
        <w:t xml:space="preserve">If the arterials and side streets that parallel the freeways </w:t>
      </w:r>
      <w:r w:rsidR="008B09FF" w:rsidRPr="007E50F7">
        <w:t>are</w:t>
      </w:r>
      <w:r w:rsidRPr="007E50F7">
        <w:t xml:space="preserve"> not available, all of that traffic would still try to crowd the freeways</w:t>
      </w:r>
      <w:r w:rsidR="008B09FF" w:rsidRPr="007E50F7">
        <w:t>,</w:t>
      </w:r>
      <w:r w:rsidRPr="007E50F7">
        <w:t xml:space="preserve"> resulting in gridlock.  During the</w:t>
      </w:r>
      <w:r w:rsidR="008B09FF" w:rsidRPr="007E50F7">
        <w:t>se times of</w:t>
      </w:r>
      <w:r w:rsidRPr="007E50F7">
        <w:t xml:space="preserve"> high</w:t>
      </w:r>
      <w:r w:rsidR="008B09FF" w:rsidRPr="007E50F7">
        <w:t xml:space="preserve"> traffic</w:t>
      </w:r>
      <w:r w:rsidRPr="007E50F7">
        <w:t xml:space="preserve"> volume, the</w:t>
      </w:r>
      <w:r w:rsidR="008B09FF" w:rsidRPr="007E50F7">
        <w:t xml:space="preserve"> large</w:t>
      </w:r>
      <w:r w:rsidRPr="007E50F7">
        <w:t xml:space="preserve"> semis may not use the arterials and side streets themselves, but they gain by having other </w:t>
      </w:r>
      <w:r w:rsidR="008B09FF" w:rsidRPr="007E50F7">
        <w:t>vehicles</w:t>
      </w:r>
      <w:r w:rsidRPr="007E50F7">
        <w:t xml:space="preserve"> select those alternative routes.  This benefit is very clear during times of high volume, but even during times of average use, the existence of smaller roads allows the freeway</w:t>
      </w:r>
      <w:r w:rsidR="008B09FF" w:rsidRPr="007E50F7">
        <w:t>s</w:t>
      </w:r>
      <w:r w:rsidRPr="007E50F7">
        <w:t xml:space="preserve"> to be less congested than </w:t>
      </w:r>
      <w:r w:rsidR="008B09FF" w:rsidRPr="007E50F7">
        <w:t>they</w:t>
      </w:r>
      <w:r w:rsidRPr="007E50F7">
        <w:t xml:space="preserve"> would otherwise be.</w:t>
      </w:r>
    </w:p>
    <w:p w14:paraId="6CFC0DDB" w14:textId="77777777" w:rsidR="008A14BC" w:rsidRPr="007E50F7" w:rsidRDefault="008B09FF" w:rsidP="008A14BC">
      <w:pPr>
        <w:pStyle w:val="Answer-Testimony"/>
        <w:ind w:firstLine="720"/>
      </w:pPr>
      <w:r w:rsidRPr="007E50F7">
        <w:t>In short, h</w:t>
      </w:r>
      <w:r w:rsidR="008A14BC" w:rsidRPr="007E50F7">
        <w:t xml:space="preserve">aving arterials and side streets benefits all vehicles, even those who are traveling long distances at high speeds on the freeway.  Similarly, the gas distribution system as a whole provides capacity for all customers, including those who are </w:t>
      </w:r>
      <w:r w:rsidR="00183A08" w:rsidRPr="007E50F7">
        <w:t xml:space="preserve">directly </w:t>
      </w:r>
      <w:r w:rsidR="008A14BC" w:rsidRPr="007E50F7">
        <w:t>connected to large main</w:t>
      </w:r>
      <w:r w:rsidRPr="007E50F7">
        <w:t>s</w:t>
      </w:r>
      <w:r w:rsidR="008A14BC" w:rsidRPr="007E50F7">
        <w:t>.</w:t>
      </w:r>
    </w:p>
    <w:p w14:paraId="6CFC0DDC" w14:textId="77777777" w:rsidR="008A14BC" w:rsidRPr="007E50F7" w:rsidRDefault="00183A08" w:rsidP="008A14BC">
      <w:pPr>
        <w:pStyle w:val="Answer-Testimony"/>
        <w:ind w:firstLine="720"/>
      </w:pPr>
      <w:r w:rsidRPr="007E50F7">
        <w:t xml:space="preserve">Moreover, </w:t>
      </w:r>
      <w:r w:rsidR="00393872" w:rsidRPr="007E50F7">
        <w:t xml:space="preserve">the Company and </w:t>
      </w:r>
      <w:r w:rsidR="00756C1F" w:rsidRPr="007E50F7">
        <w:t xml:space="preserve">another </w:t>
      </w:r>
      <w:r w:rsidR="008B09FF" w:rsidRPr="007E50F7">
        <w:t>investor-owned utilities (“</w:t>
      </w:r>
      <w:r w:rsidR="008A14BC" w:rsidRPr="007E50F7">
        <w:t>IOUs</w:t>
      </w:r>
      <w:r w:rsidR="008B09FF" w:rsidRPr="007E50F7">
        <w:t>”)</w:t>
      </w:r>
      <w:r w:rsidR="00252294" w:rsidRPr="007E50F7">
        <w:rPr>
          <w:rStyle w:val="FootnoteReference"/>
        </w:rPr>
        <w:t xml:space="preserve"> </w:t>
      </w:r>
      <w:r w:rsidR="00252294" w:rsidRPr="007E50F7">
        <w:rPr>
          <w:rStyle w:val="FootnoteReference"/>
        </w:rPr>
        <w:footnoteReference w:id="30"/>
      </w:r>
      <w:r w:rsidR="008B09FF" w:rsidRPr="007E50F7">
        <w:t xml:space="preserve"> </w:t>
      </w:r>
      <w:r w:rsidR="00756C1F" w:rsidRPr="007E50F7">
        <w:t xml:space="preserve">both </w:t>
      </w:r>
      <w:r w:rsidR="00252294" w:rsidRPr="007E50F7">
        <w:t xml:space="preserve">have a </w:t>
      </w:r>
      <w:r w:rsidR="008A14BC" w:rsidRPr="007E50F7">
        <w:t>planning model</w:t>
      </w:r>
      <w:r w:rsidR="000441B0" w:rsidRPr="007E50F7">
        <w:t xml:space="preserve"> by GL Noble Denton</w:t>
      </w:r>
      <w:r w:rsidR="00252294" w:rsidRPr="007E50F7">
        <w:t xml:space="preserve"> called “</w:t>
      </w:r>
      <w:proofErr w:type="spellStart"/>
      <w:r w:rsidR="00252294" w:rsidRPr="007E50F7">
        <w:t>SynerGEE</w:t>
      </w:r>
      <w:proofErr w:type="spellEnd"/>
      <w:r w:rsidR="00252294" w:rsidRPr="007E50F7">
        <w:t xml:space="preserve">” </w:t>
      </w:r>
      <w:r w:rsidR="008A14BC" w:rsidRPr="007E50F7">
        <w:t>that demonstrate</w:t>
      </w:r>
      <w:r w:rsidR="009D1A98" w:rsidRPr="007E50F7">
        <w:t>s</w:t>
      </w:r>
      <w:r w:rsidR="008A14BC" w:rsidRPr="007E50F7">
        <w:t xml:space="preserve"> that gas takes multiple routes to a given customer, depending on temperature, load and outage conditions.  This redundancy built in</w:t>
      </w:r>
      <w:r w:rsidRPr="007E50F7">
        <w:t>to</w:t>
      </w:r>
      <w:r w:rsidR="008A14BC" w:rsidRPr="007E50F7">
        <w:t xml:space="preserve"> the system provides additional system capacity and allows service to a given customer, even if parts of the system are temporarily out of service.</w:t>
      </w:r>
    </w:p>
    <w:p w14:paraId="6CFC0DDD" w14:textId="77777777" w:rsidR="008A14BC" w:rsidRPr="007E50F7" w:rsidRDefault="008A14BC" w:rsidP="008A14BC">
      <w:pPr>
        <w:pStyle w:val="Question-Testimony"/>
      </w:pPr>
    </w:p>
    <w:p w14:paraId="6CFC0DDE" w14:textId="77777777" w:rsidR="008A14BC" w:rsidRPr="007E50F7" w:rsidRDefault="008A14BC" w:rsidP="008A14BC">
      <w:pPr>
        <w:pStyle w:val="Question-Testimony"/>
      </w:pPr>
      <w:r w:rsidRPr="007E50F7">
        <w:t>Q.</w:t>
      </w:r>
      <w:r w:rsidRPr="007E50F7">
        <w:tab/>
        <w:t xml:space="preserve">How does Staff’s approach </w:t>
      </w:r>
      <w:r w:rsidR="008B09FF" w:rsidRPr="007E50F7">
        <w:t>respond to this shared use of capacity on the system</w:t>
      </w:r>
      <w:r w:rsidRPr="007E50F7">
        <w:t>?</w:t>
      </w:r>
    </w:p>
    <w:p w14:paraId="6CFC0DDF" w14:textId="77777777" w:rsidR="008A14BC" w:rsidRPr="007E50F7" w:rsidRDefault="008A14BC" w:rsidP="00D25908">
      <w:pPr>
        <w:pStyle w:val="Answer-Testimony"/>
      </w:pPr>
      <w:r w:rsidRPr="007E50F7">
        <w:t>A.</w:t>
      </w:r>
      <w:r w:rsidRPr="007E50F7">
        <w:tab/>
        <w:t>Staff’s approach reflects a balance between the way the system is designed (to meet peak demand) and the way it is utilized on an annual basis (throughput based on gas usage that occurs during all conditions, not only peak conditions).</w:t>
      </w:r>
    </w:p>
    <w:p w14:paraId="6CFC0DE0" w14:textId="77777777" w:rsidR="008A14BC" w:rsidRPr="007E50F7" w:rsidRDefault="008A14BC" w:rsidP="008A14BC">
      <w:pPr>
        <w:pStyle w:val="Answer-Testimony"/>
      </w:pPr>
    </w:p>
    <w:p w14:paraId="6CFC0DE1" w14:textId="77777777" w:rsidR="008A14BC" w:rsidRPr="007E50F7" w:rsidRDefault="008A14BC" w:rsidP="008A14BC">
      <w:pPr>
        <w:pStyle w:val="Question-Testimony"/>
      </w:pPr>
      <w:r w:rsidRPr="007E50F7">
        <w:t>Q.</w:t>
      </w:r>
      <w:r w:rsidRPr="007E50F7">
        <w:tab/>
        <w:t>Please describe how Staff classified and allocated gas distribution mains.</w:t>
      </w:r>
    </w:p>
    <w:p w14:paraId="6CFC0DE2" w14:textId="77777777" w:rsidR="008A14BC" w:rsidRPr="007E50F7" w:rsidRDefault="008A14BC" w:rsidP="008A14BC">
      <w:pPr>
        <w:pStyle w:val="Answer-Testimony"/>
      </w:pPr>
      <w:r w:rsidRPr="007E50F7">
        <w:t>A.</w:t>
      </w:r>
      <w:r w:rsidRPr="007E50F7">
        <w:tab/>
      </w:r>
      <w:r w:rsidR="008B09FF" w:rsidRPr="007E50F7">
        <w:t xml:space="preserve">As I noted earlier, </w:t>
      </w:r>
      <w:r w:rsidRPr="007E50F7">
        <w:t>Staff classifies the cost of distribution mains as a demand-related cost.  However, Staff does not allocate these costs based solely on peak demand.  Instead, Staff used the peak and average method for allocating this portion of demand-related costs.  This method allocates demand costs based on a combination of peak demand and average demand.  Average demand is essentially another term for average throughput.</w:t>
      </w:r>
    </w:p>
    <w:p w14:paraId="6CFC0DE3" w14:textId="77777777" w:rsidR="008A14BC" w:rsidRPr="007E50F7" w:rsidRDefault="008A14BC" w:rsidP="008A14BC">
      <w:pPr>
        <w:pStyle w:val="Answer-Testimony"/>
        <w:ind w:firstLine="720"/>
      </w:pPr>
      <w:r w:rsidRPr="007E50F7">
        <w:t>Staff used the system load factor</w:t>
      </w:r>
      <w:r w:rsidR="00B8433F" w:rsidRPr="007E50F7">
        <w:rPr>
          <w:rStyle w:val="FootnoteReference"/>
        </w:rPr>
        <w:footnoteReference w:id="31"/>
      </w:r>
      <w:r w:rsidRPr="007E50F7">
        <w:t xml:space="preserve"> to </w:t>
      </w:r>
      <w:r w:rsidR="008B09FF" w:rsidRPr="007E50F7">
        <w:t>determine</w:t>
      </w:r>
      <w:r w:rsidRPr="007E50F7">
        <w:t xml:space="preserve"> how much of the demand-related costs would be allocated based on average demand and how much would be allocated based on peak demand.  Staff calculated a system load factor based on weather-normalized throughput and peak demand.  The load factor is the ratio of average load to peak load, and when multiplied by the plant investment, provides an estimate of costs that can be attributed to average use rather than peak use.</w:t>
      </w:r>
    </w:p>
    <w:p w14:paraId="6CFC0DE4" w14:textId="77777777" w:rsidR="008A14BC" w:rsidRPr="007E50F7" w:rsidRDefault="008B09FF" w:rsidP="008A14BC">
      <w:pPr>
        <w:pStyle w:val="Answer-Testimony"/>
        <w:ind w:firstLine="720"/>
      </w:pPr>
      <w:r w:rsidRPr="007E50F7">
        <w:t>Staff used t</w:t>
      </w:r>
      <w:r w:rsidR="008A14BC" w:rsidRPr="007E50F7">
        <w:t>he resulting 36.3 percent load factor to divide these demand-related costs into peak demand and average demand for purposes of allocating the costs to customer classes, with the demand-related costs being allocated 36.3 percent on average demand and 63.7 percent on peak demand.  The load factor provides a reasonable basis for determining what portion of these costs should be allocated based on average demand.</w:t>
      </w:r>
    </w:p>
    <w:p w14:paraId="6CFC0DE5" w14:textId="77777777" w:rsidR="008A14BC" w:rsidRPr="007E50F7" w:rsidRDefault="008A14BC" w:rsidP="008A14BC">
      <w:pPr>
        <w:pStyle w:val="Answer-Testimony"/>
      </w:pPr>
    </w:p>
    <w:p w14:paraId="6CFC0DE6" w14:textId="77777777" w:rsidR="008A14BC" w:rsidRPr="007E50F7" w:rsidDel="00C62601" w:rsidRDefault="008A14BC" w:rsidP="008A14BC">
      <w:pPr>
        <w:pStyle w:val="Question-Testimony"/>
      </w:pPr>
      <w:r w:rsidRPr="007E50F7">
        <w:t>Q.</w:t>
      </w:r>
      <w:r w:rsidRPr="007E50F7">
        <w:tab/>
        <w:t xml:space="preserve">Please </w:t>
      </w:r>
      <w:r w:rsidR="008B09FF" w:rsidRPr="007E50F7">
        <w:t xml:space="preserve">explain the specific steps </w:t>
      </w:r>
      <w:r w:rsidRPr="007E50F7">
        <w:t>in Staff</w:t>
      </w:r>
      <w:r w:rsidR="008B09FF" w:rsidRPr="007E50F7">
        <w:t xml:space="preserve">’s use of </w:t>
      </w:r>
      <w:r w:rsidR="00324FD1" w:rsidRPr="007E50F7">
        <w:t>the peak and average method</w:t>
      </w:r>
      <w:r w:rsidR="008B09FF" w:rsidRPr="007E50F7">
        <w:t xml:space="preserve"> to allocate the </w:t>
      </w:r>
      <w:r w:rsidRPr="007E50F7">
        <w:t>cost of distribution mains to the rate schedules.</w:t>
      </w:r>
    </w:p>
    <w:p w14:paraId="6CFC0DE7" w14:textId="77777777" w:rsidR="008A14BC" w:rsidRPr="007E50F7" w:rsidRDefault="008A14BC" w:rsidP="00183A08">
      <w:pPr>
        <w:pStyle w:val="Answer-Testimony"/>
      </w:pPr>
      <w:r w:rsidRPr="007E50F7">
        <w:lastRenderedPageBreak/>
        <w:t>A.</w:t>
      </w:r>
      <w:r w:rsidRPr="007E50F7">
        <w:tab/>
        <w:t>First, I divided total distribution mains plant into the portion to be allocated based on peak demand and the portion to be allocated based on average demand using the system load factor described above.  This resulted in $5</w:t>
      </w:r>
      <w:r w:rsidR="00B965A6" w:rsidRPr="007E50F7">
        <w:t>0</w:t>
      </w:r>
      <w:r w:rsidRPr="007E50F7">
        <w:t>.</w:t>
      </w:r>
      <w:r w:rsidR="00B965A6" w:rsidRPr="007E50F7">
        <w:t>6</w:t>
      </w:r>
      <w:r w:rsidRPr="007E50F7">
        <w:t xml:space="preserve"> million (36.3 percent) of plant to be allocated based on average demand and $</w:t>
      </w:r>
      <w:r w:rsidR="00B965A6" w:rsidRPr="007E50F7">
        <w:t>88</w:t>
      </w:r>
      <w:r w:rsidRPr="007E50F7">
        <w:t>.</w:t>
      </w:r>
      <w:r w:rsidR="00B965A6" w:rsidRPr="007E50F7">
        <w:t>8</w:t>
      </w:r>
      <w:r w:rsidRPr="007E50F7">
        <w:t xml:space="preserve"> million (63.7 percent) to be allocated based on peak demand.</w:t>
      </w:r>
    </w:p>
    <w:p w14:paraId="6CFC0DE8" w14:textId="77777777" w:rsidR="008A14BC" w:rsidRPr="007E50F7" w:rsidRDefault="008A14BC" w:rsidP="008A14BC">
      <w:pPr>
        <w:pStyle w:val="Answer-Testimony"/>
        <w:ind w:firstLine="720"/>
      </w:pPr>
      <w:r w:rsidRPr="007E50F7">
        <w:t>Second, I allocated the 63.7 percent based on peak demand to all customer classes based on their estimated contributions to the peak demand.</w:t>
      </w:r>
    </w:p>
    <w:p w14:paraId="6CFC0DE9" w14:textId="77777777" w:rsidR="008A14BC" w:rsidRPr="007E50F7" w:rsidRDefault="008A14BC" w:rsidP="008A14BC">
      <w:pPr>
        <w:pStyle w:val="Answer-Testimony"/>
        <w:ind w:firstLine="720"/>
      </w:pPr>
      <w:r w:rsidRPr="007E50F7">
        <w:t xml:space="preserve">Third, I split the 36.3 percent based on average demand into three groups: (1) large main (greater than or equal to four inches in diameter); (2) medium main (two to three inches in diameter); and (3) small main (less than two inches in diameter).  I allocated large main to all customer classes based on annual weather normalized throughput.  I allocated small main to all classes except Schedules 131, 132, </w:t>
      </w:r>
      <w:r w:rsidR="00E01292" w:rsidRPr="007E50F7">
        <w:t xml:space="preserve">and </w:t>
      </w:r>
      <w:r w:rsidRPr="007E50F7">
        <w:t>146 based on annual weather normalized throughput.  I allocated medium main 33.3 percent to all classes and 66.7 percent to all classes except 146 based on annual weather normalized throughput.</w:t>
      </w:r>
    </w:p>
    <w:p w14:paraId="6CFC0DEA" w14:textId="77777777" w:rsidR="008B09FF" w:rsidRPr="007E50F7" w:rsidRDefault="008B09FF" w:rsidP="008A14BC">
      <w:pPr>
        <w:pStyle w:val="Answer-Testimony"/>
        <w:ind w:firstLine="720"/>
      </w:pPr>
      <w:r w:rsidRPr="007E50F7">
        <w:t>My Exhibit No.</w:t>
      </w:r>
      <w:r w:rsidR="008F3EA0" w:rsidRPr="007E50F7">
        <w:t xml:space="preserve"> </w:t>
      </w:r>
      <w:r w:rsidRPr="007E50F7">
        <w:t>__</w:t>
      </w:r>
      <w:r w:rsidR="008F3EA0" w:rsidRPr="007E50F7">
        <w:t xml:space="preserve">_ </w:t>
      </w:r>
      <w:r w:rsidR="00172925" w:rsidRPr="007E50F7">
        <w:t>(</w:t>
      </w:r>
      <w:proofErr w:type="spellStart"/>
      <w:r w:rsidR="00172925" w:rsidRPr="007E50F7">
        <w:t>CTM</w:t>
      </w:r>
      <w:proofErr w:type="spellEnd"/>
      <w:r w:rsidR="00172925" w:rsidRPr="007E50F7">
        <w:t>-8</w:t>
      </w:r>
      <w:r w:rsidRPr="007E50F7">
        <w:t>) is a chart showing these steps.</w:t>
      </w:r>
    </w:p>
    <w:p w14:paraId="6CFC0DEB" w14:textId="77777777" w:rsidR="00FF45FB" w:rsidRPr="007E50F7" w:rsidRDefault="00FF45FB" w:rsidP="0073643F">
      <w:pPr>
        <w:pStyle w:val="Answer-Testimony"/>
      </w:pPr>
    </w:p>
    <w:p w14:paraId="6CFC0DEC" w14:textId="77777777" w:rsidR="008A14BC" w:rsidRPr="007E50F7" w:rsidRDefault="008A14BC" w:rsidP="008A14BC">
      <w:pPr>
        <w:pStyle w:val="Question-Testimony"/>
      </w:pPr>
      <w:r w:rsidRPr="007E50F7">
        <w:t>Q.</w:t>
      </w:r>
      <w:r w:rsidRPr="007E50F7">
        <w:tab/>
        <w:t>Why did you not allocate mains less than two inches in diameter to all classes?</w:t>
      </w:r>
    </w:p>
    <w:p w14:paraId="6CFC0DED" w14:textId="77777777" w:rsidR="009651B5" w:rsidRPr="007E50F7" w:rsidRDefault="008A14BC" w:rsidP="008A14BC">
      <w:pPr>
        <w:pStyle w:val="Answer-Testimony"/>
      </w:pPr>
      <w:r w:rsidRPr="007E50F7">
        <w:t>A.</w:t>
      </w:r>
      <w:r w:rsidRPr="007E50F7">
        <w:tab/>
        <w:t>These smallest mains are located in isolated locations on the Company’s system and thus are unlikely to provide</w:t>
      </w:r>
      <w:r w:rsidR="008B09FF" w:rsidRPr="007E50F7">
        <w:t xml:space="preserve"> the</w:t>
      </w:r>
      <w:r w:rsidRPr="007E50F7">
        <w:t xml:space="preserve"> benefits</w:t>
      </w:r>
      <w:r w:rsidR="008B09FF" w:rsidRPr="007E50F7">
        <w:t xml:space="preserve"> I have described</w:t>
      </w:r>
      <w:r w:rsidRPr="007E50F7">
        <w:t xml:space="preserve"> to the large commercial and industrial</w:t>
      </w:r>
      <w:r w:rsidR="008B09FF" w:rsidRPr="007E50F7">
        <w:t xml:space="preserve"> customers</w:t>
      </w:r>
      <w:r w:rsidRPr="007E50F7">
        <w:t xml:space="preserve"> served on Schedules 131, 132, </w:t>
      </w:r>
      <w:r w:rsidR="00B0186D" w:rsidRPr="007E50F7">
        <w:t xml:space="preserve">and </w:t>
      </w:r>
      <w:r w:rsidRPr="007E50F7">
        <w:t>146, whereas medium main</w:t>
      </w:r>
      <w:r w:rsidR="009651B5" w:rsidRPr="007E50F7">
        <w:t>s</w:t>
      </w:r>
      <w:r w:rsidRPr="007E50F7">
        <w:t xml:space="preserve"> </w:t>
      </w:r>
      <w:r w:rsidR="009651B5" w:rsidRPr="007E50F7">
        <w:t xml:space="preserve">are located </w:t>
      </w:r>
      <w:r w:rsidRPr="007E50F7">
        <w:t xml:space="preserve">throughout the </w:t>
      </w:r>
      <w:r w:rsidR="009651B5" w:rsidRPr="007E50F7">
        <w:t xml:space="preserve">Company’s </w:t>
      </w:r>
      <w:r w:rsidRPr="007E50F7">
        <w:t>distribution system.</w:t>
      </w:r>
    </w:p>
    <w:p w14:paraId="6CFC0DEE" w14:textId="77777777" w:rsidR="009651B5" w:rsidRPr="007E50F7" w:rsidRDefault="009651B5" w:rsidP="009651B5">
      <w:pPr>
        <w:pStyle w:val="Answer-Testimony"/>
        <w:ind w:firstLine="720"/>
      </w:pPr>
      <w:r w:rsidRPr="007E50F7">
        <w:lastRenderedPageBreak/>
        <w:t>I also grouped t</w:t>
      </w:r>
      <w:r w:rsidR="008A14BC" w:rsidRPr="007E50F7">
        <w:t>hree inch main</w:t>
      </w:r>
      <w:r w:rsidRPr="007E50F7">
        <w:t>s</w:t>
      </w:r>
      <w:r w:rsidR="008A14BC" w:rsidRPr="007E50F7">
        <w:t xml:space="preserve"> with</w:t>
      </w:r>
      <w:r w:rsidRPr="007E50F7">
        <w:t xml:space="preserve"> the</w:t>
      </w:r>
      <w:r w:rsidR="008A14BC" w:rsidRPr="007E50F7">
        <w:t xml:space="preserve"> two inch main</w:t>
      </w:r>
      <w:r w:rsidRPr="007E50F7">
        <w:t xml:space="preserve">s because Avista has </w:t>
      </w:r>
      <w:r w:rsidR="00183A08" w:rsidRPr="007E50F7">
        <w:t>few</w:t>
      </w:r>
      <w:r w:rsidR="008A14BC" w:rsidRPr="007E50F7">
        <w:t xml:space="preserve"> three inch main</w:t>
      </w:r>
      <w:r w:rsidR="00183A08" w:rsidRPr="007E50F7">
        <w:t>s</w:t>
      </w:r>
      <w:r w:rsidR="008A14BC" w:rsidRPr="007E50F7">
        <w:t xml:space="preserve"> in </w:t>
      </w:r>
      <w:r w:rsidRPr="007E50F7">
        <w:t>its</w:t>
      </w:r>
      <w:r w:rsidR="008A14BC" w:rsidRPr="007E50F7">
        <w:t xml:space="preserve"> system.  By contract, large main</w:t>
      </w:r>
      <w:r w:rsidRPr="007E50F7">
        <w:t>s</w:t>
      </w:r>
      <w:r w:rsidR="008A14BC" w:rsidRPr="007E50F7">
        <w:t xml:space="preserve"> (four inch</w:t>
      </w:r>
      <w:r w:rsidRPr="007E50F7">
        <w:t xml:space="preserve"> </w:t>
      </w:r>
      <w:r w:rsidR="008A14BC" w:rsidRPr="007E50F7">
        <w:t xml:space="preserve">diameter and greater) </w:t>
      </w:r>
      <w:r w:rsidR="00F054D1" w:rsidRPr="007E50F7">
        <w:t>are</w:t>
      </w:r>
      <w:r w:rsidR="008A14BC" w:rsidRPr="007E50F7">
        <w:t xml:space="preserve"> the backbone of </w:t>
      </w:r>
      <w:r w:rsidRPr="007E50F7">
        <w:t xml:space="preserve">Avista’s </w:t>
      </w:r>
      <w:r w:rsidR="008A14BC" w:rsidRPr="007E50F7">
        <w:t xml:space="preserve">system, and </w:t>
      </w:r>
      <w:r w:rsidRPr="007E50F7">
        <w:t xml:space="preserve">Avista uses </w:t>
      </w:r>
      <w:r w:rsidR="008A14BC" w:rsidRPr="007E50F7">
        <w:t>medium to small main (two</w:t>
      </w:r>
      <w:r w:rsidRPr="007E50F7">
        <w:t xml:space="preserve"> </w:t>
      </w:r>
      <w:r w:rsidR="008A14BC" w:rsidRPr="007E50F7">
        <w:t>inch</w:t>
      </w:r>
      <w:r w:rsidRPr="007E50F7">
        <w:t xml:space="preserve"> diameter</w:t>
      </w:r>
      <w:r w:rsidR="008A14BC" w:rsidRPr="007E50F7">
        <w:t xml:space="preserve"> and smaller) to deliver gas to most of the customers.</w:t>
      </w:r>
    </w:p>
    <w:p w14:paraId="6CFC0DEF" w14:textId="77777777" w:rsidR="008A14BC" w:rsidRPr="007E50F7" w:rsidRDefault="008A14BC" w:rsidP="009651B5">
      <w:pPr>
        <w:pStyle w:val="Answer-Testimony"/>
        <w:ind w:firstLine="720"/>
      </w:pPr>
      <w:r w:rsidRPr="007E50F7">
        <w:t xml:space="preserve">Therefore, </w:t>
      </w:r>
      <w:r w:rsidR="00CE371B" w:rsidRPr="007E50F7">
        <w:t>Staff’s approach acknowledges the fact that the smallest main</w:t>
      </w:r>
      <w:r w:rsidR="00183A08" w:rsidRPr="007E50F7">
        <w:t>s are</w:t>
      </w:r>
      <w:r w:rsidR="00CE371B" w:rsidRPr="007E50F7">
        <w:t xml:space="preserve"> in isolated locations on the system and </w:t>
      </w:r>
      <w:r w:rsidR="00183A08" w:rsidRPr="007E50F7">
        <w:t xml:space="preserve">they are </w:t>
      </w:r>
      <w:r w:rsidR="00CE371B" w:rsidRPr="007E50F7">
        <w:t>unlikely to benefit large commercial and industrial customers.</w:t>
      </w:r>
    </w:p>
    <w:p w14:paraId="6CFC0DF0" w14:textId="77777777" w:rsidR="008A14BC" w:rsidRPr="007E50F7" w:rsidRDefault="008A14BC" w:rsidP="008A14BC">
      <w:pPr>
        <w:pStyle w:val="Answer-Testimony"/>
      </w:pPr>
    </w:p>
    <w:p w14:paraId="6CFC0DF1" w14:textId="77777777" w:rsidR="008A14BC" w:rsidRPr="007E50F7" w:rsidRDefault="008A14BC" w:rsidP="008A14BC">
      <w:pPr>
        <w:pStyle w:val="Question-Testimony"/>
      </w:pPr>
      <w:r w:rsidRPr="007E50F7">
        <w:t>Q.</w:t>
      </w:r>
      <w:r w:rsidRPr="007E50F7">
        <w:tab/>
        <w:t>Why did you split medium mains (those two to three inches in diameter) into two groups?</w:t>
      </w:r>
    </w:p>
    <w:p w14:paraId="6CFC0DF2" w14:textId="77777777" w:rsidR="008A14BC" w:rsidRPr="007E50F7" w:rsidRDefault="008A14BC" w:rsidP="009651B5">
      <w:pPr>
        <w:pStyle w:val="Answer-Testimony"/>
      </w:pPr>
      <w:r w:rsidRPr="007E50F7">
        <w:t>A.</w:t>
      </w:r>
      <w:r w:rsidRPr="007E50F7">
        <w:tab/>
      </w:r>
      <w:r w:rsidR="009651B5" w:rsidRPr="007E50F7">
        <w:t>Staff did this to reasonably allocate the cost of this plant.</w:t>
      </w:r>
      <w:r w:rsidRPr="007E50F7">
        <w:t xml:space="preserve"> </w:t>
      </w:r>
      <w:r w:rsidR="009651B5" w:rsidRPr="007E50F7">
        <w:t xml:space="preserve"> </w:t>
      </w:r>
      <w:r w:rsidRPr="007E50F7">
        <w:t xml:space="preserve">Giving the largest interruptible customers a full allocation of the costs of medium-sized mains </w:t>
      </w:r>
      <w:r w:rsidR="009651B5" w:rsidRPr="007E50F7">
        <w:t xml:space="preserve">arguably places too much </w:t>
      </w:r>
      <w:r w:rsidRPr="007E50F7">
        <w:t>emphasis on system benefits,</w:t>
      </w:r>
      <w:r w:rsidR="009651B5" w:rsidRPr="007E50F7">
        <w:t xml:space="preserve"> yet</w:t>
      </w:r>
      <w:r w:rsidRPr="007E50F7">
        <w:t xml:space="preserve"> providing a zero allocation of these costs places</w:t>
      </w:r>
      <w:r w:rsidR="009651B5" w:rsidRPr="007E50F7">
        <w:t xml:space="preserve"> too much </w:t>
      </w:r>
      <w:r w:rsidRPr="007E50F7">
        <w:t>emphasis on customers’ physical connections and the flow of gas.</w:t>
      </w:r>
      <w:r w:rsidR="009651B5" w:rsidRPr="007E50F7">
        <w:t xml:space="preserve">  </w:t>
      </w:r>
      <w:r w:rsidRPr="007E50F7">
        <w:t xml:space="preserve">Staff’s approach </w:t>
      </w:r>
      <w:r w:rsidR="009651B5" w:rsidRPr="007E50F7">
        <w:t xml:space="preserve">is a </w:t>
      </w:r>
      <w:r w:rsidRPr="007E50F7">
        <w:t>balance</w:t>
      </w:r>
      <w:r w:rsidR="009651B5" w:rsidRPr="007E50F7">
        <w:t xml:space="preserve"> between</w:t>
      </w:r>
      <w:r w:rsidRPr="007E50F7">
        <w:t xml:space="preserve"> both </w:t>
      </w:r>
      <w:r w:rsidR="009651B5" w:rsidRPr="007E50F7">
        <w:t>extremes</w:t>
      </w:r>
      <w:r w:rsidRPr="007E50F7">
        <w:t>.</w:t>
      </w:r>
    </w:p>
    <w:p w14:paraId="6CFC0DF3" w14:textId="77777777" w:rsidR="008A14BC" w:rsidRPr="007E50F7" w:rsidRDefault="008A14BC" w:rsidP="008A14BC">
      <w:pPr>
        <w:pStyle w:val="Question-Testimony"/>
      </w:pPr>
    </w:p>
    <w:p w14:paraId="6CFC0DF4" w14:textId="77777777" w:rsidR="008A14BC" w:rsidRPr="007E50F7" w:rsidRDefault="008A14BC" w:rsidP="008A14BC">
      <w:pPr>
        <w:pStyle w:val="Question-Testimony"/>
      </w:pPr>
      <w:r w:rsidRPr="007E50F7">
        <w:t>Q.</w:t>
      </w:r>
      <w:r w:rsidRPr="007E50F7">
        <w:tab/>
        <w:t>Why did Staff choose the one-third, two-thirds split, with one third of medium main being allocated to all customers and two thirds to all classes except Schedule 146 (interruptible)?</w:t>
      </w:r>
    </w:p>
    <w:p w14:paraId="6CFC0DF5" w14:textId="77777777" w:rsidR="008A14BC" w:rsidRPr="007E50F7" w:rsidRDefault="008A14BC" w:rsidP="008A14BC">
      <w:pPr>
        <w:pStyle w:val="Answer-Testimony"/>
      </w:pPr>
      <w:r w:rsidRPr="007E50F7">
        <w:t>A.</w:t>
      </w:r>
      <w:r w:rsidRPr="007E50F7">
        <w:tab/>
        <w:t xml:space="preserve">Staff considered the historical treatment of these customers and the benefits associated with being part of the gas distribution system for other IOUs.  Historically, Schedule 146 customers and contract customers had some assignment of costs related to medium main, but that assignment was small.  Prior to this general </w:t>
      </w:r>
      <w:r w:rsidRPr="007E50F7">
        <w:lastRenderedPageBreak/>
        <w:t xml:space="preserve">rate case, the </w:t>
      </w:r>
      <w:r w:rsidR="009651B5" w:rsidRPr="007E50F7">
        <w:t xml:space="preserve">only medium-sized mains the </w:t>
      </w:r>
      <w:r w:rsidRPr="007E50F7">
        <w:t xml:space="preserve">Company would only assign to those largest customers </w:t>
      </w:r>
      <w:r w:rsidR="009651B5" w:rsidRPr="007E50F7">
        <w:t xml:space="preserve">were </w:t>
      </w:r>
      <w:r w:rsidRPr="007E50F7">
        <w:t>based on a direct assignment.</w:t>
      </w:r>
    </w:p>
    <w:p w14:paraId="6CFC0DF6" w14:textId="77777777" w:rsidR="008A14BC" w:rsidRPr="007E50F7" w:rsidRDefault="008A14BC" w:rsidP="008A14BC">
      <w:pPr>
        <w:pStyle w:val="Answer-Testimony"/>
        <w:ind w:firstLine="720"/>
      </w:pPr>
      <w:r w:rsidRPr="007E50F7">
        <w:t>Staff’s two-thirds weighting is an acknowledgement that, in the past, the</w:t>
      </w:r>
      <w:r w:rsidR="009651B5" w:rsidRPr="007E50F7">
        <w:t>se large customers were assigned</w:t>
      </w:r>
      <w:r w:rsidRPr="007E50F7">
        <w:t xml:space="preserve"> very </w:t>
      </w:r>
      <w:r w:rsidR="009651B5" w:rsidRPr="007E50F7">
        <w:t>little of the costs of distribution mains</w:t>
      </w:r>
      <w:r w:rsidRPr="007E50F7">
        <w:t>.  The one-third weighting acknowledges the benefits to all customers of being part of a distribution system.  Consequently, while the cost assignment of medium main to Schedule 146 customers should be small, it should not be zero, even though for the last decade</w:t>
      </w:r>
      <w:r w:rsidRPr="007E50F7">
        <w:rPr>
          <w:rStyle w:val="FootnoteReference"/>
        </w:rPr>
        <w:footnoteReference w:id="32"/>
      </w:r>
      <w:r w:rsidRPr="007E50F7">
        <w:t xml:space="preserve">, Avista has </w:t>
      </w:r>
      <w:r w:rsidR="009651B5" w:rsidRPr="007E50F7">
        <w:t xml:space="preserve">not curtailed a single </w:t>
      </w:r>
      <w:r w:rsidRPr="007E50F7">
        <w:t>Schedule 146 or contract customers.</w:t>
      </w:r>
    </w:p>
    <w:p w14:paraId="6CFC0DF7" w14:textId="77777777" w:rsidR="008A14BC" w:rsidRPr="007E50F7" w:rsidRDefault="008A14BC" w:rsidP="008A14BC">
      <w:pPr>
        <w:pStyle w:val="Question-Testimony"/>
      </w:pPr>
    </w:p>
    <w:p w14:paraId="6CFC0DF8" w14:textId="77777777" w:rsidR="008A14BC" w:rsidRPr="007E50F7" w:rsidRDefault="008A14BC" w:rsidP="008A14BC">
      <w:pPr>
        <w:pStyle w:val="Question-Testimony"/>
      </w:pPr>
      <w:r w:rsidRPr="007E50F7">
        <w:t>Q.</w:t>
      </w:r>
      <w:r w:rsidRPr="007E50F7">
        <w:tab/>
        <w:t>Please summarize the benefits of the Staff’s peak and average method for allocating gas distribution mains.</w:t>
      </w:r>
    </w:p>
    <w:p w14:paraId="6CFC0DF9" w14:textId="77777777" w:rsidR="008A14BC" w:rsidRPr="007E50F7" w:rsidRDefault="008A14BC" w:rsidP="008A14BC">
      <w:pPr>
        <w:pStyle w:val="Answer-Testimony"/>
      </w:pPr>
      <w:r w:rsidRPr="007E50F7">
        <w:t>A.</w:t>
      </w:r>
      <w:r w:rsidRPr="007E50F7">
        <w:tab/>
      </w:r>
      <w:r w:rsidRPr="007E50F7">
        <w:rPr>
          <w:rStyle w:val="answerChar"/>
        </w:rPr>
        <w:t xml:space="preserve">There are </w:t>
      </w:r>
      <w:r w:rsidR="009651B5" w:rsidRPr="007E50F7">
        <w:rPr>
          <w:rStyle w:val="answerChar"/>
        </w:rPr>
        <w:t xml:space="preserve">three primary </w:t>
      </w:r>
      <w:r w:rsidRPr="007E50F7">
        <w:rPr>
          <w:rStyle w:val="answerChar"/>
        </w:rPr>
        <w:t>benefits to Staff’s peak and average method</w:t>
      </w:r>
      <w:r w:rsidRPr="007E50F7">
        <w:t>.  First, this method recognizes that all customers benefit from the entire gas system of medium and large mains as a whole, not only from the stretch of main through which gas flows to reach the individual customer.  The system is a network of pipes that provides benefits to customers in addition to providing the stretch of pipe through which molecules flow to reach the individual customer.</w:t>
      </w:r>
    </w:p>
    <w:p w14:paraId="6CFC0DFA" w14:textId="77777777" w:rsidR="008A14BC" w:rsidRPr="007E50F7" w:rsidRDefault="009651B5" w:rsidP="008A14BC">
      <w:pPr>
        <w:pStyle w:val="Answer-Testimony"/>
        <w:ind w:firstLine="720"/>
      </w:pPr>
      <w:r w:rsidRPr="007E50F7">
        <w:t>Second</w:t>
      </w:r>
      <w:r w:rsidR="008A14BC" w:rsidRPr="007E50F7">
        <w:t>, by exempting large customers from any allocation of the cost of the smallest diameter main (less than two inches), Staff’s method acknowledges the fact that the</w:t>
      </w:r>
      <w:r w:rsidRPr="007E50F7">
        <w:t>se</w:t>
      </w:r>
      <w:r w:rsidR="008A14BC" w:rsidRPr="007E50F7">
        <w:t xml:space="preserve"> smallest main</w:t>
      </w:r>
      <w:r w:rsidR="00305F27" w:rsidRPr="007E50F7">
        <w:t>s</w:t>
      </w:r>
      <w:r w:rsidR="008A14BC" w:rsidRPr="007E50F7">
        <w:t xml:space="preserve"> </w:t>
      </w:r>
      <w:r w:rsidRPr="007E50F7">
        <w:t xml:space="preserve">are located in </w:t>
      </w:r>
      <w:r w:rsidR="008A14BC" w:rsidRPr="007E50F7">
        <w:t xml:space="preserve">isolated locations on the system and </w:t>
      </w:r>
      <w:r w:rsidR="00305F27" w:rsidRPr="007E50F7">
        <w:t>are</w:t>
      </w:r>
      <w:r w:rsidR="008A14BC" w:rsidRPr="007E50F7">
        <w:t xml:space="preserve"> unlikely to benefit large commercial and industrial customers.</w:t>
      </w:r>
    </w:p>
    <w:p w14:paraId="6CFC0DFB" w14:textId="77777777" w:rsidR="008A14BC" w:rsidRPr="007E50F7" w:rsidRDefault="009651B5" w:rsidP="008A14BC">
      <w:pPr>
        <w:pStyle w:val="Answer-Testimony"/>
        <w:ind w:firstLine="720"/>
      </w:pPr>
      <w:r w:rsidRPr="007E50F7">
        <w:t>Third</w:t>
      </w:r>
      <w:r w:rsidR="008A14BC" w:rsidRPr="007E50F7">
        <w:t xml:space="preserve">, </w:t>
      </w:r>
      <w:r w:rsidR="00756C1F" w:rsidRPr="007E50F7">
        <w:t xml:space="preserve">Staff recognizes that the benefits of medium diameter mains to large interruptible customers are less than the benefits to other </w:t>
      </w:r>
      <w:r w:rsidR="0086135A" w:rsidRPr="007E50F7">
        <w:t xml:space="preserve">customers, </w:t>
      </w:r>
      <w:r w:rsidRPr="007E50F7">
        <w:t xml:space="preserve">by allocating </w:t>
      </w:r>
      <w:r w:rsidRPr="007E50F7">
        <w:lastRenderedPageBreak/>
        <w:t xml:space="preserve">only a portion of the cost of </w:t>
      </w:r>
      <w:r w:rsidR="008A14BC" w:rsidRPr="007E50F7">
        <w:t>two</w:t>
      </w:r>
      <w:r w:rsidR="004162C7" w:rsidRPr="007E50F7">
        <w:t xml:space="preserve"> and three</w:t>
      </w:r>
      <w:r w:rsidR="008A14BC" w:rsidRPr="007E50F7">
        <w:t xml:space="preserve"> inch diameter main</w:t>
      </w:r>
      <w:r w:rsidR="004162C7" w:rsidRPr="007E50F7">
        <w:t>s</w:t>
      </w:r>
      <w:r w:rsidR="008A14BC" w:rsidRPr="007E50F7">
        <w:t xml:space="preserve"> to large</w:t>
      </w:r>
      <w:r w:rsidRPr="007E50F7">
        <w:t xml:space="preserve"> interruptible</w:t>
      </w:r>
      <w:r w:rsidR="008A14BC" w:rsidRPr="007E50F7">
        <w:t xml:space="preserve"> customers.</w:t>
      </w:r>
    </w:p>
    <w:p w14:paraId="6CFC0DFC" w14:textId="77777777" w:rsidR="00B9714C" w:rsidRPr="007E50F7" w:rsidRDefault="00B9714C" w:rsidP="00B9714C">
      <w:pPr>
        <w:pStyle w:val="Question-Testimony"/>
      </w:pPr>
    </w:p>
    <w:p w14:paraId="6CFC0DFD" w14:textId="77777777" w:rsidR="00B9714C" w:rsidRPr="007E50F7" w:rsidRDefault="00B9714C" w:rsidP="00B9714C">
      <w:pPr>
        <w:pStyle w:val="Question-Testimony"/>
      </w:pPr>
      <w:r w:rsidRPr="007E50F7">
        <w:t>Q.</w:t>
      </w:r>
      <w:r w:rsidRPr="007E50F7">
        <w:tab/>
        <w:t xml:space="preserve">Has Staff’s approach to allocation of distribution mains </w:t>
      </w:r>
      <w:r w:rsidR="00BB3890" w:rsidRPr="007E50F7">
        <w:t xml:space="preserve">been applied </w:t>
      </w:r>
      <w:r w:rsidR="00756C1F" w:rsidRPr="007E50F7">
        <w:t>by</w:t>
      </w:r>
      <w:r w:rsidR="00BB3890" w:rsidRPr="007E50F7">
        <w:t xml:space="preserve"> </w:t>
      </w:r>
      <w:r w:rsidRPr="007E50F7">
        <w:t xml:space="preserve">other </w:t>
      </w:r>
      <w:r w:rsidR="00E01292" w:rsidRPr="007E50F7">
        <w:t xml:space="preserve">investor-owned </w:t>
      </w:r>
      <w:r w:rsidRPr="007E50F7">
        <w:t>utilities?</w:t>
      </w:r>
    </w:p>
    <w:p w14:paraId="6CFC0DFE" w14:textId="77777777" w:rsidR="008A14BC" w:rsidRPr="007E50F7" w:rsidRDefault="00B9714C" w:rsidP="00B9714C">
      <w:pPr>
        <w:pStyle w:val="Answer-Testimony"/>
      </w:pPr>
      <w:r w:rsidRPr="007E50F7">
        <w:t>A.</w:t>
      </w:r>
      <w:r w:rsidRPr="007E50F7">
        <w:tab/>
        <w:t xml:space="preserve">Yes.  </w:t>
      </w:r>
      <w:r w:rsidR="004D4979" w:rsidRPr="007E50F7">
        <w:t xml:space="preserve">A similar </w:t>
      </w:r>
      <w:r w:rsidR="00E01292" w:rsidRPr="007E50F7">
        <w:t>approach for</w:t>
      </w:r>
      <w:r w:rsidR="00BB3890" w:rsidRPr="007E50F7">
        <w:t xml:space="preserve"> allocating distribution mains has been applied </w:t>
      </w:r>
      <w:r w:rsidR="00F054D1" w:rsidRPr="007E50F7">
        <w:t>by</w:t>
      </w:r>
      <w:r w:rsidR="00BB3890" w:rsidRPr="007E50F7">
        <w:t xml:space="preserve"> </w:t>
      </w:r>
      <w:r w:rsidR="008F306C" w:rsidRPr="007E50F7">
        <w:t>Puget Sound Energy, Inc</w:t>
      </w:r>
      <w:r w:rsidRPr="007E50F7">
        <w:t>.</w:t>
      </w:r>
      <w:r w:rsidR="00ED2522" w:rsidRPr="007E50F7">
        <w:t xml:space="preserve"> (“PSE”)</w:t>
      </w:r>
      <w:r w:rsidR="00BB3890" w:rsidRPr="007E50F7">
        <w:t xml:space="preserve"> in the last three general rate cases</w:t>
      </w:r>
      <w:r w:rsidR="00E41F0E" w:rsidRPr="007E50F7">
        <w:rPr>
          <w:rStyle w:val="FootnoteReference"/>
        </w:rPr>
        <w:footnoteReference w:id="33"/>
      </w:r>
      <w:r w:rsidR="00BB3890" w:rsidRPr="007E50F7">
        <w:t xml:space="preserve">, but </w:t>
      </w:r>
      <w:r w:rsidR="00F054D1" w:rsidRPr="007E50F7">
        <w:t xml:space="preserve">was </w:t>
      </w:r>
      <w:r w:rsidR="00BB3890" w:rsidRPr="007E50F7">
        <w:t xml:space="preserve">never </w:t>
      </w:r>
      <w:r w:rsidR="00773D7B" w:rsidRPr="007E50F7">
        <w:t>fully litigated to a C</w:t>
      </w:r>
      <w:r w:rsidR="00BB3890" w:rsidRPr="007E50F7">
        <w:t>ommission</w:t>
      </w:r>
      <w:r w:rsidR="00773D7B" w:rsidRPr="007E50F7">
        <w:t xml:space="preserve"> </w:t>
      </w:r>
      <w:r w:rsidR="00F054D1" w:rsidRPr="007E50F7">
        <w:t xml:space="preserve">decision, </w:t>
      </w:r>
      <w:r w:rsidR="00BB3890" w:rsidRPr="007E50F7">
        <w:t>due to settlements.</w:t>
      </w:r>
    </w:p>
    <w:p w14:paraId="6CFC0DFF" w14:textId="77777777" w:rsidR="008A14BC" w:rsidRPr="007E50F7" w:rsidRDefault="008A14BC" w:rsidP="00B9714C">
      <w:pPr>
        <w:pStyle w:val="Answer-Testimony"/>
      </w:pPr>
    </w:p>
    <w:p w14:paraId="6CFC0E00" w14:textId="77777777" w:rsidR="008A14BC" w:rsidRPr="007E50F7" w:rsidRDefault="008A14BC" w:rsidP="008A14BC">
      <w:pPr>
        <w:pStyle w:val="Question-Testimony"/>
      </w:pPr>
      <w:r w:rsidRPr="007E50F7">
        <w:t>Q.</w:t>
      </w:r>
      <w:r w:rsidRPr="007E50F7">
        <w:tab/>
      </w:r>
      <w:r w:rsidR="00B9714C" w:rsidRPr="007E50F7">
        <w:t xml:space="preserve">Have you prepared a table </w:t>
      </w:r>
      <w:r w:rsidRPr="007E50F7">
        <w:t>summariz</w:t>
      </w:r>
      <w:r w:rsidR="00B9714C" w:rsidRPr="007E50F7">
        <w:t>ing</w:t>
      </w:r>
      <w:r w:rsidRPr="007E50F7">
        <w:t xml:space="preserve"> the results of Staff’s cost of service study</w:t>
      </w:r>
      <w:r w:rsidR="00B9714C" w:rsidRPr="007E50F7">
        <w:t>?</w:t>
      </w:r>
    </w:p>
    <w:p w14:paraId="6CFC0E01" w14:textId="77777777" w:rsidR="00E41F0E" w:rsidRPr="007E50F7" w:rsidRDefault="008A14BC" w:rsidP="00532D68">
      <w:pPr>
        <w:pStyle w:val="Answer-Testimony"/>
      </w:pPr>
      <w:r w:rsidRPr="007E50F7">
        <w:t>A.</w:t>
      </w:r>
      <w:r w:rsidRPr="007E50F7">
        <w:tab/>
      </w:r>
      <w:r w:rsidR="00B9714C" w:rsidRPr="007E50F7">
        <w:t xml:space="preserve">Yes.  Table </w:t>
      </w:r>
      <w:r w:rsidR="000B1479" w:rsidRPr="007E50F7">
        <w:t xml:space="preserve">6 </w:t>
      </w:r>
      <w:r w:rsidR="00B9714C" w:rsidRPr="007E50F7">
        <w:t>below sets forth t</w:t>
      </w:r>
      <w:r w:rsidRPr="007E50F7">
        <w:t>he parity</w:t>
      </w:r>
      <w:r w:rsidR="00B9714C" w:rsidRPr="007E50F7">
        <w:t xml:space="preserve"> ratios</w:t>
      </w:r>
      <w:r w:rsidRPr="007E50F7">
        <w:t xml:space="preserve"> under current </w:t>
      </w:r>
      <w:r w:rsidR="008E2B33" w:rsidRPr="007E50F7">
        <w:t>rate structure</w:t>
      </w:r>
      <w:r w:rsidR="00002ADF" w:rsidRPr="007E50F7">
        <w:t xml:space="preserve"> using the </w:t>
      </w:r>
      <w:r w:rsidR="00A8237F" w:rsidRPr="007E50F7">
        <w:t>Company</w:t>
      </w:r>
      <w:r w:rsidR="00002ADF" w:rsidRPr="007E50F7">
        <w:t>’s cost of service</w:t>
      </w:r>
      <w:r w:rsidR="00CE371B" w:rsidRPr="007E50F7">
        <w:t>, the Company’s propos</w:t>
      </w:r>
      <w:r w:rsidR="008E2B33" w:rsidRPr="007E50F7">
        <w:t>al</w:t>
      </w:r>
      <w:r w:rsidR="00CE371B" w:rsidRPr="007E50F7">
        <w:t>, and Staff’s propos</w:t>
      </w:r>
      <w:r w:rsidR="008E2B33" w:rsidRPr="007E50F7">
        <w:t>al</w:t>
      </w:r>
      <w:r w:rsidRPr="007E50F7">
        <w:t xml:space="preserve">.  </w:t>
      </w:r>
      <w:r w:rsidR="00B9714C" w:rsidRPr="007E50F7">
        <w:t>As I explained earlier in my discussion of the electric cost of service study, t</w:t>
      </w:r>
      <w:r w:rsidRPr="007E50F7">
        <w:t xml:space="preserve">he parity </w:t>
      </w:r>
      <w:r w:rsidR="00B9714C" w:rsidRPr="007E50F7">
        <w:t>ratios</w:t>
      </w:r>
      <w:r w:rsidRPr="007E50F7">
        <w:t xml:space="preserve"> indicates what portion of the cost of service customers pay under </w:t>
      </w:r>
      <w:r w:rsidR="00CE371B" w:rsidRPr="007E50F7">
        <w:t xml:space="preserve">each of the </w:t>
      </w:r>
      <w:r w:rsidRPr="007E50F7">
        <w:t>rate</w:t>
      </w:r>
      <w:r w:rsidR="00CE371B" w:rsidRPr="007E50F7">
        <w:t xml:space="preserve"> </w:t>
      </w:r>
      <w:r w:rsidRPr="007E50F7">
        <w:t>s</w:t>
      </w:r>
      <w:r w:rsidR="00CE371B" w:rsidRPr="007E50F7">
        <w:t>tructures</w:t>
      </w:r>
      <w:r w:rsidRPr="007E50F7">
        <w:t xml:space="preserve">, relative to other customer classes.  These results are provided in the summary of results from the cost of service study on page one, line </w:t>
      </w:r>
      <w:r w:rsidR="004C774D" w:rsidRPr="007E50F7">
        <w:t>220</w:t>
      </w:r>
      <w:r w:rsidRPr="007E50F7">
        <w:t xml:space="preserve"> of </w:t>
      </w:r>
      <w:r w:rsidR="00CE371B" w:rsidRPr="007E50F7">
        <w:t xml:space="preserve">my </w:t>
      </w:r>
      <w:r w:rsidRPr="007E50F7">
        <w:t>Exhibit No. ___</w:t>
      </w:r>
      <w:r w:rsidR="008F3EA0" w:rsidRPr="007E50F7">
        <w:t xml:space="preserve"> </w:t>
      </w:r>
      <w:r w:rsidRPr="007E50F7">
        <w:t>(</w:t>
      </w:r>
      <w:proofErr w:type="spellStart"/>
      <w:r w:rsidR="00CE371B" w:rsidRPr="007E50F7">
        <w:t>CTM</w:t>
      </w:r>
      <w:proofErr w:type="spellEnd"/>
      <w:r w:rsidRPr="007E50F7">
        <w:t>-</w:t>
      </w:r>
      <w:r w:rsidR="00176609" w:rsidRPr="007E50F7">
        <w:t>5</w:t>
      </w:r>
      <w:r w:rsidRPr="007E50F7">
        <w:t>).</w:t>
      </w:r>
    </w:p>
    <w:p w14:paraId="6CFC0E02" w14:textId="77777777" w:rsidR="004D4979" w:rsidRPr="007E50F7" w:rsidRDefault="004D4979" w:rsidP="00532D68">
      <w:pPr>
        <w:pStyle w:val="Answer-Testimony"/>
      </w:pPr>
    </w:p>
    <w:p w14:paraId="6CFC0E03" w14:textId="77777777" w:rsidR="004D4979" w:rsidRPr="007E50F7" w:rsidRDefault="004D4979" w:rsidP="00532D68">
      <w:pPr>
        <w:pStyle w:val="Answer-Testimony"/>
      </w:pPr>
    </w:p>
    <w:p w14:paraId="6CFC0E04" w14:textId="77777777" w:rsidR="004D4979" w:rsidRPr="007E50F7" w:rsidRDefault="003A477D" w:rsidP="003A477D">
      <w:pPr>
        <w:pStyle w:val="Answer-Testimony"/>
        <w:jc w:val="center"/>
      </w:pPr>
      <w:r>
        <w:t>The remainder of this page is intentionally left blank</w:t>
      </w:r>
    </w:p>
    <w:p w14:paraId="6CFC0E05" w14:textId="77777777" w:rsidR="004D4979" w:rsidRPr="007E50F7" w:rsidRDefault="004D4979" w:rsidP="00532D68">
      <w:pPr>
        <w:pStyle w:val="Answer-Testimony"/>
      </w:pPr>
    </w:p>
    <w:p w14:paraId="6CFC0E06" w14:textId="77777777" w:rsidR="003A477D" w:rsidRDefault="003A477D">
      <w:r>
        <w:br w:type="page"/>
      </w:r>
    </w:p>
    <w:p w14:paraId="6CFC0E07" w14:textId="77777777" w:rsidR="00532D68" w:rsidRPr="007E50F7" w:rsidRDefault="00532D68" w:rsidP="00532D68">
      <w:pPr>
        <w:pStyle w:val="Answer-Testimony"/>
      </w:pPr>
    </w:p>
    <w:tbl>
      <w:tblPr>
        <w:tblpPr w:leftFromText="187" w:rightFromText="187" w:vertAnchor="text" w:horzAnchor="page" w:tblpX="2634" w:tblpY="818"/>
        <w:tblOverlap w:val="never"/>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691"/>
        <w:gridCol w:w="1296"/>
        <w:gridCol w:w="1296"/>
        <w:gridCol w:w="1296"/>
      </w:tblGrid>
      <w:tr w:rsidR="007E50F7" w:rsidRPr="007E50F7" w14:paraId="6CFC0E0C" w14:textId="77777777" w:rsidTr="00B9369D">
        <w:trPr>
          <w:cantSplit/>
        </w:trPr>
        <w:tc>
          <w:tcPr>
            <w:tcW w:w="4691" w:type="dxa"/>
            <w:vAlign w:val="center"/>
          </w:tcPr>
          <w:p w14:paraId="6CFC0E08" w14:textId="77777777" w:rsidR="00B9369D" w:rsidRPr="007E50F7" w:rsidRDefault="00B9369D" w:rsidP="00B9369D">
            <w:pPr>
              <w:pStyle w:val="answer"/>
              <w:keepNext/>
              <w:spacing w:before="60" w:after="60" w:line="240" w:lineRule="auto"/>
              <w:ind w:left="0" w:firstLine="0"/>
              <w:jc w:val="center"/>
              <w:rPr>
                <w:b/>
              </w:rPr>
            </w:pPr>
            <w:r w:rsidRPr="007E50F7">
              <w:rPr>
                <w:b/>
              </w:rPr>
              <w:t>Customer Class</w:t>
            </w:r>
          </w:p>
        </w:tc>
        <w:tc>
          <w:tcPr>
            <w:tcW w:w="1296" w:type="dxa"/>
            <w:vAlign w:val="center"/>
          </w:tcPr>
          <w:p w14:paraId="6CFC0E09" w14:textId="77777777" w:rsidR="00B9369D" w:rsidRPr="007E50F7" w:rsidRDefault="00E13BB6" w:rsidP="00002ADF">
            <w:pPr>
              <w:pStyle w:val="answer"/>
              <w:keepNext/>
              <w:spacing w:before="60" w:after="60" w:line="240" w:lineRule="auto"/>
              <w:ind w:left="0" w:firstLine="0"/>
              <w:jc w:val="center"/>
              <w:rPr>
                <w:b/>
              </w:rPr>
            </w:pPr>
            <w:r w:rsidRPr="007E50F7">
              <w:rPr>
                <w:b/>
              </w:rPr>
              <w:t>Current</w:t>
            </w:r>
          </w:p>
        </w:tc>
        <w:tc>
          <w:tcPr>
            <w:tcW w:w="1296" w:type="dxa"/>
            <w:vAlign w:val="center"/>
          </w:tcPr>
          <w:p w14:paraId="6CFC0E0A" w14:textId="77777777" w:rsidR="00B9369D" w:rsidRPr="007E50F7" w:rsidRDefault="00B9369D" w:rsidP="00B9369D">
            <w:pPr>
              <w:pStyle w:val="answer"/>
              <w:keepNext/>
              <w:spacing w:before="60" w:after="60" w:line="240" w:lineRule="auto"/>
              <w:ind w:left="0" w:firstLine="0"/>
              <w:jc w:val="center"/>
              <w:rPr>
                <w:b/>
              </w:rPr>
            </w:pPr>
            <w:r w:rsidRPr="007E50F7">
              <w:rPr>
                <w:b/>
              </w:rPr>
              <w:t>Company Proposal</w:t>
            </w:r>
          </w:p>
        </w:tc>
        <w:tc>
          <w:tcPr>
            <w:tcW w:w="1296" w:type="dxa"/>
            <w:vAlign w:val="center"/>
          </w:tcPr>
          <w:p w14:paraId="6CFC0E0B" w14:textId="77777777" w:rsidR="00B9369D" w:rsidRPr="007E50F7" w:rsidRDefault="00B9369D" w:rsidP="00B9369D">
            <w:pPr>
              <w:pStyle w:val="answer"/>
              <w:keepNext/>
              <w:spacing w:before="60" w:after="60" w:line="240" w:lineRule="auto"/>
              <w:ind w:left="0" w:firstLine="0"/>
              <w:jc w:val="center"/>
              <w:rPr>
                <w:b/>
              </w:rPr>
            </w:pPr>
            <w:r w:rsidRPr="007E50F7">
              <w:rPr>
                <w:b/>
              </w:rPr>
              <w:t>Staff Proposal</w:t>
            </w:r>
          </w:p>
        </w:tc>
      </w:tr>
      <w:tr w:rsidR="007E50F7" w:rsidRPr="007E50F7" w14:paraId="6CFC0E11" w14:textId="77777777" w:rsidTr="00B9369D">
        <w:trPr>
          <w:cantSplit/>
        </w:trPr>
        <w:tc>
          <w:tcPr>
            <w:tcW w:w="4691" w:type="dxa"/>
            <w:vAlign w:val="center"/>
          </w:tcPr>
          <w:p w14:paraId="6CFC0E0D" w14:textId="77777777" w:rsidR="00A8237F" w:rsidRPr="007E50F7" w:rsidRDefault="00A8237F" w:rsidP="00A8237F">
            <w:pPr>
              <w:pStyle w:val="answer"/>
              <w:keepNext/>
              <w:spacing w:before="60" w:after="60" w:line="240" w:lineRule="auto"/>
              <w:ind w:left="0" w:firstLine="0"/>
            </w:pPr>
            <w:r w:rsidRPr="007E50F7">
              <w:t>Total System</w:t>
            </w:r>
          </w:p>
        </w:tc>
        <w:tc>
          <w:tcPr>
            <w:tcW w:w="1296" w:type="dxa"/>
            <w:vAlign w:val="center"/>
          </w:tcPr>
          <w:p w14:paraId="6CFC0E0E" w14:textId="77777777" w:rsidR="00A8237F" w:rsidRPr="007E50F7" w:rsidRDefault="00A8237F" w:rsidP="00A8237F">
            <w:pPr>
              <w:pStyle w:val="answer"/>
              <w:keepNext/>
              <w:spacing w:before="60" w:after="60" w:line="240" w:lineRule="auto"/>
              <w:ind w:left="0" w:firstLine="0"/>
              <w:jc w:val="center"/>
            </w:pPr>
            <w:r w:rsidRPr="007E50F7">
              <w:t>1.00</w:t>
            </w:r>
          </w:p>
        </w:tc>
        <w:tc>
          <w:tcPr>
            <w:tcW w:w="1296" w:type="dxa"/>
            <w:vAlign w:val="center"/>
          </w:tcPr>
          <w:p w14:paraId="6CFC0E0F" w14:textId="77777777" w:rsidR="00A8237F" w:rsidRPr="007E50F7" w:rsidRDefault="00A8237F" w:rsidP="00A8237F">
            <w:pPr>
              <w:pStyle w:val="answer"/>
              <w:keepNext/>
              <w:spacing w:before="60" w:after="60" w:line="240" w:lineRule="auto"/>
              <w:ind w:left="0" w:firstLine="0"/>
              <w:jc w:val="center"/>
            </w:pPr>
            <w:r w:rsidRPr="007E50F7">
              <w:t>1.00</w:t>
            </w:r>
          </w:p>
        </w:tc>
        <w:tc>
          <w:tcPr>
            <w:tcW w:w="1296" w:type="dxa"/>
            <w:vAlign w:val="center"/>
          </w:tcPr>
          <w:p w14:paraId="6CFC0E10" w14:textId="77777777" w:rsidR="00A8237F" w:rsidRPr="007E50F7" w:rsidRDefault="00A8237F" w:rsidP="00A8237F">
            <w:pPr>
              <w:pStyle w:val="answer"/>
              <w:keepNext/>
              <w:spacing w:before="60" w:after="60" w:line="240" w:lineRule="auto"/>
              <w:ind w:left="0" w:firstLine="0"/>
              <w:jc w:val="center"/>
            </w:pPr>
            <w:r w:rsidRPr="007E50F7">
              <w:t>1.00</w:t>
            </w:r>
          </w:p>
        </w:tc>
      </w:tr>
      <w:tr w:rsidR="007E50F7" w:rsidRPr="007E50F7" w14:paraId="6CFC0E16" w14:textId="77777777" w:rsidTr="00B9369D">
        <w:trPr>
          <w:cantSplit/>
        </w:trPr>
        <w:tc>
          <w:tcPr>
            <w:tcW w:w="4691" w:type="dxa"/>
            <w:vAlign w:val="center"/>
          </w:tcPr>
          <w:p w14:paraId="6CFC0E12" w14:textId="77777777" w:rsidR="00512E81" w:rsidRPr="007E50F7" w:rsidRDefault="00512E81" w:rsidP="00512E81">
            <w:pPr>
              <w:pStyle w:val="answer"/>
              <w:keepNext/>
              <w:spacing w:before="60" w:after="60" w:line="240" w:lineRule="auto"/>
              <w:ind w:left="0" w:firstLine="0"/>
            </w:pPr>
            <w:r w:rsidRPr="007E50F7">
              <w:t>General Service (Schedule 101)</w:t>
            </w:r>
          </w:p>
        </w:tc>
        <w:tc>
          <w:tcPr>
            <w:tcW w:w="1296" w:type="dxa"/>
            <w:vAlign w:val="center"/>
          </w:tcPr>
          <w:p w14:paraId="6CFC0E13" w14:textId="77777777" w:rsidR="00512E81" w:rsidRPr="007E50F7" w:rsidRDefault="00512E81" w:rsidP="003C3F25">
            <w:pPr>
              <w:pStyle w:val="answer"/>
              <w:keepNext/>
              <w:spacing w:before="60" w:after="60" w:line="240" w:lineRule="auto"/>
              <w:ind w:left="0" w:firstLine="0"/>
              <w:jc w:val="center"/>
            </w:pPr>
            <w:r w:rsidRPr="007E50F7">
              <w:t>0.9</w:t>
            </w:r>
            <w:r w:rsidR="003C3F25" w:rsidRPr="007E50F7">
              <w:t>9</w:t>
            </w:r>
          </w:p>
        </w:tc>
        <w:tc>
          <w:tcPr>
            <w:tcW w:w="1296" w:type="dxa"/>
            <w:vAlign w:val="center"/>
          </w:tcPr>
          <w:p w14:paraId="6CFC0E14" w14:textId="77777777" w:rsidR="00512E81" w:rsidRPr="007E50F7" w:rsidRDefault="00512E81" w:rsidP="003C3F25">
            <w:pPr>
              <w:pStyle w:val="answer"/>
              <w:keepNext/>
              <w:spacing w:before="60" w:after="60" w:line="240" w:lineRule="auto"/>
              <w:ind w:left="0" w:firstLine="0"/>
              <w:jc w:val="center"/>
            </w:pPr>
            <w:r w:rsidRPr="007E50F7">
              <w:t>0.9</w:t>
            </w:r>
            <w:r w:rsidR="003C3F25" w:rsidRPr="007E50F7">
              <w:t>9</w:t>
            </w:r>
          </w:p>
        </w:tc>
        <w:tc>
          <w:tcPr>
            <w:tcW w:w="1296" w:type="dxa"/>
            <w:vAlign w:val="center"/>
          </w:tcPr>
          <w:p w14:paraId="6CFC0E15" w14:textId="77777777" w:rsidR="00512E81" w:rsidRPr="007E50F7" w:rsidRDefault="003C3F25" w:rsidP="003C3F25">
            <w:pPr>
              <w:pStyle w:val="answer"/>
              <w:keepNext/>
              <w:spacing w:before="60" w:after="60" w:line="240" w:lineRule="auto"/>
              <w:ind w:left="0" w:firstLine="0"/>
              <w:jc w:val="center"/>
            </w:pPr>
            <w:r w:rsidRPr="007E50F7">
              <w:t>1</w:t>
            </w:r>
            <w:r w:rsidR="00512E81" w:rsidRPr="007E50F7">
              <w:t>.</w:t>
            </w:r>
            <w:r w:rsidRPr="007E50F7">
              <w:t>00</w:t>
            </w:r>
          </w:p>
        </w:tc>
      </w:tr>
      <w:tr w:rsidR="007E50F7" w:rsidRPr="007E50F7" w14:paraId="6CFC0E1B" w14:textId="77777777" w:rsidTr="00B9369D">
        <w:trPr>
          <w:cantSplit/>
        </w:trPr>
        <w:tc>
          <w:tcPr>
            <w:tcW w:w="4691" w:type="dxa"/>
            <w:vAlign w:val="center"/>
          </w:tcPr>
          <w:p w14:paraId="6CFC0E17" w14:textId="77777777" w:rsidR="00512E81" w:rsidRPr="007E50F7" w:rsidRDefault="00512E81" w:rsidP="00512E81">
            <w:pPr>
              <w:pStyle w:val="answer"/>
              <w:keepNext/>
              <w:spacing w:before="60" w:after="60" w:line="240" w:lineRule="auto"/>
              <w:ind w:left="0" w:firstLine="0"/>
            </w:pPr>
            <w:r w:rsidRPr="007E50F7">
              <w:t>Large General Service (Schedules 111, 112)</w:t>
            </w:r>
          </w:p>
        </w:tc>
        <w:tc>
          <w:tcPr>
            <w:tcW w:w="1296" w:type="dxa"/>
            <w:vAlign w:val="center"/>
          </w:tcPr>
          <w:p w14:paraId="6CFC0E18" w14:textId="77777777" w:rsidR="00512E81" w:rsidRPr="007E50F7" w:rsidRDefault="00512E81" w:rsidP="003C3F25">
            <w:pPr>
              <w:pStyle w:val="answer"/>
              <w:keepNext/>
              <w:spacing w:before="60" w:after="60" w:line="240" w:lineRule="auto"/>
              <w:ind w:left="0" w:firstLine="0"/>
              <w:jc w:val="center"/>
            </w:pPr>
            <w:r w:rsidRPr="007E50F7">
              <w:t>1.</w:t>
            </w:r>
            <w:r w:rsidR="003C3F25" w:rsidRPr="007E50F7">
              <w:t>02</w:t>
            </w:r>
          </w:p>
        </w:tc>
        <w:tc>
          <w:tcPr>
            <w:tcW w:w="1296" w:type="dxa"/>
            <w:vAlign w:val="center"/>
          </w:tcPr>
          <w:p w14:paraId="6CFC0E19" w14:textId="77777777" w:rsidR="00512E81" w:rsidRPr="007E50F7" w:rsidRDefault="00512E81" w:rsidP="003C3F25">
            <w:pPr>
              <w:pStyle w:val="answer"/>
              <w:keepNext/>
              <w:spacing w:before="60" w:after="60" w:line="240" w:lineRule="auto"/>
              <w:ind w:left="0" w:firstLine="0"/>
              <w:jc w:val="center"/>
            </w:pPr>
            <w:r w:rsidRPr="007E50F7">
              <w:t>1.</w:t>
            </w:r>
            <w:r w:rsidR="003C3F25" w:rsidRPr="007E50F7">
              <w:t>03</w:t>
            </w:r>
          </w:p>
        </w:tc>
        <w:tc>
          <w:tcPr>
            <w:tcW w:w="1296" w:type="dxa"/>
            <w:vAlign w:val="center"/>
          </w:tcPr>
          <w:p w14:paraId="6CFC0E1A" w14:textId="77777777" w:rsidR="00512E81" w:rsidRPr="007E50F7" w:rsidRDefault="00512E81" w:rsidP="003C3F25">
            <w:pPr>
              <w:pStyle w:val="answer"/>
              <w:keepNext/>
              <w:spacing w:before="60" w:after="60" w:line="240" w:lineRule="auto"/>
              <w:ind w:left="0" w:firstLine="0"/>
              <w:jc w:val="center"/>
            </w:pPr>
            <w:r w:rsidRPr="007E50F7">
              <w:t>1.</w:t>
            </w:r>
            <w:r w:rsidR="003C3F25" w:rsidRPr="007E50F7">
              <w:t>03</w:t>
            </w:r>
          </w:p>
        </w:tc>
      </w:tr>
      <w:tr w:rsidR="007E50F7" w:rsidRPr="007E50F7" w14:paraId="6CFC0E20" w14:textId="77777777" w:rsidTr="00B9369D">
        <w:trPr>
          <w:cantSplit/>
        </w:trPr>
        <w:tc>
          <w:tcPr>
            <w:tcW w:w="4691" w:type="dxa"/>
            <w:vAlign w:val="center"/>
          </w:tcPr>
          <w:p w14:paraId="6CFC0E1C" w14:textId="77777777" w:rsidR="00512E81" w:rsidRPr="007E50F7" w:rsidRDefault="00512E81" w:rsidP="00512E81">
            <w:pPr>
              <w:pStyle w:val="answer"/>
              <w:keepNext/>
              <w:spacing w:before="60" w:after="60" w:line="240" w:lineRule="auto"/>
              <w:ind w:left="0" w:firstLine="0"/>
            </w:pPr>
            <w:r w:rsidRPr="007E50F7">
              <w:t>Extra Large General Service (Schedules 121, 122)</w:t>
            </w:r>
          </w:p>
        </w:tc>
        <w:tc>
          <w:tcPr>
            <w:tcW w:w="1296" w:type="dxa"/>
            <w:vAlign w:val="center"/>
          </w:tcPr>
          <w:p w14:paraId="6CFC0E1D" w14:textId="77777777" w:rsidR="00512E81" w:rsidRPr="007E50F7" w:rsidRDefault="00512E81" w:rsidP="003C3F25">
            <w:pPr>
              <w:pStyle w:val="answer"/>
              <w:keepNext/>
              <w:spacing w:before="60" w:after="60" w:line="240" w:lineRule="auto"/>
              <w:ind w:left="0" w:firstLine="0"/>
              <w:jc w:val="center"/>
            </w:pPr>
            <w:r w:rsidRPr="007E50F7">
              <w:t>1.</w:t>
            </w:r>
            <w:r w:rsidR="003C3F25" w:rsidRPr="007E50F7">
              <w:t>0</w:t>
            </w:r>
            <w:r w:rsidRPr="007E50F7">
              <w:t>2</w:t>
            </w:r>
          </w:p>
        </w:tc>
        <w:tc>
          <w:tcPr>
            <w:tcW w:w="1296" w:type="dxa"/>
            <w:vAlign w:val="center"/>
          </w:tcPr>
          <w:p w14:paraId="6CFC0E1E" w14:textId="77777777" w:rsidR="00512E81" w:rsidRPr="007E50F7" w:rsidRDefault="00512E81" w:rsidP="003C3F25">
            <w:pPr>
              <w:pStyle w:val="answer"/>
              <w:keepNext/>
              <w:spacing w:before="60" w:after="60" w:line="240" w:lineRule="auto"/>
              <w:ind w:left="0" w:firstLine="0"/>
              <w:jc w:val="center"/>
            </w:pPr>
            <w:r w:rsidRPr="007E50F7">
              <w:t>1.</w:t>
            </w:r>
            <w:r w:rsidR="003C3F25" w:rsidRPr="007E50F7">
              <w:t>05</w:t>
            </w:r>
          </w:p>
        </w:tc>
        <w:tc>
          <w:tcPr>
            <w:tcW w:w="1296" w:type="dxa"/>
            <w:vAlign w:val="center"/>
          </w:tcPr>
          <w:p w14:paraId="6CFC0E1F" w14:textId="77777777" w:rsidR="00512E81" w:rsidRPr="007E50F7" w:rsidRDefault="00512E81" w:rsidP="003C3F25">
            <w:pPr>
              <w:pStyle w:val="answer"/>
              <w:keepNext/>
              <w:spacing w:before="60" w:after="60" w:line="240" w:lineRule="auto"/>
              <w:ind w:left="0" w:firstLine="0"/>
              <w:jc w:val="center"/>
            </w:pPr>
            <w:r w:rsidRPr="007E50F7">
              <w:t>1.</w:t>
            </w:r>
            <w:r w:rsidR="003C3F25" w:rsidRPr="007E50F7">
              <w:t>03</w:t>
            </w:r>
          </w:p>
        </w:tc>
      </w:tr>
      <w:tr w:rsidR="007E50F7" w:rsidRPr="007E50F7" w14:paraId="6CFC0E25" w14:textId="77777777" w:rsidTr="00B9369D">
        <w:trPr>
          <w:cantSplit/>
        </w:trPr>
        <w:tc>
          <w:tcPr>
            <w:tcW w:w="4691" w:type="dxa"/>
            <w:vAlign w:val="center"/>
          </w:tcPr>
          <w:p w14:paraId="6CFC0E21" w14:textId="77777777" w:rsidR="00512E81" w:rsidRPr="007E50F7" w:rsidRDefault="00512E81" w:rsidP="00512E81">
            <w:pPr>
              <w:pStyle w:val="answer"/>
              <w:keepNext/>
              <w:spacing w:before="60" w:after="60" w:line="240" w:lineRule="auto"/>
              <w:ind w:left="0" w:firstLine="0"/>
            </w:pPr>
            <w:r w:rsidRPr="007E50F7">
              <w:t>Interruptible (Schedule 131, 132)</w:t>
            </w:r>
          </w:p>
        </w:tc>
        <w:tc>
          <w:tcPr>
            <w:tcW w:w="1296" w:type="dxa"/>
            <w:vAlign w:val="center"/>
          </w:tcPr>
          <w:p w14:paraId="6CFC0E22" w14:textId="77777777" w:rsidR="00512E81" w:rsidRPr="007E50F7" w:rsidRDefault="00512E81" w:rsidP="003C3F25">
            <w:pPr>
              <w:pStyle w:val="answer"/>
              <w:keepNext/>
              <w:spacing w:before="60" w:after="60" w:line="240" w:lineRule="auto"/>
              <w:ind w:left="0" w:firstLine="0"/>
              <w:jc w:val="center"/>
            </w:pPr>
            <w:r w:rsidRPr="007E50F7">
              <w:t>1.</w:t>
            </w:r>
            <w:r w:rsidR="003C3F25" w:rsidRPr="007E50F7">
              <w:t>0</w:t>
            </w:r>
            <w:r w:rsidRPr="007E50F7">
              <w:t>1</w:t>
            </w:r>
          </w:p>
        </w:tc>
        <w:tc>
          <w:tcPr>
            <w:tcW w:w="1296" w:type="dxa"/>
            <w:vAlign w:val="center"/>
          </w:tcPr>
          <w:p w14:paraId="6CFC0E23" w14:textId="77777777" w:rsidR="00512E81" w:rsidRPr="007E50F7" w:rsidRDefault="00512E81" w:rsidP="003C3F25">
            <w:pPr>
              <w:pStyle w:val="answer"/>
              <w:keepNext/>
              <w:spacing w:before="60" w:after="60" w:line="240" w:lineRule="auto"/>
              <w:ind w:left="0" w:firstLine="0"/>
              <w:jc w:val="center"/>
            </w:pPr>
            <w:r w:rsidRPr="007E50F7">
              <w:t>1.</w:t>
            </w:r>
            <w:r w:rsidR="003C3F25" w:rsidRPr="007E50F7">
              <w:t>04</w:t>
            </w:r>
          </w:p>
        </w:tc>
        <w:tc>
          <w:tcPr>
            <w:tcW w:w="1296" w:type="dxa"/>
            <w:vAlign w:val="center"/>
          </w:tcPr>
          <w:p w14:paraId="6CFC0E24" w14:textId="77777777" w:rsidR="00512E81" w:rsidRPr="007E50F7" w:rsidRDefault="00512E81" w:rsidP="003C3F25">
            <w:pPr>
              <w:pStyle w:val="answer"/>
              <w:keepNext/>
              <w:spacing w:before="60" w:after="60" w:line="240" w:lineRule="auto"/>
              <w:ind w:left="0" w:firstLine="0"/>
              <w:jc w:val="center"/>
            </w:pPr>
            <w:r w:rsidRPr="007E50F7">
              <w:t>0.</w:t>
            </w:r>
            <w:r w:rsidR="003C3F25" w:rsidRPr="007E50F7">
              <w:t>9</w:t>
            </w:r>
            <w:r w:rsidRPr="007E50F7">
              <w:t>2</w:t>
            </w:r>
          </w:p>
        </w:tc>
      </w:tr>
      <w:tr w:rsidR="007E50F7" w:rsidRPr="007E50F7" w14:paraId="6CFC0E2A" w14:textId="77777777" w:rsidTr="00B9369D">
        <w:trPr>
          <w:cantSplit/>
        </w:trPr>
        <w:tc>
          <w:tcPr>
            <w:tcW w:w="4691" w:type="dxa"/>
            <w:vAlign w:val="center"/>
          </w:tcPr>
          <w:p w14:paraId="6CFC0E26" w14:textId="77777777" w:rsidR="00512E81" w:rsidRPr="007E50F7" w:rsidRDefault="00512E81" w:rsidP="00512E81">
            <w:pPr>
              <w:pStyle w:val="answer"/>
              <w:keepNext/>
              <w:spacing w:before="60" w:after="60" w:line="240" w:lineRule="auto"/>
              <w:ind w:left="0" w:firstLine="0"/>
            </w:pPr>
            <w:r w:rsidRPr="007E50F7">
              <w:t>Transportation (Schedule 146)</w:t>
            </w:r>
          </w:p>
        </w:tc>
        <w:tc>
          <w:tcPr>
            <w:tcW w:w="1296" w:type="dxa"/>
            <w:vAlign w:val="center"/>
          </w:tcPr>
          <w:p w14:paraId="6CFC0E27" w14:textId="77777777" w:rsidR="00512E81" w:rsidRPr="007E50F7" w:rsidRDefault="003C3F25" w:rsidP="003C3F25">
            <w:pPr>
              <w:pStyle w:val="answer"/>
              <w:keepNext/>
              <w:spacing w:before="60" w:after="60" w:line="240" w:lineRule="auto"/>
              <w:ind w:left="0" w:firstLine="0"/>
              <w:jc w:val="center"/>
            </w:pPr>
            <w:r w:rsidRPr="007E50F7">
              <w:t>1</w:t>
            </w:r>
            <w:r w:rsidR="00512E81" w:rsidRPr="007E50F7">
              <w:t>.</w:t>
            </w:r>
            <w:r w:rsidRPr="007E50F7">
              <w:t>00</w:t>
            </w:r>
          </w:p>
        </w:tc>
        <w:tc>
          <w:tcPr>
            <w:tcW w:w="1296" w:type="dxa"/>
            <w:vAlign w:val="center"/>
          </w:tcPr>
          <w:p w14:paraId="6CFC0E28" w14:textId="77777777" w:rsidR="00512E81" w:rsidRPr="007E50F7" w:rsidRDefault="00512E81" w:rsidP="003C3F25">
            <w:pPr>
              <w:pStyle w:val="answer"/>
              <w:keepNext/>
              <w:spacing w:before="60" w:after="60" w:line="240" w:lineRule="auto"/>
              <w:ind w:left="0" w:firstLine="0"/>
              <w:jc w:val="center"/>
            </w:pPr>
            <w:r w:rsidRPr="007E50F7">
              <w:t>0.</w:t>
            </w:r>
            <w:r w:rsidR="003C3F25" w:rsidRPr="007E50F7">
              <w:t>93</w:t>
            </w:r>
          </w:p>
        </w:tc>
        <w:tc>
          <w:tcPr>
            <w:tcW w:w="1296" w:type="dxa"/>
            <w:vAlign w:val="center"/>
          </w:tcPr>
          <w:p w14:paraId="6CFC0E29" w14:textId="77777777" w:rsidR="00512E81" w:rsidRPr="007E50F7" w:rsidRDefault="00512E81" w:rsidP="003C3F25">
            <w:pPr>
              <w:pStyle w:val="answer"/>
              <w:keepNext/>
              <w:spacing w:before="60" w:after="60" w:line="240" w:lineRule="auto"/>
              <w:ind w:left="0" w:firstLine="0"/>
              <w:jc w:val="center"/>
            </w:pPr>
            <w:r w:rsidRPr="007E50F7">
              <w:t>0.</w:t>
            </w:r>
            <w:r w:rsidR="003C3F25" w:rsidRPr="007E50F7">
              <w:t>77</w:t>
            </w:r>
          </w:p>
        </w:tc>
      </w:tr>
    </w:tbl>
    <w:p w14:paraId="6CFC0E2B" w14:textId="77777777" w:rsidR="008A14BC" w:rsidRPr="007E50F7" w:rsidRDefault="008A14BC" w:rsidP="002F70F7">
      <w:pPr>
        <w:pStyle w:val="Answer-Testimony"/>
        <w:jc w:val="center"/>
      </w:pPr>
      <w:r w:rsidRPr="007E50F7">
        <w:t xml:space="preserve">Table </w:t>
      </w:r>
      <w:r w:rsidR="000B1479" w:rsidRPr="007E50F7">
        <w:t>6</w:t>
      </w:r>
      <w:r w:rsidRPr="007E50F7">
        <w:t xml:space="preserve">:  Summary of Parity </w:t>
      </w:r>
      <w:r w:rsidR="0091592F" w:rsidRPr="007E50F7">
        <w:t>Ratios</w:t>
      </w:r>
    </w:p>
    <w:p w14:paraId="6CFC0E2C" w14:textId="77777777" w:rsidR="00B9369D" w:rsidRPr="000559D0" w:rsidRDefault="0081428B" w:rsidP="00B9369D">
      <w:pPr>
        <w:pStyle w:val="Answer-Testimony"/>
        <w:rPr>
          <w:color w:val="FFFFFF" w:themeColor="background1"/>
        </w:rPr>
      </w:pPr>
      <w:r w:rsidRPr="000559D0">
        <w:rPr>
          <w:color w:val="FFFFFF" w:themeColor="background1"/>
        </w:rPr>
        <w:t>R</w:t>
      </w:r>
    </w:p>
    <w:p w14:paraId="6CFC0E2D" w14:textId="77777777" w:rsidR="00B9369D" w:rsidRPr="000559D0" w:rsidRDefault="0081428B" w:rsidP="00B9369D">
      <w:pPr>
        <w:pStyle w:val="Answer-Testimony"/>
        <w:rPr>
          <w:color w:val="FFFFFF" w:themeColor="background1"/>
        </w:rPr>
      </w:pPr>
      <w:r w:rsidRPr="000559D0">
        <w:rPr>
          <w:color w:val="FFFFFF" w:themeColor="background1"/>
        </w:rPr>
        <w:t>R</w:t>
      </w:r>
    </w:p>
    <w:p w14:paraId="6CFC0E2E" w14:textId="77777777" w:rsidR="00B9369D" w:rsidRPr="000559D0" w:rsidRDefault="0081428B" w:rsidP="00B9369D">
      <w:pPr>
        <w:pStyle w:val="Answer-Testimony"/>
        <w:rPr>
          <w:color w:val="FFFFFF" w:themeColor="background1"/>
        </w:rPr>
      </w:pPr>
      <w:r w:rsidRPr="000559D0">
        <w:rPr>
          <w:color w:val="FFFFFF" w:themeColor="background1"/>
        </w:rPr>
        <w:t>R</w:t>
      </w:r>
    </w:p>
    <w:p w14:paraId="6CFC0E2F" w14:textId="77777777" w:rsidR="00B9369D" w:rsidRPr="000559D0" w:rsidRDefault="0081428B" w:rsidP="00B9369D">
      <w:pPr>
        <w:pStyle w:val="Answer-Testimony"/>
        <w:rPr>
          <w:color w:val="FFFFFF" w:themeColor="background1"/>
        </w:rPr>
      </w:pPr>
      <w:r w:rsidRPr="000559D0">
        <w:rPr>
          <w:color w:val="FFFFFF" w:themeColor="background1"/>
        </w:rPr>
        <w:t>R</w:t>
      </w:r>
    </w:p>
    <w:p w14:paraId="6CFC0E30" w14:textId="77777777" w:rsidR="00B9369D" w:rsidRPr="000559D0" w:rsidRDefault="0081428B" w:rsidP="00B9369D">
      <w:pPr>
        <w:pStyle w:val="Answer-Testimony"/>
        <w:rPr>
          <w:color w:val="FFFFFF" w:themeColor="background1"/>
        </w:rPr>
      </w:pPr>
      <w:r w:rsidRPr="000559D0">
        <w:rPr>
          <w:color w:val="FFFFFF" w:themeColor="background1"/>
        </w:rPr>
        <w:t>R</w:t>
      </w:r>
    </w:p>
    <w:p w14:paraId="6CFC0E31" w14:textId="77777777" w:rsidR="008A14BC" w:rsidRPr="000559D0" w:rsidRDefault="0081428B" w:rsidP="008A14BC">
      <w:pPr>
        <w:pStyle w:val="Question-Testimony"/>
        <w:rPr>
          <w:color w:val="FFFFFF" w:themeColor="background1"/>
        </w:rPr>
      </w:pPr>
      <w:r w:rsidRPr="000559D0">
        <w:rPr>
          <w:color w:val="FFFFFF" w:themeColor="background1"/>
        </w:rPr>
        <w:t>R</w:t>
      </w:r>
    </w:p>
    <w:p w14:paraId="6CFC0E32" w14:textId="77777777" w:rsidR="002F70F7" w:rsidRPr="000559D0" w:rsidRDefault="0081428B" w:rsidP="008A14BC">
      <w:pPr>
        <w:pStyle w:val="Question-Testimony"/>
        <w:rPr>
          <w:color w:val="FFFFFF" w:themeColor="background1"/>
        </w:rPr>
      </w:pPr>
      <w:r w:rsidRPr="000559D0">
        <w:rPr>
          <w:color w:val="FFFFFF" w:themeColor="background1"/>
        </w:rPr>
        <w:t>R</w:t>
      </w:r>
    </w:p>
    <w:p w14:paraId="6CFC0E33" w14:textId="77777777" w:rsidR="008C38EE" w:rsidRPr="000559D0" w:rsidRDefault="008C38EE" w:rsidP="008C38EE">
      <w:pPr>
        <w:pStyle w:val="Question-Testimony"/>
        <w:rPr>
          <w:color w:val="FFFFFF" w:themeColor="background1"/>
        </w:rPr>
      </w:pPr>
    </w:p>
    <w:p w14:paraId="6CFC0E34" w14:textId="77777777" w:rsidR="008C38EE" w:rsidRPr="007E50F7" w:rsidRDefault="008C38EE" w:rsidP="008C38EE">
      <w:pPr>
        <w:pStyle w:val="Question-Testimony"/>
      </w:pPr>
      <w:r w:rsidRPr="007E50F7">
        <w:t>Q.</w:t>
      </w:r>
      <w:r w:rsidRPr="007E50F7">
        <w:tab/>
        <w:t>What does this table show?</w:t>
      </w:r>
    </w:p>
    <w:p w14:paraId="6CFC0E35" w14:textId="77777777" w:rsidR="00BB5F21" w:rsidRPr="007E50F7" w:rsidRDefault="008C38EE" w:rsidP="00BB5F21">
      <w:pPr>
        <w:pStyle w:val="Answer-Testimony"/>
      </w:pPr>
      <w:r w:rsidRPr="007E50F7">
        <w:t>A.</w:t>
      </w:r>
      <w:r w:rsidRPr="007E50F7">
        <w:tab/>
        <w:t xml:space="preserve">This table shows that using the Company’s cost of service study, but allocating distribution mains per Staff’s proposed method, </w:t>
      </w:r>
      <w:r w:rsidR="00BB5F21" w:rsidRPr="007E50F7">
        <w:t xml:space="preserve">large customers on Schedules 131, 132, and 146 benefit at the expense of all other customers through the use of the Company’s gas cost of service model </w:t>
      </w:r>
      <w:r w:rsidR="00305F27" w:rsidRPr="007E50F7">
        <w:t xml:space="preserve">because they do not </w:t>
      </w:r>
      <w:r w:rsidR="00BB5F21" w:rsidRPr="007E50F7">
        <w:t>cover</w:t>
      </w:r>
      <w:r w:rsidR="00305F27" w:rsidRPr="007E50F7">
        <w:t xml:space="preserve"> the</w:t>
      </w:r>
      <w:r w:rsidR="00BB5F21" w:rsidRPr="007E50F7">
        <w:t xml:space="preserve"> cost to serve</w:t>
      </w:r>
      <w:r w:rsidR="00305F27" w:rsidRPr="007E50F7">
        <w:t xml:space="preserve"> them</w:t>
      </w:r>
      <w:r w:rsidR="00BB5F21" w:rsidRPr="007E50F7">
        <w:t>.</w:t>
      </w:r>
    </w:p>
    <w:p w14:paraId="6CFC0E36" w14:textId="77777777" w:rsidR="008C38EE" w:rsidRPr="007E50F7" w:rsidRDefault="008C38EE" w:rsidP="00BB5F21">
      <w:pPr>
        <w:pStyle w:val="Answer-Testimony"/>
        <w:ind w:left="0" w:firstLine="0"/>
      </w:pPr>
    </w:p>
    <w:p w14:paraId="6CFC0E37" w14:textId="77777777" w:rsidR="008A14BC" w:rsidRPr="007E50F7" w:rsidRDefault="008A14BC" w:rsidP="008A14BC">
      <w:pPr>
        <w:pStyle w:val="Question-Testimony"/>
      </w:pPr>
      <w:r w:rsidRPr="007E50F7">
        <w:t>Q.</w:t>
      </w:r>
      <w:r w:rsidRPr="007E50F7">
        <w:tab/>
        <w:t>Are there any other issues Staff recommend</w:t>
      </w:r>
      <w:r w:rsidR="00305F27" w:rsidRPr="007E50F7">
        <w:t>s</w:t>
      </w:r>
      <w:r w:rsidRPr="007E50F7">
        <w:t xml:space="preserve"> the Commission require the Company to </w:t>
      </w:r>
      <w:r w:rsidR="008C38EE" w:rsidRPr="007E50F7">
        <w:t xml:space="preserve">address </w:t>
      </w:r>
      <w:r w:rsidR="00305F27" w:rsidRPr="007E50F7">
        <w:t xml:space="preserve">in its </w:t>
      </w:r>
      <w:r w:rsidRPr="007E50F7">
        <w:t>next general rate case?</w:t>
      </w:r>
    </w:p>
    <w:p w14:paraId="6CFC0E38" w14:textId="77777777" w:rsidR="008C38EE" w:rsidRPr="007E50F7" w:rsidRDefault="008A14BC" w:rsidP="008A14BC">
      <w:pPr>
        <w:pStyle w:val="Answer-Testimony"/>
      </w:pPr>
      <w:r w:rsidRPr="007E50F7">
        <w:t>A.</w:t>
      </w:r>
      <w:r w:rsidRPr="007E50F7">
        <w:tab/>
        <w:t>Yes.  Staff recommend</w:t>
      </w:r>
      <w:r w:rsidR="008C38EE" w:rsidRPr="007E50F7">
        <w:t>s</w:t>
      </w:r>
      <w:r w:rsidRPr="007E50F7">
        <w:t xml:space="preserve"> the Commission require the Company to run </w:t>
      </w:r>
      <w:r w:rsidR="00305F27" w:rsidRPr="007E50F7">
        <w:t>its</w:t>
      </w:r>
      <w:r w:rsidR="002C23CD" w:rsidRPr="007E50F7">
        <w:t xml:space="preserve"> c</w:t>
      </w:r>
      <w:r w:rsidR="00305F27" w:rsidRPr="007E50F7">
        <w:t xml:space="preserve">ost of service study and </w:t>
      </w:r>
      <w:r w:rsidRPr="007E50F7">
        <w:t xml:space="preserve">rate design </w:t>
      </w:r>
      <w:r w:rsidR="005F1426" w:rsidRPr="007E50F7">
        <w:t xml:space="preserve">models </w:t>
      </w:r>
      <w:r w:rsidRPr="007E50F7">
        <w:t xml:space="preserve">with Special Contracts as a separate </w:t>
      </w:r>
      <w:r w:rsidR="0086135A" w:rsidRPr="007E50F7">
        <w:t>customer class</w:t>
      </w:r>
      <w:r w:rsidRPr="007E50F7">
        <w:t xml:space="preserve"> (or column), instead of the credit methodology</w:t>
      </w:r>
      <w:r w:rsidRPr="007E50F7">
        <w:rPr>
          <w:rStyle w:val="FootnoteReference"/>
        </w:rPr>
        <w:footnoteReference w:id="34"/>
      </w:r>
      <w:r w:rsidRPr="007E50F7">
        <w:t xml:space="preserve"> </w:t>
      </w:r>
      <w:r w:rsidR="008C38EE" w:rsidRPr="007E50F7">
        <w:t xml:space="preserve">the Company </w:t>
      </w:r>
      <w:r w:rsidRPr="007E50F7">
        <w:t>currently use</w:t>
      </w:r>
      <w:r w:rsidR="008C38EE" w:rsidRPr="007E50F7">
        <w:t xml:space="preserve">s.  </w:t>
      </w:r>
      <w:r w:rsidR="008C38EE" w:rsidRPr="007E50F7">
        <w:lastRenderedPageBreak/>
        <w:t>Alternatively, t</w:t>
      </w:r>
      <w:r w:rsidRPr="007E50F7">
        <w:t>he</w:t>
      </w:r>
      <w:r w:rsidR="008C38EE" w:rsidRPr="007E50F7">
        <w:t xml:space="preserve"> Commission should require the </w:t>
      </w:r>
      <w:r w:rsidRPr="007E50F7">
        <w:t xml:space="preserve">Company </w:t>
      </w:r>
      <w:r w:rsidR="008C38EE" w:rsidRPr="007E50F7">
        <w:t xml:space="preserve">to </w:t>
      </w:r>
      <w:r w:rsidRPr="007E50F7">
        <w:t>demonstrate</w:t>
      </w:r>
      <w:r w:rsidR="008C38EE" w:rsidRPr="007E50F7">
        <w:t xml:space="preserve"> that </w:t>
      </w:r>
      <w:r w:rsidRPr="007E50F7">
        <w:t>each Special Contract</w:t>
      </w:r>
      <w:r w:rsidR="008C38EE" w:rsidRPr="007E50F7">
        <w:t xml:space="preserve"> is </w:t>
      </w:r>
      <w:r w:rsidRPr="007E50F7">
        <w:t>recovering the costs</w:t>
      </w:r>
      <w:r w:rsidR="008C38EE" w:rsidRPr="007E50F7">
        <w:t xml:space="preserve"> they</w:t>
      </w:r>
      <w:r w:rsidRPr="007E50F7">
        <w:t xml:space="preserve"> impose on the system.</w:t>
      </w:r>
    </w:p>
    <w:p w14:paraId="6CFC0E39" w14:textId="77777777" w:rsidR="008A14BC" w:rsidRPr="007E50F7" w:rsidRDefault="008A14BC" w:rsidP="008C38EE">
      <w:pPr>
        <w:pStyle w:val="Answer-Testimony"/>
        <w:ind w:firstLine="720"/>
      </w:pPr>
      <w:r w:rsidRPr="007E50F7">
        <w:t xml:space="preserve">This would allow Staff to </w:t>
      </w:r>
      <w:r w:rsidR="00E23CDB" w:rsidRPr="007E50F7">
        <w:t xml:space="preserve">evaluate the </w:t>
      </w:r>
      <w:r w:rsidRPr="007E50F7">
        <w:t>analysis and make sure the amount of revenue collect</w:t>
      </w:r>
      <w:r w:rsidR="00305F27" w:rsidRPr="007E50F7">
        <w:t xml:space="preserve">ed from Special </w:t>
      </w:r>
      <w:r w:rsidR="001F4EBF" w:rsidRPr="007E50F7">
        <w:t>Contracts</w:t>
      </w:r>
      <w:r w:rsidR="00305F27" w:rsidRPr="007E50F7">
        <w:t xml:space="preserve"> customers </w:t>
      </w:r>
      <w:r w:rsidRPr="007E50F7">
        <w:t xml:space="preserve">is fair, just, reasonable and sufficient.  </w:t>
      </w:r>
      <w:r w:rsidR="00E23CDB" w:rsidRPr="007E50F7">
        <w:t>If not, t</w:t>
      </w:r>
      <w:r w:rsidRPr="007E50F7">
        <w:t>he</w:t>
      </w:r>
      <w:r w:rsidR="00E23CDB" w:rsidRPr="007E50F7">
        <w:t>n</w:t>
      </w:r>
      <w:r w:rsidRPr="007E50F7">
        <w:t xml:space="preserve"> </w:t>
      </w:r>
      <w:r w:rsidR="00E23CDB" w:rsidRPr="007E50F7">
        <w:t xml:space="preserve">the </w:t>
      </w:r>
      <w:r w:rsidRPr="007E50F7">
        <w:t>Commission can adjust long-term contract</w:t>
      </w:r>
      <w:r w:rsidR="00E23CDB" w:rsidRPr="007E50F7">
        <w:t>s</w:t>
      </w:r>
      <w:r w:rsidR="005F1426" w:rsidRPr="007E50F7">
        <w:t xml:space="preserve"> by imputing revenue</w:t>
      </w:r>
      <w:r w:rsidR="00E23CDB" w:rsidRPr="007E50F7">
        <w:t>s</w:t>
      </w:r>
      <w:r w:rsidR="005F1426" w:rsidRPr="007E50F7">
        <w:t xml:space="preserve"> within the rate </w:t>
      </w:r>
      <w:r w:rsidR="00E23CDB" w:rsidRPr="007E50F7">
        <w:t xml:space="preserve">case </w:t>
      </w:r>
      <w:r w:rsidR="00305F27" w:rsidRPr="007E50F7">
        <w:t xml:space="preserve">to prevent </w:t>
      </w:r>
      <w:r w:rsidRPr="007E50F7">
        <w:t xml:space="preserve">harm </w:t>
      </w:r>
      <w:r w:rsidR="00305F27" w:rsidRPr="007E50F7">
        <w:t xml:space="preserve">to </w:t>
      </w:r>
      <w:r w:rsidRPr="007E50F7">
        <w:t>other customer class</w:t>
      </w:r>
      <w:r w:rsidR="005F1426" w:rsidRPr="007E50F7">
        <w:t xml:space="preserve">es.  </w:t>
      </w:r>
      <w:r w:rsidR="00D54F67" w:rsidRPr="007E50F7">
        <w:t xml:space="preserve">These types of </w:t>
      </w:r>
      <w:r w:rsidR="00E23CDB" w:rsidRPr="007E50F7">
        <w:t>adjustment</w:t>
      </w:r>
      <w:r w:rsidR="00D54F67" w:rsidRPr="007E50F7">
        <w:t xml:space="preserve">s </w:t>
      </w:r>
      <w:r w:rsidR="00E23CDB" w:rsidRPr="007E50F7">
        <w:t xml:space="preserve">within general rate cases </w:t>
      </w:r>
      <w:r w:rsidRPr="007E50F7">
        <w:t xml:space="preserve">will </w:t>
      </w:r>
      <w:r w:rsidR="00305F27" w:rsidRPr="007E50F7">
        <w:t xml:space="preserve">also </w:t>
      </w:r>
      <w:r w:rsidR="00E23CDB" w:rsidRPr="007E50F7">
        <w:t>likely</w:t>
      </w:r>
      <w:r w:rsidRPr="007E50F7">
        <w:t xml:space="preserve"> </w:t>
      </w:r>
      <w:r w:rsidR="00305F27" w:rsidRPr="007E50F7">
        <w:t xml:space="preserve">cause </w:t>
      </w:r>
      <w:r w:rsidRPr="007E50F7">
        <w:t>Avista</w:t>
      </w:r>
      <w:r w:rsidR="00305F27" w:rsidRPr="007E50F7">
        <w:t xml:space="preserve"> not to </w:t>
      </w:r>
      <w:r w:rsidRPr="007E50F7">
        <w:t xml:space="preserve">sign long-term </w:t>
      </w:r>
      <w:r w:rsidR="00305F27" w:rsidRPr="007E50F7">
        <w:t xml:space="preserve">special </w:t>
      </w:r>
      <w:r w:rsidRPr="007E50F7">
        <w:t xml:space="preserve">contracts without an adjustment clause.  </w:t>
      </w:r>
      <w:r w:rsidR="00ED2522" w:rsidRPr="007E50F7">
        <w:t xml:space="preserve">As the Commission has previously stated: </w:t>
      </w:r>
      <w:r w:rsidRPr="007E50F7">
        <w:t xml:space="preserve">“Rate spread should recognize that rates must be just and reasonable and not cause undue discrimination.  To this end, revenue </w:t>
      </w:r>
      <w:r w:rsidR="002A134A" w:rsidRPr="007E50F7">
        <w:t>responsibility</w:t>
      </w:r>
      <w:r w:rsidRPr="007E50F7">
        <w:t xml:space="preserve"> for any class should be informed by the cost to serve the class.”</w:t>
      </w:r>
      <w:r w:rsidRPr="007E50F7">
        <w:rPr>
          <w:rStyle w:val="FootnoteReference"/>
        </w:rPr>
        <w:footnoteReference w:id="35"/>
      </w:r>
    </w:p>
    <w:p w14:paraId="6CFC0E3A" w14:textId="77777777" w:rsidR="008A14BC" w:rsidRPr="007E50F7" w:rsidRDefault="008A14BC" w:rsidP="008A14BC">
      <w:pPr>
        <w:pStyle w:val="Question-Testimony"/>
      </w:pPr>
    </w:p>
    <w:p w14:paraId="6CFC0E3B" w14:textId="77777777" w:rsidR="008A14BC" w:rsidRPr="007E50F7" w:rsidRDefault="008A14BC" w:rsidP="008A14BC">
      <w:pPr>
        <w:pStyle w:val="Question-Testimony"/>
      </w:pPr>
      <w:r w:rsidRPr="007E50F7">
        <w:t>Q.</w:t>
      </w:r>
      <w:r w:rsidRPr="007E50F7">
        <w:tab/>
        <w:t xml:space="preserve">Is </w:t>
      </w:r>
      <w:r w:rsidR="00ED2522" w:rsidRPr="007E50F7">
        <w:t xml:space="preserve">any other Commission-regulated utility </w:t>
      </w:r>
      <w:r w:rsidRPr="007E50F7">
        <w:t xml:space="preserve">currently </w:t>
      </w:r>
      <w:r w:rsidR="00ED2522" w:rsidRPr="007E50F7">
        <w:t>evaluating Special Contracts as a separate item in the cost of service study</w:t>
      </w:r>
      <w:r w:rsidR="001A1063" w:rsidRPr="007E50F7">
        <w:t xml:space="preserve"> and rate design</w:t>
      </w:r>
      <w:r w:rsidRPr="007E50F7">
        <w:t>?</w:t>
      </w:r>
    </w:p>
    <w:p w14:paraId="6CFC0E3C" w14:textId="77777777" w:rsidR="008A14BC" w:rsidRPr="007E50F7" w:rsidRDefault="008A14BC" w:rsidP="008A14BC">
      <w:pPr>
        <w:pStyle w:val="Answer-Testimony"/>
      </w:pPr>
      <w:r w:rsidRPr="007E50F7">
        <w:t>A.</w:t>
      </w:r>
      <w:r w:rsidRPr="007E50F7">
        <w:tab/>
        <w:t>Yes.  PS</w:t>
      </w:r>
      <w:r w:rsidR="00ED2522" w:rsidRPr="007E50F7">
        <w:t>E</w:t>
      </w:r>
      <w:r w:rsidRPr="007E50F7">
        <w:t xml:space="preserve"> currently runs </w:t>
      </w:r>
      <w:r w:rsidR="00ED2522" w:rsidRPr="007E50F7">
        <w:t>its cost of service</w:t>
      </w:r>
      <w:r w:rsidRPr="007E50F7">
        <w:t xml:space="preserve"> and rate design with Special Contracts represented as a </w:t>
      </w:r>
      <w:r w:rsidR="0086135A" w:rsidRPr="007E50F7">
        <w:t xml:space="preserve">distinct schedule </w:t>
      </w:r>
      <w:r w:rsidRPr="007E50F7">
        <w:t xml:space="preserve">(or column) within both </w:t>
      </w:r>
      <w:r w:rsidR="00ED2522" w:rsidRPr="007E50F7">
        <w:t>its</w:t>
      </w:r>
      <w:r w:rsidRPr="007E50F7">
        <w:t xml:space="preserve"> </w:t>
      </w:r>
      <w:r w:rsidR="00305F27" w:rsidRPr="007E50F7">
        <w:t xml:space="preserve">electric and gas </w:t>
      </w:r>
      <w:r w:rsidRPr="007E50F7">
        <w:t>models</w:t>
      </w:r>
      <w:r w:rsidR="00086C58" w:rsidRPr="007E50F7">
        <w:t>.</w:t>
      </w:r>
      <w:r w:rsidRPr="007E50F7">
        <w:rPr>
          <w:rStyle w:val="FootnoteReference"/>
        </w:rPr>
        <w:footnoteReference w:id="36"/>
      </w:r>
      <w:r w:rsidR="00ED2522" w:rsidRPr="007E50F7">
        <w:t xml:space="preserve">  PSE</w:t>
      </w:r>
      <w:r w:rsidRPr="007E50F7">
        <w:t xml:space="preserve"> shows the parity ratio</w:t>
      </w:r>
      <w:r w:rsidR="00ED2522" w:rsidRPr="007E50F7">
        <w:t>s</w:t>
      </w:r>
      <w:r w:rsidRPr="007E50F7">
        <w:t xml:space="preserve"> for </w:t>
      </w:r>
      <w:r w:rsidR="00ED2522" w:rsidRPr="007E50F7">
        <w:t xml:space="preserve">Special Contracts </w:t>
      </w:r>
      <w:r w:rsidRPr="007E50F7">
        <w:t>customer</w:t>
      </w:r>
      <w:r w:rsidR="00ED2522" w:rsidRPr="007E50F7">
        <w:t>s,</w:t>
      </w:r>
      <w:r w:rsidRPr="007E50F7">
        <w:t xml:space="preserve"> and adjusts the Special Contracts accordingly to </w:t>
      </w:r>
      <w:r w:rsidR="00ED2522" w:rsidRPr="007E50F7">
        <w:t xml:space="preserve">insure Special contracts customers </w:t>
      </w:r>
      <w:r w:rsidRPr="007E50F7">
        <w:t xml:space="preserve">share the cost of the system and </w:t>
      </w:r>
      <w:r w:rsidR="00ED2522" w:rsidRPr="007E50F7">
        <w:t xml:space="preserve">pay their </w:t>
      </w:r>
      <w:r w:rsidRPr="007E50F7">
        <w:t>fair share of the cost</w:t>
      </w:r>
      <w:r w:rsidR="00ED2522" w:rsidRPr="007E50F7">
        <w:t>s</w:t>
      </w:r>
      <w:r w:rsidRPr="007E50F7">
        <w:t xml:space="preserve"> they impose on the system.</w:t>
      </w:r>
      <w:r w:rsidR="00305F27" w:rsidRPr="007E50F7">
        <w:t xml:space="preserve">  Avista should do no less.</w:t>
      </w:r>
    </w:p>
    <w:p w14:paraId="6CFC0E3D" w14:textId="77777777" w:rsidR="008A14BC" w:rsidRPr="007E50F7" w:rsidRDefault="008A14BC" w:rsidP="008A14BC">
      <w:pPr>
        <w:pStyle w:val="Answer-Testimony"/>
        <w:ind w:left="0" w:firstLine="0"/>
      </w:pPr>
    </w:p>
    <w:p w14:paraId="6CFC0E3E" w14:textId="77777777" w:rsidR="008A14BC" w:rsidRPr="007E50F7" w:rsidRDefault="008A14BC" w:rsidP="003A477D">
      <w:pPr>
        <w:pStyle w:val="Heading3"/>
        <w:ind w:left="1530"/>
      </w:pPr>
      <w:bookmarkStart w:id="14" w:name="_Toc335809620"/>
      <w:r w:rsidRPr="007E50F7">
        <w:lastRenderedPageBreak/>
        <w:t>Revenue Allocation</w:t>
      </w:r>
      <w:bookmarkEnd w:id="14"/>
    </w:p>
    <w:p w14:paraId="6CFC0E3F" w14:textId="77777777" w:rsidR="001B0420" w:rsidRPr="007E50F7" w:rsidRDefault="001B0420" w:rsidP="001B0420">
      <w:pPr>
        <w:pStyle w:val="Answer-Testimony"/>
      </w:pPr>
    </w:p>
    <w:p w14:paraId="6CFC0E40" w14:textId="77777777" w:rsidR="001B0420" w:rsidRPr="007E50F7" w:rsidRDefault="001B0420" w:rsidP="001B0420">
      <w:pPr>
        <w:pStyle w:val="Question-Testimony"/>
      </w:pPr>
      <w:r w:rsidRPr="007E50F7">
        <w:t>Q.</w:t>
      </w:r>
      <w:r w:rsidRPr="007E50F7">
        <w:tab/>
        <w:t>What is Staff’s recommendation on revenue allocation</w:t>
      </w:r>
      <w:r w:rsidR="00305F27" w:rsidRPr="007E50F7">
        <w:t xml:space="preserve"> for gas service</w:t>
      </w:r>
      <w:r w:rsidRPr="007E50F7">
        <w:t>?</w:t>
      </w:r>
    </w:p>
    <w:p w14:paraId="6CFC0E41" w14:textId="77777777" w:rsidR="001B0420" w:rsidRPr="007E50F7" w:rsidRDefault="001B0420" w:rsidP="001B0420">
      <w:pPr>
        <w:pStyle w:val="Answer-Testimony"/>
      </w:pPr>
      <w:r w:rsidRPr="007E50F7">
        <w:t>A.</w:t>
      </w:r>
      <w:r w:rsidRPr="007E50F7">
        <w:tab/>
      </w:r>
      <w:r w:rsidR="0077177A" w:rsidRPr="007E50F7">
        <w:t>As</w:t>
      </w:r>
      <w:r w:rsidR="00FE5F12" w:rsidRPr="007E50F7">
        <w:t xml:space="preserve"> </w:t>
      </w:r>
      <w:r w:rsidR="00305F27" w:rsidRPr="007E50F7">
        <w:t xml:space="preserve">I </w:t>
      </w:r>
      <w:r w:rsidR="00FE5F12" w:rsidRPr="007E50F7">
        <w:t>mention</w:t>
      </w:r>
      <w:r w:rsidR="00305F27" w:rsidRPr="007E50F7">
        <w:t>ed</w:t>
      </w:r>
      <w:r w:rsidR="00FE5F12" w:rsidRPr="007E50F7">
        <w:t xml:space="preserve"> above,</w:t>
      </w:r>
      <w:r w:rsidR="0077177A" w:rsidRPr="007E50F7">
        <w:t xml:space="preserve"> the </w:t>
      </w:r>
      <w:r w:rsidR="00305F27" w:rsidRPr="007E50F7">
        <w:t xml:space="preserve">gas </w:t>
      </w:r>
      <w:r w:rsidR="0077177A" w:rsidRPr="007E50F7">
        <w:t xml:space="preserve">cost of service study results show </w:t>
      </w:r>
      <w:r w:rsidR="00F116D7" w:rsidRPr="007E50F7">
        <w:t>that large customers are not covering their cost to serve</w:t>
      </w:r>
      <w:r w:rsidR="00305F27" w:rsidRPr="007E50F7">
        <w:t>, and Large and Extra Large General Service customers are paying more than the cost to serve</w:t>
      </w:r>
      <w:r w:rsidR="0077177A" w:rsidRPr="007E50F7">
        <w:t xml:space="preserve">.  </w:t>
      </w:r>
      <w:r w:rsidR="00305F27" w:rsidRPr="007E50F7">
        <w:t xml:space="preserve">Because </w:t>
      </w:r>
      <w:r w:rsidRPr="007E50F7">
        <w:t>Staff recommend</w:t>
      </w:r>
      <w:r w:rsidR="000367EB" w:rsidRPr="007E50F7">
        <w:t xml:space="preserve">s increasing </w:t>
      </w:r>
      <w:r w:rsidRPr="007E50F7">
        <w:t xml:space="preserve">overall </w:t>
      </w:r>
      <w:r w:rsidR="00305F27" w:rsidRPr="007E50F7">
        <w:t xml:space="preserve">gas </w:t>
      </w:r>
      <w:r w:rsidRPr="007E50F7">
        <w:t xml:space="preserve">revenue </w:t>
      </w:r>
      <w:r w:rsidR="000367EB" w:rsidRPr="007E50F7">
        <w:t xml:space="preserve">by </w:t>
      </w:r>
      <w:r w:rsidR="00463017" w:rsidRPr="007E50F7">
        <w:t>2</w:t>
      </w:r>
      <w:r w:rsidRPr="007E50F7">
        <w:t>.</w:t>
      </w:r>
      <w:r w:rsidR="00BA5BCB" w:rsidRPr="007E50F7">
        <w:t>7</w:t>
      </w:r>
      <w:r w:rsidR="008A1DC4" w:rsidRPr="007E50F7">
        <w:t>6</w:t>
      </w:r>
      <w:r w:rsidR="0077177A" w:rsidRPr="007E50F7">
        <w:t xml:space="preserve"> percent</w:t>
      </w:r>
      <w:r w:rsidR="00305F27" w:rsidRPr="007E50F7">
        <w:t xml:space="preserve">, and in order </w:t>
      </w:r>
      <w:r w:rsidRPr="007E50F7">
        <w:t xml:space="preserve">to move </w:t>
      </w:r>
      <w:r w:rsidR="00305F27" w:rsidRPr="007E50F7">
        <w:t xml:space="preserve">gas </w:t>
      </w:r>
      <w:r w:rsidRPr="007E50F7">
        <w:t>rate schedules closer to parity, Staff recommends the following increases:</w:t>
      </w:r>
    </w:p>
    <w:p w14:paraId="6CFC0E42" w14:textId="77777777" w:rsidR="001B0420" w:rsidRPr="007E50F7" w:rsidRDefault="001B0420" w:rsidP="001B0420">
      <w:pPr>
        <w:pStyle w:val="Answer-Testimony"/>
        <w:numPr>
          <w:ilvl w:val="0"/>
          <w:numId w:val="31"/>
        </w:numPr>
      </w:pPr>
      <w:r w:rsidRPr="007E50F7">
        <w:t>Schedule 101, General Service, gets a</w:t>
      </w:r>
      <w:r w:rsidR="00A7587A" w:rsidRPr="007E50F7">
        <w:t xml:space="preserve">n </w:t>
      </w:r>
      <w:r w:rsidR="00305F27" w:rsidRPr="007E50F7">
        <w:t xml:space="preserve">average </w:t>
      </w:r>
      <w:r w:rsidRPr="007E50F7">
        <w:t xml:space="preserve">increase of </w:t>
      </w:r>
      <w:r w:rsidR="00BA5BCB" w:rsidRPr="007E50F7">
        <w:t>3</w:t>
      </w:r>
      <w:r w:rsidR="00463017" w:rsidRPr="007E50F7">
        <w:t>.</w:t>
      </w:r>
      <w:r w:rsidR="00BA5BCB" w:rsidRPr="007E50F7">
        <w:t>0</w:t>
      </w:r>
      <w:r w:rsidR="008A1DC4" w:rsidRPr="007E50F7">
        <w:t>5</w:t>
      </w:r>
      <w:r w:rsidRPr="007E50F7">
        <w:t xml:space="preserve"> percent.</w:t>
      </w:r>
    </w:p>
    <w:p w14:paraId="6CFC0E43" w14:textId="77777777" w:rsidR="001B0420" w:rsidRPr="007E50F7" w:rsidRDefault="001B0420" w:rsidP="001B0420">
      <w:pPr>
        <w:pStyle w:val="Answer-Testimony"/>
        <w:numPr>
          <w:ilvl w:val="0"/>
          <w:numId w:val="31"/>
        </w:numPr>
      </w:pPr>
      <w:r w:rsidRPr="007E50F7">
        <w:t>Schedules 11</w:t>
      </w:r>
      <w:r w:rsidR="0034049B" w:rsidRPr="007E50F7">
        <w:t>1</w:t>
      </w:r>
      <w:r w:rsidRPr="007E50F7">
        <w:t xml:space="preserve"> and 1</w:t>
      </w:r>
      <w:r w:rsidR="0034049B" w:rsidRPr="007E50F7">
        <w:t>1</w:t>
      </w:r>
      <w:r w:rsidRPr="007E50F7">
        <w:t xml:space="preserve">2, </w:t>
      </w:r>
      <w:r w:rsidR="0034049B" w:rsidRPr="007E50F7">
        <w:t xml:space="preserve">Large </w:t>
      </w:r>
      <w:r w:rsidRPr="007E50F7">
        <w:t>General Service, gets a</w:t>
      </w:r>
      <w:r w:rsidR="00A7587A" w:rsidRPr="007E50F7">
        <w:t>n</w:t>
      </w:r>
      <w:r w:rsidRPr="007E50F7">
        <w:t xml:space="preserve"> increase of </w:t>
      </w:r>
      <w:r w:rsidR="00463017" w:rsidRPr="007E50F7">
        <w:t>1.</w:t>
      </w:r>
      <w:r w:rsidR="008A1DC4" w:rsidRPr="007E50F7">
        <w:t>70</w:t>
      </w:r>
      <w:r w:rsidRPr="007E50F7">
        <w:t xml:space="preserve"> percent.</w:t>
      </w:r>
    </w:p>
    <w:p w14:paraId="6CFC0E44" w14:textId="77777777" w:rsidR="001B0420" w:rsidRPr="007E50F7" w:rsidRDefault="001B0420" w:rsidP="001B0420">
      <w:pPr>
        <w:pStyle w:val="Answer-Testimony"/>
        <w:numPr>
          <w:ilvl w:val="0"/>
          <w:numId w:val="31"/>
        </w:numPr>
      </w:pPr>
      <w:r w:rsidRPr="007E50F7">
        <w:t xml:space="preserve">Schedules </w:t>
      </w:r>
      <w:r w:rsidR="0034049B" w:rsidRPr="007E50F7">
        <w:t>1</w:t>
      </w:r>
      <w:r w:rsidRPr="007E50F7">
        <w:t xml:space="preserve">21 and </w:t>
      </w:r>
      <w:r w:rsidR="0034049B" w:rsidRPr="007E50F7">
        <w:t>1</w:t>
      </w:r>
      <w:r w:rsidRPr="007E50F7">
        <w:t xml:space="preserve">22, </w:t>
      </w:r>
      <w:r w:rsidR="0034049B" w:rsidRPr="007E50F7">
        <w:t xml:space="preserve">Extra </w:t>
      </w:r>
      <w:r w:rsidRPr="007E50F7">
        <w:t>Large General Service, gets a</w:t>
      </w:r>
      <w:r w:rsidR="00A7587A" w:rsidRPr="007E50F7">
        <w:t>n</w:t>
      </w:r>
      <w:r w:rsidRPr="007E50F7">
        <w:t xml:space="preserve"> increase of </w:t>
      </w:r>
      <w:r w:rsidR="00463017" w:rsidRPr="007E50F7">
        <w:t>1.</w:t>
      </w:r>
      <w:r w:rsidR="00BA5BCB" w:rsidRPr="007E50F7">
        <w:t>3</w:t>
      </w:r>
      <w:r w:rsidR="008A1DC4" w:rsidRPr="007E50F7">
        <w:t>2</w:t>
      </w:r>
      <w:r w:rsidRPr="007E50F7">
        <w:t xml:space="preserve"> percent.</w:t>
      </w:r>
    </w:p>
    <w:p w14:paraId="6CFC0E45" w14:textId="77777777" w:rsidR="001B0420" w:rsidRPr="007E50F7" w:rsidRDefault="001B0420" w:rsidP="001B0420">
      <w:pPr>
        <w:pStyle w:val="Answer-Testimony"/>
        <w:numPr>
          <w:ilvl w:val="0"/>
          <w:numId w:val="31"/>
        </w:numPr>
      </w:pPr>
      <w:r w:rsidRPr="007E50F7">
        <w:t>Schedule</w:t>
      </w:r>
      <w:r w:rsidR="0034049B" w:rsidRPr="007E50F7">
        <w:t>s</w:t>
      </w:r>
      <w:r w:rsidRPr="007E50F7">
        <w:t xml:space="preserve"> </w:t>
      </w:r>
      <w:r w:rsidR="0034049B" w:rsidRPr="007E50F7">
        <w:t>131 and 132</w:t>
      </w:r>
      <w:r w:rsidRPr="007E50F7">
        <w:t xml:space="preserve">, </w:t>
      </w:r>
      <w:r w:rsidR="0034049B" w:rsidRPr="007E50F7">
        <w:t>Interruptible</w:t>
      </w:r>
      <w:r w:rsidRPr="007E50F7">
        <w:t>, gets a</w:t>
      </w:r>
      <w:r w:rsidR="00A7587A" w:rsidRPr="007E50F7">
        <w:t>n</w:t>
      </w:r>
      <w:r w:rsidRPr="007E50F7">
        <w:t xml:space="preserve"> increase of </w:t>
      </w:r>
      <w:r w:rsidR="00463017" w:rsidRPr="007E50F7">
        <w:t>3.</w:t>
      </w:r>
      <w:r w:rsidR="008A1DC4" w:rsidRPr="007E50F7">
        <w:t>20</w:t>
      </w:r>
      <w:r w:rsidRPr="007E50F7">
        <w:t xml:space="preserve"> percent.</w:t>
      </w:r>
    </w:p>
    <w:p w14:paraId="6CFC0E46" w14:textId="77777777" w:rsidR="001B0420" w:rsidRPr="007E50F7" w:rsidRDefault="001B0420" w:rsidP="0034049B">
      <w:pPr>
        <w:pStyle w:val="Answer-Testimony"/>
        <w:numPr>
          <w:ilvl w:val="0"/>
          <w:numId w:val="31"/>
        </w:numPr>
      </w:pPr>
      <w:r w:rsidRPr="007E50F7">
        <w:t xml:space="preserve">Schedule </w:t>
      </w:r>
      <w:r w:rsidR="0034049B" w:rsidRPr="007E50F7">
        <w:t>146</w:t>
      </w:r>
      <w:r w:rsidRPr="007E50F7">
        <w:t xml:space="preserve">, </w:t>
      </w:r>
      <w:r w:rsidR="0034049B" w:rsidRPr="007E50F7">
        <w:t>Transportation</w:t>
      </w:r>
      <w:r w:rsidRPr="007E50F7">
        <w:t>, gets a</w:t>
      </w:r>
      <w:r w:rsidR="00A7587A" w:rsidRPr="007E50F7">
        <w:t>n</w:t>
      </w:r>
      <w:r w:rsidRPr="007E50F7">
        <w:t xml:space="preserve"> increase of </w:t>
      </w:r>
      <w:r w:rsidR="00BA5BCB" w:rsidRPr="007E50F7">
        <w:t>6.</w:t>
      </w:r>
      <w:r w:rsidR="008A1DC4" w:rsidRPr="007E50F7">
        <w:t>62</w:t>
      </w:r>
      <w:r w:rsidRPr="007E50F7">
        <w:t xml:space="preserve"> </w:t>
      </w:r>
      <w:r w:rsidR="0034049B" w:rsidRPr="007E50F7">
        <w:t>percent</w:t>
      </w:r>
      <w:r w:rsidRPr="007E50F7">
        <w:t>.</w:t>
      </w:r>
    </w:p>
    <w:p w14:paraId="6CFC0E47" w14:textId="77777777" w:rsidR="001B0420" w:rsidRPr="007E50F7" w:rsidRDefault="001B0420" w:rsidP="001B0420">
      <w:pPr>
        <w:pStyle w:val="Answer-Testimony"/>
      </w:pPr>
    </w:p>
    <w:p w14:paraId="6CFC0E48" w14:textId="77777777" w:rsidR="001B0420" w:rsidRPr="007E50F7" w:rsidRDefault="001B0420" w:rsidP="001B0420">
      <w:pPr>
        <w:pStyle w:val="Question-Testimony"/>
      </w:pPr>
      <w:r w:rsidRPr="007E50F7">
        <w:t>Q.</w:t>
      </w:r>
      <w:r w:rsidRPr="007E50F7">
        <w:tab/>
        <w:t>Please explain your analysis for Schedule</w:t>
      </w:r>
      <w:r w:rsidR="0034049B" w:rsidRPr="007E50F7">
        <w:t>s</w:t>
      </w:r>
      <w:r w:rsidRPr="007E50F7">
        <w:t xml:space="preserve"> 1</w:t>
      </w:r>
      <w:r w:rsidR="0034049B" w:rsidRPr="007E50F7">
        <w:t>31, 132, and 146</w:t>
      </w:r>
      <w:r w:rsidRPr="007E50F7">
        <w:t xml:space="preserve"> getting a higher than average increase, while Schedules 1</w:t>
      </w:r>
      <w:r w:rsidR="0034049B" w:rsidRPr="007E50F7">
        <w:t>1</w:t>
      </w:r>
      <w:r w:rsidRPr="007E50F7">
        <w:t>1, 1</w:t>
      </w:r>
      <w:r w:rsidR="0034049B" w:rsidRPr="007E50F7">
        <w:t>1</w:t>
      </w:r>
      <w:r w:rsidRPr="007E50F7">
        <w:t xml:space="preserve">2, </w:t>
      </w:r>
      <w:r w:rsidR="0034049B" w:rsidRPr="007E50F7">
        <w:t>1</w:t>
      </w:r>
      <w:r w:rsidRPr="007E50F7">
        <w:t xml:space="preserve">21, and </w:t>
      </w:r>
      <w:r w:rsidR="0034049B" w:rsidRPr="007E50F7">
        <w:t>1</w:t>
      </w:r>
      <w:r w:rsidRPr="007E50F7">
        <w:t>22 get a lower than average increase.</w:t>
      </w:r>
    </w:p>
    <w:p w14:paraId="6CFC0E49" w14:textId="77777777" w:rsidR="001B0420" w:rsidRPr="007E50F7" w:rsidRDefault="001B0420" w:rsidP="001B0420">
      <w:pPr>
        <w:pStyle w:val="Answer-Testimony"/>
      </w:pPr>
      <w:r w:rsidRPr="007E50F7">
        <w:t>A.</w:t>
      </w:r>
      <w:r w:rsidRPr="007E50F7">
        <w:tab/>
      </w:r>
      <w:r w:rsidR="0077177A" w:rsidRPr="007E50F7">
        <w:t xml:space="preserve">To reach parity, </w:t>
      </w:r>
      <w:r w:rsidRPr="007E50F7">
        <w:t>Staff’s analysis shows</w:t>
      </w:r>
      <w:r w:rsidR="0077177A" w:rsidRPr="007E50F7">
        <w:t xml:space="preserve"> that</w:t>
      </w:r>
      <w:r w:rsidRPr="007E50F7">
        <w:t xml:space="preserve"> customers on Schedule</w:t>
      </w:r>
      <w:r w:rsidR="00E01CC4" w:rsidRPr="007E50F7">
        <w:t>s</w:t>
      </w:r>
      <w:r w:rsidRPr="007E50F7">
        <w:t xml:space="preserve"> </w:t>
      </w:r>
      <w:r w:rsidR="00E01CC4" w:rsidRPr="007E50F7">
        <w:t>13</w:t>
      </w:r>
      <w:r w:rsidRPr="007E50F7">
        <w:t>1</w:t>
      </w:r>
      <w:r w:rsidR="00E01CC4" w:rsidRPr="007E50F7">
        <w:t xml:space="preserve"> and 132</w:t>
      </w:r>
      <w:r w:rsidRPr="007E50F7">
        <w:t xml:space="preserve"> would require approximately a </w:t>
      </w:r>
      <w:r w:rsidR="00463017" w:rsidRPr="007E50F7">
        <w:t>33</w:t>
      </w:r>
      <w:r w:rsidR="004D74C5" w:rsidRPr="007E50F7">
        <w:t>0</w:t>
      </w:r>
      <w:r w:rsidRPr="007E50F7">
        <w:t xml:space="preserve"> percent of average increase</w:t>
      </w:r>
      <w:r w:rsidR="00E01CC4" w:rsidRPr="007E50F7">
        <w:t xml:space="preserve">, while Schedule 146 would </w:t>
      </w:r>
      <w:r w:rsidR="0077177A" w:rsidRPr="007E50F7">
        <w:t>require</w:t>
      </w:r>
      <w:r w:rsidR="00E01CC4" w:rsidRPr="007E50F7">
        <w:t xml:space="preserve"> a rate </w:t>
      </w:r>
      <w:r w:rsidR="00F264AE" w:rsidRPr="007E50F7">
        <w:t>in</w:t>
      </w:r>
      <w:r w:rsidR="00E01CC4" w:rsidRPr="007E50F7">
        <w:t xml:space="preserve">crease of </w:t>
      </w:r>
      <w:r w:rsidR="0077177A" w:rsidRPr="007E50F7">
        <w:t>approximately</w:t>
      </w:r>
      <w:r w:rsidR="00E01CC4" w:rsidRPr="007E50F7">
        <w:t xml:space="preserve"> </w:t>
      </w:r>
      <w:r w:rsidR="00463017" w:rsidRPr="007E50F7">
        <w:t>1</w:t>
      </w:r>
      <w:r w:rsidR="00E13BB6" w:rsidRPr="007E50F7">
        <w:t>,</w:t>
      </w:r>
      <w:r w:rsidR="00463017" w:rsidRPr="007E50F7">
        <w:t>30</w:t>
      </w:r>
      <w:r w:rsidR="004D74C5" w:rsidRPr="007E50F7">
        <w:t>0</w:t>
      </w:r>
      <w:r w:rsidR="00E01CC4" w:rsidRPr="007E50F7">
        <w:t xml:space="preserve"> percent of average</w:t>
      </w:r>
      <w:r w:rsidRPr="007E50F7">
        <w:t xml:space="preserve">.  </w:t>
      </w:r>
      <w:r w:rsidR="0077177A" w:rsidRPr="007E50F7">
        <w:t xml:space="preserve">In contrast, </w:t>
      </w:r>
      <w:r w:rsidRPr="007E50F7">
        <w:t>customers on Schedules 1</w:t>
      </w:r>
      <w:r w:rsidR="00E01CC4" w:rsidRPr="007E50F7">
        <w:t>1</w:t>
      </w:r>
      <w:r w:rsidRPr="007E50F7">
        <w:t>1 and 1</w:t>
      </w:r>
      <w:r w:rsidR="00E01CC4" w:rsidRPr="007E50F7">
        <w:t>1</w:t>
      </w:r>
      <w:r w:rsidRPr="007E50F7">
        <w:t xml:space="preserve">2 would </w:t>
      </w:r>
      <w:r w:rsidR="0077177A" w:rsidRPr="007E50F7">
        <w:t>require</w:t>
      </w:r>
      <w:r w:rsidRPr="007E50F7">
        <w:t xml:space="preserve"> a rate decrease of </w:t>
      </w:r>
      <w:r w:rsidR="0077177A" w:rsidRPr="007E50F7">
        <w:t>approximately</w:t>
      </w:r>
      <w:r w:rsidRPr="007E50F7">
        <w:t xml:space="preserve"> </w:t>
      </w:r>
      <w:r w:rsidR="00463017" w:rsidRPr="007E50F7">
        <w:lastRenderedPageBreak/>
        <w:t>120</w:t>
      </w:r>
      <w:r w:rsidRPr="007E50F7">
        <w:t xml:space="preserve"> percent of average</w:t>
      </w:r>
      <w:r w:rsidR="0077177A" w:rsidRPr="007E50F7">
        <w:t xml:space="preserve"> and </w:t>
      </w:r>
      <w:r w:rsidRPr="007E50F7">
        <w:t xml:space="preserve">Schedules </w:t>
      </w:r>
      <w:r w:rsidR="00E01CC4" w:rsidRPr="007E50F7">
        <w:t>1</w:t>
      </w:r>
      <w:r w:rsidRPr="007E50F7">
        <w:t xml:space="preserve">21 and </w:t>
      </w:r>
      <w:r w:rsidR="00E01CC4" w:rsidRPr="007E50F7">
        <w:t>1</w:t>
      </w:r>
      <w:r w:rsidRPr="007E50F7">
        <w:t xml:space="preserve">22 would </w:t>
      </w:r>
      <w:r w:rsidR="0077177A" w:rsidRPr="007E50F7">
        <w:t xml:space="preserve">require </w:t>
      </w:r>
      <w:r w:rsidRPr="007E50F7">
        <w:t>a rate decrease of a</w:t>
      </w:r>
      <w:r w:rsidR="0077177A" w:rsidRPr="007E50F7">
        <w:t xml:space="preserve">pproximately </w:t>
      </w:r>
      <w:r w:rsidR="00463017" w:rsidRPr="007E50F7">
        <w:t>140</w:t>
      </w:r>
      <w:r w:rsidRPr="007E50F7">
        <w:t xml:space="preserve"> percent of average increase to get these schedules to parity.</w:t>
      </w:r>
    </w:p>
    <w:p w14:paraId="6CFC0E4A" w14:textId="77777777" w:rsidR="00E23CDB" w:rsidRPr="007E50F7" w:rsidRDefault="006318D5" w:rsidP="00E23CDB">
      <w:pPr>
        <w:pStyle w:val="Answer-Testimony"/>
        <w:ind w:firstLine="720"/>
      </w:pPr>
      <w:r w:rsidRPr="007E50F7">
        <w:t>For the same reason as</w:t>
      </w:r>
      <w:r w:rsidR="0077177A" w:rsidRPr="007E50F7">
        <w:t xml:space="preserve"> I explained </w:t>
      </w:r>
      <w:r w:rsidRPr="007E50F7">
        <w:t xml:space="preserve">earlier in my </w:t>
      </w:r>
      <w:r w:rsidR="0077177A" w:rsidRPr="007E50F7">
        <w:t xml:space="preserve">discussion of electric revenue allocation, </w:t>
      </w:r>
      <w:r w:rsidRPr="007E50F7">
        <w:t>th</w:t>
      </w:r>
      <w:r w:rsidR="0077177A" w:rsidRPr="007E50F7">
        <w:t>e</w:t>
      </w:r>
      <w:r w:rsidRPr="007E50F7">
        <w:t xml:space="preserve"> </w:t>
      </w:r>
      <w:r w:rsidR="0077177A" w:rsidRPr="007E50F7">
        <w:t xml:space="preserve">more moderate rate changes I recommend are more </w:t>
      </w:r>
      <w:r w:rsidR="001B0420" w:rsidRPr="007E50F7">
        <w:t xml:space="preserve">reasonable and would </w:t>
      </w:r>
      <w:r w:rsidR="0077177A" w:rsidRPr="007E50F7">
        <w:t>mak</w:t>
      </w:r>
      <w:r w:rsidR="00305F27" w:rsidRPr="007E50F7">
        <w:t>e</w:t>
      </w:r>
      <w:r w:rsidR="0077177A" w:rsidRPr="007E50F7">
        <w:t xml:space="preserve"> a </w:t>
      </w:r>
      <w:r w:rsidR="001B0420" w:rsidRPr="007E50F7">
        <w:t xml:space="preserve">gradual </w:t>
      </w:r>
      <w:r w:rsidR="0077177A" w:rsidRPr="007E50F7">
        <w:t xml:space="preserve">step to address parity </w:t>
      </w:r>
      <w:r w:rsidR="001B0420" w:rsidRPr="007E50F7">
        <w:t>imbalances.</w:t>
      </w:r>
    </w:p>
    <w:p w14:paraId="6CFC0E4B" w14:textId="77777777" w:rsidR="000367EB" w:rsidRPr="007E50F7" w:rsidRDefault="000367EB" w:rsidP="000367EB">
      <w:pPr>
        <w:pStyle w:val="Answer-Testimony"/>
      </w:pPr>
    </w:p>
    <w:p w14:paraId="6CFC0E4C" w14:textId="77777777" w:rsidR="000367EB" w:rsidRPr="007E50F7" w:rsidRDefault="000367EB" w:rsidP="000367EB">
      <w:pPr>
        <w:pStyle w:val="Question-Testimony"/>
      </w:pPr>
      <w:r w:rsidRPr="007E50F7">
        <w:t>Q.</w:t>
      </w:r>
      <w:r w:rsidRPr="007E50F7">
        <w:tab/>
        <w:t>How are the parity ratios affected by</w:t>
      </w:r>
      <w:r w:rsidR="0077177A" w:rsidRPr="007E50F7">
        <w:t xml:space="preserve"> your proposed</w:t>
      </w:r>
      <w:r w:rsidRPr="007E50F7">
        <w:t xml:space="preserve"> percentage increases?</w:t>
      </w:r>
    </w:p>
    <w:p w14:paraId="6CFC0E4D" w14:textId="77777777" w:rsidR="00FE5F12" w:rsidRPr="007E50F7" w:rsidRDefault="000367EB" w:rsidP="000B1479">
      <w:pPr>
        <w:pStyle w:val="Answer-Testimony"/>
      </w:pPr>
      <w:r w:rsidRPr="007E50F7">
        <w:t>A.</w:t>
      </w:r>
      <w:r w:rsidRPr="007E50F7">
        <w:tab/>
      </w:r>
      <w:r w:rsidR="000B1479" w:rsidRPr="007E50F7">
        <w:t xml:space="preserve">Table 7 below, shows the results that </w:t>
      </w:r>
      <w:r w:rsidR="001B0420" w:rsidRPr="007E50F7">
        <w:t>Schedules receiving average increases maintain ratios within five percent of theoretical parity.  Schedules with</w:t>
      </w:r>
      <w:r w:rsidRPr="007E50F7">
        <w:t xml:space="preserve"> above-</w:t>
      </w:r>
      <w:r w:rsidR="001B0420" w:rsidRPr="007E50F7">
        <w:t xml:space="preserve">average increases improve, but remain below parity at </w:t>
      </w:r>
      <w:r w:rsidR="00512E81" w:rsidRPr="007E50F7">
        <w:t>7</w:t>
      </w:r>
      <w:r w:rsidR="003C3F25" w:rsidRPr="007E50F7">
        <w:t>9</w:t>
      </w:r>
      <w:r w:rsidR="001B0420" w:rsidRPr="007E50F7">
        <w:t xml:space="preserve"> percent</w:t>
      </w:r>
      <w:r w:rsidR="003C3F25" w:rsidRPr="007E50F7">
        <w:t xml:space="preserve"> and 93 percent</w:t>
      </w:r>
      <w:r w:rsidR="001B0420" w:rsidRPr="007E50F7">
        <w:t>.  Exhibit No.</w:t>
      </w:r>
      <w:r w:rsidR="00101F7E" w:rsidRPr="007E50F7">
        <w:t xml:space="preserve"> _</w:t>
      </w:r>
      <w:r w:rsidR="001B0420" w:rsidRPr="007E50F7">
        <w:t>__ (</w:t>
      </w:r>
      <w:proofErr w:type="spellStart"/>
      <w:r w:rsidR="001B0420" w:rsidRPr="007E50F7">
        <w:t>CTM</w:t>
      </w:r>
      <w:proofErr w:type="spellEnd"/>
      <w:r w:rsidR="001B0420" w:rsidRPr="007E50F7">
        <w:t>-</w:t>
      </w:r>
      <w:r w:rsidR="00745CD2" w:rsidRPr="007E50F7">
        <w:t>5</w:t>
      </w:r>
      <w:r w:rsidR="000B1479" w:rsidRPr="007E50F7">
        <w:t>).</w:t>
      </w:r>
    </w:p>
    <w:tbl>
      <w:tblPr>
        <w:tblpPr w:leftFromText="187" w:rightFromText="187" w:vertAnchor="text" w:horzAnchor="page" w:tblpX="2634" w:tblpY="818"/>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695"/>
        <w:gridCol w:w="1620"/>
        <w:gridCol w:w="1440"/>
      </w:tblGrid>
      <w:tr w:rsidR="007E50F7" w:rsidRPr="007E50F7" w14:paraId="6CFC0E51" w14:textId="77777777" w:rsidTr="00A8237F">
        <w:trPr>
          <w:cantSplit/>
        </w:trPr>
        <w:tc>
          <w:tcPr>
            <w:tcW w:w="5695" w:type="dxa"/>
            <w:vAlign w:val="center"/>
          </w:tcPr>
          <w:p w14:paraId="6CFC0E4E" w14:textId="77777777" w:rsidR="00A8237F" w:rsidRPr="007E50F7" w:rsidRDefault="00A8237F" w:rsidP="00FE5F12">
            <w:pPr>
              <w:pStyle w:val="answer"/>
              <w:keepNext/>
              <w:spacing w:before="60" w:after="60" w:line="240" w:lineRule="auto"/>
              <w:ind w:left="0" w:firstLine="0"/>
              <w:jc w:val="center"/>
              <w:rPr>
                <w:b/>
              </w:rPr>
            </w:pPr>
            <w:r w:rsidRPr="007E50F7">
              <w:rPr>
                <w:b/>
              </w:rPr>
              <w:t>Customer Class</w:t>
            </w:r>
          </w:p>
        </w:tc>
        <w:tc>
          <w:tcPr>
            <w:tcW w:w="1620" w:type="dxa"/>
            <w:vAlign w:val="center"/>
          </w:tcPr>
          <w:p w14:paraId="6CFC0E4F" w14:textId="77777777" w:rsidR="00A8237F" w:rsidRPr="007E50F7" w:rsidRDefault="00436E57" w:rsidP="00002ADF">
            <w:pPr>
              <w:pStyle w:val="answer"/>
              <w:keepNext/>
              <w:spacing w:before="60" w:after="60" w:line="240" w:lineRule="auto"/>
              <w:ind w:left="0" w:firstLine="0"/>
              <w:jc w:val="center"/>
              <w:rPr>
                <w:b/>
              </w:rPr>
            </w:pPr>
            <w:r w:rsidRPr="007E50F7">
              <w:rPr>
                <w:b/>
              </w:rPr>
              <w:t xml:space="preserve">Staff’s </w:t>
            </w:r>
            <w:r w:rsidR="00A8237F" w:rsidRPr="007E50F7">
              <w:rPr>
                <w:b/>
              </w:rPr>
              <w:t>Cost of Service</w:t>
            </w:r>
          </w:p>
        </w:tc>
        <w:tc>
          <w:tcPr>
            <w:tcW w:w="1440" w:type="dxa"/>
            <w:vAlign w:val="center"/>
          </w:tcPr>
          <w:p w14:paraId="6CFC0E50" w14:textId="77777777" w:rsidR="00A8237F" w:rsidRPr="007E50F7" w:rsidRDefault="00A8237F" w:rsidP="00FE5F12">
            <w:pPr>
              <w:pStyle w:val="answer"/>
              <w:keepNext/>
              <w:spacing w:before="60" w:after="60" w:line="240" w:lineRule="auto"/>
              <w:ind w:left="0" w:firstLine="0"/>
              <w:jc w:val="center"/>
              <w:rPr>
                <w:b/>
              </w:rPr>
            </w:pPr>
            <w:r w:rsidRPr="007E50F7">
              <w:rPr>
                <w:b/>
              </w:rPr>
              <w:t>Staff Proposal</w:t>
            </w:r>
          </w:p>
        </w:tc>
      </w:tr>
      <w:tr w:rsidR="007E50F7" w:rsidRPr="007E50F7" w14:paraId="6CFC0E55" w14:textId="77777777" w:rsidTr="00A8237F">
        <w:trPr>
          <w:cantSplit/>
        </w:trPr>
        <w:tc>
          <w:tcPr>
            <w:tcW w:w="5695" w:type="dxa"/>
            <w:vAlign w:val="center"/>
          </w:tcPr>
          <w:p w14:paraId="6CFC0E52" w14:textId="77777777" w:rsidR="00A8237F" w:rsidRPr="007E50F7" w:rsidRDefault="00A8237F" w:rsidP="00FE5F12">
            <w:pPr>
              <w:pStyle w:val="answer"/>
              <w:keepNext/>
              <w:spacing w:before="60" w:after="60" w:line="240" w:lineRule="auto"/>
              <w:ind w:left="0" w:firstLine="0"/>
            </w:pPr>
            <w:r w:rsidRPr="007E50F7">
              <w:t>Total System</w:t>
            </w:r>
          </w:p>
        </w:tc>
        <w:tc>
          <w:tcPr>
            <w:tcW w:w="1620" w:type="dxa"/>
            <w:vAlign w:val="center"/>
          </w:tcPr>
          <w:p w14:paraId="6CFC0E53" w14:textId="77777777" w:rsidR="00A8237F" w:rsidRPr="007E50F7" w:rsidRDefault="00A8237F" w:rsidP="00FE5F12">
            <w:pPr>
              <w:pStyle w:val="answer"/>
              <w:keepNext/>
              <w:spacing w:before="60" w:after="60" w:line="240" w:lineRule="auto"/>
              <w:ind w:left="0" w:firstLine="0"/>
              <w:jc w:val="center"/>
            </w:pPr>
            <w:r w:rsidRPr="007E50F7">
              <w:t>1.00</w:t>
            </w:r>
          </w:p>
        </w:tc>
        <w:tc>
          <w:tcPr>
            <w:tcW w:w="1440" w:type="dxa"/>
            <w:vAlign w:val="center"/>
          </w:tcPr>
          <w:p w14:paraId="6CFC0E54" w14:textId="77777777" w:rsidR="00A8237F" w:rsidRPr="007E50F7" w:rsidRDefault="00A8237F" w:rsidP="00FE5F12">
            <w:pPr>
              <w:pStyle w:val="answer"/>
              <w:keepNext/>
              <w:spacing w:before="60" w:after="60" w:line="240" w:lineRule="auto"/>
              <w:ind w:left="0" w:firstLine="0"/>
              <w:jc w:val="center"/>
            </w:pPr>
            <w:r w:rsidRPr="007E50F7">
              <w:t>1.00</w:t>
            </w:r>
          </w:p>
        </w:tc>
      </w:tr>
      <w:tr w:rsidR="007E50F7" w:rsidRPr="007E50F7" w14:paraId="6CFC0E59" w14:textId="77777777" w:rsidTr="00A8237F">
        <w:trPr>
          <w:cantSplit/>
        </w:trPr>
        <w:tc>
          <w:tcPr>
            <w:tcW w:w="5695" w:type="dxa"/>
            <w:vAlign w:val="center"/>
          </w:tcPr>
          <w:p w14:paraId="6CFC0E56" w14:textId="77777777" w:rsidR="003C3F25" w:rsidRPr="007E50F7" w:rsidRDefault="003C3F25" w:rsidP="003C3F25">
            <w:pPr>
              <w:pStyle w:val="answer"/>
              <w:keepNext/>
              <w:spacing w:before="60" w:after="60" w:line="240" w:lineRule="auto"/>
              <w:ind w:left="0" w:firstLine="0"/>
            </w:pPr>
            <w:r w:rsidRPr="007E50F7">
              <w:t>General Service (Schedule 101)</w:t>
            </w:r>
          </w:p>
        </w:tc>
        <w:tc>
          <w:tcPr>
            <w:tcW w:w="1620" w:type="dxa"/>
            <w:vAlign w:val="center"/>
          </w:tcPr>
          <w:p w14:paraId="6CFC0E57" w14:textId="77777777" w:rsidR="003C3F25" w:rsidRPr="007E50F7" w:rsidRDefault="003C3F25" w:rsidP="003C3F25">
            <w:pPr>
              <w:pStyle w:val="answer"/>
              <w:keepNext/>
              <w:spacing w:before="60" w:after="60" w:line="240" w:lineRule="auto"/>
              <w:ind w:left="0" w:firstLine="0"/>
              <w:jc w:val="center"/>
            </w:pPr>
            <w:r w:rsidRPr="007E50F7">
              <w:t>1.00</w:t>
            </w:r>
          </w:p>
        </w:tc>
        <w:tc>
          <w:tcPr>
            <w:tcW w:w="1440" w:type="dxa"/>
            <w:vAlign w:val="center"/>
          </w:tcPr>
          <w:p w14:paraId="6CFC0E58" w14:textId="77777777" w:rsidR="003C3F25" w:rsidRPr="007E50F7" w:rsidRDefault="003C3F25" w:rsidP="003C3F25">
            <w:pPr>
              <w:pStyle w:val="answer"/>
              <w:keepNext/>
              <w:spacing w:before="60" w:after="60" w:line="240" w:lineRule="auto"/>
              <w:ind w:left="0" w:firstLine="0"/>
              <w:jc w:val="center"/>
            </w:pPr>
            <w:r w:rsidRPr="007E50F7">
              <w:t>1.00</w:t>
            </w:r>
          </w:p>
        </w:tc>
      </w:tr>
      <w:tr w:rsidR="007E50F7" w:rsidRPr="007E50F7" w14:paraId="6CFC0E5D" w14:textId="77777777" w:rsidTr="00A8237F">
        <w:trPr>
          <w:cantSplit/>
        </w:trPr>
        <w:tc>
          <w:tcPr>
            <w:tcW w:w="5695" w:type="dxa"/>
            <w:vAlign w:val="center"/>
          </w:tcPr>
          <w:p w14:paraId="6CFC0E5A" w14:textId="77777777" w:rsidR="003C3F25" w:rsidRPr="007E50F7" w:rsidRDefault="003C3F25" w:rsidP="003C3F25">
            <w:pPr>
              <w:pStyle w:val="answer"/>
              <w:keepNext/>
              <w:spacing w:before="60" w:after="60" w:line="240" w:lineRule="auto"/>
              <w:ind w:left="0" w:firstLine="0"/>
            </w:pPr>
            <w:r w:rsidRPr="007E50F7">
              <w:t>Large General Service (Schedules 111, 112)</w:t>
            </w:r>
          </w:p>
        </w:tc>
        <w:tc>
          <w:tcPr>
            <w:tcW w:w="1620" w:type="dxa"/>
            <w:vAlign w:val="center"/>
          </w:tcPr>
          <w:p w14:paraId="6CFC0E5B" w14:textId="77777777" w:rsidR="003C3F25" w:rsidRPr="007E50F7" w:rsidRDefault="003C3F25" w:rsidP="003C3F25">
            <w:pPr>
              <w:pStyle w:val="answer"/>
              <w:keepNext/>
              <w:spacing w:before="60" w:after="60" w:line="240" w:lineRule="auto"/>
              <w:ind w:left="0" w:firstLine="0"/>
              <w:jc w:val="center"/>
            </w:pPr>
            <w:r w:rsidRPr="007E50F7">
              <w:t>1.03</w:t>
            </w:r>
          </w:p>
        </w:tc>
        <w:tc>
          <w:tcPr>
            <w:tcW w:w="1440" w:type="dxa"/>
            <w:vAlign w:val="center"/>
          </w:tcPr>
          <w:p w14:paraId="6CFC0E5C" w14:textId="77777777" w:rsidR="003C3F25" w:rsidRPr="007E50F7" w:rsidRDefault="003C3F25" w:rsidP="003C3F25">
            <w:pPr>
              <w:pStyle w:val="answer"/>
              <w:keepNext/>
              <w:spacing w:before="60" w:after="60" w:line="240" w:lineRule="auto"/>
              <w:ind w:left="0" w:firstLine="0"/>
              <w:jc w:val="center"/>
            </w:pPr>
            <w:r w:rsidRPr="007E50F7">
              <w:t>1.02</w:t>
            </w:r>
          </w:p>
        </w:tc>
      </w:tr>
      <w:tr w:rsidR="007E50F7" w:rsidRPr="007E50F7" w14:paraId="6CFC0E61" w14:textId="77777777" w:rsidTr="00A8237F">
        <w:trPr>
          <w:cantSplit/>
        </w:trPr>
        <w:tc>
          <w:tcPr>
            <w:tcW w:w="5695" w:type="dxa"/>
            <w:vAlign w:val="center"/>
          </w:tcPr>
          <w:p w14:paraId="6CFC0E5E" w14:textId="77777777" w:rsidR="003C3F25" w:rsidRPr="007E50F7" w:rsidRDefault="003C3F25" w:rsidP="003C3F25">
            <w:pPr>
              <w:pStyle w:val="answer"/>
              <w:keepNext/>
              <w:spacing w:before="60" w:after="60" w:line="240" w:lineRule="auto"/>
              <w:ind w:left="0" w:firstLine="0"/>
            </w:pPr>
            <w:r w:rsidRPr="007E50F7">
              <w:t>Extra Large General Service (Schedules 121, 122)</w:t>
            </w:r>
          </w:p>
        </w:tc>
        <w:tc>
          <w:tcPr>
            <w:tcW w:w="1620" w:type="dxa"/>
            <w:vAlign w:val="center"/>
          </w:tcPr>
          <w:p w14:paraId="6CFC0E5F" w14:textId="77777777" w:rsidR="003C3F25" w:rsidRPr="007E50F7" w:rsidRDefault="003C3F25" w:rsidP="003C3F25">
            <w:pPr>
              <w:pStyle w:val="answer"/>
              <w:keepNext/>
              <w:spacing w:before="60" w:after="60" w:line="240" w:lineRule="auto"/>
              <w:ind w:left="0" w:firstLine="0"/>
              <w:jc w:val="center"/>
            </w:pPr>
            <w:r w:rsidRPr="007E50F7">
              <w:t>1.03</w:t>
            </w:r>
          </w:p>
        </w:tc>
        <w:tc>
          <w:tcPr>
            <w:tcW w:w="1440" w:type="dxa"/>
            <w:vAlign w:val="center"/>
          </w:tcPr>
          <w:p w14:paraId="6CFC0E60" w14:textId="77777777" w:rsidR="003C3F25" w:rsidRPr="007E50F7" w:rsidRDefault="003C3F25" w:rsidP="003C3F25">
            <w:pPr>
              <w:pStyle w:val="answer"/>
              <w:keepNext/>
              <w:spacing w:before="60" w:after="60" w:line="240" w:lineRule="auto"/>
              <w:ind w:left="0" w:firstLine="0"/>
              <w:jc w:val="center"/>
            </w:pPr>
            <w:r w:rsidRPr="007E50F7">
              <w:t>1.02</w:t>
            </w:r>
          </w:p>
        </w:tc>
      </w:tr>
      <w:tr w:rsidR="007E50F7" w:rsidRPr="007E50F7" w14:paraId="6CFC0E65" w14:textId="77777777" w:rsidTr="00A8237F">
        <w:trPr>
          <w:cantSplit/>
        </w:trPr>
        <w:tc>
          <w:tcPr>
            <w:tcW w:w="5695" w:type="dxa"/>
            <w:vAlign w:val="center"/>
          </w:tcPr>
          <w:p w14:paraId="6CFC0E62" w14:textId="77777777" w:rsidR="003C3F25" w:rsidRPr="007E50F7" w:rsidRDefault="003C3F25" w:rsidP="003C3F25">
            <w:pPr>
              <w:pStyle w:val="answer"/>
              <w:keepNext/>
              <w:spacing w:before="60" w:after="60" w:line="240" w:lineRule="auto"/>
              <w:ind w:left="0" w:firstLine="0"/>
            </w:pPr>
            <w:r w:rsidRPr="007E50F7">
              <w:t>Interruptible (Schedule 131, 132)</w:t>
            </w:r>
          </w:p>
        </w:tc>
        <w:tc>
          <w:tcPr>
            <w:tcW w:w="1620" w:type="dxa"/>
            <w:vAlign w:val="center"/>
          </w:tcPr>
          <w:p w14:paraId="6CFC0E63" w14:textId="77777777" w:rsidR="003C3F25" w:rsidRPr="007E50F7" w:rsidRDefault="003C3F25" w:rsidP="003C3F25">
            <w:pPr>
              <w:pStyle w:val="answer"/>
              <w:keepNext/>
              <w:spacing w:before="60" w:after="60" w:line="240" w:lineRule="auto"/>
              <w:ind w:left="0" w:firstLine="0"/>
              <w:jc w:val="center"/>
            </w:pPr>
            <w:r w:rsidRPr="007E50F7">
              <w:t>0.92</w:t>
            </w:r>
          </w:p>
        </w:tc>
        <w:tc>
          <w:tcPr>
            <w:tcW w:w="1440" w:type="dxa"/>
            <w:vAlign w:val="center"/>
          </w:tcPr>
          <w:p w14:paraId="6CFC0E64" w14:textId="77777777" w:rsidR="003C3F25" w:rsidRPr="007E50F7" w:rsidRDefault="003C3F25" w:rsidP="003C3F25">
            <w:pPr>
              <w:pStyle w:val="answer"/>
              <w:keepNext/>
              <w:spacing w:before="60" w:after="60" w:line="240" w:lineRule="auto"/>
              <w:ind w:left="0" w:firstLine="0"/>
              <w:jc w:val="center"/>
            </w:pPr>
            <w:r w:rsidRPr="007E50F7">
              <w:t>0.93</w:t>
            </w:r>
          </w:p>
        </w:tc>
      </w:tr>
      <w:tr w:rsidR="007E50F7" w:rsidRPr="007E50F7" w14:paraId="6CFC0E69" w14:textId="77777777" w:rsidTr="00A8237F">
        <w:trPr>
          <w:cantSplit/>
        </w:trPr>
        <w:tc>
          <w:tcPr>
            <w:tcW w:w="5695" w:type="dxa"/>
            <w:vAlign w:val="center"/>
          </w:tcPr>
          <w:p w14:paraId="6CFC0E66" w14:textId="77777777" w:rsidR="003C3F25" w:rsidRPr="007E50F7" w:rsidRDefault="003C3F25" w:rsidP="003C3F25">
            <w:pPr>
              <w:pStyle w:val="answer"/>
              <w:keepNext/>
              <w:spacing w:before="60" w:after="60" w:line="240" w:lineRule="auto"/>
              <w:ind w:left="0" w:firstLine="0"/>
            </w:pPr>
            <w:r w:rsidRPr="007E50F7">
              <w:t>Transportation (Schedule 146)</w:t>
            </w:r>
          </w:p>
        </w:tc>
        <w:tc>
          <w:tcPr>
            <w:tcW w:w="1620" w:type="dxa"/>
            <w:vAlign w:val="center"/>
          </w:tcPr>
          <w:p w14:paraId="6CFC0E67" w14:textId="77777777" w:rsidR="003C3F25" w:rsidRPr="007E50F7" w:rsidRDefault="003C3F25" w:rsidP="003C3F25">
            <w:pPr>
              <w:pStyle w:val="answer"/>
              <w:keepNext/>
              <w:spacing w:before="60" w:after="60" w:line="240" w:lineRule="auto"/>
              <w:ind w:left="0" w:firstLine="0"/>
              <w:jc w:val="center"/>
            </w:pPr>
            <w:r w:rsidRPr="007E50F7">
              <w:t>0.77</w:t>
            </w:r>
          </w:p>
        </w:tc>
        <w:tc>
          <w:tcPr>
            <w:tcW w:w="1440" w:type="dxa"/>
            <w:vAlign w:val="center"/>
          </w:tcPr>
          <w:p w14:paraId="6CFC0E68" w14:textId="77777777" w:rsidR="003C3F25" w:rsidRPr="007E50F7" w:rsidRDefault="003C3F25" w:rsidP="003C3F25">
            <w:pPr>
              <w:pStyle w:val="answer"/>
              <w:keepNext/>
              <w:spacing w:before="60" w:after="60" w:line="240" w:lineRule="auto"/>
              <w:ind w:left="0" w:firstLine="0"/>
              <w:jc w:val="center"/>
            </w:pPr>
            <w:r w:rsidRPr="007E50F7">
              <w:t>0.79</w:t>
            </w:r>
          </w:p>
        </w:tc>
      </w:tr>
    </w:tbl>
    <w:p w14:paraId="6CFC0E6A" w14:textId="77777777" w:rsidR="00FE5F12" w:rsidRPr="007E50F7" w:rsidRDefault="00FE5F12" w:rsidP="00FE5F12">
      <w:pPr>
        <w:pStyle w:val="Answer-Testimony"/>
        <w:jc w:val="center"/>
      </w:pPr>
      <w:r w:rsidRPr="007E50F7">
        <w:t xml:space="preserve">Table </w:t>
      </w:r>
      <w:r w:rsidR="000B1479" w:rsidRPr="007E50F7">
        <w:t>7</w:t>
      </w:r>
      <w:r w:rsidRPr="007E50F7">
        <w:t>:  Summary of Parity Ratios</w:t>
      </w:r>
    </w:p>
    <w:p w14:paraId="6CFC0E6B" w14:textId="77777777" w:rsidR="00FE5F12" w:rsidRPr="000559D0" w:rsidRDefault="00FE5F12" w:rsidP="00FE5F12">
      <w:pPr>
        <w:pStyle w:val="Answer-Testimony"/>
        <w:rPr>
          <w:color w:val="FFFFFF" w:themeColor="background1"/>
        </w:rPr>
      </w:pPr>
      <w:r w:rsidRPr="000559D0">
        <w:rPr>
          <w:color w:val="FFFFFF" w:themeColor="background1"/>
        </w:rPr>
        <w:t>R</w:t>
      </w:r>
    </w:p>
    <w:p w14:paraId="6CFC0E6C" w14:textId="77777777" w:rsidR="00FE5F12" w:rsidRPr="000559D0" w:rsidRDefault="00FE5F12" w:rsidP="00FE5F12">
      <w:pPr>
        <w:pStyle w:val="Answer-Testimony"/>
        <w:rPr>
          <w:color w:val="FFFFFF" w:themeColor="background1"/>
        </w:rPr>
      </w:pPr>
      <w:r w:rsidRPr="000559D0">
        <w:rPr>
          <w:color w:val="FFFFFF" w:themeColor="background1"/>
        </w:rPr>
        <w:t>R</w:t>
      </w:r>
    </w:p>
    <w:p w14:paraId="6CFC0E6D" w14:textId="77777777" w:rsidR="00FE5F12" w:rsidRPr="000559D0" w:rsidRDefault="00FE5F12" w:rsidP="00FE5F12">
      <w:pPr>
        <w:pStyle w:val="Answer-Testimony"/>
        <w:rPr>
          <w:color w:val="FFFFFF" w:themeColor="background1"/>
        </w:rPr>
      </w:pPr>
      <w:r w:rsidRPr="000559D0">
        <w:rPr>
          <w:color w:val="FFFFFF" w:themeColor="background1"/>
        </w:rPr>
        <w:t>R</w:t>
      </w:r>
    </w:p>
    <w:p w14:paraId="6CFC0E6E" w14:textId="77777777" w:rsidR="00FE5F12" w:rsidRPr="000559D0" w:rsidRDefault="00FE5F12" w:rsidP="00FE5F12">
      <w:pPr>
        <w:pStyle w:val="Answer-Testimony"/>
        <w:rPr>
          <w:color w:val="FFFFFF" w:themeColor="background1"/>
        </w:rPr>
      </w:pPr>
      <w:r w:rsidRPr="000559D0">
        <w:rPr>
          <w:color w:val="FFFFFF" w:themeColor="background1"/>
        </w:rPr>
        <w:t>R</w:t>
      </w:r>
    </w:p>
    <w:p w14:paraId="6CFC0E6F" w14:textId="77777777" w:rsidR="00FE5F12" w:rsidRPr="000559D0" w:rsidRDefault="00FE5F12" w:rsidP="00FE5F12">
      <w:pPr>
        <w:pStyle w:val="Answer-Testimony"/>
        <w:rPr>
          <w:color w:val="FFFFFF" w:themeColor="background1"/>
        </w:rPr>
      </w:pPr>
      <w:r w:rsidRPr="000559D0">
        <w:rPr>
          <w:color w:val="FFFFFF" w:themeColor="background1"/>
        </w:rPr>
        <w:t>R</w:t>
      </w:r>
    </w:p>
    <w:p w14:paraId="6CFC0E70" w14:textId="77777777" w:rsidR="00FE5F12" w:rsidRPr="000559D0" w:rsidRDefault="00FE5F12" w:rsidP="00FE5F12">
      <w:pPr>
        <w:pStyle w:val="Question-Testimony"/>
        <w:rPr>
          <w:color w:val="FFFFFF" w:themeColor="background1"/>
        </w:rPr>
      </w:pPr>
      <w:r w:rsidRPr="000559D0">
        <w:rPr>
          <w:color w:val="FFFFFF" w:themeColor="background1"/>
        </w:rPr>
        <w:t>R</w:t>
      </w:r>
    </w:p>
    <w:p w14:paraId="6CFC0E71" w14:textId="77777777" w:rsidR="00FE5F12" w:rsidRPr="000559D0" w:rsidRDefault="00FE5F12" w:rsidP="00FE5F12">
      <w:pPr>
        <w:pStyle w:val="Question-Testimony"/>
        <w:rPr>
          <w:color w:val="FFFFFF" w:themeColor="background1"/>
        </w:rPr>
      </w:pPr>
    </w:p>
    <w:p w14:paraId="6CFC0E72" w14:textId="77777777" w:rsidR="00FE5F12" w:rsidRPr="000559D0" w:rsidRDefault="00FE5F12" w:rsidP="00FE5F12">
      <w:pPr>
        <w:pStyle w:val="Question-Testimony"/>
        <w:rPr>
          <w:color w:val="FFFFFF" w:themeColor="background1"/>
        </w:rPr>
      </w:pPr>
    </w:p>
    <w:p w14:paraId="6CFC0E73" w14:textId="77777777" w:rsidR="00891A10" w:rsidRPr="007E50F7" w:rsidRDefault="00891A10" w:rsidP="003A477D">
      <w:pPr>
        <w:pStyle w:val="Heading3"/>
        <w:ind w:left="1440"/>
      </w:pPr>
      <w:bookmarkStart w:id="15" w:name="_Toc335809621"/>
      <w:r w:rsidRPr="007E50F7">
        <w:t>Rate Design</w:t>
      </w:r>
      <w:bookmarkEnd w:id="15"/>
    </w:p>
    <w:p w14:paraId="6CFC0E74" w14:textId="77777777" w:rsidR="003D3FF2" w:rsidRPr="007E50F7" w:rsidRDefault="003D3FF2" w:rsidP="003A477D">
      <w:pPr>
        <w:pStyle w:val="BodyTextIndent"/>
        <w:keepNext/>
      </w:pPr>
    </w:p>
    <w:p w14:paraId="6CFC0E75" w14:textId="77777777" w:rsidR="003D3FF2" w:rsidRPr="007E50F7" w:rsidRDefault="003D3FF2" w:rsidP="003D3FF2">
      <w:pPr>
        <w:pStyle w:val="Question-Testimony"/>
      </w:pPr>
      <w:r w:rsidRPr="007E50F7">
        <w:t>Q.</w:t>
      </w:r>
      <w:r w:rsidRPr="007E50F7">
        <w:tab/>
        <w:t xml:space="preserve">Please explain generally the concept of </w:t>
      </w:r>
      <w:r w:rsidR="0077177A" w:rsidRPr="007E50F7">
        <w:t xml:space="preserve">natural gas </w:t>
      </w:r>
      <w:r w:rsidRPr="007E50F7">
        <w:t>rate design.</w:t>
      </w:r>
    </w:p>
    <w:p w14:paraId="6CFC0E76" w14:textId="77777777" w:rsidR="003D3FF2" w:rsidRPr="007E50F7" w:rsidRDefault="003D3FF2" w:rsidP="003D3FF2">
      <w:pPr>
        <w:pStyle w:val="Answer-Testimony"/>
      </w:pPr>
      <w:r w:rsidRPr="007E50F7">
        <w:lastRenderedPageBreak/>
        <w:t>A.</w:t>
      </w:r>
      <w:r w:rsidRPr="007E50F7">
        <w:tab/>
      </w:r>
      <w:r w:rsidR="0077177A" w:rsidRPr="007E50F7">
        <w:t>Similar to electric rate design, natural gas r</w:t>
      </w:r>
      <w:r w:rsidRPr="007E50F7">
        <w:t>ate design takes the total allocated revenue for each rate schedule and determines the specific charges within the schedule, such as the basic charge per month, the demand charge per therms, and the exact cents per therm</w:t>
      </w:r>
      <w:r w:rsidR="00726F5D" w:rsidRPr="007E50F7">
        <w:t>s</w:t>
      </w:r>
      <w:r w:rsidRPr="007E50F7">
        <w:t>.</w:t>
      </w:r>
    </w:p>
    <w:p w14:paraId="6CFC0E77" w14:textId="77777777" w:rsidR="001665FF" w:rsidRDefault="001665FF" w:rsidP="001665FF">
      <w:pPr>
        <w:pStyle w:val="Answer-Testimony"/>
      </w:pPr>
    </w:p>
    <w:p w14:paraId="6CFC0E78" w14:textId="77777777" w:rsidR="003F7A18" w:rsidRPr="003F7A18" w:rsidRDefault="003F7A18" w:rsidP="001665FF">
      <w:pPr>
        <w:pStyle w:val="Answer-Testimony"/>
        <w:rPr>
          <w:b/>
        </w:rPr>
      </w:pPr>
      <w:r w:rsidRPr="003F7A18">
        <w:rPr>
          <w:b/>
        </w:rPr>
        <w:tab/>
      </w:r>
      <w:r w:rsidRPr="003F7A18">
        <w:rPr>
          <w:b/>
        </w:rPr>
        <w:tab/>
        <w:t>1.</w:t>
      </w:r>
      <w:r w:rsidRPr="003F7A18">
        <w:rPr>
          <w:b/>
        </w:rPr>
        <w:tab/>
        <w:t>Monthly Customer Charge</w:t>
      </w:r>
    </w:p>
    <w:p w14:paraId="6CFC0E79" w14:textId="77777777" w:rsidR="00054063" w:rsidRPr="007E50F7" w:rsidRDefault="00054063" w:rsidP="002815E0">
      <w:pPr>
        <w:pStyle w:val="Answer-Testimony"/>
      </w:pPr>
    </w:p>
    <w:p w14:paraId="6CFC0E7A" w14:textId="77777777" w:rsidR="00AF5B5A" w:rsidRPr="007E50F7" w:rsidRDefault="00AF5B5A" w:rsidP="00AF5B5A">
      <w:pPr>
        <w:pStyle w:val="Question-Testimony"/>
      </w:pPr>
      <w:r w:rsidRPr="007E50F7">
        <w:t>Q.</w:t>
      </w:r>
      <w:r w:rsidRPr="007E50F7">
        <w:tab/>
        <w:t xml:space="preserve">What rate design does Staff propose for </w:t>
      </w:r>
      <w:r w:rsidR="00305F27" w:rsidRPr="007E50F7">
        <w:t xml:space="preserve">the </w:t>
      </w:r>
      <w:r w:rsidRPr="007E50F7">
        <w:t>monthly customer charge</w:t>
      </w:r>
      <w:r w:rsidR="00305F27" w:rsidRPr="007E50F7">
        <w:t>,</w:t>
      </w:r>
      <w:r w:rsidRPr="007E50F7">
        <w:t xml:space="preserve"> given Staff’s lower recommend revenue requirement?</w:t>
      </w:r>
    </w:p>
    <w:p w14:paraId="6CFC0E7B" w14:textId="77777777" w:rsidR="00AF5B5A" w:rsidRPr="007E50F7" w:rsidRDefault="00AF5B5A" w:rsidP="00AF5B5A">
      <w:pPr>
        <w:pStyle w:val="Answer-Testimony"/>
      </w:pPr>
      <w:r w:rsidRPr="007E50F7">
        <w:t>A.</w:t>
      </w:r>
      <w:r w:rsidRPr="007E50F7">
        <w:tab/>
        <w:t xml:space="preserve">Staff proposes to increase the monthly customer charge to reflect the costs that are fixed and </w:t>
      </w:r>
      <w:r w:rsidR="0086135A" w:rsidRPr="007E50F7">
        <w:t xml:space="preserve">that </w:t>
      </w:r>
      <w:r w:rsidRPr="007E50F7">
        <w:t>vary with the number of customers</w:t>
      </w:r>
      <w:r w:rsidR="00751AB5" w:rsidRPr="007E50F7">
        <w:t xml:space="preserve">.  </w:t>
      </w:r>
      <w:r w:rsidR="00FE5F12" w:rsidRPr="007E50F7">
        <w:t>For the same reason</w:t>
      </w:r>
      <w:r w:rsidR="00F57E37" w:rsidRPr="007E50F7">
        <w:t>s</w:t>
      </w:r>
      <w:r w:rsidR="00FE5F12" w:rsidRPr="007E50F7">
        <w:t xml:space="preserve"> as I explained earlier in my discussion of electric rate design, these costs vary by the number of customers rather than usage,</w:t>
      </w:r>
      <w:r w:rsidR="00741EC7">
        <w:t xml:space="preserve"> and so</w:t>
      </w:r>
      <w:r w:rsidR="00FE5F12" w:rsidRPr="007E50F7">
        <w:t xml:space="preserve"> it is appropriate for Avista to recover these costs in the basic charge, rather than usage charges.  </w:t>
      </w:r>
      <w:r w:rsidR="00751AB5" w:rsidRPr="007E50F7">
        <w:t>Accordingly</w:t>
      </w:r>
      <w:r w:rsidR="00FE5F12" w:rsidRPr="007E50F7">
        <w:t>, Staff</w:t>
      </w:r>
      <w:r w:rsidR="00751AB5" w:rsidRPr="007E50F7">
        <w:t xml:space="preserve"> proposes that the monthly customer charge for </w:t>
      </w:r>
      <w:r w:rsidRPr="007E50F7">
        <w:t>General Service Schedule 101 increases from $6.00 to $</w:t>
      </w:r>
      <w:r w:rsidR="00512E81" w:rsidRPr="007E50F7">
        <w:t>10</w:t>
      </w:r>
      <w:r w:rsidRPr="007E50F7">
        <w:t>.</w:t>
      </w:r>
      <w:r w:rsidR="00512E81" w:rsidRPr="007E50F7">
        <w:t>98</w:t>
      </w:r>
      <w:r w:rsidRPr="007E50F7">
        <w:t>.  The</w:t>
      </w:r>
      <w:r w:rsidR="00F57E37" w:rsidRPr="007E50F7">
        <w:t xml:space="preserve"> development of this figure is </w:t>
      </w:r>
      <w:r w:rsidRPr="007E50F7">
        <w:t>shown in my Exhibit No.</w:t>
      </w:r>
      <w:r w:rsidR="00F57E37" w:rsidRPr="007E50F7">
        <w:t xml:space="preserve"> </w:t>
      </w:r>
      <w:r w:rsidRPr="007E50F7">
        <w:t>__</w:t>
      </w:r>
      <w:r w:rsidR="00F57E37" w:rsidRPr="007E50F7">
        <w:t>_</w:t>
      </w:r>
      <w:r w:rsidRPr="007E50F7">
        <w:t xml:space="preserve"> (</w:t>
      </w:r>
      <w:proofErr w:type="spellStart"/>
      <w:r w:rsidRPr="007E50F7">
        <w:t>CTM</w:t>
      </w:r>
      <w:proofErr w:type="spellEnd"/>
      <w:r w:rsidRPr="007E50F7">
        <w:t>-</w:t>
      </w:r>
      <w:r w:rsidR="00745CD2" w:rsidRPr="007E50F7">
        <w:t>5</w:t>
      </w:r>
      <w:r w:rsidRPr="007E50F7">
        <w:t xml:space="preserve">), </w:t>
      </w:r>
      <w:r w:rsidR="003F7A18">
        <w:t>at</w:t>
      </w:r>
      <w:r w:rsidRPr="007E50F7">
        <w:t xml:space="preserve"> </w:t>
      </w:r>
      <w:r w:rsidR="004C774D" w:rsidRPr="007E50F7">
        <w:t>5</w:t>
      </w:r>
      <w:r w:rsidRPr="007E50F7">
        <w:t xml:space="preserve">, </w:t>
      </w:r>
      <w:r w:rsidR="00FE5F12" w:rsidRPr="007E50F7">
        <w:t>and line</w:t>
      </w:r>
      <w:r w:rsidRPr="007E50F7">
        <w:t xml:space="preserve"> </w:t>
      </w:r>
      <w:r w:rsidR="004C774D" w:rsidRPr="007E50F7">
        <w:t>31</w:t>
      </w:r>
      <w:r w:rsidRPr="007E50F7">
        <w:t>.</w:t>
      </w:r>
    </w:p>
    <w:p w14:paraId="6CFC0E7C" w14:textId="77777777" w:rsidR="00827A83" w:rsidRPr="007E50F7" w:rsidRDefault="00827A83" w:rsidP="00827A83">
      <w:pPr>
        <w:pStyle w:val="BodyTextIndent"/>
      </w:pPr>
    </w:p>
    <w:p w14:paraId="6CFC0E7D" w14:textId="77777777" w:rsidR="00827A83" w:rsidRPr="007E50F7" w:rsidRDefault="00827A83" w:rsidP="00827A83">
      <w:pPr>
        <w:pStyle w:val="Question-Testimony"/>
      </w:pPr>
      <w:r w:rsidRPr="007E50F7">
        <w:t>Q.</w:t>
      </w:r>
      <w:r w:rsidRPr="007E50F7">
        <w:tab/>
        <w:t xml:space="preserve">What costs are covered by the </w:t>
      </w:r>
      <w:r w:rsidR="00F57E37" w:rsidRPr="007E50F7">
        <w:t xml:space="preserve">gas </w:t>
      </w:r>
      <w:r w:rsidRPr="007E50F7">
        <w:t>monthly customer charge?</w:t>
      </w:r>
    </w:p>
    <w:p w14:paraId="6CFC0E7E" w14:textId="77777777" w:rsidR="00827A83" w:rsidRPr="007E50F7" w:rsidRDefault="00827A83" w:rsidP="00827A83">
      <w:pPr>
        <w:pStyle w:val="Answer-Testimony"/>
      </w:pPr>
      <w:r w:rsidRPr="007E50F7">
        <w:t>A.</w:t>
      </w:r>
      <w:r w:rsidRPr="007E50F7">
        <w:tab/>
        <w:t xml:space="preserve">The </w:t>
      </w:r>
      <w:r w:rsidR="00F57E37" w:rsidRPr="007E50F7">
        <w:t xml:space="preserve">gas </w:t>
      </w:r>
      <w:r w:rsidRPr="007E50F7">
        <w:t xml:space="preserve">monthly customer charge includes the cost of meters, service drops, meter reading, meter maintenance, and billing.  Mr. </w:t>
      </w:r>
      <w:proofErr w:type="spellStart"/>
      <w:r w:rsidRPr="007E50F7">
        <w:t>Ehrbar’s</w:t>
      </w:r>
      <w:proofErr w:type="spellEnd"/>
      <w:r w:rsidRPr="007E50F7">
        <w:t xml:space="preserve"> Exhibit No. _</w:t>
      </w:r>
      <w:r w:rsidR="00101F7E" w:rsidRPr="007E50F7">
        <w:t>_</w:t>
      </w:r>
      <w:r w:rsidRPr="007E50F7">
        <w:t>_ (</w:t>
      </w:r>
      <w:proofErr w:type="spellStart"/>
      <w:r w:rsidRPr="007E50F7">
        <w:t>PDE-1T</w:t>
      </w:r>
      <w:proofErr w:type="spellEnd"/>
      <w:r w:rsidRPr="007E50F7">
        <w:t xml:space="preserve">), starting on page 24, shows these costs total $12.56 per customer per month, </w:t>
      </w:r>
      <w:r w:rsidR="00F57E37" w:rsidRPr="007E50F7">
        <w:t xml:space="preserve">based on </w:t>
      </w:r>
      <w:r w:rsidRPr="007E50F7">
        <w:t>the Company’s rate request increase of 9.01 percent.</w:t>
      </w:r>
    </w:p>
    <w:p w14:paraId="6CFC0E7F" w14:textId="77777777" w:rsidR="00784E87" w:rsidRDefault="00784E87" w:rsidP="00827A83">
      <w:pPr>
        <w:pStyle w:val="Answer-Testimony"/>
      </w:pPr>
    </w:p>
    <w:p w14:paraId="6CFC0E80" w14:textId="77777777" w:rsidR="003F7A18" w:rsidRPr="003F7A18" w:rsidRDefault="003F7A18" w:rsidP="00827A83">
      <w:pPr>
        <w:pStyle w:val="Answer-Testimony"/>
        <w:rPr>
          <w:b/>
        </w:rPr>
      </w:pPr>
      <w:r w:rsidRPr="003F7A18">
        <w:rPr>
          <w:b/>
        </w:rPr>
        <w:tab/>
      </w:r>
      <w:r w:rsidRPr="003F7A18">
        <w:rPr>
          <w:b/>
        </w:rPr>
        <w:tab/>
        <w:t>2.</w:t>
      </w:r>
      <w:r w:rsidRPr="003F7A18">
        <w:rPr>
          <w:b/>
        </w:rPr>
        <w:tab/>
        <w:t xml:space="preserve">Volumetric Blocks </w:t>
      </w:r>
    </w:p>
    <w:p w14:paraId="6CFC0E81" w14:textId="77777777" w:rsidR="005C5B66" w:rsidRPr="007E50F7" w:rsidRDefault="005C5B66" w:rsidP="005C5B66">
      <w:pPr>
        <w:pStyle w:val="BodyTextIndent"/>
        <w:ind w:left="0" w:firstLine="0"/>
        <w:rPr>
          <w:b/>
        </w:rPr>
      </w:pPr>
    </w:p>
    <w:p w14:paraId="6CFC0E82" w14:textId="77777777" w:rsidR="005C5B66" w:rsidRPr="007E50F7" w:rsidRDefault="005C5B66" w:rsidP="005C5B66">
      <w:pPr>
        <w:pStyle w:val="Question-Testimony"/>
      </w:pPr>
      <w:r w:rsidRPr="007E50F7">
        <w:t>Q.</w:t>
      </w:r>
      <w:r w:rsidRPr="007E50F7">
        <w:tab/>
        <w:t>What is Staff’s other natural gas rate design structure proposal?</w:t>
      </w:r>
    </w:p>
    <w:p w14:paraId="6CFC0E83" w14:textId="77777777" w:rsidR="005C5B66" w:rsidRPr="007E50F7" w:rsidRDefault="005C5B66" w:rsidP="005C5B66">
      <w:pPr>
        <w:pStyle w:val="Answer-Testimony"/>
      </w:pPr>
      <w:r w:rsidRPr="007E50F7">
        <w:t>A.</w:t>
      </w:r>
      <w:r w:rsidRPr="007E50F7">
        <w:tab/>
        <w:t>Staff</w:t>
      </w:r>
      <w:r w:rsidR="00751AB5" w:rsidRPr="007E50F7">
        <w:t xml:space="preserve"> recommends the Commission create</w:t>
      </w:r>
      <w:r w:rsidR="000B7175" w:rsidRPr="007E50F7">
        <w:t xml:space="preserve"> a </w:t>
      </w:r>
      <w:r w:rsidRPr="007E50F7">
        <w:t xml:space="preserve">volumetric block for </w:t>
      </w:r>
      <w:r w:rsidR="000B7175" w:rsidRPr="007E50F7">
        <w:t xml:space="preserve">General Service </w:t>
      </w:r>
      <w:r w:rsidRPr="007E50F7">
        <w:t>Schedule 1</w:t>
      </w:r>
      <w:r w:rsidR="000B7175" w:rsidRPr="007E50F7">
        <w:t>01</w:t>
      </w:r>
      <w:r w:rsidR="00054063" w:rsidRPr="007E50F7">
        <w:t xml:space="preserve"> at 70 therms</w:t>
      </w:r>
      <w:r w:rsidRPr="007E50F7">
        <w:t>.</w:t>
      </w:r>
    </w:p>
    <w:p w14:paraId="6CFC0E84" w14:textId="77777777" w:rsidR="005C5B66" w:rsidRPr="007E50F7" w:rsidRDefault="005C5B66" w:rsidP="005C5B66">
      <w:pPr>
        <w:pStyle w:val="Answer-Testimony"/>
      </w:pPr>
    </w:p>
    <w:p w14:paraId="6CFC0E85" w14:textId="77777777" w:rsidR="005C5B66" w:rsidRPr="007E50F7" w:rsidRDefault="005C5B66" w:rsidP="005C5B66">
      <w:pPr>
        <w:pStyle w:val="Question-Testimony"/>
      </w:pPr>
      <w:r w:rsidRPr="007E50F7">
        <w:t>Q.</w:t>
      </w:r>
      <w:r w:rsidRPr="007E50F7">
        <w:tab/>
        <w:t xml:space="preserve">Please describe and explain the </w:t>
      </w:r>
      <w:r w:rsidR="000367EB" w:rsidRPr="007E50F7">
        <w:t>application of a volumetric block</w:t>
      </w:r>
      <w:r w:rsidRPr="007E50F7">
        <w:t xml:space="preserve"> for </w:t>
      </w:r>
      <w:r w:rsidR="000B7175" w:rsidRPr="007E50F7">
        <w:t xml:space="preserve">General Service </w:t>
      </w:r>
      <w:r w:rsidRPr="007E50F7">
        <w:t>Schedule 1</w:t>
      </w:r>
      <w:r w:rsidR="000B7175" w:rsidRPr="007E50F7">
        <w:t>01</w:t>
      </w:r>
      <w:r w:rsidRPr="007E50F7">
        <w:t>.</w:t>
      </w:r>
    </w:p>
    <w:p w14:paraId="6CFC0E86" w14:textId="77777777" w:rsidR="00E90016" w:rsidRPr="007E50F7" w:rsidRDefault="005C5B66" w:rsidP="000B7175">
      <w:pPr>
        <w:pStyle w:val="Answer-Testimony"/>
      </w:pPr>
      <w:r w:rsidRPr="007E50F7">
        <w:t>A.</w:t>
      </w:r>
      <w:r w:rsidRPr="007E50F7">
        <w:tab/>
      </w:r>
      <w:r w:rsidR="00F57E37" w:rsidRPr="007E50F7">
        <w:t>A</w:t>
      </w:r>
      <w:r w:rsidR="00243D59" w:rsidRPr="007E50F7">
        <w:t xml:space="preserve"> volumetric block at 70 therms</w:t>
      </w:r>
      <w:r w:rsidR="00F57E37" w:rsidRPr="007E50F7">
        <w:t xml:space="preserve"> </w:t>
      </w:r>
      <w:r w:rsidR="00243D59" w:rsidRPr="007E50F7">
        <w:t xml:space="preserve">is above the </w:t>
      </w:r>
      <w:r w:rsidR="00DB6609" w:rsidRPr="007E50F7">
        <w:t xml:space="preserve">Schedule 101 monthly </w:t>
      </w:r>
      <w:r w:rsidR="00243D59" w:rsidRPr="007E50F7">
        <w:t xml:space="preserve">average </w:t>
      </w:r>
      <w:r w:rsidR="00F57E37" w:rsidRPr="007E50F7">
        <w:t xml:space="preserve">usage </w:t>
      </w:r>
      <w:r w:rsidR="00243D59" w:rsidRPr="007E50F7">
        <w:t>of 68 therms</w:t>
      </w:r>
      <w:r w:rsidR="007E183F" w:rsidRPr="007E50F7">
        <w:t xml:space="preserve">, and </w:t>
      </w:r>
      <w:r w:rsidR="004F69AC" w:rsidRPr="007E50F7">
        <w:t xml:space="preserve">according to </w:t>
      </w:r>
      <w:r w:rsidR="003F20DF" w:rsidRPr="007E50F7">
        <w:t>HUD</w:t>
      </w:r>
      <w:r w:rsidR="006252F3" w:rsidRPr="007E50F7">
        <w:t>, the end-</w:t>
      </w:r>
      <w:r w:rsidR="004F69AC" w:rsidRPr="007E50F7">
        <w:t>use consumption of only cooking, domestic hot water, and space heating is betw</w:t>
      </w:r>
      <w:r w:rsidR="00751AB5" w:rsidRPr="007E50F7">
        <w:t>een 69 and 77 therms (based on two-</w:t>
      </w:r>
      <w:r w:rsidR="004F69AC" w:rsidRPr="007E50F7">
        <w:t xml:space="preserve">bedroom dwelling unit and 2.5 bedroom dwelling unit, </w:t>
      </w:r>
      <w:r w:rsidR="007E02D7" w:rsidRPr="007E50F7">
        <w:t>respectively</w:t>
      </w:r>
      <w:r w:rsidR="004F69AC" w:rsidRPr="007E50F7">
        <w:t>)</w:t>
      </w:r>
      <w:r w:rsidR="00EC17AE" w:rsidRPr="007E50F7">
        <w:t>.</w:t>
      </w:r>
      <w:r w:rsidR="004F69AC" w:rsidRPr="007E50F7">
        <w:rPr>
          <w:rStyle w:val="FootnoteReference"/>
        </w:rPr>
        <w:footnoteReference w:id="37"/>
      </w:r>
      <w:r w:rsidR="008B1D44" w:rsidRPr="007E50F7">
        <w:t xml:space="preserve">  </w:t>
      </w:r>
      <w:r w:rsidR="00F57E37" w:rsidRPr="007E50F7">
        <w:t xml:space="preserve">These </w:t>
      </w:r>
      <w:r w:rsidR="003F20DF" w:rsidRPr="007E50F7">
        <w:t>statistics support Staff’s recommendation for a block</w:t>
      </w:r>
      <w:r w:rsidR="006252F3" w:rsidRPr="007E50F7">
        <w:t xml:space="preserve"> at</w:t>
      </w:r>
      <w:r w:rsidR="00054063" w:rsidRPr="007E50F7">
        <w:t>, or around,</w:t>
      </w:r>
      <w:r w:rsidR="006252F3" w:rsidRPr="007E50F7">
        <w:t xml:space="preserve"> 70 therms</w:t>
      </w:r>
      <w:r w:rsidR="003F20DF" w:rsidRPr="007E50F7">
        <w:t>.</w:t>
      </w:r>
    </w:p>
    <w:p w14:paraId="6CFC0E87" w14:textId="77777777" w:rsidR="00751AB5" w:rsidRPr="007E50F7" w:rsidRDefault="00896D30" w:rsidP="00751AB5">
      <w:pPr>
        <w:pStyle w:val="Answer-Testimony"/>
        <w:ind w:firstLine="720"/>
      </w:pPr>
      <w:r w:rsidRPr="007E50F7">
        <w:t>For the same reason as</w:t>
      </w:r>
      <w:r w:rsidR="00751AB5" w:rsidRPr="007E50F7">
        <w:t xml:space="preserve"> I</w:t>
      </w:r>
      <w:r w:rsidRPr="007E50F7">
        <w:t xml:space="preserve"> mention</w:t>
      </w:r>
      <w:r w:rsidR="00751AB5" w:rsidRPr="007E50F7">
        <w:t>ed</w:t>
      </w:r>
      <w:r w:rsidRPr="007E50F7">
        <w:t xml:space="preserve"> earlier </w:t>
      </w:r>
      <w:r w:rsidR="00751AB5" w:rsidRPr="007E50F7">
        <w:t>i</w:t>
      </w:r>
      <w:r w:rsidRPr="007E50F7">
        <w:t xml:space="preserve">n my </w:t>
      </w:r>
      <w:r w:rsidR="008275FE" w:rsidRPr="007E50F7">
        <w:t>discussion of</w:t>
      </w:r>
      <w:r w:rsidRPr="007E50F7">
        <w:t xml:space="preserve"> electric</w:t>
      </w:r>
      <w:r w:rsidR="008275FE" w:rsidRPr="007E50F7">
        <w:t xml:space="preserve"> rate design</w:t>
      </w:r>
      <w:r w:rsidRPr="007E50F7">
        <w:t xml:space="preserve">, this </w:t>
      </w:r>
      <w:r w:rsidR="00751AB5" w:rsidRPr="007E50F7">
        <w:t xml:space="preserve">is </w:t>
      </w:r>
      <w:r w:rsidRPr="007E50F7">
        <w:t>reasonable</w:t>
      </w:r>
      <w:r w:rsidR="00751AB5" w:rsidRPr="007E50F7">
        <w:t xml:space="preserve"> because </w:t>
      </w:r>
      <w:r w:rsidRPr="007E50F7">
        <w:t xml:space="preserve">most usage over 70 therms would be considered </w:t>
      </w:r>
      <w:r w:rsidR="00751AB5" w:rsidRPr="007E50F7">
        <w:t>elastic</w:t>
      </w:r>
      <w:r w:rsidRPr="007E50F7">
        <w:t>, and a</w:t>
      </w:r>
      <w:r w:rsidR="007D5738" w:rsidRPr="007E50F7">
        <w:t xml:space="preserve">pplying at least a first block will </w:t>
      </w:r>
      <w:r w:rsidR="00F57E37" w:rsidRPr="007E50F7">
        <w:t xml:space="preserve">provide a more </w:t>
      </w:r>
      <w:r w:rsidR="007D5738" w:rsidRPr="007E50F7">
        <w:t>meaningful price signal for customers to conserve, or at least discourage wasteful use, and reflects some of the future social costs which are so</w:t>
      </w:r>
      <w:r w:rsidR="00751AB5" w:rsidRPr="007E50F7">
        <w:t>und rate structure attributes.</w:t>
      </w:r>
    </w:p>
    <w:p w14:paraId="6CFC0E88" w14:textId="77777777" w:rsidR="00243D59" w:rsidRPr="007E50F7" w:rsidRDefault="00F57E37" w:rsidP="00751AB5">
      <w:pPr>
        <w:pStyle w:val="Answer-Testimony"/>
        <w:ind w:firstLine="720"/>
      </w:pPr>
      <w:r w:rsidRPr="007E50F7">
        <w:t xml:space="preserve">It may seem like a </w:t>
      </w:r>
      <w:r w:rsidR="00751AB5" w:rsidRPr="007E50F7">
        <w:t xml:space="preserve">usage block </w:t>
      </w:r>
      <w:r w:rsidRPr="007E50F7">
        <w:t xml:space="preserve">is not </w:t>
      </w:r>
      <w:r w:rsidR="007D5738" w:rsidRPr="007E50F7">
        <w:t>needed</w:t>
      </w:r>
      <w:r w:rsidRPr="007E50F7">
        <w:t xml:space="preserve"> because of the recent </w:t>
      </w:r>
      <w:r w:rsidR="00E90016" w:rsidRPr="007E50F7">
        <w:t xml:space="preserve">surge </w:t>
      </w:r>
      <w:r w:rsidRPr="007E50F7">
        <w:t xml:space="preserve">in supply of </w:t>
      </w:r>
      <w:r w:rsidR="00E90016" w:rsidRPr="007E50F7">
        <w:t>natural gas through advanced exploration and production technologies, such as hydraulic fracturing and horizontal drilling</w:t>
      </w:r>
      <w:r w:rsidRPr="007E50F7">
        <w:t>.</w:t>
      </w:r>
      <w:r w:rsidR="007D5738" w:rsidRPr="007E50F7">
        <w:t xml:space="preserve"> </w:t>
      </w:r>
      <w:r w:rsidRPr="007E50F7">
        <w:t xml:space="preserve">However, </w:t>
      </w:r>
      <w:r w:rsidR="00E90016" w:rsidRPr="007E50F7">
        <w:t>we should not take these current abundant resources for granted</w:t>
      </w:r>
      <w:r w:rsidR="007D5738" w:rsidRPr="007E50F7">
        <w:t>.</w:t>
      </w:r>
    </w:p>
    <w:p w14:paraId="6CFC0E89" w14:textId="77777777" w:rsidR="00CB5292" w:rsidRPr="007E50F7" w:rsidRDefault="00CB5292" w:rsidP="00CB5292">
      <w:pPr>
        <w:pStyle w:val="BodyTextIndent"/>
        <w:ind w:left="0" w:firstLine="0"/>
        <w:rPr>
          <w:b/>
        </w:rPr>
      </w:pPr>
    </w:p>
    <w:p w14:paraId="6CFC0E8A" w14:textId="77777777" w:rsidR="00CB5292" w:rsidRPr="007E50F7" w:rsidRDefault="00CB5292" w:rsidP="00CB5292">
      <w:pPr>
        <w:pStyle w:val="Question-Testimony"/>
      </w:pPr>
      <w:r w:rsidRPr="007E50F7">
        <w:t>Q.</w:t>
      </w:r>
      <w:r w:rsidRPr="007E50F7">
        <w:tab/>
        <w:t>D</w:t>
      </w:r>
      <w:r w:rsidR="00F57E37" w:rsidRPr="007E50F7">
        <w:t xml:space="preserve">id </w:t>
      </w:r>
      <w:r w:rsidRPr="007E50F7">
        <w:t>Staff have any concerns about creating a 70 therms usage block?</w:t>
      </w:r>
    </w:p>
    <w:p w14:paraId="6CFC0E8B" w14:textId="77777777" w:rsidR="00C43295" w:rsidRPr="007E50F7" w:rsidRDefault="00CB5292" w:rsidP="00C52D7E">
      <w:pPr>
        <w:pStyle w:val="Answer-Testimony"/>
      </w:pPr>
      <w:r w:rsidRPr="007E50F7">
        <w:t>A.</w:t>
      </w:r>
      <w:r w:rsidRPr="007E50F7">
        <w:tab/>
        <w:t xml:space="preserve">Yes.  Staff </w:t>
      </w:r>
      <w:r w:rsidR="00255414" w:rsidRPr="007E50F7">
        <w:t>ha</w:t>
      </w:r>
      <w:r w:rsidR="00C52D7E" w:rsidRPr="007E50F7">
        <w:t>d</w:t>
      </w:r>
      <w:r w:rsidR="00255414" w:rsidRPr="007E50F7">
        <w:t xml:space="preserve"> </w:t>
      </w:r>
      <w:r w:rsidR="00B552AA" w:rsidRPr="007E50F7">
        <w:t xml:space="preserve">a </w:t>
      </w:r>
      <w:r w:rsidR="00255414" w:rsidRPr="007E50F7">
        <w:t>concern about applying a residential block to a</w:t>
      </w:r>
      <w:r w:rsidR="00C52D7E" w:rsidRPr="007E50F7">
        <w:t xml:space="preserve"> tariff that is labeled “G</w:t>
      </w:r>
      <w:r w:rsidR="00255414" w:rsidRPr="007E50F7">
        <w:t xml:space="preserve">eneral </w:t>
      </w:r>
      <w:r w:rsidR="00C52D7E" w:rsidRPr="007E50F7">
        <w:t>S</w:t>
      </w:r>
      <w:r w:rsidR="00255414" w:rsidRPr="007E50F7">
        <w:t>ervice</w:t>
      </w:r>
      <w:r w:rsidR="008275FE" w:rsidRPr="007E50F7">
        <w:t>.</w:t>
      </w:r>
      <w:r w:rsidR="00C52D7E" w:rsidRPr="007E50F7">
        <w:t>”</w:t>
      </w:r>
      <w:r w:rsidR="00F57E37" w:rsidRPr="007E50F7">
        <w:t xml:space="preserve">  However, the facts show </w:t>
      </w:r>
      <w:r w:rsidR="008275FE" w:rsidRPr="007E50F7">
        <w:t xml:space="preserve">for </w:t>
      </w:r>
      <w:r w:rsidR="00255414" w:rsidRPr="007E50F7">
        <w:t>General Service Schedule 101</w:t>
      </w:r>
      <w:r w:rsidR="008275FE" w:rsidRPr="007E50F7">
        <w:t>,</w:t>
      </w:r>
      <w:r w:rsidR="00F57E37" w:rsidRPr="007E50F7">
        <w:t xml:space="preserve"> </w:t>
      </w:r>
      <w:r w:rsidR="00255414" w:rsidRPr="007E50F7">
        <w:t xml:space="preserve">91.8 percent is residential, 8.1 percent is commercial, </w:t>
      </w:r>
      <w:r w:rsidR="004B1F6A" w:rsidRPr="007E50F7">
        <w:t>and 0.1 percent is industrial.</w:t>
      </w:r>
      <w:r w:rsidR="008275FE" w:rsidRPr="007E50F7">
        <w:t xml:space="preserve">  </w:t>
      </w:r>
      <w:r w:rsidR="00F57E37" w:rsidRPr="007E50F7">
        <w:t xml:space="preserve">Moreover, </w:t>
      </w:r>
      <w:r w:rsidR="00C52D7E" w:rsidRPr="007E50F7">
        <w:t xml:space="preserve">bill frequency </w:t>
      </w:r>
      <w:r w:rsidR="00F57E37" w:rsidRPr="007E50F7">
        <w:t xml:space="preserve">analysis shows </w:t>
      </w:r>
      <w:r w:rsidR="00255414" w:rsidRPr="007E50F7">
        <w:t xml:space="preserve">the majority of the usage </w:t>
      </w:r>
      <w:r w:rsidR="00F57E37" w:rsidRPr="007E50F7">
        <w:t xml:space="preserve">in Schedule 101 customers </w:t>
      </w:r>
      <w:r w:rsidR="00255414" w:rsidRPr="007E50F7">
        <w:t>is below 70 therms per month.</w:t>
      </w:r>
      <w:r w:rsidR="00255414" w:rsidRPr="007E50F7">
        <w:rPr>
          <w:rStyle w:val="FootnoteReference"/>
        </w:rPr>
        <w:footnoteReference w:id="38"/>
      </w:r>
      <w:r w:rsidR="00F57E37" w:rsidRPr="007E50F7">
        <w:t xml:space="preserve">  Therefore, it is reasonable to create this block in Schedule 101.</w:t>
      </w:r>
    </w:p>
    <w:p w14:paraId="6CFC0E8C" w14:textId="77777777" w:rsidR="00C52D7E" w:rsidRDefault="00C52D7E" w:rsidP="00C52D7E">
      <w:pPr>
        <w:pStyle w:val="BodyTextIndent"/>
        <w:ind w:left="0" w:firstLine="0"/>
        <w:rPr>
          <w:b/>
        </w:rPr>
      </w:pPr>
    </w:p>
    <w:p w14:paraId="6CFC0E8D" w14:textId="77777777" w:rsidR="003F7A18" w:rsidRPr="007E50F7" w:rsidRDefault="003F7A18" w:rsidP="00C52D7E">
      <w:pPr>
        <w:pStyle w:val="BodyTextIndent"/>
        <w:ind w:left="0" w:firstLine="0"/>
        <w:rPr>
          <w:b/>
        </w:rPr>
      </w:pPr>
      <w:r>
        <w:rPr>
          <w:b/>
        </w:rPr>
        <w:tab/>
      </w:r>
      <w:r>
        <w:rPr>
          <w:b/>
        </w:rPr>
        <w:tab/>
        <w:t>3.</w:t>
      </w:r>
      <w:r>
        <w:rPr>
          <w:b/>
        </w:rPr>
        <w:tab/>
        <w:t>Volumetric Rates</w:t>
      </w:r>
    </w:p>
    <w:p w14:paraId="6CFC0E8E" w14:textId="77777777" w:rsidR="00784E87" w:rsidRPr="007E50F7" w:rsidRDefault="00784E87" w:rsidP="00C52D7E">
      <w:pPr>
        <w:pStyle w:val="BodyTextIndent"/>
        <w:ind w:left="0" w:firstLine="0"/>
        <w:rPr>
          <w:b/>
        </w:rPr>
      </w:pPr>
    </w:p>
    <w:p w14:paraId="6CFC0E8F" w14:textId="77777777" w:rsidR="00C52D7E" w:rsidRPr="007E50F7" w:rsidRDefault="00C52D7E" w:rsidP="00C52D7E">
      <w:pPr>
        <w:pStyle w:val="Question-Testimony"/>
      </w:pPr>
      <w:r w:rsidRPr="007E50F7">
        <w:t>Q.</w:t>
      </w:r>
      <w:r w:rsidRPr="007E50F7">
        <w:tab/>
        <w:t xml:space="preserve">How did Staff set the </w:t>
      </w:r>
      <w:r w:rsidR="0065148E" w:rsidRPr="007E50F7">
        <w:t>r</w:t>
      </w:r>
      <w:r w:rsidRPr="007E50F7">
        <w:t>ate</w:t>
      </w:r>
      <w:r w:rsidR="0065148E" w:rsidRPr="007E50F7">
        <w:t xml:space="preserve"> per therm</w:t>
      </w:r>
      <w:r w:rsidRPr="007E50F7">
        <w:t xml:space="preserve"> for </w:t>
      </w:r>
      <w:r w:rsidR="00F57E37" w:rsidRPr="007E50F7">
        <w:t xml:space="preserve">the new </w:t>
      </w:r>
      <w:r w:rsidR="0065148E" w:rsidRPr="007E50F7">
        <w:t xml:space="preserve">usage </w:t>
      </w:r>
      <w:r w:rsidR="00F57E37" w:rsidRPr="007E50F7">
        <w:t>block in Schedule 101</w:t>
      </w:r>
      <w:r w:rsidRPr="007E50F7">
        <w:t>?</w:t>
      </w:r>
    </w:p>
    <w:p w14:paraId="6CFC0E90" w14:textId="77777777" w:rsidR="005D1E84" w:rsidRPr="007E50F7" w:rsidRDefault="00C52D7E" w:rsidP="005D1E84">
      <w:pPr>
        <w:pStyle w:val="Answer-Testimony"/>
      </w:pPr>
      <w:r w:rsidRPr="007E50F7">
        <w:t>A.</w:t>
      </w:r>
      <w:r w:rsidRPr="007E50F7">
        <w:tab/>
        <w:t>Staff</w:t>
      </w:r>
      <w:r w:rsidR="005D1E84" w:rsidRPr="007E50F7">
        <w:t xml:space="preserve"> </w:t>
      </w:r>
      <w:r w:rsidR="00F57E37" w:rsidRPr="007E50F7">
        <w:t xml:space="preserve">analyzed the </w:t>
      </w:r>
      <w:r w:rsidR="005D1E84" w:rsidRPr="007E50F7">
        <w:t xml:space="preserve">price point </w:t>
      </w:r>
      <w:r w:rsidR="00F57E37" w:rsidRPr="007E50F7">
        <w:t xml:space="preserve">at which </w:t>
      </w:r>
      <w:r w:rsidR="005D1E84" w:rsidRPr="007E50F7">
        <w:t>General Service customers become Large General Service (Schedule 111 and 112) customers</w:t>
      </w:r>
      <w:r w:rsidR="00F57E37" w:rsidRPr="007E50F7">
        <w:t xml:space="preserve">.  This price point is </w:t>
      </w:r>
      <w:r w:rsidR="005D1E84" w:rsidRPr="007E50F7">
        <w:t>well-defined at 200 therms per month.</w:t>
      </w:r>
      <w:r w:rsidR="005D1E84" w:rsidRPr="007E50F7">
        <w:rPr>
          <w:rStyle w:val="FootnoteReference"/>
        </w:rPr>
        <w:footnoteReference w:id="39"/>
      </w:r>
      <w:r w:rsidR="005D1E84" w:rsidRPr="007E50F7">
        <w:t xml:space="preserve">  </w:t>
      </w:r>
      <w:r w:rsidR="00F57E37" w:rsidRPr="007E50F7">
        <w:t xml:space="preserve">At 200 therms per month, it is </w:t>
      </w:r>
      <w:r w:rsidR="005D1E84" w:rsidRPr="007E50F7">
        <w:t xml:space="preserve">reasonable for </w:t>
      </w:r>
      <w:r w:rsidR="00F57E37" w:rsidRPr="007E50F7">
        <w:t xml:space="preserve">a </w:t>
      </w:r>
      <w:r w:rsidR="005D1E84" w:rsidRPr="007E50F7">
        <w:t>General Service customer to shift to Large General Service because at this usage point</w:t>
      </w:r>
      <w:r w:rsidR="00F57E37" w:rsidRPr="007E50F7">
        <w:t>,</w:t>
      </w:r>
      <w:r w:rsidR="005D1E84" w:rsidRPr="007E50F7">
        <w:t xml:space="preserve"> </w:t>
      </w:r>
      <w:r w:rsidR="00D94687" w:rsidRPr="007E50F7">
        <w:t xml:space="preserve">Large General Service customers </w:t>
      </w:r>
      <w:r w:rsidR="005D1E84" w:rsidRPr="007E50F7">
        <w:t>would be</w:t>
      </w:r>
      <w:r w:rsidR="00D94687" w:rsidRPr="007E50F7">
        <w:t xml:space="preserve"> going into the next usage block</w:t>
      </w:r>
      <w:r w:rsidR="00F57E37" w:rsidRPr="007E50F7">
        <w:t>.  T</w:t>
      </w:r>
      <w:r w:rsidR="005D1E84" w:rsidRPr="007E50F7">
        <w:t xml:space="preserve">herefore, Staff </w:t>
      </w:r>
      <w:r w:rsidR="00F57E37" w:rsidRPr="007E50F7">
        <w:t>essentially “</w:t>
      </w:r>
      <w:r w:rsidR="005D1E84" w:rsidRPr="007E50F7">
        <w:t>back</w:t>
      </w:r>
      <w:r w:rsidR="00F57E37" w:rsidRPr="007E50F7">
        <w:t>ed</w:t>
      </w:r>
      <w:r w:rsidR="005D1E84" w:rsidRPr="007E50F7">
        <w:t xml:space="preserve"> into</w:t>
      </w:r>
      <w:r w:rsidR="00F57E37" w:rsidRPr="007E50F7">
        <w:t>”</w:t>
      </w:r>
      <w:r w:rsidR="005D1E84" w:rsidRPr="007E50F7">
        <w:t xml:space="preserve"> </w:t>
      </w:r>
      <w:r w:rsidR="001F5956" w:rsidRPr="007E50F7">
        <w:t>a</w:t>
      </w:r>
      <w:r w:rsidR="005D1E84" w:rsidRPr="007E50F7">
        <w:t xml:space="preserve"> rate per therm </w:t>
      </w:r>
      <w:r w:rsidR="001F5956" w:rsidRPr="007E50F7">
        <w:t xml:space="preserve">that would </w:t>
      </w:r>
      <w:r w:rsidR="005D1E84" w:rsidRPr="007E50F7">
        <w:t xml:space="preserve">get a </w:t>
      </w:r>
      <w:r w:rsidR="00D94687" w:rsidRPr="007E50F7">
        <w:t xml:space="preserve">total bill </w:t>
      </w:r>
      <w:r w:rsidR="001F5956" w:rsidRPr="007E50F7">
        <w:t>for 200 therms that e</w:t>
      </w:r>
      <w:r w:rsidR="005D1E84" w:rsidRPr="007E50F7">
        <w:t>qual</w:t>
      </w:r>
      <w:r w:rsidR="001F5956" w:rsidRPr="007E50F7">
        <w:t>s</w:t>
      </w:r>
      <w:r w:rsidR="005D1E84" w:rsidRPr="007E50F7">
        <w:t xml:space="preserve"> </w:t>
      </w:r>
      <w:r w:rsidR="001F5956" w:rsidRPr="007E50F7">
        <w:t xml:space="preserve">the same amount regardless whether the customer was using </w:t>
      </w:r>
      <w:r w:rsidR="00D94687" w:rsidRPr="007E50F7">
        <w:t>S</w:t>
      </w:r>
      <w:r w:rsidR="005D1E84" w:rsidRPr="007E50F7">
        <w:t>chedule</w:t>
      </w:r>
      <w:r w:rsidR="001F5956" w:rsidRPr="007E50F7">
        <w:t xml:space="preserve"> 101 or Schedule 111.</w:t>
      </w:r>
      <w:r w:rsidR="005D1E84" w:rsidRPr="007E50F7">
        <w:t xml:space="preserve">  Depending on the revenue requirement the Commission </w:t>
      </w:r>
      <w:r w:rsidR="00F57E37" w:rsidRPr="007E50F7">
        <w:t xml:space="preserve">ultimately determines, </w:t>
      </w:r>
      <w:r w:rsidR="005D1E84" w:rsidRPr="007E50F7">
        <w:t xml:space="preserve">the range for the rate per therm for the newly </w:t>
      </w:r>
      <w:r w:rsidR="005D1E84" w:rsidRPr="007E50F7">
        <w:lastRenderedPageBreak/>
        <w:t xml:space="preserve">created </w:t>
      </w:r>
      <w:r w:rsidR="00F57E37" w:rsidRPr="007E50F7">
        <w:t xml:space="preserve">70 therm </w:t>
      </w:r>
      <w:r w:rsidR="005D1E84" w:rsidRPr="007E50F7">
        <w:t>block is between</w:t>
      </w:r>
      <w:r w:rsidR="004C774D" w:rsidRPr="007E50F7">
        <w:t xml:space="preserve"> approximately</w:t>
      </w:r>
      <w:r w:rsidR="005D1E84" w:rsidRPr="007E50F7">
        <w:t xml:space="preserve"> </w:t>
      </w:r>
      <w:r w:rsidR="003C3F25" w:rsidRPr="007E50F7">
        <w:t>5</w:t>
      </w:r>
      <w:r w:rsidR="005D1E84" w:rsidRPr="007E50F7">
        <w:t>.</w:t>
      </w:r>
      <w:r w:rsidR="00512E81" w:rsidRPr="007E50F7">
        <w:t>0</w:t>
      </w:r>
      <w:r w:rsidR="005D1E84" w:rsidRPr="007E50F7">
        <w:t xml:space="preserve"> to </w:t>
      </w:r>
      <w:r w:rsidR="003C3F25" w:rsidRPr="007E50F7">
        <w:t>18</w:t>
      </w:r>
      <w:r w:rsidR="005D1E84" w:rsidRPr="007E50F7">
        <w:t>.0 cents per therm</w:t>
      </w:r>
      <w:r w:rsidR="00560EDE" w:rsidRPr="007E50F7">
        <w:t xml:space="preserve"> greater</w:t>
      </w:r>
      <w:r w:rsidR="005D1E84" w:rsidRPr="007E50F7">
        <w:t xml:space="preserve">.  Staff’s </w:t>
      </w:r>
      <w:r w:rsidR="001F4EBF" w:rsidRPr="007E50F7">
        <w:t xml:space="preserve">proposed </w:t>
      </w:r>
      <w:r w:rsidR="005D1E84" w:rsidRPr="007E50F7">
        <w:t>rate per therm is</w:t>
      </w:r>
      <w:r w:rsidR="00CB3E0A" w:rsidRPr="007E50F7">
        <w:t xml:space="preserve"> approximately</w:t>
      </w:r>
      <w:r w:rsidR="005D1E84" w:rsidRPr="007E50F7">
        <w:t xml:space="preserve"> </w:t>
      </w:r>
      <w:r w:rsidR="00560EDE" w:rsidRPr="007E50F7">
        <w:t>10</w:t>
      </w:r>
      <w:r w:rsidR="005D1E84" w:rsidRPr="007E50F7">
        <w:t>.</w:t>
      </w:r>
      <w:r w:rsidR="00560EDE" w:rsidRPr="007E50F7">
        <w:t>0</w:t>
      </w:r>
      <w:r w:rsidR="005D1E84" w:rsidRPr="007E50F7">
        <w:t xml:space="preserve"> cents</w:t>
      </w:r>
      <w:r w:rsidR="00560EDE" w:rsidRPr="007E50F7">
        <w:t xml:space="preserve"> greater</w:t>
      </w:r>
      <w:r w:rsidR="005D1E84" w:rsidRPr="007E50F7">
        <w:t>.</w:t>
      </w:r>
    </w:p>
    <w:p w14:paraId="6CFC0E91" w14:textId="77777777" w:rsidR="00616056" w:rsidRPr="007E50F7" w:rsidRDefault="00616056" w:rsidP="005D1E84">
      <w:pPr>
        <w:pStyle w:val="Answer-Testimony"/>
      </w:pPr>
      <w:r w:rsidRPr="007E50F7">
        <w:tab/>
      </w:r>
      <w:r w:rsidRPr="007E50F7">
        <w:tab/>
        <w:t xml:space="preserve">The following </w:t>
      </w:r>
      <w:r w:rsidR="00BD6004" w:rsidRPr="007E50F7">
        <w:t xml:space="preserve">shows how </w:t>
      </w:r>
      <w:r w:rsidRPr="007E50F7">
        <w:t xml:space="preserve">to calculate </w:t>
      </w:r>
      <w:r w:rsidR="00BD6004" w:rsidRPr="007E50F7">
        <w:t>this</w:t>
      </w:r>
      <w:r w:rsidR="00471089" w:rsidRPr="007E50F7">
        <w:t xml:space="preserve"> rate using Staff’s</w:t>
      </w:r>
      <w:r w:rsidR="00560EDE" w:rsidRPr="007E50F7">
        <w:t xml:space="preserve"> </w:t>
      </w:r>
      <w:r w:rsidR="003C3F25" w:rsidRPr="007E50F7">
        <w:t xml:space="preserve">rate design </w:t>
      </w:r>
      <w:r w:rsidR="00560EDE" w:rsidRPr="007E50F7">
        <w:t>work papers</w:t>
      </w:r>
      <w:r w:rsidR="008275FE" w:rsidRPr="007E50F7">
        <w:t>, step by step</w:t>
      </w:r>
      <w:r w:rsidRPr="007E50F7">
        <w:t>:</w:t>
      </w:r>
    </w:p>
    <w:p w14:paraId="6CFC0E92" w14:textId="77777777" w:rsidR="00BD6004" w:rsidRPr="007E50F7" w:rsidRDefault="00560EDE" w:rsidP="00BD6004">
      <w:pPr>
        <w:pStyle w:val="Answer-Testimony"/>
        <w:numPr>
          <w:ilvl w:val="0"/>
          <w:numId w:val="44"/>
        </w:numPr>
      </w:pPr>
      <w:r w:rsidRPr="007E50F7">
        <w:t>I</w:t>
      </w:r>
      <w:r w:rsidR="00616056" w:rsidRPr="007E50F7">
        <w:t>nput the monthly customer charge</w:t>
      </w:r>
      <w:r w:rsidR="00471089" w:rsidRPr="007E50F7">
        <w:t xml:space="preserve"> for General Service Schedule 101</w:t>
      </w:r>
      <w:r w:rsidR="008275FE" w:rsidRPr="007E50F7">
        <w:t>.</w:t>
      </w:r>
    </w:p>
    <w:p w14:paraId="6CFC0E93" w14:textId="77777777" w:rsidR="00BD6004" w:rsidRPr="007E50F7" w:rsidRDefault="00560EDE" w:rsidP="00BD6004">
      <w:pPr>
        <w:pStyle w:val="Answer-Testimony"/>
        <w:numPr>
          <w:ilvl w:val="0"/>
          <w:numId w:val="44"/>
        </w:numPr>
      </w:pPr>
      <w:r w:rsidRPr="007E50F7">
        <w:t>I</w:t>
      </w:r>
      <w:r w:rsidR="00BD6004" w:rsidRPr="007E50F7">
        <w:t>ncrease the uniform percentage rate t</w:t>
      </w:r>
      <w:r w:rsidRPr="007E50F7">
        <w:t>o reflect zero revenue remaining</w:t>
      </w:r>
      <w:r w:rsidR="008275FE" w:rsidRPr="007E50F7">
        <w:t>.</w:t>
      </w:r>
    </w:p>
    <w:p w14:paraId="6CFC0E94" w14:textId="77777777" w:rsidR="00BD6004" w:rsidRPr="007E50F7" w:rsidRDefault="00BD6004" w:rsidP="00BD6004">
      <w:pPr>
        <w:pStyle w:val="Answer-Testimony"/>
        <w:numPr>
          <w:ilvl w:val="0"/>
          <w:numId w:val="44"/>
        </w:numPr>
      </w:pPr>
      <w:r w:rsidRPr="007E50F7">
        <w:t xml:space="preserve">Repeat steps 1 </w:t>
      </w:r>
      <w:r w:rsidR="007B7920" w:rsidRPr="007E50F7">
        <w:t xml:space="preserve">and </w:t>
      </w:r>
      <w:r w:rsidRPr="007E50F7">
        <w:t>2 for the other Schedules.</w:t>
      </w:r>
    </w:p>
    <w:p w14:paraId="6CFC0E95" w14:textId="77777777" w:rsidR="00BD6004" w:rsidRPr="007E50F7" w:rsidRDefault="00560EDE" w:rsidP="00BD6004">
      <w:pPr>
        <w:pStyle w:val="Answer-Testimony"/>
        <w:numPr>
          <w:ilvl w:val="0"/>
          <w:numId w:val="44"/>
        </w:numPr>
      </w:pPr>
      <w:r w:rsidRPr="007E50F7">
        <w:t>O</w:t>
      </w:r>
      <w:r w:rsidR="00BD6004" w:rsidRPr="007E50F7">
        <w:t xml:space="preserve">n the </w:t>
      </w:r>
      <w:r w:rsidRPr="007E50F7">
        <w:t xml:space="preserve">“Breakeven Proof Calc.” </w:t>
      </w:r>
      <w:r w:rsidR="00BD6004" w:rsidRPr="007E50F7">
        <w:t>at 200 therms compare “</w:t>
      </w:r>
      <w:r w:rsidRPr="007E50F7">
        <w:t>101</w:t>
      </w:r>
      <w:r w:rsidR="00BD6004" w:rsidRPr="007E50F7">
        <w:t xml:space="preserve">” to “111” to see how much </w:t>
      </w:r>
      <w:r w:rsidR="00471089" w:rsidRPr="007E50F7">
        <w:t xml:space="preserve">the total customer bill </w:t>
      </w:r>
      <w:r w:rsidR="006D7010" w:rsidRPr="007E50F7">
        <w:t>differ</w:t>
      </w:r>
      <w:r w:rsidRPr="007E50F7">
        <w:t>s</w:t>
      </w:r>
      <w:r w:rsidR="006D7010" w:rsidRPr="007E50F7">
        <w:t xml:space="preserve"> by</w:t>
      </w:r>
      <w:r w:rsidR="00471089" w:rsidRPr="007E50F7">
        <w:t>.</w:t>
      </w:r>
    </w:p>
    <w:p w14:paraId="6CFC0E96" w14:textId="77777777" w:rsidR="00BD6004" w:rsidRPr="007E50F7" w:rsidRDefault="00560EDE" w:rsidP="00BD6004">
      <w:pPr>
        <w:pStyle w:val="Answer-Testimony"/>
        <w:numPr>
          <w:ilvl w:val="0"/>
          <w:numId w:val="44"/>
        </w:numPr>
      </w:pPr>
      <w:r w:rsidRPr="007E50F7">
        <w:t>I</w:t>
      </w:r>
      <w:r w:rsidR="00424933" w:rsidRPr="007E50F7">
        <w:t>ncrease the</w:t>
      </w:r>
      <w:r w:rsidR="006D7010" w:rsidRPr="007E50F7">
        <w:t xml:space="preserve"> </w:t>
      </w:r>
      <w:r w:rsidRPr="007E50F7">
        <w:t>last</w:t>
      </w:r>
      <w:r w:rsidR="00424933" w:rsidRPr="007E50F7">
        <w:t xml:space="preserve"> calculated therm rate </w:t>
      </w:r>
      <w:r w:rsidRPr="007E50F7">
        <w:t xml:space="preserve">for General Service Schedule 101 </w:t>
      </w:r>
      <w:r w:rsidR="006D7010" w:rsidRPr="007E50F7">
        <w:t>until the crossover at 200 therms equal the same total customer bill for both “</w:t>
      </w:r>
      <w:r w:rsidRPr="007E50F7">
        <w:t>101</w:t>
      </w:r>
      <w:r w:rsidR="006D7010" w:rsidRPr="007E50F7">
        <w:t>” and “111”</w:t>
      </w:r>
      <w:r w:rsidR="008275FE" w:rsidRPr="007E50F7">
        <w:t>.</w:t>
      </w:r>
    </w:p>
    <w:p w14:paraId="6CFC0E97" w14:textId="77777777" w:rsidR="00471089" w:rsidRPr="007E50F7" w:rsidRDefault="00471089" w:rsidP="00BD6004">
      <w:pPr>
        <w:pStyle w:val="Answer-Testimony"/>
        <w:numPr>
          <w:ilvl w:val="0"/>
          <w:numId w:val="44"/>
        </w:numPr>
      </w:pPr>
      <w:r w:rsidRPr="007E50F7">
        <w:t xml:space="preserve">A couple of iterations of steps 4 </w:t>
      </w:r>
      <w:r w:rsidR="00560EDE" w:rsidRPr="007E50F7">
        <w:t>and 5 might be needed.</w:t>
      </w:r>
    </w:p>
    <w:p w14:paraId="6CFC0E98" w14:textId="77777777" w:rsidR="00C52D7E" w:rsidRPr="007E50F7" w:rsidRDefault="00C52D7E" w:rsidP="00C52D7E">
      <w:pPr>
        <w:pStyle w:val="Answer-Testimony"/>
      </w:pPr>
    </w:p>
    <w:p w14:paraId="6CFC0E99" w14:textId="77777777" w:rsidR="00E1258C" w:rsidRPr="007E50F7" w:rsidRDefault="00E1258C" w:rsidP="00E1258C">
      <w:pPr>
        <w:pStyle w:val="Question-Testimony"/>
      </w:pPr>
      <w:r w:rsidRPr="007E50F7">
        <w:t>Q.</w:t>
      </w:r>
      <w:r w:rsidRPr="007E50F7">
        <w:tab/>
      </w:r>
      <w:r w:rsidR="001F4EBF" w:rsidRPr="007E50F7">
        <w:t xml:space="preserve">Do you have </w:t>
      </w:r>
      <w:r w:rsidRPr="007E50F7">
        <w:t xml:space="preserve">any other </w:t>
      </w:r>
      <w:r w:rsidR="00751AB5" w:rsidRPr="007E50F7">
        <w:t xml:space="preserve">rate design </w:t>
      </w:r>
      <w:r w:rsidRPr="007E50F7">
        <w:t>recommendations?</w:t>
      </w:r>
    </w:p>
    <w:p w14:paraId="6CFC0E9A" w14:textId="77777777" w:rsidR="00E1258C" w:rsidRPr="007E50F7" w:rsidRDefault="00E1258C" w:rsidP="00E1258C">
      <w:pPr>
        <w:pStyle w:val="Answer-Testimony"/>
      </w:pPr>
      <w:r w:rsidRPr="007E50F7">
        <w:t>A.</w:t>
      </w:r>
      <w:r w:rsidRPr="007E50F7">
        <w:tab/>
        <w:t>Yes.  Staff recommends the Commission direct the Company</w:t>
      </w:r>
      <w:r w:rsidR="00C10DD7" w:rsidRPr="007E50F7">
        <w:t xml:space="preserve"> to</w:t>
      </w:r>
      <w:r w:rsidRPr="007E50F7">
        <w:t xml:space="preserve"> </w:t>
      </w:r>
      <w:r w:rsidR="006E5A56" w:rsidRPr="007E50F7">
        <w:t>study interruptible rate (Schedules 131 and 132) offerings</w:t>
      </w:r>
      <w:r w:rsidR="005C2D8C" w:rsidRPr="007E50F7">
        <w:t xml:space="preserve"> and require</w:t>
      </w:r>
      <w:r w:rsidR="00751AB5" w:rsidRPr="007E50F7">
        <w:t xml:space="preserve"> the Company to</w:t>
      </w:r>
      <w:r w:rsidR="005C2D8C" w:rsidRPr="007E50F7">
        <w:t xml:space="preserve"> assur</w:t>
      </w:r>
      <w:r w:rsidR="00751AB5" w:rsidRPr="007E50F7">
        <w:t>e</w:t>
      </w:r>
      <w:r w:rsidR="005C2D8C" w:rsidRPr="007E50F7">
        <w:t xml:space="preserve"> that</w:t>
      </w:r>
      <w:r w:rsidR="00751AB5" w:rsidRPr="007E50F7">
        <w:t xml:space="preserve"> there is sufficient justification for the </w:t>
      </w:r>
      <w:r w:rsidR="005C2D8C" w:rsidRPr="007E50F7">
        <w:t>discount</w:t>
      </w:r>
      <w:r w:rsidR="003F20DF" w:rsidRPr="007E50F7">
        <w:t>ed</w:t>
      </w:r>
      <w:r w:rsidR="005C2D8C" w:rsidRPr="007E50F7">
        <w:t xml:space="preserve"> rate</w:t>
      </w:r>
      <w:r w:rsidR="006E5A56" w:rsidRPr="007E50F7">
        <w:t>.</w:t>
      </w:r>
    </w:p>
    <w:p w14:paraId="6CFC0E9B" w14:textId="77777777" w:rsidR="00E1258C" w:rsidRPr="007E50F7" w:rsidRDefault="00E1258C" w:rsidP="00E1258C">
      <w:pPr>
        <w:pStyle w:val="Answer-Testimony"/>
      </w:pPr>
    </w:p>
    <w:p w14:paraId="6CFC0E9C" w14:textId="77777777" w:rsidR="00E1258C" w:rsidRPr="007E50F7" w:rsidRDefault="00E1258C" w:rsidP="00E1258C">
      <w:pPr>
        <w:pStyle w:val="Question-Testimony"/>
      </w:pPr>
      <w:r w:rsidRPr="007E50F7">
        <w:t>Q.</w:t>
      </w:r>
      <w:r w:rsidRPr="007E50F7">
        <w:tab/>
        <w:t>What is the basis for this recommendation?</w:t>
      </w:r>
    </w:p>
    <w:p w14:paraId="6CFC0E9D" w14:textId="77777777" w:rsidR="00751AB5" w:rsidRPr="007E50F7" w:rsidRDefault="00E1258C" w:rsidP="006E5A56">
      <w:pPr>
        <w:pStyle w:val="Answer-Testimony"/>
      </w:pPr>
      <w:r w:rsidRPr="007E50F7">
        <w:t>A.</w:t>
      </w:r>
      <w:r w:rsidRPr="007E50F7">
        <w:tab/>
        <w:t>The Company’s response to Staff Data Request 003 stated</w:t>
      </w:r>
      <w:r w:rsidR="006E5A56" w:rsidRPr="007E50F7">
        <w:t>,</w:t>
      </w:r>
      <w:r w:rsidRPr="007E50F7">
        <w:t xml:space="preserve"> </w:t>
      </w:r>
      <w:r w:rsidR="001F4EBF" w:rsidRPr="007E50F7">
        <w:t xml:space="preserve">in part, </w:t>
      </w:r>
      <w:r w:rsidR="006E5A56" w:rsidRPr="007E50F7">
        <w:t>“the Company has not interrupted any of its Schedules 131 and 132 (Interruptible Service) from 2002 through 2011</w:t>
      </w:r>
      <w:r w:rsidR="008275FE" w:rsidRPr="007E50F7">
        <w:t>.</w:t>
      </w:r>
      <w:r w:rsidR="006E5A56" w:rsidRPr="007E50F7">
        <w:t>”</w:t>
      </w:r>
    </w:p>
    <w:p w14:paraId="6CFC0E9E" w14:textId="77777777" w:rsidR="001F1BF2" w:rsidRPr="007E50F7" w:rsidRDefault="00751AB5" w:rsidP="00751AB5">
      <w:pPr>
        <w:pStyle w:val="Answer-Testimony"/>
        <w:ind w:firstLine="720"/>
      </w:pPr>
      <w:r w:rsidRPr="007E50F7">
        <w:lastRenderedPageBreak/>
        <w:t>The Commission has expressed concerns about interruptible cu</w:t>
      </w:r>
      <w:r w:rsidR="008275FE" w:rsidRPr="007E50F7">
        <w:t>stomers paying their fair share:</w:t>
      </w:r>
    </w:p>
    <w:p w14:paraId="6CFC0E9F" w14:textId="77777777" w:rsidR="00751AB5" w:rsidRPr="007E50F7" w:rsidRDefault="00E1258C" w:rsidP="0040325B">
      <w:pPr>
        <w:pStyle w:val="Answer-Testimony"/>
        <w:spacing w:line="240" w:lineRule="auto"/>
        <w:ind w:left="1440" w:firstLine="0"/>
      </w:pPr>
      <w:r w:rsidRPr="007E50F7">
        <w:t xml:space="preserve">We </w:t>
      </w:r>
      <w:r w:rsidR="001F4EBF" w:rsidRPr="007E50F7">
        <w:t>[</w:t>
      </w:r>
      <w:r w:rsidRPr="007E50F7">
        <w:t>the Commissioners</w:t>
      </w:r>
      <w:r w:rsidR="001F4EBF" w:rsidRPr="007E50F7">
        <w:t>]</w:t>
      </w:r>
      <w:r w:rsidRPr="007E50F7">
        <w:t xml:space="preserve"> expect that the utilities’ analyses will include overall costs to the system and load management factors, and we require that each of the studies, as to each of the interruptible rates thus offered, require assurance that customers are not merely given a discount rate.</w:t>
      </w:r>
      <w:r w:rsidR="006E5A56" w:rsidRPr="007E50F7">
        <w:t xml:space="preserve"> </w:t>
      </w:r>
      <w:r w:rsidRPr="007E50F7">
        <w:t xml:space="preserve"> The utilities will study the desirability and feasibility of interruptible rate offerings as well as their acceptability to customers.</w:t>
      </w:r>
      <w:r w:rsidRPr="007E50F7">
        <w:rPr>
          <w:rStyle w:val="FootnoteReference"/>
        </w:rPr>
        <w:footnoteReference w:id="40"/>
      </w:r>
    </w:p>
    <w:p w14:paraId="6CFC0EA0" w14:textId="77777777" w:rsidR="0040325B" w:rsidRPr="007E50F7" w:rsidRDefault="0040325B" w:rsidP="0040325B">
      <w:pPr>
        <w:pStyle w:val="Answer-Testimony"/>
        <w:spacing w:line="240" w:lineRule="auto"/>
      </w:pPr>
    </w:p>
    <w:p w14:paraId="6CFC0EA1" w14:textId="77777777" w:rsidR="00E1258C" w:rsidRPr="007E50F7" w:rsidRDefault="003F20DF" w:rsidP="00751AB5">
      <w:pPr>
        <w:pStyle w:val="Answer-Testimony"/>
        <w:ind w:firstLine="720"/>
      </w:pPr>
      <w:r w:rsidRPr="007E50F7">
        <w:t xml:space="preserve">There may be real system benefits resulting from </w:t>
      </w:r>
      <w:r w:rsidR="001F4EBF" w:rsidRPr="007E50F7">
        <w:t xml:space="preserve">Avista’s </w:t>
      </w:r>
      <w:r w:rsidRPr="007E50F7">
        <w:t>interruptible schedule, but the Company needs to provide</w:t>
      </w:r>
      <w:r w:rsidR="00751AB5" w:rsidRPr="007E50F7">
        <w:t xml:space="preserve"> an</w:t>
      </w:r>
      <w:r w:rsidRPr="007E50F7">
        <w:t xml:space="preserve"> analysis which supports the existence of </w:t>
      </w:r>
      <w:r w:rsidR="00751AB5" w:rsidRPr="007E50F7">
        <w:t xml:space="preserve">those </w:t>
      </w:r>
      <w:r w:rsidRPr="007E50F7">
        <w:t>benefits, including a methodology for determining when to interrupt customers on the schedule.</w:t>
      </w:r>
    </w:p>
    <w:p w14:paraId="6CFC0EA2" w14:textId="77777777" w:rsidR="00891A10" w:rsidRPr="007E50F7" w:rsidRDefault="00891A10" w:rsidP="00F53B9E">
      <w:pPr>
        <w:pStyle w:val="Answer-Testimony"/>
      </w:pPr>
    </w:p>
    <w:p w14:paraId="6CFC0EA3" w14:textId="77777777" w:rsidR="00C3471C" w:rsidRPr="007E50F7" w:rsidRDefault="00EB4706" w:rsidP="00920208">
      <w:pPr>
        <w:pStyle w:val="Question-Testimony"/>
      </w:pPr>
      <w:r w:rsidRPr="007E50F7">
        <w:t>Q.</w:t>
      </w:r>
      <w:r w:rsidRPr="007E50F7">
        <w:tab/>
      </w:r>
      <w:r w:rsidR="00C3471C" w:rsidRPr="007E50F7">
        <w:t>Does this conclude your testimony?</w:t>
      </w:r>
    </w:p>
    <w:p w14:paraId="6CFC0EA4" w14:textId="77777777" w:rsidR="00C3471C" w:rsidRPr="007E50F7" w:rsidRDefault="00C3471C" w:rsidP="005C5B66">
      <w:pPr>
        <w:pStyle w:val="Answer-Testimony"/>
      </w:pPr>
      <w:r w:rsidRPr="007E50F7">
        <w:t>A.</w:t>
      </w:r>
      <w:r w:rsidRPr="007E50F7">
        <w:tab/>
        <w:t xml:space="preserve">Yes.  </w:t>
      </w:r>
    </w:p>
    <w:p w14:paraId="6CFC0EA5" w14:textId="77777777" w:rsidR="000D22BB" w:rsidRPr="007E50F7" w:rsidRDefault="000D22BB" w:rsidP="005C5B66">
      <w:pPr>
        <w:pStyle w:val="Answer-Testimony"/>
      </w:pPr>
    </w:p>
    <w:sectPr w:rsidR="000D22BB" w:rsidRPr="007E50F7" w:rsidSect="00153ECA">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FC0EA9" w14:textId="77777777" w:rsidR="00E13E68" w:rsidRDefault="00E13E68" w:rsidP="00C3471C">
      <w:r>
        <w:separator/>
      </w:r>
    </w:p>
    <w:p w14:paraId="6CFC0EAA" w14:textId="77777777" w:rsidR="00E13E68" w:rsidRDefault="00E13E68"/>
  </w:endnote>
  <w:endnote w:type="continuationSeparator" w:id="0">
    <w:p w14:paraId="6CFC0EAB" w14:textId="77777777" w:rsidR="00E13E68" w:rsidRDefault="00E13E68" w:rsidP="00C3471C">
      <w:r>
        <w:continuationSeparator/>
      </w:r>
    </w:p>
    <w:p w14:paraId="6CFC0EAC" w14:textId="77777777" w:rsidR="00E13E68" w:rsidRDefault="00E13E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C0EAD" w14:textId="77777777" w:rsidR="00E13E68" w:rsidRPr="00DC40BC" w:rsidRDefault="00E13E68">
    <w:pPr>
      <w:pStyle w:val="Footer"/>
      <w:rPr>
        <w:sz w:val="20"/>
        <w:szCs w:val="20"/>
      </w:rPr>
    </w:pPr>
  </w:p>
  <w:p w14:paraId="6CFC0EAE" w14:textId="77777777" w:rsidR="00E13E68" w:rsidRPr="00DC40BC" w:rsidRDefault="00E13E68">
    <w:pPr>
      <w:pStyle w:val="Footer"/>
      <w:rPr>
        <w:sz w:val="20"/>
        <w:szCs w:val="20"/>
      </w:rPr>
    </w:pPr>
    <w:r w:rsidRPr="00DC40BC">
      <w:rPr>
        <w:sz w:val="20"/>
        <w:szCs w:val="20"/>
      </w:rPr>
      <w:t xml:space="preserve">TESTIMONY OF (WITNESS NAME) </w:t>
    </w:r>
    <w:r w:rsidRPr="00DC40BC">
      <w:rPr>
        <w:sz w:val="20"/>
        <w:szCs w:val="20"/>
      </w:rPr>
      <w:tab/>
    </w:r>
    <w:r w:rsidRPr="00DC40BC">
      <w:rPr>
        <w:sz w:val="20"/>
        <w:szCs w:val="20"/>
      </w:rPr>
      <w:tab/>
      <w:t>Exhibit ___T (**-</w:t>
    </w:r>
    <w:proofErr w:type="spellStart"/>
    <w:r w:rsidRPr="00DC40BC">
      <w:rPr>
        <w:sz w:val="20"/>
        <w:szCs w:val="20"/>
      </w:rPr>
      <w:t>1T</w:t>
    </w:r>
    <w:proofErr w:type="spellEnd"/>
    <w:r w:rsidRPr="00DC40BC">
      <w:rPr>
        <w:sz w:val="20"/>
        <w:szCs w:val="20"/>
      </w:rPr>
      <w:t>)</w:t>
    </w:r>
  </w:p>
  <w:p w14:paraId="6CFC0EAF" w14:textId="77777777" w:rsidR="00E13E68" w:rsidRPr="00DC40BC" w:rsidRDefault="00E13E68" w:rsidP="00153ECA">
    <w:pPr>
      <w:pStyle w:val="Footer"/>
      <w:rPr>
        <w:sz w:val="20"/>
        <w:szCs w:val="20"/>
        <w:lang w:val="fr-FR"/>
      </w:rPr>
    </w:pPr>
    <w:r w:rsidRPr="00DC40BC">
      <w:rPr>
        <w:sz w:val="20"/>
        <w:szCs w:val="20"/>
      </w:rPr>
      <w:t>Docket</w:t>
    </w:r>
    <w:r w:rsidRPr="00DC40BC">
      <w:rPr>
        <w:sz w:val="20"/>
        <w:szCs w:val="20"/>
        <w:lang w:val="fr-FR"/>
      </w:rPr>
      <w:t xml:space="preserve"> **-******</w:t>
    </w:r>
    <w:r w:rsidRPr="00DC40BC">
      <w:rPr>
        <w:sz w:val="20"/>
        <w:szCs w:val="20"/>
        <w:lang w:val="fr-FR"/>
      </w:rPr>
      <w:tab/>
    </w:r>
    <w:r w:rsidRPr="00DC40BC">
      <w:rPr>
        <w:sz w:val="20"/>
        <w:szCs w:val="20"/>
        <w:lang w:val="fr-FR"/>
      </w:rPr>
      <w:tab/>
      <w:t xml:space="preserve">Page </w:t>
    </w:r>
    <w:r w:rsidRPr="00DC40BC">
      <w:rPr>
        <w:rStyle w:val="PageNumber"/>
        <w:sz w:val="20"/>
        <w:szCs w:val="20"/>
      </w:rPr>
      <w:fldChar w:fldCharType="begin"/>
    </w:r>
    <w:r w:rsidRPr="00DC40BC">
      <w:rPr>
        <w:rStyle w:val="PageNumber"/>
        <w:sz w:val="20"/>
        <w:szCs w:val="20"/>
        <w:lang w:val="fr-FR"/>
      </w:rPr>
      <w:instrText xml:space="preserve"> PAGE </w:instrText>
    </w:r>
    <w:r w:rsidRPr="00DC40BC">
      <w:rPr>
        <w:rStyle w:val="PageNumber"/>
        <w:sz w:val="20"/>
        <w:szCs w:val="20"/>
      </w:rPr>
      <w:fldChar w:fldCharType="separate"/>
    </w:r>
    <w:r>
      <w:rPr>
        <w:rStyle w:val="PageNumber"/>
        <w:noProof/>
        <w:sz w:val="20"/>
        <w:szCs w:val="20"/>
        <w:lang w:val="fr-FR"/>
      </w:rPr>
      <w:t>2</w:t>
    </w:r>
    <w:r w:rsidRPr="00DC40BC">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C0EB0" w14:textId="77777777" w:rsidR="00E13E68" w:rsidRPr="00DC40BC" w:rsidRDefault="00E13E68">
    <w:pPr>
      <w:pStyle w:val="Footer"/>
      <w:rPr>
        <w:sz w:val="20"/>
        <w:szCs w:val="20"/>
      </w:rPr>
    </w:pPr>
  </w:p>
  <w:p w14:paraId="6CFC0EB1" w14:textId="77777777" w:rsidR="00E13E68" w:rsidRPr="00DC40BC" w:rsidRDefault="00E13E68">
    <w:pPr>
      <w:pStyle w:val="Footer"/>
      <w:rPr>
        <w:sz w:val="20"/>
        <w:szCs w:val="20"/>
      </w:rPr>
    </w:pPr>
    <w:r w:rsidRPr="00DC40BC">
      <w:rPr>
        <w:sz w:val="20"/>
        <w:szCs w:val="20"/>
      </w:rPr>
      <w:t>TESTIMONY O</w:t>
    </w:r>
    <w:r>
      <w:rPr>
        <w:sz w:val="20"/>
        <w:szCs w:val="20"/>
      </w:rPr>
      <w:t>F CHRISTOPHER T. MICKELSON</w:t>
    </w:r>
    <w:r>
      <w:rPr>
        <w:sz w:val="20"/>
        <w:szCs w:val="20"/>
      </w:rPr>
      <w:tab/>
    </w:r>
    <w:r>
      <w:rPr>
        <w:sz w:val="20"/>
        <w:szCs w:val="20"/>
      </w:rPr>
      <w:tab/>
      <w:t>Exhibit No. ___</w:t>
    </w:r>
    <w:r w:rsidR="006E47E0">
      <w:rPr>
        <w:sz w:val="20"/>
        <w:szCs w:val="20"/>
      </w:rPr>
      <w:t>T</w:t>
    </w:r>
    <w:r>
      <w:rPr>
        <w:sz w:val="20"/>
        <w:szCs w:val="20"/>
      </w:rPr>
      <w:t xml:space="preserve"> (</w:t>
    </w:r>
    <w:proofErr w:type="spellStart"/>
    <w:r>
      <w:rPr>
        <w:sz w:val="20"/>
        <w:szCs w:val="20"/>
      </w:rPr>
      <w:t>CTM-1T</w:t>
    </w:r>
    <w:proofErr w:type="spellEnd"/>
    <w:r>
      <w:rPr>
        <w:sz w:val="20"/>
        <w:szCs w:val="20"/>
      </w:rPr>
      <w:t>)</w:t>
    </w:r>
  </w:p>
  <w:p w14:paraId="6CFC0EB2" w14:textId="77777777" w:rsidR="00E13E68" w:rsidRPr="00A53017" w:rsidRDefault="00E13E68" w:rsidP="00A53017">
    <w:pPr>
      <w:pStyle w:val="Footer"/>
      <w:rPr>
        <w:sz w:val="20"/>
        <w:szCs w:val="20"/>
        <w:lang w:val="fr-FR"/>
      </w:rPr>
    </w:pPr>
    <w:r w:rsidRPr="00DC40BC">
      <w:rPr>
        <w:sz w:val="20"/>
        <w:szCs w:val="20"/>
      </w:rPr>
      <w:t>Docket</w:t>
    </w:r>
    <w:r>
      <w:rPr>
        <w:sz w:val="20"/>
        <w:szCs w:val="20"/>
      </w:rPr>
      <w:t xml:space="preserve">s </w:t>
    </w:r>
    <w:proofErr w:type="spellStart"/>
    <w:r>
      <w:rPr>
        <w:sz w:val="20"/>
        <w:szCs w:val="20"/>
      </w:rPr>
      <w:t>UE</w:t>
    </w:r>
    <w:proofErr w:type="spellEnd"/>
    <w:r>
      <w:rPr>
        <w:sz w:val="20"/>
        <w:szCs w:val="20"/>
      </w:rPr>
      <w:t>-120436 et al.</w:t>
    </w:r>
    <w:r w:rsidRPr="00DC40BC">
      <w:rPr>
        <w:sz w:val="20"/>
        <w:szCs w:val="20"/>
        <w:lang w:val="fr-FR"/>
      </w:rPr>
      <w:tab/>
    </w:r>
    <w:r w:rsidRPr="00DC40BC">
      <w:rPr>
        <w:sz w:val="20"/>
        <w:szCs w:val="20"/>
        <w:lang w:val="fr-FR"/>
      </w:rPr>
      <w:tab/>
      <w:t xml:space="preserve">Page </w:t>
    </w:r>
    <w:r w:rsidRPr="00DC40BC">
      <w:rPr>
        <w:rStyle w:val="PageNumber"/>
        <w:sz w:val="20"/>
        <w:szCs w:val="20"/>
      </w:rPr>
      <w:fldChar w:fldCharType="begin"/>
    </w:r>
    <w:r w:rsidRPr="00DC40BC">
      <w:rPr>
        <w:rStyle w:val="PageNumber"/>
        <w:sz w:val="20"/>
        <w:szCs w:val="20"/>
        <w:lang w:val="fr-FR"/>
      </w:rPr>
      <w:instrText xml:space="preserve"> PAGE </w:instrText>
    </w:r>
    <w:r w:rsidRPr="00DC40BC">
      <w:rPr>
        <w:rStyle w:val="PageNumber"/>
        <w:sz w:val="20"/>
        <w:szCs w:val="20"/>
      </w:rPr>
      <w:fldChar w:fldCharType="separate"/>
    </w:r>
    <w:r w:rsidR="00E05828">
      <w:rPr>
        <w:rStyle w:val="PageNumber"/>
        <w:noProof/>
        <w:sz w:val="20"/>
        <w:szCs w:val="20"/>
        <w:lang w:val="fr-FR"/>
      </w:rPr>
      <w:t>1</w:t>
    </w:r>
    <w:r w:rsidRPr="00DC40BC">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C0EA6" w14:textId="77777777" w:rsidR="00E13E68" w:rsidRDefault="00E13E68">
      <w:r>
        <w:separator/>
      </w:r>
    </w:p>
  </w:footnote>
  <w:footnote w:type="continuationSeparator" w:id="0">
    <w:p w14:paraId="6CFC0EA7" w14:textId="77777777" w:rsidR="00E13E68" w:rsidRDefault="00E13E68" w:rsidP="00C3471C">
      <w:r>
        <w:continuationSeparator/>
      </w:r>
    </w:p>
    <w:p w14:paraId="6CFC0EA8" w14:textId="77777777" w:rsidR="00E13E68" w:rsidRDefault="00E13E68"/>
  </w:footnote>
  <w:footnote w:id="1">
    <w:p w14:paraId="6CFC0EB3" w14:textId="77777777" w:rsidR="00E13E68" w:rsidRPr="007E50F7" w:rsidRDefault="00E13E68" w:rsidP="00A53017">
      <w:pPr>
        <w:pStyle w:val="FootnoteText"/>
      </w:pPr>
      <w:r w:rsidRPr="007E50F7">
        <w:rPr>
          <w:rStyle w:val="FootnoteReference"/>
        </w:rPr>
        <w:footnoteRef/>
      </w:r>
      <w:r w:rsidRPr="007E50F7">
        <w:t xml:space="preserve"> The updated information in Avista’s response to Staff Data Request 334, corrects the allocation factors and a primary voltage value for Schedule 21.</w:t>
      </w:r>
    </w:p>
  </w:footnote>
  <w:footnote w:id="2">
    <w:p w14:paraId="6CFC0EB4" w14:textId="77777777" w:rsidR="00E13E68" w:rsidRPr="007E50F7" w:rsidRDefault="00E13E68" w:rsidP="00A53017">
      <w:pPr>
        <w:pStyle w:val="FootnoteText"/>
      </w:pPr>
      <w:r w:rsidRPr="007E50F7">
        <w:rPr>
          <w:rStyle w:val="FootnoteReference"/>
        </w:rPr>
        <w:footnoteRef/>
      </w:r>
      <w:r w:rsidRPr="007E50F7">
        <w:t xml:space="preserve"> Direct Testimony of Don F. </w:t>
      </w:r>
      <w:proofErr w:type="spellStart"/>
      <w:r w:rsidRPr="007E50F7">
        <w:t>Kopczynski</w:t>
      </w:r>
      <w:proofErr w:type="spellEnd"/>
      <w:r w:rsidRPr="007E50F7">
        <w:t>, Exhibit No. ___ (</w:t>
      </w:r>
      <w:proofErr w:type="spellStart"/>
      <w:r w:rsidRPr="007E50F7">
        <w:t>DFK</w:t>
      </w:r>
      <w:proofErr w:type="spellEnd"/>
      <w:r w:rsidRPr="007E50F7">
        <w:t xml:space="preserve">-3), </w:t>
      </w:r>
      <w:r w:rsidR="001511AA">
        <w:t>at</w:t>
      </w:r>
      <w:r w:rsidRPr="007E50F7">
        <w:t xml:space="preserve"> 33.</w:t>
      </w:r>
    </w:p>
  </w:footnote>
  <w:footnote w:id="3">
    <w:p w14:paraId="6CFC0EB5" w14:textId="77777777" w:rsidR="00E13E68" w:rsidRPr="007E50F7" w:rsidRDefault="00E13E68" w:rsidP="00A53017">
      <w:pPr>
        <w:pStyle w:val="FootnoteText"/>
      </w:pPr>
      <w:r w:rsidRPr="007E50F7">
        <w:rPr>
          <w:rStyle w:val="FootnoteReference"/>
        </w:rPr>
        <w:footnoteRef/>
      </w:r>
      <w:r w:rsidRPr="007E50F7">
        <w:t xml:space="preserve"> Exhibit No. ___ (</w:t>
      </w:r>
      <w:proofErr w:type="spellStart"/>
      <w:r w:rsidRPr="007E50F7">
        <w:t>DFK</w:t>
      </w:r>
      <w:proofErr w:type="spellEnd"/>
      <w:r w:rsidRPr="007E50F7">
        <w:t xml:space="preserve">-3), </w:t>
      </w:r>
      <w:r w:rsidR="001511AA">
        <w:t>at</w:t>
      </w:r>
      <w:r w:rsidRPr="007E50F7">
        <w:t xml:space="preserve"> 20.</w:t>
      </w:r>
    </w:p>
  </w:footnote>
  <w:footnote w:id="4">
    <w:p w14:paraId="6CFC0EB6" w14:textId="77777777" w:rsidR="00E13E68" w:rsidRPr="007E50F7" w:rsidRDefault="00E13E68" w:rsidP="00980C24">
      <w:pPr>
        <w:pStyle w:val="FootnoteText"/>
      </w:pPr>
      <w:r w:rsidRPr="007E50F7">
        <w:rPr>
          <w:rStyle w:val="FootnoteReference"/>
        </w:rPr>
        <w:footnoteRef/>
      </w:r>
      <w:r w:rsidRPr="007E50F7">
        <w:t xml:space="preserve"> Direct Testimony of Tara L. Knox, Exhibit No. ___ (</w:t>
      </w:r>
      <w:proofErr w:type="spellStart"/>
      <w:r w:rsidRPr="007E50F7">
        <w:t>TLK-1T</w:t>
      </w:r>
      <w:proofErr w:type="spellEnd"/>
      <w:r w:rsidRPr="007E50F7">
        <w:t xml:space="preserve">), </w:t>
      </w:r>
      <w:r w:rsidR="001511AA">
        <w:t>at</w:t>
      </w:r>
      <w:r w:rsidRPr="007E50F7">
        <w:t xml:space="preserve"> 15.</w:t>
      </w:r>
    </w:p>
  </w:footnote>
  <w:footnote w:id="5">
    <w:p w14:paraId="6CFC0EB7" w14:textId="77777777" w:rsidR="00E13E68" w:rsidRPr="007E50F7" w:rsidRDefault="00E13E68" w:rsidP="00FE5FD1">
      <w:pPr>
        <w:pStyle w:val="FootnoteText"/>
      </w:pPr>
      <w:r w:rsidRPr="007E50F7">
        <w:rPr>
          <w:rStyle w:val="FootnoteReference"/>
        </w:rPr>
        <w:footnoteRef/>
      </w:r>
      <w:r w:rsidRPr="007E50F7">
        <w:t xml:space="preserve"> </w:t>
      </w:r>
      <w:r w:rsidRPr="007E50F7">
        <w:rPr>
          <w:i/>
        </w:rPr>
        <w:t>Utilities &amp; Transp. Comm’n v. Puget Sound Energy, Inc.</w:t>
      </w:r>
      <w:r w:rsidRPr="007E50F7">
        <w:t xml:space="preserve">, Dockets </w:t>
      </w:r>
      <w:proofErr w:type="spellStart"/>
      <w:r w:rsidRPr="007E50F7">
        <w:t>UE</w:t>
      </w:r>
      <w:proofErr w:type="spellEnd"/>
      <w:r w:rsidRPr="007E50F7">
        <w:t xml:space="preserve">-111048 and </w:t>
      </w:r>
      <w:proofErr w:type="spellStart"/>
      <w:r w:rsidRPr="007E50F7">
        <w:t>UG</w:t>
      </w:r>
      <w:proofErr w:type="spellEnd"/>
      <w:r w:rsidRPr="007E50F7">
        <w:t xml:space="preserve">-111049, Order 08 (May 7, 2012), </w:t>
      </w:r>
      <w:r w:rsidR="001511AA">
        <w:t>at</w:t>
      </w:r>
      <w:r w:rsidRPr="007E50F7">
        <w:t xml:space="preserve"> 125.</w:t>
      </w:r>
    </w:p>
  </w:footnote>
  <w:footnote w:id="6">
    <w:p w14:paraId="6CFC0EB8" w14:textId="77777777" w:rsidR="00E13E68" w:rsidRPr="007E50F7" w:rsidRDefault="00E13E68" w:rsidP="009F4996">
      <w:pPr>
        <w:pStyle w:val="FootnoteText"/>
      </w:pPr>
      <w:r w:rsidRPr="007E50F7">
        <w:rPr>
          <w:rStyle w:val="FootnoteReference"/>
        </w:rPr>
        <w:footnoteRef/>
      </w:r>
      <w:r w:rsidRPr="007E50F7">
        <w:t xml:space="preserve"> In essence, customer-related costs reflect the minimum amount of equipment and service needed for customers to access the electric grid.  </w:t>
      </w:r>
    </w:p>
  </w:footnote>
  <w:footnote w:id="7">
    <w:p w14:paraId="6CFC0EB9" w14:textId="77777777" w:rsidR="00E13E68" w:rsidRPr="007E50F7" w:rsidRDefault="00E13E68" w:rsidP="007F1B05">
      <w:pPr>
        <w:pStyle w:val="FootnoteText"/>
      </w:pPr>
      <w:r w:rsidRPr="007E50F7">
        <w:rPr>
          <w:rStyle w:val="FootnoteReference"/>
        </w:rPr>
        <w:footnoteRef/>
      </w:r>
      <w:r w:rsidRPr="007E50F7">
        <w:t xml:space="preserve"> Marry Blake, Creating the Right Retail Rate Environment for Energy Conservation and Energy Efficiency, </w:t>
      </w:r>
      <w:r w:rsidRPr="007E50F7">
        <w:rPr>
          <w:i/>
        </w:rPr>
        <w:t xml:space="preserve">Management Quarterly, </w:t>
      </w:r>
      <w:r w:rsidRPr="007E50F7">
        <w:t xml:space="preserve">December 22, 2009, </w:t>
      </w:r>
      <w:r w:rsidR="00F14F69">
        <w:t>at</w:t>
      </w:r>
      <w:r w:rsidRPr="007E50F7">
        <w:t xml:space="preserve"> 6.</w:t>
      </w:r>
    </w:p>
  </w:footnote>
  <w:footnote w:id="8">
    <w:p w14:paraId="6CFC0EBA" w14:textId="77777777" w:rsidR="00E13E68" w:rsidRPr="007E50F7" w:rsidRDefault="00E13E68">
      <w:pPr>
        <w:pStyle w:val="FootnoteText"/>
      </w:pPr>
      <w:r w:rsidRPr="007E50F7">
        <w:rPr>
          <w:rStyle w:val="FootnoteReference"/>
        </w:rPr>
        <w:footnoteRef/>
      </w:r>
      <w:r w:rsidRPr="007E50F7">
        <w:t xml:space="preserve"> Ibid.</w:t>
      </w:r>
    </w:p>
  </w:footnote>
  <w:footnote w:id="9">
    <w:p w14:paraId="6CFC0EBB" w14:textId="77777777" w:rsidR="00E13E68" w:rsidRPr="007E50F7" w:rsidRDefault="00E13E68" w:rsidP="007B273E">
      <w:pPr>
        <w:pStyle w:val="FootnoteText"/>
      </w:pPr>
      <w:r w:rsidRPr="007E50F7">
        <w:rPr>
          <w:rStyle w:val="FootnoteReference"/>
        </w:rPr>
        <w:footnoteRef/>
      </w:r>
      <w:r w:rsidRPr="007E50F7">
        <w:t xml:space="preserve"> Avista’s response to Staff Data Request 323.</w:t>
      </w:r>
    </w:p>
  </w:footnote>
  <w:footnote w:id="10">
    <w:p w14:paraId="6CFC0EBC" w14:textId="77777777" w:rsidR="00E13E68" w:rsidRPr="007E50F7" w:rsidRDefault="00E13E68" w:rsidP="003602A5">
      <w:pPr>
        <w:pStyle w:val="FootnoteText"/>
      </w:pPr>
      <w:r w:rsidRPr="007E50F7">
        <w:rPr>
          <w:rStyle w:val="FootnoteReference"/>
        </w:rPr>
        <w:footnoteRef/>
      </w:r>
      <w:r w:rsidRPr="007E50F7">
        <w:t xml:space="preserve"> </w:t>
      </w:r>
      <w:r w:rsidRPr="007E50F7">
        <w:rPr>
          <w:i/>
        </w:rPr>
        <w:t>Utilities &amp; Transp. Comm’n v. Puget Sound Energy, Inc.</w:t>
      </w:r>
      <w:r w:rsidRPr="007E50F7">
        <w:t xml:space="preserve">, Dockets </w:t>
      </w:r>
      <w:proofErr w:type="spellStart"/>
      <w:r w:rsidRPr="007E50F7">
        <w:t>UE</w:t>
      </w:r>
      <w:proofErr w:type="spellEnd"/>
      <w:r w:rsidRPr="007E50F7">
        <w:t xml:space="preserve">-060266 and </w:t>
      </w:r>
      <w:proofErr w:type="spellStart"/>
      <w:r w:rsidRPr="007E50F7">
        <w:t>UG</w:t>
      </w:r>
      <w:proofErr w:type="spellEnd"/>
      <w:r w:rsidRPr="007E50F7">
        <w:t xml:space="preserve">-060267, Order 08 (January 5, 2007), </w:t>
      </w:r>
      <w:r w:rsidR="00F14F69">
        <w:t>at</w:t>
      </w:r>
      <w:r w:rsidRPr="007E50F7">
        <w:t xml:space="preserve"> 48.</w:t>
      </w:r>
    </w:p>
  </w:footnote>
  <w:footnote w:id="11">
    <w:p w14:paraId="6CFC0EBD" w14:textId="77777777" w:rsidR="00E13E68" w:rsidRPr="007E50F7" w:rsidRDefault="00E13E68">
      <w:pPr>
        <w:pStyle w:val="FootnoteText"/>
      </w:pPr>
      <w:r w:rsidRPr="007E50F7">
        <w:rPr>
          <w:rStyle w:val="FootnoteReference"/>
        </w:rPr>
        <w:footnoteRef/>
      </w:r>
      <w:r w:rsidRPr="007E50F7">
        <w:t xml:space="preserve"> Percentage is based on total customer and distribution demand costs.</w:t>
      </w:r>
    </w:p>
  </w:footnote>
  <w:footnote w:id="12">
    <w:p w14:paraId="6CFC0EBE" w14:textId="77777777" w:rsidR="00E13E68" w:rsidRPr="007E50F7" w:rsidRDefault="00E13E68" w:rsidP="00116A80">
      <w:pPr>
        <w:pStyle w:val="FootnoteText"/>
      </w:pPr>
      <w:r w:rsidRPr="007E50F7">
        <w:rPr>
          <w:rStyle w:val="FootnoteReference"/>
        </w:rPr>
        <w:footnoteRef/>
      </w:r>
      <w:r w:rsidRPr="007E50F7">
        <w:t xml:space="preserve"> John M. Levy, </w:t>
      </w:r>
      <w:r w:rsidRPr="007E50F7">
        <w:rPr>
          <w:i/>
        </w:rPr>
        <w:t>Essential Microeconomics for Public Policy Analysis</w:t>
      </w:r>
      <w:r w:rsidRPr="007E50F7">
        <w:t>, Gre</w:t>
      </w:r>
      <w:r w:rsidR="00F14F69">
        <w:t>enwood Publishing Group, 1995, at </w:t>
      </w:r>
      <w:r w:rsidRPr="007E50F7">
        <w:t>38.</w:t>
      </w:r>
    </w:p>
  </w:footnote>
  <w:footnote w:id="13">
    <w:p w14:paraId="6CFC0EBF" w14:textId="77777777" w:rsidR="00E13E68" w:rsidRPr="007E50F7" w:rsidRDefault="00E13E68" w:rsidP="00736967">
      <w:pPr>
        <w:pStyle w:val="FootnoteText"/>
      </w:pPr>
      <w:r w:rsidRPr="007E50F7">
        <w:rPr>
          <w:rStyle w:val="FootnoteReference"/>
        </w:rPr>
        <w:footnoteRef/>
      </w:r>
      <w:r w:rsidRPr="007E50F7">
        <w:t xml:space="preserve"> Exhibit No.__(</w:t>
      </w:r>
      <w:proofErr w:type="spellStart"/>
      <w:r w:rsidRPr="007E50F7">
        <w:t>CTM</w:t>
      </w:r>
      <w:proofErr w:type="spellEnd"/>
      <w:r w:rsidRPr="007E50F7">
        <w:t xml:space="preserve">-4), </w:t>
      </w:r>
      <w:r w:rsidR="00F14F69">
        <w:t>at</w:t>
      </w:r>
      <w:r w:rsidRPr="007E50F7">
        <w:t xml:space="preserve"> 6, line 6.</w:t>
      </w:r>
    </w:p>
  </w:footnote>
  <w:footnote w:id="14">
    <w:p w14:paraId="6CFC0EC0" w14:textId="77777777" w:rsidR="00E13E68" w:rsidRPr="007E50F7" w:rsidRDefault="00E13E68" w:rsidP="00A46AAD">
      <w:pPr>
        <w:pStyle w:val="FootnoteText"/>
      </w:pPr>
      <w:r w:rsidRPr="007E50F7">
        <w:rPr>
          <w:rStyle w:val="FootnoteReference"/>
        </w:rPr>
        <w:footnoteRef/>
      </w:r>
      <w:r w:rsidRPr="007E50F7">
        <w:t xml:space="preserve"> Avista’s response to Staff Data Request 324.</w:t>
      </w:r>
    </w:p>
  </w:footnote>
  <w:footnote w:id="15">
    <w:p w14:paraId="6CFC0EC1" w14:textId="77777777" w:rsidR="00E13E68" w:rsidRPr="007E50F7" w:rsidRDefault="00E13E68" w:rsidP="00B000BA">
      <w:pPr>
        <w:pStyle w:val="FootnoteText"/>
      </w:pPr>
      <w:r w:rsidRPr="007E50F7">
        <w:rPr>
          <w:rStyle w:val="FootnoteReference"/>
        </w:rPr>
        <w:footnoteRef/>
      </w:r>
      <w:r w:rsidRPr="007E50F7">
        <w:t xml:space="preserve"> Exhibit No.__(</w:t>
      </w:r>
      <w:proofErr w:type="spellStart"/>
      <w:r w:rsidRPr="007E50F7">
        <w:t>CTM</w:t>
      </w:r>
      <w:proofErr w:type="spellEnd"/>
      <w:r w:rsidRPr="007E50F7">
        <w:t xml:space="preserve">-4), </w:t>
      </w:r>
      <w:r w:rsidR="0009484C">
        <w:t>at</w:t>
      </w:r>
      <w:r w:rsidRPr="007E50F7">
        <w:t xml:space="preserve"> 6, line 11.</w:t>
      </w:r>
    </w:p>
  </w:footnote>
  <w:footnote w:id="16">
    <w:p w14:paraId="6CFC0EC2" w14:textId="77777777" w:rsidR="00E13E68" w:rsidRPr="007E50F7" w:rsidRDefault="00E13E68" w:rsidP="00C24207">
      <w:pPr>
        <w:pStyle w:val="FootnoteText"/>
      </w:pPr>
      <w:r w:rsidRPr="007E50F7">
        <w:rPr>
          <w:rStyle w:val="FootnoteReference"/>
        </w:rPr>
        <w:footnoteRef/>
      </w:r>
      <w:r w:rsidRPr="007E50F7">
        <w:t xml:space="preserve"> Avista’s response to Staff Data Request 391.</w:t>
      </w:r>
    </w:p>
  </w:footnote>
  <w:footnote w:id="17">
    <w:p w14:paraId="6CFC0EC3" w14:textId="77777777" w:rsidR="00E13E68" w:rsidRPr="007E50F7" w:rsidRDefault="00E13E68">
      <w:pPr>
        <w:pStyle w:val="FootnoteText"/>
      </w:pPr>
      <w:r w:rsidRPr="007E50F7">
        <w:rPr>
          <w:rStyle w:val="FootnoteReference"/>
        </w:rPr>
        <w:footnoteRef/>
      </w:r>
      <w:r w:rsidRPr="007E50F7">
        <w:t xml:space="preserve"> Exhibit No. __(</w:t>
      </w:r>
      <w:proofErr w:type="spellStart"/>
      <w:r w:rsidRPr="007E50F7">
        <w:t>PDE-1T</w:t>
      </w:r>
      <w:proofErr w:type="spellEnd"/>
      <w:r w:rsidRPr="007E50F7">
        <w:t xml:space="preserve">), </w:t>
      </w:r>
      <w:r w:rsidR="0009484C">
        <w:t>at</w:t>
      </w:r>
      <w:r w:rsidRPr="007E50F7">
        <w:t xml:space="preserve"> 10.</w:t>
      </w:r>
    </w:p>
  </w:footnote>
  <w:footnote w:id="18">
    <w:p w14:paraId="6CFC0EC4" w14:textId="77777777" w:rsidR="00E13E68" w:rsidRPr="007E50F7" w:rsidRDefault="00E13E68" w:rsidP="00A34925">
      <w:pPr>
        <w:pStyle w:val="FootnoteText"/>
      </w:pPr>
      <w:r w:rsidRPr="007E50F7">
        <w:rPr>
          <w:rStyle w:val="FootnoteReference"/>
        </w:rPr>
        <w:footnoteRef/>
      </w:r>
      <w:r w:rsidRPr="007E50F7">
        <w:t xml:space="preserve"> Exhibit No.</w:t>
      </w:r>
      <w:r w:rsidR="0009484C">
        <w:t xml:space="preserve"> </w:t>
      </w:r>
      <w:r w:rsidRPr="007E50F7">
        <w:t>__</w:t>
      </w:r>
      <w:r w:rsidR="0009484C">
        <w:t xml:space="preserve">_ </w:t>
      </w:r>
      <w:r w:rsidRPr="007E50F7">
        <w:t>(</w:t>
      </w:r>
      <w:proofErr w:type="spellStart"/>
      <w:r w:rsidRPr="007E50F7">
        <w:t>CTM</w:t>
      </w:r>
      <w:proofErr w:type="spellEnd"/>
      <w:r w:rsidRPr="007E50F7">
        <w:t xml:space="preserve">-3), </w:t>
      </w:r>
      <w:r w:rsidR="0009484C">
        <w:t>at</w:t>
      </w:r>
      <w:r w:rsidRPr="007E50F7">
        <w:t xml:space="preserve"> 4-6.</w:t>
      </w:r>
    </w:p>
  </w:footnote>
  <w:footnote w:id="19">
    <w:p w14:paraId="6CFC0EC5" w14:textId="77777777" w:rsidR="00E13E68" w:rsidRPr="007E50F7" w:rsidRDefault="00E13E68" w:rsidP="00C833C7">
      <w:pPr>
        <w:pStyle w:val="FootnoteText"/>
      </w:pPr>
      <w:r w:rsidRPr="007E50F7">
        <w:rPr>
          <w:rStyle w:val="FootnoteReference"/>
        </w:rPr>
        <w:footnoteRef/>
      </w:r>
      <w:r w:rsidRPr="007E50F7">
        <w:t xml:space="preserve"> James C. </w:t>
      </w:r>
      <w:proofErr w:type="spellStart"/>
      <w:r w:rsidRPr="007E50F7">
        <w:t>Bonbright</w:t>
      </w:r>
      <w:proofErr w:type="spellEnd"/>
      <w:r w:rsidRPr="007E50F7">
        <w:t xml:space="preserve">, </w:t>
      </w:r>
      <w:r w:rsidRPr="007E50F7">
        <w:rPr>
          <w:i/>
        </w:rPr>
        <w:t>Principles of Public Utility Rates</w:t>
      </w:r>
      <w:r w:rsidRPr="007E50F7">
        <w:t xml:space="preserve">, Columbia University Press, New York (1988), </w:t>
      </w:r>
      <w:r w:rsidR="0009484C" w:rsidRPr="0009484C">
        <w:t>at</w:t>
      </w:r>
      <w:r w:rsidR="0009484C">
        <w:t> </w:t>
      </w:r>
      <w:r w:rsidRPr="007E50F7">
        <w:t>383.</w:t>
      </w:r>
    </w:p>
  </w:footnote>
  <w:footnote w:id="20">
    <w:p w14:paraId="6CFC0EC6" w14:textId="77777777" w:rsidR="00E13E68" w:rsidRPr="007E50F7" w:rsidRDefault="00E13E68" w:rsidP="009F4D1B">
      <w:pPr>
        <w:pStyle w:val="FootnoteText"/>
      </w:pPr>
      <w:r w:rsidRPr="007E50F7">
        <w:rPr>
          <w:rStyle w:val="FootnoteReference"/>
        </w:rPr>
        <w:footnoteRef/>
      </w:r>
      <w:r w:rsidRPr="007E50F7">
        <w:t xml:space="preserve"> Ibid.</w:t>
      </w:r>
    </w:p>
  </w:footnote>
  <w:footnote w:id="21">
    <w:p w14:paraId="6CFC0EC7" w14:textId="77777777" w:rsidR="00E13E68" w:rsidRPr="007E50F7" w:rsidRDefault="00E13E68" w:rsidP="00D70E85">
      <w:pPr>
        <w:pStyle w:val="FootnoteText"/>
      </w:pPr>
      <w:r w:rsidRPr="007E50F7">
        <w:rPr>
          <w:rStyle w:val="FootnoteReference"/>
        </w:rPr>
        <w:footnoteRef/>
      </w:r>
      <w:r w:rsidRPr="007E50F7">
        <w:t xml:space="preserve"> Exhibit No</w:t>
      </w:r>
      <w:r w:rsidR="000F087D">
        <w:t xml:space="preserve">. </w:t>
      </w:r>
      <w:r w:rsidRPr="007E50F7">
        <w:t>__</w:t>
      </w:r>
      <w:r w:rsidR="000F087D">
        <w:t xml:space="preserve">_ </w:t>
      </w:r>
      <w:r w:rsidRPr="007E50F7">
        <w:t>(</w:t>
      </w:r>
      <w:proofErr w:type="spellStart"/>
      <w:r w:rsidRPr="007E50F7">
        <w:t>CTM</w:t>
      </w:r>
      <w:proofErr w:type="spellEnd"/>
      <w:r w:rsidRPr="007E50F7">
        <w:t xml:space="preserve">-3), </w:t>
      </w:r>
      <w:r w:rsidR="000F087D">
        <w:t>at</w:t>
      </w:r>
      <w:r w:rsidRPr="007E50F7">
        <w:t xml:space="preserve"> 3.</w:t>
      </w:r>
    </w:p>
  </w:footnote>
  <w:footnote w:id="22">
    <w:p w14:paraId="6CFC0EC8" w14:textId="77777777" w:rsidR="00E13E68" w:rsidRPr="007E50F7" w:rsidRDefault="00E13E68" w:rsidP="008A14BC">
      <w:pPr>
        <w:pStyle w:val="FootnoteText"/>
      </w:pPr>
      <w:r w:rsidRPr="007E50F7">
        <w:rPr>
          <w:rStyle w:val="FootnoteReference"/>
        </w:rPr>
        <w:footnoteRef/>
      </w:r>
      <w:r w:rsidRPr="007E50F7">
        <w:t xml:space="preserve"> See supra note 19.</w:t>
      </w:r>
    </w:p>
  </w:footnote>
  <w:footnote w:id="23">
    <w:p w14:paraId="6CFC0EC9" w14:textId="77777777" w:rsidR="00E13E68" w:rsidRPr="007E50F7" w:rsidRDefault="00E13E68" w:rsidP="00391D78">
      <w:pPr>
        <w:pStyle w:val="FootnoteText"/>
      </w:pPr>
      <w:r w:rsidRPr="007E50F7">
        <w:rPr>
          <w:rStyle w:val="FootnoteReference"/>
        </w:rPr>
        <w:footnoteRef/>
      </w:r>
      <w:r w:rsidRPr="007E50F7">
        <w:t xml:space="preserve"> Exhibit No. </w:t>
      </w:r>
      <w:r w:rsidR="003A477D">
        <w:t>_</w:t>
      </w:r>
      <w:r w:rsidRPr="007E50F7">
        <w:t>__</w:t>
      </w:r>
      <w:r w:rsidR="003A477D">
        <w:t xml:space="preserve"> </w:t>
      </w:r>
      <w:r w:rsidRPr="007E50F7">
        <w:t>(</w:t>
      </w:r>
      <w:proofErr w:type="spellStart"/>
      <w:r w:rsidRPr="007E50F7">
        <w:t>CTM</w:t>
      </w:r>
      <w:proofErr w:type="spellEnd"/>
      <w:r w:rsidRPr="007E50F7">
        <w:t xml:space="preserve">-4), </w:t>
      </w:r>
      <w:r w:rsidR="003A477D">
        <w:t>at</w:t>
      </w:r>
      <w:r w:rsidRPr="007E50F7">
        <w:t xml:space="preserve"> 1.</w:t>
      </w:r>
    </w:p>
  </w:footnote>
  <w:footnote w:id="24">
    <w:p w14:paraId="6CFC0ECA" w14:textId="77777777" w:rsidR="00E13E68" w:rsidRPr="007E50F7" w:rsidRDefault="00E13E68">
      <w:pPr>
        <w:pStyle w:val="FootnoteText"/>
      </w:pPr>
      <w:r w:rsidRPr="007E50F7">
        <w:rPr>
          <w:rStyle w:val="FootnoteReference"/>
        </w:rPr>
        <w:footnoteRef/>
      </w:r>
      <w:r w:rsidRPr="007E50F7">
        <w:t xml:space="preserve"> Peak day was January 11, 2011</w:t>
      </w:r>
      <w:r w:rsidR="003A477D">
        <w:t>,</w:t>
      </w:r>
      <w:r w:rsidRPr="007E50F7">
        <w:t xml:space="preserve"> at 1,669 MW; see Avista’s r</w:t>
      </w:r>
      <w:r w:rsidR="00D66253">
        <w:t xml:space="preserve">esponse to Staff Data Request </w:t>
      </w:r>
      <w:r w:rsidRPr="007E50F7">
        <w:t xml:space="preserve">2. </w:t>
      </w:r>
    </w:p>
  </w:footnote>
  <w:footnote w:id="25">
    <w:p w14:paraId="6CFC0ECB" w14:textId="77777777" w:rsidR="00E13E68" w:rsidRPr="007E50F7" w:rsidRDefault="00E13E68" w:rsidP="008A14BC">
      <w:pPr>
        <w:pStyle w:val="FootnoteText"/>
      </w:pPr>
      <w:r w:rsidRPr="007E50F7">
        <w:rPr>
          <w:rStyle w:val="FootnoteReference"/>
        </w:rPr>
        <w:footnoteRef/>
      </w:r>
      <w:r w:rsidRPr="007E50F7">
        <w:t xml:space="preserve"> Avista’s response to Staff Data Request 004, Supplemental Attachment A, and my Exhibit No.</w:t>
      </w:r>
      <w:r w:rsidR="003A477D">
        <w:t xml:space="preserve"> _</w:t>
      </w:r>
      <w:r w:rsidRPr="007E50F7">
        <w:t>__</w:t>
      </w:r>
      <w:r w:rsidR="003A477D">
        <w:t xml:space="preserve"> </w:t>
      </w:r>
      <w:r w:rsidRPr="007E50F7">
        <w:t>(</w:t>
      </w:r>
      <w:proofErr w:type="spellStart"/>
      <w:r w:rsidRPr="007E50F7">
        <w:t>CTM</w:t>
      </w:r>
      <w:proofErr w:type="spellEnd"/>
      <w:r w:rsidRPr="007E50F7">
        <w:t xml:space="preserve">-4), </w:t>
      </w:r>
      <w:r w:rsidR="003A477D">
        <w:t>at</w:t>
      </w:r>
      <w:r w:rsidRPr="007E50F7">
        <w:t xml:space="preserve"> 2-5.</w:t>
      </w:r>
    </w:p>
  </w:footnote>
  <w:footnote w:id="26">
    <w:p w14:paraId="6CFC0ECC" w14:textId="77777777" w:rsidR="00E13E68" w:rsidRPr="007E50F7" w:rsidRDefault="00E13E68" w:rsidP="008A14BC">
      <w:pPr>
        <w:pStyle w:val="FootnoteText"/>
      </w:pPr>
      <w:r w:rsidRPr="007E50F7">
        <w:rPr>
          <w:rStyle w:val="FootnoteReference"/>
        </w:rPr>
        <w:footnoteRef/>
      </w:r>
      <w:r w:rsidRPr="007E50F7">
        <w:t xml:space="preserve"> Id.</w:t>
      </w:r>
    </w:p>
  </w:footnote>
  <w:footnote w:id="27">
    <w:p w14:paraId="6CFC0ECD" w14:textId="77777777" w:rsidR="00E13E68" w:rsidRPr="007E50F7" w:rsidRDefault="00E13E68">
      <w:pPr>
        <w:pStyle w:val="FootnoteText"/>
      </w:pPr>
      <w:r w:rsidRPr="007E50F7">
        <w:rPr>
          <w:rStyle w:val="FootnoteReference"/>
        </w:rPr>
        <w:footnoteRef/>
      </w:r>
      <w:r w:rsidRPr="007E50F7">
        <w:t xml:space="preserve"> And most likely Special Contracts as well. </w:t>
      </w:r>
    </w:p>
  </w:footnote>
  <w:footnote w:id="28">
    <w:p w14:paraId="6CFC0ECE" w14:textId="77777777" w:rsidR="00E13E68" w:rsidRPr="007E50F7" w:rsidRDefault="00E13E68" w:rsidP="008A14BC">
      <w:pPr>
        <w:pStyle w:val="FootnoteText"/>
      </w:pPr>
      <w:r w:rsidRPr="007E50F7">
        <w:rPr>
          <w:rStyle w:val="FootnoteReference"/>
        </w:rPr>
        <w:footnoteRef/>
      </w:r>
      <w:r w:rsidRPr="007E50F7">
        <w:t xml:space="preserve"> Symbolizes large mains.</w:t>
      </w:r>
    </w:p>
  </w:footnote>
  <w:footnote w:id="29">
    <w:p w14:paraId="6CFC0ECF" w14:textId="77777777" w:rsidR="00E13E68" w:rsidRPr="007E50F7" w:rsidRDefault="00E13E68" w:rsidP="008A14BC">
      <w:pPr>
        <w:pStyle w:val="FootnoteText"/>
      </w:pPr>
      <w:r w:rsidRPr="007E50F7">
        <w:rPr>
          <w:rStyle w:val="FootnoteReference"/>
        </w:rPr>
        <w:footnoteRef/>
      </w:r>
      <w:r w:rsidRPr="007E50F7">
        <w:t xml:space="preserve"> Symbolizes medium and small mains.</w:t>
      </w:r>
    </w:p>
  </w:footnote>
  <w:footnote w:id="30">
    <w:p w14:paraId="6CFC0ED0" w14:textId="77777777" w:rsidR="00E13E68" w:rsidRPr="007E50F7" w:rsidRDefault="00E13E68" w:rsidP="00252294">
      <w:pPr>
        <w:pStyle w:val="FootnoteText"/>
      </w:pPr>
      <w:r w:rsidRPr="007E50F7">
        <w:rPr>
          <w:rStyle w:val="FootnoteReference"/>
        </w:rPr>
        <w:footnoteRef/>
      </w:r>
      <w:r w:rsidRPr="007E50F7">
        <w:t xml:space="preserve"> Namely, Puget Sound Energy, Inc.</w:t>
      </w:r>
    </w:p>
  </w:footnote>
  <w:footnote w:id="31">
    <w:p w14:paraId="6CFC0ED1" w14:textId="77777777" w:rsidR="00E13E68" w:rsidRPr="007E50F7" w:rsidRDefault="00E13E68">
      <w:pPr>
        <w:pStyle w:val="FootnoteText"/>
      </w:pPr>
      <w:r w:rsidRPr="007E50F7">
        <w:rPr>
          <w:rStyle w:val="FootnoteReference"/>
        </w:rPr>
        <w:footnoteRef/>
      </w:r>
      <w:r w:rsidRPr="007E50F7">
        <w:t xml:space="preserve"> Direct Testimony of Tara L. Knox, Exhibit No. ___ (</w:t>
      </w:r>
      <w:proofErr w:type="spellStart"/>
      <w:r w:rsidRPr="007E50F7">
        <w:t>TLK</w:t>
      </w:r>
      <w:proofErr w:type="spellEnd"/>
      <w:r w:rsidRPr="007E50F7">
        <w:t xml:space="preserve">-5), </w:t>
      </w:r>
      <w:r w:rsidR="003A477D">
        <w:t>at</w:t>
      </w:r>
      <w:r w:rsidRPr="007E50F7">
        <w:t xml:space="preserve"> 4, lines 6 and 7.</w:t>
      </w:r>
    </w:p>
  </w:footnote>
  <w:footnote w:id="32">
    <w:p w14:paraId="6CFC0ED2" w14:textId="77777777" w:rsidR="00E13E68" w:rsidRPr="007E50F7" w:rsidRDefault="00E13E68" w:rsidP="008A14BC">
      <w:pPr>
        <w:pStyle w:val="FootnoteText"/>
      </w:pPr>
      <w:r w:rsidRPr="007E50F7">
        <w:rPr>
          <w:rStyle w:val="FootnoteReference"/>
        </w:rPr>
        <w:footnoteRef/>
      </w:r>
      <w:r w:rsidRPr="007E50F7">
        <w:t xml:space="preserve"> Avista’s r</w:t>
      </w:r>
      <w:r w:rsidR="00D66253">
        <w:t xml:space="preserve">esponse to Staff Data Request </w:t>
      </w:r>
      <w:r w:rsidRPr="007E50F7">
        <w:t>3.</w:t>
      </w:r>
    </w:p>
  </w:footnote>
  <w:footnote w:id="33">
    <w:p w14:paraId="6CFC0ED3" w14:textId="77777777" w:rsidR="00E13E68" w:rsidRPr="007E50F7" w:rsidRDefault="00E13E68">
      <w:pPr>
        <w:pStyle w:val="FootnoteText"/>
      </w:pPr>
      <w:r w:rsidRPr="007E50F7">
        <w:rPr>
          <w:rStyle w:val="FootnoteReference"/>
        </w:rPr>
        <w:footnoteRef/>
      </w:r>
      <w:r w:rsidRPr="007E50F7">
        <w:t xml:space="preserve"> Dockets </w:t>
      </w:r>
      <w:proofErr w:type="spellStart"/>
      <w:r w:rsidRPr="007E50F7">
        <w:t>UG</w:t>
      </w:r>
      <w:proofErr w:type="spellEnd"/>
      <w:r w:rsidRPr="007E50F7">
        <w:t xml:space="preserve">-090705, </w:t>
      </w:r>
      <w:proofErr w:type="spellStart"/>
      <w:r w:rsidRPr="007E50F7">
        <w:t>UG</w:t>
      </w:r>
      <w:proofErr w:type="spellEnd"/>
      <w:r w:rsidRPr="007E50F7">
        <w:t xml:space="preserve">-101644, and </w:t>
      </w:r>
      <w:proofErr w:type="spellStart"/>
      <w:r w:rsidRPr="007E50F7">
        <w:t>UG</w:t>
      </w:r>
      <w:proofErr w:type="spellEnd"/>
      <w:r w:rsidRPr="007E50F7">
        <w:t>-111049, see Direct Testimony of Janet K. Phelps.</w:t>
      </w:r>
    </w:p>
  </w:footnote>
  <w:footnote w:id="34">
    <w:p w14:paraId="6CFC0ED4" w14:textId="77777777" w:rsidR="00E13E68" w:rsidRPr="007E50F7" w:rsidRDefault="00E13E68" w:rsidP="008A14BC">
      <w:pPr>
        <w:pStyle w:val="FootnoteText"/>
      </w:pPr>
      <w:r w:rsidRPr="007E50F7">
        <w:rPr>
          <w:rStyle w:val="FootnoteReference"/>
        </w:rPr>
        <w:footnoteRef/>
      </w:r>
      <w:r w:rsidRPr="007E50F7">
        <w:t xml:space="preserve"> Direct Testimony of Tara L. Knox, Exhibit No. ___ (</w:t>
      </w:r>
      <w:proofErr w:type="spellStart"/>
      <w:r w:rsidRPr="007E50F7">
        <w:t>TLK</w:t>
      </w:r>
      <w:proofErr w:type="spellEnd"/>
      <w:r w:rsidRPr="007E50F7">
        <w:t xml:space="preserve">-5), </w:t>
      </w:r>
      <w:r w:rsidR="003A477D">
        <w:t>at</w:t>
      </w:r>
      <w:r w:rsidRPr="007E50F7">
        <w:t xml:space="preserve"> 5.</w:t>
      </w:r>
    </w:p>
  </w:footnote>
  <w:footnote w:id="35">
    <w:p w14:paraId="6CFC0ED5" w14:textId="77777777" w:rsidR="00E13E68" w:rsidRPr="007E50F7" w:rsidRDefault="00E13E68" w:rsidP="008A14BC">
      <w:pPr>
        <w:pStyle w:val="FootnoteText"/>
      </w:pPr>
      <w:r w:rsidRPr="007E50F7">
        <w:rPr>
          <w:rStyle w:val="FootnoteReference"/>
        </w:rPr>
        <w:footnoteRef/>
      </w:r>
      <w:r w:rsidRPr="007E50F7">
        <w:t xml:space="preserve"> </w:t>
      </w:r>
      <w:r w:rsidRPr="007E50F7">
        <w:rPr>
          <w:i/>
        </w:rPr>
        <w:t>Utilities &amp; Transp. Comm’n v. Puget Sound Energy, Inc.</w:t>
      </w:r>
      <w:r w:rsidRPr="007E50F7">
        <w:t xml:space="preserve">, Dockets </w:t>
      </w:r>
      <w:proofErr w:type="spellStart"/>
      <w:r w:rsidRPr="007E50F7">
        <w:t>UE</w:t>
      </w:r>
      <w:proofErr w:type="spellEnd"/>
      <w:r w:rsidRPr="007E50F7">
        <w:t xml:space="preserve">-111048 and </w:t>
      </w:r>
      <w:proofErr w:type="spellStart"/>
      <w:r w:rsidRPr="007E50F7">
        <w:t>UG</w:t>
      </w:r>
      <w:proofErr w:type="spellEnd"/>
      <w:r w:rsidRPr="007E50F7">
        <w:t xml:space="preserve">-111049, Order 08 (May 7, 2012), </w:t>
      </w:r>
      <w:r w:rsidR="003A477D">
        <w:t>at</w:t>
      </w:r>
      <w:r w:rsidRPr="007E50F7">
        <w:t xml:space="preserve"> 120.</w:t>
      </w:r>
    </w:p>
  </w:footnote>
  <w:footnote w:id="36">
    <w:p w14:paraId="6CFC0ED6" w14:textId="77777777" w:rsidR="00E13E68" w:rsidRPr="007E50F7" w:rsidRDefault="00E13E68" w:rsidP="008A14BC">
      <w:pPr>
        <w:pStyle w:val="FootnoteText"/>
      </w:pPr>
      <w:r w:rsidRPr="007E50F7">
        <w:rPr>
          <w:rStyle w:val="FootnoteReference"/>
        </w:rPr>
        <w:footnoteRef/>
      </w:r>
      <w:r w:rsidRPr="007E50F7">
        <w:t xml:space="preserve"> For Dockets </w:t>
      </w:r>
      <w:proofErr w:type="spellStart"/>
      <w:r w:rsidRPr="007E50F7">
        <w:t>UE</w:t>
      </w:r>
      <w:proofErr w:type="spellEnd"/>
      <w:r w:rsidRPr="007E50F7">
        <w:t xml:space="preserve">-111048 and </w:t>
      </w:r>
      <w:proofErr w:type="spellStart"/>
      <w:r w:rsidRPr="007E50F7">
        <w:t>UG</w:t>
      </w:r>
      <w:proofErr w:type="spellEnd"/>
      <w:r w:rsidRPr="007E50F7">
        <w:t xml:space="preserve">-111049, see the </w:t>
      </w:r>
      <w:proofErr w:type="spellStart"/>
      <w:r w:rsidRPr="007E50F7">
        <w:t>Prefiled</w:t>
      </w:r>
      <w:proofErr w:type="spellEnd"/>
      <w:r w:rsidRPr="007E50F7">
        <w:t xml:space="preserve"> Direct Testimony (</w:t>
      </w:r>
      <w:proofErr w:type="spellStart"/>
      <w:r w:rsidRPr="007E50F7">
        <w:t>Nonconfidential</w:t>
      </w:r>
      <w:proofErr w:type="spellEnd"/>
      <w:r w:rsidRPr="007E50F7">
        <w:t xml:space="preserve">) of Jon A. </w:t>
      </w:r>
      <w:proofErr w:type="spellStart"/>
      <w:r w:rsidRPr="007E50F7">
        <w:t>Piliaris</w:t>
      </w:r>
      <w:proofErr w:type="spellEnd"/>
      <w:r w:rsidR="003A477D">
        <w:t>,</w:t>
      </w:r>
      <w:r w:rsidRPr="007E50F7">
        <w:t xml:space="preserve"> Exhibit No. ___ (JAP-</w:t>
      </w:r>
      <w:proofErr w:type="spellStart"/>
      <w:r w:rsidRPr="007E50F7">
        <w:t>1T</w:t>
      </w:r>
      <w:proofErr w:type="spellEnd"/>
      <w:r w:rsidRPr="007E50F7">
        <w:t xml:space="preserve">) and </w:t>
      </w:r>
      <w:proofErr w:type="spellStart"/>
      <w:r w:rsidRPr="007E50F7">
        <w:t>Prefiled</w:t>
      </w:r>
      <w:proofErr w:type="spellEnd"/>
      <w:r w:rsidRPr="007E50F7">
        <w:t xml:space="preserve"> Direct Testimony (</w:t>
      </w:r>
      <w:proofErr w:type="spellStart"/>
      <w:r w:rsidRPr="007E50F7">
        <w:t>Nonconfidential</w:t>
      </w:r>
      <w:proofErr w:type="spellEnd"/>
      <w:r w:rsidRPr="007E50F7">
        <w:t>) of Janet K. Phelps</w:t>
      </w:r>
      <w:r w:rsidR="003A477D">
        <w:t>,</w:t>
      </w:r>
      <w:r w:rsidRPr="007E50F7">
        <w:t xml:space="preserve"> Exhibit No. ___ (</w:t>
      </w:r>
      <w:proofErr w:type="spellStart"/>
      <w:r w:rsidRPr="007E50F7">
        <w:t>JKP-1T</w:t>
      </w:r>
      <w:proofErr w:type="spellEnd"/>
      <w:r w:rsidRPr="007E50F7">
        <w:t>).</w:t>
      </w:r>
    </w:p>
  </w:footnote>
  <w:footnote w:id="37">
    <w:p w14:paraId="6CFC0ED7" w14:textId="77777777" w:rsidR="00E13E68" w:rsidRPr="007E50F7" w:rsidRDefault="00E13E68">
      <w:pPr>
        <w:pStyle w:val="FootnoteText"/>
      </w:pPr>
      <w:r w:rsidRPr="007E50F7">
        <w:rPr>
          <w:rStyle w:val="FootnoteReference"/>
        </w:rPr>
        <w:footnoteRef/>
      </w:r>
      <w:r w:rsidRPr="007E50F7">
        <w:t xml:space="preserve"> Exhibit No. ___ (</w:t>
      </w:r>
      <w:proofErr w:type="spellStart"/>
      <w:r w:rsidRPr="007E50F7">
        <w:t>CTM</w:t>
      </w:r>
      <w:proofErr w:type="spellEnd"/>
      <w:r w:rsidRPr="007E50F7">
        <w:t xml:space="preserve">-7), </w:t>
      </w:r>
      <w:r w:rsidR="003F7A18">
        <w:t>at</w:t>
      </w:r>
      <w:r w:rsidRPr="007E50F7">
        <w:t xml:space="preserve"> 5, line 20.</w:t>
      </w:r>
    </w:p>
  </w:footnote>
  <w:footnote w:id="38">
    <w:p w14:paraId="6CFC0ED8" w14:textId="77777777" w:rsidR="00E13E68" w:rsidRPr="007E50F7" w:rsidRDefault="00E13E68">
      <w:pPr>
        <w:pStyle w:val="FootnoteText"/>
      </w:pPr>
      <w:r w:rsidRPr="007E50F7">
        <w:rPr>
          <w:rStyle w:val="FootnoteReference"/>
        </w:rPr>
        <w:footnoteRef/>
      </w:r>
      <w:r w:rsidRPr="007E50F7">
        <w:t xml:space="preserve"> Exhibit No. ___ (</w:t>
      </w:r>
      <w:proofErr w:type="spellStart"/>
      <w:r w:rsidRPr="007E50F7">
        <w:t>CTM</w:t>
      </w:r>
      <w:proofErr w:type="spellEnd"/>
      <w:r w:rsidRPr="007E50F7">
        <w:t xml:space="preserve">-7), </w:t>
      </w:r>
      <w:r w:rsidR="003F7A18">
        <w:t>at</w:t>
      </w:r>
      <w:r w:rsidRPr="007E50F7">
        <w:t xml:space="preserve"> 1.</w:t>
      </w:r>
    </w:p>
  </w:footnote>
  <w:footnote w:id="39">
    <w:p w14:paraId="6CFC0ED9" w14:textId="77777777" w:rsidR="00E13E68" w:rsidRPr="007E50F7" w:rsidRDefault="00E13E68" w:rsidP="005D1E84">
      <w:pPr>
        <w:pStyle w:val="FootnoteText"/>
      </w:pPr>
      <w:r w:rsidRPr="007E50F7">
        <w:rPr>
          <w:rStyle w:val="FootnoteReference"/>
        </w:rPr>
        <w:footnoteRef/>
      </w:r>
      <w:r w:rsidRPr="007E50F7">
        <w:t xml:space="preserve"> Exhibit No ___ (</w:t>
      </w:r>
      <w:proofErr w:type="spellStart"/>
      <w:r w:rsidRPr="007E50F7">
        <w:t>CTM</w:t>
      </w:r>
      <w:proofErr w:type="spellEnd"/>
      <w:r w:rsidRPr="007E50F7">
        <w:t xml:space="preserve">-6), </w:t>
      </w:r>
      <w:r w:rsidR="003F7A18">
        <w:t>at</w:t>
      </w:r>
      <w:r w:rsidRPr="007E50F7">
        <w:t xml:space="preserve"> 3.</w:t>
      </w:r>
    </w:p>
  </w:footnote>
  <w:footnote w:id="40">
    <w:p w14:paraId="6CFC0EDA" w14:textId="77777777" w:rsidR="00E13E68" w:rsidRDefault="00E13E68">
      <w:pPr>
        <w:pStyle w:val="FootnoteText"/>
      </w:pPr>
      <w:r w:rsidRPr="007E50F7">
        <w:rPr>
          <w:rStyle w:val="FootnoteReference"/>
        </w:rPr>
        <w:footnoteRef/>
      </w:r>
      <w:r w:rsidRPr="007E50F7">
        <w:t xml:space="preserve"> </w:t>
      </w:r>
      <w:r w:rsidRPr="007E50F7">
        <w:rPr>
          <w:i/>
          <w:iCs/>
        </w:rPr>
        <w:t>Utilities &amp; Transp. Comm’n v. Pacific Power &amp; Light Company, Puget Sound Power &amp; Light Company, and the Washington Water Power Company</w:t>
      </w:r>
      <w:r w:rsidRPr="007E50F7">
        <w:t xml:space="preserve">, Cause U-78-05, Commission Decision and Order (October 29, 1980), </w:t>
      </w:r>
      <w:r w:rsidR="003F7A18">
        <w:t>at</w:t>
      </w:r>
      <w:r w:rsidRPr="007E50F7">
        <w:t xml:space="preserve">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1A10"/>
    <w:multiLevelType w:val="hybridMultilevel"/>
    <w:tmpl w:val="8C2869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ED1DBC"/>
    <w:multiLevelType w:val="hybridMultilevel"/>
    <w:tmpl w:val="DBB2FC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A14C71"/>
    <w:multiLevelType w:val="hybridMultilevel"/>
    <w:tmpl w:val="B522594E"/>
    <w:lvl w:ilvl="0" w:tplc="04090015">
      <w:start w:val="17"/>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4D17C1F"/>
    <w:multiLevelType w:val="hybridMultilevel"/>
    <w:tmpl w:val="1D06D0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5CC0FF8"/>
    <w:multiLevelType w:val="hybridMultilevel"/>
    <w:tmpl w:val="BBDC97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06CA16A5"/>
    <w:multiLevelType w:val="hybridMultilevel"/>
    <w:tmpl w:val="DC6225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40595B"/>
    <w:multiLevelType w:val="hybridMultilevel"/>
    <w:tmpl w:val="870A20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ADA027A"/>
    <w:multiLevelType w:val="hybridMultilevel"/>
    <w:tmpl w:val="5276CD52"/>
    <w:lvl w:ilvl="0" w:tplc="607CD3CE">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786D0F"/>
    <w:multiLevelType w:val="hybridMultilevel"/>
    <w:tmpl w:val="9E9C54E8"/>
    <w:lvl w:ilvl="0" w:tplc="607CD3CE">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B76916"/>
    <w:multiLevelType w:val="hybridMultilevel"/>
    <w:tmpl w:val="6772FE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B9F6312"/>
    <w:multiLevelType w:val="hybridMultilevel"/>
    <w:tmpl w:val="E48429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BC2D99"/>
    <w:multiLevelType w:val="hybridMultilevel"/>
    <w:tmpl w:val="23B8D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D8A6C39"/>
    <w:multiLevelType w:val="hybridMultilevel"/>
    <w:tmpl w:val="8B26AB80"/>
    <w:lvl w:ilvl="0" w:tplc="C0D2EACC">
      <w:start w:val="1"/>
      <w:numFmt w:val="decimal"/>
      <w:pStyle w:val="Heading6"/>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A74B03"/>
    <w:multiLevelType w:val="hybridMultilevel"/>
    <w:tmpl w:val="96C8ECB6"/>
    <w:lvl w:ilvl="0" w:tplc="EDCEBF16">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CBB1692"/>
    <w:multiLevelType w:val="hybridMultilevel"/>
    <w:tmpl w:val="05FE3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F7C3D36"/>
    <w:multiLevelType w:val="hybridMultilevel"/>
    <w:tmpl w:val="26B425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2E33E4E"/>
    <w:multiLevelType w:val="multilevel"/>
    <w:tmpl w:val="CF5A29B6"/>
    <w:lvl w:ilvl="0">
      <w:start w:val="1"/>
      <w:numFmt w:val="upperLetter"/>
      <w:lvlText w:val="%1."/>
      <w:lvlJc w:val="left"/>
      <w:pPr>
        <w:tabs>
          <w:tab w:val="num" w:pos="-90"/>
        </w:tabs>
        <w:ind w:left="-90" w:hanging="360"/>
      </w:pPr>
      <w:rPr>
        <w:rFonts w:hint="default"/>
      </w:rPr>
    </w:lvl>
    <w:lvl w:ilvl="1" w:tentative="1">
      <w:start w:val="1"/>
      <w:numFmt w:val="lowerLetter"/>
      <w:lvlText w:val="%2."/>
      <w:lvlJc w:val="left"/>
      <w:pPr>
        <w:tabs>
          <w:tab w:val="num" w:pos="630"/>
        </w:tabs>
        <w:ind w:left="630" w:hanging="360"/>
      </w:pPr>
    </w:lvl>
    <w:lvl w:ilvl="2" w:tentative="1">
      <w:start w:val="1"/>
      <w:numFmt w:val="lowerRoman"/>
      <w:lvlText w:val="%3."/>
      <w:lvlJc w:val="right"/>
      <w:pPr>
        <w:tabs>
          <w:tab w:val="num" w:pos="1350"/>
        </w:tabs>
        <w:ind w:left="1350" w:hanging="180"/>
      </w:pPr>
    </w:lvl>
    <w:lvl w:ilvl="3" w:tentative="1">
      <w:start w:val="1"/>
      <w:numFmt w:val="decimal"/>
      <w:lvlText w:val="%4."/>
      <w:lvlJc w:val="left"/>
      <w:pPr>
        <w:tabs>
          <w:tab w:val="num" w:pos="2070"/>
        </w:tabs>
        <w:ind w:left="2070" w:hanging="360"/>
      </w:pPr>
    </w:lvl>
    <w:lvl w:ilvl="4" w:tentative="1">
      <w:start w:val="1"/>
      <w:numFmt w:val="lowerLetter"/>
      <w:lvlText w:val="%5."/>
      <w:lvlJc w:val="left"/>
      <w:pPr>
        <w:tabs>
          <w:tab w:val="num" w:pos="2790"/>
        </w:tabs>
        <w:ind w:left="2790" w:hanging="360"/>
      </w:pPr>
    </w:lvl>
    <w:lvl w:ilvl="5" w:tentative="1">
      <w:start w:val="1"/>
      <w:numFmt w:val="lowerRoman"/>
      <w:lvlText w:val="%6."/>
      <w:lvlJc w:val="right"/>
      <w:pPr>
        <w:tabs>
          <w:tab w:val="num" w:pos="3510"/>
        </w:tabs>
        <w:ind w:left="3510" w:hanging="180"/>
      </w:pPr>
    </w:lvl>
    <w:lvl w:ilvl="6" w:tentative="1">
      <w:start w:val="1"/>
      <w:numFmt w:val="decimal"/>
      <w:lvlText w:val="%7."/>
      <w:lvlJc w:val="left"/>
      <w:pPr>
        <w:tabs>
          <w:tab w:val="num" w:pos="4230"/>
        </w:tabs>
        <w:ind w:left="4230" w:hanging="360"/>
      </w:pPr>
    </w:lvl>
    <w:lvl w:ilvl="7" w:tentative="1">
      <w:start w:val="1"/>
      <w:numFmt w:val="lowerLetter"/>
      <w:lvlText w:val="%8."/>
      <w:lvlJc w:val="left"/>
      <w:pPr>
        <w:tabs>
          <w:tab w:val="num" w:pos="4950"/>
        </w:tabs>
        <w:ind w:left="4950" w:hanging="360"/>
      </w:pPr>
    </w:lvl>
    <w:lvl w:ilvl="8" w:tentative="1">
      <w:start w:val="1"/>
      <w:numFmt w:val="lowerRoman"/>
      <w:lvlText w:val="%9."/>
      <w:lvlJc w:val="right"/>
      <w:pPr>
        <w:tabs>
          <w:tab w:val="num" w:pos="5670"/>
        </w:tabs>
        <w:ind w:left="5670" w:hanging="180"/>
      </w:pPr>
    </w:lvl>
  </w:abstractNum>
  <w:abstractNum w:abstractNumId="17">
    <w:nsid w:val="47C81199"/>
    <w:multiLevelType w:val="hybridMultilevel"/>
    <w:tmpl w:val="B522594E"/>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9895CA9"/>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9">
    <w:nsid w:val="4F53567A"/>
    <w:multiLevelType w:val="hybridMultilevel"/>
    <w:tmpl w:val="B522594E"/>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1DE01BE"/>
    <w:multiLevelType w:val="hybridMultilevel"/>
    <w:tmpl w:val="C4BE570C"/>
    <w:lvl w:ilvl="0" w:tplc="607CD3CE">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522F31"/>
    <w:multiLevelType w:val="multilevel"/>
    <w:tmpl w:val="D64CA00E"/>
    <w:lvl w:ilvl="0">
      <w:start w:val="1"/>
      <w:numFmt w:val="upperRoman"/>
      <w:pStyle w:val="Heading1"/>
      <w:lvlText w:val="%1."/>
      <w:lvlJc w:val="left"/>
      <w:pPr>
        <w:ind w:left="2160" w:firstLine="0"/>
      </w:pPr>
      <w:rPr>
        <w:rFonts w:hint="default"/>
      </w:rPr>
    </w:lvl>
    <w:lvl w:ilvl="1">
      <w:start w:val="1"/>
      <w:numFmt w:val="upperLetter"/>
      <w:lvlText w:val="%2."/>
      <w:lvlJc w:val="left"/>
      <w:pPr>
        <w:ind w:left="2880" w:firstLine="0"/>
      </w:pPr>
      <w:rPr>
        <w:rFonts w:hint="default"/>
      </w:rPr>
    </w:lvl>
    <w:lvl w:ilvl="2">
      <w:start w:val="1"/>
      <w:numFmt w:val="upperLetter"/>
      <w:pStyle w:val="Heading3"/>
      <w:lvlText w:val="%3."/>
      <w:lvlJc w:val="left"/>
      <w:pPr>
        <w:ind w:left="0" w:firstLine="0"/>
      </w:pPr>
      <w:rPr>
        <w:rFonts w:hint="default"/>
      </w:rPr>
    </w:lvl>
    <w:lvl w:ilvl="3">
      <w:start w:val="1"/>
      <w:numFmt w:val="decimal"/>
      <w:lvlText w:val="%4."/>
      <w:lvlJc w:val="left"/>
      <w:pPr>
        <w:ind w:left="4320" w:firstLine="0"/>
      </w:pPr>
      <w:rPr>
        <w:rFonts w:hint="default"/>
      </w:rPr>
    </w:lvl>
    <w:lvl w:ilvl="4">
      <w:start w:val="1"/>
      <w:numFmt w:val="decimal"/>
      <w:pStyle w:val="Heading5"/>
      <w:lvlText w:val="(%5)"/>
      <w:lvlJc w:val="left"/>
      <w:pPr>
        <w:ind w:left="5040" w:firstLine="0"/>
      </w:pPr>
      <w:rPr>
        <w:rFonts w:hint="default"/>
      </w:rPr>
    </w:lvl>
    <w:lvl w:ilvl="5">
      <w:start w:val="1"/>
      <w:numFmt w:val="lowerLetter"/>
      <w:lvlText w:val="(%6)"/>
      <w:lvlJc w:val="left"/>
      <w:pPr>
        <w:ind w:left="5760" w:firstLine="0"/>
      </w:pPr>
      <w:rPr>
        <w:rFonts w:hint="default"/>
      </w:rPr>
    </w:lvl>
    <w:lvl w:ilvl="6">
      <w:start w:val="1"/>
      <w:numFmt w:val="lowerRoman"/>
      <w:pStyle w:val="Heading7"/>
      <w:lvlText w:val="(%7)"/>
      <w:lvlJc w:val="left"/>
      <w:pPr>
        <w:ind w:left="6480" w:firstLine="0"/>
      </w:pPr>
      <w:rPr>
        <w:rFonts w:hint="default"/>
      </w:rPr>
    </w:lvl>
    <w:lvl w:ilvl="7">
      <w:start w:val="1"/>
      <w:numFmt w:val="lowerLetter"/>
      <w:pStyle w:val="Heading8"/>
      <w:lvlText w:val="(%8)"/>
      <w:lvlJc w:val="left"/>
      <w:pPr>
        <w:ind w:left="7200" w:firstLine="0"/>
      </w:pPr>
      <w:rPr>
        <w:rFonts w:hint="default"/>
      </w:rPr>
    </w:lvl>
    <w:lvl w:ilvl="8">
      <w:start w:val="1"/>
      <w:numFmt w:val="lowerRoman"/>
      <w:pStyle w:val="Heading9"/>
      <w:lvlText w:val="(%9)"/>
      <w:lvlJc w:val="left"/>
      <w:pPr>
        <w:ind w:left="7920" w:firstLine="0"/>
      </w:pPr>
      <w:rPr>
        <w:rFonts w:hint="default"/>
      </w:rPr>
    </w:lvl>
  </w:abstractNum>
  <w:abstractNum w:abstractNumId="22">
    <w:nsid w:val="5E3D211F"/>
    <w:multiLevelType w:val="hybridMultilevel"/>
    <w:tmpl w:val="AD9A5B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1A0723A"/>
    <w:multiLevelType w:val="hybridMultilevel"/>
    <w:tmpl w:val="F1388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F035D6B"/>
    <w:multiLevelType w:val="hybridMultilevel"/>
    <w:tmpl w:val="35A2158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7"/>
  </w:num>
  <w:num w:numId="2">
    <w:abstractNumId w:val="7"/>
  </w:num>
  <w:num w:numId="3">
    <w:abstractNumId w:val="2"/>
  </w:num>
  <w:num w:numId="4">
    <w:abstractNumId w:val="19"/>
  </w:num>
  <w:num w:numId="5">
    <w:abstractNumId w:val="8"/>
  </w:num>
  <w:num w:numId="6">
    <w:abstractNumId w:val="20"/>
  </w:num>
  <w:num w:numId="7">
    <w:abstractNumId w:val="15"/>
  </w:num>
  <w:num w:numId="8">
    <w:abstractNumId w:val="13"/>
  </w:num>
  <w:num w:numId="9">
    <w:abstractNumId w:val="21"/>
  </w:num>
  <w:num w:numId="10">
    <w:abstractNumId w:val="0"/>
  </w:num>
  <w:num w:numId="11">
    <w:abstractNumId w:val="21"/>
  </w:num>
  <w:num w:numId="12">
    <w:abstractNumId w:val="12"/>
  </w:num>
  <w:num w:numId="13">
    <w:abstractNumId w:val="21"/>
  </w:num>
  <w:num w:numId="14">
    <w:abstractNumId w:val="12"/>
  </w:num>
  <w:num w:numId="15">
    <w:abstractNumId w:val="12"/>
    <w:lvlOverride w:ilvl="0">
      <w:startOverride w:val="1"/>
    </w:lvlOverride>
  </w:num>
  <w:num w:numId="16">
    <w:abstractNumId w:val="22"/>
  </w:num>
  <w:num w:numId="17">
    <w:abstractNumId w:val="10"/>
  </w:num>
  <w:num w:numId="18">
    <w:abstractNumId w:val="3"/>
  </w:num>
  <w:num w:numId="19">
    <w:abstractNumId w:val="2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5"/>
  </w:num>
  <w:num w:numId="27">
    <w:abstractNumId w:val="24"/>
  </w:num>
  <w:num w:numId="28">
    <w:abstractNumId w:val="23"/>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9"/>
  </w:num>
  <w:num w:numId="32">
    <w:abstractNumId w:val="14"/>
  </w:num>
  <w:num w:numId="33">
    <w:abstractNumId w:val="11"/>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num>
  <w:num w:numId="40">
    <w:abstractNumId w:val="12"/>
  </w:num>
  <w:num w:numId="41">
    <w:abstractNumId w:val="12"/>
    <w:lvlOverride w:ilvl="0">
      <w:startOverride w:val="1"/>
    </w:lvlOverride>
  </w:num>
  <w:num w:numId="42">
    <w:abstractNumId w:val="12"/>
    <w:lvlOverride w:ilvl="0">
      <w:startOverride w:val="1"/>
    </w:lvlOverride>
  </w:num>
  <w:num w:numId="43">
    <w:abstractNumId w:val="4"/>
  </w:num>
  <w:num w:numId="44">
    <w:abstractNumId w:val="6"/>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hideSpellingErrors/>
  <w:hideGrammaticalErrors/>
  <w:proofState w:spelling="clean"/>
  <w:defaultTabStop w:val="720"/>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1C"/>
    <w:rsid w:val="000004F0"/>
    <w:rsid w:val="00000DA1"/>
    <w:rsid w:val="00001A45"/>
    <w:rsid w:val="00002ADF"/>
    <w:rsid w:val="00003A61"/>
    <w:rsid w:val="00004DA8"/>
    <w:rsid w:val="00011667"/>
    <w:rsid w:val="00014E7F"/>
    <w:rsid w:val="00017601"/>
    <w:rsid w:val="000212EF"/>
    <w:rsid w:val="0002192E"/>
    <w:rsid w:val="000220EF"/>
    <w:rsid w:val="00022279"/>
    <w:rsid w:val="00030201"/>
    <w:rsid w:val="00030C90"/>
    <w:rsid w:val="00033013"/>
    <w:rsid w:val="000367EB"/>
    <w:rsid w:val="00040A50"/>
    <w:rsid w:val="000413E6"/>
    <w:rsid w:val="00041FF6"/>
    <w:rsid w:val="000441B0"/>
    <w:rsid w:val="00052F2A"/>
    <w:rsid w:val="00054063"/>
    <w:rsid w:val="0005488A"/>
    <w:rsid w:val="000555FF"/>
    <w:rsid w:val="000559D0"/>
    <w:rsid w:val="00062CD2"/>
    <w:rsid w:val="0006430B"/>
    <w:rsid w:val="0006490F"/>
    <w:rsid w:val="0007072A"/>
    <w:rsid w:val="00072CA3"/>
    <w:rsid w:val="000734CE"/>
    <w:rsid w:val="00074BFB"/>
    <w:rsid w:val="00075886"/>
    <w:rsid w:val="000760DE"/>
    <w:rsid w:val="0007674B"/>
    <w:rsid w:val="00083508"/>
    <w:rsid w:val="000847F9"/>
    <w:rsid w:val="00084EF8"/>
    <w:rsid w:val="00084F0A"/>
    <w:rsid w:val="00086C58"/>
    <w:rsid w:val="000905D9"/>
    <w:rsid w:val="000924F2"/>
    <w:rsid w:val="0009260F"/>
    <w:rsid w:val="00093C77"/>
    <w:rsid w:val="0009484C"/>
    <w:rsid w:val="00095FD4"/>
    <w:rsid w:val="000A04F0"/>
    <w:rsid w:val="000A0CBC"/>
    <w:rsid w:val="000A2AEE"/>
    <w:rsid w:val="000A4379"/>
    <w:rsid w:val="000A7214"/>
    <w:rsid w:val="000A757C"/>
    <w:rsid w:val="000B092E"/>
    <w:rsid w:val="000B1479"/>
    <w:rsid w:val="000B1817"/>
    <w:rsid w:val="000B5F9E"/>
    <w:rsid w:val="000B7175"/>
    <w:rsid w:val="000C4D4B"/>
    <w:rsid w:val="000C6862"/>
    <w:rsid w:val="000D22BB"/>
    <w:rsid w:val="000D6F4B"/>
    <w:rsid w:val="000D7DC5"/>
    <w:rsid w:val="000D7E3C"/>
    <w:rsid w:val="000E3D47"/>
    <w:rsid w:val="000E4A0D"/>
    <w:rsid w:val="000E4DA0"/>
    <w:rsid w:val="000F087D"/>
    <w:rsid w:val="000F18F5"/>
    <w:rsid w:val="000F2542"/>
    <w:rsid w:val="000F4165"/>
    <w:rsid w:val="000F63FD"/>
    <w:rsid w:val="000F6F3C"/>
    <w:rsid w:val="000F6FC2"/>
    <w:rsid w:val="000F739B"/>
    <w:rsid w:val="000F743B"/>
    <w:rsid w:val="00100D8D"/>
    <w:rsid w:val="00101BD5"/>
    <w:rsid w:val="00101F7E"/>
    <w:rsid w:val="00103139"/>
    <w:rsid w:val="001065AA"/>
    <w:rsid w:val="00106FDD"/>
    <w:rsid w:val="00107408"/>
    <w:rsid w:val="00111854"/>
    <w:rsid w:val="00111A87"/>
    <w:rsid w:val="00111C42"/>
    <w:rsid w:val="00116A80"/>
    <w:rsid w:val="00117A3E"/>
    <w:rsid w:val="00117AD1"/>
    <w:rsid w:val="00122B97"/>
    <w:rsid w:val="00122CAF"/>
    <w:rsid w:val="00123644"/>
    <w:rsid w:val="001324EA"/>
    <w:rsid w:val="00134F13"/>
    <w:rsid w:val="001370AB"/>
    <w:rsid w:val="001372D4"/>
    <w:rsid w:val="0014069B"/>
    <w:rsid w:val="00140E11"/>
    <w:rsid w:val="001414A2"/>
    <w:rsid w:val="00145FFF"/>
    <w:rsid w:val="00146A9C"/>
    <w:rsid w:val="001511AA"/>
    <w:rsid w:val="00153ECA"/>
    <w:rsid w:val="00154646"/>
    <w:rsid w:val="00155E61"/>
    <w:rsid w:val="00160E4E"/>
    <w:rsid w:val="0016261B"/>
    <w:rsid w:val="00164006"/>
    <w:rsid w:val="001665FF"/>
    <w:rsid w:val="00167B0D"/>
    <w:rsid w:val="00170D63"/>
    <w:rsid w:val="00170F31"/>
    <w:rsid w:val="00172273"/>
    <w:rsid w:val="00172925"/>
    <w:rsid w:val="00173051"/>
    <w:rsid w:val="0017343E"/>
    <w:rsid w:val="00173897"/>
    <w:rsid w:val="00176609"/>
    <w:rsid w:val="00183A08"/>
    <w:rsid w:val="00184851"/>
    <w:rsid w:val="00185892"/>
    <w:rsid w:val="00186965"/>
    <w:rsid w:val="001876BA"/>
    <w:rsid w:val="00191780"/>
    <w:rsid w:val="001939D1"/>
    <w:rsid w:val="001953D6"/>
    <w:rsid w:val="001972A1"/>
    <w:rsid w:val="001A0C64"/>
    <w:rsid w:val="001A0FCE"/>
    <w:rsid w:val="001A1063"/>
    <w:rsid w:val="001A1D36"/>
    <w:rsid w:val="001A1F78"/>
    <w:rsid w:val="001A2038"/>
    <w:rsid w:val="001A2C8F"/>
    <w:rsid w:val="001A2E26"/>
    <w:rsid w:val="001A3A77"/>
    <w:rsid w:val="001B00FA"/>
    <w:rsid w:val="001B0420"/>
    <w:rsid w:val="001B3ACE"/>
    <w:rsid w:val="001B41C0"/>
    <w:rsid w:val="001B527C"/>
    <w:rsid w:val="001C2E22"/>
    <w:rsid w:val="001C422E"/>
    <w:rsid w:val="001C5ABF"/>
    <w:rsid w:val="001C610C"/>
    <w:rsid w:val="001C7470"/>
    <w:rsid w:val="001D179A"/>
    <w:rsid w:val="001D211D"/>
    <w:rsid w:val="001D3321"/>
    <w:rsid w:val="001E1863"/>
    <w:rsid w:val="001E2829"/>
    <w:rsid w:val="001E410C"/>
    <w:rsid w:val="001E43AE"/>
    <w:rsid w:val="001E68D4"/>
    <w:rsid w:val="001E77D0"/>
    <w:rsid w:val="001F03B0"/>
    <w:rsid w:val="001F065B"/>
    <w:rsid w:val="001F1BF2"/>
    <w:rsid w:val="001F4EBF"/>
    <w:rsid w:val="001F5956"/>
    <w:rsid w:val="001F7125"/>
    <w:rsid w:val="001F74E0"/>
    <w:rsid w:val="001F7EDF"/>
    <w:rsid w:val="00202B29"/>
    <w:rsid w:val="00203824"/>
    <w:rsid w:val="00206413"/>
    <w:rsid w:val="002079A6"/>
    <w:rsid w:val="002079C0"/>
    <w:rsid w:val="00212851"/>
    <w:rsid w:val="002153E8"/>
    <w:rsid w:val="00221157"/>
    <w:rsid w:val="0022334C"/>
    <w:rsid w:val="00225059"/>
    <w:rsid w:val="0022566C"/>
    <w:rsid w:val="002257DF"/>
    <w:rsid w:val="00226528"/>
    <w:rsid w:val="002278F2"/>
    <w:rsid w:val="00230710"/>
    <w:rsid w:val="00230E81"/>
    <w:rsid w:val="00232F27"/>
    <w:rsid w:val="00233F91"/>
    <w:rsid w:val="0023452D"/>
    <w:rsid w:val="00234FD5"/>
    <w:rsid w:val="002429C8"/>
    <w:rsid w:val="00243D59"/>
    <w:rsid w:val="00243DA5"/>
    <w:rsid w:val="002460EF"/>
    <w:rsid w:val="002476CE"/>
    <w:rsid w:val="00250327"/>
    <w:rsid w:val="00250D4D"/>
    <w:rsid w:val="00250F45"/>
    <w:rsid w:val="00251502"/>
    <w:rsid w:val="00251BED"/>
    <w:rsid w:val="00252294"/>
    <w:rsid w:val="002523A7"/>
    <w:rsid w:val="00254CB5"/>
    <w:rsid w:val="00255414"/>
    <w:rsid w:val="00255655"/>
    <w:rsid w:val="00256C92"/>
    <w:rsid w:val="00262218"/>
    <w:rsid w:val="0026256B"/>
    <w:rsid w:val="002627B3"/>
    <w:rsid w:val="002628E4"/>
    <w:rsid w:val="00264C9B"/>
    <w:rsid w:val="002660C6"/>
    <w:rsid w:val="00266993"/>
    <w:rsid w:val="002706E8"/>
    <w:rsid w:val="00271119"/>
    <w:rsid w:val="00276957"/>
    <w:rsid w:val="002804E8"/>
    <w:rsid w:val="00280685"/>
    <w:rsid w:val="002815E0"/>
    <w:rsid w:val="00281AAC"/>
    <w:rsid w:val="00283BEF"/>
    <w:rsid w:val="002845CB"/>
    <w:rsid w:val="00286C00"/>
    <w:rsid w:val="0028727E"/>
    <w:rsid w:val="00287EA7"/>
    <w:rsid w:val="00291EED"/>
    <w:rsid w:val="00293511"/>
    <w:rsid w:val="002951A8"/>
    <w:rsid w:val="00296ED8"/>
    <w:rsid w:val="002A134A"/>
    <w:rsid w:val="002A1C15"/>
    <w:rsid w:val="002A3397"/>
    <w:rsid w:val="002A4DF6"/>
    <w:rsid w:val="002A5205"/>
    <w:rsid w:val="002B7339"/>
    <w:rsid w:val="002B7347"/>
    <w:rsid w:val="002C0D82"/>
    <w:rsid w:val="002C11AF"/>
    <w:rsid w:val="002C23CD"/>
    <w:rsid w:val="002C333C"/>
    <w:rsid w:val="002C3CBB"/>
    <w:rsid w:val="002C70DF"/>
    <w:rsid w:val="002C7491"/>
    <w:rsid w:val="002D10CD"/>
    <w:rsid w:val="002D34A4"/>
    <w:rsid w:val="002D48A0"/>
    <w:rsid w:val="002D7DCE"/>
    <w:rsid w:val="002E058A"/>
    <w:rsid w:val="002E1A8C"/>
    <w:rsid w:val="002E4CFF"/>
    <w:rsid w:val="002F1187"/>
    <w:rsid w:val="002F15FA"/>
    <w:rsid w:val="002F181B"/>
    <w:rsid w:val="002F39CF"/>
    <w:rsid w:val="002F3C6D"/>
    <w:rsid w:val="002F41FA"/>
    <w:rsid w:val="002F529C"/>
    <w:rsid w:val="002F70F7"/>
    <w:rsid w:val="00305012"/>
    <w:rsid w:val="003056FE"/>
    <w:rsid w:val="00305F27"/>
    <w:rsid w:val="00307183"/>
    <w:rsid w:val="003079AE"/>
    <w:rsid w:val="00312AA5"/>
    <w:rsid w:val="00315B76"/>
    <w:rsid w:val="00320C17"/>
    <w:rsid w:val="00320E01"/>
    <w:rsid w:val="00321477"/>
    <w:rsid w:val="00322669"/>
    <w:rsid w:val="00324A58"/>
    <w:rsid w:val="00324FD1"/>
    <w:rsid w:val="00325954"/>
    <w:rsid w:val="00326B08"/>
    <w:rsid w:val="00333A0A"/>
    <w:rsid w:val="0033452A"/>
    <w:rsid w:val="0033492B"/>
    <w:rsid w:val="0033742A"/>
    <w:rsid w:val="0034049B"/>
    <w:rsid w:val="00340711"/>
    <w:rsid w:val="00342685"/>
    <w:rsid w:val="003429DD"/>
    <w:rsid w:val="003430BA"/>
    <w:rsid w:val="00344D85"/>
    <w:rsid w:val="00345DAF"/>
    <w:rsid w:val="00346202"/>
    <w:rsid w:val="003466EE"/>
    <w:rsid w:val="0034764E"/>
    <w:rsid w:val="00350637"/>
    <w:rsid w:val="00350AA3"/>
    <w:rsid w:val="00351D79"/>
    <w:rsid w:val="003523AA"/>
    <w:rsid w:val="00353252"/>
    <w:rsid w:val="003602A5"/>
    <w:rsid w:val="0036396B"/>
    <w:rsid w:val="003657C9"/>
    <w:rsid w:val="00367458"/>
    <w:rsid w:val="00367AE6"/>
    <w:rsid w:val="00370D29"/>
    <w:rsid w:val="003710D8"/>
    <w:rsid w:val="00372CA0"/>
    <w:rsid w:val="0037436F"/>
    <w:rsid w:val="003748B7"/>
    <w:rsid w:val="003751F5"/>
    <w:rsid w:val="0037537D"/>
    <w:rsid w:val="00375A8E"/>
    <w:rsid w:val="00376BA8"/>
    <w:rsid w:val="003831A5"/>
    <w:rsid w:val="00384FFB"/>
    <w:rsid w:val="00385622"/>
    <w:rsid w:val="00385D34"/>
    <w:rsid w:val="00390584"/>
    <w:rsid w:val="00391D78"/>
    <w:rsid w:val="00393872"/>
    <w:rsid w:val="003939F9"/>
    <w:rsid w:val="00394237"/>
    <w:rsid w:val="00395790"/>
    <w:rsid w:val="00396CC9"/>
    <w:rsid w:val="0039778D"/>
    <w:rsid w:val="003A238D"/>
    <w:rsid w:val="003A2545"/>
    <w:rsid w:val="003A2FA5"/>
    <w:rsid w:val="003A3F2E"/>
    <w:rsid w:val="003A477D"/>
    <w:rsid w:val="003A59FD"/>
    <w:rsid w:val="003A7AD8"/>
    <w:rsid w:val="003A7B3A"/>
    <w:rsid w:val="003B179C"/>
    <w:rsid w:val="003B47C5"/>
    <w:rsid w:val="003B556F"/>
    <w:rsid w:val="003B5571"/>
    <w:rsid w:val="003B59ED"/>
    <w:rsid w:val="003C0C07"/>
    <w:rsid w:val="003C3F25"/>
    <w:rsid w:val="003C449C"/>
    <w:rsid w:val="003C515B"/>
    <w:rsid w:val="003C6072"/>
    <w:rsid w:val="003C75B1"/>
    <w:rsid w:val="003D0662"/>
    <w:rsid w:val="003D0FC9"/>
    <w:rsid w:val="003D3FF2"/>
    <w:rsid w:val="003E0848"/>
    <w:rsid w:val="003E0CC4"/>
    <w:rsid w:val="003E2616"/>
    <w:rsid w:val="003E4721"/>
    <w:rsid w:val="003E4BC3"/>
    <w:rsid w:val="003E4D91"/>
    <w:rsid w:val="003E5276"/>
    <w:rsid w:val="003F0541"/>
    <w:rsid w:val="003F05B3"/>
    <w:rsid w:val="003F1875"/>
    <w:rsid w:val="003F20DF"/>
    <w:rsid w:val="003F2C59"/>
    <w:rsid w:val="003F37AF"/>
    <w:rsid w:val="003F3D97"/>
    <w:rsid w:val="003F401B"/>
    <w:rsid w:val="003F5E8A"/>
    <w:rsid w:val="003F7A18"/>
    <w:rsid w:val="004003A6"/>
    <w:rsid w:val="00400F72"/>
    <w:rsid w:val="0040325B"/>
    <w:rsid w:val="0040543E"/>
    <w:rsid w:val="00407637"/>
    <w:rsid w:val="00407E70"/>
    <w:rsid w:val="004120E1"/>
    <w:rsid w:val="00415837"/>
    <w:rsid w:val="004162C7"/>
    <w:rsid w:val="004163AD"/>
    <w:rsid w:val="00421E84"/>
    <w:rsid w:val="00422B1B"/>
    <w:rsid w:val="00423389"/>
    <w:rsid w:val="00424933"/>
    <w:rsid w:val="004264F8"/>
    <w:rsid w:val="004320BD"/>
    <w:rsid w:val="004333F3"/>
    <w:rsid w:val="0043396E"/>
    <w:rsid w:val="00433A19"/>
    <w:rsid w:val="00434467"/>
    <w:rsid w:val="00436D4F"/>
    <w:rsid w:val="00436E57"/>
    <w:rsid w:val="00440606"/>
    <w:rsid w:val="00441292"/>
    <w:rsid w:val="0044178F"/>
    <w:rsid w:val="00442D35"/>
    <w:rsid w:val="0044342E"/>
    <w:rsid w:val="00443AF2"/>
    <w:rsid w:val="00444CDF"/>
    <w:rsid w:val="00445CD1"/>
    <w:rsid w:val="00447D5B"/>
    <w:rsid w:val="00450DEB"/>
    <w:rsid w:val="004520DF"/>
    <w:rsid w:val="00453AF0"/>
    <w:rsid w:val="0045672A"/>
    <w:rsid w:val="00461C56"/>
    <w:rsid w:val="00463017"/>
    <w:rsid w:val="00464A47"/>
    <w:rsid w:val="0046556C"/>
    <w:rsid w:val="00471089"/>
    <w:rsid w:val="0047302B"/>
    <w:rsid w:val="00474547"/>
    <w:rsid w:val="00474D4A"/>
    <w:rsid w:val="004755B0"/>
    <w:rsid w:val="004759D8"/>
    <w:rsid w:val="00477F8A"/>
    <w:rsid w:val="00481631"/>
    <w:rsid w:val="0048192E"/>
    <w:rsid w:val="004828CF"/>
    <w:rsid w:val="00484857"/>
    <w:rsid w:val="0049194C"/>
    <w:rsid w:val="0049367F"/>
    <w:rsid w:val="004969E0"/>
    <w:rsid w:val="00496CE6"/>
    <w:rsid w:val="004A008A"/>
    <w:rsid w:val="004A2192"/>
    <w:rsid w:val="004A34CD"/>
    <w:rsid w:val="004A6E3D"/>
    <w:rsid w:val="004B1E46"/>
    <w:rsid w:val="004B1F6A"/>
    <w:rsid w:val="004B3B69"/>
    <w:rsid w:val="004B5E62"/>
    <w:rsid w:val="004B7B45"/>
    <w:rsid w:val="004C193E"/>
    <w:rsid w:val="004C1B55"/>
    <w:rsid w:val="004C2288"/>
    <w:rsid w:val="004C2599"/>
    <w:rsid w:val="004C2C83"/>
    <w:rsid w:val="004C32CB"/>
    <w:rsid w:val="004C34F7"/>
    <w:rsid w:val="004C3BB0"/>
    <w:rsid w:val="004C5181"/>
    <w:rsid w:val="004C5A87"/>
    <w:rsid w:val="004C774D"/>
    <w:rsid w:val="004D0ADB"/>
    <w:rsid w:val="004D1035"/>
    <w:rsid w:val="004D3C42"/>
    <w:rsid w:val="004D3E3B"/>
    <w:rsid w:val="004D4979"/>
    <w:rsid w:val="004D7136"/>
    <w:rsid w:val="004D74C5"/>
    <w:rsid w:val="004E01EF"/>
    <w:rsid w:val="004E0D94"/>
    <w:rsid w:val="004E747D"/>
    <w:rsid w:val="004F01D5"/>
    <w:rsid w:val="004F5218"/>
    <w:rsid w:val="004F69AC"/>
    <w:rsid w:val="004F6A2A"/>
    <w:rsid w:val="00500FBC"/>
    <w:rsid w:val="00503493"/>
    <w:rsid w:val="00504408"/>
    <w:rsid w:val="00507F1D"/>
    <w:rsid w:val="00510B43"/>
    <w:rsid w:val="00510DF7"/>
    <w:rsid w:val="00511931"/>
    <w:rsid w:val="005119E4"/>
    <w:rsid w:val="00512E81"/>
    <w:rsid w:val="00513B01"/>
    <w:rsid w:val="00515743"/>
    <w:rsid w:val="00523214"/>
    <w:rsid w:val="00526CE3"/>
    <w:rsid w:val="00532D68"/>
    <w:rsid w:val="00533280"/>
    <w:rsid w:val="00533D71"/>
    <w:rsid w:val="00534EEC"/>
    <w:rsid w:val="00540F01"/>
    <w:rsid w:val="005415AD"/>
    <w:rsid w:val="00541725"/>
    <w:rsid w:val="00543142"/>
    <w:rsid w:val="00543CE7"/>
    <w:rsid w:val="00543FEB"/>
    <w:rsid w:val="00545CF5"/>
    <w:rsid w:val="00546A07"/>
    <w:rsid w:val="00547B81"/>
    <w:rsid w:val="00547F11"/>
    <w:rsid w:val="00551CF5"/>
    <w:rsid w:val="00553CE2"/>
    <w:rsid w:val="0055565F"/>
    <w:rsid w:val="00555DC2"/>
    <w:rsid w:val="005602B1"/>
    <w:rsid w:val="00560D7A"/>
    <w:rsid w:val="00560EDE"/>
    <w:rsid w:val="00561F1A"/>
    <w:rsid w:val="005649BE"/>
    <w:rsid w:val="00564AA9"/>
    <w:rsid w:val="00564DB3"/>
    <w:rsid w:val="0056622F"/>
    <w:rsid w:val="0057069C"/>
    <w:rsid w:val="005746D3"/>
    <w:rsid w:val="005754F1"/>
    <w:rsid w:val="005847B1"/>
    <w:rsid w:val="00585D91"/>
    <w:rsid w:val="00590B19"/>
    <w:rsid w:val="00593907"/>
    <w:rsid w:val="00594643"/>
    <w:rsid w:val="005952AA"/>
    <w:rsid w:val="00595338"/>
    <w:rsid w:val="005A05E0"/>
    <w:rsid w:val="005A3BC9"/>
    <w:rsid w:val="005A42AB"/>
    <w:rsid w:val="005A4FEC"/>
    <w:rsid w:val="005A56AE"/>
    <w:rsid w:val="005A6989"/>
    <w:rsid w:val="005B4FF2"/>
    <w:rsid w:val="005B51A7"/>
    <w:rsid w:val="005B61DF"/>
    <w:rsid w:val="005B6243"/>
    <w:rsid w:val="005B6486"/>
    <w:rsid w:val="005C0100"/>
    <w:rsid w:val="005C2D8C"/>
    <w:rsid w:val="005C4B1C"/>
    <w:rsid w:val="005C5B66"/>
    <w:rsid w:val="005D1E84"/>
    <w:rsid w:val="005D2A15"/>
    <w:rsid w:val="005D3984"/>
    <w:rsid w:val="005E2D5E"/>
    <w:rsid w:val="005E35E3"/>
    <w:rsid w:val="005E55E4"/>
    <w:rsid w:val="005E5889"/>
    <w:rsid w:val="005E6973"/>
    <w:rsid w:val="005F1426"/>
    <w:rsid w:val="005F4B3F"/>
    <w:rsid w:val="005F74AD"/>
    <w:rsid w:val="005F7A21"/>
    <w:rsid w:val="005F7B96"/>
    <w:rsid w:val="006006E4"/>
    <w:rsid w:val="0060158E"/>
    <w:rsid w:val="00604724"/>
    <w:rsid w:val="0060678B"/>
    <w:rsid w:val="00611294"/>
    <w:rsid w:val="0061190C"/>
    <w:rsid w:val="00613CD5"/>
    <w:rsid w:val="00615849"/>
    <w:rsid w:val="00616056"/>
    <w:rsid w:val="00616A8A"/>
    <w:rsid w:val="006221DF"/>
    <w:rsid w:val="00623350"/>
    <w:rsid w:val="006242AF"/>
    <w:rsid w:val="006252F3"/>
    <w:rsid w:val="006318D5"/>
    <w:rsid w:val="006335D9"/>
    <w:rsid w:val="00633B35"/>
    <w:rsid w:val="00634F53"/>
    <w:rsid w:val="00640453"/>
    <w:rsid w:val="00641F26"/>
    <w:rsid w:val="006437EC"/>
    <w:rsid w:val="00643838"/>
    <w:rsid w:val="00645F63"/>
    <w:rsid w:val="0064775C"/>
    <w:rsid w:val="00650BA4"/>
    <w:rsid w:val="0065148E"/>
    <w:rsid w:val="00652315"/>
    <w:rsid w:val="006526D6"/>
    <w:rsid w:val="006532B3"/>
    <w:rsid w:val="006541E6"/>
    <w:rsid w:val="00654531"/>
    <w:rsid w:val="00654EF6"/>
    <w:rsid w:val="00654F43"/>
    <w:rsid w:val="00656526"/>
    <w:rsid w:val="00657800"/>
    <w:rsid w:val="00660396"/>
    <w:rsid w:val="00660614"/>
    <w:rsid w:val="00663621"/>
    <w:rsid w:val="006641F4"/>
    <w:rsid w:val="00671590"/>
    <w:rsid w:val="00672AB0"/>
    <w:rsid w:val="0067327F"/>
    <w:rsid w:val="0068234F"/>
    <w:rsid w:val="00685B91"/>
    <w:rsid w:val="006908BD"/>
    <w:rsid w:val="00695CE8"/>
    <w:rsid w:val="006A2EA9"/>
    <w:rsid w:val="006A54E7"/>
    <w:rsid w:val="006B08FF"/>
    <w:rsid w:val="006B47EF"/>
    <w:rsid w:val="006B4E3E"/>
    <w:rsid w:val="006B679E"/>
    <w:rsid w:val="006C0746"/>
    <w:rsid w:val="006C2FED"/>
    <w:rsid w:val="006C3D3E"/>
    <w:rsid w:val="006C4092"/>
    <w:rsid w:val="006C5E9C"/>
    <w:rsid w:val="006C6A33"/>
    <w:rsid w:val="006D04CC"/>
    <w:rsid w:val="006D3BA9"/>
    <w:rsid w:val="006D47AC"/>
    <w:rsid w:val="006D7010"/>
    <w:rsid w:val="006D76CE"/>
    <w:rsid w:val="006E0970"/>
    <w:rsid w:val="006E2E1A"/>
    <w:rsid w:val="006E3714"/>
    <w:rsid w:val="006E47E0"/>
    <w:rsid w:val="006E5A56"/>
    <w:rsid w:val="006E6CA7"/>
    <w:rsid w:val="006F11EA"/>
    <w:rsid w:val="006F141D"/>
    <w:rsid w:val="006F1931"/>
    <w:rsid w:val="006F2AB4"/>
    <w:rsid w:val="006F2FA1"/>
    <w:rsid w:val="006F35F6"/>
    <w:rsid w:val="006F3D18"/>
    <w:rsid w:val="006F44EE"/>
    <w:rsid w:val="006F487B"/>
    <w:rsid w:val="006F5152"/>
    <w:rsid w:val="006F79CF"/>
    <w:rsid w:val="00700066"/>
    <w:rsid w:val="00701323"/>
    <w:rsid w:val="00704120"/>
    <w:rsid w:val="00713629"/>
    <w:rsid w:val="00713BF3"/>
    <w:rsid w:val="00714778"/>
    <w:rsid w:val="00723E2B"/>
    <w:rsid w:val="00726F5D"/>
    <w:rsid w:val="007279A6"/>
    <w:rsid w:val="00727A16"/>
    <w:rsid w:val="007308EE"/>
    <w:rsid w:val="00730BE0"/>
    <w:rsid w:val="00731950"/>
    <w:rsid w:val="00733399"/>
    <w:rsid w:val="00734062"/>
    <w:rsid w:val="00735360"/>
    <w:rsid w:val="0073643F"/>
    <w:rsid w:val="00736967"/>
    <w:rsid w:val="007416B4"/>
    <w:rsid w:val="00741EC7"/>
    <w:rsid w:val="007429E0"/>
    <w:rsid w:val="00743107"/>
    <w:rsid w:val="0074370C"/>
    <w:rsid w:val="00743D06"/>
    <w:rsid w:val="0074534D"/>
    <w:rsid w:val="00745CD2"/>
    <w:rsid w:val="00750074"/>
    <w:rsid w:val="0075150E"/>
    <w:rsid w:val="00751AB5"/>
    <w:rsid w:val="00753D6E"/>
    <w:rsid w:val="00755032"/>
    <w:rsid w:val="00756B98"/>
    <w:rsid w:val="00756C1F"/>
    <w:rsid w:val="00756D23"/>
    <w:rsid w:val="00757AE1"/>
    <w:rsid w:val="00757F0D"/>
    <w:rsid w:val="00760794"/>
    <w:rsid w:val="0076168A"/>
    <w:rsid w:val="0076547E"/>
    <w:rsid w:val="00767D05"/>
    <w:rsid w:val="0077013A"/>
    <w:rsid w:val="0077177A"/>
    <w:rsid w:val="007731AF"/>
    <w:rsid w:val="00773D7B"/>
    <w:rsid w:val="0077673E"/>
    <w:rsid w:val="00776A89"/>
    <w:rsid w:val="00777E90"/>
    <w:rsid w:val="00782982"/>
    <w:rsid w:val="00783CB8"/>
    <w:rsid w:val="00784E87"/>
    <w:rsid w:val="00786CF9"/>
    <w:rsid w:val="00790393"/>
    <w:rsid w:val="0079175A"/>
    <w:rsid w:val="00794B0F"/>
    <w:rsid w:val="007A1000"/>
    <w:rsid w:val="007A15DC"/>
    <w:rsid w:val="007A1C45"/>
    <w:rsid w:val="007A2557"/>
    <w:rsid w:val="007A256E"/>
    <w:rsid w:val="007A3063"/>
    <w:rsid w:val="007A4A07"/>
    <w:rsid w:val="007A4C50"/>
    <w:rsid w:val="007A7D8A"/>
    <w:rsid w:val="007B01C1"/>
    <w:rsid w:val="007B0E8C"/>
    <w:rsid w:val="007B1F1B"/>
    <w:rsid w:val="007B273E"/>
    <w:rsid w:val="007B4B29"/>
    <w:rsid w:val="007B6E2A"/>
    <w:rsid w:val="007B6EB6"/>
    <w:rsid w:val="007B7920"/>
    <w:rsid w:val="007B7A24"/>
    <w:rsid w:val="007C3B5E"/>
    <w:rsid w:val="007C3E99"/>
    <w:rsid w:val="007C46F6"/>
    <w:rsid w:val="007C46FA"/>
    <w:rsid w:val="007C4B79"/>
    <w:rsid w:val="007C5773"/>
    <w:rsid w:val="007C65B3"/>
    <w:rsid w:val="007C7664"/>
    <w:rsid w:val="007D072E"/>
    <w:rsid w:val="007D200F"/>
    <w:rsid w:val="007D2FE0"/>
    <w:rsid w:val="007D5738"/>
    <w:rsid w:val="007D6CE0"/>
    <w:rsid w:val="007E02D7"/>
    <w:rsid w:val="007E0329"/>
    <w:rsid w:val="007E183F"/>
    <w:rsid w:val="007E237C"/>
    <w:rsid w:val="007E3931"/>
    <w:rsid w:val="007E397E"/>
    <w:rsid w:val="007E48C3"/>
    <w:rsid w:val="007E4E80"/>
    <w:rsid w:val="007E4EF6"/>
    <w:rsid w:val="007E50F7"/>
    <w:rsid w:val="007E539D"/>
    <w:rsid w:val="007E74A5"/>
    <w:rsid w:val="007E7EAB"/>
    <w:rsid w:val="007F08D7"/>
    <w:rsid w:val="007F0F1B"/>
    <w:rsid w:val="007F107D"/>
    <w:rsid w:val="007F1B05"/>
    <w:rsid w:val="007F6749"/>
    <w:rsid w:val="007F7215"/>
    <w:rsid w:val="00800000"/>
    <w:rsid w:val="00801DE5"/>
    <w:rsid w:val="00804AEF"/>
    <w:rsid w:val="008050C7"/>
    <w:rsid w:val="0081428B"/>
    <w:rsid w:val="00817A2B"/>
    <w:rsid w:val="00820A91"/>
    <w:rsid w:val="008221F1"/>
    <w:rsid w:val="00822D87"/>
    <w:rsid w:val="00823229"/>
    <w:rsid w:val="00823BDD"/>
    <w:rsid w:val="008243C2"/>
    <w:rsid w:val="00824BEF"/>
    <w:rsid w:val="0082506D"/>
    <w:rsid w:val="00825893"/>
    <w:rsid w:val="008275FE"/>
    <w:rsid w:val="00827A83"/>
    <w:rsid w:val="00827B83"/>
    <w:rsid w:val="008304C3"/>
    <w:rsid w:val="00830986"/>
    <w:rsid w:val="00832957"/>
    <w:rsid w:val="00832B03"/>
    <w:rsid w:val="008337AC"/>
    <w:rsid w:val="008344C0"/>
    <w:rsid w:val="008354DE"/>
    <w:rsid w:val="00835C39"/>
    <w:rsid w:val="00835DC6"/>
    <w:rsid w:val="008374B5"/>
    <w:rsid w:val="008379C7"/>
    <w:rsid w:val="0084013F"/>
    <w:rsid w:val="00840165"/>
    <w:rsid w:val="0084102E"/>
    <w:rsid w:val="00841AB7"/>
    <w:rsid w:val="00841DE8"/>
    <w:rsid w:val="00842C56"/>
    <w:rsid w:val="00844978"/>
    <w:rsid w:val="00846AE2"/>
    <w:rsid w:val="00852310"/>
    <w:rsid w:val="00853332"/>
    <w:rsid w:val="00854476"/>
    <w:rsid w:val="00854D81"/>
    <w:rsid w:val="00856172"/>
    <w:rsid w:val="00857AEC"/>
    <w:rsid w:val="0086135A"/>
    <w:rsid w:val="0086384C"/>
    <w:rsid w:val="00863C8F"/>
    <w:rsid w:val="00863F38"/>
    <w:rsid w:val="008646B7"/>
    <w:rsid w:val="0086662B"/>
    <w:rsid w:val="008677A7"/>
    <w:rsid w:val="00867BD4"/>
    <w:rsid w:val="00871CF5"/>
    <w:rsid w:val="00871D6B"/>
    <w:rsid w:val="008721C2"/>
    <w:rsid w:val="00872C10"/>
    <w:rsid w:val="00874A46"/>
    <w:rsid w:val="008760B2"/>
    <w:rsid w:val="0088018B"/>
    <w:rsid w:val="00881FE2"/>
    <w:rsid w:val="00882E13"/>
    <w:rsid w:val="0088628A"/>
    <w:rsid w:val="0088742F"/>
    <w:rsid w:val="008902AE"/>
    <w:rsid w:val="00890404"/>
    <w:rsid w:val="0089150B"/>
    <w:rsid w:val="00891A10"/>
    <w:rsid w:val="00892992"/>
    <w:rsid w:val="00894A2A"/>
    <w:rsid w:val="0089516C"/>
    <w:rsid w:val="008966A8"/>
    <w:rsid w:val="00896D30"/>
    <w:rsid w:val="00897A89"/>
    <w:rsid w:val="008A14BC"/>
    <w:rsid w:val="008A1A4D"/>
    <w:rsid w:val="008A1DC4"/>
    <w:rsid w:val="008A51E9"/>
    <w:rsid w:val="008A6AD3"/>
    <w:rsid w:val="008A6CCB"/>
    <w:rsid w:val="008A773C"/>
    <w:rsid w:val="008A7881"/>
    <w:rsid w:val="008B09FF"/>
    <w:rsid w:val="008B1D44"/>
    <w:rsid w:val="008B2853"/>
    <w:rsid w:val="008B3498"/>
    <w:rsid w:val="008B5A19"/>
    <w:rsid w:val="008C02CB"/>
    <w:rsid w:val="008C38EE"/>
    <w:rsid w:val="008C4752"/>
    <w:rsid w:val="008C4871"/>
    <w:rsid w:val="008C55C9"/>
    <w:rsid w:val="008C5991"/>
    <w:rsid w:val="008D1A1E"/>
    <w:rsid w:val="008D1CBC"/>
    <w:rsid w:val="008D3610"/>
    <w:rsid w:val="008D72D0"/>
    <w:rsid w:val="008D7EB0"/>
    <w:rsid w:val="008E095C"/>
    <w:rsid w:val="008E0DB2"/>
    <w:rsid w:val="008E2B33"/>
    <w:rsid w:val="008E3456"/>
    <w:rsid w:val="008E54FD"/>
    <w:rsid w:val="008E56DD"/>
    <w:rsid w:val="008F08DC"/>
    <w:rsid w:val="008F0906"/>
    <w:rsid w:val="008F1045"/>
    <w:rsid w:val="008F1389"/>
    <w:rsid w:val="008F14A8"/>
    <w:rsid w:val="008F306C"/>
    <w:rsid w:val="008F3EA0"/>
    <w:rsid w:val="008F4484"/>
    <w:rsid w:val="008F79AA"/>
    <w:rsid w:val="00900111"/>
    <w:rsid w:val="009002B3"/>
    <w:rsid w:val="00903032"/>
    <w:rsid w:val="00903FA4"/>
    <w:rsid w:val="009113F3"/>
    <w:rsid w:val="00911FB8"/>
    <w:rsid w:val="0091306E"/>
    <w:rsid w:val="00914879"/>
    <w:rsid w:val="0091489C"/>
    <w:rsid w:val="009152AB"/>
    <w:rsid w:val="0091592F"/>
    <w:rsid w:val="00916F7D"/>
    <w:rsid w:val="00917206"/>
    <w:rsid w:val="00920208"/>
    <w:rsid w:val="009219D4"/>
    <w:rsid w:val="00924528"/>
    <w:rsid w:val="0092519E"/>
    <w:rsid w:val="0093170E"/>
    <w:rsid w:val="009359A7"/>
    <w:rsid w:val="0093713A"/>
    <w:rsid w:val="009403D2"/>
    <w:rsid w:val="00940838"/>
    <w:rsid w:val="00945C15"/>
    <w:rsid w:val="009502EC"/>
    <w:rsid w:val="00951DE3"/>
    <w:rsid w:val="0095311E"/>
    <w:rsid w:val="00953EDF"/>
    <w:rsid w:val="00955041"/>
    <w:rsid w:val="00956751"/>
    <w:rsid w:val="009616FB"/>
    <w:rsid w:val="00961E71"/>
    <w:rsid w:val="00962872"/>
    <w:rsid w:val="0096359A"/>
    <w:rsid w:val="009651B5"/>
    <w:rsid w:val="00966103"/>
    <w:rsid w:val="0096746C"/>
    <w:rsid w:val="00967EBF"/>
    <w:rsid w:val="00967F1D"/>
    <w:rsid w:val="00967FB4"/>
    <w:rsid w:val="00973152"/>
    <w:rsid w:val="00974C5A"/>
    <w:rsid w:val="00976405"/>
    <w:rsid w:val="00976B77"/>
    <w:rsid w:val="00977B69"/>
    <w:rsid w:val="00980C24"/>
    <w:rsid w:val="00981341"/>
    <w:rsid w:val="00982717"/>
    <w:rsid w:val="009841D9"/>
    <w:rsid w:val="009863EF"/>
    <w:rsid w:val="00987ECF"/>
    <w:rsid w:val="009908C4"/>
    <w:rsid w:val="00996BA3"/>
    <w:rsid w:val="0099734C"/>
    <w:rsid w:val="00997A52"/>
    <w:rsid w:val="009A2F1B"/>
    <w:rsid w:val="009A5297"/>
    <w:rsid w:val="009A728D"/>
    <w:rsid w:val="009B13D8"/>
    <w:rsid w:val="009C1BFD"/>
    <w:rsid w:val="009C1D6E"/>
    <w:rsid w:val="009C36D8"/>
    <w:rsid w:val="009C3ACB"/>
    <w:rsid w:val="009C3FEA"/>
    <w:rsid w:val="009C45A1"/>
    <w:rsid w:val="009C506B"/>
    <w:rsid w:val="009D0829"/>
    <w:rsid w:val="009D18E3"/>
    <w:rsid w:val="009D1A98"/>
    <w:rsid w:val="009D2441"/>
    <w:rsid w:val="009D251B"/>
    <w:rsid w:val="009D27E0"/>
    <w:rsid w:val="009D3577"/>
    <w:rsid w:val="009D3927"/>
    <w:rsid w:val="009D3ECC"/>
    <w:rsid w:val="009D61A4"/>
    <w:rsid w:val="009E0103"/>
    <w:rsid w:val="009E1304"/>
    <w:rsid w:val="009E147A"/>
    <w:rsid w:val="009E3FAF"/>
    <w:rsid w:val="009E433E"/>
    <w:rsid w:val="009E572A"/>
    <w:rsid w:val="009F13B5"/>
    <w:rsid w:val="009F1850"/>
    <w:rsid w:val="009F2D17"/>
    <w:rsid w:val="009F342A"/>
    <w:rsid w:val="009F4942"/>
    <w:rsid w:val="009F4996"/>
    <w:rsid w:val="009F4D1B"/>
    <w:rsid w:val="009F5AB0"/>
    <w:rsid w:val="009F6523"/>
    <w:rsid w:val="00A04D65"/>
    <w:rsid w:val="00A05425"/>
    <w:rsid w:val="00A05D2D"/>
    <w:rsid w:val="00A07382"/>
    <w:rsid w:val="00A144DC"/>
    <w:rsid w:val="00A14B66"/>
    <w:rsid w:val="00A14E4D"/>
    <w:rsid w:val="00A21EAB"/>
    <w:rsid w:val="00A2271D"/>
    <w:rsid w:val="00A2293E"/>
    <w:rsid w:val="00A24F44"/>
    <w:rsid w:val="00A25E8B"/>
    <w:rsid w:val="00A32248"/>
    <w:rsid w:val="00A34925"/>
    <w:rsid w:val="00A34983"/>
    <w:rsid w:val="00A425DF"/>
    <w:rsid w:val="00A42978"/>
    <w:rsid w:val="00A44B34"/>
    <w:rsid w:val="00A46AAD"/>
    <w:rsid w:val="00A517E0"/>
    <w:rsid w:val="00A53017"/>
    <w:rsid w:val="00A62431"/>
    <w:rsid w:val="00A65959"/>
    <w:rsid w:val="00A66D2C"/>
    <w:rsid w:val="00A71D72"/>
    <w:rsid w:val="00A7587A"/>
    <w:rsid w:val="00A7596F"/>
    <w:rsid w:val="00A80692"/>
    <w:rsid w:val="00A80D1F"/>
    <w:rsid w:val="00A81590"/>
    <w:rsid w:val="00A8237F"/>
    <w:rsid w:val="00A8428D"/>
    <w:rsid w:val="00A85A67"/>
    <w:rsid w:val="00A879A7"/>
    <w:rsid w:val="00A914C2"/>
    <w:rsid w:val="00A91B02"/>
    <w:rsid w:val="00A94E11"/>
    <w:rsid w:val="00A9779C"/>
    <w:rsid w:val="00AA0706"/>
    <w:rsid w:val="00AA14BA"/>
    <w:rsid w:val="00AA1A67"/>
    <w:rsid w:val="00AA2024"/>
    <w:rsid w:val="00AA261E"/>
    <w:rsid w:val="00AA377B"/>
    <w:rsid w:val="00AB05DC"/>
    <w:rsid w:val="00AB212E"/>
    <w:rsid w:val="00AB2278"/>
    <w:rsid w:val="00AB67B1"/>
    <w:rsid w:val="00AB6FB9"/>
    <w:rsid w:val="00AC0A99"/>
    <w:rsid w:val="00AC5D76"/>
    <w:rsid w:val="00AC72A0"/>
    <w:rsid w:val="00AD15BF"/>
    <w:rsid w:val="00AD1C7E"/>
    <w:rsid w:val="00AD27EB"/>
    <w:rsid w:val="00AD38AD"/>
    <w:rsid w:val="00AD448F"/>
    <w:rsid w:val="00AD449E"/>
    <w:rsid w:val="00AD6237"/>
    <w:rsid w:val="00AD7D07"/>
    <w:rsid w:val="00AE082C"/>
    <w:rsid w:val="00AE3DAE"/>
    <w:rsid w:val="00AE6A9F"/>
    <w:rsid w:val="00AE789E"/>
    <w:rsid w:val="00AF1145"/>
    <w:rsid w:val="00AF26AC"/>
    <w:rsid w:val="00AF3DDC"/>
    <w:rsid w:val="00AF5B5A"/>
    <w:rsid w:val="00AF632B"/>
    <w:rsid w:val="00AF6510"/>
    <w:rsid w:val="00B000BA"/>
    <w:rsid w:val="00B00387"/>
    <w:rsid w:val="00B0186D"/>
    <w:rsid w:val="00B10A54"/>
    <w:rsid w:val="00B12370"/>
    <w:rsid w:val="00B12659"/>
    <w:rsid w:val="00B14A70"/>
    <w:rsid w:val="00B16D03"/>
    <w:rsid w:val="00B215DF"/>
    <w:rsid w:val="00B21ED9"/>
    <w:rsid w:val="00B22177"/>
    <w:rsid w:val="00B22637"/>
    <w:rsid w:val="00B23D13"/>
    <w:rsid w:val="00B2430E"/>
    <w:rsid w:val="00B24B14"/>
    <w:rsid w:val="00B30897"/>
    <w:rsid w:val="00B33210"/>
    <w:rsid w:val="00B34A67"/>
    <w:rsid w:val="00B3528E"/>
    <w:rsid w:val="00B36DD6"/>
    <w:rsid w:val="00B400F2"/>
    <w:rsid w:val="00B44E67"/>
    <w:rsid w:val="00B44F4A"/>
    <w:rsid w:val="00B45FA1"/>
    <w:rsid w:val="00B462F3"/>
    <w:rsid w:val="00B51F5B"/>
    <w:rsid w:val="00B53706"/>
    <w:rsid w:val="00B54128"/>
    <w:rsid w:val="00B552AA"/>
    <w:rsid w:val="00B57EB9"/>
    <w:rsid w:val="00B613B1"/>
    <w:rsid w:val="00B647AE"/>
    <w:rsid w:val="00B65674"/>
    <w:rsid w:val="00B71886"/>
    <w:rsid w:val="00B726EC"/>
    <w:rsid w:val="00B739E1"/>
    <w:rsid w:val="00B758B7"/>
    <w:rsid w:val="00B76914"/>
    <w:rsid w:val="00B803BA"/>
    <w:rsid w:val="00B80453"/>
    <w:rsid w:val="00B81785"/>
    <w:rsid w:val="00B81F4E"/>
    <w:rsid w:val="00B8433F"/>
    <w:rsid w:val="00B9079D"/>
    <w:rsid w:val="00B90884"/>
    <w:rsid w:val="00B91B7A"/>
    <w:rsid w:val="00B9238D"/>
    <w:rsid w:val="00B9369D"/>
    <w:rsid w:val="00B961A5"/>
    <w:rsid w:val="00B965A6"/>
    <w:rsid w:val="00B9714C"/>
    <w:rsid w:val="00BA0543"/>
    <w:rsid w:val="00BA20AF"/>
    <w:rsid w:val="00BA260F"/>
    <w:rsid w:val="00BA2DF9"/>
    <w:rsid w:val="00BA4B6F"/>
    <w:rsid w:val="00BA5BCB"/>
    <w:rsid w:val="00BA6DE0"/>
    <w:rsid w:val="00BB22BF"/>
    <w:rsid w:val="00BB3890"/>
    <w:rsid w:val="00BB5F21"/>
    <w:rsid w:val="00BC2429"/>
    <w:rsid w:val="00BD05B0"/>
    <w:rsid w:val="00BD065B"/>
    <w:rsid w:val="00BD4A70"/>
    <w:rsid w:val="00BD6004"/>
    <w:rsid w:val="00BD76AF"/>
    <w:rsid w:val="00BE03C9"/>
    <w:rsid w:val="00BE312D"/>
    <w:rsid w:val="00BF14F4"/>
    <w:rsid w:val="00C0417E"/>
    <w:rsid w:val="00C04987"/>
    <w:rsid w:val="00C04B96"/>
    <w:rsid w:val="00C05FC3"/>
    <w:rsid w:val="00C064AA"/>
    <w:rsid w:val="00C07F89"/>
    <w:rsid w:val="00C07FEC"/>
    <w:rsid w:val="00C10DD7"/>
    <w:rsid w:val="00C11DD7"/>
    <w:rsid w:val="00C1316C"/>
    <w:rsid w:val="00C13791"/>
    <w:rsid w:val="00C147D8"/>
    <w:rsid w:val="00C15880"/>
    <w:rsid w:val="00C16C20"/>
    <w:rsid w:val="00C208E2"/>
    <w:rsid w:val="00C24207"/>
    <w:rsid w:val="00C26E91"/>
    <w:rsid w:val="00C323BF"/>
    <w:rsid w:val="00C3294C"/>
    <w:rsid w:val="00C3471C"/>
    <w:rsid w:val="00C362E1"/>
    <w:rsid w:val="00C36697"/>
    <w:rsid w:val="00C40AD8"/>
    <w:rsid w:val="00C421CE"/>
    <w:rsid w:val="00C43295"/>
    <w:rsid w:val="00C52D7E"/>
    <w:rsid w:val="00C53A55"/>
    <w:rsid w:val="00C54025"/>
    <w:rsid w:val="00C54B76"/>
    <w:rsid w:val="00C61091"/>
    <w:rsid w:val="00C62A70"/>
    <w:rsid w:val="00C63AC0"/>
    <w:rsid w:val="00C64320"/>
    <w:rsid w:val="00C6643C"/>
    <w:rsid w:val="00C71FF0"/>
    <w:rsid w:val="00C74494"/>
    <w:rsid w:val="00C75C1C"/>
    <w:rsid w:val="00C833C7"/>
    <w:rsid w:val="00C838BF"/>
    <w:rsid w:val="00C844B1"/>
    <w:rsid w:val="00C84A25"/>
    <w:rsid w:val="00C86CB3"/>
    <w:rsid w:val="00C87022"/>
    <w:rsid w:val="00C87BE6"/>
    <w:rsid w:val="00C90B83"/>
    <w:rsid w:val="00C9106F"/>
    <w:rsid w:val="00C91BB1"/>
    <w:rsid w:val="00C92ADB"/>
    <w:rsid w:val="00C92ED8"/>
    <w:rsid w:val="00CA1EA2"/>
    <w:rsid w:val="00CA30DE"/>
    <w:rsid w:val="00CA317A"/>
    <w:rsid w:val="00CA351F"/>
    <w:rsid w:val="00CA3B4C"/>
    <w:rsid w:val="00CB1CD1"/>
    <w:rsid w:val="00CB3E0A"/>
    <w:rsid w:val="00CB5292"/>
    <w:rsid w:val="00CB6378"/>
    <w:rsid w:val="00CB726C"/>
    <w:rsid w:val="00CB7749"/>
    <w:rsid w:val="00CB7BB1"/>
    <w:rsid w:val="00CC02CD"/>
    <w:rsid w:val="00CC0C53"/>
    <w:rsid w:val="00CC168B"/>
    <w:rsid w:val="00CC3234"/>
    <w:rsid w:val="00CD020A"/>
    <w:rsid w:val="00CD188D"/>
    <w:rsid w:val="00CD563B"/>
    <w:rsid w:val="00CD5EF2"/>
    <w:rsid w:val="00CD6CFF"/>
    <w:rsid w:val="00CD7EB6"/>
    <w:rsid w:val="00CE11F0"/>
    <w:rsid w:val="00CE29DB"/>
    <w:rsid w:val="00CE30EB"/>
    <w:rsid w:val="00CE371B"/>
    <w:rsid w:val="00CE4DCB"/>
    <w:rsid w:val="00CE6768"/>
    <w:rsid w:val="00CF0251"/>
    <w:rsid w:val="00CF1345"/>
    <w:rsid w:val="00CF1370"/>
    <w:rsid w:val="00CF5BD3"/>
    <w:rsid w:val="00CF5D37"/>
    <w:rsid w:val="00CF6EEE"/>
    <w:rsid w:val="00D0259B"/>
    <w:rsid w:val="00D03609"/>
    <w:rsid w:val="00D03D26"/>
    <w:rsid w:val="00D03E98"/>
    <w:rsid w:val="00D10E54"/>
    <w:rsid w:val="00D119FD"/>
    <w:rsid w:val="00D1242E"/>
    <w:rsid w:val="00D12BEE"/>
    <w:rsid w:val="00D15FA1"/>
    <w:rsid w:val="00D1663A"/>
    <w:rsid w:val="00D2562D"/>
    <w:rsid w:val="00D25908"/>
    <w:rsid w:val="00D25DE8"/>
    <w:rsid w:val="00D26BB3"/>
    <w:rsid w:val="00D26F82"/>
    <w:rsid w:val="00D2756F"/>
    <w:rsid w:val="00D3306E"/>
    <w:rsid w:val="00D417DB"/>
    <w:rsid w:val="00D41BE5"/>
    <w:rsid w:val="00D425EF"/>
    <w:rsid w:val="00D434CB"/>
    <w:rsid w:val="00D4427D"/>
    <w:rsid w:val="00D46661"/>
    <w:rsid w:val="00D47143"/>
    <w:rsid w:val="00D50E92"/>
    <w:rsid w:val="00D53CAB"/>
    <w:rsid w:val="00D54F67"/>
    <w:rsid w:val="00D5537A"/>
    <w:rsid w:val="00D5559E"/>
    <w:rsid w:val="00D61A23"/>
    <w:rsid w:val="00D6429E"/>
    <w:rsid w:val="00D66253"/>
    <w:rsid w:val="00D66F34"/>
    <w:rsid w:val="00D6748F"/>
    <w:rsid w:val="00D7086B"/>
    <w:rsid w:val="00D70E85"/>
    <w:rsid w:val="00D72FDA"/>
    <w:rsid w:val="00D73E2B"/>
    <w:rsid w:val="00D74D6B"/>
    <w:rsid w:val="00D7546E"/>
    <w:rsid w:val="00D7584E"/>
    <w:rsid w:val="00D76BD7"/>
    <w:rsid w:val="00D76F45"/>
    <w:rsid w:val="00D83166"/>
    <w:rsid w:val="00D840B1"/>
    <w:rsid w:val="00D9363A"/>
    <w:rsid w:val="00D94687"/>
    <w:rsid w:val="00D9535D"/>
    <w:rsid w:val="00D96D44"/>
    <w:rsid w:val="00DA6C44"/>
    <w:rsid w:val="00DB11C0"/>
    <w:rsid w:val="00DB1E70"/>
    <w:rsid w:val="00DB4841"/>
    <w:rsid w:val="00DB6609"/>
    <w:rsid w:val="00DC35C5"/>
    <w:rsid w:val="00DC40BC"/>
    <w:rsid w:val="00DC668D"/>
    <w:rsid w:val="00DC6916"/>
    <w:rsid w:val="00DC78B5"/>
    <w:rsid w:val="00DD1035"/>
    <w:rsid w:val="00DD2590"/>
    <w:rsid w:val="00DD3A28"/>
    <w:rsid w:val="00DD7455"/>
    <w:rsid w:val="00DD7AF5"/>
    <w:rsid w:val="00DD7EDF"/>
    <w:rsid w:val="00DE06E9"/>
    <w:rsid w:val="00DE3A19"/>
    <w:rsid w:val="00DE6039"/>
    <w:rsid w:val="00DE6C8B"/>
    <w:rsid w:val="00DE7AAD"/>
    <w:rsid w:val="00DF37B9"/>
    <w:rsid w:val="00DF3B9C"/>
    <w:rsid w:val="00DF56BA"/>
    <w:rsid w:val="00E00FDA"/>
    <w:rsid w:val="00E01292"/>
    <w:rsid w:val="00E01CC4"/>
    <w:rsid w:val="00E039D6"/>
    <w:rsid w:val="00E03BD0"/>
    <w:rsid w:val="00E04177"/>
    <w:rsid w:val="00E05828"/>
    <w:rsid w:val="00E10DA7"/>
    <w:rsid w:val="00E121BA"/>
    <w:rsid w:val="00E1258C"/>
    <w:rsid w:val="00E13BB6"/>
    <w:rsid w:val="00E13E68"/>
    <w:rsid w:val="00E143FF"/>
    <w:rsid w:val="00E16125"/>
    <w:rsid w:val="00E20D18"/>
    <w:rsid w:val="00E21A50"/>
    <w:rsid w:val="00E23CDB"/>
    <w:rsid w:val="00E24E40"/>
    <w:rsid w:val="00E30968"/>
    <w:rsid w:val="00E311DF"/>
    <w:rsid w:val="00E316CF"/>
    <w:rsid w:val="00E35CE6"/>
    <w:rsid w:val="00E41F0E"/>
    <w:rsid w:val="00E4283E"/>
    <w:rsid w:val="00E430DD"/>
    <w:rsid w:val="00E44DC4"/>
    <w:rsid w:val="00E45AF0"/>
    <w:rsid w:val="00E47BC3"/>
    <w:rsid w:val="00E51806"/>
    <w:rsid w:val="00E51DCB"/>
    <w:rsid w:val="00E51DE5"/>
    <w:rsid w:val="00E536F8"/>
    <w:rsid w:val="00E54B14"/>
    <w:rsid w:val="00E54E25"/>
    <w:rsid w:val="00E56529"/>
    <w:rsid w:val="00E56663"/>
    <w:rsid w:val="00E56C5A"/>
    <w:rsid w:val="00E62576"/>
    <w:rsid w:val="00E62C9E"/>
    <w:rsid w:val="00E64B93"/>
    <w:rsid w:val="00E664F4"/>
    <w:rsid w:val="00E666A6"/>
    <w:rsid w:val="00E66CFB"/>
    <w:rsid w:val="00E71BFA"/>
    <w:rsid w:val="00E7243F"/>
    <w:rsid w:val="00E7483E"/>
    <w:rsid w:val="00E75CCC"/>
    <w:rsid w:val="00E80CFE"/>
    <w:rsid w:val="00E858EF"/>
    <w:rsid w:val="00E8617F"/>
    <w:rsid w:val="00E86FDB"/>
    <w:rsid w:val="00E878BD"/>
    <w:rsid w:val="00E90016"/>
    <w:rsid w:val="00E9041F"/>
    <w:rsid w:val="00E94D1D"/>
    <w:rsid w:val="00E97BEC"/>
    <w:rsid w:val="00E97EDA"/>
    <w:rsid w:val="00EA0386"/>
    <w:rsid w:val="00EA31E2"/>
    <w:rsid w:val="00EA397E"/>
    <w:rsid w:val="00EA5286"/>
    <w:rsid w:val="00EA534C"/>
    <w:rsid w:val="00EB0A1F"/>
    <w:rsid w:val="00EB1EBE"/>
    <w:rsid w:val="00EB4706"/>
    <w:rsid w:val="00EC17AE"/>
    <w:rsid w:val="00EC1B49"/>
    <w:rsid w:val="00EC3F50"/>
    <w:rsid w:val="00EC719E"/>
    <w:rsid w:val="00EC74C4"/>
    <w:rsid w:val="00ED1A01"/>
    <w:rsid w:val="00ED2522"/>
    <w:rsid w:val="00ED4F39"/>
    <w:rsid w:val="00ED5C4C"/>
    <w:rsid w:val="00ED760F"/>
    <w:rsid w:val="00EE2DD0"/>
    <w:rsid w:val="00EF0EB2"/>
    <w:rsid w:val="00EF55CE"/>
    <w:rsid w:val="00F054D1"/>
    <w:rsid w:val="00F0576E"/>
    <w:rsid w:val="00F116D7"/>
    <w:rsid w:val="00F12CB8"/>
    <w:rsid w:val="00F14D18"/>
    <w:rsid w:val="00F14F69"/>
    <w:rsid w:val="00F17F5A"/>
    <w:rsid w:val="00F2506E"/>
    <w:rsid w:val="00F264AE"/>
    <w:rsid w:val="00F30B8D"/>
    <w:rsid w:val="00F32255"/>
    <w:rsid w:val="00F3242E"/>
    <w:rsid w:val="00F3471E"/>
    <w:rsid w:val="00F35BB2"/>
    <w:rsid w:val="00F35E18"/>
    <w:rsid w:val="00F40DF9"/>
    <w:rsid w:val="00F43997"/>
    <w:rsid w:val="00F45F78"/>
    <w:rsid w:val="00F463C4"/>
    <w:rsid w:val="00F47CE6"/>
    <w:rsid w:val="00F53B9E"/>
    <w:rsid w:val="00F5655A"/>
    <w:rsid w:val="00F57E37"/>
    <w:rsid w:val="00F60A89"/>
    <w:rsid w:val="00F66549"/>
    <w:rsid w:val="00F72184"/>
    <w:rsid w:val="00F73C7D"/>
    <w:rsid w:val="00F81B83"/>
    <w:rsid w:val="00F826E6"/>
    <w:rsid w:val="00F82930"/>
    <w:rsid w:val="00F83F8A"/>
    <w:rsid w:val="00F850EB"/>
    <w:rsid w:val="00F901B4"/>
    <w:rsid w:val="00F9094D"/>
    <w:rsid w:val="00F90A6D"/>
    <w:rsid w:val="00F90EA1"/>
    <w:rsid w:val="00F916AC"/>
    <w:rsid w:val="00F94FA9"/>
    <w:rsid w:val="00F956CB"/>
    <w:rsid w:val="00F95C0C"/>
    <w:rsid w:val="00F963B4"/>
    <w:rsid w:val="00F96510"/>
    <w:rsid w:val="00F96E4E"/>
    <w:rsid w:val="00FA093D"/>
    <w:rsid w:val="00FA0FCB"/>
    <w:rsid w:val="00FA1875"/>
    <w:rsid w:val="00FA4293"/>
    <w:rsid w:val="00FA6951"/>
    <w:rsid w:val="00FA717B"/>
    <w:rsid w:val="00FB20E2"/>
    <w:rsid w:val="00FB21AC"/>
    <w:rsid w:val="00FB2B5F"/>
    <w:rsid w:val="00FB355B"/>
    <w:rsid w:val="00FB6BEE"/>
    <w:rsid w:val="00FB6E16"/>
    <w:rsid w:val="00FB6F77"/>
    <w:rsid w:val="00FC044E"/>
    <w:rsid w:val="00FC1CB1"/>
    <w:rsid w:val="00FC25E9"/>
    <w:rsid w:val="00FC5EF2"/>
    <w:rsid w:val="00FC6A3D"/>
    <w:rsid w:val="00FD14A8"/>
    <w:rsid w:val="00FD1827"/>
    <w:rsid w:val="00FD25E2"/>
    <w:rsid w:val="00FD4A15"/>
    <w:rsid w:val="00FD5B3E"/>
    <w:rsid w:val="00FD7B29"/>
    <w:rsid w:val="00FE5F12"/>
    <w:rsid w:val="00FE5FD1"/>
    <w:rsid w:val="00FE7455"/>
    <w:rsid w:val="00FF03F3"/>
    <w:rsid w:val="00FF45FB"/>
    <w:rsid w:val="00FF4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CFC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1C"/>
    <w:rPr>
      <w:rFonts w:eastAsia="Times New Roman"/>
      <w:sz w:val="24"/>
      <w:szCs w:val="24"/>
    </w:rPr>
  </w:style>
  <w:style w:type="paragraph" w:styleId="Heading1">
    <w:name w:val="heading 1"/>
    <w:basedOn w:val="Normal"/>
    <w:next w:val="Normal"/>
    <w:link w:val="Heading1Char"/>
    <w:qFormat/>
    <w:rsid w:val="006B4E3E"/>
    <w:pPr>
      <w:keepNext/>
      <w:numPr>
        <w:numId w:val="9"/>
      </w:numPr>
      <w:spacing w:line="480" w:lineRule="auto"/>
      <w:ind w:left="2880" w:hanging="720"/>
      <w:outlineLvl w:val="0"/>
    </w:pPr>
    <w:rPr>
      <w:b/>
      <w:bCs/>
    </w:rPr>
  </w:style>
  <w:style w:type="paragraph" w:styleId="Heading2">
    <w:name w:val="heading 2"/>
    <w:basedOn w:val="Heading3"/>
    <w:next w:val="Normal"/>
    <w:link w:val="Heading2Char"/>
    <w:uiPriority w:val="9"/>
    <w:unhideWhenUsed/>
    <w:qFormat/>
    <w:rsid w:val="005649BE"/>
    <w:pPr>
      <w:ind w:left="3600" w:firstLine="0"/>
      <w:outlineLvl w:val="1"/>
    </w:pPr>
  </w:style>
  <w:style w:type="paragraph" w:styleId="Heading3">
    <w:name w:val="heading 3"/>
    <w:basedOn w:val="Normal"/>
    <w:next w:val="Normal"/>
    <w:link w:val="Heading3Char"/>
    <w:qFormat/>
    <w:rsid w:val="006B4E3E"/>
    <w:pPr>
      <w:keepNext/>
      <w:numPr>
        <w:ilvl w:val="2"/>
        <w:numId w:val="9"/>
      </w:numPr>
      <w:spacing w:line="480" w:lineRule="auto"/>
      <w:ind w:left="720" w:hanging="720"/>
      <w:outlineLvl w:val="2"/>
    </w:pPr>
    <w:rPr>
      <w:b/>
      <w:bCs/>
    </w:rPr>
  </w:style>
  <w:style w:type="paragraph" w:styleId="Heading4">
    <w:name w:val="heading 4"/>
    <w:basedOn w:val="Heading3"/>
    <w:next w:val="Normal"/>
    <w:link w:val="Heading4Char"/>
    <w:uiPriority w:val="9"/>
    <w:unhideWhenUsed/>
    <w:qFormat/>
    <w:rsid w:val="004E0D94"/>
    <w:pPr>
      <w:ind w:left="0"/>
      <w:outlineLvl w:val="3"/>
    </w:pPr>
  </w:style>
  <w:style w:type="paragraph" w:styleId="Heading5">
    <w:name w:val="heading 5"/>
    <w:basedOn w:val="Normal"/>
    <w:next w:val="Normal"/>
    <w:link w:val="Heading5Char"/>
    <w:uiPriority w:val="9"/>
    <w:unhideWhenUsed/>
    <w:qFormat/>
    <w:rsid w:val="00FD5B3E"/>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Heading2"/>
    <w:next w:val="Normal"/>
    <w:link w:val="Heading6Char"/>
    <w:autoRedefine/>
    <w:uiPriority w:val="9"/>
    <w:unhideWhenUsed/>
    <w:qFormat/>
    <w:rsid w:val="003A477D"/>
    <w:pPr>
      <w:keepNext w:val="0"/>
      <w:widowControl w:val="0"/>
      <w:numPr>
        <w:ilvl w:val="0"/>
        <w:numId w:val="12"/>
      </w:numPr>
      <w:tabs>
        <w:tab w:val="left" w:pos="1440"/>
      </w:tabs>
      <w:outlineLvl w:val="5"/>
    </w:pPr>
  </w:style>
  <w:style w:type="paragraph" w:styleId="Heading7">
    <w:name w:val="heading 7"/>
    <w:basedOn w:val="Normal"/>
    <w:next w:val="Normal"/>
    <w:link w:val="Heading7Char"/>
    <w:uiPriority w:val="9"/>
    <w:unhideWhenUsed/>
    <w:qFormat/>
    <w:rsid w:val="00FD5B3E"/>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D5B3E"/>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D5B3E"/>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B4E3E"/>
    <w:rPr>
      <w:rFonts w:eastAsia="Times New Roman"/>
      <w:b/>
      <w:bCs/>
      <w:sz w:val="24"/>
      <w:szCs w:val="24"/>
    </w:rPr>
  </w:style>
  <w:style w:type="character" w:customStyle="1" w:styleId="Heading3Char">
    <w:name w:val="Heading 3 Char"/>
    <w:link w:val="Heading3"/>
    <w:rsid w:val="006B4E3E"/>
    <w:rPr>
      <w:rFonts w:eastAsia="Times New Roman"/>
      <w:b/>
      <w:bCs/>
      <w:sz w:val="24"/>
      <w:szCs w:val="24"/>
    </w:rPr>
  </w:style>
  <w:style w:type="paragraph" w:styleId="BodyTextIndent">
    <w:name w:val="Body Text Indent"/>
    <w:basedOn w:val="Normal"/>
    <w:link w:val="BodyTextIndentChar"/>
    <w:rsid w:val="00C3471C"/>
    <w:pPr>
      <w:spacing w:line="480" w:lineRule="auto"/>
      <w:ind w:left="720" w:hanging="720"/>
    </w:pPr>
  </w:style>
  <w:style w:type="character" w:customStyle="1" w:styleId="BodyTextIndentChar">
    <w:name w:val="Body Text Indent Char"/>
    <w:link w:val="BodyTextIndent"/>
    <w:rsid w:val="00C3471C"/>
    <w:rPr>
      <w:rFonts w:eastAsia="Times New Roman" w:cs="Times New Roman"/>
      <w:szCs w:val="24"/>
    </w:rPr>
  </w:style>
  <w:style w:type="paragraph" w:styleId="Footer">
    <w:name w:val="footer"/>
    <w:basedOn w:val="Normal"/>
    <w:link w:val="FooterChar"/>
    <w:uiPriority w:val="99"/>
    <w:rsid w:val="00C3471C"/>
    <w:pPr>
      <w:tabs>
        <w:tab w:val="center" w:pos="4320"/>
        <w:tab w:val="right" w:pos="8640"/>
      </w:tabs>
    </w:pPr>
  </w:style>
  <w:style w:type="character" w:customStyle="1" w:styleId="FooterChar">
    <w:name w:val="Footer Char"/>
    <w:link w:val="Footer"/>
    <w:uiPriority w:val="99"/>
    <w:rsid w:val="00C3471C"/>
    <w:rPr>
      <w:rFonts w:eastAsia="Times New Roman" w:cs="Times New Roman"/>
      <w:szCs w:val="24"/>
    </w:rPr>
  </w:style>
  <w:style w:type="character" w:styleId="PageNumber">
    <w:name w:val="page number"/>
    <w:basedOn w:val="DefaultParagraphFont"/>
    <w:rsid w:val="00C3471C"/>
  </w:style>
  <w:style w:type="character" w:styleId="LineNumber">
    <w:name w:val="line number"/>
    <w:basedOn w:val="DefaultParagraphFont"/>
    <w:uiPriority w:val="99"/>
    <w:semiHidden/>
    <w:unhideWhenUsed/>
    <w:rsid w:val="00C3471C"/>
  </w:style>
  <w:style w:type="paragraph" w:styleId="Header">
    <w:name w:val="header"/>
    <w:basedOn w:val="Normal"/>
    <w:link w:val="HeaderChar"/>
    <w:unhideWhenUsed/>
    <w:rsid w:val="00C3471C"/>
    <w:pPr>
      <w:tabs>
        <w:tab w:val="center" w:pos="4680"/>
        <w:tab w:val="right" w:pos="9360"/>
      </w:tabs>
    </w:pPr>
  </w:style>
  <w:style w:type="character" w:customStyle="1" w:styleId="HeaderChar">
    <w:name w:val="Header Char"/>
    <w:link w:val="Header"/>
    <w:rsid w:val="00C3471C"/>
    <w:rPr>
      <w:rFonts w:eastAsia="Times New Roman" w:cs="Times New Roman"/>
      <w:szCs w:val="24"/>
    </w:rPr>
  </w:style>
  <w:style w:type="character" w:styleId="Hyperlink">
    <w:name w:val="Hyperlink"/>
    <w:basedOn w:val="DefaultParagraphFont"/>
    <w:uiPriority w:val="99"/>
    <w:unhideWhenUsed/>
    <w:rsid w:val="00D41BE5"/>
    <w:rPr>
      <w:rFonts w:ascii="Times New Roman" w:hAnsi="Times New Roman"/>
      <w:color w:val="0000FF" w:themeColor="hyperlink"/>
      <w:position w:val="0"/>
      <w:sz w:val="24"/>
      <w:u w:val="single"/>
    </w:rPr>
  </w:style>
  <w:style w:type="paragraph" w:styleId="ListParagraph">
    <w:name w:val="List Paragraph"/>
    <w:basedOn w:val="Normal"/>
    <w:uiPriority w:val="34"/>
    <w:qFormat/>
    <w:rsid w:val="006F2FA1"/>
    <w:pPr>
      <w:ind w:left="720"/>
      <w:contextualSpacing/>
    </w:pPr>
  </w:style>
  <w:style w:type="paragraph" w:styleId="TOCHeading">
    <w:name w:val="TOC Heading"/>
    <w:basedOn w:val="Heading1"/>
    <w:next w:val="Normal"/>
    <w:uiPriority w:val="39"/>
    <w:unhideWhenUsed/>
    <w:qFormat/>
    <w:rsid w:val="00546A07"/>
    <w:pPr>
      <w:keepLines/>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2">
    <w:name w:val="toc 2"/>
    <w:basedOn w:val="Normal"/>
    <w:next w:val="Normal"/>
    <w:autoRedefine/>
    <w:uiPriority w:val="39"/>
    <w:unhideWhenUsed/>
    <w:qFormat/>
    <w:rsid w:val="00920208"/>
    <w:pPr>
      <w:spacing w:after="100" w:line="276" w:lineRule="auto"/>
      <w:ind w:left="220"/>
    </w:pPr>
    <w:rPr>
      <w:rFonts w:eastAsiaTheme="minorEastAsia" w:cstheme="minorBidi"/>
      <w:szCs w:val="22"/>
      <w:lang w:eastAsia="ja-JP"/>
    </w:rPr>
  </w:style>
  <w:style w:type="paragraph" w:styleId="TOC1">
    <w:name w:val="toc 1"/>
    <w:basedOn w:val="Normal"/>
    <w:next w:val="Normal"/>
    <w:autoRedefine/>
    <w:uiPriority w:val="39"/>
    <w:unhideWhenUsed/>
    <w:qFormat/>
    <w:rsid w:val="0084102E"/>
    <w:pPr>
      <w:tabs>
        <w:tab w:val="left" w:pos="720"/>
        <w:tab w:val="right" w:leader="dot" w:pos="8918"/>
      </w:tabs>
      <w:spacing w:line="480" w:lineRule="auto"/>
      <w:ind w:left="720" w:hanging="720"/>
    </w:pPr>
    <w:rPr>
      <w:rFonts w:eastAsiaTheme="minorEastAsia" w:cstheme="minorBidi"/>
      <w:szCs w:val="22"/>
      <w:lang w:eastAsia="ja-JP"/>
    </w:rPr>
  </w:style>
  <w:style w:type="paragraph" w:styleId="TOC3">
    <w:name w:val="toc 3"/>
    <w:basedOn w:val="Normal"/>
    <w:next w:val="Normal"/>
    <w:autoRedefine/>
    <w:uiPriority w:val="39"/>
    <w:unhideWhenUsed/>
    <w:qFormat/>
    <w:rsid w:val="00E05828"/>
    <w:pPr>
      <w:tabs>
        <w:tab w:val="left" w:pos="1260"/>
        <w:tab w:val="right" w:leader="dot" w:pos="8918"/>
      </w:tabs>
      <w:spacing w:line="480" w:lineRule="auto"/>
      <w:ind w:left="1440" w:hanging="720"/>
    </w:pPr>
    <w:rPr>
      <w:rFonts w:eastAsiaTheme="minorEastAsia" w:cstheme="minorBidi"/>
      <w:szCs w:val="22"/>
      <w:lang w:eastAsia="ja-JP"/>
    </w:rPr>
  </w:style>
  <w:style w:type="paragraph" w:styleId="BalloonText">
    <w:name w:val="Balloon Text"/>
    <w:basedOn w:val="Normal"/>
    <w:link w:val="BalloonTextChar"/>
    <w:uiPriority w:val="99"/>
    <w:semiHidden/>
    <w:unhideWhenUsed/>
    <w:rsid w:val="00546A07"/>
    <w:rPr>
      <w:rFonts w:ascii="Tahoma" w:hAnsi="Tahoma" w:cs="Tahoma"/>
      <w:sz w:val="16"/>
      <w:szCs w:val="16"/>
    </w:rPr>
  </w:style>
  <w:style w:type="character" w:customStyle="1" w:styleId="BalloonTextChar">
    <w:name w:val="Balloon Text Char"/>
    <w:basedOn w:val="DefaultParagraphFont"/>
    <w:link w:val="BalloonText"/>
    <w:uiPriority w:val="99"/>
    <w:semiHidden/>
    <w:rsid w:val="00546A07"/>
    <w:rPr>
      <w:rFonts w:ascii="Tahoma" w:eastAsia="Times New Roman" w:hAnsi="Tahoma" w:cs="Tahoma"/>
      <w:sz w:val="16"/>
      <w:szCs w:val="16"/>
    </w:rPr>
  </w:style>
  <w:style w:type="character" w:customStyle="1" w:styleId="Heading2Char">
    <w:name w:val="Heading 2 Char"/>
    <w:basedOn w:val="DefaultParagraphFont"/>
    <w:link w:val="Heading2"/>
    <w:uiPriority w:val="9"/>
    <w:rsid w:val="005649BE"/>
    <w:rPr>
      <w:rFonts w:eastAsia="Times New Roman"/>
      <w:b/>
      <w:bCs/>
      <w:sz w:val="24"/>
      <w:szCs w:val="24"/>
    </w:rPr>
  </w:style>
  <w:style w:type="character" w:customStyle="1" w:styleId="Heading4Char">
    <w:name w:val="Heading 4 Char"/>
    <w:basedOn w:val="DefaultParagraphFont"/>
    <w:link w:val="Heading4"/>
    <w:uiPriority w:val="9"/>
    <w:rsid w:val="004E0D94"/>
    <w:rPr>
      <w:rFonts w:eastAsia="Times New Roman"/>
      <w:b/>
      <w:bCs/>
      <w:sz w:val="24"/>
      <w:szCs w:val="24"/>
    </w:rPr>
  </w:style>
  <w:style w:type="character" w:customStyle="1" w:styleId="Heading5Char">
    <w:name w:val="Heading 5 Char"/>
    <w:basedOn w:val="DefaultParagraphFont"/>
    <w:link w:val="Heading5"/>
    <w:uiPriority w:val="9"/>
    <w:rsid w:val="00FD5B3E"/>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3A477D"/>
    <w:rPr>
      <w:rFonts w:eastAsia="Times New Roman"/>
      <w:b/>
      <w:bCs/>
      <w:sz w:val="24"/>
      <w:szCs w:val="24"/>
    </w:rPr>
  </w:style>
  <w:style w:type="character" w:customStyle="1" w:styleId="Heading7Char">
    <w:name w:val="Heading 7 Char"/>
    <w:basedOn w:val="DefaultParagraphFont"/>
    <w:link w:val="Heading7"/>
    <w:uiPriority w:val="9"/>
    <w:rsid w:val="00FD5B3E"/>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rsid w:val="00FD5B3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D5B3E"/>
    <w:rPr>
      <w:rFonts w:asciiTheme="majorHAnsi" w:eastAsiaTheme="majorEastAsia" w:hAnsiTheme="majorHAnsi" w:cstheme="majorBidi"/>
      <w:i/>
      <w:iCs/>
      <w:color w:val="404040" w:themeColor="text1" w:themeTint="BF"/>
    </w:rPr>
  </w:style>
  <w:style w:type="paragraph" w:styleId="BodyTextIndent2">
    <w:name w:val="Body Text Indent 2"/>
    <w:basedOn w:val="Normal"/>
    <w:link w:val="BodyTextIndent2Char"/>
    <w:uiPriority w:val="99"/>
    <w:semiHidden/>
    <w:unhideWhenUsed/>
    <w:rsid w:val="00641F26"/>
    <w:pPr>
      <w:spacing w:after="120" w:line="480" w:lineRule="auto"/>
      <w:ind w:left="360"/>
    </w:pPr>
  </w:style>
  <w:style w:type="character" w:customStyle="1" w:styleId="BodyTextIndent2Char">
    <w:name w:val="Body Text Indent 2 Char"/>
    <w:basedOn w:val="DefaultParagraphFont"/>
    <w:link w:val="BodyTextIndent2"/>
    <w:uiPriority w:val="99"/>
    <w:semiHidden/>
    <w:rsid w:val="00641F26"/>
    <w:rPr>
      <w:rFonts w:eastAsia="Times New Roman"/>
      <w:sz w:val="24"/>
      <w:szCs w:val="24"/>
    </w:rPr>
  </w:style>
  <w:style w:type="paragraph" w:customStyle="1" w:styleId="Question-Testimony">
    <w:name w:val="Question - Testimony"/>
    <w:basedOn w:val="Normal"/>
    <w:link w:val="Question-TestimonyChar"/>
    <w:qFormat/>
    <w:rsid w:val="00641F26"/>
    <w:pPr>
      <w:tabs>
        <w:tab w:val="left" w:pos="-1440"/>
      </w:tabs>
      <w:spacing w:line="480" w:lineRule="auto"/>
      <w:ind w:left="720" w:hanging="720"/>
    </w:pPr>
    <w:rPr>
      <w:b/>
      <w:bCs/>
    </w:rPr>
  </w:style>
  <w:style w:type="paragraph" w:customStyle="1" w:styleId="Answer-Testimony">
    <w:name w:val="Answer - Testimony"/>
    <w:basedOn w:val="Normal"/>
    <w:link w:val="Answer-TestimonyChar"/>
    <w:qFormat/>
    <w:rsid w:val="00641F26"/>
    <w:pPr>
      <w:spacing w:line="480" w:lineRule="auto"/>
      <w:ind w:left="720" w:hanging="720"/>
    </w:pPr>
  </w:style>
  <w:style w:type="character" w:customStyle="1" w:styleId="Question-TestimonyChar">
    <w:name w:val="Question - Testimony Char"/>
    <w:basedOn w:val="Heading1Char"/>
    <w:link w:val="Question-Testimony"/>
    <w:rsid w:val="00641F26"/>
    <w:rPr>
      <w:rFonts w:eastAsia="Times New Roman"/>
      <w:b/>
      <w:bCs/>
      <w:sz w:val="24"/>
      <w:szCs w:val="24"/>
    </w:rPr>
  </w:style>
  <w:style w:type="paragraph" w:styleId="TOC4">
    <w:name w:val="toc 4"/>
    <w:basedOn w:val="Normal"/>
    <w:next w:val="Normal"/>
    <w:autoRedefine/>
    <w:uiPriority w:val="39"/>
    <w:unhideWhenUsed/>
    <w:rsid w:val="004E0D94"/>
    <w:pPr>
      <w:tabs>
        <w:tab w:val="left" w:pos="1200"/>
        <w:tab w:val="right" w:leader="dot" w:pos="8918"/>
      </w:tabs>
      <w:spacing w:after="100" w:line="360" w:lineRule="auto"/>
      <w:ind w:left="720"/>
    </w:pPr>
  </w:style>
  <w:style w:type="character" w:customStyle="1" w:styleId="Answer-TestimonyChar">
    <w:name w:val="Answer - Testimony Char"/>
    <w:basedOn w:val="DefaultParagraphFont"/>
    <w:link w:val="Answer-Testimony"/>
    <w:rsid w:val="00641F26"/>
    <w:rPr>
      <w:rFonts w:eastAsia="Times New Roman"/>
      <w:sz w:val="24"/>
      <w:szCs w:val="24"/>
    </w:rPr>
  </w:style>
  <w:style w:type="paragraph" w:styleId="TOC6">
    <w:name w:val="toc 6"/>
    <w:basedOn w:val="Normal"/>
    <w:next w:val="Normal"/>
    <w:autoRedefine/>
    <w:uiPriority w:val="39"/>
    <w:unhideWhenUsed/>
    <w:rsid w:val="0084102E"/>
    <w:pPr>
      <w:tabs>
        <w:tab w:val="left" w:pos="1800"/>
        <w:tab w:val="right" w:leader="dot" w:pos="8918"/>
      </w:tabs>
      <w:spacing w:line="480" w:lineRule="auto"/>
      <w:ind w:left="1267"/>
    </w:pPr>
  </w:style>
  <w:style w:type="paragraph" w:styleId="TOC9">
    <w:name w:val="toc 9"/>
    <w:basedOn w:val="Normal"/>
    <w:next w:val="Normal"/>
    <w:autoRedefine/>
    <w:uiPriority w:val="39"/>
    <w:semiHidden/>
    <w:unhideWhenUsed/>
    <w:rsid w:val="006B4E3E"/>
    <w:pPr>
      <w:spacing w:after="100"/>
      <w:ind w:left="1920"/>
    </w:pPr>
  </w:style>
  <w:style w:type="paragraph" w:styleId="FootnoteText">
    <w:name w:val="footnote text"/>
    <w:basedOn w:val="Normal"/>
    <w:link w:val="FootnoteTextChar"/>
    <w:unhideWhenUsed/>
    <w:rsid w:val="00421E84"/>
    <w:rPr>
      <w:rFonts w:eastAsia="Calibri"/>
      <w:sz w:val="20"/>
      <w:szCs w:val="20"/>
    </w:rPr>
  </w:style>
  <w:style w:type="character" w:customStyle="1" w:styleId="FootnoteTextChar">
    <w:name w:val="Footnote Text Char"/>
    <w:basedOn w:val="DefaultParagraphFont"/>
    <w:link w:val="FootnoteText"/>
    <w:rsid w:val="00421E84"/>
  </w:style>
  <w:style w:type="character" w:styleId="FootnoteReference">
    <w:name w:val="footnote reference"/>
    <w:basedOn w:val="DefaultParagraphFont"/>
    <w:unhideWhenUsed/>
    <w:rsid w:val="00CD7EB6"/>
    <w:rPr>
      <w:vertAlign w:val="superscript"/>
    </w:rPr>
  </w:style>
  <w:style w:type="character" w:styleId="FollowedHyperlink">
    <w:name w:val="FollowedHyperlink"/>
    <w:basedOn w:val="DefaultParagraphFont"/>
    <w:rsid w:val="00CD7EB6"/>
    <w:rPr>
      <w:color w:val="800080"/>
      <w:u w:val="single"/>
    </w:rPr>
  </w:style>
  <w:style w:type="paragraph" w:customStyle="1" w:styleId="answer">
    <w:name w:val="answer"/>
    <w:basedOn w:val="Normal"/>
    <w:link w:val="answerChar"/>
    <w:rsid w:val="00CC3234"/>
    <w:pPr>
      <w:spacing w:line="480" w:lineRule="atLeast"/>
      <w:ind w:left="720" w:hanging="720"/>
    </w:pPr>
    <w:rPr>
      <w:szCs w:val="20"/>
    </w:rPr>
  </w:style>
  <w:style w:type="paragraph" w:customStyle="1" w:styleId="footnoteindent">
    <w:name w:val="footnote indent"/>
    <w:basedOn w:val="Normal"/>
    <w:rsid w:val="00CD5EF2"/>
    <w:pPr>
      <w:spacing w:before="240" w:line="240" w:lineRule="atLeast"/>
      <w:ind w:left="1440" w:right="720"/>
    </w:pPr>
    <w:rPr>
      <w:sz w:val="22"/>
      <w:szCs w:val="20"/>
    </w:rPr>
  </w:style>
  <w:style w:type="paragraph" w:customStyle="1" w:styleId="question">
    <w:name w:val="question"/>
    <w:basedOn w:val="Normal"/>
    <w:next w:val="answer"/>
    <w:link w:val="questionChar"/>
    <w:rsid w:val="00CD5EF2"/>
    <w:pPr>
      <w:keepNext/>
      <w:keepLines/>
      <w:spacing w:before="240"/>
      <w:ind w:left="720" w:hanging="720"/>
    </w:pPr>
    <w:rPr>
      <w:b/>
      <w:szCs w:val="20"/>
    </w:rPr>
  </w:style>
  <w:style w:type="character" w:styleId="CommentReference">
    <w:name w:val="annotation reference"/>
    <w:basedOn w:val="DefaultParagraphFont"/>
    <w:uiPriority w:val="99"/>
    <w:semiHidden/>
    <w:unhideWhenUsed/>
    <w:rsid w:val="003831A5"/>
    <w:rPr>
      <w:sz w:val="16"/>
      <w:szCs w:val="16"/>
    </w:rPr>
  </w:style>
  <w:style w:type="paragraph" w:styleId="CommentText">
    <w:name w:val="annotation text"/>
    <w:basedOn w:val="Normal"/>
    <w:link w:val="CommentTextChar"/>
    <w:uiPriority w:val="99"/>
    <w:semiHidden/>
    <w:unhideWhenUsed/>
    <w:rsid w:val="003831A5"/>
    <w:rPr>
      <w:sz w:val="20"/>
      <w:szCs w:val="20"/>
    </w:rPr>
  </w:style>
  <w:style w:type="character" w:customStyle="1" w:styleId="CommentTextChar">
    <w:name w:val="Comment Text Char"/>
    <w:basedOn w:val="DefaultParagraphFont"/>
    <w:link w:val="CommentText"/>
    <w:uiPriority w:val="99"/>
    <w:semiHidden/>
    <w:rsid w:val="003831A5"/>
    <w:rPr>
      <w:rFonts w:eastAsia="Times New Roman"/>
    </w:rPr>
  </w:style>
  <w:style w:type="paragraph" w:styleId="CommentSubject">
    <w:name w:val="annotation subject"/>
    <w:basedOn w:val="CommentText"/>
    <w:next w:val="CommentText"/>
    <w:link w:val="CommentSubjectChar"/>
    <w:uiPriority w:val="99"/>
    <w:semiHidden/>
    <w:unhideWhenUsed/>
    <w:rsid w:val="003831A5"/>
    <w:rPr>
      <w:b/>
      <w:bCs/>
    </w:rPr>
  </w:style>
  <w:style w:type="character" w:customStyle="1" w:styleId="CommentSubjectChar">
    <w:name w:val="Comment Subject Char"/>
    <w:basedOn w:val="CommentTextChar"/>
    <w:link w:val="CommentSubject"/>
    <w:uiPriority w:val="99"/>
    <w:semiHidden/>
    <w:rsid w:val="003831A5"/>
    <w:rPr>
      <w:rFonts w:eastAsia="Times New Roman"/>
      <w:b/>
      <w:bCs/>
    </w:rPr>
  </w:style>
  <w:style w:type="paragraph" w:styleId="Revision">
    <w:name w:val="Revision"/>
    <w:hidden/>
    <w:uiPriority w:val="99"/>
    <w:semiHidden/>
    <w:rsid w:val="003056FE"/>
    <w:rPr>
      <w:rFonts w:eastAsia="Times New Roman"/>
      <w:sz w:val="24"/>
      <w:szCs w:val="24"/>
    </w:rPr>
  </w:style>
  <w:style w:type="character" w:customStyle="1" w:styleId="answerChar">
    <w:name w:val="answer Char"/>
    <w:link w:val="answer"/>
    <w:rsid w:val="0017343E"/>
    <w:rPr>
      <w:rFonts w:eastAsia="Times New Roman"/>
      <w:sz w:val="24"/>
    </w:rPr>
  </w:style>
  <w:style w:type="character" w:customStyle="1" w:styleId="questionChar">
    <w:name w:val="question Char"/>
    <w:link w:val="question"/>
    <w:rsid w:val="0017343E"/>
    <w:rPr>
      <w:rFonts w:eastAsia="Times New Roman"/>
      <w:b/>
      <w:sz w:val="24"/>
    </w:rPr>
  </w:style>
  <w:style w:type="character" w:styleId="Strong">
    <w:name w:val="Strong"/>
    <w:qFormat/>
    <w:rsid w:val="00EB1EBE"/>
    <w:rPr>
      <w:b/>
    </w:rPr>
  </w:style>
  <w:style w:type="table" w:styleId="TableGrid">
    <w:name w:val="Table Grid"/>
    <w:basedOn w:val="TableNormal"/>
    <w:uiPriority w:val="59"/>
    <w:rsid w:val="00170F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C3D3E"/>
    <w:pPr>
      <w:autoSpaceDE w:val="0"/>
      <w:autoSpaceDN w:val="0"/>
      <w:adjustRightInd w:val="0"/>
    </w:pPr>
    <w:rPr>
      <w:rFonts w:ascii="Calibri" w:hAnsi="Calibri" w:cs="Calibri"/>
      <w:color w:val="000000"/>
      <w:sz w:val="24"/>
      <w:szCs w:val="24"/>
    </w:rPr>
  </w:style>
  <w:style w:type="paragraph" w:styleId="TOC5">
    <w:name w:val="toc 5"/>
    <w:basedOn w:val="Normal"/>
    <w:next w:val="Normal"/>
    <w:autoRedefine/>
    <w:uiPriority w:val="39"/>
    <w:unhideWhenUsed/>
    <w:rsid w:val="00040A50"/>
    <w:pPr>
      <w:spacing w:after="100"/>
      <w:ind w:left="9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1C"/>
    <w:rPr>
      <w:rFonts w:eastAsia="Times New Roman"/>
      <w:sz w:val="24"/>
      <w:szCs w:val="24"/>
    </w:rPr>
  </w:style>
  <w:style w:type="paragraph" w:styleId="Heading1">
    <w:name w:val="heading 1"/>
    <w:basedOn w:val="Normal"/>
    <w:next w:val="Normal"/>
    <w:link w:val="Heading1Char"/>
    <w:qFormat/>
    <w:rsid w:val="006B4E3E"/>
    <w:pPr>
      <w:keepNext/>
      <w:numPr>
        <w:numId w:val="9"/>
      </w:numPr>
      <w:spacing w:line="480" w:lineRule="auto"/>
      <w:ind w:left="2880" w:hanging="720"/>
      <w:outlineLvl w:val="0"/>
    </w:pPr>
    <w:rPr>
      <w:b/>
      <w:bCs/>
    </w:rPr>
  </w:style>
  <w:style w:type="paragraph" w:styleId="Heading2">
    <w:name w:val="heading 2"/>
    <w:basedOn w:val="Heading3"/>
    <w:next w:val="Normal"/>
    <w:link w:val="Heading2Char"/>
    <w:uiPriority w:val="9"/>
    <w:unhideWhenUsed/>
    <w:qFormat/>
    <w:rsid w:val="005649BE"/>
    <w:pPr>
      <w:ind w:left="3600" w:firstLine="0"/>
      <w:outlineLvl w:val="1"/>
    </w:pPr>
  </w:style>
  <w:style w:type="paragraph" w:styleId="Heading3">
    <w:name w:val="heading 3"/>
    <w:basedOn w:val="Normal"/>
    <w:next w:val="Normal"/>
    <w:link w:val="Heading3Char"/>
    <w:qFormat/>
    <w:rsid w:val="006B4E3E"/>
    <w:pPr>
      <w:keepNext/>
      <w:numPr>
        <w:ilvl w:val="2"/>
        <w:numId w:val="9"/>
      </w:numPr>
      <w:spacing w:line="480" w:lineRule="auto"/>
      <w:ind w:left="720" w:hanging="720"/>
      <w:outlineLvl w:val="2"/>
    </w:pPr>
    <w:rPr>
      <w:b/>
      <w:bCs/>
    </w:rPr>
  </w:style>
  <w:style w:type="paragraph" w:styleId="Heading4">
    <w:name w:val="heading 4"/>
    <w:basedOn w:val="Heading3"/>
    <w:next w:val="Normal"/>
    <w:link w:val="Heading4Char"/>
    <w:uiPriority w:val="9"/>
    <w:unhideWhenUsed/>
    <w:qFormat/>
    <w:rsid w:val="004E0D94"/>
    <w:pPr>
      <w:ind w:left="0"/>
      <w:outlineLvl w:val="3"/>
    </w:pPr>
  </w:style>
  <w:style w:type="paragraph" w:styleId="Heading5">
    <w:name w:val="heading 5"/>
    <w:basedOn w:val="Normal"/>
    <w:next w:val="Normal"/>
    <w:link w:val="Heading5Char"/>
    <w:uiPriority w:val="9"/>
    <w:unhideWhenUsed/>
    <w:qFormat/>
    <w:rsid w:val="00FD5B3E"/>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Heading2"/>
    <w:next w:val="Normal"/>
    <w:link w:val="Heading6Char"/>
    <w:autoRedefine/>
    <w:uiPriority w:val="9"/>
    <w:unhideWhenUsed/>
    <w:qFormat/>
    <w:rsid w:val="003A477D"/>
    <w:pPr>
      <w:keepNext w:val="0"/>
      <w:widowControl w:val="0"/>
      <w:numPr>
        <w:ilvl w:val="0"/>
        <w:numId w:val="12"/>
      </w:numPr>
      <w:tabs>
        <w:tab w:val="left" w:pos="1440"/>
      </w:tabs>
      <w:outlineLvl w:val="5"/>
    </w:pPr>
  </w:style>
  <w:style w:type="paragraph" w:styleId="Heading7">
    <w:name w:val="heading 7"/>
    <w:basedOn w:val="Normal"/>
    <w:next w:val="Normal"/>
    <w:link w:val="Heading7Char"/>
    <w:uiPriority w:val="9"/>
    <w:unhideWhenUsed/>
    <w:qFormat/>
    <w:rsid w:val="00FD5B3E"/>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D5B3E"/>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D5B3E"/>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B4E3E"/>
    <w:rPr>
      <w:rFonts w:eastAsia="Times New Roman"/>
      <w:b/>
      <w:bCs/>
      <w:sz w:val="24"/>
      <w:szCs w:val="24"/>
    </w:rPr>
  </w:style>
  <w:style w:type="character" w:customStyle="1" w:styleId="Heading3Char">
    <w:name w:val="Heading 3 Char"/>
    <w:link w:val="Heading3"/>
    <w:rsid w:val="006B4E3E"/>
    <w:rPr>
      <w:rFonts w:eastAsia="Times New Roman"/>
      <w:b/>
      <w:bCs/>
      <w:sz w:val="24"/>
      <w:szCs w:val="24"/>
    </w:rPr>
  </w:style>
  <w:style w:type="paragraph" w:styleId="BodyTextIndent">
    <w:name w:val="Body Text Indent"/>
    <w:basedOn w:val="Normal"/>
    <w:link w:val="BodyTextIndentChar"/>
    <w:rsid w:val="00C3471C"/>
    <w:pPr>
      <w:spacing w:line="480" w:lineRule="auto"/>
      <w:ind w:left="720" w:hanging="720"/>
    </w:pPr>
  </w:style>
  <w:style w:type="character" w:customStyle="1" w:styleId="BodyTextIndentChar">
    <w:name w:val="Body Text Indent Char"/>
    <w:link w:val="BodyTextIndent"/>
    <w:rsid w:val="00C3471C"/>
    <w:rPr>
      <w:rFonts w:eastAsia="Times New Roman" w:cs="Times New Roman"/>
      <w:szCs w:val="24"/>
    </w:rPr>
  </w:style>
  <w:style w:type="paragraph" w:styleId="Footer">
    <w:name w:val="footer"/>
    <w:basedOn w:val="Normal"/>
    <w:link w:val="FooterChar"/>
    <w:uiPriority w:val="99"/>
    <w:rsid w:val="00C3471C"/>
    <w:pPr>
      <w:tabs>
        <w:tab w:val="center" w:pos="4320"/>
        <w:tab w:val="right" w:pos="8640"/>
      </w:tabs>
    </w:pPr>
  </w:style>
  <w:style w:type="character" w:customStyle="1" w:styleId="FooterChar">
    <w:name w:val="Footer Char"/>
    <w:link w:val="Footer"/>
    <w:uiPriority w:val="99"/>
    <w:rsid w:val="00C3471C"/>
    <w:rPr>
      <w:rFonts w:eastAsia="Times New Roman" w:cs="Times New Roman"/>
      <w:szCs w:val="24"/>
    </w:rPr>
  </w:style>
  <w:style w:type="character" w:styleId="PageNumber">
    <w:name w:val="page number"/>
    <w:basedOn w:val="DefaultParagraphFont"/>
    <w:rsid w:val="00C3471C"/>
  </w:style>
  <w:style w:type="character" w:styleId="LineNumber">
    <w:name w:val="line number"/>
    <w:basedOn w:val="DefaultParagraphFont"/>
    <w:uiPriority w:val="99"/>
    <w:semiHidden/>
    <w:unhideWhenUsed/>
    <w:rsid w:val="00C3471C"/>
  </w:style>
  <w:style w:type="paragraph" w:styleId="Header">
    <w:name w:val="header"/>
    <w:basedOn w:val="Normal"/>
    <w:link w:val="HeaderChar"/>
    <w:unhideWhenUsed/>
    <w:rsid w:val="00C3471C"/>
    <w:pPr>
      <w:tabs>
        <w:tab w:val="center" w:pos="4680"/>
        <w:tab w:val="right" w:pos="9360"/>
      </w:tabs>
    </w:pPr>
  </w:style>
  <w:style w:type="character" w:customStyle="1" w:styleId="HeaderChar">
    <w:name w:val="Header Char"/>
    <w:link w:val="Header"/>
    <w:rsid w:val="00C3471C"/>
    <w:rPr>
      <w:rFonts w:eastAsia="Times New Roman" w:cs="Times New Roman"/>
      <w:szCs w:val="24"/>
    </w:rPr>
  </w:style>
  <w:style w:type="character" w:styleId="Hyperlink">
    <w:name w:val="Hyperlink"/>
    <w:basedOn w:val="DefaultParagraphFont"/>
    <w:uiPriority w:val="99"/>
    <w:unhideWhenUsed/>
    <w:rsid w:val="00D41BE5"/>
    <w:rPr>
      <w:rFonts w:ascii="Times New Roman" w:hAnsi="Times New Roman"/>
      <w:color w:val="0000FF" w:themeColor="hyperlink"/>
      <w:position w:val="0"/>
      <w:sz w:val="24"/>
      <w:u w:val="single"/>
    </w:rPr>
  </w:style>
  <w:style w:type="paragraph" w:styleId="ListParagraph">
    <w:name w:val="List Paragraph"/>
    <w:basedOn w:val="Normal"/>
    <w:uiPriority w:val="34"/>
    <w:qFormat/>
    <w:rsid w:val="006F2FA1"/>
    <w:pPr>
      <w:ind w:left="720"/>
      <w:contextualSpacing/>
    </w:pPr>
  </w:style>
  <w:style w:type="paragraph" w:styleId="TOCHeading">
    <w:name w:val="TOC Heading"/>
    <w:basedOn w:val="Heading1"/>
    <w:next w:val="Normal"/>
    <w:uiPriority w:val="39"/>
    <w:unhideWhenUsed/>
    <w:qFormat/>
    <w:rsid w:val="00546A07"/>
    <w:pPr>
      <w:keepLines/>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2">
    <w:name w:val="toc 2"/>
    <w:basedOn w:val="Normal"/>
    <w:next w:val="Normal"/>
    <w:autoRedefine/>
    <w:uiPriority w:val="39"/>
    <w:unhideWhenUsed/>
    <w:qFormat/>
    <w:rsid w:val="00920208"/>
    <w:pPr>
      <w:spacing w:after="100" w:line="276" w:lineRule="auto"/>
      <w:ind w:left="220"/>
    </w:pPr>
    <w:rPr>
      <w:rFonts w:eastAsiaTheme="minorEastAsia" w:cstheme="minorBidi"/>
      <w:szCs w:val="22"/>
      <w:lang w:eastAsia="ja-JP"/>
    </w:rPr>
  </w:style>
  <w:style w:type="paragraph" w:styleId="TOC1">
    <w:name w:val="toc 1"/>
    <w:basedOn w:val="Normal"/>
    <w:next w:val="Normal"/>
    <w:autoRedefine/>
    <w:uiPriority w:val="39"/>
    <w:unhideWhenUsed/>
    <w:qFormat/>
    <w:rsid w:val="0084102E"/>
    <w:pPr>
      <w:tabs>
        <w:tab w:val="left" w:pos="720"/>
        <w:tab w:val="right" w:leader="dot" w:pos="8918"/>
      </w:tabs>
      <w:spacing w:line="480" w:lineRule="auto"/>
      <w:ind w:left="720" w:hanging="720"/>
    </w:pPr>
    <w:rPr>
      <w:rFonts w:eastAsiaTheme="minorEastAsia" w:cstheme="minorBidi"/>
      <w:szCs w:val="22"/>
      <w:lang w:eastAsia="ja-JP"/>
    </w:rPr>
  </w:style>
  <w:style w:type="paragraph" w:styleId="TOC3">
    <w:name w:val="toc 3"/>
    <w:basedOn w:val="Normal"/>
    <w:next w:val="Normal"/>
    <w:autoRedefine/>
    <w:uiPriority w:val="39"/>
    <w:unhideWhenUsed/>
    <w:qFormat/>
    <w:rsid w:val="00E05828"/>
    <w:pPr>
      <w:tabs>
        <w:tab w:val="left" w:pos="1260"/>
        <w:tab w:val="right" w:leader="dot" w:pos="8918"/>
      </w:tabs>
      <w:spacing w:line="480" w:lineRule="auto"/>
      <w:ind w:left="1440" w:hanging="720"/>
    </w:pPr>
    <w:rPr>
      <w:rFonts w:eastAsiaTheme="minorEastAsia" w:cstheme="minorBidi"/>
      <w:szCs w:val="22"/>
      <w:lang w:eastAsia="ja-JP"/>
    </w:rPr>
  </w:style>
  <w:style w:type="paragraph" w:styleId="BalloonText">
    <w:name w:val="Balloon Text"/>
    <w:basedOn w:val="Normal"/>
    <w:link w:val="BalloonTextChar"/>
    <w:uiPriority w:val="99"/>
    <w:semiHidden/>
    <w:unhideWhenUsed/>
    <w:rsid w:val="00546A07"/>
    <w:rPr>
      <w:rFonts w:ascii="Tahoma" w:hAnsi="Tahoma" w:cs="Tahoma"/>
      <w:sz w:val="16"/>
      <w:szCs w:val="16"/>
    </w:rPr>
  </w:style>
  <w:style w:type="character" w:customStyle="1" w:styleId="BalloonTextChar">
    <w:name w:val="Balloon Text Char"/>
    <w:basedOn w:val="DefaultParagraphFont"/>
    <w:link w:val="BalloonText"/>
    <w:uiPriority w:val="99"/>
    <w:semiHidden/>
    <w:rsid w:val="00546A07"/>
    <w:rPr>
      <w:rFonts w:ascii="Tahoma" w:eastAsia="Times New Roman" w:hAnsi="Tahoma" w:cs="Tahoma"/>
      <w:sz w:val="16"/>
      <w:szCs w:val="16"/>
    </w:rPr>
  </w:style>
  <w:style w:type="character" w:customStyle="1" w:styleId="Heading2Char">
    <w:name w:val="Heading 2 Char"/>
    <w:basedOn w:val="DefaultParagraphFont"/>
    <w:link w:val="Heading2"/>
    <w:uiPriority w:val="9"/>
    <w:rsid w:val="005649BE"/>
    <w:rPr>
      <w:rFonts w:eastAsia="Times New Roman"/>
      <w:b/>
      <w:bCs/>
      <w:sz w:val="24"/>
      <w:szCs w:val="24"/>
    </w:rPr>
  </w:style>
  <w:style w:type="character" w:customStyle="1" w:styleId="Heading4Char">
    <w:name w:val="Heading 4 Char"/>
    <w:basedOn w:val="DefaultParagraphFont"/>
    <w:link w:val="Heading4"/>
    <w:uiPriority w:val="9"/>
    <w:rsid w:val="004E0D94"/>
    <w:rPr>
      <w:rFonts w:eastAsia="Times New Roman"/>
      <w:b/>
      <w:bCs/>
      <w:sz w:val="24"/>
      <w:szCs w:val="24"/>
    </w:rPr>
  </w:style>
  <w:style w:type="character" w:customStyle="1" w:styleId="Heading5Char">
    <w:name w:val="Heading 5 Char"/>
    <w:basedOn w:val="DefaultParagraphFont"/>
    <w:link w:val="Heading5"/>
    <w:uiPriority w:val="9"/>
    <w:rsid w:val="00FD5B3E"/>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3A477D"/>
    <w:rPr>
      <w:rFonts w:eastAsia="Times New Roman"/>
      <w:b/>
      <w:bCs/>
      <w:sz w:val="24"/>
      <w:szCs w:val="24"/>
    </w:rPr>
  </w:style>
  <w:style w:type="character" w:customStyle="1" w:styleId="Heading7Char">
    <w:name w:val="Heading 7 Char"/>
    <w:basedOn w:val="DefaultParagraphFont"/>
    <w:link w:val="Heading7"/>
    <w:uiPriority w:val="9"/>
    <w:rsid w:val="00FD5B3E"/>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rsid w:val="00FD5B3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D5B3E"/>
    <w:rPr>
      <w:rFonts w:asciiTheme="majorHAnsi" w:eastAsiaTheme="majorEastAsia" w:hAnsiTheme="majorHAnsi" w:cstheme="majorBidi"/>
      <w:i/>
      <w:iCs/>
      <w:color w:val="404040" w:themeColor="text1" w:themeTint="BF"/>
    </w:rPr>
  </w:style>
  <w:style w:type="paragraph" w:styleId="BodyTextIndent2">
    <w:name w:val="Body Text Indent 2"/>
    <w:basedOn w:val="Normal"/>
    <w:link w:val="BodyTextIndent2Char"/>
    <w:uiPriority w:val="99"/>
    <w:semiHidden/>
    <w:unhideWhenUsed/>
    <w:rsid w:val="00641F26"/>
    <w:pPr>
      <w:spacing w:after="120" w:line="480" w:lineRule="auto"/>
      <w:ind w:left="360"/>
    </w:pPr>
  </w:style>
  <w:style w:type="character" w:customStyle="1" w:styleId="BodyTextIndent2Char">
    <w:name w:val="Body Text Indent 2 Char"/>
    <w:basedOn w:val="DefaultParagraphFont"/>
    <w:link w:val="BodyTextIndent2"/>
    <w:uiPriority w:val="99"/>
    <w:semiHidden/>
    <w:rsid w:val="00641F26"/>
    <w:rPr>
      <w:rFonts w:eastAsia="Times New Roman"/>
      <w:sz w:val="24"/>
      <w:szCs w:val="24"/>
    </w:rPr>
  </w:style>
  <w:style w:type="paragraph" w:customStyle="1" w:styleId="Question-Testimony">
    <w:name w:val="Question - Testimony"/>
    <w:basedOn w:val="Normal"/>
    <w:link w:val="Question-TestimonyChar"/>
    <w:qFormat/>
    <w:rsid w:val="00641F26"/>
    <w:pPr>
      <w:tabs>
        <w:tab w:val="left" w:pos="-1440"/>
      </w:tabs>
      <w:spacing w:line="480" w:lineRule="auto"/>
      <w:ind w:left="720" w:hanging="720"/>
    </w:pPr>
    <w:rPr>
      <w:b/>
      <w:bCs/>
    </w:rPr>
  </w:style>
  <w:style w:type="paragraph" w:customStyle="1" w:styleId="Answer-Testimony">
    <w:name w:val="Answer - Testimony"/>
    <w:basedOn w:val="Normal"/>
    <w:link w:val="Answer-TestimonyChar"/>
    <w:qFormat/>
    <w:rsid w:val="00641F26"/>
    <w:pPr>
      <w:spacing w:line="480" w:lineRule="auto"/>
      <w:ind w:left="720" w:hanging="720"/>
    </w:pPr>
  </w:style>
  <w:style w:type="character" w:customStyle="1" w:styleId="Question-TestimonyChar">
    <w:name w:val="Question - Testimony Char"/>
    <w:basedOn w:val="Heading1Char"/>
    <w:link w:val="Question-Testimony"/>
    <w:rsid w:val="00641F26"/>
    <w:rPr>
      <w:rFonts w:eastAsia="Times New Roman"/>
      <w:b/>
      <w:bCs/>
      <w:sz w:val="24"/>
      <w:szCs w:val="24"/>
    </w:rPr>
  </w:style>
  <w:style w:type="paragraph" w:styleId="TOC4">
    <w:name w:val="toc 4"/>
    <w:basedOn w:val="Normal"/>
    <w:next w:val="Normal"/>
    <w:autoRedefine/>
    <w:uiPriority w:val="39"/>
    <w:unhideWhenUsed/>
    <w:rsid w:val="004E0D94"/>
    <w:pPr>
      <w:tabs>
        <w:tab w:val="left" w:pos="1200"/>
        <w:tab w:val="right" w:leader="dot" w:pos="8918"/>
      </w:tabs>
      <w:spacing w:after="100" w:line="360" w:lineRule="auto"/>
      <w:ind w:left="720"/>
    </w:pPr>
  </w:style>
  <w:style w:type="character" w:customStyle="1" w:styleId="Answer-TestimonyChar">
    <w:name w:val="Answer - Testimony Char"/>
    <w:basedOn w:val="DefaultParagraphFont"/>
    <w:link w:val="Answer-Testimony"/>
    <w:rsid w:val="00641F26"/>
    <w:rPr>
      <w:rFonts w:eastAsia="Times New Roman"/>
      <w:sz w:val="24"/>
      <w:szCs w:val="24"/>
    </w:rPr>
  </w:style>
  <w:style w:type="paragraph" w:styleId="TOC6">
    <w:name w:val="toc 6"/>
    <w:basedOn w:val="Normal"/>
    <w:next w:val="Normal"/>
    <w:autoRedefine/>
    <w:uiPriority w:val="39"/>
    <w:unhideWhenUsed/>
    <w:rsid w:val="0084102E"/>
    <w:pPr>
      <w:tabs>
        <w:tab w:val="left" w:pos="1800"/>
        <w:tab w:val="right" w:leader="dot" w:pos="8918"/>
      </w:tabs>
      <w:spacing w:line="480" w:lineRule="auto"/>
      <w:ind w:left="1267"/>
    </w:pPr>
  </w:style>
  <w:style w:type="paragraph" w:styleId="TOC9">
    <w:name w:val="toc 9"/>
    <w:basedOn w:val="Normal"/>
    <w:next w:val="Normal"/>
    <w:autoRedefine/>
    <w:uiPriority w:val="39"/>
    <w:semiHidden/>
    <w:unhideWhenUsed/>
    <w:rsid w:val="006B4E3E"/>
    <w:pPr>
      <w:spacing w:after="100"/>
      <w:ind w:left="1920"/>
    </w:pPr>
  </w:style>
  <w:style w:type="paragraph" w:styleId="FootnoteText">
    <w:name w:val="footnote text"/>
    <w:basedOn w:val="Normal"/>
    <w:link w:val="FootnoteTextChar"/>
    <w:unhideWhenUsed/>
    <w:rsid w:val="00421E84"/>
    <w:rPr>
      <w:rFonts w:eastAsia="Calibri"/>
      <w:sz w:val="20"/>
      <w:szCs w:val="20"/>
    </w:rPr>
  </w:style>
  <w:style w:type="character" w:customStyle="1" w:styleId="FootnoteTextChar">
    <w:name w:val="Footnote Text Char"/>
    <w:basedOn w:val="DefaultParagraphFont"/>
    <w:link w:val="FootnoteText"/>
    <w:rsid w:val="00421E84"/>
  </w:style>
  <w:style w:type="character" w:styleId="FootnoteReference">
    <w:name w:val="footnote reference"/>
    <w:basedOn w:val="DefaultParagraphFont"/>
    <w:unhideWhenUsed/>
    <w:rsid w:val="00CD7EB6"/>
    <w:rPr>
      <w:vertAlign w:val="superscript"/>
    </w:rPr>
  </w:style>
  <w:style w:type="character" w:styleId="FollowedHyperlink">
    <w:name w:val="FollowedHyperlink"/>
    <w:basedOn w:val="DefaultParagraphFont"/>
    <w:rsid w:val="00CD7EB6"/>
    <w:rPr>
      <w:color w:val="800080"/>
      <w:u w:val="single"/>
    </w:rPr>
  </w:style>
  <w:style w:type="paragraph" w:customStyle="1" w:styleId="answer">
    <w:name w:val="answer"/>
    <w:basedOn w:val="Normal"/>
    <w:link w:val="answerChar"/>
    <w:rsid w:val="00CC3234"/>
    <w:pPr>
      <w:spacing w:line="480" w:lineRule="atLeast"/>
      <w:ind w:left="720" w:hanging="720"/>
    </w:pPr>
    <w:rPr>
      <w:szCs w:val="20"/>
    </w:rPr>
  </w:style>
  <w:style w:type="paragraph" w:customStyle="1" w:styleId="footnoteindent">
    <w:name w:val="footnote indent"/>
    <w:basedOn w:val="Normal"/>
    <w:rsid w:val="00CD5EF2"/>
    <w:pPr>
      <w:spacing w:before="240" w:line="240" w:lineRule="atLeast"/>
      <w:ind w:left="1440" w:right="720"/>
    </w:pPr>
    <w:rPr>
      <w:sz w:val="22"/>
      <w:szCs w:val="20"/>
    </w:rPr>
  </w:style>
  <w:style w:type="paragraph" w:customStyle="1" w:styleId="question">
    <w:name w:val="question"/>
    <w:basedOn w:val="Normal"/>
    <w:next w:val="answer"/>
    <w:link w:val="questionChar"/>
    <w:rsid w:val="00CD5EF2"/>
    <w:pPr>
      <w:keepNext/>
      <w:keepLines/>
      <w:spacing w:before="240"/>
      <w:ind w:left="720" w:hanging="720"/>
    </w:pPr>
    <w:rPr>
      <w:b/>
      <w:szCs w:val="20"/>
    </w:rPr>
  </w:style>
  <w:style w:type="character" w:styleId="CommentReference">
    <w:name w:val="annotation reference"/>
    <w:basedOn w:val="DefaultParagraphFont"/>
    <w:uiPriority w:val="99"/>
    <w:semiHidden/>
    <w:unhideWhenUsed/>
    <w:rsid w:val="003831A5"/>
    <w:rPr>
      <w:sz w:val="16"/>
      <w:szCs w:val="16"/>
    </w:rPr>
  </w:style>
  <w:style w:type="paragraph" w:styleId="CommentText">
    <w:name w:val="annotation text"/>
    <w:basedOn w:val="Normal"/>
    <w:link w:val="CommentTextChar"/>
    <w:uiPriority w:val="99"/>
    <w:semiHidden/>
    <w:unhideWhenUsed/>
    <w:rsid w:val="003831A5"/>
    <w:rPr>
      <w:sz w:val="20"/>
      <w:szCs w:val="20"/>
    </w:rPr>
  </w:style>
  <w:style w:type="character" w:customStyle="1" w:styleId="CommentTextChar">
    <w:name w:val="Comment Text Char"/>
    <w:basedOn w:val="DefaultParagraphFont"/>
    <w:link w:val="CommentText"/>
    <w:uiPriority w:val="99"/>
    <w:semiHidden/>
    <w:rsid w:val="003831A5"/>
    <w:rPr>
      <w:rFonts w:eastAsia="Times New Roman"/>
    </w:rPr>
  </w:style>
  <w:style w:type="paragraph" w:styleId="CommentSubject">
    <w:name w:val="annotation subject"/>
    <w:basedOn w:val="CommentText"/>
    <w:next w:val="CommentText"/>
    <w:link w:val="CommentSubjectChar"/>
    <w:uiPriority w:val="99"/>
    <w:semiHidden/>
    <w:unhideWhenUsed/>
    <w:rsid w:val="003831A5"/>
    <w:rPr>
      <w:b/>
      <w:bCs/>
    </w:rPr>
  </w:style>
  <w:style w:type="character" w:customStyle="1" w:styleId="CommentSubjectChar">
    <w:name w:val="Comment Subject Char"/>
    <w:basedOn w:val="CommentTextChar"/>
    <w:link w:val="CommentSubject"/>
    <w:uiPriority w:val="99"/>
    <w:semiHidden/>
    <w:rsid w:val="003831A5"/>
    <w:rPr>
      <w:rFonts w:eastAsia="Times New Roman"/>
      <w:b/>
      <w:bCs/>
    </w:rPr>
  </w:style>
  <w:style w:type="paragraph" w:styleId="Revision">
    <w:name w:val="Revision"/>
    <w:hidden/>
    <w:uiPriority w:val="99"/>
    <w:semiHidden/>
    <w:rsid w:val="003056FE"/>
    <w:rPr>
      <w:rFonts w:eastAsia="Times New Roman"/>
      <w:sz w:val="24"/>
      <w:szCs w:val="24"/>
    </w:rPr>
  </w:style>
  <w:style w:type="character" w:customStyle="1" w:styleId="answerChar">
    <w:name w:val="answer Char"/>
    <w:link w:val="answer"/>
    <w:rsid w:val="0017343E"/>
    <w:rPr>
      <w:rFonts w:eastAsia="Times New Roman"/>
      <w:sz w:val="24"/>
    </w:rPr>
  </w:style>
  <w:style w:type="character" w:customStyle="1" w:styleId="questionChar">
    <w:name w:val="question Char"/>
    <w:link w:val="question"/>
    <w:rsid w:val="0017343E"/>
    <w:rPr>
      <w:rFonts w:eastAsia="Times New Roman"/>
      <w:b/>
      <w:sz w:val="24"/>
    </w:rPr>
  </w:style>
  <w:style w:type="character" w:styleId="Strong">
    <w:name w:val="Strong"/>
    <w:qFormat/>
    <w:rsid w:val="00EB1EBE"/>
    <w:rPr>
      <w:b/>
    </w:rPr>
  </w:style>
  <w:style w:type="table" w:styleId="TableGrid">
    <w:name w:val="Table Grid"/>
    <w:basedOn w:val="TableNormal"/>
    <w:uiPriority w:val="59"/>
    <w:rsid w:val="00170F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C3D3E"/>
    <w:pPr>
      <w:autoSpaceDE w:val="0"/>
      <w:autoSpaceDN w:val="0"/>
      <w:adjustRightInd w:val="0"/>
    </w:pPr>
    <w:rPr>
      <w:rFonts w:ascii="Calibri" w:hAnsi="Calibri" w:cs="Calibri"/>
      <w:color w:val="000000"/>
      <w:sz w:val="24"/>
      <w:szCs w:val="24"/>
    </w:rPr>
  </w:style>
  <w:style w:type="paragraph" w:styleId="TOC5">
    <w:name w:val="toc 5"/>
    <w:basedOn w:val="Normal"/>
    <w:next w:val="Normal"/>
    <w:autoRedefine/>
    <w:uiPriority w:val="39"/>
    <w:unhideWhenUsed/>
    <w:rsid w:val="00040A50"/>
    <w:pPr>
      <w:spacing w:after="100"/>
      <w:ind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mickels@utc.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p:properties xmlns:p="http://schemas.microsoft.com/office/2006/metadata/properties" xmlns:xsi="http://www.w3.org/2001/XMLSchema-instance">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2012-09-19T07:00:00+00:00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2456D6F-1B02-462C-B659-5B97387337AC}"/>
</file>

<file path=customXml/itemProps2.xml><?xml version="1.0" encoding="utf-8"?>
<ds:datastoreItem xmlns:ds="http://schemas.openxmlformats.org/officeDocument/2006/customXml" ds:itemID="{C8FC74E5-821F-4FD7-ADEE-07FA6578AE52}"/>
</file>

<file path=customXml/itemProps3.xml><?xml version="1.0" encoding="utf-8"?>
<ds:datastoreItem xmlns:ds="http://schemas.openxmlformats.org/officeDocument/2006/customXml" ds:itemID="{66531814-1895-4271-B248-C85C012649AE}"/>
</file>

<file path=customXml/itemProps4.xml><?xml version="1.0" encoding="utf-8"?>
<ds:datastoreItem xmlns:ds="http://schemas.openxmlformats.org/officeDocument/2006/customXml" ds:itemID="{A780FE59-ED77-40B5-BC34-F3CEE636015B}"/>
</file>

<file path=customXml/itemProps5.xml><?xml version="1.0" encoding="utf-8"?>
<ds:datastoreItem xmlns:ds="http://schemas.openxmlformats.org/officeDocument/2006/customXml" ds:itemID="{BCEBB52C-9309-48EE-B4F4-DAE5F0A4139C}"/>
</file>

<file path=docProps/app.xml><?xml version="1.0" encoding="utf-8"?>
<Properties xmlns="http://schemas.openxmlformats.org/officeDocument/2006/extended-properties" xmlns:vt="http://schemas.openxmlformats.org/officeDocument/2006/docPropsVTypes">
  <Template>Normal.dotm</Template>
  <TotalTime>5</TotalTime>
  <Pages>51</Pages>
  <Words>10111</Words>
  <Characters>57633</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Mickelson, Christopher (UTC)</dc:creator>
  <cp:lastModifiedBy>Krista Gross</cp:lastModifiedBy>
  <cp:revision>4</cp:revision>
  <cp:lastPrinted>2012-09-19T16:17:00Z</cp:lastPrinted>
  <dcterms:created xsi:type="dcterms:W3CDTF">2012-09-19T16:12:00Z</dcterms:created>
  <dcterms:modified xsi:type="dcterms:W3CDTF">2012-09-19T16:19:00Z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0x0101006E56B4D1795A2E4DB2F0B01679ED314A00DEEBBBECEF4A9741925D1E0FF525C9BE</vt:lpwstr>
  </property>
  <property fmtid="{D5CDD505-2E9C-101B-9397-08002B2CF9AE}" pid="3" name="_docset_NoMedatataSyncRequired">
    <vt:lpwstr>False</vt:lpwstr>
  </property>
</Properties>
</file>