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9F774" w14:textId="77777777" w:rsidR="00F100B0" w:rsidRPr="004A2910" w:rsidRDefault="00F100B0" w:rsidP="009F67A5">
      <w:pPr>
        <w:tabs>
          <w:tab w:val="center" w:pos="4680"/>
        </w:tabs>
        <w:ind w:right="-108" w:hanging="180"/>
        <w:jc w:val="center"/>
      </w:pPr>
      <w:r w:rsidRPr="004A2910">
        <w:t xml:space="preserve">BEFORE THE </w:t>
      </w:r>
      <w:smartTag w:uri="urn:schemas-microsoft-com:office:smarttags" w:element="PostalCode">
        <w:smartTag w:uri="urn:schemas-microsoft-com:office:smarttags" w:element="place">
          <w:r w:rsidRPr="004A2910">
            <w:t>WASHINGTON</w:t>
          </w:r>
        </w:smartTag>
      </w:smartTag>
      <w:r w:rsidRPr="004A2910">
        <w:t xml:space="preserve"> UTILITIES AND TRANSPORTATION COMMISSION</w:t>
      </w:r>
    </w:p>
    <w:p w14:paraId="7DD70510" w14:textId="77777777" w:rsidR="00F100B0" w:rsidRPr="004A2910" w:rsidRDefault="00F100B0" w:rsidP="00F100B0">
      <w:pPr>
        <w:jc w:val="both"/>
      </w:pPr>
    </w:p>
    <w:tbl>
      <w:tblPr>
        <w:tblW w:w="0" w:type="auto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F100B0" w:rsidRPr="004A2910" w14:paraId="5868CFA6" w14:textId="77777777" w:rsidTr="00880370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3CEA348B" w14:textId="77777777" w:rsidR="00DB54AF" w:rsidRPr="00DB54AF" w:rsidRDefault="00DB54AF" w:rsidP="00DB54AF">
            <w:pPr>
              <w:rPr>
                <w:szCs w:val="24"/>
              </w:rPr>
            </w:pPr>
            <w:r w:rsidRPr="00DB54AF">
              <w:rPr>
                <w:szCs w:val="24"/>
              </w:rPr>
              <w:t xml:space="preserve">In the Matter of the Petition of </w:t>
            </w:r>
          </w:p>
          <w:p w14:paraId="7FEE8A8A" w14:textId="77777777" w:rsidR="00DB54AF" w:rsidRPr="00DB54AF" w:rsidRDefault="00DB54AF" w:rsidP="00DB54AF">
            <w:pPr>
              <w:rPr>
                <w:szCs w:val="24"/>
              </w:rPr>
            </w:pPr>
          </w:p>
          <w:p w14:paraId="7D45CC5C" w14:textId="77777777" w:rsidR="00DB54AF" w:rsidRPr="00DB54AF" w:rsidRDefault="00DB54AF" w:rsidP="00DB54AF">
            <w:pPr>
              <w:rPr>
                <w:szCs w:val="24"/>
              </w:rPr>
            </w:pPr>
            <w:r w:rsidRPr="00DB54AF">
              <w:rPr>
                <w:szCs w:val="24"/>
              </w:rPr>
              <w:t xml:space="preserve">PUGET SOUND ENERGY </w:t>
            </w:r>
          </w:p>
          <w:p w14:paraId="79BDEBEA" w14:textId="77777777" w:rsidR="00DB54AF" w:rsidRPr="00DB54AF" w:rsidRDefault="00DB54AF" w:rsidP="00DB54AF">
            <w:pPr>
              <w:rPr>
                <w:szCs w:val="24"/>
              </w:rPr>
            </w:pPr>
          </w:p>
          <w:p w14:paraId="06107203" w14:textId="77777777" w:rsidR="00DB54AF" w:rsidRPr="00DB54AF" w:rsidRDefault="00DB54AF" w:rsidP="00DB54AF">
            <w:pPr>
              <w:rPr>
                <w:szCs w:val="24"/>
              </w:rPr>
            </w:pPr>
            <w:r w:rsidRPr="00DB54AF">
              <w:rPr>
                <w:szCs w:val="24"/>
              </w:rPr>
              <w:t>For an Accounting Order Authorizing Accounting Treatment Related to Payments for Major Maintenance Activities</w:t>
            </w:r>
          </w:p>
          <w:p w14:paraId="3ECF3462" w14:textId="77777777" w:rsidR="00AF1BC1" w:rsidRPr="00DB54AF" w:rsidRDefault="00AF1BC1" w:rsidP="00AF1BC1">
            <w:pPr>
              <w:pBdr>
                <w:bottom w:val="single" w:sz="12" w:space="1" w:color="auto"/>
              </w:pBdr>
              <w:rPr>
                <w:szCs w:val="24"/>
              </w:rPr>
            </w:pPr>
          </w:p>
          <w:p w14:paraId="2E19614E" w14:textId="77777777" w:rsidR="00AF1BC1" w:rsidRPr="00DB54AF" w:rsidRDefault="00AF1BC1" w:rsidP="00AF1BC1">
            <w:pPr>
              <w:rPr>
                <w:szCs w:val="24"/>
              </w:rPr>
            </w:pPr>
          </w:p>
          <w:p w14:paraId="0E198B6A" w14:textId="77777777" w:rsidR="00DB54AF" w:rsidRPr="00DB54AF" w:rsidRDefault="00DB54AF" w:rsidP="00DB54AF">
            <w:pPr>
              <w:rPr>
                <w:szCs w:val="24"/>
              </w:rPr>
            </w:pPr>
            <w:r w:rsidRPr="00DB54AF">
              <w:rPr>
                <w:szCs w:val="24"/>
              </w:rPr>
              <w:t>WASHINGTON UTILITIES AND TRANSPORTATION COMMISSION,</w:t>
            </w:r>
          </w:p>
          <w:p w14:paraId="050625D9" w14:textId="77777777" w:rsidR="00DB54AF" w:rsidRPr="00DB54AF" w:rsidRDefault="00DB54AF" w:rsidP="00DB54AF">
            <w:pPr>
              <w:rPr>
                <w:szCs w:val="24"/>
              </w:rPr>
            </w:pPr>
          </w:p>
          <w:p w14:paraId="57E69C1F" w14:textId="77777777" w:rsidR="00DB54AF" w:rsidRPr="00DB54AF" w:rsidRDefault="00DB54AF" w:rsidP="00DB54AF">
            <w:pPr>
              <w:rPr>
                <w:szCs w:val="24"/>
              </w:rPr>
            </w:pPr>
            <w:r w:rsidRPr="00DB54AF">
              <w:rPr>
                <w:szCs w:val="24"/>
              </w:rPr>
              <w:tab/>
            </w:r>
            <w:r w:rsidRPr="00DB54AF">
              <w:rPr>
                <w:szCs w:val="24"/>
              </w:rPr>
              <w:tab/>
              <w:t>Complainant,</w:t>
            </w:r>
          </w:p>
          <w:p w14:paraId="45002422" w14:textId="77777777" w:rsidR="00DB54AF" w:rsidRPr="00DB54AF" w:rsidRDefault="00DB54AF" w:rsidP="00DB54AF">
            <w:pPr>
              <w:rPr>
                <w:szCs w:val="24"/>
              </w:rPr>
            </w:pPr>
          </w:p>
          <w:p w14:paraId="31770225" w14:textId="77777777" w:rsidR="00DB54AF" w:rsidRPr="00DB54AF" w:rsidRDefault="00DB54AF" w:rsidP="00DB54AF">
            <w:pPr>
              <w:rPr>
                <w:szCs w:val="24"/>
              </w:rPr>
            </w:pPr>
            <w:r w:rsidRPr="00DB54AF">
              <w:rPr>
                <w:szCs w:val="24"/>
              </w:rPr>
              <w:t>v.</w:t>
            </w:r>
          </w:p>
          <w:p w14:paraId="3D9A1E75" w14:textId="77777777" w:rsidR="00DB54AF" w:rsidRPr="00DB54AF" w:rsidRDefault="00DB54AF" w:rsidP="00DB54AF">
            <w:pPr>
              <w:rPr>
                <w:szCs w:val="24"/>
              </w:rPr>
            </w:pPr>
          </w:p>
          <w:p w14:paraId="5C8F4040" w14:textId="77777777" w:rsidR="00DB54AF" w:rsidRPr="00DB54AF" w:rsidRDefault="00DB54AF" w:rsidP="00DB54AF">
            <w:pPr>
              <w:rPr>
                <w:szCs w:val="24"/>
              </w:rPr>
            </w:pPr>
            <w:r w:rsidRPr="00DB54AF">
              <w:rPr>
                <w:szCs w:val="24"/>
              </w:rPr>
              <w:t xml:space="preserve">PUGET SOUND ENERGY </w:t>
            </w:r>
          </w:p>
          <w:p w14:paraId="7EA0B79B" w14:textId="77777777" w:rsidR="00DB54AF" w:rsidRPr="00DB54AF" w:rsidRDefault="00DB54AF" w:rsidP="00DB54AF">
            <w:pPr>
              <w:rPr>
                <w:szCs w:val="24"/>
              </w:rPr>
            </w:pPr>
          </w:p>
          <w:p w14:paraId="76B0A5C6" w14:textId="77777777" w:rsidR="00DB54AF" w:rsidRPr="00DB54AF" w:rsidRDefault="00DB54AF" w:rsidP="00DB54AF">
            <w:pPr>
              <w:rPr>
                <w:szCs w:val="24"/>
              </w:rPr>
            </w:pPr>
            <w:r w:rsidRPr="00DB54AF">
              <w:rPr>
                <w:szCs w:val="24"/>
              </w:rPr>
              <w:tab/>
            </w:r>
            <w:r w:rsidRPr="00DB54AF">
              <w:rPr>
                <w:szCs w:val="24"/>
              </w:rPr>
              <w:tab/>
              <w:t>Respondent.</w:t>
            </w:r>
          </w:p>
          <w:p w14:paraId="5CC75C5C" w14:textId="77777777" w:rsidR="00AF1BC1" w:rsidRPr="00DB54AF" w:rsidRDefault="00AF1BC1" w:rsidP="00AF1BC1">
            <w:pPr>
              <w:pBdr>
                <w:bottom w:val="single" w:sz="12" w:space="1" w:color="auto"/>
              </w:pBdr>
              <w:rPr>
                <w:szCs w:val="24"/>
              </w:rPr>
            </w:pPr>
          </w:p>
          <w:p w14:paraId="672F0C09" w14:textId="77777777" w:rsidR="00AF1BC1" w:rsidRPr="00DB54AF" w:rsidRDefault="00AF1BC1" w:rsidP="00AF1BC1">
            <w:pPr>
              <w:rPr>
                <w:szCs w:val="24"/>
              </w:rPr>
            </w:pPr>
          </w:p>
          <w:p w14:paraId="2E179E6A" w14:textId="77777777" w:rsidR="00DB54AF" w:rsidRPr="00DB54AF" w:rsidRDefault="00DB54AF" w:rsidP="00DB54AF">
            <w:pPr>
              <w:rPr>
                <w:szCs w:val="24"/>
              </w:rPr>
            </w:pPr>
            <w:r w:rsidRPr="00DB54AF">
              <w:rPr>
                <w:szCs w:val="24"/>
              </w:rPr>
              <w:t xml:space="preserve">In the Matter of the Petition of </w:t>
            </w:r>
          </w:p>
          <w:p w14:paraId="5B252220" w14:textId="77777777" w:rsidR="00DB54AF" w:rsidRPr="00DB54AF" w:rsidRDefault="00DB54AF" w:rsidP="00DB54AF">
            <w:pPr>
              <w:rPr>
                <w:szCs w:val="24"/>
              </w:rPr>
            </w:pPr>
          </w:p>
          <w:p w14:paraId="3A9AF965" w14:textId="77777777" w:rsidR="00DB54AF" w:rsidRPr="00DB54AF" w:rsidRDefault="00DB54AF" w:rsidP="00DB54AF">
            <w:pPr>
              <w:rPr>
                <w:szCs w:val="24"/>
              </w:rPr>
            </w:pPr>
            <w:r w:rsidRPr="00DB54AF">
              <w:rPr>
                <w:szCs w:val="24"/>
              </w:rPr>
              <w:t xml:space="preserve">PUGET SOUND ENERGY </w:t>
            </w:r>
          </w:p>
          <w:p w14:paraId="665E7460" w14:textId="77777777" w:rsidR="00DB54AF" w:rsidRPr="00DB54AF" w:rsidRDefault="00DB54AF" w:rsidP="00DB54AF">
            <w:pPr>
              <w:rPr>
                <w:szCs w:val="24"/>
              </w:rPr>
            </w:pPr>
          </w:p>
          <w:p w14:paraId="50A37B2A" w14:textId="77777777" w:rsidR="00F100B0" w:rsidRPr="00DB54AF" w:rsidRDefault="00DB54AF" w:rsidP="00DB54AF">
            <w:pPr>
              <w:pBdr>
                <w:bottom w:val="single" w:sz="12" w:space="1" w:color="auto"/>
              </w:pBdr>
              <w:rPr>
                <w:szCs w:val="24"/>
              </w:rPr>
            </w:pPr>
            <w:r w:rsidRPr="00DB54AF">
              <w:rPr>
                <w:szCs w:val="24"/>
              </w:rPr>
              <w:t>For an Accounting Order Authorizing Accounting the Sale of the Water Rights and Associated Assets of the Electron Hydroelectric Project in Accordance with WAC 480-143 and RCW 80.12.</w:t>
            </w:r>
            <w:r w:rsidR="00F100B0" w:rsidRPr="00DB54AF">
              <w:rPr>
                <w:szCs w:val="24"/>
              </w:rPr>
              <w:t>.</w:t>
            </w:r>
          </w:p>
          <w:p w14:paraId="2AB8D080" w14:textId="77777777" w:rsidR="00DB54AF" w:rsidRPr="00DB54AF" w:rsidRDefault="00DB54AF" w:rsidP="00DB54AF">
            <w:pPr>
              <w:pBdr>
                <w:bottom w:val="single" w:sz="12" w:space="1" w:color="auto"/>
              </w:pBdr>
              <w:rPr>
                <w:szCs w:val="24"/>
              </w:rPr>
            </w:pPr>
          </w:p>
          <w:p w14:paraId="0F239AF7" w14:textId="77777777" w:rsidR="00DB54AF" w:rsidRPr="00DB54AF" w:rsidRDefault="00DB54AF" w:rsidP="00DB54AF">
            <w:pPr>
              <w:rPr>
                <w:szCs w:val="24"/>
              </w:rPr>
            </w:pPr>
          </w:p>
          <w:p w14:paraId="63FCAEC0" w14:textId="77777777" w:rsidR="00DB54AF" w:rsidRPr="00DB54AF" w:rsidRDefault="00DB54AF" w:rsidP="00DB54AF">
            <w:pPr>
              <w:rPr>
                <w:szCs w:val="24"/>
              </w:rPr>
            </w:pPr>
            <w:r w:rsidRPr="00DB54AF">
              <w:rPr>
                <w:szCs w:val="24"/>
              </w:rPr>
              <w:t xml:space="preserve">In the Matter of the Application of </w:t>
            </w:r>
          </w:p>
          <w:p w14:paraId="6FC8DE5A" w14:textId="77777777" w:rsidR="00DB54AF" w:rsidRPr="00DB54AF" w:rsidRDefault="00DB54AF" w:rsidP="00DB54AF">
            <w:pPr>
              <w:rPr>
                <w:szCs w:val="24"/>
              </w:rPr>
            </w:pPr>
          </w:p>
          <w:p w14:paraId="08072466" w14:textId="77777777" w:rsidR="00DB54AF" w:rsidRPr="00DB54AF" w:rsidRDefault="00DB54AF" w:rsidP="00DB54AF">
            <w:pPr>
              <w:rPr>
                <w:szCs w:val="24"/>
              </w:rPr>
            </w:pPr>
            <w:r w:rsidRPr="00DB54AF">
              <w:rPr>
                <w:szCs w:val="24"/>
              </w:rPr>
              <w:t xml:space="preserve">PUGET SOUND ENERGY, INC., </w:t>
            </w:r>
          </w:p>
          <w:p w14:paraId="150C20B8" w14:textId="77777777" w:rsidR="00DB54AF" w:rsidRPr="00DB54AF" w:rsidRDefault="00DB54AF" w:rsidP="00DB54AF">
            <w:pPr>
              <w:rPr>
                <w:szCs w:val="24"/>
              </w:rPr>
            </w:pPr>
          </w:p>
          <w:p w14:paraId="0D4FE726" w14:textId="77777777" w:rsidR="00DB54AF" w:rsidRPr="00DB54AF" w:rsidRDefault="00DB54AF" w:rsidP="00DB54AF">
            <w:pPr>
              <w:rPr>
                <w:szCs w:val="24"/>
              </w:rPr>
            </w:pPr>
            <w:r w:rsidRPr="00DB54AF">
              <w:rPr>
                <w:szCs w:val="24"/>
              </w:rPr>
              <w:t>For an Order Authorizing the Sale of Interests in the Development Assets Required for the Construction and Operation of Phase II of the Lower Snake River Wind Facility</w:t>
            </w:r>
            <w:r w:rsidRPr="00DB54AF">
              <w:rPr>
                <w:i/>
                <w:szCs w:val="24"/>
              </w:rPr>
              <w:t>.</w:t>
            </w:r>
          </w:p>
          <w:p w14:paraId="4D63480A" w14:textId="77777777" w:rsidR="00F100B0" w:rsidRPr="00DB54AF" w:rsidRDefault="00F100B0" w:rsidP="00E4213C">
            <w:pPr>
              <w:rPr>
                <w:szCs w:val="24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4CF7A0D" w14:textId="77777777" w:rsidR="00DB54AF" w:rsidRPr="00BE1447" w:rsidRDefault="00DB54AF" w:rsidP="00DB54AF">
            <w:pPr>
              <w:ind w:left="776"/>
              <w:rPr>
                <w:i/>
                <w:sz w:val="25"/>
                <w:szCs w:val="25"/>
              </w:rPr>
            </w:pPr>
            <w:r w:rsidRPr="00DB09AD">
              <w:rPr>
                <w:sz w:val="25"/>
                <w:szCs w:val="25"/>
              </w:rPr>
              <w:t xml:space="preserve">DOCKET </w:t>
            </w:r>
            <w:r w:rsidRPr="00DB09AD">
              <w:rPr>
                <w:bCs/>
                <w:sz w:val="25"/>
                <w:szCs w:val="25"/>
              </w:rPr>
              <w:t>UE-130583</w:t>
            </w:r>
            <w:r>
              <w:rPr>
                <w:bCs/>
                <w:i/>
                <w:sz w:val="25"/>
                <w:szCs w:val="25"/>
              </w:rPr>
              <w:t xml:space="preserve"> (Consolidated)</w:t>
            </w:r>
          </w:p>
          <w:p w14:paraId="568A3D6E" w14:textId="77777777" w:rsidR="00DB54AF" w:rsidRPr="00DB09AD" w:rsidRDefault="00DB54AF" w:rsidP="00DB54AF">
            <w:pPr>
              <w:ind w:left="776"/>
              <w:rPr>
                <w:sz w:val="25"/>
                <w:szCs w:val="25"/>
              </w:rPr>
            </w:pPr>
          </w:p>
          <w:p w14:paraId="106396C8" w14:textId="77777777" w:rsidR="00DB54AF" w:rsidRPr="00DB09AD" w:rsidRDefault="00DB54AF" w:rsidP="00DB54AF">
            <w:pPr>
              <w:ind w:left="776"/>
              <w:rPr>
                <w:sz w:val="25"/>
                <w:szCs w:val="25"/>
              </w:rPr>
            </w:pPr>
          </w:p>
          <w:p w14:paraId="579C26C2" w14:textId="77777777" w:rsidR="00DB54AF" w:rsidRPr="00DB09AD" w:rsidRDefault="00DB54AF" w:rsidP="00DB54AF">
            <w:pPr>
              <w:pStyle w:val="BodyText"/>
              <w:spacing w:after="0"/>
              <w:ind w:left="776"/>
              <w:rPr>
                <w:b/>
                <w:bCs/>
                <w:sz w:val="25"/>
                <w:szCs w:val="25"/>
              </w:rPr>
            </w:pPr>
          </w:p>
          <w:p w14:paraId="1C87D1D8" w14:textId="77777777" w:rsidR="00DB54AF" w:rsidRPr="00DB09AD" w:rsidRDefault="00DB54AF" w:rsidP="00DB54AF">
            <w:pPr>
              <w:ind w:left="776"/>
              <w:rPr>
                <w:sz w:val="25"/>
                <w:szCs w:val="25"/>
              </w:rPr>
            </w:pPr>
          </w:p>
          <w:p w14:paraId="218A1E7E" w14:textId="77777777" w:rsidR="00DB54AF" w:rsidRPr="00DB09AD" w:rsidRDefault="00DB54AF" w:rsidP="00DB54AF">
            <w:pPr>
              <w:pStyle w:val="Header"/>
              <w:ind w:left="776"/>
              <w:rPr>
                <w:sz w:val="25"/>
                <w:szCs w:val="25"/>
              </w:rPr>
            </w:pPr>
          </w:p>
          <w:p w14:paraId="4AC08524" w14:textId="77777777" w:rsidR="00DB54AF" w:rsidRPr="00DB09AD" w:rsidRDefault="00DB54AF" w:rsidP="00DB54AF">
            <w:pPr>
              <w:pStyle w:val="Header"/>
              <w:ind w:left="776"/>
              <w:rPr>
                <w:sz w:val="25"/>
                <w:szCs w:val="25"/>
              </w:rPr>
            </w:pPr>
          </w:p>
          <w:p w14:paraId="56C086DA" w14:textId="77777777" w:rsidR="00DB54AF" w:rsidRPr="00DB09AD" w:rsidRDefault="00DB54AF" w:rsidP="00DB54AF">
            <w:pPr>
              <w:pStyle w:val="Header"/>
              <w:ind w:left="776"/>
              <w:rPr>
                <w:sz w:val="25"/>
                <w:szCs w:val="25"/>
              </w:rPr>
            </w:pPr>
          </w:p>
          <w:p w14:paraId="33022BB1" w14:textId="77777777" w:rsidR="00DB54AF" w:rsidRPr="00DB09AD" w:rsidRDefault="00DB54AF" w:rsidP="00DB54AF">
            <w:pPr>
              <w:pStyle w:val="Header"/>
              <w:ind w:left="776"/>
              <w:rPr>
                <w:sz w:val="25"/>
                <w:szCs w:val="25"/>
              </w:rPr>
            </w:pPr>
          </w:p>
          <w:p w14:paraId="7552FE9D" w14:textId="77777777" w:rsidR="00DB54AF" w:rsidRPr="00DB09AD" w:rsidRDefault="00DB54AF" w:rsidP="00DB54AF">
            <w:pPr>
              <w:pStyle w:val="Header"/>
              <w:ind w:left="776"/>
              <w:rPr>
                <w:sz w:val="25"/>
                <w:szCs w:val="25"/>
              </w:rPr>
            </w:pPr>
            <w:r w:rsidRPr="00DB09AD">
              <w:rPr>
                <w:sz w:val="25"/>
                <w:szCs w:val="25"/>
              </w:rPr>
              <w:t>DOCKET UE-130617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bCs/>
                <w:i/>
                <w:sz w:val="25"/>
                <w:szCs w:val="25"/>
              </w:rPr>
              <w:t>(Consolidated)</w:t>
            </w:r>
          </w:p>
          <w:p w14:paraId="0BFEBAA9" w14:textId="77777777" w:rsidR="00DB54AF" w:rsidRPr="00DB09AD" w:rsidRDefault="00DB54AF" w:rsidP="00DB54AF">
            <w:pPr>
              <w:pStyle w:val="Header"/>
              <w:ind w:left="776"/>
              <w:rPr>
                <w:sz w:val="25"/>
                <w:szCs w:val="25"/>
              </w:rPr>
            </w:pPr>
          </w:p>
          <w:p w14:paraId="464B8EFB" w14:textId="77777777" w:rsidR="00DB54AF" w:rsidRPr="00DB09AD" w:rsidRDefault="00DB54AF" w:rsidP="00DB54AF">
            <w:pPr>
              <w:pStyle w:val="Header"/>
              <w:ind w:left="776"/>
              <w:rPr>
                <w:sz w:val="25"/>
                <w:szCs w:val="25"/>
              </w:rPr>
            </w:pPr>
          </w:p>
          <w:p w14:paraId="5BB905C1" w14:textId="77777777" w:rsidR="00DB54AF" w:rsidRPr="00DB09AD" w:rsidRDefault="00DB54AF" w:rsidP="00DB54AF">
            <w:pPr>
              <w:pStyle w:val="Header"/>
              <w:ind w:left="776"/>
              <w:rPr>
                <w:sz w:val="25"/>
                <w:szCs w:val="25"/>
              </w:rPr>
            </w:pPr>
          </w:p>
          <w:p w14:paraId="641E9D65" w14:textId="77777777" w:rsidR="00DB54AF" w:rsidRPr="00DB09AD" w:rsidRDefault="00DB54AF" w:rsidP="00DB54AF">
            <w:pPr>
              <w:pStyle w:val="Header"/>
              <w:ind w:left="776"/>
              <w:rPr>
                <w:sz w:val="25"/>
                <w:szCs w:val="25"/>
              </w:rPr>
            </w:pPr>
          </w:p>
          <w:p w14:paraId="05891532" w14:textId="77777777" w:rsidR="00DB54AF" w:rsidRPr="00DB09AD" w:rsidRDefault="00DB54AF" w:rsidP="00DB54AF">
            <w:pPr>
              <w:pStyle w:val="Header"/>
              <w:ind w:left="776"/>
              <w:rPr>
                <w:sz w:val="25"/>
                <w:szCs w:val="25"/>
              </w:rPr>
            </w:pPr>
          </w:p>
          <w:p w14:paraId="76FEC90C" w14:textId="77777777" w:rsidR="00DB54AF" w:rsidRPr="00DB09AD" w:rsidRDefault="00DB54AF" w:rsidP="00DB54AF">
            <w:pPr>
              <w:pStyle w:val="Header"/>
              <w:ind w:left="776"/>
              <w:rPr>
                <w:sz w:val="25"/>
                <w:szCs w:val="25"/>
              </w:rPr>
            </w:pPr>
          </w:p>
          <w:p w14:paraId="2773BFCE" w14:textId="77777777" w:rsidR="00DB54AF" w:rsidRPr="00DB09AD" w:rsidRDefault="00DB54AF" w:rsidP="00DB54AF">
            <w:pPr>
              <w:pStyle w:val="Header"/>
              <w:ind w:left="776"/>
              <w:rPr>
                <w:sz w:val="25"/>
                <w:szCs w:val="25"/>
              </w:rPr>
            </w:pPr>
          </w:p>
          <w:p w14:paraId="1E9211C9" w14:textId="77777777" w:rsidR="00DB54AF" w:rsidRPr="00DB09AD" w:rsidRDefault="00DB54AF" w:rsidP="00DB54AF">
            <w:pPr>
              <w:pStyle w:val="Header"/>
              <w:ind w:left="776"/>
              <w:rPr>
                <w:sz w:val="25"/>
                <w:szCs w:val="25"/>
              </w:rPr>
            </w:pPr>
          </w:p>
          <w:p w14:paraId="64C11E97" w14:textId="77777777" w:rsidR="00DB54AF" w:rsidRPr="00DB09AD" w:rsidRDefault="00DB54AF" w:rsidP="00DB54AF">
            <w:pPr>
              <w:pStyle w:val="Header"/>
              <w:ind w:left="776"/>
              <w:rPr>
                <w:sz w:val="25"/>
                <w:szCs w:val="25"/>
              </w:rPr>
            </w:pPr>
          </w:p>
          <w:p w14:paraId="5FBF6723" w14:textId="77777777" w:rsidR="00DB54AF" w:rsidRPr="00DB09AD" w:rsidRDefault="00DB54AF" w:rsidP="00DB54AF">
            <w:pPr>
              <w:pStyle w:val="Header"/>
              <w:ind w:left="776"/>
              <w:rPr>
                <w:sz w:val="25"/>
                <w:szCs w:val="25"/>
              </w:rPr>
            </w:pPr>
          </w:p>
          <w:p w14:paraId="4CE49337" w14:textId="77777777" w:rsidR="00DB54AF" w:rsidRPr="00DB09AD" w:rsidRDefault="00DB54AF" w:rsidP="00DB54AF">
            <w:pPr>
              <w:pStyle w:val="Header"/>
              <w:ind w:left="776"/>
              <w:rPr>
                <w:sz w:val="25"/>
                <w:szCs w:val="25"/>
              </w:rPr>
            </w:pPr>
            <w:r w:rsidRPr="00DB09AD">
              <w:rPr>
                <w:sz w:val="25"/>
                <w:szCs w:val="25"/>
              </w:rPr>
              <w:t>DOCKET UE-131099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bCs/>
                <w:i/>
                <w:sz w:val="25"/>
                <w:szCs w:val="25"/>
              </w:rPr>
              <w:t>(Consolidated)</w:t>
            </w:r>
          </w:p>
          <w:p w14:paraId="77F0753A" w14:textId="77777777" w:rsidR="00DB54AF" w:rsidRDefault="00DB54AF" w:rsidP="00DB54AF">
            <w:pPr>
              <w:pStyle w:val="Header"/>
              <w:ind w:left="776"/>
              <w:rPr>
                <w:sz w:val="25"/>
                <w:szCs w:val="25"/>
              </w:rPr>
            </w:pPr>
          </w:p>
          <w:p w14:paraId="5ECE2083" w14:textId="77777777" w:rsidR="00DB54AF" w:rsidRDefault="00DB54AF" w:rsidP="00DB54AF">
            <w:pPr>
              <w:pStyle w:val="Header"/>
              <w:ind w:left="776"/>
              <w:rPr>
                <w:sz w:val="25"/>
                <w:szCs w:val="25"/>
              </w:rPr>
            </w:pPr>
          </w:p>
          <w:p w14:paraId="24C237E7" w14:textId="77777777" w:rsidR="00DB54AF" w:rsidRDefault="00DB54AF" w:rsidP="00DB54AF">
            <w:pPr>
              <w:pStyle w:val="Header"/>
              <w:ind w:left="776"/>
              <w:rPr>
                <w:sz w:val="25"/>
                <w:szCs w:val="25"/>
              </w:rPr>
            </w:pPr>
          </w:p>
          <w:p w14:paraId="49E76B7D" w14:textId="77777777" w:rsidR="00DB54AF" w:rsidRDefault="00DB54AF" w:rsidP="00DB54AF">
            <w:pPr>
              <w:pStyle w:val="Header"/>
              <w:ind w:left="776"/>
              <w:rPr>
                <w:sz w:val="25"/>
                <w:szCs w:val="25"/>
              </w:rPr>
            </w:pPr>
          </w:p>
          <w:p w14:paraId="4E137AB1" w14:textId="77777777" w:rsidR="00DB54AF" w:rsidRDefault="00DB54AF" w:rsidP="00DB54AF">
            <w:pPr>
              <w:pStyle w:val="Header"/>
              <w:ind w:left="776"/>
              <w:rPr>
                <w:sz w:val="25"/>
                <w:szCs w:val="25"/>
              </w:rPr>
            </w:pPr>
          </w:p>
          <w:p w14:paraId="5C56C1CC" w14:textId="77777777" w:rsidR="00DB54AF" w:rsidRDefault="00DB54AF" w:rsidP="00DB54AF">
            <w:pPr>
              <w:pStyle w:val="Header"/>
              <w:ind w:left="776"/>
              <w:rPr>
                <w:sz w:val="25"/>
                <w:szCs w:val="25"/>
              </w:rPr>
            </w:pPr>
          </w:p>
          <w:p w14:paraId="0755A5BA" w14:textId="77777777" w:rsidR="00DB54AF" w:rsidRDefault="00DB54AF" w:rsidP="00DB54AF">
            <w:pPr>
              <w:pStyle w:val="Header"/>
              <w:ind w:left="776"/>
              <w:rPr>
                <w:sz w:val="25"/>
                <w:szCs w:val="25"/>
              </w:rPr>
            </w:pPr>
          </w:p>
          <w:p w14:paraId="7BC37249" w14:textId="77777777" w:rsidR="00DB54AF" w:rsidRPr="00DB54AF" w:rsidRDefault="00DB54AF" w:rsidP="00DB54AF">
            <w:pPr>
              <w:pStyle w:val="Header"/>
              <w:ind w:left="776"/>
              <w:rPr>
                <w:szCs w:val="24"/>
              </w:rPr>
            </w:pPr>
            <w:r w:rsidRPr="00DB54AF">
              <w:rPr>
                <w:szCs w:val="24"/>
              </w:rPr>
              <w:t>DOCKET UE-131230 (</w:t>
            </w:r>
            <w:r w:rsidRPr="00DB54AF">
              <w:rPr>
                <w:i/>
                <w:szCs w:val="24"/>
              </w:rPr>
              <w:t>Consolidated</w:t>
            </w:r>
            <w:r w:rsidRPr="00DB54AF">
              <w:rPr>
                <w:szCs w:val="24"/>
              </w:rPr>
              <w:t>)</w:t>
            </w:r>
          </w:p>
          <w:p w14:paraId="140450AF" w14:textId="77777777" w:rsidR="00DB54AF" w:rsidRPr="00DB54AF" w:rsidRDefault="00DB54AF" w:rsidP="00DB54AF">
            <w:pPr>
              <w:pStyle w:val="Header"/>
              <w:ind w:left="776"/>
              <w:rPr>
                <w:szCs w:val="24"/>
              </w:rPr>
            </w:pPr>
          </w:p>
          <w:p w14:paraId="04980E4A" w14:textId="77777777" w:rsidR="00F100B0" w:rsidRPr="004A2910" w:rsidRDefault="00E4213C" w:rsidP="001F55EF">
            <w:pPr>
              <w:ind w:left="720"/>
            </w:pPr>
            <w:r w:rsidRPr="00DB54AF">
              <w:rPr>
                <w:szCs w:val="24"/>
              </w:rPr>
              <w:t xml:space="preserve">STAFF RESPONSE TO </w:t>
            </w:r>
            <w:r w:rsidR="001F55EF" w:rsidRPr="00DB54AF">
              <w:rPr>
                <w:szCs w:val="24"/>
              </w:rPr>
              <w:t>COMMISSION NOTICE</w:t>
            </w:r>
            <w:r w:rsidR="001F55EF">
              <w:t xml:space="preserve"> </w:t>
            </w:r>
          </w:p>
        </w:tc>
      </w:tr>
    </w:tbl>
    <w:p w14:paraId="47F2F7EF" w14:textId="77777777" w:rsidR="00F100B0" w:rsidRDefault="00F100B0" w:rsidP="00F100B0">
      <w:pPr>
        <w:jc w:val="both"/>
      </w:pPr>
    </w:p>
    <w:p w14:paraId="4F1E637D" w14:textId="77777777" w:rsidR="001F55EF" w:rsidRDefault="001F55EF" w:rsidP="001F55EF">
      <w:pPr>
        <w:rPr>
          <w:rFonts w:cs="Times New Roman"/>
          <w:szCs w:val="24"/>
        </w:rPr>
      </w:pPr>
    </w:p>
    <w:p w14:paraId="5BDBA02E" w14:textId="77777777" w:rsidR="001F55EF" w:rsidRPr="001F55EF" w:rsidRDefault="001F55EF" w:rsidP="001F55EF">
      <w:pPr>
        <w:pStyle w:val="ListParagraph"/>
        <w:numPr>
          <w:ilvl w:val="1"/>
          <w:numId w:val="6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ab/>
      </w:r>
      <w:r w:rsidRPr="001F55EF">
        <w:rPr>
          <w:rFonts w:cs="Times New Roman"/>
          <w:szCs w:val="24"/>
        </w:rPr>
        <w:t xml:space="preserve">On July 2, 2014, the Commission issued a Notice of Opportunity to Respond to Amended Application (Notice), relating to the sale of the Electron plant by Puget Sound Energy, Inc. to Electron </w:t>
      </w:r>
      <w:r w:rsidR="002374CD">
        <w:rPr>
          <w:rFonts w:cs="Times New Roman"/>
          <w:szCs w:val="24"/>
        </w:rPr>
        <w:t>H</w:t>
      </w:r>
      <w:r w:rsidRPr="001F55EF">
        <w:rPr>
          <w:rFonts w:cs="Times New Roman"/>
          <w:szCs w:val="24"/>
        </w:rPr>
        <w:t xml:space="preserve">ydro LLC.  The materials included in the Amended Application reflect several changes to the transaction the Commission conditionally approved in Order 02 in this docket. </w:t>
      </w:r>
      <w:r w:rsidR="002374CD">
        <w:rPr>
          <w:rFonts w:cs="Times New Roman"/>
          <w:szCs w:val="24"/>
        </w:rPr>
        <w:t xml:space="preserve"> </w:t>
      </w:r>
      <w:r w:rsidRPr="001F55EF">
        <w:rPr>
          <w:rFonts w:cs="Times New Roman"/>
          <w:szCs w:val="24"/>
        </w:rPr>
        <w:t>The Notice set a deadline of July 11, 2014, for response to the Amended Application.</w:t>
      </w:r>
    </w:p>
    <w:p w14:paraId="139CE286" w14:textId="77777777" w:rsidR="001F55EF" w:rsidRPr="001F55EF" w:rsidRDefault="001F55EF" w:rsidP="001F55EF">
      <w:pPr>
        <w:pStyle w:val="ListParagraph"/>
        <w:numPr>
          <w:ilvl w:val="1"/>
          <w:numId w:val="6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2374CD">
        <w:rPr>
          <w:rFonts w:cs="Times New Roman"/>
          <w:szCs w:val="24"/>
        </w:rPr>
        <w:t xml:space="preserve">Commission </w:t>
      </w:r>
      <w:r w:rsidR="00286C8D">
        <w:rPr>
          <w:rFonts w:cs="Times New Roman"/>
          <w:szCs w:val="24"/>
        </w:rPr>
        <w:t xml:space="preserve">Staff </w:t>
      </w:r>
      <w:r w:rsidR="002374CD">
        <w:rPr>
          <w:rFonts w:cs="Times New Roman"/>
          <w:szCs w:val="24"/>
        </w:rPr>
        <w:t xml:space="preserve">has been analyzing the Amended </w:t>
      </w:r>
      <w:r w:rsidR="00004B93">
        <w:rPr>
          <w:rFonts w:cs="Times New Roman"/>
          <w:szCs w:val="24"/>
        </w:rPr>
        <w:t>Application</w:t>
      </w:r>
      <w:r w:rsidR="002374CD">
        <w:rPr>
          <w:rFonts w:cs="Times New Roman"/>
          <w:szCs w:val="24"/>
        </w:rPr>
        <w:t xml:space="preserve"> and has been briefed by Puget Sound Energy, Inc., and has had many questions answered, but some important questions remain.</w:t>
      </w:r>
      <w:r w:rsidR="00AD7F9E">
        <w:rPr>
          <w:rStyle w:val="FootnoteReference"/>
          <w:rFonts w:cs="Times New Roman"/>
          <w:szCs w:val="24"/>
        </w:rPr>
        <w:footnoteReference w:id="1"/>
      </w:r>
      <w:r w:rsidR="002374CD">
        <w:rPr>
          <w:rFonts w:cs="Times New Roman"/>
          <w:szCs w:val="24"/>
        </w:rPr>
        <w:t xml:space="preserve">  Commission Staff </w:t>
      </w:r>
      <w:r w:rsidR="00286C8D">
        <w:rPr>
          <w:rFonts w:cs="Times New Roman"/>
          <w:szCs w:val="24"/>
        </w:rPr>
        <w:t>advises that</w:t>
      </w:r>
      <w:r w:rsidRPr="001F55EF">
        <w:rPr>
          <w:rFonts w:cs="Times New Roman"/>
          <w:szCs w:val="24"/>
        </w:rPr>
        <w:t xml:space="preserve"> Mr. David Gomez</w:t>
      </w:r>
      <w:r w:rsidR="00286C8D">
        <w:rPr>
          <w:rFonts w:cs="Times New Roman"/>
          <w:szCs w:val="24"/>
        </w:rPr>
        <w:t xml:space="preserve"> is</w:t>
      </w:r>
      <w:r w:rsidRPr="001F55EF">
        <w:rPr>
          <w:rFonts w:cs="Times New Roman"/>
          <w:szCs w:val="24"/>
        </w:rPr>
        <w:t xml:space="preserve"> the Commission Staff person most knowledgeable about th</w:t>
      </w:r>
      <w:r w:rsidR="002374CD">
        <w:rPr>
          <w:rFonts w:cs="Times New Roman"/>
          <w:szCs w:val="24"/>
        </w:rPr>
        <w:t xml:space="preserve">e original </w:t>
      </w:r>
      <w:r w:rsidRPr="001F55EF">
        <w:rPr>
          <w:rFonts w:cs="Times New Roman"/>
          <w:szCs w:val="24"/>
        </w:rPr>
        <w:t xml:space="preserve">transaction, </w:t>
      </w:r>
      <w:r w:rsidR="00286C8D">
        <w:rPr>
          <w:rFonts w:cs="Times New Roman"/>
          <w:szCs w:val="24"/>
        </w:rPr>
        <w:t xml:space="preserve">but he </w:t>
      </w:r>
      <w:r w:rsidRPr="001F55EF">
        <w:rPr>
          <w:rFonts w:cs="Times New Roman"/>
          <w:szCs w:val="24"/>
        </w:rPr>
        <w:t xml:space="preserve">has been on annual leave since before the Commission issued the Notice.  </w:t>
      </w:r>
      <w:r w:rsidR="002374CD">
        <w:rPr>
          <w:rFonts w:cs="Times New Roman"/>
          <w:szCs w:val="24"/>
        </w:rPr>
        <w:t xml:space="preserve">He will be available early next week.  </w:t>
      </w:r>
      <w:r w:rsidR="00286C8D">
        <w:rPr>
          <w:rFonts w:cs="Times New Roman"/>
          <w:szCs w:val="24"/>
        </w:rPr>
        <w:t xml:space="preserve">Though </w:t>
      </w:r>
      <w:r w:rsidR="00004B93">
        <w:rPr>
          <w:rFonts w:cs="Times New Roman"/>
          <w:szCs w:val="24"/>
        </w:rPr>
        <w:t>Staff work has proceeded despite his absence</w:t>
      </w:r>
      <w:r w:rsidR="00286C8D">
        <w:rPr>
          <w:rFonts w:cs="Times New Roman"/>
          <w:szCs w:val="24"/>
        </w:rPr>
        <w:t xml:space="preserve">, Staff has not </w:t>
      </w:r>
      <w:r w:rsidR="002374CD">
        <w:rPr>
          <w:rFonts w:cs="Times New Roman"/>
          <w:szCs w:val="24"/>
        </w:rPr>
        <w:t xml:space="preserve">been able to develop </w:t>
      </w:r>
      <w:r w:rsidR="00286C8D">
        <w:rPr>
          <w:rFonts w:cs="Times New Roman"/>
          <w:szCs w:val="24"/>
        </w:rPr>
        <w:t xml:space="preserve">a final </w:t>
      </w:r>
      <w:r w:rsidR="002374CD">
        <w:rPr>
          <w:rFonts w:cs="Times New Roman"/>
          <w:szCs w:val="24"/>
        </w:rPr>
        <w:t xml:space="preserve">analysis and </w:t>
      </w:r>
      <w:r w:rsidR="00286C8D">
        <w:rPr>
          <w:rFonts w:cs="Times New Roman"/>
          <w:szCs w:val="24"/>
        </w:rPr>
        <w:t xml:space="preserve">recommendation </w:t>
      </w:r>
      <w:r w:rsidR="002374CD">
        <w:rPr>
          <w:rFonts w:cs="Times New Roman"/>
          <w:szCs w:val="24"/>
        </w:rPr>
        <w:t xml:space="preserve">to the Commission </w:t>
      </w:r>
      <w:r w:rsidR="00286C8D">
        <w:rPr>
          <w:rFonts w:cs="Times New Roman"/>
          <w:szCs w:val="24"/>
        </w:rPr>
        <w:t xml:space="preserve">on the Amended </w:t>
      </w:r>
      <w:r w:rsidR="00004B93">
        <w:rPr>
          <w:rFonts w:cs="Times New Roman"/>
          <w:szCs w:val="24"/>
        </w:rPr>
        <w:t>Application</w:t>
      </w:r>
      <w:r w:rsidRPr="001F55EF">
        <w:rPr>
          <w:rFonts w:cs="Times New Roman"/>
          <w:szCs w:val="24"/>
        </w:rPr>
        <w:t>.</w:t>
      </w:r>
    </w:p>
    <w:p w14:paraId="04AAF20B" w14:textId="77777777" w:rsidR="001F55EF" w:rsidRPr="001F55EF" w:rsidRDefault="001F55EF" w:rsidP="001F55EF">
      <w:pPr>
        <w:pStyle w:val="ListParagraph"/>
        <w:numPr>
          <w:ilvl w:val="1"/>
          <w:numId w:val="6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1F55EF">
        <w:rPr>
          <w:rFonts w:cs="Times New Roman"/>
          <w:szCs w:val="24"/>
        </w:rPr>
        <w:t>Accordingly, with the Commission’s permission, Staff will file its response on or before July 18, 2014.</w:t>
      </w:r>
    </w:p>
    <w:p w14:paraId="2D144ECA" w14:textId="77777777" w:rsidR="009F67A5" w:rsidRPr="009F67A5" w:rsidRDefault="009F67A5" w:rsidP="009F67A5">
      <w:pPr>
        <w:widowControl w:val="0"/>
        <w:autoSpaceDE w:val="0"/>
        <w:autoSpaceDN w:val="0"/>
        <w:adjustRightInd w:val="0"/>
        <w:ind w:left="720"/>
        <w:rPr>
          <w:rFonts w:eastAsia="Times New Roman" w:cs="Times New Roman"/>
          <w:szCs w:val="24"/>
        </w:rPr>
      </w:pPr>
      <w:r w:rsidRPr="009F67A5">
        <w:rPr>
          <w:rFonts w:eastAsia="Times New Roman" w:cs="Times New Roman"/>
          <w:szCs w:val="24"/>
        </w:rPr>
        <w:t xml:space="preserve">DATED this </w:t>
      </w:r>
      <w:r w:rsidR="001F55EF">
        <w:rPr>
          <w:rFonts w:eastAsia="Times New Roman" w:cs="Times New Roman"/>
          <w:szCs w:val="24"/>
        </w:rPr>
        <w:t>11</w:t>
      </w:r>
      <w:r w:rsidRPr="009F67A5">
        <w:rPr>
          <w:rFonts w:eastAsia="Times New Roman" w:cs="Times New Roman"/>
          <w:szCs w:val="24"/>
          <w:vertAlign w:val="superscript"/>
        </w:rPr>
        <w:t>th</w:t>
      </w:r>
      <w:r>
        <w:rPr>
          <w:rFonts w:eastAsia="Times New Roman" w:cs="Times New Roman"/>
          <w:szCs w:val="24"/>
        </w:rPr>
        <w:t xml:space="preserve"> </w:t>
      </w:r>
      <w:r w:rsidRPr="009F67A5">
        <w:rPr>
          <w:rFonts w:eastAsia="Times New Roman" w:cs="Times New Roman"/>
          <w:szCs w:val="24"/>
        </w:rPr>
        <w:t xml:space="preserve">day of </w:t>
      </w:r>
      <w:r w:rsidR="001F55EF">
        <w:rPr>
          <w:rFonts w:eastAsia="Times New Roman" w:cs="Times New Roman"/>
          <w:szCs w:val="24"/>
        </w:rPr>
        <w:t>July</w:t>
      </w:r>
      <w:r>
        <w:rPr>
          <w:rFonts w:eastAsia="Times New Roman" w:cs="Times New Roman"/>
          <w:szCs w:val="24"/>
        </w:rPr>
        <w:t xml:space="preserve"> </w:t>
      </w:r>
      <w:r w:rsidRPr="009F67A5">
        <w:rPr>
          <w:rFonts w:eastAsia="Times New Roman" w:cs="Times New Roman"/>
          <w:szCs w:val="24"/>
        </w:rPr>
        <w:t>201</w:t>
      </w:r>
      <w:r w:rsidR="001F55EF">
        <w:rPr>
          <w:rFonts w:eastAsia="Times New Roman" w:cs="Times New Roman"/>
          <w:szCs w:val="24"/>
        </w:rPr>
        <w:t>4</w:t>
      </w:r>
      <w:r w:rsidRPr="009F67A5">
        <w:rPr>
          <w:rFonts w:eastAsia="Times New Roman" w:cs="Times New Roman"/>
          <w:szCs w:val="24"/>
        </w:rPr>
        <w:t>.</w:t>
      </w:r>
    </w:p>
    <w:p w14:paraId="7F1F5719" w14:textId="77777777" w:rsidR="009F67A5" w:rsidRPr="009F67A5" w:rsidRDefault="009F67A5" w:rsidP="009F67A5">
      <w:pPr>
        <w:widowControl w:val="0"/>
        <w:autoSpaceDE w:val="0"/>
        <w:autoSpaceDN w:val="0"/>
        <w:adjustRightInd w:val="0"/>
        <w:ind w:left="720"/>
        <w:rPr>
          <w:rFonts w:eastAsia="Times New Roman" w:cs="Times New Roman"/>
          <w:szCs w:val="24"/>
        </w:rPr>
      </w:pPr>
    </w:p>
    <w:p w14:paraId="705D515E" w14:textId="77777777" w:rsidR="009F67A5" w:rsidRPr="009F67A5" w:rsidRDefault="009F67A5" w:rsidP="009F67A5">
      <w:pPr>
        <w:widowControl w:val="0"/>
        <w:autoSpaceDE w:val="0"/>
        <w:autoSpaceDN w:val="0"/>
        <w:adjustRightInd w:val="0"/>
        <w:ind w:left="720"/>
        <w:rPr>
          <w:rFonts w:eastAsia="Times New Roman" w:cs="Times New Roman"/>
          <w:szCs w:val="24"/>
        </w:rPr>
      </w:pPr>
      <w:r w:rsidRPr="009F67A5">
        <w:rPr>
          <w:rFonts w:eastAsia="Times New Roman" w:cs="Times New Roman"/>
          <w:szCs w:val="24"/>
        </w:rPr>
        <w:tab/>
      </w:r>
      <w:r w:rsidRPr="009F67A5">
        <w:rPr>
          <w:rFonts w:eastAsia="Times New Roman" w:cs="Times New Roman"/>
          <w:szCs w:val="24"/>
        </w:rPr>
        <w:tab/>
      </w:r>
      <w:r w:rsidRPr="009F67A5">
        <w:rPr>
          <w:rFonts w:eastAsia="Times New Roman" w:cs="Times New Roman"/>
          <w:szCs w:val="24"/>
        </w:rPr>
        <w:tab/>
      </w:r>
      <w:r w:rsidRPr="009F67A5">
        <w:rPr>
          <w:rFonts w:eastAsia="Times New Roman" w:cs="Times New Roman"/>
          <w:szCs w:val="24"/>
        </w:rPr>
        <w:tab/>
      </w:r>
      <w:r w:rsidRPr="009F67A5">
        <w:rPr>
          <w:rFonts w:eastAsia="Times New Roman" w:cs="Times New Roman"/>
          <w:szCs w:val="24"/>
        </w:rPr>
        <w:tab/>
      </w:r>
      <w:r w:rsidRPr="009F67A5">
        <w:rPr>
          <w:rFonts w:eastAsia="Times New Roman" w:cs="Times New Roman"/>
          <w:szCs w:val="24"/>
        </w:rPr>
        <w:tab/>
        <w:t xml:space="preserve">Respectfully submitted, </w:t>
      </w:r>
    </w:p>
    <w:p w14:paraId="47076395" w14:textId="77777777" w:rsidR="009F67A5" w:rsidRPr="009F67A5" w:rsidRDefault="009F67A5" w:rsidP="009F67A5">
      <w:pPr>
        <w:ind w:left="686"/>
        <w:rPr>
          <w:rFonts w:eastAsia="Times New Roman" w:cs="Times New Roman"/>
          <w:szCs w:val="24"/>
        </w:rPr>
      </w:pPr>
    </w:p>
    <w:p w14:paraId="01841C48" w14:textId="77777777" w:rsidR="009F67A5" w:rsidRPr="009F67A5" w:rsidRDefault="009F67A5" w:rsidP="009F67A5">
      <w:pPr>
        <w:widowControl w:val="0"/>
        <w:autoSpaceDE w:val="0"/>
        <w:autoSpaceDN w:val="0"/>
        <w:adjustRightInd w:val="0"/>
        <w:ind w:left="5040"/>
        <w:jc w:val="both"/>
        <w:rPr>
          <w:rFonts w:eastAsia="Times New Roman" w:cs="Times New Roman"/>
          <w:szCs w:val="24"/>
        </w:rPr>
      </w:pPr>
      <w:r w:rsidRPr="009F67A5">
        <w:rPr>
          <w:rFonts w:eastAsia="Times New Roman" w:cs="Times New Roman"/>
          <w:szCs w:val="24"/>
        </w:rPr>
        <w:t xml:space="preserve">ROBERT W. FERGUSON </w:t>
      </w:r>
    </w:p>
    <w:p w14:paraId="443D9EC4" w14:textId="77777777" w:rsidR="009F67A5" w:rsidRPr="009F67A5" w:rsidRDefault="009F67A5" w:rsidP="009F67A5">
      <w:pPr>
        <w:widowControl w:val="0"/>
        <w:autoSpaceDE w:val="0"/>
        <w:autoSpaceDN w:val="0"/>
        <w:adjustRightInd w:val="0"/>
        <w:ind w:firstLine="5040"/>
        <w:jc w:val="both"/>
        <w:rPr>
          <w:rFonts w:eastAsia="Times New Roman" w:cs="Times New Roman"/>
          <w:szCs w:val="24"/>
        </w:rPr>
      </w:pPr>
      <w:r w:rsidRPr="009F67A5">
        <w:rPr>
          <w:rFonts w:eastAsia="Times New Roman" w:cs="Times New Roman"/>
          <w:szCs w:val="24"/>
        </w:rPr>
        <w:t>Attorney General</w:t>
      </w:r>
    </w:p>
    <w:p w14:paraId="0B00B048" w14:textId="77777777" w:rsidR="009F67A5" w:rsidRPr="009F67A5" w:rsidRDefault="009F67A5" w:rsidP="009F67A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</w:p>
    <w:p w14:paraId="34776863" w14:textId="77777777" w:rsidR="009F67A5" w:rsidRPr="009F67A5" w:rsidRDefault="009F67A5" w:rsidP="009F67A5">
      <w:pPr>
        <w:widowControl w:val="0"/>
        <w:autoSpaceDE w:val="0"/>
        <w:autoSpaceDN w:val="0"/>
        <w:adjustRightInd w:val="0"/>
        <w:ind w:left="1440" w:firstLine="3600"/>
        <w:jc w:val="both"/>
        <w:rPr>
          <w:rFonts w:eastAsia="Times New Roman" w:cs="Times New Roman"/>
          <w:szCs w:val="24"/>
        </w:rPr>
      </w:pPr>
      <w:r w:rsidRPr="009F67A5">
        <w:rPr>
          <w:rFonts w:eastAsia="Times New Roman" w:cs="Times New Roman"/>
          <w:szCs w:val="24"/>
        </w:rPr>
        <w:t>______________________________</w:t>
      </w:r>
    </w:p>
    <w:p w14:paraId="63EC7A93" w14:textId="77777777" w:rsidR="009F67A5" w:rsidRPr="009F67A5" w:rsidRDefault="009F67A5" w:rsidP="009F67A5">
      <w:pPr>
        <w:widowControl w:val="0"/>
        <w:autoSpaceDE w:val="0"/>
        <w:autoSpaceDN w:val="0"/>
        <w:adjustRightInd w:val="0"/>
        <w:ind w:firstLine="50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DONALD T. TROTTER</w:t>
      </w:r>
    </w:p>
    <w:p w14:paraId="022746BA" w14:textId="77777777" w:rsidR="009F67A5" w:rsidRPr="009F67A5" w:rsidRDefault="009F67A5" w:rsidP="009F67A5">
      <w:pPr>
        <w:widowControl w:val="0"/>
        <w:autoSpaceDE w:val="0"/>
        <w:autoSpaceDN w:val="0"/>
        <w:adjustRightInd w:val="0"/>
        <w:ind w:left="1440" w:firstLine="3600"/>
        <w:jc w:val="both"/>
        <w:rPr>
          <w:rFonts w:eastAsia="Times New Roman" w:cs="Times New Roman"/>
          <w:szCs w:val="24"/>
        </w:rPr>
      </w:pPr>
      <w:r w:rsidRPr="009F67A5">
        <w:rPr>
          <w:rFonts w:eastAsia="Times New Roman" w:cs="Times New Roman"/>
          <w:szCs w:val="24"/>
        </w:rPr>
        <w:t>Assistant Attorney General</w:t>
      </w:r>
    </w:p>
    <w:p w14:paraId="37D10192" w14:textId="77777777" w:rsidR="009F67A5" w:rsidRPr="009F67A5" w:rsidRDefault="009F67A5" w:rsidP="009F67A5">
      <w:pPr>
        <w:widowControl w:val="0"/>
        <w:autoSpaceDE w:val="0"/>
        <w:autoSpaceDN w:val="0"/>
        <w:adjustRightInd w:val="0"/>
        <w:ind w:left="2160" w:firstLine="2880"/>
        <w:jc w:val="both"/>
        <w:rPr>
          <w:rFonts w:eastAsia="Times New Roman" w:cs="Times New Roman"/>
          <w:szCs w:val="24"/>
        </w:rPr>
      </w:pPr>
      <w:r w:rsidRPr="009F67A5">
        <w:rPr>
          <w:rFonts w:eastAsia="Times New Roman" w:cs="Times New Roman"/>
          <w:szCs w:val="24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9F67A5">
            <w:rPr>
              <w:rFonts w:eastAsia="Times New Roman" w:cs="Times New Roman"/>
              <w:szCs w:val="24"/>
            </w:rPr>
            <w:t>Washington</w:t>
          </w:r>
        </w:smartTag>
      </w:smartTag>
      <w:r w:rsidRPr="009F67A5">
        <w:rPr>
          <w:rFonts w:eastAsia="Times New Roman" w:cs="Times New Roman"/>
          <w:szCs w:val="24"/>
        </w:rPr>
        <w:t xml:space="preserve"> Utilities and</w:t>
      </w:r>
    </w:p>
    <w:p w14:paraId="68361A20" w14:textId="77777777" w:rsidR="009F67A5" w:rsidRPr="009C3E5C" w:rsidRDefault="009F67A5" w:rsidP="009C3E5C">
      <w:pPr>
        <w:widowControl w:val="0"/>
        <w:autoSpaceDE w:val="0"/>
        <w:autoSpaceDN w:val="0"/>
        <w:adjustRightInd w:val="0"/>
        <w:ind w:left="2880" w:firstLine="2160"/>
        <w:jc w:val="both"/>
        <w:rPr>
          <w:rFonts w:eastAsia="Times New Roman" w:cs="Times New Roman"/>
          <w:szCs w:val="24"/>
        </w:rPr>
      </w:pPr>
      <w:r w:rsidRPr="009F67A5">
        <w:rPr>
          <w:rFonts w:eastAsia="Times New Roman" w:cs="Times New Roman"/>
          <w:szCs w:val="24"/>
        </w:rPr>
        <w:t>Transportation Commission Staff</w:t>
      </w:r>
    </w:p>
    <w:sectPr w:rsidR="009F67A5" w:rsidRPr="009C3E5C" w:rsidSect="009F67A5">
      <w:footerReference w:type="default" r:id="rId11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23DB6" w14:textId="77777777" w:rsidR="00982D72" w:rsidRDefault="00982D72" w:rsidP="00422488">
      <w:r>
        <w:separator/>
      </w:r>
    </w:p>
  </w:endnote>
  <w:endnote w:type="continuationSeparator" w:id="0">
    <w:p w14:paraId="60C5C77E" w14:textId="77777777" w:rsidR="00982D72" w:rsidRDefault="00982D72" w:rsidP="0042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54EC9" w14:textId="77777777" w:rsidR="009F67A5" w:rsidRDefault="009F67A5">
    <w:pPr>
      <w:pStyle w:val="Footer"/>
      <w:rPr>
        <w:sz w:val="20"/>
        <w:szCs w:val="20"/>
      </w:rPr>
    </w:pPr>
  </w:p>
  <w:p w14:paraId="379C2CEB" w14:textId="77777777" w:rsidR="009F67A5" w:rsidRPr="009F67A5" w:rsidRDefault="00E4213C" w:rsidP="00DB54AF">
    <w:pPr>
      <w:pStyle w:val="Footer"/>
      <w:rPr>
        <w:sz w:val="20"/>
        <w:szCs w:val="20"/>
      </w:rPr>
    </w:pPr>
    <w:r>
      <w:rPr>
        <w:sz w:val="20"/>
        <w:szCs w:val="20"/>
      </w:rPr>
      <w:t xml:space="preserve">STAFF RESPONSE </w:t>
    </w:r>
    <w:r w:rsidR="00DB54AF">
      <w:rPr>
        <w:sz w:val="20"/>
        <w:szCs w:val="20"/>
      </w:rPr>
      <w:t>COMMISSION NOTICE</w:t>
    </w:r>
    <w:r w:rsidR="009C3E5C" w:rsidRPr="009C3E5C">
      <w:rPr>
        <w:sz w:val="20"/>
        <w:szCs w:val="20"/>
      </w:rPr>
      <w:t xml:space="preserve"> </w:t>
    </w:r>
    <w:r w:rsidR="009F67A5">
      <w:rPr>
        <w:sz w:val="20"/>
        <w:szCs w:val="20"/>
      </w:rPr>
      <w:t xml:space="preserve">- </w:t>
    </w:r>
    <w:r w:rsidR="009F67A5" w:rsidRPr="009F67A5">
      <w:rPr>
        <w:sz w:val="20"/>
        <w:szCs w:val="20"/>
      </w:rPr>
      <w:fldChar w:fldCharType="begin"/>
    </w:r>
    <w:r w:rsidR="009F67A5" w:rsidRPr="009F67A5">
      <w:rPr>
        <w:sz w:val="20"/>
        <w:szCs w:val="20"/>
      </w:rPr>
      <w:instrText xml:space="preserve"> PAGE   \* MERGEFORMAT </w:instrText>
    </w:r>
    <w:r w:rsidR="009F67A5" w:rsidRPr="009F67A5">
      <w:rPr>
        <w:sz w:val="20"/>
        <w:szCs w:val="20"/>
      </w:rPr>
      <w:fldChar w:fldCharType="separate"/>
    </w:r>
    <w:r w:rsidR="00900480">
      <w:rPr>
        <w:noProof/>
        <w:sz w:val="20"/>
        <w:szCs w:val="20"/>
      </w:rPr>
      <w:t>2</w:t>
    </w:r>
    <w:r w:rsidR="009F67A5" w:rsidRPr="009F67A5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53788" w14:textId="77777777" w:rsidR="00982D72" w:rsidRDefault="00982D72" w:rsidP="00422488">
      <w:r>
        <w:separator/>
      </w:r>
    </w:p>
  </w:footnote>
  <w:footnote w:type="continuationSeparator" w:id="0">
    <w:p w14:paraId="7DB8DDA8" w14:textId="77777777" w:rsidR="00982D72" w:rsidRDefault="00982D72" w:rsidP="00422488">
      <w:r>
        <w:continuationSeparator/>
      </w:r>
    </w:p>
  </w:footnote>
  <w:footnote w:id="1">
    <w:p w14:paraId="0320BA0C" w14:textId="12BC52AE" w:rsidR="00AD7F9E" w:rsidRDefault="00AD7F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E.g</w:t>
      </w:r>
      <w:r w:rsidRPr="00280E95">
        <w:rPr>
          <w:i/>
        </w:rPr>
        <w:t>.</w:t>
      </w:r>
      <w:r>
        <w:t>, the lack of language within paragraph 23 of the Amended Application about deferred federal income taxes, as shown in Exhibit G</w:t>
      </w:r>
      <w:r w:rsidR="00DA4751">
        <w:t>;</w:t>
      </w:r>
      <w:r>
        <w:t xml:space="preserve"> Electron Hydro’s reimbursement to PSE for </w:t>
      </w:r>
      <w:r w:rsidR="00DA4751">
        <w:t>annual operation and maintenance</w:t>
      </w:r>
      <w:r>
        <w:t xml:space="preserve"> contribution payments, as shown in Exhibit F</w:t>
      </w:r>
      <w:r w:rsidR="00225090">
        <w:t>-4</w:t>
      </w:r>
      <w:r w:rsidR="00DA4751">
        <w:t>; and PSE’s exposure to claims by the Tribe under the Resource Enhancement Agreement</w:t>
      </w:r>
      <w:r>
        <w:t xml:space="preserve">. </w:t>
      </w:r>
      <w:r w:rsidR="00900480">
        <w:t xml:space="preserve"> These last two issues are referenced in the Amended Application at 6-7, ¶ 11.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527FF"/>
    <w:multiLevelType w:val="hybridMultilevel"/>
    <w:tmpl w:val="524EE17E"/>
    <w:lvl w:ilvl="0" w:tplc="2FB82DD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A045D"/>
    <w:multiLevelType w:val="hybridMultilevel"/>
    <w:tmpl w:val="0A3E2D2A"/>
    <w:lvl w:ilvl="0" w:tplc="F372E49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72643"/>
    <w:multiLevelType w:val="hybridMultilevel"/>
    <w:tmpl w:val="A4C45B02"/>
    <w:lvl w:ilvl="0" w:tplc="F372E49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/>
        <w:sz w:val="24"/>
      </w:rPr>
    </w:lvl>
    <w:lvl w:ilvl="1" w:tplc="98FA3F4C">
      <w:start w:val="1"/>
      <w:numFmt w:val="decimal"/>
      <w:lvlText w:val="%2"/>
      <w:lvlJc w:val="left"/>
      <w:pPr>
        <w:ind w:left="0" w:hanging="720"/>
      </w:pPr>
      <w:rPr>
        <w:rFonts w:ascii="Times New Roman" w:hAnsi="Times New Roman" w:hint="default"/>
        <w:b w:val="0"/>
        <w:i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F3E3E"/>
    <w:multiLevelType w:val="hybridMultilevel"/>
    <w:tmpl w:val="1E9ED676"/>
    <w:lvl w:ilvl="0" w:tplc="109EC64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D4D43"/>
    <w:multiLevelType w:val="hybridMultilevel"/>
    <w:tmpl w:val="9C24AA52"/>
    <w:lvl w:ilvl="0" w:tplc="90AE0D76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A2"/>
    <w:rsid w:val="00004B93"/>
    <w:rsid w:val="00015258"/>
    <w:rsid w:val="000155C2"/>
    <w:rsid w:val="000C6CE7"/>
    <w:rsid w:val="001467E5"/>
    <w:rsid w:val="00187775"/>
    <w:rsid w:val="001F55EF"/>
    <w:rsid w:val="00225090"/>
    <w:rsid w:val="002374CD"/>
    <w:rsid w:val="00257F3E"/>
    <w:rsid w:val="00280E95"/>
    <w:rsid w:val="00286C8D"/>
    <w:rsid w:val="0029302B"/>
    <w:rsid w:val="00295F70"/>
    <w:rsid w:val="003236EA"/>
    <w:rsid w:val="003741B2"/>
    <w:rsid w:val="003C2E1E"/>
    <w:rsid w:val="003E39F4"/>
    <w:rsid w:val="003E49F3"/>
    <w:rsid w:val="00422488"/>
    <w:rsid w:val="00422FFC"/>
    <w:rsid w:val="00486378"/>
    <w:rsid w:val="004E70DA"/>
    <w:rsid w:val="00547AA1"/>
    <w:rsid w:val="00554776"/>
    <w:rsid w:val="005A6726"/>
    <w:rsid w:val="00611294"/>
    <w:rsid w:val="0063424E"/>
    <w:rsid w:val="00707BBB"/>
    <w:rsid w:val="007B1A03"/>
    <w:rsid w:val="007D7FA2"/>
    <w:rsid w:val="007F78F7"/>
    <w:rsid w:val="008824C2"/>
    <w:rsid w:val="008A627F"/>
    <w:rsid w:val="008A750B"/>
    <w:rsid w:val="00900480"/>
    <w:rsid w:val="00982D72"/>
    <w:rsid w:val="00986D66"/>
    <w:rsid w:val="00996F42"/>
    <w:rsid w:val="009C3A14"/>
    <w:rsid w:val="009C3E5C"/>
    <w:rsid w:val="009E22BE"/>
    <w:rsid w:val="009F67A5"/>
    <w:rsid w:val="00AD7F9E"/>
    <w:rsid w:val="00AF1BC1"/>
    <w:rsid w:val="00AF6DCF"/>
    <w:rsid w:val="00B03EBB"/>
    <w:rsid w:val="00B74343"/>
    <w:rsid w:val="00BB2CDB"/>
    <w:rsid w:val="00BF08D9"/>
    <w:rsid w:val="00C211D9"/>
    <w:rsid w:val="00C82C50"/>
    <w:rsid w:val="00CB5055"/>
    <w:rsid w:val="00CD12AF"/>
    <w:rsid w:val="00CF1325"/>
    <w:rsid w:val="00D012B9"/>
    <w:rsid w:val="00D50B57"/>
    <w:rsid w:val="00D808C5"/>
    <w:rsid w:val="00D944B5"/>
    <w:rsid w:val="00DA4751"/>
    <w:rsid w:val="00DB0908"/>
    <w:rsid w:val="00DB54AF"/>
    <w:rsid w:val="00DC7661"/>
    <w:rsid w:val="00E15CB5"/>
    <w:rsid w:val="00E4213C"/>
    <w:rsid w:val="00E666A2"/>
    <w:rsid w:val="00E83DD7"/>
    <w:rsid w:val="00F100B0"/>
    <w:rsid w:val="00F2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16BD8CC4"/>
  <w15:docId w15:val="{0F4958E2-425D-47BF-A66A-BA085D45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224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24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248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D7F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F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F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F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F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F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100B0"/>
    <w:pPr>
      <w:spacing w:after="120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F100B0"/>
    <w:rPr>
      <w:rFonts w:eastAsia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F6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7A5"/>
  </w:style>
  <w:style w:type="paragraph" w:styleId="Footer">
    <w:name w:val="footer"/>
    <w:basedOn w:val="Normal"/>
    <w:link w:val="FooterChar"/>
    <w:uiPriority w:val="99"/>
    <w:unhideWhenUsed/>
    <w:rsid w:val="009F67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7A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F67A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F67A5"/>
  </w:style>
  <w:style w:type="paragraph" w:styleId="ListParagraph">
    <w:name w:val="List Paragraph"/>
    <w:basedOn w:val="Normal"/>
    <w:uiPriority w:val="34"/>
    <w:qFormat/>
    <w:rsid w:val="00DC7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2013-04-25T07:00:00+00:00</OpenedDate>
    <Date1 xmlns="dc463f71-b30c-4ab2-9473-d307f9d35888">2014-07-11T07:00:00+00:00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C83C83ECB19D4DB5F4F888CFD68042" ma:contentTypeVersion="135" ma:contentTypeDescription="" ma:contentTypeScope="" ma:versionID="f9a628cbf326db48f4ee322a25a2e0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CC0F047-F811-43E7-9C44-C1FC799DE6E8}"/>
</file>

<file path=customXml/itemProps2.xml><?xml version="1.0" encoding="utf-8"?>
<ds:datastoreItem xmlns:ds="http://schemas.openxmlformats.org/officeDocument/2006/customXml" ds:itemID="{D50031A2-7391-4830-9D7E-9454AF3B2635}"/>
</file>

<file path=customXml/itemProps3.xml><?xml version="1.0" encoding="utf-8"?>
<ds:datastoreItem xmlns:ds="http://schemas.openxmlformats.org/officeDocument/2006/customXml" ds:itemID="{E87FA439-6D66-4D11-A534-92C1626D65B4}"/>
</file>

<file path=customXml/itemProps4.xml><?xml version="1.0" encoding="utf-8"?>
<ds:datastoreItem xmlns:ds="http://schemas.openxmlformats.org/officeDocument/2006/customXml" ds:itemID="{5C6CED3A-65AB-4232-9144-5D6F51FB3593}"/>
</file>

<file path=customXml/itemProps5.xml><?xml version="1.0" encoding="utf-8"?>
<ds:datastoreItem xmlns:ds="http://schemas.openxmlformats.org/officeDocument/2006/customXml" ds:itemID="{AF6A7282-8AF5-435F-AF57-C27622F440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 Trotter</dc:creator>
  <cp:lastModifiedBy>Trotter, Don (UTC)</cp:lastModifiedBy>
  <cp:revision>2</cp:revision>
  <cp:lastPrinted>2013-07-17T15:57:00Z</cp:lastPrinted>
  <dcterms:created xsi:type="dcterms:W3CDTF">2014-07-10T23:38:00Z</dcterms:created>
  <dcterms:modified xsi:type="dcterms:W3CDTF">2014-07-10T23:38:00Z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0x0101006E56B4D1795A2E4DB2F0B01679ED314A0007C83C83ECB19D4DB5F4F888CFD68042</vt:lpwstr>
  </property>
  <property fmtid="{D5CDD505-2E9C-101B-9397-08002B2CF9AE}" pid="3" name="_docset_NoMedatataSyncRequired">
    <vt:lpwstr>False</vt:lpwstr>
  </property>
</Properties>
</file>