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F7" w:rsidRDefault="00FE26F7" w:rsidP="0045520C">
      <w:pPr>
        <w:pStyle w:val="LetterDate"/>
        <w:spacing w:before="720" w:after="480"/>
        <w:ind w:left="3600" w:firstLine="720"/>
        <w:rPr>
          <w:noProof/>
          <w:szCs w:val="24"/>
        </w:rPr>
      </w:pPr>
    </w:p>
    <w:p w:rsidR="00BC5B4E" w:rsidRPr="00D722BA" w:rsidRDefault="009079F5" w:rsidP="0045520C">
      <w:pPr>
        <w:pStyle w:val="LetterDate"/>
        <w:spacing w:before="720" w:after="480"/>
        <w:ind w:left="3600" w:firstLine="720"/>
        <w:rPr>
          <w:szCs w:val="24"/>
        </w:rPr>
      </w:pPr>
      <w:r w:rsidRPr="00D722BA">
        <w:rPr>
          <w:noProof/>
          <w:szCs w:val="24"/>
        </w:rPr>
        <w:t>October 5</w:t>
      </w:r>
      <w:r w:rsidR="00BC5B4E" w:rsidRPr="00D722BA">
        <w:rPr>
          <w:noProof/>
          <w:szCs w:val="24"/>
        </w:rPr>
        <w:t>, 201</w:t>
      </w:r>
      <w:r w:rsidR="0045520C" w:rsidRPr="00D722BA">
        <w:rPr>
          <w:noProof/>
          <w:szCs w:val="24"/>
        </w:rPr>
        <w:t>5</w:t>
      </w:r>
    </w:p>
    <w:p w:rsidR="00BC5B4E" w:rsidRPr="00D722BA" w:rsidRDefault="00BC5B4E" w:rsidP="00BC5B4E">
      <w:pPr>
        <w:pStyle w:val="Addressee"/>
        <w:rPr>
          <w:b/>
          <w:szCs w:val="24"/>
        </w:rPr>
      </w:pPr>
      <w:r w:rsidRPr="00D722BA">
        <w:rPr>
          <w:b/>
          <w:i/>
          <w:szCs w:val="24"/>
        </w:rPr>
        <w:t>Via</w:t>
      </w:r>
      <w:r w:rsidRPr="00D722BA">
        <w:rPr>
          <w:b/>
          <w:szCs w:val="24"/>
        </w:rPr>
        <w:t xml:space="preserve"> Electronic Mail</w:t>
      </w:r>
    </w:p>
    <w:p w:rsidR="00BC5B4E" w:rsidRPr="00D722BA" w:rsidRDefault="00BC5B4E" w:rsidP="00BC5B4E">
      <w:pPr>
        <w:pStyle w:val="Addressee"/>
        <w:rPr>
          <w:b/>
          <w:szCs w:val="24"/>
        </w:rPr>
      </w:pPr>
    </w:p>
    <w:p w:rsidR="00BC5B4E" w:rsidRPr="00D722BA" w:rsidRDefault="00BC5B4E" w:rsidP="00BC5B4E">
      <w:pPr>
        <w:pStyle w:val="Addressee"/>
        <w:rPr>
          <w:szCs w:val="24"/>
        </w:rPr>
      </w:pPr>
      <w:r w:rsidRPr="00D722BA">
        <w:rPr>
          <w:szCs w:val="24"/>
        </w:rPr>
        <w:t>Steven V. King, Executive Director and Secretary</w:t>
      </w:r>
    </w:p>
    <w:p w:rsidR="00BC5B4E" w:rsidRPr="00D722BA" w:rsidRDefault="00BC5B4E" w:rsidP="00BC5B4E">
      <w:pPr>
        <w:pStyle w:val="Addressee"/>
        <w:rPr>
          <w:szCs w:val="24"/>
        </w:rPr>
      </w:pPr>
      <w:r w:rsidRPr="00D722BA">
        <w:rPr>
          <w:szCs w:val="24"/>
        </w:rPr>
        <w:t>Washington Utilities and Transportation Commission</w:t>
      </w:r>
    </w:p>
    <w:p w:rsidR="00BC5B4E" w:rsidRPr="00D722BA" w:rsidRDefault="00BC5B4E" w:rsidP="00BC5B4E">
      <w:pPr>
        <w:pStyle w:val="Addressee"/>
        <w:rPr>
          <w:szCs w:val="24"/>
        </w:rPr>
      </w:pPr>
      <w:r w:rsidRPr="00D722BA">
        <w:rPr>
          <w:szCs w:val="24"/>
        </w:rPr>
        <w:t>P.O. Box 47250</w:t>
      </w:r>
    </w:p>
    <w:p w:rsidR="00BC5B4E" w:rsidRPr="00D722BA" w:rsidRDefault="00BC5B4E" w:rsidP="00BC5B4E">
      <w:pPr>
        <w:pStyle w:val="Addressee"/>
        <w:rPr>
          <w:szCs w:val="24"/>
        </w:rPr>
      </w:pPr>
      <w:r w:rsidRPr="00D722BA">
        <w:rPr>
          <w:szCs w:val="24"/>
        </w:rPr>
        <w:t>1300 S. Evergreen Park Drive S.W.</w:t>
      </w:r>
    </w:p>
    <w:p w:rsidR="00BC5B4E" w:rsidRPr="00D722BA" w:rsidRDefault="00BC5B4E" w:rsidP="00BC5B4E">
      <w:pPr>
        <w:pStyle w:val="Addressee"/>
        <w:rPr>
          <w:szCs w:val="24"/>
        </w:rPr>
      </w:pPr>
      <w:r w:rsidRPr="00D722BA">
        <w:rPr>
          <w:szCs w:val="24"/>
        </w:rPr>
        <w:t>Olympia, Washington  98504-7250</w:t>
      </w:r>
    </w:p>
    <w:p w:rsidR="00BC5B4E" w:rsidRPr="00D722BA" w:rsidRDefault="00BC5B4E" w:rsidP="00BC5B4E"/>
    <w:p w:rsidR="00BC5B4E" w:rsidRPr="00D722BA" w:rsidRDefault="00BC5B4E" w:rsidP="00BC5B4E">
      <w:pPr>
        <w:ind w:left="720" w:hanging="720"/>
      </w:pPr>
      <w:r w:rsidRPr="00D722BA">
        <w:t>Re:</w:t>
      </w:r>
      <w:r w:rsidRPr="00D722BA">
        <w:tab/>
      </w:r>
      <w:r w:rsidRPr="00D722BA">
        <w:rPr>
          <w:b/>
        </w:rPr>
        <w:t xml:space="preserve">Docket U-144155:  Comments of Puget Sound Energy, Inc. on Rulemaking to Consider Amending Billing Requirements </w:t>
      </w:r>
      <w:r w:rsidR="004877C2" w:rsidRPr="00D722BA">
        <w:rPr>
          <w:b/>
        </w:rPr>
        <w:t>f</w:t>
      </w:r>
      <w:r w:rsidRPr="00D722BA">
        <w:rPr>
          <w:b/>
        </w:rPr>
        <w:t>or Electric and Natural Gas Companies</w:t>
      </w:r>
    </w:p>
    <w:p w:rsidR="00BC5B4E" w:rsidRPr="00D722BA" w:rsidRDefault="00BC5B4E" w:rsidP="00BC5B4E">
      <w:pPr>
        <w:pStyle w:val="Salutation"/>
        <w:rPr>
          <w:szCs w:val="24"/>
        </w:rPr>
      </w:pPr>
      <w:r w:rsidRPr="00D722BA">
        <w:rPr>
          <w:szCs w:val="24"/>
        </w:rPr>
        <w:t>Dear Mr. King:</w:t>
      </w:r>
    </w:p>
    <w:p w:rsidR="00BC5B4E" w:rsidRPr="00D722BA" w:rsidRDefault="00BC5B4E" w:rsidP="00BC5B4E">
      <w:pPr>
        <w:pStyle w:val="Salutation"/>
        <w:rPr>
          <w:szCs w:val="24"/>
        </w:rPr>
      </w:pPr>
      <w:r w:rsidRPr="00D722BA">
        <w:rPr>
          <w:szCs w:val="24"/>
        </w:rPr>
        <w:t>Puget Sound Energy, Inc. (“PSE”) submits the following</w:t>
      </w:r>
      <w:r w:rsidR="00E97661" w:rsidRPr="00D722BA">
        <w:rPr>
          <w:szCs w:val="24"/>
        </w:rPr>
        <w:t xml:space="preserve"> comments</w:t>
      </w:r>
      <w:r w:rsidR="006F6933" w:rsidRPr="00D722BA">
        <w:rPr>
          <w:szCs w:val="24"/>
        </w:rPr>
        <w:t xml:space="preserve"> regarding the draft rules</w:t>
      </w:r>
      <w:r w:rsidR="00E97661" w:rsidRPr="00D722BA">
        <w:rPr>
          <w:szCs w:val="24"/>
        </w:rPr>
        <w:t xml:space="preserve"> and responses to the questions posed </w:t>
      </w:r>
      <w:r w:rsidRPr="00D722BA">
        <w:rPr>
          <w:szCs w:val="24"/>
        </w:rPr>
        <w:t>in the Washington Utilities and Transportation Commission’s</w:t>
      </w:r>
      <w:r w:rsidR="000C3AF9" w:rsidRPr="00D722BA">
        <w:rPr>
          <w:szCs w:val="24"/>
        </w:rPr>
        <w:t xml:space="preserve"> (“Commission”)</w:t>
      </w:r>
      <w:r w:rsidRPr="00D722BA">
        <w:rPr>
          <w:szCs w:val="24"/>
        </w:rPr>
        <w:t xml:space="preserve"> </w:t>
      </w:r>
      <w:r w:rsidR="009079F5" w:rsidRPr="00D722BA">
        <w:rPr>
          <w:szCs w:val="24"/>
        </w:rPr>
        <w:t>September 04</w:t>
      </w:r>
      <w:r w:rsidR="00807382" w:rsidRPr="00D722BA">
        <w:rPr>
          <w:szCs w:val="24"/>
        </w:rPr>
        <w:t xml:space="preserve">, 2015 </w:t>
      </w:r>
      <w:r w:rsidRPr="00D722BA">
        <w:rPr>
          <w:szCs w:val="24"/>
        </w:rPr>
        <w:t xml:space="preserve">Notice of Opportunity to Submit Written Comments </w:t>
      </w:r>
      <w:r w:rsidR="000C3AF9" w:rsidRPr="00D722BA">
        <w:rPr>
          <w:szCs w:val="24"/>
        </w:rPr>
        <w:t>(“</w:t>
      </w:r>
      <w:r w:rsidR="00F611D7" w:rsidRPr="00D722BA">
        <w:rPr>
          <w:szCs w:val="24"/>
        </w:rPr>
        <w:t>N</w:t>
      </w:r>
      <w:r w:rsidR="000C3AF9" w:rsidRPr="00D722BA">
        <w:rPr>
          <w:szCs w:val="24"/>
        </w:rPr>
        <w:t xml:space="preserve">otice”) </w:t>
      </w:r>
      <w:r w:rsidRPr="00D722BA">
        <w:rPr>
          <w:szCs w:val="24"/>
        </w:rPr>
        <w:t>issued in Docket U</w:t>
      </w:r>
      <w:r w:rsidRPr="00D722BA">
        <w:rPr>
          <w:szCs w:val="24"/>
        </w:rPr>
        <w:noBreakHyphen/>
        <w:t>144155.</w:t>
      </w:r>
    </w:p>
    <w:p w:rsidR="00854F8F" w:rsidRPr="004D1350" w:rsidRDefault="003D631B" w:rsidP="004D1350">
      <w:pPr>
        <w:pStyle w:val="BodyText"/>
        <w:rPr>
          <w:i/>
        </w:rPr>
      </w:pPr>
      <w:r w:rsidRPr="004D1350">
        <w:t xml:space="preserve">PSE </w:t>
      </w:r>
      <w:r w:rsidR="0085661E">
        <w:t>has been</w:t>
      </w:r>
      <w:r w:rsidR="004D1350" w:rsidRPr="004D1350">
        <w:t xml:space="preserve"> subject to billing and m</w:t>
      </w:r>
      <w:r w:rsidRPr="004D1350">
        <w:t xml:space="preserve">etering </w:t>
      </w:r>
      <w:r w:rsidR="004D1350" w:rsidRPr="004D1350">
        <w:t>performance s</w:t>
      </w:r>
      <w:r w:rsidRPr="004D1350">
        <w:t>tandards</w:t>
      </w:r>
      <w:r w:rsidR="0085661E">
        <w:t xml:space="preserve"> since 2008</w:t>
      </w:r>
      <w:r w:rsidR="004D1350" w:rsidRPr="004D1350">
        <w:t xml:space="preserve">.  </w:t>
      </w:r>
      <w:r w:rsidR="00EC0FB0" w:rsidRPr="00D722BA">
        <w:rPr>
          <w:bCs/>
        </w:rPr>
        <w:t xml:space="preserve">In May 2012, PSE agreed with the Commission to comply with and report on annual meter and billing performance standards as part of a partial settlement in consolidated Docket Nos. UE-111048 and UG 111049 Order 08 (“Order 08”).  </w:t>
      </w:r>
      <w:r w:rsidR="00854F8F" w:rsidRPr="00D722BA">
        <w:rPr>
          <w:bCs/>
        </w:rPr>
        <w:t xml:space="preserve">The standards require PSE to </w:t>
      </w:r>
      <w:r w:rsidR="00854F8F" w:rsidRPr="00D722BA">
        <w:t xml:space="preserve">identify and correct 98 percent of all stopped meter and unassigned energy usage meter problems for both gas and electric meters within 12 months from initial occurrence of the problem.  PSE will identify and correct all stopped meter and unassigned energy problems for both gas and electric meters within 24 months from the initial problem.  </w:t>
      </w:r>
    </w:p>
    <w:p w:rsidR="003D631B" w:rsidRPr="00D722BA" w:rsidRDefault="003D631B" w:rsidP="00853CF4">
      <w:pPr>
        <w:rPr>
          <w:b/>
        </w:rPr>
      </w:pPr>
    </w:p>
    <w:p w:rsidR="00753CCF" w:rsidRPr="00D722BA" w:rsidRDefault="00853CF4" w:rsidP="00853CF4">
      <w:pPr>
        <w:rPr>
          <w:b/>
        </w:rPr>
      </w:pPr>
      <w:r w:rsidRPr="00D722BA">
        <w:rPr>
          <w:b/>
        </w:rPr>
        <w:t>Comments</w:t>
      </w:r>
      <w:r w:rsidR="006F6933" w:rsidRPr="00D722BA">
        <w:rPr>
          <w:b/>
        </w:rPr>
        <w:t xml:space="preserve"> on draft rules </w:t>
      </w:r>
    </w:p>
    <w:p w:rsidR="003D631B" w:rsidRPr="00D722BA" w:rsidRDefault="006F6933" w:rsidP="006F6933">
      <w:pPr>
        <w:pStyle w:val="BodyText"/>
      </w:pPr>
      <w:r w:rsidRPr="00D722BA">
        <w:t>PSE appreciates the Commission’s efforts to clarify its rules regarding utility practices in issuing corrective bills.  PSE supports the intent of the Commission’s draft rules and offers the following comments and proposed language revisions to provide greater clarity and to better align the final rule with existing statutes</w:t>
      </w:r>
      <w:r w:rsidR="003D631B" w:rsidRPr="00D722BA">
        <w:t xml:space="preserve"> and settlements regarding billing and metering performance standards</w:t>
      </w:r>
      <w:r w:rsidRPr="00D722BA">
        <w:t>.</w:t>
      </w:r>
    </w:p>
    <w:p w:rsidR="003D631B" w:rsidRPr="00D722BA" w:rsidRDefault="003D631B" w:rsidP="0034002F"/>
    <w:p w:rsidR="00D23061" w:rsidRPr="00D722BA" w:rsidRDefault="00D23061" w:rsidP="00D23061">
      <w:r w:rsidRPr="00D722BA">
        <w:rPr>
          <w:i/>
        </w:rPr>
        <w:t>WAC 480-90-178(5</w:t>
      </w:r>
      <w:proofErr w:type="gramStart"/>
      <w:r w:rsidRPr="00D722BA">
        <w:rPr>
          <w:i/>
        </w:rPr>
        <w:t>)(</w:t>
      </w:r>
      <w:proofErr w:type="gramEnd"/>
      <w:r w:rsidRPr="00D722BA">
        <w:rPr>
          <w:i/>
        </w:rPr>
        <w:t xml:space="preserve">a) and WAC 480-100-178(5)(a): </w:t>
      </w:r>
      <w:r w:rsidRPr="00D722BA">
        <w:t xml:space="preserve">PSE is unclear with the term “upon discovery” and “discovers” in this section of the draft rules.  PSE recommends replacing “upon </w:t>
      </w:r>
      <w:r w:rsidRPr="00D722BA">
        <w:lastRenderedPageBreak/>
        <w:t xml:space="preserve">discovery with “from the date the utility determines” in the first sentence and replacing “discovers” with “determines” in the last sentence.  This change would give more clarity as to when the sixty day clock starts for issuing a billing correction.  </w:t>
      </w:r>
      <w:r>
        <w:t>A</w:t>
      </w:r>
      <w:r w:rsidRPr="00D722BA">
        <w:t xml:space="preserve"> </w:t>
      </w:r>
      <w:r w:rsidR="00170503">
        <w:t xml:space="preserve">potential </w:t>
      </w:r>
      <w:r w:rsidRPr="00D722BA">
        <w:t xml:space="preserve">billing error often requires investigation and confirmation, and it is unclear whether sixty days would begin before or after a utility has investigated and confirmed the </w:t>
      </w:r>
      <w:r>
        <w:t>meter is malfunctioning</w:t>
      </w:r>
      <w:r w:rsidRPr="00D722BA">
        <w:t xml:space="preserve">.  From PSE’s perspective, the rules would be made clear by stating from the “date the utility determines the error” in order to ensure time for investigation and confirmation of the </w:t>
      </w:r>
      <w:r>
        <w:t>meter malfunction and issuance of the corrected billing statement</w:t>
      </w:r>
      <w:r w:rsidRPr="00D722BA">
        <w:t xml:space="preserve">. </w:t>
      </w:r>
    </w:p>
    <w:p w:rsidR="00D23061" w:rsidRDefault="00D23061" w:rsidP="0034002F">
      <w:pPr>
        <w:rPr>
          <w:i/>
        </w:rPr>
      </w:pPr>
    </w:p>
    <w:p w:rsidR="00552DE6" w:rsidRDefault="00D23061" w:rsidP="0034002F">
      <w:r>
        <w:t xml:space="preserve">Additionally, </w:t>
      </w:r>
      <w:r w:rsidR="006F6933" w:rsidRPr="00D722BA">
        <w:t>PSE</w:t>
      </w:r>
      <w:r w:rsidR="007E784C" w:rsidRPr="00D722BA">
        <w:t xml:space="preserve"> requests the Commission remove “a meter with unassigned energy usage” from the draft rule</w:t>
      </w:r>
      <w:r w:rsidR="008E70CF" w:rsidRPr="00D722BA">
        <w:t xml:space="preserve">s </w:t>
      </w:r>
      <w:r w:rsidR="00824680" w:rsidRPr="00D722BA">
        <w:t xml:space="preserve">requiring a utility to issue a corrected bill within sixty days upon </w:t>
      </w:r>
      <w:r w:rsidR="00EA17F6">
        <w:t>determination</w:t>
      </w:r>
      <w:r w:rsidR="00824680" w:rsidRPr="00D722BA">
        <w:t>.  PSE supports a sixty day threshold for</w:t>
      </w:r>
      <w:r w:rsidR="00EA17F6">
        <w:t xml:space="preserve"> issues related to</w:t>
      </w:r>
      <w:r w:rsidR="00824680" w:rsidRPr="00D722BA">
        <w:t xml:space="preserve"> </w:t>
      </w:r>
      <w:r w:rsidR="0085661E">
        <w:t xml:space="preserve">stopped meters, </w:t>
      </w:r>
      <w:r w:rsidR="00824680" w:rsidRPr="00D722BA">
        <w:t>meter failure or malfunction</w:t>
      </w:r>
      <w:r w:rsidR="00807DA2" w:rsidRPr="00D722BA">
        <w:t xml:space="preserve">, but not </w:t>
      </w:r>
      <w:r w:rsidR="00EA17F6">
        <w:t xml:space="preserve">issues related to </w:t>
      </w:r>
      <w:r w:rsidR="00807DA2" w:rsidRPr="00D722BA">
        <w:t>unassigned energy usage</w:t>
      </w:r>
      <w:r w:rsidR="008E3332" w:rsidRPr="00D722BA">
        <w:t xml:space="preserve"> (“UEU”)</w:t>
      </w:r>
      <w:r w:rsidR="00824680" w:rsidRPr="00D722BA">
        <w:t xml:space="preserve">. </w:t>
      </w:r>
      <w:r w:rsidR="00ED7804">
        <w:t xml:space="preserve"> </w:t>
      </w:r>
      <w:r w:rsidR="00807DA2" w:rsidRPr="00D722BA">
        <w:t>U</w:t>
      </w:r>
      <w:r w:rsidR="008E70CF" w:rsidRPr="00D722BA">
        <w:t xml:space="preserve">nlike a </w:t>
      </w:r>
      <w:r w:rsidR="00ED7804">
        <w:t>stopped meter</w:t>
      </w:r>
      <w:r w:rsidR="008E70CF" w:rsidRPr="00D722BA">
        <w:t xml:space="preserve">, a meter with unassigned energy usage is the result of a customer </w:t>
      </w:r>
      <w:r w:rsidR="00824680" w:rsidRPr="00D722BA">
        <w:t xml:space="preserve">failing to </w:t>
      </w:r>
      <w:r w:rsidR="0085661E">
        <w:t xml:space="preserve">start </w:t>
      </w:r>
      <w:r w:rsidR="00413D97">
        <w:t xml:space="preserve">energy </w:t>
      </w:r>
      <w:r w:rsidR="0085661E">
        <w:t>service</w:t>
      </w:r>
      <w:r w:rsidR="00413D97">
        <w:t xml:space="preserve"> with the utility after move-in</w:t>
      </w:r>
      <w:r w:rsidR="008E70CF" w:rsidRPr="00D722BA">
        <w:t xml:space="preserve">. </w:t>
      </w:r>
      <w:r w:rsidR="00D34381">
        <w:t>As discussed in PSE’s previous comments, the billing process for UEU meters is tied to the unassigned usage reaching the threshold.  In some circumstances, the utilization is very low and may take months before the initial threshold triggers an investigation.  Reachin</w:t>
      </w:r>
      <w:r w:rsidR="0091248C">
        <w:t>g the UEU threshold is not time-</w:t>
      </w:r>
      <w:r w:rsidR="00D34381">
        <w:t xml:space="preserve">based but rather based on reaching a threshold of usage that is balanced between allowing adequate time for the customer to sign-up for service and avoiding the cost of a PSE truck roll.  </w:t>
      </w:r>
      <w:r w:rsidR="00552DE6" w:rsidRPr="00D722BA">
        <w:t>For these reasons, PSE recommends the Commission remove UEU meters from this section</w:t>
      </w:r>
      <w:r w:rsidR="00170503">
        <w:t>.</w:t>
      </w:r>
      <w:r w:rsidR="00552DE6" w:rsidRPr="00D722BA">
        <w:t xml:space="preserve"> </w:t>
      </w:r>
    </w:p>
    <w:p w:rsidR="00D23061" w:rsidRDefault="00D23061" w:rsidP="0034002F"/>
    <w:p w:rsidR="000134E5" w:rsidRPr="00D722BA" w:rsidRDefault="000134E5" w:rsidP="0034002F">
      <w:r w:rsidRPr="00D722BA">
        <w:rPr>
          <w:i/>
        </w:rPr>
        <w:t xml:space="preserve">WAC 480-90-178(5)(b)(ii) and WAC 480-100-178(b)(ii):  </w:t>
      </w:r>
      <w:r w:rsidRPr="00D722BA">
        <w:t xml:space="preserve">For the reasons listed above, PSE recommends removing language from these draft rules that require a sixty day </w:t>
      </w:r>
      <w:r w:rsidR="0085661E">
        <w:t xml:space="preserve">threshold for issuing a </w:t>
      </w:r>
      <w:r w:rsidRPr="00D722BA">
        <w:t xml:space="preserve">billing correction for a meter with unassigned energy usage.  This includes the provision to define an unassigned energy usage meter.  </w:t>
      </w:r>
    </w:p>
    <w:p w:rsidR="000134E5" w:rsidRPr="00D722BA" w:rsidRDefault="000134E5" w:rsidP="0034002F"/>
    <w:p w:rsidR="00B737D7" w:rsidRDefault="000134E5" w:rsidP="0034002F">
      <w:r w:rsidRPr="00D722BA">
        <w:rPr>
          <w:i/>
        </w:rPr>
        <w:t>WAC 480-90-178(5</w:t>
      </w:r>
      <w:proofErr w:type="gramStart"/>
      <w:r w:rsidRPr="00D722BA">
        <w:rPr>
          <w:i/>
        </w:rPr>
        <w:t>)(</w:t>
      </w:r>
      <w:proofErr w:type="gramEnd"/>
      <w:r w:rsidRPr="00D722BA">
        <w:rPr>
          <w:i/>
        </w:rPr>
        <w:t>c) and WAC 480-100-178(5)(c)</w:t>
      </w:r>
      <w:r w:rsidR="00EA1602" w:rsidRPr="00D722BA">
        <w:rPr>
          <w:i/>
        </w:rPr>
        <w:t xml:space="preserve">:  </w:t>
      </w:r>
      <w:r w:rsidR="00EA1602" w:rsidRPr="00D722BA">
        <w:t xml:space="preserve">PSE proposes to </w:t>
      </w:r>
      <w:r w:rsidR="00373433">
        <w:t xml:space="preserve">eliminate </w:t>
      </w:r>
      <w:r w:rsidR="00EA1602" w:rsidRPr="00D722BA">
        <w:t>this section</w:t>
      </w:r>
      <w:r w:rsidR="00170503">
        <w:t xml:space="preserve"> </w:t>
      </w:r>
      <w:r w:rsidR="00EA1602" w:rsidRPr="00D722BA">
        <w:t>from the draft rules</w:t>
      </w:r>
      <w:r w:rsidR="00B737D7">
        <w:t xml:space="preserve"> because</w:t>
      </w:r>
      <w:r w:rsidR="00373433">
        <w:t xml:space="preserve"> there are existing rules that establish requirements for utilities to develop and maintain procedures for meter testing, </w:t>
      </w:r>
      <w:r w:rsidR="00DD1090">
        <w:t>repairing and replacement</w:t>
      </w:r>
      <w:r w:rsidR="004A0BF6">
        <w:t xml:space="preserve"> of meters</w:t>
      </w:r>
      <w:r w:rsidR="004A0BF6" w:rsidRPr="00B737D7">
        <w:t>.</w:t>
      </w:r>
      <w:r w:rsidR="00373433" w:rsidRPr="00B737D7">
        <w:t xml:space="preserve">  </w:t>
      </w:r>
      <w:r w:rsidR="004A0BF6" w:rsidRPr="00B737D7">
        <w:t>It is unclear to PSE the value in requiring utilities to file a “plan” and provide ongoing updates for identifying and repairing meters to have on file at the Commission.  The</w:t>
      </w:r>
      <w:r w:rsidR="00EE5538" w:rsidRPr="00B737D7">
        <w:t xml:space="preserve"> Commission </w:t>
      </w:r>
      <w:r w:rsidR="004B0EBA" w:rsidRPr="00B737D7">
        <w:t xml:space="preserve">can already request </w:t>
      </w:r>
      <w:r w:rsidR="004A0BF6" w:rsidRPr="00B737D7">
        <w:t xml:space="preserve">such </w:t>
      </w:r>
      <w:r w:rsidR="004B0EBA" w:rsidRPr="00B737D7">
        <w:t xml:space="preserve">information from utilities on </w:t>
      </w:r>
      <w:r w:rsidR="00373433" w:rsidRPr="00B737D7">
        <w:t xml:space="preserve">its </w:t>
      </w:r>
      <w:r w:rsidR="004B0EBA" w:rsidRPr="00B737D7">
        <w:t>billing and metering procedures at any time</w:t>
      </w:r>
      <w:r w:rsidR="00B737D7" w:rsidRPr="00B737D7">
        <w:t>,</w:t>
      </w:r>
      <w:r w:rsidR="00373433" w:rsidRPr="00B737D7">
        <w:t xml:space="preserve"> and </w:t>
      </w:r>
      <w:r w:rsidR="004A0BF6" w:rsidRPr="00B737D7">
        <w:t xml:space="preserve">therefore </w:t>
      </w:r>
      <w:r w:rsidR="00DD1090" w:rsidRPr="00B737D7">
        <w:t>an additional requirement to file a “plan”</w:t>
      </w:r>
      <w:r w:rsidR="004A0BF6" w:rsidRPr="00B737D7">
        <w:t xml:space="preserve"> </w:t>
      </w:r>
      <w:r w:rsidR="004B0EBA" w:rsidRPr="00B737D7">
        <w:t>is duplicative, burdensome and does not belong in the final rule</w:t>
      </w:r>
      <w:r w:rsidR="00B737D7">
        <w:t>.</w:t>
      </w:r>
      <w:r w:rsidR="00373433" w:rsidRPr="00B737D7">
        <w:t xml:space="preserve">  </w:t>
      </w:r>
      <w:r w:rsidR="004A0BF6" w:rsidRPr="00B737D7">
        <w:t>It is unclear what value will be gained by adding an a</w:t>
      </w:r>
      <w:r w:rsidR="00B737D7" w:rsidRPr="00B737D7">
        <w:t>dditional administrative filing</w:t>
      </w:r>
      <w:r w:rsidR="004A0BF6" w:rsidRPr="00B737D7">
        <w:t xml:space="preserve">. </w:t>
      </w:r>
    </w:p>
    <w:p w:rsidR="00B737D7" w:rsidRDefault="00B737D7" w:rsidP="0034002F"/>
    <w:p w:rsidR="002A4FE3" w:rsidRPr="00D722BA" w:rsidRDefault="002A4FE3" w:rsidP="0034002F">
      <w:pPr>
        <w:rPr>
          <w:i/>
        </w:rPr>
      </w:pPr>
      <w:r w:rsidRPr="00D722BA">
        <w:rPr>
          <w:i/>
        </w:rPr>
        <w:t xml:space="preserve">WAC 480-90-178(6)(f) and WAC 480-100-178(6)(f):  </w:t>
      </w:r>
      <w:r w:rsidRPr="00D722BA">
        <w:t xml:space="preserve">PSE proposes to eliminate the phrase “an explanation of” from this section because it is unclear and ambiguous what should be included in an explanation of the availability payments arrangements beyond the payment arrangements themselves.  For clarity, PSE proposes this section to read </w:t>
      </w:r>
      <w:r w:rsidRPr="00D722BA">
        <w:rPr>
          <w:i/>
        </w:rPr>
        <w:t>“the availability of payment arrangements in accordance with WAC 480-09-138(1)</w:t>
      </w:r>
      <w:r w:rsidRPr="00D722BA">
        <w:rPr>
          <w:i/>
          <w:vertAlign w:val="superscript"/>
        </w:rPr>
        <w:t>2</w:t>
      </w:r>
      <w:r w:rsidRPr="00D722BA">
        <w:rPr>
          <w:i/>
        </w:rPr>
        <w:t xml:space="preserve">, Payment arrangements.”  </w:t>
      </w:r>
    </w:p>
    <w:p w:rsidR="000134E5" w:rsidRPr="00D722BA" w:rsidRDefault="000134E5" w:rsidP="0034002F">
      <w:r w:rsidRPr="00D722BA">
        <w:t xml:space="preserve">  </w:t>
      </w:r>
    </w:p>
    <w:p w:rsidR="00BF0994" w:rsidRDefault="00235ABE" w:rsidP="000C09CD">
      <w:pPr>
        <w:pStyle w:val="Default"/>
      </w:pPr>
      <w:r w:rsidRPr="00D722BA">
        <w:rPr>
          <w:i/>
        </w:rPr>
        <w:lastRenderedPageBreak/>
        <w:t>WAC 480-90-178(7</w:t>
      </w:r>
      <w:proofErr w:type="gramStart"/>
      <w:r w:rsidRPr="00D722BA">
        <w:rPr>
          <w:i/>
        </w:rPr>
        <w:t>)(</w:t>
      </w:r>
      <w:proofErr w:type="gramEnd"/>
      <w:r w:rsidRPr="00D722BA">
        <w:rPr>
          <w:i/>
        </w:rPr>
        <w:t xml:space="preserve">c) and WAC 480-100-178(7)(c):  </w:t>
      </w:r>
      <w:r w:rsidRPr="00D722BA">
        <w:t xml:space="preserve">PSE proposes to add a new subsection </w:t>
      </w:r>
      <w:r w:rsidR="005927F7" w:rsidRPr="00D722BA">
        <w:t xml:space="preserve">(c) </w:t>
      </w:r>
      <w:r w:rsidRPr="00D722BA">
        <w:t>that includes an exemption for non-residential meters</w:t>
      </w:r>
      <w:r w:rsidR="005927F7" w:rsidRPr="00D722BA">
        <w:t xml:space="preserve"> from the provisions of section 5(a).  The exemption is necessary </w:t>
      </w:r>
      <w:r w:rsidR="00DB3A07">
        <w:t xml:space="preserve">because utilities require flexibility to address the varying scenarios that occur with non-residential versus residential customer billing and metering.  The varying nature of the non-residential customer class makes it difficult for the utility to identify slowed or stopped meters.  For example, a business may operate seasonally, temporarily close, or not notify the utility of equipment or facility changes. </w:t>
      </w:r>
      <w:r w:rsidR="00BF0994">
        <w:t xml:space="preserve">Another rationale for exempting non-residential meters from these draft rules is the additional time and resources needed to address the unique and customized nature of larger meter sets.  This is particularly prevalent with larger, non-residential natural gas meters for industrial customers.  These customized meter sets require additional time to be designed, scheduled, etc. to ensure precise and accurate measurement.   </w:t>
      </w:r>
    </w:p>
    <w:p w:rsidR="00235ABE" w:rsidRPr="00D722BA" w:rsidRDefault="00235ABE" w:rsidP="0034002F"/>
    <w:p w:rsidR="00235ABE" w:rsidRPr="00D722BA" w:rsidRDefault="00235ABE" w:rsidP="0034002F"/>
    <w:p w:rsidR="006F6933" w:rsidRPr="00D722BA" w:rsidRDefault="006F6933" w:rsidP="006F6933">
      <w:pPr>
        <w:rPr>
          <w:b/>
        </w:rPr>
      </w:pPr>
      <w:r w:rsidRPr="00D722BA">
        <w:rPr>
          <w:b/>
        </w:rPr>
        <w:t xml:space="preserve">Responses to Questions posed by </w:t>
      </w:r>
      <w:r w:rsidR="00C77C7D">
        <w:rPr>
          <w:b/>
        </w:rPr>
        <w:t>Commission</w:t>
      </w:r>
      <w:r w:rsidRPr="00D722BA">
        <w:rPr>
          <w:b/>
        </w:rPr>
        <w:t xml:space="preserve"> staff  </w:t>
      </w:r>
    </w:p>
    <w:p w:rsidR="00315D66" w:rsidRPr="00D722BA" w:rsidRDefault="00315D66" w:rsidP="00315D66">
      <w:pPr>
        <w:pStyle w:val="Default"/>
      </w:pPr>
    </w:p>
    <w:p w:rsidR="00315D66" w:rsidRPr="00D722BA" w:rsidRDefault="00315D66" w:rsidP="00315D66">
      <w:pPr>
        <w:pStyle w:val="Default"/>
        <w:numPr>
          <w:ilvl w:val="0"/>
          <w:numId w:val="6"/>
        </w:numPr>
      </w:pPr>
      <w:r w:rsidRPr="00D722BA">
        <w:t xml:space="preserve">Please provide the three most recent years of data regarding the number of corrected bills issued for under-billed amounts due to meter failure or malfunctions, or unassigned energy usage meters that exceeded six months in duration. </w:t>
      </w:r>
    </w:p>
    <w:p w:rsidR="00315D66" w:rsidRPr="00D722BA" w:rsidRDefault="00315D66" w:rsidP="00315D66">
      <w:pPr>
        <w:pStyle w:val="Default"/>
        <w:ind w:left="360"/>
      </w:pPr>
    </w:p>
    <w:p w:rsidR="00315D66" w:rsidRPr="00D722BA" w:rsidRDefault="00315D66" w:rsidP="00315D66">
      <w:pPr>
        <w:pStyle w:val="Default"/>
        <w:rPr>
          <w:b/>
          <w:u w:val="single"/>
        </w:rPr>
      </w:pPr>
      <w:r w:rsidRPr="00D722BA">
        <w:rPr>
          <w:b/>
          <w:u w:val="single"/>
        </w:rPr>
        <w:t>PSE Response</w:t>
      </w:r>
    </w:p>
    <w:p w:rsidR="00B737D7" w:rsidRDefault="00D613D2" w:rsidP="003A6D6B">
      <w:pPr>
        <w:pStyle w:val="Default"/>
      </w:pPr>
      <w:r w:rsidRPr="00BF0994">
        <w:t>The following table summarizes the results of billing corrections for</w:t>
      </w:r>
      <w:r w:rsidR="003A6D6B">
        <w:t xml:space="preserve"> </w:t>
      </w:r>
      <w:r w:rsidRPr="00BF0994">
        <w:t>stopped meters.  T</w:t>
      </w:r>
      <w:r w:rsidR="00BD7429" w:rsidRPr="00BF0994">
        <w:t>he data represents PSE’s tracking of</w:t>
      </w:r>
      <w:r w:rsidR="003A6D6B">
        <w:t xml:space="preserve"> all</w:t>
      </w:r>
      <w:r w:rsidR="00BD7429" w:rsidRPr="00BF0994">
        <w:t xml:space="preserve"> stopped meters</w:t>
      </w:r>
      <w:r w:rsidR="00831659" w:rsidRPr="00BF0994">
        <w:t xml:space="preserve"> because PSE’s </w:t>
      </w:r>
      <w:r w:rsidRPr="00BF0994">
        <w:t xml:space="preserve">meter and billing correction </w:t>
      </w:r>
      <w:r w:rsidR="00831659" w:rsidRPr="00BF0994">
        <w:t>tracking system does not have specific fields to track “meter malfunction” or “meter failure</w:t>
      </w:r>
      <w:r w:rsidR="00BD7429" w:rsidRPr="00BF0994">
        <w:t>.</w:t>
      </w:r>
      <w:r w:rsidR="00831659" w:rsidRPr="00BF0994">
        <w:t>”</w:t>
      </w:r>
      <w:r w:rsidR="00BD7429" w:rsidRPr="00BF0994">
        <w:t xml:space="preserve">  For the purposes of this response, PSE interprets the Commission’s terms “meter failure” and “meter malfunction” as stopped meters.  If the Commission </w:t>
      </w:r>
      <w:r w:rsidR="00831659" w:rsidRPr="00BF0994">
        <w:t>has a different interpretation of these terms beyond stopped meter, PSE would be happy to work with the Commission to provide additional data</w:t>
      </w:r>
      <w:r w:rsidRPr="00BF0994">
        <w:t xml:space="preserve"> if readily available</w:t>
      </w:r>
      <w:r w:rsidR="00831659" w:rsidRPr="00BF0994">
        <w:t>.</w:t>
      </w:r>
    </w:p>
    <w:p w:rsidR="00B737D7" w:rsidRDefault="00B737D7" w:rsidP="0040432E">
      <w:pPr>
        <w:pStyle w:val="BodyText"/>
        <w:rPr>
          <w:rFonts w:eastAsiaTheme="minorHAnsi"/>
          <w:color w:val="000000"/>
        </w:rPr>
      </w:pPr>
      <w:r>
        <w:br w:type="page"/>
      </w:r>
    </w:p>
    <w:p w:rsidR="00BF0994" w:rsidRDefault="00BF0994" w:rsidP="003A6D6B">
      <w:pPr>
        <w:pStyle w:val="Default"/>
      </w:pPr>
    </w:p>
    <w:p w:rsidR="00BF0994" w:rsidRPr="00D722BA" w:rsidRDefault="00BF0994" w:rsidP="00E97661">
      <w:pPr>
        <w:pStyle w:val="Default"/>
      </w:pPr>
    </w:p>
    <w:tbl>
      <w:tblPr>
        <w:tblW w:w="9231" w:type="dxa"/>
        <w:tblInd w:w="93" w:type="dxa"/>
        <w:tblLook w:val="04A0" w:firstRow="1" w:lastRow="0" w:firstColumn="1" w:lastColumn="0" w:noHBand="0" w:noVBand="1"/>
      </w:tblPr>
      <w:tblGrid>
        <w:gridCol w:w="890"/>
        <w:gridCol w:w="1520"/>
        <w:gridCol w:w="1427"/>
        <w:gridCol w:w="1520"/>
        <w:gridCol w:w="1680"/>
        <w:gridCol w:w="2194"/>
      </w:tblGrid>
      <w:tr w:rsidR="00380E62" w:rsidRPr="00380E62" w:rsidTr="00C33EAF">
        <w:trPr>
          <w:trHeight w:val="379"/>
        </w:trPr>
        <w:tc>
          <w:tcPr>
            <w:tcW w:w="8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0E62" w:rsidRPr="00380E62" w:rsidRDefault="00380E62" w:rsidP="00380E62">
            <w:pPr>
              <w:jc w:val="center"/>
              <w:rPr>
                <w:color w:val="000000"/>
              </w:rPr>
            </w:pPr>
            <w:r w:rsidRPr="00380E62">
              <w:rPr>
                <w:color w:val="000000"/>
              </w:rPr>
              <w:t>Year</w:t>
            </w:r>
          </w:p>
        </w:tc>
        <w:tc>
          <w:tcPr>
            <w:tcW w:w="2946" w:type="dxa"/>
            <w:gridSpan w:val="2"/>
            <w:tcBorders>
              <w:top w:val="single" w:sz="8" w:space="0" w:color="auto"/>
              <w:left w:val="nil"/>
              <w:bottom w:val="single" w:sz="8" w:space="0" w:color="auto"/>
              <w:right w:val="single" w:sz="8" w:space="0" w:color="000000"/>
            </w:tcBorders>
            <w:shd w:val="clear" w:color="auto" w:fill="auto"/>
            <w:vAlign w:val="center"/>
            <w:hideMark/>
          </w:tcPr>
          <w:p w:rsidR="00380E62" w:rsidRPr="00380E62" w:rsidRDefault="00380E62" w:rsidP="00380E62">
            <w:pPr>
              <w:jc w:val="center"/>
              <w:rPr>
                <w:color w:val="000000"/>
              </w:rPr>
            </w:pPr>
            <w:r w:rsidRPr="00380E62">
              <w:rPr>
                <w:color w:val="000000"/>
              </w:rPr>
              <w:t>Residential</w:t>
            </w:r>
          </w:p>
        </w:tc>
        <w:tc>
          <w:tcPr>
            <w:tcW w:w="3200" w:type="dxa"/>
            <w:gridSpan w:val="2"/>
            <w:tcBorders>
              <w:top w:val="single" w:sz="8" w:space="0" w:color="auto"/>
              <w:left w:val="nil"/>
              <w:bottom w:val="single" w:sz="8" w:space="0" w:color="auto"/>
              <w:right w:val="single" w:sz="8" w:space="0" w:color="000000"/>
            </w:tcBorders>
            <w:shd w:val="clear" w:color="auto" w:fill="auto"/>
            <w:vAlign w:val="center"/>
            <w:hideMark/>
          </w:tcPr>
          <w:p w:rsidR="00380E62" w:rsidRPr="00380E62" w:rsidRDefault="00380E62" w:rsidP="00380E62">
            <w:pPr>
              <w:jc w:val="center"/>
              <w:rPr>
                <w:color w:val="000000"/>
              </w:rPr>
            </w:pPr>
            <w:r w:rsidRPr="00380E62">
              <w:rPr>
                <w:color w:val="000000"/>
              </w:rPr>
              <w:t>Non Residential</w:t>
            </w:r>
          </w:p>
        </w:tc>
        <w:tc>
          <w:tcPr>
            <w:tcW w:w="2194" w:type="dxa"/>
            <w:tcBorders>
              <w:top w:val="single" w:sz="8" w:space="0" w:color="auto"/>
              <w:left w:val="nil"/>
              <w:bottom w:val="single" w:sz="8" w:space="0" w:color="auto"/>
              <w:right w:val="single" w:sz="8" w:space="0" w:color="auto"/>
            </w:tcBorders>
            <w:shd w:val="clear" w:color="auto" w:fill="auto"/>
            <w:vAlign w:val="center"/>
            <w:hideMark/>
          </w:tcPr>
          <w:p w:rsidR="00380E62" w:rsidRPr="00380E62" w:rsidRDefault="00380E62" w:rsidP="00380E62">
            <w:pPr>
              <w:jc w:val="center"/>
              <w:rPr>
                <w:color w:val="000000"/>
              </w:rPr>
            </w:pPr>
            <w:r w:rsidRPr="00380E62">
              <w:rPr>
                <w:color w:val="000000"/>
              </w:rPr>
              <w:t>Total Revenue</w:t>
            </w:r>
          </w:p>
        </w:tc>
      </w:tr>
      <w:tr w:rsidR="00380E62" w:rsidRPr="00380E62" w:rsidTr="00C33EAF">
        <w:trPr>
          <w:trHeight w:val="3350"/>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 </w:t>
            </w:r>
          </w:p>
        </w:tc>
        <w:tc>
          <w:tcPr>
            <w:tcW w:w="1520"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Number of accounts issued corrected bills exceeding six months</w:t>
            </w:r>
          </w:p>
        </w:tc>
        <w:tc>
          <w:tcPr>
            <w:tcW w:w="1427"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Total amount billed in excess of six months</w:t>
            </w:r>
          </w:p>
        </w:tc>
        <w:tc>
          <w:tcPr>
            <w:tcW w:w="1520"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Number of accounts issued  corrected bills exceeding six months</w:t>
            </w:r>
          </w:p>
        </w:tc>
        <w:tc>
          <w:tcPr>
            <w:tcW w:w="1680"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Total amount billed in excess of six months</w:t>
            </w:r>
          </w:p>
        </w:tc>
        <w:tc>
          <w:tcPr>
            <w:tcW w:w="2194"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Company’s total revenue</w:t>
            </w:r>
          </w:p>
        </w:tc>
      </w:tr>
      <w:tr w:rsidR="00D21668" w:rsidRPr="00380E62" w:rsidTr="00C33EAF">
        <w:trPr>
          <w:trHeight w:val="379"/>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D613D2" w:rsidRPr="00380E62" w:rsidRDefault="00D613D2" w:rsidP="00380E62">
            <w:pPr>
              <w:jc w:val="right"/>
              <w:rPr>
                <w:color w:val="000000"/>
              </w:rPr>
            </w:pPr>
            <w:r w:rsidRPr="00380E62">
              <w:rPr>
                <w:color w:val="000000"/>
              </w:rPr>
              <w:t>2012</w:t>
            </w:r>
          </w:p>
        </w:tc>
        <w:tc>
          <w:tcPr>
            <w:tcW w:w="1520"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57</w:t>
            </w:r>
            <w:r w:rsidR="00D21668">
              <w:rPr>
                <w:color w:val="000000"/>
              </w:rPr>
              <w:t>2</w:t>
            </w:r>
          </w:p>
        </w:tc>
        <w:tc>
          <w:tcPr>
            <w:tcW w:w="1427"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$473,216</w:t>
            </w:r>
          </w:p>
        </w:tc>
        <w:tc>
          <w:tcPr>
            <w:tcW w:w="1520"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110</w:t>
            </w:r>
          </w:p>
        </w:tc>
        <w:tc>
          <w:tcPr>
            <w:tcW w:w="1680"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$517,811</w:t>
            </w:r>
          </w:p>
        </w:tc>
        <w:tc>
          <w:tcPr>
            <w:tcW w:w="2194"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$3,248,843,000</w:t>
            </w:r>
          </w:p>
        </w:tc>
      </w:tr>
      <w:tr w:rsidR="00D21668" w:rsidRPr="00380E62" w:rsidTr="00C33EAF">
        <w:trPr>
          <w:trHeight w:val="379"/>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D613D2" w:rsidRPr="00380E62" w:rsidRDefault="00D613D2" w:rsidP="00380E62">
            <w:pPr>
              <w:jc w:val="right"/>
              <w:rPr>
                <w:color w:val="000000"/>
              </w:rPr>
            </w:pPr>
            <w:r w:rsidRPr="00380E62">
              <w:rPr>
                <w:color w:val="000000"/>
              </w:rPr>
              <w:t>2013</w:t>
            </w:r>
          </w:p>
        </w:tc>
        <w:tc>
          <w:tcPr>
            <w:tcW w:w="1520"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433</w:t>
            </w:r>
          </w:p>
        </w:tc>
        <w:tc>
          <w:tcPr>
            <w:tcW w:w="1427"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$323,100</w:t>
            </w:r>
          </w:p>
        </w:tc>
        <w:tc>
          <w:tcPr>
            <w:tcW w:w="1520"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69</w:t>
            </w:r>
          </w:p>
        </w:tc>
        <w:tc>
          <w:tcPr>
            <w:tcW w:w="1680"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$278,368</w:t>
            </w:r>
          </w:p>
        </w:tc>
        <w:tc>
          <w:tcPr>
            <w:tcW w:w="2194"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$3,187,335,000</w:t>
            </w:r>
          </w:p>
        </w:tc>
      </w:tr>
      <w:tr w:rsidR="00D21668" w:rsidRPr="00380E62" w:rsidTr="00C33EAF">
        <w:trPr>
          <w:trHeight w:val="379"/>
        </w:trPr>
        <w:tc>
          <w:tcPr>
            <w:tcW w:w="890" w:type="dxa"/>
            <w:tcBorders>
              <w:top w:val="nil"/>
              <w:left w:val="single" w:sz="8" w:space="0" w:color="auto"/>
              <w:bottom w:val="single" w:sz="8" w:space="0" w:color="auto"/>
              <w:right w:val="single" w:sz="8" w:space="0" w:color="auto"/>
            </w:tcBorders>
            <w:shd w:val="clear" w:color="auto" w:fill="auto"/>
            <w:vAlign w:val="center"/>
            <w:hideMark/>
          </w:tcPr>
          <w:p w:rsidR="00D613D2" w:rsidRPr="00380E62" w:rsidRDefault="00D613D2" w:rsidP="00380E62">
            <w:pPr>
              <w:jc w:val="right"/>
              <w:rPr>
                <w:color w:val="000000"/>
              </w:rPr>
            </w:pPr>
            <w:r w:rsidRPr="00380E62">
              <w:rPr>
                <w:color w:val="000000"/>
              </w:rPr>
              <w:t>2014</w:t>
            </w:r>
          </w:p>
        </w:tc>
        <w:tc>
          <w:tcPr>
            <w:tcW w:w="1520"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536</w:t>
            </w:r>
          </w:p>
        </w:tc>
        <w:tc>
          <w:tcPr>
            <w:tcW w:w="1427"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$424,585</w:t>
            </w:r>
          </w:p>
        </w:tc>
        <w:tc>
          <w:tcPr>
            <w:tcW w:w="1520"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88</w:t>
            </w:r>
          </w:p>
        </w:tc>
        <w:tc>
          <w:tcPr>
            <w:tcW w:w="1680"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$606,874</w:t>
            </w:r>
          </w:p>
        </w:tc>
        <w:tc>
          <w:tcPr>
            <w:tcW w:w="2194" w:type="dxa"/>
            <w:tcBorders>
              <w:top w:val="nil"/>
              <w:left w:val="nil"/>
              <w:bottom w:val="single" w:sz="8" w:space="0" w:color="auto"/>
              <w:right w:val="single" w:sz="8" w:space="0" w:color="auto"/>
            </w:tcBorders>
            <w:shd w:val="clear" w:color="auto" w:fill="auto"/>
            <w:vAlign w:val="center"/>
          </w:tcPr>
          <w:p w:rsidR="00D613D2" w:rsidRPr="00380E62" w:rsidRDefault="00D613D2" w:rsidP="00380E62">
            <w:pPr>
              <w:jc w:val="right"/>
              <w:rPr>
                <w:color w:val="000000"/>
              </w:rPr>
            </w:pPr>
            <w:r>
              <w:rPr>
                <w:color w:val="000000"/>
              </w:rPr>
              <w:t>$3,116,123,000</w:t>
            </w:r>
          </w:p>
        </w:tc>
      </w:tr>
    </w:tbl>
    <w:p w:rsidR="00E97661" w:rsidRPr="00D722BA" w:rsidRDefault="00E97661" w:rsidP="00E97661">
      <w:pPr>
        <w:pStyle w:val="Default"/>
      </w:pPr>
    </w:p>
    <w:p w:rsidR="00E97661" w:rsidRPr="00D722BA" w:rsidRDefault="00E97661" w:rsidP="00E97661">
      <w:pPr>
        <w:pStyle w:val="Default"/>
      </w:pPr>
    </w:p>
    <w:p w:rsidR="00315D66" w:rsidRPr="00D722BA" w:rsidRDefault="00315D66" w:rsidP="00315D66">
      <w:pPr>
        <w:pStyle w:val="Default"/>
        <w:numPr>
          <w:ilvl w:val="0"/>
          <w:numId w:val="6"/>
        </w:numPr>
      </w:pPr>
      <w:r w:rsidRPr="00D722BA">
        <w:t xml:space="preserve">Please provide the three most recent years of data regarding the number of corrected bills issued for under-billed amounts due to all other billing errors (excluding meter tampering, fraud and estimated bills.) Examples include: corrected bills for incorrect prorated bills: mislabeled meter bases; incorrectly installed meters; incorrect billing rate schedules; and incorrect billing multipliers </w:t>
      </w:r>
    </w:p>
    <w:p w:rsidR="00315D66" w:rsidRPr="00D722BA" w:rsidRDefault="00315D66" w:rsidP="00315D66">
      <w:pPr>
        <w:pStyle w:val="Default"/>
        <w:ind w:left="360"/>
        <w:rPr>
          <w:b/>
          <w:u w:val="single"/>
        </w:rPr>
      </w:pPr>
    </w:p>
    <w:p w:rsidR="00315D66" w:rsidRPr="00D722BA" w:rsidRDefault="00315D66" w:rsidP="00315D66">
      <w:pPr>
        <w:pStyle w:val="Default"/>
        <w:rPr>
          <w:b/>
          <w:u w:val="single"/>
        </w:rPr>
      </w:pPr>
      <w:r w:rsidRPr="00D722BA">
        <w:rPr>
          <w:b/>
          <w:u w:val="single"/>
        </w:rPr>
        <w:t>PSE Response</w:t>
      </w:r>
    </w:p>
    <w:p w:rsidR="000E7AD9" w:rsidRPr="00D722BA" w:rsidRDefault="000E7AD9" w:rsidP="00E97661">
      <w:pPr>
        <w:pStyle w:val="Default"/>
      </w:pPr>
      <w:r>
        <w:t>PSE</w:t>
      </w:r>
      <w:r w:rsidR="00B3141A">
        <w:t>’s</w:t>
      </w:r>
      <w:r>
        <w:t xml:space="preserve"> </w:t>
      </w:r>
      <w:r w:rsidR="00D613D2" w:rsidRPr="00D21668">
        <w:t xml:space="preserve">meter and billing correction </w:t>
      </w:r>
      <w:r w:rsidR="00B3141A" w:rsidRPr="00D21668">
        <w:t>tracki</w:t>
      </w:r>
      <w:r w:rsidR="00B3141A">
        <w:t xml:space="preserve">ng system </w:t>
      </w:r>
      <w:r w:rsidR="00D21668">
        <w:t xml:space="preserve">specifically </w:t>
      </w:r>
      <w:r w:rsidR="00B5315D">
        <w:t xml:space="preserve">tracks </w:t>
      </w:r>
      <w:r w:rsidR="000C59D7">
        <w:t xml:space="preserve">billing corrections </w:t>
      </w:r>
      <w:r w:rsidR="00B5315D">
        <w:t>related to stopped meter and UEU problem</w:t>
      </w:r>
      <w:r w:rsidR="000C59D7">
        <w:t>s</w:t>
      </w:r>
      <w:r w:rsidR="00D21668">
        <w:t>.  The system</w:t>
      </w:r>
      <w:r w:rsidR="00B5315D">
        <w:t xml:space="preserve"> </w:t>
      </w:r>
      <w:r w:rsidR="00B3141A">
        <w:t>does not include an “other</w:t>
      </w:r>
      <w:r w:rsidR="00B5315D">
        <w:t xml:space="preserve"> billing errors</w:t>
      </w:r>
      <w:r w:rsidR="00B3141A">
        <w:t>” category</w:t>
      </w:r>
      <w:r w:rsidR="007C1598">
        <w:t>.</w:t>
      </w:r>
    </w:p>
    <w:p w:rsidR="00D63E0D" w:rsidRDefault="00D63E0D">
      <w:pPr>
        <w:spacing w:after="200" w:line="276" w:lineRule="auto"/>
        <w:rPr>
          <w:rFonts w:eastAsiaTheme="minorHAnsi"/>
          <w:color w:val="000000"/>
        </w:rPr>
      </w:pPr>
    </w:p>
    <w:p w:rsidR="00315D66" w:rsidRPr="00D722BA" w:rsidRDefault="00315D66" w:rsidP="00315D66">
      <w:pPr>
        <w:pStyle w:val="Default"/>
        <w:numPr>
          <w:ilvl w:val="0"/>
          <w:numId w:val="6"/>
        </w:numPr>
      </w:pPr>
      <w:r w:rsidRPr="00D722BA">
        <w:t xml:space="preserve">The rationale for requesting the exclusion of non-residential customers from the six month billing correction limitation is unclear. </w:t>
      </w:r>
    </w:p>
    <w:p w:rsidR="00315D66" w:rsidRPr="00D722BA" w:rsidRDefault="00315D66" w:rsidP="00315D66">
      <w:pPr>
        <w:pStyle w:val="Default"/>
        <w:spacing w:after="56"/>
        <w:ind w:left="1440"/>
      </w:pPr>
      <w:r w:rsidRPr="00D722BA">
        <w:t xml:space="preserve">a. Please provide additional rationale and examples of why it is important to exclude non-residential customers. </w:t>
      </w:r>
    </w:p>
    <w:p w:rsidR="00315D66" w:rsidRPr="00D722BA" w:rsidRDefault="00315D66" w:rsidP="00315D66">
      <w:pPr>
        <w:pStyle w:val="Default"/>
        <w:spacing w:after="56"/>
        <w:ind w:left="1440"/>
      </w:pPr>
      <w:r w:rsidRPr="00D722BA">
        <w:t xml:space="preserve">b. Please provide an explanation of the terms “small business customer,” “commercial customer,” “large commercial customer,” and “industrial customer.” </w:t>
      </w:r>
    </w:p>
    <w:p w:rsidR="00315D66" w:rsidRPr="00D722BA" w:rsidRDefault="00315D66" w:rsidP="00315D66">
      <w:pPr>
        <w:pStyle w:val="Default"/>
        <w:ind w:left="1440"/>
      </w:pPr>
      <w:r w:rsidRPr="00D722BA">
        <w:t xml:space="preserve">c. Please provide the following additional data regarding seasonal commercial customers. Also, please provide an explanation of how seasonal commercial customers pose a problem for companies to identify and correct billing problems. </w:t>
      </w:r>
    </w:p>
    <w:p w:rsidR="00315D66" w:rsidRPr="00D722BA" w:rsidRDefault="00315D66" w:rsidP="00315D66">
      <w:pPr>
        <w:pStyle w:val="Default"/>
        <w:rPr>
          <w:b/>
          <w:u w:val="single"/>
        </w:rPr>
      </w:pPr>
      <w:r w:rsidRPr="00D722BA">
        <w:rPr>
          <w:b/>
          <w:u w:val="single"/>
        </w:rPr>
        <w:lastRenderedPageBreak/>
        <w:t>PSE Response</w:t>
      </w:r>
    </w:p>
    <w:p w:rsidR="007E2FAC" w:rsidRDefault="00D21668" w:rsidP="000C59D7">
      <w:pPr>
        <w:pStyle w:val="Default"/>
        <w:numPr>
          <w:ilvl w:val="0"/>
          <w:numId w:val="9"/>
        </w:numPr>
      </w:pPr>
      <w:r>
        <w:t xml:space="preserve">As described above and in previous PSE comments, it is extremely difficult to </w:t>
      </w:r>
      <w:r w:rsidR="000C59D7">
        <w:t xml:space="preserve">distinguish </w:t>
      </w:r>
      <w:r>
        <w:t xml:space="preserve">whether </w:t>
      </w:r>
      <w:r w:rsidR="000C59D7">
        <w:t>changes in usage pattern</w:t>
      </w:r>
      <w:r>
        <w:t>s</w:t>
      </w:r>
      <w:r w:rsidR="000C59D7">
        <w:t xml:space="preserve"> </w:t>
      </w:r>
      <w:r>
        <w:t xml:space="preserve">are </w:t>
      </w:r>
      <w:r w:rsidR="000C59D7">
        <w:t xml:space="preserve">due to </w:t>
      </w:r>
      <w:r>
        <w:t xml:space="preserve">a </w:t>
      </w:r>
      <w:r w:rsidR="000C59D7" w:rsidRPr="000C59D7">
        <w:t>business</w:t>
      </w:r>
      <w:r>
        <w:t>’s</w:t>
      </w:r>
      <w:r w:rsidR="000C59D7" w:rsidRPr="000C59D7">
        <w:t xml:space="preserve"> operat</w:t>
      </w:r>
      <w:r>
        <w:t>ional</w:t>
      </w:r>
      <w:r w:rsidR="000C59D7" w:rsidRPr="000C59D7">
        <w:t xml:space="preserve"> </w:t>
      </w:r>
      <w:r w:rsidR="000C59D7">
        <w:t>change</w:t>
      </w:r>
      <w:r>
        <w:t>s</w:t>
      </w:r>
      <w:r w:rsidR="000C59D7">
        <w:t xml:space="preserve"> or a </w:t>
      </w:r>
      <w:r w:rsidR="002706C2">
        <w:t>slowed</w:t>
      </w:r>
      <w:r>
        <w:t>/</w:t>
      </w:r>
      <w:r w:rsidR="002706C2">
        <w:t xml:space="preserve"> stopped meter</w:t>
      </w:r>
      <w:r>
        <w:t>.  In addition,</w:t>
      </w:r>
      <w:r w:rsidR="007E2FAC">
        <w:t xml:space="preserve"> non-residential customer</w:t>
      </w:r>
      <w:r w:rsidR="002706C2">
        <w:t xml:space="preserve"> billing adjustments represent a much higher </w:t>
      </w:r>
      <w:r w:rsidR="007C1598">
        <w:t>billing amount</w:t>
      </w:r>
      <w:r w:rsidR="002706C2">
        <w:t xml:space="preserve"> (on average) than residential.  The data in PSE’s response to question #4 below demonstrates this higher </w:t>
      </w:r>
      <w:r w:rsidR="007C1598">
        <w:t>amount</w:t>
      </w:r>
      <w:r w:rsidR="002706C2">
        <w:t xml:space="preserve">.   </w:t>
      </w:r>
      <w:r w:rsidR="007E2FAC">
        <w:t xml:space="preserve">In 2012, for example, the total average non-residential </w:t>
      </w:r>
      <w:r w:rsidR="007C1598">
        <w:t xml:space="preserve">amount </w:t>
      </w:r>
      <w:r w:rsidR="007E2FAC">
        <w:t xml:space="preserve">was $2,414 versus $248 for residential.  In 2013, the total average non-residential </w:t>
      </w:r>
      <w:r w:rsidR="007C1598">
        <w:t xml:space="preserve">amount </w:t>
      </w:r>
      <w:r w:rsidR="007E2FAC">
        <w:t xml:space="preserve">was $4,481 versus $179 for residential.  In 2014, the total average non-residential </w:t>
      </w:r>
      <w:r w:rsidR="007C1598">
        <w:t xml:space="preserve">amount </w:t>
      </w:r>
      <w:r w:rsidR="007E2FAC">
        <w:t>was $362 versus $56 f</w:t>
      </w:r>
      <w:bookmarkStart w:id="0" w:name="_GoBack"/>
      <w:bookmarkEnd w:id="0"/>
      <w:r w:rsidR="007E2FAC">
        <w:t xml:space="preserve">or residential.  Utilities need flexibility to address the </w:t>
      </w:r>
      <w:r>
        <w:t>cause</w:t>
      </w:r>
      <w:r w:rsidR="000C09CD">
        <w:t>s of usage pattern changes for</w:t>
      </w:r>
      <w:r w:rsidR="007E2FAC">
        <w:t xml:space="preserve"> non-residential customers and to ensure the larger average amounts </w:t>
      </w:r>
      <w:proofErr w:type="gramStart"/>
      <w:r w:rsidR="007E2FAC">
        <w:t>are</w:t>
      </w:r>
      <w:proofErr w:type="gramEnd"/>
      <w:r w:rsidR="007E2FAC">
        <w:t xml:space="preserve"> fully addressed.  </w:t>
      </w:r>
      <w:r w:rsidR="000C09CD">
        <w:t>Finally, a</w:t>
      </w:r>
      <w:r w:rsidR="007C1598">
        <w:t xml:space="preserve">nother rationale for excluding non-residential meters is the additional time and resources needed to address the unique </w:t>
      </w:r>
      <w:r w:rsidR="00D63DAE">
        <w:t>and customized nature of larger meter sets.  This is particularly prevalent with larger, non-residential natural gas meters</w:t>
      </w:r>
      <w:r w:rsidR="000F69D4">
        <w:t xml:space="preserve"> for industrial customers</w:t>
      </w:r>
      <w:r w:rsidR="00D63DAE">
        <w:t xml:space="preserve">.  These </w:t>
      </w:r>
      <w:r w:rsidR="00E12A68">
        <w:t>customized meter sets require additional</w:t>
      </w:r>
      <w:r w:rsidR="00D63DAE">
        <w:t xml:space="preserve"> time to be designed, scheduled, etc. to ensure precise and accurate measurement.   </w:t>
      </w:r>
    </w:p>
    <w:p w:rsidR="0057110E" w:rsidRDefault="0057110E" w:rsidP="0057110E">
      <w:pPr>
        <w:pStyle w:val="Default"/>
        <w:ind w:left="720"/>
      </w:pPr>
    </w:p>
    <w:p w:rsidR="00D41B2D" w:rsidRDefault="00B81ABC" w:rsidP="00D41B2D">
      <w:pPr>
        <w:pStyle w:val="Default"/>
        <w:numPr>
          <w:ilvl w:val="0"/>
          <w:numId w:val="9"/>
        </w:numPr>
      </w:pPr>
      <w:r>
        <w:t xml:space="preserve">The distinction between commercial and industrial customers is a matter of the end-use for which the energy supply is required.  While those terms are sometimes colloquially used to distinguish customers that use more or less energy, based on the more strict end-use interpretation, such generalizations are often accompanied </w:t>
      </w:r>
      <w:r w:rsidR="00356B9D">
        <w:t xml:space="preserve">by </w:t>
      </w:r>
      <w:r>
        <w:t xml:space="preserve">frequent and significant exceptions.  Whether a customer is “large” or “small” is equally subjective and largely dependent on the nature of the customers being served in a particular area.  This is illustrated by the wide variety of eligibility standards for </w:t>
      </w:r>
      <w:r w:rsidR="00356B9D">
        <w:t xml:space="preserve">different </w:t>
      </w:r>
      <w:r>
        <w:t xml:space="preserve">utilities’ non-residential rate schedules. </w:t>
      </w:r>
      <w:r w:rsidR="00356B9D">
        <w:t xml:space="preserve"> </w:t>
      </w:r>
      <w:r w:rsidR="00D41B2D">
        <w:t xml:space="preserve">See Attachment A for a simple list of PSE’s electric and natural gas rate schedules.  </w:t>
      </w:r>
      <w:r w:rsidR="00356B9D">
        <w:t xml:space="preserve">The eligibility standards for these </w:t>
      </w:r>
      <w:r w:rsidR="00D41B2D">
        <w:t xml:space="preserve">rate schedules </w:t>
      </w:r>
      <w:r w:rsidR="00356B9D">
        <w:t xml:space="preserve">can be found on PSE’s website </w:t>
      </w:r>
      <w:r w:rsidR="00D41B2D">
        <w:t xml:space="preserve">at </w:t>
      </w:r>
      <w:hyperlink r:id="rId13" w:history="1">
        <w:r w:rsidR="00D41B2D" w:rsidRPr="0000149F">
          <w:rPr>
            <w:rStyle w:val="Hyperlink"/>
          </w:rPr>
          <w:t>https://pse.com/aboutpse/Rates/Pages/default.aspx</w:t>
        </w:r>
      </w:hyperlink>
      <w:r w:rsidR="00D41B2D">
        <w:t>.</w:t>
      </w:r>
      <w:r w:rsidR="00356B9D">
        <w:t xml:space="preserve">  That being said, PSE recommend</w:t>
      </w:r>
      <w:r w:rsidR="00383B5B">
        <w:t>s</w:t>
      </w:r>
      <w:r w:rsidR="00356B9D">
        <w:t xml:space="preserve"> the above quoted terms </w:t>
      </w:r>
      <w:r w:rsidR="00383B5B">
        <w:t xml:space="preserve">not be used </w:t>
      </w:r>
      <w:r w:rsidR="00356B9D">
        <w:t xml:space="preserve">in rule language that </w:t>
      </w:r>
      <w:r w:rsidR="00552137">
        <w:t xml:space="preserve">will </w:t>
      </w:r>
      <w:r w:rsidR="00356B9D">
        <w:t>have broad applicability</w:t>
      </w:r>
      <w:r w:rsidR="00383B5B">
        <w:t xml:space="preserve"> across multiple utilities.  </w:t>
      </w:r>
      <w:r w:rsidR="00552137">
        <w:t xml:space="preserve">Instead, </w:t>
      </w:r>
      <w:r w:rsidR="00356B9D">
        <w:t xml:space="preserve">customer distinctions </w:t>
      </w:r>
      <w:r w:rsidR="00383B5B">
        <w:t xml:space="preserve">should be </w:t>
      </w:r>
      <w:r w:rsidR="00356B9D">
        <w:t>more clearly defined</w:t>
      </w:r>
      <w:r w:rsidR="00383B5B">
        <w:t xml:space="preserve">, preferably </w:t>
      </w:r>
      <w:r w:rsidR="00356B9D">
        <w:t>through the measurement of maximum energy demand and/or average consumption levels.</w:t>
      </w:r>
    </w:p>
    <w:p w:rsidR="00C33EAF" w:rsidRDefault="00C33EAF" w:rsidP="00C33EAF">
      <w:pPr>
        <w:pStyle w:val="Default"/>
        <w:ind w:left="720"/>
      </w:pPr>
    </w:p>
    <w:p w:rsidR="00C33EAF" w:rsidRDefault="00C33EAF" w:rsidP="00C33EAF">
      <w:pPr>
        <w:pStyle w:val="Default"/>
        <w:numPr>
          <w:ilvl w:val="0"/>
          <w:numId w:val="9"/>
        </w:numPr>
      </w:pPr>
    </w:p>
    <w:tbl>
      <w:tblPr>
        <w:tblW w:w="8763" w:type="dxa"/>
        <w:tblInd w:w="93" w:type="dxa"/>
        <w:tblLook w:val="04A0" w:firstRow="1" w:lastRow="0" w:firstColumn="1" w:lastColumn="0" w:noHBand="0" w:noVBand="1"/>
      </w:tblPr>
      <w:tblGrid>
        <w:gridCol w:w="1847"/>
        <w:gridCol w:w="2426"/>
        <w:gridCol w:w="2250"/>
        <w:gridCol w:w="2240"/>
      </w:tblGrid>
      <w:tr w:rsidR="00C33EAF" w:rsidRPr="009102EF" w:rsidTr="00C33EAF">
        <w:trPr>
          <w:trHeight w:val="346"/>
        </w:trPr>
        <w:tc>
          <w:tcPr>
            <w:tcW w:w="1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02EF" w:rsidRPr="009102EF" w:rsidRDefault="009102EF" w:rsidP="009102EF">
            <w:pPr>
              <w:jc w:val="center"/>
              <w:rPr>
                <w:color w:val="000000"/>
                <w:sz w:val="22"/>
                <w:szCs w:val="22"/>
              </w:rPr>
            </w:pPr>
            <w:r w:rsidRPr="009102EF">
              <w:rPr>
                <w:color w:val="000000"/>
                <w:sz w:val="22"/>
                <w:szCs w:val="22"/>
              </w:rPr>
              <w:t>Year</w:t>
            </w:r>
          </w:p>
        </w:tc>
        <w:tc>
          <w:tcPr>
            <w:tcW w:w="4676" w:type="dxa"/>
            <w:gridSpan w:val="2"/>
            <w:tcBorders>
              <w:top w:val="single" w:sz="8" w:space="0" w:color="auto"/>
              <w:left w:val="nil"/>
              <w:bottom w:val="single" w:sz="8" w:space="0" w:color="auto"/>
              <w:right w:val="single" w:sz="8" w:space="0" w:color="000000"/>
            </w:tcBorders>
            <w:shd w:val="clear" w:color="auto" w:fill="auto"/>
            <w:vAlign w:val="center"/>
            <w:hideMark/>
          </w:tcPr>
          <w:p w:rsidR="009102EF" w:rsidRPr="009102EF" w:rsidRDefault="009102EF" w:rsidP="009102EF">
            <w:pPr>
              <w:jc w:val="center"/>
              <w:rPr>
                <w:color w:val="000000"/>
                <w:sz w:val="22"/>
                <w:szCs w:val="22"/>
              </w:rPr>
            </w:pPr>
            <w:r w:rsidRPr="009102EF">
              <w:rPr>
                <w:color w:val="000000"/>
                <w:sz w:val="22"/>
                <w:szCs w:val="22"/>
              </w:rPr>
              <w:t>Seasonal Commercial Customers</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rsidR="009102EF" w:rsidRPr="009102EF" w:rsidRDefault="009102EF" w:rsidP="009102EF">
            <w:pPr>
              <w:jc w:val="center"/>
              <w:rPr>
                <w:color w:val="000000"/>
                <w:sz w:val="22"/>
                <w:szCs w:val="22"/>
              </w:rPr>
            </w:pPr>
            <w:r w:rsidRPr="009102EF">
              <w:rPr>
                <w:color w:val="000000"/>
                <w:sz w:val="22"/>
                <w:szCs w:val="22"/>
              </w:rPr>
              <w:t>Total Revenue</w:t>
            </w:r>
          </w:p>
        </w:tc>
      </w:tr>
      <w:tr w:rsidR="00C33EAF" w:rsidRPr="009102EF" w:rsidTr="00C33EAF">
        <w:trPr>
          <w:trHeight w:val="1041"/>
        </w:trPr>
        <w:tc>
          <w:tcPr>
            <w:tcW w:w="1847" w:type="dxa"/>
            <w:tcBorders>
              <w:top w:val="nil"/>
              <w:left w:val="single" w:sz="8" w:space="0" w:color="auto"/>
              <w:bottom w:val="single" w:sz="8" w:space="0" w:color="auto"/>
              <w:right w:val="single" w:sz="8" w:space="0" w:color="auto"/>
            </w:tcBorders>
            <w:shd w:val="clear" w:color="auto" w:fill="auto"/>
            <w:vAlign w:val="center"/>
            <w:hideMark/>
          </w:tcPr>
          <w:p w:rsidR="009102EF" w:rsidRPr="009102EF" w:rsidRDefault="009102EF" w:rsidP="009102EF">
            <w:pPr>
              <w:rPr>
                <w:color w:val="000000"/>
                <w:sz w:val="22"/>
                <w:szCs w:val="22"/>
              </w:rPr>
            </w:pPr>
            <w:r w:rsidRPr="009102EF">
              <w:rPr>
                <w:color w:val="000000"/>
                <w:sz w:val="22"/>
                <w:szCs w:val="22"/>
              </w:rPr>
              <w:t> </w:t>
            </w:r>
          </w:p>
        </w:tc>
        <w:tc>
          <w:tcPr>
            <w:tcW w:w="2426" w:type="dxa"/>
            <w:tcBorders>
              <w:top w:val="nil"/>
              <w:left w:val="nil"/>
              <w:bottom w:val="single" w:sz="8" w:space="0" w:color="auto"/>
              <w:right w:val="single" w:sz="8" w:space="0" w:color="auto"/>
            </w:tcBorders>
            <w:shd w:val="clear" w:color="auto" w:fill="auto"/>
            <w:vAlign w:val="center"/>
            <w:hideMark/>
          </w:tcPr>
          <w:p w:rsidR="009102EF" w:rsidRPr="009102EF" w:rsidRDefault="009102EF" w:rsidP="009102EF">
            <w:pPr>
              <w:rPr>
                <w:color w:val="000000"/>
                <w:sz w:val="22"/>
                <w:szCs w:val="22"/>
              </w:rPr>
            </w:pPr>
            <w:r w:rsidRPr="009102EF">
              <w:rPr>
                <w:color w:val="000000"/>
                <w:sz w:val="22"/>
                <w:szCs w:val="22"/>
              </w:rPr>
              <w:t>Number of accounts issued corrected bills exceeding six months</w:t>
            </w:r>
          </w:p>
        </w:tc>
        <w:tc>
          <w:tcPr>
            <w:tcW w:w="2250" w:type="dxa"/>
            <w:tcBorders>
              <w:top w:val="nil"/>
              <w:left w:val="nil"/>
              <w:bottom w:val="single" w:sz="8" w:space="0" w:color="auto"/>
              <w:right w:val="single" w:sz="8" w:space="0" w:color="auto"/>
            </w:tcBorders>
            <w:shd w:val="clear" w:color="auto" w:fill="auto"/>
            <w:vAlign w:val="center"/>
            <w:hideMark/>
          </w:tcPr>
          <w:p w:rsidR="009102EF" w:rsidRPr="009102EF" w:rsidRDefault="009102EF" w:rsidP="009102EF">
            <w:pPr>
              <w:rPr>
                <w:color w:val="000000"/>
                <w:sz w:val="22"/>
                <w:szCs w:val="22"/>
              </w:rPr>
            </w:pPr>
            <w:r w:rsidRPr="009102EF">
              <w:rPr>
                <w:color w:val="000000"/>
                <w:sz w:val="22"/>
                <w:szCs w:val="22"/>
              </w:rPr>
              <w:t>Total amount billed in excess of six months</w:t>
            </w:r>
          </w:p>
        </w:tc>
        <w:tc>
          <w:tcPr>
            <w:tcW w:w="2240" w:type="dxa"/>
            <w:tcBorders>
              <w:top w:val="nil"/>
              <w:left w:val="nil"/>
              <w:bottom w:val="single" w:sz="8" w:space="0" w:color="auto"/>
              <w:right w:val="single" w:sz="8" w:space="0" w:color="auto"/>
            </w:tcBorders>
            <w:shd w:val="clear" w:color="auto" w:fill="auto"/>
            <w:vAlign w:val="center"/>
            <w:hideMark/>
          </w:tcPr>
          <w:p w:rsidR="009102EF" w:rsidRPr="009102EF" w:rsidRDefault="009102EF" w:rsidP="009102EF">
            <w:pPr>
              <w:rPr>
                <w:color w:val="000000"/>
                <w:sz w:val="22"/>
                <w:szCs w:val="22"/>
              </w:rPr>
            </w:pPr>
            <w:r w:rsidRPr="009102EF">
              <w:rPr>
                <w:color w:val="000000"/>
                <w:sz w:val="22"/>
                <w:szCs w:val="22"/>
              </w:rPr>
              <w:t>Seasonal customer revenue</w:t>
            </w:r>
          </w:p>
        </w:tc>
      </w:tr>
      <w:tr w:rsidR="00C33EAF" w:rsidRPr="009102EF" w:rsidTr="00C33EAF">
        <w:trPr>
          <w:trHeight w:val="131"/>
        </w:trPr>
        <w:tc>
          <w:tcPr>
            <w:tcW w:w="1847" w:type="dxa"/>
            <w:tcBorders>
              <w:top w:val="nil"/>
              <w:left w:val="single" w:sz="8" w:space="0" w:color="auto"/>
              <w:bottom w:val="single" w:sz="8" w:space="0" w:color="auto"/>
              <w:right w:val="single" w:sz="8" w:space="0" w:color="auto"/>
            </w:tcBorders>
            <w:shd w:val="clear" w:color="auto" w:fill="auto"/>
            <w:vAlign w:val="center"/>
            <w:hideMark/>
          </w:tcPr>
          <w:p w:rsidR="00D613D2" w:rsidRPr="009102EF" w:rsidRDefault="00D613D2" w:rsidP="009102EF">
            <w:pPr>
              <w:jc w:val="center"/>
              <w:rPr>
                <w:color w:val="000000"/>
                <w:sz w:val="22"/>
                <w:szCs w:val="22"/>
              </w:rPr>
            </w:pPr>
            <w:r w:rsidRPr="009102EF">
              <w:rPr>
                <w:color w:val="000000"/>
                <w:sz w:val="22"/>
                <w:szCs w:val="22"/>
              </w:rPr>
              <w:t>2012</w:t>
            </w:r>
          </w:p>
        </w:tc>
        <w:tc>
          <w:tcPr>
            <w:tcW w:w="2426" w:type="dxa"/>
            <w:tcBorders>
              <w:top w:val="nil"/>
              <w:left w:val="nil"/>
              <w:bottom w:val="single" w:sz="8" w:space="0" w:color="auto"/>
              <w:right w:val="single" w:sz="8" w:space="0" w:color="auto"/>
            </w:tcBorders>
            <w:shd w:val="clear" w:color="auto" w:fill="auto"/>
            <w:vAlign w:val="center"/>
            <w:hideMark/>
          </w:tcPr>
          <w:p w:rsidR="00D613D2" w:rsidRPr="009102EF" w:rsidRDefault="00D613D2" w:rsidP="009102EF">
            <w:pPr>
              <w:jc w:val="right"/>
              <w:rPr>
                <w:color w:val="000000"/>
                <w:sz w:val="22"/>
                <w:szCs w:val="22"/>
              </w:rPr>
            </w:pPr>
            <w:r>
              <w:rPr>
                <w:color w:val="000000"/>
                <w:sz w:val="22"/>
                <w:szCs w:val="22"/>
              </w:rPr>
              <w:t>3</w:t>
            </w:r>
          </w:p>
        </w:tc>
        <w:tc>
          <w:tcPr>
            <w:tcW w:w="2250" w:type="dxa"/>
            <w:tcBorders>
              <w:top w:val="nil"/>
              <w:left w:val="nil"/>
              <w:bottom w:val="single" w:sz="8" w:space="0" w:color="auto"/>
              <w:right w:val="single" w:sz="8" w:space="0" w:color="auto"/>
            </w:tcBorders>
            <w:shd w:val="clear" w:color="auto" w:fill="auto"/>
            <w:vAlign w:val="center"/>
            <w:hideMark/>
          </w:tcPr>
          <w:p w:rsidR="00D613D2" w:rsidRPr="009102EF" w:rsidRDefault="00B737D7" w:rsidP="009102EF">
            <w:pPr>
              <w:jc w:val="right"/>
              <w:rPr>
                <w:color w:val="000000"/>
                <w:sz w:val="22"/>
                <w:szCs w:val="22"/>
              </w:rPr>
            </w:pPr>
            <w:r>
              <w:rPr>
                <w:color w:val="000000"/>
                <w:sz w:val="22"/>
                <w:szCs w:val="22"/>
              </w:rPr>
              <w:t>$</w:t>
            </w:r>
            <w:r w:rsidR="00D613D2">
              <w:rPr>
                <w:color w:val="000000"/>
                <w:sz w:val="22"/>
                <w:szCs w:val="22"/>
              </w:rPr>
              <w:t>13,630</w:t>
            </w:r>
          </w:p>
        </w:tc>
        <w:tc>
          <w:tcPr>
            <w:tcW w:w="2240" w:type="dxa"/>
            <w:tcBorders>
              <w:top w:val="nil"/>
              <w:left w:val="nil"/>
              <w:bottom w:val="single" w:sz="8" w:space="0" w:color="auto"/>
              <w:right w:val="single" w:sz="8" w:space="0" w:color="auto"/>
            </w:tcBorders>
            <w:shd w:val="clear" w:color="auto" w:fill="auto"/>
            <w:vAlign w:val="center"/>
            <w:hideMark/>
          </w:tcPr>
          <w:p w:rsidR="00D613D2" w:rsidRPr="009102EF" w:rsidRDefault="00D613D2" w:rsidP="009102EF">
            <w:pPr>
              <w:rPr>
                <w:color w:val="000000"/>
                <w:sz w:val="22"/>
                <w:szCs w:val="22"/>
              </w:rPr>
            </w:pPr>
            <w:r w:rsidRPr="009102EF">
              <w:rPr>
                <w:color w:val="000000"/>
                <w:sz w:val="22"/>
                <w:szCs w:val="22"/>
              </w:rPr>
              <w:t>n/a</w:t>
            </w:r>
          </w:p>
        </w:tc>
      </w:tr>
      <w:tr w:rsidR="00C33EAF" w:rsidRPr="009102EF" w:rsidTr="00C33EAF">
        <w:trPr>
          <w:trHeight w:val="131"/>
        </w:trPr>
        <w:tc>
          <w:tcPr>
            <w:tcW w:w="1847" w:type="dxa"/>
            <w:tcBorders>
              <w:top w:val="nil"/>
              <w:left w:val="single" w:sz="8" w:space="0" w:color="auto"/>
              <w:bottom w:val="single" w:sz="8" w:space="0" w:color="auto"/>
              <w:right w:val="single" w:sz="8" w:space="0" w:color="auto"/>
            </w:tcBorders>
            <w:shd w:val="clear" w:color="auto" w:fill="auto"/>
            <w:vAlign w:val="center"/>
            <w:hideMark/>
          </w:tcPr>
          <w:p w:rsidR="00D613D2" w:rsidRPr="009102EF" w:rsidRDefault="00D613D2" w:rsidP="009102EF">
            <w:pPr>
              <w:jc w:val="center"/>
              <w:rPr>
                <w:color w:val="000000"/>
                <w:sz w:val="22"/>
                <w:szCs w:val="22"/>
              </w:rPr>
            </w:pPr>
            <w:r w:rsidRPr="009102EF">
              <w:rPr>
                <w:color w:val="000000"/>
                <w:sz w:val="22"/>
                <w:szCs w:val="22"/>
              </w:rPr>
              <w:t>2013</w:t>
            </w:r>
          </w:p>
        </w:tc>
        <w:tc>
          <w:tcPr>
            <w:tcW w:w="2426" w:type="dxa"/>
            <w:tcBorders>
              <w:top w:val="nil"/>
              <w:left w:val="nil"/>
              <w:bottom w:val="single" w:sz="8" w:space="0" w:color="auto"/>
              <w:right w:val="single" w:sz="8" w:space="0" w:color="auto"/>
            </w:tcBorders>
            <w:shd w:val="clear" w:color="auto" w:fill="auto"/>
            <w:vAlign w:val="center"/>
            <w:hideMark/>
          </w:tcPr>
          <w:p w:rsidR="00D613D2" w:rsidRPr="009102EF" w:rsidRDefault="00D613D2" w:rsidP="009102EF">
            <w:pPr>
              <w:jc w:val="right"/>
              <w:rPr>
                <w:color w:val="000000"/>
                <w:sz w:val="22"/>
                <w:szCs w:val="22"/>
              </w:rPr>
            </w:pPr>
            <w:r>
              <w:rPr>
                <w:color w:val="000000"/>
                <w:sz w:val="22"/>
                <w:szCs w:val="22"/>
              </w:rPr>
              <w:t>4</w:t>
            </w:r>
          </w:p>
        </w:tc>
        <w:tc>
          <w:tcPr>
            <w:tcW w:w="2250" w:type="dxa"/>
            <w:tcBorders>
              <w:top w:val="nil"/>
              <w:left w:val="nil"/>
              <w:bottom w:val="single" w:sz="8" w:space="0" w:color="auto"/>
              <w:right w:val="single" w:sz="8" w:space="0" w:color="auto"/>
            </w:tcBorders>
            <w:shd w:val="clear" w:color="auto" w:fill="auto"/>
            <w:vAlign w:val="center"/>
            <w:hideMark/>
          </w:tcPr>
          <w:p w:rsidR="00D613D2" w:rsidRPr="009102EF" w:rsidRDefault="00B737D7" w:rsidP="009102EF">
            <w:pPr>
              <w:jc w:val="right"/>
              <w:rPr>
                <w:color w:val="000000"/>
                <w:sz w:val="22"/>
                <w:szCs w:val="22"/>
              </w:rPr>
            </w:pPr>
            <w:r>
              <w:rPr>
                <w:color w:val="000000"/>
                <w:sz w:val="22"/>
                <w:szCs w:val="22"/>
              </w:rPr>
              <w:t>$</w:t>
            </w:r>
            <w:r w:rsidR="00D613D2">
              <w:rPr>
                <w:color w:val="000000"/>
                <w:sz w:val="22"/>
                <w:szCs w:val="22"/>
              </w:rPr>
              <w:t>16,592</w:t>
            </w:r>
          </w:p>
        </w:tc>
        <w:tc>
          <w:tcPr>
            <w:tcW w:w="2240" w:type="dxa"/>
            <w:tcBorders>
              <w:top w:val="nil"/>
              <w:left w:val="nil"/>
              <w:bottom w:val="single" w:sz="8" w:space="0" w:color="auto"/>
              <w:right w:val="single" w:sz="8" w:space="0" w:color="auto"/>
            </w:tcBorders>
            <w:shd w:val="clear" w:color="auto" w:fill="auto"/>
            <w:vAlign w:val="center"/>
            <w:hideMark/>
          </w:tcPr>
          <w:p w:rsidR="00D613D2" w:rsidRPr="009102EF" w:rsidRDefault="00D613D2" w:rsidP="009102EF">
            <w:pPr>
              <w:rPr>
                <w:color w:val="000000"/>
                <w:sz w:val="22"/>
                <w:szCs w:val="22"/>
              </w:rPr>
            </w:pPr>
            <w:r w:rsidRPr="009102EF">
              <w:rPr>
                <w:color w:val="000000"/>
                <w:sz w:val="22"/>
                <w:szCs w:val="22"/>
              </w:rPr>
              <w:t>n/a</w:t>
            </w:r>
          </w:p>
        </w:tc>
      </w:tr>
      <w:tr w:rsidR="00C33EAF" w:rsidRPr="009102EF" w:rsidTr="00C33EAF">
        <w:trPr>
          <w:trHeight w:val="131"/>
        </w:trPr>
        <w:tc>
          <w:tcPr>
            <w:tcW w:w="1847" w:type="dxa"/>
            <w:tcBorders>
              <w:top w:val="nil"/>
              <w:left w:val="single" w:sz="8" w:space="0" w:color="auto"/>
              <w:bottom w:val="single" w:sz="8" w:space="0" w:color="auto"/>
              <w:right w:val="single" w:sz="8" w:space="0" w:color="auto"/>
            </w:tcBorders>
            <w:shd w:val="clear" w:color="auto" w:fill="auto"/>
            <w:vAlign w:val="center"/>
            <w:hideMark/>
          </w:tcPr>
          <w:p w:rsidR="00D613D2" w:rsidRPr="009102EF" w:rsidRDefault="00D613D2" w:rsidP="009102EF">
            <w:pPr>
              <w:jc w:val="center"/>
              <w:rPr>
                <w:color w:val="000000"/>
                <w:sz w:val="22"/>
                <w:szCs w:val="22"/>
              </w:rPr>
            </w:pPr>
            <w:r w:rsidRPr="009102EF">
              <w:rPr>
                <w:color w:val="000000"/>
                <w:sz w:val="22"/>
                <w:szCs w:val="22"/>
              </w:rPr>
              <w:t>2014</w:t>
            </w:r>
          </w:p>
        </w:tc>
        <w:tc>
          <w:tcPr>
            <w:tcW w:w="2426" w:type="dxa"/>
            <w:tcBorders>
              <w:top w:val="nil"/>
              <w:left w:val="nil"/>
              <w:bottom w:val="single" w:sz="8" w:space="0" w:color="auto"/>
              <w:right w:val="single" w:sz="8" w:space="0" w:color="auto"/>
            </w:tcBorders>
            <w:shd w:val="clear" w:color="auto" w:fill="auto"/>
            <w:vAlign w:val="center"/>
            <w:hideMark/>
          </w:tcPr>
          <w:p w:rsidR="00D613D2" w:rsidRPr="009102EF" w:rsidRDefault="00D613D2" w:rsidP="009102EF">
            <w:pPr>
              <w:jc w:val="right"/>
              <w:rPr>
                <w:color w:val="000000"/>
                <w:sz w:val="22"/>
                <w:szCs w:val="22"/>
              </w:rPr>
            </w:pPr>
            <w:r>
              <w:rPr>
                <w:color w:val="000000"/>
                <w:sz w:val="22"/>
                <w:szCs w:val="22"/>
              </w:rPr>
              <w:t>4</w:t>
            </w:r>
          </w:p>
        </w:tc>
        <w:tc>
          <w:tcPr>
            <w:tcW w:w="2250" w:type="dxa"/>
            <w:tcBorders>
              <w:top w:val="nil"/>
              <w:left w:val="nil"/>
              <w:bottom w:val="single" w:sz="8" w:space="0" w:color="auto"/>
              <w:right w:val="single" w:sz="8" w:space="0" w:color="auto"/>
            </w:tcBorders>
            <w:shd w:val="clear" w:color="auto" w:fill="auto"/>
            <w:vAlign w:val="center"/>
            <w:hideMark/>
          </w:tcPr>
          <w:p w:rsidR="00D613D2" w:rsidRPr="009102EF" w:rsidRDefault="00B737D7" w:rsidP="009102EF">
            <w:pPr>
              <w:jc w:val="right"/>
              <w:rPr>
                <w:color w:val="000000"/>
                <w:sz w:val="22"/>
                <w:szCs w:val="22"/>
              </w:rPr>
            </w:pPr>
            <w:r>
              <w:rPr>
                <w:color w:val="000000"/>
                <w:sz w:val="22"/>
                <w:szCs w:val="22"/>
              </w:rPr>
              <w:t>$</w:t>
            </w:r>
            <w:r w:rsidR="00D613D2">
              <w:rPr>
                <w:color w:val="000000"/>
                <w:sz w:val="22"/>
                <w:szCs w:val="22"/>
              </w:rPr>
              <w:t>18,318</w:t>
            </w:r>
          </w:p>
        </w:tc>
        <w:tc>
          <w:tcPr>
            <w:tcW w:w="2240" w:type="dxa"/>
            <w:tcBorders>
              <w:top w:val="nil"/>
              <w:left w:val="nil"/>
              <w:bottom w:val="single" w:sz="8" w:space="0" w:color="auto"/>
              <w:right w:val="single" w:sz="8" w:space="0" w:color="auto"/>
            </w:tcBorders>
            <w:shd w:val="clear" w:color="auto" w:fill="auto"/>
            <w:vAlign w:val="center"/>
            <w:hideMark/>
          </w:tcPr>
          <w:p w:rsidR="00D613D2" w:rsidRPr="009102EF" w:rsidRDefault="00D613D2" w:rsidP="009102EF">
            <w:pPr>
              <w:rPr>
                <w:color w:val="000000"/>
                <w:sz w:val="22"/>
                <w:szCs w:val="22"/>
              </w:rPr>
            </w:pPr>
            <w:r w:rsidRPr="009102EF">
              <w:rPr>
                <w:color w:val="000000"/>
                <w:sz w:val="22"/>
                <w:szCs w:val="22"/>
              </w:rPr>
              <w:t>n/a</w:t>
            </w:r>
          </w:p>
        </w:tc>
      </w:tr>
    </w:tbl>
    <w:p w:rsidR="00B5315D" w:rsidRDefault="00B5315D" w:rsidP="009102EF">
      <w:pPr>
        <w:pStyle w:val="Default"/>
      </w:pPr>
    </w:p>
    <w:p w:rsidR="00C33EAF" w:rsidRDefault="00C33EAF" w:rsidP="009102EF">
      <w:pPr>
        <w:pStyle w:val="Default"/>
      </w:pPr>
    </w:p>
    <w:p w:rsidR="009102EF" w:rsidRDefault="00B5315D" w:rsidP="009102EF">
      <w:pPr>
        <w:pStyle w:val="Default"/>
      </w:pPr>
      <w:r>
        <w:lastRenderedPageBreak/>
        <w:t>PSE tracks its revenue by tariff rate schedule and not by customer usage pattern</w:t>
      </w:r>
      <w:r w:rsidR="000C09CD">
        <w:t>, and therefore</w:t>
      </w:r>
      <w:r>
        <w:t xml:space="preserve"> no data </w:t>
      </w:r>
      <w:r w:rsidR="000C09CD">
        <w:t xml:space="preserve">exists </w:t>
      </w:r>
      <w:r>
        <w:t>for seasonal customer revenue.</w:t>
      </w:r>
      <w:r w:rsidR="00EA1397">
        <w:t xml:space="preserve"> </w:t>
      </w:r>
      <w:r w:rsidR="00C33EAF">
        <w:t xml:space="preserve"> </w:t>
      </w:r>
      <w:r w:rsidR="00EA1397">
        <w:t xml:space="preserve">As noted above, seasonal customers pose a problem for utilities to identify and correct billing issues because it is extremely difficult to distinguish whether changes in usage patterns are due to a </w:t>
      </w:r>
      <w:r w:rsidR="00EA1397" w:rsidRPr="000C59D7">
        <w:t>business</w:t>
      </w:r>
      <w:r w:rsidR="00EA1397">
        <w:t>’s</w:t>
      </w:r>
      <w:r w:rsidR="00EA1397" w:rsidRPr="000C59D7">
        <w:t xml:space="preserve"> operat</w:t>
      </w:r>
      <w:r w:rsidR="00EA1397">
        <w:t>ional</w:t>
      </w:r>
      <w:r w:rsidR="00EA1397" w:rsidRPr="000C59D7">
        <w:t xml:space="preserve"> </w:t>
      </w:r>
      <w:r w:rsidR="00EA1397">
        <w:t xml:space="preserve">changes or a slowed/ stopped meter.  While PSE has processes in place to address these issues, they require more time and flexibility than provided for in these draft rules. </w:t>
      </w:r>
    </w:p>
    <w:p w:rsidR="000C09CD" w:rsidRDefault="000C09CD" w:rsidP="009102EF">
      <w:pPr>
        <w:pStyle w:val="Default"/>
      </w:pPr>
    </w:p>
    <w:p w:rsidR="000C09CD" w:rsidRPr="009102EF" w:rsidRDefault="000C09CD" w:rsidP="009102EF">
      <w:pPr>
        <w:pStyle w:val="Default"/>
      </w:pPr>
    </w:p>
    <w:p w:rsidR="00315D66" w:rsidRDefault="00315D66" w:rsidP="00315D66">
      <w:pPr>
        <w:pStyle w:val="Default"/>
        <w:numPr>
          <w:ilvl w:val="0"/>
          <w:numId w:val="6"/>
        </w:numPr>
      </w:pPr>
      <w:r w:rsidRPr="00D722BA">
        <w:t>Please provide the most recent three years of data for corrected bills related to over-billing.</w:t>
      </w:r>
    </w:p>
    <w:p w:rsidR="006220E8" w:rsidRPr="00D722BA" w:rsidRDefault="006220E8" w:rsidP="00D34B27">
      <w:pPr>
        <w:pStyle w:val="Default"/>
        <w:ind w:left="720"/>
      </w:pPr>
    </w:p>
    <w:p w:rsidR="00315D66" w:rsidRDefault="00315D66" w:rsidP="00315D66">
      <w:pPr>
        <w:pStyle w:val="Default"/>
        <w:rPr>
          <w:b/>
          <w:u w:val="single"/>
        </w:rPr>
      </w:pPr>
      <w:r w:rsidRPr="00D722BA">
        <w:rPr>
          <w:b/>
          <w:u w:val="single"/>
        </w:rPr>
        <w:t>PSE Response</w:t>
      </w:r>
    </w:p>
    <w:tbl>
      <w:tblPr>
        <w:tblW w:w="8555" w:type="dxa"/>
        <w:tblInd w:w="93" w:type="dxa"/>
        <w:tblLook w:val="04A0" w:firstRow="1" w:lastRow="0" w:firstColumn="1" w:lastColumn="0" w:noHBand="0" w:noVBand="1"/>
      </w:tblPr>
      <w:tblGrid>
        <w:gridCol w:w="1160"/>
        <w:gridCol w:w="1949"/>
        <w:gridCol w:w="1547"/>
        <w:gridCol w:w="1949"/>
        <w:gridCol w:w="1950"/>
      </w:tblGrid>
      <w:tr w:rsidR="00380E62" w:rsidRPr="00380E62" w:rsidTr="00D34B27">
        <w:trPr>
          <w:trHeight w:val="303"/>
        </w:trPr>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0E62" w:rsidRPr="00380E62" w:rsidRDefault="00380E62" w:rsidP="00380E62">
            <w:pPr>
              <w:jc w:val="center"/>
              <w:rPr>
                <w:color w:val="000000"/>
              </w:rPr>
            </w:pPr>
            <w:r w:rsidRPr="00380E62">
              <w:rPr>
                <w:color w:val="000000"/>
              </w:rPr>
              <w:t>Year</w:t>
            </w:r>
          </w:p>
        </w:tc>
        <w:tc>
          <w:tcPr>
            <w:tcW w:w="3496" w:type="dxa"/>
            <w:gridSpan w:val="2"/>
            <w:tcBorders>
              <w:top w:val="single" w:sz="8" w:space="0" w:color="auto"/>
              <w:left w:val="nil"/>
              <w:bottom w:val="single" w:sz="8" w:space="0" w:color="auto"/>
              <w:right w:val="single" w:sz="8" w:space="0" w:color="000000"/>
            </w:tcBorders>
            <w:shd w:val="clear" w:color="auto" w:fill="auto"/>
            <w:vAlign w:val="center"/>
            <w:hideMark/>
          </w:tcPr>
          <w:p w:rsidR="00380E62" w:rsidRPr="00380E62" w:rsidRDefault="00380E62" w:rsidP="00380E62">
            <w:pPr>
              <w:jc w:val="center"/>
              <w:rPr>
                <w:color w:val="000000"/>
              </w:rPr>
            </w:pPr>
            <w:r w:rsidRPr="00380E62">
              <w:rPr>
                <w:color w:val="000000"/>
              </w:rPr>
              <w:t>Residential</w:t>
            </w:r>
          </w:p>
        </w:tc>
        <w:tc>
          <w:tcPr>
            <w:tcW w:w="3899" w:type="dxa"/>
            <w:gridSpan w:val="2"/>
            <w:tcBorders>
              <w:top w:val="single" w:sz="8" w:space="0" w:color="auto"/>
              <w:left w:val="nil"/>
              <w:bottom w:val="single" w:sz="8" w:space="0" w:color="auto"/>
              <w:right w:val="single" w:sz="8" w:space="0" w:color="000000"/>
            </w:tcBorders>
            <w:shd w:val="clear" w:color="auto" w:fill="auto"/>
            <w:vAlign w:val="center"/>
            <w:hideMark/>
          </w:tcPr>
          <w:p w:rsidR="00380E62" w:rsidRPr="00380E62" w:rsidRDefault="00380E62" w:rsidP="00380E62">
            <w:pPr>
              <w:jc w:val="center"/>
              <w:rPr>
                <w:color w:val="000000"/>
              </w:rPr>
            </w:pPr>
            <w:r w:rsidRPr="00380E62">
              <w:rPr>
                <w:color w:val="000000"/>
              </w:rPr>
              <w:t>Non Residential</w:t>
            </w:r>
          </w:p>
        </w:tc>
      </w:tr>
      <w:tr w:rsidR="00380E62" w:rsidRPr="00380E62" w:rsidTr="00C33EAF">
        <w:trPr>
          <w:trHeight w:val="2330"/>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 </w:t>
            </w:r>
          </w:p>
        </w:tc>
        <w:tc>
          <w:tcPr>
            <w:tcW w:w="1949"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Number of accounts issued refunds exceeding six months</w:t>
            </w:r>
          </w:p>
        </w:tc>
        <w:tc>
          <w:tcPr>
            <w:tcW w:w="1547"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Total amount of refunds  in excess of six months</w:t>
            </w:r>
          </w:p>
        </w:tc>
        <w:tc>
          <w:tcPr>
            <w:tcW w:w="1949"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Number of accounts issued refunds exceeding six months</w:t>
            </w:r>
          </w:p>
        </w:tc>
        <w:tc>
          <w:tcPr>
            <w:tcW w:w="1950"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rPr>
                <w:color w:val="000000"/>
              </w:rPr>
            </w:pPr>
            <w:r w:rsidRPr="00380E62">
              <w:rPr>
                <w:color w:val="000000"/>
              </w:rPr>
              <w:t>Total amount of refunds exceeding six months</w:t>
            </w:r>
          </w:p>
        </w:tc>
      </w:tr>
      <w:tr w:rsidR="00380E62" w:rsidRPr="00380E62" w:rsidTr="00C33EAF">
        <w:trPr>
          <w:trHeight w:val="303"/>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2012</w:t>
            </w:r>
          </w:p>
        </w:tc>
        <w:tc>
          <w:tcPr>
            <w:tcW w:w="1949"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13</w:t>
            </w:r>
          </w:p>
        </w:tc>
        <w:tc>
          <w:tcPr>
            <w:tcW w:w="1547"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-$3,226</w:t>
            </w:r>
          </w:p>
        </w:tc>
        <w:tc>
          <w:tcPr>
            <w:tcW w:w="1949"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3</w:t>
            </w:r>
          </w:p>
        </w:tc>
        <w:tc>
          <w:tcPr>
            <w:tcW w:w="1950"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-$7,242</w:t>
            </w:r>
          </w:p>
        </w:tc>
      </w:tr>
      <w:tr w:rsidR="00380E62" w:rsidRPr="00380E62" w:rsidTr="00C33EAF">
        <w:trPr>
          <w:trHeight w:val="303"/>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2013</w:t>
            </w:r>
          </w:p>
        </w:tc>
        <w:tc>
          <w:tcPr>
            <w:tcW w:w="1949"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30</w:t>
            </w:r>
          </w:p>
        </w:tc>
        <w:tc>
          <w:tcPr>
            <w:tcW w:w="1547"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-$5,363</w:t>
            </w:r>
          </w:p>
        </w:tc>
        <w:tc>
          <w:tcPr>
            <w:tcW w:w="1949"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1</w:t>
            </w:r>
          </w:p>
        </w:tc>
        <w:tc>
          <w:tcPr>
            <w:tcW w:w="1950"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-$4,481</w:t>
            </w:r>
          </w:p>
        </w:tc>
      </w:tr>
      <w:tr w:rsidR="00380E62" w:rsidRPr="00380E62" w:rsidTr="00C33EAF">
        <w:trPr>
          <w:trHeight w:val="303"/>
        </w:trPr>
        <w:tc>
          <w:tcPr>
            <w:tcW w:w="1160" w:type="dxa"/>
            <w:tcBorders>
              <w:top w:val="nil"/>
              <w:left w:val="single" w:sz="8" w:space="0" w:color="auto"/>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2014</w:t>
            </w:r>
          </w:p>
        </w:tc>
        <w:tc>
          <w:tcPr>
            <w:tcW w:w="1949"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33</w:t>
            </w:r>
          </w:p>
        </w:tc>
        <w:tc>
          <w:tcPr>
            <w:tcW w:w="1547"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-$1,861</w:t>
            </w:r>
          </w:p>
        </w:tc>
        <w:tc>
          <w:tcPr>
            <w:tcW w:w="1949"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13</w:t>
            </w:r>
          </w:p>
        </w:tc>
        <w:tc>
          <w:tcPr>
            <w:tcW w:w="1950" w:type="dxa"/>
            <w:tcBorders>
              <w:top w:val="nil"/>
              <w:left w:val="nil"/>
              <w:bottom w:val="single" w:sz="8" w:space="0" w:color="auto"/>
              <w:right w:val="single" w:sz="8" w:space="0" w:color="auto"/>
            </w:tcBorders>
            <w:shd w:val="clear" w:color="auto" w:fill="auto"/>
            <w:vAlign w:val="center"/>
            <w:hideMark/>
          </w:tcPr>
          <w:p w:rsidR="00380E62" w:rsidRPr="00380E62" w:rsidRDefault="00380E62" w:rsidP="00380E62">
            <w:pPr>
              <w:jc w:val="right"/>
              <w:rPr>
                <w:color w:val="000000"/>
              </w:rPr>
            </w:pPr>
            <w:r w:rsidRPr="00380E62">
              <w:rPr>
                <w:color w:val="000000"/>
              </w:rPr>
              <w:t>-$4,704</w:t>
            </w:r>
          </w:p>
        </w:tc>
      </w:tr>
    </w:tbl>
    <w:p w:rsidR="00315D66" w:rsidRPr="00D722BA" w:rsidRDefault="00E97661" w:rsidP="00C33EAF">
      <w:pPr>
        <w:pStyle w:val="Default"/>
      </w:pPr>
      <w:r w:rsidRPr="00D722BA">
        <w:t xml:space="preserve"> </w:t>
      </w:r>
    </w:p>
    <w:p w:rsidR="00315D66" w:rsidRPr="00D722BA" w:rsidRDefault="00315D66" w:rsidP="00BD264A">
      <w:pPr>
        <w:pStyle w:val="Default"/>
        <w:numPr>
          <w:ilvl w:val="0"/>
          <w:numId w:val="6"/>
        </w:numPr>
      </w:pPr>
      <w:r w:rsidRPr="00D722BA">
        <w:t xml:space="preserve">Please describe all current procedures in place to prevent and identify billing errors resulting from: incorrect prorated bills; mislabeled meter bases; incorrectly installed meters; incorrect billing rate schedules; or incorrect billing multipliers. </w:t>
      </w:r>
    </w:p>
    <w:p w:rsidR="00315D66" w:rsidRDefault="00315D66" w:rsidP="00315D66">
      <w:pPr>
        <w:pStyle w:val="Default"/>
        <w:ind w:left="720"/>
      </w:pPr>
    </w:p>
    <w:p w:rsidR="00315D66" w:rsidRPr="00D722BA" w:rsidRDefault="00315D66" w:rsidP="00315D66">
      <w:pPr>
        <w:pStyle w:val="Default"/>
        <w:rPr>
          <w:b/>
          <w:u w:val="single"/>
        </w:rPr>
      </w:pPr>
      <w:r w:rsidRPr="00D722BA">
        <w:rPr>
          <w:b/>
          <w:u w:val="single"/>
        </w:rPr>
        <w:t>PSE Response</w:t>
      </w:r>
    </w:p>
    <w:p w:rsidR="0091334D" w:rsidRPr="00DB3A07" w:rsidRDefault="00934FD8" w:rsidP="00DB3A07">
      <w:pPr>
        <w:pStyle w:val="BodyText"/>
        <w:rPr>
          <w:i/>
        </w:rPr>
      </w:pPr>
      <w:r w:rsidRPr="00B737D7">
        <w:t xml:space="preserve">As mentioned earlier, </w:t>
      </w:r>
      <w:r w:rsidR="003D3F48" w:rsidRPr="00B737D7">
        <w:t>PSE</w:t>
      </w:r>
      <w:r w:rsidR="00DB3A07" w:rsidRPr="00B737D7">
        <w:t xml:space="preserve"> </w:t>
      </w:r>
      <w:r w:rsidRPr="00B737D7">
        <w:t>has been</w:t>
      </w:r>
      <w:r w:rsidR="00DB3A07" w:rsidRPr="00B737D7">
        <w:t xml:space="preserve"> subject to billing and metering performance standards</w:t>
      </w:r>
      <w:r w:rsidRPr="00B737D7">
        <w:t xml:space="preserve"> since 2008, and i</w:t>
      </w:r>
      <w:r w:rsidR="00DB3A07" w:rsidRPr="00B737D7">
        <w:rPr>
          <w:bCs/>
        </w:rPr>
        <w:t xml:space="preserve">n May 2012 agreed with the Commission to comply with and report on annual meter and billing performance standards as part of a partial settlement in consolidated Docket Nos. UE-111048 and UG 111049 Order 08 (“Order 08”). </w:t>
      </w:r>
      <w:r w:rsidRPr="00B737D7">
        <w:rPr>
          <w:bCs/>
        </w:rPr>
        <w:t xml:space="preserve"> Many of the systems within PSE focus on </w:t>
      </w:r>
      <w:r w:rsidR="00C10184" w:rsidRPr="00B737D7">
        <w:rPr>
          <w:bCs/>
        </w:rPr>
        <w:t xml:space="preserve">identifying </w:t>
      </w:r>
      <w:r w:rsidRPr="00B737D7">
        <w:rPr>
          <w:bCs/>
        </w:rPr>
        <w:t>stopped meters and UEU issues.  However, PSE</w:t>
      </w:r>
      <w:r w:rsidR="00C10184" w:rsidRPr="00B737D7">
        <w:rPr>
          <w:bCs/>
        </w:rPr>
        <w:t>, through its</w:t>
      </w:r>
      <w:r w:rsidR="00B737D7" w:rsidRPr="00B737D7">
        <w:rPr>
          <w:bCs/>
        </w:rPr>
        <w:t xml:space="preserve"> </w:t>
      </w:r>
      <w:r w:rsidR="003D3F48" w:rsidRPr="00B737D7">
        <w:rPr>
          <w:bCs/>
        </w:rPr>
        <w:t>Customer Information System (“CIS”)</w:t>
      </w:r>
      <w:r w:rsidR="00C10184" w:rsidRPr="00B737D7">
        <w:rPr>
          <w:bCs/>
        </w:rPr>
        <w:t xml:space="preserve">, </w:t>
      </w:r>
      <w:r w:rsidR="003D3F48" w:rsidRPr="00B737D7">
        <w:rPr>
          <w:bCs/>
        </w:rPr>
        <w:t>has</w:t>
      </w:r>
      <w:r w:rsidRPr="00B737D7">
        <w:rPr>
          <w:bCs/>
        </w:rPr>
        <w:t xml:space="preserve"> </w:t>
      </w:r>
      <w:r w:rsidR="00C10184" w:rsidRPr="00B737D7">
        <w:rPr>
          <w:bCs/>
        </w:rPr>
        <w:t xml:space="preserve">put in place a </w:t>
      </w:r>
      <w:r w:rsidRPr="00B737D7">
        <w:rPr>
          <w:bCs/>
        </w:rPr>
        <w:t xml:space="preserve">series of parameters </w:t>
      </w:r>
      <w:r w:rsidR="00C10184" w:rsidRPr="00B737D7">
        <w:rPr>
          <w:bCs/>
        </w:rPr>
        <w:t>to help identify and</w:t>
      </w:r>
      <w:r w:rsidRPr="00B737D7">
        <w:rPr>
          <w:bCs/>
        </w:rPr>
        <w:t xml:space="preserve"> out sort potential billing errors</w:t>
      </w:r>
      <w:r w:rsidR="003D3F48" w:rsidRPr="00B737D7">
        <w:rPr>
          <w:bCs/>
        </w:rPr>
        <w:t xml:space="preserve"> before the bill is sent to the customer</w:t>
      </w:r>
      <w:r w:rsidRPr="00B737D7">
        <w:rPr>
          <w:bCs/>
        </w:rPr>
        <w:t xml:space="preserve">.  </w:t>
      </w:r>
      <w:r w:rsidR="00C10184" w:rsidRPr="00B737D7">
        <w:rPr>
          <w:bCs/>
        </w:rPr>
        <w:t>These parameters provide a range of “normal usage” to be expected during the billing cycle and when the usage exceeds that limit, the bill is out</w:t>
      </w:r>
      <w:r w:rsidR="00B737D7" w:rsidRPr="00B737D7">
        <w:rPr>
          <w:bCs/>
        </w:rPr>
        <w:t xml:space="preserve"> </w:t>
      </w:r>
      <w:r w:rsidR="00C10184" w:rsidRPr="00B737D7">
        <w:rPr>
          <w:bCs/>
        </w:rPr>
        <w:t xml:space="preserve">sorted.  </w:t>
      </w:r>
      <w:r w:rsidRPr="00B737D7">
        <w:rPr>
          <w:bCs/>
        </w:rPr>
        <w:t xml:space="preserve">The system creates a </w:t>
      </w:r>
      <w:r w:rsidR="003D3F48" w:rsidRPr="00B737D7">
        <w:rPr>
          <w:bCs/>
        </w:rPr>
        <w:t xml:space="preserve">daily </w:t>
      </w:r>
      <w:r w:rsidRPr="00B737D7">
        <w:rPr>
          <w:bCs/>
        </w:rPr>
        <w:t>review list of the out sorted items</w:t>
      </w:r>
      <w:r w:rsidR="00C10184" w:rsidRPr="00B737D7">
        <w:rPr>
          <w:bCs/>
        </w:rPr>
        <w:t xml:space="preserve"> and </w:t>
      </w:r>
      <w:r w:rsidRPr="00B737D7">
        <w:rPr>
          <w:bCs/>
        </w:rPr>
        <w:t>PSE agents work</w:t>
      </w:r>
      <w:r w:rsidR="003D3F48" w:rsidRPr="00B737D7">
        <w:rPr>
          <w:bCs/>
        </w:rPr>
        <w:t xml:space="preserve"> those items daily</w:t>
      </w:r>
      <w:r w:rsidRPr="00B737D7">
        <w:rPr>
          <w:bCs/>
        </w:rPr>
        <w:t xml:space="preserve"> to </w:t>
      </w:r>
      <w:r w:rsidR="003D3F48" w:rsidRPr="00B737D7">
        <w:rPr>
          <w:bCs/>
        </w:rPr>
        <w:t>investigate</w:t>
      </w:r>
      <w:r w:rsidRPr="00B737D7">
        <w:rPr>
          <w:bCs/>
        </w:rPr>
        <w:t xml:space="preserve"> and correct </w:t>
      </w:r>
      <w:r w:rsidR="003D3F48" w:rsidRPr="00B737D7">
        <w:rPr>
          <w:bCs/>
        </w:rPr>
        <w:t xml:space="preserve">potential </w:t>
      </w:r>
      <w:r w:rsidRPr="00B737D7">
        <w:rPr>
          <w:bCs/>
        </w:rPr>
        <w:t>billing errors</w:t>
      </w:r>
      <w:r w:rsidR="003D3F48" w:rsidRPr="00B737D7">
        <w:rPr>
          <w:bCs/>
        </w:rPr>
        <w:t xml:space="preserve"> prior to generating a bill to send the customer</w:t>
      </w:r>
      <w:r w:rsidRPr="00B737D7">
        <w:rPr>
          <w:bCs/>
        </w:rPr>
        <w:t>.</w:t>
      </w:r>
      <w:r>
        <w:rPr>
          <w:bCs/>
        </w:rPr>
        <w:t xml:space="preserve">  </w:t>
      </w:r>
    </w:p>
    <w:p w:rsidR="00BD264A" w:rsidRDefault="00BD264A" w:rsidP="0034002F"/>
    <w:p w:rsidR="00497569" w:rsidRPr="00D722BA" w:rsidRDefault="0045520C" w:rsidP="0034002F">
      <w:r w:rsidRPr="00D722BA">
        <w:t xml:space="preserve">PSE appreciates the opportunity to provide responses </w:t>
      </w:r>
      <w:r w:rsidR="00C43FFD" w:rsidRPr="00D722BA">
        <w:t xml:space="preserve">and proposed language </w:t>
      </w:r>
      <w:r w:rsidRPr="00D722BA">
        <w:t xml:space="preserve">to the </w:t>
      </w:r>
      <w:r w:rsidR="00D0410E" w:rsidRPr="00D722BA">
        <w:t xml:space="preserve">Commission’s </w:t>
      </w:r>
      <w:r w:rsidRPr="00D722BA">
        <w:t xml:space="preserve">Notice of Opportunity to File Written Comments.  Please contact </w:t>
      </w:r>
      <w:r w:rsidR="000C3AF9" w:rsidRPr="00D722BA">
        <w:t>Nate Hill at (425) 457</w:t>
      </w:r>
      <w:r w:rsidR="00B56872" w:rsidRPr="00D722BA">
        <w:t>-</w:t>
      </w:r>
      <w:r w:rsidR="000C3AF9" w:rsidRPr="00D722BA">
        <w:t xml:space="preserve">5524 </w:t>
      </w:r>
      <w:r w:rsidR="00E83B79" w:rsidRPr="00D722BA">
        <w:t xml:space="preserve">for additional information about this filing.  If you have any other questions please </w:t>
      </w:r>
      <w:r w:rsidR="00B4742E" w:rsidRPr="00D722BA">
        <w:t>contact me at (425) 456-</w:t>
      </w:r>
      <w:r w:rsidR="00E83B79" w:rsidRPr="00D722BA">
        <w:t>2110.</w:t>
      </w:r>
    </w:p>
    <w:p w:rsidR="00497569" w:rsidRPr="00D722BA" w:rsidRDefault="00497569" w:rsidP="0045520C">
      <w:pPr>
        <w:pStyle w:val="LetterSignature"/>
        <w:ind w:left="4320"/>
        <w:rPr>
          <w:szCs w:val="24"/>
        </w:rPr>
      </w:pPr>
    </w:p>
    <w:p w:rsidR="00A817FD" w:rsidRPr="00D722BA" w:rsidRDefault="00A817FD" w:rsidP="0045520C">
      <w:pPr>
        <w:pStyle w:val="LetterSignature"/>
        <w:ind w:left="4320"/>
        <w:rPr>
          <w:szCs w:val="24"/>
        </w:rPr>
      </w:pPr>
    </w:p>
    <w:p w:rsidR="00A817FD" w:rsidRPr="00D722BA" w:rsidRDefault="00A817FD" w:rsidP="0045520C">
      <w:pPr>
        <w:pStyle w:val="LetterSignature"/>
        <w:ind w:left="4320"/>
        <w:rPr>
          <w:szCs w:val="24"/>
        </w:rPr>
      </w:pPr>
    </w:p>
    <w:p w:rsidR="0034002F" w:rsidRPr="00D722BA" w:rsidRDefault="0034002F" w:rsidP="0045520C">
      <w:pPr>
        <w:pStyle w:val="LetterSignature"/>
        <w:ind w:left="4320"/>
        <w:rPr>
          <w:szCs w:val="24"/>
        </w:rPr>
      </w:pPr>
    </w:p>
    <w:p w:rsidR="00497569" w:rsidRPr="00D722BA" w:rsidRDefault="00497569" w:rsidP="0045520C">
      <w:pPr>
        <w:pStyle w:val="LetterSignature"/>
        <w:ind w:left="4320"/>
        <w:rPr>
          <w:szCs w:val="24"/>
        </w:rPr>
      </w:pPr>
    </w:p>
    <w:p w:rsidR="0045520C" w:rsidRPr="00D722BA" w:rsidRDefault="0045520C" w:rsidP="0045520C">
      <w:pPr>
        <w:pStyle w:val="LetterSignature"/>
        <w:ind w:left="4320"/>
        <w:rPr>
          <w:szCs w:val="24"/>
        </w:rPr>
      </w:pPr>
      <w:r w:rsidRPr="00D722BA">
        <w:rPr>
          <w:szCs w:val="24"/>
        </w:rPr>
        <w:t>Sincerely,</w:t>
      </w:r>
    </w:p>
    <w:p w:rsidR="0045520C" w:rsidRPr="00D722BA" w:rsidRDefault="0045520C" w:rsidP="0045520C">
      <w:pPr>
        <w:pStyle w:val="LetterSignature"/>
        <w:ind w:left="4320"/>
        <w:rPr>
          <w:szCs w:val="24"/>
        </w:rPr>
      </w:pPr>
    </w:p>
    <w:p w:rsidR="0045520C" w:rsidRDefault="0045520C" w:rsidP="0045520C">
      <w:pPr>
        <w:pStyle w:val="LetterSignature"/>
        <w:ind w:left="4320"/>
        <w:rPr>
          <w:szCs w:val="24"/>
        </w:rPr>
      </w:pPr>
    </w:p>
    <w:p w:rsidR="002549FC" w:rsidRPr="00D722BA" w:rsidRDefault="002549FC" w:rsidP="0045520C">
      <w:pPr>
        <w:pStyle w:val="LetterSignature"/>
        <w:ind w:left="4320"/>
        <w:rPr>
          <w:szCs w:val="24"/>
        </w:rPr>
      </w:pPr>
    </w:p>
    <w:p w:rsidR="00A46A7C" w:rsidRPr="00D722BA" w:rsidRDefault="00A46A7C" w:rsidP="0045520C">
      <w:pPr>
        <w:pStyle w:val="LetterSignature"/>
        <w:ind w:left="4320"/>
        <w:rPr>
          <w:szCs w:val="24"/>
        </w:rPr>
      </w:pPr>
    </w:p>
    <w:p w:rsidR="0045520C" w:rsidRPr="00D722BA" w:rsidRDefault="0045520C" w:rsidP="0045520C">
      <w:pPr>
        <w:pStyle w:val="LetterSignature"/>
        <w:ind w:left="4320"/>
        <w:rPr>
          <w:szCs w:val="24"/>
        </w:rPr>
      </w:pPr>
      <w:r w:rsidRPr="00D722BA">
        <w:rPr>
          <w:szCs w:val="24"/>
        </w:rPr>
        <w:t>Ken Johnson</w:t>
      </w:r>
    </w:p>
    <w:p w:rsidR="0045520C" w:rsidRPr="00D722BA" w:rsidRDefault="0045520C" w:rsidP="00A817FD">
      <w:pPr>
        <w:pStyle w:val="LetterSignature"/>
        <w:ind w:left="4320"/>
        <w:rPr>
          <w:szCs w:val="24"/>
        </w:rPr>
      </w:pPr>
      <w:r w:rsidRPr="00D722BA">
        <w:rPr>
          <w:szCs w:val="24"/>
        </w:rPr>
        <w:t>Director, State Regulatory Affairs</w:t>
      </w: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pPr>
        <w:spacing w:after="200" w:line="276" w:lineRule="auto"/>
      </w:pPr>
      <w:r w:rsidRPr="00D722BA">
        <w:br w:type="page"/>
      </w: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C43FFD" w:rsidRPr="00D722BA" w:rsidRDefault="00C43FFD" w:rsidP="00A817FD">
      <w:pPr>
        <w:pStyle w:val="LetterSignature"/>
        <w:ind w:left="4320"/>
        <w:rPr>
          <w:szCs w:val="24"/>
        </w:rPr>
      </w:pPr>
    </w:p>
    <w:p w:rsidR="00DB3A07" w:rsidRDefault="00C43FFD" w:rsidP="00C43FFD">
      <w:pPr>
        <w:pStyle w:val="LetterSignature"/>
        <w:jc w:val="center"/>
        <w:rPr>
          <w:b/>
          <w:sz w:val="96"/>
          <w:szCs w:val="24"/>
        </w:rPr>
      </w:pPr>
      <w:r w:rsidRPr="00DB3A07">
        <w:rPr>
          <w:b/>
          <w:sz w:val="96"/>
          <w:szCs w:val="24"/>
        </w:rPr>
        <w:t>Attachment A</w:t>
      </w:r>
    </w:p>
    <w:p w:rsidR="00B13D63" w:rsidRDefault="007E55EA">
      <w:pPr>
        <w:spacing w:after="200" w:line="276" w:lineRule="auto"/>
      </w:pPr>
      <w:r>
        <w:br w:type="page"/>
      </w:r>
    </w:p>
    <w:p w:rsidR="00B13D63" w:rsidRPr="007E46D2" w:rsidRDefault="00B13D63" w:rsidP="00B13D63">
      <w:pPr>
        <w:rPr>
          <w:rFonts w:ascii="Arial" w:hAnsi="Arial" w:cs="Arial"/>
          <w:kern w:val="36"/>
          <w:sz w:val="30"/>
          <w:szCs w:val="30"/>
        </w:rPr>
      </w:pPr>
      <w:r w:rsidRPr="007E46D2">
        <w:rPr>
          <w:rFonts w:ascii="Arial" w:hAnsi="Arial" w:cs="Arial"/>
          <w:kern w:val="36"/>
          <w:sz w:val="30"/>
          <w:szCs w:val="30"/>
        </w:rPr>
        <w:lastRenderedPageBreak/>
        <w:t>Electric tariffs</w:t>
      </w:r>
    </w:p>
    <w:p w:rsidR="00B13D63" w:rsidRPr="007E46D2" w:rsidRDefault="00B13D63" w:rsidP="00B13D63">
      <w:pPr>
        <w:pStyle w:val="s4-wptoptable1"/>
        <w:numPr>
          <w:ilvl w:val="0"/>
          <w:numId w:val="10"/>
        </w:numPr>
        <w:spacing w:after="0" w:afterAutospacing="0"/>
        <w:ind w:left="144"/>
        <w:rPr>
          <w:rFonts w:ascii="Arial" w:hAnsi="Arial" w:cs="Arial"/>
          <w:b/>
          <w:bCs/>
          <w:sz w:val="21"/>
          <w:szCs w:val="21"/>
        </w:rPr>
      </w:pPr>
      <w:r w:rsidRPr="007E46D2">
        <w:rPr>
          <w:rFonts w:ascii="Arial" w:hAnsi="Arial" w:cs="Arial"/>
          <w:b/>
          <w:bCs/>
          <w:sz w:val="21"/>
          <w:szCs w:val="21"/>
        </w:rPr>
        <w:t>Residential Service</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007 - Residential Service - 11/16/2013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007A - Master Metered Residential Service - 11/16/2013</w:t>
      </w:r>
    </w:p>
    <w:p w:rsidR="00B13D63" w:rsidRPr="007E46D2" w:rsidRDefault="00B13D63" w:rsidP="00B13D63">
      <w:pPr>
        <w:pStyle w:val="s4-wptoptable1"/>
        <w:numPr>
          <w:ilvl w:val="0"/>
          <w:numId w:val="10"/>
        </w:numPr>
        <w:spacing w:after="60" w:afterAutospacing="0"/>
        <w:ind w:left="150"/>
        <w:rPr>
          <w:rFonts w:ascii="Arial" w:hAnsi="Arial" w:cs="Arial"/>
          <w:b/>
          <w:bCs/>
          <w:sz w:val="21"/>
          <w:szCs w:val="21"/>
        </w:rPr>
      </w:pPr>
      <w:r w:rsidRPr="007E46D2">
        <w:rPr>
          <w:rFonts w:ascii="Arial" w:hAnsi="Arial" w:cs="Arial"/>
          <w:b/>
          <w:bCs/>
          <w:sz w:val="21"/>
          <w:szCs w:val="21"/>
        </w:rPr>
        <w:t>Commercial Industrial General Service</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008 - Residential &amp; Farm General Service - 07/01/2002</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010 - Residential &amp; Farm Primary General Service - 07/01/2002</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011 - Residential &amp; Farm Small Demand General Service - 07/01/2002</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012 - Residential &amp; Farm Large Demand General Service - 07/01/2002</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024 - General Service - 11/16/2013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025 - Small Demand General Service - 11/16/2013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026 - Large Demand General Service - 01/01/2014</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029 - Seasonal Irrigation &amp; Drainage Pumping Service - 11/16/2013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031 - Primary General Service - 01/01/2014</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035 - Seasonal Primary Irrigation &amp; Drainage Pumping Service - 11/16/2013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 xml:space="preserve">Electric Schedule 040 - Large Demand General Service Greater Than 3 </w:t>
      </w:r>
      <w:proofErr w:type="spellStart"/>
      <w:r w:rsidRPr="007E46D2">
        <w:rPr>
          <w:rFonts w:ascii="Tahoma" w:hAnsi="Tahoma" w:cs="Tahoma"/>
          <w:sz w:val="16"/>
          <w:szCs w:val="16"/>
        </w:rPr>
        <w:t>aMW</w:t>
      </w:r>
      <w:proofErr w:type="spellEnd"/>
      <w:r w:rsidRPr="007E46D2">
        <w:rPr>
          <w:rFonts w:ascii="Tahoma" w:hAnsi="Tahoma" w:cs="Tahoma"/>
          <w:sz w:val="16"/>
          <w:szCs w:val="16"/>
        </w:rPr>
        <w:t xml:space="preserve"> - 11/16/2013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043 - Interruptible Primary Service for Total-Electric Schools - 11/16/2013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046 - High Voltage Interruptible Service - 11/16/2013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049 - High Voltage General Service - 11/16/2013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448 - Power Supplier Choice - 07/01/2013</w:t>
      </w:r>
    </w:p>
    <w:p w:rsidR="00B13D63" w:rsidRPr="007E46D2" w:rsidRDefault="00FE26F7" w:rsidP="00B13D63">
      <w:pPr>
        <w:pStyle w:val="s4-wptoptable1"/>
        <w:numPr>
          <w:ilvl w:val="1"/>
          <w:numId w:val="10"/>
        </w:numPr>
        <w:spacing w:after="60" w:afterAutospacing="0"/>
        <w:ind w:left="150"/>
        <w:rPr>
          <w:rFonts w:ascii="Tahoma" w:hAnsi="Tahoma" w:cs="Tahoma"/>
          <w:sz w:val="16"/>
          <w:szCs w:val="16"/>
        </w:rPr>
      </w:pPr>
      <w:hyperlink r:id="rId14" w:history="1">
        <w:r w:rsidR="00B13D63" w:rsidRPr="007E46D2">
          <w:rPr>
            <w:rFonts w:ascii="Tahoma" w:hAnsi="Tahoma" w:cs="Tahoma"/>
            <w:sz w:val="16"/>
            <w:szCs w:val="16"/>
          </w:rPr>
          <w:t>Electric Schedule 448 - Schedule 448 Power Supplier Choice - Service Agreement - 06/12/2003</w:t>
        </w:r>
      </w:hyperlink>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449 - Retail Wheeling Service - 07/01/2013</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449 - Schedule 449 Retail Wheeling Service - Service Agreement - 07/01/2002</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458 - Back-Up Distribution Service - 07/01/2002</w:t>
      </w:r>
    </w:p>
    <w:p w:rsidR="00B13D63" w:rsidRPr="007E46D2" w:rsidRDefault="00B13D63" w:rsidP="00B13D63">
      <w:pPr>
        <w:pStyle w:val="s4-wptoptable1"/>
        <w:numPr>
          <w:ilvl w:val="1"/>
          <w:numId w:val="10"/>
        </w:numPr>
        <w:spacing w:after="60" w:afterAutospacing="0"/>
        <w:ind w:left="150"/>
        <w:rPr>
          <w:rFonts w:ascii="Tahoma" w:hAnsi="Tahoma" w:cs="Tahoma"/>
          <w:sz w:val="16"/>
          <w:szCs w:val="16"/>
        </w:rPr>
      </w:pPr>
      <w:r w:rsidRPr="007E46D2">
        <w:rPr>
          <w:rFonts w:ascii="Tahoma" w:hAnsi="Tahoma" w:cs="Tahoma"/>
          <w:sz w:val="16"/>
          <w:szCs w:val="16"/>
        </w:rPr>
        <w:t>Electric Schedule 459 - Back-Up Distribution Service - 07/01/2002</w:t>
      </w:r>
    </w:p>
    <w:p w:rsidR="00B13D63" w:rsidRPr="007E46D2" w:rsidRDefault="00B13D63" w:rsidP="00B13D63"/>
    <w:p w:rsidR="00B13D63" w:rsidRPr="007E46D2" w:rsidRDefault="00B13D63" w:rsidP="00B13D63">
      <w:r w:rsidRPr="007E46D2">
        <w:rPr>
          <w:rFonts w:ascii="Arial" w:hAnsi="Arial" w:cs="Arial"/>
          <w:kern w:val="36"/>
          <w:sz w:val="30"/>
          <w:szCs w:val="30"/>
        </w:rPr>
        <w:t>Natural gas tariffs</w:t>
      </w:r>
    </w:p>
    <w:p w:rsidR="00B13D63" w:rsidRPr="007E46D2" w:rsidRDefault="00B13D63" w:rsidP="00B13D63">
      <w:pPr>
        <w:pStyle w:val="s4-wptoptable1"/>
        <w:numPr>
          <w:ilvl w:val="0"/>
          <w:numId w:val="11"/>
        </w:numPr>
        <w:spacing w:after="60" w:afterAutospacing="0"/>
        <w:ind w:left="150"/>
        <w:rPr>
          <w:rFonts w:ascii="Arial" w:hAnsi="Arial" w:cs="Arial"/>
          <w:b/>
          <w:bCs/>
          <w:sz w:val="21"/>
          <w:szCs w:val="21"/>
        </w:rPr>
      </w:pPr>
      <w:r w:rsidRPr="007E46D2">
        <w:rPr>
          <w:rFonts w:ascii="Arial" w:hAnsi="Arial" w:cs="Arial"/>
          <w:b/>
          <w:bCs/>
          <w:sz w:val="21"/>
          <w:szCs w:val="21"/>
        </w:rPr>
        <w:t>Residential Service</w:t>
      </w:r>
    </w:p>
    <w:p w:rsidR="00B13D63" w:rsidRPr="007E46D2" w:rsidRDefault="00B13D63" w:rsidP="00B13D63">
      <w:pPr>
        <w:pStyle w:val="s4-wptoptable1"/>
        <w:numPr>
          <w:ilvl w:val="1"/>
          <w:numId w:val="11"/>
        </w:numPr>
        <w:spacing w:after="60" w:afterAutospacing="0"/>
        <w:ind w:left="150"/>
        <w:rPr>
          <w:rFonts w:ascii="Tahoma" w:hAnsi="Tahoma" w:cs="Tahoma"/>
          <w:sz w:val="16"/>
          <w:szCs w:val="16"/>
        </w:rPr>
      </w:pPr>
      <w:r w:rsidRPr="007E46D2">
        <w:rPr>
          <w:rFonts w:ascii="Tahoma" w:hAnsi="Tahoma" w:cs="Tahoma"/>
          <w:sz w:val="16"/>
          <w:szCs w:val="16"/>
        </w:rPr>
        <w:t>Gas Schedule 023 - Residential General Service - 11/16/2013</w:t>
      </w:r>
    </w:p>
    <w:p w:rsidR="00B13D63" w:rsidRPr="007E46D2" w:rsidRDefault="00B13D63" w:rsidP="00B13D63">
      <w:pPr>
        <w:pStyle w:val="s4-wptoptable1"/>
        <w:numPr>
          <w:ilvl w:val="0"/>
          <w:numId w:val="11"/>
        </w:numPr>
        <w:spacing w:after="60" w:afterAutospacing="0"/>
        <w:ind w:left="150"/>
        <w:rPr>
          <w:rFonts w:ascii="Arial" w:hAnsi="Arial" w:cs="Arial"/>
          <w:b/>
          <w:bCs/>
          <w:sz w:val="21"/>
          <w:szCs w:val="21"/>
        </w:rPr>
      </w:pPr>
      <w:r w:rsidRPr="007E46D2">
        <w:rPr>
          <w:rFonts w:ascii="Arial" w:hAnsi="Arial" w:cs="Arial"/>
          <w:b/>
          <w:bCs/>
          <w:sz w:val="21"/>
          <w:szCs w:val="21"/>
        </w:rPr>
        <w:t>Emergency Compressed Natural Gas</w:t>
      </w:r>
    </w:p>
    <w:p w:rsidR="00B13D63" w:rsidRPr="007E46D2" w:rsidRDefault="00B13D63" w:rsidP="00B13D63">
      <w:pPr>
        <w:pStyle w:val="s4-wptoptable1"/>
        <w:numPr>
          <w:ilvl w:val="1"/>
          <w:numId w:val="11"/>
        </w:numPr>
        <w:spacing w:after="60" w:afterAutospacing="0"/>
        <w:ind w:left="150"/>
        <w:rPr>
          <w:rFonts w:ascii="Tahoma" w:hAnsi="Tahoma" w:cs="Tahoma"/>
          <w:sz w:val="16"/>
          <w:szCs w:val="16"/>
        </w:rPr>
      </w:pPr>
      <w:r w:rsidRPr="007E46D2">
        <w:rPr>
          <w:rFonts w:ascii="Tahoma" w:hAnsi="Tahoma" w:cs="Tahoma"/>
          <w:sz w:val="16"/>
          <w:szCs w:val="16"/>
        </w:rPr>
        <w:t>Gas Schedule 050 - Emergency Compressed Natural Gas - 11/16/2012</w:t>
      </w:r>
    </w:p>
    <w:p w:rsidR="00B13D63" w:rsidRPr="007E46D2" w:rsidRDefault="00B13D63" w:rsidP="00B13D63">
      <w:pPr>
        <w:pStyle w:val="s4-wptoptable1"/>
        <w:numPr>
          <w:ilvl w:val="1"/>
          <w:numId w:val="11"/>
        </w:numPr>
        <w:spacing w:after="60" w:afterAutospacing="0"/>
        <w:ind w:left="150"/>
        <w:rPr>
          <w:rFonts w:ascii="Tahoma" w:hAnsi="Tahoma" w:cs="Tahoma"/>
          <w:sz w:val="16"/>
          <w:szCs w:val="16"/>
        </w:rPr>
      </w:pPr>
      <w:r w:rsidRPr="007E46D2">
        <w:rPr>
          <w:rFonts w:ascii="Tahoma" w:hAnsi="Tahoma" w:cs="Tahoma"/>
          <w:sz w:val="16"/>
          <w:szCs w:val="16"/>
        </w:rPr>
        <w:t>Gas Schedule 050 Attached A - Emergency Compressed Natural Gas Service Agreement - 03/11/2011</w:t>
      </w:r>
    </w:p>
    <w:p w:rsidR="00B13D63" w:rsidRPr="007E46D2" w:rsidRDefault="00B13D63" w:rsidP="00B13D63">
      <w:pPr>
        <w:pStyle w:val="s4-wptoptable1"/>
        <w:numPr>
          <w:ilvl w:val="0"/>
          <w:numId w:val="11"/>
        </w:numPr>
        <w:spacing w:after="60" w:afterAutospacing="0"/>
        <w:ind w:left="150"/>
        <w:rPr>
          <w:rFonts w:ascii="Arial" w:hAnsi="Arial" w:cs="Arial"/>
          <w:b/>
          <w:bCs/>
          <w:sz w:val="21"/>
          <w:szCs w:val="21"/>
        </w:rPr>
      </w:pPr>
      <w:r w:rsidRPr="007E46D2">
        <w:rPr>
          <w:rFonts w:ascii="Arial" w:hAnsi="Arial" w:cs="Arial"/>
          <w:b/>
          <w:bCs/>
          <w:sz w:val="21"/>
          <w:szCs w:val="21"/>
        </w:rPr>
        <w:t>Propane Service</w:t>
      </w:r>
    </w:p>
    <w:p w:rsidR="00B13D63" w:rsidRPr="007E46D2" w:rsidRDefault="00B13D63" w:rsidP="00B13D63">
      <w:pPr>
        <w:pStyle w:val="s4-wptoptable1"/>
        <w:numPr>
          <w:ilvl w:val="1"/>
          <w:numId w:val="11"/>
        </w:numPr>
        <w:spacing w:after="60" w:afterAutospacing="0"/>
        <w:ind w:left="150"/>
        <w:rPr>
          <w:rFonts w:ascii="Tahoma" w:hAnsi="Tahoma" w:cs="Tahoma"/>
          <w:sz w:val="16"/>
          <w:szCs w:val="16"/>
        </w:rPr>
      </w:pPr>
      <w:r w:rsidRPr="007E46D2">
        <w:rPr>
          <w:rFonts w:ascii="Tahoma" w:hAnsi="Tahoma" w:cs="Tahoma"/>
          <w:sz w:val="16"/>
          <w:szCs w:val="16"/>
        </w:rPr>
        <w:t>Gas Schedule 053 - Propane Service - 12/13/2014</w:t>
      </w:r>
    </w:p>
    <w:p w:rsidR="00B13D63" w:rsidRPr="007E46D2" w:rsidRDefault="00B13D63" w:rsidP="00B13D63">
      <w:pPr>
        <w:pStyle w:val="s4-wptoptable1"/>
        <w:numPr>
          <w:ilvl w:val="0"/>
          <w:numId w:val="11"/>
        </w:numPr>
        <w:spacing w:after="60" w:afterAutospacing="0"/>
        <w:ind w:left="150"/>
        <w:rPr>
          <w:rFonts w:ascii="Arial" w:hAnsi="Arial" w:cs="Arial"/>
          <w:b/>
          <w:bCs/>
          <w:sz w:val="21"/>
          <w:szCs w:val="21"/>
        </w:rPr>
      </w:pPr>
      <w:r w:rsidRPr="007E46D2">
        <w:rPr>
          <w:rFonts w:ascii="Arial" w:hAnsi="Arial" w:cs="Arial"/>
          <w:b/>
          <w:bCs/>
          <w:sz w:val="21"/>
          <w:szCs w:val="21"/>
        </w:rPr>
        <w:t>Commercial Industrial General Service</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031 - Commercial and Industrial General Service - 11/16/2013</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041 - Large Volume High Load factor gas Service (Optional) - 11/16/2013</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085 - Interruptible Gas Service Agreement - 06/26/2010</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085 - Interruptible Gas Service with Firm Option (Optional) - 11/16/2013</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086 - Interruptible Gas Service Agreement - 05/01/2009</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086 - Limited Interruptible Gas Service with Firm Option (Optional) - 11/16/2013</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087 - Interruptible Gas Service Agreement - 05/01/2009</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lastRenderedPageBreak/>
        <w:t>Gas Schedule 087 - Non-Exclusive Interruptible Gas Service with Firm Option (Optional) - 11/16/2013</w:t>
      </w:r>
    </w:p>
    <w:p w:rsidR="00B13D63" w:rsidRPr="007E46D2" w:rsidRDefault="00B13D63" w:rsidP="00B13D63">
      <w:pPr>
        <w:pStyle w:val="s4-wptoptable1"/>
        <w:numPr>
          <w:ilvl w:val="0"/>
          <w:numId w:val="11"/>
        </w:numPr>
        <w:spacing w:after="60" w:afterAutospacing="0"/>
        <w:ind w:left="150"/>
        <w:rPr>
          <w:rFonts w:ascii="Arial" w:hAnsi="Arial" w:cs="Arial"/>
          <w:b/>
          <w:bCs/>
          <w:sz w:val="21"/>
          <w:szCs w:val="21"/>
        </w:rPr>
      </w:pPr>
      <w:r w:rsidRPr="007E46D2">
        <w:rPr>
          <w:rFonts w:ascii="Arial" w:hAnsi="Arial" w:cs="Arial"/>
          <w:b/>
          <w:bCs/>
          <w:sz w:val="21"/>
          <w:szCs w:val="21"/>
        </w:rPr>
        <w:t>Transportation Service</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031T - Distribution System Transportation Service (Firm Commercial &amp; Industrial) - 11/16/2013</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031T - Transportation Service Agreement (Firm Commercial &amp; Industrial) - 06/26/2010</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041T - Distribution System Transportation Service (Firm-Large Volume High Load) - 11/16/2013</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041T - Transportation Service Agreement - 06/26/2010</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085T - Distribution System Transportation Service (Interruptible with Firm Option) - 11/16/2013</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085T - Transportation Service Agreement - 06/26/2010</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086T - Distribution System Transportation Service (Interruptible with Firm Option) - 11/16/2013</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086T - Transportation Service Agreement - 06/26/2010</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087T - Distribution System Transportation Service (Non-Exclusive Interruptible with Firm Option) - 11/16/2013</w:t>
      </w:r>
    </w:p>
    <w:p w:rsidR="00B13D63" w:rsidRPr="007E46D2" w:rsidRDefault="00B13D63" w:rsidP="00B13D63">
      <w:pPr>
        <w:pStyle w:val="s4-wptoptable1"/>
        <w:numPr>
          <w:ilvl w:val="1"/>
          <w:numId w:val="11"/>
        </w:numPr>
        <w:spacing w:after="60" w:afterAutospacing="0"/>
        <w:ind w:left="150"/>
        <w:rPr>
          <w:rFonts w:ascii="Tahoma" w:hAnsi="Tahoma" w:cs="Tahoma"/>
          <w:sz w:val="18"/>
          <w:szCs w:val="18"/>
        </w:rPr>
      </w:pPr>
      <w:r w:rsidRPr="007E46D2">
        <w:rPr>
          <w:rFonts w:ascii="Tahoma" w:hAnsi="Tahoma" w:cs="Tahoma"/>
          <w:sz w:val="18"/>
          <w:szCs w:val="18"/>
        </w:rPr>
        <w:t>Gas Schedule 87T - Transportation Service Agreement - 06/26/2010</w:t>
      </w:r>
    </w:p>
    <w:p w:rsidR="00B13D63" w:rsidRPr="007E46D2" w:rsidRDefault="00B13D63" w:rsidP="00B13D63">
      <w:pPr>
        <w:pStyle w:val="s4-wptoptable1"/>
        <w:spacing w:after="60" w:afterAutospacing="0"/>
        <w:rPr>
          <w:rFonts w:ascii="Tahoma" w:hAnsi="Tahoma" w:cs="Tahoma"/>
          <w:sz w:val="16"/>
          <w:szCs w:val="16"/>
        </w:rPr>
      </w:pPr>
    </w:p>
    <w:p w:rsidR="00B13D63" w:rsidRPr="007E46D2" w:rsidRDefault="00B13D63" w:rsidP="00B13D63"/>
    <w:p w:rsidR="00DB3A07" w:rsidRPr="00A9432C" w:rsidRDefault="00DB3A07" w:rsidP="00A9432C">
      <w:pPr>
        <w:pStyle w:val="BodyText"/>
      </w:pPr>
    </w:p>
    <w:sectPr w:rsidR="00DB3A07" w:rsidRPr="00A9432C" w:rsidSect="00FE26F7">
      <w:headerReference w:type="default" r:id="rId15"/>
      <w:headerReference w:type="first" r:id="rId16"/>
      <w:pgSz w:w="12240" w:h="15840"/>
      <w:pgMar w:top="1440" w:right="1440" w:bottom="1440" w:left="1440" w:header="129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B7" w:rsidRDefault="003674B7" w:rsidP="00BC5B4E">
      <w:r>
        <w:separator/>
      </w:r>
    </w:p>
  </w:endnote>
  <w:endnote w:type="continuationSeparator" w:id="0">
    <w:p w:rsidR="003674B7" w:rsidRDefault="003674B7" w:rsidP="00BC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B7" w:rsidRDefault="003674B7" w:rsidP="00BC5B4E">
      <w:r>
        <w:separator/>
      </w:r>
    </w:p>
  </w:footnote>
  <w:footnote w:type="continuationSeparator" w:id="0">
    <w:p w:rsidR="003674B7" w:rsidRDefault="003674B7" w:rsidP="00BC5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09" w:rsidRDefault="00E63909" w:rsidP="00070EE0">
    <w:pPr>
      <w:pStyle w:val="Header"/>
      <w:rPr>
        <w:rStyle w:val="PageNumber"/>
      </w:rPr>
    </w:pPr>
    <w:r w:rsidRPr="008E4FD7">
      <w:t xml:space="preserve">Mr. </w:t>
    </w:r>
    <w:r>
      <w:t>Steven V. King</w:t>
    </w:r>
    <w:r w:rsidRPr="008E4FD7">
      <w:tab/>
    </w:r>
    <w:r>
      <w:tab/>
    </w:r>
    <w:r w:rsidRPr="008E4FD7">
      <w:t xml:space="preserve">Page </w:t>
    </w:r>
    <w:r w:rsidRPr="008E4FD7">
      <w:rPr>
        <w:rStyle w:val="PageNumber"/>
      </w:rPr>
      <w:fldChar w:fldCharType="begin"/>
    </w:r>
    <w:r w:rsidRPr="008E4FD7">
      <w:rPr>
        <w:rStyle w:val="PageNumber"/>
      </w:rPr>
      <w:instrText xml:space="preserve"> PAGE </w:instrText>
    </w:r>
    <w:r w:rsidRPr="008E4FD7">
      <w:rPr>
        <w:rStyle w:val="PageNumber"/>
      </w:rPr>
      <w:fldChar w:fldCharType="separate"/>
    </w:r>
    <w:r w:rsidR="00FE26F7">
      <w:rPr>
        <w:rStyle w:val="PageNumber"/>
        <w:noProof/>
      </w:rPr>
      <w:t>5</w:t>
    </w:r>
    <w:r w:rsidRPr="008E4FD7">
      <w:rPr>
        <w:rStyle w:val="PageNumber"/>
      </w:rPr>
      <w:fldChar w:fldCharType="end"/>
    </w:r>
    <w:r>
      <w:rPr>
        <w:rStyle w:val="PageNumber"/>
      </w:rPr>
      <w:t xml:space="preserve"> of </w:t>
    </w:r>
    <w:r w:rsidRPr="00F10322">
      <w:rPr>
        <w:rStyle w:val="PageNumber"/>
      </w:rPr>
      <w:fldChar w:fldCharType="begin"/>
    </w:r>
    <w:r w:rsidRPr="00F10322">
      <w:rPr>
        <w:rStyle w:val="PageNumber"/>
      </w:rPr>
      <w:instrText xml:space="preserve"> NUMPAGES </w:instrText>
    </w:r>
    <w:r w:rsidRPr="00F10322">
      <w:rPr>
        <w:rStyle w:val="PageNumber"/>
      </w:rPr>
      <w:fldChar w:fldCharType="separate"/>
    </w:r>
    <w:r w:rsidR="00FE26F7">
      <w:rPr>
        <w:rStyle w:val="PageNumber"/>
        <w:noProof/>
      </w:rPr>
      <w:t>10</w:t>
    </w:r>
    <w:r w:rsidRPr="00F10322">
      <w:rPr>
        <w:rStyle w:val="PageNumber"/>
      </w:rPr>
      <w:fldChar w:fldCharType="end"/>
    </w:r>
  </w:p>
  <w:p w:rsidR="00E63909" w:rsidRDefault="00E63909" w:rsidP="009A4777">
    <w:pPr>
      <w:pStyle w:val="Header"/>
      <w:rPr>
        <w:rStyle w:val="PageNumber"/>
      </w:rPr>
    </w:pPr>
    <w:r w:rsidRPr="00070EE0">
      <w:rPr>
        <w:rStyle w:val="PageNumber"/>
      </w:rPr>
      <w:t>Docket U-144155: Comments of Puget Sound Energy</w:t>
    </w:r>
    <w:r>
      <w:rPr>
        <w:rStyle w:val="PageNumber"/>
      </w:rPr>
      <w:t xml:space="preserve">                                           </w:t>
    </w:r>
    <w:r>
      <w:rPr>
        <w:rStyle w:val="PageNumber"/>
      </w:rPr>
      <w:tab/>
      <w:t xml:space="preserve"> </w:t>
    </w:r>
    <w:r>
      <w:rPr>
        <w:rStyle w:val="PageNumber"/>
      </w:rPr>
      <w:fldChar w:fldCharType="begin"/>
    </w:r>
    <w:r>
      <w:rPr>
        <w:rStyle w:val="PageNumber"/>
      </w:rPr>
      <w:instrText xml:space="preserve"> DATE  \@ "MMMM d, yyyy"  \* MERGEFORMAT </w:instrText>
    </w:r>
    <w:r>
      <w:rPr>
        <w:rStyle w:val="PageNumber"/>
      </w:rPr>
      <w:fldChar w:fldCharType="separate"/>
    </w:r>
    <w:r w:rsidR="00FE26F7">
      <w:rPr>
        <w:rStyle w:val="PageNumber"/>
        <w:noProof/>
      </w:rPr>
      <w:t>October 5, 2015</w:t>
    </w:r>
    <w:r>
      <w:rPr>
        <w:rStyle w:val="PageNumber"/>
      </w:rPr>
      <w:fldChar w:fldCharType="end"/>
    </w:r>
  </w:p>
  <w:p w:rsidR="00E63909" w:rsidRDefault="00E63909">
    <w:pPr>
      <w:pStyle w:val="Header"/>
    </w:pPr>
  </w:p>
  <w:p w:rsidR="00E63909" w:rsidRDefault="00E63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F7" w:rsidRDefault="00FE26F7" w:rsidP="00FE26F7">
    <w:pPr>
      <w:pStyle w:val="Header"/>
    </w:pPr>
    <w:r>
      <w:rPr>
        <w:noProof/>
      </w:rPr>
      <w:drawing>
        <wp:anchor distT="0" distB="0" distL="114300" distR="114300" simplePos="0" relativeHeight="251659264" behindDoc="0" locked="0" layoutInCell="1" allowOverlap="1" wp14:anchorId="3E096D89" wp14:editId="0ABBFC1C">
          <wp:simplePos x="0" y="0"/>
          <wp:positionH relativeFrom="column">
            <wp:posOffset>-66675</wp:posOffset>
          </wp:positionH>
          <wp:positionV relativeFrom="paragraph">
            <wp:posOffset>-53975</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FE26F7" w:rsidRPr="00B410CB" w:rsidRDefault="00FE26F7" w:rsidP="00FE26F7">
    <w:pPr>
      <w:pStyle w:val="Header"/>
    </w:pPr>
  </w:p>
  <w:p w:rsidR="00FE26F7" w:rsidRDefault="00FE2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E27A0"/>
    <w:multiLevelType w:val="multilevel"/>
    <w:tmpl w:val="E3AE4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F5AE3"/>
    <w:multiLevelType w:val="hybridMultilevel"/>
    <w:tmpl w:val="FC3E621E"/>
    <w:lvl w:ilvl="0" w:tplc="0409000F">
      <w:start w:val="1"/>
      <w:numFmt w:val="decimal"/>
      <w:lvlText w:val="%1."/>
      <w:lvlJc w:val="left"/>
      <w:pPr>
        <w:tabs>
          <w:tab w:val="num" w:pos="734"/>
        </w:tabs>
        <w:ind w:left="734" w:hanging="360"/>
      </w:pPr>
      <w:rPr>
        <w:rFonts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3">
    <w:nsid w:val="1820463C"/>
    <w:multiLevelType w:val="hybridMultilevel"/>
    <w:tmpl w:val="6602EE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4B79B2"/>
    <w:multiLevelType w:val="hybridMultilevel"/>
    <w:tmpl w:val="59824A96"/>
    <w:lvl w:ilvl="0" w:tplc="FD7E7B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572C7"/>
    <w:multiLevelType w:val="hybridMultilevel"/>
    <w:tmpl w:val="30B86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E952D6"/>
    <w:multiLevelType w:val="multilevel"/>
    <w:tmpl w:val="3CFAB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C6DFE"/>
    <w:multiLevelType w:val="hybridMultilevel"/>
    <w:tmpl w:val="F8AC8C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BD6063"/>
    <w:multiLevelType w:val="hybridMultilevel"/>
    <w:tmpl w:val="3C887F26"/>
    <w:lvl w:ilvl="0" w:tplc="7E70F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DC1388"/>
    <w:multiLevelType w:val="hybridMultilevel"/>
    <w:tmpl w:val="171C0466"/>
    <w:lvl w:ilvl="0" w:tplc="09CC58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716A68"/>
    <w:multiLevelType w:val="hybridMultilevel"/>
    <w:tmpl w:val="2512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9"/>
  </w:num>
  <w:num w:numId="5">
    <w:abstractNumId w:val="5"/>
  </w:num>
  <w:num w:numId="6">
    <w:abstractNumId w:val="10"/>
  </w:num>
  <w:num w:numId="7">
    <w:abstractNumId w:val="2"/>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DC"/>
    <w:rsid w:val="00002D88"/>
    <w:rsid w:val="000112F9"/>
    <w:rsid w:val="000134E5"/>
    <w:rsid w:val="00016328"/>
    <w:rsid w:val="00034128"/>
    <w:rsid w:val="000533AF"/>
    <w:rsid w:val="0005556E"/>
    <w:rsid w:val="00070EE0"/>
    <w:rsid w:val="00073274"/>
    <w:rsid w:val="000A73C3"/>
    <w:rsid w:val="000C09CD"/>
    <w:rsid w:val="000C3AF9"/>
    <w:rsid w:val="000C59D7"/>
    <w:rsid w:val="000E7AD9"/>
    <w:rsid w:val="000F69D4"/>
    <w:rsid w:val="000F6AAF"/>
    <w:rsid w:val="001002C2"/>
    <w:rsid w:val="001572DC"/>
    <w:rsid w:val="00170503"/>
    <w:rsid w:val="0018409F"/>
    <w:rsid w:val="0019792B"/>
    <w:rsid w:val="001A73D9"/>
    <w:rsid w:val="001C706B"/>
    <w:rsid w:val="001D3385"/>
    <w:rsid w:val="001F1519"/>
    <w:rsid w:val="0022558D"/>
    <w:rsid w:val="00235ABE"/>
    <w:rsid w:val="002453C8"/>
    <w:rsid w:val="002549FC"/>
    <w:rsid w:val="00255512"/>
    <w:rsid w:val="00257744"/>
    <w:rsid w:val="002706C2"/>
    <w:rsid w:val="0028064B"/>
    <w:rsid w:val="002A4FE3"/>
    <w:rsid w:val="002C7317"/>
    <w:rsid w:val="002D780B"/>
    <w:rsid w:val="002E34AB"/>
    <w:rsid w:val="002F577A"/>
    <w:rsid w:val="00315D66"/>
    <w:rsid w:val="0034002F"/>
    <w:rsid w:val="00356B9D"/>
    <w:rsid w:val="003577D4"/>
    <w:rsid w:val="00360C96"/>
    <w:rsid w:val="003674B7"/>
    <w:rsid w:val="00373433"/>
    <w:rsid w:val="00373CEA"/>
    <w:rsid w:val="00380E62"/>
    <w:rsid w:val="00380EDE"/>
    <w:rsid w:val="00383B5B"/>
    <w:rsid w:val="00391724"/>
    <w:rsid w:val="003A6D6B"/>
    <w:rsid w:val="003C51F8"/>
    <w:rsid w:val="003D3F48"/>
    <w:rsid w:val="003D631B"/>
    <w:rsid w:val="00403701"/>
    <w:rsid w:val="0040432E"/>
    <w:rsid w:val="00413D97"/>
    <w:rsid w:val="004309E3"/>
    <w:rsid w:val="00433AA9"/>
    <w:rsid w:val="0045520C"/>
    <w:rsid w:val="00473205"/>
    <w:rsid w:val="004877C2"/>
    <w:rsid w:val="00497569"/>
    <w:rsid w:val="004A0BF6"/>
    <w:rsid w:val="004B0EBA"/>
    <w:rsid w:val="004C424E"/>
    <w:rsid w:val="004D1350"/>
    <w:rsid w:val="004D4A44"/>
    <w:rsid w:val="004E136F"/>
    <w:rsid w:val="004E430E"/>
    <w:rsid w:val="004E5C7B"/>
    <w:rsid w:val="00502AAB"/>
    <w:rsid w:val="00537CA1"/>
    <w:rsid w:val="00552137"/>
    <w:rsid w:val="00552DE6"/>
    <w:rsid w:val="00554F1B"/>
    <w:rsid w:val="0057110E"/>
    <w:rsid w:val="005927F7"/>
    <w:rsid w:val="005E1748"/>
    <w:rsid w:val="005F6D2C"/>
    <w:rsid w:val="006220E8"/>
    <w:rsid w:val="00635F5A"/>
    <w:rsid w:val="00640845"/>
    <w:rsid w:val="00645132"/>
    <w:rsid w:val="006F6933"/>
    <w:rsid w:val="0070349E"/>
    <w:rsid w:val="00706DF5"/>
    <w:rsid w:val="00714CFF"/>
    <w:rsid w:val="0072181E"/>
    <w:rsid w:val="00721E6E"/>
    <w:rsid w:val="00737383"/>
    <w:rsid w:val="00743D84"/>
    <w:rsid w:val="00753CCF"/>
    <w:rsid w:val="00774C2E"/>
    <w:rsid w:val="00794D23"/>
    <w:rsid w:val="00797193"/>
    <w:rsid w:val="007A6B1D"/>
    <w:rsid w:val="007B17A7"/>
    <w:rsid w:val="007B3628"/>
    <w:rsid w:val="007C1598"/>
    <w:rsid w:val="007C4AF2"/>
    <w:rsid w:val="007E2FAC"/>
    <w:rsid w:val="007E55EA"/>
    <w:rsid w:val="007E784C"/>
    <w:rsid w:val="007E7BFF"/>
    <w:rsid w:val="00807382"/>
    <w:rsid w:val="00807DA2"/>
    <w:rsid w:val="00824680"/>
    <w:rsid w:val="00831659"/>
    <w:rsid w:val="0084120F"/>
    <w:rsid w:val="00846F59"/>
    <w:rsid w:val="00853CF4"/>
    <w:rsid w:val="00854F8F"/>
    <w:rsid w:val="0085661E"/>
    <w:rsid w:val="00865CA3"/>
    <w:rsid w:val="00883165"/>
    <w:rsid w:val="008B0D82"/>
    <w:rsid w:val="008E3332"/>
    <w:rsid w:val="008E51A6"/>
    <w:rsid w:val="008E6DC0"/>
    <w:rsid w:val="008E70CF"/>
    <w:rsid w:val="008E735B"/>
    <w:rsid w:val="009079F5"/>
    <w:rsid w:val="009102EF"/>
    <w:rsid w:val="0091248C"/>
    <w:rsid w:val="0091334D"/>
    <w:rsid w:val="00917CCB"/>
    <w:rsid w:val="00924E13"/>
    <w:rsid w:val="00933EA9"/>
    <w:rsid w:val="00934FD8"/>
    <w:rsid w:val="009401F8"/>
    <w:rsid w:val="00952405"/>
    <w:rsid w:val="00953BDE"/>
    <w:rsid w:val="00955C70"/>
    <w:rsid w:val="009A2A63"/>
    <w:rsid w:val="009A4777"/>
    <w:rsid w:val="009C1579"/>
    <w:rsid w:val="009D472D"/>
    <w:rsid w:val="009F1B8D"/>
    <w:rsid w:val="00A14B14"/>
    <w:rsid w:val="00A16687"/>
    <w:rsid w:val="00A46A7C"/>
    <w:rsid w:val="00A531A7"/>
    <w:rsid w:val="00A55788"/>
    <w:rsid w:val="00A73065"/>
    <w:rsid w:val="00A77B91"/>
    <w:rsid w:val="00A817FD"/>
    <w:rsid w:val="00A9432C"/>
    <w:rsid w:val="00AA568C"/>
    <w:rsid w:val="00AB59E8"/>
    <w:rsid w:val="00AB63DD"/>
    <w:rsid w:val="00AB7E35"/>
    <w:rsid w:val="00B07438"/>
    <w:rsid w:val="00B13D63"/>
    <w:rsid w:val="00B13F37"/>
    <w:rsid w:val="00B147D4"/>
    <w:rsid w:val="00B21642"/>
    <w:rsid w:val="00B3141A"/>
    <w:rsid w:val="00B4742E"/>
    <w:rsid w:val="00B5315D"/>
    <w:rsid w:val="00B56872"/>
    <w:rsid w:val="00B737D7"/>
    <w:rsid w:val="00B81ABC"/>
    <w:rsid w:val="00BA2E42"/>
    <w:rsid w:val="00BC5B4E"/>
    <w:rsid w:val="00BD264A"/>
    <w:rsid w:val="00BD7429"/>
    <w:rsid w:val="00BF0994"/>
    <w:rsid w:val="00BF6BE9"/>
    <w:rsid w:val="00C10184"/>
    <w:rsid w:val="00C33EAF"/>
    <w:rsid w:val="00C43FFD"/>
    <w:rsid w:val="00C56064"/>
    <w:rsid w:val="00C77C7D"/>
    <w:rsid w:val="00C95FF1"/>
    <w:rsid w:val="00CA0487"/>
    <w:rsid w:val="00CE11B3"/>
    <w:rsid w:val="00CF3492"/>
    <w:rsid w:val="00D0256F"/>
    <w:rsid w:val="00D02B41"/>
    <w:rsid w:val="00D0410E"/>
    <w:rsid w:val="00D11FFA"/>
    <w:rsid w:val="00D21668"/>
    <w:rsid w:val="00D23061"/>
    <w:rsid w:val="00D265B4"/>
    <w:rsid w:val="00D34381"/>
    <w:rsid w:val="00D34B27"/>
    <w:rsid w:val="00D41B2D"/>
    <w:rsid w:val="00D43D89"/>
    <w:rsid w:val="00D473B9"/>
    <w:rsid w:val="00D613D2"/>
    <w:rsid w:val="00D63DAE"/>
    <w:rsid w:val="00D63E0D"/>
    <w:rsid w:val="00D722BA"/>
    <w:rsid w:val="00D72692"/>
    <w:rsid w:val="00D75447"/>
    <w:rsid w:val="00D86582"/>
    <w:rsid w:val="00DB16DF"/>
    <w:rsid w:val="00DB3A07"/>
    <w:rsid w:val="00DD1090"/>
    <w:rsid w:val="00DE6E4F"/>
    <w:rsid w:val="00E0554A"/>
    <w:rsid w:val="00E12A68"/>
    <w:rsid w:val="00E205A6"/>
    <w:rsid w:val="00E26EBF"/>
    <w:rsid w:val="00E63909"/>
    <w:rsid w:val="00E64EFD"/>
    <w:rsid w:val="00E83B79"/>
    <w:rsid w:val="00E97661"/>
    <w:rsid w:val="00EA1397"/>
    <w:rsid w:val="00EA1602"/>
    <w:rsid w:val="00EA17F6"/>
    <w:rsid w:val="00EC0FB0"/>
    <w:rsid w:val="00ED7804"/>
    <w:rsid w:val="00EE5538"/>
    <w:rsid w:val="00F17471"/>
    <w:rsid w:val="00F611D7"/>
    <w:rsid w:val="00F67D6C"/>
    <w:rsid w:val="00F716E8"/>
    <w:rsid w:val="00F97B4F"/>
    <w:rsid w:val="00FB1AEE"/>
    <w:rsid w:val="00FC1B7B"/>
    <w:rsid w:val="00FE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2DC"/>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157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2D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E11B3"/>
    <w:rPr>
      <w:sz w:val="16"/>
      <w:szCs w:val="16"/>
    </w:rPr>
  </w:style>
  <w:style w:type="paragraph" w:styleId="CommentText">
    <w:name w:val="annotation text"/>
    <w:basedOn w:val="Normal"/>
    <w:link w:val="CommentTextChar"/>
    <w:uiPriority w:val="99"/>
    <w:semiHidden/>
    <w:unhideWhenUsed/>
    <w:rsid w:val="00CE11B3"/>
    <w:rPr>
      <w:sz w:val="20"/>
      <w:szCs w:val="20"/>
    </w:rPr>
  </w:style>
  <w:style w:type="character" w:customStyle="1" w:styleId="CommentTextChar">
    <w:name w:val="Comment Text Char"/>
    <w:basedOn w:val="DefaultParagraphFont"/>
    <w:link w:val="CommentText"/>
    <w:uiPriority w:val="99"/>
    <w:semiHidden/>
    <w:rsid w:val="00CE11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11B3"/>
    <w:rPr>
      <w:b/>
      <w:bCs/>
    </w:rPr>
  </w:style>
  <w:style w:type="character" w:customStyle="1" w:styleId="CommentSubjectChar">
    <w:name w:val="Comment Subject Char"/>
    <w:basedOn w:val="CommentTextChar"/>
    <w:link w:val="CommentSubject"/>
    <w:uiPriority w:val="99"/>
    <w:semiHidden/>
    <w:rsid w:val="00CE11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11B3"/>
    <w:rPr>
      <w:rFonts w:ascii="Tahoma" w:hAnsi="Tahoma" w:cs="Tahoma"/>
      <w:sz w:val="16"/>
      <w:szCs w:val="16"/>
    </w:rPr>
  </w:style>
  <w:style w:type="character" w:customStyle="1" w:styleId="BalloonTextChar">
    <w:name w:val="Balloon Text Char"/>
    <w:basedOn w:val="DefaultParagraphFont"/>
    <w:link w:val="BalloonText"/>
    <w:uiPriority w:val="99"/>
    <w:semiHidden/>
    <w:rsid w:val="00CE11B3"/>
    <w:rPr>
      <w:rFonts w:ascii="Tahoma" w:eastAsia="Times New Roman" w:hAnsi="Tahoma" w:cs="Tahoma"/>
      <w:sz w:val="16"/>
      <w:szCs w:val="16"/>
    </w:rPr>
  </w:style>
  <w:style w:type="paragraph" w:styleId="Revision">
    <w:name w:val="Revision"/>
    <w:hidden/>
    <w:uiPriority w:val="99"/>
    <w:semiHidden/>
    <w:rsid w:val="000F6AA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5B4E"/>
    <w:pPr>
      <w:tabs>
        <w:tab w:val="center" w:pos="4680"/>
        <w:tab w:val="right" w:pos="9360"/>
      </w:tabs>
    </w:pPr>
  </w:style>
  <w:style w:type="character" w:customStyle="1" w:styleId="HeaderChar">
    <w:name w:val="Header Char"/>
    <w:basedOn w:val="DefaultParagraphFont"/>
    <w:link w:val="Header"/>
    <w:uiPriority w:val="99"/>
    <w:rsid w:val="00BC5B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B4E"/>
    <w:pPr>
      <w:tabs>
        <w:tab w:val="center" w:pos="4680"/>
        <w:tab w:val="right" w:pos="9360"/>
      </w:tabs>
    </w:pPr>
  </w:style>
  <w:style w:type="character" w:customStyle="1" w:styleId="FooterChar">
    <w:name w:val="Footer Char"/>
    <w:basedOn w:val="DefaultParagraphFont"/>
    <w:link w:val="Footer"/>
    <w:uiPriority w:val="99"/>
    <w:rsid w:val="00BC5B4E"/>
    <w:rPr>
      <w:rFonts w:ascii="Times New Roman" w:eastAsia="Times New Roman" w:hAnsi="Times New Roman" w:cs="Times New Roman"/>
      <w:sz w:val="24"/>
      <w:szCs w:val="24"/>
    </w:rPr>
  </w:style>
  <w:style w:type="paragraph" w:styleId="Salutation">
    <w:name w:val="Salutation"/>
    <w:basedOn w:val="Normal"/>
    <w:next w:val="BodyText"/>
    <w:link w:val="SalutationChar"/>
    <w:unhideWhenUsed/>
    <w:rsid w:val="00BC5B4E"/>
    <w:pPr>
      <w:spacing w:before="240" w:after="240"/>
    </w:pPr>
    <w:rPr>
      <w:szCs w:val="20"/>
    </w:rPr>
  </w:style>
  <w:style w:type="character" w:customStyle="1" w:styleId="SalutationChar">
    <w:name w:val="Salutation Char"/>
    <w:basedOn w:val="DefaultParagraphFont"/>
    <w:link w:val="Salutation"/>
    <w:rsid w:val="00BC5B4E"/>
    <w:rPr>
      <w:rFonts w:ascii="Times New Roman" w:eastAsia="Times New Roman" w:hAnsi="Times New Roman" w:cs="Times New Roman"/>
      <w:sz w:val="24"/>
      <w:szCs w:val="20"/>
    </w:rPr>
  </w:style>
  <w:style w:type="paragraph" w:customStyle="1" w:styleId="LetterDate">
    <w:name w:val="Letter Date"/>
    <w:basedOn w:val="Normal"/>
    <w:next w:val="BodyText"/>
    <w:rsid w:val="00BC5B4E"/>
    <w:rPr>
      <w:szCs w:val="20"/>
    </w:rPr>
  </w:style>
  <w:style w:type="paragraph" w:customStyle="1" w:styleId="Addressee">
    <w:name w:val="Addressee"/>
    <w:basedOn w:val="Normal"/>
    <w:rsid w:val="00BC5B4E"/>
    <w:rPr>
      <w:szCs w:val="20"/>
    </w:rPr>
  </w:style>
  <w:style w:type="paragraph" w:customStyle="1" w:styleId="ReLine">
    <w:name w:val="ReLine"/>
    <w:basedOn w:val="Normal"/>
    <w:next w:val="Normal"/>
    <w:rsid w:val="00BC5B4E"/>
    <w:pPr>
      <w:spacing w:before="240"/>
      <w:ind w:left="720" w:hanging="720"/>
    </w:pPr>
    <w:rPr>
      <w:b/>
      <w:szCs w:val="20"/>
    </w:rPr>
  </w:style>
  <w:style w:type="paragraph" w:styleId="BodyText">
    <w:name w:val="Body Text"/>
    <w:basedOn w:val="Normal"/>
    <w:link w:val="BodyTextChar"/>
    <w:uiPriority w:val="99"/>
    <w:unhideWhenUsed/>
    <w:rsid w:val="00BC5B4E"/>
    <w:pPr>
      <w:spacing w:after="120"/>
    </w:pPr>
  </w:style>
  <w:style w:type="character" w:customStyle="1" w:styleId="BodyTextChar">
    <w:name w:val="Body Text Char"/>
    <w:basedOn w:val="DefaultParagraphFont"/>
    <w:link w:val="BodyText"/>
    <w:uiPriority w:val="99"/>
    <w:rsid w:val="00BC5B4E"/>
    <w:rPr>
      <w:rFonts w:ascii="Times New Roman" w:eastAsia="Times New Roman" w:hAnsi="Times New Roman" w:cs="Times New Roman"/>
      <w:sz w:val="24"/>
      <w:szCs w:val="24"/>
    </w:rPr>
  </w:style>
  <w:style w:type="paragraph" w:customStyle="1" w:styleId="LetterSignature">
    <w:name w:val="Letter Signature"/>
    <w:basedOn w:val="Normal"/>
    <w:rsid w:val="0045520C"/>
    <w:pPr>
      <w:keepNext/>
      <w:keepLines/>
    </w:pPr>
    <w:rPr>
      <w:szCs w:val="20"/>
    </w:rPr>
  </w:style>
  <w:style w:type="character" w:styleId="PageNumber">
    <w:name w:val="page number"/>
    <w:basedOn w:val="DefaultParagraphFont"/>
    <w:rsid w:val="00070EE0"/>
    <w:rPr>
      <w:rFonts w:cs="Times New Roman"/>
    </w:rPr>
  </w:style>
  <w:style w:type="paragraph" w:customStyle="1" w:styleId="Default">
    <w:name w:val="Default"/>
    <w:rsid w:val="00315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BodyText"/>
    <w:rsid w:val="00854F8F"/>
    <w:pPr>
      <w:spacing w:before="40" w:after="40"/>
    </w:pPr>
    <w:rPr>
      <w:rFonts w:ascii="Garamond" w:eastAsia="MS Mincho" w:hAnsi="Garamond"/>
      <w:kern w:val="28"/>
      <w:sz w:val="22"/>
      <w:szCs w:val="22"/>
    </w:rPr>
  </w:style>
  <w:style w:type="character" w:styleId="Hyperlink">
    <w:name w:val="Hyperlink"/>
    <w:basedOn w:val="DefaultParagraphFont"/>
    <w:uiPriority w:val="99"/>
    <w:unhideWhenUsed/>
    <w:rsid w:val="00AB59E8"/>
    <w:rPr>
      <w:color w:val="0000FF" w:themeColor="hyperlink"/>
      <w:u w:val="single"/>
    </w:rPr>
  </w:style>
  <w:style w:type="paragraph" w:customStyle="1" w:styleId="s4-wptoptable1">
    <w:name w:val="s4-wptoptable1"/>
    <w:basedOn w:val="Normal"/>
    <w:rsid w:val="00B13D63"/>
    <w:pPr>
      <w:spacing w:before="100" w:beforeAutospacing="1" w:after="100" w:afterAutospacing="1"/>
    </w:pPr>
  </w:style>
  <w:style w:type="character" w:styleId="FollowedHyperlink">
    <w:name w:val="FollowedHyperlink"/>
    <w:basedOn w:val="DefaultParagraphFont"/>
    <w:uiPriority w:val="99"/>
    <w:semiHidden/>
    <w:unhideWhenUsed/>
    <w:rsid w:val="00356B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2DC"/>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157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2D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E11B3"/>
    <w:rPr>
      <w:sz w:val="16"/>
      <w:szCs w:val="16"/>
    </w:rPr>
  </w:style>
  <w:style w:type="paragraph" w:styleId="CommentText">
    <w:name w:val="annotation text"/>
    <w:basedOn w:val="Normal"/>
    <w:link w:val="CommentTextChar"/>
    <w:uiPriority w:val="99"/>
    <w:semiHidden/>
    <w:unhideWhenUsed/>
    <w:rsid w:val="00CE11B3"/>
    <w:rPr>
      <w:sz w:val="20"/>
      <w:szCs w:val="20"/>
    </w:rPr>
  </w:style>
  <w:style w:type="character" w:customStyle="1" w:styleId="CommentTextChar">
    <w:name w:val="Comment Text Char"/>
    <w:basedOn w:val="DefaultParagraphFont"/>
    <w:link w:val="CommentText"/>
    <w:uiPriority w:val="99"/>
    <w:semiHidden/>
    <w:rsid w:val="00CE11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11B3"/>
    <w:rPr>
      <w:b/>
      <w:bCs/>
    </w:rPr>
  </w:style>
  <w:style w:type="character" w:customStyle="1" w:styleId="CommentSubjectChar">
    <w:name w:val="Comment Subject Char"/>
    <w:basedOn w:val="CommentTextChar"/>
    <w:link w:val="CommentSubject"/>
    <w:uiPriority w:val="99"/>
    <w:semiHidden/>
    <w:rsid w:val="00CE11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11B3"/>
    <w:rPr>
      <w:rFonts w:ascii="Tahoma" w:hAnsi="Tahoma" w:cs="Tahoma"/>
      <w:sz w:val="16"/>
      <w:szCs w:val="16"/>
    </w:rPr>
  </w:style>
  <w:style w:type="character" w:customStyle="1" w:styleId="BalloonTextChar">
    <w:name w:val="Balloon Text Char"/>
    <w:basedOn w:val="DefaultParagraphFont"/>
    <w:link w:val="BalloonText"/>
    <w:uiPriority w:val="99"/>
    <w:semiHidden/>
    <w:rsid w:val="00CE11B3"/>
    <w:rPr>
      <w:rFonts w:ascii="Tahoma" w:eastAsia="Times New Roman" w:hAnsi="Tahoma" w:cs="Tahoma"/>
      <w:sz w:val="16"/>
      <w:szCs w:val="16"/>
    </w:rPr>
  </w:style>
  <w:style w:type="paragraph" w:styleId="Revision">
    <w:name w:val="Revision"/>
    <w:hidden/>
    <w:uiPriority w:val="99"/>
    <w:semiHidden/>
    <w:rsid w:val="000F6AA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5B4E"/>
    <w:pPr>
      <w:tabs>
        <w:tab w:val="center" w:pos="4680"/>
        <w:tab w:val="right" w:pos="9360"/>
      </w:tabs>
    </w:pPr>
  </w:style>
  <w:style w:type="character" w:customStyle="1" w:styleId="HeaderChar">
    <w:name w:val="Header Char"/>
    <w:basedOn w:val="DefaultParagraphFont"/>
    <w:link w:val="Header"/>
    <w:uiPriority w:val="99"/>
    <w:rsid w:val="00BC5B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B4E"/>
    <w:pPr>
      <w:tabs>
        <w:tab w:val="center" w:pos="4680"/>
        <w:tab w:val="right" w:pos="9360"/>
      </w:tabs>
    </w:pPr>
  </w:style>
  <w:style w:type="character" w:customStyle="1" w:styleId="FooterChar">
    <w:name w:val="Footer Char"/>
    <w:basedOn w:val="DefaultParagraphFont"/>
    <w:link w:val="Footer"/>
    <w:uiPriority w:val="99"/>
    <w:rsid w:val="00BC5B4E"/>
    <w:rPr>
      <w:rFonts w:ascii="Times New Roman" w:eastAsia="Times New Roman" w:hAnsi="Times New Roman" w:cs="Times New Roman"/>
      <w:sz w:val="24"/>
      <w:szCs w:val="24"/>
    </w:rPr>
  </w:style>
  <w:style w:type="paragraph" w:styleId="Salutation">
    <w:name w:val="Salutation"/>
    <w:basedOn w:val="Normal"/>
    <w:next w:val="BodyText"/>
    <w:link w:val="SalutationChar"/>
    <w:unhideWhenUsed/>
    <w:rsid w:val="00BC5B4E"/>
    <w:pPr>
      <w:spacing w:before="240" w:after="240"/>
    </w:pPr>
    <w:rPr>
      <w:szCs w:val="20"/>
    </w:rPr>
  </w:style>
  <w:style w:type="character" w:customStyle="1" w:styleId="SalutationChar">
    <w:name w:val="Salutation Char"/>
    <w:basedOn w:val="DefaultParagraphFont"/>
    <w:link w:val="Salutation"/>
    <w:rsid w:val="00BC5B4E"/>
    <w:rPr>
      <w:rFonts w:ascii="Times New Roman" w:eastAsia="Times New Roman" w:hAnsi="Times New Roman" w:cs="Times New Roman"/>
      <w:sz w:val="24"/>
      <w:szCs w:val="20"/>
    </w:rPr>
  </w:style>
  <w:style w:type="paragraph" w:customStyle="1" w:styleId="LetterDate">
    <w:name w:val="Letter Date"/>
    <w:basedOn w:val="Normal"/>
    <w:next w:val="BodyText"/>
    <w:rsid w:val="00BC5B4E"/>
    <w:rPr>
      <w:szCs w:val="20"/>
    </w:rPr>
  </w:style>
  <w:style w:type="paragraph" w:customStyle="1" w:styleId="Addressee">
    <w:name w:val="Addressee"/>
    <w:basedOn w:val="Normal"/>
    <w:rsid w:val="00BC5B4E"/>
    <w:rPr>
      <w:szCs w:val="20"/>
    </w:rPr>
  </w:style>
  <w:style w:type="paragraph" w:customStyle="1" w:styleId="ReLine">
    <w:name w:val="ReLine"/>
    <w:basedOn w:val="Normal"/>
    <w:next w:val="Normal"/>
    <w:rsid w:val="00BC5B4E"/>
    <w:pPr>
      <w:spacing w:before="240"/>
      <w:ind w:left="720" w:hanging="720"/>
    </w:pPr>
    <w:rPr>
      <w:b/>
      <w:szCs w:val="20"/>
    </w:rPr>
  </w:style>
  <w:style w:type="paragraph" w:styleId="BodyText">
    <w:name w:val="Body Text"/>
    <w:basedOn w:val="Normal"/>
    <w:link w:val="BodyTextChar"/>
    <w:uiPriority w:val="99"/>
    <w:unhideWhenUsed/>
    <w:rsid w:val="00BC5B4E"/>
    <w:pPr>
      <w:spacing w:after="120"/>
    </w:pPr>
  </w:style>
  <w:style w:type="character" w:customStyle="1" w:styleId="BodyTextChar">
    <w:name w:val="Body Text Char"/>
    <w:basedOn w:val="DefaultParagraphFont"/>
    <w:link w:val="BodyText"/>
    <w:uiPriority w:val="99"/>
    <w:rsid w:val="00BC5B4E"/>
    <w:rPr>
      <w:rFonts w:ascii="Times New Roman" w:eastAsia="Times New Roman" w:hAnsi="Times New Roman" w:cs="Times New Roman"/>
      <w:sz w:val="24"/>
      <w:szCs w:val="24"/>
    </w:rPr>
  </w:style>
  <w:style w:type="paragraph" w:customStyle="1" w:styleId="LetterSignature">
    <w:name w:val="Letter Signature"/>
    <w:basedOn w:val="Normal"/>
    <w:rsid w:val="0045520C"/>
    <w:pPr>
      <w:keepNext/>
      <w:keepLines/>
    </w:pPr>
    <w:rPr>
      <w:szCs w:val="20"/>
    </w:rPr>
  </w:style>
  <w:style w:type="character" w:styleId="PageNumber">
    <w:name w:val="page number"/>
    <w:basedOn w:val="DefaultParagraphFont"/>
    <w:rsid w:val="00070EE0"/>
    <w:rPr>
      <w:rFonts w:cs="Times New Roman"/>
    </w:rPr>
  </w:style>
  <w:style w:type="paragraph" w:customStyle="1" w:styleId="Default">
    <w:name w:val="Default"/>
    <w:rsid w:val="00315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BodyText"/>
    <w:rsid w:val="00854F8F"/>
    <w:pPr>
      <w:spacing w:before="40" w:after="40"/>
    </w:pPr>
    <w:rPr>
      <w:rFonts w:ascii="Garamond" w:eastAsia="MS Mincho" w:hAnsi="Garamond"/>
      <w:kern w:val="28"/>
      <w:sz w:val="22"/>
      <w:szCs w:val="22"/>
    </w:rPr>
  </w:style>
  <w:style w:type="character" w:styleId="Hyperlink">
    <w:name w:val="Hyperlink"/>
    <w:basedOn w:val="DefaultParagraphFont"/>
    <w:uiPriority w:val="99"/>
    <w:unhideWhenUsed/>
    <w:rsid w:val="00AB59E8"/>
    <w:rPr>
      <w:color w:val="0000FF" w:themeColor="hyperlink"/>
      <w:u w:val="single"/>
    </w:rPr>
  </w:style>
  <w:style w:type="paragraph" w:customStyle="1" w:styleId="s4-wptoptable1">
    <w:name w:val="s4-wptoptable1"/>
    <w:basedOn w:val="Normal"/>
    <w:rsid w:val="00B13D63"/>
    <w:pPr>
      <w:spacing w:before="100" w:beforeAutospacing="1" w:after="100" w:afterAutospacing="1"/>
    </w:pPr>
  </w:style>
  <w:style w:type="character" w:styleId="FollowedHyperlink">
    <w:name w:val="FollowedHyperlink"/>
    <w:basedOn w:val="DefaultParagraphFont"/>
    <w:uiPriority w:val="99"/>
    <w:semiHidden/>
    <w:unhideWhenUsed/>
    <w:rsid w:val="00356B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8817">
      <w:bodyDiv w:val="1"/>
      <w:marLeft w:val="0"/>
      <w:marRight w:val="0"/>
      <w:marTop w:val="0"/>
      <w:marBottom w:val="0"/>
      <w:divBdr>
        <w:top w:val="none" w:sz="0" w:space="0" w:color="auto"/>
        <w:left w:val="none" w:sz="0" w:space="0" w:color="auto"/>
        <w:bottom w:val="none" w:sz="0" w:space="0" w:color="auto"/>
        <w:right w:val="none" w:sz="0" w:space="0" w:color="auto"/>
      </w:divBdr>
    </w:div>
    <w:div w:id="291254378">
      <w:bodyDiv w:val="1"/>
      <w:marLeft w:val="0"/>
      <w:marRight w:val="0"/>
      <w:marTop w:val="0"/>
      <w:marBottom w:val="0"/>
      <w:divBdr>
        <w:top w:val="none" w:sz="0" w:space="0" w:color="auto"/>
        <w:left w:val="none" w:sz="0" w:space="0" w:color="auto"/>
        <w:bottom w:val="none" w:sz="0" w:space="0" w:color="auto"/>
        <w:right w:val="none" w:sz="0" w:space="0" w:color="auto"/>
      </w:divBdr>
    </w:div>
    <w:div w:id="364140321">
      <w:bodyDiv w:val="1"/>
      <w:marLeft w:val="0"/>
      <w:marRight w:val="0"/>
      <w:marTop w:val="0"/>
      <w:marBottom w:val="0"/>
      <w:divBdr>
        <w:top w:val="none" w:sz="0" w:space="0" w:color="auto"/>
        <w:left w:val="none" w:sz="0" w:space="0" w:color="auto"/>
        <w:bottom w:val="none" w:sz="0" w:space="0" w:color="auto"/>
        <w:right w:val="none" w:sz="0" w:space="0" w:color="auto"/>
      </w:divBdr>
    </w:div>
    <w:div w:id="497699181">
      <w:bodyDiv w:val="1"/>
      <w:marLeft w:val="0"/>
      <w:marRight w:val="0"/>
      <w:marTop w:val="0"/>
      <w:marBottom w:val="0"/>
      <w:divBdr>
        <w:top w:val="none" w:sz="0" w:space="0" w:color="auto"/>
        <w:left w:val="none" w:sz="0" w:space="0" w:color="auto"/>
        <w:bottom w:val="none" w:sz="0" w:space="0" w:color="auto"/>
        <w:right w:val="none" w:sz="0" w:space="0" w:color="auto"/>
      </w:divBdr>
    </w:div>
    <w:div w:id="862740742">
      <w:bodyDiv w:val="1"/>
      <w:marLeft w:val="0"/>
      <w:marRight w:val="0"/>
      <w:marTop w:val="0"/>
      <w:marBottom w:val="0"/>
      <w:divBdr>
        <w:top w:val="none" w:sz="0" w:space="0" w:color="auto"/>
        <w:left w:val="none" w:sz="0" w:space="0" w:color="auto"/>
        <w:bottom w:val="none" w:sz="0" w:space="0" w:color="auto"/>
        <w:right w:val="none" w:sz="0" w:space="0" w:color="auto"/>
      </w:divBdr>
    </w:div>
    <w:div w:id="864949164">
      <w:bodyDiv w:val="1"/>
      <w:marLeft w:val="0"/>
      <w:marRight w:val="0"/>
      <w:marTop w:val="0"/>
      <w:marBottom w:val="0"/>
      <w:divBdr>
        <w:top w:val="none" w:sz="0" w:space="0" w:color="auto"/>
        <w:left w:val="none" w:sz="0" w:space="0" w:color="auto"/>
        <w:bottom w:val="none" w:sz="0" w:space="0" w:color="auto"/>
        <w:right w:val="none" w:sz="0" w:space="0" w:color="auto"/>
      </w:divBdr>
    </w:div>
    <w:div w:id="1712997023">
      <w:bodyDiv w:val="1"/>
      <w:marLeft w:val="0"/>
      <w:marRight w:val="0"/>
      <w:marTop w:val="0"/>
      <w:marBottom w:val="0"/>
      <w:divBdr>
        <w:top w:val="none" w:sz="0" w:space="0" w:color="auto"/>
        <w:left w:val="none" w:sz="0" w:space="0" w:color="auto"/>
        <w:bottom w:val="none" w:sz="0" w:space="0" w:color="auto"/>
        <w:right w:val="none" w:sz="0" w:space="0" w:color="auto"/>
      </w:divBdr>
    </w:div>
    <w:div w:id="1916628263">
      <w:bodyDiv w:val="1"/>
      <w:marLeft w:val="0"/>
      <w:marRight w:val="0"/>
      <w:marTop w:val="0"/>
      <w:marBottom w:val="0"/>
      <w:divBdr>
        <w:top w:val="none" w:sz="0" w:space="0" w:color="auto"/>
        <w:left w:val="none" w:sz="0" w:space="0" w:color="auto"/>
        <w:bottom w:val="none" w:sz="0" w:space="0" w:color="auto"/>
        <w:right w:val="none" w:sz="0" w:space="0" w:color="auto"/>
      </w:divBdr>
    </w:div>
    <w:div w:id="1995329051">
      <w:bodyDiv w:val="1"/>
      <w:marLeft w:val="0"/>
      <w:marRight w:val="0"/>
      <w:marTop w:val="0"/>
      <w:marBottom w:val="0"/>
      <w:divBdr>
        <w:top w:val="none" w:sz="0" w:space="0" w:color="auto"/>
        <w:left w:val="none" w:sz="0" w:space="0" w:color="auto"/>
        <w:bottom w:val="none" w:sz="0" w:space="0" w:color="auto"/>
        <w:right w:val="none" w:sz="0" w:space="0" w:color="auto"/>
      </w:divBdr>
    </w:div>
    <w:div w:id="20744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pse.com/aboutpse/Rates/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se.com/aboutpse/Rates/Documents/elec_sch_448_attach.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2015-10-05T07:00:00+00:00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4B719-1FD2-42F6-9ABD-E7258C5C4E8D}"/>
</file>

<file path=customXml/itemProps2.xml><?xml version="1.0" encoding="utf-8"?>
<ds:datastoreItem xmlns:ds="http://schemas.openxmlformats.org/officeDocument/2006/customXml" ds:itemID="{B767A145-DF2F-42A7-B81E-B13B9A58AD0D}"/>
</file>

<file path=customXml/itemProps3.xml><?xml version="1.0" encoding="utf-8"?>
<ds:datastoreItem xmlns:ds="http://schemas.openxmlformats.org/officeDocument/2006/customXml" ds:itemID="{FE73D00B-6484-46DE-9627-40EFC0AA788C}"/>
</file>

<file path=customXml/itemProps4.xml><?xml version="1.0" encoding="utf-8"?>
<ds:datastoreItem xmlns:ds="http://schemas.openxmlformats.org/officeDocument/2006/customXml" ds:itemID="{B3C43A88-C58E-48F0-A6CD-27C79C8DA9A7}"/>
</file>

<file path=customXml/itemProps5.xml><?xml version="1.0" encoding="utf-8"?>
<ds:datastoreItem xmlns:ds="http://schemas.openxmlformats.org/officeDocument/2006/customXml" ds:itemID="{AA7C9BF1-172C-4ADF-B587-A989F59B485B}"/>
</file>

<file path=docProps/app.xml><?xml version="1.0" encoding="utf-8"?>
<Properties xmlns="http://schemas.openxmlformats.org/officeDocument/2006/extended-properties" xmlns:vt="http://schemas.openxmlformats.org/officeDocument/2006/docPropsVTypes">
  <Template>Normal.dotm</Template>
  <TotalTime>64</TotalTime>
  <Pages>10</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CASS</dc:creator>
  <cp:lastModifiedBy>Puget Sound Energy</cp:lastModifiedBy>
  <cp:revision>5</cp:revision>
  <cp:lastPrinted>2015-10-05T22:28:00Z</cp:lastPrinted>
  <dcterms:created xsi:type="dcterms:W3CDTF">2015-10-05T20:41:00Z</dcterms:created>
  <dcterms:modified xsi:type="dcterms:W3CDTF">2015-10-05T22:30:00Z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