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RPr="001F25AF" w:rsidTr="00F45919">
        <w:tc>
          <w:tcPr>
            <w:tcW w:w="4788" w:type="dxa"/>
          </w:tcPr>
          <w:p w:rsidR="00F86C06" w:rsidRPr="001F25AF" w:rsidRDefault="00F86C06" w:rsidP="00984B3E">
            <w:pPr>
              <w:pStyle w:val="Header"/>
              <w:spacing w:line="240" w:lineRule="auto"/>
              <w:rPr>
                <w:rFonts w:cs="Times New Roman"/>
                <w:b/>
                <w:bCs/>
                <w:szCs w:val="24"/>
              </w:rPr>
            </w:pPr>
            <w:bookmarkStart w:id="0" w:name="_GoBack"/>
            <w:bookmarkEnd w:id="0"/>
            <w:r w:rsidRPr="001F25AF">
              <w:rPr>
                <w:rFonts w:cs="Times New Roman"/>
                <w:b/>
                <w:bCs/>
                <w:szCs w:val="24"/>
              </w:rPr>
              <w:t>Avista Corp.</w:t>
            </w:r>
          </w:p>
          <w:p w:rsidR="00F86C06" w:rsidRPr="001F25AF" w:rsidRDefault="00F86C06" w:rsidP="00984B3E">
            <w:pPr>
              <w:pStyle w:val="Header"/>
              <w:spacing w:line="240" w:lineRule="auto"/>
              <w:rPr>
                <w:rFonts w:cs="Times New Roman"/>
                <w:szCs w:val="24"/>
              </w:rPr>
            </w:pPr>
            <w:r w:rsidRPr="001F25AF">
              <w:rPr>
                <w:rFonts w:cs="Times New Roman"/>
                <w:szCs w:val="24"/>
              </w:rPr>
              <w:t>1411 East Mission   P.O. Box 3727</w:t>
            </w:r>
          </w:p>
          <w:p w:rsidR="00F86C06" w:rsidRPr="001F25AF" w:rsidRDefault="00344DC2" w:rsidP="00984B3E">
            <w:pPr>
              <w:pStyle w:val="Header"/>
              <w:spacing w:line="240" w:lineRule="auto"/>
              <w:rPr>
                <w:rFonts w:cs="Times New Roman"/>
                <w:szCs w:val="24"/>
              </w:rPr>
            </w:pPr>
            <w:r w:rsidRPr="001F25AF">
              <w:rPr>
                <w:rFonts w:cs="Times New Roman"/>
                <w:szCs w:val="24"/>
              </w:rPr>
              <w:t>Spokane,</w:t>
            </w:r>
            <w:r w:rsidR="00F86C06" w:rsidRPr="001F25AF">
              <w:rPr>
                <w:rFonts w:cs="Times New Roman"/>
                <w:szCs w:val="24"/>
              </w:rPr>
              <w:t xml:space="preserve"> Washington  99220-0500</w:t>
            </w:r>
          </w:p>
          <w:p w:rsidR="00F86C06" w:rsidRPr="001F25AF" w:rsidRDefault="00F86C06" w:rsidP="00984B3E">
            <w:pPr>
              <w:pStyle w:val="Header"/>
              <w:spacing w:line="240" w:lineRule="auto"/>
              <w:rPr>
                <w:rFonts w:cs="Times New Roman"/>
                <w:szCs w:val="24"/>
              </w:rPr>
            </w:pPr>
            <w:r w:rsidRPr="001F25AF">
              <w:rPr>
                <w:rFonts w:cs="Times New Roman"/>
                <w:szCs w:val="24"/>
              </w:rPr>
              <w:t>Telephone 509-489-0500</w:t>
            </w:r>
          </w:p>
          <w:p w:rsidR="00F86C06" w:rsidRPr="001F25AF" w:rsidRDefault="00F86C06" w:rsidP="00984B3E">
            <w:pPr>
              <w:pStyle w:val="Header"/>
              <w:spacing w:line="240" w:lineRule="auto"/>
              <w:rPr>
                <w:rFonts w:cs="Times New Roman"/>
                <w:szCs w:val="24"/>
              </w:rPr>
            </w:pPr>
            <w:r w:rsidRPr="001F25AF">
              <w:rPr>
                <w:rFonts w:cs="Times New Roman"/>
                <w:szCs w:val="24"/>
              </w:rPr>
              <w:t>Toll Free   800-727-9170</w:t>
            </w:r>
          </w:p>
          <w:p w:rsidR="00F86C06" w:rsidRPr="001F25AF" w:rsidRDefault="00F86C06" w:rsidP="00984B3E">
            <w:pPr>
              <w:pStyle w:val="Header"/>
              <w:spacing w:line="240" w:lineRule="auto"/>
              <w:rPr>
                <w:rFonts w:cs="Times New Roman"/>
                <w:b/>
                <w:bCs/>
                <w:szCs w:val="24"/>
              </w:rPr>
            </w:pPr>
          </w:p>
        </w:tc>
        <w:tc>
          <w:tcPr>
            <w:tcW w:w="4788" w:type="dxa"/>
          </w:tcPr>
          <w:p w:rsidR="00F86C06" w:rsidRPr="001F25AF" w:rsidRDefault="00F86C06" w:rsidP="00984B3E">
            <w:pPr>
              <w:pStyle w:val="Header"/>
              <w:tabs>
                <w:tab w:val="left" w:pos="2232"/>
              </w:tabs>
              <w:spacing w:line="240" w:lineRule="auto"/>
              <w:rPr>
                <w:rFonts w:cs="Times New Roman"/>
                <w:b/>
                <w:bCs/>
                <w:szCs w:val="24"/>
              </w:rPr>
            </w:pPr>
            <w:r w:rsidRPr="001F25AF">
              <w:rPr>
                <w:rFonts w:cs="Times New Roman"/>
                <w:b/>
                <w:bCs/>
                <w:szCs w:val="24"/>
              </w:rPr>
              <w:t xml:space="preserve"> </w:t>
            </w:r>
            <w:r w:rsidRPr="001F25AF">
              <w:rPr>
                <w:rFonts w:cs="Times New Roman"/>
                <w:b/>
                <w:bCs/>
                <w:szCs w:val="24"/>
              </w:rPr>
              <w:tab/>
              <w:t xml:space="preserve"> </w:t>
            </w:r>
          </w:p>
        </w:tc>
      </w:tr>
    </w:tbl>
    <w:p w:rsidR="00F31804" w:rsidRPr="001F25AF" w:rsidRDefault="00F31804" w:rsidP="00984B3E">
      <w:pPr>
        <w:pStyle w:val="NoSpacing"/>
        <w:ind w:right="-270"/>
        <w:jc w:val="right"/>
        <w:rPr>
          <w:rFonts w:cs="Times New Roman"/>
          <w:b/>
          <w:color w:val="FF0000"/>
          <w:szCs w:val="24"/>
        </w:rPr>
      </w:pPr>
    </w:p>
    <w:p w:rsidR="00F45919" w:rsidRPr="001F25AF" w:rsidRDefault="00815AEC" w:rsidP="00984B3E">
      <w:pPr>
        <w:pStyle w:val="NoSpacing"/>
        <w:ind w:right="-270"/>
        <w:jc w:val="both"/>
        <w:rPr>
          <w:rFonts w:cs="Times New Roman"/>
          <w:szCs w:val="24"/>
        </w:rPr>
      </w:pPr>
      <w:r w:rsidRPr="001F25AF">
        <w:rPr>
          <w:rFonts w:cs="Times New Roman"/>
          <w:szCs w:val="24"/>
        </w:rPr>
        <w:t>September 1</w:t>
      </w:r>
      <w:r w:rsidR="00FC662A">
        <w:rPr>
          <w:rFonts w:cs="Times New Roman"/>
          <w:szCs w:val="24"/>
        </w:rPr>
        <w:t>7</w:t>
      </w:r>
      <w:r w:rsidR="006371EA" w:rsidRPr="001F25AF">
        <w:rPr>
          <w:rFonts w:cs="Times New Roman"/>
          <w:szCs w:val="24"/>
        </w:rPr>
        <w:t>, 2015</w:t>
      </w:r>
    </w:p>
    <w:p w:rsidR="00F45919" w:rsidRPr="001F25AF" w:rsidRDefault="00F45919" w:rsidP="00984B3E">
      <w:pPr>
        <w:pStyle w:val="NoSpacing"/>
        <w:ind w:right="-270"/>
        <w:jc w:val="both"/>
        <w:rPr>
          <w:rFonts w:cs="Times New Roman"/>
          <w:szCs w:val="24"/>
        </w:rPr>
      </w:pPr>
    </w:p>
    <w:p w:rsidR="00F45919" w:rsidRPr="001F25AF" w:rsidRDefault="00F45919" w:rsidP="00984B3E">
      <w:pPr>
        <w:pStyle w:val="NoSpacing"/>
        <w:ind w:right="-270"/>
        <w:jc w:val="both"/>
        <w:rPr>
          <w:rFonts w:cs="Times New Roman"/>
          <w:b/>
          <w:i/>
          <w:szCs w:val="24"/>
        </w:rPr>
      </w:pPr>
      <w:r w:rsidRPr="001F25AF">
        <w:rPr>
          <w:rFonts w:cs="Times New Roman"/>
          <w:b/>
          <w:i/>
          <w:szCs w:val="24"/>
        </w:rPr>
        <w:t xml:space="preserve">Via </w:t>
      </w:r>
      <w:r w:rsidR="00FC662A">
        <w:rPr>
          <w:rFonts w:cs="Times New Roman"/>
          <w:b/>
          <w:i/>
          <w:szCs w:val="24"/>
        </w:rPr>
        <w:t>Web Portal</w:t>
      </w:r>
    </w:p>
    <w:p w:rsidR="00F45919" w:rsidRPr="001F25AF" w:rsidRDefault="00F45919" w:rsidP="00984B3E">
      <w:pPr>
        <w:pStyle w:val="NoSpacing"/>
        <w:ind w:right="-270"/>
        <w:jc w:val="both"/>
        <w:rPr>
          <w:rFonts w:cs="Times New Roman"/>
          <w:b/>
          <w:szCs w:val="24"/>
          <w:u w:val="single"/>
        </w:rPr>
      </w:pPr>
    </w:p>
    <w:p w:rsidR="00F45919" w:rsidRPr="001F25AF" w:rsidRDefault="00F45919" w:rsidP="00984B3E">
      <w:pPr>
        <w:spacing w:line="240" w:lineRule="auto"/>
        <w:ind w:right="-270"/>
        <w:jc w:val="both"/>
        <w:rPr>
          <w:rFonts w:cs="Times New Roman"/>
          <w:szCs w:val="24"/>
        </w:rPr>
      </w:pPr>
      <w:r w:rsidRPr="001F25AF">
        <w:rPr>
          <w:rFonts w:cs="Times New Roman"/>
          <w:szCs w:val="24"/>
        </w:rPr>
        <w:t>Steven V. King</w:t>
      </w:r>
    </w:p>
    <w:p w:rsidR="00F45919" w:rsidRPr="001F25AF" w:rsidRDefault="00F45919" w:rsidP="00984B3E">
      <w:pPr>
        <w:spacing w:line="240" w:lineRule="auto"/>
        <w:ind w:right="-270"/>
        <w:jc w:val="both"/>
        <w:rPr>
          <w:rFonts w:cs="Times New Roman"/>
          <w:szCs w:val="24"/>
        </w:rPr>
      </w:pPr>
      <w:r w:rsidRPr="001F25AF">
        <w:rPr>
          <w:rFonts w:cs="Times New Roman"/>
          <w:szCs w:val="24"/>
        </w:rPr>
        <w:t>Executive Director and Secretary</w:t>
      </w:r>
    </w:p>
    <w:p w:rsidR="00F45919" w:rsidRPr="001F25AF" w:rsidRDefault="00F45919" w:rsidP="00984B3E">
      <w:pPr>
        <w:spacing w:line="240" w:lineRule="auto"/>
        <w:ind w:right="-270"/>
        <w:jc w:val="both"/>
        <w:rPr>
          <w:rFonts w:cs="Times New Roman"/>
          <w:szCs w:val="24"/>
        </w:rPr>
      </w:pPr>
      <w:r w:rsidRPr="001F25AF">
        <w:rPr>
          <w:rFonts w:cs="Times New Roman"/>
          <w:szCs w:val="24"/>
        </w:rPr>
        <w:t>Washington Utilities &amp; Transportation Commission</w:t>
      </w:r>
    </w:p>
    <w:p w:rsidR="00F45919" w:rsidRPr="001F25AF" w:rsidRDefault="00F45919" w:rsidP="00984B3E">
      <w:pPr>
        <w:spacing w:line="240" w:lineRule="auto"/>
        <w:ind w:right="-270"/>
        <w:jc w:val="both"/>
        <w:rPr>
          <w:rFonts w:cs="Times New Roman"/>
          <w:szCs w:val="24"/>
        </w:rPr>
      </w:pPr>
      <w:r w:rsidRPr="001F25AF">
        <w:rPr>
          <w:rFonts w:cs="Times New Roman"/>
          <w:szCs w:val="24"/>
        </w:rPr>
        <w:t>1300 S. Evergreen Park Drive S.W.</w:t>
      </w:r>
    </w:p>
    <w:p w:rsidR="00F45919" w:rsidRPr="001F25AF" w:rsidRDefault="00F45919" w:rsidP="00984B3E">
      <w:pPr>
        <w:spacing w:line="240" w:lineRule="auto"/>
        <w:ind w:right="-270"/>
        <w:jc w:val="both"/>
        <w:rPr>
          <w:rFonts w:cs="Times New Roman"/>
          <w:szCs w:val="24"/>
        </w:rPr>
      </w:pPr>
      <w:r w:rsidRPr="001F25AF">
        <w:rPr>
          <w:rFonts w:cs="Times New Roman"/>
          <w:szCs w:val="24"/>
        </w:rPr>
        <w:t>P.O. Box 47250</w:t>
      </w:r>
    </w:p>
    <w:p w:rsidR="00F45919" w:rsidRPr="001F25AF" w:rsidRDefault="00F45919" w:rsidP="00984B3E">
      <w:pPr>
        <w:spacing w:line="240" w:lineRule="auto"/>
        <w:ind w:right="-270"/>
        <w:jc w:val="both"/>
        <w:rPr>
          <w:rFonts w:cs="Times New Roman"/>
          <w:szCs w:val="24"/>
        </w:rPr>
      </w:pPr>
      <w:r w:rsidRPr="001F25AF">
        <w:rPr>
          <w:rFonts w:cs="Times New Roman"/>
          <w:szCs w:val="24"/>
        </w:rPr>
        <w:t>Olympia, Washington  98504-7250</w:t>
      </w:r>
    </w:p>
    <w:p w:rsidR="00F45919" w:rsidRPr="001F25AF" w:rsidRDefault="00F45919" w:rsidP="00984B3E">
      <w:pPr>
        <w:pStyle w:val="NoSpacing"/>
        <w:ind w:right="-270"/>
        <w:jc w:val="both"/>
        <w:rPr>
          <w:rFonts w:cs="Times New Roman"/>
          <w:b/>
          <w:szCs w:val="24"/>
          <w:u w:val="single"/>
        </w:rPr>
      </w:pPr>
    </w:p>
    <w:p w:rsidR="00F45919" w:rsidRPr="001F25AF" w:rsidRDefault="00F45919" w:rsidP="00984B3E">
      <w:pPr>
        <w:pStyle w:val="NoSpacing"/>
        <w:ind w:left="720" w:hanging="720"/>
        <w:jc w:val="both"/>
        <w:rPr>
          <w:rFonts w:cs="Times New Roman"/>
          <w:szCs w:val="24"/>
        </w:rPr>
      </w:pPr>
      <w:r w:rsidRPr="001F25AF">
        <w:rPr>
          <w:rFonts w:cs="Times New Roman"/>
          <w:szCs w:val="24"/>
        </w:rPr>
        <w:t>Re:</w:t>
      </w:r>
      <w:r w:rsidRPr="001F25AF">
        <w:rPr>
          <w:rFonts w:cs="Times New Roman"/>
          <w:szCs w:val="24"/>
        </w:rPr>
        <w:tab/>
      </w:r>
      <w:r w:rsidR="00D96E8B" w:rsidRPr="001F25AF">
        <w:rPr>
          <w:rFonts w:cs="Times New Roman"/>
          <w:szCs w:val="24"/>
        </w:rPr>
        <w:t>Docket No. U</w:t>
      </w:r>
      <w:r w:rsidR="00815AEC" w:rsidRPr="001F25AF">
        <w:rPr>
          <w:rFonts w:cs="Times New Roman"/>
          <w:szCs w:val="24"/>
        </w:rPr>
        <w:t>G</w:t>
      </w:r>
      <w:r w:rsidR="00E56E77" w:rsidRPr="001F25AF">
        <w:rPr>
          <w:rFonts w:cs="Times New Roman"/>
          <w:szCs w:val="24"/>
        </w:rPr>
        <w:t>-14</w:t>
      </w:r>
      <w:r w:rsidR="00815AEC" w:rsidRPr="001F25AF">
        <w:rPr>
          <w:rFonts w:cs="Times New Roman"/>
          <w:szCs w:val="24"/>
        </w:rPr>
        <w:t>3616</w:t>
      </w:r>
      <w:r w:rsidR="00D96E8B" w:rsidRPr="001F25AF">
        <w:rPr>
          <w:rFonts w:cs="Times New Roman"/>
          <w:szCs w:val="24"/>
        </w:rPr>
        <w:t xml:space="preserve"> - </w:t>
      </w:r>
      <w:r w:rsidR="008A797C" w:rsidRPr="001F25AF">
        <w:rPr>
          <w:rFonts w:cs="Times New Roman"/>
          <w:szCs w:val="24"/>
        </w:rPr>
        <w:t>Comments of Avista Utilities</w:t>
      </w:r>
    </w:p>
    <w:p w:rsidR="00E05C9C" w:rsidRPr="001F25AF" w:rsidRDefault="00E05C9C" w:rsidP="00E05C9C">
      <w:pPr>
        <w:pStyle w:val="NoSpacing"/>
        <w:jc w:val="both"/>
        <w:rPr>
          <w:rFonts w:cs="Times New Roman"/>
          <w:szCs w:val="24"/>
        </w:rPr>
      </w:pPr>
    </w:p>
    <w:p w:rsidR="00AE3FE6" w:rsidRPr="001F25AF" w:rsidRDefault="00AE3FE6" w:rsidP="00E05C9C">
      <w:pPr>
        <w:pStyle w:val="NoSpacing"/>
        <w:jc w:val="both"/>
        <w:rPr>
          <w:rFonts w:cs="Times New Roman"/>
          <w:szCs w:val="24"/>
        </w:rPr>
      </w:pPr>
      <w:r w:rsidRPr="001F25AF">
        <w:rPr>
          <w:rFonts w:cs="Times New Roman"/>
          <w:szCs w:val="24"/>
        </w:rPr>
        <w:t xml:space="preserve">Avista Corporation, dba Avista Utilities (Avista or Company), submits the following comments in accordance with the Washington Utilities and Transportation Commission’s (Commission) Notice of Opportunity to </w:t>
      </w:r>
      <w:r w:rsidR="001F25AF">
        <w:rPr>
          <w:rFonts w:cs="Times New Roman"/>
          <w:szCs w:val="24"/>
        </w:rPr>
        <w:t>File Written Comments</w:t>
      </w:r>
      <w:r w:rsidR="009C085E" w:rsidRPr="001F25AF">
        <w:rPr>
          <w:rFonts w:cs="Times New Roman"/>
          <w:szCs w:val="24"/>
        </w:rPr>
        <w:t xml:space="preserve"> </w:t>
      </w:r>
      <w:r w:rsidRPr="001F25AF">
        <w:rPr>
          <w:rFonts w:cs="Times New Roman"/>
          <w:szCs w:val="24"/>
        </w:rPr>
        <w:t xml:space="preserve">issued </w:t>
      </w:r>
      <w:r w:rsidR="001F25AF">
        <w:rPr>
          <w:rFonts w:cs="Times New Roman"/>
          <w:szCs w:val="24"/>
        </w:rPr>
        <w:t xml:space="preserve">on </w:t>
      </w:r>
      <w:r w:rsidR="00815AEC" w:rsidRPr="001F25AF">
        <w:rPr>
          <w:rFonts w:cs="Times New Roman"/>
          <w:szCs w:val="24"/>
        </w:rPr>
        <w:t>August 20</w:t>
      </w:r>
      <w:r w:rsidRPr="001F25AF">
        <w:rPr>
          <w:rFonts w:cs="Times New Roman"/>
          <w:szCs w:val="24"/>
        </w:rPr>
        <w:t>, 2015</w:t>
      </w:r>
      <w:r w:rsidR="001F25AF">
        <w:rPr>
          <w:rFonts w:cs="Times New Roman"/>
          <w:szCs w:val="24"/>
        </w:rPr>
        <w:t xml:space="preserve"> in </w:t>
      </w:r>
      <w:r w:rsidRPr="001F25AF">
        <w:rPr>
          <w:rFonts w:cs="Times New Roman"/>
          <w:szCs w:val="24"/>
        </w:rPr>
        <w:t>Docket</w:t>
      </w:r>
      <w:r w:rsidR="001F25AF">
        <w:rPr>
          <w:rFonts w:cs="Times New Roman"/>
          <w:szCs w:val="24"/>
        </w:rPr>
        <w:t xml:space="preserve"> No.</w:t>
      </w:r>
      <w:r w:rsidRPr="001F25AF">
        <w:rPr>
          <w:rFonts w:cs="Times New Roman"/>
          <w:szCs w:val="24"/>
        </w:rPr>
        <w:t xml:space="preserve"> U</w:t>
      </w:r>
      <w:r w:rsidR="001F25AF">
        <w:rPr>
          <w:rFonts w:cs="Times New Roman"/>
          <w:szCs w:val="24"/>
        </w:rPr>
        <w:t>G</w:t>
      </w:r>
      <w:r w:rsidRPr="001F25AF">
        <w:rPr>
          <w:rFonts w:cs="Times New Roman"/>
          <w:szCs w:val="24"/>
        </w:rPr>
        <w:t>-14</w:t>
      </w:r>
      <w:r w:rsidR="00815AEC" w:rsidRPr="001F25AF">
        <w:rPr>
          <w:rFonts w:cs="Times New Roman"/>
          <w:szCs w:val="24"/>
        </w:rPr>
        <w:t>3616</w:t>
      </w:r>
      <w:r w:rsidRPr="001F25AF">
        <w:rPr>
          <w:rFonts w:cs="Times New Roman"/>
          <w:szCs w:val="24"/>
        </w:rPr>
        <w:t>.</w:t>
      </w:r>
    </w:p>
    <w:p w:rsidR="00A90606" w:rsidRPr="001F25AF" w:rsidRDefault="00A90606" w:rsidP="00984B3E">
      <w:pPr>
        <w:pStyle w:val="NoSpacing"/>
        <w:ind w:firstLine="720"/>
        <w:jc w:val="both"/>
        <w:rPr>
          <w:rFonts w:cs="Times New Roman"/>
          <w:szCs w:val="24"/>
        </w:rPr>
      </w:pPr>
    </w:p>
    <w:p w:rsidR="0032079D" w:rsidRPr="001F25AF" w:rsidRDefault="0032079D" w:rsidP="00E05C9C">
      <w:pPr>
        <w:pStyle w:val="NoSpacing"/>
        <w:jc w:val="both"/>
        <w:rPr>
          <w:rFonts w:cs="Times New Roman"/>
          <w:szCs w:val="24"/>
        </w:rPr>
      </w:pPr>
      <w:r w:rsidRPr="001F25AF">
        <w:rPr>
          <w:rFonts w:cs="Times New Roman"/>
          <w:szCs w:val="24"/>
        </w:rPr>
        <w:t xml:space="preserve">Avista appreciates the Commission’s </w:t>
      </w:r>
      <w:r w:rsidR="00815AEC" w:rsidRPr="001F25AF">
        <w:rPr>
          <w:rFonts w:cs="Times New Roman"/>
          <w:szCs w:val="24"/>
        </w:rPr>
        <w:t xml:space="preserve">continued </w:t>
      </w:r>
      <w:r w:rsidRPr="001F25AF">
        <w:rPr>
          <w:rFonts w:cs="Times New Roman"/>
          <w:szCs w:val="24"/>
        </w:rPr>
        <w:t xml:space="preserve">efforts </w:t>
      </w:r>
      <w:r w:rsidR="00815AEC" w:rsidRPr="001F25AF">
        <w:rPr>
          <w:rFonts w:cs="Times New Roman"/>
          <w:szCs w:val="24"/>
        </w:rPr>
        <w:t xml:space="preserve">in the investigation of natural gas infrastructure </w:t>
      </w:r>
      <w:r w:rsidRPr="001F25AF">
        <w:rPr>
          <w:rFonts w:cs="Times New Roman"/>
          <w:szCs w:val="24"/>
        </w:rPr>
        <w:t>in Washington and for the opportunity to</w:t>
      </w:r>
      <w:r w:rsidR="00815AEC" w:rsidRPr="001F25AF">
        <w:rPr>
          <w:rFonts w:cs="Times New Roman"/>
          <w:szCs w:val="24"/>
        </w:rPr>
        <w:t xml:space="preserve"> again</w:t>
      </w:r>
      <w:r w:rsidRPr="001F25AF">
        <w:rPr>
          <w:rFonts w:cs="Times New Roman"/>
          <w:szCs w:val="24"/>
        </w:rPr>
        <w:t xml:space="preserve"> provide </w:t>
      </w:r>
      <w:r w:rsidR="00815AEC" w:rsidRPr="001F25AF">
        <w:rPr>
          <w:rFonts w:cs="Times New Roman"/>
          <w:szCs w:val="24"/>
        </w:rPr>
        <w:t xml:space="preserve">comments on this matter in an effort to come up with </w:t>
      </w:r>
      <w:r w:rsidR="00EC2CAF" w:rsidRPr="001F25AF">
        <w:rPr>
          <w:rFonts w:cs="Times New Roman"/>
          <w:szCs w:val="24"/>
        </w:rPr>
        <w:t>possible</w:t>
      </w:r>
      <w:r w:rsidR="00815AEC" w:rsidRPr="001F25AF">
        <w:rPr>
          <w:rFonts w:cs="Times New Roman"/>
          <w:szCs w:val="24"/>
        </w:rPr>
        <w:t xml:space="preserve"> solution</w:t>
      </w:r>
      <w:r w:rsidR="00EC2CAF" w:rsidRPr="001F25AF">
        <w:rPr>
          <w:rFonts w:cs="Times New Roman"/>
          <w:szCs w:val="24"/>
        </w:rPr>
        <w:t>s</w:t>
      </w:r>
      <w:r w:rsidR="00815AEC" w:rsidRPr="001F25AF">
        <w:rPr>
          <w:rFonts w:cs="Times New Roman"/>
          <w:szCs w:val="24"/>
        </w:rPr>
        <w:t xml:space="preserve"> to </w:t>
      </w:r>
      <w:r w:rsidR="00EC2CAF" w:rsidRPr="001F25AF">
        <w:rPr>
          <w:rFonts w:cs="Times New Roman"/>
          <w:szCs w:val="24"/>
        </w:rPr>
        <w:t xml:space="preserve">further expand </w:t>
      </w:r>
      <w:r w:rsidR="008E07EC" w:rsidRPr="001F25AF">
        <w:rPr>
          <w:rFonts w:cs="Times New Roman"/>
          <w:szCs w:val="24"/>
        </w:rPr>
        <w:t xml:space="preserve">natural gas to unserved and underserved areas, </w:t>
      </w:r>
      <w:r w:rsidR="00815AEC" w:rsidRPr="001F25AF">
        <w:rPr>
          <w:rFonts w:cs="Times New Roman"/>
          <w:szCs w:val="24"/>
        </w:rPr>
        <w:t>address environmental concerns, and to promote the economic development and efficient end-use of natural gas.</w:t>
      </w:r>
    </w:p>
    <w:p w:rsidR="00A90606" w:rsidRPr="001F25AF" w:rsidRDefault="00A90606" w:rsidP="00984B3E">
      <w:pPr>
        <w:pStyle w:val="NoSpacing"/>
        <w:ind w:firstLine="720"/>
        <w:jc w:val="both"/>
        <w:rPr>
          <w:rFonts w:cs="Times New Roman"/>
          <w:szCs w:val="24"/>
        </w:rPr>
      </w:pPr>
    </w:p>
    <w:p w:rsidR="00815AEC" w:rsidRPr="001F25AF" w:rsidRDefault="00815AEC" w:rsidP="00E05C9C">
      <w:pPr>
        <w:pStyle w:val="NoSpacing"/>
        <w:jc w:val="both"/>
        <w:rPr>
          <w:rFonts w:cs="Times New Roman"/>
          <w:szCs w:val="24"/>
        </w:rPr>
      </w:pPr>
      <w:r w:rsidRPr="001F25AF">
        <w:rPr>
          <w:rFonts w:cs="Times New Roman"/>
          <w:szCs w:val="24"/>
        </w:rPr>
        <w:t>As discussed in the Notice</w:t>
      </w:r>
      <w:r w:rsidR="008E07EC" w:rsidRPr="001F25AF">
        <w:rPr>
          <w:rFonts w:cs="Times New Roman"/>
          <w:szCs w:val="24"/>
        </w:rPr>
        <w:t>,</w:t>
      </w:r>
      <w:r w:rsidRPr="001F25AF">
        <w:rPr>
          <w:rFonts w:cs="Times New Roman"/>
          <w:szCs w:val="24"/>
        </w:rPr>
        <w:t xml:space="preserve"> </w:t>
      </w:r>
      <w:r w:rsidR="008E07EC" w:rsidRPr="001F25AF">
        <w:rPr>
          <w:rFonts w:cs="Times New Roman"/>
          <w:szCs w:val="24"/>
        </w:rPr>
        <w:t xml:space="preserve">most companies have not made major revisions to their natural gas line extension policies in several years; the Commission believes that it is appropriate to continue to discuss potential changes to these policies. </w:t>
      </w:r>
      <w:r w:rsidR="00DE054E" w:rsidRPr="001F25AF">
        <w:rPr>
          <w:rFonts w:cs="Times New Roman"/>
          <w:szCs w:val="24"/>
        </w:rPr>
        <w:t>As will be explained further in our comments the Company believes that it is appropriate to discuss potential changes to the policy that may make it easier for new customers to convert to natural gas.</w:t>
      </w:r>
    </w:p>
    <w:p w:rsidR="00A90606" w:rsidRPr="001F25AF" w:rsidRDefault="00A90606" w:rsidP="00984B3E">
      <w:pPr>
        <w:pStyle w:val="NoSpacing"/>
        <w:ind w:firstLine="720"/>
        <w:jc w:val="both"/>
        <w:rPr>
          <w:rFonts w:cs="Times New Roman"/>
          <w:szCs w:val="24"/>
        </w:rPr>
      </w:pPr>
    </w:p>
    <w:p w:rsidR="00815AEC" w:rsidRPr="001F25AF" w:rsidRDefault="00DE054E" w:rsidP="00E05C9C">
      <w:pPr>
        <w:pStyle w:val="NoSpacing"/>
        <w:jc w:val="both"/>
        <w:rPr>
          <w:rFonts w:cs="Times New Roman"/>
          <w:szCs w:val="24"/>
        </w:rPr>
      </w:pPr>
      <w:r w:rsidRPr="001F25AF">
        <w:rPr>
          <w:rFonts w:cs="Times New Roman"/>
          <w:szCs w:val="24"/>
        </w:rPr>
        <w:t>The following comments are in response to the Commission’s specific questions:</w:t>
      </w:r>
    </w:p>
    <w:p w:rsidR="00A90606" w:rsidRPr="001F25AF" w:rsidRDefault="00A90606" w:rsidP="00A90606">
      <w:pPr>
        <w:pStyle w:val="NoSpacing"/>
        <w:ind w:firstLine="720"/>
        <w:jc w:val="both"/>
        <w:rPr>
          <w:rFonts w:cs="Times New Roman"/>
          <w:szCs w:val="24"/>
        </w:rPr>
      </w:pPr>
    </w:p>
    <w:p w:rsidR="00DE054E" w:rsidRPr="001F25AF" w:rsidRDefault="00DE054E" w:rsidP="00A90606">
      <w:pPr>
        <w:pStyle w:val="ListParagraph"/>
        <w:numPr>
          <w:ilvl w:val="0"/>
          <w:numId w:val="45"/>
        </w:numPr>
        <w:spacing w:line="240" w:lineRule="auto"/>
        <w:ind w:left="0" w:firstLine="0"/>
        <w:contextualSpacing w:val="0"/>
        <w:jc w:val="both"/>
        <w:rPr>
          <w:rFonts w:cs="Times New Roman"/>
          <w:b/>
          <w:szCs w:val="24"/>
        </w:rPr>
      </w:pPr>
      <w:r w:rsidRPr="001F25AF">
        <w:rPr>
          <w:rFonts w:cs="Times New Roman"/>
          <w:b/>
          <w:szCs w:val="24"/>
        </w:rPr>
        <w:t xml:space="preserve">Line extension policies are one factor that customers consider when connecting to natural gas service, or switching from electric to natural gas service. Are the costs associated with natural gas line extensions recovered in whole through charges to end-users requesting the line extension?  </w:t>
      </w:r>
    </w:p>
    <w:p w:rsidR="00DE054E" w:rsidRPr="001F25AF" w:rsidRDefault="00DE054E" w:rsidP="00A90606">
      <w:pPr>
        <w:spacing w:line="240" w:lineRule="auto"/>
        <w:jc w:val="both"/>
        <w:rPr>
          <w:rFonts w:cs="Times New Roman"/>
          <w:szCs w:val="24"/>
        </w:rPr>
      </w:pPr>
    </w:p>
    <w:p w:rsidR="00A90606" w:rsidRPr="001F25AF" w:rsidRDefault="00DE054E" w:rsidP="00E05C9C">
      <w:pPr>
        <w:spacing w:line="240" w:lineRule="auto"/>
        <w:jc w:val="both"/>
        <w:rPr>
          <w:rFonts w:cs="Times New Roman"/>
          <w:szCs w:val="24"/>
        </w:rPr>
      </w:pPr>
      <w:r w:rsidRPr="001F25AF">
        <w:rPr>
          <w:rFonts w:cs="Times New Roman"/>
          <w:b/>
          <w:szCs w:val="24"/>
        </w:rPr>
        <w:t xml:space="preserve">Response:  </w:t>
      </w:r>
      <w:r w:rsidRPr="001F25AF">
        <w:rPr>
          <w:rFonts w:cs="Times New Roman"/>
          <w:szCs w:val="24"/>
        </w:rPr>
        <w:t xml:space="preserve">New customers </w:t>
      </w:r>
      <w:r w:rsidR="00E1705C" w:rsidRPr="001F25AF">
        <w:rPr>
          <w:rFonts w:cs="Times New Roman"/>
          <w:szCs w:val="24"/>
        </w:rPr>
        <w:t>pay</w:t>
      </w:r>
      <w:r w:rsidRPr="001F25AF">
        <w:rPr>
          <w:rFonts w:cs="Times New Roman"/>
          <w:szCs w:val="24"/>
        </w:rPr>
        <w:t xml:space="preserve"> for the costs associated with their line extensions, either through a direct customer contribution, or through their rates when they begin taking service.  For each natural gas line extension, an allowance based on the Company’s tariffed methodology is calculated.  Should the </w:t>
      </w:r>
      <w:r w:rsidR="00E1705C" w:rsidRPr="001F25AF">
        <w:rPr>
          <w:rFonts w:cs="Times New Roman"/>
          <w:szCs w:val="24"/>
        </w:rPr>
        <w:t xml:space="preserve">estimated </w:t>
      </w:r>
      <w:r w:rsidRPr="001F25AF">
        <w:rPr>
          <w:rFonts w:cs="Times New Roman"/>
          <w:szCs w:val="24"/>
        </w:rPr>
        <w:t xml:space="preserve">overall project cost exceed the </w:t>
      </w:r>
      <w:r w:rsidR="00E1705C" w:rsidRPr="001F25AF">
        <w:rPr>
          <w:rFonts w:cs="Times New Roman"/>
          <w:szCs w:val="24"/>
        </w:rPr>
        <w:t xml:space="preserve">estimated </w:t>
      </w:r>
      <w:r w:rsidRPr="001F25AF">
        <w:rPr>
          <w:rFonts w:cs="Times New Roman"/>
          <w:szCs w:val="24"/>
        </w:rPr>
        <w:t xml:space="preserve">allowance, any costs in excess of the allowance must be paid by the customer in advance of construction.  </w:t>
      </w:r>
      <w:r w:rsidR="00E1705C" w:rsidRPr="001F25AF">
        <w:rPr>
          <w:rFonts w:cs="Times New Roman"/>
          <w:szCs w:val="24"/>
        </w:rPr>
        <w:t>Under the</w:t>
      </w:r>
      <w:r w:rsidRPr="001F25AF">
        <w:rPr>
          <w:rFonts w:cs="Times New Roman"/>
          <w:szCs w:val="24"/>
        </w:rPr>
        <w:t xml:space="preserve"> Company’s present allowance methodology, the allowance provided to a customer is three times the annual revenue that the customer is estimated to provide.  So, if a customer were estimated to provide $640 in annual revenue, the allowance would be $1,920 (or $640 times 3 years).   The estimated revenue requirement associated with the $1,920 utility investment is approximately $184 per year.  Given </w:t>
      </w:r>
      <w:r w:rsidR="00E1705C" w:rsidRPr="001F25AF">
        <w:rPr>
          <w:rFonts w:cs="Times New Roman"/>
          <w:szCs w:val="24"/>
        </w:rPr>
        <w:t xml:space="preserve">that </w:t>
      </w:r>
      <w:r w:rsidRPr="001F25AF">
        <w:rPr>
          <w:rFonts w:cs="Times New Roman"/>
          <w:szCs w:val="24"/>
        </w:rPr>
        <w:t xml:space="preserve">the average annual margin per customer </w:t>
      </w:r>
      <w:r w:rsidR="00644AC9" w:rsidRPr="001F25AF">
        <w:rPr>
          <w:rFonts w:cs="Times New Roman"/>
          <w:szCs w:val="24"/>
        </w:rPr>
        <w:t>is</w:t>
      </w:r>
      <w:r w:rsidR="00EC2CAF" w:rsidRPr="001F25AF">
        <w:rPr>
          <w:rFonts w:cs="Times New Roman"/>
          <w:szCs w:val="24"/>
        </w:rPr>
        <w:t xml:space="preserve"> $388 per year</w:t>
      </w:r>
      <w:r w:rsidRPr="001F25AF">
        <w:rPr>
          <w:rFonts w:cs="Times New Roman"/>
          <w:szCs w:val="24"/>
        </w:rPr>
        <w:t>, new customers are not only paying the revenue requirement associated with their line extension, but also contributing to the fixed costs of all existing customers.</w:t>
      </w:r>
    </w:p>
    <w:p w:rsidR="00DE054E" w:rsidRPr="001F25AF" w:rsidRDefault="00DE054E" w:rsidP="00A90606">
      <w:pPr>
        <w:spacing w:line="240" w:lineRule="auto"/>
        <w:jc w:val="both"/>
        <w:rPr>
          <w:rFonts w:cs="Times New Roman"/>
          <w:szCs w:val="24"/>
        </w:rPr>
      </w:pPr>
      <w:r w:rsidRPr="001F25AF">
        <w:rPr>
          <w:rFonts w:cs="Times New Roman"/>
          <w:szCs w:val="24"/>
        </w:rPr>
        <w:t xml:space="preserve">  </w:t>
      </w:r>
    </w:p>
    <w:p w:rsidR="00DE054E" w:rsidRPr="001F25AF" w:rsidRDefault="00DE054E" w:rsidP="00E05C9C">
      <w:pPr>
        <w:spacing w:line="240" w:lineRule="auto"/>
        <w:jc w:val="both"/>
        <w:rPr>
          <w:rFonts w:cs="Times New Roman"/>
          <w:szCs w:val="24"/>
        </w:rPr>
      </w:pPr>
      <w:r w:rsidRPr="001F25AF">
        <w:rPr>
          <w:rFonts w:cs="Times New Roman"/>
          <w:szCs w:val="24"/>
        </w:rPr>
        <w:t>Avista believes that changes in the methodolog</w:t>
      </w:r>
      <w:r w:rsidR="00E1705C" w:rsidRPr="001F25AF">
        <w:rPr>
          <w:rFonts w:cs="Times New Roman"/>
          <w:szCs w:val="24"/>
        </w:rPr>
        <w:t>y</w:t>
      </w:r>
      <w:r w:rsidRPr="001F25AF">
        <w:rPr>
          <w:rFonts w:cs="Times New Roman"/>
          <w:szCs w:val="24"/>
        </w:rPr>
        <w:t xml:space="preserve"> used to calculate the utilities’ line extension tariffs can be made under the</w:t>
      </w:r>
      <w:r w:rsidR="00E1705C" w:rsidRPr="001F25AF">
        <w:rPr>
          <w:rFonts w:cs="Times New Roman"/>
          <w:szCs w:val="24"/>
        </w:rPr>
        <w:t xml:space="preserve"> Commission’s current authority.  Such a change c</w:t>
      </w:r>
      <w:r w:rsidRPr="001F25AF">
        <w:rPr>
          <w:rFonts w:cs="Times New Roman"/>
          <w:szCs w:val="24"/>
        </w:rPr>
        <w:t xml:space="preserve">ould increase the likelihood that natural gas mains will be more accessible, and that customers will be more inclined to connect to the system.  </w:t>
      </w:r>
    </w:p>
    <w:p w:rsidR="00A90606" w:rsidRPr="001F25AF" w:rsidRDefault="00A90606" w:rsidP="00A90606">
      <w:pPr>
        <w:spacing w:line="240" w:lineRule="auto"/>
        <w:ind w:firstLine="720"/>
        <w:jc w:val="both"/>
        <w:rPr>
          <w:rFonts w:cs="Times New Roman"/>
          <w:szCs w:val="24"/>
        </w:rPr>
      </w:pPr>
    </w:p>
    <w:p w:rsidR="00E1705C" w:rsidRPr="001F25AF" w:rsidRDefault="00DE054E" w:rsidP="00E05C9C">
      <w:pPr>
        <w:spacing w:line="240" w:lineRule="auto"/>
        <w:jc w:val="both"/>
        <w:rPr>
          <w:rFonts w:cs="Times New Roman"/>
          <w:szCs w:val="24"/>
        </w:rPr>
      </w:pPr>
      <w:r w:rsidRPr="001F25AF">
        <w:rPr>
          <w:rFonts w:cs="Times New Roman"/>
          <w:szCs w:val="24"/>
        </w:rPr>
        <w:t>For example, a recent estimate of the cost of an average line extension</w:t>
      </w:r>
      <w:r w:rsidR="00E1705C" w:rsidRPr="001F25AF">
        <w:rPr>
          <w:rFonts w:cs="Times New Roman"/>
          <w:szCs w:val="24"/>
        </w:rPr>
        <w:t>,</w:t>
      </w:r>
      <w:r w:rsidRPr="001F25AF">
        <w:rPr>
          <w:rFonts w:cs="Times New Roman"/>
          <w:szCs w:val="24"/>
        </w:rPr>
        <w:t xml:space="preserve"> which was provided in this docket</w:t>
      </w:r>
      <w:r w:rsidR="00E1705C" w:rsidRPr="001F25AF">
        <w:rPr>
          <w:rFonts w:cs="Times New Roman"/>
          <w:szCs w:val="24"/>
        </w:rPr>
        <w:t>,</w:t>
      </w:r>
      <w:r w:rsidRPr="001F25AF">
        <w:rPr>
          <w:rFonts w:cs="Times New Roman"/>
          <w:szCs w:val="24"/>
        </w:rPr>
        <w:t xml:space="preserve"> was $2,345.  Under current practice, </w:t>
      </w:r>
      <w:r w:rsidR="00E1705C" w:rsidRPr="001F25AF">
        <w:rPr>
          <w:rFonts w:cs="Times New Roman"/>
          <w:szCs w:val="24"/>
        </w:rPr>
        <w:t xml:space="preserve">the customer would receive an allowance of $1,920, and </w:t>
      </w:r>
      <w:r w:rsidRPr="001F25AF">
        <w:rPr>
          <w:rFonts w:cs="Times New Roman"/>
          <w:szCs w:val="24"/>
        </w:rPr>
        <w:t>would be responsible for an upfront contribution of $425</w:t>
      </w:r>
      <w:r w:rsidR="00E1705C" w:rsidRPr="001F25AF">
        <w:rPr>
          <w:rFonts w:cs="Times New Roman"/>
          <w:szCs w:val="24"/>
        </w:rPr>
        <w:t xml:space="preserve">. Such a contribution in aid of construction, on top of </w:t>
      </w:r>
      <w:r w:rsidR="00EC2CAF" w:rsidRPr="001F25AF">
        <w:rPr>
          <w:rFonts w:cs="Times New Roman"/>
          <w:szCs w:val="24"/>
        </w:rPr>
        <w:t>equipment costs on the customer’s side of the meter</w:t>
      </w:r>
      <w:r w:rsidR="00E1705C" w:rsidRPr="001F25AF">
        <w:rPr>
          <w:rFonts w:cs="Times New Roman"/>
          <w:szCs w:val="24"/>
        </w:rPr>
        <w:t>, can be an impediment for customers to switch to natural gas</w:t>
      </w:r>
      <w:r w:rsidRPr="001F25AF">
        <w:rPr>
          <w:rFonts w:cs="Times New Roman"/>
          <w:szCs w:val="24"/>
        </w:rPr>
        <w:t xml:space="preserve">.  </w:t>
      </w:r>
      <w:r w:rsidR="00E1705C" w:rsidRPr="001F25AF">
        <w:rPr>
          <w:rFonts w:cs="Times New Roman"/>
          <w:szCs w:val="24"/>
        </w:rPr>
        <w:t xml:space="preserve">From a margin perspective however, </w:t>
      </w:r>
      <w:r w:rsidRPr="001F25AF">
        <w:rPr>
          <w:rFonts w:cs="Times New Roman"/>
          <w:szCs w:val="24"/>
        </w:rPr>
        <w:t xml:space="preserve">there is </w:t>
      </w:r>
      <w:r w:rsidR="00EC2CAF" w:rsidRPr="001F25AF">
        <w:rPr>
          <w:rFonts w:cs="Times New Roman"/>
          <w:szCs w:val="24"/>
        </w:rPr>
        <w:t xml:space="preserve">support </w:t>
      </w:r>
      <w:r w:rsidRPr="001F25AF">
        <w:rPr>
          <w:rFonts w:cs="Times New Roman"/>
          <w:szCs w:val="24"/>
        </w:rPr>
        <w:t>to increase the allowance</w:t>
      </w:r>
      <w:r w:rsidR="00EC2CAF" w:rsidRPr="001F25AF">
        <w:rPr>
          <w:rFonts w:cs="Times New Roman"/>
          <w:szCs w:val="24"/>
        </w:rPr>
        <w:t>.</w:t>
      </w:r>
      <w:r w:rsidRPr="001F25AF">
        <w:rPr>
          <w:rFonts w:cs="Times New Roman"/>
          <w:szCs w:val="24"/>
        </w:rPr>
        <w:t xml:space="preserve"> The Company provided one example of a new allowance methodology in its December 15, 2014 comments in this Docket.</w:t>
      </w:r>
      <w:r w:rsidRPr="001F25AF">
        <w:rPr>
          <w:rStyle w:val="FootnoteReference"/>
          <w:rFonts w:cs="Times New Roman"/>
          <w:szCs w:val="24"/>
        </w:rPr>
        <w:footnoteReference w:id="1"/>
      </w:r>
      <w:r w:rsidRPr="001F25AF">
        <w:rPr>
          <w:rFonts w:cs="Times New Roman"/>
          <w:szCs w:val="24"/>
        </w:rPr>
        <w:t xml:space="preserve">  </w:t>
      </w:r>
    </w:p>
    <w:p w:rsidR="00984B3E" w:rsidRPr="001F25AF" w:rsidRDefault="00984B3E" w:rsidP="00A90606">
      <w:pPr>
        <w:spacing w:line="240" w:lineRule="auto"/>
        <w:ind w:firstLine="720"/>
        <w:jc w:val="both"/>
        <w:rPr>
          <w:rFonts w:cs="Times New Roman"/>
          <w:szCs w:val="24"/>
        </w:rPr>
      </w:pPr>
    </w:p>
    <w:p w:rsidR="00FD5FB6" w:rsidRPr="001F25AF" w:rsidRDefault="00FD5FB6" w:rsidP="00E05C9C">
      <w:pPr>
        <w:spacing w:line="240" w:lineRule="auto"/>
        <w:jc w:val="both"/>
        <w:rPr>
          <w:rFonts w:cs="Times New Roman"/>
          <w:szCs w:val="24"/>
        </w:rPr>
      </w:pPr>
      <w:r w:rsidRPr="001F25AF">
        <w:rPr>
          <w:rFonts w:cs="Times New Roman"/>
          <w:szCs w:val="24"/>
        </w:rPr>
        <w:t xml:space="preserve">The Company is currently developing a filing which, among other things, will seek to revise its line extension using the </w:t>
      </w:r>
      <w:r w:rsidR="00644AC9" w:rsidRPr="001F25AF">
        <w:rPr>
          <w:rFonts w:cs="Times New Roman"/>
          <w:szCs w:val="24"/>
        </w:rPr>
        <w:t xml:space="preserve">Perpetual Net Present Value </w:t>
      </w:r>
      <w:r w:rsidRPr="001F25AF">
        <w:rPr>
          <w:rFonts w:cs="Times New Roman"/>
          <w:szCs w:val="24"/>
        </w:rPr>
        <w:t>methodo</w:t>
      </w:r>
      <w:r w:rsidR="00163E06" w:rsidRPr="001F25AF">
        <w:rPr>
          <w:rFonts w:cs="Times New Roman"/>
          <w:szCs w:val="24"/>
        </w:rPr>
        <w:t xml:space="preserve">logy </w:t>
      </w:r>
      <w:r w:rsidR="00644AC9" w:rsidRPr="001F25AF">
        <w:rPr>
          <w:rFonts w:cs="Times New Roman"/>
          <w:szCs w:val="24"/>
        </w:rPr>
        <w:t xml:space="preserve">described in the Company’s December 2014 comments (and as </w:t>
      </w:r>
      <w:r w:rsidR="00163E06" w:rsidRPr="001F25AF">
        <w:rPr>
          <w:rFonts w:cs="Times New Roman"/>
          <w:szCs w:val="24"/>
        </w:rPr>
        <w:t>provided in Footnote No. 1</w:t>
      </w:r>
      <w:r w:rsidR="00644AC9" w:rsidRPr="001F25AF">
        <w:rPr>
          <w:rFonts w:cs="Times New Roman"/>
          <w:szCs w:val="24"/>
        </w:rPr>
        <w:t xml:space="preserve"> above)</w:t>
      </w:r>
      <w:r w:rsidR="00163E06" w:rsidRPr="001F25AF">
        <w:rPr>
          <w:rFonts w:cs="Times New Roman"/>
          <w:szCs w:val="24"/>
        </w:rPr>
        <w:t xml:space="preserve">. That methodology </w:t>
      </w:r>
      <w:r w:rsidR="00644AC9" w:rsidRPr="001F25AF">
        <w:rPr>
          <w:rFonts w:cs="Times New Roman"/>
          <w:szCs w:val="24"/>
        </w:rPr>
        <w:t xml:space="preserve">would </w:t>
      </w:r>
      <w:r w:rsidR="00EC2CAF" w:rsidRPr="001F25AF">
        <w:rPr>
          <w:rFonts w:cs="Times New Roman"/>
          <w:szCs w:val="24"/>
        </w:rPr>
        <w:lastRenderedPageBreak/>
        <w:t xml:space="preserve">likely </w:t>
      </w:r>
      <w:r w:rsidR="00644AC9" w:rsidRPr="001F25AF">
        <w:rPr>
          <w:rFonts w:cs="Times New Roman"/>
          <w:szCs w:val="24"/>
        </w:rPr>
        <w:t>provide further natural gas hookups in a cost-justified manner, and at the same time is easier to administer for the Company and audit for the Commission</w:t>
      </w:r>
      <w:r w:rsidR="00A90606" w:rsidRPr="001F25AF">
        <w:rPr>
          <w:rFonts w:cs="Times New Roman"/>
          <w:szCs w:val="24"/>
        </w:rPr>
        <w:t>.</w:t>
      </w:r>
    </w:p>
    <w:p w:rsidR="00DE054E" w:rsidRPr="001F25AF" w:rsidRDefault="00DE054E" w:rsidP="00A90606">
      <w:pPr>
        <w:pStyle w:val="ListParagraph"/>
        <w:spacing w:line="240" w:lineRule="auto"/>
        <w:ind w:left="0"/>
        <w:contextualSpacing w:val="0"/>
        <w:jc w:val="both"/>
        <w:rPr>
          <w:rFonts w:cs="Times New Roman"/>
          <w:szCs w:val="24"/>
        </w:rPr>
      </w:pPr>
      <w:r w:rsidRPr="001F25AF">
        <w:rPr>
          <w:rFonts w:cs="Times New Roman"/>
          <w:szCs w:val="24"/>
        </w:rPr>
        <w:t xml:space="preserve">  </w:t>
      </w:r>
    </w:p>
    <w:p w:rsidR="00DE054E" w:rsidRPr="001F25AF" w:rsidRDefault="00DE054E" w:rsidP="00A90606">
      <w:pPr>
        <w:pStyle w:val="ListParagraph"/>
        <w:numPr>
          <w:ilvl w:val="0"/>
          <w:numId w:val="45"/>
        </w:numPr>
        <w:spacing w:line="240" w:lineRule="auto"/>
        <w:ind w:left="0" w:firstLine="0"/>
        <w:contextualSpacing w:val="0"/>
        <w:jc w:val="both"/>
        <w:rPr>
          <w:rFonts w:cs="Times New Roman"/>
          <w:b/>
          <w:szCs w:val="24"/>
        </w:rPr>
      </w:pPr>
      <w:r w:rsidRPr="001F25AF">
        <w:rPr>
          <w:rFonts w:cs="Times New Roman"/>
          <w:b/>
          <w:szCs w:val="24"/>
        </w:rPr>
        <w:t xml:space="preserve">If not, what, if any, incentive is provided in the company’s current line extension tariff for new or existing customers to connect to natural gas service? What other incentives does the company provide, if any?  </w:t>
      </w:r>
    </w:p>
    <w:p w:rsidR="00DE054E" w:rsidRPr="001F25AF" w:rsidRDefault="00DE054E" w:rsidP="00A90606">
      <w:pPr>
        <w:pStyle w:val="ListParagraph"/>
        <w:spacing w:line="240" w:lineRule="auto"/>
        <w:ind w:left="0"/>
        <w:contextualSpacing w:val="0"/>
        <w:jc w:val="both"/>
        <w:rPr>
          <w:rFonts w:cs="Times New Roman"/>
          <w:szCs w:val="24"/>
        </w:rPr>
      </w:pPr>
    </w:p>
    <w:p w:rsidR="00DE054E" w:rsidRPr="001F25AF" w:rsidRDefault="00DE054E" w:rsidP="00E05C9C">
      <w:pPr>
        <w:pStyle w:val="ListParagraph"/>
        <w:spacing w:line="240" w:lineRule="auto"/>
        <w:ind w:left="0"/>
        <w:contextualSpacing w:val="0"/>
        <w:jc w:val="both"/>
        <w:rPr>
          <w:rFonts w:cs="Times New Roman"/>
          <w:szCs w:val="24"/>
        </w:rPr>
      </w:pPr>
      <w:r w:rsidRPr="001F25AF">
        <w:rPr>
          <w:rFonts w:cs="Times New Roman"/>
          <w:b/>
          <w:szCs w:val="24"/>
        </w:rPr>
        <w:t xml:space="preserve">Response:  </w:t>
      </w:r>
      <w:r w:rsidRPr="001F25AF">
        <w:rPr>
          <w:rFonts w:cs="Times New Roman"/>
          <w:szCs w:val="24"/>
        </w:rPr>
        <w:t xml:space="preserve">As noted in the Company’s response to </w:t>
      </w:r>
      <w:r w:rsidR="00837181" w:rsidRPr="001F25AF">
        <w:rPr>
          <w:rFonts w:cs="Times New Roman"/>
          <w:szCs w:val="24"/>
        </w:rPr>
        <w:t>Question</w:t>
      </w:r>
      <w:r w:rsidRPr="001F25AF">
        <w:rPr>
          <w:rFonts w:cs="Times New Roman"/>
          <w:szCs w:val="24"/>
        </w:rPr>
        <w:t xml:space="preserve"> No. 1 above, the Company provides a</w:t>
      </w:r>
      <w:r w:rsidR="00837181" w:rsidRPr="001F25AF">
        <w:rPr>
          <w:rFonts w:cs="Times New Roman"/>
          <w:szCs w:val="24"/>
        </w:rPr>
        <w:t>n</w:t>
      </w:r>
      <w:r w:rsidRPr="001F25AF">
        <w:rPr>
          <w:rFonts w:cs="Times New Roman"/>
          <w:szCs w:val="24"/>
        </w:rPr>
        <w:t xml:space="preserve"> </w:t>
      </w:r>
      <w:r w:rsidR="00A90606" w:rsidRPr="001F25AF">
        <w:rPr>
          <w:rFonts w:cs="Times New Roman"/>
          <w:szCs w:val="24"/>
        </w:rPr>
        <w:t>a</w:t>
      </w:r>
      <w:r w:rsidRPr="001F25AF">
        <w:rPr>
          <w:rFonts w:cs="Times New Roman"/>
          <w:szCs w:val="24"/>
        </w:rPr>
        <w:t>llowance for new customer line extensions.  This allowance is not necessarily an incentive, but rather a recognition that the customer will be paying for the costs associated with the line extension in their rates</w:t>
      </w:r>
      <w:r w:rsidR="00A90606" w:rsidRPr="001F25AF">
        <w:rPr>
          <w:rFonts w:cs="Times New Roman"/>
          <w:szCs w:val="24"/>
        </w:rPr>
        <w:t xml:space="preserve"> once they take service</w:t>
      </w:r>
      <w:r w:rsidRPr="001F25AF">
        <w:rPr>
          <w:rFonts w:cs="Times New Roman"/>
          <w:szCs w:val="24"/>
        </w:rPr>
        <w:t xml:space="preserve">.  Absent the allowance, the customer would be responsible for all of the costs </w:t>
      </w:r>
      <w:r w:rsidR="00A90606" w:rsidRPr="001F25AF">
        <w:rPr>
          <w:rFonts w:cs="Times New Roman"/>
          <w:szCs w:val="24"/>
        </w:rPr>
        <w:t xml:space="preserve">of hookup, </w:t>
      </w:r>
      <w:r w:rsidRPr="001F25AF">
        <w:rPr>
          <w:rFonts w:cs="Times New Roman"/>
          <w:szCs w:val="24"/>
        </w:rPr>
        <w:t>while existing customers would accrue all of the benefits</w:t>
      </w:r>
      <w:r w:rsidR="00A90606" w:rsidRPr="001F25AF">
        <w:rPr>
          <w:rFonts w:cs="Times New Roman"/>
          <w:szCs w:val="24"/>
        </w:rPr>
        <w:t xml:space="preserve"> of the new customer – i.e., new customer</w:t>
      </w:r>
      <w:r w:rsidRPr="001F25AF">
        <w:rPr>
          <w:rFonts w:cs="Times New Roman"/>
          <w:szCs w:val="24"/>
        </w:rPr>
        <w:t xml:space="preserve"> margin would reduce the fixed costs for all</w:t>
      </w:r>
      <w:r w:rsidR="00A90606" w:rsidRPr="001F25AF">
        <w:rPr>
          <w:rFonts w:cs="Times New Roman"/>
          <w:szCs w:val="24"/>
        </w:rPr>
        <w:t xml:space="preserve"> existing</w:t>
      </w:r>
      <w:r w:rsidRPr="001F25AF">
        <w:rPr>
          <w:rFonts w:cs="Times New Roman"/>
          <w:szCs w:val="24"/>
        </w:rPr>
        <w:t xml:space="preserve"> customers.</w:t>
      </w:r>
    </w:p>
    <w:p w:rsidR="00D4155F" w:rsidRPr="001F25AF" w:rsidRDefault="00D4155F" w:rsidP="005A4172">
      <w:pPr>
        <w:pStyle w:val="ListParagraph"/>
        <w:spacing w:line="240" w:lineRule="auto"/>
        <w:ind w:left="0" w:firstLine="720"/>
        <w:contextualSpacing w:val="0"/>
        <w:jc w:val="both"/>
        <w:rPr>
          <w:rFonts w:cs="Times New Roman"/>
          <w:szCs w:val="24"/>
        </w:rPr>
      </w:pPr>
    </w:p>
    <w:p w:rsidR="00413781" w:rsidRPr="001F25AF" w:rsidRDefault="005E3398" w:rsidP="00E05C9C">
      <w:pPr>
        <w:pStyle w:val="ListParagraph"/>
        <w:spacing w:line="240" w:lineRule="auto"/>
        <w:ind w:left="0"/>
        <w:contextualSpacing w:val="0"/>
        <w:jc w:val="both"/>
        <w:rPr>
          <w:rFonts w:cs="Times New Roman"/>
          <w:szCs w:val="24"/>
        </w:rPr>
      </w:pPr>
      <w:r w:rsidRPr="001F25AF">
        <w:rPr>
          <w:rFonts w:cs="Times New Roman"/>
          <w:szCs w:val="24"/>
        </w:rPr>
        <w:t xml:space="preserve">Other than the line extension allowance, the only incentives the Company provides to its customers are rebates through its Demand Side Management (DSM) program for the installation of high efficiency equipment or for the conversion from </w:t>
      </w:r>
      <w:r w:rsidR="00E3395F" w:rsidRPr="001F25AF">
        <w:rPr>
          <w:rFonts w:cs="Times New Roman"/>
          <w:szCs w:val="24"/>
        </w:rPr>
        <w:t xml:space="preserve">Avista </w:t>
      </w:r>
      <w:r w:rsidRPr="001F25AF">
        <w:rPr>
          <w:rFonts w:cs="Times New Roman"/>
          <w:szCs w:val="24"/>
        </w:rPr>
        <w:t xml:space="preserve">electric to natural gas furnaces or water heaters.  </w:t>
      </w:r>
    </w:p>
    <w:p w:rsidR="00F8043D" w:rsidRPr="001F25AF" w:rsidRDefault="00F8043D" w:rsidP="005A4172">
      <w:pPr>
        <w:pStyle w:val="ListParagraph"/>
        <w:spacing w:line="240" w:lineRule="auto"/>
        <w:ind w:left="0" w:firstLine="720"/>
        <w:contextualSpacing w:val="0"/>
        <w:jc w:val="both"/>
        <w:rPr>
          <w:rFonts w:cs="Times New Roman"/>
          <w:szCs w:val="24"/>
        </w:rPr>
      </w:pPr>
    </w:p>
    <w:p w:rsidR="005E3398" w:rsidRPr="001F25AF" w:rsidRDefault="005E3398" w:rsidP="00E05C9C">
      <w:pPr>
        <w:pStyle w:val="ListParagraph"/>
        <w:spacing w:line="240" w:lineRule="auto"/>
        <w:ind w:left="0"/>
        <w:contextualSpacing w:val="0"/>
        <w:jc w:val="both"/>
        <w:rPr>
          <w:rFonts w:cs="Times New Roman"/>
          <w:szCs w:val="24"/>
        </w:rPr>
      </w:pPr>
      <w:r w:rsidRPr="001F25AF">
        <w:rPr>
          <w:rFonts w:cs="Times New Roman"/>
          <w:szCs w:val="24"/>
        </w:rPr>
        <w:t>Through experience</w:t>
      </w:r>
      <w:r w:rsidR="00413781" w:rsidRPr="001F25AF">
        <w:rPr>
          <w:rFonts w:cs="Times New Roman"/>
          <w:szCs w:val="24"/>
        </w:rPr>
        <w:t>,</w:t>
      </w:r>
      <w:r w:rsidRPr="001F25AF">
        <w:rPr>
          <w:rFonts w:cs="Times New Roman"/>
          <w:szCs w:val="24"/>
        </w:rPr>
        <w:t xml:space="preserve"> the Company knows that equipment and installation costs are one of the greatest barriers for customers to hook up for natural gas.  Providing rebates for customers converting to natural gas helps offset a portion of the total cost a customer must pay when combined with the line extension allowance, </w:t>
      </w:r>
      <w:r w:rsidR="00413781" w:rsidRPr="001F25AF">
        <w:rPr>
          <w:rFonts w:cs="Times New Roman"/>
          <w:szCs w:val="24"/>
        </w:rPr>
        <w:t>however</w:t>
      </w:r>
      <w:r w:rsidRPr="001F25AF">
        <w:rPr>
          <w:rFonts w:cs="Times New Roman"/>
          <w:szCs w:val="24"/>
        </w:rPr>
        <w:t xml:space="preserve"> it can still cost a customer upward of $5,000 - $10,000 out of pocket</w:t>
      </w:r>
      <w:r w:rsidR="00E3395F" w:rsidRPr="001F25AF">
        <w:rPr>
          <w:rFonts w:cs="Times New Roman"/>
          <w:szCs w:val="24"/>
        </w:rPr>
        <w:t xml:space="preserve"> (before incentives)</w:t>
      </w:r>
      <w:r w:rsidRPr="001F25AF">
        <w:rPr>
          <w:rFonts w:cs="Times New Roman"/>
          <w:szCs w:val="24"/>
        </w:rPr>
        <w:t>.  In the case of new developments or new construction</w:t>
      </w:r>
      <w:r w:rsidR="00413781" w:rsidRPr="001F25AF">
        <w:rPr>
          <w:rFonts w:cs="Times New Roman"/>
          <w:szCs w:val="24"/>
        </w:rPr>
        <w:t>,</w:t>
      </w:r>
      <w:r w:rsidRPr="001F25AF">
        <w:rPr>
          <w:rFonts w:cs="Times New Roman"/>
          <w:szCs w:val="24"/>
        </w:rPr>
        <w:t xml:space="preserve"> the rebate for installing a high efficiency furnace or water heater </w:t>
      </w:r>
      <w:r w:rsidR="00E3395F" w:rsidRPr="001F25AF">
        <w:rPr>
          <w:rFonts w:cs="Times New Roman"/>
          <w:szCs w:val="24"/>
        </w:rPr>
        <w:t>attempts to offset the incremental costs for a high efficiency model</w:t>
      </w:r>
      <w:r w:rsidRPr="001F25AF">
        <w:rPr>
          <w:rFonts w:cs="Times New Roman"/>
          <w:szCs w:val="24"/>
        </w:rPr>
        <w:t xml:space="preserve">, but has a minimal impact on the total cost to a customer. </w:t>
      </w:r>
    </w:p>
    <w:p w:rsidR="005E3398" w:rsidRPr="001F25AF" w:rsidRDefault="005E3398" w:rsidP="005A4172">
      <w:pPr>
        <w:pStyle w:val="ListParagraph"/>
        <w:spacing w:line="240" w:lineRule="auto"/>
        <w:ind w:left="0" w:firstLine="720"/>
        <w:contextualSpacing w:val="0"/>
        <w:jc w:val="both"/>
        <w:rPr>
          <w:rFonts w:cs="Times New Roman"/>
          <w:szCs w:val="24"/>
        </w:rPr>
      </w:pPr>
    </w:p>
    <w:p w:rsidR="004B0245" w:rsidRPr="001F25AF" w:rsidRDefault="00AD7186" w:rsidP="00E05C9C">
      <w:pPr>
        <w:pStyle w:val="ListParagraph"/>
        <w:spacing w:line="240" w:lineRule="auto"/>
        <w:ind w:left="0"/>
        <w:contextualSpacing w:val="0"/>
        <w:jc w:val="both"/>
        <w:rPr>
          <w:rFonts w:cs="Times New Roman"/>
          <w:szCs w:val="24"/>
        </w:rPr>
      </w:pPr>
      <w:r w:rsidRPr="001F25AF">
        <w:rPr>
          <w:rFonts w:cs="Times New Roman"/>
          <w:szCs w:val="24"/>
        </w:rPr>
        <w:t>I</w:t>
      </w:r>
      <w:r w:rsidR="005E3398" w:rsidRPr="001F25AF">
        <w:rPr>
          <w:rFonts w:cs="Times New Roman"/>
          <w:szCs w:val="24"/>
        </w:rPr>
        <w:t>ncreasi</w:t>
      </w:r>
      <w:r w:rsidRPr="001F25AF">
        <w:rPr>
          <w:rFonts w:cs="Times New Roman"/>
          <w:szCs w:val="24"/>
        </w:rPr>
        <w:t>ng the line extension allowance, providing rebates for equipment,</w:t>
      </w:r>
      <w:r w:rsidR="005E3398" w:rsidRPr="001F25AF">
        <w:rPr>
          <w:rFonts w:cs="Times New Roman"/>
          <w:szCs w:val="24"/>
        </w:rPr>
        <w:t xml:space="preserve"> along with educating customers about the benefits of natural gas, and promoting the direct use of natural gas </w:t>
      </w:r>
      <w:r w:rsidR="00EC2CAF" w:rsidRPr="001F25AF">
        <w:rPr>
          <w:rFonts w:cs="Times New Roman"/>
          <w:szCs w:val="24"/>
        </w:rPr>
        <w:t>is helpful, but</w:t>
      </w:r>
      <w:r w:rsidR="005E3398" w:rsidRPr="001F25AF">
        <w:rPr>
          <w:rFonts w:cs="Times New Roman"/>
          <w:szCs w:val="24"/>
        </w:rPr>
        <w:t xml:space="preserve"> it still does not change a customer’s situation of </w:t>
      </w:r>
      <w:r w:rsidR="00EC2CAF" w:rsidRPr="001F25AF">
        <w:rPr>
          <w:rFonts w:cs="Times New Roman"/>
          <w:szCs w:val="24"/>
        </w:rPr>
        <w:t xml:space="preserve">not </w:t>
      </w:r>
      <w:r w:rsidR="005E3398" w:rsidRPr="001F25AF">
        <w:rPr>
          <w:rFonts w:cs="Times New Roman"/>
          <w:szCs w:val="24"/>
        </w:rPr>
        <w:t>having the funds available to pay for the equipment needed to</w:t>
      </w:r>
      <w:r w:rsidR="004B0245" w:rsidRPr="001F25AF">
        <w:rPr>
          <w:rFonts w:cs="Times New Roman"/>
          <w:szCs w:val="24"/>
        </w:rPr>
        <w:t xml:space="preserve"> convert to </w:t>
      </w:r>
      <w:r w:rsidR="005E3398" w:rsidRPr="001F25AF">
        <w:rPr>
          <w:rFonts w:cs="Times New Roman"/>
          <w:szCs w:val="24"/>
        </w:rPr>
        <w:t>natural gas.</w:t>
      </w:r>
      <w:r w:rsidR="004B0245" w:rsidRPr="001F25AF">
        <w:rPr>
          <w:rFonts w:cs="Times New Roman"/>
          <w:szCs w:val="24"/>
        </w:rPr>
        <w:t xml:space="preserve">  In order to overcome the cost barrier that many customers fa</w:t>
      </w:r>
      <w:r w:rsidR="00EC2CAF" w:rsidRPr="001F25AF">
        <w:rPr>
          <w:rFonts w:cs="Times New Roman"/>
          <w:szCs w:val="24"/>
        </w:rPr>
        <w:t xml:space="preserve">ce when deciding to convert to </w:t>
      </w:r>
      <w:r w:rsidR="004B0245" w:rsidRPr="001F25AF">
        <w:rPr>
          <w:rFonts w:cs="Times New Roman"/>
          <w:szCs w:val="24"/>
        </w:rPr>
        <w:t xml:space="preserve">natural gas, one solution </w:t>
      </w:r>
      <w:r w:rsidR="00EC2CAF" w:rsidRPr="001F25AF">
        <w:rPr>
          <w:rFonts w:cs="Times New Roman"/>
          <w:szCs w:val="24"/>
        </w:rPr>
        <w:t>to consider</w:t>
      </w:r>
      <w:r w:rsidR="004B0245" w:rsidRPr="001F25AF">
        <w:rPr>
          <w:rFonts w:cs="Times New Roman"/>
          <w:szCs w:val="24"/>
        </w:rPr>
        <w:t xml:space="preserve"> is an additional customer allowance for the purchase and installation of high efficiency equipment.  </w:t>
      </w:r>
    </w:p>
    <w:p w:rsidR="004B0245" w:rsidRPr="001F25AF" w:rsidRDefault="004B0245" w:rsidP="005A4172">
      <w:pPr>
        <w:pStyle w:val="ListParagraph"/>
        <w:spacing w:line="240" w:lineRule="auto"/>
        <w:ind w:left="0" w:firstLine="720"/>
        <w:contextualSpacing w:val="0"/>
        <w:jc w:val="both"/>
        <w:rPr>
          <w:rFonts w:cs="Times New Roman"/>
          <w:szCs w:val="24"/>
        </w:rPr>
      </w:pPr>
    </w:p>
    <w:p w:rsidR="00D4155F" w:rsidRPr="001F25AF" w:rsidRDefault="004B0245" w:rsidP="00E05C9C">
      <w:pPr>
        <w:pStyle w:val="ListParagraph"/>
        <w:spacing w:line="240" w:lineRule="auto"/>
        <w:ind w:left="0"/>
        <w:contextualSpacing w:val="0"/>
        <w:jc w:val="both"/>
        <w:rPr>
          <w:rFonts w:cs="Times New Roman"/>
          <w:szCs w:val="24"/>
        </w:rPr>
      </w:pPr>
      <w:r w:rsidRPr="001F25AF">
        <w:rPr>
          <w:rFonts w:cs="Times New Roman"/>
          <w:szCs w:val="24"/>
        </w:rPr>
        <w:t>Avista would propose</w:t>
      </w:r>
      <w:r w:rsidR="00A9020F" w:rsidRPr="001F25AF">
        <w:rPr>
          <w:rFonts w:cs="Times New Roman"/>
          <w:szCs w:val="24"/>
        </w:rPr>
        <w:t>, for consideration,</w:t>
      </w:r>
      <w:r w:rsidRPr="001F25AF">
        <w:rPr>
          <w:rFonts w:cs="Times New Roman"/>
          <w:szCs w:val="24"/>
        </w:rPr>
        <w:t xml:space="preserve"> that the equipment allowance be a part of the line extension allowance.  As described in the Company’s response to Question No. 1, the average cost of a residential line extension is $2,345.  If the line extension allowance</w:t>
      </w:r>
      <w:r w:rsidR="00EC2CAF" w:rsidRPr="001F25AF">
        <w:rPr>
          <w:rFonts w:cs="Times New Roman"/>
          <w:szCs w:val="24"/>
        </w:rPr>
        <w:t xml:space="preserve"> were to increase</w:t>
      </w:r>
      <w:r w:rsidRPr="001F25AF">
        <w:rPr>
          <w:rFonts w:cs="Times New Roman"/>
          <w:szCs w:val="24"/>
        </w:rPr>
        <w:t xml:space="preserve"> to $3,800, on average customers would have $1,455 left of their allowance.  In the situation where a customer does not use their entire line extension allowance</w:t>
      </w:r>
      <w:r w:rsidR="00EC2CAF" w:rsidRPr="001F25AF">
        <w:rPr>
          <w:rFonts w:cs="Times New Roman"/>
          <w:szCs w:val="24"/>
        </w:rPr>
        <w:t>,</w:t>
      </w:r>
      <w:r w:rsidRPr="001F25AF">
        <w:rPr>
          <w:rFonts w:cs="Times New Roman"/>
          <w:szCs w:val="24"/>
        </w:rPr>
        <w:t xml:space="preserve"> they are then contributing a greater portion of revenues </w:t>
      </w:r>
      <w:r w:rsidR="00EC2CAF" w:rsidRPr="001F25AF">
        <w:rPr>
          <w:rFonts w:cs="Times New Roman"/>
          <w:szCs w:val="24"/>
        </w:rPr>
        <w:t xml:space="preserve">overtime </w:t>
      </w:r>
      <w:r w:rsidRPr="001F25AF">
        <w:rPr>
          <w:rFonts w:cs="Times New Roman"/>
          <w:szCs w:val="24"/>
        </w:rPr>
        <w:t xml:space="preserve">to cover the fixed costs of all </w:t>
      </w:r>
      <w:r w:rsidR="00A9020F" w:rsidRPr="001F25AF">
        <w:rPr>
          <w:rFonts w:cs="Times New Roman"/>
          <w:szCs w:val="24"/>
        </w:rPr>
        <w:t>existing customers, compared to the situation when they do use all of the line extension allowance.  When a customer does not use all of their line extension allowance</w:t>
      </w:r>
      <w:r w:rsidR="00413781" w:rsidRPr="001F25AF">
        <w:rPr>
          <w:rFonts w:cs="Times New Roman"/>
          <w:szCs w:val="24"/>
        </w:rPr>
        <w:t>,</w:t>
      </w:r>
      <w:r w:rsidR="00A9020F" w:rsidRPr="001F25AF">
        <w:rPr>
          <w:rFonts w:cs="Times New Roman"/>
          <w:szCs w:val="24"/>
        </w:rPr>
        <w:t xml:space="preserve"> the Company believes it </w:t>
      </w:r>
      <w:r w:rsidR="00EC2CAF" w:rsidRPr="001F25AF">
        <w:rPr>
          <w:rFonts w:cs="Times New Roman"/>
          <w:szCs w:val="24"/>
        </w:rPr>
        <w:t>would be reasonable</w:t>
      </w:r>
      <w:r w:rsidR="00A9020F" w:rsidRPr="001F25AF">
        <w:rPr>
          <w:rFonts w:cs="Times New Roman"/>
          <w:szCs w:val="24"/>
        </w:rPr>
        <w:t xml:space="preserve"> to provide the </w:t>
      </w:r>
      <w:r w:rsidR="00A9020F" w:rsidRPr="001F25AF">
        <w:rPr>
          <w:rFonts w:cs="Times New Roman"/>
          <w:szCs w:val="24"/>
        </w:rPr>
        <w:lastRenderedPageBreak/>
        <w:t xml:space="preserve">unused portion of the allowance in the form of a rebate to </w:t>
      </w:r>
      <w:r w:rsidR="00413781" w:rsidRPr="001F25AF">
        <w:rPr>
          <w:rFonts w:cs="Times New Roman"/>
          <w:szCs w:val="24"/>
        </w:rPr>
        <w:t xml:space="preserve">the </w:t>
      </w:r>
      <w:r w:rsidR="00A9020F" w:rsidRPr="001F25AF">
        <w:rPr>
          <w:rFonts w:cs="Times New Roman"/>
          <w:szCs w:val="24"/>
        </w:rPr>
        <w:t>customer for the purchase and installation of high efficiency equipment.</w:t>
      </w:r>
      <w:r w:rsidR="00D643C7" w:rsidRPr="001F25AF">
        <w:rPr>
          <w:rStyle w:val="FootnoteReference"/>
          <w:rFonts w:cs="Times New Roman"/>
          <w:szCs w:val="24"/>
        </w:rPr>
        <w:footnoteReference w:id="2"/>
      </w:r>
      <w:r w:rsidR="00A9020F" w:rsidRPr="001F25AF">
        <w:rPr>
          <w:rFonts w:cs="Times New Roman"/>
          <w:szCs w:val="24"/>
        </w:rPr>
        <w:t xml:space="preserve">  </w:t>
      </w:r>
    </w:p>
    <w:p w:rsidR="00DE054E" w:rsidRPr="001F25AF" w:rsidRDefault="00DE054E" w:rsidP="00A90606">
      <w:pPr>
        <w:spacing w:line="240" w:lineRule="auto"/>
        <w:jc w:val="both"/>
        <w:rPr>
          <w:rFonts w:cs="Times New Roman"/>
          <w:szCs w:val="24"/>
        </w:rPr>
      </w:pPr>
    </w:p>
    <w:p w:rsidR="00DE054E" w:rsidRPr="001F25AF" w:rsidRDefault="00DE054E" w:rsidP="00A90606">
      <w:pPr>
        <w:pStyle w:val="ListParagraph"/>
        <w:numPr>
          <w:ilvl w:val="0"/>
          <w:numId w:val="45"/>
        </w:numPr>
        <w:spacing w:line="240" w:lineRule="auto"/>
        <w:ind w:left="0" w:firstLine="0"/>
        <w:contextualSpacing w:val="0"/>
        <w:jc w:val="both"/>
        <w:rPr>
          <w:rFonts w:cs="Times New Roman"/>
          <w:b/>
          <w:szCs w:val="24"/>
        </w:rPr>
      </w:pPr>
      <w:r w:rsidRPr="001F25AF">
        <w:rPr>
          <w:rFonts w:cs="Times New Roman"/>
          <w:b/>
          <w:szCs w:val="24"/>
        </w:rPr>
        <w:t>Is the company’s current natural gas line extension tariff designed to promote a specific policy outcome or outcomes? If so, what are these outcomes, and does the company believe that its current tariff achieves these outcomes? If not, what specific changes need to be made to the company’s current natural gas line extension policy? Is additional legislative direction or authority needed in order for the Commission to approve line extension policies designed to promote environmental or economic development outcomes?</w:t>
      </w:r>
    </w:p>
    <w:p w:rsidR="00DE054E" w:rsidRPr="001F25AF" w:rsidRDefault="00DE054E" w:rsidP="00A90606">
      <w:pPr>
        <w:pStyle w:val="ListParagraph"/>
        <w:spacing w:line="240" w:lineRule="auto"/>
        <w:ind w:left="0"/>
        <w:contextualSpacing w:val="0"/>
        <w:jc w:val="both"/>
        <w:rPr>
          <w:rFonts w:cs="Times New Roman"/>
          <w:szCs w:val="24"/>
        </w:rPr>
      </w:pPr>
    </w:p>
    <w:p w:rsidR="00DE054E" w:rsidRPr="001F25AF" w:rsidRDefault="00DE054E" w:rsidP="00E05C9C">
      <w:pPr>
        <w:pStyle w:val="ListParagraph"/>
        <w:spacing w:line="240" w:lineRule="auto"/>
        <w:ind w:left="0"/>
        <w:contextualSpacing w:val="0"/>
        <w:jc w:val="both"/>
        <w:rPr>
          <w:rFonts w:cs="Times New Roman"/>
          <w:szCs w:val="24"/>
        </w:rPr>
      </w:pPr>
      <w:r w:rsidRPr="001F25AF">
        <w:rPr>
          <w:rFonts w:cs="Times New Roman"/>
          <w:b/>
          <w:szCs w:val="24"/>
        </w:rPr>
        <w:t>Response:</w:t>
      </w:r>
      <w:r w:rsidR="00A90606" w:rsidRPr="001F25AF">
        <w:rPr>
          <w:rFonts w:cs="Times New Roman"/>
          <w:szCs w:val="24"/>
        </w:rPr>
        <w:t xml:space="preserve">  </w:t>
      </w:r>
      <w:r w:rsidR="00314330" w:rsidRPr="001F25AF">
        <w:rPr>
          <w:rFonts w:cs="Times New Roman"/>
          <w:szCs w:val="24"/>
        </w:rPr>
        <w:t xml:space="preserve">Line extension tariffs provide customers who are interested in taking advantage of natural gas service with some relief from the costs necessary to make the fuel conversion.  While the Company believes that its current allowance methodology helps to offset a portion of the cost to hookup to natural gas service, as discussed in </w:t>
      </w:r>
      <w:r w:rsidR="00837181" w:rsidRPr="001F25AF">
        <w:rPr>
          <w:rFonts w:cs="Times New Roman"/>
          <w:szCs w:val="24"/>
        </w:rPr>
        <w:t>the Company’s response to Question</w:t>
      </w:r>
      <w:r w:rsidR="00314330" w:rsidRPr="001F25AF">
        <w:rPr>
          <w:rFonts w:cs="Times New Roman"/>
          <w:szCs w:val="24"/>
        </w:rPr>
        <w:t xml:space="preserve"> No. 1 above, more can be done as it relates to the present allowance that may lead to additional customer hookups</w:t>
      </w:r>
      <w:r w:rsidR="00EC2CAF" w:rsidRPr="001F25AF">
        <w:rPr>
          <w:rFonts w:cs="Times New Roman"/>
          <w:szCs w:val="24"/>
        </w:rPr>
        <w:t>.</w:t>
      </w:r>
    </w:p>
    <w:p w:rsidR="00163E06" w:rsidRPr="001F25AF" w:rsidRDefault="00163E06" w:rsidP="005A4172">
      <w:pPr>
        <w:pStyle w:val="ListParagraph"/>
        <w:spacing w:line="240" w:lineRule="auto"/>
        <w:ind w:left="0" w:firstLine="720"/>
        <w:contextualSpacing w:val="0"/>
        <w:jc w:val="both"/>
        <w:rPr>
          <w:rFonts w:cs="Times New Roman"/>
          <w:szCs w:val="24"/>
        </w:rPr>
      </w:pPr>
    </w:p>
    <w:p w:rsidR="00314330" w:rsidRPr="001F25AF" w:rsidRDefault="00314330" w:rsidP="00E05C9C">
      <w:pPr>
        <w:pStyle w:val="ListParagraph"/>
        <w:spacing w:line="240" w:lineRule="auto"/>
        <w:ind w:left="0"/>
        <w:contextualSpacing w:val="0"/>
        <w:jc w:val="both"/>
        <w:rPr>
          <w:rFonts w:cs="Times New Roman"/>
          <w:szCs w:val="24"/>
        </w:rPr>
      </w:pPr>
      <w:r w:rsidRPr="001F25AF">
        <w:rPr>
          <w:rFonts w:cs="Times New Roman"/>
          <w:szCs w:val="24"/>
        </w:rPr>
        <w:t xml:space="preserve">Avista believes that changes in the methodologies used to calculate the utilities’ line extension tariffs can be made under the Commission’s current authority, that would increase the likelihood that natural gas mains will be more accessible, and that customers will be more inclined to connect to the system.  These changes could be effectuated through individual company line extension tariffs.  </w:t>
      </w:r>
    </w:p>
    <w:p w:rsidR="005E584D" w:rsidRPr="001F25AF" w:rsidRDefault="005E584D" w:rsidP="005A4172">
      <w:pPr>
        <w:pStyle w:val="ListParagraph"/>
        <w:spacing w:line="240" w:lineRule="auto"/>
        <w:ind w:left="0" w:firstLine="720"/>
        <w:contextualSpacing w:val="0"/>
        <w:jc w:val="both"/>
        <w:rPr>
          <w:rFonts w:cs="Times New Roman"/>
          <w:szCs w:val="24"/>
        </w:rPr>
      </w:pPr>
    </w:p>
    <w:p w:rsidR="00DE054E" w:rsidRPr="001F25AF" w:rsidRDefault="00DE054E" w:rsidP="00A90606">
      <w:pPr>
        <w:pStyle w:val="ListParagraph"/>
        <w:numPr>
          <w:ilvl w:val="0"/>
          <w:numId w:val="45"/>
        </w:numPr>
        <w:spacing w:line="240" w:lineRule="auto"/>
        <w:ind w:left="0" w:firstLine="0"/>
        <w:contextualSpacing w:val="0"/>
        <w:jc w:val="both"/>
        <w:rPr>
          <w:rFonts w:cs="Times New Roman"/>
          <w:b/>
          <w:szCs w:val="24"/>
        </w:rPr>
      </w:pPr>
      <w:r w:rsidRPr="001F25AF">
        <w:rPr>
          <w:rFonts w:cs="Times New Roman"/>
          <w:b/>
          <w:szCs w:val="24"/>
        </w:rPr>
        <w:t>How does the company determine when it is necessary to revise its line extension tariff? How often should the company adjust line extension rates to account for changes in actual line extension costs?</w:t>
      </w:r>
    </w:p>
    <w:p w:rsidR="00DE054E" w:rsidRPr="001F25AF" w:rsidRDefault="00DE054E" w:rsidP="00A90606">
      <w:pPr>
        <w:spacing w:line="240" w:lineRule="auto"/>
        <w:jc w:val="both"/>
        <w:rPr>
          <w:rFonts w:cs="Times New Roman"/>
          <w:szCs w:val="24"/>
        </w:rPr>
      </w:pPr>
    </w:p>
    <w:p w:rsidR="00DE054E" w:rsidRPr="001F25AF" w:rsidRDefault="00D240CD" w:rsidP="00E05C9C">
      <w:pPr>
        <w:spacing w:line="240" w:lineRule="auto"/>
        <w:jc w:val="both"/>
        <w:rPr>
          <w:rFonts w:cs="Times New Roman"/>
          <w:szCs w:val="24"/>
        </w:rPr>
      </w:pPr>
      <w:r w:rsidRPr="001F25AF">
        <w:rPr>
          <w:rFonts w:cs="Times New Roman"/>
          <w:b/>
          <w:szCs w:val="24"/>
        </w:rPr>
        <w:t xml:space="preserve">Response:  </w:t>
      </w:r>
      <w:r w:rsidR="00DE054E" w:rsidRPr="001F25AF">
        <w:rPr>
          <w:rFonts w:cs="Times New Roman"/>
          <w:szCs w:val="24"/>
        </w:rPr>
        <w:t>The Company has not updated its line extension in recent years.</w:t>
      </w:r>
      <w:r w:rsidR="00EC2CAF" w:rsidRPr="001F25AF">
        <w:rPr>
          <w:rFonts w:cs="Times New Roman"/>
          <w:szCs w:val="24"/>
        </w:rPr>
        <w:t xml:space="preserve"> Because natural gas is in plentiful supply and at relatively low costs, and this is expected to continue for the foreseeable future, and because the direct use of natural gas is the most efficient way to heat space and water, current policies should be adjusted, as appropriate, to further expand the direct use of natural gas.  W</w:t>
      </w:r>
      <w:r w:rsidR="00DE054E" w:rsidRPr="001F25AF">
        <w:rPr>
          <w:rFonts w:cs="Times New Roman"/>
          <w:szCs w:val="24"/>
        </w:rPr>
        <w:t xml:space="preserve">e have been actively working on a </w:t>
      </w:r>
      <w:r w:rsidR="005E584D" w:rsidRPr="001F25AF">
        <w:rPr>
          <w:rFonts w:cs="Times New Roman"/>
          <w:szCs w:val="24"/>
        </w:rPr>
        <w:t xml:space="preserve">filing that would include modifications to </w:t>
      </w:r>
      <w:r w:rsidR="00EC2CAF" w:rsidRPr="001F25AF">
        <w:rPr>
          <w:rFonts w:cs="Times New Roman"/>
          <w:szCs w:val="24"/>
        </w:rPr>
        <w:t>our</w:t>
      </w:r>
      <w:r w:rsidR="005E584D" w:rsidRPr="001F25AF">
        <w:rPr>
          <w:rFonts w:cs="Times New Roman"/>
          <w:szCs w:val="24"/>
        </w:rPr>
        <w:t xml:space="preserve"> line extension tariff, and </w:t>
      </w:r>
      <w:r w:rsidR="00EC2CAF" w:rsidRPr="001F25AF">
        <w:rPr>
          <w:rFonts w:cs="Times New Roman"/>
          <w:szCs w:val="24"/>
        </w:rPr>
        <w:t>plan</w:t>
      </w:r>
      <w:r w:rsidR="005E584D" w:rsidRPr="001F25AF">
        <w:rPr>
          <w:rFonts w:cs="Times New Roman"/>
          <w:szCs w:val="24"/>
        </w:rPr>
        <w:t xml:space="preserve"> to file such changes in the </w:t>
      </w:r>
      <w:r w:rsidR="00EC2CAF" w:rsidRPr="001F25AF">
        <w:rPr>
          <w:rFonts w:cs="Times New Roman"/>
          <w:szCs w:val="24"/>
        </w:rPr>
        <w:t>near future</w:t>
      </w:r>
      <w:r w:rsidR="005E584D" w:rsidRPr="001F25AF">
        <w:rPr>
          <w:rFonts w:cs="Times New Roman"/>
          <w:szCs w:val="24"/>
        </w:rPr>
        <w:t>.</w:t>
      </w:r>
    </w:p>
    <w:p w:rsidR="00DE054E" w:rsidRPr="001F25AF" w:rsidRDefault="00DE054E" w:rsidP="00A90606">
      <w:pPr>
        <w:spacing w:line="240" w:lineRule="auto"/>
        <w:jc w:val="both"/>
        <w:rPr>
          <w:rFonts w:cs="Times New Roman"/>
          <w:szCs w:val="24"/>
        </w:rPr>
      </w:pPr>
    </w:p>
    <w:p w:rsidR="00DE054E" w:rsidRPr="001F25AF" w:rsidRDefault="00DE054E" w:rsidP="00A90606">
      <w:pPr>
        <w:pStyle w:val="ListParagraph"/>
        <w:numPr>
          <w:ilvl w:val="0"/>
          <w:numId w:val="45"/>
        </w:numPr>
        <w:spacing w:line="240" w:lineRule="auto"/>
        <w:ind w:left="0" w:firstLine="0"/>
        <w:contextualSpacing w:val="0"/>
        <w:jc w:val="both"/>
        <w:rPr>
          <w:rFonts w:cs="Times New Roman"/>
          <w:b/>
          <w:szCs w:val="24"/>
        </w:rPr>
      </w:pPr>
      <w:r w:rsidRPr="001F25AF">
        <w:rPr>
          <w:rFonts w:cs="Times New Roman"/>
          <w:b/>
          <w:szCs w:val="24"/>
        </w:rPr>
        <w:t xml:space="preserve">What, if any, impacts does the company’s current natural gas line extension policy have on existing customers? What is the impact on new and existing customers if a new customer’s usage is less than expected? </w:t>
      </w:r>
    </w:p>
    <w:p w:rsidR="00DE054E" w:rsidRPr="001F25AF" w:rsidRDefault="00DE054E" w:rsidP="00A90606">
      <w:pPr>
        <w:spacing w:line="240" w:lineRule="auto"/>
        <w:jc w:val="both"/>
        <w:rPr>
          <w:rFonts w:cs="Times New Roman"/>
          <w:szCs w:val="24"/>
        </w:rPr>
      </w:pPr>
    </w:p>
    <w:p w:rsidR="00DE054E" w:rsidRPr="001F25AF" w:rsidRDefault="00D240CD" w:rsidP="00E05C9C">
      <w:pPr>
        <w:spacing w:line="240" w:lineRule="auto"/>
        <w:jc w:val="both"/>
        <w:rPr>
          <w:rFonts w:cs="Times New Roman"/>
          <w:szCs w:val="24"/>
        </w:rPr>
      </w:pPr>
      <w:r w:rsidRPr="001F25AF">
        <w:rPr>
          <w:rFonts w:cs="Times New Roman"/>
          <w:b/>
          <w:szCs w:val="24"/>
        </w:rPr>
        <w:t xml:space="preserve">Response:  </w:t>
      </w:r>
      <w:r w:rsidR="005E584D" w:rsidRPr="001F25AF">
        <w:rPr>
          <w:rFonts w:cs="Times New Roman"/>
          <w:szCs w:val="24"/>
        </w:rPr>
        <w:t>N</w:t>
      </w:r>
      <w:r w:rsidR="00DE054E" w:rsidRPr="001F25AF">
        <w:rPr>
          <w:rFonts w:cs="Times New Roman"/>
          <w:szCs w:val="24"/>
        </w:rPr>
        <w:t xml:space="preserve">ew customers </w:t>
      </w:r>
      <w:r w:rsidR="005E584D" w:rsidRPr="001F25AF">
        <w:rPr>
          <w:rFonts w:cs="Times New Roman"/>
          <w:szCs w:val="24"/>
        </w:rPr>
        <w:t xml:space="preserve">that hookup today </w:t>
      </w:r>
      <w:r w:rsidR="00DE054E" w:rsidRPr="001F25AF">
        <w:rPr>
          <w:rFonts w:cs="Times New Roman"/>
          <w:szCs w:val="24"/>
        </w:rPr>
        <w:t>provide net benefits to existing customers</w:t>
      </w:r>
      <w:r w:rsidR="00EC2CAF" w:rsidRPr="001F25AF">
        <w:rPr>
          <w:rFonts w:cs="Times New Roman"/>
          <w:szCs w:val="24"/>
        </w:rPr>
        <w:t>.</w:t>
      </w:r>
      <w:r w:rsidR="005E584D" w:rsidRPr="001F25AF">
        <w:rPr>
          <w:rFonts w:cs="Times New Roman"/>
          <w:szCs w:val="24"/>
        </w:rPr>
        <w:t xml:space="preserve"> </w:t>
      </w:r>
      <w:r w:rsidR="00EC2CAF" w:rsidRPr="001F25AF">
        <w:rPr>
          <w:rFonts w:cs="Times New Roman"/>
          <w:szCs w:val="24"/>
        </w:rPr>
        <w:t>An increase to the line extension allowance can be made with little or no impact to e</w:t>
      </w:r>
      <w:r w:rsidR="007F5598" w:rsidRPr="001F25AF">
        <w:rPr>
          <w:rFonts w:cs="Times New Roman"/>
          <w:szCs w:val="24"/>
        </w:rPr>
        <w:t xml:space="preserve">xisting customers, while at the same time achieving other </w:t>
      </w:r>
      <w:r w:rsidR="00DE054E" w:rsidRPr="001F25AF">
        <w:rPr>
          <w:rFonts w:cs="Times New Roman"/>
          <w:szCs w:val="24"/>
        </w:rPr>
        <w:t>economic, societal, and environmental benefits of natural gas</w:t>
      </w:r>
      <w:r w:rsidR="005E584D" w:rsidRPr="001F25AF">
        <w:rPr>
          <w:rFonts w:cs="Times New Roman"/>
          <w:szCs w:val="24"/>
        </w:rPr>
        <w:t>.</w:t>
      </w:r>
    </w:p>
    <w:p w:rsidR="005E584D" w:rsidRPr="001F25AF" w:rsidRDefault="005E584D" w:rsidP="005A4172">
      <w:pPr>
        <w:spacing w:line="240" w:lineRule="auto"/>
        <w:ind w:firstLine="720"/>
        <w:jc w:val="both"/>
        <w:rPr>
          <w:rFonts w:cs="Times New Roman"/>
          <w:szCs w:val="24"/>
        </w:rPr>
      </w:pPr>
    </w:p>
    <w:p w:rsidR="005E584D" w:rsidRPr="001F25AF" w:rsidRDefault="00583817" w:rsidP="00E05C9C">
      <w:pPr>
        <w:spacing w:line="240" w:lineRule="auto"/>
        <w:jc w:val="both"/>
        <w:rPr>
          <w:rFonts w:cs="Times New Roman"/>
          <w:szCs w:val="24"/>
        </w:rPr>
      </w:pPr>
      <w:r w:rsidRPr="001F25AF">
        <w:rPr>
          <w:rFonts w:cs="Times New Roman"/>
          <w:szCs w:val="24"/>
        </w:rPr>
        <w:lastRenderedPageBreak/>
        <w:t>There could be a small impact o</w:t>
      </w:r>
      <w:r w:rsidR="007F5598" w:rsidRPr="001F25AF">
        <w:rPr>
          <w:rFonts w:cs="Times New Roman"/>
          <w:szCs w:val="24"/>
        </w:rPr>
        <w:t>n</w:t>
      </w:r>
      <w:r w:rsidRPr="001F25AF">
        <w:rPr>
          <w:rFonts w:cs="Times New Roman"/>
          <w:szCs w:val="24"/>
        </w:rPr>
        <w:t xml:space="preserve"> existing customers if a new customer’s usage is less than expected, especially given the level of new customer hookups provide</w:t>
      </w:r>
      <w:r w:rsidR="00C55EB2" w:rsidRPr="001F25AF">
        <w:rPr>
          <w:rFonts w:cs="Times New Roman"/>
          <w:szCs w:val="24"/>
        </w:rPr>
        <w:t>d</w:t>
      </w:r>
      <w:r w:rsidRPr="001F25AF">
        <w:rPr>
          <w:rFonts w:cs="Times New Roman"/>
          <w:szCs w:val="24"/>
        </w:rPr>
        <w:t xml:space="preserve"> in </w:t>
      </w:r>
      <w:r w:rsidR="00837181" w:rsidRPr="001F25AF">
        <w:rPr>
          <w:rFonts w:cs="Times New Roman"/>
          <w:szCs w:val="24"/>
        </w:rPr>
        <w:t>the Company’s response to Question</w:t>
      </w:r>
      <w:r w:rsidRPr="001F25AF">
        <w:rPr>
          <w:rFonts w:cs="Times New Roman"/>
          <w:szCs w:val="24"/>
        </w:rPr>
        <w:t xml:space="preserve"> No. 6 below as compared to the total number of current natural gas customers.</w:t>
      </w:r>
      <w:r w:rsidR="002532F9" w:rsidRPr="001F25AF">
        <w:rPr>
          <w:rStyle w:val="FootnoteReference"/>
          <w:rFonts w:cs="Times New Roman"/>
          <w:szCs w:val="24"/>
        </w:rPr>
        <w:footnoteReference w:id="3"/>
      </w:r>
      <w:r w:rsidRPr="001F25AF">
        <w:rPr>
          <w:rFonts w:cs="Times New Roman"/>
          <w:szCs w:val="24"/>
        </w:rPr>
        <w:t xml:space="preserve">  However, new customers may also use more natural gas than estimated, and the additional margin from the higher level of usage would provide a net benefit to customers.  </w:t>
      </w:r>
    </w:p>
    <w:p w:rsidR="00DE054E" w:rsidRPr="001F25AF" w:rsidRDefault="00DE054E" w:rsidP="00A90606">
      <w:pPr>
        <w:spacing w:line="240" w:lineRule="auto"/>
        <w:jc w:val="both"/>
        <w:rPr>
          <w:rFonts w:cs="Times New Roman"/>
          <w:szCs w:val="24"/>
        </w:rPr>
      </w:pPr>
    </w:p>
    <w:p w:rsidR="00DE054E" w:rsidRPr="001F25AF" w:rsidRDefault="00DE054E" w:rsidP="00A90606">
      <w:pPr>
        <w:pStyle w:val="ListParagraph"/>
        <w:numPr>
          <w:ilvl w:val="0"/>
          <w:numId w:val="45"/>
        </w:numPr>
        <w:spacing w:line="240" w:lineRule="auto"/>
        <w:ind w:left="0" w:firstLine="0"/>
        <w:contextualSpacing w:val="0"/>
        <w:jc w:val="both"/>
        <w:rPr>
          <w:rFonts w:cs="Times New Roman"/>
          <w:b/>
          <w:szCs w:val="24"/>
        </w:rPr>
      </w:pPr>
      <w:r w:rsidRPr="001F25AF">
        <w:rPr>
          <w:rFonts w:cs="Times New Roman"/>
          <w:b/>
          <w:szCs w:val="24"/>
        </w:rPr>
        <w:t>What percentage of natural gas line extensions are installed at the request of 1) residential, 2) commercial, and 3) industrial customers? What percentage of each category is requested by developers? (Please provide data dating back to the last time the company revised its line extension policy, or for as many years as this data is readily available.)</w:t>
      </w:r>
    </w:p>
    <w:p w:rsidR="00DE054E" w:rsidRPr="001F25AF" w:rsidRDefault="00DE054E" w:rsidP="00A90606">
      <w:pPr>
        <w:spacing w:line="240" w:lineRule="auto"/>
        <w:jc w:val="both"/>
        <w:rPr>
          <w:rFonts w:cs="Times New Roman"/>
          <w:szCs w:val="24"/>
        </w:rPr>
      </w:pPr>
    </w:p>
    <w:p w:rsidR="00DE054E" w:rsidRPr="001F25AF" w:rsidRDefault="005B6FEC" w:rsidP="007F5598">
      <w:pPr>
        <w:rPr>
          <w:rFonts w:cs="Times New Roman"/>
          <w:szCs w:val="24"/>
        </w:rPr>
      </w:pPr>
      <w:r w:rsidRPr="001F25AF">
        <w:rPr>
          <w:rFonts w:cs="Times New Roman"/>
          <w:b/>
          <w:szCs w:val="24"/>
        </w:rPr>
        <w:t>Response:</w:t>
      </w:r>
      <w:r w:rsidRPr="001F25AF">
        <w:rPr>
          <w:rFonts w:cs="Times New Roman"/>
          <w:szCs w:val="24"/>
        </w:rPr>
        <w:t xml:space="preserve"> Avista only tracks line extension installation by residential </w:t>
      </w:r>
      <w:r w:rsidR="00491DB6" w:rsidRPr="001F25AF">
        <w:rPr>
          <w:rFonts w:cs="Times New Roman"/>
          <w:szCs w:val="24"/>
        </w:rPr>
        <w:t>or</w:t>
      </w:r>
      <w:r w:rsidRPr="001F25AF">
        <w:rPr>
          <w:rFonts w:cs="Times New Roman"/>
          <w:szCs w:val="24"/>
        </w:rPr>
        <w:t xml:space="preserve"> non-residential.  The following table shows the number of new installation by</w:t>
      </w:r>
      <w:r w:rsidR="007F5598" w:rsidRPr="001F25AF">
        <w:rPr>
          <w:rFonts w:cs="Times New Roman"/>
          <w:szCs w:val="24"/>
        </w:rPr>
        <w:t>s</w:t>
      </w:r>
      <w:r w:rsidRPr="001F25AF">
        <w:rPr>
          <w:rFonts w:cs="Times New Roman"/>
          <w:szCs w:val="24"/>
        </w:rPr>
        <w:t xml:space="preserve"> year for the past 10 years.</w:t>
      </w:r>
    </w:p>
    <w:p w:rsidR="002F5AED" w:rsidRPr="001F25AF" w:rsidRDefault="002F5AED" w:rsidP="00583817">
      <w:pPr>
        <w:spacing w:line="240" w:lineRule="auto"/>
        <w:ind w:firstLine="720"/>
        <w:jc w:val="both"/>
        <w:rPr>
          <w:rFonts w:cs="Times New Roman"/>
          <w:szCs w:val="24"/>
        </w:rPr>
      </w:pPr>
    </w:p>
    <w:p w:rsidR="005B6FEC" w:rsidRDefault="00063837" w:rsidP="001F25AF">
      <w:pPr>
        <w:spacing w:line="240" w:lineRule="auto"/>
        <w:jc w:val="both"/>
        <w:rPr>
          <w:rFonts w:cs="Times New Roman"/>
          <w:b/>
          <w:szCs w:val="24"/>
          <w:u w:val="single"/>
        </w:rPr>
      </w:pPr>
      <w:r w:rsidRPr="001F25AF">
        <w:rPr>
          <w:rFonts w:cs="Times New Roman"/>
          <w:b/>
          <w:szCs w:val="24"/>
          <w:u w:val="single"/>
        </w:rPr>
        <w:t>Table No.</w:t>
      </w:r>
      <w:r w:rsidR="001F25AF">
        <w:rPr>
          <w:rFonts w:cs="Times New Roman"/>
          <w:b/>
          <w:szCs w:val="24"/>
          <w:u w:val="single"/>
        </w:rPr>
        <w:t xml:space="preserve"> </w:t>
      </w:r>
      <w:r w:rsidRPr="001F25AF">
        <w:rPr>
          <w:rFonts w:cs="Times New Roman"/>
          <w:b/>
          <w:szCs w:val="24"/>
          <w:u w:val="single"/>
        </w:rPr>
        <w:t>1</w:t>
      </w:r>
    </w:p>
    <w:p w:rsidR="001F25AF" w:rsidRPr="001F25AF" w:rsidRDefault="001F25AF" w:rsidP="001F25AF">
      <w:pPr>
        <w:spacing w:line="240" w:lineRule="auto"/>
        <w:jc w:val="both"/>
        <w:rPr>
          <w:rFonts w:cs="Times New Roman"/>
          <w:b/>
          <w:szCs w:val="24"/>
          <w:u w:val="single"/>
        </w:rPr>
      </w:pPr>
    </w:p>
    <w:tbl>
      <w:tblPr>
        <w:tblW w:w="8363" w:type="dxa"/>
        <w:tblInd w:w="558" w:type="dxa"/>
        <w:tblLook w:val="04A0"/>
      </w:tblPr>
      <w:tblGrid>
        <w:gridCol w:w="1640"/>
        <w:gridCol w:w="1363"/>
        <w:gridCol w:w="1220"/>
        <w:gridCol w:w="1640"/>
        <w:gridCol w:w="1220"/>
        <w:gridCol w:w="1280"/>
      </w:tblGrid>
      <w:tr w:rsidR="005B6FEC" w:rsidRPr="001F25AF" w:rsidTr="001F25AF">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b/>
                <w:bCs/>
                <w:color w:val="000000"/>
                <w:szCs w:val="24"/>
              </w:rPr>
            </w:pPr>
            <w:r w:rsidRPr="001F25AF">
              <w:rPr>
                <w:rFonts w:eastAsia="Times New Roman" w:cs="Times New Roman"/>
                <w:b/>
                <w:bCs/>
                <w:color w:val="000000"/>
                <w:szCs w:val="24"/>
              </w:rPr>
              <w:t>Year</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b/>
                <w:bCs/>
                <w:color w:val="000000"/>
                <w:szCs w:val="24"/>
              </w:rPr>
            </w:pPr>
            <w:r w:rsidRPr="001F25AF">
              <w:rPr>
                <w:rFonts w:eastAsia="Times New Roman" w:cs="Times New Roman"/>
                <w:b/>
                <w:bCs/>
                <w:color w:val="000000"/>
                <w:szCs w:val="24"/>
              </w:rPr>
              <w:t>Residential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b/>
                <w:bCs/>
                <w:color w:val="000000"/>
                <w:szCs w:val="24"/>
              </w:rPr>
            </w:pPr>
            <w:r w:rsidRPr="001F25AF">
              <w:rPr>
                <w:rFonts w:eastAsia="Times New Roman" w:cs="Times New Roman"/>
                <w:b/>
                <w:bCs/>
                <w:color w:val="000000"/>
                <w:szCs w:val="24"/>
              </w:rPr>
              <w:t>% of Installs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b/>
                <w:bCs/>
                <w:color w:val="000000"/>
                <w:szCs w:val="24"/>
              </w:rPr>
            </w:pPr>
            <w:r w:rsidRPr="001F25AF">
              <w:rPr>
                <w:rFonts w:eastAsia="Times New Roman" w:cs="Times New Roman"/>
                <w:b/>
                <w:bCs/>
                <w:color w:val="000000"/>
                <w:szCs w:val="24"/>
              </w:rPr>
              <w:t>Non-Residential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b/>
                <w:bCs/>
                <w:color w:val="000000"/>
                <w:szCs w:val="24"/>
              </w:rPr>
            </w:pPr>
            <w:r w:rsidRPr="001F25AF">
              <w:rPr>
                <w:rFonts w:eastAsia="Times New Roman" w:cs="Times New Roman"/>
                <w:b/>
                <w:bCs/>
                <w:color w:val="000000"/>
                <w:szCs w:val="24"/>
              </w:rPr>
              <w:t>% of Installs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b/>
                <w:bCs/>
                <w:color w:val="000000"/>
                <w:szCs w:val="24"/>
              </w:rPr>
            </w:pPr>
            <w:r w:rsidRPr="001F25AF">
              <w:rPr>
                <w:rFonts w:eastAsia="Times New Roman" w:cs="Times New Roman"/>
                <w:b/>
                <w:bCs/>
                <w:color w:val="000000"/>
                <w:szCs w:val="24"/>
              </w:rPr>
              <w:t>Total Installs</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2005</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3,521</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92%</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326</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8%</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3,847</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2006</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3,489</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91%</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350</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9%</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3,839</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2007</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2,866</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87%</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420</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13%</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3,286</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2008</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2,644</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89%</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325</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11%</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2,969</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2009</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1,723</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83%</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346</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17%</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2,069</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2010</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1,562</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87%</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239</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13%</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1,801</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2011</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1,482</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87%</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223</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13%</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1,705</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2012</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1,705</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86%</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269</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14%</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1,974</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2013</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2,030</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91%</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189</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9%</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2,219</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2014</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2,499</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92%</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218</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8%</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2,717</w:t>
            </w:r>
          </w:p>
        </w:tc>
      </w:tr>
      <w:tr w:rsidR="005B6FEC" w:rsidRPr="001F25AF" w:rsidTr="001F25AF">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Total</w:t>
            </w:r>
          </w:p>
        </w:tc>
        <w:tc>
          <w:tcPr>
            <w:tcW w:w="1363"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23,521</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89%</w:t>
            </w:r>
          </w:p>
        </w:tc>
        <w:tc>
          <w:tcPr>
            <w:tcW w:w="164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2,905</w:t>
            </w:r>
          </w:p>
        </w:tc>
        <w:tc>
          <w:tcPr>
            <w:tcW w:w="122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11%</w:t>
            </w:r>
          </w:p>
        </w:tc>
        <w:tc>
          <w:tcPr>
            <w:tcW w:w="1280" w:type="dxa"/>
            <w:tcBorders>
              <w:top w:val="nil"/>
              <w:left w:val="nil"/>
              <w:bottom w:val="single" w:sz="4" w:space="0" w:color="auto"/>
              <w:right w:val="single" w:sz="4" w:space="0" w:color="auto"/>
            </w:tcBorders>
            <w:shd w:val="clear" w:color="auto" w:fill="auto"/>
            <w:noWrap/>
            <w:vAlign w:val="bottom"/>
            <w:hideMark/>
          </w:tcPr>
          <w:p w:rsidR="005B6FEC" w:rsidRPr="001F25AF" w:rsidRDefault="005B6FEC" w:rsidP="00A90606">
            <w:pPr>
              <w:spacing w:line="240" w:lineRule="auto"/>
              <w:jc w:val="center"/>
              <w:rPr>
                <w:rFonts w:eastAsia="Times New Roman" w:cs="Times New Roman"/>
                <w:color w:val="000000"/>
                <w:szCs w:val="24"/>
              </w:rPr>
            </w:pPr>
            <w:r w:rsidRPr="001F25AF">
              <w:rPr>
                <w:rFonts w:eastAsia="Times New Roman" w:cs="Times New Roman"/>
                <w:color w:val="000000"/>
                <w:szCs w:val="24"/>
              </w:rPr>
              <w:t>26,426</w:t>
            </w:r>
          </w:p>
        </w:tc>
      </w:tr>
    </w:tbl>
    <w:p w:rsidR="005B6FEC" w:rsidRPr="001F25AF" w:rsidRDefault="005B6FEC" w:rsidP="00A90606">
      <w:pPr>
        <w:spacing w:line="240" w:lineRule="auto"/>
        <w:ind w:left="720"/>
        <w:jc w:val="both"/>
        <w:rPr>
          <w:rFonts w:cs="Times New Roman"/>
          <w:szCs w:val="24"/>
        </w:rPr>
      </w:pPr>
    </w:p>
    <w:p w:rsidR="007F5598" w:rsidRPr="001F25AF" w:rsidRDefault="007F5598" w:rsidP="00A90606">
      <w:pPr>
        <w:spacing w:line="240" w:lineRule="auto"/>
        <w:ind w:left="720"/>
        <w:jc w:val="both"/>
        <w:rPr>
          <w:rFonts w:cs="Times New Roman"/>
          <w:szCs w:val="24"/>
        </w:rPr>
      </w:pPr>
    </w:p>
    <w:p w:rsidR="00DE054E" w:rsidRPr="001F25AF" w:rsidRDefault="00DE054E" w:rsidP="002F5AED">
      <w:pPr>
        <w:pStyle w:val="ListParagraph"/>
        <w:numPr>
          <w:ilvl w:val="0"/>
          <w:numId w:val="45"/>
        </w:numPr>
        <w:spacing w:line="240" w:lineRule="auto"/>
        <w:ind w:left="0" w:firstLine="0"/>
        <w:contextualSpacing w:val="0"/>
        <w:jc w:val="both"/>
        <w:rPr>
          <w:rFonts w:cs="Times New Roman"/>
          <w:b/>
          <w:color w:val="000000"/>
          <w:szCs w:val="24"/>
        </w:rPr>
      </w:pPr>
      <w:r w:rsidRPr="001F25AF">
        <w:rPr>
          <w:rFonts w:cs="Times New Roman"/>
          <w:b/>
          <w:szCs w:val="24"/>
        </w:rPr>
        <w:t xml:space="preserve">What information does the company make available to consumers regarding natural gas line extensions? What public outreach activities does the company conduct to encourage customers to connect to natural gas service?  </w:t>
      </w:r>
    </w:p>
    <w:p w:rsidR="00DE054E" w:rsidRPr="001F25AF" w:rsidRDefault="00DE054E" w:rsidP="00A90606">
      <w:pPr>
        <w:pStyle w:val="ListParagraph"/>
        <w:spacing w:line="240" w:lineRule="auto"/>
        <w:contextualSpacing w:val="0"/>
        <w:rPr>
          <w:rFonts w:cs="Times New Roman"/>
          <w:color w:val="000000"/>
          <w:szCs w:val="24"/>
        </w:rPr>
      </w:pPr>
    </w:p>
    <w:p w:rsidR="00DE054E" w:rsidRPr="001F25AF" w:rsidRDefault="00D240CD" w:rsidP="00E05C9C">
      <w:pPr>
        <w:spacing w:line="240" w:lineRule="auto"/>
        <w:jc w:val="both"/>
        <w:rPr>
          <w:rFonts w:cs="Times New Roman"/>
          <w:color w:val="000000"/>
          <w:szCs w:val="24"/>
        </w:rPr>
      </w:pPr>
      <w:r w:rsidRPr="001F25AF">
        <w:rPr>
          <w:rFonts w:cs="Times New Roman"/>
          <w:b/>
          <w:color w:val="000000"/>
          <w:szCs w:val="24"/>
        </w:rPr>
        <w:t xml:space="preserve">Response:  </w:t>
      </w:r>
      <w:r w:rsidR="00DE054E" w:rsidRPr="001F25AF">
        <w:rPr>
          <w:rFonts w:cs="Times New Roman"/>
          <w:color w:val="000000"/>
          <w:szCs w:val="24"/>
        </w:rPr>
        <w:t>If a customer calls to inquire about service</w:t>
      </w:r>
      <w:r w:rsidR="00063837" w:rsidRPr="001F25AF">
        <w:rPr>
          <w:rFonts w:cs="Times New Roman"/>
          <w:color w:val="000000"/>
          <w:szCs w:val="24"/>
        </w:rPr>
        <w:t>,</w:t>
      </w:r>
      <w:r w:rsidR="00DE054E" w:rsidRPr="001F25AF">
        <w:rPr>
          <w:rFonts w:cs="Times New Roman"/>
          <w:color w:val="000000"/>
          <w:szCs w:val="24"/>
        </w:rPr>
        <w:t xml:space="preserve"> our Customer Service Representatives answer any questions they can regarding a natural gas line extension and send the customer a Gas Packet, which includes information about natural gas and converting to gas along with energy efficiency rebate forms for installing natural gas equipment. If a customer requests a bid for what installing natural gas service would cost, a Construction Project Coordinator (CPC) is assigned to work with them on the specifics of their install.  The CPC is responsible for </w:t>
      </w:r>
      <w:r w:rsidR="00DE054E" w:rsidRPr="001F25AF">
        <w:rPr>
          <w:rFonts w:cs="Times New Roman"/>
          <w:color w:val="000000"/>
          <w:szCs w:val="24"/>
        </w:rPr>
        <w:lastRenderedPageBreak/>
        <w:t xml:space="preserve">answering any questions related to the line extension itself and for providing a cost estimate back to the customer.  Also, information a customer needs to learn about the benefits of natural </w:t>
      </w:r>
      <w:r w:rsidR="00063837" w:rsidRPr="001F25AF">
        <w:rPr>
          <w:rFonts w:cs="Times New Roman"/>
          <w:color w:val="000000"/>
          <w:szCs w:val="24"/>
        </w:rPr>
        <w:t xml:space="preserve">gas </w:t>
      </w:r>
      <w:r w:rsidR="00DE054E" w:rsidRPr="001F25AF">
        <w:rPr>
          <w:rFonts w:cs="Times New Roman"/>
          <w:color w:val="000000"/>
          <w:szCs w:val="24"/>
        </w:rPr>
        <w:t xml:space="preserve">and converting to natural gas is posted on the Company’s website along with the Company’s tariff regarding line extensions.    </w:t>
      </w:r>
    </w:p>
    <w:p w:rsidR="00DE054E" w:rsidRPr="001F25AF" w:rsidRDefault="00DE054E" w:rsidP="00066C44">
      <w:pPr>
        <w:spacing w:line="240" w:lineRule="auto"/>
        <w:ind w:firstLine="720"/>
        <w:jc w:val="both"/>
        <w:rPr>
          <w:rFonts w:cs="Times New Roman"/>
          <w:color w:val="000000"/>
          <w:szCs w:val="24"/>
        </w:rPr>
      </w:pPr>
    </w:p>
    <w:p w:rsidR="00DE054E" w:rsidRPr="001F25AF" w:rsidRDefault="00DE054E" w:rsidP="00E05C9C">
      <w:pPr>
        <w:spacing w:line="240" w:lineRule="auto"/>
        <w:jc w:val="both"/>
        <w:rPr>
          <w:rFonts w:cs="Times New Roman"/>
          <w:color w:val="000000"/>
          <w:szCs w:val="24"/>
        </w:rPr>
      </w:pPr>
      <w:r w:rsidRPr="001F25AF">
        <w:rPr>
          <w:rFonts w:cs="Times New Roman"/>
          <w:color w:val="000000"/>
          <w:szCs w:val="24"/>
        </w:rPr>
        <w:t>Avista utilizes direct marketing to encourage customers to connect to natural gas service, which can include correspondence (letters), door hangers, direct mail, and e-mail.  In addition, the limited use of print advertising in select publications, as well as outdoor signage has been used.  As part of our Demand Side Management (DSM) programs</w:t>
      </w:r>
      <w:r w:rsidR="00063837" w:rsidRPr="001F25AF">
        <w:rPr>
          <w:rFonts w:cs="Times New Roman"/>
          <w:color w:val="000000"/>
          <w:szCs w:val="24"/>
        </w:rPr>
        <w:t>,</w:t>
      </w:r>
      <w:r w:rsidRPr="001F25AF">
        <w:rPr>
          <w:rFonts w:cs="Times New Roman"/>
          <w:color w:val="000000"/>
          <w:szCs w:val="24"/>
        </w:rPr>
        <w:t xml:space="preserve"> we include messaging regarding the efficiencies of natural gas and provide tools for customers to determine how much they may save by converting to natural gas.</w:t>
      </w:r>
    </w:p>
    <w:p w:rsidR="00DE054E" w:rsidRPr="001F25AF" w:rsidRDefault="00DE054E" w:rsidP="00066C44">
      <w:pPr>
        <w:spacing w:line="240" w:lineRule="auto"/>
        <w:ind w:firstLine="720"/>
        <w:jc w:val="both"/>
        <w:rPr>
          <w:rFonts w:cs="Times New Roman"/>
          <w:color w:val="000000"/>
          <w:szCs w:val="24"/>
        </w:rPr>
      </w:pPr>
    </w:p>
    <w:p w:rsidR="00815AEC" w:rsidRPr="001F25AF" w:rsidRDefault="00F45919" w:rsidP="00E05C9C">
      <w:pPr>
        <w:pStyle w:val="NoSpacing"/>
        <w:jc w:val="both"/>
        <w:rPr>
          <w:rFonts w:cs="Times New Roman"/>
          <w:szCs w:val="24"/>
        </w:rPr>
      </w:pPr>
      <w:r w:rsidRPr="001F25AF">
        <w:rPr>
          <w:rFonts w:cs="Times New Roman"/>
          <w:szCs w:val="24"/>
        </w:rPr>
        <w:t xml:space="preserve">If you have any questions regarding these comments, please contact </w:t>
      </w:r>
      <w:r w:rsidR="00984B3E" w:rsidRPr="001F25AF">
        <w:rPr>
          <w:rFonts w:cs="Times New Roman"/>
          <w:szCs w:val="24"/>
        </w:rPr>
        <w:t>me</w:t>
      </w:r>
      <w:r w:rsidRPr="001F25AF">
        <w:rPr>
          <w:rFonts w:cs="Times New Roman"/>
          <w:szCs w:val="24"/>
        </w:rPr>
        <w:t xml:space="preserve"> </w:t>
      </w:r>
      <w:r w:rsidR="001B29A5" w:rsidRPr="001F25AF">
        <w:rPr>
          <w:rFonts w:cs="Times New Roman"/>
          <w:szCs w:val="24"/>
        </w:rPr>
        <w:t>at 509-495-</w:t>
      </w:r>
      <w:r w:rsidR="00815AEC" w:rsidRPr="001F25AF">
        <w:rPr>
          <w:rFonts w:cs="Times New Roman"/>
          <w:szCs w:val="24"/>
        </w:rPr>
        <w:t>8620</w:t>
      </w:r>
      <w:r w:rsidR="00DA1C41" w:rsidRPr="001F25AF">
        <w:rPr>
          <w:rFonts w:cs="Times New Roman"/>
          <w:szCs w:val="24"/>
        </w:rPr>
        <w:t xml:space="preserve"> or at </w:t>
      </w:r>
      <w:hyperlink r:id="rId11" w:history="1">
        <w:r w:rsidR="00815AEC" w:rsidRPr="001F25AF">
          <w:rPr>
            <w:rStyle w:val="Hyperlink"/>
            <w:rFonts w:cs="Times New Roman"/>
            <w:szCs w:val="24"/>
          </w:rPr>
          <w:t>pat.ehrbar@avistacorp.com</w:t>
        </w:r>
      </w:hyperlink>
      <w:r w:rsidR="00815AEC" w:rsidRPr="001F25AF">
        <w:rPr>
          <w:rFonts w:cs="Times New Roman"/>
          <w:szCs w:val="24"/>
        </w:rPr>
        <w:t>.</w:t>
      </w:r>
    </w:p>
    <w:p w:rsidR="001B29A5" w:rsidRPr="001F25AF" w:rsidRDefault="001B29A5" w:rsidP="00A90606">
      <w:pPr>
        <w:pStyle w:val="NoSpacing"/>
        <w:ind w:right="-270" w:firstLine="720"/>
        <w:jc w:val="both"/>
        <w:rPr>
          <w:rFonts w:cs="Times New Roman"/>
          <w:szCs w:val="24"/>
        </w:rPr>
      </w:pPr>
    </w:p>
    <w:p w:rsidR="00337F64" w:rsidRPr="001F25AF" w:rsidRDefault="00337F64" w:rsidP="00A90606">
      <w:pPr>
        <w:spacing w:line="240" w:lineRule="auto"/>
        <w:jc w:val="both"/>
        <w:rPr>
          <w:rFonts w:cs="Times New Roman"/>
          <w:szCs w:val="24"/>
        </w:rPr>
      </w:pPr>
      <w:r w:rsidRPr="001F25AF">
        <w:rPr>
          <w:rFonts w:cs="Times New Roman"/>
          <w:szCs w:val="24"/>
        </w:rPr>
        <w:t>Sincerely,</w:t>
      </w:r>
    </w:p>
    <w:p w:rsidR="00337F64" w:rsidRPr="001F25AF" w:rsidRDefault="00337F64" w:rsidP="00A90606">
      <w:pPr>
        <w:spacing w:line="240" w:lineRule="auto"/>
        <w:jc w:val="both"/>
        <w:rPr>
          <w:rFonts w:cs="Times New Roman"/>
          <w:szCs w:val="24"/>
        </w:rPr>
      </w:pPr>
    </w:p>
    <w:p w:rsidR="00337F64" w:rsidRPr="001F25AF" w:rsidRDefault="00337F64" w:rsidP="00A90606">
      <w:pPr>
        <w:spacing w:line="240" w:lineRule="auto"/>
        <w:jc w:val="both"/>
        <w:rPr>
          <w:rFonts w:cs="Times New Roman"/>
          <w:szCs w:val="24"/>
        </w:rPr>
      </w:pPr>
    </w:p>
    <w:p w:rsidR="00984B3E" w:rsidRPr="001F25AF" w:rsidRDefault="00984B3E" w:rsidP="00A90606">
      <w:pPr>
        <w:spacing w:line="240" w:lineRule="auto"/>
        <w:jc w:val="both"/>
        <w:rPr>
          <w:rFonts w:cs="Times New Roman"/>
          <w:szCs w:val="24"/>
        </w:rPr>
      </w:pPr>
    </w:p>
    <w:p w:rsidR="00984B3E" w:rsidRPr="001F25AF" w:rsidRDefault="00984B3E" w:rsidP="00A90606">
      <w:pPr>
        <w:spacing w:line="240" w:lineRule="auto"/>
        <w:jc w:val="both"/>
        <w:rPr>
          <w:rFonts w:cs="Times New Roman"/>
          <w:szCs w:val="24"/>
        </w:rPr>
      </w:pPr>
      <w:r w:rsidRPr="001F25AF">
        <w:rPr>
          <w:rFonts w:cs="Times New Roman"/>
          <w:szCs w:val="24"/>
        </w:rPr>
        <w:t>Patrick Ehrbar</w:t>
      </w:r>
    </w:p>
    <w:p w:rsidR="00337F64" w:rsidRPr="001F25AF" w:rsidRDefault="00337F64" w:rsidP="00A90606">
      <w:pPr>
        <w:spacing w:line="240" w:lineRule="auto"/>
        <w:jc w:val="both"/>
        <w:rPr>
          <w:rFonts w:cs="Times New Roman"/>
          <w:szCs w:val="24"/>
        </w:rPr>
      </w:pPr>
      <w:r w:rsidRPr="001F25AF">
        <w:rPr>
          <w:rFonts w:cs="Times New Roman"/>
          <w:szCs w:val="24"/>
        </w:rPr>
        <w:t xml:space="preserve">Manager, </w:t>
      </w:r>
      <w:r w:rsidR="00984B3E" w:rsidRPr="001F25AF">
        <w:rPr>
          <w:rFonts w:cs="Times New Roman"/>
          <w:szCs w:val="24"/>
        </w:rPr>
        <w:t>Rates &amp; Tariffs</w:t>
      </w:r>
    </w:p>
    <w:sectPr w:rsidR="00337F64" w:rsidRPr="001F25AF" w:rsidSect="00FD1466">
      <w:footerReference w:type="default" r:id="rId12"/>
      <w:headerReference w:type="first" r:id="rId13"/>
      <w:pgSz w:w="12240" w:h="15840"/>
      <w:pgMar w:top="1800" w:right="1440" w:bottom="1080" w:left="1440" w:header="360" w:footer="226"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4B5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C9C" w:rsidRDefault="00E05C9C" w:rsidP="002A1126">
      <w:r>
        <w:separator/>
      </w:r>
    </w:p>
  </w:endnote>
  <w:endnote w:type="continuationSeparator" w:id="0">
    <w:p w:rsidR="00E05C9C" w:rsidRDefault="00E05C9C"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E05C9C" w:rsidRPr="00E05C9C" w:rsidRDefault="00E05C9C" w:rsidP="00E05C9C">
        <w:pPr>
          <w:jc w:val="center"/>
        </w:pPr>
        <w:r w:rsidRPr="00E05C9C">
          <w:t xml:space="preserve">Page </w:t>
        </w:r>
        <w:fldSimple w:instr=" PAGE ">
          <w:r w:rsidR="003E4A3F">
            <w:rPr>
              <w:noProof/>
            </w:rPr>
            <w:t>6</w:t>
          </w:r>
        </w:fldSimple>
        <w:r w:rsidRPr="00E05C9C">
          <w:t xml:space="preserve"> of </w:t>
        </w:r>
        <w:fldSimple w:instr=" NUMPAGES  ">
          <w:r w:rsidR="003E4A3F">
            <w:rPr>
              <w:noProof/>
            </w:rPr>
            <w:t>6</w:t>
          </w:r>
        </w:fldSimple>
      </w:p>
    </w:sdtContent>
  </w:sdt>
  <w:p w:rsidR="00E05C9C" w:rsidRDefault="00E05C9C">
    <w:pPr>
      <w:pStyle w:val="Footer"/>
      <w:pBdr>
        <w:top w:val="single" w:sz="4" w:space="1" w:color="D9D9D9" w:themeColor="background1" w:themeShade="D9"/>
      </w:pBdr>
      <w:jc w:val="right"/>
    </w:pPr>
  </w:p>
  <w:p w:rsidR="00E05C9C" w:rsidRDefault="00E05C9C"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C9C" w:rsidRDefault="00E05C9C" w:rsidP="002A1126">
      <w:r>
        <w:separator/>
      </w:r>
    </w:p>
  </w:footnote>
  <w:footnote w:type="continuationSeparator" w:id="0">
    <w:p w:rsidR="00E05C9C" w:rsidRDefault="00E05C9C" w:rsidP="002A1126">
      <w:r>
        <w:continuationSeparator/>
      </w:r>
    </w:p>
  </w:footnote>
  <w:footnote w:id="1">
    <w:p w:rsidR="00E05C9C" w:rsidRPr="00AF32E6" w:rsidRDefault="00E05C9C" w:rsidP="00FD5FB6">
      <w:pPr>
        <w:pStyle w:val="ListParagraph"/>
        <w:spacing w:line="240" w:lineRule="auto"/>
        <w:ind w:left="0"/>
        <w:jc w:val="both"/>
        <w:rPr>
          <w:rFonts w:cs="Times New Roman"/>
          <w:sz w:val="20"/>
          <w:szCs w:val="20"/>
        </w:rPr>
      </w:pPr>
      <w:r w:rsidRPr="00AF32E6">
        <w:rPr>
          <w:rStyle w:val="FootnoteReference"/>
          <w:rFonts w:cs="Times New Roman"/>
          <w:sz w:val="20"/>
          <w:szCs w:val="20"/>
        </w:rPr>
        <w:footnoteRef/>
      </w:r>
      <w:r w:rsidRPr="00AF32E6">
        <w:rPr>
          <w:rFonts w:cs="Times New Roman"/>
          <w:sz w:val="20"/>
          <w:szCs w:val="20"/>
        </w:rPr>
        <w:t xml:space="preserve"> There are a number of approaches that could be used to determine an appropriate level of Company investment related to natural gas hookups.  One such methodology is a perpetual net present value method.  As discussed in a report by the National Regulatory Research Institute:</w:t>
      </w:r>
    </w:p>
    <w:p w:rsidR="00E05C9C" w:rsidRPr="00AF32E6" w:rsidRDefault="00E05C9C" w:rsidP="00FD5FB6">
      <w:pPr>
        <w:pStyle w:val="ListParagraph"/>
        <w:spacing w:line="240" w:lineRule="auto"/>
        <w:ind w:left="0"/>
        <w:jc w:val="both"/>
        <w:rPr>
          <w:rFonts w:cs="Times New Roman"/>
          <w:sz w:val="20"/>
          <w:szCs w:val="20"/>
        </w:rPr>
      </w:pPr>
    </w:p>
    <w:p w:rsidR="00E05C9C" w:rsidRPr="00AF32E6" w:rsidRDefault="00E05C9C" w:rsidP="00FD5FB6">
      <w:pPr>
        <w:pStyle w:val="ListParagraph"/>
        <w:spacing w:line="240" w:lineRule="auto"/>
        <w:ind w:right="720"/>
        <w:jc w:val="both"/>
        <w:rPr>
          <w:rFonts w:cs="Times New Roman"/>
          <w:sz w:val="20"/>
          <w:szCs w:val="20"/>
        </w:rPr>
      </w:pPr>
      <w:r w:rsidRPr="00AF32E6">
        <w:rPr>
          <w:rFonts w:cs="Times New Roman"/>
          <w:sz w:val="20"/>
          <w:szCs w:val="20"/>
        </w:rPr>
        <w:t>The maximum level of “economical” investment equals the annual distribution margin divided by the required rate of return. The assumption is that the recovery period approaches infinity.  If, for example, the average new customer contributes $300 annually to the utility’s distribution margin and the utility’s required rate of return is 10 percent, the utility would consider spending $3,000 per new customer to be economical.</w:t>
      </w:r>
    </w:p>
    <w:p w:rsidR="00E05C9C" w:rsidRPr="00AF32E6" w:rsidRDefault="00E05C9C" w:rsidP="00FD5FB6">
      <w:pPr>
        <w:pStyle w:val="ListParagraph"/>
        <w:spacing w:line="240" w:lineRule="auto"/>
        <w:ind w:left="0"/>
        <w:jc w:val="both"/>
        <w:rPr>
          <w:rFonts w:cs="Times New Roman"/>
          <w:sz w:val="20"/>
          <w:szCs w:val="20"/>
        </w:rPr>
      </w:pPr>
    </w:p>
    <w:p w:rsidR="00E05C9C" w:rsidRDefault="00E05C9C" w:rsidP="00202167">
      <w:pPr>
        <w:pStyle w:val="ListParagraph"/>
        <w:spacing w:line="240" w:lineRule="auto"/>
        <w:ind w:left="0"/>
        <w:jc w:val="both"/>
        <w:rPr>
          <w:rFonts w:cs="Times New Roman"/>
          <w:sz w:val="20"/>
          <w:szCs w:val="20"/>
        </w:rPr>
      </w:pPr>
      <w:r w:rsidRPr="00AF32E6">
        <w:rPr>
          <w:rFonts w:cs="Times New Roman"/>
          <w:sz w:val="20"/>
          <w:szCs w:val="20"/>
        </w:rPr>
        <w:t xml:space="preserve">The application of this methodology would be relatively straight-forward.  In Avista’s recently concluded general rate case the Commission-approved decoupled distribution margin revenue per customer for residential Schedule 101 customers, including the basic charge revenue, was $388 per year.  The rate of return approved in the Docket, for AFUDC and other purposes was 7.32%, which adjusted for income taxes would be approximately 10.2%.   The allowable line extension investment in this example would be $388 / 10.2%, which is equal to $3,803.  </w:t>
      </w:r>
      <w:r>
        <w:rPr>
          <w:rFonts w:cs="Times New Roman"/>
          <w:sz w:val="20"/>
          <w:szCs w:val="20"/>
        </w:rPr>
        <w:t>(footnotes omitted)</w:t>
      </w:r>
    </w:p>
    <w:p w:rsidR="00E05C9C" w:rsidRPr="00AF32E6" w:rsidRDefault="00E05C9C" w:rsidP="00202167">
      <w:pPr>
        <w:pStyle w:val="ListParagraph"/>
        <w:spacing w:line="240" w:lineRule="auto"/>
        <w:ind w:left="0"/>
        <w:jc w:val="both"/>
      </w:pPr>
    </w:p>
  </w:footnote>
  <w:footnote w:id="2">
    <w:p w:rsidR="00D643C7" w:rsidRDefault="00D643C7">
      <w:pPr>
        <w:pStyle w:val="FootnoteText"/>
      </w:pPr>
      <w:r>
        <w:rPr>
          <w:rStyle w:val="FootnoteReference"/>
        </w:rPr>
        <w:footnoteRef/>
      </w:r>
      <w:r>
        <w:t xml:space="preserve"> The portion of the allowance allocated towards customer equipment would be capitalized as a regulatory asset and amortized over an agreed-upon time period.</w:t>
      </w:r>
    </w:p>
  </w:footnote>
  <w:footnote w:id="3">
    <w:p w:rsidR="00E05C9C" w:rsidRDefault="00E05C9C" w:rsidP="002532F9">
      <w:pPr>
        <w:pStyle w:val="FootnoteText"/>
        <w:jc w:val="both"/>
      </w:pPr>
      <w:r>
        <w:rPr>
          <w:rStyle w:val="FootnoteReference"/>
        </w:rPr>
        <w:footnoteRef/>
      </w:r>
      <w:r>
        <w:t xml:space="preserve"> If </w:t>
      </w:r>
      <w:r w:rsidRPr="007A34D7">
        <w:rPr>
          <w:u w:val="single"/>
        </w:rPr>
        <w:t xml:space="preserve">all </w:t>
      </w:r>
      <w:r>
        <w:t xml:space="preserve">of the 2,499 customers installed in 2014 provided 10% less revenue from volumetric sales, the net effect is </w:t>
      </w:r>
      <w:r w:rsidRPr="007A34D7">
        <w:rPr>
          <w:u w:val="single"/>
        </w:rPr>
        <w:t>only</w:t>
      </w:r>
      <w:r>
        <w:t xml:space="preserve"> a reduction of approximately $70,000.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9C" w:rsidRDefault="00E05C9C" w:rsidP="00D50CAE">
    <w:pPr>
      <w:pStyle w:val="Header"/>
      <w:spacing w:after="480"/>
      <w:ind w:left="-1166" w:right="-1166"/>
      <w:jc w:val="center"/>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6C2640"/>
    <w:multiLevelType w:val="hybridMultilevel"/>
    <w:tmpl w:val="5C36E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60254C"/>
    <w:multiLevelType w:val="hybridMultilevel"/>
    <w:tmpl w:val="FD1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F2AF5"/>
    <w:multiLevelType w:val="multilevel"/>
    <w:tmpl w:val="5400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77789C"/>
    <w:multiLevelType w:val="multilevel"/>
    <w:tmpl w:val="A72478FE"/>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40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lvlText w:val="(%9)"/>
      <w:lvlJc w:val="left"/>
      <w:pPr>
        <w:tabs>
          <w:tab w:val="num" w:pos="6840"/>
        </w:tabs>
        <w:ind w:left="6480" w:hanging="720"/>
      </w:pPr>
      <w:rPr>
        <w:rFonts w:hint="default"/>
      </w:rPr>
    </w:lvl>
  </w:abstractNum>
  <w:abstractNum w:abstractNumId="5">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F409F"/>
    <w:multiLevelType w:val="hybridMultilevel"/>
    <w:tmpl w:val="B48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EE7724"/>
    <w:multiLevelType w:val="hybridMultilevel"/>
    <w:tmpl w:val="CBA88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8FA6853"/>
    <w:multiLevelType w:val="hybridMultilevel"/>
    <w:tmpl w:val="2118E41A"/>
    <w:lvl w:ilvl="0" w:tplc="6EFAF784">
      <w:start w:val="1"/>
      <w:numFmt w:val="bullet"/>
      <w:lvlText w:val=""/>
      <w:lvlJc w:val="left"/>
      <w:pPr>
        <w:tabs>
          <w:tab w:val="num" w:pos="720"/>
        </w:tabs>
        <w:ind w:left="720" w:hanging="360"/>
      </w:pPr>
      <w:rPr>
        <w:rFonts w:ascii="Wingdings" w:hAnsi="Wingdings" w:hint="default"/>
      </w:rPr>
    </w:lvl>
    <w:lvl w:ilvl="1" w:tplc="228E0A7E" w:tentative="1">
      <w:start w:val="1"/>
      <w:numFmt w:val="bullet"/>
      <w:lvlText w:val=""/>
      <w:lvlJc w:val="left"/>
      <w:pPr>
        <w:tabs>
          <w:tab w:val="num" w:pos="1440"/>
        </w:tabs>
        <w:ind w:left="1440" w:hanging="360"/>
      </w:pPr>
      <w:rPr>
        <w:rFonts w:ascii="Wingdings" w:hAnsi="Wingdings" w:hint="default"/>
      </w:rPr>
    </w:lvl>
    <w:lvl w:ilvl="2" w:tplc="F3C6823C" w:tentative="1">
      <w:start w:val="1"/>
      <w:numFmt w:val="bullet"/>
      <w:lvlText w:val=""/>
      <w:lvlJc w:val="left"/>
      <w:pPr>
        <w:tabs>
          <w:tab w:val="num" w:pos="2160"/>
        </w:tabs>
        <w:ind w:left="2160" w:hanging="360"/>
      </w:pPr>
      <w:rPr>
        <w:rFonts w:ascii="Wingdings" w:hAnsi="Wingdings" w:hint="default"/>
      </w:rPr>
    </w:lvl>
    <w:lvl w:ilvl="3" w:tplc="B164ED26" w:tentative="1">
      <w:start w:val="1"/>
      <w:numFmt w:val="bullet"/>
      <w:lvlText w:val=""/>
      <w:lvlJc w:val="left"/>
      <w:pPr>
        <w:tabs>
          <w:tab w:val="num" w:pos="2880"/>
        </w:tabs>
        <w:ind w:left="2880" w:hanging="360"/>
      </w:pPr>
      <w:rPr>
        <w:rFonts w:ascii="Wingdings" w:hAnsi="Wingdings" w:hint="default"/>
      </w:rPr>
    </w:lvl>
    <w:lvl w:ilvl="4" w:tplc="7598C9DA" w:tentative="1">
      <w:start w:val="1"/>
      <w:numFmt w:val="bullet"/>
      <w:lvlText w:val=""/>
      <w:lvlJc w:val="left"/>
      <w:pPr>
        <w:tabs>
          <w:tab w:val="num" w:pos="3600"/>
        </w:tabs>
        <w:ind w:left="3600" w:hanging="360"/>
      </w:pPr>
      <w:rPr>
        <w:rFonts w:ascii="Wingdings" w:hAnsi="Wingdings" w:hint="default"/>
      </w:rPr>
    </w:lvl>
    <w:lvl w:ilvl="5" w:tplc="5560AF02" w:tentative="1">
      <w:start w:val="1"/>
      <w:numFmt w:val="bullet"/>
      <w:lvlText w:val=""/>
      <w:lvlJc w:val="left"/>
      <w:pPr>
        <w:tabs>
          <w:tab w:val="num" w:pos="4320"/>
        </w:tabs>
        <w:ind w:left="4320" w:hanging="360"/>
      </w:pPr>
      <w:rPr>
        <w:rFonts w:ascii="Wingdings" w:hAnsi="Wingdings" w:hint="default"/>
      </w:rPr>
    </w:lvl>
    <w:lvl w:ilvl="6" w:tplc="7CE49260" w:tentative="1">
      <w:start w:val="1"/>
      <w:numFmt w:val="bullet"/>
      <w:lvlText w:val=""/>
      <w:lvlJc w:val="left"/>
      <w:pPr>
        <w:tabs>
          <w:tab w:val="num" w:pos="5040"/>
        </w:tabs>
        <w:ind w:left="5040" w:hanging="360"/>
      </w:pPr>
      <w:rPr>
        <w:rFonts w:ascii="Wingdings" w:hAnsi="Wingdings" w:hint="default"/>
      </w:rPr>
    </w:lvl>
    <w:lvl w:ilvl="7" w:tplc="07E08426" w:tentative="1">
      <w:start w:val="1"/>
      <w:numFmt w:val="bullet"/>
      <w:lvlText w:val=""/>
      <w:lvlJc w:val="left"/>
      <w:pPr>
        <w:tabs>
          <w:tab w:val="num" w:pos="5760"/>
        </w:tabs>
        <w:ind w:left="5760" w:hanging="360"/>
      </w:pPr>
      <w:rPr>
        <w:rFonts w:ascii="Wingdings" w:hAnsi="Wingdings" w:hint="default"/>
      </w:rPr>
    </w:lvl>
    <w:lvl w:ilvl="8" w:tplc="2040B602" w:tentative="1">
      <w:start w:val="1"/>
      <w:numFmt w:val="bullet"/>
      <w:lvlText w:val=""/>
      <w:lvlJc w:val="left"/>
      <w:pPr>
        <w:tabs>
          <w:tab w:val="num" w:pos="6480"/>
        </w:tabs>
        <w:ind w:left="6480" w:hanging="360"/>
      </w:pPr>
      <w:rPr>
        <w:rFonts w:ascii="Wingdings" w:hAnsi="Wingdings" w:hint="default"/>
      </w:rPr>
    </w:lvl>
  </w:abstractNum>
  <w:abstractNum w:abstractNumId="9">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4A75AA"/>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417382"/>
    <w:multiLevelType w:val="hybridMultilevel"/>
    <w:tmpl w:val="FC3C1CC8"/>
    <w:lvl w:ilvl="0" w:tplc="72E2BE2E">
      <w:start w:val="1"/>
      <w:numFmt w:val="upperLetter"/>
      <w:lvlText w:val="%1."/>
      <w:lvlJc w:val="left"/>
      <w:pPr>
        <w:ind w:left="1080" w:hanging="360"/>
      </w:pPr>
      <w:rPr>
        <w:rFonts w:cs="Times New Roman"/>
      </w:rPr>
    </w:lvl>
    <w:lvl w:ilvl="1" w:tplc="0409000F">
      <w:start w:val="1"/>
      <w:numFmt w:val="decimal"/>
      <w:lvlText w:val="%2."/>
      <w:lvlJc w:val="left"/>
      <w:pPr>
        <w:ind w:left="180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06C2082"/>
    <w:multiLevelType w:val="hybridMultilevel"/>
    <w:tmpl w:val="01765BBC"/>
    <w:lvl w:ilvl="0" w:tplc="94DE8086">
      <w:start w:val="1"/>
      <w:numFmt w:val="decimal"/>
      <w:lvlText w:val="%1."/>
      <w:lvlJc w:val="left"/>
      <w:pPr>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num w:numId="1">
    <w:abstractNumId w:val="20"/>
  </w:num>
  <w:num w:numId="2">
    <w:abstractNumId w:val="14"/>
  </w:num>
  <w:num w:numId="3">
    <w:abstractNumId w:val="5"/>
  </w:num>
  <w:num w:numId="4">
    <w:abstractNumId w:val="9"/>
  </w:num>
  <w:num w:numId="5">
    <w:abstractNumId w:val="0"/>
  </w:num>
  <w:num w:numId="6">
    <w:abstractNumId w:val="13"/>
  </w:num>
  <w:num w:numId="7">
    <w:abstractNumId w:val="10"/>
  </w:num>
  <w:num w:numId="8">
    <w:abstractNumId w:val="19"/>
  </w:num>
  <w:num w:numId="9">
    <w:abstractNumId w:val="18"/>
  </w:num>
  <w:num w:numId="10">
    <w:abstractNumId w:val="17"/>
  </w:num>
  <w:num w:numId="11">
    <w:abstractNumId w:val="12"/>
  </w:num>
  <w:num w:numId="12">
    <w:abstractNumId w:val="11"/>
  </w:num>
  <w:num w:numId="13">
    <w:abstractNumId w:val="3"/>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num>
  <w:num w:numId="28">
    <w:abstractNumId w:val="4"/>
  </w:num>
  <w:num w:numId="29">
    <w:abstractNumId w:val="4"/>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4"/>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num>
  <w:num w:numId="39">
    <w:abstractNumId w:val="4"/>
  </w:num>
  <w:num w:numId="40">
    <w:abstractNumId w:val="6"/>
  </w:num>
  <w:num w:numId="41">
    <w:abstractNumId w:val="2"/>
  </w:num>
  <w:num w:numId="42">
    <w:abstractNumId w:val="1"/>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7393"/>
  </w:hdrShapeDefaults>
  <w:footnotePr>
    <w:footnote w:id="-1"/>
    <w:footnote w:id="0"/>
  </w:footnotePr>
  <w:endnotePr>
    <w:endnote w:id="-1"/>
    <w:endnote w:id="0"/>
  </w:endnotePr>
  <w:compat/>
  <w:rsids>
    <w:rsidRoot w:val="003D0502"/>
    <w:rsid w:val="0000140D"/>
    <w:rsid w:val="00001CA3"/>
    <w:rsid w:val="0000247B"/>
    <w:rsid w:val="000127CB"/>
    <w:rsid w:val="00014093"/>
    <w:rsid w:val="0001490B"/>
    <w:rsid w:val="00016B93"/>
    <w:rsid w:val="000200ED"/>
    <w:rsid w:val="00021D29"/>
    <w:rsid w:val="000233DA"/>
    <w:rsid w:val="00025F13"/>
    <w:rsid w:val="00030958"/>
    <w:rsid w:val="00032454"/>
    <w:rsid w:val="00032FC3"/>
    <w:rsid w:val="00033422"/>
    <w:rsid w:val="000369B1"/>
    <w:rsid w:val="000408AE"/>
    <w:rsid w:val="00041082"/>
    <w:rsid w:val="00060E3E"/>
    <w:rsid w:val="00061332"/>
    <w:rsid w:val="00063837"/>
    <w:rsid w:val="0006386A"/>
    <w:rsid w:val="00066C44"/>
    <w:rsid w:val="0008076B"/>
    <w:rsid w:val="00083580"/>
    <w:rsid w:val="0008643C"/>
    <w:rsid w:val="00093784"/>
    <w:rsid w:val="00094F8C"/>
    <w:rsid w:val="0009556D"/>
    <w:rsid w:val="000959FD"/>
    <w:rsid w:val="00096B9F"/>
    <w:rsid w:val="000A4D07"/>
    <w:rsid w:val="000B2057"/>
    <w:rsid w:val="000B4684"/>
    <w:rsid w:val="000D42C2"/>
    <w:rsid w:val="000D5CF8"/>
    <w:rsid w:val="000E07C5"/>
    <w:rsid w:val="000E3BC1"/>
    <w:rsid w:val="000F4873"/>
    <w:rsid w:val="001105A9"/>
    <w:rsid w:val="00114294"/>
    <w:rsid w:val="001143EF"/>
    <w:rsid w:val="00114E77"/>
    <w:rsid w:val="0012146D"/>
    <w:rsid w:val="00121794"/>
    <w:rsid w:val="00122A8E"/>
    <w:rsid w:val="00124023"/>
    <w:rsid w:val="0013232A"/>
    <w:rsid w:val="001323AC"/>
    <w:rsid w:val="00135994"/>
    <w:rsid w:val="00135BD8"/>
    <w:rsid w:val="00137EE5"/>
    <w:rsid w:val="00141C59"/>
    <w:rsid w:val="00146999"/>
    <w:rsid w:val="00156362"/>
    <w:rsid w:val="00161957"/>
    <w:rsid w:val="00163E06"/>
    <w:rsid w:val="00167704"/>
    <w:rsid w:val="001704E6"/>
    <w:rsid w:val="00172CB2"/>
    <w:rsid w:val="00185E9D"/>
    <w:rsid w:val="001904A7"/>
    <w:rsid w:val="00192EAB"/>
    <w:rsid w:val="00194BB7"/>
    <w:rsid w:val="0019753A"/>
    <w:rsid w:val="001A7D0D"/>
    <w:rsid w:val="001B29A5"/>
    <w:rsid w:val="001B459E"/>
    <w:rsid w:val="001C1F5F"/>
    <w:rsid w:val="001C1FC9"/>
    <w:rsid w:val="001C363F"/>
    <w:rsid w:val="001C7F24"/>
    <w:rsid w:val="001D0948"/>
    <w:rsid w:val="001D1692"/>
    <w:rsid w:val="001D1FF9"/>
    <w:rsid w:val="001D237D"/>
    <w:rsid w:val="001D2978"/>
    <w:rsid w:val="001D31D8"/>
    <w:rsid w:val="001E28E1"/>
    <w:rsid w:val="001E2AB9"/>
    <w:rsid w:val="001E3B0A"/>
    <w:rsid w:val="001E59E2"/>
    <w:rsid w:val="001E7D9B"/>
    <w:rsid w:val="001F0CEA"/>
    <w:rsid w:val="001F18E0"/>
    <w:rsid w:val="001F25AF"/>
    <w:rsid w:val="001F2688"/>
    <w:rsid w:val="001F283F"/>
    <w:rsid w:val="001F42C5"/>
    <w:rsid w:val="001F51DD"/>
    <w:rsid w:val="00202167"/>
    <w:rsid w:val="00203318"/>
    <w:rsid w:val="00220F45"/>
    <w:rsid w:val="0023328D"/>
    <w:rsid w:val="00233E76"/>
    <w:rsid w:val="00237605"/>
    <w:rsid w:val="00242CC0"/>
    <w:rsid w:val="00245F80"/>
    <w:rsid w:val="00247995"/>
    <w:rsid w:val="00250FBC"/>
    <w:rsid w:val="00252A6A"/>
    <w:rsid w:val="002532F9"/>
    <w:rsid w:val="00253AFD"/>
    <w:rsid w:val="00257155"/>
    <w:rsid w:val="002664BF"/>
    <w:rsid w:val="002671D5"/>
    <w:rsid w:val="00277A78"/>
    <w:rsid w:val="00282795"/>
    <w:rsid w:val="00287DF2"/>
    <w:rsid w:val="00292195"/>
    <w:rsid w:val="00294142"/>
    <w:rsid w:val="00294995"/>
    <w:rsid w:val="002A02FE"/>
    <w:rsid w:val="002A1126"/>
    <w:rsid w:val="002A11E8"/>
    <w:rsid w:val="002B0234"/>
    <w:rsid w:val="002B11CA"/>
    <w:rsid w:val="002B53C4"/>
    <w:rsid w:val="002B69C1"/>
    <w:rsid w:val="002C0A43"/>
    <w:rsid w:val="002C15E5"/>
    <w:rsid w:val="002C1955"/>
    <w:rsid w:val="002C2722"/>
    <w:rsid w:val="002D030F"/>
    <w:rsid w:val="002D2DBD"/>
    <w:rsid w:val="002D3798"/>
    <w:rsid w:val="002D4181"/>
    <w:rsid w:val="002D620A"/>
    <w:rsid w:val="002E459F"/>
    <w:rsid w:val="002E54CA"/>
    <w:rsid w:val="002F080F"/>
    <w:rsid w:val="002F3B88"/>
    <w:rsid w:val="002F4C75"/>
    <w:rsid w:val="002F5AED"/>
    <w:rsid w:val="002F64C8"/>
    <w:rsid w:val="002F6B22"/>
    <w:rsid w:val="002F7B7B"/>
    <w:rsid w:val="00300D43"/>
    <w:rsid w:val="00312729"/>
    <w:rsid w:val="0031408E"/>
    <w:rsid w:val="00314215"/>
    <w:rsid w:val="00314330"/>
    <w:rsid w:val="0031505D"/>
    <w:rsid w:val="003159E8"/>
    <w:rsid w:val="0032079D"/>
    <w:rsid w:val="00325BE6"/>
    <w:rsid w:val="00330E1F"/>
    <w:rsid w:val="00332210"/>
    <w:rsid w:val="00333B70"/>
    <w:rsid w:val="00336A40"/>
    <w:rsid w:val="00337F64"/>
    <w:rsid w:val="00340F81"/>
    <w:rsid w:val="00344DC2"/>
    <w:rsid w:val="00350AA8"/>
    <w:rsid w:val="0035200A"/>
    <w:rsid w:val="00355985"/>
    <w:rsid w:val="00355E5A"/>
    <w:rsid w:val="0036220F"/>
    <w:rsid w:val="003636EE"/>
    <w:rsid w:val="00367A25"/>
    <w:rsid w:val="003744E3"/>
    <w:rsid w:val="00383D75"/>
    <w:rsid w:val="00385A19"/>
    <w:rsid w:val="003930D3"/>
    <w:rsid w:val="003974F3"/>
    <w:rsid w:val="003A0993"/>
    <w:rsid w:val="003A231D"/>
    <w:rsid w:val="003A4F8B"/>
    <w:rsid w:val="003B6193"/>
    <w:rsid w:val="003C609F"/>
    <w:rsid w:val="003C76C8"/>
    <w:rsid w:val="003D0502"/>
    <w:rsid w:val="003D0E8D"/>
    <w:rsid w:val="003D1A6F"/>
    <w:rsid w:val="003D24AB"/>
    <w:rsid w:val="003D6FAC"/>
    <w:rsid w:val="003E2D55"/>
    <w:rsid w:val="003E39AB"/>
    <w:rsid w:val="003E4A3F"/>
    <w:rsid w:val="003E7F3E"/>
    <w:rsid w:val="00403CD6"/>
    <w:rsid w:val="004062F5"/>
    <w:rsid w:val="00413781"/>
    <w:rsid w:val="00421E87"/>
    <w:rsid w:val="0042614B"/>
    <w:rsid w:val="00427E90"/>
    <w:rsid w:val="0043779E"/>
    <w:rsid w:val="00445C07"/>
    <w:rsid w:val="004474A9"/>
    <w:rsid w:val="0045074C"/>
    <w:rsid w:val="00450A0B"/>
    <w:rsid w:val="00455F1C"/>
    <w:rsid w:val="00462FA8"/>
    <w:rsid w:val="00465E11"/>
    <w:rsid w:val="0047135A"/>
    <w:rsid w:val="00474773"/>
    <w:rsid w:val="00476826"/>
    <w:rsid w:val="0048025B"/>
    <w:rsid w:val="004812A6"/>
    <w:rsid w:val="0048186C"/>
    <w:rsid w:val="00485E4F"/>
    <w:rsid w:val="004865CC"/>
    <w:rsid w:val="00491DB6"/>
    <w:rsid w:val="00495D55"/>
    <w:rsid w:val="00497CB9"/>
    <w:rsid w:val="004A08A5"/>
    <w:rsid w:val="004A2515"/>
    <w:rsid w:val="004A5DE1"/>
    <w:rsid w:val="004A6346"/>
    <w:rsid w:val="004A6958"/>
    <w:rsid w:val="004B0245"/>
    <w:rsid w:val="004B5927"/>
    <w:rsid w:val="004D04D2"/>
    <w:rsid w:val="004D05F8"/>
    <w:rsid w:val="004D0CF4"/>
    <w:rsid w:val="004E5D26"/>
    <w:rsid w:val="004F458F"/>
    <w:rsid w:val="004F6854"/>
    <w:rsid w:val="004F6B5A"/>
    <w:rsid w:val="005011E0"/>
    <w:rsid w:val="00502351"/>
    <w:rsid w:val="00503F34"/>
    <w:rsid w:val="005073A8"/>
    <w:rsid w:val="00512E63"/>
    <w:rsid w:val="00514053"/>
    <w:rsid w:val="00515B74"/>
    <w:rsid w:val="0051728C"/>
    <w:rsid w:val="00517EC9"/>
    <w:rsid w:val="0052152E"/>
    <w:rsid w:val="005243F0"/>
    <w:rsid w:val="0053159B"/>
    <w:rsid w:val="00532169"/>
    <w:rsid w:val="005323DB"/>
    <w:rsid w:val="005332FE"/>
    <w:rsid w:val="005342EC"/>
    <w:rsid w:val="00534672"/>
    <w:rsid w:val="00540EA9"/>
    <w:rsid w:val="00542C58"/>
    <w:rsid w:val="005441E7"/>
    <w:rsid w:val="00551CC7"/>
    <w:rsid w:val="00554933"/>
    <w:rsid w:val="00557911"/>
    <w:rsid w:val="00561090"/>
    <w:rsid w:val="005638B0"/>
    <w:rsid w:val="00570C55"/>
    <w:rsid w:val="00573756"/>
    <w:rsid w:val="005744C7"/>
    <w:rsid w:val="00583817"/>
    <w:rsid w:val="005846EF"/>
    <w:rsid w:val="00585112"/>
    <w:rsid w:val="005879DF"/>
    <w:rsid w:val="00590EB7"/>
    <w:rsid w:val="00593876"/>
    <w:rsid w:val="00595CA7"/>
    <w:rsid w:val="005A4172"/>
    <w:rsid w:val="005A46CD"/>
    <w:rsid w:val="005B195F"/>
    <w:rsid w:val="005B1D61"/>
    <w:rsid w:val="005B40C0"/>
    <w:rsid w:val="005B5CF9"/>
    <w:rsid w:val="005B6FEC"/>
    <w:rsid w:val="005C13B4"/>
    <w:rsid w:val="005D2678"/>
    <w:rsid w:val="005D3666"/>
    <w:rsid w:val="005D532E"/>
    <w:rsid w:val="005D743B"/>
    <w:rsid w:val="005E1D1F"/>
    <w:rsid w:val="005E28BB"/>
    <w:rsid w:val="005E29D7"/>
    <w:rsid w:val="005E3398"/>
    <w:rsid w:val="005E44E7"/>
    <w:rsid w:val="005E4BC2"/>
    <w:rsid w:val="005E584D"/>
    <w:rsid w:val="005E5E43"/>
    <w:rsid w:val="005E648A"/>
    <w:rsid w:val="005E7BA4"/>
    <w:rsid w:val="005E7F17"/>
    <w:rsid w:val="005F129A"/>
    <w:rsid w:val="005F15B2"/>
    <w:rsid w:val="005F5108"/>
    <w:rsid w:val="005F69D4"/>
    <w:rsid w:val="0060299A"/>
    <w:rsid w:val="0061071C"/>
    <w:rsid w:val="00611766"/>
    <w:rsid w:val="006137BA"/>
    <w:rsid w:val="0062076E"/>
    <w:rsid w:val="00623F05"/>
    <w:rsid w:val="006241F5"/>
    <w:rsid w:val="00630EEB"/>
    <w:rsid w:val="00632713"/>
    <w:rsid w:val="006371EA"/>
    <w:rsid w:val="00640056"/>
    <w:rsid w:val="006414AA"/>
    <w:rsid w:val="00641915"/>
    <w:rsid w:val="00642313"/>
    <w:rsid w:val="00644AC9"/>
    <w:rsid w:val="00646E9E"/>
    <w:rsid w:val="00651A83"/>
    <w:rsid w:val="00652B07"/>
    <w:rsid w:val="006533F6"/>
    <w:rsid w:val="0065480D"/>
    <w:rsid w:val="00663AEC"/>
    <w:rsid w:val="00670BC9"/>
    <w:rsid w:val="006711F9"/>
    <w:rsid w:val="006722CD"/>
    <w:rsid w:val="00672EEE"/>
    <w:rsid w:val="0067498C"/>
    <w:rsid w:val="00677557"/>
    <w:rsid w:val="00680A71"/>
    <w:rsid w:val="006862FC"/>
    <w:rsid w:val="00687CBC"/>
    <w:rsid w:val="00690804"/>
    <w:rsid w:val="00694FC3"/>
    <w:rsid w:val="00695A31"/>
    <w:rsid w:val="006A0638"/>
    <w:rsid w:val="006A2183"/>
    <w:rsid w:val="006A3FDF"/>
    <w:rsid w:val="006A62AE"/>
    <w:rsid w:val="006A6C0D"/>
    <w:rsid w:val="006A7BB3"/>
    <w:rsid w:val="006B353D"/>
    <w:rsid w:val="006B71E1"/>
    <w:rsid w:val="006C2313"/>
    <w:rsid w:val="006D7BDE"/>
    <w:rsid w:val="006E36D1"/>
    <w:rsid w:val="006E5D26"/>
    <w:rsid w:val="006F3B7D"/>
    <w:rsid w:val="006F56CA"/>
    <w:rsid w:val="006F6BF7"/>
    <w:rsid w:val="007002EB"/>
    <w:rsid w:val="007034F2"/>
    <w:rsid w:val="007061EC"/>
    <w:rsid w:val="00706C17"/>
    <w:rsid w:val="0071533A"/>
    <w:rsid w:val="0071594D"/>
    <w:rsid w:val="00716642"/>
    <w:rsid w:val="00716FD3"/>
    <w:rsid w:val="00724B90"/>
    <w:rsid w:val="0072505F"/>
    <w:rsid w:val="0072753B"/>
    <w:rsid w:val="00727979"/>
    <w:rsid w:val="00733D31"/>
    <w:rsid w:val="00735E8A"/>
    <w:rsid w:val="00736EA1"/>
    <w:rsid w:val="0074320A"/>
    <w:rsid w:val="00751692"/>
    <w:rsid w:val="0075428B"/>
    <w:rsid w:val="00755728"/>
    <w:rsid w:val="00756E6E"/>
    <w:rsid w:val="00764336"/>
    <w:rsid w:val="00774535"/>
    <w:rsid w:val="0077472B"/>
    <w:rsid w:val="00775A1E"/>
    <w:rsid w:val="00781886"/>
    <w:rsid w:val="00781946"/>
    <w:rsid w:val="00785D46"/>
    <w:rsid w:val="00794087"/>
    <w:rsid w:val="00794224"/>
    <w:rsid w:val="007A0D7A"/>
    <w:rsid w:val="007A2872"/>
    <w:rsid w:val="007A34D7"/>
    <w:rsid w:val="007B73D2"/>
    <w:rsid w:val="007C1FFF"/>
    <w:rsid w:val="007C50A7"/>
    <w:rsid w:val="007C7360"/>
    <w:rsid w:val="007D0415"/>
    <w:rsid w:val="007D2984"/>
    <w:rsid w:val="007D4C2B"/>
    <w:rsid w:val="007E17D9"/>
    <w:rsid w:val="007E6FED"/>
    <w:rsid w:val="007F0B65"/>
    <w:rsid w:val="007F0B67"/>
    <w:rsid w:val="007F1944"/>
    <w:rsid w:val="007F1F99"/>
    <w:rsid w:val="007F3F41"/>
    <w:rsid w:val="007F5598"/>
    <w:rsid w:val="007F6685"/>
    <w:rsid w:val="007F7000"/>
    <w:rsid w:val="00801F8E"/>
    <w:rsid w:val="008056F5"/>
    <w:rsid w:val="00806071"/>
    <w:rsid w:val="00807809"/>
    <w:rsid w:val="00810643"/>
    <w:rsid w:val="00814132"/>
    <w:rsid w:val="008158AE"/>
    <w:rsid w:val="00815AEC"/>
    <w:rsid w:val="0081705D"/>
    <w:rsid w:val="0081715B"/>
    <w:rsid w:val="008222BB"/>
    <w:rsid w:val="00822318"/>
    <w:rsid w:val="0082558C"/>
    <w:rsid w:val="00830FC6"/>
    <w:rsid w:val="00831F1A"/>
    <w:rsid w:val="008324FD"/>
    <w:rsid w:val="008338EF"/>
    <w:rsid w:val="00834647"/>
    <w:rsid w:val="00837181"/>
    <w:rsid w:val="00841CED"/>
    <w:rsid w:val="00843417"/>
    <w:rsid w:val="00845F42"/>
    <w:rsid w:val="008468D9"/>
    <w:rsid w:val="008470F7"/>
    <w:rsid w:val="00854DFC"/>
    <w:rsid w:val="008650B0"/>
    <w:rsid w:val="00865B54"/>
    <w:rsid w:val="00867353"/>
    <w:rsid w:val="00871416"/>
    <w:rsid w:val="008765E7"/>
    <w:rsid w:val="008823ED"/>
    <w:rsid w:val="00883CB8"/>
    <w:rsid w:val="00884B1C"/>
    <w:rsid w:val="00885E28"/>
    <w:rsid w:val="0089038F"/>
    <w:rsid w:val="00890B99"/>
    <w:rsid w:val="00891119"/>
    <w:rsid w:val="008937AF"/>
    <w:rsid w:val="00893A81"/>
    <w:rsid w:val="0089712F"/>
    <w:rsid w:val="008A1120"/>
    <w:rsid w:val="008A797C"/>
    <w:rsid w:val="008A7D1A"/>
    <w:rsid w:val="008C1322"/>
    <w:rsid w:val="008C4CCB"/>
    <w:rsid w:val="008C793F"/>
    <w:rsid w:val="008D3809"/>
    <w:rsid w:val="008E0588"/>
    <w:rsid w:val="008E07EC"/>
    <w:rsid w:val="008E088E"/>
    <w:rsid w:val="008E36B5"/>
    <w:rsid w:val="00900550"/>
    <w:rsid w:val="009028CF"/>
    <w:rsid w:val="00904235"/>
    <w:rsid w:val="00910766"/>
    <w:rsid w:val="009114C9"/>
    <w:rsid w:val="009125F3"/>
    <w:rsid w:val="00916727"/>
    <w:rsid w:val="00916AB6"/>
    <w:rsid w:val="00922AAB"/>
    <w:rsid w:val="00923912"/>
    <w:rsid w:val="00925DBC"/>
    <w:rsid w:val="00932DE1"/>
    <w:rsid w:val="0093458D"/>
    <w:rsid w:val="009355C2"/>
    <w:rsid w:val="00940721"/>
    <w:rsid w:val="00944CC6"/>
    <w:rsid w:val="00945273"/>
    <w:rsid w:val="009501A5"/>
    <w:rsid w:val="00953560"/>
    <w:rsid w:val="00956070"/>
    <w:rsid w:val="00957D38"/>
    <w:rsid w:val="00960810"/>
    <w:rsid w:val="009611CD"/>
    <w:rsid w:val="00963D29"/>
    <w:rsid w:val="00964567"/>
    <w:rsid w:val="00964D50"/>
    <w:rsid w:val="009710E9"/>
    <w:rsid w:val="00971839"/>
    <w:rsid w:val="009801F3"/>
    <w:rsid w:val="00980E9B"/>
    <w:rsid w:val="00981510"/>
    <w:rsid w:val="0098158F"/>
    <w:rsid w:val="00984B3E"/>
    <w:rsid w:val="0098567E"/>
    <w:rsid w:val="0099069C"/>
    <w:rsid w:val="009921FF"/>
    <w:rsid w:val="009938DD"/>
    <w:rsid w:val="00995326"/>
    <w:rsid w:val="00995742"/>
    <w:rsid w:val="00995EFB"/>
    <w:rsid w:val="009A2EE3"/>
    <w:rsid w:val="009B0624"/>
    <w:rsid w:val="009B201B"/>
    <w:rsid w:val="009B6923"/>
    <w:rsid w:val="009B692F"/>
    <w:rsid w:val="009B761E"/>
    <w:rsid w:val="009C033C"/>
    <w:rsid w:val="009C085E"/>
    <w:rsid w:val="009C2390"/>
    <w:rsid w:val="009C6182"/>
    <w:rsid w:val="009D0780"/>
    <w:rsid w:val="009D0828"/>
    <w:rsid w:val="009D339C"/>
    <w:rsid w:val="009E1906"/>
    <w:rsid w:val="009F2424"/>
    <w:rsid w:val="009F52B2"/>
    <w:rsid w:val="009F5FA1"/>
    <w:rsid w:val="00A001C6"/>
    <w:rsid w:val="00A028C8"/>
    <w:rsid w:val="00A041BA"/>
    <w:rsid w:val="00A042D0"/>
    <w:rsid w:val="00A13E56"/>
    <w:rsid w:val="00A14631"/>
    <w:rsid w:val="00A15075"/>
    <w:rsid w:val="00A15A6A"/>
    <w:rsid w:val="00A22E55"/>
    <w:rsid w:val="00A27599"/>
    <w:rsid w:val="00A43424"/>
    <w:rsid w:val="00A444FB"/>
    <w:rsid w:val="00A44841"/>
    <w:rsid w:val="00A509B2"/>
    <w:rsid w:val="00A56024"/>
    <w:rsid w:val="00A618F4"/>
    <w:rsid w:val="00A63D4B"/>
    <w:rsid w:val="00A711C1"/>
    <w:rsid w:val="00A7464C"/>
    <w:rsid w:val="00A75F9C"/>
    <w:rsid w:val="00A87384"/>
    <w:rsid w:val="00A900C2"/>
    <w:rsid w:val="00A901AA"/>
    <w:rsid w:val="00A9020F"/>
    <w:rsid w:val="00A90606"/>
    <w:rsid w:val="00A907C3"/>
    <w:rsid w:val="00A90AB3"/>
    <w:rsid w:val="00A914E0"/>
    <w:rsid w:val="00A93ACD"/>
    <w:rsid w:val="00A9450F"/>
    <w:rsid w:val="00A9631D"/>
    <w:rsid w:val="00AA00D2"/>
    <w:rsid w:val="00AA125A"/>
    <w:rsid w:val="00AA22E1"/>
    <w:rsid w:val="00AA28C5"/>
    <w:rsid w:val="00AA2C85"/>
    <w:rsid w:val="00AB0867"/>
    <w:rsid w:val="00AB25AE"/>
    <w:rsid w:val="00AB69EC"/>
    <w:rsid w:val="00AC2435"/>
    <w:rsid w:val="00AC5DF9"/>
    <w:rsid w:val="00AD03B9"/>
    <w:rsid w:val="00AD1924"/>
    <w:rsid w:val="00AD2D03"/>
    <w:rsid w:val="00AD3C19"/>
    <w:rsid w:val="00AD7186"/>
    <w:rsid w:val="00AE1633"/>
    <w:rsid w:val="00AE370B"/>
    <w:rsid w:val="00AE3FE6"/>
    <w:rsid w:val="00AE570A"/>
    <w:rsid w:val="00AE6416"/>
    <w:rsid w:val="00AF347F"/>
    <w:rsid w:val="00AF3EBB"/>
    <w:rsid w:val="00AF5938"/>
    <w:rsid w:val="00AF6EA1"/>
    <w:rsid w:val="00AF7585"/>
    <w:rsid w:val="00B00966"/>
    <w:rsid w:val="00B074FC"/>
    <w:rsid w:val="00B127F7"/>
    <w:rsid w:val="00B156C5"/>
    <w:rsid w:val="00B17D38"/>
    <w:rsid w:val="00B26EDE"/>
    <w:rsid w:val="00B32042"/>
    <w:rsid w:val="00B363C9"/>
    <w:rsid w:val="00B364CD"/>
    <w:rsid w:val="00B3771B"/>
    <w:rsid w:val="00B41622"/>
    <w:rsid w:val="00B41D5C"/>
    <w:rsid w:val="00B42145"/>
    <w:rsid w:val="00B42988"/>
    <w:rsid w:val="00B4476A"/>
    <w:rsid w:val="00B45A36"/>
    <w:rsid w:val="00B47D83"/>
    <w:rsid w:val="00B55D6C"/>
    <w:rsid w:val="00B57E90"/>
    <w:rsid w:val="00B6200C"/>
    <w:rsid w:val="00B66DF9"/>
    <w:rsid w:val="00B71D4E"/>
    <w:rsid w:val="00B81BF7"/>
    <w:rsid w:val="00B826D7"/>
    <w:rsid w:val="00B84147"/>
    <w:rsid w:val="00B856B6"/>
    <w:rsid w:val="00B91C44"/>
    <w:rsid w:val="00B91DAF"/>
    <w:rsid w:val="00B9255B"/>
    <w:rsid w:val="00B929CC"/>
    <w:rsid w:val="00B9413C"/>
    <w:rsid w:val="00B94CD3"/>
    <w:rsid w:val="00B96904"/>
    <w:rsid w:val="00BA17EA"/>
    <w:rsid w:val="00BA1821"/>
    <w:rsid w:val="00BA3D54"/>
    <w:rsid w:val="00BA7342"/>
    <w:rsid w:val="00BA7904"/>
    <w:rsid w:val="00BB6308"/>
    <w:rsid w:val="00BC06AD"/>
    <w:rsid w:val="00BC52B6"/>
    <w:rsid w:val="00BD35D9"/>
    <w:rsid w:val="00BD43C3"/>
    <w:rsid w:val="00BD470C"/>
    <w:rsid w:val="00BD68AE"/>
    <w:rsid w:val="00BE05B8"/>
    <w:rsid w:val="00BE32BD"/>
    <w:rsid w:val="00BE3490"/>
    <w:rsid w:val="00BE39F5"/>
    <w:rsid w:val="00BE520A"/>
    <w:rsid w:val="00BF231F"/>
    <w:rsid w:val="00C0079D"/>
    <w:rsid w:val="00C02354"/>
    <w:rsid w:val="00C0419A"/>
    <w:rsid w:val="00C07357"/>
    <w:rsid w:val="00C11E45"/>
    <w:rsid w:val="00C15396"/>
    <w:rsid w:val="00C15712"/>
    <w:rsid w:val="00C15A9E"/>
    <w:rsid w:val="00C15D7D"/>
    <w:rsid w:val="00C26997"/>
    <w:rsid w:val="00C26BC4"/>
    <w:rsid w:val="00C362BD"/>
    <w:rsid w:val="00C40C3A"/>
    <w:rsid w:val="00C428BA"/>
    <w:rsid w:val="00C439A4"/>
    <w:rsid w:val="00C44D67"/>
    <w:rsid w:val="00C5098C"/>
    <w:rsid w:val="00C51948"/>
    <w:rsid w:val="00C51FB2"/>
    <w:rsid w:val="00C55EB2"/>
    <w:rsid w:val="00C64980"/>
    <w:rsid w:val="00C65607"/>
    <w:rsid w:val="00C70936"/>
    <w:rsid w:val="00C70E28"/>
    <w:rsid w:val="00C77673"/>
    <w:rsid w:val="00C77704"/>
    <w:rsid w:val="00C82F8E"/>
    <w:rsid w:val="00C85912"/>
    <w:rsid w:val="00C90180"/>
    <w:rsid w:val="00C95230"/>
    <w:rsid w:val="00CA3409"/>
    <w:rsid w:val="00CA6C25"/>
    <w:rsid w:val="00CB2634"/>
    <w:rsid w:val="00CB3400"/>
    <w:rsid w:val="00CB79D5"/>
    <w:rsid w:val="00CD4716"/>
    <w:rsid w:val="00CD60E8"/>
    <w:rsid w:val="00CE384B"/>
    <w:rsid w:val="00CE585A"/>
    <w:rsid w:val="00CF15EE"/>
    <w:rsid w:val="00CF262F"/>
    <w:rsid w:val="00CF30A3"/>
    <w:rsid w:val="00CF379E"/>
    <w:rsid w:val="00D0012A"/>
    <w:rsid w:val="00D017A9"/>
    <w:rsid w:val="00D04AA4"/>
    <w:rsid w:val="00D106A6"/>
    <w:rsid w:val="00D10D4C"/>
    <w:rsid w:val="00D113AC"/>
    <w:rsid w:val="00D12F3E"/>
    <w:rsid w:val="00D15AC0"/>
    <w:rsid w:val="00D17CA6"/>
    <w:rsid w:val="00D205D6"/>
    <w:rsid w:val="00D240CD"/>
    <w:rsid w:val="00D26A73"/>
    <w:rsid w:val="00D26ADD"/>
    <w:rsid w:val="00D314B2"/>
    <w:rsid w:val="00D31876"/>
    <w:rsid w:val="00D36968"/>
    <w:rsid w:val="00D3698C"/>
    <w:rsid w:val="00D4155F"/>
    <w:rsid w:val="00D50CAE"/>
    <w:rsid w:val="00D527A1"/>
    <w:rsid w:val="00D55DC9"/>
    <w:rsid w:val="00D55FAC"/>
    <w:rsid w:val="00D563F6"/>
    <w:rsid w:val="00D63410"/>
    <w:rsid w:val="00D643C7"/>
    <w:rsid w:val="00D6463B"/>
    <w:rsid w:val="00D64EBE"/>
    <w:rsid w:val="00D66751"/>
    <w:rsid w:val="00D66B24"/>
    <w:rsid w:val="00D70AAA"/>
    <w:rsid w:val="00D70DC6"/>
    <w:rsid w:val="00D74152"/>
    <w:rsid w:val="00D756CB"/>
    <w:rsid w:val="00D86218"/>
    <w:rsid w:val="00D92B05"/>
    <w:rsid w:val="00D934AF"/>
    <w:rsid w:val="00D93A6F"/>
    <w:rsid w:val="00D942D9"/>
    <w:rsid w:val="00D96E8B"/>
    <w:rsid w:val="00DA00CC"/>
    <w:rsid w:val="00DA1C41"/>
    <w:rsid w:val="00DA2245"/>
    <w:rsid w:val="00DB4255"/>
    <w:rsid w:val="00DB51BF"/>
    <w:rsid w:val="00DB7F22"/>
    <w:rsid w:val="00DC122D"/>
    <w:rsid w:val="00DC294F"/>
    <w:rsid w:val="00DD09E4"/>
    <w:rsid w:val="00DD60C8"/>
    <w:rsid w:val="00DD7835"/>
    <w:rsid w:val="00DD7DFC"/>
    <w:rsid w:val="00DE054E"/>
    <w:rsid w:val="00DE5D6E"/>
    <w:rsid w:val="00DE69C7"/>
    <w:rsid w:val="00DF1016"/>
    <w:rsid w:val="00DF405F"/>
    <w:rsid w:val="00DF6373"/>
    <w:rsid w:val="00E044F7"/>
    <w:rsid w:val="00E05C9C"/>
    <w:rsid w:val="00E06E5F"/>
    <w:rsid w:val="00E12404"/>
    <w:rsid w:val="00E15441"/>
    <w:rsid w:val="00E15EE4"/>
    <w:rsid w:val="00E1705C"/>
    <w:rsid w:val="00E22BF5"/>
    <w:rsid w:val="00E245F7"/>
    <w:rsid w:val="00E260FE"/>
    <w:rsid w:val="00E30573"/>
    <w:rsid w:val="00E32E5D"/>
    <w:rsid w:val="00E3352F"/>
    <w:rsid w:val="00E3395F"/>
    <w:rsid w:val="00E4016E"/>
    <w:rsid w:val="00E41901"/>
    <w:rsid w:val="00E42100"/>
    <w:rsid w:val="00E42897"/>
    <w:rsid w:val="00E476D7"/>
    <w:rsid w:val="00E47972"/>
    <w:rsid w:val="00E516B6"/>
    <w:rsid w:val="00E54515"/>
    <w:rsid w:val="00E54BC7"/>
    <w:rsid w:val="00E56E77"/>
    <w:rsid w:val="00E60940"/>
    <w:rsid w:val="00E64A87"/>
    <w:rsid w:val="00E653A0"/>
    <w:rsid w:val="00E72C00"/>
    <w:rsid w:val="00E7338B"/>
    <w:rsid w:val="00E74791"/>
    <w:rsid w:val="00E75071"/>
    <w:rsid w:val="00E7538D"/>
    <w:rsid w:val="00E76917"/>
    <w:rsid w:val="00E83AF0"/>
    <w:rsid w:val="00E83CFB"/>
    <w:rsid w:val="00E866A5"/>
    <w:rsid w:val="00E912CF"/>
    <w:rsid w:val="00E952B4"/>
    <w:rsid w:val="00EA038A"/>
    <w:rsid w:val="00EA2421"/>
    <w:rsid w:val="00EA2D83"/>
    <w:rsid w:val="00EA7244"/>
    <w:rsid w:val="00EC05CA"/>
    <w:rsid w:val="00EC2CAF"/>
    <w:rsid w:val="00ED0383"/>
    <w:rsid w:val="00EE0273"/>
    <w:rsid w:val="00EE3C06"/>
    <w:rsid w:val="00EF504A"/>
    <w:rsid w:val="00EF5168"/>
    <w:rsid w:val="00F033BB"/>
    <w:rsid w:val="00F05287"/>
    <w:rsid w:val="00F10D5B"/>
    <w:rsid w:val="00F12C97"/>
    <w:rsid w:val="00F15690"/>
    <w:rsid w:val="00F16EC5"/>
    <w:rsid w:val="00F204D8"/>
    <w:rsid w:val="00F20609"/>
    <w:rsid w:val="00F212C6"/>
    <w:rsid w:val="00F22A0C"/>
    <w:rsid w:val="00F2302C"/>
    <w:rsid w:val="00F2578A"/>
    <w:rsid w:val="00F31575"/>
    <w:rsid w:val="00F31804"/>
    <w:rsid w:val="00F3627B"/>
    <w:rsid w:val="00F41263"/>
    <w:rsid w:val="00F41AD9"/>
    <w:rsid w:val="00F45919"/>
    <w:rsid w:val="00F536E9"/>
    <w:rsid w:val="00F54081"/>
    <w:rsid w:val="00F577C7"/>
    <w:rsid w:val="00F606FB"/>
    <w:rsid w:val="00F6459F"/>
    <w:rsid w:val="00F6655C"/>
    <w:rsid w:val="00F743A3"/>
    <w:rsid w:val="00F80119"/>
    <w:rsid w:val="00F8014E"/>
    <w:rsid w:val="00F8043D"/>
    <w:rsid w:val="00F8583B"/>
    <w:rsid w:val="00F86C06"/>
    <w:rsid w:val="00F87DB2"/>
    <w:rsid w:val="00F914E5"/>
    <w:rsid w:val="00FA16EF"/>
    <w:rsid w:val="00FA1F14"/>
    <w:rsid w:val="00FA2FFF"/>
    <w:rsid w:val="00FA4B0F"/>
    <w:rsid w:val="00FA5E11"/>
    <w:rsid w:val="00FB261A"/>
    <w:rsid w:val="00FB4A04"/>
    <w:rsid w:val="00FB5A32"/>
    <w:rsid w:val="00FC15D6"/>
    <w:rsid w:val="00FC1A8E"/>
    <w:rsid w:val="00FC43C7"/>
    <w:rsid w:val="00FC662A"/>
    <w:rsid w:val="00FD1466"/>
    <w:rsid w:val="00FD1F9F"/>
    <w:rsid w:val="00FD44D5"/>
    <w:rsid w:val="00FD4CDE"/>
    <w:rsid w:val="00FD5DE0"/>
    <w:rsid w:val="00FD5FB6"/>
    <w:rsid w:val="00FE01B9"/>
    <w:rsid w:val="00FF0F95"/>
    <w:rsid w:val="00FF18FE"/>
    <w:rsid w:val="00FF1E1C"/>
    <w:rsid w:val="00FF2B24"/>
    <w:rsid w:val="00FF501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2"/>
      </w:numPr>
      <w:spacing w:after="240" w:line="240" w:lineRule="auto"/>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uiPriority w:val="99"/>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Style 24,Style 11,Style 28,Style 8,Style 15,Style 9,o1,fr1,o2,fr2,o3,fr3,Style 18,Style 20,Style 7"/>
    <w:basedOn w:val="DefaultParagraphFont"/>
    <w:uiPriority w:val="99"/>
    <w:rsid w:val="00CF262F"/>
    <w:rPr>
      <w:vertAlign w:val="superscript"/>
    </w:rPr>
  </w:style>
  <w:style w:type="table" w:styleId="TableGrid">
    <w:name w:val="Table Grid"/>
    <w:basedOn w:val="TableNormal"/>
    <w:uiPriority w:val="59"/>
    <w:rsid w:val="009C033C"/>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2"/>
      </w:numPr>
      <w:spacing w:after="240" w:line="240" w:lineRule="auto"/>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rsid w:val="00CF262F"/>
    <w:rPr>
      <w:vertAlign w:val="superscript"/>
    </w:rPr>
  </w:style>
  <w:style w:type="table" w:styleId="TableGrid">
    <w:name w:val="Table Grid"/>
    <w:basedOn w:val="TableNormal"/>
    <w:uiPriority w:val="59"/>
    <w:rsid w:val="009C033C"/>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9450797">
      <w:bodyDiv w:val="1"/>
      <w:marLeft w:val="0"/>
      <w:marRight w:val="0"/>
      <w:marTop w:val="0"/>
      <w:marBottom w:val="0"/>
      <w:divBdr>
        <w:top w:val="none" w:sz="0" w:space="0" w:color="auto"/>
        <w:left w:val="none" w:sz="0" w:space="0" w:color="auto"/>
        <w:bottom w:val="none" w:sz="0" w:space="0" w:color="auto"/>
        <w:right w:val="none" w:sz="0" w:space="0" w:color="auto"/>
      </w:divBdr>
    </w:div>
    <w:div w:id="181668364">
      <w:bodyDiv w:val="1"/>
      <w:marLeft w:val="0"/>
      <w:marRight w:val="0"/>
      <w:marTop w:val="0"/>
      <w:marBottom w:val="0"/>
      <w:divBdr>
        <w:top w:val="none" w:sz="0" w:space="0" w:color="auto"/>
        <w:left w:val="none" w:sz="0" w:space="0" w:color="auto"/>
        <w:bottom w:val="none" w:sz="0" w:space="0" w:color="auto"/>
        <w:right w:val="none" w:sz="0" w:space="0" w:color="auto"/>
      </w:divBdr>
    </w:div>
    <w:div w:id="306712566">
      <w:bodyDiv w:val="1"/>
      <w:marLeft w:val="0"/>
      <w:marRight w:val="0"/>
      <w:marTop w:val="0"/>
      <w:marBottom w:val="0"/>
      <w:divBdr>
        <w:top w:val="none" w:sz="0" w:space="0" w:color="auto"/>
        <w:left w:val="none" w:sz="0" w:space="0" w:color="auto"/>
        <w:bottom w:val="none" w:sz="0" w:space="0" w:color="auto"/>
        <w:right w:val="none" w:sz="0" w:space="0" w:color="auto"/>
      </w:divBdr>
      <w:divsChild>
        <w:div w:id="68112323">
          <w:marLeft w:val="547"/>
          <w:marRight w:val="0"/>
          <w:marTop w:val="115"/>
          <w:marBottom w:val="0"/>
          <w:divBdr>
            <w:top w:val="none" w:sz="0" w:space="0" w:color="auto"/>
            <w:left w:val="none" w:sz="0" w:space="0" w:color="auto"/>
            <w:bottom w:val="none" w:sz="0" w:space="0" w:color="auto"/>
            <w:right w:val="none" w:sz="0" w:space="0" w:color="auto"/>
          </w:divBdr>
        </w:div>
      </w:divsChild>
    </w:div>
    <w:div w:id="434177924">
      <w:bodyDiv w:val="1"/>
      <w:marLeft w:val="0"/>
      <w:marRight w:val="0"/>
      <w:marTop w:val="0"/>
      <w:marBottom w:val="0"/>
      <w:divBdr>
        <w:top w:val="none" w:sz="0" w:space="0" w:color="auto"/>
        <w:left w:val="none" w:sz="0" w:space="0" w:color="auto"/>
        <w:bottom w:val="none" w:sz="0" w:space="0" w:color="auto"/>
        <w:right w:val="none" w:sz="0" w:space="0" w:color="auto"/>
      </w:divBdr>
    </w:div>
    <w:div w:id="449402167">
      <w:bodyDiv w:val="1"/>
      <w:marLeft w:val="0"/>
      <w:marRight w:val="0"/>
      <w:marTop w:val="0"/>
      <w:marBottom w:val="0"/>
      <w:divBdr>
        <w:top w:val="none" w:sz="0" w:space="0" w:color="auto"/>
        <w:left w:val="none" w:sz="0" w:space="0" w:color="auto"/>
        <w:bottom w:val="none" w:sz="0" w:space="0" w:color="auto"/>
        <w:right w:val="none" w:sz="0" w:space="0" w:color="auto"/>
      </w:divBdr>
    </w:div>
    <w:div w:id="463888272">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3">
          <w:marLeft w:val="0"/>
          <w:marRight w:val="150"/>
          <w:marTop w:val="0"/>
          <w:marBottom w:val="0"/>
          <w:divBdr>
            <w:top w:val="none" w:sz="0" w:space="0" w:color="auto"/>
            <w:left w:val="none" w:sz="0" w:space="0" w:color="auto"/>
            <w:bottom w:val="none" w:sz="0" w:space="0" w:color="auto"/>
            <w:right w:val="none" w:sz="0" w:space="0" w:color="auto"/>
          </w:divBdr>
          <w:divsChild>
            <w:div w:id="726301334">
              <w:marLeft w:val="0"/>
              <w:marRight w:val="0"/>
              <w:marTop w:val="0"/>
              <w:marBottom w:val="0"/>
              <w:divBdr>
                <w:top w:val="none" w:sz="0" w:space="0" w:color="auto"/>
                <w:left w:val="none" w:sz="0" w:space="0" w:color="auto"/>
                <w:bottom w:val="none" w:sz="0" w:space="0" w:color="auto"/>
                <w:right w:val="none" w:sz="0" w:space="0" w:color="auto"/>
              </w:divBdr>
              <w:divsChild>
                <w:div w:id="151218541">
                  <w:marLeft w:val="0"/>
                  <w:marRight w:val="0"/>
                  <w:marTop w:val="0"/>
                  <w:marBottom w:val="0"/>
                  <w:divBdr>
                    <w:top w:val="none" w:sz="0" w:space="0" w:color="auto"/>
                    <w:left w:val="none" w:sz="0" w:space="0" w:color="auto"/>
                    <w:bottom w:val="none" w:sz="0" w:space="0" w:color="auto"/>
                    <w:right w:val="none" w:sz="0" w:space="0" w:color="auto"/>
                  </w:divBdr>
                  <w:divsChild>
                    <w:div w:id="1168667506">
                      <w:marLeft w:val="0"/>
                      <w:marRight w:val="0"/>
                      <w:marTop w:val="0"/>
                      <w:marBottom w:val="0"/>
                      <w:divBdr>
                        <w:top w:val="none" w:sz="0" w:space="0" w:color="auto"/>
                        <w:left w:val="none" w:sz="0" w:space="0" w:color="auto"/>
                        <w:bottom w:val="none" w:sz="0" w:space="0" w:color="auto"/>
                        <w:right w:val="none" w:sz="0" w:space="0" w:color="auto"/>
                      </w:divBdr>
                      <w:divsChild>
                        <w:div w:id="1747410982">
                          <w:marLeft w:val="0"/>
                          <w:marRight w:val="0"/>
                          <w:marTop w:val="0"/>
                          <w:marBottom w:val="0"/>
                          <w:divBdr>
                            <w:top w:val="none" w:sz="0" w:space="0" w:color="auto"/>
                            <w:left w:val="none" w:sz="0" w:space="0" w:color="auto"/>
                            <w:bottom w:val="none" w:sz="0" w:space="0" w:color="auto"/>
                            <w:right w:val="none" w:sz="0" w:space="0" w:color="auto"/>
                          </w:divBdr>
                          <w:divsChild>
                            <w:div w:id="1139957689">
                              <w:marLeft w:val="0"/>
                              <w:marRight w:val="0"/>
                              <w:marTop w:val="0"/>
                              <w:marBottom w:val="0"/>
                              <w:divBdr>
                                <w:top w:val="none" w:sz="0" w:space="0" w:color="auto"/>
                                <w:left w:val="none" w:sz="0" w:space="0" w:color="auto"/>
                                <w:bottom w:val="none" w:sz="0" w:space="0" w:color="auto"/>
                                <w:right w:val="none" w:sz="0" w:space="0" w:color="auto"/>
                              </w:divBdr>
                              <w:divsChild>
                                <w:div w:id="503669328">
                                  <w:marLeft w:val="0"/>
                                  <w:marRight w:val="0"/>
                                  <w:marTop w:val="0"/>
                                  <w:marBottom w:val="0"/>
                                  <w:divBdr>
                                    <w:top w:val="none" w:sz="0" w:space="0" w:color="auto"/>
                                    <w:left w:val="none" w:sz="0" w:space="0" w:color="auto"/>
                                    <w:bottom w:val="none" w:sz="0" w:space="0" w:color="auto"/>
                                    <w:right w:val="none" w:sz="0" w:space="0" w:color="auto"/>
                                  </w:divBdr>
                                  <w:divsChild>
                                    <w:div w:id="1766147426">
                                      <w:marLeft w:val="0"/>
                                      <w:marRight w:val="0"/>
                                      <w:marTop w:val="0"/>
                                      <w:marBottom w:val="0"/>
                                      <w:divBdr>
                                        <w:top w:val="none" w:sz="0" w:space="0" w:color="auto"/>
                                        <w:left w:val="none" w:sz="0" w:space="0" w:color="auto"/>
                                        <w:bottom w:val="none" w:sz="0" w:space="0" w:color="auto"/>
                                        <w:right w:val="none" w:sz="0" w:space="0" w:color="auto"/>
                                      </w:divBdr>
                                    </w:div>
                                    <w:div w:id="389963790">
                                      <w:marLeft w:val="0"/>
                                      <w:marRight w:val="0"/>
                                      <w:marTop w:val="0"/>
                                      <w:marBottom w:val="0"/>
                                      <w:divBdr>
                                        <w:top w:val="none" w:sz="0" w:space="0" w:color="auto"/>
                                        <w:left w:val="none" w:sz="0" w:space="0" w:color="auto"/>
                                        <w:bottom w:val="none" w:sz="0" w:space="0" w:color="auto"/>
                                        <w:right w:val="none" w:sz="0" w:space="0" w:color="auto"/>
                                      </w:divBdr>
                                      <w:divsChild>
                                        <w:div w:id="1523319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787895204">
      <w:bodyDiv w:val="1"/>
      <w:marLeft w:val="0"/>
      <w:marRight w:val="0"/>
      <w:marTop w:val="0"/>
      <w:marBottom w:val="0"/>
      <w:divBdr>
        <w:top w:val="none" w:sz="0" w:space="0" w:color="auto"/>
        <w:left w:val="none" w:sz="0" w:space="0" w:color="auto"/>
        <w:bottom w:val="none" w:sz="0" w:space="0" w:color="auto"/>
        <w:right w:val="none" w:sz="0" w:space="0" w:color="auto"/>
      </w:divBdr>
      <w:divsChild>
        <w:div w:id="1244991500">
          <w:marLeft w:val="0"/>
          <w:marRight w:val="150"/>
          <w:marTop w:val="0"/>
          <w:marBottom w:val="0"/>
          <w:divBdr>
            <w:top w:val="none" w:sz="0" w:space="0" w:color="auto"/>
            <w:left w:val="none" w:sz="0" w:space="0" w:color="auto"/>
            <w:bottom w:val="none" w:sz="0" w:space="0" w:color="auto"/>
            <w:right w:val="none" w:sz="0" w:space="0" w:color="auto"/>
          </w:divBdr>
          <w:divsChild>
            <w:div w:id="1949852304">
              <w:marLeft w:val="0"/>
              <w:marRight w:val="0"/>
              <w:marTop w:val="0"/>
              <w:marBottom w:val="0"/>
              <w:divBdr>
                <w:top w:val="none" w:sz="0" w:space="0" w:color="auto"/>
                <w:left w:val="none" w:sz="0" w:space="0" w:color="auto"/>
                <w:bottom w:val="none" w:sz="0" w:space="0" w:color="auto"/>
                <w:right w:val="none" w:sz="0" w:space="0" w:color="auto"/>
              </w:divBdr>
              <w:divsChild>
                <w:div w:id="1569925316">
                  <w:marLeft w:val="0"/>
                  <w:marRight w:val="0"/>
                  <w:marTop w:val="0"/>
                  <w:marBottom w:val="0"/>
                  <w:divBdr>
                    <w:top w:val="none" w:sz="0" w:space="0" w:color="auto"/>
                    <w:left w:val="none" w:sz="0" w:space="0" w:color="auto"/>
                    <w:bottom w:val="none" w:sz="0" w:space="0" w:color="auto"/>
                    <w:right w:val="none" w:sz="0" w:space="0" w:color="auto"/>
                  </w:divBdr>
                  <w:divsChild>
                    <w:div w:id="456532813">
                      <w:marLeft w:val="0"/>
                      <w:marRight w:val="0"/>
                      <w:marTop w:val="0"/>
                      <w:marBottom w:val="0"/>
                      <w:divBdr>
                        <w:top w:val="none" w:sz="0" w:space="0" w:color="auto"/>
                        <w:left w:val="none" w:sz="0" w:space="0" w:color="auto"/>
                        <w:bottom w:val="none" w:sz="0" w:space="0" w:color="auto"/>
                        <w:right w:val="none" w:sz="0" w:space="0" w:color="auto"/>
                      </w:divBdr>
                      <w:divsChild>
                        <w:div w:id="2131901555">
                          <w:marLeft w:val="0"/>
                          <w:marRight w:val="0"/>
                          <w:marTop w:val="0"/>
                          <w:marBottom w:val="0"/>
                          <w:divBdr>
                            <w:top w:val="none" w:sz="0" w:space="0" w:color="auto"/>
                            <w:left w:val="none" w:sz="0" w:space="0" w:color="auto"/>
                            <w:bottom w:val="none" w:sz="0" w:space="0" w:color="auto"/>
                            <w:right w:val="none" w:sz="0" w:space="0" w:color="auto"/>
                          </w:divBdr>
                          <w:divsChild>
                            <w:div w:id="324433515">
                              <w:marLeft w:val="0"/>
                              <w:marRight w:val="0"/>
                              <w:marTop w:val="0"/>
                              <w:marBottom w:val="0"/>
                              <w:divBdr>
                                <w:top w:val="none" w:sz="0" w:space="0" w:color="auto"/>
                                <w:left w:val="none" w:sz="0" w:space="0" w:color="auto"/>
                                <w:bottom w:val="none" w:sz="0" w:space="0" w:color="auto"/>
                                <w:right w:val="none" w:sz="0" w:space="0" w:color="auto"/>
                              </w:divBdr>
                              <w:divsChild>
                                <w:div w:id="1797410280">
                                  <w:marLeft w:val="0"/>
                                  <w:marRight w:val="0"/>
                                  <w:marTop w:val="0"/>
                                  <w:marBottom w:val="0"/>
                                  <w:divBdr>
                                    <w:top w:val="none" w:sz="0" w:space="0" w:color="auto"/>
                                    <w:left w:val="none" w:sz="0" w:space="0" w:color="auto"/>
                                    <w:bottom w:val="none" w:sz="0" w:space="0" w:color="auto"/>
                                    <w:right w:val="none" w:sz="0" w:space="0" w:color="auto"/>
                                  </w:divBdr>
                                </w:div>
                                <w:div w:id="1241254848">
                                  <w:marLeft w:val="0"/>
                                  <w:marRight w:val="0"/>
                                  <w:marTop w:val="0"/>
                                  <w:marBottom w:val="0"/>
                                  <w:divBdr>
                                    <w:top w:val="none" w:sz="0" w:space="0" w:color="auto"/>
                                    <w:left w:val="none" w:sz="0" w:space="0" w:color="auto"/>
                                    <w:bottom w:val="none" w:sz="0" w:space="0" w:color="auto"/>
                                    <w:right w:val="none" w:sz="0" w:space="0" w:color="auto"/>
                                  </w:divBdr>
                                </w:div>
                                <w:div w:id="1212882582">
                                  <w:marLeft w:val="0"/>
                                  <w:marRight w:val="0"/>
                                  <w:marTop w:val="0"/>
                                  <w:marBottom w:val="0"/>
                                  <w:divBdr>
                                    <w:top w:val="none" w:sz="0" w:space="0" w:color="auto"/>
                                    <w:left w:val="none" w:sz="0" w:space="0" w:color="auto"/>
                                    <w:bottom w:val="none" w:sz="0" w:space="0" w:color="auto"/>
                                    <w:right w:val="none" w:sz="0" w:space="0" w:color="auto"/>
                                  </w:divBdr>
                                </w:div>
                                <w:div w:id="1510751600">
                                  <w:marLeft w:val="0"/>
                                  <w:marRight w:val="0"/>
                                  <w:marTop w:val="0"/>
                                  <w:marBottom w:val="0"/>
                                  <w:divBdr>
                                    <w:top w:val="none" w:sz="0" w:space="0" w:color="auto"/>
                                    <w:left w:val="none" w:sz="0" w:space="0" w:color="auto"/>
                                    <w:bottom w:val="none" w:sz="0" w:space="0" w:color="auto"/>
                                    <w:right w:val="none" w:sz="0" w:space="0" w:color="auto"/>
                                  </w:divBdr>
                                  <w:divsChild>
                                    <w:div w:id="2098360857">
                                      <w:marLeft w:val="360"/>
                                      <w:marRight w:val="0"/>
                                      <w:marTop w:val="0"/>
                                      <w:marBottom w:val="0"/>
                                      <w:divBdr>
                                        <w:top w:val="none" w:sz="0" w:space="0" w:color="auto"/>
                                        <w:left w:val="none" w:sz="0" w:space="0" w:color="auto"/>
                                        <w:bottom w:val="none" w:sz="0" w:space="0" w:color="auto"/>
                                        <w:right w:val="none" w:sz="0" w:space="0" w:color="auto"/>
                                      </w:divBdr>
                                    </w:div>
                                  </w:divsChild>
                                </w:div>
                                <w:div w:id="1335643679">
                                  <w:marLeft w:val="0"/>
                                  <w:marRight w:val="0"/>
                                  <w:marTop w:val="0"/>
                                  <w:marBottom w:val="0"/>
                                  <w:divBdr>
                                    <w:top w:val="none" w:sz="0" w:space="0" w:color="auto"/>
                                    <w:left w:val="none" w:sz="0" w:space="0" w:color="auto"/>
                                    <w:bottom w:val="none" w:sz="0" w:space="0" w:color="auto"/>
                                    <w:right w:val="none" w:sz="0" w:space="0" w:color="auto"/>
                                  </w:divBdr>
                                  <w:divsChild>
                                    <w:div w:id="4766094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099000">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103724034">
      <w:bodyDiv w:val="1"/>
      <w:marLeft w:val="0"/>
      <w:marRight w:val="0"/>
      <w:marTop w:val="0"/>
      <w:marBottom w:val="0"/>
      <w:divBdr>
        <w:top w:val="none" w:sz="0" w:space="0" w:color="auto"/>
        <w:left w:val="none" w:sz="0" w:space="0" w:color="auto"/>
        <w:bottom w:val="none" w:sz="0" w:space="0" w:color="auto"/>
        <w:right w:val="none" w:sz="0" w:space="0" w:color="auto"/>
      </w:divBdr>
    </w:div>
    <w:div w:id="1152677200">
      <w:bodyDiv w:val="1"/>
      <w:marLeft w:val="0"/>
      <w:marRight w:val="0"/>
      <w:marTop w:val="0"/>
      <w:marBottom w:val="0"/>
      <w:divBdr>
        <w:top w:val="none" w:sz="0" w:space="0" w:color="auto"/>
        <w:left w:val="none" w:sz="0" w:space="0" w:color="auto"/>
        <w:bottom w:val="none" w:sz="0" w:space="0" w:color="auto"/>
        <w:right w:val="none" w:sz="0" w:space="0" w:color="auto"/>
      </w:divBdr>
    </w:div>
    <w:div w:id="1153137919">
      <w:bodyDiv w:val="1"/>
      <w:marLeft w:val="0"/>
      <w:marRight w:val="0"/>
      <w:marTop w:val="0"/>
      <w:marBottom w:val="0"/>
      <w:divBdr>
        <w:top w:val="none" w:sz="0" w:space="0" w:color="auto"/>
        <w:left w:val="none" w:sz="0" w:space="0" w:color="auto"/>
        <w:bottom w:val="none" w:sz="0" w:space="0" w:color="auto"/>
        <w:right w:val="none" w:sz="0" w:space="0" w:color="auto"/>
      </w:divBdr>
    </w:div>
    <w:div w:id="1209028420">
      <w:bodyDiv w:val="1"/>
      <w:marLeft w:val="0"/>
      <w:marRight w:val="0"/>
      <w:marTop w:val="0"/>
      <w:marBottom w:val="0"/>
      <w:divBdr>
        <w:top w:val="none" w:sz="0" w:space="0" w:color="auto"/>
        <w:left w:val="none" w:sz="0" w:space="0" w:color="auto"/>
        <w:bottom w:val="none" w:sz="0" w:space="0" w:color="auto"/>
        <w:right w:val="none" w:sz="0" w:space="0" w:color="auto"/>
      </w:divBdr>
    </w:div>
    <w:div w:id="1278171941">
      <w:bodyDiv w:val="1"/>
      <w:marLeft w:val="0"/>
      <w:marRight w:val="0"/>
      <w:marTop w:val="0"/>
      <w:marBottom w:val="0"/>
      <w:divBdr>
        <w:top w:val="none" w:sz="0" w:space="0" w:color="auto"/>
        <w:left w:val="none" w:sz="0" w:space="0" w:color="auto"/>
        <w:bottom w:val="none" w:sz="0" w:space="0" w:color="auto"/>
        <w:right w:val="none" w:sz="0" w:space="0" w:color="auto"/>
      </w:divBdr>
    </w:div>
    <w:div w:id="1329287504">
      <w:bodyDiv w:val="1"/>
      <w:marLeft w:val="0"/>
      <w:marRight w:val="0"/>
      <w:marTop w:val="0"/>
      <w:marBottom w:val="0"/>
      <w:divBdr>
        <w:top w:val="none" w:sz="0" w:space="0" w:color="auto"/>
        <w:left w:val="none" w:sz="0" w:space="0" w:color="auto"/>
        <w:bottom w:val="none" w:sz="0" w:space="0" w:color="auto"/>
        <w:right w:val="none" w:sz="0" w:space="0" w:color="auto"/>
      </w:divBdr>
    </w:div>
    <w:div w:id="1407415470">
      <w:bodyDiv w:val="1"/>
      <w:marLeft w:val="0"/>
      <w:marRight w:val="0"/>
      <w:marTop w:val="0"/>
      <w:marBottom w:val="0"/>
      <w:divBdr>
        <w:top w:val="none" w:sz="0" w:space="0" w:color="auto"/>
        <w:left w:val="none" w:sz="0" w:space="0" w:color="auto"/>
        <w:bottom w:val="none" w:sz="0" w:space="0" w:color="auto"/>
        <w:right w:val="none" w:sz="0" w:space="0" w:color="auto"/>
      </w:divBdr>
    </w:div>
    <w:div w:id="1772386890">
      <w:bodyDiv w:val="1"/>
      <w:marLeft w:val="0"/>
      <w:marRight w:val="0"/>
      <w:marTop w:val="0"/>
      <w:marBottom w:val="0"/>
      <w:divBdr>
        <w:top w:val="none" w:sz="0" w:space="0" w:color="auto"/>
        <w:left w:val="none" w:sz="0" w:space="0" w:color="auto"/>
        <w:bottom w:val="none" w:sz="0" w:space="0" w:color="auto"/>
        <w:right w:val="none" w:sz="0" w:space="0" w:color="auto"/>
      </w:divBdr>
    </w:div>
    <w:div w:id="1848783821">
      <w:bodyDiv w:val="1"/>
      <w:marLeft w:val="0"/>
      <w:marRight w:val="0"/>
      <w:marTop w:val="0"/>
      <w:marBottom w:val="0"/>
      <w:divBdr>
        <w:top w:val="none" w:sz="0" w:space="0" w:color="auto"/>
        <w:left w:val="none" w:sz="0" w:space="0" w:color="auto"/>
        <w:bottom w:val="none" w:sz="0" w:space="0" w:color="auto"/>
        <w:right w:val="none" w:sz="0" w:space="0" w:color="auto"/>
      </w:divBdr>
    </w:div>
    <w:div w:id="1985502034">
      <w:bodyDiv w:val="1"/>
      <w:marLeft w:val="0"/>
      <w:marRight w:val="0"/>
      <w:marTop w:val="0"/>
      <w:marBottom w:val="0"/>
      <w:divBdr>
        <w:top w:val="none" w:sz="0" w:space="0" w:color="auto"/>
        <w:left w:val="none" w:sz="0" w:space="0" w:color="auto"/>
        <w:bottom w:val="none" w:sz="0" w:space="0" w:color="auto"/>
        <w:right w:val="none" w:sz="0" w:space="0" w:color="auto"/>
      </w:divBdr>
    </w:div>
    <w:div w:id="2061829064">
      <w:bodyDiv w:val="1"/>
      <w:marLeft w:val="0"/>
      <w:marRight w:val="0"/>
      <w:marTop w:val="0"/>
      <w:marBottom w:val="0"/>
      <w:divBdr>
        <w:top w:val="none" w:sz="0" w:space="0" w:color="auto"/>
        <w:left w:val="none" w:sz="0" w:space="0" w:color="auto"/>
        <w:bottom w:val="none" w:sz="0" w:space="0" w:color="auto"/>
        <w:right w:val="none" w:sz="0" w:space="0" w:color="auto"/>
      </w:divBdr>
    </w:div>
    <w:div w:id="207277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5"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ehrbar@avistacorp.com"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33EDCF5D12AE46BB6E37E2D7012697" ma:contentTypeVersion="175" ma:contentTypeDescription="" ma:contentTypeScope="" ma:versionID="f3c105cfcc51e622b452084334c071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2014-10-02T07:00:00+00:00</OpenedDate>
    <Date1 xmlns="dc463f71-b30c-4ab2-9473-d307f9d35888">2015-09-17T07:00:00+00:00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A31E0A-D3B5-40F1-9E2E-E902F0B20CAD}"/>
</file>

<file path=customXml/itemProps2.xml><?xml version="1.0" encoding="utf-8"?>
<ds:datastoreItem xmlns:ds="http://schemas.openxmlformats.org/officeDocument/2006/customXml" ds:itemID="{74B1F9B1-0028-4C64-86C9-2D87B6CDAE96}"/>
</file>

<file path=customXml/itemProps3.xml><?xml version="1.0" encoding="utf-8"?>
<ds:datastoreItem xmlns:ds="http://schemas.openxmlformats.org/officeDocument/2006/customXml" ds:itemID="{187D6383-0527-4436-921C-10CD07319FF1}"/>
</file>

<file path=customXml/itemProps4.xml><?xml version="1.0" encoding="utf-8"?>
<ds:datastoreItem xmlns:ds="http://schemas.openxmlformats.org/officeDocument/2006/customXml" ds:itemID="{FB98E28B-2282-42A3-88DC-852A4C00EFF8}"/>
</file>

<file path=customXml/itemProps5.xml><?xml version="1.0" encoding="utf-8"?>
<ds:datastoreItem xmlns:ds="http://schemas.openxmlformats.org/officeDocument/2006/customXml" ds:itemID="{C92FCB8C-7D67-408F-AA4E-EFFAD61FF50C}"/>
</file>

<file path=docProps/app.xml><?xml version="1.0" encoding="utf-8"?>
<Properties xmlns="http://schemas.openxmlformats.org/officeDocument/2006/extended-properties" xmlns:vt="http://schemas.openxmlformats.org/officeDocument/2006/docPropsVTypes">
  <Template>Normal.dotm</Template>
  <TotalTime>87</TotalTime>
  <Pages>6</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Pat Ehrbar</cp:lastModifiedBy>
  <cp:revision>7</cp:revision>
  <cp:lastPrinted>2015-09-16T20:54:00Z</cp:lastPrinted>
  <dcterms:created xsi:type="dcterms:W3CDTF">2015-09-15T20:55:00Z</dcterms:created>
  <dcterms:modified xsi:type="dcterms:W3CDTF">2015-09-17T23:31:00Z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0x0101006E56B4D1795A2E4DB2F0B01679ED314A008F33EDCF5D12AE46BB6E37E2D7012697</vt:lpwstr>
  </property>
  <property fmtid="{D5CDD505-2E9C-101B-9397-08002B2CF9AE}" pid="3" name="_docset_NoMedatataSyncRequired">
    <vt:lpwstr>False</vt:lpwstr>
  </property>
</Properties>
</file>