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BE6DB6" w:rsidP="006840B0">
      <w:pPr>
        <w:tabs>
          <w:tab w:val="left" w:pos="360"/>
          <w:tab w:val="left" w:pos="5040"/>
        </w:tabs>
        <w:jc w:val="both"/>
        <w:rPr>
          <w:u w:val="single"/>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02459998" wp14:editId="43220368">
                <wp:simplePos x="0" y="0"/>
                <wp:positionH relativeFrom="column">
                  <wp:posOffset>6400800</wp:posOffset>
                </wp:positionH>
                <wp:positionV relativeFrom="paragraph">
                  <wp:posOffset>-410845</wp:posOffset>
                </wp:positionV>
                <wp:extent cx="0" cy="79819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798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32.35pt" to="7in,5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" strokecolor="black [3213]"/>
            </w:pict>
          </mc:Fallback>
        </mc:AlternateContent>
      </w:r>
      <w:r w:rsidR="0070393C">
        <w:rPr>
          <w:noProof/>
          <w:u w:val="single"/>
          <w:lang w:eastAsia="en-US"/>
        </w:rPr>
        <mc:AlternateContent>
          <mc:Choice Requires="wps">
            <w:drawing>
              <wp:anchor distT="0" distB="0" distL="114300" distR="114300" simplePos="0" relativeHeight="251659264" behindDoc="0" locked="0" layoutInCell="1" allowOverlap="1" wp14:anchorId="693DBD56" wp14:editId="00957F69">
                <wp:simplePos x="0" y="0"/>
                <wp:positionH relativeFrom="column">
                  <wp:posOffset>6134100</wp:posOffset>
                </wp:positionH>
                <wp:positionV relativeFrom="paragraph">
                  <wp:posOffset>-639444</wp:posOffset>
                </wp:positionV>
                <wp:extent cx="695325" cy="8705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70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93C" w:rsidRDefault="0070393C">
                            <w:pPr>
                              <w:rPr>
                                <w:rFonts w:ascii="Arial" w:hAnsi="Arial" w:cs="Arial"/>
                                <w:sz w:val="20"/>
                              </w:rPr>
                            </w:pPr>
                            <w:r>
                              <w:rPr>
                                <w:rFonts w:ascii="Arial" w:hAnsi="Arial" w:cs="Arial"/>
                                <w:sz w:val="20"/>
                              </w:rPr>
                              <w:t>(D)(N)</w:t>
                            </w: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70393C" w:rsidRPr="0070393C" w:rsidRDefault="0070393C" w:rsidP="0070393C">
                            <w:pPr>
                              <w:rPr>
                                <w:rFonts w:ascii="Arial" w:hAnsi="Arial" w:cs="Arial"/>
                                <w:sz w:val="20"/>
                              </w:rPr>
                            </w:pPr>
                            <w:r>
                              <w:rPr>
                                <w:rFonts w:ascii="Arial" w:hAnsi="Arial" w:cs="Arial"/>
                                <w:sz w:val="20"/>
                              </w:rPr>
                              <w:t>(D)(N)</w:t>
                            </w:r>
                          </w:p>
                          <w:p w:rsidR="0070393C" w:rsidRPr="0070393C" w:rsidRDefault="0070393C">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3pt;margin-top:-50.35pt;width:54.7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" filled="f" stroked="f" strokeweight=".5pt">
                <v:textbox>
                  <w:txbxContent>
                    <w:p w:rsidR="0070393C" w:rsidRDefault="0070393C">
                      <w:pPr>
                        <w:rPr>
                          <w:rFonts w:ascii="Arial" w:hAnsi="Arial" w:cs="Arial"/>
                          <w:sz w:val="20"/>
                        </w:rPr>
                      </w:pPr>
                      <w:r>
                        <w:rPr>
                          <w:rFonts w:ascii="Arial" w:hAnsi="Arial" w:cs="Arial"/>
                          <w:sz w:val="20"/>
                        </w:rPr>
                        <w:t>(D)(N)</w:t>
                      </w: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70393C" w:rsidRDefault="0070393C">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p>
                    <w:p w:rsidR="00685F46" w:rsidRDefault="00685F46">
                      <w:pPr>
                        <w:rPr>
                          <w:rFonts w:ascii="Arial" w:hAnsi="Arial" w:cs="Arial"/>
                          <w:sz w:val="20"/>
                        </w:rPr>
                      </w:pPr>
                      <w:bookmarkStart w:id="1" w:name="_GoBack"/>
                      <w:bookmarkEnd w:id="1"/>
                    </w:p>
                    <w:p w:rsidR="0070393C" w:rsidRPr="0070393C" w:rsidRDefault="0070393C" w:rsidP="0070393C">
                      <w:pPr>
                        <w:rPr>
                          <w:rFonts w:ascii="Arial" w:hAnsi="Arial" w:cs="Arial"/>
                          <w:sz w:val="20"/>
                        </w:rPr>
                      </w:pPr>
                      <w:r>
                        <w:rPr>
                          <w:rFonts w:ascii="Arial" w:hAnsi="Arial" w:cs="Arial"/>
                          <w:sz w:val="20"/>
                        </w:rPr>
                        <w:t>(D)(N)</w:t>
                      </w:r>
                    </w:p>
                    <w:p w:rsidR="0070393C" w:rsidRPr="0070393C" w:rsidRDefault="0070393C">
                      <w:pPr>
                        <w:rPr>
                          <w:rFonts w:ascii="Arial" w:hAnsi="Arial" w:cs="Arial"/>
                          <w:sz w:val="20"/>
                        </w:rPr>
                      </w:pPr>
                    </w:p>
                  </w:txbxContent>
                </v:textbox>
              </v:shape>
            </w:pict>
          </mc:Fallback>
        </mc:AlternateContent>
      </w:r>
    </w:p>
    <w:p w:rsidR="00645DD2" w:rsidRDefault="00645DD2" w:rsidP="00645DD2">
      <w:pPr>
        <w:jc w:val="both"/>
        <w:rPr>
          <w:rFonts w:ascii="Arial" w:hAnsi="Arial" w:cs="Arial"/>
          <w:sz w:val="20"/>
        </w:rPr>
      </w:pPr>
      <w:r>
        <w:rPr>
          <w:rFonts w:ascii="Arial" w:hAnsi="Arial" w:cs="Arial"/>
          <w:b/>
          <w:sz w:val="20"/>
        </w:rPr>
        <w:t>B</w:t>
      </w:r>
      <w:r w:rsidR="008C6A8A">
        <w:rPr>
          <w:rFonts w:ascii="Arial" w:hAnsi="Arial" w:cs="Arial"/>
          <w:b/>
          <w:sz w:val="20"/>
        </w:rPr>
        <w:t xml:space="preserve">.  </w:t>
      </w:r>
      <w:r>
        <w:rPr>
          <w:rFonts w:ascii="Arial" w:hAnsi="Arial" w:cs="Arial"/>
          <w:b/>
          <w:sz w:val="20"/>
        </w:rPr>
        <w:t>Technical Requirements</w:t>
      </w:r>
      <w:r w:rsidR="00824217">
        <w:rPr>
          <w:rFonts w:ascii="Arial" w:hAnsi="Arial" w:cs="Arial"/>
          <w:b/>
          <w:sz w:val="20"/>
        </w:rPr>
        <w:t>:</w:t>
      </w:r>
      <w:r>
        <w:rPr>
          <w:rFonts w:ascii="Arial" w:hAnsi="Arial" w:cs="Arial"/>
          <w:sz w:val="20"/>
        </w:rPr>
        <w:t xml:space="preserve"> (continued) </w:t>
      </w:r>
    </w:p>
    <w:p w:rsidR="008C6A8A" w:rsidRDefault="008C6A8A" w:rsidP="00645DD2">
      <w:pPr>
        <w:jc w:val="both"/>
        <w:rPr>
          <w:rFonts w:ascii="Arial" w:hAnsi="Arial" w:cs="Arial"/>
          <w:sz w:val="20"/>
        </w:rPr>
      </w:pPr>
    </w:p>
    <w:p w:rsidR="006B1D70" w:rsidRDefault="00645DD2" w:rsidP="008C6A8A">
      <w:pPr>
        <w:tabs>
          <w:tab w:val="left" w:pos="-3600"/>
          <w:tab w:val="left" w:pos="-2250"/>
          <w:tab w:val="left" w:pos="-1710"/>
          <w:tab w:val="left" w:pos="-1170"/>
          <w:tab w:val="left" w:pos="720"/>
          <w:tab w:val="left" w:pos="4320"/>
        </w:tabs>
        <w:ind w:left="720" w:hanging="360"/>
        <w:jc w:val="both"/>
        <w:rPr>
          <w:rFonts w:ascii="Arial" w:hAnsi="Arial" w:cs="Arial"/>
          <w:b/>
          <w:sz w:val="20"/>
        </w:rPr>
      </w:pPr>
      <w:r w:rsidRPr="00024FA1">
        <w:rPr>
          <w:rFonts w:ascii="Arial" w:hAnsi="Arial" w:cs="Arial"/>
          <w:b/>
          <w:sz w:val="20"/>
          <w:u w:val="single"/>
        </w:rPr>
        <w:t>1.</w:t>
      </w:r>
      <w:r w:rsidRPr="00024FA1">
        <w:rPr>
          <w:rFonts w:ascii="Arial" w:hAnsi="Arial" w:cs="Arial"/>
          <w:b/>
          <w:sz w:val="20"/>
          <w:u w:val="single"/>
        </w:rPr>
        <w:tab/>
        <w:t>Tier 1</w:t>
      </w:r>
      <w:r>
        <w:rPr>
          <w:rFonts w:ascii="Arial" w:hAnsi="Arial" w:cs="Arial"/>
          <w:b/>
          <w:sz w:val="20"/>
        </w:rPr>
        <w:t xml:space="preserve"> </w:t>
      </w:r>
      <w:r w:rsidRPr="00645DD2">
        <w:rPr>
          <w:rFonts w:ascii="Arial" w:hAnsi="Arial" w:cs="Arial"/>
          <w:sz w:val="20"/>
        </w:rPr>
        <w:t>(continued)</w:t>
      </w:r>
      <w:r>
        <w:rPr>
          <w:rFonts w:ascii="Arial" w:hAnsi="Arial" w:cs="Arial"/>
          <w:b/>
          <w:sz w:val="20"/>
        </w:rPr>
        <w:t xml:space="preserve"> </w:t>
      </w:r>
      <w:r>
        <w:rPr>
          <w:rFonts w:ascii="Arial" w:hAnsi="Arial" w:cs="Arial"/>
          <w:b/>
          <w:sz w:val="20"/>
        </w:rPr>
        <w:tab/>
      </w:r>
    </w:p>
    <w:p w:rsidR="00645DD2" w:rsidRPr="004E27B9" w:rsidRDefault="00645DD2" w:rsidP="008C6A8A">
      <w:pPr>
        <w:ind w:left="720" w:hanging="360"/>
        <w:jc w:val="both"/>
        <w:rPr>
          <w:rFonts w:ascii="Arial" w:hAnsi="Arial" w:cs="Arial"/>
          <w:sz w:val="20"/>
        </w:rPr>
      </w:pPr>
      <w:r>
        <w:rPr>
          <w:rFonts w:ascii="Arial" w:hAnsi="Arial" w:cs="Arial"/>
          <w:sz w:val="20"/>
        </w:rPr>
        <w:t>d)</w:t>
      </w:r>
      <w:r>
        <w:rPr>
          <w:rFonts w:ascii="Arial" w:hAnsi="Arial" w:cs="Arial"/>
          <w:sz w:val="20"/>
        </w:rPr>
        <w:tab/>
        <w:t xml:space="preserve">Disconnect Switch (continued) </w:t>
      </w:r>
    </w:p>
    <w:p w:rsidR="00645DD2" w:rsidRDefault="00597436" w:rsidP="00BE3D32">
      <w:pPr>
        <w:ind w:left="2160" w:hanging="360"/>
        <w:jc w:val="both"/>
        <w:rPr>
          <w:rFonts w:ascii="Arial" w:hAnsi="Arial" w:cs="Arial"/>
          <w:sz w:val="20"/>
        </w:rPr>
      </w:pPr>
      <w:r>
        <w:rPr>
          <w:rFonts w:ascii="Arial" w:hAnsi="Arial" w:cs="Arial"/>
          <w:sz w:val="20"/>
        </w:rPr>
        <w:t>2.</w:t>
      </w:r>
      <w:r w:rsidR="00645DD2">
        <w:rPr>
          <w:rFonts w:ascii="Arial" w:hAnsi="Arial" w:cs="Arial"/>
          <w:sz w:val="20"/>
        </w:rPr>
        <w:tab/>
      </w:r>
      <w:r w:rsidR="006B1D70" w:rsidRPr="00645DD2">
        <w:rPr>
          <w:rFonts w:ascii="Arial" w:hAnsi="Arial" w:cs="Arial"/>
          <w:sz w:val="20"/>
        </w:rPr>
        <w:t>To maintain Company operating and personnel safety in the absence of an external disconnect switch, the interconnection customer shall agree that the company has the right to disconnect electric service through other means if the generating facility must be physically disconnected for any reason, without liability to the Company. These actions to disconnect the</w:t>
      </w:r>
      <w:r w:rsidR="00E323C8">
        <w:rPr>
          <w:rFonts w:ascii="Arial" w:hAnsi="Arial" w:cs="Arial"/>
          <w:sz w:val="20"/>
        </w:rPr>
        <w:t xml:space="preserve"> generating facility (due to an</w:t>
      </w:r>
      <w:r w:rsidR="006B1D70" w:rsidRPr="00645DD2">
        <w:rPr>
          <w:rFonts w:ascii="Arial" w:hAnsi="Arial" w:cs="Arial"/>
          <w:sz w:val="20"/>
        </w:rPr>
        <w:t xml:space="preserve"> emergency or maintenance or other condition on the electric system) will result in loss of electrical service to the customer’s facility or residence for the duration of time that work is actively in progress. The duration of outage may be longer than it would otherwise have bee</w:t>
      </w:r>
      <w:r w:rsidR="008C6A8A">
        <w:rPr>
          <w:rFonts w:ascii="Arial" w:hAnsi="Arial" w:cs="Arial"/>
          <w:sz w:val="20"/>
        </w:rPr>
        <w:t>n with an AC disconnect switch;</w:t>
      </w:r>
    </w:p>
    <w:p w:rsidR="006B1D70" w:rsidRDefault="00597436" w:rsidP="00BE3D32">
      <w:pPr>
        <w:ind w:left="2160" w:hanging="360"/>
        <w:jc w:val="both"/>
        <w:rPr>
          <w:rFonts w:ascii="Arial" w:hAnsi="Arial" w:cs="Arial"/>
          <w:sz w:val="20"/>
        </w:rPr>
      </w:pPr>
      <w:r>
        <w:rPr>
          <w:rFonts w:ascii="Arial" w:hAnsi="Arial" w:cs="Arial"/>
          <w:sz w:val="20"/>
        </w:rPr>
        <w:t>3.</w:t>
      </w:r>
      <w:r w:rsidR="008C6A8A">
        <w:rPr>
          <w:rFonts w:ascii="Arial" w:hAnsi="Arial" w:cs="Arial"/>
          <w:sz w:val="20"/>
        </w:rPr>
        <w:tab/>
      </w:r>
      <w:r w:rsidR="006B1D70">
        <w:rPr>
          <w:rFonts w:ascii="Arial" w:hAnsi="Arial" w:cs="Arial"/>
          <w:sz w:val="20"/>
        </w:rPr>
        <w:t xml:space="preserve">In the absence of an external disconnect switch, the interconnection customer is required to operate and maintain the inverter in accordance with the manufacturer’s guidelines, and retain documentation of commissioning. In the absence of such documentation the Company may, with 5 days’ notice and at the interconnection customer’s expense, test or cause to be tested the inverter to ensure its continued operation and protection capability. The person that tests the inverter shall provide documentation of the results to both the Company and the interconnection customer. Should the inverter fail the test, the Company may disconnect the generating facility, and require the interconnection customer to repair or replace the inverter. The cost of any such repair or replacement required by the Company shall be the sole responsibility of the interconnection customer. </w:t>
      </w:r>
    </w:p>
    <w:p w:rsidR="008C6A8A" w:rsidRDefault="008C6A8A" w:rsidP="008C6A8A">
      <w:pPr>
        <w:ind w:left="1440" w:hanging="360"/>
        <w:jc w:val="both"/>
        <w:rPr>
          <w:rFonts w:ascii="Arial" w:hAnsi="Arial" w:cs="Arial"/>
          <w:sz w:val="20"/>
        </w:rPr>
      </w:pPr>
    </w:p>
    <w:p w:rsidR="006B1D70" w:rsidRPr="00024FA1" w:rsidRDefault="00645DD2" w:rsidP="008C6A8A">
      <w:pPr>
        <w:ind w:left="720" w:hanging="360"/>
        <w:jc w:val="both"/>
        <w:rPr>
          <w:rFonts w:ascii="Arial" w:hAnsi="Arial" w:cs="Arial"/>
          <w:sz w:val="20"/>
          <w:u w:val="single"/>
        </w:rPr>
      </w:pPr>
      <w:r w:rsidRPr="00024FA1">
        <w:rPr>
          <w:rFonts w:ascii="Arial" w:hAnsi="Arial" w:cs="Arial"/>
          <w:b/>
          <w:sz w:val="20"/>
          <w:u w:val="single"/>
        </w:rPr>
        <w:t>2.</w:t>
      </w:r>
      <w:r w:rsidRPr="00024FA1">
        <w:rPr>
          <w:rFonts w:ascii="Arial" w:hAnsi="Arial" w:cs="Arial"/>
          <w:b/>
          <w:sz w:val="20"/>
          <w:u w:val="single"/>
        </w:rPr>
        <w:tab/>
        <w:t>Tier 2</w:t>
      </w:r>
      <w:r w:rsidR="00824217">
        <w:rPr>
          <w:rFonts w:ascii="Arial" w:hAnsi="Arial" w:cs="Arial"/>
          <w:b/>
          <w:sz w:val="20"/>
          <w:u w:val="single"/>
        </w:rPr>
        <w:t xml:space="preserve">: </w:t>
      </w:r>
    </w:p>
    <w:p w:rsidR="006B1D70" w:rsidRPr="00645DD2" w:rsidRDefault="00645DD2" w:rsidP="008C6A8A">
      <w:pPr>
        <w:tabs>
          <w:tab w:val="left" w:pos="-630"/>
        </w:tabs>
        <w:ind w:left="720" w:hanging="360"/>
        <w:jc w:val="both"/>
        <w:rPr>
          <w:rFonts w:ascii="Arial" w:hAnsi="Arial" w:cs="Arial"/>
          <w:sz w:val="20"/>
        </w:rPr>
      </w:pPr>
      <w:r>
        <w:rPr>
          <w:rFonts w:ascii="Arial" w:hAnsi="Arial" w:cs="Arial"/>
          <w:sz w:val="20"/>
        </w:rPr>
        <w:t>a)</w:t>
      </w:r>
      <w:r>
        <w:rPr>
          <w:rFonts w:ascii="Arial" w:hAnsi="Arial" w:cs="Arial"/>
          <w:sz w:val="20"/>
        </w:rPr>
        <w:tab/>
      </w:r>
      <w:r w:rsidR="006B1D70" w:rsidRPr="00645DD2">
        <w:rPr>
          <w:rFonts w:ascii="Arial" w:hAnsi="Arial" w:cs="Arial"/>
          <w:sz w:val="20"/>
        </w:rPr>
        <w:t>In all cases, the interconnection facilities must isolate the generating facility from the electric system as specified by IEEE 1547, and the interconnection agreement. The interconnection customer shall prevent its generating facility equipment from automatically reenergizing the electric system as specified by IEEE 1547, and the interconnection agreement. For inverter–based systems the interconnecting facility must comply with IEEE 1547</w:t>
      </w:r>
      <w:r w:rsidR="0047074C">
        <w:rPr>
          <w:rFonts w:ascii="Arial" w:hAnsi="Arial" w:cs="Arial"/>
          <w:sz w:val="20"/>
        </w:rPr>
        <w:t>,</w:t>
      </w:r>
      <w:r w:rsidR="006B1D70" w:rsidRPr="00645DD2">
        <w:rPr>
          <w:rFonts w:ascii="Arial" w:hAnsi="Arial" w:cs="Arial"/>
          <w:sz w:val="20"/>
        </w:rPr>
        <w:t xml:space="preserve"> UL 1741 and the interconnection agreement set forth by the electric utility. For </w:t>
      </w:r>
      <w:proofErr w:type="spellStart"/>
      <w:r w:rsidR="006B1D70" w:rsidRPr="00645DD2">
        <w:rPr>
          <w:rFonts w:ascii="Arial" w:hAnsi="Arial" w:cs="Arial"/>
          <w:sz w:val="20"/>
        </w:rPr>
        <w:t>noninverter</w:t>
      </w:r>
      <w:proofErr w:type="spellEnd"/>
      <w:r w:rsidR="006B1D70" w:rsidRPr="00645DD2">
        <w:rPr>
          <w:rFonts w:ascii="Arial" w:hAnsi="Arial" w:cs="Arial"/>
          <w:sz w:val="20"/>
        </w:rPr>
        <w:t xml:space="preserve"> based systems a separate protection package will be required to meet IEEE1547 and the interconnection agreement set forth by the Company.</w:t>
      </w:r>
    </w:p>
    <w:p w:rsidR="008C6A8A" w:rsidRDefault="00645DD2" w:rsidP="008C6A8A">
      <w:pPr>
        <w:ind w:left="720" w:hanging="360"/>
        <w:jc w:val="both"/>
        <w:rPr>
          <w:rFonts w:ascii="Arial" w:hAnsi="Arial" w:cs="Arial"/>
          <w:sz w:val="20"/>
        </w:rPr>
      </w:pPr>
      <w:r>
        <w:rPr>
          <w:rFonts w:ascii="Arial" w:hAnsi="Arial" w:cs="Arial"/>
          <w:sz w:val="20"/>
        </w:rPr>
        <w:t>b)</w:t>
      </w:r>
      <w:r>
        <w:rPr>
          <w:rFonts w:ascii="Arial" w:hAnsi="Arial" w:cs="Arial"/>
          <w:sz w:val="20"/>
        </w:rPr>
        <w:tab/>
      </w:r>
      <w:r w:rsidR="006B1D70" w:rsidRPr="00645DD2">
        <w:rPr>
          <w:rFonts w:ascii="Arial" w:hAnsi="Arial" w:cs="Arial"/>
          <w:sz w:val="20"/>
        </w:rPr>
        <w:t xml:space="preserve">If the generating facility fails to meet the characteristics for Tier 2 applicability, but the Company determines that the generating facility could be interconnected safely if minor modifications to the transmission or distribution system were made (for example, changing meters, fuses, or relay settings), then the Company may offer the customer a good-faith, non-binding estimate of the costs of such proposed minor modifications. If the interconnection customer authorizes the Company to proceed with the minor modifications, then the Company may approve the application using Tier 2 processes and </w:t>
      </w:r>
      <w:r w:rsidR="008C6A8A">
        <w:rPr>
          <w:rFonts w:ascii="Arial" w:hAnsi="Arial" w:cs="Arial"/>
          <w:sz w:val="20"/>
        </w:rPr>
        <w:t>technical requirements;</w:t>
      </w:r>
      <w:r w:rsidR="006B1D70" w:rsidRPr="00645DD2">
        <w:rPr>
          <w:rFonts w:ascii="Arial" w:hAnsi="Arial" w:cs="Arial"/>
          <w:sz w:val="20"/>
        </w:rPr>
        <w:t xml:space="preserve">   </w:t>
      </w:r>
    </w:p>
    <w:p w:rsidR="002020DC" w:rsidRDefault="008C6A8A" w:rsidP="008C6A8A">
      <w:pPr>
        <w:ind w:left="720" w:hanging="360"/>
        <w:jc w:val="both"/>
        <w:rPr>
          <w:rFonts w:ascii="Arial" w:hAnsi="Arial" w:cs="Arial"/>
          <w:sz w:val="20"/>
        </w:rPr>
      </w:pPr>
      <w:r>
        <w:rPr>
          <w:rFonts w:ascii="Arial" w:hAnsi="Arial" w:cs="Arial"/>
          <w:sz w:val="20"/>
        </w:rPr>
        <w:t>c)</w:t>
      </w:r>
      <w:r>
        <w:rPr>
          <w:rFonts w:ascii="Arial" w:hAnsi="Arial" w:cs="Arial"/>
          <w:sz w:val="20"/>
        </w:rPr>
        <w:tab/>
      </w:r>
      <w:r w:rsidR="006B1D70">
        <w:rPr>
          <w:rFonts w:ascii="Arial" w:hAnsi="Arial" w:cs="Arial"/>
          <w:sz w:val="20"/>
        </w:rPr>
        <w:t>For proposed generating facilities 50 kW and greater, three-phase connection</w:t>
      </w:r>
      <w:r>
        <w:rPr>
          <w:rFonts w:ascii="Arial" w:hAnsi="Arial" w:cs="Arial"/>
          <w:sz w:val="20"/>
        </w:rPr>
        <w:t xml:space="preserve"> may be required by the Company;</w:t>
      </w:r>
    </w:p>
    <w:p w:rsidR="008C6A8A" w:rsidRPr="006B1D70" w:rsidRDefault="008C6A8A" w:rsidP="008C6A8A">
      <w:pPr>
        <w:ind w:left="720" w:hanging="360"/>
        <w:jc w:val="both"/>
        <w:rPr>
          <w:rFonts w:ascii="Arial" w:hAnsi="Arial" w:cs="Arial"/>
          <w:sz w:val="20"/>
        </w:rPr>
      </w:pPr>
    </w:p>
    <w:sectPr w:rsidR="008C6A8A" w:rsidRPr="006B1D70"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0" w:rsidRDefault="006B1D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22" w:rsidRDefault="006B1D70" w:rsidP="008D6222">
    <w:pPr>
      <w:pStyle w:val="Footer"/>
      <w:pBdr>
        <w:bottom w:val="single" w:sz="6" w:space="0" w:color="auto"/>
      </w:pBdr>
      <w:tabs>
        <w:tab w:val="clear" w:pos="4680"/>
      </w:tabs>
      <w:ind w:left="900" w:hanging="900"/>
      <w:jc w:val="center"/>
      <w:rPr>
        <w:rFonts w:ascii="Arial" w:hAnsi="Arial" w:cs="Arial"/>
        <w:sz w:val="20"/>
      </w:rPr>
    </w:pPr>
    <w:r w:rsidRPr="006B1D70">
      <w:rPr>
        <w:rFonts w:ascii="Arial" w:hAnsi="Arial" w:cs="Arial"/>
        <w:sz w:val="20"/>
      </w:rPr>
      <w:t>(continued)</w:t>
    </w:r>
  </w:p>
  <w:p w:rsidR="008D6222" w:rsidRDefault="008D6222" w:rsidP="008D6222">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597436">
      <w:rPr>
        <w:rFonts w:ascii="Arial" w:hAnsi="Arial" w:cs="Arial"/>
        <w:sz w:val="20"/>
      </w:rPr>
      <w:t>20</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8D6222" w:rsidRDefault="008D6222" w:rsidP="008D6222">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8D6222" w:rsidRDefault="008D6222" w:rsidP="008D6222">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3244A5AB" wp14:editId="0E945FF3">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8D6222" w:rsidRDefault="008D6222" w:rsidP="008D6222">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6D31A40C" wp14:editId="246F5819">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8D6222" w:rsidRDefault="008D6222" w:rsidP="008D6222">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5E937499" wp14:editId="59ECF04A">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8D6222" w:rsidRDefault="008D6222" w:rsidP="008D6222">
    <w:pPr>
      <w:pStyle w:val="Footer"/>
      <w:tabs>
        <w:tab w:val="clear" w:pos="4680"/>
        <w:tab w:val="right" w:pos="9216"/>
      </w:tabs>
      <w:ind w:left="900" w:hanging="900"/>
      <w:rPr>
        <w:rFonts w:ascii="Arial" w:hAnsi="Arial" w:cs="Arial"/>
        <w:sz w:val="20"/>
      </w:rPr>
    </w:pPr>
  </w:p>
  <w:p w:rsidR="006B1D70" w:rsidRDefault="006B1D70" w:rsidP="008D6222">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0" w:rsidRDefault="006B1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0" w:rsidRDefault="006B1D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3421C0" w:rsidRDefault="00F350A4" w:rsidP="003421C0">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3421C0">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9C70B4" w:rsidRDefault="009C70B4" w:rsidP="009C70B4">
    <w:pPr>
      <w:tabs>
        <w:tab w:val="left" w:pos="7200"/>
      </w:tabs>
      <w:ind w:right="2160"/>
      <w:jc w:val="right"/>
      <w:rPr>
        <w:rFonts w:ascii="Arial" w:hAnsi="Arial" w:cs="Arial"/>
        <w:sz w:val="20"/>
      </w:rPr>
    </w:pPr>
    <w:r>
      <w:rPr>
        <w:rFonts w:ascii="Arial" w:hAnsi="Arial" w:cs="Arial"/>
        <w:sz w:val="20"/>
      </w:rPr>
      <w:t>First Revision of Sheet No. 136.5</w:t>
    </w:r>
  </w:p>
  <w:p w:rsidR="009C70B4" w:rsidRDefault="009C70B4" w:rsidP="009C70B4">
    <w:pPr>
      <w:tabs>
        <w:tab w:val="left" w:pos="7200"/>
      </w:tabs>
      <w:ind w:right="2160"/>
      <w:jc w:val="right"/>
      <w:rPr>
        <w:rFonts w:ascii="Arial" w:hAnsi="Arial" w:cs="Arial"/>
        <w:sz w:val="20"/>
      </w:rPr>
    </w:pPr>
    <w:r>
      <w:rPr>
        <w:rFonts w:ascii="Arial" w:hAnsi="Arial" w:cs="Arial"/>
        <w:sz w:val="20"/>
      </w:rPr>
      <w:t>Canceling Original Sheet No. 136.5</w:t>
    </w:r>
  </w:p>
  <w:p w:rsidR="0039748F" w:rsidRDefault="0039748F">
    <w:pPr>
      <w:rPr>
        <w:rFonts w:ascii="Arial" w:hAnsi="Arial" w:cs="Arial"/>
        <w:sz w:val="20"/>
      </w:rPr>
    </w:pPr>
    <w:r>
      <w:rPr>
        <w:rFonts w:ascii="Arial" w:hAnsi="Arial" w:cs="Arial"/>
        <w:sz w:val="20"/>
      </w:rPr>
      <w:tab/>
    </w:r>
  </w:p>
  <w:p w:rsidR="0039748F" w:rsidRPr="00CF64E6" w:rsidRDefault="00311A30" w:rsidP="00A91A21">
    <w:pPr>
      <w:tabs>
        <w:tab w:val="left" w:pos="7200"/>
      </w:tabs>
      <w:ind w:right="2160"/>
      <w:rPr>
        <w:rFonts w:ascii="Arial" w:hAnsi="Arial" w:cs="Arial"/>
        <w:b/>
        <w:sz w:val="24"/>
        <w:szCs w:val="24"/>
      </w:rPr>
    </w:pPr>
    <w:r>
      <w:rPr>
        <w:rFonts w:ascii="Arial" w:hAnsi="Arial" w:cs="Arial"/>
        <w:b/>
        <w:sz w:val="24"/>
        <w:szCs w:val="24"/>
      </w:rPr>
      <w:t>Schedule 136</w:t>
    </w:r>
  </w:p>
  <w:p w:rsidR="005F72ED" w:rsidRPr="009B779C" w:rsidRDefault="00311A30"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0" w:rsidRDefault="006B1D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B2970"/>
    <w:multiLevelType w:val="multilevel"/>
    <w:tmpl w:val="DEDC5F14"/>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198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8">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9">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1">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1"/>
  </w:num>
  <w:num w:numId="5">
    <w:abstractNumId w:val="7"/>
  </w:num>
  <w:num w:numId="6">
    <w:abstractNumId w:val="9"/>
  </w:num>
  <w:num w:numId="7">
    <w:abstractNumId w:val="3"/>
  </w:num>
  <w:num w:numId="8">
    <w:abstractNumId w:val="12"/>
  </w:num>
  <w:num w:numId="9">
    <w:abstractNumId w:val="0"/>
  </w:num>
  <w:num w:numId="10">
    <w:abstractNumId w:val="6"/>
  </w:num>
  <w:num w:numId="11">
    <w:abstractNumId w:val="8"/>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4B41"/>
    <w:rsid w:val="00024FA1"/>
    <w:rsid w:val="000521F3"/>
    <w:rsid w:val="000760A1"/>
    <w:rsid w:val="00087CF7"/>
    <w:rsid w:val="000918B9"/>
    <w:rsid w:val="000A0FF1"/>
    <w:rsid w:val="000B36F4"/>
    <w:rsid w:val="000C75B6"/>
    <w:rsid w:val="000E3B96"/>
    <w:rsid w:val="000F29F0"/>
    <w:rsid w:val="00113567"/>
    <w:rsid w:val="00135716"/>
    <w:rsid w:val="001360F4"/>
    <w:rsid w:val="001522E7"/>
    <w:rsid w:val="001620F1"/>
    <w:rsid w:val="00162DE3"/>
    <w:rsid w:val="00172D01"/>
    <w:rsid w:val="001A2436"/>
    <w:rsid w:val="001C0F5B"/>
    <w:rsid w:val="001D4F15"/>
    <w:rsid w:val="001F19AC"/>
    <w:rsid w:val="001F372F"/>
    <w:rsid w:val="002020DC"/>
    <w:rsid w:val="00204381"/>
    <w:rsid w:val="00205735"/>
    <w:rsid w:val="00257BDC"/>
    <w:rsid w:val="00266E07"/>
    <w:rsid w:val="002739D8"/>
    <w:rsid w:val="00293785"/>
    <w:rsid w:val="00293B3C"/>
    <w:rsid w:val="002972ED"/>
    <w:rsid w:val="002B1262"/>
    <w:rsid w:val="002C1B76"/>
    <w:rsid w:val="002C79BC"/>
    <w:rsid w:val="002D40E8"/>
    <w:rsid w:val="002E41E4"/>
    <w:rsid w:val="002E6C6E"/>
    <w:rsid w:val="002F1C7C"/>
    <w:rsid w:val="002F56C1"/>
    <w:rsid w:val="00311A30"/>
    <w:rsid w:val="00322467"/>
    <w:rsid w:val="00341521"/>
    <w:rsid w:val="003421C0"/>
    <w:rsid w:val="0034455A"/>
    <w:rsid w:val="003960AD"/>
    <w:rsid w:val="0039748F"/>
    <w:rsid w:val="003C2525"/>
    <w:rsid w:val="003F72C1"/>
    <w:rsid w:val="004028C8"/>
    <w:rsid w:val="004043D5"/>
    <w:rsid w:val="00416A6E"/>
    <w:rsid w:val="00422D71"/>
    <w:rsid w:val="00457B71"/>
    <w:rsid w:val="00464C7E"/>
    <w:rsid w:val="00467619"/>
    <w:rsid w:val="0047074C"/>
    <w:rsid w:val="004756BD"/>
    <w:rsid w:val="00490AF3"/>
    <w:rsid w:val="004A30F3"/>
    <w:rsid w:val="004A52F7"/>
    <w:rsid w:val="004B1617"/>
    <w:rsid w:val="004C3D14"/>
    <w:rsid w:val="004C5FE8"/>
    <w:rsid w:val="004E27B9"/>
    <w:rsid w:val="00534D32"/>
    <w:rsid w:val="005369F8"/>
    <w:rsid w:val="00546A05"/>
    <w:rsid w:val="00555712"/>
    <w:rsid w:val="00564506"/>
    <w:rsid w:val="00574FF6"/>
    <w:rsid w:val="00577682"/>
    <w:rsid w:val="00580EC3"/>
    <w:rsid w:val="00583749"/>
    <w:rsid w:val="00590227"/>
    <w:rsid w:val="00595BAA"/>
    <w:rsid w:val="00597436"/>
    <w:rsid w:val="005A1156"/>
    <w:rsid w:val="005A6379"/>
    <w:rsid w:val="005C397C"/>
    <w:rsid w:val="005C79F4"/>
    <w:rsid w:val="005E008E"/>
    <w:rsid w:val="005E1B04"/>
    <w:rsid w:val="005E29DE"/>
    <w:rsid w:val="005E40EC"/>
    <w:rsid w:val="005F64B9"/>
    <w:rsid w:val="005F72ED"/>
    <w:rsid w:val="005F7880"/>
    <w:rsid w:val="00622B69"/>
    <w:rsid w:val="00645DD2"/>
    <w:rsid w:val="006638F3"/>
    <w:rsid w:val="00683DDC"/>
    <w:rsid w:val="006840B0"/>
    <w:rsid w:val="00685F46"/>
    <w:rsid w:val="0068713C"/>
    <w:rsid w:val="006A266F"/>
    <w:rsid w:val="006A6E87"/>
    <w:rsid w:val="006B1D70"/>
    <w:rsid w:val="006E1287"/>
    <w:rsid w:val="006E402A"/>
    <w:rsid w:val="006E424F"/>
    <w:rsid w:val="0070393C"/>
    <w:rsid w:val="007050E2"/>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24217"/>
    <w:rsid w:val="008474F2"/>
    <w:rsid w:val="008766A2"/>
    <w:rsid w:val="00876B56"/>
    <w:rsid w:val="00886645"/>
    <w:rsid w:val="00897348"/>
    <w:rsid w:val="008A77C7"/>
    <w:rsid w:val="008C6A8A"/>
    <w:rsid w:val="008D6222"/>
    <w:rsid w:val="008E7364"/>
    <w:rsid w:val="008F0AD1"/>
    <w:rsid w:val="0091528E"/>
    <w:rsid w:val="00920A5D"/>
    <w:rsid w:val="009421D3"/>
    <w:rsid w:val="009703D2"/>
    <w:rsid w:val="00975D61"/>
    <w:rsid w:val="009B13B6"/>
    <w:rsid w:val="009B1635"/>
    <w:rsid w:val="009B439C"/>
    <w:rsid w:val="009B59D6"/>
    <w:rsid w:val="009B779C"/>
    <w:rsid w:val="009C70B4"/>
    <w:rsid w:val="009E0C82"/>
    <w:rsid w:val="00A261ED"/>
    <w:rsid w:val="00A35091"/>
    <w:rsid w:val="00A43A23"/>
    <w:rsid w:val="00A84ABB"/>
    <w:rsid w:val="00A91A21"/>
    <w:rsid w:val="00AA4FC3"/>
    <w:rsid w:val="00AA6EAF"/>
    <w:rsid w:val="00AC7988"/>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BE3D32"/>
    <w:rsid w:val="00BE6DB6"/>
    <w:rsid w:val="00C0493E"/>
    <w:rsid w:val="00C210FD"/>
    <w:rsid w:val="00C2540C"/>
    <w:rsid w:val="00C31B67"/>
    <w:rsid w:val="00C36075"/>
    <w:rsid w:val="00C41C7D"/>
    <w:rsid w:val="00C60F7D"/>
    <w:rsid w:val="00C83493"/>
    <w:rsid w:val="00C84F36"/>
    <w:rsid w:val="00C91131"/>
    <w:rsid w:val="00CC1A53"/>
    <w:rsid w:val="00CD01ED"/>
    <w:rsid w:val="00CE6692"/>
    <w:rsid w:val="00CF4970"/>
    <w:rsid w:val="00CF64E6"/>
    <w:rsid w:val="00D23AB3"/>
    <w:rsid w:val="00D313E0"/>
    <w:rsid w:val="00D45A57"/>
    <w:rsid w:val="00D60206"/>
    <w:rsid w:val="00D932B5"/>
    <w:rsid w:val="00DA1394"/>
    <w:rsid w:val="00DB2070"/>
    <w:rsid w:val="00DB4CE8"/>
    <w:rsid w:val="00DE2657"/>
    <w:rsid w:val="00DE409D"/>
    <w:rsid w:val="00E13A5F"/>
    <w:rsid w:val="00E323C8"/>
    <w:rsid w:val="00E349F0"/>
    <w:rsid w:val="00E44254"/>
    <w:rsid w:val="00E52C0F"/>
    <w:rsid w:val="00E53EC5"/>
    <w:rsid w:val="00E70392"/>
    <w:rsid w:val="00E84454"/>
    <w:rsid w:val="00E86C83"/>
    <w:rsid w:val="00EE629E"/>
    <w:rsid w:val="00EE6E21"/>
    <w:rsid w:val="00EF6074"/>
    <w:rsid w:val="00F07160"/>
    <w:rsid w:val="00F12645"/>
    <w:rsid w:val="00F154DD"/>
    <w:rsid w:val="00F30DDC"/>
    <w:rsid w:val="00F350A4"/>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440846">
      <w:bodyDiv w:val="1"/>
      <w:marLeft w:val="0"/>
      <w:marRight w:val="0"/>
      <w:marTop w:val="0"/>
      <w:marBottom w:val="0"/>
      <w:divBdr>
        <w:top w:val="none" w:sz="0" w:space="0" w:color="auto"/>
        <w:left w:val="none" w:sz="0" w:space="0" w:color="auto"/>
        <w:bottom w:val="none" w:sz="0" w:space="0" w:color="auto"/>
        <w:right w:val="none" w:sz="0" w:space="0" w:color="auto"/>
      </w:divBdr>
    </w:div>
    <w:div w:id="18851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EDED393-5340-464A-B7F0-9A2D1F03D307}"/>
</file>

<file path=customXml/itemProps2.xml><?xml version="1.0" encoding="utf-8"?>
<ds:datastoreItem xmlns:ds="http://schemas.openxmlformats.org/officeDocument/2006/customXml" ds:itemID="{9CAA6AF1-FCC6-474B-9B9E-5A765E87F4C0}"/>
</file>

<file path=customXml/itemProps3.xml><?xml version="1.0" encoding="utf-8"?>
<ds:datastoreItem xmlns:ds="http://schemas.openxmlformats.org/officeDocument/2006/customXml" ds:itemID="{FF87824D-9887-4231-9F29-4C3F073352A7}"/>
</file>

<file path=customXml/itemProps4.xml><?xml version="1.0" encoding="utf-8"?>
<ds:datastoreItem xmlns:ds="http://schemas.openxmlformats.org/officeDocument/2006/customXml" ds:itemID="{5102CB7C-AF1D-4C6E-9886-5985F3E629FA}"/>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2013-12-21T00:07:00Z</dcterms:created>
  <dcterms:modified xsi:type="dcterms:W3CDTF">2013-12-21T00:07:00Z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