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FC" w:rsidRPr="00C72778" w:rsidRDefault="00AD56FC" w:rsidP="0038079B">
      <w:pPr>
        <w:tabs>
          <w:tab w:val="left" w:pos="1800"/>
        </w:tabs>
        <w:rPr>
          <w:b/>
          <w:szCs w:val="24"/>
        </w:rPr>
      </w:pPr>
    </w:p>
    <w:p w:rsidR="00AD56FC" w:rsidRPr="00C72778" w:rsidRDefault="00AD56FC" w:rsidP="00AD56FC">
      <w:pPr>
        <w:rPr>
          <w:b/>
          <w:szCs w:val="24"/>
        </w:rPr>
      </w:pPr>
    </w:p>
    <w:p w:rsidR="00AD56FC" w:rsidRPr="00C72778" w:rsidRDefault="00AD56FC" w:rsidP="00AD56FC">
      <w:pPr>
        <w:rPr>
          <w:b/>
          <w:szCs w:val="24"/>
        </w:rPr>
      </w:pPr>
    </w:p>
    <w:p w:rsidR="00AD56FC" w:rsidRPr="00C72778" w:rsidRDefault="00AD56FC" w:rsidP="00AD56FC">
      <w:pPr>
        <w:rPr>
          <w:b/>
          <w:szCs w:val="24"/>
        </w:rPr>
      </w:pPr>
    </w:p>
    <w:p w:rsidR="00AD56FC" w:rsidRPr="00C72778" w:rsidRDefault="00AD56FC" w:rsidP="00AD56FC">
      <w:pPr>
        <w:rPr>
          <w:b/>
          <w:szCs w:val="24"/>
        </w:rPr>
      </w:pPr>
    </w:p>
    <w:p w:rsidR="00AD56FC" w:rsidRPr="00C72778" w:rsidRDefault="00AD56FC" w:rsidP="00AD56FC">
      <w:pPr>
        <w:rPr>
          <w:b/>
          <w:szCs w:val="24"/>
        </w:rPr>
      </w:pPr>
    </w:p>
    <w:p w:rsidR="00AD56FC" w:rsidRPr="009648F6" w:rsidRDefault="00AD56FC" w:rsidP="00AD56FC">
      <w:pPr>
        <w:ind w:right="-360" w:hanging="360"/>
        <w:jc w:val="center"/>
        <w:rPr>
          <w:b/>
          <w:szCs w:val="24"/>
        </w:rPr>
      </w:pPr>
      <w:r w:rsidRPr="009648F6">
        <w:rPr>
          <w:b/>
          <w:szCs w:val="24"/>
        </w:rPr>
        <w:t>BEFORE THE WASHINGTON UTILITIES AND TRANSPORTATION COMMISSION</w:t>
      </w:r>
    </w:p>
    <w:p w:rsidR="00AD56FC" w:rsidRPr="009648F6" w:rsidRDefault="00AD56FC" w:rsidP="00AD56FC">
      <w:pPr>
        <w:rPr>
          <w:b/>
          <w:szCs w:val="24"/>
        </w:rPr>
      </w:pPr>
    </w:p>
    <w:p w:rsidR="00AD56FC" w:rsidRPr="009648F6" w:rsidRDefault="00AD56FC" w:rsidP="00AD56FC">
      <w:pPr>
        <w:rPr>
          <w:szCs w:val="24"/>
        </w:rPr>
      </w:pPr>
    </w:p>
    <w:tbl>
      <w:tblPr>
        <w:tblpPr w:leftFromText="180" w:rightFromText="180" w:vertAnchor="text" w:tblpY="1"/>
        <w:tblOverlap w:val="never"/>
        <w:tblW w:w="0" w:type="auto"/>
        <w:tblLayout w:type="fixed"/>
        <w:tblLook w:val="0000" w:firstRow="0" w:lastRow="0" w:firstColumn="0" w:lastColumn="0" w:noHBand="0" w:noVBand="0"/>
      </w:tblPr>
      <w:tblGrid>
        <w:gridCol w:w="4608"/>
        <w:gridCol w:w="360"/>
        <w:gridCol w:w="4608"/>
      </w:tblGrid>
      <w:tr w:rsidR="00C72778" w:rsidRPr="009648F6">
        <w:trPr>
          <w:trHeight w:val="3600"/>
        </w:trPr>
        <w:tc>
          <w:tcPr>
            <w:tcW w:w="4608" w:type="dxa"/>
          </w:tcPr>
          <w:p w:rsidR="00C72778" w:rsidRPr="009648F6" w:rsidRDefault="00C72778" w:rsidP="007F7971">
            <w:pPr>
              <w:suppressLineNumbers/>
              <w:rPr>
                <w:szCs w:val="24"/>
              </w:rPr>
            </w:pPr>
          </w:p>
          <w:p w:rsidR="00C72778" w:rsidRPr="009648F6" w:rsidRDefault="00C72778" w:rsidP="007F7971">
            <w:pPr>
              <w:suppressLineNumbers/>
              <w:rPr>
                <w:szCs w:val="24"/>
              </w:rPr>
            </w:pPr>
            <w:r w:rsidRPr="009648F6">
              <w:rPr>
                <w:szCs w:val="24"/>
              </w:rPr>
              <w:t xml:space="preserve">WASHINGTON UTILITIES AND  </w:t>
            </w:r>
          </w:p>
          <w:p w:rsidR="00C72778" w:rsidRPr="009648F6" w:rsidRDefault="00C72778" w:rsidP="007F7971">
            <w:pPr>
              <w:suppressLineNumbers/>
              <w:rPr>
                <w:szCs w:val="24"/>
              </w:rPr>
            </w:pPr>
            <w:r w:rsidRPr="009648F6">
              <w:rPr>
                <w:szCs w:val="24"/>
              </w:rPr>
              <w:t>TRANSPORTATION COMMISSION,</w:t>
            </w:r>
          </w:p>
          <w:p w:rsidR="00C72778" w:rsidRPr="009648F6" w:rsidRDefault="00C72778" w:rsidP="007F7971">
            <w:pPr>
              <w:suppressLineNumbers/>
              <w:rPr>
                <w:szCs w:val="24"/>
              </w:rPr>
            </w:pPr>
          </w:p>
          <w:p w:rsidR="00C72778" w:rsidRPr="009648F6" w:rsidRDefault="00C72778" w:rsidP="007F7971">
            <w:pPr>
              <w:suppressLineNumbers/>
              <w:rPr>
                <w:szCs w:val="24"/>
              </w:rPr>
            </w:pPr>
            <w:r w:rsidRPr="009648F6">
              <w:rPr>
                <w:szCs w:val="24"/>
              </w:rPr>
              <w:t xml:space="preserve">                      Complainant,</w:t>
            </w:r>
          </w:p>
          <w:p w:rsidR="00C72778" w:rsidRPr="009648F6" w:rsidRDefault="00C72778" w:rsidP="007F7971">
            <w:pPr>
              <w:suppressLineNumbers/>
              <w:rPr>
                <w:szCs w:val="24"/>
              </w:rPr>
            </w:pPr>
          </w:p>
          <w:p w:rsidR="00C72778" w:rsidRPr="009648F6" w:rsidRDefault="00C72778" w:rsidP="007F7971">
            <w:pPr>
              <w:suppressLineNumbers/>
              <w:jc w:val="center"/>
              <w:rPr>
                <w:szCs w:val="24"/>
              </w:rPr>
            </w:pPr>
            <w:r w:rsidRPr="009648F6">
              <w:rPr>
                <w:szCs w:val="24"/>
              </w:rPr>
              <w:t>v.</w:t>
            </w:r>
          </w:p>
          <w:p w:rsidR="00C72778" w:rsidRPr="009648F6" w:rsidRDefault="00C72778" w:rsidP="007F7971">
            <w:pPr>
              <w:suppressLineNumbers/>
              <w:rPr>
                <w:szCs w:val="24"/>
              </w:rPr>
            </w:pPr>
          </w:p>
          <w:p w:rsidR="00C72778" w:rsidRPr="009648F6" w:rsidRDefault="00C72778" w:rsidP="007F7971">
            <w:pPr>
              <w:suppressLineNumbers/>
              <w:rPr>
                <w:szCs w:val="24"/>
              </w:rPr>
            </w:pPr>
            <w:r w:rsidRPr="009648F6">
              <w:rPr>
                <w:szCs w:val="24"/>
              </w:rPr>
              <w:t xml:space="preserve">PUGET SOUND </w:t>
            </w:r>
            <w:r w:rsidR="00C23537" w:rsidRPr="009648F6">
              <w:rPr>
                <w:szCs w:val="24"/>
              </w:rPr>
              <w:t>ENERGY</w:t>
            </w:r>
            <w:r w:rsidRPr="009648F6">
              <w:rPr>
                <w:szCs w:val="24"/>
              </w:rPr>
              <w:t>, INC.,</w:t>
            </w:r>
          </w:p>
          <w:p w:rsidR="00C72778" w:rsidRPr="009648F6" w:rsidRDefault="00C72778" w:rsidP="007F7971">
            <w:pPr>
              <w:suppressLineNumbers/>
              <w:rPr>
                <w:szCs w:val="24"/>
              </w:rPr>
            </w:pPr>
          </w:p>
          <w:p w:rsidR="00C72778" w:rsidRPr="009648F6" w:rsidRDefault="00C72778" w:rsidP="007F7971">
            <w:pPr>
              <w:suppressLineNumbers/>
              <w:rPr>
                <w:szCs w:val="24"/>
              </w:rPr>
            </w:pPr>
            <w:r w:rsidRPr="009648F6">
              <w:rPr>
                <w:szCs w:val="24"/>
              </w:rPr>
              <w:t xml:space="preserve">                      Respondent.</w:t>
            </w:r>
          </w:p>
          <w:p w:rsidR="00C72778" w:rsidRPr="009648F6" w:rsidRDefault="00C72778" w:rsidP="007F7971">
            <w:pPr>
              <w:suppressLineNumbers/>
              <w:rPr>
                <w:szCs w:val="24"/>
              </w:rPr>
            </w:pPr>
            <w:r w:rsidRPr="009648F6">
              <w:rPr>
                <w:szCs w:val="24"/>
              </w:rPr>
              <w:tab/>
            </w:r>
            <w:r w:rsidRPr="009648F6">
              <w:rPr>
                <w:szCs w:val="24"/>
              </w:rPr>
              <w:tab/>
            </w:r>
          </w:p>
          <w:p w:rsidR="00C72778" w:rsidRPr="009648F6" w:rsidRDefault="00C72778" w:rsidP="007F7971">
            <w:pPr>
              <w:tabs>
                <w:tab w:val="left" w:pos="2145"/>
              </w:tabs>
              <w:rPr>
                <w:sz w:val="25"/>
                <w:szCs w:val="25"/>
              </w:rPr>
            </w:pPr>
            <w:r w:rsidRPr="009648F6">
              <w:rPr>
                <w:sz w:val="25"/>
                <w:szCs w:val="25"/>
              </w:rPr>
              <w:t xml:space="preserve">_______________________________ </w:t>
            </w:r>
          </w:p>
        </w:tc>
        <w:tc>
          <w:tcPr>
            <w:tcW w:w="360" w:type="dxa"/>
          </w:tcPr>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r w:rsidRPr="007D3C30">
              <w:rPr>
                <w:szCs w:val="24"/>
              </w:rPr>
              <w:t>)</w:t>
            </w:r>
          </w:p>
          <w:p w:rsidR="00C72778" w:rsidRPr="007D3C30" w:rsidRDefault="00C72778" w:rsidP="007F7971">
            <w:pPr>
              <w:suppressLineNumbers/>
              <w:rPr>
                <w:szCs w:val="24"/>
              </w:rPr>
            </w:pPr>
          </w:p>
        </w:tc>
        <w:tc>
          <w:tcPr>
            <w:tcW w:w="4608" w:type="dxa"/>
          </w:tcPr>
          <w:p w:rsidR="00C72778" w:rsidRPr="007D3C30" w:rsidRDefault="00C72778" w:rsidP="007F7971">
            <w:pPr>
              <w:suppressLineNumbers/>
              <w:rPr>
                <w:szCs w:val="24"/>
              </w:rPr>
            </w:pPr>
          </w:p>
          <w:p w:rsidR="00C72778" w:rsidRPr="007D3C30" w:rsidRDefault="00C72778" w:rsidP="007F7971">
            <w:pPr>
              <w:suppressLineNumbers/>
              <w:rPr>
                <w:szCs w:val="24"/>
              </w:rPr>
            </w:pPr>
          </w:p>
          <w:p w:rsidR="00C72778" w:rsidRPr="007D3C30" w:rsidRDefault="00E444EF" w:rsidP="007F7971">
            <w:pPr>
              <w:suppressLineNumbers/>
              <w:rPr>
                <w:szCs w:val="24"/>
              </w:rPr>
            </w:pPr>
            <w:r w:rsidRPr="007D3C30">
              <w:t>Docket Nos. UE-121697/UG-121705</w:t>
            </w:r>
          </w:p>
          <w:p w:rsidR="00C72778" w:rsidRPr="007D3C30" w:rsidRDefault="00E444EF" w:rsidP="007F7971">
            <w:pPr>
              <w:suppressLineNumbers/>
              <w:rPr>
                <w:szCs w:val="24"/>
              </w:rPr>
            </w:pPr>
            <w:r w:rsidRPr="007D3C30">
              <w:tab/>
            </w:r>
            <w:r w:rsidRPr="007D3C30">
              <w:rPr>
                <w:i/>
                <w:szCs w:val="24"/>
              </w:rPr>
              <w:t>(Consolidated)</w:t>
            </w:r>
            <w:r w:rsidRPr="007D3C30">
              <w:rPr>
                <w:szCs w:val="24"/>
              </w:rPr>
              <w:tab/>
            </w:r>
          </w:p>
          <w:p w:rsidR="00C72778" w:rsidRPr="007D3C30" w:rsidRDefault="00FF1C42" w:rsidP="007F7971">
            <w:pPr>
              <w:pStyle w:val="Heading3"/>
              <w:rPr>
                <w:rFonts w:ascii="Times New Roman" w:hAnsi="Times New Roman"/>
                <w:b w:val="0"/>
                <w:sz w:val="24"/>
              </w:rPr>
            </w:pPr>
            <w:r w:rsidRPr="007D3C30">
              <w:rPr>
                <w:rFonts w:ascii="Times New Roman" w:hAnsi="Times New Roman"/>
                <w:b w:val="0"/>
                <w:sz w:val="24"/>
              </w:rPr>
              <w:tab/>
            </w:r>
          </w:p>
          <w:p w:rsidR="00C72778" w:rsidRPr="007D3C30" w:rsidRDefault="00C72778" w:rsidP="007F7971">
            <w:pPr>
              <w:rPr>
                <w:szCs w:val="24"/>
              </w:rPr>
            </w:pPr>
          </w:p>
          <w:p w:rsidR="00FF1C42" w:rsidRPr="007D3C30" w:rsidRDefault="00FF1C42" w:rsidP="007F7971">
            <w:pPr>
              <w:rPr>
                <w:szCs w:val="24"/>
              </w:rPr>
            </w:pPr>
          </w:p>
          <w:p w:rsidR="00E444EF" w:rsidRPr="007D3C30" w:rsidRDefault="00E444EF" w:rsidP="00E444EF">
            <w:pPr>
              <w:suppressLineNumbers/>
            </w:pPr>
            <w:r w:rsidRPr="007D3C30">
              <w:t>Docket Nos. UE-130137</w:t>
            </w:r>
            <w:r w:rsidR="007D3C30">
              <w:t>/UG-130138</w:t>
            </w:r>
          </w:p>
          <w:p w:rsidR="00E444EF" w:rsidRPr="007D3C30" w:rsidRDefault="00E444EF" w:rsidP="00E444EF">
            <w:pPr>
              <w:suppressLineNumbers/>
              <w:rPr>
                <w:szCs w:val="24"/>
              </w:rPr>
            </w:pPr>
            <w:r w:rsidRPr="007D3C30">
              <w:tab/>
            </w:r>
            <w:r w:rsidRPr="007D3C30">
              <w:rPr>
                <w:i/>
                <w:szCs w:val="24"/>
              </w:rPr>
              <w:t>(Consolidated)</w:t>
            </w:r>
            <w:r w:rsidRPr="007D3C30">
              <w:rPr>
                <w:szCs w:val="24"/>
              </w:rPr>
              <w:tab/>
            </w:r>
          </w:p>
          <w:p w:rsidR="00FF1C42" w:rsidRPr="007D3C30" w:rsidRDefault="00FF1C42" w:rsidP="007F7971">
            <w:pPr>
              <w:rPr>
                <w:szCs w:val="24"/>
              </w:rPr>
            </w:pPr>
          </w:p>
          <w:p w:rsidR="00FF1C42" w:rsidRPr="007D3C30" w:rsidRDefault="00FF1C42" w:rsidP="007F7971">
            <w:pPr>
              <w:rPr>
                <w:szCs w:val="24"/>
              </w:rPr>
            </w:pPr>
          </w:p>
          <w:p w:rsidR="00C72778" w:rsidRPr="007D3C30" w:rsidRDefault="00C72778" w:rsidP="007F7971">
            <w:pPr>
              <w:pStyle w:val="Heading3"/>
              <w:ind w:left="792"/>
              <w:rPr>
                <w:rFonts w:ascii="Times New Roman" w:hAnsi="Times New Roman"/>
                <w:sz w:val="24"/>
                <w:szCs w:val="24"/>
              </w:rPr>
            </w:pPr>
          </w:p>
        </w:tc>
      </w:tr>
    </w:tbl>
    <w:p w:rsidR="00AD56FC" w:rsidRPr="009648F6" w:rsidRDefault="00AD56FC" w:rsidP="00AD56FC">
      <w:pPr>
        <w:pStyle w:val="Header"/>
        <w:tabs>
          <w:tab w:val="clear" w:pos="4320"/>
          <w:tab w:val="clear" w:pos="8640"/>
          <w:tab w:val="center" w:pos="4680"/>
        </w:tabs>
        <w:rPr>
          <w:sz w:val="24"/>
          <w:szCs w:val="24"/>
        </w:rPr>
      </w:pPr>
    </w:p>
    <w:p w:rsidR="00AD56FC" w:rsidRPr="009648F6" w:rsidRDefault="00AD56FC" w:rsidP="00AD56FC">
      <w:pPr>
        <w:pStyle w:val="Header"/>
        <w:tabs>
          <w:tab w:val="clear" w:pos="4320"/>
          <w:tab w:val="clear" w:pos="8640"/>
          <w:tab w:val="center" w:pos="4680"/>
        </w:tabs>
        <w:rPr>
          <w:sz w:val="24"/>
          <w:szCs w:val="24"/>
        </w:rPr>
      </w:pPr>
    </w:p>
    <w:p w:rsidR="00AD56FC" w:rsidRPr="009648F6" w:rsidRDefault="00AD56FC" w:rsidP="00AD56FC">
      <w:pPr>
        <w:pStyle w:val="Header"/>
        <w:tabs>
          <w:tab w:val="clear" w:pos="4320"/>
          <w:tab w:val="clear" w:pos="8640"/>
          <w:tab w:val="center" w:pos="4680"/>
        </w:tabs>
        <w:rPr>
          <w:sz w:val="24"/>
          <w:szCs w:val="24"/>
        </w:rPr>
      </w:pPr>
    </w:p>
    <w:p w:rsidR="00AD56FC" w:rsidRPr="009648F6" w:rsidRDefault="00AD56FC" w:rsidP="00AD56FC">
      <w:pPr>
        <w:pStyle w:val="Header"/>
        <w:tabs>
          <w:tab w:val="clear" w:pos="4320"/>
          <w:tab w:val="clear" w:pos="8640"/>
          <w:tab w:val="center" w:pos="4680"/>
        </w:tabs>
        <w:rPr>
          <w:sz w:val="24"/>
          <w:szCs w:val="24"/>
        </w:rPr>
      </w:pPr>
    </w:p>
    <w:p w:rsidR="00AD56FC" w:rsidRPr="009648F6" w:rsidRDefault="00AD56FC" w:rsidP="00AD56FC">
      <w:pPr>
        <w:pStyle w:val="Header"/>
        <w:tabs>
          <w:tab w:val="clear" w:pos="4320"/>
          <w:tab w:val="clear" w:pos="8640"/>
          <w:tab w:val="center" w:pos="4680"/>
        </w:tabs>
        <w:jc w:val="center"/>
        <w:rPr>
          <w:b/>
          <w:sz w:val="24"/>
          <w:szCs w:val="24"/>
        </w:rPr>
      </w:pPr>
      <w:r w:rsidRPr="009648F6">
        <w:rPr>
          <w:b/>
          <w:sz w:val="24"/>
          <w:szCs w:val="24"/>
        </w:rPr>
        <w:t>POST-HEARING BRIEF</w:t>
      </w:r>
    </w:p>
    <w:p w:rsidR="00AD56FC" w:rsidRPr="009648F6" w:rsidRDefault="00AD56FC" w:rsidP="00AD56FC">
      <w:pPr>
        <w:pStyle w:val="Header"/>
        <w:tabs>
          <w:tab w:val="clear" w:pos="4320"/>
          <w:tab w:val="clear" w:pos="8640"/>
          <w:tab w:val="center" w:pos="4680"/>
        </w:tabs>
        <w:jc w:val="center"/>
        <w:rPr>
          <w:b/>
          <w:sz w:val="24"/>
          <w:szCs w:val="24"/>
        </w:rPr>
      </w:pPr>
    </w:p>
    <w:p w:rsidR="00AD56FC" w:rsidRPr="009648F6" w:rsidRDefault="00AD56FC" w:rsidP="00AD56FC">
      <w:pPr>
        <w:pStyle w:val="Header"/>
        <w:tabs>
          <w:tab w:val="clear" w:pos="4320"/>
          <w:tab w:val="clear" w:pos="8640"/>
          <w:tab w:val="center" w:pos="4680"/>
        </w:tabs>
        <w:jc w:val="center"/>
        <w:rPr>
          <w:b/>
          <w:sz w:val="24"/>
          <w:szCs w:val="24"/>
        </w:rPr>
      </w:pPr>
      <w:r w:rsidRPr="009648F6">
        <w:rPr>
          <w:b/>
          <w:sz w:val="24"/>
          <w:szCs w:val="24"/>
        </w:rPr>
        <w:t>ON BEHALF OF</w:t>
      </w:r>
    </w:p>
    <w:p w:rsidR="00AD56FC" w:rsidRPr="009648F6" w:rsidRDefault="00AD56FC" w:rsidP="00AD56FC">
      <w:pPr>
        <w:pStyle w:val="Header"/>
        <w:tabs>
          <w:tab w:val="clear" w:pos="4320"/>
          <w:tab w:val="clear" w:pos="8640"/>
          <w:tab w:val="center" w:pos="4680"/>
        </w:tabs>
        <w:jc w:val="center"/>
        <w:rPr>
          <w:b/>
          <w:sz w:val="24"/>
          <w:szCs w:val="24"/>
        </w:rPr>
      </w:pPr>
    </w:p>
    <w:p w:rsidR="00AD56FC" w:rsidRPr="009648F6" w:rsidRDefault="00AD56FC" w:rsidP="00AD56FC">
      <w:pPr>
        <w:pStyle w:val="Header"/>
        <w:tabs>
          <w:tab w:val="clear" w:pos="4320"/>
          <w:tab w:val="clear" w:pos="8640"/>
          <w:tab w:val="center" w:pos="4680"/>
        </w:tabs>
        <w:jc w:val="center"/>
        <w:rPr>
          <w:b/>
          <w:sz w:val="24"/>
          <w:szCs w:val="24"/>
        </w:rPr>
      </w:pPr>
      <w:r w:rsidRPr="009648F6">
        <w:rPr>
          <w:b/>
          <w:sz w:val="24"/>
          <w:szCs w:val="24"/>
        </w:rPr>
        <w:t>THE INDUSTRIAL CUSTOMERS OF NORTHWEST UTILITIES</w:t>
      </w:r>
    </w:p>
    <w:p w:rsidR="00AD56FC" w:rsidRPr="009648F6" w:rsidRDefault="00AD56FC" w:rsidP="00AD56FC">
      <w:pPr>
        <w:pStyle w:val="Header"/>
        <w:tabs>
          <w:tab w:val="clear" w:pos="4320"/>
          <w:tab w:val="clear" w:pos="8640"/>
          <w:tab w:val="center" w:pos="4680"/>
        </w:tabs>
        <w:jc w:val="center"/>
        <w:rPr>
          <w:sz w:val="24"/>
          <w:szCs w:val="24"/>
        </w:rPr>
      </w:pPr>
    </w:p>
    <w:p w:rsidR="00AD56FC" w:rsidRPr="009648F6" w:rsidRDefault="00AD56FC" w:rsidP="00AD56FC">
      <w:pPr>
        <w:rPr>
          <w:szCs w:val="24"/>
        </w:rPr>
      </w:pPr>
    </w:p>
    <w:p w:rsidR="00AD56FC" w:rsidRPr="009648F6" w:rsidRDefault="00AD56FC" w:rsidP="00AD56FC">
      <w:pPr>
        <w:rPr>
          <w:szCs w:val="24"/>
        </w:rPr>
      </w:pPr>
    </w:p>
    <w:p w:rsidR="00AD56FC" w:rsidRPr="009648F6" w:rsidRDefault="00AD56FC" w:rsidP="00AD56FC">
      <w:pPr>
        <w:rPr>
          <w:szCs w:val="24"/>
        </w:rPr>
      </w:pPr>
    </w:p>
    <w:p w:rsidR="00AD56FC" w:rsidRPr="009648F6" w:rsidRDefault="00AD56FC" w:rsidP="00AD56FC">
      <w:pPr>
        <w:rPr>
          <w:szCs w:val="24"/>
        </w:rPr>
      </w:pPr>
    </w:p>
    <w:p w:rsidR="00AD56FC" w:rsidRPr="009648F6" w:rsidRDefault="00AD56FC" w:rsidP="00AD56FC">
      <w:pPr>
        <w:rPr>
          <w:szCs w:val="24"/>
        </w:rPr>
      </w:pPr>
    </w:p>
    <w:p w:rsidR="00AD56FC" w:rsidRPr="00C72778" w:rsidRDefault="00867B92" w:rsidP="00AD56FC">
      <w:pPr>
        <w:jc w:val="center"/>
        <w:rPr>
          <w:b/>
          <w:szCs w:val="24"/>
        </w:rPr>
      </w:pPr>
      <w:r w:rsidRPr="009648F6">
        <w:rPr>
          <w:b/>
          <w:szCs w:val="24"/>
        </w:rPr>
        <w:t>May 30, 2013</w:t>
      </w:r>
    </w:p>
    <w:p w:rsidR="00AD56FC" w:rsidRPr="00C72778" w:rsidRDefault="00AD56FC" w:rsidP="00AD56FC">
      <w:pPr>
        <w:rPr>
          <w:szCs w:val="24"/>
        </w:rPr>
      </w:pPr>
    </w:p>
    <w:p w:rsidR="00AD56FC" w:rsidRDefault="00AD56FC" w:rsidP="009A0269">
      <w:pPr>
        <w:pStyle w:val="WUTCParagraph"/>
        <w:numPr>
          <w:ilvl w:val="0"/>
          <w:numId w:val="0"/>
        </w:numPr>
        <w:tabs>
          <w:tab w:val="clear" w:pos="1440"/>
          <w:tab w:val="left" w:pos="0"/>
        </w:tabs>
        <w:spacing w:before="240" w:after="240" w:line="570" w:lineRule="exact"/>
        <w:jc w:val="center"/>
        <w:rPr>
          <w:b/>
        </w:rPr>
        <w:sectPr w:rsidR="00AD56FC">
          <w:headerReference w:type="default" r:id="rId9"/>
          <w:footerReference w:type="default" r:id="rId10"/>
          <w:pgSz w:w="12240" w:h="15840" w:code="1"/>
          <w:pgMar w:top="1296" w:right="1440" w:bottom="360" w:left="2160" w:header="1440" w:footer="720" w:gutter="0"/>
          <w:cols w:space="720"/>
          <w:noEndnote/>
        </w:sectPr>
      </w:pPr>
    </w:p>
    <w:p w:rsidR="00AD56FC" w:rsidRPr="002001F3" w:rsidRDefault="00AD56FC" w:rsidP="00AD56FC">
      <w:pPr>
        <w:pStyle w:val="BodyTextIndent"/>
        <w:spacing w:before="240" w:line="240" w:lineRule="auto"/>
        <w:ind w:firstLine="0"/>
        <w:jc w:val="center"/>
        <w:rPr>
          <w:b/>
          <w:bCs/>
          <w:sz w:val="28"/>
        </w:rPr>
      </w:pPr>
      <w:r w:rsidRPr="002001F3">
        <w:rPr>
          <w:b/>
          <w:bCs/>
          <w:sz w:val="28"/>
        </w:rPr>
        <w:lastRenderedPageBreak/>
        <w:t>TABLE OF CONTENTS</w:t>
      </w:r>
    </w:p>
    <w:p w:rsidR="00AD56FC" w:rsidRPr="002001F3" w:rsidRDefault="00AD56FC" w:rsidP="00AD56FC">
      <w:pPr>
        <w:pStyle w:val="BodyTextIndent"/>
        <w:tabs>
          <w:tab w:val="right" w:pos="8640"/>
        </w:tabs>
        <w:spacing w:before="240" w:line="240" w:lineRule="auto"/>
        <w:ind w:firstLine="0"/>
        <w:rPr>
          <w:sz w:val="28"/>
          <w:u w:val="single"/>
        </w:rPr>
      </w:pPr>
      <w:r w:rsidRPr="002001F3">
        <w:rPr>
          <w:sz w:val="28"/>
        </w:rPr>
        <w:tab/>
      </w:r>
      <w:r w:rsidRPr="002001F3">
        <w:rPr>
          <w:sz w:val="28"/>
          <w:u w:val="single"/>
        </w:rPr>
        <w:t>Page</w:t>
      </w:r>
    </w:p>
    <w:p w:rsidR="00987AD3" w:rsidRPr="00D23127" w:rsidRDefault="00987AD3" w:rsidP="00C9607D">
      <w:pPr>
        <w:pStyle w:val="BodyTextIndent"/>
        <w:tabs>
          <w:tab w:val="right" w:leader="dot" w:pos="8640"/>
        </w:tabs>
        <w:spacing w:before="240" w:line="240" w:lineRule="auto"/>
        <w:ind w:firstLine="0"/>
        <w:rPr>
          <w:sz w:val="28"/>
        </w:rPr>
      </w:pPr>
      <w:r w:rsidRPr="00D23127">
        <w:rPr>
          <w:sz w:val="28"/>
        </w:rPr>
        <w:t>TABLE OF CONTENTS</w:t>
      </w:r>
      <w:r w:rsidRPr="00D23127">
        <w:rPr>
          <w:sz w:val="28"/>
        </w:rPr>
        <w:tab/>
        <w:t>i</w:t>
      </w:r>
    </w:p>
    <w:p w:rsidR="00987AD3" w:rsidRPr="00D23127" w:rsidRDefault="00987AD3" w:rsidP="00C9607D">
      <w:pPr>
        <w:pStyle w:val="BodyTextIndent"/>
        <w:tabs>
          <w:tab w:val="right" w:leader="dot" w:pos="8640"/>
        </w:tabs>
        <w:spacing w:before="240" w:line="240" w:lineRule="auto"/>
        <w:ind w:firstLine="0"/>
        <w:rPr>
          <w:sz w:val="28"/>
        </w:rPr>
      </w:pPr>
      <w:r w:rsidRPr="00D23127">
        <w:rPr>
          <w:sz w:val="28"/>
        </w:rPr>
        <w:t>TABLE OF AUTHORITIES</w:t>
      </w:r>
      <w:r w:rsidRPr="00D23127">
        <w:rPr>
          <w:sz w:val="28"/>
        </w:rPr>
        <w:tab/>
        <w:t>iv</w:t>
      </w:r>
    </w:p>
    <w:p w:rsidR="00987AD3" w:rsidRPr="00C9607D" w:rsidRDefault="00987AD3" w:rsidP="00C9607D">
      <w:pPr>
        <w:pStyle w:val="BodyTextIndent"/>
        <w:tabs>
          <w:tab w:val="left" w:pos="720"/>
          <w:tab w:val="right" w:leader="dot" w:pos="8640"/>
        </w:tabs>
        <w:spacing w:before="240" w:line="240" w:lineRule="auto"/>
        <w:ind w:firstLine="0"/>
        <w:rPr>
          <w:sz w:val="28"/>
          <w:lang w:val="en-US"/>
        </w:rPr>
      </w:pPr>
      <w:r w:rsidRPr="00D23127">
        <w:rPr>
          <w:sz w:val="28"/>
        </w:rPr>
        <w:t>I.</w:t>
      </w:r>
      <w:r w:rsidRPr="00D23127">
        <w:rPr>
          <w:sz w:val="28"/>
        </w:rPr>
        <w:tab/>
        <w:t>INTRODUCTION</w:t>
      </w:r>
      <w:r w:rsidRPr="00D23127">
        <w:rPr>
          <w:sz w:val="28"/>
        </w:rPr>
        <w:tab/>
        <w:t>1</w:t>
      </w:r>
    </w:p>
    <w:p w:rsidR="00987AD3" w:rsidRPr="00624313" w:rsidRDefault="00987AD3" w:rsidP="00C9607D">
      <w:pPr>
        <w:pStyle w:val="BodyTextIndent"/>
        <w:tabs>
          <w:tab w:val="left" w:pos="720"/>
          <w:tab w:val="right" w:leader="dot" w:pos="8640"/>
        </w:tabs>
        <w:spacing w:before="240" w:line="240" w:lineRule="auto"/>
        <w:ind w:firstLine="0"/>
        <w:rPr>
          <w:sz w:val="28"/>
          <w:lang w:val="en-US"/>
        </w:rPr>
      </w:pPr>
      <w:r w:rsidRPr="00D23127">
        <w:rPr>
          <w:sz w:val="28"/>
        </w:rPr>
        <w:t>II.</w:t>
      </w:r>
      <w:r w:rsidRPr="00D23127">
        <w:rPr>
          <w:sz w:val="28"/>
        </w:rPr>
        <w:tab/>
      </w:r>
      <w:r>
        <w:rPr>
          <w:sz w:val="28"/>
        </w:rPr>
        <w:t>BACKGROUND</w:t>
      </w:r>
      <w:r w:rsidR="00624313">
        <w:rPr>
          <w:sz w:val="28"/>
        </w:rPr>
        <w:tab/>
      </w:r>
      <w:r w:rsidR="00624313">
        <w:rPr>
          <w:sz w:val="28"/>
          <w:lang w:val="en-US"/>
        </w:rPr>
        <w:t>8</w:t>
      </w:r>
    </w:p>
    <w:p w:rsidR="00987AD3" w:rsidRPr="00D23127" w:rsidRDefault="00987AD3" w:rsidP="00C9607D">
      <w:pPr>
        <w:pStyle w:val="BodyTextIndent"/>
        <w:keepLines/>
        <w:numPr>
          <w:ilvl w:val="0"/>
          <w:numId w:val="20"/>
        </w:numPr>
        <w:tabs>
          <w:tab w:val="left" w:pos="1440"/>
          <w:tab w:val="right" w:leader="dot" w:pos="8640"/>
        </w:tabs>
        <w:spacing w:before="240" w:line="240" w:lineRule="auto"/>
        <w:ind w:right="720"/>
        <w:rPr>
          <w:bCs/>
          <w:sz w:val="28"/>
          <w:szCs w:val="28"/>
        </w:rPr>
      </w:pPr>
      <w:r>
        <w:rPr>
          <w:bCs/>
          <w:sz w:val="28"/>
          <w:szCs w:val="28"/>
        </w:rPr>
        <w:t>The Current Proceedings</w:t>
      </w:r>
      <w:r w:rsidR="00624313">
        <w:rPr>
          <w:sz w:val="28"/>
        </w:rPr>
        <w:tab/>
      </w:r>
      <w:r w:rsidR="00624313">
        <w:rPr>
          <w:sz w:val="28"/>
          <w:lang w:val="en-US"/>
        </w:rPr>
        <w:t>8</w:t>
      </w:r>
    </w:p>
    <w:p w:rsidR="00987AD3" w:rsidRPr="00D23127" w:rsidRDefault="00987AD3" w:rsidP="00C9607D">
      <w:pPr>
        <w:pStyle w:val="BodyTextIndent"/>
        <w:keepLines/>
        <w:tabs>
          <w:tab w:val="left" w:pos="1440"/>
          <w:tab w:val="right" w:leader="dot" w:pos="8640"/>
        </w:tabs>
        <w:spacing w:before="240" w:line="240" w:lineRule="auto"/>
        <w:ind w:left="1440" w:right="720" w:hanging="720"/>
        <w:rPr>
          <w:sz w:val="28"/>
        </w:rPr>
      </w:pPr>
      <w:r w:rsidRPr="00D23127">
        <w:rPr>
          <w:sz w:val="28"/>
        </w:rPr>
        <w:t>B.</w:t>
      </w:r>
      <w:r w:rsidRPr="00D23127">
        <w:rPr>
          <w:sz w:val="28"/>
        </w:rPr>
        <w:tab/>
      </w:r>
      <w:r>
        <w:rPr>
          <w:bCs/>
          <w:sz w:val="28"/>
        </w:rPr>
        <w:t>Commission Precedent and Policy</w:t>
      </w:r>
      <w:r w:rsidRPr="00D23127">
        <w:rPr>
          <w:sz w:val="28"/>
        </w:rPr>
        <w:tab/>
      </w:r>
      <w:r>
        <w:rPr>
          <w:sz w:val="28"/>
        </w:rPr>
        <w:t>11</w:t>
      </w:r>
    </w:p>
    <w:p w:rsidR="00987AD3" w:rsidRPr="00D23127" w:rsidRDefault="00987AD3" w:rsidP="00C9607D">
      <w:pPr>
        <w:pStyle w:val="BodyTextIndent"/>
        <w:tabs>
          <w:tab w:val="right" w:leader="dot" w:pos="8640"/>
        </w:tabs>
        <w:spacing w:before="240" w:line="240" w:lineRule="auto"/>
        <w:ind w:left="1980" w:right="720" w:hanging="630"/>
        <w:rPr>
          <w:sz w:val="28"/>
        </w:rPr>
      </w:pPr>
      <w:r w:rsidRPr="00D23127">
        <w:rPr>
          <w:sz w:val="28"/>
        </w:rPr>
        <w:t>1.</w:t>
      </w:r>
      <w:r w:rsidRPr="00D23127">
        <w:rPr>
          <w:sz w:val="28"/>
        </w:rPr>
        <w:tab/>
      </w:r>
      <w:r>
        <w:rPr>
          <w:sz w:val="28"/>
          <w:szCs w:val="28"/>
        </w:rPr>
        <w:t>The Decoupling Policy Statement</w:t>
      </w:r>
      <w:r w:rsidRPr="00D23127">
        <w:rPr>
          <w:sz w:val="28"/>
        </w:rPr>
        <w:tab/>
      </w:r>
      <w:r>
        <w:rPr>
          <w:sz w:val="28"/>
        </w:rPr>
        <w:t>11</w:t>
      </w:r>
    </w:p>
    <w:p w:rsidR="00987AD3" w:rsidRPr="00D23127" w:rsidRDefault="00987AD3" w:rsidP="00C9607D">
      <w:pPr>
        <w:pStyle w:val="BodyTextIndent"/>
        <w:tabs>
          <w:tab w:val="right" w:leader="dot" w:pos="8640"/>
        </w:tabs>
        <w:spacing w:before="240" w:line="240" w:lineRule="auto"/>
        <w:ind w:left="1980" w:right="720" w:hanging="630"/>
        <w:rPr>
          <w:sz w:val="28"/>
        </w:rPr>
      </w:pPr>
      <w:r w:rsidRPr="00D23127">
        <w:rPr>
          <w:sz w:val="28"/>
        </w:rPr>
        <w:t>2.</w:t>
      </w:r>
      <w:r w:rsidRPr="00D23127">
        <w:rPr>
          <w:sz w:val="28"/>
        </w:rPr>
        <w:tab/>
      </w:r>
      <w:r w:rsidRPr="00D23127">
        <w:rPr>
          <w:sz w:val="28"/>
          <w:szCs w:val="28"/>
        </w:rPr>
        <w:t>Order 08 From PSE’s 2011 GRC</w:t>
      </w:r>
      <w:r>
        <w:rPr>
          <w:sz w:val="28"/>
        </w:rPr>
        <w:tab/>
        <w:t>14</w:t>
      </w:r>
    </w:p>
    <w:p w:rsidR="00987AD3" w:rsidRPr="00D23127" w:rsidRDefault="00987AD3" w:rsidP="00C9607D">
      <w:pPr>
        <w:pStyle w:val="BodyTextIndent"/>
        <w:tabs>
          <w:tab w:val="right" w:leader="dot" w:pos="8640"/>
        </w:tabs>
        <w:spacing w:before="240" w:line="240" w:lineRule="auto"/>
        <w:ind w:left="2794" w:right="720" w:hanging="634"/>
        <w:rPr>
          <w:sz w:val="28"/>
        </w:rPr>
      </w:pPr>
      <w:r w:rsidRPr="00D23127">
        <w:rPr>
          <w:sz w:val="28"/>
        </w:rPr>
        <w:t>a.</w:t>
      </w:r>
      <w:r w:rsidRPr="00D23127">
        <w:rPr>
          <w:sz w:val="28"/>
        </w:rPr>
        <w:tab/>
      </w:r>
      <w:r>
        <w:rPr>
          <w:sz w:val="28"/>
          <w:szCs w:val="28"/>
        </w:rPr>
        <w:t>Decoupling</w:t>
      </w:r>
      <w:r w:rsidRPr="00D23127">
        <w:rPr>
          <w:sz w:val="28"/>
        </w:rPr>
        <w:tab/>
      </w:r>
      <w:r>
        <w:rPr>
          <w:sz w:val="28"/>
        </w:rPr>
        <w:t>15</w:t>
      </w:r>
    </w:p>
    <w:p w:rsidR="00987AD3" w:rsidRPr="00624313" w:rsidRDefault="00987AD3" w:rsidP="00C9607D">
      <w:pPr>
        <w:pStyle w:val="BodyTextIndent"/>
        <w:tabs>
          <w:tab w:val="right" w:leader="dot" w:pos="8640"/>
        </w:tabs>
        <w:spacing w:before="240" w:line="240" w:lineRule="auto"/>
        <w:ind w:left="2794" w:right="720" w:hanging="634"/>
        <w:rPr>
          <w:sz w:val="28"/>
          <w:lang w:val="en-US"/>
        </w:rPr>
      </w:pPr>
      <w:r w:rsidRPr="00D23127">
        <w:rPr>
          <w:sz w:val="28"/>
        </w:rPr>
        <w:t>b.</w:t>
      </w:r>
      <w:r w:rsidRPr="00D23127">
        <w:rPr>
          <w:sz w:val="28"/>
        </w:rPr>
        <w:tab/>
      </w:r>
      <w:r>
        <w:rPr>
          <w:sz w:val="28"/>
          <w:szCs w:val="28"/>
        </w:rPr>
        <w:t>Attrition</w:t>
      </w:r>
      <w:r w:rsidR="00624313">
        <w:rPr>
          <w:sz w:val="28"/>
        </w:rPr>
        <w:tab/>
        <w:t>1</w:t>
      </w:r>
      <w:r w:rsidR="00624313">
        <w:rPr>
          <w:sz w:val="28"/>
          <w:lang w:val="en-US"/>
        </w:rPr>
        <w:t>6</w:t>
      </w:r>
    </w:p>
    <w:p w:rsidR="00987AD3" w:rsidRPr="00624313" w:rsidRDefault="00987AD3" w:rsidP="00B54E78">
      <w:pPr>
        <w:pStyle w:val="BodyTextIndent"/>
        <w:tabs>
          <w:tab w:val="left" w:pos="8640"/>
        </w:tabs>
        <w:spacing w:before="240" w:line="240" w:lineRule="auto"/>
        <w:ind w:left="2794" w:hanging="634"/>
        <w:rPr>
          <w:sz w:val="28"/>
          <w:lang w:val="en-US"/>
        </w:rPr>
      </w:pPr>
      <w:r w:rsidRPr="00D23127">
        <w:rPr>
          <w:sz w:val="28"/>
        </w:rPr>
        <w:t>c.</w:t>
      </w:r>
      <w:r w:rsidRPr="00D23127">
        <w:rPr>
          <w:sz w:val="28"/>
        </w:rPr>
        <w:tab/>
      </w:r>
      <w:r w:rsidR="00B54E78">
        <w:rPr>
          <w:sz w:val="28"/>
          <w:szCs w:val="28"/>
        </w:rPr>
        <w:t>Expedited Rate Case Proposa</w:t>
      </w:r>
      <w:r w:rsidR="00B54E78">
        <w:rPr>
          <w:sz w:val="28"/>
          <w:szCs w:val="28"/>
          <w:lang w:val="en-US"/>
        </w:rPr>
        <w:t>l…………………...</w:t>
      </w:r>
      <w:r w:rsidRPr="00D23127">
        <w:rPr>
          <w:sz w:val="28"/>
        </w:rPr>
        <w:t>1</w:t>
      </w:r>
      <w:r w:rsidR="00624313">
        <w:rPr>
          <w:sz w:val="28"/>
          <w:lang w:val="en-US"/>
        </w:rPr>
        <w:t>8</w:t>
      </w:r>
    </w:p>
    <w:p w:rsidR="00987AD3" w:rsidRPr="006E6F9F" w:rsidRDefault="00987AD3" w:rsidP="00C9607D">
      <w:pPr>
        <w:pStyle w:val="BodyTextIndent"/>
        <w:tabs>
          <w:tab w:val="left" w:pos="720"/>
          <w:tab w:val="right" w:leader="dot" w:pos="8640"/>
        </w:tabs>
        <w:spacing w:before="240" w:line="240" w:lineRule="auto"/>
        <w:ind w:firstLine="0"/>
        <w:rPr>
          <w:sz w:val="28"/>
        </w:rPr>
      </w:pPr>
      <w:r w:rsidRPr="00D23127">
        <w:rPr>
          <w:sz w:val="28"/>
        </w:rPr>
        <w:t>I</w:t>
      </w:r>
      <w:r>
        <w:rPr>
          <w:sz w:val="28"/>
        </w:rPr>
        <w:t>II</w:t>
      </w:r>
      <w:r w:rsidRPr="00D23127">
        <w:rPr>
          <w:sz w:val="28"/>
        </w:rPr>
        <w:t>.</w:t>
      </w:r>
      <w:r w:rsidRPr="00D23127">
        <w:rPr>
          <w:sz w:val="28"/>
        </w:rPr>
        <w:tab/>
      </w:r>
      <w:r>
        <w:rPr>
          <w:sz w:val="28"/>
        </w:rPr>
        <w:t>ARGUMENT</w:t>
      </w:r>
      <w:r w:rsidRPr="00D23127">
        <w:rPr>
          <w:sz w:val="28"/>
        </w:rPr>
        <w:tab/>
        <w:t>1</w:t>
      </w:r>
      <w:r>
        <w:rPr>
          <w:sz w:val="28"/>
        </w:rPr>
        <w:t>9</w:t>
      </w:r>
    </w:p>
    <w:p w:rsidR="00987AD3" w:rsidRDefault="00987AD3" w:rsidP="00C9607D">
      <w:pPr>
        <w:pStyle w:val="BodyTextIndent"/>
        <w:keepLines/>
        <w:tabs>
          <w:tab w:val="left" w:pos="1440"/>
          <w:tab w:val="right" w:leader="dot" w:pos="8640"/>
        </w:tabs>
        <w:spacing w:before="240" w:line="240" w:lineRule="auto"/>
        <w:ind w:left="1440" w:right="720" w:hanging="720"/>
        <w:rPr>
          <w:sz w:val="28"/>
        </w:rPr>
      </w:pPr>
      <w:r>
        <w:rPr>
          <w:sz w:val="28"/>
        </w:rPr>
        <w:t>A</w:t>
      </w:r>
      <w:r w:rsidRPr="00D23127">
        <w:rPr>
          <w:sz w:val="28"/>
        </w:rPr>
        <w:t>.</w:t>
      </w:r>
      <w:r w:rsidRPr="00D23127">
        <w:rPr>
          <w:sz w:val="28"/>
        </w:rPr>
        <w:tab/>
      </w:r>
      <w:r>
        <w:rPr>
          <w:bCs/>
          <w:sz w:val="28"/>
        </w:rPr>
        <w:t>Adoption of the Global Settlement Would Violate the Washington APA and the Commission’s Rules</w:t>
      </w:r>
      <w:r w:rsidRPr="00D23127">
        <w:rPr>
          <w:sz w:val="28"/>
        </w:rPr>
        <w:tab/>
      </w:r>
      <w:r>
        <w:rPr>
          <w:sz w:val="28"/>
        </w:rPr>
        <w:t>19</w:t>
      </w:r>
    </w:p>
    <w:p w:rsidR="00987AD3" w:rsidRDefault="00987AD3" w:rsidP="00C9607D">
      <w:pPr>
        <w:pStyle w:val="BodyTextIndent"/>
        <w:keepLines/>
        <w:tabs>
          <w:tab w:val="left" w:pos="1440"/>
          <w:tab w:val="right" w:leader="dot" w:pos="8640"/>
        </w:tabs>
        <w:spacing w:before="240" w:line="240" w:lineRule="auto"/>
        <w:ind w:left="1440" w:right="720" w:hanging="720"/>
        <w:rPr>
          <w:sz w:val="28"/>
        </w:rPr>
      </w:pPr>
      <w:r w:rsidRPr="00D23127">
        <w:rPr>
          <w:sz w:val="28"/>
        </w:rPr>
        <w:t>B.</w:t>
      </w:r>
      <w:r w:rsidRPr="00D23127">
        <w:rPr>
          <w:sz w:val="28"/>
        </w:rPr>
        <w:tab/>
      </w:r>
      <w:r>
        <w:rPr>
          <w:bCs/>
          <w:sz w:val="28"/>
        </w:rPr>
        <w:t>Commission Rules Require a General Rate Case in These Proceedings</w:t>
      </w:r>
      <w:r w:rsidRPr="00D23127">
        <w:rPr>
          <w:sz w:val="28"/>
        </w:rPr>
        <w:tab/>
      </w:r>
      <w:r>
        <w:rPr>
          <w:sz w:val="28"/>
        </w:rPr>
        <w:t>22</w:t>
      </w:r>
    </w:p>
    <w:p w:rsidR="00987AD3" w:rsidRPr="00D23127" w:rsidRDefault="00987AD3" w:rsidP="00C9607D">
      <w:pPr>
        <w:pStyle w:val="BodyTextIndent"/>
        <w:keepLines/>
        <w:tabs>
          <w:tab w:val="left" w:pos="1440"/>
          <w:tab w:val="right" w:leader="dot" w:pos="8640"/>
        </w:tabs>
        <w:spacing w:before="240" w:line="240" w:lineRule="auto"/>
        <w:ind w:left="1440" w:right="720" w:hanging="720"/>
        <w:rPr>
          <w:sz w:val="28"/>
        </w:rPr>
      </w:pPr>
      <w:r>
        <w:rPr>
          <w:sz w:val="28"/>
        </w:rPr>
        <w:t>C.</w:t>
      </w:r>
      <w:r>
        <w:rPr>
          <w:sz w:val="28"/>
        </w:rPr>
        <w:tab/>
      </w:r>
      <w:r>
        <w:rPr>
          <w:bCs/>
          <w:sz w:val="28"/>
        </w:rPr>
        <w:t>PSE Has Not Met its Burdens of Proof and Persuasion in Supporting All of its Requested Proposals</w:t>
      </w:r>
      <w:r w:rsidRPr="00D23127">
        <w:rPr>
          <w:sz w:val="28"/>
        </w:rPr>
        <w:tab/>
      </w:r>
      <w:r>
        <w:rPr>
          <w:sz w:val="28"/>
        </w:rPr>
        <w:t>24</w:t>
      </w:r>
    </w:p>
    <w:p w:rsidR="00987AD3" w:rsidRDefault="00987AD3" w:rsidP="002E5CF0">
      <w:pPr>
        <w:pStyle w:val="FormattingTODAY"/>
      </w:pPr>
      <w:r>
        <w:t>D</w:t>
      </w:r>
      <w:r w:rsidRPr="00D23127">
        <w:t>.</w:t>
      </w:r>
      <w:r w:rsidRPr="00D23127">
        <w:tab/>
      </w:r>
      <w:r>
        <w:t>PSE Has Failed to Prove that the Settlement Will Result in Rates that are Fair, Just and Reasonable</w:t>
      </w:r>
      <w:r w:rsidRPr="00D23127">
        <w:tab/>
      </w:r>
      <w:r>
        <w:t>25</w:t>
      </w:r>
    </w:p>
    <w:p w:rsidR="00987AD3" w:rsidRDefault="00987AD3" w:rsidP="00C9607D">
      <w:pPr>
        <w:pStyle w:val="BodyTextIndent"/>
        <w:keepLines/>
        <w:tabs>
          <w:tab w:val="left" w:pos="1440"/>
          <w:tab w:val="left" w:pos="2160"/>
          <w:tab w:val="right" w:leader="dot" w:pos="8640"/>
        </w:tabs>
        <w:spacing w:before="240" w:line="240" w:lineRule="auto"/>
        <w:ind w:left="2880" w:right="720" w:hanging="1080"/>
        <w:rPr>
          <w:sz w:val="28"/>
          <w:lang w:val="en-US"/>
        </w:rPr>
      </w:pPr>
      <w:r>
        <w:rPr>
          <w:sz w:val="28"/>
        </w:rPr>
        <w:t>a.</w:t>
      </w:r>
      <w:r>
        <w:rPr>
          <w:sz w:val="28"/>
          <w:lang w:val="en-US"/>
        </w:rPr>
        <w:tab/>
      </w:r>
      <w:r>
        <w:rPr>
          <w:sz w:val="28"/>
        </w:rPr>
        <w:t>The Company Has Not Proven Each Individual</w:t>
      </w:r>
    </w:p>
    <w:p w:rsidR="00987AD3" w:rsidRDefault="00987AD3" w:rsidP="00C9607D">
      <w:pPr>
        <w:pStyle w:val="BodyTextIndent"/>
        <w:keepLines/>
        <w:tabs>
          <w:tab w:val="left" w:pos="1440"/>
          <w:tab w:val="left" w:pos="2160"/>
          <w:tab w:val="right" w:leader="dot" w:pos="8640"/>
        </w:tabs>
        <w:spacing w:line="240" w:lineRule="auto"/>
        <w:ind w:left="2880" w:right="720" w:hanging="1080"/>
        <w:rPr>
          <w:sz w:val="28"/>
          <w:lang w:val="en-US"/>
        </w:rPr>
      </w:pPr>
      <w:r>
        <w:rPr>
          <w:sz w:val="28"/>
          <w:lang w:val="en-US"/>
        </w:rPr>
        <w:tab/>
      </w:r>
      <w:r>
        <w:rPr>
          <w:sz w:val="28"/>
        </w:rPr>
        <w:t>Element of the Settlement is Supported by</w:t>
      </w:r>
      <w:r>
        <w:rPr>
          <w:sz w:val="28"/>
          <w:lang w:val="en-US"/>
        </w:rPr>
        <w:t xml:space="preserve"> </w:t>
      </w:r>
    </w:p>
    <w:p w:rsidR="00987AD3" w:rsidRPr="00D23127" w:rsidRDefault="00987AD3" w:rsidP="002E5CF0">
      <w:pPr>
        <w:pStyle w:val="BodyTextIndent"/>
        <w:keepLines/>
        <w:tabs>
          <w:tab w:val="left" w:pos="1440"/>
          <w:tab w:val="left" w:pos="2160"/>
          <w:tab w:val="right" w:leader="dot" w:pos="8640"/>
        </w:tabs>
        <w:spacing w:line="240" w:lineRule="auto"/>
        <w:ind w:left="2880" w:hanging="1080"/>
        <w:rPr>
          <w:sz w:val="28"/>
        </w:rPr>
      </w:pPr>
      <w:r>
        <w:rPr>
          <w:sz w:val="28"/>
          <w:lang w:val="en-US"/>
        </w:rPr>
        <w:tab/>
      </w:r>
      <w:r>
        <w:rPr>
          <w:sz w:val="28"/>
        </w:rPr>
        <w:t>Sufficient</w:t>
      </w:r>
      <w:r>
        <w:rPr>
          <w:sz w:val="28"/>
          <w:lang w:val="en-US"/>
        </w:rPr>
        <w:t xml:space="preserve"> </w:t>
      </w:r>
      <w:r>
        <w:rPr>
          <w:sz w:val="28"/>
        </w:rPr>
        <w:t>Evidence……………………………</w:t>
      </w:r>
      <w:r w:rsidR="002E5CF0">
        <w:rPr>
          <w:sz w:val="28"/>
        </w:rPr>
        <w:t>…</w:t>
      </w:r>
      <w:r w:rsidR="002E5CF0">
        <w:rPr>
          <w:sz w:val="28"/>
          <w:lang w:val="en-US"/>
        </w:rPr>
        <w:t>…....</w:t>
      </w:r>
      <w:r>
        <w:rPr>
          <w:sz w:val="28"/>
        </w:rPr>
        <w:t>25</w:t>
      </w:r>
    </w:p>
    <w:p w:rsidR="00987AD3"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rPr>
        <w:t>b</w:t>
      </w:r>
      <w:r>
        <w:rPr>
          <w:sz w:val="28"/>
          <w:lang w:val="en-US"/>
        </w:rPr>
        <w:t>.</w:t>
      </w:r>
      <w:r>
        <w:rPr>
          <w:sz w:val="28"/>
          <w:lang w:val="en-US"/>
        </w:rPr>
        <w:tab/>
      </w:r>
      <w:r>
        <w:rPr>
          <w:sz w:val="28"/>
        </w:rPr>
        <w:t>The Company’s Improper Demand for Final Orde</w:t>
      </w:r>
      <w:r>
        <w:rPr>
          <w:sz w:val="28"/>
          <w:lang w:val="en-US"/>
        </w:rPr>
        <w:t>r</w:t>
      </w:r>
    </w:p>
    <w:p w:rsidR="00987AD3"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 xml:space="preserve">Modification of the Centralia Docket as </w:t>
      </w:r>
      <w:r>
        <w:rPr>
          <w:sz w:val="28"/>
          <w:lang w:val="en-US"/>
        </w:rPr>
        <w:t xml:space="preserve">a </w:t>
      </w:r>
    </w:p>
    <w:p w:rsidR="00987AD3"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Settlement Condition Justifies Rejection of the</w:t>
      </w:r>
      <w:r>
        <w:rPr>
          <w:sz w:val="28"/>
          <w:lang w:val="en-US"/>
        </w:rPr>
        <w:t xml:space="preserve"> </w:t>
      </w:r>
    </w:p>
    <w:p w:rsidR="00987AD3" w:rsidRPr="00987AD3"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Entire Settlement..……………………………</w:t>
      </w:r>
      <w:r w:rsidR="002E5CF0">
        <w:rPr>
          <w:sz w:val="28"/>
          <w:lang w:val="en-US"/>
        </w:rPr>
        <w:t>……..</w:t>
      </w:r>
      <w:r>
        <w:rPr>
          <w:sz w:val="28"/>
        </w:rPr>
        <w:t>.. .27</w:t>
      </w:r>
    </w:p>
    <w:p w:rsidR="00987AD3" w:rsidRDefault="00987AD3" w:rsidP="002E5CF0">
      <w:pPr>
        <w:pStyle w:val="BodyTextIndent"/>
        <w:keepLines/>
        <w:tabs>
          <w:tab w:val="left" w:pos="1440"/>
          <w:tab w:val="left" w:pos="2160"/>
          <w:tab w:val="right" w:leader="dot" w:pos="8640"/>
        </w:tabs>
        <w:spacing w:before="240" w:line="240" w:lineRule="auto"/>
        <w:ind w:left="1440" w:hanging="720"/>
        <w:rPr>
          <w:sz w:val="28"/>
        </w:rPr>
      </w:pPr>
      <w:r>
        <w:rPr>
          <w:sz w:val="28"/>
        </w:rPr>
        <w:t>E</w:t>
      </w:r>
      <w:r w:rsidRPr="00D23127">
        <w:rPr>
          <w:sz w:val="28"/>
        </w:rPr>
        <w:t>.</w:t>
      </w:r>
      <w:r w:rsidRPr="00D23127">
        <w:rPr>
          <w:sz w:val="28"/>
        </w:rPr>
        <w:tab/>
      </w:r>
      <w:r>
        <w:rPr>
          <w:bCs/>
          <w:sz w:val="28"/>
        </w:rPr>
        <w:t>The ERF Should be Rejected or Modified by Significant Adjustments</w:t>
      </w:r>
      <w:r w:rsidRPr="00D23127">
        <w:rPr>
          <w:sz w:val="28"/>
        </w:rPr>
        <w:tab/>
      </w:r>
      <w:r>
        <w:rPr>
          <w:sz w:val="28"/>
        </w:rPr>
        <w:t>30</w:t>
      </w:r>
    </w:p>
    <w:p w:rsidR="000C04CC" w:rsidRDefault="000C04CC" w:rsidP="002E5CF0">
      <w:pPr>
        <w:pStyle w:val="BodyTextIndent"/>
        <w:keepLines/>
        <w:tabs>
          <w:tab w:val="left" w:pos="1440"/>
          <w:tab w:val="left" w:pos="2160"/>
          <w:tab w:val="right" w:leader="dot" w:pos="8640"/>
        </w:tabs>
        <w:spacing w:line="240" w:lineRule="auto"/>
        <w:ind w:left="2880" w:hanging="1080"/>
        <w:rPr>
          <w:sz w:val="28"/>
          <w:lang w:val="en-US"/>
        </w:rPr>
      </w:pPr>
      <w:r>
        <w:rPr>
          <w:sz w:val="28"/>
        </w:rPr>
        <w:t>a.</w:t>
      </w:r>
      <w:r>
        <w:rPr>
          <w:sz w:val="28"/>
          <w:lang w:val="en-US"/>
        </w:rPr>
        <w:t xml:space="preserve"> </w:t>
      </w:r>
      <w:r>
        <w:rPr>
          <w:sz w:val="28"/>
          <w:lang w:val="en-US"/>
        </w:rPr>
        <w:tab/>
      </w:r>
      <w:r w:rsidR="00987AD3">
        <w:rPr>
          <w:sz w:val="28"/>
        </w:rPr>
        <w:t>Use of End of Peri</w:t>
      </w:r>
      <w:r>
        <w:rPr>
          <w:sz w:val="28"/>
        </w:rPr>
        <w:t>od Rate Base Is in Violation of</w:t>
      </w:r>
    </w:p>
    <w:p w:rsidR="000C04CC" w:rsidRDefault="000C04CC"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sidR="00987AD3">
        <w:rPr>
          <w:sz w:val="28"/>
        </w:rPr>
        <w:t xml:space="preserve">WAC </w:t>
      </w:r>
      <w:r w:rsidR="00987AD3" w:rsidRPr="006135CA">
        <w:rPr>
          <w:b/>
          <w:sz w:val="28"/>
        </w:rPr>
        <w:t>§</w:t>
      </w:r>
      <w:r w:rsidR="00987AD3">
        <w:rPr>
          <w:sz w:val="28"/>
        </w:rPr>
        <w:t xml:space="preserve"> </w:t>
      </w:r>
      <w:r>
        <w:rPr>
          <w:sz w:val="28"/>
        </w:rPr>
        <w:t>480-100</w:t>
      </w:r>
      <w:r>
        <w:rPr>
          <w:sz w:val="28"/>
          <w:lang w:val="en-US"/>
        </w:rPr>
        <w:t>-</w:t>
      </w:r>
      <w:r w:rsidR="00987AD3">
        <w:rPr>
          <w:sz w:val="28"/>
        </w:rPr>
        <w:t>257…………………………</w:t>
      </w:r>
      <w:r w:rsidR="002E5CF0">
        <w:rPr>
          <w:sz w:val="28"/>
          <w:lang w:val="en-US"/>
        </w:rPr>
        <w:t>……..</w:t>
      </w:r>
      <w:r w:rsidR="00987AD3">
        <w:rPr>
          <w:sz w:val="28"/>
        </w:rPr>
        <w:t>…31</w:t>
      </w:r>
    </w:p>
    <w:p w:rsidR="00987AD3" w:rsidRPr="00D23127" w:rsidRDefault="00987AD3" w:rsidP="002E5CF0">
      <w:pPr>
        <w:pStyle w:val="BodyTextIndent"/>
        <w:keepLines/>
        <w:tabs>
          <w:tab w:val="left" w:pos="1440"/>
          <w:tab w:val="left" w:pos="2160"/>
          <w:tab w:val="right" w:leader="dot" w:pos="8640"/>
        </w:tabs>
        <w:spacing w:line="240" w:lineRule="auto"/>
        <w:ind w:left="2880" w:hanging="1080"/>
        <w:rPr>
          <w:sz w:val="28"/>
        </w:rPr>
      </w:pPr>
      <w:r>
        <w:rPr>
          <w:sz w:val="28"/>
        </w:rPr>
        <w:t xml:space="preserve"> </w:t>
      </w:r>
    </w:p>
    <w:p w:rsidR="000C04CC"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rPr>
        <w:t>b</w:t>
      </w:r>
      <w:r w:rsidR="000C04CC">
        <w:rPr>
          <w:sz w:val="28"/>
        </w:rPr>
        <w:t>.</w:t>
      </w:r>
      <w:r w:rsidR="000C04CC">
        <w:rPr>
          <w:sz w:val="28"/>
          <w:lang w:val="en-US"/>
        </w:rPr>
        <w:tab/>
      </w:r>
      <w:r>
        <w:rPr>
          <w:sz w:val="28"/>
        </w:rPr>
        <w:t xml:space="preserve">PSE’s Hybrid </w:t>
      </w:r>
      <w:r w:rsidR="000C04CC">
        <w:rPr>
          <w:sz w:val="28"/>
        </w:rPr>
        <w:t>Test Year Violates the Matching</w:t>
      </w:r>
    </w:p>
    <w:p w:rsidR="00987AD3" w:rsidRDefault="000C04CC"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sidR="00987AD3">
        <w:rPr>
          <w:sz w:val="28"/>
        </w:rPr>
        <w:t>Principle………………………………………</w:t>
      </w:r>
      <w:r w:rsidR="002E5CF0">
        <w:rPr>
          <w:sz w:val="28"/>
          <w:lang w:val="en-US"/>
        </w:rPr>
        <w:t>……..</w:t>
      </w:r>
      <w:r w:rsidR="00987AD3">
        <w:rPr>
          <w:sz w:val="28"/>
        </w:rPr>
        <w:t>...33</w:t>
      </w:r>
    </w:p>
    <w:p w:rsidR="000C04CC" w:rsidRPr="000C04CC" w:rsidRDefault="000C04CC" w:rsidP="002E5CF0">
      <w:pPr>
        <w:pStyle w:val="BodyTextIndent"/>
        <w:keepLines/>
        <w:tabs>
          <w:tab w:val="left" w:pos="1440"/>
          <w:tab w:val="left" w:pos="2160"/>
          <w:tab w:val="right" w:leader="dot" w:pos="8640"/>
        </w:tabs>
        <w:spacing w:line="240" w:lineRule="auto"/>
        <w:ind w:left="2880" w:hanging="1080"/>
        <w:rPr>
          <w:sz w:val="28"/>
          <w:lang w:val="en-US"/>
        </w:rPr>
      </w:pPr>
    </w:p>
    <w:p w:rsidR="000C04CC" w:rsidRDefault="00987AD3" w:rsidP="002E5CF0">
      <w:pPr>
        <w:pStyle w:val="BodyTextIndent"/>
        <w:keepLines/>
        <w:tabs>
          <w:tab w:val="left" w:pos="1440"/>
          <w:tab w:val="left" w:pos="2160"/>
          <w:tab w:val="right" w:leader="dot" w:pos="8640"/>
        </w:tabs>
        <w:spacing w:line="240" w:lineRule="auto"/>
        <w:ind w:left="2880" w:hanging="1080"/>
        <w:rPr>
          <w:sz w:val="28"/>
          <w:lang w:val="en-US"/>
        </w:rPr>
      </w:pPr>
      <w:r>
        <w:rPr>
          <w:sz w:val="28"/>
        </w:rPr>
        <w:t>c</w:t>
      </w:r>
      <w:r w:rsidR="000C04CC">
        <w:rPr>
          <w:sz w:val="28"/>
          <w:lang w:val="en-US"/>
        </w:rPr>
        <w:t>.</w:t>
      </w:r>
      <w:r w:rsidR="000C04CC">
        <w:rPr>
          <w:sz w:val="28"/>
          <w:lang w:val="en-US"/>
        </w:rPr>
        <w:tab/>
      </w:r>
      <w:r>
        <w:rPr>
          <w:sz w:val="28"/>
        </w:rPr>
        <w:t>The ERF Proposal Necessitat</w:t>
      </w:r>
      <w:r w:rsidR="000C04CC">
        <w:rPr>
          <w:sz w:val="28"/>
        </w:rPr>
        <w:t>es Return on</w:t>
      </w:r>
      <w:r w:rsidR="000C04CC">
        <w:rPr>
          <w:sz w:val="28"/>
          <w:lang w:val="en-US"/>
        </w:rPr>
        <w:t xml:space="preserve"> </w:t>
      </w:r>
      <w:r w:rsidR="000C04CC">
        <w:rPr>
          <w:sz w:val="28"/>
        </w:rPr>
        <w:t>Equit</w:t>
      </w:r>
      <w:r w:rsidR="000C04CC">
        <w:rPr>
          <w:sz w:val="28"/>
          <w:lang w:val="en-US"/>
        </w:rPr>
        <w:t xml:space="preserve">y </w:t>
      </w:r>
    </w:p>
    <w:p w:rsidR="00987AD3" w:rsidRDefault="000C04CC"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and Capital</w:t>
      </w:r>
      <w:r>
        <w:rPr>
          <w:sz w:val="28"/>
          <w:lang w:val="en-US"/>
        </w:rPr>
        <w:t xml:space="preserve"> </w:t>
      </w:r>
      <w:r w:rsidR="00987AD3">
        <w:rPr>
          <w:sz w:val="28"/>
        </w:rPr>
        <w:t>Adjustments……………………</w:t>
      </w:r>
      <w:r w:rsidR="002E5CF0">
        <w:rPr>
          <w:sz w:val="28"/>
          <w:lang w:val="en-US"/>
        </w:rPr>
        <w:t>……..</w:t>
      </w:r>
      <w:r w:rsidR="00987AD3">
        <w:rPr>
          <w:sz w:val="28"/>
        </w:rPr>
        <w:t>…..34</w:t>
      </w:r>
    </w:p>
    <w:p w:rsidR="000C04CC" w:rsidRPr="000C04CC" w:rsidRDefault="000C04CC" w:rsidP="002E5CF0">
      <w:pPr>
        <w:pStyle w:val="BodyTextIndent"/>
        <w:keepLines/>
        <w:tabs>
          <w:tab w:val="left" w:pos="1440"/>
          <w:tab w:val="left" w:pos="2160"/>
          <w:tab w:val="right" w:leader="dot" w:pos="8640"/>
        </w:tabs>
        <w:spacing w:line="240" w:lineRule="auto"/>
        <w:ind w:left="2880" w:hanging="1080"/>
        <w:rPr>
          <w:sz w:val="28"/>
          <w:lang w:val="en-US"/>
        </w:rPr>
      </w:pPr>
    </w:p>
    <w:p w:rsidR="00987AD3" w:rsidRPr="000C04CC" w:rsidRDefault="00987AD3" w:rsidP="002E5CF0">
      <w:pPr>
        <w:pStyle w:val="BodyTextIndent"/>
        <w:tabs>
          <w:tab w:val="left" w:pos="2160"/>
          <w:tab w:val="right" w:leader="dot" w:pos="8640"/>
        </w:tabs>
        <w:spacing w:line="240" w:lineRule="auto"/>
        <w:ind w:left="2794" w:hanging="994"/>
        <w:rPr>
          <w:sz w:val="28"/>
          <w:lang w:val="en-US"/>
        </w:rPr>
      </w:pPr>
      <w:r>
        <w:rPr>
          <w:sz w:val="28"/>
        </w:rPr>
        <w:t>d.</w:t>
      </w:r>
      <w:r w:rsidR="000A3029">
        <w:rPr>
          <w:sz w:val="28"/>
        </w:rPr>
        <w:tab/>
      </w:r>
      <w:r w:rsidR="000C04CC">
        <w:rPr>
          <w:sz w:val="28"/>
        </w:rPr>
        <w:t>Additional Revenue Deficienc</w:t>
      </w:r>
      <w:r w:rsidR="000C04CC">
        <w:rPr>
          <w:sz w:val="28"/>
          <w:lang w:val="en-US"/>
        </w:rPr>
        <w:t>y</w:t>
      </w:r>
      <w:r w:rsidR="001F25DB">
        <w:rPr>
          <w:sz w:val="28"/>
          <w:lang w:val="en-US"/>
        </w:rPr>
        <w:t xml:space="preserve"> Corrections…</w:t>
      </w:r>
      <w:r w:rsidR="002E5CF0">
        <w:rPr>
          <w:sz w:val="28"/>
          <w:lang w:val="en-US"/>
        </w:rPr>
        <w:t>………</w:t>
      </w:r>
      <w:r w:rsidR="001F25DB">
        <w:rPr>
          <w:sz w:val="28"/>
          <w:lang w:val="en-US"/>
        </w:rPr>
        <w:t>.37</w:t>
      </w:r>
      <w:r w:rsidR="000C04CC">
        <w:rPr>
          <w:sz w:val="28"/>
          <w:lang w:val="en-US"/>
        </w:rPr>
        <w:t xml:space="preserve"> </w:t>
      </w:r>
    </w:p>
    <w:p w:rsidR="00987AD3" w:rsidRDefault="00987AD3" w:rsidP="002E5CF0">
      <w:pPr>
        <w:pStyle w:val="BodyTextIndent"/>
        <w:keepLines/>
        <w:tabs>
          <w:tab w:val="left" w:pos="1440"/>
          <w:tab w:val="left" w:pos="2160"/>
          <w:tab w:val="right" w:leader="dot" w:pos="8640"/>
        </w:tabs>
        <w:spacing w:before="240" w:line="240" w:lineRule="auto"/>
        <w:ind w:left="1440" w:hanging="720"/>
        <w:rPr>
          <w:sz w:val="28"/>
        </w:rPr>
      </w:pPr>
      <w:r>
        <w:rPr>
          <w:sz w:val="28"/>
        </w:rPr>
        <w:t>F</w:t>
      </w:r>
      <w:r w:rsidRPr="00D23127">
        <w:rPr>
          <w:sz w:val="28"/>
        </w:rPr>
        <w:t>.</w:t>
      </w:r>
      <w:r w:rsidRPr="00D23127">
        <w:rPr>
          <w:sz w:val="28"/>
        </w:rPr>
        <w:tab/>
      </w:r>
      <w:r>
        <w:rPr>
          <w:bCs/>
          <w:sz w:val="28"/>
        </w:rPr>
        <w:t>The Amended Decoupling Proposal Should Be Rejected as an Unsupported Attrition Adjustment Contrary to WUTC Precedent and Policy</w:t>
      </w:r>
      <w:r w:rsidRPr="00D23127">
        <w:rPr>
          <w:sz w:val="28"/>
        </w:rPr>
        <w:tab/>
      </w:r>
      <w:r w:rsidR="002E5CF0">
        <w:rPr>
          <w:sz w:val="28"/>
          <w:lang w:val="en-US"/>
        </w:rPr>
        <w:t>.</w:t>
      </w:r>
      <w:r>
        <w:rPr>
          <w:sz w:val="28"/>
        </w:rPr>
        <w:t>40</w:t>
      </w:r>
    </w:p>
    <w:p w:rsid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rPr>
        <w:t>a.</w:t>
      </w:r>
      <w:r>
        <w:rPr>
          <w:sz w:val="28"/>
          <w:lang w:val="en-US"/>
        </w:rPr>
        <w:tab/>
      </w:r>
      <w:r w:rsidR="00987AD3">
        <w:rPr>
          <w:sz w:val="28"/>
        </w:rPr>
        <w:t>The Amended Petition Is Essenti</w:t>
      </w:r>
      <w:r>
        <w:rPr>
          <w:sz w:val="28"/>
        </w:rPr>
        <w:t>ally a Request for</w:t>
      </w:r>
    </w:p>
    <w:p w:rsidR="00987AD3"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Pr>
          <w:sz w:val="28"/>
        </w:rPr>
        <w:t>an Attrition</w:t>
      </w:r>
      <w:r>
        <w:rPr>
          <w:sz w:val="28"/>
          <w:lang w:val="en-US"/>
        </w:rPr>
        <w:t xml:space="preserve"> </w:t>
      </w:r>
      <w:r w:rsidR="00987AD3">
        <w:rPr>
          <w:sz w:val="28"/>
        </w:rPr>
        <w:t>Adjustment…………………………</w:t>
      </w:r>
      <w:r w:rsidR="002E5CF0">
        <w:rPr>
          <w:sz w:val="28"/>
          <w:lang w:val="en-US"/>
        </w:rPr>
        <w:t>…….</w:t>
      </w:r>
      <w:r w:rsidR="00987AD3">
        <w:rPr>
          <w:sz w:val="28"/>
        </w:rPr>
        <w:t xml:space="preserve">41 </w:t>
      </w:r>
    </w:p>
    <w:p w:rsidR="000A3029" w:rsidRP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p>
    <w:p w:rsid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rPr>
        <w:t>b.</w:t>
      </w:r>
      <w:r>
        <w:rPr>
          <w:sz w:val="28"/>
          <w:lang w:val="en-US"/>
        </w:rPr>
        <w:tab/>
      </w:r>
      <w:r w:rsidR="00987AD3">
        <w:rPr>
          <w:sz w:val="28"/>
        </w:rPr>
        <w:t>The Decoupling</w:t>
      </w:r>
      <w:r>
        <w:rPr>
          <w:sz w:val="28"/>
        </w:rPr>
        <w:t xml:space="preserve"> Proposal Fails as a Decoupling</w:t>
      </w:r>
    </w:p>
    <w:p w:rsidR="00987AD3"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sidR="00987AD3">
        <w:rPr>
          <w:sz w:val="28"/>
        </w:rPr>
        <w:t>Mechanism……………………………………</w:t>
      </w:r>
      <w:r w:rsidR="002E5CF0">
        <w:rPr>
          <w:sz w:val="28"/>
          <w:lang w:val="en-US"/>
        </w:rPr>
        <w:t>……..</w:t>
      </w:r>
      <w:r w:rsidR="00987AD3">
        <w:rPr>
          <w:sz w:val="28"/>
        </w:rPr>
        <w:t>...42</w:t>
      </w:r>
    </w:p>
    <w:p w:rsidR="000A3029" w:rsidRP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p>
    <w:p w:rsid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rPr>
        <w:t>c.</w:t>
      </w:r>
      <w:r>
        <w:rPr>
          <w:sz w:val="28"/>
          <w:lang w:val="en-US"/>
        </w:rPr>
        <w:tab/>
      </w:r>
      <w:r w:rsidR="00987AD3">
        <w:rPr>
          <w:sz w:val="28"/>
        </w:rPr>
        <w:t xml:space="preserve">The Decoupling Proposal Fails as an </w:t>
      </w:r>
      <w:r>
        <w:rPr>
          <w:sz w:val="28"/>
        </w:rPr>
        <w:t>Attrition</w:t>
      </w:r>
    </w:p>
    <w:p w:rsidR="00987AD3" w:rsidRDefault="000A3029" w:rsidP="002E5CF0">
      <w:pPr>
        <w:pStyle w:val="BodyTextIndent"/>
        <w:keepLines/>
        <w:tabs>
          <w:tab w:val="left" w:pos="1440"/>
          <w:tab w:val="left" w:pos="2160"/>
          <w:tab w:val="right" w:leader="dot" w:pos="8640"/>
        </w:tabs>
        <w:spacing w:line="240" w:lineRule="auto"/>
        <w:ind w:left="2880" w:hanging="1080"/>
        <w:rPr>
          <w:sz w:val="28"/>
          <w:lang w:val="en-US"/>
        </w:rPr>
      </w:pPr>
      <w:r>
        <w:rPr>
          <w:sz w:val="28"/>
          <w:lang w:val="en-US"/>
        </w:rPr>
        <w:tab/>
      </w:r>
      <w:r w:rsidR="00987AD3">
        <w:rPr>
          <w:sz w:val="28"/>
        </w:rPr>
        <w:t>Adjustment…………….……………………</w:t>
      </w:r>
      <w:r w:rsidR="002E5CF0">
        <w:rPr>
          <w:sz w:val="28"/>
          <w:lang w:val="en-US"/>
        </w:rPr>
        <w:t>……..</w:t>
      </w:r>
      <w:r w:rsidR="00987AD3">
        <w:rPr>
          <w:sz w:val="28"/>
        </w:rPr>
        <w:t>…..53</w:t>
      </w:r>
    </w:p>
    <w:p w:rsidR="000A3029" w:rsidRPr="000A3029" w:rsidRDefault="000A3029" w:rsidP="002E5CF0">
      <w:pPr>
        <w:pStyle w:val="BodyTextIndent"/>
        <w:keepLines/>
        <w:tabs>
          <w:tab w:val="left" w:pos="1440"/>
          <w:tab w:val="left" w:pos="2160"/>
          <w:tab w:val="right" w:leader="dot" w:pos="8640"/>
        </w:tabs>
        <w:spacing w:line="240" w:lineRule="auto"/>
        <w:ind w:left="2880" w:hanging="1080"/>
        <w:rPr>
          <w:sz w:val="28"/>
          <w:lang w:val="en-US"/>
        </w:rPr>
      </w:pPr>
    </w:p>
    <w:p w:rsidR="00987AD3" w:rsidRPr="00E01B01" w:rsidRDefault="000A3029" w:rsidP="002E5CF0">
      <w:pPr>
        <w:pStyle w:val="BodyTextIndent"/>
        <w:tabs>
          <w:tab w:val="left" w:pos="2160"/>
          <w:tab w:val="right" w:leader="dot" w:pos="8640"/>
        </w:tabs>
        <w:spacing w:line="240" w:lineRule="auto"/>
        <w:ind w:left="2794" w:hanging="994"/>
        <w:rPr>
          <w:sz w:val="28"/>
        </w:rPr>
      </w:pPr>
      <w:r>
        <w:rPr>
          <w:sz w:val="28"/>
        </w:rPr>
        <w:t>d.</w:t>
      </w:r>
      <w:r>
        <w:rPr>
          <w:sz w:val="28"/>
          <w:lang w:val="en-US"/>
        </w:rPr>
        <w:tab/>
      </w:r>
      <w:r w:rsidR="00987AD3">
        <w:rPr>
          <w:sz w:val="28"/>
        </w:rPr>
        <w:t xml:space="preserve">The Rate Plan Component of the Decoupling           </w:t>
      </w:r>
    </w:p>
    <w:p w:rsidR="00987AD3" w:rsidRDefault="000A3029" w:rsidP="002E5CF0">
      <w:pPr>
        <w:tabs>
          <w:tab w:val="left" w:pos="2160"/>
        </w:tabs>
        <w:ind w:hanging="1080"/>
        <w:rPr>
          <w:sz w:val="28"/>
        </w:rPr>
      </w:pPr>
      <w:r>
        <w:rPr>
          <w:sz w:val="28"/>
        </w:rPr>
        <w:tab/>
      </w:r>
      <w:r>
        <w:rPr>
          <w:sz w:val="28"/>
        </w:rPr>
        <w:tab/>
      </w:r>
      <w:r w:rsidR="00987AD3">
        <w:rPr>
          <w:sz w:val="28"/>
        </w:rPr>
        <w:t>Is Unfair and Unjust…………………………</w:t>
      </w:r>
      <w:r w:rsidR="001F25DB">
        <w:rPr>
          <w:sz w:val="28"/>
        </w:rPr>
        <w:t>…</w:t>
      </w:r>
      <w:r w:rsidR="002E5CF0">
        <w:rPr>
          <w:sz w:val="28"/>
        </w:rPr>
        <w:t>…..</w:t>
      </w:r>
      <w:r w:rsidR="00987AD3">
        <w:rPr>
          <w:sz w:val="28"/>
        </w:rPr>
        <w:t>….57</w:t>
      </w:r>
    </w:p>
    <w:p w:rsidR="00987AD3" w:rsidRDefault="00987AD3" w:rsidP="002E5CF0">
      <w:pPr>
        <w:tabs>
          <w:tab w:val="left" w:pos="2790"/>
        </w:tabs>
        <w:rPr>
          <w:sz w:val="28"/>
        </w:rPr>
      </w:pPr>
    </w:p>
    <w:p w:rsidR="00987AD3" w:rsidRDefault="00987AD3" w:rsidP="002E5CF0">
      <w:pPr>
        <w:tabs>
          <w:tab w:val="left" w:pos="720"/>
        </w:tabs>
      </w:pPr>
      <w:r w:rsidRPr="00D23127">
        <w:rPr>
          <w:sz w:val="28"/>
        </w:rPr>
        <w:t>IV.</w:t>
      </w:r>
      <w:r w:rsidRPr="00D23127">
        <w:rPr>
          <w:sz w:val="28"/>
        </w:rPr>
        <w:tab/>
        <w:t>CONCLUSION</w:t>
      </w:r>
      <w:r>
        <w:rPr>
          <w:sz w:val="28"/>
        </w:rPr>
        <w:t>……………………………………………………...59</w:t>
      </w:r>
      <w:r w:rsidRPr="00D23127">
        <w:rPr>
          <w:sz w:val="28"/>
        </w:rPr>
        <w:tab/>
      </w:r>
    </w:p>
    <w:p w:rsidR="00987AD3" w:rsidRDefault="00987AD3" w:rsidP="00C9607D">
      <w:pPr>
        <w:pStyle w:val="BodyTextIndent"/>
        <w:keepLines/>
        <w:tabs>
          <w:tab w:val="left" w:pos="1440"/>
          <w:tab w:val="right" w:leader="dot" w:pos="8640"/>
        </w:tabs>
        <w:spacing w:before="240" w:line="240" w:lineRule="auto"/>
        <w:ind w:left="1440" w:right="720" w:hanging="720"/>
        <w:rPr>
          <w:sz w:val="28"/>
          <w:highlight w:val="yellow"/>
          <w:lang w:val="en-US"/>
        </w:rPr>
      </w:pPr>
    </w:p>
    <w:p w:rsidR="00AD56FC" w:rsidRPr="001D4A8D" w:rsidRDefault="00E645DE" w:rsidP="00C1369A">
      <w:pPr>
        <w:pStyle w:val="BodyTextIndent"/>
        <w:tabs>
          <w:tab w:val="left" w:pos="720"/>
          <w:tab w:val="right" w:leader="dot" w:pos="8640"/>
        </w:tabs>
        <w:spacing w:before="240" w:line="240" w:lineRule="auto"/>
        <w:ind w:firstLine="0"/>
        <w:rPr>
          <w:sz w:val="28"/>
          <w:highlight w:val="yellow"/>
        </w:rPr>
      </w:pPr>
      <w:r w:rsidRPr="001D4A8D">
        <w:rPr>
          <w:sz w:val="28"/>
          <w:highlight w:val="yellow"/>
        </w:rPr>
        <w:br w:type="page"/>
      </w:r>
    </w:p>
    <w:p w:rsidR="00AD56FC" w:rsidRPr="002B19E0" w:rsidRDefault="00AD56FC" w:rsidP="00A443FC">
      <w:pPr>
        <w:spacing w:after="200"/>
        <w:jc w:val="center"/>
        <w:rPr>
          <w:b/>
          <w:bCs/>
          <w:sz w:val="28"/>
        </w:rPr>
      </w:pPr>
      <w:r w:rsidRPr="002B19E0">
        <w:rPr>
          <w:b/>
          <w:bCs/>
          <w:sz w:val="28"/>
        </w:rPr>
        <w:lastRenderedPageBreak/>
        <w:t>TABLE OF AUTHORITIES</w:t>
      </w:r>
    </w:p>
    <w:p w:rsidR="00AD56FC" w:rsidRPr="002B19E0" w:rsidRDefault="00AD56FC" w:rsidP="00AD56FC">
      <w:pPr>
        <w:pStyle w:val="BodyTextIndent"/>
        <w:tabs>
          <w:tab w:val="center" w:pos="4320"/>
          <w:tab w:val="right" w:pos="8640"/>
        </w:tabs>
        <w:spacing w:before="240" w:line="240" w:lineRule="auto"/>
        <w:ind w:firstLine="0"/>
        <w:jc w:val="center"/>
        <w:rPr>
          <w:sz w:val="28"/>
          <w:u w:val="single"/>
        </w:rPr>
      </w:pPr>
      <w:r w:rsidRPr="002B19E0">
        <w:rPr>
          <w:sz w:val="28"/>
        </w:rPr>
        <w:tab/>
      </w:r>
      <w:r w:rsidRPr="002B19E0">
        <w:rPr>
          <w:b/>
          <w:sz w:val="28"/>
          <w:u w:val="single"/>
        </w:rPr>
        <w:t>Cases</w:t>
      </w:r>
      <w:r w:rsidRPr="002B19E0">
        <w:rPr>
          <w:sz w:val="28"/>
        </w:rPr>
        <w:tab/>
      </w:r>
      <w:r w:rsidRPr="002B19E0">
        <w:rPr>
          <w:b/>
          <w:sz w:val="28"/>
          <w:u w:val="single"/>
        </w:rPr>
        <w:t>Page</w:t>
      </w:r>
    </w:p>
    <w:p w:rsidR="00AD56FC" w:rsidRDefault="00AD56FC" w:rsidP="00AD56FC">
      <w:pPr>
        <w:pStyle w:val="TableofAuthorities"/>
        <w:rPr>
          <w:sz w:val="28"/>
          <w:szCs w:val="28"/>
          <w:highlight w:val="yellow"/>
          <w:u w:val="single"/>
        </w:rPr>
      </w:pPr>
    </w:p>
    <w:p w:rsidR="00EB7788" w:rsidRDefault="00310E9F"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Investigation into Energy Conservation Incentives</w:t>
      </w:r>
      <w:r w:rsidRPr="004127DA">
        <w:rPr>
          <w:sz w:val="26"/>
          <w:szCs w:val="26"/>
        </w:rPr>
        <w:t xml:space="preserve">, Docket No </w:t>
      </w:r>
    </w:p>
    <w:p w:rsidR="00310E9F" w:rsidRPr="00EB7788" w:rsidRDefault="00310E9F" w:rsidP="00931EF4">
      <w:pPr>
        <w:pStyle w:val="BodyTextIndent"/>
        <w:tabs>
          <w:tab w:val="left" w:pos="720"/>
          <w:tab w:val="right" w:leader="dot" w:pos="8640"/>
        </w:tabs>
        <w:spacing w:line="240" w:lineRule="auto"/>
        <w:ind w:firstLine="0"/>
        <w:rPr>
          <w:rStyle w:val="UTCStyleChar"/>
          <w:snapToGrid w:val="0"/>
          <w:sz w:val="26"/>
          <w:szCs w:val="26"/>
          <w:lang w:val="en-US"/>
        </w:rPr>
      </w:pPr>
      <w:r w:rsidRPr="004127DA">
        <w:rPr>
          <w:sz w:val="26"/>
          <w:szCs w:val="26"/>
        </w:rPr>
        <w:t>U-100522, Report and Policy Statement (Nov. 4, 2010)</w:t>
      </w:r>
      <w:r w:rsidRPr="004127DA">
        <w:rPr>
          <w:rStyle w:val="UTCStyleChar"/>
          <w:sz w:val="26"/>
          <w:szCs w:val="26"/>
        </w:rPr>
        <w:tab/>
      </w:r>
      <w:r w:rsidRPr="004127DA">
        <w:rPr>
          <w:rStyle w:val="UTCStyleChar"/>
          <w:sz w:val="26"/>
          <w:szCs w:val="26"/>
          <w:lang w:val="en-US"/>
        </w:rPr>
        <w:t>11, passim</w:t>
      </w:r>
    </w:p>
    <w:p w:rsidR="00310E9F" w:rsidRPr="004127DA" w:rsidRDefault="00310E9F" w:rsidP="00931EF4">
      <w:pPr>
        <w:pStyle w:val="FootnoteText"/>
        <w:tabs>
          <w:tab w:val="left" w:pos="0"/>
        </w:tabs>
        <w:ind w:right="-180"/>
        <w:rPr>
          <w:sz w:val="26"/>
          <w:szCs w:val="26"/>
          <w:u w:val="single"/>
        </w:rPr>
      </w:pPr>
    </w:p>
    <w:p w:rsidR="00310E9F" w:rsidRPr="004127DA" w:rsidRDefault="00310E9F" w:rsidP="00931EF4">
      <w:pPr>
        <w:pStyle w:val="FootnoteText"/>
        <w:tabs>
          <w:tab w:val="left" w:pos="0"/>
        </w:tabs>
        <w:ind w:right="-180"/>
        <w:rPr>
          <w:sz w:val="26"/>
          <w:szCs w:val="26"/>
        </w:rPr>
      </w:pPr>
      <w:r w:rsidRPr="004127DA">
        <w:rPr>
          <w:sz w:val="26"/>
          <w:szCs w:val="26"/>
          <w:u w:val="single"/>
        </w:rPr>
        <w:t>WUTC v. Avista Corp.</w:t>
      </w:r>
      <w:r w:rsidRPr="004127DA">
        <w:rPr>
          <w:sz w:val="26"/>
          <w:szCs w:val="26"/>
        </w:rPr>
        <w:t xml:space="preserve">, Docket Nos. UE-120436, </w:t>
      </w:r>
      <w:r w:rsidR="00C167B4" w:rsidRPr="00C167B4">
        <w:rPr>
          <w:sz w:val="26"/>
          <w:szCs w:val="26"/>
          <w:u w:val="single"/>
        </w:rPr>
        <w:t>et</w:t>
      </w:r>
      <w:r w:rsidR="00C167B4">
        <w:rPr>
          <w:sz w:val="26"/>
          <w:szCs w:val="26"/>
        </w:rPr>
        <w:t xml:space="preserve"> </w:t>
      </w:r>
      <w:r w:rsidR="00C167B4" w:rsidRPr="00C167B4">
        <w:rPr>
          <w:sz w:val="26"/>
          <w:szCs w:val="26"/>
          <w:u w:val="single"/>
        </w:rPr>
        <w:t>al.</w:t>
      </w:r>
      <w:r w:rsidR="00EB7788">
        <w:rPr>
          <w:sz w:val="26"/>
          <w:szCs w:val="26"/>
        </w:rPr>
        <w:t>,</w:t>
      </w:r>
    </w:p>
    <w:p w:rsidR="00310E9F" w:rsidRPr="004127DA" w:rsidRDefault="00310E9F" w:rsidP="00931EF4">
      <w:pPr>
        <w:pStyle w:val="FootnoteText"/>
        <w:tabs>
          <w:tab w:val="left" w:pos="0"/>
        </w:tabs>
        <w:ind w:right="-180"/>
        <w:rPr>
          <w:sz w:val="26"/>
          <w:szCs w:val="26"/>
        </w:rPr>
      </w:pPr>
      <w:r w:rsidRPr="004127DA">
        <w:rPr>
          <w:sz w:val="26"/>
          <w:szCs w:val="26"/>
        </w:rPr>
        <w:t>Order 09/14 (Dec. 26, 2012).....................................</w:t>
      </w:r>
      <w:r w:rsidR="00EB7788">
        <w:rPr>
          <w:sz w:val="26"/>
          <w:szCs w:val="26"/>
        </w:rPr>
        <w:t>.......</w:t>
      </w:r>
      <w:r w:rsidRPr="004127DA">
        <w:rPr>
          <w:sz w:val="26"/>
          <w:szCs w:val="26"/>
        </w:rPr>
        <w:t>...</w:t>
      </w:r>
      <w:r w:rsidR="00931EF4">
        <w:rPr>
          <w:sz w:val="26"/>
          <w:szCs w:val="26"/>
        </w:rPr>
        <w:t>....................</w:t>
      </w:r>
      <w:r w:rsidRPr="004127DA">
        <w:rPr>
          <w:sz w:val="26"/>
          <w:szCs w:val="26"/>
        </w:rPr>
        <w:t>.25</w:t>
      </w:r>
      <w:r w:rsidR="002F7141">
        <w:rPr>
          <w:sz w:val="26"/>
          <w:szCs w:val="26"/>
        </w:rPr>
        <w:t>, 27</w:t>
      </w:r>
      <w:r w:rsidR="00931EF4">
        <w:rPr>
          <w:sz w:val="26"/>
          <w:szCs w:val="26"/>
        </w:rPr>
        <w:t>, 54, 56</w:t>
      </w:r>
    </w:p>
    <w:p w:rsidR="004127DA" w:rsidRPr="004127DA" w:rsidRDefault="004127DA" w:rsidP="00931EF4">
      <w:pPr>
        <w:pStyle w:val="FootnoteText"/>
        <w:tabs>
          <w:tab w:val="left" w:pos="0"/>
        </w:tabs>
        <w:ind w:right="-180"/>
        <w:rPr>
          <w:sz w:val="26"/>
          <w:szCs w:val="26"/>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Avista</w:t>
      </w:r>
      <w:r w:rsidRPr="004127DA">
        <w:rPr>
          <w:sz w:val="26"/>
          <w:szCs w:val="26"/>
        </w:rPr>
        <w:t xml:space="preserve">, Docket Nos. UE-991255, UE-991262, and UE-991409, </w:t>
      </w: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rPr>
        <w:t>Fourth Suppl. Order (Apr. 21, 2000)</w:t>
      </w:r>
      <w:r w:rsidRPr="004127DA">
        <w:rPr>
          <w:sz w:val="26"/>
          <w:szCs w:val="26"/>
          <w:lang w:val="en-US"/>
        </w:rPr>
        <w:t>………</w:t>
      </w:r>
      <w:r w:rsidR="00EB7788">
        <w:rPr>
          <w:sz w:val="26"/>
          <w:szCs w:val="26"/>
          <w:lang w:val="en-US"/>
        </w:rPr>
        <w:t>……………………………</w:t>
      </w:r>
      <w:r w:rsidR="00931EF4">
        <w:rPr>
          <w:sz w:val="26"/>
          <w:szCs w:val="26"/>
          <w:lang w:val="en-US"/>
        </w:rPr>
        <w:t>...</w:t>
      </w:r>
      <w:r w:rsidR="00EB7788">
        <w:rPr>
          <w:sz w:val="26"/>
          <w:szCs w:val="26"/>
          <w:lang w:val="en-US"/>
        </w:rPr>
        <w:t>……..</w:t>
      </w:r>
      <w:r w:rsidRPr="004127DA">
        <w:rPr>
          <w:sz w:val="26"/>
          <w:szCs w:val="26"/>
        </w:rPr>
        <w:t>.</w:t>
      </w:r>
      <w:r w:rsidRPr="004127DA">
        <w:rPr>
          <w:sz w:val="26"/>
          <w:szCs w:val="26"/>
          <w:lang w:val="en-US"/>
        </w:rPr>
        <w:t>30</w:t>
      </w:r>
      <w:r w:rsidRPr="004127DA">
        <w:rPr>
          <w:sz w:val="26"/>
          <w:szCs w:val="26"/>
        </w:rPr>
        <w:t xml:space="preserve">  </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Inland Tel. Co.</w:t>
      </w:r>
      <w:r w:rsidRPr="004127DA">
        <w:rPr>
          <w:sz w:val="26"/>
          <w:szCs w:val="26"/>
        </w:rPr>
        <w:t xml:space="preserve">, Docket No. UT-050606, </w:t>
      </w: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lang w:val="en-US"/>
        </w:rPr>
      </w:pPr>
      <w:r w:rsidRPr="004127DA">
        <w:rPr>
          <w:sz w:val="26"/>
          <w:szCs w:val="26"/>
        </w:rPr>
        <w:t>Order 09 (Nov. 30, 2006)…</w:t>
      </w:r>
      <w:r w:rsidRPr="004127DA">
        <w:rPr>
          <w:sz w:val="26"/>
          <w:szCs w:val="26"/>
          <w:lang w:val="en-US"/>
        </w:rPr>
        <w:t>……</w:t>
      </w:r>
      <w:r w:rsidR="00EB7788">
        <w:rPr>
          <w:sz w:val="26"/>
          <w:szCs w:val="26"/>
          <w:lang w:val="en-US"/>
        </w:rPr>
        <w:t>……………………………………..</w:t>
      </w:r>
      <w:r w:rsidR="00931EF4">
        <w:rPr>
          <w:sz w:val="26"/>
          <w:szCs w:val="26"/>
          <w:lang w:val="en-US"/>
        </w:rPr>
        <w:t>..</w:t>
      </w:r>
      <w:r w:rsidR="00EB7788">
        <w:rPr>
          <w:sz w:val="26"/>
          <w:szCs w:val="26"/>
          <w:lang w:val="en-US"/>
        </w:rPr>
        <w:t>.</w:t>
      </w:r>
      <w:r w:rsidR="00BF7DD3">
        <w:rPr>
          <w:sz w:val="26"/>
          <w:szCs w:val="26"/>
          <w:lang w:val="en-US"/>
        </w:rPr>
        <w:t>……</w:t>
      </w:r>
      <w:r w:rsidRPr="004127DA">
        <w:rPr>
          <w:sz w:val="26"/>
          <w:szCs w:val="26"/>
          <w:lang w:val="en-US"/>
        </w:rPr>
        <w:t>.24</w:t>
      </w:r>
      <w:r w:rsidR="00BF7DD3">
        <w:rPr>
          <w:sz w:val="26"/>
          <w:szCs w:val="26"/>
          <w:lang w:val="en-US"/>
        </w:rPr>
        <w:t>, 53</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u w:val="single"/>
          <w:lang w:val="en-US"/>
        </w:rPr>
      </w:pPr>
      <w:r w:rsidRPr="004127DA">
        <w:rPr>
          <w:rStyle w:val="UTCStyleChar"/>
          <w:sz w:val="26"/>
          <w:szCs w:val="26"/>
          <w:u w:val="single"/>
          <w:lang w:val="en-US"/>
        </w:rPr>
        <w:t>WUTC v. PacifiCorp</w:t>
      </w:r>
      <w:r w:rsidRPr="004127DA">
        <w:rPr>
          <w:rStyle w:val="UTCStyleChar"/>
          <w:sz w:val="26"/>
          <w:szCs w:val="26"/>
          <w:u w:val="single"/>
          <w:lang w:val="en-US"/>
        </w:rPr>
        <w:softHyphen/>
      </w:r>
      <w:r w:rsidRPr="004127DA">
        <w:rPr>
          <w:rStyle w:val="UTCStyleChar"/>
          <w:sz w:val="26"/>
          <w:szCs w:val="26"/>
          <w:lang w:val="en-US"/>
        </w:rPr>
        <w:t xml:space="preserve">, Docket Nos. UE 050684 </w:t>
      </w:r>
      <w:r w:rsidRPr="004127DA">
        <w:rPr>
          <w:rStyle w:val="UTCStyleChar"/>
          <w:sz w:val="26"/>
          <w:szCs w:val="26"/>
          <w:u w:val="single"/>
          <w:lang w:val="en-US"/>
        </w:rPr>
        <w:t>et</w:t>
      </w:r>
      <w:r w:rsidRPr="004127DA">
        <w:rPr>
          <w:rStyle w:val="UTCStyleChar"/>
          <w:sz w:val="26"/>
          <w:szCs w:val="26"/>
          <w:lang w:val="en-US"/>
        </w:rPr>
        <w:t xml:space="preserve"> </w:t>
      </w:r>
      <w:r w:rsidRPr="004127DA">
        <w:rPr>
          <w:rStyle w:val="UTCStyleChar"/>
          <w:sz w:val="26"/>
          <w:szCs w:val="26"/>
          <w:u w:val="single"/>
          <w:lang w:val="en-US"/>
        </w:rPr>
        <w:t xml:space="preserve">al. </w:t>
      </w: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lang w:val="en-US"/>
        </w:rPr>
      </w:pPr>
      <w:r w:rsidRPr="004127DA">
        <w:rPr>
          <w:rStyle w:val="UTCStyleChar"/>
          <w:sz w:val="26"/>
          <w:szCs w:val="26"/>
          <w:lang w:val="en-US"/>
        </w:rPr>
        <w:t>Order No. 1 (June 28, 2006) …</w:t>
      </w:r>
      <w:r w:rsidR="00EB7788">
        <w:rPr>
          <w:rStyle w:val="UTCStyleChar"/>
          <w:sz w:val="26"/>
          <w:szCs w:val="26"/>
          <w:lang w:val="en-US"/>
        </w:rPr>
        <w:t>………………………………………………….</w:t>
      </w:r>
      <w:r w:rsidRPr="004127DA">
        <w:rPr>
          <w:rStyle w:val="UTCStyleChar"/>
          <w:sz w:val="26"/>
          <w:szCs w:val="26"/>
          <w:lang w:val="en-US"/>
        </w:rPr>
        <w:t>.23</w:t>
      </w: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lang w:val="en-US"/>
        </w:rPr>
      </w:pPr>
    </w:p>
    <w:p w:rsidR="004127DA" w:rsidRPr="004127DA" w:rsidRDefault="004127DA" w:rsidP="00931EF4">
      <w:pPr>
        <w:pStyle w:val="TableofAuthorities"/>
        <w:rPr>
          <w:sz w:val="26"/>
          <w:szCs w:val="26"/>
        </w:rPr>
      </w:pPr>
      <w:r w:rsidRPr="004127DA">
        <w:rPr>
          <w:sz w:val="26"/>
          <w:szCs w:val="26"/>
          <w:u w:val="single"/>
        </w:rPr>
        <w:t>WUTC v. PacifiCorp</w:t>
      </w:r>
      <w:r w:rsidRPr="004127DA">
        <w:rPr>
          <w:sz w:val="26"/>
          <w:szCs w:val="26"/>
        </w:rPr>
        <w:t xml:space="preserve">, Docket Nos. UE-050684 </w:t>
      </w:r>
      <w:r w:rsidRPr="004127DA">
        <w:rPr>
          <w:sz w:val="26"/>
          <w:szCs w:val="26"/>
          <w:u w:val="single"/>
        </w:rPr>
        <w:t>et</w:t>
      </w:r>
      <w:r w:rsidRPr="004127DA">
        <w:rPr>
          <w:sz w:val="26"/>
          <w:szCs w:val="26"/>
        </w:rPr>
        <w:t xml:space="preserve"> </w:t>
      </w:r>
      <w:r w:rsidRPr="004127DA">
        <w:rPr>
          <w:sz w:val="26"/>
          <w:szCs w:val="26"/>
          <w:u w:val="single"/>
        </w:rPr>
        <w:t>al.</w:t>
      </w:r>
      <w:r w:rsidRPr="004127DA">
        <w:rPr>
          <w:sz w:val="26"/>
          <w:szCs w:val="26"/>
        </w:rPr>
        <w:t xml:space="preserve"> </w:t>
      </w: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rPr>
        <w:t>Order No. 4 (Apr. 17, 2006)</w:t>
      </w:r>
      <w:r w:rsidRPr="004127DA">
        <w:rPr>
          <w:rStyle w:val="UTCStyleChar"/>
          <w:sz w:val="26"/>
          <w:szCs w:val="26"/>
        </w:rPr>
        <w:tab/>
      </w:r>
      <w:r w:rsidR="00931EF4">
        <w:rPr>
          <w:rStyle w:val="UTCStyleChar"/>
          <w:sz w:val="26"/>
          <w:szCs w:val="26"/>
          <w:lang w:val="en-US"/>
        </w:rPr>
        <w:t>..</w:t>
      </w:r>
      <w:r w:rsidRPr="004127DA">
        <w:rPr>
          <w:rStyle w:val="UTCStyleChar"/>
          <w:sz w:val="26"/>
          <w:szCs w:val="26"/>
          <w:lang w:val="en-US"/>
        </w:rPr>
        <w:t>23</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rStyle w:val="UTCStyleChar"/>
          <w:sz w:val="26"/>
          <w:szCs w:val="26"/>
          <w:u w:val="single"/>
          <w:lang w:val="en-US"/>
        </w:rPr>
        <w:t>WUTC v. PacifiCorp</w:t>
      </w:r>
      <w:r w:rsidRPr="004127DA">
        <w:rPr>
          <w:rStyle w:val="UTCStyleChar"/>
          <w:sz w:val="26"/>
          <w:szCs w:val="26"/>
          <w:u w:val="single"/>
          <w:lang w:val="en-US"/>
        </w:rPr>
        <w:softHyphen/>
      </w:r>
      <w:r w:rsidRPr="004127DA">
        <w:rPr>
          <w:rStyle w:val="UTCStyleChar"/>
          <w:sz w:val="26"/>
          <w:szCs w:val="26"/>
          <w:lang w:val="en-US"/>
        </w:rPr>
        <w:t xml:space="preserve">, Docket Nos. </w:t>
      </w:r>
      <w:r w:rsidRPr="004127DA">
        <w:rPr>
          <w:sz w:val="26"/>
          <w:szCs w:val="26"/>
        </w:rPr>
        <w:t>Docket Nos. UE-991832 and UE-020417</w:t>
      </w:r>
    </w:p>
    <w:p w:rsidR="004127DA" w:rsidRPr="004127DA" w:rsidRDefault="004127DA" w:rsidP="00931EF4">
      <w:pPr>
        <w:pStyle w:val="BodyTextIndent"/>
        <w:tabs>
          <w:tab w:val="left" w:pos="720"/>
          <w:tab w:val="right" w:leader="dot" w:pos="8640"/>
        </w:tabs>
        <w:spacing w:line="240" w:lineRule="auto"/>
        <w:ind w:firstLine="0"/>
        <w:rPr>
          <w:rStyle w:val="UTCStyleChar"/>
          <w:sz w:val="26"/>
          <w:szCs w:val="26"/>
          <w:lang w:val="en-US"/>
        </w:rPr>
      </w:pPr>
      <w:r w:rsidRPr="004127DA">
        <w:rPr>
          <w:rStyle w:val="UTCStyleChar"/>
          <w:sz w:val="26"/>
          <w:szCs w:val="26"/>
          <w:lang w:val="en-US"/>
        </w:rPr>
        <w:t xml:space="preserve"> </w:t>
      </w:r>
      <w:r w:rsidRPr="004127DA">
        <w:rPr>
          <w:sz w:val="26"/>
          <w:szCs w:val="26"/>
        </w:rPr>
        <w:t>2nd Suppl. Order</w:t>
      </w:r>
      <w:r w:rsidRPr="004127DA">
        <w:rPr>
          <w:sz w:val="26"/>
          <w:szCs w:val="26"/>
          <w:lang w:val="en-US"/>
        </w:rPr>
        <w:t xml:space="preserve"> </w:t>
      </w:r>
      <w:r w:rsidRPr="004127DA">
        <w:rPr>
          <w:sz w:val="26"/>
          <w:szCs w:val="26"/>
        </w:rPr>
        <w:t>(Aug. 21, 2002</w:t>
      </w:r>
      <w:r w:rsidRPr="004127DA">
        <w:rPr>
          <w:sz w:val="26"/>
          <w:szCs w:val="26"/>
          <w:lang w:val="en-US"/>
        </w:rPr>
        <w:t>)…………</w:t>
      </w:r>
      <w:r w:rsidR="00EB7788">
        <w:rPr>
          <w:sz w:val="26"/>
          <w:szCs w:val="26"/>
          <w:lang w:val="en-US"/>
        </w:rPr>
        <w:t>……………………………</w:t>
      </w:r>
      <w:r w:rsidR="00931EF4">
        <w:rPr>
          <w:sz w:val="26"/>
          <w:szCs w:val="26"/>
          <w:lang w:val="en-US"/>
        </w:rPr>
        <w:t>.</w:t>
      </w:r>
      <w:r w:rsidR="00EB7788">
        <w:rPr>
          <w:sz w:val="26"/>
          <w:szCs w:val="26"/>
          <w:lang w:val="en-US"/>
        </w:rPr>
        <w:t>…</w:t>
      </w:r>
      <w:r w:rsidRPr="004127DA">
        <w:rPr>
          <w:sz w:val="26"/>
          <w:szCs w:val="26"/>
          <w:lang w:val="en-US"/>
        </w:rPr>
        <w:t>……24</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PacifiCorp</w:t>
      </w:r>
      <w:r w:rsidRPr="004127DA">
        <w:rPr>
          <w:sz w:val="26"/>
          <w:szCs w:val="26"/>
        </w:rPr>
        <w:t xml:space="preserve">, Docket Nos. UE-991832 and UE-020417, </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r w:rsidRPr="004127DA">
        <w:rPr>
          <w:sz w:val="26"/>
          <w:szCs w:val="26"/>
        </w:rPr>
        <w:t>2nd Suppl. Order (Aug. 21, 2002)</w:t>
      </w:r>
      <w:r w:rsidRPr="004127DA">
        <w:rPr>
          <w:sz w:val="26"/>
          <w:szCs w:val="26"/>
          <w:lang w:val="en-US"/>
        </w:rPr>
        <w:t>…………</w:t>
      </w:r>
      <w:r w:rsidR="00EB7788">
        <w:rPr>
          <w:sz w:val="26"/>
          <w:szCs w:val="26"/>
          <w:lang w:val="en-US"/>
        </w:rPr>
        <w:t>……………………………………</w:t>
      </w:r>
      <w:r w:rsidRPr="004127DA">
        <w:rPr>
          <w:sz w:val="26"/>
          <w:szCs w:val="26"/>
          <w:lang w:val="en-US"/>
        </w:rPr>
        <w:t>..24</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7515A0" w:rsidRPr="004127DA" w:rsidRDefault="001B72DC" w:rsidP="00931EF4">
      <w:pPr>
        <w:pStyle w:val="BodyTextIndent"/>
        <w:tabs>
          <w:tab w:val="left" w:pos="720"/>
          <w:tab w:val="right" w:leader="dot" w:pos="8640"/>
        </w:tabs>
        <w:spacing w:line="240" w:lineRule="auto"/>
        <w:ind w:firstLine="0"/>
        <w:rPr>
          <w:sz w:val="26"/>
          <w:szCs w:val="26"/>
          <w:u w:val="single"/>
          <w:lang w:val="en-US"/>
        </w:rPr>
      </w:pPr>
      <w:r w:rsidRPr="004127DA">
        <w:rPr>
          <w:sz w:val="26"/>
          <w:szCs w:val="26"/>
          <w:u w:val="single"/>
          <w:lang w:val="en-US"/>
        </w:rPr>
        <w:t>WUTC v. Pacific Power &amp; Light Co.</w:t>
      </w:r>
      <w:r w:rsidRPr="004127DA">
        <w:rPr>
          <w:sz w:val="26"/>
          <w:szCs w:val="26"/>
          <w:lang w:val="en-US"/>
        </w:rPr>
        <w:t>,</w:t>
      </w:r>
      <w:r w:rsidRPr="004127DA">
        <w:rPr>
          <w:sz w:val="26"/>
          <w:szCs w:val="26"/>
          <w:u w:val="single"/>
          <w:lang w:val="en-US"/>
        </w:rPr>
        <w:t xml:space="preserve"> </w:t>
      </w:r>
      <w:r w:rsidRPr="004127DA">
        <w:rPr>
          <w:sz w:val="26"/>
          <w:szCs w:val="26"/>
        </w:rPr>
        <w:t>Cause No. U-84-65</w:t>
      </w:r>
    </w:p>
    <w:p w:rsidR="001B72DC" w:rsidRPr="004127DA" w:rsidRDefault="001B72DC" w:rsidP="00931EF4">
      <w:pPr>
        <w:pStyle w:val="BodyTextIndent"/>
        <w:tabs>
          <w:tab w:val="left" w:pos="720"/>
          <w:tab w:val="right" w:leader="dot" w:pos="8640"/>
        </w:tabs>
        <w:spacing w:line="240" w:lineRule="auto"/>
        <w:ind w:firstLine="0"/>
        <w:rPr>
          <w:sz w:val="26"/>
          <w:szCs w:val="26"/>
          <w:lang w:val="en-US"/>
        </w:rPr>
      </w:pPr>
      <w:r w:rsidRPr="004127DA">
        <w:rPr>
          <w:sz w:val="26"/>
          <w:szCs w:val="26"/>
        </w:rPr>
        <w:t>Order at 28 (Aug. 2, 1985)</w:t>
      </w:r>
      <w:r w:rsidRPr="004127DA">
        <w:rPr>
          <w:sz w:val="26"/>
          <w:szCs w:val="26"/>
          <w:lang w:val="en-US"/>
        </w:rPr>
        <w:t>………………</w:t>
      </w:r>
      <w:r w:rsidR="00EB7788">
        <w:rPr>
          <w:sz w:val="26"/>
          <w:szCs w:val="26"/>
          <w:lang w:val="en-US"/>
        </w:rPr>
        <w:t>………………………………</w:t>
      </w:r>
      <w:r w:rsidR="00931EF4">
        <w:rPr>
          <w:sz w:val="26"/>
          <w:szCs w:val="26"/>
          <w:lang w:val="en-US"/>
        </w:rPr>
        <w:t>.</w:t>
      </w:r>
      <w:r w:rsidR="00EB7788">
        <w:rPr>
          <w:sz w:val="26"/>
          <w:szCs w:val="26"/>
          <w:lang w:val="en-US"/>
        </w:rPr>
        <w:t>…</w:t>
      </w:r>
      <w:r w:rsidRPr="004127DA">
        <w:rPr>
          <w:sz w:val="26"/>
          <w:szCs w:val="26"/>
          <w:lang w:val="en-US"/>
        </w:rPr>
        <w:t>…….24</w:t>
      </w:r>
    </w:p>
    <w:p w:rsidR="001B72DC" w:rsidRPr="004127DA" w:rsidRDefault="001B72DC"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Olympic Pipeline Co.</w:t>
      </w:r>
      <w:r w:rsidRPr="004127DA">
        <w:rPr>
          <w:sz w:val="26"/>
          <w:szCs w:val="26"/>
        </w:rPr>
        <w:t xml:space="preserve">, Docket No. TO-011472, </w:t>
      </w:r>
    </w:p>
    <w:p w:rsidR="001B72DC" w:rsidRPr="004127DA" w:rsidRDefault="004127DA" w:rsidP="00931EF4">
      <w:pPr>
        <w:pStyle w:val="BodyTextIndent"/>
        <w:tabs>
          <w:tab w:val="left" w:pos="720"/>
          <w:tab w:val="right" w:leader="dot" w:pos="8640"/>
        </w:tabs>
        <w:spacing w:line="240" w:lineRule="auto"/>
        <w:ind w:firstLine="0"/>
        <w:rPr>
          <w:sz w:val="26"/>
          <w:szCs w:val="26"/>
          <w:u w:val="single"/>
          <w:lang w:val="en-US"/>
        </w:rPr>
      </w:pPr>
      <w:r w:rsidRPr="004127DA">
        <w:rPr>
          <w:sz w:val="26"/>
          <w:szCs w:val="26"/>
        </w:rPr>
        <w:t>Eight Suppl. Order (Mar. 29, 2002)</w:t>
      </w:r>
      <w:r w:rsidRPr="004127DA">
        <w:rPr>
          <w:sz w:val="26"/>
          <w:szCs w:val="26"/>
          <w:lang w:val="en-US"/>
        </w:rPr>
        <w:t>……</w:t>
      </w:r>
      <w:r w:rsidR="00EB7788">
        <w:rPr>
          <w:sz w:val="26"/>
          <w:szCs w:val="26"/>
          <w:lang w:val="en-US"/>
        </w:rPr>
        <w:t>…………………………………..</w:t>
      </w:r>
      <w:r w:rsidRPr="004127DA">
        <w:rPr>
          <w:sz w:val="26"/>
          <w:szCs w:val="26"/>
          <w:lang w:val="en-US"/>
        </w:rPr>
        <w:t xml:space="preserve">……. </w:t>
      </w:r>
      <w:r w:rsidR="00BF7DD3">
        <w:rPr>
          <w:sz w:val="26"/>
          <w:szCs w:val="26"/>
          <w:lang w:val="en-US"/>
        </w:rPr>
        <w:t>29</w:t>
      </w:r>
    </w:p>
    <w:p w:rsidR="00CB5E6A" w:rsidRPr="004127DA" w:rsidRDefault="00CB5E6A" w:rsidP="00931EF4">
      <w:pPr>
        <w:pStyle w:val="BodyTextIndent"/>
        <w:tabs>
          <w:tab w:val="left" w:pos="720"/>
          <w:tab w:val="right" w:leader="dot" w:pos="8640"/>
        </w:tabs>
        <w:spacing w:line="240" w:lineRule="auto"/>
        <w:ind w:firstLine="0"/>
        <w:rPr>
          <w:rStyle w:val="UTCStyleChar"/>
          <w:sz w:val="26"/>
          <w:szCs w:val="26"/>
          <w:lang w:val="en-US"/>
        </w:rPr>
      </w:pPr>
    </w:p>
    <w:p w:rsidR="004127DA" w:rsidRPr="004127DA" w:rsidRDefault="004127DA" w:rsidP="00931EF4">
      <w:pPr>
        <w:pStyle w:val="FootnoteText"/>
        <w:ind w:left="-360" w:right="-180" w:firstLine="360"/>
        <w:rPr>
          <w:sz w:val="26"/>
          <w:szCs w:val="26"/>
        </w:rPr>
      </w:pPr>
      <w:r w:rsidRPr="004127DA">
        <w:rPr>
          <w:sz w:val="26"/>
          <w:szCs w:val="26"/>
          <w:u w:val="single"/>
        </w:rPr>
        <w:t>WUTC v. Olympic Pipeline Co.</w:t>
      </w:r>
      <w:r w:rsidRPr="004127DA">
        <w:rPr>
          <w:sz w:val="26"/>
          <w:szCs w:val="26"/>
        </w:rPr>
        <w:t xml:space="preserve">, Docket No. TO 011472, </w:t>
      </w:r>
    </w:p>
    <w:p w:rsidR="004127DA" w:rsidRPr="004127DA" w:rsidRDefault="004127DA" w:rsidP="00931EF4">
      <w:pPr>
        <w:pStyle w:val="FootnoteText"/>
        <w:ind w:left="-360" w:right="-180" w:firstLine="360"/>
        <w:rPr>
          <w:sz w:val="26"/>
          <w:szCs w:val="26"/>
        </w:rPr>
      </w:pPr>
      <w:r w:rsidRPr="004127DA">
        <w:rPr>
          <w:sz w:val="26"/>
          <w:szCs w:val="26"/>
        </w:rPr>
        <w:t>Twentieth Supp. Order at 5-6, 44 (Sept. 27, 2002)……</w:t>
      </w:r>
      <w:r w:rsidR="00EB7788">
        <w:rPr>
          <w:sz w:val="26"/>
          <w:szCs w:val="26"/>
        </w:rPr>
        <w:t>…………………….</w:t>
      </w:r>
      <w:r w:rsidRPr="004127DA">
        <w:rPr>
          <w:sz w:val="26"/>
          <w:szCs w:val="26"/>
        </w:rPr>
        <w:t>……..32</w:t>
      </w:r>
    </w:p>
    <w:p w:rsidR="0064055A" w:rsidRPr="004127DA" w:rsidRDefault="0064055A" w:rsidP="00931EF4">
      <w:pPr>
        <w:pStyle w:val="BodyTextIndent"/>
        <w:tabs>
          <w:tab w:val="left" w:pos="720"/>
          <w:tab w:val="right" w:leader="dot" w:pos="8640"/>
        </w:tabs>
        <w:spacing w:line="240" w:lineRule="auto"/>
        <w:ind w:firstLine="0"/>
        <w:rPr>
          <w:rStyle w:val="UTCStyleChar"/>
          <w:sz w:val="26"/>
          <w:szCs w:val="26"/>
          <w:lang w:val="en-US"/>
        </w:rPr>
      </w:pPr>
    </w:p>
    <w:p w:rsidR="0064055A" w:rsidRPr="004127DA" w:rsidRDefault="0064055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 xml:space="preserve">WUTC v. </w:t>
      </w:r>
      <w:r w:rsidR="00F922FE" w:rsidRPr="004127DA">
        <w:rPr>
          <w:sz w:val="26"/>
          <w:szCs w:val="26"/>
          <w:u w:val="single"/>
          <w:lang w:val="en-US"/>
        </w:rPr>
        <w:t>PSE</w:t>
      </w:r>
      <w:r w:rsidRPr="004127DA">
        <w:rPr>
          <w:sz w:val="26"/>
          <w:szCs w:val="26"/>
          <w:lang w:val="en-US"/>
        </w:rPr>
        <w:t>,</w:t>
      </w:r>
      <w:r w:rsidR="005F3F37" w:rsidRPr="004127DA">
        <w:rPr>
          <w:sz w:val="26"/>
          <w:szCs w:val="26"/>
          <w:lang w:val="en-US"/>
        </w:rPr>
        <w:t xml:space="preserve"> </w:t>
      </w:r>
      <w:r w:rsidRPr="004127DA">
        <w:rPr>
          <w:sz w:val="26"/>
          <w:szCs w:val="26"/>
        </w:rPr>
        <w:t xml:space="preserve">Docket No. </w:t>
      </w:r>
      <w:r w:rsidR="00A26752" w:rsidRPr="004127DA">
        <w:rPr>
          <w:sz w:val="26"/>
          <w:szCs w:val="26"/>
          <w:lang w:val="en-US"/>
        </w:rPr>
        <w:t>UE-</w:t>
      </w:r>
      <w:r w:rsidRPr="004127DA">
        <w:rPr>
          <w:sz w:val="26"/>
          <w:szCs w:val="26"/>
        </w:rPr>
        <w:t>011570</w:t>
      </w:r>
      <w:r w:rsidR="00F922FE" w:rsidRPr="004127DA">
        <w:rPr>
          <w:sz w:val="26"/>
          <w:szCs w:val="26"/>
          <w:lang w:val="en-US"/>
        </w:rPr>
        <w:t xml:space="preserve"> and </w:t>
      </w:r>
      <w:r w:rsidR="007C58C7" w:rsidRPr="004127DA">
        <w:rPr>
          <w:sz w:val="26"/>
          <w:szCs w:val="26"/>
          <w:lang w:val="en-US"/>
        </w:rPr>
        <w:t>UG-011571,</w:t>
      </w:r>
    </w:p>
    <w:p w:rsidR="0064055A" w:rsidRPr="004127DA" w:rsidRDefault="00A26752" w:rsidP="00931EF4">
      <w:pPr>
        <w:pStyle w:val="BodyTextIndent"/>
        <w:tabs>
          <w:tab w:val="left" w:pos="720"/>
          <w:tab w:val="right" w:leader="dot" w:pos="8640"/>
        </w:tabs>
        <w:spacing w:line="240" w:lineRule="auto"/>
        <w:ind w:firstLine="0"/>
        <w:rPr>
          <w:sz w:val="26"/>
          <w:szCs w:val="26"/>
          <w:lang w:val="en-US"/>
        </w:rPr>
      </w:pPr>
      <w:r w:rsidRPr="004127DA">
        <w:rPr>
          <w:sz w:val="26"/>
          <w:szCs w:val="26"/>
        </w:rPr>
        <w:t>Order</w:t>
      </w:r>
      <w:r w:rsidR="007C58C7" w:rsidRPr="004127DA">
        <w:rPr>
          <w:sz w:val="26"/>
          <w:szCs w:val="26"/>
          <w:lang w:val="en-US"/>
        </w:rPr>
        <w:t xml:space="preserve"> </w:t>
      </w:r>
      <w:r w:rsidR="0064055A" w:rsidRPr="004127DA">
        <w:rPr>
          <w:sz w:val="26"/>
          <w:szCs w:val="26"/>
        </w:rPr>
        <w:t>12</w:t>
      </w:r>
      <w:r w:rsidR="004A210A" w:rsidRPr="004127DA">
        <w:rPr>
          <w:sz w:val="26"/>
          <w:szCs w:val="26"/>
          <w:lang w:val="en-US"/>
        </w:rPr>
        <w:t xml:space="preserve"> (June 20, 2002)...</w:t>
      </w:r>
      <w:r w:rsidRPr="004127DA">
        <w:rPr>
          <w:sz w:val="26"/>
          <w:szCs w:val="26"/>
          <w:lang w:val="en-US"/>
        </w:rPr>
        <w:t>………………………………………</w:t>
      </w:r>
      <w:r w:rsidR="00EB7788">
        <w:rPr>
          <w:sz w:val="26"/>
          <w:szCs w:val="26"/>
          <w:lang w:val="en-US"/>
        </w:rPr>
        <w:t>………</w:t>
      </w:r>
      <w:r w:rsidRPr="004127DA">
        <w:rPr>
          <w:sz w:val="26"/>
          <w:szCs w:val="26"/>
          <w:lang w:val="en-US"/>
        </w:rPr>
        <w:t>………...</w:t>
      </w:r>
      <w:r w:rsidR="000F184A" w:rsidRPr="004127DA">
        <w:rPr>
          <w:sz w:val="26"/>
          <w:szCs w:val="26"/>
          <w:lang w:val="en-US"/>
        </w:rPr>
        <w:t>5</w:t>
      </w:r>
    </w:p>
    <w:p w:rsidR="005F3F37" w:rsidRPr="004127DA" w:rsidRDefault="005F3F37" w:rsidP="00931EF4">
      <w:pPr>
        <w:pStyle w:val="BodyTextIndent"/>
        <w:tabs>
          <w:tab w:val="left" w:pos="720"/>
          <w:tab w:val="right" w:leader="dot" w:pos="8640"/>
        </w:tabs>
        <w:spacing w:line="240" w:lineRule="auto"/>
        <w:ind w:firstLine="0"/>
        <w:rPr>
          <w:sz w:val="26"/>
          <w:szCs w:val="26"/>
          <w:lang w:val="en-US"/>
        </w:rPr>
      </w:pPr>
    </w:p>
    <w:p w:rsidR="004127DA" w:rsidRPr="004127DA" w:rsidRDefault="004127DA" w:rsidP="00931EF4">
      <w:pPr>
        <w:pStyle w:val="FootnoteText"/>
        <w:tabs>
          <w:tab w:val="left" w:pos="0"/>
        </w:tabs>
        <w:ind w:right="-180"/>
        <w:rPr>
          <w:sz w:val="26"/>
          <w:szCs w:val="26"/>
        </w:rPr>
      </w:pPr>
      <w:r w:rsidRPr="004127DA">
        <w:rPr>
          <w:sz w:val="26"/>
          <w:szCs w:val="26"/>
          <w:u w:val="single"/>
        </w:rPr>
        <w:t>WUTC v. PSE,</w:t>
      </w:r>
      <w:r w:rsidRPr="004127DA">
        <w:rPr>
          <w:sz w:val="26"/>
          <w:szCs w:val="26"/>
        </w:rPr>
        <w:t xml:space="preserve"> Docket Nos. UE-121697, UG-121705, UE-130137 and UG-130138, (March 22, 2013)………………………………………</w:t>
      </w:r>
      <w:r w:rsidR="00EB7788">
        <w:rPr>
          <w:sz w:val="26"/>
          <w:szCs w:val="26"/>
        </w:rPr>
        <w:t>………………...</w:t>
      </w:r>
      <w:r w:rsidRPr="004127DA">
        <w:rPr>
          <w:sz w:val="26"/>
          <w:szCs w:val="26"/>
        </w:rPr>
        <w:t>…..8, 10, 21</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lastRenderedPageBreak/>
        <w:t xml:space="preserve">WUTC v. </w:t>
      </w:r>
      <w:r w:rsidRPr="004127DA">
        <w:rPr>
          <w:sz w:val="26"/>
          <w:szCs w:val="26"/>
          <w:u w:val="single"/>
          <w:lang w:val="en-US"/>
        </w:rPr>
        <w:t>PSE</w:t>
      </w:r>
      <w:r w:rsidRPr="004127DA">
        <w:rPr>
          <w:sz w:val="26"/>
          <w:szCs w:val="26"/>
          <w:lang w:val="en-US"/>
        </w:rPr>
        <w:t xml:space="preserve">, Docket No. UE-121697, </w:t>
      </w:r>
    </w:p>
    <w:p w:rsidR="004127DA" w:rsidRPr="004127DA" w:rsidRDefault="004127DA" w:rsidP="00931EF4">
      <w:pPr>
        <w:pStyle w:val="BodyTextIndent"/>
        <w:tabs>
          <w:tab w:val="left" w:pos="720"/>
          <w:tab w:val="right" w:leader="dot" w:pos="8640"/>
        </w:tabs>
        <w:spacing w:line="240" w:lineRule="auto"/>
        <w:ind w:firstLine="0"/>
        <w:rPr>
          <w:sz w:val="26"/>
          <w:szCs w:val="26"/>
          <w:lang w:val="en-US"/>
        </w:rPr>
      </w:pPr>
      <w:r w:rsidRPr="004127DA">
        <w:rPr>
          <w:sz w:val="26"/>
          <w:szCs w:val="26"/>
        </w:rPr>
        <w:t>Order 04</w:t>
      </w:r>
      <w:r w:rsidRPr="004127DA">
        <w:rPr>
          <w:sz w:val="26"/>
          <w:szCs w:val="26"/>
          <w:lang w:val="en-US"/>
        </w:rPr>
        <w:t>……………………………………………………</w:t>
      </w:r>
      <w:r w:rsidR="00EB7788">
        <w:rPr>
          <w:sz w:val="26"/>
          <w:szCs w:val="26"/>
          <w:lang w:val="en-US"/>
        </w:rPr>
        <w:t>………</w:t>
      </w:r>
      <w:r w:rsidRPr="004127DA">
        <w:rPr>
          <w:sz w:val="26"/>
          <w:szCs w:val="26"/>
          <w:lang w:val="en-US"/>
        </w:rPr>
        <w:t>…………11, 23</w:t>
      </w:r>
    </w:p>
    <w:p w:rsidR="004127DA" w:rsidRPr="004127DA" w:rsidRDefault="004127DA" w:rsidP="00931EF4">
      <w:pPr>
        <w:pStyle w:val="BodyTextIndent"/>
        <w:tabs>
          <w:tab w:val="left" w:pos="720"/>
          <w:tab w:val="right" w:leader="dot" w:pos="8640"/>
        </w:tabs>
        <w:spacing w:line="240" w:lineRule="auto"/>
        <w:ind w:firstLine="0"/>
        <w:rPr>
          <w:sz w:val="26"/>
          <w:szCs w:val="26"/>
          <w:u w:val="single"/>
          <w:lang w:val="en-US"/>
        </w:rPr>
      </w:pPr>
    </w:p>
    <w:p w:rsidR="005F3F37" w:rsidRPr="004127DA" w:rsidRDefault="005F3F37"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 xml:space="preserve">WUTC v. </w:t>
      </w:r>
      <w:r w:rsidR="007C58C7" w:rsidRPr="004127DA">
        <w:rPr>
          <w:sz w:val="26"/>
          <w:szCs w:val="26"/>
          <w:u w:val="single"/>
          <w:lang w:val="en-US"/>
        </w:rPr>
        <w:t>PSE</w:t>
      </w:r>
      <w:r w:rsidRPr="004127DA">
        <w:rPr>
          <w:sz w:val="26"/>
          <w:szCs w:val="26"/>
          <w:lang w:val="en-US"/>
        </w:rPr>
        <w:t>, Docket No. UE-</w:t>
      </w:r>
      <w:r w:rsidR="007C58C7" w:rsidRPr="004127DA">
        <w:rPr>
          <w:sz w:val="26"/>
          <w:szCs w:val="26"/>
          <w:lang w:val="en-US"/>
        </w:rPr>
        <w:t>111048</w:t>
      </w:r>
      <w:r w:rsidRPr="004127DA">
        <w:rPr>
          <w:sz w:val="26"/>
          <w:szCs w:val="26"/>
          <w:lang w:val="en-US"/>
        </w:rPr>
        <w:t xml:space="preserve"> </w:t>
      </w:r>
      <w:r w:rsidR="007C58C7" w:rsidRPr="004127DA">
        <w:rPr>
          <w:sz w:val="26"/>
          <w:szCs w:val="26"/>
          <w:lang w:val="en-US"/>
        </w:rPr>
        <w:t>and UG-111049,</w:t>
      </w:r>
      <w:r w:rsidRPr="004127DA">
        <w:rPr>
          <w:sz w:val="26"/>
          <w:szCs w:val="26"/>
          <w:lang w:val="en-US"/>
        </w:rPr>
        <w:t xml:space="preserve"> </w:t>
      </w:r>
    </w:p>
    <w:p w:rsidR="005F3F37" w:rsidRPr="004127DA" w:rsidRDefault="005F3F37" w:rsidP="00931EF4">
      <w:pPr>
        <w:pStyle w:val="BodyTextIndent"/>
        <w:tabs>
          <w:tab w:val="left" w:pos="720"/>
          <w:tab w:val="right" w:leader="dot" w:pos="8640"/>
        </w:tabs>
        <w:spacing w:line="240" w:lineRule="auto"/>
        <w:ind w:firstLine="0"/>
        <w:rPr>
          <w:sz w:val="26"/>
          <w:szCs w:val="26"/>
          <w:lang w:val="en-US"/>
        </w:rPr>
      </w:pPr>
      <w:r w:rsidRPr="004127DA">
        <w:rPr>
          <w:sz w:val="26"/>
          <w:szCs w:val="26"/>
          <w:lang w:val="en-US"/>
        </w:rPr>
        <w:t xml:space="preserve">Order </w:t>
      </w:r>
      <w:r w:rsidR="004B4530" w:rsidRPr="004127DA">
        <w:rPr>
          <w:sz w:val="26"/>
          <w:szCs w:val="26"/>
          <w:lang w:val="en-US"/>
        </w:rPr>
        <w:t>0</w:t>
      </w:r>
      <w:r w:rsidRPr="004127DA">
        <w:rPr>
          <w:sz w:val="26"/>
          <w:szCs w:val="26"/>
          <w:lang w:val="en-US"/>
        </w:rPr>
        <w:t>8</w:t>
      </w:r>
      <w:r w:rsidR="00982967" w:rsidRPr="004127DA">
        <w:rPr>
          <w:sz w:val="26"/>
          <w:szCs w:val="26"/>
          <w:lang w:val="en-US"/>
        </w:rPr>
        <w:t xml:space="preserve"> (May 7, 2012)</w:t>
      </w:r>
      <w:r w:rsidRPr="004127DA">
        <w:rPr>
          <w:sz w:val="26"/>
          <w:szCs w:val="26"/>
          <w:lang w:val="en-US"/>
        </w:rPr>
        <w:t xml:space="preserve"> </w:t>
      </w:r>
      <w:r w:rsidR="007C58C7" w:rsidRPr="004127DA">
        <w:rPr>
          <w:sz w:val="26"/>
          <w:szCs w:val="26"/>
          <w:lang w:val="en-US"/>
        </w:rPr>
        <w:t>…………</w:t>
      </w:r>
      <w:r w:rsidRPr="004127DA">
        <w:rPr>
          <w:sz w:val="26"/>
          <w:szCs w:val="26"/>
          <w:lang w:val="en-US"/>
        </w:rPr>
        <w:t>……………………………</w:t>
      </w:r>
      <w:r w:rsidR="00EB7788">
        <w:rPr>
          <w:sz w:val="26"/>
          <w:szCs w:val="26"/>
          <w:lang w:val="en-US"/>
        </w:rPr>
        <w:t>……</w:t>
      </w:r>
      <w:r w:rsidRPr="004127DA">
        <w:rPr>
          <w:sz w:val="26"/>
          <w:szCs w:val="26"/>
          <w:lang w:val="en-US"/>
        </w:rPr>
        <w:t>…..</w:t>
      </w:r>
      <w:r w:rsidR="00982967" w:rsidRPr="004127DA">
        <w:rPr>
          <w:sz w:val="26"/>
          <w:szCs w:val="26"/>
          <w:lang w:val="en-US"/>
        </w:rPr>
        <w:t xml:space="preserve">11, </w:t>
      </w:r>
      <w:r w:rsidR="007515A0" w:rsidRPr="004127DA">
        <w:rPr>
          <w:sz w:val="26"/>
          <w:szCs w:val="26"/>
          <w:lang w:val="en-US"/>
        </w:rPr>
        <w:t>passim</w:t>
      </w:r>
    </w:p>
    <w:p w:rsidR="00310E9F" w:rsidRPr="004127DA" w:rsidRDefault="00310E9F" w:rsidP="00931EF4">
      <w:pPr>
        <w:pStyle w:val="BodyTextIndent"/>
        <w:tabs>
          <w:tab w:val="left" w:pos="720"/>
          <w:tab w:val="right" w:leader="dot" w:pos="8640"/>
        </w:tabs>
        <w:spacing w:line="240" w:lineRule="auto"/>
        <w:ind w:firstLine="0"/>
        <w:rPr>
          <w:sz w:val="26"/>
          <w:szCs w:val="26"/>
          <w:lang w:val="en-US"/>
        </w:rPr>
      </w:pPr>
    </w:p>
    <w:p w:rsidR="00310E9F" w:rsidRPr="004127DA" w:rsidRDefault="00310E9F" w:rsidP="00931EF4">
      <w:pPr>
        <w:pStyle w:val="BodyTextIndent"/>
        <w:tabs>
          <w:tab w:val="left" w:pos="720"/>
          <w:tab w:val="right" w:leader="dot" w:pos="8640"/>
        </w:tabs>
        <w:spacing w:line="240" w:lineRule="auto"/>
        <w:ind w:firstLine="0"/>
        <w:rPr>
          <w:sz w:val="26"/>
          <w:szCs w:val="26"/>
          <w:lang w:val="en-US"/>
        </w:rPr>
      </w:pPr>
      <w:r w:rsidRPr="004127DA">
        <w:rPr>
          <w:sz w:val="26"/>
          <w:szCs w:val="26"/>
          <w:u w:val="single"/>
        </w:rPr>
        <w:t>WUTC v. Wash. Nat. Gas Co.</w:t>
      </w:r>
      <w:r w:rsidRPr="004127DA">
        <w:rPr>
          <w:sz w:val="26"/>
          <w:szCs w:val="26"/>
        </w:rPr>
        <w:t xml:space="preserve">, Cause No. U-80-111, </w:t>
      </w:r>
    </w:p>
    <w:p w:rsidR="00310E9F" w:rsidRPr="004127DA" w:rsidRDefault="00310E9F" w:rsidP="00931EF4">
      <w:pPr>
        <w:pStyle w:val="BodyTextIndent"/>
        <w:tabs>
          <w:tab w:val="left" w:pos="720"/>
          <w:tab w:val="right" w:leader="dot" w:pos="8640"/>
        </w:tabs>
        <w:spacing w:line="240" w:lineRule="auto"/>
        <w:ind w:firstLine="0"/>
        <w:rPr>
          <w:sz w:val="26"/>
          <w:szCs w:val="26"/>
          <w:lang w:val="en-US"/>
        </w:rPr>
      </w:pPr>
      <w:r w:rsidRPr="004127DA">
        <w:rPr>
          <w:sz w:val="26"/>
          <w:szCs w:val="26"/>
        </w:rPr>
        <w:t>Third Supp. Order (Sept. 24, 1981)…</w:t>
      </w:r>
      <w:r w:rsidRPr="004127DA">
        <w:rPr>
          <w:sz w:val="26"/>
          <w:szCs w:val="26"/>
          <w:lang w:val="en-US"/>
        </w:rPr>
        <w:t>………</w:t>
      </w:r>
      <w:r w:rsidR="00EB7788">
        <w:rPr>
          <w:sz w:val="26"/>
          <w:szCs w:val="26"/>
          <w:lang w:val="en-US"/>
        </w:rPr>
        <w:t>…………………………………..</w:t>
      </w:r>
      <w:r w:rsidRPr="004127DA">
        <w:rPr>
          <w:sz w:val="26"/>
          <w:szCs w:val="26"/>
          <w:lang w:val="en-US"/>
        </w:rPr>
        <w:t>..32</w:t>
      </w:r>
      <w:r w:rsidRPr="004127DA">
        <w:rPr>
          <w:sz w:val="26"/>
          <w:szCs w:val="26"/>
        </w:rPr>
        <w:t xml:space="preserve"> </w:t>
      </w:r>
    </w:p>
    <w:p w:rsidR="00E90681" w:rsidRPr="004127DA" w:rsidRDefault="00E90681" w:rsidP="00931EF4">
      <w:pPr>
        <w:rPr>
          <w:sz w:val="26"/>
          <w:szCs w:val="26"/>
        </w:rPr>
      </w:pPr>
    </w:p>
    <w:p w:rsidR="00E90681" w:rsidRPr="004127DA" w:rsidRDefault="00AD56FC" w:rsidP="00931EF4">
      <w:pPr>
        <w:pStyle w:val="TableofAuthorities"/>
        <w:rPr>
          <w:b/>
          <w:sz w:val="26"/>
          <w:szCs w:val="26"/>
        </w:rPr>
      </w:pPr>
      <w:r w:rsidRPr="004127DA">
        <w:rPr>
          <w:b/>
          <w:sz w:val="26"/>
          <w:szCs w:val="26"/>
        </w:rPr>
        <w:tab/>
      </w:r>
      <w:r w:rsidRPr="004127DA">
        <w:rPr>
          <w:b/>
          <w:sz w:val="26"/>
          <w:szCs w:val="26"/>
        </w:rPr>
        <w:tab/>
      </w:r>
      <w:r w:rsidRPr="004127DA">
        <w:rPr>
          <w:b/>
          <w:sz w:val="26"/>
          <w:szCs w:val="26"/>
        </w:rPr>
        <w:tab/>
      </w:r>
      <w:r w:rsidRPr="004127DA">
        <w:rPr>
          <w:b/>
          <w:sz w:val="26"/>
          <w:szCs w:val="26"/>
        </w:rPr>
        <w:tab/>
      </w:r>
      <w:r w:rsidRPr="004127DA">
        <w:rPr>
          <w:b/>
          <w:sz w:val="26"/>
          <w:szCs w:val="26"/>
        </w:rPr>
        <w:tab/>
      </w:r>
    </w:p>
    <w:p w:rsidR="00AD56FC" w:rsidRPr="004127DA" w:rsidRDefault="00AD56FC" w:rsidP="00931EF4">
      <w:pPr>
        <w:pStyle w:val="TableofAuthorities"/>
        <w:ind w:left="3120" w:firstLine="480"/>
        <w:rPr>
          <w:sz w:val="26"/>
          <w:szCs w:val="26"/>
        </w:rPr>
      </w:pPr>
      <w:r w:rsidRPr="004127DA">
        <w:rPr>
          <w:b/>
          <w:sz w:val="26"/>
          <w:szCs w:val="26"/>
          <w:u w:val="single"/>
        </w:rPr>
        <w:t>Statutes and Rules</w:t>
      </w:r>
      <w:r w:rsidR="0090337F">
        <w:rPr>
          <w:sz w:val="26"/>
          <w:szCs w:val="26"/>
        </w:rPr>
        <w:tab/>
      </w:r>
      <w:r w:rsidRPr="004127DA">
        <w:rPr>
          <w:sz w:val="26"/>
          <w:szCs w:val="26"/>
        </w:rPr>
        <w:t xml:space="preserve">            </w:t>
      </w:r>
      <w:r w:rsidR="0090337F">
        <w:rPr>
          <w:sz w:val="26"/>
          <w:szCs w:val="26"/>
        </w:rPr>
        <w:tab/>
      </w:r>
      <w:r w:rsidR="0090337F">
        <w:rPr>
          <w:sz w:val="26"/>
          <w:szCs w:val="26"/>
        </w:rPr>
        <w:tab/>
      </w:r>
      <w:r w:rsidRPr="004127DA">
        <w:rPr>
          <w:sz w:val="26"/>
          <w:szCs w:val="26"/>
        </w:rPr>
        <w:t xml:space="preserve"> </w:t>
      </w:r>
      <w:r w:rsidRPr="004127DA">
        <w:rPr>
          <w:b/>
          <w:sz w:val="26"/>
          <w:szCs w:val="26"/>
          <w:u w:val="single"/>
        </w:rPr>
        <w:t>Page</w:t>
      </w:r>
    </w:p>
    <w:p w:rsidR="00310E9F" w:rsidRPr="004127DA" w:rsidRDefault="00310E9F" w:rsidP="00931EF4">
      <w:pPr>
        <w:pStyle w:val="WUTCParagraph"/>
        <w:numPr>
          <w:ilvl w:val="0"/>
          <w:numId w:val="0"/>
        </w:numPr>
        <w:tabs>
          <w:tab w:val="clear" w:pos="1440"/>
          <w:tab w:val="left" w:pos="0"/>
        </w:tabs>
        <w:spacing w:before="120"/>
        <w:rPr>
          <w:sz w:val="26"/>
          <w:szCs w:val="26"/>
          <w:lang w:val="en-US"/>
        </w:rPr>
      </w:pPr>
      <w:r w:rsidRPr="004127DA">
        <w:rPr>
          <w:sz w:val="26"/>
          <w:szCs w:val="26"/>
          <w:lang w:val="en-US"/>
        </w:rPr>
        <w:t xml:space="preserve">RCW </w:t>
      </w:r>
      <w:r w:rsidRPr="004127DA">
        <w:rPr>
          <w:sz w:val="26"/>
          <w:szCs w:val="26"/>
        </w:rPr>
        <w:t>§</w:t>
      </w:r>
      <w:r w:rsidR="00931EF4">
        <w:rPr>
          <w:sz w:val="26"/>
          <w:szCs w:val="26"/>
          <w:lang w:val="en-US"/>
        </w:rPr>
        <w:t xml:space="preserve"> 19.258.</w:t>
      </w:r>
      <w:r w:rsidRPr="004127DA">
        <w:rPr>
          <w:sz w:val="26"/>
          <w:szCs w:val="26"/>
          <w:lang w:val="en-US"/>
        </w:rPr>
        <w:t>040……………………………………………</w:t>
      </w:r>
      <w:r w:rsidR="004127DA" w:rsidRPr="004127DA">
        <w:rPr>
          <w:sz w:val="26"/>
          <w:szCs w:val="26"/>
          <w:lang w:val="en-US"/>
        </w:rPr>
        <w:t>…...</w:t>
      </w:r>
      <w:r w:rsidRPr="004127DA">
        <w:rPr>
          <w:sz w:val="26"/>
          <w:szCs w:val="26"/>
          <w:lang w:val="en-US"/>
        </w:rPr>
        <w:t>…</w:t>
      </w:r>
      <w:r w:rsidR="004127DA" w:rsidRPr="004127DA">
        <w:rPr>
          <w:sz w:val="26"/>
          <w:szCs w:val="26"/>
          <w:lang w:val="en-US"/>
        </w:rPr>
        <w:t>…………</w:t>
      </w:r>
      <w:r w:rsidRPr="004127DA">
        <w:rPr>
          <w:sz w:val="26"/>
          <w:szCs w:val="26"/>
          <w:lang w:val="en-US"/>
        </w:rPr>
        <w:t>.46</w:t>
      </w:r>
    </w:p>
    <w:p w:rsidR="00114AEA" w:rsidRPr="004127DA" w:rsidRDefault="007515A0" w:rsidP="00931EF4">
      <w:pPr>
        <w:pStyle w:val="TableofAuthorities"/>
        <w:spacing w:line="480" w:lineRule="auto"/>
        <w:rPr>
          <w:sz w:val="26"/>
          <w:szCs w:val="26"/>
        </w:rPr>
      </w:pPr>
      <w:r w:rsidRPr="004127DA">
        <w:rPr>
          <w:sz w:val="26"/>
          <w:szCs w:val="26"/>
        </w:rPr>
        <w:t>RCW § 80.04.130</w:t>
      </w:r>
      <w:r w:rsidR="004127DA">
        <w:rPr>
          <w:sz w:val="26"/>
          <w:szCs w:val="26"/>
        </w:rPr>
        <w:t>…….</w:t>
      </w:r>
      <w:r w:rsidR="00310E9F" w:rsidRPr="004127DA">
        <w:rPr>
          <w:sz w:val="26"/>
          <w:szCs w:val="26"/>
        </w:rPr>
        <w:t>……………………………</w:t>
      </w:r>
      <w:r w:rsidR="004127DA" w:rsidRPr="004127DA">
        <w:rPr>
          <w:sz w:val="26"/>
          <w:szCs w:val="26"/>
        </w:rPr>
        <w:t>…………….</w:t>
      </w:r>
      <w:r w:rsidR="00AD56FC" w:rsidRPr="004127DA">
        <w:rPr>
          <w:sz w:val="26"/>
          <w:szCs w:val="26"/>
        </w:rPr>
        <w:t>.</w:t>
      </w:r>
      <w:r w:rsidR="00FB5367" w:rsidRPr="004127DA">
        <w:rPr>
          <w:sz w:val="26"/>
          <w:szCs w:val="26"/>
        </w:rPr>
        <w:t>24</w:t>
      </w:r>
      <w:r w:rsidRPr="004127DA">
        <w:rPr>
          <w:sz w:val="26"/>
          <w:szCs w:val="26"/>
        </w:rPr>
        <w:t>, 26, 29, 53, 56</w:t>
      </w:r>
    </w:p>
    <w:p w:rsidR="00727464" w:rsidRPr="004127DA" w:rsidRDefault="00114AEA" w:rsidP="00931EF4">
      <w:pPr>
        <w:spacing w:line="480" w:lineRule="auto"/>
        <w:rPr>
          <w:sz w:val="26"/>
          <w:szCs w:val="26"/>
        </w:rPr>
      </w:pPr>
      <w:r w:rsidRPr="004127DA">
        <w:rPr>
          <w:sz w:val="26"/>
          <w:szCs w:val="26"/>
        </w:rPr>
        <w:t>RCW § 34.05.476………………………………………</w:t>
      </w:r>
      <w:r w:rsidR="00310E9F" w:rsidRPr="004127DA">
        <w:rPr>
          <w:sz w:val="26"/>
          <w:szCs w:val="26"/>
        </w:rPr>
        <w:t>.......</w:t>
      </w:r>
      <w:r w:rsidR="004127DA" w:rsidRPr="004127DA">
        <w:rPr>
          <w:sz w:val="26"/>
          <w:szCs w:val="26"/>
        </w:rPr>
        <w:t>............</w:t>
      </w:r>
      <w:r w:rsidR="00310E9F" w:rsidRPr="004127DA">
        <w:rPr>
          <w:sz w:val="26"/>
          <w:szCs w:val="26"/>
        </w:rPr>
        <w:t>....</w:t>
      </w:r>
      <w:r w:rsidR="004127DA" w:rsidRPr="004127DA">
        <w:rPr>
          <w:sz w:val="26"/>
          <w:szCs w:val="26"/>
        </w:rPr>
        <w:t>........</w:t>
      </w:r>
      <w:r w:rsidRPr="004127DA">
        <w:rPr>
          <w:sz w:val="26"/>
          <w:szCs w:val="26"/>
        </w:rPr>
        <w:t>.</w:t>
      </w:r>
      <w:r w:rsidR="00FB5367" w:rsidRPr="004127DA">
        <w:rPr>
          <w:sz w:val="26"/>
          <w:szCs w:val="26"/>
        </w:rPr>
        <w:t>19</w:t>
      </w:r>
      <w:r w:rsidR="007515A0" w:rsidRPr="004127DA">
        <w:rPr>
          <w:sz w:val="26"/>
          <w:szCs w:val="26"/>
        </w:rPr>
        <w:t>, 21</w:t>
      </w:r>
    </w:p>
    <w:p w:rsidR="00310E9F" w:rsidRPr="004127DA" w:rsidRDefault="007515A0" w:rsidP="00931EF4">
      <w:pPr>
        <w:pStyle w:val="WUTCParagraph"/>
        <w:numPr>
          <w:ilvl w:val="0"/>
          <w:numId w:val="0"/>
        </w:numPr>
        <w:tabs>
          <w:tab w:val="clear" w:pos="1440"/>
          <w:tab w:val="left" w:pos="0"/>
        </w:tabs>
        <w:rPr>
          <w:sz w:val="26"/>
          <w:szCs w:val="26"/>
          <w:lang w:val="en-US"/>
        </w:rPr>
      </w:pPr>
      <w:r w:rsidRPr="004127DA">
        <w:rPr>
          <w:sz w:val="26"/>
          <w:szCs w:val="26"/>
        </w:rPr>
        <w:t>RCW § 34.05.4</w:t>
      </w:r>
      <w:r w:rsidRPr="004127DA">
        <w:rPr>
          <w:sz w:val="26"/>
          <w:szCs w:val="26"/>
          <w:lang w:val="en-US"/>
        </w:rPr>
        <w:t>61</w:t>
      </w:r>
      <w:r w:rsidR="004127DA">
        <w:rPr>
          <w:sz w:val="26"/>
          <w:szCs w:val="26"/>
        </w:rPr>
        <w:t>…………………………</w:t>
      </w:r>
      <w:r w:rsidR="00FB5367" w:rsidRPr="004127DA">
        <w:rPr>
          <w:sz w:val="26"/>
          <w:szCs w:val="26"/>
        </w:rPr>
        <w:t>………</w:t>
      </w:r>
      <w:r w:rsidR="00310E9F" w:rsidRPr="004127DA">
        <w:rPr>
          <w:sz w:val="26"/>
          <w:szCs w:val="26"/>
          <w:lang w:val="en-US"/>
        </w:rPr>
        <w:t>………</w:t>
      </w:r>
      <w:r w:rsidR="00FB5367" w:rsidRPr="004127DA">
        <w:rPr>
          <w:sz w:val="26"/>
          <w:szCs w:val="26"/>
        </w:rPr>
        <w:t>…</w:t>
      </w:r>
      <w:r w:rsidR="00FB5367" w:rsidRPr="004127DA">
        <w:rPr>
          <w:sz w:val="26"/>
          <w:szCs w:val="26"/>
          <w:lang w:val="en-US"/>
        </w:rPr>
        <w:t>...</w:t>
      </w:r>
      <w:r w:rsidR="004127DA" w:rsidRPr="004127DA">
        <w:rPr>
          <w:sz w:val="26"/>
          <w:szCs w:val="26"/>
          <w:lang w:val="en-US"/>
        </w:rPr>
        <w:t>......................</w:t>
      </w:r>
      <w:r w:rsidR="00FB5367" w:rsidRPr="004127DA">
        <w:rPr>
          <w:sz w:val="26"/>
          <w:szCs w:val="26"/>
        </w:rPr>
        <w:t>….</w:t>
      </w:r>
      <w:r w:rsidRPr="004127DA">
        <w:rPr>
          <w:sz w:val="26"/>
          <w:szCs w:val="26"/>
          <w:lang w:val="en-US"/>
        </w:rPr>
        <w:t>19</w:t>
      </w:r>
    </w:p>
    <w:p w:rsidR="001B72DC" w:rsidRPr="004127DA" w:rsidRDefault="001B72DC" w:rsidP="00931EF4">
      <w:pPr>
        <w:pStyle w:val="WUTCParagraph"/>
        <w:numPr>
          <w:ilvl w:val="0"/>
          <w:numId w:val="0"/>
        </w:numPr>
        <w:tabs>
          <w:tab w:val="clear" w:pos="1440"/>
          <w:tab w:val="left" w:pos="0"/>
        </w:tabs>
        <w:rPr>
          <w:sz w:val="26"/>
          <w:szCs w:val="26"/>
          <w:lang w:val="en-US"/>
        </w:rPr>
      </w:pPr>
      <w:r w:rsidRPr="004127DA">
        <w:rPr>
          <w:sz w:val="26"/>
          <w:szCs w:val="26"/>
          <w:lang w:val="en-US"/>
        </w:rPr>
        <w:t xml:space="preserve">WAC </w:t>
      </w:r>
      <w:r w:rsidRPr="004127DA">
        <w:rPr>
          <w:sz w:val="26"/>
          <w:szCs w:val="26"/>
        </w:rPr>
        <w:t>§</w:t>
      </w:r>
      <w:r w:rsidRPr="004127DA">
        <w:rPr>
          <w:sz w:val="26"/>
          <w:szCs w:val="26"/>
          <w:lang w:val="en-US"/>
        </w:rPr>
        <w:t xml:space="preserve"> 480-07-440…………</w:t>
      </w:r>
      <w:r w:rsidR="004127DA" w:rsidRPr="004127DA">
        <w:rPr>
          <w:sz w:val="26"/>
          <w:szCs w:val="26"/>
          <w:lang w:val="en-US"/>
        </w:rPr>
        <w:t>…………………………………………..……….</w:t>
      </w:r>
      <w:r w:rsidRPr="004127DA">
        <w:rPr>
          <w:sz w:val="26"/>
          <w:szCs w:val="26"/>
          <w:lang w:val="en-US"/>
        </w:rPr>
        <w:t>.20</w:t>
      </w:r>
    </w:p>
    <w:p w:rsidR="001B72DC" w:rsidRPr="004127DA" w:rsidRDefault="001B72DC" w:rsidP="00931EF4">
      <w:pPr>
        <w:pStyle w:val="WUTCParagraph"/>
        <w:numPr>
          <w:ilvl w:val="0"/>
          <w:numId w:val="0"/>
        </w:numPr>
        <w:tabs>
          <w:tab w:val="clear" w:pos="1440"/>
          <w:tab w:val="left" w:pos="0"/>
        </w:tabs>
        <w:rPr>
          <w:sz w:val="26"/>
          <w:szCs w:val="26"/>
          <w:lang w:val="en-US"/>
        </w:rPr>
      </w:pPr>
      <w:r w:rsidRPr="004127DA">
        <w:rPr>
          <w:sz w:val="26"/>
          <w:szCs w:val="26"/>
          <w:lang w:val="en-US"/>
        </w:rPr>
        <w:t xml:space="preserve">WAC </w:t>
      </w:r>
      <w:r w:rsidRPr="004127DA">
        <w:rPr>
          <w:sz w:val="26"/>
          <w:szCs w:val="26"/>
        </w:rPr>
        <w:t>§</w:t>
      </w:r>
      <w:r w:rsidRPr="004127DA">
        <w:rPr>
          <w:sz w:val="26"/>
          <w:szCs w:val="26"/>
          <w:lang w:val="en-US"/>
        </w:rPr>
        <w:t xml:space="preserve"> 480-07-820…………</w:t>
      </w:r>
      <w:r w:rsidR="004127DA" w:rsidRPr="004127DA">
        <w:rPr>
          <w:sz w:val="26"/>
          <w:szCs w:val="26"/>
          <w:lang w:val="en-US"/>
        </w:rPr>
        <w:t>………………………………………………..</w:t>
      </w:r>
      <w:r w:rsidRPr="004127DA">
        <w:rPr>
          <w:sz w:val="26"/>
          <w:szCs w:val="26"/>
          <w:lang w:val="en-US"/>
        </w:rPr>
        <w:t>21, 28</w:t>
      </w:r>
    </w:p>
    <w:p w:rsidR="00B43E20" w:rsidRPr="004127DA" w:rsidRDefault="00B43E20" w:rsidP="00931EF4">
      <w:pPr>
        <w:pStyle w:val="WUTCParagraph"/>
        <w:numPr>
          <w:ilvl w:val="0"/>
          <w:numId w:val="0"/>
        </w:numPr>
        <w:tabs>
          <w:tab w:val="clear" w:pos="1440"/>
          <w:tab w:val="left" w:pos="0"/>
        </w:tabs>
        <w:rPr>
          <w:sz w:val="26"/>
          <w:szCs w:val="26"/>
          <w:lang w:val="en-US"/>
        </w:rPr>
      </w:pPr>
      <w:r w:rsidRPr="004127DA">
        <w:rPr>
          <w:sz w:val="26"/>
          <w:szCs w:val="26"/>
          <w:lang w:val="en-US"/>
        </w:rPr>
        <w:t xml:space="preserve">WAC </w:t>
      </w:r>
      <w:r w:rsidRPr="004127DA">
        <w:rPr>
          <w:sz w:val="26"/>
          <w:szCs w:val="26"/>
        </w:rPr>
        <w:t>§</w:t>
      </w:r>
      <w:r w:rsidRPr="004127DA">
        <w:rPr>
          <w:sz w:val="26"/>
          <w:szCs w:val="26"/>
          <w:lang w:val="en-US"/>
        </w:rPr>
        <w:t xml:space="preserve"> 480-100-257………</w:t>
      </w:r>
      <w:r w:rsidR="004127DA" w:rsidRPr="004127DA">
        <w:rPr>
          <w:sz w:val="26"/>
          <w:szCs w:val="26"/>
          <w:lang w:val="en-US"/>
        </w:rPr>
        <w:t>…………………………………………………….</w:t>
      </w:r>
      <w:r w:rsidRPr="004127DA">
        <w:rPr>
          <w:sz w:val="26"/>
          <w:szCs w:val="26"/>
          <w:lang w:val="en-US"/>
        </w:rPr>
        <w:t>.32</w:t>
      </w:r>
    </w:p>
    <w:p w:rsidR="00CB5E6A" w:rsidRDefault="00CB5E6A" w:rsidP="007411D4">
      <w:pPr>
        <w:pStyle w:val="WUTCParagraph"/>
        <w:numPr>
          <w:ilvl w:val="0"/>
          <w:numId w:val="0"/>
        </w:numPr>
        <w:tabs>
          <w:tab w:val="clear" w:pos="1440"/>
          <w:tab w:val="left" w:pos="0"/>
        </w:tabs>
        <w:spacing w:before="240" w:after="240" w:line="570" w:lineRule="exact"/>
        <w:rPr>
          <w:sz w:val="28"/>
          <w:szCs w:val="28"/>
          <w:lang w:val="en-US"/>
        </w:rPr>
      </w:pPr>
    </w:p>
    <w:p w:rsidR="00CB5E6A" w:rsidRDefault="00CB5E6A" w:rsidP="007411D4">
      <w:pPr>
        <w:pStyle w:val="WUTCParagraph"/>
        <w:numPr>
          <w:ilvl w:val="0"/>
          <w:numId w:val="0"/>
        </w:numPr>
        <w:tabs>
          <w:tab w:val="clear" w:pos="1440"/>
          <w:tab w:val="left" w:pos="0"/>
        </w:tabs>
        <w:spacing w:before="240" w:after="240" w:line="570" w:lineRule="exact"/>
        <w:rPr>
          <w:sz w:val="28"/>
          <w:szCs w:val="28"/>
          <w:lang w:val="en-US"/>
        </w:rPr>
      </w:pPr>
    </w:p>
    <w:p w:rsidR="00CB5E6A" w:rsidRDefault="00CB5E6A" w:rsidP="007411D4">
      <w:pPr>
        <w:pStyle w:val="WUTCParagraph"/>
        <w:numPr>
          <w:ilvl w:val="0"/>
          <w:numId w:val="0"/>
        </w:numPr>
        <w:tabs>
          <w:tab w:val="clear" w:pos="1440"/>
          <w:tab w:val="left" w:pos="0"/>
        </w:tabs>
        <w:spacing w:before="240" w:after="240" w:line="570" w:lineRule="exact"/>
        <w:rPr>
          <w:b/>
          <w:lang w:val="en-US"/>
        </w:rPr>
      </w:pPr>
    </w:p>
    <w:p w:rsidR="004127DA" w:rsidRDefault="004127DA" w:rsidP="007411D4">
      <w:pPr>
        <w:pStyle w:val="WUTCParagraph"/>
        <w:numPr>
          <w:ilvl w:val="0"/>
          <w:numId w:val="0"/>
        </w:numPr>
        <w:tabs>
          <w:tab w:val="clear" w:pos="1440"/>
          <w:tab w:val="left" w:pos="0"/>
        </w:tabs>
        <w:spacing w:before="240" w:after="240" w:line="570" w:lineRule="exact"/>
        <w:rPr>
          <w:b/>
          <w:lang w:val="en-US"/>
        </w:rPr>
      </w:pPr>
    </w:p>
    <w:p w:rsidR="00BF7DD3" w:rsidRPr="001B72DC" w:rsidRDefault="00BF7DD3" w:rsidP="007411D4">
      <w:pPr>
        <w:pStyle w:val="WUTCParagraph"/>
        <w:numPr>
          <w:ilvl w:val="0"/>
          <w:numId w:val="0"/>
        </w:numPr>
        <w:tabs>
          <w:tab w:val="clear" w:pos="1440"/>
          <w:tab w:val="left" w:pos="0"/>
        </w:tabs>
        <w:spacing w:before="240" w:after="240" w:line="570" w:lineRule="exact"/>
        <w:rPr>
          <w:b/>
          <w:lang w:val="en-US"/>
        </w:rPr>
        <w:sectPr w:rsidR="00BF7DD3" w:rsidRPr="001B72DC">
          <w:footerReference w:type="default" r:id="rId11"/>
          <w:pgSz w:w="12240" w:h="15840" w:code="1"/>
          <w:pgMar w:top="1296" w:right="1440" w:bottom="360" w:left="2160" w:header="1440" w:footer="720" w:gutter="0"/>
          <w:pgNumType w:fmt="lowerRoman" w:start="1"/>
          <w:cols w:space="720"/>
          <w:noEndnote/>
        </w:sectPr>
      </w:pPr>
    </w:p>
    <w:p w:rsidR="007515A0" w:rsidRDefault="007515A0" w:rsidP="00732613">
      <w:pPr>
        <w:pStyle w:val="WUTCParagraph"/>
        <w:numPr>
          <w:ilvl w:val="0"/>
          <w:numId w:val="0"/>
        </w:numPr>
        <w:tabs>
          <w:tab w:val="clear" w:pos="1440"/>
          <w:tab w:val="left" w:pos="0"/>
        </w:tabs>
        <w:spacing w:before="240" w:line="570" w:lineRule="exact"/>
        <w:jc w:val="center"/>
        <w:rPr>
          <w:b/>
          <w:lang w:val="en-US"/>
        </w:rPr>
      </w:pPr>
    </w:p>
    <w:p w:rsidR="00987AD3" w:rsidRDefault="00987AD3" w:rsidP="00732613">
      <w:pPr>
        <w:pStyle w:val="WUTCParagraph"/>
        <w:numPr>
          <w:ilvl w:val="0"/>
          <w:numId w:val="0"/>
        </w:numPr>
        <w:tabs>
          <w:tab w:val="clear" w:pos="1440"/>
          <w:tab w:val="left" w:pos="0"/>
        </w:tabs>
        <w:spacing w:before="240" w:line="570" w:lineRule="exact"/>
        <w:jc w:val="center"/>
        <w:rPr>
          <w:b/>
        </w:rPr>
        <w:sectPr w:rsidR="00987AD3" w:rsidSect="00DA33E9">
          <w:footerReference w:type="default" r:id="rId12"/>
          <w:type w:val="continuous"/>
          <w:pgSz w:w="12240" w:h="15840" w:code="1"/>
          <w:pgMar w:top="1152" w:right="1440" w:bottom="360" w:left="2160" w:header="0" w:footer="720" w:gutter="0"/>
          <w:pgNumType w:start="1"/>
          <w:cols w:space="720"/>
          <w:noEndnote/>
        </w:sectPr>
      </w:pPr>
    </w:p>
    <w:p w:rsidR="00192701" w:rsidRPr="00192701" w:rsidRDefault="00192701" w:rsidP="00732613">
      <w:pPr>
        <w:pStyle w:val="WUTCParagraph"/>
        <w:numPr>
          <w:ilvl w:val="0"/>
          <w:numId w:val="0"/>
        </w:numPr>
        <w:tabs>
          <w:tab w:val="clear" w:pos="1440"/>
          <w:tab w:val="left" w:pos="0"/>
        </w:tabs>
        <w:spacing w:before="240" w:line="570" w:lineRule="exact"/>
        <w:jc w:val="center"/>
        <w:rPr>
          <w:b/>
        </w:rPr>
      </w:pPr>
      <w:r>
        <w:rPr>
          <w:b/>
        </w:rPr>
        <w:lastRenderedPageBreak/>
        <w:t>I.</w:t>
      </w:r>
      <w:r w:rsidR="002C276E">
        <w:rPr>
          <w:b/>
          <w:lang w:val="en-US"/>
        </w:rPr>
        <w:t xml:space="preserve"> </w:t>
      </w:r>
      <w:r>
        <w:rPr>
          <w:b/>
        </w:rPr>
        <w:t xml:space="preserve">    INTRODUCTION</w:t>
      </w:r>
    </w:p>
    <w:p w:rsidR="001D4A8D" w:rsidRPr="00F163B3" w:rsidRDefault="00AD020F" w:rsidP="000B700C">
      <w:pPr>
        <w:pStyle w:val="MJDWUTCBrief"/>
        <w:spacing w:line="570" w:lineRule="exact"/>
        <w:rPr>
          <w:szCs w:val="22"/>
        </w:rPr>
      </w:pPr>
      <w:r>
        <w:t xml:space="preserve"> </w:t>
      </w:r>
      <w:r>
        <w:tab/>
      </w:r>
      <w:r w:rsidR="00E347C0" w:rsidRPr="00F163B3">
        <w:t>The</w:t>
      </w:r>
      <w:r w:rsidR="007D71B9" w:rsidRPr="00F163B3">
        <w:t xml:space="preserve"> Industrial Customers of Northwest Utilities (“ICNU”) submits this post-hearing brief requesting that the Washington Utilities and Transportation Commission (“WUTC” or the “Commission”) </w:t>
      </w:r>
      <w:r w:rsidR="00C921C7" w:rsidRPr="00F163B3">
        <w:t>reject the Multiparty Settlement Re: Coal Transition PPA and Other Pending Dockets (“Global Settlement” or “Settlement”)</w:t>
      </w:r>
      <w:r w:rsidR="00684CC9">
        <w:t>,</w:t>
      </w:r>
      <w:r w:rsidR="00C921C7" w:rsidRPr="00F163B3">
        <w:t xml:space="preserve"> </w:t>
      </w:r>
      <w:r w:rsidR="001D4A8D" w:rsidRPr="00F163B3">
        <w:t xml:space="preserve">originally </w:t>
      </w:r>
      <w:r w:rsidR="00C921C7" w:rsidRPr="00F163B3">
        <w:t>entered into by</w:t>
      </w:r>
      <w:r w:rsidR="00F60332" w:rsidRPr="00F163B3">
        <w:t xml:space="preserve"> </w:t>
      </w:r>
      <w:r w:rsidR="00C921C7" w:rsidRPr="00F163B3">
        <w:t>Puget Sound Energy, Inc.</w:t>
      </w:r>
      <w:r w:rsidR="00733F32" w:rsidRPr="00F163B3">
        <w:t xml:space="preserve"> (“PSE” or the “Company”)</w:t>
      </w:r>
      <w:r w:rsidR="00C921C7" w:rsidRPr="00F163B3">
        <w:t>, Commission Staff (“Staff”), and the Northwest Energy Coalition (</w:t>
      </w:r>
      <w:r w:rsidR="00684CC9">
        <w:t>“</w:t>
      </w:r>
      <w:r w:rsidR="00C921C7" w:rsidRPr="00F163B3">
        <w:t>NWEC”) (collectively, the “Settling Parties”)</w:t>
      </w:r>
      <w:r w:rsidR="00F1160D" w:rsidRPr="00F163B3">
        <w:t xml:space="preserve">, </w:t>
      </w:r>
      <w:r w:rsidR="00D66131">
        <w:t xml:space="preserve">which was </w:t>
      </w:r>
      <w:r w:rsidR="00F1160D" w:rsidRPr="00F163B3">
        <w:t>filed</w:t>
      </w:r>
      <w:r w:rsidR="00D66131">
        <w:t xml:space="preserve"> with the Commission</w:t>
      </w:r>
      <w:r w:rsidR="00F1160D" w:rsidRPr="00F163B3">
        <w:t xml:space="preserve"> on March 22, 2013</w:t>
      </w:r>
      <w:r w:rsidR="00BF4D13" w:rsidRPr="00F163B3">
        <w:t>.</w:t>
      </w:r>
      <w:r w:rsidR="00E347C0" w:rsidRPr="00D832D8">
        <w:rPr>
          <w:rStyle w:val="FootnoteReference"/>
        </w:rPr>
        <w:footnoteReference w:id="1"/>
      </w:r>
      <w:r w:rsidR="00E347C0" w:rsidRPr="00D832D8">
        <w:rPr>
          <w:vertAlign w:val="superscript"/>
        </w:rPr>
        <w:t>/</w:t>
      </w:r>
      <w:r w:rsidR="00F1160D" w:rsidRPr="00F163B3">
        <w:t xml:space="preserve"> </w:t>
      </w:r>
      <w:r w:rsidR="00702C13" w:rsidRPr="00F163B3">
        <w:t xml:space="preserve"> ICNU also requests that the Commission decline to accept the </w:t>
      </w:r>
      <w:r w:rsidR="00702C13" w:rsidRPr="00F163B3">
        <w:rPr>
          <w:szCs w:val="22"/>
        </w:rPr>
        <w:t xml:space="preserve">Expedited Rate Filing (“ERF”) and the Amended Petition for Decoupling Mechanisms (“Amended Petition”) proposed in these dockets because </w:t>
      </w:r>
      <w:r w:rsidR="00D832D8">
        <w:rPr>
          <w:szCs w:val="22"/>
        </w:rPr>
        <w:t>PSE has</w:t>
      </w:r>
      <w:r w:rsidR="00D66131">
        <w:rPr>
          <w:szCs w:val="22"/>
        </w:rPr>
        <w:t xml:space="preserve"> not</w:t>
      </w:r>
      <w:r w:rsidR="00702C13" w:rsidRPr="00F163B3">
        <w:rPr>
          <w:szCs w:val="22"/>
        </w:rPr>
        <w:t xml:space="preserve"> shown </w:t>
      </w:r>
      <w:r w:rsidR="00D832D8">
        <w:rPr>
          <w:szCs w:val="22"/>
        </w:rPr>
        <w:t xml:space="preserve">that these filings will </w:t>
      </w:r>
      <w:r w:rsidR="00702C13" w:rsidRPr="00F163B3">
        <w:rPr>
          <w:szCs w:val="22"/>
        </w:rPr>
        <w:t xml:space="preserve">produce just </w:t>
      </w:r>
      <w:r w:rsidR="00A409CB" w:rsidRPr="00F163B3">
        <w:rPr>
          <w:szCs w:val="22"/>
        </w:rPr>
        <w:t>and</w:t>
      </w:r>
      <w:r w:rsidR="00702C13" w:rsidRPr="00F163B3">
        <w:rPr>
          <w:szCs w:val="22"/>
        </w:rPr>
        <w:t xml:space="preserve"> reasonable rates.</w:t>
      </w:r>
    </w:p>
    <w:p w:rsidR="008E5733" w:rsidRPr="00F163B3" w:rsidRDefault="00AD020F" w:rsidP="000B700C">
      <w:pPr>
        <w:pStyle w:val="MJDWUTCBrief"/>
        <w:spacing w:line="570" w:lineRule="exact"/>
        <w:rPr>
          <w:szCs w:val="22"/>
        </w:rPr>
      </w:pPr>
      <w:r>
        <w:t xml:space="preserve"> </w:t>
      </w:r>
      <w:r>
        <w:tab/>
      </w:r>
      <w:r w:rsidR="001D4A8D" w:rsidRPr="00F163B3">
        <w:t>PSE has not met its burdens of proof or persuasion justifying approval of the individual elements a</w:t>
      </w:r>
      <w:r w:rsidR="00A409CB" w:rsidRPr="00F163B3">
        <w:t>nd components of the Settlement</w:t>
      </w:r>
      <w:r w:rsidR="001D4A8D" w:rsidRPr="00F163B3">
        <w:t xml:space="preserve"> </w:t>
      </w:r>
      <w:r w:rsidR="001D4A8D" w:rsidRPr="00F163B3">
        <w:rPr>
          <w:szCs w:val="22"/>
        </w:rPr>
        <w:t>or for mo</w:t>
      </w:r>
      <w:r w:rsidR="00D66131">
        <w:rPr>
          <w:szCs w:val="22"/>
        </w:rPr>
        <w:t>dification to the Final Order from</w:t>
      </w:r>
      <w:r w:rsidR="001D4A8D" w:rsidRPr="00F163B3">
        <w:rPr>
          <w:szCs w:val="22"/>
        </w:rPr>
        <w:t xml:space="preserve"> the </w:t>
      </w:r>
      <w:r w:rsidR="001D4A8D" w:rsidRPr="00F163B3">
        <w:t xml:space="preserve">Coal Transition Power Purchase Agreement (“PPA”) case.  Washington law requires not only that PSE carry these burdens as </w:t>
      </w:r>
      <w:r w:rsidR="006C3F70" w:rsidRPr="00F163B3">
        <w:t xml:space="preserve">to the approval of individual </w:t>
      </w:r>
      <w:r w:rsidR="001D4A8D" w:rsidRPr="00F163B3">
        <w:t>dockets, but</w:t>
      </w:r>
      <w:r w:rsidR="005D581B" w:rsidRPr="00F163B3">
        <w:t xml:space="preserve"> also</w:t>
      </w:r>
      <w:r w:rsidR="001D4A8D" w:rsidRPr="00F163B3">
        <w:t xml:space="preserve"> that </w:t>
      </w:r>
      <w:r w:rsidR="006C3F70" w:rsidRPr="00F163B3">
        <w:t>sufficient e</w:t>
      </w:r>
      <w:r w:rsidR="00BC5873" w:rsidRPr="00F163B3">
        <w:t>vidence support</w:t>
      </w:r>
      <w:r w:rsidR="000B700C">
        <w:t>s each of</w:t>
      </w:r>
      <w:r w:rsidR="00BC5873" w:rsidRPr="00F163B3">
        <w:t xml:space="preserve"> these dockets</w:t>
      </w:r>
      <w:r w:rsidR="00A409CB" w:rsidRPr="00F163B3">
        <w:t xml:space="preserve">. </w:t>
      </w:r>
      <w:r w:rsidR="00BC5873" w:rsidRPr="00F163B3">
        <w:t xml:space="preserve"> </w:t>
      </w:r>
      <w:r w:rsidR="00D66131">
        <w:t>Since the Company has</w:t>
      </w:r>
      <w:r w:rsidR="006C3F70" w:rsidRPr="00F163B3">
        <w:t xml:space="preserve"> not meet its burden on any level, the Settlement</w:t>
      </w:r>
      <w:r w:rsidR="00BC5873" w:rsidRPr="00F163B3">
        <w:t xml:space="preserve"> </w:t>
      </w:r>
      <w:r w:rsidR="006C3F70" w:rsidRPr="00F163B3">
        <w:t xml:space="preserve">and </w:t>
      </w:r>
      <w:r w:rsidR="00BC5873" w:rsidRPr="00F163B3">
        <w:t>the rate</w:t>
      </w:r>
      <w:r w:rsidR="00A409CB" w:rsidRPr="00F163B3">
        <w:t xml:space="preserve"> increases</w:t>
      </w:r>
      <w:r w:rsidR="00BC5873" w:rsidRPr="00F163B3">
        <w:t xml:space="preserve"> proposed in </w:t>
      </w:r>
      <w:r w:rsidR="006C3F70" w:rsidRPr="00F163B3">
        <w:t xml:space="preserve">each individual docket should be denied. </w:t>
      </w:r>
      <w:r w:rsidR="001D4A8D" w:rsidRPr="00F163B3">
        <w:t xml:space="preserve"> </w:t>
      </w:r>
    </w:p>
    <w:p w:rsidR="00AE1402" w:rsidRPr="00F61336" w:rsidRDefault="00916669" w:rsidP="00272B9F">
      <w:pPr>
        <w:pStyle w:val="MJDWUTCBrief"/>
        <w:tabs>
          <w:tab w:val="num" w:pos="900"/>
        </w:tabs>
        <w:spacing w:line="570" w:lineRule="exact"/>
        <w:rPr>
          <w:szCs w:val="22"/>
        </w:rPr>
      </w:pPr>
      <w:r>
        <w:t xml:space="preserve">       </w:t>
      </w:r>
      <w:r w:rsidR="003A5F39">
        <w:tab/>
      </w:r>
      <w:r w:rsidR="00254D1D">
        <w:t xml:space="preserve">Alternatively, if the Commission seeks to allow some aspects of the ERF and Decoupling filings to go into effect, ICNU recommends the following appropriate </w:t>
      </w:r>
      <w:r w:rsidR="00254D1D">
        <w:lastRenderedPageBreak/>
        <w:t xml:space="preserve">adjustments be made to the ERF, which cumulatively result in an overall </w:t>
      </w:r>
      <w:r w:rsidR="00254D1D" w:rsidRPr="009F5444">
        <w:rPr>
          <w:i/>
        </w:rPr>
        <w:t>reduction</w:t>
      </w:r>
      <w:r w:rsidR="00254D1D">
        <w:t xml:space="preserve"> to PSE’s revenue requirement by </w:t>
      </w:r>
      <w:r w:rsidR="004B4530">
        <w:t xml:space="preserve">approximately </w:t>
      </w:r>
      <w:r w:rsidR="00254D1D">
        <w:t>$1.29 million, rather than an increase of $32.2 million</w:t>
      </w:r>
      <w:r w:rsidR="00254D1D" w:rsidRPr="00A42D89">
        <w:t>:</w:t>
      </w:r>
    </w:p>
    <w:p w:rsidR="00F61336" w:rsidRPr="00F61336" w:rsidRDefault="00AE1402" w:rsidP="00272B9F">
      <w:pPr>
        <w:pStyle w:val="MJDWUTCBriefBulletPoints"/>
        <w:spacing w:line="570" w:lineRule="exact"/>
      </w:pPr>
      <w:r w:rsidRPr="00F61336">
        <w:t>●</w:t>
      </w:r>
      <w:r w:rsidRPr="00F61336">
        <w:tab/>
        <w:t>R</w:t>
      </w:r>
      <w:r w:rsidR="00F61336" w:rsidRPr="00F61336">
        <w:t xml:space="preserve">equire the use of the Commission’s Standard Average of Monthly Averages </w:t>
      </w:r>
    </w:p>
    <w:p w:rsidR="00F61336" w:rsidRPr="00F61336" w:rsidRDefault="00F0747F" w:rsidP="00F0747F">
      <w:pPr>
        <w:pStyle w:val="MJDWUTCBriefBulletPoints"/>
        <w:numPr>
          <w:ilvl w:val="0"/>
          <w:numId w:val="0"/>
        </w:numPr>
        <w:spacing w:line="570" w:lineRule="exact"/>
        <w:ind w:left="360"/>
      </w:pPr>
      <w:r>
        <w:rPr>
          <w:lang w:val="en-US"/>
        </w:rPr>
        <w:tab/>
      </w:r>
      <w:r w:rsidR="00F61336" w:rsidRPr="00F61336">
        <w:t>(</w:t>
      </w:r>
      <w:r>
        <w:rPr>
          <w:lang w:val="en-US"/>
        </w:rPr>
        <w:t>“</w:t>
      </w:r>
      <w:r w:rsidR="00F61336" w:rsidRPr="00F61336">
        <w:t>AMA</w:t>
      </w:r>
      <w:r>
        <w:rPr>
          <w:lang w:val="en-US"/>
        </w:rPr>
        <w:t>”</w:t>
      </w:r>
      <w:r w:rsidR="00F61336" w:rsidRPr="00F61336">
        <w:t xml:space="preserve">) accounting as required by rule, which will reduce PSE’s revenue </w:t>
      </w:r>
    </w:p>
    <w:p w:rsidR="004B4530" w:rsidRDefault="00F0747F" w:rsidP="004B4530">
      <w:pPr>
        <w:pStyle w:val="MJDWUTCBriefBulletPoints"/>
        <w:numPr>
          <w:ilvl w:val="0"/>
          <w:numId w:val="0"/>
        </w:numPr>
        <w:spacing w:line="570" w:lineRule="exact"/>
        <w:ind w:left="360"/>
        <w:rPr>
          <w:lang w:val="en-US"/>
        </w:rPr>
      </w:pPr>
      <w:r>
        <w:rPr>
          <w:lang w:val="en-US"/>
        </w:rPr>
        <w:tab/>
      </w:r>
      <w:r w:rsidR="00F61336" w:rsidRPr="00F61336">
        <w:t xml:space="preserve">requirement by </w:t>
      </w:r>
      <w:r w:rsidR="004B4530">
        <w:t>approximately</w:t>
      </w:r>
      <w:r w:rsidR="004B4530" w:rsidRPr="00F61336">
        <w:t xml:space="preserve"> </w:t>
      </w:r>
      <w:r w:rsidR="00F61336" w:rsidRPr="00F61336">
        <w:t xml:space="preserve">$13.2 million using Mr. Gorman’s recommended </w:t>
      </w:r>
    </w:p>
    <w:p w:rsidR="003D4391" w:rsidRPr="00F61336" w:rsidRDefault="004B4530" w:rsidP="004B4530">
      <w:pPr>
        <w:pStyle w:val="MJDWUTCBriefBulletPoints"/>
        <w:numPr>
          <w:ilvl w:val="0"/>
          <w:numId w:val="0"/>
        </w:numPr>
        <w:spacing w:line="570" w:lineRule="exact"/>
        <w:ind w:left="360"/>
      </w:pPr>
      <w:r>
        <w:rPr>
          <w:lang w:val="en-US"/>
        </w:rPr>
        <w:tab/>
      </w:r>
      <w:r w:rsidR="00F61336" w:rsidRPr="00F61336">
        <w:t>rate of return (“ROR”) ($13.5 million using PSE’s currently permitted ROR);</w:t>
      </w:r>
    </w:p>
    <w:p w:rsidR="003A5636" w:rsidRPr="003A5636" w:rsidRDefault="00F61336" w:rsidP="00272B9F">
      <w:pPr>
        <w:pStyle w:val="MJDWUTCBriefBulletPoints"/>
        <w:spacing w:line="570" w:lineRule="exact"/>
        <w:rPr>
          <w:szCs w:val="22"/>
        </w:rPr>
      </w:pPr>
      <w:r>
        <w:t>●</w:t>
      </w:r>
      <w:r>
        <w:tab/>
        <w:t>Establish</w:t>
      </w:r>
      <w:r w:rsidRPr="00AE1402">
        <w:t xml:space="preserve"> a 9.3% return on equity (“RO</w:t>
      </w:r>
      <w:r>
        <w:t>E</w:t>
      </w:r>
      <w:r w:rsidRPr="00AE1402">
        <w:t>”) and 46</w:t>
      </w:r>
      <w:r w:rsidRPr="004F4BBB">
        <w:t>.1% common</w:t>
      </w:r>
      <w:r w:rsidRPr="00AE1402">
        <w:t xml:space="preserve"> equity</w:t>
      </w:r>
      <w:r w:rsidR="003A5636">
        <w:rPr>
          <w:lang w:val="en-US"/>
        </w:rPr>
        <w:t xml:space="preserve"> </w:t>
      </w:r>
    </w:p>
    <w:p w:rsidR="003A5636" w:rsidRDefault="003A5636" w:rsidP="003A5636">
      <w:pPr>
        <w:pStyle w:val="MJDWUTCBriefBulletPoints"/>
        <w:numPr>
          <w:ilvl w:val="0"/>
          <w:numId w:val="0"/>
        </w:numPr>
        <w:spacing w:line="570" w:lineRule="exact"/>
        <w:ind w:left="360"/>
        <w:rPr>
          <w:lang w:val="en-US"/>
        </w:rPr>
      </w:pPr>
      <w:r>
        <w:rPr>
          <w:lang w:val="en-US"/>
        </w:rPr>
        <w:tab/>
      </w:r>
      <w:r w:rsidR="00F61336">
        <w:t>capitalization</w:t>
      </w:r>
      <w:r w:rsidR="00F61336" w:rsidRPr="00AE1402">
        <w:t xml:space="preserve">, which reduces </w:t>
      </w:r>
      <w:r w:rsidR="00F61336" w:rsidRPr="004F4BBB">
        <w:t>PSE’s rate of return</w:t>
      </w:r>
      <w:r w:rsidR="00F61336">
        <w:t xml:space="preserve"> (“ROR”)</w:t>
      </w:r>
      <w:r w:rsidR="00F61336" w:rsidRPr="004F4BBB">
        <w:t xml:space="preserve"> to 7.6%, </w:t>
      </w:r>
      <w:r w:rsidRPr="003A5636">
        <w:rPr>
          <w:szCs w:val="22"/>
        </w:rPr>
        <w:t>and</w:t>
      </w:r>
      <w:r w:rsidR="00F61336" w:rsidRPr="003A5636">
        <w:rPr>
          <w:szCs w:val="22"/>
        </w:rPr>
        <w:t xml:space="preserve"> </w:t>
      </w:r>
      <w:r>
        <w:t>reduce</w:t>
      </w:r>
      <w:r w:rsidR="00F61336" w:rsidRPr="00F61336">
        <w:t xml:space="preserve"> </w:t>
      </w:r>
    </w:p>
    <w:p w:rsidR="00AE1402" w:rsidRPr="003A5636" w:rsidRDefault="003A5636" w:rsidP="003A5636">
      <w:pPr>
        <w:pStyle w:val="MJDWUTCBriefBulletPoints"/>
        <w:numPr>
          <w:ilvl w:val="0"/>
          <w:numId w:val="0"/>
        </w:numPr>
        <w:spacing w:line="570" w:lineRule="exact"/>
        <w:ind w:left="360"/>
        <w:rPr>
          <w:szCs w:val="22"/>
        </w:rPr>
      </w:pPr>
      <w:r>
        <w:rPr>
          <w:lang w:val="en-US"/>
        </w:rPr>
        <w:tab/>
      </w:r>
      <w:r w:rsidR="00F61336" w:rsidRPr="00F61336">
        <w:t>PSE’s reven</w:t>
      </w:r>
      <w:r w:rsidR="00F61336">
        <w:t>ue requirement by $11.0 million;</w:t>
      </w:r>
    </w:p>
    <w:p w:rsidR="00AE1402" w:rsidRDefault="00F61336" w:rsidP="00272B9F">
      <w:pPr>
        <w:pStyle w:val="MJDWUTCBriefBulletPoints"/>
        <w:spacing w:line="570" w:lineRule="exact"/>
      </w:pPr>
      <w:r>
        <w:t>●</w:t>
      </w:r>
      <w:r>
        <w:tab/>
        <w:t>Reduce electric pension expenses by $2.6 million</w:t>
      </w:r>
      <w:r w:rsidR="0036506D">
        <w:rPr>
          <w:lang w:val="en-US"/>
        </w:rPr>
        <w:t xml:space="preserve"> </w:t>
      </w:r>
      <w:r w:rsidR="0036506D">
        <w:t>(electric)</w:t>
      </w:r>
      <w:r>
        <w:t>;</w:t>
      </w:r>
    </w:p>
    <w:p w:rsidR="00D832D8" w:rsidRPr="00D832D8" w:rsidRDefault="005D581B" w:rsidP="00272B9F">
      <w:pPr>
        <w:pStyle w:val="MJDWUTCBriefBulletPoints"/>
        <w:spacing w:line="570" w:lineRule="exact"/>
        <w:rPr>
          <w:lang w:val="en-US"/>
        </w:rPr>
      </w:pPr>
      <w:r>
        <w:t>●</w:t>
      </w:r>
      <w:r>
        <w:tab/>
      </w:r>
      <w:r w:rsidR="00F61336">
        <w:t>Reduce incentive compensation by $6.5 million (electric);</w:t>
      </w:r>
    </w:p>
    <w:p w:rsidR="00F61336" w:rsidRPr="00F61336" w:rsidRDefault="00AE1402" w:rsidP="00272B9F">
      <w:pPr>
        <w:pStyle w:val="MJDWUTCBriefBulletPoints"/>
        <w:spacing w:line="570" w:lineRule="exact"/>
      </w:pPr>
      <w:r w:rsidRPr="00F61336">
        <w:t>●</w:t>
      </w:r>
      <w:r w:rsidRPr="00F61336">
        <w:tab/>
      </w:r>
      <w:r w:rsidR="00F61336" w:rsidRPr="00F61336">
        <w:t xml:space="preserve">Reduce PSE’s effective federal income tax rate to 35%; adjusting the requested </w:t>
      </w:r>
    </w:p>
    <w:p w:rsidR="00F61336" w:rsidRPr="00F61336" w:rsidRDefault="00F61336" w:rsidP="00272B9F">
      <w:pPr>
        <w:pStyle w:val="MJDWUTCBriefBulletPoints"/>
        <w:numPr>
          <w:ilvl w:val="0"/>
          <w:numId w:val="0"/>
        </w:numPr>
        <w:spacing w:line="570" w:lineRule="exact"/>
        <w:ind w:left="360"/>
      </w:pPr>
      <w:r>
        <w:rPr>
          <w:lang w:val="en-US"/>
        </w:rPr>
        <w:tab/>
      </w:r>
      <w:r w:rsidRPr="00F61336">
        <w:t>increase by $3.45 million for electric;</w:t>
      </w:r>
    </w:p>
    <w:p w:rsidR="00D832D8" w:rsidRPr="00D349F6" w:rsidRDefault="00D349F6" w:rsidP="00D349F6">
      <w:pPr>
        <w:pStyle w:val="MJDWUTCBrief"/>
        <w:spacing w:line="570" w:lineRule="exact"/>
      </w:pPr>
      <w:r>
        <w:t xml:space="preserve"> </w:t>
      </w:r>
      <w:r>
        <w:tab/>
      </w:r>
      <w:r w:rsidR="00F61336" w:rsidRPr="00F61336">
        <w:t>If the Commission approves the Decoupling Mechanism, ICNU recommends that the Commission impose the customer protections set forth in the Commission Decoup</w:t>
      </w:r>
      <w:r>
        <w:t>ling Policy Statement including:</w:t>
      </w:r>
    </w:p>
    <w:p w:rsidR="008274F9" w:rsidRDefault="00960E7E" w:rsidP="00D349F6">
      <w:pPr>
        <w:pStyle w:val="MJDWUTCBriefBulletPoints"/>
        <w:numPr>
          <w:ilvl w:val="0"/>
          <w:numId w:val="0"/>
        </w:numPr>
        <w:tabs>
          <w:tab w:val="num" w:pos="360"/>
        </w:tabs>
        <w:spacing w:line="570" w:lineRule="exact"/>
        <w:ind w:left="360" w:hanging="360"/>
        <w:rPr>
          <w:lang w:val="en-US"/>
        </w:rPr>
      </w:pPr>
      <w:r>
        <w:rPr>
          <w:lang w:val="en-US"/>
        </w:rPr>
        <w:tab/>
      </w:r>
      <w:r w:rsidR="00D832D8">
        <w:t>●</w:t>
      </w:r>
      <w:r w:rsidR="00D832D8" w:rsidRPr="00960E7E">
        <w:rPr>
          <w:lang w:val="en-US"/>
        </w:rPr>
        <w:tab/>
      </w:r>
      <w:r w:rsidRPr="00960E7E">
        <w:rPr>
          <w:lang w:val="en-US"/>
        </w:rPr>
        <w:t>E</w:t>
      </w:r>
      <w:r w:rsidR="006A0E11">
        <w:t>liminate the K-factor</w:t>
      </w:r>
      <w:r w:rsidR="003A5636">
        <w:rPr>
          <w:lang w:val="en-US"/>
        </w:rPr>
        <w:t>, and condition approval</w:t>
      </w:r>
      <w:r w:rsidR="00C56E9B" w:rsidRPr="00960E7E">
        <w:rPr>
          <w:lang w:val="en-US"/>
        </w:rPr>
        <w:t xml:space="preserve"> on imp</w:t>
      </w:r>
      <w:r w:rsidR="003A5636">
        <w:rPr>
          <w:lang w:val="en-US"/>
        </w:rPr>
        <w:t>lementing</w:t>
      </w:r>
      <w:r w:rsidR="00C56E9B" w:rsidRPr="00960E7E">
        <w:rPr>
          <w:lang w:val="en-US"/>
        </w:rPr>
        <w:t xml:space="preserve"> the </w:t>
      </w:r>
    </w:p>
    <w:p w:rsidR="008274F9" w:rsidRDefault="008274F9" w:rsidP="008274F9">
      <w:pPr>
        <w:pStyle w:val="MJDWUTCBriefBulletPoints"/>
        <w:numPr>
          <w:ilvl w:val="0"/>
          <w:numId w:val="0"/>
        </w:numPr>
        <w:tabs>
          <w:tab w:val="num" w:pos="360"/>
        </w:tabs>
        <w:spacing w:line="570" w:lineRule="exact"/>
        <w:ind w:left="360" w:hanging="360"/>
        <w:rPr>
          <w:lang w:val="en-US"/>
        </w:rPr>
      </w:pPr>
      <w:r>
        <w:rPr>
          <w:lang w:val="en-US"/>
        </w:rPr>
        <w:tab/>
      </w:r>
      <w:r>
        <w:rPr>
          <w:lang w:val="en-US"/>
        </w:rPr>
        <w:tab/>
      </w:r>
      <w:r w:rsidR="00C56E9B" w:rsidRPr="00960E7E">
        <w:rPr>
          <w:lang w:val="en-US"/>
        </w:rPr>
        <w:t xml:space="preserve">requirements for full decoupling set forth in </w:t>
      </w:r>
      <w:r w:rsidR="00C56E9B">
        <w:rPr>
          <w:lang w:val="en-US"/>
        </w:rPr>
        <w:t xml:space="preserve">the Commission Decoupling Policy </w:t>
      </w:r>
    </w:p>
    <w:p w:rsidR="00AE1402" w:rsidRPr="00EF0A7C" w:rsidRDefault="008274F9" w:rsidP="008274F9">
      <w:pPr>
        <w:pStyle w:val="MJDWUTCBriefBulletPoints"/>
        <w:numPr>
          <w:ilvl w:val="0"/>
          <w:numId w:val="0"/>
        </w:numPr>
        <w:tabs>
          <w:tab w:val="num" w:pos="360"/>
        </w:tabs>
        <w:spacing w:line="570" w:lineRule="exact"/>
        <w:ind w:left="360" w:hanging="360"/>
      </w:pPr>
      <w:r>
        <w:rPr>
          <w:lang w:val="en-US"/>
        </w:rPr>
        <w:tab/>
      </w:r>
      <w:r>
        <w:rPr>
          <w:lang w:val="en-US"/>
        </w:rPr>
        <w:tab/>
      </w:r>
      <w:r w:rsidR="00C56E9B">
        <w:rPr>
          <w:lang w:val="en-US"/>
        </w:rPr>
        <w:t>Statement;</w:t>
      </w:r>
    </w:p>
    <w:p w:rsidR="00836A21" w:rsidRPr="00836A21" w:rsidRDefault="00D07C69" w:rsidP="00272B9F">
      <w:pPr>
        <w:pStyle w:val="MJDWUTCBriefBulletPoints"/>
        <w:spacing w:line="570" w:lineRule="exact"/>
        <w:rPr>
          <w:szCs w:val="22"/>
        </w:rPr>
      </w:pPr>
      <w:r>
        <w:t>●</w:t>
      </w:r>
      <w:r>
        <w:tab/>
      </w:r>
      <w:r>
        <w:rPr>
          <w:lang w:val="en-US"/>
        </w:rPr>
        <w:t>Reduce</w:t>
      </w:r>
      <w:r w:rsidRPr="004F4BBB">
        <w:t xml:space="preserve"> </w:t>
      </w:r>
      <w:r>
        <w:t>PSE’s ROE by</w:t>
      </w:r>
      <w:r w:rsidRPr="006713F4">
        <w:rPr>
          <w:lang w:val="en-US"/>
        </w:rPr>
        <w:t xml:space="preserve"> </w:t>
      </w:r>
      <w:r w:rsidRPr="004F4BBB">
        <w:t xml:space="preserve">another 25 basis points if </w:t>
      </w:r>
      <w:r>
        <w:t>d</w:t>
      </w:r>
      <w:r w:rsidRPr="004F4BBB">
        <w:t>ecoupling is approved;</w:t>
      </w:r>
    </w:p>
    <w:p w:rsidR="008274F9" w:rsidRPr="008274F9" w:rsidRDefault="00836A21" w:rsidP="00684CC9">
      <w:pPr>
        <w:pStyle w:val="IAS2"/>
        <w:tabs>
          <w:tab w:val="clear" w:pos="0"/>
          <w:tab w:val="clear" w:pos="1440"/>
          <w:tab w:val="left" w:pos="900"/>
        </w:tabs>
        <w:spacing w:line="570" w:lineRule="exact"/>
        <w:ind w:left="360" w:hanging="1080"/>
        <w:rPr>
          <w:szCs w:val="22"/>
        </w:rPr>
      </w:pPr>
      <w:r>
        <w:t>●</w:t>
      </w:r>
      <w:r w:rsidRPr="00AE1402">
        <w:t xml:space="preserve"> </w:t>
      </w:r>
      <w:r w:rsidR="008274F9">
        <w:tab/>
      </w:r>
      <w:r w:rsidR="008274F9">
        <w:rPr>
          <w:lang w:val="en-US"/>
        </w:rPr>
        <w:t>Impose</w:t>
      </w:r>
      <w:r>
        <w:t xml:space="preserve"> </w:t>
      </w:r>
      <w:r w:rsidR="00D66131">
        <w:rPr>
          <w:lang w:val="en-US"/>
        </w:rPr>
        <w:t xml:space="preserve">a </w:t>
      </w:r>
      <w:r>
        <w:t xml:space="preserve">3% hard cap for the annual rate increases associated </w:t>
      </w:r>
    </w:p>
    <w:p w:rsidR="00AE1402" w:rsidRPr="008274F9" w:rsidRDefault="008274F9" w:rsidP="008274F9">
      <w:pPr>
        <w:pStyle w:val="IAS2"/>
        <w:numPr>
          <w:ilvl w:val="0"/>
          <w:numId w:val="0"/>
        </w:numPr>
        <w:tabs>
          <w:tab w:val="clear" w:pos="1440"/>
          <w:tab w:val="left" w:pos="900"/>
        </w:tabs>
        <w:spacing w:line="570" w:lineRule="exact"/>
        <w:ind w:left="360"/>
        <w:rPr>
          <w:szCs w:val="22"/>
        </w:rPr>
      </w:pPr>
      <w:r>
        <w:rPr>
          <w:lang w:val="en-US"/>
        </w:rPr>
        <w:lastRenderedPageBreak/>
        <w:tab/>
      </w:r>
      <w:r w:rsidR="00836A21">
        <w:t>with Decoupling</w:t>
      </w:r>
      <w:r w:rsidR="00D66131">
        <w:rPr>
          <w:lang w:val="en-US"/>
        </w:rPr>
        <w:t>,</w:t>
      </w:r>
      <w:r w:rsidR="00836A21">
        <w:t xml:space="preserve"> with no deferrals permitted;</w:t>
      </w:r>
    </w:p>
    <w:p w:rsidR="00D66131" w:rsidRPr="00D66131" w:rsidRDefault="00AE1402" w:rsidP="00D66131">
      <w:pPr>
        <w:pStyle w:val="IAS2"/>
        <w:tabs>
          <w:tab w:val="clear" w:pos="0"/>
          <w:tab w:val="clear" w:pos="1440"/>
          <w:tab w:val="left" w:pos="900"/>
        </w:tabs>
        <w:spacing w:line="570" w:lineRule="exact"/>
        <w:ind w:left="360" w:hanging="1080"/>
        <w:rPr>
          <w:szCs w:val="22"/>
          <w:lang w:val="en-US"/>
        </w:rPr>
      </w:pPr>
      <w:r>
        <w:t>●</w:t>
      </w:r>
      <w:r w:rsidRPr="00AE1402">
        <w:t xml:space="preserve"> </w:t>
      </w:r>
      <w:r w:rsidR="00915C80">
        <w:tab/>
      </w:r>
      <w:r w:rsidR="00D66131">
        <w:rPr>
          <w:lang w:val="en-US"/>
        </w:rPr>
        <w:t>Limit the duration of the</w:t>
      </w:r>
      <w:r w:rsidR="00836A21">
        <w:rPr>
          <w:lang w:val="en-US"/>
        </w:rPr>
        <w:t xml:space="preserve"> decoupling mechanism </w:t>
      </w:r>
      <w:r w:rsidR="00D66131">
        <w:rPr>
          <w:lang w:val="en-US"/>
        </w:rPr>
        <w:t>to</w:t>
      </w:r>
      <w:r w:rsidR="00836A21">
        <w:rPr>
          <w:lang w:val="en-US"/>
        </w:rPr>
        <w:t xml:space="preserve"> place no longer than two </w:t>
      </w:r>
    </w:p>
    <w:p w:rsidR="00D66131" w:rsidRDefault="00D66131" w:rsidP="00D66131">
      <w:pPr>
        <w:pStyle w:val="IAS2"/>
        <w:numPr>
          <w:ilvl w:val="0"/>
          <w:numId w:val="0"/>
        </w:numPr>
        <w:tabs>
          <w:tab w:val="clear" w:pos="1440"/>
          <w:tab w:val="left" w:pos="900"/>
        </w:tabs>
        <w:spacing w:line="570" w:lineRule="exact"/>
        <w:ind w:left="360"/>
        <w:rPr>
          <w:lang w:val="en-US"/>
        </w:rPr>
      </w:pPr>
      <w:r>
        <w:rPr>
          <w:lang w:val="en-US"/>
        </w:rPr>
        <w:tab/>
      </w:r>
      <w:r w:rsidR="00836A21">
        <w:rPr>
          <w:lang w:val="en-US"/>
        </w:rPr>
        <w:t>years</w:t>
      </w:r>
      <w:r>
        <w:rPr>
          <w:lang w:val="en-US"/>
        </w:rPr>
        <w:t>,</w:t>
      </w:r>
      <w:r w:rsidR="00836A21">
        <w:rPr>
          <w:lang w:val="en-US"/>
        </w:rPr>
        <w:t xml:space="preserve"> with an </w:t>
      </w:r>
      <w:r w:rsidR="00836A21" w:rsidRPr="00D66131">
        <w:rPr>
          <w:lang w:val="en-US"/>
        </w:rPr>
        <w:t xml:space="preserve">independent evaluation occurring at that time.  Whether to </w:t>
      </w:r>
    </w:p>
    <w:p w:rsidR="00D66131" w:rsidRDefault="00D66131" w:rsidP="00D66131">
      <w:pPr>
        <w:pStyle w:val="IAS2"/>
        <w:numPr>
          <w:ilvl w:val="0"/>
          <w:numId w:val="0"/>
        </w:numPr>
        <w:tabs>
          <w:tab w:val="clear" w:pos="1440"/>
          <w:tab w:val="left" w:pos="900"/>
        </w:tabs>
        <w:spacing w:line="570" w:lineRule="exact"/>
        <w:ind w:left="720"/>
        <w:rPr>
          <w:lang w:val="en-US"/>
        </w:rPr>
      </w:pPr>
      <w:r>
        <w:rPr>
          <w:lang w:val="en-US"/>
        </w:rPr>
        <w:tab/>
      </w:r>
      <w:r w:rsidR="00836A21" w:rsidRPr="00D66131">
        <w:rPr>
          <w:lang w:val="en-US"/>
        </w:rPr>
        <w:t xml:space="preserve">continue decoupling beyond that point should be based on the evaluation </w:t>
      </w:r>
    </w:p>
    <w:p w:rsidR="00836A21" w:rsidRPr="00D66131" w:rsidRDefault="00D66131" w:rsidP="00D66131">
      <w:pPr>
        <w:pStyle w:val="IAS2"/>
        <w:numPr>
          <w:ilvl w:val="0"/>
          <w:numId w:val="0"/>
        </w:numPr>
        <w:tabs>
          <w:tab w:val="clear" w:pos="1440"/>
          <w:tab w:val="left" w:pos="900"/>
        </w:tabs>
        <w:spacing w:line="570" w:lineRule="exact"/>
        <w:ind w:left="720"/>
        <w:rPr>
          <w:szCs w:val="22"/>
          <w:lang w:val="en-US"/>
        </w:rPr>
      </w:pPr>
      <w:r>
        <w:rPr>
          <w:lang w:val="en-US"/>
        </w:rPr>
        <w:tab/>
      </w:r>
      <w:r w:rsidR="00836A21" w:rsidRPr="00D66131">
        <w:rPr>
          <w:lang w:val="en-US"/>
        </w:rPr>
        <w:t xml:space="preserve">results. </w:t>
      </w:r>
      <w:r w:rsidR="00915C80">
        <w:t xml:space="preserve"> </w:t>
      </w:r>
    </w:p>
    <w:p w:rsidR="00AE1402" w:rsidRDefault="00AE1402" w:rsidP="008274F9">
      <w:pPr>
        <w:pStyle w:val="MJDWUTCBrief"/>
        <w:spacing w:line="570" w:lineRule="exact"/>
      </w:pPr>
      <w:r>
        <w:t xml:space="preserve">     </w:t>
      </w:r>
      <w:r w:rsidR="00F163B3">
        <w:tab/>
      </w:r>
      <w:r>
        <w:t xml:space="preserve">However, for the reasons </w:t>
      </w:r>
      <w:r w:rsidR="0000324F" w:rsidRPr="004F4BBB">
        <w:t>described</w:t>
      </w:r>
      <w:r>
        <w:t xml:space="preserve"> </w:t>
      </w:r>
      <w:r w:rsidR="0000324F">
        <w:t>in detail</w:t>
      </w:r>
      <w:r>
        <w:t xml:space="preserve"> in this brief, the Commission should </w:t>
      </w:r>
      <w:r w:rsidR="004F4BBB">
        <w:t>reject the</w:t>
      </w:r>
      <w:r>
        <w:t xml:space="preserve"> relief</w:t>
      </w:r>
      <w:r w:rsidR="004F4BBB">
        <w:t xml:space="preserve"> requested</w:t>
      </w:r>
      <w:r>
        <w:t xml:space="preserve"> in these dockets and permit PSE to come back with a general rate case </w:t>
      </w:r>
      <w:r w:rsidR="00D832D8">
        <w:t xml:space="preserve">filing </w:t>
      </w:r>
      <w:r>
        <w:t xml:space="preserve">to develop a full and complete record.  The record before the Commission </w:t>
      </w:r>
      <w:r w:rsidR="00684CC9">
        <w:t>seeking to support the S</w:t>
      </w:r>
      <w:r w:rsidR="00D832D8">
        <w:t xml:space="preserve">ettlement </w:t>
      </w:r>
      <w:r>
        <w:t>is one of the most deficient ICNU has ever seen</w:t>
      </w:r>
      <w:r w:rsidR="004F4BBB">
        <w:t xml:space="preserve">, yet </w:t>
      </w:r>
      <w:r w:rsidR="002C66E1">
        <w:t>PSE uses it</w:t>
      </w:r>
      <w:r>
        <w:t xml:space="preserve"> to support a</w:t>
      </w:r>
      <w:r w:rsidR="004F4BBB">
        <w:t>n unprecedented</w:t>
      </w:r>
      <w:r>
        <w:t xml:space="preserve"> multi</w:t>
      </w:r>
      <w:r w:rsidR="0000324F">
        <w:t>-</w:t>
      </w:r>
      <w:r>
        <w:t>year rate increase</w:t>
      </w:r>
      <w:r w:rsidR="005A0AB7">
        <w:t xml:space="preserve"> of $351 million or even more</w:t>
      </w:r>
      <w:r w:rsidR="00D832D8">
        <w:t>.  While the Settling P</w:t>
      </w:r>
      <w:r>
        <w:t xml:space="preserve">arties may consider </w:t>
      </w:r>
      <w:r w:rsidR="004F4BBB">
        <w:t>these increases minor, cumulatively they are</w:t>
      </w:r>
      <w:r>
        <w:t xml:space="preserve"> not</w:t>
      </w:r>
      <w:r w:rsidR="004F4BBB">
        <w:t>.</w:t>
      </w:r>
      <w:r>
        <w:t xml:space="preserve"> </w:t>
      </w:r>
      <w:r w:rsidR="004F4BBB">
        <w:t xml:space="preserve"> Ea</w:t>
      </w:r>
      <w:r>
        <w:t xml:space="preserve">ch year’s </w:t>
      </w:r>
      <w:r w:rsidR="00E53A01">
        <w:t xml:space="preserve">rate </w:t>
      </w:r>
      <w:r>
        <w:t xml:space="preserve">increase must be supported by evidence for the Commission to find that </w:t>
      </w:r>
      <w:r w:rsidR="005A0AB7">
        <w:t>continued rate hikes</w:t>
      </w:r>
      <w:r>
        <w:t xml:space="preserve"> are fair, just and reasonable.  There is no evidence showing this</w:t>
      </w:r>
      <w:r w:rsidR="002C66E1">
        <w:t>,</w:t>
      </w:r>
      <w:r>
        <w:t xml:space="preserve"> </w:t>
      </w:r>
      <w:r w:rsidR="005A0AB7">
        <w:t>particularly in the latter</w:t>
      </w:r>
      <w:r w:rsidR="004F4BBB">
        <w:t xml:space="preserve"> </w:t>
      </w:r>
      <w:r>
        <w:t>years</w:t>
      </w:r>
      <w:r w:rsidR="005A0AB7">
        <w:t xml:space="preserve"> of the rate plan</w:t>
      </w:r>
      <w:r>
        <w:t>, other than arguments about historical trends</w:t>
      </w:r>
      <w:r w:rsidR="00D832D8">
        <w:t>, which the Commission has not</w:t>
      </w:r>
      <w:r w:rsidR="002C66E1">
        <w:t xml:space="preserve"> accepted for even minor increases</w:t>
      </w:r>
      <w:r>
        <w:t xml:space="preserve">.  </w:t>
      </w:r>
    </w:p>
    <w:p w:rsidR="000662B4" w:rsidRPr="00577591" w:rsidRDefault="00AE1402" w:rsidP="008274F9">
      <w:pPr>
        <w:pStyle w:val="MJDWUTCBrief"/>
        <w:spacing w:line="570" w:lineRule="exact"/>
      </w:pPr>
      <w:r>
        <w:t xml:space="preserve">     </w:t>
      </w:r>
      <w:r w:rsidR="00F163B3">
        <w:tab/>
      </w:r>
      <w:r>
        <w:t xml:space="preserve">ICNU would welcome </w:t>
      </w:r>
      <w:r w:rsidR="004F4BBB">
        <w:t xml:space="preserve">a </w:t>
      </w:r>
      <w:r>
        <w:t xml:space="preserve">new approach to ratemaking, </w:t>
      </w:r>
      <w:r w:rsidR="004F4BBB">
        <w:t>were it</w:t>
      </w:r>
      <w:r>
        <w:t xml:space="preserve"> done right.  Rules should be established first</w:t>
      </w:r>
      <w:r w:rsidR="00A409CB">
        <w:t>,</w:t>
      </w:r>
      <w:r>
        <w:t xml:space="preserve"> </w:t>
      </w:r>
      <w:r w:rsidR="00A409CB">
        <w:t>which</w:t>
      </w:r>
      <w:r>
        <w:t xml:space="preserve"> </w:t>
      </w:r>
      <w:r w:rsidR="002C66E1">
        <w:t>should balance</w:t>
      </w:r>
      <w:r>
        <w:t xml:space="preserve"> </w:t>
      </w:r>
      <w:r w:rsidR="005A0AB7">
        <w:t xml:space="preserve">the </w:t>
      </w:r>
      <w:r w:rsidR="007D1044">
        <w:t>interests of utilities and ratepayers</w:t>
      </w:r>
      <w:r w:rsidR="00D832D8">
        <w:t>.  This S</w:t>
      </w:r>
      <w:r>
        <w:t>ettlement does not achieve thi</w:t>
      </w:r>
      <w:r w:rsidR="005A0AB7">
        <w:t>s balance.  Rather than</w:t>
      </w:r>
      <w:r>
        <w:t xml:space="preserve"> establish</w:t>
      </w:r>
      <w:r w:rsidR="005A0AB7">
        <w:t xml:space="preserve">ing </w:t>
      </w:r>
      <w:r w:rsidR="002C66E1">
        <w:t>a reliable</w:t>
      </w:r>
      <w:r w:rsidR="005A0AB7">
        <w:t xml:space="preserve"> baseline for</w:t>
      </w:r>
      <w:r>
        <w:t xml:space="preserve"> </w:t>
      </w:r>
      <w:r w:rsidR="005A0AB7">
        <w:t xml:space="preserve">a </w:t>
      </w:r>
      <w:r>
        <w:t>multi-year increas</w:t>
      </w:r>
      <w:r w:rsidR="005A0AB7">
        <w:t>e</w:t>
      </w:r>
      <w:r w:rsidR="002C66E1">
        <w:t>,</w:t>
      </w:r>
      <w:r>
        <w:t xml:space="preserve"> </w:t>
      </w:r>
      <w:r w:rsidR="005A0AB7">
        <w:t>it uses</w:t>
      </w:r>
      <w:r w:rsidR="002C66E1">
        <w:t xml:space="preserve"> selective</w:t>
      </w:r>
      <w:r>
        <w:t xml:space="preserve"> two-year old test ye</w:t>
      </w:r>
      <w:r w:rsidR="004F4BBB">
        <w:t xml:space="preserve">ar data from the last PSE </w:t>
      </w:r>
      <w:r w:rsidR="00D832D8">
        <w:t>General Rate Case (“</w:t>
      </w:r>
      <w:r w:rsidR="004F4BBB">
        <w:t>GRC</w:t>
      </w:r>
      <w:r w:rsidR="00D832D8">
        <w:t>”)</w:t>
      </w:r>
      <w:r w:rsidR="004F4BBB">
        <w:t>, combined with</w:t>
      </w:r>
      <w:r>
        <w:t xml:space="preserve"> a test year that ends </w:t>
      </w:r>
      <w:r w:rsidR="00D832D8">
        <w:t xml:space="preserve">on </w:t>
      </w:r>
      <w:r>
        <w:t>June 2012</w:t>
      </w:r>
      <w:r w:rsidR="005A0AB7">
        <w:t>.  It is,</w:t>
      </w:r>
      <w:r>
        <w:t xml:space="preserve"> by definition</w:t>
      </w:r>
      <w:r w:rsidR="005A0AB7">
        <w:t>,</w:t>
      </w:r>
      <w:r>
        <w:t xml:space="preserve"> </w:t>
      </w:r>
      <w:r w:rsidR="004F4BBB">
        <w:t>imbalanced</w:t>
      </w:r>
      <w:r w:rsidR="008274F9">
        <w:t xml:space="preserve"> and mismatched</w:t>
      </w:r>
      <w:r>
        <w:t xml:space="preserve">.  It </w:t>
      </w:r>
      <w:r w:rsidRPr="004F4BBB">
        <w:t xml:space="preserve">is </w:t>
      </w:r>
      <w:r w:rsidR="005A0AB7">
        <w:t xml:space="preserve">also </w:t>
      </w:r>
      <w:r w:rsidRPr="004F4BBB">
        <w:t>ironic</w:t>
      </w:r>
      <w:r>
        <w:t xml:space="preserve"> that PSE has chosen this approach in light of its strong opposition to </w:t>
      </w:r>
      <w:r w:rsidR="00D832D8">
        <w:t xml:space="preserve">the use of </w:t>
      </w:r>
      <w:r>
        <w:t xml:space="preserve">historic test years. </w:t>
      </w:r>
    </w:p>
    <w:p w:rsidR="00860190" w:rsidRPr="00F43A57" w:rsidRDefault="00543CF7" w:rsidP="008274F9">
      <w:pPr>
        <w:pStyle w:val="MJDWUTCBrief"/>
        <w:spacing w:line="570" w:lineRule="exact"/>
      </w:pPr>
      <w:r>
        <w:lastRenderedPageBreak/>
        <w:tab/>
      </w:r>
      <w:r w:rsidR="00D832D8">
        <w:t>The S</w:t>
      </w:r>
      <w:r w:rsidR="00E347C0">
        <w:t xml:space="preserve">ettlement </w:t>
      </w:r>
      <w:r w:rsidR="00D832D8">
        <w:t>also</w:t>
      </w:r>
      <w:r w:rsidR="00E347C0">
        <w:t xml:space="preserve"> suffers from so many legal infirmities that the Commission could not possibly approve it in its current form</w:t>
      </w:r>
      <w:r w:rsidR="00D832D8">
        <w:t xml:space="preserve"> without violating an array of rules and statutes</w:t>
      </w:r>
      <w:r w:rsidR="00E347C0">
        <w:t xml:space="preserve">.  Perhaps if Staff and PSE had included all the parties during </w:t>
      </w:r>
      <w:r w:rsidR="009A5C30">
        <w:t>their</w:t>
      </w:r>
      <w:r w:rsidR="006E1DC6">
        <w:t xml:space="preserve"> S</w:t>
      </w:r>
      <w:r w:rsidR="00E347C0">
        <w:t>ettlement negotiations</w:t>
      </w:r>
      <w:r w:rsidR="009A5C30">
        <w:t>, a</w:t>
      </w:r>
      <w:r w:rsidR="00E347C0">
        <w:t xml:space="preserve"> creative solution could have been developed.  Instead</w:t>
      </w:r>
      <w:r w:rsidR="005A0AB7">
        <w:t>,</w:t>
      </w:r>
      <w:r w:rsidR="00E347C0">
        <w:t xml:space="preserve"> after weeks of nego</w:t>
      </w:r>
      <w:r w:rsidR="006E1DC6">
        <w:t>tiation in secret, the S</w:t>
      </w:r>
      <w:r w:rsidR="00E347C0">
        <w:t xml:space="preserve">ettlement </w:t>
      </w:r>
      <w:r w:rsidR="009A5C30">
        <w:t>was presented to ICNU as a take-it-</w:t>
      </w:r>
      <w:r w:rsidR="00613D8B">
        <w:t>or-</w:t>
      </w:r>
      <w:r w:rsidR="00E347C0">
        <w:t xml:space="preserve">leave it proposition.  While </w:t>
      </w:r>
      <w:r w:rsidR="006E1DC6">
        <w:t>it is too late to salvage this S</w:t>
      </w:r>
      <w:r w:rsidR="00E347C0">
        <w:t xml:space="preserve">ettlement, a carefully crafted, well-supported and balanced agreement may be possible in the future. </w:t>
      </w:r>
      <w:r w:rsidR="009A5C30">
        <w:t xml:space="preserve"> </w:t>
      </w:r>
      <w:r w:rsidR="009A5C30" w:rsidRPr="00F43A57">
        <w:t xml:space="preserve">This brief will address the extensive legal issues </w:t>
      </w:r>
      <w:r w:rsidR="009A5C30">
        <w:t>barring approval of this</w:t>
      </w:r>
      <w:r w:rsidR="006E1DC6">
        <w:t xml:space="preserve"> S</w:t>
      </w:r>
      <w:r w:rsidR="009A5C30" w:rsidRPr="00F43A57">
        <w:t>ettlement, as well as its significant evidentiary shortcomings.  The Commission has broad discretion to approve settlements in the public interest</w:t>
      </w:r>
      <w:r w:rsidR="009A5C30">
        <w:t xml:space="preserve">, yet for the following reasons, this </w:t>
      </w:r>
      <w:r w:rsidR="009A5C30" w:rsidRPr="00F43A57">
        <w:t>settlement is neither in the public interest</w:t>
      </w:r>
      <w:r w:rsidR="009A5C30">
        <w:t xml:space="preserve"> nor is it legally defensible</w:t>
      </w:r>
      <w:r w:rsidR="009A5C30" w:rsidRPr="00F43A57">
        <w:t>:</w:t>
      </w:r>
    </w:p>
    <w:p w:rsidR="00684CC9" w:rsidRPr="00684CC9" w:rsidRDefault="007D647D" w:rsidP="00684CC9">
      <w:pPr>
        <w:pStyle w:val="WUTCParagraph"/>
        <w:tabs>
          <w:tab w:val="clear" w:pos="0"/>
          <w:tab w:val="num" w:pos="360"/>
          <w:tab w:val="left" w:pos="900"/>
        </w:tabs>
        <w:spacing w:line="570" w:lineRule="exact"/>
        <w:ind w:left="360" w:hanging="1080"/>
      </w:pPr>
      <w:r>
        <w:t>●</w:t>
      </w:r>
      <w:r w:rsidR="00F43A57">
        <w:tab/>
      </w:r>
      <w:r w:rsidR="003D4391" w:rsidRPr="00F43A57">
        <w:t xml:space="preserve">The </w:t>
      </w:r>
      <w:r w:rsidR="00684CC9">
        <w:rPr>
          <w:lang w:val="en-US"/>
        </w:rPr>
        <w:t>Washington Administrative Procedures Act (“</w:t>
      </w:r>
      <w:r w:rsidR="003D4391" w:rsidRPr="00F43A57">
        <w:t>APA</w:t>
      </w:r>
      <w:r w:rsidR="00684CC9">
        <w:rPr>
          <w:lang w:val="en-US"/>
        </w:rPr>
        <w:t>”)</w:t>
      </w:r>
      <w:r w:rsidR="009A5C30">
        <w:t>, a</w:t>
      </w:r>
      <w:r w:rsidR="003D4391" w:rsidRPr="00F43A57">
        <w:t>s codified in RCW</w:t>
      </w:r>
      <w:r w:rsidR="009A5C30">
        <w:t xml:space="preserve"> </w:t>
      </w:r>
      <w:r w:rsidR="009A5C30" w:rsidRPr="009A5C30">
        <w:t>§</w:t>
      </w:r>
      <w:r w:rsidR="009A5C30">
        <w:t xml:space="preserve"> </w:t>
      </w:r>
    </w:p>
    <w:p w:rsidR="00684CC9" w:rsidRDefault="00684CC9" w:rsidP="00684CC9">
      <w:pPr>
        <w:pStyle w:val="WUTCParagraph"/>
        <w:numPr>
          <w:ilvl w:val="0"/>
          <w:numId w:val="0"/>
        </w:numPr>
        <w:tabs>
          <w:tab w:val="left" w:pos="900"/>
        </w:tabs>
        <w:spacing w:line="570" w:lineRule="exact"/>
        <w:ind w:left="360"/>
        <w:rPr>
          <w:lang w:val="en-US"/>
        </w:rPr>
      </w:pPr>
      <w:r>
        <w:rPr>
          <w:lang w:val="en-US"/>
        </w:rPr>
        <w:tab/>
      </w:r>
      <w:r w:rsidR="0064055A">
        <w:t>3</w:t>
      </w:r>
      <w:r w:rsidR="0064055A">
        <w:rPr>
          <w:lang w:val="en-US"/>
        </w:rPr>
        <w:t>4</w:t>
      </w:r>
      <w:r w:rsidR="009A5C30">
        <w:t>.05</w:t>
      </w:r>
      <w:r w:rsidR="00A409CB">
        <w:t>.476</w:t>
      </w:r>
      <w:r w:rsidR="007D1044">
        <w:rPr>
          <w:lang w:val="en-US"/>
        </w:rPr>
        <w:t>,</w:t>
      </w:r>
      <w:r w:rsidR="009A5C30">
        <w:t xml:space="preserve"> </w:t>
      </w:r>
      <w:r w:rsidR="003D4391" w:rsidRPr="00F43A57">
        <w:t>mandates that the Commission ma</w:t>
      </w:r>
      <w:r w:rsidR="00577591">
        <w:t>k</w:t>
      </w:r>
      <w:r w:rsidR="003D4391" w:rsidRPr="00F43A57">
        <w:t xml:space="preserve">e a finding in the ERF and </w:t>
      </w:r>
    </w:p>
    <w:p w:rsidR="00684CC9" w:rsidRDefault="00684CC9" w:rsidP="00684CC9">
      <w:pPr>
        <w:pStyle w:val="WUTCParagraph"/>
        <w:numPr>
          <w:ilvl w:val="0"/>
          <w:numId w:val="0"/>
        </w:numPr>
        <w:tabs>
          <w:tab w:val="left" w:pos="900"/>
        </w:tabs>
        <w:spacing w:line="570" w:lineRule="exact"/>
        <w:ind w:left="720"/>
        <w:rPr>
          <w:lang w:val="en-US"/>
        </w:rPr>
      </w:pPr>
      <w:r>
        <w:rPr>
          <w:lang w:val="en-US"/>
        </w:rPr>
        <w:tab/>
      </w:r>
      <w:r w:rsidR="003D4391" w:rsidRPr="00F43A57">
        <w:t>Decoupling dockets based on evidentiary records in each</w:t>
      </w:r>
      <w:r w:rsidR="009A5C30">
        <w:t xml:space="preserve"> respective docket</w:t>
      </w:r>
      <w:r w:rsidR="003D4391" w:rsidRPr="00F43A57">
        <w:t xml:space="preserve">.  It </w:t>
      </w:r>
    </w:p>
    <w:p w:rsidR="00684CC9" w:rsidRDefault="00684CC9" w:rsidP="00684CC9">
      <w:pPr>
        <w:pStyle w:val="WUTCParagraph"/>
        <w:numPr>
          <w:ilvl w:val="0"/>
          <w:numId w:val="0"/>
        </w:numPr>
        <w:tabs>
          <w:tab w:val="left" w:pos="900"/>
        </w:tabs>
        <w:spacing w:line="570" w:lineRule="exact"/>
        <w:ind w:left="720"/>
        <w:rPr>
          <w:lang w:val="en-US"/>
        </w:rPr>
      </w:pPr>
      <w:r>
        <w:rPr>
          <w:lang w:val="en-US"/>
        </w:rPr>
        <w:tab/>
      </w:r>
      <w:r w:rsidR="003D4391" w:rsidRPr="00F43A57">
        <w:t xml:space="preserve">is not possible not to do this and approve the </w:t>
      </w:r>
      <w:r w:rsidR="006E1DC6" w:rsidRPr="00684CC9">
        <w:rPr>
          <w:lang w:val="en-US"/>
        </w:rPr>
        <w:t>S</w:t>
      </w:r>
      <w:r w:rsidR="003D4391" w:rsidRPr="00F43A57">
        <w:t xml:space="preserve">ettlement since the </w:t>
      </w:r>
      <w:r w:rsidR="003D4391" w:rsidRPr="00684CC9">
        <w:rPr>
          <w:i/>
        </w:rPr>
        <w:t>quid pro quo</w:t>
      </w:r>
      <w:r w:rsidR="003D4391" w:rsidRPr="00F43A57">
        <w:t xml:space="preserve"> </w:t>
      </w:r>
    </w:p>
    <w:p w:rsidR="003D4391" w:rsidRPr="00F43A57" w:rsidRDefault="00684CC9" w:rsidP="00684CC9">
      <w:pPr>
        <w:pStyle w:val="WUTCParagraph"/>
        <w:numPr>
          <w:ilvl w:val="0"/>
          <w:numId w:val="0"/>
        </w:numPr>
        <w:tabs>
          <w:tab w:val="left" w:pos="900"/>
        </w:tabs>
        <w:spacing w:line="570" w:lineRule="exact"/>
        <w:ind w:left="720"/>
      </w:pPr>
      <w:r>
        <w:rPr>
          <w:lang w:val="en-US"/>
        </w:rPr>
        <w:tab/>
      </w:r>
      <w:r w:rsidR="003D4391" w:rsidRPr="00F43A57">
        <w:t xml:space="preserve">involves the Centralia docket, </w:t>
      </w:r>
      <w:r w:rsidR="009A5C30">
        <w:t xml:space="preserve">in </w:t>
      </w:r>
      <w:r w:rsidR="003D4391" w:rsidRPr="00F43A57">
        <w:t>which a final order</w:t>
      </w:r>
      <w:r w:rsidR="009A5C30">
        <w:t xml:space="preserve"> has</w:t>
      </w:r>
      <w:r w:rsidR="003D4391" w:rsidRPr="00F43A57">
        <w:t xml:space="preserve"> </w:t>
      </w:r>
      <w:r w:rsidR="0064055A">
        <w:rPr>
          <w:lang w:val="en-US"/>
        </w:rPr>
        <w:t xml:space="preserve">been </w:t>
      </w:r>
      <w:r w:rsidR="003D4391" w:rsidRPr="00F43A57">
        <w:t>issued</w:t>
      </w:r>
      <w:r w:rsidR="008274F9" w:rsidRPr="00684CC9">
        <w:rPr>
          <w:lang w:val="en-US"/>
        </w:rPr>
        <w:t>;</w:t>
      </w:r>
      <w:r w:rsidR="003D4391" w:rsidRPr="00F43A57">
        <w:t xml:space="preserve"> </w:t>
      </w:r>
    </w:p>
    <w:p w:rsidR="0029704C" w:rsidRPr="0029704C"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3D4391" w:rsidRPr="00F43A57">
        <w:t xml:space="preserve">The ERF and Decoupling dockets share a common record, but curiously were </w:t>
      </w:r>
    </w:p>
    <w:p w:rsidR="007D1044" w:rsidRDefault="0029704C" w:rsidP="008274F9">
      <w:pPr>
        <w:pStyle w:val="WUTCParagraph"/>
        <w:numPr>
          <w:ilvl w:val="0"/>
          <w:numId w:val="0"/>
        </w:numPr>
        <w:tabs>
          <w:tab w:val="clear" w:pos="1440"/>
          <w:tab w:val="left" w:pos="900"/>
        </w:tabs>
        <w:spacing w:line="570" w:lineRule="exact"/>
        <w:rPr>
          <w:lang w:val="en-US"/>
        </w:rPr>
      </w:pPr>
      <w:r>
        <w:rPr>
          <w:lang w:val="en-US"/>
        </w:rPr>
        <w:tab/>
      </w:r>
      <w:r w:rsidR="003D4391" w:rsidRPr="00F43A57">
        <w:t xml:space="preserve">not consolidated.  </w:t>
      </w:r>
      <w:r w:rsidR="009A5C30">
        <w:t>In the first year, the</w:t>
      </w:r>
      <w:r w:rsidR="003D4391" w:rsidRPr="00F43A57">
        <w:t xml:space="preserve"> ERF</w:t>
      </w:r>
      <w:r w:rsidR="006E1DC6">
        <w:t xml:space="preserve"> and </w:t>
      </w:r>
      <w:r w:rsidR="006E1DC6">
        <w:rPr>
          <w:lang w:val="en-US"/>
        </w:rPr>
        <w:t>D</w:t>
      </w:r>
      <w:r w:rsidR="009A5C30">
        <w:t>ecoupling</w:t>
      </w:r>
      <w:r w:rsidR="003D4391" w:rsidRPr="00F43A57">
        <w:t xml:space="preserve"> docket</w:t>
      </w:r>
      <w:r w:rsidR="009A5C30">
        <w:t xml:space="preserve">s </w:t>
      </w:r>
      <w:r w:rsidR="007D1044">
        <w:rPr>
          <w:lang w:val="en-US"/>
        </w:rPr>
        <w:t xml:space="preserve">collectively </w:t>
      </w:r>
    </w:p>
    <w:p w:rsidR="007D1044" w:rsidRDefault="007D1044" w:rsidP="008274F9">
      <w:pPr>
        <w:pStyle w:val="WUTCParagraph"/>
        <w:numPr>
          <w:ilvl w:val="0"/>
          <w:numId w:val="0"/>
        </w:numPr>
        <w:tabs>
          <w:tab w:val="clear" w:pos="1440"/>
          <w:tab w:val="left" w:pos="900"/>
        </w:tabs>
        <w:spacing w:line="570" w:lineRule="exact"/>
        <w:rPr>
          <w:lang w:val="en-US"/>
        </w:rPr>
      </w:pPr>
      <w:r>
        <w:rPr>
          <w:lang w:val="en-US"/>
        </w:rPr>
        <w:tab/>
      </w:r>
      <w:r w:rsidR="009A5C30">
        <w:t>will</w:t>
      </w:r>
      <w:r w:rsidR="003D4391" w:rsidRPr="00F43A57">
        <w:t xml:space="preserve"> raise electric customers’ rates by </w:t>
      </w:r>
      <w:r w:rsidR="009A5C30">
        <w:t>3.2</w:t>
      </w:r>
      <w:r w:rsidR="003D4391" w:rsidRPr="00F43A57">
        <w:t xml:space="preserve">%.  Under </w:t>
      </w:r>
      <w:r w:rsidR="005A0AB7">
        <w:t xml:space="preserve">WAC </w:t>
      </w:r>
      <w:r w:rsidR="005A0AB7" w:rsidRPr="005A0AB7">
        <w:t>§</w:t>
      </w:r>
      <w:r w:rsidR="005A0AB7">
        <w:t xml:space="preserve"> 480-07-505</w:t>
      </w:r>
      <w:r w:rsidR="003D4391" w:rsidRPr="00F43A57">
        <w:t xml:space="preserve">, this </w:t>
      </w:r>
    </w:p>
    <w:p w:rsidR="007D1044" w:rsidRDefault="007D1044" w:rsidP="007D1044">
      <w:pPr>
        <w:pStyle w:val="WUTCParagraph"/>
        <w:numPr>
          <w:ilvl w:val="0"/>
          <w:numId w:val="0"/>
        </w:numPr>
        <w:tabs>
          <w:tab w:val="clear" w:pos="1440"/>
          <w:tab w:val="left" w:pos="900"/>
        </w:tabs>
        <w:spacing w:line="570" w:lineRule="exact"/>
        <w:rPr>
          <w:lang w:val="en-US"/>
        </w:rPr>
      </w:pPr>
      <w:r>
        <w:rPr>
          <w:lang w:val="en-US"/>
        </w:rPr>
        <w:tab/>
      </w:r>
      <w:r w:rsidR="003D4391" w:rsidRPr="00F43A57">
        <w:t xml:space="preserve">proposed increase </w:t>
      </w:r>
      <w:r w:rsidR="005A0AB7">
        <w:t>should trigger</w:t>
      </w:r>
      <w:r w:rsidR="003D4391" w:rsidRPr="00F43A57">
        <w:t xml:space="preserve"> a general rate case.  Failure to designate these </w:t>
      </w:r>
    </w:p>
    <w:p w:rsidR="007D1044" w:rsidRDefault="007D1044" w:rsidP="007D1044">
      <w:pPr>
        <w:pStyle w:val="WUTCParagraph"/>
        <w:numPr>
          <w:ilvl w:val="0"/>
          <w:numId w:val="0"/>
        </w:numPr>
        <w:tabs>
          <w:tab w:val="clear" w:pos="1440"/>
          <w:tab w:val="left" w:pos="900"/>
        </w:tabs>
        <w:spacing w:line="570" w:lineRule="exact"/>
        <w:rPr>
          <w:lang w:val="en-US"/>
        </w:rPr>
      </w:pPr>
      <w:r>
        <w:rPr>
          <w:lang w:val="en-US"/>
        </w:rPr>
        <w:tab/>
      </w:r>
      <w:r w:rsidR="003D4391" w:rsidRPr="00F43A57">
        <w:t xml:space="preserve">dockets as a general rate case violates </w:t>
      </w:r>
      <w:r w:rsidR="006E1DC6">
        <w:rPr>
          <w:lang w:val="en-US"/>
        </w:rPr>
        <w:t xml:space="preserve">this </w:t>
      </w:r>
      <w:r w:rsidR="006E1DC6">
        <w:t>Commissio</w:t>
      </w:r>
      <w:r w:rsidR="006E1DC6">
        <w:rPr>
          <w:lang w:val="en-US"/>
        </w:rPr>
        <w:t>n</w:t>
      </w:r>
      <w:r w:rsidR="006E1DC6">
        <w:t xml:space="preserve"> rule.  The </w:t>
      </w:r>
      <w:r w:rsidR="006E1DC6">
        <w:rPr>
          <w:lang w:val="en-US"/>
        </w:rPr>
        <w:t>D</w:t>
      </w:r>
      <w:r w:rsidR="003D4391" w:rsidRPr="00F43A57">
        <w:t xml:space="preserve">ecoupling </w:t>
      </w:r>
    </w:p>
    <w:p w:rsidR="007D1044" w:rsidRDefault="007D1044" w:rsidP="007D1044">
      <w:pPr>
        <w:pStyle w:val="WUTCParagraph"/>
        <w:numPr>
          <w:ilvl w:val="0"/>
          <w:numId w:val="0"/>
        </w:numPr>
        <w:tabs>
          <w:tab w:val="clear" w:pos="1440"/>
          <w:tab w:val="left" w:pos="900"/>
        </w:tabs>
        <w:spacing w:line="570" w:lineRule="exact"/>
        <w:rPr>
          <w:lang w:val="en-US"/>
        </w:rPr>
      </w:pPr>
      <w:r>
        <w:rPr>
          <w:lang w:val="en-US"/>
        </w:rPr>
        <w:tab/>
      </w:r>
      <w:r w:rsidR="003D4391" w:rsidRPr="00F43A57">
        <w:t xml:space="preserve">3% </w:t>
      </w:r>
      <w:r w:rsidR="009A5C30">
        <w:t>soft cap</w:t>
      </w:r>
      <w:r w:rsidR="003D4391" w:rsidRPr="00F43A57">
        <w:t xml:space="preserve"> also violates this provision as any amount over 3% </w:t>
      </w:r>
      <w:r w:rsidR="009A5C30">
        <w:t>would be</w:t>
      </w:r>
      <w:r w:rsidR="003D4391" w:rsidRPr="00F43A57">
        <w:t xml:space="preserve"> </w:t>
      </w:r>
    </w:p>
    <w:p w:rsidR="003D4391" w:rsidRPr="008274F9" w:rsidRDefault="007D1044" w:rsidP="007D1044">
      <w:pPr>
        <w:pStyle w:val="WUTCParagraph"/>
        <w:numPr>
          <w:ilvl w:val="0"/>
          <w:numId w:val="0"/>
        </w:numPr>
        <w:tabs>
          <w:tab w:val="clear" w:pos="1440"/>
          <w:tab w:val="left" w:pos="900"/>
        </w:tabs>
        <w:spacing w:line="570" w:lineRule="exact"/>
        <w:rPr>
          <w:lang w:val="en-US"/>
        </w:rPr>
      </w:pPr>
      <w:r>
        <w:rPr>
          <w:lang w:val="en-US"/>
        </w:rPr>
        <w:lastRenderedPageBreak/>
        <w:tab/>
      </w:r>
      <w:r w:rsidR="003D4391" w:rsidRPr="00F43A57">
        <w:t>deferred</w:t>
      </w:r>
      <w:r w:rsidR="00577591">
        <w:t xml:space="preserve"> and collected with interest</w:t>
      </w:r>
      <w:r w:rsidR="008274F9">
        <w:rPr>
          <w:lang w:val="en-US"/>
        </w:rPr>
        <w:t>;</w:t>
      </w:r>
    </w:p>
    <w:p w:rsidR="001E170A" w:rsidRPr="001E170A" w:rsidRDefault="00A409CB" w:rsidP="008274F9">
      <w:pPr>
        <w:pStyle w:val="WUTCParagraph"/>
        <w:tabs>
          <w:tab w:val="clear" w:pos="0"/>
          <w:tab w:val="clear" w:pos="1440"/>
          <w:tab w:val="num" w:pos="360"/>
          <w:tab w:val="left" w:pos="900"/>
        </w:tabs>
        <w:spacing w:line="570" w:lineRule="exact"/>
        <w:ind w:left="360" w:hanging="1080"/>
      </w:pPr>
      <w:r>
        <w:t>●</w:t>
      </w:r>
      <w:r>
        <w:tab/>
        <w:t xml:space="preserve">The Settlement allows for </w:t>
      </w:r>
      <w:r w:rsidR="001E170A">
        <w:rPr>
          <w:lang w:val="en-US"/>
        </w:rPr>
        <w:t>Power Cost Only Rate Case (“</w:t>
      </w:r>
      <w:r>
        <w:t>PCORC</w:t>
      </w:r>
      <w:r w:rsidR="001E170A">
        <w:rPr>
          <w:lang w:val="en-US"/>
        </w:rPr>
        <w:t>”)</w:t>
      </w:r>
      <w:r>
        <w:t xml:space="preserve"> rate cases </w:t>
      </w:r>
    </w:p>
    <w:p w:rsidR="001E170A" w:rsidRDefault="001E170A" w:rsidP="008274F9">
      <w:pPr>
        <w:pStyle w:val="WUTCParagraph"/>
        <w:numPr>
          <w:ilvl w:val="0"/>
          <w:numId w:val="0"/>
        </w:numPr>
        <w:tabs>
          <w:tab w:val="clear" w:pos="1440"/>
          <w:tab w:val="left" w:pos="900"/>
        </w:tabs>
        <w:spacing w:line="570" w:lineRule="exact"/>
        <w:ind w:left="720"/>
        <w:rPr>
          <w:lang w:val="en-US"/>
        </w:rPr>
      </w:pPr>
      <w:r>
        <w:rPr>
          <w:lang w:val="en-US"/>
        </w:rPr>
        <w:tab/>
      </w:r>
      <w:r w:rsidR="00A409CB">
        <w:t xml:space="preserve">without the protection of a follow-up GRC.  This can only be changed in the </w:t>
      </w:r>
    </w:p>
    <w:p w:rsidR="001E170A" w:rsidRDefault="001E170A" w:rsidP="008274F9">
      <w:pPr>
        <w:pStyle w:val="WUTCParagraph"/>
        <w:numPr>
          <w:ilvl w:val="0"/>
          <w:numId w:val="0"/>
        </w:numPr>
        <w:tabs>
          <w:tab w:val="clear" w:pos="1440"/>
          <w:tab w:val="left" w:pos="900"/>
        </w:tabs>
        <w:spacing w:line="570" w:lineRule="exact"/>
        <w:ind w:left="720"/>
        <w:rPr>
          <w:lang w:val="en-US"/>
        </w:rPr>
      </w:pPr>
      <w:r>
        <w:rPr>
          <w:lang w:val="en-US"/>
        </w:rPr>
        <w:tab/>
      </w:r>
      <w:r w:rsidR="00A409CB">
        <w:t>PCORC Docket by amending O</w:t>
      </w:r>
      <w:r>
        <w:t xml:space="preserve">rder 12 in Docket No. 011570.  </w:t>
      </w:r>
      <w:r>
        <w:rPr>
          <w:lang w:val="en-US"/>
        </w:rPr>
        <w:t xml:space="preserve">A settlement, </w:t>
      </w:r>
    </w:p>
    <w:p w:rsidR="001E170A" w:rsidRDefault="001E170A" w:rsidP="008274F9">
      <w:pPr>
        <w:pStyle w:val="WUTCParagraph"/>
        <w:numPr>
          <w:ilvl w:val="0"/>
          <w:numId w:val="0"/>
        </w:numPr>
        <w:tabs>
          <w:tab w:val="clear" w:pos="1440"/>
          <w:tab w:val="left" w:pos="900"/>
        </w:tabs>
        <w:spacing w:line="570" w:lineRule="exact"/>
        <w:ind w:left="720"/>
        <w:rPr>
          <w:lang w:val="en-US"/>
        </w:rPr>
      </w:pPr>
      <w:r>
        <w:rPr>
          <w:lang w:val="en-US"/>
        </w:rPr>
        <w:tab/>
        <w:t xml:space="preserve">even if approved by the Commission, cannot serve to amend an order </w:t>
      </w:r>
    </w:p>
    <w:p w:rsidR="00604D9C" w:rsidRDefault="001E170A" w:rsidP="008274F9">
      <w:pPr>
        <w:pStyle w:val="WUTCParagraph"/>
        <w:numPr>
          <w:ilvl w:val="0"/>
          <w:numId w:val="0"/>
        </w:numPr>
        <w:tabs>
          <w:tab w:val="clear" w:pos="1440"/>
          <w:tab w:val="left" w:pos="900"/>
        </w:tabs>
        <w:spacing w:line="570" w:lineRule="exact"/>
        <w:ind w:left="720"/>
        <w:rPr>
          <w:lang w:val="en-US"/>
        </w:rPr>
      </w:pPr>
      <w:r>
        <w:rPr>
          <w:lang w:val="en-US"/>
        </w:rPr>
        <w:tab/>
        <w:t>establishing guidelines for future PCORC filings</w:t>
      </w:r>
      <w:r w:rsidR="00604D9C">
        <w:rPr>
          <w:lang w:val="en-US"/>
        </w:rPr>
        <w:t xml:space="preserve"> without again violating the </w:t>
      </w:r>
    </w:p>
    <w:p w:rsidR="00A409CB" w:rsidRPr="001E170A" w:rsidRDefault="00604D9C" w:rsidP="008274F9">
      <w:pPr>
        <w:pStyle w:val="WUTCParagraph"/>
        <w:numPr>
          <w:ilvl w:val="0"/>
          <w:numId w:val="0"/>
        </w:numPr>
        <w:tabs>
          <w:tab w:val="clear" w:pos="1440"/>
          <w:tab w:val="left" w:pos="900"/>
        </w:tabs>
        <w:spacing w:line="570" w:lineRule="exact"/>
        <w:ind w:left="720"/>
        <w:rPr>
          <w:lang w:val="en-US"/>
        </w:rPr>
      </w:pPr>
      <w:r>
        <w:rPr>
          <w:lang w:val="en-US"/>
        </w:rPr>
        <w:tab/>
        <w:t>APA and the Commission</w:t>
      </w:r>
      <w:r w:rsidR="007D1044">
        <w:rPr>
          <w:lang w:val="en-US"/>
        </w:rPr>
        <w:t>’s</w:t>
      </w:r>
      <w:r>
        <w:rPr>
          <w:lang w:val="en-US"/>
        </w:rPr>
        <w:t xml:space="preserve"> rules</w:t>
      </w:r>
      <w:r w:rsidR="008274F9">
        <w:rPr>
          <w:lang w:val="en-US"/>
        </w:rPr>
        <w:t>;</w:t>
      </w:r>
    </w:p>
    <w:p w:rsidR="0029704C" w:rsidRPr="0029704C" w:rsidRDefault="007D647D" w:rsidP="00053E7D">
      <w:pPr>
        <w:pStyle w:val="WUTCParagraph"/>
        <w:tabs>
          <w:tab w:val="clear" w:pos="0"/>
          <w:tab w:val="clear" w:pos="1440"/>
          <w:tab w:val="num" w:pos="360"/>
          <w:tab w:val="left" w:pos="900"/>
        </w:tabs>
        <w:spacing w:line="570" w:lineRule="exact"/>
        <w:ind w:left="360" w:hanging="1080"/>
      </w:pPr>
      <w:r>
        <w:t>●</w:t>
      </w:r>
      <w:r w:rsidR="00F43A57">
        <w:tab/>
      </w:r>
      <w:r w:rsidR="005A0AB7">
        <w:t>V</w:t>
      </w:r>
      <w:r w:rsidR="003D4391" w:rsidRPr="00F43A57">
        <w:t>ery little evidence</w:t>
      </w:r>
      <w:r w:rsidR="005A0AB7">
        <w:t xml:space="preserve"> supports these dockets.  Staff and PSE rely on</w:t>
      </w:r>
      <w:r w:rsidR="003D4391" w:rsidRPr="00F43A57">
        <w:t xml:space="preserve"> “gut </w:t>
      </w:r>
    </w:p>
    <w:p w:rsidR="0029704C"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reaction</w:t>
      </w:r>
      <w:r w:rsidR="005A0AB7">
        <w:t>,</w:t>
      </w:r>
      <w:r w:rsidR="003D4391" w:rsidRPr="00F43A57">
        <w:t xml:space="preserve">” </w:t>
      </w:r>
      <w:r w:rsidR="00577591" w:rsidRPr="00F43A57">
        <w:t>anecdotal</w:t>
      </w:r>
      <w:r w:rsidR="005A0AB7">
        <w:t xml:space="preserve"> evidence</w:t>
      </w:r>
      <w:r w:rsidR="003D4391" w:rsidRPr="00F43A57">
        <w:t xml:space="preserve">, and </w:t>
      </w:r>
      <w:r w:rsidR="005A0AB7">
        <w:t>unaudited</w:t>
      </w:r>
      <w:r w:rsidR="003D4391" w:rsidRPr="00F43A57">
        <w:t xml:space="preserve"> historical performances to support </w:t>
      </w:r>
    </w:p>
    <w:p w:rsidR="001E170A"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a 3</w:t>
      </w:r>
      <w:r w:rsidR="000627FD">
        <w:rPr>
          <w:lang w:val="en-US"/>
        </w:rPr>
        <w:t>.2</w:t>
      </w:r>
      <w:r w:rsidR="003D4391" w:rsidRPr="00F43A57">
        <w:t xml:space="preserve">% rate increase </w:t>
      </w:r>
      <w:r w:rsidR="001E170A">
        <w:rPr>
          <w:lang w:val="en-US"/>
        </w:rPr>
        <w:t xml:space="preserve"> in year one and potential higher increases over </w:t>
      </w:r>
      <w:r w:rsidR="003D4391" w:rsidRPr="00F43A57">
        <w:t xml:space="preserve">for the next </w:t>
      </w:r>
    </w:p>
    <w:p w:rsidR="001E170A" w:rsidRDefault="001E170A"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 xml:space="preserve">four years.  </w:t>
      </w:r>
      <w:r w:rsidR="005A0AB7">
        <w:t xml:space="preserve">The ERF and </w:t>
      </w:r>
      <w:r w:rsidR="006A0E11">
        <w:t>K-factor</w:t>
      </w:r>
      <w:r w:rsidR="005A0AB7">
        <w:t xml:space="preserve"> are </w:t>
      </w:r>
      <w:r w:rsidR="003D4391" w:rsidRPr="00F43A57">
        <w:t xml:space="preserve">being sought under the guise of an </w:t>
      </w:r>
    </w:p>
    <w:p w:rsidR="001E170A" w:rsidRDefault="001E170A"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attrit</w:t>
      </w:r>
      <w:r w:rsidR="00577591">
        <w:t>ion adjustment, yet there is no</w:t>
      </w:r>
      <w:r w:rsidR="003D4391" w:rsidRPr="00F43A57">
        <w:t xml:space="preserve"> attrition study to provid</w:t>
      </w:r>
      <w:r w:rsidR="005A0AB7">
        <w:t xml:space="preserve">e evidentiary support </w:t>
      </w:r>
    </w:p>
    <w:p w:rsidR="00F43A57" w:rsidRPr="008274F9" w:rsidRDefault="001E170A" w:rsidP="008274F9">
      <w:pPr>
        <w:pStyle w:val="WUTCParagraph"/>
        <w:numPr>
          <w:ilvl w:val="0"/>
          <w:numId w:val="0"/>
        </w:numPr>
        <w:tabs>
          <w:tab w:val="clear" w:pos="1440"/>
          <w:tab w:val="left" w:pos="900"/>
        </w:tabs>
        <w:spacing w:line="570" w:lineRule="exact"/>
        <w:ind w:left="360"/>
        <w:rPr>
          <w:lang w:val="en-US"/>
        </w:rPr>
      </w:pPr>
      <w:r>
        <w:rPr>
          <w:lang w:val="en-US"/>
        </w:rPr>
        <w:tab/>
      </w:r>
      <w:r w:rsidR="005A0AB7">
        <w:t>for a one-</w:t>
      </w:r>
      <w:r w:rsidR="003D4391" w:rsidRPr="00F43A57">
        <w:t>year adjustment</w:t>
      </w:r>
      <w:r w:rsidR="005A0AB7">
        <w:t>,</w:t>
      </w:r>
      <w:r w:rsidR="003D4391" w:rsidRPr="00F43A57">
        <w:t xml:space="preserve"> much less </w:t>
      </w:r>
      <w:r w:rsidR="00577591">
        <w:t xml:space="preserve">annual </w:t>
      </w:r>
      <w:r w:rsidR="005A0AB7">
        <w:t xml:space="preserve">adjustments </w:t>
      </w:r>
      <w:r w:rsidR="003D4391" w:rsidRPr="00F43A57">
        <w:t xml:space="preserve">for </w:t>
      </w:r>
      <w:r w:rsidR="000627FD">
        <w:rPr>
          <w:lang w:val="en-US"/>
        </w:rPr>
        <w:t xml:space="preserve">possibly </w:t>
      </w:r>
      <w:r w:rsidR="003D4391" w:rsidRPr="00F43A57">
        <w:t>four years</w:t>
      </w:r>
      <w:r w:rsidR="008274F9">
        <w:rPr>
          <w:lang w:val="en-US"/>
        </w:rPr>
        <w:t>;</w:t>
      </w:r>
    </w:p>
    <w:p w:rsidR="0029704C" w:rsidRPr="0029704C"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3D4391" w:rsidRPr="00F43A57">
        <w:t xml:space="preserve">The Decoupling proposal fails to follow most of the hard-fought consumer </w:t>
      </w:r>
    </w:p>
    <w:p w:rsidR="0029704C"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protec</w:t>
      </w:r>
      <w:r w:rsidR="000627FD">
        <w:t xml:space="preserve">tions in the Decoupling Policy </w:t>
      </w:r>
      <w:r w:rsidR="000627FD">
        <w:rPr>
          <w:lang w:val="en-US"/>
        </w:rPr>
        <w:t>S</w:t>
      </w:r>
      <w:r w:rsidR="003D4391" w:rsidRPr="00F43A57">
        <w:t>tatement.  It is un</w:t>
      </w:r>
      <w:r w:rsidR="005A0AB7">
        <w:t xml:space="preserve">balanced, ill-conceived </w:t>
      </w:r>
    </w:p>
    <w:p w:rsidR="0029704C"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5A0AB7">
        <w:t xml:space="preserve">and </w:t>
      </w:r>
      <w:r w:rsidR="003D4391" w:rsidRPr="00F43A57">
        <w:t xml:space="preserve">discriminatory.  The settlement excludes industrial natural gas sales and </w:t>
      </w:r>
    </w:p>
    <w:p w:rsidR="00F43A57" w:rsidRPr="008274F9"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transportation customers</w:t>
      </w:r>
      <w:r w:rsidR="000627FD">
        <w:rPr>
          <w:lang w:val="en-US"/>
        </w:rPr>
        <w:t>,</w:t>
      </w:r>
      <w:r w:rsidR="003D4391" w:rsidRPr="00F43A57">
        <w:t xml:space="preserve"> but does not exclude the industrial electric customers</w:t>
      </w:r>
      <w:r w:rsidR="008274F9">
        <w:rPr>
          <w:lang w:val="en-US"/>
        </w:rPr>
        <w:t>;</w:t>
      </w:r>
    </w:p>
    <w:p w:rsidR="0022552F" w:rsidRDefault="007D647D" w:rsidP="008274F9">
      <w:pPr>
        <w:pStyle w:val="WUTCParagraph"/>
        <w:tabs>
          <w:tab w:val="clear" w:pos="0"/>
          <w:tab w:val="clear" w:pos="1440"/>
          <w:tab w:val="num" w:pos="360"/>
          <w:tab w:val="left" w:pos="900"/>
        </w:tabs>
        <w:spacing w:line="570" w:lineRule="exact"/>
        <w:ind w:left="360" w:hanging="1080"/>
        <w:rPr>
          <w:lang w:val="en-US"/>
        </w:rPr>
      </w:pPr>
      <w:r>
        <w:t>●</w:t>
      </w:r>
      <w:r w:rsidR="00F43A57">
        <w:tab/>
      </w:r>
      <w:r w:rsidR="0022552F" w:rsidRPr="0022552F">
        <w:t xml:space="preserve">PSE’s use of end-of-period (“EOP”) rate base in the ERF Commission Basis </w:t>
      </w:r>
    </w:p>
    <w:p w:rsidR="00F0747F" w:rsidRDefault="0022552F" w:rsidP="008274F9">
      <w:pPr>
        <w:pStyle w:val="WUTCParagraph"/>
        <w:numPr>
          <w:ilvl w:val="0"/>
          <w:numId w:val="0"/>
        </w:numPr>
        <w:tabs>
          <w:tab w:val="clear" w:pos="1440"/>
          <w:tab w:val="left" w:pos="900"/>
        </w:tabs>
        <w:spacing w:line="570" w:lineRule="exact"/>
        <w:ind w:left="360"/>
        <w:rPr>
          <w:lang w:val="en-US"/>
        </w:rPr>
      </w:pPr>
      <w:r>
        <w:rPr>
          <w:lang w:val="en-US"/>
        </w:rPr>
        <w:tab/>
      </w:r>
      <w:r w:rsidRPr="0022552F">
        <w:t>Report (“CBR”) rather tha</w:t>
      </w:r>
      <w:r w:rsidR="00F0747F">
        <w:t>n AM</w:t>
      </w:r>
      <w:r w:rsidR="00F0747F">
        <w:rPr>
          <w:lang w:val="en-US"/>
        </w:rPr>
        <w:t>A</w:t>
      </w:r>
      <w:r w:rsidRPr="0022552F">
        <w:t xml:space="preserve">  violates WAC § 480-100-257, which </w:t>
      </w:r>
    </w:p>
    <w:p w:rsidR="00F0747F" w:rsidRDefault="00F0747F" w:rsidP="008274F9">
      <w:pPr>
        <w:pStyle w:val="WUTCParagraph"/>
        <w:numPr>
          <w:ilvl w:val="0"/>
          <w:numId w:val="0"/>
        </w:numPr>
        <w:tabs>
          <w:tab w:val="clear" w:pos="1440"/>
          <w:tab w:val="left" w:pos="900"/>
        </w:tabs>
        <w:spacing w:line="570" w:lineRule="exact"/>
        <w:ind w:left="360"/>
        <w:rPr>
          <w:lang w:val="en-US"/>
        </w:rPr>
      </w:pPr>
      <w:r>
        <w:rPr>
          <w:lang w:val="en-US"/>
        </w:rPr>
        <w:tab/>
      </w:r>
      <w:r w:rsidR="0022552F" w:rsidRPr="0022552F">
        <w:t xml:space="preserve">requires a CBR to use the same adjustments as were accepted in its last GRC, </w:t>
      </w:r>
    </w:p>
    <w:p w:rsidR="00F0747F" w:rsidRDefault="00F0747F" w:rsidP="008274F9">
      <w:pPr>
        <w:pStyle w:val="WUTCParagraph"/>
        <w:numPr>
          <w:ilvl w:val="0"/>
          <w:numId w:val="0"/>
        </w:numPr>
        <w:tabs>
          <w:tab w:val="clear" w:pos="1440"/>
          <w:tab w:val="left" w:pos="900"/>
        </w:tabs>
        <w:spacing w:line="570" w:lineRule="exact"/>
        <w:ind w:left="360"/>
        <w:rPr>
          <w:lang w:val="en-US"/>
        </w:rPr>
      </w:pPr>
      <w:r>
        <w:rPr>
          <w:lang w:val="en-US"/>
        </w:rPr>
        <w:tab/>
      </w:r>
      <w:r w:rsidR="0022552F" w:rsidRPr="0022552F">
        <w:t xml:space="preserve">which for PSE means AMA.  PSE’s use of EOP also violates the matching </w:t>
      </w:r>
    </w:p>
    <w:p w:rsidR="00053E7D" w:rsidRDefault="00F0747F" w:rsidP="00053E7D">
      <w:pPr>
        <w:pStyle w:val="WUTCParagraph"/>
        <w:numPr>
          <w:ilvl w:val="0"/>
          <w:numId w:val="0"/>
        </w:numPr>
        <w:tabs>
          <w:tab w:val="clear" w:pos="1440"/>
          <w:tab w:val="left" w:pos="900"/>
        </w:tabs>
        <w:spacing w:line="570" w:lineRule="exact"/>
        <w:ind w:left="360"/>
        <w:rPr>
          <w:lang w:val="en-US"/>
        </w:rPr>
      </w:pPr>
      <w:r>
        <w:rPr>
          <w:lang w:val="en-US"/>
        </w:rPr>
        <w:tab/>
      </w:r>
      <w:r w:rsidR="0022552F" w:rsidRPr="0022552F">
        <w:t xml:space="preserve">principle </w:t>
      </w:r>
      <w:r w:rsidR="00053E7D">
        <w:rPr>
          <w:lang w:val="en-US"/>
        </w:rPr>
        <w:t xml:space="preserve">because </w:t>
      </w:r>
      <w:r w:rsidR="0022552F" w:rsidRPr="0022552F">
        <w:t>it does not adjust its customer count or revenues levels to pro-</w:t>
      </w:r>
    </w:p>
    <w:p w:rsidR="00053E7D" w:rsidRDefault="00053E7D" w:rsidP="00053E7D">
      <w:pPr>
        <w:pStyle w:val="WUTCParagraph"/>
        <w:numPr>
          <w:ilvl w:val="0"/>
          <w:numId w:val="0"/>
        </w:numPr>
        <w:tabs>
          <w:tab w:val="clear" w:pos="1440"/>
          <w:tab w:val="left" w:pos="900"/>
        </w:tabs>
        <w:spacing w:line="570" w:lineRule="exact"/>
        <w:ind w:left="360"/>
        <w:rPr>
          <w:lang w:val="en-US"/>
        </w:rPr>
      </w:pPr>
      <w:r>
        <w:rPr>
          <w:lang w:val="en-US"/>
        </w:rPr>
        <w:lastRenderedPageBreak/>
        <w:tab/>
      </w:r>
      <w:r w:rsidR="0022552F" w:rsidRPr="0022552F">
        <w:t xml:space="preserve">forma year-end figures, as explicitly required by the Commission in the </w:t>
      </w:r>
    </w:p>
    <w:p w:rsidR="00053E7D" w:rsidRDefault="00053E7D" w:rsidP="00053E7D">
      <w:pPr>
        <w:pStyle w:val="WUTCParagraph"/>
        <w:numPr>
          <w:ilvl w:val="0"/>
          <w:numId w:val="0"/>
        </w:numPr>
        <w:tabs>
          <w:tab w:val="clear" w:pos="1440"/>
          <w:tab w:val="left" w:pos="900"/>
        </w:tabs>
        <w:spacing w:line="570" w:lineRule="exact"/>
        <w:ind w:left="720"/>
        <w:rPr>
          <w:lang w:val="en-US"/>
        </w:rPr>
      </w:pPr>
      <w:r>
        <w:rPr>
          <w:lang w:val="en-US"/>
        </w:rPr>
        <w:tab/>
      </w:r>
      <w:r w:rsidR="0022552F" w:rsidRPr="0022552F">
        <w:t xml:space="preserve">extraordinary event that EOP is accepted.  Use of EOP inflates the alleged ERF </w:t>
      </w:r>
    </w:p>
    <w:p w:rsidR="005A0AB7" w:rsidRPr="0022552F" w:rsidRDefault="0022552F" w:rsidP="00053E7D">
      <w:pPr>
        <w:pStyle w:val="WUTCParagraph"/>
        <w:numPr>
          <w:ilvl w:val="0"/>
          <w:numId w:val="0"/>
        </w:numPr>
        <w:tabs>
          <w:tab w:val="clear" w:pos="1440"/>
          <w:tab w:val="left" w:pos="900"/>
        </w:tabs>
        <w:spacing w:line="570" w:lineRule="exact"/>
        <w:ind w:left="900"/>
        <w:rPr>
          <w:lang w:val="en-US"/>
        </w:rPr>
      </w:pPr>
      <w:r w:rsidRPr="0022552F">
        <w:t xml:space="preserve">deficiency </w:t>
      </w:r>
      <w:r w:rsidRPr="00114A2C">
        <w:t>by approximately $13.6 million with no rationale for departing from longstanding precedent</w:t>
      </w:r>
      <w:r w:rsidRPr="00114A2C">
        <w:rPr>
          <w:lang w:val="en-US"/>
        </w:rPr>
        <w:t xml:space="preserve"> </w:t>
      </w:r>
      <w:r w:rsidR="000627FD" w:rsidRPr="00114A2C">
        <w:rPr>
          <w:lang w:val="en-US"/>
        </w:rPr>
        <w:t>or request for waiver of the rule mandating AMA</w:t>
      </w:r>
      <w:r w:rsidR="008274F9" w:rsidRPr="00114A2C">
        <w:rPr>
          <w:lang w:val="en-US"/>
        </w:rPr>
        <w:t>;</w:t>
      </w:r>
      <w:r w:rsidR="003D4391" w:rsidRPr="00F43A57">
        <w:t xml:space="preserve">  </w:t>
      </w:r>
    </w:p>
    <w:p w:rsidR="0029704C" w:rsidRPr="0029704C" w:rsidRDefault="005A0AB7" w:rsidP="008274F9">
      <w:pPr>
        <w:pStyle w:val="WUTCParagraph"/>
        <w:tabs>
          <w:tab w:val="clear" w:pos="0"/>
          <w:tab w:val="clear" w:pos="1440"/>
          <w:tab w:val="num" w:pos="360"/>
          <w:tab w:val="left" w:pos="900"/>
        </w:tabs>
        <w:spacing w:line="570" w:lineRule="exact"/>
        <w:ind w:left="360" w:hanging="1080"/>
      </w:pPr>
      <w:r>
        <w:t>●</w:t>
      </w:r>
      <w:r>
        <w:tab/>
      </w:r>
      <w:r w:rsidR="003D4391" w:rsidRPr="00F43A57">
        <w:t xml:space="preserve">Known and measurable changes are not made to project the historic costs into </w:t>
      </w:r>
    </w:p>
    <w:p w:rsidR="000627FD"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the future</w:t>
      </w:r>
      <w:r w:rsidR="009D0899">
        <w:t>.  For example,</w:t>
      </w:r>
      <w:r w:rsidR="003D4391" w:rsidRPr="00F43A57">
        <w:t xml:space="preserve"> </w:t>
      </w:r>
      <w:r w:rsidR="009D0899">
        <w:t xml:space="preserve">PSE has sold </w:t>
      </w:r>
      <w:r w:rsidR="003D4391" w:rsidRPr="00F43A57">
        <w:t xml:space="preserve">1.7% of </w:t>
      </w:r>
      <w:r w:rsidR="00577591">
        <w:t>its</w:t>
      </w:r>
      <w:r w:rsidR="009D0899">
        <w:t xml:space="preserve"> service territory</w:t>
      </w:r>
      <w:r w:rsidR="000627FD">
        <w:rPr>
          <w:lang w:val="en-US"/>
        </w:rPr>
        <w:t xml:space="preserve"> to Jefferson </w:t>
      </w:r>
    </w:p>
    <w:p w:rsidR="00114A2C" w:rsidRDefault="00114A2C" w:rsidP="00114A2C">
      <w:pPr>
        <w:pStyle w:val="WUTCParagraph"/>
        <w:numPr>
          <w:ilvl w:val="0"/>
          <w:numId w:val="0"/>
        </w:numPr>
        <w:tabs>
          <w:tab w:val="clear" w:pos="1440"/>
          <w:tab w:val="left" w:pos="900"/>
        </w:tabs>
        <w:spacing w:line="570" w:lineRule="exact"/>
        <w:ind w:left="720"/>
        <w:rPr>
          <w:lang w:val="en-US"/>
        </w:rPr>
      </w:pPr>
      <w:r>
        <w:rPr>
          <w:lang w:val="en-US"/>
        </w:rPr>
        <w:tab/>
        <w:t>County PUD</w:t>
      </w:r>
      <w:r w:rsidR="009D0899">
        <w:t>, but fails</w:t>
      </w:r>
      <w:r w:rsidR="003D4391" w:rsidRPr="00F43A57">
        <w:t xml:space="preserve"> to adjust the</w:t>
      </w:r>
      <w:r w:rsidR="009D0899">
        <w:t xml:space="preserve"> rate base and the revenues</w:t>
      </w:r>
      <w:r w:rsidR="00577591">
        <w:t>,</w:t>
      </w:r>
      <w:r w:rsidR="009D0899">
        <w:t xml:space="preserve"> putting</w:t>
      </w:r>
      <w:r w:rsidR="003D4391" w:rsidRPr="00F43A57">
        <w:t xml:space="preserve"> in place a </w:t>
      </w:r>
    </w:p>
    <w:p w:rsidR="00114A2C" w:rsidRDefault="00114A2C" w:rsidP="00114A2C">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baseline </w:t>
      </w:r>
      <w:r w:rsidR="009D0899">
        <w:t>for</w:t>
      </w:r>
      <w:r w:rsidR="003D4391" w:rsidRPr="00F43A57">
        <w:t xml:space="preserve"> future rate increases that is knowingly inaccurate</w:t>
      </w:r>
      <w:r w:rsidR="009D0899">
        <w:t>, while making</w:t>
      </w:r>
      <w:r w:rsidR="003D4391" w:rsidRPr="00F43A57">
        <w:t xml:space="preserve"> </w:t>
      </w:r>
    </w:p>
    <w:p w:rsidR="00114A2C" w:rsidRDefault="007D1044" w:rsidP="00114A2C">
      <w:pPr>
        <w:pStyle w:val="WUTCParagraph"/>
        <w:numPr>
          <w:ilvl w:val="0"/>
          <w:numId w:val="0"/>
        </w:numPr>
        <w:tabs>
          <w:tab w:val="clear" w:pos="1440"/>
          <w:tab w:val="left" w:pos="900"/>
        </w:tabs>
        <w:spacing w:line="570" w:lineRule="exact"/>
        <w:ind w:left="720"/>
        <w:rPr>
          <w:lang w:val="en-US"/>
        </w:rPr>
      </w:pPr>
      <w:r>
        <w:rPr>
          <w:lang w:val="en-US"/>
        </w:rPr>
        <w:tab/>
        <w:t>other pro forma chan</w:t>
      </w:r>
      <w:r w:rsidR="00114A2C">
        <w:rPr>
          <w:lang w:val="en-US"/>
        </w:rPr>
        <w:t xml:space="preserve">ges, including </w:t>
      </w:r>
      <w:r w:rsidR="003D4391" w:rsidRPr="00F43A57">
        <w:t xml:space="preserve">a pension adjustment that inflates its </w:t>
      </w:r>
    </w:p>
    <w:p w:rsidR="00F43A57" w:rsidRPr="008274F9" w:rsidRDefault="00114A2C" w:rsidP="00114A2C">
      <w:pPr>
        <w:pStyle w:val="WUTCParagraph"/>
        <w:numPr>
          <w:ilvl w:val="0"/>
          <w:numId w:val="0"/>
        </w:numPr>
        <w:tabs>
          <w:tab w:val="clear" w:pos="1440"/>
          <w:tab w:val="left" w:pos="900"/>
        </w:tabs>
        <w:spacing w:line="570" w:lineRule="exact"/>
        <w:ind w:left="720"/>
        <w:rPr>
          <w:lang w:val="en-US"/>
        </w:rPr>
      </w:pPr>
      <w:r>
        <w:rPr>
          <w:lang w:val="en-US"/>
        </w:rPr>
        <w:tab/>
      </w:r>
      <w:r w:rsidR="003D4391" w:rsidRPr="00F43A57">
        <w:t>expenses by over $9 million</w:t>
      </w:r>
      <w:r w:rsidR="008274F9">
        <w:rPr>
          <w:lang w:val="en-US"/>
        </w:rPr>
        <w:t>;</w:t>
      </w:r>
    </w:p>
    <w:p w:rsidR="0029704C" w:rsidRPr="0029704C"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463C14">
        <w:t>PSE requests to continue to</w:t>
      </w:r>
      <w:r w:rsidR="003D4391" w:rsidRPr="00F43A57">
        <w:t xml:space="preserve"> earn</w:t>
      </w:r>
      <w:r w:rsidR="00577591">
        <w:t xml:space="preserve"> a return</w:t>
      </w:r>
      <w:r w:rsidR="003D4391" w:rsidRPr="00F43A57">
        <w:t xml:space="preserve"> based on an inaccurate, hypothetical </w:t>
      </w:r>
    </w:p>
    <w:p w:rsidR="0029704C" w:rsidRDefault="0029704C" w:rsidP="008274F9">
      <w:pPr>
        <w:pStyle w:val="WUTCParagraph"/>
        <w:numPr>
          <w:ilvl w:val="0"/>
          <w:numId w:val="0"/>
        </w:numPr>
        <w:tabs>
          <w:tab w:val="clear" w:pos="1440"/>
          <w:tab w:val="left" w:pos="900"/>
        </w:tabs>
        <w:spacing w:line="570" w:lineRule="exact"/>
        <w:ind w:left="360"/>
        <w:rPr>
          <w:lang w:val="en-US"/>
        </w:rPr>
      </w:pPr>
      <w:r>
        <w:rPr>
          <w:lang w:val="en-US"/>
        </w:rPr>
        <w:tab/>
      </w:r>
      <w:r w:rsidR="003D4391" w:rsidRPr="00F43A57">
        <w:t>e</w:t>
      </w:r>
      <w:r w:rsidR="00463C14">
        <w:t>quity level of 48%</w:t>
      </w:r>
      <w:r w:rsidR="003D4391" w:rsidRPr="00F43A57">
        <w:t>.  PSE make</w:t>
      </w:r>
      <w:r w:rsidR="00463C14">
        <w:t>s</w:t>
      </w:r>
      <w:r w:rsidR="003D4391" w:rsidRPr="00F43A57">
        <w:t xml:space="preserve"> “regulatory” adjustments </w:t>
      </w:r>
      <w:r w:rsidR="00463C14">
        <w:t xml:space="preserve">that are not standard </w:t>
      </w:r>
    </w:p>
    <w:p w:rsidR="00174DC2"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463C14">
        <w:t xml:space="preserve">industry practice </w:t>
      </w:r>
      <w:r w:rsidR="003D4391" w:rsidRPr="00F43A57">
        <w:t xml:space="preserve">to get </w:t>
      </w:r>
      <w:r w:rsidR="00254D1D">
        <w:t xml:space="preserve">to the 48% level.  </w:t>
      </w:r>
      <w:r w:rsidR="00254D1D">
        <w:rPr>
          <w:lang w:val="en-US"/>
        </w:rPr>
        <w:t>There is n</w:t>
      </w:r>
      <w:r w:rsidR="00174DC2">
        <w:t>o Commission rule or case</w:t>
      </w:r>
      <w:r w:rsidR="00174DC2">
        <w:rPr>
          <w:lang w:val="en-US"/>
        </w:rPr>
        <w:t xml:space="preserve"> </w:t>
      </w:r>
    </w:p>
    <w:p w:rsidR="003D4391" w:rsidRPr="00174DC2" w:rsidRDefault="00174DC2"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that defines and approves of these adjustments</w:t>
      </w:r>
      <w:r w:rsidR="008274F9">
        <w:rPr>
          <w:lang w:val="en-US"/>
        </w:rPr>
        <w:t>;</w:t>
      </w:r>
      <w:r w:rsidR="003D4391" w:rsidRPr="00F43A57">
        <w:t xml:space="preserve"> </w:t>
      </w:r>
    </w:p>
    <w:p w:rsidR="0029704C" w:rsidRPr="0029704C"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3D4391" w:rsidRPr="00F43A57">
        <w:t>The cost of debt is declining</w:t>
      </w:r>
      <w:r w:rsidR="00463C14">
        <w:t>,</w:t>
      </w:r>
      <w:r w:rsidR="003D4391" w:rsidRPr="00F43A57">
        <w:t xml:space="preserve"> particularly as compared to the last PSE general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rate case, but there is no recognition of this in the ERF and Decoupling </w:t>
      </w:r>
      <w:r w:rsidR="00577591">
        <w:t>filings</w:t>
      </w:r>
      <w:r w:rsidR="003D4391" w:rsidRPr="00F43A57">
        <w:t xml:space="preserve">.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In fact, in a surprising move, PSE offered to return to ratepayers about $1.5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million in savings for a pending refina</w:t>
      </w:r>
      <w:r w:rsidR="00463C14">
        <w:t>ncing of pollution control bonds</w:t>
      </w:r>
      <w:r w:rsidR="003D4391" w:rsidRPr="00F43A57">
        <w:t xml:space="preserve">.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While a nice offer, PSE should not be permitted to decide what is “known and </w:t>
      </w:r>
    </w:p>
    <w:p w:rsidR="0029704C" w:rsidRDefault="0029704C" w:rsidP="008274F9">
      <w:pPr>
        <w:pStyle w:val="WUTCParagraph"/>
        <w:numPr>
          <w:ilvl w:val="0"/>
          <w:numId w:val="0"/>
        </w:numPr>
        <w:tabs>
          <w:tab w:val="clear" w:pos="1440"/>
          <w:tab w:val="left" w:pos="900"/>
        </w:tabs>
        <w:spacing w:line="570" w:lineRule="exact"/>
        <w:ind w:left="720"/>
        <w:rPr>
          <w:lang w:val="en-US"/>
        </w:rPr>
      </w:pPr>
      <w:r>
        <w:rPr>
          <w:lang w:val="en-US"/>
        </w:rPr>
        <w:tab/>
      </w:r>
      <w:r w:rsidR="00463C14">
        <w:t>measurable</w:t>
      </w:r>
      <w:r w:rsidR="003D4391" w:rsidRPr="00F43A57">
        <w:t xml:space="preserve">” in this case and what is it not.  This offer to return the savings from </w:t>
      </w:r>
    </w:p>
    <w:p w:rsidR="00114A2C" w:rsidRDefault="0029704C" w:rsidP="00114A2C">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the pollution control </w:t>
      </w:r>
      <w:r w:rsidR="00463C14">
        <w:t>bonds</w:t>
      </w:r>
      <w:r w:rsidR="003D4391" w:rsidRPr="00F43A57">
        <w:t xml:space="preserve"> refinancing </w:t>
      </w:r>
      <w:r w:rsidR="00463C14">
        <w:t>demonstrates</w:t>
      </w:r>
      <w:r w:rsidR="003D4391" w:rsidRPr="00F43A57">
        <w:t xml:space="preserve"> how arbitrary </w:t>
      </w:r>
      <w:r w:rsidR="00114A2C">
        <w:rPr>
          <w:lang w:val="en-US"/>
        </w:rPr>
        <w:t>PSE’s filing</w:t>
      </w:r>
      <w:r w:rsidR="003D4391" w:rsidRPr="00F43A57">
        <w:t xml:space="preserve"> </w:t>
      </w:r>
    </w:p>
    <w:p w:rsidR="00114A2C" w:rsidRDefault="00114A2C" w:rsidP="00114A2C">
      <w:pPr>
        <w:pStyle w:val="WUTCParagraph"/>
        <w:numPr>
          <w:ilvl w:val="0"/>
          <w:numId w:val="0"/>
        </w:numPr>
        <w:tabs>
          <w:tab w:val="clear" w:pos="1440"/>
          <w:tab w:val="left" w:pos="900"/>
        </w:tabs>
        <w:spacing w:line="570" w:lineRule="exact"/>
        <w:ind w:left="720"/>
        <w:rPr>
          <w:lang w:val="en-US"/>
        </w:rPr>
      </w:pPr>
      <w:r>
        <w:rPr>
          <w:lang w:val="en-US"/>
        </w:rPr>
        <w:tab/>
      </w:r>
      <w:r w:rsidR="003D4391" w:rsidRPr="00F43A57">
        <w:t xml:space="preserve">really is.  Basic ratemaking principles should not be thrown out the window in </w:t>
      </w:r>
    </w:p>
    <w:p w:rsidR="003D4391" w:rsidRPr="008274F9" w:rsidRDefault="00114A2C" w:rsidP="00114A2C">
      <w:pPr>
        <w:pStyle w:val="WUTCParagraph"/>
        <w:numPr>
          <w:ilvl w:val="0"/>
          <w:numId w:val="0"/>
        </w:numPr>
        <w:tabs>
          <w:tab w:val="clear" w:pos="1440"/>
          <w:tab w:val="left" w:pos="900"/>
        </w:tabs>
        <w:spacing w:line="570" w:lineRule="exact"/>
        <w:ind w:left="720"/>
        <w:rPr>
          <w:lang w:val="en-US"/>
        </w:rPr>
      </w:pPr>
      <w:r>
        <w:rPr>
          <w:lang w:val="en-US"/>
        </w:rPr>
        <w:lastRenderedPageBreak/>
        <w:tab/>
      </w:r>
      <w:r w:rsidR="003D4391" w:rsidRPr="00F43A57">
        <w:t>the interest of being expeditious</w:t>
      </w:r>
      <w:r w:rsidR="008274F9">
        <w:rPr>
          <w:lang w:val="en-US"/>
        </w:rPr>
        <w:t>;</w:t>
      </w:r>
    </w:p>
    <w:p w:rsidR="008F7779" w:rsidRPr="008F7779" w:rsidRDefault="007D647D" w:rsidP="008274F9">
      <w:pPr>
        <w:pStyle w:val="WUTCParagraph"/>
        <w:tabs>
          <w:tab w:val="clear" w:pos="0"/>
          <w:tab w:val="clear" w:pos="1440"/>
          <w:tab w:val="num" w:pos="360"/>
          <w:tab w:val="left" w:pos="900"/>
        </w:tabs>
        <w:spacing w:line="570" w:lineRule="exact"/>
        <w:ind w:left="360" w:hanging="1080"/>
      </w:pPr>
      <w:r>
        <w:t>●</w:t>
      </w:r>
      <w:r w:rsidR="00F43A57">
        <w:tab/>
      </w:r>
      <w:r w:rsidR="005F3F37">
        <w:rPr>
          <w:lang w:val="en-US"/>
        </w:rPr>
        <w:t>The low-</w:t>
      </w:r>
      <w:r w:rsidR="008F7779">
        <w:rPr>
          <w:lang w:val="en-US"/>
        </w:rPr>
        <w:t>income rat</w:t>
      </w:r>
      <w:r w:rsidR="005F3F37">
        <w:rPr>
          <w:lang w:val="en-US"/>
        </w:rPr>
        <w:t xml:space="preserve">e increase is not supported by </w:t>
      </w:r>
      <w:r w:rsidR="008F7779">
        <w:rPr>
          <w:lang w:val="en-US"/>
        </w:rPr>
        <w:t xml:space="preserve">detailed analysis of economic </w:t>
      </w:r>
    </w:p>
    <w:p w:rsidR="008F7779" w:rsidRDefault="008F7779" w:rsidP="008274F9">
      <w:pPr>
        <w:pStyle w:val="WUTCParagraph"/>
        <w:numPr>
          <w:ilvl w:val="0"/>
          <w:numId w:val="0"/>
        </w:numPr>
        <w:tabs>
          <w:tab w:val="clear" w:pos="1440"/>
          <w:tab w:val="left" w:pos="900"/>
        </w:tabs>
        <w:spacing w:line="570" w:lineRule="exact"/>
        <w:ind w:left="720"/>
        <w:rPr>
          <w:lang w:val="en-US"/>
        </w:rPr>
      </w:pPr>
      <w:r>
        <w:rPr>
          <w:lang w:val="en-US"/>
        </w:rPr>
        <w:tab/>
        <w:t xml:space="preserve">conditions and customer demographics within PSE’s service territory as </w:t>
      </w:r>
    </w:p>
    <w:p w:rsidR="00FA17A9" w:rsidRPr="00FA17A9" w:rsidRDefault="008F7779" w:rsidP="008274F9">
      <w:pPr>
        <w:pStyle w:val="WUTCParagraph"/>
        <w:numPr>
          <w:ilvl w:val="0"/>
          <w:numId w:val="0"/>
        </w:numPr>
        <w:tabs>
          <w:tab w:val="clear" w:pos="1440"/>
          <w:tab w:val="left" w:pos="900"/>
        </w:tabs>
        <w:spacing w:line="570" w:lineRule="exact"/>
        <w:ind w:left="720"/>
      </w:pPr>
      <w:r>
        <w:rPr>
          <w:lang w:val="en-US"/>
        </w:rPr>
        <w:tab/>
        <w:t>required by Order 8 in the 2011 PSE GRC;</w:t>
      </w:r>
    </w:p>
    <w:p w:rsidR="008F7779" w:rsidRPr="008F7779" w:rsidRDefault="00FA17A9" w:rsidP="008274F9">
      <w:pPr>
        <w:pStyle w:val="WUTCParagraph"/>
        <w:tabs>
          <w:tab w:val="clear" w:pos="0"/>
          <w:tab w:val="clear" w:pos="1440"/>
          <w:tab w:val="num" w:pos="360"/>
          <w:tab w:val="left" w:pos="900"/>
        </w:tabs>
        <w:spacing w:line="570" w:lineRule="exact"/>
        <w:ind w:left="360" w:hanging="1080"/>
      </w:pPr>
      <w:r>
        <w:t>●</w:t>
      </w:r>
      <w:r w:rsidR="008F7779">
        <w:rPr>
          <w:lang w:val="en-US"/>
        </w:rPr>
        <w:tab/>
        <w:t xml:space="preserve">The Settling Parties violated </w:t>
      </w:r>
      <w:r w:rsidR="008F7779" w:rsidRPr="008F7779">
        <w:rPr>
          <w:u w:val="single"/>
          <w:lang w:val="en-US"/>
        </w:rPr>
        <w:t>WAC § 480-07-700 (3)(b)</w:t>
      </w:r>
      <w:r w:rsidR="008F7779">
        <w:rPr>
          <w:lang w:val="en-US"/>
        </w:rPr>
        <w:t xml:space="preserve"> by having secret </w:t>
      </w:r>
    </w:p>
    <w:p w:rsidR="008F7779" w:rsidRDefault="008F7779" w:rsidP="008274F9">
      <w:pPr>
        <w:pStyle w:val="WUTCParagraph"/>
        <w:numPr>
          <w:ilvl w:val="0"/>
          <w:numId w:val="0"/>
        </w:numPr>
        <w:tabs>
          <w:tab w:val="clear" w:pos="1440"/>
          <w:tab w:val="left" w:pos="900"/>
        </w:tabs>
        <w:spacing w:line="570" w:lineRule="exact"/>
        <w:ind w:left="360"/>
        <w:rPr>
          <w:u w:val="single"/>
          <w:lang w:val="en-US"/>
        </w:rPr>
      </w:pPr>
      <w:r>
        <w:rPr>
          <w:lang w:val="en-US"/>
        </w:rPr>
        <w:tab/>
        <w:t xml:space="preserve">settlement meetings.  A settlement meeting was only noticed to all parties </w:t>
      </w:r>
      <w:r w:rsidRPr="008F7779">
        <w:rPr>
          <w:u w:val="single"/>
          <w:lang w:val="en-US"/>
        </w:rPr>
        <w:t>after</w:t>
      </w:r>
      <w:r>
        <w:rPr>
          <w:u w:val="single"/>
          <w:lang w:val="en-US"/>
        </w:rPr>
        <w:t xml:space="preserve"> </w:t>
      </w:r>
    </w:p>
    <w:p w:rsidR="00FA17A9" w:rsidRPr="00FA17A9" w:rsidRDefault="008F7779" w:rsidP="008274F9">
      <w:pPr>
        <w:pStyle w:val="WUTCParagraph"/>
        <w:numPr>
          <w:ilvl w:val="0"/>
          <w:numId w:val="0"/>
        </w:numPr>
        <w:tabs>
          <w:tab w:val="clear" w:pos="1440"/>
          <w:tab w:val="left" w:pos="900"/>
        </w:tabs>
        <w:spacing w:line="570" w:lineRule="exact"/>
        <w:ind w:left="360"/>
      </w:pPr>
      <w:r w:rsidRPr="008F7779">
        <w:rPr>
          <w:lang w:val="en-US"/>
        </w:rPr>
        <w:tab/>
        <w:t>S</w:t>
      </w:r>
      <w:r>
        <w:rPr>
          <w:lang w:val="en-US"/>
        </w:rPr>
        <w:t xml:space="preserve">taff, NWEC and PSE had reached agreement on all issues. </w:t>
      </w:r>
    </w:p>
    <w:p w:rsidR="003D4391" w:rsidRPr="00F43A57" w:rsidRDefault="00FA17A9" w:rsidP="008274F9">
      <w:pPr>
        <w:pStyle w:val="MJDWUTCBrief"/>
        <w:spacing w:line="570" w:lineRule="exact"/>
      </w:pPr>
      <w:r>
        <w:t xml:space="preserve"> </w:t>
      </w:r>
      <w:r>
        <w:tab/>
      </w:r>
      <w:r w:rsidR="003D4391" w:rsidRPr="00F43A57">
        <w:t>This case is replete with evidentiary and procedural deficiencies.  The parties had a mere seven weeks between the prehearing conference and the hearing.  It is not p</w:t>
      </w:r>
      <w:r>
        <w:t xml:space="preserve">ossible to discern whether the </w:t>
      </w:r>
      <w:r w:rsidR="003D4391" w:rsidRPr="00F43A57">
        <w:t>rate in</w:t>
      </w:r>
      <w:r w:rsidR="001962CE">
        <w:t xml:space="preserve">creases </w:t>
      </w:r>
      <w:r w:rsidR="00254D1D">
        <w:t xml:space="preserve">mandated by the Settlement </w:t>
      </w:r>
      <w:r w:rsidR="001962CE">
        <w:t>reflect the Company’s actual</w:t>
      </w:r>
      <w:r w:rsidR="003D4391" w:rsidRPr="00F43A57">
        <w:t xml:space="preserve"> re</w:t>
      </w:r>
      <w:r w:rsidR="00254D1D">
        <w:t>venue requirement</w:t>
      </w:r>
      <w:r w:rsidR="003D4391" w:rsidRPr="00F43A57">
        <w:t xml:space="preserve"> deficiencies.  </w:t>
      </w:r>
      <w:r w:rsidR="001962CE">
        <w:t>PSE’s own reports show that</w:t>
      </w:r>
      <w:r w:rsidR="003D4391" w:rsidRPr="00F43A57">
        <w:t xml:space="preserve"> PSE’s earning</w:t>
      </w:r>
      <w:r w:rsidR="001962CE">
        <w:t>s</w:t>
      </w:r>
      <w:r w:rsidR="003D4391" w:rsidRPr="00F43A57">
        <w:t xml:space="preserve"> are </w:t>
      </w:r>
      <w:r w:rsidR="001962CE">
        <w:t xml:space="preserve">drastically </w:t>
      </w:r>
      <w:r w:rsidR="003D4391" w:rsidRPr="00F43A57">
        <w:t>improving,</w:t>
      </w:r>
      <w:r w:rsidR="001962CE">
        <w:t xml:space="preserve"> and</w:t>
      </w:r>
      <w:r w:rsidR="003D4391" w:rsidRPr="00F43A57">
        <w:t xml:space="preserve"> failure to earn its authorized ROE </w:t>
      </w:r>
      <w:r w:rsidR="001962CE">
        <w:t>during the “great recession” historically does not justify</w:t>
      </w:r>
      <w:r w:rsidR="005A7EE8">
        <w:t xml:space="preserve"> future</w:t>
      </w:r>
      <w:r w:rsidR="003D4391" w:rsidRPr="00F43A57">
        <w:t xml:space="preserve"> annual 3% rate increase</w:t>
      </w:r>
      <w:r w:rsidR="001962CE">
        <w:t>s.</w:t>
      </w:r>
      <w:r w:rsidR="00114A2C">
        <w:t xml:space="preserve">  </w:t>
      </w:r>
      <w:r w:rsidR="00242DDA">
        <w:t>PSE asks the Commission to discoun</w:t>
      </w:r>
      <w:r w:rsidR="007D1044">
        <w:t>t the Cost of Capital evidence i</w:t>
      </w:r>
      <w:r w:rsidR="00242DDA">
        <w:t>n the record because the expedited schedule PSE advocated for did not permit the Company as much time as it would have liked to respond.</w:t>
      </w:r>
      <w:r w:rsidR="001962CE">
        <w:t xml:space="preserve">  </w:t>
      </w:r>
      <w:r w:rsidR="003D4391" w:rsidRPr="00F43A57">
        <w:t xml:space="preserve">   </w:t>
      </w:r>
    </w:p>
    <w:p w:rsidR="00616C75" w:rsidRPr="003D4391" w:rsidRDefault="003D4391" w:rsidP="008274F9">
      <w:pPr>
        <w:pStyle w:val="MJDWUTCBrief"/>
        <w:spacing w:line="570" w:lineRule="exact"/>
      </w:pPr>
      <w:r>
        <w:t xml:space="preserve">       </w:t>
      </w:r>
      <w:r w:rsidR="003A5F39">
        <w:tab/>
      </w:r>
      <w:r w:rsidR="0036454F">
        <w:t xml:space="preserve">ICNU witnesses Michael P. Gorman and Michael C. Deen have testified on the details of many </w:t>
      </w:r>
      <w:r w:rsidR="00577591">
        <w:t>erro</w:t>
      </w:r>
      <w:r w:rsidR="00FA17A9">
        <w:t>r</w:t>
      </w:r>
      <w:r w:rsidR="00577591">
        <w:t>s in</w:t>
      </w:r>
      <w:r w:rsidR="0036454F">
        <w:t xml:space="preserve"> the Settling Parties’ propo</w:t>
      </w:r>
      <w:r w:rsidR="00E716F8">
        <w:t>sals.</w:t>
      </w:r>
      <w:r w:rsidR="008B5EE0">
        <w:t xml:space="preserve">  One result of PSE’s hybridized rate </w:t>
      </w:r>
      <w:r w:rsidR="00EE5C0E" w:rsidRPr="003D4391">
        <w:t>calculations</w:t>
      </w:r>
      <w:r w:rsidR="008B5EE0">
        <w:t xml:space="preserve"> is an ROR mismatch inflating the ERF revenue deficiency by </w:t>
      </w:r>
      <w:r w:rsidR="00E716F8">
        <w:t xml:space="preserve">about </w:t>
      </w:r>
      <w:r w:rsidR="008B5EE0">
        <w:t>$11 mi</w:t>
      </w:r>
      <w:r w:rsidR="002B648B">
        <w:t xml:space="preserve">llion.  Flaws in the derivation of pension expense </w:t>
      </w:r>
      <w:r w:rsidR="008B5EE0">
        <w:t>and the effective tax rate</w:t>
      </w:r>
      <w:r w:rsidR="002B648B">
        <w:t>, as well as the inclusion of incentive compensation,</w:t>
      </w:r>
      <w:r w:rsidR="008B5EE0">
        <w:t xml:space="preserve"> justify </w:t>
      </w:r>
      <w:r w:rsidR="002B648B">
        <w:t>a reduction in ERF revenue by over $9 million</w:t>
      </w:r>
      <w:r w:rsidR="00E716F8">
        <w:t xml:space="preserve"> more</w:t>
      </w:r>
      <w:r w:rsidR="002B648B">
        <w:t>.</w:t>
      </w:r>
      <w:r w:rsidR="00242DDA">
        <w:t xml:space="preserve">  These adjustments should be made in concert with a return to AMA </w:t>
      </w:r>
      <w:r w:rsidR="00242DDA">
        <w:lastRenderedPageBreak/>
        <w:t xml:space="preserve">ratebase, which will reduce the requested revenue requirement increase by $13 million more. </w:t>
      </w:r>
      <w:r w:rsidR="002B648B">
        <w:t xml:space="preserve">  </w:t>
      </w:r>
    </w:p>
    <w:p w:rsidR="00A2449E" w:rsidRDefault="002748BA" w:rsidP="0089462E">
      <w:pPr>
        <w:pStyle w:val="WUTCParagraph"/>
        <w:keepNext/>
        <w:numPr>
          <w:ilvl w:val="0"/>
          <w:numId w:val="0"/>
        </w:numPr>
        <w:jc w:val="center"/>
        <w:rPr>
          <w:b/>
          <w:bCs/>
        </w:rPr>
      </w:pPr>
      <w:r>
        <w:rPr>
          <w:b/>
          <w:bCs/>
        </w:rPr>
        <w:t>II.</w:t>
      </w:r>
      <w:r w:rsidR="002C276E">
        <w:rPr>
          <w:b/>
          <w:bCs/>
          <w:lang w:val="en-US"/>
        </w:rPr>
        <w:t xml:space="preserve">    </w:t>
      </w:r>
      <w:r>
        <w:rPr>
          <w:b/>
          <w:bCs/>
          <w:lang w:val="en-US"/>
        </w:rPr>
        <w:t xml:space="preserve"> </w:t>
      </w:r>
      <w:r w:rsidR="00A2449E">
        <w:rPr>
          <w:b/>
          <w:bCs/>
        </w:rPr>
        <w:t>BACKGROUND</w:t>
      </w:r>
    </w:p>
    <w:p w:rsidR="00A2449E" w:rsidRPr="00911099" w:rsidRDefault="00A2449E" w:rsidP="00FB3D53">
      <w:pPr>
        <w:pStyle w:val="WUTCParagraph"/>
        <w:numPr>
          <w:ilvl w:val="0"/>
          <w:numId w:val="0"/>
        </w:numPr>
        <w:tabs>
          <w:tab w:val="clear" w:pos="1440"/>
          <w:tab w:val="left" w:pos="720"/>
        </w:tabs>
        <w:rPr>
          <w:bCs/>
        </w:rPr>
      </w:pPr>
      <w:r w:rsidRPr="002748BA">
        <w:rPr>
          <w:b/>
        </w:rPr>
        <w:t>A.</w:t>
      </w:r>
      <w:r>
        <w:tab/>
      </w:r>
      <w:r w:rsidRPr="00FB3D53">
        <w:rPr>
          <w:b/>
        </w:rPr>
        <w:t>The Current Proceedings</w:t>
      </w:r>
    </w:p>
    <w:p w:rsidR="001215F2" w:rsidRDefault="00916669" w:rsidP="00FB3D53">
      <w:pPr>
        <w:pStyle w:val="MJDWUTCBrief"/>
      </w:pPr>
      <w:r>
        <w:t xml:space="preserve">       </w:t>
      </w:r>
      <w:r w:rsidR="003A5F39">
        <w:tab/>
      </w:r>
      <w:r w:rsidR="00A2449E">
        <w:t xml:space="preserve">The Global Settlement was filed on March 22, 2013.  By its terms, the </w:t>
      </w:r>
      <w:r w:rsidR="008E0B41">
        <w:t>Settlement</w:t>
      </w:r>
      <w:r w:rsidR="001215F2">
        <w:t xml:space="preserve"> </w:t>
      </w:r>
      <w:r w:rsidR="0090276F">
        <w:t>is “intended to compromise and settle</w:t>
      </w:r>
      <w:r w:rsidR="003B454A">
        <w:t xml:space="preserve"> all issues concerning” the ERF and</w:t>
      </w:r>
      <w:r w:rsidR="00254D1D">
        <w:t xml:space="preserve"> D</w:t>
      </w:r>
      <w:r w:rsidR="0090276F">
        <w:t>ecoupling dockets</w:t>
      </w:r>
      <w:r w:rsidR="003B454A">
        <w:t xml:space="preserve">, as well as PSE’s reconsideration petition in the Coal </w:t>
      </w:r>
      <w:r w:rsidR="00C23537">
        <w:t>Transition</w:t>
      </w:r>
      <w:r w:rsidR="003B454A">
        <w:t xml:space="preserve"> PPA case</w:t>
      </w:r>
      <w:r w:rsidR="0090276F">
        <w:t>.</w:t>
      </w:r>
      <w:r w:rsidR="0090276F">
        <w:rPr>
          <w:rStyle w:val="FootnoteReference"/>
        </w:rPr>
        <w:footnoteReference w:id="2"/>
      </w:r>
      <w:r w:rsidR="0090276F">
        <w:rPr>
          <w:vertAlign w:val="superscript"/>
        </w:rPr>
        <w:t>/</w:t>
      </w:r>
      <w:r w:rsidR="003B454A">
        <w:t xml:space="preserve">  Legally, there is nothing for the parties to compromise or settle upon regarding the Coal Transition PPA case:  a Final Order was issued therein on January 9, 2013.  The </w:t>
      </w:r>
      <w:r w:rsidR="00ED7E80">
        <w:t xml:space="preserve">pending </w:t>
      </w:r>
      <w:r w:rsidR="00254D1D">
        <w:t>ERF and D</w:t>
      </w:r>
      <w:r w:rsidR="003B454A">
        <w:t xml:space="preserve">ecoupling dockets, however, </w:t>
      </w:r>
      <w:r w:rsidR="002B52C2">
        <w:t xml:space="preserve">would detrimentally affect PSE ratepayers and </w:t>
      </w:r>
      <w:r w:rsidR="001962CE">
        <w:t xml:space="preserve">change </w:t>
      </w:r>
      <w:r w:rsidR="002B52C2">
        <w:t>the fundamental nature of WUTC ratemaking.</w:t>
      </w:r>
      <w:r w:rsidR="00254D1D">
        <w:t xml:space="preserve">  Approval of the</w:t>
      </w:r>
      <w:r w:rsidR="002C1A18">
        <w:t xml:space="preserve"> Settlement would increase electric rates by over 3%</w:t>
      </w:r>
      <w:r w:rsidR="004F0D53">
        <w:t>.</w:t>
      </w:r>
      <w:r w:rsidR="002C1A18">
        <w:rPr>
          <w:rStyle w:val="FootnoteReference"/>
        </w:rPr>
        <w:footnoteReference w:id="3"/>
      </w:r>
      <w:r w:rsidR="002C1A18" w:rsidRPr="0047630D">
        <w:rPr>
          <w:vertAlign w:val="superscript"/>
        </w:rPr>
        <w:t>/</w:t>
      </w:r>
    </w:p>
    <w:p w:rsidR="002B52C2" w:rsidRDefault="00916669" w:rsidP="00FB3D53">
      <w:pPr>
        <w:pStyle w:val="MJDWUTCBrief"/>
      </w:pPr>
      <w:r>
        <w:t xml:space="preserve">       </w:t>
      </w:r>
      <w:r w:rsidR="003A5F39">
        <w:tab/>
      </w:r>
      <w:r w:rsidR="008E3F37">
        <w:t>PSE filed the ERF dockets on February 1, 2013, seeking recovery of over $32 million</w:t>
      </w:r>
      <w:r w:rsidR="006A6C4A">
        <w:rPr>
          <w:rStyle w:val="FootnoteReference"/>
        </w:rPr>
        <w:footnoteReference w:id="4"/>
      </w:r>
      <w:r w:rsidR="006A6C4A" w:rsidRPr="0047630D">
        <w:rPr>
          <w:vertAlign w:val="superscript"/>
        </w:rPr>
        <w:t>/</w:t>
      </w:r>
      <w:r w:rsidR="008E3F37">
        <w:t xml:space="preserve"> in alleged electric rev</w:t>
      </w:r>
      <w:r w:rsidR="00256037">
        <w:t>en</w:t>
      </w:r>
      <w:r w:rsidR="008E3F37">
        <w:t>ue deficiency “[d]ue to the regulatory lag inherent in the historical test period approach to ratemaking . . . . [p]articularly true during times when PSE’s investment in replacement infrastructure is growing.”</w:t>
      </w:r>
      <w:r w:rsidR="008E3F37">
        <w:rPr>
          <w:rStyle w:val="FootnoteReference"/>
        </w:rPr>
        <w:footnoteReference w:id="5"/>
      </w:r>
      <w:r w:rsidR="008E3F37" w:rsidRPr="0047630D">
        <w:rPr>
          <w:vertAlign w:val="superscript"/>
        </w:rPr>
        <w:t>/</w:t>
      </w:r>
      <w:r w:rsidR="006A6C4A">
        <w:t xml:space="preserve"> </w:t>
      </w:r>
      <w:r w:rsidR="00D832D8">
        <w:t xml:space="preserve"> </w:t>
      </w:r>
      <w:r w:rsidR="00ED7E80">
        <w:t>PSE claims</w:t>
      </w:r>
      <w:r w:rsidR="006A6C4A">
        <w:t xml:space="preserve"> the ERF is consistent with an approach outlined in Staff tes</w:t>
      </w:r>
      <w:r w:rsidR="00256037">
        <w:t>timony during the Company’s 2011 GRC</w:t>
      </w:r>
      <w:r w:rsidR="006A6C4A">
        <w:t>, although PSE concedes that Staff’s initial approach “did not include many details.”</w:t>
      </w:r>
      <w:r w:rsidR="006A6C4A">
        <w:rPr>
          <w:rStyle w:val="FootnoteReference"/>
        </w:rPr>
        <w:footnoteReference w:id="6"/>
      </w:r>
      <w:r w:rsidR="006A6C4A" w:rsidRPr="0047630D">
        <w:rPr>
          <w:vertAlign w:val="superscript"/>
        </w:rPr>
        <w:t>/</w:t>
      </w:r>
      <w:r w:rsidR="000716E0">
        <w:t xml:space="preserve">  Staff testifies that policy goals stated by the Commission have been met, </w:t>
      </w:r>
      <w:r w:rsidR="000716E0">
        <w:lastRenderedPageBreak/>
        <w:t>explaining that ERF filings are the result of Staff/Company meetings related to “reducing regulatory lag.”</w:t>
      </w:r>
      <w:r w:rsidR="000716E0">
        <w:rPr>
          <w:rStyle w:val="FootnoteReference"/>
        </w:rPr>
        <w:footnoteReference w:id="7"/>
      </w:r>
      <w:r w:rsidR="000716E0" w:rsidRPr="0047630D">
        <w:rPr>
          <w:vertAlign w:val="superscript"/>
        </w:rPr>
        <w:t>/</w:t>
      </w:r>
      <w:r w:rsidR="00A54F6B">
        <w:t xml:space="preserve">  </w:t>
      </w:r>
    </w:p>
    <w:p w:rsidR="00C87A9F" w:rsidRDefault="00916669" w:rsidP="00FB3D53">
      <w:pPr>
        <w:pStyle w:val="MJDWUTCBrief"/>
      </w:pPr>
      <w:r>
        <w:t xml:space="preserve">       </w:t>
      </w:r>
      <w:r w:rsidR="003A5F39">
        <w:tab/>
      </w:r>
      <w:r w:rsidR="00A976B8">
        <w:t xml:space="preserve">PSE and NWEC jointly filed the Amended </w:t>
      </w:r>
      <w:r w:rsidR="00327531">
        <w:t>Petition</w:t>
      </w:r>
      <w:r w:rsidR="00256037">
        <w:t xml:space="preserve"> for a Decoupling M</w:t>
      </w:r>
      <w:r w:rsidR="00B06018">
        <w:t xml:space="preserve">echanism </w:t>
      </w:r>
      <w:r w:rsidR="001310BE">
        <w:t>on March 1, 2013</w:t>
      </w:r>
      <w:r w:rsidR="00350A34">
        <w:t xml:space="preserve"> (“Amended Petition”)</w:t>
      </w:r>
      <w:r w:rsidR="00327531">
        <w:t>, r</w:t>
      </w:r>
      <w:r w:rsidR="00ED7E80">
        <w:t xml:space="preserve">evising their original </w:t>
      </w:r>
      <w:r w:rsidR="00327531">
        <w:t>October 25, 2012</w:t>
      </w:r>
      <w:r w:rsidR="00ED7E80">
        <w:t>, petition</w:t>
      </w:r>
      <w:r w:rsidR="00327531">
        <w:t>.</w:t>
      </w:r>
      <w:r w:rsidR="00B72DDF">
        <w:t xml:space="preserve">  </w:t>
      </w:r>
      <w:r w:rsidR="005A7EE8">
        <w:t>T</w:t>
      </w:r>
      <w:r w:rsidR="00CC102C">
        <w:t xml:space="preserve">he </w:t>
      </w:r>
      <w:r w:rsidR="004B276B">
        <w:t>decoupling proposal contains a “rate plan” and decoupling mechanisms for both gas and electric customers.</w:t>
      </w:r>
      <w:r w:rsidR="004B276B">
        <w:rPr>
          <w:rStyle w:val="FootnoteReference"/>
        </w:rPr>
        <w:footnoteReference w:id="8"/>
      </w:r>
      <w:r w:rsidR="004B276B" w:rsidRPr="0047630D">
        <w:rPr>
          <w:vertAlign w:val="superscript"/>
        </w:rPr>
        <w:t>/</w:t>
      </w:r>
      <w:r w:rsidR="004B276B">
        <w:t xml:space="preserve">  </w:t>
      </w:r>
      <w:r w:rsidR="00C87A9F">
        <w:t xml:space="preserve">A notable modification </w:t>
      </w:r>
      <w:r w:rsidR="00ED7E80">
        <w:t>sets the</w:t>
      </w:r>
      <w:r w:rsidR="00C87A9F">
        <w:t xml:space="preserve"> baseline for determining allowed delivery revenue per customer (“ADRPC”) based on ERF rates</w:t>
      </w:r>
      <w:r w:rsidR="00C87A9F">
        <w:rPr>
          <w:rStyle w:val="FootnoteReference"/>
        </w:rPr>
        <w:footnoteReference w:id="9"/>
      </w:r>
      <w:r w:rsidR="00C87A9F" w:rsidRPr="0047630D">
        <w:rPr>
          <w:vertAlign w:val="superscript"/>
        </w:rPr>
        <w:t>/</w:t>
      </w:r>
      <w:r w:rsidR="00C87A9F">
        <w:t>—th</w:t>
      </w:r>
      <w:r w:rsidR="00254D1D">
        <w:t>ereby intertwining the ERF and D</w:t>
      </w:r>
      <w:r w:rsidR="00C87A9F">
        <w:t>ecoupling dockets and their respective tariffs</w:t>
      </w:r>
      <w:r w:rsidR="001310BE">
        <w:t>.</w:t>
      </w:r>
      <w:r w:rsidR="00C87A9F">
        <w:t xml:space="preserve"> </w:t>
      </w:r>
    </w:p>
    <w:p w:rsidR="002934B4" w:rsidRDefault="00916669" w:rsidP="00FB3D53">
      <w:pPr>
        <w:pStyle w:val="MJDWUTCBrief"/>
      </w:pPr>
      <w:r>
        <w:t xml:space="preserve">       </w:t>
      </w:r>
      <w:r w:rsidR="003A5F39">
        <w:tab/>
      </w:r>
      <w:r w:rsidR="002C1A18">
        <w:t xml:space="preserve">The Amended Petition </w:t>
      </w:r>
      <w:r w:rsidR="004B276B">
        <w:t xml:space="preserve">also </w:t>
      </w:r>
      <w:r w:rsidR="00B06018">
        <w:t>includes a modified “</w:t>
      </w:r>
      <w:r w:rsidR="006A0E11">
        <w:t>K-factor</w:t>
      </w:r>
      <w:r w:rsidR="002C1A18">
        <w:t xml:space="preserve"> adjustment,” </w:t>
      </w:r>
      <w:r w:rsidR="004B276B">
        <w:t xml:space="preserve">described as </w:t>
      </w:r>
      <w:r w:rsidR="002934B4">
        <w:t>an “e</w:t>
      </w:r>
      <w:r w:rsidR="004B276B">
        <w:t>scalation factor, designed to . . . addres</w:t>
      </w:r>
      <w:r w:rsidR="002934B4">
        <w:t>s</w:t>
      </w:r>
      <w:r w:rsidR="004B276B">
        <w:t xml:space="preserve"> the growth in non-energy costs,”</w:t>
      </w:r>
      <w:r w:rsidR="002934B4">
        <w:rPr>
          <w:rStyle w:val="FootnoteReference"/>
        </w:rPr>
        <w:footnoteReference w:id="10"/>
      </w:r>
      <w:r w:rsidR="002934B4" w:rsidRPr="0047630D">
        <w:rPr>
          <w:vertAlign w:val="superscript"/>
        </w:rPr>
        <w:t>/</w:t>
      </w:r>
      <w:r w:rsidR="004B276B">
        <w:t xml:space="preserve"> </w:t>
      </w:r>
      <w:r w:rsidR="002C1A18">
        <w:t xml:space="preserve">thereby </w:t>
      </w:r>
      <w:r w:rsidR="00AE6FF6">
        <w:t xml:space="preserve">allegedly </w:t>
      </w:r>
      <w:r w:rsidR="002C1A18">
        <w:t>addressing “the revenue shortfall between rate cases that the decoupling mechanism on its own does not resolve.”</w:t>
      </w:r>
      <w:r w:rsidR="002C1A18">
        <w:rPr>
          <w:rStyle w:val="FootnoteReference"/>
        </w:rPr>
        <w:footnoteReference w:id="11"/>
      </w:r>
      <w:r w:rsidR="002C1A18" w:rsidRPr="0047630D">
        <w:rPr>
          <w:vertAlign w:val="superscript"/>
        </w:rPr>
        <w:t>/</w:t>
      </w:r>
      <w:r w:rsidR="002C1A18">
        <w:t xml:space="preserve">  </w:t>
      </w:r>
      <w:r w:rsidR="004B276B">
        <w:t xml:space="preserve">PSE explains that, in lieu “of basing the calculations of the </w:t>
      </w:r>
      <w:r w:rsidR="006A0E11">
        <w:t>K-factor</w:t>
      </w:r>
      <w:r w:rsidR="004B276B">
        <w:t xml:space="preserve"> on Company-sponsored conservation . . . they are now set at predetermined levels.”</w:t>
      </w:r>
      <w:r w:rsidR="004B276B">
        <w:rPr>
          <w:rStyle w:val="FootnoteReference"/>
        </w:rPr>
        <w:footnoteReference w:id="12"/>
      </w:r>
      <w:r w:rsidR="004B276B" w:rsidRPr="0047630D">
        <w:rPr>
          <w:vertAlign w:val="superscript"/>
        </w:rPr>
        <w:t>/</w:t>
      </w:r>
      <w:r w:rsidR="004B276B">
        <w:t xml:space="preserve">  </w:t>
      </w:r>
      <w:r w:rsidR="008D6C8A">
        <w:t xml:space="preserve">Staff supports and “is comfortable with the </w:t>
      </w:r>
      <w:r w:rsidR="006A0E11">
        <w:t>K-factor</w:t>
      </w:r>
      <w:r w:rsidR="008D6C8A">
        <w:t xml:space="preserve"> because it . . . addresses attr</w:t>
      </w:r>
      <w:r w:rsidR="00EE5C0E">
        <w:t>i</w:t>
      </w:r>
      <w:r w:rsidR="008D6C8A">
        <w:t>tion” and will be reset in the next GRC filed in 2015 or 2016.</w:t>
      </w:r>
      <w:r w:rsidR="008D6C8A">
        <w:rPr>
          <w:rStyle w:val="FootnoteReference"/>
        </w:rPr>
        <w:footnoteReference w:id="13"/>
      </w:r>
      <w:r w:rsidR="008D6C8A" w:rsidRPr="0047630D">
        <w:rPr>
          <w:vertAlign w:val="superscript"/>
        </w:rPr>
        <w:t>/</w:t>
      </w:r>
      <w:r w:rsidR="00AC3C7D">
        <w:t xml:space="preserve">  </w:t>
      </w:r>
    </w:p>
    <w:p w:rsidR="008D6C8A" w:rsidRDefault="00916669" w:rsidP="00FB3D53">
      <w:pPr>
        <w:pStyle w:val="MJDWUTCBrief"/>
      </w:pPr>
      <w:r>
        <w:t xml:space="preserve"> </w:t>
      </w:r>
      <w:r w:rsidR="003C6AAC">
        <w:tab/>
      </w:r>
      <w:r w:rsidR="002934B4">
        <w:t>According to NWEC, the modified “decoupling proposal includes protections for ratepayers by capping any rate increases at 3% annually,”</w:t>
      </w:r>
      <w:r w:rsidR="002934B4">
        <w:rPr>
          <w:rStyle w:val="FootnoteReference"/>
        </w:rPr>
        <w:footnoteReference w:id="14"/>
      </w:r>
      <w:r w:rsidR="002934B4" w:rsidRPr="0047630D">
        <w:rPr>
          <w:vertAlign w:val="superscript"/>
        </w:rPr>
        <w:t>/</w:t>
      </w:r>
      <w:r w:rsidR="008D6C8A">
        <w:t xml:space="preserve"> </w:t>
      </w:r>
      <w:r w:rsidR="003C6AAC">
        <w:t>though the</w:t>
      </w:r>
      <w:r w:rsidR="002934B4">
        <w:t xml:space="preserve"> “soft cap” </w:t>
      </w:r>
      <w:r w:rsidR="003C6AAC">
        <w:t>allows</w:t>
      </w:r>
      <w:r w:rsidR="002934B4">
        <w:t xml:space="preserve"> </w:t>
      </w:r>
      <w:r w:rsidR="008D6C8A">
        <w:t xml:space="preserve">surcharge balances in excess of the cap </w:t>
      </w:r>
      <w:r w:rsidR="003C6AAC">
        <w:t>to</w:t>
      </w:r>
      <w:r w:rsidR="008D6C8A">
        <w:t xml:space="preserve"> be recoverable in subsequent rate periods, with no </w:t>
      </w:r>
      <w:r w:rsidR="00EE5C0E">
        <w:t>sunset</w:t>
      </w:r>
      <w:r w:rsidR="008D6C8A">
        <w:t xml:space="preserve"> date.</w:t>
      </w:r>
      <w:r w:rsidR="008D6C8A">
        <w:rPr>
          <w:rStyle w:val="FootnoteReference"/>
        </w:rPr>
        <w:footnoteReference w:id="15"/>
      </w:r>
      <w:r w:rsidR="008D6C8A" w:rsidRPr="0047630D">
        <w:rPr>
          <w:vertAlign w:val="superscript"/>
        </w:rPr>
        <w:t>/</w:t>
      </w:r>
      <w:r w:rsidR="002934B4">
        <w:t xml:space="preserve"> </w:t>
      </w:r>
      <w:r w:rsidR="008D6C8A">
        <w:t xml:space="preserve"> </w:t>
      </w:r>
      <w:r w:rsidR="00AC3C7D">
        <w:t xml:space="preserve">PSE also explains that, as a further “safeguard to customers,” the </w:t>
      </w:r>
      <w:r w:rsidR="00AC3C7D">
        <w:lastRenderedPageBreak/>
        <w:t>earnings test endorsed under the modified proposal only allows the Company “to earn up to twenty-five (25) basis points above its overall rate of return on rate base before rebating to customers</w:t>
      </w:r>
      <w:r w:rsidR="008E0B41">
        <w:t xml:space="preserve"> fifty (50) percent of the earnings in excess of this level.”</w:t>
      </w:r>
      <w:r w:rsidR="008E0B41">
        <w:rPr>
          <w:rStyle w:val="FootnoteReference"/>
        </w:rPr>
        <w:footnoteReference w:id="16"/>
      </w:r>
      <w:r w:rsidR="008E0B41" w:rsidRPr="0047630D">
        <w:rPr>
          <w:vertAlign w:val="superscript"/>
        </w:rPr>
        <w:t>/</w:t>
      </w:r>
    </w:p>
    <w:p w:rsidR="00A54F6B" w:rsidRDefault="00916669" w:rsidP="00FB3D53">
      <w:pPr>
        <w:pStyle w:val="MJDWUTCBrief"/>
      </w:pPr>
      <w:r>
        <w:t xml:space="preserve">       </w:t>
      </w:r>
      <w:r w:rsidR="003A5F39">
        <w:tab/>
      </w:r>
      <w:r w:rsidR="008D6C8A">
        <w:t>The gas and electric decouplin</w:t>
      </w:r>
      <w:r w:rsidR="00B06018">
        <w:t>g mechanisms</w:t>
      </w:r>
      <w:r w:rsidR="008D6C8A">
        <w:t xml:space="preserve"> work in tandem with the </w:t>
      </w:r>
      <w:r w:rsidR="00AE6072">
        <w:t xml:space="preserve">modified </w:t>
      </w:r>
      <w:r w:rsidR="008D6C8A">
        <w:t>rate plan component of the proposal, “allowing for predetermined annual increases . .</w:t>
      </w:r>
      <w:r w:rsidR="00B06A7E">
        <w:t xml:space="preserve"> . through the rate plan period.</w:t>
      </w:r>
      <w:r w:rsidR="008D6C8A">
        <w:t>”</w:t>
      </w:r>
      <w:r w:rsidR="008D6C8A">
        <w:rPr>
          <w:rStyle w:val="FootnoteReference"/>
        </w:rPr>
        <w:footnoteReference w:id="17"/>
      </w:r>
      <w:r w:rsidR="008D6C8A" w:rsidRPr="0047630D">
        <w:rPr>
          <w:vertAlign w:val="superscript"/>
        </w:rPr>
        <w:t>/</w:t>
      </w:r>
      <w:r w:rsidR="00B06A7E">
        <w:t xml:space="preserve"> </w:t>
      </w:r>
      <w:r w:rsidR="008D6C8A">
        <w:t xml:space="preserve">  </w:t>
      </w:r>
      <w:r w:rsidR="00B06A7E">
        <w:t>As the duration of the proposal extends until the effective date of rates approved in the next GRC, to be filed no sooner than April 1, 2015, the rate plan period and pre</w:t>
      </w:r>
      <w:r w:rsidR="00EE5C0E">
        <w:t>-</w:t>
      </w:r>
      <w:r w:rsidR="00B06A7E">
        <w:t>determined annual increases would continue into 2016 or 2017.</w:t>
      </w:r>
      <w:r w:rsidR="00B06A7E">
        <w:rPr>
          <w:rStyle w:val="FootnoteReference"/>
        </w:rPr>
        <w:footnoteReference w:id="18"/>
      </w:r>
      <w:r w:rsidR="00B06A7E" w:rsidRPr="0047630D">
        <w:rPr>
          <w:vertAlign w:val="superscript"/>
        </w:rPr>
        <w:t>/</w:t>
      </w:r>
      <w:r w:rsidR="00B06A7E">
        <w:t xml:space="preserve">  </w:t>
      </w:r>
      <w:r w:rsidR="00AE6072">
        <w:t>Under the rate plan, electric retail wheeling custom</w:t>
      </w:r>
      <w:r w:rsidR="00256037">
        <w:t>ers would see basic charge and distribution s</w:t>
      </w:r>
      <w:r w:rsidR="00AE6072">
        <w:t xml:space="preserve">ervice rates increase “by the electric </w:t>
      </w:r>
      <w:r w:rsidR="006A0E11">
        <w:t>K-factor</w:t>
      </w:r>
      <w:r w:rsidR="00AE6072">
        <w:t xml:space="preserve"> increase each time it is applied to the allowed revenue of other electric customers.”</w:t>
      </w:r>
      <w:r w:rsidR="00AE6072">
        <w:rPr>
          <w:rStyle w:val="FootnoteReference"/>
        </w:rPr>
        <w:footnoteReference w:id="19"/>
      </w:r>
      <w:r w:rsidR="00AE6072" w:rsidRPr="0047630D">
        <w:rPr>
          <w:vertAlign w:val="superscript"/>
        </w:rPr>
        <w:t>/</w:t>
      </w:r>
      <w:r w:rsidR="00AE6072">
        <w:t xml:space="preserve">  PSE and NWEC concede that the “vast majority of the cost of service” related to electric wheeling customers is already recovered by PSE’s Open Access Transmission Tariff (“OATT”), but </w:t>
      </w:r>
      <w:r w:rsidR="001310BE">
        <w:t>justify</w:t>
      </w:r>
      <w:r w:rsidR="00AC3C7D">
        <w:t xml:space="preserve"> the rate plan increase “to ensure that these customers also contribute to PSE’s growing costs” over the next several years</w:t>
      </w:r>
      <w:r w:rsidR="00256037">
        <w:t>.</w:t>
      </w:r>
      <w:r w:rsidR="00AC3C7D">
        <w:rPr>
          <w:rStyle w:val="FootnoteReference"/>
        </w:rPr>
        <w:footnoteReference w:id="20"/>
      </w:r>
      <w:r w:rsidR="00AC3C7D" w:rsidRPr="0047630D">
        <w:rPr>
          <w:vertAlign w:val="superscript"/>
        </w:rPr>
        <w:t>/</w:t>
      </w:r>
      <w:r w:rsidR="00AC3C7D">
        <w:t xml:space="preserve"> </w:t>
      </w:r>
    </w:p>
    <w:p w:rsidR="008E0B41" w:rsidRDefault="00916669" w:rsidP="00FB3D53">
      <w:pPr>
        <w:pStyle w:val="MJDWUTCBrief"/>
      </w:pPr>
      <w:r>
        <w:t xml:space="preserve">       </w:t>
      </w:r>
      <w:r w:rsidR="003A5F39">
        <w:tab/>
      </w:r>
      <w:r w:rsidR="00256037">
        <w:t>The same day the</w:t>
      </w:r>
      <w:r w:rsidR="008E0B41">
        <w:t xml:space="preserve"> Settlement was filed, the Commission convened a joint prehearing conference</w:t>
      </w:r>
      <w:r w:rsidR="003C6AAC">
        <w:t xml:space="preserve">, noticed in these dockets as well as </w:t>
      </w:r>
      <w:r w:rsidR="00256037">
        <w:t xml:space="preserve">in </w:t>
      </w:r>
      <w:r w:rsidR="003C6AAC">
        <w:t>UE-121373</w:t>
      </w:r>
      <w:r w:rsidR="008E0B41">
        <w:t>.</w:t>
      </w:r>
      <w:r w:rsidR="008E0B41">
        <w:rPr>
          <w:rStyle w:val="FootnoteReference"/>
        </w:rPr>
        <w:footnoteReference w:id="21"/>
      </w:r>
      <w:r w:rsidR="008E0B41" w:rsidRPr="0047630D">
        <w:rPr>
          <w:vertAlign w:val="superscript"/>
        </w:rPr>
        <w:t>/</w:t>
      </w:r>
      <w:r w:rsidR="00EA2A83">
        <w:t xml:space="preserve">  A common procedural schedule was established</w:t>
      </w:r>
      <w:r w:rsidR="003C6AAC">
        <w:t xml:space="preserve"> in the “interrelated” ERF and D</w:t>
      </w:r>
      <w:r w:rsidR="00EA2A83">
        <w:t>ecoupling dockets</w:t>
      </w:r>
      <w:r w:rsidR="003C6AAC">
        <w:t xml:space="preserve"> and</w:t>
      </w:r>
      <w:r w:rsidR="00EA2A83">
        <w:t xml:space="preserve"> the Commission extended the deadline until May 30, 2013, for parties to answer </w:t>
      </w:r>
      <w:r w:rsidR="00EA2A83">
        <w:lastRenderedPageBreak/>
        <w:t>PSE’s recon</w:t>
      </w:r>
      <w:r w:rsidR="00EE5C0E">
        <w:t xml:space="preserve">sideration petition </w:t>
      </w:r>
      <w:r w:rsidR="003C6AAC">
        <w:t xml:space="preserve">and motion to reopen </w:t>
      </w:r>
      <w:r w:rsidR="00EA2A83">
        <w:t>in the Coal Transition PPA docket.</w:t>
      </w:r>
      <w:r w:rsidR="00EA2A83">
        <w:rPr>
          <w:rStyle w:val="FootnoteReference"/>
        </w:rPr>
        <w:footnoteReference w:id="22"/>
      </w:r>
      <w:r w:rsidR="00EA2A83" w:rsidRPr="0047630D">
        <w:rPr>
          <w:vertAlign w:val="superscript"/>
        </w:rPr>
        <w:t>/</w:t>
      </w:r>
    </w:p>
    <w:p w:rsidR="00D61540" w:rsidRDefault="00916669" w:rsidP="00FB3D53">
      <w:pPr>
        <w:pStyle w:val="MJDWUTCBrief"/>
      </w:pPr>
      <w:r>
        <w:t xml:space="preserve">       </w:t>
      </w:r>
      <w:r w:rsidR="003A5F39">
        <w:tab/>
      </w:r>
      <w:r w:rsidR="008C7D1C">
        <w:t>On April 10, 2</w:t>
      </w:r>
      <w:r w:rsidR="00D275A8">
        <w:t>013, the Commission overruled</w:t>
      </w:r>
      <w:r w:rsidR="008C7D1C">
        <w:t xml:space="preserve"> objection</w:t>
      </w:r>
      <w:r w:rsidR="00D275A8">
        <w:t>s</w:t>
      </w:r>
      <w:r w:rsidR="008C7D1C">
        <w:t xml:space="preserve"> to Order 02 filed by the Public Counsel Section of the Was</w:t>
      </w:r>
      <w:r w:rsidR="00D275A8">
        <w:t>hington Office of the Attorney G</w:t>
      </w:r>
      <w:r w:rsidR="008C7D1C">
        <w:t>eneral</w:t>
      </w:r>
      <w:r w:rsidR="00D275A8">
        <w:t xml:space="preserve"> (“Public Counsel”), in which Public Counsel, supported by ICNU and three other parties, argued “that the procedural schedule </w:t>
      </w:r>
      <w:r w:rsidR="00DC292E">
        <w:t>adopted in Order 02 did</w:t>
      </w:r>
      <w:r w:rsidR="00D275A8">
        <w:t xml:space="preserve"> not give parties a fair opportunity to evaluate the decoupling and ERF proposals and prepare recommendations for the Commission.”</w:t>
      </w:r>
      <w:r w:rsidR="00D275A8">
        <w:rPr>
          <w:rStyle w:val="FootnoteReference"/>
        </w:rPr>
        <w:footnoteReference w:id="23"/>
      </w:r>
      <w:r w:rsidR="00D275A8" w:rsidRPr="0047630D">
        <w:rPr>
          <w:vertAlign w:val="superscript"/>
        </w:rPr>
        <w:t>/</w:t>
      </w:r>
      <w:r w:rsidR="00D275A8">
        <w:t xml:space="preserve">  </w:t>
      </w:r>
    </w:p>
    <w:p w:rsidR="00D61540" w:rsidRPr="00911099" w:rsidRDefault="00D61540" w:rsidP="00174DC2">
      <w:pPr>
        <w:pStyle w:val="MJDWUTCBrief"/>
        <w:numPr>
          <w:ilvl w:val="0"/>
          <w:numId w:val="0"/>
        </w:numPr>
        <w:rPr>
          <w:bCs/>
        </w:rPr>
      </w:pPr>
      <w:r w:rsidRPr="005038C3">
        <w:rPr>
          <w:b/>
        </w:rPr>
        <w:t>B.</w:t>
      </w:r>
      <w:r>
        <w:tab/>
      </w:r>
      <w:r w:rsidRPr="00FB3D53">
        <w:rPr>
          <w:b/>
        </w:rPr>
        <w:t>Commission P</w:t>
      </w:r>
      <w:r w:rsidR="00FC68AB" w:rsidRPr="00FB3D53">
        <w:rPr>
          <w:b/>
        </w:rPr>
        <w:t>r</w:t>
      </w:r>
      <w:r w:rsidRPr="00FB3D53">
        <w:rPr>
          <w:b/>
        </w:rPr>
        <w:t>ecedent and Policy</w:t>
      </w:r>
    </w:p>
    <w:p w:rsidR="00B06018" w:rsidRDefault="00CA7525" w:rsidP="00FB3D53">
      <w:pPr>
        <w:pStyle w:val="MJDWUTCBrief"/>
      </w:pPr>
      <w:r>
        <w:t xml:space="preserve">     </w:t>
      </w:r>
      <w:r w:rsidR="003A5F39">
        <w:tab/>
      </w:r>
      <w:r w:rsidR="00B06018">
        <w:t>The</w:t>
      </w:r>
      <w:r w:rsidR="00FC68AB">
        <w:t xml:space="preserve"> Settling Parties </w:t>
      </w:r>
      <w:r w:rsidR="00B06018">
        <w:t xml:space="preserve">rely heavily on </w:t>
      </w:r>
      <w:r w:rsidR="00FC68AB">
        <w:t xml:space="preserve">Order 08, the Final Order in the </w:t>
      </w:r>
      <w:r w:rsidR="00254D1D">
        <w:t xml:space="preserve">PSE </w:t>
      </w:r>
      <w:r w:rsidR="00FC68AB">
        <w:t>2011 GRC</w:t>
      </w:r>
      <w:r w:rsidR="00FC68AB">
        <w:rPr>
          <w:rStyle w:val="FootnoteReference"/>
        </w:rPr>
        <w:footnoteReference w:id="24"/>
      </w:r>
      <w:r w:rsidR="00FC68AB">
        <w:rPr>
          <w:vertAlign w:val="superscript"/>
        </w:rPr>
        <w:t>/</w:t>
      </w:r>
      <w:r w:rsidR="00FC68AB">
        <w:t xml:space="preserve"> and the Report and Policy Statement on Regulatory Mechanisms, Including Decoupling, to Encourage Utilities to Meet or Exceed Their Conservation Targets (the “Policy Statement”)</w:t>
      </w:r>
      <w:r w:rsidR="00254D1D">
        <w:t xml:space="preserve"> to support their proposed S</w:t>
      </w:r>
      <w:r w:rsidR="00B06018">
        <w:t>ettlement</w:t>
      </w:r>
      <w:r w:rsidR="00FC68AB">
        <w:t>.</w:t>
      </w:r>
      <w:r w:rsidR="00FC68AB">
        <w:rPr>
          <w:rStyle w:val="FootnoteReference"/>
        </w:rPr>
        <w:footnoteReference w:id="25"/>
      </w:r>
      <w:r w:rsidR="00FC68AB">
        <w:rPr>
          <w:vertAlign w:val="superscript"/>
        </w:rPr>
        <w:t>/</w:t>
      </w:r>
      <w:r w:rsidR="00F52902">
        <w:t xml:space="preserve">  Accordingly, the Commission’s findings and statements in these documents merit </w:t>
      </w:r>
      <w:r w:rsidR="00EE5C0E">
        <w:t xml:space="preserve">careful </w:t>
      </w:r>
      <w:r w:rsidR="00F52902">
        <w:t>review.</w:t>
      </w:r>
    </w:p>
    <w:p w:rsidR="00B06018" w:rsidRPr="00B06018" w:rsidRDefault="0074720D" w:rsidP="009E678C">
      <w:pPr>
        <w:pStyle w:val="WUTCParagraph"/>
        <w:keepNext/>
        <w:numPr>
          <w:ilvl w:val="0"/>
          <w:numId w:val="0"/>
        </w:numPr>
        <w:tabs>
          <w:tab w:val="clear" w:pos="1440"/>
          <w:tab w:val="left" w:pos="720"/>
        </w:tabs>
      </w:pPr>
      <w:r>
        <w:rPr>
          <w:b/>
        </w:rPr>
        <w:t>1.</w:t>
      </w:r>
      <w:r>
        <w:rPr>
          <w:b/>
        </w:rPr>
        <w:tab/>
      </w:r>
      <w:r w:rsidR="00D61540">
        <w:rPr>
          <w:b/>
        </w:rPr>
        <w:t xml:space="preserve">The Decoupling Policy Statement </w:t>
      </w:r>
      <w:r w:rsidR="00D61540">
        <w:t xml:space="preserve"> </w:t>
      </w:r>
    </w:p>
    <w:p w:rsidR="00F13D84" w:rsidRDefault="00B06018" w:rsidP="00FB3D53">
      <w:pPr>
        <w:pStyle w:val="MJDWUTCBrief"/>
      </w:pPr>
      <w:r>
        <w:t xml:space="preserve">     </w:t>
      </w:r>
      <w:r w:rsidR="003A5F39">
        <w:tab/>
      </w:r>
      <w:r w:rsidR="00DC292E">
        <w:t>T</w:t>
      </w:r>
      <w:r>
        <w:t xml:space="preserve">he inquiry </w:t>
      </w:r>
      <w:r w:rsidR="00A63825">
        <w:t>that</w:t>
      </w:r>
      <w:r>
        <w:t xml:space="preserve"> culminated in the 2010 Policy Statement examined whether the Commission should adopt regulations or policies “to address declines in revenues due to utility-sponsored conservation or other causes of conservation.”</w:t>
      </w:r>
      <w:r>
        <w:rPr>
          <w:rStyle w:val="FootnoteReference"/>
        </w:rPr>
        <w:footnoteReference w:id="26"/>
      </w:r>
      <w:r>
        <w:rPr>
          <w:vertAlign w:val="superscript"/>
        </w:rPr>
        <w:t>/</w:t>
      </w:r>
      <w:r>
        <w:t xml:space="preserve">  Thus, the Policy Statement resulted from an extended WUTC inquiry with a purely “conservation” focus.</w:t>
      </w:r>
      <w:r>
        <w:rPr>
          <w:rStyle w:val="FootnoteReference"/>
        </w:rPr>
        <w:footnoteReference w:id="27"/>
      </w:r>
      <w:r>
        <w:rPr>
          <w:vertAlign w:val="superscript"/>
        </w:rPr>
        <w:t>/</w:t>
      </w:r>
      <w:r>
        <w:t xml:space="preserve"> </w:t>
      </w:r>
      <w:r w:rsidR="00A63825">
        <w:t xml:space="preserve"> The Policy Statement offers “policy guidance on selected regulatory </w:t>
      </w:r>
      <w:r w:rsidR="00A63825">
        <w:lastRenderedPageBreak/>
        <w:t>mechanisms designed either to remove barriers to utilities acquiring all cost-effective conservation or to encourage utilities to acquire all cost-effective conservation.”</w:t>
      </w:r>
      <w:r w:rsidR="00A63825">
        <w:rPr>
          <w:rStyle w:val="FootnoteReference"/>
        </w:rPr>
        <w:footnoteReference w:id="28"/>
      </w:r>
      <w:r w:rsidR="00A63825">
        <w:rPr>
          <w:vertAlign w:val="superscript"/>
        </w:rPr>
        <w:t>/</w:t>
      </w:r>
      <w:r>
        <w:t xml:space="preserve">  Indeed, the WUTC recognized that the Legislature had only granted authorization to ensure utility protection from earnings reductions “that are a </w:t>
      </w:r>
      <w:r w:rsidR="00575B5C">
        <w:t>‘</w:t>
      </w:r>
      <w:r w:rsidRPr="00A06B10">
        <w:rPr>
          <w:i/>
        </w:rPr>
        <w:t>direct</w:t>
      </w:r>
      <w:r>
        <w:t xml:space="preserve"> </w:t>
      </w:r>
      <w:r w:rsidRPr="004B3964">
        <w:rPr>
          <w:i/>
        </w:rPr>
        <w:t xml:space="preserve">result </w:t>
      </w:r>
      <w:r>
        <w:t>of utility programs to increase the efficiency of energy use.</w:t>
      </w:r>
      <w:r w:rsidR="00575B5C">
        <w:t>’</w:t>
      </w:r>
      <w:r>
        <w:t>”</w:t>
      </w:r>
      <w:r>
        <w:rPr>
          <w:rStyle w:val="FootnoteReference"/>
        </w:rPr>
        <w:footnoteReference w:id="29"/>
      </w:r>
      <w:r>
        <w:rPr>
          <w:vertAlign w:val="superscript"/>
        </w:rPr>
        <w:t xml:space="preserve">/ </w:t>
      </w:r>
      <w:r w:rsidR="00A63825">
        <w:rPr>
          <w:vertAlign w:val="superscript"/>
        </w:rPr>
        <w:t xml:space="preserve"> </w:t>
      </w:r>
      <w:r w:rsidR="007A2D9B">
        <w:t>The WUTC confirmed its reversal of prior indications that a decoupling mechanism could be proposed outside of a GRC by stating:  “because a decoupling mechanism may provide reduced risk for the company, it stands to reason that such reduced risk may impact the company’s appropriate return on equity.”</w:t>
      </w:r>
      <w:r w:rsidR="007A2D9B">
        <w:rPr>
          <w:rStyle w:val="FootnoteReference"/>
        </w:rPr>
        <w:footnoteReference w:id="30"/>
      </w:r>
      <w:r w:rsidR="007A2D9B">
        <w:rPr>
          <w:vertAlign w:val="superscript"/>
        </w:rPr>
        <w:t>/</w:t>
      </w:r>
      <w:r w:rsidR="007A2D9B">
        <w:t xml:space="preserve">  The Commission also expressed concern over cross-subsidies among rate classes, concluding:  “A reasonable mechanism would balance conservation program achievements by class with the revenue recovery expected by that class under the mechanism.”</w:t>
      </w:r>
      <w:r w:rsidR="007A2D9B">
        <w:rPr>
          <w:rStyle w:val="FootnoteReference"/>
        </w:rPr>
        <w:footnoteReference w:id="31"/>
      </w:r>
      <w:r w:rsidR="007A2D9B">
        <w:rPr>
          <w:vertAlign w:val="superscript"/>
        </w:rPr>
        <w:t>/</w:t>
      </w:r>
    </w:p>
    <w:p w:rsidR="006B03EF" w:rsidRDefault="00730D94" w:rsidP="00FB3D53">
      <w:pPr>
        <w:pStyle w:val="MJDWUTCBrief"/>
      </w:pPr>
      <w:r>
        <w:t xml:space="preserve">     </w:t>
      </w:r>
      <w:r w:rsidR="003A5F39">
        <w:tab/>
      </w:r>
      <w:r w:rsidR="007A2D9B">
        <w:t>T</w:t>
      </w:r>
      <w:r w:rsidR="00A9271F">
        <w:t xml:space="preserve">he Policy Statement recognized the Energy Independence Act (“EIA”) requirement that electric </w:t>
      </w:r>
      <w:r w:rsidR="001F2244">
        <w:t>utilities “obtain all cost-effective conservation that is feasible,” concluding, therefore, that “there is less of a need to provide an incentive to electric utilities.”</w:t>
      </w:r>
      <w:r w:rsidR="001F2244">
        <w:rPr>
          <w:rStyle w:val="FootnoteReference"/>
        </w:rPr>
        <w:footnoteReference w:id="32"/>
      </w:r>
      <w:r w:rsidR="001F2244">
        <w:rPr>
          <w:vertAlign w:val="superscript"/>
        </w:rPr>
        <w:t>/</w:t>
      </w:r>
      <w:r w:rsidR="001F2244">
        <w:t xml:space="preserve">  Nonetheless, in “a close call,”</w:t>
      </w:r>
      <w:r w:rsidR="001F2244">
        <w:rPr>
          <w:rStyle w:val="FootnoteReference"/>
        </w:rPr>
        <w:footnoteReference w:id="33"/>
      </w:r>
      <w:r w:rsidR="001F2244">
        <w:rPr>
          <w:vertAlign w:val="superscript"/>
        </w:rPr>
        <w:t>/</w:t>
      </w:r>
      <w:r w:rsidR="001F2244">
        <w:t xml:space="preserve">  the</w:t>
      </w:r>
      <w:r w:rsidR="00991DAD">
        <w:t xml:space="preserve"> Commission </w:t>
      </w:r>
      <w:r w:rsidR="001F2244">
        <w:t>did articulate</w:t>
      </w:r>
      <w:r w:rsidR="00991DAD">
        <w:t xml:space="preserve"> </w:t>
      </w:r>
      <w:r w:rsidR="00256037">
        <w:t xml:space="preserve">a </w:t>
      </w:r>
      <w:r w:rsidR="00991DAD">
        <w:t xml:space="preserve">policy regarding full decoupling mechanisms </w:t>
      </w:r>
      <w:r w:rsidR="001F2244">
        <w:t xml:space="preserve">for electric utilities </w:t>
      </w:r>
      <w:r w:rsidR="00991DAD">
        <w:t>designed to minimize the risk of volatility “by class” of per customer usage.</w:t>
      </w:r>
      <w:r w:rsidR="00991DAD">
        <w:rPr>
          <w:rStyle w:val="FootnoteReference"/>
        </w:rPr>
        <w:footnoteReference w:id="34"/>
      </w:r>
      <w:r w:rsidR="00991DAD">
        <w:rPr>
          <w:vertAlign w:val="superscript"/>
        </w:rPr>
        <w:t>/</w:t>
      </w:r>
      <w:r w:rsidR="00A9271F">
        <w:t xml:space="preserve"> </w:t>
      </w:r>
      <w:r w:rsidR="006B03EF">
        <w:t xml:space="preserve"> The Commission explained that, by reducing the risk of revenue volatility, a full decoupling mechanism could reduce the risk to companies and their investors, which “should benefit customers by reducing a </w:t>
      </w:r>
      <w:r w:rsidR="006B03EF">
        <w:lastRenderedPageBreak/>
        <w:t>company’s debt and equity costs,” flowing “through to ratepayers in the form of rates that would be lower than they otherwise would be, as the rates would be set to reflect the assumption of more risk by ratepayers.”</w:t>
      </w:r>
      <w:r w:rsidR="006B03EF">
        <w:rPr>
          <w:rStyle w:val="FootnoteReference"/>
        </w:rPr>
        <w:footnoteReference w:id="35"/>
      </w:r>
      <w:r w:rsidR="006B03EF">
        <w:rPr>
          <w:vertAlign w:val="superscript"/>
        </w:rPr>
        <w:t>/</w:t>
      </w:r>
    </w:p>
    <w:p w:rsidR="00283612" w:rsidRDefault="00730D94" w:rsidP="00FB3D53">
      <w:pPr>
        <w:pStyle w:val="MJDWUTCBrief"/>
      </w:pPr>
      <w:r>
        <w:t xml:space="preserve">     </w:t>
      </w:r>
      <w:r w:rsidR="003A5F39">
        <w:tab/>
      </w:r>
      <w:r w:rsidR="00A63825">
        <w:t>G</w:t>
      </w:r>
      <w:r w:rsidR="00754CBF">
        <w:t xml:space="preserve">iven the significance the Commission placed on debt and equity reductions to offset ratepayer risk assumption, the Policy Statement only makes provision for consideration of a full decoupling mechanism “[i]n the context of a general </w:t>
      </w:r>
      <w:r w:rsidR="00FA6B10">
        <w:t>rate case.</w:t>
      </w:r>
      <w:r w:rsidR="00754CBF">
        <w:t>”</w:t>
      </w:r>
      <w:r w:rsidR="00283612">
        <w:rPr>
          <w:rStyle w:val="FootnoteReference"/>
        </w:rPr>
        <w:footnoteReference w:id="36"/>
      </w:r>
      <w:r w:rsidR="00283612">
        <w:rPr>
          <w:vertAlign w:val="superscript"/>
        </w:rPr>
        <w:t>/</w:t>
      </w:r>
      <w:r w:rsidR="00FA6B10">
        <w:t xml:space="preserve">  </w:t>
      </w:r>
      <w:r w:rsidR="00EE5C0E">
        <w:t>T</w:t>
      </w:r>
      <w:r w:rsidR="00754CBF">
        <w:t xml:space="preserve">he Commission stated that one of the </w:t>
      </w:r>
      <w:r w:rsidR="00FA6B10">
        <w:t>“</w:t>
      </w:r>
      <w:r w:rsidR="00754CBF" w:rsidRPr="00FA6B10">
        <w:t>minimum</w:t>
      </w:r>
      <w:r w:rsidR="00FA6B10">
        <w:t>”</w:t>
      </w:r>
      <w:r w:rsidR="00754CBF">
        <w:t xml:space="preserve"> elements for a full decoupling proposal</w:t>
      </w:r>
      <w:r w:rsidR="00283612">
        <w:t>, which</w:t>
      </w:r>
      <w:r w:rsidR="00754CBF">
        <w:t xml:space="preserve"> </w:t>
      </w:r>
      <w:r w:rsidR="00283612">
        <w:t>“</w:t>
      </w:r>
      <w:r w:rsidR="00754CBF">
        <w:t xml:space="preserve">must be made in its </w:t>
      </w:r>
      <w:r w:rsidR="00754CBF" w:rsidRPr="00283612">
        <w:rPr>
          <w:i/>
        </w:rPr>
        <w:t>direct</w:t>
      </w:r>
      <w:r w:rsidR="00754CBF">
        <w:t xml:space="preserve"> </w:t>
      </w:r>
      <w:r w:rsidR="00754CBF" w:rsidRPr="00283612">
        <w:rPr>
          <w:i/>
        </w:rPr>
        <w:t>testimony</w:t>
      </w:r>
      <w:r w:rsidR="00754CBF">
        <w:t>,</w:t>
      </w:r>
      <w:r w:rsidR="00283612">
        <w:t>”</w:t>
      </w:r>
      <w:r w:rsidR="007A2D9B">
        <w:t xml:space="preserve"> is:</w:t>
      </w:r>
      <w:r w:rsidR="00754CBF">
        <w:t xml:space="preserve"> </w:t>
      </w:r>
      <w:r w:rsidR="005A7EE8">
        <w:t>“</w:t>
      </w:r>
      <w:r w:rsidR="007A2D9B">
        <w:t>[e]</w:t>
      </w:r>
      <w:r w:rsidR="00754CBF">
        <w:t xml:space="preserve">vidence evaluating the impact of the proposal </w:t>
      </w:r>
      <w:r w:rsidR="00426EEC">
        <w:t xml:space="preserve">on risk </w:t>
      </w:r>
      <w:r w:rsidR="00754CBF">
        <w:t>to investors and ratepayers and its effect on the utility’s ROE.”</w:t>
      </w:r>
      <w:r w:rsidR="00283612">
        <w:rPr>
          <w:rStyle w:val="FootnoteReference"/>
        </w:rPr>
        <w:footnoteReference w:id="37"/>
      </w:r>
      <w:r w:rsidR="00283612">
        <w:rPr>
          <w:vertAlign w:val="superscript"/>
        </w:rPr>
        <w:t>/</w:t>
      </w:r>
      <w:r w:rsidR="00754CBF">
        <w:t xml:space="preserve">  </w:t>
      </w:r>
    </w:p>
    <w:p w:rsidR="00946814" w:rsidRDefault="00CA7525" w:rsidP="00D62E6E">
      <w:pPr>
        <w:pStyle w:val="MJDWUTCBrief"/>
      </w:pPr>
      <w:r>
        <w:t xml:space="preserve">     </w:t>
      </w:r>
      <w:r w:rsidR="003A5F39">
        <w:tab/>
      </w:r>
      <w:r w:rsidR="00283612">
        <w:t>Minimum evidentiary requirements also included accounting for off-system sales and avoided costs through a direct testimony description of the intended method by which the company would net such benefits against “an annual true-up of revenue attributed to each affected class of customer.”</w:t>
      </w:r>
      <w:r w:rsidR="00283612">
        <w:rPr>
          <w:rStyle w:val="FootnoteReference"/>
        </w:rPr>
        <w:footnoteReference w:id="38"/>
      </w:r>
      <w:r w:rsidR="00283612">
        <w:rPr>
          <w:vertAlign w:val="superscript"/>
        </w:rPr>
        <w:t>/</w:t>
      </w:r>
      <w:r w:rsidR="00283612">
        <w:t xml:space="preserve">  In all, the Commission articulated </w:t>
      </w:r>
      <w:r w:rsidR="0062320A">
        <w:t>at least ten elements to which any full decoupling proposal should conform,</w:t>
      </w:r>
      <w:r w:rsidR="0062320A">
        <w:rPr>
          <w:rStyle w:val="FootnoteReference"/>
        </w:rPr>
        <w:footnoteReference w:id="39"/>
      </w:r>
      <w:r w:rsidR="0062320A">
        <w:rPr>
          <w:vertAlign w:val="superscript"/>
        </w:rPr>
        <w:t>/</w:t>
      </w:r>
      <w:r w:rsidR="0062320A">
        <w:t xml:space="preserve"> including a reiteration that a reasonable decoupling “mechanism would balance conservation program </w:t>
      </w:r>
      <w:r w:rsidR="00C23537">
        <w:t>achievements</w:t>
      </w:r>
      <w:r w:rsidR="0062320A">
        <w:t xml:space="preserve"> by class with the revenue recovery </w:t>
      </w:r>
      <w:r w:rsidR="00946814">
        <w:t>expected from that</w:t>
      </w:r>
    </w:p>
    <w:p w:rsidR="00545AF0" w:rsidRDefault="0062320A" w:rsidP="00946814">
      <w:pPr>
        <w:pStyle w:val="MJDWUTCBrief"/>
        <w:numPr>
          <w:ilvl w:val="0"/>
          <w:numId w:val="0"/>
        </w:numPr>
      </w:pPr>
      <w:r>
        <w:t>class.”</w:t>
      </w:r>
      <w:r>
        <w:rPr>
          <w:rStyle w:val="FootnoteReference"/>
        </w:rPr>
        <w:footnoteReference w:id="40"/>
      </w:r>
      <w:r w:rsidRPr="00D62E6E">
        <w:rPr>
          <w:vertAlign w:val="superscript"/>
        </w:rPr>
        <w:t>/</w:t>
      </w:r>
      <w:r>
        <w:t xml:space="preserve">  </w:t>
      </w:r>
      <w:r w:rsidR="006B03EF">
        <w:t xml:space="preserve">  </w:t>
      </w:r>
    </w:p>
    <w:p w:rsidR="005A7EE8" w:rsidRDefault="00CA7525" w:rsidP="00FB3D53">
      <w:pPr>
        <w:pStyle w:val="MJDWUTCBrief"/>
      </w:pPr>
      <w:r>
        <w:t xml:space="preserve">     </w:t>
      </w:r>
      <w:r w:rsidR="003A5F39">
        <w:tab/>
      </w:r>
      <w:r w:rsidR="009B259C">
        <w:t>Finally,</w:t>
      </w:r>
      <w:r w:rsidR="005A7EE8">
        <w:t xml:space="preserve"> it is clear from</w:t>
      </w:r>
      <w:r w:rsidR="009B259C">
        <w:t xml:space="preserve"> the Policy Statement </w:t>
      </w:r>
      <w:r w:rsidR="005A7EE8">
        <w:t xml:space="preserve">that adoption of a full decoupling mechanism is a significant change to ratemaking that requires consideration of other </w:t>
      </w:r>
      <w:r w:rsidR="005A7EE8">
        <w:lastRenderedPageBreak/>
        <w:t>mechanisms</w:t>
      </w:r>
      <w:r w:rsidR="0089462E">
        <w:t>,</w:t>
      </w:r>
      <w:r w:rsidR="005A7EE8">
        <w:t xml:space="preserve"> such as a </w:t>
      </w:r>
      <w:r w:rsidR="006A0E11">
        <w:t>K-factor</w:t>
      </w:r>
      <w:r w:rsidR="0089462E">
        <w:t>,</w:t>
      </w:r>
      <w:r w:rsidR="005A7EE8">
        <w:t xml:space="preserve"> in the context of a GRC.  This will ensure the proper cons</w:t>
      </w:r>
      <w:r w:rsidR="0089462E">
        <w:t>ideration will be given to the n</w:t>
      </w:r>
      <w:r w:rsidR="005A7EE8">
        <w:t xml:space="preserve">ear guarantee of revenues and the shift of risk to customers.   </w:t>
      </w:r>
    </w:p>
    <w:p w:rsidR="009B259C" w:rsidRDefault="003A5F39" w:rsidP="00FB3D53">
      <w:pPr>
        <w:pStyle w:val="MJDWUTCBrief"/>
      </w:pPr>
      <w:r>
        <w:t xml:space="preserve">     </w:t>
      </w:r>
      <w:r>
        <w:tab/>
      </w:r>
      <w:r w:rsidR="005A7EE8">
        <w:t>T</w:t>
      </w:r>
      <w:r w:rsidR="000A5600">
        <w:t>he Commission defines “lost margin” within the Policy Statement “as a reduction in revenue during a rate-effective period due to a reduction in usage, from the level of usage determined using a modified historic test year in a g</w:t>
      </w:r>
      <w:r w:rsidR="00FD0EC8">
        <w:t>e</w:t>
      </w:r>
      <w:r w:rsidR="000A5600">
        <w:t>neral rate case.”</w:t>
      </w:r>
      <w:r w:rsidR="000A5600">
        <w:rPr>
          <w:rStyle w:val="FootnoteReference"/>
        </w:rPr>
        <w:footnoteReference w:id="41"/>
      </w:r>
      <w:r w:rsidR="000A5600">
        <w:rPr>
          <w:vertAlign w:val="superscript"/>
        </w:rPr>
        <w:t>/</w:t>
      </w:r>
      <w:r w:rsidR="000A5600">
        <w:t xml:space="preserve">   Hence, the Commission’s </w:t>
      </w:r>
      <w:r w:rsidR="00FD0EC8">
        <w:t xml:space="preserve">final </w:t>
      </w:r>
      <w:r w:rsidR="000A5600">
        <w:t>clari</w:t>
      </w:r>
      <w:r w:rsidR="00FD0EC8">
        <w:t>fication—</w:t>
      </w:r>
      <w:r w:rsidR="000A5600">
        <w:t>that nothing in the Policy Statement would imply that an attr</w:t>
      </w:r>
      <w:r w:rsidR="00FD0EC8">
        <w:t xml:space="preserve">ition adjustment protecting the company from lost margin would </w:t>
      </w:r>
      <w:r w:rsidR="00704429">
        <w:t>be precluded from</w:t>
      </w:r>
      <w:r w:rsidR="00E838EE">
        <w:t xml:space="preserve"> consideration</w:t>
      </w:r>
      <w:r w:rsidR="00FD0EC8">
        <w:t xml:space="preserve"> in a GRC—</w:t>
      </w:r>
      <w:r w:rsidR="000A5600" w:rsidRPr="00E838EE">
        <w:t>must</w:t>
      </w:r>
      <w:r w:rsidR="000A5600">
        <w:t xml:space="preserve"> be understood as </w:t>
      </w:r>
      <w:r w:rsidR="00FD0EC8">
        <w:t>meaning an a</w:t>
      </w:r>
      <w:r w:rsidR="00EE5C0E">
        <w:t>t</w:t>
      </w:r>
      <w:r w:rsidR="00FD0EC8">
        <w:t>trition adjustment</w:t>
      </w:r>
      <w:r w:rsidR="00256037">
        <w:t xml:space="preserve"> designed to protect the C</w:t>
      </w:r>
      <w:r w:rsidR="000A5600">
        <w:t xml:space="preserve">ompany from revenue reductions arising from </w:t>
      </w:r>
      <w:r w:rsidR="000A5600" w:rsidRPr="00872283">
        <w:rPr>
          <w:i/>
        </w:rPr>
        <w:t>usage reductions</w:t>
      </w:r>
      <w:r w:rsidR="000A5600">
        <w:t>.</w:t>
      </w:r>
      <w:r w:rsidR="00FD0EC8">
        <w:t xml:space="preserve">  Attrition adjustments designed to protect a company from revenue reductions arising from capital infrastructure investment</w:t>
      </w:r>
      <w:r w:rsidR="0056761E">
        <w:t>s</w:t>
      </w:r>
      <w:r w:rsidR="00FD0EC8">
        <w:t>, for instance, were not the s</w:t>
      </w:r>
      <w:r w:rsidR="007A2D9B">
        <w:t>ort to which the Commission</w:t>
      </w:r>
      <w:r w:rsidR="00EE5C0E">
        <w:t xml:space="preserve"> </w:t>
      </w:r>
      <w:r w:rsidR="007A2D9B">
        <w:t>referred</w:t>
      </w:r>
      <w:r w:rsidR="00FD0EC8">
        <w:t xml:space="preserve">.  </w:t>
      </w:r>
      <w:r w:rsidR="007A2D9B">
        <w:t>Again the</w:t>
      </w:r>
      <w:r w:rsidR="00FD0EC8">
        <w:t xml:space="preserve"> Commission </w:t>
      </w:r>
      <w:r w:rsidR="007A2D9B">
        <w:t>stated that</w:t>
      </w:r>
      <w:r w:rsidR="00FD0EC8">
        <w:t xml:space="preserve"> a </w:t>
      </w:r>
      <w:r w:rsidR="007A2D9B">
        <w:t>“</w:t>
      </w:r>
      <w:r w:rsidR="00FD0EC8">
        <w:t xml:space="preserve">modified historic test year in a general rate case” </w:t>
      </w:r>
      <w:r w:rsidR="007A2D9B">
        <w:t>should support</w:t>
      </w:r>
      <w:r w:rsidR="00FD0EC8">
        <w:t xml:space="preserve"> margin adjustments </w:t>
      </w:r>
      <w:r w:rsidR="007A2D9B">
        <w:t>for</w:t>
      </w:r>
      <w:r w:rsidR="00FD0EC8">
        <w:t xml:space="preserve"> future consideration.</w:t>
      </w:r>
      <w:r w:rsidR="00A42D89">
        <w:rPr>
          <w:rStyle w:val="FootnoteReference"/>
        </w:rPr>
        <w:footnoteReference w:id="42"/>
      </w:r>
      <w:r w:rsidR="00A42D89">
        <w:rPr>
          <w:vertAlign w:val="superscript"/>
        </w:rPr>
        <w:t>/</w:t>
      </w:r>
    </w:p>
    <w:p w:rsidR="00D61540" w:rsidRDefault="00D61540" w:rsidP="00195F13">
      <w:pPr>
        <w:pStyle w:val="WUTCParagraph"/>
        <w:keepNext/>
        <w:numPr>
          <w:ilvl w:val="0"/>
          <w:numId w:val="0"/>
        </w:numPr>
        <w:tabs>
          <w:tab w:val="clear" w:pos="1440"/>
          <w:tab w:val="left" w:pos="720"/>
        </w:tabs>
      </w:pPr>
      <w:r>
        <w:rPr>
          <w:b/>
        </w:rPr>
        <w:t>2.</w:t>
      </w:r>
      <w:r>
        <w:rPr>
          <w:b/>
        </w:rPr>
        <w:tab/>
        <w:t>Order 08</w:t>
      </w:r>
      <w:r w:rsidR="00256037">
        <w:rPr>
          <w:b/>
          <w:lang w:val="en-US"/>
        </w:rPr>
        <w:t xml:space="preserve"> From PSE’s 2011 GRC</w:t>
      </w:r>
      <w:r>
        <w:rPr>
          <w:b/>
        </w:rPr>
        <w:t xml:space="preserve"> </w:t>
      </w:r>
      <w:r>
        <w:t xml:space="preserve"> </w:t>
      </w:r>
    </w:p>
    <w:p w:rsidR="00D61540" w:rsidRDefault="00730D94" w:rsidP="007D1044">
      <w:pPr>
        <w:pStyle w:val="MJDWUTCBrief"/>
      </w:pPr>
      <w:r>
        <w:t xml:space="preserve">     </w:t>
      </w:r>
      <w:r w:rsidR="003A5F39">
        <w:tab/>
      </w:r>
      <w:r w:rsidR="00704429">
        <w:t>Among a host of other issues, Order 08 treats a few matters of seminal importan</w:t>
      </w:r>
      <w:r w:rsidR="00426EEC">
        <w:t xml:space="preserve">ce to the current proceedings: </w:t>
      </w:r>
      <w:r w:rsidR="00704429">
        <w:t xml:space="preserve">decoupling, attrition, </w:t>
      </w:r>
      <w:r w:rsidR="00174DC2">
        <w:t>cost of capital,</w:t>
      </w:r>
      <w:r w:rsidR="007D1044">
        <w:t xml:space="preserve"> </w:t>
      </w:r>
      <w:r w:rsidR="00704429">
        <w:t xml:space="preserve">and </w:t>
      </w:r>
      <w:r w:rsidR="00B5592D">
        <w:t>an expedited rate case proposal</w:t>
      </w:r>
      <w:r w:rsidR="00704429">
        <w:t xml:space="preserve">.  </w:t>
      </w:r>
    </w:p>
    <w:p w:rsidR="00704429" w:rsidRPr="00736037" w:rsidRDefault="00704429" w:rsidP="007D1044">
      <w:pPr>
        <w:pStyle w:val="WUTCParagraph"/>
        <w:keepNext/>
        <w:numPr>
          <w:ilvl w:val="0"/>
          <w:numId w:val="0"/>
        </w:numPr>
        <w:tabs>
          <w:tab w:val="clear" w:pos="1440"/>
          <w:tab w:val="left" w:pos="720"/>
        </w:tabs>
        <w:rPr>
          <w:b/>
        </w:rPr>
      </w:pPr>
      <w:r>
        <w:rPr>
          <w:b/>
        </w:rPr>
        <w:t>a.</w:t>
      </w:r>
      <w:r>
        <w:rPr>
          <w:b/>
        </w:rPr>
        <w:tab/>
        <w:t>Decoupling</w:t>
      </w:r>
    </w:p>
    <w:p w:rsidR="00704429" w:rsidRDefault="00730D94" w:rsidP="002838FA">
      <w:pPr>
        <w:pStyle w:val="MJDWUTCBrief"/>
      </w:pPr>
      <w:r>
        <w:t xml:space="preserve">     </w:t>
      </w:r>
      <w:r w:rsidR="003A5F39">
        <w:tab/>
      </w:r>
      <w:r w:rsidR="00704429">
        <w:t xml:space="preserve">The </w:t>
      </w:r>
      <w:r w:rsidR="00872283">
        <w:t>Commission</w:t>
      </w:r>
      <w:r w:rsidR="00CB74E5">
        <w:t xml:space="preserve"> </w:t>
      </w:r>
      <w:r w:rsidR="00872283">
        <w:t>issued a bench request in the 2011 GRC directing Staff to provide “a discussion of the critical elements that a full decoupling proposal should contain</w:t>
      </w:r>
      <w:r w:rsidR="00114BF2">
        <w:t>,</w:t>
      </w:r>
      <w:r w:rsidR="00872283">
        <w:t xml:space="preserve"> consistent with the Decoupling Policy Statement, including consideration of</w:t>
      </w:r>
      <w:r w:rsidR="00426EEC">
        <w:t xml:space="preserve"> lost </w:t>
      </w:r>
      <w:r w:rsidR="00426EEC">
        <w:lastRenderedPageBreak/>
        <w:t xml:space="preserve">sales revenues that are potentially offset by </w:t>
      </w:r>
      <w:r w:rsidR="00872283">
        <w:t>avoided costs and other benefits.”</w:t>
      </w:r>
      <w:r w:rsidR="00872283">
        <w:rPr>
          <w:rStyle w:val="FootnoteReference"/>
        </w:rPr>
        <w:footnoteReference w:id="43"/>
      </w:r>
      <w:r w:rsidR="00872283">
        <w:rPr>
          <w:vertAlign w:val="superscript"/>
        </w:rPr>
        <w:t>/</w:t>
      </w:r>
      <w:r w:rsidR="00872283">
        <w:t xml:space="preserve">  </w:t>
      </w:r>
      <w:r w:rsidR="00CB74E5">
        <w:t>PSE objected to this bench request.</w:t>
      </w:r>
      <w:r w:rsidR="00CB74E5">
        <w:rPr>
          <w:rStyle w:val="FootnoteReference"/>
        </w:rPr>
        <w:footnoteReference w:id="44"/>
      </w:r>
      <w:r w:rsidR="00CB74E5">
        <w:rPr>
          <w:vertAlign w:val="superscript"/>
        </w:rPr>
        <w:t>/</w:t>
      </w:r>
      <w:r w:rsidR="00CB74E5">
        <w:t xml:space="preserve"> </w:t>
      </w:r>
      <w:r w:rsidR="005B11E1">
        <w:t xml:space="preserve"> NWEC, on the other hand, filed testimony supporting implementation of a full decoupling mechanism for the Company.</w:t>
      </w:r>
      <w:r w:rsidR="005B11E1">
        <w:rPr>
          <w:rStyle w:val="FootnoteReference"/>
        </w:rPr>
        <w:footnoteReference w:id="45"/>
      </w:r>
      <w:r w:rsidR="005B11E1">
        <w:rPr>
          <w:vertAlign w:val="superscript"/>
        </w:rPr>
        <w:t>/</w:t>
      </w:r>
    </w:p>
    <w:p w:rsidR="0056761E" w:rsidRDefault="00543CF7" w:rsidP="002838FA">
      <w:pPr>
        <w:pStyle w:val="MJDWUTCBrief"/>
      </w:pPr>
      <w:r>
        <w:tab/>
      </w:r>
      <w:r w:rsidR="005B11E1">
        <w:t>The Commission noted that the NWEC proposal incorporated “many elements discussed in the” Policy Statement.</w:t>
      </w:r>
      <w:r w:rsidR="005B11E1">
        <w:rPr>
          <w:rStyle w:val="FootnoteReference"/>
        </w:rPr>
        <w:footnoteReference w:id="46"/>
      </w:r>
      <w:r w:rsidR="005B11E1">
        <w:rPr>
          <w:vertAlign w:val="superscript"/>
        </w:rPr>
        <w:t>/</w:t>
      </w:r>
      <w:r w:rsidR="00BD5A1A">
        <w:t xml:space="preserve">  </w:t>
      </w:r>
      <w:r w:rsidR="005B11E1">
        <w:t xml:space="preserve">PSE’s opposition to full decoupling, however, </w:t>
      </w:r>
      <w:r w:rsidR="00BD5A1A">
        <w:t xml:space="preserve">led the Commission to abandon </w:t>
      </w:r>
      <w:r w:rsidR="005B11E1">
        <w:t xml:space="preserve">the NWEC proposal “regardless of the merit we </w:t>
      </w:r>
      <w:r w:rsidR="005B11E1" w:rsidRPr="001F4AEF">
        <w:rPr>
          <w:i/>
        </w:rPr>
        <w:t>might</w:t>
      </w:r>
      <w:r w:rsidR="005B11E1">
        <w:t xml:space="preserve"> find on a close examination of its details</w:t>
      </w:r>
      <w:r w:rsidR="001F4AEF">
        <w:t>.”</w:t>
      </w:r>
      <w:r w:rsidR="001F4AEF">
        <w:rPr>
          <w:rStyle w:val="FootnoteReference"/>
        </w:rPr>
        <w:footnoteReference w:id="47"/>
      </w:r>
      <w:r w:rsidR="001F4AEF">
        <w:rPr>
          <w:vertAlign w:val="superscript"/>
        </w:rPr>
        <w:t>/</w:t>
      </w:r>
      <w:r w:rsidR="00BD5A1A">
        <w:t xml:space="preserve">  The Commission did</w:t>
      </w:r>
      <w:r w:rsidR="001F4AEF">
        <w:t xml:space="preserve"> not </w:t>
      </w:r>
      <w:r w:rsidR="00BD5A1A">
        <w:t>state</w:t>
      </w:r>
      <w:r w:rsidR="001F4AEF">
        <w:t xml:space="preserve"> that it </w:t>
      </w:r>
      <w:r w:rsidR="001F4AEF" w:rsidRPr="001F4AEF">
        <w:rPr>
          <w:i/>
        </w:rPr>
        <w:t>had</w:t>
      </w:r>
      <w:r w:rsidR="001F4AEF">
        <w:t xml:space="preserve"> found ultimate merit in the NWEC proposal.  In fact, the </w:t>
      </w:r>
      <w:r w:rsidR="00426EEC">
        <w:t>C</w:t>
      </w:r>
      <w:r w:rsidR="0089462E">
        <w:t>ommission was plainly asserting</w:t>
      </w:r>
      <w:r w:rsidR="001F4AEF">
        <w:t xml:space="preserve"> that it had </w:t>
      </w:r>
      <w:r w:rsidR="001F4AEF" w:rsidRPr="001F4AEF">
        <w:rPr>
          <w:i/>
        </w:rPr>
        <w:t>not</w:t>
      </w:r>
      <w:r w:rsidR="001F4AEF">
        <w:t xml:space="preserve"> closely examined the details of the proposal.  </w:t>
      </w:r>
      <w:r w:rsidR="008E7376">
        <w:t>Moreover</w:t>
      </w:r>
      <w:r w:rsidR="0056761E">
        <w:t>, to whatever</w:t>
      </w:r>
      <w:r w:rsidR="001F4AEF">
        <w:t xml:space="preserve"> extent the Commission did review the NWEC proposal, it noted several features that were inconsistent with the Policy Statement.</w:t>
      </w:r>
      <w:r w:rsidR="001F4AEF">
        <w:rPr>
          <w:rStyle w:val="FootnoteReference"/>
        </w:rPr>
        <w:footnoteReference w:id="48"/>
      </w:r>
      <w:r w:rsidR="001F4AEF" w:rsidRPr="008E7376">
        <w:rPr>
          <w:vertAlign w:val="superscript"/>
        </w:rPr>
        <w:t>/</w:t>
      </w:r>
      <w:r w:rsidR="008E7376">
        <w:t xml:space="preserve">  Among these, the NWEC proposal explicitly advocated against an earnings test,</w:t>
      </w:r>
      <w:r w:rsidR="008E7376">
        <w:rPr>
          <w:rStyle w:val="FootnoteReference"/>
        </w:rPr>
        <w:footnoteReference w:id="49"/>
      </w:r>
      <w:r w:rsidR="008E7376" w:rsidRPr="008E7376">
        <w:rPr>
          <w:vertAlign w:val="superscript"/>
        </w:rPr>
        <w:t>/</w:t>
      </w:r>
      <w:r w:rsidR="008E7376">
        <w:t xml:space="preserve"> one of four elements which were, “at a minimum,” to be included within a decoupling proposal under the Policy Statement.</w:t>
      </w:r>
      <w:r w:rsidR="008E7376">
        <w:rPr>
          <w:rStyle w:val="FootnoteReference"/>
        </w:rPr>
        <w:footnoteReference w:id="50"/>
      </w:r>
      <w:r w:rsidR="008E7376" w:rsidRPr="008E7376">
        <w:rPr>
          <w:vertAlign w:val="superscript"/>
        </w:rPr>
        <w:t>/</w:t>
      </w:r>
      <w:r w:rsidR="008E7376">
        <w:t xml:space="preserve">  </w:t>
      </w:r>
    </w:p>
    <w:p w:rsidR="00D47D64" w:rsidRDefault="00543CF7" w:rsidP="002838FA">
      <w:pPr>
        <w:pStyle w:val="MJDWUTCBrief"/>
      </w:pPr>
      <w:r>
        <w:tab/>
      </w:r>
      <w:r w:rsidR="0056761E">
        <w:t xml:space="preserve">As to PSE’s </w:t>
      </w:r>
      <w:r w:rsidR="00BD5A1A">
        <w:t>rejection of decoupling stance</w:t>
      </w:r>
      <w:r w:rsidR="0056761E">
        <w:t xml:space="preserve"> the Commission</w:t>
      </w:r>
      <w:r w:rsidR="00BD5A1A">
        <w:t xml:space="preserve"> stated</w:t>
      </w:r>
      <w:r w:rsidR="0056761E">
        <w:t xml:space="preserve">:  </w:t>
      </w:r>
    </w:p>
    <w:p w:rsidR="005B11E1" w:rsidRPr="00254D1D" w:rsidRDefault="0056761E" w:rsidP="00254D1D">
      <w:pPr>
        <w:pStyle w:val="MJDWUTCBrief"/>
        <w:numPr>
          <w:ilvl w:val="0"/>
          <w:numId w:val="0"/>
        </w:numPr>
        <w:spacing w:line="240" w:lineRule="auto"/>
        <w:ind w:left="864" w:right="864"/>
      </w:pPr>
      <w:r>
        <w:t>It appears that PSE wants more than decoupling has to offer, namely the freedom to recover incremental revenue to offset new investments between rate cases.  In other words, PSE rejects the opportunity to recover most of its lost revenue because the mechanism does not address the incremental impacts of regulatory lag, a problem decoupling was never intended to fix.</w:t>
      </w:r>
      <w:r>
        <w:rPr>
          <w:rStyle w:val="FootnoteReference"/>
        </w:rPr>
        <w:footnoteReference w:id="51"/>
      </w:r>
      <w:r>
        <w:rPr>
          <w:vertAlign w:val="superscript"/>
        </w:rPr>
        <w:t>/</w:t>
      </w:r>
    </w:p>
    <w:p w:rsidR="00254D1D" w:rsidRDefault="00254D1D" w:rsidP="00254D1D">
      <w:pPr>
        <w:pStyle w:val="MJDWUTCBrief"/>
        <w:numPr>
          <w:ilvl w:val="0"/>
          <w:numId w:val="0"/>
        </w:numPr>
        <w:spacing w:line="240" w:lineRule="auto"/>
      </w:pPr>
    </w:p>
    <w:p w:rsidR="005F7703" w:rsidRDefault="00543CF7" w:rsidP="002838FA">
      <w:pPr>
        <w:pStyle w:val="MJDWUTCBrief"/>
      </w:pPr>
      <w:r>
        <w:lastRenderedPageBreak/>
        <w:tab/>
      </w:r>
      <w:r w:rsidR="006529DC">
        <w:t>Simila</w:t>
      </w:r>
      <w:r w:rsidR="00254D1D">
        <w:t>rly, the Commission</w:t>
      </w:r>
      <w:r w:rsidR="006529DC">
        <w:t xml:space="preserve"> asserted that decoupling “was never intended to supplant other tools that deal with demonstrated earnings attrition.”</w:t>
      </w:r>
      <w:r w:rsidR="006529DC">
        <w:rPr>
          <w:rStyle w:val="FootnoteReference"/>
        </w:rPr>
        <w:footnoteReference w:id="52"/>
      </w:r>
      <w:r w:rsidR="006529DC">
        <w:rPr>
          <w:vertAlign w:val="superscript"/>
        </w:rPr>
        <w:t>/</w:t>
      </w:r>
      <w:r w:rsidR="00B150C9">
        <w:t xml:space="preserve">   The Commission then </w:t>
      </w:r>
      <w:r w:rsidR="00BD5A1A">
        <w:t>clarified the</w:t>
      </w:r>
      <w:r w:rsidR="00B150C9">
        <w:t xml:space="preserve"> distinction between attrition and decoupling mechanisms</w:t>
      </w:r>
      <w:r w:rsidR="00BD5A1A">
        <w:t xml:space="preserve"> stating:  “[i]</w:t>
      </w:r>
      <w:r w:rsidR="00B150C9">
        <w:t>mplementation of decoupling to remove any financial disincentive to conservation i</w:t>
      </w:r>
      <w:r w:rsidR="00426EEC">
        <w:t>n a fair and balanced manner</w:t>
      </w:r>
      <w:r w:rsidR="00B150C9">
        <w:t xml:space="preserve"> was the motivation behind our Policy Statement.”</w:t>
      </w:r>
      <w:r w:rsidR="00B150C9">
        <w:rPr>
          <w:rStyle w:val="FootnoteReference"/>
        </w:rPr>
        <w:footnoteReference w:id="53"/>
      </w:r>
      <w:r w:rsidR="00B150C9">
        <w:rPr>
          <w:vertAlign w:val="superscript"/>
        </w:rPr>
        <w:t>/</w:t>
      </w:r>
      <w:r w:rsidR="00B150C9">
        <w:t xml:space="preserve">  </w:t>
      </w:r>
    </w:p>
    <w:p w:rsidR="00D47D64" w:rsidRDefault="00CA7525" w:rsidP="002838FA">
      <w:pPr>
        <w:pStyle w:val="MJDWUTCBrief"/>
      </w:pPr>
      <w:r>
        <w:t xml:space="preserve">     </w:t>
      </w:r>
      <w:r w:rsidR="003A5F39">
        <w:tab/>
      </w:r>
      <w:r w:rsidR="005D7420">
        <w:t>T</w:t>
      </w:r>
      <w:r w:rsidR="00D74DF1">
        <w:t>he Settling Parties have overstated the Commission’s views regarding NWEC’s decoupling proposal in 2011.</w:t>
      </w:r>
      <w:r w:rsidR="00BD5A1A">
        <w:t xml:space="preserve"> </w:t>
      </w:r>
      <w:r w:rsidR="00D74DF1">
        <w:t xml:space="preserve"> T</w:t>
      </w:r>
      <w:r w:rsidR="00BD5A1A">
        <w:t>he Commission stated it “might” fin</w:t>
      </w:r>
      <w:r w:rsidR="00343578">
        <w:t xml:space="preserve">d </w:t>
      </w:r>
      <w:r w:rsidR="009B6711">
        <w:t>merit</w:t>
      </w:r>
      <w:r w:rsidR="00D74DF1">
        <w:t xml:space="preserve"> if it had closely examined NWEC’s</w:t>
      </w:r>
      <w:r w:rsidR="00343578">
        <w:t xml:space="preserve"> proposal</w:t>
      </w:r>
      <w:r w:rsidR="00235BA7">
        <w:t xml:space="preserve">, </w:t>
      </w:r>
      <w:r w:rsidR="00D74DF1">
        <w:t xml:space="preserve">but the proposed was </w:t>
      </w:r>
      <w:r w:rsidR="00D74DF1" w:rsidRPr="00D74DF1">
        <w:rPr>
          <w:u w:val="single"/>
        </w:rPr>
        <w:t>not</w:t>
      </w:r>
      <w:r w:rsidR="00D74DF1">
        <w:t xml:space="preserve"> adopted </w:t>
      </w:r>
      <w:r w:rsidR="009B6711">
        <w:t>as a replacement of</w:t>
      </w:r>
      <w:r w:rsidR="00F86DF8">
        <w:t xml:space="preserve"> the Policy Statement </w:t>
      </w:r>
      <w:r w:rsidR="00D74DF1">
        <w:t>itself.</w:t>
      </w:r>
      <w:r w:rsidR="00BC45BE">
        <w:t xml:space="preserve"> </w:t>
      </w:r>
      <w:r w:rsidR="00D74DF1">
        <w:t xml:space="preserve"> In fact, the language relied upon so heavily by the Settling Parties is nothing more than dictum.</w:t>
      </w:r>
    </w:p>
    <w:p w:rsidR="00704429" w:rsidRPr="005A7EE8" w:rsidRDefault="00704429" w:rsidP="00174DC2">
      <w:pPr>
        <w:pStyle w:val="WUTCParagraph"/>
        <w:numPr>
          <w:ilvl w:val="0"/>
          <w:numId w:val="0"/>
        </w:numPr>
        <w:tabs>
          <w:tab w:val="clear" w:pos="1440"/>
          <w:tab w:val="left" w:pos="720"/>
        </w:tabs>
        <w:rPr>
          <w:b/>
        </w:rPr>
      </w:pPr>
      <w:r w:rsidRPr="005A7EE8">
        <w:rPr>
          <w:b/>
        </w:rPr>
        <w:t>b.</w:t>
      </w:r>
      <w:r w:rsidRPr="005A7EE8">
        <w:rPr>
          <w:b/>
        </w:rPr>
        <w:tab/>
        <w:t>Attrition</w:t>
      </w:r>
    </w:p>
    <w:p w:rsidR="00704429" w:rsidRDefault="00730D94" w:rsidP="002838FA">
      <w:pPr>
        <w:pStyle w:val="MJDWUTCBrief"/>
      </w:pPr>
      <w:r>
        <w:t xml:space="preserve">     </w:t>
      </w:r>
      <w:r w:rsidR="003A5F39">
        <w:tab/>
      </w:r>
      <w:r w:rsidR="00707D95">
        <w:t>An entire section of Order 08 is devoted to the issue of “Attrition,”</w:t>
      </w:r>
      <w:r w:rsidR="00707D95">
        <w:rPr>
          <w:rStyle w:val="FootnoteReference"/>
        </w:rPr>
        <w:footnoteReference w:id="54"/>
      </w:r>
      <w:r w:rsidR="00707D95">
        <w:rPr>
          <w:vertAlign w:val="superscript"/>
        </w:rPr>
        <w:t>/</w:t>
      </w:r>
      <w:r w:rsidR="00707D95">
        <w:t xml:space="preserve">  which, as the Commission noted, “is often loosely applied to any situation in which </w:t>
      </w:r>
      <w:r w:rsidR="00426EEC">
        <w:t xml:space="preserve">a </w:t>
      </w:r>
      <w:r w:rsidR="00707D95">
        <w:t>rate-regulated business fails to achieve its allowed earnings.”</w:t>
      </w:r>
      <w:r w:rsidR="00707D95">
        <w:rPr>
          <w:rStyle w:val="FootnoteReference"/>
        </w:rPr>
        <w:footnoteReference w:id="55"/>
      </w:r>
      <w:r w:rsidR="00707D95">
        <w:rPr>
          <w:vertAlign w:val="superscript"/>
        </w:rPr>
        <w:t>/</w:t>
      </w:r>
      <w:r w:rsidR="00707D95">
        <w:t xml:space="preserve">  </w:t>
      </w:r>
      <w:r w:rsidR="009C0C45">
        <w:t>To this end, the Commission observed that, in the 2011 GRC, Staff and PSE cited “ongoing costs associated with infrastructure additions, replacements and additions as an example” of “attrition in allowed earnings.”</w:t>
      </w:r>
      <w:r w:rsidR="009C0C45">
        <w:rPr>
          <w:rStyle w:val="FootnoteReference"/>
        </w:rPr>
        <w:footnoteReference w:id="56"/>
      </w:r>
      <w:r w:rsidR="009C0C45">
        <w:rPr>
          <w:vertAlign w:val="superscript"/>
        </w:rPr>
        <w:t>/</w:t>
      </w:r>
      <w:r w:rsidR="009C0C45">
        <w:t xml:space="preserve">  </w:t>
      </w:r>
    </w:p>
    <w:p w:rsidR="009C0C45" w:rsidRDefault="00543CF7" w:rsidP="002838FA">
      <w:pPr>
        <w:pStyle w:val="MJDWUTCBrief"/>
      </w:pPr>
      <w:r>
        <w:tab/>
      </w:r>
      <w:r w:rsidR="009C0C45">
        <w:t xml:space="preserve">While PSE did not expressly request an attrition adjustment in the 2011 GRC, the Commission </w:t>
      </w:r>
      <w:r w:rsidR="00DA385B">
        <w:t>noted that</w:t>
      </w:r>
      <w:r w:rsidR="009C0C45">
        <w:t xml:space="preserve"> </w:t>
      </w:r>
      <w:r w:rsidR="00DA385B">
        <w:t>“</w:t>
      </w:r>
      <w:r w:rsidR="009C0C45">
        <w:t xml:space="preserve">an attrition adjustment is one among several possible responses the Commission could make to address a demonstrated </w:t>
      </w:r>
      <w:r w:rsidR="00885EF2">
        <w:t xml:space="preserve">trend of </w:t>
      </w:r>
      <w:r w:rsidR="00C23537">
        <w:t>under</w:t>
      </w:r>
      <w:r w:rsidR="00426EEC">
        <w:t xml:space="preserve"> </w:t>
      </w:r>
      <w:r w:rsidR="00C23537">
        <w:t>earning</w:t>
      </w:r>
      <w:r w:rsidR="002D3B58">
        <w:t xml:space="preserve"> due to circumstances beyond the Company’s ability to control.”</w:t>
      </w:r>
      <w:r w:rsidR="002D3B58">
        <w:rPr>
          <w:rStyle w:val="FootnoteReference"/>
        </w:rPr>
        <w:footnoteReference w:id="57"/>
      </w:r>
      <w:r w:rsidR="002D3B58">
        <w:rPr>
          <w:vertAlign w:val="superscript"/>
        </w:rPr>
        <w:t>/</w:t>
      </w:r>
      <w:r w:rsidR="00885EF2">
        <w:t xml:space="preserve">  T</w:t>
      </w:r>
      <w:r w:rsidR="002D3B58">
        <w:t xml:space="preserve">he WUTC concluded an </w:t>
      </w:r>
      <w:r w:rsidR="002D3B58">
        <w:lastRenderedPageBreak/>
        <w:t>attrition adjustment could be made to address a “demonstrated” trend of underearning, thereby indicating a definite</w:t>
      </w:r>
      <w:r w:rsidR="00FA116D">
        <w:t xml:space="preserve"> and deliberate</w:t>
      </w:r>
      <w:r w:rsidR="002D3B58">
        <w:t xml:space="preserve"> evi</w:t>
      </w:r>
      <w:r w:rsidR="00885EF2">
        <w:t>dentiary requirement.  T</w:t>
      </w:r>
      <w:r w:rsidR="002D3B58">
        <w:t xml:space="preserve">he Commission </w:t>
      </w:r>
      <w:r w:rsidR="00885EF2">
        <w:t xml:space="preserve">also </w:t>
      </w:r>
      <w:r w:rsidR="002D3B58">
        <w:t xml:space="preserve">stated </w:t>
      </w:r>
      <w:r w:rsidR="00DA385B">
        <w:t xml:space="preserve">that </w:t>
      </w:r>
      <w:r w:rsidR="002D3B58">
        <w:t xml:space="preserve">an </w:t>
      </w:r>
      <w:r w:rsidR="00C23537">
        <w:t>attrition</w:t>
      </w:r>
      <w:r w:rsidR="002D3B58">
        <w:t xml:space="preserve"> adjustment could be an appropriate res</w:t>
      </w:r>
      <w:r w:rsidR="00DA385B">
        <w:t>ponse to address circumstances beyond</w:t>
      </w:r>
      <w:r w:rsidR="002D3B58">
        <w:t xml:space="preserve"> the Company’s control, eliminating such a mechanism as a possible response to situations in which </w:t>
      </w:r>
      <w:r w:rsidR="00FA116D">
        <w:t xml:space="preserve">poor </w:t>
      </w:r>
      <w:r w:rsidR="002D3B58">
        <w:t xml:space="preserve">company management </w:t>
      </w:r>
      <w:r w:rsidR="00885EF2">
        <w:t xml:space="preserve">led to </w:t>
      </w:r>
      <w:r w:rsidR="00254D1D">
        <w:t>under</w:t>
      </w:r>
      <w:r w:rsidR="00C23537">
        <w:t>earning</w:t>
      </w:r>
      <w:r w:rsidR="002D3B58">
        <w:t>.</w:t>
      </w:r>
    </w:p>
    <w:p w:rsidR="00351887" w:rsidRDefault="00543CF7" w:rsidP="002838FA">
      <w:pPr>
        <w:pStyle w:val="MJDWUTCBrief"/>
      </w:pPr>
      <w:r>
        <w:tab/>
      </w:r>
      <w:r w:rsidR="002D3B58">
        <w:t xml:space="preserve">The Commission went on to state that an attrition adjustment might be available to address </w:t>
      </w:r>
      <w:r w:rsidR="00B52A58">
        <w:t xml:space="preserve">alleged </w:t>
      </w:r>
      <w:r w:rsidR="00B51EA1">
        <w:t xml:space="preserve">“challenges posed by </w:t>
      </w:r>
      <w:r w:rsidR="002D3B58">
        <w:t xml:space="preserve">PSE’s </w:t>
      </w:r>
      <w:r w:rsidR="00B51EA1">
        <w:t>current intensive capital investment program to replace aging infrastructure,” but only if an attrition adjustment was “shown to be a needed response.”</w:t>
      </w:r>
      <w:r w:rsidR="00B51EA1">
        <w:rPr>
          <w:rStyle w:val="FootnoteReference"/>
        </w:rPr>
        <w:footnoteReference w:id="58"/>
      </w:r>
      <w:r w:rsidR="00B51EA1">
        <w:rPr>
          <w:vertAlign w:val="superscript"/>
        </w:rPr>
        <w:t>/</w:t>
      </w:r>
      <w:r w:rsidR="005B6CDC">
        <w:t xml:space="preserve">  Several </w:t>
      </w:r>
      <w:r w:rsidR="00DA385B">
        <w:t xml:space="preserve">other </w:t>
      </w:r>
      <w:r w:rsidR="005B6CDC">
        <w:t>potential attrition remedies were also listed; however,</w:t>
      </w:r>
      <w:r w:rsidR="00DA385B">
        <w:t xml:space="preserve"> the Commission expressed</w:t>
      </w:r>
      <w:r w:rsidR="00FB7694">
        <w:t xml:space="preserve"> reluctance </w:t>
      </w:r>
      <w:r w:rsidR="00DA385B">
        <w:t>to prescribe abstract remedies because</w:t>
      </w:r>
      <w:r w:rsidR="00FB7694">
        <w:t xml:space="preserve"> regulatory literature provided little detailed guidance concerning the calculation or implementation of attrition remedies</w:t>
      </w:r>
      <w:r w:rsidR="00DA385B">
        <w:t xml:space="preserve"> and</w:t>
      </w:r>
      <w:r w:rsidR="00FB7694">
        <w:t xml:space="preserve"> comprehensive analyses of real-world application was also lacking.</w:t>
      </w:r>
      <w:r w:rsidR="00FB7694">
        <w:rPr>
          <w:rStyle w:val="FootnoteReference"/>
        </w:rPr>
        <w:footnoteReference w:id="59"/>
      </w:r>
      <w:r w:rsidR="00FB7694">
        <w:rPr>
          <w:vertAlign w:val="superscript"/>
        </w:rPr>
        <w:t>/</w:t>
      </w:r>
      <w:r w:rsidR="00351887">
        <w:t xml:space="preserve">  </w:t>
      </w:r>
    </w:p>
    <w:p w:rsidR="002D3B58" w:rsidRPr="001215F2" w:rsidRDefault="00543CF7" w:rsidP="002838FA">
      <w:pPr>
        <w:pStyle w:val="MJDWUTCBrief"/>
      </w:pPr>
      <w:r>
        <w:tab/>
      </w:r>
      <w:r w:rsidR="00351887">
        <w:t>Consequently, the Commission emphasized its willingness to fairly consider “</w:t>
      </w:r>
      <w:r w:rsidR="00351887" w:rsidRPr="00351887">
        <w:rPr>
          <w:i/>
        </w:rPr>
        <w:t>specific</w:t>
      </w:r>
      <w:r w:rsidR="00351887">
        <w:t xml:space="preserve"> proposals supported by </w:t>
      </w:r>
      <w:r w:rsidR="00351887" w:rsidRPr="00351887">
        <w:rPr>
          <w:i/>
        </w:rPr>
        <w:t>adequate evidence</w:t>
      </w:r>
      <w:r w:rsidR="00351887">
        <w:t xml:space="preserve"> showing them to be </w:t>
      </w:r>
      <w:r w:rsidR="00351887" w:rsidRPr="00351887">
        <w:rPr>
          <w:i/>
        </w:rPr>
        <w:t>appropriate responses</w:t>
      </w:r>
      <w:r w:rsidR="00351887">
        <w:t xml:space="preserve"> to PSE’s economic and financial </w:t>
      </w:r>
      <w:r w:rsidR="00C23537">
        <w:t>circumstances</w:t>
      </w:r>
      <w:r w:rsidR="00351887">
        <w:t xml:space="preserve">, including, </w:t>
      </w:r>
      <w:r w:rsidR="00351887" w:rsidRPr="00351887">
        <w:rPr>
          <w:i/>
        </w:rPr>
        <w:t>if demonstrated</w:t>
      </w:r>
      <w:r w:rsidR="004574A6">
        <w:t>, under</w:t>
      </w:r>
      <w:r w:rsidR="00351887">
        <w:t>earnings due to attrition.”</w:t>
      </w:r>
      <w:r w:rsidR="00351887">
        <w:rPr>
          <w:rStyle w:val="FootnoteReference"/>
        </w:rPr>
        <w:footnoteReference w:id="60"/>
      </w:r>
      <w:r w:rsidR="00351887">
        <w:rPr>
          <w:vertAlign w:val="superscript"/>
        </w:rPr>
        <w:t>/</w:t>
      </w:r>
      <w:r w:rsidR="00C42235">
        <w:t xml:space="preserve">  The emphasized words in that statement convey the deliberate, high evidenti</w:t>
      </w:r>
      <w:r w:rsidR="00B5592D">
        <w:t>ary standard set by</w:t>
      </w:r>
      <w:r w:rsidR="00C42235">
        <w:t xml:space="preserve"> the Commission to even “consider” an attrition adjustment proposal, never mind approve of one</w:t>
      </w:r>
      <w:r w:rsidR="005A7EE8">
        <w:t xml:space="preserve"> without</w:t>
      </w:r>
      <w:r w:rsidR="004574A6">
        <w:t xml:space="preserve"> a study or projection of under</w:t>
      </w:r>
      <w:r w:rsidR="005A7EE8">
        <w:t>earnings due to unusual capital expenditures</w:t>
      </w:r>
      <w:r w:rsidR="009D7A2C">
        <w:t xml:space="preserve"> in the future</w:t>
      </w:r>
      <w:r w:rsidR="00C42235">
        <w:t xml:space="preserve">. </w:t>
      </w:r>
    </w:p>
    <w:p w:rsidR="00704429" w:rsidRPr="00736037" w:rsidRDefault="00C42235" w:rsidP="008F0AB3">
      <w:pPr>
        <w:pStyle w:val="WUTCParagraph"/>
        <w:keepNext/>
        <w:numPr>
          <w:ilvl w:val="0"/>
          <w:numId w:val="0"/>
        </w:numPr>
        <w:tabs>
          <w:tab w:val="clear" w:pos="1440"/>
          <w:tab w:val="left" w:pos="720"/>
        </w:tabs>
        <w:rPr>
          <w:b/>
        </w:rPr>
      </w:pPr>
      <w:r>
        <w:rPr>
          <w:b/>
        </w:rPr>
        <w:lastRenderedPageBreak/>
        <w:t>c</w:t>
      </w:r>
      <w:r w:rsidR="00704429">
        <w:rPr>
          <w:b/>
        </w:rPr>
        <w:t>.</w:t>
      </w:r>
      <w:r w:rsidR="00724B60">
        <w:rPr>
          <w:b/>
        </w:rPr>
        <w:tab/>
      </w:r>
      <w:r w:rsidR="00704429">
        <w:rPr>
          <w:b/>
        </w:rPr>
        <w:t xml:space="preserve">Expedited Rate </w:t>
      </w:r>
      <w:r w:rsidR="00B5592D">
        <w:rPr>
          <w:b/>
        </w:rPr>
        <w:t>Case Proposal</w:t>
      </w:r>
    </w:p>
    <w:p w:rsidR="00174DC2" w:rsidRDefault="00543CF7" w:rsidP="009D7A2C">
      <w:pPr>
        <w:pStyle w:val="MJDWUTCBrief"/>
      </w:pPr>
      <w:r>
        <w:tab/>
      </w:r>
      <w:r w:rsidR="006C0656">
        <w:t xml:space="preserve">Order 08 also </w:t>
      </w:r>
      <w:r w:rsidR="00DA385B">
        <w:t>discusses</w:t>
      </w:r>
      <w:r w:rsidR="00C42235">
        <w:t xml:space="preserve"> Staff’s </w:t>
      </w:r>
      <w:r w:rsidR="00B5592D">
        <w:t>proposal for an expedited rate case.</w:t>
      </w:r>
      <w:r w:rsidR="00B5592D">
        <w:rPr>
          <w:rStyle w:val="FootnoteReference"/>
        </w:rPr>
        <w:footnoteReference w:id="61"/>
      </w:r>
      <w:r w:rsidR="00B5592D">
        <w:rPr>
          <w:vertAlign w:val="superscript"/>
        </w:rPr>
        <w:t>/</w:t>
      </w:r>
      <w:r w:rsidR="00B5592D">
        <w:t xml:space="preserve">  </w:t>
      </w:r>
      <w:r w:rsidR="00A2409D">
        <w:t>The Commission made no specific determination, but acknowledged “the outline of a proposed process” which Staff presented “to help address . . . PSE’s current position in a cycle of capital investment . . . to maintain and replace significant amounts of aging infrastructure.”</w:t>
      </w:r>
      <w:r w:rsidR="00A2409D">
        <w:rPr>
          <w:rStyle w:val="FootnoteReference"/>
        </w:rPr>
        <w:footnoteReference w:id="62"/>
      </w:r>
      <w:r w:rsidR="00A2409D">
        <w:rPr>
          <w:vertAlign w:val="superscript"/>
        </w:rPr>
        <w:t>/</w:t>
      </w:r>
      <w:r w:rsidR="00A2409D">
        <w:t xml:space="preserve"> </w:t>
      </w:r>
      <w:r w:rsidR="00292555">
        <w:t xml:space="preserve">  Staff’s proposal envisioned the filing of an ERF “[i]mmediately following the determination of a fully contested rate case,” not a year subsequent, and which would function as “a form of decoupling since rates will be adjusted in a timely manner . . . ”</w:t>
      </w:r>
      <w:r w:rsidR="00292555">
        <w:rPr>
          <w:rStyle w:val="FootnoteReference"/>
        </w:rPr>
        <w:footnoteReference w:id="63"/>
      </w:r>
      <w:r w:rsidR="00292555" w:rsidRPr="0047630D">
        <w:rPr>
          <w:vertAlign w:val="superscript"/>
        </w:rPr>
        <w:t>/</w:t>
      </w:r>
      <w:r w:rsidR="00A2409D">
        <w:t xml:space="preserve"> </w:t>
      </w:r>
      <w:r w:rsidR="00292555">
        <w:t>rather than being filed along with a separate</w:t>
      </w:r>
      <w:r w:rsidR="009D7A2C">
        <w:t>,</w:t>
      </w:r>
      <w:r w:rsidR="00292555">
        <w:t xml:space="preserve"> duplicative decoupling mechanism.  </w:t>
      </w:r>
      <w:r w:rsidR="00A2409D">
        <w:t xml:space="preserve">The Commission envisioned “a broader discussion with other interested participants in the regulatory process,” in which Staff, PSE, </w:t>
      </w:r>
      <w:r w:rsidR="00A2409D" w:rsidRPr="000C0DB6">
        <w:rPr>
          <w:i/>
        </w:rPr>
        <w:t>and</w:t>
      </w:r>
      <w:r w:rsidR="00A2409D">
        <w:t xml:space="preserve"> these other stakeholders could “bring forward for consideration specific proposals that may satisfy a range of </w:t>
      </w:r>
    </w:p>
    <w:p w:rsidR="00317EDF" w:rsidRDefault="00A2409D" w:rsidP="00174DC2">
      <w:pPr>
        <w:pStyle w:val="MJDWUTCBrief"/>
        <w:numPr>
          <w:ilvl w:val="0"/>
          <w:numId w:val="0"/>
        </w:numPr>
      </w:pPr>
      <w:r>
        <w:t>both common and diverse interests.”</w:t>
      </w:r>
      <w:r>
        <w:rPr>
          <w:rStyle w:val="FootnoteReference"/>
        </w:rPr>
        <w:footnoteReference w:id="64"/>
      </w:r>
      <w:r>
        <w:rPr>
          <w:vertAlign w:val="superscript"/>
        </w:rPr>
        <w:t>/</w:t>
      </w:r>
      <w:r>
        <w:t xml:space="preserve">  </w:t>
      </w:r>
      <w:r w:rsidR="00704429">
        <w:t xml:space="preserve"> </w:t>
      </w:r>
      <w:r w:rsidR="00A153CA">
        <w:t xml:space="preserve">  </w:t>
      </w:r>
      <w:r w:rsidR="00CD5B75">
        <w:t xml:space="preserve"> </w:t>
      </w:r>
    </w:p>
    <w:p w:rsidR="00CD5B75" w:rsidRPr="001215F2" w:rsidRDefault="00CA7525" w:rsidP="002838FA">
      <w:pPr>
        <w:pStyle w:val="MJDWUTCBrief"/>
      </w:pPr>
      <w:r>
        <w:t xml:space="preserve">     </w:t>
      </w:r>
      <w:r w:rsidR="003A5F39">
        <w:tab/>
      </w:r>
      <w:r w:rsidR="00CD5B75">
        <w:t xml:space="preserve">All of the Commission’s </w:t>
      </w:r>
      <w:r w:rsidR="00A2409D">
        <w:t>encouragement of thoughtful solutions</w:t>
      </w:r>
      <w:r w:rsidR="00CD5B75">
        <w:t xml:space="preserve"> follow naturally from the ideas presented in its alternative scenario.  Proposals of particular interest to t</w:t>
      </w:r>
      <w:r w:rsidR="007C56A7">
        <w:t xml:space="preserve">he WUTC, which “might break the current pattern of almost continuous rate cases,” which would </w:t>
      </w:r>
      <w:r w:rsidR="007C56A7" w:rsidRPr="007C56A7">
        <w:rPr>
          <w:i/>
        </w:rPr>
        <w:t>not</w:t>
      </w:r>
      <w:r w:rsidR="007C56A7">
        <w:t xml:space="preserve"> continue to w</w:t>
      </w:r>
      <w:r w:rsidR="00A2409D">
        <w:t xml:space="preserve">eary ratepayers by instituting </w:t>
      </w:r>
      <w:r w:rsidR="007C56A7">
        <w:t>increase after increase</w:t>
      </w:r>
      <w:r w:rsidR="009431DD">
        <w:t>,</w:t>
      </w:r>
      <w:r w:rsidR="007C56A7">
        <w:t xml:space="preserve"> and which would “serve the public interest</w:t>
      </w:r>
      <w:r w:rsidR="00A2409D">
        <w:t>”</w:t>
      </w:r>
      <w:r w:rsidR="007C56A7">
        <w:t xml:space="preserve"> would almost certainly require the </w:t>
      </w:r>
      <w:r w:rsidR="009431DD">
        <w:t xml:space="preserve">“thoughtful” input </w:t>
      </w:r>
      <w:r w:rsidR="009D7A2C">
        <w:t xml:space="preserve">of </w:t>
      </w:r>
      <w:r w:rsidR="007C56A7">
        <w:t>ratepayer representatives.  In sum, the Commission expressed particular interest in expedited rate case proposals culminating from broad discussions including more than</w:t>
      </w:r>
      <w:r w:rsidR="009431DD">
        <w:t xml:space="preserve"> just</w:t>
      </w:r>
      <w:r w:rsidR="007C56A7">
        <w:t xml:space="preserve"> Staff and PSE representatives at the table, proposals capable of satis</w:t>
      </w:r>
      <w:r w:rsidR="004F7C98">
        <w:t xml:space="preserve">fying a true </w:t>
      </w:r>
      <w:r w:rsidR="004F7C98">
        <w:lastRenderedPageBreak/>
        <w:t>range of interests and thereby offering real promise</w:t>
      </w:r>
      <w:r w:rsidR="007C56A7">
        <w:t xml:space="preserve"> </w:t>
      </w:r>
      <w:r w:rsidR="004F7C98">
        <w:t>for the implementation of sustainable, long-term solutions to the perpetual rate case</w:t>
      </w:r>
      <w:r w:rsidR="005C79D1">
        <w:t xml:space="preserve"> rate increase</w:t>
      </w:r>
      <w:r w:rsidR="004F7C98">
        <w:t xml:space="preserve"> cycle.</w:t>
      </w:r>
      <w:r w:rsidR="00885EF2">
        <w:t xml:space="preserve">  The </w:t>
      </w:r>
      <w:r w:rsidR="005C79D1">
        <w:t>proposal</w:t>
      </w:r>
      <w:r w:rsidR="00885EF2">
        <w:t xml:space="preserve"> before the Commission falls painfully short.</w:t>
      </w:r>
      <w:r w:rsidR="004F7C98">
        <w:t xml:space="preserve">  </w:t>
      </w:r>
    </w:p>
    <w:p w:rsidR="003930EA" w:rsidRPr="002838FA" w:rsidRDefault="00911099" w:rsidP="0075018E">
      <w:pPr>
        <w:pStyle w:val="WUTCParagraph"/>
        <w:numPr>
          <w:ilvl w:val="0"/>
          <w:numId w:val="0"/>
        </w:numPr>
        <w:jc w:val="center"/>
        <w:rPr>
          <w:b/>
          <w:bCs/>
        </w:rPr>
      </w:pPr>
      <w:r>
        <w:rPr>
          <w:b/>
          <w:bCs/>
        </w:rPr>
        <w:t>II</w:t>
      </w:r>
      <w:r w:rsidR="001215F2">
        <w:rPr>
          <w:b/>
          <w:bCs/>
        </w:rPr>
        <w:t>I</w:t>
      </w:r>
      <w:r w:rsidR="0075018E">
        <w:rPr>
          <w:b/>
          <w:bCs/>
        </w:rPr>
        <w:t>.</w:t>
      </w:r>
      <w:r w:rsidR="0075018E">
        <w:rPr>
          <w:b/>
          <w:bCs/>
          <w:lang w:val="en-US"/>
        </w:rPr>
        <w:t xml:space="preserve"> </w:t>
      </w:r>
      <w:r w:rsidR="002C276E">
        <w:rPr>
          <w:b/>
          <w:bCs/>
          <w:lang w:val="en-US"/>
        </w:rPr>
        <w:t xml:space="preserve">    </w:t>
      </w:r>
      <w:r>
        <w:rPr>
          <w:b/>
          <w:bCs/>
        </w:rPr>
        <w:t>ARGUMENT</w:t>
      </w:r>
      <w:bookmarkStart w:id="0" w:name="_Toc84665914"/>
      <w:bookmarkStart w:id="1" w:name="_Toc84933794"/>
    </w:p>
    <w:p w:rsidR="0075018E" w:rsidRDefault="003930EA" w:rsidP="00174DC2">
      <w:pPr>
        <w:pStyle w:val="WUTCParagraph"/>
        <w:numPr>
          <w:ilvl w:val="0"/>
          <w:numId w:val="0"/>
        </w:numPr>
        <w:tabs>
          <w:tab w:val="clear" w:pos="1440"/>
          <w:tab w:val="left" w:pos="720"/>
        </w:tabs>
        <w:spacing w:line="240" w:lineRule="auto"/>
        <w:rPr>
          <w:b/>
          <w:lang w:val="en-US"/>
        </w:rPr>
      </w:pPr>
      <w:r>
        <w:rPr>
          <w:b/>
        </w:rPr>
        <w:t xml:space="preserve">A. </w:t>
      </w:r>
      <w:r w:rsidR="0075018E">
        <w:rPr>
          <w:b/>
          <w:lang w:val="en-US"/>
        </w:rPr>
        <w:tab/>
      </w:r>
      <w:r>
        <w:rPr>
          <w:b/>
        </w:rPr>
        <w:t xml:space="preserve">Adoption of the Global Settlement Would Violate the Washington APA and </w:t>
      </w:r>
    </w:p>
    <w:p w:rsidR="003930EA" w:rsidRPr="002838FA" w:rsidRDefault="0075018E" w:rsidP="00174DC2">
      <w:pPr>
        <w:pStyle w:val="WUTCParagraph"/>
        <w:numPr>
          <w:ilvl w:val="0"/>
          <w:numId w:val="0"/>
        </w:numPr>
        <w:tabs>
          <w:tab w:val="clear" w:pos="1440"/>
          <w:tab w:val="left" w:pos="720"/>
        </w:tabs>
        <w:spacing w:line="240" w:lineRule="auto"/>
        <w:rPr>
          <w:lang w:val="en-US"/>
        </w:rPr>
      </w:pPr>
      <w:r>
        <w:rPr>
          <w:b/>
          <w:lang w:val="en-US"/>
        </w:rPr>
        <w:tab/>
      </w:r>
      <w:r w:rsidR="003930EA">
        <w:rPr>
          <w:b/>
        </w:rPr>
        <w:t>the Commission’s Rules</w:t>
      </w:r>
    </w:p>
    <w:p w:rsidR="003930EA" w:rsidRDefault="003930EA" w:rsidP="00174DC2">
      <w:pPr>
        <w:pStyle w:val="MJDWUTCBrief"/>
        <w:spacing w:line="570" w:lineRule="exact"/>
      </w:pPr>
      <w:r>
        <w:t xml:space="preserve">     </w:t>
      </w:r>
      <w:r w:rsidR="003A5F39">
        <w:tab/>
      </w:r>
      <w:r>
        <w:t xml:space="preserve">PSE and Staff ignore the Washington </w:t>
      </w:r>
      <w:r w:rsidR="006D3D20">
        <w:t>Administrative</w:t>
      </w:r>
      <w:r>
        <w:t xml:space="preserve"> Procedure Act (“APA”) and Commission rules in requesting that the Commission</w:t>
      </w:r>
      <w:r w:rsidR="00190F99">
        <w:t xml:space="preserve"> accept their “Global Settlement” of these dockets and </w:t>
      </w:r>
      <w:r w:rsidR="00A63825">
        <w:t>substitute</w:t>
      </w:r>
      <w:r>
        <w:t xml:space="preserve"> terms</w:t>
      </w:r>
      <w:r w:rsidR="00A63825">
        <w:t xml:space="preserve"> of the Global Settlement</w:t>
      </w:r>
      <w:r>
        <w:t xml:space="preserve"> for the Commission’s determinations in Final Order 03 in UE-121373.  </w:t>
      </w:r>
    </w:p>
    <w:p w:rsidR="003930EA" w:rsidRDefault="003930EA" w:rsidP="00174DC2">
      <w:pPr>
        <w:pStyle w:val="MJDWUTCBrief"/>
        <w:spacing w:line="570" w:lineRule="exact"/>
      </w:pPr>
      <w:r>
        <w:t xml:space="preserve">      </w:t>
      </w:r>
      <w:r w:rsidR="003A5F39">
        <w:tab/>
      </w:r>
      <w:r w:rsidR="00A63825">
        <w:t>T</w:t>
      </w:r>
      <w:r w:rsidR="00057218">
        <w:t>he</w:t>
      </w:r>
      <w:r>
        <w:t xml:space="preserve"> APA</w:t>
      </w:r>
      <w:r w:rsidR="00B0014E">
        <w:t xml:space="preserve"> protects due process rights by</w:t>
      </w:r>
      <w:r>
        <w:t xml:space="preserve"> </w:t>
      </w:r>
      <w:r w:rsidR="00B0014E">
        <w:t>requiring</w:t>
      </w:r>
      <w:r w:rsidR="00A63825">
        <w:t xml:space="preserve"> that </w:t>
      </w:r>
      <w:r>
        <w:t xml:space="preserve">“the agency record constitutes the exclusive basis for agency action in </w:t>
      </w:r>
      <w:r w:rsidR="00261D52">
        <w:t>adjudicative proceedings . . .</w:t>
      </w:r>
      <w:r w:rsidR="005D7420">
        <w:t xml:space="preserve"> .</w:t>
      </w:r>
      <w:r w:rsidR="00261D52">
        <w:t xml:space="preserve"> </w:t>
      </w:r>
      <w:r>
        <w:t>”</w:t>
      </w:r>
      <w:r w:rsidRPr="009673E7">
        <w:rPr>
          <w:u w:val="single"/>
          <w:vertAlign w:val="superscript"/>
        </w:rPr>
        <w:footnoteReference w:id="65"/>
      </w:r>
      <w:r w:rsidRPr="000130B3">
        <w:rPr>
          <w:vertAlign w:val="superscript"/>
        </w:rPr>
        <w:t>/</w:t>
      </w:r>
      <w:r w:rsidRPr="009673E7">
        <w:t xml:space="preserve">  </w:t>
      </w:r>
      <w:r>
        <w:t>Commission orders must contain statements of findings and conclusions on “all material issues of fact, law, or discretion presented on the record . . . [and] findings of fact shall be based exclusively on the evidence of record in the adjudicative proceeding . . . .”</w:t>
      </w:r>
      <w:r w:rsidRPr="009673E7">
        <w:rPr>
          <w:u w:val="single"/>
          <w:vertAlign w:val="superscript"/>
        </w:rPr>
        <w:footnoteReference w:id="66"/>
      </w:r>
      <w:r w:rsidRPr="000130B3">
        <w:rPr>
          <w:vertAlign w:val="superscript"/>
        </w:rPr>
        <w:t>/</w:t>
      </w:r>
      <w:r>
        <w:t xml:space="preserve">  The existe</w:t>
      </w:r>
      <w:r w:rsidR="009D7A2C">
        <w:t xml:space="preserve">nce of a record in these </w:t>
      </w:r>
      <w:r>
        <w:t>unconsolidated dockets may not serve as the basis for decisions in a different docket</w:t>
      </w:r>
      <w:r w:rsidR="00057218">
        <w:t>,</w:t>
      </w:r>
      <w:r w:rsidR="00190F99">
        <w:t xml:space="preserve"> and the record and decision in a different docket</w:t>
      </w:r>
      <w:r w:rsidR="00057218">
        <w:t xml:space="preserve"> such as UE-121373</w:t>
      </w:r>
      <w:r w:rsidR="005A7EE8">
        <w:t>, the Centralia Docket,</w:t>
      </w:r>
      <w:r w:rsidR="00190F99">
        <w:t xml:space="preserve"> may not serve as the basis for an order in these dockets</w:t>
      </w:r>
      <w:r w:rsidR="00057218">
        <w:t>.  R</w:t>
      </w:r>
      <w:r>
        <w:t>ather, the requirement that findings must “be based exclusively on the evidence of record in the adjudicative proceeding” clarifies that the record relied upon must be that of each specific adjudicative proceeding.</w:t>
      </w:r>
      <w:r w:rsidR="00057218">
        <w:t xml:space="preserve"> </w:t>
      </w:r>
      <w:r>
        <w:t xml:space="preserve"> </w:t>
      </w:r>
      <w:r w:rsidR="00057218">
        <w:t>The Settlement</w:t>
      </w:r>
      <w:r w:rsidR="00190F99">
        <w:t xml:space="preserve"> proposes that in return for approval of these dockets</w:t>
      </w:r>
      <w:r w:rsidR="00057218">
        <w:t>,</w:t>
      </w:r>
      <w:r w:rsidR="00A32DDC">
        <w:t xml:space="preserve"> “concessions” will b</w:t>
      </w:r>
      <w:r w:rsidR="009D7A2C">
        <w:t xml:space="preserve">e made in UE-121373.  This is </w:t>
      </w:r>
      <w:r w:rsidR="009D7A2C">
        <w:lastRenderedPageBreak/>
        <w:t>an</w:t>
      </w:r>
      <w:r w:rsidR="00A32DDC">
        <w:t xml:space="preserve"> admission that the evidence in these dockets cannot justify the proposed rates</w:t>
      </w:r>
      <w:r w:rsidR="00057218">
        <w:t xml:space="preserve"> – additional evidence from another, unconsolidated docket is required</w:t>
      </w:r>
      <w:r w:rsidR="00A32DDC">
        <w:t>.  T</w:t>
      </w:r>
      <w:r>
        <w:t xml:space="preserve">herefore, adopting the Settlement would violate Washington law. </w:t>
      </w:r>
    </w:p>
    <w:p w:rsidR="003930EA" w:rsidRDefault="003930EA" w:rsidP="00174DC2">
      <w:pPr>
        <w:pStyle w:val="MJDWUTCBrief"/>
        <w:spacing w:line="570" w:lineRule="exact"/>
      </w:pPr>
      <w:r>
        <w:t xml:space="preserve">      </w:t>
      </w:r>
      <w:r w:rsidR="003A5F39">
        <w:tab/>
      </w:r>
      <w:r>
        <w:t xml:space="preserve">PSE and Staff appear to acknowledge that the Washington APA’s due process protections stand as a legal bar to their inter-docket horse-trading.  </w:t>
      </w:r>
      <w:r w:rsidR="00B0014E">
        <w:t>Counsel for Staff</w:t>
      </w:r>
      <w:r>
        <w:t xml:space="preserve"> attempted to have the hearing in this proceeding re-noticed so as to include Docket UE-121373 on </w:t>
      </w:r>
      <w:r w:rsidR="00C95371">
        <w:t>one</w:t>
      </w:r>
      <w:r>
        <w:t xml:space="preserve"> day</w:t>
      </w:r>
      <w:r w:rsidR="00261D52">
        <w:t>’s</w:t>
      </w:r>
      <w:r>
        <w:t xml:space="preserve"> notice, which would have been a violation of WAC § 480-07-440.</w:t>
      </w:r>
      <w:r w:rsidRPr="009673E7">
        <w:rPr>
          <w:u w:val="single"/>
          <w:vertAlign w:val="superscript"/>
        </w:rPr>
        <w:footnoteReference w:id="67"/>
      </w:r>
      <w:r w:rsidRPr="000130B3">
        <w:rPr>
          <w:vertAlign w:val="superscript"/>
        </w:rPr>
        <w:t>/</w:t>
      </w:r>
      <w:r>
        <w:t xml:space="preserve">  PSE, on the other hand, posits that all that is necessary to bypass the protections of the APA is a “hearing on the settlement.”</w:t>
      </w:r>
      <w:r w:rsidRPr="009673E7">
        <w:rPr>
          <w:u w:val="single"/>
          <w:vertAlign w:val="superscript"/>
        </w:rPr>
        <w:footnoteReference w:id="68"/>
      </w:r>
      <w:r w:rsidRPr="000130B3">
        <w:rPr>
          <w:vertAlign w:val="superscript"/>
        </w:rPr>
        <w:t>/</w:t>
      </w:r>
      <w:r w:rsidR="00A32DDC">
        <w:t xml:space="preserve">  PSE would </w:t>
      </w:r>
      <w:r>
        <w:t>sweep aside the APA and the Commission’s rules and all due process protection</w:t>
      </w:r>
      <w:r w:rsidR="009D7A2C">
        <w:t>s</w:t>
      </w:r>
      <w:r w:rsidR="00B0014E">
        <w:t xml:space="preserve"> on t</w:t>
      </w:r>
      <w:r w:rsidR="00C95371">
        <w:t>he basis that a</w:t>
      </w:r>
      <w:r w:rsidR="00B0014E">
        <w:t xml:space="preserve"> deal was made between PSE and Staff to </w:t>
      </w:r>
      <w:r w:rsidR="009D7A2C">
        <w:t>the</w:t>
      </w:r>
      <w:r w:rsidR="00B0014E">
        <w:t xml:space="preserve"> ERF and Decoupling proposals</w:t>
      </w:r>
      <w:r w:rsidR="009D7A2C">
        <w:t xml:space="preserve"> as filed</w:t>
      </w:r>
      <w:r w:rsidR="00B0014E">
        <w:t xml:space="preserve"> in return for PSE dropping its claim that the Commission was not generous enough with the Company when it approved the Centralia</w:t>
      </w:r>
      <w:r w:rsidR="005A7EE8">
        <w:t xml:space="preserve"> Power Purchase Agreement</w:t>
      </w:r>
      <w:r w:rsidR="00B0014E">
        <w:t xml:space="preserve"> </w:t>
      </w:r>
      <w:r w:rsidR="005A7EE8">
        <w:t>(“</w:t>
      </w:r>
      <w:r w:rsidR="00B0014E">
        <w:t>PPA</w:t>
      </w:r>
      <w:r w:rsidR="005A7EE8">
        <w:t>”)</w:t>
      </w:r>
      <w:r w:rsidR="00A32DDC">
        <w:t>.</w:t>
      </w:r>
      <w:r>
        <w:t xml:space="preserve"> </w:t>
      </w:r>
      <w:r w:rsidR="00A32DDC">
        <w:t xml:space="preserve"> </w:t>
      </w:r>
      <w:r w:rsidR="00B0014E">
        <w:t>PSE’s counsel elaborates</w:t>
      </w:r>
      <w:r>
        <w:t>, stating that the APA would be satisfied if there were a “joint evidentiary hearing looking at all --all the records together.”</w:t>
      </w:r>
      <w:r>
        <w:rPr>
          <w:rStyle w:val="FootnoteReference"/>
        </w:rPr>
        <w:footnoteReference w:id="69"/>
      </w:r>
      <w:r w:rsidRPr="003930EA">
        <w:rPr>
          <w:vertAlign w:val="superscript"/>
        </w:rPr>
        <w:t>/</w:t>
      </w:r>
      <w:r>
        <w:t xml:space="preserve">   While this simply is a misstatement of Washington law, as described above, it also misses the fact that there has been, in fact, no joint evidentiary hearing that included Docket No. UE-121373, as the Bench made exceedingly clear at </w:t>
      </w:r>
      <w:r w:rsidR="009D7A2C">
        <w:t xml:space="preserve">the </w:t>
      </w:r>
      <w:r>
        <w:t>hearing.</w:t>
      </w:r>
      <w:r>
        <w:rPr>
          <w:rStyle w:val="FootnoteReference"/>
        </w:rPr>
        <w:footnoteReference w:id="70"/>
      </w:r>
      <w:r w:rsidR="00F922FE" w:rsidRPr="003930EA">
        <w:rPr>
          <w:vertAlign w:val="superscript"/>
        </w:rPr>
        <w:t>/</w:t>
      </w:r>
    </w:p>
    <w:p w:rsidR="003930EA" w:rsidRDefault="003930EA" w:rsidP="00174DC2">
      <w:pPr>
        <w:pStyle w:val="MJDWUTCBrief"/>
        <w:spacing w:line="570" w:lineRule="exact"/>
      </w:pPr>
      <w:r>
        <w:lastRenderedPageBreak/>
        <w:t xml:space="preserve">      </w:t>
      </w:r>
      <w:r w:rsidR="003A5F39">
        <w:tab/>
      </w:r>
      <w:r>
        <w:t>In what appears to be an ambitious effort to expand the record</w:t>
      </w:r>
      <w:r w:rsidR="00A32DDC">
        <w:t>s</w:t>
      </w:r>
      <w:r>
        <w:t xml:space="preserve"> in </w:t>
      </w:r>
      <w:r w:rsidR="00B0014E">
        <w:t>these</w:t>
      </w:r>
      <w:r w:rsidR="00A32DDC">
        <w:t xml:space="preserve"> </w:t>
      </w:r>
      <w:r>
        <w:t>docket</w:t>
      </w:r>
      <w:r w:rsidR="00A32DDC">
        <w:t>s</w:t>
      </w:r>
      <w:r>
        <w:t xml:space="preserve">, Staff and PSE have filed voluminous materials from </w:t>
      </w:r>
      <w:r w:rsidR="00B0014E">
        <w:t>the ERF and Decoupling</w:t>
      </w:r>
      <w:r>
        <w:t xml:space="preserve"> dockets in UE-121373.  In fact, </w:t>
      </w:r>
      <w:r w:rsidR="00B0014E">
        <w:t xml:space="preserve">at one point, PSE even filed </w:t>
      </w:r>
      <w:r>
        <w:t xml:space="preserve">a bench request </w:t>
      </w:r>
      <w:r w:rsidR="00B0014E">
        <w:t xml:space="preserve">in </w:t>
      </w:r>
      <w:r w:rsidR="005D7420">
        <w:t xml:space="preserve">a </w:t>
      </w:r>
      <w:r>
        <w:t>response pertaining to its decoupling proposal</w:t>
      </w:r>
      <w:r w:rsidR="00B0014E">
        <w:t xml:space="preserve"> in the Trans Alta Centralia PPA docket</w:t>
      </w:r>
      <w:r>
        <w:t>, stating “</w:t>
      </w:r>
      <w:r w:rsidRPr="00843737">
        <w:t>Attached please find PSE's Responses to Bench Request Nos. 1 and 2 in Docket Nos. UE-121373, UE-121697 &amp; UG-121705 (consolidated)</w:t>
      </w:r>
      <w:r>
        <w:t xml:space="preserve"> . . . .”  This is ironic, as a careful review of Bench Requests One and Two in Docket No. 121373 reveals no requests pertaining to decoupling rates.</w:t>
      </w:r>
      <w:r w:rsidRPr="009673E7">
        <w:rPr>
          <w:u w:val="single"/>
          <w:vertAlign w:val="superscript"/>
        </w:rPr>
        <w:footnoteReference w:id="71"/>
      </w:r>
      <w:r w:rsidRPr="00DD10AF">
        <w:rPr>
          <w:vertAlign w:val="superscript"/>
        </w:rPr>
        <w:t>/</w:t>
      </w:r>
      <w:r>
        <w:t xml:space="preserve">  The law and the Commission’s rules do not permit such sidestepping of the due process or conflating of Commission records.</w:t>
      </w:r>
      <w:r w:rsidRPr="009673E7">
        <w:rPr>
          <w:u w:val="single"/>
          <w:vertAlign w:val="superscript"/>
        </w:rPr>
        <w:footnoteReference w:id="72"/>
      </w:r>
      <w:r w:rsidRPr="00DD10AF">
        <w:rPr>
          <w:vertAlign w:val="superscript"/>
        </w:rPr>
        <w:t>/</w:t>
      </w:r>
      <w:r>
        <w:t xml:space="preserve">  The Commission’s rules state that the Commission issues a final order “within ninety days after the commission receives transcripts following the close of the record</w:t>
      </w:r>
      <w:r w:rsidR="0065678D">
        <w:t>….”</w:t>
      </w:r>
      <w:r w:rsidRPr="009673E7">
        <w:rPr>
          <w:u w:val="single"/>
          <w:vertAlign w:val="superscript"/>
        </w:rPr>
        <w:footnoteReference w:id="73"/>
      </w:r>
      <w:r w:rsidRPr="00DD10AF">
        <w:rPr>
          <w:vertAlign w:val="superscript"/>
        </w:rPr>
        <w:t>/</w:t>
      </w:r>
      <w:r>
        <w:t xml:space="preserve">  This means that </w:t>
      </w:r>
      <w:r w:rsidR="0065678D">
        <w:t xml:space="preserve">unless </w:t>
      </w:r>
      <w:r>
        <w:t xml:space="preserve">the Commission </w:t>
      </w:r>
      <w:r w:rsidR="0065678D">
        <w:t xml:space="preserve">has otherwise </w:t>
      </w:r>
      <w:r w:rsidR="00B0014E">
        <w:t>assented</w:t>
      </w:r>
      <w:r w:rsidR="0065678D">
        <w:t xml:space="preserve"> to leave a record open, the record is closed by the time the Commission receives transcripts.  </w:t>
      </w:r>
      <w:r>
        <w:t>This is consistent with Washington law that states that the record includes “[e]vidence received or considered,” in the past tense.</w:t>
      </w:r>
      <w:r w:rsidRPr="009673E7">
        <w:rPr>
          <w:u w:val="single"/>
          <w:vertAlign w:val="superscript"/>
        </w:rPr>
        <w:footnoteReference w:id="74"/>
      </w:r>
      <w:r w:rsidRPr="00DD10AF">
        <w:rPr>
          <w:vertAlign w:val="superscript"/>
        </w:rPr>
        <w:t>/</w:t>
      </w:r>
      <w:r>
        <w:t xml:space="preserve">  </w:t>
      </w:r>
      <w:r w:rsidR="009D7A2C">
        <w:t>Filing</w:t>
      </w:r>
      <w:r>
        <w:t xml:space="preserve"> extraneous papers in a resolved docket in which a final order has been issued</w:t>
      </w:r>
      <w:r w:rsidR="009D7A2C">
        <w:t xml:space="preserve"> </w:t>
      </w:r>
      <w:r>
        <w:t>does not expand an agency record</w:t>
      </w:r>
      <w:r w:rsidR="009D7A2C">
        <w:t>,</w:t>
      </w:r>
      <w:r w:rsidR="00BB45D4">
        <w:t xml:space="preserve"> nor does it make it proper for the Commission to consider evidence that is not part of the currently closed record when issuing an order</w:t>
      </w:r>
      <w:r>
        <w:t xml:space="preserve">.  </w:t>
      </w:r>
    </w:p>
    <w:p w:rsidR="00174DC2" w:rsidRPr="003930EA" w:rsidRDefault="003930EA" w:rsidP="00174DC2">
      <w:pPr>
        <w:pStyle w:val="MJDWUTCBrief"/>
        <w:spacing w:line="570" w:lineRule="exact"/>
      </w:pPr>
      <w:r>
        <w:t xml:space="preserve">      </w:t>
      </w:r>
      <w:r w:rsidR="003A5F39">
        <w:tab/>
      </w:r>
      <w:r w:rsidR="00B0014E">
        <w:t xml:space="preserve">No party timely filed for a stay of the order in </w:t>
      </w:r>
      <w:r w:rsidR="005A7EE8">
        <w:t>Docket No. UE-121373</w:t>
      </w:r>
      <w:r w:rsidR="00B0014E">
        <w:t xml:space="preserve">. </w:t>
      </w:r>
      <w:r>
        <w:t xml:space="preserve"> </w:t>
      </w:r>
      <w:r w:rsidR="005A7EE8">
        <w:t>PSE’s</w:t>
      </w:r>
      <w:r>
        <w:t xml:space="preserve"> </w:t>
      </w:r>
      <w:r w:rsidR="009D7A2C">
        <w:t>Petition for R</w:t>
      </w:r>
      <w:r>
        <w:t xml:space="preserve">econsideration pending in that docket contains three discrete claims that the </w:t>
      </w:r>
      <w:r>
        <w:lastRenderedPageBreak/>
        <w:t>Commiss</w:t>
      </w:r>
      <w:r w:rsidR="00B0014E">
        <w:t>ion has committed errors of law, but n</w:t>
      </w:r>
      <w:r>
        <w:t>o other issues in that doc</w:t>
      </w:r>
      <w:r w:rsidR="0031301E">
        <w:t>ket are before the Commission.</w:t>
      </w:r>
      <w:r>
        <w:t xml:space="preserve">  The Settlement and the evidence presented to “support” it are not part of the record in Docket UE-121373, and </w:t>
      </w:r>
      <w:r w:rsidR="009D7A2C">
        <w:t>the record in the Centralia d</w:t>
      </w:r>
      <w:r w:rsidR="00BB45D4">
        <w:t xml:space="preserve">ocket may not be relied upon to decide </w:t>
      </w:r>
      <w:r w:rsidR="009D7A2C">
        <w:t>the ERF or Decoupling docket</w:t>
      </w:r>
      <w:r w:rsidR="00B0014E">
        <w:t>s</w:t>
      </w:r>
      <w:r w:rsidR="009D7A2C">
        <w:t>.  A</w:t>
      </w:r>
      <w:r>
        <w:t xml:space="preserve">doption of the Settlement would require the Commission to decide </w:t>
      </w:r>
      <w:r w:rsidR="0031301E">
        <w:t xml:space="preserve">whether it </w:t>
      </w:r>
      <w:r w:rsidR="009D7A2C">
        <w:t>committed an error of law in Do</w:t>
      </w:r>
      <w:r w:rsidR="0031301E">
        <w:t xml:space="preserve">cket No. </w:t>
      </w:r>
      <w:r>
        <w:t xml:space="preserve">UE-121373, as well as the </w:t>
      </w:r>
      <w:r w:rsidR="0031301E">
        <w:t xml:space="preserve">entire outcome of the </w:t>
      </w:r>
      <w:r>
        <w:t>current Dockets</w:t>
      </w:r>
      <w:r w:rsidR="00B0014E">
        <w:t xml:space="preserve">, on evidence not within each respective </w:t>
      </w:r>
      <w:r>
        <w:t>docket’s record, and would</w:t>
      </w:r>
      <w:r w:rsidR="0031301E">
        <w:t xml:space="preserve">, therefore, </w:t>
      </w:r>
      <w:r>
        <w:t>violate Washington law</w:t>
      </w:r>
      <w:r w:rsidR="00BB45D4">
        <w:t xml:space="preserve"> and longstanding principles of due process</w:t>
      </w:r>
      <w:r>
        <w:t>.</w:t>
      </w:r>
    </w:p>
    <w:p w:rsidR="003B6318" w:rsidRPr="00423586" w:rsidRDefault="003930EA" w:rsidP="00174DC2">
      <w:pPr>
        <w:pStyle w:val="MJDWUTCBrief"/>
        <w:numPr>
          <w:ilvl w:val="0"/>
          <w:numId w:val="0"/>
        </w:numPr>
        <w:spacing w:line="570" w:lineRule="exact"/>
        <w:rPr>
          <w:b/>
          <w:bCs/>
        </w:rPr>
      </w:pPr>
      <w:r w:rsidRPr="00423586">
        <w:rPr>
          <w:b/>
        </w:rPr>
        <w:t xml:space="preserve">B. </w:t>
      </w:r>
      <w:r w:rsidR="00423586">
        <w:rPr>
          <w:b/>
        </w:rPr>
        <w:tab/>
      </w:r>
      <w:r w:rsidR="003B6318" w:rsidRPr="00423586">
        <w:rPr>
          <w:b/>
        </w:rPr>
        <w:t>Commission Rule</w:t>
      </w:r>
      <w:r w:rsidR="00E45894" w:rsidRPr="00423586">
        <w:rPr>
          <w:b/>
        </w:rPr>
        <w:t>s</w:t>
      </w:r>
      <w:r w:rsidR="003B6318" w:rsidRPr="00423586">
        <w:rPr>
          <w:b/>
        </w:rPr>
        <w:t xml:space="preserve"> Requires a General Rate Case in These Proceedings</w:t>
      </w:r>
    </w:p>
    <w:p w:rsidR="00AE5612" w:rsidRDefault="0031301E" w:rsidP="00174DC2">
      <w:pPr>
        <w:pStyle w:val="MJDWUTCBrief"/>
        <w:spacing w:line="570" w:lineRule="exact"/>
      </w:pPr>
      <w:r>
        <w:t xml:space="preserve"> </w:t>
      </w:r>
      <w:r>
        <w:tab/>
      </w:r>
      <w:r w:rsidR="003C429F">
        <w:t>WAC § 480</w:t>
      </w:r>
      <w:r w:rsidR="003C429F">
        <w:noBreakHyphen/>
        <w:t>07</w:t>
      </w:r>
      <w:r w:rsidR="003C429F">
        <w:noBreakHyphen/>
      </w:r>
      <w:r w:rsidR="0070618E">
        <w:t xml:space="preserve">505(1)(b) defines a general rate proceeding </w:t>
      </w:r>
      <w:r w:rsidR="00423586">
        <w:t xml:space="preserve">as a </w:t>
      </w:r>
      <w:r w:rsidR="0070618E">
        <w:t xml:space="preserve">filing by a regulated utility for an increase in rates in which “[t]ariffs would be restructured such that the gross revenue provided by any customer class would increase by three percent or more.”  These proceedings </w:t>
      </w:r>
      <w:r w:rsidR="00AE5612">
        <w:t>fit th</w:t>
      </w:r>
      <w:r w:rsidR="00BB45D4">
        <w:t>e</w:t>
      </w:r>
      <w:r w:rsidR="00AE5612">
        <w:t xml:space="preserve"> definition</w:t>
      </w:r>
      <w:r w:rsidR="00BB45D4">
        <w:t xml:space="preserve"> of a GRC.</w:t>
      </w:r>
    </w:p>
    <w:p w:rsidR="00DE3265" w:rsidRDefault="007C7AA9" w:rsidP="00174DC2">
      <w:pPr>
        <w:pStyle w:val="MJDWUTCBrief"/>
        <w:spacing w:line="570" w:lineRule="exact"/>
      </w:pPr>
      <w:r>
        <w:t xml:space="preserve"> </w:t>
      </w:r>
      <w:r>
        <w:tab/>
        <w:t>T</w:t>
      </w:r>
      <w:r w:rsidR="00DE3265">
        <w:t>he inter</w:t>
      </w:r>
      <w:r w:rsidR="004574A6">
        <w:t>dependence between the ERF and D</w:t>
      </w:r>
      <w:r w:rsidR="00DE3265">
        <w:t xml:space="preserve">ecoupling </w:t>
      </w:r>
      <w:r w:rsidR="0031301E">
        <w:t xml:space="preserve">dockets </w:t>
      </w:r>
      <w:r w:rsidR="00DE3265">
        <w:t xml:space="preserve">qualifies </w:t>
      </w:r>
      <w:r>
        <w:t>these filings as a GRC – particularly given that Staff and PSE wish to resolve them in a single settlement</w:t>
      </w:r>
      <w:r w:rsidR="00DE3265">
        <w:t>.  PSE</w:t>
      </w:r>
      <w:r w:rsidR="00261D52">
        <w:t xml:space="preserve"> has deliberately designed the d</w:t>
      </w:r>
      <w:r w:rsidR="00DE3265">
        <w:t>ecoupling mechanism to be dependent upon the ERF—</w:t>
      </w:r>
      <w:r w:rsidR="00DE3265" w:rsidRPr="005C0BB7">
        <w:rPr>
          <w:u w:val="single"/>
        </w:rPr>
        <w:t>i.e.</w:t>
      </w:r>
      <w:r w:rsidR="004574A6">
        <w:t>, the baseline for D</w:t>
      </w:r>
      <w:r w:rsidR="00DE3265">
        <w:t>ecoupling ADRPC is determined by the ERF.</w:t>
      </w:r>
      <w:r w:rsidR="00DE3265">
        <w:rPr>
          <w:rStyle w:val="FootnoteReference"/>
        </w:rPr>
        <w:footnoteReference w:id="75"/>
      </w:r>
      <w:r w:rsidR="00DE3265" w:rsidRPr="0047630D">
        <w:rPr>
          <w:vertAlign w:val="superscript"/>
        </w:rPr>
        <w:t>/</w:t>
      </w:r>
      <w:r w:rsidR="00DE3265">
        <w:t xml:space="preserve">  In fact, the Commission has repeatedly acknowledged that the ERF and</w:t>
      </w:r>
      <w:r w:rsidR="004574A6">
        <w:t xml:space="preserve"> D</w:t>
      </w:r>
      <w:r w:rsidR="00DE3265">
        <w:t>ecoupling dockets are “interrelated,”  and share a common procedural schedule.</w:t>
      </w:r>
      <w:r w:rsidR="00DE3265">
        <w:rPr>
          <w:rStyle w:val="FootnoteReference"/>
        </w:rPr>
        <w:footnoteReference w:id="76"/>
      </w:r>
      <w:r w:rsidR="00DE3265" w:rsidRPr="0047630D">
        <w:rPr>
          <w:vertAlign w:val="superscript"/>
        </w:rPr>
        <w:t>/</w:t>
      </w:r>
      <w:r w:rsidR="00DE3265">
        <w:t xml:space="preserve">  The ERF, as a consequence of this deliberate interrelation, will </w:t>
      </w:r>
      <w:r w:rsidR="004574A6">
        <w:t xml:space="preserve">result in the restructuring of </w:t>
      </w:r>
      <w:r w:rsidR="00423586">
        <w:t>PSE’s</w:t>
      </w:r>
      <w:r w:rsidR="00DE3265">
        <w:t xml:space="preserve"> tariffs such that cumulative re</w:t>
      </w:r>
      <w:r>
        <w:t>venue will exceed a 3% increase.</w:t>
      </w:r>
    </w:p>
    <w:p w:rsidR="00DE3265" w:rsidRDefault="00DE3265" w:rsidP="00261D52">
      <w:pPr>
        <w:pStyle w:val="MJDWUTCBrief"/>
        <w:spacing w:before="240"/>
      </w:pPr>
      <w:r>
        <w:lastRenderedPageBreak/>
        <w:t xml:space="preserve">    </w:t>
      </w:r>
      <w:r w:rsidR="003A5F39">
        <w:tab/>
      </w:r>
      <w:r>
        <w:t>In this regard, the situation mirrors one in which PacifiCorp filed a 2.99% rate increase, claiming it was not a GRC filing.</w:t>
      </w:r>
      <w:r>
        <w:rPr>
          <w:rStyle w:val="FootnoteReference"/>
        </w:rPr>
        <w:footnoteReference w:id="77"/>
      </w:r>
      <w:r>
        <w:rPr>
          <w:vertAlign w:val="superscript"/>
        </w:rPr>
        <w:t>/</w:t>
      </w:r>
      <w:r>
        <w:t xml:space="preserve">  The Commission found it could not determine whether the 2.99% increase would result in fair, just, reasonable, and sufficient rates without also considering the record and filings from additional dockets.</w:t>
      </w:r>
      <w:r>
        <w:rPr>
          <w:rStyle w:val="FootnoteReference"/>
        </w:rPr>
        <w:footnoteReference w:id="78"/>
      </w:r>
      <w:r>
        <w:rPr>
          <w:vertAlign w:val="superscript"/>
        </w:rPr>
        <w:t>/</w:t>
      </w:r>
      <w:r>
        <w:t xml:space="preserve">  This was because PacifiCorp was relying on evidence admitted in those other dockets,</w:t>
      </w:r>
      <w:r>
        <w:rPr>
          <w:rStyle w:val="FootnoteReference"/>
        </w:rPr>
        <w:footnoteReference w:id="79"/>
      </w:r>
      <w:r>
        <w:rPr>
          <w:vertAlign w:val="superscript"/>
        </w:rPr>
        <w:t>/</w:t>
      </w:r>
      <w:r>
        <w:t xml:space="preserve"> including facts and issues of law which were “substantially similar.”</w:t>
      </w:r>
      <w:r>
        <w:rPr>
          <w:rStyle w:val="FootnoteReference"/>
        </w:rPr>
        <w:footnoteReference w:id="80"/>
      </w:r>
      <w:r>
        <w:rPr>
          <w:vertAlign w:val="superscript"/>
        </w:rPr>
        <w:t>/</w:t>
      </w:r>
      <w:r>
        <w:t xml:space="preserve">  Accordingly, the Commission consolidated all of the dockets.</w:t>
      </w:r>
      <w:r>
        <w:rPr>
          <w:rStyle w:val="FootnoteReference"/>
        </w:rPr>
        <w:footnoteReference w:id="81"/>
      </w:r>
      <w:r>
        <w:rPr>
          <w:vertAlign w:val="superscript"/>
        </w:rPr>
        <w:t>/</w:t>
      </w:r>
    </w:p>
    <w:p w:rsidR="00D34828" w:rsidRDefault="00DE3265" w:rsidP="00423586">
      <w:pPr>
        <w:pStyle w:val="MJDWUTCBrief"/>
      </w:pPr>
      <w:r>
        <w:t xml:space="preserve">     </w:t>
      </w:r>
      <w:r w:rsidR="003A5F39">
        <w:tab/>
      </w:r>
      <w:r>
        <w:t>Likewise, the Commission cannot presently determine whether decoupling rates would be fair, just, and reasonable without also considering the ERF record</w:t>
      </w:r>
      <w:r w:rsidR="00423586">
        <w:t>.</w:t>
      </w:r>
      <w:r>
        <w:t xml:space="preserve">  In other words, even if the ERF, standing alone, does not qualify as a GRC filing, the ERF </w:t>
      </w:r>
      <w:r w:rsidRPr="00EE6656">
        <w:rPr>
          <w:i/>
        </w:rPr>
        <w:t>cannot</w:t>
      </w:r>
      <w:r>
        <w:t xml:space="preserve"> be reviewed in isolation</w:t>
      </w:r>
      <w:r w:rsidR="004574A6">
        <w:t>—it is a package deal with the D</w:t>
      </w:r>
      <w:r>
        <w:t>ecoupling mechanism.  Thus, the ERF is a GRC filing because it must be considered along with the Amended Petition, unavoidably resulting in a cumulative requested rate increase which exceeds 3%.</w:t>
      </w:r>
    </w:p>
    <w:p w:rsidR="001F32BE" w:rsidRDefault="00CA7525" w:rsidP="002838FA">
      <w:pPr>
        <w:pStyle w:val="MJDWUTCBrief"/>
      </w:pPr>
      <w:r>
        <w:t xml:space="preserve">     </w:t>
      </w:r>
      <w:r w:rsidR="003A5F39">
        <w:tab/>
      </w:r>
      <w:r w:rsidR="001F32BE">
        <w:t>Finally,</w:t>
      </w:r>
      <w:r w:rsidR="00885EF2">
        <w:t xml:space="preserve"> the </w:t>
      </w:r>
      <w:r w:rsidR="0031301E">
        <w:t>Settlement provides that if the</w:t>
      </w:r>
      <w:r w:rsidR="00885EF2">
        <w:t xml:space="preserve"> annual increases </w:t>
      </w:r>
      <w:r w:rsidR="0031301E">
        <w:t xml:space="preserve">exceed 3%, then these costs are </w:t>
      </w:r>
      <w:r w:rsidR="00885EF2">
        <w:t>deferred and collected at a later date with interest.  This is simply a case in which the parties are trying to get around the</w:t>
      </w:r>
      <w:r w:rsidR="0031301E">
        <w:t xml:space="preserve"> rule rather than abide by it.</w:t>
      </w:r>
      <w:r w:rsidR="00885EF2">
        <w:t xml:space="preserve">  The Commission cannot approve this scheme without violating its rules; the increase </w:t>
      </w:r>
      <w:r w:rsidR="00885EF2" w:rsidRPr="00885EF2">
        <w:rPr>
          <w:u w:val="single"/>
        </w:rPr>
        <w:t>occurred</w:t>
      </w:r>
      <w:r w:rsidR="00885EF2">
        <w:t xml:space="preserve"> in the rate year, it is merely collected with interest later.</w:t>
      </w:r>
      <w:r w:rsidR="00423586">
        <w:t xml:space="preserve"> </w:t>
      </w:r>
      <w:r w:rsidR="00885EF2">
        <w:t xml:space="preserve"> </w:t>
      </w:r>
      <w:r w:rsidR="0031301E">
        <w:t>Thus, the Settlement cannot be approved because by its terms, it authorizes a rate increase of 3% or more, which can only properly occur in the context of a GRC.</w:t>
      </w:r>
    </w:p>
    <w:p w:rsidR="00601A59" w:rsidRPr="00601A59" w:rsidRDefault="0074720D" w:rsidP="00624313">
      <w:pPr>
        <w:pStyle w:val="MJDWUTCBrief"/>
        <w:keepNext/>
        <w:numPr>
          <w:ilvl w:val="0"/>
          <w:numId w:val="0"/>
        </w:numPr>
        <w:tabs>
          <w:tab w:val="clear" w:pos="1440"/>
        </w:tabs>
        <w:spacing w:line="240" w:lineRule="auto"/>
        <w:rPr>
          <w:b/>
          <w:bCs/>
        </w:rPr>
      </w:pPr>
      <w:bookmarkStart w:id="2" w:name="_GoBack"/>
      <w:bookmarkEnd w:id="2"/>
      <w:r w:rsidRPr="0075018E">
        <w:rPr>
          <w:b/>
        </w:rPr>
        <w:t xml:space="preserve">C. </w:t>
      </w:r>
      <w:r w:rsidR="0075018E">
        <w:rPr>
          <w:b/>
        </w:rPr>
        <w:tab/>
      </w:r>
      <w:r w:rsidR="008D4708" w:rsidRPr="0075018E">
        <w:rPr>
          <w:b/>
        </w:rPr>
        <w:t>PSE Has</w:t>
      </w:r>
      <w:r w:rsidR="00DD3908" w:rsidRPr="0075018E">
        <w:rPr>
          <w:b/>
        </w:rPr>
        <w:t xml:space="preserve"> Not Met </w:t>
      </w:r>
      <w:r w:rsidR="0031301E" w:rsidRPr="0075018E">
        <w:rPr>
          <w:b/>
        </w:rPr>
        <w:t>its</w:t>
      </w:r>
      <w:r w:rsidR="00FA1E48" w:rsidRPr="0075018E">
        <w:rPr>
          <w:b/>
        </w:rPr>
        <w:t xml:space="preserve"> B</w:t>
      </w:r>
      <w:r w:rsidR="00DF48EB" w:rsidRPr="0075018E">
        <w:rPr>
          <w:b/>
        </w:rPr>
        <w:t>urden</w:t>
      </w:r>
      <w:r w:rsidR="00DD3908" w:rsidRPr="0075018E">
        <w:rPr>
          <w:b/>
        </w:rPr>
        <w:t>s</w:t>
      </w:r>
      <w:r w:rsidR="00DF48EB" w:rsidRPr="0075018E">
        <w:rPr>
          <w:b/>
        </w:rPr>
        <w:t xml:space="preserve"> of Proof and Persuasion in</w:t>
      </w:r>
      <w:r w:rsidR="00FA1E48" w:rsidRPr="0075018E">
        <w:rPr>
          <w:b/>
        </w:rPr>
        <w:t xml:space="preserve"> Support</w:t>
      </w:r>
      <w:r w:rsidR="00DF48EB" w:rsidRPr="0075018E">
        <w:rPr>
          <w:b/>
        </w:rPr>
        <w:t>ing</w:t>
      </w:r>
      <w:r w:rsidR="008D4708" w:rsidRPr="0075018E">
        <w:rPr>
          <w:b/>
        </w:rPr>
        <w:t xml:space="preserve"> </w:t>
      </w:r>
      <w:r w:rsidR="00DF48EB" w:rsidRPr="0075018E">
        <w:rPr>
          <w:b/>
        </w:rPr>
        <w:t>All</w:t>
      </w:r>
      <w:r w:rsidR="00601A59">
        <w:rPr>
          <w:b/>
        </w:rPr>
        <w:t xml:space="preserve"> of </w:t>
      </w:r>
    </w:p>
    <w:p w:rsidR="00290E8C" w:rsidRPr="0075018E" w:rsidRDefault="00601A59" w:rsidP="00174DC2">
      <w:pPr>
        <w:pStyle w:val="MJDWUTCBrief"/>
        <w:numPr>
          <w:ilvl w:val="0"/>
          <w:numId w:val="0"/>
        </w:numPr>
        <w:tabs>
          <w:tab w:val="clear" w:pos="1440"/>
        </w:tabs>
        <w:spacing w:line="240" w:lineRule="auto"/>
        <w:rPr>
          <w:b/>
          <w:bCs/>
        </w:rPr>
      </w:pPr>
      <w:r>
        <w:rPr>
          <w:b/>
        </w:rPr>
        <w:lastRenderedPageBreak/>
        <w:tab/>
        <w:t>Its</w:t>
      </w:r>
      <w:r w:rsidR="00DF48EB" w:rsidRPr="0075018E">
        <w:rPr>
          <w:b/>
        </w:rPr>
        <w:t xml:space="preserve"> </w:t>
      </w:r>
      <w:r w:rsidR="00290E8C" w:rsidRPr="0075018E">
        <w:rPr>
          <w:b/>
        </w:rPr>
        <w:t xml:space="preserve">Requested </w:t>
      </w:r>
      <w:r w:rsidR="00FA1E48" w:rsidRPr="0075018E">
        <w:rPr>
          <w:b/>
        </w:rPr>
        <w:t>Proposals</w:t>
      </w:r>
    </w:p>
    <w:p w:rsidR="00150820" w:rsidRDefault="00CA7525" w:rsidP="00174DC2">
      <w:pPr>
        <w:pStyle w:val="MJDWUTCBrief"/>
        <w:spacing w:line="570" w:lineRule="exact"/>
      </w:pPr>
      <w:r>
        <w:t xml:space="preserve">     </w:t>
      </w:r>
      <w:r w:rsidR="003A5F39">
        <w:tab/>
      </w:r>
      <w:r w:rsidR="008D4708">
        <w:t>PSE</w:t>
      </w:r>
      <w:r w:rsidR="00DF48EB">
        <w:t xml:space="preserve"> bear</w:t>
      </w:r>
      <w:r w:rsidR="008D4708">
        <w:t>s</w:t>
      </w:r>
      <w:r w:rsidR="00290E8C">
        <w:t xml:space="preserve"> the burden of proof to demonstrate that its proposed tariffs are just and reasonable.</w:t>
      </w:r>
      <w:r w:rsidR="00290E8C">
        <w:rPr>
          <w:rStyle w:val="FootnoteReference"/>
        </w:rPr>
        <w:footnoteReference w:id="82"/>
      </w:r>
      <w:r w:rsidR="00290E8C">
        <w:rPr>
          <w:vertAlign w:val="superscript"/>
        </w:rPr>
        <w:t>/</w:t>
      </w:r>
      <w:r w:rsidR="003908AA">
        <w:t xml:space="preserve">  This burden includes </w:t>
      </w:r>
      <w:r w:rsidR="00290E8C">
        <w:t>the burden of going forward with evidence and the burden of persuasion.</w:t>
      </w:r>
      <w:r w:rsidR="00290E8C">
        <w:rPr>
          <w:rStyle w:val="FootnoteReference"/>
        </w:rPr>
        <w:footnoteReference w:id="83"/>
      </w:r>
      <w:r w:rsidR="00290E8C">
        <w:rPr>
          <w:vertAlign w:val="superscript"/>
        </w:rPr>
        <w:t>/</w:t>
      </w:r>
      <w:r w:rsidR="00290E8C">
        <w:t xml:space="preserve">  The Company retains this burden throughout the proceeding and must establish that </w:t>
      </w:r>
      <w:r w:rsidR="00021069">
        <w:t>any</w:t>
      </w:r>
      <w:r w:rsidR="00290E8C">
        <w:t xml:space="preserve"> rate </w:t>
      </w:r>
      <w:r w:rsidR="00021069">
        <w:t>increase</w:t>
      </w:r>
      <w:r w:rsidR="00290E8C">
        <w:t xml:space="preserve"> is just and reasonable.</w:t>
      </w:r>
      <w:r w:rsidR="00290E8C">
        <w:rPr>
          <w:rStyle w:val="FootnoteReference"/>
        </w:rPr>
        <w:footnoteReference w:id="84"/>
      </w:r>
      <w:r w:rsidR="00290E8C">
        <w:rPr>
          <w:vertAlign w:val="superscript"/>
        </w:rPr>
        <w:t>/</w:t>
      </w:r>
      <w:r w:rsidR="00290E8C">
        <w:t xml:space="preserve">  </w:t>
      </w:r>
      <w:r w:rsidR="00AF1B45">
        <w:t xml:space="preserve">ICNU </w:t>
      </w:r>
      <w:r w:rsidR="004061C6">
        <w:t>submit</w:t>
      </w:r>
      <w:r w:rsidR="00AF1B45">
        <w:t>s that PSE has failed to meet its burdens concerning approval of the Settleme</w:t>
      </w:r>
      <w:r w:rsidR="004574A6">
        <w:t>nt, or in regard to the ERF or D</w:t>
      </w:r>
      <w:r w:rsidR="00AF1B45">
        <w:t>ecoupling proposals, taken individually.</w:t>
      </w:r>
    </w:p>
    <w:p w:rsidR="00BD479D" w:rsidRDefault="00CA7525" w:rsidP="00BB75BC">
      <w:pPr>
        <w:pStyle w:val="MJDWUTCBrief"/>
        <w:spacing w:line="570" w:lineRule="exact"/>
      </w:pPr>
      <w:r>
        <w:t xml:space="preserve">     </w:t>
      </w:r>
      <w:r w:rsidR="003A5F39">
        <w:tab/>
      </w:r>
      <w:r w:rsidR="00150820">
        <w:t>Despite</w:t>
      </w:r>
      <w:r w:rsidR="00AF1B45">
        <w:t xml:space="preserve"> </w:t>
      </w:r>
      <w:r w:rsidR="00150820">
        <w:t>the obvious Commission precedent regarding the Company’s burden</w:t>
      </w:r>
      <w:r w:rsidR="0031301E">
        <w:t>, PSE has</w:t>
      </w:r>
      <w:r w:rsidR="00150820">
        <w:t xml:space="preserve"> engaged in a transparent attempt in rebuttal testimony to shift all burdens to any party opposing the Settlement.  </w:t>
      </w:r>
      <w:r w:rsidR="00DE3FD9">
        <w:t>This is perhaps nowhere more apparent than in the testimony of the Company’s</w:t>
      </w:r>
      <w:r w:rsidR="004061C6">
        <w:t xml:space="preserve"> Chief Financial Officer</w:t>
      </w:r>
      <w:r w:rsidR="00DE3FD9">
        <w:t xml:space="preserve"> </w:t>
      </w:r>
      <w:r w:rsidR="00906FF6">
        <w:t xml:space="preserve">(“CFO”) </w:t>
      </w:r>
      <w:r w:rsidR="00DE3FD9">
        <w:t xml:space="preserve">Daniel Doyle, </w:t>
      </w:r>
      <w:r w:rsidR="00423586">
        <w:t xml:space="preserve">which is </w:t>
      </w:r>
      <w:r w:rsidR="00DE3265">
        <w:t xml:space="preserve">primarily </w:t>
      </w:r>
      <w:r w:rsidR="00601A59">
        <w:t>making the</w:t>
      </w:r>
      <w:r w:rsidR="00DE3265">
        <w:t xml:space="preserve"> argument</w:t>
      </w:r>
      <w:r w:rsidR="00DE3FD9">
        <w:t xml:space="preserve"> that the Commission </w:t>
      </w:r>
      <w:r w:rsidR="00DE3FD9" w:rsidRPr="00DE3FD9">
        <w:rPr>
          <w:i/>
        </w:rPr>
        <w:t>cannot</w:t>
      </w:r>
      <w:r w:rsidR="00DE3FD9">
        <w:t xml:space="preserve"> look at equity, return, capital, or debt matters.  Rather than actually confronting the</w:t>
      </w:r>
      <w:r w:rsidR="00BD479D">
        <w:t>se</w:t>
      </w:r>
      <w:r w:rsidR="00DE3FD9">
        <w:t xml:space="preserve"> issues</w:t>
      </w:r>
      <w:r w:rsidR="004061C6">
        <w:t xml:space="preserve">, </w:t>
      </w:r>
      <w:r w:rsidR="00DE3FD9">
        <w:t>Mr. Doyle</w:t>
      </w:r>
      <w:r w:rsidR="004061C6">
        <w:t xml:space="preserve"> and other witnesses</w:t>
      </w:r>
      <w:r w:rsidR="00BD479D">
        <w:t xml:space="preserve"> turn precedent on its head </w:t>
      </w:r>
      <w:r w:rsidR="00DE3FD9">
        <w:t xml:space="preserve">to assert </w:t>
      </w:r>
      <w:r w:rsidR="00BD479D">
        <w:t xml:space="preserve">that </w:t>
      </w:r>
      <w:r w:rsidR="00DE3FD9">
        <w:t xml:space="preserve">ICNU and other parties </w:t>
      </w:r>
      <w:r w:rsidR="00BD479D">
        <w:t>have not satisfied</w:t>
      </w:r>
      <w:r w:rsidR="00DE3FD9">
        <w:t xml:space="preserve"> evidentiary burdens of proof and persuasion</w:t>
      </w:r>
      <w:r w:rsidR="00BD479D">
        <w:t>.</w:t>
      </w:r>
      <w:r w:rsidR="00DD3908">
        <w:rPr>
          <w:rStyle w:val="FootnoteReference"/>
        </w:rPr>
        <w:footnoteReference w:id="85"/>
      </w:r>
      <w:r w:rsidR="00DD3908" w:rsidRPr="0047630D">
        <w:rPr>
          <w:vertAlign w:val="superscript"/>
        </w:rPr>
        <w:t>/</w:t>
      </w:r>
      <w:r w:rsidR="00885EF2">
        <w:rPr>
          <w:vertAlign w:val="superscript"/>
        </w:rPr>
        <w:t xml:space="preserve">  </w:t>
      </w:r>
      <w:r w:rsidR="00EB5066">
        <w:t>While Mr. Doyle testi</w:t>
      </w:r>
      <w:r w:rsidR="00423586">
        <w:t>fied that he was too busy with board m</w:t>
      </w:r>
      <w:r w:rsidR="00EB5066">
        <w:t xml:space="preserve">eetings to prepare a cost of capital update in response to Mr. </w:t>
      </w:r>
      <w:r w:rsidR="00C95371">
        <w:t xml:space="preserve">Gorman, </w:t>
      </w:r>
      <w:r w:rsidR="00885EF2">
        <w:t xml:space="preserve">PSE would have been better served by </w:t>
      </w:r>
      <w:r w:rsidR="007C7AA9">
        <w:t>attempting to rebut</w:t>
      </w:r>
      <w:r w:rsidR="00885EF2">
        <w:t xml:space="preserve"> Mr. Gorman rather than trying to unilaterally declare what is or is not properly considered in this proceeding.</w:t>
      </w:r>
      <w:r w:rsidR="00C95371">
        <w:rPr>
          <w:rStyle w:val="FootnoteReference"/>
        </w:rPr>
        <w:footnoteReference w:id="86"/>
      </w:r>
      <w:r w:rsidR="00C95371">
        <w:rPr>
          <w:vertAlign w:val="superscript"/>
        </w:rPr>
        <w:t>/</w:t>
      </w:r>
      <w:r w:rsidR="00885EF2">
        <w:rPr>
          <w:vertAlign w:val="superscript"/>
        </w:rPr>
        <w:t xml:space="preserve"> </w:t>
      </w:r>
    </w:p>
    <w:p w:rsidR="00AF1B45" w:rsidRDefault="000A6A54" w:rsidP="00BB75BC">
      <w:pPr>
        <w:pStyle w:val="MJDWUTCBrief"/>
        <w:spacing w:line="570" w:lineRule="exact"/>
      </w:pPr>
      <w:r>
        <w:lastRenderedPageBreak/>
        <w:t xml:space="preserve">     </w:t>
      </w:r>
      <w:r w:rsidR="003A5F39">
        <w:tab/>
      </w:r>
      <w:r w:rsidR="008F63DE">
        <w:t xml:space="preserve">ICNU and other challenging parties have presented more than enough positive proof to </w:t>
      </w:r>
      <w:r w:rsidR="004061C6">
        <w:t xml:space="preserve">also </w:t>
      </w:r>
      <w:r w:rsidR="008F63DE">
        <w:t>justify rejection of</w:t>
      </w:r>
      <w:r w:rsidR="00DD3908">
        <w:t xml:space="preserve"> each proposa</w:t>
      </w:r>
      <w:r w:rsidR="00230F0B">
        <w:t xml:space="preserve">l, and </w:t>
      </w:r>
      <w:r w:rsidR="004061C6">
        <w:t>the Settlement in its entirety.</w:t>
      </w:r>
    </w:p>
    <w:p w:rsidR="0075018E" w:rsidRPr="0075018E" w:rsidRDefault="00423586" w:rsidP="00102D13">
      <w:pPr>
        <w:pStyle w:val="WUTCParagraph"/>
        <w:numPr>
          <w:ilvl w:val="0"/>
          <w:numId w:val="0"/>
        </w:numPr>
        <w:tabs>
          <w:tab w:val="clear" w:pos="1440"/>
          <w:tab w:val="left" w:pos="720"/>
        </w:tabs>
        <w:spacing w:before="240" w:line="240" w:lineRule="auto"/>
        <w:rPr>
          <w:b/>
        </w:rPr>
      </w:pPr>
      <w:r>
        <w:rPr>
          <w:b/>
          <w:lang w:val="en-US"/>
        </w:rPr>
        <w:t>D</w:t>
      </w:r>
      <w:r w:rsidR="002838FA">
        <w:rPr>
          <w:b/>
        </w:rPr>
        <w:t>.</w:t>
      </w:r>
      <w:r w:rsidR="002838FA">
        <w:rPr>
          <w:b/>
          <w:lang w:val="en-US"/>
        </w:rPr>
        <w:t xml:space="preserve"> </w:t>
      </w:r>
      <w:r w:rsidR="0075018E">
        <w:rPr>
          <w:b/>
          <w:lang w:val="en-US"/>
        </w:rPr>
        <w:tab/>
      </w:r>
      <w:r w:rsidR="00CC5A9E">
        <w:rPr>
          <w:b/>
        </w:rPr>
        <w:t>PSE Has</w:t>
      </w:r>
      <w:r w:rsidR="00AF1B45">
        <w:rPr>
          <w:b/>
        </w:rPr>
        <w:t xml:space="preserve"> Fail</w:t>
      </w:r>
      <w:r w:rsidR="00CC5A9E">
        <w:rPr>
          <w:b/>
        </w:rPr>
        <w:t xml:space="preserve">ed to Prove that the </w:t>
      </w:r>
      <w:r w:rsidR="00AF1B45">
        <w:rPr>
          <w:b/>
        </w:rPr>
        <w:t xml:space="preserve">Settlement Will Result in </w:t>
      </w:r>
      <w:r w:rsidR="0031301E">
        <w:rPr>
          <w:b/>
        </w:rPr>
        <w:t>R</w:t>
      </w:r>
      <w:r w:rsidR="00AF1B45">
        <w:rPr>
          <w:b/>
        </w:rPr>
        <w:t xml:space="preserve">ates that Are </w:t>
      </w:r>
    </w:p>
    <w:p w:rsidR="00AF1B45" w:rsidRDefault="0075018E" w:rsidP="00BB75BC">
      <w:pPr>
        <w:pStyle w:val="WUTCParagraph"/>
        <w:numPr>
          <w:ilvl w:val="0"/>
          <w:numId w:val="0"/>
        </w:numPr>
        <w:tabs>
          <w:tab w:val="clear" w:pos="1440"/>
          <w:tab w:val="left" w:pos="720"/>
        </w:tabs>
        <w:spacing w:line="240" w:lineRule="auto"/>
        <w:rPr>
          <w:b/>
          <w:lang w:val="en-US"/>
        </w:rPr>
      </w:pPr>
      <w:r>
        <w:rPr>
          <w:b/>
          <w:lang w:val="en-US"/>
        </w:rPr>
        <w:tab/>
      </w:r>
      <w:r w:rsidR="00AF1B45">
        <w:rPr>
          <w:b/>
        </w:rPr>
        <w:t>Fair, Just and Reasonable</w:t>
      </w:r>
    </w:p>
    <w:p w:rsidR="00BB75BC" w:rsidRPr="00BB75BC" w:rsidRDefault="00BB75BC" w:rsidP="00BB75BC">
      <w:pPr>
        <w:pStyle w:val="WUTCParagraph"/>
        <w:numPr>
          <w:ilvl w:val="0"/>
          <w:numId w:val="0"/>
        </w:numPr>
        <w:tabs>
          <w:tab w:val="clear" w:pos="1440"/>
          <w:tab w:val="left" w:pos="720"/>
        </w:tabs>
        <w:spacing w:line="240" w:lineRule="auto"/>
        <w:rPr>
          <w:b/>
          <w:lang w:val="en-US"/>
        </w:rPr>
      </w:pPr>
    </w:p>
    <w:p w:rsidR="0075018E" w:rsidRPr="0075018E" w:rsidRDefault="002838FA" w:rsidP="00BB75BC">
      <w:pPr>
        <w:pStyle w:val="WUTCParagraph"/>
        <w:numPr>
          <w:ilvl w:val="0"/>
          <w:numId w:val="0"/>
        </w:numPr>
        <w:tabs>
          <w:tab w:val="clear" w:pos="1440"/>
          <w:tab w:val="left" w:pos="720"/>
        </w:tabs>
        <w:spacing w:line="240" w:lineRule="auto"/>
        <w:rPr>
          <w:b/>
        </w:rPr>
      </w:pPr>
      <w:r>
        <w:rPr>
          <w:b/>
        </w:rPr>
        <w:t>a.</w:t>
      </w:r>
      <w:r>
        <w:rPr>
          <w:b/>
          <w:lang w:val="en-US"/>
        </w:rPr>
        <w:t xml:space="preserve"> </w:t>
      </w:r>
      <w:r w:rsidR="0075018E">
        <w:rPr>
          <w:b/>
          <w:lang w:val="en-US"/>
        </w:rPr>
        <w:tab/>
      </w:r>
      <w:r w:rsidR="00BE3878">
        <w:rPr>
          <w:b/>
        </w:rPr>
        <w:t>The Company Has Not Proven Eac</w:t>
      </w:r>
      <w:r w:rsidR="00BF6F0D">
        <w:rPr>
          <w:b/>
        </w:rPr>
        <w:t xml:space="preserve">h Individual Element of the Settlement Is </w:t>
      </w:r>
    </w:p>
    <w:p w:rsidR="00BE3878" w:rsidRPr="00BF6F0D" w:rsidRDefault="0075018E" w:rsidP="00BB75BC">
      <w:pPr>
        <w:pStyle w:val="WUTCParagraph"/>
        <w:numPr>
          <w:ilvl w:val="0"/>
          <w:numId w:val="0"/>
        </w:numPr>
        <w:tabs>
          <w:tab w:val="clear" w:pos="1440"/>
          <w:tab w:val="left" w:pos="720"/>
        </w:tabs>
        <w:spacing w:line="240" w:lineRule="auto"/>
        <w:rPr>
          <w:b/>
        </w:rPr>
      </w:pPr>
      <w:r>
        <w:rPr>
          <w:b/>
          <w:lang w:val="en-US"/>
        </w:rPr>
        <w:tab/>
      </w:r>
      <w:r w:rsidR="00BE3878">
        <w:rPr>
          <w:b/>
        </w:rPr>
        <w:t>Supported by Sufficient Evidence</w:t>
      </w:r>
    </w:p>
    <w:p w:rsidR="001C3283" w:rsidRDefault="00CA7525" w:rsidP="00BB75BC">
      <w:pPr>
        <w:pStyle w:val="MJDWUTCBrief"/>
        <w:spacing w:line="570" w:lineRule="exact"/>
      </w:pPr>
      <w:r>
        <w:t xml:space="preserve">     </w:t>
      </w:r>
      <w:r w:rsidR="003A5F39">
        <w:tab/>
      </w:r>
      <w:r w:rsidR="00EB5066">
        <w:t>In its</w:t>
      </w:r>
      <w:r w:rsidR="004902D5">
        <w:t xml:space="preserve"> recent determination in the Final Order to Avista’s consolidated 2011 GRC and 2012 tariff revision cases (the “Avista GRC”)</w:t>
      </w:r>
      <w:r w:rsidR="00EB5066">
        <w:t>,</w:t>
      </w:r>
      <w:r w:rsidR="004902D5">
        <w:t xml:space="preserve"> </w:t>
      </w:r>
      <w:r w:rsidR="00B05E70">
        <w:t xml:space="preserve">the Commission stated it “will approve </w:t>
      </w:r>
      <w:r w:rsidR="00C23537">
        <w:t>settlements</w:t>
      </w:r>
      <w:r w:rsidR="00B05E70">
        <w:t xml:space="preserve"> when doing so is lawful, the settlement terms are supported by an appropriate record, and when the result is consistent with the public interest in light of all the information available to the Commission.”</w:t>
      </w:r>
      <w:r w:rsidR="00B05E70">
        <w:rPr>
          <w:rStyle w:val="FootnoteReference"/>
        </w:rPr>
        <w:footnoteReference w:id="87"/>
      </w:r>
      <w:r w:rsidR="00B05E70" w:rsidRPr="0047630D">
        <w:rPr>
          <w:vertAlign w:val="superscript"/>
        </w:rPr>
        <w:t>/</w:t>
      </w:r>
      <w:r w:rsidR="004902D5">
        <w:t xml:space="preserve"> </w:t>
      </w:r>
      <w:r w:rsidR="00B05E70">
        <w:t xml:space="preserve"> </w:t>
      </w:r>
      <w:r w:rsidR="001C3283">
        <w:t xml:space="preserve">Further, the Commission </w:t>
      </w:r>
      <w:r w:rsidR="000E2893">
        <w:t xml:space="preserve">expressly “considers </w:t>
      </w:r>
      <w:r w:rsidR="000E2893" w:rsidRPr="00423586">
        <w:rPr>
          <w:i/>
        </w:rPr>
        <w:t>the individual components</w:t>
      </w:r>
      <w:r w:rsidR="000E2893">
        <w:t xml:space="preserve"> of the settlement under a three-part inquiry.”</w:t>
      </w:r>
      <w:r w:rsidR="000E2893">
        <w:rPr>
          <w:rStyle w:val="FootnoteReference"/>
        </w:rPr>
        <w:footnoteReference w:id="88"/>
      </w:r>
      <w:r w:rsidR="000E2893" w:rsidRPr="00423586">
        <w:rPr>
          <w:vertAlign w:val="superscript"/>
        </w:rPr>
        <w:t>/</w:t>
      </w:r>
      <w:r w:rsidR="00B65A71">
        <w:t xml:space="preserve">  Specifically, the Commission will consider whether: 1) any aspect of a settlement is contrary to law; 2) any aspect of a settlement offends public policy; and 3) “the evidence supports the proposed </w:t>
      </w:r>
      <w:r w:rsidR="00B65A71" w:rsidRPr="00423586">
        <w:rPr>
          <w:i/>
        </w:rPr>
        <w:t>elements of the settlement</w:t>
      </w:r>
      <w:r w:rsidR="00B65A71">
        <w:t xml:space="preserve"> as a reasonable resolution of the issues at hand.”</w:t>
      </w:r>
      <w:r w:rsidR="00B65A71">
        <w:rPr>
          <w:rStyle w:val="FootnoteReference"/>
        </w:rPr>
        <w:footnoteReference w:id="89"/>
      </w:r>
      <w:r w:rsidR="00B65A71" w:rsidRPr="00423586">
        <w:rPr>
          <w:vertAlign w:val="superscript"/>
        </w:rPr>
        <w:t>/</w:t>
      </w:r>
      <w:r w:rsidR="00B65A71">
        <w:t xml:space="preserve"> </w:t>
      </w:r>
    </w:p>
    <w:p w:rsidR="00BE0821" w:rsidRDefault="00CA7525" w:rsidP="008F0AB3">
      <w:pPr>
        <w:pStyle w:val="MJDWUTCBrief"/>
        <w:spacing w:before="120"/>
      </w:pPr>
      <w:r>
        <w:t xml:space="preserve">     </w:t>
      </w:r>
      <w:r w:rsidR="003A5F39">
        <w:tab/>
      </w:r>
      <w:r w:rsidR="001C3283">
        <w:t xml:space="preserve">Understanding </w:t>
      </w:r>
      <w:r w:rsidR="00736235">
        <w:t>all</w:t>
      </w:r>
      <w:r w:rsidR="000E2893">
        <w:t xml:space="preserve"> facets of </w:t>
      </w:r>
      <w:r w:rsidR="001C3283">
        <w:t xml:space="preserve">the </w:t>
      </w:r>
      <w:r w:rsidR="000E2893">
        <w:t xml:space="preserve">WUTC </w:t>
      </w:r>
      <w:r w:rsidR="001C3283">
        <w:t>stand</w:t>
      </w:r>
      <w:r w:rsidR="00736235">
        <w:t>ard is crucial because PSE is essentially</w:t>
      </w:r>
      <w:r w:rsidR="001C3283">
        <w:t xml:space="preserve"> asking the Commission to t</w:t>
      </w:r>
      <w:r w:rsidR="00736235">
        <w:t xml:space="preserve">reat </w:t>
      </w:r>
      <w:r w:rsidR="00FE1785">
        <w:t>an unsupported</w:t>
      </w:r>
      <w:r w:rsidR="00736235">
        <w:t xml:space="preserve"> Settlement</w:t>
      </w:r>
      <w:r w:rsidR="00FE1785">
        <w:t xml:space="preserve">.  </w:t>
      </w:r>
      <w:r w:rsidR="00BE0821">
        <w:t>According to the Company:  “The scope of this proceeding is to consider whether a proposed global settlement of five dockets is consistent with the public interest, and the deter</w:t>
      </w:r>
      <w:r w:rsidR="00591200">
        <w:t>mination of the cost of capital</w:t>
      </w:r>
      <w:r w:rsidR="00BE0821">
        <w:t xml:space="preserve">, including the authorized return on equity for </w:t>
      </w:r>
      <w:r w:rsidR="00BE0821">
        <w:lastRenderedPageBreak/>
        <w:t>PSE, is outside the scope of this proceeding.”</w:t>
      </w:r>
      <w:r w:rsidR="00BE0821">
        <w:rPr>
          <w:rStyle w:val="FootnoteReference"/>
        </w:rPr>
        <w:footnoteReference w:id="90"/>
      </w:r>
      <w:r w:rsidR="00BE0821" w:rsidRPr="0047630D">
        <w:rPr>
          <w:vertAlign w:val="superscript"/>
        </w:rPr>
        <w:t>/</w:t>
      </w:r>
      <w:r w:rsidR="001C3283">
        <w:t xml:space="preserve"> </w:t>
      </w:r>
      <w:r w:rsidR="00BE0821">
        <w:t xml:space="preserve"> </w:t>
      </w:r>
      <w:r w:rsidR="00736235">
        <w:t>Such a “bottom-line only” rubric is contrary to Commission rules.</w:t>
      </w:r>
    </w:p>
    <w:p w:rsidR="001C3283" w:rsidRDefault="00CA7525" w:rsidP="002838FA">
      <w:pPr>
        <w:pStyle w:val="MJDWUTCBrief"/>
      </w:pPr>
      <w:r>
        <w:t xml:space="preserve">     </w:t>
      </w:r>
      <w:r w:rsidR="003A5F39">
        <w:tab/>
      </w:r>
      <w:r w:rsidR="00BE0821">
        <w:t xml:space="preserve">First, the Company refers to the current proceedings as “this proceeding,” singular, even though the Commission has deliberately </w:t>
      </w:r>
      <w:r w:rsidR="00BE0821" w:rsidRPr="00736235">
        <w:rPr>
          <w:i/>
        </w:rPr>
        <w:t>not</w:t>
      </w:r>
      <w:r w:rsidR="00BE0821">
        <w:t xml:space="preserve"> consolidated t</w:t>
      </w:r>
      <w:r w:rsidR="004574A6">
        <w:t>he ERF and D</w:t>
      </w:r>
      <w:r w:rsidR="00CA087F">
        <w:t>ecoupling dockets (and the quote above is far from an isolated use of “this proceeding,” obviating any contention that this was an inadvertent reference).</w:t>
      </w:r>
      <w:r w:rsidR="00CA087F">
        <w:rPr>
          <w:rStyle w:val="FootnoteReference"/>
        </w:rPr>
        <w:footnoteReference w:id="91"/>
      </w:r>
      <w:r w:rsidR="00CA087F" w:rsidRPr="0047630D">
        <w:rPr>
          <w:vertAlign w:val="superscript"/>
        </w:rPr>
        <w:t>/</w:t>
      </w:r>
      <w:r w:rsidR="00CA087F">
        <w:t xml:space="preserve">  </w:t>
      </w:r>
      <w:r w:rsidR="00736235">
        <w:t xml:space="preserve">But </w:t>
      </w:r>
      <w:r w:rsidR="00BE0821">
        <w:t>PSE</w:t>
      </w:r>
      <w:r w:rsidR="00CA087F">
        <w:t xml:space="preserve"> cannot have it </w:t>
      </w:r>
      <w:r w:rsidR="00591200">
        <w:t>both ways.</w:t>
      </w:r>
      <w:r w:rsidR="00CA087F">
        <w:t xml:space="preserve">  </w:t>
      </w:r>
      <w:r w:rsidR="00591200">
        <w:t>If this</w:t>
      </w:r>
      <w:r w:rsidR="00CA087F">
        <w:t xml:space="preserve"> is </w:t>
      </w:r>
      <w:r w:rsidR="00591200">
        <w:t>a</w:t>
      </w:r>
      <w:r w:rsidR="00CA087F">
        <w:t xml:space="preserve"> single proceeding, </w:t>
      </w:r>
      <w:r w:rsidR="00591200">
        <w:t>WAC § 480-07-505(1)(b) would require that “this proceeding” be treated as a GRC, since the “single” rate increase request would exceed 3%.</w:t>
      </w:r>
      <w:r w:rsidR="00591200">
        <w:rPr>
          <w:rStyle w:val="FootnoteReference"/>
        </w:rPr>
        <w:footnoteReference w:id="92"/>
      </w:r>
      <w:r w:rsidR="00591200" w:rsidRPr="0047630D">
        <w:rPr>
          <w:vertAlign w:val="superscript"/>
        </w:rPr>
        <w:t>/</w:t>
      </w:r>
      <w:r w:rsidR="00591200">
        <w:t xml:space="preserve">  </w:t>
      </w:r>
      <w:r w:rsidR="00050D4E">
        <w:t xml:space="preserve">And, </w:t>
      </w:r>
      <w:r w:rsidR="00CB250A">
        <w:t>to be sure</w:t>
      </w:r>
      <w:r w:rsidR="00601A59">
        <w:t>, PSE</w:t>
      </w:r>
      <w:r w:rsidR="00050D4E">
        <w:t xml:space="preserve"> </w:t>
      </w:r>
      <w:r w:rsidR="00CB250A">
        <w:t>explicitly refer</w:t>
      </w:r>
      <w:r w:rsidR="00601A59">
        <w:t>s</w:t>
      </w:r>
      <w:r w:rsidR="00CB250A">
        <w:t xml:space="preserve"> to</w:t>
      </w:r>
      <w:r w:rsidR="00050D4E">
        <w:t xml:space="preserve"> its Settlement </w:t>
      </w:r>
      <w:r w:rsidR="00CB250A">
        <w:t>as comprising</w:t>
      </w:r>
      <w:r w:rsidR="00050D4E">
        <w:t xml:space="preserve"> one single </w:t>
      </w:r>
      <w:r w:rsidR="00CB250A">
        <w:t>“</w:t>
      </w:r>
      <w:r w:rsidR="00050D4E">
        <w:t>rate increase.</w:t>
      </w:r>
      <w:r w:rsidR="00CB250A">
        <w:t>”</w:t>
      </w:r>
      <w:r w:rsidR="001633C3">
        <w:rPr>
          <w:rStyle w:val="FootnoteReference"/>
        </w:rPr>
        <w:footnoteReference w:id="93"/>
      </w:r>
      <w:r w:rsidR="001633C3" w:rsidRPr="0047630D">
        <w:rPr>
          <w:vertAlign w:val="superscript"/>
        </w:rPr>
        <w:t>/</w:t>
      </w:r>
      <w:r w:rsidR="00050D4E">
        <w:t xml:space="preserve">  </w:t>
      </w:r>
      <w:r w:rsidR="00591200">
        <w:t>Most definitely, then, “determination of the cost of capital, including the authorized return on equity for PSE,”</w:t>
      </w:r>
      <w:r w:rsidR="00591200">
        <w:rPr>
          <w:rStyle w:val="FootnoteReference"/>
        </w:rPr>
        <w:footnoteReference w:id="94"/>
      </w:r>
      <w:r w:rsidR="00591200" w:rsidRPr="0047630D">
        <w:rPr>
          <w:vertAlign w:val="superscript"/>
        </w:rPr>
        <w:t>/</w:t>
      </w:r>
      <w:r w:rsidR="00591200">
        <w:t xml:space="preserve"> would be within the scope of “this proceeding.”  </w:t>
      </w:r>
    </w:p>
    <w:p w:rsidR="00C3722A" w:rsidRDefault="00CA7525" w:rsidP="002838FA">
      <w:pPr>
        <w:pStyle w:val="MJDWUTCBrief"/>
      </w:pPr>
      <w:r>
        <w:t xml:space="preserve">     </w:t>
      </w:r>
      <w:r w:rsidR="003A5F39">
        <w:tab/>
      </w:r>
      <w:r w:rsidR="00C3722A">
        <w:t xml:space="preserve">Second, the Company flouts the WUTC standard on settlement review in stating </w:t>
      </w:r>
      <w:r w:rsidR="00BC23B0">
        <w:t xml:space="preserve">that </w:t>
      </w:r>
      <w:r w:rsidR="00C3722A">
        <w:t>capital, return, equity, and debt issues are outside the scope of “this proceeding.”</w:t>
      </w:r>
      <w:r w:rsidR="00BC23B0">
        <w:rPr>
          <w:rStyle w:val="FootnoteReference"/>
        </w:rPr>
        <w:footnoteReference w:id="95"/>
      </w:r>
      <w:r w:rsidR="00BC23B0" w:rsidRPr="0047630D">
        <w:rPr>
          <w:vertAlign w:val="superscript"/>
        </w:rPr>
        <w:t>/</w:t>
      </w:r>
      <w:r w:rsidR="00C3722A">
        <w:t xml:space="preserve">  Even if the Commission had consolidated all dockets included under the Settlement, the WUTC </w:t>
      </w:r>
      <w:r w:rsidR="0031301E">
        <w:t>must</w:t>
      </w:r>
      <w:r w:rsidR="00C3722A">
        <w:t xml:space="preserve"> still </w:t>
      </w:r>
      <w:r w:rsidR="00BC23B0">
        <w:t>consider “</w:t>
      </w:r>
      <w:r w:rsidR="00BC23B0" w:rsidRPr="00BC23B0">
        <w:t>the individual components</w:t>
      </w:r>
      <w:r w:rsidR="00BC23B0">
        <w:t xml:space="preserve"> of the settlement.”</w:t>
      </w:r>
      <w:r w:rsidR="00BC23B0">
        <w:rPr>
          <w:rStyle w:val="FootnoteReference"/>
        </w:rPr>
        <w:footnoteReference w:id="96"/>
      </w:r>
      <w:r w:rsidR="00BC23B0" w:rsidRPr="0047630D">
        <w:rPr>
          <w:vertAlign w:val="superscript"/>
        </w:rPr>
        <w:t>/</w:t>
      </w:r>
      <w:r w:rsidR="00BC23B0">
        <w:t xml:space="preserve">  Therefore, the Policy Statement would again direct </w:t>
      </w:r>
      <w:r w:rsidR="00736235">
        <w:t xml:space="preserve">a </w:t>
      </w:r>
      <w:r w:rsidR="00BC23B0">
        <w:t>consideration of ROE effect and ROR impact alongside the</w:t>
      </w:r>
      <w:r w:rsidR="00CD2C09">
        <w:t xml:space="preserve"> Company’s</w:t>
      </w:r>
      <w:r w:rsidR="004574A6">
        <w:t xml:space="preserve"> D</w:t>
      </w:r>
      <w:r w:rsidR="00BC23B0">
        <w:t>ecoupling request</w:t>
      </w:r>
      <w:r w:rsidR="00CD2C09">
        <w:t xml:space="preserve">, </w:t>
      </w:r>
      <w:r w:rsidR="00736235">
        <w:t>since it</w:t>
      </w:r>
      <w:r w:rsidR="00CD2C09">
        <w:t xml:space="preserve"> is an “individual component” of the settlement.</w:t>
      </w:r>
      <w:r w:rsidR="00FB405E">
        <w:t xml:space="preserve">  </w:t>
      </w:r>
    </w:p>
    <w:p w:rsidR="00DC60D8" w:rsidRDefault="00CA7525" w:rsidP="002838FA">
      <w:pPr>
        <w:pStyle w:val="MJDWUTCBrief"/>
      </w:pPr>
      <w:r>
        <w:lastRenderedPageBreak/>
        <w:t xml:space="preserve">     </w:t>
      </w:r>
      <w:r w:rsidR="003A5F39">
        <w:tab/>
      </w:r>
      <w:r w:rsidR="004C6156">
        <w:t>These same arguments can be applied to the ERF dockets</w:t>
      </w:r>
      <w:r w:rsidR="00736235">
        <w:t xml:space="preserve"> </w:t>
      </w:r>
      <w:r w:rsidR="00BE3878">
        <w:t>in order to determine if ERF rate increases would be</w:t>
      </w:r>
      <w:r w:rsidR="00DC60D8">
        <w:t xml:space="preserve"> fair, just and reason</w:t>
      </w:r>
      <w:r w:rsidR="008B64B2">
        <w:t>able.  In all events, the</w:t>
      </w:r>
      <w:r w:rsidR="00DC60D8">
        <w:t xml:space="preserve"> Settlement should not be approved because the Company has not provided sufficient evidence to carry its burdens of proof and persuasion regarding appropriate capital, debt and return levels in light of </w:t>
      </w:r>
      <w:r w:rsidR="00DC60D8" w:rsidRPr="00BE3878">
        <w:rPr>
          <w:i/>
        </w:rPr>
        <w:t>all</w:t>
      </w:r>
      <w:r w:rsidR="00BE3878">
        <w:t xml:space="preserve"> the rate increases proposed.</w:t>
      </w:r>
      <w:r w:rsidR="00DC46BE">
        <w:t xml:space="preserve">  Finally, the Settlement is contrary to the law, as discussed above.</w:t>
      </w:r>
    </w:p>
    <w:p w:rsidR="0075018E" w:rsidRPr="0075018E" w:rsidRDefault="00BE3878" w:rsidP="00BB75BC">
      <w:pPr>
        <w:pStyle w:val="WUTCParagraph"/>
        <w:numPr>
          <w:ilvl w:val="0"/>
          <w:numId w:val="0"/>
        </w:numPr>
        <w:tabs>
          <w:tab w:val="clear" w:pos="1440"/>
          <w:tab w:val="left" w:pos="720"/>
        </w:tabs>
        <w:spacing w:line="240" w:lineRule="auto"/>
        <w:rPr>
          <w:b/>
        </w:rPr>
      </w:pPr>
      <w:r>
        <w:rPr>
          <w:b/>
        </w:rPr>
        <w:t>b</w:t>
      </w:r>
      <w:r w:rsidR="002838FA">
        <w:rPr>
          <w:b/>
        </w:rPr>
        <w:t>.</w:t>
      </w:r>
      <w:r w:rsidR="002838FA">
        <w:rPr>
          <w:b/>
          <w:lang w:val="en-US"/>
        </w:rPr>
        <w:t xml:space="preserve"> </w:t>
      </w:r>
      <w:r w:rsidR="0075018E">
        <w:rPr>
          <w:b/>
          <w:lang w:val="en-US"/>
        </w:rPr>
        <w:tab/>
      </w:r>
      <w:r w:rsidR="005424C1">
        <w:rPr>
          <w:b/>
        </w:rPr>
        <w:t>The Company’s Impro</w:t>
      </w:r>
      <w:r w:rsidR="00BF6F0D">
        <w:rPr>
          <w:b/>
        </w:rPr>
        <w:t xml:space="preserve">per Demand for Final Order </w:t>
      </w:r>
      <w:r w:rsidR="005424C1">
        <w:rPr>
          <w:b/>
        </w:rPr>
        <w:t>Modification</w:t>
      </w:r>
      <w:r w:rsidR="0031301E">
        <w:rPr>
          <w:b/>
        </w:rPr>
        <w:t xml:space="preserve"> of the </w:t>
      </w:r>
    </w:p>
    <w:p w:rsidR="0075018E" w:rsidRDefault="0075018E" w:rsidP="00BB75BC">
      <w:pPr>
        <w:pStyle w:val="WUTCParagraph"/>
        <w:numPr>
          <w:ilvl w:val="0"/>
          <w:numId w:val="0"/>
        </w:numPr>
        <w:tabs>
          <w:tab w:val="clear" w:pos="1440"/>
          <w:tab w:val="left" w:pos="720"/>
        </w:tabs>
        <w:spacing w:line="240" w:lineRule="auto"/>
        <w:rPr>
          <w:b/>
          <w:lang w:val="en-US"/>
        </w:rPr>
      </w:pPr>
      <w:r>
        <w:rPr>
          <w:b/>
          <w:lang w:val="en-US"/>
        </w:rPr>
        <w:tab/>
      </w:r>
      <w:r w:rsidR="0031301E">
        <w:rPr>
          <w:b/>
        </w:rPr>
        <w:t xml:space="preserve">Centralia Docket </w:t>
      </w:r>
      <w:r w:rsidR="005424C1">
        <w:rPr>
          <w:b/>
        </w:rPr>
        <w:t>as a Settlement Condi</w:t>
      </w:r>
      <w:r w:rsidR="00BF6F0D">
        <w:rPr>
          <w:b/>
        </w:rPr>
        <w:t xml:space="preserve">tion Justifies Rejection of </w:t>
      </w:r>
      <w:r w:rsidR="005424C1">
        <w:rPr>
          <w:b/>
        </w:rPr>
        <w:t xml:space="preserve">the Entire </w:t>
      </w:r>
    </w:p>
    <w:p w:rsidR="00BE3878" w:rsidRPr="00BF6F0D" w:rsidRDefault="0075018E" w:rsidP="00BB75BC">
      <w:pPr>
        <w:pStyle w:val="WUTCParagraph"/>
        <w:numPr>
          <w:ilvl w:val="0"/>
          <w:numId w:val="0"/>
        </w:numPr>
        <w:tabs>
          <w:tab w:val="clear" w:pos="1440"/>
          <w:tab w:val="left" w:pos="720"/>
        </w:tabs>
        <w:spacing w:line="240" w:lineRule="auto"/>
        <w:rPr>
          <w:b/>
        </w:rPr>
      </w:pPr>
      <w:r>
        <w:rPr>
          <w:b/>
          <w:lang w:val="en-US"/>
        </w:rPr>
        <w:tab/>
      </w:r>
      <w:r w:rsidR="005424C1">
        <w:rPr>
          <w:b/>
        </w:rPr>
        <w:t>Settlement</w:t>
      </w:r>
    </w:p>
    <w:p w:rsidR="00BE3878" w:rsidRDefault="00CA7525" w:rsidP="00BB75BC">
      <w:pPr>
        <w:pStyle w:val="MJDWUTCBrief"/>
        <w:spacing w:line="570" w:lineRule="exact"/>
      </w:pPr>
      <w:r>
        <w:t xml:space="preserve">     </w:t>
      </w:r>
      <w:r w:rsidR="003A5F39">
        <w:tab/>
      </w:r>
      <w:r w:rsidR="00DC60D8">
        <w:t xml:space="preserve">The </w:t>
      </w:r>
      <w:r w:rsidR="008A08D0">
        <w:t xml:space="preserve">Global </w:t>
      </w:r>
      <w:r w:rsidR="00DC60D8">
        <w:t>Settlement should also be rejected because it is being presented as an all-or-nothing venture by the Company.</w:t>
      </w:r>
      <w:r w:rsidR="00E94EC7">
        <w:rPr>
          <w:rStyle w:val="FootnoteReference"/>
        </w:rPr>
        <w:footnoteReference w:id="97"/>
      </w:r>
      <w:r w:rsidR="00E94EC7" w:rsidRPr="0047630D">
        <w:rPr>
          <w:vertAlign w:val="superscript"/>
        </w:rPr>
        <w:t>/</w:t>
      </w:r>
      <w:r w:rsidR="008A08D0">
        <w:t xml:space="preserve">  </w:t>
      </w:r>
      <w:r w:rsidR="00E37FD8">
        <w:t>PSE witness Mr. Johnson stated that the Company would consider conditions to the Settlement, but made clear that the Company would accept no conditions impairing the major components of the package deal.</w:t>
      </w:r>
      <w:r w:rsidR="00E37FD8">
        <w:rPr>
          <w:rStyle w:val="FootnoteReference"/>
        </w:rPr>
        <w:footnoteReference w:id="98"/>
      </w:r>
      <w:r w:rsidR="00E37FD8">
        <w:rPr>
          <w:vertAlign w:val="superscript"/>
        </w:rPr>
        <w:t>/</w:t>
      </w:r>
      <w:r w:rsidR="00E37FD8">
        <w:t xml:space="preserve">  </w:t>
      </w:r>
    </w:p>
    <w:p w:rsidR="004C6156" w:rsidRDefault="00CA7525" w:rsidP="00BB75BC">
      <w:pPr>
        <w:pStyle w:val="MJDWUTCBrief"/>
        <w:spacing w:line="570" w:lineRule="exact"/>
      </w:pPr>
      <w:r>
        <w:t xml:space="preserve">     </w:t>
      </w:r>
      <w:r w:rsidR="003A5F39">
        <w:tab/>
      </w:r>
      <w:r w:rsidR="00AA5DC8">
        <w:t>Perhaps t</w:t>
      </w:r>
      <w:r w:rsidR="00E94EC7">
        <w:t xml:space="preserve">he most glaring infirmity in presenting the Settlement “as a whole package” is the Company’s thinly veiled effort to </w:t>
      </w:r>
      <w:r w:rsidR="00C23537">
        <w:t>strong-arm</w:t>
      </w:r>
      <w:r w:rsidR="00E94EC7">
        <w:t xml:space="preserve"> the Commission into modifying its Final Order in the Coal Transition PPA case.</w:t>
      </w:r>
      <w:r w:rsidR="00AA5DC8">
        <w:rPr>
          <w:rStyle w:val="FootnoteReference"/>
        </w:rPr>
        <w:footnoteReference w:id="99"/>
      </w:r>
      <w:r w:rsidR="00AA5DC8" w:rsidRPr="0047630D">
        <w:rPr>
          <w:vertAlign w:val="superscript"/>
        </w:rPr>
        <w:t>/</w:t>
      </w:r>
      <w:r w:rsidR="00E94EC7">
        <w:t xml:space="preserve">  </w:t>
      </w:r>
      <w:r w:rsidR="00AA5DC8">
        <w:t>PSE warns</w:t>
      </w:r>
      <w:r w:rsidR="00171273">
        <w:t>, in a tone and</w:t>
      </w:r>
      <w:r w:rsidR="00AA5DC8">
        <w:t xml:space="preserve"> approach more appropriate for a Godfather film:  “One unfortunate consequence of the failure of the Multiparty Settlement would be PSE’s rejection of the Coal Transition PPA at issue in Docket UE-121373.”</w:t>
      </w:r>
      <w:r w:rsidR="00171273">
        <w:rPr>
          <w:rStyle w:val="FootnoteReference"/>
        </w:rPr>
        <w:footnoteReference w:id="100"/>
      </w:r>
      <w:r w:rsidR="00171273" w:rsidRPr="0047630D">
        <w:rPr>
          <w:vertAlign w:val="superscript"/>
        </w:rPr>
        <w:t>/</w:t>
      </w:r>
      <w:r w:rsidR="00E94EC7">
        <w:t xml:space="preserve"> </w:t>
      </w:r>
      <w:r w:rsidR="00DC60D8">
        <w:t xml:space="preserve"> </w:t>
      </w:r>
      <w:r w:rsidR="004C6156">
        <w:t xml:space="preserve"> </w:t>
      </w:r>
      <w:r w:rsidR="00171273">
        <w:t xml:space="preserve">All veneer of gentility aside, PSE is playing a high </w:t>
      </w:r>
      <w:r w:rsidR="006E0E91">
        <w:t>stakes game with the Commission.  The Company</w:t>
      </w:r>
      <w:r w:rsidR="00171273">
        <w:t xml:space="preserve"> </w:t>
      </w:r>
      <w:r w:rsidR="006E0E91">
        <w:t>details all the claimed benefits of the Coal Transition PPA</w:t>
      </w:r>
      <w:r w:rsidR="008C4D48">
        <w:t>,</w:t>
      </w:r>
      <w:r w:rsidR="005424C1">
        <w:rPr>
          <w:rStyle w:val="FootnoteReference"/>
        </w:rPr>
        <w:footnoteReference w:id="101"/>
      </w:r>
      <w:r w:rsidR="005424C1" w:rsidRPr="0047630D">
        <w:rPr>
          <w:vertAlign w:val="superscript"/>
        </w:rPr>
        <w:t>/</w:t>
      </w:r>
      <w:r w:rsidR="006E0E91">
        <w:t xml:space="preserve"> but only after</w:t>
      </w:r>
      <w:r w:rsidR="008C4D48">
        <w:t xml:space="preserve"> dictating to the Commission</w:t>
      </w:r>
      <w:r w:rsidR="005424C1">
        <w:t xml:space="preserve"> terms of </w:t>
      </w:r>
      <w:r w:rsidR="00423586">
        <w:lastRenderedPageBreak/>
        <w:t>unconditional</w:t>
      </w:r>
      <w:r w:rsidR="006E0E91">
        <w:t xml:space="preserve"> Settlement approval:  “Once it is approved, PSE will finalize a long-term power purchase agreement . . . .”</w:t>
      </w:r>
      <w:r w:rsidR="006E0E91">
        <w:rPr>
          <w:rStyle w:val="FootnoteReference"/>
        </w:rPr>
        <w:footnoteReference w:id="102"/>
      </w:r>
      <w:r w:rsidR="006E0E91" w:rsidRPr="0047630D">
        <w:rPr>
          <w:vertAlign w:val="superscript"/>
        </w:rPr>
        <w:t>/</w:t>
      </w:r>
      <w:r w:rsidR="006E0E91">
        <w:t xml:space="preserve"> </w:t>
      </w:r>
      <w:r w:rsidR="004C6156">
        <w:t xml:space="preserve"> </w:t>
      </w:r>
    </w:p>
    <w:p w:rsidR="0055019C" w:rsidRDefault="00CA7525" w:rsidP="00BB75BC">
      <w:pPr>
        <w:pStyle w:val="MJDWUTCBrief"/>
        <w:spacing w:line="570" w:lineRule="exact"/>
      </w:pPr>
      <w:r>
        <w:t xml:space="preserve">     </w:t>
      </w:r>
      <w:r w:rsidR="003A5F39">
        <w:tab/>
      </w:r>
      <w:r w:rsidR="007A03B7">
        <w:t xml:space="preserve">Here is the problem with PSE’s tactic:  Order 03 is a Final Order in Docket No. UE-121373 and </w:t>
      </w:r>
      <w:r w:rsidR="00423586">
        <w:t xml:space="preserve">it </w:t>
      </w:r>
      <w:r w:rsidR="007A03B7">
        <w:t>cannot be legally modified through the backdoor, that is, via a settlement proposal coming after the Order.  The WUTC rule on Final Orders provides that they “dispose of the merits of a proceeding” and “</w:t>
      </w:r>
      <w:r w:rsidR="007A03B7" w:rsidRPr="007A03B7">
        <w:rPr>
          <w:rFonts w:asciiTheme="minorHAnsi" w:eastAsiaTheme="minorEastAsia" w:hAnsiTheme="minorHAnsi" w:cstheme="minorBidi"/>
        </w:rPr>
        <w:t xml:space="preserve"> </w:t>
      </w:r>
      <w:r w:rsidR="007A03B7" w:rsidRPr="007A03B7">
        <w:t>resolve contested issues on the basis of the official record in a proceeding</w:t>
      </w:r>
      <w:r w:rsidR="007A03B7">
        <w:t>.”</w:t>
      </w:r>
      <w:r w:rsidR="007A03B7">
        <w:rPr>
          <w:rStyle w:val="FootnoteReference"/>
        </w:rPr>
        <w:footnoteReference w:id="103"/>
      </w:r>
      <w:r w:rsidR="007A03B7" w:rsidRPr="0047630D">
        <w:rPr>
          <w:vertAlign w:val="superscript"/>
        </w:rPr>
        <w:t>/</w:t>
      </w:r>
      <w:r w:rsidR="00F35CEA">
        <w:t xml:space="preserve">  T</w:t>
      </w:r>
      <w:r w:rsidR="00E70599">
        <w:t>he Company is a</w:t>
      </w:r>
      <w:r w:rsidR="00F35CEA">
        <w:t>ttempting to</w:t>
      </w:r>
      <w:r w:rsidR="00E70599">
        <w:t xml:space="preserve"> alter the disposition </w:t>
      </w:r>
      <w:r w:rsidR="005424C1">
        <w:t xml:space="preserve">of </w:t>
      </w:r>
      <w:r w:rsidR="00E70599">
        <w:t xml:space="preserve">Order 03 in the Coal Transition PPA case, but not on the merits of </w:t>
      </w:r>
      <w:r w:rsidR="00E70599" w:rsidRPr="00E70599">
        <w:rPr>
          <w:i/>
        </w:rPr>
        <w:t>that</w:t>
      </w:r>
      <w:r w:rsidR="00E70599">
        <w:t xml:space="preserve"> proceeding.  Instead, PSE requests alteration of Order 03 on the “merits” of what the Commission </w:t>
      </w:r>
      <w:r w:rsidR="00423586">
        <w:t xml:space="preserve">(or the public) </w:t>
      </w:r>
      <w:r w:rsidR="00F35CEA">
        <w:t xml:space="preserve">supposedly stands to gain </w:t>
      </w:r>
      <w:r w:rsidR="0055019C">
        <w:t>by meeting</w:t>
      </w:r>
      <w:r w:rsidR="00E70599">
        <w:t xml:space="preserve"> Company </w:t>
      </w:r>
      <w:r w:rsidR="0055019C">
        <w:t>demands</w:t>
      </w:r>
      <w:r w:rsidR="00FE5C88">
        <w:t>:</w:t>
      </w:r>
      <w:r w:rsidR="005424C1">
        <w:t xml:space="preserve">   “In the absence of a long-term power purchase agreement between TransAlta and PSE, it is highly unlikely any of these transition benefits will accrue to Washington State or Lewis County.”</w:t>
      </w:r>
      <w:r w:rsidR="005424C1">
        <w:rPr>
          <w:rStyle w:val="FootnoteReference"/>
        </w:rPr>
        <w:footnoteReference w:id="104"/>
      </w:r>
      <w:r w:rsidR="005424C1" w:rsidRPr="0047630D">
        <w:rPr>
          <w:vertAlign w:val="superscript"/>
        </w:rPr>
        <w:t>/</w:t>
      </w:r>
    </w:p>
    <w:p w:rsidR="008C4D48" w:rsidRDefault="00CA7525" w:rsidP="00BB75BC">
      <w:pPr>
        <w:pStyle w:val="MJDWUTCBrief"/>
        <w:spacing w:line="570" w:lineRule="exact"/>
      </w:pPr>
      <w:r>
        <w:t xml:space="preserve">     </w:t>
      </w:r>
      <w:r w:rsidR="003A5F39">
        <w:tab/>
      </w:r>
      <w:r w:rsidR="00014B47">
        <w:t>But t</w:t>
      </w:r>
      <w:r w:rsidR="00E70599">
        <w:t xml:space="preserve">he Commission would run afoul of its own </w:t>
      </w:r>
      <w:r w:rsidR="00386467">
        <w:t xml:space="preserve">rules by yielding to PSE’s ultimatum.  The contested issues of </w:t>
      </w:r>
      <w:r w:rsidR="005D7420">
        <w:t xml:space="preserve">the </w:t>
      </w:r>
      <w:r w:rsidR="00386467">
        <w:t>Coal Transition PPA case would be “re</w:t>
      </w:r>
      <w:r w:rsidR="00386467">
        <w:noBreakHyphen/>
        <w:t>resolved,” not on the basis of the official record in UE-</w:t>
      </w:r>
      <w:r w:rsidR="008B64B2">
        <w:t>121373, but as a result of</w:t>
      </w:r>
      <w:r w:rsidR="00386467">
        <w:t xml:space="preserve"> </w:t>
      </w:r>
      <w:r w:rsidR="00014B47">
        <w:t xml:space="preserve">leveraging.  </w:t>
      </w:r>
      <w:r w:rsidR="00386467">
        <w:t xml:space="preserve">Such a result would </w:t>
      </w:r>
      <w:r w:rsidR="00F35CEA">
        <w:t>delegitimize</w:t>
      </w:r>
      <w:r w:rsidR="00386467">
        <w:t xml:space="preserve"> the entire process in UE-121373.  </w:t>
      </w:r>
      <w:r w:rsidR="00F35CEA">
        <w:t xml:space="preserve">The Settlement </w:t>
      </w:r>
      <w:r w:rsidR="00014B47">
        <w:t xml:space="preserve">explicitly </w:t>
      </w:r>
      <w:r w:rsidR="00C23537">
        <w:t>demonstrates</w:t>
      </w:r>
      <w:r w:rsidR="00014B47">
        <w:t xml:space="preserve"> that PSE is not</w:t>
      </w:r>
      <w:r w:rsidR="00F35CEA">
        <w:t xml:space="preserve"> simply </w:t>
      </w:r>
      <w:r w:rsidR="00014B47">
        <w:t>asking the Commission to reconsider</w:t>
      </w:r>
      <w:r w:rsidR="00F35CEA">
        <w:t xml:space="preserve"> the merits of Order 03 and </w:t>
      </w:r>
      <w:r w:rsidR="002A7A30">
        <w:t>fi</w:t>
      </w:r>
      <w:r w:rsidR="00014B47">
        <w:t>nd</w:t>
      </w:r>
      <w:r w:rsidR="002A7A30">
        <w:t xml:space="preserve"> in PSE’s favor; this is a classic horse-trade:  “In exchange for (1) and (2) above,” meaning Commission approval of revisions to Order </w:t>
      </w:r>
      <w:r w:rsidR="002A7A30">
        <w:lastRenderedPageBreak/>
        <w:t>03, “an</w:t>
      </w:r>
      <w:r w:rsidR="00FE5C88">
        <w:t>d upon approval of the amended d</w:t>
      </w:r>
      <w:r w:rsidR="002A7A30">
        <w:t>ecoupling petition and ERF and the other terms set forth in this Agreement, PSE agrees to withdraw its request for reconsideration of the equity component of the Coal Transition PPA</w:t>
      </w:r>
      <w:r w:rsidR="00F35CEA">
        <w:t xml:space="preserve"> </w:t>
      </w:r>
      <w:r w:rsidR="002A7A30">
        <w:t>and will agree to the $1.49 equity component as set forth in” Order 03.</w:t>
      </w:r>
      <w:r w:rsidR="002A7A30">
        <w:rPr>
          <w:rStyle w:val="FootnoteReference"/>
        </w:rPr>
        <w:footnoteReference w:id="105"/>
      </w:r>
      <w:r w:rsidR="002A7A30" w:rsidRPr="0047630D">
        <w:rPr>
          <w:vertAlign w:val="superscript"/>
        </w:rPr>
        <w:t>/</w:t>
      </w:r>
      <w:r w:rsidR="00F35CEA">
        <w:t xml:space="preserve"> </w:t>
      </w:r>
    </w:p>
    <w:p w:rsidR="0055019C" w:rsidRDefault="0055019C" w:rsidP="00BB75BC">
      <w:pPr>
        <w:pStyle w:val="MJDWUTCBrief"/>
        <w:spacing w:line="570" w:lineRule="exact"/>
      </w:pPr>
      <w:r>
        <w:tab/>
        <w:t>Even if the Commission found it politically expedient to accept PSE’s term</w:t>
      </w:r>
      <w:r w:rsidR="00014B47">
        <w:t>s, when</w:t>
      </w:r>
      <w:r>
        <w:t xml:space="preserve"> ruli</w:t>
      </w:r>
      <w:r w:rsidR="00423586">
        <w:t>ng upon the S</w:t>
      </w:r>
      <w:r w:rsidR="00E4280C">
        <w:t>ettlement the WUTC</w:t>
      </w:r>
      <w:r>
        <w:t xml:space="preserve"> must still “consider[] </w:t>
      </w:r>
      <w:r w:rsidRPr="0055019C">
        <w:t>the individual components</w:t>
      </w:r>
      <w:r>
        <w:t xml:space="preserve"> of the settlement” and determine that “evidence supports the proposed </w:t>
      </w:r>
      <w:r w:rsidRPr="0055019C">
        <w:t xml:space="preserve">elements of the settlement </w:t>
      </w:r>
      <w:r>
        <w:t>as a reasonable resolution of the issues at hand.”</w:t>
      </w:r>
      <w:r>
        <w:rPr>
          <w:rStyle w:val="FootnoteReference"/>
        </w:rPr>
        <w:footnoteReference w:id="106"/>
      </w:r>
      <w:r w:rsidRPr="0047630D">
        <w:rPr>
          <w:vertAlign w:val="superscript"/>
        </w:rPr>
        <w:t>/</w:t>
      </w:r>
      <w:r>
        <w:t xml:space="preserve">  In other words, evidence must support modification of Order 03 in its own right, as an individual component and element of the Settlement, a</w:t>
      </w:r>
      <w:r w:rsidR="00E4280C">
        <w:t>nd not merely because it forms the</w:t>
      </w:r>
      <w:r>
        <w:t xml:space="preserve"> tidy half to a </w:t>
      </w:r>
      <w:r w:rsidRPr="0055019C">
        <w:rPr>
          <w:i/>
        </w:rPr>
        <w:t>quid pro quo</w:t>
      </w:r>
      <w:r w:rsidR="00E4280C">
        <w:t xml:space="preserve"> with the Company.</w:t>
      </w:r>
    </w:p>
    <w:p w:rsidR="0024398A" w:rsidRDefault="00CA7525" w:rsidP="00BB75BC">
      <w:pPr>
        <w:pStyle w:val="MJDWUTCBrief"/>
        <w:spacing w:line="570" w:lineRule="exact"/>
      </w:pPr>
      <w:r>
        <w:t xml:space="preserve">     </w:t>
      </w:r>
      <w:r w:rsidR="003A5F39">
        <w:tab/>
      </w:r>
      <w:r w:rsidR="0024398A">
        <w:t>The Commission standard on Final Order reconsideration is</w:t>
      </w:r>
      <w:r w:rsidR="000F5FAC">
        <w:t xml:space="preserve">:  “A petition for reconsideration </w:t>
      </w:r>
      <w:r w:rsidR="0024398A" w:rsidRPr="0024398A">
        <w:t>must demonstrate errors of law, or of facts not reasonably available to the petitioner at the time of entry of an order</w:t>
      </w:r>
      <w:r w:rsidR="0024398A">
        <w:t>.”</w:t>
      </w:r>
      <w:r w:rsidR="0024398A">
        <w:rPr>
          <w:rStyle w:val="FootnoteReference"/>
        </w:rPr>
        <w:footnoteReference w:id="107"/>
      </w:r>
      <w:r w:rsidR="0024398A">
        <w:rPr>
          <w:vertAlign w:val="superscript"/>
        </w:rPr>
        <w:t>/</w:t>
      </w:r>
      <w:r w:rsidR="000F5FAC">
        <w:t xml:space="preserve">  Moreover, “</w:t>
      </w:r>
      <w:r w:rsidR="000F5FAC" w:rsidRPr="000F5FAC">
        <w:t>reconsideration is not a second opportunity to litigate issues which were fully developed prior to entry of the final order and which were discussed and decided in the final order</w:t>
      </w:r>
      <w:r w:rsidR="000F5FAC">
        <w:t>.”</w:t>
      </w:r>
      <w:r w:rsidR="000F5FAC">
        <w:rPr>
          <w:rStyle w:val="FootnoteReference"/>
        </w:rPr>
        <w:footnoteReference w:id="108"/>
      </w:r>
      <w:r w:rsidR="000F5FAC">
        <w:rPr>
          <w:vertAlign w:val="superscript"/>
        </w:rPr>
        <w:t>/</w:t>
      </w:r>
      <w:r w:rsidR="0096689D">
        <w:t xml:space="preserve">  Hence, Settlement approval would have to accompany specific </w:t>
      </w:r>
      <w:r w:rsidR="005374EF">
        <w:t>finding</w:t>
      </w:r>
      <w:r w:rsidR="00014B47">
        <w:t>s by the Commission to the effect that</w:t>
      </w:r>
      <w:r w:rsidR="0096689D">
        <w:t xml:space="preserve"> it legally erred or lacked factual evidence</w:t>
      </w:r>
      <w:r w:rsidR="00014B47">
        <w:t xml:space="preserve"> previously unavailable to PSE—and </w:t>
      </w:r>
      <w:r w:rsidR="0096689D">
        <w:t xml:space="preserve">either of </w:t>
      </w:r>
      <w:r w:rsidR="005374EF">
        <w:t xml:space="preserve">which </w:t>
      </w:r>
      <w:r w:rsidR="00014B47">
        <w:t>would have to be</w:t>
      </w:r>
      <w:r w:rsidR="0096689D">
        <w:t xml:space="preserve"> dispositive to</w:t>
      </w:r>
      <w:r w:rsidR="005374EF">
        <w:t xml:space="preserve"> </w:t>
      </w:r>
      <w:r w:rsidR="00014B47">
        <w:t xml:space="preserve">a </w:t>
      </w:r>
      <w:r w:rsidR="005374EF">
        <w:t>reversal of</w:t>
      </w:r>
      <w:r w:rsidR="0096689D">
        <w:t xml:space="preserve"> the ultimate </w:t>
      </w:r>
      <w:r w:rsidR="00AA0D25">
        <w:t>disposition</w:t>
      </w:r>
      <w:r w:rsidR="0096689D">
        <w:t xml:space="preserve">s contested in Order </w:t>
      </w:r>
      <w:r w:rsidR="0096689D">
        <w:lastRenderedPageBreak/>
        <w:t>03.</w:t>
      </w:r>
      <w:r w:rsidR="005374EF">
        <w:t xml:space="preserve">  </w:t>
      </w:r>
      <w:r w:rsidR="00E37FD8">
        <w:t>In addition, the Settlement imposes additional conditions in the Centralia Order, all of which are harmful to customers.</w:t>
      </w:r>
      <w:r w:rsidR="00E37FD8">
        <w:rPr>
          <w:rStyle w:val="FootnoteReference"/>
        </w:rPr>
        <w:footnoteReference w:id="109"/>
      </w:r>
      <w:r w:rsidR="00E37FD8">
        <w:rPr>
          <w:vertAlign w:val="superscript"/>
        </w:rPr>
        <w:t>/</w:t>
      </w:r>
      <w:r w:rsidR="00E37FD8">
        <w:t xml:space="preserve">  </w:t>
      </w:r>
    </w:p>
    <w:p w:rsidR="001134F4" w:rsidRPr="00AF1B45" w:rsidRDefault="00987AD3" w:rsidP="00BB75BC">
      <w:pPr>
        <w:pStyle w:val="WUTCParagraph"/>
        <w:numPr>
          <w:ilvl w:val="0"/>
          <w:numId w:val="0"/>
        </w:numPr>
        <w:tabs>
          <w:tab w:val="clear" w:pos="1440"/>
          <w:tab w:val="left" w:pos="720"/>
        </w:tabs>
        <w:spacing w:line="570" w:lineRule="exact"/>
        <w:rPr>
          <w:b/>
        </w:rPr>
      </w:pPr>
      <w:r>
        <w:rPr>
          <w:b/>
          <w:lang w:val="en-US"/>
        </w:rPr>
        <w:t>E</w:t>
      </w:r>
      <w:r w:rsidR="002838FA">
        <w:rPr>
          <w:b/>
        </w:rPr>
        <w:t>.</w:t>
      </w:r>
      <w:r w:rsidR="002838FA">
        <w:rPr>
          <w:b/>
          <w:lang w:val="en-US"/>
        </w:rPr>
        <w:t xml:space="preserve"> </w:t>
      </w:r>
      <w:r w:rsidR="0075018E">
        <w:rPr>
          <w:b/>
          <w:lang w:val="en-US"/>
        </w:rPr>
        <w:tab/>
      </w:r>
      <w:r w:rsidR="00AF1B45">
        <w:rPr>
          <w:b/>
        </w:rPr>
        <w:t xml:space="preserve">The </w:t>
      </w:r>
      <w:r w:rsidR="00A756C4">
        <w:rPr>
          <w:b/>
        </w:rPr>
        <w:t>ERF</w:t>
      </w:r>
      <w:r w:rsidR="001134F4">
        <w:t xml:space="preserve"> </w:t>
      </w:r>
      <w:r w:rsidR="00AF1B45">
        <w:rPr>
          <w:b/>
        </w:rPr>
        <w:t>Should Be Rejected or Modified by Significant Adjustments</w:t>
      </w:r>
    </w:p>
    <w:p w:rsidR="00D471FB" w:rsidRDefault="00CA7525" w:rsidP="00BB75BC">
      <w:pPr>
        <w:pStyle w:val="MJDWUTCBrief"/>
        <w:spacing w:line="570" w:lineRule="exact"/>
      </w:pPr>
      <w:r>
        <w:t xml:space="preserve">     </w:t>
      </w:r>
      <w:r w:rsidR="003A5F39">
        <w:tab/>
      </w:r>
      <w:r w:rsidR="001134F4">
        <w:t>The Commis</w:t>
      </w:r>
      <w:r w:rsidR="00021069">
        <w:t xml:space="preserve">sion should reject </w:t>
      </w:r>
      <w:r w:rsidR="0055205E">
        <w:t>the</w:t>
      </w:r>
      <w:r w:rsidR="00A756C4">
        <w:t xml:space="preserve"> ERF</w:t>
      </w:r>
      <w:r w:rsidR="00021069">
        <w:t xml:space="preserve"> proposal </w:t>
      </w:r>
      <w:r w:rsidR="003255C9">
        <w:t xml:space="preserve">because it is </w:t>
      </w:r>
      <w:r w:rsidR="00A756C4">
        <w:t xml:space="preserve">inappropriate </w:t>
      </w:r>
      <w:r w:rsidR="00D017E9">
        <w:t>for PSE to seek such an unprecedented rate increase given the Company’s recent earnings improvement and the continuing economic difficulties faced by ratepayers</w:t>
      </w:r>
      <w:r w:rsidR="00B51033">
        <w:t>.</w:t>
      </w:r>
      <w:r w:rsidR="000B700C">
        <w:rPr>
          <w:rStyle w:val="FootnoteReference"/>
        </w:rPr>
        <w:footnoteReference w:id="110"/>
      </w:r>
      <w:r w:rsidR="00474AD7">
        <w:rPr>
          <w:vertAlign w:val="superscript"/>
        </w:rPr>
        <w:t>/</w:t>
      </w:r>
      <w:r w:rsidR="00B51033">
        <w:t xml:space="preserve">  </w:t>
      </w:r>
      <w:r w:rsidR="00D017E9">
        <w:t xml:space="preserve">As Mr. Gorman has demonstrated, PSE’s 2012 earnings were very strong, </w:t>
      </w:r>
      <w:r w:rsidR="00423586">
        <w:t xml:space="preserve">which </w:t>
      </w:r>
      <w:r w:rsidR="00D017E9">
        <w:t>apparent</w:t>
      </w:r>
      <w:r w:rsidR="00201005">
        <w:t>ly</w:t>
      </w:r>
      <w:r w:rsidR="00D017E9">
        <w:t xml:space="preserve"> recorded</w:t>
      </w:r>
      <w:r w:rsidR="00201005">
        <w:t xml:space="preserve"> a</w:t>
      </w:r>
      <w:r w:rsidR="00D017E9">
        <w:t xml:space="preserve"> 10.75% </w:t>
      </w:r>
      <w:r w:rsidR="003C3E80">
        <w:t>return on equity (“ROE”)—a full 95 basis points above</w:t>
      </w:r>
      <w:r w:rsidR="00D017E9">
        <w:t xml:space="preserve"> the </w:t>
      </w:r>
      <w:r w:rsidR="003C3E80">
        <w:t>Company’s 9.80% award in the 2011 GRC.</w:t>
      </w:r>
      <w:r w:rsidR="00C94654">
        <w:rPr>
          <w:rStyle w:val="FootnoteReference"/>
        </w:rPr>
        <w:footnoteReference w:id="111"/>
      </w:r>
      <w:r w:rsidR="00C94654">
        <w:rPr>
          <w:vertAlign w:val="superscript"/>
        </w:rPr>
        <w:t>/</w:t>
      </w:r>
      <w:r w:rsidR="003C3E80">
        <w:t xml:space="preserve">  </w:t>
      </w:r>
      <w:r w:rsidR="003523D5">
        <w:t>Additionally, there are numerous flaws, errors, and methodology issues that warrant rejection of the current proposal.</w:t>
      </w:r>
    </w:p>
    <w:p w:rsidR="00D017E9" w:rsidRPr="00D017E9" w:rsidRDefault="00CA7525" w:rsidP="00BB75BC">
      <w:pPr>
        <w:pStyle w:val="MJDWUTCBrief"/>
        <w:spacing w:line="570" w:lineRule="exact"/>
      </w:pPr>
      <w:r>
        <w:t xml:space="preserve">     </w:t>
      </w:r>
      <w:r w:rsidR="003A5F39">
        <w:tab/>
      </w:r>
      <w:r w:rsidR="008B64B2">
        <w:t>Under</w:t>
      </w:r>
      <w:r w:rsidR="00D471FB">
        <w:t xml:space="preserve"> Settlement terms, the Company would not file another GRC until at least April 1, 2015, including a waiver of its obligation to file a GRC within three months of an </w:t>
      </w:r>
      <w:r w:rsidR="008C413F">
        <w:t xml:space="preserve">effective </w:t>
      </w:r>
      <w:r w:rsidR="008B64B2" w:rsidRPr="008C413F">
        <w:t>PCORC</w:t>
      </w:r>
      <w:r w:rsidR="00D471FB">
        <w:t xml:space="preserve"> rate increase.</w:t>
      </w:r>
      <w:r w:rsidR="00D471FB">
        <w:rPr>
          <w:rStyle w:val="FootnoteReference"/>
        </w:rPr>
        <w:footnoteReference w:id="112"/>
      </w:r>
      <w:r w:rsidR="00D471FB" w:rsidRPr="0047630D">
        <w:rPr>
          <w:vertAlign w:val="superscript"/>
        </w:rPr>
        <w:t>/</w:t>
      </w:r>
      <w:r w:rsidR="00D471FB">
        <w:t xml:space="preserve">  This GRC “stay out period,” however, would still allow for a bevy of other rate increases, including deferrals, tariff riders and trackers, </w:t>
      </w:r>
      <w:r w:rsidR="00004508">
        <w:t>PCORC</w:t>
      </w:r>
      <w:r w:rsidR="00AE29C1">
        <w:t>s</w:t>
      </w:r>
      <w:r w:rsidR="00D471FB">
        <w:rPr>
          <w:rStyle w:val="FootnoteReference"/>
        </w:rPr>
        <w:footnoteReference w:id="113"/>
      </w:r>
      <w:r w:rsidR="00D471FB" w:rsidRPr="0047630D">
        <w:rPr>
          <w:vertAlign w:val="superscript"/>
        </w:rPr>
        <w:t>/</w:t>
      </w:r>
      <w:r w:rsidR="00004508">
        <w:t>—</w:t>
      </w:r>
      <w:r w:rsidR="00D471FB">
        <w:t xml:space="preserve">all in addition to annual decoupling and associated rate plan increases.  The end result of this arrangement will be a sharp lack of transparency in assessing PSE’s earned ROE and cost of service, meaning the Commission and ratepayers alike will be unable to accurately determine whether the Company’s revenue recovery </w:t>
      </w:r>
      <w:r w:rsidR="00AE29C1">
        <w:t>during the four years will be</w:t>
      </w:r>
      <w:r w:rsidR="00D471FB">
        <w:t xml:space="preserve"> fair and reasonable.  </w:t>
      </w:r>
      <w:r w:rsidR="003523D5">
        <w:t xml:space="preserve">  </w:t>
      </w:r>
    </w:p>
    <w:p w:rsidR="005C6EE7" w:rsidRDefault="00966754" w:rsidP="0089462E">
      <w:pPr>
        <w:pStyle w:val="WUTCParagraph"/>
        <w:keepNext/>
        <w:numPr>
          <w:ilvl w:val="0"/>
          <w:numId w:val="0"/>
        </w:numPr>
        <w:tabs>
          <w:tab w:val="clear" w:pos="1440"/>
          <w:tab w:val="left" w:pos="720"/>
        </w:tabs>
        <w:spacing w:line="570" w:lineRule="exact"/>
      </w:pPr>
      <w:r>
        <w:rPr>
          <w:b/>
        </w:rPr>
        <w:lastRenderedPageBreak/>
        <w:t>a</w:t>
      </w:r>
      <w:r w:rsidR="005C6EE7">
        <w:rPr>
          <w:b/>
        </w:rPr>
        <w:t>.</w:t>
      </w:r>
      <w:r w:rsidR="002838FA">
        <w:rPr>
          <w:b/>
          <w:lang w:val="en-US"/>
        </w:rPr>
        <w:t xml:space="preserve"> </w:t>
      </w:r>
      <w:r w:rsidR="0075018E">
        <w:rPr>
          <w:b/>
          <w:lang w:val="en-US"/>
        </w:rPr>
        <w:tab/>
      </w:r>
      <w:r>
        <w:rPr>
          <w:b/>
        </w:rPr>
        <w:t xml:space="preserve">Use of End of Period Rate Base Is </w:t>
      </w:r>
      <w:r w:rsidR="00EF6E1D">
        <w:rPr>
          <w:b/>
        </w:rPr>
        <w:t>in Violation of WAC § 480-100-257</w:t>
      </w:r>
      <w:r w:rsidR="005C6EE7">
        <w:rPr>
          <w:b/>
        </w:rPr>
        <w:tab/>
      </w:r>
    </w:p>
    <w:p w:rsidR="00B62137" w:rsidRPr="00B62137" w:rsidRDefault="00CA7525" w:rsidP="00BB75BC">
      <w:pPr>
        <w:pStyle w:val="MJDWUTCBrief"/>
        <w:spacing w:line="570" w:lineRule="exact"/>
      </w:pPr>
      <w:r>
        <w:t xml:space="preserve">     </w:t>
      </w:r>
      <w:r w:rsidR="003A5F39">
        <w:tab/>
      </w:r>
      <w:r w:rsidR="000412E0">
        <w:t>Mr. Deen points out the Company has calculated ERF revenue defi</w:t>
      </w:r>
      <w:r w:rsidR="00004508">
        <w:t>c</w:t>
      </w:r>
      <w:r w:rsidR="00AE29C1">
        <w:t xml:space="preserve">iency using </w:t>
      </w:r>
      <w:r w:rsidR="000412E0">
        <w:t>EOP rate base amounts inst</w:t>
      </w:r>
      <w:r w:rsidR="00AE29C1">
        <w:t xml:space="preserve">ead of the Commission standard </w:t>
      </w:r>
      <w:r w:rsidR="000412E0">
        <w:t>AMA</w:t>
      </w:r>
      <w:r w:rsidR="00AE29C1">
        <w:t xml:space="preserve"> </w:t>
      </w:r>
      <w:r w:rsidR="000412E0">
        <w:t>rate base.</w:t>
      </w:r>
      <w:r w:rsidR="00D14C46">
        <w:rPr>
          <w:rStyle w:val="FootnoteReference"/>
        </w:rPr>
        <w:footnoteReference w:id="114"/>
      </w:r>
      <w:r w:rsidR="00D14C46">
        <w:rPr>
          <w:vertAlign w:val="superscript"/>
        </w:rPr>
        <w:t>/</w:t>
      </w:r>
      <w:r w:rsidR="00D14C46">
        <w:t xml:space="preserve"> </w:t>
      </w:r>
      <w:r w:rsidR="000412E0">
        <w:t xml:space="preserve">  </w:t>
      </w:r>
      <w:r w:rsidR="00004508">
        <w:t>The Company’s</w:t>
      </w:r>
      <w:r w:rsidR="00B30102">
        <w:t xml:space="preserve"> EOP approach results in a $32.2 million revenue deficiency calculation, </w:t>
      </w:r>
      <w:r w:rsidR="00004508">
        <w:t xml:space="preserve">even </w:t>
      </w:r>
      <w:r w:rsidR="00B30102">
        <w:t xml:space="preserve">though PSE </w:t>
      </w:r>
      <w:r w:rsidR="00D56DCE">
        <w:t>calculat</w:t>
      </w:r>
      <w:r w:rsidR="00B30102">
        <w:t xml:space="preserve">es that using a standard AMA rate base </w:t>
      </w:r>
      <w:r w:rsidR="00C23537">
        <w:t>results</w:t>
      </w:r>
      <w:r w:rsidR="00B30102">
        <w:t xml:space="preserve"> in a deficiency calculation of only $18.6 million.</w:t>
      </w:r>
      <w:r w:rsidR="00922591">
        <w:rPr>
          <w:rStyle w:val="FootnoteReference"/>
        </w:rPr>
        <w:footnoteReference w:id="115"/>
      </w:r>
      <w:r w:rsidR="00922591">
        <w:rPr>
          <w:vertAlign w:val="superscript"/>
        </w:rPr>
        <w:t>/</w:t>
      </w:r>
      <w:r w:rsidR="00922591">
        <w:t xml:space="preserve">  </w:t>
      </w:r>
      <w:r w:rsidR="00D56DCE">
        <w:t>In fact, Mr. Deen states that had PSE simply followed common practice in using a standard 2012 test year, there may be have been no revenue deficiency to report.</w:t>
      </w:r>
      <w:r w:rsidR="00D56DCE">
        <w:rPr>
          <w:rStyle w:val="FootnoteReference"/>
        </w:rPr>
        <w:footnoteReference w:id="116"/>
      </w:r>
      <w:r w:rsidR="00D56DCE">
        <w:rPr>
          <w:vertAlign w:val="superscript"/>
        </w:rPr>
        <w:t>/</w:t>
      </w:r>
    </w:p>
    <w:p w:rsidR="00B62137" w:rsidRDefault="00D56DCE" w:rsidP="00B62137">
      <w:pPr>
        <w:pStyle w:val="MJDWUTCBrief"/>
        <w:spacing w:line="570" w:lineRule="exact"/>
      </w:pPr>
      <w:r>
        <w:t xml:space="preserve">  </w:t>
      </w:r>
      <w:r w:rsidR="00B62137">
        <w:tab/>
        <w:t>The EOP approach is also prohibited by Commission rule which provides that a CBR must contain:</w:t>
      </w:r>
    </w:p>
    <w:p w:rsidR="00B62137" w:rsidRDefault="00EF6E1D" w:rsidP="00B62137">
      <w:pPr>
        <w:pStyle w:val="MJDWUTCBrief"/>
        <w:numPr>
          <w:ilvl w:val="0"/>
          <w:numId w:val="0"/>
        </w:numPr>
        <w:spacing w:before="240" w:line="240" w:lineRule="auto"/>
        <w:ind w:left="1584" w:right="864"/>
      </w:pPr>
      <w:r>
        <w:t xml:space="preserve">“all the necessary adjustments as accepted by the commission in the utility's most recent general rate case or subsequent </w:t>
      </w:r>
    </w:p>
    <w:p w:rsidR="00B23576" w:rsidRDefault="00EF6E1D" w:rsidP="00B62137">
      <w:pPr>
        <w:pStyle w:val="MJDWUTCBrief"/>
        <w:numPr>
          <w:ilvl w:val="0"/>
          <w:numId w:val="0"/>
        </w:numPr>
        <w:spacing w:line="240" w:lineRule="auto"/>
        <w:ind w:left="1584" w:right="864"/>
      </w:pPr>
      <w:r>
        <w:t>orders . . . [and]</w:t>
      </w:r>
      <w:r w:rsidRPr="00EF6E1D">
        <w:t xml:space="preserve"> </w:t>
      </w:r>
      <w:r>
        <w:t>should not include adjustments that annualize price, wage, or other cost changes during a reporting period, nor new theories or approaches that have not been previously addressed and resolved by the commission.</w:t>
      </w:r>
      <w:r>
        <w:rPr>
          <w:rStyle w:val="FootnoteReference"/>
        </w:rPr>
        <w:footnoteReference w:id="117"/>
      </w:r>
      <w:r w:rsidRPr="008B64B2">
        <w:rPr>
          <w:vertAlign w:val="superscript"/>
        </w:rPr>
        <w:t>/</w:t>
      </w:r>
      <w:r>
        <w:t xml:space="preserve">   </w:t>
      </w:r>
    </w:p>
    <w:p w:rsidR="00B23576" w:rsidRDefault="00B23576" w:rsidP="00B23576">
      <w:pPr>
        <w:pStyle w:val="MJDWUTCBrief"/>
        <w:numPr>
          <w:ilvl w:val="0"/>
          <w:numId w:val="0"/>
        </w:numPr>
        <w:spacing w:line="240" w:lineRule="auto"/>
        <w:ind w:left="1584" w:right="864"/>
      </w:pPr>
    </w:p>
    <w:p w:rsidR="008B64B2" w:rsidRDefault="009C4557" w:rsidP="00BB75BC">
      <w:pPr>
        <w:pStyle w:val="MJDWUTCBrief"/>
        <w:numPr>
          <w:ilvl w:val="0"/>
          <w:numId w:val="0"/>
        </w:numPr>
      </w:pPr>
      <w:r>
        <w:t xml:space="preserve">It is undisputed that the Commission has always used AMA ratebase, including during PSE’s last </w:t>
      </w:r>
      <w:r w:rsidR="00B23576">
        <w:t>GRC</w:t>
      </w:r>
      <w:r>
        <w:t xml:space="preserve">.  EOP is a new theory for electric regulation; </w:t>
      </w:r>
      <w:r w:rsidR="005D7420">
        <w:t xml:space="preserve">and, </w:t>
      </w:r>
      <w:r>
        <w:t>n</w:t>
      </w:r>
      <w:r w:rsidR="00EF6E1D">
        <w:t>either Staff nor PSE have provided any example of the Commission accepting or approving EOP rate base for an electric utility</w:t>
      </w:r>
      <w:r w:rsidR="005D7420">
        <w:t>.</w:t>
      </w:r>
      <w:r w:rsidR="00EF6E1D">
        <w:t xml:space="preserve"> </w:t>
      </w:r>
      <w:r w:rsidR="005D7420">
        <w:t xml:space="preserve"> I</w:t>
      </w:r>
      <w:r w:rsidR="00EF6E1D">
        <w:t>nstead</w:t>
      </w:r>
      <w:r>
        <w:t xml:space="preserve">, </w:t>
      </w:r>
      <w:r w:rsidR="0058758B">
        <w:t>PSE relies on</w:t>
      </w:r>
      <w:r w:rsidR="00EF6E1D">
        <w:t xml:space="preserve"> a thirty-year old case in which a gas pipeline received EOP under extraordinary inflationary pressures, and a more recent case in which </w:t>
      </w:r>
      <w:r>
        <w:t xml:space="preserve">an oil pipeline that suffered a crippling, </w:t>
      </w:r>
      <w:r w:rsidR="00EF6E1D">
        <w:t xml:space="preserve">catastrophic explosion, had </w:t>
      </w:r>
      <w:r w:rsidR="00EF6E1D">
        <w:lastRenderedPageBreak/>
        <w:t xml:space="preserve">a 0% equity ratio, </w:t>
      </w:r>
      <w:r>
        <w:t>and was granted EOP as an emergency provision.</w:t>
      </w:r>
      <w:r>
        <w:rPr>
          <w:rStyle w:val="FootnoteReference"/>
        </w:rPr>
        <w:footnoteReference w:id="118"/>
      </w:r>
      <w:r w:rsidRPr="008B64B2">
        <w:rPr>
          <w:vertAlign w:val="superscript"/>
        </w:rPr>
        <w:t>/</w:t>
      </w:r>
      <w:r>
        <w:t xml:space="preserve">  </w:t>
      </w:r>
      <w:r w:rsidR="00FC7823">
        <w:t xml:space="preserve">In no other known case has the Commission accepted EOP rate base.  </w:t>
      </w:r>
      <w:r w:rsidR="00DC46BE">
        <w:t>In this case, the hybrid test year created by the EOP method allows the Company to avoid reporting drastically improved results of operations in the latter half of 2012.</w:t>
      </w:r>
      <w:r w:rsidR="00DC46BE">
        <w:rPr>
          <w:rStyle w:val="FootnoteReference"/>
        </w:rPr>
        <w:footnoteReference w:id="119"/>
      </w:r>
      <w:r w:rsidR="00DC46BE" w:rsidRPr="008B64B2">
        <w:rPr>
          <w:vertAlign w:val="superscript"/>
        </w:rPr>
        <w:t>/</w:t>
      </w:r>
      <w:r w:rsidR="00DC46BE">
        <w:t xml:space="preserve"> </w:t>
      </w:r>
      <w:r>
        <w:t xml:space="preserve">  </w:t>
      </w:r>
      <w:r w:rsidR="00794EE9">
        <w:t>The Company’s attempt to deflect this criticism on r</w:t>
      </w:r>
      <w:r w:rsidR="00B23576">
        <w:t>ebuttal is unpersuasive.  W</w:t>
      </w:r>
      <w:r w:rsidR="00794EE9">
        <w:t xml:space="preserve">hile it may </w:t>
      </w:r>
      <w:r w:rsidR="00B23576">
        <w:t xml:space="preserve">or may not </w:t>
      </w:r>
      <w:r w:rsidR="00794EE9">
        <w:t>be true that PSE’s l</w:t>
      </w:r>
      <w:r w:rsidR="00B23576">
        <w:t xml:space="preserve">atest </w:t>
      </w:r>
      <w:r w:rsidR="00794EE9">
        <w:t>CBR “demonstrates that the Company</w:t>
      </w:r>
      <w:r w:rsidR="008B64B2">
        <w:t xml:space="preserve"> </w:t>
      </w:r>
      <w:r w:rsidR="00794EE9">
        <w:t>continues to earn below its authorized return on equity,”</w:t>
      </w:r>
      <w:r w:rsidR="00794EE9">
        <w:rPr>
          <w:rStyle w:val="FootnoteReference"/>
        </w:rPr>
        <w:footnoteReference w:id="120"/>
      </w:r>
      <w:r w:rsidR="00794EE9" w:rsidRPr="008B64B2">
        <w:rPr>
          <w:vertAlign w:val="superscript"/>
        </w:rPr>
        <w:t>/</w:t>
      </w:r>
      <w:r w:rsidR="00794EE9">
        <w:t xml:space="preserve"> </w:t>
      </w:r>
      <w:r w:rsidR="005271D2">
        <w:t xml:space="preserve">the Company neglects to acknowledge that the same CBR shows much stronger earning than in prior </w:t>
      </w:r>
      <w:r w:rsidR="008B64B2">
        <w:t>years.</w:t>
      </w:r>
      <w:r w:rsidR="005271D2">
        <w:rPr>
          <w:rStyle w:val="FootnoteReference"/>
        </w:rPr>
        <w:footnoteReference w:id="121"/>
      </w:r>
      <w:r w:rsidR="005271D2" w:rsidRPr="008B64B2">
        <w:rPr>
          <w:vertAlign w:val="superscript"/>
        </w:rPr>
        <w:t>/</w:t>
      </w:r>
    </w:p>
    <w:p w:rsidR="001134F4" w:rsidRDefault="00CA7525" w:rsidP="002838FA">
      <w:pPr>
        <w:pStyle w:val="MJDWUTCBrief"/>
      </w:pPr>
      <w:r>
        <w:t xml:space="preserve">     </w:t>
      </w:r>
      <w:r w:rsidR="003A5F39">
        <w:tab/>
      </w:r>
      <w:r w:rsidR="00922591">
        <w:t>According to PSE, using the EOP instead of the AMA method would help alleviate the Company’s “significant” regulatory lag.</w:t>
      </w:r>
      <w:r w:rsidR="00922591">
        <w:rPr>
          <w:rStyle w:val="FootnoteReference"/>
        </w:rPr>
        <w:footnoteReference w:id="122"/>
      </w:r>
      <w:r w:rsidR="00922591" w:rsidRPr="0047630D">
        <w:rPr>
          <w:vertAlign w:val="superscript"/>
        </w:rPr>
        <w:t>/</w:t>
      </w:r>
      <w:r w:rsidR="00922591">
        <w:t xml:space="preserve">  The Company justifies the switch by </w:t>
      </w:r>
      <w:r w:rsidR="009F3A03">
        <w:t>claiming that the WUTC supports</w:t>
      </w:r>
      <w:r w:rsidR="00922591">
        <w:t xml:space="preserve"> EOP use,</w:t>
      </w:r>
      <w:r w:rsidR="00BF6765">
        <w:t xml:space="preserve"> quoting from paragraph 491 of Order 08 to allege the Commission’s openness to </w:t>
      </w:r>
      <w:r w:rsidR="009F3A03">
        <w:t>such a transition</w:t>
      </w:r>
      <w:r w:rsidR="00BF6765">
        <w:t>.</w:t>
      </w:r>
      <w:r w:rsidR="00BF6765">
        <w:rPr>
          <w:rStyle w:val="FootnoteReference"/>
        </w:rPr>
        <w:footnoteReference w:id="123"/>
      </w:r>
      <w:r w:rsidR="00BF6765" w:rsidRPr="0047630D">
        <w:rPr>
          <w:vertAlign w:val="superscript"/>
        </w:rPr>
        <w:t>/</w:t>
      </w:r>
      <w:r w:rsidR="00251C47">
        <w:t xml:space="preserve">  This is a</w:t>
      </w:r>
      <w:r w:rsidR="00BF6765">
        <w:t xml:space="preserve"> misrepresentation.  </w:t>
      </w:r>
      <w:r w:rsidR="007B016E">
        <w:t>PSE is quoting from a</w:t>
      </w:r>
      <w:r w:rsidR="0050776D">
        <w:t xml:space="preserve"> section </w:t>
      </w:r>
      <w:r w:rsidR="007B016E">
        <w:t xml:space="preserve">of Order 08 </w:t>
      </w:r>
      <w:r w:rsidR="008B64B2">
        <w:t>specifically addressing</w:t>
      </w:r>
      <w:r w:rsidR="0050776D">
        <w:t xml:space="preserve"> attrition, not </w:t>
      </w:r>
      <w:r w:rsidR="00B23576">
        <w:t xml:space="preserve">from the separate </w:t>
      </w:r>
      <w:r w:rsidR="007B016E">
        <w:t xml:space="preserve">section which dealt with the concept of an expedited rate case mechanism.  </w:t>
      </w:r>
    </w:p>
    <w:p w:rsidR="004C2276" w:rsidRDefault="00CA7525" w:rsidP="002838FA">
      <w:pPr>
        <w:pStyle w:val="MJDWUTCBrief"/>
      </w:pPr>
      <w:r>
        <w:t xml:space="preserve">     </w:t>
      </w:r>
      <w:r w:rsidR="003A5F39">
        <w:tab/>
      </w:r>
      <w:r w:rsidR="00DC46BE">
        <w:t>T</w:t>
      </w:r>
      <w:r w:rsidR="00DD14F9">
        <w:t xml:space="preserve">he WUTC only offered to consider </w:t>
      </w:r>
      <w:r w:rsidR="00DD7463">
        <w:t>“</w:t>
      </w:r>
      <w:r w:rsidR="00DD7463" w:rsidRPr="00351887">
        <w:rPr>
          <w:i/>
        </w:rPr>
        <w:t>specific</w:t>
      </w:r>
      <w:r w:rsidR="00DD7463">
        <w:t xml:space="preserve"> proposals supported by </w:t>
      </w:r>
      <w:r w:rsidR="00DD7463" w:rsidRPr="00351887">
        <w:rPr>
          <w:i/>
        </w:rPr>
        <w:t>adequate evidence</w:t>
      </w:r>
      <w:r w:rsidR="00DD7463">
        <w:t xml:space="preserve"> showing them to be</w:t>
      </w:r>
      <w:r w:rsidR="008C413F">
        <w:t xml:space="preserve"> an</w:t>
      </w:r>
      <w:r w:rsidR="00DD7463">
        <w:t xml:space="preserve"> </w:t>
      </w:r>
      <w:r w:rsidR="00DD7463" w:rsidRPr="00351887">
        <w:rPr>
          <w:i/>
        </w:rPr>
        <w:t>appropriate response</w:t>
      </w:r>
      <w:r w:rsidR="00DD7463">
        <w:t xml:space="preserve"> to PSE’s economic and financial </w:t>
      </w:r>
      <w:r w:rsidR="00C23537">
        <w:t>circumstances</w:t>
      </w:r>
      <w:r w:rsidR="00DD7463">
        <w:t xml:space="preserve">, including, </w:t>
      </w:r>
      <w:r w:rsidR="00DD7463" w:rsidRPr="00351887">
        <w:rPr>
          <w:i/>
        </w:rPr>
        <w:t>if demonstrated</w:t>
      </w:r>
      <w:r w:rsidR="004574A6">
        <w:t>, under</w:t>
      </w:r>
      <w:r w:rsidR="008C413F">
        <w:t xml:space="preserve"> </w:t>
      </w:r>
      <w:r w:rsidR="00DD7463">
        <w:t>earnings due to attrition.”</w:t>
      </w:r>
      <w:r w:rsidR="00DD7463">
        <w:rPr>
          <w:rStyle w:val="FootnoteReference"/>
        </w:rPr>
        <w:footnoteReference w:id="124"/>
      </w:r>
      <w:r w:rsidR="00DD7463">
        <w:rPr>
          <w:vertAlign w:val="superscript"/>
        </w:rPr>
        <w:t>/</w:t>
      </w:r>
      <w:r w:rsidR="00DD14F9">
        <w:t xml:space="preserve">  Any implication, therefore, that the Commission “supported” EOP rate base calculations in an </w:t>
      </w:r>
      <w:r w:rsidR="00DD14F9">
        <w:lastRenderedPageBreak/>
        <w:t>untested ERF process</w:t>
      </w:r>
      <w:r w:rsidR="00004508">
        <w:t>, and</w:t>
      </w:r>
      <w:r w:rsidR="00DD14F9">
        <w:t xml:space="preserve"> to address attrition claims</w:t>
      </w:r>
      <w:r w:rsidR="00004508">
        <w:t>,</w:t>
      </w:r>
      <w:r w:rsidR="00DD14F9">
        <w:t xml:space="preserve"> cannot be supported by Order 08’s text.  </w:t>
      </w:r>
    </w:p>
    <w:p w:rsidR="00201005" w:rsidRPr="00201005" w:rsidRDefault="00CA7525" w:rsidP="002838FA">
      <w:pPr>
        <w:pStyle w:val="MJDWUTCBrief"/>
      </w:pPr>
      <w:r>
        <w:t xml:space="preserve">     </w:t>
      </w:r>
      <w:r w:rsidR="003A5F39">
        <w:tab/>
      </w:r>
      <w:r w:rsidR="00DD14F9">
        <w:t xml:space="preserve">In any event, </w:t>
      </w:r>
      <w:r w:rsidR="004C2276">
        <w:t>the Company’s EOP switch is not supported by “adequate e</w:t>
      </w:r>
      <w:r w:rsidR="00004508">
        <w:t>vidence” showing that such</w:t>
      </w:r>
      <w:r w:rsidR="004C2276">
        <w:t xml:space="preserve"> methodology—which increases revenue deficiency calculations by more than $13 million—is an “appropriate</w:t>
      </w:r>
      <w:r w:rsidR="00DD14F9">
        <w:t xml:space="preserve"> </w:t>
      </w:r>
      <w:r w:rsidR="004C2276">
        <w:t xml:space="preserve">response” to “demonstrated” earnings attrition.  A scant nine lines of </w:t>
      </w:r>
      <w:r w:rsidR="00004508">
        <w:t xml:space="preserve">direct </w:t>
      </w:r>
      <w:r w:rsidR="004C2276">
        <w:t>testimony,</w:t>
      </w:r>
      <w:r w:rsidR="00F67E9C">
        <w:rPr>
          <w:rStyle w:val="FootnoteReference"/>
        </w:rPr>
        <w:footnoteReference w:id="125"/>
      </w:r>
      <w:r w:rsidR="00F67E9C" w:rsidRPr="0047630D">
        <w:rPr>
          <w:vertAlign w:val="superscript"/>
        </w:rPr>
        <w:t>/</w:t>
      </w:r>
      <w:r w:rsidR="004C2276">
        <w:t xml:space="preserve"> absent any evidentiary citations or exhibit references, do not come close to meeting PSE’s burden of proof or persuasion</w:t>
      </w:r>
      <w:r w:rsidR="00F67E9C">
        <w:t xml:space="preserve"> in jettisoning </w:t>
      </w:r>
      <w:r w:rsidR="00004508">
        <w:t xml:space="preserve">standard </w:t>
      </w:r>
      <w:r w:rsidR="00F67E9C">
        <w:t xml:space="preserve">AMA for </w:t>
      </w:r>
      <w:r w:rsidR="00DC46BE">
        <w:t xml:space="preserve">an </w:t>
      </w:r>
      <w:r w:rsidR="00F67E9C">
        <w:t>EOP methodology</w:t>
      </w:r>
      <w:r w:rsidR="004C2276">
        <w:t xml:space="preserve">. </w:t>
      </w:r>
      <w:r w:rsidR="00794EE9">
        <w:t xml:space="preserve"> </w:t>
      </w:r>
      <w:r w:rsidR="00DC46BE">
        <w:t xml:space="preserve">If the ERF is accepted, as a starting point, the Commission should enforce Washington rules and apply AMA, </w:t>
      </w:r>
      <w:r w:rsidR="00B23576">
        <w:t>which will reduce</w:t>
      </w:r>
      <w:r w:rsidR="00DC46BE">
        <w:t xml:space="preserve"> the revenue deficiency </w:t>
      </w:r>
      <w:r w:rsidR="00B23576">
        <w:t>by $13.2</w:t>
      </w:r>
      <w:r w:rsidR="00DC46BE">
        <w:t xml:space="preserve"> million</w:t>
      </w:r>
      <w:r w:rsidR="005D7420">
        <w:t>,</w:t>
      </w:r>
      <w:r w:rsidR="00DC46BE">
        <w:t xml:space="preserve"> </w:t>
      </w:r>
      <w:r w:rsidR="00B23576">
        <w:t>using Mr. Gorman’s recommended ROR</w:t>
      </w:r>
      <w:r w:rsidR="00DC46BE">
        <w:t>, in addition to the other adjustments identified below.</w:t>
      </w:r>
    </w:p>
    <w:p w:rsidR="00966754" w:rsidRPr="0075018E" w:rsidRDefault="00966754" w:rsidP="00B23576">
      <w:pPr>
        <w:pStyle w:val="MJDWUTCBrief"/>
        <w:numPr>
          <w:ilvl w:val="0"/>
          <w:numId w:val="0"/>
        </w:numPr>
        <w:rPr>
          <w:b/>
        </w:rPr>
      </w:pPr>
      <w:r w:rsidRPr="0075018E">
        <w:rPr>
          <w:b/>
        </w:rPr>
        <w:t>b.</w:t>
      </w:r>
      <w:r w:rsidRPr="0075018E">
        <w:rPr>
          <w:b/>
        </w:rPr>
        <w:tab/>
        <w:t xml:space="preserve">PSE’s </w:t>
      </w:r>
      <w:r w:rsidR="00004508" w:rsidRPr="0075018E">
        <w:rPr>
          <w:b/>
        </w:rPr>
        <w:t>Hybrid</w:t>
      </w:r>
      <w:r w:rsidRPr="0075018E">
        <w:rPr>
          <w:b/>
        </w:rPr>
        <w:t xml:space="preserve"> Test Year Violates the Matching Principle</w:t>
      </w:r>
      <w:r w:rsidRPr="0075018E">
        <w:rPr>
          <w:b/>
        </w:rPr>
        <w:tab/>
      </w:r>
    </w:p>
    <w:p w:rsidR="00121EC4" w:rsidRDefault="00CA7525" w:rsidP="0075018E">
      <w:pPr>
        <w:pStyle w:val="MJDWUTCBrief"/>
      </w:pPr>
      <w:r>
        <w:t xml:space="preserve">     </w:t>
      </w:r>
      <w:r w:rsidR="0075018E">
        <w:tab/>
      </w:r>
      <w:r w:rsidR="00E04525">
        <w:t xml:space="preserve">In addition to an unjustified, inflated revenue deficiency calculation caused by the </w:t>
      </w:r>
      <w:r w:rsidR="00004508">
        <w:t>EOP method, PSE’s specific creation of a</w:t>
      </w:r>
      <w:r w:rsidR="00955BCE">
        <w:t xml:space="preserve"> </w:t>
      </w:r>
      <w:r w:rsidR="00E04525">
        <w:t xml:space="preserve">hybrid test year </w:t>
      </w:r>
      <w:r w:rsidR="00955BCE">
        <w:t xml:space="preserve">period </w:t>
      </w:r>
      <w:r w:rsidR="00E04525">
        <w:t>breaks from traditional, cost-based rate principles</w:t>
      </w:r>
      <w:r w:rsidR="006A546D">
        <w:t xml:space="preserve">, </w:t>
      </w:r>
      <w:r w:rsidR="00AC4F01">
        <w:t>and with equal lack of justification</w:t>
      </w:r>
      <w:r w:rsidR="00E04525">
        <w:t xml:space="preserve">.  </w:t>
      </w:r>
      <w:r w:rsidR="00955BCE">
        <w:t>As Mr. Deen testifies, the Compa</w:t>
      </w:r>
      <w:r w:rsidR="00E317C1">
        <w:t>ny is attempting to match</w:t>
      </w:r>
      <w:r w:rsidR="00955BCE">
        <w:t xml:space="preserve"> 2011/2012 </w:t>
      </w:r>
      <w:r w:rsidR="0060346A">
        <w:t>te</w:t>
      </w:r>
      <w:r w:rsidR="00E317C1">
        <w:t xml:space="preserve">st year </w:t>
      </w:r>
      <w:r w:rsidR="00955BCE">
        <w:t>costs under the ERF with assumptions</w:t>
      </w:r>
      <w:r w:rsidR="00AC4F01">
        <w:t xml:space="preserve"> culled from</w:t>
      </w:r>
      <w:r w:rsidR="00121EC4">
        <w:t xml:space="preserve"> 2010 (the 2011 GRC</w:t>
      </w:r>
      <w:r w:rsidR="00AC4F01">
        <w:t xml:space="preserve"> test year</w:t>
      </w:r>
      <w:r w:rsidR="00121EC4">
        <w:t>)</w:t>
      </w:r>
      <w:r w:rsidR="00955BCE">
        <w:t>, thereby violating the fundamental matching pri</w:t>
      </w:r>
      <w:r w:rsidR="00AC4F01">
        <w:t>nciple of Commission ratemaking—</w:t>
      </w:r>
      <w:r w:rsidR="0060346A" w:rsidRPr="0060346A">
        <w:rPr>
          <w:u w:val="single"/>
        </w:rPr>
        <w:t>i.e.</w:t>
      </w:r>
      <w:r w:rsidR="0060346A">
        <w:t xml:space="preserve">, </w:t>
      </w:r>
      <w:r w:rsidR="00955BCE">
        <w:t>that an accurate rate relationship is created by matching contemporaneou</w:t>
      </w:r>
      <w:r w:rsidR="002C771C">
        <w:t>s test year costs and revenues.</w:t>
      </w:r>
      <w:r w:rsidR="002C771C">
        <w:rPr>
          <w:rStyle w:val="FootnoteReference"/>
        </w:rPr>
        <w:footnoteReference w:id="126"/>
      </w:r>
      <w:r w:rsidR="002C771C">
        <w:rPr>
          <w:vertAlign w:val="superscript"/>
        </w:rPr>
        <w:t>/</w:t>
      </w:r>
    </w:p>
    <w:p w:rsidR="006A5416" w:rsidRDefault="00CA7525" w:rsidP="002838FA">
      <w:pPr>
        <w:pStyle w:val="MJDWUTCBrief"/>
      </w:pPr>
      <w:r>
        <w:t xml:space="preserve">     </w:t>
      </w:r>
      <w:r w:rsidR="0075018E">
        <w:tab/>
      </w:r>
      <w:r w:rsidR="002C16C1">
        <w:t xml:space="preserve">The Company testifies that </w:t>
      </w:r>
      <w:r w:rsidR="00091FBB">
        <w:t xml:space="preserve">the basis for the ERF is “regulatory lag,” contending that “PSE’s rates are stale by the time they are implemented,” particularly “during times </w:t>
      </w:r>
      <w:r w:rsidR="00091FBB">
        <w:lastRenderedPageBreak/>
        <w:t>when PSE’s investment in replacement infrastructure is growing.”</w:t>
      </w:r>
      <w:r w:rsidR="00091FBB">
        <w:rPr>
          <w:rStyle w:val="FootnoteReference"/>
        </w:rPr>
        <w:footnoteReference w:id="127"/>
      </w:r>
      <w:r w:rsidR="00091FBB" w:rsidRPr="00121EC4">
        <w:rPr>
          <w:vertAlign w:val="superscript"/>
        </w:rPr>
        <w:t>/</w:t>
      </w:r>
      <w:r w:rsidR="00091FBB">
        <w:t xml:space="preserve">  </w:t>
      </w:r>
      <w:r w:rsidR="00004508">
        <w:t>The “e</w:t>
      </w:r>
      <w:r w:rsidR="001C35BD">
        <w:t>vidence</w:t>
      </w:r>
      <w:r w:rsidR="00004508">
        <w:t>”</w:t>
      </w:r>
      <w:r w:rsidR="001C35BD">
        <w:t xml:space="preserve"> of such regulatory lag—and, apparently, justification for</w:t>
      </w:r>
      <w:r w:rsidR="0060346A">
        <w:t xml:space="preserve"> the Company’s non-matching ratema</w:t>
      </w:r>
      <w:r w:rsidR="001C35BD">
        <w:t>king approach as well—is that Staff proposed an expedited filing methodology during the 2011 GRC</w:t>
      </w:r>
      <w:r w:rsidR="0052693A">
        <w:t xml:space="preserve"> </w:t>
      </w:r>
      <w:r w:rsidR="001C35BD">
        <w:t>“to address some of the regulatory lag inherent in Washington’s historical ratemaking approach.”</w:t>
      </w:r>
      <w:r w:rsidR="001C35BD">
        <w:rPr>
          <w:rStyle w:val="FootnoteReference"/>
        </w:rPr>
        <w:footnoteReference w:id="128"/>
      </w:r>
      <w:r w:rsidR="001C35BD" w:rsidRPr="00121EC4">
        <w:rPr>
          <w:vertAlign w:val="superscript"/>
        </w:rPr>
        <w:t>/</w:t>
      </w:r>
      <w:r w:rsidR="00004508">
        <w:t xml:space="preserve">  That i</w:t>
      </w:r>
      <w:r w:rsidR="00AC4F01">
        <w:t>s it.  There is n</w:t>
      </w:r>
      <w:r w:rsidR="009739A2">
        <w:t>o att</w:t>
      </w:r>
      <w:r w:rsidR="006A546D">
        <w:t>rition study supporting the ERF</w:t>
      </w:r>
      <w:r w:rsidR="009739A2">
        <w:t xml:space="preserve"> by PSE or Staff</w:t>
      </w:r>
      <w:r w:rsidR="006A546D">
        <w:t>.</w:t>
      </w:r>
      <w:r w:rsidR="00EF6544">
        <w:t xml:space="preserve">  Indeed, even on rebuttal, the Company points only to a one-page CBR comparison sheet from Staff,</w:t>
      </w:r>
      <w:r w:rsidR="00EF6544">
        <w:rPr>
          <w:rStyle w:val="FootnoteReference"/>
        </w:rPr>
        <w:footnoteReference w:id="129"/>
      </w:r>
      <w:r w:rsidR="00EF6544" w:rsidRPr="00121EC4">
        <w:rPr>
          <w:vertAlign w:val="superscript"/>
        </w:rPr>
        <w:t>/</w:t>
      </w:r>
      <w:r w:rsidR="00EF6544">
        <w:t xml:space="preserve"> and this same threadbare “evidence” from direct testimony, as an alleged demonstration of PSE’s inability to earn its authorized ROR.  In any event, t</w:t>
      </w:r>
      <w:r w:rsidR="00AC4F01">
        <w:t>here is no justification for matching alleged attrition, stated in the 2011 GRC, with ERF rates that would go into eff</w:t>
      </w:r>
      <w:r w:rsidR="002E6094">
        <w:t>ect in 2013</w:t>
      </w:r>
      <w:r w:rsidR="00004508">
        <w:t xml:space="preserve"> based on a hybrid</w:t>
      </w:r>
      <w:r w:rsidR="00AC4F01">
        <w:t xml:space="preserve"> test year.</w:t>
      </w:r>
    </w:p>
    <w:p w:rsidR="004304DD" w:rsidRPr="0075018E" w:rsidRDefault="004304DD" w:rsidP="00594B14">
      <w:pPr>
        <w:pStyle w:val="MJDWUTCBrief"/>
        <w:keepNext/>
        <w:numPr>
          <w:ilvl w:val="0"/>
          <w:numId w:val="0"/>
        </w:numPr>
        <w:rPr>
          <w:b/>
        </w:rPr>
      </w:pPr>
      <w:r w:rsidRPr="0075018E">
        <w:rPr>
          <w:b/>
        </w:rPr>
        <w:t>c.</w:t>
      </w:r>
      <w:r w:rsidRPr="0075018E">
        <w:rPr>
          <w:b/>
        </w:rPr>
        <w:tab/>
        <w:t xml:space="preserve">The ERF </w:t>
      </w:r>
      <w:r w:rsidR="00AE7E4A" w:rsidRPr="0075018E">
        <w:rPr>
          <w:b/>
        </w:rPr>
        <w:t xml:space="preserve">Proposal </w:t>
      </w:r>
      <w:r w:rsidR="00AF1549" w:rsidRPr="0075018E">
        <w:rPr>
          <w:b/>
        </w:rPr>
        <w:t>Necessitates</w:t>
      </w:r>
      <w:r w:rsidR="00AE7E4A" w:rsidRPr="0075018E">
        <w:rPr>
          <w:b/>
        </w:rPr>
        <w:t xml:space="preserve"> </w:t>
      </w:r>
      <w:r w:rsidR="003523D5" w:rsidRPr="0075018E">
        <w:rPr>
          <w:b/>
        </w:rPr>
        <w:t xml:space="preserve">Return </w:t>
      </w:r>
      <w:r w:rsidR="00201005" w:rsidRPr="0075018E">
        <w:rPr>
          <w:b/>
        </w:rPr>
        <w:t xml:space="preserve">on Equity </w:t>
      </w:r>
      <w:r w:rsidR="003523D5" w:rsidRPr="0075018E">
        <w:rPr>
          <w:b/>
        </w:rPr>
        <w:t>and Capital</w:t>
      </w:r>
      <w:r w:rsidR="00F32185" w:rsidRPr="0075018E">
        <w:rPr>
          <w:b/>
        </w:rPr>
        <w:t xml:space="preserve"> Adjustments</w:t>
      </w:r>
      <w:r w:rsidRPr="0075018E">
        <w:rPr>
          <w:b/>
        </w:rPr>
        <w:tab/>
      </w:r>
    </w:p>
    <w:p w:rsidR="00D471FB" w:rsidRDefault="00543CF7" w:rsidP="002838FA">
      <w:pPr>
        <w:pStyle w:val="MJDWUTCBrief"/>
      </w:pPr>
      <w:r>
        <w:tab/>
      </w:r>
      <w:r w:rsidR="00D471FB">
        <w:t>A</w:t>
      </w:r>
      <w:r w:rsidR="003523D5">
        <w:t>s Mr. Gorman testifie</w:t>
      </w:r>
      <w:r w:rsidR="00DC46BE">
        <w:t>s</w:t>
      </w:r>
      <w:r w:rsidR="003523D5">
        <w:t xml:space="preserve">, the rate increase </w:t>
      </w:r>
      <w:r w:rsidR="00D471FB">
        <w:t>requested in the ERF is not warranted given PSE’s strong 2012 earnings</w:t>
      </w:r>
      <w:r w:rsidR="001504F5">
        <w:t>,</w:t>
      </w:r>
      <w:r w:rsidR="00D471FB">
        <w:rPr>
          <w:rStyle w:val="FootnoteReference"/>
        </w:rPr>
        <w:footnoteReference w:id="130"/>
      </w:r>
      <w:r w:rsidR="00D471FB" w:rsidRPr="00D471FB">
        <w:rPr>
          <w:vertAlign w:val="superscript"/>
        </w:rPr>
        <w:t>/</w:t>
      </w:r>
      <w:r w:rsidR="00D471FB">
        <w:t xml:space="preserve"> </w:t>
      </w:r>
      <w:r w:rsidR="001504F5">
        <w:t>all the more apparent given the results of the Company’s recent CBR.</w:t>
      </w:r>
      <w:r w:rsidR="001504F5">
        <w:rPr>
          <w:rStyle w:val="FootnoteReference"/>
        </w:rPr>
        <w:footnoteReference w:id="131"/>
      </w:r>
      <w:r w:rsidR="001504F5" w:rsidRPr="00D471FB">
        <w:rPr>
          <w:vertAlign w:val="superscript"/>
        </w:rPr>
        <w:t>/</w:t>
      </w:r>
      <w:r w:rsidR="001504F5">
        <w:t xml:space="preserve"> </w:t>
      </w:r>
      <w:r w:rsidR="00D471FB">
        <w:t xml:space="preserve"> </w:t>
      </w:r>
    </w:p>
    <w:p w:rsidR="00717118" w:rsidRPr="0075018E" w:rsidRDefault="00717118" w:rsidP="00BB75BC">
      <w:pPr>
        <w:pStyle w:val="MJDWUTCBrief"/>
        <w:numPr>
          <w:ilvl w:val="0"/>
          <w:numId w:val="0"/>
        </w:numPr>
        <w:rPr>
          <w:b/>
        </w:rPr>
      </w:pPr>
      <w:r w:rsidRPr="0075018E">
        <w:rPr>
          <w:b/>
        </w:rPr>
        <w:t>i.</w:t>
      </w:r>
      <w:r w:rsidRPr="0075018E">
        <w:rPr>
          <w:b/>
        </w:rPr>
        <w:tab/>
      </w:r>
      <w:r w:rsidR="00C23537" w:rsidRPr="0075018E">
        <w:rPr>
          <w:b/>
        </w:rPr>
        <w:t>Adjustments</w:t>
      </w:r>
      <w:r w:rsidRPr="0075018E">
        <w:rPr>
          <w:b/>
        </w:rPr>
        <w:t xml:space="preserve"> to Reflect PSE’s Actual Capital Structure</w:t>
      </w:r>
      <w:r w:rsidRPr="0075018E">
        <w:rPr>
          <w:b/>
        </w:rPr>
        <w:tab/>
      </w:r>
    </w:p>
    <w:p w:rsidR="00DC46BE" w:rsidRDefault="00CA7525" w:rsidP="00C42CD3">
      <w:pPr>
        <w:pStyle w:val="MJDWUTCBrief"/>
      </w:pPr>
      <w:r>
        <w:t xml:space="preserve">     </w:t>
      </w:r>
      <w:r w:rsidR="003A5F39">
        <w:tab/>
      </w:r>
      <w:r w:rsidR="00DC46BE">
        <w:t>T</w:t>
      </w:r>
      <w:r w:rsidR="00AE7E4A">
        <w:t>he Company has based the</w:t>
      </w:r>
      <w:r w:rsidR="00DC46BE">
        <w:t xml:space="preserve"> ERF </w:t>
      </w:r>
      <w:r w:rsidR="00AE7E4A">
        <w:t>revenue requirement on the capital structure approved in the 2011 GRC</w:t>
      </w:r>
      <w:r w:rsidR="0062020C">
        <w:t xml:space="preserve">.  </w:t>
      </w:r>
      <w:r w:rsidR="00406EC9">
        <w:t>But</w:t>
      </w:r>
      <w:r w:rsidR="0062020C">
        <w:t>, as Mr. Gorman explains,</w:t>
      </w:r>
      <w:r w:rsidR="00406EC9">
        <w:t xml:space="preserve"> the Company</w:t>
      </w:r>
      <w:r w:rsidR="0062020C">
        <w:t xml:space="preserve">’s </w:t>
      </w:r>
      <w:r w:rsidR="00406EC9">
        <w:t>actual</w:t>
      </w:r>
      <w:r w:rsidR="0062020C">
        <w:t xml:space="preserve"> common equity ratio over the past two years has been about 46%, while the hypothetical ratio set in Order 08 was 48%</w:t>
      </w:r>
      <w:r w:rsidR="00DB0899">
        <w:t>.</w:t>
      </w:r>
      <w:r w:rsidR="00DB0899">
        <w:rPr>
          <w:rStyle w:val="FootnoteReference"/>
        </w:rPr>
        <w:footnoteReference w:id="132"/>
      </w:r>
      <w:r w:rsidR="00DB0899" w:rsidRPr="00D471FB">
        <w:rPr>
          <w:vertAlign w:val="superscript"/>
        </w:rPr>
        <w:t>/</w:t>
      </w:r>
      <w:r w:rsidR="00DB0899">
        <w:t xml:space="preserve">  </w:t>
      </w:r>
      <w:r w:rsidR="00DC46BE">
        <w:t>T</w:t>
      </w:r>
      <w:r w:rsidR="00DB0899">
        <w:t>he Commiss</w:t>
      </w:r>
      <w:r w:rsidR="006A546D">
        <w:t xml:space="preserve">ion also expressly </w:t>
      </w:r>
      <w:r w:rsidR="006A546D">
        <w:lastRenderedPageBreak/>
        <w:t>addressed this</w:t>
      </w:r>
      <w:r w:rsidR="00DB0899">
        <w:t xml:space="preserve"> </w:t>
      </w:r>
      <w:r w:rsidR="00C23537">
        <w:t>contingency</w:t>
      </w:r>
      <w:r w:rsidR="00DB0899">
        <w:t xml:space="preserve"> event when the cap</w:t>
      </w:r>
      <w:r w:rsidR="008C413F">
        <w:t>ital structure was approved:  “[w]</w:t>
      </w:r>
      <w:r w:rsidR="00DB0899">
        <w:t xml:space="preserve">hat the Company proposes here is the most likely actual capital structure during the rate year.  </w:t>
      </w:r>
      <w:r w:rsidR="00DB0899" w:rsidRPr="00C81F3E">
        <w:rPr>
          <w:i/>
        </w:rPr>
        <w:t>Should this turn out not to be true</w:t>
      </w:r>
      <w:r w:rsidR="00DB0899">
        <w:t>, a contrary result may be t</w:t>
      </w:r>
      <w:r w:rsidR="00366A10">
        <w:t>a</w:t>
      </w:r>
      <w:r w:rsidR="00DB0899">
        <w:t>ken into account when the Commission evaluates evidence presented in PSE’s next general rate case.”</w:t>
      </w:r>
      <w:r w:rsidR="00656254">
        <w:rPr>
          <w:rStyle w:val="FootnoteReference"/>
        </w:rPr>
        <w:footnoteReference w:id="133"/>
      </w:r>
      <w:r w:rsidR="00656254">
        <w:rPr>
          <w:vertAlign w:val="superscript"/>
        </w:rPr>
        <w:t>/</w:t>
      </w:r>
      <w:r w:rsidR="00DB0899">
        <w:t xml:space="preserve"> </w:t>
      </w:r>
      <w:r w:rsidR="00DC46BE">
        <w:t xml:space="preserve"> While the Commission explicitly anticipated a reevaluation of PSE’s capital structure in the Company’s “next </w:t>
      </w:r>
      <w:r w:rsidR="006A546D">
        <w:t>GRC</w:t>
      </w:r>
      <w:r w:rsidR="00DC46BE">
        <w:t>,” a reevaluation in response to the ERF is also appropriate.</w:t>
      </w:r>
    </w:p>
    <w:p w:rsidR="00FA33AD" w:rsidRDefault="00CA7525" w:rsidP="002838FA">
      <w:pPr>
        <w:pStyle w:val="MJDWUTCBrief"/>
      </w:pPr>
      <w:r>
        <w:t xml:space="preserve">    </w:t>
      </w:r>
      <w:r w:rsidR="003A5F39">
        <w:tab/>
      </w:r>
      <w:r w:rsidR="000C4B4D">
        <w:t xml:space="preserve">In order to reflect the Company’s actual capital structure, ICNU </w:t>
      </w:r>
      <w:r w:rsidR="006E399F">
        <w:t>originally proposed</w:t>
      </w:r>
      <w:r w:rsidR="000C4B4D">
        <w:t xml:space="preserve"> that PSE’s common equity ratio be set at 46.64%, with accompanying changes to short- and long-term debt</w:t>
      </w:r>
      <w:r w:rsidR="007540F6">
        <w:t>, 1.65% and 51.71%, respectively,</w:t>
      </w:r>
      <w:r w:rsidR="000C4B4D">
        <w:t xml:space="preserve"> </w:t>
      </w:r>
      <w:r w:rsidR="007540F6">
        <w:t xml:space="preserve">set </w:t>
      </w:r>
      <w:r w:rsidR="000C4B4D">
        <w:t>to also reflect actual capital as of Decem</w:t>
      </w:r>
      <w:r w:rsidR="007540F6">
        <w:t>ber 31, 2012.</w:t>
      </w:r>
      <w:r w:rsidR="007540F6">
        <w:rPr>
          <w:rStyle w:val="FootnoteReference"/>
        </w:rPr>
        <w:footnoteReference w:id="134"/>
      </w:r>
      <w:r w:rsidR="007540F6" w:rsidRPr="00D471FB">
        <w:rPr>
          <w:vertAlign w:val="superscript"/>
        </w:rPr>
        <w:t>/</w:t>
      </w:r>
      <w:r w:rsidR="007540F6">
        <w:t xml:space="preserve">  The actual common</w:t>
      </w:r>
      <w:r w:rsidR="006E399F">
        <w:t xml:space="preserve"> equity ratio proposed by ICNU wa</w:t>
      </w:r>
      <w:r w:rsidR="007540F6">
        <w:t>s very close to</w:t>
      </w:r>
      <w:r w:rsidR="00794EE9">
        <w:t xml:space="preserve"> the 46.7% ratio derived by the Company</w:t>
      </w:r>
      <w:r w:rsidR="007540F6">
        <w:t xml:space="preserve"> from </w:t>
      </w:r>
      <w:r w:rsidR="00794EE9">
        <w:t xml:space="preserve">CBRs </w:t>
      </w:r>
      <w:r w:rsidR="006E399F">
        <w:t>filed before April 2013</w:t>
      </w:r>
      <w:r w:rsidR="007540F6">
        <w:t>, once a $255.8 million equity overstatement in th</w:t>
      </w:r>
      <w:r w:rsidR="006E399F">
        <w:t>e Company’s financial exhibits wa</w:t>
      </w:r>
      <w:r w:rsidR="007540F6">
        <w:t>s corrected</w:t>
      </w:r>
      <w:r w:rsidR="00B03AAC">
        <w:t>.</w:t>
      </w:r>
      <w:r w:rsidR="00B03AAC">
        <w:rPr>
          <w:rStyle w:val="FootnoteReference"/>
        </w:rPr>
        <w:footnoteReference w:id="135"/>
      </w:r>
      <w:r w:rsidR="00B03AAC" w:rsidRPr="00D471FB">
        <w:rPr>
          <w:vertAlign w:val="superscript"/>
        </w:rPr>
        <w:t>/</w:t>
      </w:r>
      <w:r w:rsidR="006E399F">
        <w:t xml:space="preserve">  In light of the </w:t>
      </w:r>
      <w:r w:rsidR="00FA33AD">
        <w:t>significantly stronger earnings manifested in the Company’s latest CBR, however, recently filed on April 30, 2013, Mr. Gorman has recommended a new common equity ratio of 46.14%, in conjunction with short-term debt</w:t>
      </w:r>
      <w:r w:rsidR="00FA33AD" w:rsidRPr="00FA33AD">
        <w:rPr>
          <w:rStyle w:val="FootnoteReference"/>
          <w:u w:val="none"/>
        </w:rPr>
        <w:t xml:space="preserve"> </w:t>
      </w:r>
      <w:r w:rsidR="00FA33AD">
        <w:t>cost of 2.68%.</w:t>
      </w:r>
      <w:r w:rsidR="00FA33AD">
        <w:rPr>
          <w:rStyle w:val="FootnoteReference"/>
        </w:rPr>
        <w:footnoteReference w:id="136"/>
      </w:r>
      <w:r w:rsidR="00FA33AD" w:rsidRPr="00FA33AD">
        <w:rPr>
          <w:vertAlign w:val="superscript"/>
        </w:rPr>
        <w:t>/</w:t>
      </w:r>
      <w:r w:rsidR="00FA33AD">
        <w:t xml:space="preserve"> </w:t>
      </w:r>
    </w:p>
    <w:p w:rsidR="00717118" w:rsidRPr="00C42CD3" w:rsidRDefault="00717118" w:rsidP="00BB75BC">
      <w:pPr>
        <w:pStyle w:val="MJDWUTCBrief"/>
        <w:numPr>
          <w:ilvl w:val="0"/>
          <w:numId w:val="0"/>
        </w:numPr>
        <w:rPr>
          <w:b/>
        </w:rPr>
      </w:pPr>
      <w:r w:rsidRPr="00C42CD3">
        <w:rPr>
          <w:b/>
        </w:rPr>
        <w:t>ii.</w:t>
      </w:r>
      <w:r w:rsidRPr="00C42CD3">
        <w:rPr>
          <w:b/>
        </w:rPr>
        <w:tab/>
        <w:t>Actual Cost of Debt Adjustment</w:t>
      </w:r>
      <w:r w:rsidRPr="00C42CD3">
        <w:rPr>
          <w:b/>
        </w:rPr>
        <w:tab/>
      </w:r>
    </w:p>
    <w:p w:rsidR="00FA33AD" w:rsidRDefault="00CA7525" w:rsidP="006A546D">
      <w:pPr>
        <w:pStyle w:val="MJDWUTCBrief"/>
      </w:pPr>
      <w:r>
        <w:t xml:space="preserve">     </w:t>
      </w:r>
      <w:r w:rsidR="003A5F39">
        <w:tab/>
      </w:r>
      <w:r w:rsidR="00003274">
        <w:t>A rate approved under the ERF would be in effect for several years</w:t>
      </w:r>
      <w:r w:rsidR="001F2EBC">
        <w:t xml:space="preserve">.  The Company’s ROR of 7.80%, however, is based upon a number of debt issuances which are set to mature and be refinanced at </w:t>
      </w:r>
      <w:r w:rsidR="005B01B8">
        <w:t xml:space="preserve">a </w:t>
      </w:r>
      <w:r w:rsidR="001F2EBC">
        <w:t xml:space="preserve">lower market cost of debt </w:t>
      </w:r>
      <w:r w:rsidR="001F2EBC" w:rsidRPr="001F2EBC">
        <w:rPr>
          <w:i/>
        </w:rPr>
        <w:t>before</w:t>
      </w:r>
      <w:r w:rsidR="001F2EBC">
        <w:t xml:space="preserve"> PSE plans to file </w:t>
      </w:r>
      <w:r w:rsidR="001F2EBC">
        <w:lastRenderedPageBreak/>
        <w:t>another GRC.</w:t>
      </w:r>
      <w:r w:rsidR="001F2EBC">
        <w:rPr>
          <w:rStyle w:val="FootnoteReference"/>
        </w:rPr>
        <w:footnoteReference w:id="137"/>
      </w:r>
      <w:r w:rsidR="001F2EBC" w:rsidRPr="00D471FB">
        <w:rPr>
          <w:vertAlign w:val="superscript"/>
        </w:rPr>
        <w:t>/</w:t>
      </w:r>
      <w:r w:rsidR="001F2EBC">
        <w:t xml:space="preserve">  Consequently, ICNU recommends that the WUTC should, at a minimum, ask the Com</w:t>
      </w:r>
      <w:r w:rsidR="005B01B8">
        <w:t xml:space="preserve">pany to document its </w:t>
      </w:r>
      <w:r w:rsidR="00C23537">
        <w:t>intended</w:t>
      </w:r>
      <w:r w:rsidR="005B01B8">
        <w:t xml:space="preserve"> course of action concerning these maturing debt issuances, as well as updat</w:t>
      </w:r>
      <w:r w:rsidR="00DC46BE">
        <w:t>e</w:t>
      </w:r>
      <w:r w:rsidR="005B01B8">
        <w:t xml:space="preserve"> its costs of long- and short-term debt.  </w:t>
      </w:r>
      <w:r w:rsidR="00EE3597">
        <w:t xml:space="preserve">Neither Staff nor </w:t>
      </w:r>
      <w:r w:rsidR="00EE3597" w:rsidRPr="003E048D">
        <w:t>PSE chose to</w:t>
      </w:r>
      <w:r w:rsidR="00EE3597">
        <w:t xml:space="preserve"> develop a </w:t>
      </w:r>
      <w:r w:rsidR="00EE3597" w:rsidRPr="003E048D">
        <w:t>cost of capital strategy in</w:t>
      </w:r>
      <w:r w:rsidR="00EE3597">
        <w:t xml:space="preserve"> response, instead claiming that cost of capital is “beyond the scope” of these proceedings.  </w:t>
      </w:r>
      <w:r w:rsidR="00201005">
        <w:t xml:space="preserve">Mr. Gorman’s testimony </w:t>
      </w:r>
      <w:r w:rsidR="006A546D">
        <w:t xml:space="preserve">regarding declining debt costs </w:t>
      </w:r>
      <w:r w:rsidR="00201005">
        <w:t xml:space="preserve">remains largely unrefuted and his cost-of-capital study is completely unrefuted. </w:t>
      </w:r>
    </w:p>
    <w:p w:rsidR="00EA77D4" w:rsidRPr="00C42CD3" w:rsidRDefault="00EA77D4" w:rsidP="00BB75BC">
      <w:pPr>
        <w:pStyle w:val="MJDWUTCBrief"/>
        <w:numPr>
          <w:ilvl w:val="0"/>
          <w:numId w:val="0"/>
        </w:numPr>
        <w:rPr>
          <w:b/>
        </w:rPr>
      </w:pPr>
      <w:r w:rsidRPr="00C42CD3">
        <w:rPr>
          <w:b/>
        </w:rPr>
        <w:t>iii</w:t>
      </w:r>
      <w:r w:rsidR="00FA33AD" w:rsidRPr="00C42CD3">
        <w:rPr>
          <w:b/>
        </w:rPr>
        <w:t>.</w:t>
      </w:r>
      <w:r w:rsidR="00FA33AD" w:rsidRPr="00C42CD3">
        <w:rPr>
          <w:b/>
        </w:rPr>
        <w:tab/>
        <w:t>The Company</w:t>
      </w:r>
      <w:r w:rsidRPr="00C42CD3">
        <w:rPr>
          <w:b/>
        </w:rPr>
        <w:t xml:space="preserve">’s ROE Should </w:t>
      </w:r>
      <w:r w:rsidR="003F79E3" w:rsidRPr="00C42CD3">
        <w:rPr>
          <w:b/>
        </w:rPr>
        <w:t xml:space="preserve">Be Lowered </w:t>
      </w:r>
      <w:r w:rsidR="00B63630" w:rsidRPr="00C42CD3">
        <w:rPr>
          <w:b/>
        </w:rPr>
        <w:t>Reflecting</w:t>
      </w:r>
      <w:r w:rsidR="003F79E3" w:rsidRPr="00C42CD3">
        <w:rPr>
          <w:b/>
        </w:rPr>
        <w:t xml:space="preserve"> Current Market Costs</w:t>
      </w:r>
      <w:r w:rsidRPr="00C42CD3">
        <w:rPr>
          <w:b/>
        </w:rPr>
        <w:tab/>
      </w:r>
    </w:p>
    <w:p w:rsidR="00596CD5" w:rsidRDefault="00CA7525" w:rsidP="002838FA">
      <w:pPr>
        <w:pStyle w:val="MJDWUTCBrief"/>
      </w:pPr>
      <w:r>
        <w:t xml:space="preserve">     </w:t>
      </w:r>
      <w:r w:rsidR="003A5F39">
        <w:tab/>
      </w:r>
      <w:r w:rsidR="00EA77D4">
        <w:t>A</w:t>
      </w:r>
      <w:r w:rsidR="00B63630">
        <w:t>s Mr. Gorman demonstrates, market costs of capital have declined since the 2011 GRC, when the Commission approved a 9.80% ROE for the Company.</w:t>
      </w:r>
      <w:r w:rsidR="00B63630">
        <w:rPr>
          <w:rStyle w:val="FootnoteReference"/>
        </w:rPr>
        <w:footnoteReference w:id="138"/>
      </w:r>
      <w:r w:rsidR="00B63630" w:rsidRPr="00D471FB">
        <w:rPr>
          <w:vertAlign w:val="superscript"/>
        </w:rPr>
        <w:t>/</w:t>
      </w:r>
      <w:r w:rsidR="0001240E">
        <w:t xml:space="preserve">  For instance,</w:t>
      </w:r>
      <w:r w:rsidR="00B63630">
        <w:t xml:space="preserve"> current “A” rated utility bond yield</w:t>
      </w:r>
      <w:r w:rsidR="0001240E">
        <w:t>s are</w:t>
      </w:r>
      <w:r w:rsidR="00B63630">
        <w:t xml:space="preserve"> about 25 </w:t>
      </w:r>
      <w:r w:rsidR="00251C47">
        <w:t>basis</w:t>
      </w:r>
      <w:r w:rsidR="00B63630">
        <w:t xml:space="preserve"> points </w:t>
      </w:r>
      <w:r w:rsidR="0001240E">
        <w:t xml:space="preserve">lower than during the 2011 GRC, while “Baa” rated bond yields have decreased over 40 </w:t>
      </w:r>
      <w:r w:rsidR="00251C47">
        <w:t>basis</w:t>
      </w:r>
      <w:r w:rsidR="0001240E">
        <w:t xml:space="preserve"> points.</w:t>
      </w:r>
      <w:r w:rsidR="0001240E">
        <w:rPr>
          <w:rStyle w:val="FootnoteReference"/>
        </w:rPr>
        <w:footnoteReference w:id="139"/>
      </w:r>
      <w:r w:rsidR="0001240E" w:rsidRPr="00D471FB">
        <w:rPr>
          <w:vertAlign w:val="superscript"/>
        </w:rPr>
        <w:t>/</w:t>
      </w:r>
      <w:r w:rsidR="0001240E">
        <w:t xml:space="preserve">  </w:t>
      </w:r>
    </w:p>
    <w:p w:rsidR="00C10FBA" w:rsidRDefault="00CA7525" w:rsidP="002838FA">
      <w:pPr>
        <w:pStyle w:val="MJDWUTCBrief"/>
      </w:pPr>
      <w:r>
        <w:t xml:space="preserve">     </w:t>
      </w:r>
      <w:r w:rsidR="003A5F39">
        <w:tab/>
      </w:r>
      <w:r w:rsidR="00596CD5">
        <w:t xml:space="preserve">Such significant declines indicate that PSE’s current capital cost is much lower now.  </w:t>
      </w:r>
      <w:r w:rsidR="00F53B36">
        <w:t>To this end</w:t>
      </w:r>
      <w:r w:rsidR="00596CD5">
        <w:t xml:space="preserve">, Mr. </w:t>
      </w:r>
      <w:r w:rsidR="00F53B36">
        <w:t>Gorman</w:t>
      </w:r>
      <w:r w:rsidR="00201005">
        <w:t xml:space="preserve"> estimates a present market return on</w:t>
      </w:r>
      <w:r w:rsidR="00F53B36">
        <w:t xml:space="preserve"> equity of 9.30%</w:t>
      </w:r>
      <w:r w:rsidR="00F53B36">
        <w:rPr>
          <w:rStyle w:val="FootnoteReference"/>
        </w:rPr>
        <w:footnoteReference w:id="140"/>
      </w:r>
      <w:r w:rsidR="00F53B36" w:rsidRPr="00D471FB">
        <w:rPr>
          <w:vertAlign w:val="superscript"/>
        </w:rPr>
        <w:t>/</w:t>
      </w:r>
      <w:r w:rsidR="008B64B2">
        <w:t xml:space="preserve">  This estimate is based upon</w:t>
      </w:r>
      <w:r w:rsidR="00F53B36">
        <w:t xml:space="preserve"> </w:t>
      </w:r>
      <w:r w:rsidR="006E35EC">
        <w:t>comprehensive and varied analyse</w:t>
      </w:r>
      <w:r w:rsidR="00F53B36">
        <w:t>s, using a proxy group of electric utiliti</w:t>
      </w:r>
      <w:r w:rsidR="00267BF5">
        <w:t>es</w:t>
      </w:r>
      <w:r w:rsidR="00170C2A">
        <w:t xml:space="preserve"> </w:t>
      </w:r>
      <w:r w:rsidR="00F53B36">
        <w:t xml:space="preserve">comparable in risk </w:t>
      </w:r>
      <w:r w:rsidR="00170C2A">
        <w:t xml:space="preserve">with PSE </w:t>
      </w:r>
      <w:r w:rsidR="006E35EC">
        <w:t xml:space="preserve">in order </w:t>
      </w:r>
      <w:r w:rsidR="00170C2A">
        <w:t>to derive discounted cash flow, capital asset pricing model, and risk premium market return studies, all based on up-to-date market conditions.</w:t>
      </w:r>
      <w:r w:rsidR="00170C2A">
        <w:rPr>
          <w:rStyle w:val="FootnoteReference"/>
        </w:rPr>
        <w:footnoteReference w:id="141"/>
      </w:r>
      <w:r w:rsidR="00170C2A" w:rsidRPr="00D471FB">
        <w:rPr>
          <w:vertAlign w:val="superscript"/>
        </w:rPr>
        <w:t>/</w:t>
      </w:r>
      <w:r w:rsidR="00267BF5">
        <w:t xml:space="preserve">  </w:t>
      </w:r>
      <w:r w:rsidR="003670B4">
        <w:t>I</w:t>
      </w:r>
      <w:r w:rsidR="006E35EC">
        <w:t xml:space="preserve">f the ERF is to be approved at all, </w:t>
      </w:r>
      <w:r w:rsidR="00267BF5">
        <w:t xml:space="preserve">ICNU recommends the Commission set PSE’s ROE at 9.30% to reflect present </w:t>
      </w:r>
      <w:r w:rsidR="003B1F02">
        <w:t xml:space="preserve">market </w:t>
      </w:r>
      <w:r w:rsidR="00267BF5">
        <w:t>conditions.</w:t>
      </w:r>
    </w:p>
    <w:p w:rsidR="00CC0E18" w:rsidRPr="00C42CD3" w:rsidRDefault="00CC0E18" w:rsidP="002E6094">
      <w:pPr>
        <w:pStyle w:val="MJDWUTCBrief"/>
        <w:keepNext/>
        <w:numPr>
          <w:ilvl w:val="0"/>
          <w:numId w:val="0"/>
        </w:numPr>
        <w:rPr>
          <w:b/>
        </w:rPr>
      </w:pPr>
      <w:r w:rsidRPr="00C42CD3">
        <w:rPr>
          <w:b/>
        </w:rPr>
        <w:lastRenderedPageBreak/>
        <w:t>iv.</w:t>
      </w:r>
      <w:r w:rsidRPr="00C42CD3">
        <w:rPr>
          <w:b/>
        </w:rPr>
        <w:tab/>
      </w:r>
      <w:r w:rsidR="00FD416B">
        <w:rPr>
          <w:b/>
        </w:rPr>
        <w:t xml:space="preserve">Overall </w:t>
      </w:r>
      <w:r w:rsidRPr="00C42CD3">
        <w:rPr>
          <w:b/>
        </w:rPr>
        <w:t>ROR Adjustment</w:t>
      </w:r>
      <w:r w:rsidRPr="00C42CD3">
        <w:rPr>
          <w:b/>
        </w:rPr>
        <w:tab/>
      </w:r>
    </w:p>
    <w:p w:rsidR="00CC0E18" w:rsidRDefault="00CC0E18" w:rsidP="00FD416B">
      <w:pPr>
        <w:pStyle w:val="MJDWUTCBrief"/>
      </w:pPr>
      <w:r>
        <w:t xml:space="preserve">     </w:t>
      </w:r>
      <w:r w:rsidR="003A5F39">
        <w:tab/>
      </w:r>
      <w:r>
        <w:t>Before th</w:t>
      </w:r>
      <w:r w:rsidR="00FD416B">
        <w:t>e April 2013 CBR was filed, Mr. Gorman</w:t>
      </w:r>
      <w:r>
        <w:t xml:space="preserve"> proposed that PSE’s capital structure and ROE should be adjusted to reflect present financial and market conditions, resulting in a 46.7% common equity ratio and a 9.30% ROE.  In turn, these adjustments would reduce the Company’s approved ROR from 7.80% to 7.60%, thereby decreasing PSE’s alleged electric revenue requirement by approximately $11.0 million.</w:t>
      </w:r>
      <w:r>
        <w:rPr>
          <w:rStyle w:val="FootnoteReference"/>
        </w:rPr>
        <w:footnoteReference w:id="142"/>
      </w:r>
      <w:r w:rsidRPr="00D471FB">
        <w:rPr>
          <w:vertAlign w:val="superscript"/>
        </w:rPr>
        <w:t>/</w:t>
      </w:r>
      <w:r w:rsidR="00FD416B">
        <w:t xml:space="preserve">  A</w:t>
      </w:r>
      <w:r>
        <w:t xml:space="preserve">fter reviewing the Company’s latest CBR, Mr. Gorman recommends further adjustment to PSE’s common equity ratio to a level of 46.14%, resulting in a slightly lower ROR of 7.59%.  </w:t>
      </w:r>
      <w:r w:rsidR="003670B4">
        <w:t>This equity ratio should be adopted if the ERF is accepted</w:t>
      </w:r>
      <w:r>
        <w:t>.</w:t>
      </w:r>
    </w:p>
    <w:p w:rsidR="003432C5" w:rsidRPr="00C42CD3" w:rsidRDefault="003432C5" w:rsidP="00BB75BC">
      <w:pPr>
        <w:pStyle w:val="MJDWUTCBrief"/>
        <w:numPr>
          <w:ilvl w:val="0"/>
          <w:numId w:val="0"/>
        </w:numPr>
        <w:rPr>
          <w:b/>
        </w:rPr>
      </w:pPr>
      <w:r w:rsidRPr="00C42CD3">
        <w:rPr>
          <w:b/>
        </w:rPr>
        <w:t>d.</w:t>
      </w:r>
      <w:r w:rsidRPr="00C42CD3">
        <w:rPr>
          <w:b/>
        </w:rPr>
        <w:tab/>
      </w:r>
      <w:r w:rsidR="000D722A" w:rsidRPr="00C42CD3">
        <w:rPr>
          <w:b/>
        </w:rPr>
        <w:t xml:space="preserve">Additional </w:t>
      </w:r>
      <w:r w:rsidRPr="00C42CD3">
        <w:rPr>
          <w:b/>
        </w:rPr>
        <w:t>Revenue Deficiency Corrections</w:t>
      </w:r>
    </w:p>
    <w:p w:rsidR="003432C5" w:rsidRDefault="00CA7525" w:rsidP="002838FA">
      <w:pPr>
        <w:pStyle w:val="MJDWUTCBrief"/>
      </w:pPr>
      <w:r>
        <w:t xml:space="preserve">     </w:t>
      </w:r>
      <w:r w:rsidR="003A5F39">
        <w:tab/>
      </w:r>
      <w:r w:rsidR="006E35EC">
        <w:t>S</w:t>
      </w:r>
      <w:r w:rsidR="000D722A">
        <w:t>everal other revenue deficie</w:t>
      </w:r>
      <w:r w:rsidR="00EB4D95">
        <w:t xml:space="preserve">ncy calculation adjustments are warranted if the ERF is approved, </w:t>
      </w:r>
      <w:r w:rsidR="000D722A">
        <w:t>independent of the Commission’s u</w:t>
      </w:r>
      <w:r w:rsidR="006E35EC">
        <w:t xml:space="preserve">ltimate determination regarding </w:t>
      </w:r>
      <w:r w:rsidR="008938D8">
        <w:t xml:space="preserve">the </w:t>
      </w:r>
      <w:r w:rsidR="006E35EC">
        <w:t>EOP rate base</w:t>
      </w:r>
      <w:r w:rsidR="008938D8">
        <w:t xml:space="preserve"> and cost of capital</w:t>
      </w:r>
      <w:r w:rsidR="000D722A">
        <w:t xml:space="preserve">.  </w:t>
      </w:r>
      <w:r w:rsidR="008938D8">
        <w:t>These include: 1</w:t>
      </w:r>
      <w:r w:rsidR="000D722A">
        <w:t xml:space="preserve">) a $2.60 </w:t>
      </w:r>
      <w:r w:rsidR="00080823">
        <w:t xml:space="preserve">million </w:t>
      </w:r>
      <w:r w:rsidR="008938D8">
        <w:t>pension expense adjustment; 2</w:t>
      </w:r>
      <w:r w:rsidR="000D722A">
        <w:t xml:space="preserve">) a </w:t>
      </w:r>
      <w:r w:rsidR="00080823">
        <w:t xml:space="preserve">$6.5 </w:t>
      </w:r>
      <w:r w:rsidR="000D722A">
        <w:t>incentiv</w:t>
      </w:r>
      <w:r w:rsidR="008938D8">
        <w:t>e compensation adjustment; and 3</w:t>
      </w:r>
      <w:r w:rsidR="000D722A">
        <w:t xml:space="preserve">) a $3.45 </w:t>
      </w:r>
      <w:r w:rsidR="00080823">
        <w:t xml:space="preserve">million </w:t>
      </w:r>
      <w:r w:rsidR="000D722A">
        <w:t>effective tax rate adjustment.</w:t>
      </w:r>
      <w:r w:rsidR="000D722A">
        <w:rPr>
          <w:rStyle w:val="FootnoteReference"/>
        </w:rPr>
        <w:footnoteReference w:id="143"/>
      </w:r>
      <w:r w:rsidR="000D722A" w:rsidRPr="00D471FB">
        <w:rPr>
          <w:vertAlign w:val="superscript"/>
        </w:rPr>
        <w:t>/</w:t>
      </w:r>
      <w:r w:rsidR="00201005">
        <w:rPr>
          <w:vertAlign w:val="superscript"/>
        </w:rPr>
        <w:t xml:space="preserve">  </w:t>
      </w:r>
      <w:r w:rsidR="00201005">
        <w:t xml:space="preserve"> </w:t>
      </w:r>
      <w:r w:rsidR="000D722A">
        <w:t xml:space="preserve"> </w:t>
      </w:r>
    </w:p>
    <w:p w:rsidR="00A75E2C" w:rsidRPr="00C42CD3" w:rsidRDefault="00A75E2C" w:rsidP="00BB75BC">
      <w:pPr>
        <w:pStyle w:val="MJDWUTCBrief"/>
        <w:numPr>
          <w:ilvl w:val="0"/>
          <w:numId w:val="0"/>
        </w:numPr>
        <w:rPr>
          <w:b/>
        </w:rPr>
      </w:pPr>
      <w:r w:rsidRPr="00C42CD3">
        <w:rPr>
          <w:b/>
        </w:rPr>
        <w:t>i.</w:t>
      </w:r>
      <w:r w:rsidRPr="00C42CD3">
        <w:rPr>
          <w:b/>
        </w:rPr>
        <w:tab/>
        <w:t>Pension Expense Adjustment</w:t>
      </w:r>
      <w:r w:rsidRPr="00C42CD3">
        <w:rPr>
          <w:b/>
        </w:rPr>
        <w:tab/>
      </w:r>
    </w:p>
    <w:p w:rsidR="00EB70E7" w:rsidRDefault="00CA7525" w:rsidP="002838FA">
      <w:pPr>
        <w:pStyle w:val="MJDWUTCBrief"/>
      </w:pPr>
      <w:r>
        <w:t xml:space="preserve">     </w:t>
      </w:r>
      <w:r w:rsidR="003A5F39">
        <w:tab/>
      </w:r>
      <w:r w:rsidR="003670B4">
        <w:t>T</w:t>
      </w:r>
      <w:r w:rsidR="00564956">
        <w:t xml:space="preserve">he Company’s pension expense determination is unreasonably overstated and is not indicative of current contribution levels.  PSE bases its calculations on an average of the actual cash contributions for 2009 through 2012, </w:t>
      </w:r>
      <w:r w:rsidR="00B228E9">
        <w:t>which comes out to</w:t>
      </w:r>
      <w:r w:rsidR="00564956">
        <w:t xml:space="preserve"> </w:t>
      </w:r>
      <w:r w:rsidR="00B228E9">
        <w:t>$17.8 million</w:t>
      </w:r>
      <w:r w:rsidR="00564956">
        <w:t>.</w:t>
      </w:r>
      <w:r w:rsidR="00FF5FE8">
        <w:rPr>
          <w:rStyle w:val="FootnoteReference"/>
        </w:rPr>
        <w:footnoteReference w:id="144"/>
      </w:r>
      <w:r w:rsidR="00FF5FE8" w:rsidRPr="00121EC4">
        <w:rPr>
          <w:vertAlign w:val="superscript"/>
        </w:rPr>
        <w:t>/</w:t>
      </w:r>
      <w:r w:rsidR="00564956">
        <w:t xml:space="preserve">  But this four year average is </w:t>
      </w:r>
      <w:r w:rsidR="006E2898">
        <w:t xml:space="preserve">unreasonably high, owing to significantly large contribution levels in 2009 and 2010; in fact, PSE’s </w:t>
      </w:r>
      <w:r w:rsidR="00B228E9">
        <w:t xml:space="preserve">average </w:t>
      </w:r>
      <w:r w:rsidR="006E2898">
        <w:t>expense calculation is over</w:t>
      </w:r>
      <w:r w:rsidR="00564956">
        <w:t xml:space="preserve"> </w:t>
      </w:r>
      <w:r w:rsidR="006E2898">
        <w:lastRenderedPageBreak/>
        <w:t>50% higher than the present</w:t>
      </w:r>
      <w:r w:rsidR="00564956">
        <w:t xml:space="preserve"> </w:t>
      </w:r>
      <w:r w:rsidR="00B228E9">
        <w:t xml:space="preserve">contribution </w:t>
      </w:r>
      <w:r w:rsidR="00564956">
        <w:t>level</w:t>
      </w:r>
      <w:r w:rsidR="006E2898">
        <w:t>.</w:t>
      </w:r>
      <w:r w:rsidR="000A0C38">
        <w:rPr>
          <w:rStyle w:val="FootnoteReference"/>
        </w:rPr>
        <w:footnoteReference w:id="145"/>
      </w:r>
      <w:r w:rsidR="000A0C38" w:rsidRPr="00D471FB">
        <w:rPr>
          <w:vertAlign w:val="superscript"/>
        </w:rPr>
        <w:t>/</w:t>
      </w:r>
      <w:r w:rsidR="006E35EC">
        <w:t xml:space="preserve">  T</w:t>
      </w:r>
      <w:r w:rsidR="006E2898">
        <w:t xml:space="preserve">he Company offers no explanation </w:t>
      </w:r>
      <w:r w:rsidR="00251C47">
        <w:t>i</w:t>
      </w:r>
      <w:r w:rsidR="006E35EC">
        <w:t xml:space="preserve">n direct testimony </w:t>
      </w:r>
      <w:r w:rsidR="006E2898">
        <w:t>to carry its burden of proof and persuasion in reachin</w:t>
      </w:r>
      <w:r w:rsidR="00DC5744">
        <w:t>g back for a four-</w:t>
      </w:r>
      <w:r w:rsidR="000D58B6">
        <w:t xml:space="preserve">year average.  </w:t>
      </w:r>
      <w:r w:rsidR="00B228E9">
        <w:t xml:space="preserve">In the absence of such justification, </w:t>
      </w:r>
      <w:r w:rsidR="006E2898">
        <w:t xml:space="preserve">ICNU recommends that current 2012 contributions be used, </w:t>
      </w:r>
      <w:r w:rsidR="00B228E9">
        <w:t xml:space="preserve">as </w:t>
      </w:r>
      <w:r w:rsidR="006E35EC">
        <w:t>that</w:t>
      </w:r>
      <w:r w:rsidR="003670B4">
        <w:t xml:space="preserve"> is</w:t>
      </w:r>
      <w:r w:rsidR="006E35EC">
        <w:t xml:space="preserve"> </w:t>
      </w:r>
      <w:r w:rsidR="00B228E9">
        <w:t xml:space="preserve">most likely to match rate year costs, </w:t>
      </w:r>
      <w:r w:rsidR="006E2898">
        <w:t>thereby reducing the electric and natural gas revenue requirement by $2.6 and $1.3 million, respectively.</w:t>
      </w:r>
      <w:r w:rsidR="000A0C38">
        <w:rPr>
          <w:rStyle w:val="FootnoteReference"/>
        </w:rPr>
        <w:footnoteReference w:id="146"/>
      </w:r>
      <w:r w:rsidR="000A0C38" w:rsidRPr="000D58B6">
        <w:rPr>
          <w:vertAlign w:val="superscript"/>
        </w:rPr>
        <w:t>/</w:t>
      </w:r>
      <w:r w:rsidR="00564956">
        <w:t xml:space="preserve"> </w:t>
      </w:r>
      <w:r w:rsidR="00201005">
        <w:t xml:space="preserve"> PSE’s treatment of pension expenses shows the inconsistency in its approach to the test year and known and me</w:t>
      </w:r>
      <w:r w:rsidR="003670B4">
        <w:t>asurable</w:t>
      </w:r>
      <w:r w:rsidR="00201005">
        <w:t xml:space="preserve"> changes. </w:t>
      </w:r>
    </w:p>
    <w:p w:rsidR="00A75E2C" w:rsidRPr="00C42CD3" w:rsidRDefault="00A75E2C" w:rsidP="00BB75BC">
      <w:pPr>
        <w:pStyle w:val="MJDWUTCBrief"/>
        <w:numPr>
          <w:ilvl w:val="0"/>
          <w:numId w:val="0"/>
        </w:numPr>
        <w:rPr>
          <w:b/>
        </w:rPr>
      </w:pPr>
      <w:r w:rsidRPr="00C42CD3">
        <w:rPr>
          <w:b/>
        </w:rPr>
        <w:t>ii.</w:t>
      </w:r>
      <w:r w:rsidRPr="00C42CD3">
        <w:rPr>
          <w:b/>
        </w:rPr>
        <w:tab/>
        <w:t>Incentive Compensation Adjustment</w:t>
      </w:r>
      <w:r w:rsidRPr="00C42CD3">
        <w:rPr>
          <w:b/>
        </w:rPr>
        <w:tab/>
      </w:r>
    </w:p>
    <w:p w:rsidR="00E106E2" w:rsidRDefault="00CA7525" w:rsidP="002838FA">
      <w:pPr>
        <w:pStyle w:val="MJDWUTCBrief"/>
      </w:pPr>
      <w:r>
        <w:t xml:space="preserve">     </w:t>
      </w:r>
      <w:r w:rsidR="003A5F39">
        <w:tab/>
      </w:r>
      <w:r w:rsidR="00DC5744">
        <w:t xml:space="preserve">ICNU also recommends that incentive compensation be fully removed from </w:t>
      </w:r>
      <w:r w:rsidR="003670B4">
        <w:t xml:space="preserve">the </w:t>
      </w:r>
      <w:r w:rsidR="00DC5744">
        <w:t>revenue requirement.  PSE has included a four-year average expense (from 2009-2012) in its deficiency calculation for incentive compensation payouts.</w:t>
      </w:r>
      <w:r w:rsidR="00F61DA1">
        <w:rPr>
          <w:rStyle w:val="FootnoteReference"/>
        </w:rPr>
        <w:footnoteReference w:id="147"/>
      </w:r>
      <w:r w:rsidR="00F61DA1" w:rsidRPr="00121EC4">
        <w:rPr>
          <w:vertAlign w:val="superscript"/>
        </w:rPr>
        <w:t>/</w:t>
      </w:r>
      <w:r w:rsidR="00DC5744">
        <w:t xml:space="preserve">  As</w:t>
      </w:r>
      <w:r w:rsidR="00E106E2">
        <w:t xml:space="preserve"> an</w:t>
      </w:r>
      <w:r w:rsidR="00DC5744">
        <w:t xml:space="preserve"> initial matter, including such expense </w:t>
      </w:r>
      <w:r w:rsidR="00EB4D95">
        <w:t>with</w:t>
      </w:r>
      <w:r w:rsidR="00DC5744">
        <w:t>in the ERF is improper because there is good cause to believe</w:t>
      </w:r>
      <w:r w:rsidR="00EB4D95">
        <w:t xml:space="preserve"> that</w:t>
      </w:r>
      <w:r w:rsidR="00DC5744">
        <w:t xml:space="preserve"> </w:t>
      </w:r>
      <w:r w:rsidR="00E106E2">
        <w:t>it will not b</w:t>
      </w:r>
      <w:r w:rsidR="00B53A38">
        <w:t>e a known and</w:t>
      </w:r>
      <w:r w:rsidR="00EB4D95">
        <w:t xml:space="preserve"> continuing expense; that is, </w:t>
      </w:r>
      <w:r w:rsidR="00E106E2">
        <w:t xml:space="preserve">PSE fails to affirmatively establish such certainty </w:t>
      </w:r>
      <w:r w:rsidR="00EB4D95">
        <w:t xml:space="preserve">in direct testimony </w:t>
      </w:r>
      <w:r w:rsidR="00B53A38">
        <w:t>now, as well as</w:t>
      </w:r>
      <w:r w:rsidR="00E106E2">
        <w:t xml:space="preserve"> in the 2011 GRC</w:t>
      </w:r>
      <w:r w:rsidR="00B53A38">
        <w:t>.</w:t>
      </w:r>
      <w:r w:rsidR="00E106E2">
        <w:t xml:space="preserve"> </w:t>
      </w:r>
    </w:p>
    <w:p w:rsidR="00BA68C6" w:rsidRDefault="00CA7525" w:rsidP="002838FA">
      <w:pPr>
        <w:pStyle w:val="MJDWUTCBrief"/>
      </w:pPr>
      <w:r>
        <w:t xml:space="preserve">     </w:t>
      </w:r>
      <w:r w:rsidR="003A5F39">
        <w:tab/>
      </w:r>
      <w:r w:rsidR="00E106E2">
        <w:t>Moreover, this uncertainty is compounded by the Company’s own stated purpose for seeking a rate increase t</w:t>
      </w:r>
      <w:r w:rsidR="006B49D9">
        <w:t xml:space="preserve">hrough the ERF—to address </w:t>
      </w:r>
      <w:r w:rsidR="00EB4D95">
        <w:t xml:space="preserve">alleged </w:t>
      </w:r>
      <w:r w:rsidR="006B49D9">
        <w:t>under</w:t>
      </w:r>
      <w:r w:rsidR="00E106E2">
        <w:t xml:space="preserve">earning </w:t>
      </w:r>
      <w:r w:rsidR="006B49D9">
        <w:t>manifest in “regulatory lag,” particularly “when PSE’s investment in replacement infrastructure is growing.”</w:t>
      </w:r>
      <w:r w:rsidR="00F61DA1">
        <w:rPr>
          <w:rStyle w:val="FootnoteReference"/>
        </w:rPr>
        <w:footnoteReference w:id="148"/>
      </w:r>
      <w:r w:rsidR="00F61DA1" w:rsidRPr="00121EC4">
        <w:rPr>
          <w:vertAlign w:val="superscript"/>
        </w:rPr>
        <w:t>/</w:t>
      </w:r>
      <w:r w:rsidR="006B49D9">
        <w:t xml:space="preserve">  </w:t>
      </w:r>
      <w:r w:rsidR="00B53A38">
        <w:t>I</w:t>
      </w:r>
      <w:r w:rsidR="00F17BD9">
        <w:t>ncentive compensation payouts in 2012 reached the highest level experienced over a period dating back to 2008.</w:t>
      </w:r>
      <w:r w:rsidR="00F61DA1">
        <w:rPr>
          <w:rStyle w:val="FootnoteReference"/>
        </w:rPr>
        <w:footnoteReference w:id="149"/>
      </w:r>
      <w:r w:rsidR="00F61DA1" w:rsidRPr="00D471FB">
        <w:rPr>
          <w:vertAlign w:val="superscript"/>
        </w:rPr>
        <w:t>/</w:t>
      </w:r>
      <w:r w:rsidR="00F17BD9">
        <w:t xml:space="preserve">  Ramping up ratepayer-funded employee incentives in this manner, all while complaining of “stale” rates,</w:t>
      </w:r>
      <w:r w:rsidR="00F61DA1">
        <w:rPr>
          <w:rStyle w:val="FootnoteReference"/>
        </w:rPr>
        <w:footnoteReference w:id="150"/>
      </w:r>
      <w:r w:rsidR="00F61DA1" w:rsidRPr="00121EC4">
        <w:rPr>
          <w:vertAlign w:val="superscript"/>
        </w:rPr>
        <w:t>/</w:t>
      </w:r>
      <w:r w:rsidR="00F17BD9">
        <w:t xml:space="preserve"> is </w:t>
      </w:r>
      <w:r w:rsidR="00F17BD9">
        <w:lastRenderedPageBreak/>
        <w:t>unreasonable and logically inconsistent.</w:t>
      </w:r>
      <w:r w:rsidR="00B53A38">
        <w:t xml:space="preserve">  Again, this has nothing to do with regulatory </w:t>
      </w:r>
      <w:r w:rsidR="00CC0E18">
        <w:t>lag</w:t>
      </w:r>
      <w:r w:rsidR="00F17BD9">
        <w:t xml:space="preserve"> </w:t>
      </w:r>
      <w:r w:rsidR="00B53A38">
        <w:t xml:space="preserve">and further highlights PSE’s pick-and-choose methodology of updating select expenses. </w:t>
      </w:r>
      <w:r w:rsidR="00F17BD9">
        <w:t xml:space="preserve"> </w:t>
      </w:r>
    </w:p>
    <w:p w:rsidR="00057D27" w:rsidRPr="00EB70E7" w:rsidRDefault="00CA7525" w:rsidP="002838FA">
      <w:pPr>
        <w:pStyle w:val="MJDWUTCBrief"/>
      </w:pPr>
      <w:r>
        <w:t xml:space="preserve">    </w:t>
      </w:r>
      <w:r w:rsidR="003A5F39">
        <w:tab/>
      </w:r>
      <w:r w:rsidR="00BA68C6">
        <w:t xml:space="preserve">In broader terms, ICNU urges the Commission to reevaluate PSE’s scheme of basing incentive compensation on financial goals.  </w:t>
      </w:r>
      <w:r w:rsidR="000C554B">
        <w:t>As Mr. Gorman testifies, s</w:t>
      </w:r>
      <w:r w:rsidR="008852C8">
        <w:t xml:space="preserve">uch an arrangement </w:t>
      </w:r>
      <w:r w:rsidR="006259A3">
        <w:t xml:space="preserve">inherently creates scenarios in which management will be led to boost company </w:t>
      </w:r>
      <w:r w:rsidR="000C554B">
        <w:t xml:space="preserve">profits at the expense of </w:t>
      </w:r>
      <w:r w:rsidR="00D818FB">
        <w:t>customer</w:t>
      </w:r>
      <w:r w:rsidR="000C554B">
        <w:t xml:space="preserve"> service</w:t>
      </w:r>
      <w:r w:rsidR="006259A3">
        <w:t xml:space="preserve">, motivated by the prospect of personal gain </w:t>
      </w:r>
      <w:r w:rsidR="00FD5F7B">
        <w:t xml:space="preserve">through these incentives </w:t>
      </w:r>
      <w:r w:rsidR="006259A3">
        <w:t>in conjunction with a fiduciary duty to</w:t>
      </w:r>
      <w:r w:rsidR="005D47D6">
        <w:t>ward</w:t>
      </w:r>
      <w:r w:rsidR="006259A3">
        <w:t xml:space="preserve"> shareholders</w:t>
      </w:r>
      <w:r w:rsidR="00FD5F7B">
        <w:t xml:space="preserve"> to maximize returns</w:t>
      </w:r>
      <w:r w:rsidR="006259A3">
        <w:t>.</w:t>
      </w:r>
      <w:r w:rsidR="00F61DA1">
        <w:rPr>
          <w:rStyle w:val="FootnoteReference"/>
        </w:rPr>
        <w:footnoteReference w:id="151"/>
      </w:r>
      <w:r w:rsidR="00F61DA1" w:rsidRPr="00D471FB">
        <w:rPr>
          <w:vertAlign w:val="superscript"/>
        </w:rPr>
        <w:t>/</w:t>
      </w:r>
      <w:r w:rsidR="006259A3">
        <w:t xml:space="preserve">  </w:t>
      </w:r>
      <w:r w:rsidR="00F17BD9">
        <w:t>ICNU requests that the Commission disallow incentive compensation payout expense from the Company’s revenue r</w:t>
      </w:r>
      <w:r w:rsidR="000C554B">
        <w:t>equirement, resulting in a $6.5</w:t>
      </w:r>
      <w:r w:rsidR="00F17BD9">
        <w:t xml:space="preserve"> million reduction</w:t>
      </w:r>
      <w:r w:rsidR="000C554B">
        <w:t xml:space="preserve"> for electric and $3.3 million for gas.</w:t>
      </w:r>
      <w:r w:rsidR="009D4A0B">
        <w:rPr>
          <w:rStyle w:val="FootnoteReference"/>
        </w:rPr>
        <w:footnoteReference w:id="152"/>
      </w:r>
      <w:r w:rsidR="009D4A0B" w:rsidRPr="00D471FB">
        <w:rPr>
          <w:vertAlign w:val="superscript"/>
        </w:rPr>
        <w:t>/</w:t>
      </w:r>
      <w:r w:rsidR="000C554B">
        <w:t xml:space="preserve">  Alternatively, a </w:t>
      </w:r>
      <w:r w:rsidR="00B53A38">
        <w:t xml:space="preserve">more conservative </w:t>
      </w:r>
      <w:r w:rsidR="000C554B">
        <w:t>50% reduction would reduce PSE’s alleged revenue deficiency by $3.24 million</w:t>
      </w:r>
      <w:r w:rsidR="00F17BD9">
        <w:t>.</w:t>
      </w:r>
      <w:r w:rsidR="009D4A0B">
        <w:rPr>
          <w:rStyle w:val="FootnoteReference"/>
        </w:rPr>
        <w:footnoteReference w:id="153"/>
      </w:r>
      <w:r w:rsidR="009D4A0B" w:rsidRPr="00D471FB">
        <w:rPr>
          <w:vertAlign w:val="superscript"/>
        </w:rPr>
        <w:t>/</w:t>
      </w:r>
    </w:p>
    <w:p w:rsidR="00A75E2C" w:rsidRPr="00C42CD3" w:rsidRDefault="00CC0E18" w:rsidP="00BB75BC">
      <w:pPr>
        <w:pStyle w:val="MJDWUTCBrief"/>
        <w:numPr>
          <w:ilvl w:val="0"/>
          <w:numId w:val="0"/>
        </w:numPr>
        <w:rPr>
          <w:b/>
        </w:rPr>
      </w:pPr>
      <w:r w:rsidRPr="00C42CD3">
        <w:rPr>
          <w:b/>
        </w:rPr>
        <w:t>iii</w:t>
      </w:r>
      <w:r w:rsidR="00A75E2C" w:rsidRPr="00C42CD3">
        <w:rPr>
          <w:b/>
        </w:rPr>
        <w:t>.</w:t>
      </w:r>
      <w:r w:rsidR="00A75E2C" w:rsidRPr="00C42CD3">
        <w:rPr>
          <w:b/>
        </w:rPr>
        <w:tab/>
        <w:t>Effective Tax Rate Adjustment</w:t>
      </w:r>
      <w:r w:rsidR="00A75E2C" w:rsidRPr="00C42CD3">
        <w:rPr>
          <w:b/>
        </w:rPr>
        <w:tab/>
      </w:r>
    </w:p>
    <w:p w:rsidR="00A57609" w:rsidRDefault="00CA7525" w:rsidP="002838FA">
      <w:pPr>
        <w:pStyle w:val="MJDWUTCBrief"/>
      </w:pPr>
      <w:r>
        <w:t xml:space="preserve">     </w:t>
      </w:r>
      <w:r w:rsidR="003A5F39">
        <w:tab/>
      </w:r>
      <w:r w:rsidR="00A57609">
        <w:t xml:space="preserve">PSE is using a higher effective tax rate in calculating cost of service than </w:t>
      </w:r>
      <w:r w:rsidR="004C43AE">
        <w:t>it</w:t>
      </w:r>
      <w:r w:rsidR="00A57609">
        <w:t xml:space="preserve"> ap</w:t>
      </w:r>
      <w:r w:rsidR="004C43AE">
        <w:t>plies</w:t>
      </w:r>
      <w:r w:rsidR="001138B8">
        <w:t xml:space="preserve"> to </w:t>
      </w:r>
      <w:r w:rsidR="004C43AE">
        <w:t>its net operating income, or 36%</w:t>
      </w:r>
      <w:r w:rsidR="001138B8">
        <w:t xml:space="preserve"> opposed to 35%</w:t>
      </w:r>
      <w:r w:rsidR="004C43AE">
        <w:t>, respectively</w:t>
      </w:r>
      <w:r w:rsidR="001138B8">
        <w:t>.</w:t>
      </w:r>
      <w:r w:rsidR="00B1403B">
        <w:rPr>
          <w:rStyle w:val="FootnoteReference"/>
        </w:rPr>
        <w:footnoteReference w:id="154"/>
      </w:r>
      <w:r w:rsidR="00B1403B" w:rsidRPr="00D471FB">
        <w:rPr>
          <w:vertAlign w:val="superscript"/>
        </w:rPr>
        <w:t>/</w:t>
      </w:r>
      <w:r w:rsidR="001138B8">
        <w:t xml:space="preserve">  The Company offers no explanation </w:t>
      </w:r>
      <w:r w:rsidR="005D47D6">
        <w:t xml:space="preserve">in direct testimony </w:t>
      </w:r>
      <w:r w:rsidR="001138B8">
        <w:t xml:space="preserve">for this discrepancy.  </w:t>
      </w:r>
      <w:r w:rsidR="00B53A38">
        <w:t xml:space="preserve">On rebuttal, PSE witness </w:t>
      </w:r>
      <w:r w:rsidR="000A6A54">
        <w:t xml:space="preserve">Marcelia </w:t>
      </w:r>
      <w:r w:rsidR="00B53A38">
        <w:t>offers an explanation</w:t>
      </w:r>
      <w:r w:rsidR="002B4CC2">
        <w:t>,</w:t>
      </w:r>
      <w:r w:rsidR="00B53A38">
        <w:t xml:space="preserve"> but fails to provide a work paper or one shred of actual evidence upon which his assertions can be checked.  As a result, since PSE carries the burden of proof, it has failed to demonstrate that Mr. Gorman</w:t>
      </w:r>
      <w:r w:rsidR="002B4CC2">
        <w:t>’s</w:t>
      </w:r>
      <w:r w:rsidR="00B53A38">
        <w:t xml:space="preserve"> adjustment is wrong.  </w:t>
      </w:r>
      <w:r w:rsidR="001138B8">
        <w:t xml:space="preserve">ICNU recommends that an adjustment be made to apply the 35% statutory marginal federal income tax rate to revenue requirement calculations, thereby </w:t>
      </w:r>
      <w:r w:rsidR="001138B8">
        <w:lastRenderedPageBreak/>
        <w:t>reducing PSE’s revenue deficiency by $3.45 million for electric and $1.66 million for gas.</w:t>
      </w:r>
      <w:r w:rsidR="00B1403B">
        <w:rPr>
          <w:rStyle w:val="FootnoteReference"/>
        </w:rPr>
        <w:footnoteReference w:id="155"/>
      </w:r>
      <w:r w:rsidR="00B1403B" w:rsidRPr="00D471FB">
        <w:rPr>
          <w:vertAlign w:val="superscript"/>
        </w:rPr>
        <w:t>/</w:t>
      </w:r>
    </w:p>
    <w:p w:rsidR="00E01F39" w:rsidRPr="00C42CD3" w:rsidRDefault="00BB75BC" w:rsidP="00BB75BC">
      <w:pPr>
        <w:pStyle w:val="MJDWUTCBrief"/>
        <w:numPr>
          <w:ilvl w:val="0"/>
          <w:numId w:val="0"/>
        </w:numPr>
        <w:rPr>
          <w:b/>
        </w:rPr>
      </w:pPr>
      <w:r>
        <w:rPr>
          <w:b/>
        </w:rPr>
        <w:t>iv</w:t>
      </w:r>
      <w:r w:rsidR="00E01F39" w:rsidRPr="00C42CD3">
        <w:rPr>
          <w:b/>
        </w:rPr>
        <w:t>.</w:t>
      </w:r>
      <w:r w:rsidR="00E01F39" w:rsidRPr="00C42CD3">
        <w:rPr>
          <w:b/>
        </w:rPr>
        <w:tab/>
        <w:t>Updated Returns Support Mr. Gorman’s Recommendations</w:t>
      </w:r>
      <w:r w:rsidR="00E01F39" w:rsidRPr="00C42CD3">
        <w:rPr>
          <w:b/>
        </w:rPr>
        <w:tab/>
      </w:r>
    </w:p>
    <w:p w:rsidR="00E01F39" w:rsidRDefault="00E01F39" w:rsidP="002838FA">
      <w:pPr>
        <w:pStyle w:val="MJDWUTCBrief"/>
      </w:pPr>
      <w:r>
        <w:t xml:space="preserve"> </w:t>
      </w:r>
      <w:r>
        <w:tab/>
      </w:r>
      <w:r w:rsidR="002B4CC2">
        <w:t xml:space="preserve">PSE’s April 30, 2013 CBR </w:t>
      </w:r>
      <w:r>
        <w:t xml:space="preserve">supports </w:t>
      </w:r>
      <w:r w:rsidR="002B4CC2">
        <w:t>Mr. Gorman’s</w:t>
      </w:r>
      <w:r>
        <w:t xml:space="preserve"> recommendations.  In fact, Mr. Gorman’s recommendations appear very conservative in light of the April 30, 2013 CBR.  For example, Mr. Gorman analyzed </w:t>
      </w:r>
      <w:r w:rsidR="002B4CC2">
        <w:t>PSE’s</w:t>
      </w:r>
      <w:r>
        <w:t xml:space="preserve"> </w:t>
      </w:r>
      <w:r w:rsidR="00281AED">
        <w:t xml:space="preserve">current </w:t>
      </w:r>
      <w:r w:rsidR="002B4CC2">
        <w:t>financial</w:t>
      </w:r>
      <w:r>
        <w:t xml:space="preserve"> returns and adjusted only for an updated and more accurate ROR</w:t>
      </w:r>
      <w:r w:rsidR="002B4CC2">
        <w:t>,</w:t>
      </w:r>
      <w:r>
        <w:t xml:space="preserve"> and concluded that the maximum revenue deficiency PSE could possibly claim would be approximately </w:t>
      </w:r>
      <w:r w:rsidR="00281AED">
        <w:t>$12.1 million.</w:t>
      </w:r>
      <w:r w:rsidR="00661507">
        <w:rPr>
          <w:rStyle w:val="FootnoteReference"/>
        </w:rPr>
        <w:footnoteReference w:id="156"/>
      </w:r>
      <w:r w:rsidR="00661507" w:rsidRPr="00D471FB">
        <w:rPr>
          <w:vertAlign w:val="superscript"/>
        </w:rPr>
        <w:t>/</w:t>
      </w:r>
      <w:r w:rsidR="00281AED">
        <w:t xml:space="preserve">  This </w:t>
      </w:r>
      <w:r w:rsidR="00315EDF">
        <w:t xml:space="preserve">$12.1 million </w:t>
      </w:r>
      <w:r w:rsidR="00281AED">
        <w:t>nearly matches the total recommendation of an $11.91 million revenue deficiency that he re</w:t>
      </w:r>
      <w:r w:rsidR="00661507">
        <w:t>commended using PSE’s stale, as-</w:t>
      </w:r>
      <w:r w:rsidR="00281AED">
        <w:t>filed numbers</w:t>
      </w:r>
      <w:r w:rsidR="00661507">
        <w:t xml:space="preserve"> in its ERF case</w:t>
      </w:r>
      <w:r w:rsidR="00281AED">
        <w:t>, but does not include the recommended disallowances for Pension Expense, Incentive Compensation, and the Effective Tax Rate, which contributed over $9 million to Mr. Gorman’s original recommendatio</w:t>
      </w:r>
      <w:r w:rsidR="00661507">
        <w:t>n</w:t>
      </w:r>
      <w:r w:rsidR="00315EDF">
        <w:t>.</w:t>
      </w:r>
      <w:r w:rsidR="00661507">
        <w:rPr>
          <w:rStyle w:val="FootnoteReference"/>
        </w:rPr>
        <w:footnoteReference w:id="157"/>
      </w:r>
      <w:r w:rsidR="00661507" w:rsidRPr="00D471FB">
        <w:rPr>
          <w:vertAlign w:val="superscript"/>
        </w:rPr>
        <w:t>/</w:t>
      </w:r>
      <w:r w:rsidR="00661507">
        <w:t xml:space="preserve"> </w:t>
      </w:r>
      <w:r w:rsidR="00315EDF">
        <w:t xml:space="preserve"> If these three adjustments as well as the EOP adjustments </w:t>
      </w:r>
      <w:r w:rsidR="00944902">
        <w:t xml:space="preserve">are made, it appears that PSE may in fact be </w:t>
      </w:r>
      <w:r w:rsidR="00944902" w:rsidRPr="00944902">
        <w:rPr>
          <w:u w:val="single"/>
        </w:rPr>
        <w:t>overearning</w:t>
      </w:r>
      <w:r w:rsidR="00944902">
        <w:t xml:space="preserve"> by as much as $10 million.</w:t>
      </w:r>
      <w:r w:rsidR="00315EDF">
        <w:t xml:space="preserve"> </w:t>
      </w:r>
      <w:r w:rsidR="00944902">
        <w:t xml:space="preserve"> </w:t>
      </w:r>
      <w:r w:rsidR="00281AED">
        <w:t xml:space="preserve">Mr. Gorman’s testimony demonstrates that the Commission should reject the ERF, or at </w:t>
      </w:r>
      <w:r w:rsidR="00944902">
        <w:t>a minimum, drastically reduce the rate increase</w:t>
      </w:r>
      <w:r w:rsidR="00281AED">
        <w:t xml:space="preserve">. </w:t>
      </w:r>
    </w:p>
    <w:p w:rsidR="00AF1549" w:rsidRPr="00C42CD3" w:rsidRDefault="00987AD3" w:rsidP="00BB75BC">
      <w:pPr>
        <w:pStyle w:val="MJDWUTCBrief"/>
        <w:numPr>
          <w:ilvl w:val="0"/>
          <w:numId w:val="0"/>
        </w:numPr>
        <w:spacing w:line="240" w:lineRule="auto"/>
        <w:rPr>
          <w:b/>
        </w:rPr>
      </w:pPr>
      <w:r>
        <w:rPr>
          <w:b/>
        </w:rPr>
        <w:t>F</w:t>
      </w:r>
      <w:r w:rsidR="00AF1549" w:rsidRPr="00C42CD3">
        <w:rPr>
          <w:b/>
        </w:rPr>
        <w:t>.</w:t>
      </w:r>
      <w:r w:rsidR="00AF1549" w:rsidRPr="00C42CD3">
        <w:rPr>
          <w:b/>
        </w:rPr>
        <w:tab/>
      </w:r>
      <w:r w:rsidR="00AF1B45" w:rsidRPr="00C42CD3">
        <w:rPr>
          <w:b/>
        </w:rPr>
        <w:t xml:space="preserve">The Amended Decoupling Proposal Should Be Rejected as an </w:t>
      </w:r>
      <w:r w:rsidR="00AF1B45" w:rsidRPr="00C42CD3">
        <w:rPr>
          <w:b/>
        </w:rPr>
        <w:tab/>
      </w:r>
      <w:r w:rsidR="00AF1B45" w:rsidRPr="00C42CD3">
        <w:rPr>
          <w:b/>
        </w:rPr>
        <w:tab/>
      </w:r>
      <w:r w:rsidR="00AF1B45" w:rsidRPr="00C42CD3">
        <w:rPr>
          <w:b/>
        </w:rPr>
        <w:tab/>
      </w:r>
      <w:r w:rsidR="00AF1B45" w:rsidRPr="00C42CD3">
        <w:rPr>
          <w:b/>
        </w:rPr>
        <w:tab/>
      </w:r>
      <w:r w:rsidR="003973FC" w:rsidRPr="00C42CD3">
        <w:rPr>
          <w:b/>
        </w:rPr>
        <w:t>Unsupported</w:t>
      </w:r>
      <w:r w:rsidR="00AF1B45" w:rsidRPr="00C42CD3">
        <w:rPr>
          <w:b/>
        </w:rPr>
        <w:t xml:space="preserve"> Attrition Adjustment</w:t>
      </w:r>
      <w:r w:rsidR="003B701D" w:rsidRPr="00C42CD3">
        <w:rPr>
          <w:b/>
        </w:rPr>
        <w:t xml:space="preserve"> Contrary to </w:t>
      </w:r>
      <w:r w:rsidR="007B4077" w:rsidRPr="00C42CD3">
        <w:rPr>
          <w:b/>
        </w:rPr>
        <w:t xml:space="preserve">WUTC </w:t>
      </w:r>
      <w:r w:rsidR="003B701D" w:rsidRPr="00C42CD3">
        <w:rPr>
          <w:b/>
        </w:rPr>
        <w:t>Precedent and Policy</w:t>
      </w:r>
    </w:p>
    <w:p w:rsidR="00A75E2C" w:rsidRDefault="00CA7525" w:rsidP="00BB75BC">
      <w:pPr>
        <w:pStyle w:val="MJDWUTCBrief"/>
        <w:spacing w:line="570" w:lineRule="exact"/>
      </w:pPr>
      <w:r>
        <w:t xml:space="preserve">     </w:t>
      </w:r>
      <w:r w:rsidR="003A5F39">
        <w:tab/>
      </w:r>
      <w:r w:rsidR="004574A6">
        <w:t>PSE and NWEC have sponsored a D</w:t>
      </w:r>
      <w:r w:rsidR="003973FC">
        <w:t xml:space="preserve">ecoupling proposal which should be </w:t>
      </w:r>
      <w:r w:rsidR="00B26623">
        <w:t xml:space="preserve">rejected.  The Company has not satisfied its burden of proof or persuasion to warrant the establishment of an annual “decoupling” rate increase which, in both purpose and </w:t>
      </w:r>
      <w:r w:rsidR="00EF0096">
        <w:t xml:space="preserve">operation, serves an insufficiently </w:t>
      </w:r>
      <w:r w:rsidR="00B26623">
        <w:t>supported attrition adjus</w:t>
      </w:r>
      <w:r w:rsidR="007B4077">
        <w:t xml:space="preserve">tment without substantial </w:t>
      </w:r>
      <w:r w:rsidR="003670B4">
        <w:lastRenderedPageBreak/>
        <w:t>n</w:t>
      </w:r>
      <w:r w:rsidR="007B4077">
        <w:t>exus</w:t>
      </w:r>
      <w:r w:rsidR="004574A6">
        <w:t xml:space="preserve"> to actual conservation.  The D</w:t>
      </w:r>
      <w:r w:rsidR="00B26623">
        <w:t xml:space="preserve">ecoupling proposal also includes a rate plan which would impermissibly increase the rates of many customers independent of any cost of service basis—indeed, discriminatorily so under </w:t>
      </w:r>
      <w:r w:rsidR="00EF0096">
        <w:t>a hollow</w:t>
      </w:r>
      <w:r w:rsidR="00B26623">
        <w:t xml:space="preserve"> assertion of “fairness.”</w:t>
      </w:r>
      <w:r w:rsidR="00E62BB2">
        <w:t xml:space="preserve">  </w:t>
      </w:r>
    </w:p>
    <w:p w:rsidR="00B26623" w:rsidRPr="00C42CD3" w:rsidRDefault="00B26623" w:rsidP="00BB75BC">
      <w:pPr>
        <w:pStyle w:val="MJDWUTCBrief"/>
        <w:numPr>
          <w:ilvl w:val="0"/>
          <w:numId w:val="0"/>
        </w:numPr>
        <w:spacing w:line="570" w:lineRule="exact"/>
        <w:rPr>
          <w:b/>
        </w:rPr>
      </w:pPr>
      <w:r w:rsidRPr="00C42CD3">
        <w:rPr>
          <w:b/>
        </w:rPr>
        <w:t>a.</w:t>
      </w:r>
      <w:r w:rsidRPr="00C42CD3">
        <w:rPr>
          <w:b/>
        </w:rPr>
        <w:tab/>
      </w:r>
      <w:r w:rsidR="00A83319" w:rsidRPr="00C42CD3">
        <w:rPr>
          <w:b/>
        </w:rPr>
        <w:t xml:space="preserve">The Amended Petition Is Essentially </w:t>
      </w:r>
      <w:r w:rsidR="00A16893" w:rsidRPr="00C42CD3">
        <w:rPr>
          <w:b/>
        </w:rPr>
        <w:t>a</w:t>
      </w:r>
      <w:r w:rsidR="003B701D" w:rsidRPr="00C42CD3">
        <w:rPr>
          <w:b/>
        </w:rPr>
        <w:t xml:space="preserve"> </w:t>
      </w:r>
      <w:r w:rsidR="00351A41" w:rsidRPr="00C42CD3">
        <w:rPr>
          <w:b/>
        </w:rPr>
        <w:t xml:space="preserve">Request for an </w:t>
      </w:r>
      <w:r w:rsidR="003B701D" w:rsidRPr="00C42CD3">
        <w:rPr>
          <w:b/>
        </w:rPr>
        <w:t xml:space="preserve">Attrition Adjustment </w:t>
      </w:r>
      <w:r w:rsidR="003B701D" w:rsidRPr="00C42CD3">
        <w:rPr>
          <w:b/>
        </w:rPr>
        <w:tab/>
      </w:r>
    </w:p>
    <w:p w:rsidR="00E62BB2" w:rsidRPr="003B701D" w:rsidRDefault="00CA7525" w:rsidP="00BB75BC">
      <w:pPr>
        <w:pStyle w:val="MJDWUTCBrief"/>
        <w:spacing w:line="570" w:lineRule="exact"/>
      </w:pPr>
      <w:r>
        <w:t xml:space="preserve">     </w:t>
      </w:r>
      <w:r w:rsidR="003A5F39">
        <w:tab/>
      </w:r>
      <w:r w:rsidR="001C604A">
        <w:t xml:space="preserve">The Amended Petition has </w:t>
      </w:r>
      <w:r w:rsidR="007B4077">
        <w:t>little</w:t>
      </w:r>
      <w:r w:rsidR="001C604A">
        <w:t xml:space="preserve"> to </w:t>
      </w:r>
      <w:r w:rsidR="00C23537">
        <w:t>do</w:t>
      </w:r>
      <w:r w:rsidR="001C604A">
        <w:t xml:space="preserve"> with conservation related </w:t>
      </w:r>
      <w:r w:rsidR="00944902">
        <w:t xml:space="preserve">to </w:t>
      </w:r>
      <w:r w:rsidR="001C604A">
        <w:t xml:space="preserve">decoupling.  </w:t>
      </w:r>
      <w:r w:rsidR="00EF0096">
        <w:t>As</w:t>
      </w:r>
      <w:r w:rsidR="0021511A">
        <w:t xml:space="preserve"> “attrition,” according to the Commission, “is often loosely applied to any situation in which </w:t>
      </w:r>
      <w:r w:rsidR="0049345E">
        <w:t xml:space="preserve">a </w:t>
      </w:r>
      <w:r w:rsidR="0021511A">
        <w:t>rate-regulated business fails to achieve its allowed earnings,”</w:t>
      </w:r>
      <w:r w:rsidR="0021511A">
        <w:rPr>
          <w:rStyle w:val="FootnoteReference"/>
        </w:rPr>
        <w:footnoteReference w:id="158"/>
      </w:r>
      <w:r w:rsidR="0021511A">
        <w:rPr>
          <w:vertAlign w:val="superscript"/>
        </w:rPr>
        <w:t>/</w:t>
      </w:r>
      <w:r w:rsidR="00A53A74">
        <w:t xml:space="preserve"> attrition is </w:t>
      </w:r>
      <w:r w:rsidR="0021511A">
        <w:t xml:space="preserve">a much better term to describe the purpose </w:t>
      </w:r>
      <w:r w:rsidR="00A53A74">
        <w:t xml:space="preserve">and mechanics </w:t>
      </w:r>
      <w:r w:rsidR="0021511A">
        <w:t xml:space="preserve">of </w:t>
      </w:r>
      <w:r w:rsidR="00A53A74">
        <w:t xml:space="preserve">the “decoupling” </w:t>
      </w:r>
      <w:r w:rsidR="0021511A">
        <w:t>prop</w:t>
      </w:r>
      <w:r w:rsidR="007B4077">
        <w:t>osal.</w:t>
      </w:r>
      <w:r w:rsidR="00C712E3">
        <w:t xml:space="preserve">  </w:t>
      </w:r>
      <w:r w:rsidR="00A53A74">
        <w:t xml:space="preserve">Either way, whether considered as an attrition or decoupling mechanism, the </w:t>
      </w:r>
      <w:r w:rsidR="00EF0096">
        <w:t xml:space="preserve">Company’s </w:t>
      </w:r>
      <w:r w:rsidR="00A53A74">
        <w:t xml:space="preserve">proposal </w:t>
      </w:r>
      <w:r w:rsidR="00EF0096">
        <w:t>is contrary to</w:t>
      </w:r>
      <w:r w:rsidR="00A53A74">
        <w:t xml:space="preserve"> Commission precedent and policy and should not be approved.  </w:t>
      </w:r>
    </w:p>
    <w:p w:rsidR="00CC6FC7" w:rsidRPr="00CC6FC7" w:rsidRDefault="00CA7525" w:rsidP="00BB75BC">
      <w:pPr>
        <w:pStyle w:val="MJDWUTCBrief"/>
        <w:spacing w:line="570" w:lineRule="exact"/>
      </w:pPr>
      <w:r>
        <w:t xml:space="preserve">     </w:t>
      </w:r>
      <w:r w:rsidR="003A5F39">
        <w:tab/>
      </w:r>
      <w:r w:rsidR="00C712E3">
        <w:t xml:space="preserve">In Order 08, the Commission observed that PSE seemingly “wants more than decoupling has to offer, namely the freedom to recover incremental revenue to offset new investments </w:t>
      </w:r>
      <w:r w:rsidR="00C712E3" w:rsidRPr="0016398E">
        <w:t>between rate cases</w:t>
      </w:r>
      <w:r w:rsidR="00C712E3">
        <w:t>.”</w:t>
      </w:r>
      <w:r w:rsidR="00C712E3">
        <w:rPr>
          <w:rStyle w:val="FootnoteReference"/>
        </w:rPr>
        <w:footnoteReference w:id="159"/>
      </w:r>
      <w:r w:rsidR="00C712E3" w:rsidRPr="009D7CEE">
        <w:rPr>
          <w:vertAlign w:val="superscript"/>
        </w:rPr>
        <w:t>/</w:t>
      </w:r>
      <w:r w:rsidR="00C712E3">
        <w:t xml:space="preserve"> </w:t>
      </w:r>
      <w:r w:rsidR="005E3B82">
        <w:t xml:space="preserve"> Undeterred</w:t>
      </w:r>
      <w:r w:rsidR="0016398E">
        <w:t xml:space="preserve">, the Company declares in the </w:t>
      </w:r>
      <w:r w:rsidR="00C23537">
        <w:t>Amended</w:t>
      </w:r>
      <w:r w:rsidR="0016398E">
        <w:t xml:space="preserve"> Petition that </w:t>
      </w:r>
      <w:r w:rsidR="006D3D20">
        <w:t>it’s</w:t>
      </w:r>
      <w:r w:rsidR="0016398E">
        <w:t xml:space="preserve"> modified “decoupling” </w:t>
      </w:r>
      <w:r w:rsidR="00EF0096">
        <w:t xml:space="preserve">proposal with a </w:t>
      </w:r>
      <w:r w:rsidR="006A0E11">
        <w:t>K-factor</w:t>
      </w:r>
      <w:r w:rsidR="0016398E">
        <w:t xml:space="preserve"> “also addresses the revenue shortfall between rate cases that the decoupling mechanism on its own does not resolve.”</w:t>
      </w:r>
      <w:r w:rsidR="0016398E">
        <w:rPr>
          <w:rStyle w:val="FootnoteReference"/>
        </w:rPr>
        <w:footnoteReference w:id="160"/>
      </w:r>
      <w:r w:rsidR="0016398E" w:rsidRPr="009D7CEE">
        <w:rPr>
          <w:vertAlign w:val="superscript"/>
        </w:rPr>
        <w:t>/</w:t>
      </w:r>
      <w:r w:rsidR="007D261E">
        <w:t xml:space="preserve">  </w:t>
      </w:r>
    </w:p>
    <w:p w:rsidR="00F57216" w:rsidRPr="00B82B2E" w:rsidRDefault="00CA7525" w:rsidP="00BB75BC">
      <w:pPr>
        <w:pStyle w:val="MJDWUTCBrief"/>
        <w:spacing w:line="570" w:lineRule="exact"/>
      </w:pPr>
      <w:r>
        <w:t xml:space="preserve">     </w:t>
      </w:r>
      <w:r w:rsidR="003A5F39">
        <w:tab/>
      </w:r>
      <w:r w:rsidR="007D261E">
        <w:t>Likewise, the Commi</w:t>
      </w:r>
      <w:r w:rsidR="00804412">
        <w:t>ssion noted PSE’s rejection of D</w:t>
      </w:r>
      <w:r w:rsidR="007D261E">
        <w:t xml:space="preserve">ecoupling </w:t>
      </w:r>
      <w:r w:rsidR="00E62BB2">
        <w:t xml:space="preserve">in the 2011 GRC </w:t>
      </w:r>
      <w:r w:rsidR="00804412">
        <w:t>because D</w:t>
      </w:r>
      <w:r w:rsidR="00EF0096">
        <w:t>ecoupling</w:t>
      </w:r>
      <w:r w:rsidR="007D261E">
        <w:t xml:space="preserve"> “does not address the incremental impacts of regulatory lag, a problem decoupling was never intended to fix.”</w:t>
      </w:r>
      <w:r w:rsidR="007D261E">
        <w:rPr>
          <w:rStyle w:val="FootnoteReference"/>
        </w:rPr>
        <w:footnoteReference w:id="161"/>
      </w:r>
      <w:r w:rsidR="007D261E" w:rsidRPr="009D7CEE">
        <w:rPr>
          <w:vertAlign w:val="superscript"/>
        </w:rPr>
        <w:t>/</w:t>
      </w:r>
      <w:r w:rsidR="007D261E">
        <w:t xml:space="preserve">  </w:t>
      </w:r>
      <w:r w:rsidR="00CC6FC7">
        <w:t xml:space="preserve">Yet, PSE openly </w:t>
      </w:r>
      <w:r w:rsidR="005E3B82">
        <w:t>aver</w:t>
      </w:r>
      <w:r w:rsidR="00804412">
        <w:t>s that its modified D</w:t>
      </w:r>
      <w:r w:rsidR="00CC6FC7">
        <w:t xml:space="preserve">ecoupling proposal contains “a weighted escalation factor, designed </w:t>
      </w:r>
      <w:r w:rsidR="00CC6FC7">
        <w:lastRenderedPageBreak/>
        <w:t>to . . . address the growth in non-energy costs PSE has experienced and expects to continue to experience in the next few years.”</w:t>
      </w:r>
      <w:r w:rsidR="00CC6FC7">
        <w:rPr>
          <w:rStyle w:val="FootnoteReference"/>
        </w:rPr>
        <w:footnoteReference w:id="162"/>
      </w:r>
      <w:r w:rsidR="00CC6FC7" w:rsidRPr="00121EC4">
        <w:rPr>
          <w:vertAlign w:val="superscript"/>
        </w:rPr>
        <w:t>/</w:t>
      </w:r>
      <w:r w:rsidR="007D261E">
        <w:t xml:space="preserve"> </w:t>
      </w:r>
      <w:r w:rsidR="00080A8A">
        <w:t xml:space="preserve"> The Ame</w:t>
      </w:r>
      <w:r w:rsidR="00053A39">
        <w:t>n</w:t>
      </w:r>
      <w:r w:rsidR="00080A8A">
        <w:t>ded Petition also in</w:t>
      </w:r>
      <w:r w:rsidR="00EF0096">
        <w:t>cludes a rate plan which shun</w:t>
      </w:r>
      <w:r w:rsidR="00053A39">
        <w:t>s</w:t>
      </w:r>
      <w:r w:rsidR="00080A8A">
        <w:t xml:space="preserve"> m</w:t>
      </w:r>
      <w:r w:rsidR="00053A39">
        <w:t>ention of cons</w:t>
      </w:r>
      <w:r w:rsidR="00EF0096">
        <w:t>ervation, offsets and the like—</w:t>
      </w:r>
      <w:r w:rsidR="00053A39">
        <w:t xml:space="preserve">being presented simply as “a series of </w:t>
      </w:r>
      <w:r w:rsidR="00053A39" w:rsidRPr="00053A39">
        <w:rPr>
          <w:i/>
        </w:rPr>
        <w:t>predetermined</w:t>
      </w:r>
      <w:r w:rsidR="00053A39">
        <w:t xml:space="preserve"> rate increases.”</w:t>
      </w:r>
      <w:r w:rsidR="00053A39">
        <w:rPr>
          <w:rStyle w:val="FootnoteReference"/>
        </w:rPr>
        <w:footnoteReference w:id="163"/>
      </w:r>
      <w:r w:rsidR="00053A39" w:rsidRPr="0047630D">
        <w:rPr>
          <w:vertAlign w:val="superscript"/>
        </w:rPr>
        <w:t>/</w:t>
      </w:r>
      <w:r w:rsidR="00080A8A">
        <w:t xml:space="preserve"> </w:t>
      </w:r>
    </w:p>
    <w:p w:rsidR="003670B4" w:rsidRDefault="00CA7525" w:rsidP="00BB75BC">
      <w:pPr>
        <w:pStyle w:val="MJDWUTCBrief"/>
        <w:spacing w:line="570" w:lineRule="exact"/>
      </w:pPr>
      <w:r>
        <w:t xml:space="preserve">     </w:t>
      </w:r>
      <w:r w:rsidR="003A5F39">
        <w:tab/>
      </w:r>
      <w:r w:rsidR="00CC6FC7">
        <w:t>T</w:t>
      </w:r>
      <w:r w:rsidR="00D37732" w:rsidRPr="003670B4">
        <w:t>he Company explains that, whereas it originally prop</w:t>
      </w:r>
      <w:r w:rsidR="00804412">
        <w:t>osed to derive its D</w:t>
      </w:r>
      <w:r w:rsidR="00D93DE4" w:rsidRPr="003670B4">
        <w:t xml:space="preserve">ecoupling </w:t>
      </w:r>
      <w:r w:rsidR="006A0E11">
        <w:t>K-factor</w:t>
      </w:r>
      <w:r w:rsidR="00D37732" w:rsidRPr="003670B4">
        <w:t xml:space="preserve"> “based on reported conservation </w:t>
      </w:r>
      <w:r w:rsidR="00C23537" w:rsidRPr="003670B4">
        <w:t>achievement</w:t>
      </w:r>
      <w:r w:rsidR="00D37732" w:rsidRPr="003670B4">
        <w:t xml:space="preserve">,” </w:t>
      </w:r>
      <w:r w:rsidR="00EF0096" w:rsidRPr="003670B4">
        <w:t xml:space="preserve">it later “focused on how the </w:t>
      </w:r>
      <w:r w:rsidR="006A0E11">
        <w:t>K-factor</w:t>
      </w:r>
      <w:r w:rsidR="00D37732" w:rsidRPr="003670B4">
        <w:t xml:space="preserve"> could be used to allow revenues to grow” during a GRC stay </w:t>
      </w:r>
      <w:r w:rsidR="00D93DE4" w:rsidRPr="003670B4">
        <w:t xml:space="preserve">out period, with its modified </w:t>
      </w:r>
      <w:r w:rsidR="006A0E11">
        <w:t>K-factor</w:t>
      </w:r>
      <w:r w:rsidR="00D37732" w:rsidRPr="003670B4">
        <w:t xml:space="preserve"> now simply “based on escalation factors.”</w:t>
      </w:r>
      <w:r w:rsidR="00D37732">
        <w:rPr>
          <w:rStyle w:val="FootnoteReference"/>
        </w:rPr>
        <w:footnoteReference w:id="164"/>
      </w:r>
      <w:r w:rsidR="00D37732" w:rsidRPr="003670B4">
        <w:rPr>
          <w:vertAlign w:val="superscript"/>
        </w:rPr>
        <w:t>/</w:t>
      </w:r>
      <w:r w:rsidR="00D37732">
        <w:t xml:space="preserve">  </w:t>
      </w:r>
      <w:r>
        <w:t xml:space="preserve">     </w:t>
      </w:r>
    </w:p>
    <w:p w:rsidR="00D37732" w:rsidRDefault="003670B4" w:rsidP="00BB75BC">
      <w:pPr>
        <w:pStyle w:val="MJDWUTCBrief"/>
        <w:spacing w:line="570" w:lineRule="exact"/>
      </w:pPr>
      <w:r>
        <w:t xml:space="preserve"> </w:t>
      </w:r>
      <w:r>
        <w:tab/>
      </w:r>
      <w:r w:rsidR="00FA2E81">
        <w:t xml:space="preserve">In response to </w:t>
      </w:r>
      <w:r w:rsidR="00D91CEB">
        <w:t>PSE’s claim of attrition caused by continued investments in</w:t>
      </w:r>
      <w:r w:rsidR="00FA2E81">
        <w:t xml:space="preserve"> rate base</w:t>
      </w:r>
      <w:r w:rsidR="00D6249A">
        <w:t xml:space="preserve"> </w:t>
      </w:r>
      <w:r w:rsidR="00D91CEB">
        <w:t xml:space="preserve">in the 2011 GRC, Mr. Schooley testified: </w:t>
      </w:r>
      <w:r w:rsidR="00D6249A">
        <w:t xml:space="preserve"> “PSE and other ut</w:t>
      </w:r>
      <w:r w:rsidR="004574A6">
        <w:t>ilities assert persistent under</w:t>
      </w:r>
      <w:r w:rsidR="00D6249A">
        <w:t xml:space="preserve">earnings </w:t>
      </w:r>
      <w:r w:rsidR="00D6249A" w:rsidRPr="00D91CEB">
        <w:t xml:space="preserve">and </w:t>
      </w:r>
      <w:r w:rsidR="00D6249A" w:rsidRPr="003670B4">
        <w:rPr>
          <w:i/>
        </w:rPr>
        <w:t>present ever more creative ways</w:t>
      </w:r>
      <w:r w:rsidR="00D6249A">
        <w:t xml:space="preserve"> to address claims of declining </w:t>
      </w:r>
      <w:r w:rsidR="00D91CEB">
        <w:t>sales and regulatory lag.”</w:t>
      </w:r>
      <w:r w:rsidR="00D91CEB">
        <w:rPr>
          <w:rStyle w:val="FootnoteReference"/>
        </w:rPr>
        <w:footnoteReference w:id="165"/>
      </w:r>
      <w:r w:rsidR="00D91CEB" w:rsidRPr="003670B4">
        <w:rPr>
          <w:vertAlign w:val="superscript"/>
        </w:rPr>
        <w:t>/</w:t>
      </w:r>
      <w:r w:rsidR="0089382E">
        <w:t xml:space="preserve">  Mr. Schooley added that Staff was open to new proposals, </w:t>
      </w:r>
      <w:r w:rsidR="000E6D28">
        <w:t>but only if “the utility adequately proves its claims of persistent underearning.”</w:t>
      </w:r>
      <w:r w:rsidR="000E6D28">
        <w:rPr>
          <w:rStyle w:val="FootnoteReference"/>
        </w:rPr>
        <w:footnoteReference w:id="166"/>
      </w:r>
      <w:r w:rsidR="000E6D28" w:rsidRPr="003670B4">
        <w:rPr>
          <w:vertAlign w:val="superscript"/>
        </w:rPr>
        <w:t>/</w:t>
      </w:r>
      <w:r w:rsidR="00080A8A">
        <w:t xml:space="preserve">  </w:t>
      </w:r>
      <w:r w:rsidR="00EF0096">
        <w:t>Such adequate proof is lacking in these proceedings.</w:t>
      </w:r>
    </w:p>
    <w:p w:rsidR="00E10C49" w:rsidRPr="002838FA" w:rsidRDefault="003B701D" w:rsidP="00EE3597">
      <w:pPr>
        <w:pStyle w:val="MJDWUTCBrief"/>
        <w:numPr>
          <w:ilvl w:val="0"/>
          <w:numId w:val="0"/>
        </w:numPr>
        <w:spacing w:line="570" w:lineRule="exact"/>
        <w:rPr>
          <w:b/>
        </w:rPr>
      </w:pPr>
      <w:r w:rsidRPr="002838FA">
        <w:rPr>
          <w:b/>
        </w:rPr>
        <w:t>b</w:t>
      </w:r>
      <w:r w:rsidR="00E10C49" w:rsidRPr="002838FA">
        <w:rPr>
          <w:b/>
        </w:rPr>
        <w:t>.</w:t>
      </w:r>
      <w:r w:rsidR="00E10C49" w:rsidRPr="002838FA">
        <w:rPr>
          <w:b/>
        </w:rPr>
        <w:tab/>
        <w:t>The Decoupling Propo</w:t>
      </w:r>
      <w:r w:rsidR="00C42537" w:rsidRPr="002838FA">
        <w:rPr>
          <w:b/>
        </w:rPr>
        <w:t xml:space="preserve">sal Fails as a Decoupling </w:t>
      </w:r>
      <w:r w:rsidR="00E10C49" w:rsidRPr="002838FA">
        <w:rPr>
          <w:b/>
        </w:rPr>
        <w:t>Mechanism</w:t>
      </w:r>
      <w:r w:rsidRPr="002838FA">
        <w:rPr>
          <w:b/>
        </w:rPr>
        <w:t xml:space="preserve"> </w:t>
      </w:r>
    </w:p>
    <w:p w:rsidR="00897F3F" w:rsidRDefault="00CA7525" w:rsidP="00EE3597">
      <w:pPr>
        <w:pStyle w:val="MJDWUTCBrief"/>
        <w:spacing w:line="570" w:lineRule="exact"/>
      </w:pPr>
      <w:r>
        <w:t xml:space="preserve">     </w:t>
      </w:r>
      <w:r w:rsidR="003A5F39">
        <w:tab/>
      </w:r>
      <w:r w:rsidR="00897F3F">
        <w:t>In PSE’s and Avista’s 2011 GRC, the</w:t>
      </w:r>
      <w:r w:rsidR="00804412">
        <w:t xml:space="preserve"> Commission proactively issued D</w:t>
      </w:r>
      <w:r w:rsidR="00897F3F">
        <w:t xml:space="preserve">ecoupling Bench Requests directing Staff to </w:t>
      </w:r>
      <w:r w:rsidR="00114BF2">
        <w:t xml:space="preserve">provide “a discussion of the critical elements that a full decoupling proposal should contain, consistent with the Decoupling Policy Statement, including consideration of lost sales revenues that are potentially offset by avoided costs </w:t>
      </w:r>
      <w:r w:rsidR="00114BF2">
        <w:lastRenderedPageBreak/>
        <w:t>and other benefits.”</w:t>
      </w:r>
      <w:r w:rsidR="00114BF2">
        <w:rPr>
          <w:rStyle w:val="FootnoteReference"/>
        </w:rPr>
        <w:footnoteReference w:id="167"/>
      </w:r>
      <w:r w:rsidR="00114BF2">
        <w:rPr>
          <w:vertAlign w:val="superscript"/>
        </w:rPr>
        <w:t>/</w:t>
      </w:r>
      <w:r w:rsidR="00114BF2">
        <w:t xml:space="preserve">  While not foreclosing consideration of proposals varying from the Policy Statement, the Commission reiterated that it “expects Staff to provide an analysis of PSE’s proposal in light of the Decoupling Policy Statement.”</w:t>
      </w:r>
      <w:r w:rsidR="00114BF2">
        <w:rPr>
          <w:rStyle w:val="FootnoteReference"/>
        </w:rPr>
        <w:footnoteReference w:id="168"/>
      </w:r>
      <w:r w:rsidR="00114BF2">
        <w:rPr>
          <w:vertAlign w:val="superscript"/>
        </w:rPr>
        <w:t>/</w:t>
      </w:r>
      <w:r w:rsidR="00114BF2">
        <w:t xml:space="preserve">  Hence, ICNU focuses its analysis upon the Policy Statement guidelines as well, and especially the consideration of balancing and of</w:t>
      </w:r>
      <w:r w:rsidR="009A780C">
        <w:t>fsets as specified by the</w:t>
      </w:r>
      <w:r w:rsidR="00EF0096">
        <w:t xml:space="preserve"> WUTC in recent Bench Requests.  This echoes</w:t>
      </w:r>
      <w:r w:rsidR="00114BF2">
        <w:t xml:space="preserve"> Staff’s observation in the 2011 GRC</w:t>
      </w:r>
      <w:r w:rsidR="00EF0096">
        <w:t>, too,</w:t>
      </w:r>
      <w:r w:rsidR="00114BF2">
        <w:t xml:space="preserve"> that “parties would certainly be wise to discuss </w:t>
      </w:r>
      <w:r w:rsidR="009A780C">
        <w:t>the Decoupling Policy statement when making a decoupling proposal.”</w:t>
      </w:r>
      <w:r w:rsidR="009A780C">
        <w:rPr>
          <w:rStyle w:val="FootnoteReference"/>
        </w:rPr>
        <w:footnoteReference w:id="169"/>
      </w:r>
      <w:r w:rsidR="009A780C">
        <w:rPr>
          <w:vertAlign w:val="superscript"/>
        </w:rPr>
        <w:t>/</w:t>
      </w:r>
    </w:p>
    <w:p w:rsidR="003B701D" w:rsidRPr="002838FA" w:rsidRDefault="009C17A8" w:rsidP="00EE3597">
      <w:pPr>
        <w:pStyle w:val="MJDWUTCBrief"/>
        <w:numPr>
          <w:ilvl w:val="0"/>
          <w:numId w:val="0"/>
        </w:numPr>
        <w:spacing w:line="570" w:lineRule="exact"/>
        <w:rPr>
          <w:b/>
        </w:rPr>
      </w:pPr>
      <w:r w:rsidRPr="002838FA">
        <w:rPr>
          <w:b/>
        </w:rPr>
        <w:t>i.</w:t>
      </w:r>
      <w:r w:rsidRPr="002838FA">
        <w:rPr>
          <w:b/>
        </w:rPr>
        <w:tab/>
        <w:t>A</w:t>
      </w:r>
      <w:r w:rsidR="003B701D" w:rsidRPr="002838FA">
        <w:rPr>
          <w:b/>
        </w:rPr>
        <w:t xml:space="preserve"> Decoupling </w:t>
      </w:r>
      <w:r w:rsidRPr="002838FA">
        <w:rPr>
          <w:b/>
        </w:rPr>
        <w:t>Mechanism</w:t>
      </w:r>
      <w:r w:rsidR="003B701D" w:rsidRPr="002838FA">
        <w:rPr>
          <w:b/>
        </w:rPr>
        <w:t xml:space="preserve"> </w:t>
      </w:r>
      <w:r w:rsidRPr="002838FA">
        <w:rPr>
          <w:b/>
        </w:rPr>
        <w:t>Should Only Be Propos</w:t>
      </w:r>
      <w:r w:rsidR="00C42537" w:rsidRPr="002838FA">
        <w:rPr>
          <w:b/>
        </w:rPr>
        <w:t xml:space="preserve">ed in </w:t>
      </w:r>
      <w:r w:rsidRPr="002838FA">
        <w:rPr>
          <w:b/>
        </w:rPr>
        <w:t>the Context of a GRC</w:t>
      </w:r>
      <w:r w:rsidR="003B701D" w:rsidRPr="002838FA">
        <w:rPr>
          <w:b/>
        </w:rPr>
        <w:tab/>
      </w:r>
    </w:p>
    <w:p w:rsidR="000C103E" w:rsidRPr="00842580" w:rsidRDefault="00CA7525" w:rsidP="00EE3597">
      <w:pPr>
        <w:pStyle w:val="MJDWUTCBrief"/>
        <w:spacing w:line="570" w:lineRule="exact"/>
      </w:pPr>
      <w:r>
        <w:t xml:space="preserve">      </w:t>
      </w:r>
      <w:r w:rsidR="003A5F39">
        <w:tab/>
      </w:r>
      <w:r w:rsidR="000C103E">
        <w:t xml:space="preserve">PSE’s decision to request a decoupling mechanism outside </w:t>
      </w:r>
      <w:r w:rsidR="00EF0096">
        <w:t xml:space="preserve">of </w:t>
      </w:r>
      <w:r w:rsidR="000C103E">
        <w:t xml:space="preserve">a GRC is contrary to the Policy Statement, which anticipates consideration </w:t>
      </w:r>
      <w:r w:rsidR="000124F2">
        <w:t xml:space="preserve">of proposals </w:t>
      </w:r>
      <w:r w:rsidR="000C103E">
        <w:t xml:space="preserve">from an electric utility only </w:t>
      </w:r>
      <w:r w:rsidR="00FA2E81">
        <w:t>i</w:t>
      </w:r>
      <w:r w:rsidR="000C103E">
        <w:t xml:space="preserve">n the context of </w:t>
      </w:r>
      <w:r w:rsidR="00944902">
        <w:t>a general rate case</w:t>
      </w:r>
      <w:r w:rsidR="000C103E">
        <w:t xml:space="preserve">.  In fact, </w:t>
      </w:r>
      <w:r w:rsidR="000124F2">
        <w:t xml:space="preserve">when discussing limited decoupling mechanisms for gas utilities, </w:t>
      </w:r>
      <w:r w:rsidR="000C103E">
        <w:t xml:space="preserve">the </w:t>
      </w:r>
      <w:r w:rsidR="000124F2">
        <w:t>Policy Statement expressly disclaims</w:t>
      </w:r>
      <w:r w:rsidR="000C103E">
        <w:t xml:space="preserve"> prior indications that such requests may have been acceptable</w:t>
      </w:r>
      <w:r w:rsidR="000124F2">
        <w:t xml:space="preserve"> outside of a GRC</w:t>
      </w:r>
      <w:r w:rsidR="000C103E">
        <w:t>.</w:t>
      </w:r>
      <w:r w:rsidR="000C103E" w:rsidRPr="003234E0">
        <w:rPr>
          <w:rStyle w:val="FootnoteReference"/>
        </w:rPr>
        <w:footnoteReference w:id="170"/>
      </w:r>
      <w:r w:rsidR="000C103E" w:rsidRPr="000C103E">
        <w:rPr>
          <w:vertAlign w:val="superscript"/>
        </w:rPr>
        <w:t>/</w:t>
      </w:r>
      <w:r w:rsidR="000C103E">
        <w:t xml:space="preserve">  T</w:t>
      </w:r>
      <w:r w:rsidR="00A16634">
        <w:t>he Commission’s</w:t>
      </w:r>
      <w:r w:rsidR="000124F2">
        <w:t xml:space="preserve"> </w:t>
      </w:r>
      <w:r w:rsidR="00944902">
        <w:t>views appear to be related to</w:t>
      </w:r>
      <w:r w:rsidR="000C103E">
        <w:t xml:space="preserve"> rais</w:t>
      </w:r>
      <w:r w:rsidR="000124F2">
        <w:t>ing equity and capital</w:t>
      </w:r>
      <w:r w:rsidR="000C103E">
        <w:t xml:space="preserve"> concerns within a GRC</w:t>
      </w:r>
      <w:r w:rsidR="000124F2">
        <w:t>.  Likewise, one of the</w:t>
      </w:r>
      <w:r w:rsidR="000C103E">
        <w:t xml:space="preserve"> four mandatory</w:t>
      </w:r>
      <w:r w:rsidR="000124F2">
        <w:t>, electric</w:t>
      </w:r>
      <w:r w:rsidR="000C103E">
        <w:t xml:space="preserve"> </w:t>
      </w:r>
      <w:r w:rsidR="000124F2">
        <w:t xml:space="preserve">decoupling </w:t>
      </w:r>
      <w:r w:rsidR="000C103E">
        <w:t>e</w:t>
      </w:r>
      <w:r w:rsidR="000124F2">
        <w:t xml:space="preserve">lements that must </w:t>
      </w:r>
      <w:r w:rsidR="00931EF4">
        <w:t xml:space="preserve">be </w:t>
      </w:r>
      <w:r w:rsidR="000124F2">
        <w:t xml:space="preserve">demonstrated under the Policy </w:t>
      </w:r>
      <w:r w:rsidR="00C23537">
        <w:t>Statement</w:t>
      </w:r>
      <w:r w:rsidR="000124F2">
        <w:t xml:space="preserve"> is ROR impact.</w:t>
      </w:r>
      <w:r w:rsidR="000124F2" w:rsidRPr="003234E0">
        <w:rPr>
          <w:rStyle w:val="FootnoteReference"/>
        </w:rPr>
        <w:footnoteReference w:id="171"/>
      </w:r>
      <w:r w:rsidR="000124F2" w:rsidRPr="000C103E">
        <w:rPr>
          <w:vertAlign w:val="superscript"/>
        </w:rPr>
        <w:t>/</w:t>
      </w:r>
      <w:r w:rsidR="000C103E">
        <w:t xml:space="preserve"> </w:t>
      </w:r>
    </w:p>
    <w:p w:rsidR="00842580" w:rsidRPr="00FA7E72" w:rsidRDefault="00CA7525" w:rsidP="006D4953">
      <w:pPr>
        <w:pStyle w:val="MJDWUTCBrief"/>
        <w:spacing w:line="570" w:lineRule="exact"/>
      </w:pPr>
      <w:r>
        <w:t xml:space="preserve">     </w:t>
      </w:r>
      <w:r w:rsidR="003A5F39">
        <w:tab/>
      </w:r>
      <w:r w:rsidR="00842580">
        <w:t>Staff testimony in these pro</w:t>
      </w:r>
      <w:r w:rsidR="007473CF">
        <w:t>ceedings emphasizes the need to conduct</w:t>
      </w:r>
      <w:r w:rsidR="00842580">
        <w:t xml:space="preserve"> review </w:t>
      </w:r>
      <w:r w:rsidR="007473CF">
        <w:t>of decoupling proposals only in the</w:t>
      </w:r>
      <w:r w:rsidR="00842580">
        <w:t xml:space="preserve"> context</w:t>
      </w:r>
      <w:r w:rsidR="007473CF">
        <w:t xml:space="preserve"> of a GRC</w:t>
      </w:r>
      <w:r w:rsidR="00842580">
        <w:t xml:space="preserve">.  </w:t>
      </w:r>
      <w:r w:rsidR="00C71D18">
        <w:t>Staff explains that the</w:t>
      </w:r>
      <w:r w:rsidR="00804412">
        <w:t xml:space="preserve"> D</w:t>
      </w:r>
      <w:r w:rsidR="00842580">
        <w:t>ecoupling mechanism is</w:t>
      </w:r>
      <w:r w:rsidR="006D4953">
        <w:t xml:space="preserve"> based on an update to PSE’s last rate case, which was resolved </w:t>
      </w:r>
      <w:r w:rsidR="006D4953">
        <w:lastRenderedPageBreak/>
        <w:t>by Order 08.</w:t>
      </w:r>
      <w:r w:rsidR="006D4953">
        <w:rPr>
          <w:rStyle w:val="FootnoteReference"/>
        </w:rPr>
        <w:footnoteReference w:id="172"/>
      </w:r>
      <w:r w:rsidR="009E10CD" w:rsidRPr="006D4953">
        <w:rPr>
          <w:vertAlign w:val="superscript"/>
        </w:rPr>
        <w:t>/</w:t>
      </w:r>
      <w:r w:rsidR="00842580">
        <w:t xml:space="preserve">  </w:t>
      </w:r>
      <w:r w:rsidR="007473CF">
        <w:t>In this way</w:t>
      </w:r>
      <w:r w:rsidR="006D4953">
        <w:t>, the Company’s proposal relies</w:t>
      </w:r>
      <w:r w:rsidR="00710D2B">
        <w:t xml:space="preserve"> </w:t>
      </w:r>
      <w:r w:rsidR="007473CF">
        <w:t xml:space="preserve">heavily </w:t>
      </w:r>
      <w:r w:rsidR="00710D2B">
        <w:t xml:space="preserve">upon determinations </w:t>
      </w:r>
      <w:r w:rsidR="007473CF">
        <w:t>which cannot now be challenged—that is, the results being carried forward</w:t>
      </w:r>
      <w:r w:rsidR="00710D2B">
        <w:t xml:space="preserve"> have already been </w:t>
      </w:r>
      <w:r w:rsidR="007473CF">
        <w:t>established</w:t>
      </w:r>
      <w:r w:rsidR="00710D2B">
        <w:t xml:space="preserve"> in the 2011 GRC.  </w:t>
      </w:r>
      <w:r w:rsidR="009E34B7">
        <w:t>Such reasoning begs the question of precisely how issues in the Commission’s Policy Statement on Decoupling can be addressed during th</w:t>
      </w:r>
      <w:r w:rsidR="008473F4">
        <w:t>e course of a GRC which contained</w:t>
      </w:r>
      <w:r w:rsidR="009E34B7">
        <w:t xml:space="preserve"> no</w:t>
      </w:r>
      <w:r w:rsidR="00944902">
        <w:t xml:space="preserve"> </w:t>
      </w:r>
      <w:r w:rsidR="009E34B7">
        <w:t>decoupling proposal</w:t>
      </w:r>
      <w:r w:rsidR="006A0E11">
        <w:t xml:space="preserve"> supported by PSE</w:t>
      </w:r>
      <w:r w:rsidR="009E34B7">
        <w:t xml:space="preserve">.  </w:t>
      </w:r>
      <w:r w:rsidR="0044758D">
        <w:t xml:space="preserve">For example, when asked if Staff factored </w:t>
      </w:r>
      <w:r w:rsidR="00931EF4">
        <w:t xml:space="preserve">in </w:t>
      </w:r>
      <w:r w:rsidR="0044758D">
        <w:t xml:space="preserve">the risk shift to </w:t>
      </w:r>
      <w:r w:rsidR="00804412">
        <w:t>customers effected through the D</w:t>
      </w:r>
      <w:r w:rsidR="0044758D">
        <w:t xml:space="preserve">ecoupling proposal, Ms. Reynolds </w:t>
      </w:r>
      <w:r w:rsidR="006A0510">
        <w:t>reasoned,</w:t>
      </w:r>
      <w:r w:rsidR="0044758D">
        <w:t xml:space="preserve">  “No, because we relied on the an</w:t>
      </w:r>
      <w:r w:rsidR="006D4953">
        <w:t>alysis in the general rate case, yet the rate case adopted assumptions based on the presence of no decoupling mechanism.</w:t>
      </w:r>
      <w:r w:rsidR="0044758D">
        <w:t>”</w:t>
      </w:r>
      <w:r w:rsidR="0044758D">
        <w:rPr>
          <w:rStyle w:val="FootnoteReference"/>
        </w:rPr>
        <w:footnoteReference w:id="173"/>
      </w:r>
      <w:r w:rsidR="0044758D" w:rsidRPr="006D4953">
        <w:rPr>
          <w:vertAlign w:val="superscript"/>
        </w:rPr>
        <w:t>/</w:t>
      </w:r>
      <w:r w:rsidR="0044758D">
        <w:t xml:space="preserve">  Such</w:t>
      </w:r>
      <w:r w:rsidR="003D7D7D">
        <w:t xml:space="preserve"> illogic is unpersuasive</w:t>
      </w:r>
      <w:r w:rsidR="006D4953">
        <w:t xml:space="preserve"> given that the</w:t>
      </w:r>
      <w:r w:rsidR="00804412">
        <w:t xml:space="preserve"> D</w:t>
      </w:r>
      <w:r w:rsidR="006D4953">
        <w:t>ecoupling Policy S</w:t>
      </w:r>
      <w:r w:rsidR="003D7D7D">
        <w:t xml:space="preserve">tatement is predicated on a decoupling mechanism being implemented </w:t>
      </w:r>
      <w:r w:rsidR="00931EF4">
        <w:t>as part of a general rate case.</w:t>
      </w:r>
      <w:r w:rsidR="003D7D7D">
        <w:t xml:space="preserve">  Staff’s</w:t>
      </w:r>
      <w:r w:rsidR="007473CF">
        <w:t xml:space="preserve"> admission that the Amended Petition would </w:t>
      </w:r>
      <w:r w:rsidR="00C23537">
        <w:t>institute</w:t>
      </w:r>
      <w:r w:rsidR="007473CF">
        <w:t xml:space="preserve"> new rate increase mechanisms without the opportunity for parties to contest all the component elements of those mechanisms justifies rejection of the decoupling proposals.</w:t>
      </w:r>
      <w:r w:rsidR="001B162B">
        <w:t xml:space="preserve"> </w:t>
      </w:r>
    </w:p>
    <w:p w:rsidR="00FA7E72" w:rsidRPr="002838FA" w:rsidRDefault="00FA7E72" w:rsidP="00EE3597">
      <w:pPr>
        <w:pStyle w:val="MJDWUTCBrief"/>
        <w:numPr>
          <w:ilvl w:val="0"/>
          <w:numId w:val="0"/>
        </w:numPr>
        <w:spacing w:before="240" w:line="240" w:lineRule="auto"/>
        <w:ind w:left="720" w:hanging="720"/>
        <w:rPr>
          <w:b/>
        </w:rPr>
      </w:pPr>
      <w:r w:rsidRPr="002838FA">
        <w:rPr>
          <w:b/>
        </w:rPr>
        <w:t>ii.</w:t>
      </w:r>
      <w:r w:rsidRPr="002838FA">
        <w:rPr>
          <w:b/>
        </w:rPr>
        <w:tab/>
        <w:t>The Decoupling P</w:t>
      </w:r>
      <w:r w:rsidR="00C42537" w:rsidRPr="002838FA">
        <w:rPr>
          <w:b/>
        </w:rPr>
        <w:t xml:space="preserve">roposal Is Not Based upon </w:t>
      </w:r>
      <w:r w:rsidRPr="002838FA">
        <w:rPr>
          <w:b/>
        </w:rPr>
        <w:t xml:space="preserve">Conservation Target </w:t>
      </w:r>
      <w:r w:rsidR="00C23537" w:rsidRPr="002838FA">
        <w:rPr>
          <w:b/>
        </w:rPr>
        <w:t>Achievement</w:t>
      </w:r>
      <w:r w:rsidRPr="002838FA">
        <w:rPr>
          <w:b/>
        </w:rPr>
        <w:tab/>
      </w:r>
    </w:p>
    <w:p w:rsidR="00FA7E72" w:rsidRPr="0075253E" w:rsidRDefault="00CA7525" w:rsidP="00653299">
      <w:pPr>
        <w:pStyle w:val="MJDWUTCBrief"/>
        <w:spacing w:line="570" w:lineRule="exact"/>
      </w:pPr>
      <w:r>
        <w:t xml:space="preserve">     </w:t>
      </w:r>
      <w:r w:rsidR="003A5F39">
        <w:tab/>
      </w:r>
      <w:r w:rsidR="007B4077">
        <w:t>T</w:t>
      </w:r>
      <w:r w:rsidR="00FA7E72">
        <w:t xml:space="preserve">he Policy Statement provides a foundational requirement:  “Revenue recovery by the company under the mechanism </w:t>
      </w:r>
      <w:r w:rsidR="00FA7E72" w:rsidRPr="006A0510">
        <w:t>will be conditioned upon</w:t>
      </w:r>
      <w:r w:rsidR="00FA7E72">
        <w:t xml:space="preserve"> a utility’s level of </w:t>
      </w:r>
      <w:r w:rsidR="00C23537">
        <w:t>achievement</w:t>
      </w:r>
      <w:r w:rsidR="00FA7E72">
        <w:t xml:space="preserve"> with respect to its conservation target.”</w:t>
      </w:r>
      <w:r w:rsidR="00FA7E72" w:rsidRPr="003234E0">
        <w:rPr>
          <w:rStyle w:val="FootnoteReference"/>
        </w:rPr>
        <w:footnoteReference w:id="174"/>
      </w:r>
      <w:r w:rsidR="00FA7E72" w:rsidRPr="00D82651">
        <w:rPr>
          <w:vertAlign w:val="superscript"/>
        </w:rPr>
        <w:t>/</w:t>
      </w:r>
      <w:r w:rsidR="008473F4">
        <w:t xml:space="preserve">  In fact,</w:t>
      </w:r>
      <w:r w:rsidR="00D93DE4">
        <w:t xml:space="preserve"> the Commission revealed that “[i]</w:t>
      </w:r>
      <w:r w:rsidR="00C23537">
        <w:t>implementation</w:t>
      </w:r>
      <w:r w:rsidR="00D93DE4">
        <w:t xml:space="preserve"> of decoupling to remove any financial </w:t>
      </w:r>
      <w:r w:rsidR="00C23537">
        <w:t>disincentive</w:t>
      </w:r>
      <w:r w:rsidR="00D93DE4">
        <w:t xml:space="preserve"> to conservation in a fair and balanced manner was the motivation behind our Policy Statement.”</w:t>
      </w:r>
      <w:r w:rsidR="00D93DE4">
        <w:rPr>
          <w:rStyle w:val="FootnoteReference"/>
        </w:rPr>
        <w:footnoteReference w:id="175"/>
      </w:r>
      <w:r w:rsidR="00D93DE4" w:rsidRPr="009D7CEE">
        <w:rPr>
          <w:vertAlign w:val="superscript"/>
        </w:rPr>
        <w:t>/</w:t>
      </w:r>
      <w:r w:rsidR="0075253E">
        <w:t xml:space="preserve"> </w:t>
      </w:r>
      <w:r w:rsidR="008473F4">
        <w:t xml:space="preserve"> T</w:t>
      </w:r>
      <w:r w:rsidR="00804412">
        <w:t>hat PSE’s D</w:t>
      </w:r>
      <w:r w:rsidR="0075253E">
        <w:t xml:space="preserve">ecoupling proposal does not condition recovery upon </w:t>
      </w:r>
      <w:r w:rsidR="0075253E">
        <w:lastRenderedPageBreak/>
        <w:t>conservat</w:t>
      </w:r>
      <w:r w:rsidR="008473F4">
        <w:t xml:space="preserve">ion </w:t>
      </w:r>
      <w:r w:rsidR="00C23537">
        <w:t>achievement</w:t>
      </w:r>
      <w:r w:rsidR="0075253E">
        <w:t xml:space="preserve"> should be sufficien</w:t>
      </w:r>
      <w:r w:rsidR="006A0E11">
        <w:t>t basis</w:t>
      </w:r>
      <w:r w:rsidR="0075253E">
        <w:t>, standing alone, to justify its rejection.</w:t>
      </w:r>
    </w:p>
    <w:p w:rsidR="00ED1D8C" w:rsidRDefault="00CA7525" w:rsidP="00653299">
      <w:pPr>
        <w:pStyle w:val="MJDWUTCBrief"/>
        <w:spacing w:line="570" w:lineRule="exact"/>
      </w:pPr>
      <w:r>
        <w:t xml:space="preserve">     </w:t>
      </w:r>
      <w:r w:rsidR="003A5F39">
        <w:tab/>
      </w:r>
      <w:r w:rsidR="0075253E">
        <w:t xml:space="preserve">The Company states that “there is no proposed ‘DSM test’” as regard to conservation </w:t>
      </w:r>
      <w:r w:rsidR="00C23537">
        <w:t>achievement</w:t>
      </w:r>
      <w:r w:rsidR="0075253E">
        <w:t>.</w:t>
      </w:r>
      <w:r w:rsidR="0075253E">
        <w:rPr>
          <w:rStyle w:val="FootnoteReference"/>
        </w:rPr>
        <w:footnoteReference w:id="176"/>
      </w:r>
      <w:r w:rsidR="0075253E" w:rsidRPr="0047630D">
        <w:rPr>
          <w:vertAlign w:val="superscript"/>
        </w:rPr>
        <w:t>/</w:t>
      </w:r>
      <w:r w:rsidR="0075253E">
        <w:t xml:space="preserve">  Rather, PSE </w:t>
      </w:r>
      <w:r w:rsidR="000557EB">
        <w:t xml:space="preserve">proposes “to </w:t>
      </w:r>
      <w:r w:rsidR="000557EB" w:rsidRPr="008473F4">
        <w:rPr>
          <w:i/>
        </w:rPr>
        <w:t>voluntarily</w:t>
      </w:r>
      <w:r w:rsidR="000557EB">
        <w:t xml:space="preserve"> raise” its biennial conservation target,</w:t>
      </w:r>
      <w:r w:rsidR="000557EB">
        <w:rPr>
          <w:rStyle w:val="FootnoteReference"/>
        </w:rPr>
        <w:footnoteReference w:id="177"/>
      </w:r>
      <w:r w:rsidR="000557EB" w:rsidRPr="0047630D">
        <w:rPr>
          <w:vertAlign w:val="superscript"/>
        </w:rPr>
        <w:t>/</w:t>
      </w:r>
      <w:r w:rsidR="000557EB">
        <w:t xml:space="preserve"> to “</w:t>
      </w:r>
      <w:r w:rsidR="000557EB" w:rsidRPr="008473F4">
        <w:rPr>
          <w:i/>
        </w:rPr>
        <w:t>agree</w:t>
      </w:r>
      <w:r w:rsidR="000557EB">
        <w:t xml:space="preserve"> to achieve,”</w:t>
      </w:r>
      <w:r w:rsidR="000557EB">
        <w:rPr>
          <w:rStyle w:val="FootnoteReference"/>
        </w:rPr>
        <w:footnoteReference w:id="178"/>
      </w:r>
      <w:r w:rsidR="000557EB" w:rsidRPr="0047630D">
        <w:rPr>
          <w:vertAlign w:val="superscript"/>
        </w:rPr>
        <w:t>/</w:t>
      </w:r>
      <w:r w:rsidR="000557EB">
        <w:t xml:space="preserve"> and to continue “to </w:t>
      </w:r>
      <w:r w:rsidR="000557EB" w:rsidRPr="008473F4">
        <w:rPr>
          <w:i/>
        </w:rPr>
        <w:t>offer</w:t>
      </w:r>
      <w:r w:rsidR="000557EB">
        <w:t xml:space="preserve"> to exceed” its mandated target.</w:t>
      </w:r>
      <w:r w:rsidR="000557EB">
        <w:rPr>
          <w:rStyle w:val="FootnoteReference"/>
        </w:rPr>
        <w:footnoteReference w:id="179"/>
      </w:r>
      <w:r w:rsidR="000557EB" w:rsidRPr="0047630D">
        <w:rPr>
          <w:vertAlign w:val="superscript"/>
        </w:rPr>
        <w:t>/</w:t>
      </w:r>
      <w:r w:rsidR="000557EB">
        <w:t xml:space="preserve">  Moreover, the Company will “</w:t>
      </w:r>
      <w:r w:rsidR="000557EB" w:rsidRPr="008473F4">
        <w:rPr>
          <w:i/>
        </w:rPr>
        <w:t>voluntarily</w:t>
      </w:r>
      <w:r w:rsidR="000557EB">
        <w:t xml:space="preserve"> submit to” statutory pen</w:t>
      </w:r>
      <w:r w:rsidR="008473F4">
        <w:t>alties for failing to exceed its</w:t>
      </w:r>
      <w:r w:rsidR="003E26C1">
        <w:t xml:space="preserve"> elective</w:t>
      </w:r>
      <w:r w:rsidR="000557EB">
        <w:t xml:space="preserve"> target by 5.0%</w:t>
      </w:r>
      <w:r w:rsidR="003E26C1">
        <w:rPr>
          <w:rStyle w:val="FootnoteReference"/>
        </w:rPr>
        <w:footnoteReference w:id="180"/>
      </w:r>
      <w:r w:rsidR="003E26C1" w:rsidRPr="0047630D">
        <w:rPr>
          <w:vertAlign w:val="superscript"/>
        </w:rPr>
        <w:t>/</w:t>
      </w:r>
      <w:r w:rsidR="000557EB">
        <w:t xml:space="preserve">   </w:t>
      </w:r>
    </w:p>
    <w:p w:rsidR="00FC03E8" w:rsidRDefault="00CA7525" w:rsidP="00653299">
      <w:pPr>
        <w:pStyle w:val="MJDWUTCBrief"/>
        <w:spacing w:line="570" w:lineRule="exact"/>
      </w:pPr>
      <w:r>
        <w:t xml:space="preserve">     </w:t>
      </w:r>
      <w:r w:rsidR="003A5F39">
        <w:tab/>
      </w:r>
      <w:r w:rsidR="003E26C1">
        <w:t>While all thi</w:t>
      </w:r>
      <w:r w:rsidR="008473F4">
        <w:t>s seems to</w:t>
      </w:r>
      <w:r w:rsidR="00ED1D8C">
        <w:t xml:space="preserve"> be designed to have the appearance of </w:t>
      </w:r>
      <w:r w:rsidR="00C23537">
        <w:t>magnanimity</w:t>
      </w:r>
      <w:r w:rsidR="003E26C1">
        <w:t xml:space="preserve"> on PSE’s part, </w:t>
      </w:r>
      <w:r w:rsidR="00ED1D8C">
        <w:t xml:space="preserve">the Company is not </w:t>
      </w:r>
      <w:r w:rsidR="008473F4">
        <w:t xml:space="preserve">truly </w:t>
      </w:r>
      <w:r w:rsidR="00ED1D8C">
        <w:t xml:space="preserve">conditioning revenue recovery on </w:t>
      </w:r>
      <w:r w:rsidR="00C23537">
        <w:t>conservation</w:t>
      </w:r>
      <w:r w:rsidR="00952158">
        <w:t xml:space="preserve"> </w:t>
      </w:r>
      <w:r w:rsidR="00C23537">
        <w:t>achievement</w:t>
      </w:r>
      <w:r w:rsidR="00952158">
        <w:t xml:space="preserve">.  Regardless of conservation </w:t>
      </w:r>
      <w:r w:rsidR="00C23537">
        <w:t>achievement</w:t>
      </w:r>
      <w:r w:rsidR="00ED1D8C">
        <w:t xml:space="preserve">, </w:t>
      </w:r>
      <w:r w:rsidR="00952158">
        <w:t>decoupling rate increas</w:t>
      </w:r>
      <w:r w:rsidR="00452AF9">
        <w:t>es are a fait accompli under the proposal—</w:t>
      </w:r>
      <w:r w:rsidR="008473F4">
        <w:t xml:space="preserve">no matter what, </w:t>
      </w:r>
      <w:r w:rsidR="00ED1D8C">
        <w:t>PSE will collect pre</w:t>
      </w:r>
      <w:r w:rsidR="006A0E11">
        <w:t>-</w:t>
      </w:r>
      <w:r w:rsidR="00ED1D8C">
        <w:t>determi</w:t>
      </w:r>
      <w:r w:rsidR="00804412">
        <w:t>ned rate increases through its D</w:t>
      </w:r>
      <w:r w:rsidR="00ED1D8C">
        <w:t xml:space="preserve">ecoupling plan, and rates will increase via an escalation factor to address alleged </w:t>
      </w:r>
      <w:r w:rsidR="00C23537">
        <w:t>deficiencies</w:t>
      </w:r>
      <w:r w:rsidR="00ED1D8C">
        <w:t xml:space="preserve"> due to regulatory lag.</w:t>
      </w:r>
      <w:r w:rsidR="00952158">
        <w:t xml:space="preserve">  </w:t>
      </w:r>
    </w:p>
    <w:p w:rsidR="0075253E" w:rsidRDefault="00CA7525" w:rsidP="00653299">
      <w:pPr>
        <w:pStyle w:val="MJDWUTCBrief"/>
        <w:spacing w:line="570" w:lineRule="exact"/>
      </w:pPr>
      <w:r>
        <w:t xml:space="preserve">     </w:t>
      </w:r>
      <w:r w:rsidR="003A5F39">
        <w:tab/>
      </w:r>
      <w:r w:rsidR="006A0510">
        <w:t>The Company has provided n</w:t>
      </w:r>
      <w:r w:rsidR="00952158">
        <w:t xml:space="preserve">o data in the Amended Petition or direct testimony demonstrating the impact its voluntary submission to EIA penalties would have in relation to the definite revenue increases </w:t>
      </w:r>
      <w:r w:rsidR="008473F4">
        <w:t>obtained</w:t>
      </w:r>
      <w:r w:rsidR="00952158">
        <w:t xml:space="preserve"> through the </w:t>
      </w:r>
      <w:r w:rsidR="006A0E11">
        <w:t xml:space="preserve">K-factor </w:t>
      </w:r>
      <w:r w:rsidR="00952158">
        <w:t xml:space="preserve">proposal.  </w:t>
      </w:r>
      <w:r w:rsidR="00BE53BC">
        <w:t xml:space="preserve">Indeed, as Staff is unaware of </w:t>
      </w:r>
      <w:r w:rsidR="00BE53BC" w:rsidRPr="00BE53BC">
        <w:rPr>
          <w:i/>
        </w:rPr>
        <w:t>any</w:t>
      </w:r>
      <w:r w:rsidR="00BE53BC">
        <w:t xml:space="preserve"> conservation opportunities which PSE is foregoing</w:t>
      </w:r>
      <w:r w:rsidR="00B256B5">
        <w:t>,</w:t>
      </w:r>
      <w:r w:rsidR="00B256B5">
        <w:rPr>
          <w:rStyle w:val="FootnoteReference"/>
        </w:rPr>
        <w:footnoteReference w:id="181"/>
      </w:r>
      <w:r w:rsidR="00B256B5" w:rsidRPr="005829F5">
        <w:rPr>
          <w:vertAlign w:val="superscript"/>
        </w:rPr>
        <w:t>/</w:t>
      </w:r>
      <w:r w:rsidR="00FC03E8">
        <w:t xml:space="preserve"> the</w:t>
      </w:r>
      <w:r w:rsidR="00BE53BC">
        <w:t xml:space="preserve"> Company </w:t>
      </w:r>
      <w:r w:rsidR="00FC03E8">
        <w:t>could not increase conservation</w:t>
      </w:r>
      <w:r w:rsidR="006A0510">
        <w:t>,</w:t>
      </w:r>
      <w:r w:rsidR="00FC03E8">
        <w:t xml:space="preserve"> at least in a cost-effective</w:t>
      </w:r>
      <w:r w:rsidR="008473F4">
        <w:t xml:space="preserve"> manner—suggesting that </w:t>
      </w:r>
      <w:r w:rsidR="007B4077">
        <w:t>perhaps PSE</w:t>
      </w:r>
      <w:r w:rsidR="00FC03E8">
        <w:t xml:space="preserve"> anticipate</w:t>
      </w:r>
      <w:r w:rsidR="008473F4">
        <w:t>s</w:t>
      </w:r>
      <w:r w:rsidR="00FC03E8">
        <w:t xml:space="preserve"> paying EIA penalties.  Obviously, PSE would </w:t>
      </w:r>
      <w:r w:rsidR="00FC03E8">
        <w:lastRenderedPageBreak/>
        <w:t xml:space="preserve">only suggest a “trade-off” of decoupling rate increases against EIA penalties </w:t>
      </w:r>
      <w:r w:rsidR="008473F4">
        <w:t>if the swap</w:t>
      </w:r>
      <w:r w:rsidR="00FC03E8">
        <w:t xml:space="preserve"> benefitted the Company.  </w:t>
      </w:r>
      <w:r w:rsidR="00952158">
        <w:t>Such consideration is plainly re</w:t>
      </w:r>
      <w:r w:rsidR="008473F4">
        <w:t>levant to assess the fairness of</w:t>
      </w:r>
      <w:r w:rsidR="00952158">
        <w:t xml:space="preserve"> decoupling rate increases, and </w:t>
      </w:r>
      <w:r w:rsidR="00C65B4B">
        <w:t>the corresponding shift in financial risk to ratepayers.  H</w:t>
      </w:r>
      <w:r w:rsidR="00952158">
        <w:t>aving not met the burden of production or</w:t>
      </w:r>
      <w:r w:rsidR="00C65B4B">
        <w:t xml:space="preserve"> persuasion in this regard, PSE’s </w:t>
      </w:r>
      <w:r w:rsidR="00952158">
        <w:t>proposal</w:t>
      </w:r>
      <w:r w:rsidR="00C65B4B">
        <w:t xml:space="preserve"> should not be approved.</w:t>
      </w:r>
    </w:p>
    <w:p w:rsidR="00C65B4B" w:rsidRPr="009C17A8" w:rsidRDefault="00730D94" w:rsidP="00653299">
      <w:pPr>
        <w:pStyle w:val="MJDWUTCBrief"/>
        <w:spacing w:line="570" w:lineRule="exact"/>
      </w:pPr>
      <w:r>
        <w:t xml:space="preserve">   </w:t>
      </w:r>
      <w:r w:rsidR="003A5F39">
        <w:tab/>
      </w:r>
      <w:r w:rsidR="0068527C">
        <w:t>Another key factor</w:t>
      </w:r>
      <w:r w:rsidR="00081B33">
        <w:t xml:space="preserve"> militating</w:t>
      </w:r>
      <w:r w:rsidR="00C65B4B">
        <w:t xml:space="preserve"> against PSE’s “offer” </w:t>
      </w:r>
      <w:r w:rsidR="00081B33">
        <w:t xml:space="preserve">to exceed conservation targets is the </w:t>
      </w:r>
      <w:r w:rsidR="00C23537">
        <w:t>appropriateness</w:t>
      </w:r>
      <w:r w:rsidR="00081B33">
        <w:t xml:space="preserve"> of a target that can be exceeded.  </w:t>
      </w:r>
      <w:r w:rsidR="00081B33" w:rsidRPr="00A17730">
        <w:t>W</w:t>
      </w:r>
      <w:r w:rsidR="00081B33">
        <w:t>ashington law requires utilities</w:t>
      </w:r>
      <w:r w:rsidR="00081B33" w:rsidRPr="00A17730">
        <w:t xml:space="preserve"> to acquire all feasible, reliable conservati</w:t>
      </w:r>
      <w:r w:rsidR="00081B33">
        <w:t>on that is cost-effectiv</w:t>
      </w:r>
      <w:r w:rsidR="00BB6099">
        <w:t>e</w:t>
      </w:r>
      <w:r w:rsidR="00081B33">
        <w:rPr>
          <w:rStyle w:val="FootnoteReference"/>
        </w:rPr>
        <w:footnoteReference w:id="182"/>
      </w:r>
      <w:r w:rsidR="00081B33" w:rsidRPr="0047630D">
        <w:rPr>
          <w:vertAlign w:val="superscript"/>
        </w:rPr>
        <w:t>/</w:t>
      </w:r>
      <w:r w:rsidR="00081B33">
        <w:t xml:space="preserve">—meaning </w:t>
      </w:r>
      <w:r w:rsidR="00081B33" w:rsidRPr="00A17730">
        <w:t xml:space="preserve">a utility’s conservation target is </w:t>
      </w:r>
      <w:r w:rsidR="00081B33">
        <w:t xml:space="preserve">already </w:t>
      </w:r>
      <w:r w:rsidR="00081B33" w:rsidRPr="00A17730">
        <w:t>set</w:t>
      </w:r>
      <w:r w:rsidR="00081B33">
        <w:t>, by definition,</w:t>
      </w:r>
      <w:r w:rsidR="00081B33" w:rsidRPr="00A17730">
        <w:t xml:space="preserve"> to include all cost-effective conservation.  The </w:t>
      </w:r>
      <w:r w:rsidR="00BB6099">
        <w:t>logical</w:t>
      </w:r>
      <w:r w:rsidR="00081B33">
        <w:t xml:space="preserve"> correlative</w:t>
      </w:r>
      <w:r w:rsidR="00081B33" w:rsidRPr="00A17730">
        <w:t xml:space="preserve"> is that any additional conservation is </w:t>
      </w:r>
      <w:r w:rsidR="00081B33" w:rsidRPr="00BB6099">
        <w:rPr>
          <w:i/>
        </w:rPr>
        <w:t>not</w:t>
      </w:r>
      <w:r w:rsidR="00081B33" w:rsidRPr="00A17730">
        <w:t xml:space="preserve"> cost-effective.</w:t>
      </w:r>
      <w:r w:rsidR="00C65B4B">
        <w:t xml:space="preserve"> </w:t>
      </w:r>
      <w:r w:rsidR="00BB6099">
        <w:t xml:space="preserve"> The Policy Statement addresses this very issue, noting </w:t>
      </w:r>
      <w:r w:rsidR="00C71D18">
        <w:t>the Commission would examine proposals thoroughly because</w:t>
      </w:r>
      <w:r w:rsidR="00BB6099">
        <w:t xml:space="preserve"> conditioning </w:t>
      </w:r>
      <w:r w:rsidR="00365F05">
        <w:t>incentives</w:t>
      </w:r>
      <w:r w:rsidR="00BB6099">
        <w:t xml:space="preserve"> upon </w:t>
      </w:r>
      <w:r w:rsidR="00365F05">
        <w:t>exceeding target levels</w:t>
      </w:r>
      <w:r w:rsidR="00BB6099">
        <w:t xml:space="preserve"> “could motivate a company to state a less ambitious conservation</w:t>
      </w:r>
      <w:r w:rsidR="00365F05">
        <w:t xml:space="preserve"> target so that it would be easier to exceed that target and thereby reap the benefits of whatever reward mechanism is in place.”</w:t>
      </w:r>
      <w:r w:rsidR="00365F05" w:rsidRPr="003234E0">
        <w:rPr>
          <w:rStyle w:val="FootnoteReference"/>
        </w:rPr>
        <w:footnoteReference w:id="183"/>
      </w:r>
      <w:r w:rsidR="00365F05" w:rsidRPr="00BE53BC">
        <w:rPr>
          <w:vertAlign w:val="superscript"/>
        </w:rPr>
        <w:t>/</w:t>
      </w:r>
      <w:r w:rsidR="00BB6099">
        <w:t xml:space="preserve"> </w:t>
      </w:r>
      <w:r w:rsidR="00365F05">
        <w:t xml:space="preserve"> </w:t>
      </w:r>
      <w:r w:rsidR="006A0510">
        <w:t>At the very least,</w:t>
      </w:r>
      <w:r w:rsidR="00365F05">
        <w:t xml:space="preserve"> PSE’s proposal </w:t>
      </w:r>
      <w:r w:rsidR="0046109C">
        <w:t xml:space="preserve">to </w:t>
      </w:r>
      <w:r w:rsidR="00365F05">
        <w:t xml:space="preserve">establish annual decoupling rate increases in </w:t>
      </w:r>
      <w:r w:rsidR="00F10F98">
        <w:t>“</w:t>
      </w:r>
      <w:r w:rsidR="00365F05">
        <w:t>exchange</w:t>
      </w:r>
      <w:r w:rsidR="00F10F98">
        <w:t>”</w:t>
      </w:r>
      <w:r w:rsidR="00365F05">
        <w:t xml:space="preserve"> for </w:t>
      </w:r>
      <w:r w:rsidR="00F10F98">
        <w:t xml:space="preserve">voluntary </w:t>
      </w:r>
      <w:r w:rsidR="00365F05">
        <w:t xml:space="preserve">conservation </w:t>
      </w:r>
      <w:r w:rsidR="00C23537">
        <w:t>achievement</w:t>
      </w:r>
      <w:r w:rsidR="0046109C">
        <w:t xml:space="preserve"> </w:t>
      </w:r>
      <w:r w:rsidR="00365F05">
        <w:t>exceed</w:t>
      </w:r>
      <w:r w:rsidR="0046109C">
        <w:t>ing</w:t>
      </w:r>
      <w:r w:rsidR="00365F05">
        <w:t xml:space="preserve"> </w:t>
      </w:r>
      <w:r w:rsidR="0046109C">
        <w:t>targets by 5% is worthy of</w:t>
      </w:r>
      <w:r w:rsidR="00365F05">
        <w:t xml:space="preserve"> much closer examination</w:t>
      </w:r>
      <w:r w:rsidR="0046109C">
        <w:t xml:space="preserve"> than the current </w:t>
      </w:r>
      <w:r w:rsidR="007965B1">
        <w:t>proceedings have</w:t>
      </w:r>
      <w:r w:rsidR="0046109C">
        <w:t xml:space="preserve"> allow</w:t>
      </w:r>
      <w:r w:rsidR="007965B1">
        <w:t>ed</w:t>
      </w:r>
      <w:r w:rsidR="0046109C">
        <w:t>.</w:t>
      </w:r>
    </w:p>
    <w:p w:rsidR="009C17A8" w:rsidRPr="002838FA" w:rsidRDefault="009C17A8" w:rsidP="00C37BFF">
      <w:pPr>
        <w:pStyle w:val="MJDWUTCBrief"/>
        <w:numPr>
          <w:ilvl w:val="0"/>
          <w:numId w:val="0"/>
        </w:numPr>
        <w:spacing w:line="570" w:lineRule="exact"/>
        <w:rPr>
          <w:b/>
        </w:rPr>
      </w:pPr>
      <w:r w:rsidRPr="002838FA">
        <w:rPr>
          <w:b/>
        </w:rPr>
        <w:t>ii</w:t>
      </w:r>
      <w:r w:rsidR="00FA7E72" w:rsidRPr="002838FA">
        <w:rPr>
          <w:b/>
        </w:rPr>
        <w:t>i</w:t>
      </w:r>
      <w:r w:rsidRPr="002838FA">
        <w:rPr>
          <w:b/>
        </w:rPr>
        <w:t>.</w:t>
      </w:r>
      <w:r w:rsidRPr="002838FA">
        <w:rPr>
          <w:b/>
        </w:rPr>
        <w:tab/>
        <w:t>A Decoupling Propo</w:t>
      </w:r>
      <w:r w:rsidR="00C42537" w:rsidRPr="002838FA">
        <w:rPr>
          <w:b/>
        </w:rPr>
        <w:t xml:space="preserve">sal Should Include Offset </w:t>
      </w:r>
      <w:r w:rsidRPr="002838FA">
        <w:rPr>
          <w:b/>
        </w:rPr>
        <w:t>Mechanisms</w:t>
      </w:r>
      <w:r w:rsidRPr="002838FA">
        <w:rPr>
          <w:b/>
        </w:rPr>
        <w:tab/>
      </w:r>
    </w:p>
    <w:p w:rsidR="003F43B1" w:rsidRDefault="00CA7525" w:rsidP="00C37BFF">
      <w:pPr>
        <w:pStyle w:val="MJDWUTCBrief"/>
        <w:spacing w:line="570" w:lineRule="exact"/>
      </w:pPr>
      <w:r>
        <w:t xml:space="preserve">     </w:t>
      </w:r>
      <w:r w:rsidR="003A5F39">
        <w:tab/>
      </w:r>
      <w:r w:rsidR="00C71D18">
        <w:t>The</w:t>
      </w:r>
      <w:r w:rsidR="00E13389">
        <w:t xml:space="preserve"> Policy Sta</w:t>
      </w:r>
      <w:r w:rsidR="00C71D18">
        <w:t>tement also</w:t>
      </w:r>
      <w:r w:rsidR="00E13389">
        <w:t xml:space="preserve"> states</w:t>
      </w:r>
      <w:r w:rsidR="007D7B05">
        <w:t xml:space="preserve"> </w:t>
      </w:r>
      <w:r w:rsidR="00C71D18">
        <w:t>that</w:t>
      </w:r>
      <w:r w:rsidR="00E13389">
        <w:t xml:space="preserve"> Commission will consider a full decoupling mechanism if it will “allow a utility to either recover revenue declines related to reduced </w:t>
      </w:r>
      <w:r w:rsidR="00E13389">
        <w:lastRenderedPageBreak/>
        <w:t>sales volumes or, in the case of sales volume increases, refund such revenues to its customers.”</w:t>
      </w:r>
      <w:r w:rsidR="00E13389" w:rsidRPr="003234E0">
        <w:rPr>
          <w:rStyle w:val="FootnoteReference"/>
        </w:rPr>
        <w:footnoteReference w:id="184"/>
      </w:r>
      <w:r w:rsidR="00E13389" w:rsidRPr="00D82651">
        <w:rPr>
          <w:vertAlign w:val="superscript"/>
        </w:rPr>
        <w:t>/</w:t>
      </w:r>
      <w:r w:rsidR="00E13389">
        <w:t xml:space="preserve">  Such offset and balancing capability has remained of special concern to the Commission in recent GRC Bench Requests, as in “consideration of lost sales revenues that are potentially offset by avoided costs and other benefits.”</w:t>
      </w:r>
      <w:r w:rsidR="00E13389">
        <w:rPr>
          <w:rStyle w:val="FootnoteReference"/>
        </w:rPr>
        <w:footnoteReference w:id="185"/>
      </w:r>
      <w:r w:rsidR="00E13389">
        <w:rPr>
          <w:vertAlign w:val="superscript"/>
        </w:rPr>
        <w:t>/</w:t>
      </w:r>
      <w:r w:rsidR="00E13389">
        <w:t xml:space="preserve">  The Amended Petition </w:t>
      </w:r>
      <w:r w:rsidR="003B701D">
        <w:t xml:space="preserve">does not contain these elements.  Instead, </w:t>
      </w:r>
      <w:r w:rsidR="00E13389">
        <w:t xml:space="preserve">as Mr. Deen testifies, </w:t>
      </w:r>
      <w:r w:rsidR="003B701D">
        <w:t>PSE’s</w:t>
      </w:r>
      <w:r w:rsidR="00804412">
        <w:t xml:space="preserve"> D</w:t>
      </w:r>
      <w:r w:rsidR="00E13389">
        <w:t xml:space="preserve">ecoupling proposal </w:t>
      </w:r>
      <w:r w:rsidR="003B701D">
        <w:t>“at its core, is a simple revenue escalator:  if volumes go down, recovery goes up; likewise, if volumes go up, recovery still goes up.”</w:t>
      </w:r>
      <w:r w:rsidR="003B701D">
        <w:rPr>
          <w:rStyle w:val="FootnoteReference"/>
        </w:rPr>
        <w:footnoteReference w:id="186"/>
      </w:r>
      <w:r w:rsidR="003B701D">
        <w:rPr>
          <w:vertAlign w:val="superscript"/>
        </w:rPr>
        <w:t>/</w:t>
      </w:r>
    </w:p>
    <w:p w:rsidR="00CF2C6A" w:rsidRDefault="00CA7525" w:rsidP="00C37BFF">
      <w:pPr>
        <w:pStyle w:val="MJDWUTCBrief"/>
        <w:spacing w:line="570" w:lineRule="exact"/>
      </w:pPr>
      <w:r>
        <w:t xml:space="preserve">     </w:t>
      </w:r>
      <w:r w:rsidR="003A5F39">
        <w:tab/>
      </w:r>
      <w:r w:rsidR="004C4B0E">
        <w:t xml:space="preserve">As Staff pointed out in the 2011 GRC, conservation should prompt a utility </w:t>
      </w:r>
      <w:r w:rsidR="00711842">
        <w:t>to</w:t>
      </w:r>
      <w:r w:rsidR="004C4B0E">
        <w:t xml:space="preserve"> market electricity which would have otherwise been sold </w:t>
      </w:r>
      <w:r w:rsidR="00711842">
        <w:t>to customers, while the utility also “</w:t>
      </w:r>
      <w:r w:rsidR="004C4B0E">
        <w:t>incurs lower costs due to the wholesale sales, such as reduced line losses, reduced uncollectible expense, and avoidance of the Public Utility Tax.”</w:t>
      </w:r>
      <w:r w:rsidR="004C4B0E">
        <w:rPr>
          <w:rStyle w:val="FootnoteReference"/>
        </w:rPr>
        <w:footnoteReference w:id="187"/>
      </w:r>
      <w:r w:rsidR="004C4B0E" w:rsidRPr="009D7CEE">
        <w:rPr>
          <w:vertAlign w:val="superscript"/>
        </w:rPr>
        <w:t>/</w:t>
      </w:r>
      <w:r w:rsidR="004C4B0E">
        <w:t xml:space="preserve"> </w:t>
      </w:r>
      <w:r w:rsidR="00711842">
        <w:t xml:space="preserve"> Decoupling mechanisms should recognize the benefits of enhanced whole</w:t>
      </w:r>
      <w:r w:rsidR="007B4077">
        <w:t>sale</w:t>
      </w:r>
      <w:r w:rsidR="00711842">
        <w:t xml:space="preserve"> sales because specified levels of recovery are guaranteed.</w:t>
      </w:r>
      <w:r w:rsidR="00711842">
        <w:rPr>
          <w:rStyle w:val="FootnoteReference"/>
        </w:rPr>
        <w:footnoteReference w:id="188"/>
      </w:r>
      <w:r w:rsidR="00711842">
        <w:rPr>
          <w:vertAlign w:val="superscript"/>
        </w:rPr>
        <w:t>/</w:t>
      </w:r>
      <w:r w:rsidR="00711842">
        <w:t xml:space="preserve">  Accordingly, the Company’s refusal to account for off-system sales and avoided costs should</w:t>
      </w:r>
      <w:r w:rsidR="007B4077">
        <w:t xml:space="preserve"> be another basis for rejection</w:t>
      </w:r>
      <w:r w:rsidR="00711842">
        <w:t>.</w:t>
      </w:r>
    </w:p>
    <w:p w:rsidR="0094380F" w:rsidRDefault="00CA7525" w:rsidP="00C37BFF">
      <w:pPr>
        <w:pStyle w:val="MJDWUTCBrief"/>
        <w:spacing w:line="570" w:lineRule="exact"/>
      </w:pPr>
      <w:r>
        <w:t xml:space="preserve">     </w:t>
      </w:r>
      <w:r w:rsidR="003A5F39">
        <w:tab/>
      </w:r>
      <w:r w:rsidR="00711842">
        <w:t xml:space="preserve">PSE’s basis for contending that such accounting is “unnecessary” is unpersuasive.  </w:t>
      </w:r>
      <w:r w:rsidR="00C66A9B">
        <w:t>T</w:t>
      </w:r>
      <w:r w:rsidR="0094380F">
        <w:t xml:space="preserve">he Company believes the requisite accounting “will only serve to </w:t>
      </w:r>
      <w:r w:rsidR="00C23537">
        <w:t>unnecessarily</w:t>
      </w:r>
      <w:r w:rsidR="0094380F">
        <w:t xml:space="preserve"> complicate the administration of the decoupling mechanisms,”</w:t>
      </w:r>
      <w:r w:rsidR="0094380F">
        <w:rPr>
          <w:rStyle w:val="FootnoteReference"/>
        </w:rPr>
        <w:footnoteReference w:id="189"/>
      </w:r>
      <w:r w:rsidR="0094380F" w:rsidRPr="0047630D">
        <w:rPr>
          <w:vertAlign w:val="superscript"/>
        </w:rPr>
        <w:t>/</w:t>
      </w:r>
      <w:r w:rsidR="0094380F">
        <w:t xml:space="preserve"> presumably because “attempting to account for these effects may lead to unforeseen and unintended consequences in the interaction with PSE’s PCA mechanism.”</w:t>
      </w:r>
      <w:r w:rsidR="0094380F" w:rsidRPr="00233BE3">
        <w:rPr>
          <w:rStyle w:val="FootnoteReference"/>
        </w:rPr>
        <w:footnoteReference w:id="190"/>
      </w:r>
      <w:r w:rsidR="0094380F" w:rsidRPr="00233BE3">
        <w:rPr>
          <w:vertAlign w:val="superscript"/>
        </w:rPr>
        <w:t>/</w:t>
      </w:r>
      <w:r w:rsidR="0094380F">
        <w:t xml:space="preserve"> </w:t>
      </w:r>
      <w:r w:rsidR="00C553F5">
        <w:t xml:space="preserve"> </w:t>
      </w:r>
      <w:r w:rsidR="0094380F">
        <w:t xml:space="preserve">Surely, the Company’s </w:t>
      </w:r>
      <w:r w:rsidR="0094380F">
        <w:lastRenderedPageBreak/>
        <w:t xml:space="preserve">burdens of proof and persuasion </w:t>
      </w:r>
      <w:r w:rsidR="00C553F5">
        <w:t>are not satisfied by raising such</w:t>
      </w:r>
      <w:r w:rsidR="0094380F">
        <w:t xml:space="preserve"> bare specter</w:t>
      </w:r>
      <w:r w:rsidR="00C553F5">
        <w:t>s</w:t>
      </w:r>
      <w:r w:rsidR="0094380F">
        <w:t xml:space="preserve"> of </w:t>
      </w:r>
      <w:r w:rsidR="007543E0">
        <w:t xml:space="preserve">potential </w:t>
      </w:r>
      <w:r w:rsidR="00C553F5">
        <w:t xml:space="preserve">consequence, themselves </w:t>
      </w:r>
      <w:r w:rsidR="0094380F">
        <w:t>so nebulous</w:t>
      </w:r>
      <w:r w:rsidR="00C553F5">
        <w:t xml:space="preserve"> that</w:t>
      </w:r>
      <w:r w:rsidR="0094380F">
        <w:t xml:space="preserve"> they can only be referr</w:t>
      </w:r>
      <w:r w:rsidR="00C553F5">
        <w:t>e</w:t>
      </w:r>
      <w:r w:rsidR="0094380F">
        <w:t>d to as “unforeseen.”</w:t>
      </w:r>
    </w:p>
    <w:p w:rsidR="00711842" w:rsidRPr="007D7B05" w:rsidRDefault="00CA7525" w:rsidP="00C37BFF">
      <w:pPr>
        <w:pStyle w:val="MJDWUTCBrief"/>
        <w:spacing w:line="570" w:lineRule="exact"/>
      </w:pPr>
      <w:r>
        <w:t xml:space="preserve">     </w:t>
      </w:r>
      <w:r w:rsidR="003A5F39">
        <w:tab/>
      </w:r>
      <w:r w:rsidR="0094380F">
        <w:t xml:space="preserve">Additionally, </w:t>
      </w:r>
      <w:r w:rsidR="007543E0">
        <w:t xml:space="preserve">PSE argues that the mechanics of its </w:t>
      </w:r>
      <w:r w:rsidR="00C66A9B">
        <w:t>power cost mechanisms</w:t>
      </w:r>
      <w:r w:rsidR="007543E0">
        <w:t xml:space="preserve"> obviate the need for off-system sales and avoided cost accounting because “at most there would be small deviations from the amounts of conservation already projected in the rate year.”</w:t>
      </w:r>
      <w:r w:rsidR="007543E0" w:rsidRPr="00233BE3">
        <w:rPr>
          <w:rStyle w:val="FootnoteReference"/>
        </w:rPr>
        <w:footnoteReference w:id="191"/>
      </w:r>
      <w:r w:rsidR="007543E0" w:rsidRPr="00233BE3">
        <w:rPr>
          <w:vertAlign w:val="superscript"/>
        </w:rPr>
        <w:t>/</w:t>
      </w:r>
      <w:r w:rsidR="0094380F">
        <w:t xml:space="preserve">  </w:t>
      </w:r>
      <w:r w:rsidR="008C2E15">
        <w:t xml:space="preserve">The problem with this logic </w:t>
      </w:r>
      <w:r w:rsidR="007B4077">
        <w:t>is it permeates this entire proceeding—</w:t>
      </w:r>
      <w:r w:rsidR="007B4077" w:rsidRPr="007B4077">
        <w:rPr>
          <w:u w:val="single"/>
        </w:rPr>
        <w:t>i.e.</w:t>
      </w:r>
      <w:r w:rsidR="007B4077" w:rsidRPr="007B4077">
        <w:t xml:space="preserve">, </w:t>
      </w:r>
      <w:r w:rsidR="00C66A9B">
        <w:t>if the impact is small</w:t>
      </w:r>
      <w:r w:rsidR="007B4077" w:rsidRPr="007B4077">
        <w:t>, it can be ignored, or evidence isn’t required to provide support.</w:t>
      </w:r>
      <w:r w:rsidR="00FA2E81">
        <w:t xml:space="preserve">  PSE further ignores its commitment to achieve at least 5% more conservation than projected. </w:t>
      </w:r>
      <w:r w:rsidR="007B4077">
        <w:rPr>
          <w:u w:val="single"/>
        </w:rPr>
        <w:t xml:space="preserve">  </w:t>
      </w:r>
    </w:p>
    <w:p w:rsidR="009C17A8" w:rsidRPr="002838FA" w:rsidRDefault="00FA7E72" w:rsidP="00594B14">
      <w:pPr>
        <w:pStyle w:val="MJDWUTCBrief"/>
        <w:keepNext/>
        <w:numPr>
          <w:ilvl w:val="0"/>
          <w:numId w:val="0"/>
        </w:numPr>
        <w:spacing w:line="570" w:lineRule="exact"/>
        <w:rPr>
          <w:b/>
        </w:rPr>
      </w:pPr>
      <w:r w:rsidRPr="002838FA">
        <w:rPr>
          <w:b/>
        </w:rPr>
        <w:t>iv</w:t>
      </w:r>
      <w:r w:rsidR="009C17A8" w:rsidRPr="002838FA">
        <w:rPr>
          <w:b/>
        </w:rPr>
        <w:t>.</w:t>
      </w:r>
      <w:r w:rsidR="009C17A8" w:rsidRPr="002838FA">
        <w:rPr>
          <w:b/>
        </w:rPr>
        <w:tab/>
        <w:t xml:space="preserve">Per-customer Decoupling </w:t>
      </w:r>
      <w:r w:rsidR="008804C0" w:rsidRPr="002838FA">
        <w:rPr>
          <w:b/>
        </w:rPr>
        <w:t>Should Not Be Approved</w:t>
      </w:r>
      <w:r w:rsidR="009C17A8" w:rsidRPr="002838FA">
        <w:rPr>
          <w:b/>
        </w:rPr>
        <w:tab/>
      </w:r>
    </w:p>
    <w:p w:rsidR="007D7B05" w:rsidRDefault="00CA7525" w:rsidP="00C66A9B">
      <w:pPr>
        <w:pStyle w:val="MJDWUTCBrief"/>
        <w:spacing w:line="570" w:lineRule="exact"/>
      </w:pPr>
      <w:r>
        <w:t xml:space="preserve">     </w:t>
      </w:r>
      <w:r w:rsidR="003A5F39">
        <w:tab/>
      </w:r>
      <w:r w:rsidR="006D27E9">
        <w:t xml:space="preserve">The need for offsets is </w:t>
      </w:r>
      <w:r w:rsidR="008C2E15">
        <w:t xml:space="preserve">further </w:t>
      </w:r>
      <w:r w:rsidR="006D27E9">
        <w:t xml:space="preserve">evinced by the Commission’s expectation of </w:t>
      </w:r>
      <w:r w:rsidR="00C5734E">
        <w:t>“</w:t>
      </w:r>
      <w:r w:rsidR="006D27E9">
        <w:t>per-class</w:t>
      </w:r>
      <w:r w:rsidR="00C5734E">
        <w:t>”</w:t>
      </w:r>
      <w:r w:rsidR="006D27E9">
        <w:t xml:space="preserve"> decoupling mechanisms.  </w:t>
      </w:r>
      <w:r w:rsidR="00B65F23">
        <w:t>The</w:t>
      </w:r>
      <w:r w:rsidR="00B65F23" w:rsidRPr="004F167B">
        <w:t xml:space="preserve"> </w:t>
      </w:r>
      <w:r w:rsidR="00B65F23" w:rsidRPr="00233BE3">
        <w:t>Policy Statement explicitly</w:t>
      </w:r>
      <w:r w:rsidR="00C5734E">
        <w:t xml:space="preserve"> provides</w:t>
      </w:r>
      <w:r w:rsidR="00B65F23">
        <w:t xml:space="preserve"> that decoupling</w:t>
      </w:r>
      <w:r w:rsidR="00B65F23" w:rsidRPr="00233BE3">
        <w:t xml:space="preserve"> true-up</w:t>
      </w:r>
      <w:r w:rsidR="00B65F23">
        <w:t>s</w:t>
      </w:r>
      <w:r w:rsidR="00B65F23" w:rsidRPr="00233BE3">
        <w:t xml:space="preserve"> should track customer use by class, and recover “revenue attributed to each affected class of customer,” rather than </w:t>
      </w:r>
      <w:r w:rsidR="00C5734E">
        <w:t xml:space="preserve">simply </w:t>
      </w:r>
      <w:r w:rsidR="00B65F23" w:rsidRPr="00233BE3">
        <w:t>revenue per-customer.</w:t>
      </w:r>
      <w:r w:rsidR="00B65F23" w:rsidRPr="00233BE3">
        <w:rPr>
          <w:rStyle w:val="FootnoteReference"/>
        </w:rPr>
        <w:footnoteReference w:id="192"/>
      </w:r>
      <w:r w:rsidR="00B65F23" w:rsidRPr="00233BE3">
        <w:rPr>
          <w:vertAlign w:val="superscript"/>
        </w:rPr>
        <w:t>/</w:t>
      </w:r>
      <w:r w:rsidR="007B4077">
        <w:t xml:space="preserve"> </w:t>
      </w:r>
      <w:r w:rsidR="0091052F">
        <w:t xml:space="preserve">  Twice </w:t>
      </w:r>
      <w:r w:rsidR="006267BD">
        <w:t xml:space="preserve">within the Policy Statement, </w:t>
      </w:r>
      <w:r w:rsidR="0091052F">
        <w:t xml:space="preserve">the Commission </w:t>
      </w:r>
      <w:r w:rsidR="006267BD">
        <w:t xml:space="preserve">recorded its concern that decoupling “may result in cross-subsidies among </w:t>
      </w:r>
      <w:r w:rsidR="006267BD" w:rsidRPr="006267BD">
        <w:rPr>
          <w:i/>
        </w:rPr>
        <w:t>rate classes</w:t>
      </w:r>
      <w:r w:rsidR="006267BD">
        <w:t>.”</w:t>
      </w:r>
      <w:r w:rsidR="006267BD" w:rsidRPr="00233BE3">
        <w:rPr>
          <w:rStyle w:val="FootnoteReference"/>
        </w:rPr>
        <w:footnoteReference w:id="193"/>
      </w:r>
      <w:r w:rsidR="006267BD" w:rsidRPr="00233BE3">
        <w:rPr>
          <w:vertAlign w:val="superscript"/>
        </w:rPr>
        <w:t>/</w:t>
      </w:r>
      <w:r w:rsidR="006267BD">
        <w:t xml:space="preserve">  To avoid such a result, the Policy Statement provides:  “A reasonable mechanism would balance conservation program </w:t>
      </w:r>
      <w:r w:rsidR="00C23537">
        <w:t>achievements</w:t>
      </w:r>
      <w:r w:rsidR="006267BD">
        <w:t xml:space="preserve"> by class with the revenue recovery expected from that class under the mechanism.”</w:t>
      </w:r>
      <w:r w:rsidR="006267BD" w:rsidRPr="00233BE3">
        <w:rPr>
          <w:rStyle w:val="FootnoteReference"/>
        </w:rPr>
        <w:footnoteReference w:id="194"/>
      </w:r>
      <w:r w:rsidR="006267BD" w:rsidRPr="00233BE3">
        <w:rPr>
          <w:vertAlign w:val="superscript"/>
        </w:rPr>
        <w:t>/</w:t>
      </w:r>
      <w:r w:rsidR="006267BD">
        <w:t xml:space="preserve"> </w:t>
      </w:r>
      <w:r w:rsidR="0091052F">
        <w:t xml:space="preserve"> </w:t>
      </w:r>
      <w:r w:rsidR="006267BD">
        <w:t>The term “class” in th</w:t>
      </w:r>
      <w:r w:rsidR="00812788">
        <w:t>e Policy Statement should, thus,</w:t>
      </w:r>
      <w:r w:rsidR="006267BD">
        <w:t xml:space="preserve"> be</w:t>
      </w:r>
      <w:r w:rsidR="00BD276D">
        <w:t xml:space="preserve"> understood to mean “rate class,</w:t>
      </w:r>
      <w:r w:rsidR="006267BD">
        <w:t>”</w:t>
      </w:r>
      <w:r w:rsidR="00BD276D">
        <w:t xml:space="preserve"> </w:t>
      </w:r>
      <w:r w:rsidR="00C5734E">
        <w:t xml:space="preserve">as synonymous with </w:t>
      </w:r>
      <w:r w:rsidR="00C23537">
        <w:t>tariff</w:t>
      </w:r>
      <w:r w:rsidR="00BD276D">
        <w:t xml:space="preserve"> schedules.</w:t>
      </w:r>
      <w:r w:rsidR="006267BD">
        <w:t xml:space="preserve">  PSE’s </w:t>
      </w:r>
      <w:r w:rsidR="00BD276D">
        <w:t xml:space="preserve">proposed </w:t>
      </w:r>
      <w:r w:rsidR="006267BD">
        <w:t xml:space="preserve">division </w:t>
      </w:r>
      <w:r w:rsidR="00C66A9B">
        <w:t xml:space="preserve">of all customer </w:t>
      </w:r>
      <w:r w:rsidR="00C66A9B">
        <w:lastRenderedPageBreak/>
        <w:t xml:space="preserve">rate classes </w:t>
      </w:r>
      <w:r w:rsidR="00812788">
        <w:t>into two “rate groups”</w:t>
      </w:r>
      <w:r w:rsidR="00812788" w:rsidRPr="006530A5">
        <w:rPr>
          <w:rStyle w:val="FootnoteReference"/>
        </w:rPr>
        <w:footnoteReference w:id="195"/>
      </w:r>
      <w:r w:rsidR="00812788" w:rsidRPr="00D82651">
        <w:rPr>
          <w:vertAlign w:val="superscript"/>
        </w:rPr>
        <w:t>/</w:t>
      </w:r>
      <w:r w:rsidR="00C66A9B">
        <w:t xml:space="preserve"> </w:t>
      </w:r>
      <w:r w:rsidR="00812788">
        <w:t>does not square with Policy Statement guidelines.</w:t>
      </w:r>
      <w:r w:rsidR="00C66A9B">
        <w:t xml:space="preserve">  </w:t>
      </w:r>
      <w:r w:rsidR="00A9267E">
        <w:t>Th</w:t>
      </w:r>
      <w:r w:rsidR="007B4077">
        <w:t xml:space="preserve">is issue is further exacerbated by Staff and PSE’s willingness </w:t>
      </w:r>
      <w:r w:rsidR="007B4077" w:rsidRPr="00361E53">
        <w:t>to exempt</w:t>
      </w:r>
      <w:r w:rsidR="007B4077">
        <w:t xml:space="preserve"> industrial natural gas customers (because </w:t>
      </w:r>
      <w:r w:rsidR="00361E53">
        <w:t>the financial impact to PSE would be minimal</w:t>
      </w:r>
      <w:r w:rsidR="007B4077">
        <w:t>),</w:t>
      </w:r>
      <w:r w:rsidR="00361E53">
        <w:rPr>
          <w:rStyle w:val="FootnoteReference"/>
        </w:rPr>
        <w:footnoteReference w:id="196"/>
      </w:r>
      <w:r w:rsidR="00361E53" w:rsidRPr="00C66A9B">
        <w:rPr>
          <w:vertAlign w:val="superscript"/>
        </w:rPr>
        <w:t>/</w:t>
      </w:r>
      <w:r w:rsidR="007B4077">
        <w:t xml:space="preserve"> but not industrial electric customers.  Such</w:t>
      </w:r>
      <w:r w:rsidR="00C66A9B">
        <w:t xml:space="preserve"> treatment is at odds with the Policy S</w:t>
      </w:r>
      <w:r w:rsidR="007B4077">
        <w:t>tatement and is discriminat</w:t>
      </w:r>
      <w:r w:rsidR="00361E53">
        <w:t>ory</w:t>
      </w:r>
      <w:r w:rsidR="007B4077">
        <w:t xml:space="preserve">.  </w:t>
      </w:r>
    </w:p>
    <w:p w:rsidR="001A1036" w:rsidRDefault="00CA7525" w:rsidP="00C37BFF">
      <w:pPr>
        <w:pStyle w:val="MJDWUTCBrief"/>
        <w:spacing w:line="570" w:lineRule="exact"/>
      </w:pPr>
      <w:r>
        <w:t xml:space="preserve">     </w:t>
      </w:r>
      <w:r w:rsidR="003A5F39">
        <w:tab/>
      </w:r>
      <w:r w:rsidR="00C66A9B">
        <w:t>T</w:t>
      </w:r>
      <w:r w:rsidR="00804412">
        <w:t>he D</w:t>
      </w:r>
      <w:r w:rsidR="000D7BF5">
        <w:t>ecoupling propo</w:t>
      </w:r>
      <w:r w:rsidR="0091052F">
        <w:t xml:space="preserve">sal divides customers into two </w:t>
      </w:r>
      <w:r w:rsidR="000D7BF5">
        <w:t>rate groups</w:t>
      </w:r>
      <w:r w:rsidR="00812788">
        <w:t xml:space="preserve"> and then calculates</w:t>
      </w:r>
      <w:r w:rsidR="000D7BF5">
        <w:t xml:space="preserve"> Current Allowed Revenue (“CAR”) by multiplying the monthly allowed Delivery Revenue Per Customer by the number of customers in each rate group for that calendar month.</w:t>
      </w:r>
      <w:r w:rsidR="000D7BF5" w:rsidRPr="006530A5">
        <w:rPr>
          <w:rStyle w:val="FootnoteReference"/>
        </w:rPr>
        <w:footnoteReference w:id="197"/>
      </w:r>
      <w:r w:rsidR="000D7BF5" w:rsidRPr="006530A5">
        <w:rPr>
          <w:u w:val="single"/>
          <w:vertAlign w:val="superscript"/>
        </w:rPr>
        <w:t>/</w:t>
      </w:r>
      <w:r w:rsidR="000D7BF5">
        <w:t xml:space="preserve">  </w:t>
      </w:r>
      <w:r w:rsidR="00B643BA">
        <w:t>Ultimately, this is</w:t>
      </w:r>
      <w:r w:rsidR="000D7BF5">
        <w:t xml:space="preserve"> per-customer decoupling—the Company’s CAR </w:t>
      </w:r>
      <w:r w:rsidR="00B643BA">
        <w:t>will increase</w:t>
      </w:r>
      <w:r w:rsidR="000D7BF5">
        <w:t xml:space="preserve"> whenever new customers join the system.</w:t>
      </w:r>
      <w:r w:rsidR="00B643BA">
        <w:rPr>
          <w:rStyle w:val="FootnoteReference"/>
        </w:rPr>
        <w:footnoteReference w:id="198"/>
      </w:r>
      <w:r w:rsidR="00B643BA">
        <w:rPr>
          <w:vertAlign w:val="superscript"/>
        </w:rPr>
        <w:t>/</w:t>
      </w:r>
      <w:r w:rsidR="000D7BF5">
        <w:t xml:space="preserve"> </w:t>
      </w:r>
      <w:r w:rsidR="00C73E38">
        <w:t xml:space="preserve"> New customers entering an actual rate class will never be accounted for as found margin since, as Mr. Deen testifies, “the likelihood of underperformance by the class, as a whole, would increase because the revenue requirement would grow with each new customer.”</w:t>
      </w:r>
      <w:r w:rsidR="00C73E38" w:rsidRPr="006530A5">
        <w:rPr>
          <w:rStyle w:val="FootnoteReference"/>
        </w:rPr>
        <w:footnoteReference w:id="199"/>
      </w:r>
      <w:r w:rsidR="00C73E38" w:rsidRPr="006530A5">
        <w:rPr>
          <w:u w:val="single"/>
          <w:vertAlign w:val="superscript"/>
        </w:rPr>
        <w:t>/</w:t>
      </w:r>
    </w:p>
    <w:p w:rsidR="00070D20" w:rsidRPr="00F10F98" w:rsidRDefault="00CA7525" w:rsidP="00C37BFF">
      <w:pPr>
        <w:pStyle w:val="MJDWUTCBrief"/>
        <w:spacing w:line="570" w:lineRule="exact"/>
      </w:pPr>
      <w:r>
        <w:t xml:space="preserve">     </w:t>
      </w:r>
      <w:r w:rsidR="003A5F39">
        <w:tab/>
      </w:r>
      <w:r w:rsidR="006A0E11">
        <w:t>Finally, the inclusion of a K-factor</w:t>
      </w:r>
      <w:r w:rsidR="001A1036">
        <w:t xml:space="preserve"> in PSE’s </w:t>
      </w:r>
      <w:r w:rsidR="00804412">
        <w:t>D</w:t>
      </w:r>
      <w:r w:rsidR="001A1036">
        <w:t>ecoupling proposal exacerbates the effect of per-custom</w:t>
      </w:r>
      <w:r w:rsidR="006A0E11">
        <w:t>er decoupling.  That is, the K-factor</w:t>
      </w:r>
      <w:r w:rsidR="001A1036">
        <w:t>’s 3% attrition escalator will be multiplied by ADRPC which, in conjunction with per-customer decoupling, ensures PSE of steady revenue requirement growth.</w:t>
      </w:r>
      <w:r w:rsidR="00DD43B2">
        <w:rPr>
          <w:rStyle w:val="FootnoteReference"/>
        </w:rPr>
        <w:footnoteReference w:id="200"/>
      </w:r>
      <w:r w:rsidR="00DD43B2">
        <w:rPr>
          <w:vertAlign w:val="superscript"/>
        </w:rPr>
        <w:t>/</w:t>
      </w:r>
      <w:r w:rsidR="001A1036">
        <w:t xml:space="preserve">  Since found margin cannot offset revenue requirement under the per-customer</w:t>
      </w:r>
      <w:r w:rsidR="006D27E9">
        <w:t xml:space="preserve"> proposal, the cumulative result is a powerful “one-way ratchet to increase rates.”</w:t>
      </w:r>
      <w:r w:rsidR="006D27E9">
        <w:rPr>
          <w:rStyle w:val="FootnoteReference"/>
        </w:rPr>
        <w:footnoteReference w:id="201"/>
      </w:r>
      <w:r w:rsidR="006D27E9">
        <w:rPr>
          <w:vertAlign w:val="superscript"/>
        </w:rPr>
        <w:t>/</w:t>
      </w:r>
      <w:r w:rsidR="00FA7E72" w:rsidRPr="00FA7E72">
        <w:t xml:space="preserve"> </w:t>
      </w:r>
    </w:p>
    <w:p w:rsidR="00F10F98" w:rsidRPr="002838FA" w:rsidRDefault="00F10F98" w:rsidP="00C37BFF">
      <w:pPr>
        <w:pStyle w:val="MJDWUTCBrief"/>
        <w:numPr>
          <w:ilvl w:val="0"/>
          <w:numId w:val="0"/>
        </w:numPr>
        <w:spacing w:line="570" w:lineRule="exact"/>
        <w:rPr>
          <w:b/>
        </w:rPr>
      </w:pPr>
      <w:r w:rsidRPr="002838FA">
        <w:rPr>
          <w:b/>
        </w:rPr>
        <w:lastRenderedPageBreak/>
        <w:t>v</w:t>
      </w:r>
      <w:r w:rsidR="008804C0" w:rsidRPr="002838FA">
        <w:rPr>
          <w:b/>
        </w:rPr>
        <w:t>.</w:t>
      </w:r>
      <w:r w:rsidR="008804C0" w:rsidRPr="002838FA">
        <w:rPr>
          <w:b/>
        </w:rPr>
        <w:tab/>
        <w:t>The Proposed Earnings Te</w:t>
      </w:r>
      <w:r w:rsidR="00C42537" w:rsidRPr="002838FA">
        <w:rPr>
          <w:b/>
        </w:rPr>
        <w:t xml:space="preserve">st Would Unreasonably Shift </w:t>
      </w:r>
      <w:r w:rsidR="008804C0" w:rsidRPr="002838FA">
        <w:rPr>
          <w:b/>
        </w:rPr>
        <w:t>Risk to Ratepayers</w:t>
      </w:r>
      <w:r w:rsidRPr="002838FA">
        <w:rPr>
          <w:b/>
        </w:rPr>
        <w:tab/>
      </w:r>
    </w:p>
    <w:p w:rsidR="00F10F98" w:rsidRDefault="00CA7525" w:rsidP="00C37BFF">
      <w:pPr>
        <w:pStyle w:val="MJDWUTCBrief"/>
        <w:spacing w:line="570" w:lineRule="exact"/>
      </w:pPr>
      <w:r>
        <w:t xml:space="preserve">     </w:t>
      </w:r>
      <w:r w:rsidR="003A5F39">
        <w:tab/>
      </w:r>
      <w:r w:rsidR="008804C0">
        <w:t>The Amended Pe</w:t>
      </w:r>
      <w:r w:rsidR="00804412">
        <w:t>tition modifies PSE’s original D</w:t>
      </w:r>
      <w:r w:rsidR="008804C0">
        <w:t>ecoupling proposal through an earnings test which would allow the Company to earn up to 25 percentage points</w:t>
      </w:r>
      <w:r w:rsidR="009F649B">
        <w:t xml:space="preserve"> </w:t>
      </w:r>
      <w:r w:rsidR="008804C0">
        <w:t xml:space="preserve">over its authorized ROR, </w:t>
      </w:r>
      <w:r w:rsidR="000A7F9E">
        <w:t xml:space="preserve">and </w:t>
      </w:r>
      <w:r w:rsidR="008804C0">
        <w:t xml:space="preserve">then keep an additional 50% of </w:t>
      </w:r>
      <w:r w:rsidR="007C1629">
        <w:t>earnings</w:t>
      </w:r>
      <w:r w:rsidR="008804C0">
        <w:t xml:space="preserve"> exceeding that limit.</w:t>
      </w:r>
      <w:r w:rsidR="008804C0">
        <w:rPr>
          <w:rStyle w:val="FootnoteReference"/>
        </w:rPr>
        <w:footnoteReference w:id="202"/>
      </w:r>
      <w:r w:rsidR="008804C0" w:rsidRPr="0047630D">
        <w:rPr>
          <w:vertAlign w:val="superscript"/>
        </w:rPr>
        <w:t>/</w:t>
      </w:r>
      <w:r w:rsidR="008804C0">
        <w:t xml:space="preserve">  PSE claims this proposal “provides an appropriate safeguard to customers,” which can “allay concerns that the Company will </w:t>
      </w:r>
      <w:r w:rsidR="008804C0" w:rsidRPr="008804C0">
        <w:rPr>
          <w:i/>
        </w:rPr>
        <w:t>greatly</w:t>
      </w:r>
      <w:r w:rsidR="008804C0">
        <w:t xml:space="preserve"> exceed its rate of return.”</w:t>
      </w:r>
      <w:r w:rsidR="008804C0">
        <w:rPr>
          <w:rStyle w:val="FootnoteReference"/>
        </w:rPr>
        <w:footnoteReference w:id="203"/>
      </w:r>
      <w:r w:rsidR="008804C0" w:rsidRPr="0047630D">
        <w:rPr>
          <w:vertAlign w:val="superscript"/>
        </w:rPr>
        <w:t>/</w:t>
      </w:r>
      <w:r w:rsidR="008804C0">
        <w:t xml:space="preserve">  ICNU submits that customers will be safeguarded </w:t>
      </w:r>
      <w:r w:rsidR="00804412">
        <w:t>(that is, if the D</w:t>
      </w:r>
      <w:r w:rsidR="004D6D8A">
        <w:t>ecoupling proposal is approved in the first place) by an earnings test which allows</w:t>
      </w:r>
      <w:r w:rsidR="008804C0">
        <w:t xml:space="preserve"> PSE to </w:t>
      </w:r>
      <w:r w:rsidR="004D6D8A">
        <w:t xml:space="preserve">plainly earn its authorized ROR, </w:t>
      </w:r>
      <w:r w:rsidR="008804C0">
        <w:t>and not by allowing PSE to “comfortably” or “moderately” exceed</w:t>
      </w:r>
      <w:r w:rsidR="004D6D8A">
        <w:t xml:space="preserve"> its ROR</w:t>
      </w:r>
      <w:r w:rsidR="008804C0">
        <w:t xml:space="preserve">—or however else PSE would describe something </w:t>
      </w:r>
      <w:r w:rsidR="004D6D8A">
        <w:t xml:space="preserve">just </w:t>
      </w:r>
      <w:r w:rsidR="008804C0">
        <w:t>short o</w:t>
      </w:r>
      <w:r w:rsidR="004D6D8A">
        <w:t xml:space="preserve">f “greatly” exceeding </w:t>
      </w:r>
      <w:r w:rsidR="00C04E22">
        <w:t xml:space="preserve">ROR.  </w:t>
      </w:r>
    </w:p>
    <w:p w:rsidR="0020475F" w:rsidRDefault="00CA7525" w:rsidP="00C37BFF">
      <w:pPr>
        <w:pStyle w:val="MJDWUTCBrief"/>
        <w:spacing w:line="570" w:lineRule="exact"/>
      </w:pPr>
      <w:r>
        <w:t xml:space="preserve">     </w:t>
      </w:r>
      <w:r w:rsidR="003A5F39">
        <w:tab/>
      </w:r>
      <w:r w:rsidR="000A7F9E">
        <w:t>M</w:t>
      </w:r>
      <w:r w:rsidR="00560255">
        <w:t>r. Gorman testifies to the relationship between risk and authorized returns, demonstrating how imperativ</w:t>
      </w:r>
      <w:r w:rsidR="000A7F9E">
        <w:t>e such consideration is in a Decoupling</w:t>
      </w:r>
      <w:r w:rsidR="00560255">
        <w:t xml:space="preserve"> proceeding.  Through the ROR, Company shareholders are compensated for the business risks of utility operation</w:t>
      </w:r>
      <w:r w:rsidR="004C1983">
        <w:t>, including exposure to fluctuations in sales which would affect earnings.</w:t>
      </w:r>
      <w:r w:rsidR="00560255">
        <w:rPr>
          <w:rStyle w:val="FootnoteReference"/>
        </w:rPr>
        <w:footnoteReference w:id="204"/>
      </w:r>
      <w:r w:rsidR="00560255">
        <w:rPr>
          <w:vertAlign w:val="superscript"/>
        </w:rPr>
        <w:t>/</w:t>
      </w:r>
      <w:r w:rsidR="00560255">
        <w:t xml:space="preserve">  </w:t>
      </w:r>
      <w:r w:rsidR="004C1983">
        <w:t>Decoupling eliminates such risk, however, by making a utility revenue neutral in respect to sales fluctuations; by definition, decoupling guarantees the utility will receive required revenues independent of sales levels.</w:t>
      </w:r>
      <w:r w:rsidR="004C1983">
        <w:rPr>
          <w:rStyle w:val="FootnoteReference"/>
        </w:rPr>
        <w:footnoteReference w:id="205"/>
      </w:r>
      <w:r w:rsidR="004C1983" w:rsidRPr="00D471FB">
        <w:rPr>
          <w:vertAlign w:val="superscript"/>
        </w:rPr>
        <w:t>/</w:t>
      </w:r>
      <w:r w:rsidR="004C1983">
        <w:t xml:space="preserve">  As a result, decoupling </w:t>
      </w:r>
      <w:r w:rsidR="003E334B" w:rsidRPr="003E334B">
        <w:rPr>
          <w:i/>
        </w:rPr>
        <w:t>shifts</w:t>
      </w:r>
      <w:r w:rsidR="003E334B">
        <w:t xml:space="preserve"> risk to customers, </w:t>
      </w:r>
      <w:r w:rsidR="007C1629" w:rsidRPr="007C1629">
        <w:rPr>
          <w:u w:val="single"/>
        </w:rPr>
        <w:t>i.e.</w:t>
      </w:r>
      <w:r w:rsidR="007C1629">
        <w:t>, the</w:t>
      </w:r>
      <w:r w:rsidR="003E334B">
        <w:t xml:space="preserve"> risk of increased rates due to events beyond ratepayer control</w:t>
      </w:r>
      <w:r w:rsidR="004C1983">
        <w:t xml:space="preserve"> </w:t>
      </w:r>
      <w:r w:rsidR="003A4A69">
        <w:t>which cause</w:t>
      </w:r>
      <w:r w:rsidR="003E334B">
        <w:t xml:space="preserve"> utility revenue decline</w:t>
      </w:r>
      <w:r w:rsidR="004C1983">
        <w:t>, be it weather or economic slump</w:t>
      </w:r>
      <w:r w:rsidR="003A4A69">
        <w:t>.</w:t>
      </w:r>
      <w:r w:rsidR="003E334B">
        <w:rPr>
          <w:rStyle w:val="FootnoteReference"/>
        </w:rPr>
        <w:footnoteReference w:id="206"/>
      </w:r>
      <w:r w:rsidR="003E334B" w:rsidRPr="00D471FB">
        <w:rPr>
          <w:vertAlign w:val="superscript"/>
        </w:rPr>
        <w:t>/</w:t>
      </w:r>
      <w:r w:rsidR="00D20A54">
        <w:t xml:space="preserve"> </w:t>
      </w:r>
    </w:p>
    <w:p w:rsidR="005A36D6" w:rsidRDefault="00CA7525" w:rsidP="00C37BFF">
      <w:pPr>
        <w:pStyle w:val="MJDWUTCBrief"/>
        <w:spacing w:line="570" w:lineRule="exact"/>
      </w:pPr>
      <w:r>
        <w:lastRenderedPageBreak/>
        <w:t xml:space="preserve">     </w:t>
      </w:r>
      <w:r w:rsidR="003A5F39">
        <w:tab/>
      </w:r>
      <w:r w:rsidR="007C1629">
        <w:t>Unless the Commission reevaluates the Company’s ROE to determine an adequate, downward adjustment reflecting its reduced business risk resulting from decoupling, PSE’s ROR will overcompensate shareholders.</w:t>
      </w:r>
      <w:r w:rsidR="007C1629">
        <w:rPr>
          <w:rStyle w:val="FootnoteReference"/>
        </w:rPr>
        <w:footnoteReference w:id="207"/>
      </w:r>
      <w:r w:rsidR="007C1629" w:rsidRPr="00D471FB">
        <w:rPr>
          <w:vertAlign w:val="superscript"/>
        </w:rPr>
        <w:t>/</w:t>
      </w:r>
      <w:r w:rsidR="007C1629">
        <w:t xml:space="preserve">  This problem only accentuates the need for closer review in light of the propose</w:t>
      </w:r>
      <w:r w:rsidR="003A4A69">
        <w:t>d earning test, which c</w:t>
      </w:r>
      <w:r w:rsidR="007C1629">
        <w:t xml:space="preserve">ould overcompensate shareholders still more by allowing earnings which are 25 basis points </w:t>
      </w:r>
      <w:r w:rsidR="007C1629" w:rsidRPr="007C1629">
        <w:rPr>
          <w:i/>
        </w:rPr>
        <w:t>above</w:t>
      </w:r>
      <w:r w:rsidR="007C1629">
        <w:t xml:space="preserve"> what wo</w:t>
      </w:r>
      <w:r w:rsidR="003A4A69">
        <w:t>uld be an already inflated ROR (</w:t>
      </w:r>
      <w:r w:rsidR="007C1629">
        <w:t xml:space="preserve">never mind the 50% take on earnings exceeding </w:t>
      </w:r>
      <w:r w:rsidR="007C1629" w:rsidRPr="007C1629">
        <w:rPr>
          <w:i/>
        </w:rPr>
        <w:t>that</w:t>
      </w:r>
      <w:r w:rsidR="007C1629">
        <w:t xml:space="preserve"> level</w:t>
      </w:r>
      <w:r w:rsidR="003A4A69">
        <w:t>)</w:t>
      </w:r>
      <w:r w:rsidR="007C1629">
        <w:t>.</w:t>
      </w:r>
      <w:r w:rsidR="00A273F8">
        <w:t xml:space="preserve">  In this light, the Company’s reliance on the Avista GRC is beside the point—even if the Commission opposes a “hard cap,” the establishment of an appropriate “cap” in the first place still requires initial determination of fair return levels.</w:t>
      </w:r>
      <w:r w:rsidR="00C31AE4">
        <w:rPr>
          <w:rStyle w:val="FootnoteReference"/>
        </w:rPr>
        <w:footnoteReference w:id="208"/>
      </w:r>
      <w:r w:rsidR="00C31AE4" w:rsidRPr="0047630D">
        <w:rPr>
          <w:vertAlign w:val="superscript"/>
        </w:rPr>
        <w:t>/</w:t>
      </w:r>
      <w:r w:rsidR="00A273F8">
        <w:t xml:space="preserve"> </w:t>
      </w:r>
    </w:p>
    <w:p w:rsidR="00436005" w:rsidRDefault="00CA7525" w:rsidP="00C37BFF">
      <w:pPr>
        <w:pStyle w:val="MJDWUTCBrief"/>
        <w:spacing w:line="570" w:lineRule="exact"/>
      </w:pPr>
      <w:r>
        <w:t xml:space="preserve">     </w:t>
      </w:r>
      <w:r w:rsidR="003A5F39">
        <w:tab/>
      </w:r>
      <w:r w:rsidR="005A36D6">
        <w:t>The Policy Statement provides excellent guidance for today’s Commission</w:t>
      </w:r>
      <w:r w:rsidR="007C1629">
        <w:t xml:space="preserve"> </w:t>
      </w:r>
      <w:r w:rsidR="00EF52F6">
        <w:t>in considering the proposed earnings test</w:t>
      </w:r>
      <w:r w:rsidR="00804412">
        <w:t xml:space="preserve"> and, more broadly, the entire D</w:t>
      </w:r>
      <w:r w:rsidR="00EF52F6">
        <w:t>ecoupling proposal</w:t>
      </w:r>
      <w:r w:rsidR="005A36D6">
        <w:t>.  Rightly concerned about reduced utility incentive to manage efficiently if decoupling was permitted,</w:t>
      </w:r>
      <w:r w:rsidR="005A36D6">
        <w:rPr>
          <w:rStyle w:val="FootnoteReference"/>
        </w:rPr>
        <w:footnoteReference w:id="209"/>
      </w:r>
      <w:r w:rsidR="005A36D6" w:rsidRPr="003670B4">
        <w:rPr>
          <w:vertAlign w:val="superscript"/>
        </w:rPr>
        <w:t>/</w:t>
      </w:r>
      <w:r w:rsidR="005A36D6">
        <w:t xml:space="preserve"> </w:t>
      </w:r>
      <w:r w:rsidR="00EF52F6">
        <w:t xml:space="preserve">the Commission </w:t>
      </w:r>
      <w:r w:rsidR="003A4A69">
        <w:t>included a</w:t>
      </w:r>
      <w:r w:rsidR="00A13E2D">
        <w:t xml:space="preserve"> risk assessment quite similar to the testimony of Mr</w:t>
      </w:r>
      <w:r w:rsidR="003A4A69">
        <w:t>. </w:t>
      </w:r>
      <w:r w:rsidR="00EF52F6">
        <w:t>Gorman:  “By reducing the risk of volatility of revenue based on customer usage</w:t>
      </w:r>
      <w:r w:rsidR="00A13E2D">
        <w:t> . . . such a mechanism can serve to reduce risk to the company, and therefore to investors.”</w:t>
      </w:r>
      <w:r w:rsidR="00A13E2D" w:rsidRPr="00233BE3">
        <w:rPr>
          <w:rStyle w:val="FootnoteReference"/>
        </w:rPr>
        <w:footnoteReference w:id="210"/>
      </w:r>
      <w:r w:rsidR="00A13E2D" w:rsidRPr="003670B4">
        <w:rPr>
          <w:vertAlign w:val="superscript"/>
        </w:rPr>
        <w:t>/</w:t>
      </w:r>
      <w:r w:rsidR="00A13E2D">
        <w:t xml:space="preserve">  The Commission then reasoned that such an effect “in turn should benefit customers by reducing a company’s debt and equity costs.”</w:t>
      </w:r>
      <w:r w:rsidR="00A13E2D">
        <w:rPr>
          <w:rStyle w:val="FootnoteReference"/>
        </w:rPr>
        <w:footnoteReference w:id="211"/>
      </w:r>
      <w:r w:rsidR="00A13E2D" w:rsidRPr="003670B4">
        <w:rPr>
          <w:vertAlign w:val="superscript"/>
        </w:rPr>
        <w:t>/</w:t>
      </w:r>
      <w:r w:rsidR="00A13E2D">
        <w:t xml:space="preserve"> </w:t>
      </w:r>
      <w:r w:rsidR="003670B4">
        <w:t xml:space="preserve"> I</w:t>
      </w:r>
      <w:r w:rsidR="00536E29">
        <w:t xml:space="preserve">t would be unfair to allow PSE to reduce its debt and equity costs through annual decoupling rate increases while not adjusting return levels or capital structure for several years.  </w:t>
      </w:r>
      <w:r w:rsidR="003670B4">
        <w:t xml:space="preserve">Customers do not </w:t>
      </w:r>
      <w:r w:rsidR="003670B4">
        <w:lastRenderedPageBreak/>
        <w:t>agree with Staff that it is sufficient to address these issues in the next rate case, as they will be paying for risk the Company does not bear, while bearing that risk themselves, and Staff has not proposed</w:t>
      </w:r>
      <w:r w:rsidR="00775335">
        <w:t xml:space="preserve"> that such real losses be returned at the end of the rate plan.</w:t>
      </w:r>
    </w:p>
    <w:p w:rsidR="00A273F8" w:rsidRDefault="00CA7525" w:rsidP="00C37BFF">
      <w:pPr>
        <w:pStyle w:val="MJDWUTCBrief"/>
        <w:spacing w:line="570" w:lineRule="exact"/>
      </w:pPr>
      <w:r>
        <w:t xml:space="preserve">     </w:t>
      </w:r>
      <w:r w:rsidR="003A5F39">
        <w:tab/>
      </w:r>
      <w:r w:rsidR="00436005">
        <w:t>Moreover, the Commission provided further guidance in the Policy Statement on this matter, stating that a utility’s reduction in debt and equity “costs would flow through to ratepayers in the form of rates that would be lower than they otherwise would be, as the rates would be set to reflect the assumption of more risk by ratepayers.”</w:t>
      </w:r>
      <w:r w:rsidR="00436005" w:rsidRPr="00233BE3">
        <w:rPr>
          <w:rStyle w:val="FootnoteReference"/>
        </w:rPr>
        <w:footnoteReference w:id="212"/>
      </w:r>
      <w:r w:rsidR="00436005" w:rsidRPr="008746CD">
        <w:rPr>
          <w:vertAlign w:val="superscript"/>
        </w:rPr>
        <w:t>/</w:t>
      </w:r>
      <w:r w:rsidR="00436005">
        <w:t xml:space="preserve">  That is precisely the risk shift emphasized by Mr. Gorman; and, in order for such cost reductions to “flow through to ratepayers” via lower rates</w:t>
      </w:r>
      <w:r w:rsidR="00716A73">
        <w:t xml:space="preserve">, the Commission must adjust return levels and reassess the Company’s capital, debt and equity structure.  </w:t>
      </w:r>
    </w:p>
    <w:p w:rsidR="00E10C49" w:rsidRPr="002838FA" w:rsidRDefault="003B701D" w:rsidP="00C37BFF">
      <w:pPr>
        <w:pStyle w:val="MJDWUTCBrief"/>
        <w:numPr>
          <w:ilvl w:val="0"/>
          <w:numId w:val="0"/>
        </w:numPr>
        <w:spacing w:line="570" w:lineRule="exact"/>
        <w:rPr>
          <w:b/>
        </w:rPr>
      </w:pPr>
      <w:r w:rsidRPr="002838FA">
        <w:rPr>
          <w:b/>
        </w:rPr>
        <w:t>c</w:t>
      </w:r>
      <w:r w:rsidR="00E10C49" w:rsidRPr="002838FA">
        <w:rPr>
          <w:b/>
        </w:rPr>
        <w:t>.</w:t>
      </w:r>
      <w:r w:rsidR="00E10C49" w:rsidRPr="002838FA">
        <w:rPr>
          <w:b/>
        </w:rPr>
        <w:tab/>
        <w:t>The Decoupling Proposal Fails as an Attritio</w:t>
      </w:r>
      <w:r w:rsidR="00C42537" w:rsidRPr="002838FA">
        <w:rPr>
          <w:b/>
        </w:rPr>
        <w:t xml:space="preserve">n </w:t>
      </w:r>
      <w:r w:rsidR="00E10C49" w:rsidRPr="002838FA">
        <w:rPr>
          <w:b/>
        </w:rPr>
        <w:t>Adjustment</w:t>
      </w:r>
      <w:r w:rsidR="00E10C49" w:rsidRPr="002838FA">
        <w:rPr>
          <w:b/>
        </w:rPr>
        <w:tab/>
      </w:r>
    </w:p>
    <w:p w:rsidR="00201EF9" w:rsidRDefault="00CA7525" w:rsidP="00C37BFF">
      <w:pPr>
        <w:pStyle w:val="MJDWUTCBrief"/>
        <w:spacing w:line="570" w:lineRule="exact"/>
      </w:pPr>
      <w:r>
        <w:t xml:space="preserve">     </w:t>
      </w:r>
      <w:r w:rsidR="003A5F39">
        <w:tab/>
      </w:r>
      <w:r w:rsidR="00201EF9">
        <w:t xml:space="preserve">If the WUTC treats the mechanism proposed under the Amended Petition as an attrition adjustment, the Company must still be found to have failed in carrying its burdens of proof and persuasion.  </w:t>
      </w:r>
      <w:r w:rsidR="006E3C09">
        <w:t>As an initial matter</w:t>
      </w:r>
      <w:r w:rsidR="00201EF9">
        <w:t xml:space="preserve">, PSE has produced no satisfactory evidence </w:t>
      </w:r>
      <w:r w:rsidR="003A4A69">
        <w:t xml:space="preserve">in direct testimony </w:t>
      </w:r>
      <w:r w:rsidR="00201EF9">
        <w:t>tha</w:t>
      </w:r>
      <w:r w:rsidR="006E3C09">
        <w:t>t attrition actually exists, and</w:t>
      </w:r>
      <w:r w:rsidR="00201EF9">
        <w:t xml:space="preserve"> </w:t>
      </w:r>
      <w:r w:rsidR="006E3C09">
        <w:t>the Company has not demonstrated that its proposed, multi-year regime of annual rate increases is warranted.</w:t>
      </w:r>
    </w:p>
    <w:p w:rsidR="006E3C09" w:rsidRPr="002838FA" w:rsidRDefault="006E3C09" w:rsidP="00C37BFF">
      <w:pPr>
        <w:pStyle w:val="MJDWUTCBrief"/>
        <w:numPr>
          <w:ilvl w:val="0"/>
          <w:numId w:val="0"/>
        </w:numPr>
        <w:spacing w:line="570" w:lineRule="exact"/>
        <w:rPr>
          <w:b/>
        </w:rPr>
      </w:pPr>
      <w:r w:rsidRPr="002838FA">
        <w:rPr>
          <w:b/>
        </w:rPr>
        <w:t>i.</w:t>
      </w:r>
      <w:r w:rsidRPr="002838FA">
        <w:rPr>
          <w:b/>
        </w:rPr>
        <w:tab/>
        <w:t>PSE Does Not M</w:t>
      </w:r>
      <w:r w:rsidR="00C42537" w:rsidRPr="002838FA">
        <w:rPr>
          <w:b/>
        </w:rPr>
        <w:t xml:space="preserve">eet Threshold Evidentiary </w:t>
      </w:r>
      <w:r w:rsidRPr="002838FA">
        <w:rPr>
          <w:b/>
        </w:rPr>
        <w:t>Requirements</w:t>
      </w:r>
      <w:r w:rsidRPr="002838FA">
        <w:rPr>
          <w:b/>
        </w:rPr>
        <w:tab/>
      </w:r>
    </w:p>
    <w:p w:rsidR="003B66C8" w:rsidRDefault="00CA7525" w:rsidP="00C66A9B">
      <w:pPr>
        <w:pStyle w:val="MJDWUTCBrief"/>
        <w:spacing w:line="570" w:lineRule="exact"/>
      </w:pPr>
      <w:r>
        <w:t xml:space="preserve">     </w:t>
      </w:r>
      <w:r w:rsidR="003A5F39">
        <w:tab/>
      </w:r>
      <w:r w:rsidR="00201EF9">
        <w:t>In</w:t>
      </w:r>
      <w:r w:rsidR="0092281A">
        <w:t xml:space="preserve"> Order 08, the Commission </w:t>
      </w:r>
      <w:r w:rsidR="00C66A9B">
        <w:t>stated</w:t>
      </w:r>
      <w:r w:rsidR="00201EF9">
        <w:t xml:space="preserve"> that “an attrition adjustment is one among several possible responses the Commission could make to addres</w:t>
      </w:r>
      <w:r w:rsidR="004574A6">
        <w:t>s a demonstrated trend of under</w:t>
      </w:r>
      <w:r w:rsidR="00201EF9">
        <w:t>earning due to circumstances beyond the Company’s ability to control.”</w:t>
      </w:r>
      <w:r w:rsidR="00201EF9">
        <w:rPr>
          <w:rStyle w:val="FootnoteReference"/>
        </w:rPr>
        <w:footnoteReference w:id="213"/>
      </w:r>
      <w:r w:rsidR="00201EF9">
        <w:rPr>
          <w:vertAlign w:val="superscript"/>
        </w:rPr>
        <w:t>/</w:t>
      </w:r>
      <w:r w:rsidR="008D237A">
        <w:t xml:space="preserve">  Not only, therefore, mus</w:t>
      </w:r>
      <w:r w:rsidR="000A6A54">
        <w:t>t the Company demonstrate under</w:t>
      </w:r>
      <w:r w:rsidR="008D237A">
        <w:t xml:space="preserve">earnings, but a positive </w:t>
      </w:r>
      <w:r w:rsidR="008D237A">
        <w:lastRenderedPageBreak/>
        <w:t xml:space="preserve">demonstration must </w:t>
      </w:r>
      <w:r w:rsidR="00452AF9">
        <w:t xml:space="preserve">also </w:t>
      </w:r>
      <w:r w:rsidR="008D237A">
        <w:t xml:space="preserve">be made </w:t>
      </w:r>
      <w:r w:rsidR="00452AF9">
        <w:t>showing</w:t>
      </w:r>
      <w:r w:rsidR="008D237A">
        <w:t xml:space="preserve"> such und</w:t>
      </w:r>
      <w:r w:rsidR="000A6A54">
        <w:t>er</w:t>
      </w:r>
      <w:r w:rsidR="003A4A69">
        <w:t>earnings have resulted from</w:t>
      </w:r>
      <w:r w:rsidR="008D237A">
        <w:t xml:space="preserve"> causes PSE could not control.</w:t>
      </w:r>
      <w:r w:rsidR="00452AF9">
        <w:t xml:space="preserve">  </w:t>
      </w:r>
      <w:r w:rsidR="00C66A9B">
        <w:t xml:space="preserve">The WUTC recognizes Washington law in that “a </w:t>
      </w:r>
      <w:r w:rsidR="00C66A9B" w:rsidRPr="00E9107F">
        <w:t>claimant generally has the burden of proving the facts necessary to sustain his or her claim</w:t>
      </w:r>
      <w:r w:rsidR="00C66A9B">
        <w:t>.”</w:t>
      </w:r>
      <w:r w:rsidR="00C66A9B">
        <w:rPr>
          <w:rStyle w:val="FootnoteReference"/>
        </w:rPr>
        <w:footnoteReference w:id="214"/>
      </w:r>
      <w:r w:rsidR="00C66A9B">
        <w:rPr>
          <w:vertAlign w:val="superscript"/>
        </w:rPr>
        <w:t>/</w:t>
      </w:r>
      <w:r w:rsidR="00C66A9B">
        <w:t xml:space="preserve">  Hence, PSE cannot simply declare the existence of attrition as a self-affirming truth in order to justify an attrition adjustment.  </w:t>
      </w:r>
      <w:r w:rsidR="00452AF9">
        <w:t xml:space="preserve">Nevertheless, PSE has not </w:t>
      </w:r>
      <w:r w:rsidR="00486E72">
        <w:t>submitted an attrition study to support its alleged “revenue shortfall between rate cases that the decoupling mechanism on its own does not resolve,”</w:t>
      </w:r>
      <w:r w:rsidR="00486E72">
        <w:rPr>
          <w:rStyle w:val="FootnoteReference"/>
        </w:rPr>
        <w:footnoteReference w:id="215"/>
      </w:r>
      <w:r w:rsidR="00486E72" w:rsidRPr="009D7CEE">
        <w:rPr>
          <w:vertAlign w:val="superscript"/>
        </w:rPr>
        <w:t>/</w:t>
      </w:r>
      <w:r w:rsidR="00D06324">
        <w:t xml:space="preserve"> or</w:t>
      </w:r>
      <w:r w:rsidR="00486E72">
        <w:t xml:space="preserve"> </w:t>
      </w:r>
      <w:r w:rsidR="00D06324">
        <w:t>the claimed “</w:t>
      </w:r>
      <w:r w:rsidR="00486E72">
        <w:t>growth in non-energy costs PSE has experienced and expects to continue to experience in the next few years.”</w:t>
      </w:r>
      <w:r w:rsidR="00486E72">
        <w:rPr>
          <w:rStyle w:val="FootnoteReference"/>
        </w:rPr>
        <w:footnoteReference w:id="216"/>
      </w:r>
      <w:r w:rsidR="00486E72" w:rsidRPr="00121EC4">
        <w:rPr>
          <w:vertAlign w:val="superscript"/>
        </w:rPr>
        <w:t>/</w:t>
      </w:r>
      <w:r w:rsidR="00486E72">
        <w:t xml:space="preserve">  </w:t>
      </w:r>
      <w:r w:rsidR="003A4A69">
        <w:t>The Company provides only</w:t>
      </w:r>
      <w:r w:rsidR="00D06324">
        <w:t xml:space="preserve"> bald assertions, absent any demonstration.  As such, PSE fails at the first evidentiary hurdle specified in the</w:t>
      </w:r>
      <w:r w:rsidR="003B66C8">
        <w:t xml:space="preserve"> Final Order of the</w:t>
      </w:r>
      <w:r w:rsidR="00D06324">
        <w:t xml:space="preserve"> Company’s own most recent GRC.</w:t>
      </w:r>
    </w:p>
    <w:p w:rsidR="000A6A54" w:rsidRDefault="00CA7525" w:rsidP="00C37BFF">
      <w:pPr>
        <w:pStyle w:val="MJDWUTCBrief"/>
        <w:spacing w:line="570" w:lineRule="exact"/>
      </w:pPr>
      <w:r>
        <w:t xml:space="preserve">     </w:t>
      </w:r>
      <w:r w:rsidR="003A5F39">
        <w:tab/>
      </w:r>
      <w:r w:rsidR="000207A4">
        <w:t xml:space="preserve">Moreover, PSE’s failure to supply an attrition study sharply contrasts with </w:t>
      </w:r>
      <w:r w:rsidR="00CE34B7">
        <w:t>practice recognized by the Commission in the recent</w:t>
      </w:r>
      <w:r w:rsidR="004902D5">
        <w:t xml:space="preserve"> Avista GRC</w:t>
      </w:r>
      <w:r w:rsidR="000207A4">
        <w:t>.</w:t>
      </w:r>
      <w:r w:rsidR="00C3648F">
        <w:t xml:space="preserve"> </w:t>
      </w:r>
      <w:r w:rsidR="00CE34B7">
        <w:t xml:space="preserve"> </w:t>
      </w:r>
      <w:r w:rsidR="006B78A2">
        <w:t>In</w:t>
      </w:r>
      <w:r w:rsidR="0092281A">
        <w:t xml:space="preserve"> that case</w:t>
      </w:r>
      <w:r w:rsidR="00CE34B7">
        <w:t xml:space="preserve">, </w:t>
      </w:r>
      <w:r w:rsidR="006B78A2">
        <w:t xml:space="preserve">the Commission </w:t>
      </w:r>
      <w:r w:rsidR="0092281A">
        <w:t xml:space="preserve">initially </w:t>
      </w:r>
      <w:r w:rsidR="006B78A2">
        <w:t>noted the “thorough review of the evidence necessary for an appropriate adjustment” based on attrition.</w:t>
      </w:r>
      <w:r w:rsidR="006B78A2">
        <w:rPr>
          <w:rStyle w:val="FootnoteReference"/>
        </w:rPr>
        <w:footnoteReference w:id="217"/>
      </w:r>
      <w:r w:rsidR="006B78A2">
        <w:rPr>
          <w:vertAlign w:val="superscript"/>
        </w:rPr>
        <w:t>/</w:t>
      </w:r>
      <w:r w:rsidR="006B78A2">
        <w:t xml:space="preserve">  To that end, t</w:t>
      </w:r>
      <w:r w:rsidR="0092281A">
        <w:t>he WUTC did not</w:t>
      </w:r>
      <w:r w:rsidR="00CE34B7">
        <w:t xml:space="preserve"> confirm that remediable attrition existed as a universal constant, but found that consideration of attrition was appropriate in setting rates</w:t>
      </w:r>
      <w:r w:rsidR="006E3C09">
        <w:t xml:space="preserve"> for that case</w:t>
      </w:r>
      <w:r w:rsidR="00CE34B7">
        <w:t xml:space="preserve"> “on the basis of evidence presented.”</w:t>
      </w:r>
      <w:r w:rsidR="00CE34B7">
        <w:rPr>
          <w:rStyle w:val="FootnoteReference"/>
        </w:rPr>
        <w:footnoteReference w:id="218"/>
      </w:r>
      <w:r w:rsidR="00CE34B7">
        <w:rPr>
          <w:vertAlign w:val="superscript"/>
        </w:rPr>
        <w:t>/</w:t>
      </w:r>
      <w:r w:rsidR="00CE34B7">
        <w:t xml:space="preserve">  </w:t>
      </w:r>
      <w:r w:rsidR="006E3C09">
        <w:t>Likewise, “record evidence</w:t>
      </w:r>
      <w:r w:rsidR="0092281A">
        <w:t>” in the case</w:t>
      </w:r>
      <w:r w:rsidR="006E3C09">
        <w:t xml:space="preserve"> </w:t>
      </w:r>
      <w:r w:rsidR="0092281A">
        <w:t>“</w:t>
      </w:r>
      <w:r w:rsidR="006E3C09">
        <w:t>su</w:t>
      </w:r>
      <w:r w:rsidR="00A821A0">
        <w:t>pport[ed] a finding of attrition in the near term.”</w:t>
      </w:r>
      <w:r w:rsidR="00A821A0">
        <w:rPr>
          <w:rStyle w:val="FootnoteReference"/>
        </w:rPr>
        <w:footnoteReference w:id="219"/>
      </w:r>
      <w:r w:rsidR="00A821A0">
        <w:rPr>
          <w:vertAlign w:val="superscript"/>
        </w:rPr>
        <w:t>/</w:t>
      </w:r>
      <w:r w:rsidR="00A821A0">
        <w:t xml:space="preserve">  In sum, the Commission determined Avista had met its production </w:t>
      </w:r>
      <w:r w:rsidR="00A821A0">
        <w:lastRenderedPageBreak/>
        <w:t>burden.  Additionally, the Commission expressly held that the burden of persuasion had also been satisfied, “find[ing] the arguments of some of the settling parties persuasive that attrition will continue into the very near future.”</w:t>
      </w:r>
      <w:r w:rsidR="00A821A0">
        <w:rPr>
          <w:rStyle w:val="FootnoteReference"/>
        </w:rPr>
        <w:footnoteReference w:id="220"/>
      </w:r>
      <w:r w:rsidR="00A821A0">
        <w:rPr>
          <w:vertAlign w:val="superscript"/>
        </w:rPr>
        <w:t>/</w:t>
      </w:r>
      <w:r w:rsidR="000A6A54">
        <w:rPr>
          <w:vertAlign w:val="superscript"/>
        </w:rPr>
        <w:t xml:space="preserve">  </w:t>
      </w:r>
      <w:r w:rsidR="0077226A" w:rsidRPr="0077226A">
        <w:t>Even</w:t>
      </w:r>
      <w:r w:rsidR="00931EF4">
        <w:t xml:space="preserve"> though Avista presented fa</w:t>
      </w:r>
      <w:r w:rsidR="0077226A">
        <w:t>r more evidence than has PSE, the Commission made the second year increase of Avista’s two-year rate plan temporary, based on the evidence being less precise than a fully litigated rate case would produce.</w:t>
      </w:r>
      <w:r w:rsidR="0077226A">
        <w:rPr>
          <w:rStyle w:val="FootnoteReference"/>
        </w:rPr>
        <w:footnoteReference w:id="221"/>
      </w:r>
      <w:r w:rsidR="009E10CD">
        <w:rPr>
          <w:vertAlign w:val="superscript"/>
        </w:rPr>
        <w:t>/</w:t>
      </w:r>
      <w:r w:rsidR="0077226A">
        <w:t xml:space="preserve">  </w:t>
      </w:r>
      <w:r w:rsidR="000A6A54">
        <w:t xml:space="preserve">Such a finding could not be made here because neither Staff nor PSE performed an attrition study. </w:t>
      </w:r>
      <w:r w:rsidR="00A821A0">
        <w:t xml:space="preserve"> </w:t>
      </w:r>
    </w:p>
    <w:p w:rsidR="00262DB6" w:rsidRDefault="000A6A54" w:rsidP="00C37BFF">
      <w:pPr>
        <w:pStyle w:val="MJDWUTCBrief"/>
        <w:spacing w:line="570" w:lineRule="exact"/>
      </w:pPr>
      <w:r>
        <w:t xml:space="preserve">     </w:t>
      </w:r>
      <w:r w:rsidR="003A5F39">
        <w:tab/>
      </w:r>
      <w:r>
        <w:t>Ignoring</w:t>
      </w:r>
      <w:r w:rsidR="00C469D6">
        <w:t xml:space="preserve"> all the positive indications for a high burden of necessary evidence</w:t>
      </w:r>
      <w:r>
        <w:t xml:space="preserve"> to warrant the need for an attrition adjustment</w:t>
      </w:r>
      <w:r w:rsidR="00C469D6">
        <w:t xml:space="preserve"> in the Avista GRC and Order 08, PSE hones in on footnote 673 of Order 08 to essentially reason that </w:t>
      </w:r>
      <w:r w:rsidR="00872975">
        <w:t>minimal</w:t>
      </w:r>
      <w:r w:rsidR="00C469D6">
        <w:t xml:space="preserve"> historical</w:t>
      </w:r>
      <w:r w:rsidR="00872975">
        <w:t xml:space="preserve"> and trending analyses are</w:t>
      </w:r>
      <w:r w:rsidR="00C469D6">
        <w:t xml:space="preserve"> sufficient to demonstrate attrition</w:t>
      </w:r>
      <w:r w:rsidR="00872975">
        <w:t>,</w:t>
      </w:r>
      <w:r w:rsidR="00872975">
        <w:rPr>
          <w:rStyle w:val="FootnoteReference"/>
        </w:rPr>
        <w:footnoteReference w:id="222"/>
      </w:r>
      <w:r w:rsidR="00872975" w:rsidRPr="00B52A58">
        <w:rPr>
          <w:vertAlign w:val="superscript"/>
        </w:rPr>
        <w:t>/</w:t>
      </w:r>
      <w:r w:rsidR="00872975">
        <w:t xml:space="preserve"> concluding also that “a detailed attrition analysis is not necessary.”</w:t>
      </w:r>
      <w:r w:rsidR="00872975">
        <w:rPr>
          <w:rStyle w:val="FootnoteReference"/>
        </w:rPr>
        <w:footnoteReference w:id="223"/>
      </w:r>
      <w:r w:rsidR="00872975" w:rsidRPr="00B52A58">
        <w:rPr>
          <w:vertAlign w:val="superscript"/>
        </w:rPr>
        <w:t>/</w:t>
      </w:r>
      <w:r>
        <w:rPr>
          <w:vertAlign w:val="superscript"/>
        </w:rPr>
        <w:t xml:space="preserve">  </w:t>
      </w:r>
      <w:r>
        <w:t xml:space="preserve">An attrition adjustment is a fundamental change to ratemaking that should be reserved for only the most extreme cases. </w:t>
      </w:r>
      <w:r w:rsidR="00872975">
        <w:t xml:space="preserve"> </w:t>
      </w:r>
      <w:r w:rsidR="00C469D6">
        <w:t xml:space="preserve"> </w:t>
      </w:r>
    </w:p>
    <w:p w:rsidR="00C72C18" w:rsidRPr="002838FA" w:rsidRDefault="00CA7525" w:rsidP="004D5186">
      <w:pPr>
        <w:pStyle w:val="MJDWUTCBrief"/>
        <w:spacing w:line="570" w:lineRule="exact"/>
        <w:rPr>
          <w:b/>
        </w:rPr>
      </w:pPr>
      <w:r>
        <w:t xml:space="preserve">     </w:t>
      </w:r>
      <w:r w:rsidR="003A5F39">
        <w:tab/>
      </w:r>
      <w:r w:rsidR="00C72C18" w:rsidRPr="002838FA">
        <w:rPr>
          <w:b/>
        </w:rPr>
        <w:t>ii</w:t>
      </w:r>
      <w:r w:rsidR="002838FA">
        <w:rPr>
          <w:b/>
        </w:rPr>
        <w:t xml:space="preserve">. </w:t>
      </w:r>
      <w:r w:rsidR="002C276E">
        <w:rPr>
          <w:b/>
        </w:rPr>
        <w:tab/>
      </w:r>
      <w:r w:rsidR="00065A13" w:rsidRPr="002838FA">
        <w:rPr>
          <w:b/>
        </w:rPr>
        <w:t xml:space="preserve">PSE </w:t>
      </w:r>
      <w:r w:rsidR="00EF3E82" w:rsidRPr="002838FA">
        <w:rPr>
          <w:b/>
        </w:rPr>
        <w:t>Ignores Known and Measureable Changes to its Cost of Service</w:t>
      </w:r>
      <w:r w:rsidR="00C72C18" w:rsidRPr="002838FA">
        <w:rPr>
          <w:b/>
        </w:rPr>
        <w:tab/>
      </w:r>
    </w:p>
    <w:p w:rsidR="00997E25" w:rsidRDefault="00CA7525" w:rsidP="00997E25">
      <w:pPr>
        <w:pStyle w:val="MJDWUTCBrief"/>
        <w:spacing w:line="570" w:lineRule="exact"/>
      </w:pPr>
      <w:r>
        <w:t xml:space="preserve">     </w:t>
      </w:r>
      <w:r w:rsidR="003A5F39">
        <w:tab/>
      </w:r>
      <w:r w:rsidR="00EF3E82">
        <w:t>PSE has recently</w:t>
      </w:r>
      <w:r w:rsidR="00931EF4">
        <w:t xml:space="preserve"> sold a portion of its territory</w:t>
      </w:r>
      <w:r w:rsidR="00EF3E82">
        <w:t xml:space="preserve"> that equals approximately 1.7% of its service territory</w:t>
      </w:r>
      <w:r w:rsidR="001250AD">
        <w:t>.</w:t>
      </w:r>
      <w:r w:rsidR="00E922CB">
        <w:rPr>
          <w:rStyle w:val="FootnoteReference"/>
        </w:rPr>
        <w:footnoteReference w:id="224"/>
      </w:r>
      <w:r w:rsidR="00E922CB" w:rsidRPr="00B52A58">
        <w:rPr>
          <w:vertAlign w:val="superscript"/>
        </w:rPr>
        <w:t>/</w:t>
      </w:r>
      <w:r w:rsidR="007D078F">
        <w:t xml:space="preserve">  PSE nowhere attempts to adjust for this change to its rate base and cost of service, either upward or downward, stating instead that it does not imagine that the adjustment “in aggregate will produce a material impact to the rate proposal in these dockets . . . .”</w:t>
      </w:r>
      <w:r w:rsidR="007D078F">
        <w:rPr>
          <w:rStyle w:val="FootnoteReference"/>
        </w:rPr>
        <w:footnoteReference w:id="225"/>
      </w:r>
      <w:r w:rsidR="007D078F" w:rsidRPr="00B52A58">
        <w:rPr>
          <w:vertAlign w:val="superscript"/>
        </w:rPr>
        <w:t>/</w:t>
      </w:r>
      <w:r w:rsidR="00DD434B">
        <w:t xml:space="preserve">  PSE does not try to quantify what sort of change might be </w:t>
      </w:r>
      <w:r w:rsidR="00DD434B">
        <w:lastRenderedPageBreak/>
        <w:t>“material,” and provides</w:t>
      </w:r>
      <w:r w:rsidR="007D078F">
        <w:t xml:space="preserve"> analysis of the effects of this substantial change in its operations </w:t>
      </w:r>
      <w:r w:rsidR="00DD434B">
        <w:t xml:space="preserve">that </w:t>
      </w:r>
      <w:r w:rsidR="007D078F">
        <w:t>extends no further</w:t>
      </w:r>
      <w:r w:rsidR="00DD434B">
        <w:t xml:space="preserve"> than to estimate that rate base per customer in the lost service territory was similar to</w:t>
      </w:r>
      <w:r w:rsidR="004D5186">
        <w:t xml:space="preserve"> that in the</w:t>
      </w:r>
      <w:r w:rsidR="00DD434B">
        <w:t xml:space="preserve"> retained service territory on a per-customer basis.</w:t>
      </w:r>
      <w:r w:rsidR="00DD434B">
        <w:rPr>
          <w:rStyle w:val="FootnoteReference"/>
        </w:rPr>
        <w:footnoteReference w:id="226"/>
      </w:r>
      <w:r w:rsidR="00DD434B" w:rsidRPr="00B52A58">
        <w:rPr>
          <w:vertAlign w:val="superscript"/>
        </w:rPr>
        <w:t>/</w:t>
      </w:r>
      <w:r w:rsidR="00DD434B">
        <w:t xml:space="preserve">  The Company’s refusal to accurately quantify the changes that have occurred to its cost of service is baffling, given that it has already received a $107 million payment for the facilities.</w:t>
      </w:r>
      <w:r w:rsidR="00DD434B">
        <w:rPr>
          <w:rStyle w:val="FootnoteReference"/>
        </w:rPr>
        <w:footnoteReference w:id="227"/>
      </w:r>
      <w:r w:rsidR="00DD434B" w:rsidRPr="00B52A58">
        <w:rPr>
          <w:vertAlign w:val="superscript"/>
        </w:rPr>
        <w:t>/</w:t>
      </w:r>
      <w:r w:rsidR="00DD434B">
        <w:t xml:space="preserve">  In this drastically expedited proceeding, PSE wishes to set </w:t>
      </w:r>
      <w:r w:rsidR="00CA37D4">
        <w:t>annual attrition-based rate increases</w:t>
      </w:r>
      <w:r w:rsidR="00DD434B">
        <w:t xml:space="preserve"> for years</w:t>
      </w:r>
      <w:r w:rsidR="00CA37D4">
        <w:t xml:space="preserve"> to come</w:t>
      </w:r>
      <w:r w:rsidR="00DD434B">
        <w:t xml:space="preserve"> based on </w:t>
      </w:r>
      <w:r w:rsidR="00CA37D4">
        <w:t xml:space="preserve">rough projections and unaudited historic reports while ignoring and refusing to account for actual known and measureable changes to its operations.  </w:t>
      </w:r>
    </w:p>
    <w:p w:rsidR="002C276E" w:rsidRPr="002C276E" w:rsidRDefault="002838FA" w:rsidP="00997E25">
      <w:pPr>
        <w:pStyle w:val="MJDWUTCBrief"/>
        <w:numPr>
          <w:ilvl w:val="0"/>
          <w:numId w:val="0"/>
        </w:numPr>
        <w:spacing w:line="570" w:lineRule="exact"/>
      </w:pPr>
      <w:r w:rsidRPr="002838FA">
        <w:rPr>
          <w:b/>
        </w:rPr>
        <w:t>iii.</w:t>
      </w:r>
      <w:r>
        <w:t xml:space="preserve"> </w:t>
      </w:r>
      <w:r w:rsidR="002C276E">
        <w:tab/>
      </w:r>
      <w:r w:rsidR="00EF3E82" w:rsidRPr="002838FA">
        <w:rPr>
          <w:b/>
        </w:rPr>
        <w:t>PSE Fails to Satisfy the Especially Stringent Standard for Justifying Multi-</w:t>
      </w:r>
    </w:p>
    <w:p w:rsidR="00EF3E82" w:rsidRPr="006E3C09" w:rsidRDefault="002C276E" w:rsidP="00997E25">
      <w:pPr>
        <w:pStyle w:val="MJDWUTCBrief"/>
        <w:numPr>
          <w:ilvl w:val="0"/>
          <w:numId w:val="0"/>
        </w:numPr>
        <w:spacing w:line="240" w:lineRule="auto"/>
      </w:pPr>
      <w:r>
        <w:rPr>
          <w:b/>
        </w:rPr>
        <w:tab/>
      </w:r>
      <w:r w:rsidR="00EF3E82" w:rsidRPr="002838FA">
        <w:rPr>
          <w:b/>
        </w:rPr>
        <w:t>Step Rate Increases</w:t>
      </w:r>
      <w:r w:rsidR="00EF3E82" w:rsidRPr="002838FA">
        <w:rPr>
          <w:b/>
        </w:rPr>
        <w:tab/>
      </w:r>
    </w:p>
    <w:p w:rsidR="001140FB" w:rsidRDefault="00EF3E82" w:rsidP="00C37BFF">
      <w:pPr>
        <w:pStyle w:val="MJDWUTCBrief"/>
        <w:spacing w:line="570" w:lineRule="exact"/>
      </w:pPr>
      <w:r>
        <w:t xml:space="preserve">     </w:t>
      </w:r>
      <w:r w:rsidR="003A5F39">
        <w:tab/>
      </w:r>
      <w:r>
        <w:t>The Amended Petition requests approval for annual rate increases beginning in 2013 and continuing through 2016 or 2017, based on the proposed GRC stay-out period.</w:t>
      </w:r>
      <w:r>
        <w:rPr>
          <w:rStyle w:val="FootnoteReference"/>
        </w:rPr>
        <w:footnoteReference w:id="228"/>
      </w:r>
      <w:r w:rsidRPr="00B52A58">
        <w:rPr>
          <w:vertAlign w:val="superscript"/>
        </w:rPr>
        <w:t>/</w:t>
      </w:r>
      <w:r>
        <w:t xml:space="preserve"> </w:t>
      </w:r>
      <w:r w:rsidR="00E70D8D">
        <w:t xml:space="preserve">Thus, PSE is asking the Commission to establish a four- and possibly five-step attrition-based rate increase.  In light of the Avista GRC, however, in which the Commission approved a </w:t>
      </w:r>
      <w:r w:rsidR="000543A8">
        <w:t xml:space="preserve">much more modest </w:t>
      </w:r>
      <w:r w:rsidR="00E70D8D">
        <w:t>two-step rate increase based on findings of attrition evidence</w:t>
      </w:r>
      <w:r w:rsidR="00065A13">
        <w:t xml:space="preserve">, </w:t>
      </w:r>
      <w:r w:rsidR="00E70D8D">
        <w:t>the Company’s multi-year step rate increase request should not be approved</w:t>
      </w:r>
      <w:r w:rsidR="000543A8">
        <w:t xml:space="preserve">.  </w:t>
      </w:r>
      <w:r w:rsidR="00E6569C">
        <w:t xml:space="preserve">In fact, </w:t>
      </w:r>
      <w:r w:rsidR="00065A13">
        <w:t xml:space="preserve">Avista’s two-step increase was narrowly approved, and </w:t>
      </w:r>
      <w:r w:rsidR="00E6569C">
        <w:t xml:space="preserve">that was </w:t>
      </w:r>
      <w:r w:rsidR="00065A13">
        <w:t xml:space="preserve">only upon condition of additional evidentiary requirements, along with explicit reservations from the Commission.  </w:t>
      </w:r>
      <w:r w:rsidR="000543A8">
        <w:t>PSE</w:t>
      </w:r>
      <w:r w:rsidR="00065A13">
        <w:t>’s present request</w:t>
      </w:r>
      <w:r w:rsidR="000543A8">
        <w:t xml:space="preserve"> fails to </w:t>
      </w:r>
      <w:r w:rsidR="00065A13">
        <w:t>meet the same</w:t>
      </w:r>
      <w:r w:rsidR="000543A8">
        <w:t xml:space="preserve"> burdens of proof and </w:t>
      </w:r>
      <w:r w:rsidR="000543A8">
        <w:lastRenderedPageBreak/>
        <w:t>persuasion.</w:t>
      </w:r>
      <w:r w:rsidR="002326C0">
        <w:t xml:space="preserve">  There is simply no evidence to support a rate increase beyond the first year</w:t>
      </w:r>
      <w:r w:rsidR="00775335">
        <w:t>, and no evidence of a first year revenue shortfall</w:t>
      </w:r>
      <w:r w:rsidR="009D3F37">
        <w:t>.</w:t>
      </w:r>
      <w:r w:rsidR="00775335">
        <w:t xml:space="preserve"> </w:t>
      </w:r>
    </w:p>
    <w:p w:rsidR="006B78A2" w:rsidRDefault="00CA7525" w:rsidP="00C37BFF">
      <w:pPr>
        <w:pStyle w:val="MJDWUTCBrief"/>
        <w:spacing w:line="570" w:lineRule="exact"/>
      </w:pPr>
      <w:r>
        <w:t xml:space="preserve">     </w:t>
      </w:r>
      <w:r w:rsidR="003A5F39">
        <w:tab/>
      </w:r>
      <w:r w:rsidR="00D50EE7">
        <w:t xml:space="preserve">At the very least, consistent with the Avista GRC, PSE should be required to submit </w:t>
      </w:r>
      <w:r w:rsidR="001140FB">
        <w:t>an attrition study and actual evidence to support the multi-step rate increase plan of the Amended Petition.  More in keeping with t</w:t>
      </w:r>
      <w:r w:rsidR="002326C0">
        <w:t>he Commission’s guidance in the Avista</w:t>
      </w:r>
      <w:r w:rsidR="001140FB">
        <w:t xml:space="preserve"> case, though, the WUTC would be well served to reject PSE’s proposal and maintain its</w:t>
      </w:r>
      <w:r w:rsidR="00775335">
        <w:t xml:space="preserve"> usual</w:t>
      </w:r>
      <w:r w:rsidR="001140FB">
        <w:t xml:space="preserve"> standards for meeting burdens of production and persuasion.</w:t>
      </w:r>
    </w:p>
    <w:p w:rsidR="00B8332B" w:rsidRDefault="008703FE" w:rsidP="00C37BFF">
      <w:pPr>
        <w:pStyle w:val="MJDWUTCBrief"/>
        <w:spacing w:line="570" w:lineRule="exact"/>
      </w:pPr>
      <w:r>
        <w:t xml:space="preserve">     </w:t>
      </w:r>
      <w:r w:rsidR="003A5F39">
        <w:tab/>
      </w:r>
      <w:r w:rsidR="00DA0BF0">
        <w:t xml:space="preserve">Equally important, the Commission stated that part of </w:t>
      </w:r>
      <w:r w:rsidR="0030712E">
        <w:t>its motivation in temporarily setting</w:t>
      </w:r>
      <w:r w:rsidR="00DA0BF0">
        <w:t xml:space="preserve"> Avista’s second rate step increase </w:t>
      </w:r>
      <w:r w:rsidR="00C527FC">
        <w:t xml:space="preserve">for 2014 </w:t>
      </w:r>
      <w:r w:rsidR="0030712E">
        <w:t>was due to its</w:t>
      </w:r>
      <w:r w:rsidR="00DA0BF0">
        <w:t xml:space="preserve"> “anticipation of revisiting the appropriate le</w:t>
      </w:r>
      <w:r w:rsidR="00F713EB">
        <w:t>vel of ROE” in just over a year</w:t>
      </w:r>
      <w:r w:rsidR="00DA0BF0">
        <w:t xml:space="preserve"> </w:t>
      </w:r>
      <w:r w:rsidR="00F713EB">
        <w:t>(</w:t>
      </w:r>
      <w:r w:rsidR="00F713EB" w:rsidRPr="00F713EB">
        <w:rPr>
          <w:u w:val="single"/>
        </w:rPr>
        <w:t>i.e.</w:t>
      </w:r>
      <w:r w:rsidR="00F713EB">
        <w:t xml:space="preserve">, </w:t>
      </w:r>
      <w:r w:rsidR="00DA0BF0">
        <w:t>when Avista would file a new GRC</w:t>
      </w:r>
      <w:r w:rsidR="00C527FC">
        <w:t xml:space="preserve"> in early 2014</w:t>
      </w:r>
      <w:r w:rsidR="00F713EB">
        <w:t>)</w:t>
      </w:r>
      <w:r w:rsidR="00C527FC">
        <w:t>.</w:t>
      </w:r>
      <w:r w:rsidR="00F713EB">
        <w:rPr>
          <w:rStyle w:val="FootnoteReference"/>
        </w:rPr>
        <w:footnoteReference w:id="229"/>
      </w:r>
      <w:r w:rsidR="00F713EB" w:rsidRPr="00B52A58">
        <w:rPr>
          <w:vertAlign w:val="superscript"/>
        </w:rPr>
        <w:t>/</w:t>
      </w:r>
      <w:r w:rsidR="0030712E">
        <w:t xml:space="preserve">  By contra</w:t>
      </w:r>
      <w:r w:rsidR="00E6569C">
        <w:t>st, PSE has proposed a GRC stay-</w:t>
      </w:r>
      <w:r w:rsidR="0030712E">
        <w:t>out period extending into 2016 or 2017—with no provision for reassessment of ret</w:t>
      </w:r>
      <w:r w:rsidR="00E6569C">
        <w:t>urn rates or equity ratios—during which time</w:t>
      </w:r>
      <w:r w:rsidR="0030712E">
        <w:t xml:space="preserve"> multiple steps of rate increases would be levied on ratepayers.  This difference </w:t>
      </w:r>
      <w:r w:rsidR="00B8332B">
        <w:t>is but one more indication that approval of rate increases proposed under the Amended Petition would be unfair and unjust outside of a GRC context.</w:t>
      </w:r>
    </w:p>
    <w:p w:rsidR="00B8332B" w:rsidRDefault="002838FA" w:rsidP="00C37BFF">
      <w:pPr>
        <w:pStyle w:val="MJDWUTCBrief"/>
        <w:numPr>
          <w:ilvl w:val="0"/>
          <w:numId w:val="0"/>
        </w:numPr>
        <w:spacing w:line="570" w:lineRule="exact"/>
      </w:pPr>
      <w:r w:rsidRPr="002C276E">
        <w:rPr>
          <w:b/>
        </w:rPr>
        <w:t>d.</w:t>
      </w:r>
      <w:r>
        <w:t xml:space="preserve"> </w:t>
      </w:r>
      <w:r w:rsidR="002C276E">
        <w:rPr>
          <w:b/>
        </w:rPr>
        <w:tab/>
      </w:r>
      <w:r w:rsidR="00B8332B" w:rsidRPr="002838FA">
        <w:rPr>
          <w:b/>
        </w:rPr>
        <w:t>The Rate Plan Component of</w:t>
      </w:r>
      <w:r w:rsidR="00C42537" w:rsidRPr="002838FA">
        <w:rPr>
          <w:b/>
        </w:rPr>
        <w:t xml:space="preserve"> the Decoupling Proposal Is </w:t>
      </w:r>
      <w:r w:rsidR="00B8332B" w:rsidRPr="002838FA">
        <w:rPr>
          <w:b/>
        </w:rPr>
        <w:t>Unfair</w:t>
      </w:r>
      <w:r w:rsidR="00C80CDB" w:rsidRPr="002838FA">
        <w:rPr>
          <w:b/>
        </w:rPr>
        <w:t xml:space="preserve"> and Unjust</w:t>
      </w:r>
    </w:p>
    <w:p w:rsidR="00DA0BF0" w:rsidRDefault="00CA7525" w:rsidP="00C37BFF">
      <w:pPr>
        <w:pStyle w:val="MJDWUTCBrief"/>
        <w:spacing w:line="570" w:lineRule="exact"/>
      </w:pPr>
      <w:r>
        <w:t xml:space="preserve">     </w:t>
      </w:r>
      <w:r w:rsidR="003A5F39">
        <w:tab/>
      </w:r>
      <w:r w:rsidR="00B8332B">
        <w:t xml:space="preserve">Under the Amended Petition, </w:t>
      </w:r>
      <w:r w:rsidR="006D5540">
        <w:t>rate classes who are otherwi</w:t>
      </w:r>
      <w:r w:rsidR="00804412">
        <w:t>se excluded from the Company’s D</w:t>
      </w:r>
      <w:r w:rsidR="006D5540">
        <w:t>ecoupling proposal will still be included in a “rate plan.”</w:t>
      </w:r>
      <w:r w:rsidR="006D5540">
        <w:rPr>
          <w:rStyle w:val="FootnoteReference"/>
        </w:rPr>
        <w:footnoteReference w:id="230"/>
      </w:r>
      <w:r w:rsidR="006D5540" w:rsidRPr="00B52A58">
        <w:rPr>
          <w:vertAlign w:val="superscript"/>
        </w:rPr>
        <w:t>/</w:t>
      </w:r>
      <w:r w:rsidR="006D5540">
        <w:t xml:space="preserve">  For in</w:t>
      </w:r>
      <w:r w:rsidR="00824616">
        <w:t>stance, throughout the GRC stay-</w:t>
      </w:r>
      <w:r w:rsidR="006D5540">
        <w:t xml:space="preserve">out period, the rate plan will increase retail wheeling “Distribution Service rates by the electric </w:t>
      </w:r>
      <w:r w:rsidR="006A0E11">
        <w:t>K-factor</w:t>
      </w:r>
      <w:r w:rsidR="006D5540">
        <w:t xml:space="preserve"> increase each time it is applied to the </w:t>
      </w:r>
      <w:r w:rsidR="006D5540">
        <w:lastRenderedPageBreak/>
        <w:t>allowed revenue of the other electric customers.”</w:t>
      </w:r>
      <w:r w:rsidR="006D5540">
        <w:rPr>
          <w:rStyle w:val="FootnoteReference"/>
        </w:rPr>
        <w:footnoteReference w:id="231"/>
      </w:r>
      <w:r w:rsidR="006D5540" w:rsidRPr="00B52A58">
        <w:rPr>
          <w:vertAlign w:val="superscript"/>
        </w:rPr>
        <w:t>/</w:t>
      </w:r>
      <w:r w:rsidR="00C80CDB">
        <w:t xml:space="preserve">  According to the Company, applying such </w:t>
      </w:r>
      <w:r w:rsidR="00177F34">
        <w:t xml:space="preserve">a </w:t>
      </w:r>
      <w:r w:rsidR="00C80CDB">
        <w:t>rate increase to retail wheeling customers will “</w:t>
      </w:r>
      <w:r w:rsidR="006D5540">
        <w:t xml:space="preserve">ensure </w:t>
      </w:r>
      <w:r w:rsidR="00C80CDB">
        <w:t xml:space="preserve">that </w:t>
      </w:r>
      <w:r w:rsidR="006D5540">
        <w:t>these</w:t>
      </w:r>
      <w:r w:rsidR="00C80CDB">
        <w:t xml:space="preserve"> customers also contribute to PSE’s growing costs” until the next GRC is filed in 2016 or 2017,</w:t>
      </w:r>
      <w:r w:rsidR="00C80CDB">
        <w:rPr>
          <w:rStyle w:val="FootnoteReference"/>
        </w:rPr>
        <w:footnoteReference w:id="232"/>
      </w:r>
      <w:r w:rsidR="00C80CDB" w:rsidRPr="00B52A58">
        <w:rPr>
          <w:vertAlign w:val="superscript"/>
        </w:rPr>
        <w:t>/</w:t>
      </w:r>
      <w:r w:rsidR="00C80CDB">
        <w:t xml:space="preserve"> which, in turn, “will ensure that all of PSE’s customers are treated fairly.”</w:t>
      </w:r>
      <w:r w:rsidR="00C80CDB">
        <w:rPr>
          <w:rStyle w:val="FootnoteReference"/>
        </w:rPr>
        <w:footnoteReference w:id="233"/>
      </w:r>
      <w:r w:rsidR="00C80CDB" w:rsidRPr="00B52A58">
        <w:rPr>
          <w:vertAlign w:val="superscript"/>
        </w:rPr>
        <w:t>/</w:t>
      </w:r>
      <w:r w:rsidR="00C80CDB">
        <w:t xml:space="preserve">  In reality, all the rate plan will accomplish is to unfairly discriminate against certain rate classes while unjustly charging those same customers </w:t>
      </w:r>
      <w:r w:rsidR="002326C0">
        <w:t>for costs that are not rising for the limited services they take from PSE.</w:t>
      </w:r>
    </w:p>
    <w:p w:rsidR="00E23829" w:rsidRDefault="00CA7525" w:rsidP="00C37BFF">
      <w:pPr>
        <w:pStyle w:val="MJDWUTCBrief"/>
        <w:spacing w:line="570" w:lineRule="exact"/>
      </w:pPr>
      <w:r>
        <w:t xml:space="preserve">     </w:t>
      </w:r>
      <w:r w:rsidR="003A5F39">
        <w:tab/>
      </w:r>
      <w:r w:rsidR="00824616">
        <w:t>First, the rate plan suffers from the same evidentiary inadeq</w:t>
      </w:r>
      <w:r w:rsidR="00804412">
        <w:t>uacy common to all of PSE’s D</w:t>
      </w:r>
      <w:r w:rsidR="00824616">
        <w:t xml:space="preserve">ecoupling proposal:  there is nothing </w:t>
      </w:r>
      <w:r w:rsidR="006C1DF0">
        <w:t xml:space="preserve">in direct testimony </w:t>
      </w:r>
      <w:r w:rsidR="00824616">
        <w:t xml:space="preserve">to support the amounts rate plan customers are expected to contribute through the GRC stay-out period.  Beyond this, as Mr. Deen testifies, ratepayers under retail wheeling tariffs are not similarly situated and do not take bundled service like other PSE customers; rather, “Schedule 449 Direct Access customers pay for the majority of their contribution to PSE’s </w:t>
      </w:r>
      <w:r w:rsidR="009C23A4">
        <w:t>costs through PSE’s” OATT.</w:t>
      </w:r>
      <w:r w:rsidR="009C23A4">
        <w:rPr>
          <w:rStyle w:val="FootnoteReference"/>
        </w:rPr>
        <w:footnoteReference w:id="234"/>
      </w:r>
      <w:r w:rsidR="009C23A4">
        <w:rPr>
          <w:vertAlign w:val="superscript"/>
        </w:rPr>
        <w:t>/</w:t>
      </w:r>
      <w:r w:rsidR="009C23A4">
        <w:t xml:space="preserve"> </w:t>
      </w:r>
      <w:r w:rsidR="006C1DF0">
        <w:t xml:space="preserve"> </w:t>
      </w:r>
      <w:r w:rsidR="008A5D47">
        <w:t>For that matter</w:t>
      </w:r>
      <w:r w:rsidR="009C23A4">
        <w:t xml:space="preserve">, PSE </w:t>
      </w:r>
      <w:r w:rsidR="006C1DF0">
        <w:t xml:space="preserve">even </w:t>
      </w:r>
      <w:r w:rsidR="009C23A4">
        <w:t xml:space="preserve">goes one step further in acknowledging this fact, admitting that “a </w:t>
      </w:r>
      <w:r w:rsidR="009C23A4" w:rsidRPr="009C23A4">
        <w:rPr>
          <w:i/>
        </w:rPr>
        <w:t>vast</w:t>
      </w:r>
      <w:r w:rsidR="009C23A4">
        <w:t xml:space="preserve"> majority of their cost of service is being recovered through” the OATT.</w:t>
      </w:r>
      <w:r w:rsidR="009C23A4">
        <w:rPr>
          <w:rStyle w:val="FootnoteReference"/>
        </w:rPr>
        <w:footnoteReference w:id="235"/>
      </w:r>
      <w:r w:rsidR="009C23A4" w:rsidRPr="0047630D">
        <w:rPr>
          <w:vertAlign w:val="superscript"/>
        </w:rPr>
        <w:t>/</w:t>
      </w:r>
      <w:r w:rsidR="009C23A4">
        <w:t xml:space="preserve">  Moreover, many retail wheeling customers also take service at transmission voltage, meaning the </w:t>
      </w:r>
      <w:r w:rsidR="00C23537">
        <w:t>Company</w:t>
      </w:r>
      <w:r w:rsidR="009C23A4">
        <w:t xml:space="preserve"> incurs </w:t>
      </w:r>
      <w:r w:rsidR="002326C0">
        <w:t xml:space="preserve">virtually </w:t>
      </w:r>
      <w:r w:rsidR="009C23A4">
        <w:t>no distribution costs</w:t>
      </w:r>
      <w:r w:rsidR="00F06676">
        <w:t xml:space="preserve"> </w:t>
      </w:r>
      <w:r w:rsidR="002326C0">
        <w:t>to serve</w:t>
      </w:r>
      <w:r w:rsidR="00CA37D4">
        <w:t xml:space="preserve"> them</w:t>
      </w:r>
      <w:r w:rsidR="00F06676">
        <w:t>.</w:t>
      </w:r>
      <w:r w:rsidR="00F06676">
        <w:rPr>
          <w:rStyle w:val="FootnoteReference"/>
        </w:rPr>
        <w:footnoteReference w:id="236"/>
      </w:r>
      <w:r w:rsidR="00F06676">
        <w:rPr>
          <w:vertAlign w:val="superscript"/>
        </w:rPr>
        <w:t>/</w:t>
      </w:r>
      <w:r w:rsidR="00F06676">
        <w:t xml:space="preserve">  </w:t>
      </w:r>
    </w:p>
    <w:p w:rsidR="008A5D47" w:rsidRDefault="00CA7525" w:rsidP="00C37BFF">
      <w:pPr>
        <w:pStyle w:val="MJDWUTCBrief"/>
        <w:spacing w:line="570" w:lineRule="exact"/>
      </w:pPr>
      <w:r>
        <w:lastRenderedPageBreak/>
        <w:t xml:space="preserve">     </w:t>
      </w:r>
      <w:r w:rsidR="003A5F39">
        <w:tab/>
      </w:r>
      <w:r w:rsidR="00E7700A">
        <w:t xml:space="preserve">In sum, </w:t>
      </w:r>
      <w:r w:rsidR="00F06676">
        <w:t>PSE</w:t>
      </w:r>
      <w:r w:rsidR="00E7700A">
        <w:t>’s one-size-fits-all rate plan</w:t>
      </w:r>
      <w:r w:rsidR="006C1DF0">
        <w:t xml:space="preserve"> is simply unfair</w:t>
      </w:r>
      <w:r w:rsidR="002326C0">
        <w:t xml:space="preserve"> as it is not cost of service based</w:t>
      </w:r>
      <w:r w:rsidR="00E7700A">
        <w:t>—</w:t>
      </w:r>
      <w:r w:rsidR="006C1DF0" w:rsidRPr="006C1DF0">
        <w:rPr>
          <w:u w:val="single"/>
        </w:rPr>
        <w:t>i.e.</w:t>
      </w:r>
      <w:r w:rsidR="006C1DF0">
        <w:t xml:space="preserve">, </w:t>
      </w:r>
      <w:r w:rsidR="00F06676">
        <w:t xml:space="preserve">increasing retail wheeling rates </w:t>
      </w:r>
      <w:r w:rsidR="006A0E11">
        <w:t>by a K-factor</w:t>
      </w:r>
      <w:r w:rsidR="00E7700A">
        <w:t xml:space="preserve"> increase every</w:t>
      </w:r>
      <w:r w:rsidR="006A0E11">
        <w:t xml:space="preserve"> time (and just because) the K-factor</w:t>
      </w:r>
      <w:r w:rsidR="00E7700A">
        <w:t xml:space="preserve"> is applied to o</w:t>
      </w:r>
      <w:r w:rsidR="006C1DF0">
        <w:t>ther customers</w:t>
      </w:r>
      <w:r w:rsidR="00E7700A">
        <w:t>.</w:t>
      </w:r>
      <w:r w:rsidR="003028B3">
        <w:t xml:space="preserve"> </w:t>
      </w:r>
      <w:r w:rsidR="00A13C57">
        <w:t xml:space="preserve"> </w:t>
      </w:r>
      <w:r w:rsidR="00E7700A">
        <w:t>Customers whose “vast” majority of cost of serv</w:t>
      </w:r>
      <w:r w:rsidR="006C1DF0">
        <w:t>ice is already being recovered (</w:t>
      </w:r>
      <w:r w:rsidR="00E7700A">
        <w:t>many of whom do not even add any costs to PSE’s distribution ledger</w:t>
      </w:r>
      <w:r w:rsidR="006C1DF0">
        <w:t>)</w:t>
      </w:r>
      <w:r w:rsidR="00E7700A">
        <w:t>, should not be required to contribute a second time to PSE’s costs in order to “ensure that all of PSE’s</w:t>
      </w:r>
      <w:r w:rsidR="00197132">
        <w:t xml:space="preserve"> customers are treated fairly.”</w:t>
      </w:r>
      <w:r w:rsidR="00E7700A">
        <w:t xml:space="preserve"> </w:t>
      </w:r>
      <w:r w:rsidR="00197132">
        <w:t xml:space="preserve"> The Company argues that Schedule 449 customers are not being charged higher rates, but t</w:t>
      </w:r>
      <w:r w:rsidR="00931376">
        <w:t>he</w:t>
      </w:r>
      <w:r w:rsidR="00242673">
        <w:t xml:space="preserve"> </w:t>
      </w:r>
      <w:r w:rsidR="00C23537">
        <w:t>unconvincing</w:t>
      </w:r>
      <w:r w:rsidR="00197132">
        <w:t xml:space="preserve"> “proof” supplied on</w:t>
      </w:r>
      <w:r w:rsidR="00931376">
        <w:t xml:space="preserve"> rebuttal is that 449 rates had previously</w:t>
      </w:r>
      <w:r w:rsidR="00197132">
        <w:t xml:space="preserve"> decreased due to a separate </w:t>
      </w:r>
      <w:r w:rsidR="002326C0">
        <w:t xml:space="preserve">FERC </w:t>
      </w:r>
      <w:r w:rsidR="00197132">
        <w:t>trans</w:t>
      </w:r>
      <w:r w:rsidR="00931376">
        <w:t>mission reclassification docket.</w:t>
      </w:r>
      <w:r w:rsidR="00931376">
        <w:rPr>
          <w:rStyle w:val="FootnoteReference"/>
        </w:rPr>
        <w:footnoteReference w:id="237"/>
      </w:r>
      <w:r w:rsidR="00931376" w:rsidRPr="0047630D">
        <w:rPr>
          <w:vertAlign w:val="superscript"/>
        </w:rPr>
        <w:t>/</w:t>
      </w:r>
      <w:r w:rsidR="00931376">
        <w:t xml:space="preserve"> </w:t>
      </w:r>
    </w:p>
    <w:p w:rsidR="0075790A" w:rsidRDefault="00CA7525" w:rsidP="00C37BFF">
      <w:pPr>
        <w:pStyle w:val="MJDWUTCBrief"/>
        <w:spacing w:line="570" w:lineRule="exact"/>
      </w:pPr>
      <w:r>
        <w:t xml:space="preserve">     </w:t>
      </w:r>
      <w:r w:rsidR="003A5F39">
        <w:tab/>
      </w:r>
      <w:r w:rsidR="002326C0">
        <w:t>PSE and Staff have agreed to exclude</w:t>
      </w:r>
      <w:r w:rsidR="00072E9B">
        <w:t xml:space="preserve"> the Northwest Industrial Gas Users</w:t>
      </w:r>
      <w:r w:rsidR="008A5D47">
        <w:t xml:space="preserve"> </w:t>
      </w:r>
      <w:r w:rsidR="00A9349A">
        <w:t>(“NWIGU”)</w:t>
      </w:r>
      <w:r w:rsidR="002326C0">
        <w:t>,</w:t>
      </w:r>
      <w:r w:rsidR="00072E9B">
        <w:t xml:space="preserve"> i</w:t>
      </w:r>
      <w:r w:rsidR="00A9349A">
        <w:t>ndustr</w:t>
      </w:r>
      <w:r w:rsidR="00804412">
        <w:t>ial gas customers from the gas D</w:t>
      </w:r>
      <w:r w:rsidR="00A9349A">
        <w:t>ecoupling mechanism</w:t>
      </w:r>
      <w:r w:rsidR="00072E9B">
        <w:t>.</w:t>
      </w:r>
      <w:r w:rsidR="00A9349A">
        <w:rPr>
          <w:rStyle w:val="FootnoteReference"/>
        </w:rPr>
        <w:footnoteReference w:id="238"/>
      </w:r>
      <w:r w:rsidR="00A9349A" w:rsidRPr="0047630D">
        <w:rPr>
          <w:vertAlign w:val="superscript"/>
        </w:rPr>
        <w:t>/</w:t>
      </w:r>
      <w:r w:rsidR="00072E9B">
        <w:t xml:space="preserve">  </w:t>
      </w:r>
      <w:r w:rsidR="00A9349A">
        <w:t>PSE now testifies that on account of a “weakened throughput incentive, removing these customers from the decoupling mechanism appears appropriate.”</w:t>
      </w:r>
      <w:r w:rsidR="0075790A" w:rsidRPr="0075790A">
        <w:rPr>
          <w:rStyle w:val="FootnoteReference"/>
        </w:rPr>
        <w:t xml:space="preserve"> </w:t>
      </w:r>
      <w:r w:rsidR="0075790A">
        <w:rPr>
          <w:rStyle w:val="FootnoteReference"/>
        </w:rPr>
        <w:footnoteReference w:id="239"/>
      </w:r>
      <w:r w:rsidR="0075790A" w:rsidRPr="0047630D">
        <w:rPr>
          <w:vertAlign w:val="superscript"/>
        </w:rPr>
        <w:t>/</w:t>
      </w:r>
      <w:r w:rsidR="00F12E37">
        <w:t xml:space="preserve">  Staff says this is appropriate</w:t>
      </w:r>
      <w:r w:rsidR="003028B3">
        <w:t xml:space="preserve"> because these </w:t>
      </w:r>
      <w:r w:rsidR="003028B3" w:rsidRPr="00BA396C">
        <w:t xml:space="preserve">customers </w:t>
      </w:r>
      <w:r w:rsidR="00BA396C" w:rsidRPr="00BA396C">
        <w:t>represent</w:t>
      </w:r>
      <w:r w:rsidR="002326C0" w:rsidRPr="00BA396C">
        <w:t xml:space="preserve"> a</w:t>
      </w:r>
      <w:r w:rsidR="002326C0">
        <w:t xml:space="preserve"> small amount of revenue.</w:t>
      </w:r>
      <w:r w:rsidR="00CC0E18">
        <w:rPr>
          <w:rStyle w:val="FootnoteReference"/>
        </w:rPr>
        <w:footnoteReference w:id="240"/>
      </w:r>
      <w:r w:rsidR="00CC0E18" w:rsidRPr="00B52A58">
        <w:rPr>
          <w:vertAlign w:val="superscript"/>
        </w:rPr>
        <w:t>/</w:t>
      </w:r>
      <w:r w:rsidR="002326C0">
        <w:t xml:space="preserve"> </w:t>
      </w:r>
      <w:r w:rsidR="00CC0E18">
        <w:t xml:space="preserve"> </w:t>
      </w:r>
      <w:r w:rsidR="003028B3">
        <w:t xml:space="preserve">How much more appropriate, then, to exclude retail wheeling customers from a “decoupling” rate increase entirely, given the complete absence of throughput incentive on account of OATT and transmission voltage service.  </w:t>
      </w:r>
      <w:r w:rsidR="002326C0">
        <w:t>While ICNU does not believe industrial gas users should be subject to decoupl</w:t>
      </w:r>
      <w:r w:rsidR="00804412">
        <w:t>ing, nei</w:t>
      </w:r>
      <w:r w:rsidR="00CA37D4">
        <w:t>ther</w:t>
      </w:r>
      <w:r w:rsidR="002326C0">
        <w:t xml:space="preserve"> should electric industrial customers.  There is no evidenc</w:t>
      </w:r>
      <w:r w:rsidR="006A0E11">
        <w:t>e to support this discriminatory</w:t>
      </w:r>
      <w:r w:rsidR="002326C0">
        <w:t xml:space="preserve"> approach.  </w:t>
      </w:r>
      <w:r w:rsidR="0075790A">
        <w:t xml:space="preserve">  </w:t>
      </w:r>
    </w:p>
    <w:p w:rsidR="00775335" w:rsidRPr="002C276E" w:rsidRDefault="002C276E" w:rsidP="00931EF4">
      <w:pPr>
        <w:pStyle w:val="WUTCParagraph"/>
        <w:keepNext/>
        <w:numPr>
          <w:ilvl w:val="0"/>
          <w:numId w:val="0"/>
        </w:numPr>
        <w:spacing w:line="570" w:lineRule="exact"/>
        <w:jc w:val="center"/>
        <w:rPr>
          <w:bCs/>
          <w:lang w:val="en-US"/>
        </w:rPr>
      </w:pPr>
      <w:r w:rsidRPr="002C276E">
        <w:rPr>
          <w:b/>
          <w:bCs/>
        </w:rPr>
        <w:t>IV.</w:t>
      </w:r>
      <w:r>
        <w:rPr>
          <w:bCs/>
          <w:lang w:val="en-US"/>
        </w:rPr>
        <w:t xml:space="preserve">     </w:t>
      </w:r>
      <w:r w:rsidR="00775335" w:rsidRPr="002838FA">
        <w:rPr>
          <w:b/>
          <w:bCs/>
        </w:rPr>
        <w:t>CONCLUSION</w:t>
      </w:r>
    </w:p>
    <w:p w:rsidR="00BD4108" w:rsidRDefault="00775335" w:rsidP="00C37BFF">
      <w:pPr>
        <w:pStyle w:val="WUTCParagraph"/>
        <w:spacing w:line="570" w:lineRule="exact"/>
      </w:pPr>
      <w:r>
        <w:lastRenderedPageBreak/>
        <w:t xml:space="preserve"> </w:t>
      </w:r>
      <w:r>
        <w:tab/>
      </w:r>
      <w:r w:rsidR="009D3F37">
        <w:rPr>
          <w:lang w:val="en-US"/>
        </w:rPr>
        <w:t>The Settling Parties</w:t>
      </w:r>
      <w:r w:rsidR="009D3F37">
        <w:t xml:space="preserve"> have proposed a </w:t>
      </w:r>
      <w:r>
        <w:t>rate plan mechanism that will increase PSE’s rates by as much as $351 million or more, over the next four years.  The rate plan includes an increase of more than 3%, yet it is not filed in a general rate case; it requests an attrition adjustment, applied yearly, yet it is accompanied by no attrition study, even for the first year; it relies upon the record in the unrelated, unconsolidated Centralia PPA docket</w:t>
      </w:r>
      <w:r w:rsidR="004574A6">
        <w:t>; it claims under</w:t>
      </w:r>
      <w:r>
        <w:t>earning, yet it does not acknowledge PSE’s falli</w:t>
      </w:r>
      <w:r w:rsidR="00804412">
        <w:t>ng capital costs; it imposes a d</w:t>
      </w:r>
      <w:r>
        <w:t xml:space="preserve">ecoupling regime, yet it does not </w:t>
      </w:r>
      <w:r w:rsidR="009D3F37">
        <w:rPr>
          <w:lang w:val="en-US"/>
        </w:rPr>
        <w:t>recognize its</w:t>
      </w:r>
      <w:r>
        <w:t xml:space="preserve"> reduced risk</w:t>
      </w:r>
      <w:r w:rsidR="009D3F37">
        <w:rPr>
          <w:lang w:val="en-US"/>
        </w:rPr>
        <w:t>,</w:t>
      </w:r>
      <w:r>
        <w:t xml:space="preserve"> nor embrace many customer protections in the Commission’s Policy Statement.  PSE and Staff present a</w:t>
      </w:r>
      <w:r w:rsidR="009D3F37">
        <w:rPr>
          <w:lang w:val="en-US"/>
        </w:rPr>
        <w:t xml:space="preserve"> Settlement</w:t>
      </w:r>
      <w:r>
        <w:t xml:space="preserve"> proposal to award regular rate increases to the Company, but do not bother to support their case with cost based studies or audited evidence.</w:t>
      </w:r>
      <w:r w:rsidR="009D3F37">
        <w:rPr>
          <w:lang w:val="en-US"/>
        </w:rPr>
        <w:t xml:space="preserve">  This case has substantial legal infirmities and the opposing parties did not have ample time to identify all adjustments to the proposed rate plan.  </w:t>
      </w:r>
      <w:r w:rsidR="00611C89" w:rsidRPr="00BA396C">
        <w:rPr>
          <w:lang w:val="en-US"/>
        </w:rPr>
        <w:t>Given these infirmities</w:t>
      </w:r>
      <w:r w:rsidR="00611C89">
        <w:rPr>
          <w:lang w:val="en-US"/>
        </w:rPr>
        <w:t>, a</w:t>
      </w:r>
      <w:r w:rsidR="009D3F37">
        <w:rPr>
          <w:lang w:val="en-US"/>
        </w:rPr>
        <w:t xml:space="preserve">ll parties </w:t>
      </w:r>
      <w:r w:rsidR="00611C89">
        <w:rPr>
          <w:lang w:val="en-US"/>
        </w:rPr>
        <w:t xml:space="preserve">and the public interest </w:t>
      </w:r>
      <w:r w:rsidR="009D3F37">
        <w:rPr>
          <w:lang w:val="en-US"/>
        </w:rPr>
        <w:t xml:space="preserve">would be better served by the filing of a GRC after the conclusion of the PCORC case. </w:t>
      </w:r>
    </w:p>
    <w:bookmarkEnd w:id="0"/>
    <w:bookmarkEnd w:id="1"/>
    <w:p w:rsidR="002326C0" w:rsidRPr="00026600" w:rsidRDefault="001D1F66" w:rsidP="00026600">
      <w:pPr>
        <w:pStyle w:val="StyleWUTCParagraphRight-013"/>
        <w:numPr>
          <w:ilvl w:val="0"/>
          <w:numId w:val="0"/>
        </w:numPr>
        <w:tabs>
          <w:tab w:val="clear" w:pos="1440"/>
        </w:tabs>
        <w:spacing w:line="570" w:lineRule="exact"/>
        <w:ind w:left="-450"/>
      </w:pPr>
      <w:r>
        <w:t xml:space="preserve"> </w:t>
      </w:r>
    </w:p>
    <w:p w:rsidR="00B95B55" w:rsidRDefault="00FA1E48" w:rsidP="007A5063">
      <w:pPr>
        <w:pStyle w:val="WUTCParagraph"/>
        <w:numPr>
          <w:ilvl w:val="0"/>
          <w:numId w:val="0"/>
        </w:numPr>
        <w:rPr>
          <w:lang w:val="en-US"/>
        </w:rPr>
      </w:pPr>
      <w:r>
        <w:t>Dated this 30</w:t>
      </w:r>
      <w:r w:rsidR="00F847B6">
        <w:t xml:space="preserve">th day of </w:t>
      </w:r>
      <w:r>
        <w:t>May</w:t>
      </w:r>
      <w:r w:rsidR="00733F32">
        <w:t>, 2</w:t>
      </w:r>
      <w:r>
        <w:t>013</w:t>
      </w:r>
      <w:r w:rsidR="00F847B6">
        <w:t>.</w:t>
      </w:r>
      <w:r w:rsidR="007A5063">
        <w:rPr>
          <w:lang w:val="en-US"/>
        </w:rPr>
        <w:tab/>
      </w:r>
      <w:r w:rsidR="00D163D0">
        <w:rPr>
          <w:lang w:val="en-US"/>
        </w:rPr>
        <w:tab/>
      </w:r>
      <w:r w:rsidR="00D163D0">
        <w:t>Respectfully submitted,</w:t>
      </w:r>
      <w:r w:rsidR="007A5063">
        <w:rPr>
          <w:lang w:val="en-US"/>
        </w:rPr>
        <w:tab/>
      </w:r>
    </w:p>
    <w:p w:rsidR="00D163D0" w:rsidRDefault="00B95B55" w:rsidP="00D163D0">
      <w:pPr>
        <w:keepNext/>
        <w:spacing w:line="570" w:lineRule="exact"/>
        <w:ind w:left="115" w:firstLine="720"/>
      </w:pPr>
      <w:r>
        <w:tab/>
      </w:r>
      <w:r>
        <w:tab/>
      </w:r>
      <w:r>
        <w:tab/>
      </w:r>
      <w:r>
        <w:tab/>
      </w:r>
      <w:r w:rsidR="00D163D0">
        <w:tab/>
        <w:t>DAVISON VAN CLEVE, P.C.</w:t>
      </w:r>
    </w:p>
    <w:p w:rsidR="00D163D0" w:rsidRDefault="00D163D0" w:rsidP="00D163D0">
      <w:pPr>
        <w:keepNext/>
        <w:spacing w:line="570" w:lineRule="exact"/>
        <w:ind w:left="115" w:firstLine="3600"/>
      </w:pPr>
    </w:p>
    <w:p w:rsidR="00D163D0" w:rsidRPr="00200EE5" w:rsidRDefault="00D163D0" w:rsidP="00D163D0">
      <w:pPr>
        <w:keepNext/>
        <w:ind w:left="720" w:firstLine="3600"/>
        <w:rPr>
          <w:u w:val="single"/>
        </w:rPr>
      </w:pPr>
      <w:r>
        <w:rPr>
          <w:i/>
          <w:u w:val="single"/>
        </w:rPr>
        <w:t>/s/ Melinda J. Davison</w:t>
      </w:r>
    </w:p>
    <w:p w:rsidR="00D163D0" w:rsidRDefault="00D163D0" w:rsidP="00D163D0">
      <w:pPr>
        <w:keepNext/>
        <w:ind w:left="720" w:firstLine="3600"/>
      </w:pPr>
      <w:r>
        <w:t>Melinda J. Davison</w:t>
      </w:r>
    </w:p>
    <w:p w:rsidR="00D163D0" w:rsidRDefault="00D163D0" w:rsidP="00D163D0">
      <w:pPr>
        <w:keepNext/>
        <w:ind w:left="720" w:firstLine="3600"/>
      </w:pPr>
      <w:r>
        <w:t>Joshua D. Weber</w:t>
      </w:r>
    </w:p>
    <w:p w:rsidR="00D163D0" w:rsidRDefault="00D163D0" w:rsidP="00D163D0">
      <w:pPr>
        <w:keepNext/>
        <w:ind w:left="720" w:firstLine="3600"/>
      </w:pPr>
      <w:r>
        <w:t>333 S.W. Taylor, Suite 400</w:t>
      </w:r>
    </w:p>
    <w:p w:rsidR="00D163D0" w:rsidRDefault="00D163D0" w:rsidP="00D163D0">
      <w:pPr>
        <w:keepNext/>
        <w:ind w:left="720" w:firstLine="3600"/>
      </w:pPr>
      <w:r>
        <w:t>Portland, Oregon 97204</w:t>
      </w:r>
    </w:p>
    <w:p w:rsidR="00D163D0" w:rsidRDefault="00D163D0" w:rsidP="00D163D0">
      <w:pPr>
        <w:keepNext/>
        <w:ind w:left="720" w:firstLine="3600"/>
      </w:pPr>
      <w:r>
        <w:t>(503) 241-7242 telephone</w:t>
      </w:r>
    </w:p>
    <w:p w:rsidR="00D163D0" w:rsidRDefault="00D163D0" w:rsidP="00D163D0">
      <w:pPr>
        <w:keepNext/>
        <w:ind w:left="720" w:firstLine="3600"/>
      </w:pPr>
      <w:r>
        <w:t>(503) 241-8160 facsimile</w:t>
      </w:r>
    </w:p>
    <w:p w:rsidR="00D163D0" w:rsidRDefault="00D163D0" w:rsidP="00D163D0">
      <w:pPr>
        <w:ind w:left="3632" w:firstLine="688"/>
      </w:pPr>
      <w:r w:rsidRPr="007A4288">
        <w:t>mjd@dvclaw.com</w:t>
      </w:r>
    </w:p>
    <w:p w:rsidR="00D163D0" w:rsidRPr="00F2477B" w:rsidRDefault="00D163D0" w:rsidP="00D163D0">
      <w:pPr>
        <w:ind w:left="3632" w:firstLine="688"/>
      </w:pPr>
      <w:r>
        <w:t>jdw</w:t>
      </w:r>
      <w:r w:rsidRPr="00F2477B">
        <w:t>@dvclaw.com</w:t>
      </w:r>
    </w:p>
    <w:p w:rsidR="00D163D0" w:rsidRDefault="00D163D0" w:rsidP="00D163D0">
      <w:pPr>
        <w:ind w:left="3600" w:firstLine="720"/>
      </w:pPr>
      <w:r w:rsidRPr="00F2477B">
        <w:lastRenderedPageBreak/>
        <w:t>Of</w:t>
      </w:r>
      <w:r>
        <w:t xml:space="preserve"> Attorneys for Industrial Customers </w:t>
      </w:r>
    </w:p>
    <w:p w:rsidR="00D163D0" w:rsidRDefault="00D163D0" w:rsidP="00D163D0">
      <w:pPr>
        <w:ind w:left="3600" w:firstLine="720"/>
      </w:pPr>
      <w:r>
        <w:t>of Northwest Utilities</w:t>
      </w:r>
    </w:p>
    <w:p w:rsidR="00A16173" w:rsidRDefault="00A16173" w:rsidP="007A5063">
      <w:pPr>
        <w:pStyle w:val="WUTCParagraph"/>
        <w:numPr>
          <w:ilvl w:val="0"/>
          <w:numId w:val="0"/>
        </w:numPr>
        <w:rPr>
          <w:lang w:val="en-US"/>
        </w:rPr>
      </w:pPr>
    </w:p>
    <w:p w:rsidR="00F847B6" w:rsidRDefault="00A16173" w:rsidP="007A5063">
      <w:pPr>
        <w:pStyle w:val="WUTCParagraph"/>
        <w:numPr>
          <w:ilvl w:val="0"/>
          <w:numId w:val="0"/>
        </w:numPr>
      </w:pPr>
      <w:r>
        <w:rPr>
          <w:lang w:val="en-US"/>
        </w:rPr>
        <w:tab/>
      </w:r>
      <w:r>
        <w:rPr>
          <w:lang w:val="en-US"/>
        </w:rPr>
        <w:tab/>
      </w:r>
      <w:r>
        <w:rPr>
          <w:lang w:val="en-US"/>
        </w:rPr>
        <w:tab/>
      </w:r>
      <w:r>
        <w:rPr>
          <w:lang w:val="en-US"/>
        </w:rPr>
        <w:tab/>
      </w:r>
    </w:p>
    <w:p w:rsidR="007456D7" w:rsidRDefault="00F847B6" w:rsidP="00D163D0">
      <w:pPr>
        <w:keepNext/>
        <w:spacing w:line="570" w:lineRule="exact"/>
        <w:ind w:left="115" w:firstLine="720"/>
      </w:pPr>
      <w:r>
        <w:tab/>
      </w:r>
      <w:r>
        <w:tab/>
      </w:r>
      <w:r>
        <w:tab/>
      </w:r>
      <w:r>
        <w:tab/>
      </w:r>
    </w:p>
    <w:sectPr w:rsidR="007456D7" w:rsidSect="00987AD3">
      <w:pgSz w:w="12240" w:h="15840" w:code="1"/>
      <w:pgMar w:top="1152" w:right="1440" w:bottom="360" w:left="2160" w:header="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CC" w:rsidRDefault="000C04CC">
      <w:r>
        <w:separator/>
      </w:r>
    </w:p>
  </w:endnote>
  <w:endnote w:type="continuationSeparator" w:id="0">
    <w:p w:rsidR="000C04CC" w:rsidRDefault="000C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CC" w:rsidRDefault="000C04CC">
    <w:pPr>
      <w:pStyle w:val="Footer"/>
    </w:pPr>
  </w:p>
  <w:p w:rsidR="000C04CC" w:rsidRDefault="000C04CC" w:rsidP="00A8153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CC" w:rsidRDefault="000C04CC" w:rsidP="00A443FC">
    <w:pPr>
      <w:pStyle w:val="Footer"/>
      <w:jc w:val="center"/>
    </w:pPr>
    <w:r>
      <w:fldChar w:fldCharType="begin"/>
    </w:r>
    <w:r>
      <w:instrText xml:space="preserve"> PAGE   \* MERGEFORMAT </w:instrText>
    </w:r>
    <w:r>
      <w:fldChar w:fldCharType="separate"/>
    </w:r>
    <w:r w:rsidR="00624313">
      <w:rPr>
        <w:noProof/>
      </w:rPr>
      <w:t>iv</w:t>
    </w:r>
    <w:r>
      <w:rPr>
        <w:noProof/>
      </w:rPr>
      <w:fldChar w:fldCharType="end"/>
    </w:r>
  </w:p>
  <w:p w:rsidR="000C04CC" w:rsidRDefault="000C04CC" w:rsidP="00A8153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CC" w:rsidRDefault="000C04CC">
    <w:pPr>
      <w:pStyle w:val="Footer"/>
    </w:pPr>
  </w:p>
  <w:p w:rsidR="000C04CC" w:rsidRDefault="000C04CC">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4313">
      <w:rPr>
        <w:rStyle w:val="PageNumber"/>
        <w:noProof/>
      </w:rPr>
      <w:t>24</w:t>
    </w:r>
    <w:r>
      <w:rPr>
        <w:rStyle w:val="PageNumber"/>
      </w:rPr>
      <w:fldChar w:fldCharType="end"/>
    </w:r>
    <w:r>
      <w:rPr>
        <w:rStyle w:val="PageNumber"/>
      </w:rPr>
      <w:t xml:space="preserve"> – POST-HEARING BRIEF OF ICNU</w:t>
    </w:r>
    <w:r>
      <w:rPr>
        <w:rStyle w:val="PageNumber"/>
      </w:rPr>
      <w:tab/>
    </w:r>
  </w:p>
  <w:p w:rsidR="000C04CC" w:rsidRPr="00A8153E" w:rsidRDefault="000C04CC">
    <w:pPr>
      <w:pStyle w:val="Footer"/>
      <w:rPr>
        <w:rStyle w:val="PageNumber"/>
      </w:rPr>
    </w:pPr>
  </w:p>
  <w:p w:rsidR="000C04CC" w:rsidRDefault="000C04CC" w:rsidP="00A8153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CC" w:rsidRDefault="000C04CC">
      <w:r>
        <w:separator/>
      </w:r>
    </w:p>
  </w:footnote>
  <w:footnote w:type="continuationSeparator" w:id="0">
    <w:p w:rsidR="000C04CC" w:rsidRDefault="000C04CC">
      <w:r>
        <w:continuationSeparator/>
      </w:r>
    </w:p>
  </w:footnote>
  <w:footnote w:id="1">
    <w:p w:rsidR="000C04CC" w:rsidRDefault="000C04CC" w:rsidP="003E048D">
      <w:pPr>
        <w:pStyle w:val="FootnoteText"/>
        <w:ind w:left="-360"/>
      </w:pPr>
      <w:r>
        <w:rPr>
          <w:rStyle w:val="FootnoteReference"/>
        </w:rPr>
        <w:footnoteRef/>
      </w:r>
      <w:r w:rsidRPr="0047630D">
        <w:rPr>
          <w:vertAlign w:val="superscript"/>
        </w:rPr>
        <w:t>/</w:t>
      </w:r>
      <w:r>
        <w:rPr>
          <w:vertAlign w:val="superscript"/>
        </w:rPr>
        <w:tab/>
      </w:r>
      <w:r>
        <w:t xml:space="preserve">The Energy Project and NWIGU subsequently joined the settlement. </w:t>
      </w:r>
    </w:p>
  </w:footnote>
  <w:footnote w:id="2">
    <w:p w:rsidR="000C04CC" w:rsidRDefault="000C04CC" w:rsidP="00056583">
      <w:pPr>
        <w:pStyle w:val="FootnoteText"/>
        <w:tabs>
          <w:tab w:val="left" w:pos="0"/>
        </w:tabs>
        <w:ind w:left="-360" w:right="-180"/>
      </w:pPr>
      <w:r>
        <w:rPr>
          <w:rStyle w:val="FootnoteReference"/>
        </w:rPr>
        <w:footnoteRef/>
      </w:r>
      <w:r>
        <w:rPr>
          <w:vertAlign w:val="superscript"/>
        </w:rPr>
        <w:t>/</w:t>
      </w:r>
      <w:r>
        <w:tab/>
      </w:r>
      <w:r w:rsidRPr="003E048D">
        <w:t>Multiparty Settlement Re: Coal Transition PPA and Other Pending Dockets</w:t>
      </w:r>
      <w:r>
        <w:t xml:space="preserve">, Docket Nos. </w:t>
      </w:r>
    </w:p>
    <w:p w:rsidR="000C04CC" w:rsidRDefault="000C04CC" w:rsidP="00056583">
      <w:pPr>
        <w:pStyle w:val="FootnoteText"/>
        <w:tabs>
          <w:tab w:val="left" w:pos="0"/>
        </w:tabs>
        <w:ind w:left="-360" w:right="-180"/>
      </w:pPr>
      <w:r>
        <w:tab/>
        <w:t xml:space="preserve">UE-121373, UE-121697 and UG-121705, UE-130137 and UG-130138, ¶ 1 (March 22, 2013) (references to </w:t>
      </w:r>
    </w:p>
    <w:p w:rsidR="000C04CC" w:rsidRDefault="000C04CC" w:rsidP="003E048D">
      <w:pPr>
        <w:pStyle w:val="FootnoteText"/>
        <w:tabs>
          <w:tab w:val="left" w:pos="0"/>
        </w:tabs>
        <w:ind w:left="-360" w:right="-180"/>
      </w:pPr>
      <w:r>
        <w:tab/>
        <w:t>filings made in all dockets abbreviated as “</w:t>
      </w:r>
      <w:r w:rsidRPr="00B72DDF">
        <w:rPr>
          <w:u w:val="single"/>
        </w:rPr>
        <w:t>Multiparty Settlement</w:t>
      </w:r>
      <w:r>
        <w:t>”; filings made only in Docket Nos. UE-</w:t>
      </w:r>
    </w:p>
    <w:p w:rsidR="000C04CC" w:rsidRDefault="000C04CC" w:rsidP="003E048D">
      <w:pPr>
        <w:pStyle w:val="FootnoteText"/>
        <w:tabs>
          <w:tab w:val="left" w:pos="0"/>
        </w:tabs>
        <w:ind w:left="-360" w:right="-180"/>
      </w:pPr>
      <w:r>
        <w:tab/>
        <w:t>121697 and UG-121705 abbreviated as “</w:t>
      </w:r>
      <w:r w:rsidRPr="00D938EF">
        <w:rPr>
          <w:u w:val="single"/>
        </w:rPr>
        <w:t>Decoupling</w:t>
      </w:r>
      <w:r>
        <w:t>”; filings made only in Docket Nos. UE-130137 and UG-</w:t>
      </w:r>
    </w:p>
    <w:p w:rsidR="000C04CC" w:rsidRDefault="000C04CC" w:rsidP="003E048D">
      <w:pPr>
        <w:pStyle w:val="FootnoteText"/>
        <w:tabs>
          <w:tab w:val="left" w:pos="0"/>
        </w:tabs>
        <w:ind w:left="-360" w:right="-180"/>
      </w:pPr>
      <w:r>
        <w:tab/>
        <w:t>130138 abbreviated as “</w:t>
      </w:r>
      <w:r w:rsidRPr="00D938EF">
        <w:rPr>
          <w:u w:val="single"/>
        </w:rPr>
        <w:t>ERF</w:t>
      </w:r>
      <w:r>
        <w:t>”).</w:t>
      </w:r>
    </w:p>
  </w:footnote>
  <w:footnote w:id="3">
    <w:p w:rsidR="000C04CC" w:rsidRPr="00664D7E" w:rsidRDefault="000C04CC" w:rsidP="003E048D">
      <w:pPr>
        <w:pStyle w:val="FootnoteText"/>
        <w:ind w:left="-360" w:right="-180"/>
      </w:pPr>
      <w:r>
        <w:rPr>
          <w:rStyle w:val="FootnoteReference"/>
        </w:rPr>
        <w:footnoteRef/>
      </w:r>
      <w:r>
        <w:rPr>
          <w:vertAlign w:val="superscript"/>
        </w:rPr>
        <w:t>/</w:t>
      </w:r>
      <w:r>
        <w:tab/>
      </w:r>
      <w:r w:rsidRPr="002C1A18">
        <w:rPr>
          <w:u w:val="single"/>
        </w:rPr>
        <w:t>Multiparty Settlement</w:t>
      </w:r>
      <w:r>
        <w:t xml:space="preserve">, Schooley, Exh. No. TES-1T at 4:19–21.  </w:t>
      </w:r>
    </w:p>
  </w:footnote>
  <w:footnote w:id="4">
    <w:p w:rsidR="000C04CC" w:rsidRPr="00664D7E" w:rsidRDefault="000C04CC" w:rsidP="003E048D">
      <w:pPr>
        <w:pStyle w:val="FootnoteText"/>
        <w:ind w:left="-360" w:right="-180"/>
      </w:pPr>
      <w:r>
        <w:rPr>
          <w:rStyle w:val="FootnoteReference"/>
        </w:rPr>
        <w:footnoteRef/>
      </w:r>
      <w:r>
        <w:rPr>
          <w:vertAlign w:val="superscript"/>
        </w:rPr>
        <w:t>/</w:t>
      </w:r>
      <w:r>
        <w:tab/>
      </w:r>
      <w:r w:rsidRPr="008E3F37">
        <w:rPr>
          <w:u w:val="single"/>
        </w:rPr>
        <w:t>ERF</w:t>
      </w:r>
      <w:r>
        <w:t xml:space="preserve">, Piliaris, Exh. No. JAP-1T at 1:14–15.  </w:t>
      </w:r>
    </w:p>
  </w:footnote>
  <w:footnote w:id="5">
    <w:p w:rsidR="000C04CC" w:rsidRPr="00664D7E" w:rsidRDefault="000C04CC" w:rsidP="003E048D">
      <w:pPr>
        <w:pStyle w:val="FootnoteText"/>
        <w:ind w:left="-360" w:right="-180"/>
      </w:pPr>
      <w:r w:rsidRPr="0089462E">
        <w:rPr>
          <w:rStyle w:val="FootnoteReference"/>
        </w:rPr>
        <w:footnoteRef/>
      </w:r>
      <w:r w:rsidRPr="0089462E">
        <w:rPr>
          <w:vertAlign w:val="superscript"/>
        </w:rPr>
        <w:t>/</w:t>
      </w:r>
      <w:r>
        <w:tab/>
      </w:r>
      <w:r w:rsidRPr="008E3F37">
        <w:rPr>
          <w:u w:val="single"/>
        </w:rPr>
        <w:t>ERF</w:t>
      </w:r>
      <w:r>
        <w:t xml:space="preserve">, Barnard, Exh. No. KJB-1T at 2:5–8.  </w:t>
      </w:r>
    </w:p>
  </w:footnote>
  <w:footnote w:id="6">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t xml:space="preserve"> at 4:7–10.  </w:t>
      </w:r>
    </w:p>
  </w:footnote>
  <w:footnote w:id="7">
    <w:p w:rsidR="000C04CC" w:rsidRPr="00664D7E" w:rsidRDefault="000C04CC" w:rsidP="003E048D">
      <w:pPr>
        <w:pStyle w:val="FootnoteText"/>
        <w:ind w:left="-360" w:right="-180"/>
      </w:pPr>
      <w:r>
        <w:rPr>
          <w:rStyle w:val="FootnoteReference"/>
        </w:rPr>
        <w:footnoteRef/>
      </w:r>
      <w:r>
        <w:rPr>
          <w:vertAlign w:val="superscript"/>
        </w:rPr>
        <w:t>/</w:t>
      </w:r>
      <w:r>
        <w:tab/>
      </w:r>
      <w:r w:rsidRPr="00CE7108">
        <w:rPr>
          <w:u w:val="single"/>
        </w:rPr>
        <w:t>Multiparty Settlement</w:t>
      </w:r>
      <w:r>
        <w:t xml:space="preserve">, Schooley, Exh. No. TES-1T at 5:18–6:4.  </w:t>
      </w:r>
    </w:p>
  </w:footnote>
  <w:footnote w:id="8">
    <w:p w:rsidR="000C04CC" w:rsidRPr="00664D7E" w:rsidRDefault="000C04CC" w:rsidP="003E048D">
      <w:pPr>
        <w:pStyle w:val="FootnoteText"/>
        <w:ind w:left="-360" w:right="-180"/>
      </w:pPr>
      <w:r>
        <w:rPr>
          <w:rStyle w:val="FootnoteReference"/>
        </w:rPr>
        <w:footnoteRef/>
      </w:r>
      <w:r>
        <w:rPr>
          <w:vertAlign w:val="superscript"/>
        </w:rPr>
        <w:t>/</w:t>
      </w:r>
      <w:r>
        <w:tab/>
      </w:r>
      <w:r>
        <w:rPr>
          <w:u w:val="single"/>
        </w:rPr>
        <w:t>Decoupling</w:t>
      </w:r>
      <w:r>
        <w:t xml:space="preserve">, Piliaris, Exh. No. JAP-8T at 3:6–10.  </w:t>
      </w:r>
    </w:p>
  </w:footnote>
  <w:footnote w:id="9">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t xml:space="preserve"> at 6:20–25.  </w:t>
      </w:r>
    </w:p>
  </w:footnote>
  <w:footnote w:id="10">
    <w:p w:rsidR="000C04CC" w:rsidRPr="00664D7E" w:rsidRDefault="000C04CC" w:rsidP="003E048D">
      <w:pPr>
        <w:pStyle w:val="FootnoteText"/>
        <w:ind w:left="-360" w:right="-180"/>
      </w:pPr>
      <w:r>
        <w:rPr>
          <w:rStyle w:val="FootnoteReference"/>
        </w:rPr>
        <w:footnoteRef/>
      </w:r>
      <w:r>
        <w:rPr>
          <w:vertAlign w:val="superscript"/>
        </w:rPr>
        <w:t>/</w:t>
      </w:r>
      <w:r>
        <w:tab/>
      </w:r>
      <w:r>
        <w:rPr>
          <w:u w:val="single"/>
        </w:rPr>
        <w:t>Decoupling</w:t>
      </w:r>
      <w:r>
        <w:t xml:space="preserve">, Barnard, Exh. No. KJB-1T at 2:7–10.  </w:t>
      </w:r>
    </w:p>
  </w:footnote>
  <w:footnote w:id="11">
    <w:p w:rsidR="000C04CC" w:rsidRPr="00664D7E" w:rsidRDefault="000C04CC" w:rsidP="003E048D">
      <w:pPr>
        <w:pStyle w:val="FootnoteText"/>
        <w:ind w:left="-360" w:right="-180"/>
      </w:pPr>
      <w:r>
        <w:rPr>
          <w:rStyle w:val="FootnoteReference"/>
        </w:rPr>
        <w:footnoteRef/>
      </w:r>
      <w:r>
        <w:rPr>
          <w:vertAlign w:val="superscript"/>
        </w:rPr>
        <w:t>/</w:t>
      </w:r>
      <w:r>
        <w:tab/>
      </w:r>
      <w:r w:rsidRPr="009A6F49">
        <w:t>Amended Petition</w:t>
      </w:r>
      <w:r>
        <w:t xml:space="preserve"> ¶ 5.  </w:t>
      </w:r>
    </w:p>
  </w:footnote>
  <w:footnote w:id="12">
    <w:p w:rsidR="000C04CC" w:rsidRPr="00664D7E" w:rsidRDefault="000C04CC" w:rsidP="003E048D">
      <w:pPr>
        <w:pStyle w:val="FootnoteText"/>
        <w:ind w:left="-360" w:right="-180"/>
      </w:pPr>
      <w:r>
        <w:rPr>
          <w:rStyle w:val="FootnoteReference"/>
        </w:rPr>
        <w:footnoteRef/>
      </w:r>
      <w:r>
        <w:rPr>
          <w:vertAlign w:val="superscript"/>
        </w:rPr>
        <w:t>/</w:t>
      </w:r>
      <w:r>
        <w:tab/>
      </w:r>
      <w:r>
        <w:rPr>
          <w:u w:val="single"/>
        </w:rPr>
        <w:t>Decoupling</w:t>
      </w:r>
      <w:r>
        <w:t xml:space="preserve">, Piliaris, Exh. No. JAP-8T at 8:10–13.  </w:t>
      </w:r>
    </w:p>
  </w:footnote>
  <w:footnote w:id="13">
    <w:p w:rsidR="000C04CC" w:rsidRPr="00664D7E" w:rsidRDefault="000C04CC" w:rsidP="003E048D">
      <w:pPr>
        <w:pStyle w:val="FootnoteText"/>
        <w:ind w:left="-360" w:right="-180"/>
      </w:pPr>
      <w:r>
        <w:rPr>
          <w:rStyle w:val="FootnoteReference"/>
        </w:rPr>
        <w:footnoteRef/>
      </w:r>
      <w:r>
        <w:rPr>
          <w:vertAlign w:val="superscript"/>
        </w:rPr>
        <w:t>/</w:t>
      </w:r>
      <w:r>
        <w:tab/>
      </w:r>
      <w:r>
        <w:rPr>
          <w:u w:val="single"/>
        </w:rPr>
        <w:t>Decoupling</w:t>
      </w:r>
      <w:r>
        <w:t xml:space="preserve">, Reynolds, Exh. No. DJR-1T at 4:6–8.  </w:t>
      </w:r>
    </w:p>
  </w:footnote>
  <w:footnote w:id="14">
    <w:p w:rsidR="000C04CC" w:rsidRPr="00664D7E" w:rsidRDefault="000C04CC" w:rsidP="003E048D">
      <w:pPr>
        <w:pStyle w:val="FootnoteText"/>
        <w:tabs>
          <w:tab w:val="left" w:pos="0"/>
        </w:tabs>
        <w:ind w:left="-360" w:right="-180"/>
      </w:pPr>
      <w:r>
        <w:rPr>
          <w:rStyle w:val="FootnoteReference"/>
        </w:rPr>
        <w:footnoteRef/>
      </w:r>
      <w:r>
        <w:rPr>
          <w:vertAlign w:val="superscript"/>
        </w:rPr>
        <w:t>/</w:t>
      </w:r>
      <w:r>
        <w:tab/>
      </w:r>
      <w:r w:rsidRPr="002C1A18">
        <w:rPr>
          <w:u w:val="single"/>
        </w:rPr>
        <w:t>Multiparty Settlement</w:t>
      </w:r>
      <w:r>
        <w:t xml:space="preserve">, Hirsh, Exh. No. NH-1T at 2:15–16.  </w:t>
      </w:r>
    </w:p>
  </w:footnote>
  <w:footnote w:id="15">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JAP-1T at 39:7–19; </w:t>
      </w:r>
      <w:r w:rsidRPr="008D6C8A">
        <w:rPr>
          <w:u w:val="single"/>
        </w:rPr>
        <w:t>see</w:t>
      </w:r>
      <w:r>
        <w:t xml:space="preserve"> </w:t>
      </w:r>
      <w:r w:rsidRPr="008D6C8A">
        <w:rPr>
          <w:u w:val="single"/>
        </w:rPr>
        <w:t>also</w:t>
      </w:r>
      <w:r>
        <w:t xml:space="preserve"> Piliaris, Exh. No. JAP-8T at 6:10–12 and n.13 </w:t>
      </w:r>
    </w:p>
    <w:p w:rsidR="000C04CC" w:rsidRPr="00664D7E" w:rsidRDefault="000C04CC" w:rsidP="003E048D">
      <w:pPr>
        <w:pStyle w:val="FootnoteText"/>
        <w:tabs>
          <w:tab w:val="left" w:pos="0"/>
        </w:tabs>
        <w:ind w:left="-360" w:right="-180"/>
      </w:pPr>
      <w:r>
        <w:tab/>
        <w:t xml:space="preserve">(confirming that original rate increase and cap provisions are retained in the Amended Petition).  </w:t>
      </w:r>
    </w:p>
  </w:footnote>
  <w:footnote w:id="16">
    <w:p w:rsidR="000C04CC" w:rsidRPr="00664D7E" w:rsidRDefault="000C04CC" w:rsidP="003E048D">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19:10–20.  </w:t>
      </w:r>
    </w:p>
  </w:footnote>
  <w:footnote w:id="17">
    <w:p w:rsidR="000C04CC" w:rsidRPr="00664D7E"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at 4:9–11.  </w:t>
      </w:r>
    </w:p>
  </w:footnote>
  <w:footnote w:id="18">
    <w:p w:rsidR="000C04CC" w:rsidRPr="00664D7E"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at 7:22–26.  </w:t>
      </w:r>
    </w:p>
  </w:footnote>
  <w:footnote w:id="19">
    <w:p w:rsidR="000C04CC" w:rsidRPr="00664D7E" w:rsidRDefault="000C04CC" w:rsidP="003E048D">
      <w:pPr>
        <w:pStyle w:val="FootnoteText"/>
        <w:ind w:left="-360" w:right="-180"/>
      </w:pPr>
      <w:r>
        <w:rPr>
          <w:rStyle w:val="FootnoteReference"/>
        </w:rPr>
        <w:footnoteRef/>
      </w:r>
      <w:r>
        <w:rPr>
          <w:vertAlign w:val="superscript"/>
        </w:rPr>
        <w:t>/</w:t>
      </w:r>
      <w:r>
        <w:tab/>
      </w:r>
      <w:r w:rsidRPr="009A6F49">
        <w:t>Amended Petition</w:t>
      </w:r>
      <w:r>
        <w:t xml:space="preserve"> ¶ 27.  </w:t>
      </w:r>
    </w:p>
  </w:footnote>
  <w:footnote w:id="20">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rsidRPr="00EE5C0E">
        <w:t xml:space="preserve">  </w:t>
      </w:r>
    </w:p>
  </w:footnote>
  <w:footnote w:id="21">
    <w:p w:rsidR="000C04CC" w:rsidRPr="00664D7E" w:rsidRDefault="000C04CC" w:rsidP="003E048D">
      <w:pPr>
        <w:pStyle w:val="FootnoteText"/>
        <w:ind w:left="-360" w:right="-180"/>
      </w:pPr>
      <w:r>
        <w:rPr>
          <w:rStyle w:val="FootnoteReference"/>
        </w:rPr>
        <w:footnoteRef/>
      </w:r>
      <w:r>
        <w:rPr>
          <w:vertAlign w:val="superscript"/>
        </w:rPr>
        <w:t>/</w:t>
      </w:r>
      <w:r>
        <w:tab/>
        <w:t xml:space="preserve">Docket Nos. 121697 </w:t>
      </w:r>
      <w:r w:rsidRPr="001603CD">
        <w:rPr>
          <w:u w:val="single"/>
        </w:rPr>
        <w:t>et</w:t>
      </w:r>
      <w:r>
        <w:t xml:space="preserve"> </w:t>
      </w:r>
      <w:r w:rsidRPr="001603CD">
        <w:rPr>
          <w:u w:val="single"/>
        </w:rPr>
        <w:t>al.</w:t>
      </w:r>
      <w:r>
        <w:t xml:space="preserve">, </w:t>
      </w:r>
      <w:r w:rsidRPr="00575B5C">
        <w:t>Order 04 ¶ 5.</w:t>
      </w:r>
      <w:r>
        <w:t xml:space="preserve">  </w:t>
      </w:r>
    </w:p>
  </w:footnote>
  <w:footnote w:id="22">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t xml:space="preserve"> ¶ 6.  </w:t>
      </w:r>
    </w:p>
  </w:footnote>
  <w:footnote w:id="23">
    <w:p w:rsidR="000C04CC" w:rsidRPr="00664D7E" w:rsidRDefault="000C04CC" w:rsidP="003E048D">
      <w:pPr>
        <w:pStyle w:val="FootnoteText"/>
        <w:ind w:left="-360" w:right="-180"/>
      </w:pPr>
      <w:r>
        <w:rPr>
          <w:rStyle w:val="FootnoteReference"/>
        </w:rPr>
        <w:footnoteRef/>
      </w:r>
      <w:r>
        <w:rPr>
          <w:vertAlign w:val="superscript"/>
        </w:rPr>
        <w:t>/</w:t>
      </w:r>
      <w:r>
        <w:tab/>
      </w:r>
      <w:r>
        <w:rPr>
          <w:u w:val="single"/>
        </w:rPr>
        <w:t>Id.</w:t>
      </w:r>
      <w:r>
        <w:t xml:space="preserve"> ¶ 12.  </w:t>
      </w:r>
    </w:p>
  </w:footnote>
  <w:footnote w:id="24">
    <w:p w:rsidR="000C04CC" w:rsidRDefault="000C04CC" w:rsidP="003E048D">
      <w:pPr>
        <w:pStyle w:val="FootnoteText"/>
        <w:tabs>
          <w:tab w:val="left" w:pos="0"/>
        </w:tabs>
        <w:ind w:left="-360" w:right="-180"/>
      </w:pPr>
      <w:r w:rsidRPr="00000AF0">
        <w:rPr>
          <w:rStyle w:val="FootnoteReference"/>
        </w:rPr>
        <w:footnoteRef/>
      </w:r>
      <w:r w:rsidRPr="00000AF0">
        <w:rPr>
          <w:vertAlign w:val="superscript"/>
        </w:rPr>
        <w:t>/</w:t>
      </w:r>
      <w:r w:rsidRPr="00000AF0">
        <w:tab/>
      </w:r>
      <w:r w:rsidRPr="00000AF0">
        <w:rPr>
          <w:u w:val="single"/>
        </w:rPr>
        <w:t>WUTC v. PSE</w:t>
      </w:r>
      <w:r w:rsidRPr="00000AF0">
        <w:t>, Docket Nos. UE-111048 and UG-111049, Order No. 08 (May 7, 2012) (“Order 08”).</w:t>
      </w:r>
    </w:p>
  </w:footnote>
  <w:footnote w:id="25">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WUTC Investigation into Energy Conservation Incentives</w:t>
      </w:r>
      <w:r>
        <w:t xml:space="preserve">, Docket No. U-100522, Report and Policy </w:t>
      </w:r>
    </w:p>
    <w:p w:rsidR="000C04CC" w:rsidRDefault="000C04CC" w:rsidP="003E048D">
      <w:pPr>
        <w:pStyle w:val="FootnoteText"/>
        <w:tabs>
          <w:tab w:val="left" w:pos="0"/>
        </w:tabs>
        <w:ind w:left="-360" w:right="-180"/>
      </w:pPr>
      <w:r>
        <w:tab/>
        <w:t>Statement (Nov. 4, 2010).</w:t>
      </w:r>
    </w:p>
  </w:footnote>
  <w:footnote w:id="26">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1.</w:t>
      </w:r>
    </w:p>
  </w:footnote>
  <w:footnote w:id="27">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p>
  </w:footnote>
  <w:footnote w:id="28">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12.</w:t>
      </w:r>
    </w:p>
  </w:footnote>
  <w:footnote w:id="29">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6 (emphasis added).</w:t>
      </w:r>
    </w:p>
  </w:footnote>
  <w:footnote w:id="30">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18, n. 33.</w:t>
      </w:r>
    </w:p>
  </w:footnote>
  <w:footnote w:id="31">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18, n. 34.</w:t>
      </w:r>
    </w:p>
  </w:footnote>
  <w:footnote w:id="32">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24.</w:t>
      </w:r>
    </w:p>
  </w:footnote>
  <w:footnote w:id="33">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27.</w:t>
      </w:r>
    </w:p>
  </w:footnote>
  <w:footnote w:id="34">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12.</w:t>
      </w:r>
    </w:p>
  </w:footnote>
  <w:footnote w:id="35">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27.</w:t>
      </w:r>
    </w:p>
  </w:footnote>
  <w:footnote w:id="36">
    <w:p w:rsidR="000C04CC" w:rsidRDefault="000C04CC" w:rsidP="003E048D">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28.</w:t>
      </w:r>
    </w:p>
  </w:footnote>
  <w:footnote w:id="37">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(emphasis added).</w:t>
      </w:r>
    </w:p>
  </w:footnote>
  <w:footnote w:id="38">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w:t>
      </w:r>
    </w:p>
  </w:footnote>
  <w:footnote w:id="39">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w:t>
      </w:r>
    </w:p>
  </w:footnote>
  <w:footnote w:id="40">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28, n. 46.</w:t>
      </w:r>
    </w:p>
  </w:footnote>
  <w:footnote w:id="41">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9.</w:t>
      </w:r>
    </w:p>
  </w:footnote>
  <w:footnote w:id="42">
    <w:p w:rsidR="000C04CC" w:rsidRPr="00A71DE5" w:rsidRDefault="000C04CC" w:rsidP="003E048D">
      <w:pPr>
        <w:pStyle w:val="FootnoteText"/>
        <w:ind w:left="-360" w:right="-180"/>
      </w:pPr>
      <w:r>
        <w:rPr>
          <w:rStyle w:val="FootnoteReference"/>
        </w:rPr>
        <w:footnoteRef/>
      </w:r>
      <w:r>
        <w:rPr>
          <w:vertAlign w:val="superscript"/>
        </w:rPr>
        <w:t>/</w:t>
      </w:r>
      <w:r>
        <w:tab/>
      </w:r>
      <w:r w:rsidRPr="00426EEC">
        <w:rPr>
          <w:u w:val="single"/>
        </w:rPr>
        <w:t>Id.</w:t>
      </w:r>
      <w:r>
        <w:t xml:space="preserve">   </w:t>
      </w:r>
    </w:p>
  </w:footnote>
  <w:footnote w:id="43">
    <w:p w:rsidR="000C04CC" w:rsidRDefault="000C04CC" w:rsidP="003E048D">
      <w:pPr>
        <w:pStyle w:val="FootnoteText"/>
        <w:tabs>
          <w:tab w:val="left" w:pos="0"/>
        </w:tabs>
        <w:ind w:left="-360" w:right="-180"/>
      </w:pPr>
      <w:r w:rsidRPr="00000AF0">
        <w:rPr>
          <w:rStyle w:val="FootnoteReference"/>
        </w:rPr>
        <w:footnoteRef/>
      </w:r>
      <w:r w:rsidRPr="00000AF0">
        <w:rPr>
          <w:vertAlign w:val="superscript"/>
        </w:rPr>
        <w:t>/</w:t>
      </w:r>
      <w:r w:rsidRPr="00000AF0">
        <w:tab/>
        <w:t>Order 08 ¶ 440.</w:t>
      </w:r>
    </w:p>
  </w:footnote>
  <w:footnote w:id="44">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441.</w:t>
      </w:r>
    </w:p>
  </w:footnote>
  <w:footnote w:id="45">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449.</w:t>
      </w:r>
    </w:p>
  </w:footnote>
  <w:footnote w:id="46">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450.</w:t>
      </w:r>
    </w:p>
  </w:footnote>
  <w:footnote w:id="47">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456 (emphasis added).</w:t>
      </w:r>
    </w:p>
  </w:footnote>
  <w:footnote w:id="48">
    <w:p w:rsidR="000C04CC" w:rsidRDefault="000C04CC" w:rsidP="003E048D">
      <w:pPr>
        <w:pStyle w:val="FootnoteText"/>
        <w:tabs>
          <w:tab w:val="left" w:pos="0"/>
        </w:tabs>
        <w:ind w:left="-360" w:right="-180"/>
      </w:pPr>
      <w:r>
        <w:rPr>
          <w:rStyle w:val="FootnoteReference"/>
        </w:rPr>
        <w:footnoteRef/>
      </w:r>
      <w:r>
        <w:rPr>
          <w:vertAlign w:val="superscript"/>
        </w:rPr>
        <w:t>/</w:t>
      </w:r>
      <w:r>
        <w:tab/>
      </w:r>
      <w:r>
        <w:rPr>
          <w:u w:val="single"/>
        </w:rPr>
        <w:t>Id.</w:t>
      </w:r>
      <w:r>
        <w:t xml:space="preserve"> ¶ 450, n. 605. </w:t>
      </w:r>
    </w:p>
  </w:footnote>
  <w:footnote w:id="49">
    <w:p w:rsidR="000C04CC" w:rsidRPr="003E048D" w:rsidRDefault="000C04CC" w:rsidP="003E048D">
      <w:pPr>
        <w:pStyle w:val="FootnoteText"/>
        <w:tabs>
          <w:tab w:val="left" w:pos="0"/>
        </w:tabs>
        <w:ind w:left="-360" w:right="-180"/>
      </w:pPr>
      <w:r w:rsidRPr="003E048D">
        <w:rPr>
          <w:rStyle w:val="FootnoteReference"/>
        </w:rPr>
        <w:footnoteRef/>
      </w:r>
      <w:r w:rsidRPr="003E048D">
        <w:rPr>
          <w:vertAlign w:val="superscript"/>
        </w:rPr>
        <w:t>/</w:t>
      </w:r>
      <w:r w:rsidRPr="003E048D">
        <w:tab/>
      </w:r>
      <w:r w:rsidRPr="003E048D">
        <w:rPr>
          <w:u w:val="single"/>
        </w:rPr>
        <w:t>Id.</w:t>
      </w:r>
      <w:r w:rsidRPr="003E048D">
        <w:t xml:space="preserve">  </w:t>
      </w:r>
    </w:p>
  </w:footnote>
  <w:footnote w:id="50">
    <w:p w:rsidR="000C04CC" w:rsidRDefault="000C04CC" w:rsidP="003E048D">
      <w:pPr>
        <w:pStyle w:val="FootnoteText"/>
        <w:tabs>
          <w:tab w:val="left" w:pos="0"/>
        </w:tabs>
        <w:ind w:left="-360" w:right="-180"/>
      </w:pPr>
      <w:r w:rsidRPr="003E048D">
        <w:rPr>
          <w:rStyle w:val="FootnoteReference"/>
        </w:rPr>
        <w:footnoteRef/>
      </w:r>
      <w:r w:rsidRPr="003E048D">
        <w:rPr>
          <w:vertAlign w:val="superscript"/>
        </w:rPr>
        <w:t>/</w:t>
      </w:r>
      <w:r w:rsidRPr="003E048D">
        <w:tab/>
        <w:t>Policy Statement ¶ 28.</w:t>
      </w:r>
    </w:p>
  </w:footnote>
  <w:footnote w:id="51">
    <w:p w:rsidR="000C04CC" w:rsidRDefault="000C04CC" w:rsidP="002838FA">
      <w:pPr>
        <w:pStyle w:val="FootnoteText"/>
        <w:tabs>
          <w:tab w:val="left" w:pos="0"/>
        </w:tabs>
        <w:ind w:left="-360" w:right="-180"/>
      </w:pPr>
      <w:r>
        <w:rPr>
          <w:rStyle w:val="FootnoteReference"/>
        </w:rPr>
        <w:footnoteRef/>
      </w:r>
      <w:r>
        <w:rPr>
          <w:vertAlign w:val="superscript"/>
        </w:rPr>
        <w:t>/</w:t>
      </w:r>
      <w:r>
        <w:tab/>
      </w:r>
      <w:r w:rsidRPr="008C413F">
        <w:t>Order 08</w:t>
      </w:r>
      <w:r>
        <w:t xml:space="preserve"> ¶ 454.</w:t>
      </w:r>
    </w:p>
  </w:footnote>
  <w:footnote w:id="52">
    <w:p w:rsidR="000C04CC" w:rsidRDefault="000C04CC" w:rsidP="002838FA">
      <w:pPr>
        <w:pStyle w:val="FootnoteText"/>
        <w:tabs>
          <w:tab w:val="left" w:pos="0"/>
        </w:tabs>
        <w:ind w:left="-360" w:right="-180"/>
      </w:pPr>
      <w:r>
        <w:rPr>
          <w:rStyle w:val="FootnoteReference"/>
        </w:rPr>
        <w:footnoteRef/>
      </w:r>
      <w:r>
        <w:rPr>
          <w:vertAlign w:val="superscript"/>
        </w:rPr>
        <w:t>/</w:t>
      </w:r>
      <w:r>
        <w:tab/>
      </w:r>
      <w:r>
        <w:rPr>
          <w:u w:val="single"/>
        </w:rPr>
        <w:t>Id.</w:t>
      </w:r>
      <w:r>
        <w:t xml:space="preserve"> ¶ 455.</w:t>
      </w:r>
    </w:p>
  </w:footnote>
  <w:footnote w:id="53">
    <w:p w:rsidR="000C04CC" w:rsidRDefault="000C04CC" w:rsidP="002838FA">
      <w:pPr>
        <w:pStyle w:val="FootnoteText"/>
        <w:tabs>
          <w:tab w:val="left" w:pos="0"/>
        </w:tabs>
        <w:ind w:left="-360" w:right="-180"/>
      </w:pPr>
      <w:r>
        <w:rPr>
          <w:rStyle w:val="FootnoteReference"/>
        </w:rPr>
        <w:footnoteRef/>
      </w:r>
      <w:r>
        <w:rPr>
          <w:vertAlign w:val="superscript"/>
        </w:rPr>
        <w:t>/</w:t>
      </w:r>
      <w:r>
        <w:tab/>
      </w:r>
      <w:r>
        <w:rPr>
          <w:u w:val="single"/>
        </w:rPr>
        <w:t>Id.</w:t>
      </w:r>
      <w:r>
        <w:t xml:space="preserve"> </w:t>
      </w:r>
    </w:p>
  </w:footnote>
  <w:footnote w:id="54">
    <w:p w:rsidR="000C04CC" w:rsidRDefault="000C04CC" w:rsidP="002838FA">
      <w:pPr>
        <w:pStyle w:val="FootnoteText"/>
        <w:tabs>
          <w:tab w:val="left" w:pos="0"/>
        </w:tabs>
        <w:ind w:left="-360" w:right="-180"/>
      </w:pPr>
      <w:r>
        <w:rPr>
          <w:rStyle w:val="FootnoteReference"/>
        </w:rPr>
        <w:footnoteRef/>
      </w:r>
      <w:r>
        <w:rPr>
          <w:vertAlign w:val="superscript"/>
        </w:rPr>
        <w:t>/</w:t>
      </w:r>
      <w:r>
        <w:tab/>
      </w:r>
      <w:r>
        <w:rPr>
          <w:u w:val="single"/>
        </w:rPr>
        <w:t>Id.</w:t>
      </w:r>
      <w:r>
        <w:t xml:space="preserve"> ¶¶ 483–91. </w:t>
      </w:r>
    </w:p>
  </w:footnote>
  <w:footnote w:id="55">
    <w:p w:rsidR="000C04CC" w:rsidRDefault="000C04CC" w:rsidP="007E6982">
      <w:pPr>
        <w:pStyle w:val="FootnoteText"/>
        <w:tabs>
          <w:tab w:val="left" w:pos="0"/>
        </w:tabs>
        <w:ind w:left="-360" w:right="-180"/>
      </w:pPr>
      <w:r>
        <w:rPr>
          <w:rStyle w:val="FootnoteReference"/>
        </w:rPr>
        <w:footnoteRef/>
      </w:r>
      <w:r>
        <w:rPr>
          <w:vertAlign w:val="superscript"/>
        </w:rPr>
        <w:t>/</w:t>
      </w:r>
      <w:r>
        <w:tab/>
      </w:r>
      <w:r>
        <w:rPr>
          <w:u w:val="single"/>
        </w:rPr>
        <w:t>Id.</w:t>
      </w:r>
      <w:r>
        <w:t xml:space="preserve"> ¶ 484, n. 658. </w:t>
      </w:r>
    </w:p>
  </w:footnote>
  <w:footnote w:id="56">
    <w:p w:rsidR="000C04CC" w:rsidRDefault="000C04CC" w:rsidP="007E6982">
      <w:pPr>
        <w:pStyle w:val="FootnoteText"/>
        <w:tabs>
          <w:tab w:val="left" w:pos="0"/>
        </w:tabs>
        <w:ind w:left="-360" w:right="-180"/>
      </w:pPr>
      <w:r>
        <w:rPr>
          <w:rStyle w:val="FootnoteReference"/>
        </w:rPr>
        <w:footnoteRef/>
      </w:r>
      <w:r>
        <w:rPr>
          <w:vertAlign w:val="superscript"/>
        </w:rPr>
        <w:t>/</w:t>
      </w:r>
      <w:r>
        <w:tab/>
      </w:r>
      <w:r>
        <w:rPr>
          <w:u w:val="single"/>
        </w:rPr>
        <w:t>Id.</w:t>
      </w:r>
      <w:r>
        <w:t xml:space="preserve"> ¶ 486. </w:t>
      </w:r>
    </w:p>
  </w:footnote>
  <w:footnote w:id="57">
    <w:p w:rsidR="000C04CC" w:rsidRDefault="000C04CC" w:rsidP="007E6982">
      <w:pPr>
        <w:pStyle w:val="FootnoteText"/>
        <w:tabs>
          <w:tab w:val="left" w:pos="0"/>
        </w:tabs>
        <w:ind w:left="-360" w:right="-180"/>
      </w:pPr>
      <w:r>
        <w:rPr>
          <w:rStyle w:val="FootnoteReference"/>
        </w:rPr>
        <w:footnoteRef/>
      </w:r>
      <w:r>
        <w:rPr>
          <w:vertAlign w:val="superscript"/>
        </w:rPr>
        <w:t>/</w:t>
      </w:r>
      <w:r>
        <w:tab/>
      </w:r>
      <w:r>
        <w:rPr>
          <w:u w:val="single"/>
        </w:rPr>
        <w:t>Id.</w:t>
      </w:r>
      <w:r>
        <w:t xml:space="preserve"> ¶ 489. </w:t>
      </w:r>
    </w:p>
  </w:footnote>
  <w:footnote w:id="58">
    <w:p w:rsidR="000C04CC" w:rsidRDefault="000C04CC" w:rsidP="000C76F4">
      <w:pPr>
        <w:pStyle w:val="FootnoteText"/>
        <w:tabs>
          <w:tab w:val="left" w:pos="0"/>
        </w:tabs>
        <w:ind w:left="-450" w:right="-180" w:firstLine="90"/>
      </w:pPr>
      <w:r>
        <w:rPr>
          <w:rStyle w:val="FootnoteReference"/>
        </w:rPr>
        <w:footnoteRef/>
      </w:r>
      <w:r>
        <w:rPr>
          <w:vertAlign w:val="superscript"/>
        </w:rPr>
        <w:t>/</w:t>
      </w:r>
      <w:r>
        <w:tab/>
      </w:r>
      <w:r>
        <w:rPr>
          <w:u w:val="single"/>
        </w:rPr>
        <w:t>Id.</w:t>
      </w:r>
      <w:r>
        <w:t xml:space="preserve">  </w:t>
      </w:r>
    </w:p>
  </w:footnote>
  <w:footnote w:id="59">
    <w:p w:rsidR="000C04CC" w:rsidRDefault="000C04CC" w:rsidP="000C76F4">
      <w:pPr>
        <w:pStyle w:val="FootnoteText"/>
        <w:tabs>
          <w:tab w:val="left" w:pos="0"/>
        </w:tabs>
        <w:ind w:left="-450" w:right="-180" w:firstLine="90"/>
      </w:pPr>
      <w:r>
        <w:rPr>
          <w:rStyle w:val="FootnoteReference"/>
        </w:rPr>
        <w:footnoteRef/>
      </w:r>
      <w:r>
        <w:rPr>
          <w:vertAlign w:val="superscript"/>
        </w:rPr>
        <w:t>/</w:t>
      </w:r>
      <w:r>
        <w:tab/>
      </w:r>
      <w:r>
        <w:rPr>
          <w:u w:val="single"/>
        </w:rPr>
        <w:t>Id.</w:t>
      </w:r>
      <w:r>
        <w:t xml:space="preserve"> ¶ 491.</w:t>
      </w:r>
    </w:p>
  </w:footnote>
  <w:footnote w:id="60">
    <w:p w:rsidR="000C04CC" w:rsidRDefault="000C04CC" w:rsidP="002C7ECD">
      <w:pPr>
        <w:pStyle w:val="FootnoteText"/>
        <w:tabs>
          <w:tab w:val="left" w:pos="0"/>
        </w:tabs>
        <w:ind w:left="-450" w:right="-180" w:firstLine="90"/>
      </w:pPr>
      <w:r>
        <w:rPr>
          <w:rStyle w:val="FootnoteReference"/>
        </w:rPr>
        <w:footnoteRef/>
      </w:r>
      <w:r>
        <w:rPr>
          <w:vertAlign w:val="superscript"/>
        </w:rPr>
        <w:t>/</w:t>
      </w:r>
      <w:r>
        <w:tab/>
      </w:r>
      <w:r>
        <w:rPr>
          <w:u w:val="single"/>
        </w:rPr>
        <w:t>Id.</w:t>
      </w:r>
      <w:r>
        <w:t xml:space="preserve"> (emphasis added).</w:t>
      </w:r>
    </w:p>
  </w:footnote>
  <w:footnote w:id="61">
    <w:p w:rsidR="000C04CC" w:rsidRPr="000B7643" w:rsidRDefault="000C04CC" w:rsidP="003E048D">
      <w:pPr>
        <w:pStyle w:val="FootnoteText"/>
        <w:tabs>
          <w:tab w:val="left" w:pos="0"/>
        </w:tabs>
        <w:ind w:left="-360" w:right="-180"/>
      </w:pPr>
      <w:r w:rsidRPr="000B7643">
        <w:rPr>
          <w:rStyle w:val="FootnoteReference"/>
        </w:rPr>
        <w:footnoteRef/>
      </w:r>
      <w:r w:rsidRPr="000B7643">
        <w:rPr>
          <w:vertAlign w:val="superscript"/>
        </w:rPr>
        <w:t>/</w:t>
      </w:r>
      <w:r w:rsidRPr="000B7643">
        <w:tab/>
      </w:r>
      <w:r w:rsidRPr="000B7643">
        <w:rPr>
          <w:u w:val="single"/>
        </w:rPr>
        <w:t>Id.</w:t>
      </w:r>
      <w:r w:rsidRPr="000B7643">
        <w:t xml:space="preserve"> ¶¶ 492–507.</w:t>
      </w:r>
    </w:p>
  </w:footnote>
  <w:footnote w:id="62">
    <w:p w:rsidR="000C04CC" w:rsidRPr="000B7643" w:rsidRDefault="000C04CC" w:rsidP="003E048D">
      <w:pPr>
        <w:pStyle w:val="FootnoteText"/>
        <w:tabs>
          <w:tab w:val="left" w:pos="0"/>
        </w:tabs>
        <w:ind w:left="-360" w:right="-180"/>
      </w:pPr>
      <w:r w:rsidRPr="000B7643">
        <w:rPr>
          <w:rStyle w:val="FootnoteReference"/>
        </w:rPr>
        <w:footnoteRef/>
      </w:r>
      <w:r w:rsidRPr="000B7643">
        <w:rPr>
          <w:vertAlign w:val="superscript"/>
        </w:rPr>
        <w:t>/</w:t>
      </w:r>
      <w:r w:rsidRPr="000B7643">
        <w:tab/>
      </w:r>
      <w:r w:rsidRPr="000B7643">
        <w:rPr>
          <w:u w:val="single"/>
        </w:rPr>
        <w:t>Id.</w:t>
      </w:r>
      <w:r w:rsidRPr="000B7643">
        <w:t xml:space="preserve"> ¶ 506.</w:t>
      </w:r>
    </w:p>
  </w:footnote>
  <w:footnote w:id="63">
    <w:p w:rsidR="000C04CC" w:rsidRPr="000B7643" w:rsidRDefault="000C04CC" w:rsidP="003E048D">
      <w:pPr>
        <w:pStyle w:val="FootnoteText"/>
        <w:tabs>
          <w:tab w:val="left" w:pos="0"/>
        </w:tabs>
        <w:ind w:left="-360" w:right="-180"/>
      </w:pPr>
      <w:r w:rsidRPr="000B7643">
        <w:rPr>
          <w:rStyle w:val="FootnoteReference"/>
        </w:rPr>
        <w:footnoteRef/>
      </w:r>
      <w:r w:rsidRPr="000B7643">
        <w:rPr>
          <w:vertAlign w:val="superscript"/>
        </w:rPr>
        <w:t>/</w:t>
      </w:r>
      <w:r w:rsidRPr="000B7643">
        <w:tab/>
        <w:t xml:space="preserve">UE-111048, Elgin, Exh. No. KLE-1T at 81:4–18.  </w:t>
      </w:r>
    </w:p>
  </w:footnote>
  <w:footnote w:id="64">
    <w:p w:rsidR="000C04CC" w:rsidRDefault="000C04CC" w:rsidP="003E048D">
      <w:pPr>
        <w:pStyle w:val="FootnoteText"/>
        <w:tabs>
          <w:tab w:val="left" w:pos="0"/>
        </w:tabs>
        <w:ind w:left="-360" w:right="-180"/>
      </w:pPr>
      <w:r w:rsidRPr="000B7643">
        <w:rPr>
          <w:rStyle w:val="FootnoteReference"/>
        </w:rPr>
        <w:footnoteRef/>
      </w:r>
      <w:r w:rsidRPr="000B7643">
        <w:rPr>
          <w:vertAlign w:val="superscript"/>
        </w:rPr>
        <w:t>/</w:t>
      </w:r>
      <w:r w:rsidRPr="000B7643">
        <w:tab/>
        <w:t>Order 08 ¶ 507.</w:t>
      </w:r>
    </w:p>
  </w:footnote>
  <w:footnote w:id="65">
    <w:p w:rsidR="000C04CC" w:rsidRPr="00FE0B78"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RCW § 34.05.476(3).  </w:t>
      </w:r>
    </w:p>
  </w:footnote>
  <w:footnote w:id="66">
    <w:p w:rsidR="000C04CC" w:rsidRPr="00FE0B78"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rsidRPr="00350A34">
        <w:rPr>
          <w:u w:val="single"/>
        </w:rPr>
        <w:t>Id.</w:t>
      </w:r>
      <w:r>
        <w:t xml:space="preserve"> § 34.05.461(4).</w:t>
      </w:r>
    </w:p>
  </w:footnote>
  <w:footnote w:id="67">
    <w:p w:rsidR="000C04CC" w:rsidRDefault="000C04CC" w:rsidP="000B7643">
      <w:pPr>
        <w:pStyle w:val="FootnoteText"/>
        <w:tabs>
          <w:tab w:val="left" w:pos="0"/>
          <w:tab w:val="left" w:pos="90"/>
        </w:tabs>
        <w:ind w:left="-360" w:right="-180"/>
      </w:pPr>
      <w:r w:rsidRPr="00530ED0">
        <w:rPr>
          <w:rStyle w:val="FootnoteReference"/>
        </w:rPr>
        <w:footnoteRef/>
      </w:r>
      <w:r w:rsidRPr="00530ED0">
        <w:rPr>
          <w:vertAlign w:val="superscript"/>
        </w:rPr>
        <w:t>/</w:t>
      </w:r>
      <w:r w:rsidRPr="00530ED0">
        <w:tab/>
      </w:r>
      <w:r>
        <w:t xml:space="preserve">WAC § 480-07-440(1); </w:t>
      </w:r>
      <w:r w:rsidRPr="00D62297">
        <w:rPr>
          <w:u w:val="single"/>
        </w:rPr>
        <w:t>compare</w:t>
      </w:r>
      <w:r>
        <w:t xml:space="preserve"> Letter of  AAG Sally Brown to ALJ Moss dated May 15, 2013.  Staff’s </w:t>
      </w:r>
    </w:p>
    <w:p w:rsidR="000C04CC" w:rsidRDefault="000C04CC" w:rsidP="000B7643">
      <w:pPr>
        <w:pStyle w:val="FootnoteText"/>
        <w:tabs>
          <w:tab w:val="left" w:pos="0"/>
          <w:tab w:val="left" w:pos="90"/>
        </w:tabs>
        <w:ind w:right="-180"/>
      </w:pPr>
      <w:r>
        <w:t xml:space="preserve">request also appears to ignore the fact that Commission rules provide for specific procedures to be followed </w:t>
      </w:r>
    </w:p>
    <w:p w:rsidR="000C04CC" w:rsidRPr="00FE0B78" w:rsidRDefault="000C04CC" w:rsidP="000B7643">
      <w:pPr>
        <w:pStyle w:val="FootnoteText"/>
        <w:tabs>
          <w:tab w:val="left" w:pos="0"/>
          <w:tab w:val="left" w:pos="90"/>
        </w:tabs>
        <w:ind w:right="-180"/>
      </w:pPr>
      <w:r>
        <w:t>when a party petitions for reconsideration.  ICNU addresses this issue in Docket No. UE-121373.</w:t>
      </w:r>
    </w:p>
  </w:footnote>
  <w:footnote w:id="68">
    <w:p w:rsidR="000C04CC" w:rsidRPr="00FE0B78" w:rsidRDefault="000C04CC" w:rsidP="000B7643">
      <w:pPr>
        <w:pStyle w:val="FootnoteText"/>
        <w:tabs>
          <w:tab w:val="left" w:pos="0"/>
          <w:tab w:val="left" w:pos="90"/>
          <w:tab w:val="left" w:pos="540"/>
          <w:tab w:val="left" w:pos="810"/>
        </w:tabs>
        <w:ind w:left="-360" w:right="-180"/>
      </w:pPr>
      <w:r w:rsidRPr="00530ED0">
        <w:rPr>
          <w:rStyle w:val="FootnoteReference"/>
        </w:rPr>
        <w:footnoteRef/>
      </w:r>
      <w:r w:rsidRPr="00530ED0">
        <w:rPr>
          <w:vertAlign w:val="superscript"/>
        </w:rPr>
        <w:t>/</w:t>
      </w:r>
      <w:r w:rsidRPr="00530ED0">
        <w:tab/>
      </w:r>
      <w:r>
        <w:t>Hearing Tr. at p. 121 ll. 23-25.</w:t>
      </w:r>
    </w:p>
  </w:footnote>
  <w:footnote w:id="69">
    <w:p w:rsidR="000C04CC" w:rsidRDefault="000C04CC" w:rsidP="000B7643">
      <w:pPr>
        <w:pStyle w:val="FootnoteText"/>
        <w:tabs>
          <w:tab w:val="left" w:pos="0"/>
          <w:tab w:val="left" w:pos="90"/>
          <w:tab w:val="left" w:pos="540"/>
        </w:tabs>
        <w:ind w:left="-360"/>
      </w:pPr>
      <w:r>
        <w:rPr>
          <w:rStyle w:val="FootnoteReference"/>
        </w:rPr>
        <w:footnoteRef/>
      </w:r>
      <w:r w:rsidRPr="00530ED0">
        <w:rPr>
          <w:vertAlign w:val="superscript"/>
        </w:rPr>
        <w:t>/</w:t>
      </w:r>
      <w:r>
        <w:t xml:space="preserve"> </w:t>
      </w:r>
      <w:r>
        <w:tab/>
      </w:r>
      <w:r w:rsidRPr="00754F0F">
        <w:rPr>
          <w:u w:val="single"/>
        </w:rPr>
        <w:t>Id.</w:t>
      </w:r>
      <w:r>
        <w:t xml:space="preserve"> p. 123 ll. 4-6.</w:t>
      </w:r>
    </w:p>
  </w:footnote>
  <w:footnote w:id="70">
    <w:p w:rsidR="000C04CC" w:rsidRDefault="000C04CC" w:rsidP="000B7643">
      <w:pPr>
        <w:pStyle w:val="FootnoteText"/>
        <w:tabs>
          <w:tab w:val="left" w:pos="0"/>
          <w:tab w:val="left" w:pos="90"/>
          <w:tab w:val="left" w:pos="540"/>
        </w:tabs>
        <w:ind w:left="-360"/>
      </w:pPr>
      <w:r w:rsidRPr="00F922FE">
        <w:rPr>
          <w:rStyle w:val="FootnoteReference"/>
        </w:rPr>
        <w:footnoteRef/>
      </w:r>
      <w:r w:rsidRPr="00F922FE">
        <w:rPr>
          <w:vertAlign w:val="superscript"/>
        </w:rPr>
        <w:t>/</w:t>
      </w:r>
      <w:r w:rsidRPr="00F922FE">
        <w:t xml:space="preserve"> </w:t>
      </w:r>
      <w:r w:rsidRPr="00F922FE">
        <w:tab/>
      </w:r>
      <w:r w:rsidRPr="00F922FE">
        <w:rPr>
          <w:u w:val="single"/>
        </w:rPr>
        <w:t>Id.</w:t>
      </w:r>
      <w:r w:rsidRPr="00F922FE">
        <w:t xml:space="preserve"> p. 100 ll. 6-13.</w:t>
      </w:r>
    </w:p>
  </w:footnote>
  <w:footnote w:id="71">
    <w:p w:rsidR="000C04CC"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In Docket UE-121373, Bench Request 1 requested employment levels at the Centralia generation plant while </w:t>
      </w:r>
    </w:p>
    <w:p w:rsidR="000C04CC" w:rsidRPr="00FE0B78" w:rsidRDefault="000C04CC" w:rsidP="000B7643">
      <w:pPr>
        <w:pStyle w:val="FootnoteText"/>
        <w:tabs>
          <w:tab w:val="left" w:pos="0"/>
        </w:tabs>
        <w:ind w:left="-360" w:right="-180"/>
      </w:pPr>
      <w:r>
        <w:tab/>
        <w:t>Bench Request 2 requested historical generation data from the same location.</w:t>
      </w:r>
    </w:p>
  </w:footnote>
  <w:footnote w:id="72">
    <w:p w:rsidR="000C04CC"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ICNU understands that the Commission’s joint proceedings, noticed for Docket Nos. 121697 and 121705 </w:t>
      </w:r>
    </w:p>
    <w:p w:rsidR="000C04CC" w:rsidRPr="00FE0B78" w:rsidRDefault="000C04CC" w:rsidP="000B7643">
      <w:pPr>
        <w:pStyle w:val="FootnoteText"/>
        <w:tabs>
          <w:tab w:val="left" w:pos="0"/>
        </w:tabs>
        <w:ind w:right="-180"/>
      </w:pPr>
      <w:r>
        <w:t xml:space="preserve">(consolidated) and Docket Nos. 131037 and 131038 (consolidated) create parallel, yet separate, records for the present four dockets.  </w:t>
      </w:r>
      <w:r w:rsidRPr="009A09BB">
        <w:rPr>
          <w:u w:val="single"/>
        </w:rPr>
        <w:t>See</w:t>
      </w:r>
      <w:r>
        <w:t xml:space="preserve"> Hearing Tr., at 115:18-20.</w:t>
      </w:r>
    </w:p>
  </w:footnote>
  <w:footnote w:id="73">
    <w:p w:rsidR="000C04CC" w:rsidRPr="00FE0B78"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WAC § 480-07-820(3). </w:t>
      </w:r>
    </w:p>
  </w:footnote>
  <w:footnote w:id="74">
    <w:p w:rsidR="000C04CC" w:rsidRPr="00FE0B78" w:rsidRDefault="000C04CC" w:rsidP="000B7643">
      <w:pPr>
        <w:pStyle w:val="FootnoteText"/>
        <w:tabs>
          <w:tab w:val="left" w:pos="0"/>
        </w:tabs>
        <w:ind w:left="-360" w:right="-180"/>
      </w:pPr>
      <w:r w:rsidRPr="00530ED0">
        <w:rPr>
          <w:rStyle w:val="FootnoteReference"/>
        </w:rPr>
        <w:footnoteRef/>
      </w:r>
      <w:r w:rsidRPr="00530ED0">
        <w:rPr>
          <w:vertAlign w:val="superscript"/>
        </w:rPr>
        <w:t>/</w:t>
      </w:r>
      <w:r w:rsidRPr="00530ED0">
        <w:tab/>
      </w:r>
      <w:r>
        <w:t xml:space="preserve">RCW § 34.05.476(2)(d). </w:t>
      </w:r>
    </w:p>
  </w:footnote>
  <w:footnote w:id="75">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6:22–25.  </w:t>
      </w:r>
    </w:p>
  </w:footnote>
  <w:footnote w:id="76">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t xml:space="preserve">Order 04 ¶ 5; Order 05 ¶ 5.  </w:t>
      </w:r>
    </w:p>
  </w:footnote>
  <w:footnote w:id="77">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WUTC v. PacifiCorp</w:t>
      </w:r>
      <w:r>
        <w:t xml:space="preserve">, Docket No. UE-050684 </w:t>
      </w:r>
      <w:r w:rsidRPr="00AC5605">
        <w:rPr>
          <w:u w:val="single"/>
        </w:rPr>
        <w:t>et</w:t>
      </w:r>
      <w:r w:rsidRPr="00AC5605">
        <w:t xml:space="preserve"> </w:t>
      </w:r>
      <w:r>
        <w:rPr>
          <w:u w:val="single"/>
        </w:rPr>
        <w:t>at.</w:t>
      </w:r>
      <w:r w:rsidRPr="00AC5605">
        <w:t>,</w:t>
      </w:r>
      <w:r>
        <w:t xml:space="preserve"> Order No. 01 ¶¶ 1–2 (June 28, 2006).</w:t>
      </w:r>
      <w:r>
        <w:rPr>
          <w:lang w:val="fr-FR"/>
        </w:rPr>
        <w:t xml:space="preserve"> </w:t>
      </w:r>
    </w:p>
  </w:footnote>
  <w:footnote w:id="78">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Id.</w:t>
      </w:r>
      <w:r>
        <w:t xml:space="preserve"> ¶ 5.</w:t>
      </w:r>
      <w:r>
        <w:rPr>
          <w:lang w:val="fr-FR"/>
        </w:rPr>
        <w:t xml:space="preserve"> </w:t>
      </w:r>
    </w:p>
  </w:footnote>
  <w:footnote w:id="79">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Id.</w:t>
      </w:r>
      <w:r>
        <w:t xml:space="preserve"> ¶ 4.</w:t>
      </w:r>
      <w:r>
        <w:rPr>
          <w:lang w:val="fr-FR"/>
        </w:rPr>
        <w:t xml:space="preserve"> </w:t>
      </w:r>
    </w:p>
  </w:footnote>
  <w:footnote w:id="80">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Id.</w:t>
      </w:r>
      <w:r>
        <w:t xml:space="preserve"> ¶ 6.</w:t>
      </w:r>
      <w:r>
        <w:rPr>
          <w:lang w:val="fr-FR"/>
        </w:rPr>
        <w:t xml:space="preserve"> </w:t>
      </w:r>
    </w:p>
  </w:footnote>
  <w:footnote w:id="81">
    <w:p w:rsidR="000C04CC" w:rsidRDefault="000C04CC" w:rsidP="00176531">
      <w:pPr>
        <w:pStyle w:val="FootnoteText"/>
        <w:tabs>
          <w:tab w:val="left" w:pos="0"/>
        </w:tabs>
        <w:ind w:left="-360" w:right="-180"/>
      </w:pPr>
      <w:r>
        <w:rPr>
          <w:rStyle w:val="FootnoteReference"/>
        </w:rPr>
        <w:footnoteRef/>
      </w:r>
      <w:r>
        <w:rPr>
          <w:vertAlign w:val="superscript"/>
          <w:lang w:val="fr-FR"/>
        </w:rPr>
        <w:t>/</w:t>
      </w:r>
      <w:r>
        <w:rPr>
          <w:lang w:val="fr-FR"/>
        </w:rPr>
        <w:tab/>
      </w:r>
      <w:r>
        <w:rPr>
          <w:u w:val="single"/>
        </w:rPr>
        <w:t>Id.</w:t>
      </w:r>
      <w:r>
        <w:t xml:space="preserve"> ¶ 5.</w:t>
      </w:r>
      <w:r>
        <w:rPr>
          <w:lang w:val="fr-FR"/>
        </w:rPr>
        <w:t xml:space="preserve"> </w:t>
      </w:r>
    </w:p>
  </w:footnote>
  <w:footnote w:id="82">
    <w:p w:rsidR="000C04CC" w:rsidRDefault="000C04CC" w:rsidP="00176531">
      <w:pPr>
        <w:pStyle w:val="FootnoteText"/>
        <w:tabs>
          <w:tab w:val="left" w:pos="0"/>
        </w:tabs>
        <w:ind w:left="-360" w:right="-180"/>
      </w:pPr>
      <w:r>
        <w:rPr>
          <w:rStyle w:val="FootnoteReference"/>
        </w:rPr>
        <w:footnoteRef/>
      </w:r>
      <w:r>
        <w:rPr>
          <w:vertAlign w:val="superscript"/>
        </w:rPr>
        <w:t>/</w:t>
      </w:r>
      <w:r>
        <w:tab/>
        <w:t>RCW § 80.04.130(4).</w:t>
      </w:r>
    </w:p>
  </w:footnote>
  <w:footnote w:id="83">
    <w:p w:rsidR="000C04CC" w:rsidRDefault="000C04CC" w:rsidP="00176531">
      <w:pPr>
        <w:pStyle w:val="FootnoteText"/>
        <w:tabs>
          <w:tab w:val="left" w:pos="0"/>
        </w:tabs>
        <w:ind w:left="-360" w:right="-180"/>
      </w:pPr>
      <w:r>
        <w:rPr>
          <w:rStyle w:val="FootnoteReference"/>
        </w:rPr>
        <w:footnoteRef/>
      </w:r>
      <w:r>
        <w:rPr>
          <w:vertAlign w:val="superscript"/>
        </w:rPr>
        <w:t>/</w:t>
      </w:r>
      <w:r>
        <w:tab/>
      </w:r>
      <w:r>
        <w:rPr>
          <w:u w:val="single"/>
        </w:rPr>
        <w:t>WUTC v. PacifiCorp</w:t>
      </w:r>
      <w:r>
        <w:t>, Docket Nos. UE-991832 and UE-020417, 2</w:t>
      </w:r>
      <w:r w:rsidRPr="002E6094">
        <w:t>nd</w:t>
      </w:r>
      <w:r>
        <w:t xml:space="preserve"> Suppl. Order ¶ 9 (Aug. 21, 2002); </w:t>
      </w:r>
    </w:p>
    <w:p w:rsidR="000C04CC" w:rsidRDefault="000C04CC" w:rsidP="00176531">
      <w:pPr>
        <w:pStyle w:val="FootnoteText"/>
        <w:tabs>
          <w:tab w:val="left" w:pos="0"/>
        </w:tabs>
        <w:ind w:left="-360" w:right="-180"/>
      </w:pPr>
      <w:r>
        <w:tab/>
      </w:r>
      <w:r>
        <w:rPr>
          <w:u w:val="single"/>
        </w:rPr>
        <w:t>WUTC v. Inland Tel. Co.</w:t>
      </w:r>
      <w:r>
        <w:t>, Docket No. UT-050606, Order 09 at n. 11 (Nov. 30, 2006).</w:t>
      </w:r>
    </w:p>
  </w:footnote>
  <w:footnote w:id="84">
    <w:p w:rsidR="000C04CC" w:rsidRDefault="000C04CC" w:rsidP="00176531">
      <w:pPr>
        <w:pStyle w:val="FootnoteText"/>
        <w:tabs>
          <w:tab w:val="left" w:pos="0"/>
        </w:tabs>
        <w:ind w:left="-360" w:right="-180"/>
      </w:pPr>
      <w:r>
        <w:rPr>
          <w:rStyle w:val="FootnoteReference"/>
        </w:rPr>
        <w:footnoteRef/>
      </w:r>
      <w:r>
        <w:rPr>
          <w:vertAlign w:val="superscript"/>
        </w:rPr>
        <w:t>/</w:t>
      </w:r>
      <w:r>
        <w:t xml:space="preserve"> </w:t>
      </w:r>
      <w:r>
        <w:tab/>
      </w:r>
      <w:r>
        <w:rPr>
          <w:u w:val="single"/>
        </w:rPr>
        <w:t>WUTC v. Pacific Power &amp; Light Co.</w:t>
      </w:r>
      <w:r>
        <w:t xml:space="preserve">, Cause No. U-84-65, Fourth Suppl. Order at 28 (Aug. 2, 1985).  </w:t>
      </w:r>
    </w:p>
  </w:footnote>
  <w:footnote w:id="85">
    <w:p w:rsidR="000C04CC" w:rsidRDefault="000C04CC" w:rsidP="00176531">
      <w:pPr>
        <w:pStyle w:val="FootnoteText"/>
        <w:tabs>
          <w:tab w:val="left" w:pos="0"/>
        </w:tabs>
        <w:ind w:left="-360" w:right="-180"/>
      </w:pPr>
      <w:r>
        <w:rPr>
          <w:rStyle w:val="FootnoteReference"/>
        </w:rPr>
        <w:footnoteRef/>
      </w:r>
      <w:r>
        <w:rPr>
          <w:vertAlign w:val="superscript"/>
        </w:rPr>
        <w:t>/</w:t>
      </w:r>
      <w:r>
        <w:tab/>
      </w:r>
      <w:r>
        <w:rPr>
          <w:u w:val="single"/>
        </w:rPr>
        <w:t>E.g.</w:t>
      </w:r>
      <w:r>
        <w:t xml:space="preserve">, </w:t>
      </w:r>
      <w:r w:rsidRPr="002C1A18">
        <w:rPr>
          <w:u w:val="single"/>
        </w:rPr>
        <w:t>Multiparty Settlement</w:t>
      </w:r>
      <w:r>
        <w:t>, Doyle, Exh. No. DAD-1T at 2:11–14; 2:18–21; 3:19–22; 4:4–7; 4:20–23; 5:9–</w:t>
      </w:r>
    </w:p>
    <w:p w:rsidR="000C04CC" w:rsidRDefault="000C04CC" w:rsidP="00176531">
      <w:pPr>
        <w:pStyle w:val="FootnoteText"/>
        <w:tabs>
          <w:tab w:val="left" w:pos="0"/>
        </w:tabs>
        <w:ind w:left="-360" w:right="-180"/>
      </w:pPr>
      <w:r>
        <w:tab/>
        <w:t xml:space="preserve">11; 6:16–19; 9:8–10; 9:15–18; 10:7–9; 11:14–16; 12:5–8; Piliaris, Exh. No. JAP-24T at 3:15–17; 5:11–14; </w:t>
      </w:r>
    </w:p>
    <w:p w:rsidR="000C04CC" w:rsidRPr="00664D7E" w:rsidRDefault="000C04CC" w:rsidP="00176531">
      <w:pPr>
        <w:pStyle w:val="FootnoteText"/>
        <w:tabs>
          <w:tab w:val="left" w:pos="0"/>
        </w:tabs>
        <w:ind w:left="-360" w:right="-180"/>
      </w:pPr>
      <w:r>
        <w:tab/>
      </w:r>
      <w:r w:rsidRPr="00C6615A">
        <w:rPr>
          <w:u w:val="single"/>
        </w:rPr>
        <w:t>Decoupling</w:t>
      </w:r>
      <w:r>
        <w:t xml:space="preserve">, Cavanagh, Exh. No. RCC-4T at 5:14–15.  </w:t>
      </w:r>
    </w:p>
  </w:footnote>
  <w:footnote w:id="86">
    <w:p w:rsidR="000C04CC" w:rsidRPr="00A71DE5" w:rsidRDefault="000C04CC" w:rsidP="00176531">
      <w:pPr>
        <w:pStyle w:val="FootnoteText"/>
        <w:ind w:left="-360" w:right="-180"/>
      </w:pPr>
      <w:r>
        <w:rPr>
          <w:rStyle w:val="FootnoteReference"/>
        </w:rPr>
        <w:footnoteRef/>
      </w:r>
      <w:r>
        <w:rPr>
          <w:vertAlign w:val="superscript"/>
        </w:rPr>
        <w:t>/</w:t>
      </w:r>
      <w:r>
        <w:tab/>
      </w:r>
      <w:r w:rsidRPr="00C95371">
        <w:t>Hearing Tr. at 254:14-16.</w:t>
      </w:r>
      <w:r>
        <w:t xml:space="preserve">   </w:t>
      </w:r>
    </w:p>
  </w:footnote>
  <w:footnote w:id="87">
    <w:p w:rsidR="000C04CC" w:rsidRDefault="000C04CC" w:rsidP="00176531">
      <w:pPr>
        <w:pStyle w:val="FootnoteText"/>
        <w:tabs>
          <w:tab w:val="left" w:pos="0"/>
        </w:tabs>
        <w:ind w:left="-360" w:right="-180"/>
      </w:pPr>
      <w:r>
        <w:rPr>
          <w:rStyle w:val="FootnoteReference"/>
        </w:rPr>
        <w:footnoteRef/>
      </w:r>
      <w:r>
        <w:rPr>
          <w:vertAlign w:val="superscript"/>
        </w:rPr>
        <w:t>/</w:t>
      </w:r>
      <w:r>
        <w:tab/>
      </w:r>
      <w:r w:rsidRPr="00AB5EA0">
        <w:rPr>
          <w:u w:val="single"/>
        </w:rPr>
        <w:t>WUTC v. Avista Corp.</w:t>
      </w:r>
      <w:r w:rsidRPr="009E7734">
        <w:t>, Docket Nos. UE-120436</w:t>
      </w:r>
      <w:r>
        <w:t xml:space="preserve">, UG-120437 (Consolidated), UE-110876 and UG-110877 </w:t>
      </w:r>
    </w:p>
    <w:p w:rsidR="000C04CC" w:rsidRPr="00664D7E" w:rsidRDefault="000C04CC" w:rsidP="00176531">
      <w:pPr>
        <w:pStyle w:val="FootnoteText"/>
        <w:tabs>
          <w:tab w:val="left" w:pos="0"/>
        </w:tabs>
        <w:ind w:left="-360" w:right="-180"/>
      </w:pPr>
      <w:r>
        <w:tab/>
        <w:t>(Consolidated).  Order 09/14 ¶ 24 (December 26, 2012</w:t>
      </w:r>
      <w:r w:rsidRPr="000F1ED7">
        <w:t>) (“Order 09/14”).</w:t>
      </w:r>
      <w:r>
        <w:t xml:space="preserve">  </w:t>
      </w:r>
    </w:p>
  </w:footnote>
  <w:footnote w:id="88">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Id.</w:t>
      </w:r>
      <w:r>
        <w:t xml:space="preserve"> ¶ 25 (emphasis added).  </w:t>
      </w:r>
    </w:p>
  </w:footnote>
  <w:footnote w:id="89">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Id.</w:t>
      </w:r>
      <w:r>
        <w:t xml:space="preserve"> (emphasis added).  </w:t>
      </w:r>
    </w:p>
  </w:footnote>
  <w:footnote w:id="90">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sidRPr="002C1A18">
        <w:rPr>
          <w:u w:val="single"/>
        </w:rPr>
        <w:t>Multiparty Settlement</w:t>
      </w:r>
      <w:r>
        <w:t xml:space="preserve">, Doyle, Exh. No. DAD-1T at 6:2–5. </w:t>
      </w:r>
    </w:p>
  </w:footnote>
  <w:footnote w:id="91">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E.g.</w:t>
      </w:r>
      <w:r>
        <w:t xml:space="preserve">, </w:t>
      </w:r>
      <w:r>
        <w:rPr>
          <w:u w:val="single"/>
        </w:rPr>
        <w:t>id.</w:t>
      </w:r>
      <w:r>
        <w:t xml:space="preserve"> at 2:5; 2:7; 2:9; 2:16; 3:19; 5:4; 5:12; 6:1; 7:18; 9:6; 9:15; 10:2; 10:7–8; 12:11. </w:t>
      </w:r>
    </w:p>
  </w:footnote>
  <w:footnote w:id="92">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sidRPr="002C1A18">
        <w:rPr>
          <w:u w:val="single"/>
        </w:rPr>
        <w:t>Multiparty Settlement</w:t>
      </w:r>
      <w:r>
        <w:t xml:space="preserve">, Schooley, Exh. No. TES-1T at 4:19–21.  </w:t>
      </w:r>
    </w:p>
  </w:footnote>
  <w:footnote w:id="93">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sidRPr="002C1A18">
        <w:rPr>
          <w:u w:val="single"/>
        </w:rPr>
        <w:t>Multiparty Settlement</w:t>
      </w:r>
      <w:r>
        <w:t xml:space="preserve">, Johnson, Exh. No. KSJ-1T at 13:12. </w:t>
      </w:r>
    </w:p>
  </w:footnote>
  <w:footnote w:id="94">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Id.</w:t>
      </w:r>
      <w:r>
        <w:t xml:space="preserve">, Doyle, Exh. No. DAD-1T at 6:4–5. </w:t>
      </w:r>
    </w:p>
  </w:footnote>
  <w:footnote w:id="95">
    <w:p w:rsidR="000C04CC" w:rsidRPr="00664D7E" w:rsidRDefault="000C04CC" w:rsidP="00176531">
      <w:pPr>
        <w:pStyle w:val="FootnoteText"/>
        <w:tabs>
          <w:tab w:val="left" w:pos="0"/>
        </w:tabs>
        <w:ind w:left="-360" w:right="-180"/>
      </w:pPr>
      <w:r>
        <w:rPr>
          <w:rStyle w:val="FootnoteReference"/>
        </w:rPr>
        <w:footnoteRef/>
      </w:r>
      <w:r>
        <w:rPr>
          <w:vertAlign w:val="superscript"/>
        </w:rPr>
        <w:t>/</w:t>
      </w:r>
      <w:r>
        <w:tab/>
      </w:r>
      <w:r>
        <w:rPr>
          <w:u w:val="single"/>
        </w:rPr>
        <w:t>E.g.</w:t>
      </w:r>
      <w:r>
        <w:t xml:space="preserve">, </w:t>
      </w:r>
      <w:r w:rsidRPr="002C1A18">
        <w:rPr>
          <w:u w:val="single"/>
        </w:rPr>
        <w:t>Multiparty Settlement</w:t>
      </w:r>
      <w:r>
        <w:t>, Doyle, Exh. No. DAD-1T at 2:8–9; 6:4–7; 9:5–6; 12:9–11.</w:t>
      </w:r>
    </w:p>
  </w:footnote>
  <w:footnote w:id="96">
    <w:p w:rsidR="000C04CC" w:rsidRPr="000F1ED7" w:rsidRDefault="000C04CC" w:rsidP="00176531">
      <w:pPr>
        <w:pStyle w:val="FootnoteText"/>
        <w:tabs>
          <w:tab w:val="left" w:pos="0"/>
        </w:tabs>
        <w:ind w:left="-360" w:right="-180"/>
      </w:pPr>
      <w:r w:rsidRPr="00D5586B">
        <w:rPr>
          <w:rStyle w:val="FootnoteReference"/>
        </w:rPr>
        <w:footnoteRef/>
      </w:r>
      <w:r w:rsidRPr="00D5586B">
        <w:rPr>
          <w:vertAlign w:val="superscript"/>
        </w:rPr>
        <w:t>/</w:t>
      </w:r>
      <w:r>
        <w:tab/>
        <w:t>Order 09/14</w:t>
      </w:r>
      <w:r w:rsidRPr="00D5586B">
        <w:t xml:space="preserve"> ¶ 25.</w:t>
      </w:r>
      <w:r w:rsidRPr="00E94274">
        <w:t xml:space="preserve">  </w:t>
      </w:r>
      <w:r>
        <w:t xml:space="preserve">   </w:t>
      </w:r>
    </w:p>
  </w:footnote>
  <w:footnote w:id="97">
    <w:p w:rsidR="000C04CC" w:rsidRPr="00664D7E" w:rsidRDefault="000C04CC" w:rsidP="00176531">
      <w:pPr>
        <w:pStyle w:val="FootnoteText"/>
        <w:ind w:left="-360" w:right="-180"/>
      </w:pPr>
      <w:r>
        <w:rPr>
          <w:rStyle w:val="FootnoteReference"/>
        </w:rPr>
        <w:footnoteRef/>
      </w:r>
      <w:r>
        <w:rPr>
          <w:vertAlign w:val="superscript"/>
        </w:rPr>
        <w:t>/</w:t>
      </w:r>
      <w:r>
        <w:tab/>
      </w:r>
      <w:r w:rsidRPr="002C1A18">
        <w:rPr>
          <w:u w:val="single"/>
        </w:rPr>
        <w:t>Multiparty Settlement</w:t>
      </w:r>
      <w:r>
        <w:t xml:space="preserve">, Johnson, Exh. No. KSJ-1T at 11:3–12:19.  </w:t>
      </w:r>
    </w:p>
  </w:footnote>
  <w:footnote w:id="98">
    <w:p w:rsidR="000C04CC" w:rsidRDefault="000C04CC" w:rsidP="00176531">
      <w:pPr>
        <w:pStyle w:val="FootnoteText"/>
        <w:ind w:left="-360" w:right="-180"/>
      </w:pPr>
      <w:r>
        <w:rPr>
          <w:rStyle w:val="FootnoteReference"/>
        </w:rPr>
        <w:footnoteRef/>
      </w:r>
      <w:r>
        <w:rPr>
          <w:vertAlign w:val="superscript"/>
        </w:rPr>
        <w:t>/</w:t>
      </w:r>
      <w:r>
        <w:tab/>
        <w:t xml:space="preserve">Hearing Tr. at 127:3-6 (Johnson) (“I – I think we have made it clear that there – that the conditions in the </w:t>
      </w:r>
    </w:p>
    <w:p w:rsidR="000C04CC" w:rsidRDefault="000C04CC" w:rsidP="00176531">
      <w:pPr>
        <w:pStyle w:val="FootnoteText"/>
        <w:ind w:left="-360" w:right="-180" w:firstLine="450"/>
      </w:pPr>
      <w:r>
        <w:t xml:space="preserve">final order, barring resolution as they are proposed in the global settlement, would prevent the company </w:t>
      </w:r>
    </w:p>
    <w:p w:rsidR="000C04CC" w:rsidRPr="00A71DE5" w:rsidRDefault="000C04CC" w:rsidP="00176531">
      <w:pPr>
        <w:pStyle w:val="FootnoteText"/>
        <w:ind w:left="-360" w:right="-180" w:firstLine="450"/>
      </w:pPr>
      <w:r>
        <w:t xml:space="preserve">from executing the Power Purchase Agreement”).   </w:t>
      </w:r>
    </w:p>
  </w:footnote>
  <w:footnote w:id="99">
    <w:p w:rsidR="000C04CC" w:rsidRPr="00664D7E" w:rsidRDefault="000C04CC" w:rsidP="00176531">
      <w:pPr>
        <w:pStyle w:val="FootnoteText"/>
        <w:ind w:left="-360" w:right="-180"/>
      </w:pPr>
      <w:r>
        <w:rPr>
          <w:rStyle w:val="FootnoteReference"/>
        </w:rPr>
        <w:footnoteRef/>
      </w:r>
      <w:r>
        <w:rPr>
          <w:vertAlign w:val="superscript"/>
        </w:rPr>
        <w:t>/</w:t>
      </w:r>
      <w:r>
        <w:tab/>
      </w:r>
      <w:r w:rsidRPr="002C1A18">
        <w:rPr>
          <w:u w:val="single"/>
        </w:rPr>
        <w:t>Multiparty Settlement</w:t>
      </w:r>
      <w:r w:rsidRPr="002E6094">
        <w:t>,</w:t>
      </w:r>
      <w:r>
        <w:t xml:space="preserve"> Johnson, Ex</w:t>
      </w:r>
      <w:r w:rsidRPr="00FE5C88">
        <w:t>h. No. KSJ-1T</w:t>
      </w:r>
      <w:r>
        <w:t xml:space="preserve"> at 11:17-12:4.  </w:t>
      </w:r>
    </w:p>
  </w:footnote>
  <w:footnote w:id="100">
    <w:p w:rsidR="000C04CC" w:rsidRPr="00664D7E" w:rsidRDefault="000C04CC" w:rsidP="00176531">
      <w:pPr>
        <w:pStyle w:val="FootnoteText"/>
        <w:ind w:left="-360" w:right="-180"/>
      </w:pPr>
      <w:r>
        <w:rPr>
          <w:rStyle w:val="FootnoteReference"/>
        </w:rPr>
        <w:footnoteRef/>
      </w:r>
      <w:r>
        <w:rPr>
          <w:vertAlign w:val="superscript"/>
        </w:rPr>
        <w:t>/</w:t>
      </w:r>
      <w:r>
        <w:tab/>
      </w:r>
      <w:r>
        <w:rPr>
          <w:u w:val="single"/>
        </w:rPr>
        <w:t>Id.</w:t>
      </w:r>
      <w:r>
        <w:t xml:space="preserve"> at 12:2–4.  </w:t>
      </w:r>
    </w:p>
  </w:footnote>
  <w:footnote w:id="101">
    <w:p w:rsidR="000C04CC" w:rsidRPr="00664D7E" w:rsidRDefault="000C04CC" w:rsidP="00176531">
      <w:pPr>
        <w:pStyle w:val="FootnoteText"/>
        <w:ind w:left="-360" w:right="-180"/>
      </w:pPr>
      <w:r>
        <w:rPr>
          <w:rStyle w:val="FootnoteReference"/>
        </w:rPr>
        <w:footnoteRef/>
      </w:r>
      <w:r>
        <w:rPr>
          <w:vertAlign w:val="superscript"/>
        </w:rPr>
        <w:t>/</w:t>
      </w:r>
      <w:r>
        <w:tab/>
      </w:r>
      <w:r>
        <w:rPr>
          <w:u w:val="single"/>
        </w:rPr>
        <w:t>Id.</w:t>
      </w:r>
      <w:r>
        <w:t xml:space="preserve"> at 3:8–19.  </w:t>
      </w:r>
    </w:p>
  </w:footnote>
  <w:footnote w:id="102">
    <w:p w:rsidR="000C04CC" w:rsidRPr="00664D7E" w:rsidRDefault="000C04CC" w:rsidP="00176531">
      <w:pPr>
        <w:pStyle w:val="FootnoteText"/>
        <w:ind w:left="-360" w:right="-180"/>
      </w:pPr>
      <w:r>
        <w:rPr>
          <w:rStyle w:val="FootnoteReference"/>
        </w:rPr>
        <w:footnoteRef/>
      </w:r>
      <w:r>
        <w:rPr>
          <w:vertAlign w:val="superscript"/>
        </w:rPr>
        <w:t>/</w:t>
      </w:r>
      <w:r>
        <w:tab/>
      </w:r>
      <w:r>
        <w:rPr>
          <w:u w:val="single"/>
        </w:rPr>
        <w:t>Id.</w:t>
      </w:r>
      <w:r>
        <w:t xml:space="preserve"> at 3:8–9.  </w:t>
      </w:r>
    </w:p>
  </w:footnote>
  <w:footnote w:id="103">
    <w:p w:rsidR="000C04CC" w:rsidRPr="00664D7E" w:rsidRDefault="000C04CC" w:rsidP="00176531">
      <w:pPr>
        <w:pStyle w:val="FootnoteText"/>
        <w:ind w:left="-360" w:right="-180"/>
      </w:pPr>
      <w:r>
        <w:rPr>
          <w:rStyle w:val="FootnoteReference"/>
        </w:rPr>
        <w:footnoteRef/>
      </w:r>
      <w:r>
        <w:rPr>
          <w:vertAlign w:val="superscript"/>
        </w:rPr>
        <w:t>/</w:t>
      </w:r>
      <w:r>
        <w:tab/>
        <w:t xml:space="preserve">WAC § 480-07-820(1)(b).  </w:t>
      </w:r>
    </w:p>
  </w:footnote>
  <w:footnote w:id="104">
    <w:p w:rsidR="000C04CC" w:rsidRPr="00664D7E" w:rsidRDefault="000C04CC" w:rsidP="00176531">
      <w:pPr>
        <w:pStyle w:val="FootnoteText"/>
        <w:ind w:left="-360" w:right="-180"/>
      </w:pPr>
      <w:r>
        <w:rPr>
          <w:rStyle w:val="FootnoteReference"/>
        </w:rPr>
        <w:footnoteRef/>
      </w:r>
      <w:r>
        <w:rPr>
          <w:vertAlign w:val="superscript"/>
        </w:rPr>
        <w:t>/</w:t>
      </w:r>
      <w:r>
        <w:tab/>
      </w:r>
      <w:r w:rsidRPr="002C1A18">
        <w:rPr>
          <w:u w:val="single"/>
        </w:rPr>
        <w:t>Multiparty Settlement</w:t>
      </w:r>
      <w:r>
        <w:t xml:space="preserve">, Johnson, Exh. No. KSJ-1T at 3:19–21.  </w:t>
      </w:r>
    </w:p>
  </w:footnote>
  <w:footnote w:id="105">
    <w:p w:rsidR="000C04CC" w:rsidRPr="00664D7E" w:rsidRDefault="000C04CC" w:rsidP="00176531">
      <w:pPr>
        <w:pStyle w:val="FootnoteText"/>
        <w:ind w:left="-360" w:right="-180"/>
      </w:pPr>
      <w:r>
        <w:rPr>
          <w:rStyle w:val="FootnoteReference"/>
        </w:rPr>
        <w:footnoteRef/>
      </w:r>
      <w:r>
        <w:rPr>
          <w:vertAlign w:val="superscript"/>
        </w:rPr>
        <w:t>/</w:t>
      </w:r>
      <w:r>
        <w:tab/>
      </w:r>
      <w:r w:rsidRPr="006D3D20">
        <w:t>Multiparty Settlement</w:t>
      </w:r>
      <w:r>
        <w:t xml:space="preserve"> ¶ 19.  </w:t>
      </w:r>
    </w:p>
  </w:footnote>
  <w:footnote w:id="106">
    <w:p w:rsidR="000C04CC" w:rsidRPr="00664D7E" w:rsidRDefault="000C04CC" w:rsidP="00176531">
      <w:pPr>
        <w:pStyle w:val="FootnoteText"/>
        <w:ind w:left="-360" w:right="-180"/>
      </w:pPr>
      <w:r>
        <w:rPr>
          <w:rStyle w:val="FootnoteReference"/>
        </w:rPr>
        <w:footnoteRef/>
      </w:r>
      <w:r>
        <w:rPr>
          <w:vertAlign w:val="superscript"/>
        </w:rPr>
        <w:t>/</w:t>
      </w:r>
      <w:r>
        <w:tab/>
        <w:t xml:space="preserve">Order 09/14 ¶ 25.  </w:t>
      </w:r>
    </w:p>
  </w:footnote>
  <w:footnote w:id="107">
    <w:p w:rsidR="000C04CC" w:rsidRDefault="000C04CC" w:rsidP="00176531">
      <w:pPr>
        <w:pStyle w:val="FootnoteText"/>
        <w:ind w:left="-360" w:right="-180"/>
      </w:pPr>
      <w:r>
        <w:rPr>
          <w:rStyle w:val="FootnoteReference"/>
        </w:rPr>
        <w:footnoteRef/>
      </w:r>
      <w:r>
        <w:rPr>
          <w:vertAlign w:val="superscript"/>
        </w:rPr>
        <w:t>/</w:t>
      </w:r>
      <w:r>
        <w:tab/>
      </w:r>
      <w:r>
        <w:rPr>
          <w:u w:val="single"/>
        </w:rPr>
        <w:t>WUTC v. Olympic Pipeline Co.</w:t>
      </w:r>
      <w:r>
        <w:t>, Docket No. TO-011472, Eight Suppl. Order ¶ 38 (Mar. 29, 2002) (</w:t>
      </w:r>
      <w:r w:rsidRPr="000F5FAC">
        <w:rPr>
          <w:u w:val="single"/>
        </w:rPr>
        <w:t>quoting</w:t>
      </w:r>
      <w:r>
        <w:t xml:space="preserve"> </w:t>
      </w:r>
    </w:p>
    <w:p w:rsidR="000C04CC" w:rsidRDefault="000C04CC" w:rsidP="00176531">
      <w:pPr>
        <w:pStyle w:val="FootnoteText"/>
        <w:tabs>
          <w:tab w:val="left" w:pos="0"/>
        </w:tabs>
        <w:ind w:left="-360" w:right="-180"/>
      </w:pPr>
      <w:r w:rsidRPr="00176531">
        <w:tab/>
      </w:r>
      <w:r w:rsidRPr="000F5FAC">
        <w:rPr>
          <w:u w:val="single"/>
        </w:rPr>
        <w:t>WUTC v. Avista</w:t>
      </w:r>
      <w:r>
        <w:t xml:space="preserve">, Docket Nos. </w:t>
      </w:r>
      <w:r w:rsidRPr="000F5FAC">
        <w:t>UE-991255, UE-991262, and UE-991409</w:t>
      </w:r>
      <w:r>
        <w:t xml:space="preserve">, Fourth Suppl. Order </w:t>
      </w:r>
    </w:p>
    <w:p w:rsidR="000C04CC" w:rsidRPr="00A71DE5" w:rsidRDefault="000C04CC" w:rsidP="00176531">
      <w:pPr>
        <w:pStyle w:val="FootnoteText"/>
        <w:tabs>
          <w:tab w:val="left" w:pos="0"/>
        </w:tabs>
        <w:ind w:left="-360" w:right="-180"/>
      </w:pPr>
      <w:r w:rsidRPr="00176531">
        <w:tab/>
      </w:r>
      <w:r>
        <w:t xml:space="preserve">(Apr. 21, 2000)).   </w:t>
      </w:r>
    </w:p>
  </w:footnote>
  <w:footnote w:id="108">
    <w:p w:rsidR="000C04CC" w:rsidRPr="00A71DE5" w:rsidRDefault="000C04CC" w:rsidP="00176531">
      <w:pPr>
        <w:pStyle w:val="FootnoteText"/>
        <w:ind w:left="-360" w:right="-180"/>
      </w:pPr>
      <w:r>
        <w:rPr>
          <w:rStyle w:val="FootnoteReference"/>
        </w:rPr>
        <w:footnoteRef/>
      </w:r>
      <w:r>
        <w:rPr>
          <w:vertAlign w:val="superscript"/>
        </w:rPr>
        <w:t>/</w:t>
      </w:r>
      <w:r>
        <w:tab/>
      </w:r>
      <w:r>
        <w:rPr>
          <w:u w:val="single"/>
        </w:rPr>
        <w:t>Id.</w:t>
      </w:r>
      <w:r>
        <w:t xml:space="preserve">   </w:t>
      </w:r>
    </w:p>
  </w:footnote>
  <w:footnote w:id="109">
    <w:p w:rsidR="000C04CC" w:rsidRPr="00A71DE5" w:rsidRDefault="000C04CC" w:rsidP="00380119">
      <w:pPr>
        <w:pStyle w:val="FootnoteText"/>
        <w:ind w:left="-360" w:right="-180"/>
      </w:pPr>
      <w:r>
        <w:rPr>
          <w:rStyle w:val="FootnoteReference"/>
        </w:rPr>
        <w:footnoteRef/>
      </w:r>
      <w:r>
        <w:rPr>
          <w:vertAlign w:val="superscript"/>
        </w:rPr>
        <w:t>/</w:t>
      </w:r>
      <w:r>
        <w:tab/>
      </w:r>
      <w:r w:rsidRPr="006D3D20">
        <w:t>Multiparty Settlement</w:t>
      </w:r>
      <w:r w:rsidRPr="00E37FD8">
        <w:t xml:space="preserve"> ¶¶ 3, 16, and 18.</w:t>
      </w:r>
      <w:r>
        <w:t xml:space="preserve">   </w:t>
      </w:r>
    </w:p>
  </w:footnote>
  <w:footnote w:id="110">
    <w:p w:rsidR="000C04CC" w:rsidRDefault="000C04CC" w:rsidP="00380119">
      <w:pPr>
        <w:pStyle w:val="FootnoteText"/>
        <w:ind w:left="-360"/>
      </w:pPr>
      <w:r>
        <w:rPr>
          <w:rStyle w:val="FootnoteReference"/>
        </w:rPr>
        <w:footnoteRef/>
      </w:r>
      <w:r>
        <w:rPr>
          <w:vertAlign w:val="superscript"/>
        </w:rPr>
        <w:t>/</w:t>
      </w:r>
      <w:r>
        <w:t xml:space="preserve"> </w:t>
      </w:r>
      <w:r>
        <w:tab/>
        <w:t>In addition, the ERF is illegal for the reasons stated above, i.e. violates WAC § 480-100-257.</w:t>
      </w:r>
    </w:p>
  </w:footnote>
  <w:footnote w:id="11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3:18–4:4.  </w:t>
      </w:r>
    </w:p>
  </w:footnote>
  <w:footnote w:id="11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6D3D20">
        <w:t>Multiparty Settlement</w:t>
      </w:r>
      <w:r>
        <w:t xml:space="preserve"> ¶¶ 2, 3.  </w:t>
      </w:r>
    </w:p>
  </w:footnote>
  <w:footnote w:id="113">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 13.  </w:t>
      </w:r>
    </w:p>
  </w:footnote>
  <w:footnote w:id="114">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11:15–17.  </w:t>
      </w:r>
    </w:p>
  </w:footnote>
  <w:footnote w:id="115">
    <w:p w:rsidR="000C04CC" w:rsidRPr="00664D7E" w:rsidRDefault="000C04CC" w:rsidP="00380119">
      <w:pPr>
        <w:pStyle w:val="FootnoteText"/>
        <w:ind w:left="-360" w:right="-180"/>
      </w:pPr>
      <w:r>
        <w:rPr>
          <w:rStyle w:val="FootnoteReference"/>
        </w:rPr>
        <w:footnoteRef/>
      </w:r>
      <w:r>
        <w:rPr>
          <w:vertAlign w:val="superscript"/>
        </w:rPr>
        <w:t>/</w:t>
      </w:r>
      <w:r>
        <w:tab/>
      </w:r>
      <w:r w:rsidRPr="00D14C46">
        <w:rPr>
          <w:u w:val="single"/>
        </w:rPr>
        <w:t>Id.</w:t>
      </w:r>
      <w:r>
        <w:t xml:space="preserve"> at 12:14–16.  </w:t>
      </w:r>
    </w:p>
  </w:footnote>
  <w:footnote w:id="116">
    <w:p w:rsidR="000C04CC" w:rsidRPr="00664D7E" w:rsidRDefault="000C04CC" w:rsidP="00380119">
      <w:pPr>
        <w:pStyle w:val="FootnoteText"/>
        <w:ind w:left="-360" w:right="-180"/>
      </w:pPr>
      <w:r>
        <w:rPr>
          <w:rStyle w:val="FootnoteReference"/>
        </w:rPr>
        <w:footnoteRef/>
      </w:r>
      <w:r>
        <w:rPr>
          <w:vertAlign w:val="superscript"/>
        </w:rPr>
        <w:t>/</w:t>
      </w:r>
      <w:r>
        <w:tab/>
      </w:r>
      <w:r w:rsidRPr="00D14C46">
        <w:rPr>
          <w:u w:val="single"/>
        </w:rPr>
        <w:t>Id.</w:t>
      </w:r>
      <w:r>
        <w:t xml:space="preserve"> at 4:17–19.  </w:t>
      </w:r>
    </w:p>
  </w:footnote>
  <w:footnote w:id="117">
    <w:p w:rsidR="000C04CC" w:rsidRPr="00664D7E" w:rsidRDefault="000C04CC" w:rsidP="00380119">
      <w:pPr>
        <w:pStyle w:val="FootnoteText"/>
        <w:ind w:left="-360" w:right="-180"/>
      </w:pPr>
      <w:r>
        <w:rPr>
          <w:rStyle w:val="FootnoteReference"/>
        </w:rPr>
        <w:footnoteRef/>
      </w:r>
      <w:r>
        <w:rPr>
          <w:vertAlign w:val="superscript"/>
        </w:rPr>
        <w:t>/</w:t>
      </w:r>
      <w:r>
        <w:tab/>
      </w:r>
      <w:r w:rsidRPr="00D14C46">
        <w:rPr>
          <w:u w:val="single"/>
        </w:rPr>
        <w:t>Id.</w:t>
      </w:r>
      <w:r>
        <w:t xml:space="preserve"> at 4:14–16.  </w:t>
      </w:r>
    </w:p>
  </w:footnote>
  <w:footnote w:id="118">
    <w:p w:rsidR="000C04CC" w:rsidRDefault="000C04CC" w:rsidP="00380119">
      <w:pPr>
        <w:pStyle w:val="FootnoteText"/>
        <w:ind w:left="-360" w:right="-180"/>
      </w:pPr>
      <w:r>
        <w:rPr>
          <w:rStyle w:val="FootnoteReference"/>
        </w:rPr>
        <w:footnoteRef/>
      </w:r>
      <w:r>
        <w:rPr>
          <w:vertAlign w:val="superscript"/>
        </w:rPr>
        <w:t>/</w:t>
      </w:r>
      <w:r>
        <w:tab/>
      </w:r>
      <w:r>
        <w:rPr>
          <w:u w:val="single"/>
        </w:rPr>
        <w:t>WUTC v. Olympic Pipeline Co.</w:t>
      </w:r>
      <w:r>
        <w:t xml:space="preserve">, Docket No. TO 011472, Twentieth Supp. Order at 5-6, 44 (Sept. 27, 2002); </w:t>
      </w:r>
    </w:p>
    <w:p w:rsidR="000C04CC" w:rsidRPr="00664D7E" w:rsidRDefault="000C04CC" w:rsidP="00380119">
      <w:pPr>
        <w:pStyle w:val="FootnoteText"/>
        <w:ind w:left="-360" w:right="-180" w:firstLine="360"/>
      </w:pPr>
      <w:r>
        <w:rPr>
          <w:u w:val="single"/>
        </w:rPr>
        <w:t>WUTC v. Wash.</w:t>
      </w:r>
      <w:r w:rsidRPr="009C4557">
        <w:rPr>
          <w:u w:val="single"/>
        </w:rPr>
        <w:t xml:space="preserve"> Nat. Gas Co.</w:t>
      </w:r>
      <w:r>
        <w:t xml:space="preserve">, Cause No. U-80-111, Third Supp. Order (Sept. 24, 1981).  </w:t>
      </w:r>
    </w:p>
  </w:footnote>
  <w:footnote w:id="119">
    <w:p w:rsidR="000C04CC" w:rsidRPr="00664D7E" w:rsidRDefault="000C04CC" w:rsidP="00380119">
      <w:pPr>
        <w:pStyle w:val="FootnoteText"/>
        <w:ind w:left="-360" w:right="-180"/>
      </w:pPr>
      <w:r>
        <w:rPr>
          <w:rStyle w:val="FootnoteReference"/>
        </w:rPr>
        <w:footnoteRef/>
      </w:r>
      <w:r>
        <w:rPr>
          <w:vertAlign w:val="superscript"/>
        </w:rPr>
        <w:t>/</w:t>
      </w:r>
      <w:r>
        <w:tab/>
      </w:r>
      <w:r w:rsidRPr="008C413F">
        <w:t>W</w:t>
      </w:r>
      <w:r>
        <w:t xml:space="preserve">AC § 480-100-257(2)(3).  </w:t>
      </w:r>
    </w:p>
  </w:footnote>
  <w:footnote w:id="12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Multiparty Settlement</w:t>
      </w:r>
      <w:r>
        <w:t xml:space="preserve">, Barnard, Exh. No. KJB-11T at 12:25–13:1.  </w:t>
      </w:r>
    </w:p>
  </w:footnote>
  <w:footnote w:id="12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3:18-4:4.  </w:t>
      </w:r>
    </w:p>
  </w:footnote>
  <w:footnote w:id="12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xml:space="preserve">, Barnard, Exh. No. KJB-1T at 16:18–17:3.  </w:t>
      </w:r>
    </w:p>
  </w:footnote>
  <w:footnote w:id="12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17:5–8.  </w:t>
      </w:r>
    </w:p>
  </w:footnote>
  <w:footnote w:id="124">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sidRPr="008C413F">
        <w:t>Order 08</w:t>
      </w:r>
      <w:r>
        <w:t xml:space="preserve"> ¶ 491 (emphasis added).</w:t>
      </w:r>
    </w:p>
  </w:footnote>
  <w:footnote w:id="125">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xml:space="preserve">, Barnard, Exh. No. KJB-1T at 16:20–17:4, 17:6–8.  </w:t>
      </w:r>
    </w:p>
  </w:footnote>
  <w:footnote w:id="12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Deen, Exh. No. MCD-1T at 3:10–13.  </w:t>
      </w:r>
    </w:p>
  </w:footnote>
  <w:footnote w:id="12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xml:space="preserve">, Barnard, Exh. No. KJB-1T at 2:4–8.  </w:t>
      </w:r>
    </w:p>
  </w:footnote>
  <w:footnote w:id="128">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2:8–12.  </w:t>
      </w:r>
    </w:p>
  </w:footnote>
  <w:footnote w:id="129">
    <w:p w:rsidR="000C04CC" w:rsidRDefault="000C04CC" w:rsidP="00380119">
      <w:pPr>
        <w:pStyle w:val="FootnoteText"/>
        <w:tabs>
          <w:tab w:val="left" w:pos="0"/>
        </w:tabs>
        <w:ind w:left="-360" w:right="-180"/>
      </w:pPr>
      <w:r w:rsidRPr="003E048D">
        <w:rPr>
          <w:rStyle w:val="FootnoteReference"/>
        </w:rPr>
        <w:footnoteRef/>
      </w:r>
      <w:r w:rsidRPr="003E048D">
        <w:rPr>
          <w:vertAlign w:val="superscript"/>
        </w:rPr>
        <w:t>/</w:t>
      </w:r>
      <w:r w:rsidRPr="003E048D">
        <w:tab/>
      </w:r>
      <w:r w:rsidRPr="002C1A18">
        <w:rPr>
          <w:u w:val="single"/>
        </w:rPr>
        <w:t>Multiparty Settlement</w:t>
      </w:r>
      <w:r w:rsidRPr="002E6094">
        <w:t>,</w:t>
      </w:r>
      <w:r>
        <w:t xml:space="preserve"> Exh. No. KJB-11T at 12:9-12.  Mr. Schooley admits the CBRs are unaudited. Tr. at </w:t>
      </w:r>
    </w:p>
    <w:p w:rsidR="000C04CC" w:rsidRPr="00664D7E" w:rsidRDefault="000C04CC" w:rsidP="00380119">
      <w:pPr>
        <w:pStyle w:val="FootnoteText"/>
        <w:tabs>
          <w:tab w:val="left" w:pos="0"/>
        </w:tabs>
        <w:ind w:left="-360" w:right="-180"/>
      </w:pPr>
      <w:r>
        <w:tab/>
        <w:t xml:space="preserve">277:19-21.  </w:t>
      </w:r>
    </w:p>
  </w:footnote>
  <w:footnote w:id="13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4:1–4.  </w:t>
      </w:r>
    </w:p>
  </w:footnote>
  <w:footnote w:id="13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MPG-23T at 1:16–2:22.  </w:t>
      </w:r>
    </w:p>
  </w:footnote>
  <w:footnote w:id="13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7:4–6, Table 3.  </w:t>
      </w:r>
    </w:p>
  </w:footnote>
  <w:footnote w:id="133">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sidRPr="009A6F49">
        <w:t>Order 08</w:t>
      </w:r>
      <w:r>
        <w:t xml:space="preserve"> ¶ 55 (emphasis added).</w:t>
      </w:r>
    </w:p>
  </w:footnote>
  <w:footnote w:id="13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8:6–10:6, MPG-5, MPG-6, MPG-7.  </w:t>
      </w:r>
    </w:p>
  </w:footnote>
  <w:footnote w:id="135">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9:3–25.  </w:t>
      </w:r>
    </w:p>
  </w:footnote>
  <w:footnote w:id="13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Gorman, Exh. No. MPG-23T at 2:7–9, 3:1-17.</w:t>
      </w:r>
    </w:p>
  </w:footnote>
  <w:footnote w:id="13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11:1–13.  </w:t>
      </w:r>
    </w:p>
  </w:footnote>
  <w:footnote w:id="138">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5D6D9F">
        <w:rPr>
          <w:u w:val="single"/>
        </w:rPr>
        <w:t>Id.</w:t>
      </w:r>
      <w:r>
        <w:t xml:space="preserve"> at 12:1–13, MPG-20.  </w:t>
      </w:r>
    </w:p>
  </w:footnote>
  <w:footnote w:id="139">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12:8–10, Table 5.  </w:t>
      </w:r>
    </w:p>
  </w:footnote>
  <w:footnote w:id="14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Id. at 13:3, 14:1–2, Table 6.  </w:t>
      </w:r>
    </w:p>
  </w:footnote>
  <w:footnote w:id="14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Id. at 13:4–20, MPG-3.  </w:t>
      </w:r>
    </w:p>
  </w:footnote>
  <w:footnote w:id="14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2E6094">
        <w:t>G</w:t>
      </w:r>
      <w:r>
        <w:t xml:space="preserve">orman, Exh. No. MPG-1T at 5:10-68, MPG-4.  </w:t>
      </w:r>
    </w:p>
  </w:footnote>
  <w:footnote w:id="14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5:6–9, Table 2.  </w:t>
      </w:r>
    </w:p>
  </w:footnote>
  <w:footnote w:id="14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Barnard, Exh. No. KJB-1T at 25:3–10.</w:t>
      </w:r>
    </w:p>
  </w:footnote>
  <w:footnote w:id="145">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14:8–14.  </w:t>
      </w:r>
    </w:p>
  </w:footnote>
  <w:footnote w:id="14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938D8">
        <w:rPr>
          <w:u w:val="single"/>
        </w:rPr>
        <w:t>Id</w:t>
      </w:r>
      <w:r w:rsidRPr="008938D8">
        <w:t>.</w:t>
      </w:r>
      <w:r>
        <w:t xml:space="preserve"> at 15:5–10.  </w:t>
      </w:r>
    </w:p>
  </w:footnote>
  <w:footnote w:id="14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Barnard, Exh. No. KJB-1T at 24:1–15.</w:t>
      </w:r>
    </w:p>
  </w:footnote>
  <w:footnote w:id="148">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2:4–8.</w:t>
      </w:r>
    </w:p>
  </w:footnote>
  <w:footnote w:id="149">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16:5–7.  </w:t>
      </w:r>
    </w:p>
  </w:footnote>
  <w:footnote w:id="15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8E3F37">
        <w:rPr>
          <w:u w:val="single"/>
        </w:rPr>
        <w:t>ERF</w:t>
      </w:r>
      <w:r>
        <w:t>, Barnard, Exh. No. KJB-1T at 2:6.</w:t>
      </w:r>
    </w:p>
  </w:footnote>
  <w:footnote w:id="15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16:23–17:2.  </w:t>
      </w:r>
    </w:p>
  </w:footnote>
  <w:footnote w:id="15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9D4A0B">
        <w:rPr>
          <w:u w:val="single"/>
        </w:rPr>
        <w:t>Id.</w:t>
      </w:r>
      <w:r>
        <w:t xml:space="preserve"> at 17:20–21.  </w:t>
      </w:r>
    </w:p>
  </w:footnote>
  <w:footnote w:id="15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sidRPr="009D4A0B">
        <w:rPr>
          <w:u w:val="single"/>
        </w:rPr>
        <w:t>Id.</w:t>
      </w:r>
      <w:r>
        <w:t xml:space="preserve"> at 17:21–22.  </w:t>
      </w:r>
    </w:p>
  </w:footnote>
  <w:footnote w:id="15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Compare</w:t>
      </w:r>
      <w:r>
        <w:t xml:space="preserve"> </w:t>
      </w:r>
      <w:r w:rsidRPr="008E3F37">
        <w:rPr>
          <w:u w:val="single"/>
        </w:rPr>
        <w:t>ERF</w:t>
      </w:r>
      <w:r>
        <w:t xml:space="preserve">, Barnard, Exh. No. KJB-1T at 21:14–15, </w:t>
      </w:r>
      <w:r w:rsidRPr="00B1403B">
        <w:rPr>
          <w:u w:val="single"/>
        </w:rPr>
        <w:t>with</w:t>
      </w:r>
      <w:r>
        <w:t xml:space="preserve"> KJB-1T at 22:7–9.  </w:t>
      </w:r>
    </w:p>
  </w:footnote>
  <w:footnote w:id="155">
    <w:p w:rsidR="000C04CC" w:rsidRPr="0049345E" w:rsidRDefault="000C04CC" w:rsidP="00380119">
      <w:pPr>
        <w:pStyle w:val="FootnoteText"/>
        <w:tabs>
          <w:tab w:val="left" w:pos="0"/>
        </w:tabs>
        <w:ind w:left="-360" w:right="-180"/>
      </w:pPr>
      <w:r>
        <w:rPr>
          <w:rStyle w:val="FootnoteReference"/>
        </w:rPr>
        <w:footnoteRef/>
      </w:r>
      <w:r>
        <w:rPr>
          <w:vertAlign w:val="superscript"/>
        </w:rPr>
        <w:t>/</w:t>
      </w:r>
      <w:r>
        <w:tab/>
      </w:r>
      <w:r w:rsidRPr="0049345E">
        <w:t xml:space="preserve">Gorman, Exh. No. MPG-1T at 18:11–14.   </w:t>
      </w:r>
    </w:p>
  </w:footnote>
  <w:footnote w:id="156">
    <w:p w:rsidR="000C04CC" w:rsidRPr="00664D7E" w:rsidRDefault="000C04CC" w:rsidP="00380119">
      <w:pPr>
        <w:pStyle w:val="FootnoteText"/>
        <w:tabs>
          <w:tab w:val="left" w:pos="0"/>
        </w:tabs>
        <w:ind w:left="-360" w:right="-180"/>
      </w:pPr>
      <w:r w:rsidRPr="0049345E">
        <w:rPr>
          <w:rStyle w:val="FootnoteReference"/>
        </w:rPr>
        <w:footnoteRef/>
      </w:r>
      <w:r w:rsidRPr="0049345E">
        <w:rPr>
          <w:vertAlign w:val="superscript"/>
        </w:rPr>
        <w:t>/</w:t>
      </w:r>
      <w:r w:rsidRPr="0049345E">
        <w:tab/>
        <w:t>Gorman, Exh. No. MPG-23T at 2:1–3:2; MPG-24T.</w:t>
      </w:r>
      <w:r>
        <w:t xml:space="preserve">  </w:t>
      </w:r>
    </w:p>
  </w:footnote>
  <w:footnote w:id="15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Gorman, Exh. No. MPG-1T at 5:8-9.  </w:t>
      </w:r>
    </w:p>
  </w:footnote>
  <w:footnote w:id="158">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sidRPr="009A6F49">
        <w:t>Order 08</w:t>
      </w:r>
      <w:r>
        <w:t xml:space="preserve"> ¶ 484, n. 658. </w:t>
      </w:r>
    </w:p>
  </w:footnote>
  <w:footnote w:id="159">
    <w:p w:rsidR="000C04CC" w:rsidRPr="005259F0" w:rsidRDefault="000C04CC" w:rsidP="00380119">
      <w:pPr>
        <w:pStyle w:val="FootnoteText"/>
        <w:tabs>
          <w:tab w:val="left" w:pos="0"/>
        </w:tabs>
        <w:ind w:left="-360"/>
      </w:pPr>
      <w:r w:rsidRPr="005259F0">
        <w:rPr>
          <w:rStyle w:val="FootnoteReference"/>
        </w:rPr>
        <w:footnoteRef/>
      </w:r>
      <w:r>
        <w:rPr>
          <w:vertAlign w:val="superscript"/>
        </w:rPr>
        <w:t>/</w:t>
      </w:r>
      <w:r w:rsidRPr="005259F0">
        <w:t xml:space="preserve"> </w:t>
      </w:r>
      <w:r w:rsidRPr="005259F0">
        <w:tab/>
      </w:r>
      <w:r w:rsidRPr="002E6094">
        <w:rPr>
          <w:u w:val="single"/>
        </w:rPr>
        <w:t>Id.</w:t>
      </w:r>
      <w:r>
        <w:t xml:space="preserve"> ¶ 454.</w:t>
      </w:r>
    </w:p>
  </w:footnote>
  <w:footnote w:id="160">
    <w:p w:rsidR="000C04CC" w:rsidRPr="005259F0" w:rsidRDefault="000C04CC" w:rsidP="00380119">
      <w:pPr>
        <w:pStyle w:val="FootnoteText"/>
        <w:tabs>
          <w:tab w:val="left" w:pos="0"/>
        </w:tabs>
        <w:ind w:left="-360"/>
      </w:pPr>
      <w:r w:rsidRPr="005259F0">
        <w:rPr>
          <w:rStyle w:val="FootnoteReference"/>
        </w:rPr>
        <w:footnoteRef/>
      </w:r>
      <w:r>
        <w:rPr>
          <w:vertAlign w:val="superscript"/>
        </w:rPr>
        <w:t>/</w:t>
      </w:r>
      <w:r w:rsidRPr="005259F0">
        <w:t xml:space="preserve"> </w:t>
      </w:r>
      <w:r w:rsidRPr="005259F0">
        <w:tab/>
      </w:r>
      <w:r w:rsidRPr="009A6F49">
        <w:t>Amended Petition</w:t>
      </w:r>
      <w:r>
        <w:t xml:space="preserve"> ¶ 5.</w:t>
      </w:r>
    </w:p>
  </w:footnote>
  <w:footnote w:id="161">
    <w:p w:rsidR="000C04CC" w:rsidRPr="005259F0" w:rsidRDefault="000C04CC" w:rsidP="00380119">
      <w:pPr>
        <w:pStyle w:val="FootnoteText"/>
        <w:tabs>
          <w:tab w:val="left" w:pos="0"/>
        </w:tabs>
        <w:ind w:left="-360"/>
      </w:pPr>
      <w:r w:rsidRPr="005259F0">
        <w:rPr>
          <w:rStyle w:val="FootnoteReference"/>
        </w:rPr>
        <w:footnoteRef/>
      </w:r>
      <w:r>
        <w:rPr>
          <w:vertAlign w:val="superscript"/>
        </w:rPr>
        <w:t>/</w:t>
      </w:r>
      <w:r w:rsidRPr="005259F0">
        <w:t xml:space="preserve"> </w:t>
      </w:r>
      <w:r w:rsidRPr="005259F0">
        <w:tab/>
      </w:r>
      <w:r w:rsidRPr="009A6F49">
        <w:t>Order 08</w:t>
      </w:r>
      <w:r>
        <w:t xml:space="preserve"> ¶ 454.</w:t>
      </w:r>
    </w:p>
  </w:footnote>
  <w:footnote w:id="16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Barnard, Exh. No. KJB-1T at 2:7–10.</w:t>
      </w:r>
    </w:p>
  </w:footnote>
  <w:footnote w:id="16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3:15 (emphasis added).  </w:t>
      </w:r>
    </w:p>
  </w:footnote>
  <w:footnote w:id="16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Barnard, Exh. No. KJB-1T at 2:11–19.</w:t>
      </w:r>
    </w:p>
  </w:footnote>
  <w:footnote w:id="165">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WUTC v. PSE</w:t>
      </w:r>
      <w:r>
        <w:t xml:space="preserve">, Docket Nos. UE-111048 and UG-111049, Schooley, Exh. No. TES-1T at 6:7–8 </w:t>
      </w:r>
    </w:p>
    <w:p w:rsidR="000C04CC" w:rsidRPr="00664D7E" w:rsidRDefault="000C04CC" w:rsidP="00380119">
      <w:pPr>
        <w:pStyle w:val="FootnoteText"/>
        <w:tabs>
          <w:tab w:val="left" w:pos="0"/>
        </w:tabs>
        <w:ind w:left="-360" w:right="-180"/>
      </w:pPr>
      <w:r>
        <w:tab/>
        <w:t xml:space="preserve">(emphasis added).  </w:t>
      </w:r>
    </w:p>
  </w:footnote>
  <w:footnote w:id="16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6:8–10.  </w:t>
      </w:r>
    </w:p>
  </w:footnote>
  <w:footnote w:id="167">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sidRPr="00FA2E81">
        <w:t>O</w:t>
      </w:r>
      <w:r>
        <w:t>rder 08 ¶ 440.</w:t>
      </w:r>
    </w:p>
  </w:footnote>
  <w:footnote w:id="168">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440, n. 595.</w:t>
      </w:r>
    </w:p>
  </w:footnote>
  <w:footnote w:id="169">
    <w:p w:rsidR="000C04CC" w:rsidRDefault="000C04CC" w:rsidP="00380119">
      <w:pPr>
        <w:pStyle w:val="FootnoteText"/>
        <w:tabs>
          <w:tab w:val="left" w:pos="0"/>
          <w:tab w:val="left" w:pos="810"/>
        </w:tabs>
        <w:ind w:left="-360" w:right="-180"/>
      </w:pPr>
      <w:r>
        <w:rPr>
          <w:rStyle w:val="FootnoteReference"/>
        </w:rPr>
        <w:footnoteRef/>
      </w:r>
      <w:r>
        <w:rPr>
          <w:vertAlign w:val="superscript"/>
        </w:rPr>
        <w:t>/</w:t>
      </w:r>
      <w:r>
        <w:tab/>
      </w:r>
      <w:r>
        <w:rPr>
          <w:u w:val="single"/>
        </w:rPr>
        <w:t>Id.</w:t>
      </w:r>
      <w:r>
        <w:t xml:space="preserve"> ¶ 461, n. 626.</w:t>
      </w:r>
    </w:p>
  </w:footnote>
  <w:footnote w:id="170">
    <w:p w:rsidR="000C04CC" w:rsidRPr="00986D83" w:rsidRDefault="000C04CC" w:rsidP="00380119">
      <w:pPr>
        <w:pStyle w:val="FootnoteText"/>
        <w:tabs>
          <w:tab w:val="left" w:pos="0"/>
        </w:tabs>
        <w:ind w:left="-360"/>
      </w:pPr>
      <w:r w:rsidRPr="003234E0">
        <w:rPr>
          <w:rStyle w:val="FootnoteReference"/>
        </w:rPr>
        <w:footnoteRef/>
      </w:r>
      <w:r w:rsidRPr="00826452">
        <w:rPr>
          <w:vertAlign w:val="superscript"/>
        </w:rPr>
        <w:t>/</w:t>
      </w:r>
      <w:r w:rsidRPr="00986D83">
        <w:t xml:space="preserve"> </w:t>
      </w:r>
      <w:r w:rsidRPr="00986D83">
        <w:tab/>
      </w:r>
      <w:r>
        <w:t>Policy Statement</w:t>
      </w:r>
      <w:r w:rsidRPr="00986D83">
        <w:t xml:space="preserve"> ¶</w:t>
      </w:r>
      <w:r>
        <w:t xml:space="preserve"> 18, n. 33</w:t>
      </w:r>
      <w:r w:rsidRPr="00986D83">
        <w:t>.</w:t>
      </w:r>
      <w:r>
        <w:t xml:space="preserve"> </w:t>
      </w:r>
    </w:p>
  </w:footnote>
  <w:footnote w:id="171">
    <w:p w:rsidR="000C04CC" w:rsidRPr="00986D83" w:rsidRDefault="000C04CC" w:rsidP="00380119">
      <w:pPr>
        <w:pStyle w:val="FootnoteText"/>
        <w:tabs>
          <w:tab w:val="left" w:pos="0"/>
        </w:tabs>
        <w:ind w:left="-36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rsidRPr="00986D83">
        <w:t xml:space="preserve"> </w:t>
      </w:r>
      <w:r>
        <w:t>¶ 28.</w:t>
      </w:r>
    </w:p>
  </w:footnote>
  <w:footnote w:id="172">
    <w:p w:rsidR="000C04CC" w:rsidRDefault="000C04CC" w:rsidP="00380119">
      <w:pPr>
        <w:pStyle w:val="FootnoteText"/>
        <w:ind w:left="-360"/>
      </w:pPr>
      <w:r>
        <w:rPr>
          <w:rStyle w:val="FootnoteReference"/>
        </w:rPr>
        <w:footnoteRef/>
      </w:r>
      <w:r>
        <w:rPr>
          <w:vertAlign w:val="superscript"/>
        </w:rPr>
        <w:t>/</w:t>
      </w:r>
      <w:r>
        <w:t xml:space="preserve"> </w:t>
      </w:r>
      <w:r>
        <w:tab/>
      </w:r>
      <w:r w:rsidRPr="005D7420">
        <w:rPr>
          <w:u w:val="single"/>
        </w:rPr>
        <w:t>Multiparty Settlement</w:t>
      </w:r>
      <w:r>
        <w:t>, Schooley, Exh. No. TES-1T at 4: 5-6, 14-17.</w:t>
      </w:r>
    </w:p>
  </w:footnote>
  <w:footnote w:id="173">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Deen, Exh. No. MCD-3 at 7-12 (Reynolds Deposition).  </w:t>
      </w:r>
    </w:p>
  </w:footnote>
  <w:footnote w:id="174">
    <w:p w:rsidR="000C04CC" w:rsidRPr="00986D83" w:rsidRDefault="000C04CC" w:rsidP="00380119">
      <w:pPr>
        <w:pStyle w:val="FootnoteText"/>
        <w:tabs>
          <w:tab w:val="left" w:pos="0"/>
        </w:tabs>
        <w:ind w:left="-360"/>
      </w:pPr>
      <w:r w:rsidRPr="003234E0">
        <w:rPr>
          <w:rStyle w:val="FootnoteReference"/>
        </w:rPr>
        <w:footnoteRef/>
      </w:r>
      <w:r w:rsidRPr="00826452">
        <w:rPr>
          <w:vertAlign w:val="superscript"/>
        </w:rPr>
        <w:t>/</w:t>
      </w:r>
      <w:r w:rsidRPr="00986D83">
        <w:t xml:space="preserve"> </w:t>
      </w:r>
      <w:r w:rsidRPr="00986D83">
        <w:tab/>
      </w:r>
      <w:r w:rsidRPr="00F819DD">
        <w:t>Policy Statement</w:t>
      </w:r>
      <w:r>
        <w:t xml:space="preserve"> ¶ 28.</w:t>
      </w:r>
    </w:p>
  </w:footnote>
  <w:footnote w:id="175">
    <w:p w:rsidR="000C04CC" w:rsidRPr="005259F0" w:rsidRDefault="000C04CC" w:rsidP="00380119">
      <w:pPr>
        <w:pStyle w:val="FootnoteText"/>
        <w:tabs>
          <w:tab w:val="left" w:pos="0"/>
        </w:tabs>
        <w:ind w:left="-360"/>
      </w:pPr>
      <w:r w:rsidRPr="005259F0">
        <w:rPr>
          <w:rStyle w:val="FootnoteReference"/>
        </w:rPr>
        <w:footnoteRef/>
      </w:r>
      <w:r w:rsidRPr="00B702A9">
        <w:rPr>
          <w:sz w:val="24"/>
          <w:szCs w:val="24"/>
          <w:vertAlign w:val="superscript"/>
        </w:rPr>
        <w:t>/</w:t>
      </w:r>
      <w:r w:rsidRPr="005259F0">
        <w:t xml:space="preserve"> </w:t>
      </w:r>
      <w:r w:rsidRPr="005259F0">
        <w:tab/>
      </w:r>
      <w:r w:rsidRPr="009A6F49">
        <w:t>Order 08</w:t>
      </w:r>
      <w:r>
        <w:t xml:space="preserve"> ¶ 455.</w:t>
      </w:r>
    </w:p>
  </w:footnote>
  <w:footnote w:id="17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JAP-1T at 37:10–11.  </w:t>
      </w:r>
    </w:p>
  </w:footnote>
  <w:footnote w:id="177">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37:7–9 (emphasis added).  </w:t>
      </w:r>
    </w:p>
  </w:footnote>
  <w:footnote w:id="178">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36:18 (emphasis added).  </w:t>
      </w:r>
    </w:p>
  </w:footnote>
  <w:footnote w:id="179">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6:3 (emphasis added).  </w:t>
      </w:r>
    </w:p>
  </w:footnote>
  <w:footnote w:id="180">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6:4–6 (emphasis added).  </w:t>
      </w:r>
    </w:p>
  </w:footnote>
  <w:footnote w:id="181">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Deen, Exh. No. MCD-3 at 9:12-14. </w:t>
      </w:r>
    </w:p>
  </w:footnote>
  <w:footnote w:id="182">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RCW § 19.285.040(1).  </w:t>
      </w:r>
    </w:p>
  </w:footnote>
  <w:footnote w:id="183">
    <w:p w:rsidR="000C04CC" w:rsidRPr="00986D83" w:rsidRDefault="000C04CC" w:rsidP="00380119">
      <w:pPr>
        <w:pStyle w:val="FootnoteText"/>
        <w:tabs>
          <w:tab w:val="left" w:pos="0"/>
        </w:tabs>
        <w:ind w:left="-360"/>
      </w:pPr>
      <w:r w:rsidRPr="003234E0">
        <w:rPr>
          <w:rStyle w:val="FootnoteReference"/>
        </w:rPr>
        <w:footnoteRef/>
      </w:r>
      <w:r w:rsidRPr="00826452">
        <w:rPr>
          <w:vertAlign w:val="superscript"/>
        </w:rPr>
        <w:t>/</w:t>
      </w:r>
      <w:r w:rsidRPr="00986D83">
        <w:t xml:space="preserve"> </w:t>
      </w:r>
      <w:r w:rsidRPr="00986D83">
        <w:tab/>
      </w:r>
      <w:r w:rsidRPr="00005875">
        <w:t>Policy Statement</w:t>
      </w:r>
      <w:r>
        <w:t xml:space="preserve"> ¶ 32, n. 53</w:t>
      </w:r>
      <w:r w:rsidRPr="00986D83">
        <w:t>.</w:t>
      </w:r>
    </w:p>
  </w:footnote>
  <w:footnote w:id="184">
    <w:p w:rsidR="000C04CC" w:rsidRPr="00986D83" w:rsidRDefault="000C04CC" w:rsidP="00380119">
      <w:pPr>
        <w:pStyle w:val="FootnoteText"/>
        <w:ind w:left="-360"/>
      </w:pPr>
      <w:r w:rsidRPr="003234E0">
        <w:rPr>
          <w:rStyle w:val="FootnoteReference"/>
        </w:rPr>
        <w:footnoteRef/>
      </w:r>
      <w:r w:rsidRPr="00826452">
        <w:rPr>
          <w:vertAlign w:val="superscript"/>
        </w:rPr>
        <w:t>/</w:t>
      </w:r>
      <w:r w:rsidRPr="00986D83">
        <w:t xml:space="preserve"> </w:t>
      </w:r>
      <w:r w:rsidRPr="00986D83">
        <w:tab/>
      </w:r>
      <w:r>
        <w:rPr>
          <w:u w:val="single"/>
        </w:rPr>
        <w:t>Id.</w:t>
      </w:r>
      <w:r>
        <w:t xml:space="preserve"> ¶ 28</w:t>
      </w:r>
      <w:r w:rsidRPr="00986D83">
        <w:t>.</w:t>
      </w:r>
    </w:p>
  </w:footnote>
  <w:footnote w:id="185">
    <w:p w:rsidR="000C04CC" w:rsidRDefault="000C04CC" w:rsidP="00380119">
      <w:pPr>
        <w:pStyle w:val="FootnoteText"/>
        <w:tabs>
          <w:tab w:val="left" w:pos="0"/>
        </w:tabs>
        <w:ind w:left="-360" w:right="-180"/>
      </w:pPr>
      <w:r>
        <w:rPr>
          <w:rStyle w:val="FootnoteReference"/>
        </w:rPr>
        <w:footnoteRef/>
      </w:r>
      <w:r>
        <w:rPr>
          <w:vertAlign w:val="superscript"/>
        </w:rPr>
        <w:t>/</w:t>
      </w:r>
      <w:r>
        <w:tab/>
      </w:r>
      <w:r w:rsidRPr="009A6F49">
        <w:t>Order 08</w:t>
      </w:r>
      <w:r>
        <w:t xml:space="preserve"> ¶ 440.</w:t>
      </w:r>
    </w:p>
  </w:footnote>
  <w:footnote w:id="186">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25:8–9.  </w:t>
      </w:r>
    </w:p>
  </w:footnote>
  <w:footnote w:id="187">
    <w:p w:rsidR="000C04CC" w:rsidRDefault="000C04CC" w:rsidP="00380119">
      <w:pPr>
        <w:pStyle w:val="FootnoteText"/>
        <w:ind w:left="-360"/>
      </w:pPr>
      <w:r>
        <w:rPr>
          <w:rStyle w:val="FootnoteReference"/>
        </w:rPr>
        <w:footnoteRef/>
      </w:r>
      <w:r w:rsidRPr="00826452">
        <w:rPr>
          <w:u w:val="single"/>
          <w:vertAlign w:val="superscript"/>
        </w:rPr>
        <w:t>/</w:t>
      </w:r>
      <w:r>
        <w:t xml:space="preserve"> </w:t>
      </w:r>
      <w:r>
        <w:tab/>
      </w:r>
      <w:r>
        <w:rPr>
          <w:u w:val="single"/>
        </w:rPr>
        <w:t>WUTC v. PSE</w:t>
      </w:r>
      <w:r>
        <w:t>, Docket Nos. UE-111048 and UG-111049, Exhibit No. DJR-3T at 14:22–25.</w:t>
      </w:r>
      <w:r w:rsidRPr="00F56593">
        <w:t xml:space="preserve"> </w:t>
      </w:r>
    </w:p>
  </w:footnote>
  <w:footnote w:id="188">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34:19–21.  </w:t>
      </w:r>
    </w:p>
  </w:footnote>
  <w:footnote w:id="189">
    <w:p w:rsidR="000C04CC" w:rsidRPr="00664D7E" w:rsidRDefault="000C04CC" w:rsidP="00380119">
      <w:pPr>
        <w:pStyle w:val="FootnoteText"/>
        <w:ind w:left="-360" w:right="-180"/>
      </w:pPr>
      <w:r>
        <w:rPr>
          <w:rStyle w:val="FootnoteReference"/>
        </w:rPr>
        <w:footnoteRef/>
      </w:r>
      <w:r>
        <w:rPr>
          <w:vertAlign w:val="superscript"/>
        </w:rPr>
        <w:t>/</w:t>
      </w:r>
      <w:r>
        <w:tab/>
      </w:r>
      <w:r>
        <w:rPr>
          <w:u w:val="single"/>
        </w:rPr>
        <w:t>Decoupling</w:t>
      </w:r>
      <w:r>
        <w:t xml:space="preserve">, Piliaris, Exh. No. JAP-1T at 35:1–2.  </w:t>
      </w:r>
    </w:p>
  </w:footnote>
  <w:footnote w:id="190">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986D83">
        <w:rPr>
          <w:u w:val="single"/>
        </w:rPr>
        <w:t>Id.</w:t>
      </w:r>
      <w:r>
        <w:t xml:space="preserve"> at 35:20–36:1</w:t>
      </w:r>
      <w:r w:rsidRPr="00986D83">
        <w:t xml:space="preserve">.  </w:t>
      </w:r>
    </w:p>
  </w:footnote>
  <w:footnote w:id="191">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986D83">
        <w:rPr>
          <w:u w:val="single"/>
        </w:rPr>
        <w:t>Id.</w:t>
      </w:r>
      <w:r>
        <w:t xml:space="preserve"> at 35:9–17</w:t>
      </w:r>
      <w:r w:rsidRPr="00986D83">
        <w:t xml:space="preserve">.  </w:t>
      </w:r>
    </w:p>
  </w:footnote>
  <w:footnote w:id="192">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FA2E81">
        <w:t>Policy Statement</w:t>
      </w:r>
      <w:r w:rsidRPr="00986D83">
        <w:t xml:space="preserve"> ¶ 28.</w:t>
      </w:r>
    </w:p>
  </w:footnote>
  <w:footnote w:id="193">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986D83">
        <w:rPr>
          <w:u w:val="single"/>
        </w:rPr>
        <w:t>Id.</w:t>
      </w:r>
      <w:r>
        <w:t xml:space="preserve"> ¶ 18, n. 34, ¶ 28, n. 46. </w:t>
      </w:r>
      <w:r w:rsidRPr="00986D83">
        <w:t xml:space="preserve">  </w:t>
      </w:r>
    </w:p>
  </w:footnote>
  <w:footnote w:id="194">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986D83">
        <w:rPr>
          <w:u w:val="single"/>
        </w:rPr>
        <w:t>Id.</w:t>
      </w:r>
      <w:r>
        <w:t xml:space="preserve"> </w:t>
      </w:r>
      <w:r w:rsidRPr="00986D83">
        <w:t xml:space="preserve">  </w:t>
      </w:r>
    </w:p>
  </w:footnote>
  <w:footnote w:id="195">
    <w:p w:rsidR="000C04CC" w:rsidRPr="00986D83" w:rsidRDefault="000C04CC" w:rsidP="00380119">
      <w:pPr>
        <w:pStyle w:val="FootnoteText"/>
        <w:ind w:left="-360"/>
      </w:pPr>
      <w:r w:rsidRPr="006530A5">
        <w:rPr>
          <w:rStyle w:val="FootnoteReference"/>
        </w:rPr>
        <w:footnoteRef/>
      </w:r>
      <w:r w:rsidRPr="00826452">
        <w:rPr>
          <w:vertAlign w:val="superscript"/>
        </w:rPr>
        <w:t>/</w:t>
      </w:r>
      <w:r w:rsidRPr="00986D83">
        <w:t xml:space="preserve"> </w:t>
      </w:r>
      <w:r w:rsidRPr="00986D83">
        <w:tab/>
      </w:r>
      <w:r w:rsidRPr="009A6F49">
        <w:t>Amended Petition</w:t>
      </w:r>
      <w:r>
        <w:t xml:space="preserve">, </w:t>
      </w:r>
      <w:r w:rsidRPr="000D7BF5">
        <w:t>Attachment</w:t>
      </w:r>
      <w:r w:rsidRPr="00986D83">
        <w:t xml:space="preserve"> A at 2.</w:t>
      </w:r>
    </w:p>
  </w:footnote>
  <w:footnote w:id="196">
    <w:p w:rsidR="000C04CC" w:rsidRDefault="000C04CC" w:rsidP="00380119">
      <w:pPr>
        <w:pStyle w:val="FootnoteText"/>
        <w:tabs>
          <w:tab w:val="left" w:pos="0"/>
        </w:tabs>
        <w:ind w:left="-360" w:right="-180"/>
      </w:pPr>
      <w:r>
        <w:rPr>
          <w:rStyle w:val="FootnoteReference"/>
        </w:rPr>
        <w:footnoteRef/>
      </w:r>
      <w:r>
        <w:rPr>
          <w:vertAlign w:val="superscript"/>
        </w:rPr>
        <w:t>/</w:t>
      </w:r>
      <w:r>
        <w:tab/>
        <w:t>Hearing Tr. at 272:20-21 (Deborah Reynolds).</w:t>
      </w:r>
    </w:p>
  </w:footnote>
  <w:footnote w:id="197">
    <w:p w:rsidR="000C04CC" w:rsidRPr="00986D83" w:rsidRDefault="000C04CC" w:rsidP="00380119">
      <w:pPr>
        <w:pStyle w:val="FootnoteText"/>
        <w:ind w:left="-360"/>
      </w:pPr>
      <w:r w:rsidRPr="006530A5">
        <w:rPr>
          <w:rStyle w:val="FootnoteReference"/>
        </w:rPr>
        <w:footnoteRef/>
      </w:r>
      <w:r w:rsidRPr="006530A5">
        <w:rPr>
          <w:u w:val="single"/>
          <w:vertAlign w:val="superscript"/>
        </w:rPr>
        <w:t>/</w:t>
      </w:r>
      <w:r w:rsidRPr="00986D83">
        <w:t xml:space="preserve"> </w:t>
      </w:r>
      <w:r w:rsidRPr="00986D83">
        <w:tab/>
      </w:r>
      <w:r w:rsidRPr="009A6F49">
        <w:t>Amended Petition</w:t>
      </w:r>
      <w:r>
        <w:t xml:space="preserve">, </w:t>
      </w:r>
      <w:r w:rsidRPr="000D7BF5">
        <w:t>Attachment</w:t>
      </w:r>
      <w:r w:rsidRPr="00986D83">
        <w:t xml:space="preserve"> A at 4.</w:t>
      </w:r>
    </w:p>
  </w:footnote>
  <w:footnote w:id="198">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26:6–9.  </w:t>
      </w:r>
    </w:p>
  </w:footnote>
  <w:footnote w:id="199">
    <w:p w:rsidR="000C04CC" w:rsidRPr="00986D83" w:rsidRDefault="000C04CC" w:rsidP="00380119">
      <w:pPr>
        <w:pStyle w:val="FootnoteText"/>
        <w:ind w:left="-360"/>
      </w:pPr>
      <w:r w:rsidRPr="006530A5">
        <w:rPr>
          <w:rStyle w:val="FootnoteReference"/>
        </w:rPr>
        <w:footnoteRef/>
      </w:r>
      <w:r w:rsidRPr="006530A5">
        <w:rPr>
          <w:u w:val="single"/>
          <w:vertAlign w:val="superscript"/>
        </w:rPr>
        <w:t>/</w:t>
      </w:r>
      <w:r w:rsidRPr="00986D83">
        <w:t xml:space="preserve"> </w:t>
      </w:r>
      <w:r w:rsidRPr="00986D83">
        <w:tab/>
      </w:r>
      <w:r w:rsidRPr="00CE5741">
        <w:rPr>
          <w:u w:val="single"/>
        </w:rPr>
        <w:t>Id</w:t>
      </w:r>
      <w:r>
        <w:rPr>
          <w:u w:val="single"/>
        </w:rPr>
        <w:t>.</w:t>
      </w:r>
      <w:r>
        <w:t xml:space="preserve"> at 27:5–8</w:t>
      </w:r>
      <w:r w:rsidRPr="00986D83">
        <w:t>.</w:t>
      </w:r>
    </w:p>
  </w:footnote>
  <w:footnote w:id="200">
    <w:p w:rsidR="000C04CC" w:rsidRPr="00664D7E" w:rsidRDefault="000C04CC" w:rsidP="00380119">
      <w:pPr>
        <w:pStyle w:val="FootnoteText"/>
        <w:ind w:left="-360" w:right="-180"/>
      </w:pPr>
      <w:r>
        <w:rPr>
          <w:rStyle w:val="FootnoteReference"/>
        </w:rPr>
        <w:footnoteRef/>
      </w:r>
      <w:r>
        <w:rPr>
          <w:vertAlign w:val="superscript"/>
        </w:rPr>
        <w:t>/</w:t>
      </w:r>
      <w:r>
        <w:tab/>
      </w:r>
      <w:r w:rsidRPr="006D27E9">
        <w:rPr>
          <w:u w:val="single"/>
        </w:rPr>
        <w:t>Id.</w:t>
      </w:r>
      <w:r>
        <w:t xml:space="preserve"> at 28:6–8, 11–12.  </w:t>
      </w:r>
    </w:p>
  </w:footnote>
  <w:footnote w:id="201">
    <w:p w:rsidR="000C04CC" w:rsidRPr="00664D7E" w:rsidRDefault="000C04CC" w:rsidP="00380119">
      <w:pPr>
        <w:pStyle w:val="FootnoteText"/>
        <w:ind w:left="-360" w:right="-180"/>
      </w:pPr>
      <w:r>
        <w:rPr>
          <w:rStyle w:val="FootnoteReference"/>
        </w:rPr>
        <w:footnoteRef/>
      </w:r>
      <w:r>
        <w:rPr>
          <w:vertAlign w:val="superscript"/>
        </w:rPr>
        <w:t>/</w:t>
      </w:r>
      <w:r>
        <w:tab/>
      </w:r>
      <w:r w:rsidRPr="006D27E9">
        <w:rPr>
          <w:u w:val="single"/>
        </w:rPr>
        <w:t>Id.</w:t>
      </w:r>
      <w:r>
        <w:t xml:space="preserve"> at 28:12–14.  </w:t>
      </w:r>
    </w:p>
  </w:footnote>
  <w:footnote w:id="202">
    <w:p w:rsidR="000C04CC" w:rsidRPr="00664D7E" w:rsidRDefault="000C04CC" w:rsidP="00380119">
      <w:pPr>
        <w:pStyle w:val="FootnoteText"/>
        <w:ind w:left="-360" w:right="-180"/>
      </w:pPr>
      <w:r>
        <w:rPr>
          <w:rStyle w:val="FootnoteReference"/>
        </w:rPr>
        <w:footnoteRef/>
      </w:r>
      <w:r>
        <w:rPr>
          <w:vertAlign w:val="superscript"/>
        </w:rPr>
        <w:t>/</w:t>
      </w:r>
      <w:r>
        <w:tab/>
      </w:r>
      <w:r>
        <w:rPr>
          <w:u w:val="single"/>
        </w:rPr>
        <w:t>Decoupling</w:t>
      </w:r>
      <w:r>
        <w:t xml:space="preserve">, Piliaris, Exh. No. JAP-8T at 19:10–13.  </w:t>
      </w:r>
    </w:p>
  </w:footnote>
  <w:footnote w:id="203">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19:18–20 (emphasis added).  </w:t>
      </w:r>
    </w:p>
  </w:footnote>
  <w:footnote w:id="204">
    <w:p w:rsidR="000C04CC" w:rsidRPr="00664D7E" w:rsidRDefault="000C04CC" w:rsidP="00380119">
      <w:pPr>
        <w:pStyle w:val="FootnoteText"/>
        <w:ind w:left="-360" w:right="-180"/>
      </w:pPr>
      <w:r>
        <w:rPr>
          <w:rStyle w:val="FootnoteReference"/>
        </w:rPr>
        <w:footnoteRef/>
      </w:r>
      <w:r>
        <w:rPr>
          <w:vertAlign w:val="superscript"/>
        </w:rPr>
        <w:t>/</w:t>
      </w:r>
      <w:r>
        <w:tab/>
        <w:t xml:space="preserve">Gorman, Exh. No. MPG-1T at 24:6–9.  </w:t>
      </w:r>
    </w:p>
  </w:footnote>
  <w:footnote w:id="205">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23:20–23.  </w:t>
      </w:r>
    </w:p>
  </w:footnote>
  <w:footnote w:id="206">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23:23–24:2.  </w:t>
      </w:r>
    </w:p>
  </w:footnote>
  <w:footnote w:id="207">
    <w:p w:rsidR="000C04CC" w:rsidRPr="00664D7E" w:rsidRDefault="000C04CC" w:rsidP="00380119">
      <w:pPr>
        <w:pStyle w:val="FootnoteText"/>
        <w:ind w:left="-360" w:right="-180"/>
      </w:pPr>
      <w:r>
        <w:rPr>
          <w:rStyle w:val="FootnoteReference"/>
        </w:rPr>
        <w:footnoteRef/>
      </w:r>
      <w:r>
        <w:rPr>
          <w:vertAlign w:val="superscript"/>
        </w:rPr>
        <w:t>/</w:t>
      </w:r>
      <w:r>
        <w:tab/>
      </w:r>
      <w:r w:rsidRPr="00D20A54">
        <w:rPr>
          <w:u w:val="single"/>
        </w:rPr>
        <w:t>Id.</w:t>
      </w:r>
      <w:r>
        <w:t xml:space="preserve"> at 24:9–12.  </w:t>
      </w:r>
    </w:p>
  </w:footnote>
  <w:footnote w:id="208">
    <w:p w:rsidR="000C04CC" w:rsidRPr="00664D7E" w:rsidRDefault="000C04CC" w:rsidP="00380119">
      <w:pPr>
        <w:pStyle w:val="FootnoteText"/>
        <w:ind w:left="-360" w:right="-180"/>
      </w:pPr>
      <w:r>
        <w:rPr>
          <w:rStyle w:val="FootnoteReference"/>
        </w:rPr>
        <w:footnoteRef/>
      </w:r>
      <w:r>
        <w:rPr>
          <w:vertAlign w:val="superscript"/>
        </w:rPr>
        <w:t>/</w:t>
      </w:r>
      <w:r>
        <w:tab/>
      </w:r>
      <w:r>
        <w:rPr>
          <w:u w:val="single"/>
        </w:rPr>
        <w:t>Multiparty Settlement</w:t>
      </w:r>
      <w:r>
        <w:t xml:space="preserve">, Piliaris, Exh. No. JAP-24T at 7:11–8:2.  </w:t>
      </w:r>
    </w:p>
  </w:footnote>
  <w:footnote w:id="209">
    <w:p w:rsidR="000C04CC" w:rsidRPr="00664D7E" w:rsidRDefault="000C04CC" w:rsidP="00380119">
      <w:pPr>
        <w:pStyle w:val="FootnoteText"/>
        <w:ind w:left="-360" w:right="-180"/>
      </w:pPr>
      <w:r>
        <w:rPr>
          <w:rStyle w:val="FootnoteReference"/>
        </w:rPr>
        <w:footnoteRef/>
      </w:r>
      <w:r>
        <w:rPr>
          <w:vertAlign w:val="superscript"/>
        </w:rPr>
        <w:t>/</w:t>
      </w:r>
      <w:r>
        <w:tab/>
      </w:r>
      <w:r w:rsidRPr="000A7F9E">
        <w:t>Policy Statement</w:t>
      </w:r>
      <w:r>
        <w:t xml:space="preserve"> ¶ 26; </w:t>
      </w:r>
      <w:r w:rsidRPr="005A36D6">
        <w:rPr>
          <w:u w:val="single"/>
        </w:rPr>
        <w:t>accord</w:t>
      </w:r>
      <w:r>
        <w:t xml:space="preserve">, Gorman, Exh. No. MPG-1T at 24:15–21.  </w:t>
      </w:r>
    </w:p>
  </w:footnote>
  <w:footnote w:id="210">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sidRPr="000A7F9E">
        <w:t>Policy Statement</w:t>
      </w:r>
      <w:r>
        <w:t xml:space="preserve"> ¶ 27</w:t>
      </w:r>
      <w:r w:rsidRPr="00986D83">
        <w:t>.</w:t>
      </w:r>
    </w:p>
  </w:footnote>
  <w:footnote w:id="211">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w:t>
      </w:r>
    </w:p>
  </w:footnote>
  <w:footnote w:id="212">
    <w:p w:rsidR="000C04CC" w:rsidRPr="00986D83" w:rsidRDefault="000C04CC" w:rsidP="00380119">
      <w:pPr>
        <w:pStyle w:val="FootnoteText"/>
        <w:ind w:left="-360"/>
      </w:pPr>
      <w:r w:rsidRPr="00233BE3">
        <w:rPr>
          <w:rStyle w:val="FootnoteReference"/>
        </w:rPr>
        <w:footnoteRef/>
      </w:r>
      <w:r w:rsidRPr="00826452">
        <w:rPr>
          <w:vertAlign w:val="superscript"/>
        </w:rPr>
        <w:t>/</w:t>
      </w:r>
      <w:r w:rsidRPr="00826452">
        <w:t xml:space="preserve"> </w:t>
      </w:r>
      <w:r w:rsidRPr="00986D83">
        <w:tab/>
      </w:r>
      <w:r>
        <w:rPr>
          <w:u w:val="single"/>
        </w:rPr>
        <w:t>Id.</w:t>
      </w:r>
      <w:r>
        <w:t xml:space="preserve"> ¶ 27</w:t>
      </w:r>
      <w:r w:rsidRPr="00986D83">
        <w:t>.</w:t>
      </w:r>
    </w:p>
  </w:footnote>
  <w:footnote w:id="213">
    <w:p w:rsidR="000C04CC" w:rsidRDefault="000C04CC" w:rsidP="00380119">
      <w:pPr>
        <w:pStyle w:val="FootnoteText"/>
        <w:tabs>
          <w:tab w:val="left" w:pos="0"/>
        </w:tabs>
        <w:ind w:left="-360" w:right="-180"/>
      </w:pPr>
      <w:r>
        <w:rPr>
          <w:rStyle w:val="FootnoteReference"/>
        </w:rPr>
        <w:footnoteRef/>
      </w:r>
      <w:r>
        <w:rPr>
          <w:vertAlign w:val="superscript"/>
        </w:rPr>
        <w:t>/</w:t>
      </w:r>
      <w:r>
        <w:tab/>
      </w:r>
      <w:r w:rsidRPr="009A6F49">
        <w:t>Order 08</w:t>
      </w:r>
      <w:r>
        <w:t xml:space="preserve"> ¶ 489. </w:t>
      </w:r>
    </w:p>
  </w:footnote>
  <w:footnote w:id="214">
    <w:p w:rsidR="000C04CC" w:rsidRDefault="000C04CC" w:rsidP="0031502F">
      <w:pPr>
        <w:pStyle w:val="FootnoteText"/>
        <w:tabs>
          <w:tab w:val="left" w:pos="0"/>
        </w:tabs>
        <w:ind w:left="-360" w:right="-180"/>
        <w:rPr>
          <w:u w:val="single"/>
        </w:rPr>
      </w:pPr>
      <w:r>
        <w:rPr>
          <w:rStyle w:val="FootnoteReference"/>
        </w:rPr>
        <w:footnoteRef/>
      </w:r>
      <w:r>
        <w:rPr>
          <w:vertAlign w:val="superscript"/>
        </w:rPr>
        <w:t>/</w:t>
      </w:r>
      <w:r>
        <w:tab/>
      </w:r>
      <w:r w:rsidRPr="00DB3F1B">
        <w:rPr>
          <w:u w:val="single"/>
        </w:rPr>
        <w:t>WUTC v. Inland Tel. Co.</w:t>
      </w:r>
      <w:r w:rsidRPr="00DB3F1B">
        <w:t>,</w:t>
      </w:r>
      <w:r>
        <w:t xml:space="preserve"> </w:t>
      </w:r>
      <w:r w:rsidRPr="00C66A9B">
        <w:t>Docket No.</w:t>
      </w:r>
      <w:r>
        <w:t xml:space="preserve"> UT-050606, Order 09 at n. 11(Nov. 30, 2006) (</w:t>
      </w:r>
      <w:r w:rsidRPr="00E9107F">
        <w:rPr>
          <w:u w:val="single"/>
        </w:rPr>
        <w:t>quoting</w:t>
      </w:r>
      <w:r>
        <w:t xml:space="preserve"> </w:t>
      </w:r>
      <w:r w:rsidRPr="00E9107F">
        <w:rPr>
          <w:u w:val="single"/>
        </w:rPr>
        <w:t xml:space="preserve">State v. </w:t>
      </w:r>
    </w:p>
    <w:p w:rsidR="000C04CC" w:rsidRDefault="000C04CC" w:rsidP="0031502F">
      <w:pPr>
        <w:pStyle w:val="FootnoteText"/>
        <w:tabs>
          <w:tab w:val="left" w:pos="0"/>
        </w:tabs>
        <w:ind w:left="-360" w:right="-180"/>
      </w:pPr>
      <w:r w:rsidRPr="0031502F">
        <w:tab/>
      </w:r>
      <w:r w:rsidRPr="00E9107F">
        <w:rPr>
          <w:u w:val="single"/>
        </w:rPr>
        <w:t>Anderson</w:t>
      </w:r>
      <w:r w:rsidRPr="00E9107F">
        <w:t>, 72 Wn. App. 253, 260, 863 P.2d 1370 (1993)).</w:t>
      </w:r>
    </w:p>
  </w:footnote>
  <w:footnote w:id="215">
    <w:p w:rsidR="000C04CC" w:rsidRPr="005259F0" w:rsidRDefault="000C04CC" w:rsidP="00380119">
      <w:pPr>
        <w:pStyle w:val="FootnoteText"/>
        <w:tabs>
          <w:tab w:val="left" w:pos="0"/>
        </w:tabs>
        <w:ind w:left="-360"/>
      </w:pPr>
      <w:r w:rsidRPr="005259F0">
        <w:rPr>
          <w:rStyle w:val="FootnoteReference"/>
        </w:rPr>
        <w:footnoteRef/>
      </w:r>
      <w:r>
        <w:rPr>
          <w:vertAlign w:val="superscript"/>
        </w:rPr>
        <w:t>/</w:t>
      </w:r>
      <w:r w:rsidRPr="005259F0">
        <w:t xml:space="preserve"> </w:t>
      </w:r>
      <w:r w:rsidRPr="005259F0">
        <w:tab/>
      </w:r>
      <w:r w:rsidRPr="009A6F49">
        <w:t>Amended Petition</w:t>
      </w:r>
      <w:r>
        <w:t xml:space="preserve"> ¶ 5.</w:t>
      </w:r>
    </w:p>
  </w:footnote>
  <w:footnote w:id="216">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Barnard, Exh. No. KJB-1T at 2:7–10.</w:t>
      </w:r>
    </w:p>
  </w:footnote>
  <w:footnote w:id="217">
    <w:p w:rsidR="000C04CC" w:rsidRDefault="000C04CC" w:rsidP="00380119">
      <w:pPr>
        <w:pStyle w:val="FootnoteText"/>
        <w:tabs>
          <w:tab w:val="left" w:pos="0"/>
        </w:tabs>
        <w:ind w:left="-360" w:right="-180"/>
      </w:pPr>
      <w:r>
        <w:rPr>
          <w:rStyle w:val="FootnoteReference"/>
        </w:rPr>
        <w:footnoteRef/>
      </w:r>
      <w:r>
        <w:rPr>
          <w:vertAlign w:val="superscript"/>
        </w:rPr>
        <w:t>/</w:t>
      </w:r>
      <w:r>
        <w:tab/>
      </w:r>
      <w:r w:rsidRPr="00AB5EA0">
        <w:t>Order 09/14</w:t>
      </w:r>
      <w:r>
        <w:t xml:space="preserve"> ¶ 70.</w:t>
      </w:r>
    </w:p>
  </w:footnote>
  <w:footnote w:id="218">
    <w:p w:rsidR="000C04CC" w:rsidRDefault="000C04CC" w:rsidP="00380119">
      <w:pPr>
        <w:pStyle w:val="FootnoteText"/>
        <w:tabs>
          <w:tab w:val="left" w:pos="0"/>
        </w:tabs>
        <w:ind w:left="-360" w:right="-180"/>
      </w:pPr>
      <w:r>
        <w:rPr>
          <w:rStyle w:val="FootnoteReference"/>
        </w:rPr>
        <w:footnoteRef/>
      </w:r>
      <w:r>
        <w:rPr>
          <w:vertAlign w:val="superscript"/>
        </w:rPr>
        <w:t>/</w:t>
      </w:r>
      <w:r>
        <w:tab/>
      </w:r>
      <w:r w:rsidRPr="00E9107F">
        <w:rPr>
          <w:u w:val="single"/>
        </w:rPr>
        <w:t>Id.</w:t>
      </w:r>
      <w:r>
        <w:t xml:space="preserve"> ¶ 10.</w:t>
      </w:r>
    </w:p>
  </w:footnote>
  <w:footnote w:id="219">
    <w:p w:rsidR="000C04CC" w:rsidRDefault="000C04CC" w:rsidP="00380119">
      <w:pPr>
        <w:pStyle w:val="FootnoteText"/>
        <w:tabs>
          <w:tab w:val="left" w:pos="0"/>
        </w:tabs>
        <w:ind w:left="-360" w:right="-180"/>
      </w:pPr>
      <w:r>
        <w:rPr>
          <w:rStyle w:val="FootnoteReference"/>
        </w:rPr>
        <w:footnoteRef/>
      </w:r>
      <w:r>
        <w:rPr>
          <w:vertAlign w:val="superscript"/>
        </w:rPr>
        <w:t>/</w:t>
      </w:r>
      <w:r>
        <w:tab/>
      </w:r>
      <w:r w:rsidRPr="00E9107F">
        <w:rPr>
          <w:u w:val="single"/>
        </w:rPr>
        <w:t>Id.</w:t>
      </w:r>
      <w:r>
        <w:t xml:space="preserve"> ¶ 12.</w:t>
      </w:r>
    </w:p>
  </w:footnote>
  <w:footnote w:id="220">
    <w:p w:rsidR="000C04CC" w:rsidRDefault="000C04CC" w:rsidP="00380119">
      <w:pPr>
        <w:pStyle w:val="FootnoteText"/>
        <w:tabs>
          <w:tab w:val="left" w:pos="0"/>
        </w:tabs>
        <w:ind w:left="-360" w:right="-180"/>
      </w:pPr>
      <w:r>
        <w:rPr>
          <w:rStyle w:val="FootnoteReference"/>
        </w:rPr>
        <w:footnoteRef/>
      </w:r>
      <w:r>
        <w:rPr>
          <w:vertAlign w:val="superscript"/>
        </w:rPr>
        <w:t>/</w:t>
      </w:r>
      <w:r>
        <w:tab/>
      </w:r>
      <w:r w:rsidRPr="00E9107F">
        <w:rPr>
          <w:u w:val="single"/>
        </w:rPr>
        <w:t>Id.</w:t>
      </w:r>
      <w:r>
        <w:t xml:space="preserve"> ¶ 11.</w:t>
      </w:r>
    </w:p>
  </w:footnote>
  <w:footnote w:id="221">
    <w:p w:rsidR="000C04CC" w:rsidRPr="0077226A" w:rsidRDefault="000C04CC" w:rsidP="00380119">
      <w:pPr>
        <w:pStyle w:val="FootnoteText"/>
        <w:ind w:left="-360"/>
      </w:pPr>
      <w:r>
        <w:rPr>
          <w:rStyle w:val="FootnoteReference"/>
        </w:rPr>
        <w:footnoteRef/>
      </w:r>
      <w:r>
        <w:rPr>
          <w:vertAlign w:val="superscript"/>
        </w:rPr>
        <w:t>/</w:t>
      </w:r>
      <w:r>
        <w:t xml:space="preserve"> </w:t>
      </w:r>
      <w:r>
        <w:tab/>
      </w:r>
      <w:r w:rsidRPr="0077226A">
        <w:rPr>
          <w:u w:val="single"/>
        </w:rPr>
        <w:t>Id.</w:t>
      </w:r>
      <w:r w:rsidRPr="009E10CD">
        <w:t xml:space="preserve"> </w:t>
      </w:r>
      <w:r>
        <w:t>at 72.</w:t>
      </w:r>
    </w:p>
  </w:footnote>
  <w:footnote w:id="222">
    <w:p w:rsidR="000C04CC" w:rsidRPr="00E40107" w:rsidRDefault="000C04CC" w:rsidP="00380119">
      <w:pPr>
        <w:pStyle w:val="FootnoteText"/>
        <w:tabs>
          <w:tab w:val="left" w:pos="0"/>
        </w:tabs>
        <w:ind w:left="-360" w:right="-180"/>
      </w:pPr>
      <w:r>
        <w:rPr>
          <w:rStyle w:val="FootnoteReference"/>
        </w:rPr>
        <w:footnoteRef/>
      </w:r>
      <w:r>
        <w:rPr>
          <w:vertAlign w:val="superscript"/>
        </w:rPr>
        <w:t>/</w:t>
      </w:r>
      <w:r>
        <w:tab/>
      </w:r>
      <w:r>
        <w:rPr>
          <w:u w:val="single"/>
        </w:rPr>
        <w:t>Multiparty Settlement</w:t>
      </w:r>
      <w:r>
        <w:t>, Barnard, Exh. No. KJB-11T at 28:3-10.</w:t>
      </w:r>
    </w:p>
  </w:footnote>
  <w:footnote w:id="223">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27:18.</w:t>
      </w:r>
    </w:p>
  </w:footnote>
  <w:footnote w:id="224">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22:12.</w:t>
      </w:r>
    </w:p>
  </w:footnote>
  <w:footnote w:id="225">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21:17-19.</w:t>
      </w:r>
    </w:p>
  </w:footnote>
  <w:footnote w:id="226">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at 21:21-23.</w:t>
      </w:r>
    </w:p>
  </w:footnote>
  <w:footnote w:id="227">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Multiparty Settlement</w:t>
      </w:r>
      <w:r>
        <w:t>, Barnard, Exh. No. KJB-18CX.</w:t>
      </w:r>
    </w:p>
  </w:footnote>
  <w:footnote w:id="228">
    <w:p w:rsidR="000C04CC" w:rsidRDefault="000C04CC" w:rsidP="00380119">
      <w:pPr>
        <w:pStyle w:val="FootnoteText"/>
        <w:tabs>
          <w:tab w:val="left" w:pos="0"/>
        </w:tabs>
        <w:ind w:left="-360" w:right="-180"/>
      </w:pPr>
      <w:r>
        <w:rPr>
          <w:rStyle w:val="FootnoteReference"/>
        </w:rPr>
        <w:footnoteRef/>
      </w:r>
      <w:r>
        <w:rPr>
          <w:vertAlign w:val="superscript"/>
        </w:rPr>
        <w:t>/</w:t>
      </w:r>
      <w:r>
        <w:tab/>
      </w:r>
      <w:r w:rsidRPr="009A6F49">
        <w:t>Amended Petition</w:t>
      </w:r>
      <w:r>
        <w:t xml:space="preserve"> ¶¶ 20, 21.</w:t>
      </w:r>
    </w:p>
  </w:footnote>
  <w:footnote w:id="229">
    <w:p w:rsidR="000C04CC" w:rsidRDefault="000C04CC" w:rsidP="00380119">
      <w:pPr>
        <w:pStyle w:val="FootnoteText"/>
        <w:tabs>
          <w:tab w:val="left" w:pos="0"/>
        </w:tabs>
        <w:ind w:left="-360" w:right="-180"/>
      </w:pPr>
      <w:r>
        <w:rPr>
          <w:rStyle w:val="FootnoteReference"/>
        </w:rPr>
        <w:footnoteRef/>
      </w:r>
      <w:r>
        <w:rPr>
          <w:vertAlign w:val="superscript"/>
        </w:rPr>
        <w:t>/</w:t>
      </w:r>
      <w:r>
        <w:tab/>
      </w:r>
      <w:r w:rsidRPr="003028B3">
        <w:t>O</w:t>
      </w:r>
      <w:r>
        <w:t>rder 09/14 ¶ 74.</w:t>
      </w:r>
    </w:p>
  </w:footnote>
  <w:footnote w:id="230">
    <w:p w:rsidR="000C04CC" w:rsidRDefault="000C04CC" w:rsidP="00380119">
      <w:pPr>
        <w:pStyle w:val="FootnoteText"/>
        <w:tabs>
          <w:tab w:val="left" w:pos="0"/>
        </w:tabs>
        <w:ind w:left="-360" w:right="-180"/>
      </w:pPr>
      <w:r>
        <w:rPr>
          <w:rStyle w:val="FootnoteReference"/>
        </w:rPr>
        <w:footnoteRef/>
      </w:r>
      <w:r>
        <w:rPr>
          <w:vertAlign w:val="superscript"/>
        </w:rPr>
        <w:t>/</w:t>
      </w:r>
      <w:r>
        <w:tab/>
      </w:r>
      <w:r w:rsidRPr="009A6F49">
        <w:t>Amended Petition</w:t>
      </w:r>
      <w:r>
        <w:t xml:space="preserve"> ¶ 24.</w:t>
      </w:r>
    </w:p>
  </w:footnote>
  <w:footnote w:id="231">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 27.</w:t>
      </w:r>
    </w:p>
  </w:footnote>
  <w:footnote w:id="232">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w:t>
      </w:r>
    </w:p>
  </w:footnote>
  <w:footnote w:id="233">
    <w:p w:rsidR="000C04CC" w:rsidRDefault="000C04CC" w:rsidP="00380119">
      <w:pPr>
        <w:pStyle w:val="FootnoteText"/>
        <w:tabs>
          <w:tab w:val="left" w:pos="0"/>
        </w:tabs>
        <w:ind w:left="-360" w:right="-180"/>
      </w:pPr>
      <w:r>
        <w:rPr>
          <w:rStyle w:val="FootnoteReference"/>
        </w:rPr>
        <w:footnoteRef/>
      </w:r>
      <w:r>
        <w:rPr>
          <w:vertAlign w:val="superscript"/>
        </w:rPr>
        <w:t>/</w:t>
      </w:r>
      <w:r>
        <w:tab/>
      </w:r>
      <w:r>
        <w:rPr>
          <w:u w:val="single"/>
        </w:rPr>
        <w:t>Id.</w:t>
      </w:r>
      <w:r>
        <w:t xml:space="preserve"> ¶ 24.</w:t>
      </w:r>
    </w:p>
  </w:footnote>
  <w:footnote w:id="234">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t xml:space="preserve">Deen, Exh. No. MCD-1T at 42:18–20.  </w:t>
      </w:r>
    </w:p>
  </w:footnote>
  <w:footnote w:id="235">
    <w:p w:rsidR="000C04CC" w:rsidRPr="00664D7E" w:rsidRDefault="000C04CC" w:rsidP="00380119">
      <w:pPr>
        <w:pStyle w:val="FootnoteText"/>
        <w:tabs>
          <w:tab w:val="left" w:pos="0"/>
        </w:tabs>
        <w:ind w:left="-360" w:right="-180"/>
      </w:pPr>
      <w:r>
        <w:rPr>
          <w:rStyle w:val="FootnoteReference"/>
        </w:rPr>
        <w:footnoteRef/>
      </w:r>
      <w:r>
        <w:rPr>
          <w:vertAlign w:val="superscript"/>
        </w:rPr>
        <w:t>/</w:t>
      </w:r>
      <w:r>
        <w:tab/>
      </w:r>
      <w:r>
        <w:rPr>
          <w:u w:val="single"/>
        </w:rPr>
        <w:t>Decoupling</w:t>
      </w:r>
      <w:r>
        <w:t xml:space="preserve">, Piliaris, Exh. No. JAP-8T at 17:15–17 (emphasis added).  </w:t>
      </w:r>
    </w:p>
  </w:footnote>
  <w:footnote w:id="236">
    <w:p w:rsidR="000C04CC" w:rsidRPr="00664D7E" w:rsidRDefault="000C04CC" w:rsidP="00380119">
      <w:pPr>
        <w:pStyle w:val="FootnoteText"/>
        <w:ind w:left="-360" w:right="-180"/>
      </w:pPr>
      <w:r>
        <w:rPr>
          <w:rStyle w:val="FootnoteReference"/>
        </w:rPr>
        <w:footnoteRef/>
      </w:r>
      <w:r>
        <w:rPr>
          <w:vertAlign w:val="superscript"/>
        </w:rPr>
        <w:t>/</w:t>
      </w:r>
      <w:r>
        <w:tab/>
        <w:t xml:space="preserve">Deen, Exh. No. MCD-1T at 43:1–2.  </w:t>
      </w:r>
    </w:p>
  </w:footnote>
  <w:footnote w:id="237">
    <w:p w:rsidR="000C04CC" w:rsidRPr="00664D7E" w:rsidRDefault="000C04CC" w:rsidP="00380119">
      <w:pPr>
        <w:pStyle w:val="FootnoteText"/>
        <w:ind w:left="-360" w:right="-180"/>
      </w:pPr>
      <w:r>
        <w:rPr>
          <w:rStyle w:val="FootnoteReference"/>
        </w:rPr>
        <w:footnoteRef/>
      </w:r>
      <w:r>
        <w:rPr>
          <w:vertAlign w:val="superscript"/>
        </w:rPr>
        <w:t>/</w:t>
      </w:r>
      <w:r>
        <w:tab/>
      </w:r>
      <w:r>
        <w:rPr>
          <w:u w:val="single"/>
        </w:rPr>
        <w:t>Multiparty Settlement</w:t>
      </w:r>
      <w:r>
        <w:t xml:space="preserve">, Piliaris, Exh. No. JAP-24T at 13:3–14:10.  </w:t>
      </w:r>
    </w:p>
  </w:footnote>
  <w:footnote w:id="238">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15:6–9.  </w:t>
      </w:r>
    </w:p>
  </w:footnote>
  <w:footnote w:id="239">
    <w:p w:rsidR="000C04CC" w:rsidRPr="00664D7E" w:rsidRDefault="000C04CC" w:rsidP="00380119">
      <w:pPr>
        <w:pStyle w:val="FootnoteText"/>
        <w:ind w:left="-360" w:right="-180"/>
      </w:pPr>
      <w:r>
        <w:rPr>
          <w:rStyle w:val="FootnoteReference"/>
        </w:rPr>
        <w:footnoteRef/>
      </w:r>
      <w:r>
        <w:rPr>
          <w:vertAlign w:val="superscript"/>
        </w:rPr>
        <w:t>/</w:t>
      </w:r>
      <w:r>
        <w:tab/>
      </w:r>
      <w:r>
        <w:rPr>
          <w:u w:val="single"/>
        </w:rPr>
        <w:t>Id.</w:t>
      </w:r>
      <w:r>
        <w:t xml:space="preserve"> at 15:12–14.  </w:t>
      </w:r>
    </w:p>
  </w:footnote>
  <w:footnote w:id="240">
    <w:p w:rsidR="000C04CC" w:rsidRDefault="000C04CC" w:rsidP="00380119">
      <w:pPr>
        <w:pStyle w:val="FootnoteText"/>
        <w:tabs>
          <w:tab w:val="left" w:pos="0"/>
        </w:tabs>
        <w:ind w:left="-360" w:right="-180"/>
      </w:pPr>
      <w:r>
        <w:rPr>
          <w:rStyle w:val="FootnoteReference"/>
        </w:rPr>
        <w:footnoteRef/>
      </w:r>
      <w:r>
        <w:rPr>
          <w:vertAlign w:val="superscript"/>
        </w:rPr>
        <w:t>/</w:t>
      </w:r>
      <w:r>
        <w:tab/>
        <w:t>Hearing Tr. at 273:20-21 (Deborah Reynolds).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CC" w:rsidRDefault="000C04CC" w:rsidP="000B0B32">
    <w:pPr>
      <w:pStyle w:val="Header"/>
      <w:jc w:val="right"/>
    </w:pPr>
    <w:r>
      <w:tab/>
    </w:r>
    <w:r>
      <w:tab/>
    </w:r>
    <w:r>
      <w:tab/>
    </w:r>
    <w:r>
      <w:tab/>
    </w:r>
    <w:r>
      <w:tab/>
    </w:r>
    <w:r>
      <w:tab/>
      <w:t xml:space="preserve">5/24/2013 </w:t>
    </w:r>
  </w:p>
  <w:p w:rsidR="000C04CC" w:rsidRDefault="000C04CC" w:rsidP="00F92AA7">
    <w:pPr>
      <w:pStyle w:val="Header"/>
    </w:pPr>
  </w:p>
  <w:p w:rsidR="000C04CC" w:rsidRDefault="000C04CC" w:rsidP="00F92AA7">
    <w:pPr>
      <w:pStyle w:val="Header"/>
    </w:pPr>
    <w:r>
      <w:tab/>
    </w:r>
    <w:r>
      <w:tab/>
    </w:r>
    <w:r>
      <w:tab/>
    </w:r>
    <w:r>
      <w:tab/>
      <w:t>10:03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5A0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22EA4C2"/>
    <w:lvl w:ilvl="0">
      <w:start w:val="1"/>
      <w:numFmt w:val="decimal"/>
      <w:lvlText w:val="%1."/>
      <w:lvlJc w:val="left"/>
      <w:pPr>
        <w:tabs>
          <w:tab w:val="num" w:pos="1800"/>
        </w:tabs>
        <w:ind w:left="1800" w:hanging="360"/>
      </w:pPr>
    </w:lvl>
  </w:abstractNum>
  <w:abstractNum w:abstractNumId="2">
    <w:nsid w:val="FFFFFF7D"/>
    <w:multiLevelType w:val="singleLevel"/>
    <w:tmpl w:val="CA5CDCCA"/>
    <w:lvl w:ilvl="0">
      <w:start w:val="1"/>
      <w:numFmt w:val="decimal"/>
      <w:lvlText w:val="%1."/>
      <w:lvlJc w:val="left"/>
      <w:pPr>
        <w:tabs>
          <w:tab w:val="num" w:pos="1440"/>
        </w:tabs>
        <w:ind w:left="1440" w:hanging="360"/>
      </w:pPr>
    </w:lvl>
  </w:abstractNum>
  <w:abstractNum w:abstractNumId="3">
    <w:nsid w:val="FFFFFF7E"/>
    <w:multiLevelType w:val="singleLevel"/>
    <w:tmpl w:val="F2BE249C"/>
    <w:lvl w:ilvl="0">
      <w:start w:val="1"/>
      <w:numFmt w:val="decimal"/>
      <w:lvlText w:val="%1."/>
      <w:lvlJc w:val="left"/>
      <w:pPr>
        <w:tabs>
          <w:tab w:val="num" w:pos="1080"/>
        </w:tabs>
        <w:ind w:left="1080" w:hanging="360"/>
      </w:pPr>
    </w:lvl>
  </w:abstractNum>
  <w:abstractNum w:abstractNumId="4">
    <w:nsid w:val="FFFFFF7F"/>
    <w:multiLevelType w:val="singleLevel"/>
    <w:tmpl w:val="B21EA4C6"/>
    <w:lvl w:ilvl="0">
      <w:start w:val="1"/>
      <w:numFmt w:val="decimal"/>
      <w:lvlText w:val="%1."/>
      <w:lvlJc w:val="left"/>
      <w:pPr>
        <w:tabs>
          <w:tab w:val="num" w:pos="720"/>
        </w:tabs>
        <w:ind w:left="720" w:hanging="360"/>
      </w:pPr>
    </w:lvl>
  </w:abstractNum>
  <w:abstractNum w:abstractNumId="5">
    <w:nsid w:val="FFFFFF80"/>
    <w:multiLevelType w:val="singleLevel"/>
    <w:tmpl w:val="E93C630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696C1D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E0233A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D70FBF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740941A"/>
    <w:lvl w:ilvl="0">
      <w:start w:val="1"/>
      <w:numFmt w:val="decimal"/>
      <w:lvlText w:val="%1."/>
      <w:lvlJc w:val="left"/>
      <w:pPr>
        <w:tabs>
          <w:tab w:val="num" w:pos="360"/>
        </w:tabs>
        <w:ind w:left="360" w:hanging="360"/>
      </w:pPr>
    </w:lvl>
  </w:abstractNum>
  <w:abstractNum w:abstractNumId="10">
    <w:nsid w:val="FFFFFF89"/>
    <w:multiLevelType w:val="singleLevel"/>
    <w:tmpl w:val="DF2E7FEE"/>
    <w:lvl w:ilvl="0">
      <w:start w:val="1"/>
      <w:numFmt w:val="bullet"/>
      <w:lvlText w:val=""/>
      <w:lvlJc w:val="left"/>
      <w:pPr>
        <w:tabs>
          <w:tab w:val="num" w:pos="1080"/>
        </w:tabs>
        <w:ind w:left="1080" w:hanging="360"/>
      </w:pPr>
      <w:rPr>
        <w:rFonts w:ascii="Symbol" w:hAnsi="Symbol" w:hint="default"/>
      </w:rPr>
    </w:lvl>
  </w:abstractNum>
  <w:abstractNum w:abstractNumId="11">
    <w:nsid w:val="00000003"/>
    <w:multiLevelType w:val="multilevel"/>
    <w:tmpl w:val="00000000"/>
    <w:lvl w:ilvl="0">
      <w:start w:val="1"/>
      <w:numFmt w:val="lowerLetter"/>
      <w:lvlText w:val="%1"/>
      <w:lvlJc w:val="left"/>
    </w:lvl>
    <w:lvl w:ilvl="1">
      <w:start w:val="1"/>
      <w:numFmt w:val="upperLetter"/>
      <w:pStyle w:val="Level2"/>
      <w:lvlText w:val="%2."/>
      <w:lvlJc w:val="left"/>
      <w:pPr>
        <w:tabs>
          <w:tab w:val="num" w:pos="2160"/>
        </w:tabs>
        <w:ind w:left="2160" w:hanging="720"/>
      </w:p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3">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4">
    <w:nsid w:val="22D45727"/>
    <w:multiLevelType w:val="hybridMultilevel"/>
    <w:tmpl w:val="715E8EB4"/>
    <w:lvl w:ilvl="0" w:tplc="A5961C2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8291B"/>
    <w:multiLevelType w:val="multilevel"/>
    <w:tmpl w:val="7D5E04F0"/>
    <w:styleLink w:val="briefnumbertabspots"/>
    <w:lvl w:ilvl="0">
      <w:start w:val="1"/>
      <w:numFmt w:val="decimal"/>
      <w:lvlText w:val="%1"/>
      <w:lvlJc w:val="left"/>
      <w:pPr>
        <w:tabs>
          <w:tab w:val="num" w:pos="720"/>
        </w:tabs>
        <w:ind w:left="720" w:hanging="1440"/>
      </w:pPr>
      <w:rPr>
        <w:rFonts w:ascii="Palatino Linotype" w:hAnsi="Palatino Linotype"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BA7525"/>
    <w:multiLevelType w:val="hybridMultilevel"/>
    <w:tmpl w:val="79682AA0"/>
    <w:lvl w:ilvl="0" w:tplc="42504250">
      <w:start w:val="5"/>
      <w:numFmt w:val="decimal"/>
      <w:pStyle w:val="StyleWUTCParagraphRight-013"/>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78340AF"/>
    <w:multiLevelType w:val="hybridMultilevel"/>
    <w:tmpl w:val="9986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D4783"/>
    <w:multiLevelType w:val="hybridMultilevel"/>
    <w:tmpl w:val="3D70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572249"/>
    <w:multiLevelType w:val="hybridMultilevel"/>
    <w:tmpl w:val="23248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92A35"/>
    <w:multiLevelType w:val="multilevel"/>
    <w:tmpl w:val="6D62A2A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8931D5B"/>
    <w:multiLevelType w:val="hybridMultilevel"/>
    <w:tmpl w:val="E5300E7C"/>
    <w:lvl w:ilvl="0" w:tplc="2A7E926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8612BC"/>
    <w:multiLevelType w:val="hybridMultilevel"/>
    <w:tmpl w:val="EA1017D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3"/>
  </w:num>
  <w:num w:numId="3">
    <w:abstractNumId w:val="13"/>
  </w:num>
  <w:num w:numId="4">
    <w:abstractNumId w:val="22"/>
  </w:num>
  <w:num w:numId="5">
    <w:abstractNumId w:val="13"/>
  </w:num>
  <w:num w:numId="6">
    <w:abstractNumId w:val="12"/>
  </w:num>
  <w:num w:numId="7">
    <w:abstractNumId w:val="10"/>
  </w:num>
  <w:num w:numId="8">
    <w:abstractNumId w:val="23"/>
  </w:num>
  <w:num w:numId="9">
    <w:abstractNumId w:val="16"/>
  </w:num>
  <w:num w:numId="10">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4"/>
  </w:num>
  <w:num w:numId="21">
    <w:abstractNumId w:val="15"/>
  </w:num>
  <w:num w:numId="22">
    <w:abstractNumId w:val="18"/>
  </w:num>
  <w:num w:numId="23">
    <w:abstractNumId w:val="0"/>
  </w:num>
  <w:num w:numId="24">
    <w:abstractNumId w:val="21"/>
  </w:num>
  <w:num w:numId="25">
    <w:abstractNumId w:val="19"/>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FA"/>
    <w:rsid w:val="000005D9"/>
    <w:rsid w:val="00000714"/>
    <w:rsid w:val="000008C9"/>
    <w:rsid w:val="00000AF0"/>
    <w:rsid w:val="0000126C"/>
    <w:rsid w:val="000012F0"/>
    <w:rsid w:val="000023DE"/>
    <w:rsid w:val="000025B7"/>
    <w:rsid w:val="00002FEE"/>
    <w:rsid w:val="0000324F"/>
    <w:rsid w:val="00003274"/>
    <w:rsid w:val="00004508"/>
    <w:rsid w:val="00004D1D"/>
    <w:rsid w:val="00005875"/>
    <w:rsid w:val="00005907"/>
    <w:rsid w:val="000060BF"/>
    <w:rsid w:val="00006873"/>
    <w:rsid w:val="00010940"/>
    <w:rsid w:val="00010FB3"/>
    <w:rsid w:val="0001240E"/>
    <w:rsid w:val="000124F2"/>
    <w:rsid w:val="00012B0C"/>
    <w:rsid w:val="000140F7"/>
    <w:rsid w:val="0001443A"/>
    <w:rsid w:val="00014755"/>
    <w:rsid w:val="00014B47"/>
    <w:rsid w:val="00016591"/>
    <w:rsid w:val="00017BE6"/>
    <w:rsid w:val="00020388"/>
    <w:rsid w:val="00020742"/>
    <w:rsid w:val="000207A4"/>
    <w:rsid w:val="00021069"/>
    <w:rsid w:val="0002113C"/>
    <w:rsid w:val="00021227"/>
    <w:rsid w:val="00021AF3"/>
    <w:rsid w:val="00022070"/>
    <w:rsid w:val="000221A9"/>
    <w:rsid w:val="00022763"/>
    <w:rsid w:val="000227F8"/>
    <w:rsid w:val="00022F27"/>
    <w:rsid w:val="000231FF"/>
    <w:rsid w:val="000232AA"/>
    <w:rsid w:val="00023B5B"/>
    <w:rsid w:val="000250EB"/>
    <w:rsid w:val="00026600"/>
    <w:rsid w:val="00026940"/>
    <w:rsid w:val="00027E67"/>
    <w:rsid w:val="00030339"/>
    <w:rsid w:val="000305DA"/>
    <w:rsid w:val="00030649"/>
    <w:rsid w:val="00036B34"/>
    <w:rsid w:val="00037462"/>
    <w:rsid w:val="0003759C"/>
    <w:rsid w:val="000375E1"/>
    <w:rsid w:val="000376B0"/>
    <w:rsid w:val="0004003E"/>
    <w:rsid w:val="000401D6"/>
    <w:rsid w:val="00040A18"/>
    <w:rsid w:val="000412E0"/>
    <w:rsid w:val="00041D0F"/>
    <w:rsid w:val="000421CF"/>
    <w:rsid w:val="00043BE5"/>
    <w:rsid w:val="0004439C"/>
    <w:rsid w:val="00046808"/>
    <w:rsid w:val="00047326"/>
    <w:rsid w:val="0004788D"/>
    <w:rsid w:val="00050CA4"/>
    <w:rsid w:val="00050D4E"/>
    <w:rsid w:val="00051EF2"/>
    <w:rsid w:val="00052608"/>
    <w:rsid w:val="00053481"/>
    <w:rsid w:val="00053A39"/>
    <w:rsid w:val="00053E7D"/>
    <w:rsid w:val="000543A8"/>
    <w:rsid w:val="00054666"/>
    <w:rsid w:val="000550A8"/>
    <w:rsid w:val="0005512F"/>
    <w:rsid w:val="000557EB"/>
    <w:rsid w:val="00055878"/>
    <w:rsid w:val="00056150"/>
    <w:rsid w:val="00056583"/>
    <w:rsid w:val="00057218"/>
    <w:rsid w:val="0005776F"/>
    <w:rsid w:val="00057D27"/>
    <w:rsid w:val="00060184"/>
    <w:rsid w:val="00060E08"/>
    <w:rsid w:val="000627FD"/>
    <w:rsid w:val="00063700"/>
    <w:rsid w:val="0006392D"/>
    <w:rsid w:val="00064F26"/>
    <w:rsid w:val="00065A13"/>
    <w:rsid w:val="00065F4F"/>
    <w:rsid w:val="000662B4"/>
    <w:rsid w:val="00066C8D"/>
    <w:rsid w:val="00067778"/>
    <w:rsid w:val="00070930"/>
    <w:rsid w:val="00070A9B"/>
    <w:rsid w:val="00070D20"/>
    <w:rsid w:val="00070ED6"/>
    <w:rsid w:val="000716E0"/>
    <w:rsid w:val="00071EE0"/>
    <w:rsid w:val="00072363"/>
    <w:rsid w:val="00072E9B"/>
    <w:rsid w:val="000731E5"/>
    <w:rsid w:val="00073489"/>
    <w:rsid w:val="00074592"/>
    <w:rsid w:val="00075C16"/>
    <w:rsid w:val="00075DE6"/>
    <w:rsid w:val="00075FDF"/>
    <w:rsid w:val="00076FAA"/>
    <w:rsid w:val="00077B94"/>
    <w:rsid w:val="000804AE"/>
    <w:rsid w:val="00080823"/>
    <w:rsid w:val="00080A8A"/>
    <w:rsid w:val="00081B33"/>
    <w:rsid w:val="00081BE7"/>
    <w:rsid w:val="000820D6"/>
    <w:rsid w:val="000823DC"/>
    <w:rsid w:val="00082ABB"/>
    <w:rsid w:val="000832C5"/>
    <w:rsid w:val="000838F6"/>
    <w:rsid w:val="00084ED6"/>
    <w:rsid w:val="00085D24"/>
    <w:rsid w:val="0008610A"/>
    <w:rsid w:val="00086516"/>
    <w:rsid w:val="00087317"/>
    <w:rsid w:val="0008797B"/>
    <w:rsid w:val="00090368"/>
    <w:rsid w:val="00090B63"/>
    <w:rsid w:val="00091FBB"/>
    <w:rsid w:val="000927B8"/>
    <w:rsid w:val="00092CBB"/>
    <w:rsid w:val="000944B0"/>
    <w:rsid w:val="00094AA7"/>
    <w:rsid w:val="0009522F"/>
    <w:rsid w:val="00097E03"/>
    <w:rsid w:val="000A0433"/>
    <w:rsid w:val="000A0C38"/>
    <w:rsid w:val="000A1CF0"/>
    <w:rsid w:val="000A3029"/>
    <w:rsid w:val="000A37F1"/>
    <w:rsid w:val="000A4B56"/>
    <w:rsid w:val="000A5600"/>
    <w:rsid w:val="000A5C35"/>
    <w:rsid w:val="000A6A54"/>
    <w:rsid w:val="000A7F9E"/>
    <w:rsid w:val="000B00CE"/>
    <w:rsid w:val="000B08AF"/>
    <w:rsid w:val="000B0B32"/>
    <w:rsid w:val="000B0C83"/>
    <w:rsid w:val="000B0D9D"/>
    <w:rsid w:val="000B100D"/>
    <w:rsid w:val="000B1874"/>
    <w:rsid w:val="000B2B57"/>
    <w:rsid w:val="000B34F5"/>
    <w:rsid w:val="000B3B21"/>
    <w:rsid w:val="000B403B"/>
    <w:rsid w:val="000B53A9"/>
    <w:rsid w:val="000B5447"/>
    <w:rsid w:val="000B6DA2"/>
    <w:rsid w:val="000B700C"/>
    <w:rsid w:val="000B7643"/>
    <w:rsid w:val="000B7BC0"/>
    <w:rsid w:val="000B7F74"/>
    <w:rsid w:val="000C04CC"/>
    <w:rsid w:val="000C0DB6"/>
    <w:rsid w:val="000C103E"/>
    <w:rsid w:val="000C1F46"/>
    <w:rsid w:val="000C2374"/>
    <w:rsid w:val="000C311A"/>
    <w:rsid w:val="000C33A4"/>
    <w:rsid w:val="000C35A6"/>
    <w:rsid w:val="000C4226"/>
    <w:rsid w:val="000C4B4D"/>
    <w:rsid w:val="000C5025"/>
    <w:rsid w:val="000C53D0"/>
    <w:rsid w:val="000C54DB"/>
    <w:rsid w:val="000C554B"/>
    <w:rsid w:val="000C6B01"/>
    <w:rsid w:val="000C71B8"/>
    <w:rsid w:val="000C76F4"/>
    <w:rsid w:val="000C77A4"/>
    <w:rsid w:val="000C7B4F"/>
    <w:rsid w:val="000D006C"/>
    <w:rsid w:val="000D0635"/>
    <w:rsid w:val="000D0D99"/>
    <w:rsid w:val="000D1532"/>
    <w:rsid w:val="000D2D96"/>
    <w:rsid w:val="000D4635"/>
    <w:rsid w:val="000D58B6"/>
    <w:rsid w:val="000D6257"/>
    <w:rsid w:val="000D722A"/>
    <w:rsid w:val="000D722D"/>
    <w:rsid w:val="000D79CA"/>
    <w:rsid w:val="000D7BF5"/>
    <w:rsid w:val="000E17BE"/>
    <w:rsid w:val="000E1889"/>
    <w:rsid w:val="000E2893"/>
    <w:rsid w:val="000E2F26"/>
    <w:rsid w:val="000E379E"/>
    <w:rsid w:val="000E3A90"/>
    <w:rsid w:val="000E44B3"/>
    <w:rsid w:val="000E49C9"/>
    <w:rsid w:val="000E4A94"/>
    <w:rsid w:val="000E5C32"/>
    <w:rsid w:val="000E6974"/>
    <w:rsid w:val="000E6BA2"/>
    <w:rsid w:val="000E6D28"/>
    <w:rsid w:val="000F0006"/>
    <w:rsid w:val="000F1288"/>
    <w:rsid w:val="000F17DE"/>
    <w:rsid w:val="000F184A"/>
    <w:rsid w:val="000F1D65"/>
    <w:rsid w:val="000F1D96"/>
    <w:rsid w:val="000F1ED7"/>
    <w:rsid w:val="000F4120"/>
    <w:rsid w:val="000F5FAC"/>
    <w:rsid w:val="000F6623"/>
    <w:rsid w:val="000F6EF6"/>
    <w:rsid w:val="000F736E"/>
    <w:rsid w:val="001005EC"/>
    <w:rsid w:val="001018CF"/>
    <w:rsid w:val="00102B7A"/>
    <w:rsid w:val="00102D13"/>
    <w:rsid w:val="001031EA"/>
    <w:rsid w:val="001031EC"/>
    <w:rsid w:val="00103F83"/>
    <w:rsid w:val="00105F99"/>
    <w:rsid w:val="00107E30"/>
    <w:rsid w:val="0011024A"/>
    <w:rsid w:val="00111082"/>
    <w:rsid w:val="00111480"/>
    <w:rsid w:val="00112778"/>
    <w:rsid w:val="00112DF8"/>
    <w:rsid w:val="001134F4"/>
    <w:rsid w:val="001138B8"/>
    <w:rsid w:val="001140FB"/>
    <w:rsid w:val="001144CE"/>
    <w:rsid w:val="00114A2C"/>
    <w:rsid w:val="00114AEA"/>
    <w:rsid w:val="00114BF2"/>
    <w:rsid w:val="00114C79"/>
    <w:rsid w:val="001159E1"/>
    <w:rsid w:val="001204BB"/>
    <w:rsid w:val="001215F2"/>
    <w:rsid w:val="001217D5"/>
    <w:rsid w:val="00121EC4"/>
    <w:rsid w:val="001230D1"/>
    <w:rsid w:val="001233BA"/>
    <w:rsid w:val="001250AD"/>
    <w:rsid w:val="00125195"/>
    <w:rsid w:val="0012607F"/>
    <w:rsid w:val="00130014"/>
    <w:rsid w:val="00130310"/>
    <w:rsid w:val="001310BE"/>
    <w:rsid w:val="0013130F"/>
    <w:rsid w:val="001318ED"/>
    <w:rsid w:val="00131D83"/>
    <w:rsid w:val="0013231C"/>
    <w:rsid w:val="00132590"/>
    <w:rsid w:val="00133D0D"/>
    <w:rsid w:val="001348B1"/>
    <w:rsid w:val="001349B5"/>
    <w:rsid w:val="00134F0C"/>
    <w:rsid w:val="001353DA"/>
    <w:rsid w:val="001355E7"/>
    <w:rsid w:val="00135974"/>
    <w:rsid w:val="00135B25"/>
    <w:rsid w:val="00135C11"/>
    <w:rsid w:val="00135C14"/>
    <w:rsid w:val="0013740D"/>
    <w:rsid w:val="0014006E"/>
    <w:rsid w:val="0014028F"/>
    <w:rsid w:val="00141494"/>
    <w:rsid w:val="001418C4"/>
    <w:rsid w:val="00141F02"/>
    <w:rsid w:val="00142F3F"/>
    <w:rsid w:val="00143E31"/>
    <w:rsid w:val="00144762"/>
    <w:rsid w:val="00144B64"/>
    <w:rsid w:val="001456A3"/>
    <w:rsid w:val="0014582D"/>
    <w:rsid w:val="00147B0E"/>
    <w:rsid w:val="00147D7E"/>
    <w:rsid w:val="00147E77"/>
    <w:rsid w:val="001504F5"/>
    <w:rsid w:val="00150820"/>
    <w:rsid w:val="0015158A"/>
    <w:rsid w:val="001520B2"/>
    <w:rsid w:val="0015222A"/>
    <w:rsid w:val="00153AF6"/>
    <w:rsid w:val="001543EF"/>
    <w:rsid w:val="0015484B"/>
    <w:rsid w:val="00154AB5"/>
    <w:rsid w:val="00154F43"/>
    <w:rsid w:val="001556D6"/>
    <w:rsid w:val="00155739"/>
    <w:rsid w:val="00155891"/>
    <w:rsid w:val="00155BDF"/>
    <w:rsid w:val="00156598"/>
    <w:rsid w:val="001603CD"/>
    <w:rsid w:val="001606A4"/>
    <w:rsid w:val="0016082E"/>
    <w:rsid w:val="00160AAE"/>
    <w:rsid w:val="00162079"/>
    <w:rsid w:val="00162283"/>
    <w:rsid w:val="00162584"/>
    <w:rsid w:val="001633C3"/>
    <w:rsid w:val="0016398E"/>
    <w:rsid w:val="00165508"/>
    <w:rsid w:val="001667C7"/>
    <w:rsid w:val="00166BEC"/>
    <w:rsid w:val="001705EC"/>
    <w:rsid w:val="00170C2A"/>
    <w:rsid w:val="00171273"/>
    <w:rsid w:val="0017295D"/>
    <w:rsid w:val="001740D7"/>
    <w:rsid w:val="001741D5"/>
    <w:rsid w:val="00174486"/>
    <w:rsid w:val="001745D7"/>
    <w:rsid w:val="00174DC2"/>
    <w:rsid w:val="00175829"/>
    <w:rsid w:val="00176531"/>
    <w:rsid w:val="00176BD8"/>
    <w:rsid w:val="00177F34"/>
    <w:rsid w:val="0018054C"/>
    <w:rsid w:val="0018099B"/>
    <w:rsid w:val="001819C4"/>
    <w:rsid w:val="00181CCA"/>
    <w:rsid w:val="00182CE5"/>
    <w:rsid w:val="00183850"/>
    <w:rsid w:val="00184198"/>
    <w:rsid w:val="001871DC"/>
    <w:rsid w:val="00187807"/>
    <w:rsid w:val="001900DD"/>
    <w:rsid w:val="001903D3"/>
    <w:rsid w:val="00190448"/>
    <w:rsid w:val="00190942"/>
    <w:rsid w:val="00190F99"/>
    <w:rsid w:val="00190FB8"/>
    <w:rsid w:val="00190FD4"/>
    <w:rsid w:val="00192701"/>
    <w:rsid w:val="00192DBB"/>
    <w:rsid w:val="00194E3A"/>
    <w:rsid w:val="00195739"/>
    <w:rsid w:val="0019577A"/>
    <w:rsid w:val="00195F13"/>
    <w:rsid w:val="001962CE"/>
    <w:rsid w:val="00196673"/>
    <w:rsid w:val="00197132"/>
    <w:rsid w:val="00197BD3"/>
    <w:rsid w:val="00197CDF"/>
    <w:rsid w:val="001A05D1"/>
    <w:rsid w:val="001A1036"/>
    <w:rsid w:val="001A13A1"/>
    <w:rsid w:val="001A2061"/>
    <w:rsid w:val="001A2722"/>
    <w:rsid w:val="001A2E77"/>
    <w:rsid w:val="001A3CA0"/>
    <w:rsid w:val="001A4DAC"/>
    <w:rsid w:val="001A5120"/>
    <w:rsid w:val="001A5E07"/>
    <w:rsid w:val="001A60E8"/>
    <w:rsid w:val="001A6667"/>
    <w:rsid w:val="001A67E0"/>
    <w:rsid w:val="001B02B3"/>
    <w:rsid w:val="001B0BA0"/>
    <w:rsid w:val="001B162B"/>
    <w:rsid w:val="001B1916"/>
    <w:rsid w:val="001B3903"/>
    <w:rsid w:val="001B4936"/>
    <w:rsid w:val="001B55E5"/>
    <w:rsid w:val="001B72DC"/>
    <w:rsid w:val="001B79A4"/>
    <w:rsid w:val="001C0983"/>
    <w:rsid w:val="001C0C8E"/>
    <w:rsid w:val="001C0EED"/>
    <w:rsid w:val="001C2587"/>
    <w:rsid w:val="001C3283"/>
    <w:rsid w:val="001C32D3"/>
    <w:rsid w:val="001C35BD"/>
    <w:rsid w:val="001C3738"/>
    <w:rsid w:val="001C389B"/>
    <w:rsid w:val="001C447B"/>
    <w:rsid w:val="001C45F9"/>
    <w:rsid w:val="001C4FC1"/>
    <w:rsid w:val="001C55E1"/>
    <w:rsid w:val="001C604A"/>
    <w:rsid w:val="001C6644"/>
    <w:rsid w:val="001C6A78"/>
    <w:rsid w:val="001C7C20"/>
    <w:rsid w:val="001D08C4"/>
    <w:rsid w:val="001D0AE6"/>
    <w:rsid w:val="001D1782"/>
    <w:rsid w:val="001D1F66"/>
    <w:rsid w:val="001D3DC9"/>
    <w:rsid w:val="001D3E5D"/>
    <w:rsid w:val="001D4730"/>
    <w:rsid w:val="001D4A8D"/>
    <w:rsid w:val="001D4B8D"/>
    <w:rsid w:val="001D4BC3"/>
    <w:rsid w:val="001D654F"/>
    <w:rsid w:val="001D68D8"/>
    <w:rsid w:val="001E0107"/>
    <w:rsid w:val="001E0F90"/>
    <w:rsid w:val="001E170A"/>
    <w:rsid w:val="001E2624"/>
    <w:rsid w:val="001E268E"/>
    <w:rsid w:val="001E33A0"/>
    <w:rsid w:val="001E3CB3"/>
    <w:rsid w:val="001E49DB"/>
    <w:rsid w:val="001E535A"/>
    <w:rsid w:val="001E644B"/>
    <w:rsid w:val="001E6F09"/>
    <w:rsid w:val="001E7531"/>
    <w:rsid w:val="001F00E4"/>
    <w:rsid w:val="001F0F57"/>
    <w:rsid w:val="001F1710"/>
    <w:rsid w:val="001F17A8"/>
    <w:rsid w:val="001F2244"/>
    <w:rsid w:val="001F2494"/>
    <w:rsid w:val="001F25DB"/>
    <w:rsid w:val="001F25E7"/>
    <w:rsid w:val="001F2EBC"/>
    <w:rsid w:val="001F32BE"/>
    <w:rsid w:val="001F377E"/>
    <w:rsid w:val="001F4AEF"/>
    <w:rsid w:val="001F4C02"/>
    <w:rsid w:val="001F51A6"/>
    <w:rsid w:val="001F6665"/>
    <w:rsid w:val="001F6B07"/>
    <w:rsid w:val="001F721F"/>
    <w:rsid w:val="00200684"/>
    <w:rsid w:val="00200D81"/>
    <w:rsid w:val="00200EE5"/>
    <w:rsid w:val="00201005"/>
    <w:rsid w:val="00201EF9"/>
    <w:rsid w:val="00202074"/>
    <w:rsid w:val="00202171"/>
    <w:rsid w:val="00202598"/>
    <w:rsid w:val="002028B0"/>
    <w:rsid w:val="00203CE8"/>
    <w:rsid w:val="00204216"/>
    <w:rsid w:val="00204471"/>
    <w:rsid w:val="002044D1"/>
    <w:rsid w:val="0020475F"/>
    <w:rsid w:val="00205AB1"/>
    <w:rsid w:val="00205C86"/>
    <w:rsid w:val="00206469"/>
    <w:rsid w:val="002064DC"/>
    <w:rsid w:val="00210692"/>
    <w:rsid w:val="00210B7F"/>
    <w:rsid w:val="00211D70"/>
    <w:rsid w:val="0021201C"/>
    <w:rsid w:val="002124E2"/>
    <w:rsid w:val="00212C35"/>
    <w:rsid w:val="0021368E"/>
    <w:rsid w:val="00213910"/>
    <w:rsid w:val="00214F69"/>
    <w:rsid w:val="0021511A"/>
    <w:rsid w:val="0021528F"/>
    <w:rsid w:val="00215EDE"/>
    <w:rsid w:val="00215F71"/>
    <w:rsid w:val="00217610"/>
    <w:rsid w:val="002203A7"/>
    <w:rsid w:val="00220E67"/>
    <w:rsid w:val="0022197C"/>
    <w:rsid w:val="00221B69"/>
    <w:rsid w:val="00222EBC"/>
    <w:rsid w:val="00223F18"/>
    <w:rsid w:val="00225181"/>
    <w:rsid w:val="00225337"/>
    <w:rsid w:val="0022552F"/>
    <w:rsid w:val="002258DE"/>
    <w:rsid w:val="00226234"/>
    <w:rsid w:val="00226671"/>
    <w:rsid w:val="0023037A"/>
    <w:rsid w:val="00230F0B"/>
    <w:rsid w:val="00231558"/>
    <w:rsid w:val="002326C0"/>
    <w:rsid w:val="002335DF"/>
    <w:rsid w:val="00235232"/>
    <w:rsid w:val="002355B5"/>
    <w:rsid w:val="00235BA7"/>
    <w:rsid w:val="00236041"/>
    <w:rsid w:val="0023651A"/>
    <w:rsid w:val="00240486"/>
    <w:rsid w:val="0024077B"/>
    <w:rsid w:val="00242673"/>
    <w:rsid w:val="00242DDA"/>
    <w:rsid w:val="0024398A"/>
    <w:rsid w:val="002440A7"/>
    <w:rsid w:val="00244C66"/>
    <w:rsid w:val="00245901"/>
    <w:rsid w:val="00245940"/>
    <w:rsid w:val="002467D6"/>
    <w:rsid w:val="00251C47"/>
    <w:rsid w:val="00254D1D"/>
    <w:rsid w:val="00256037"/>
    <w:rsid w:val="00256088"/>
    <w:rsid w:val="00256421"/>
    <w:rsid w:val="00256DA4"/>
    <w:rsid w:val="00257DE5"/>
    <w:rsid w:val="00260CCD"/>
    <w:rsid w:val="00261D52"/>
    <w:rsid w:val="00262DB6"/>
    <w:rsid w:val="00263501"/>
    <w:rsid w:val="0026469D"/>
    <w:rsid w:val="00265064"/>
    <w:rsid w:val="0026581D"/>
    <w:rsid w:val="002660C0"/>
    <w:rsid w:val="0026757F"/>
    <w:rsid w:val="00267A54"/>
    <w:rsid w:val="00267BF5"/>
    <w:rsid w:val="00271051"/>
    <w:rsid w:val="002710EE"/>
    <w:rsid w:val="00271D92"/>
    <w:rsid w:val="0027272A"/>
    <w:rsid w:val="00272B9F"/>
    <w:rsid w:val="00272EB5"/>
    <w:rsid w:val="002733E3"/>
    <w:rsid w:val="00273A7D"/>
    <w:rsid w:val="0027457C"/>
    <w:rsid w:val="00274631"/>
    <w:rsid w:val="002748BA"/>
    <w:rsid w:val="0027549C"/>
    <w:rsid w:val="0027553A"/>
    <w:rsid w:val="00277F0D"/>
    <w:rsid w:val="00280A96"/>
    <w:rsid w:val="00281AED"/>
    <w:rsid w:val="00281E6A"/>
    <w:rsid w:val="00281FCC"/>
    <w:rsid w:val="0028293C"/>
    <w:rsid w:val="0028360C"/>
    <w:rsid w:val="00283612"/>
    <w:rsid w:val="002838FA"/>
    <w:rsid w:val="00285065"/>
    <w:rsid w:val="00285122"/>
    <w:rsid w:val="00287E01"/>
    <w:rsid w:val="00290E8C"/>
    <w:rsid w:val="00290F4A"/>
    <w:rsid w:val="00291580"/>
    <w:rsid w:val="00291719"/>
    <w:rsid w:val="00291BC6"/>
    <w:rsid w:val="00291C88"/>
    <w:rsid w:val="00292555"/>
    <w:rsid w:val="002934B4"/>
    <w:rsid w:val="00294B28"/>
    <w:rsid w:val="0029525B"/>
    <w:rsid w:val="0029581A"/>
    <w:rsid w:val="0029701D"/>
    <w:rsid w:val="0029704C"/>
    <w:rsid w:val="00297506"/>
    <w:rsid w:val="002A1FB9"/>
    <w:rsid w:val="002A2AA0"/>
    <w:rsid w:val="002A3375"/>
    <w:rsid w:val="002A407F"/>
    <w:rsid w:val="002A4177"/>
    <w:rsid w:val="002A4A79"/>
    <w:rsid w:val="002A4B61"/>
    <w:rsid w:val="002A4CEA"/>
    <w:rsid w:val="002A4DE3"/>
    <w:rsid w:val="002A7033"/>
    <w:rsid w:val="002A77BF"/>
    <w:rsid w:val="002A7A30"/>
    <w:rsid w:val="002A7C6B"/>
    <w:rsid w:val="002B19E0"/>
    <w:rsid w:val="002B28D1"/>
    <w:rsid w:val="002B2CD1"/>
    <w:rsid w:val="002B33AA"/>
    <w:rsid w:val="002B4CC2"/>
    <w:rsid w:val="002B4E26"/>
    <w:rsid w:val="002B5031"/>
    <w:rsid w:val="002B5078"/>
    <w:rsid w:val="002B52C2"/>
    <w:rsid w:val="002B648B"/>
    <w:rsid w:val="002B64D4"/>
    <w:rsid w:val="002B6962"/>
    <w:rsid w:val="002B6AA2"/>
    <w:rsid w:val="002B707C"/>
    <w:rsid w:val="002B7785"/>
    <w:rsid w:val="002B7B1C"/>
    <w:rsid w:val="002C0050"/>
    <w:rsid w:val="002C08FE"/>
    <w:rsid w:val="002C09AD"/>
    <w:rsid w:val="002C11B3"/>
    <w:rsid w:val="002C16C1"/>
    <w:rsid w:val="002C1A18"/>
    <w:rsid w:val="002C1AF2"/>
    <w:rsid w:val="002C2257"/>
    <w:rsid w:val="002C24CD"/>
    <w:rsid w:val="002C2743"/>
    <w:rsid w:val="002C276E"/>
    <w:rsid w:val="002C3BD2"/>
    <w:rsid w:val="002C3FBE"/>
    <w:rsid w:val="002C456D"/>
    <w:rsid w:val="002C50B7"/>
    <w:rsid w:val="002C543F"/>
    <w:rsid w:val="002C5EA2"/>
    <w:rsid w:val="002C66E1"/>
    <w:rsid w:val="002C771C"/>
    <w:rsid w:val="002C77BB"/>
    <w:rsid w:val="002C7E8E"/>
    <w:rsid w:val="002C7ECD"/>
    <w:rsid w:val="002D04BC"/>
    <w:rsid w:val="002D0932"/>
    <w:rsid w:val="002D15A1"/>
    <w:rsid w:val="002D1CF3"/>
    <w:rsid w:val="002D3B58"/>
    <w:rsid w:val="002D3C5F"/>
    <w:rsid w:val="002D4841"/>
    <w:rsid w:val="002D5807"/>
    <w:rsid w:val="002D5C5F"/>
    <w:rsid w:val="002D6F55"/>
    <w:rsid w:val="002E0612"/>
    <w:rsid w:val="002E0B9E"/>
    <w:rsid w:val="002E1107"/>
    <w:rsid w:val="002E1995"/>
    <w:rsid w:val="002E1DA5"/>
    <w:rsid w:val="002E2082"/>
    <w:rsid w:val="002E323D"/>
    <w:rsid w:val="002E34A9"/>
    <w:rsid w:val="002E48EB"/>
    <w:rsid w:val="002E4DE9"/>
    <w:rsid w:val="002E5AD7"/>
    <w:rsid w:val="002E5CF0"/>
    <w:rsid w:val="002E6094"/>
    <w:rsid w:val="002E69E8"/>
    <w:rsid w:val="002E6E55"/>
    <w:rsid w:val="002E6E93"/>
    <w:rsid w:val="002E7C3B"/>
    <w:rsid w:val="002F01B0"/>
    <w:rsid w:val="002F0ABE"/>
    <w:rsid w:val="002F17CE"/>
    <w:rsid w:val="002F1930"/>
    <w:rsid w:val="002F1A23"/>
    <w:rsid w:val="002F3599"/>
    <w:rsid w:val="002F3A73"/>
    <w:rsid w:val="002F4A8E"/>
    <w:rsid w:val="002F5BA1"/>
    <w:rsid w:val="002F62FB"/>
    <w:rsid w:val="002F7141"/>
    <w:rsid w:val="002F7359"/>
    <w:rsid w:val="002F7436"/>
    <w:rsid w:val="002F7656"/>
    <w:rsid w:val="002F7EA2"/>
    <w:rsid w:val="00301388"/>
    <w:rsid w:val="00301A54"/>
    <w:rsid w:val="003026A3"/>
    <w:rsid w:val="003028B3"/>
    <w:rsid w:val="00303BF1"/>
    <w:rsid w:val="00303E08"/>
    <w:rsid w:val="003054FE"/>
    <w:rsid w:val="0030579E"/>
    <w:rsid w:val="00305F20"/>
    <w:rsid w:val="0030640E"/>
    <w:rsid w:val="0030653E"/>
    <w:rsid w:val="0030712E"/>
    <w:rsid w:val="0030750C"/>
    <w:rsid w:val="0031025C"/>
    <w:rsid w:val="003104D2"/>
    <w:rsid w:val="00310E9F"/>
    <w:rsid w:val="0031301E"/>
    <w:rsid w:val="003134AC"/>
    <w:rsid w:val="0031502F"/>
    <w:rsid w:val="00315205"/>
    <w:rsid w:val="00315638"/>
    <w:rsid w:val="00315B9B"/>
    <w:rsid w:val="00315CEE"/>
    <w:rsid w:val="00315E00"/>
    <w:rsid w:val="00315EDF"/>
    <w:rsid w:val="00316007"/>
    <w:rsid w:val="00316682"/>
    <w:rsid w:val="00317082"/>
    <w:rsid w:val="00317EDF"/>
    <w:rsid w:val="0032045E"/>
    <w:rsid w:val="00320ACD"/>
    <w:rsid w:val="00320EC6"/>
    <w:rsid w:val="00323075"/>
    <w:rsid w:val="003233ED"/>
    <w:rsid w:val="00323D7F"/>
    <w:rsid w:val="00323D9B"/>
    <w:rsid w:val="0032446E"/>
    <w:rsid w:val="003255C9"/>
    <w:rsid w:val="00325B96"/>
    <w:rsid w:val="00327531"/>
    <w:rsid w:val="00327CBB"/>
    <w:rsid w:val="00327E0A"/>
    <w:rsid w:val="003314C7"/>
    <w:rsid w:val="0033199A"/>
    <w:rsid w:val="0033319A"/>
    <w:rsid w:val="003331FB"/>
    <w:rsid w:val="00333246"/>
    <w:rsid w:val="00333439"/>
    <w:rsid w:val="003335A1"/>
    <w:rsid w:val="003342AE"/>
    <w:rsid w:val="003349C1"/>
    <w:rsid w:val="00335FE1"/>
    <w:rsid w:val="00336029"/>
    <w:rsid w:val="003363C3"/>
    <w:rsid w:val="003364F2"/>
    <w:rsid w:val="00336A1E"/>
    <w:rsid w:val="00340250"/>
    <w:rsid w:val="00340954"/>
    <w:rsid w:val="00340B18"/>
    <w:rsid w:val="00342470"/>
    <w:rsid w:val="00342E4C"/>
    <w:rsid w:val="003432C5"/>
    <w:rsid w:val="00343578"/>
    <w:rsid w:val="00345633"/>
    <w:rsid w:val="00345E1D"/>
    <w:rsid w:val="003464B5"/>
    <w:rsid w:val="00346866"/>
    <w:rsid w:val="003473FC"/>
    <w:rsid w:val="00347E79"/>
    <w:rsid w:val="00350067"/>
    <w:rsid w:val="00350A34"/>
    <w:rsid w:val="00350E47"/>
    <w:rsid w:val="00350F17"/>
    <w:rsid w:val="00351887"/>
    <w:rsid w:val="00351A41"/>
    <w:rsid w:val="00351D6D"/>
    <w:rsid w:val="003523D5"/>
    <w:rsid w:val="003536A2"/>
    <w:rsid w:val="00354A9D"/>
    <w:rsid w:val="0035682A"/>
    <w:rsid w:val="00356BB4"/>
    <w:rsid w:val="00356D33"/>
    <w:rsid w:val="00357236"/>
    <w:rsid w:val="00357521"/>
    <w:rsid w:val="0035760E"/>
    <w:rsid w:val="003576BC"/>
    <w:rsid w:val="00357A0B"/>
    <w:rsid w:val="00357C8D"/>
    <w:rsid w:val="0036070D"/>
    <w:rsid w:val="0036124C"/>
    <w:rsid w:val="00361E53"/>
    <w:rsid w:val="0036339B"/>
    <w:rsid w:val="0036454F"/>
    <w:rsid w:val="0036506D"/>
    <w:rsid w:val="00365F05"/>
    <w:rsid w:val="003661E2"/>
    <w:rsid w:val="00366791"/>
    <w:rsid w:val="003667BB"/>
    <w:rsid w:val="00366A10"/>
    <w:rsid w:val="00366C04"/>
    <w:rsid w:val="003670B4"/>
    <w:rsid w:val="00370459"/>
    <w:rsid w:val="0037053D"/>
    <w:rsid w:val="00371717"/>
    <w:rsid w:val="00371B16"/>
    <w:rsid w:val="003727E1"/>
    <w:rsid w:val="00372A86"/>
    <w:rsid w:val="00373817"/>
    <w:rsid w:val="003741C5"/>
    <w:rsid w:val="00374A1E"/>
    <w:rsid w:val="0037770E"/>
    <w:rsid w:val="00380119"/>
    <w:rsid w:val="00380357"/>
    <w:rsid w:val="0038079B"/>
    <w:rsid w:val="003810F5"/>
    <w:rsid w:val="00381475"/>
    <w:rsid w:val="00381D49"/>
    <w:rsid w:val="00382294"/>
    <w:rsid w:val="00382DDA"/>
    <w:rsid w:val="00385D6B"/>
    <w:rsid w:val="00385D7B"/>
    <w:rsid w:val="00385DF5"/>
    <w:rsid w:val="00386467"/>
    <w:rsid w:val="00386701"/>
    <w:rsid w:val="003875F8"/>
    <w:rsid w:val="003908AA"/>
    <w:rsid w:val="003930EA"/>
    <w:rsid w:val="0039453F"/>
    <w:rsid w:val="00394A47"/>
    <w:rsid w:val="00395BE1"/>
    <w:rsid w:val="00395E1D"/>
    <w:rsid w:val="00396950"/>
    <w:rsid w:val="00396ECC"/>
    <w:rsid w:val="00396F1F"/>
    <w:rsid w:val="003973FC"/>
    <w:rsid w:val="003A0674"/>
    <w:rsid w:val="003A0FB9"/>
    <w:rsid w:val="003A30F2"/>
    <w:rsid w:val="003A3CA1"/>
    <w:rsid w:val="003A4A69"/>
    <w:rsid w:val="003A4D77"/>
    <w:rsid w:val="003A4FBC"/>
    <w:rsid w:val="003A5636"/>
    <w:rsid w:val="003A5F39"/>
    <w:rsid w:val="003B1F02"/>
    <w:rsid w:val="003B2005"/>
    <w:rsid w:val="003B3646"/>
    <w:rsid w:val="003B3E56"/>
    <w:rsid w:val="003B4034"/>
    <w:rsid w:val="003B454A"/>
    <w:rsid w:val="003B5762"/>
    <w:rsid w:val="003B6318"/>
    <w:rsid w:val="003B642A"/>
    <w:rsid w:val="003B66C8"/>
    <w:rsid w:val="003B701D"/>
    <w:rsid w:val="003B73E0"/>
    <w:rsid w:val="003B7BE2"/>
    <w:rsid w:val="003B7CCA"/>
    <w:rsid w:val="003C075C"/>
    <w:rsid w:val="003C0D4A"/>
    <w:rsid w:val="003C112F"/>
    <w:rsid w:val="003C2D80"/>
    <w:rsid w:val="003C37B6"/>
    <w:rsid w:val="003C3BA2"/>
    <w:rsid w:val="003C3E80"/>
    <w:rsid w:val="003C429F"/>
    <w:rsid w:val="003C4609"/>
    <w:rsid w:val="003C6AAC"/>
    <w:rsid w:val="003C6DBB"/>
    <w:rsid w:val="003C7B18"/>
    <w:rsid w:val="003D0011"/>
    <w:rsid w:val="003D07C9"/>
    <w:rsid w:val="003D13C4"/>
    <w:rsid w:val="003D2090"/>
    <w:rsid w:val="003D2636"/>
    <w:rsid w:val="003D2D25"/>
    <w:rsid w:val="003D3C26"/>
    <w:rsid w:val="003D3EDB"/>
    <w:rsid w:val="003D4391"/>
    <w:rsid w:val="003D52D3"/>
    <w:rsid w:val="003D5545"/>
    <w:rsid w:val="003D60EC"/>
    <w:rsid w:val="003D7222"/>
    <w:rsid w:val="003D7D7D"/>
    <w:rsid w:val="003E048D"/>
    <w:rsid w:val="003E1205"/>
    <w:rsid w:val="003E12B7"/>
    <w:rsid w:val="003E1EA8"/>
    <w:rsid w:val="003E26C1"/>
    <w:rsid w:val="003E2B85"/>
    <w:rsid w:val="003E2F44"/>
    <w:rsid w:val="003E3281"/>
    <w:rsid w:val="003E334B"/>
    <w:rsid w:val="003E4374"/>
    <w:rsid w:val="003E4ADF"/>
    <w:rsid w:val="003E5C26"/>
    <w:rsid w:val="003E72FA"/>
    <w:rsid w:val="003F1124"/>
    <w:rsid w:val="003F1412"/>
    <w:rsid w:val="003F194B"/>
    <w:rsid w:val="003F290F"/>
    <w:rsid w:val="003F37F4"/>
    <w:rsid w:val="003F3E21"/>
    <w:rsid w:val="003F400E"/>
    <w:rsid w:val="003F43B1"/>
    <w:rsid w:val="003F6C6C"/>
    <w:rsid w:val="003F7275"/>
    <w:rsid w:val="003F73CD"/>
    <w:rsid w:val="003F7419"/>
    <w:rsid w:val="003F79E3"/>
    <w:rsid w:val="004001C3"/>
    <w:rsid w:val="00400229"/>
    <w:rsid w:val="0040090A"/>
    <w:rsid w:val="00400953"/>
    <w:rsid w:val="004009C2"/>
    <w:rsid w:val="0040134D"/>
    <w:rsid w:val="00401AC9"/>
    <w:rsid w:val="0040234D"/>
    <w:rsid w:val="004034FC"/>
    <w:rsid w:val="00405CD1"/>
    <w:rsid w:val="004061C6"/>
    <w:rsid w:val="00406538"/>
    <w:rsid w:val="00406EC9"/>
    <w:rsid w:val="0040704B"/>
    <w:rsid w:val="00407322"/>
    <w:rsid w:val="004076B5"/>
    <w:rsid w:val="00410E08"/>
    <w:rsid w:val="004127DA"/>
    <w:rsid w:val="00414703"/>
    <w:rsid w:val="00414B4C"/>
    <w:rsid w:val="00414E38"/>
    <w:rsid w:val="00415198"/>
    <w:rsid w:val="00415BFD"/>
    <w:rsid w:val="00415CAE"/>
    <w:rsid w:val="004211DA"/>
    <w:rsid w:val="0042121F"/>
    <w:rsid w:val="00421D4B"/>
    <w:rsid w:val="00421F0A"/>
    <w:rsid w:val="004223C6"/>
    <w:rsid w:val="00422497"/>
    <w:rsid w:val="004224C1"/>
    <w:rsid w:val="00423586"/>
    <w:rsid w:val="00424A10"/>
    <w:rsid w:val="00424D2A"/>
    <w:rsid w:val="00424FCB"/>
    <w:rsid w:val="00425423"/>
    <w:rsid w:val="00426EEC"/>
    <w:rsid w:val="0042782A"/>
    <w:rsid w:val="004304DD"/>
    <w:rsid w:val="00430B1E"/>
    <w:rsid w:val="00431590"/>
    <w:rsid w:val="00431A13"/>
    <w:rsid w:val="00432794"/>
    <w:rsid w:val="00433197"/>
    <w:rsid w:val="00433C9C"/>
    <w:rsid w:val="00433F30"/>
    <w:rsid w:val="00435580"/>
    <w:rsid w:val="00435A4C"/>
    <w:rsid w:val="00436005"/>
    <w:rsid w:val="00436D4E"/>
    <w:rsid w:val="00436DE0"/>
    <w:rsid w:val="00437EDF"/>
    <w:rsid w:val="00440D06"/>
    <w:rsid w:val="0044190B"/>
    <w:rsid w:val="00441A9C"/>
    <w:rsid w:val="00441CA4"/>
    <w:rsid w:val="004421E8"/>
    <w:rsid w:val="004434AF"/>
    <w:rsid w:val="00443DB6"/>
    <w:rsid w:val="00444306"/>
    <w:rsid w:val="00444349"/>
    <w:rsid w:val="00445B44"/>
    <w:rsid w:val="00445F43"/>
    <w:rsid w:val="00446A58"/>
    <w:rsid w:val="00446C58"/>
    <w:rsid w:val="00446E6E"/>
    <w:rsid w:val="00446EB4"/>
    <w:rsid w:val="004472C8"/>
    <w:rsid w:val="0044758D"/>
    <w:rsid w:val="00447725"/>
    <w:rsid w:val="00447942"/>
    <w:rsid w:val="004506FC"/>
    <w:rsid w:val="0045241D"/>
    <w:rsid w:val="00452AF9"/>
    <w:rsid w:val="00452F08"/>
    <w:rsid w:val="00453960"/>
    <w:rsid w:val="00454DC4"/>
    <w:rsid w:val="00455D2E"/>
    <w:rsid w:val="00456142"/>
    <w:rsid w:val="00456D93"/>
    <w:rsid w:val="004574A6"/>
    <w:rsid w:val="0046109C"/>
    <w:rsid w:val="0046176B"/>
    <w:rsid w:val="00462C20"/>
    <w:rsid w:val="00462C45"/>
    <w:rsid w:val="00463678"/>
    <w:rsid w:val="00463C14"/>
    <w:rsid w:val="004643BF"/>
    <w:rsid w:val="00464EEF"/>
    <w:rsid w:val="0046587C"/>
    <w:rsid w:val="00465CE8"/>
    <w:rsid w:val="00465D14"/>
    <w:rsid w:val="00466053"/>
    <w:rsid w:val="004670D5"/>
    <w:rsid w:val="0046740D"/>
    <w:rsid w:val="00467BDF"/>
    <w:rsid w:val="0047058E"/>
    <w:rsid w:val="004706B5"/>
    <w:rsid w:val="00471458"/>
    <w:rsid w:val="00471E80"/>
    <w:rsid w:val="004730DF"/>
    <w:rsid w:val="004748BD"/>
    <w:rsid w:val="00474AD7"/>
    <w:rsid w:val="00475E03"/>
    <w:rsid w:val="0047630D"/>
    <w:rsid w:val="00476F4E"/>
    <w:rsid w:val="0047759F"/>
    <w:rsid w:val="00481D46"/>
    <w:rsid w:val="0048476E"/>
    <w:rsid w:val="00484EF7"/>
    <w:rsid w:val="004859F9"/>
    <w:rsid w:val="00486B25"/>
    <w:rsid w:val="00486C2B"/>
    <w:rsid w:val="00486E72"/>
    <w:rsid w:val="00486F3A"/>
    <w:rsid w:val="004873A8"/>
    <w:rsid w:val="0048743B"/>
    <w:rsid w:val="004902D5"/>
    <w:rsid w:val="00490C4A"/>
    <w:rsid w:val="00490C74"/>
    <w:rsid w:val="00490EDC"/>
    <w:rsid w:val="00490EE7"/>
    <w:rsid w:val="004912C7"/>
    <w:rsid w:val="00491D92"/>
    <w:rsid w:val="0049207B"/>
    <w:rsid w:val="00492ACE"/>
    <w:rsid w:val="0049345E"/>
    <w:rsid w:val="00494F3E"/>
    <w:rsid w:val="004951C7"/>
    <w:rsid w:val="0049662E"/>
    <w:rsid w:val="00496FCE"/>
    <w:rsid w:val="00497281"/>
    <w:rsid w:val="004A0272"/>
    <w:rsid w:val="004A0C2F"/>
    <w:rsid w:val="004A158E"/>
    <w:rsid w:val="004A1E8D"/>
    <w:rsid w:val="004A210A"/>
    <w:rsid w:val="004A23B4"/>
    <w:rsid w:val="004A26CB"/>
    <w:rsid w:val="004A3F70"/>
    <w:rsid w:val="004A4D5B"/>
    <w:rsid w:val="004A5019"/>
    <w:rsid w:val="004A5BE8"/>
    <w:rsid w:val="004A652D"/>
    <w:rsid w:val="004A7212"/>
    <w:rsid w:val="004A79D8"/>
    <w:rsid w:val="004B04DF"/>
    <w:rsid w:val="004B276B"/>
    <w:rsid w:val="004B29F9"/>
    <w:rsid w:val="004B33BF"/>
    <w:rsid w:val="004B3964"/>
    <w:rsid w:val="004B3A3C"/>
    <w:rsid w:val="004B44BB"/>
    <w:rsid w:val="004B4530"/>
    <w:rsid w:val="004B4F3E"/>
    <w:rsid w:val="004B5F98"/>
    <w:rsid w:val="004B6B7F"/>
    <w:rsid w:val="004B6DF2"/>
    <w:rsid w:val="004B747E"/>
    <w:rsid w:val="004B77F2"/>
    <w:rsid w:val="004C1983"/>
    <w:rsid w:val="004C2276"/>
    <w:rsid w:val="004C3996"/>
    <w:rsid w:val="004C43AE"/>
    <w:rsid w:val="004C4B0E"/>
    <w:rsid w:val="004C4EC6"/>
    <w:rsid w:val="004C6156"/>
    <w:rsid w:val="004C704B"/>
    <w:rsid w:val="004C796B"/>
    <w:rsid w:val="004C7BF0"/>
    <w:rsid w:val="004D0914"/>
    <w:rsid w:val="004D2309"/>
    <w:rsid w:val="004D2D35"/>
    <w:rsid w:val="004D3AD2"/>
    <w:rsid w:val="004D5186"/>
    <w:rsid w:val="004D5851"/>
    <w:rsid w:val="004D6D8A"/>
    <w:rsid w:val="004D7CE8"/>
    <w:rsid w:val="004D7D59"/>
    <w:rsid w:val="004E019D"/>
    <w:rsid w:val="004E0D88"/>
    <w:rsid w:val="004E1090"/>
    <w:rsid w:val="004E2A6F"/>
    <w:rsid w:val="004E3B8B"/>
    <w:rsid w:val="004E3FA5"/>
    <w:rsid w:val="004E4603"/>
    <w:rsid w:val="004E48C2"/>
    <w:rsid w:val="004E4A24"/>
    <w:rsid w:val="004E5138"/>
    <w:rsid w:val="004E5888"/>
    <w:rsid w:val="004E6338"/>
    <w:rsid w:val="004E6AE6"/>
    <w:rsid w:val="004F06F7"/>
    <w:rsid w:val="004F07F9"/>
    <w:rsid w:val="004F0A92"/>
    <w:rsid w:val="004F0D53"/>
    <w:rsid w:val="004F1377"/>
    <w:rsid w:val="004F3B44"/>
    <w:rsid w:val="004F41EC"/>
    <w:rsid w:val="004F4BBB"/>
    <w:rsid w:val="004F4D51"/>
    <w:rsid w:val="004F50D7"/>
    <w:rsid w:val="004F610D"/>
    <w:rsid w:val="004F6E49"/>
    <w:rsid w:val="004F6ED8"/>
    <w:rsid w:val="004F7C98"/>
    <w:rsid w:val="00500A93"/>
    <w:rsid w:val="0050149D"/>
    <w:rsid w:val="00501671"/>
    <w:rsid w:val="00501EB7"/>
    <w:rsid w:val="00501FED"/>
    <w:rsid w:val="00502439"/>
    <w:rsid w:val="0050319E"/>
    <w:rsid w:val="00503501"/>
    <w:rsid w:val="005038C3"/>
    <w:rsid w:val="00506164"/>
    <w:rsid w:val="0050776D"/>
    <w:rsid w:val="0051080F"/>
    <w:rsid w:val="005111EF"/>
    <w:rsid w:val="0051174B"/>
    <w:rsid w:val="005122A7"/>
    <w:rsid w:val="0051369A"/>
    <w:rsid w:val="0051378D"/>
    <w:rsid w:val="0051762D"/>
    <w:rsid w:val="00517F11"/>
    <w:rsid w:val="005200BF"/>
    <w:rsid w:val="0052049B"/>
    <w:rsid w:val="00521654"/>
    <w:rsid w:val="005228D9"/>
    <w:rsid w:val="005229AF"/>
    <w:rsid w:val="00523B92"/>
    <w:rsid w:val="005244B3"/>
    <w:rsid w:val="00525325"/>
    <w:rsid w:val="00525F1F"/>
    <w:rsid w:val="00526632"/>
    <w:rsid w:val="0052693A"/>
    <w:rsid w:val="00527190"/>
    <w:rsid w:val="005271D2"/>
    <w:rsid w:val="00530083"/>
    <w:rsid w:val="005308B0"/>
    <w:rsid w:val="00530ED0"/>
    <w:rsid w:val="00531699"/>
    <w:rsid w:val="00532CF7"/>
    <w:rsid w:val="005335E7"/>
    <w:rsid w:val="00533FD5"/>
    <w:rsid w:val="00536E29"/>
    <w:rsid w:val="00536EBB"/>
    <w:rsid w:val="005374EF"/>
    <w:rsid w:val="00537CF3"/>
    <w:rsid w:val="00540D18"/>
    <w:rsid w:val="00541C2D"/>
    <w:rsid w:val="0054247C"/>
    <w:rsid w:val="005424C1"/>
    <w:rsid w:val="00542500"/>
    <w:rsid w:val="00543898"/>
    <w:rsid w:val="00543A11"/>
    <w:rsid w:val="00543CF7"/>
    <w:rsid w:val="00544259"/>
    <w:rsid w:val="00544311"/>
    <w:rsid w:val="00544E09"/>
    <w:rsid w:val="00545AF0"/>
    <w:rsid w:val="005461F5"/>
    <w:rsid w:val="00546B36"/>
    <w:rsid w:val="00547DCE"/>
    <w:rsid w:val="0055019C"/>
    <w:rsid w:val="0055205E"/>
    <w:rsid w:val="00553387"/>
    <w:rsid w:val="00554174"/>
    <w:rsid w:val="00554E7B"/>
    <w:rsid w:val="0055627D"/>
    <w:rsid w:val="00556A4B"/>
    <w:rsid w:val="0055700C"/>
    <w:rsid w:val="00557CCE"/>
    <w:rsid w:val="00560255"/>
    <w:rsid w:val="00560AC1"/>
    <w:rsid w:val="0056154B"/>
    <w:rsid w:val="00562DE8"/>
    <w:rsid w:val="00563CD5"/>
    <w:rsid w:val="00564956"/>
    <w:rsid w:val="00564E2E"/>
    <w:rsid w:val="005660FC"/>
    <w:rsid w:val="0056761E"/>
    <w:rsid w:val="00567DC8"/>
    <w:rsid w:val="00567E25"/>
    <w:rsid w:val="00570DD9"/>
    <w:rsid w:val="005711FE"/>
    <w:rsid w:val="00573E82"/>
    <w:rsid w:val="00575B5C"/>
    <w:rsid w:val="00575F82"/>
    <w:rsid w:val="0057720A"/>
    <w:rsid w:val="00577591"/>
    <w:rsid w:val="00577F38"/>
    <w:rsid w:val="00581B41"/>
    <w:rsid w:val="00582416"/>
    <w:rsid w:val="005829F5"/>
    <w:rsid w:val="00582D1E"/>
    <w:rsid w:val="00583983"/>
    <w:rsid w:val="00583C99"/>
    <w:rsid w:val="005856DC"/>
    <w:rsid w:val="00586F6D"/>
    <w:rsid w:val="0058758B"/>
    <w:rsid w:val="00587C42"/>
    <w:rsid w:val="00590172"/>
    <w:rsid w:val="00591200"/>
    <w:rsid w:val="005915FA"/>
    <w:rsid w:val="0059174C"/>
    <w:rsid w:val="00592B4E"/>
    <w:rsid w:val="005939A1"/>
    <w:rsid w:val="00593D5C"/>
    <w:rsid w:val="00594300"/>
    <w:rsid w:val="00594B14"/>
    <w:rsid w:val="005950EB"/>
    <w:rsid w:val="0059541B"/>
    <w:rsid w:val="0059661E"/>
    <w:rsid w:val="00596621"/>
    <w:rsid w:val="00596CD5"/>
    <w:rsid w:val="00596CD9"/>
    <w:rsid w:val="00597171"/>
    <w:rsid w:val="00597304"/>
    <w:rsid w:val="00597920"/>
    <w:rsid w:val="00597A0E"/>
    <w:rsid w:val="00597B0A"/>
    <w:rsid w:val="005A0526"/>
    <w:rsid w:val="005A0AB7"/>
    <w:rsid w:val="005A3065"/>
    <w:rsid w:val="005A3093"/>
    <w:rsid w:val="005A36D6"/>
    <w:rsid w:val="005A4CCA"/>
    <w:rsid w:val="005A55C1"/>
    <w:rsid w:val="005A5941"/>
    <w:rsid w:val="005A6837"/>
    <w:rsid w:val="005A687B"/>
    <w:rsid w:val="005A6CB1"/>
    <w:rsid w:val="005A7B64"/>
    <w:rsid w:val="005A7EE8"/>
    <w:rsid w:val="005B01B8"/>
    <w:rsid w:val="005B11E1"/>
    <w:rsid w:val="005B28D9"/>
    <w:rsid w:val="005B3F0C"/>
    <w:rsid w:val="005B4EB6"/>
    <w:rsid w:val="005B5E31"/>
    <w:rsid w:val="005B6AA7"/>
    <w:rsid w:val="005B6CDC"/>
    <w:rsid w:val="005C03D1"/>
    <w:rsid w:val="005C0BB7"/>
    <w:rsid w:val="005C3410"/>
    <w:rsid w:val="005C391B"/>
    <w:rsid w:val="005C4896"/>
    <w:rsid w:val="005C5904"/>
    <w:rsid w:val="005C6EE7"/>
    <w:rsid w:val="005C79D1"/>
    <w:rsid w:val="005D0806"/>
    <w:rsid w:val="005D1433"/>
    <w:rsid w:val="005D1448"/>
    <w:rsid w:val="005D2208"/>
    <w:rsid w:val="005D230D"/>
    <w:rsid w:val="005D3313"/>
    <w:rsid w:val="005D370A"/>
    <w:rsid w:val="005D4235"/>
    <w:rsid w:val="005D47D6"/>
    <w:rsid w:val="005D581B"/>
    <w:rsid w:val="005D5A37"/>
    <w:rsid w:val="005D6B81"/>
    <w:rsid w:val="005D6D9F"/>
    <w:rsid w:val="005D7420"/>
    <w:rsid w:val="005D75FA"/>
    <w:rsid w:val="005E05C9"/>
    <w:rsid w:val="005E37F4"/>
    <w:rsid w:val="005E3B82"/>
    <w:rsid w:val="005E4013"/>
    <w:rsid w:val="005E421A"/>
    <w:rsid w:val="005E47F4"/>
    <w:rsid w:val="005E60C0"/>
    <w:rsid w:val="005E61A1"/>
    <w:rsid w:val="005E6EBA"/>
    <w:rsid w:val="005E7FD2"/>
    <w:rsid w:val="005F00E4"/>
    <w:rsid w:val="005F174D"/>
    <w:rsid w:val="005F312A"/>
    <w:rsid w:val="005F3F37"/>
    <w:rsid w:val="005F3F4C"/>
    <w:rsid w:val="005F6080"/>
    <w:rsid w:val="005F7703"/>
    <w:rsid w:val="006000F1"/>
    <w:rsid w:val="00600682"/>
    <w:rsid w:val="00600EE8"/>
    <w:rsid w:val="00600FB9"/>
    <w:rsid w:val="00601A59"/>
    <w:rsid w:val="0060346A"/>
    <w:rsid w:val="00604361"/>
    <w:rsid w:val="00604D9C"/>
    <w:rsid w:val="00605D05"/>
    <w:rsid w:val="00606240"/>
    <w:rsid w:val="00610382"/>
    <w:rsid w:val="006118C1"/>
    <w:rsid w:val="00611C89"/>
    <w:rsid w:val="00612A47"/>
    <w:rsid w:val="00613D8B"/>
    <w:rsid w:val="006145F6"/>
    <w:rsid w:val="00614A38"/>
    <w:rsid w:val="00615521"/>
    <w:rsid w:val="00616317"/>
    <w:rsid w:val="00616C75"/>
    <w:rsid w:val="0062020C"/>
    <w:rsid w:val="00620C17"/>
    <w:rsid w:val="0062206D"/>
    <w:rsid w:val="006223F4"/>
    <w:rsid w:val="0062320A"/>
    <w:rsid w:val="00624313"/>
    <w:rsid w:val="0062491C"/>
    <w:rsid w:val="00625807"/>
    <w:rsid w:val="00625987"/>
    <w:rsid w:val="006259A3"/>
    <w:rsid w:val="00625E6C"/>
    <w:rsid w:val="00626488"/>
    <w:rsid w:val="006266EE"/>
    <w:rsid w:val="006267BD"/>
    <w:rsid w:val="0062751F"/>
    <w:rsid w:val="006278BD"/>
    <w:rsid w:val="00630665"/>
    <w:rsid w:val="00630E1E"/>
    <w:rsid w:val="00630F62"/>
    <w:rsid w:val="00631CE1"/>
    <w:rsid w:val="00632587"/>
    <w:rsid w:val="0063269A"/>
    <w:rsid w:val="006330D9"/>
    <w:rsid w:val="006332CD"/>
    <w:rsid w:val="0063359F"/>
    <w:rsid w:val="00634D07"/>
    <w:rsid w:val="00634E9E"/>
    <w:rsid w:val="006362ED"/>
    <w:rsid w:val="006365C7"/>
    <w:rsid w:val="00636866"/>
    <w:rsid w:val="00636F4C"/>
    <w:rsid w:val="00637A61"/>
    <w:rsid w:val="0064055A"/>
    <w:rsid w:val="00640B3A"/>
    <w:rsid w:val="006431FE"/>
    <w:rsid w:val="00644D7D"/>
    <w:rsid w:val="00645871"/>
    <w:rsid w:val="00646D21"/>
    <w:rsid w:val="006472EA"/>
    <w:rsid w:val="00647E21"/>
    <w:rsid w:val="0065033A"/>
    <w:rsid w:val="00650A09"/>
    <w:rsid w:val="00650D40"/>
    <w:rsid w:val="00652965"/>
    <w:rsid w:val="006529DC"/>
    <w:rsid w:val="00653299"/>
    <w:rsid w:val="00656254"/>
    <w:rsid w:val="0065678D"/>
    <w:rsid w:val="006569B2"/>
    <w:rsid w:val="0065774C"/>
    <w:rsid w:val="00661507"/>
    <w:rsid w:val="0066221C"/>
    <w:rsid w:val="00662D9C"/>
    <w:rsid w:val="00663ED9"/>
    <w:rsid w:val="006641E7"/>
    <w:rsid w:val="00664D7E"/>
    <w:rsid w:val="00664DA3"/>
    <w:rsid w:val="00665B8E"/>
    <w:rsid w:val="00665F4C"/>
    <w:rsid w:val="00666448"/>
    <w:rsid w:val="0066655F"/>
    <w:rsid w:val="00667C0B"/>
    <w:rsid w:val="00670247"/>
    <w:rsid w:val="006723AE"/>
    <w:rsid w:val="006726D6"/>
    <w:rsid w:val="00674959"/>
    <w:rsid w:val="006750A6"/>
    <w:rsid w:val="006771EB"/>
    <w:rsid w:val="00677C59"/>
    <w:rsid w:val="00677EAD"/>
    <w:rsid w:val="006818BD"/>
    <w:rsid w:val="006836B3"/>
    <w:rsid w:val="00684CC9"/>
    <w:rsid w:val="0068527C"/>
    <w:rsid w:val="00685CD3"/>
    <w:rsid w:val="00685E60"/>
    <w:rsid w:val="00690869"/>
    <w:rsid w:val="006934B0"/>
    <w:rsid w:val="006935C9"/>
    <w:rsid w:val="00696860"/>
    <w:rsid w:val="006968B9"/>
    <w:rsid w:val="0069743C"/>
    <w:rsid w:val="006A0510"/>
    <w:rsid w:val="006A0B63"/>
    <w:rsid w:val="006A0CD4"/>
    <w:rsid w:val="006A0E11"/>
    <w:rsid w:val="006A217F"/>
    <w:rsid w:val="006A26D1"/>
    <w:rsid w:val="006A4851"/>
    <w:rsid w:val="006A5416"/>
    <w:rsid w:val="006A546D"/>
    <w:rsid w:val="006A5A48"/>
    <w:rsid w:val="006A62B1"/>
    <w:rsid w:val="006A647E"/>
    <w:rsid w:val="006A6C4A"/>
    <w:rsid w:val="006A6C68"/>
    <w:rsid w:val="006B00E6"/>
    <w:rsid w:val="006B03EF"/>
    <w:rsid w:val="006B1C86"/>
    <w:rsid w:val="006B1F4E"/>
    <w:rsid w:val="006B2013"/>
    <w:rsid w:val="006B24AB"/>
    <w:rsid w:val="006B355E"/>
    <w:rsid w:val="006B3660"/>
    <w:rsid w:val="006B3716"/>
    <w:rsid w:val="006B49D9"/>
    <w:rsid w:val="006B4C95"/>
    <w:rsid w:val="006B53A6"/>
    <w:rsid w:val="006B58E0"/>
    <w:rsid w:val="006B78A2"/>
    <w:rsid w:val="006B7D0B"/>
    <w:rsid w:val="006B7F15"/>
    <w:rsid w:val="006C0656"/>
    <w:rsid w:val="006C06C0"/>
    <w:rsid w:val="006C14A3"/>
    <w:rsid w:val="006C1DF0"/>
    <w:rsid w:val="006C3F70"/>
    <w:rsid w:val="006C4873"/>
    <w:rsid w:val="006C6D36"/>
    <w:rsid w:val="006C7D04"/>
    <w:rsid w:val="006D02C7"/>
    <w:rsid w:val="006D1EC9"/>
    <w:rsid w:val="006D27E9"/>
    <w:rsid w:val="006D2FBA"/>
    <w:rsid w:val="006D3258"/>
    <w:rsid w:val="006D3D20"/>
    <w:rsid w:val="006D4953"/>
    <w:rsid w:val="006D4A08"/>
    <w:rsid w:val="006D5540"/>
    <w:rsid w:val="006D5666"/>
    <w:rsid w:val="006D5D3C"/>
    <w:rsid w:val="006D6F9D"/>
    <w:rsid w:val="006D73C8"/>
    <w:rsid w:val="006D7CA1"/>
    <w:rsid w:val="006D7E81"/>
    <w:rsid w:val="006E04E4"/>
    <w:rsid w:val="006E0E91"/>
    <w:rsid w:val="006E106E"/>
    <w:rsid w:val="006E1673"/>
    <w:rsid w:val="006E1794"/>
    <w:rsid w:val="006E1DC6"/>
    <w:rsid w:val="006E1EF3"/>
    <w:rsid w:val="006E2898"/>
    <w:rsid w:val="006E28AA"/>
    <w:rsid w:val="006E313B"/>
    <w:rsid w:val="006E35EC"/>
    <w:rsid w:val="006E399F"/>
    <w:rsid w:val="006E3B2A"/>
    <w:rsid w:val="006E3C09"/>
    <w:rsid w:val="006E3C6D"/>
    <w:rsid w:val="006E3E04"/>
    <w:rsid w:val="006E4B0E"/>
    <w:rsid w:val="006E5918"/>
    <w:rsid w:val="006E597D"/>
    <w:rsid w:val="006E7954"/>
    <w:rsid w:val="006E7FAA"/>
    <w:rsid w:val="006F0311"/>
    <w:rsid w:val="006F1004"/>
    <w:rsid w:val="006F18AF"/>
    <w:rsid w:val="006F373F"/>
    <w:rsid w:val="006F3CF1"/>
    <w:rsid w:val="006F4B0B"/>
    <w:rsid w:val="006F7271"/>
    <w:rsid w:val="00701FD1"/>
    <w:rsid w:val="007021E9"/>
    <w:rsid w:val="00702C13"/>
    <w:rsid w:val="00704429"/>
    <w:rsid w:val="00704B56"/>
    <w:rsid w:val="00704BBA"/>
    <w:rsid w:val="00704C2D"/>
    <w:rsid w:val="0070618E"/>
    <w:rsid w:val="007061FE"/>
    <w:rsid w:val="00706265"/>
    <w:rsid w:val="00706BD2"/>
    <w:rsid w:val="00707D95"/>
    <w:rsid w:val="007102A2"/>
    <w:rsid w:val="00710D2B"/>
    <w:rsid w:val="00711842"/>
    <w:rsid w:val="007131C1"/>
    <w:rsid w:val="00716A73"/>
    <w:rsid w:val="00716C86"/>
    <w:rsid w:val="00716EF1"/>
    <w:rsid w:val="00717118"/>
    <w:rsid w:val="007236CC"/>
    <w:rsid w:val="00723E9C"/>
    <w:rsid w:val="00724826"/>
    <w:rsid w:val="0072497D"/>
    <w:rsid w:val="00724B60"/>
    <w:rsid w:val="00724C4C"/>
    <w:rsid w:val="00725B16"/>
    <w:rsid w:val="007266FB"/>
    <w:rsid w:val="00726793"/>
    <w:rsid w:val="00726B89"/>
    <w:rsid w:val="00726CD9"/>
    <w:rsid w:val="00727464"/>
    <w:rsid w:val="007304F5"/>
    <w:rsid w:val="00730D94"/>
    <w:rsid w:val="007313AF"/>
    <w:rsid w:val="00732613"/>
    <w:rsid w:val="00732B80"/>
    <w:rsid w:val="0073369C"/>
    <w:rsid w:val="00733A79"/>
    <w:rsid w:val="00733F32"/>
    <w:rsid w:val="00734128"/>
    <w:rsid w:val="00734ABE"/>
    <w:rsid w:val="00735328"/>
    <w:rsid w:val="007353EE"/>
    <w:rsid w:val="0073561A"/>
    <w:rsid w:val="00736037"/>
    <w:rsid w:val="00736235"/>
    <w:rsid w:val="007375DA"/>
    <w:rsid w:val="007409FB"/>
    <w:rsid w:val="007411D4"/>
    <w:rsid w:val="0074142E"/>
    <w:rsid w:val="00741DC4"/>
    <w:rsid w:val="0074267E"/>
    <w:rsid w:val="0074378C"/>
    <w:rsid w:val="007456D7"/>
    <w:rsid w:val="00745AC9"/>
    <w:rsid w:val="007468CB"/>
    <w:rsid w:val="00746BA3"/>
    <w:rsid w:val="0074720D"/>
    <w:rsid w:val="007473CF"/>
    <w:rsid w:val="00747A4C"/>
    <w:rsid w:val="0075018E"/>
    <w:rsid w:val="00751215"/>
    <w:rsid w:val="007515A0"/>
    <w:rsid w:val="00751783"/>
    <w:rsid w:val="0075253E"/>
    <w:rsid w:val="0075307F"/>
    <w:rsid w:val="00753AFC"/>
    <w:rsid w:val="00754001"/>
    <w:rsid w:val="007540F6"/>
    <w:rsid w:val="007543E0"/>
    <w:rsid w:val="0075471A"/>
    <w:rsid w:val="00754CBF"/>
    <w:rsid w:val="00756270"/>
    <w:rsid w:val="0075790A"/>
    <w:rsid w:val="00757E31"/>
    <w:rsid w:val="007617A9"/>
    <w:rsid w:val="00761DE5"/>
    <w:rsid w:val="007626E5"/>
    <w:rsid w:val="00762988"/>
    <w:rsid w:val="007629B0"/>
    <w:rsid w:val="0076397C"/>
    <w:rsid w:val="0076496A"/>
    <w:rsid w:val="007659D0"/>
    <w:rsid w:val="00765C42"/>
    <w:rsid w:val="00765FC0"/>
    <w:rsid w:val="00766A04"/>
    <w:rsid w:val="00770824"/>
    <w:rsid w:val="0077152C"/>
    <w:rsid w:val="00771985"/>
    <w:rsid w:val="00771BB1"/>
    <w:rsid w:val="0077226A"/>
    <w:rsid w:val="00772626"/>
    <w:rsid w:val="00775335"/>
    <w:rsid w:val="007755E4"/>
    <w:rsid w:val="00777AA9"/>
    <w:rsid w:val="00777AD5"/>
    <w:rsid w:val="007805BB"/>
    <w:rsid w:val="0078116D"/>
    <w:rsid w:val="00781923"/>
    <w:rsid w:val="0078314C"/>
    <w:rsid w:val="00784320"/>
    <w:rsid w:val="007851E5"/>
    <w:rsid w:val="00785F96"/>
    <w:rsid w:val="0078656F"/>
    <w:rsid w:val="00786F08"/>
    <w:rsid w:val="00791A03"/>
    <w:rsid w:val="007926BD"/>
    <w:rsid w:val="00792868"/>
    <w:rsid w:val="00792E50"/>
    <w:rsid w:val="00794812"/>
    <w:rsid w:val="00794B95"/>
    <w:rsid w:val="00794E7F"/>
    <w:rsid w:val="00794EE9"/>
    <w:rsid w:val="00795B6C"/>
    <w:rsid w:val="00795FBE"/>
    <w:rsid w:val="0079600B"/>
    <w:rsid w:val="0079624C"/>
    <w:rsid w:val="007965B1"/>
    <w:rsid w:val="007A03B7"/>
    <w:rsid w:val="007A08D3"/>
    <w:rsid w:val="007A15E5"/>
    <w:rsid w:val="007A1C3C"/>
    <w:rsid w:val="007A211A"/>
    <w:rsid w:val="007A28EC"/>
    <w:rsid w:val="007A2D9B"/>
    <w:rsid w:val="007A3154"/>
    <w:rsid w:val="007A3CDE"/>
    <w:rsid w:val="007A4A74"/>
    <w:rsid w:val="007A5063"/>
    <w:rsid w:val="007A56A6"/>
    <w:rsid w:val="007A6046"/>
    <w:rsid w:val="007A6ECC"/>
    <w:rsid w:val="007B0164"/>
    <w:rsid w:val="007B016E"/>
    <w:rsid w:val="007B0D24"/>
    <w:rsid w:val="007B2450"/>
    <w:rsid w:val="007B276B"/>
    <w:rsid w:val="007B2992"/>
    <w:rsid w:val="007B2D62"/>
    <w:rsid w:val="007B36F4"/>
    <w:rsid w:val="007B376A"/>
    <w:rsid w:val="007B4077"/>
    <w:rsid w:val="007B42D2"/>
    <w:rsid w:val="007B4896"/>
    <w:rsid w:val="007B51C4"/>
    <w:rsid w:val="007B527D"/>
    <w:rsid w:val="007B5522"/>
    <w:rsid w:val="007B57CB"/>
    <w:rsid w:val="007B6689"/>
    <w:rsid w:val="007B6ECA"/>
    <w:rsid w:val="007B7B4E"/>
    <w:rsid w:val="007C0EE5"/>
    <w:rsid w:val="007C1629"/>
    <w:rsid w:val="007C25EB"/>
    <w:rsid w:val="007C537D"/>
    <w:rsid w:val="007C56A7"/>
    <w:rsid w:val="007C58C7"/>
    <w:rsid w:val="007C6989"/>
    <w:rsid w:val="007C7AA9"/>
    <w:rsid w:val="007D078F"/>
    <w:rsid w:val="007D1044"/>
    <w:rsid w:val="007D1F1B"/>
    <w:rsid w:val="007D261E"/>
    <w:rsid w:val="007D2E9E"/>
    <w:rsid w:val="007D3C30"/>
    <w:rsid w:val="007D42B7"/>
    <w:rsid w:val="007D623A"/>
    <w:rsid w:val="007D647D"/>
    <w:rsid w:val="007D6B0D"/>
    <w:rsid w:val="007D71B9"/>
    <w:rsid w:val="007D79D8"/>
    <w:rsid w:val="007D7B05"/>
    <w:rsid w:val="007D7B20"/>
    <w:rsid w:val="007E09D8"/>
    <w:rsid w:val="007E1A1B"/>
    <w:rsid w:val="007E1DDB"/>
    <w:rsid w:val="007E2318"/>
    <w:rsid w:val="007E2562"/>
    <w:rsid w:val="007E2FF7"/>
    <w:rsid w:val="007E321B"/>
    <w:rsid w:val="007E3F9E"/>
    <w:rsid w:val="007E55A5"/>
    <w:rsid w:val="007E64E0"/>
    <w:rsid w:val="007E6982"/>
    <w:rsid w:val="007E7056"/>
    <w:rsid w:val="007F1211"/>
    <w:rsid w:val="007F16B2"/>
    <w:rsid w:val="007F1F9C"/>
    <w:rsid w:val="007F2528"/>
    <w:rsid w:val="007F27C0"/>
    <w:rsid w:val="007F2869"/>
    <w:rsid w:val="007F2A6A"/>
    <w:rsid w:val="007F2F2A"/>
    <w:rsid w:val="007F3019"/>
    <w:rsid w:val="007F3B13"/>
    <w:rsid w:val="007F4AAC"/>
    <w:rsid w:val="007F504F"/>
    <w:rsid w:val="007F5D07"/>
    <w:rsid w:val="007F69DE"/>
    <w:rsid w:val="007F768C"/>
    <w:rsid w:val="007F7971"/>
    <w:rsid w:val="0080043C"/>
    <w:rsid w:val="00800D42"/>
    <w:rsid w:val="00800EB8"/>
    <w:rsid w:val="0080336E"/>
    <w:rsid w:val="00803455"/>
    <w:rsid w:val="00804412"/>
    <w:rsid w:val="0080450C"/>
    <w:rsid w:val="00804B9F"/>
    <w:rsid w:val="00806281"/>
    <w:rsid w:val="008068D6"/>
    <w:rsid w:val="00806D6A"/>
    <w:rsid w:val="00810051"/>
    <w:rsid w:val="00810954"/>
    <w:rsid w:val="00811D24"/>
    <w:rsid w:val="00812356"/>
    <w:rsid w:val="00812788"/>
    <w:rsid w:val="0081508D"/>
    <w:rsid w:val="0081653B"/>
    <w:rsid w:val="00816E42"/>
    <w:rsid w:val="00821AE0"/>
    <w:rsid w:val="00823FB2"/>
    <w:rsid w:val="00824616"/>
    <w:rsid w:val="00824BBA"/>
    <w:rsid w:val="00824C1E"/>
    <w:rsid w:val="0082582B"/>
    <w:rsid w:val="008264C2"/>
    <w:rsid w:val="00826F92"/>
    <w:rsid w:val="008274F9"/>
    <w:rsid w:val="0083097E"/>
    <w:rsid w:val="0083132C"/>
    <w:rsid w:val="00832D4E"/>
    <w:rsid w:val="00833350"/>
    <w:rsid w:val="00833A11"/>
    <w:rsid w:val="00836143"/>
    <w:rsid w:val="008361C0"/>
    <w:rsid w:val="00836A21"/>
    <w:rsid w:val="008406CB"/>
    <w:rsid w:val="00842223"/>
    <w:rsid w:val="00842580"/>
    <w:rsid w:val="00842B4A"/>
    <w:rsid w:val="00843FB1"/>
    <w:rsid w:val="00843FC5"/>
    <w:rsid w:val="0084439F"/>
    <w:rsid w:val="00844624"/>
    <w:rsid w:val="0084491B"/>
    <w:rsid w:val="00845415"/>
    <w:rsid w:val="00845482"/>
    <w:rsid w:val="00845BD5"/>
    <w:rsid w:val="008473F4"/>
    <w:rsid w:val="00850634"/>
    <w:rsid w:val="00850E11"/>
    <w:rsid w:val="0085182F"/>
    <w:rsid w:val="00852328"/>
    <w:rsid w:val="008532D6"/>
    <w:rsid w:val="008575EA"/>
    <w:rsid w:val="00860190"/>
    <w:rsid w:val="00860678"/>
    <w:rsid w:val="0086118F"/>
    <w:rsid w:val="00862C0F"/>
    <w:rsid w:val="00862C2C"/>
    <w:rsid w:val="008668C5"/>
    <w:rsid w:val="008668CF"/>
    <w:rsid w:val="00866E5F"/>
    <w:rsid w:val="008676B2"/>
    <w:rsid w:val="00867868"/>
    <w:rsid w:val="00867A82"/>
    <w:rsid w:val="00867B92"/>
    <w:rsid w:val="0087036D"/>
    <w:rsid w:val="008703F5"/>
    <w:rsid w:val="008703FE"/>
    <w:rsid w:val="0087075B"/>
    <w:rsid w:val="00870A31"/>
    <w:rsid w:val="00870DD8"/>
    <w:rsid w:val="0087190C"/>
    <w:rsid w:val="0087224F"/>
    <w:rsid w:val="00872283"/>
    <w:rsid w:val="00872975"/>
    <w:rsid w:val="00873DFF"/>
    <w:rsid w:val="008746CD"/>
    <w:rsid w:val="00875D6E"/>
    <w:rsid w:val="00875DFA"/>
    <w:rsid w:val="00876E73"/>
    <w:rsid w:val="008803B5"/>
    <w:rsid w:val="008804C0"/>
    <w:rsid w:val="008806D8"/>
    <w:rsid w:val="00880859"/>
    <w:rsid w:val="00880BFD"/>
    <w:rsid w:val="00884C0F"/>
    <w:rsid w:val="008852C8"/>
    <w:rsid w:val="00885EF2"/>
    <w:rsid w:val="00886C92"/>
    <w:rsid w:val="008876C2"/>
    <w:rsid w:val="00890EAB"/>
    <w:rsid w:val="0089123D"/>
    <w:rsid w:val="00892634"/>
    <w:rsid w:val="00892E85"/>
    <w:rsid w:val="0089382E"/>
    <w:rsid w:val="008938D8"/>
    <w:rsid w:val="0089462E"/>
    <w:rsid w:val="00895078"/>
    <w:rsid w:val="008962F9"/>
    <w:rsid w:val="00896F63"/>
    <w:rsid w:val="00897F3F"/>
    <w:rsid w:val="008A08D0"/>
    <w:rsid w:val="008A109D"/>
    <w:rsid w:val="008A1E8E"/>
    <w:rsid w:val="008A245F"/>
    <w:rsid w:val="008A2B0F"/>
    <w:rsid w:val="008A419B"/>
    <w:rsid w:val="008A488F"/>
    <w:rsid w:val="008A48DB"/>
    <w:rsid w:val="008A4D8C"/>
    <w:rsid w:val="008A4F4B"/>
    <w:rsid w:val="008A5D47"/>
    <w:rsid w:val="008A6AFA"/>
    <w:rsid w:val="008A7222"/>
    <w:rsid w:val="008A72B4"/>
    <w:rsid w:val="008A77CA"/>
    <w:rsid w:val="008B0518"/>
    <w:rsid w:val="008B0567"/>
    <w:rsid w:val="008B0ECA"/>
    <w:rsid w:val="008B0F58"/>
    <w:rsid w:val="008B14C1"/>
    <w:rsid w:val="008B254E"/>
    <w:rsid w:val="008B366A"/>
    <w:rsid w:val="008B3B55"/>
    <w:rsid w:val="008B4C6B"/>
    <w:rsid w:val="008B5EE0"/>
    <w:rsid w:val="008B64B2"/>
    <w:rsid w:val="008C1127"/>
    <w:rsid w:val="008C1937"/>
    <w:rsid w:val="008C2E15"/>
    <w:rsid w:val="008C3016"/>
    <w:rsid w:val="008C3374"/>
    <w:rsid w:val="008C39A2"/>
    <w:rsid w:val="008C413F"/>
    <w:rsid w:val="008C44EE"/>
    <w:rsid w:val="008C46D2"/>
    <w:rsid w:val="008C4D48"/>
    <w:rsid w:val="008C511F"/>
    <w:rsid w:val="008C70B9"/>
    <w:rsid w:val="008C7D1C"/>
    <w:rsid w:val="008D07D6"/>
    <w:rsid w:val="008D15F7"/>
    <w:rsid w:val="008D237A"/>
    <w:rsid w:val="008D2E76"/>
    <w:rsid w:val="008D4693"/>
    <w:rsid w:val="008D4708"/>
    <w:rsid w:val="008D4CDA"/>
    <w:rsid w:val="008D5083"/>
    <w:rsid w:val="008D62C2"/>
    <w:rsid w:val="008D6C8A"/>
    <w:rsid w:val="008E0B41"/>
    <w:rsid w:val="008E16A6"/>
    <w:rsid w:val="008E1728"/>
    <w:rsid w:val="008E209D"/>
    <w:rsid w:val="008E2473"/>
    <w:rsid w:val="008E30DB"/>
    <w:rsid w:val="008E377F"/>
    <w:rsid w:val="008E3F37"/>
    <w:rsid w:val="008E5733"/>
    <w:rsid w:val="008E57DC"/>
    <w:rsid w:val="008E58C8"/>
    <w:rsid w:val="008E63DE"/>
    <w:rsid w:val="008E6D4B"/>
    <w:rsid w:val="008E6F75"/>
    <w:rsid w:val="008E7376"/>
    <w:rsid w:val="008F0819"/>
    <w:rsid w:val="008F0AB3"/>
    <w:rsid w:val="008F27E8"/>
    <w:rsid w:val="008F3C80"/>
    <w:rsid w:val="008F3CEC"/>
    <w:rsid w:val="008F497C"/>
    <w:rsid w:val="008F4DBF"/>
    <w:rsid w:val="008F51B1"/>
    <w:rsid w:val="008F63DE"/>
    <w:rsid w:val="008F703C"/>
    <w:rsid w:val="008F7779"/>
    <w:rsid w:val="008F7BE5"/>
    <w:rsid w:val="00900D69"/>
    <w:rsid w:val="00901006"/>
    <w:rsid w:val="00901546"/>
    <w:rsid w:val="0090205C"/>
    <w:rsid w:val="0090276F"/>
    <w:rsid w:val="0090337F"/>
    <w:rsid w:val="00903468"/>
    <w:rsid w:val="00904484"/>
    <w:rsid w:val="0090545C"/>
    <w:rsid w:val="00905890"/>
    <w:rsid w:val="0090645E"/>
    <w:rsid w:val="00906A5F"/>
    <w:rsid w:val="00906D56"/>
    <w:rsid w:val="00906F88"/>
    <w:rsid w:val="00906FF6"/>
    <w:rsid w:val="00910120"/>
    <w:rsid w:val="0091052F"/>
    <w:rsid w:val="0091094E"/>
    <w:rsid w:val="00910EB0"/>
    <w:rsid w:val="00911099"/>
    <w:rsid w:val="00911DD4"/>
    <w:rsid w:val="00912807"/>
    <w:rsid w:val="00915079"/>
    <w:rsid w:val="00915111"/>
    <w:rsid w:val="00915995"/>
    <w:rsid w:val="00915C80"/>
    <w:rsid w:val="00915D39"/>
    <w:rsid w:val="00916669"/>
    <w:rsid w:val="0092013F"/>
    <w:rsid w:val="009207E6"/>
    <w:rsid w:val="00921440"/>
    <w:rsid w:val="009214A1"/>
    <w:rsid w:val="009216EC"/>
    <w:rsid w:val="009217EE"/>
    <w:rsid w:val="00922591"/>
    <w:rsid w:val="009227F6"/>
    <w:rsid w:val="0092281A"/>
    <w:rsid w:val="00924224"/>
    <w:rsid w:val="0092513C"/>
    <w:rsid w:val="00925AB0"/>
    <w:rsid w:val="00925B9E"/>
    <w:rsid w:val="00926DB6"/>
    <w:rsid w:val="009270D7"/>
    <w:rsid w:val="00927859"/>
    <w:rsid w:val="00931376"/>
    <w:rsid w:val="00931398"/>
    <w:rsid w:val="00931EF4"/>
    <w:rsid w:val="009323AA"/>
    <w:rsid w:val="0093331A"/>
    <w:rsid w:val="00933CCD"/>
    <w:rsid w:val="00935059"/>
    <w:rsid w:val="00935AEB"/>
    <w:rsid w:val="009404BD"/>
    <w:rsid w:val="009408E8"/>
    <w:rsid w:val="00941040"/>
    <w:rsid w:val="00941080"/>
    <w:rsid w:val="009411BC"/>
    <w:rsid w:val="009417CF"/>
    <w:rsid w:val="00942504"/>
    <w:rsid w:val="009431DD"/>
    <w:rsid w:val="0094380F"/>
    <w:rsid w:val="00943CB4"/>
    <w:rsid w:val="0094433B"/>
    <w:rsid w:val="00944512"/>
    <w:rsid w:val="00944719"/>
    <w:rsid w:val="00944902"/>
    <w:rsid w:val="00944D6D"/>
    <w:rsid w:val="00944D97"/>
    <w:rsid w:val="00944DFE"/>
    <w:rsid w:val="00944E65"/>
    <w:rsid w:val="009452A2"/>
    <w:rsid w:val="009466EA"/>
    <w:rsid w:val="00946814"/>
    <w:rsid w:val="00947022"/>
    <w:rsid w:val="00950243"/>
    <w:rsid w:val="00950940"/>
    <w:rsid w:val="00950E66"/>
    <w:rsid w:val="00952158"/>
    <w:rsid w:val="00952175"/>
    <w:rsid w:val="009531CF"/>
    <w:rsid w:val="00953DC2"/>
    <w:rsid w:val="00954D48"/>
    <w:rsid w:val="0095516E"/>
    <w:rsid w:val="00955BCE"/>
    <w:rsid w:val="00955FF3"/>
    <w:rsid w:val="0095604C"/>
    <w:rsid w:val="00956487"/>
    <w:rsid w:val="00956D62"/>
    <w:rsid w:val="00956EB5"/>
    <w:rsid w:val="00960E7E"/>
    <w:rsid w:val="00961108"/>
    <w:rsid w:val="00961498"/>
    <w:rsid w:val="00962851"/>
    <w:rsid w:val="0096290B"/>
    <w:rsid w:val="00962C10"/>
    <w:rsid w:val="009634F9"/>
    <w:rsid w:val="00964409"/>
    <w:rsid w:val="009648F6"/>
    <w:rsid w:val="00964D12"/>
    <w:rsid w:val="00964EC8"/>
    <w:rsid w:val="00965D63"/>
    <w:rsid w:val="00965D67"/>
    <w:rsid w:val="00966754"/>
    <w:rsid w:val="00966846"/>
    <w:rsid w:val="0096689D"/>
    <w:rsid w:val="00966EC9"/>
    <w:rsid w:val="00967013"/>
    <w:rsid w:val="009671BE"/>
    <w:rsid w:val="009676D3"/>
    <w:rsid w:val="00967AA0"/>
    <w:rsid w:val="00967F17"/>
    <w:rsid w:val="009719C5"/>
    <w:rsid w:val="00971C10"/>
    <w:rsid w:val="00972472"/>
    <w:rsid w:val="00972C5B"/>
    <w:rsid w:val="00973470"/>
    <w:rsid w:val="0097363C"/>
    <w:rsid w:val="009739A2"/>
    <w:rsid w:val="00973CAF"/>
    <w:rsid w:val="0097421C"/>
    <w:rsid w:val="00975902"/>
    <w:rsid w:val="00975969"/>
    <w:rsid w:val="00975A1B"/>
    <w:rsid w:val="0097601D"/>
    <w:rsid w:val="00976156"/>
    <w:rsid w:val="0097651C"/>
    <w:rsid w:val="00976E66"/>
    <w:rsid w:val="009773B1"/>
    <w:rsid w:val="00980A86"/>
    <w:rsid w:val="00982967"/>
    <w:rsid w:val="00982C73"/>
    <w:rsid w:val="00983025"/>
    <w:rsid w:val="009835F7"/>
    <w:rsid w:val="00985BE0"/>
    <w:rsid w:val="00986B97"/>
    <w:rsid w:val="00987AD3"/>
    <w:rsid w:val="0099041A"/>
    <w:rsid w:val="009904F1"/>
    <w:rsid w:val="00990EEA"/>
    <w:rsid w:val="00991DAD"/>
    <w:rsid w:val="00992134"/>
    <w:rsid w:val="00992B4C"/>
    <w:rsid w:val="00993C9B"/>
    <w:rsid w:val="009941C3"/>
    <w:rsid w:val="00994444"/>
    <w:rsid w:val="00996C35"/>
    <w:rsid w:val="00996D29"/>
    <w:rsid w:val="00997C4C"/>
    <w:rsid w:val="00997E25"/>
    <w:rsid w:val="009A0269"/>
    <w:rsid w:val="009A0A6D"/>
    <w:rsid w:val="009A1021"/>
    <w:rsid w:val="009A139F"/>
    <w:rsid w:val="009A4C1C"/>
    <w:rsid w:val="009A5C30"/>
    <w:rsid w:val="009A5E53"/>
    <w:rsid w:val="009A61A3"/>
    <w:rsid w:val="009A69CE"/>
    <w:rsid w:val="009A6B51"/>
    <w:rsid w:val="009A6F49"/>
    <w:rsid w:val="009A73AF"/>
    <w:rsid w:val="009A780C"/>
    <w:rsid w:val="009B259C"/>
    <w:rsid w:val="009B3AEE"/>
    <w:rsid w:val="009B4154"/>
    <w:rsid w:val="009B4925"/>
    <w:rsid w:val="009B5962"/>
    <w:rsid w:val="009B6692"/>
    <w:rsid w:val="009B6711"/>
    <w:rsid w:val="009B6987"/>
    <w:rsid w:val="009B6A0E"/>
    <w:rsid w:val="009B6A28"/>
    <w:rsid w:val="009B7554"/>
    <w:rsid w:val="009C0805"/>
    <w:rsid w:val="009C0C45"/>
    <w:rsid w:val="009C17A8"/>
    <w:rsid w:val="009C23A4"/>
    <w:rsid w:val="009C25CB"/>
    <w:rsid w:val="009C4303"/>
    <w:rsid w:val="009C4557"/>
    <w:rsid w:val="009C515C"/>
    <w:rsid w:val="009C6A4C"/>
    <w:rsid w:val="009C6D84"/>
    <w:rsid w:val="009C78BC"/>
    <w:rsid w:val="009D0899"/>
    <w:rsid w:val="009D1CDB"/>
    <w:rsid w:val="009D3453"/>
    <w:rsid w:val="009D3E80"/>
    <w:rsid w:val="009D3F37"/>
    <w:rsid w:val="009D4A0B"/>
    <w:rsid w:val="009D5391"/>
    <w:rsid w:val="009D7A2C"/>
    <w:rsid w:val="009D7AFB"/>
    <w:rsid w:val="009E0F83"/>
    <w:rsid w:val="009E10CD"/>
    <w:rsid w:val="009E22EA"/>
    <w:rsid w:val="009E30BC"/>
    <w:rsid w:val="009E34B7"/>
    <w:rsid w:val="009E5465"/>
    <w:rsid w:val="009E64C3"/>
    <w:rsid w:val="009E654A"/>
    <w:rsid w:val="009E678C"/>
    <w:rsid w:val="009E73D0"/>
    <w:rsid w:val="009E7734"/>
    <w:rsid w:val="009E77D0"/>
    <w:rsid w:val="009F09F9"/>
    <w:rsid w:val="009F1AC2"/>
    <w:rsid w:val="009F1BBC"/>
    <w:rsid w:val="009F1D06"/>
    <w:rsid w:val="009F23CD"/>
    <w:rsid w:val="009F3A03"/>
    <w:rsid w:val="009F3DA6"/>
    <w:rsid w:val="009F4180"/>
    <w:rsid w:val="009F4684"/>
    <w:rsid w:val="009F4DC7"/>
    <w:rsid w:val="009F5186"/>
    <w:rsid w:val="009F649B"/>
    <w:rsid w:val="009F6E84"/>
    <w:rsid w:val="009F716D"/>
    <w:rsid w:val="009F74DC"/>
    <w:rsid w:val="009F7AD9"/>
    <w:rsid w:val="009F7E55"/>
    <w:rsid w:val="00A00248"/>
    <w:rsid w:val="00A00BC0"/>
    <w:rsid w:val="00A0105F"/>
    <w:rsid w:val="00A02337"/>
    <w:rsid w:val="00A02900"/>
    <w:rsid w:val="00A03AF8"/>
    <w:rsid w:val="00A03B5E"/>
    <w:rsid w:val="00A041D5"/>
    <w:rsid w:val="00A04C3C"/>
    <w:rsid w:val="00A05751"/>
    <w:rsid w:val="00A06619"/>
    <w:rsid w:val="00A06B10"/>
    <w:rsid w:val="00A06B84"/>
    <w:rsid w:val="00A07B3C"/>
    <w:rsid w:val="00A1016F"/>
    <w:rsid w:val="00A10200"/>
    <w:rsid w:val="00A10E7F"/>
    <w:rsid w:val="00A10F08"/>
    <w:rsid w:val="00A1104C"/>
    <w:rsid w:val="00A123C4"/>
    <w:rsid w:val="00A126C7"/>
    <w:rsid w:val="00A12EE6"/>
    <w:rsid w:val="00A13C57"/>
    <w:rsid w:val="00A13E2D"/>
    <w:rsid w:val="00A14422"/>
    <w:rsid w:val="00A153CA"/>
    <w:rsid w:val="00A1574E"/>
    <w:rsid w:val="00A16173"/>
    <w:rsid w:val="00A16634"/>
    <w:rsid w:val="00A167BC"/>
    <w:rsid w:val="00A16861"/>
    <w:rsid w:val="00A16893"/>
    <w:rsid w:val="00A17188"/>
    <w:rsid w:val="00A17BAF"/>
    <w:rsid w:val="00A202D5"/>
    <w:rsid w:val="00A2099A"/>
    <w:rsid w:val="00A22154"/>
    <w:rsid w:val="00A22719"/>
    <w:rsid w:val="00A22BF5"/>
    <w:rsid w:val="00A2330A"/>
    <w:rsid w:val="00A233A0"/>
    <w:rsid w:val="00A2409D"/>
    <w:rsid w:val="00A2449E"/>
    <w:rsid w:val="00A2489E"/>
    <w:rsid w:val="00A25607"/>
    <w:rsid w:val="00A25F40"/>
    <w:rsid w:val="00A26752"/>
    <w:rsid w:val="00A2738A"/>
    <w:rsid w:val="00A273F8"/>
    <w:rsid w:val="00A27553"/>
    <w:rsid w:val="00A306F0"/>
    <w:rsid w:val="00A317F7"/>
    <w:rsid w:val="00A32DDC"/>
    <w:rsid w:val="00A33B2A"/>
    <w:rsid w:val="00A33FA6"/>
    <w:rsid w:val="00A34985"/>
    <w:rsid w:val="00A355C0"/>
    <w:rsid w:val="00A35967"/>
    <w:rsid w:val="00A369BC"/>
    <w:rsid w:val="00A37529"/>
    <w:rsid w:val="00A406CC"/>
    <w:rsid w:val="00A409CB"/>
    <w:rsid w:val="00A42D89"/>
    <w:rsid w:val="00A434F9"/>
    <w:rsid w:val="00A43AA3"/>
    <w:rsid w:val="00A440A7"/>
    <w:rsid w:val="00A4436A"/>
    <w:rsid w:val="00A443FC"/>
    <w:rsid w:val="00A46125"/>
    <w:rsid w:val="00A46FAD"/>
    <w:rsid w:val="00A474CE"/>
    <w:rsid w:val="00A505C1"/>
    <w:rsid w:val="00A50793"/>
    <w:rsid w:val="00A53A74"/>
    <w:rsid w:val="00A54222"/>
    <w:rsid w:val="00A54F6B"/>
    <w:rsid w:val="00A559E1"/>
    <w:rsid w:val="00A56231"/>
    <w:rsid w:val="00A57609"/>
    <w:rsid w:val="00A609B2"/>
    <w:rsid w:val="00A60D68"/>
    <w:rsid w:val="00A6141F"/>
    <w:rsid w:val="00A61623"/>
    <w:rsid w:val="00A616E9"/>
    <w:rsid w:val="00A618AC"/>
    <w:rsid w:val="00A6239B"/>
    <w:rsid w:val="00A63825"/>
    <w:rsid w:val="00A6420C"/>
    <w:rsid w:val="00A6470E"/>
    <w:rsid w:val="00A64D7A"/>
    <w:rsid w:val="00A656AD"/>
    <w:rsid w:val="00A67581"/>
    <w:rsid w:val="00A67A53"/>
    <w:rsid w:val="00A71AE6"/>
    <w:rsid w:val="00A71DE5"/>
    <w:rsid w:val="00A74D2E"/>
    <w:rsid w:val="00A756C4"/>
    <w:rsid w:val="00A757D1"/>
    <w:rsid w:val="00A75943"/>
    <w:rsid w:val="00A75E2C"/>
    <w:rsid w:val="00A7636A"/>
    <w:rsid w:val="00A767F9"/>
    <w:rsid w:val="00A76F6C"/>
    <w:rsid w:val="00A81399"/>
    <w:rsid w:val="00A8153E"/>
    <w:rsid w:val="00A81D46"/>
    <w:rsid w:val="00A821A0"/>
    <w:rsid w:val="00A83319"/>
    <w:rsid w:val="00A8333A"/>
    <w:rsid w:val="00A835BB"/>
    <w:rsid w:val="00A85062"/>
    <w:rsid w:val="00A851EF"/>
    <w:rsid w:val="00A861B6"/>
    <w:rsid w:val="00A8668C"/>
    <w:rsid w:val="00A86D79"/>
    <w:rsid w:val="00A873F4"/>
    <w:rsid w:val="00A87627"/>
    <w:rsid w:val="00A87B52"/>
    <w:rsid w:val="00A904CB"/>
    <w:rsid w:val="00A90A98"/>
    <w:rsid w:val="00A91251"/>
    <w:rsid w:val="00A91E32"/>
    <w:rsid w:val="00A91FF2"/>
    <w:rsid w:val="00A925CA"/>
    <w:rsid w:val="00A9267E"/>
    <w:rsid w:val="00A9271F"/>
    <w:rsid w:val="00A9349A"/>
    <w:rsid w:val="00A93B0F"/>
    <w:rsid w:val="00A94E82"/>
    <w:rsid w:val="00A95737"/>
    <w:rsid w:val="00A9729F"/>
    <w:rsid w:val="00A976B8"/>
    <w:rsid w:val="00AA0D18"/>
    <w:rsid w:val="00AA0D25"/>
    <w:rsid w:val="00AA0D62"/>
    <w:rsid w:val="00AA210B"/>
    <w:rsid w:val="00AA2250"/>
    <w:rsid w:val="00AA3539"/>
    <w:rsid w:val="00AA442B"/>
    <w:rsid w:val="00AA45CA"/>
    <w:rsid w:val="00AA4A2A"/>
    <w:rsid w:val="00AA5DC8"/>
    <w:rsid w:val="00AA7294"/>
    <w:rsid w:val="00AA7720"/>
    <w:rsid w:val="00AB0417"/>
    <w:rsid w:val="00AB13EA"/>
    <w:rsid w:val="00AB2E58"/>
    <w:rsid w:val="00AB36CB"/>
    <w:rsid w:val="00AB40DB"/>
    <w:rsid w:val="00AB4197"/>
    <w:rsid w:val="00AB5EA0"/>
    <w:rsid w:val="00AB6053"/>
    <w:rsid w:val="00AB62F1"/>
    <w:rsid w:val="00AC00E1"/>
    <w:rsid w:val="00AC01CC"/>
    <w:rsid w:val="00AC0A0F"/>
    <w:rsid w:val="00AC0B31"/>
    <w:rsid w:val="00AC105D"/>
    <w:rsid w:val="00AC2D75"/>
    <w:rsid w:val="00AC3C7D"/>
    <w:rsid w:val="00AC4F01"/>
    <w:rsid w:val="00AC5605"/>
    <w:rsid w:val="00AC5C06"/>
    <w:rsid w:val="00AC5C70"/>
    <w:rsid w:val="00AC6295"/>
    <w:rsid w:val="00AC6741"/>
    <w:rsid w:val="00AC6BA0"/>
    <w:rsid w:val="00AC7E24"/>
    <w:rsid w:val="00AD020F"/>
    <w:rsid w:val="00AD079A"/>
    <w:rsid w:val="00AD14B3"/>
    <w:rsid w:val="00AD16B4"/>
    <w:rsid w:val="00AD3307"/>
    <w:rsid w:val="00AD56FC"/>
    <w:rsid w:val="00AD5AAE"/>
    <w:rsid w:val="00AD6D7D"/>
    <w:rsid w:val="00AD7315"/>
    <w:rsid w:val="00AD736C"/>
    <w:rsid w:val="00AD78EB"/>
    <w:rsid w:val="00AD7AA8"/>
    <w:rsid w:val="00AE095D"/>
    <w:rsid w:val="00AE1402"/>
    <w:rsid w:val="00AE1E11"/>
    <w:rsid w:val="00AE2137"/>
    <w:rsid w:val="00AE2303"/>
    <w:rsid w:val="00AE29C1"/>
    <w:rsid w:val="00AE2AF3"/>
    <w:rsid w:val="00AE3B43"/>
    <w:rsid w:val="00AE4DBE"/>
    <w:rsid w:val="00AE53FE"/>
    <w:rsid w:val="00AE5612"/>
    <w:rsid w:val="00AE6072"/>
    <w:rsid w:val="00AE60A8"/>
    <w:rsid w:val="00AE6FF6"/>
    <w:rsid w:val="00AE7060"/>
    <w:rsid w:val="00AE72DE"/>
    <w:rsid w:val="00AE7E4A"/>
    <w:rsid w:val="00AF0ECB"/>
    <w:rsid w:val="00AF0F68"/>
    <w:rsid w:val="00AF1549"/>
    <w:rsid w:val="00AF1B45"/>
    <w:rsid w:val="00AF3480"/>
    <w:rsid w:val="00AF38C3"/>
    <w:rsid w:val="00AF3A0E"/>
    <w:rsid w:val="00AF4BE5"/>
    <w:rsid w:val="00AF63EF"/>
    <w:rsid w:val="00AF6A35"/>
    <w:rsid w:val="00B0014E"/>
    <w:rsid w:val="00B00381"/>
    <w:rsid w:val="00B00588"/>
    <w:rsid w:val="00B0283F"/>
    <w:rsid w:val="00B02CF5"/>
    <w:rsid w:val="00B031E3"/>
    <w:rsid w:val="00B0358D"/>
    <w:rsid w:val="00B03AAC"/>
    <w:rsid w:val="00B0417C"/>
    <w:rsid w:val="00B052DF"/>
    <w:rsid w:val="00B05C44"/>
    <w:rsid w:val="00B05E70"/>
    <w:rsid w:val="00B06018"/>
    <w:rsid w:val="00B06A7E"/>
    <w:rsid w:val="00B06F87"/>
    <w:rsid w:val="00B1009D"/>
    <w:rsid w:val="00B10463"/>
    <w:rsid w:val="00B11524"/>
    <w:rsid w:val="00B11A3E"/>
    <w:rsid w:val="00B13C01"/>
    <w:rsid w:val="00B1403B"/>
    <w:rsid w:val="00B14911"/>
    <w:rsid w:val="00B14D80"/>
    <w:rsid w:val="00B150C9"/>
    <w:rsid w:val="00B16A2D"/>
    <w:rsid w:val="00B176C6"/>
    <w:rsid w:val="00B20F0D"/>
    <w:rsid w:val="00B2101E"/>
    <w:rsid w:val="00B210E4"/>
    <w:rsid w:val="00B227AC"/>
    <w:rsid w:val="00B228E9"/>
    <w:rsid w:val="00B22DE7"/>
    <w:rsid w:val="00B2309A"/>
    <w:rsid w:val="00B23576"/>
    <w:rsid w:val="00B23E62"/>
    <w:rsid w:val="00B24C43"/>
    <w:rsid w:val="00B256B5"/>
    <w:rsid w:val="00B26623"/>
    <w:rsid w:val="00B27D3D"/>
    <w:rsid w:val="00B30102"/>
    <w:rsid w:val="00B30371"/>
    <w:rsid w:val="00B311F8"/>
    <w:rsid w:val="00B314D9"/>
    <w:rsid w:val="00B319F3"/>
    <w:rsid w:val="00B34ABA"/>
    <w:rsid w:val="00B34DCB"/>
    <w:rsid w:val="00B352D7"/>
    <w:rsid w:val="00B35DE7"/>
    <w:rsid w:val="00B3665D"/>
    <w:rsid w:val="00B3668E"/>
    <w:rsid w:val="00B400FD"/>
    <w:rsid w:val="00B40958"/>
    <w:rsid w:val="00B41ADC"/>
    <w:rsid w:val="00B43E20"/>
    <w:rsid w:val="00B449C6"/>
    <w:rsid w:val="00B469CC"/>
    <w:rsid w:val="00B4778F"/>
    <w:rsid w:val="00B47DC6"/>
    <w:rsid w:val="00B51033"/>
    <w:rsid w:val="00B510DF"/>
    <w:rsid w:val="00B51C69"/>
    <w:rsid w:val="00B51EA1"/>
    <w:rsid w:val="00B52A58"/>
    <w:rsid w:val="00B52B21"/>
    <w:rsid w:val="00B53A38"/>
    <w:rsid w:val="00B544D8"/>
    <w:rsid w:val="00B546E2"/>
    <w:rsid w:val="00B54E78"/>
    <w:rsid w:val="00B54F39"/>
    <w:rsid w:val="00B5592D"/>
    <w:rsid w:val="00B603F2"/>
    <w:rsid w:val="00B62137"/>
    <w:rsid w:val="00B63630"/>
    <w:rsid w:val="00B643BA"/>
    <w:rsid w:val="00B65189"/>
    <w:rsid w:val="00B65A71"/>
    <w:rsid w:val="00B65F23"/>
    <w:rsid w:val="00B6615B"/>
    <w:rsid w:val="00B6769A"/>
    <w:rsid w:val="00B67B2A"/>
    <w:rsid w:val="00B67BD1"/>
    <w:rsid w:val="00B70C0B"/>
    <w:rsid w:val="00B70F23"/>
    <w:rsid w:val="00B71D01"/>
    <w:rsid w:val="00B72355"/>
    <w:rsid w:val="00B7268A"/>
    <w:rsid w:val="00B729A3"/>
    <w:rsid w:val="00B72DDF"/>
    <w:rsid w:val="00B734C3"/>
    <w:rsid w:val="00B73E84"/>
    <w:rsid w:val="00B76A14"/>
    <w:rsid w:val="00B76E4C"/>
    <w:rsid w:val="00B76F0D"/>
    <w:rsid w:val="00B80CC3"/>
    <w:rsid w:val="00B81453"/>
    <w:rsid w:val="00B828C6"/>
    <w:rsid w:val="00B82B2E"/>
    <w:rsid w:val="00B8332B"/>
    <w:rsid w:val="00B8351E"/>
    <w:rsid w:val="00B83FA1"/>
    <w:rsid w:val="00B8443E"/>
    <w:rsid w:val="00B861E8"/>
    <w:rsid w:val="00B87467"/>
    <w:rsid w:val="00B920AB"/>
    <w:rsid w:val="00B92503"/>
    <w:rsid w:val="00B92A4A"/>
    <w:rsid w:val="00B9342A"/>
    <w:rsid w:val="00B95B55"/>
    <w:rsid w:val="00B965D4"/>
    <w:rsid w:val="00B96910"/>
    <w:rsid w:val="00B96D25"/>
    <w:rsid w:val="00B9710F"/>
    <w:rsid w:val="00B97466"/>
    <w:rsid w:val="00B979BB"/>
    <w:rsid w:val="00BA00E5"/>
    <w:rsid w:val="00BA0DD6"/>
    <w:rsid w:val="00BA1BAB"/>
    <w:rsid w:val="00BA3885"/>
    <w:rsid w:val="00BA396C"/>
    <w:rsid w:val="00BA399B"/>
    <w:rsid w:val="00BA4179"/>
    <w:rsid w:val="00BA4500"/>
    <w:rsid w:val="00BA48F1"/>
    <w:rsid w:val="00BA5C27"/>
    <w:rsid w:val="00BA68C6"/>
    <w:rsid w:val="00BA71DF"/>
    <w:rsid w:val="00BB0B2C"/>
    <w:rsid w:val="00BB1C31"/>
    <w:rsid w:val="00BB24D8"/>
    <w:rsid w:val="00BB2B38"/>
    <w:rsid w:val="00BB2CC5"/>
    <w:rsid w:val="00BB45D4"/>
    <w:rsid w:val="00BB4EAA"/>
    <w:rsid w:val="00BB566C"/>
    <w:rsid w:val="00BB5D3B"/>
    <w:rsid w:val="00BB6099"/>
    <w:rsid w:val="00BB703D"/>
    <w:rsid w:val="00BB75BC"/>
    <w:rsid w:val="00BB7A84"/>
    <w:rsid w:val="00BB7B70"/>
    <w:rsid w:val="00BB7DD5"/>
    <w:rsid w:val="00BC0A23"/>
    <w:rsid w:val="00BC0DB6"/>
    <w:rsid w:val="00BC0EFD"/>
    <w:rsid w:val="00BC1086"/>
    <w:rsid w:val="00BC1321"/>
    <w:rsid w:val="00BC151E"/>
    <w:rsid w:val="00BC23B0"/>
    <w:rsid w:val="00BC2451"/>
    <w:rsid w:val="00BC3D14"/>
    <w:rsid w:val="00BC4076"/>
    <w:rsid w:val="00BC45BE"/>
    <w:rsid w:val="00BC5873"/>
    <w:rsid w:val="00BC63A7"/>
    <w:rsid w:val="00BC6C94"/>
    <w:rsid w:val="00BC79C3"/>
    <w:rsid w:val="00BC7C08"/>
    <w:rsid w:val="00BD00EA"/>
    <w:rsid w:val="00BD0DBE"/>
    <w:rsid w:val="00BD276D"/>
    <w:rsid w:val="00BD29A2"/>
    <w:rsid w:val="00BD3813"/>
    <w:rsid w:val="00BD3ADA"/>
    <w:rsid w:val="00BD4108"/>
    <w:rsid w:val="00BD479D"/>
    <w:rsid w:val="00BD4D1C"/>
    <w:rsid w:val="00BD59EA"/>
    <w:rsid w:val="00BD5A1A"/>
    <w:rsid w:val="00BD6231"/>
    <w:rsid w:val="00BD6906"/>
    <w:rsid w:val="00BD7623"/>
    <w:rsid w:val="00BE0821"/>
    <w:rsid w:val="00BE19E2"/>
    <w:rsid w:val="00BE1BFC"/>
    <w:rsid w:val="00BE24BB"/>
    <w:rsid w:val="00BE29A9"/>
    <w:rsid w:val="00BE3264"/>
    <w:rsid w:val="00BE3468"/>
    <w:rsid w:val="00BE3878"/>
    <w:rsid w:val="00BE38BD"/>
    <w:rsid w:val="00BE3A15"/>
    <w:rsid w:val="00BE3DB0"/>
    <w:rsid w:val="00BE53BC"/>
    <w:rsid w:val="00BE5BEF"/>
    <w:rsid w:val="00BE7D44"/>
    <w:rsid w:val="00BF0411"/>
    <w:rsid w:val="00BF0E84"/>
    <w:rsid w:val="00BF27C9"/>
    <w:rsid w:val="00BF4795"/>
    <w:rsid w:val="00BF4D13"/>
    <w:rsid w:val="00BF57F3"/>
    <w:rsid w:val="00BF58EC"/>
    <w:rsid w:val="00BF5BEC"/>
    <w:rsid w:val="00BF6745"/>
    <w:rsid w:val="00BF6765"/>
    <w:rsid w:val="00BF67F2"/>
    <w:rsid w:val="00BF6C6C"/>
    <w:rsid w:val="00BF6F0D"/>
    <w:rsid w:val="00BF72AF"/>
    <w:rsid w:val="00BF7849"/>
    <w:rsid w:val="00BF7DD3"/>
    <w:rsid w:val="00C002AA"/>
    <w:rsid w:val="00C0075A"/>
    <w:rsid w:val="00C0227B"/>
    <w:rsid w:val="00C04C30"/>
    <w:rsid w:val="00C04E22"/>
    <w:rsid w:val="00C05093"/>
    <w:rsid w:val="00C05427"/>
    <w:rsid w:val="00C05A0B"/>
    <w:rsid w:val="00C064D3"/>
    <w:rsid w:val="00C068BF"/>
    <w:rsid w:val="00C069AF"/>
    <w:rsid w:val="00C07235"/>
    <w:rsid w:val="00C07C0B"/>
    <w:rsid w:val="00C105D2"/>
    <w:rsid w:val="00C10749"/>
    <w:rsid w:val="00C10FBA"/>
    <w:rsid w:val="00C127E1"/>
    <w:rsid w:val="00C12940"/>
    <w:rsid w:val="00C1369A"/>
    <w:rsid w:val="00C142FA"/>
    <w:rsid w:val="00C15DFE"/>
    <w:rsid w:val="00C163B2"/>
    <w:rsid w:val="00C167B4"/>
    <w:rsid w:val="00C202D8"/>
    <w:rsid w:val="00C21200"/>
    <w:rsid w:val="00C21FC6"/>
    <w:rsid w:val="00C22787"/>
    <w:rsid w:val="00C22FF7"/>
    <w:rsid w:val="00C23537"/>
    <w:rsid w:val="00C23AF6"/>
    <w:rsid w:val="00C24C82"/>
    <w:rsid w:val="00C3079F"/>
    <w:rsid w:val="00C31AE4"/>
    <w:rsid w:val="00C32789"/>
    <w:rsid w:val="00C34207"/>
    <w:rsid w:val="00C3648F"/>
    <w:rsid w:val="00C3722A"/>
    <w:rsid w:val="00C37A4B"/>
    <w:rsid w:val="00C37BFF"/>
    <w:rsid w:val="00C411BE"/>
    <w:rsid w:val="00C41309"/>
    <w:rsid w:val="00C42235"/>
    <w:rsid w:val="00C42537"/>
    <w:rsid w:val="00C42A30"/>
    <w:rsid w:val="00C42CD3"/>
    <w:rsid w:val="00C42FB2"/>
    <w:rsid w:val="00C44FDF"/>
    <w:rsid w:val="00C450EE"/>
    <w:rsid w:val="00C454E3"/>
    <w:rsid w:val="00C469D6"/>
    <w:rsid w:val="00C4785B"/>
    <w:rsid w:val="00C47F87"/>
    <w:rsid w:val="00C50A67"/>
    <w:rsid w:val="00C51EE0"/>
    <w:rsid w:val="00C52007"/>
    <w:rsid w:val="00C527FC"/>
    <w:rsid w:val="00C52872"/>
    <w:rsid w:val="00C52C01"/>
    <w:rsid w:val="00C52CEE"/>
    <w:rsid w:val="00C530D0"/>
    <w:rsid w:val="00C54AE9"/>
    <w:rsid w:val="00C553F5"/>
    <w:rsid w:val="00C556B7"/>
    <w:rsid w:val="00C56881"/>
    <w:rsid w:val="00C56DDF"/>
    <w:rsid w:val="00C56E9B"/>
    <w:rsid w:val="00C5734E"/>
    <w:rsid w:val="00C579F3"/>
    <w:rsid w:val="00C57BE0"/>
    <w:rsid w:val="00C60686"/>
    <w:rsid w:val="00C60770"/>
    <w:rsid w:val="00C61A04"/>
    <w:rsid w:val="00C62D6D"/>
    <w:rsid w:val="00C634D4"/>
    <w:rsid w:val="00C63C15"/>
    <w:rsid w:val="00C6424A"/>
    <w:rsid w:val="00C64411"/>
    <w:rsid w:val="00C648E2"/>
    <w:rsid w:val="00C64A74"/>
    <w:rsid w:val="00C65139"/>
    <w:rsid w:val="00C6534D"/>
    <w:rsid w:val="00C65AE4"/>
    <w:rsid w:val="00C65B4B"/>
    <w:rsid w:val="00C6615A"/>
    <w:rsid w:val="00C669A3"/>
    <w:rsid w:val="00C66A9B"/>
    <w:rsid w:val="00C702C9"/>
    <w:rsid w:val="00C7063F"/>
    <w:rsid w:val="00C70656"/>
    <w:rsid w:val="00C708C3"/>
    <w:rsid w:val="00C70A4C"/>
    <w:rsid w:val="00C70A54"/>
    <w:rsid w:val="00C70DDB"/>
    <w:rsid w:val="00C712E3"/>
    <w:rsid w:val="00C71D18"/>
    <w:rsid w:val="00C722B2"/>
    <w:rsid w:val="00C72373"/>
    <w:rsid w:val="00C72778"/>
    <w:rsid w:val="00C72C18"/>
    <w:rsid w:val="00C733F9"/>
    <w:rsid w:val="00C73E38"/>
    <w:rsid w:val="00C74AE8"/>
    <w:rsid w:val="00C74E1B"/>
    <w:rsid w:val="00C755FF"/>
    <w:rsid w:val="00C76117"/>
    <w:rsid w:val="00C779AB"/>
    <w:rsid w:val="00C77A3D"/>
    <w:rsid w:val="00C80BFF"/>
    <w:rsid w:val="00C80CDB"/>
    <w:rsid w:val="00C817CF"/>
    <w:rsid w:val="00C81F3E"/>
    <w:rsid w:val="00C83D17"/>
    <w:rsid w:val="00C843DE"/>
    <w:rsid w:val="00C8498D"/>
    <w:rsid w:val="00C84EC5"/>
    <w:rsid w:val="00C85034"/>
    <w:rsid w:val="00C873D0"/>
    <w:rsid w:val="00C87A9F"/>
    <w:rsid w:val="00C87E46"/>
    <w:rsid w:val="00C90873"/>
    <w:rsid w:val="00C90B70"/>
    <w:rsid w:val="00C90C31"/>
    <w:rsid w:val="00C90F76"/>
    <w:rsid w:val="00C918D1"/>
    <w:rsid w:val="00C921C7"/>
    <w:rsid w:val="00C92C12"/>
    <w:rsid w:val="00C932C9"/>
    <w:rsid w:val="00C93CAC"/>
    <w:rsid w:val="00C93D07"/>
    <w:rsid w:val="00C93E6A"/>
    <w:rsid w:val="00C94654"/>
    <w:rsid w:val="00C94A89"/>
    <w:rsid w:val="00C95202"/>
    <w:rsid w:val="00C95371"/>
    <w:rsid w:val="00C9607D"/>
    <w:rsid w:val="00C96F44"/>
    <w:rsid w:val="00C97340"/>
    <w:rsid w:val="00C975E3"/>
    <w:rsid w:val="00C977EB"/>
    <w:rsid w:val="00CA04E4"/>
    <w:rsid w:val="00CA087F"/>
    <w:rsid w:val="00CA1B1F"/>
    <w:rsid w:val="00CA1D61"/>
    <w:rsid w:val="00CA25CC"/>
    <w:rsid w:val="00CA28F0"/>
    <w:rsid w:val="00CA29F0"/>
    <w:rsid w:val="00CA34CB"/>
    <w:rsid w:val="00CA37D4"/>
    <w:rsid w:val="00CA479D"/>
    <w:rsid w:val="00CA5572"/>
    <w:rsid w:val="00CA56FA"/>
    <w:rsid w:val="00CA5A76"/>
    <w:rsid w:val="00CA6275"/>
    <w:rsid w:val="00CA7231"/>
    <w:rsid w:val="00CA7525"/>
    <w:rsid w:val="00CA79F0"/>
    <w:rsid w:val="00CB0466"/>
    <w:rsid w:val="00CB0ED9"/>
    <w:rsid w:val="00CB2501"/>
    <w:rsid w:val="00CB250A"/>
    <w:rsid w:val="00CB4837"/>
    <w:rsid w:val="00CB55BA"/>
    <w:rsid w:val="00CB5970"/>
    <w:rsid w:val="00CB5E6A"/>
    <w:rsid w:val="00CB6105"/>
    <w:rsid w:val="00CB74E5"/>
    <w:rsid w:val="00CC0BCC"/>
    <w:rsid w:val="00CC0E18"/>
    <w:rsid w:val="00CC102C"/>
    <w:rsid w:val="00CC1542"/>
    <w:rsid w:val="00CC2BAB"/>
    <w:rsid w:val="00CC38B6"/>
    <w:rsid w:val="00CC3A95"/>
    <w:rsid w:val="00CC3AA9"/>
    <w:rsid w:val="00CC59FC"/>
    <w:rsid w:val="00CC5A9E"/>
    <w:rsid w:val="00CC62A5"/>
    <w:rsid w:val="00CC6872"/>
    <w:rsid w:val="00CC6CD0"/>
    <w:rsid w:val="00CC6FC7"/>
    <w:rsid w:val="00CC7E40"/>
    <w:rsid w:val="00CD0936"/>
    <w:rsid w:val="00CD0BCB"/>
    <w:rsid w:val="00CD1047"/>
    <w:rsid w:val="00CD1179"/>
    <w:rsid w:val="00CD13F5"/>
    <w:rsid w:val="00CD2087"/>
    <w:rsid w:val="00CD264B"/>
    <w:rsid w:val="00CD29B7"/>
    <w:rsid w:val="00CD2C09"/>
    <w:rsid w:val="00CD38F9"/>
    <w:rsid w:val="00CD58E3"/>
    <w:rsid w:val="00CD5992"/>
    <w:rsid w:val="00CD5B75"/>
    <w:rsid w:val="00CD6605"/>
    <w:rsid w:val="00CD6932"/>
    <w:rsid w:val="00CD6A84"/>
    <w:rsid w:val="00CE0571"/>
    <w:rsid w:val="00CE07A6"/>
    <w:rsid w:val="00CE095B"/>
    <w:rsid w:val="00CE0C7B"/>
    <w:rsid w:val="00CE129C"/>
    <w:rsid w:val="00CE34B7"/>
    <w:rsid w:val="00CE403E"/>
    <w:rsid w:val="00CE41BA"/>
    <w:rsid w:val="00CE4A5D"/>
    <w:rsid w:val="00CE62A5"/>
    <w:rsid w:val="00CE7108"/>
    <w:rsid w:val="00CE77E8"/>
    <w:rsid w:val="00CE7BFE"/>
    <w:rsid w:val="00CF092C"/>
    <w:rsid w:val="00CF1C18"/>
    <w:rsid w:val="00CF2C6A"/>
    <w:rsid w:val="00CF2D7E"/>
    <w:rsid w:val="00CF4EBC"/>
    <w:rsid w:val="00CF5352"/>
    <w:rsid w:val="00CF5A84"/>
    <w:rsid w:val="00CF632F"/>
    <w:rsid w:val="00CF638A"/>
    <w:rsid w:val="00CF69C2"/>
    <w:rsid w:val="00CF71FF"/>
    <w:rsid w:val="00CF77AA"/>
    <w:rsid w:val="00D00E4B"/>
    <w:rsid w:val="00D017E9"/>
    <w:rsid w:val="00D01F44"/>
    <w:rsid w:val="00D02948"/>
    <w:rsid w:val="00D043B6"/>
    <w:rsid w:val="00D06324"/>
    <w:rsid w:val="00D064A0"/>
    <w:rsid w:val="00D065E9"/>
    <w:rsid w:val="00D0765B"/>
    <w:rsid w:val="00D07691"/>
    <w:rsid w:val="00D07C69"/>
    <w:rsid w:val="00D103D5"/>
    <w:rsid w:val="00D11565"/>
    <w:rsid w:val="00D1224A"/>
    <w:rsid w:val="00D12258"/>
    <w:rsid w:val="00D127A4"/>
    <w:rsid w:val="00D13F4B"/>
    <w:rsid w:val="00D14C46"/>
    <w:rsid w:val="00D163D0"/>
    <w:rsid w:val="00D1736D"/>
    <w:rsid w:val="00D20419"/>
    <w:rsid w:val="00D20A54"/>
    <w:rsid w:val="00D2227A"/>
    <w:rsid w:val="00D225A9"/>
    <w:rsid w:val="00D225C5"/>
    <w:rsid w:val="00D230AD"/>
    <w:rsid w:val="00D238F9"/>
    <w:rsid w:val="00D2489A"/>
    <w:rsid w:val="00D25780"/>
    <w:rsid w:val="00D2667C"/>
    <w:rsid w:val="00D2696E"/>
    <w:rsid w:val="00D275A8"/>
    <w:rsid w:val="00D319B0"/>
    <w:rsid w:val="00D32BA9"/>
    <w:rsid w:val="00D331AE"/>
    <w:rsid w:val="00D34185"/>
    <w:rsid w:val="00D34828"/>
    <w:rsid w:val="00D349F6"/>
    <w:rsid w:val="00D35291"/>
    <w:rsid w:val="00D37732"/>
    <w:rsid w:val="00D4009D"/>
    <w:rsid w:val="00D40103"/>
    <w:rsid w:val="00D40A1A"/>
    <w:rsid w:val="00D40DD3"/>
    <w:rsid w:val="00D4101F"/>
    <w:rsid w:val="00D429DD"/>
    <w:rsid w:val="00D4319C"/>
    <w:rsid w:val="00D46251"/>
    <w:rsid w:val="00D4633E"/>
    <w:rsid w:val="00D471FB"/>
    <w:rsid w:val="00D474F4"/>
    <w:rsid w:val="00D47D64"/>
    <w:rsid w:val="00D50EE7"/>
    <w:rsid w:val="00D5236B"/>
    <w:rsid w:val="00D52389"/>
    <w:rsid w:val="00D54486"/>
    <w:rsid w:val="00D5586B"/>
    <w:rsid w:val="00D567A0"/>
    <w:rsid w:val="00D56DC4"/>
    <w:rsid w:val="00D56DCE"/>
    <w:rsid w:val="00D60D75"/>
    <w:rsid w:val="00D60F4F"/>
    <w:rsid w:val="00D61540"/>
    <w:rsid w:val="00D61856"/>
    <w:rsid w:val="00D61B68"/>
    <w:rsid w:val="00D6249A"/>
    <w:rsid w:val="00D62511"/>
    <w:rsid w:val="00D62E6E"/>
    <w:rsid w:val="00D633B5"/>
    <w:rsid w:val="00D658F0"/>
    <w:rsid w:val="00D65BDA"/>
    <w:rsid w:val="00D65CA0"/>
    <w:rsid w:val="00D65ED8"/>
    <w:rsid w:val="00D66131"/>
    <w:rsid w:val="00D66A02"/>
    <w:rsid w:val="00D66E38"/>
    <w:rsid w:val="00D67145"/>
    <w:rsid w:val="00D7368E"/>
    <w:rsid w:val="00D747CE"/>
    <w:rsid w:val="00D74DF1"/>
    <w:rsid w:val="00D76507"/>
    <w:rsid w:val="00D7676C"/>
    <w:rsid w:val="00D76D9C"/>
    <w:rsid w:val="00D77279"/>
    <w:rsid w:val="00D77A20"/>
    <w:rsid w:val="00D8002D"/>
    <w:rsid w:val="00D80AA5"/>
    <w:rsid w:val="00D80CB4"/>
    <w:rsid w:val="00D818FB"/>
    <w:rsid w:val="00D82283"/>
    <w:rsid w:val="00D82751"/>
    <w:rsid w:val="00D832D8"/>
    <w:rsid w:val="00D84466"/>
    <w:rsid w:val="00D8544B"/>
    <w:rsid w:val="00D85591"/>
    <w:rsid w:val="00D86D20"/>
    <w:rsid w:val="00D90AE9"/>
    <w:rsid w:val="00D916D0"/>
    <w:rsid w:val="00D91CEB"/>
    <w:rsid w:val="00D92C42"/>
    <w:rsid w:val="00D938EF"/>
    <w:rsid w:val="00D9398C"/>
    <w:rsid w:val="00D93DE4"/>
    <w:rsid w:val="00D93EC4"/>
    <w:rsid w:val="00D9550E"/>
    <w:rsid w:val="00D96060"/>
    <w:rsid w:val="00D9669A"/>
    <w:rsid w:val="00D969DC"/>
    <w:rsid w:val="00DA070A"/>
    <w:rsid w:val="00DA0BB1"/>
    <w:rsid w:val="00DA0BF0"/>
    <w:rsid w:val="00DA0C05"/>
    <w:rsid w:val="00DA1540"/>
    <w:rsid w:val="00DA1CED"/>
    <w:rsid w:val="00DA1D18"/>
    <w:rsid w:val="00DA2067"/>
    <w:rsid w:val="00DA2AA9"/>
    <w:rsid w:val="00DA33E9"/>
    <w:rsid w:val="00DA385B"/>
    <w:rsid w:val="00DA3CBE"/>
    <w:rsid w:val="00DA4F6F"/>
    <w:rsid w:val="00DA5855"/>
    <w:rsid w:val="00DA594C"/>
    <w:rsid w:val="00DA5C07"/>
    <w:rsid w:val="00DA6383"/>
    <w:rsid w:val="00DB0895"/>
    <w:rsid w:val="00DB0899"/>
    <w:rsid w:val="00DB17A1"/>
    <w:rsid w:val="00DB2A83"/>
    <w:rsid w:val="00DB3D33"/>
    <w:rsid w:val="00DB3F1B"/>
    <w:rsid w:val="00DB6035"/>
    <w:rsid w:val="00DB6E26"/>
    <w:rsid w:val="00DB7074"/>
    <w:rsid w:val="00DB79D1"/>
    <w:rsid w:val="00DC1C70"/>
    <w:rsid w:val="00DC1DCE"/>
    <w:rsid w:val="00DC1EBE"/>
    <w:rsid w:val="00DC292E"/>
    <w:rsid w:val="00DC2DC3"/>
    <w:rsid w:val="00DC307A"/>
    <w:rsid w:val="00DC3799"/>
    <w:rsid w:val="00DC390A"/>
    <w:rsid w:val="00DC3D93"/>
    <w:rsid w:val="00DC441D"/>
    <w:rsid w:val="00DC46BE"/>
    <w:rsid w:val="00DC51DE"/>
    <w:rsid w:val="00DC56D5"/>
    <w:rsid w:val="00DC5744"/>
    <w:rsid w:val="00DC60D8"/>
    <w:rsid w:val="00DC6E5E"/>
    <w:rsid w:val="00DD0EB6"/>
    <w:rsid w:val="00DD0F72"/>
    <w:rsid w:val="00DD14F9"/>
    <w:rsid w:val="00DD37EC"/>
    <w:rsid w:val="00DD3908"/>
    <w:rsid w:val="00DD434B"/>
    <w:rsid w:val="00DD43B2"/>
    <w:rsid w:val="00DD4B77"/>
    <w:rsid w:val="00DD4F72"/>
    <w:rsid w:val="00DD7463"/>
    <w:rsid w:val="00DD74AF"/>
    <w:rsid w:val="00DD7B72"/>
    <w:rsid w:val="00DE0CA8"/>
    <w:rsid w:val="00DE1E93"/>
    <w:rsid w:val="00DE3170"/>
    <w:rsid w:val="00DE3265"/>
    <w:rsid w:val="00DE3FD9"/>
    <w:rsid w:val="00DF0507"/>
    <w:rsid w:val="00DF0CED"/>
    <w:rsid w:val="00DF11C9"/>
    <w:rsid w:val="00DF1C2A"/>
    <w:rsid w:val="00DF2126"/>
    <w:rsid w:val="00DF3BA1"/>
    <w:rsid w:val="00DF3E01"/>
    <w:rsid w:val="00DF48EB"/>
    <w:rsid w:val="00DF53F2"/>
    <w:rsid w:val="00DF5BDA"/>
    <w:rsid w:val="00DF6635"/>
    <w:rsid w:val="00DF6D73"/>
    <w:rsid w:val="00DF6DF3"/>
    <w:rsid w:val="00DF7E10"/>
    <w:rsid w:val="00E011A9"/>
    <w:rsid w:val="00E017A0"/>
    <w:rsid w:val="00E01DF0"/>
    <w:rsid w:val="00E01F39"/>
    <w:rsid w:val="00E02222"/>
    <w:rsid w:val="00E02B14"/>
    <w:rsid w:val="00E02EC6"/>
    <w:rsid w:val="00E0300F"/>
    <w:rsid w:val="00E04525"/>
    <w:rsid w:val="00E0470C"/>
    <w:rsid w:val="00E04C2F"/>
    <w:rsid w:val="00E04C6E"/>
    <w:rsid w:val="00E05339"/>
    <w:rsid w:val="00E05A63"/>
    <w:rsid w:val="00E05C0B"/>
    <w:rsid w:val="00E062CD"/>
    <w:rsid w:val="00E07F0B"/>
    <w:rsid w:val="00E10643"/>
    <w:rsid w:val="00E106E2"/>
    <w:rsid w:val="00E10C49"/>
    <w:rsid w:val="00E1128B"/>
    <w:rsid w:val="00E11C8E"/>
    <w:rsid w:val="00E12116"/>
    <w:rsid w:val="00E12983"/>
    <w:rsid w:val="00E13389"/>
    <w:rsid w:val="00E138A7"/>
    <w:rsid w:val="00E155C9"/>
    <w:rsid w:val="00E160E9"/>
    <w:rsid w:val="00E1675D"/>
    <w:rsid w:val="00E2047E"/>
    <w:rsid w:val="00E2051B"/>
    <w:rsid w:val="00E22677"/>
    <w:rsid w:val="00E23829"/>
    <w:rsid w:val="00E2464C"/>
    <w:rsid w:val="00E2613F"/>
    <w:rsid w:val="00E3111B"/>
    <w:rsid w:val="00E313C4"/>
    <w:rsid w:val="00E317C1"/>
    <w:rsid w:val="00E32AFF"/>
    <w:rsid w:val="00E33557"/>
    <w:rsid w:val="00E33D55"/>
    <w:rsid w:val="00E347C0"/>
    <w:rsid w:val="00E34CD7"/>
    <w:rsid w:val="00E34E19"/>
    <w:rsid w:val="00E352D8"/>
    <w:rsid w:val="00E35433"/>
    <w:rsid w:val="00E35933"/>
    <w:rsid w:val="00E36BCF"/>
    <w:rsid w:val="00E37508"/>
    <w:rsid w:val="00E3758F"/>
    <w:rsid w:val="00E37F4A"/>
    <w:rsid w:val="00E37FD8"/>
    <w:rsid w:val="00E40107"/>
    <w:rsid w:val="00E41089"/>
    <w:rsid w:val="00E415D2"/>
    <w:rsid w:val="00E421DB"/>
    <w:rsid w:val="00E4280C"/>
    <w:rsid w:val="00E444EF"/>
    <w:rsid w:val="00E44933"/>
    <w:rsid w:val="00E44D33"/>
    <w:rsid w:val="00E454E2"/>
    <w:rsid w:val="00E45894"/>
    <w:rsid w:val="00E45FC9"/>
    <w:rsid w:val="00E47336"/>
    <w:rsid w:val="00E5106C"/>
    <w:rsid w:val="00E51472"/>
    <w:rsid w:val="00E51DD1"/>
    <w:rsid w:val="00E51ED0"/>
    <w:rsid w:val="00E51F7C"/>
    <w:rsid w:val="00E52958"/>
    <w:rsid w:val="00E53417"/>
    <w:rsid w:val="00E53A01"/>
    <w:rsid w:val="00E53A9F"/>
    <w:rsid w:val="00E5524D"/>
    <w:rsid w:val="00E56B0B"/>
    <w:rsid w:val="00E60952"/>
    <w:rsid w:val="00E60B32"/>
    <w:rsid w:val="00E6149A"/>
    <w:rsid w:val="00E62052"/>
    <w:rsid w:val="00E62BB2"/>
    <w:rsid w:val="00E63101"/>
    <w:rsid w:val="00E63280"/>
    <w:rsid w:val="00E635A8"/>
    <w:rsid w:val="00E63744"/>
    <w:rsid w:val="00E645DE"/>
    <w:rsid w:val="00E654A4"/>
    <w:rsid w:val="00E654AD"/>
    <w:rsid w:val="00E6569C"/>
    <w:rsid w:val="00E70599"/>
    <w:rsid w:val="00E708A4"/>
    <w:rsid w:val="00E70D8D"/>
    <w:rsid w:val="00E716F8"/>
    <w:rsid w:val="00E72F76"/>
    <w:rsid w:val="00E73565"/>
    <w:rsid w:val="00E74D2D"/>
    <w:rsid w:val="00E74F72"/>
    <w:rsid w:val="00E75320"/>
    <w:rsid w:val="00E75BEA"/>
    <w:rsid w:val="00E7700A"/>
    <w:rsid w:val="00E806B1"/>
    <w:rsid w:val="00E81B13"/>
    <w:rsid w:val="00E836C8"/>
    <w:rsid w:val="00E837A5"/>
    <w:rsid w:val="00E838EE"/>
    <w:rsid w:val="00E858BB"/>
    <w:rsid w:val="00E858FA"/>
    <w:rsid w:val="00E86349"/>
    <w:rsid w:val="00E86E5A"/>
    <w:rsid w:val="00E87544"/>
    <w:rsid w:val="00E90681"/>
    <w:rsid w:val="00E9107F"/>
    <w:rsid w:val="00E91456"/>
    <w:rsid w:val="00E91A61"/>
    <w:rsid w:val="00E9219F"/>
    <w:rsid w:val="00E922CB"/>
    <w:rsid w:val="00E931FE"/>
    <w:rsid w:val="00E93A51"/>
    <w:rsid w:val="00E94274"/>
    <w:rsid w:val="00E94937"/>
    <w:rsid w:val="00E94EC7"/>
    <w:rsid w:val="00E95264"/>
    <w:rsid w:val="00E96295"/>
    <w:rsid w:val="00E96749"/>
    <w:rsid w:val="00E96E27"/>
    <w:rsid w:val="00E970C8"/>
    <w:rsid w:val="00E97782"/>
    <w:rsid w:val="00EA1BC8"/>
    <w:rsid w:val="00EA244C"/>
    <w:rsid w:val="00EA2A83"/>
    <w:rsid w:val="00EA32E6"/>
    <w:rsid w:val="00EA35CB"/>
    <w:rsid w:val="00EA38B9"/>
    <w:rsid w:val="00EA43EA"/>
    <w:rsid w:val="00EA440B"/>
    <w:rsid w:val="00EA566D"/>
    <w:rsid w:val="00EA56B4"/>
    <w:rsid w:val="00EA69C0"/>
    <w:rsid w:val="00EA77D4"/>
    <w:rsid w:val="00EA7BE6"/>
    <w:rsid w:val="00EB085F"/>
    <w:rsid w:val="00EB12DB"/>
    <w:rsid w:val="00EB1962"/>
    <w:rsid w:val="00EB3472"/>
    <w:rsid w:val="00EB3D97"/>
    <w:rsid w:val="00EB4D95"/>
    <w:rsid w:val="00EB5066"/>
    <w:rsid w:val="00EB52BB"/>
    <w:rsid w:val="00EB70E7"/>
    <w:rsid w:val="00EB720A"/>
    <w:rsid w:val="00EB73EE"/>
    <w:rsid w:val="00EB7788"/>
    <w:rsid w:val="00EC0506"/>
    <w:rsid w:val="00EC2D56"/>
    <w:rsid w:val="00EC326D"/>
    <w:rsid w:val="00EC3CC7"/>
    <w:rsid w:val="00EC4230"/>
    <w:rsid w:val="00EC4469"/>
    <w:rsid w:val="00EC4624"/>
    <w:rsid w:val="00EC48EA"/>
    <w:rsid w:val="00EC5758"/>
    <w:rsid w:val="00EC773A"/>
    <w:rsid w:val="00EC79F1"/>
    <w:rsid w:val="00EC7BBB"/>
    <w:rsid w:val="00ED0524"/>
    <w:rsid w:val="00ED13CA"/>
    <w:rsid w:val="00ED1D8C"/>
    <w:rsid w:val="00ED1DA7"/>
    <w:rsid w:val="00ED311E"/>
    <w:rsid w:val="00ED44A6"/>
    <w:rsid w:val="00ED4D87"/>
    <w:rsid w:val="00ED5307"/>
    <w:rsid w:val="00ED5674"/>
    <w:rsid w:val="00ED7A53"/>
    <w:rsid w:val="00ED7C2F"/>
    <w:rsid w:val="00ED7DD8"/>
    <w:rsid w:val="00ED7E80"/>
    <w:rsid w:val="00EE00D8"/>
    <w:rsid w:val="00EE193D"/>
    <w:rsid w:val="00EE22D5"/>
    <w:rsid w:val="00EE2E2D"/>
    <w:rsid w:val="00EE3071"/>
    <w:rsid w:val="00EE3198"/>
    <w:rsid w:val="00EE3566"/>
    <w:rsid w:val="00EE3597"/>
    <w:rsid w:val="00EE3636"/>
    <w:rsid w:val="00EE41DB"/>
    <w:rsid w:val="00EE42F0"/>
    <w:rsid w:val="00EE5C0E"/>
    <w:rsid w:val="00EE5DF9"/>
    <w:rsid w:val="00EE6656"/>
    <w:rsid w:val="00EE6DAE"/>
    <w:rsid w:val="00EE7871"/>
    <w:rsid w:val="00EF0096"/>
    <w:rsid w:val="00EF04FA"/>
    <w:rsid w:val="00EF0A7C"/>
    <w:rsid w:val="00EF1399"/>
    <w:rsid w:val="00EF15E7"/>
    <w:rsid w:val="00EF2378"/>
    <w:rsid w:val="00EF2519"/>
    <w:rsid w:val="00EF259F"/>
    <w:rsid w:val="00EF3069"/>
    <w:rsid w:val="00EF3665"/>
    <w:rsid w:val="00EF3E82"/>
    <w:rsid w:val="00EF52F6"/>
    <w:rsid w:val="00EF6544"/>
    <w:rsid w:val="00EF6E1D"/>
    <w:rsid w:val="00EF7364"/>
    <w:rsid w:val="00F006AD"/>
    <w:rsid w:val="00F008BD"/>
    <w:rsid w:val="00F0107C"/>
    <w:rsid w:val="00F021E2"/>
    <w:rsid w:val="00F02573"/>
    <w:rsid w:val="00F03319"/>
    <w:rsid w:val="00F049EF"/>
    <w:rsid w:val="00F06344"/>
    <w:rsid w:val="00F06676"/>
    <w:rsid w:val="00F070CA"/>
    <w:rsid w:val="00F0747F"/>
    <w:rsid w:val="00F10F98"/>
    <w:rsid w:val="00F1160D"/>
    <w:rsid w:val="00F1209B"/>
    <w:rsid w:val="00F12958"/>
    <w:rsid w:val="00F12AD4"/>
    <w:rsid w:val="00F12BC3"/>
    <w:rsid w:val="00F12E37"/>
    <w:rsid w:val="00F13120"/>
    <w:rsid w:val="00F1385B"/>
    <w:rsid w:val="00F13D84"/>
    <w:rsid w:val="00F163B3"/>
    <w:rsid w:val="00F16A79"/>
    <w:rsid w:val="00F17BD9"/>
    <w:rsid w:val="00F17D7C"/>
    <w:rsid w:val="00F205A5"/>
    <w:rsid w:val="00F206AF"/>
    <w:rsid w:val="00F20CA1"/>
    <w:rsid w:val="00F2270D"/>
    <w:rsid w:val="00F23905"/>
    <w:rsid w:val="00F23CC8"/>
    <w:rsid w:val="00F24567"/>
    <w:rsid w:val="00F25791"/>
    <w:rsid w:val="00F25A43"/>
    <w:rsid w:val="00F262CB"/>
    <w:rsid w:val="00F26498"/>
    <w:rsid w:val="00F26AF0"/>
    <w:rsid w:val="00F31679"/>
    <w:rsid w:val="00F31763"/>
    <w:rsid w:val="00F318A9"/>
    <w:rsid w:val="00F32185"/>
    <w:rsid w:val="00F32AFF"/>
    <w:rsid w:val="00F336B4"/>
    <w:rsid w:val="00F33AD2"/>
    <w:rsid w:val="00F34768"/>
    <w:rsid w:val="00F349F6"/>
    <w:rsid w:val="00F35CEA"/>
    <w:rsid w:val="00F40D62"/>
    <w:rsid w:val="00F4121F"/>
    <w:rsid w:val="00F41AE5"/>
    <w:rsid w:val="00F4357E"/>
    <w:rsid w:val="00F435DC"/>
    <w:rsid w:val="00F43A57"/>
    <w:rsid w:val="00F44FD2"/>
    <w:rsid w:val="00F47D1E"/>
    <w:rsid w:val="00F5100D"/>
    <w:rsid w:val="00F5132F"/>
    <w:rsid w:val="00F52902"/>
    <w:rsid w:val="00F53B36"/>
    <w:rsid w:val="00F55993"/>
    <w:rsid w:val="00F5608C"/>
    <w:rsid w:val="00F566EF"/>
    <w:rsid w:val="00F57216"/>
    <w:rsid w:val="00F578EB"/>
    <w:rsid w:val="00F57AD1"/>
    <w:rsid w:val="00F60332"/>
    <w:rsid w:val="00F60836"/>
    <w:rsid w:val="00F61336"/>
    <w:rsid w:val="00F61DA1"/>
    <w:rsid w:val="00F62067"/>
    <w:rsid w:val="00F6456A"/>
    <w:rsid w:val="00F648CA"/>
    <w:rsid w:val="00F6597A"/>
    <w:rsid w:val="00F662DA"/>
    <w:rsid w:val="00F66675"/>
    <w:rsid w:val="00F67E9C"/>
    <w:rsid w:val="00F70500"/>
    <w:rsid w:val="00F713EB"/>
    <w:rsid w:val="00F71AE8"/>
    <w:rsid w:val="00F71B61"/>
    <w:rsid w:val="00F73682"/>
    <w:rsid w:val="00F73742"/>
    <w:rsid w:val="00F73A67"/>
    <w:rsid w:val="00F74E67"/>
    <w:rsid w:val="00F76110"/>
    <w:rsid w:val="00F761CB"/>
    <w:rsid w:val="00F761FF"/>
    <w:rsid w:val="00F7630C"/>
    <w:rsid w:val="00F764E8"/>
    <w:rsid w:val="00F7683B"/>
    <w:rsid w:val="00F77048"/>
    <w:rsid w:val="00F80A54"/>
    <w:rsid w:val="00F816A9"/>
    <w:rsid w:val="00F819DD"/>
    <w:rsid w:val="00F81D29"/>
    <w:rsid w:val="00F820CC"/>
    <w:rsid w:val="00F8375C"/>
    <w:rsid w:val="00F83ACA"/>
    <w:rsid w:val="00F8426B"/>
    <w:rsid w:val="00F847B6"/>
    <w:rsid w:val="00F8574F"/>
    <w:rsid w:val="00F85B6F"/>
    <w:rsid w:val="00F85EB7"/>
    <w:rsid w:val="00F86073"/>
    <w:rsid w:val="00F862A1"/>
    <w:rsid w:val="00F86381"/>
    <w:rsid w:val="00F8674F"/>
    <w:rsid w:val="00F86DF8"/>
    <w:rsid w:val="00F87EE9"/>
    <w:rsid w:val="00F90588"/>
    <w:rsid w:val="00F913FD"/>
    <w:rsid w:val="00F922FE"/>
    <w:rsid w:val="00F92A36"/>
    <w:rsid w:val="00F92AA7"/>
    <w:rsid w:val="00F94828"/>
    <w:rsid w:val="00F94E35"/>
    <w:rsid w:val="00F94E3A"/>
    <w:rsid w:val="00F95A43"/>
    <w:rsid w:val="00FA06EB"/>
    <w:rsid w:val="00FA116D"/>
    <w:rsid w:val="00FA13D6"/>
    <w:rsid w:val="00FA1739"/>
    <w:rsid w:val="00FA17A9"/>
    <w:rsid w:val="00FA1E48"/>
    <w:rsid w:val="00FA2297"/>
    <w:rsid w:val="00FA2938"/>
    <w:rsid w:val="00FA2E81"/>
    <w:rsid w:val="00FA33AD"/>
    <w:rsid w:val="00FA4284"/>
    <w:rsid w:val="00FA4E2A"/>
    <w:rsid w:val="00FA5C60"/>
    <w:rsid w:val="00FA5F0E"/>
    <w:rsid w:val="00FA5F3F"/>
    <w:rsid w:val="00FA6B10"/>
    <w:rsid w:val="00FA7688"/>
    <w:rsid w:val="00FA7E72"/>
    <w:rsid w:val="00FB00E6"/>
    <w:rsid w:val="00FB1612"/>
    <w:rsid w:val="00FB199A"/>
    <w:rsid w:val="00FB1F90"/>
    <w:rsid w:val="00FB2C9F"/>
    <w:rsid w:val="00FB2DCA"/>
    <w:rsid w:val="00FB3641"/>
    <w:rsid w:val="00FB3D53"/>
    <w:rsid w:val="00FB3F15"/>
    <w:rsid w:val="00FB405E"/>
    <w:rsid w:val="00FB5367"/>
    <w:rsid w:val="00FB556E"/>
    <w:rsid w:val="00FB56B7"/>
    <w:rsid w:val="00FB67A1"/>
    <w:rsid w:val="00FB69F6"/>
    <w:rsid w:val="00FB75E5"/>
    <w:rsid w:val="00FB7694"/>
    <w:rsid w:val="00FC03E8"/>
    <w:rsid w:val="00FC1B30"/>
    <w:rsid w:val="00FC21BD"/>
    <w:rsid w:val="00FC3EFC"/>
    <w:rsid w:val="00FC40D8"/>
    <w:rsid w:val="00FC4140"/>
    <w:rsid w:val="00FC5CFE"/>
    <w:rsid w:val="00FC5D1E"/>
    <w:rsid w:val="00FC68AB"/>
    <w:rsid w:val="00FC6D19"/>
    <w:rsid w:val="00FC7304"/>
    <w:rsid w:val="00FC7444"/>
    <w:rsid w:val="00FC7823"/>
    <w:rsid w:val="00FC7E9D"/>
    <w:rsid w:val="00FD06C9"/>
    <w:rsid w:val="00FD087C"/>
    <w:rsid w:val="00FD0EC8"/>
    <w:rsid w:val="00FD0FAD"/>
    <w:rsid w:val="00FD19E7"/>
    <w:rsid w:val="00FD1B61"/>
    <w:rsid w:val="00FD246D"/>
    <w:rsid w:val="00FD3383"/>
    <w:rsid w:val="00FD3885"/>
    <w:rsid w:val="00FD3F41"/>
    <w:rsid w:val="00FD416B"/>
    <w:rsid w:val="00FD4DF8"/>
    <w:rsid w:val="00FD5F7B"/>
    <w:rsid w:val="00FD7F10"/>
    <w:rsid w:val="00FE1785"/>
    <w:rsid w:val="00FE2020"/>
    <w:rsid w:val="00FE2CEE"/>
    <w:rsid w:val="00FE2FC5"/>
    <w:rsid w:val="00FE4319"/>
    <w:rsid w:val="00FE5C88"/>
    <w:rsid w:val="00FE5E42"/>
    <w:rsid w:val="00FE6880"/>
    <w:rsid w:val="00FE6E4A"/>
    <w:rsid w:val="00FE7044"/>
    <w:rsid w:val="00FE7240"/>
    <w:rsid w:val="00FE7B82"/>
    <w:rsid w:val="00FF086C"/>
    <w:rsid w:val="00FF138D"/>
    <w:rsid w:val="00FF13E4"/>
    <w:rsid w:val="00FF1C42"/>
    <w:rsid w:val="00FF1DB1"/>
    <w:rsid w:val="00FF23D6"/>
    <w:rsid w:val="00FF38D5"/>
    <w:rsid w:val="00FF5073"/>
    <w:rsid w:val="00FF5FE8"/>
    <w:rsid w:val="00FF63F3"/>
    <w:rsid w:val="00FF7B15"/>
    <w:rsid w:val="00FF7DD0"/>
    <w:rsid w:val="00FF7E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C82"/>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3">
    <w:name w:val="heading 3"/>
    <w:basedOn w:val="Normal"/>
    <w:next w:val="Normal"/>
    <w:link w:val="Heading3Char"/>
    <w:unhideWhenUsed/>
    <w:qFormat/>
    <w:rsid w:val="00AD56FC"/>
    <w:pPr>
      <w:keepNext/>
      <w:spacing w:before="240" w:after="60"/>
      <w:outlineLvl w:val="2"/>
    </w:pPr>
    <w:rPr>
      <w:rFonts w:ascii="Cambria" w:hAnsi="Cambria"/>
      <w:b/>
      <w:bCs/>
      <w:sz w:val="26"/>
      <w:szCs w:val="26"/>
      <w:lang w:val="x-none" w:eastAsia="x-none"/>
    </w:rPr>
  </w:style>
  <w:style w:type="paragraph" w:styleId="Heading6">
    <w:name w:val="heading 6"/>
    <w:basedOn w:val="Normal"/>
    <w:next w:val="Normal"/>
    <w:link w:val="Heading6Char"/>
    <w:qFormat/>
    <w:rsid w:val="00E44D33"/>
    <w:pPr>
      <w:spacing w:before="240" w:after="60"/>
      <w:outlineLvl w:val="5"/>
    </w:pPr>
    <w:rPr>
      <w:b/>
      <w:bCs/>
      <w:color w:val="auto"/>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link w:val="WUTCHeading1Char"/>
    <w:pPr>
      <w:keepNext/>
      <w:keepLines/>
      <w:numPr>
        <w:numId w:val="2"/>
      </w:numPr>
      <w:tabs>
        <w:tab w:val="clear" w:pos="0"/>
        <w:tab w:val="left" w:pos="720"/>
      </w:tabs>
      <w:spacing w:after="240"/>
      <w:ind w:firstLine="0"/>
      <w:jc w:val="center"/>
      <w:outlineLvl w:val="0"/>
    </w:pPr>
    <w:rPr>
      <w:b/>
      <w:caps/>
      <w:color w:val="auto"/>
      <w:szCs w:val="24"/>
      <w:lang w:val="x-none" w:eastAsia="x-none"/>
    </w:rPr>
  </w:style>
  <w:style w:type="paragraph" w:customStyle="1" w:styleId="WUTCHeading2">
    <w:name w:val="WUTC Heading 2"/>
    <w:basedOn w:val="WUTCHeading1"/>
    <w:next w:val="Normal"/>
    <w:link w:val="WUTCHeading2Char"/>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customStyle="1" w:styleId="StyleWUTCParagraphRight-013">
    <w:name w:val="Style WUTC Paragraph + Right:  -0.13&quot;"/>
    <w:basedOn w:val="WUTCParagraph"/>
    <w:rsid w:val="00C064D3"/>
    <w:pPr>
      <w:numPr>
        <w:numId w:val="1"/>
      </w:numPr>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
    <w:basedOn w:val="Normal"/>
    <w:link w:val="FootnoteTextChar"/>
    <w:rsid w:val="00225337"/>
    <w:pPr>
      <w:keepLines/>
      <w:spacing w:line="220" w:lineRule="exact"/>
    </w:pPr>
    <w:rPr>
      <w:color w:val="auto"/>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rsid w:val="00225337"/>
  </w:style>
  <w:style w:type="character" w:styleId="FootnoteReference">
    <w:name w:val="footnote reference"/>
    <w:aliases w:val="o,fr,Style 3"/>
    <w:rsid w:val="00593D5C"/>
    <w:rPr>
      <w:u w:val="single"/>
      <w:vertAlign w:val="superscript"/>
    </w:rPr>
  </w:style>
  <w:style w:type="character" w:styleId="LineNumber">
    <w:name w:val="line number"/>
    <w:uiPriority w:val="99"/>
    <w:unhideWhenUsed/>
    <w:qFormat/>
    <w:rsid w:val="007456D7"/>
    <w:rPr>
      <w:rFonts w:ascii="Times New Roman" w:hAnsi="Times New Roman"/>
      <w:sz w:val="24"/>
      <w:szCs w:val="22"/>
    </w:rPr>
  </w:style>
  <w:style w:type="character" w:customStyle="1" w:styleId="Heading6Char">
    <w:name w:val="Heading 6 Char"/>
    <w:link w:val="Heading6"/>
    <w:rsid w:val="00E44D33"/>
    <w:rPr>
      <w:b/>
      <w:bCs/>
      <w:sz w:val="22"/>
      <w:szCs w:val="22"/>
    </w:rPr>
  </w:style>
  <w:style w:type="table" w:styleId="TableGrid">
    <w:name w:val="Table Grid"/>
    <w:basedOn w:val="TableNormal"/>
    <w:rsid w:val="00E4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uiPriority w:val="99"/>
    <w:semiHidden/>
    <w:locked/>
    <w:rsid w:val="00366C04"/>
  </w:style>
  <w:style w:type="paragraph" w:customStyle="1" w:styleId="Level2">
    <w:name w:val="Level 2"/>
    <w:basedOn w:val="Normal"/>
    <w:rsid w:val="001667C7"/>
    <w:pPr>
      <w:widowControl w:val="0"/>
      <w:numPr>
        <w:ilvl w:val="1"/>
        <w:numId w:val="10"/>
      </w:numPr>
      <w:ind w:left="2160" w:hanging="720"/>
      <w:outlineLvl w:val="1"/>
    </w:pPr>
    <w:rPr>
      <w:snapToGrid w:val="0"/>
      <w:color w:val="auto"/>
    </w:rPr>
  </w:style>
  <w:style w:type="paragraph" w:styleId="BodyText3">
    <w:name w:val="Body Text 3"/>
    <w:basedOn w:val="Normal"/>
    <w:link w:val="BodyText3Char"/>
    <w:rsid w:val="001667C7"/>
    <w:pPr>
      <w:spacing w:after="120"/>
    </w:pPr>
    <w:rPr>
      <w:sz w:val="16"/>
      <w:szCs w:val="16"/>
      <w:lang w:val="x-none" w:eastAsia="x-none"/>
    </w:rPr>
  </w:style>
  <w:style w:type="character" w:customStyle="1" w:styleId="BodyText3Char">
    <w:name w:val="Body Text 3 Char"/>
    <w:link w:val="BodyText3"/>
    <w:rsid w:val="001667C7"/>
    <w:rPr>
      <w:color w:val="000000"/>
      <w:sz w:val="16"/>
      <w:szCs w:val="16"/>
    </w:rPr>
  </w:style>
  <w:style w:type="character" w:styleId="CommentReference">
    <w:name w:val="annotation reference"/>
    <w:uiPriority w:val="99"/>
    <w:rsid w:val="007659D0"/>
    <w:rPr>
      <w:sz w:val="16"/>
      <w:szCs w:val="16"/>
    </w:rPr>
  </w:style>
  <w:style w:type="paragraph" w:styleId="CommentText">
    <w:name w:val="annotation text"/>
    <w:basedOn w:val="Normal"/>
    <w:link w:val="CommentTextChar"/>
    <w:uiPriority w:val="99"/>
    <w:rsid w:val="007659D0"/>
    <w:rPr>
      <w:sz w:val="20"/>
      <w:lang w:val="x-none" w:eastAsia="x-none"/>
    </w:rPr>
  </w:style>
  <w:style w:type="character" w:customStyle="1" w:styleId="CommentTextChar">
    <w:name w:val="Comment Text Char"/>
    <w:link w:val="CommentText"/>
    <w:uiPriority w:val="99"/>
    <w:rsid w:val="007659D0"/>
    <w:rPr>
      <w:color w:val="000000"/>
    </w:rPr>
  </w:style>
  <w:style w:type="paragraph" w:styleId="CommentSubject">
    <w:name w:val="annotation subject"/>
    <w:basedOn w:val="CommentText"/>
    <w:next w:val="CommentText"/>
    <w:link w:val="CommentSubjectChar"/>
    <w:rsid w:val="007659D0"/>
    <w:rPr>
      <w:b/>
      <w:bCs/>
    </w:rPr>
  </w:style>
  <w:style w:type="character" w:customStyle="1" w:styleId="CommentSubjectChar">
    <w:name w:val="Comment Subject Char"/>
    <w:link w:val="CommentSubject"/>
    <w:rsid w:val="007659D0"/>
    <w:rPr>
      <w:b/>
      <w:bCs/>
      <w:color w:val="000000"/>
    </w:rPr>
  </w:style>
  <w:style w:type="paragraph" w:styleId="BalloonText">
    <w:name w:val="Balloon Text"/>
    <w:basedOn w:val="Normal"/>
    <w:link w:val="BalloonTextChar"/>
    <w:rsid w:val="007659D0"/>
    <w:rPr>
      <w:rFonts w:ascii="Tahoma" w:hAnsi="Tahoma"/>
      <w:sz w:val="16"/>
      <w:szCs w:val="16"/>
      <w:lang w:val="x-none" w:eastAsia="x-none"/>
    </w:rPr>
  </w:style>
  <w:style w:type="character" w:customStyle="1" w:styleId="BalloonTextChar">
    <w:name w:val="Balloon Text Char"/>
    <w:link w:val="BalloonText"/>
    <w:rsid w:val="007659D0"/>
    <w:rPr>
      <w:rFonts w:ascii="Tahoma" w:hAnsi="Tahoma" w:cs="Tahoma"/>
      <w:color w:val="000000"/>
      <w:sz w:val="16"/>
      <w:szCs w:val="16"/>
    </w:rPr>
  </w:style>
  <w:style w:type="paragraph" w:customStyle="1" w:styleId="Default">
    <w:name w:val="Default"/>
    <w:rsid w:val="00A71DE5"/>
    <w:pPr>
      <w:autoSpaceDE w:val="0"/>
      <w:autoSpaceDN w:val="0"/>
      <w:adjustRightInd w:val="0"/>
    </w:pPr>
    <w:rPr>
      <w:color w:val="000000"/>
      <w:sz w:val="24"/>
      <w:szCs w:val="24"/>
    </w:rPr>
  </w:style>
  <w:style w:type="paragraph" w:customStyle="1" w:styleId="ICNUBrief">
    <w:name w:val="ICNU Brief"/>
    <w:basedOn w:val="WUTCParagraph"/>
    <w:link w:val="ICNUBriefChar1"/>
    <w:qFormat/>
    <w:rsid w:val="0029581A"/>
  </w:style>
  <w:style w:type="character" w:styleId="Emphasis">
    <w:name w:val="Emphasis"/>
    <w:qFormat/>
    <w:rsid w:val="0029581A"/>
    <w:rPr>
      <w:i/>
      <w:iCs/>
    </w:rPr>
  </w:style>
  <w:style w:type="character" w:customStyle="1" w:styleId="WUTCParagraphChar">
    <w:name w:val="WUTC Paragraph Char"/>
    <w:link w:val="WUTCParagraph"/>
    <w:rsid w:val="0029581A"/>
    <w:rPr>
      <w:sz w:val="24"/>
      <w:szCs w:val="24"/>
    </w:rPr>
  </w:style>
  <w:style w:type="character" w:customStyle="1" w:styleId="ICNUBriefChar">
    <w:name w:val="ICNU Brief Char"/>
    <w:basedOn w:val="WUTCParagraphChar"/>
    <w:rsid w:val="0029581A"/>
    <w:rPr>
      <w:sz w:val="24"/>
      <w:szCs w:val="24"/>
    </w:rPr>
  </w:style>
  <w:style w:type="paragraph" w:customStyle="1" w:styleId="Style1">
    <w:name w:val="Style1"/>
    <w:basedOn w:val="ICNUBrief"/>
    <w:link w:val="Style1Char"/>
    <w:qFormat/>
    <w:rsid w:val="00C24C82"/>
  </w:style>
  <w:style w:type="character" w:customStyle="1" w:styleId="BodyTextIndentChar">
    <w:name w:val="Body Text Indent Char"/>
    <w:link w:val="BodyTextIndent"/>
    <w:rsid w:val="007B2D62"/>
    <w:rPr>
      <w:snapToGrid w:val="0"/>
      <w:sz w:val="24"/>
    </w:rPr>
  </w:style>
  <w:style w:type="paragraph" w:customStyle="1" w:styleId="draft">
    <w:name w:val="draft"/>
    <w:basedOn w:val="WUTCParagraph"/>
    <w:link w:val="draftChar"/>
    <w:qFormat/>
    <w:rsid w:val="00931398"/>
    <w:pPr>
      <w:tabs>
        <w:tab w:val="clear" w:pos="0"/>
        <w:tab w:val="num" w:pos="1440"/>
      </w:tabs>
      <w:spacing w:line="570" w:lineRule="exact"/>
    </w:pPr>
  </w:style>
  <w:style w:type="character" w:customStyle="1" w:styleId="draftChar">
    <w:name w:val="draft Char"/>
    <w:basedOn w:val="WUTCParagraphChar"/>
    <w:link w:val="draft"/>
    <w:rsid w:val="00931398"/>
    <w:rPr>
      <w:sz w:val="24"/>
      <w:szCs w:val="24"/>
    </w:rPr>
  </w:style>
  <w:style w:type="paragraph" w:customStyle="1" w:styleId="draftheading1">
    <w:name w:val="draft heading 1"/>
    <w:basedOn w:val="WUTCHeading1"/>
    <w:link w:val="draftheading1Char"/>
    <w:qFormat/>
    <w:rsid w:val="00F847B6"/>
    <w:pPr>
      <w:numPr>
        <w:numId w:val="0"/>
      </w:numPr>
      <w:spacing w:before="240"/>
    </w:pPr>
  </w:style>
  <w:style w:type="paragraph" w:customStyle="1" w:styleId="draftheading2">
    <w:name w:val="draft heading 2"/>
    <w:basedOn w:val="WUTCHeading2"/>
    <w:link w:val="draftheading2Char"/>
    <w:qFormat/>
    <w:rsid w:val="00F847B6"/>
    <w:pPr>
      <w:numPr>
        <w:ilvl w:val="0"/>
        <w:numId w:val="0"/>
      </w:numPr>
      <w:spacing w:after="0"/>
      <w:ind w:left="1440" w:hanging="720"/>
    </w:pPr>
  </w:style>
  <w:style w:type="character" w:customStyle="1" w:styleId="WUTCHeading1Char">
    <w:name w:val="WUTC Heading 1 Char"/>
    <w:link w:val="WUTCHeading1"/>
    <w:rsid w:val="00F847B6"/>
    <w:rPr>
      <w:b/>
      <w:caps/>
      <w:sz w:val="24"/>
      <w:szCs w:val="24"/>
    </w:rPr>
  </w:style>
  <w:style w:type="character" w:customStyle="1" w:styleId="draftheading1Char">
    <w:name w:val="draft heading 1 Char"/>
    <w:basedOn w:val="WUTCHeading1Char"/>
    <w:link w:val="draftheading1"/>
    <w:rsid w:val="00F847B6"/>
    <w:rPr>
      <w:b/>
      <w:caps/>
      <w:sz w:val="24"/>
      <w:szCs w:val="24"/>
    </w:rPr>
  </w:style>
  <w:style w:type="character" w:customStyle="1" w:styleId="WUTCHeading2Char">
    <w:name w:val="WUTC Heading 2 Char"/>
    <w:basedOn w:val="WUTCHeading1Char"/>
    <w:link w:val="WUTCHeading2"/>
    <w:rsid w:val="00F847B6"/>
    <w:rPr>
      <w:b/>
      <w:caps/>
      <w:sz w:val="24"/>
      <w:szCs w:val="24"/>
    </w:rPr>
  </w:style>
  <w:style w:type="character" w:customStyle="1" w:styleId="draftheading2Char">
    <w:name w:val="draft heading 2 Char"/>
    <w:basedOn w:val="WUTCHeading2Char"/>
    <w:link w:val="draftheading2"/>
    <w:rsid w:val="00F847B6"/>
    <w:rPr>
      <w:b/>
      <w:caps/>
      <w:sz w:val="24"/>
      <w:szCs w:val="24"/>
    </w:rPr>
  </w:style>
  <w:style w:type="paragraph" w:styleId="DocumentMap">
    <w:name w:val="Document Map"/>
    <w:basedOn w:val="Normal"/>
    <w:link w:val="DocumentMapChar"/>
    <w:rsid w:val="00862C2C"/>
    <w:rPr>
      <w:rFonts w:ascii="Tahoma" w:hAnsi="Tahoma"/>
      <w:sz w:val="16"/>
      <w:szCs w:val="16"/>
      <w:lang w:val="x-none" w:eastAsia="x-none"/>
    </w:rPr>
  </w:style>
  <w:style w:type="character" w:customStyle="1" w:styleId="DocumentMapChar">
    <w:name w:val="Document Map Char"/>
    <w:link w:val="DocumentMap"/>
    <w:rsid w:val="00862C2C"/>
    <w:rPr>
      <w:rFonts w:ascii="Tahoma" w:hAnsi="Tahoma" w:cs="Tahoma"/>
      <w:color w:val="000000"/>
      <w:sz w:val="16"/>
      <w:szCs w:val="16"/>
    </w:rPr>
  </w:style>
  <w:style w:type="paragraph" w:styleId="Revision">
    <w:name w:val="Revision"/>
    <w:hidden/>
    <w:uiPriority w:val="99"/>
    <w:semiHidden/>
    <w:rsid w:val="00077B94"/>
    <w:rPr>
      <w:color w:val="000000"/>
      <w:sz w:val="24"/>
    </w:rPr>
  </w:style>
  <w:style w:type="character" w:customStyle="1" w:styleId="Heading3Char">
    <w:name w:val="Heading 3 Char"/>
    <w:link w:val="Heading3"/>
    <w:rsid w:val="00AD56FC"/>
    <w:rPr>
      <w:rFonts w:ascii="Cambria" w:eastAsia="Times New Roman" w:hAnsi="Cambria" w:cs="Times New Roman"/>
      <w:b/>
      <w:bCs/>
      <w:color w:val="000000"/>
      <w:sz w:val="26"/>
      <w:szCs w:val="26"/>
    </w:rPr>
  </w:style>
  <w:style w:type="paragraph" w:styleId="TableofAuthorities">
    <w:name w:val="table of authorities"/>
    <w:basedOn w:val="Normal"/>
    <w:next w:val="Normal"/>
    <w:uiPriority w:val="99"/>
    <w:unhideWhenUsed/>
    <w:rsid w:val="00AD56FC"/>
    <w:pPr>
      <w:ind w:left="240" w:hanging="240"/>
    </w:pPr>
    <w:rPr>
      <w:color w:val="auto"/>
      <w:szCs w:val="24"/>
    </w:rPr>
  </w:style>
  <w:style w:type="paragraph" w:customStyle="1" w:styleId="UTCStyle">
    <w:name w:val="UTC Style"/>
    <w:basedOn w:val="BodyTextIndent"/>
    <w:link w:val="UTCStyleChar"/>
    <w:qFormat/>
    <w:rsid w:val="00D90AE9"/>
    <w:pPr>
      <w:tabs>
        <w:tab w:val="left" w:pos="720"/>
        <w:tab w:val="right" w:leader="dot" w:pos="8640"/>
      </w:tabs>
      <w:spacing w:line="240" w:lineRule="auto"/>
      <w:ind w:firstLine="0"/>
    </w:pPr>
    <w:rPr>
      <w:sz w:val="28"/>
    </w:rPr>
  </w:style>
  <w:style w:type="paragraph" w:customStyle="1" w:styleId="draftheading3">
    <w:name w:val="draft heading 3"/>
    <w:basedOn w:val="WUTCParagraph"/>
    <w:link w:val="draftheading3Char"/>
    <w:qFormat/>
    <w:rsid w:val="00DA2AA9"/>
    <w:pPr>
      <w:keepNext/>
      <w:numPr>
        <w:numId w:val="0"/>
      </w:numPr>
      <w:spacing w:before="240" w:line="240" w:lineRule="auto"/>
      <w:ind w:left="1440" w:hanging="720"/>
    </w:pPr>
    <w:rPr>
      <w:b/>
    </w:rPr>
  </w:style>
  <w:style w:type="character" w:customStyle="1" w:styleId="UTCStyleChar">
    <w:name w:val="UTC Style Char"/>
    <w:link w:val="UTCStyle"/>
    <w:rsid w:val="00D90AE9"/>
    <w:rPr>
      <w:snapToGrid w:val="0"/>
      <w:sz w:val="28"/>
    </w:rPr>
  </w:style>
  <w:style w:type="paragraph" w:customStyle="1" w:styleId="IASFav">
    <w:name w:val="IAS Fav"/>
    <w:basedOn w:val="draft"/>
    <w:link w:val="IASFavChar"/>
    <w:qFormat/>
    <w:rsid w:val="008068D6"/>
    <w:rPr>
      <w:szCs w:val="22"/>
    </w:rPr>
  </w:style>
  <w:style w:type="character" w:customStyle="1" w:styleId="draftheading3Char">
    <w:name w:val="draft heading 3 Char"/>
    <w:link w:val="draftheading3"/>
    <w:rsid w:val="00DA2AA9"/>
    <w:rPr>
      <w:b/>
      <w:sz w:val="24"/>
      <w:szCs w:val="24"/>
    </w:rPr>
  </w:style>
  <w:style w:type="paragraph" w:customStyle="1" w:styleId="IAS2">
    <w:name w:val="IAS 2"/>
    <w:basedOn w:val="Style1"/>
    <w:link w:val="IAS2Char"/>
    <w:qFormat/>
    <w:rsid w:val="00933CCD"/>
  </w:style>
  <w:style w:type="character" w:customStyle="1" w:styleId="IASFavChar">
    <w:name w:val="IAS Fav Char"/>
    <w:link w:val="IASFav"/>
    <w:rsid w:val="008068D6"/>
    <w:rPr>
      <w:sz w:val="24"/>
      <w:szCs w:val="22"/>
    </w:rPr>
  </w:style>
  <w:style w:type="paragraph" w:styleId="PlainText">
    <w:name w:val="Plain Text"/>
    <w:basedOn w:val="Normal"/>
    <w:link w:val="PlainTextChar"/>
    <w:uiPriority w:val="99"/>
    <w:unhideWhenUsed/>
    <w:rsid w:val="00336029"/>
    <w:rPr>
      <w:rFonts w:ascii="Calibri" w:eastAsia="Calibri" w:hAnsi="Calibri"/>
      <w:color w:val="auto"/>
      <w:sz w:val="22"/>
      <w:szCs w:val="21"/>
      <w:lang w:val="x-none" w:eastAsia="x-none"/>
    </w:rPr>
  </w:style>
  <w:style w:type="character" w:customStyle="1" w:styleId="ICNUBriefChar1">
    <w:name w:val="ICNU Brief Char1"/>
    <w:basedOn w:val="WUTCParagraphChar"/>
    <w:link w:val="ICNUBrief"/>
    <w:rsid w:val="00933CCD"/>
    <w:rPr>
      <w:sz w:val="24"/>
      <w:szCs w:val="24"/>
    </w:rPr>
  </w:style>
  <w:style w:type="character" w:customStyle="1" w:styleId="Style1Char">
    <w:name w:val="Style1 Char"/>
    <w:basedOn w:val="ICNUBriefChar1"/>
    <w:link w:val="Style1"/>
    <w:rsid w:val="00933CCD"/>
    <w:rPr>
      <w:sz w:val="24"/>
      <w:szCs w:val="24"/>
    </w:rPr>
  </w:style>
  <w:style w:type="character" w:customStyle="1" w:styleId="IAS2Char">
    <w:name w:val="IAS 2 Char"/>
    <w:basedOn w:val="Style1Char"/>
    <w:link w:val="IAS2"/>
    <w:rsid w:val="00933CCD"/>
    <w:rPr>
      <w:sz w:val="24"/>
      <w:szCs w:val="24"/>
    </w:rPr>
  </w:style>
  <w:style w:type="character" w:customStyle="1" w:styleId="PlainTextChar">
    <w:name w:val="Plain Text Char"/>
    <w:link w:val="PlainText"/>
    <w:uiPriority w:val="99"/>
    <w:rsid w:val="00336029"/>
    <w:rPr>
      <w:rFonts w:ascii="Calibri" w:eastAsia="Calibri" w:hAnsi="Calibri" w:cs="Consolas"/>
      <w:sz w:val="22"/>
      <w:szCs w:val="21"/>
    </w:rPr>
  </w:style>
  <w:style w:type="numbering" w:customStyle="1" w:styleId="briefnumbertabspots">
    <w:name w:val="brief number tab spots"/>
    <w:uiPriority w:val="99"/>
    <w:rsid w:val="004A158E"/>
    <w:pPr>
      <w:numPr>
        <w:numId w:val="21"/>
      </w:numPr>
    </w:pPr>
  </w:style>
  <w:style w:type="character" w:customStyle="1" w:styleId="pmterms1">
    <w:name w:val="pmterms1"/>
    <w:rsid w:val="00FB2C9F"/>
  </w:style>
  <w:style w:type="paragraph" w:customStyle="1" w:styleId="MJDWUTCBrief">
    <w:name w:val="MJD WUTC Brief"/>
    <w:basedOn w:val="WUTCParagraph"/>
    <w:qFormat/>
    <w:rsid w:val="00AD020F"/>
    <w:pPr>
      <w:tabs>
        <w:tab w:val="left" w:pos="720"/>
      </w:tabs>
    </w:pPr>
    <w:rPr>
      <w:lang w:val="en-US"/>
    </w:rPr>
  </w:style>
  <w:style w:type="paragraph" w:customStyle="1" w:styleId="MJDWUTCBriefBulletPoints">
    <w:name w:val="MJD WUTC Brief Bullet Points"/>
    <w:basedOn w:val="WUTCParagraph"/>
    <w:next w:val="MJDWUTCBrief"/>
    <w:qFormat/>
    <w:rsid w:val="00F61336"/>
    <w:pPr>
      <w:tabs>
        <w:tab w:val="clear" w:pos="0"/>
        <w:tab w:val="clear" w:pos="1440"/>
        <w:tab w:val="num" w:pos="360"/>
        <w:tab w:val="left" w:pos="900"/>
      </w:tabs>
      <w:ind w:left="360" w:hanging="1080"/>
    </w:pPr>
  </w:style>
  <w:style w:type="paragraph" w:customStyle="1" w:styleId="FormattingTODAY">
    <w:name w:val="Formatting TODAY"/>
    <w:basedOn w:val="BodyTextIndent"/>
    <w:qFormat/>
    <w:rsid w:val="002E5CF0"/>
    <w:pPr>
      <w:keepLines/>
      <w:tabs>
        <w:tab w:val="left" w:pos="1440"/>
        <w:tab w:val="right" w:leader="dot" w:pos="8640"/>
      </w:tabs>
      <w:spacing w:before="240" w:line="240" w:lineRule="auto"/>
      <w:ind w:left="1440" w:right="720" w:hanging="72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C82"/>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3">
    <w:name w:val="heading 3"/>
    <w:basedOn w:val="Normal"/>
    <w:next w:val="Normal"/>
    <w:link w:val="Heading3Char"/>
    <w:unhideWhenUsed/>
    <w:qFormat/>
    <w:rsid w:val="00AD56FC"/>
    <w:pPr>
      <w:keepNext/>
      <w:spacing w:before="240" w:after="60"/>
      <w:outlineLvl w:val="2"/>
    </w:pPr>
    <w:rPr>
      <w:rFonts w:ascii="Cambria" w:hAnsi="Cambria"/>
      <w:b/>
      <w:bCs/>
      <w:sz w:val="26"/>
      <w:szCs w:val="26"/>
      <w:lang w:val="x-none" w:eastAsia="x-none"/>
    </w:rPr>
  </w:style>
  <w:style w:type="paragraph" w:styleId="Heading6">
    <w:name w:val="heading 6"/>
    <w:basedOn w:val="Normal"/>
    <w:next w:val="Normal"/>
    <w:link w:val="Heading6Char"/>
    <w:qFormat/>
    <w:rsid w:val="00E44D33"/>
    <w:pPr>
      <w:spacing w:before="240" w:after="60"/>
      <w:outlineLvl w:val="5"/>
    </w:pPr>
    <w:rPr>
      <w:b/>
      <w:bCs/>
      <w:color w:val="auto"/>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link w:val="WUTCHeading1Char"/>
    <w:pPr>
      <w:keepNext/>
      <w:keepLines/>
      <w:numPr>
        <w:numId w:val="2"/>
      </w:numPr>
      <w:tabs>
        <w:tab w:val="clear" w:pos="0"/>
        <w:tab w:val="left" w:pos="720"/>
      </w:tabs>
      <w:spacing w:after="240"/>
      <w:ind w:firstLine="0"/>
      <w:jc w:val="center"/>
      <w:outlineLvl w:val="0"/>
    </w:pPr>
    <w:rPr>
      <w:b/>
      <w:caps/>
      <w:color w:val="auto"/>
      <w:szCs w:val="24"/>
      <w:lang w:val="x-none" w:eastAsia="x-none"/>
    </w:rPr>
  </w:style>
  <w:style w:type="paragraph" w:customStyle="1" w:styleId="WUTCHeading2">
    <w:name w:val="WUTC Heading 2"/>
    <w:basedOn w:val="WUTCHeading1"/>
    <w:next w:val="Normal"/>
    <w:link w:val="WUTCHeading2Char"/>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customStyle="1" w:styleId="StyleWUTCParagraphRight-013">
    <w:name w:val="Style WUTC Paragraph + Right:  -0.13&quot;"/>
    <w:basedOn w:val="WUTCParagraph"/>
    <w:rsid w:val="00C064D3"/>
    <w:pPr>
      <w:numPr>
        <w:numId w:val="1"/>
      </w:numPr>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
    <w:basedOn w:val="Normal"/>
    <w:link w:val="FootnoteTextChar"/>
    <w:rsid w:val="00225337"/>
    <w:pPr>
      <w:keepLines/>
      <w:spacing w:line="220" w:lineRule="exact"/>
    </w:pPr>
    <w:rPr>
      <w:color w:val="auto"/>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rsid w:val="00225337"/>
  </w:style>
  <w:style w:type="character" w:styleId="FootnoteReference">
    <w:name w:val="footnote reference"/>
    <w:aliases w:val="o,fr,Style 3"/>
    <w:rsid w:val="00593D5C"/>
    <w:rPr>
      <w:u w:val="single"/>
      <w:vertAlign w:val="superscript"/>
    </w:rPr>
  </w:style>
  <w:style w:type="character" w:styleId="LineNumber">
    <w:name w:val="line number"/>
    <w:uiPriority w:val="99"/>
    <w:unhideWhenUsed/>
    <w:qFormat/>
    <w:rsid w:val="007456D7"/>
    <w:rPr>
      <w:rFonts w:ascii="Times New Roman" w:hAnsi="Times New Roman"/>
      <w:sz w:val="24"/>
      <w:szCs w:val="22"/>
    </w:rPr>
  </w:style>
  <w:style w:type="character" w:customStyle="1" w:styleId="Heading6Char">
    <w:name w:val="Heading 6 Char"/>
    <w:link w:val="Heading6"/>
    <w:rsid w:val="00E44D33"/>
    <w:rPr>
      <w:b/>
      <w:bCs/>
      <w:sz w:val="22"/>
      <w:szCs w:val="22"/>
    </w:rPr>
  </w:style>
  <w:style w:type="table" w:styleId="TableGrid">
    <w:name w:val="Table Grid"/>
    <w:basedOn w:val="TableNormal"/>
    <w:rsid w:val="00E4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uiPriority w:val="99"/>
    <w:semiHidden/>
    <w:locked/>
    <w:rsid w:val="00366C04"/>
  </w:style>
  <w:style w:type="paragraph" w:customStyle="1" w:styleId="Level2">
    <w:name w:val="Level 2"/>
    <w:basedOn w:val="Normal"/>
    <w:rsid w:val="001667C7"/>
    <w:pPr>
      <w:widowControl w:val="0"/>
      <w:numPr>
        <w:ilvl w:val="1"/>
        <w:numId w:val="10"/>
      </w:numPr>
      <w:ind w:left="2160" w:hanging="720"/>
      <w:outlineLvl w:val="1"/>
    </w:pPr>
    <w:rPr>
      <w:snapToGrid w:val="0"/>
      <w:color w:val="auto"/>
    </w:rPr>
  </w:style>
  <w:style w:type="paragraph" w:styleId="BodyText3">
    <w:name w:val="Body Text 3"/>
    <w:basedOn w:val="Normal"/>
    <w:link w:val="BodyText3Char"/>
    <w:rsid w:val="001667C7"/>
    <w:pPr>
      <w:spacing w:after="120"/>
    </w:pPr>
    <w:rPr>
      <w:sz w:val="16"/>
      <w:szCs w:val="16"/>
      <w:lang w:val="x-none" w:eastAsia="x-none"/>
    </w:rPr>
  </w:style>
  <w:style w:type="character" w:customStyle="1" w:styleId="BodyText3Char">
    <w:name w:val="Body Text 3 Char"/>
    <w:link w:val="BodyText3"/>
    <w:rsid w:val="001667C7"/>
    <w:rPr>
      <w:color w:val="000000"/>
      <w:sz w:val="16"/>
      <w:szCs w:val="16"/>
    </w:rPr>
  </w:style>
  <w:style w:type="character" w:styleId="CommentReference">
    <w:name w:val="annotation reference"/>
    <w:uiPriority w:val="99"/>
    <w:rsid w:val="007659D0"/>
    <w:rPr>
      <w:sz w:val="16"/>
      <w:szCs w:val="16"/>
    </w:rPr>
  </w:style>
  <w:style w:type="paragraph" w:styleId="CommentText">
    <w:name w:val="annotation text"/>
    <w:basedOn w:val="Normal"/>
    <w:link w:val="CommentTextChar"/>
    <w:uiPriority w:val="99"/>
    <w:rsid w:val="007659D0"/>
    <w:rPr>
      <w:sz w:val="20"/>
      <w:lang w:val="x-none" w:eastAsia="x-none"/>
    </w:rPr>
  </w:style>
  <w:style w:type="character" w:customStyle="1" w:styleId="CommentTextChar">
    <w:name w:val="Comment Text Char"/>
    <w:link w:val="CommentText"/>
    <w:uiPriority w:val="99"/>
    <w:rsid w:val="007659D0"/>
    <w:rPr>
      <w:color w:val="000000"/>
    </w:rPr>
  </w:style>
  <w:style w:type="paragraph" w:styleId="CommentSubject">
    <w:name w:val="annotation subject"/>
    <w:basedOn w:val="CommentText"/>
    <w:next w:val="CommentText"/>
    <w:link w:val="CommentSubjectChar"/>
    <w:rsid w:val="007659D0"/>
    <w:rPr>
      <w:b/>
      <w:bCs/>
    </w:rPr>
  </w:style>
  <w:style w:type="character" w:customStyle="1" w:styleId="CommentSubjectChar">
    <w:name w:val="Comment Subject Char"/>
    <w:link w:val="CommentSubject"/>
    <w:rsid w:val="007659D0"/>
    <w:rPr>
      <w:b/>
      <w:bCs/>
      <w:color w:val="000000"/>
    </w:rPr>
  </w:style>
  <w:style w:type="paragraph" w:styleId="BalloonText">
    <w:name w:val="Balloon Text"/>
    <w:basedOn w:val="Normal"/>
    <w:link w:val="BalloonTextChar"/>
    <w:rsid w:val="007659D0"/>
    <w:rPr>
      <w:rFonts w:ascii="Tahoma" w:hAnsi="Tahoma"/>
      <w:sz w:val="16"/>
      <w:szCs w:val="16"/>
      <w:lang w:val="x-none" w:eastAsia="x-none"/>
    </w:rPr>
  </w:style>
  <w:style w:type="character" w:customStyle="1" w:styleId="BalloonTextChar">
    <w:name w:val="Balloon Text Char"/>
    <w:link w:val="BalloonText"/>
    <w:rsid w:val="007659D0"/>
    <w:rPr>
      <w:rFonts w:ascii="Tahoma" w:hAnsi="Tahoma" w:cs="Tahoma"/>
      <w:color w:val="000000"/>
      <w:sz w:val="16"/>
      <w:szCs w:val="16"/>
    </w:rPr>
  </w:style>
  <w:style w:type="paragraph" w:customStyle="1" w:styleId="Default">
    <w:name w:val="Default"/>
    <w:rsid w:val="00A71DE5"/>
    <w:pPr>
      <w:autoSpaceDE w:val="0"/>
      <w:autoSpaceDN w:val="0"/>
      <w:adjustRightInd w:val="0"/>
    </w:pPr>
    <w:rPr>
      <w:color w:val="000000"/>
      <w:sz w:val="24"/>
      <w:szCs w:val="24"/>
    </w:rPr>
  </w:style>
  <w:style w:type="paragraph" w:customStyle="1" w:styleId="ICNUBrief">
    <w:name w:val="ICNU Brief"/>
    <w:basedOn w:val="WUTCParagraph"/>
    <w:link w:val="ICNUBriefChar1"/>
    <w:qFormat/>
    <w:rsid w:val="0029581A"/>
  </w:style>
  <w:style w:type="character" w:styleId="Emphasis">
    <w:name w:val="Emphasis"/>
    <w:qFormat/>
    <w:rsid w:val="0029581A"/>
    <w:rPr>
      <w:i/>
      <w:iCs/>
    </w:rPr>
  </w:style>
  <w:style w:type="character" w:customStyle="1" w:styleId="WUTCParagraphChar">
    <w:name w:val="WUTC Paragraph Char"/>
    <w:link w:val="WUTCParagraph"/>
    <w:rsid w:val="0029581A"/>
    <w:rPr>
      <w:sz w:val="24"/>
      <w:szCs w:val="24"/>
    </w:rPr>
  </w:style>
  <w:style w:type="character" w:customStyle="1" w:styleId="ICNUBriefChar">
    <w:name w:val="ICNU Brief Char"/>
    <w:basedOn w:val="WUTCParagraphChar"/>
    <w:rsid w:val="0029581A"/>
    <w:rPr>
      <w:sz w:val="24"/>
      <w:szCs w:val="24"/>
    </w:rPr>
  </w:style>
  <w:style w:type="paragraph" w:customStyle="1" w:styleId="Style1">
    <w:name w:val="Style1"/>
    <w:basedOn w:val="ICNUBrief"/>
    <w:link w:val="Style1Char"/>
    <w:qFormat/>
    <w:rsid w:val="00C24C82"/>
  </w:style>
  <w:style w:type="character" w:customStyle="1" w:styleId="BodyTextIndentChar">
    <w:name w:val="Body Text Indent Char"/>
    <w:link w:val="BodyTextIndent"/>
    <w:rsid w:val="007B2D62"/>
    <w:rPr>
      <w:snapToGrid w:val="0"/>
      <w:sz w:val="24"/>
    </w:rPr>
  </w:style>
  <w:style w:type="paragraph" w:customStyle="1" w:styleId="draft">
    <w:name w:val="draft"/>
    <w:basedOn w:val="WUTCParagraph"/>
    <w:link w:val="draftChar"/>
    <w:qFormat/>
    <w:rsid w:val="00931398"/>
    <w:pPr>
      <w:tabs>
        <w:tab w:val="clear" w:pos="0"/>
        <w:tab w:val="num" w:pos="1440"/>
      </w:tabs>
      <w:spacing w:line="570" w:lineRule="exact"/>
    </w:pPr>
  </w:style>
  <w:style w:type="character" w:customStyle="1" w:styleId="draftChar">
    <w:name w:val="draft Char"/>
    <w:basedOn w:val="WUTCParagraphChar"/>
    <w:link w:val="draft"/>
    <w:rsid w:val="00931398"/>
    <w:rPr>
      <w:sz w:val="24"/>
      <w:szCs w:val="24"/>
    </w:rPr>
  </w:style>
  <w:style w:type="paragraph" w:customStyle="1" w:styleId="draftheading1">
    <w:name w:val="draft heading 1"/>
    <w:basedOn w:val="WUTCHeading1"/>
    <w:link w:val="draftheading1Char"/>
    <w:qFormat/>
    <w:rsid w:val="00F847B6"/>
    <w:pPr>
      <w:numPr>
        <w:numId w:val="0"/>
      </w:numPr>
      <w:spacing w:before="240"/>
    </w:pPr>
  </w:style>
  <w:style w:type="paragraph" w:customStyle="1" w:styleId="draftheading2">
    <w:name w:val="draft heading 2"/>
    <w:basedOn w:val="WUTCHeading2"/>
    <w:link w:val="draftheading2Char"/>
    <w:qFormat/>
    <w:rsid w:val="00F847B6"/>
    <w:pPr>
      <w:numPr>
        <w:ilvl w:val="0"/>
        <w:numId w:val="0"/>
      </w:numPr>
      <w:spacing w:after="0"/>
      <w:ind w:left="1440" w:hanging="720"/>
    </w:pPr>
  </w:style>
  <w:style w:type="character" w:customStyle="1" w:styleId="WUTCHeading1Char">
    <w:name w:val="WUTC Heading 1 Char"/>
    <w:link w:val="WUTCHeading1"/>
    <w:rsid w:val="00F847B6"/>
    <w:rPr>
      <w:b/>
      <w:caps/>
      <w:sz w:val="24"/>
      <w:szCs w:val="24"/>
    </w:rPr>
  </w:style>
  <w:style w:type="character" w:customStyle="1" w:styleId="draftheading1Char">
    <w:name w:val="draft heading 1 Char"/>
    <w:basedOn w:val="WUTCHeading1Char"/>
    <w:link w:val="draftheading1"/>
    <w:rsid w:val="00F847B6"/>
    <w:rPr>
      <w:b/>
      <w:caps/>
      <w:sz w:val="24"/>
      <w:szCs w:val="24"/>
    </w:rPr>
  </w:style>
  <w:style w:type="character" w:customStyle="1" w:styleId="WUTCHeading2Char">
    <w:name w:val="WUTC Heading 2 Char"/>
    <w:basedOn w:val="WUTCHeading1Char"/>
    <w:link w:val="WUTCHeading2"/>
    <w:rsid w:val="00F847B6"/>
    <w:rPr>
      <w:b/>
      <w:caps/>
      <w:sz w:val="24"/>
      <w:szCs w:val="24"/>
    </w:rPr>
  </w:style>
  <w:style w:type="character" w:customStyle="1" w:styleId="draftheading2Char">
    <w:name w:val="draft heading 2 Char"/>
    <w:basedOn w:val="WUTCHeading2Char"/>
    <w:link w:val="draftheading2"/>
    <w:rsid w:val="00F847B6"/>
    <w:rPr>
      <w:b/>
      <w:caps/>
      <w:sz w:val="24"/>
      <w:szCs w:val="24"/>
    </w:rPr>
  </w:style>
  <w:style w:type="paragraph" w:styleId="DocumentMap">
    <w:name w:val="Document Map"/>
    <w:basedOn w:val="Normal"/>
    <w:link w:val="DocumentMapChar"/>
    <w:rsid w:val="00862C2C"/>
    <w:rPr>
      <w:rFonts w:ascii="Tahoma" w:hAnsi="Tahoma"/>
      <w:sz w:val="16"/>
      <w:szCs w:val="16"/>
      <w:lang w:val="x-none" w:eastAsia="x-none"/>
    </w:rPr>
  </w:style>
  <w:style w:type="character" w:customStyle="1" w:styleId="DocumentMapChar">
    <w:name w:val="Document Map Char"/>
    <w:link w:val="DocumentMap"/>
    <w:rsid w:val="00862C2C"/>
    <w:rPr>
      <w:rFonts w:ascii="Tahoma" w:hAnsi="Tahoma" w:cs="Tahoma"/>
      <w:color w:val="000000"/>
      <w:sz w:val="16"/>
      <w:szCs w:val="16"/>
    </w:rPr>
  </w:style>
  <w:style w:type="paragraph" w:styleId="Revision">
    <w:name w:val="Revision"/>
    <w:hidden/>
    <w:uiPriority w:val="99"/>
    <w:semiHidden/>
    <w:rsid w:val="00077B94"/>
    <w:rPr>
      <w:color w:val="000000"/>
      <w:sz w:val="24"/>
    </w:rPr>
  </w:style>
  <w:style w:type="character" w:customStyle="1" w:styleId="Heading3Char">
    <w:name w:val="Heading 3 Char"/>
    <w:link w:val="Heading3"/>
    <w:rsid w:val="00AD56FC"/>
    <w:rPr>
      <w:rFonts w:ascii="Cambria" w:eastAsia="Times New Roman" w:hAnsi="Cambria" w:cs="Times New Roman"/>
      <w:b/>
      <w:bCs/>
      <w:color w:val="000000"/>
      <w:sz w:val="26"/>
      <w:szCs w:val="26"/>
    </w:rPr>
  </w:style>
  <w:style w:type="paragraph" w:styleId="TableofAuthorities">
    <w:name w:val="table of authorities"/>
    <w:basedOn w:val="Normal"/>
    <w:next w:val="Normal"/>
    <w:uiPriority w:val="99"/>
    <w:unhideWhenUsed/>
    <w:rsid w:val="00AD56FC"/>
    <w:pPr>
      <w:ind w:left="240" w:hanging="240"/>
    </w:pPr>
    <w:rPr>
      <w:color w:val="auto"/>
      <w:szCs w:val="24"/>
    </w:rPr>
  </w:style>
  <w:style w:type="paragraph" w:customStyle="1" w:styleId="UTCStyle">
    <w:name w:val="UTC Style"/>
    <w:basedOn w:val="BodyTextIndent"/>
    <w:link w:val="UTCStyleChar"/>
    <w:qFormat/>
    <w:rsid w:val="00D90AE9"/>
    <w:pPr>
      <w:tabs>
        <w:tab w:val="left" w:pos="720"/>
        <w:tab w:val="right" w:leader="dot" w:pos="8640"/>
      </w:tabs>
      <w:spacing w:line="240" w:lineRule="auto"/>
      <w:ind w:firstLine="0"/>
    </w:pPr>
    <w:rPr>
      <w:sz w:val="28"/>
    </w:rPr>
  </w:style>
  <w:style w:type="paragraph" w:customStyle="1" w:styleId="draftheading3">
    <w:name w:val="draft heading 3"/>
    <w:basedOn w:val="WUTCParagraph"/>
    <w:link w:val="draftheading3Char"/>
    <w:qFormat/>
    <w:rsid w:val="00DA2AA9"/>
    <w:pPr>
      <w:keepNext/>
      <w:numPr>
        <w:numId w:val="0"/>
      </w:numPr>
      <w:spacing w:before="240" w:line="240" w:lineRule="auto"/>
      <w:ind w:left="1440" w:hanging="720"/>
    </w:pPr>
    <w:rPr>
      <w:b/>
    </w:rPr>
  </w:style>
  <w:style w:type="character" w:customStyle="1" w:styleId="UTCStyleChar">
    <w:name w:val="UTC Style Char"/>
    <w:link w:val="UTCStyle"/>
    <w:rsid w:val="00D90AE9"/>
    <w:rPr>
      <w:snapToGrid w:val="0"/>
      <w:sz w:val="28"/>
    </w:rPr>
  </w:style>
  <w:style w:type="paragraph" w:customStyle="1" w:styleId="IASFav">
    <w:name w:val="IAS Fav"/>
    <w:basedOn w:val="draft"/>
    <w:link w:val="IASFavChar"/>
    <w:qFormat/>
    <w:rsid w:val="008068D6"/>
    <w:rPr>
      <w:szCs w:val="22"/>
    </w:rPr>
  </w:style>
  <w:style w:type="character" w:customStyle="1" w:styleId="draftheading3Char">
    <w:name w:val="draft heading 3 Char"/>
    <w:link w:val="draftheading3"/>
    <w:rsid w:val="00DA2AA9"/>
    <w:rPr>
      <w:b/>
      <w:sz w:val="24"/>
      <w:szCs w:val="24"/>
    </w:rPr>
  </w:style>
  <w:style w:type="paragraph" w:customStyle="1" w:styleId="IAS2">
    <w:name w:val="IAS 2"/>
    <w:basedOn w:val="Style1"/>
    <w:link w:val="IAS2Char"/>
    <w:qFormat/>
    <w:rsid w:val="00933CCD"/>
  </w:style>
  <w:style w:type="character" w:customStyle="1" w:styleId="IASFavChar">
    <w:name w:val="IAS Fav Char"/>
    <w:link w:val="IASFav"/>
    <w:rsid w:val="008068D6"/>
    <w:rPr>
      <w:sz w:val="24"/>
      <w:szCs w:val="22"/>
    </w:rPr>
  </w:style>
  <w:style w:type="paragraph" w:styleId="PlainText">
    <w:name w:val="Plain Text"/>
    <w:basedOn w:val="Normal"/>
    <w:link w:val="PlainTextChar"/>
    <w:uiPriority w:val="99"/>
    <w:unhideWhenUsed/>
    <w:rsid w:val="00336029"/>
    <w:rPr>
      <w:rFonts w:ascii="Calibri" w:eastAsia="Calibri" w:hAnsi="Calibri"/>
      <w:color w:val="auto"/>
      <w:sz w:val="22"/>
      <w:szCs w:val="21"/>
      <w:lang w:val="x-none" w:eastAsia="x-none"/>
    </w:rPr>
  </w:style>
  <w:style w:type="character" w:customStyle="1" w:styleId="ICNUBriefChar1">
    <w:name w:val="ICNU Brief Char1"/>
    <w:basedOn w:val="WUTCParagraphChar"/>
    <w:link w:val="ICNUBrief"/>
    <w:rsid w:val="00933CCD"/>
    <w:rPr>
      <w:sz w:val="24"/>
      <w:szCs w:val="24"/>
    </w:rPr>
  </w:style>
  <w:style w:type="character" w:customStyle="1" w:styleId="Style1Char">
    <w:name w:val="Style1 Char"/>
    <w:basedOn w:val="ICNUBriefChar1"/>
    <w:link w:val="Style1"/>
    <w:rsid w:val="00933CCD"/>
    <w:rPr>
      <w:sz w:val="24"/>
      <w:szCs w:val="24"/>
    </w:rPr>
  </w:style>
  <w:style w:type="character" w:customStyle="1" w:styleId="IAS2Char">
    <w:name w:val="IAS 2 Char"/>
    <w:basedOn w:val="Style1Char"/>
    <w:link w:val="IAS2"/>
    <w:rsid w:val="00933CCD"/>
    <w:rPr>
      <w:sz w:val="24"/>
      <w:szCs w:val="24"/>
    </w:rPr>
  </w:style>
  <w:style w:type="character" w:customStyle="1" w:styleId="PlainTextChar">
    <w:name w:val="Plain Text Char"/>
    <w:link w:val="PlainText"/>
    <w:uiPriority w:val="99"/>
    <w:rsid w:val="00336029"/>
    <w:rPr>
      <w:rFonts w:ascii="Calibri" w:eastAsia="Calibri" w:hAnsi="Calibri" w:cs="Consolas"/>
      <w:sz w:val="22"/>
      <w:szCs w:val="21"/>
    </w:rPr>
  </w:style>
  <w:style w:type="numbering" w:customStyle="1" w:styleId="briefnumbertabspots">
    <w:name w:val="brief number tab spots"/>
    <w:uiPriority w:val="99"/>
    <w:rsid w:val="004A158E"/>
    <w:pPr>
      <w:numPr>
        <w:numId w:val="21"/>
      </w:numPr>
    </w:pPr>
  </w:style>
  <w:style w:type="character" w:customStyle="1" w:styleId="pmterms1">
    <w:name w:val="pmterms1"/>
    <w:rsid w:val="00FB2C9F"/>
  </w:style>
  <w:style w:type="paragraph" w:customStyle="1" w:styleId="MJDWUTCBrief">
    <w:name w:val="MJD WUTC Brief"/>
    <w:basedOn w:val="WUTCParagraph"/>
    <w:qFormat/>
    <w:rsid w:val="00AD020F"/>
    <w:pPr>
      <w:tabs>
        <w:tab w:val="left" w:pos="720"/>
      </w:tabs>
    </w:pPr>
    <w:rPr>
      <w:lang w:val="en-US"/>
    </w:rPr>
  </w:style>
  <w:style w:type="paragraph" w:customStyle="1" w:styleId="MJDWUTCBriefBulletPoints">
    <w:name w:val="MJD WUTC Brief Bullet Points"/>
    <w:basedOn w:val="WUTCParagraph"/>
    <w:next w:val="MJDWUTCBrief"/>
    <w:qFormat/>
    <w:rsid w:val="00F61336"/>
    <w:pPr>
      <w:tabs>
        <w:tab w:val="clear" w:pos="0"/>
        <w:tab w:val="clear" w:pos="1440"/>
        <w:tab w:val="num" w:pos="360"/>
        <w:tab w:val="left" w:pos="900"/>
      </w:tabs>
      <w:ind w:left="360" w:hanging="1080"/>
    </w:pPr>
  </w:style>
  <w:style w:type="paragraph" w:customStyle="1" w:styleId="FormattingTODAY">
    <w:name w:val="Formatting TODAY"/>
    <w:basedOn w:val="BodyTextIndent"/>
    <w:qFormat/>
    <w:rsid w:val="002E5CF0"/>
    <w:pPr>
      <w:keepLines/>
      <w:tabs>
        <w:tab w:val="left" w:pos="1440"/>
        <w:tab w:val="right" w:leader="dot" w:pos="8640"/>
      </w:tabs>
      <w:spacing w:before="240" w:line="240" w:lineRule="auto"/>
      <w:ind w:left="1440" w:right="720" w:hanging="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5954">
      <w:bodyDiv w:val="1"/>
      <w:marLeft w:val="0"/>
      <w:marRight w:val="0"/>
      <w:marTop w:val="0"/>
      <w:marBottom w:val="0"/>
      <w:divBdr>
        <w:top w:val="none" w:sz="0" w:space="0" w:color="auto"/>
        <w:left w:val="none" w:sz="0" w:space="0" w:color="auto"/>
        <w:bottom w:val="none" w:sz="0" w:space="0" w:color="auto"/>
        <w:right w:val="none" w:sz="0" w:space="0" w:color="auto"/>
      </w:divBdr>
    </w:div>
    <w:div w:id="764152704">
      <w:bodyDiv w:val="1"/>
      <w:marLeft w:val="0"/>
      <w:marRight w:val="0"/>
      <w:marTop w:val="0"/>
      <w:marBottom w:val="0"/>
      <w:divBdr>
        <w:top w:val="none" w:sz="0" w:space="0" w:color="auto"/>
        <w:left w:val="none" w:sz="0" w:space="0" w:color="auto"/>
        <w:bottom w:val="none" w:sz="0" w:space="0" w:color="auto"/>
        <w:right w:val="none" w:sz="0" w:space="0" w:color="auto"/>
      </w:divBdr>
    </w:div>
    <w:div w:id="1202087568">
      <w:bodyDiv w:val="1"/>
      <w:marLeft w:val="0"/>
      <w:marRight w:val="0"/>
      <w:marTop w:val="0"/>
      <w:marBottom w:val="0"/>
      <w:divBdr>
        <w:top w:val="none" w:sz="0" w:space="0" w:color="auto"/>
        <w:left w:val="none" w:sz="0" w:space="0" w:color="auto"/>
        <w:bottom w:val="none" w:sz="0" w:space="0" w:color="auto"/>
        <w:right w:val="none" w:sz="0" w:space="0" w:color="auto"/>
      </w:divBdr>
    </w:div>
    <w:div w:id="1387603647">
      <w:bodyDiv w:val="1"/>
      <w:marLeft w:val="0"/>
      <w:marRight w:val="0"/>
      <w:marTop w:val="0"/>
      <w:marBottom w:val="0"/>
      <w:divBdr>
        <w:top w:val="none" w:sz="0" w:space="0" w:color="auto"/>
        <w:left w:val="none" w:sz="0" w:space="0" w:color="auto"/>
        <w:bottom w:val="none" w:sz="0" w:space="0" w:color="auto"/>
        <w:right w:val="none" w:sz="0" w:space="0" w:color="auto"/>
      </w:divBdr>
    </w:div>
    <w:div w:id="1628004683">
      <w:bodyDiv w:val="1"/>
      <w:marLeft w:val="0"/>
      <w:marRight w:val="0"/>
      <w:marTop w:val="0"/>
      <w:marBottom w:val="0"/>
      <w:divBdr>
        <w:top w:val="none" w:sz="0" w:space="0" w:color="auto"/>
        <w:left w:val="none" w:sz="0" w:space="0" w:color="auto"/>
        <w:bottom w:val="none" w:sz="0" w:space="0" w:color="auto"/>
        <w:right w:val="none" w:sz="0" w:space="0" w:color="auto"/>
      </w:divBdr>
    </w:div>
    <w:div w:id="2117140971">
      <w:bodyDiv w:val="1"/>
      <w:marLeft w:val="0"/>
      <w:marRight w:val="0"/>
      <w:marTop w:val="0"/>
      <w:marBottom w:val="0"/>
      <w:divBdr>
        <w:top w:val="none" w:sz="0" w:space="0" w:color="auto"/>
        <w:left w:val="none" w:sz="0" w:space="0" w:color="auto"/>
        <w:bottom w:val="none" w:sz="0" w:space="0" w:color="auto"/>
        <w:right w:val="none" w:sz="0" w:space="0" w:color="auto"/>
      </w:divBdr>
      <w:divsChild>
        <w:div w:id="1169784157">
          <w:marLeft w:val="0"/>
          <w:marRight w:val="0"/>
          <w:marTop w:val="0"/>
          <w:marBottom w:val="0"/>
          <w:divBdr>
            <w:top w:val="none" w:sz="0" w:space="0" w:color="auto"/>
            <w:left w:val="none" w:sz="0" w:space="0" w:color="auto"/>
            <w:bottom w:val="none" w:sz="0" w:space="0" w:color="auto"/>
            <w:right w:val="none" w:sz="0" w:space="0" w:color="auto"/>
          </w:divBdr>
        </w:div>
        <w:div w:id="1247962051">
          <w:marLeft w:val="0"/>
          <w:marRight w:val="0"/>
          <w:marTop w:val="0"/>
          <w:marBottom w:val="0"/>
          <w:divBdr>
            <w:top w:val="none" w:sz="0" w:space="0" w:color="auto"/>
            <w:left w:val="none" w:sz="0" w:space="0" w:color="auto"/>
            <w:bottom w:val="none" w:sz="0" w:space="0" w:color="auto"/>
            <w:right w:val="none" w:sz="0" w:space="0" w:color="auto"/>
          </w:divBdr>
        </w:div>
        <w:div w:id="20541096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A414DF-FB82-4FBF-A01D-00441A319B1B}"/>
</file>

<file path=customXml/itemProps2.xml><?xml version="1.0" encoding="utf-8"?>
<ds:datastoreItem xmlns:ds="http://schemas.openxmlformats.org/officeDocument/2006/customXml" ds:itemID="{8DFB96BC-60E2-412D-99DA-A8B0C7E865B6}"/>
</file>

<file path=customXml/itemProps3.xml><?xml version="1.0" encoding="utf-8"?>
<ds:datastoreItem xmlns:ds="http://schemas.openxmlformats.org/officeDocument/2006/customXml" ds:itemID="{16C84243-156A-456F-A8F0-694D91CB3B81}"/>
</file>

<file path=customXml/itemProps4.xml><?xml version="1.0" encoding="utf-8"?>
<ds:datastoreItem xmlns:ds="http://schemas.openxmlformats.org/officeDocument/2006/customXml" ds:itemID="{6EB9CC90-69C7-417C-8FBE-5B58B9CC8CB9}"/>
</file>

<file path=customXml/itemProps5.xml><?xml version="1.0" encoding="utf-8"?>
<ds:datastoreItem xmlns:ds="http://schemas.openxmlformats.org/officeDocument/2006/customXml" ds:itemID="{00D97882-17A5-4C77-BC75-689DDCF9DF71}"/>
</file>

<file path=docProps/app.xml><?xml version="1.0" encoding="utf-8"?>
<Properties xmlns="http://schemas.openxmlformats.org/officeDocument/2006/extended-properties" xmlns:vt="http://schemas.openxmlformats.org/officeDocument/2006/docPropsVTypes">
  <Template>Normal</Template>
  <TotalTime>420</TotalTime>
  <Pages>65</Pages>
  <Words>14709</Words>
  <Characters>83844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BEFORE THE</vt:lpstr>
    </vt:vector>
  </TitlesOfParts>
  <Company>Davison Van Cleve</Company>
  <LinksUpToDate>false</LinksUpToDate>
  <CharactersWithSpaces>98357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creator>Melinda J. Davison</dc:creator>
  <cp:lastModifiedBy>Karen A. Zolka</cp:lastModifiedBy>
  <cp:revision>113</cp:revision>
  <cp:lastPrinted>2013-05-30T22:48:00Z</cp:lastPrinted>
  <dcterms:created xsi:type="dcterms:W3CDTF">2013-05-30T15:33:00Z</dcterms:created>
  <dcterms:modified xsi:type="dcterms:W3CDTF">2013-05-30T22:56:00Z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