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59BF3467" w14:textId="77777777" w:rsidTr="00F45919">
        <w:tc>
          <w:tcPr>
            <w:tcW w:w="4788" w:type="dxa"/>
          </w:tcPr>
          <w:p w14:paraId="59BF3460" w14:textId="77777777" w:rsidR="00F86C06" w:rsidRPr="00663BBB" w:rsidRDefault="00F86C06" w:rsidP="00EE7BE4">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59BF3461" w14:textId="77777777" w:rsidR="00F86C06" w:rsidRPr="00663BBB" w:rsidRDefault="00F86C06" w:rsidP="00EE7BE4">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59BF3462" w14:textId="77777777" w:rsidR="00F86C06" w:rsidRPr="00663BBB" w:rsidRDefault="00344DC2" w:rsidP="00EE7BE4">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59BF3463" w14:textId="77777777" w:rsidR="00F86C06" w:rsidRPr="00663BBB" w:rsidRDefault="00F86C06" w:rsidP="00EE7BE4">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59BF3464" w14:textId="77777777" w:rsidR="00F86C06" w:rsidRPr="00663BBB" w:rsidRDefault="00F86C06" w:rsidP="00EE7BE4">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59BF3465" w14:textId="77777777" w:rsidR="00F86C06" w:rsidRDefault="00F86C06" w:rsidP="00EE7BE4">
            <w:pPr>
              <w:pStyle w:val="Header"/>
              <w:rPr>
                <w:rFonts w:cs="Arial"/>
                <w:b/>
                <w:bCs/>
                <w:sz w:val="18"/>
                <w:szCs w:val="18"/>
              </w:rPr>
            </w:pPr>
          </w:p>
        </w:tc>
        <w:tc>
          <w:tcPr>
            <w:tcW w:w="4788" w:type="dxa"/>
          </w:tcPr>
          <w:p w14:paraId="59BF3466" w14:textId="77777777" w:rsidR="00F86C06" w:rsidRDefault="00F86C06" w:rsidP="00EE7BE4">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59BF3468" w14:textId="77777777" w:rsidR="00FC1D02" w:rsidRDefault="00FC1D02" w:rsidP="00EE7BE4">
      <w:pPr>
        <w:pStyle w:val="NoSpacing"/>
        <w:jc w:val="both"/>
        <w:rPr>
          <w:rFonts w:ascii="Times New Roman" w:hAnsi="Times New Roman"/>
          <w:sz w:val="24"/>
          <w:szCs w:val="24"/>
        </w:rPr>
      </w:pPr>
    </w:p>
    <w:p w14:paraId="59BF3469" w14:textId="77777777" w:rsidR="00F45919" w:rsidRDefault="00554CDD" w:rsidP="00EE7BE4">
      <w:pPr>
        <w:pStyle w:val="NoSpacing"/>
        <w:jc w:val="both"/>
        <w:rPr>
          <w:rFonts w:ascii="Times New Roman" w:hAnsi="Times New Roman"/>
          <w:sz w:val="24"/>
          <w:szCs w:val="24"/>
        </w:rPr>
      </w:pPr>
      <w:r>
        <w:rPr>
          <w:rFonts w:ascii="Times New Roman" w:hAnsi="Times New Roman"/>
          <w:sz w:val="24"/>
          <w:szCs w:val="24"/>
        </w:rPr>
        <w:t>February</w:t>
      </w:r>
      <w:r w:rsidR="00100EB1">
        <w:rPr>
          <w:rFonts w:ascii="Times New Roman" w:hAnsi="Times New Roman"/>
          <w:sz w:val="24"/>
          <w:szCs w:val="24"/>
        </w:rPr>
        <w:t xml:space="preserve"> </w:t>
      </w:r>
      <w:r w:rsidR="00257F21">
        <w:rPr>
          <w:rFonts w:ascii="Times New Roman" w:hAnsi="Times New Roman"/>
          <w:sz w:val="24"/>
          <w:szCs w:val="24"/>
        </w:rPr>
        <w:t>1</w:t>
      </w:r>
      <w:r w:rsidR="00871EDC">
        <w:rPr>
          <w:rFonts w:ascii="Times New Roman" w:hAnsi="Times New Roman"/>
          <w:sz w:val="24"/>
          <w:szCs w:val="24"/>
        </w:rPr>
        <w:t>, 2017</w:t>
      </w:r>
    </w:p>
    <w:p w14:paraId="59BF346A" w14:textId="77777777" w:rsidR="00FC1D02" w:rsidRPr="00C4686F" w:rsidRDefault="00FC1D02" w:rsidP="00EE7BE4">
      <w:pPr>
        <w:pStyle w:val="NoSpacing"/>
        <w:jc w:val="both"/>
        <w:rPr>
          <w:rFonts w:ascii="Times New Roman" w:hAnsi="Times New Roman"/>
          <w:sz w:val="24"/>
          <w:szCs w:val="24"/>
        </w:rPr>
      </w:pPr>
    </w:p>
    <w:p w14:paraId="59BF346B" w14:textId="77777777" w:rsidR="00F45919" w:rsidRPr="00C4686F" w:rsidRDefault="00F45919" w:rsidP="00EE7BE4">
      <w:pPr>
        <w:jc w:val="both"/>
        <w:rPr>
          <w:rFonts w:ascii="Times New Roman" w:hAnsi="Times New Roman"/>
        </w:rPr>
      </w:pPr>
      <w:r>
        <w:rPr>
          <w:rFonts w:ascii="Times New Roman" w:hAnsi="Times New Roman"/>
        </w:rPr>
        <w:t>Steven V. King</w:t>
      </w:r>
    </w:p>
    <w:p w14:paraId="59BF346C" w14:textId="77777777" w:rsidR="00F45919" w:rsidRPr="00C4686F" w:rsidRDefault="00F45919" w:rsidP="00EE7BE4">
      <w:pPr>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59BF346D" w14:textId="77777777" w:rsidR="00F45919" w:rsidRPr="00C4686F" w:rsidRDefault="00F45919" w:rsidP="00EE7BE4">
      <w:pPr>
        <w:jc w:val="both"/>
        <w:rPr>
          <w:rFonts w:ascii="Times New Roman" w:hAnsi="Times New Roman"/>
        </w:rPr>
      </w:pPr>
      <w:r w:rsidRPr="00C4686F">
        <w:rPr>
          <w:rFonts w:ascii="Times New Roman" w:hAnsi="Times New Roman"/>
        </w:rPr>
        <w:t>Washington Utilities &amp; Transportation Commission</w:t>
      </w:r>
    </w:p>
    <w:p w14:paraId="59BF346E" w14:textId="77777777" w:rsidR="00F45919" w:rsidRPr="00C4686F" w:rsidRDefault="00F45919" w:rsidP="00EE7BE4">
      <w:pPr>
        <w:jc w:val="both"/>
        <w:rPr>
          <w:rFonts w:ascii="Times New Roman" w:hAnsi="Times New Roman"/>
        </w:rPr>
      </w:pPr>
      <w:r w:rsidRPr="00C4686F">
        <w:rPr>
          <w:rFonts w:ascii="Times New Roman" w:hAnsi="Times New Roman"/>
        </w:rPr>
        <w:t>1300 S. Evergreen Park Drive S. W.</w:t>
      </w:r>
    </w:p>
    <w:p w14:paraId="59BF346F" w14:textId="77777777" w:rsidR="00F45919" w:rsidRPr="00C4686F" w:rsidRDefault="00F45919" w:rsidP="00EE7BE4">
      <w:pPr>
        <w:jc w:val="both"/>
        <w:rPr>
          <w:rFonts w:ascii="Times New Roman" w:hAnsi="Times New Roman"/>
        </w:rPr>
      </w:pPr>
      <w:r w:rsidRPr="00C4686F">
        <w:rPr>
          <w:rFonts w:ascii="Times New Roman" w:hAnsi="Times New Roman"/>
        </w:rPr>
        <w:t>P.O. Box 47250</w:t>
      </w:r>
    </w:p>
    <w:p w14:paraId="59BF3470" w14:textId="77777777" w:rsidR="00F45919" w:rsidRPr="004E6D17" w:rsidRDefault="00F45919" w:rsidP="00EE7BE4">
      <w:pPr>
        <w:jc w:val="both"/>
        <w:rPr>
          <w:rFonts w:ascii="Times New Roman" w:hAnsi="Times New Roman"/>
        </w:rPr>
      </w:pPr>
      <w:r w:rsidRPr="004E6D17">
        <w:rPr>
          <w:rFonts w:ascii="Times New Roman" w:hAnsi="Times New Roman"/>
        </w:rPr>
        <w:t>Olympia, Washington  98504-7250</w:t>
      </w:r>
    </w:p>
    <w:p w14:paraId="59BF3471" w14:textId="77777777" w:rsidR="00F45919" w:rsidRPr="004E6D17" w:rsidRDefault="00F45919" w:rsidP="00EE7BE4">
      <w:pPr>
        <w:pStyle w:val="NoSpacing"/>
        <w:jc w:val="both"/>
        <w:rPr>
          <w:rFonts w:ascii="Times New Roman" w:hAnsi="Times New Roman"/>
          <w:b/>
          <w:sz w:val="24"/>
          <w:szCs w:val="24"/>
          <w:u w:val="single"/>
        </w:rPr>
      </w:pPr>
    </w:p>
    <w:p w14:paraId="59BF3472" w14:textId="77777777" w:rsidR="00F45919" w:rsidRPr="00F45919" w:rsidRDefault="00F45919" w:rsidP="00EE7BE4">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UE-160</w:t>
      </w:r>
      <w:r w:rsidR="006346F3">
        <w:rPr>
          <w:rFonts w:ascii="Times New Roman" w:hAnsi="Times New Roman"/>
          <w:sz w:val="24"/>
          <w:szCs w:val="24"/>
        </w:rPr>
        <w:t>082</w:t>
      </w:r>
      <w:r w:rsidR="00AE5EB4">
        <w:rPr>
          <w:rFonts w:ascii="Times New Roman" w:hAnsi="Times New Roman"/>
          <w:sz w:val="24"/>
          <w:szCs w:val="24"/>
        </w:rPr>
        <w:t xml:space="preserve"> </w:t>
      </w:r>
      <w:r w:rsidR="006346F3">
        <w:rPr>
          <w:rFonts w:ascii="Times New Roman" w:hAnsi="Times New Roman"/>
          <w:sz w:val="24"/>
          <w:szCs w:val="24"/>
        </w:rPr>
        <w:t>–</w:t>
      </w:r>
      <w:r w:rsidR="00D96E8B">
        <w:rPr>
          <w:rFonts w:ascii="Times New Roman" w:hAnsi="Times New Roman"/>
          <w:sz w:val="24"/>
          <w:szCs w:val="24"/>
        </w:rPr>
        <w:t xml:space="preserve"> </w:t>
      </w:r>
      <w:r w:rsidR="006346F3">
        <w:rPr>
          <w:rFonts w:ascii="Times New Roman" w:hAnsi="Times New Roman"/>
          <w:sz w:val="24"/>
          <w:szCs w:val="24"/>
        </w:rPr>
        <w:t>Avista Utilities Quarterly Report on Electric Vehicle Supply Equipment Pilot Program</w:t>
      </w:r>
    </w:p>
    <w:p w14:paraId="59BF3473" w14:textId="77777777" w:rsidR="00F45919" w:rsidRPr="00F45919" w:rsidRDefault="00F45919" w:rsidP="00EE7BE4">
      <w:pPr>
        <w:pStyle w:val="NoSpacing"/>
        <w:jc w:val="both"/>
        <w:rPr>
          <w:rFonts w:ascii="Times New Roman" w:hAnsi="Times New Roman"/>
          <w:sz w:val="24"/>
          <w:szCs w:val="24"/>
        </w:rPr>
      </w:pPr>
    </w:p>
    <w:p w14:paraId="59BF3474" w14:textId="77777777" w:rsidR="00F45919" w:rsidRPr="004E6D17" w:rsidRDefault="00F45919" w:rsidP="00EE7BE4">
      <w:pPr>
        <w:pStyle w:val="NoSpacing"/>
        <w:spacing w:line="360" w:lineRule="auto"/>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59BF3475" w14:textId="77777777" w:rsidR="006346F3" w:rsidRDefault="006346F3" w:rsidP="00EE7BE4">
      <w:pPr>
        <w:pStyle w:val="NoSpacing"/>
        <w:spacing w:line="360" w:lineRule="auto"/>
        <w:ind w:firstLine="360"/>
        <w:jc w:val="both"/>
        <w:rPr>
          <w:rFonts w:ascii="Times New Roman" w:hAnsi="Times New Roman"/>
          <w:sz w:val="24"/>
          <w:szCs w:val="24"/>
        </w:rPr>
      </w:pPr>
    </w:p>
    <w:p w14:paraId="59BF3476" w14:textId="77777777" w:rsidR="006346F3" w:rsidRDefault="006346F3" w:rsidP="00EE7BE4">
      <w:pPr>
        <w:pStyle w:val="NoSpacing"/>
        <w:spacing w:line="360" w:lineRule="auto"/>
        <w:ind w:firstLine="360"/>
        <w:jc w:val="both"/>
        <w:rPr>
          <w:rFonts w:ascii="Times New Roman" w:hAnsi="Times New Roman"/>
          <w:sz w:val="24"/>
          <w:szCs w:val="24"/>
        </w:rPr>
      </w:pPr>
      <w:r>
        <w:rPr>
          <w:rFonts w:ascii="Times New Roman" w:hAnsi="Times New Roman"/>
          <w:sz w:val="24"/>
          <w:szCs w:val="24"/>
        </w:rPr>
        <w:t xml:space="preserve">On April 28, 2016 the Commission issued Order 01 in Docket UE-160882 approving </w:t>
      </w:r>
      <w:r w:rsidR="00F45919" w:rsidRPr="00B725E5">
        <w:rPr>
          <w:rFonts w:ascii="Times New Roman" w:hAnsi="Times New Roman"/>
          <w:sz w:val="24"/>
          <w:szCs w:val="24"/>
        </w:rPr>
        <w:t>Avista Corporation</w:t>
      </w:r>
      <w:r>
        <w:rPr>
          <w:rFonts w:ascii="Times New Roman" w:hAnsi="Times New Roman"/>
          <w:sz w:val="24"/>
          <w:szCs w:val="24"/>
        </w:rPr>
        <w:t>’s</w:t>
      </w:r>
      <w:r w:rsidR="00E83CFB" w:rsidRPr="00B725E5">
        <w:rPr>
          <w:rFonts w:ascii="Times New Roman" w:hAnsi="Times New Roman"/>
          <w:sz w:val="24"/>
          <w:szCs w:val="24"/>
        </w:rPr>
        <w:t>,</w:t>
      </w:r>
      <w:r w:rsidR="00F45919" w:rsidRPr="00B725E5">
        <w:rPr>
          <w:rFonts w:ascii="Times New Roman" w:hAnsi="Times New Roman"/>
          <w:sz w:val="24"/>
          <w:szCs w:val="24"/>
        </w:rPr>
        <w:t xml:space="preserve"> dba Avista Utilities (Avista or Company</w:t>
      </w:r>
      <w:r>
        <w:rPr>
          <w:rFonts w:ascii="Times New Roman" w:hAnsi="Times New Roman"/>
          <w:sz w:val="24"/>
          <w:szCs w:val="24"/>
        </w:rPr>
        <w:t>)</w:t>
      </w:r>
      <w:r w:rsidR="00257F21" w:rsidRPr="00B725E5">
        <w:rPr>
          <w:rFonts w:ascii="Times New Roman" w:hAnsi="Times New Roman"/>
          <w:sz w:val="24"/>
          <w:szCs w:val="24"/>
        </w:rPr>
        <w:t xml:space="preserve"> </w:t>
      </w:r>
      <w:r>
        <w:rPr>
          <w:rFonts w:ascii="Times New Roman" w:hAnsi="Times New Roman"/>
          <w:sz w:val="24"/>
          <w:szCs w:val="24"/>
        </w:rPr>
        <w:t xml:space="preserve">tariff Schedule 77 for its Electric Vehicle Supply Equipment (EVSE) </w:t>
      </w:r>
      <w:r w:rsidR="00257F21" w:rsidRPr="00B725E5">
        <w:rPr>
          <w:rFonts w:ascii="Times New Roman" w:hAnsi="Times New Roman"/>
          <w:sz w:val="24"/>
          <w:szCs w:val="24"/>
        </w:rPr>
        <w:t>Pilot</w:t>
      </w:r>
      <w:r>
        <w:rPr>
          <w:rFonts w:ascii="Times New Roman" w:hAnsi="Times New Roman"/>
          <w:sz w:val="24"/>
          <w:szCs w:val="24"/>
        </w:rPr>
        <w:t xml:space="preserve"> Program.  Within the Order the Commission required Avista to submit quarterly reports on the status of the program beginning on August 1, 2016 and ending on August 1, 2018.  The quarterly reports must include the following:</w:t>
      </w:r>
    </w:p>
    <w:p w14:paraId="59BF3477" w14:textId="77777777" w:rsidR="006346F3" w:rsidRPr="006346F3" w:rsidRDefault="006346F3" w:rsidP="00EE7BE4">
      <w:pPr>
        <w:autoSpaceDE w:val="0"/>
        <w:autoSpaceDN w:val="0"/>
        <w:adjustRightInd w:val="0"/>
        <w:rPr>
          <w:rFonts w:ascii="Times New Roman" w:hAnsi="Times New Roman" w:cs="Times New Roman"/>
          <w:color w:val="000000"/>
        </w:rPr>
      </w:pPr>
    </w:p>
    <w:p w14:paraId="59BF3478" w14:textId="77777777" w:rsidR="006346F3" w:rsidRPr="006346F3" w:rsidRDefault="006346F3" w:rsidP="00EE7BE4">
      <w:pPr>
        <w:pStyle w:val="ListParagraph"/>
        <w:numPr>
          <w:ilvl w:val="0"/>
          <w:numId w:val="26"/>
        </w:numPr>
        <w:autoSpaceDE w:val="0"/>
        <w:autoSpaceDN w:val="0"/>
        <w:adjustRightInd w:val="0"/>
        <w:spacing w:line="360" w:lineRule="auto"/>
        <w:contextualSpacing w:val="0"/>
        <w:jc w:val="both"/>
        <w:rPr>
          <w:color w:val="000000"/>
          <w:szCs w:val="23"/>
        </w:rPr>
      </w:pPr>
      <w:r w:rsidRPr="006346F3">
        <w:rPr>
          <w:color w:val="000000"/>
          <w:szCs w:val="23"/>
        </w:rPr>
        <w:t xml:space="preserve">For DC Fast Charging stations, Avista shall report the locations and utilization of stations, review and revise the DC fast charging rate, and assess the amount of overall fixed and variable costs recovered through user payments and report its findings to the Commission quarterly, beginning August 1, 2016. </w:t>
      </w:r>
    </w:p>
    <w:p w14:paraId="59BF3479" w14:textId="77777777" w:rsidR="006346F3" w:rsidRPr="006346F3" w:rsidRDefault="006346F3" w:rsidP="00EE7BE4">
      <w:pPr>
        <w:autoSpaceDE w:val="0"/>
        <w:autoSpaceDN w:val="0"/>
        <w:adjustRightInd w:val="0"/>
        <w:spacing w:line="360" w:lineRule="auto"/>
        <w:jc w:val="both"/>
        <w:rPr>
          <w:rFonts w:ascii="Times New Roman" w:hAnsi="Times New Roman" w:cs="Times New Roman"/>
          <w:color w:val="000000"/>
          <w:sz w:val="28"/>
        </w:rPr>
      </w:pPr>
    </w:p>
    <w:p w14:paraId="59BF347A" w14:textId="77777777" w:rsidR="006346F3" w:rsidRPr="006346F3" w:rsidRDefault="006346F3" w:rsidP="00EE7BE4">
      <w:pPr>
        <w:pStyle w:val="ListParagraph"/>
        <w:numPr>
          <w:ilvl w:val="0"/>
          <w:numId w:val="26"/>
        </w:numPr>
        <w:autoSpaceDE w:val="0"/>
        <w:autoSpaceDN w:val="0"/>
        <w:adjustRightInd w:val="0"/>
        <w:spacing w:line="360" w:lineRule="auto"/>
        <w:contextualSpacing w:val="0"/>
        <w:jc w:val="both"/>
        <w:rPr>
          <w:color w:val="000000"/>
          <w:szCs w:val="23"/>
        </w:rPr>
      </w:pPr>
      <w:r w:rsidRPr="006346F3">
        <w:rPr>
          <w:color w:val="000000"/>
          <w:szCs w:val="23"/>
        </w:rPr>
        <w:t xml:space="preserve">For all other services offered under the Electric Vehicle Supply Equipment Pilot Program, Avista shall report participation levels, expenditures, and revenues for each service offered for the duration of the program. We expect the Company to collect and report additional </w:t>
      </w:r>
      <w:r w:rsidRPr="006346F3">
        <w:rPr>
          <w:color w:val="000000"/>
          <w:szCs w:val="23"/>
        </w:rPr>
        <w:lastRenderedPageBreak/>
        <w:t xml:space="preserve">data necessary to provide enough information to evaluate accurately the program’s success by August 1, 2018. </w:t>
      </w:r>
    </w:p>
    <w:p w14:paraId="59BF347B" w14:textId="77777777" w:rsidR="006346F3" w:rsidRDefault="006346F3" w:rsidP="00EE7BE4">
      <w:pPr>
        <w:autoSpaceDE w:val="0"/>
        <w:autoSpaceDN w:val="0"/>
        <w:adjustRightInd w:val="0"/>
        <w:rPr>
          <w:rFonts w:ascii="Times New Roman" w:eastAsia="Calibri" w:hAnsi="Times New Roman" w:cs="Times New Roman"/>
        </w:rPr>
      </w:pPr>
    </w:p>
    <w:p w14:paraId="59BF347C" w14:textId="77777777" w:rsidR="008A1F79" w:rsidRDefault="006346F3" w:rsidP="00EE7BE4">
      <w:pPr>
        <w:autoSpaceDE w:val="0"/>
        <w:autoSpaceDN w:val="0"/>
        <w:adjustRightInd w:val="0"/>
        <w:spacing w:line="360" w:lineRule="auto"/>
        <w:jc w:val="both"/>
        <w:rPr>
          <w:rFonts w:ascii="Times New Roman" w:eastAsia="Calibri" w:hAnsi="Times New Roman" w:cs="Times New Roman"/>
        </w:rPr>
      </w:pPr>
      <w:r w:rsidRPr="006346F3">
        <w:rPr>
          <w:rFonts w:ascii="Times New Roman" w:eastAsia="Calibri" w:hAnsi="Times New Roman" w:cs="Times New Roman"/>
        </w:rPr>
        <w:t xml:space="preserve">As described in Order 01 the effective date of tariff Schedule 77 was May 2, 2016.  </w:t>
      </w:r>
      <w:r w:rsidR="00100EB1">
        <w:rPr>
          <w:rFonts w:ascii="Times New Roman" w:eastAsia="Calibri" w:hAnsi="Times New Roman" w:cs="Times New Roman"/>
        </w:rPr>
        <w:t xml:space="preserve">The term of the program began with the first residential EVSE installation </w:t>
      </w:r>
      <w:r w:rsidRPr="006346F3">
        <w:rPr>
          <w:rFonts w:ascii="Times New Roman" w:eastAsia="Calibri" w:hAnsi="Times New Roman" w:cs="Times New Roman"/>
        </w:rPr>
        <w:t xml:space="preserve">on July 20, 2016.  </w:t>
      </w:r>
      <w:r w:rsidR="008A1F79">
        <w:rPr>
          <w:rFonts w:ascii="Times New Roman" w:eastAsia="Calibri" w:hAnsi="Times New Roman" w:cs="Times New Roman"/>
        </w:rPr>
        <w:t>The following are updates on each element of the program.</w:t>
      </w:r>
    </w:p>
    <w:p w14:paraId="59BF347D" w14:textId="77777777" w:rsidR="00B55800" w:rsidRDefault="00B55800" w:rsidP="00EE7BE4">
      <w:pPr>
        <w:autoSpaceDE w:val="0"/>
        <w:autoSpaceDN w:val="0"/>
        <w:adjustRightInd w:val="0"/>
        <w:contextualSpacing/>
        <w:jc w:val="both"/>
        <w:rPr>
          <w:rFonts w:ascii="Times New Roman" w:eastAsia="Calibri" w:hAnsi="Times New Roman" w:cs="Times New Roman"/>
          <w:b/>
        </w:rPr>
      </w:pPr>
    </w:p>
    <w:p w14:paraId="59BF347E" w14:textId="77777777" w:rsidR="003D2B0E" w:rsidRPr="006346F3" w:rsidRDefault="008A1F79" w:rsidP="00EE7BE4">
      <w:pPr>
        <w:autoSpaceDE w:val="0"/>
        <w:autoSpaceDN w:val="0"/>
        <w:adjustRightInd w:val="0"/>
        <w:contextualSpacing/>
        <w:jc w:val="both"/>
        <w:rPr>
          <w:rFonts w:ascii="Times New Roman" w:eastAsia="Calibri" w:hAnsi="Times New Roman" w:cs="Times New Roman"/>
        </w:rPr>
      </w:pPr>
      <w:r>
        <w:rPr>
          <w:rFonts w:ascii="Times New Roman" w:eastAsia="Calibri" w:hAnsi="Times New Roman" w:cs="Times New Roman"/>
          <w:b/>
        </w:rPr>
        <w:t>DC Fast Charging</w:t>
      </w:r>
      <w:r w:rsidR="00F93984">
        <w:rPr>
          <w:rFonts w:ascii="Times New Roman" w:eastAsia="Calibri" w:hAnsi="Times New Roman" w:cs="Times New Roman"/>
          <w:b/>
        </w:rPr>
        <w:t xml:space="preserve"> (DCFC)</w:t>
      </w:r>
      <w:r>
        <w:rPr>
          <w:rFonts w:ascii="Times New Roman" w:eastAsia="Calibri" w:hAnsi="Times New Roman" w:cs="Times New Roman"/>
          <w:b/>
        </w:rPr>
        <w:t xml:space="preserve"> Stations</w:t>
      </w:r>
      <w:r w:rsidR="006346F3" w:rsidRPr="006346F3">
        <w:rPr>
          <w:rFonts w:ascii="Times New Roman" w:eastAsia="Calibri" w:hAnsi="Times New Roman" w:cs="Times New Roman"/>
        </w:rPr>
        <w:t xml:space="preserve">    </w:t>
      </w:r>
    </w:p>
    <w:p w14:paraId="59BF347F" w14:textId="77777777" w:rsidR="00FA79D8" w:rsidRDefault="00FA79D8" w:rsidP="00EE7BE4">
      <w:pPr>
        <w:spacing w:line="360" w:lineRule="auto"/>
        <w:jc w:val="both"/>
        <w:rPr>
          <w:rFonts w:ascii="Times New Roman" w:eastAsia="Calibri" w:hAnsi="Times New Roman" w:cs="Times New Roman"/>
        </w:rPr>
      </w:pPr>
    </w:p>
    <w:p w14:paraId="59BF3480" w14:textId="77777777" w:rsidR="000F10FF" w:rsidRDefault="00100EB1" w:rsidP="00EE7BE4">
      <w:pPr>
        <w:spacing w:line="360" w:lineRule="auto"/>
        <w:jc w:val="both"/>
        <w:rPr>
          <w:rFonts w:ascii="Times New Roman" w:eastAsia="Calibri" w:hAnsi="Times New Roman" w:cs="Times New Roman"/>
        </w:rPr>
      </w:pPr>
      <w:r>
        <w:rPr>
          <w:rFonts w:ascii="Times New Roman" w:eastAsia="Calibri" w:hAnsi="Times New Roman" w:cs="Times New Roman"/>
        </w:rPr>
        <w:t>T</w:t>
      </w:r>
      <w:r w:rsidR="008A1F79">
        <w:rPr>
          <w:rFonts w:ascii="Times New Roman" w:eastAsia="Calibri" w:hAnsi="Times New Roman" w:cs="Times New Roman"/>
        </w:rPr>
        <w:t xml:space="preserve">he first </w:t>
      </w:r>
      <w:r w:rsidR="00F93984">
        <w:rPr>
          <w:rFonts w:ascii="Times New Roman" w:eastAsia="Calibri" w:hAnsi="Times New Roman" w:cs="Times New Roman"/>
        </w:rPr>
        <w:t>DCFC</w:t>
      </w:r>
      <w:r w:rsidR="000F10FF">
        <w:rPr>
          <w:rFonts w:ascii="Times New Roman" w:eastAsia="Calibri" w:hAnsi="Times New Roman" w:cs="Times New Roman"/>
        </w:rPr>
        <w:t xml:space="preserve"> station </w:t>
      </w:r>
      <w:r w:rsidR="00554CDD">
        <w:rPr>
          <w:rFonts w:ascii="Times New Roman" w:eastAsia="Calibri" w:hAnsi="Times New Roman" w:cs="Times New Roman"/>
        </w:rPr>
        <w:t>in Rosalia, Washington was brought online January 18, 2017.  T</w:t>
      </w:r>
      <w:r w:rsidR="002C7C44">
        <w:rPr>
          <w:rFonts w:ascii="Times New Roman" w:eastAsia="Calibri" w:hAnsi="Times New Roman" w:cs="Times New Roman"/>
        </w:rPr>
        <w:t>his installation took longer than expected, mainly due</w:t>
      </w:r>
      <w:r w:rsidR="00554CDD">
        <w:rPr>
          <w:rFonts w:ascii="Times New Roman" w:eastAsia="Calibri" w:hAnsi="Times New Roman" w:cs="Times New Roman"/>
        </w:rPr>
        <w:t xml:space="preserve"> to late equipment deliveries</w:t>
      </w:r>
      <w:r w:rsidR="002C7C44">
        <w:rPr>
          <w:rFonts w:ascii="Times New Roman" w:eastAsia="Calibri" w:hAnsi="Times New Roman" w:cs="Times New Roman"/>
        </w:rPr>
        <w:t xml:space="preserve"> </w:t>
      </w:r>
      <w:r w:rsidR="00554CDD">
        <w:rPr>
          <w:rFonts w:ascii="Times New Roman" w:eastAsia="Calibri" w:hAnsi="Times New Roman" w:cs="Times New Roman"/>
        </w:rPr>
        <w:t>and weather conditions.  Remote monitoring shows no problems to date and it is available for use by the public, no charge sessions outside of tes</w:t>
      </w:r>
      <w:r w:rsidR="002C7C44">
        <w:rPr>
          <w:rFonts w:ascii="Times New Roman" w:eastAsia="Calibri" w:hAnsi="Times New Roman" w:cs="Times New Roman"/>
        </w:rPr>
        <w:t>ting have occurred thus far.</w:t>
      </w:r>
      <w:r w:rsidR="00554CDD">
        <w:rPr>
          <w:rFonts w:ascii="Times New Roman" w:eastAsia="Calibri" w:hAnsi="Times New Roman" w:cs="Times New Roman"/>
        </w:rPr>
        <w:t xml:space="preserve">  We expect</w:t>
      </w:r>
      <w:r w:rsidR="002C7C44">
        <w:rPr>
          <w:rFonts w:ascii="Times New Roman" w:eastAsia="Calibri" w:hAnsi="Times New Roman" w:cs="Times New Roman"/>
        </w:rPr>
        <w:t xml:space="preserve"> limited use of this charger until DCFC </w:t>
      </w:r>
      <w:r w:rsidR="00F93984">
        <w:rPr>
          <w:rFonts w:ascii="Times New Roman" w:eastAsia="Calibri" w:hAnsi="Times New Roman" w:cs="Times New Roman"/>
        </w:rPr>
        <w:t xml:space="preserve">stations </w:t>
      </w:r>
      <w:r w:rsidR="002C7C44">
        <w:rPr>
          <w:rFonts w:ascii="Times New Roman" w:eastAsia="Calibri" w:hAnsi="Times New Roman" w:cs="Times New Roman"/>
        </w:rPr>
        <w:t xml:space="preserve">are also installed in Spokane and Pullman </w:t>
      </w:r>
      <w:r w:rsidR="000F10FF">
        <w:rPr>
          <w:rFonts w:ascii="Times New Roman" w:eastAsia="Calibri" w:hAnsi="Times New Roman" w:cs="Times New Roman"/>
        </w:rPr>
        <w:t>in 2017, completing this travel corridor</w:t>
      </w:r>
      <w:r w:rsidR="002C7C44">
        <w:rPr>
          <w:rFonts w:ascii="Times New Roman" w:eastAsia="Calibri" w:hAnsi="Times New Roman" w:cs="Times New Roman"/>
        </w:rPr>
        <w:t>.  Key information about the Rosalia DCFC, including real-time availability status</w:t>
      </w:r>
      <w:r w:rsidR="003258D7">
        <w:rPr>
          <w:rFonts w:ascii="Times New Roman" w:eastAsia="Calibri" w:hAnsi="Times New Roman" w:cs="Times New Roman"/>
        </w:rPr>
        <w:t>,</w:t>
      </w:r>
      <w:r w:rsidR="002C7C44">
        <w:rPr>
          <w:rFonts w:ascii="Times New Roman" w:eastAsia="Calibri" w:hAnsi="Times New Roman" w:cs="Times New Roman"/>
        </w:rPr>
        <w:t xml:space="preserve"> is posted on</w:t>
      </w:r>
      <w:r w:rsidR="00261CF7">
        <w:rPr>
          <w:rFonts w:ascii="Times New Roman" w:eastAsia="Calibri" w:hAnsi="Times New Roman" w:cs="Times New Roman"/>
        </w:rPr>
        <w:t>line at</w:t>
      </w:r>
      <w:r w:rsidR="002C7C44">
        <w:rPr>
          <w:rFonts w:ascii="Times New Roman" w:eastAsia="Calibri" w:hAnsi="Times New Roman" w:cs="Times New Roman"/>
        </w:rPr>
        <w:t xml:space="preserve"> </w:t>
      </w:r>
      <w:hyperlink r:id="rId11" w:history="1">
        <w:r w:rsidR="000F10FF" w:rsidRPr="00143531">
          <w:rPr>
            <w:rStyle w:val="Hyperlink"/>
            <w:rFonts w:ascii="Times New Roman" w:eastAsia="Calibri" w:hAnsi="Times New Roman" w:cs="Times New Roman"/>
          </w:rPr>
          <w:t>www.plugshare.com</w:t>
        </w:r>
      </w:hyperlink>
      <w:r w:rsidR="002C7C44">
        <w:rPr>
          <w:rFonts w:ascii="Times New Roman" w:eastAsia="Calibri" w:hAnsi="Times New Roman" w:cs="Times New Roman"/>
        </w:rPr>
        <w:t>.</w:t>
      </w:r>
    </w:p>
    <w:p w14:paraId="59BF3481" w14:textId="77777777" w:rsidR="002C7C44" w:rsidRDefault="002C7C44"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   </w:t>
      </w:r>
    </w:p>
    <w:p w14:paraId="59BF3482" w14:textId="77777777" w:rsidR="00C81B4B" w:rsidRDefault="00C81B4B" w:rsidP="00EE7BE4">
      <w:pPr>
        <w:spacing w:line="360" w:lineRule="auto"/>
        <w:jc w:val="both"/>
        <w:rPr>
          <w:rFonts w:ascii="Times New Roman" w:eastAsia="Calibri" w:hAnsi="Times New Roman" w:cs="Times New Roman"/>
        </w:rPr>
      </w:pPr>
      <w:r>
        <w:rPr>
          <w:rFonts w:ascii="Times New Roman" w:eastAsia="Calibri" w:hAnsi="Times New Roman" w:cs="Times New Roman"/>
        </w:rPr>
        <w:t>The Company is continuing to consult with Washington State’s Department of Transportation on each DCFC site, ensuring alignment with statewide plans to build out effective EV infrastructure.</w:t>
      </w:r>
    </w:p>
    <w:p w14:paraId="59BF3483" w14:textId="77777777" w:rsidR="00C81B4B" w:rsidRDefault="00C81B4B" w:rsidP="00EE7BE4">
      <w:pPr>
        <w:spacing w:line="360" w:lineRule="auto"/>
        <w:jc w:val="both"/>
        <w:rPr>
          <w:rFonts w:ascii="Times New Roman" w:eastAsia="Calibri" w:hAnsi="Times New Roman" w:cs="Times New Roman"/>
        </w:rPr>
      </w:pPr>
    </w:p>
    <w:p w14:paraId="59BF3484" w14:textId="77777777" w:rsidR="00C81B4B" w:rsidRDefault="009143A0" w:rsidP="00EE7BE4">
      <w:pPr>
        <w:spacing w:line="360" w:lineRule="auto"/>
        <w:jc w:val="both"/>
        <w:rPr>
          <w:rFonts w:ascii="Times New Roman" w:eastAsia="Calibri" w:hAnsi="Times New Roman" w:cs="Times New Roman"/>
        </w:rPr>
      </w:pPr>
      <w:r>
        <w:rPr>
          <w:rFonts w:ascii="Times New Roman" w:eastAsia="Calibri" w:hAnsi="Times New Roman" w:cs="Times New Roman"/>
        </w:rPr>
        <w:t>DCFC s</w:t>
      </w:r>
      <w:r w:rsidR="002C7C44">
        <w:rPr>
          <w:rFonts w:ascii="Times New Roman" w:eastAsia="Calibri" w:hAnsi="Times New Roman" w:cs="Times New Roman"/>
        </w:rPr>
        <w:t xml:space="preserve">ite acquisition for locations in Spokane and Pullman is in its final stages, with targeted construction </w:t>
      </w:r>
      <w:r w:rsidR="000F10FF">
        <w:rPr>
          <w:rFonts w:ascii="Times New Roman" w:eastAsia="Calibri" w:hAnsi="Times New Roman" w:cs="Times New Roman"/>
        </w:rPr>
        <w:t xml:space="preserve">beginning </w:t>
      </w:r>
      <w:r w:rsidR="002C7C44">
        <w:rPr>
          <w:rFonts w:ascii="Times New Roman" w:eastAsia="Calibri" w:hAnsi="Times New Roman" w:cs="Times New Roman"/>
        </w:rPr>
        <w:t xml:space="preserve">in Q2 of 2017.  </w:t>
      </w:r>
      <w:r w:rsidR="00C81B4B">
        <w:rPr>
          <w:rFonts w:ascii="Times New Roman" w:eastAsia="Calibri" w:hAnsi="Times New Roman" w:cs="Times New Roman"/>
        </w:rPr>
        <w:t xml:space="preserve">The Spokane DCFC will be located in Kendall Yards, which is within walking distance to </w:t>
      </w:r>
      <w:r w:rsidR="00677162">
        <w:rPr>
          <w:rFonts w:ascii="Times New Roman" w:eastAsia="Calibri" w:hAnsi="Times New Roman" w:cs="Times New Roman"/>
        </w:rPr>
        <w:t xml:space="preserve">the </w:t>
      </w:r>
      <w:r w:rsidR="00C81B4B">
        <w:rPr>
          <w:rFonts w:ascii="Times New Roman" w:eastAsia="Calibri" w:hAnsi="Times New Roman" w:cs="Times New Roman"/>
        </w:rPr>
        <w:t xml:space="preserve">downtown </w:t>
      </w:r>
      <w:r w:rsidR="00677162">
        <w:rPr>
          <w:rFonts w:ascii="Times New Roman" w:eastAsia="Calibri" w:hAnsi="Times New Roman" w:cs="Times New Roman"/>
        </w:rPr>
        <w:t xml:space="preserve">core of </w:t>
      </w:r>
      <w:r w:rsidR="00C81B4B">
        <w:rPr>
          <w:rFonts w:ascii="Times New Roman" w:eastAsia="Calibri" w:hAnsi="Times New Roman" w:cs="Times New Roman"/>
        </w:rPr>
        <w:t>Spokane and Riverfront Park.  While not immediately off of Interstate 90, the location is within one mile of the interstate and meets</w:t>
      </w:r>
      <w:r w:rsidR="00677162">
        <w:rPr>
          <w:rFonts w:ascii="Times New Roman" w:eastAsia="Calibri" w:hAnsi="Times New Roman" w:cs="Times New Roman"/>
        </w:rPr>
        <w:t xml:space="preserve"> the location siting specifications of the </w:t>
      </w:r>
      <w:r w:rsidR="00C81B4B">
        <w:rPr>
          <w:rFonts w:ascii="Times New Roman" w:eastAsia="Calibri" w:hAnsi="Times New Roman" w:cs="Times New Roman"/>
        </w:rPr>
        <w:t xml:space="preserve">Washington State Department of Transportation.  In addition, the Kendall Yards location will help enable regional transportation on both the North-South and East-West corridors </w:t>
      </w:r>
      <w:r w:rsidR="00677162">
        <w:rPr>
          <w:rFonts w:ascii="Times New Roman" w:eastAsia="Calibri" w:hAnsi="Times New Roman" w:cs="Times New Roman"/>
        </w:rPr>
        <w:t xml:space="preserve">through Spokane, as well as </w:t>
      </w:r>
      <w:r w:rsidR="00D95CAB">
        <w:rPr>
          <w:rFonts w:ascii="Times New Roman" w:eastAsia="Calibri" w:hAnsi="Times New Roman" w:cs="Times New Roman"/>
        </w:rPr>
        <w:t>providing</w:t>
      </w:r>
      <w:r w:rsidR="00677162">
        <w:rPr>
          <w:rFonts w:ascii="Times New Roman" w:eastAsia="Calibri" w:hAnsi="Times New Roman" w:cs="Times New Roman"/>
        </w:rPr>
        <w:t xml:space="preserve"> quick public charging for </w:t>
      </w:r>
      <w:r w:rsidR="00C81B4B">
        <w:rPr>
          <w:rFonts w:ascii="Times New Roman" w:eastAsia="Calibri" w:hAnsi="Times New Roman" w:cs="Times New Roman"/>
        </w:rPr>
        <w:t>inner city travel within Spokane.</w:t>
      </w:r>
    </w:p>
    <w:p w14:paraId="59BF3485" w14:textId="77777777" w:rsidR="00C81B4B" w:rsidRDefault="00C81B4B" w:rsidP="00EE7BE4">
      <w:pPr>
        <w:spacing w:line="360" w:lineRule="auto"/>
        <w:jc w:val="both"/>
        <w:rPr>
          <w:rFonts w:ascii="Times New Roman" w:eastAsia="Calibri" w:hAnsi="Times New Roman" w:cs="Times New Roman"/>
        </w:rPr>
      </w:pPr>
    </w:p>
    <w:p w14:paraId="59BF3486" w14:textId="77777777" w:rsidR="005F4EBE" w:rsidRDefault="002C7C44"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The Spokane Transit Authority </w:t>
      </w:r>
      <w:r w:rsidR="00134CA1">
        <w:rPr>
          <w:rFonts w:ascii="Times New Roman" w:eastAsia="Calibri" w:hAnsi="Times New Roman" w:cs="Times New Roman"/>
        </w:rPr>
        <w:t xml:space="preserve">(STA) </w:t>
      </w:r>
      <w:r>
        <w:rPr>
          <w:rFonts w:ascii="Times New Roman" w:eastAsia="Calibri" w:hAnsi="Times New Roman" w:cs="Times New Roman"/>
        </w:rPr>
        <w:t xml:space="preserve">has indicated support for a DCFC installation at the </w:t>
      </w:r>
      <w:r w:rsidR="00134CA1">
        <w:rPr>
          <w:rFonts w:ascii="Times New Roman" w:eastAsia="Calibri" w:hAnsi="Times New Roman" w:cs="Times New Roman"/>
        </w:rPr>
        <w:t xml:space="preserve">existing </w:t>
      </w:r>
      <w:r>
        <w:rPr>
          <w:rFonts w:ascii="Times New Roman" w:eastAsia="Calibri" w:hAnsi="Times New Roman" w:cs="Times New Roman"/>
        </w:rPr>
        <w:t xml:space="preserve">Liberty Lake Park &amp; Ride, which we expect to </w:t>
      </w:r>
      <w:r w:rsidR="00D95CAB">
        <w:rPr>
          <w:rFonts w:ascii="Times New Roman" w:eastAsia="Calibri" w:hAnsi="Times New Roman" w:cs="Times New Roman"/>
        </w:rPr>
        <w:t>install</w:t>
      </w:r>
      <w:r w:rsidR="009143A0">
        <w:rPr>
          <w:rFonts w:ascii="Times New Roman" w:eastAsia="Calibri" w:hAnsi="Times New Roman" w:cs="Times New Roman"/>
        </w:rPr>
        <w:t xml:space="preserve"> in 2017.  In addition, a</w:t>
      </w:r>
      <w:r>
        <w:rPr>
          <w:rFonts w:ascii="Times New Roman" w:eastAsia="Calibri" w:hAnsi="Times New Roman" w:cs="Times New Roman"/>
        </w:rPr>
        <w:t xml:space="preserve"> DCFC at the new </w:t>
      </w:r>
      <w:r>
        <w:rPr>
          <w:rFonts w:ascii="Times New Roman" w:eastAsia="Calibri" w:hAnsi="Times New Roman" w:cs="Times New Roman"/>
        </w:rPr>
        <w:lastRenderedPageBreak/>
        <w:t xml:space="preserve">STA </w:t>
      </w:r>
      <w:r w:rsidR="00134CA1">
        <w:rPr>
          <w:rFonts w:ascii="Times New Roman" w:eastAsia="Calibri" w:hAnsi="Times New Roman" w:cs="Times New Roman"/>
        </w:rPr>
        <w:t xml:space="preserve">West Plains </w:t>
      </w:r>
      <w:r w:rsidR="005F4EBE">
        <w:rPr>
          <w:rFonts w:ascii="Times New Roman" w:eastAsia="Calibri" w:hAnsi="Times New Roman" w:cs="Times New Roman"/>
        </w:rPr>
        <w:t xml:space="preserve">Park &amp; Ride </w:t>
      </w:r>
      <w:r w:rsidR="00134CA1">
        <w:rPr>
          <w:rFonts w:ascii="Times New Roman" w:eastAsia="Calibri" w:hAnsi="Times New Roman" w:cs="Times New Roman"/>
        </w:rPr>
        <w:t xml:space="preserve">located near the Cheney </w:t>
      </w:r>
      <w:r w:rsidR="00261CF7">
        <w:rPr>
          <w:rFonts w:ascii="Times New Roman" w:eastAsia="Calibri" w:hAnsi="Times New Roman" w:cs="Times New Roman"/>
        </w:rPr>
        <w:t>I-90 interchange</w:t>
      </w:r>
      <w:r w:rsidR="00134CA1">
        <w:rPr>
          <w:rFonts w:ascii="Times New Roman" w:eastAsia="Calibri" w:hAnsi="Times New Roman" w:cs="Times New Roman"/>
        </w:rPr>
        <w:t xml:space="preserve"> </w:t>
      </w:r>
      <w:r w:rsidR="009143A0">
        <w:rPr>
          <w:rFonts w:ascii="Times New Roman" w:eastAsia="Calibri" w:hAnsi="Times New Roman" w:cs="Times New Roman"/>
        </w:rPr>
        <w:t>is anticipated in early 2018.</w:t>
      </w:r>
      <w:r w:rsidR="00C81B4B">
        <w:rPr>
          <w:rFonts w:ascii="Times New Roman" w:eastAsia="Calibri" w:hAnsi="Times New Roman" w:cs="Times New Roman"/>
        </w:rPr>
        <w:t xml:space="preserve">  The Park &amp; Ride facilities were identified as opportune locations given their convenient access to Interstate 90 on both the West and East sides of Spokane County, nearby facilities including restaurants and convenience stores, proximity to three-phase service, as well as a partner in the STA that is able to provide the parking space necessary to facilitate the DCFC.</w:t>
      </w:r>
      <w:r w:rsidR="00134CA1">
        <w:rPr>
          <w:rFonts w:ascii="Times New Roman" w:eastAsia="Calibri" w:hAnsi="Times New Roman" w:cs="Times New Roman"/>
        </w:rPr>
        <w:t xml:space="preserve">  Installation of these five identified locations will provide an electrified north-south corridor between Spokane and </w:t>
      </w:r>
      <w:r w:rsidR="000F10FF">
        <w:rPr>
          <w:rFonts w:ascii="Times New Roman" w:eastAsia="Calibri" w:hAnsi="Times New Roman" w:cs="Times New Roman"/>
        </w:rPr>
        <w:t>Pullman, as well as serving</w:t>
      </w:r>
      <w:r w:rsidR="00134CA1">
        <w:rPr>
          <w:rFonts w:ascii="Times New Roman" w:eastAsia="Calibri" w:hAnsi="Times New Roman" w:cs="Times New Roman"/>
        </w:rPr>
        <w:t xml:space="preserve"> east-west traffic along I-90 in the vicinity of Spokane</w:t>
      </w:r>
      <w:r w:rsidR="00261CF7">
        <w:rPr>
          <w:rFonts w:ascii="Times New Roman" w:eastAsia="Calibri" w:hAnsi="Times New Roman" w:cs="Times New Roman"/>
        </w:rPr>
        <w:t>,</w:t>
      </w:r>
      <w:r w:rsidR="00134CA1">
        <w:rPr>
          <w:rFonts w:ascii="Times New Roman" w:eastAsia="Calibri" w:hAnsi="Times New Roman" w:cs="Times New Roman"/>
        </w:rPr>
        <w:t xml:space="preserve"> and between the Spokane and Coeur d’Alene</w:t>
      </w:r>
      <w:r w:rsidR="00F93984">
        <w:rPr>
          <w:rFonts w:ascii="Times New Roman" w:eastAsia="Calibri" w:hAnsi="Times New Roman" w:cs="Times New Roman"/>
        </w:rPr>
        <w:t>, Idaho</w:t>
      </w:r>
      <w:r w:rsidR="00134CA1">
        <w:rPr>
          <w:rFonts w:ascii="Times New Roman" w:eastAsia="Calibri" w:hAnsi="Times New Roman" w:cs="Times New Roman"/>
        </w:rPr>
        <w:t xml:space="preserve"> travel corridor.</w:t>
      </w:r>
    </w:p>
    <w:p w14:paraId="59BF3487" w14:textId="77777777" w:rsidR="005F4EBE" w:rsidRDefault="005F4EBE" w:rsidP="00EE7BE4">
      <w:pPr>
        <w:spacing w:line="360" w:lineRule="auto"/>
        <w:jc w:val="both"/>
        <w:rPr>
          <w:rFonts w:ascii="Times New Roman" w:eastAsia="Calibri" w:hAnsi="Times New Roman" w:cs="Times New Roman"/>
        </w:rPr>
      </w:pPr>
    </w:p>
    <w:p w14:paraId="59BF3488" w14:textId="77777777" w:rsidR="008A1F79" w:rsidRDefault="009143A0"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This leaves two additional </w:t>
      </w:r>
      <w:r w:rsidR="001A6BF9">
        <w:rPr>
          <w:rFonts w:ascii="Times New Roman" w:eastAsia="Calibri" w:hAnsi="Times New Roman" w:cs="Times New Roman"/>
        </w:rPr>
        <w:t xml:space="preserve">stations </w:t>
      </w:r>
      <w:r>
        <w:rPr>
          <w:rFonts w:ascii="Times New Roman" w:eastAsia="Calibri" w:hAnsi="Times New Roman" w:cs="Times New Roman"/>
        </w:rPr>
        <w:t xml:space="preserve">to complete the seven </w:t>
      </w:r>
      <w:r w:rsidR="001A6BF9">
        <w:rPr>
          <w:rFonts w:ascii="Times New Roman" w:eastAsia="Calibri" w:hAnsi="Times New Roman" w:cs="Times New Roman"/>
        </w:rPr>
        <w:t xml:space="preserve">DCFC </w:t>
      </w:r>
      <w:r>
        <w:rPr>
          <w:rFonts w:ascii="Times New Roman" w:eastAsia="Calibri" w:hAnsi="Times New Roman" w:cs="Times New Roman"/>
        </w:rPr>
        <w:t xml:space="preserve">proposed for the </w:t>
      </w:r>
      <w:r w:rsidR="001A6BF9">
        <w:rPr>
          <w:rFonts w:ascii="Times New Roman" w:eastAsia="Calibri" w:hAnsi="Times New Roman" w:cs="Times New Roman"/>
        </w:rPr>
        <w:t xml:space="preserve">pilot </w:t>
      </w:r>
      <w:r>
        <w:rPr>
          <w:rFonts w:ascii="Times New Roman" w:eastAsia="Calibri" w:hAnsi="Times New Roman" w:cs="Times New Roman"/>
        </w:rPr>
        <w:t xml:space="preserve">program.  A suitable location </w:t>
      </w:r>
      <w:r w:rsidR="00677162">
        <w:rPr>
          <w:rFonts w:ascii="Times New Roman" w:eastAsia="Calibri" w:hAnsi="Times New Roman" w:cs="Times New Roman"/>
        </w:rPr>
        <w:t>o</w:t>
      </w:r>
      <w:r w:rsidR="001A6BF9">
        <w:rPr>
          <w:rFonts w:ascii="Times New Roman" w:eastAsia="Calibri" w:hAnsi="Times New Roman" w:cs="Times New Roman"/>
        </w:rPr>
        <w:t>n the outskirts of north Spokane, possibly as far as</w:t>
      </w:r>
      <w:r>
        <w:rPr>
          <w:rFonts w:ascii="Times New Roman" w:eastAsia="Calibri" w:hAnsi="Times New Roman" w:cs="Times New Roman"/>
        </w:rPr>
        <w:t xml:space="preserve"> Deer Park is desirable to extend </w:t>
      </w:r>
      <w:r w:rsidR="00134CA1">
        <w:rPr>
          <w:rFonts w:ascii="Times New Roman" w:eastAsia="Calibri" w:hAnsi="Times New Roman" w:cs="Times New Roman"/>
        </w:rPr>
        <w:t xml:space="preserve">northbound </w:t>
      </w:r>
      <w:r>
        <w:rPr>
          <w:rFonts w:ascii="Times New Roman" w:eastAsia="Calibri" w:hAnsi="Times New Roman" w:cs="Times New Roman"/>
        </w:rPr>
        <w:t>electrification of the US</w:t>
      </w:r>
      <w:r w:rsidR="001A6BF9">
        <w:rPr>
          <w:rFonts w:ascii="Times New Roman" w:eastAsia="Calibri" w:hAnsi="Times New Roman" w:cs="Times New Roman"/>
        </w:rPr>
        <w:t>-</w:t>
      </w:r>
      <w:r>
        <w:rPr>
          <w:rFonts w:ascii="Times New Roman" w:eastAsia="Calibri" w:hAnsi="Times New Roman" w:cs="Times New Roman"/>
        </w:rPr>
        <w:t xml:space="preserve">395 corridor.  The final DCFC </w:t>
      </w:r>
      <w:r w:rsidR="00261CF7">
        <w:rPr>
          <w:rFonts w:ascii="Times New Roman" w:eastAsia="Calibri" w:hAnsi="Times New Roman" w:cs="Times New Roman"/>
        </w:rPr>
        <w:t xml:space="preserve">location </w:t>
      </w:r>
      <w:r>
        <w:rPr>
          <w:rFonts w:ascii="Times New Roman" w:eastAsia="Calibri" w:hAnsi="Times New Roman" w:cs="Times New Roman"/>
        </w:rPr>
        <w:t xml:space="preserve">will be </w:t>
      </w:r>
      <w:r w:rsidR="006C451C">
        <w:rPr>
          <w:rFonts w:ascii="Times New Roman" w:eastAsia="Calibri" w:hAnsi="Times New Roman" w:cs="Times New Roman"/>
        </w:rPr>
        <w:t xml:space="preserve">determined </w:t>
      </w:r>
      <w:r w:rsidR="005F4EBE">
        <w:rPr>
          <w:rFonts w:ascii="Times New Roman" w:eastAsia="Calibri" w:hAnsi="Times New Roman" w:cs="Times New Roman"/>
        </w:rPr>
        <w:t>as the Company gathe</w:t>
      </w:r>
      <w:r>
        <w:rPr>
          <w:rFonts w:ascii="Times New Roman" w:eastAsia="Calibri" w:hAnsi="Times New Roman" w:cs="Times New Roman"/>
        </w:rPr>
        <w:t>rs more information and lessons learned</w:t>
      </w:r>
      <w:r w:rsidR="005F4EBE">
        <w:rPr>
          <w:rFonts w:ascii="Times New Roman" w:eastAsia="Calibri" w:hAnsi="Times New Roman" w:cs="Times New Roman"/>
        </w:rPr>
        <w:t xml:space="preserve">.  </w:t>
      </w:r>
    </w:p>
    <w:p w14:paraId="59BF3489" w14:textId="77777777" w:rsidR="00C81B4B" w:rsidRPr="00100EB1" w:rsidRDefault="00C81B4B" w:rsidP="00EE7BE4">
      <w:pPr>
        <w:spacing w:line="360" w:lineRule="auto"/>
        <w:jc w:val="both"/>
        <w:rPr>
          <w:rFonts w:ascii="Times New Roman" w:eastAsia="Calibri" w:hAnsi="Times New Roman" w:cs="Times New Roman"/>
          <w:sz w:val="16"/>
          <w:szCs w:val="16"/>
        </w:rPr>
      </w:pPr>
    </w:p>
    <w:p w14:paraId="59BF348A" w14:textId="77777777" w:rsidR="000D7C2B" w:rsidRDefault="00100EB1" w:rsidP="00EE7BE4">
      <w:pPr>
        <w:spacing w:line="360" w:lineRule="auto"/>
        <w:jc w:val="both"/>
        <w:rPr>
          <w:rFonts w:ascii="Times New Roman" w:eastAsia="Calibri" w:hAnsi="Times New Roman" w:cs="Times New Roman"/>
        </w:rPr>
      </w:pPr>
      <w:r>
        <w:rPr>
          <w:rFonts w:ascii="Times New Roman" w:eastAsia="Calibri" w:hAnsi="Times New Roman" w:cs="Times New Roman"/>
        </w:rPr>
        <w:t>Total c</w:t>
      </w:r>
      <w:r w:rsidR="008A1F79">
        <w:rPr>
          <w:rFonts w:ascii="Times New Roman" w:eastAsia="Calibri" w:hAnsi="Times New Roman" w:cs="Times New Roman"/>
        </w:rPr>
        <w:t xml:space="preserve">onstruction </w:t>
      </w:r>
      <w:r>
        <w:rPr>
          <w:rFonts w:ascii="Times New Roman" w:eastAsia="Calibri" w:hAnsi="Times New Roman" w:cs="Times New Roman"/>
        </w:rPr>
        <w:t xml:space="preserve">and installation costs are </w:t>
      </w:r>
      <w:r w:rsidR="00BB655B">
        <w:rPr>
          <w:rFonts w:ascii="Times New Roman" w:eastAsia="Calibri" w:hAnsi="Times New Roman" w:cs="Times New Roman"/>
        </w:rPr>
        <w:t>currently estimated at</w:t>
      </w:r>
      <w:r>
        <w:rPr>
          <w:rFonts w:ascii="Times New Roman" w:eastAsia="Calibri" w:hAnsi="Times New Roman" w:cs="Times New Roman"/>
        </w:rPr>
        <w:t xml:space="preserve"> </w:t>
      </w:r>
      <w:r w:rsidR="000D7C2B">
        <w:rPr>
          <w:rFonts w:ascii="Times New Roman" w:eastAsia="Calibri" w:hAnsi="Times New Roman" w:cs="Times New Roman"/>
        </w:rPr>
        <w:t>$</w:t>
      </w:r>
      <w:r w:rsidR="00E65AAA">
        <w:rPr>
          <w:rFonts w:ascii="Times New Roman" w:eastAsia="Calibri" w:hAnsi="Times New Roman" w:cs="Times New Roman"/>
        </w:rPr>
        <w:t>154,322</w:t>
      </w:r>
      <w:r w:rsidR="00134CA1">
        <w:rPr>
          <w:rFonts w:ascii="Times New Roman" w:eastAsia="Calibri" w:hAnsi="Times New Roman" w:cs="Times New Roman"/>
        </w:rPr>
        <w:t xml:space="preserve"> for the Rosalia site,</w:t>
      </w:r>
      <w:r w:rsidR="000D7C2B">
        <w:rPr>
          <w:rFonts w:ascii="Times New Roman" w:eastAsia="Calibri" w:hAnsi="Times New Roman" w:cs="Times New Roman"/>
        </w:rPr>
        <w:t xml:space="preserve"> itemized as follows:</w:t>
      </w:r>
    </w:p>
    <w:p w14:paraId="59BF348B" w14:textId="77777777" w:rsidR="00F93984" w:rsidRDefault="00F93984" w:rsidP="00EE7BE4">
      <w:pPr>
        <w:spacing w:line="360" w:lineRule="auto"/>
        <w:jc w:val="both"/>
        <w:rPr>
          <w:rFonts w:ascii="Times New Roman" w:eastAsia="Calibri" w:hAnsi="Times New Roman" w:cs="Times New Roman"/>
        </w:rPr>
      </w:pPr>
    </w:p>
    <w:p w14:paraId="59BF348C" w14:textId="77777777" w:rsidR="00F93984" w:rsidRPr="00F93984" w:rsidRDefault="00F93984" w:rsidP="00EE7BE4">
      <w:pPr>
        <w:spacing w:line="360" w:lineRule="auto"/>
        <w:jc w:val="both"/>
        <w:rPr>
          <w:rFonts w:ascii="Times New Roman" w:eastAsia="Calibri" w:hAnsi="Times New Roman" w:cs="Times New Roman"/>
          <w:b/>
          <w:u w:val="single"/>
        </w:rPr>
      </w:pPr>
      <w:r w:rsidRPr="00F93984">
        <w:rPr>
          <w:rFonts w:ascii="Times New Roman" w:eastAsia="Calibri" w:hAnsi="Times New Roman" w:cs="Times New Roman"/>
          <w:b/>
          <w:u w:val="single"/>
        </w:rPr>
        <w:t>Table No. 1</w:t>
      </w:r>
    </w:p>
    <w:p w14:paraId="59BF348D" w14:textId="77777777" w:rsidR="000D7C2B" w:rsidRDefault="000D7C2B" w:rsidP="00EE7BE4">
      <w:pPr>
        <w:ind w:firstLine="720"/>
        <w:jc w:val="both"/>
        <w:rPr>
          <w:rFonts w:ascii="Times New Roman" w:eastAsia="Calibri" w:hAnsi="Times New Roman" w:cs="Times New Roman"/>
        </w:rPr>
      </w:pPr>
      <w:r>
        <w:rPr>
          <w:rFonts w:ascii="Times New Roman" w:eastAsia="Calibri" w:hAnsi="Times New Roman" w:cs="Times New Roman"/>
        </w:rPr>
        <w:t>$  28</w:t>
      </w:r>
      <w:r w:rsidR="00D17215">
        <w:rPr>
          <w:rFonts w:ascii="Times New Roman" w:eastAsia="Calibri" w:hAnsi="Times New Roman" w:cs="Times New Roman"/>
        </w:rPr>
        <w:t>,</w:t>
      </w:r>
      <w:r w:rsidR="00912FD5">
        <w:rPr>
          <w:rFonts w:ascii="Times New Roman" w:eastAsia="Calibri" w:hAnsi="Times New Roman" w:cs="Times New Roman"/>
        </w:rPr>
        <w:t>111</w:t>
      </w:r>
      <w:r>
        <w:rPr>
          <w:rFonts w:ascii="Times New Roman" w:eastAsia="Calibri" w:hAnsi="Times New Roman" w:cs="Times New Roman"/>
        </w:rPr>
        <w:tab/>
        <w:t>DC Fast Charger EVSE</w:t>
      </w:r>
    </w:p>
    <w:p w14:paraId="59BF348E" w14:textId="77777777" w:rsidR="000D7C2B" w:rsidRDefault="000D7C2B" w:rsidP="00EE7BE4">
      <w:pPr>
        <w:ind w:firstLine="720"/>
        <w:jc w:val="both"/>
        <w:rPr>
          <w:rFonts w:ascii="Times New Roman" w:eastAsia="Calibri" w:hAnsi="Times New Roman" w:cs="Times New Roman"/>
        </w:rPr>
      </w:pPr>
      <w:r>
        <w:rPr>
          <w:rFonts w:ascii="Times New Roman" w:eastAsia="Calibri" w:hAnsi="Times New Roman" w:cs="Times New Roman"/>
        </w:rPr>
        <w:t>$    4,</w:t>
      </w:r>
      <w:r w:rsidR="005F4EBE">
        <w:rPr>
          <w:rFonts w:ascii="Times New Roman" w:eastAsia="Calibri" w:hAnsi="Times New Roman" w:cs="Times New Roman"/>
        </w:rPr>
        <w:t>700</w:t>
      </w:r>
      <w:r w:rsidR="00100EB1">
        <w:rPr>
          <w:rFonts w:ascii="Times New Roman" w:eastAsia="Calibri" w:hAnsi="Times New Roman" w:cs="Times New Roman"/>
        </w:rPr>
        <w:t xml:space="preserve">  </w:t>
      </w:r>
      <w:r>
        <w:rPr>
          <w:rFonts w:ascii="Times New Roman" w:eastAsia="Calibri" w:hAnsi="Times New Roman" w:cs="Times New Roman"/>
        </w:rPr>
        <w:tab/>
      </w:r>
      <w:r w:rsidR="00912FD5">
        <w:rPr>
          <w:rFonts w:ascii="Times New Roman" w:eastAsia="Calibri" w:hAnsi="Times New Roman" w:cs="Times New Roman"/>
        </w:rPr>
        <w:t xml:space="preserve">Dual Port </w:t>
      </w:r>
      <w:r>
        <w:rPr>
          <w:rFonts w:ascii="Times New Roman" w:eastAsia="Calibri" w:hAnsi="Times New Roman" w:cs="Times New Roman"/>
        </w:rPr>
        <w:t>AC Level 2 EVSE</w:t>
      </w:r>
    </w:p>
    <w:p w14:paraId="59BF348F" w14:textId="77777777" w:rsidR="00F64CED" w:rsidRDefault="00912FD5" w:rsidP="00EE7BE4">
      <w:pPr>
        <w:ind w:firstLine="720"/>
        <w:jc w:val="both"/>
        <w:rPr>
          <w:rFonts w:ascii="Times New Roman" w:eastAsia="Calibri" w:hAnsi="Times New Roman" w:cs="Times New Roman"/>
        </w:rPr>
      </w:pPr>
      <w:r>
        <w:rPr>
          <w:rFonts w:ascii="Times New Roman" w:eastAsia="Calibri" w:hAnsi="Times New Roman" w:cs="Times New Roman"/>
        </w:rPr>
        <w:t>$    7,078</w:t>
      </w:r>
      <w:r w:rsidR="00F64CED">
        <w:rPr>
          <w:rFonts w:ascii="Times New Roman" w:eastAsia="Calibri" w:hAnsi="Times New Roman" w:cs="Times New Roman"/>
        </w:rPr>
        <w:tab/>
        <w:t>Engineering &amp; Design</w:t>
      </w:r>
    </w:p>
    <w:p w14:paraId="59BF3490" w14:textId="77777777" w:rsidR="00F64CED" w:rsidRDefault="009143A0" w:rsidP="00EE7BE4">
      <w:pPr>
        <w:ind w:firstLine="720"/>
        <w:jc w:val="both"/>
        <w:rPr>
          <w:rFonts w:ascii="Times New Roman" w:eastAsia="Calibri" w:hAnsi="Times New Roman" w:cs="Times New Roman"/>
        </w:rPr>
      </w:pPr>
      <w:r>
        <w:rPr>
          <w:rFonts w:ascii="Times New Roman" w:eastAsia="Calibri" w:hAnsi="Times New Roman" w:cs="Times New Roman"/>
        </w:rPr>
        <w:t xml:space="preserve">$    </w:t>
      </w:r>
      <w:r w:rsidR="00E65AAA">
        <w:rPr>
          <w:rFonts w:ascii="Times New Roman" w:eastAsia="Calibri" w:hAnsi="Times New Roman" w:cs="Times New Roman"/>
        </w:rPr>
        <w:t>5,309</w:t>
      </w:r>
      <w:r w:rsidR="00F64CED">
        <w:rPr>
          <w:rFonts w:ascii="Times New Roman" w:eastAsia="Calibri" w:hAnsi="Times New Roman" w:cs="Times New Roman"/>
        </w:rPr>
        <w:tab/>
        <w:t>Project Management</w:t>
      </w:r>
    </w:p>
    <w:p w14:paraId="59BF3491" w14:textId="77777777" w:rsidR="000D7C2B" w:rsidRDefault="000D7C2B" w:rsidP="00EE7BE4">
      <w:pPr>
        <w:ind w:firstLine="720"/>
        <w:jc w:val="both"/>
        <w:rPr>
          <w:rFonts w:ascii="Times New Roman" w:eastAsia="Calibri" w:hAnsi="Times New Roman" w:cs="Times New Roman"/>
        </w:rPr>
      </w:pPr>
      <w:r>
        <w:rPr>
          <w:rFonts w:ascii="Times New Roman" w:eastAsia="Calibri" w:hAnsi="Times New Roman" w:cs="Times New Roman"/>
        </w:rPr>
        <w:t xml:space="preserve">$  </w:t>
      </w:r>
      <w:r w:rsidR="00912FD5">
        <w:rPr>
          <w:rFonts w:ascii="Times New Roman" w:eastAsia="Calibri" w:hAnsi="Times New Roman" w:cs="Times New Roman"/>
        </w:rPr>
        <w:t>72,881</w:t>
      </w:r>
      <w:r w:rsidR="00F64CED">
        <w:rPr>
          <w:rFonts w:ascii="Times New Roman" w:eastAsia="Calibri" w:hAnsi="Times New Roman" w:cs="Times New Roman"/>
        </w:rPr>
        <w:tab/>
      </w:r>
      <w:r w:rsidR="00D1461F">
        <w:rPr>
          <w:rFonts w:ascii="Times New Roman" w:eastAsia="Calibri" w:hAnsi="Times New Roman" w:cs="Times New Roman"/>
        </w:rPr>
        <w:t xml:space="preserve">Contractor </w:t>
      </w:r>
      <w:r w:rsidR="00F64CED">
        <w:rPr>
          <w:rFonts w:ascii="Times New Roman" w:eastAsia="Calibri" w:hAnsi="Times New Roman" w:cs="Times New Roman"/>
        </w:rPr>
        <w:t>Labor &amp; Materials</w:t>
      </w:r>
    </w:p>
    <w:p w14:paraId="59BF3492" w14:textId="77777777" w:rsidR="00F64CED" w:rsidRDefault="00F64CED" w:rsidP="00EE7BE4">
      <w:pPr>
        <w:ind w:firstLine="720"/>
        <w:jc w:val="both"/>
        <w:rPr>
          <w:rFonts w:ascii="Times New Roman" w:eastAsia="Calibri" w:hAnsi="Times New Roman" w:cs="Times New Roman"/>
          <w:u w:val="single"/>
        </w:rPr>
      </w:pPr>
      <w:r w:rsidRPr="00F64CED">
        <w:rPr>
          <w:rFonts w:ascii="Times New Roman" w:eastAsia="Calibri" w:hAnsi="Times New Roman" w:cs="Times New Roman"/>
          <w:u w:val="single"/>
        </w:rPr>
        <w:t xml:space="preserve">$  </w:t>
      </w:r>
      <w:r w:rsidR="00912FD5">
        <w:rPr>
          <w:rFonts w:ascii="Times New Roman" w:eastAsia="Calibri" w:hAnsi="Times New Roman" w:cs="Times New Roman"/>
          <w:u w:val="single"/>
        </w:rPr>
        <w:t>36,243</w:t>
      </w:r>
      <w:r w:rsidRPr="00F64CED">
        <w:rPr>
          <w:rFonts w:ascii="Times New Roman" w:eastAsia="Calibri" w:hAnsi="Times New Roman" w:cs="Times New Roman"/>
          <w:u w:val="single"/>
        </w:rPr>
        <w:tab/>
      </w:r>
      <w:r w:rsidR="00D1461F">
        <w:rPr>
          <w:rFonts w:ascii="Times New Roman" w:eastAsia="Calibri" w:hAnsi="Times New Roman" w:cs="Times New Roman"/>
          <w:u w:val="single"/>
        </w:rPr>
        <w:t xml:space="preserve">Avista </w:t>
      </w:r>
      <w:r w:rsidRPr="00F64CED">
        <w:rPr>
          <w:rFonts w:ascii="Times New Roman" w:eastAsia="Calibri" w:hAnsi="Times New Roman" w:cs="Times New Roman"/>
          <w:u w:val="single"/>
        </w:rPr>
        <w:t>Labor &amp; Materials</w:t>
      </w:r>
    </w:p>
    <w:p w14:paraId="59BF3493" w14:textId="77777777" w:rsidR="00F64CED" w:rsidRPr="00F64CED" w:rsidRDefault="009143A0" w:rsidP="00EE7BE4">
      <w:pPr>
        <w:ind w:firstLine="720"/>
        <w:jc w:val="both"/>
        <w:rPr>
          <w:rFonts w:ascii="Times New Roman" w:eastAsia="Calibri" w:hAnsi="Times New Roman" w:cs="Times New Roman"/>
        </w:rPr>
      </w:pPr>
      <w:r>
        <w:rPr>
          <w:rFonts w:ascii="Times New Roman" w:eastAsia="Calibri" w:hAnsi="Times New Roman" w:cs="Times New Roman"/>
        </w:rPr>
        <w:t>$1</w:t>
      </w:r>
      <w:r w:rsidR="00912FD5">
        <w:rPr>
          <w:rFonts w:ascii="Times New Roman" w:eastAsia="Calibri" w:hAnsi="Times New Roman" w:cs="Times New Roman"/>
        </w:rPr>
        <w:t>5</w:t>
      </w:r>
      <w:r w:rsidR="00E65AAA">
        <w:rPr>
          <w:rFonts w:ascii="Times New Roman" w:eastAsia="Calibri" w:hAnsi="Times New Roman" w:cs="Times New Roman"/>
        </w:rPr>
        <w:t>4,3</w:t>
      </w:r>
      <w:r w:rsidR="00912FD5">
        <w:rPr>
          <w:rFonts w:ascii="Times New Roman" w:eastAsia="Calibri" w:hAnsi="Times New Roman" w:cs="Times New Roman"/>
        </w:rPr>
        <w:t>22</w:t>
      </w:r>
      <w:r w:rsidR="00F64CED">
        <w:rPr>
          <w:rFonts w:ascii="Times New Roman" w:eastAsia="Calibri" w:hAnsi="Times New Roman" w:cs="Times New Roman"/>
        </w:rPr>
        <w:tab/>
        <w:t>Total</w:t>
      </w:r>
    </w:p>
    <w:p w14:paraId="59BF3494" w14:textId="77777777" w:rsidR="000D7C2B" w:rsidRDefault="000D7C2B" w:rsidP="00EE7BE4">
      <w:pPr>
        <w:spacing w:line="360" w:lineRule="auto"/>
        <w:ind w:firstLine="720"/>
        <w:jc w:val="both"/>
        <w:rPr>
          <w:rFonts w:ascii="Times New Roman" w:eastAsia="Calibri" w:hAnsi="Times New Roman" w:cs="Times New Roman"/>
        </w:rPr>
      </w:pPr>
    </w:p>
    <w:p w14:paraId="59BF3495" w14:textId="77777777" w:rsidR="005D4331" w:rsidRDefault="001A6BF9"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The cost of this installation is higher than the expected average of $125,000, but is within reasonable parameters given the </w:t>
      </w:r>
      <w:r w:rsidR="00E65AAA">
        <w:rPr>
          <w:rFonts w:ascii="Times New Roman" w:eastAsia="Calibri" w:hAnsi="Times New Roman" w:cs="Times New Roman"/>
        </w:rPr>
        <w:t xml:space="preserve">specifics of the </w:t>
      </w:r>
      <w:r>
        <w:rPr>
          <w:rFonts w:ascii="Times New Roman" w:eastAsia="Calibri" w:hAnsi="Times New Roman" w:cs="Times New Roman"/>
        </w:rPr>
        <w:t xml:space="preserve">site location.  </w:t>
      </w:r>
      <w:r w:rsidR="00973C86">
        <w:rPr>
          <w:rFonts w:ascii="Times New Roman" w:eastAsia="Calibri" w:hAnsi="Times New Roman" w:cs="Times New Roman"/>
        </w:rPr>
        <w:t xml:space="preserve">The total cost </w:t>
      </w:r>
      <w:r w:rsidR="00EB4F08">
        <w:rPr>
          <w:rFonts w:ascii="Times New Roman" w:eastAsia="Calibri" w:hAnsi="Times New Roman" w:cs="Times New Roman"/>
        </w:rPr>
        <w:t xml:space="preserve">includes the requirements for </w:t>
      </w:r>
      <w:r w:rsidR="005D4331">
        <w:rPr>
          <w:rFonts w:ascii="Times New Roman" w:eastAsia="Calibri" w:hAnsi="Times New Roman" w:cs="Times New Roman"/>
        </w:rPr>
        <w:t xml:space="preserve">new three-phase service, distribution pole replacement, tree removal, </w:t>
      </w:r>
      <w:r w:rsidR="005D09DA">
        <w:rPr>
          <w:rFonts w:ascii="Times New Roman" w:eastAsia="Calibri" w:hAnsi="Times New Roman" w:cs="Times New Roman"/>
        </w:rPr>
        <w:t xml:space="preserve">220 </w:t>
      </w:r>
      <w:r w:rsidR="005D4331">
        <w:rPr>
          <w:rFonts w:ascii="Times New Roman" w:eastAsia="Calibri" w:hAnsi="Times New Roman" w:cs="Times New Roman"/>
        </w:rPr>
        <w:t xml:space="preserve">feet of </w:t>
      </w:r>
      <w:r w:rsidR="005D09DA">
        <w:rPr>
          <w:rFonts w:ascii="Times New Roman" w:eastAsia="Calibri" w:hAnsi="Times New Roman" w:cs="Times New Roman"/>
        </w:rPr>
        <w:t xml:space="preserve">soil </w:t>
      </w:r>
      <w:r w:rsidR="005D4331">
        <w:rPr>
          <w:rFonts w:ascii="Times New Roman" w:eastAsia="Calibri" w:hAnsi="Times New Roman" w:cs="Times New Roman"/>
        </w:rPr>
        <w:t>trenching</w:t>
      </w:r>
      <w:r w:rsidR="005D09DA">
        <w:rPr>
          <w:rFonts w:ascii="Times New Roman" w:eastAsia="Calibri" w:hAnsi="Times New Roman" w:cs="Times New Roman"/>
        </w:rPr>
        <w:t xml:space="preserve"> and associated concrete work</w:t>
      </w:r>
      <w:r w:rsidR="00973C86">
        <w:rPr>
          <w:rFonts w:ascii="Times New Roman" w:eastAsia="Calibri" w:hAnsi="Times New Roman" w:cs="Times New Roman"/>
        </w:rPr>
        <w:t>, as well as the cost of the service transformer</w:t>
      </w:r>
      <w:r w:rsidR="005D4331">
        <w:rPr>
          <w:rFonts w:ascii="Times New Roman" w:eastAsia="Calibri" w:hAnsi="Times New Roman" w:cs="Times New Roman"/>
        </w:rPr>
        <w:t>. The site has an operational 50kW DCFC with both CCS and CHAdeMO connectors, and a dual-p</w:t>
      </w:r>
      <w:r w:rsidR="00261CF7">
        <w:rPr>
          <w:rFonts w:ascii="Times New Roman" w:eastAsia="Calibri" w:hAnsi="Times New Roman" w:cs="Times New Roman"/>
        </w:rPr>
        <w:t>ort AC Level 2 EVSE rated at 40A</w:t>
      </w:r>
      <w:r w:rsidR="005D4331">
        <w:rPr>
          <w:rFonts w:ascii="Times New Roman" w:eastAsia="Calibri" w:hAnsi="Times New Roman" w:cs="Times New Roman"/>
        </w:rPr>
        <w:t xml:space="preserve"> per port</w:t>
      </w:r>
      <w:r w:rsidR="00EB4F08">
        <w:rPr>
          <w:rFonts w:ascii="Times New Roman" w:eastAsia="Calibri" w:hAnsi="Times New Roman" w:cs="Times New Roman"/>
        </w:rPr>
        <w:t xml:space="preserve"> as a backup</w:t>
      </w:r>
      <w:r w:rsidR="00F27C05">
        <w:rPr>
          <w:rFonts w:ascii="Times New Roman" w:eastAsia="Calibri" w:hAnsi="Times New Roman" w:cs="Times New Roman"/>
        </w:rPr>
        <w:t>.</w:t>
      </w:r>
      <w:r w:rsidR="005D4331">
        <w:rPr>
          <w:rFonts w:ascii="Times New Roman" w:eastAsia="Calibri" w:hAnsi="Times New Roman" w:cs="Times New Roman"/>
        </w:rPr>
        <w:t xml:space="preserve">  </w:t>
      </w:r>
      <w:r w:rsidR="00261CF7">
        <w:rPr>
          <w:rFonts w:ascii="Times New Roman" w:eastAsia="Calibri" w:hAnsi="Times New Roman" w:cs="Times New Roman"/>
        </w:rPr>
        <w:t>The installation is</w:t>
      </w:r>
      <w:r w:rsidR="00A318B7">
        <w:rPr>
          <w:rFonts w:ascii="Times New Roman" w:eastAsia="Calibri" w:hAnsi="Times New Roman" w:cs="Times New Roman"/>
        </w:rPr>
        <w:t xml:space="preserve"> </w:t>
      </w:r>
      <w:r w:rsidR="00EB4F08">
        <w:rPr>
          <w:rFonts w:ascii="Times New Roman" w:eastAsia="Calibri" w:hAnsi="Times New Roman" w:cs="Times New Roman"/>
        </w:rPr>
        <w:t>“future-proofed”,</w:t>
      </w:r>
      <w:r w:rsidR="00A318B7">
        <w:rPr>
          <w:rFonts w:ascii="Times New Roman" w:eastAsia="Calibri" w:hAnsi="Times New Roman" w:cs="Times New Roman"/>
        </w:rPr>
        <w:t xml:space="preserve"> with </w:t>
      </w:r>
      <w:r w:rsidR="00261CF7">
        <w:rPr>
          <w:rFonts w:ascii="Times New Roman" w:eastAsia="Calibri" w:hAnsi="Times New Roman" w:cs="Times New Roman"/>
        </w:rPr>
        <w:lastRenderedPageBreak/>
        <w:t xml:space="preserve">property easement, </w:t>
      </w:r>
      <w:r w:rsidR="00A318B7">
        <w:rPr>
          <w:rFonts w:ascii="Times New Roman" w:eastAsia="Calibri" w:hAnsi="Times New Roman" w:cs="Times New Roman"/>
        </w:rPr>
        <w:t>t</w:t>
      </w:r>
      <w:r w:rsidR="005D4331">
        <w:rPr>
          <w:rFonts w:ascii="Times New Roman" w:eastAsia="Calibri" w:hAnsi="Times New Roman" w:cs="Times New Roman"/>
        </w:rPr>
        <w:t xml:space="preserve">ransformer capacity and conduit installed to allow </w:t>
      </w:r>
      <w:r w:rsidR="00261CF7">
        <w:rPr>
          <w:rFonts w:ascii="Times New Roman" w:eastAsia="Calibri" w:hAnsi="Times New Roman" w:cs="Times New Roman"/>
        </w:rPr>
        <w:t xml:space="preserve">for low-cost future expansion </w:t>
      </w:r>
      <w:r w:rsidR="00EF5E2B">
        <w:rPr>
          <w:rFonts w:ascii="Times New Roman" w:eastAsia="Calibri" w:hAnsi="Times New Roman" w:cs="Times New Roman"/>
        </w:rPr>
        <w:t xml:space="preserve">of </w:t>
      </w:r>
      <w:r w:rsidR="00261CF7">
        <w:rPr>
          <w:rFonts w:ascii="Times New Roman" w:eastAsia="Calibri" w:hAnsi="Times New Roman" w:cs="Times New Roman"/>
        </w:rPr>
        <w:t>an additional 150kW DCFC and</w:t>
      </w:r>
      <w:r w:rsidR="00F27C05">
        <w:rPr>
          <w:rFonts w:ascii="Times New Roman" w:eastAsia="Calibri" w:hAnsi="Times New Roman" w:cs="Times New Roman"/>
        </w:rPr>
        <w:t xml:space="preserve"> </w:t>
      </w:r>
      <w:r w:rsidR="00EF5E2B">
        <w:rPr>
          <w:rFonts w:ascii="Times New Roman" w:eastAsia="Calibri" w:hAnsi="Times New Roman" w:cs="Times New Roman"/>
        </w:rPr>
        <w:t>Level 2 EVSE</w:t>
      </w:r>
      <w:r w:rsidR="00F27C05">
        <w:rPr>
          <w:rFonts w:ascii="Times New Roman" w:eastAsia="Calibri" w:hAnsi="Times New Roman" w:cs="Times New Roman"/>
        </w:rPr>
        <w:t>.</w:t>
      </w:r>
    </w:p>
    <w:p w14:paraId="59BF3496" w14:textId="77777777" w:rsidR="00F27C05" w:rsidRDefault="00F27C05" w:rsidP="00EE7BE4">
      <w:pPr>
        <w:spacing w:line="360" w:lineRule="auto"/>
        <w:jc w:val="both"/>
        <w:rPr>
          <w:rFonts w:ascii="Times New Roman" w:eastAsia="Calibri" w:hAnsi="Times New Roman" w:cs="Times New Roman"/>
        </w:rPr>
      </w:pPr>
    </w:p>
    <w:p w14:paraId="59BF3497" w14:textId="77777777" w:rsidR="00F45919" w:rsidRPr="00B725E5" w:rsidRDefault="00973C86" w:rsidP="00EE7BE4">
      <w:pPr>
        <w:spacing w:line="360" w:lineRule="auto"/>
        <w:jc w:val="both"/>
        <w:rPr>
          <w:rFonts w:ascii="Times New Roman" w:eastAsia="Calibri" w:hAnsi="Times New Roman" w:cs="Times New Roman"/>
        </w:rPr>
      </w:pPr>
      <w:r>
        <w:rPr>
          <w:rFonts w:ascii="Times New Roman" w:eastAsia="Calibri" w:hAnsi="Times New Roman" w:cs="Times New Roman"/>
        </w:rPr>
        <w:t>With the online date of January 18, 2017, a</w:t>
      </w:r>
      <w:r w:rsidR="009F2BDB">
        <w:rPr>
          <w:rFonts w:ascii="Times New Roman" w:eastAsia="Calibri" w:hAnsi="Times New Roman" w:cs="Times New Roman"/>
        </w:rPr>
        <w:t>t the time of the due date of this quarterly report, the Company did not have enough experience or data to provide analysis of utilization rates of the Rosalia DCFC and associated rate of $0.30/minute.  In its next quarterly report due on May 1</w:t>
      </w:r>
      <w:r w:rsidR="009F2BDB" w:rsidRPr="009F2BDB">
        <w:rPr>
          <w:rFonts w:ascii="Times New Roman" w:eastAsia="Calibri" w:hAnsi="Times New Roman" w:cs="Times New Roman"/>
          <w:vertAlign w:val="superscript"/>
        </w:rPr>
        <w:t>st</w:t>
      </w:r>
      <w:r w:rsidR="009F2BDB">
        <w:rPr>
          <w:rFonts w:ascii="Times New Roman" w:eastAsia="Calibri" w:hAnsi="Times New Roman" w:cs="Times New Roman"/>
        </w:rPr>
        <w:t xml:space="preserve">, </w:t>
      </w:r>
      <w:r w:rsidR="00221113">
        <w:rPr>
          <w:rFonts w:ascii="Times New Roman" w:eastAsia="Calibri" w:hAnsi="Times New Roman" w:cs="Times New Roman"/>
        </w:rPr>
        <w:t xml:space="preserve">the Company will report </w:t>
      </w:r>
      <w:r w:rsidR="005F4EBE">
        <w:rPr>
          <w:rFonts w:ascii="Times New Roman" w:eastAsia="Calibri" w:hAnsi="Times New Roman" w:cs="Times New Roman"/>
        </w:rPr>
        <w:t xml:space="preserve">the utilization of stations, </w:t>
      </w:r>
      <w:r w:rsidR="008A1F79">
        <w:rPr>
          <w:rFonts w:ascii="Times New Roman" w:eastAsia="Calibri" w:hAnsi="Times New Roman" w:cs="Times New Roman"/>
        </w:rPr>
        <w:t xml:space="preserve">assessment of </w:t>
      </w:r>
      <w:r w:rsidR="00BB655B">
        <w:rPr>
          <w:rFonts w:ascii="Times New Roman" w:eastAsia="Calibri" w:hAnsi="Times New Roman" w:cs="Times New Roman"/>
        </w:rPr>
        <w:t>revenues received</w:t>
      </w:r>
      <w:r w:rsidR="008A1F79">
        <w:rPr>
          <w:rFonts w:ascii="Times New Roman" w:eastAsia="Calibri" w:hAnsi="Times New Roman" w:cs="Times New Roman"/>
        </w:rPr>
        <w:t xml:space="preserve"> through user payments</w:t>
      </w:r>
      <w:r w:rsidR="005F4EBE">
        <w:rPr>
          <w:rFonts w:ascii="Times New Roman" w:eastAsia="Calibri" w:hAnsi="Times New Roman" w:cs="Times New Roman"/>
        </w:rPr>
        <w:t>, and evaluation of the approve</w:t>
      </w:r>
      <w:r w:rsidR="00221113">
        <w:rPr>
          <w:rFonts w:ascii="Times New Roman" w:eastAsia="Calibri" w:hAnsi="Times New Roman" w:cs="Times New Roman"/>
        </w:rPr>
        <w:t>d rate of $0.30/minute</w:t>
      </w:r>
      <w:r w:rsidR="008A1F79">
        <w:rPr>
          <w:rFonts w:ascii="Times New Roman" w:eastAsia="Calibri" w:hAnsi="Times New Roman" w:cs="Times New Roman"/>
        </w:rPr>
        <w:t xml:space="preserve">.  </w:t>
      </w:r>
    </w:p>
    <w:p w14:paraId="59BF3498" w14:textId="77777777" w:rsidR="00973C86" w:rsidRDefault="00973C86" w:rsidP="00EE7BE4">
      <w:pPr>
        <w:spacing w:line="360" w:lineRule="auto"/>
        <w:jc w:val="both"/>
        <w:rPr>
          <w:rFonts w:ascii="Times New Roman" w:eastAsia="Calibri" w:hAnsi="Times New Roman" w:cs="Times New Roman"/>
          <w:b/>
        </w:rPr>
      </w:pPr>
    </w:p>
    <w:p w14:paraId="59BF3499" w14:textId="77777777" w:rsidR="008A1F79" w:rsidRPr="008A1F79" w:rsidRDefault="008A1F79" w:rsidP="00EE7BE4">
      <w:pPr>
        <w:spacing w:line="360" w:lineRule="auto"/>
        <w:jc w:val="both"/>
        <w:rPr>
          <w:rFonts w:ascii="Times New Roman" w:eastAsia="Calibri" w:hAnsi="Times New Roman" w:cs="Times New Roman"/>
          <w:b/>
        </w:rPr>
      </w:pPr>
      <w:r w:rsidRPr="008A1F79">
        <w:rPr>
          <w:rFonts w:ascii="Times New Roman" w:eastAsia="Calibri" w:hAnsi="Times New Roman" w:cs="Times New Roman"/>
          <w:b/>
        </w:rPr>
        <w:t>Level 2 Charging Stations</w:t>
      </w:r>
      <w:r>
        <w:rPr>
          <w:rFonts w:ascii="Times New Roman" w:eastAsia="Calibri" w:hAnsi="Times New Roman" w:cs="Times New Roman"/>
          <w:b/>
        </w:rPr>
        <w:t xml:space="preserve"> – </w:t>
      </w:r>
      <w:r w:rsidR="00A525AB">
        <w:rPr>
          <w:rFonts w:ascii="Times New Roman" w:eastAsia="Calibri" w:hAnsi="Times New Roman" w:cs="Times New Roman"/>
          <w:b/>
        </w:rPr>
        <w:t>Residential</w:t>
      </w:r>
      <w:r w:rsidR="002C14DB">
        <w:rPr>
          <w:rFonts w:ascii="Times New Roman" w:eastAsia="Calibri" w:hAnsi="Times New Roman" w:cs="Times New Roman"/>
          <w:b/>
        </w:rPr>
        <w:t xml:space="preserve"> and Commercial</w:t>
      </w:r>
    </w:p>
    <w:p w14:paraId="59BF349A" w14:textId="77777777" w:rsidR="00636B74" w:rsidRDefault="00636B74" w:rsidP="00EE7BE4">
      <w:pPr>
        <w:spacing w:line="360" w:lineRule="auto"/>
        <w:jc w:val="both"/>
        <w:rPr>
          <w:rFonts w:ascii="Times New Roman" w:eastAsia="Calibri" w:hAnsi="Times New Roman" w:cs="Times New Roman"/>
        </w:rPr>
      </w:pPr>
    </w:p>
    <w:p w14:paraId="59BF349B" w14:textId="77777777" w:rsidR="00B725E5" w:rsidRDefault="00804611" w:rsidP="00EE7BE4">
      <w:pPr>
        <w:spacing w:line="360" w:lineRule="auto"/>
        <w:jc w:val="both"/>
        <w:rPr>
          <w:rFonts w:ascii="Times New Roman" w:eastAsia="Calibri" w:hAnsi="Times New Roman" w:cs="Times New Roman"/>
        </w:rPr>
      </w:pPr>
      <w:r>
        <w:rPr>
          <w:rFonts w:ascii="Times New Roman" w:eastAsia="Calibri" w:hAnsi="Times New Roman" w:cs="Times New Roman"/>
        </w:rPr>
        <w:t>Overall, c</w:t>
      </w:r>
      <w:r w:rsidR="00B725E5">
        <w:rPr>
          <w:rFonts w:ascii="Times New Roman" w:eastAsia="Calibri" w:hAnsi="Times New Roman" w:cs="Times New Roman"/>
        </w:rPr>
        <w:t xml:space="preserve">ustomer participation </w:t>
      </w:r>
      <w:r w:rsidR="00C02EE2">
        <w:rPr>
          <w:rFonts w:ascii="Times New Roman" w:eastAsia="Calibri" w:hAnsi="Times New Roman" w:cs="Times New Roman"/>
        </w:rPr>
        <w:t xml:space="preserve">levels and feedback </w:t>
      </w:r>
      <w:r w:rsidR="00A500D6">
        <w:rPr>
          <w:rFonts w:ascii="Times New Roman" w:eastAsia="Calibri" w:hAnsi="Times New Roman" w:cs="Times New Roman"/>
        </w:rPr>
        <w:t xml:space="preserve">for Level 2 charging station installations </w:t>
      </w:r>
      <w:r w:rsidR="006101C8">
        <w:rPr>
          <w:rFonts w:ascii="Times New Roman" w:eastAsia="Calibri" w:hAnsi="Times New Roman" w:cs="Times New Roman"/>
        </w:rPr>
        <w:t>remain</w:t>
      </w:r>
      <w:r w:rsidR="00A500D6">
        <w:rPr>
          <w:rFonts w:ascii="Times New Roman" w:eastAsia="Calibri" w:hAnsi="Times New Roman" w:cs="Times New Roman"/>
        </w:rPr>
        <w:t xml:space="preserve">s </w:t>
      </w:r>
      <w:r w:rsidR="00B725E5">
        <w:rPr>
          <w:rFonts w:ascii="Times New Roman" w:eastAsia="Calibri" w:hAnsi="Times New Roman" w:cs="Times New Roman"/>
        </w:rPr>
        <w:t>positive.</w:t>
      </w:r>
      <w:r w:rsidR="00087646">
        <w:rPr>
          <w:rFonts w:ascii="Times New Roman" w:eastAsia="Calibri" w:hAnsi="Times New Roman" w:cs="Times New Roman"/>
        </w:rPr>
        <w:t xml:space="preserve">  </w:t>
      </w:r>
      <w:r w:rsidR="00793793">
        <w:rPr>
          <w:rFonts w:ascii="Times New Roman" w:eastAsia="Calibri" w:hAnsi="Times New Roman" w:cs="Times New Roman"/>
        </w:rPr>
        <w:t xml:space="preserve">As of </w:t>
      </w:r>
      <w:r w:rsidR="006101C8">
        <w:rPr>
          <w:rFonts w:ascii="Times New Roman" w:eastAsia="Calibri" w:hAnsi="Times New Roman" w:cs="Times New Roman"/>
        </w:rPr>
        <w:t>January 23, 2017</w:t>
      </w:r>
      <w:r w:rsidR="00636B74">
        <w:rPr>
          <w:rFonts w:ascii="Times New Roman" w:eastAsia="Calibri" w:hAnsi="Times New Roman" w:cs="Times New Roman"/>
        </w:rPr>
        <w:t>,</w:t>
      </w:r>
      <w:r w:rsidR="00793793">
        <w:rPr>
          <w:rFonts w:ascii="Times New Roman" w:eastAsia="Calibri" w:hAnsi="Times New Roman" w:cs="Times New Roman"/>
        </w:rPr>
        <w:t xml:space="preserve"> the number of applications and installations for the various EVSE categories are as follows:</w:t>
      </w:r>
    </w:p>
    <w:p w14:paraId="59BF349C" w14:textId="77777777" w:rsidR="00F93984" w:rsidRDefault="00F93984" w:rsidP="00EE7BE4">
      <w:pPr>
        <w:spacing w:line="360" w:lineRule="auto"/>
        <w:jc w:val="both"/>
        <w:rPr>
          <w:rFonts w:ascii="Times New Roman" w:eastAsia="Calibri" w:hAnsi="Times New Roman" w:cs="Times New Roman"/>
          <w:b/>
          <w:u w:val="single"/>
        </w:rPr>
      </w:pPr>
    </w:p>
    <w:p w14:paraId="59BF349D" w14:textId="77777777" w:rsidR="00F93984" w:rsidRPr="00F93984" w:rsidRDefault="00F93984" w:rsidP="00EE7BE4">
      <w:pPr>
        <w:spacing w:line="360" w:lineRule="auto"/>
        <w:jc w:val="both"/>
        <w:rPr>
          <w:rFonts w:ascii="Times New Roman" w:eastAsia="Calibri" w:hAnsi="Times New Roman" w:cs="Times New Roman"/>
          <w:b/>
          <w:u w:val="single"/>
        </w:rPr>
      </w:pPr>
      <w:r w:rsidRPr="00F93984">
        <w:rPr>
          <w:rFonts w:ascii="Times New Roman" w:eastAsia="Calibri" w:hAnsi="Times New Roman" w:cs="Times New Roman"/>
          <w:b/>
          <w:u w:val="single"/>
        </w:rPr>
        <w:t>Table No. 2:</w:t>
      </w:r>
    </w:p>
    <w:tbl>
      <w:tblPr>
        <w:tblW w:w="8720" w:type="dxa"/>
        <w:tblLayout w:type="fixed"/>
        <w:tblLook w:val="04A0" w:firstRow="1" w:lastRow="0" w:firstColumn="1" w:lastColumn="0" w:noHBand="0" w:noVBand="1"/>
      </w:tblPr>
      <w:tblGrid>
        <w:gridCol w:w="2510"/>
        <w:gridCol w:w="1350"/>
        <w:gridCol w:w="1260"/>
        <w:gridCol w:w="1170"/>
        <w:gridCol w:w="1260"/>
        <w:gridCol w:w="1170"/>
      </w:tblGrid>
      <w:tr w:rsidR="00BB655B" w:rsidRPr="00203E08" w14:paraId="59BF34A2" w14:textId="77777777" w:rsidTr="00BB655B">
        <w:trPr>
          <w:trHeight w:val="300"/>
        </w:trPr>
        <w:tc>
          <w:tcPr>
            <w:tcW w:w="2510" w:type="dxa"/>
            <w:tcBorders>
              <w:top w:val="single" w:sz="8" w:space="0" w:color="auto"/>
              <w:left w:val="single" w:sz="8" w:space="0" w:color="auto"/>
              <w:bottom w:val="nil"/>
              <w:right w:val="nil"/>
            </w:tcBorders>
            <w:shd w:val="clear" w:color="auto" w:fill="auto"/>
            <w:noWrap/>
            <w:vAlign w:val="bottom"/>
            <w:hideMark/>
          </w:tcPr>
          <w:p w14:paraId="59BF349E" w14:textId="77777777" w:rsidR="00BB655B" w:rsidRPr="00203E08" w:rsidRDefault="00BB655B" w:rsidP="00EE7BE4">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 </w:t>
            </w:r>
          </w:p>
        </w:tc>
        <w:tc>
          <w:tcPr>
            <w:tcW w:w="1350"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14:paraId="59BF349F" w14:textId="77777777" w:rsidR="00BB655B" w:rsidRPr="00203E08" w:rsidRDefault="00BB655B" w:rsidP="00EE7BE4">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2-Year Goal of Port Installations</w:t>
            </w:r>
          </w:p>
        </w:tc>
        <w:tc>
          <w:tcPr>
            <w:tcW w:w="243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9BF34A0" w14:textId="77777777" w:rsidR="00BB655B" w:rsidRPr="00203E08" w:rsidRDefault="00BB655B" w:rsidP="00EE7BE4">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Applicants</w:t>
            </w:r>
          </w:p>
        </w:tc>
        <w:tc>
          <w:tcPr>
            <w:tcW w:w="2430" w:type="dxa"/>
            <w:gridSpan w:val="2"/>
            <w:tcBorders>
              <w:top w:val="single" w:sz="8" w:space="0" w:color="auto"/>
              <w:left w:val="nil"/>
              <w:bottom w:val="single" w:sz="4" w:space="0" w:color="auto"/>
              <w:right w:val="single" w:sz="8" w:space="0" w:color="000000"/>
            </w:tcBorders>
            <w:shd w:val="clear" w:color="auto" w:fill="auto"/>
            <w:vAlign w:val="bottom"/>
          </w:tcPr>
          <w:p w14:paraId="59BF34A1" w14:textId="77777777" w:rsidR="00BB655B" w:rsidRPr="00203E08" w:rsidRDefault="00BB655B" w:rsidP="00EE7BE4">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Installations</w:t>
            </w:r>
          </w:p>
        </w:tc>
      </w:tr>
      <w:tr w:rsidR="00BB655B" w:rsidRPr="00203E08" w14:paraId="59BF34A9" w14:textId="77777777" w:rsidTr="00BB655B">
        <w:trPr>
          <w:trHeight w:val="660"/>
        </w:trPr>
        <w:tc>
          <w:tcPr>
            <w:tcW w:w="2510" w:type="dxa"/>
            <w:tcBorders>
              <w:top w:val="nil"/>
              <w:left w:val="single" w:sz="8" w:space="0" w:color="auto"/>
              <w:bottom w:val="nil"/>
              <w:right w:val="nil"/>
            </w:tcBorders>
            <w:shd w:val="clear" w:color="auto" w:fill="auto"/>
            <w:noWrap/>
            <w:vAlign w:val="bottom"/>
            <w:hideMark/>
          </w:tcPr>
          <w:p w14:paraId="59BF34A3" w14:textId="77777777" w:rsidR="00BB655B" w:rsidRPr="00203E08" w:rsidRDefault="00BB655B" w:rsidP="00EE7BE4">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 </w:t>
            </w:r>
          </w:p>
        </w:tc>
        <w:tc>
          <w:tcPr>
            <w:tcW w:w="1350" w:type="dxa"/>
            <w:vMerge/>
            <w:tcBorders>
              <w:top w:val="single" w:sz="8" w:space="0" w:color="auto"/>
              <w:left w:val="single" w:sz="8" w:space="0" w:color="auto"/>
              <w:bottom w:val="single" w:sz="4" w:space="0" w:color="auto"/>
              <w:right w:val="single" w:sz="8" w:space="0" w:color="auto"/>
            </w:tcBorders>
            <w:vAlign w:val="center"/>
            <w:hideMark/>
          </w:tcPr>
          <w:p w14:paraId="59BF34A4" w14:textId="77777777" w:rsidR="00BB655B" w:rsidRPr="00203E08" w:rsidRDefault="00BB655B" w:rsidP="00EE7BE4">
            <w:pPr>
              <w:rPr>
                <w:rFonts w:ascii="Calibri" w:eastAsia="Times New Roman" w:hAnsi="Calibri" w:cs="Times New Roman"/>
                <w:b/>
                <w:bCs/>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59BF34A5" w14:textId="77777777" w:rsidR="00BB655B" w:rsidRPr="00203E08" w:rsidRDefault="00BB655B" w:rsidP="00EE7BE4">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Applicants</w:t>
            </w:r>
          </w:p>
        </w:tc>
        <w:tc>
          <w:tcPr>
            <w:tcW w:w="1170" w:type="dxa"/>
            <w:tcBorders>
              <w:top w:val="nil"/>
              <w:left w:val="nil"/>
              <w:bottom w:val="single" w:sz="4" w:space="0" w:color="auto"/>
              <w:right w:val="single" w:sz="4" w:space="0" w:color="auto"/>
            </w:tcBorders>
            <w:shd w:val="clear" w:color="auto" w:fill="auto"/>
            <w:noWrap/>
            <w:vAlign w:val="bottom"/>
            <w:hideMark/>
          </w:tcPr>
          <w:p w14:paraId="59BF34A6" w14:textId="77777777" w:rsidR="00BB655B" w:rsidRPr="00203E08" w:rsidRDefault="00BB655B" w:rsidP="00EE7BE4">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Approved</w:t>
            </w:r>
          </w:p>
        </w:tc>
        <w:tc>
          <w:tcPr>
            <w:tcW w:w="1260" w:type="dxa"/>
            <w:tcBorders>
              <w:top w:val="nil"/>
              <w:left w:val="nil"/>
              <w:bottom w:val="single" w:sz="4" w:space="0" w:color="auto"/>
              <w:right w:val="single" w:sz="4" w:space="0" w:color="auto"/>
            </w:tcBorders>
            <w:shd w:val="clear" w:color="auto" w:fill="auto"/>
            <w:noWrap/>
            <w:vAlign w:val="bottom"/>
            <w:hideMark/>
          </w:tcPr>
          <w:p w14:paraId="59BF34A7" w14:textId="77777777" w:rsidR="00BB655B" w:rsidRPr="00203E08" w:rsidRDefault="00BB655B" w:rsidP="00EE7BE4">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Scheduled</w:t>
            </w:r>
          </w:p>
        </w:tc>
        <w:tc>
          <w:tcPr>
            <w:tcW w:w="1170" w:type="dxa"/>
            <w:tcBorders>
              <w:top w:val="nil"/>
              <w:left w:val="nil"/>
              <w:bottom w:val="single" w:sz="4" w:space="0" w:color="auto"/>
              <w:right w:val="single" w:sz="8" w:space="0" w:color="auto"/>
            </w:tcBorders>
            <w:shd w:val="clear" w:color="auto" w:fill="auto"/>
            <w:noWrap/>
            <w:vAlign w:val="bottom"/>
            <w:hideMark/>
          </w:tcPr>
          <w:p w14:paraId="59BF34A8" w14:textId="77777777" w:rsidR="00BB655B" w:rsidRPr="00203E08" w:rsidRDefault="00BB655B" w:rsidP="00EE7BE4">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 Ports Installed</w:t>
            </w:r>
          </w:p>
        </w:tc>
      </w:tr>
      <w:tr w:rsidR="00A525AB" w:rsidRPr="00203E08" w14:paraId="59BF34B0" w14:textId="77777777" w:rsidTr="00A525AB">
        <w:trPr>
          <w:trHeight w:val="300"/>
        </w:trPr>
        <w:tc>
          <w:tcPr>
            <w:tcW w:w="2510" w:type="dxa"/>
            <w:tcBorders>
              <w:top w:val="single" w:sz="4" w:space="0" w:color="auto"/>
              <w:left w:val="single" w:sz="8" w:space="0" w:color="auto"/>
              <w:bottom w:val="single" w:sz="4" w:space="0" w:color="auto"/>
              <w:right w:val="nil"/>
            </w:tcBorders>
            <w:shd w:val="clear" w:color="auto" w:fill="auto"/>
            <w:noWrap/>
            <w:vAlign w:val="bottom"/>
            <w:hideMark/>
          </w:tcPr>
          <w:p w14:paraId="59BF34AA" w14:textId="77777777" w:rsidR="00A525AB" w:rsidRPr="00BB655B" w:rsidRDefault="00A525AB" w:rsidP="00EE7BE4">
            <w:pPr>
              <w:rPr>
                <w:rFonts w:ascii="Calibri" w:eastAsia="Times New Roman" w:hAnsi="Calibri" w:cs="Times New Roman"/>
                <w:b/>
                <w:bCs/>
                <w:color w:val="000000"/>
                <w:sz w:val="22"/>
                <w:szCs w:val="22"/>
                <w:vertAlign w:val="superscript"/>
              </w:rPr>
            </w:pPr>
            <w:r>
              <w:rPr>
                <w:rFonts w:ascii="Calibri" w:eastAsia="Times New Roman" w:hAnsi="Calibri" w:cs="Times New Roman"/>
                <w:b/>
                <w:bCs/>
                <w:color w:val="000000"/>
                <w:sz w:val="22"/>
                <w:szCs w:val="22"/>
              </w:rPr>
              <w:t>Residential SFH</w:t>
            </w:r>
            <w:r>
              <w:rPr>
                <w:rStyle w:val="FootnoteReference"/>
                <w:rFonts w:ascii="Calibri" w:eastAsia="Times New Roman" w:hAnsi="Calibri" w:cs="Times New Roman"/>
                <w:b/>
                <w:bCs/>
                <w:color w:val="000000"/>
                <w:sz w:val="22"/>
                <w:szCs w:val="22"/>
              </w:rPr>
              <w:footnoteReference w:id="1"/>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59BF34AB" w14:textId="77777777" w:rsidR="00A525AB" w:rsidRPr="00203E08" w:rsidRDefault="00A525AB" w:rsidP="00EE7BE4">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120</w:t>
            </w:r>
          </w:p>
        </w:tc>
        <w:tc>
          <w:tcPr>
            <w:tcW w:w="1260" w:type="dxa"/>
            <w:tcBorders>
              <w:top w:val="nil"/>
              <w:left w:val="nil"/>
              <w:bottom w:val="single" w:sz="4" w:space="0" w:color="auto"/>
              <w:right w:val="single" w:sz="4" w:space="0" w:color="auto"/>
            </w:tcBorders>
            <w:shd w:val="clear" w:color="auto" w:fill="auto"/>
            <w:noWrap/>
            <w:vAlign w:val="center"/>
            <w:hideMark/>
          </w:tcPr>
          <w:p w14:paraId="59BF34AC"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104</w:t>
            </w:r>
          </w:p>
        </w:tc>
        <w:tc>
          <w:tcPr>
            <w:tcW w:w="1170" w:type="dxa"/>
            <w:tcBorders>
              <w:top w:val="nil"/>
              <w:left w:val="nil"/>
              <w:bottom w:val="single" w:sz="4" w:space="0" w:color="auto"/>
              <w:right w:val="single" w:sz="4" w:space="0" w:color="auto"/>
            </w:tcBorders>
            <w:shd w:val="clear" w:color="auto" w:fill="auto"/>
            <w:noWrap/>
            <w:vAlign w:val="center"/>
            <w:hideMark/>
          </w:tcPr>
          <w:p w14:paraId="59BF34AD"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90</w:t>
            </w:r>
          </w:p>
        </w:tc>
        <w:tc>
          <w:tcPr>
            <w:tcW w:w="1260" w:type="dxa"/>
            <w:tcBorders>
              <w:top w:val="nil"/>
              <w:left w:val="nil"/>
              <w:bottom w:val="single" w:sz="4" w:space="0" w:color="auto"/>
              <w:right w:val="single" w:sz="4" w:space="0" w:color="auto"/>
            </w:tcBorders>
            <w:shd w:val="clear" w:color="auto" w:fill="auto"/>
            <w:noWrap/>
            <w:hideMark/>
          </w:tcPr>
          <w:p w14:paraId="59BF34AE"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11</w:t>
            </w:r>
          </w:p>
        </w:tc>
        <w:tc>
          <w:tcPr>
            <w:tcW w:w="1170" w:type="dxa"/>
            <w:tcBorders>
              <w:top w:val="nil"/>
              <w:left w:val="nil"/>
              <w:bottom w:val="single" w:sz="4" w:space="0" w:color="auto"/>
              <w:right w:val="single" w:sz="8" w:space="0" w:color="auto"/>
            </w:tcBorders>
            <w:shd w:val="clear" w:color="auto" w:fill="auto"/>
            <w:noWrap/>
            <w:hideMark/>
          </w:tcPr>
          <w:p w14:paraId="59BF34AF"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56</w:t>
            </w:r>
          </w:p>
        </w:tc>
      </w:tr>
      <w:tr w:rsidR="00A525AB" w:rsidRPr="00203E08" w14:paraId="59BF34B7" w14:textId="77777777" w:rsidTr="00A525AB">
        <w:trPr>
          <w:trHeight w:val="300"/>
        </w:trPr>
        <w:tc>
          <w:tcPr>
            <w:tcW w:w="2510" w:type="dxa"/>
            <w:tcBorders>
              <w:top w:val="nil"/>
              <w:left w:val="single" w:sz="8" w:space="0" w:color="auto"/>
              <w:bottom w:val="single" w:sz="4" w:space="0" w:color="auto"/>
              <w:right w:val="nil"/>
            </w:tcBorders>
            <w:shd w:val="clear" w:color="auto" w:fill="auto"/>
            <w:noWrap/>
            <w:vAlign w:val="bottom"/>
            <w:hideMark/>
          </w:tcPr>
          <w:p w14:paraId="59BF34B1" w14:textId="77777777" w:rsidR="00A525AB" w:rsidRPr="00203E08" w:rsidRDefault="00A525AB" w:rsidP="00EE7BE4">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Workplace\Fleet\MUD</w:t>
            </w:r>
            <w:r>
              <w:rPr>
                <w:rStyle w:val="FootnoteReference"/>
                <w:rFonts w:ascii="Calibri" w:eastAsia="Times New Roman" w:hAnsi="Calibri" w:cs="Times New Roman"/>
                <w:b/>
                <w:bCs/>
                <w:color w:val="000000"/>
                <w:sz w:val="22"/>
                <w:szCs w:val="22"/>
              </w:rPr>
              <w:footnoteReference w:id="2"/>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59BF34B2" w14:textId="77777777" w:rsidR="00A525AB" w:rsidRPr="00203E08" w:rsidRDefault="00A525AB" w:rsidP="00EE7BE4">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59BF34B3"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93</w:t>
            </w:r>
          </w:p>
        </w:tc>
        <w:tc>
          <w:tcPr>
            <w:tcW w:w="1170" w:type="dxa"/>
            <w:tcBorders>
              <w:top w:val="nil"/>
              <w:left w:val="nil"/>
              <w:bottom w:val="single" w:sz="4" w:space="0" w:color="auto"/>
              <w:right w:val="single" w:sz="4" w:space="0" w:color="auto"/>
            </w:tcBorders>
            <w:shd w:val="clear" w:color="auto" w:fill="auto"/>
            <w:noWrap/>
            <w:vAlign w:val="center"/>
            <w:hideMark/>
          </w:tcPr>
          <w:p w14:paraId="59BF34B4"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48</w:t>
            </w:r>
          </w:p>
        </w:tc>
        <w:tc>
          <w:tcPr>
            <w:tcW w:w="1260" w:type="dxa"/>
            <w:tcBorders>
              <w:top w:val="nil"/>
              <w:left w:val="nil"/>
              <w:bottom w:val="single" w:sz="4" w:space="0" w:color="auto"/>
              <w:right w:val="single" w:sz="4" w:space="0" w:color="auto"/>
            </w:tcBorders>
            <w:shd w:val="clear" w:color="auto" w:fill="auto"/>
            <w:noWrap/>
            <w:hideMark/>
          </w:tcPr>
          <w:p w14:paraId="59BF34B5" w14:textId="77777777" w:rsidR="00A525AB" w:rsidRPr="00203E08" w:rsidRDefault="006F56EF" w:rsidP="00EE7BE4">
            <w:pPr>
              <w:jc w:val="center"/>
              <w:rPr>
                <w:rFonts w:ascii="Calibri" w:eastAsia="Times New Roman" w:hAnsi="Calibri" w:cs="Times New Roman"/>
                <w:color w:val="000000"/>
                <w:sz w:val="22"/>
                <w:szCs w:val="22"/>
              </w:rPr>
            </w:pPr>
            <w:r>
              <w:rPr>
                <w:rFonts w:ascii="Calibri" w:hAnsi="Calibri" w:cs="Calibri"/>
                <w:color w:val="000000"/>
                <w:sz w:val="22"/>
                <w:szCs w:val="22"/>
              </w:rPr>
              <w:t>5</w:t>
            </w:r>
          </w:p>
        </w:tc>
        <w:tc>
          <w:tcPr>
            <w:tcW w:w="1170" w:type="dxa"/>
            <w:tcBorders>
              <w:top w:val="nil"/>
              <w:left w:val="nil"/>
              <w:bottom w:val="single" w:sz="4" w:space="0" w:color="auto"/>
              <w:right w:val="single" w:sz="8" w:space="0" w:color="auto"/>
            </w:tcBorders>
            <w:shd w:val="clear" w:color="auto" w:fill="auto"/>
            <w:noWrap/>
            <w:hideMark/>
          </w:tcPr>
          <w:p w14:paraId="59BF34B6"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15</w:t>
            </w:r>
          </w:p>
        </w:tc>
      </w:tr>
      <w:tr w:rsidR="00A525AB" w:rsidRPr="00203E08" w14:paraId="59BF34BE" w14:textId="77777777" w:rsidTr="00A525AB">
        <w:trPr>
          <w:trHeight w:val="300"/>
        </w:trPr>
        <w:tc>
          <w:tcPr>
            <w:tcW w:w="2510" w:type="dxa"/>
            <w:tcBorders>
              <w:top w:val="nil"/>
              <w:left w:val="single" w:sz="8" w:space="0" w:color="auto"/>
              <w:bottom w:val="single" w:sz="4" w:space="0" w:color="auto"/>
              <w:right w:val="nil"/>
            </w:tcBorders>
            <w:shd w:val="clear" w:color="auto" w:fill="auto"/>
            <w:noWrap/>
            <w:vAlign w:val="bottom"/>
            <w:hideMark/>
          </w:tcPr>
          <w:p w14:paraId="59BF34B8" w14:textId="77777777" w:rsidR="00A525AB" w:rsidRPr="00203E08" w:rsidRDefault="00A525AB" w:rsidP="00EE7BE4">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Public</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59BF34B9" w14:textId="77777777" w:rsidR="00A525AB" w:rsidRPr="00203E08" w:rsidRDefault="00A525AB" w:rsidP="00EE7BE4">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45</w:t>
            </w:r>
          </w:p>
        </w:tc>
        <w:tc>
          <w:tcPr>
            <w:tcW w:w="1260" w:type="dxa"/>
            <w:tcBorders>
              <w:top w:val="nil"/>
              <w:left w:val="nil"/>
              <w:bottom w:val="single" w:sz="4" w:space="0" w:color="auto"/>
              <w:right w:val="single" w:sz="4" w:space="0" w:color="auto"/>
            </w:tcBorders>
            <w:shd w:val="clear" w:color="auto" w:fill="auto"/>
            <w:noWrap/>
            <w:vAlign w:val="center"/>
            <w:hideMark/>
          </w:tcPr>
          <w:p w14:paraId="59BF34BA"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40</w:t>
            </w:r>
          </w:p>
        </w:tc>
        <w:tc>
          <w:tcPr>
            <w:tcW w:w="1170" w:type="dxa"/>
            <w:tcBorders>
              <w:top w:val="nil"/>
              <w:left w:val="nil"/>
              <w:bottom w:val="single" w:sz="4" w:space="0" w:color="auto"/>
              <w:right w:val="single" w:sz="4" w:space="0" w:color="auto"/>
            </w:tcBorders>
            <w:shd w:val="clear" w:color="auto" w:fill="auto"/>
            <w:noWrap/>
            <w:vAlign w:val="center"/>
            <w:hideMark/>
          </w:tcPr>
          <w:p w14:paraId="59BF34BB"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21</w:t>
            </w:r>
          </w:p>
        </w:tc>
        <w:tc>
          <w:tcPr>
            <w:tcW w:w="1260" w:type="dxa"/>
            <w:tcBorders>
              <w:top w:val="nil"/>
              <w:left w:val="nil"/>
              <w:bottom w:val="single" w:sz="4" w:space="0" w:color="auto"/>
              <w:right w:val="single" w:sz="4" w:space="0" w:color="auto"/>
            </w:tcBorders>
            <w:shd w:val="clear" w:color="auto" w:fill="auto"/>
            <w:noWrap/>
            <w:hideMark/>
          </w:tcPr>
          <w:p w14:paraId="59BF34BC" w14:textId="77777777" w:rsidR="00A525AB" w:rsidRPr="00203E08" w:rsidRDefault="006F56EF" w:rsidP="00EE7BE4">
            <w:pPr>
              <w:jc w:val="center"/>
              <w:rPr>
                <w:rFonts w:ascii="Calibri" w:eastAsia="Times New Roman" w:hAnsi="Calibri" w:cs="Times New Roman"/>
                <w:color w:val="000000"/>
                <w:sz w:val="22"/>
                <w:szCs w:val="22"/>
              </w:rPr>
            </w:pPr>
            <w:r>
              <w:rPr>
                <w:rFonts w:ascii="Calibri" w:hAnsi="Calibri" w:cs="Calibri"/>
                <w:color w:val="000000"/>
                <w:sz w:val="22"/>
                <w:szCs w:val="22"/>
              </w:rPr>
              <w:t>3</w:t>
            </w:r>
          </w:p>
        </w:tc>
        <w:tc>
          <w:tcPr>
            <w:tcW w:w="1170" w:type="dxa"/>
            <w:tcBorders>
              <w:top w:val="nil"/>
              <w:left w:val="nil"/>
              <w:bottom w:val="single" w:sz="4" w:space="0" w:color="auto"/>
              <w:right w:val="single" w:sz="8" w:space="0" w:color="auto"/>
            </w:tcBorders>
            <w:shd w:val="clear" w:color="auto" w:fill="auto"/>
            <w:noWrap/>
            <w:hideMark/>
          </w:tcPr>
          <w:p w14:paraId="59BF34BD" w14:textId="77777777" w:rsidR="00A525AB" w:rsidRPr="00203E08" w:rsidRDefault="00A525AB" w:rsidP="00EE7BE4">
            <w:pPr>
              <w:jc w:val="center"/>
              <w:rPr>
                <w:rFonts w:ascii="Calibri" w:eastAsia="Times New Roman" w:hAnsi="Calibri" w:cs="Times New Roman"/>
                <w:color w:val="000000"/>
                <w:sz w:val="22"/>
                <w:szCs w:val="22"/>
              </w:rPr>
            </w:pPr>
            <w:r>
              <w:rPr>
                <w:rFonts w:ascii="Calibri" w:hAnsi="Calibri" w:cs="Calibri"/>
                <w:color w:val="000000"/>
                <w:sz w:val="22"/>
                <w:szCs w:val="22"/>
              </w:rPr>
              <w:t>0</w:t>
            </w:r>
          </w:p>
        </w:tc>
      </w:tr>
      <w:tr w:rsidR="00A525AB" w:rsidRPr="00203E08" w14:paraId="59BF34C5" w14:textId="77777777" w:rsidTr="00A525AB">
        <w:trPr>
          <w:trHeight w:val="315"/>
        </w:trPr>
        <w:tc>
          <w:tcPr>
            <w:tcW w:w="2510" w:type="dxa"/>
            <w:tcBorders>
              <w:top w:val="nil"/>
              <w:left w:val="single" w:sz="8" w:space="0" w:color="auto"/>
              <w:bottom w:val="single" w:sz="8" w:space="0" w:color="auto"/>
              <w:right w:val="nil"/>
            </w:tcBorders>
            <w:shd w:val="clear" w:color="auto" w:fill="auto"/>
            <w:noWrap/>
            <w:vAlign w:val="bottom"/>
            <w:hideMark/>
          </w:tcPr>
          <w:p w14:paraId="59BF34BF" w14:textId="77777777" w:rsidR="00A525AB" w:rsidRPr="00203E08" w:rsidRDefault="00A525AB" w:rsidP="00EE7BE4">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DCFC</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14:paraId="59BF34C0" w14:textId="77777777" w:rsidR="00A525AB" w:rsidRPr="00203E08" w:rsidRDefault="00A525AB" w:rsidP="00EE7BE4">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7</w:t>
            </w:r>
          </w:p>
        </w:tc>
        <w:tc>
          <w:tcPr>
            <w:tcW w:w="1260" w:type="dxa"/>
            <w:tcBorders>
              <w:top w:val="nil"/>
              <w:left w:val="nil"/>
              <w:bottom w:val="single" w:sz="8" w:space="0" w:color="auto"/>
              <w:right w:val="single" w:sz="4" w:space="0" w:color="auto"/>
            </w:tcBorders>
            <w:shd w:val="clear" w:color="auto" w:fill="auto"/>
            <w:noWrap/>
            <w:vAlign w:val="center"/>
            <w:hideMark/>
          </w:tcPr>
          <w:p w14:paraId="59BF34C1" w14:textId="77777777" w:rsidR="00A525AB" w:rsidRPr="00203E08" w:rsidRDefault="00CB1A21" w:rsidP="00EE7BE4">
            <w:pPr>
              <w:jc w:val="center"/>
              <w:rPr>
                <w:rFonts w:ascii="Calibri" w:eastAsia="Times New Roman" w:hAnsi="Calibri" w:cs="Times New Roman"/>
                <w:color w:val="000000"/>
                <w:sz w:val="22"/>
                <w:szCs w:val="22"/>
              </w:rPr>
            </w:pPr>
            <w:r>
              <w:rPr>
                <w:rFonts w:ascii="Calibri" w:hAnsi="Calibri" w:cs="Calibri"/>
                <w:color w:val="000000"/>
                <w:sz w:val="22"/>
                <w:szCs w:val="22"/>
              </w:rPr>
              <w:t>5</w:t>
            </w:r>
            <w:r w:rsidR="00A525AB">
              <w:rPr>
                <w:rFonts w:ascii="Calibri" w:hAnsi="Calibri" w:cs="Calibri"/>
                <w:color w:val="000000"/>
                <w:sz w:val="22"/>
                <w:szCs w:val="22"/>
              </w:rPr>
              <w:t>*</w:t>
            </w:r>
          </w:p>
        </w:tc>
        <w:tc>
          <w:tcPr>
            <w:tcW w:w="1170" w:type="dxa"/>
            <w:tcBorders>
              <w:top w:val="nil"/>
              <w:left w:val="nil"/>
              <w:bottom w:val="single" w:sz="8" w:space="0" w:color="auto"/>
              <w:right w:val="single" w:sz="4" w:space="0" w:color="auto"/>
            </w:tcBorders>
            <w:shd w:val="clear" w:color="auto" w:fill="auto"/>
            <w:noWrap/>
            <w:vAlign w:val="center"/>
            <w:hideMark/>
          </w:tcPr>
          <w:p w14:paraId="59BF34C2" w14:textId="77777777" w:rsidR="00A525AB" w:rsidRPr="00203E08" w:rsidRDefault="00677162" w:rsidP="00EE7BE4">
            <w:pPr>
              <w:jc w:val="center"/>
              <w:rPr>
                <w:rFonts w:ascii="Calibri" w:eastAsia="Times New Roman" w:hAnsi="Calibri" w:cs="Times New Roman"/>
                <w:color w:val="000000"/>
                <w:sz w:val="22"/>
                <w:szCs w:val="22"/>
              </w:rPr>
            </w:pPr>
            <w:r>
              <w:rPr>
                <w:rFonts w:ascii="Calibri" w:hAnsi="Calibri" w:cs="Calibri"/>
                <w:color w:val="000000"/>
                <w:sz w:val="22"/>
                <w:szCs w:val="22"/>
              </w:rPr>
              <w:t>1</w:t>
            </w:r>
            <w:r w:rsidR="00A525AB">
              <w:rPr>
                <w:rFonts w:ascii="Calibri" w:hAnsi="Calibri" w:cs="Calibri"/>
                <w:color w:val="000000"/>
                <w:sz w:val="22"/>
                <w:szCs w:val="22"/>
              </w:rPr>
              <w:t>**</w:t>
            </w:r>
          </w:p>
        </w:tc>
        <w:tc>
          <w:tcPr>
            <w:tcW w:w="1260" w:type="dxa"/>
            <w:tcBorders>
              <w:top w:val="nil"/>
              <w:left w:val="nil"/>
              <w:bottom w:val="single" w:sz="8" w:space="0" w:color="auto"/>
              <w:right w:val="single" w:sz="4" w:space="0" w:color="auto"/>
            </w:tcBorders>
            <w:shd w:val="clear" w:color="auto" w:fill="auto"/>
            <w:noWrap/>
            <w:vAlign w:val="bottom"/>
            <w:hideMark/>
          </w:tcPr>
          <w:p w14:paraId="59BF34C3" w14:textId="77777777" w:rsidR="00A525AB" w:rsidRPr="00203E08" w:rsidRDefault="006F56EF" w:rsidP="00EE7BE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70" w:type="dxa"/>
            <w:tcBorders>
              <w:top w:val="nil"/>
              <w:left w:val="nil"/>
              <w:bottom w:val="single" w:sz="8" w:space="0" w:color="auto"/>
              <w:right w:val="single" w:sz="8" w:space="0" w:color="auto"/>
            </w:tcBorders>
            <w:shd w:val="clear" w:color="auto" w:fill="auto"/>
            <w:noWrap/>
            <w:vAlign w:val="bottom"/>
            <w:hideMark/>
          </w:tcPr>
          <w:p w14:paraId="59BF34C4" w14:textId="77777777" w:rsidR="00A525AB" w:rsidRPr="00203E08" w:rsidRDefault="00A525AB" w:rsidP="00EE7BE4">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r>
    </w:tbl>
    <w:p w14:paraId="59BF34C6" w14:textId="77777777" w:rsidR="0095481F" w:rsidRDefault="0095481F" w:rsidP="00EE7BE4">
      <w:pPr>
        <w:jc w:val="both"/>
        <w:rPr>
          <w:rFonts w:ascii="Times New Roman" w:eastAsia="Calibri" w:hAnsi="Times New Roman" w:cs="Times New Roman"/>
        </w:rPr>
      </w:pPr>
      <w:r>
        <w:rPr>
          <w:rFonts w:ascii="Times New Roman" w:eastAsia="Calibri" w:hAnsi="Times New Roman" w:cs="Times New Roman"/>
        </w:rPr>
        <w:t>*</w:t>
      </w:r>
      <w:r w:rsidR="000B09DE">
        <w:rPr>
          <w:rFonts w:ascii="Times New Roman" w:eastAsia="Calibri" w:hAnsi="Times New Roman" w:cs="Times New Roman"/>
        </w:rPr>
        <w:t>S</w:t>
      </w:r>
      <w:r>
        <w:rPr>
          <w:rFonts w:ascii="Times New Roman" w:eastAsia="Calibri" w:hAnsi="Times New Roman" w:cs="Times New Roman"/>
        </w:rPr>
        <w:t>ites identified</w:t>
      </w:r>
    </w:p>
    <w:p w14:paraId="59BF34C7" w14:textId="77777777" w:rsidR="003A199A" w:rsidRDefault="003A199A" w:rsidP="00EE7BE4">
      <w:pPr>
        <w:jc w:val="both"/>
        <w:rPr>
          <w:rFonts w:ascii="Times New Roman" w:eastAsia="Calibri" w:hAnsi="Times New Roman" w:cs="Times New Roman"/>
        </w:rPr>
      </w:pPr>
      <w:r>
        <w:rPr>
          <w:rFonts w:ascii="Times New Roman" w:eastAsia="Calibri" w:hAnsi="Times New Roman" w:cs="Times New Roman"/>
        </w:rPr>
        <w:t>**</w:t>
      </w:r>
      <w:r w:rsidR="000B09DE">
        <w:rPr>
          <w:rFonts w:ascii="Times New Roman" w:eastAsia="Calibri" w:hAnsi="Times New Roman" w:cs="Times New Roman"/>
        </w:rPr>
        <w:t>S</w:t>
      </w:r>
      <w:r>
        <w:rPr>
          <w:rFonts w:ascii="Times New Roman" w:eastAsia="Calibri" w:hAnsi="Times New Roman" w:cs="Times New Roman"/>
        </w:rPr>
        <w:t>ites where site agreement has been signed to move ahead with construction</w:t>
      </w:r>
      <w:r w:rsidR="000B09DE">
        <w:rPr>
          <w:rFonts w:ascii="Times New Roman" w:eastAsia="Calibri" w:hAnsi="Times New Roman" w:cs="Times New Roman"/>
        </w:rPr>
        <w:t>.</w:t>
      </w:r>
    </w:p>
    <w:p w14:paraId="59BF34C8" w14:textId="77777777" w:rsidR="003A199A" w:rsidRDefault="003A199A" w:rsidP="00EE7BE4">
      <w:pPr>
        <w:jc w:val="both"/>
        <w:rPr>
          <w:rFonts w:ascii="Times New Roman" w:eastAsia="Calibri" w:hAnsi="Times New Roman" w:cs="Times New Roman"/>
        </w:rPr>
      </w:pPr>
    </w:p>
    <w:p w14:paraId="59BF34C9" w14:textId="77777777" w:rsidR="00DF2048" w:rsidRDefault="00A525AB" w:rsidP="00EE7BE4">
      <w:pPr>
        <w:spacing w:line="360" w:lineRule="auto"/>
        <w:jc w:val="both"/>
        <w:rPr>
          <w:rFonts w:ascii="Times New Roman" w:eastAsia="Calibri" w:hAnsi="Times New Roman" w:cs="Times New Roman"/>
        </w:rPr>
      </w:pPr>
      <w:r>
        <w:rPr>
          <w:rFonts w:ascii="Times New Roman" w:eastAsia="Calibri" w:hAnsi="Times New Roman" w:cs="Times New Roman"/>
        </w:rPr>
        <w:t>Since the last report, software updates from the EVSE manufacturer have resulted in much improved reliability of Wi-Fi communications and EVSE stabilization.</w:t>
      </w:r>
      <w:r w:rsidR="008101A1">
        <w:rPr>
          <w:rFonts w:ascii="Times New Roman" w:eastAsia="Calibri" w:hAnsi="Times New Roman" w:cs="Times New Roman"/>
        </w:rPr>
        <w:t xml:space="preserve">  However, some problems remain and are expected to continue</w:t>
      </w:r>
      <w:r w:rsidR="00A500D6">
        <w:rPr>
          <w:rFonts w:ascii="Times New Roman" w:eastAsia="Calibri" w:hAnsi="Times New Roman" w:cs="Times New Roman"/>
        </w:rPr>
        <w:t>.  F</w:t>
      </w:r>
      <w:r w:rsidR="008101A1">
        <w:rPr>
          <w:rFonts w:ascii="Times New Roman" w:eastAsia="Calibri" w:hAnsi="Times New Roman" w:cs="Times New Roman"/>
        </w:rPr>
        <w:t>or example</w:t>
      </w:r>
      <w:r w:rsidR="00A500D6">
        <w:rPr>
          <w:rFonts w:ascii="Times New Roman" w:eastAsia="Calibri" w:hAnsi="Times New Roman" w:cs="Times New Roman"/>
        </w:rPr>
        <w:t>,</w:t>
      </w:r>
      <w:r w:rsidR="008101A1">
        <w:rPr>
          <w:rFonts w:ascii="Times New Roman" w:eastAsia="Calibri" w:hAnsi="Times New Roman" w:cs="Times New Roman"/>
        </w:rPr>
        <w:t xml:space="preserve"> when customers change </w:t>
      </w:r>
      <w:r w:rsidR="00A12F1D">
        <w:rPr>
          <w:rFonts w:ascii="Times New Roman" w:eastAsia="Calibri" w:hAnsi="Times New Roman" w:cs="Times New Roman"/>
        </w:rPr>
        <w:t>Wi-Fi</w:t>
      </w:r>
      <w:r w:rsidR="008101A1">
        <w:rPr>
          <w:rFonts w:ascii="Times New Roman" w:eastAsia="Calibri" w:hAnsi="Times New Roman" w:cs="Times New Roman"/>
        </w:rPr>
        <w:t xml:space="preserve"> passwords or install a new router</w:t>
      </w:r>
      <w:r w:rsidR="00A500D6">
        <w:rPr>
          <w:rFonts w:ascii="Times New Roman" w:eastAsia="Calibri" w:hAnsi="Times New Roman" w:cs="Times New Roman"/>
        </w:rPr>
        <w:t xml:space="preserve"> it may result in communication issues</w:t>
      </w:r>
      <w:r w:rsidR="008101A1">
        <w:rPr>
          <w:rFonts w:ascii="Times New Roman" w:eastAsia="Calibri" w:hAnsi="Times New Roman" w:cs="Times New Roman"/>
        </w:rPr>
        <w:t xml:space="preserve">.  When this occurs, the EVSE typically </w:t>
      </w:r>
      <w:r w:rsidR="008101A1">
        <w:rPr>
          <w:rFonts w:ascii="Times New Roman" w:eastAsia="Calibri" w:hAnsi="Times New Roman" w:cs="Times New Roman"/>
        </w:rPr>
        <w:lastRenderedPageBreak/>
        <w:t xml:space="preserve">goes offline and the customer must be contacted to coordinate re-establishing communications with the </w:t>
      </w:r>
      <w:r w:rsidR="00A12F1D">
        <w:rPr>
          <w:rFonts w:ascii="Times New Roman" w:eastAsia="Calibri" w:hAnsi="Times New Roman" w:cs="Times New Roman"/>
        </w:rPr>
        <w:t>Wi-Fi</w:t>
      </w:r>
      <w:r w:rsidR="008101A1">
        <w:rPr>
          <w:rFonts w:ascii="Times New Roman" w:eastAsia="Calibri" w:hAnsi="Times New Roman" w:cs="Times New Roman"/>
        </w:rPr>
        <w:t xml:space="preserve"> network and the EVSE.</w:t>
      </w:r>
      <w:r w:rsidR="00B47A63">
        <w:rPr>
          <w:rFonts w:ascii="Times New Roman" w:eastAsia="Calibri" w:hAnsi="Times New Roman" w:cs="Times New Roman"/>
        </w:rPr>
        <w:t xml:space="preserve">  </w:t>
      </w:r>
    </w:p>
    <w:p w14:paraId="59BF34CA" w14:textId="77777777" w:rsidR="008101A1" w:rsidRDefault="008101A1" w:rsidP="00EE7BE4">
      <w:pPr>
        <w:spacing w:line="360" w:lineRule="auto"/>
        <w:jc w:val="both"/>
        <w:rPr>
          <w:rFonts w:ascii="Times New Roman" w:eastAsia="Calibri" w:hAnsi="Times New Roman" w:cs="Times New Roman"/>
        </w:rPr>
      </w:pPr>
    </w:p>
    <w:p w14:paraId="59BF34CB" w14:textId="77777777" w:rsidR="00804611" w:rsidRDefault="00804611"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The following chart shows the status of residential applications and installations </w:t>
      </w:r>
      <w:r w:rsidR="008101A1">
        <w:rPr>
          <w:rFonts w:ascii="Times New Roman" w:eastAsia="Calibri" w:hAnsi="Times New Roman" w:cs="Times New Roman"/>
        </w:rPr>
        <w:t>by categories of</w:t>
      </w:r>
      <w:r w:rsidR="000B09DE">
        <w:rPr>
          <w:rFonts w:ascii="Times New Roman" w:eastAsia="Calibri" w:hAnsi="Times New Roman" w:cs="Times New Roman"/>
        </w:rPr>
        <w:t xml:space="preserve"> Battery Electric Vehicle</w:t>
      </w:r>
      <w:r w:rsidR="00A500D6">
        <w:rPr>
          <w:rFonts w:ascii="Times New Roman" w:eastAsia="Calibri" w:hAnsi="Times New Roman" w:cs="Times New Roman"/>
        </w:rPr>
        <w:t xml:space="preserve"> (BEV)</w:t>
      </w:r>
      <w:r w:rsidR="000B09DE">
        <w:rPr>
          <w:rFonts w:ascii="Times New Roman" w:eastAsia="Calibri" w:hAnsi="Times New Roman" w:cs="Times New Roman"/>
        </w:rPr>
        <w:t xml:space="preserve"> Commuter, </w:t>
      </w:r>
      <w:r w:rsidR="00A500D6">
        <w:rPr>
          <w:rFonts w:ascii="Times New Roman" w:eastAsia="Calibri" w:hAnsi="Times New Roman" w:cs="Times New Roman"/>
        </w:rPr>
        <w:t>BEV</w:t>
      </w:r>
      <w:r w:rsidR="000B09DE">
        <w:rPr>
          <w:rFonts w:ascii="Times New Roman" w:eastAsia="Calibri" w:hAnsi="Times New Roman" w:cs="Times New Roman"/>
        </w:rPr>
        <w:t xml:space="preserve"> Non-Commuter, Plug-In Hybrid Electric</w:t>
      </w:r>
      <w:r w:rsidR="00A500D6">
        <w:rPr>
          <w:rFonts w:ascii="Times New Roman" w:eastAsia="Calibri" w:hAnsi="Times New Roman" w:cs="Times New Roman"/>
        </w:rPr>
        <w:t xml:space="preserve"> (PHEV)</w:t>
      </w:r>
      <w:r w:rsidR="000B09DE">
        <w:rPr>
          <w:rFonts w:ascii="Times New Roman" w:eastAsia="Calibri" w:hAnsi="Times New Roman" w:cs="Times New Roman"/>
        </w:rPr>
        <w:t xml:space="preserve"> Vehicle Commuter, and </w:t>
      </w:r>
      <w:r w:rsidR="00A500D6">
        <w:rPr>
          <w:rFonts w:ascii="Times New Roman" w:eastAsia="Calibri" w:hAnsi="Times New Roman" w:cs="Times New Roman"/>
        </w:rPr>
        <w:t>PHEV</w:t>
      </w:r>
      <w:r w:rsidR="000B09DE">
        <w:rPr>
          <w:rFonts w:ascii="Times New Roman" w:eastAsia="Calibri" w:hAnsi="Times New Roman" w:cs="Times New Roman"/>
        </w:rPr>
        <w:t xml:space="preserve"> Non-Commuter.</w:t>
      </w:r>
    </w:p>
    <w:p w14:paraId="59BF34CC" w14:textId="77777777" w:rsidR="00096701" w:rsidRDefault="00096701" w:rsidP="00EE7BE4">
      <w:pPr>
        <w:spacing w:line="360" w:lineRule="auto"/>
        <w:jc w:val="both"/>
        <w:rPr>
          <w:rFonts w:ascii="Times New Roman" w:eastAsia="Calibri" w:hAnsi="Times New Roman" w:cs="Times New Roman"/>
        </w:rPr>
      </w:pPr>
    </w:p>
    <w:p w14:paraId="59BF34CD" w14:textId="77777777" w:rsidR="00F93984" w:rsidRPr="00F93984" w:rsidRDefault="00F93984" w:rsidP="00EE7BE4">
      <w:pPr>
        <w:spacing w:line="360" w:lineRule="auto"/>
        <w:jc w:val="both"/>
        <w:rPr>
          <w:rFonts w:ascii="Times New Roman" w:eastAsia="Calibri" w:hAnsi="Times New Roman" w:cs="Times New Roman"/>
          <w:b/>
          <w:u w:val="single"/>
        </w:rPr>
      </w:pPr>
      <w:r w:rsidRPr="00F93984">
        <w:rPr>
          <w:rFonts w:ascii="Times New Roman" w:eastAsia="Calibri" w:hAnsi="Times New Roman" w:cs="Times New Roman"/>
          <w:b/>
          <w:u w:val="single"/>
        </w:rPr>
        <w:t>Chart No. 1:</w:t>
      </w:r>
    </w:p>
    <w:p w14:paraId="59BF34CE" w14:textId="77777777" w:rsidR="00804611" w:rsidRDefault="00494219" w:rsidP="00EE7BE4">
      <w:pPr>
        <w:spacing w:line="360" w:lineRule="auto"/>
        <w:jc w:val="center"/>
        <w:rPr>
          <w:rFonts w:ascii="Times New Roman" w:eastAsia="Calibri" w:hAnsi="Times New Roman" w:cs="Times New Roman"/>
        </w:rPr>
      </w:pPr>
      <w:r>
        <w:rPr>
          <w:rFonts w:ascii="Times New Roman" w:eastAsia="Calibri" w:hAnsi="Times New Roman" w:cs="Times New Roman"/>
          <w:noProof/>
        </w:rPr>
        <w:drawing>
          <wp:inline distT="0" distB="0" distL="0" distR="0" wp14:anchorId="59BF3592" wp14:editId="59BF3593">
            <wp:extent cx="5474677" cy="3208520"/>
            <wp:effectExtent l="19050" t="19050" r="1206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ow.JPG"/>
                    <pic:cNvPicPr/>
                  </pic:nvPicPr>
                  <pic:blipFill>
                    <a:blip r:embed="rId12">
                      <a:extLst>
                        <a:ext uri="{28A0092B-C50C-407E-A947-70E740481C1C}">
                          <a14:useLocalDpi xmlns:a14="http://schemas.microsoft.com/office/drawing/2010/main" val="0"/>
                        </a:ext>
                      </a:extLst>
                    </a:blip>
                    <a:stretch>
                      <a:fillRect/>
                    </a:stretch>
                  </pic:blipFill>
                  <pic:spPr>
                    <a:xfrm>
                      <a:off x="0" y="0"/>
                      <a:ext cx="5477978" cy="3210454"/>
                    </a:xfrm>
                    <a:prstGeom prst="rect">
                      <a:avLst/>
                    </a:prstGeom>
                    <a:ln>
                      <a:solidFill>
                        <a:schemeClr val="accent1"/>
                      </a:solidFill>
                    </a:ln>
                  </pic:spPr>
                </pic:pic>
              </a:graphicData>
            </a:graphic>
          </wp:inline>
        </w:drawing>
      </w:r>
    </w:p>
    <w:p w14:paraId="59BF34CF" w14:textId="77777777" w:rsidR="00A500D6" w:rsidRDefault="00A500D6" w:rsidP="00EE7BE4">
      <w:pPr>
        <w:spacing w:line="360" w:lineRule="auto"/>
        <w:jc w:val="both"/>
        <w:rPr>
          <w:rFonts w:ascii="Times New Roman" w:eastAsia="Calibri" w:hAnsi="Times New Roman" w:cs="Times New Roman"/>
        </w:rPr>
      </w:pPr>
    </w:p>
    <w:p w14:paraId="59BF34D0" w14:textId="77777777" w:rsidR="007110D8" w:rsidRDefault="007110D8" w:rsidP="00EE7BE4">
      <w:pPr>
        <w:spacing w:line="360" w:lineRule="auto"/>
        <w:jc w:val="both"/>
        <w:rPr>
          <w:rFonts w:ascii="Times New Roman" w:eastAsia="Calibri" w:hAnsi="Times New Roman" w:cs="Times New Roman"/>
        </w:rPr>
      </w:pPr>
      <w:r>
        <w:rPr>
          <w:rFonts w:ascii="Times New Roman" w:eastAsia="Calibri" w:hAnsi="Times New Roman" w:cs="Times New Roman"/>
        </w:rPr>
        <w:t>Reaching residential customers to achieve</w:t>
      </w:r>
      <w:r w:rsidR="00494219">
        <w:rPr>
          <w:rFonts w:ascii="Times New Roman" w:eastAsia="Calibri" w:hAnsi="Times New Roman" w:cs="Times New Roman"/>
        </w:rPr>
        <w:t xml:space="preserve"> </w:t>
      </w:r>
      <w:r>
        <w:rPr>
          <w:rFonts w:ascii="Times New Roman" w:eastAsia="Calibri" w:hAnsi="Times New Roman" w:cs="Times New Roman"/>
        </w:rPr>
        <w:t>greater</w:t>
      </w:r>
      <w:r w:rsidR="00494219">
        <w:rPr>
          <w:rFonts w:ascii="Times New Roman" w:eastAsia="Calibri" w:hAnsi="Times New Roman" w:cs="Times New Roman"/>
        </w:rPr>
        <w:t xml:space="preserve"> pro</w:t>
      </w:r>
      <w:r>
        <w:rPr>
          <w:rFonts w:ascii="Times New Roman" w:eastAsia="Calibri" w:hAnsi="Times New Roman" w:cs="Times New Roman"/>
        </w:rPr>
        <w:t>gram participation is becoming more difficult.  Efforts are underway to follow-up with existing customer leads that have not yet applied, as well as renewed attempts to work with auto dealerships to ensure new EV customers are aware of the program and given the opportunity to apply.</w:t>
      </w:r>
      <w:r w:rsidR="00EB4F08">
        <w:rPr>
          <w:rFonts w:ascii="Times New Roman" w:eastAsia="Calibri" w:hAnsi="Times New Roman" w:cs="Times New Roman"/>
        </w:rPr>
        <w:t xml:space="preserve">  Ideally, at least 20 </w:t>
      </w:r>
      <w:r w:rsidR="00A500D6">
        <w:rPr>
          <w:rFonts w:ascii="Times New Roman" w:eastAsia="Calibri" w:hAnsi="Times New Roman" w:cs="Times New Roman"/>
        </w:rPr>
        <w:t xml:space="preserve">customers </w:t>
      </w:r>
      <w:r w:rsidR="00EB4F08">
        <w:rPr>
          <w:rFonts w:ascii="Times New Roman" w:eastAsia="Calibri" w:hAnsi="Times New Roman" w:cs="Times New Roman"/>
        </w:rPr>
        <w:t xml:space="preserve">in each category </w:t>
      </w:r>
      <w:r w:rsidR="00A500D6">
        <w:rPr>
          <w:rFonts w:ascii="Times New Roman" w:eastAsia="Calibri" w:hAnsi="Times New Roman" w:cs="Times New Roman"/>
        </w:rPr>
        <w:t xml:space="preserve">described above </w:t>
      </w:r>
      <w:r w:rsidR="00EB4F08">
        <w:rPr>
          <w:rFonts w:ascii="Times New Roman" w:eastAsia="Calibri" w:hAnsi="Times New Roman" w:cs="Times New Roman"/>
        </w:rPr>
        <w:t xml:space="preserve">are </w:t>
      </w:r>
      <w:r w:rsidR="00A500D6">
        <w:rPr>
          <w:rFonts w:ascii="Times New Roman" w:eastAsia="Calibri" w:hAnsi="Times New Roman" w:cs="Times New Roman"/>
        </w:rPr>
        <w:t xml:space="preserve">needed </w:t>
      </w:r>
      <w:r w:rsidR="00ED1E14">
        <w:rPr>
          <w:rFonts w:ascii="Times New Roman" w:eastAsia="Calibri" w:hAnsi="Times New Roman" w:cs="Times New Roman"/>
        </w:rPr>
        <w:t>in order to obtain</w:t>
      </w:r>
      <w:r w:rsidR="00EB4F08">
        <w:rPr>
          <w:rFonts w:ascii="Times New Roman" w:eastAsia="Calibri" w:hAnsi="Times New Roman" w:cs="Times New Roman"/>
        </w:rPr>
        <w:t xml:space="preserve"> </w:t>
      </w:r>
      <w:r w:rsidR="00ED1E14">
        <w:rPr>
          <w:rFonts w:ascii="Times New Roman" w:eastAsia="Calibri" w:hAnsi="Times New Roman" w:cs="Times New Roman"/>
        </w:rPr>
        <w:t>desirable</w:t>
      </w:r>
      <w:r w:rsidR="00EB4F08">
        <w:rPr>
          <w:rFonts w:ascii="Times New Roman" w:eastAsia="Calibri" w:hAnsi="Times New Roman" w:cs="Times New Roman"/>
        </w:rPr>
        <w:t xml:space="preserve"> statistical sampling</w:t>
      </w:r>
      <w:r w:rsidR="00221113">
        <w:rPr>
          <w:rFonts w:ascii="Times New Roman" w:eastAsia="Calibri" w:hAnsi="Times New Roman" w:cs="Times New Roman"/>
        </w:rPr>
        <w:t xml:space="preserve"> that represents</w:t>
      </w:r>
      <w:r w:rsidR="00ED1E14">
        <w:rPr>
          <w:rFonts w:ascii="Times New Roman" w:eastAsia="Calibri" w:hAnsi="Times New Roman" w:cs="Times New Roman"/>
        </w:rPr>
        <w:t xml:space="preserve"> </w:t>
      </w:r>
      <w:r w:rsidR="00221113">
        <w:rPr>
          <w:rFonts w:ascii="Times New Roman" w:eastAsia="Calibri" w:hAnsi="Times New Roman" w:cs="Times New Roman"/>
        </w:rPr>
        <w:t xml:space="preserve">the breadth of </w:t>
      </w:r>
      <w:r w:rsidR="00ED1E14">
        <w:rPr>
          <w:rFonts w:ascii="Times New Roman" w:eastAsia="Calibri" w:hAnsi="Times New Roman" w:cs="Times New Roman"/>
        </w:rPr>
        <w:t xml:space="preserve">large </w:t>
      </w:r>
      <w:r w:rsidR="00221113">
        <w:rPr>
          <w:rFonts w:ascii="Times New Roman" w:eastAsia="Calibri" w:hAnsi="Times New Roman" w:cs="Times New Roman"/>
        </w:rPr>
        <w:t xml:space="preserve">driver </w:t>
      </w:r>
      <w:r w:rsidR="00ED1E14">
        <w:rPr>
          <w:rFonts w:ascii="Times New Roman" w:eastAsia="Calibri" w:hAnsi="Times New Roman" w:cs="Times New Roman"/>
        </w:rPr>
        <w:t>populations with minimal error</w:t>
      </w:r>
      <w:r w:rsidR="002A103E">
        <w:rPr>
          <w:rFonts w:ascii="Times New Roman" w:eastAsia="Calibri" w:hAnsi="Times New Roman" w:cs="Times New Roman"/>
        </w:rPr>
        <w:t>s</w:t>
      </w:r>
      <w:r w:rsidR="00EB4F08">
        <w:rPr>
          <w:rFonts w:ascii="Times New Roman" w:eastAsia="Calibri" w:hAnsi="Times New Roman" w:cs="Times New Roman"/>
        </w:rPr>
        <w:t xml:space="preserve">.  </w:t>
      </w:r>
      <w:r w:rsidR="002A103E">
        <w:rPr>
          <w:rFonts w:ascii="Times New Roman" w:eastAsia="Calibri" w:hAnsi="Times New Roman" w:cs="Times New Roman"/>
        </w:rPr>
        <w:t>We have achieved this</w:t>
      </w:r>
      <w:r w:rsidR="00EB4F08">
        <w:rPr>
          <w:rFonts w:ascii="Times New Roman" w:eastAsia="Calibri" w:hAnsi="Times New Roman" w:cs="Times New Roman"/>
        </w:rPr>
        <w:t xml:space="preserve"> in the BEV Commuter</w:t>
      </w:r>
      <w:r w:rsidR="002A103E">
        <w:rPr>
          <w:rFonts w:ascii="Times New Roman" w:eastAsia="Calibri" w:hAnsi="Times New Roman" w:cs="Times New Roman"/>
        </w:rPr>
        <w:t xml:space="preserve"> category and expect to reach this level in the PHEV Commuter category</w:t>
      </w:r>
      <w:r w:rsidR="00EB4F08">
        <w:rPr>
          <w:rFonts w:ascii="Times New Roman" w:eastAsia="Calibri" w:hAnsi="Times New Roman" w:cs="Times New Roman"/>
        </w:rPr>
        <w:t xml:space="preserve">, but </w:t>
      </w:r>
      <w:r w:rsidR="00221113">
        <w:rPr>
          <w:rFonts w:ascii="Times New Roman" w:eastAsia="Calibri" w:hAnsi="Times New Roman" w:cs="Times New Roman"/>
        </w:rPr>
        <w:t xml:space="preserve">may not </w:t>
      </w:r>
      <w:r w:rsidR="002A103E">
        <w:rPr>
          <w:rFonts w:ascii="Times New Roman" w:eastAsia="Calibri" w:hAnsi="Times New Roman" w:cs="Times New Roman"/>
        </w:rPr>
        <w:t xml:space="preserve">achieve </w:t>
      </w:r>
      <w:r w:rsidR="00A500D6">
        <w:rPr>
          <w:rFonts w:ascii="Times New Roman" w:eastAsia="Calibri" w:hAnsi="Times New Roman" w:cs="Times New Roman"/>
        </w:rPr>
        <w:t>the needed participation levels</w:t>
      </w:r>
      <w:r w:rsidR="00EB4F08">
        <w:rPr>
          <w:rFonts w:ascii="Times New Roman" w:eastAsia="Calibri" w:hAnsi="Times New Roman" w:cs="Times New Roman"/>
        </w:rPr>
        <w:t xml:space="preserve"> in </w:t>
      </w:r>
      <w:r w:rsidR="00221113">
        <w:rPr>
          <w:rFonts w:ascii="Times New Roman" w:eastAsia="Calibri" w:hAnsi="Times New Roman" w:cs="Times New Roman"/>
        </w:rPr>
        <w:t xml:space="preserve">the PHEV Non-commuter </w:t>
      </w:r>
      <w:r w:rsidR="00A500D6">
        <w:rPr>
          <w:rFonts w:ascii="Times New Roman" w:eastAsia="Calibri" w:hAnsi="Times New Roman" w:cs="Times New Roman"/>
        </w:rPr>
        <w:t>and</w:t>
      </w:r>
      <w:r w:rsidR="00221113">
        <w:rPr>
          <w:rFonts w:ascii="Times New Roman" w:eastAsia="Calibri" w:hAnsi="Times New Roman" w:cs="Times New Roman"/>
        </w:rPr>
        <w:t xml:space="preserve"> </w:t>
      </w:r>
      <w:r w:rsidR="00EB4F08">
        <w:rPr>
          <w:rFonts w:ascii="Times New Roman" w:eastAsia="Calibri" w:hAnsi="Times New Roman" w:cs="Times New Roman"/>
        </w:rPr>
        <w:t xml:space="preserve">BEV Non-Commuter </w:t>
      </w:r>
      <w:r w:rsidR="00A500D6">
        <w:rPr>
          <w:rFonts w:ascii="Times New Roman" w:eastAsia="Calibri" w:hAnsi="Times New Roman" w:cs="Times New Roman"/>
        </w:rPr>
        <w:t>categories</w:t>
      </w:r>
      <w:r w:rsidR="00EB4F08">
        <w:rPr>
          <w:rFonts w:ascii="Times New Roman" w:eastAsia="Calibri" w:hAnsi="Times New Roman" w:cs="Times New Roman"/>
        </w:rPr>
        <w:t xml:space="preserve">.  This </w:t>
      </w:r>
      <w:r w:rsidR="00ED1E14">
        <w:rPr>
          <w:rFonts w:ascii="Times New Roman" w:eastAsia="Calibri" w:hAnsi="Times New Roman" w:cs="Times New Roman"/>
        </w:rPr>
        <w:t>would</w:t>
      </w:r>
      <w:r w:rsidR="00EB4F08">
        <w:rPr>
          <w:rFonts w:ascii="Times New Roman" w:eastAsia="Calibri" w:hAnsi="Times New Roman" w:cs="Times New Roman"/>
        </w:rPr>
        <w:t xml:space="preserve"> i</w:t>
      </w:r>
      <w:r w:rsidR="00851FAF">
        <w:rPr>
          <w:rFonts w:ascii="Times New Roman" w:eastAsia="Calibri" w:hAnsi="Times New Roman" w:cs="Times New Roman"/>
        </w:rPr>
        <w:t xml:space="preserve">ncrease </w:t>
      </w:r>
      <w:r w:rsidR="00EB4F08">
        <w:rPr>
          <w:rFonts w:ascii="Times New Roman" w:eastAsia="Calibri" w:hAnsi="Times New Roman" w:cs="Times New Roman"/>
        </w:rPr>
        <w:t>statistical modeling erro</w:t>
      </w:r>
      <w:r w:rsidR="00ED1E14">
        <w:rPr>
          <w:rFonts w:ascii="Times New Roman" w:eastAsia="Calibri" w:hAnsi="Times New Roman" w:cs="Times New Roman"/>
        </w:rPr>
        <w:t xml:space="preserve">r for the portion of the population that </w:t>
      </w:r>
      <w:r w:rsidR="00ED1E14">
        <w:rPr>
          <w:rFonts w:ascii="Times New Roman" w:eastAsia="Calibri" w:hAnsi="Times New Roman" w:cs="Times New Roman"/>
        </w:rPr>
        <w:lastRenderedPageBreak/>
        <w:t xml:space="preserve">does not use their vehicle to commute to work, but should </w:t>
      </w:r>
      <w:r w:rsidR="00221113">
        <w:rPr>
          <w:rFonts w:ascii="Times New Roman" w:eastAsia="Calibri" w:hAnsi="Times New Roman" w:cs="Times New Roman"/>
        </w:rPr>
        <w:t>still allow for</w:t>
      </w:r>
      <w:r w:rsidR="00ED1E14">
        <w:rPr>
          <w:rFonts w:ascii="Times New Roman" w:eastAsia="Calibri" w:hAnsi="Times New Roman" w:cs="Times New Roman"/>
        </w:rPr>
        <w:t xml:space="preserve"> attainment of </w:t>
      </w:r>
      <w:r w:rsidR="00D36A17">
        <w:rPr>
          <w:rFonts w:ascii="Times New Roman" w:eastAsia="Calibri" w:hAnsi="Times New Roman" w:cs="Times New Roman"/>
        </w:rPr>
        <w:t xml:space="preserve">key insights and </w:t>
      </w:r>
      <w:r w:rsidR="00ED1E14">
        <w:rPr>
          <w:rFonts w:ascii="Times New Roman" w:eastAsia="Calibri" w:hAnsi="Times New Roman" w:cs="Times New Roman"/>
        </w:rPr>
        <w:t xml:space="preserve">the Pilot’s </w:t>
      </w:r>
      <w:r w:rsidR="00D36A17">
        <w:rPr>
          <w:rFonts w:ascii="Times New Roman" w:eastAsia="Calibri" w:hAnsi="Times New Roman" w:cs="Times New Roman"/>
        </w:rPr>
        <w:t xml:space="preserve">major </w:t>
      </w:r>
      <w:r w:rsidR="00ED1E14">
        <w:rPr>
          <w:rFonts w:ascii="Times New Roman" w:eastAsia="Calibri" w:hAnsi="Times New Roman" w:cs="Times New Roman"/>
        </w:rPr>
        <w:t xml:space="preserve">learning objectives. </w:t>
      </w:r>
    </w:p>
    <w:p w14:paraId="59BF34D1" w14:textId="77777777" w:rsidR="00EB35B2" w:rsidRDefault="00EB35B2" w:rsidP="00EE7BE4">
      <w:pPr>
        <w:spacing w:line="360" w:lineRule="auto"/>
        <w:jc w:val="center"/>
        <w:rPr>
          <w:rFonts w:ascii="Times New Roman" w:eastAsia="Calibri" w:hAnsi="Times New Roman" w:cs="Times New Roman"/>
        </w:rPr>
      </w:pPr>
    </w:p>
    <w:p w14:paraId="59BF34D2" w14:textId="77777777" w:rsidR="003A12C3" w:rsidRDefault="003A12C3"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The chart below shows the various </w:t>
      </w:r>
      <w:r w:rsidR="00CB1A21">
        <w:rPr>
          <w:rFonts w:ascii="Times New Roman" w:eastAsia="Calibri" w:hAnsi="Times New Roman" w:cs="Times New Roman"/>
        </w:rPr>
        <w:t xml:space="preserve">residential </w:t>
      </w:r>
      <w:r>
        <w:rPr>
          <w:rFonts w:ascii="Times New Roman" w:eastAsia="Calibri" w:hAnsi="Times New Roman" w:cs="Times New Roman"/>
        </w:rPr>
        <w:t xml:space="preserve">installation cost components by job, ranging from a total of </w:t>
      </w:r>
      <w:r w:rsidR="00A500D6">
        <w:rPr>
          <w:rFonts w:ascii="Times New Roman" w:eastAsia="Calibri" w:hAnsi="Times New Roman" w:cs="Times New Roman"/>
        </w:rPr>
        <w:t>$</w:t>
      </w:r>
      <w:r w:rsidR="00CB1A21">
        <w:rPr>
          <w:rFonts w:ascii="Times New Roman" w:eastAsia="Calibri" w:hAnsi="Times New Roman" w:cs="Times New Roman"/>
        </w:rPr>
        <w:t>45</w:t>
      </w:r>
      <w:r w:rsidR="00A500D6">
        <w:rPr>
          <w:rFonts w:ascii="Times New Roman" w:eastAsia="Calibri" w:hAnsi="Times New Roman" w:cs="Times New Roman"/>
        </w:rPr>
        <w:t xml:space="preserve">0 to </w:t>
      </w:r>
      <w:r>
        <w:rPr>
          <w:rFonts w:ascii="Times New Roman" w:eastAsia="Calibri" w:hAnsi="Times New Roman" w:cs="Times New Roman"/>
        </w:rPr>
        <w:t>$3,</w:t>
      </w:r>
      <w:r w:rsidR="00CB1A21">
        <w:rPr>
          <w:rFonts w:ascii="Times New Roman" w:eastAsia="Calibri" w:hAnsi="Times New Roman" w:cs="Times New Roman"/>
        </w:rPr>
        <w:t>7</w:t>
      </w:r>
      <w:r>
        <w:rPr>
          <w:rFonts w:ascii="Times New Roman" w:eastAsia="Calibri" w:hAnsi="Times New Roman" w:cs="Times New Roman"/>
        </w:rPr>
        <w:t xml:space="preserve">00.  </w:t>
      </w:r>
      <w:r w:rsidR="00CB1A21">
        <w:rPr>
          <w:rFonts w:ascii="Times New Roman" w:eastAsia="Calibri" w:hAnsi="Times New Roman" w:cs="Times New Roman"/>
        </w:rPr>
        <w:t>F</w:t>
      </w:r>
      <w:r>
        <w:rPr>
          <w:rFonts w:ascii="Times New Roman" w:eastAsia="Calibri" w:hAnsi="Times New Roman" w:cs="Times New Roman"/>
        </w:rPr>
        <w:t xml:space="preserve">ive </w:t>
      </w:r>
      <w:r w:rsidR="00CB1A21">
        <w:rPr>
          <w:rFonts w:ascii="Times New Roman" w:eastAsia="Calibri" w:hAnsi="Times New Roman" w:cs="Times New Roman"/>
        </w:rPr>
        <w:t xml:space="preserve">installations </w:t>
      </w:r>
      <w:r>
        <w:rPr>
          <w:rFonts w:ascii="Times New Roman" w:eastAsia="Calibri" w:hAnsi="Times New Roman" w:cs="Times New Roman"/>
        </w:rPr>
        <w:t>required supply panel upgr</w:t>
      </w:r>
      <w:r w:rsidR="00D95F08">
        <w:rPr>
          <w:rFonts w:ascii="Times New Roman" w:eastAsia="Calibri" w:hAnsi="Times New Roman" w:cs="Times New Roman"/>
        </w:rPr>
        <w:t xml:space="preserve">ades resulting in </w:t>
      </w:r>
      <w:r>
        <w:rPr>
          <w:rFonts w:ascii="Times New Roman" w:eastAsia="Calibri" w:hAnsi="Times New Roman" w:cs="Times New Roman"/>
        </w:rPr>
        <w:t>higher costs</w:t>
      </w:r>
      <w:r w:rsidR="00221113">
        <w:rPr>
          <w:rFonts w:ascii="Times New Roman" w:eastAsia="Calibri" w:hAnsi="Times New Roman" w:cs="Times New Roman"/>
        </w:rPr>
        <w:t xml:space="preserve"> that</w:t>
      </w:r>
      <w:r w:rsidR="00942F46">
        <w:rPr>
          <w:rFonts w:ascii="Times New Roman" w:eastAsia="Calibri" w:hAnsi="Times New Roman" w:cs="Times New Roman"/>
        </w:rPr>
        <w:t xml:space="preserve"> the customer was willing to bear</w:t>
      </w:r>
      <w:r>
        <w:rPr>
          <w:rFonts w:ascii="Times New Roman" w:eastAsia="Calibri" w:hAnsi="Times New Roman" w:cs="Times New Roman"/>
        </w:rPr>
        <w:t xml:space="preserve">.  </w:t>
      </w:r>
      <w:r w:rsidR="00942F46">
        <w:rPr>
          <w:rFonts w:ascii="Times New Roman" w:eastAsia="Calibri" w:hAnsi="Times New Roman" w:cs="Times New Roman"/>
        </w:rPr>
        <w:t xml:space="preserve">Not all customers are willing to bear </w:t>
      </w:r>
      <w:r w:rsidR="00D95F08">
        <w:rPr>
          <w:rFonts w:ascii="Times New Roman" w:eastAsia="Calibri" w:hAnsi="Times New Roman" w:cs="Times New Roman"/>
        </w:rPr>
        <w:t xml:space="preserve">this additional cost, </w:t>
      </w:r>
      <w:r w:rsidR="00CB1A21">
        <w:rPr>
          <w:rFonts w:ascii="Times New Roman" w:eastAsia="Calibri" w:hAnsi="Times New Roman" w:cs="Times New Roman"/>
        </w:rPr>
        <w:t xml:space="preserve">however, </w:t>
      </w:r>
      <w:r w:rsidR="00D95F08">
        <w:rPr>
          <w:rFonts w:ascii="Times New Roman" w:eastAsia="Calibri" w:hAnsi="Times New Roman" w:cs="Times New Roman"/>
        </w:rPr>
        <w:t>as similar high installation costs were the</w:t>
      </w:r>
      <w:r>
        <w:rPr>
          <w:rFonts w:ascii="Times New Roman" w:eastAsia="Calibri" w:hAnsi="Times New Roman" w:cs="Times New Roman"/>
        </w:rPr>
        <w:t xml:space="preserve"> primary reason for </w:t>
      </w:r>
      <w:r w:rsidR="00D95F08">
        <w:rPr>
          <w:rFonts w:ascii="Times New Roman" w:eastAsia="Calibri" w:hAnsi="Times New Roman" w:cs="Times New Roman"/>
        </w:rPr>
        <w:t>four of the</w:t>
      </w:r>
      <w:r w:rsidR="00942F46">
        <w:rPr>
          <w:rFonts w:ascii="Times New Roman" w:eastAsia="Calibri" w:hAnsi="Times New Roman" w:cs="Times New Roman"/>
        </w:rPr>
        <w:t xml:space="preserve"> </w:t>
      </w:r>
      <w:r w:rsidR="00D95F08">
        <w:rPr>
          <w:rFonts w:ascii="Times New Roman" w:eastAsia="Calibri" w:hAnsi="Times New Roman" w:cs="Times New Roman"/>
        </w:rPr>
        <w:t xml:space="preserve">14 </w:t>
      </w:r>
      <w:r w:rsidR="00942F46">
        <w:rPr>
          <w:rFonts w:ascii="Times New Roman" w:eastAsia="Calibri" w:hAnsi="Times New Roman" w:cs="Times New Roman"/>
        </w:rPr>
        <w:t xml:space="preserve">residential </w:t>
      </w:r>
      <w:r>
        <w:rPr>
          <w:rFonts w:ascii="Times New Roman" w:eastAsia="Calibri" w:hAnsi="Times New Roman" w:cs="Times New Roman"/>
        </w:rPr>
        <w:t>withdrawals experienced thus far.</w:t>
      </w:r>
    </w:p>
    <w:p w14:paraId="59BF34D3" w14:textId="77777777" w:rsidR="0056429C" w:rsidRDefault="0056429C" w:rsidP="00EE7BE4">
      <w:pPr>
        <w:spacing w:line="360" w:lineRule="auto"/>
        <w:rPr>
          <w:rFonts w:ascii="Times New Roman" w:eastAsia="Calibri" w:hAnsi="Times New Roman" w:cs="Times New Roman"/>
        </w:rPr>
      </w:pPr>
    </w:p>
    <w:p w14:paraId="59BF34D4" w14:textId="77777777" w:rsidR="00F93984" w:rsidRPr="00F93984" w:rsidRDefault="00F93984" w:rsidP="00EE7BE4">
      <w:pPr>
        <w:spacing w:line="360" w:lineRule="auto"/>
        <w:rPr>
          <w:rFonts w:ascii="Times New Roman" w:eastAsia="Calibri" w:hAnsi="Times New Roman" w:cs="Times New Roman"/>
          <w:b/>
          <w:u w:val="single"/>
        </w:rPr>
      </w:pPr>
      <w:r w:rsidRPr="00F93984">
        <w:rPr>
          <w:rFonts w:ascii="Times New Roman" w:eastAsia="Calibri" w:hAnsi="Times New Roman" w:cs="Times New Roman"/>
          <w:b/>
          <w:u w:val="single"/>
        </w:rPr>
        <w:t>Chart No. 2:</w:t>
      </w:r>
    </w:p>
    <w:p w14:paraId="59BF34D5" w14:textId="77777777" w:rsidR="00D36A17" w:rsidRDefault="00D36A17" w:rsidP="00EE7BE4">
      <w:pPr>
        <w:spacing w:line="360" w:lineRule="auto"/>
        <w:jc w:val="center"/>
        <w:rPr>
          <w:rFonts w:ascii="Times New Roman" w:eastAsia="Calibri" w:hAnsi="Times New Roman" w:cs="Times New Roman"/>
        </w:rPr>
      </w:pPr>
      <w:r>
        <w:rPr>
          <w:rFonts w:ascii="Times New Roman" w:eastAsia="Calibri" w:hAnsi="Times New Roman" w:cs="Times New Roman"/>
          <w:noProof/>
        </w:rPr>
        <w:drawing>
          <wp:inline distT="0" distB="0" distL="0" distR="0" wp14:anchorId="59BF3594" wp14:editId="59BF3595">
            <wp:extent cx="5533293" cy="3922372"/>
            <wp:effectExtent l="19050" t="19050" r="1079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ow.JPG"/>
                    <pic:cNvPicPr/>
                  </pic:nvPicPr>
                  <pic:blipFill>
                    <a:blip r:embed="rId13">
                      <a:extLst>
                        <a:ext uri="{28A0092B-C50C-407E-A947-70E740481C1C}">
                          <a14:useLocalDpi xmlns:a14="http://schemas.microsoft.com/office/drawing/2010/main" val="0"/>
                        </a:ext>
                      </a:extLst>
                    </a:blip>
                    <a:stretch>
                      <a:fillRect/>
                    </a:stretch>
                  </pic:blipFill>
                  <pic:spPr>
                    <a:xfrm>
                      <a:off x="0" y="0"/>
                      <a:ext cx="5546875" cy="3932000"/>
                    </a:xfrm>
                    <a:prstGeom prst="rect">
                      <a:avLst/>
                    </a:prstGeom>
                    <a:ln>
                      <a:solidFill>
                        <a:schemeClr val="accent1"/>
                      </a:solidFill>
                    </a:ln>
                  </pic:spPr>
                </pic:pic>
              </a:graphicData>
            </a:graphic>
          </wp:inline>
        </w:drawing>
      </w:r>
    </w:p>
    <w:p w14:paraId="59BF34D6" w14:textId="77777777" w:rsidR="00793793" w:rsidRDefault="00793793" w:rsidP="00EE7BE4">
      <w:pPr>
        <w:spacing w:line="360" w:lineRule="auto"/>
        <w:jc w:val="center"/>
        <w:rPr>
          <w:noProof/>
        </w:rPr>
      </w:pPr>
    </w:p>
    <w:p w14:paraId="59BF34D7" w14:textId="77777777" w:rsidR="00B47A63" w:rsidRDefault="00B47A63"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Residential cost breakdowns continue to meet expectations as shown by the average costs in the table below, with EVSE installed in 56 customer homes thus far.   </w:t>
      </w:r>
    </w:p>
    <w:p w14:paraId="59BF34D8" w14:textId="77777777" w:rsidR="00B47A63" w:rsidRDefault="00B47A63" w:rsidP="00EE7BE4">
      <w:pPr>
        <w:spacing w:line="360" w:lineRule="auto"/>
        <w:jc w:val="both"/>
        <w:rPr>
          <w:rFonts w:ascii="Times New Roman" w:eastAsia="Calibri" w:hAnsi="Times New Roman" w:cs="Times New Roman"/>
        </w:rPr>
      </w:pPr>
    </w:p>
    <w:p w14:paraId="59BF34D9" w14:textId="77777777" w:rsidR="00096701" w:rsidRDefault="00096701" w:rsidP="00EE7BE4">
      <w:pPr>
        <w:rPr>
          <w:rFonts w:ascii="Times New Roman" w:eastAsia="Calibri" w:hAnsi="Times New Roman" w:cs="Times New Roman"/>
          <w:b/>
          <w:u w:val="single"/>
        </w:rPr>
      </w:pPr>
    </w:p>
    <w:p w14:paraId="59BF34DA" w14:textId="77777777" w:rsidR="00F93984" w:rsidRPr="00F93984" w:rsidRDefault="00F93984" w:rsidP="00EE7BE4">
      <w:pPr>
        <w:spacing w:line="360" w:lineRule="auto"/>
        <w:jc w:val="both"/>
        <w:rPr>
          <w:rFonts w:ascii="Times New Roman" w:eastAsia="Calibri" w:hAnsi="Times New Roman" w:cs="Times New Roman"/>
          <w:b/>
          <w:u w:val="single"/>
        </w:rPr>
      </w:pPr>
      <w:r w:rsidRPr="00F93984">
        <w:rPr>
          <w:rFonts w:ascii="Times New Roman" w:eastAsia="Calibri" w:hAnsi="Times New Roman" w:cs="Times New Roman"/>
          <w:b/>
          <w:u w:val="single"/>
        </w:rPr>
        <w:lastRenderedPageBreak/>
        <w:t>Table No. 3:</w:t>
      </w:r>
    </w:p>
    <w:tbl>
      <w:tblPr>
        <w:tblStyle w:val="TableGrid"/>
        <w:tblW w:w="0" w:type="auto"/>
        <w:tblLook w:val="04A0" w:firstRow="1" w:lastRow="0" w:firstColumn="1" w:lastColumn="0" w:noHBand="0" w:noVBand="1"/>
      </w:tblPr>
      <w:tblGrid>
        <w:gridCol w:w="1682"/>
        <w:gridCol w:w="1541"/>
        <w:gridCol w:w="1524"/>
        <w:gridCol w:w="1541"/>
        <w:gridCol w:w="1520"/>
        <w:gridCol w:w="1542"/>
      </w:tblGrid>
      <w:tr w:rsidR="00B47A63" w14:paraId="59BF34E4" w14:textId="77777777" w:rsidTr="002243F0">
        <w:tc>
          <w:tcPr>
            <w:tcW w:w="1558" w:type="dxa"/>
          </w:tcPr>
          <w:p w14:paraId="59BF34DB"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Premises Wiring Reimbursement</w:t>
            </w:r>
          </w:p>
        </w:tc>
        <w:tc>
          <w:tcPr>
            <w:tcW w:w="1558" w:type="dxa"/>
          </w:tcPr>
          <w:p w14:paraId="59BF34DC" w14:textId="77777777" w:rsidR="00B47A63" w:rsidRDefault="00B47A63" w:rsidP="00EE7BE4">
            <w:pPr>
              <w:jc w:val="center"/>
              <w:rPr>
                <w:rFonts w:asciiTheme="majorHAnsi" w:eastAsia="Calibri" w:hAnsiTheme="majorHAnsi" w:cs="Times New Roman"/>
                <w:b/>
                <w:sz w:val="22"/>
                <w:szCs w:val="22"/>
              </w:rPr>
            </w:pPr>
          </w:p>
          <w:p w14:paraId="59BF34DD"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Customer’s Cost</w:t>
            </w:r>
          </w:p>
        </w:tc>
        <w:tc>
          <w:tcPr>
            <w:tcW w:w="1558" w:type="dxa"/>
          </w:tcPr>
          <w:p w14:paraId="59BF34DE" w14:textId="77777777" w:rsidR="00B47A63" w:rsidRDefault="00B47A63" w:rsidP="00EE7BE4">
            <w:pPr>
              <w:jc w:val="center"/>
              <w:rPr>
                <w:rFonts w:asciiTheme="majorHAnsi" w:eastAsia="Calibri" w:hAnsiTheme="majorHAnsi" w:cs="Times New Roman"/>
                <w:b/>
                <w:sz w:val="22"/>
                <w:szCs w:val="22"/>
              </w:rPr>
            </w:pPr>
          </w:p>
          <w:p w14:paraId="59BF34DF"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Avista’s Cost</w:t>
            </w:r>
          </w:p>
        </w:tc>
        <w:tc>
          <w:tcPr>
            <w:tcW w:w="1558" w:type="dxa"/>
          </w:tcPr>
          <w:p w14:paraId="59BF34E0"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Total Installation Cost</w:t>
            </w:r>
          </w:p>
        </w:tc>
        <w:tc>
          <w:tcPr>
            <w:tcW w:w="1559" w:type="dxa"/>
          </w:tcPr>
          <w:p w14:paraId="59BF34E1" w14:textId="77777777" w:rsidR="00B47A63" w:rsidRDefault="00B47A63" w:rsidP="00EE7BE4">
            <w:pPr>
              <w:jc w:val="center"/>
              <w:rPr>
                <w:rFonts w:asciiTheme="majorHAnsi" w:eastAsia="Calibri" w:hAnsiTheme="majorHAnsi" w:cs="Times New Roman"/>
                <w:b/>
                <w:sz w:val="22"/>
                <w:szCs w:val="22"/>
              </w:rPr>
            </w:pPr>
          </w:p>
          <w:p w14:paraId="59BF34E2"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EVSE Cost</w:t>
            </w:r>
          </w:p>
        </w:tc>
        <w:tc>
          <w:tcPr>
            <w:tcW w:w="1559" w:type="dxa"/>
          </w:tcPr>
          <w:p w14:paraId="59BF34E3" w14:textId="77777777" w:rsidR="00B47A63" w:rsidRPr="002A103E" w:rsidRDefault="00B47A63" w:rsidP="00EE7BE4">
            <w:pPr>
              <w:jc w:val="center"/>
              <w:rPr>
                <w:rFonts w:asciiTheme="majorHAnsi" w:eastAsia="Calibri" w:hAnsiTheme="majorHAnsi" w:cs="Times New Roman"/>
                <w:b/>
                <w:sz w:val="22"/>
                <w:szCs w:val="22"/>
              </w:rPr>
            </w:pPr>
            <w:r w:rsidRPr="002A103E">
              <w:rPr>
                <w:rFonts w:asciiTheme="majorHAnsi" w:eastAsia="Calibri" w:hAnsiTheme="majorHAnsi" w:cs="Times New Roman"/>
                <w:b/>
                <w:sz w:val="22"/>
                <w:szCs w:val="22"/>
              </w:rPr>
              <w:t>Total Cost</w:t>
            </w:r>
            <w:r>
              <w:rPr>
                <w:rFonts w:asciiTheme="majorHAnsi" w:eastAsia="Calibri" w:hAnsiTheme="majorHAnsi" w:cs="Times New Roman"/>
                <w:b/>
                <w:sz w:val="22"/>
                <w:szCs w:val="22"/>
              </w:rPr>
              <w:t>s</w:t>
            </w:r>
            <w:r w:rsidRPr="002A103E">
              <w:rPr>
                <w:rFonts w:asciiTheme="majorHAnsi" w:eastAsia="Calibri" w:hAnsiTheme="majorHAnsi" w:cs="Times New Roman"/>
                <w:b/>
                <w:sz w:val="22"/>
                <w:szCs w:val="22"/>
              </w:rPr>
              <w:t xml:space="preserve"> Installation + EVSE</w:t>
            </w:r>
          </w:p>
        </w:tc>
      </w:tr>
      <w:tr w:rsidR="00B47A63" w14:paraId="59BF34EB" w14:textId="77777777" w:rsidTr="002243F0">
        <w:tc>
          <w:tcPr>
            <w:tcW w:w="1558" w:type="dxa"/>
          </w:tcPr>
          <w:p w14:paraId="59BF34E5" w14:textId="77777777" w:rsidR="00B47A63" w:rsidRPr="00696D4E" w:rsidRDefault="00B47A63" w:rsidP="00EE7BE4">
            <w:pPr>
              <w:spacing w:before="120" w:line="360" w:lineRule="auto"/>
              <w:jc w:val="center"/>
              <w:rPr>
                <w:rFonts w:asciiTheme="majorHAnsi" w:eastAsia="Calibri" w:hAnsiTheme="majorHAnsi" w:cs="Times New Roman"/>
                <w:sz w:val="22"/>
                <w:szCs w:val="22"/>
              </w:rPr>
            </w:pPr>
            <w:r w:rsidRPr="00696D4E">
              <w:rPr>
                <w:rFonts w:asciiTheme="majorHAnsi" w:eastAsia="Calibri" w:hAnsiTheme="majorHAnsi" w:cs="Times New Roman"/>
                <w:sz w:val="22"/>
                <w:szCs w:val="22"/>
              </w:rPr>
              <w:t>$670</w:t>
            </w:r>
          </w:p>
        </w:tc>
        <w:tc>
          <w:tcPr>
            <w:tcW w:w="1558" w:type="dxa"/>
          </w:tcPr>
          <w:p w14:paraId="59BF34E6" w14:textId="77777777" w:rsidR="00B47A63" w:rsidRPr="00696D4E" w:rsidRDefault="00B47A63" w:rsidP="00EE7BE4">
            <w:pPr>
              <w:spacing w:before="120" w:line="360" w:lineRule="auto"/>
              <w:jc w:val="center"/>
              <w:rPr>
                <w:rFonts w:asciiTheme="majorHAnsi" w:eastAsia="Calibri" w:hAnsiTheme="majorHAnsi" w:cs="Times New Roman"/>
                <w:sz w:val="22"/>
                <w:szCs w:val="22"/>
              </w:rPr>
            </w:pPr>
            <w:r w:rsidRPr="00696D4E">
              <w:rPr>
                <w:rFonts w:asciiTheme="majorHAnsi" w:eastAsia="Calibri" w:hAnsiTheme="majorHAnsi" w:cs="Times New Roman"/>
                <w:sz w:val="22"/>
                <w:szCs w:val="22"/>
              </w:rPr>
              <w:t>$324</w:t>
            </w:r>
          </w:p>
        </w:tc>
        <w:tc>
          <w:tcPr>
            <w:tcW w:w="1558" w:type="dxa"/>
          </w:tcPr>
          <w:p w14:paraId="59BF34E7" w14:textId="77777777" w:rsidR="00B47A63" w:rsidRPr="00696D4E" w:rsidRDefault="00B47A63" w:rsidP="00EE7BE4">
            <w:pPr>
              <w:spacing w:before="120" w:line="360" w:lineRule="auto"/>
              <w:jc w:val="center"/>
              <w:rPr>
                <w:rFonts w:asciiTheme="majorHAnsi" w:eastAsia="Calibri" w:hAnsiTheme="majorHAnsi" w:cs="Times New Roman"/>
                <w:sz w:val="22"/>
                <w:szCs w:val="22"/>
              </w:rPr>
            </w:pPr>
            <w:r w:rsidRPr="00696D4E">
              <w:rPr>
                <w:rFonts w:asciiTheme="majorHAnsi" w:eastAsia="Calibri" w:hAnsiTheme="majorHAnsi" w:cs="Times New Roman"/>
                <w:sz w:val="22"/>
                <w:szCs w:val="22"/>
              </w:rPr>
              <w:t>$397</w:t>
            </w:r>
          </w:p>
        </w:tc>
        <w:tc>
          <w:tcPr>
            <w:tcW w:w="1558" w:type="dxa"/>
          </w:tcPr>
          <w:p w14:paraId="59BF34E8" w14:textId="77777777" w:rsidR="00B47A63" w:rsidRPr="00696D4E" w:rsidRDefault="00B47A63" w:rsidP="00EE7BE4">
            <w:pPr>
              <w:spacing w:before="120" w:line="360" w:lineRule="auto"/>
              <w:jc w:val="center"/>
              <w:rPr>
                <w:rFonts w:asciiTheme="majorHAnsi" w:eastAsia="Calibri" w:hAnsiTheme="majorHAnsi" w:cs="Times New Roman"/>
                <w:sz w:val="22"/>
                <w:szCs w:val="22"/>
              </w:rPr>
            </w:pPr>
            <w:r w:rsidRPr="00696D4E">
              <w:rPr>
                <w:rFonts w:asciiTheme="majorHAnsi" w:eastAsia="Calibri" w:hAnsiTheme="majorHAnsi" w:cs="Times New Roman"/>
                <w:sz w:val="22"/>
                <w:szCs w:val="22"/>
              </w:rPr>
              <w:t>$1,392</w:t>
            </w:r>
          </w:p>
        </w:tc>
        <w:tc>
          <w:tcPr>
            <w:tcW w:w="1559" w:type="dxa"/>
          </w:tcPr>
          <w:p w14:paraId="59BF34E9" w14:textId="77777777" w:rsidR="00B47A63" w:rsidRPr="00696D4E" w:rsidRDefault="00B47A63" w:rsidP="00EE7BE4">
            <w:pPr>
              <w:spacing w:before="120" w:line="360" w:lineRule="auto"/>
              <w:jc w:val="center"/>
              <w:rPr>
                <w:rFonts w:asciiTheme="majorHAnsi" w:eastAsia="Calibri" w:hAnsiTheme="majorHAnsi" w:cs="Times New Roman"/>
                <w:sz w:val="22"/>
                <w:szCs w:val="22"/>
              </w:rPr>
            </w:pPr>
            <w:r w:rsidRPr="00696D4E">
              <w:rPr>
                <w:rFonts w:asciiTheme="majorHAnsi" w:eastAsia="Calibri" w:hAnsiTheme="majorHAnsi" w:cs="Times New Roman"/>
                <w:sz w:val="22"/>
                <w:szCs w:val="22"/>
              </w:rPr>
              <w:t>$1,066</w:t>
            </w:r>
          </w:p>
        </w:tc>
        <w:tc>
          <w:tcPr>
            <w:tcW w:w="1559" w:type="dxa"/>
          </w:tcPr>
          <w:p w14:paraId="59BF34EA" w14:textId="77777777" w:rsidR="00B47A63" w:rsidRPr="00696D4E" w:rsidRDefault="00B47A63" w:rsidP="00EE7BE4">
            <w:pPr>
              <w:spacing w:before="120" w:line="360" w:lineRule="auto"/>
              <w:jc w:val="center"/>
              <w:rPr>
                <w:rFonts w:asciiTheme="majorHAnsi" w:eastAsia="Calibri" w:hAnsiTheme="majorHAnsi" w:cs="Times New Roman"/>
                <w:sz w:val="22"/>
                <w:szCs w:val="22"/>
              </w:rPr>
            </w:pPr>
            <w:r w:rsidRPr="00696D4E">
              <w:rPr>
                <w:rFonts w:asciiTheme="majorHAnsi" w:eastAsia="Calibri" w:hAnsiTheme="majorHAnsi" w:cs="Times New Roman"/>
                <w:sz w:val="22"/>
                <w:szCs w:val="22"/>
              </w:rPr>
              <w:t>$2,458</w:t>
            </w:r>
          </w:p>
        </w:tc>
      </w:tr>
    </w:tbl>
    <w:p w14:paraId="59BF34EC" w14:textId="77777777" w:rsidR="00B47A63" w:rsidRDefault="00B47A63" w:rsidP="00EE7BE4">
      <w:pPr>
        <w:spacing w:line="360" w:lineRule="auto"/>
        <w:jc w:val="center"/>
        <w:rPr>
          <w:rFonts w:ascii="Times New Roman" w:eastAsia="Calibri" w:hAnsi="Times New Roman" w:cs="Times New Roman"/>
        </w:rPr>
      </w:pPr>
    </w:p>
    <w:p w14:paraId="59BF34ED" w14:textId="77777777" w:rsidR="007110D8" w:rsidRDefault="00942F46" w:rsidP="00EE7BE4">
      <w:pPr>
        <w:rPr>
          <w:rFonts w:ascii="Times New Roman" w:eastAsia="Calibri" w:hAnsi="Times New Roman" w:cs="Times New Roman"/>
        </w:rPr>
      </w:pPr>
      <w:r>
        <w:rPr>
          <w:rFonts w:ascii="Times New Roman" w:eastAsia="Calibri" w:hAnsi="Times New Roman" w:cs="Times New Roman"/>
        </w:rPr>
        <w:t>Post-installation</w:t>
      </w:r>
      <w:r w:rsidR="007110D8">
        <w:rPr>
          <w:rFonts w:ascii="Times New Roman" w:eastAsia="Calibri" w:hAnsi="Times New Roman" w:cs="Times New Roman"/>
        </w:rPr>
        <w:t xml:space="preserve"> surveys have indicated high customer sati</w:t>
      </w:r>
      <w:r w:rsidR="003A12C3">
        <w:rPr>
          <w:rFonts w:ascii="Times New Roman" w:eastAsia="Calibri" w:hAnsi="Times New Roman" w:cs="Times New Roman"/>
        </w:rPr>
        <w:t>sfaction, as shown by the chart</w:t>
      </w:r>
      <w:r w:rsidR="007110D8">
        <w:rPr>
          <w:rFonts w:ascii="Times New Roman" w:eastAsia="Calibri" w:hAnsi="Times New Roman" w:cs="Times New Roman"/>
        </w:rPr>
        <w:t xml:space="preserve"> below.</w:t>
      </w:r>
    </w:p>
    <w:p w14:paraId="59BF34EE" w14:textId="77777777" w:rsidR="00F93984" w:rsidRDefault="00F93984" w:rsidP="00EE7BE4">
      <w:pPr>
        <w:spacing w:line="360" w:lineRule="auto"/>
        <w:rPr>
          <w:rFonts w:ascii="Times New Roman" w:eastAsia="Calibri" w:hAnsi="Times New Roman" w:cs="Times New Roman"/>
          <w:b/>
          <w:u w:val="single"/>
        </w:rPr>
      </w:pPr>
    </w:p>
    <w:p w14:paraId="59BF34EF" w14:textId="77777777" w:rsidR="00F93984" w:rsidRPr="00F93984" w:rsidRDefault="00F93984" w:rsidP="00EE7BE4">
      <w:pPr>
        <w:spacing w:line="360" w:lineRule="auto"/>
        <w:rPr>
          <w:rFonts w:ascii="Times New Roman" w:eastAsia="Calibri" w:hAnsi="Times New Roman" w:cs="Times New Roman"/>
          <w:b/>
          <w:u w:val="single"/>
        </w:rPr>
      </w:pPr>
      <w:r w:rsidRPr="00F93984">
        <w:rPr>
          <w:rFonts w:ascii="Times New Roman" w:eastAsia="Calibri" w:hAnsi="Times New Roman" w:cs="Times New Roman"/>
          <w:b/>
          <w:u w:val="single"/>
        </w:rPr>
        <w:t>Chart No. 3:</w:t>
      </w:r>
    </w:p>
    <w:p w14:paraId="59BF34F0" w14:textId="77777777" w:rsidR="00EB35B2" w:rsidRDefault="00D95F08" w:rsidP="00EE7BE4">
      <w:pPr>
        <w:spacing w:line="360" w:lineRule="auto"/>
        <w:jc w:val="center"/>
        <w:rPr>
          <w:rFonts w:ascii="Times New Roman" w:eastAsia="Calibri" w:hAnsi="Times New Roman" w:cs="Times New Roman"/>
        </w:rPr>
      </w:pPr>
      <w:r>
        <w:rPr>
          <w:rFonts w:ascii="Times New Roman" w:eastAsia="Calibri" w:hAnsi="Times New Roman" w:cs="Times New Roman"/>
          <w:noProof/>
        </w:rPr>
        <w:drawing>
          <wp:inline distT="0" distB="0" distL="0" distR="0" wp14:anchorId="59BF3596" wp14:editId="59BF3597">
            <wp:extent cx="5034429" cy="1518935"/>
            <wp:effectExtent l="19050" t="19050" r="13970"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row.JPG"/>
                    <pic:cNvPicPr/>
                  </pic:nvPicPr>
                  <pic:blipFill>
                    <a:blip r:embed="rId14">
                      <a:extLst>
                        <a:ext uri="{28A0092B-C50C-407E-A947-70E740481C1C}">
                          <a14:useLocalDpi xmlns:a14="http://schemas.microsoft.com/office/drawing/2010/main" val="0"/>
                        </a:ext>
                      </a:extLst>
                    </a:blip>
                    <a:stretch>
                      <a:fillRect/>
                    </a:stretch>
                  </pic:blipFill>
                  <pic:spPr>
                    <a:xfrm>
                      <a:off x="0" y="0"/>
                      <a:ext cx="5140578" cy="1550961"/>
                    </a:xfrm>
                    <a:prstGeom prst="rect">
                      <a:avLst/>
                    </a:prstGeom>
                    <a:ln>
                      <a:solidFill>
                        <a:schemeClr val="accent1"/>
                      </a:solidFill>
                    </a:ln>
                  </pic:spPr>
                </pic:pic>
              </a:graphicData>
            </a:graphic>
          </wp:inline>
        </w:drawing>
      </w:r>
    </w:p>
    <w:p w14:paraId="59BF34F1" w14:textId="77777777" w:rsidR="00942F46" w:rsidRDefault="00942F46" w:rsidP="00EE7BE4">
      <w:pPr>
        <w:spacing w:line="360" w:lineRule="auto"/>
        <w:jc w:val="both"/>
        <w:rPr>
          <w:rFonts w:ascii="Times New Roman" w:eastAsia="Calibri" w:hAnsi="Times New Roman" w:cs="Times New Roman"/>
        </w:rPr>
      </w:pPr>
    </w:p>
    <w:p w14:paraId="59BF34F2" w14:textId="77777777" w:rsidR="009B2424" w:rsidRDefault="009B2424" w:rsidP="00EE7BE4">
      <w:pPr>
        <w:spacing w:line="360" w:lineRule="auto"/>
        <w:jc w:val="both"/>
        <w:rPr>
          <w:rFonts w:ascii="Times New Roman" w:eastAsia="Calibri" w:hAnsi="Times New Roman" w:cs="Times New Roman"/>
        </w:rPr>
      </w:pPr>
      <w:r>
        <w:rPr>
          <w:rFonts w:ascii="Times New Roman" w:eastAsia="Calibri" w:hAnsi="Times New Roman" w:cs="Times New Roman"/>
        </w:rPr>
        <w:t>The following chart shows the status of commercial applications and installations by category</w:t>
      </w:r>
      <w:r w:rsidR="007C7078">
        <w:rPr>
          <w:rStyle w:val="FootnoteReference"/>
          <w:rFonts w:ascii="Times New Roman" w:eastAsia="Calibri" w:hAnsi="Times New Roman" w:cs="Times New Roman"/>
        </w:rPr>
        <w:footnoteReference w:id="3"/>
      </w:r>
      <w:r>
        <w:rPr>
          <w:rFonts w:ascii="Times New Roman" w:eastAsia="Calibri" w:hAnsi="Times New Roman" w:cs="Times New Roman"/>
        </w:rPr>
        <w:t>:</w:t>
      </w:r>
    </w:p>
    <w:p w14:paraId="59BF34F3" w14:textId="77777777" w:rsidR="00F93984" w:rsidRDefault="00F93984" w:rsidP="00EE7BE4">
      <w:pPr>
        <w:rPr>
          <w:rFonts w:ascii="Times New Roman" w:eastAsia="Calibri" w:hAnsi="Times New Roman" w:cs="Times New Roman"/>
          <w:b/>
          <w:u w:val="single"/>
        </w:rPr>
      </w:pPr>
      <w:r w:rsidRPr="00F93984">
        <w:rPr>
          <w:rFonts w:ascii="Times New Roman" w:eastAsia="Calibri" w:hAnsi="Times New Roman" w:cs="Times New Roman"/>
          <w:b/>
          <w:u w:val="single"/>
        </w:rPr>
        <w:t>Chart No. 4:</w:t>
      </w:r>
    </w:p>
    <w:p w14:paraId="59BF34F4" w14:textId="77777777" w:rsidR="00EE7BE4" w:rsidRPr="00F93984" w:rsidRDefault="00EE7BE4" w:rsidP="00EE7BE4">
      <w:pPr>
        <w:rPr>
          <w:rFonts w:ascii="Times New Roman" w:eastAsia="Calibri" w:hAnsi="Times New Roman" w:cs="Times New Roman"/>
          <w:b/>
          <w:u w:val="single"/>
        </w:rPr>
      </w:pPr>
    </w:p>
    <w:p w14:paraId="59BF34F5" w14:textId="77777777" w:rsidR="009B2424" w:rsidRDefault="001173FE" w:rsidP="00EE7BE4">
      <w:pPr>
        <w:spacing w:line="360" w:lineRule="auto"/>
        <w:jc w:val="center"/>
        <w:rPr>
          <w:rFonts w:ascii="Times New Roman" w:eastAsia="Calibri" w:hAnsi="Times New Roman" w:cs="Times New Roman"/>
        </w:rPr>
      </w:pPr>
      <w:r>
        <w:rPr>
          <w:rFonts w:ascii="Times New Roman" w:eastAsia="Calibri" w:hAnsi="Times New Roman" w:cs="Times New Roman"/>
          <w:noProof/>
        </w:rPr>
        <w:drawing>
          <wp:inline distT="0" distB="0" distL="0" distR="0" wp14:anchorId="59BF3598" wp14:editId="59BF3599">
            <wp:extent cx="5018405" cy="2604450"/>
            <wp:effectExtent l="19050" t="19050" r="1079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8405" cy="2604450"/>
                    </a:xfrm>
                    <a:prstGeom prst="rect">
                      <a:avLst/>
                    </a:prstGeom>
                    <a:noFill/>
                    <a:ln>
                      <a:solidFill>
                        <a:schemeClr val="accent1"/>
                      </a:solidFill>
                    </a:ln>
                  </pic:spPr>
                </pic:pic>
              </a:graphicData>
            </a:graphic>
          </wp:inline>
        </w:drawing>
      </w:r>
    </w:p>
    <w:p w14:paraId="59BF34F6" w14:textId="77777777" w:rsidR="0065047C" w:rsidRDefault="006852D7" w:rsidP="00EE7BE4">
      <w:pPr>
        <w:spacing w:line="360" w:lineRule="auto"/>
        <w:jc w:val="both"/>
        <w:rPr>
          <w:rFonts w:ascii="Times New Roman" w:hAnsi="Times New Roman" w:cs="Times New Roman"/>
        </w:rPr>
      </w:pPr>
      <w:r>
        <w:rPr>
          <w:rFonts w:ascii="Times New Roman" w:hAnsi="Times New Roman" w:cs="Times New Roman"/>
        </w:rPr>
        <w:lastRenderedPageBreak/>
        <w:t>The process of site acquisition</w:t>
      </w:r>
      <w:r w:rsidR="004F0435">
        <w:rPr>
          <w:rFonts w:ascii="Times New Roman" w:hAnsi="Times New Roman" w:cs="Times New Roman"/>
        </w:rPr>
        <w:t xml:space="preserve"> </w:t>
      </w:r>
      <w:r>
        <w:rPr>
          <w:rFonts w:ascii="Times New Roman" w:hAnsi="Times New Roman" w:cs="Times New Roman"/>
        </w:rPr>
        <w:t>continues to be the major cause of delays for commercial installations</w:t>
      </w:r>
      <w:r w:rsidR="004F0435">
        <w:rPr>
          <w:rFonts w:ascii="Times New Roman" w:hAnsi="Times New Roman" w:cs="Times New Roman"/>
        </w:rPr>
        <w:t>, primarily involving reaching agreement on legal contracts</w:t>
      </w:r>
      <w:r>
        <w:rPr>
          <w:rFonts w:ascii="Times New Roman" w:hAnsi="Times New Roman" w:cs="Times New Roman"/>
        </w:rPr>
        <w:t xml:space="preserve">.  We </w:t>
      </w:r>
      <w:r w:rsidR="00221113">
        <w:rPr>
          <w:rFonts w:ascii="Times New Roman" w:hAnsi="Times New Roman" w:cs="Times New Roman"/>
        </w:rPr>
        <w:t xml:space="preserve">expect through the next few months to line up several </w:t>
      </w:r>
      <w:r w:rsidR="00D95F08">
        <w:rPr>
          <w:rFonts w:ascii="Times New Roman" w:hAnsi="Times New Roman" w:cs="Times New Roman"/>
        </w:rPr>
        <w:t>pending candidates</w:t>
      </w:r>
      <w:r w:rsidR="00221113">
        <w:rPr>
          <w:rFonts w:ascii="Times New Roman" w:hAnsi="Times New Roman" w:cs="Times New Roman"/>
        </w:rPr>
        <w:t xml:space="preserve"> for installation in the early spring, increasing the rate of commercial AC Level 2 installations.  However, it is clear that a strong effort will be required to </w:t>
      </w:r>
      <w:r w:rsidR="008D40CA">
        <w:rPr>
          <w:rFonts w:ascii="Times New Roman" w:hAnsi="Times New Roman" w:cs="Times New Roman"/>
        </w:rPr>
        <w:t>achieve the targeted levels of workplace and public installations for the program.  Most of the commercial leads generated thus far arose through residential participants who engaged their employers</w:t>
      </w:r>
      <w:r w:rsidR="00CB1A21">
        <w:rPr>
          <w:rFonts w:ascii="Times New Roman" w:hAnsi="Times New Roman" w:cs="Times New Roman"/>
        </w:rPr>
        <w:t xml:space="preserve"> to participate in the program</w:t>
      </w:r>
      <w:r w:rsidR="008D40CA">
        <w:rPr>
          <w:rFonts w:ascii="Times New Roman" w:hAnsi="Times New Roman" w:cs="Times New Roman"/>
        </w:rPr>
        <w:t>, and new</w:t>
      </w:r>
      <w:r w:rsidR="004F0435">
        <w:rPr>
          <w:rFonts w:ascii="Times New Roman" w:hAnsi="Times New Roman" w:cs="Times New Roman"/>
        </w:rPr>
        <w:t xml:space="preserve"> residential applications have </w:t>
      </w:r>
      <w:r w:rsidR="008D40CA">
        <w:rPr>
          <w:rFonts w:ascii="Times New Roman" w:hAnsi="Times New Roman" w:cs="Times New Roman"/>
        </w:rPr>
        <w:t>slowed considerably.</w:t>
      </w:r>
    </w:p>
    <w:p w14:paraId="59BF34F7" w14:textId="77777777" w:rsidR="00696D4E" w:rsidRDefault="00696D4E" w:rsidP="00EE7BE4">
      <w:pPr>
        <w:spacing w:line="360" w:lineRule="auto"/>
        <w:jc w:val="both"/>
        <w:rPr>
          <w:rFonts w:ascii="Times New Roman" w:hAnsi="Times New Roman" w:cs="Times New Roman"/>
        </w:rPr>
      </w:pPr>
    </w:p>
    <w:p w14:paraId="59BF34F8" w14:textId="77777777" w:rsidR="004F0435" w:rsidRDefault="004F0435" w:rsidP="00EE7BE4">
      <w:pPr>
        <w:spacing w:line="360" w:lineRule="auto"/>
        <w:jc w:val="both"/>
        <w:rPr>
          <w:rFonts w:ascii="Times New Roman" w:hAnsi="Times New Roman" w:cs="Times New Roman"/>
        </w:rPr>
      </w:pPr>
      <w:r>
        <w:rPr>
          <w:rFonts w:ascii="Times New Roman" w:hAnsi="Times New Roman" w:cs="Times New Roman"/>
        </w:rPr>
        <w:t xml:space="preserve">The cost components of commercial installations at seven different </w:t>
      </w:r>
      <w:r w:rsidR="00656931">
        <w:rPr>
          <w:rFonts w:ascii="Times New Roman" w:hAnsi="Times New Roman" w:cs="Times New Roman"/>
        </w:rPr>
        <w:t xml:space="preserve">locations </w:t>
      </w:r>
      <w:r>
        <w:rPr>
          <w:rFonts w:ascii="Times New Roman" w:hAnsi="Times New Roman" w:cs="Times New Roman"/>
        </w:rPr>
        <w:t>are shown below</w:t>
      </w:r>
      <w:r w:rsidR="00656931">
        <w:rPr>
          <w:rFonts w:ascii="Times New Roman" w:hAnsi="Times New Roman" w:cs="Times New Roman"/>
        </w:rPr>
        <w:t>, primarily used as workplace charging for employees:</w:t>
      </w:r>
    </w:p>
    <w:p w14:paraId="59BF34F9" w14:textId="77777777" w:rsidR="00EE7BE4" w:rsidRDefault="00EE7BE4" w:rsidP="00EE7BE4">
      <w:pPr>
        <w:spacing w:line="360" w:lineRule="auto"/>
        <w:jc w:val="both"/>
        <w:rPr>
          <w:rFonts w:ascii="Times New Roman" w:hAnsi="Times New Roman" w:cs="Times New Roman"/>
          <w:b/>
          <w:u w:val="single"/>
        </w:rPr>
      </w:pPr>
    </w:p>
    <w:p w14:paraId="59BF34FA" w14:textId="77777777" w:rsidR="00F93984" w:rsidRDefault="00F93984" w:rsidP="00EE7BE4">
      <w:pPr>
        <w:spacing w:line="360" w:lineRule="auto"/>
        <w:jc w:val="both"/>
        <w:rPr>
          <w:rFonts w:ascii="Times New Roman" w:hAnsi="Times New Roman" w:cs="Times New Roman"/>
          <w:b/>
          <w:u w:val="single"/>
        </w:rPr>
      </w:pPr>
      <w:r w:rsidRPr="00F93984">
        <w:rPr>
          <w:rFonts w:ascii="Times New Roman" w:hAnsi="Times New Roman" w:cs="Times New Roman"/>
          <w:b/>
          <w:u w:val="single"/>
        </w:rPr>
        <w:t>Chart No. 5:</w:t>
      </w:r>
    </w:p>
    <w:p w14:paraId="59BF34FB" w14:textId="77777777" w:rsidR="00EE7BE4" w:rsidRPr="00F93984" w:rsidRDefault="00EE7BE4" w:rsidP="00EE7BE4">
      <w:pPr>
        <w:spacing w:line="360" w:lineRule="auto"/>
        <w:jc w:val="both"/>
        <w:rPr>
          <w:rFonts w:ascii="Times New Roman" w:hAnsi="Times New Roman" w:cs="Times New Roman"/>
          <w:b/>
          <w:u w:val="single"/>
        </w:rPr>
      </w:pPr>
    </w:p>
    <w:p w14:paraId="59BF34FC" w14:textId="77777777" w:rsidR="0065047C" w:rsidRDefault="00942F46" w:rsidP="00EE7BE4">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59BF359A" wp14:editId="59BF359B">
            <wp:extent cx="5451231" cy="3587645"/>
            <wp:effectExtent l="19050" t="19050" r="1651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5371" cy="3643020"/>
                    </a:xfrm>
                    <a:prstGeom prst="rect">
                      <a:avLst/>
                    </a:prstGeom>
                    <a:noFill/>
                    <a:ln>
                      <a:solidFill>
                        <a:schemeClr val="accent1"/>
                      </a:solidFill>
                    </a:ln>
                  </pic:spPr>
                </pic:pic>
              </a:graphicData>
            </a:graphic>
          </wp:inline>
        </w:drawing>
      </w:r>
    </w:p>
    <w:p w14:paraId="59BF34FD" w14:textId="77777777" w:rsidR="00D95F08" w:rsidRDefault="00D95F08" w:rsidP="00EE7BE4">
      <w:pPr>
        <w:spacing w:line="360" w:lineRule="auto"/>
        <w:jc w:val="both"/>
        <w:rPr>
          <w:rFonts w:ascii="Times New Roman" w:hAnsi="Times New Roman" w:cs="Times New Roman"/>
        </w:rPr>
      </w:pPr>
    </w:p>
    <w:p w14:paraId="59BF34FE" w14:textId="77777777" w:rsidR="00656931" w:rsidRDefault="00656931" w:rsidP="00EE7BE4">
      <w:pPr>
        <w:spacing w:line="360" w:lineRule="auto"/>
        <w:jc w:val="both"/>
        <w:rPr>
          <w:rFonts w:ascii="Times New Roman" w:hAnsi="Times New Roman" w:cs="Times New Roman"/>
        </w:rPr>
      </w:pPr>
      <w:r>
        <w:rPr>
          <w:rFonts w:ascii="Times New Roman" w:hAnsi="Times New Roman" w:cs="Times New Roman"/>
        </w:rPr>
        <w:lastRenderedPageBreak/>
        <w:t xml:space="preserve">The higher costs for jobs #3 and #5 were due to a combination of </w:t>
      </w:r>
      <w:r w:rsidR="002C14DB">
        <w:rPr>
          <w:rFonts w:ascii="Times New Roman" w:hAnsi="Times New Roman" w:cs="Times New Roman"/>
        </w:rPr>
        <w:t>multiple installed EVSE ports</w:t>
      </w:r>
      <w:r w:rsidR="00653BBB">
        <w:rPr>
          <w:rFonts w:ascii="Times New Roman" w:hAnsi="Times New Roman" w:cs="Times New Roman"/>
        </w:rPr>
        <w:t xml:space="preserve"> and </w:t>
      </w:r>
      <w:r>
        <w:rPr>
          <w:rFonts w:ascii="Times New Roman" w:hAnsi="Times New Roman" w:cs="Times New Roman"/>
        </w:rPr>
        <w:t xml:space="preserve">required upgrades to transformers, supply panels, and/or </w:t>
      </w:r>
      <w:r w:rsidR="00A12F1D">
        <w:rPr>
          <w:rFonts w:ascii="Times New Roman" w:hAnsi="Times New Roman" w:cs="Times New Roman"/>
        </w:rPr>
        <w:t>trench work</w:t>
      </w:r>
      <w:r>
        <w:rPr>
          <w:rFonts w:ascii="Times New Roman" w:hAnsi="Times New Roman" w:cs="Times New Roman"/>
        </w:rPr>
        <w:t xml:space="preserve">.  The relatively low cost of jobs #1, #2 and #4 </w:t>
      </w:r>
      <w:r w:rsidR="00653BBB">
        <w:rPr>
          <w:rFonts w:ascii="Times New Roman" w:hAnsi="Times New Roman" w:cs="Times New Roman"/>
        </w:rPr>
        <w:t>were due to the ability</w:t>
      </w:r>
      <w:r>
        <w:rPr>
          <w:rFonts w:ascii="Times New Roman" w:hAnsi="Times New Roman" w:cs="Times New Roman"/>
        </w:rPr>
        <w:t xml:space="preserve"> to mount the EVSE on the outer wall of the building adjacent to the parking location,</w:t>
      </w:r>
      <w:r w:rsidR="002C14DB">
        <w:rPr>
          <w:rFonts w:ascii="Times New Roman" w:hAnsi="Times New Roman" w:cs="Times New Roman"/>
        </w:rPr>
        <w:t xml:space="preserve"> with</w:t>
      </w:r>
      <w:r>
        <w:rPr>
          <w:rFonts w:ascii="Times New Roman" w:hAnsi="Times New Roman" w:cs="Times New Roman"/>
        </w:rPr>
        <w:t xml:space="preserve"> minimal u</w:t>
      </w:r>
      <w:r w:rsidR="002C14DB">
        <w:rPr>
          <w:rFonts w:ascii="Times New Roman" w:hAnsi="Times New Roman" w:cs="Times New Roman"/>
        </w:rPr>
        <w:t>pgrades to the existing facility’s</w:t>
      </w:r>
      <w:r w:rsidR="00D2684C">
        <w:rPr>
          <w:rFonts w:ascii="Times New Roman" w:hAnsi="Times New Roman" w:cs="Times New Roman"/>
        </w:rPr>
        <w:t xml:space="preserve"> </w:t>
      </w:r>
      <w:r>
        <w:rPr>
          <w:rFonts w:ascii="Times New Roman" w:hAnsi="Times New Roman" w:cs="Times New Roman"/>
        </w:rPr>
        <w:t>electrical system.  Further cost breakdowns for each location are listed in the table below.</w:t>
      </w:r>
    </w:p>
    <w:p w14:paraId="59BF34FF" w14:textId="77777777" w:rsidR="00EE7BE4" w:rsidRDefault="00EE7BE4" w:rsidP="00EE7BE4">
      <w:pPr>
        <w:rPr>
          <w:rFonts w:ascii="Times New Roman" w:hAnsi="Times New Roman" w:cs="Times New Roman"/>
          <w:b/>
          <w:u w:val="single"/>
        </w:rPr>
      </w:pPr>
    </w:p>
    <w:p w14:paraId="59BF3500" w14:textId="77777777" w:rsidR="008722B8" w:rsidRDefault="00F93984" w:rsidP="00EE7BE4">
      <w:pPr>
        <w:rPr>
          <w:rFonts w:ascii="Times New Roman" w:hAnsi="Times New Roman" w:cs="Times New Roman"/>
          <w:b/>
          <w:u w:val="single"/>
        </w:rPr>
      </w:pPr>
      <w:r w:rsidRPr="00F93984">
        <w:rPr>
          <w:rFonts w:ascii="Times New Roman" w:hAnsi="Times New Roman" w:cs="Times New Roman"/>
          <w:b/>
          <w:u w:val="single"/>
        </w:rPr>
        <w:t>Table No. 4:</w:t>
      </w:r>
    </w:p>
    <w:p w14:paraId="59BF3501" w14:textId="77777777" w:rsidR="00EE7BE4" w:rsidRPr="00F93984" w:rsidRDefault="00EE7BE4" w:rsidP="00EE7BE4">
      <w:pPr>
        <w:rPr>
          <w:rFonts w:ascii="Times New Roman" w:hAnsi="Times New Roman" w:cs="Times New Roman"/>
          <w:b/>
          <w:u w:val="single"/>
        </w:rPr>
      </w:pPr>
    </w:p>
    <w:tbl>
      <w:tblPr>
        <w:tblStyle w:val="TableGrid"/>
        <w:tblW w:w="0" w:type="auto"/>
        <w:tblLayout w:type="fixed"/>
        <w:tblLook w:val="04A0" w:firstRow="1" w:lastRow="0" w:firstColumn="1" w:lastColumn="0" w:noHBand="0" w:noVBand="1"/>
      </w:tblPr>
      <w:tblGrid>
        <w:gridCol w:w="774"/>
        <w:gridCol w:w="1291"/>
        <w:gridCol w:w="1260"/>
        <w:gridCol w:w="1080"/>
        <w:gridCol w:w="1080"/>
        <w:gridCol w:w="990"/>
        <w:gridCol w:w="1260"/>
        <w:gridCol w:w="720"/>
        <w:gridCol w:w="895"/>
      </w:tblGrid>
      <w:tr w:rsidR="00B26171" w:rsidRPr="00B26171" w14:paraId="59BF3516" w14:textId="77777777" w:rsidTr="00B54B00">
        <w:trPr>
          <w:cantSplit/>
          <w:trHeight w:val="1134"/>
        </w:trPr>
        <w:tc>
          <w:tcPr>
            <w:tcW w:w="774" w:type="dxa"/>
            <w:vAlign w:val="center"/>
          </w:tcPr>
          <w:p w14:paraId="59BF3502" w14:textId="77777777" w:rsidR="009D4C21" w:rsidRPr="00B26171" w:rsidRDefault="009D4C21" w:rsidP="00EE7BE4">
            <w:pPr>
              <w:rPr>
                <w:rFonts w:asciiTheme="majorHAnsi" w:hAnsiTheme="majorHAnsi" w:cs="Times New Roman"/>
                <w:b/>
                <w:sz w:val="22"/>
                <w:szCs w:val="22"/>
              </w:rPr>
            </w:pPr>
            <w:r w:rsidRPr="00B26171">
              <w:rPr>
                <w:rFonts w:asciiTheme="majorHAnsi" w:hAnsiTheme="majorHAnsi" w:cs="Times New Roman"/>
                <w:b/>
                <w:sz w:val="22"/>
                <w:szCs w:val="22"/>
              </w:rPr>
              <w:t>Job</w:t>
            </w:r>
          </w:p>
        </w:tc>
        <w:tc>
          <w:tcPr>
            <w:tcW w:w="1291" w:type="dxa"/>
            <w:vAlign w:val="center"/>
          </w:tcPr>
          <w:p w14:paraId="59BF3503" w14:textId="77777777" w:rsidR="00B26171" w:rsidRDefault="009D4C21" w:rsidP="00EE7BE4">
            <w:pPr>
              <w:rPr>
                <w:rFonts w:asciiTheme="majorHAnsi" w:hAnsiTheme="majorHAnsi"/>
                <w:b/>
                <w:sz w:val="22"/>
                <w:szCs w:val="22"/>
              </w:rPr>
            </w:pPr>
            <w:r w:rsidRPr="00B26171">
              <w:rPr>
                <w:rFonts w:asciiTheme="majorHAnsi" w:hAnsiTheme="majorHAnsi"/>
                <w:b/>
                <w:sz w:val="22"/>
                <w:szCs w:val="22"/>
              </w:rPr>
              <w:t>Premises</w:t>
            </w:r>
          </w:p>
          <w:p w14:paraId="59BF3504" w14:textId="77777777" w:rsidR="007F70D6" w:rsidRDefault="009D4C21" w:rsidP="00EE7BE4">
            <w:pPr>
              <w:rPr>
                <w:rFonts w:asciiTheme="majorHAnsi" w:hAnsiTheme="majorHAnsi"/>
                <w:b/>
                <w:sz w:val="22"/>
                <w:szCs w:val="22"/>
              </w:rPr>
            </w:pPr>
            <w:r w:rsidRPr="00B26171">
              <w:rPr>
                <w:rFonts w:asciiTheme="majorHAnsi" w:hAnsiTheme="majorHAnsi"/>
                <w:b/>
                <w:sz w:val="22"/>
                <w:szCs w:val="22"/>
              </w:rPr>
              <w:t>Wiring</w:t>
            </w:r>
          </w:p>
          <w:p w14:paraId="59BF3505" w14:textId="77777777" w:rsidR="009D4C21" w:rsidRPr="00B26171" w:rsidRDefault="009D4C21" w:rsidP="00EE7BE4">
            <w:pPr>
              <w:rPr>
                <w:rFonts w:asciiTheme="majorHAnsi" w:hAnsiTheme="majorHAnsi"/>
                <w:b/>
                <w:sz w:val="22"/>
                <w:szCs w:val="22"/>
              </w:rPr>
            </w:pPr>
            <w:r w:rsidRPr="00B26171">
              <w:rPr>
                <w:rFonts w:asciiTheme="majorHAnsi" w:hAnsiTheme="majorHAnsi"/>
                <w:b/>
                <w:sz w:val="22"/>
                <w:szCs w:val="22"/>
              </w:rPr>
              <w:t>Reimburse</w:t>
            </w:r>
            <w:r w:rsidR="00B54B00">
              <w:rPr>
                <w:rFonts w:asciiTheme="majorHAnsi" w:hAnsiTheme="majorHAnsi"/>
                <w:b/>
                <w:sz w:val="22"/>
                <w:szCs w:val="22"/>
              </w:rPr>
              <w:t>-</w:t>
            </w:r>
            <w:r w:rsidRPr="00B26171">
              <w:rPr>
                <w:rFonts w:asciiTheme="majorHAnsi" w:hAnsiTheme="majorHAnsi"/>
                <w:b/>
                <w:sz w:val="22"/>
                <w:szCs w:val="22"/>
              </w:rPr>
              <w:t>ment</w:t>
            </w:r>
          </w:p>
        </w:tc>
        <w:tc>
          <w:tcPr>
            <w:tcW w:w="1260" w:type="dxa"/>
            <w:vAlign w:val="center"/>
          </w:tcPr>
          <w:p w14:paraId="59BF3506" w14:textId="77777777" w:rsidR="00B26171" w:rsidRPr="00B26171" w:rsidRDefault="009D4C21" w:rsidP="00EE7BE4">
            <w:pPr>
              <w:rPr>
                <w:rFonts w:asciiTheme="majorHAnsi" w:hAnsiTheme="majorHAnsi"/>
                <w:b/>
                <w:sz w:val="22"/>
                <w:szCs w:val="22"/>
              </w:rPr>
            </w:pPr>
            <w:r w:rsidRPr="00B26171">
              <w:rPr>
                <w:rFonts w:asciiTheme="majorHAnsi" w:hAnsiTheme="majorHAnsi"/>
                <w:b/>
                <w:sz w:val="22"/>
                <w:szCs w:val="22"/>
              </w:rPr>
              <w:t>Customer's</w:t>
            </w:r>
          </w:p>
          <w:p w14:paraId="59BF3507" w14:textId="77777777" w:rsidR="007F70D6" w:rsidRPr="007F70D6" w:rsidRDefault="009D4C21" w:rsidP="00EE7BE4">
            <w:pPr>
              <w:rPr>
                <w:rFonts w:asciiTheme="majorHAnsi" w:hAnsiTheme="majorHAnsi"/>
                <w:b/>
                <w:sz w:val="22"/>
                <w:szCs w:val="22"/>
              </w:rPr>
            </w:pPr>
            <w:r w:rsidRPr="00B26171">
              <w:rPr>
                <w:rFonts w:asciiTheme="majorHAnsi" w:hAnsiTheme="majorHAnsi"/>
                <w:b/>
                <w:sz w:val="22"/>
                <w:szCs w:val="22"/>
              </w:rPr>
              <w:t>Cost</w:t>
            </w:r>
          </w:p>
        </w:tc>
        <w:tc>
          <w:tcPr>
            <w:tcW w:w="1080" w:type="dxa"/>
            <w:vAlign w:val="center"/>
          </w:tcPr>
          <w:p w14:paraId="59BF3508" w14:textId="77777777" w:rsidR="00B26171" w:rsidRPr="00B26171" w:rsidRDefault="009D4C21" w:rsidP="00EE7BE4">
            <w:pPr>
              <w:rPr>
                <w:rFonts w:asciiTheme="majorHAnsi" w:hAnsiTheme="majorHAnsi"/>
                <w:b/>
                <w:sz w:val="22"/>
                <w:szCs w:val="22"/>
              </w:rPr>
            </w:pPr>
            <w:r w:rsidRPr="00B26171">
              <w:rPr>
                <w:rFonts w:asciiTheme="majorHAnsi" w:hAnsiTheme="majorHAnsi"/>
                <w:b/>
                <w:sz w:val="22"/>
                <w:szCs w:val="22"/>
              </w:rPr>
              <w:t>Avista's</w:t>
            </w:r>
          </w:p>
          <w:p w14:paraId="59BF3509" w14:textId="77777777" w:rsidR="009D4C21" w:rsidRPr="00B26171" w:rsidRDefault="009D4C21" w:rsidP="00EE7BE4">
            <w:pPr>
              <w:rPr>
                <w:rFonts w:asciiTheme="majorHAnsi" w:hAnsiTheme="majorHAnsi" w:cs="Times New Roman"/>
                <w:b/>
                <w:sz w:val="22"/>
                <w:szCs w:val="22"/>
              </w:rPr>
            </w:pPr>
            <w:r w:rsidRPr="00B26171">
              <w:rPr>
                <w:rFonts w:asciiTheme="majorHAnsi" w:hAnsiTheme="majorHAnsi"/>
                <w:b/>
                <w:sz w:val="22"/>
                <w:szCs w:val="22"/>
              </w:rPr>
              <w:t>Cost</w:t>
            </w:r>
          </w:p>
        </w:tc>
        <w:tc>
          <w:tcPr>
            <w:tcW w:w="1080" w:type="dxa"/>
            <w:vAlign w:val="center"/>
          </w:tcPr>
          <w:p w14:paraId="59BF350A" w14:textId="77777777" w:rsidR="00B26171" w:rsidRPr="00B26171" w:rsidRDefault="009D4C21" w:rsidP="00EE7BE4">
            <w:pPr>
              <w:rPr>
                <w:rFonts w:asciiTheme="majorHAnsi" w:hAnsiTheme="majorHAnsi"/>
                <w:b/>
                <w:sz w:val="22"/>
                <w:szCs w:val="22"/>
              </w:rPr>
            </w:pPr>
            <w:r w:rsidRPr="00B26171">
              <w:rPr>
                <w:rFonts w:asciiTheme="majorHAnsi" w:hAnsiTheme="majorHAnsi"/>
                <w:b/>
                <w:sz w:val="22"/>
                <w:szCs w:val="22"/>
              </w:rPr>
              <w:t>Total</w:t>
            </w:r>
          </w:p>
          <w:p w14:paraId="59BF350B" w14:textId="77777777" w:rsidR="00B26171" w:rsidRPr="00B26171" w:rsidRDefault="009D4C21" w:rsidP="00EE7BE4">
            <w:pPr>
              <w:rPr>
                <w:rFonts w:asciiTheme="majorHAnsi" w:hAnsiTheme="majorHAnsi"/>
                <w:b/>
                <w:sz w:val="22"/>
                <w:szCs w:val="22"/>
              </w:rPr>
            </w:pPr>
            <w:r w:rsidRPr="00B26171">
              <w:rPr>
                <w:rFonts w:asciiTheme="majorHAnsi" w:hAnsiTheme="majorHAnsi"/>
                <w:b/>
                <w:sz w:val="22"/>
                <w:szCs w:val="22"/>
              </w:rPr>
              <w:t>Install</w:t>
            </w:r>
          </w:p>
          <w:p w14:paraId="59BF350C" w14:textId="77777777" w:rsidR="009D4C21" w:rsidRPr="00B26171" w:rsidRDefault="009D4C21" w:rsidP="00EE7BE4">
            <w:pPr>
              <w:rPr>
                <w:rFonts w:asciiTheme="majorHAnsi" w:hAnsiTheme="majorHAnsi" w:cs="Times New Roman"/>
                <w:b/>
                <w:sz w:val="22"/>
                <w:szCs w:val="22"/>
              </w:rPr>
            </w:pPr>
            <w:r w:rsidRPr="00B26171">
              <w:rPr>
                <w:rFonts w:asciiTheme="majorHAnsi" w:hAnsiTheme="majorHAnsi"/>
                <w:b/>
                <w:sz w:val="22"/>
                <w:szCs w:val="22"/>
              </w:rPr>
              <w:t>Cost</w:t>
            </w:r>
          </w:p>
        </w:tc>
        <w:tc>
          <w:tcPr>
            <w:tcW w:w="990" w:type="dxa"/>
            <w:vAlign w:val="center"/>
          </w:tcPr>
          <w:p w14:paraId="59BF350D" w14:textId="77777777" w:rsidR="00B26171" w:rsidRPr="00B26171" w:rsidRDefault="009D4C21" w:rsidP="00EE7BE4">
            <w:pPr>
              <w:rPr>
                <w:rFonts w:asciiTheme="majorHAnsi" w:hAnsiTheme="majorHAnsi"/>
                <w:b/>
                <w:sz w:val="22"/>
                <w:szCs w:val="22"/>
              </w:rPr>
            </w:pPr>
            <w:r w:rsidRPr="00B26171">
              <w:rPr>
                <w:rFonts w:asciiTheme="majorHAnsi" w:hAnsiTheme="majorHAnsi"/>
                <w:b/>
                <w:sz w:val="22"/>
                <w:szCs w:val="22"/>
              </w:rPr>
              <w:t>EVSE</w:t>
            </w:r>
          </w:p>
          <w:p w14:paraId="59BF350E" w14:textId="77777777" w:rsidR="009D4C21" w:rsidRPr="00B26171" w:rsidRDefault="009D4C21" w:rsidP="00EE7BE4">
            <w:pPr>
              <w:rPr>
                <w:rFonts w:asciiTheme="majorHAnsi" w:hAnsiTheme="majorHAnsi" w:cs="Times New Roman"/>
                <w:b/>
                <w:sz w:val="22"/>
                <w:szCs w:val="22"/>
              </w:rPr>
            </w:pPr>
            <w:r w:rsidRPr="00B26171">
              <w:rPr>
                <w:rFonts w:asciiTheme="majorHAnsi" w:hAnsiTheme="majorHAnsi"/>
                <w:b/>
                <w:sz w:val="22"/>
                <w:szCs w:val="22"/>
              </w:rPr>
              <w:t>Cost</w:t>
            </w:r>
          </w:p>
        </w:tc>
        <w:tc>
          <w:tcPr>
            <w:tcW w:w="1260" w:type="dxa"/>
            <w:vAlign w:val="center"/>
          </w:tcPr>
          <w:p w14:paraId="59BF350F" w14:textId="77777777" w:rsidR="00B26171" w:rsidRPr="00B26171" w:rsidRDefault="009D4C21" w:rsidP="00EE7BE4">
            <w:pPr>
              <w:rPr>
                <w:rFonts w:asciiTheme="majorHAnsi" w:hAnsiTheme="majorHAnsi"/>
                <w:b/>
                <w:sz w:val="22"/>
                <w:szCs w:val="22"/>
              </w:rPr>
            </w:pPr>
            <w:r w:rsidRPr="00B26171">
              <w:rPr>
                <w:rFonts w:asciiTheme="majorHAnsi" w:hAnsiTheme="majorHAnsi"/>
                <w:b/>
                <w:sz w:val="22"/>
                <w:szCs w:val="22"/>
              </w:rPr>
              <w:t>Total</w:t>
            </w:r>
          </w:p>
          <w:p w14:paraId="59BF3510" w14:textId="77777777" w:rsidR="009D4C21" w:rsidRPr="00B26171" w:rsidRDefault="009D4C21" w:rsidP="00EE7BE4">
            <w:pPr>
              <w:rPr>
                <w:rFonts w:asciiTheme="majorHAnsi" w:hAnsiTheme="majorHAnsi" w:cs="Times New Roman"/>
                <w:b/>
                <w:sz w:val="22"/>
                <w:szCs w:val="22"/>
              </w:rPr>
            </w:pPr>
            <w:r w:rsidRPr="00B26171">
              <w:rPr>
                <w:rFonts w:asciiTheme="majorHAnsi" w:hAnsiTheme="majorHAnsi"/>
                <w:b/>
                <w:sz w:val="22"/>
                <w:szCs w:val="22"/>
              </w:rPr>
              <w:t>Cost</w:t>
            </w:r>
            <w:r w:rsidR="00B26171">
              <w:rPr>
                <w:rFonts w:asciiTheme="majorHAnsi" w:hAnsiTheme="majorHAnsi"/>
                <w:b/>
                <w:sz w:val="22"/>
                <w:szCs w:val="22"/>
              </w:rPr>
              <w:t xml:space="preserve"> EVSE + Installation</w:t>
            </w:r>
          </w:p>
        </w:tc>
        <w:tc>
          <w:tcPr>
            <w:tcW w:w="720" w:type="dxa"/>
            <w:vAlign w:val="center"/>
          </w:tcPr>
          <w:p w14:paraId="59BF3511" w14:textId="77777777" w:rsidR="00B26171" w:rsidRDefault="009D4C21" w:rsidP="00EE7BE4">
            <w:pPr>
              <w:rPr>
                <w:rFonts w:asciiTheme="majorHAnsi" w:hAnsiTheme="majorHAnsi"/>
                <w:b/>
                <w:sz w:val="22"/>
                <w:szCs w:val="22"/>
              </w:rPr>
            </w:pPr>
            <w:r w:rsidRPr="00B26171">
              <w:rPr>
                <w:rFonts w:asciiTheme="majorHAnsi" w:hAnsiTheme="majorHAnsi"/>
                <w:b/>
                <w:sz w:val="22"/>
                <w:szCs w:val="22"/>
              </w:rPr>
              <w:t>#</w:t>
            </w:r>
          </w:p>
          <w:p w14:paraId="59BF3512" w14:textId="77777777" w:rsidR="009D4C21" w:rsidRPr="00B26171" w:rsidRDefault="009D4C21" w:rsidP="00EE7BE4">
            <w:pPr>
              <w:rPr>
                <w:rFonts w:asciiTheme="majorHAnsi" w:hAnsiTheme="majorHAnsi" w:cs="Times New Roman"/>
                <w:b/>
                <w:sz w:val="22"/>
                <w:szCs w:val="22"/>
              </w:rPr>
            </w:pPr>
            <w:r w:rsidRPr="00B26171">
              <w:rPr>
                <w:rFonts w:asciiTheme="majorHAnsi" w:hAnsiTheme="majorHAnsi"/>
                <w:b/>
                <w:sz w:val="22"/>
                <w:szCs w:val="22"/>
              </w:rPr>
              <w:t>Ports</w:t>
            </w:r>
          </w:p>
        </w:tc>
        <w:tc>
          <w:tcPr>
            <w:tcW w:w="895" w:type="dxa"/>
            <w:vAlign w:val="center"/>
          </w:tcPr>
          <w:p w14:paraId="59BF3513" w14:textId="77777777" w:rsidR="00B26171" w:rsidRPr="00B26171" w:rsidRDefault="009D4C21" w:rsidP="00EE7BE4">
            <w:pPr>
              <w:rPr>
                <w:rFonts w:asciiTheme="majorHAnsi" w:hAnsiTheme="majorHAnsi"/>
                <w:b/>
                <w:sz w:val="22"/>
                <w:szCs w:val="22"/>
              </w:rPr>
            </w:pPr>
            <w:r w:rsidRPr="00B26171">
              <w:rPr>
                <w:rFonts w:asciiTheme="majorHAnsi" w:hAnsiTheme="majorHAnsi"/>
                <w:b/>
                <w:sz w:val="22"/>
                <w:szCs w:val="22"/>
              </w:rPr>
              <w:t>Total</w:t>
            </w:r>
          </w:p>
          <w:p w14:paraId="59BF3514" w14:textId="77777777" w:rsidR="00B26171" w:rsidRPr="00B26171" w:rsidRDefault="009D4C21" w:rsidP="00EE7BE4">
            <w:pPr>
              <w:rPr>
                <w:rFonts w:asciiTheme="majorHAnsi" w:hAnsiTheme="majorHAnsi"/>
                <w:b/>
                <w:sz w:val="22"/>
                <w:szCs w:val="22"/>
              </w:rPr>
            </w:pPr>
            <w:r w:rsidRPr="00B26171">
              <w:rPr>
                <w:rFonts w:asciiTheme="majorHAnsi" w:hAnsiTheme="majorHAnsi"/>
                <w:b/>
                <w:sz w:val="22"/>
                <w:szCs w:val="22"/>
              </w:rPr>
              <w:t xml:space="preserve">Cost </w:t>
            </w:r>
            <w:r w:rsidR="00CB1A21">
              <w:rPr>
                <w:rFonts w:asciiTheme="majorHAnsi" w:hAnsiTheme="majorHAnsi"/>
                <w:b/>
                <w:sz w:val="22"/>
                <w:szCs w:val="22"/>
              </w:rPr>
              <w:t>per</w:t>
            </w:r>
          </w:p>
          <w:p w14:paraId="59BF3515" w14:textId="77777777" w:rsidR="009D4C21" w:rsidRPr="00B26171" w:rsidRDefault="009D4C21" w:rsidP="00EE7BE4">
            <w:pPr>
              <w:rPr>
                <w:rFonts w:asciiTheme="majorHAnsi" w:hAnsiTheme="majorHAnsi" w:cs="Times New Roman"/>
                <w:b/>
                <w:sz w:val="22"/>
                <w:szCs w:val="22"/>
              </w:rPr>
            </w:pPr>
            <w:r w:rsidRPr="00B26171">
              <w:rPr>
                <w:rFonts w:asciiTheme="majorHAnsi" w:hAnsiTheme="majorHAnsi"/>
                <w:b/>
                <w:sz w:val="22"/>
                <w:szCs w:val="22"/>
              </w:rPr>
              <w:t>Port</w:t>
            </w:r>
          </w:p>
        </w:tc>
      </w:tr>
      <w:tr w:rsidR="00B26171" w:rsidRPr="00B26171" w14:paraId="59BF3520" w14:textId="77777777" w:rsidTr="00B54B00">
        <w:trPr>
          <w:cantSplit/>
          <w:trHeight w:val="576"/>
        </w:trPr>
        <w:tc>
          <w:tcPr>
            <w:tcW w:w="774" w:type="dxa"/>
            <w:vAlign w:val="center"/>
          </w:tcPr>
          <w:p w14:paraId="59BF3517"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cs="Times New Roman"/>
                <w:sz w:val="22"/>
                <w:szCs w:val="22"/>
              </w:rPr>
              <w:t>1</w:t>
            </w:r>
          </w:p>
        </w:tc>
        <w:tc>
          <w:tcPr>
            <w:tcW w:w="1291" w:type="dxa"/>
          </w:tcPr>
          <w:p w14:paraId="59BF3518"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$100</w:t>
            </w:r>
          </w:p>
        </w:tc>
        <w:tc>
          <w:tcPr>
            <w:tcW w:w="1260" w:type="dxa"/>
          </w:tcPr>
          <w:p w14:paraId="59BF3519"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$25</w:t>
            </w:r>
          </w:p>
        </w:tc>
        <w:tc>
          <w:tcPr>
            <w:tcW w:w="1080" w:type="dxa"/>
          </w:tcPr>
          <w:p w14:paraId="59BF351A"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$1,696</w:t>
            </w:r>
          </w:p>
        </w:tc>
        <w:tc>
          <w:tcPr>
            <w:tcW w:w="1080" w:type="dxa"/>
          </w:tcPr>
          <w:p w14:paraId="59BF351B"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$1,821</w:t>
            </w:r>
          </w:p>
        </w:tc>
        <w:tc>
          <w:tcPr>
            <w:tcW w:w="990" w:type="dxa"/>
          </w:tcPr>
          <w:p w14:paraId="59BF351C"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$2,174</w:t>
            </w:r>
          </w:p>
        </w:tc>
        <w:tc>
          <w:tcPr>
            <w:tcW w:w="1260" w:type="dxa"/>
          </w:tcPr>
          <w:p w14:paraId="59BF351D"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$3,995</w:t>
            </w:r>
          </w:p>
        </w:tc>
        <w:tc>
          <w:tcPr>
            <w:tcW w:w="720" w:type="dxa"/>
          </w:tcPr>
          <w:p w14:paraId="59BF351E"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w:t>
            </w:r>
          </w:p>
        </w:tc>
        <w:tc>
          <w:tcPr>
            <w:tcW w:w="895" w:type="dxa"/>
          </w:tcPr>
          <w:p w14:paraId="59BF351F"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$1,998</w:t>
            </w:r>
          </w:p>
        </w:tc>
      </w:tr>
      <w:tr w:rsidR="00B26171" w:rsidRPr="00B26171" w14:paraId="59BF352A" w14:textId="77777777" w:rsidTr="00B54B00">
        <w:trPr>
          <w:cantSplit/>
          <w:trHeight w:val="576"/>
        </w:trPr>
        <w:tc>
          <w:tcPr>
            <w:tcW w:w="774" w:type="dxa"/>
            <w:vAlign w:val="center"/>
          </w:tcPr>
          <w:p w14:paraId="59BF3521"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cs="Times New Roman"/>
                <w:sz w:val="22"/>
                <w:szCs w:val="22"/>
              </w:rPr>
              <w:t>2</w:t>
            </w:r>
          </w:p>
        </w:tc>
        <w:tc>
          <w:tcPr>
            <w:tcW w:w="1291" w:type="dxa"/>
          </w:tcPr>
          <w:p w14:paraId="59BF3522"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$1,108</w:t>
            </w:r>
          </w:p>
        </w:tc>
        <w:tc>
          <w:tcPr>
            <w:tcW w:w="1260" w:type="dxa"/>
          </w:tcPr>
          <w:p w14:paraId="59BF3523"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$227</w:t>
            </w:r>
          </w:p>
        </w:tc>
        <w:tc>
          <w:tcPr>
            <w:tcW w:w="1080" w:type="dxa"/>
          </w:tcPr>
          <w:p w14:paraId="59BF3524"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$324</w:t>
            </w:r>
          </w:p>
        </w:tc>
        <w:tc>
          <w:tcPr>
            <w:tcW w:w="1080" w:type="dxa"/>
          </w:tcPr>
          <w:p w14:paraId="59BF3525"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$1,659</w:t>
            </w:r>
          </w:p>
        </w:tc>
        <w:tc>
          <w:tcPr>
            <w:tcW w:w="990" w:type="dxa"/>
          </w:tcPr>
          <w:p w14:paraId="59BF3526"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$1,087</w:t>
            </w:r>
          </w:p>
        </w:tc>
        <w:tc>
          <w:tcPr>
            <w:tcW w:w="1260" w:type="dxa"/>
          </w:tcPr>
          <w:p w14:paraId="59BF3527"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$2,746</w:t>
            </w:r>
          </w:p>
        </w:tc>
        <w:tc>
          <w:tcPr>
            <w:tcW w:w="720" w:type="dxa"/>
          </w:tcPr>
          <w:p w14:paraId="59BF3528"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w:t>
            </w:r>
          </w:p>
        </w:tc>
        <w:tc>
          <w:tcPr>
            <w:tcW w:w="895" w:type="dxa"/>
          </w:tcPr>
          <w:p w14:paraId="59BF3529"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$2,746</w:t>
            </w:r>
          </w:p>
        </w:tc>
      </w:tr>
      <w:tr w:rsidR="00B26171" w:rsidRPr="00B26171" w14:paraId="59BF3534" w14:textId="77777777" w:rsidTr="00B54B00">
        <w:trPr>
          <w:cantSplit/>
          <w:trHeight w:val="576"/>
        </w:trPr>
        <w:tc>
          <w:tcPr>
            <w:tcW w:w="774" w:type="dxa"/>
            <w:vAlign w:val="center"/>
          </w:tcPr>
          <w:p w14:paraId="59BF352B"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cs="Times New Roman"/>
                <w:sz w:val="22"/>
                <w:szCs w:val="22"/>
              </w:rPr>
              <w:t>3</w:t>
            </w:r>
          </w:p>
        </w:tc>
        <w:tc>
          <w:tcPr>
            <w:tcW w:w="1291" w:type="dxa"/>
          </w:tcPr>
          <w:p w14:paraId="59BF352C"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$8,000</w:t>
            </w:r>
          </w:p>
        </w:tc>
        <w:tc>
          <w:tcPr>
            <w:tcW w:w="1260" w:type="dxa"/>
          </w:tcPr>
          <w:p w14:paraId="59BF352D"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$10,349</w:t>
            </w:r>
          </w:p>
        </w:tc>
        <w:tc>
          <w:tcPr>
            <w:tcW w:w="1080" w:type="dxa"/>
          </w:tcPr>
          <w:p w14:paraId="59BF352E"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$728</w:t>
            </w:r>
          </w:p>
        </w:tc>
        <w:tc>
          <w:tcPr>
            <w:tcW w:w="1080" w:type="dxa"/>
          </w:tcPr>
          <w:p w14:paraId="59BF352F"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$19,077</w:t>
            </w:r>
          </w:p>
        </w:tc>
        <w:tc>
          <w:tcPr>
            <w:tcW w:w="990" w:type="dxa"/>
          </w:tcPr>
          <w:p w14:paraId="59BF3530"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$10,985</w:t>
            </w:r>
          </w:p>
        </w:tc>
        <w:tc>
          <w:tcPr>
            <w:tcW w:w="1260" w:type="dxa"/>
          </w:tcPr>
          <w:p w14:paraId="59BF3531"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$30,062</w:t>
            </w:r>
          </w:p>
        </w:tc>
        <w:tc>
          <w:tcPr>
            <w:tcW w:w="720" w:type="dxa"/>
          </w:tcPr>
          <w:p w14:paraId="59BF3532"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4</w:t>
            </w:r>
          </w:p>
        </w:tc>
        <w:tc>
          <w:tcPr>
            <w:tcW w:w="895" w:type="dxa"/>
          </w:tcPr>
          <w:p w14:paraId="59BF3533"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$7,516</w:t>
            </w:r>
          </w:p>
        </w:tc>
      </w:tr>
      <w:tr w:rsidR="00B26171" w:rsidRPr="00B26171" w14:paraId="59BF353E" w14:textId="77777777" w:rsidTr="00B54B00">
        <w:trPr>
          <w:cantSplit/>
          <w:trHeight w:val="576"/>
        </w:trPr>
        <w:tc>
          <w:tcPr>
            <w:tcW w:w="774" w:type="dxa"/>
            <w:vAlign w:val="center"/>
          </w:tcPr>
          <w:p w14:paraId="59BF3535"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cs="Times New Roman"/>
                <w:sz w:val="22"/>
                <w:szCs w:val="22"/>
              </w:rPr>
              <w:t>4</w:t>
            </w:r>
          </w:p>
        </w:tc>
        <w:tc>
          <w:tcPr>
            <w:tcW w:w="1291" w:type="dxa"/>
          </w:tcPr>
          <w:p w14:paraId="59BF3536"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$1,324</w:t>
            </w:r>
          </w:p>
        </w:tc>
        <w:tc>
          <w:tcPr>
            <w:tcW w:w="1260" w:type="dxa"/>
          </w:tcPr>
          <w:p w14:paraId="59BF3537"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$331</w:t>
            </w:r>
          </w:p>
        </w:tc>
        <w:tc>
          <w:tcPr>
            <w:tcW w:w="1080" w:type="dxa"/>
          </w:tcPr>
          <w:p w14:paraId="59BF3538"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$488</w:t>
            </w:r>
          </w:p>
        </w:tc>
        <w:tc>
          <w:tcPr>
            <w:tcW w:w="1080" w:type="dxa"/>
          </w:tcPr>
          <w:p w14:paraId="59BF3539"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$2,143</w:t>
            </w:r>
          </w:p>
        </w:tc>
        <w:tc>
          <w:tcPr>
            <w:tcW w:w="990" w:type="dxa"/>
          </w:tcPr>
          <w:p w14:paraId="59BF353A"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$1,087</w:t>
            </w:r>
          </w:p>
        </w:tc>
        <w:tc>
          <w:tcPr>
            <w:tcW w:w="1260" w:type="dxa"/>
          </w:tcPr>
          <w:p w14:paraId="59BF353B"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$3,230</w:t>
            </w:r>
          </w:p>
        </w:tc>
        <w:tc>
          <w:tcPr>
            <w:tcW w:w="720" w:type="dxa"/>
          </w:tcPr>
          <w:p w14:paraId="59BF353C"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w:t>
            </w:r>
          </w:p>
        </w:tc>
        <w:tc>
          <w:tcPr>
            <w:tcW w:w="895" w:type="dxa"/>
          </w:tcPr>
          <w:p w14:paraId="59BF353D"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$3,230</w:t>
            </w:r>
          </w:p>
        </w:tc>
      </w:tr>
      <w:tr w:rsidR="00B26171" w:rsidRPr="00B26171" w14:paraId="59BF3548" w14:textId="77777777" w:rsidTr="00B54B00">
        <w:trPr>
          <w:cantSplit/>
          <w:trHeight w:val="576"/>
        </w:trPr>
        <w:tc>
          <w:tcPr>
            <w:tcW w:w="774" w:type="dxa"/>
            <w:vAlign w:val="center"/>
          </w:tcPr>
          <w:p w14:paraId="59BF353F"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cs="Times New Roman"/>
                <w:sz w:val="22"/>
                <w:szCs w:val="22"/>
              </w:rPr>
              <w:t>5</w:t>
            </w:r>
          </w:p>
        </w:tc>
        <w:tc>
          <w:tcPr>
            <w:tcW w:w="1291" w:type="dxa"/>
          </w:tcPr>
          <w:p w14:paraId="59BF3540"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$8,000</w:t>
            </w:r>
          </w:p>
        </w:tc>
        <w:tc>
          <w:tcPr>
            <w:tcW w:w="1260" w:type="dxa"/>
          </w:tcPr>
          <w:p w14:paraId="59BF3541"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$1,768</w:t>
            </w:r>
          </w:p>
        </w:tc>
        <w:tc>
          <w:tcPr>
            <w:tcW w:w="1080" w:type="dxa"/>
          </w:tcPr>
          <w:p w14:paraId="59BF3542"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$4,142</w:t>
            </w:r>
          </w:p>
        </w:tc>
        <w:tc>
          <w:tcPr>
            <w:tcW w:w="1080" w:type="dxa"/>
          </w:tcPr>
          <w:p w14:paraId="59BF3543"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$13,910</w:t>
            </w:r>
          </w:p>
        </w:tc>
        <w:tc>
          <w:tcPr>
            <w:tcW w:w="990" w:type="dxa"/>
          </w:tcPr>
          <w:p w14:paraId="59BF3544"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$9,744</w:t>
            </w:r>
          </w:p>
        </w:tc>
        <w:tc>
          <w:tcPr>
            <w:tcW w:w="1260" w:type="dxa"/>
          </w:tcPr>
          <w:p w14:paraId="59BF3545"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$23,654</w:t>
            </w:r>
          </w:p>
        </w:tc>
        <w:tc>
          <w:tcPr>
            <w:tcW w:w="720" w:type="dxa"/>
          </w:tcPr>
          <w:p w14:paraId="59BF3546"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4</w:t>
            </w:r>
          </w:p>
        </w:tc>
        <w:tc>
          <w:tcPr>
            <w:tcW w:w="895" w:type="dxa"/>
          </w:tcPr>
          <w:p w14:paraId="59BF3547"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$5,914</w:t>
            </w:r>
          </w:p>
        </w:tc>
      </w:tr>
      <w:tr w:rsidR="00B26171" w:rsidRPr="00B26171" w14:paraId="59BF3552" w14:textId="77777777" w:rsidTr="00B54B00">
        <w:trPr>
          <w:cantSplit/>
          <w:trHeight w:val="576"/>
        </w:trPr>
        <w:tc>
          <w:tcPr>
            <w:tcW w:w="774" w:type="dxa"/>
            <w:vAlign w:val="center"/>
          </w:tcPr>
          <w:p w14:paraId="59BF3549"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cs="Times New Roman"/>
                <w:sz w:val="22"/>
                <w:szCs w:val="22"/>
              </w:rPr>
              <w:t>6</w:t>
            </w:r>
          </w:p>
        </w:tc>
        <w:tc>
          <w:tcPr>
            <w:tcW w:w="1291" w:type="dxa"/>
          </w:tcPr>
          <w:p w14:paraId="59BF354A"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$3,080</w:t>
            </w:r>
          </w:p>
        </w:tc>
        <w:tc>
          <w:tcPr>
            <w:tcW w:w="1260" w:type="dxa"/>
          </w:tcPr>
          <w:p w14:paraId="59BF354B"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$770</w:t>
            </w:r>
          </w:p>
        </w:tc>
        <w:tc>
          <w:tcPr>
            <w:tcW w:w="1080" w:type="dxa"/>
          </w:tcPr>
          <w:p w14:paraId="59BF354C"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$1,046</w:t>
            </w:r>
          </w:p>
        </w:tc>
        <w:tc>
          <w:tcPr>
            <w:tcW w:w="1080" w:type="dxa"/>
          </w:tcPr>
          <w:p w14:paraId="59BF354D"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$4,896</w:t>
            </w:r>
          </w:p>
        </w:tc>
        <w:tc>
          <w:tcPr>
            <w:tcW w:w="990" w:type="dxa"/>
          </w:tcPr>
          <w:p w14:paraId="59BF354E"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$5,970</w:t>
            </w:r>
          </w:p>
        </w:tc>
        <w:tc>
          <w:tcPr>
            <w:tcW w:w="1260" w:type="dxa"/>
          </w:tcPr>
          <w:p w14:paraId="59BF354F"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$10,866</w:t>
            </w:r>
          </w:p>
        </w:tc>
        <w:tc>
          <w:tcPr>
            <w:tcW w:w="720" w:type="dxa"/>
          </w:tcPr>
          <w:p w14:paraId="59BF3550"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w:t>
            </w:r>
          </w:p>
        </w:tc>
        <w:tc>
          <w:tcPr>
            <w:tcW w:w="895" w:type="dxa"/>
          </w:tcPr>
          <w:p w14:paraId="59BF3551"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$5,433</w:t>
            </w:r>
          </w:p>
        </w:tc>
      </w:tr>
      <w:tr w:rsidR="00B26171" w:rsidRPr="00B26171" w14:paraId="59BF355C" w14:textId="77777777" w:rsidTr="00B54B00">
        <w:trPr>
          <w:trHeight w:val="576"/>
        </w:trPr>
        <w:tc>
          <w:tcPr>
            <w:tcW w:w="774" w:type="dxa"/>
            <w:vAlign w:val="center"/>
          </w:tcPr>
          <w:p w14:paraId="59BF3553"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cs="Times New Roman"/>
                <w:sz w:val="22"/>
                <w:szCs w:val="22"/>
              </w:rPr>
              <w:t>7</w:t>
            </w:r>
          </w:p>
        </w:tc>
        <w:tc>
          <w:tcPr>
            <w:tcW w:w="1291" w:type="dxa"/>
          </w:tcPr>
          <w:p w14:paraId="59BF3554"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$1,582</w:t>
            </w:r>
          </w:p>
        </w:tc>
        <w:tc>
          <w:tcPr>
            <w:tcW w:w="1260" w:type="dxa"/>
          </w:tcPr>
          <w:p w14:paraId="59BF3555"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$395</w:t>
            </w:r>
          </w:p>
        </w:tc>
        <w:tc>
          <w:tcPr>
            <w:tcW w:w="1080" w:type="dxa"/>
          </w:tcPr>
          <w:p w14:paraId="59BF3556"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$380</w:t>
            </w:r>
          </w:p>
        </w:tc>
        <w:tc>
          <w:tcPr>
            <w:tcW w:w="1080" w:type="dxa"/>
          </w:tcPr>
          <w:p w14:paraId="59BF3557"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$2,357</w:t>
            </w:r>
          </w:p>
        </w:tc>
        <w:tc>
          <w:tcPr>
            <w:tcW w:w="990" w:type="dxa"/>
          </w:tcPr>
          <w:p w14:paraId="59BF3558"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$2,087</w:t>
            </w:r>
          </w:p>
        </w:tc>
        <w:tc>
          <w:tcPr>
            <w:tcW w:w="1260" w:type="dxa"/>
          </w:tcPr>
          <w:p w14:paraId="59BF3559"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$4,444</w:t>
            </w:r>
          </w:p>
        </w:tc>
        <w:tc>
          <w:tcPr>
            <w:tcW w:w="720" w:type="dxa"/>
          </w:tcPr>
          <w:p w14:paraId="59BF355A"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1</w:t>
            </w:r>
          </w:p>
        </w:tc>
        <w:tc>
          <w:tcPr>
            <w:tcW w:w="895" w:type="dxa"/>
          </w:tcPr>
          <w:p w14:paraId="59BF355B" w14:textId="77777777" w:rsidR="00B26171" w:rsidRPr="00B26171" w:rsidRDefault="00B26171" w:rsidP="00EE7BE4">
            <w:pPr>
              <w:spacing w:before="120" w:after="120"/>
              <w:rPr>
                <w:rFonts w:asciiTheme="majorHAnsi" w:hAnsiTheme="majorHAnsi" w:cs="Times New Roman"/>
                <w:sz w:val="22"/>
                <w:szCs w:val="22"/>
              </w:rPr>
            </w:pPr>
            <w:r w:rsidRPr="00B26171">
              <w:rPr>
                <w:rFonts w:asciiTheme="majorHAnsi" w:hAnsiTheme="majorHAnsi"/>
                <w:sz w:val="22"/>
                <w:szCs w:val="22"/>
              </w:rPr>
              <w:t>$4,444</w:t>
            </w:r>
          </w:p>
        </w:tc>
      </w:tr>
      <w:tr w:rsidR="00713CE5" w:rsidRPr="00B26171" w14:paraId="59BF3566" w14:textId="77777777" w:rsidTr="00B54B00">
        <w:trPr>
          <w:trHeight w:val="576"/>
        </w:trPr>
        <w:tc>
          <w:tcPr>
            <w:tcW w:w="774" w:type="dxa"/>
            <w:vAlign w:val="center"/>
          </w:tcPr>
          <w:p w14:paraId="59BF355D" w14:textId="77777777" w:rsidR="00713CE5" w:rsidRPr="00B26171" w:rsidRDefault="00713CE5" w:rsidP="00EE7BE4">
            <w:pPr>
              <w:spacing w:before="120" w:after="120"/>
              <w:rPr>
                <w:rFonts w:asciiTheme="majorHAnsi" w:hAnsiTheme="majorHAnsi" w:cs="Times New Roman"/>
                <w:b/>
                <w:sz w:val="22"/>
                <w:szCs w:val="22"/>
              </w:rPr>
            </w:pPr>
            <w:r w:rsidRPr="00B26171">
              <w:rPr>
                <w:rFonts w:asciiTheme="majorHAnsi" w:hAnsiTheme="majorHAnsi" w:cs="Times New Roman"/>
                <w:b/>
                <w:sz w:val="22"/>
                <w:szCs w:val="22"/>
              </w:rPr>
              <w:t>Avg:</w:t>
            </w:r>
          </w:p>
        </w:tc>
        <w:tc>
          <w:tcPr>
            <w:tcW w:w="1291" w:type="dxa"/>
            <w:vAlign w:val="bottom"/>
          </w:tcPr>
          <w:p w14:paraId="59BF355E" w14:textId="77777777" w:rsidR="00713CE5" w:rsidRPr="008740BD" w:rsidRDefault="00713CE5" w:rsidP="00EE7BE4">
            <w:pPr>
              <w:spacing w:before="120" w:after="120"/>
              <w:rPr>
                <w:rFonts w:asciiTheme="majorHAnsi" w:hAnsiTheme="majorHAnsi" w:cs="Times New Roman"/>
                <w:b/>
                <w:sz w:val="22"/>
                <w:szCs w:val="22"/>
              </w:rPr>
            </w:pPr>
            <w:r w:rsidRPr="008740BD">
              <w:rPr>
                <w:rFonts w:ascii="Calibri" w:hAnsi="Calibri"/>
                <w:b/>
                <w:color w:val="000000"/>
                <w:sz w:val="22"/>
                <w:szCs w:val="22"/>
              </w:rPr>
              <w:t xml:space="preserve">$3,313 </w:t>
            </w:r>
          </w:p>
        </w:tc>
        <w:tc>
          <w:tcPr>
            <w:tcW w:w="1260" w:type="dxa"/>
            <w:vAlign w:val="bottom"/>
          </w:tcPr>
          <w:p w14:paraId="59BF355F" w14:textId="77777777" w:rsidR="00713CE5" w:rsidRPr="008740BD" w:rsidRDefault="00713CE5" w:rsidP="00EE7BE4">
            <w:pPr>
              <w:spacing w:before="120" w:after="120"/>
              <w:rPr>
                <w:rFonts w:asciiTheme="majorHAnsi" w:hAnsiTheme="majorHAnsi" w:cs="Times New Roman"/>
                <w:b/>
                <w:sz w:val="22"/>
                <w:szCs w:val="22"/>
              </w:rPr>
            </w:pPr>
            <w:r w:rsidRPr="008740BD">
              <w:rPr>
                <w:rFonts w:ascii="Calibri" w:hAnsi="Calibri"/>
                <w:b/>
                <w:color w:val="000000"/>
                <w:sz w:val="22"/>
                <w:szCs w:val="22"/>
              </w:rPr>
              <w:t xml:space="preserve">$1,981 </w:t>
            </w:r>
          </w:p>
        </w:tc>
        <w:tc>
          <w:tcPr>
            <w:tcW w:w="1080" w:type="dxa"/>
            <w:vAlign w:val="bottom"/>
          </w:tcPr>
          <w:p w14:paraId="59BF3560" w14:textId="77777777" w:rsidR="00713CE5" w:rsidRPr="008740BD" w:rsidRDefault="00713CE5" w:rsidP="00EE7BE4">
            <w:pPr>
              <w:spacing w:before="120" w:after="120"/>
              <w:rPr>
                <w:rFonts w:asciiTheme="majorHAnsi" w:hAnsiTheme="majorHAnsi" w:cs="Times New Roman"/>
                <w:b/>
                <w:sz w:val="22"/>
                <w:szCs w:val="22"/>
              </w:rPr>
            </w:pPr>
            <w:r w:rsidRPr="008740BD">
              <w:rPr>
                <w:rFonts w:ascii="Calibri" w:hAnsi="Calibri"/>
                <w:b/>
                <w:color w:val="000000"/>
                <w:sz w:val="22"/>
                <w:szCs w:val="22"/>
              </w:rPr>
              <w:t xml:space="preserve">$1,258 </w:t>
            </w:r>
          </w:p>
        </w:tc>
        <w:tc>
          <w:tcPr>
            <w:tcW w:w="1080" w:type="dxa"/>
            <w:vAlign w:val="bottom"/>
          </w:tcPr>
          <w:p w14:paraId="59BF3561" w14:textId="77777777" w:rsidR="00713CE5" w:rsidRPr="008740BD" w:rsidRDefault="00713CE5" w:rsidP="00EE7BE4">
            <w:pPr>
              <w:spacing w:before="120" w:after="120"/>
              <w:rPr>
                <w:rFonts w:asciiTheme="majorHAnsi" w:hAnsiTheme="majorHAnsi" w:cs="Times New Roman"/>
                <w:b/>
                <w:sz w:val="22"/>
                <w:szCs w:val="22"/>
              </w:rPr>
            </w:pPr>
            <w:r w:rsidRPr="008740BD">
              <w:rPr>
                <w:rFonts w:ascii="Calibri" w:hAnsi="Calibri"/>
                <w:b/>
                <w:color w:val="000000"/>
                <w:sz w:val="22"/>
                <w:szCs w:val="22"/>
              </w:rPr>
              <w:t xml:space="preserve">$6,552 </w:t>
            </w:r>
          </w:p>
        </w:tc>
        <w:tc>
          <w:tcPr>
            <w:tcW w:w="990" w:type="dxa"/>
            <w:vAlign w:val="bottom"/>
          </w:tcPr>
          <w:p w14:paraId="59BF3562" w14:textId="77777777" w:rsidR="00713CE5" w:rsidRPr="008740BD" w:rsidRDefault="00713CE5" w:rsidP="00EE7BE4">
            <w:pPr>
              <w:spacing w:before="120" w:after="120"/>
              <w:rPr>
                <w:rFonts w:asciiTheme="majorHAnsi" w:hAnsiTheme="majorHAnsi" w:cs="Times New Roman"/>
                <w:b/>
                <w:sz w:val="22"/>
                <w:szCs w:val="22"/>
              </w:rPr>
            </w:pPr>
            <w:r w:rsidRPr="008740BD">
              <w:rPr>
                <w:rFonts w:ascii="Calibri" w:hAnsi="Calibri"/>
                <w:b/>
                <w:color w:val="000000"/>
                <w:sz w:val="22"/>
                <w:szCs w:val="22"/>
              </w:rPr>
              <w:t xml:space="preserve">$4,733 </w:t>
            </w:r>
          </w:p>
        </w:tc>
        <w:tc>
          <w:tcPr>
            <w:tcW w:w="1260" w:type="dxa"/>
            <w:vAlign w:val="bottom"/>
          </w:tcPr>
          <w:p w14:paraId="59BF3563" w14:textId="77777777" w:rsidR="00713CE5" w:rsidRPr="008740BD" w:rsidRDefault="00713CE5" w:rsidP="00EE7BE4">
            <w:pPr>
              <w:spacing w:before="120" w:after="120"/>
              <w:rPr>
                <w:rFonts w:asciiTheme="majorHAnsi" w:hAnsiTheme="majorHAnsi" w:cs="Times New Roman"/>
                <w:b/>
                <w:sz w:val="22"/>
                <w:szCs w:val="22"/>
              </w:rPr>
            </w:pPr>
            <w:r w:rsidRPr="008740BD">
              <w:rPr>
                <w:rFonts w:ascii="Calibri" w:hAnsi="Calibri"/>
                <w:b/>
                <w:color w:val="000000"/>
                <w:sz w:val="22"/>
                <w:szCs w:val="22"/>
              </w:rPr>
              <w:t xml:space="preserve">$11,285 </w:t>
            </w:r>
          </w:p>
        </w:tc>
        <w:tc>
          <w:tcPr>
            <w:tcW w:w="720" w:type="dxa"/>
            <w:vAlign w:val="bottom"/>
          </w:tcPr>
          <w:p w14:paraId="59BF3564" w14:textId="77777777" w:rsidR="00713CE5" w:rsidRPr="008740BD" w:rsidRDefault="008740BD" w:rsidP="00EE7BE4">
            <w:pPr>
              <w:spacing w:before="120" w:after="120"/>
              <w:rPr>
                <w:rFonts w:asciiTheme="majorHAnsi" w:hAnsiTheme="majorHAnsi" w:cs="Times New Roman"/>
                <w:b/>
                <w:sz w:val="22"/>
                <w:szCs w:val="22"/>
              </w:rPr>
            </w:pPr>
            <w:r w:rsidRPr="008740BD">
              <w:rPr>
                <w:rFonts w:ascii="Calibri" w:hAnsi="Calibri"/>
                <w:b/>
                <w:color w:val="000000"/>
                <w:sz w:val="22"/>
                <w:szCs w:val="22"/>
              </w:rPr>
              <w:t>2.1</w:t>
            </w:r>
          </w:p>
        </w:tc>
        <w:tc>
          <w:tcPr>
            <w:tcW w:w="895" w:type="dxa"/>
            <w:vAlign w:val="bottom"/>
          </w:tcPr>
          <w:p w14:paraId="59BF3565" w14:textId="77777777" w:rsidR="00713CE5" w:rsidRPr="008740BD" w:rsidRDefault="00713CE5" w:rsidP="00EE7BE4">
            <w:pPr>
              <w:spacing w:before="120" w:after="120"/>
              <w:rPr>
                <w:rFonts w:asciiTheme="majorHAnsi" w:hAnsiTheme="majorHAnsi" w:cs="Times New Roman"/>
                <w:b/>
                <w:sz w:val="22"/>
                <w:szCs w:val="22"/>
              </w:rPr>
            </w:pPr>
            <w:r w:rsidRPr="008740BD">
              <w:rPr>
                <w:rFonts w:ascii="Calibri" w:hAnsi="Calibri"/>
                <w:b/>
                <w:color w:val="000000"/>
                <w:sz w:val="22"/>
                <w:szCs w:val="22"/>
              </w:rPr>
              <w:t xml:space="preserve">$4,469 </w:t>
            </w:r>
          </w:p>
        </w:tc>
      </w:tr>
    </w:tbl>
    <w:p w14:paraId="59BF3567" w14:textId="77777777" w:rsidR="00656931" w:rsidRDefault="00656931" w:rsidP="00EE7BE4">
      <w:pPr>
        <w:spacing w:line="360" w:lineRule="auto"/>
        <w:jc w:val="both"/>
        <w:rPr>
          <w:rFonts w:ascii="Times New Roman" w:hAnsi="Times New Roman" w:cs="Times New Roman"/>
        </w:rPr>
      </w:pPr>
    </w:p>
    <w:p w14:paraId="59BF3568" w14:textId="77777777" w:rsidR="00063333" w:rsidRDefault="00063333" w:rsidP="00EE7BE4">
      <w:pPr>
        <w:spacing w:line="360" w:lineRule="auto"/>
        <w:jc w:val="both"/>
        <w:rPr>
          <w:rFonts w:ascii="Times New Roman" w:hAnsi="Times New Roman" w:cs="Times New Roman"/>
        </w:rPr>
      </w:pPr>
    </w:p>
    <w:p w14:paraId="59BF3569" w14:textId="77777777" w:rsidR="004F0435" w:rsidRPr="00B4649D" w:rsidRDefault="00783A23" w:rsidP="00EE7BE4">
      <w:pPr>
        <w:spacing w:line="360" w:lineRule="auto"/>
        <w:jc w:val="both"/>
        <w:rPr>
          <w:rFonts w:ascii="Times New Roman" w:eastAsia="Calibri" w:hAnsi="Times New Roman" w:cs="Times New Roman"/>
          <w:b/>
        </w:rPr>
      </w:pPr>
      <w:r>
        <w:rPr>
          <w:rFonts w:ascii="Times New Roman" w:eastAsia="Calibri" w:hAnsi="Times New Roman" w:cs="Times New Roman"/>
          <w:b/>
        </w:rPr>
        <w:t>Data Analysis and Modeling</w:t>
      </w:r>
    </w:p>
    <w:p w14:paraId="59BF356A" w14:textId="77777777" w:rsidR="004F0435" w:rsidRDefault="004F0435" w:rsidP="00EE7BE4">
      <w:pPr>
        <w:spacing w:line="360" w:lineRule="auto"/>
        <w:jc w:val="both"/>
        <w:rPr>
          <w:rFonts w:ascii="Times New Roman" w:hAnsi="Times New Roman" w:cs="Times New Roman"/>
        </w:rPr>
      </w:pPr>
    </w:p>
    <w:p w14:paraId="59BF356B" w14:textId="77777777" w:rsidR="00063333" w:rsidRDefault="00783A23" w:rsidP="00EE7BE4">
      <w:pPr>
        <w:spacing w:line="360" w:lineRule="auto"/>
        <w:jc w:val="both"/>
        <w:rPr>
          <w:rFonts w:ascii="Times New Roman" w:hAnsi="Times New Roman" w:cs="Times New Roman"/>
        </w:rPr>
      </w:pPr>
      <w:r>
        <w:rPr>
          <w:rFonts w:ascii="Times New Roman" w:hAnsi="Times New Roman" w:cs="Times New Roman"/>
        </w:rPr>
        <w:t>Data from the Greenlots SKY platform indicates the following high</w:t>
      </w:r>
      <w:r w:rsidR="004D4187">
        <w:rPr>
          <w:rFonts w:ascii="Times New Roman" w:hAnsi="Times New Roman" w:cs="Times New Roman"/>
        </w:rPr>
        <w:t>-</w:t>
      </w:r>
      <w:r>
        <w:rPr>
          <w:rFonts w:ascii="Times New Roman" w:hAnsi="Times New Roman" w:cs="Times New Roman"/>
        </w:rPr>
        <w:t>level statistics</w:t>
      </w:r>
      <w:r w:rsidR="004D4187">
        <w:rPr>
          <w:rFonts w:ascii="Times New Roman" w:hAnsi="Times New Roman" w:cs="Times New Roman"/>
        </w:rPr>
        <w:t xml:space="preserve"> for all installations to date</w:t>
      </w:r>
      <w:r>
        <w:rPr>
          <w:rFonts w:ascii="Times New Roman" w:hAnsi="Times New Roman" w:cs="Times New Roman"/>
        </w:rPr>
        <w:t>:</w:t>
      </w:r>
    </w:p>
    <w:p w14:paraId="59BF356C" w14:textId="77777777" w:rsidR="00647127" w:rsidRDefault="00647127" w:rsidP="00EE7BE4">
      <w:pPr>
        <w:spacing w:line="360" w:lineRule="auto"/>
        <w:jc w:val="both"/>
        <w:rPr>
          <w:rFonts w:ascii="Times New Roman" w:hAnsi="Times New Roman" w:cs="Times New Roman"/>
        </w:rPr>
      </w:pPr>
    </w:p>
    <w:p w14:paraId="59BF356D" w14:textId="77777777" w:rsidR="00EE7BE4" w:rsidRDefault="00EE7BE4" w:rsidP="00EE7BE4">
      <w:pPr>
        <w:rPr>
          <w:rFonts w:ascii="Times New Roman" w:hAnsi="Times New Roman" w:cs="Times New Roman"/>
          <w:b/>
          <w:u w:val="single"/>
        </w:rPr>
      </w:pPr>
      <w:r>
        <w:rPr>
          <w:rFonts w:ascii="Times New Roman" w:hAnsi="Times New Roman" w:cs="Times New Roman"/>
          <w:b/>
          <w:u w:val="single"/>
        </w:rPr>
        <w:br w:type="page"/>
      </w:r>
    </w:p>
    <w:p w14:paraId="59BF356E" w14:textId="77777777" w:rsidR="00F93984" w:rsidRDefault="00F93984" w:rsidP="00EE7BE4">
      <w:pPr>
        <w:spacing w:line="360" w:lineRule="auto"/>
        <w:jc w:val="both"/>
        <w:rPr>
          <w:rFonts w:ascii="Times New Roman" w:hAnsi="Times New Roman" w:cs="Times New Roman"/>
          <w:b/>
          <w:u w:val="single"/>
        </w:rPr>
      </w:pPr>
      <w:r w:rsidRPr="00F93984">
        <w:rPr>
          <w:rFonts w:ascii="Times New Roman" w:hAnsi="Times New Roman" w:cs="Times New Roman"/>
          <w:b/>
          <w:u w:val="single"/>
        </w:rPr>
        <w:lastRenderedPageBreak/>
        <w:t>Table No. 5:</w:t>
      </w:r>
    </w:p>
    <w:p w14:paraId="59BF356F" w14:textId="77777777" w:rsidR="00EE7BE4" w:rsidRPr="00F93984" w:rsidRDefault="00EE7BE4" w:rsidP="00EE7BE4">
      <w:pPr>
        <w:spacing w:line="360" w:lineRule="auto"/>
        <w:jc w:val="both"/>
        <w:rPr>
          <w:rFonts w:ascii="Times New Roman" w:hAnsi="Times New Roman" w:cs="Times New Roman"/>
          <w:b/>
          <w:u w:val="single"/>
        </w:rPr>
      </w:pPr>
    </w:p>
    <w:p w14:paraId="59BF3570" w14:textId="77777777" w:rsidR="00647127" w:rsidRDefault="003A4973" w:rsidP="00EE7BE4">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59BF359C" wp14:editId="59BF359D">
            <wp:extent cx="5451231" cy="1052390"/>
            <wp:effectExtent l="19050" t="19050" r="16510" b="146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row.JPG"/>
                    <pic:cNvPicPr/>
                  </pic:nvPicPr>
                  <pic:blipFill>
                    <a:blip r:embed="rId17">
                      <a:extLst>
                        <a:ext uri="{28A0092B-C50C-407E-A947-70E740481C1C}">
                          <a14:useLocalDpi xmlns:a14="http://schemas.microsoft.com/office/drawing/2010/main" val="0"/>
                        </a:ext>
                      </a:extLst>
                    </a:blip>
                    <a:stretch>
                      <a:fillRect/>
                    </a:stretch>
                  </pic:blipFill>
                  <pic:spPr>
                    <a:xfrm>
                      <a:off x="0" y="0"/>
                      <a:ext cx="5513603" cy="1064431"/>
                    </a:xfrm>
                    <a:prstGeom prst="rect">
                      <a:avLst/>
                    </a:prstGeom>
                    <a:ln>
                      <a:solidFill>
                        <a:schemeClr val="accent1"/>
                      </a:solidFill>
                    </a:ln>
                  </pic:spPr>
                </pic:pic>
              </a:graphicData>
            </a:graphic>
          </wp:inline>
        </w:drawing>
      </w:r>
    </w:p>
    <w:p w14:paraId="59BF3571" w14:textId="77777777" w:rsidR="00F93984" w:rsidRDefault="00F93984" w:rsidP="00EE7BE4">
      <w:pPr>
        <w:spacing w:line="360" w:lineRule="auto"/>
        <w:jc w:val="center"/>
        <w:rPr>
          <w:rFonts w:ascii="Times New Roman" w:hAnsi="Times New Roman" w:cs="Times New Roman"/>
        </w:rPr>
      </w:pPr>
    </w:p>
    <w:p w14:paraId="59BF3572" w14:textId="77777777" w:rsidR="00F93984" w:rsidRPr="00F93984" w:rsidRDefault="00F93984" w:rsidP="00EE7BE4">
      <w:pPr>
        <w:spacing w:line="360" w:lineRule="auto"/>
        <w:rPr>
          <w:rFonts w:ascii="Times New Roman" w:hAnsi="Times New Roman" w:cs="Times New Roman"/>
          <w:b/>
          <w:u w:val="single"/>
        </w:rPr>
      </w:pPr>
      <w:r w:rsidRPr="00F93984">
        <w:rPr>
          <w:rFonts w:ascii="Times New Roman" w:hAnsi="Times New Roman" w:cs="Times New Roman"/>
          <w:b/>
          <w:u w:val="single"/>
        </w:rPr>
        <w:t>Chart No. 6:</w:t>
      </w:r>
    </w:p>
    <w:p w14:paraId="59BF3573" w14:textId="77777777" w:rsidR="00806799" w:rsidRDefault="002243F0" w:rsidP="00EE7BE4">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59BF359E" wp14:editId="59BF359F">
            <wp:extent cx="3143861" cy="2538046"/>
            <wp:effectExtent l="19050" t="19050" r="1905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ow.JPG"/>
                    <pic:cNvPicPr/>
                  </pic:nvPicPr>
                  <pic:blipFill rotWithShape="1">
                    <a:blip r:embed="rId18">
                      <a:extLst>
                        <a:ext uri="{28A0092B-C50C-407E-A947-70E740481C1C}">
                          <a14:useLocalDpi xmlns:a14="http://schemas.microsoft.com/office/drawing/2010/main" val="0"/>
                        </a:ext>
                      </a:extLst>
                    </a:blip>
                    <a:srcRect b="3035"/>
                    <a:stretch/>
                  </pic:blipFill>
                  <pic:spPr bwMode="auto">
                    <a:xfrm>
                      <a:off x="0" y="0"/>
                      <a:ext cx="3160267" cy="255129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9BF3574" w14:textId="77777777" w:rsidR="00F93984" w:rsidRDefault="00F93984" w:rsidP="00EE7BE4">
      <w:pPr>
        <w:spacing w:line="360" w:lineRule="auto"/>
        <w:jc w:val="both"/>
        <w:rPr>
          <w:rFonts w:ascii="Times New Roman" w:hAnsi="Times New Roman" w:cs="Times New Roman"/>
        </w:rPr>
      </w:pPr>
    </w:p>
    <w:p w14:paraId="59BF3575" w14:textId="77777777" w:rsidR="002243F0" w:rsidRDefault="002243F0" w:rsidP="00EE7BE4">
      <w:pPr>
        <w:spacing w:line="360" w:lineRule="auto"/>
        <w:jc w:val="both"/>
        <w:rPr>
          <w:rFonts w:ascii="Times New Roman" w:hAnsi="Times New Roman" w:cs="Times New Roman"/>
        </w:rPr>
      </w:pPr>
      <w:r>
        <w:rPr>
          <w:rFonts w:ascii="Times New Roman" w:hAnsi="Times New Roman" w:cs="Times New Roman"/>
        </w:rPr>
        <w:t>Preliminary analysis of the Greenlots data for 1</w:t>
      </w:r>
      <w:r w:rsidR="00696D4E">
        <w:rPr>
          <w:rFonts w:ascii="Times New Roman" w:hAnsi="Times New Roman" w:cs="Times New Roman"/>
        </w:rPr>
        <w:t>,</w:t>
      </w:r>
      <w:r>
        <w:rPr>
          <w:rFonts w:ascii="Times New Roman" w:hAnsi="Times New Roman" w:cs="Times New Roman"/>
        </w:rPr>
        <w:t>40</w:t>
      </w:r>
      <w:r w:rsidR="00B4649D">
        <w:rPr>
          <w:rFonts w:ascii="Times New Roman" w:hAnsi="Times New Roman" w:cs="Times New Roman"/>
        </w:rPr>
        <w:t>3 residential charging sessions</w:t>
      </w:r>
      <w:r>
        <w:rPr>
          <w:rFonts w:ascii="Times New Roman" w:hAnsi="Times New Roman" w:cs="Times New Roman"/>
        </w:rPr>
        <w:t xml:space="preserve"> shows an average of 10.9 kWh consumed per day, per plug-in electric vehicle (PEV).  Assuming 3.3 miles per kWh, this equates to 36 miles driven per day</w:t>
      </w:r>
      <w:r w:rsidR="00B4649D">
        <w:rPr>
          <w:rFonts w:ascii="Times New Roman" w:hAnsi="Times New Roman" w:cs="Times New Roman"/>
        </w:rPr>
        <w:t xml:space="preserve"> from residential charging</w:t>
      </w:r>
      <w:r>
        <w:rPr>
          <w:rFonts w:ascii="Times New Roman" w:hAnsi="Times New Roman" w:cs="Times New Roman"/>
        </w:rPr>
        <w:t xml:space="preserve">, compared to the national average of 29 miles driven per day.  Consistent with other studies conducted to date, the load shape of this profile demonstrates a </w:t>
      </w:r>
      <w:r w:rsidR="00B4649D">
        <w:rPr>
          <w:rFonts w:ascii="Times New Roman" w:hAnsi="Times New Roman" w:cs="Times New Roman"/>
        </w:rPr>
        <w:t xml:space="preserve">much </w:t>
      </w:r>
      <w:r>
        <w:rPr>
          <w:rFonts w:ascii="Times New Roman" w:hAnsi="Times New Roman" w:cs="Times New Roman"/>
        </w:rPr>
        <w:t>higher consumption of el</w:t>
      </w:r>
      <w:r w:rsidR="00B4649D">
        <w:rPr>
          <w:rFonts w:ascii="Times New Roman" w:hAnsi="Times New Roman" w:cs="Times New Roman"/>
        </w:rPr>
        <w:t>ectricity between the hours of 3 pm and 10</w:t>
      </w:r>
      <w:r>
        <w:rPr>
          <w:rFonts w:ascii="Times New Roman" w:hAnsi="Times New Roman" w:cs="Times New Roman"/>
        </w:rPr>
        <w:t xml:space="preserve"> pm, with very little consumption between 1</w:t>
      </w:r>
      <w:r w:rsidR="00B4649D">
        <w:rPr>
          <w:rFonts w:ascii="Times New Roman" w:hAnsi="Times New Roman" w:cs="Times New Roman"/>
        </w:rPr>
        <w:t xml:space="preserve"> am</w:t>
      </w:r>
      <w:r w:rsidR="00F43ACC">
        <w:rPr>
          <w:rFonts w:ascii="Times New Roman" w:hAnsi="Times New Roman" w:cs="Times New Roman"/>
        </w:rPr>
        <w:t xml:space="preserve"> and 6 am.  Although the quantity of data is still relatively small, t</w:t>
      </w:r>
      <w:r w:rsidR="00B4649D">
        <w:rPr>
          <w:rFonts w:ascii="Times New Roman" w:hAnsi="Times New Roman" w:cs="Times New Roman"/>
        </w:rPr>
        <w:t xml:space="preserve">his validates that the </w:t>
      </w:r>
      <w:r w:rsidR="00F43ACC">
        <w:rPr>
          <w:rFonts w:ascii="Times New Roman" w:hAnsi="Times New Roman" w:cs="Times New Roman"/>
        </w:rPr>
        <w:t xml:space="preserve">acquired </w:t>
      </w:r>
      <w:r w:rsidR="00B4649D">
        <w:rPr>
          <w:rFonts w:ascii="Times New Roman" w:hAnsi="Times New Roman" w:cs="Times New Roman"/>
        </w:rPr>
        <w:t>data is reasonably accurate</w:t>
      </w:r>
      <w:r w:rsidR="00F43ACC">
        <w:rPr>
          <w:rFonts w:ascii="Times New Roman" w:hAnsi="Times New Roman" w:cs="Times New Roman"/>
        </w:rPr>
        <w:t>, without any gross errors</w:t>
      </w:r>
      <w:r w:rsidR="00B4649D">
        <w:rPr>
          <w:rFonts w:ascii="Times New Roman" w:hAnsi="Times New Roman" w:cs="Times New Roman"/>
        </w:rPr>
        <w:t xml:space="preserve">.  It also </w:t>
      </w:r>
      <w:r>
        <w:rPr>
          <w:rFonts w:ascii="Times New Roman" w:hAnsi="Times New Roman" w:cs="Times New Roman"/>
        </w:rPr>
        <w:t>confirms</w:t>
      </w:r>
      <w:r w:rsidR="00B4649D">
        <w:rPr>
          <w:rFonts w:ascii="Times New Roman" w:hAnsi="Times New Roman" w:cs="Times New Roman"/>
        </w:rPr>
        <w:t xml:space="preserve"> the opportunity to </w:t>
      </w:r>
      <w:r>
        <w:rPr>
          <w:rFonts w:ascii="Times New Roman" w:hAnsi="Times New Roman" w:cs="Times New Roman"/>
        </w:rPr>
        <w:t xml:space="preserve">shift </w:t>
      </w:r>
      <w:r w:rsidR="00B4649D">
        <w:rPr>
          <w:rFonts w:ascii="Times New Roman" w:hAnsi="Times New Roman" w:cs="Times New Roman"/>
        </w:rPr>
        <w:t xml:space="preserve">charging </w:t>
      </w:r>
      <w:r>
        <w:rPr>
          <w:rFonts w:ascii="Times New Roman" w:hAnsi="Times New Roman" w:cs="Times New Roman"/>
        </w:rPr>
        <w:t>load from evening peak hours to off-peak hours</w:t>
      </w:r>
      <w:r w:rsidR="00B4649D">
        <w:rPr>
          <w:rFonts w:ascii="Times New Roman" w:hAnsi="Times New Roman" w:cs="Times New Roman"/>
        </w:rPr>
        <w:t xml:space="preserve"> </w:t>
      </w:r>
      <w:r>
        <w:rPr>
          <w:rFonts w:ascii="Times New Roman" w:hAnsi="Times New Roman" w:cs="Times New Roman"/>
        </w:rPr>
        <w:t>whi</w:t>
      </w:r>
      <w:r w:rsidR="00B4649D">
        <w:rPr>
          <w:rFonts w:ascii="Times New Roman" w:hAnsi="Times New Roman" w:cs="Times New Roman"/>
        </w:rPr>
        <w:t xml:space="preserve">le the </w:t>
      </w:r>
      <w:r w:rsidR="00A86FFD">
        <w:rPr>
          <w:rFonts w:ascii="Times New Roman" w:hAnsi="Times New Roman" w:cs="Times New Roman"/>
        </w:rPr>
        <w:t>EV</w:t>
      </w:r>
      <w:r w:rsidR="00B4649D">
        <w:rPr>
          <w:rFonts w:ascii="Times New Roman" w:hAnsi="Times New Roman" w:cs="Times New Roman"/>
        </w:rPr>
        <w:t xml:space="preserve"> is parked </w:t>
      </w:r>
      <w:r>
        <w:rPr>
          <w:rFonts w:ascii="Times New Roman" w:hAnsi="Times New Roman" w:cs="Times New Roman"/>
        </w:rPr>
        <w:t>overnight</w:t>
      </w:r>
      <w:r w:rsidR="00B4649D">
        <w:rPr>
          <w:rFonts w:ascii="Times New Roman" w:hAnsi="Times New Roman" w:cs="Times New Roman"/>
        </w:rPr>
        <w:t>, while still fully charging the battery by the time the customer uses the vehicle the next day.</w:t>
      </w:r>
    </w:p>
    <w:p w14:paraId="59BF3576" w14:textId="77777777" w:rsidR="002243F0" w:rsidRDefault="002243F0" w:rsidP="00EE7BE4">
      <w:pPr>
        <w:spacing w:line="360" w:lineRule="auto"/>
        <w:jc w:val="center"/>
        <w:rPr>
          <w:rFonts w:ascii="Times New Roman" w:hAnsi="Times New Roman" w:cs="Times New Roman"/>
        </w:rPr>
      </w:pPr>
    </w:p>
    <w:p w14:paraId="59BF3577" w14:textId="77777777" w:rsidR="00F93984" w:rsidRDefault="00F93984" w:rsidP="00EE7BE4">
      <w:pPr>
        <w:rPr>
          <w:rFonts w:ascii="Times New Roman" w:hAnsi="Times New Roman" w:cs="Times New Roman"/>
          <w:b/>
          <w:u w:val="single"/>
        </w:rPr>
      </w:pPr>
      <w:r>
        <w:rPr>
          <w:rFonts w:ascii="Times New Roman" w:hAnsi="Times New Roman" w:cs="Times New Roman"/>
          <w:b/>
          <w:u w:val="single"/>
        </w:rPr>
        <w:br w:type="page"/>
      </w:r>
      <w:r w:rsidRPr="00F93984">
        <w:rPr>
          <w:rFonts w:ascii="Times New Roman" w:hAnsi="Times New Roman" w:cs="Times New Roman"/>
          <w:b/>
          <w:u w:val="single"/>
        </w:rPr>
        <w:lastRenderedPageBreak/>
        <w:t>Chart No. 7:</w:t>
      </w:r>
    </w:p>
    <w:p w14:paraId="59BF3578" w14:textId="77777777" w:rsidR="00EE7BE4" w:rsidRPr="00F93984" w:rsidRDefault="00EE7BE4" w:rsidP="00EE7BE4">
      <w:pPr>
        <w:spacing w:line="360" w:lineRule="auto"/>
        <w:rPr>
          <w:rFonts w:ascii="Times New Roman" w:hAnsi="Times New Roman" w:cs="Times New Roman"/>
          <w:b/>
          <w:u w:val="single"/>
        </w:rPr>
      </w:pPr>
    </w:p>
    <w:p w14:paraId="59BF3579" w14:textId="77777777" w:rsidR="002243F0" w:rsidRDefault="007B27EE" w:rsidP="00EE7BE4">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59BF35A0" wp14:editId="59BF35A1">
            <wp:extent cx="3966821" cy="24219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709" cy="2431032"/>
                    </a:xfrm>
                    <a:prstGeom prst="rect">
                      <a:avLst/>
                    </a:prstGeom>
                    <a:noFill/>
                  </pic:spPr>
                </pic:pic>
              </a:graphicData>
            </a:graphic>
          </wp:inline>
        </w:drawing>
      </w:r>
    </w:p>
    <w:p w14:paraId="59BF357A" w14:textId="77777777" w:rsidR="009F61D7" w:rsidRDefault="009F61D7" w:rsidP="00EE7BE4">
      <w:pPr>
        <w:spacing w:line="360" w:lineRule="auto"/>
        <w:jc w:val="both"/>
        <w:rPr>
          <w:rFonts w:ascii="Times New Roman" w:eastAsia="Calibri" w:hAnsi="Times New Roman" w:cs="Times New Roman"/>
        </w:rPr>
      </w:pPr>
    </w:p>
    <w:p w14:paraId="59BF357B" w14:textId="77777777" w:rsidR="00B4649D" w:rsidRDefault="00B4649D" w:rsidP="00EE7BE4">
      <w:pPr>
        <w:spacing w:line="360" w:lineRule="auto"/>
        <w:jc w:val="both"/>
        <w:rPr>
          <w:rFonts w:ascii="Times New Roman" w:eastAsia="Calibri" w:hAnsi="Times New Roman" w:cs="Times New Roman"/>
        </w:rPr>
      </w:pPr>
      <w:r>
        <w:rPr>
          <w:rFonts w:ascii="Times New Roman" w:eastAsia="Calibri" w:hAnsi="Times New Roman" w:cs="Times New Roman"/>
        </w:rPr>
        <w:t>As the pilot proceeds, ongoing data collection in residential and commercial locations will provide for more detailed analysis and reporting.</w:t>
      </w:r>
    </w:p>
    <w:p w14:paraId="59BF357C" w14:textId="77777777" w:rsidR="00B4649D" w:rsidRDefault="00B4649D" w:rsidP="00EE7BE4">
      <w:pPr>
        <w:spacing w:line="360" w:lineRule="auto"/>
        <w:jc w:val="both"/>
        <w:rPr>
          <w:rFonts w:ascii="Times New Roman" w:eastAsia="Calibri" w:hAnsi="Times New Roman" w:cs="Times New Roman"/>
        </w:rPr>
      </w:pPr>
    </w:p>
    <w:p w14:paraId="59BF357D" w14:textId="77777777" w:rsidR="00783A23" w:rsidRPr="008A1F79" w:rsidRDefault="00783A23" w:rsidP="00EE7BE4">
      <w:pPr>
        <w:spacing w:line="360" w:lineRule="auto"/>
        <w:jc w:val="both"/>
        <w:rPr>
          <w:rFonts w:ascii="Times New Roman" w:eastAsia="Calibri" w:hAnsi="Times New Roman" w:cs="Times New Roman"/>
          <w:b/>
        </w:rPr>
      </w:pPr>
      <w:r>
        <w:rPr>
          <w:rFonts w:ascii="Times New Roman" w:eastAsia="Calibri" w:hAnsi="Times New Roman" w:cs="Times New Roman"/>
          <w:b/>
        </w:rPr>
        <w:t>Expenditures</w:t>
      </w:r>
      <w:r w:rsidR="00D2684C">
        <w:rPr>
          <w:rFonts w:ascii="Times New Roman" w:eastAsia="Calibri" w:hAnsi="Times New Roman" w:cs="Times New Roman"/>
          <w:b/>
        </w:rPr>
        <w:t xml:space="preserve"> &amp; Revenues</w:t>
      </w:r>
    </w:p>
    <w:p w14:paraId="59BF357E" w14:textId="77777777" w:rsidR="00783A23" w:rsidRDefault="00783A23" w:rsidP="00EE7BE4">
      <w:pPr>
        <w:spacing w:line="360" w:lineRule="auto"/>
        <w:jc w:val="both"/>
        <w:rPr>
          <w:rFonts w:ascii="Times New Roman" w:eastAsia="Calibri" w:hAnsi="Times New Roman" w:cs="Times New Roman"/>
        </w:rPr>
      </w:pPr>
    </w:p>
    <w:p w14:paraId="59BF357F" w14:textId="77777777" w:rsidR="00D2684C" w:rsidRDefault="00063333" w:rsidP="00EE7BE4">
      <w:pPr>
        <w:spacing w:line="360" w:lineRule="auto"/>
        <w:jc w:val="both"/>
        <w:rPr>
          <w:rFonts w:ascii="Times New Roman" w:eastAsia="Calibri" w:hAnsi="Times New Roman" w:cs="Times New Roman"/>
        </w:rPr>
      </w:pPr>
      <w:r>
        <w:rPr>
          <w:rFonts w:ascii="Times New Roman" w:eastAsia="Calibri" w:hAnsi="Times New Roman" w:cs="Times New Roman"/>
        </w:rPr>
        <w:t xml:space="preserve">Expenditures through </w:t>
      </w:r>
      <w:r w:rsidR="002F14A1">
        <w:rPr>
          <w:rFonts w:ascii="Times New Roman" w:eastAsia="Calibri" w:hAnsi="Times New Roman" w:cs="Times New Roman"/>
        </w:rPr>
        <w:t>January 23, 2017</w:t>
      </w:r>
      <w:r>
        <w:rPr>
          <w:rFonts w:ascii="Times New Roman" w:eastAsia="Calibri" w:hAnsi="Times New Roman" w:cs="Times New Roman"/>
        </w:rPr>
        <w:t xml:space="preserve"> totaled $</w:t>
      </w:r>
      <w:r w:rsidR="00D2684C">
        <w:rPr>
          <w:rFonts w:ascii="Times New Roman" w:eastAsia="Calibri" w:hAnsi="Times New Roman" w:cs="Times New Roman"/>
        </w:rPr>
        <w:t>616,038</w:t>
      </w:r>
      <w:r>
        <w:rPr>
          <w:rFonts w:ascii="Times New Roman" w:eastAsia="Calibri" w:hAnsi="Times New Roman" w:cs="Times New Roman"/>
        </w:rPr>
        <w:t xml:space="preserve">.  A </w:t>
      </w:r>
      <w:r w:rsidR="005E04BD">
        <w:rPr>
          <w:rFonts w:ascii="Times New Roman" w:eastAsia="Calibri" w:hAnsi="Times New Roman" w:cs="Times New Roman"/>
        </w:rPr>
        <w:t xml:space="preserve">more </w:t>
      </w:r>
      <w:r>
        <w:rPr>
          <w:rFonts w:ascii="Times New Roman" w:eastAsia="Calibri" w:hAnsi="Times New Roman" w:cs="Times New Roman"/>
        </w:rPr>
        <w:t xml:space="preserve">detailed breakdown </w:t>
      </w:r>
      <w:r w:rsidR="00D2684C">
        <w:rPr>
          <w:rFonts w:ascii="Times New Roman" w:eastAsia="Calibri" w:hAnsi="Times New Roman" w:cs="Times New Roman"/>
        </w:rPr>
        <w:t xml:space="preserve">is </w:t>
      </w:r>
      <w:r w:rsidR="00477CCB">
        <w:rPr>
          <w:rFonts w:ascii="Times New Roman" w:eastAsia="Calibri" w:hAnsi="Times New Roman" w:cs="Times New Roman"/>
        </w:rPr>
        <w:t>provided</w:t>
      </w:r>
      <w:r>
        <w:rPr>
          <w:rFonts w:ascii="Times New Roman" w:eastAsia="Calibri" w:hAnsi="Times New Roman" w:cs="Times New Roman"/>
        </w:rPr>
        <w:t xml:space="preserve"> </w:t>
      </w:r>
      <w:r w:rsidR="00D2684C">
        <w:rPr>
          <w:rFonts w:ascii="Times New Roman" w:eastAsia="Calibri" w:hAnsi="Times New Roman" w:cs="Times New Roman"/>
        </w:rPr>
        <w:t xml:space="preserve">in Attachment A.  </w:t>
      </w:r>
    </w:p>
    <w:p w14:paraId="59BF3580" w14:textId="77777777" w:rsidR="00696D4E" w:rsidRDefault="00696D4E" w:rsidP="00EE7BE4">
      <w:pPr>
        <w:spacing w:line="360" w:lineRule="auto"/>
        <w:jc w:val="both"/>
        <w:rPr>
          <w:rFonts w:ascii="Times New Roman" w:eastAsia="Calibri" w:hAnsi="Times New Roman" w:cs="Times New Roman"/>
        </w:rPr>
      </w:pPr>
    </w:p>
    <w:p w14:paraId="59BF3581" w14:textId="77777777" w:rsidR="00063333" w:rsidRPr="00D2684C" w:rsidRDefault="00063333" w:rsidP="00EE7BE4">
      <w:pPr>
        <w:spacing w:line="360" w:lineRule="auto"/>
        <w:jc w:val="both"/>
        <w:rPr>
          <w:rFonts w:ascii="Times New Roman" w:eastAsia="Calibri" w:hAnsi="Times New Roman" w:cs="Times New Roman"/>
        </w:rPr>
      </w:pPr>
      <w:r>
        <w:rPr>
          <w:rFonts w:ascii="Times New Roman" w:hAnsi="Times New Roman" w:cs="Times New Roman"/>
        </w:rPr>
        <w:t>The Company does not yet have sufficient information regarding revenues for each service offered.  As the pilot progresses, this information will become available and reported</w:t>
      </w:r>
      <w:r w:rsidR="005E04BD">
        <w:rPr>
          <w:rFonts w:ascii="Times New Roman" w:hAnsi="Times New Roman" w:cs="Times New Roman"/>
        </w:rPr>
        <w:t>.</w:t>
      </w:r>
    </w:p>
    <w:p w14:paraId="59BF3582" w14:textId="77777777" w:rsidR="009B2424" w:rsidRDefault="009B2424" w:rsidP="00EE7BE4">
      <w:pPr>
        <w:spacing w:line="360" w:lineRule="auto"/>
        <w:jc w:val="both"/>
        <w:rPr>
          <w:rFonts w:ascii="Times New Roman" w:hAnsi="Times New Roman" w:cs="Times New Roman"/>
        </w:rPr>
      </w:pPr>
    </w:p>
    <w:p w14:paraId="59BF3583" w14:textId="77777777" w:rsidR="006C150A" w:rsidRPr="00651AD2" w:rsidRDefault="005E04BD" w:rsidP="00EE7BE4">
      <w:pPr>
        <w:spacing w:line="360" w:lineRule="auto"/>
        <w:jc w:val="both"/>
        <w:rPr>
          <w:rFonts w:ascii="Times New Roman" w:hAnsi="Times New Roman" w:cs="Times New Roman"/>
        </w:rPr>
      </w:pPr>
      <w:r>
        <w:rPr>
          <w:rFonts w:ascii="Times New Roman" w:hAnsi="Times New Roman" w:cs="Times New Roman"/>
        </w:rPr>
        <w:t xml:space="preserve">Please direct </w:t>
      </w:r>
      <w:r w:rsidR="006C150A" w:rsidRPr="00651AD2">
        <w:rPr>
          <w:rFonts w:ascii="Times New Roman" w:hAnsi="Times New Roman" w:cs="Times New Roman"/>
        </w:rPr>
        <w:t xml:space="preserve">any questions regarding this </w:t>
      </w:r>
      <w:r w:rsidR="006C150A">
        <w:rPr>
          <w:rFonts w:ascii="Times New Roman" w:hAnsi="Times New Roman" w:cs="Times New Roman"/>
        </w:rPr>
        <w:t>report</w:t>
      </w:r>
      <w:r>
        <w:rPr>
          <w:rFonts w:ascii="Times New Roman" w:hAnsi="Times New Roman" w:cs="Times New Roman"/>
        </w:rPr>
        <w:t xml:space="preserve"> to</w:t>
      </w:r>
      <w:r w:rsidR="006C150A" w:rsidRPr="00651AD2">
        <w:rPr>
          <w:rFonts w:ascii="Times New Roman" w:hAnsi="Times New Roman" w:cs="Times New Roman"/>
        </w:rPr>
        <w:t xml:space="preserve"> </w:t>
      </w:r>
      <w:r w:rsidR="006C150A">
        <w:rPr>
          <w:rFonts w:ascii="Times New Roman" w:hAnsi="Times New Roman" w:cs="Times New Roman"/>
        </w:rPr>
        <w:t>Rendall Farley</w:t>
      </w:r>
      <w:r w:rsidR="006C150A" w:rsidRPr="00651AD2">
        <w:rPr>
          <w:rFonts w:ascii="Times New Roman" w:hAnsi="Times New Roman" w:cs="Times New Roman"/>
        </w:rPr>
        <w:t xml:space="preserve"> at 509-495-</w:t>
      </w:r>
      <w:r w:rsidR="006C150A">
        <w:rPr>
          <w:rFonts w:ascii="Times New Roman" w:hAnsi="Times New Roman" w:cs="Times New Roman"/>
        </w:rPr>
        <w:t>2823</w:t>
      </w:r>
      <w:r>
        <w:rPr>
          <w:rFonts w:ascii="Times New Roman" w:hAnsi="Times New Roman" w:cs="Times New Roman"/>
        </w:rPr>
        <w:t xml:space="preserve">, </w:t>
      </w:r>
      <w:hyperlink r:id="rId20" w:history="1">
        <w:r w:rsidRPr="007E0E73">
          <w:rPr>
            <w:rStyle w:val="Hyperlink"/>
            <w:rFonts w:ascii="Times New Roman" w:hAnsi="Times New Roman" w:cs="Times New Roman"/>
          </w:rPr>
          <w:t>rendall.farley@avistacorp.com</w:t>
        </w:r>
      </w:hyperlink>
      <w:r>
        <w:rPr>
          <w:rFonts w:ascii="Times New Roman" w:hAnsi="Times New Roman" w:cs="Times New Roman"/>
        </w:rPr>
        <w:t xml:space="preserve">, </w:t>
      </w:r>
      <w:r w:rsidR="006C150A" w:rsidRPr="00651AD2">
        <w:rPr>
          <w:rFonts w:ascii="Times New Roman" w:hAnsi="Times New Roman" w:cs="Times New Roman"/>
        </w:rPr>
        <w:t>or myself at 509-495-</w:t>
      </w:r>
      <w:r w:rsidR="006C150A">
        <w:rPr>
          <w:rFonts w:ascii="Times New Roman" w:hAnsi="Times New Roman" w:cs="Times New Roman"/>
        </w:rPr>
        <w:t>2782</w:t>
      </w:r>
      <w:r>
        <w:rPr>
          <w:rFonts w:ascii="Times New Roman" w:hAnsi="Times New Roman" w:cs="Times New Roman"/>
        </w:rPr>
        <w:t xml:space="preserve">, </w:t>
      </w:r>
      <w:hyperlink r:id="rId21" w:history="1">
        <w:r w:rsidRPr="007E0E73">
          <w:rPr>
            <w:rStyle w:val="Hyperlink"/>
            <w:rFonts w:ascii="Times New Roman" w:hAnsi="Times New Roman" w:cs="Times New Roman"/>
          </w:rPr>
          <w:t>shawn.bonfield@avistacorp.com</w:t>
        </w:r>
      </w:hyperlink>
      <w:r w:rsidR="006C150A" w:rsidRPr="00651AD2">
        <w:rPr>
          <w:rFonts w:ascii="Times New Roman" w:hAnsi="Times New Roman" w:cs="Times New Roman"/>
        </w:rPr>
        <w:t>.</w:t>
      </w:r>
    </w:p>
    <w:p w14:paraId="59BF3584" w14:textId="77777777" w:rsidR="006C150A" w:rsidRDefault="006C150A" w:rsidP="00EE7BE4">
      <w:pPr>
        <w:jc w:val="both"/>
        <w:rPr>
          <w:rFonts w:ascii="Times New Roman" w:hAnsi="Times New Roman" w:cs="Times New Roman"/>
        </w:rPr>
      </w:pPr>
    </w:p>
    <w:p w14:paraId="59BF3585" w14:textId="77777777" w:rsidR="00337F64" w:rsidRDefault="00337F64" w:rsidP="00EE7BE4">
      <w:pPr>
        <w:contextualSpacing/>
        <w:jc w:val="both"/>
        <w:rPr>
          <w:rFonts w:ascii="Times New Roman" w:hAnsi="Times New Roman" w:cs="Times New Roman"/>
        </w:rPr>
      </w:pPr>
      <w:r w:rsidRPr="000D15BF">
        <w:rPr>
          <w:rFonts w:ascii="Times New Roman" w:hAnsi="Times New Roman" w:cs="Times New Roman"/>
        </w:rPr>
        <w:t>Sincerely,</w:t>
      </w:r>
    </w:p>
    <w:p w14:paraId="59BF3586" w14:textId="77777777" w:rsidR="00337F64" w:rsidRPr="000D15BF" w:rsidRDefault="00337F64" w:rsidP="00EE7BE4">
      <w:pPr>
        <w:contextualSpacing/>
        <w:jc w:val="both"/>
        <w:rPr>
          <w:rFonts w:ascii="Times New Roman" w:hAnsi="Times New Roman" w:cs="Times New Roman"/>
        </w:rPr>
      </w:pPr>
    </w:p>
    <w:p w14:paraId="59BF3587" w14:textId="77777777" w:rsidR="00337F64" w:rsidRPr="00F20848" w:rsidRDefault="00F20848" w:rsidP="00EE7BE4">
      <w:pPr>
        <w:contextualSpacing/>
        <w:jc w:val="both"/>
        <w:rPr>
          <w:rFonts w:ascii="Brush Script MT" w:hAnsi="Brush Script MT" w:cs="Times New Roman"/>
          <w:noProof/>
          <w:sz w:val="32"/>
        </w:rPr>
      </w:pPr>
      <w:r w:rsidRPr="00F20848">
        <w:rPr>
          <w:rFonts w:ascii="Brush Script MT" w:hAnsi="Brush Script MT" w:cs="Times New Roman"/>
          <w:noProof/>
          <w:sz w:val="32"/>
        </w:rPr>
        <w:t>Shawn Bonfield</w:t>
      </w:r>
    </w:p>
    <w:p w14:paraId="59BF3588" w14:textId="77777777" w:rsidR="00337F64" w:rsidRPr="000D15BF" w:rsidRDefault="00337F64" w:rsidP="00EE7BE4">
      <w:pPr>
        <w:contextualSpacing/>
        <w:jc w:val="both"/>
        <w:rPr>
          <w:rFonts w:ascii="Times New Roman" w:hAnsi="Times New Roman" w:cs="Times New Roman"/>
        </w:rPr>
      </w:pPr>
    </w:p>
    <w:p w14:paraId="59BF3589" w14:textId="77777777" w:rsidR="00337F64" w:rsidRPr="000D15BF" w:rsidRDefault="00F20848" w:rsidP="00EE7BE4">
      <w:pPr>
        <w:contextualSpacing/>
        <w:jc w:val="both"/>
        <w:rPr>
          <w:rFonts w:ascii="Times New Roman" w:hAnsi="Times New Roman" w:cs="Times New Roman"/>
        </w:rPr>
      </w:pPr>
      <w:r>
        <w:rPr>
          <w:rFonts w:ascii="Times New Roman" w:hAnsi="Times New Roman" w:cs="Times New Roman"/>
        </w:rPr>
        <w:t>Sr. Regulatory Policy Analyst</w:t>
      </w:r>
    </w:p>
    <w:p w14:paraId="59BF358A" w14:textId="77777777" w:rsidR="00B6418A" w:rsidRDefault="00337F64" w:rsidP="00EE7BE4">
      <w:pPr>
        <w:contextualSpacing/>
        <w:jc w:val="both"/>
        <w:rPr>
          <w:rFonts w:ascii="Times New Roman" w:hAnsi="Times New Roman" w:cs="Times New Roman"/>
          <w:b/>
          <w:sz w:val="28"/>
          <w:lang w:val="fr-FR"/>
        </w:rPr>
      </w:pPr>
      <w:r w:rsidRPr="00FF70D0">
        <w:rPr>
          <w:rFonts w:ascii="Times New Roman" w:hAnsi="Times New Roman" w:cs="Times New Roman"/>
          <w:lang w:val="fr-FR"/>
        </w:rPr>
        <w:t>Avista Utilities</w:t>
      </w:r>
      <w:r w:rsidR="00B6418A">
        <w:rPr>
          <w:rFonts w:ascii="Times New Roman" w:hAnsi="Times New Roman" w:cs="Times New Roman"/>
          <w:b/>
          <w:sz w:val="28"/>
          <w:lang w:val="fr-FR"/>
        </w:rPr>
        <w:br w:type="page"/>
      </w:r>
    </w:p>
    <w:p w14:paraId="59BF358B" w14:textId="77777777" w:rsidR="00261B71" w:rsidRDefault="00261B71" w:rsidP="00EE7BE4">
      <w:pPr>
        <w:jc w:val="both"/>
        <w:rPr>
          <w:rFonts w:ascii="Times New Roman" w:hAnsi="Times New Roman" w:cs="Times New Roman"/>
          <w:b/>
          <w:sz w:val="28"/>
          <w:lang w:val="fr-FR"/>
        </w:rPr>
        <w:sectPr w:rsidR="00261B71" w:rsidSect="00F54081">
          <w:headerReference w:type="default" r:id="rId22"/>
          <w:footerReference w:type="default" r:id="rId23"/>
          <w:headerReference w:type="first" r:id="rId24"/>
          <w:pgSz w:w="12240" w:h="15840"/>
          <w:pgMar w:top="1800" w:right="1440" w:bottom="1440" w:left="1440" w:header="360" w:footer="226" w:gutter="0"/>
          <w:cols w:space="720"/>
          <w:titlePg/>
        </w:sectPr>
      </w:pPr>
    </w:p>
    <w:p w14:paraId="59BF358C" w14:textId="77777777" w:rsidR="006550F4" w:rsidRPr="00DA048B" w:rsidRDefault="006550F4" w:rsidP="006550F4">
      <w:pPr>
        <w:jc w:val="center"/>
        <w:rPr>
          <w:rFonts w:asciiTheme="majorHAnsi" w:hAnsiTheme="majorHAnsi" w:cs="Times New Roman"/>
          <w:b/>
          <w:sz w:val="28"/>
          <w:lang w:val="fr-FR"/>
        </w:rPr>
      </w:pPr>
      <w:r w:rsidRPr="00DA048B">
        <w:rPr>
          <w:rFonts w:asciiTheme="majorHAnsi" w:hAnsiTheme="majorHAnsi" w:cs="Times New Roman"/>
          <w:b/>
          <w:sz w:val="28"/>
          <w:lang w:val="fr-FR"/>
        </w:rPr>
        <w:lastRenderedPageBreak/>
        <w:t>Attachment</w:t>
      </w:r>
      <w:r w:rsidR="005E04BD" w:rsidRPr="00DA048B">
        <w:rPr>
          <w:rFonts w:asciiTheme="majorHAnsi" w:hAnsiTheme="majorHAnsi" w:cs="Times New Roman"/>
          <w:b/>
          <w:sz w:val="28"/>
          <w:lang w:val="fr-FR"/>
        </w:rPr>
        <w:t xml:space="preserve"> A</w:t>
      </w:r>
      <w:r w:rsidR="00261B71" w:rsidRPr="00DA048B">
        <w:rPr>
          <w:rFonts w:asciiTheme="majorHAnsi" w:hAnsiTheme="majorHAnsi" w:cs="Times New Roman"/>
          <w:b/>
          <w:sz w:val="28"/>
          <w:lang w:val="fr-FR"/>
        </w:rPr>
        <w:t xml:space="preserve"> </w:t>
      </w:r>
    </w:p>
    <w:p w14:paraId="59BF358D" w14:textId="77777777" w:rsidR="00063333" w:rsidRPr="00DA048B" w:rsidRDefault="00063333" w:rsidP="006550F4">
      <w:pPr>
        <w:jc w:val="center"/>
        <w:rPr>
          <w:rFonts w:asciiTheme="majorHAnsi" w:hAnsiTheme="majorHAnsi" w:cs="Times New Roman"/>
          <w:b/>
          <w:sz w:val="28"/>
          <w:lang w:val="fr-FR"/>
        </w:rPr>
      </w:pPr>
      <w:r w:rsidRPr="00DA048B">
        <w:rPr>
          <w:rFonts w:asciiTheme="majorHAnsi" w:hAnsiTheme="majorHAnsi" w:cs="Times New Roman"/>
          <w:b/>
          <w:sz w:val="28"/>
          <w:lang w:val="fr-FR"/>
        </w:rPr>
        <w:t>Avista EVSE Pilot Program Expenditures</w:t>
      </w:r>
      <w:r w:rsidR="00647127" w:rsidRPr="00DA048B">
        <w:rPr>
          <w:rFonts w:asciiTheme="majorHAnsi" w:hAnsiTheme="majorHAnsi" w:cs="Times New Roman"/>
          <w:b/>
          <w:sz w:val="28"/>
          <w:lang w:val="fr-FR"/>
        </w:rPr>
        <w:t xml:space="preserve"> </w:t>
      </w:r>
      <w:r w:rsidR="00CD5B6D" w:rsidRPr="00DA048B">
        <w:rPr>
          <w:rFonts w:asciiTheme="majorHAnsi" w:hAnsiTheme="majorHAnsi" w:cs="Times New Roman"/>
          <w:b/>
          <w:sz w:val="28"/>
          <w:lang w:val="fr-FR"/>
        </w:rPr>
        <w:t>through</w:t>
      </w:r>
      <w:r w:rsidR="00647127" w:rsidRPr="00DA048B">
        <w:rPr>
          <w:rFonts w:asciiTheme="majorHAnsi" w:hAnsiTheme="majorHAnsi" w:cs="Times New Roman"/>
          <w:b/>
          <w:sz w:val="28"/>
          <w:lang w:val="fr-FR"/>
        </w:rPr>
        <w:t xml:space="preserve"> </w:t>
      </w:r>
      <w:r w:rsidR="00B07D17" w:rsidRPr="00DA048B">
        <w:rPr>
          <w:rFonts w:asciiTheme="majorHAnsi" w:hAnsiTheme="majorHAnsi" w:cs="Times New Roman"/>
          <w:b/>
          <w:sz w:val="28"/>
          <w:lang w:val="fr-FR"/>
        </w:rPr>
        <w:t>January 23, 2017</w:t>
      </w:r>
    </w:p>
    <w:p w14:paraId="59BF358E" w14:textId="77777777" w:rsidR="00063333" w:rsidRDefault="00063333" w:rsidP="00063333">
      <w:pPr>
        <w:jc w:val="both"/>
        <w:rPr>
          <w:rFonts w:ascii="Times New Roman" w:hAnsi="Times New Roman" w:cs="Times New Roman"/>
          <w:lang w:val="fr-FR"/>
        </w:rPr>
      </w:pPr>
    </w:p>
    <w:p w14:paraId="59BF358F" w14:textId="77777777" w:rsidR="00FE07B9" w:rsidRDefault="00FE07B9" w:rsidP="00063333">
      <w:pPr>
        <w:jc w:val="both"/>
        <w:rPr>
          <w:rFonts w:ascii="Times New Roman" w:hAnsi="Times New Roman" w:cs="Times New Roman"/>
          <w:lang w:val="fr-FR"/>
        </w:rPr>
      </w:pPr>
      <w:r>
        <w:rPr>
          <w:rFonts w:ascii="Times New Roman" w:hAnsi="Times New Roman" w:cs="Times New Roman"/>
          <w:lang w:val="fr-FR"/>
        </w:rPr>
        <w:t>Expenditures include all costs for both completed EVSE installations and installations in progress, as well as program administrative costs.</w:t>
      </w:r>
    </w:p>
    <w:p w14:paraId="59BF3590" w14:textId="77777777" w:rsidR="00FE07B9" w:rsidRDefault="00FE07B9" w:rsidP="00063333">
      <w:pPr>
        <w:jc w:val="both"/>
        <w:rPr>
          <w:rFonts w:ascii="Times New Roman" w:hAnsi="Times New Roman" w:cs="Times New Roman"/>
          <w:lang w:val="fr-FR"/>
        </w:rPr>
      </w:pPr>
    </w:p>
    <w:p w14:paraId="59BF3591" w14:textId="77777777" w:rsidR="00096701" w:rsidRPr="000D15BF" w:rsidRDefault="00041BEA" w:rsidP="00EF5E2B">
      <w:pPr>
        <w:ind w:left="90"/>
        <w:jc w:val="center"/>
        <w:rPr>
          <w:rFonts w:ascii="Times New Roman" w:hAnsi="Times New Roman" w:cs="Times New Roman"/>
          <w:lang w:val="fr-FR"/>
        </w:rPr>
      </w:pPr>
      <w:r w:rsidRPr="00041BEA">
        <w:rPr>
          <w:noProof/>
        </w:rPr>
        <w:drawing>
          <wp:inline distT="0" distB="0" distL="0" distR="0" wp14:anchorId="59BF35A2" wp14:editId="59BF35A3">
            <wp:extent cx="3861898" cy="655323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75154" cy="6575727"/>
                    </a:xfrm>
                    <a:prstGeom prst="rect">
                      <a:avLst/>
                    </a:prstGeom>
                    <a:noFill/>
                    <a:ln>
                      <a:noFill/>
                    </a:ln>
                  </pic:spPr>
                </pic:pic>
              </a:graphicData>
            </a:graphic>
          </wp:inline>
        </w:drawing>
      </w:r>
    </w:p>
    <w:sectPr w:rsidR="00096701" w:rsidRPr="000D15BF" w:rsidSect="00F54081">
      <w:headerReference w:type="first" r:id="rId26"/>
      <w:footerReference w:type="first" r:id="rId27"/>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35A6" w14:textId="77777777" w:rsidR="00E92359" w:rsidRDefault="00E92359" w:rsidP="002A1126">
      <w:r>
        <w:separator/>
      </w:r>
    </w:p>
  </w:endnote>
  <w:endnote w:type="continuationSeparator" w:id="0">
    <w:p w14:paraId="59BF35A7" w14:textId="77777777" w:rsidR="00E92359" w:rsidRDefault="00E92359"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35A9" w14:textId="77777777" w:rsidR="002243F0" w:rsidRPr="00783A23" w:rsidRDefault="002243F0">
    <w:pPr>
      <w:pStyle w:val="Footer"/>
      <w:jc w:val="center"/>
      <w:rPr>
        <w:rFonts w:ascii="Times New Roman" w:hAnsi="Times New Roman" w:cs="Times New Roman"/>
      </w:rPr>
    </w:pPr>
    <w:r w:rsidRPr="00783A23">
      <w:rPr>
        <w:rFonts w:ascii="Times New Roman" w:hAnsi="Times New Roman" w:cs="Times New Roman"/>
      </w:rPr>
      <w:t xml:space="preserve">Page </w:t>
    </w:r>
    <w:r w:rsidRPr="00783A23">
      <w:rPr>
        <w:rFonts w:ascii="Times New Roman" w:hAnsi="Times New Roman" w:cs="Times New Roman"/>
      </w:rPr>
      <w:fldChar w:fldCharType="begin"/>
    </w:r>
    <w:r w:rsidRPr="00783A23">
      <w:rPr>
        <w:rFonts w:ascii="Times New Roman" w:hAnsi="Times New Roman" w:cs="Times New Roman"/>
      </w:rPr>
      <w:instrText xml:space="preserve"> PAGE  \* Arabic  \* MERGEFORMAT </w:instrText>
    </w:r>
    <w:r w:rsidRPr="00783A23">
      <w:rPr>
        <w:rFonts w:ascii="Times New Roman" w:hAnsi="Times New Roman" w:cs="Times New Roman"/>
      </w:rPr>
      <w:fldChar w:fldCharType="separate"/>
    </w:r>
    <w:r w:rsidR="00A8333C">
      <w:rPr>
        <w:rFonts w:ascii="Times New Roman" w:hAnsi="Times New Roman" w:cs="Times New Roman"/>
        <w:noProof/>
      </w:rPr>
      <w:t>2</w:t>
    </w:r>
    <w:r w:rsidRPr="00783A23">
      <w:rPr>
        <w:rFonts w:ascii="Times New Roman" w:hAnsi="Times New Roman" w:cs="Times New Roman"/>
      </w:rPr>
      <w:fldChar w:fldCharType="end"/>
    </w:r>
    <w:r w:rsidRPr="00783A23">
      <w:rPr>
        <w:rFonts w:ascii="Times New Roman" w:hAnsi="Times New Roman" w:cs="Times New Roman"/>
      </w:rPr>
      <w:t xml:space="preserve"> of </w:t>
    </w:r>
    <w:r w:rsidRPr="00783A23">
      <w:rPr>
        <w:rFonts w:ascii="Times New Roman" w:hAnsi="Times New Roman" w:cs="Times New Roman"/>
      </w:rPr>
      <w:fldChar w:fldCharType="begin"/>
    </w:r>
    <w:r w:rsidRPr="00783A23">
      <w:rPr>
        <w:rFonts w:ascii="Times New Roman" w:hAnsi="Times New Roman" w:cs="Times New Roman"/>
      </w:rPr>
      <w:instrText xml:space="preserve"> NUMPAGES  \* Arabic  \* MERGEFORMAT </w:instrText>
    </w:r>
    <w:r w:rsidRPr="00783A23">
      <w:rPr>
        <w:rFonts w:ascii="Times New Roman" w:hAnsi="Times New Roman" w:cs="Times New Roman"/>
      </w:rPr>
      <w:fldChar w:fldCharType="separate"/>
    </w:r>
    <w:r w:rsidR="00A8333C">
      <w:rPr>
        <w:rFonts w:ascii="Times New Roman" w:hAnsi="Times New Roman" w:cs="Times New Roman"/>
        <w:noProof/>
      </w:rPr>
      <w:t>12</w:t>
    </w:r>
    <w:r w:rsidRPr="00783A23">
      <w:rPr>
        <w:rFonts w:ascii="Times New Roman" w:hAnsi="Times New Roman" w:cs="Times New Roman"/>
      </w:rPr>
      <w:fldChar w:fldCharType="end"/>
    </w:r>
  </w:p>
  <w:sdt>
    <w:sdtPr>
      <w:id w:val="-1828506008"/>
      <w:docPartObj>
        <w:docPartGallery w:val="Page Numbers (Top of Page)"/>
        <w:docPartUnique/>
      </w:docPartObj>
    </w:sdtPr>
    <w:sdtEndPr/>
    <w:sdtContent>
      <w:p w14:paraId="59BF35AA" w14:textId="77777777" w:rsidR="002243F0" w:rsidRDefault="002243F0" w:rsidP="00F54081">
        <w:pPr>
          <w:jc w:val="center"/>
          <w:rPr>
            <w:rFonts w:ascii="Times New Roman" w:hAnsi="Times New Roman" w:cs="Times New Roman"/>
          </w:rPr>
        </w:pPr>
      </w:p>
      <w:p w14:paraId="59BF35AB" w14:textId="77777777" w:rsidR="002243F0" w:rsidRDefault="00A8333C" w:rsidP="004C6C68"/>
    </w:sdtContent>
  </w:sdt>
  <w:p w14:paraId="59BF35AC" w14:textId="77777777" w:rsidR="002243F0" w:rsidRDefault="002243F0" w:rsidP="003D0502">
    <w:pPr>
      <w:pStyle w:val="Footer"/>
      <w:ind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35AF" w14:textId="77777777" w:rsidR="002243F0" w:rsidRDefault="002243F0">
    <w:pPr>
      <w:pStyle w:val="Footer"/>
    </w:pPr>
    <w:r>
      <w:tab/>
    </w:r>
    <w:r w:rsidRPr="006550F4">
      <w:rPr>
        <w:rFonts w:ascii="Times New Roman" w:hAnsi="Times New Roman" w:cs="Times New Roman"/>
      </w:rPr>
      <w:t xml:space="preserve">Attachment A - </w:t>
    </w:r>
    <w:r w:rsidRPr="00D311F8">
      <w:rPr>
        <w:rFonts w:ascii="Times New Roman" w:hAnsi="Times New Roman" w:cs="Times New Roman"/>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35A4" w14:textId="77777777" w:rsidR="00E92359" w:rsidRDefault="00E92359" w:rsidP="002A1126">
      <w:r>
        <w:separator/>
      </w:r>
    </w:p>
  </w:footnote>
  <w:footnote w:type="continuationSeparator" w:id="0">
    <w:p w14:paraId="59BF35A5" w14:textId="77777777" w:rsidR="00E92359" w:rsidRDefault="00E92359" w:rsidP="002A1126">
      <w:r>
        <w:continuationSeparator/>
      </w:r>
    </w:p>
  </w:footnote>
  <w:footnote w:id="1">
    <w:p w14:paraId="59BF35B2" w14:textId="77777777" w:rsidR="002243F0" w:rsidRDefault="002243F0">
      <w:pPr>
        <w:pStyle w:val="FootnoteText"/>
      </w:pPr>
      <w:r>
        <w:rPr>
          <w:rStyle w:val="FootnoteReference"/>
        </w:rPr>
        <w:footnoteRef/>
      </w:r>
      <w:r>
        <w:t xml:space="preserve"> Single Family Home</w:t>
      </w:r>
    </w:p>
  </w:footnote>
  <w:footnote w:id="2">
    <w:p w14:paraId="59BF35B3" w14:textId="77777777" w:rsidR="002243F0" w:rsidRDefault="002243F0">
      <w:pPr>
        <w:pStyle w:val="FootnoteText"/>
      </w:pPr>
      <w:r>
        <w:rPr>
          <w:rStyle w:val="FootnoteReference"/>
        </w:rPr>
        <w:footnoteRef/>
      </w:r>
      <w:r>
        <w:t xml:space="preserve"> Multifamily Unit Dwelling</w:t>
      </w:r>
    </w:p>
  </w:footnote>
  <w:footnote w:id="3">
    <w:p w14:paraId="59BF35B4" w14:textId="77777777" w:rsidR="002243F0" w:rsidRDefault="002243F0">
      <w:pPr>
        <w:pStyle w:val="FootnoteText"/>
      </w:pPr>
      <w:r>
        <w:rPr>
          <w:rStyle w:val="FootnoteReference"/>
        </w:rPr>
        <w:footnoteRef/>
      </w:r>
      <w:r>
        <w:t xml:space="preserve"> Completed – EVSE has been installed. Scheduled – EVSE is scheduled to be installed. Pending – customer application is pending full approval. Withdrawn – customer has withdrawn application from program. On Hold – customer application is on hold due to location of requested EVSE.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35A8" w14:textId="77777777" w:rsidR="002243F0" w:rsidRDefault="002243F0"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35AD" w14:textId="77777777" w:rsidR="002243F0" w:rsidRDefault="002243F0" w:rsidP="003D0502">
    <w:pPr>
      <w:pStyle w:val="Header"/>
      <w:spacing w:after="480"/>
      <w:ind w:left="-1166" w:right="-1166"/>
    </w:pPr>
    <w:r w:rsidRPr="0071027A">
      <w:rPr>
        <w:noProof/>
      </w:rPr>
      <w:drawing>
        <wp:inline distT="0" distB="0" distL="0" distR="0" wp14:anchorId="59BF35B0" wp14:editId="59BF35B1">
          <wp:extent cx="7397115" cy="1158881"/>
          <wp:effectExtent l="25400" t="0" r="0" b="0"/>
          <wp:docPr id="6" name="Picture 6"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35AE" w14:textId="77777777" w:rsidR="002243F0" w:rsidRPr="006550F4" w:rsidRDefault="002243F0" w:rsidP="00655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4130F"/>
    <w:multiLevelType w:val="hybridMultilevel"/>
    <w:tmpl w:val="6666B8C2"/>
    <w:lvl w:ilvl="0" w:tplc="6158F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4A019E"/>
    <w:multiLevelType w:val="hybridMultilevel"/>
    <w:tmpl w:val="8CE2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44D6"/>
    <w:multiLevelType w:val="hybridMultilevel"/>
    <w:tmpl w:val="70E816F4"/>
    <w:lvl w:ilvl="0" w:tplc="0409000F">
      <w:start w:val="1"/>
      <w:numFmt w:val="decimal"/>
      <w:lvlText w:val="%1."/>
      <w:lvlJc w:val="left"/>
      <w:pPr>
        <w:ind w:left="720" w:hanging="360"/>
      </w:pPr>
    </w:lvl>
    <w:lvl w:ilvl="1" w:tplc="883CE7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416B5"/>
    <w:multiLevelType w:val="hybridMultilevel"/>
    <w:tmpl w:val="BF5E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1"/>
  </w:num>
  <w:num w:numId="4">
    <w:abstractNumId w:val="16"/>
  </w:num>
  <w:num w:numId="5">
    <w:abstractNumId w:val="5"/>
  </w:num>
  <w:num w:numId="6">
    <w:abstractNumId w:val="20"/>
  </w:num>
  <w:num w:numId="7">
    <w:abstractNumId w:val="17"/>
  </w:num>
  <w:num w:numId="8">
    <w:abstractNumId w:val="24"/>
  </w:num>
  <w:num w:numId="9">
    <w:abstractNumId w:val="23"/>
  </w:num>
  <w:num w:numId="10">
    <w:abstractNumId w:val="22"/>
  </w:num>
  <w:num w:numId="11">
    <w:abstractNumId w:val="18"/>
  </w:num>
  <w:num w:numId="12">
    <w:abstractNumId w:val="7"/>
  </w:num>
  <w:num w:numId="13">
    <w:abstractNumId w:val="3"/>
  </w:num>
  <w:num w:numId="14">
    <w:abstractNumId w:val="0"/>
  </w:num>
  <w:num w:numId="15">
    <w:abstractNumId w:val="2"/>
  </w:num>
  <w:num w:numId="16">
    <w:abstractNumId w:val="13"/>
  </w:num>
  <w:num w:numId="17">
    <w:abstractNumId w:val="8"/>
  </w:num>
  <w:num w:numId="18">
    <w:abstractNumId w:val="14"/>
  </w:num>
  <w:num w:numId="19">
    <w:abstractNumId w:val="9"/>
  </w:num>
  <w:num w:numId="20">
    <w:abstractNumId w:val="6"/>
  </w:num>
  <w:num w:numId="21">
    <w:abstractNumId w:val="4"/>
  </w:num>
  <w:num w:numId="22">
    <w:abstractNumId w:val="15"/>
  </w:num>
  <w:num w:numId="23">
    <w:abstractNumId w:val="12"/>
  </w:num>
  <w:num w:numId="24">
    <w:abstractNumId w:val="10"/>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35F"/>
    <w:rsid w:val="000248C6"/>
    <w:rsid w:val="00027FB7"/>
    <w:rsid w:val="000369B1"/>
    <w:rsid w:val="00041BEA"/>
    <w:rsid w:val="00046436"/>
    <w:rsid w:val="00047C30"/>
    <w:rsid w:val="000515D1"/>
    <w:rsid w:val="00063333"/>
    <w:rsid w:val="00064A7E"/>
    <w:rsid w:val="00070446"/>
    <w:rsid w:val="0007296B"/>
    <w:rsid w:val="000749BD"/>
    <w:rsid w:val="00084289"/>
    <w:rsid w:val="00087646"/>
    <w:rsid w:val="00096701"/>
    <w:rsid w:val="00096744"/>
    <w:rsid w:val="000A610C"/>
    <w:rsid w:val="000A6C6F"/>
    <w:rsid w:val="000B09DE"/>
    <w:rsid w:val="000B6281"/>
    <w:rsid w:val="000C249F"/>
    <w:rsid w:val="000C6B1B"/>
    <w:rsid w:val="000D7C2B"/>
    <w:rsid w:val="000E37A7"/>
    <w:rsid w:val="000F10FF"/>
    <w:rsid w:val="000F350D"/>
    <w:rsid w:val="000F4873"/>
    <w:rsid w:val="00100EB1"/>
    <w:rsid w:val="00114E77"/>
    <w:rsid w:val="0011545A"/>
    <w:rsid w:val="001173FE"/>
    <w:rsid w:val="00122E57"/>
    <w:rsid w:val="001255C2"/>
    <w:rsid w:val="0013094D"/>
    <w:rsid w:val="00131166"/>
    <w:rsid w:val="00134CA1"/>
    <w:rsid w:val="00142E03"/>
    <w:rsid w:val="00161957"/>
    <w:rsid w:val="00165AB5"/>
    <w:rsid w:val="00167824"/>
    <w:rsid w:val="00183969"/>
    <w:rsid w:val="001856CB"/>
    <w:rsid w:val="0019256D"/>
    <w:rsid w:val="001944EB"/>
    <w:rsid w:val="0019753A"/>
    <w:rsid w:val="001A4852"/>
    <w:rsid w:val="001A6BF9"/>
    <w:rsid w:val="001A7D8F"/>
    <w:rsid w:val="001B255F"/>
    <w:rsid w:val="001B29A5"/>
    <w:rsid w:val="001B459E"/>
    <w:rsid w:val="001C504A"/>
    <w:rsid w:val="001C6DB1"/>
    <w:rsid w:val="001D2DB5"/>
    <w:rsid w:val="001D4E89"/>
    <w:rsid w:val="001D5E5E"/>
    <w:rsid w:val="001E2AB9"/>
    <w:rsid w:val="001E5E9A"/>
    <w:rsid w:val="001E72F0"/>
    <w:rsid w:val="001E7D9B"/>
    <w:rsid w:val="001F5FCA"/>
    <w:rsid w:val="002071FB"/>
    <w:rsid w:val="00207727"/>
    <w:rsid w:val="00213F03"/>
    <w:rsid w:val="00221113"/>
    <w:rsid w:val="0022116D"/>
    <w:rsid w:val="002243F0"/>
    <w:rsid w:val="00236DDB"/>
    <w:rsid w:val="0023794F"/>
    <w:rsid w:val="002433D5"/>
    <w:rsid w:val="00247995"/>
    <w:rsid w:val="00257F21"/>
    <w:rsid w:val="0026107E"/>
    <w:rsid w:val="00261B71"/>
    <w:rsid w:val="00261CF7"/>
    <w:rsid w:val="002664BF"/>
    <w:rsid w:val="002671D5"/>
    <w:rsid w:val="0027135F"/>
    <w:rsid w:val="00273E68"/>
    <w:rsid w:val="002756FF"/>
    <w:rsid w:val="00287463"/>
    <w:rsid w:val="00287DF2"/>
    <w:rsid w:val="002A0DC5"/>
    <w:rsid w:val="002A103E"/>
    <w:rsid w:val="002A1126"/>
    <w:rsid w:val="002B316C"/>
    <w:rsid w:val="002B7D0E"/>
    <w:rsid w:val="002C14DB"/>
    <w:rsid w:val="002C2722"/>
    <w:rsid w:val="002C7C44"/>
    <w:rsid w:val="002D14D8"/>
    <w:rsid w:val="002E6643"/>
    <w:rsid w:val="002F14A1"/>
    <w:rsid w:val="002F218E"/>
    <w:rsid w:val="002F4C58"/>
    <w:rsid w:val="002F536E"/>
    <w:rsid w:val="00313771"/>
    <w:rsid w:val="00314215"/>
    <w:rsid w:val="00321EEC"/>
    <w:rsid w:val="0032400B"/>
    <w:rsid w:val="003258D7"/>
    <w:rsid w:val="0032776A"/>
    <w:rsid w:val="00336A40"/>
    <w:rsid w:val="00337F64"/>
    <w:rsid w:val="0034325A"/>
    <w:rsid w:val="00344DC2"/>
    <w:rsid w:val="0035206C"/>
    <w:rsid w:val="00355E5A"/>
    <w:rsid w:val="00367A25"/>
    <w:rsid w:val="00370CA6"/>
    <w:rsid w:val="00376A2F"/>
    <w:rsid w:val="003A12C3"/>
    <w:rsid w:val="003A199A"/>
    <w:rsid w:val="003A4973"/>
    <w:rsid w:val="003B16D1"/>
    <w:rsid w:val="003D0502"/>
    <w:rsid w:val="003D25E1"/>
    <w:rsid w:val="003D2B0E"/>
    <w:rsid w:val="003D53A1"/>
    <w:rsid w:val="003F3678"/>
    <w:rsid w:val="003F7181"/>
    <w:rsid w:val="00407476"/>
    <w:rsid w:val="00421E87"/>
    <w:rsid w:val="00441F4A"/>
    <w:rsid w:val="00443A3B"/>
    <w:rsid w:val="004521D4"/>
    <w:rsid w:val="00457CA2"/>
    <w:rsid w:val="004708AF"/>
    <w:rsid w:val="004712D1"/>
    <w:rsid w:val="00477CCB"/>
    <w:rsid w:val="00477F3F"/>
    <w:rsid w:val="004814F2"/>
    <w:rsid w:val="00485E4F"/>
    <w:rsid w:val="004913E4"/>
    <w:rsid w:val="00494219"/>
    <w:rsid w:val="004A2ECD"/>
    <w:rsid w:val="004A5514"/>
    <w:rsid w:val="004A5DE1"/>
    <w:rsid w:val="004A6346"/>
    <w:rsid w:val="004B5927"/>
    <w:rsid w:val="004B7AAF"/>
    <w:rsid w:val="004C0897"/>
    <w:rsid w:val="004C6C68"/>
    <w:rsid w:val="004D1DBE"/>
    <w:rsid w:val="004D4187"/>
    <w:rsid w:val="004E29CE"/>
    <w:rsid w:val="004E5D26"/>
    <w:rsid w:val="004F0435"/>
    <w:rsid w:val="004F1B02"/>
    <w:rsid w:val="004F7450"/>
    <w:rsid w:val="005011E0"/>
    <w:rsid w:val="00507690"/>
    <w:rsid w:val="00507F24"/>
    <w:rsid w:val="00520A2D"/>
    <w:rsid w:val="00525902"/>
    <w:rsid w:val="0053159B"/>
    <w:rsid w:val="005342EC"/>
    <w:rsid w:val="005343ED"/>
    <w:rsid w:val="00547E25"/>
    <w:rsid w:val="00552886"/>
    <w:rsid w:val="00554CDD"/>
    <w:rsid w:val="00555FE6"/>
    <w:rsid w:val="00561E47"/>
    <w:rsid w:val="0056429C"/>
    <w:rsid w:val="00566AAE"/>
    <w:rsid w:val="00570699"/>
    <w:rsid w:val="00593876"/>
    <w:rsid w:val="005A3212"/>
    <w:rsid w:val="005B5CF9"/>
    <w:rsid w:val="005C100B"/>
    <w:rsid w:val="005D09DA"/>
    <w:rsid w:val="005D2CE5"/>
    <w:rsid w:val="005D4331"/>
    <w:rsid w:val="005E04BD"/>
    <w:rsid w:val="005E44E7"/>
    <w:rsid w:val="005E7898"/>
    <w:rsid w:val="005F39C5"/>
    <w:rsid w:val="005F4EBE"/>
    <w:rsid w:val="00604544"/>
    <w:rsid w:val="00604CE3"/>
    <w:rsid w:val="006071C6"/>
    <w:rsid w:val="006101C8"/>
    <w:rsid w:val="0061247A"/>
    <w:rsid w:val="006157BD"/>
    <w:rsid w:val="0062299D"/>
    <w:rsid w:val="006346F3"/>
    <w:rsid w:val="00636B74"/>
    <w:rsid w:val="00646748"/>
    <w:rsid w:val="00646989"/>
    <w:rsid w:val="00646B6B"/>
    <w:rsid w:val="00647127"/>
    <w:rsid w:val="0065047C"/>
    <w:rsid w:val="00651A83"/>
    <w:rsid w:val="0065236B"/>
    <w:rsid w:val="00653BBB"/>
    <w:rsid w:val="006550F4"/>
    <w:rsid w:val="006568DF"/>
    <w:rsid w:val="00656931"/>
    <w:rsid w:val="0066320E"/>
    <w:rsid w:val="00663BBB"/>
    <w:rsid w:val="006663EA"/>
    <w:rsid w:val="006722CD"/>
    <w:rsid w:val="00672EEE"/>
    <w:rsid w:val="0067498C"/>
    <w:rsid w:val="006761C1"/>
    <w:rsid w:val="00677162"/>
    <w:rsid w:val="006852D7"/>
    <w:rsid w:val="00693682"/>
    <w:rsid w:val="00694FC3"/>
    <w:rsid w:val="006952D1"/>
    <w:rsid w:val="00695A31"/>
    <w:rsid w:val="00696A33"/>
    <w:rsid w:val="00696D4E"/>
    <w:rsid w:val="006A2183"/>
    <w:rsid w:val="006A3B30"/>
    <w:rsid w:val="006A4367"/>
    <w:rsid w:val="006B353D"/>
    <w:rsid w:val="006C150A"/>
    <w:rsid w:val="006C451C"/>
    <w:rsid w:val="006C535F"/>
    <w:rsid w:val="006C6708"/>
    <w:rsid w:val="006C670C"/>
    <w:rsid w:val="006D6987"/>
    <w:rsid w:val="006E1080"/>
    <w:rsid w:val="006F56EF"/>
    <w:rsid w:val="006F7A91"/>
    <w:rsid w:val="00706C17"/>
    <w:rsid w:val="007110D8"/>
    <w:rsid w:val="00713CE5"/>
    <w:rsid w:val="00723985"/>
    <w:rsid w:val="00726B3F"/>
    <w:rsid w:val="0072705C"/>
    <w:rsid w:val="007316BE"/>
    <w:rsid w:val="00732BD3"/>
    <w:rsid w:val="00734B77"/>
    <w:rsid w:val="00747B68"/>
    <w:rsid w:val="00756F8D"/>
    <w:rsid w:val="0075745A"/>
    <w:rsid w:val="00764EC3"/>
    <w:rsid w:val="00767B87"/>
    <w:rsid w:val="00771953"/>
    <w:rsid w:val="00781B75"/>
    <w:rsid w:val="00783A23"/>
    <w:rsid w:val="00793793"/>
    <w:rsid w:val="00797CBA"/>
    <w:rsid w:val="00797D29"/>
    <w:rsid w:val="007B27EE"/>
    <w:rsid w:val="007B392C"/>
    <w:rsid w:val="007B42CD"/>
    <w:rsid w:val="007B5D52"/>
    <w:rsid w:val="007B73D2"/>
    <w:rsid w:val="007C035B"/>
    <w:rsid w:val="007C2A6C"/>
    <w:rsid w:val="007C6D2C"/>
    <w:rsid w:val="007C7078"/>
    <w:rsid w:val="007D0AB9"/>
    <w:rsid w:val="007E3FE5"/>
    <w:rsid w:val="007F70D6"/>
    <w:rsid w:val="00801F8E"/>
    <w:rsid w:val="00804611"/>
    <w:rsid w:val="00804A08"/>
    <w:rsid w:val="00804EA2"/>
    <w:rsid w:val="00806799"/>
    <w:rsid w:val="00807809"/>
    <w:rsid w:val="008101A1"/>
    <w:rsid w:val="00820475"/>
    <w:rsid w:val="008301C3"/>
    <w:rsid w:val="00840B2A"/>
    <w:rsid w:val="0085158D"/>
    <w:rsid w:val="00851FAF"/>
    <w:rsid w:val="00852DF8"/>
    <w:rsid w:val="008560AB"/>
    <w:rsid w:val="00860818"/>
    <w:rsid w:val="00864A8A"/>
    <w:rsid w:val="00871EDC"/>
    <w:rsid w:val="008722B8"/>
    <w:rsid w:val="008740BD"/>
    <w:rsid w:val="00874769"/>
    <w:rsid w:val="00876BB7"/>
    <w:rsid w:val="00892A8A"/>
    <w:rsid w:val="008A1F79"/>
    <w:rsid w:val="008A44E5"/>
    <w:rsid w:val="008A797C"/>
    <w:rsid w:val="008C1322"/>
    <w:rsid w:val="008C4B2D"/>
    <w:rsid w:val="008C7286"/>
    <w:rsid w:val="008D35B9"/>
    <w:rsid w:val="008D40CA"/>
    <w:rsid w:val="008F6493"/>
    <w:rsid w:val="0090374B"/>
    <w:rsid w:val="00912FD5"/>
    <w:rsid w:val="009135A0"/>
    <w:rsid w:val="009143A0"/>
    <w:rsid w:val="0091740F"/>
    <w:rsid w:val="00942F46"/>
    <w:rsid w:val="009508C4"/>
    <w:rsid w:val="0095481F"/>
    <w:rsid w:val="00971839"/>
    <w:rsid w:val="00973C86"/>
    <w:rsid w:val="00977166"/>
    <w:rsid w:val="00980BB9"/>
    <w:rsid w:val="0098158F"/>
    <w:rsid w:val="00995742"/>
    <w:rsid w:val="00996E68"/>
    <w:rsid w:val="009A0D5F"/>
    <w:rsid w:val="009A756B"/>
    <w:rsid w:val="009B2424"/>
    <w:rsid w:val="009C033C"/>
    <w:rsid w:val="009C2491"/>
    <w:rsid w:val="009D4C21"/>
    <w:rsid w:val="009F2BDB"/>
    <w:rsid w:val="009F493B"/>
    <w:rsid w:val="009F61D7"/>
    <w:rsid w:val="00A0631B"/>
    <w:rsid w:val="00A12F1D"/>
    <w:rsid w:val="00A20A2E"/>
    <w:rsid w:val="00A240B6"/>
    <w:rsid w:val="00A30728"/>
    <w:rsid w:val="00A318B7"/>
    <w:rsid w:val="00A41F89"/>
    <w:rsid w:val="00A44E18"/>
    <w:rsid w:val="00A46051"/>
    <w:rsid w:val="00A500D6"/>
    <w:rsid w:val="00A525AB"/>
    <w:rsid w:val="00A56024"/>
    <w:rsid w:val="00A576A9"/>
    <w:rsid w:val="00A61203"/>
    <w:rsid w:val="00A618F4"/>
    <w:rsid w:val="00A62CE4"/>
    <w:rsid w:val="00A711C1"/>
    <w:rsid w:val="00A720FE"/>
    <w:rsid w:val="00A75F9C"/>
    <w:rsid w:val="00A769F6"/>
    <w:rsid w:val="00A82D51"/>
    <w:rsid w:val="00A8333C"/>
    <w:rsid w:val="00A849EE"/>
    <w:rsid w:val="00A86FFD"/>
    <w:rsid w:val="00A87384"/>
    <w:rsid w:val="00A906F9"/>
    <w:rsid w:val="00A92570"/>
    <w:rsid w:val="00A96FC3"/>
    <w:rsid w:val="00A9710D"/>
    <w:rsid w:val="00AA24C6"/>
    <w:rsid w:val="00AA7C8C"/>
    <w:rsid w:val="00AB0867"/>
    <w:rsid w:val="00AB6A94"/>
    <w:rsid w:val="00AC6759"/>
    <w:rsid w:val="00AD03B9"/>
    <w:rsid w:val="00AD24DB"/>
    <w:rsid w:val="00AD7A30"/>
    <w:rsid w:val="00AE1633"/>
    <w:rsid w:val="00AE5EB4"/>
    <w:rsid w:val="00AF0093"/>
    <w:rsid w:val="00AF347F"/>
    <w:rsid w:val="00AF3EBB"/>
    <w:rsid w:val="00B068F3"/>
    <w:rsid w:val="00B07D17"/>
    <w:rsid w:val="00B11231"/>
    <w:rsid w:val="00B156C5"/>
    <w:rsid w:val="00B1620E"/>
    <w:rsid w:val="00B219F7"/>
    <w:rsid w:val="00B26171"/>
    <w:rsid w:val="00B353BB"/>
    <w:rsid w:val="00B3771B"/>
    <w:rsid w:val="00B42145"/>
    <w:rsid w:val="00B4649D"/>
    <w:rsid w:val="00B47A63"/>
    <w:rsid w:val="00B54B00"/>
    <w:rsid w:val="00B55800"/>
    <w:rsid w:val="00B55D6C"/>
    <w:rsid w:val="00B616B5"/>
    <w:rsid w:val="00B6418A"/>
    <w:rsid w:val="00B65377"/>
    <w:rsid w:val="00B715E8"/>
    <w:rsid w:val="00B725E5"/>
    <w:rsid w:val="00B80F06"/>
    <w:rsid w:val="00B81C5C"/>
    <w:rsid w:val="00B872D4"/>
    <w:rsid w:val="00B91DAF"/>
    <w:rsid w:val="00BA7904"/>
    <w:rsid w:val="00BB655B"/>
    <w:rsid w:val="00BC5AAA"/>
    <w:rsid w:val="00BD2677"/>
    <w:rsid w:val="00BE7169"/>
    <w:rsid w:val="00C02EE2"/>
    <w:rsid w:val="00C150E6"/>
    <w:rsid w:val="00C15D7D"/>
    <w:rsid w:val="00C23D94"/>
    <w:rsid w:val="00C46768"/>
    <w:rsid w:val="00C51FB2"/>
    <w:rsid w:val="00C52CD3"/>
    <w:rsid w:val="00C661ED"/>
    <w:rsid w:val="00C81B4B"/>
    <w:rsid w:val="00CA01B0"/>
    <w:rsid w:val="00CA0BE6"/>
    <w:rsid w:val="00CA3409"/>
    <w:rsid w:val="00CB1A21"/>
    <w:rsid w:val="00CC0580"/>
    <w:rsid w:val="00CC2222"/>
    <w:rsid w:val="00CC5505"/>
    <w:rsid w:val="00CD1EAD"/>
    <w:rsid w:val="00CD421B"/>
    <w:rsid w:val="00CD5B6D"/>
    <w:rsid w:val="00CE384B"/>
    <w:rsid w:val="00CE5318"/>
    <w:rsid w:val="00CF196B"/>
    <w:rsid w:val="00CF1FAC"/>
    <w:rsid w:val="00CF262F"/>
    <w:rsid w:val="00CF414B"/>
    <w:rsid w:val="00D057E1"/>
    <w:rsid w:val="00D12F3E"/>
    <w:rsid w:val="00D1461F"/>
    <w:rsid w:val="00D1624E"/>
    <w:rsid w:val="00D1685E"/>
    <w:rsid w:val="00D17215"/>
    <w:rsid w:val="00D17CED"/>
    <w:rsid w:val="00D21F05"/>
    <w:rsid w:val="00D22D57"/>
    <w:rsid w:val="00D2684C"/>
    <w:rsid w:val="00D27283"/>
    <w:rsid w:val="00D311F8"/>
    <w:rsid w:val="00D31876"/>
    <w:rsid w:val="00D33AC5"/>
    <w:rsid w:val="00D3580E"/>
    <w:rsid w:val="00D36A17"/>
    <w:rsid w:val="00D42609"/>
    <w:rsid w:val="00D64EBE"/>
    <w:rsid w:val="00D70AAA"/>
    <w:rsid w:val="00D86E50"/>
    <w:rsid w:val="00D92984"/>
    <w:rsid w:val="00D92B05"/>
    <w:rsid w:val="00D95CAB"/>
    <w:rsid w:val="00D95F08"/>
    <w:rsid w:val="00D967E7"/>
    <w:rsid w:val="00D96E8B"/>
    <w:rsid w:val="00D9736A"/>
    <w:rsid w:val="00DA048B"/>
    <w:rsid w:val="00DA1C41"/>
    <w:rsid w:val="00DB4255"/>
    <w:rsid w:val="00DC16ED"/>
    <w:rsid w:val="00DC294F"/>
    <w:rsid w:val="00DD113A"/>
    <w:rsid w:val="00DD54EE"/>
    <w:rsid w:val="00DD6584"/>
    <w:rsid w:val="00DD7835"/>
    <w:rsid w:val="00DD7D43"/>
    <w:rsid w:val="00DE020E"/>
    <w:rsid w:val="00DF2048"/>
    <w:rsid w:val="00E0217D"/>
    <w:rsid w:val="00E15441"/>
    <w:rsid w:val="00E22827"/>
    <w:rsid w:val="00E25158"/>
    <w:rsid w:val="00E260FE"/>
    <w:rsid w:val="00E26C9A"/>
    <w:rsid w:val="00E32E5D"/>
    <w:rsid w:val="00E3352F"/>
    <w:rsid w:val="00E361CE"/>
    <w:rsid w:val="00E3756F"/>
    <w:rsid w:val="00E4016E"/>
    <w:rsid w:val="00E55815"/>
    <w:rsid w:val="00E55A2B"/>
    <w:rsid w:val="00E56E77"/>
    <w:rsid w:val="00E6063E"/>
    <w:rsid w:val="00E65AAA"/>
    <w:rsid w:val="00E66589"/>
    <w:rsid w:val="00E72C00"/>
    <w:rsid w:val="00E75691"/>
    <w:rsid w:val="00E76057"/>
    <w:rsid w:val="00E83AF0"/>
    <w:rsid w:val="00E83CFB"/>
    <w:rsid w:val="00E92359"/>
    <w:rsid w:val="00E93A11"/>
    <w:rsid w:val="00EA038A"/>
    <w:rsid w:val="00EA1409"/>
    <w:rsid w:val="00EB35B2"/>
    <w:rsid w:val="00EB4F08"/>
    <w:rsid w:val="00ED1E14"/>
    <w:rsid w:val="00ED4578"/>
    <w:rsid w:val="00EE6172"/>
    <w:rsid w:val="00EE7BE4"/>
    <w:rsid w:val="00EF335F"/>
    <w:rsid w:val="00EF5E2B"/>
    <w:rsid w:val="00F01AD1"/>
    <w:rsid w:val="00F058A1"/>
    <w:rsid w:val="00F06262"/>
    <w:rsid w:val="00F12AD4"/>
    <w:rsid w:val="00F15690"/>
    <w:rsid w:val="00F204F8"/>
    <w:rsid w:val="00F20848"/>
    <w:rsid w:val="00F23345"/>
    <w:rsid w:val="00F27C05"/>
    <w:rsid w:val="00F3113C"/>
    <w:rsid w:val="00F31804"/>
    <w:rsid w:val="00F3627B"/>
    <w:rsid w:val="00F43ACC"/>
    <w:rsid w:val="00F45919"/>
    <w:rsid w:val="00F47613"/>
    <w:rsid w:val="00F53A7D"/>
    <w:rsid w:val="00F54081"/>
    <w:rsid w:val="00F606FB"/>
    <w:rsid w:val="00F6459F"/>
    <w:rsid w:val="00F64CED"/>
    <w:rsid w:val="00F8014E"/>
    <w:rsid w:val="00F80B03"/>
    <w:rsid w:val="00F86C06"/>
    <w:rsid w:val="00F9145C"/>
    <w:rsid w:val="00F93984"/>
    <w:rsid w:val="00F973EF"/>
    <w:rsid w:val="00F978BA"/>
    <w:rsid w:val="00FA15E0"/>
    <w:rsid w:val="00FA2FFF"/>
    <w:rsid w:val="00FA79D8"/>
    <w:rsid w:val="00FB2BB5"/>
    <w:rsid w:val="00FB5A32"/>
    <w:rsid w:val="00FC1D02"/>
    <w:rsid w:val="00FC2D89"/>
    <w:rsid w:val="00FC5697"/>
    <w:rsid w:val="00FD18DB"/>
    <w:rsid w:val="00FD44D5"/>
    <w:rsid w:val="00FE07B9"/>
    <w:rsid w:val="00FE0CE5"/>
    <w:rsid w:val="00FE2754"/>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BF3460"/>
  <w15:docId w15:val="{FF86EC99-D080-46CF-A728-DA6E0731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 w:type="paragraph" w:styleId="Revision">
    <w:name w:val="Revision"/>
    <w:hidden/>
    <w:uiPriority w:val="99"/>
    <w:semiHidden/>
    <w:rsid w:val="00F058A1"/>
    <w:rPr>
      <w:rFonts w:ascii="Arial" w:hAnsi="Arial"/>
      <w:sz w:val="24"/>
      <w:szCs w:val="24"/>
    </w:rPr>
  </w:style>
  <w:style w:type="character" w:styleId="FollowedHyperlink">
    <w:name w:val="FollowedHyperlink"/>
    <w:basedOn w:val="DefaultParagraphFont"/>
    <w:uiPriority w:val="99"/>
    <w:semiHidden/>
    <w:unhideWhenUsed/>
    <w:rsid w:val="000F1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8726">
      <w:bodyDiv w:val="1"/>
      <w:marLeft w:val="0"/>
      <w:marRight w:val="0"/>
      <w:marTop w:val="0"/>
      <w:marBottom w:val="0"/>
      <w:divBdr>
        <w:top w:val="none" w:sz="0" w:space="0" w:color="auto"/>
        <w:left w:val="none" w:sz="0" w:space="0" w:color="auto"/>
        <w:bottom w:val="none" w:sz="0" w:space="0" w:color="auto"/>
        <w:right w:val="none" w:sz="0" w:space="0" w:color="auto"/>
      </w:divBdr>
    </w:div>
    <w:div w:id="396980049">
      <w:bodyDiv w:val="1"/>
      <w:marLeft w:val="0"/>
      <w:marRight w:val="0"/>
      <w:marTop w:val="0"/>
      <w:marBottom w:val="0"/>
      <w:divBdr>
        <w:top w:val="none" w:sz="0" w:space="0" w:color="auto"/>
        <w:left w:val="none" w:sz="0" w:space="0" w:color="auto"/>
        <w:bottom w:val="none" w:sz="0" w:space="0" w:color="auto"/>
        <w:right w:val="none" w:sz="0" w:space="0" w:color="auto"/>
      </w:divBdr>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747016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008095249">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hawn.bonfield@avistacorp.com"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rendall.farley@avistacor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ugshar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2017-02-01T08:00:00+00:00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160082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AE92BA-B252-4E75-BAF5-0C93A2818D7F}">
  <ds:schemaRefs>
    <ds:schemaRef ds:uri="http://schemas.microsoft.com/office/2006/documentManagement/types"/>
    <ds:schemaRef ds:uri="http://schemas.openxmlformats.org/package/2006/metadata/core-properties"/>
    <ds:schemaRef ds:uri="http://schemas.microsoft.com/office/infopath/2007/PartnerControls"/>
    <ds:schemaRef ds:uri="6a7bd91e-004b-490a-8704-e368d63d59a0"/>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43FA179-2F4A-4203-ABED-311821F192A9}">
  <ds:schemaRefs>
    <ds:schemaRef ds:uri="http://schemas.microsoft.com/sharepoint/v3/contenttype/forms"/>
  </ds:schemaRefs>
</ds:datastoreItem>
</file>

<file path=customXml/itemProps3.xml><?xml version="1.0" encoding="utf-8"?>
<ds:datastoreItem xmlns:ds="http://schemas.openxmlformats.org/officeDocument/2006/customXml" ds:itemID="{0850A8A6-2829-49C4-95B6-B0D4AAF25330}"/>
</file>

<file path=customXml/itemProps4.xml><?xml version="1.0" encoding="utf-8"?>
<ds:datastoreItem xmlns:ds="http://schemas.openxmlformats.org/officeDocument/2006/customXml" ds:itemID="{F21D7AC6-CCCC-4F75-AFFE-6BA4F9BDED19}">
  <ds:schemaRefs>
    <ds:schemaRef ds:uri="http://schemas.openxmlformats.org/officeDocument/2006/bibliography"/>
  </ds:schemaRefs>
</ds:datastoreItem>
</file>

<file path=customXml/itemProps5.xml><?xml version="1.0" encoding="utf-8"?>
<ds:datastoreItem xmlns:ds="http://schemas.openxmlformats.org/officeDocument/2006/customXml" ds:itemID="{EE74D175-3278-47E8-8223-1FBAFAA6DF0D}"/>
</file>

<file path=docProps/app.xml><?xml version="1.0" encoding="utf-8"?>
<Properties xmlns="http://schemas.openxmlformats.org/officeDocument/2006/extended-properties" xmlns:vt="http://schemas.openxmlformats.org/officeDocument/2006/docPropsVTypes">
  <Template>Normal.dotm</Template>
  <TotalTime>0</TotalTime>
  <Pages>12</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monigle</dc:creator>
  <cp:keywords/>
  <dc:description/>
  <cp:lastModifiedBy>Kredel, Ashley (UTC)</cp:lastModifiedBy>
  <cp:revision>2</cp:revision>
  <cp:lastPrinted>2017-02-01T00:39:00Z</cp:lastPrinted>
  <dcterms:created xsi:type="dcterms:W3CDTF">2017-02-01T22:16:00Z</dcterms:created>
  <dcterms:modified xsi:type="dcterms:W3CDTF">2017-02-01T22:16:00Z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y fmtid="{D5CDD505-2E9C-101B-9397-08002B2CF9AE}" pid="4" name="IsEFSEC">
    <vt:bool>false</vt:bool>
  </property>
</Properties>
</file>