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F316" w14:textId="77777777" w:rsidR="00501FFC" w:rsidRDefault="00501FFC" w:rsidP="00F748D8">
      <w:pPr>
        <w:tabs>
          <w:tab w:val="center" w:pos="4680"/>
        </w:tabs>
        <w:ind w:right="-108" w:hanging="180"/>
        <w:jc w:val="both"/>
        <w:rPr>
          <w:sz w:val="24"/>
        </w:rPr>
      </w:pPr>
    </w:p>
    <w:p w14:paraId="48155C32" w14:textId="77777777" w:rsidR="00501FFC" w:rsidRDefault="00501FFC" w:rsidP="00F748D8">
      <w:pPr>
        <w:tabs>
          <w:tab w:val="center" w:pos="4680"/>
        </w:tabs>
        <w:ind w:right="-108" w:hanging="180"/>
        <w:jc w:val="both"/>
        <w:rPr>
          <w:sz w:val="24"/>
        </w:rPr>
      </w:pPr>
    </w:p>
    <w:p w14:paraId="767ED5C2" w14:textId="77777777" w:rsidR="00501FFC" w:rsidRDefault="00501FFC" w:rsidP="00F748D8">
      <w:pPr>
        <w:tabs>
          <w:tab w:val="center" w:pos="4680"/>
        </w:tabs>
        <w:ind w:right="-108" w:hanging="180"/>
        <w:jc w:val="both"/>
        <w:rPr>
          <w:sz w:val="24"/>
        </w:rPr>
      </w:pPr>
    </w:p>
    <w:p w14:paraId="7ADB6D62" w14:textId="77777777" w:rsidR="00501FFC" w:rsidRDefault="00501FFC" w:rsidP="00F748D8">
      <w:pPr>
        <w:tabs>
          <w:tab w:val="center" w:pos="4680"/>
        </w:tabs>
        <w:ind w:right="-108" w:hanging="180"/>
        <w:jc w:val="both"/>
        <w:rPr>
          <w:sz w:val="24"/>
        </w:rPr>
      </w:pPr>
    </w:p>
    <w:p w14:paraId="4F0036D2" w14:textId="77777777" w:rsidR="00501FFC" w:rsidRDefault="00501FFC" w:rsidP="00F748D8">
      <w:pPr>
        <w:tabs>
          <w:tab w:val="center" w:pos="4680"/>
        </w:tabs>
        <w:ind w:right="-108" w:hanging="180"/>
        <w:jc w:val="both"/>
        <w:rPr>
          <w:sz w:val="24"/>
        </w:rPr>
      </w:pPr>
    </w:p>
    <w:p w14:paraId="5643F79F" w14:textId="77777777" w:rsidR="00E64AFB" w:rsidRDefault="00F748D8" w:rsidP="00E64AFB">
      <w:pPr>
        <w:tabs>
          <w:tab w:val="center" w:pos="4680"/>
        </w:tabs>
        <w:ind w:right="-108" w:hanging="180"/>
        <w:jc w:val="center"/>
        <w:rPr>
          <w:sz w:val="24"/>
        </w:rPr>
      </w:pPr>
      <w:r w:rsidRPr="004A2910">
        <w:rPr>
          <w:sz w:val="24"/>
        </w:rPr>
        <w:t>BEFORE THE</w:t>
      </w:r>
    </w:p>
    <w:p w14:paraId="087F66BB" w14:textId="77777777" w:rsidR="00F748D8" w:rsidRPr="004A2910" w:rsidRDefault="00F748D8" w:rsidP="00E64AFB">
      <w:pPr>
        <w:tabs>
          <w:tab w:val="center" w:pos="4680"/>
        </w:tabs>
        <w:ind w:right="-108" w:hanging="180"/>
        <w:jc w:val="center"/>
        <w:rPr>
          <w:sz w:val="24"/>
        </w:rPr>
      </w:pPr>
      <w:r w:rsidRPr="004A2910">
        <w:rPr>
          <w:sz w:val="24"/>
        </w:rPr>
        <w:t>WASHINGTON UTILITIES AND TRANSPORTATION COMMISSION</w:t>
      </w:r>
    </w:p>
    <w:p w14:paraId="1A94D0DA" w14:textId="77777777" w:rsidR="00F748D8" w:rsidRPr="004A2910" w:rsidRDefault="00F748D8" w:rsidP="00F748D8">
      <w:pPr>
        <w:jc w:val="both"/>
        <w:rPr>
          <w:sz w:val="24"/>
        </w:rPr>
      </w:pPr>
    </w:p>
    <w:p w14:paraId="5A1D0885"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7E56DC3E" w14:textId="77777777">
        <w:tc>
          <w:tcPr>
            <w:tcW w:w="4590" w:type="dxa"/>
            <w:tcBorders>
              <w:top w:val="single" w:sz="6" w:space="0" w:color="FFFFFF"/>
              <w:left w:val="single" w:sz="6" w:space="0" w:color="FFFFFF"/>
              <w:bottom w:val="single" w:sz="7" w:space="0" w:color="000000"/>
              <w:right w:val="single" w:sz="6" w:space="0" w:color="FFFFFF"/>
            </w:tcBorders>
          </w:tcPr>
          <w:p w14:paraId="26DCC18A" w14:textId="77777777" w:rsidR="00E64AFB" w:rsidRPr="005902B0" w:rsidRDefault="00E64AFB" w:rsidP="00E64AFB">
            <w:pPr>
              <w:spacing w:line="264" w:lineRule="auto"/>
              <w:rPr>
                <w:sz w:val="24"/>
              </w:rPr>
            </w:pPr>
            <w:r w:rsidRPr="005902B0">
              <w:rPr>
                <w:sz w:val="24"/>
              </w:rPr>
              <w:t>WASHINGTON UTILITIES AND TRANSPORTATION COMMISSION,</w:t>
            </w:r>
          </w:p>
          <w:p w14:paraId="7DF9A232" w14:textId="77777777" w:rsidR="00E64AFB" w:rsidRPr="005902B0" w:rsidRDefault="00E64AFB" w:rsidP="00E64AFB">
            <w:pPr>
              <w:spacing w:line="264" w:lineRule="auto"/>
              <w:rPr>
                <w:sz w:val="24"/>
              </w:rPr>
            </w:pPr>
          </w:p>
          <w:p w14:paraId="6CD05AE9" w14:textId="77777777" w:rsidR="00E64AFB" w:rsidRPr="005902B0" w:rsidRDefault="00E64AFB" w:rsidP="00E64AFB">
            <w:pPr>
              <w:tabs>
                <w:tab w:val="left" w:pos="2160"/>
              </w:tabs>
              <w:spacing w:line="264" w:lineRule="auto"/>
              <w:rPr>
                <w:sz w:val="24"/>
              </w:rPr>
            </w:pPr>
            <w:r w:rsidRPr="005902B0">
              <w:rPr>
                <w:sz w:val="24"/>
              </w:rPr>
              <w:tab/>
              <w:t>Complainant,</w:t>
            </w:r>
          </w:p>
          <w:p w14:paraId="103C9B80" w14:textId="77777777" w:rsidR="00E64AFB" w:rsidRPr="005902B0" w:rsidRDefault="00E64AFB" w:rsidP="00E64AFB">
            <w:pPr>
              <w:tabs>
                <w:tab w:val="left" w:pos="2160"/>
              </w:tabs>
              <w:spacing w:line="264" w:lineRule="auto"/>
              <w:rPr>
                <w:sz w:val="24"/>
              </w:rPr>
            </w:pPr>
          </w:p>
          <w:p w14:paraId="002644E9" w14:textId="77777777" w:rsidR="00E64AFB" w:rsidRPr="005902B0" w:rsidRDefault="00E64AFB" w:rsidP="00E64AFB">
            <w:pPr>
              <w:tabs>
                <w:tab w:val="left" w:pos="2160"/>
              </w:tabs>
              <w:spacing w:line="264" w:lineRule="auto"/>
              <w:rPr>
                <w:sz w:val="24"/>
              </w:rPr>
            </w:pPr>
            <w:r w:rsidRPr="005902B0">
              <w:rPr>
                <w:sz w:val="24"/>
              </w:rPr>
              <w:t>v.</w:t>
            </w:r>
          </w:p>
          <w:p w14:paraId="572E5617" w14:textId="77777777" w:rsidR="00E64AFB" w:rsidRPr="005902B0" w:rsidRDefault="00E64AFB" w:rsidP="00E64AFB">
            <w:pPr>
              <w:tabs>
                <w:tab w:val="left" w:pos="2160"/>
              </w:tabs>
              <w:spacing w:line="264" w:lineRule="auto"/>
              <w:rPr>
                <w:sz w:val="24"/>
              </w:rPr>
            </w:pPr>
          </w:p>
          <w:p w14:paraId="27A99A15" w14:textId="77777777" w:rsidR="00E64AFB" w:rsidRPr="005902B0" w:rsidRDefault="00E64AFB" w:rsidP="00E64AFB">
            <w:pPr>
              <w:spacing w:line="264" w:lineRule="auto"/>
              <w:rPr>
                <w:bCs/>
                <w:sz w:val="24"/>
              </w:rPr>
            </w:pPr>
            <w:r w:rsidRPr="005902B0">
              <w:rPr>
                <w:bCs/>
                <w:sz w:val="24"/>
              </w:rPr>
              <w:t>RIDE THE DUCKS OF SEATTLE, L.L.C. d/b/a SEATTLE DUCK TOURS,</w:t>
            </w:r>
          </w:p>
          <w:p w14:paraId="3088E4CE" w14:textId="77777777" w:rsidR="00E64AFB" w:rsidRPr="005902B0" w:rsidRDefault="00E64AFB" w:rsidP="00E64AFB">
            <w:pPr>
              <w:tabs>
                <w:tab w:val="left" w:pos="2160"/>
              </w:tabs>
              <w:spacing w:line="264" w:lineRule="auto"/>
              <w:rPr>
                <w:sz w:val="24"/>
              </w:rPr>
            </w:pPr>
          </w:p>
          <w:p w14:paraId="0EBE9020" w14:textId="77777777" w:rsidR="00F748D8" w:rsidRDefault="00E64AFB" w:rsidP="00E64AFB">
            <w:pPr>
              <w:tabs>
                <w:tab w:val="left" w:pos="2160"/>
              </w:tabs>
              <w:spacing w:line="264" w:lineRule="auto"/>
              <w:rPr>
                <w:sz w:val="24"/>
              </w:rPr>
            </w:pPr>
            <w:r w:rsidRPr="005902B0">
              <w:rPr>
                <w:sz w:val="24"/>
              </w:rPr>
              <w:tab/>
              <w:t>Respondent.</w:t>
            </w:r>
          </w:p>
          <w:p w14:paraId="3FABD492"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E06C0AD" w14:textId="77777777" w:rsidR="00F748D8" w:rsidRPr="004A2910" w:rsidRDefault="004C3D65" w:rsidP="00705E7E">
            <w:pPr>
              <w:ind w:left="416"/>
              <w:rPr>
                <w:sz w:val="24"/>
              </w:rPr>
            </w:pPr>
            <w:r>
              <w:rPr>
                <w:sz w:val="24"/>
              </w:rPr>
              <w:t xml:space="preserve">DOCKET </w:t>
            </w:r>
            <w:r w:rsidR="00E64AFB">
              <w:rPr>
                <w:sz w:val="24"/>
              </w:rPr>
              <w:t>TE-151906</w:t>
            </w:r>
          </w:p>
          <w:p w14:paraId="241A8C4F" w14:textId="77777777" w:rsidR="00F748D8" w:rsidRDefault="00F748D8" w:rsidP="00705E7E">
            <w:pPr>
              <w:ind w:left="416"/>
              <w:rPr>
                <w:sz w:val="24"/>
              </w:rPr>
            </w:pPr>
          </w:p>
          <w:p w14:paraId="298575E9" w14:textId="77777777" w:rsidR="00705E7E" w:rsidRPr="004A2910" w:rsidRDefault="00705E7E" w:rsidP="00705E7E">
            <w:pPr>
              <w:ind w:left="416"/>
              <w:rPr>
                <w:sz w:val="24"/>
              </w:rPr>
            </w:pPr>
          </w:p>
          <w:p w14:paraId="000942DE" w14:textId="77777777" w:rsidR="00F748D8" w:rsidRPr="004A2910" w:rsidRDefault="00A8174C" w:rsidP="00F53FCB">
            <w:pPr>
              <w:spacing w:after="19"/>
              <w:ind w:left="416"/>
              <w:rPr>
                <w:sz w:val="24"/>
              </w:rPr>
            </w:pPr>
            <w:r>
              <w:rPr>
                <w:sz w:val="24"/>
              </w:rPr>
              <w:t>MOTION OF RESPONDE</w:t>
            </w:r>
            <w:r w:rsidR="0045504A">
              <w:rPr>
                <w:sz w:val="24"/>
              </w:rPr>
              <w:t xml:space="preserve">NT </w:t>
            </w:r>
            <w:r w:rsidR="00F53FCB">
              <w:rPr>
                <w:sz w:val="24"/>
              </w:rPr>
              <w:t>FOR PROTECTIVE ORDER</w:t>
            </w:r>
            <w:r w:rsidR="0045504A">
              <w:rPr>
                <w:sz w:val="24"/>
              </w:rPr>
              <w:t xml:space="preserve"> </w:t>
            </w:r>
          </w:p>
        </w:tc>
      </w:tr>
    </w:tbl>
    <w:p w14:paraId="654C2D0F" w14:textId="77777777" w:rsidR="00ED3293" w:rsidRPr="00545321" w:rsidRDefault="0045504A" w:rsidP="00FA5AB6">
      <w:pPr>
        <w:pStyle w:val="ListParagraph"/>
        <w:numPr>
          <w:ilvl w:val="0"/>
          <w:numId w:val="11"/>
        </w:numPr>
        <w:spacing w:before="240" w:after="240"/>
        <w:ind w:left="720"/>
        <w:jc w:val="center"/>
        <w:rPr>
          <w:b/>
          <w:sz w:val="24"/>
        </w:rPr>
      </w:pPr>
      <w:r w:rsidRPr="00545321">
        <w:rPr>
          <w:b/>
          <w:sz w:val="24"/>
        </w:rPr>
        <w:t>RELIEF REQUESTED</w:t>
      </w:r>
    </w:p>
    <w:p w14:paraId="36698DB7" w14:textId="24DD59E0" w:rsidR="006231DB" w:rsidRPr="008114A9" w:rsidRDefault="008114A9" w:rsidP="008114A9">
      <w:pPr>
        <w:numPr>
          <w:ilvl w:val="0"/>
          <w:numId w:val="12"/>
        </w:numPr>
        <w:spacing w:line="480" w:lineRule="auto"/>
        <w:jc w:val="both"/>
        <w:rPr>
          <w:sz w:val="24"/>
        </w:rPr>
      </w:pPr>
      <w:r>
        <w:rPr>
          <w:sz w:val="24"/>
        </w:rPr>
        <w:t>RTDS respectfully requests that a protective order be entered that prohibits the disclosure of RTDS’s financial information, and that any documents submitted in this proceeding first require the redaction of RTDS’s financial information</w:t>
      </w:r>
      <w:r w:rsidR="00893B11">
        <w:rPr>
          <w:sz w:val="24"/>
        </w:rPr>
        <w:t xml:space="preserve">.  </w:t>
      </w:r>
      <w:r w:rsidR="00893B11" w:rsidRPr="008114A9">
        <w:rPr>
          <w:sz w:val="24"/>
        </w:rPr>
        <w:t>B</w:t>
      </w:r>
      <w:r w:rsidR="00F14F13" w:rsidRPr="008114A9">
        <w:rPr>
          <w:sz w:val="24"/>
        </w:rPr>
        <w:t>efore filing this motion,</w:t>
      </w:r>
      <w:r w:rsidR="00FA5AB6" w:rsidRPr="008114A9">
        <w:rPr>
          <w:sz w:val="24"/>
        </w:rPr>
        <w:t xml:space="preserve"> </w:t>
      </w:r>
      <w:r w:rsidR="00F14F13" w:rsidRPr="008114A9">
        <w:rPr>
          <w:sz w:val="24"/>
        </w:rPr>
        <w:t>t</w:t>
      </w:r>
      <w:r w:rsidR="00FA7724" w:rsidRPr="008114A9">
        <w:rPr>
          <w:sz w:val="24"/>
        </w:rPr>
        <w:t xml:space="preserve">he Parties’ respective counsel have conferred in good faith. </w:t>
      </w:r>
    </w:p>
    <w:p w14:paraId="0A6E633A" w14:textId="77777777" w:rsidR="006231DB" w:rsidRPr="0045504A" w:rsidRDefault="0045504A" w:rsidP="00FA5AB6">
      <w:pPr>
        <w:pStyle w:val="ListParagraph"/>
        <w:numPr>
          <w:ilvl w:val="0"/>
          <w:numId w:val="11"/>
        </w:numPr>
        <w:spacing w:line="480" w:lineRule="auto"/>
        <w:ind w:left="720"/>
        <w:jc w:val="center"/>
        <w:rPr>
          <w:b/>
          <w:sz w:val="24"/>
        </w:rPr>
      </w:pPr>
      <w:r w:rsidRPr="0045504A">
        <w:rPr>
          <w:b/>
          <w:sz w:val="24"/>
        </w:rPr>
        <w:t>STATEMENT OF FACTS</w:t>
      </w:r>
    </w:p>
    <w:p w14:paraId="47E14EF5" w14:textId="4DFD4F15" w:rsidR="00AB584E" w:rsidRPr="003B6A0F" w:rsidRDefault="00F53FCB" w:rsidP="008114A9">
      <w:pPr>
        <w:numPr>
          <w:ilvl w:val="0"/>
          <w:numId w:val="12"/>
        </w:numPr>
        <w:spacing w:line="480" w:lineRule="auto"/>
        <w:jc w:val="both"/>
        <w:rPr>
          <w:sz w:val="24"/>
        </w:rPr>
      </w:pPr>
      <w:r>
        <w:rPr>
          <w:sz w:val="24"/>
        </w:rPr>
        <w:t>Ride the Ducks of Seattle, LLC</w:t>
      </w:r>
      <w:r w:rsidR="00A8174C">
        <w:rPr>
          <w:sz w:val="24"/>
        </w:rPr>
        <w:t xml:space="preserve"> (“RTDS”)</w:t>
      </w:r>
      <w:r w:rsidR="006231DB">
        <w:rPr>
          <w:sz w:val="24"/>
        </w:rPr>
        <w:t xml:space="preserve"> </w:t>
      </w:r>
      <w:r w:rsidR="0045504A">
        <w:rPr>
          <w:sz w:val="24"/>
        </w:rPr>
        <w:t xml:space="preserve">is a </w:t>
      </w:r>
      <w:r>
        <w:rPr>
          <w:sz w:val="24"/>
        </w:rPr>
        <w:t>privately held company</w:t>
      </w:r>
      <w:r w:rsidR="00893B11">
        <w:rPr>
          <w:sz w:val="24"/>
        </w:rPr>
        <w:t>.  D</w:t>
      </w:r>
      <w:r w:rsidR="001A2319">
        <w:rPr>
          <w:sz w:val="24"/>
        </w:rPr>
        <w:t xml:space="preserve">eclaration of Brian Tracey </w:t>
      </w:r>
      <w:r w:rsidR="001A2319" w:rsidRPr="00AB584E">
        <w:rPr>
          <w:sz w:val="24"/>
        </w:rPr>
        <w:t>¶</w:t>
      </w:r>
      <w:r w:rsidR="001A2319">
        <w:rPr>
          <w:sz w:val="24"/>
        </w:rPr>
        <w:t xml:space="preserve"> </w:t>
      </w:r>
      <w:r w:rsidR="00F843E8">
        <w:rPr>
          <w:sz w:val="24"/>
        </w:rPr>
        <w:t>2</w:t>
      </w:r>
      <w:r w:rsidR="00143579" w:rsidRPr="00143579">
        <w:rPr>
          <w:sz w:val="24"/>
        </w:rPr>
        <w:t>.</w:t>
      </w:r>
      <w:r w:rsidR="003B6A0F">
        <w:rPr>
          <w:sz w:val="24"/>
        </w:rPr>
        <w:t xml:space="preserve"> </w:t>
      </w:r>
      <w:r w:rsidR="00EE16FE">
        <w:rPr>
          <w:sz w:val="24"/>
        </w:rPr>
        <w:t xml:space="preserve"> </w:t>
      </w:r>
      <w:r w:rsidR="003B6A0F">
        <w:rPr>
          <w:sz w:val="24"/>
        </w:rPr>
        <w:t>RTDS is not publicly traded and does not rely on public funding</w:t>
      </w:r>
      <w:r w:rsidR="00893B11">
        <w:rPr>
          <w:sz w:val="24"/>
        </w:rPr>
        <w:t xml:space="preserve">.  </w:t>
      </w:r>
      <w:r w:rsidR="00893B11" w:rsidRPr="003B6A0F">
        <w:rPr>
          <w:sz w:val="24"/>
        </w:rPr>
        <w:t>B</w:t>
      </w:r>
      <w:r w:rsidR="003B6A0F" w:rsidRPr="003B6A0F">
        <w:rPr>
          <w:sz w:val="24"/>
        </w:rPr>
        <w:t>rian Tracey ¶</w:t>
      </w:r>
      <w:r w:rsidR="00F843E8">
        <w:rPr>
          <w:sz w:val="24"/>
        </w:rPr>
        <w:t xml:space="preserve"> 2.</w:t>
      </w:r>
    </w:p>
    <w:p w14:paraId="299EF142" w14:textId="54D8B9BA" w:rsidR="003B6A0F" w:rsidRDefault="001A2319" w:rsidP="008114A9">
      <w:pPr>
        <w:numPr>
          <w:ilvl w:val="0"/>
          <w:numId w:val="12"/>
        </w:numPr>
        <w:spacing w:line="480" w:lineRule="auto"/>
        <w:jc w:val="both"/>
        <w:rPr>
          <w:sz w:val="24"/>
        </w:rPr>
      </w:pPr>
      <w:r>
        <w:rPr>
          <w:sz w:val="24"/>
        </w:rPr>
        <w:t xml:space="preserve">RTDS </w:t>
      </w:r>
      <w:r w:rsidRPr="00F2198D">
        <w:rPr>
          <w:sz w:val="24"/>
        </w:rPr>
        <w:t>has worked cooperatively with the Staff of the Washington Utilities and Transportation Commission (“WUTC Staff”)</w:t>
      </w:r>
      <w:r w:rsidR="00484673">
        <w:rPr>
          <w:sz w:val="24"/>
        </w:rPr>
        <w:t>, and other governmental investigators,</w:t>
      </w:r>
      <w:r w:rsidRPr="00F2198D">
        <w:rPr>
          <w:sz w:val="24"/>
        </w:rPr>
        <w:t xml:space="preserve"> since the accident on September 24, 2015 on the Aurora Bridge involving one “Stretch Duck” </w:t>
      </w:r>
      <w:r w:rsidRPr="00F2198D">
        <w:rPr>
          <w:sz w:val="24"/>
        </w:rPr>
        <w:lastRenderedPageBreak/>
        <w:t>vehicle</w:t>
      </w:r>
      <w:r w:rsidR="00893B11">
        <w:rPr>
          <w:sz w:val="24"/>
        </w:rPr>
        <w:t xml:space="preserve">.  </w:t>
      </w:r>
      <w:r w:rsidR="00893B11" w:rsidRPr="003B6A0F">
        <w:rPr>
          <w:sz w:val="24"/>
        </w:rPr>
        <w:t>B</w:t>
      </w:r>
      <w:r w:rsidR="003B6A0F" w:rsidRPr="003B6A0F">
        <w:rPr>
          <w:sz w:val="24"/>
        </w:rPr>
        <w:t xml:space="preserve">rian Tracey ¶ </w:t>
      </w:r>
      <w:r w:rsidR="00F843E8">
        <w:rPr>
          <w:sz w:val="24"/>
        </w:rPr>
        <w:t>3</w:t>
      </w:r>
      <w:r w:rsidR="003B6A0F" w:rsidRPr="003B6A0F">
        <w:rPr>
          <w:sz w:val="24"/>
        </w:rPr>
        <w:t>.</w:t>
      </w:r>
    </w:p>
    <w:p w14:paraId="519A4C2A" w14:textId="33AB1A3A" w:rsidR="00F2198D" w:rsidRDefault="00484673" w:rsidP="008114A9">
      <w:pPr>
        <w:numPr>
          <w:ilvl w:val="0"/>
          <w:numId w:val="12"/>
        </w:numPr>
        <w:spacing w:line="480" w:lineRule="auto"/>
        <w:jc w:val="both"/>
        <w:rPr>
          <w:sz w:val="24"/>
        </w:rPr>
      </w:pPr>
      <w:r>
        <w:rPr>
          <w:sz w:val="24"/>
        </w:rPr>
        <w:t xml:space="preserve">During this investigation the WUTC came into possession of documents and records containing </w:t>
      </w:r>
      <w:r w:rsidR="00141415">
        <w:rPr>
          <w:sz w:val="24"/>
        </w:rPr>
        <w:t xml:space="preserve">RTDS’s </w:t>
      </w:r>
      <w:r w:rsidR="003B6A0F">
        <w:rPr>
          <w:sz w:val="24"/>
        </w:rPr>
        <w:t xml:space="preserve">private, closely-held </w:t>
      </w:r>
      <w:r>
        <w:rPr>
          <w:sz w:val="24"/>
        </w:rPr>
        <w:t>financial information</w:t>
      </w:r>
      <w:r w:rsidR="00893B11">
        <w:rPr>
          <w:sz w:val="24"/>
        </w:rPr>
        <w:t xml:space="preserve">.  </w:t>
      </w:r>
      <w:r w:rsidR="00893B11" w:rsidRPr="003B6A0F">
        <w:rPr>
          <w:sz w:val="24"/>
        </w:rPr>
        <w:t>B</w:t>
      </w:r>
      <w:r w:rsidR="003B6A0F" w:rsidRPr="003B6A0F">
        <w:rPr>
          <w:sz w:val="24"/>
        </w:rPr>
        <w:t xml:space="preserve">rian Tracey ¶ </w:t>
      </w:r>
      <w:r w:rsidR="00F843E8">
        <w:rPr>
          <w:sz w:val="24"/>
        </w:rPr>
        <w:t>3</w:t>
      </w:r>
      <w:r w:rsidR="003B6A0F" w:rsidRPr="003B6A0F">
        <w:rPr>
          <w:sz w:val="24"/>
        </w:rPr>
        <w:t>.</w:t>
      </w:r>
    </w:p>
    <w:p w14:paraId="2768C346" w14:textId="6144A89A" w:rsidR="00DD0BDE" w:rsidRPr="00F2198D" w:rsidRDefault="003B6A0F" w:rsidP="008114A9">
      <w:pPr>
        <w:numPr>
          <w:ilvl w:val="0"/>
          <w:numId w:val="12"/>
        </w:numPr>
        <w:spacing w:line="480" w:lineRule="auto"/>
        <w:jc w:val="both"/>
        <w:rPr>
          <w:sz w:val="24"/>
        </w:rPr>
      </w:pPr>
      <w:r>
        <w:rPr>
          <w:sz w:val="24"/>
        </w:rPr>
        <w:t>RTDS understands that its private, closely-held financial information has</w:t>
      </w:r>
      <w:r w:rsidR="00CC6D27">
        <w:rPr>
          <w:sz w:val="24"/>
        </w:rPr>
        <w:t xml:space="preserve"> been</w:t>
      </w:r>
      <w:r>
        <w:rPr>
          <w:sz w:val="24"/>
        </w:rPr>
        <w:t>, or may be, included in reports or documents that will be submitted in this proceeding</w:t>
      </w:r>
      <w:r w:rsidR="00893B11">
        <w:rPr>
          <w:sz w:val="24"/>
        </w:rPr>
        <w:t xml:space="preserve">.  </w:t>
      </w:r>
      <w:r w:rsidR="00893B11">
        <w:rPr>
          <w:i/>
          <w:sz w:val="24"/>
        </w:rPr>
        <w:t>S</w:t>
      </w:r>
      <w:r w:rsidR="00F843E8">
        <w:rPr>
          <w:i/>
          <w:sz w:val="24"/>
        </w:rPr>
        <w:t xml:space="preserve">ee </w:t>
      </w:r>
      <w:r w:rsidRPr="003B6A0F">
        <w:rPr>
          <w:sz w:val="24"/>
        </w:rPr>
        <w:t xml:space="preserve">Brian Tracey ¶ </w:t>
      </w:r>
      <w:r w:rsidR="00F843E8">
        <w:rPr>
          <w:sz w:val="24"/>
        </w:rPr>
        <w:t>3</w:t>
      </w:r>
      <w:r w:rsidRPr="003B6A0F">
        <w:rPr>
          <w:sz w:val="24"/>
        </w:rPr>
        <w:t>.</w:t>
      </w:r>
    </w:p>
    <w:p w14:paraId="79180A00" w14:textId="7C6A5796" w:rsidR="00AB584E" w:rsidRPr="003B6A0F" w:rsidRDefault="003B6A0F" w:rsidP="008114A9">
      <w:pPr>
        <w:numPr>
          <w:ilvl w:val="0"/>
          <w:numId w:val="12"/>
        </w:numPr>
        <w:spacing w:line="480" w:lineRule="auto"/>
        <w:jc w:val="both"/>
        <w:rPr>
          <w:sz w:val="24"/>
        </w:rPr>
      </w:pPr>
      <w:r>
        <w:rPr>
          <w:sz w:val="24"/>
        </w:rPr>
        <w:t xml:space="preserve">Disclosure of </w:t>
      </w:r>
      <w:r w:rsidR="00141415">
        <w:rPr>
          <w:sz w:val="24"/>
        </w:rPr>
        <w:t xml:space="preserve">RTDS’s </w:t>
      </w:r>
      <w:r>
        <w:rPr>
          <w:sz w:val="24"/>
        </w:rPr>
        <w:t xml:space="preserve">private, closely-held financial information will cause RTDS to be at </w:t>
      </w:r>
      <w:r w:rsidR="00141415">
        <w:rPr>
          <w:sz w:val="24"/>
        </w:rPr>
        <w:t xml:space="preserve">a </w:t>
      </w:r>
      <w:r>
        <w:rPr>
          <w:sz w:val="24"/>
        </w:rPr>
        <w:t>competitive disadvantage in the future</w:t>
      </w:r>
      <w:r w:rsidR="00893B11">
        <w:rPr>
          <w:sz w:val="24"/>
        </w:rPr>
        <w:t xml:space="preserve">.  </w:t>
      </w:r>
      <w:r w:rsidR="00893B11" w:rsidRPr="003B6A0F">
        <w:rPr>
          <w:sz w:val="24"/>
        </w:rPr>
        <w:t>B</w:t>
      </w:r>
      <w:r w:rsidRPr="003B6A0F">
        <w:rPr>
          <w:sz w:val="24"/>
        </w:rPr>
        <w:t xml:space="preserve">rian Tracey ¶ </w:t>
      </w:r>
      <w:r w:rsidR="00F843E8">
        <w:rPr>
          <w:sz w:val="24"/>
        </w:rPr>
        <w:t>4</w:t>
      </w:r>
      <w:r w:rsidRPr="003B6A0F">
        <w:rPr>
          <w:sz w:val="24"/>
        </w:rPr>
        <w:t>.</w:t>
      </w:r>
      <w:r>
        <w:rPr>
          <w:sz w:val="24"/>
        </w:rPr>
        <w:t xml:space="preserve"> </w:t>
      </w:r>
      <w:r w:rsidR="00141415">
        <w:rPr>
          <w:sz w:val="24"/>
        </w:rPr>
        <w:t xml:space="preserve"> </w:t>
      </w:r>
      <w:r w:rsidRPr="003B6A0F">
        <w:rPr>
          <w:sz w:val="24"/>
        </w:rPr>
        <w:t xml:space="preserve">Disclosure of </w:t>
      </w:r>
      <w:r w:rsidR="00141415">
        <w:rPr>
          <w:sz w:val="24"/>
        </w:rPr>
        <w:t xml:space="preserve">RTDS’s </w:t>
      </w:r>
      <w:r w:rsidRPr="003B6A0F">
        <w:rPr>
          <w:sz w:val="24"/>
        </w:rPr>
        <w:t>financial information will adversely affect RTDS</w:t>
      </w:r>
      <w:r w:rsidR="00141415">
        <w:rPr>
          <w:sz w:val="24"/>
        </w:rPr>
        <w:t>’s</w:t>
      </w:r>
      <w:r w:rsidRPr="003B6A0F">
        <w:rPr>
          <w:sz w:val="24"/>
        </w:rPr>
        <w:t xml:space="preserve"> ability to negotiate, maintain, and revise various agreements and contracts</w:t>
      </w:r>
      <w:r w:rsidR="00893B11">
        <w:rPr>
          <w:sz w:val="24"/>
        </w:rPr>
        <w:t xml:space="preserve">.  </w:t>
      </w:r>
      <w:r w:rsidR="00893B11" w:rsidRPr="003B6A0F">
        <w:rPr>
          <w:sz w:val="24"/>
        </w:rPr>
        <w:t>B</w:t>
      </w:r>
      <w:r w:rsidRPr="003B6A0F">
        <w:rPr>
          <w:sz w:val="24"/>
        </w:rPr>
        <w:t>rian Tracey ¶</w:t>
      </w:r>
      <w:r w:rsidR="00F843E8" w:rsidRPr="003B6A0F">
        <w:rPr>
          <w:sz w:val="24"/>
        </w:rPr>
        <w:t>¶</w:t>
      </w:r>
      <w:r w:rsidRPr="003B6A0F">
        <w:rPr>
          <w:sz w:val="24"/>
        </w:rPr>
        <w:t xml:space="preserve"> </w:t>
      </w:r>
      <w:r w:rsidR="00F843E8">
        <w:rPr>
          <w:sz w:val="24"/>
        </w:rPr>
        <w:t>4-5</w:t>
      </w:r>
      <w:r w:rsidRPr="003B6A0F">
        <w:rPr>
          <w:sz w:val="24"/>
        </w:rPr>
        <w:t>.</w:t>
      </w:r>
    </w:p>
    <w:p w14:paraId="2A449D55" w14:textId="77777777" w:rsidR="00545321" w:rsidRPr="00545321" w:rsidRDefault="00545321" w:rsidP="00FA5AB6">
      <w:pPr>
        <w:pStyle w:val="ListParagraph"/>
        <w:numPr>
          <w:ilvl w:val="0"/>
          <w:numId w:val="11"/>
        </w:numPr>
        <w:spacing w:line="480" w:lineRule="auto"/>
        <w:ind w:left="720"/>
        <w:jc w:val="center"/>
        <w:rPr>
          <w:b/>
          <w:sz w:val="24"/>
        </w:rPr>
      </w:pPr>
      <w:r w:rsidRPr="00545321">
        <w:rPr>
          <w:b/>
          <w:sz w:val="24"/>
        </w:rPr>
        <w:t>STATEMENT OF ISSUES</w:t>
      </w:r>
    </w:p>
    <w:p w14:paraId="25549F1F" w14:textId="360E9FD5" w:rsidR="005A70FE" w:rsidRPr="00B7344D" w:rsidRDefault="00B66C62" w:rsidP="008114A9">
      <w:pPr>
        <w:numPr>
          <w:ilvl w:val="0"/>
          <w:numId w:val="12"/>
        </w:numPr>
        <w:spacing w:line="480" w:lineRule="auto"/>
        <w:jc w:val="both"/>
        <w:rPr>
          <w:sz w:val="24"/>
        </w:rPr>
      </w:pPr>
      <w:r>
        <w:rPr>
          <w:sz w:val="24"/>
        </w:rPr>
        <w:t xml:space="preserve">Should the Commission </w:t>
      </w:r>
      <w:r w:rsidR="00887B77">
        <w:rPr>
          <w:sz w:val="24"/>
        </w:rPr>
        <w:t>enter a protective order</w:t>
      </w:r>
      <w:r w:rsidR="00484673">
        <w:rPr>
          <w:sz w:val="24"/>
        </w:rPr>
        <w:t xml:space="preserve"> prohibiting the disclosure of </w:t>
      </w:r>
      <w:r w:rsidR="00141415">
        <w:rPr>
          <w:sz w:val="24"/>
        </w:rPr>
        <w:t xml:space="preserve">RTDS’s </w:t>
      </w:r>
      <w:r w:rsidR="00484673">
        <w:rPr>
          <w:sz w:val="24"/>
        </w:rPr>
        <w:t>financial information</w:t>
      </w:r>
      <w:r w:rsidR="003B6A0F">
        <w:rPr>
          <w:sz w:val="24"/>
        </w:rPr>
        <w:t>,</w:t>
      </w:r>
      <w:r w:rsidR="00484673">
        <w:rPr>
          <w:sz w:val="24"/>
        </w:rPr>
        <w:t xml:space="preserve"> and</w:t>
      </w:r>
      <w:r w:rsidR="00887B77">
        <w:rPr>
          <w:sz w:val="24"/>
        </w:rPr>
        <w:t xml:space="preserve"> requiring the redaction of </w:t>
      </w:r>
      <w:r w:rsidR="00484673">
        <w:rPr>
          <w:sz w:val="24"/>
        </w:rPr>
        <w:t>any of RTDS</w:t>
      </w:r>
      <w:r w:rsidR="00141415">
        <w:rPr>
          <w:sz w:val="24"/>
        </w:rPr>
        <w:t>’s</w:t>
      </w:r>
      <w:r w:rsidR="00484673">
        <w:rPr>
          <w:sz w:val="24"/>
        </w:rPr>
        <w:t xml:space="preserve"> financial information in documents that will be </w:t>
      </w:r>
      <w:r w:rsidR="00233A90">
        <w:rPr>
          <w:sz w:val="24"/>
        </w:rPr>
        <w:t>filed publicly</w:t>
      </w:r>
      <w:r w:rsidR="00484673">
        <w:rPr>
          <w:sz w:val="24"/>
        </w:rPr>
        <w:t xml:space="preserve"> in this proceeding? </w:t>
      </w:r>
    </w:p>
    <w:p w14:paraId="3A69288D" w14:textId="77777777" w:rsidR="005A70FE" w:rsidRPr="00545321" w:rsidRDefault="00545321" w:rsidP="00FA5AB6">
      <w:pPr>
        <w:pStyle w:val="ListParagraph"/>
        <w:numPr>
          <w:ilvl w:val="0"/>
          <w:numId w:val="11"/>
        </w:numPr>
        <w:spacing w:line="480" w:lineRule="auto"/>
        <w:ind w:left="720"/>
        <w:jc w:val="center"/>
        <w:rPr>
          <w:b/>
          <w:sz w:val="24"/>
        </w:rPr>
      </w:pPr>
      <w:r w:rsidRPr="00545321">
        <w:rPr>
          <w:b/>
          <w:sz w:val="24"/>
        </w:rPr>
        <w:t>EVIDENCE RELIED UPON</w:t>
      </w:r>
    </w:p>
    <w:p w14:paraId="6F457D37" w14:textId="77777777" w:rsidR="005A70FE" w:rsidRDefault="00B7344D" w:rsidP="008114A9">
      <w:pPr>
        <w:numPr>
          <w:ilvl w:val="0"/>
          <w:numId w:val="12"/>
        </w:numPr>
        <w:spacing w:line="480" w:lineRule="auto"/>
        <w:jc w:val="both"/>
        <w:rPr>
          <w:sz w:val="24"/>
        </w:rPr>
      </w:pPr>
      <w:r>
        <w:rPr>
          <w:sz w:val="24"/>
        </w:rPr>
        <w:t xml:space="preserve">Respondent relies on the Declaration of Brian Tracey, and the papers previously filed or submitted to the Commission in this matter. </w:t>
      </w:r>
    </w:p>
    <w:p w14:paraId="57E19892" w14:textId="77777777" w:rsidR="00FA0045" w:rsidRPr="00545321" w:rsidRDefault="00545321" w:rsidP="00FA5AB6">
      <w:pPr>
        <w:pStyle w:val="ListParagraph"/>
        <w:numPr>
          <w:ilvl w:val="0"/>
          <w:numId w:val="11"/>
        </w:numPr>
        <w:spacing w:line="480" w:lineRule="auto"/>
        <w:ind w:left="720"/>
        <w:jc w:val="center"/>
        <w:rPr>
          <w:b/>
          <w:sz w:val="24"/>
        </w:rPr>
      </w:pPr>
      <w:r w:rsidRPr="00545321">
        <w:rPr>
          <w:b/>
          <w:sz w:val="24"/>
        </w:rPr>
        <w:t>ARGUMENT</w:t>
      </w:r>
      <w:r>
        <w:rPr>
          <w:b/>
          <w:sz w:val="24"/>
        </w:rPr>
        <w:t xml:space="preserve"> AND LEGAL AUTHORITY</w:t>
      </w:r>
    </w:p>
    <w:p w14:paraId="50374BE5" w14:textId="0336319B" w:rsidR="00CC0D54" w:rsidRDefault="00CC0D54" w:rsidP="008B5AE2">
      <w:pPr>
        <w:numPr>
          <w:ilvl w:val="0"/>
          <w:numId w:val="12"/>
        </w:numPr>
        <w:spacing w:line="480" w:lineRule="auto"/>
        <w:jc w:val="both"/>
        <w:rPr>
          <w:sz w:val="24"/>
        </w:rPr>
      </w:pPr>
      <w:r>
        <w:rPr>
          <w:sz w:val="24"/>
        </w:rPr>
        <w:t xml:space="preserve">WAC 480-07-010 provides that scope of WAC 480-07 concerns, among other things, </w:t>
      </w:r>
      <w:r w:rsidR="004444CD">
        <w:rPr>
          <w:sz w:val="24"/>
        </w:rPr>
        <w:t>adjudicative</w:t>
      </w:r>
      <w:r>
        <w:rPr>
          <w:sz w:val="24"/>
        </w:rPr>
        <w:t xml:space="preserve"> proceedings, and that WAC 480-07 establishes procedural rules that should be read in “conjunction with </w:t>
      </w:r>
      <w:r w:rsidRPr="00CC0D54">
        <w:rPr>
          <w:sz w:val="24"/>
        </w:rPr>
        <w:t>the Administrative Procedure Act and Titles 81 RCW.</w:t>
      </w:r>
      <w:r>
        <w:rPr>
          <w:sz w:val="24"/>
        </w:rPr>
        <w:t>” WAC 480-07-010</w:t>
      </w:r>
      <w:r w:rsidR="00893B11">
        <w:rPr>
          <w:sz w:val="24"/>
        </w:rPr>
        <w:t>.  T</w:t>
      </w:r>
      <w:r w:rsidR="001429ED">
        <w:rPr>
          <w:sz w:val="24"/>
        </w:rPr>
        <w:t xml:space="preserve">he enabling statute for WAC 480-07-010, RCW 80.01.040, </w:t>
      </w:r>
      <w:r w:rsidR="008B5AE2">
        <w:rPr>
          <w:sz w:val="24"/>
        </w:rPr>
        <w:t xml:space="preserve">provides that the Commission shall perform all duties under Title </w:t>
      </w:r>
      <w:r w:rsidR="001429ED">
        <w:rPr>
          <w:sz w:val="24"/>
        </w:rPr>
        <w:t>81 RCW</w:t>
      </w:r>
      <w:r w:rsidR="00893B11">
        <w:rPr>
          <w:sz w:val="24"/>
        </w:rPr>
        <w:t>.  T</w:t>
      </w:r>
      <w:r w:rsidR="008B5AE2">
        <w:rPr>
          <w:sz w:val="24"/>
        </w:rPr>
        <w:t xml:space="preserve">hus presumably, the procedural </w:t>
      </w:r>
      <w:r w:rsidR="008B5AE2">
        <w:rPr>
          <w:sz w:val="24"/>
        </w:rPr>
        <w:lastRenderedPageBreak/>
        <w:t>rules in WAC 480-07 apply to adjudications under Title 81 RCW</w:t>
      </w:r>
      <w:r w:rsidR="00893B11">
        <w:rPr>
          <w:sz w:val="24"/>
        </w:rPr>
        <w:t>.  I</w:t>
      </w:r>
      <w:r w:rsidR="008B5AE2">
        <w:rPr>
          <w:sz w:val="24"/>
        </w:rPr>
        <w:t>f not, then the ‘default’ procedural rules of Washington’s Administrative Procedures Act, RCW 34.05.446</w:t>
      </w:r>
      <w:r w:rsidR="004444CD">
        <w:rPr>
          <w:sz w:val="24"/>
        </w:rPr>
        <w:t>,</w:t>
      </w:r>
      <w:r w:rsidR="008B5AE2">
        <w:rPr>
          <w:sz w:val="24"/>
        </w:rPr>
        <w:t xml:space="preserve"> apply</w:t>
      </w:r>
      <w:r w:rsidR="00893B11">
        <w:rPr>
          <w:sz w:val="24"/>
        </w:rPr>
        <w:t>.  I</w:t>
      </w:r>
      <w:r w:rsidR="008B5AE2">
        <w:rPr>
          <w:sz w:val="24"/>
        </w:rPr>
        <w:t xml:space="preserve">n either instance, a protective order is appropriate. </w:t>
      </w:r>
    </w:p>
    <w:p w14:paraId="6B7DA380" w14:textId="591C47A4" w:rsidR="003573AF" w:rsidRPr="003573AF" w:rsidRDefault="003573AF" w:rsidP="00893B11">
      <w:pPr>
        <w:pStyle w:val="ListParagraph"/>
        <w:numPr>
          <w:ilvl w:val="0"/>
          <w:numId w:val="13"/>
        </w:numPr>
        <w:spacing w:line="480" w:lineRule="auto"/>
        <w:ind w:hanging="720"/>
        <w:jc w:val="both"/>
        <w:rPr>
          <w:b/>
          <w:sz w:val="24"/>
        </w:rPr>
      </w:pPr>
      <w:r w:rsidRPr="003573AF">
        <w:rPr>
          <w:b/>
          <w:sz w:val="24"/>
        </w:rPr>
        <w:t>A protective order is appropriate under WAC 480-07-420</w:t>
      </w:r>
      <w:r w:rsidR="003D4329">
        <w:rPr>
          <w:b/>
          <w:sz w:val="24"/>
        </w:rPr>
        <w:t>(1)</w:t>
      </w:r>
      <w:r w:rsidRPr="003573AF">
        <w:rPr>
          <w:b/>
          <w:sz w:val="24"/>
        </w:rPr>
        <w:t>.</w:t>
      </w:r>
      <w:r w:rsidR="004444CD">
        <w:rPr>
          <w:rStyle w:val="FootnoteReference"/>
          <w:b/>
          <w:sz w:val="24"/>
        </w:rPr>
        <w:footnoteReference w:id="1"/>
      </w:r>
    </w:p>
    <w:p w14:paraId="1F836BE2" w14:textId="6D0D8F84" w:rsidR="003D4329" w:rsidRDefault="00C016A2" w:rsidP="008114A9">
      <w:pPr>
        <w:numPr>
          <w:ilvl w:val="0"/>
          <w:numId w:val="12"/>
        </w:numPr>
        <w:spacing w:line="480" w:lineRule="auto"/>
        <w:jc w:val="both"/>
        <w:rPr>
          <w:sz w:val="24"/>
        </w:rPr>
      </w:pPr>
      <w:r>
        <w:rPr>
          <w:sz w:val="24"/>
        </w:rPr>
        <w:t>Under WAC 480-07-</w:t>
      </w:r>
      <w:r w:rsidR="00887B77">
        <w:rPr>
          <w:sz w:val="24"/>
        </w:rPr>
        <w:t>420</w:t>
      </w:r>
      <w:r w:rsidR="003D4329">
        <w:rPr>
          <w:sz w:val="24"/>
        </w:rPr>
        <w:t>(1)</w:t>
      </w:r>
      <w:r w:rsidR="00C37362">
        <w:rPr>
          <w:sz w:val="24"/>
        </w:rPr>
        <w:t>,</w:t>
      </w:r>
      <w:r w:rsidR="00820756">
        <w:rPr>
          <w:sz w:val="24"/>
        </w:rPr>
        <w:t xml:space="preserve"> the Commission may enter a standard protective order when the parties reasonably anticipate that discovery in a proceeding will call for the product</w:t>
      </w:r>
      <w:r w:rsidR="003D4329">
        <w:rPr>
          <w:sz w:val="24"/>
        </w:rPr>
        <w:t>ion of “confidential information.” WAC 480-07-420(1)</w:t>
      </w:r>
      <w:r w:rsidR="00893B11">
        <w:rPr>
          <w:sz w:val="24"/>
        </w:rPr>
        <w:t>.  W</w:t>
      </w:r>
      <w:r w:rsidR="003D4329">
        <w:rPr>
          <w:sz w:val="24"/>
        </w:rPr>
        <w:t>hile commercial information is not specifically defined within WAC 480-07-420, its definition may be gleaned from how “commercial information” is defined elsewhere in WAC 480-07, and related statutory authority</w:t>
      </w:r>
      <w:r w:rsidR="00893B11">
        <w:rPr>
          <w:sz w:val="24"/>
        </w:rPr>
        <w:t>.  W</w:t>
      </w:r>
      <w:r w:rsidR="003D4329">
        <w:rPr>
          <w:sz w:val="24"/>
        </w:rPr>
        <w:t>AC 480-07-160(2) defines “confidential information” as including “financial information” as well as information meeting an exemption requirement under the Public Records Act.  WAC 480-07-160(2)</w:t>
      </w:r>
      <w:r w:rsidR="00233A90">
        <w:rPr>
          <w:sz w:val="24"/>
        </w:rPr>
        <w:t xml:space="preserve">(a) &amp; </w:t>
      </w:r>
      <w:r w:rsidR="003D4329">
        <w:rPr>
          <w:sz w:val="24"/>
        </w:rPr>
        <w:t xml:space="preserve">(c); </w:t>
      </w:r>
      <w:r w:rsidR="003D4329" w:rsidRPr="00164F1E">
        <w:rPr>
          <w:i/>
          <w:sz w:val="24"/>
        </w:rPr>
        <w:t xml:space="preserve">see </w:t>
      </w:r>
      <w:r w:rsidR="004444CD">
        <w:rPr>
          <w:i/>
          <w:sz w:val="24"/>
        </w:rPr>
        <w:t>e.g.</w:t>
      </w:r>
      <w:r w:rsidR="003D4329">
        <w:rPr>
          <w:sz w:val="24"/>
        </w:rPr>
        <w:t xml:space="preserve"> RCW 80.04.095 (protection for records containing commercial information and listing “financial information” as including in the definition of commercial information) and RCW 81.77.210 (same).</w:t>
      </w:r>
      <w:r w:rsidR="0073573A">
        <w:rPr>
          <w:rStyle w:val="FootnoteReference"/>
          <w:sz w:val="24"/>
        </w:rPr>
        <w:footnoteReference w:id="2"/>
      </w:r>
    </w:p>
    <w:p w14:paraId="367F773F" w14:textId="033C13A6" w:rsidR="003D4329" w:rsidRDefault="00AD773A" w:rsidP="008114A9">
      <w:pPr>
        <w:numPr>
          <w:ilvl w:val="0"/>
          <w:numId w:val="12"/>
        </w:numPr>
        <w:spacing w:line="480" w:lineRule="auto"/>
        <w:jc w:val="both"/>
        <w:rPr>
          <w:sz w:val="24"/>
        </w:rPr>
      </w:pPr>
      <w:r>
        <w:rPr>
          <w:sz w:val="24"/>
        </w:rPr>
        <w:t>Here, RTDS requests redaction of its financial information, including its “gross income.”  RTDS’s “financial information” is unquestionably “confidential information” as that term is used under WAC 480-07-420(1)</w:t>
      </w:r>
      <w:r w:rsidR="00893B11">
        <w:rPr>
          <w:sz w:val="24"/>
        </w:rPr>
        <w:t>.  T</w:t>
      </w:r>
      <w:r>
        <w:rPr>
          <w:sz w:val="24"/>
        </w:rPr>
        <w:t xml:space="preserve">hus, for this reason alone entry of the standard protective order is appropriate. </w:t>
      </w:r>
    </w:p>
    <w:p w14:paraId="1444988F" w14:textId="0AE019AE" w:rsidR="00574A57" w:rsidRDefault="00AD773A" w:rsidP="00574A57">
      <w:pPr>
        <w:numPr>
          <w:ilvl w:val="0"/>
          <w:numId w:val="12"/>
        </w:numPr>
        <w:spacing w:line="480" w:lineRule="auto"/>
        <w:jc w:val="both"/>
        <w:rPr>
          <w:sz w:val="24"/>
        </w:rPr>
      </w:pPr>
      <w:r>
        <w:rPr>
          <w:sz w:val="24"/>
        </w:rPr>
        <w:t>Additionally</w:t>
      </w:r>
      <w:r w:rsidR="00233A90">
        <w:rPr>
          <w:sz w:val="24"/>
        </w:rPr>
        <w:t xml:space="preserve"> the financial information is confidential because it meets an exemption requirement under the Public Records Act</w:t>
      </w:r>
      <w:r w:rsidR="00893B11">
        <w:rPr>
          <w:sz w:val="24"/>
        </w:rPr>
        <w:t xml:space="preserve">.  </w:t>
      </w:r>
      <w:r w:rsidR="00893B11" w:rsidRPr="00233A90">
        <w:rPr>
          <w:i/>
          <w:sz w:val="24"/>
        </w:rPr>
        <w:t>S</w:t>
      </w:r>
      <w:r w:rsidR="00233A90" w:rsidRPr="00233A90">
        <w:rPr>
          <w:i/>
          <w:sz w:val="24"/>
        </w:rPr>
        <w:t>ee</w:t>
      </w:r>
      <w:r>
        <w:rPr>
          <w:sz w:val="24"/>
        </w:rPr>
        <w:t xml:space="preserve"> RCW 42.56.050</w:t>
      </w:r>
      <w:r w:rsidR="00893B11">
        <w:rPr>
          <w:sz w:val="24"/>
        </w:rPr>
        <w:t>.  R</w:t>
      </w:r>
      <w:r w:rsidR="00233A90">
        <w:rPr>
          <w:sz w:val="24"/>
        </w:rPr>
        <w:t>CW 42.56.050</w:t>
      </w:r>
      <w:r>
        <w:rPr>
          <w:sz w:val="24"/>
        </w:rPr>
        <w:t xml:space="preserve"> prohibits </w:t>
      </w:r>
      <w:r>
        <w:rPr>
          <w:sz w:val="24"/>
        </w:rPr>
        <w:lastRenderedPageBreak/>
        <w:t>the disclosure of private information that would be highly offensive to a reasonable person and is not a le</w:t>
      </w:r>
      <w:r w:rsidR="009B0958">
        <w:rPr>
          <w:sz w:val="24"/>
        </w:rPr>
        <w:t>gitimate concern of the public</w:t>
      </w:r>
      <w:r w:rsidR="00893B11">
        <w:rPr>
          <w:sz w:val="24"/>
        </w:rPr>
        <w:t xml:space="preserve">.  </w:t>
      </w:r>
      <w:r w:rsidR="00893B11" w:rsidRPr="00233A90">
        <w:rPr>
          <w:i/>
          <w:sz w:val="24"/>
        </w:rPr>
        <w:t>I</w:t>
      </w:r>
      <w:r w:rsidR="00233A90" w:rsidRPr="00233A90">
        <w:rPr>
          <w:i/>
          <w:sz w:val="24"/>
        </w:rPr>
        <w:t>d</w:t>
      </w:r>
      <w:r w:rsidR="00893B11">
        <w:rPr>
          <w:i/>
          <w:sz w:val="24"/>
        </w:rPr>
        <w:t xml:space="preserve">.  </w:t>
      </w:r>
      <w:r w:rsidR="00893B11" w:rsidRPr="00AD773A">
        <w:rPr>
          <w:sz w:val="24"/>
        </w:rPr>
        <w:t>P</w:t>
      </w:r>
      <w:r w:rsidR="00574A57" w:rsidRPr="00AD773A">
        <w:rPr>
          <w:sz w:val="24"/>
        </w:rPr>
        <w:t>rotective orders are regularly entered in civil ligation in accordance with Washington’s Public Disclosure Act</w:t>
      </w:r>
      <w:r w:rsidR="00574A57">
        <w:rPr>
          <w:sz w:val="24"/>
        </w:rPr>
        <w:t>’s</w:t>
      </w:r>
      <w:r w:rsidR="00574A57" w:rsidRPr="00AD773A">
        <w:rPr>
          <w:sz w:val="24"/>
        </w:rPr>
        <w:t xml:space="preserve"> exempti</w:t>
      </w:r>
      <w:r w:rsidR="00574A57">
        <w:rPr>
          <w:sz w:val="24"/>
        </w:rPr>
        <w:t>on for one’s privacy rights</w:t>
      </w:r>
      <w:r w:rsidR="00574A57" w:rsidRPr="00AD773A">
        <w:rPr>
          <w:sz w:val="24"/>
        </w:rPr>
        <w:t>, including orders that protect: tax returns, financial statements, banking records</w:t>
      </w:r>
      <w:r w:rsidR="004444CD">
        <w:rPr>
          <w:sz w:val="24"/>
        </w:rPr>
        <w:t>,</w:t>
      </w:r>
      <w:r w:rsidR="00574A57" w:rsidRPr="00AD773A">
        <w:rPr>
          <w:sz w:val="24"/>
        </w:rPr>
        <w:t xml:space="preserve"> and similar financial information</w:t>
      </w:r>
      <w:r w:rsidR="00893B11">
        <w:rPr>
          <w:sz w:val="24"/>
        </w:rPr>
        <w:t xml:space="preserve">.  </w:t>
      </w:r>
      <w:r w:rsidR="00893B11" w:rsidRPr="00233A90">
        <w:rPr>
          <w:i/>
          <w:sz w:val="24"/>
        </w:rPr>
        <w:t>E</w:t>
      </w:r>
      <w:r w:rsidR="00233A90" w:rsidRPr="00233A90">
        <w:rPr>
          <w:i/>
          <w:sz w:val="24"/>
        </w:rPr>
        <w:t>.g.</w:t>
      </w:r>
      <w:r w:rsidR="00233A90">
        <w:rPr>
          <w:sz w:val="24"/>
        </w:rPr>
        <w:t xml:space="preserve"> </w:t>
      </w:r>
      <w:r w:rsidR="00574A57" w:rsidRPr="00AD773A">
        <w:rPr>
          <w:i/>
          <w:sz w:val="24"/>
        </w:rPr>
        <w:t>Aexel v. Seattle Financial Group, Inc.</w:t>
      </w:r>
      <w:r w:rsidR="00574A57" w:rsidRPr="00AD773A">
        <w:rPr>
          <w:sz w:val="24"/>
        </w:rPr>
        <w:t>, No. 1023720832014</w:t>
      </w:r>
      <w:r w:rsidR="00574A57">
        <w:rPr>
          <w:sz w:val="24"/>
        </w:rPr>
        <w:t>,</w:t>
      </w:r>
      <w:r w:rsidR="00574A57" w:rsidRPr="00AD773A">
        <w:rPr>
          <w:sz w:val="24"/>
        </w:rPr>
        <w:t xml:space="preserve"> WL 2457807 (Wash.</w:t>
      </w:r>
      <w:r w:rsidR="00574A57">
        <w:rPr>
          <w:sz w:val="24"/>
        </w:rPr>
        <w:t xml:space="preserve"> </w:t>
      </w:r>
      <w:r w:rsidR="00574A57" w:rsidRPr="00AD773A">
        <w:rPr>
          <w:sz w:val="24"/>
        </w:rPr>
        <w:t>Super.</w:t>
      </w:r>
      <w:r w:rsidR="00574A57">
        <w:rPr>
          <w:sz w:val="24"/>
        </w:rPr>
        <w:t xml:space="preserve"> March 23, 2014) (Inveen, J.).</w:t>
      </w:r>
      <w:r w:rsidR="009B0958">
        <w:rPr>
          <w:rStyle w:val="FootnoteReference"/>
          <w:sz w:val="24"/>
        </w:rPr>
        <w:footnoteReference w:id="3"/>
      </w:r>
      <w:r w:rsidR="00574A57">
        <w:rPr>
          <w:sz w:val="24"/>
        </w:rPr>
        <w:t xml:space="preserve"> </w:t>
      </w:r>
    </w:p>
    <w:p w14:paraId="21AD4BC1" w14:textId="359DC356" w:rsidR="00193C61" w:rsidRPr="005E408F" w:rsidRDefault="009B0958" w:rsidP="005E408F">
      <w:pPr>
        <w:numPr>
          <w:ilvl w:val="0"/>
          <w:numId w:val="12"/>
        </w:numPr>
        <w:spacing w:line="480" w:lineRule="auto"/>
        <w:jc w:val="both"/>
        <w:rPr>
          <w:sz w:val="24"/>
        </w:rPr>
      </w:pPr>
      <w:r>
        <w:rPr>
          <w:sz w:val="24"/>
        </w:rPr>
        <w:t xml:space="preserve">First, requiring public disclosure and thus scrutiny of </w:t>
      </w:r>
      <w:r w:rsidRPr="009B0958">
        <w:rPr>
          <w:sz w:val="24"/>
        </w:rPr>
        <w:t>RTDS’s financial information, and by extension portions of the private financial information of its ownership, is highly offensive just as would be asking a private individual to disclose their salary or how much debt they have</w:t>
      </w:r>
      <w:r w:rsidR="00893B11">
        <w:rPr>
          <w:sz w:val="24"/>
        </w:rPr>
        <w:t xml:space="preserve">.  </w:t>
      </w:r>
      <w:r w:rsidR="00893B11" w:rsidRPr="009B0958">
        <w:rPr>
          <w:sz w:val="24"/>
        </w:rPr>
        <w:t>N</w:t>
      </w:r>
      <w:r w:rsidR="00193C61" w:rsidRPr="009B0958">
        <w:rPr>
          <w:sz w:val="24"/>
        </w:rPr>
        <w:t>ot only would disclosure be highly offensive, disclosure of RTDS’s financial information could cause RTDS real and significant damage to its ability to negotiate various contacts in the future.  Public knowledge of a small, privately held company’s financial information causes a competitive disadvantage for such companies.  Indeed, one of the primary reasons companies choose to remain privately held rather than go public is the right of non-disclosure of financial information.  Disclosure of RTDS’s financial information in this proceeding would eviscerate its right of non-disclosure, and put it at a competitive disadvantage</w:t>
      </w:r>
      <w:r w:rsidR="00893B11">
        <w:rPr>
          <w:sz w:val="24"/>
        </w:rPr>
        <w:t>.  D</w:t>
      </w:r>
      <w:r w:rsidR="005E408F">
        <w:rPr>
          <w:sz w:val="24"/>
        </w:rPr>
        <w:t xml:space="preserve">isclosure of RTDS’s financial information would compromise its ability to compete fairly with other private companies that are not required to disclose their financial information, and would unfairly prejudice RTDS’s ability to negotiate future contracts. </w:t>
      </w:r>
    </w:p>
    <w:p w14:paraId="040AF8A3" w14:textId="2F153E56" w:rsidR="009B0958" w:rsidRPr="009B0958" w:rsidRDefault="00193C61" w:rsidP="009B0958">
      <w:pPr>
        <w:numPr>
          <w:ilvl w:val="0"/>
          <w:numId w:val="12"/>
        </w:numPr>
        <w:spacing w:line="480" w:lineRule="auto"/>
        <w:jc w:val="both"/>
        <w:rPr>
          <w:sz w:val="24"/>
        </w:rPr>
      </w:pPr>
      <w:r>
        <w:rPr>
          <w:sz w:val="24"/>
        </w:rPr>
        <w:t>Second</w:t>
      </w:r>
      <w:r w:rsidR="009B0958" w:rsidRPr="009B0958">
        <w:rPr>
          <w:sz w:val="24"/>
        </w:rPr>
        <w:t xml:space="preserve">, RTDS’s financial information is not of legitimate public concern, and opening its financial information to scrutiny by the general public, its competitors, and vendors is highly offensive to its privacy interests.  RTDS is a small, privately held company.  It is not publically traded, and does not rely on government funding for its operations.  Its financial </w:t>
      </w:r>
      <w:r w:rsidR="009B0958" w:rsidRPr="009B0958">
        <w:rPr>
          <w:sz w:val="24"/>
        </w:rPr>
        <w:lastRenderedPageBreak/>
        <w:t xml:space="preserve">information is therefore not a matter of public record, nor is it a matter of public concern.  </w:t>
      </w:r>
    </w:p>
    <w:p w14:paraId="71ED4379" w14:textId="6F7FA2A1" w:rsidR="00193C61" w:rsidRDefault="009B0958" w:rsidP="00193C61">
      <w:pPr>
        <w:numPr>
          <w:ilvl w:val="0"/>
          <w:numId w:val="12"/>
        </w:numPr>
        <w:spacing w:line="480" w:lineRule="auto"/>
        <w:jc w:val="both"/>
        <w:rPr>
          <w:sz w:val="24"/>
        </w:rPr>
      </w:pPr>
      <w:r w:rsidRPr="009B0958">
        <w:rPr>
          <w:sz w:val="24"/>
        </w:rPr>
        <w:t xml:space="preserve">An order requiring the redaction of RTDS’s financial information from any </w:t>
      </w:r>
      <w:r w:rsidR="00193C61">
        <w:rPr>
          <w:sz w:val="24"/>
        </w:rPr>
        <w:t xml:space="preserve">public available </w:t>
      </w:r>
      <w:r w:rsidRPr="009B0958">
        <w:rPr>
          <w:sz w:val="24"/>
        </w:rPr>
        <w:t>record submitted in this proceeding will not cause any prejudice.  The Parties’ joint goal of ensuring public safety will not be impacted by the requested protective order</w:t>
      </w:r>
      <w:r w:rsidR="00893B11">
        <w:rPr>
          <w:sz w:val="24"/>
        </w:rPr>
        <w:t>.  I</w:t>
      </w:r>
      <w:r w:rsidR="00193C61">
        <w:rPr>
          <w:sz w:val="24"/>
        </w:rPr>
        <w:t>ndeed, when confidential income data that would violate one’s privacy interest can be redacted from a public record, the proper course is to redact the confidential income data and release the rest of the record</w:t>
      </w:r>
      <w:r w:rsidR="00893B11">
        <w:rPr>
          <w:sz w:val="24"/>
        </w:rPr>
        <w:t xml:space="preserve">.  </w:t>
      </w:r>
      <w:r w:rsidR="00893B11" w:rsidRPr="006A1E2F">
        <w:rPr>
          <w:i/>
          <w:sz w:val="24"/>
        </w:rPr>
        <w:t>S</w:t>
      </w:r>
      <w:r w:rsidR="00193C61" w:rsidRPr="006A1E2F">
        <w:rPr>
          <w:i/>
          <w:sz w:val="24"/>
        </w:rPr>
        <w:t>ee</w:t>
      </w:r>
      <w:r w:rsidR="00193C61">
        <w:rPr>
          <w:sz w:val="24"/>
        </w:rPr>
        <w:t xml:space="preserve"> RCW 42.56.210(1). </w:t>
      </w:r>
    </w:p>
    <w:p w14:paraId="4035D01C" w14:textId="4C315B84" w:rsidR="003573AF" w:rsidRPr="003573AF" w:rsidRDefault="003573AF" w:rsidP="000C5C71">
      <w:pPr>
        <w:pStyle w:val="ListParagraph"/>
        <w:numPr>
          <w:ilvl w:val="0"/>
          <w:numId w:val="13"/>
        </w:numPr>
        <w:spacing w:line="480" w:lineRule="auto"/>
        <w:ind w:hanging="720"/>
        <w:jc w:val="both"/>
        <w:rPr>
          <w:b/>
          <w:sz w:val="24"/>
        </w:rPr>
      </w:pPr>
      <w:r w:rsidRPr="003573AF">
        <w:rPr>
          <w:b/>
          <w:sz w:val="24"/>
        </w:rPr>
        <w:t>A protective order is appropriate under RCW 34.05.446.</w:t>
      </w:r>
    </w:p>
    <w:p w14:paraId="38ECD67E" w14:textId="6A035B29" w:rsidR="00CC0D54" w:rsidRDefault="00CC0D54" w:rsidP="008114A9">
      <w:pPr>
        <w:numPr>
          <w:ilvl w:val="0"/>
          <w:numId w:val="12"/>
        </w:numPr>
        <w:spacing w:line="480" w:lineRule="auto"/>
        <w:jc w:val="both"/>
        <w:rPr>
          <w:sz w:val="24"/>
        </w:rPr>
      </w:pPr>
      <w:r>
        <w:rPr>
          <w:sz w:val="24"/>
        </w:rPr>
        <w:t>The relevant po</w:t>
      </w:r>
      <w:r w:rsidR="004E7837">
        <w:rPr>
          <w:sz w:val="24"/>
        </w:rPr>
        <w:t>r</w:t>
      </w:r>
      <w:r>
        <w:rPr>
          <w:sz w:val="24"/>
        </w:rPr>
        <w:t>tion of Washington’s Administrative Procedures Act, RCW 34.05, also allows the presiding officer to enter protective orders under the superior cour</w:t>
      </w:r>
      <w:r w:rsidR="003573AF">
        <w:rPr>
          <w:sz w:val="24"/>
        </w:rPr>
        <w:t>t civil rules</w:t>
      </w:r>
      <w:r w:rsidR="00893B11">
        <w:rPr>
          <w:sz w:val="24"/>
        </w:rPr>
        <w:t>.  R</w:t>
      </w:r>
      <w:r w:rsidR="003573AF">
        <w:rPr>
          <w:sz w:val="24"/>
        </w:rPr>
        <w:t>CW 34.05.446</w:t>
      </w:r>
      <w:r w:rsidR="00893B11">
        <w:rPr>
          <w:sz w:val="24"/>
        </w:rPr>
        <w:t>.  C</w:t>
      </w:r>
      <w:r w:rsidR="00C510C3">
        <w:rPr>
          <w:sz w:val="24"/>
        </w:rPr>
        <w:t xml:space="preserve">ivil Rule 26(c) allows a protective order to be entered to protect a party from undue burden or expense including that “commercial information not be disclosed or be disclosed only in a designated way.” CR 26(c). </w:t>
      </w:r>
    </w:p>
    <w:p w14:paraId="7175A4FD" w14:textId="00A5F2FE" w:rsidR="00070373" w:rsidRPr="00070373" w:rsidRDefault="004E7837" w:rsidP="00070373">
      <w:pPr>
        <w:numPr>
          <w:ilvl w:val="0"/>
          <w:numId w:val="12"/>
        </w:numPr>
        <w:spacing w:line="480" w:lineRule="auto"/>
        <w:jc w:val="both"/>
        <w:rPr>
          <w:sz w:val="24"/>
        </w:rPr>
      </w:pPr>
      <w:r>
        <w:rPr>
          <w:sz w:val="24"/>
        </w:rPr>
        <w:t>A t</w:t>
      </w:r>
      <w:r w:rsidR="00070373" w:rsidRPr="00070373">
        <w:rPr>
          <w:sz w:val="24"/>
        </w:rPr>
        <w:t>rial court has substantial latitude to decide when a protective order is appropriate and what degree of protection is required given the unique character of the discovery process.  </w:t>
      </w:r>
      <w:r w:rsidR="00070373" w:rsidRPr="00070373">
        <w:rPr>
          <w:i/>
          <w:sz w:val="24"/>
        </w:rPr>
        <w:t>King v. Olympic Pipeline Co.</w:t>
      </w:r>
      <w:r w:rsidR="00070373">
        <w:rPr>
          <w:sz w:val="24"/>
        </w:rPr>
        <w:t>,</w:t>
      </w:r>
      <w:r w:rsidR="00070373" w:rsidRPr="00070373">
        <w:rPr>
          <w:sz w:val="24"/>
        </w:rPr>
        <w:t xml:space="preserve"> 104 Wash.App. 338, 16 P.3d 45, a</w:t>
      </w:r>
      <w:r w:rsidR="00070373" w:rsidRPr="00070373">
        <w:rPr>
          <w:i/>
          <w:sz w:val="24"/>
        </w:rPr>
        <w:t>mended on reconsideration, review denied</w:t>
      </w:r>
      <w:r w:rsidR="00070373">
        <w:rPr>
          <w:sz w:val="24"/>
        </w:rPr>
        <w:t>,</w:t>
      </w:r>
      <w:r w:rsidR="00070373" w:rsidRPr="00070373">
        <w:rPr>
          <w:sz w:val="24"/>
        </w:rPr>
        <w:t xml:space="preserve"> 143 Wash.2d 1012, 21 P.3d 290</w:t>
      </w:r>
      <w:r w:rsidR="00070373">
        <w:rPr>
          <w:sz w:val="24"/>
        </w:rPr>
        <w:t xml:space="preserve"> </w:t>
      </w:r>
      <w:r w:rsidR="00070373" w:rsidRPr="00070373">
        <w:rPr>
          <w:sz w:val="24"/>
        </w:rPr>
        <w:t>(2000)</w:t>
      </w:r>
      <w:r w:rsidR="00893B11">
        <w:rPr>
          <w:sz w:val="24"/>
        </w:rPr>
        <w:t>.  T</w:t>
      </w:r>
      <w:r w:rsidR="00070373">
        <w:rPr>
          <w:sz w:val="24"/>
        </w:rPr>
        <w:t>he commission routinely enters protective orders pursuant to RCW 34.05.446</w:t>
      </w:r>
      <w:r w:rsidR="00893B11">
        <w:rPr>
          <w:sz w:val="24"/>
        </w:rPr>
        <w:t xml:space="preserve">.  </w:t>
      </w:r>
      <w:r w:rsidR="00893B11" w:rsidRPr="00C510C3">
        <w:rPr>
          <w:i/>
          <w:sz w:val="24"/>
        </w:rPr>
        <w:t>S</w:t>
      </w:r>
      <w:r w:rsidR="00070373" w:rsidRPr="00C510C3">
        <w:rPr>
          <w:i/>
          <w:sz w:val="24"/>
        </w:rPr>
        <w:t>ee e.g., In the Matter of the Petition of Olympic Pipe Line Co. et al</w:t>
      </w:r>
      <w:r w:rsidR="00070373">
        <w:rPr>
          <w:i/>
          <w:sz w:val="24"/>
        </w:rPr>
        <w:t>.</w:t>
      </w:r>
      <w:r w:rsidR="00070373">
        <w:rPr>
          <w:sz w:val="24"/>
        </w:rPr>
        <w:t>, No. TO-031973 &amp; TO-081785 (October 14, 2008)</w:t>
      </w:r>
      <w:r w:rsidR="00893B11">
        <w:rPr>
          <w:sz w:val="24"/>
        </w:rPr>
        <w:t>.  A</w:t>
      </w:r>
      <w:r w:rsidR="00070373">
        <w:rPr>
          <w:sz w:val="24"/>
        </w:rPr>
        <w:t xml:space="preserve">nd </w:t>
      </w:r>
      <w:r w:rsidR="00AE205C">
        <w:rPr>
          <w:sz w:val="24"/>
        </w:rPr>
        <w:t xml:space="preserve">the </w:t>
      </w:r>
      <w:r w:rsidR="00070373">
        <w:rPr>
          <w:sz w:val="24"/>
        </w:rPr>
        <w:t>court</w:t>
      </w:r>
      <w:r w:rsidR="00AE205C">
        <w:rPr>
          <w:sz w:val="24"/>
        </w:rPr>
        <w:t>s</w:t>
      </w:r>
      <w:r w:rsidR="00070373">
        <w:rPr>
          <w:sz w:val="24"/>
        </w:rPr>
        <w:t xml:space="preserve"> uphold those protective orders</w:t>
      </w:r>
      <w:r w:rsidR="00893B11">
        <w:rPr>
          <w:sz w:val="24"/>
        </w:rPr>
        <w:t xml:space="preserve">.  </w:t>
      </w:r>
      <w:r w:rsidR="00893B11" w:rsidRPr="004E7837">
        <w:rPr>
          <w:i/>
          <w:sz w:val="24"/>
        </w:rPr>
        <w:t>S</w:t>
      </w:r>
      <w:r w:rsidRPr="004E7837">
        <w:rPr>
          <w:i/>
          <w:sz w:val="24"/>
        </w:rPr>
        <w:t>ee</w:t>
      </w:r>
      <w:r>
        <w:rPr>
          <w:sz w:val="24"/>
        </w:rPr>
        <w:t xml:space="preserve"> </w:t>
      </w:r>
      <w:r w:rsidR="00394DE6">
        <w:rPr>
          <w:sz w:val="24"/>
        </w:rPr>
        <w:t>TRACER</w:t>
      </w:r>
      <w:r w:rsidR="00070373" w:rsidRPr="00AD773A">
        <w:rPr>
          <w:i/>
          <w:sz w:val="24"/>
        </w:rPr>
        <w:t xml:space="preserve"> v. Washington Utilities and Transp. Com'n</w:t>
      </w:r>
      <w:r w:rsidR="00070373" w:rsidRPr="00AD773A">
        <w:rPr>
          <w:sz w:val="24"/>
        </w:rPr>
        <w:t>, 2002 WL 1</w:t>
      </w:r>
      <w:r>
        <w:rPr>
          <w:sz w:val="24"/>
        </w:rPr>
        <w:t>608448, at *10 (Wn. App.</w:t>
      </w:r>
      <w:r w:rsidR="00070373" w:rsidRPr="00AD773A">
        <w:rPr>
          <w:sz w:val="24"/>
        </w:rPr>
        <w:t>,</w:t>
      </w:r>
      <w:r>
        <w:rPr>
          <w:sz w:val="24"/>
        </w:rPr>
        <w:t xml:space="preserve"> </w:t>
      </w:r>
      <w:r w:rsidR="00070373" w:rsidRPr="00AD773A">
        <w:rPr>
          <w:sz w:val="24"/>
        </w:rPr>
        <w:t>2002)</w:t>
      </w:r>
      <w:r w:rsidR="00AE205C">
        <w:rPr>
          <w:sz w:val="24"/>
        </w:rPr>
        <w:t>.</w:t>
      </w:r>
      <w:r w:rsidR="00AE205C">
        <w:rPr>
          <w:rStyle w:val="FootnoteReference"/>
          <w:sz w:val="24"/>
        </w:rPr>
        <w:footnoteReference w:id="4"/>
      </w:r>
      <w:r w:rsidR="00070373">
        <w:rPr>
          <w:sz w:val="24"/>
        </w:rPr>
        <w:t xml:space="preserve"> </w:t>
      </w:r>
    </w:p>
    <w:p w14:paraId="4B680D3F" w14:textId="057D1806" w:rsidR="00070373" w:rsidRDefault="00070373" w:rsidP="00070373">
      <w:pPr>
        <w:numPr>
          <w:ilvl w:val="0"/>
          <w:numId w:val="12"/>
        </w:numPr>
        <w:spacing w:line="480" w:lineRule="auto"/>
        <w:jc w:val="both"/>
        <w:rPr>
          <w:sz w:val="24"/>
        </w:rPr>
      </w:pPr>
      <w:r>
        <w:rPr>
          <w:sz w:val="24"/>
        </w:rPr>
        <w:t xml:space="preserve">CR 26(c) </w:t>
      </w:r>
      <w:r w:rsidRPr="00070373">
        <w:rPr>
          <w:sz w:val="24"/>
        </w:rPr>
        <w:t xml:space="preserve">permits a trial court to forbid publication of information obtained through </w:t>
      </w:r>
      <w:r w:rsidRPr="00070373">
        <w:rPr>
          <w:sz w:val="24"/>
        </w:rPr>
        <w:lastRenderedPageBreak/>
        <w:t>discover</w:t>
      </w:r>
      <w:r>
        <w:rPr>
          <w:sz w:val="24"/>
        </w:rPr>
        <w:t>y upon a showing of “good cause</w:t>
      </w:r>
      <w:r w:rsidRPr="00070373">
        <w:rPr>
          <w:sz w:val="24"/>
        </w:rPr>
        <w:t>.</w:t>
      </w:r>
      <w:r>
        <w:rPr>
          <w:sz w:val="24"/>
        </w:rPr>
        <w:t xml:space="preserve">” </w:t>
      </w:r>
      <w:r w:rsidR="00893B11">
        <w:rPr>
          <w:sz w:val="24"/>
        </w:rPr>
        <w:t xml:space="preserve"> </w:t>
      </w:r>
      <w:r w:rsidRPr="00070373">
        <w:rPr>
          <w:i/>
          <w:sz w:val="24"/>
        </w:rPr>
        <w:t>Rhinehart v. Seattle Times</w:t>
      </w:r>
      <w:r w:rsidRPr="00070373">
        <w:rPr>
          <w:sz w:val="24"/>
        </w:rPr>
        <w:t xml:space="preserve"> 98 Wash.2d 226, 654 P.2d 673</w:t>
      </w:r>
      <w:r>
        <w:rPr>
          <w:sz w:val="24"/>
        </w:rPr>
        <w:t xml:space="preserve"> </w:t>
      </w:r>
      <w:r w:rsidRPr="00070373">
        <w:rPr>
          <w:sz w:val="24"/>
        </w:rPr>
        <w:t>(1982)</w:t>
      </w:r>
      <w:r w:rsidR="00893B11">
        <w:rPr>
          <w:sz w:val="24"/>
        </w:rPr>
        <w:t>.  T</w:t>
      </w:r>
      <w:r w:rsidRPr="00070373">
        <w:rPr>
          <w:sz w:val="24"/>
        </w:rPr>
        <w:t>o determine if “good cause” exists for a protective order, the court must balance the interests served by protecting the confidentiality of the information (</w:t>
      </w:r>
      <w:r w:rsidRPr="00070373">
        <w:rPr>
          <w:i/>
          <w:sz w:val="24"/>
        </w:rPr>
        <w:t>e.g.</w:t>
      </w:r>
      <w:r w:rsidRPr="00070373">
        <w:rPr>
          <w:sz w:val="24"/>
        </w:rPr>
        <w:t>, ensuring the full and truthful disclosure of relevant f</w:t>
      </w:r>
      <w:r>
        <w:rPr>
          <w:sz w:val="24"/>
        </w:rPr>
        <w:t>acts and protecting individuals’</w:t>
      </w:r>
      <w:r w:rsidRPr="00070373">
        <w:rPr>
          <w:sz w:val="24"/>
        </w:rPr>
        <w:t xml:space="preserve"> legitimate privacy interests in avoiding unwanted publicity) against the interests served by allowing publication of the information (</w:t>
      </w:r>
      <w:r w:rsidRPr="00070373">
        <w:rPr>
          <w:i/>
          <w:sz w:val="24"/>
        </w:rPr>
        <w:t>e.g.</w:t>
      </w:r>
      <w:r w:rsidRPr="00070373">
        <w:rPr>
          <w:sz w:val="24"/>
        </w:rPr>
        <w:t>, informing the public of matters of legitimate public concern) under the circumstances.</w:t>
      </w:r>
    </w:p>
    <w:p w14:paraId="20ADCF07" w14:textId="209DFEEF" w:rsidR="0005525E" w:rsidRDefault="00070373" w:rsidP="00895153">
      <w:pPr>
        <w:numPr>
          <w:ilvl w:val="0"/>
          <w:numId w:val="12"/>
        </w:numPr>
        <w:spacing w:line="480" w:lineRule="auto"/>
        <w:jc w:val="both"/>
        <w:rPr>
          <w:sz w:val="24"/>
        </w:rPr>
      </w:pPr>
      <w:r>
        <w:rPr>
          <w:sz w:val="24"/>
        </w:rPr>
        <w:t xml:space="preserve">In </w:t>
      </w:r>
      <w:r w:rsidRPr="00AE205C">
        <w:rPr>
          <w:i/>
          <w:sz w:val="24"/>
        </w:rPr>
        <w:t>Rhinehart</w:t>
      </w:r>
      <w:r>
        <w:rPr>
          <w:sz w:val="24"/>
        </w:rPr>
        <w:t>, the Washington Supreme Court ruled that there has never been a question that commercially valuable information, such as financial information, warrant</w:t>
      </w:r>
      <w:r w:rsidR="00603799">
        <w:rPr>
          <w:sz w:val="24"/>
        </w:rPr>
        <w:t>s</w:t>
      </w:r>
      <w:r>
        <w:rPr>
          <w:sz w:val="24"/>
        </w:rPr>
        <w:t xml:space="preserve"> protection under CR 26(c)</w:t>
      </w:r>
      <w:r w:rsidR="00893B11">
        <w:rPr>
          <w:sz w:val="24"/>
        </w:rPr>
        <w:t xml:space="preserve">.  </w:t>
      </w:r>
      <w:r w:rsidR="00893B11" w:rsidRPr="00070373">
        <w:rPr>
          <w:i/>
          <w:sz w:val="24"/>
        </w:rPr>
        <w:t>I</w:t>
      </w:r>
      <w:r w:rsidRPr="00070373">
        <w:rPr>
          <w:i/>
          <w:sz w:val="24"/>
        </w:rPr>
        <w:t>d.</w:t>
      </w:r>
      <w:r>
        <w:rPr>
          <w:sz w:val="24"/>
        </w:rPr>
        <w:t xml:space="preserve"> at 236.  </w:t>
      </w:r>
    </w:p>
    <w:p w14:paraId="274F2DB8" w14:textId="1CB57252" w:rsidR="00164204" w:rsidRPr="00233A90" w:rsidRDefault="00AE205C" w:rsidP="00233A90">
      <w:pPr>
        <w:numPr>
          <w:ilvl w:val="0"/>
          <w:numId w:val="12"/>
        </w:numPr>
        <w:spacing w:line="480" w:lineRule="auto"/>
        <w:jc w:val="both"/>
        <w:rPr>
          <w:sz w:val="24"/>
        </w:rPr>
      </w:pPr>
      <w:r>
        <w:rPr>
          <w:sz w:val="24"/>
        </w:rPr>
        <w:t xml:space="preserve">Here, in accordance with </w:t>
      </w:r>
      <w:r w:rsidRPr="00AE205C">
        <w:rPr>
          <w:i/>
          <w:sz w:val="24"/>
        </w:rPr>
        <w:t>Rhinehart</w:t>
      </w:r>
      <w:r>
        <w:rPr>
          <w:sz w:val="24"/>
        </w:rPr>
        <w:t xml:space="preserve"> and as discussed at length above, allowing the publication of the financial information obtained during the Commission </w:t>
      </w:r>
      <w:r w:rsidR="00893B11">
        <w:rPr>
          <w:sz w:val="24"/>
        </w:rPr>
        <w:t>S</w:t>
      </w:r>
      <w:r>
        <w:rPr>
          <w:sz w:val="24"/>
        </w:rPr>
        <w:t>taff’s</w:t>
      </w:r>
      <w:r w:rsidR="00603799">
        <w:rPr>
          <w:sz w:val="24"/>
        </w:rPr>
        <w:t xml:space="preserve"> investigation</w:t>
      </w:r>
      <w:r>
        <w:rPr>
          <w:sz w:val="24"/>
        </w:rPr>
        <w:t xml:space="preserve"> intrudes upon RTDS’</w:t>
      </w:r>
      <w:r w:rsidR="00893B11">
        <w:rPr>
          <w:sz w:val="24"/>
        </w:rPr>
        <w:t>s</w:t>
      </w:r>
      <w:r>
        <w:rPr>
          <w:sz w:val="24"/>
        </w:rPr>
        <w:t xml:space="preserve"> right to privacy</w:t>
      </w:r>
      <w:r w:rsidR="00893B11">
        <w:rPr>
          <w:sz w:val="24"/>
        </w:rPr>
        <w:t>.  D</w:t>
      </w:r>
      <w:r>
        <w:rPr>
          <w:sz w:val="24"/>
        </w:rPr>
        <w:t>isclosure of the financial information will cause RTDS very real and immediate financial consequences</w:t>
      </w:r>
      <w:r w:rsidR="00893B11">
        <w:rPr>
          <w:sz w:val="24"/>
        </w:rPr>
        <w:t>.  A</w:t>
      </w:r>
      <w:r>
        <w:rPr>
          <w:sz w:val="24"/>
        </w:rPr>
        <w:t xml:space="preserve">t the same time, disclosure of the financial information will serve no legitimate public interest, nor is it relevant to any fact finding in this adjudication to determine </w:t>
      </w:r>
      <w:r w:rsidR="00233A90">
        <w:rPr>
          <w:sz w:val="24"/>
        </w:rPr>
        <w:t>the</w:t>
      </w:r>
      <w:r>
        <w:rPr>
          <w:sz w:val="24"/>
        </w:rPr>
        <w:t xml:space="preserve"> </w:t>
      </w:r>
      <w:r w:rsidRPr="00AE205C">
        <w:rPr>
          <w:sz w:val="24"/>
        </w:rPr>
        <w:t>partial reinstating of RTDS’</w:t>
      </w:r>
      <w:r w:rsidR="00893B11">
        <w:rPr>
          <w:sz w:val="24"/>
        </w:rPr>
        <w:t>s</w:t>
      </w:r>
      <w:r w:rsidRPr="00AE205C">
        <w:rPr>
          <w:sz w:val="24"/>
        </w:rPr>
        <w:t xml:space="preserve"> operating certificate</w:t>
      </w:r>
      <w:r w:rsidR="00893B11">
        <w:rPr>
          <w:sz w:val="24"/>
        </w:rPr>
        <w:t>.  A</w:t>
      </w:r>
      <w:r w:rsidR="00233A90">
        <w:rPr>
          <w:sz w:val="24"/>
        </w:rPr>
        <w:t xml:space="preserve">ccordingly, the balancing of the applicable interests supports entry of the requested protective order requiring the redaction of RTDS’ financial information in any publicly filed document in this proceeding. </w:t>
      </w:r>
    </w:p>
    <w:p w14:paraId="2399C443" w14:textId="77777777" w:rsidR="00536C14" w:rsidRPr="00AB5506" w:rsidRDefault="00536C14" w:rsidP="00C37362">
      <w:pPr>
        <w:pStyle w:val="ListParagraph"/>
        <w:numPr>
          <w:ilvl w:val="0"/>
          <w:numId w:val="11"/>
        </w:numPr>
        <w:spacing w:line="480" w:lineRule="auto"/>
        <w:ind w:left="720"/>
        <w:jc w:val="center"/>
        <w:rPr>
          <w:b/>
          <w:sz w:val="24"/>
        </w:rPr>
      </w:pPr>
      <w:r w:rsidRPr="00AB5506">
        <w:rPr>
          <w:b/>
          <w:sz w:val="24"/>
        </w:rPr>
        <w:t>CONCLUSION</w:t>
      </w:r>
    </w:p>
    <w:p w14:paraId="5D0AFEB4" w14:textId="19E3CE32" w:rsidR="00FA0045" w:rsidRDefault="00536C14" w:rsidP="008114A9">
      <w:pPr>
        <w:numPr>
          <w:ilvl w:val="0"/>
          <w:numId w:val="12"/>
        </w:numPr>
        <w:spacing w:line="480" w:lineRule="auto"/>
        <w:jc w:val="both"/>
        <w:rPr>
          <w:sz w:val="24"/>
        </w:rPr>
      </w:pPr>
      <w:r>
        <w:rPr>
          <w:sz w:val="24"/>
        </w:rPr>
        <w:t>RTD</w:t>
      </w:r>
      <w:r w:rsidR="00C37362">
        <w:rPr>
          <w:sz w:val="24"/>
        </w:rPr>
        <w:t>S</w:t>
      </w:r>
      <w:r w:rsidR="00CA17AB">
        <w:rPr>
          <w:sz w:val="24"/>
        </w:rPr>
        <w:t xml:space="preserve"> </w:t>
      </w:r>
      <w:r>
        <w:rPr>
          <w:sz w:val="24"/>
        </w:rPr>
        <w:t>respectfully requests</w:t>
      </w:r>
      <w:r w:rsidR="00C37362">
        <w:rPr>
          <w:sz w:val="24"/>
        </w:rPr>
        <w:t xml:space="preserve"> that</w:t>
      </w:r>
      <w:r>
        <w:rPr>
          <w:sz w:val="24"/>
        </w:rPr>
        <w:t xml:space="preserve"> </w:t>
      </w:r>
      <w:r w:rsidR="00484673">
        <w:rPr>
          <w:sz w:val="24"/>
        </w:rPr>
        <w:t xml:space="preserve">a protective order be entered that prohibits the disclosure of </w:t>
      </w:r>
      <w:r w:rsidR="00141415">
        <w:rPr>
          <w:sz w:val="24"/>
        </w:rPr>
        <w:t xml:space="preserve">RTDS’s </w:t>
      </w:r>
      <w:r w:rsidR="00484673">
        <w:rPr>
          <w:sz w:val="24"/>
        </w:rPr>
        <w:t xml:space="preserve">financial information, and that any documents submitted </w:t>
      </w:r>
      <w:r w:rsidR="00233A90">
        <w:rPr>
          <w:sz w:val="24"/>
        </w:rPr>
        <w:t xml:space="preserve">publicly </w:t>
      </w:r>
      <w:r w:rsidR="00484673">
        <w:rPr>
          <w:sz w:val="24"/>
        </w:rPr>
        <w:t xml:space="preserve">in this proceeding first require the redaction of </w:t>
      </w:r>
      <w:r w:rsidR="00141415">
        <w:rPr>
          <w:sz w:val="24"/>
        </w:rPr>
        <w:t xml:space="preserve">RTDS’s </w:t>
      </w:r>
      <w:r w:rsidR="00484673">
        <w:rPr>
          <w:sz w:val="24"/>
        </w:rPr>
        <w:t xml:space="preserve">financial information. </w:t>
      </w:r>
    </w:p>
    <w:p w14:paraId="536A18A6" w14:textId="77777777" w:rsidR="00233A90" w:rsidRDefault="00233A90" w:rsidP="00233A90">
      <w:pPr>
        <w:spacing w:line="480" w:lineRule="auto"/>
        <w:jc w:val="both"/>
        <w:rPr>
          <w:sz w:val="24"/>
        </w:rPr>
      </w:pPr>
    </w:p>
    <w:p w14:paraId="0F31DC2B" w14:textId="5F49A5C5" w:rsidR="006C6639" w:rsidRPr="006C6639" w:rsidRDefault="006C6639" w:rsidP="006C6639">
      <w:pPr>
        <w:pStyle w:val="BodyText"/>
        <w:rPr>
          <w:sz w:val="24"/>
        </w:rPr>
      </w:pPr>
      <w:r w:rsidRPr="006C6639">
        <w:rPr>
          <w:sz w:val="24"/>
        </w:rPr>
        <w:t xml:space="preserve">DATED this </w:t>
      </w:r>
      <w:r w:rsidR="006B1DC9">
        <w:rPr>
          <w:sz w:val="24"/>
        </w:rPr>
        <w:t>___</w:t>
      </w:r>
      <w:r w:rsidR="006B1DC9" w:rsidRPr="006C6639">
        <w:rPr>
          <w:sz w:val="24"/>
        </w:rPr>
        <w:t xml:space="preserve"> </w:t>
      </w:r>
      <w:r w:rsidRPr="006C6639">
        <w:rPr>
          <w:sz w:val="24"/>
        </w:rPr>
        <w:t xml:space="preserve">day of </w:t>
      </w:r>
      <w:r w:rsidRPr="006C6639">
        <w:rPr>
          <w:sz w:val="24"/>
        </w:rPr>
        <w:fldChar w:fldCharType="begin"/>
      </w:r>
      <w:r w:rsidRPr="006C6639">
        <w:rPr>
          <w:sz w:val="24"/>
        </w:rPr>
        <w:instrText xml:space="preserve"> DATE  \@ "MMMM"  \* MERGEFORMAT </w:instrText>
      </w:r>
      <w:r w:rsidRPr="006C6639">
        <w:rPr>
          <w:sz w:val="24"/>
        </w:rPr>
        <w:fldChar w:fldCharType="separate"/>
      </w:r>
      <w:r w:rsidR="00AA2B4E">
        <w:rPr>
          <w:noProof/>
          <w:sz w:val="24"/>
        </w:rPr>
        <w:t>November</w:t>
      </w:r>
      <w:r w:rsidRPr="006C6639">
        <w:rPr>
          <w:noProof/>
          <w:sz w:val="24"/>
        </w:rPr>
        <w:fldChar w:fldCharType="end"/>
      </w:r>
      <w:r w:rsidRPr="006C6639">
        <w:rPr>
          <w:sz w:val="24"/>
        </w:rPr>
        <w:t xml:space="preserve">, </w:t>
      </w:r>
      <w:r w:rsidRPr="006C6639">
        <w:rPr>
          <w:sz w:val="24"/>
        </w:rPr>
        <w:fldChar w:fldCharType="begin"/>
      </w:r>
      <w:r w:rsidRPr="006C6639">
        <w:rPr>
          <w:sz w:val="24"/>
        </w:rPr>
        <w:instrText xml:space="preserve"> DATE  \@ "yyyy"  \* MERGEFORMAT </w:instrText>
      </w:r>
      <w:r w:rsidRPr="006C6639">
        <w:rPr>
          <w:sz w:val="24"/>
        </w:rPr>
        <w:fldChar w:fldCharType="separate"/>
      </w:r>
      <w:r w:rsidR="00AA2B4E">
        <w:rPr>
          <w:noProof/>
          <w:sz w:val="24"/>
        </w:rPr>
        <w:t>2015</w:t>
      </w:r>
      <w:r w:rsidRPr="006C6639">
        <w:rPr>
          <w:noProof/>
          <w:sz w:val="24"/>
        </w:rPr>
        <w:fldChar w:fldCharType="end"/>
      </w:r>
      <w:r w:rsidRPr="006C6639">
        <w:rPr>
          <w:sz w:val="24"/>
        </w:rPr>
        <w:t>.</w:t>
      </w:r>
    </w:p>
    <w:p w14:paraId="2C3F84CC" w14:textId="77777777" w:rsidR="00DC715C" w:rsidRDefault="006C6639" w:rsidP="00DC715C">
      <w:pPr>
        <w:ind w:left="3600"/>
        <w:jc w:val="both"/>
        <w:rPr>
          <w:sz w:val="24"/>
        </w:rPr>
      </w:pPr>
      <w:r w:rsidRPr="006C6639">
        <w:rPr>
          <w:sz w:val="24"/>
        </w:rPr>
        <w:t xml:space="preserve">PATTERSON BUCHANAN </w:t>
      </w:r>
    </w:p>
    <w:p w14:paraId="1BD64367" w14:textId="77777777" w:rsidR="006C6639" w:rsidRPr="006C6639" w:rsidRDefault="006C6639" w:rsidP="00DC715C">
      <w:pPr>
        <w:ind w:left="2880" w:firstLine="720"/>
        <w:jc w:val="both"/>
        <w:rPr>
          <w:sz w:val="24"/>
        </w:rPr>
      </w:pPr>
      <w:r w:rsidRPr="006C6639">
        <w:rPr>
          <w:sz w:val="24"/>
        </w:rPr>
        <w:t>FOBES &amp; LEITCH, INC., P.S.</w:t>
      </w:r>
    </w:p>
    <w:p w14:paraId="05E4903A" w14:textId="77777777" w:rsidR="006C6639" w:rsidRPr="006C6639" w:rsidRDefault="006C6639" w:rsidP="006C6639">
      <w:pPr>
        <w:jc w:val="both"/>
        <w:rPr>
          <w:sz w:val="24"/>
        </w:rPr>
      </w:pPr>
      <w:bookmarkStart w:id="0" w:name="_GoBack"/>
      <w:bookmarkEnd w:id="0"/>
    </w:p>
    <w:p w14:paraId="6D089617" w14:textId="77777777" w:rsidR="006C6639" w:rsidRPr="006C6639" w:rsidRDefault="006C6639" w:rsidP="006C6639">
      <w:pPr>
        <w:jc w:val="both"/>
        <w:rPr>
          <w:sz w:val="24"/>
        </w:rPr>
      </w:pPr>
    </w:p>
    <w:p w14:paraId="7D72E17E" w14:textId="77777777" w:rsidR="006C6639" w:rsidRPr="006C6639" w:rsidRDefault="006C6639" w:rsidP="00DC715C">
      <w:pPr>
        <w:ind w:left="2880" w:firstLine="720"/>
        <w:jc w:val="both"/>
        <w:rPr>
          <w:sz w:val="24"/>
        </w:rPr>
      </w:pPr>
      <w:r w:rsidRPr="006C6639">
        <w:rPr>
          <w:sz w:val="24"/>
        </w:rPr>
        <w:t>______________________________</w:t>
      </w:r>
    </w:p>
    <w:p w14:paraId="3B41A9C4" w14:textId="77777777" w:rsidR="006C6639" w:rsidRPr="006C6639" w:rsidRDefault="006C6639" w:rsidP="00DC715C">
      <w:pPr>
        <w:ind w:left="2880" w:firstLine="720"/>
        <w:jc w:val="both"/>
        <w:rPr>
          <w:sz w:val="24"/>
        </w:rPr>
      </w:pPr>
      <w:r w:rsidRPr="006C6639">
        <w:rPr>
          <w:sz w:val="24"/>
        </w:rPr>
        <w:t>PATRICIA K. BUCHANAN, WSBA No. 19892</w:t>
      </w:r>
    </w:p>
    <w:p w14:paraId="611A9BF1" w14:textId="77777777" w:rsidR="006C6639" w:rsidRPr="006C6639" w:rsidRDefault="006C6639" w:rsidP="00DC715C">
      <w:pPr>
        <w:ind w:left="2880" w:firstLine="720"/>
        <w:jc w:val="both"/>
        <w:rPr>
          <w:sz w:val="24"/>
        </w:rPr>
      </w:pPr>
      <w:r w:rsidRPr="006C6639">
        <w:rPr>
          <w:sz w:val="24"/>
        </w:rPr>
        <w:t>DUNCAN K. FOBES, WSBA No. 14964</w:t>
      </w:r>
    </w:p>
    <w:p w14:paraId="54DD614A" w14:textId="77777777" w:rsidR="006C6639" w:rsidRPr="006C6639" w:rsidRDefault="006C6639" w:rsidP="00DC715C">
      <w:pPr>
        <w:ind w:left="2880" w:firstLine="720"/>
        <w:jc w:val="both"/>
        <w:rPr>
          <w:sz w:val="24"/>
        </w:rPr>
      </w:pPr>
      <w:r w:rsidRPr="006C6639">
        <w:rPr>
          <w:sz w:val="24"/>
        </w:rPr>
        <w:t xml:space="preserve">Counsel for Ride the Ducks of Seattle, L.L.C. </w:t>
      </w:r>
    </w:p>
    <w:p w14:paraId="71E32423" w14:textId="72211736" w:rsidR="001E4952" w:rsidRDefault="006C6639" w:rsidP="00C05F71">
      <w:pPr>
        <w:ind w:left="2880" w:firstLine="720"/>
        <w:jc w:val="both"/>
      </w:pPr>
      <w:r w:rsidRPr="006C6639">
        <w:rPr>
          <w:sz w:val="24"/>
        </w:rPr>
        <w:t>d/b/a Seattle Duck Tours</w:t>
      </w:r>
    </w:p>
    <w:sectPr w:rsidR="001E4952" w:rsidSect="00067DEA">
      <w:footerReference w:type="default" r:id="rId11"/>
      <w:pgSz w:w="12240" w:h="15840" w:code="1"/>
      <w:pgMar w:top="1440" w:right="1440" w:bottom="1440" w:left="1872"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017C" w14:textId="77777777" w:rsidR="0071374D" w:rsidRDefault="0071374D">
      <w:r>
        <w:separator/>
      </w:r>
    </w:p>
  </w:endnote>
  <w:endnote w:type="continuationSeparator" w:id="0">
    <w:p w14:paraId="7672CD1E" w14:textId="77777777" w:rsidR="0071374D" w:rsidRDefault="007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FBAE" w14:textId="77777777" w:rsidR="002319EB" w:rsidRDefault="002319EB">
    <w:pPr>
      <w:pStyle w:val="Footer"/>
      <w:jc w:val="right"/>
    </w:pPr>
  </w:p>
  <w:p w14:paraId="209820C6" w14:textId="77777777" w:rsidR="00DD0BDE" w:rsidRPr="00737B08" w:rsidRDefault="009D49A8" w:rsidP="00DD0BDE">
    <w:pPr>
      <w:pStyle w:val="Footer"/>
    </w:pPr>
    <w:r w:rsidRPr="009D49A8">
      <w:t xml:space="preserve">MOTION OF RESPONDENT </w:t>
    </w:r>
    <w:r w:rsidR="00F53FCB">
      <w:t>FOR A PROTECTIVE ORDER</w:t>
    </w:r>
    <w:r w:rsidRPr="009D49A8">
      <w:t xml:space="preserve"> </w:t>
    </w:r>
    <w:r w:rsidR="00DD0BDE" w:rsidRPr="00737B08">
      <w:t xml:space="preserve">- </w:t>
    </w:r>
    <w:r w:rsidR="00DD0BDE" w:rsidRPr="00737B08">
      <w:rPr>
        <w:rStyle w:val="PageNumber"/>
      </w:rPr>
      <w:fldChar w:fldCharType="begin"/>
    </w:r>
    <w:r w:rsidR="00DD0BDE" w:rsidRPr="00737B08">
      <w:rPr>
        <w:rStyle w:val="PageNumber"/>
      </w:rPr>
      <w:instrText xml:space="preserve"> PAGE </w:instrText>
    </w:r>
    <w:r w:rsidR="00DD0BDE" w:rsidRPr="00737B08">
      <w:rPr>
        <w:rStyle w:val="PageNumber"/>
      </w:rPr>
      <w:fldChar w:fldCharType="separate"/>
    </w:r>
    <w:r w:rsidR="00AA2B4E">
      <w:rPr>
        <w:rStyle w:val="PageNumber"/>
        <w:noProof/>
      </w:rPr>
      <w:t>6</w:t>
    </w:r>
    <w:r w:rsidR="00DD0BDE" w:rsidRPr="00737B08">
      <w:rPr>
        <w:rStyle w:val="PageNumber"/>
      </w:rPr>
      <w:fldChar w:fldCharType="end"/>
    </w:r>
  </w:p>
  <w:p w14:paraId="072E0840" w14:textId="77777777" w:rsidR="00DA492F" w:rsidRDefault="00DA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05DAE" w14:textId="77777777" w:rsidR="0071374D" w:rsidRDefault="0071374D">
      <w:r>
        <w:separator/>
      </w:r>
    </w:p>
  </w:footnote>
  <w:footnote w:type="continuationSeparator" w:id="0">
    <w:p w14:paraId="2549D6F6" w14:textId="77777777" w:rsidR="0071374D" w:rsidRDefault="0071374D">
      <w:r>
        <w:continuationSeparator/>
      </w:r>
    </w:p>
  </w:footnote>
  <w:footnote w:id="1">
    <w:p w14:paraId="2CF54C20" w14:textId="334C1A17" w:rsidR="004444CD" w:rsidRPr="00AA2B4E" w:rsidRDefault="004444CD" w:rsidP="00AA2B4E">
      <w:pPr>
        <w:pStyle w:val="FootnoteText"/>
      </w:pPr>
      <w:r w:rsidRPr="004E7837">
        <w:rPr>
          <w:rStyle w:val="FootnoteReference"/>
          <w:sz w:val="22"/>
          <w:szCs w:val="22"/>
        </w:rPr>
        <w:footnoteRef/>
      </w:r>
      <w:r w:rsidRPr="004E7837">
        <w:rPr>
          <w:sz w:val="22"/>
          <w:szCs w:val="22"/>
        </w:rPr>
        <w:t xml:space="preserve"> </w:t>
      </w:r>
      <w:r w:rsidRPr="00AA2B4E">
        <w:t xml:space="preserve">WAC 480-07-420(3) also permits the entry of a protective order </w:t>
      </w:r>
      <w:r w:rsidR="004E7837" w:rsidRPr="00AA2B4E">
        <w:t xml:space="preserve">to prevent the disclosure of “commercial information” such as the financial information here. WAC 480-07-420(3)(g) mirrors Civil Rule 26(c) which is discussed in greater detail below in Section B, </w:t>
      </w:r>
      <w:r w:rsidR="004E7837" w:rsidRPr="00AA2B4E">
        <w:rPr>
          <w:i/>
        </w:rPr>
        <w:t>infra</w:t>
      </w:r>
      <w:r w:rsidR="004E7837" w:rsidRPr="00AA2B4E">
        <w:t>.</w:t>
      </w:r>
    </w:p>
  </w:footnote>
  <w:footnote w:id="2">
    <w:p w14:paraId="178673BA" w14:textId="642DC39F" w:rsidR="0073573A" w:rsidRPr="000C5C71" w:rsidRDefault="0073573A">
      <w:pPr>
        <w:pStyle w:val="FootnoteText"/>
        <w:rPr>
          <w:sz w:val="22"/>
          <w:szCs w:val="22"/>
        </w:rPr>
      </w:pPr>
      <w:r w:rsidRPr="00AA2B4E">
        <w:rPr>
          <w:rStyle w:val="FootnoteReference"/>
        </w:rPr>
        <w:footnoteRef/>
      </w:r>
      <w:r w:rsidRPr="00AA2B4E">
        <w:t xml:space="preserve"> </w:t>
      </w:r>
      <w:r w:rsidRPr="00AA2B4E">
        <w:rPr>
          <w:b/>
        </w:rPr>
        <w:t>Importantly,</w:t>
      </w:r>
      <w:r w:rsidRPr="00AA2B4E">
        <w:t xml:space="preserve"> RCW 81.70.310 expressly adopts all provisions in Title 81 that relate to “procedure [and] powers of the commission” unless there is a specific conflict with RCW 81.70. RCW 81.77.210 relates to procedure and/or the powers of the commission. Thus, RCW 81.70.310 adopts RCW 81.77.210, which expressly calls for prote</w:t>
      </w:r>
      <w:r w:rsidR="00394DE6" w:rsidRPr="00AA2B4E">
        <w:t>ction of financial information, and is another grounds for entry of a protective order.</w:t>
      </w:r>
    </w:p>
  </w:footnote>
  <w:footnote w:id="3">
    <w:p w14:paraId="1BA4AB03" w14:textId="026C9CD2" w:rsidR="009B0958" w:rsidRPr="004E7837" w:rsidRDefault="009B0958">
      <w:pPr>
        <w:pStyle w:val="FootnoteText"/>
        <w:rPr>
          <w:sz w:val="22"/>
          <w:szCs w:val="22"/>
        </w:rPr>
      </w:pPr>
      <w:r w:rsidRPr="00AA2B4E">
        <w:rPr>
          <w:rStyle w:val="FootnoteReference"/>
          <w:szCs w:val="22"/>
        </w:rPr>
        <w:footnoteRef/>
      </w:r>
      <w:r w:rsidRPr="00AA2B4E">
        <w:rPr>
          <w:szCs w:val="22"/>
        </w:rPr>
        <w:t xml:space="preserve"> </w:t>
      </w:r>
      <w:r w:rsidRPr="00AA2B4E">
        <w:rPr>
          <w:i/>
          <w:szCs w:val="22"/>
        </w:rPr>
        <w:t>See also</w:t>
      </w:r>
      <w:r w:rsidRPr="00AA2B4E">
        <w:rPr>
          <w:szCs w:val="22"/>
        </w:rPr>
        <w:t xml:space="preserve"> Article I, Section 7 of the Washington State Constitution. </w:t>
      </w:r>
    </w:p>
  </w:footnote>
  <w:footnote w:id="4">
    <w:p w14:paraId="57515BF1" w14:textId="77EF6610" w:rsidR="00AE205C" w:rsidRPr="004E7837" w:rsidRDefault="00AE205C">
      <w:pPr>
        <w:pStyle w:val="FootnoteText"/>
        <w:rPr>
          <w:sz w:val="22"/>
          <w:szCs w:val="22"/>
        </w:rPr>
      </w:pPr>
      <w:r w:rsidRPr="00AA2B4E">
        <w:rPr>
          <w:rStyle w:val="FootnoteReference"/>
          <w:szCs w:val="22"/>
        </w:rPr>
        <w:footnoteRef/>
      </w:r>
      <w:r w:rsidRPr="00AA2B4E">
        <w:rPr>
          <w:szCs w:val="22"/>
        </w:rPr>
        <w:t xml:space="preserve"> The Commission entered a protective order pursuant to RCW 34.05.446.</w:t>
      </w:r>
      <w:r w:rsidR="00394DE6" w:rsidRPr="00AA2B4E">
        <w:rPr>
          <w:szCs w:val="22"/>
        </w:rPr>
        <w:t xml:space="preserve"> </w:t>
      </w:r>
      <w:r w:rsidR="00893B11" w:rsidRPr="00AA2B4E">
        <w:rPr>
          <w:szCs w:val="22"/>
        </w:rPr>
        <w:t xml:space="preserve"> </w:t>
      </w:r>
      <w:r w:rsidR="00394DE6" w:rsidRPr="00AA2B4E">
        <w:rPr>
          <w:szCs w:val="22"/>
        </w:rPr>
        <w:t>The Court ruled</w:t>
      </w:r>
      <w:r w:rsidRPr="00AA2B4E">
        <w:rPr>
          <w:szCs w:val="22"/>
        </w:rPr>
        <w:t xml:space="preserve"> the “protective order was an appropriate means of balancing protecting [sic] the confidential business information against the procedural rights of the parties to the hearing.”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50E"/>
    <w:multiLevelType w:val="hybridMultilevel"/>
    <w:tmpl w:val="757230EC"/>
    <w:lvl w:ilvl="0" w:tplc="FC525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C2954"/>
    <w:multiLevelType w:val="hybridMultilevel"/>
    <w:tmpl w:val="7F92A694"/>
    <w:lvl w:ilvl="0" w:tplc="A3DCC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128E6"/>
    <w:multiLevelType w:val="hybridMultilevel"/>
    <w:tmpl w:val="CE181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4567"/>
    <w:multiLevelType w:val="hybridMultilevel"/>
    <w:tmpl w:val="282224D2"/>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E3898"/>
    <w:multiLevelType w:val="hybridMultilevel"/>
    <w:tmpl w:val="F18C5182"/>
    <w:lvl w:ilvl="0" w:tplc="11DED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84F98"/>
    <w:multiLevelType w:val="hybridMultilevel"/>
    <w:tmpl w:val="369EBCE0"/>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5D7415"/>
    <w:multiLevelType w:val="hybridMultilevel"/>
    <w:tmpl w:val="681C7844"/>
    <w:lvl w:ilvl="0" w:tplc="2D3825F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894F96"/>
    <w:multiLevelType w:val="hybridMultilevel"/>
    <w:tmpl w:val="9824184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540FBE"/>
    <w:multiLevelType w:val="hybridMultilevel"/>
    <w:tmpl w:val="80049D5C"/>
    <w:lvl w:ilvl="0" w:tplc="9FD2CA10">
      <w:start w:val="1"/>
      <w:numFmt w:val="decimal"/>
      <w:lvlText w:val="%1."/>
      <w:lvlJc w:val="left"/>
      <w:pPr>
        <w:tabs>
          <w:tab w:val="num" w:pos="1440"/>
        </w:tabs>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CA3587"/>
    <w:multiLevelType w:val="hybridMultilevel"/>
    <w:tmpl w:val="F822D3A8"/>
    <w:lvl w:ilvl="0" w:tplc="49AE017A">
      <w:start w:val="1"/>
      <w:numFmt w:val="upperRoman"/>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93EDF"/>
    <w:multiLevelType w:val="hybridMultilevel"/>
    <w:tmpl w:val="5254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90204"/>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0"/>
  </w:num>
  <w:num w:numId="5">
    <w:abstractNumId w:val="1"/>
  </w:num>
  <w:num w:numId="6">
    <w:abstractNumId w:val="1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43A8B"/>
    <w:rsid w:val="000551B7"/>
    <w:rsid w:val="0005525E"/>
    <w:rsid w:val="00066FE9"/>
    <w:rsid w:val="00067071"/>
    <w:rsid w:val="00067DEA"/>
    <w:rsid w:val="00070373"/>
    <w:rsid w:val="00083C5F"/>
    <w:rsid w:val="000A460F"/>
    <w:rsid w:val="000C5C71"/>
    <w:rsid w:val="00141415"/>
    <w:rsid w:val="001429ED"/>
    <w:rsid w:val="00143579"/>
    <w:rsid w:val="00164204"/>
    <w:rsid w:val="00164F1E"/>
    <w:rsid w:val="00193C61"/>
    <w:rsid w:val="001A2319"/>
    <w:rsid w:val="001A3E51"/>
    <w:rsid w:val="001E4952"/>
    <w:rsid w:val="001E6B53"/>
    <w:rsid w:val="002319EB"/>
    <w:rsid w:val="00233A90"/>
    <w:rsid w:val="00255923"/>
    <w:rsid w:val="002831E8"/>
    <w:rsid w:val="00287D40"/>
    <w:rsid w:val="002B43E6"/>
    <w:rsid w:val="002F5CEA"/>
    <w:rsid w:val="00301085"/>
    <w:rsid w:val="00336660"/>
    <w:rsid w:val="003573AF"/>
    <w:rsid w:val="00371F54"/>
    <w:rsid w:val="003777A5"/>
    <w:rsid w:val="00392E2A"/>
    <w:rsid w:val="00394DE6"/>
    <w:rsid w:val="003A3924"/>
    <w:rsid w:val="003B6A0F"/>
    <w:rsid w:val="003B6A6B"/>
    <w:rsid w:val="003C4C81"/>
    <w:rsid w:val="003C5390"/>
    <w:rsid w:val="003D4329"/>
    <w:rsid w:val="003E3B7E"/>
    <w:rsid w:val="003F1945"/>
    <w:rsid w:val="004024AC"/>
    <w:rsid w:val="00420F5F"/>
    <w:rsid w:val="004444CD"/>
    <w:rsid w:val="004532E5"/>
    <w:rsid w:val="0045504A"/>
    <w:rsid w:val="00484673"/>
    <w:rsid w:val="00491399"/>
    <w:rsid w:val="004A26FF"/>
    <w:rsid w:val="004A4F64"/>
    <w:rsid w:val="004B0A9B"/>
    <w:rsid w:val="004C1787"/>
    <w:rsid w:val="004C1896"/>
    <w:rsid w:val="004C3D65"/>
    <w:rsid w:val="004C478F"/>
    <w:rsid w:val="004E7837"/>
    <w:rsid w:val="004F69A5"/>
    <w:rsid w:val="00501FFC"/>
    <w:rsid w:val="005154C8"/>
    <w:rsid w:val="00536C14"/>
    <w:rsid w:val="00545321"/>
    <w:rsid w:val="00574A57"/>
    <w:rsid w:val="00595D41"/>
    <w:rsid w:val="005A6B28"/>
    <w:rsid w:val="005A70FE"/>
    <w:rsid w:val="005B07CD"/>
    <w:rsid w:val="005C2947"/>
    <w:rsid w:val="005E07C2"/>
    <w:rsid w:val="005E408F"/>
    <w:rsid w:val="005F17DF"/>
    <w:rsid w:val="00603799"/>
    <w:rsid w:val="006231DB"/>
    <w:rsid w:val="00641F98"/>
    <w:rsid w:val="00643616"/>
    <w:rsid w:val="00645143"/>
    <w:rsid w:val="0065561B"/>
    <w:rsid w:val="00657815"/>
    <w:rsid w:val="00666AC0"/>
    <w:rsid w:val="006768E9"/>
    <w:rsid w:val="00684FC7"/>
    <w:rsid w:val="006A1E2F"/>
    <w:rsid w:val="006B1DC9"/>
    <w:rsid w:val="006B6814"/>
    <w:rsid w:val="006C6639"/>
    <w:rsid w:val="00705E7E"/>
    <w:rsid w:val="0071374D"/>
    <w:rsid w:val="0073573A"/>
    <w:rsid w:val="00737B08"/>
    <w:rsid w:val="007464F1"/>
    <w:rsid w:val="007526B5"/>
    <w:rsid w:val="0076699B"/>
    <w:rsid w:val="007A2FB5"/>
    <w:rsid w:val="007A3EDD"/>
    <w:rsid w:val="007C1BA6"/>
    <w:rsid w:val="007C4699"/>
    <w:rsid w:val="007E7D51"/>
    <w:rsid w:val="007F3C23"/>
    <w:rsid w:val="008114A9"/>
    <w:rsid w:val="00820756"/>
    <w:rsid w:val="00835284"/>
    <w:rsid w:val="00854E35"/>
    <w:rsid w:val="00861541"/>
    <w:rsid w:val="00887B77"/>
    <w:rsid w:val="0089062F"/>
    <w:rsid w:val="00893B11"/>
    <w:rsid w:val="00895153"/>
    <w:rsid w:val="008B0FC6"/>
    <w:rsid w:val="008B5AE2"/>
    <w:rsid w:val="009146C4"/>
    <w:rsid w:val="00937F87"/>
    <w:rsid w:val="00980840"/>
    <w:rsid w:val="0099094D"/>
    <w:rsid w:val="009A7D6C"/>
    <w:rsid w:val="009B0958"/>
    <w:rsid w:val="009B3C59"/>
    <w:rsid w:val="009C2DB0"/>
    <w:rsid w:val="009D3E3D"/>
    <w:rsid w:val="009D49A8"/>
    <w:rsid w:val="009D6057"/>
    <w:rsid w:val="009E65D0"/>
    <w:rsid w:val="00A06751"/>
    <w:rsid w:val="00A30C52"/>
    <w:rsid w:val="00A401A5"/>
    <w:rsid w:val="00A417F6"/>
    <w:rsid w:val="00A80028"/>
    <w:rsid w:val="00A8174C"/>
    <w:rsid w:val="00A918DE"/>
    <w:rsid w:val="00AA2B4E"/>
    <w:rsid w:val="00AB5506"/>
    <w:rsid w:val="00AB584E"/>
    <w:rsid w:val="00AD773A"/>
    <w:rsid w:val="00AE205C"/>
    <w:rsid w:val="00B05F91"/>
    <w:rsid w:val="00B328DF"/>
    <w:rsid w:val="00B50FA8"/>
    <w:rsid w:val="00B66C62"/>
    <w:rsid w:val="00B7344D"/>
    <w:rsid w:val="00B73973"/>
    <w:rsid w:val="00B92BA4"/>
    <w:rsid w:val="00BD44CF"/>
    <w:rsid w:val="00BF014D"/>
    <w:rsid w:val="00BF2F67"/>
    <w:rsid w:val="00BF3CD1"/>
    <w:rsid w:val="00C016A2"/>
    <w:rsid w:val="00C05F71"/>
    <w:rsid w:val="00C360A4"/>
    <w:rsid w:val="00C37362"/>
    <w:rsid w:val="00C510C3"/>
    <w:rsid w:val="00C5478B"/>
    <w:rsid w:val="00CA17AB"/>
    <w:rsid w:val="00CA3BEB"/>
    <w:rsid w:val="00CB097C"/>
    <w:rsid w:val="00CC0D54"/>
    <w:rsid w:val="00CC6D27"/>
    <w:rsid w:val="00CD49BA"/>
    <w:rsid w:val="00D06358"/>
    <w:rsid w:val="00D22816"/>
    <w:rsid w:val="00DA492F"/>
    <w:rsid w:val="00DC715C"/>
    <w:rsid w:val="00DC7485"/>
    <w:rsid w:val="00DD0BDE"/>
    <w:rsid w:val="00DD20D8"/>
    <w:rsid w:val="00DE4A72"/>
    <w:rsid w:val="00E64AFB"/>
    <w:rsid w:val="00EB2B0B"/>
    <w:rsid w:val="00ED3293"/>
    <w:rsid w:val="00EE16FE"/>
    <w:rsid w:val="00F14F13"/>
    <w:rsid w:val="00F2198D"/>
    <w:rsid w:val="00F515DA"/>
    <w:rsid w:val="00F53FCB"/>
    <w:rsid w:val="00F748D8"/>
    <w:rsid w:val="00F77C60"/>
    <w:rsid w:val="00F843E8"/>
    <w:rsid w:val="00FA0045"/>
    <w:rsid w:val="00FA5AB6"/>
    <w:rsid w:val="00FA7724"/>
    <w:rsid w:val="00FD1FF7"/>
    <w:rsid w:val="00FE097F"/>
    <w:rsid w:val="00FE62D3"/>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DC7F025"/>
  <w15:docId w15:val="{897E6DE3-CCC7-49AE-B128-B575AEE2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A9"/>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287D40"/>
    <w:pPr>
      <w:ind w:left="720"/>
      <w:contextualSpacing/>
    </w:pPr>
  </w:style>
  <w:style w:type="paragraph" w:styleId="BodyText">
    <w:name w:val="Body Text"/>
    <w:basedOn w:val="Normal"/>
    <w:link w:val="BodyTextChar"/>
    <w:semiHidden/>
    <w:unhideWhenUsed/>
    <w:rsid w:val="006C6639"/>
    <w:pPr>
      <w:spacing w:after="120"/>
    </w:pPr>
  </w:style>
  <w:style w:type="character" w:customStyle="1" w:styleId="BodyTextChar">
    <w:name w:val="Body Text Char"/>
    <w:basedOn w:val="DefaultParagraphFont"/>
    <w:link w:val="BodyText"/>
    <w:semiHidden/>
    <w:rsid w:val="006C6639"/>
    <w:rPr>
      <w:szCs w:val="24"/>
    </w:rPr>
  </w:style>
  <w:style w:type="paragraph" w:customStyle="1" w:styleId="PleadingSignature">
    <w:name w:val="Pleading Signature"/>
    <w:basedOn w:val="Normal"/>
    <w:semiHidden/>
    <w:rsid w:val="006C6639"/>
    <w:pPr>
      <w:keepNext/>
      <w:keepLines/>
      <w:tabs>
        <w:tab w:val="left" w:pos="4680"/>
        <w:tab w:val="right" w:pos="9360"/>
      </w:tabs>
      <w:autoSpaceDE/>
      <w:autoSpaceDN/>
      <w:adjustRightInd/>
      <w:spacing w:line="240" w:lineRule="exact"/>
      <w:ind w:left="4320" w:right="144"/>
    </w:pPr>
    <w:rPr>
      <w:sz w:val="24"/>
    </w:rPr>
  </w:style>
  <w:style w:type="paragraph" w:styleId="BalloonText">
    <w:name w:val="Balloon Text"/>
    <w:basedOn w:val="Normal"/>
    <w:link w:val="BalloonTextChar"/>
    <w:semiHidden/>
    <w:unhideWhenUsed/>
    <w:rsid w:val="006C6639"/>
    <w:rPr>
      <w:rFonts w:ascii="Tahoma" w:hAnsi="Tahoma" w:cs="Tahoma"/>
      <w:sz w:val="16"/>
      <w:szCs w:val="16"/>
    </w:rPr>
  </w:style>
  <w:style w:type="character" w:customStyle="1" w:styleId="BalloonTextChar">
    <w:name w:val="Balloon Text Char"/>
    <w:basedOn w:val="DefaultParagraphFont"/>
    <w:link w:val="BalloonText"/>
    <w:semiHidden/>
    <w:rsid w:val="006C6639"/>
    <w:rPr>
      <w:rFonts w:ascii="Tahoma" w:hAnsi="Tahoma" w:cs="Tahoma"/>
      <w:sz w:val="16"/>
      <w:szCs w:val="16"/>
    </w:rPr>
  </w:style>
  <w:style w:type="character" w:customStyle="1" w:styleId="FooterChar">
    <w:name w:val="Footer Char"/>
    <w:basedOn w:val="DefaultParagraphFont"/>
    <w:link w:val="Footer"/>
    <w:uiPriority w:val="99"/>
    <w:rsid w:val="002319EB"/>
    <w:rPr>
      <w:szCs w:val="24"/>
    </w:rPr>
  </w:style>
  <w:style w:type="character" w:styleId="CommentReference">
    <w:name w:val="annotation reference"/>
    <w:basedOn w:val="DefaultParagraphFont"/>
    <w:semiHidden/>
    <w:unhideWhenUsed/>
    <w:rsid w:val="00FA5AB6"/>
    <w:rPr>
      <w:sz w:val="16"/>
      <w:szCs w:val="16"/>
    </w:rPr>
  </w:style>
  <w:style w:type="paragraph" w:styleId="CommentText">
    <w:name w:val="annotation text"/>
    <w:basedOn w:val="Normal"/>
    <w:link w:val="CommentTextChar"/>
    <w:semiHidden/>
    <w:unhideWhenUsed/>
    <w:rsid w:val="00FA5AB6"/>
    <w:rPr>
      <w:szCs w:val="20"/>
    </w:rPr>
  </w:style>
  <w:style w:type="character" w:customStyle="1" w:styleId="CommentTextChar">
    <w:name w:val="Comment Text Char"/>
    <w:basedOn w:val="DefaultParagraphFont"/>
    <w:link w:val="CommentText"/>
    <w:semiHidden/>
    <w:rsid w:val="00FA5AB6"/>
  </w:style>
  <w:style w:type="paragraph" w:styleId="CommentSubject">
    <w:name w:val="annotation subject"/>
    <w:basedOn w:val="CommentText"/>
    <w:next w:val="CommentText"/>
    <w:link w:val="CommentSubjectChar"/>
    <w:semiHidden/>
    <w:unhideWhenUsed/>
    <w:rsid w:val="00FA5AB6"/>
    <w:rPr>
      <w:b/>
      <w:bCs/>
    </w:rPr>
  </w:style>
  <w:style w:type="character" w:customStyle="1" w:styleId="CommentSubjectChar">
    <w:name w:val="Comment Subject Char"/>
    <w:basedOn w:val="CommentTextChar"/>
    <w:link w:val="CommentSubject"/>
    <w:semiHidden/>
    <w:rsid w:val="00FA5AB6"/>
    <w:rPr>
      <w:b/>
      <w:bCs/>
    </w:rPr>
  </w:style>
  <w:style w:type="character" w:styleId="Hyperlink">
    <w:name w:val="Hyperlink"/>
    <w:basedOn w:val="DefaultParagraphFont"/>
    <w:unhideWhenUsed/>
    <w:rsid w:val="007A2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2015-11-20T08:00:00+00:00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1545F5-C7FC-49F1-8259-9C9A9C0D1BFE}"/>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9F6E711A-47AA-4264-A959-BC1D3124BFEA}"/>
</file>

<file path=customXml/itemProps5.xml><?xml version="1.0" encoding="utf-8"?>
<ds:datastoreItem xmlns:ds="http://schemas.openxmlformats.org/officeDocument/2006/customXml" ds:itemID="{936E8233-D4C7-416E-9D9C-6DC39450767B}"/>
</file>

<file path=docProps/app.xml><?xml version="1.0" encoding="utf-8"?>
<Properties xmlns="http://schemas.openxmlformats.org/officeDocument/2006/extended-properties" xmlns:vt="http://schemas.openxmlformats.org/officeDocument/2006/docPropsVTypes">
  <Template>Normal.dotm</Template>
  <TotalTime>2216</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John C. Balcita</cp:lastModifiedBy>
  <cp:revision>53</cp:revision>
  <cp:lastPrinted>2015-11-20T17:45:00Z</cp:lastPrinted>
  <dcterms:created xsi:type="dcterms:W3CDTF">2015-09-29T16:59:00Z</dcterms:created>
  <dcterms:modified xsi:type="dcterms:W3CDTF">2015-11-20T17:54:00Z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