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customXml/itemProps3.xml" ContentType="application/vnd.openxmlformats-officedocument.customXmlProperti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FD" w:rsidRPr="00A77C43" w:rsidRDefault="002859FD" w:rsidP="00970A75">
      <w:pPr>
        <w:pStyle w:val="BodyText"/>
        <w:spacing w:after="360"/>
        <w:rPr>
          <w:b/>
          <w:bCs/>
        </w:rPr>
      </w:pPr>
      <w:bookmarkStart w:id="0" w:name="_GoBack"/>
      <w:bookmarkEnd w:id="0"/>
      <w:r w:rsidRPr="00A77C43">
        <w:rPr>
          <w:b/>
          <w:bCs/>
        </w:rPr>
        <w:t>BEFORE THE WASHINGTON STATE</w:t>
      </w:r>
      <w:r w:rsidR="00970A75" w:rsidRPr="00A77C43">
        <w:rPr>
          <w:b/>
          <w:bCs/>
        </w:rPr>
        <w:br/>
      </w:r>
      <w:r w:rsidRPr="00A77C43">
        <w:rPr>
          <w:b/>
          <w:bCs/>
        </w:rPr>
        <w:t>UTILITIES AND TRANSPORTATION COMMISSION</w:t>
      </w:r>
    </w:p>
    <w:tbl>
      <w:tblPr>
        <w:tblW w:w="0" w:type="auto"/>
        <w:tblLayout w:type="fixed"/>
        <w:tblLook w:val="0000" w:firstRow="0" w:lastRow="0" w:firstColumn="0" w:lastColumn="0" w:noHBand="0" w:noVBand="0"/>
      </w:tblPr>
      <w:tblGrid>
        <w:gridCol w:w="4248"/>
        <w:gridCol w:w="360"/>
        <w:gridCol w:w="3888"/>
      </w:tblGrid>
      <w:tr w:rsidR="002859FD" w:rsidRPr="00A77C43">
        <w:tc>
          <w:tcPr>
            <w:tcW w:w="4248" w:type="dxa"/>
          </w:tcPr>
          <w:p w:rsidR="002859FD" w:rsidRPr="00A77C43" w:rsidRDefault="002859FD" w:rsidP="00B532B9">
            <w:pPr>
              <w:snapToGrid w:val="0"/>
              <w:spacing w:line="264" w:lineRule="auto"/>
              <w:rPr>
                <w:bCs/>
              </w:rPr>
            </w:pPr>
            <w:r w:rsidRPr="00A77C43">
              <w:rPr>
                <w:bCs/>
              </w:rPr>
              <w:t>In the Matter of the Petition of</w:t>
            </w:r>
            <w:r w:rsidR="0048473C" w:rsidRPr="00A77C43">
              <w:rPr>
                <w:bCs/>
              </w:rPr>
              <w:t>:</w:t>
            </w:r>
          </w:p>
          <w:p w:rsidR="002859FD" w:rsidRPr="00A77C43" w:rsidRDefault="002859FD" w:rsidP="00B532B9">
            <w:pPr>
              <w:spacing w:line="264" w:lineRule="auto"/>
              <w:rPr>
                <w:bCs/>
              </w:rPr>
            </w:pPr>
          </w:p>
          <w:p w:rsidR="0048473C" w:rsidRPr="00A77C43" w:rsidRDefault="00970A75" w:rsidP="0048473C">
            <w:pPr>
              <w:suppressAutoHyphens w:val="0"/>
              <w:autoSpaceDE w:val="0"/>
              <w:autoSpaceDN w:val="0"/>
              <w:adjustRightInd w:val="0"/>
              <w:rPr>
                <w:lang w:eastAsia="en-US"/>
              </w:rPr>
            </w:pPr>
            <w:r w:rsidRPr="00A77C43">
              <w:rPr>
                <w:lang w:eastAsia="en-US"/>
              </w:rPr>
              <w:t>SIERRA CLUB, CLIMATE SOLUTIONS</w:t>
            </w:r>
            <w:r w:rsidR="0048473C" w:rsidRPr="00A77C43">
              <w:rPr>
                <w:lang w:eastAsia="en-US"/>
              </w:rPr>
              <w:t>, and</w:t>
            </w:r>
            <w:r w:rsidRPr="00A77C43">
              <w:rPr>
                <w:lang w:eastAsia="en-US"/>
              </w:rPr>
              <w:t xml:space="preserve"> WASHINGTON ENVIRONMENTAL COUNCIL</w:t>
            </w:r>
          </w:p>
          <w:p w:rsidR="0048473C" w:rsidRPr="00A77C43" w:rsidRDefault="0048473C" w:rsidP="0048473C">
            <w:pPr>
              <w:suppressAutoHyphens w:val="0"/>
              <w:autoSpaceDE w:val="0"/>
              <w:autoSpaceDN w:val="0"/>
              <w:adjustRightInd w:val="0"/>
              <w:rPr>
                <w:lang w:eastAsia="en-US"/>
              </w:rPr>
            </w:pPr>
          </w:p>
          <w:p w:rsidR="0048473C" w:rsidRPr="00A77C43" w:rsidRDefault="0048473C" w:rsidP="0048473C">
            <w:pPr>
              <w:suppressAutoHyphens w:val="0"/>
              <w:autoSpaceDE w:val="0"/>
              <w:autoSpaceDN w:val="0"/>
              <w:adjustRightInd w:val="0"/>
              <w:rPr>
                <w:lang w:eastAsia="en-US"/>
              </w:rPr>
            </w:pPr>
            <w:r w:rsidRPr="00A77C43">
              <w:rPr>
                <w:lang w:eastAsia="en-US"/>
              </w:rPr>
              <w:t>For an Adjudicatory Proceeding Relating</w:t>
            </w:r>
            <w:r w:rsidR="001A5FFA">
              <w:rPr>
                <w:lang w:eastAsia="en-US"/>
              </w:rPr>
              <w:t> </w:t>
            </w:r>
            <w:r w:rsidRPr="00A77C43">
              <w:rPr>
                <w:lang w:eastAsia="en-US"/>
              </w:rPr>
              <w:t>to the Prudency of Continued</w:t>
            </w:r>
          </w:p>
          <w:p w:rsidR="0048473C" w:rsidRPr="00A77C43" w:rsidRDefault="0048473C" w:rsidP="0048473C">
            <w:pPr>
              <w:suppressAutoHyphens w:val="0"/>
              <w:autoSpaceDE w:val="0"/>
              <w:autoSpaceDN w:val="0"/>
              <w:adjustRightInd w:val="0"/>
              <w:rPr>
                <w:lang w:eastAsia="en-US"/>
              </w:rPr>
            </w:pPr>
            <w:r w:rsidRPr="00A77C43">
              <w:rPr>
                <w:lang w:eastAsia="en-US"/>
              </w:rPr>
              <w:t>Investments in Colstrip Plant Units 1 and</w:t>
            </w:r>
          </w:p>
          <w:p w:rsidR="00846243" w:rsidRPr="00A77C43" w:rsidRDefault="0048473C" w:rsidP="0048473C">
            <w:pPr>
              <w:spacing w:line="264" w:lineRule="auto"/>
              <w:rPr>
                <w:bCs/>
              </w:rPr>
            </w:pPr>
            <w:r w:rsidRPr="00A77C43">
              <w:rPr>
                <w:lang w:eastAsia="en-US"/>
              </w:rPr>
              <w:t>2.</w:t>
            </w:r>
          </w:p>
          <w:p w:rsidR="002859FD" w:rsidRPr="00A77C43" w:rsidRDefault="002859FD" w:rsidP="00B532B9">
            <w:pPr>
              <w:spacing w:line="264" w:lineRule="auto"/>
              <w:rPr>
                <w:bCs/>
              </w:rPr>
            </w:pPr>
            <w:r w:rsidRPr="00A77C43">
              <w:rPr>
                <w:bCs/>
              </w:rPr>
              <w:t xml:space="preserve">. . . . . . . . . . . . . . . . . . . . . . . . . . . . . . . . </w:t>
            </w:r>
          </w:p>
        </w:tc>
        <w:tc>
          <w:tcPr>
            <w:tcW w:w="360" w:type="dxa"/>
          </w:tcPr>
          <w:p w:rsidR="002859FD" w:rsidRPr="00A77C43" w:rsidRDefault="002859FD" w:rsidP="00B532B9">
            <w:pPr>
              <w:snapToGrid w:val="0"/>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2859FD" w:rsidRPr="00A77C43" w:rsidRDefault="002859FD" w:rsidP="00B532B9">
            <w:pPr>
              <w:spacing w:line="264" w:lineRule="auto"/>
              <w:rPr>
                <w:bCs/>
              </w:rPr>
            </w:pPr>
            <w:r w:rsidRPr="00A77C43">
              <w:rPr>
                <w:bCs/>
              </w:rPr>
              <w:t>)</w:t>
            </w:r>
          </w:p>
          <w:p w:rsidR="00846243" w:rsidRPr="00A77C43" w:rsidRDefault="00846243" w:rsidP="00B532B9">
            <w:pPr>
              <w:spacing w:line="264" w:lineRule="auto"/>
              <w:rPr>
                <w:bCs/>
              </w:rPr>
            </w:pPr>
          </w:p>
        </w:tc>
        <w:tc>
          <w:tcPr>
            <w:tcW w:w="3888" w:type="dxa"/>
          </w:tcPr>
          <w:p w:rsidR="002859FD" w:rsidRPr="00A77C43" w:rsidRDefault="002859FD" w:rsidP="00B532B9">
            <w:pPr>
              <w:snapToGrid w:val="0"/>
              <w:spacing w:line="264" w:lineRule="auto"/>
              <w:rPr>
                <w:bCs/>
              </w:rPr>
            </w:pPr>
            <w:r w:rsidRPr="00A77C43">
              <w:rPr>
                <w:bCs/>
              </w:rPr>
              <w:t>DOCKET UE-</w:t>
            </w:r>
            <w:r w:rsidR="009149FD" w:rsidRPr="00A77C43">
              <w:rPr>
                <w:bCs/>
              </w:rPr>
              <w:t>151592</w:t>
            </w:r>
          </w:p>
          <w:p w:rsidR="002859FD" w:rsidRPr="00A77C43" w:rsidRDefault="002859FD" w:rsidP="00B532B9">
            <w:pPr>
              <w:spacing w:line="264" w:lineRule="auto"/>
              <w:rPr>
                <w:bCs/>
              </w:rPr>
            </w:pPr>
          </w:p>
          <w:p w:rsidR="002859FD" w:rsidRPr="00A77C43" w:rsidRDefault="002859FD" w:rsidP="00B532B9">
            <w:pPr>
              <w:spacing w:line="264" w:lineRule="auto"/>
              <w:rPr>
                <w:bCs/>
              </w:rPr>
            </w:pPr>
          </w:p>
          <w:p w:rsidR="002859FD" w:rsidRPr="00A77C43" w:rsidRDefault="002859FD" w:rsidP="00B532B9">
            <w:pPr>
              <w:spacing w:line="264" w:lineRule="auto"/>
              <w:rPr>
                <w:bCs/>
              </w:rPr>
            </w:pPr>
          </w:p>
          <w:p w:rsidR="009D513C" w:rsidRPr="00A77C43" w:rsidRDefault="0048473C" w:rsidP="00B532B9">
            <w:pPr>
              <w:spacing w:line="264" w:lineRule="auto"/>
              <w:rPr>
                <w:bCs/>
              </w:rPr>
            </w:pPr>
            <w:r w:rsidRPr="00A77C43">
              <w:rPr>
                <w:bCs/>
              </w:rPr>
              <w:t>PUGET SOUND ENERGY INC.’S</w:t>
            </w:r>
          </w:p>
          <w:p w:rsidR="002859FD" w:rsidRPr="00A77C43" w:rsidRDefault="002859FD" w:rsidP="00B532B9">
            <w:pPr>
              <w:spacing w:line="264" w:lineRule="auto"/>
              <w:rPr>
                <w:bCs/>
              </w:rPr>
            </w:pPr>
            <w:r w:rsidRPr="00A77C43">
              <w:rPr>
                <w:bCs/>
              </w:rPr>
              <w:t xml:space="preserve">MOTION </w:t>
            </w:r>
            <w:r w:rsidR="00054680">
              <w:rPr>
                <w:bCs/>
              </w:rPr>
              <w:t xml:space="preserve">FOR </w:t>
            </w:r>
            <w:r w:rsidR="00DB1BE7">
              <w:rPr>
                <w:bCs/>
              </w:rPr>
              <w:t xml:space="preserve">PERMISSION </w:t>
            </w:r>
            <w:r w:rsidR="00054680">
              <w:rPr>
                <w:bCs/>
              </w:rPr>
              <w:t xml:space="preserve">TO REPLY AND REPLY TO PETITIONERS OPPOSITION TO PSE’S MOTION </w:t>
            </w:r>
            <w:r w:rsidRPr="00A77C43">
              <w:rPr>
                <w:bCs/>
              </w:rPr>
              <w:t xml:space="preserve">TO DISMISS </w:t>
            </w:r>
          </w:p>
          <w:p w:rsidR="002859FD" w:rsidRPr="00A77C43" w:rsidRDefault="002859FD" w:rsidP="00B532B9">
            <w:pPr>
              <w:spacing w:line="264" w:lineRule="auto"/>
              <w:rPr>
                <w:bCs/>
              </w:rPr>
            </w:pPr>
          </w:p>
        </w:tc>
      </w:tr>
    </w:tbl>
    <w:p w:rsidR="002859FD" w:rsidRPr="00A77C43" w:rsidRDefault="000008F7" w:rsidP="0026553C">
      <w:pPr>
        <w:pStyle w:val="Heading1"/>
        <w:spacing w:before="480"/>
        <w:rPr>
          <w:sz w:val="24"/>
          <w:szCs w:val="24"/>
        </w:rPr>
      </w:pPr>
      <w:r w:rsidRPr="00A77C43">
        <w:rPr>
          <w:sz w:val="24"/>
          <w:szCs w:val="24"/>
        </w:rPr>
        <w:t>I.</w:t>
      </w:r>
      <w:r w:rsidRPr="00A77C43">
        <w:rPr>
          <w:sz w:val="24"/>
          <w:szCs w:val="24"/>
        </w:rPr>
        <w:tab/>
      </w:r>
      <w:r w:rsidR="005E23BB">
        <w:rPr>
          <w:sz w:val="24"/>
          <w:szCs w:val="24"/>
        </w:rPr>
        <w:t>MOTION REQUESTING PERMISSION TO REPLY</w:t>
      </w:r>
    </w:p>
    <w:p w:rsidR="00C054F5" w:rsidRDefault="001A5FFA" w:rsidP="00690179">
      <w:pPr>
        <w:numPr>
          <w:ilvl w:val="0"/>
          <w:numId w:val="2"/>
        </w:numPr>
        <w:tabs>
          <w:tab w:val="clear" w:pos="0"/>
          <w:tab w:val="left" w:pos="720"/>
        </w:tabs>
        <w:spacing w:line="480" w:lineRule="auto"/>
        <w:ind w:hanging="720"/>
        <w:rPr>
          <w:bCs/>
        </w:rPr>
      </w:pPr>
      <w:r>
        <w:rPr>
          <w:bCs/>
        </w:rPr>
        <w:tab/>
      </w:r>
      <w:r w:rsidR="0048473C" w:rsidRPr="00A77C43">
        <w:rPr>
          <w:bCs/>
        </w:rPr>
        <w:t xml:space="preserve">Puget Sound Energy, Inc. </w:t>
      </w:r>
      <w:r w:rsidR="00DE73C4" w:rsidRPr="00A77C43">
        <w:rPr>
          <w:bCs/>
        </w:rPr>
        <w:t xml:space="preserve">(“PSE”) </w:t>
      </w:r>
      <w:r w:rsidR="00054680">
        <w:rPr>
          <w:bCs/>
        </w:rPr>
        <w:t xml:space="preserve">respectfully requests </w:t>
      </w:r>
      <w:r w:rsidR="00C054F5">
        <w:rPr>
          <w:bCs/>
        </w:rPr>
        <w:t xml:space="preserve">permission </w:t>
      </w:r>
      <w:r w:rsidR="00054680">
        <w:rPr>
          <w:bCs/>
        </w:rPr>
        <w:t>to reply to Joint Petitioners’ Opposition to Puget Sound Energy’s Motion to Dismiss</w:t>
      </w:r>
      <w:r w:rsidR="005E23BB">
        <w:rPr>
          <w:bCs/>
        </w:rPr>
        <w:t xml:space="preserve"> (“Opposition”)</w:t>
      </w:r>
      <w:r w:rsidR="00054680">
        <w:rPr>
          <w:bCs/>
        </w:rPr>
        <w:t>.  The Commis</w:t>
      </w:r>
      <w:r w:rsidR="005E23BB">
        <w:rPr>
          <w:bCs/>
        </w:rPr>
        <w:t>s</w:t>
      </w:r>
      <w:r w:rsidR="00054680">
        <w:rPr>
          <w:bCs/>
        </w:rPr>
        <w:t>ion’s rules regarding motions, WAC 480-07-375 and WAC 480-07-380</w:t>
      </w:r>
      <w:r w:rsidR="00673703">
        <w:rPr>
          <w:bCs/>
        </w:rPr>
        <w:t>,</w:t>
      </w:r>
      <w:r w:rsidR="00054680">
        <w:rPr>
          <w:bCs/>
        </w:rPr>
        <w:t xml:space="preserve"> do not address a reply to a motion to dismiss.  However, WAC 480-07</w:t>
      </w:r>
      <w:r w:rsidR="005E23BB">
        <w:rPr>
          <w:bCs/>
        </w:rPr>
        <w:t>-370(1)(d) allows for parties to file a motion requesting permission to reply to an answer to a petition within five days after the answer is filed.</w:t>
      </w:r>
    </w:p>
    <w:p w:rsidR="002859FD" w:rsidRPr="00690179" w:rsidRDefault="001A5FFA" w:rsidP="00690179">
      <w:pPr>
        <w:numPr>
          <w:ilvl w:val="0"/>
          <w:numId w:val="2"/>
        </w:numPr>
        <w:tabs>
          <w:tab w:val="clear" w:pos="0"/>
          <w:tab w:val="left" w:pos="720"/>
        </w:tabs>
        <w:spacing w:line="480" w:lineRule="auto"/>
        <w:ind w:hanging="720"/>
        <w:rPr>
          <w:bCs/>
        </w:rPr>
      </w:pPr>
      <w:r>
        <w:rPr>
          <w:bCs/>
        </w:rPr>
        <w:tab/>
      </w:r>
      <w:r w:rsidR="005E23BB">
        <w:rPr>
          <w:bCs/>
        </w:rPr>
        <w:t>Th</w:t>
      </w:r>
      <w:r w:rsidR="00673703">
        <w:rPr>
          <w:bCs/>
        </w:rPr>
        <w:t xml:space="preserve">e following </w:t>
      </w:r>
      <w:r w:rsidR="005E23BB">
        <w:rPr>
          <w:bCs/>
        </w:rPr>
        <w:t>reply provides further authority addressing the Commission’s discretion as to whether to hold an adjudicative proceeding under the circumstances</w:t>
      </w:r>
      <w:r w:rsidR="00673703">
        <w:rPr>
          <w:bCs/>
        </w:rPr>
        <w:t xml:space="preserve"> presented here</w:t>
      </w:r>
      <w:r w:rsidR="005E23BB">
        <w:rPr>
          <w:bCs/>
        </w:rPr>
        <w:t xml:space="preserve">, in response to arguments made by Joint Petitioners in their Opposition.  </w:t>
      </w:r>
      <w:r w:rsidR="00C054F5">
        <w:rPr>
          <w:bCs/>
        </w:rPr>
        <w:t>For this reason, the reply should provide helpful authority to the Commission with respect t</w:t>
      </w:r>
      <w:r w:rsidR="00DB1BE7">
        <w:rPr>
          <w:bCs/>
        </w:rPr>
        <w:t>o the Motion To Dismiss and the Petition filed by Joint Petitioners</w:t>
      </w:r>
      <w:r w:rsidR="00C054F5">
        <w:rPr>
          <w:bCs/>
        </w:rPr>
        <w:t>.</w:t>
      </w:r>
    </w:p>
    <w:p w:rsidR="00145E14" w:rsidRPr="00A77C43" w:rsidRDefault="00145E14" w:rsidP="0026553C">
      <w:pPr>
        <w:pStyle w:val="Heading1"/>
        <w:rPr>
          <w:sz w:val="24"/>
          <w:szCs w:val="24"/>
        </w:rPr>
      </w:pPr>
      <w:r w:rsidRPr="00A77C43">
        <w:rPr>
          <w:sz w:val="24"/>
          <w:szCs w:val="24"/>
        </w:rPr>
        <w:lastRenderedPageBreak/>
        <w:t>II.</w:t>
      </w:r>
      <w:r w:rsidRPr="00A77C43">
        <w:rPr>
          <w:sz w:val="24"/>
          <w:szCs w:val="24"/>
        </w:rPr>
        <w:tab/>
      </w:r>
      <w:r w:rsidR="00690179">
        <w:rPr>
          <w:sz w:val="24"/>
          <w:szCs w:val="24"/>
        </w:rPr>
        <w:t>REPLY</w:t>
      </w:r>
    </w:p>
    <w:p w:rsidR="00145E14" w:rsidRPr="00A77C43" w:rsidRDefault="00690179" w:rsidP="001A5FFA">
      <w:pPr>
        <w:pStyle w:val="Heading2"/>
        <w:ind w:right="720"/>
        <w:jc w:val="center"/>
        <w:rPr>
          <w:i/>
        </w:rPr>
      </w:pPr>
      <w:r>
        <w:t xml:space="preserve">The Commission </w:t>
      </w:r>
      <w:r w:rsidR="00673703">
        <w:t xml:space="preserve">Is Not Required </w:t>
      </w:r>
      <w:r>
        <w:t xml:space="preserve">To </w:t>
      </w:r>
      <w:r w:rsidR="00B550AE">
        <w:t xml:space="preserve">Commence </w:t>
      </w:r>
      <w:r>
        <w:t>an Adjudicative Proceeding</w:t>
      </w:r>
    </w:p>
    <w:p w:rsidR="00673703" w:rsidRPr="00673703" w:rsidRDefault="001A5FFA" w:rsidP="00970A75">
      <w:pPr>
        <w:numPr>
          <w:ilvl w:val="0"/>
          <w:numId w:val="2"/>
        </w:numPr>
        <w:tabs>
          <w:tab w:val="clear" w:pos="0"/>
          <w:tab w:val="left" w:pos="720"/>
        </w:tabs>
        <w:spacing w:line="480" w:lineRule="auto"/>
        <w:ind w:hanging="720"/>
        <w:rPr>
          <w:bCs/>
          <w:i/>
        </w:rPr>
      </w:pPr>
      <w:r>
        <w:rPr>
          <w:bCs/>
        </w:rPr>
        <w:tab/>
      </w:r>
      <w:r w:rsidR="00B550AE" w:rsidRPr="00673703">
        <w:rPr>
          <w:bCs/>
        </w:rPr>
        <w:t>Joint Petitioners incorrectly argue that the Commission must commence an adjudicative proceeding</w:t>
      </w:r>
      <w:r w:rsidR="00673703" w:rsidRPr="00673703">
        <w:rPr>
          <w:bCs/>
        </w:rPr>
        <w:t xml:space="preserve"> in response to their petition</w:t>
      </w:r>
      <w:r w:rsidR="00B550AE" w:rsidRPr="00673703">
        <w:rPr>
          <w:bCs/>
        </w:rPr>
        <w:t xml:space="preserve">.  Washington law </w:t>
      </w:r>
      <w:r w:rsidR="00D01BE1" w:rsidRPr="00673703">
        <w:rPr>
          <w:bCs/>
        </w:rPr>
        <w:t xml:space="preserve">does not require </w:t>
      </w:r>
      <w:r w:rsidR="00690179" w:rsidRPr="00673703">
        <w:rPr>
          <w:bCs/>
        </w:rPr>
        <w:t>the Commission to commenc</w:t>
      </w:r>
      <w:r w:rsidR="00D01BE1" w:rsidRPr="00673703">
        <w:rPr>
          <w:bCs/>
        </w:rPr>
        <w:t>e</w:t>
      </w:r>
      <w:r w:rsidR="00690179" w:rsidRPr="00673703">
        <w:rPr>
          <w:bCs/>
        </w:rPr>
        <w:t xml:space="preserve"> an adjudicative proceeding when</w:t>
      </w:r>
      <w:r w:rsidR="00D01BE1" w:rsidRPr="00673703">
        <w:rPr>
          <w:bCs/>
        </w:rPr>
        <w:t>ever</w:t>
      </w:r>
      <w:r w:rsidR="00690179" w:rsidRPr="00673703">
        <w:rPr>
          <w:bCs/>
        </w:rPr>
        <w:t xml:space="preserve"> a petition requesting such a proceeding is filed</w:t>
      </w:r>
      <w:r w:rsidR="00AF2515" w:rsidRPr="00673703">
        <w:rPr>
          <w:bCs/>
        </w:rPr>
        <w:t>, as Joint Petitioners claim</w:t>
      </w:r>
      <w:r w:rsidR="00690179" w:rsidRPr="00673703">
        <w:rPr>
          <w:bCs/>
        </w:rPr>
        <w:t>.</w:t>
      </w:r>
    </w:p>
    <w:p w:rsidR="00673703" w:rsidRPr="00673703" w:rsidRDefault="001A5FFA" w:rsidP="00970A75">
      <w:pPr>
        <w:numPr>
          <w:ilvl w:val="0"/>
          <w:numId w:val="2"/>
        </w:numPr>
        <w:tabs>
          <w:tab w:val="clear" w:pos="0"/>
          <w:tab w:val="left" w:pos="720"/>
        </w:tabs>
        <w:spacing w:line="480" w:lineRule="auto"/>
        <w:ind w:hanging="720"/>
        <w:rPr>
          <w:bCs/>
          <w:i/>
        </w:rPr>
      </w:pPr>
      <w:r>
        <w:rPr>
          <w:bCs/>
        </w:rPr>
        <w:tab/>
      </w:r>
      <w:r w:rsidR="00673703">
        <w:rPr>
          <w:bCs/>
        </w:rPr>
        <w:t xml:space="preserve">Washington statutes and the Commission’s procedural rules make clear that the Commission is not required to commence an adjudicative proceeding in response to Joint Petitioners request.  </w:t>
      </w:r>
      <w:r w:rsidR="00690179" w:rsidRPr="00673703">
        <w:rPr>
          <w:bCs/>
        </w:rPr>
        <w:t xml:space="preserve">RCW 34.05.416 </w:t>
      </w:r>
      <w:r w:rsidR="00B550AE" w:rsidRPr="00673703">
        <w:rPr>
          <w:bCs/>
        </w:rPr>
        <w:t xml:space="preserve">states that an agency may decide not to conduct an adjudicative proceeding in response to an application.  </w:t>
      </w:r>
      <w:r w:rsidR="000C08E9" w:rsidRPr="00673703">
        <w:rPr>
          <w:bCs/>
        </w:rPr>
        <w:t xml:space="preserve">Further, RCW 80.04.110(3) recognizes that the Commission may adopt rules of practice addressing complaints, including requiring petitioners to use an informal process before filing a complaint.  The Commission has in fact adopted rules governing how </w:t>
      </w:r>
      <w:r w:rsidR="00D01BE1" w:rsidRPr="00673703">
        <w:rPr>
          <w:bCs/>
        </w:rPr>
        <w:t xml:space="preserve">requests for adjudicative proceedings should </w:t>
      </w:r>
      <w:r w:rsidR="000C08E9" w:rsidRPr="00673703">
        <w:rPr>
          <w:bCs/>
        </w:rPr>
        <w:t>be addressed.  WAC 480-07-305</w:t>
      </w:r>
      <w:r w:rsidR="00D01BE1" w:rsidRPr="00673703">
        <w:rPr>
          <w:bCs/>
        </w:rPr>
        <w:t>(3)</w:t>
      </w:r>
      <w:r w:rsidR="000C08E9" w:rsidRPr="00673703">
        <w:rPr>
          <w:bCs/>
        </w:rPr>
        <w:t xml:space="preserve"> states that </w:t>
      </w:r>
      <w:r w:rsidR="00D01BE1" w:rsidRPr="00673703">
        <w:rPr>
          <w:bCs/>
        </w:rPr>
        <w:t xml:space="preserve">the Commission </w:t>
      </w:r>
      <w:r w:rsidR="00D01BE1" w:rsidRPr="00673703">
        <w:rPr>
          <w:bCs/>
          <w:u w:val="single"/>
        </w:rPr>
        <w:t>will not</w:t>
      </w:r>
      <w:r w:rsidR="00D01BE1" w:rsidRPr="00673703">
        <w:rPr>
          <w:bCs/>
        </w:rPr>
        <w:t xml:space="preserve"> initiate an adjudicative proceeding when the subject raised by the application is not required to be resolved in an adjudicative proceeding.  The </w:t>
      </w:r>
      <w:r w:rsidR="00673703">
        <w:rPr>
          <w:bCs/>
        </w:rPr>
        <w:t xml:space="preserve">Commission’s procedural </w:t>
      </w:r>
      <w:r w:rsidR="00D01BE1" w:rsidRPr="00673703">
        <w:rPr>
          <w:bCs/>
        </w:rPr>
        <w:t>rule</w:t>
      </w:r>
      <w:r w:rsidR="00673703">
        <w:rPr>
          <w:bCs/>
        </w:rPr>
        <w:t>s</w:t>
      </w:r>
      <w:r w:rsidR="00D01BE1" w:rsidRPr="00673703">
        <w:rPr>
          <w:bCs/>
        </w:rPr>
        <w:t xml:space="preserve"> further require the Commission to make a determination whether to conduct an adjudicative proceeding within 90 days after a request is filed</w:t>
      </w:r>
      <w:r w:rsidR="00E62E40">
        <w:rPr>
          <w:bCs/>
        </w:rPr>
        <w:t xml:space="preserve"> or a response is filed, whichever is later</w:t>
      </w:r>
      <w:r w:rsidR="00D01BE1" w:rsidRPr="00673703">
        <w:rPr>
          <w:bCs/>
        </w:rPr>
        <w:t>.  WAC 480-07-305(5).</w:t>
      </w:r>
    </w:p>
    <w:p w:rsidR="00B14896" w:rsidRPr="00995696" w:rsidRDefault="001A5FFA" w:rsidP="00970A75">
      <w:pPr>
        <w:numPr>
          <w:ilvl w:val="0"/>
          <w:numId w:val="2"/>
        </w:numPr>
        <w:tabs>
          <w:tab w:val="clear" w:pos="0"/>
          <w:tab w:val="left" w:pos="720"/>
        </w:tabs>
        <w:spacing w:line="480" w:lineRule="auto"/>
        <w:ind w:hanging="720"/>
        <w:rPr>
          <w:bCs/>
          <w:i/>
        </w:rPr>
      </w:pPr>
      <w:r>
        <w:rPr>
          <w:bCs/>
        </w:rPr>
        <w:tab/>
      </w:r>
      <w:r w:rsidR="00AF2515" w:rsidRPr="00673703">
        <w:rPr>
          <w:bCs/>
        </w:rPr>
        <w:t>Thus, Joint Petitioners misunderstand the law when they argue that “</w:t>
      </w:r>
      <w:r w:rsidR="00C054F5">
        <w:rPr>
          <w:bCs/>
        </w:rPr>
        <w:t>[</w:t>
      </w:r>
      <w:r w:rsidR="00AF2515" w:rsidRPr="00673703">
        <w:rPr>
          <w:bCs/>
        </w:rPr>
        <w:t>o</w:t>
      </w:r>
      <w:r w:rsidR="00C054F5">
        <w:rPr>
          <w:bCs/>
        </w:rPr>
        <w:t>]</w:t>
      </w:r>
      <w:r w:rsidR="00AF2515" w:rsidRPr="00673703">
        <w:rPr>
          <w:bCs/>
        </w:rPr>
        <w:t>nce the Commission receives such a complaint or petition under RCW 80.04.110, it has a non-</w:t>
      </w:r>
      <w:r w:rsidR="00AF2515" w:rsidRPr="00673703">
        <w:rPr>
          <w:bCs/>
        </w:rPr>
        <w:lastRenderedPageBreak/>
        <w:t>discretionary obligation to hold a hearing.”</w:t>
      </w:r>
      <w:r w:rsidR="00C054F5">
        <w:rPr>
          <w:rStyle w:val="FootnoteReference"/>
          <w:bCs/>
        </w:rPr>
        <w:footnoteReference w:id="1"/>
      </w:r>
      <w:r w:rsidR="00AF2515" w:rsidRPr="00673703">
        <w:rPr>
          <w:bCs/>
        </w:rPr>
        <w:t xml:space="preserve"> Petitioners are only entitled to such a hearing if the Commission determines it is appropriate to hold an adjudicative proceeding.  There is no automatic right to a hearing </w:t>
      </w:r>
      <w:r w:rsidR="00DB1BE7">
        <w:rPr>
          <w:bCs/>
        </w:rPr>
        <w:t xml:space="preserve">or an adjudicative proceeding </w:t>
      </w:r>
      <w:r w:rsidR="00AF2515" w:rsidRPr="00673703">
        <w:rPr>
          <w:bCs/>
        </w:rPr>
        <w:t>whenever a petition or complaint is filed, as Joint Petitioners argue.</w:t>
      </w:r>
    </w:p>
    <w:p w:rsidR="00C054F5" w:rsidRPr="00A77C43" w:rsidRDefault="001A5FFA" w:rsidP="00C054F5">
      <w:pPr>
        <w:numPr>
          <w:ilvl w:val="0"/>
          <w:numId w:val="2"/>
        </w:numPr>
        <w:tabs>
          <w:tab w:val="clear" w:pos="0"/>
          <w:tab w:val="left" w:pos="720"/>
        </w:tabs>
        <w:spacing w:line="480" w:lineRule="auto"/>
        <w:ind w:hanging="720"/>
        <w:rPr>
          <w:bCs/>
        </w:rPr>
      </w:pPr>
      <w:r>
        <w:rPr>
          <w:bCs/>
        </w:rPr>
        <w:tab/>
      </w:r>
      <w:r w:rsidR="00995696">
        <w:rPr>
          <w:bCs/>
        </w:rPr>
        <w:t xml:space="preserve">The </w:t>
      </w:r>
      <w:r w:rsidR="00EF1F23">
        <w:rPr>
          <w:bCs/>
        </w:rPr>
        <w:t>subject matter raised by the Joint Petitioners is not required to be resolved in an adjudicative proceeding</w:t>
      </w:r>
      <w:r w:rsidR="00DB1BE7">
        <w:rPr>
          <w:bCs/>
        </w:rPr>
        <w:t xml:space="preserve"> for the reasons set forth in PSE’s Motion to Dismiss and the Commission Staff </w:t>
      </w:r>
      <w:r w:rsidR="00E62E40">
        <w:rPr>
          <w:bCs/>
        </w:rPr>
        <w:t>Response Supporting</w:t>
      </w:r>
      <w:r w:rsidR="00DB1BE7">
        <w:rPr>
          <w:bCs/>
        </w:rPr>
        <w:t xml:space="preserve"> PSE’s Motion to Dismiss</w:t>
      </w:r>
      <w:r w:rsidR="00EF1F23">
        <w:rPr>
          <w:bCs/>
        </w:rPr>
        <w:t xml:space="preserve">.  </w:t>
      </w:r>
      <w:r w:rsidR="00B5593A">
        <w:rPr>
          <w:bCs/>
        </w:rPr>
        <w:t xml:space="preserve">In fact, it is duplicative of other ongoing and scheduled proceedings.  The Commission has commenced an investigation that is addressing issues with respect to decommissioning and remediation at Colstrip.  The ongoing integrated resource planning proceeding (“IRP”) addresses </w:t>
      </w:r>
      <w:r w:rsidR="00B5593A" w:rsidRPr="00B5593A">
        <w:rPr>
          <w:bCs/>
        </w:rPr>
        <w:t xml:space="preserve">alternative generation supplies to meet system demand.  </w:t>
      </w:r>
      <w:r w:rsidR="00B5593A">
        <w:rPr>
          <w:bCs/>
        </w:rPr>
        <w:t xml:space="preserve">PSE’s upcoming general rate case, to be filed within the next seven months, will address the prudence of new capital expenditures at Colstrip.  </w:t>
      </w:r>
      <w:r w:rsidR="00EF1F23">
        <w:rPr>
          <w:bCs/>
        </w:rPr>
        <w:t xml:space="preserve">Therefore, WAC 480-07-305(3) provides that the Commission </w:t>
      </w:r>
      <w:r w:rsidR="00EF1F23" w:rsidRPr="00F95BCF">
        <w:rPr>
          <w:bCs/>
          <w:u w:val="single"/>
        </w:rPr>
        <w:t>will not</w:t>
      </w:r>
      <w:r w:rsidR="00EF1F23">
        <w:rPr>
          <w:bCs/>
        </w:rPr>
        <w:t xml:space="preserve"> initiate an adjudicative proceeding in response to the petition filed.  An adjudicative proceeding is not necessary, is duplicative, </w:t>
      </w:r>
      <w:r w:rsidR="00DB1BE7">
        <w:rPr>
          <w:bCs/>
        </w:rPr>
        <w:t xml:space="preserve">has been rejected by the Commission in the past, </w:t>
      </w:r>
      <w:r w:rsidR="00EF1F23">
        <w:rPr>
          <w:bCs/>
        </w:rPr>
        <w:t>and is not required by Washington law.</w:t>
      </w:r>
    </w:p>
    <w:p w:rsidR="00A77C43" w:rsidRPr="00A77C43" w:rsidRDefault="001A5FFA" w:rsidP="00A77C43">
      <w:pPr>
        <w:numPr>
          <w:ilvl w:val="0"/>
          <w:numId w:val="2"/>
        </w:numPr>
        <w:tabs>
          <w:tab w:val="clear" w:pos="0"/>
          <w:tab w:val="left" w:pos="720"/>
        </w:tabs>
        <w:spacing w:line="480" w:lineRule="auto"/>
        <w:ind w:hanging="720"/>
        <w:rPr>
          <w:bCs/>
          <w:i/>
        </w:rPr>
      </w:pPr>
      <w:r>
        <w:rPr>
          <w:bCs/>
        </w:rPr>
        <w:tab/>
      </w:r>
      <w:r w:rsidR="00916EF9" w:rsidRPr="00A77C43">
        <w:rPr>
          <w:bCs/>
        </w:rPr>
        <w:t>For these reasons, t</w:t>
      </w:r>
      <w:r w:rsidR="002B54C6" w:rsidRPr="00A77C43">
        <w:rPr>
          <w:bCs/>
        </w:rPr>
        <w:t>he Petition should be dismissed.</w:t>
      </w:r>
    </w:p>
    <w:p w:rsidR="00F205C5" w:rsidRPr="00A77C43" w:rsidRDefault="00A67442" w:rsidP="001A5FFA">
      <w:pPr>
        <w:keepNext/>
        <w:keepLines/>
        <w:tabs>
          <w:tab w:val="left" w:pos="720"/>
        </w:tabs>
        <w:spacing w:line="480" w:lineRule="auto"/>
        <w:ind w:firstLine="720"/>
        <w:rPr>
          <w:bCs/>
          <w:i/>
        </w:rPr>
      </w:pPr>
      <w:r w:rsidRPr="00A77C43">
        <w:rPr>
          <w:bCs/>
        </w:rPr>
        <w:t xml:space="preserve">Respectfully </w:t>
      </w:r>
      <w:r w:rsidR="006B4558" w:rsidRPr="00A77C43">
        <w:rPr>
          <w:bCs/>
        </w:rPr>
        <w:t>s</w:t>
      </w:r>
      <w:r w:rsidRPr="00A77C43">
        <w:rPr>
          <w:bCs/>
        </w:rPr>
        <w:t xml:space="preserve">ubmitted this </w:t>
      </w:r>
      <w:r w:rsidR="00F95BCF">
        <w:rPr>
          <w:bCs/>
        </w:rPr>
        <w:t>31st</w:t>
      </w:r>
      <w:r w:rsidRPr="00A77C43">
        <w:rPr>
          <w:bCs/>
        </w:rPr>
        <w:t xml:space="preserve"> day of August, 2015</w:t>
      </w:r>
      <w:r w:rsidR="00F205C5" w:rsidRPr="00A77C43">
        <w:rPr>
          <w:bCs/>
        </w:rPr>
        <w:t>.</w:t>
      </w:r>
    </w:p>
    <w:p w:rsidR="00A77C43" w:rsidRDefault="00C80564" w:rsidP="00A77C43">
      <w:pPr>
        <w:keepNext/>
        <w:keepLines/>
        <w:widowControl w:val="0"/>
        <w:tabs>
          <w:tab w:val="left" w:pos="4590"/>
          <w:tab w:val="right" w:pos="8820"/>
          <w:tab w:val="right" w:pos="9090"/>
        </w:tabs>
        <w:suppressAutoHyphens w:val="0"/>
        <w:spacing w:before="240" w:line="240" w:lineRule="atLeast"/>
        <w:ind w:left="4050" w:right="14"/>
        <w:rPr>
          <w:lang w:eastAsia="zh-CN"/>
        </w:rPr>
      </w:pPr>
      <w:r w:rsidRPr="00A77C43">
        <w:rPr>
          <w:b/>
          <w:lang w:eastAsia="zh-CN"/>
        </w:rPr>
        <w:t>PERKINS COIE LLP</w:t>
      </w:r>
      <w:r w:rsidRPr="00A77C43">
        <w:rPr>
          <w:b/>
          <w:lang w:eastAsia="zh-CN"/>
        </w:rPr>
        <w:br/>
      </w:r>
      <w:r w:rsidRPr="00A77C43">
        <w:rPr>
          <w:b/>
          <w:lang w:eastAsia="zh-CN"/>
        </w:rPr>
        <w:br/>
      </w:r>
      <w:r w:rsidRPr="00A77C43">
        <w:rPr>
          <w:lang w:eastAsia="zh-CN"/>
        </w:rPr>
        <w:br/>
        <w:t>By</w:t>
      </w:r>
      <w:r w:rsidRPr="00A77C43">
        <w:rPr>
          <w:lang w:eastAsia="zh-CN"/>
        </w:rPr>
        <w:tab/>
      </w:r>
      <w:r w:rsidR="00A77C43" w:rsidRPr="00A77C43">
        <w:rPr>
          <w:i/>
          <w:u w:val="single"/>
          <w:lang w:eastAsia="zh-CN"/>
        </w:rPr>
        <w:t>/s/ Sheree Strom Carson</w:t>
      </w:r>
      <w:r w:rsidRPr="00A77C43">
        <w:rPr>
          <w:u w:val="single"/>
          <w:lang w:eastAsia="zh-CN"/>
        </w:rPr>
        <w:tab/>
      </w:r>
    </w:p>
    <w:p w:rsidR="00A77C43" w:rsidRDefault="00C80564" w:rsidP="00A77C43">
      <w:pPr>
        <w:keepNext/>
        <w:keepLines/>
        <w:widowControl w:val="0"/>
        <w:tabs>
          <w:tab w:val="left" w:pos="4590"/>
          <w:tab w:val="right" w:pos="8820"/>
          <w:tab w:val="right" w:pos="9090"/>
        </w:tabs>
        <w:suppressAutoHyphens w:val="0"/>
        <w:ind w:left="4590" w:right="14"/>
        <w:rPr>
          <w:lang w:eastAsia="zh-CN"/>
        </w:rPr>
      </w:pPr>
      <w:r w:rsidRPr="00A77C43">
        <w:rPr>
          <w:lang w:eastAsia="zh-CN"/>
        </w:rPr>
        <w:t>Sheree Strom Carson, WSBA # 25349</w:t>
      </w:r>
    </w:p>
    <w:p w:rsidR="00A77C43" w:rsidRDefault="00A77C43" w:rsidP="00A77C43">
      <w:pPr>
        <w:keepNext/>
        <w:keepLines/>
        <w:widowControl w:val="0"/>
        <w:tabs>
          <w:tab w:val="left" w:pos="4590"/>
          <w:tab w:val="right" w:pos="8820"/>
          <w:tab w:val="right" w:pos="9090"/>
        </w:tabs>
        <w:suppressAutoHyphens w:val="0"/>
        <w:ind w:left="4590" w:right="14"/>
        <w:rPr>
          <w:lang w:eastAsia="zh-CN"/>
        </w:rPr>
      </w:pPr>
      <w:r>
        <w:rPr>
          <w:lang w:eastAsia="zh-CN"/>
        </w:rPr>
        <w:t>Jason Kuzma, WSBA #31830</w:t>
      </w:r>
    </w:p>
    <w:p w:rsidR="008B1655" w:rsidRPr="00A77C43" w:rsidRDefault="00C80564" w:rsidP="00A77C43">
      <w:pPr>
        <w:keepNext/>
        <w:keepLines/>
        <w:widowControl w:val="0"/>
        <w:tabs>
          <w:tab w:val="left" w:pos="4050"/>
          <w:tab w:val="right" w:pos="8820"/>
          <w:tab w:val="right" w:pos="9090"/>
        </w:tabs>
        <w:suppressAutoHyphens w:val="0"/>
        <w:spacing w:before="360"/>
        <w:ind w:left="4050" w:right="14"/>
        <w:rPr>
          <w:lang w:eastAsia="zh-CN"/>
        </w:rPr>
      </w:pPr>
      <w:r w:rsidRPr="00A77C43">
        <w:rPr>
          <w:lang w:eastAsia="zh-CN"/>
        </w:rPr>
        <w:t>Attorneys for Puget Sound Energy, Inc.</w:t>
      </w:r>
    </w:p>
    <w:sectPr w:rsidR="008B1655" w:rsidRPr="00A77C43" w:rsidSect="006D218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97" w:rsidRDefault="00362097">
      <w:r>
        <w:separator/>
      </w:r>
    </w:p>
  </w:endnote>
  <w:endnote w:type="continuationSeparator" w:id="0">
    <w:p w:rsidR="00362097" w:rsidRDefault="0036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8D" w:rsidRDefault="006D2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43" w:rsidRDefault="00A77C43" w:rsidP="00A77C43">
    <w:pPr>
      <w:pStyle w:val="Footer"/>
      <w:tabs>
        <w:tab w:val="clear" w:pos="4320"/>
      </w:tabs>
    </w:pPr>
  </w:p>
  <w:p w:rsidR="00F95BCF" w:rsidRDefault="00A77C43" w:rsidP="00A77C43">
    <w:pPr>
      <w:pStyle w:val="Footer"/>
      <w:tabs>
        <w:tab w:val="clear" w:pos="4320"/>
      </w:tabs>
    </w:pPr>
    <w:r>
      <w:t>PUGET SOUND ENERGY INC.’S</w:t>
    </w:r>
    <w:r>
      <w:tab/>
      <w:t xml:space="preserve">Page </w:t>
    </w:r>
    <w:r>
      <w:fldChar w:fldCharType="begin"/>
    </w:r>
    <w:r>
      <w:instrText xml:space="preserve"> PAGE   \* MERGEFORMAT </w:instrText>
    </w:r>
    <w:r>
      <w:fldChar w:fldCharType="separate"/>
    </w:r>
    <w:r w:rsidR="006D218D">
      <w:rPr>
        <w:noProof/>
      </w:rPr>
      <w:t>2</w:t>
    </w:r>
    <w:r>
      <w:rPr>
        <w:noProof/>
      </w:rPr>
      <w:fldChar w:fldCharType="end"/>
    </w:r>
    <w:r w:rsidR="00C054F5">
      <w:rPr>
        <w:noProof/>
      </w:rPr>
      <w:t xml:space="preserve"> of </w:t>
    </w:r>
    <w:r w:rsidR="001A5FFA">
      <w:rPr>
        <w:noProof/>
      </w:rPr>
      <w:t>4</w:t>
    </w:r>
    <w:r>
      <w:br/>
    </w:r>
    <w:r w:rsidR="00F95BCF">
      <w:t>REQUEST FOR PERMISSION TO</w:t>
    </w:r>
  </w:p>
  <w:p w:rsidR="00F95BCF" w:rsidRDefault="00F95BCF" w:rsidP="00A77C43">
    <w:pPr>
      <w:pStyle w:val="Footer"/>
      <w:tabs>
        <w:tab w:val="clear" w:pos="4320"/>
      </w:tabs>
    </w:pPr>
    <w:r>
      <w:t>REPLY AND REPLY TO OPPOSITION</w:t>
    </w:r>
  </w:p>
  <w:p w:rsidR="00196A44" w:rsidRPr="00A77C43" w:rsidRDefault="00F95BCF" w:rsidP="00A77C43">
    <w:pPr>
      <w:pStyle w:val="Footer"/>
      <w:tabs>
        <w:tab w:val="clear" w:pos="4320"/>
      </w:tabs>
    </w:pPr>
    <w:r>
      <w:t xml:space="preserve">TO </w:t>
    </w:r>
    <w:r w:rsidR="00A77C43">
      <w:t xml:space="preserve">MOTION TO DISMISS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43" w:rsidRDefault="00A77C43" w:rsidP="00A77C43">
    <w:pPr>
      <w:pStyle w:val="Footer"/>
      <w:tabs>
        <w:tab w:val="clear" w:pos="4320"/>
      </w:tabs>
    </w:pPr>
  </w:p>
  <w:p w:rsidR="00F95BCF" w:rsidRDefault="00A77C43" w:rsidP="00A77C43">
    <w:pPr>
      <w:pStyle w:val="Footer"/>
      <w:tabs>
        <w:tab w:val="clear" w:pos="4320"/>
      </w:tabs>
    </w:pPr>
    <w:r>
      <w:t>PUGET SOUND ENERGY INC.’S</w:t>
    </w:r>
    <w:r>
      <w:tab/>
      <w:t xml:space="preserve">Page </w:t>
    </w:r>
    <w:r>
      <w:fldChar w:fldCharType="begin"/>
    </w:r>
    <w:r>
      <w:instrText xml:space="preserve"> PAGE   \* MERGEFORMAT </w:instrText>
    </w:r>
    <w:r>
      <w:fldChar w:fldCharType="separate"/>
    </w:r>
    <w:r w:rsidR="006D218D">
      <w:rPr>
        <w:noProof/>
      </w:rPr>
      <w:t>1</w:t>
    </w:r>
    <w:r>
      <w:rPr>
        <w:noProof/>
      </w:rPr>
      <w:fldChar w:fldCharType="end"/>
    </w:r>
    <w:r w:rsidR="001A5FFA">
      <w:rPr>
        <w:noProof/>
      </w:rPr>
      <w:t xml:space="preserve"> of 4</w:t>
    </w:r>
    <w:r>
      <w:br/>
    </w:r>
    <w:r w:rsidR="00F95BCF">
      <w:t xml:space="preserve">REQUEST FOR PERMISSION TO </w:t>
    </w:r>
  </w:p>
  <w:p w:rsidR="00F95BCF" w:rsidRDefault="00F95BCF" w:rsidP="00A77C43">
    <w:pPr>
      <w:pStyle w:val="Footer"/>
      <w:tabs>
        <w:tab w:val="clear" w:pos="4320"/>
      </w:tabs>
    </w:pPr>
    <w:r>
      <w:t xml:space="preserve">REPLY AND REPLY TO OPPOSITION  </w:t>
    </w:r>
  </w:p>
  <w:p w:rsidR="00196A44" w:rsidRDefault="00F95BCF" w:rsidP="00A77C43">
    <w:pPr>
      <w:pStyle w:val="Footer"/>
      <w:tabs>
        <w:tab w:val="clear" w:pos="4320"/>
      </w:tabs>
    </w:pPr>
    <w:r>
      <w:t xml:space="preserve">TO </w:t>
    </w:r>
    <w:r w:rsidR="00A77C43">
      <w:t xml:space="preserve">MOTION TO DISMISS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97" w:rsidRDefault="00362097">
      <w:r>
        <w:separator/>
      </w:r>
    </w:p>
  </w:footnote>
  <w:footnote w:type="continuationSeparator" w:id="0">
    <w:p w:rsidR="00362097" w:rsidRDefault="00362097">
      <w:r>
        <w:continuationSeparator/>
      </w:r>
    </w:p>
  </w:footnote>
  <w:footnote w:id="1">
    <w:p w:rsidR="00C054F5" w:rsidRDefault="00C054F5">
      <w:pPr>
        <w:pStyle w:val="FootnoteText"/>
      </w:pPr>
      <w:r>
        <w:rPr>
          <w:rStyle w:val="FootnoteReference"/>
        </w:rPr>
        <w:footnoteRef/>
      </w:r>
      <w:r>
        <w:t xml:space="preserve"> Opposition to Motion To Dismiss at ¶ 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8D" w:rsidRDefault="006D2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8D" w:rsidRDefault="006D21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8D" w:rsidRDefault="006D2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decimal"/>
      <w:lvlText w:val="%1"/>
      <w:lvlJc w:val="left"/>
      <w:pPr>
        <w:tabs>
          <w:tab w:val="num" w:pos="0"/>
        </w:tabs>
        <w:ind w:left="0" w:hanging="1080"/>
      </w:pPr>
      <w:rPr>
        <w:b w:val="0"/>
        <w:i/>
        <w:sz w:val="20"/>
      </w:rPr>
    </w:lvl>
  </w:abstractNum>
  <w:abstractNum w:abstractNumId="2">
    <w:nsid w:val="21171526"/>
    <w:multiLevelType w:val="hybridMultilevel"/>
    <w:tmpl w:val="A0E6093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9F02F4"/>
    <w:multiLevelType w:val="hybridMultilevel"/>
    <w:tmpl w:val="13C2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F94EB8"/>
    <w:multiLevelType w:val="singleLevel"/>
    <w:tmpl w:val="00000002"/>
    <w:lvl w:ilvl="0">
      <w:start w:val="1"/>
      <w:numFmt w:val="decimal"/>
      <w:lvlText w:val="%1"/>
      <w:lvlJc w:val="left"/>
      <w:pPr>
        <w:tabs>
          <w:tab w:val="num" w:pos="0"/>
        </w:tabs>
        <w:ind w:left="0" w:hanging="1080"/>
      </w:pPr>
      <w:rPr>
        <w:b w:val="0"/>
        <w:i/>
        <w:sz w:val="20"/>
      </w:rPr>
    </w:lvl>
  </w:abstractNum>
  <w:abstractNum w:abstractNumId="5">
    <w:nsid w:val="6F642C00"/>
    <w:multiLevelType w:val="hybridMultilevel"/>
    <w:tmpl w:val="7AE89A3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B67F1"/>
    <w:multiLevelType w:val="singleLevel"/>
    <w:tmpl w:val="00000002"/>
    <w:lvl w:ilvl="0">
      <w:start w:val="1"/>
      <w:numFmt w:val="decimal"/>
      <w:lvlText w:val="%1"/>
      <w:lvlJc w:val="left"/>
      <w:pPr>
        <w:tabs>
          <w:tab w:val="num" w:pos="0"/>
        </w:tabs>
        <w:ind w:left="0" w:hanging="1080"/>
      </w:pPr>
      <w:rPr>
        <w:b w:val="0"/>
        <w:i/>
        <w:sz w:val="20"/>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DE"/>
    <w:rsid w:val="000008F7"/>
    <w:rsid w:val="00013F13"/>
    <w:rsid w:val="000203D9"/>
    <w:rsid w:val="000241D4"/>
    <w:rsid w:val="00041C53"/>
    <w:rsid w:val="000459B5"/>
    <w:rsid w:val="00054680"/>
    <w:rsid w:val="00055C0A"/>
    <w:rsid w:val="00057EFA"/>
    <w:rsid w:val="00070D1B"/>
    <w:rsid w:val="00081A43"/>
    <w:rsid w:val="000A5EC7"/>
    <w:rsid w:val="000B3DC1"/>
    <w:rsid w:val="000B5D40"/>
    <w:rsid w:val="000C08E9"/>
    <w:rsid w:val="00103C57"/>
    <w:rsid w:val="00112603"/>
    <w:rsid w:val="0012058A"/>
    <w:rsid w:val="00122EDE"/>
    <w:rsid w:val="00125F61"/>
    <w:rsid w:val="00134A86"/>
    <w:rsid w:val="0014141E"/>
    <w:rsid w:val="00145E14"/>
    <w:rsid w:val="001510CA"/>
    <w:rsid w:val="00160242"/>
    <w:rsid w:val="00183381"/>
    <w:rsid w:val="0019004A"/>
    <w:rsid w:val="00196A44"/>
    <w:rsid w:val="001A5FFA"/>
    <w:rsid w:val="001B056C"/>
    <w:rsid w:val="001B2BE2"/>
    <w:rsid w:val="001C5226"/>
    <w:rsid w:val="001D7993"/>
    <w:rsid w:val="001E273D"/>
    <w:rsid w:val="001F034F"/>
    <w:rsid w:val="00207E5F"/>
    <w:rsid w:val="00211DB9"/>
    <w:rsid w:val="00215B29"/>
    <w:rsid w:val="00215DED"/>
    <w:rsid w:val="00220EC2"/>
    <w:rsid w:val="0022608C"/>
    <w:rsid w:val="00232484"/>
    <w:rsid w:val="002442BB"/>
    <w:rsid w:val="00253C8E"/>
    <w:rsid w:val="00255042"/>
    <w:rsid w:val="002610E6"/>
    <w:rsid w:val="00263A56"/>
    <w:rsid w:val="002651DF"/>
    <w:rsid w:val="0026553C"/>
    <w:rsid w:val="00282FF7"/>
    <w:rsid w:val="002859FD"/>
    <w:rsid w:val="00291088"/>
    <w:rsid w:val="00292BDE"/>
    <w:rsid w:val="002935B3"/>
    <w:rsid w:val="002A1F02"/>
    <w:rsid w:val="002B46B0"/>
    <w:rsid w:val="002B54C6"/>
    <w:rsid w:val="002C2FD0"/>
    <w:rsid w:val="002D1B32"/>
    <w:rsid w:val="002D7081"/>
    <w:rsid w:val="002E530D"/>
    <w:rsid w:val="002F2E54"/>
    <w:rsid w:val="00305E60"/>
    <w:rsid w:val="00310913"/>
    <w:rsid w:val="00333F3E"/>
    <w:rsid w:val="003416AA"/>
    <w:rsid w:val="00344BF0"/>
    <w:rsid w:val="00362097"/>
    <w:rsid w:val="00385DA3"/>
    <w:rsid w:val="003A0E98"/>
    <w:rsid w:val="003A2C83"/>
    <w:rsid w:val="003A4468"/>
    <w:rsid w:val="003B76F4"/>
    <w:rsid w:val="003C68FC"/>
    <w:rsid w:val="003C6B69"/>
    <w:rsid w:val="003C7DE6"/>
    <w:rsid w:val="003C7FFA"/>
    <w:rsid w:val="003F0BFA"/>
    <w:rsid w:val="00401D26"/>
    <w:rsid w:val="00422E5B"/>
    <w:rsid w:val="00426CF9"/>
    <w:rsid w:val="004314D8"/>
    <w:rsid w:val="004354D2"/>
    <w:rsid w:val="00442765"/>
    <w:rsid w:val="00443210"/>
    <w:rsid w:val="004521B8"/>
    <w:rsid w:val="004542C2"/>
    <w:rsid w:val="004621D7"/>
    <w:rsid w:val="004643F3"/>
    <w:rsid w:val="0046531F"/>
    <w:rsid w:val="00465527"/>
    <w:rsid w:val="00467405"/>
    <w:rsid w:val="0048473C"/>
    <w:rsid w:val="004A7004"/>
    <w:rsid w:val="004B0654"/>
    <w:rsid w:val="004B3C81"/>
    <w:rsid w:val="004D13A4"/>
    <w:rsid w:val="004F085B"/>
    <w:rsid w:val="004F5048"/>
    <w:rsid w:val="004F7837"/>
    <w:rsid w:val="00512BFF"/>
    <w:rsid w:val="00513C69"/>
    <w:rsid w:val="00523843"/>
    <w:rsid w:val="00527464"/>
    <w:rsid w:val="00527F41"/>
    <w:rsid w:val="00551DE6"/>
    <w:rsid w:val="00554B74"/>
    <w:rsid w:val="005573B6"/>
    <w:rsid w:val="00575062"/>
    <w:rsid w:val="00575549"/>
    <w:rsid w:val="005A5C05"/>
    <w:rsid w:val="005D4F51"/>
    <w:rsid w:val="005E23BB"/>
    <w:rsid w:val="00602661"/>
    <w:rsid w:val="00604439"/>
    <w:rsid w:val="00613F4E"/>
    <w:rsid w:val="00614CE9"/>
    <w:rsid w:val="0062023E"/>
    <w:rsid w:val="00622DFC"/>
    <w:rsid w:val="0063558D"/>
    <w:rsid w:val="00643D22"/>
    <w:rsid w:val="00646AFF"/>
    <w:rsid w:val="00654471"/>
    <w:rsid w:val="0066269A"/>
    <w:rsid w:val="0067005C"/>
    <w:rsid w:val="00673703"/>
    <w:rsid w:val="00681444"/>
    <w:rsid w:val="00690179"/>
    <w:rsid w:val="006915D4"/>
    <w:rsid w:val="006A35A3"/>
    <w:rsid w:val="006A43B3"/>
    <w:rsid w:val="006A69DC"/>
    <w:rsid w:val="006B4558"/>
    <w:rsid w:val="006C6779"/>
    <w:rsid w:val="006D218D"/>
    <w:rsid w:val="006F07E5"/>
    <w:rsid w:val="007127CD"/>
    <w:rsid w:val="00713AA5"/>
    <w:rsid w:val="00717765"/>
    <w:rsid w:val="0074212C"/>
    <w:rsid w:val="00745AA7"/>
    <w:rsid w:val="007474A3"/>
    <w:rsid w:val="00783C37"/>
    <w:rsid w:val="007B011B"/>
    <w:rsid w:val="007C2D2E"/>
    <w:rsid w:val="007C4631"/>
    <w:rsid w:val="007D1C68"/>
    <w:rsid w:val="007F1ACB"/>
    <w:rsid w:val="00824FCF"/>
    <w:rsid w:val="008409C6"/>
    <w:rsid w:val="00843851"/>
    <w:rsid w:val="00846243"/>
    <w:rsid w:val="008530CA"/>
    <w:rsid w:val="00853E57"/>
    <w:rsid w:val="00863074"/>
    <w:rsid w:val="008636B3"/>
    <w:rsid w:val="008821CB"/>
    <w:rsid w:val="008A711B"/>
    <w:rsid w:val="008B1655"/>
    <w:rsid w:val="008B2B2C"/>
    <w:rsid w:val="008B5062"/>
    <w:rsid w:val="008C0AC8"/>
    <w:rsid w:val="008D07F3"/>
    <w:rsid w:val="008D287D"/>
    <w:rsid w:val="008D5403"/>
    <w:rsid w:val="008D56B5"/>
    <w:rsid w:val="008F2171"/>
    <w:rsid w:val="008F52EB"/>
    <w:rsid w:val="008F59DE"/>
    <w:rsid w:val="00903F7C"/>
    <w:rsid w:val="00904898"/>
    <w:rsid w:val="00912C06"/>
    <w:rsid w:val="009149FD"/>
    <w:rsid w:val="00916EF9"/>
    <w:rsid w:val="009262EF"/>
    <w:rsid w:val="00933837"/>
    <w:rsid w:val="00953C5F"/>
    <w:rsid w:val="009548B7"/>
    <w:rsid w:val="00970A75"/>
    <w:rsid w:val="0097261F"/>
    <w:rsid w:val="009740F7"/>
    <w:rsid w:val="00981551"/>
    <w:rsid w:val="00982ED8"/>
    <w:rsid w:val="00991085"/>
    <w:rsid w:val="009945CE"/>
    <w:rsid w:val="00995696"/>
    <w:rsid w:val="009D31C7"/>
    <w:rsid w:val="009D3856"/>
    <w:rsid w:val="009D513C"/>
    <w:rsid w:val="009F7907"/>
    <w:rsid w:val="00A031B9"/>
    <w:rsid w:val="00A06419"/>
    <w:rsid w:val="00A11FA0"/>
    <w:rsid w:val="00A157BD"/>
    <w:rsid w:val="00A348EE"/>
    <w:rsid w:val="00A36691"/>
    <w:rsid w:val="00A428F0"/>
    <w:rsid w:val="00A67442"/>
    <w:rsid w:val="00A77C43"/>
    <w:rsid w:val="00A86859"/>
    <w:rsid w:val="00A943C1"/>
    <w:rsid w:val="00AA5E2A"/>
    <w:rsid w:val="00AC458D"/>
    <w:rsid w:val="00AC6D28"/>
    <w:rsid w:val="00AF2515"/>
    <w:rsid w:val="00AF304D"/>
    <w:rsid w:val="00AF48BD"/>
    <w:rsid w:val="00B14896"/>
    <w:rsid w:val="00B2474D"/>
    <w:rsid w:val="00B36377"/>
    <w:rsid w:val="00B36D27"/>
    <w:rsid w:val="00B4489B"/>
    <w:rsid w:val="00B532B9"/>
    <w:rsid w:val="00B550AE"/>
    <w:rsid w:val="00B5593A"/>
    <w:rsid w:val="00B57B61"/>
    <w:rsid w:val="00B72AD5"/>
    <w:rsid w:val="00B768CA"/>
    <w:rsid w:val="00B92BD7"/>
    <w:rsid w:val="00B9375F"/>
    <w:rsid w:val="00B95573"/>
    <w:rsid w:val="00BA39FA"/>
    <w:rsid w:val="00BD0FD8"/>
    <w:rsid w:val="00BE31F4"/>
    <w:rsid w:val="00BF4C48"/>
    <w:rsid w:val="00C054F5"/>
    <w:rsid w:val="00C279A5"/>
    <w:rsid w:val="00C3547C"/>
    <w:rsid w:val="00C40981"/>
    <w:rsid w:val="00C53FBF"/>
    <w:rsid w:val="00C65F78"/>
    <w:rsid w:val="00C80564"/>
    <w:rsid w:val="00C92BA5"/>
    <w:rsid w:val="00CA4001"/>
    <w:rsid w:val="00CC564F"/>
    <w:rsid w:val="00CE639E"/>
    <w:rsid w:val="00CF3430"/>
    <w:rsid w:val="00D01BE1"/>
    <w:rsid w:val="00D1276C"/>
    <w:rsid w:val="00D13EE1"/>
    <w:rsid w:val="00D1581F"/>
    <w:rsid w:val="00D16575"/>
    <w:rsid w:val="00D20550"/>
    <w:rsid w:val="00D30E40"/>
    <w:rsid w:val="00D31D7C"/>
    <w:rsid w:val="00D334FF"/>
    <w:rsid w:val="00D3355E"/>
    <w:rsid w:val="00D82D8C"/>
    <w:rsid w:val="00D86D26"/>
    <w:rsid w:val="00DA15A6"/>
    <w:rsid w:val="00DA1A27"/>
    <w:rsid w:val="00DB1BE7"/>
    <w:rsid w:val="00DC5099"/>
    <w:rsid w:val="00DE73C4"/>
    <w:rsid w:val="00DF0EB3"/>
    <w:rsid w:val="00DF3E09"/>
    <w:rsid w:val="00DF50DD"/>
    <w:rsid w:val="00E02816"/>
    <w:rsid w:val="00E04408"/>
    <w:rsid w:val="00E05ACF"/>
    <w:rsid w:val="00E06EB2"/>
    <w:rsid w:val="00E30D5F"/>
    <w:rsid w:val="00E37404"/>
    <w:rsid w:val="00E54B0E"/>
    <w:rsid w:val="00E62065"/>
    <w:rsid w:val="00E62E40"/>
    <w:rsid w:val="00E63BC7"/>
    <w:rsid w:val="00E667B5"/>
    <w:rsid w:val="00E77611"/>
    <w:rsid w:val="00E865FE"/>
    <w:rsid w:val="00E949AC"/>
    <w:rsid w:val="00E96604"/>
    <w:rsid w:val="00EC161B"/>
    <w:rsid w:val="00EC3D57"/>
    <w:rsid w:val="00EC6985"/>
    <w:rsid w:val="00ED5A2C"/>
    <w:rsid w:val="00EE318C"/>
    <w:rsid w:val="00EF1F23"/>
    <w:rsid w:val="00EF2122"/>
    <w:rsid w:val="00F01E3F"/>
    <w:rsid w:val="00F1183A"/>
    <w:rsid w:val="00F205C5"/>
    <w:rsid w:val="00F3164D"/>
    <w:rsid w:val="00F41F80"/>
    <w:rsid w:val="00F575D8"/>
    <w:rsid w:val="00F70CA0"/>
    <w:rsid w:val="00F70D6F"/>
    <w:rsid w:val="00F74FD4"/>
    <w:rsid w:val="00F754E8"/>
    <w:rsid w:val="00F77E0A"/>
    <w:rsid w:val="00F8257D"/>
    <w:rsid w:val="00F9408E"/>
    <w:rsid w:val="00F95BCF"/>
    <w:rsid w:val="00FB26EA"/>
    <w:rsid w:val="00FB72DD"/>
    <w:rsid w:val="00FF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E318C"/>
    <w:pPr>
      <w:keepNext/>
      <w:keepLines/>
      <w:spacing w:after="360"/>
      <w:jc w:val="center"/>
      <w:outlineLvl w:val="0"/>
    </w:pPr>
    <w:rPr>
      <w:b/>
      <w:bCs/>
      <w:sz w:val="25"/>
      <w:szCs w:val="25"/>
    </w:rPr>
  </w:style>
  <w:style w:type="paragraph" w:styleId="Heading2">
    <w:name w:val="heading 2"/>
    <w:basedOn w:val="Normal"/>
    <w:next w:val="Normal"/>
    <w:qFormat/>
    <w:rsid w:val="00EE318C"/>
    <w:pPr>
      <w:keepNext/>
      <w:keepLines/>
      <w:spacing w:after="360"/>
      <w:ind w:left="720" w:hanging="720"/>
      <w:outlineLvl w:val="1"/>
    </w:pPr>
    <w:rPr>
      <w:b/>
    </w:rPr>
  </w:style>
  <w:style w:type="paragraph" w:styleId="Heading3">
    <w:name w:val="heading 3"/>
    <w:basedOn w:val="Normal"/>
    <w:next w:val="Normal"/>
    <w:qFormat/>
    <w:rsid w:val="00EE318C"/>
    <w:pPr>
      <w:keepNext/>
      <w:keepLines/>
      <w:spacing w:line="480" w:lineRule="auto"/>
      <w:ind w:left="1440" w:hanging="720"/>
      <w:outlineLvl w:val="2"/>
    </w:pPr>
    <w:rPr>
      <w:b/>
      <w:bCs/>
      <w:sz w:val="25"/>
      <w:szCs w:val="25"/>
      <w:u w:val="single"/>
    </w:rPr>
  </w:style>
  <w:style w:type="paragraph" w:styleId="Heading4">
    <w:name w:val="heading 4"/>
    <w:basedOn w:val="Normal"/>
    <w:next w:val="Normal"/>
    <w:qFormat/>
    <w:pPr>
      <w:keepNext/>
      <w:numPr>
        <w:ilvl w:val="3"/>
        <w:numId w:val="1"/>
      </w:numPr>
      <w:jc w:val="center"/>
      <w:outlineLvl w:val="3"/>
    </w:pPr>
    <w:rPr>
      <w:rFonts w:ascii="Palatino Linotype" w:hAnsi="Palatino Linotype"/>
      <w:b/>
      <w:bCs/>
      <w:sz w:val="28"/>
    </w:rPr>
  </w:style>
  <w:style w:type="paragraph" w:styleId="Heading7">
    <w:name w:val="heading 7"/>
    <w:basedOn w:val="Normal"/>
    <w:next w:val="Normal"/>
    <w:qFormat/>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i/>
      <w:sz w:val="20"/>
    </w:rPr>
  </w:style>
  <w:style w:type="character" w:customStyle="1" w:styleId="WW8Num1z1">
    <w:name w:val="WW8Num1z1"/>
    <w:rPr>
      <w:rFonts w:ascii="Symbol" w:hAnsi="Symbol"/>
    </w:rPr>
  </w:style>
  <w:style w:type="character" w:customStyle="1" w:styleId="WW8Num2z0">
    <w:name w:val="WW8Num2z0"/>
    <w:rPr>
      <w:rFonts w:ascii="Times New Roman" w:hAnsi="Times New Roman"/>
      <w:b w:val="0"/>
      <w:i/>
      <w:sz w:val="20"/>
    </w:rPr>
  </w:style>
  <w:style w:type="character" w:styleId="PageNumber">
    <w:name w:val="page number"/>
    <w:basedOn w:val="DefaultParagraphFont"/>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otnoteReference">
    <w:name w:val="footnote reference"/>
    <w:semiHidden/>
    <w:rPr>
      <w:vertAlign w:val="superscript"/>
    </w:rPr>
  </w:style>
  <w:style w:type="character" w:customStyle="1" w:styleId="NumberingSymbols">
    <w:name w:val="Numbering Symbols"/>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center"/>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semiHidden/>
    <w:rPr>
      <w:sz w:val="20"/>
      <w:szCs w:val="20"/>
    </w:rPr>
  </w:style>
  <w:style w:type="paragraph" w:styleId="Title">
    <w:name w:val="Title"/>
    <w:basedOn w:val="Normal"/>
    <w:next w:val="Subtitle"/>
    <w:qFormat/>
    <w:pPr>
      <w:widowControl w:val="0"/>
      <w:autoSpaceDE w:val="0"/>
      <w:jc w:val="center"/>
    </w:pPr>
    <w:rPr>
      <w:b/>
      <w:bCs/>
      <w:sz w:val="28"/>
      <w:szCs w:val="32"/>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BodyText2">
    <w:name w:val="Body Text 2"/>
    <w:basedOn w:val="Normal"/>
    <w:rsid w:val="008B1655"/>
    <w:pPr>
      <w:spacing w:after="120" w:line="480" w:lineRule="auto"/>
    </w:pPr>
  </w:style>
  <w:style w:type="character" w:customStyle="1" w:styleId="FooterChar">
    <w:name w:val="Footer Char"/>
    <w:link w:val="Footer"/>
    <w:uiPriority w:val="99"/>
    <w:rsid w:val="00196A44"/>
    <w:rPr>
      <w:sz w:val="24"/>
      <w:szCs w:val="24"/>
      <w:lang w:eastAsia="ar-SA"/>
    </w:rPr>
  </w:style>
  <w:style w:type="paragraph" w:customStyle="1" w:styleId="righthalf">
    <w:name w:val="right half"/>
    <w:basedOn w:val="Normal"/>
    <w:rsid w:val="00041C53"/>
    <w:pPr>
      <w:keepLines/>
      <w:tabs>
        <w:tab w:val="left" w:pos="4860"/>
        <w:tab w:val="right" w:pos="9090"/>
      </w:tabs>
      <w:suppressAutoHyphens w:val="0"/>
      <w:spacing w:before="480" w:line="240" w:lineRule="atLeast"/>
      <w:ind w:left="4320" w:right="187"/>
    </w:pPr>
    <w:rPr>
      <w:szCs w:val="20"/>
      <w:lang w:eastAsia="en-US"/>
    </w:rPr>
  </w:style>
  <w:style w:type="character" w:customStyle="1" w:styleId="FootnoteTextChar">
    <w:name w:val="Footnote Text Char"/>
    <w:link w:val="FootnoteText"/>
    <w:semiHidden/>
    <w:rsid w:val="00145E14"/>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E318C"/>
    <w:pPr>
      <w:keepNext/>
      <w:keepLines/>
      <w:spacing w:after="360"/>
      <w:jc w:val="center"/>
      <w:outlineLvl w:val="0"/>
    </w:pPr>
    <w:rPr>
      <w:b/>
      <w:bCs/>
      <w:sz w:val="25"/>
      <w:szCs w:val="25"/>
    </w:rPr>
  </w:style>
  <w:style w:type="paragraph" w:styleId="Heading2">
    <w:name w:val="heading 2"/>
    <w:basedOn w:val="Normal"/>
    <w:next w:val="Normal"/>
    <w:qFormat/>
    <w:rsid w:val="00EE318C"/>
    <w:pPr>
      <w:keepNext/>
      <w:keepLines/>
      <w:spacing w:after="360"/>
      <w:ind w:left="720" w:hanging="720"/>
      <w:outlineLvl w:val="1"/>
    </w:pPr>
    <w:rPr>
      <w:b/>
    </w:rPr>
  </w:style>
  <w:style w:type="paragraph" w:styleId="Heading3">
    <w:name w:val="heading 3"/>
    <w:basedOn w:val="Normal"/>
    <w:next w:val="Normal"/>
    <w:qFormat/>
    <w:rsid w:val="00EE318C"/>
    <w:pPr>
      <w:keepNext/>
      <w:keepLines/>
      <w:spacing w:line="480" w:lineRule="auto"/>
      <w:ind w:left="1440" w:hanging="720"/>
      <w:outlineLvl w:val="2"/>
    </w:pPr>
    <w:rPr>
      <w:b/>
      <w:bCs/>
      <w:sz w:val="25"/>
      <w:szCs w:val="25"/>
      <w:u w:val="single"/>
    </w:rPr>
  </w:style>
  <w:style w:type="paragraph" w:styleId="Heading4">
    <w:name w:val="heading 4"/>
    <w:basedOn w:val="Normal"/>
    <w:next w:val="Normal"/>
    <w:qFormat/>
    <w:pPr>
      <w:keepNext/>
      <w:numPr>
        <w:ilvl w:val="3"/>
        <w:numId w:val="1"/>
      </w:numPr>
      <w:jc w:val="center"/>
      <w:outlineLvl w:val="3"/>
    </w:pPr>
    <w:rPr>
      <w:rFonts w:ascii="Palatino Linotype" w:hAnsi="Palatino Linotype"/>
      <w:b/>
      <w:bCs/>
      <w:sz w:val="28"/>
    </w:rPr>
  </w:style>
  <w:style w:type="paragraph" w:styleId="Heading7">
    <w:name w:val="heading 7"/>
    <w:basedOn w:val="Normal"/>
    <w:next w:val="Normal"/>
    <w:qFormat/>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i/>
      <w:sz w:val="20"/>
    </w:rPr>
  </w:style>
  <w:style w:type="character" w:customStyle="1" w:styleId="WW8Num1z1">
    <w:name w:val="WW8Num1z1"/>
    <w:rPr>
      <w:rFonts w:ascii="Symbol" w:hAnsi="Symbol"/>
    </w:rPr>
  </w:style>
  <w:style w:type="character" w:customStyle="1" w:styleId="WW8Num2z0">
    <w:name w:val="WW8Num2z0"/>
    <w:rPr>
      <w:rFonts w:ascii="Times New Roman" w:hAnsi="Times New Roman"/>
      <w:b w:val="0"/>
      <w:i/>
      <w:sz w:val="20"/>
    </w:rPr>
  </w:style>
  <w:style w:type="character" w:styleId="PageNumber">
    <w:name w:val="page number"/>
    <w:basedOn w:val="DefaultParagraphFont"/>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otnoteReference">
    <w:name w:val="footnote reference"/>
    <w:semiHidden/>
    <w:rPr>
      <w:vertAlign w:val="superscript"/>
    </w:rPr>
  </w:style>
  <w:style w:type="character" w:customStyle="1" w:styleId="NumberingSymbols">
    <w:name w:val="Numbering Symbols"/>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center"/>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semiHidden/>
    <w:rPr>
      <w:sz w:val="20"/>
      <w:szCs w:val="20"/>
    </w:rPr>
  </w:style>
  <w:style w:type="paragraph" w:styleId="Title">
    <w:name w:val="Title"/>
    <w:basedOn w:val="Normal"/>
    <w:next w:val="Subtitle"/>
    <w:qFormat/>
    <w:pPr>
      <w:widowControl w:val="0"/>
      <w:autoSpaceDE w:val="0"/>
      <w:jc w:val="center"/>
    </w:pPr>
    <w:rPr>
      <w:b/>
      <w:bCs/>
      <w:sz w:val="28"/>
      <w:szCs w:val="32"/>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BodyText2">
    <w:name w:val="Body Text 2"/>
    <w:basedOn w:val="Normal"/>
    <w:rsid w:val="008B1655"/>
    <w:pPr>
      <w:spacing w:after="120" w:line="480" w:lineRule="auto"/>
    </w:pPr>
  </w:style>
  <w:style w:type="character" w:customStyle="1" w:styleId="FooterChar">
    <w:name w:val="Footer Char"/>
    <w:link w:val="Footer"/>
    <w:uiPriority w:val="99"/>
    <w:rsid w:val="00196A44"/>
    <w:rPr>
      <w:sz w:val="24"/>
      <w:szCs w:val="24"/>
      <w:lang w:eastAsia="ar-SA"/>
    </w:rPr>
  </w:style>
  <w:style w:type="paragraph" w:customStyle="1" w:styleId="righthalf">
    <w:name w:val="right half"/>
    <w:basedOn w:val="Normal"/>
    <w:rsid w:val="00041C53"/>
    <w:pPr>
      <w:keepLines/>
      <w:tabs>
        <w:tab w:val="left" w:pos="4860"/>
        <w:tab w:val="right" w:pos="9090"/>
      </w:tabs>
      <w:suppressAutoHyphens w:val="0"/>
      <w:spacing w:before="480" w:line="240" w:lineRule="atLeast"/>
      <w:ind w:left="4320" w:right="187"/>
    </w:pPr>
    <w:rPr>
      <w:szCs w:val="20"/>
      <w:lang w:eastAsia="en-US"/>
    </w:rPr>
  </w:style>
  <w:style w:type="character" w:customStyle="1" w:styleId="FootnoteTextChar">
    <w:name w:val="Footnote Text Char"/>
    <w:link w:val="FootnoteText"/>
    <w:semiHidden/>
    <w:rsid w:val="00145E1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header" Target="header3.xml" />
  <Relationship Id="rId3" Type="http://schemas.openxmlformats.org/officeDocument/2006/relationships/customXml" Target="../customXml/item3.xml" />
  <Relationship Id="rId21" Type="http://schemas.openxmlformats.org/officeDocument/2006/relationships/theme" Target="theme/theme1.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header" Target="header2.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2015-07-31T07:00:00+00:00</OpenedDate>
    <Date1 xmlns="dc463f71-b30c-4ab2-9473-d307f9d35888">2015-08-31T07:00:00+00:00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FAC0598273CB469D5D8A1030DE601D" ma:contentTypeVersion="119" ma:contentTypeDescription="" ma:contentTypeScope="" ma:versionID="864b1414b7194dcd8e31d002353852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72DE-3230-4FFA-A82B-B88A7F83E94A}"/>
</file>

<file path=customXml/itemProps2.xml><?xml version="1.0" encoding="utf-8"?>
<ds:datastoreItem xmlns:ds="http://schemas.openxmlformats.org/officeDocument/2006/customXml" ds:itemID="{519E1605-D427-493F-AABC-F2A13B476A94}"/>
</file>

<file path=customXml/itemProps3.xml><?xml version="1.0" encoding="utf-8"?>
<ds:datastoreItem xmlns:ds="http://schemas.openxmlformats.org/officeDocument/2006/customXml" ds:itemID="{0451FE75-8D6F-4F0B-95FF-F87449FB74B2}"/>
</file>

<file path=customXml/itemProps4.xml><?xml version="1.0" encoding="utf-8"?>
<ds:datastoreItem xmlns:ds="http://schemas.openxmlformats.org/officeDocument/2006/customXml" ds:itemID="{46625301-D5DA-4642-ACC9-51C694DBF925}"/>
</file>

<file path=customXml/itemProps5.xml><?xml version="1.0" encoding="utf-8"?>
<ds:datastoreItem xmlns:ds="http://schemas.openxmlformats.org/officeDocument/2006/customXml" ds:itemID="{B3144A4E-164D-40A4-BD38-30157601191E}"/>
</file>

<file path=customXml/itemProps6.xml><?xml version="1.0" encoding="utf-8"?>
<ds:datastoreItem xmlns:ds="http://schemas.openxmlformats.org/officeDocument/2006/customXml" ds:itemID="{16F76FE9-5B59-41A5-A605-D43BD72723ED}"/>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3</cp:revision>
  <cp:lastPrinted>2015-08-31T18:43:00Z</cp:lastPrinted>
  <dcterms:created xsi:type="dcterms:W3CDTF">2015-08-31T20:05:00Z</dcterms:created>
  <dcterms:modified xsi:type="dcterms:W3CDTF">2015-08-31T20:13:00Z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0FAA7+zFiN7nU6yKj7I2zCHMJluIXanyFsGKImPaiOdML/2rkZTN5vVzX+oiLEJKA5vLGnZmT22ZWg3u
slGj7Xuzt8G9ycoOHSrJk2W4yK9KcDzB7XSNg60KJKKmOTyMDb7LF5VymlK+Ocdm6u965sJBBCZn
yn1ojVouIWMhotolomRcek81n+HpXBbOYdeN0dof4In+FkbJYUGwzZoqMF+/BeBuH/G+nMAdLw9M
5b6a9hcIRc2DJfJsT</vt:lpwstr>
  </property>
  <property fmtid="{D5CDD505-2E9C-101B-9397-08002B2CF9AE}" pid="3" name="MAIL_MSG_ID2">
    <vt:lpwstr>NByJgHcy38s+ao1YGuSHEKvMx1Wq0Jz+DTwhm/Ml8xZ8KlR5okEe7CQ0Qiz
g/i1M25+RnZpyAa331TsjmxJj/aalC3H52cEeqzYmmWbXgz7Rn0CHAylKRY=</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0x0101006E56B4D1795A2E4DB2F0B01679ED314A000DFAC0598273CB469D5D8A1030DE601D</vt:lpwstr>
  </property>
  <property fmtid="{D5CDD505-2E9C-101B-9397-08002B2CF9AE}" pid="7" name="_docset_NoMedatataSyncRequired">
    <vt:lpwstr>False</vt:lpwstr>
  </property>
</Properties>
</file>