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24C76" w14:textId="77777777" w:rsidR="0057374E" w:rsidRPr="00CD3D54" w:rsidRDefault="0057374E" w:rsidP="0057374E">
      <w:pPr>
        <w:pStyle w:val="BodyText"/>
        <w:rPr>
          <w:rFonts w:ascii="Times New Roman" w:hAnsi="Times New Roman" w:cs="Times New Roman"/>
          <w:b/>
          <w:bCs/>
        </w:rPr>
      </w:pPr>
      <w:bookmarkStart w:id="0" w:name="_GoBack"/>
      <w:bookmarkEnd w:id="0"/>
      <w:r w:rsidRPr="00CD3D54">
        <w:rPr>
          <w:rFonts w:ascii="Times New Roman" w:hAnsi="Times New Roman" w:cs="Times New Roman"/>
          <w:b/>
          <w:bCs/>
        </w:rPr>
        <w:t>BEFORE THE WASHINGTON</w:t>
      </w:r>
    </w:p>
    <w:p w14:paraId="3D124C77" w14:textId="77777777" w:rsidR="0057374E" w:rsidRPr="00CD3D54" w:rsidRDefault="0057374E" w:rsidP="0057374E">
      <w:pPr>
        <w:pStyle w:val="BodyText"/>
        <w:rPr>
          <w:rFonts w:ascii="Times New Roman" w:hAnsi="Times New Roman" w:cs="Times New Roman"/>
        </w:rPr>
      </w:pPr>
      <w:r w:rsidRPr="00CD3D54">
        <w:rPr>
          <w:rFonts w:ascii="Times New Roman" w:hAnsi="Times New Roman" w:cs="Times New Roman"/>
          <w:b/>
          <w:bCs/>
        </w:rPr>
        <w:t>UTILITIES AND TRANSPORTATION COMMISSION</w:t>
      </w:r>
    </w:p>
    <w:p w14:paraId="3D124C78" w14:textId="77777777" w:rsidR="0057374E" w:rsidRPr="00CD3D54" w:rsidRDefault="0057374E" w:rsidP="0057374E"/>
    <w:p w14:paraId="3D124C79" w14:textId="77777777" w:rsidR="0057374E" w:rsidRPr="00CD3D54" w:rsidRDefault="0057374E" w:rsidP="0057374E"/>
    <w:tbl>
      <w:tblPr>
        <w:tblW w:w="0" w:type="auto"/>
        <w:tblLook w:val="01E0" w:firstRow="1" w:lastRow="1" w:firstColumn="1" w:lastColumn="1" w:noHBand="0" w:noVBand="0"/>
      </w:tblPr>
      <w:tblGrid>
        <w:gridCol w:w="3944"/>
        <w:gridCol w:w="574"/>
        <w:gridCol w:w="4058"/>
      </w:tblGrid>
      <w:tr w:rsidR="0057374E" w:rsidRPr="00CD3D54" w14:paraId="3D124C88" w14:textId="77777777" w:rsidTr="000268A4">
        <w:trPr>
          <w:trHeight w:val="2673"/>
        </w:trPr>
        <w:tc>
          <w:tcPr>
            <w:tcW w:w="3944" w:type="dxa"/>
          </w:tcPr>
          <w:p w14:paraId="3D124C7A" w14:textId="77777777" w:rsidR="0057374E" w:rsidRPr="00CD3D54" w:rsidRDefault="0057374E" w:rsidP="000268A4">
            <w:pPr>
              <w:widowControl w:val="0"/>
              <w:autoSpaceDE w:val="0"/>
              <w:autoSpaceDN w:val="0"/>
              <w:adjustRightInd w:val="0"/>
              <w:spacing w:line="288" w:lineRule="auto"/>
            </w:pPr>
            <w:r w:rsidRPr="00CD3D54">
              <w:t>In the Matter of</w:t>
            </w:r>
          </w:p>
          <w:p w14:paraId="3D124C7B" w14:textId="77777777" w:rsidR="0057374E" w:rsidRPr="00CD3D54" w:rsidRDefault="0057374E" w:rsidP="000268A4">
            <w:pPr>
              <w:widowControl w:val="0"/>
              <w:autoSpaceDE w:val="0"/>
              <w:autoSpaceDN w:val="0"/>
              <w:adjustRightInd w:val="0"/>
              <w:spacing w:line="288" w:lineRule="auto"/>
            </w:pPr>
          </w:p>
          <w:p w14:paraId="3D124C7C" w14:textId="77777777" w:rsidR="0057374E" w:rsidRPr="00CD3D54" w:rsidRDefault="0057374E" w:rsidP="000268A4">
            <w:pPr>
              <w:widowControl w:val="0"/>
              <w:autoSpaceDE w:val="0"/>
              <w:autoSpaceDN w:val="0"/>
              <w:adjustRightInd w:val="0"/>
              <w:spacing w:line="288" w:lineRule="auto"/>
            </w:pPr>
            <w:r>
              <w:t>PACIFIC POWER &amp; LIGHT COMPANY’S</w:t>
            </w:r>
          </w:p>
          <w:p w14:paraId="3D124C7D" w14:textId="77777777" w:rsidR="0057374E" w:rsidRPr="00CD3D54" w:rsidRDefault="0057374E" w:rsidP="000268A4">
            <w:pPr>
              <w:widowControl w:val="0"/>
              <w:autoSpaceDE w:val="0"/>
              <w:autoSpaceDN w:val="0"/>
              <w:adjustRightInd w:val="0"/>
              <w:spacing w:line="288" w:lineRule="auto"/>
            </w:pPr>
          </w:p>
          <w:p w14:paraId="3D124C7E" w14:textId="77777777" w:rsidR="0057374E" w:rsidRPr="00CD3D54" w:rsidRDefault="0057374E" w:rsidP="000268A4">
            <w:r w:rsidRPr="00CD3D54">
              <w:t>Renewable Energy Target Progress Report under RCW 19.285.070 and WAC 480</w:t>
            </w:r>
            <w:r w:rsidRPr="00CD3D54">
              <w:noBreakHyphen/>
              <w:t>109</w:t>
            </w:r>
            <w:r w:rsidRPr="00CD3D54">
              <w:noBreakHyphen/>
            </w:r>
            <w:r>
              <w:t>210</w:t>
            </w:r>
          </w:p>
          <w:p w14:paraId="3D124C80" w14:textId="77777777" w:rsidR="0057374E" w:rsidRPr="00CD3D54" w:rsidRDefault="0057374E" w:rsidP="000268A4">
            <w:pPr>
              <w:spacing w:line="264" w:lineRule="auto"/>
            </w:pPr>
            <w:r w:rsidRPr="00CD3D54">
              <w:t xml:space="preserve">. . . . . . . . . . . . . . . . . . . . . . . . . . . . . . </w:t>
            </w:r>
          </w:p>
        </w:tc>
        <w:tc>
          <w:tcPr>
            <w:tcW w:w="574" w:type="dxa"/>
          </w:tcPr>
          <w:p w14:paraId="3D124C81" w14:textId="77777777" w:rsidR="0057374E" w:rsidRPr="00CD3D54" w:rsidRDefault="0057374E" w:rsidP="000268A4">
            <w:pPr>
              <w:pStyle w:val="BodyText"/>
              <w:spacing w:line="264" w:lineRule="auto"/>
              <w:rPr>
                <w:rFonts w:ascii="Times New Roman" w:hAnsi="Times New Roman"/>
              </w:rPr>
            </w:pPr>
            <w:r w:rsidRPr="00CD3D54">
              <w:rPr>
                <w:rFonts w:ascii="Times New Roman" w:hAnsi="Times New Roman"/>
              </w:rPr>
              <w:t>)</w:t>
            </w:r>
            <w:r w:rsidRPr="00CD3D54">
              <w:rPr>
                <w:rFonts w:ascii="Times New Roman" w:hAnsi="Times New Roman"/>
              </w:rPr>
              <w:br/>
              <w:t>)</w:t>
            </w:r>
            <w:r w:rsidRPr="00CD3D54">
              <w:rPr>
                <w:rFonts w:ascii="Times New Roman" w:hAnsi="Times New Roman"/>
              </w:rPr>
              <w:br/>
              <w:t>)</w:t>
            </w:r>
            <w:r w:rsidRPr="00CD3D54">
              <w:rPr>
                <w:rFonts w:ascii="Times New Roman" w:hAnsi="Times New Roman"/>
              </w:rPr>
              <w:br/>
              <w:t>)</w:t>
            </w:r>
            <w:r w:rsidRPr="00CD3D54">
              <w:rPr>
                <w:rFonts w:ascii="Times New Roman" w:hAnsi="Times New Roman"/>
              </w:rPr>
              <w:br/>
              <w:t>)</w:t>
            </w:r>
            <w:r w:rsidRPr="00CD3D54">
              <w:rPr>
                <w:rFonts w:ascii="Times New Roman" w:hAnsi="Times New Roman"/>
              </w:rPr>
              <w:br/>
              <w:t>)</w:t>
            </w:r>
            <w:r w:rsidRPr="00CD3D54">
              <w:rPr>
                <w:rFonts w:ascii="Times New Roman" w:hAnsi="Times New Roman"/>
              </w:rPr>
              <w:br/>
              <w:t>)</w:t>
            </w:r>
            <w:r w:rsidRPr="00CD3D54">
              <w:rPr>
                <w:rFonts w:ascii="Times New Roman" w:hAnsi="Times New Roman"/>
              </w:rPr>
              <w:br/>
              <w:t>)</w:t>
            </w:r>
            <w:r w:rsidRPr="00CD3D54">
              <w:rPr>
                <w:rFonts w:ascii="Times New Roman" w:hAnsi="Times New Roman"/>
              </w:rPr>
              <w:br/>
              <w:t>)</w:t>
            </w:r>
          </w:p>
        </w:tc>
        <w:tc>
          <w:tcPr>
            <w:tcW w:w="4058" w:type="dxa"/>
          </w:tcPr>
          <w:p w14:paraId="3D124C82" w14:textId="77777777" w:rsidR="0057374E" w:rsidRPr="00CD3D54" w:rsidRDefault="0057374E" w:rsidP="000268A4">
            <w:pPr>
              <w:widowControl w:val="0"/>
              <w:autoSpaceDE w:val="0"/>
              <w:autoSpaceDN w:val="0"/>
              <w:adjustRightInd w:val="0"/>
              <w:spacing w:line="288" w:lineRule="auto"/>
            </w:pPr>
            <w:r>
              <w:t>DOCKET UE</w:t>
            </w:r>
            <w:r>
              <w:noBreakHyphen/>
              <w:t>151162</w:t>
            </w:r>
          </w:p>
          <w:p w14:paraId="3D124C83" w14:textId="77777777" w:rsidR="0057374E" w:rsidRPr="00CD3D54" w:rsidRDefault="0057374E" w:rsidP="000268A4">
            <w:pPr>
              <w:widowControl w:val="0"/>
              <w:autoSpaceDE w:val="0"/>
              <w:autoSpaceDN w:val="0"/>
              <w:adjustRightInd w:val="0"/>
              <w:spacing w:line="288" w:lineRule="auto"/>
            </w:pPr>
          </w:p>
          <w:p w14:paraId="3D124C84" w14:textId="77777777" w:rsidR="0057374E" w:rsidRPr="00CD3D54" w:rsidRDefault="0057374E" w:rsidP="000268A4">
            <w:pPr>
              <w:widowControl w:val="0"/>
              <w:autoSpaceDE w:val="0"/>
              <w:autoSpaceDN w:val="0"/>
              <w:adjustRightInd w:val="0"/>
              <w:spacing w:line="288" w:lineRule="auto"/>
            </w:pPr>
            <w:r w:rsidRPr="00CD3D54">
              <w:t>ORDER 01</w:t>
            </w:r>
          </w:p>
          <w:p w14:paraId="3D124C85" w14:textId="77777777" w:rsidR="0057374E" w:rsidRPr="00CD3D54" w:rsidRDefault="0057374E" w:rsidP="000268A4">
            <w:pPr>
              <w:widowControl w:val="0"/>
              <w:autoSpaceDE w:val="0"/>
              <w:autoSpaceDN w:val="0"/>
              <w:adjustRightInd w:val="0"/>
              <w:spacing w:line="288" w:lineRule="auto"/>
              <w:ind w:firstLine="418"/>
            </w:pPr>
          </w:p>
          <w:p w14:paraId="3D124C86" w14:textId="77777777" w:rsidR="0057374E" w:rsidRPr="00CD3D54" w:rsidRDefault="0057374E" w:rsidP="000268A4">
            <w:r w:rsidRPr="00CD3D54">
              <w:t>ORDER APPROVING COMPLIANCE WITH ELIGIBLE RENEWABLE ENERGY TARGET REPORTING REQUIREMENTS FOR 2015</w:t>
            </w:r>
          </w:p>
          <w:p w14:paraId="3D124C87" w14:textId="77777777" w:rsidR="0057374E" w:rsidRPr="00CD3D54" w:rsidRDefault="0057374E" w:rsidP="000268A4">
            <w:pPr>
              <w:spacing w:line="264" w:lineRule="auto"/>
            </w:pPr>
          </w:p>
        </w:tc>
      </w:tr>
    </w:tbl>
    <w:p w14:paraId="3D124C89" w14:textId="77777777" w:rsidR="0057374E" w:rsidRPr="00CD3D54" w:rsidRDefault="0057374E" w:rsidP="0057374E">
      <w:pPr>
        <w:spacing w:line="288" w:lineRule="auto"/>
      </w:pPr>
    </w:p>
    <w:p w14:paraId="3D124C8A" w14:textId="77777777" w:rsidR="0057374E" w:rsidRPr="00CD3D54" w:rsidRDefault="0057374E" w:rsidP="0057374E">
      <w:pPr>
        <w:spacing w:after="240" w:line="288" w:lineRule="auto"/>
        <w:jc w:val="center"/>
        <w:rPr>
          <w:b/>
        </w:rPr>
      </w:pPr>
      <w:r w:rsidRPr="00CD3D54">
        <w:rPr>
          <w:b/>
        </w:rPr>
        <w:t>BACKGROUND</w:t>
      </w:r>
    </w:p>
    <w:p w14:paraId="3D124C8B" w14:textId="66B925E7" w:rsidR="0057374E" w:rsidRPr="00CD3D54" w:rsidRDefault="0057374E" w:rsidP="0057374E">
      <w:pPr>
        <w:numPr>
          <w:ilvl w:val="0"/>
          <w:numId w:val="1"/>
        </w:numPr>
        <w:spacing w:after="240" w:line="288" w:lineRule="auto"/>
        <w:ind w:hanging="720"/>
      </w:pPr>
      <w:r w:rsidRPr="00CD3D54">
        <w:t>The Energy Independence Act (EIA or Act)</w:t>
      </w:r>
      <w:r w:rsidRPr="00CD3D54">
        <w:rPr>
          <w:rStyle w:val="FootnoteReference"/>
        </w:rPr>
        <w:footnoteReference w:id="1"/>
      </w:r>
      <w:r w:rsidRPr="00CD3D54">
        <w:t xml:space="preserve"> requires qualifying electric utilities to obtain certain percentages of their electricity from eligible renewable resources. </w:t>
      </w:r>
      <w:r w:rsidR="00323D0C">
        <w:t xml:space="preserve"> </w:t>
      </w:r>
      <w:r w:rsidRPr="00CD3D54">
        <w:t>The Washington Utilities and Transportation Commission (Commission) enforces compliance with the EIA by investor-owned utilities.</w:t>
      </w:r>
      <w:r w:rsidRPr="00CD3D54">
        <w:rPr>
          <w:rStyle w:val="FootnoteReference"/>
        </w:rPr>
        <w:footnoteReference w:id="2"/>
      </w:r>
      <w:r w:rsidRPr="00CD3D54">
        <w:t xml:space="preserve"> </w:t>
      </w:r>
      <w:r w:rsidR="00323D0C">
        <w:t xml:space="preserve"> </w:t>
      </w:r>
      <w:r w:rsidRPr="00CD3D54">
        <w:t xml:space="preserve">Ultimately, the Commission must determine “whether the utility </w:t>
      </w:r>
      <w:r>
        <w:t>has generated, acquired or arranged to acquire enough renewable energy credits or qualifying generation to comply with its renewable resource target</w:t>
      </w:r>
      <w:r w:rsidRPr="00CD3D54">
        <w:t>.”</w:t>
      </w:r>
      <w:r w:rsidRPr="00CD3D54">
        <w:rPr>
          <w:rStyle w:val="FootnoteReference"/>
        </w:rPr>
        <w:footnoteReference w:id="3"/>
      </w:r>
    </w:p>
    <w:p w14:paraId="3D124C8C" w14:textId="299DE71C" w:rsidR="0057374E" w:rsidRPr="00CD3D54" w:rsidRDefault="0057374E" w:rsidP="0057374E">
      <w:pPr>
        <w:numPr>
          <w:ilvl w:val="0"/>
          <w:numId w:val="1"/>
        </w:numPr>
        <w:spacing w:after="240" w:line="288" w:lineRule="auto"/>
        <w:ind w:hanging="720"/>
      </w:pPr>
      <w:r w:rsidRPr="00CD3D54">
        <w:t>The Commission has implemented these requirements by establishing a two-step compliance process.</w:t>
      </w:r>
      <w:r w:rsidRPr="00CD3D54">
        <w:rPr>
          <w:rStyle w:val="FootnoteReference"/>
        </w:rPr>
        <w:footnoteReference w:id="4"/>
      </w:r>
      <w:r w:rsidRPr="00CD3D54">
        <w:t xml:space="preserve"> </w:t>
      </w:r>
      <w:r w:rsidR="00323D0C">
        <w:t xml:space="preserve"> </w:t>
      </w:r>
      <w:r w:rsidRPr="00CD3D54">
        <w:t>Because a utility may comply with its renewable portfolio standards (RPS) obligation by using RECs acquired in the year after the target year, ultimate compliance for 2015, for example, may be demonstrated as late as June 1, 2017.</w:t>
      </w:r>
      <w:r w:rsidR="00323D0C">
        <w:t xml:space="preserve">  </w:t>
      </w:r>
      <w:r w:rsidRPr="00CD3D54">
        <w:t xml:space="preserve">Accordingly, there will be two </w:t>
      </w:r>
      <w:r>
        <w:t>C</w:t>
      </w:r>
      <w:r w:rsidRPr="00CD3D54">
        <w:t xml:space="preserve">ommission decisions for each year’s compliance: </w:t>
      </w:r>
      <w:r w:rsidR="00323D0C">
        <w:t xml:space="preserve"> </w:t>
      </w:r>
      <w:r w:rsidRPr="00CD3D54">
        <w:t>(1) a de</w:t>
      </w:r>
      <w:r>
        <w:t>termination that the C</w:t>
      </w:r>
      <w:r w:rsidRPr="00CD3D54">
        <w:t xml:space="preserve">ompany has enough resources to meet the 3 percent target; and (2) the retrospective compliance decision.  Before the Commission is the initial resource-adequacy filing made by </w:t>
      </w:r>
      <w:r>
        <w:t xml:space="preserve">Pacific Power &amp; Light Company (Pacific Power </w:t>
      </w:r>
      <w:r w:rsidRPr="00CD3D54">
        <w:t xml:space="preserve">or Company) for its 2015 obligation. </w:t>
      </w:r>
      <w:r w:rsidR="00323D0C">
        <w:t xml:space="preserve"> </w:t>
      </w:r>
      <w:r w:rsidRPr="00CD3D54">
        <w:t xml:space="preserve">The Commission will consider </w:t>
      </w:r>
      <w:r>
        <w:t>Pacific Power’</w:t>
      </w:r>
      <w:r w:rsidRPr="00CD3D54">
        <w:t xml:space="preserve">s compliance with its 2015 target when </w:t>
      </w:r>
      <w:r>
        <w:t>Pacific Power</w:t>
      </w:r>
      <w:r w:rsidRPr="00CD3D54">
        <w:t xml:space="preserve"> requests such a finding, which the Company must do through a filing in this docket no later than June 1, 2017.</w:t>
      </w:r>
    </w:p>
    <w:p w14:paraId="3D124C8D" w14:textId="1CA2990B" w:rsidR="0057374E" w:rsidRPr="00CD3D54" w:rsidRDefault="0057374E" w:rsidP="0057374E">
      <w:pPr>
        <w:numPr>
          <w:ilvl w:val="0"/>
          <w:numId w:val="1"/>
        </w:numPr>
        <w:spacing w:after="240" w:line="276" w:lineRule="auto"/>
        <w:ind w:hanging="720"/>
      </w:pPr>
      <w:r w:rsidRPr="00CD3D54">
        <w:lastRenderedPageBreak/>
        <w:t xml:space="preserve">On March 13, 2015, the Commission adopted a new rule for implementation and enforcement of the EIA, which is codified at WAC 480-109. </w:t>
      </w:r>
      <w:r w:rsidR="00323D0C">
        <w:t xml:space="preserve"> </w:t>
      </w:r>
      <w:r w:rsidRPr="00CD3D54">
        <w:t xml:space="preserve">The new rule adopts RPS enforcement practices developed by the Commission since the Act was implemented in 2012 − including the two-step compliance process explained above − and created new reporting requirements. </w:t>
      </w:r>
      <w:r w:rsidR="00323D0C">
        <w:t xml:space="preserve"> </w:t>
      </w:r>
      <w:r w:rsidRPr="00CD3D54">
        <w:t>The rule made the following key changes to the RPS reporting process:</w:t>
      </w:r>
    </w:p>
    <w:p w14:paraId="3D124C8E" w14:textId="77777777" w:rsidR="0057374E" w:rsidRPr="00CD3D54" w:rsidRDefault="0057374E" w:rsidP="0057374E">
      <w:pPr>
        <w:pStyle w:val="ListParagraph"/>
        <w:numPr>
          <w:ilvl w:val="0"/>
          <w:numId w:val="2"/>
        </w:numPr>
        <w:spacing w:line="276" w:lineRule="auto"/>
        <w:rPr>
          <w:rFonts w:ascii="Times New Roman" w:hAnsi="Times New Roman"/>
        </w:rPr>
      </w:pPr>
      <w:r w:rsidRPr="00CD3D54">
        <w:rPr>
          <w:rFonts w:ascii="Times New Roman" w:hAnsi="Times New Roman"/>
        </w:rPr>
        <w:t>Requires registration of all resources used for RPS compliance in WREGIS (WAC 480-109-200(3)).</w:t>
      </w:r>
    </w:p>
    <w:p w14:paraId="3D124C8F" w14:textId="77777777" w:rsidR="0057374E" w:rsidRPr="00CD3D54" w:rsidRDefault="0057374E" w:rsidP="0057374E">
      <w:pPr>
        <w:pStyle w:val="ListParagraph"/>
        <w:numPr>
          <w:ilvl w:val="0"/>
          <w:numId w:val="2"/>
        </w:numPr>
        <w:spacing w:line="276" w:lineRule="auto"/>
        <w:rPr>
          <w:rFonts w:ascii="Times New Roman" w:hAnsi="Times New Roman"/>
        </w:rPr>
      </w:pPr>
      <w:r w:rsidRPr="00CD3D54">
        <w:rPr>
          <w:rFonts w:ascii="Times New Roman" w:hAnsi="Times New Roman"/>
        </w:rPr>
        <w:t>Formally incorporates the three methodologies that the Commission has accepted for calculating which portion of the output of upgraded hydropower facilities is eligible, incremental hydropower for RPS compliance (WAC 480-109-200(7)).</w:t>
      </w:r>
    </w:p>
    <w:p w14:paraId="3D124C90" w14:textId="77777777" w:rsidR="0057374E" w:rsidRPr="00CD3D54" w:rsidRDefault="0057374E" w:rsidP="0057374E">
      <w:pPr>
        <w:pStyle w:val="ListParagraph"/>
        <w:numPr>
          <w:ilvl w:val="0"/>
          <w:numId w:val="2"/>
        </w:numPr>
        <w:spacing w:line="276" w:lineRule="auto"/>
        <w:rPr>
          <w:rFonts w:ascii="Times New Roman" w:hAnsi="Times New Roman"/>
        </w:rPr>
      </w:pPr>
      <w:r w:rsidRPr="00CD3D54">
        <w:rPr>
          <w:rFonts w:ascii="Times New Roman" w:hAnsi="Times New Roman"/>
        </w:rPr>
        <w:t>Requires calculation of the incremental cost of RPS compliance according to the Commission’s approved methodology (WAC 480-109-210(2)(a)).</w:t>
      </w:r>
    </w:p>
    <w:p w14:paraId="3D124C91" w14:textId="77777777" w:rsidR="0057374E" w:rsidRPr="00CD3D54" w:rsidRDefault="0057374E" w:rsidP="0057374E">
      <w:pPr>
        <w:pStyle w:val="ListParagraph"/>
        <w:numPr>
          <w:ilvl w:val="0"/>
          <w:numId w:val="2"/>
        </w:numPr>
        <w:spacing w:line="276" w:lineRule="auto"/>
        <w:rPr>
          <w:rFonts w:ascii="Times New Roman" w:hAnsi="Times New Roman"/>
        </w:rPr>
      </w:pPr>
      <w:r w:rsidRPr="00CD3D54">
        <w:rPr>
          <w:rFonts w:ascii="Times New Roman" w:hAnsi="Times New Roman"/>
        </w:rPr>
        <w:t>Requires utilities that operate in more than one state to explain and document how they determined Washington’s allocation of renewable energy credits (RECs) (WAC 480-109-210(2)(e)).</w:t>
      </w:r>
    </w:p>
    <w:p w14:paraId="3D124C92" w14:textId="77777777" w:rsidR="0057374E" w:rsidRPr="00CD3D54" w:rsidRDefault="0057374E" w:rsidP="0057374E">
      <w:pPr>
        <w:pStyle w:val="ListParagraph"/>
        <w:numPr>
          <w:ilvl w:val="0"/>
          <w:numId w:val="2"/>
        </w:numPr>
        <w:spacing w:line="276" w:lineRule="auto"/>
        <w:rPr>
          <w:rFonts w:ascii="Times New Roman" w:hAnsi="Times New Roman"/>
        </w:rPr>
      </w:pPr>
      <w:r w:rsidRPr="00CD3D54">
        <w:rPr>
          <w:rFonts w:ascii="Times New Roman" w:hAnsi="Times New Roman"/>
        </w:rPr>
        <w:t>Requires utilities that sell RECs to report the amount and proceeds of those sales (WAC 480-109-210(2)(f)</w:t>
      </w:r>
      <w:r>
        <w:rPr>
          <w:rFonts w:ascii="Times New Roman" w:hAnsi="Times New Roman"/>
        </w:rPr>
        <w:t>)</w:t>
      </w:r>
      <w:r w:rsidRPr="00CD3D54">
        <w:t>.</w:t>
      </w:r>
      <w:r w:rsidRPr="00CD3D54">
        <w:br/>
      </w:r>
    </w:p>
    <w:p w14:paraId="3D124C93" w14:textId="4FD6B1AD" w:rsidR="0057374E" w:rsidRDefault="0057374E" w:rsidP="00037AE5">
      <w:pPr>
        <w:numPr>
          <w:ilvl w:val="0"/>
          <w:numId w:val="1"/>
        </w:numPr>
        <w:spacing w:after="240" w:line="288" w:lineRule="auto"/>
        <w:ind w:hanging="720"/>
      </w:pPr>
      <w:r w:rsidRPr="00CD3D54">
        <w:t xml:space="preserve">On June 1, 2015, </w:t>
      </w:r>
      <w:r>
        <w:t>Pacific Power</w:t>
      </w:r>
      <w:r w:rsidRPr="00CD3D54">
        <w:t xml:space="preserve"> filed with the Commission a compliance report under RCW 19.285.070 and WAC 480</w:t>
      </w:r>
      <w:r w:rsidRPr="00CD3D54">
        <w:noBreakHyphen/>
        <w:t>109</w:t>
      </w:r>
      <w:r w:rsidRPr="00CD3D54">
        <w:noBreakHyphen/>
      </w:r>
      <w:r>
        <w:t>210</w:t>
      </w:r>
      <w:r w:rsidRPr="00CD3D54">
        <w:t xml:space="preserve"> (RPS Report). </w:t>
      </w:r>
      <w:r w:rsidR="00BE5393">
        <w:t xml:space="preserve">At the request of Commission </w:t>
      </w:r>
      <w:r w:rsidR="00323D0C">
        <w:t>S</w:t>
      </w:r>
      <w:r w:rsidR="00BE5393">
        <w:t>taff (Staff), the Company filed replacement pages on July 10, 2015, to clarify the company’s process for allocating renewable energy generation to Washington</w:t>
      </w:r>
      <w:r w:rsidR="00D609F9">
        <w:t>, as required by WAC 480-109-210(2)(e)</w:t>
      </w:r>
      <w:r w:rsidR="00BE5393">
        <w:t xml:space="preserve">. </w:t>
      </w:r>
      <w:r w:rsidR="00323D0C">
        <w:t xml:space="preserve"> </w:t>
      </w:r>
      <w:r w:rsidR="00BE5393">
        <w:t>Staff’s memo for the July 30, 20</w:t>
      </w:r>
      <w:r w:rsidR="00051826">
        <w:t xml:space="preserve">15, Open Meeting stated that the Company’s replacement pages failed to fully explain the allocation process, and requested that the Commission grant Staff and the Company additional time to further refine the allocation language and ensure that Pacific Power’s report accurately represented Washington’s allocation of renewable generation. </w:t>
      </w:r>
      <w:r w:rsidR="00323D0C">
        <w:t xml:space="preserve"> </w:t>
      </w:r>
      <w:r w:rsidR="00051826">
        <w:t>The Commission granted this request.</w:t>
      </w:r>
    </w:p>
    <w:p w14:paraId="3D124C94" w14:textId="77777777" w:rsidR="0057374E" w:rsidRDefault="00051826" w:rsidP="00037AE5">
      <w:pPr>
        <w:numPr>
          <w:ilvl w:val="0"/>
          <w:numId w:val="1"/>
        </w:numPr>
        <w:spacing w:after="240" w:line="288" w:lineRule="auto"/>
        <w:ind w:hanging="720"/>
      </w:pPr>
      <w:r>
        <w:t xml:space="preserve">Pacific Power filed a replacement report on August 14, 2015, that </w:t>
      </w:r>
      <w:r w:rsidR="00F03FA5">
        <w:t>further clarified the allocation process and updated the company’</w:t>
      </w:r>
      <w:r w:rsidR="00D609F9">
        <w:t>s reporting tool to accurately reflect Washington’s share of the company’s renewable generation.</w:t>
      </w:r>
    </w:p>
    <w:p w14:paraId="3D124C95" w14:textId="37179813" w:rsidR="007506CA" w:rsidRPr="00CD3D54" w:rsidRDefault="009F5B19" w:rsidP="007506CA">
      <w:pPr>
        <w:numPr>
          <w:ilvl w:val="0"/>
          <w:numId w:val="1"/>
        </w:numPr>
        <w:spacing w:after="240" w:line="288" w:lineRule="auto"/>
        <w:ind w:hanging="720"/>
      </w:pPr>
      <w:r>
        <w:t xml:space="preserve">Due to the different allocation methods employed by the states in which Pacific Power operates, the Company has insufficient renewable resources in its west balancing area to meet every state’s allocation entitlement. </w:t>
      </w:r>
      <w:r w:rsidR="00323D0C">
        <w:t xml:space="preserve"> </w:t>
      </w:r>
      <w:r>
        <w:t xml:space="preserve">To provide Washington ratepayers with their full allocation of renewable generation, the company provides additional </w:t>
      </w:r>
      <w:r w:rsidR="002909DE">
        <w:t>RECs</w:t>
      </w:r>
      <w:r>
        <w:t xml:space="preserve"> from </w:t>
      </w:r>
      <w:r>
        <w:lastRenderedPageBreak/>
        <w:t>other resources at its discretion.</w:t>
      </w:r>
      <w:r w:rsidR="00323D0C">
        <w:t xml:space="preserve"> </w:t>
      </w:r>
      <w:r>
        <w:t xml:space="preserve"> Previously, Pacific Power shareholders purchased additional RECs </w:t>
      </w:r>
      <w:r w:rsidR="007506CA">
        <w:t xml:space="preserve">to meet the Company’s Washington obligation. </w:t>
      </w:r>
      <w:r w:rsidR="00323D0C">
        <w:t xml:space="preserve"> </w:t>
      </w:r>
      <w:r w:rsidR="007506CA">
        <w:t xml:space="preserve">Recent amendments to the EIA allow a utility to use resources in other states in which it operates for Washington’s RPS; Pacific Power proposes to use </w:t>
      </w:r>
      <w:r w:rsidR="00323D0C">
        <w:t>C</w:t>
      </w:r>
      <w:r w:rsidR="002909DE">
        <w:t xml:space="preserve">ompany </w:t>
      </w:r>
      <w:r w:rsidR="007506CA">
        <w:t xml:space="preserve">resources located in Idaho and Wyoming to provide Washington ratepayers with </w:t>
      </w:r>
      <w:r w:rsidR="002909DE">
        <w:t>their full allocation</w:t>
      </w:r>
      <w:r w:rsidR="007506CA">
        <w:t>.</w:t>
      </w:r>
      <w:r w:rsidR="00F071A2">
        <w:t xml:space="preserve"> </w:t>
      </w:r>
      <w:r w:rsidR="00323D0C">
        <w:t xml:space="preserve"> </w:t>
      </w:r>
      <w:r w:rsidR="00F071A2">
        <w:t>Staff recommends that the Com</w:t>
      </w:r>
      <w:r w:rsidR="002435F3">
        <w:t>mission find that the Idaho- and Wyoming-based resources identified in the Company’s report are eligible renewable resources pursuant to RCW 19.285.030(12)(e).</w:t>
      </w:r>
    </w:p>
    <w:p w14:paraId="3D124C96" w14:textId="48D52644" w:rsidR="0057374E" w:rsidRPr="00CD3D54" w:rsidRDefault="00741B22" w:rsidP="0057374E">
      <w:pPr>
        <w:numPr>
          <w:ilvl w:val="0"/>
          <w:numId w:val="1"/>
        </w:numPr>
        <w:spacing w:after="240" w:line="288" w:lineRule="auto"/>
        <w:ind w:hanging="720"/>
      </w:pPr>
      <w:r>
        <w:t>Pacific Power</w:t>
      </w:r>
      <w:r w:rsidR="0057374E" w:rsidRPr="00CD3D54">
        <w:t>’s RPS Report</w:t>
      </w:r>
      <w:r>
        <w:t xml:space="preserve"> and subsequent replacement pages</w:t>
      </w:r>
      <w:r w:rsidR="0057374E" w:rsidRPr="00CD3D54">
        <w:t xml:space="preserve"> included all items required by WAC 480</w:t>
      </w:r>
      <w:r w:rsidR="0057374E" w:rsidRPr="00CD3D54">
        <w:noBreakHyphen/>
        <w:t>109</w:t>
      </w:r>
      <w:r w:rsidR="0057374E" w:rsidRPr="00CD3D54">
        <w:noBreakHyphen/>
      </w:r>
      <w:r w:rsidR="0057374E">
        <w:t>210</w:t>
      </w:r>
      <w:r w:rsidR="0057374E" w:rsidRPr="00CD3D54">
        <w:t xml:space="preserve"> and RCW 19.285.070(1).</w:t>
      </w:r>
      <w:r w:rsidR="00323D0C">
        <w:t xml:space="preserve"> </w:t>
      </w:r>
      <w:r w:rsidR="0057374E" w:rsidRPr="00CD3D54">
        <w:t xml:space="preserve"> P</w:t>
      </w:r>
      <w:r>
        <w:t>acific Power</w:t>
      </w:r>
      <w:r w:rsidR="0057374E" w:rsidRPr="00CD3D54">
        <w:t xml:space="preserve"> reported an average load in 2013 and 2014 of </w:t>
      </w:r>
      <w:r>
        <w:t>4,105,467</w:t>
      </w:r>
      <w:r w:rsidR="0057374E" w:rsidRPr="00CD3D54">
        <w:t xml:space="preserve"> MWh, yielding a 2015 target of </w:t>
      </w:r>
      <w:r>
        <w:t>123,155</w:t>
      </w:r>
      <w:r w:rsidR="0057374E" w:rsidRPr="00CD3D54">
        <w:t xml:space="preserve"> MWh. </w:t>
      </w:r>
      <w:r w:rsidR="00893843">
        <w:t>The RPS Report includes additional renewable resources over previous reports, specifically: Wolverine Creek, Top of the World, Dunlap I, Campbell Hills/Three Buttes, Glenrock I, Rolling Hills, and Seven Mile Hill.</w:t>
      </w:r>
    </w:p>
    <w:p w14:paraId="3D124C97" w14:textId="77777777" w:rsidR="0057374E" w:rsidRPr="00CD3D54" w:rsidRDefault="0057374E" w:rsidP="0057374E">
      <w:pPr>
        <w:numPr>
          <w:ilvl w:val="0"/>
          <w:numId w:val="1"/>
        </w:numPr>
        <w:spacing w:after="240" w:line="288" w:lineRule="auto"/>
        <w:ind w:hanging="720"/>
      </w:pPr>
      <w:r w:rsidRPr="00CD3D54">
        <w:t>The Company seeks an order from the Commission confirming that P</w:t>
      </w:r>
      <w:r w:rsidR="00741B22">
        <w:t>acific Power</w:t>
      </w:r>
      <w:r w:rsidRPr="00CD3D54">
        <w:t xml:space="preserve"> has complied with the Commission’s EIA reporting requirements and accepting the Company’s calculations and eligibility of the renewable resources identified in the RPS Report for 2015.</w:t>
      </w:r>
    </w:p>
    <w:p w14:paraId="3D124C98" w14:textId="343D2936" w:rsidR="0057374E" w:rsidRPr="00CD3D54" w:rsidRDefault="0057374E" w:rsidP="0057374E">
      <w:pPr>
        <w:numPr>
          <w:ilvl w:val="0"/>
          <w:numId w:val="1"/>
        </w:numPr>
        <w:spacing w:after="240" w:line="288" w:lineRule="auto"/>
        <w:ind w:hanging="720"/>
      </w:pPr>
      <w:r w:rsidRPr="00CD3D54">
        <w:t>On June 4, 2015, the Commission issued a Notice inviting interested persons to file written comments on P</w:t>
      </w:r>
      <w:r w:rsidR="00741B22">
        <w:t>acific Power</w:t>
      </w:r>
      <w:r w:rsidRPr="00CD3D54">
        <w:t>’s Initial RPS Report.  During the comment period, the Commission received written comments from Commission Staff</w:t>
      </w:r>
      <w:r w:rsidR="00741B22">
        <w:t>, Boise White Paper (Boise),</w:t>
      </w:r>
      <w:r w:rsidRPr="00CD3D54">
        <w:t xml:space="preserve"> and joint written comments from Renewable Northwest and NW Energy Coalition (RNW/NWEC).</w:t>
      </w:r>
      <w:r w:rsidR="00323D0C">
        <w:t xml:space="preserve"> </w:t>
      </w:r>
      <w:r w:rsidRPr="00CD3D54">
        <w:t xml:space="preserve"> </w:t>
      </w:r>
      <w:r w:rsidR="00741B22">
        <w:t xml:space="preserve">Boise expressed support for the Company’s incremental cost calculation, particularly the Company’s assumption that its incremental hydropower facilities have an incremental cost of zero. </w:t>
      </w:r>
      <w:r w:rsidR="00323D0C">
        <w:t xml:space="preserve"> </w:t>
      </w:r>
      <w:r w:rsidRPr="00CD3D54">
        <w:t>RNW/NWEC praised P</w:t>
      </w:r>
      <w:r w:rsidR="00741B22">
        <w:t>acific Power</w:t>
      </w:r>
      <w:r w:rsidRPr="00CD3D54">
        <w:t xml:space="preserve"> </w:t>
      </w:r>
      <w:r w:rsidR="00741B22">
        <w:t>for</w:t>
      </w:r>
      <w:r w:rsidRPr="00CD3D54">
        <w:t xml:space="preserve"> meeting the target rather than relying on an alternative compliance method</w:t>
      </w:r>
      <w:r w:rsidR="00F071A2">
        <w:t xml:space="preserve">, and argued that </w:t>
      </w:r>
      <w:r w:rsidR="00893843">
        <w:t xml:space="preserve">when </w:t>
      </w:r>
      <w:r w:rsidR="00F071A2">
        <w:t>the Company uses an eligible resource that is cheaper than the non-eligible resource, it should calculate a negative incremental cost, rather than deeming an incremental cost of zero as the Company did</w:t>
      </w:r>
      <w:r w:rsidRPr="00CD3D54">
        <w:t xml:space="preserve">. </w:t>
      </w:r>
    </w:p>
    <w:p w14:paraId="3D124C99" w14:textId="77777777" w:rsidR="0057374E" w:rsidRPr="00CD3D54" w:rsidRDefault="00F071A2" w:rsidP="0057374E">
      <w:pPr>
        <w:numPr>
          <w:ilvl w:val="0"/>
          <w:numId w:val="1"/>
        </w:numPr>
        <w:spacing w:after="240" w:line="288" w:lineRule="auto"/>
        <w:ind w:hanging="720"/>
      </w:pPr>
      <w:r>
        <w:t>Staff believes that Pacific Power</w:t>
      </w:r>
      <w:r w:rsidR="0057374E" w:rsidRPr="00CD3D54">
        <w:t xml:space="preserve"> correctly calculated its target for supplying 3 percent of its retail load in 2015 with renewable resources, and that the Company has acquired sufficient resources to meet that target.  </w:t>
      </w:r>
    </w:p>
    <w:p w14:paraId="3D124C9A" w14:textId="04FEC7BE" w:rsidR="0057374E" w:rsidRPr="00CD3D54" w:rsidRDefault="0057374E" w:rsidP="0057374E">
      <w:pPr>
        <w:numPr>
          <w:ilvl w:val="0"/>
          <w:numId w:val="1"/>
        </w:numPr>
        <w:spacing w:after="240" w:line="288" w:lineRule="auto"/>
        <w:ind w:hanging="720"/>
      </w:pPr>
      <w:r w:rsidRPr="00CD3D54">
        <w:t xml:space="preserve">Staff recommends that the Commission issue an order in this docket determining: (1) The 2015 renewable energy target for </w:t>
      </w:r>
      <w:r w:rsidR="00F071A2">
        <w:t>Pacific Power</w:t>
      </w:r>
      <w:r w:rsidRPr="00CD3D54">
        <w:t xml:space="preserve"> is </w:t>
      </w:r>
      <w:r w:rsidR="00F071A2">
        <w:t>123,155</w:t>
      </w:r>
      <w:r w:rsidRPr="00CD3D54">
        <w:t xml:space="preserve"> megawatt-hours; (2) P</w:t>
      </w:r>
      <w:r w:rsidR="00F071A2">
        <w:t>acific Power</w:t>
      </w:r>
      <w:r w:rsidRPr="00CD3D54">
        <w:t xml:space="preserve"> has complied with the June 1, 2015, reporting requirements, and these reporting </w:t>
      </w:r>
      <w:r w:rsidRPr="00CD3D54">
        <w:lastRenderedPageBreak/>
        <w:t xml:space="preserve">requirements include </w:t>
      </w:r>
      <w:r w:rsidR="00F071A2">
        <w:t>Pacific Power’s</w:t>
      </w:r>
      <w:r w:rsidRPr="00CD3D54">
        <w:t xml:space="preserve"> plan for meeting its RPS obligation in 2015; </w:t>
      </w:r>
      <w:r w:rsidR="00323D0C">
        <w:t xml:space="preserve">       </w:t>
      </w:r>
      <w:r w:rsidRPr="00CD3D54">
        <w:t xml:space="preserve">(3) </w:t>
      </w:r>
      <w:r w:rsidR="00F071A2">
        <w:t xml:space="preserve">Pacific </w:t>
      </w:r>
      <w:r w:rsidR="002909DE">
        <w:t xml:space="preserve">Power has </w:t>
      </w:r>
      <w:r w:rsidR="002909DE" w:rsidRPr="00525321">
        <w:t xml:space="preserve">demonstrated that, by January 1, 2015, </w:t>
      </w:r>
      <w:r w:rsidR="002909DE">
        <w:t xml:space="preserve">Pacific Power acquired </w:t>
      </w:r>
      <w:r w:rsidR="00F071A2">
        <w:t>123,155</w:t>
      </w:r>
      <w:r w:rsidRPr="00CD3D54">
        <w:t xml:space="preserve"> megawatt-hours of eligible renewable resources for its use in 2015; (4) P</w:t>
      </w:r>
      <w:r w:rsidR="00F071A2">
        <w:t>acific Power</w:t>
      </w:r>
      <w:r w:rsidRPr="00CD3D54">
        <w:t xml:space="preserve"> must file a second report in this docket no later than June 1, 2017, that lists the certificate numbers in WREGIS for every megawatt-hour and renewable energy credit that </w:t>
      </w:r>
      <w:r w:rsidR="002435F3">
        <w:t>Pacific Power</w:t>
      </w:r>
      <w:r w:rsidRPr="00CD3D54">
        <w:t xml:space="preserve"> retired to meet the January 1, 2015, target.  </w:t>
      </w:r>
    </w:p>
    <w:p w14:paraId="3D124C9B" w14:textId="77777777" w:rsidR="0057374E" w:rsidRPr="00CD3D54" w:rsidRDefault="0057374E" w:rsidP="0057374E">
      <w:pPr>
        <w:spacing w:after="240" w:line="288" w:lineRule="auto"/>
        <w:jc w:val="center"/>
        <w:rPr>
          <w:b/>
        </w:rPr>
      </w:pPr>
      <w:r w:rsidRPr="00CD3D54">
        <w:rPr>
          <w:b/>
        </w:rPr>
        <w:t>DISCUSSION</w:t>
      </w:r>
    </w:p>
    <w:p w14:paraId="3D124C9C" w14:textId="3D417181" w:rsidR="0057374E" w:rsidRPr="00CD3D54" w:rsidRDefault="0057374E" w:rsidP="0057374E">
      <w:pPr>
        <w:numPr>
          <w:ilvl w:val="0"/>
          <w:numId w:val="1"/>
        </w:numPr>
        <w:spacing w:after="240" w:line="288" w:lineRule="auto"/>
        <w:ind w:hanging="720"/>
      </w:pPr>
      <w:r w:rsidRPr="00CD3D54">
        <w:t>The Commission accepts P</w:t>
      </w:r>
      <w:r w:rsidR="00F071A2">
        <w:t>acific Power</w:t>
      </w:r>
      <w:r w:rsidRPr="00CD3D54">
        <w:t xml:space="preserve">’s calculation of </w:t>
      </w:r>
      <w:r w:rsidR="00F071A2">
        <w:t>123,155</w:t>
      </w:r>
      <w:r w:rsidRPr="00CD3D54">
        <w:t xml:space="preserve"> megawatt-hours as the Company’s renewable energy target for 2015 and determines that P</w:t>
      </w:r>
      <w:r w:rsidR="00F071A2">
        <w:t>acific Power</w:t>
      </w:r>
      <w:r w:rsidRPr="00CD3D54">
        <w:t xml:space="preserve"> has identified sufficient resources to be able to meet that target. </w:t>
      </w:r>
      <w:r w:rsidR="00323D0C">
        <w:t xml:space="preserve"> </w:t>
      </w:r>
      <w:r w:rsidRPr="00CD3D54">
        <w:t xml:space="preserve">The Commission will make its final determination </w:t>
      </w:r>
      <w:r>
        <w:t>about</w:t>
      </w:r>
      <w:r w:rsidRPr="00CD3D54">
        <w:t xml:space="preserve"> whether P</w:t>
      </w:r>
      <w:r w:rsidR="00F071A2">
        <w:t>acific Power</w:t>
      </w:r>
      <w:r w:rsidRPr="00CD3D54">
        <w:t xml:space="preserve"> has met its 2015 target when the Company requests such a finding, which </w:t>
      </w:r>
      <w:r w:rsidR="00F071A2">
        <w:t>Pacific Power</w:t>
      </w:r>
      <w:r w:rsidRPr="00CD3D54">
        <w:t xml:space="preserve"> must make in this docket no later than June 1, 2017.</w:t>
      </w:r>
    </w:p>
    <w:p w14:paraId="3D124C9D" w14:textId="77777777" w:rsidR="0057374E" w:rsidRPr="00CD3D54" w:rsidRDefault="0057374E" w:rsidP="0057374E">
      <w:pPr>
        <w:spacing w:after="240" w:line="288" w:lineRule="auto"/>
        <w:jc w:val="center"/>
        <w:rPr>
          <w:b/>
        </w:rPr>
      </w:pPr>
      <w:r w:rsidRPr="00CD3D54">
        <w:rPr>
          <w:b/>
        </w:rPr>
        <w:t>FINDINGS AND CONCLUSIONS</w:t>
      </w:r>
    </w:p>
    <w:p w14:paraId="3D124C9E" w14:textId="77777777" w:rsidR="0057374E" w:rsidRPr="00CD3D54" w:rsidRDefault="0057374E" w:rsidP="0057374E">
      <w:pPr>
        <w:numPr>
          <w:ilvl w:val="0"/>
          <w:numId w:val="1"/>
        </w:numPr>
        <w:spacing w:after="240" w:line="288" w:lineRule="auto"/>
        <w:ind w:left="720" w:hanging="1440"/>
      </w:pPr>
      <w:r w:rsidRPr="00CD3D54">
        <w:t>(1)</w:t>
      </w:r>
      <w:r w:rsidRPr="00CD3D54">
        <w:tab/>
        <w:t xml:space="preserve">The Washington Utilities and Transportation Commission is an agency of the state of Washington vested by statute with the authority to regulate the rates, regulations, practices, and accounts of public service companies, including electric companies.  </w:t>
      </w:r>
    </w:p>
    <w:p w14:paraId="3D124C9F" w14:textId="77777777" w:rsidR="0057374E" w:rsidRPr="00CD3D54" w:rsidRDefault="0057374E" w:rsidP="0057374E">
      <w:pPr>
        <w:numPr>
          <w:ilvl w:val="0"/>
          <w:numId w:val="1"/>
        </w:numPr>
        <w:spacing w:after="240" w:line="288" w:lineRule="auto"/>
        <w:ind w:left="720" w:hanging="1440"/>
      </w:pPr>
      <w:r w:rsidRPr="00CD3D54">
        <w:t>(2)</w:t>
      </w:r>
      <w:r w:rsidRPr="00CD3D54">
        <w:tab/>
      </w:r>
      <w:r w:rsidR="00F071A2">
        <w:t>Pacific Power</w:t>
      </w:r>
      <w:r w:rsidRPr="00CD3D54">
        <w:t xml:space="preserve"> is an electric company and a public service company subject to Commission jurisdiction.</w:t>
      </w:r>
    </w:p>
    <w:p w14:paraId="3D124CA0" w14:textId="77777777" w:rsidR="0057374E" w:rsidRPr="00CD3D54" w:rsidRDefault="0057374E" w:rsidP="0057374E">
      <w:pPr>
        <w:numPr>
          <w:ilvl w:val="0"/>
          <w:numId w:val="1"/>
        </w:numPr>
        <w:spacing w:after="240" w:line="288" w:lineRule="auto"/>
        <w:ind w:left="720" w:hanging="1440"/>
      </w:pPr>
      <w:r w:rsidRPr="00CD3D54">
        <w:t>(3)</w:t>
      </w:r>
      <w:r w:rsidRPr="00CD3D54">
        <w:tab/>
      </w:r>
      <w:r w:rsidR="00F071A2">
        <w:t xml:space="preserve">Pacific Power </w:t>
      </w:r>
      <w:r w:rsidRPr="00CD3D54">
        <w:t>serves more than 25,000 customers within the State of Washington and is a “qualifying utility” within the meaning of RCW 19.285.030(18).</w:t>
      </w:r>
    </w:p>
    <w:p w14:paraId="3D124CA1" w14:textId="77777777" w:rsidR="0057374E" w:rsidRDefault="0057374E" w:rsidP="0057374E">
      <w:pPr>
        <w:numPr>
          <w:ilvl w:val="0"/>
          <w:numId w:val="1"/>
        </w:numPr>
        <w:spacing w:after="240" w:line="288" w:lineRule="auto"/>
        <w:ind w:left="720" w:hanging="1440"/>
      </w:pPr>
      <w:r w:rsidRPr="00CD3D54">
        <w:t>(4)</w:t>
      </w:r>
      <w:r w:rsidRPr="00CD3D54">
        <w:tab/>
      </w:r>
      <w:r w:rsidR="00F071A2">
        <w:t xml:space="preserve">Pacific Power </w:t>
      </w:r>
      <w:r w:rsidRPr="00CD3D54">
        <w:t>has properly calculated its renewable energy target for 2015</w:t>
      </w:r>
      <w:r w:rsidR="00F071A2">
        <w:t xml:space="preserve"> to be 123,155 </w:t>
      </w:r>
      <w:r w:rsidRPr="00CD3D54">
        <w:t>megawatt-hours.</w:t>
      </w:r>
    </w:p>
    <w:p w14:paraId="3D124CA2" w14:textId="12AC4585" w:rsidR="002435F3" w:rsidRPr="00CD3D54" w:rsidRDefault="002435F3" w:rsidP="002435F3">
      <w:pPr>
        <w:numPr>
          <w:ilvl w:val="0"/>
          <w:numId w:val="1"/>
        </w:numPr>
        <w:spacing w:after="240" w:line="288" w:lineRule="auto"/>
        <w:ind w:left="720" w:hanging="1440"/>
      </w:pPr>
      <w:r>
        <w:t>(5)</w:t>
      </w:r>
      <w:r>
        <w:tab/>
        <w:t xml:space="preserve">Wolverine Creek, Top of the World, Dunlap I, Campbell Hills/Three Buttes, Glenrock I, Rolling Hills, and Seven Mile Hill are renewable resources built after March 1, 1999; are located in a state in which Pacific Power serves retail customers; and are owned by Pacific Power or sell their output to the Company under a long-term contract. </w:t>
      </w:r>
      <w:r w:rsidR="00323D0C">
        <w:t xml:space="preserve"> </w:t>
      </w:r>
      <w:r>
        <w:t>These are therefore eligible renewable resources under RCW 19.285.030(12)(e).</w:t>
      </w:r>
    </w:p>
    <w:p w14:paraId="3D124CA3" w14:textId="247780E1" w:rsidR="0057374E" w:rsidRPr="00CD3D54" w:rsidRDefault="0057374E" w:rsidP="0057374E">
      <w:pPr>
        <w:numPr>
          <w:ilvl w:val="0"/>
          <w:numId w:val="1"/>
        </w:numPr>
        <w:spacing w:after="240" w:line="288" w:lineRule="auto"/>
        <w:ind w:left="720" w:hanging="1440"/>
      </w:pPr>
      <w:r w:rsidRPr="00CD3D54">
        <w:t>(</w:t>
      </w:r>
      <w:r w:rsidR="002435F3">
        <w:t>6</w:t>
      </w:r>
      <w:r w:rsidRPr="00CD3D54">
        <w:t>)</w:t>
      </w:r>
      <w:r w:rsidRPr="00CD3D54">
        <w:tab/>
        <w:t xml:space="preserve">By January 1, 2015, </w:t>
      </w:r>
      <w:r w:rsidR="00F071A2">
        <w:t>Pacific Power</w:t>
      </w:r>
      <w:r w:rsidRPr="00CD3D54">
        <w:t xml:space="preserve"> had acquired sufficient eligible renewable resources to supply at least </w:t>
      </w:r>
      <w:r w:rsidR="00323D0C">
        <w:t>3</w:t>
      </w:r>
      <w:r w:rsidRPr="00CD3D54">
        <w:t xml:space="preserve"> percent of its load for the remainder of 2015.</w:t>
      </w:r>
    </w:p>
    <w:p w14:paraId="3D124CA4" w14:textId="179810AE" w:rsidR="0057374E" w:rsidRPr="00CD3D54" w:rsidRDefault="0057374E" w:rsidP="0057374E">
      <w:pPr>
        <w:numPr>
          <w:ilvl w:val="0"/>
          <w:numId w:val="1"/>
        </w:numPr>
        <w:spacing w:after="240" w:line="288" w:lineRule="auto"/>
        <w:ind w:left="720" w:hanging="1440"/>
      </w:pPr>
      <w:r w:rsidRPr="00CD3D54">
        <w:lastRenderedPageBreak/>
        <w:t>(</w:t>
      </w:r>
      <w:r w:rsidR="002435F3">
        <w:t>7</w:t>
      </w:r>
      <w:r w:rsidRPr="00CD3D54">
        <w:t>)</w:t>
      </w:r>
      <w:r w:rsidRPr="00CD3D54">
        <w:tab/>
      </w:r>
      <w:r w:rsidR="00F071A2">
        <w:t>Pacific Power</w:t>
      </w:r>
      <w:r w:rsidRPr="00CD3D54">
        <w:t xml:space="preserve"> has met the reporting requirements of RCW 19.285.070 and WAC 480</w:t>
      </w:r>
      <w:r w:rsidRPr="00CD3D54">
        <w:noBreakHyphen/>
        <w:t>109</w:t>
      </w:r>
      <w:r w:rsidRPr="00CD3D54">
        <w:noBreakHyphen/>
      </w:r>
      <w:r>
        <w:t>210</w:t>
      </w:r>
      <w:r w:rsidRPr="00CD3D54">
        <w:t xml:space="preserve">. </w:t>
      </w:r>
      <w:r w:rsidR="00323D0C">
        <w:t xml:space="preserve"> </w:t>
      </w:r>
      <w:r w:rsidRPr="00CD3D54">
        <w:t xml:space="preserve">These reporting requirements include </w:t>
      </w:r>
      <w:r w:rsidR="00F071A2">
        <w:t>Pacific Power</w:t>
      </w:r>
      <w:r w:rsidRPr="00CD3D54">
        <w:t>’s plan for meeting its RPS obligation for the remainder of 2015.</w:t>
      </w:r>
    </w:p>
    <w:p w14:paraId="3D124CA5" w14:textId="7753A763" w:rsidR="0057374E" w:rsidRPr="00CD3D54" w:rsidRDefault="0057374E" w:rsidP="0057374E">
      <w:pPr>
        <w:numPr>
          <w:ilvl w:val="0"/>
          <w:numId w:val="1"/>
        </w:numPr>
        <w:spacing w:after="240" w:line="288" w:lineRule="auto"/>
        <w:ind w:left="720" w:hanging="1440"/>
      </w:pPr>
      <w:r w:rsidRPr="00CD3D54">
        <w:t>(</w:t>
      </w:r>
      <w:r w:rsidR="002435F3">
        <w:t>8</w:t>
      </w:r>
      <w:r w:rsidRPr="00CD3D54">
        <w:t>)</w:t>
      </w:r>
      <w:r w:rsidRPr="00CD3D54">
        <w:tab/>
        <w:t>Pursuant to WAC 480</w:t>
      </w:r>
      <w:r w:rsidRPr="00CD3D54">
        <w:noBreakHyphen/>
        <w:t>109</w:t>
      </w:r>
      <w:r w:rsidRPr="00CD3D54">
        <w:noBreakHyphen/>
      </w:r>
      <w:r>
        <w:t>210(4)</w:t>
      </w:r>
      <w:r w:rsidRPr="00CD3D54">
        <w:t xml:space="preserve">, </w:t>
      </w:r>
      <w:r w:rsidR="00F071A2">
        <w:t>Pacific Power</w:t>
      </w:r>
      <w:r w:rsidRPr="00CD3D54">
        <w:t xml:space="preserve"> must provide a summary of its RPS Report to its customers, by bill insert or other suitable method, within ninety</w:t>
      </w:r>
      <w:r w:rsidR="00323D0C">
        <w:t>-</w:t>
      </w:r>
      <w:r w:rsidRPr="00CD3D54">
        <w:t>days of the date of this Order.</w:t>
      </w:r>
    </w:p>
    <w:p w14:paraId="3D124CA6" w14:textId="77777777" w:rsidR="0057374E" w:rsidRDefault="0057374E" w:rsidP="0057374E">
      <w:pPr>
        <w:numPr>
          <w:ilvl w:val="0"/>
          <w:numId w:val="1"/>
        </w:numPr>
        <w:spacing w:after="240" w:line="288" w:lineRule="auto"/>
        <w:ind w:left="720" w:hanging="1440"/>
      </w:pPr>
      <w:r w:rsidRPr="00CD3D54">
        <w:t>(</w:t>
      </w:r>
      <w:r w:rsidR="002435F3">
        <w:t>9</w:t>
      </w:r>
      <w:r w:rsidRPr="00CD3D54">
        <w:t>)</w:t>
      </w:r>
      <w:r w:rsidRPr="00CD3D54">
        <w:tab/>
      </w:r>
      <w:r>
        <w:t xml:space="preserve">Pursuant to WAC 480-109-200(3), </w:t>
      </w:r>
      <w:r w:rsidR="002435F3">
        <w:t>Pacific Power</w:t>
      </w:r>
      <w:r w:rsidRPr="00CD3D54">
        <w:t xml:space="preserve"> </w:t>
      </w:r>
      <w:r>
        <w:t>must</w:t>
      </w:r>
      <w:r w:rsidRPr="00CD3D54">
        <w:t xml:space="preserve"> register in WREGIS all Company-owned incremental hydropower facilities on which the Company intends to rely for compliance with RPS requirements. </w:t>
      </w:r>
    </w:p>
    <w:p w14:paraId="3D124CA7" w14:textId="77777777" w:rsidR="0057374E" w:rsidRPr="00CD3D54" w:rsidRDefault="0057374E" w:rsidP="0057374E">
      <w:pPr>
        <w:numPr>
          <w:ilvl w:val="0"/>
          <w:numId w:val="1"/>
        </w:numPr>
        <w:spacing w:after="240" w:line="288" w:lineRule="auto"/>
        <w:ind w:left="720" w:hanging="1440"/>
      </w:pPr>
      <w:r>
        <w:t>(</w:t>
      </w:r>
      <w:r w:rsidR="002435F3">
        <w:t>10</w:t>
      </w:r>
      <w:r>
        <w:t>)</w:t>
      </w:r>
      <w:r>
        <w:tab/>
        <w:t xml:space="preserve">Pursuant to WAC 480-109-210(6), </w:t>
      </w:r>
      <w:r w:rsidR="002435F3">
        <w:t xml:space="preserve">Pacific Power </w:t>
      </w:r>
      <w:r>
        <w:t>must</w:t>
      </w:r>
      <w:r w:rsidRPr="00CD3D54">
        <w:t xml:space="preserve"> file a report no later than June 1, 2017, that lists the certificate numbers in WREGIS for every megawatt-hour and renewable energy credit</w:t>
      </w:r>
      <w:r w:rsidR="002435F3">
        <w:t xml:space="preserve"> that Pacific Power</w:t>
      </w:r>
      <w:r w:rsidRPr="00CD3D54">
        <w:t xml:space="preserve"> retired to meet the January 1, 2015, target.  </w:t>
      </w:r>
    </w:p>
    <w:p w14:paraId="3D124CA8" w14:textId="77777777" w:rsidR="0057374E" w:rsidRPr="00CD3D54" w:rsidRDefault="0057374E" w:rsidP="0057374E">
      <w:pPr>
        <w:spacing w:after="240" w:line="288" w:lineRule="auto"/>
        <w:jc w:val="center"/>
        <w:rPr>
          <w:b/>
        </w:rPr>
      </w:pPr>
      <w:r w:rsidRPr="00CD3D54">
        <w:rPr>
          <w:b/>
        </w:rPr>
        <w:t>ORDER</w:t>
      </w:r>
    </w:p>
    <w:p w14:paraId="3D124CA9" w14:textId="77777777" w:rsidR="0057374E" w:rsidRPr="00CD3D54" w:rsidRDefault="0057374E" w:rsidP="0057374E">
      <w:pPr>
        <w:spacing w:after="240" w:line="288" w:lineRule="auto"/>
        <w:rPr>
          <w:b/>
        </w:rPr>
      </w:pPr>
      <w:r w:rsidRPr="00CD3D54">
        <w:rPr>
          <w:b/>
        </w:rPr>
        <w:t>THE COMMISSION ORDERS:</w:t>
      </w:r>
    </w:p>
    <w:p w14:paraId="3D124CAA" w14:textId="77777777" w:rsidR="0057374E" w:rsidRPr="00CD3D54" w:rsidRDefault="0057374E" w:rsidP="0057374E">
      <w:pPr>
        <w:numPr>
          <w:ilvl w:val="0"/>
          <w:numId w:val="1"/>
        </w:numPr>
        <w:spacing w:after="240" w:line="288" w:lineRule="auto"/>
        <w:ind w:left="720" w:hanging="1440"/>
      </w:pPr>
      <w:r w:rsidRPr="00CD3D54">
        <w:t>(1)</w:t>
      </w:r>
      <w:r w:rsidRPr="00CD3D54">
        <w:tab/>
        <w:t xml:space="preserve">The Commission accepts the calculation of </w:t>
      </w:r>
      <w:r w:rsidR="002435F3">
        <w:t>123,155</w:t>
      </w:r>
      <w:r w:rsidRPr="00CD3D54">
        <w:t xml:space="preserve"> megawatt-hours as the 2015 renewable energy target for </w:t>
      </w:r>
      <w:r w:rsidR="002435F3">
        <w:t>Pacific Power &amp; Light Company</w:t>
      </w:r>
      <w:r w:rsidRPr="00CD3D54">
        <w:t>.</w:t>
      </w:r>
    </w:p>
    <w:p w14:paraId="3D124CAB" w14:textId="77777777" w:rsidR="0057374E" w:rsidRPr="00CD3D54" w:rsidRDefault="0057374E" w:rsidP="0057374E">
      <w:pPr>
        <w:numPr>
          <w:ilvl w:val="0"/>
          <w:numId w:val="1"/>
        </w:numPr>
        <w:spacing w:after="240" w:line="288" w:lineRule="auto"/>
        <w:ind w:left="720" w:hanging="1440"/>
      </w:pPr>
      <w:r w:rsidRPr="00CD3D54">
        <w:t>(2)</w:t>
      </w:r>
      <w:r w:rsidRPr="00CD3D54">
        <w:tab/>
      </w:r>
      <w:r w:rsidR="002435F3">
        <w:t>Pacific Power &amp; Light Company</w:t>
      </w:r>
      <w:r w:rsidR="002435F3" w:rsidRPr="00CD3D54">
        <w:t xml:space="preserve"> </w:t>
      </w:r>
      <w:r w:rsidRPr="00CD3D54">
        <w:t>has identified eligible renewable resources sufficient to supply at least three percent of its load for 2015.</w:t>
      </w:r>
    </w:p>
    <w:p w14:paraId="3D124CAC" w14:textId="77777777" w:rsidR="0057374E" w:rsidRPr="00CD3D54" w:rsidRDefault="0057374E" w:rsidP="0057374E">
      <w:pPr>
        <w:numPr>
          <w:ilvl w:val="0"/>
          <w:numId w:val="1"/>
        </w:numPr>
        <w:spacing w:after="240" w:line="288" w:lineRule="auto"/>
        <w:ind w:left="720" w:hanging="1440"/>
      </w:pPr>
      <w:r w:rsidRPr="00CD3D54">
        <w:t>(3)</w:t>
      </w:r>
      <w:r w:rsidRPr="00CD3D54">
        <w:tab/>
      </w:r>
      <w:r w:rsidR="002435F3">
        <w:t>Pacific Power &amp; Light Company</w:t>
      </w:r>
      <w:r w:rsidR="002435F3" w:rsidRPr="00CD3D54">
        <w:t xml:space="preserve"> </w:t>
      </w:r>
      <w:r w:rsidRPr="00CD3D54">
        <w:t>has complied with the June 1, 2015, reporting requirements pursuant to WAC 480</w:t>
      </w:r>
      <w:r w:rsidRPr="00CD3D54">
        <w:noBreakHyphen/>
        <w:t>109</w:t>
      </w:r>
      <w:r w:rsidRPr="00CD3D54">
        <w:noBreakHyphen/>
      </w:r>
      <w:r>
        <w:t>210</w:t>
      </w:r>
      <w:r w:rsidRPr="00CD3D54">
        <w:t xml:space="preserve">.  </w:t>
      </w:r>
    </w:p>
    <w:p w14:paraId="3D124CAD" w14:textId="77777777" w:rsidR="0057374E" w:rsidRPr="00CD3D54" w:rsidRDefault="0057374E" w:rsidP="0057374E">
      <w:pPr>
        <w:numPr>
          <w:ilvl w:val="0"/>
          <w:numId w:val="1"/>
        </w:numPr>
        <w:spacing w:after="240" w:line="288" w:lineRule="auto"/>
        <w:ind w:left="720" w:hanging="1440"/>
      </w:pPr>
      <w:r w:rsidRPr="00CD3D54">
        <w:t>(4)</w:t>
      </w:r>
      <w:r w:rsidRPr="00CD3D54">
        <w:tab/>
      </w:r>
      <w:r w:rsidR="002435F3">
        <w:t>Pacific Power &amp; Light Company</w:t>
      </w:r>
      <w:r w:rsidR="002435F3" w:rsidRPr="00CD3D54">
        <w:t xml:space="preserve"> </w:t>
      </w:r>
      <w:r w:rsidRPr="00CD3D54">
        <w:t xml:space="preserve">must file a second report no later than June 1, 2017, that provides the information necessary to determine whether </w:t>
      </w:r>
      <w:r w:rsidR="002435F3">
        <w:t>Pacific Power &amp; Light Company</w:t>
      </w:r>
      <w:r w:rsidR="002435F3" w:rsidRPr="00CD3D54">
        <w:t xml:space="preserve"> </w:t>
      </w:r>
      <w:r w:rsidRPr="00CD3D54">
        <w:t xml:space="preserve">met the 2015 renewable energy target of </w:t>
      </w:r>
      <w:r w:rsidR="002435F3">
        <w:t>123,155</w:t>
      </w:r>
      <w:r w:rsidRPr="00CD3D54">
        <w:t xml:space="preserve"> megawatt-hours.</w:t>
      </w:r>
    </w:p>
    <w:p w14:paraId="3D124CAE" w14:textId="77777777" w:rsidR="0057374E" w:rsidRDefault="0057374E" w:rsidP="0057374E">
      <w:pPr>
        <w:numPr>
          <w:ilvl w:val="0"/>
          <w:numId w:val="1"/>
        </w:numPr>
        <w:spacing w:after="240" w:line="288" w:lineRule="auto"/>
        <w:ind w:left="720" w:hanging="1440"/>
      </w:pPr>
      <w:r w:rsidRPr="00CD3D54">
        <w:t>(5)</w:t>
      </w:r>
      <w:r w:rsidRPr="00CD3D54">
        <w:tab/>
      </w:r>
      <w:r w:rsidR="002435F3">
        <w:t>Pacific Power &amp; Light Company</w:t>
      </w:r>
      <w:r w:rsidR="002435F3" w:rsidRPr="00CD3D54">
        <w:t xml:space="preserve"> </w:t>
      </w:r>
      <w:r w:rsidRPr="00CD3D54">
        <w:t xml:space="preserve">must register in the Western Renewable Energy Generation Information System all Company-owned incremental hydropower facilities on which the Company intends to rely for compliance with renewable portfolio standard requirements.  </w:t>
      </w:r>
    </w:p>
    <w:p w14:paraId="3D124CAF" w14:textId="77777777" w:rsidR="0057374E" w:rsidRPr="00CD3D54" w:rsidRDefault="0057374E" w:rsidP="0057374E">
      <w:pPr>
        <w:numPr>
          <w:ilvl w:val="0"/>
          <w:numId w:val="1"/>
        </w:numPr>
        <w:spacing w:after="240" w:line="288" w:lineRule="auto"/>
        <w:ind w:left="720" w:hanging="1440"/>
      </w:pPr>
      <w:r>
        <w:lastRenderedPageBreak/>
        <w:t>(6)</w:t>
      </w:r>
      <w:r>
        <w:tab/>
      </w:r>
      <w:r w:rsidR="002435F3">
        <w:t>Pacific Power &amp; Light Company</w:t>
      </w:r>
      <w:r w:rsidR="002435F3" w:rsidRPr="00CD3D54">
        <w:t xml:space="preserve"> </w:t>
      </w:r>
      <w:r w:rsidRPr="00CD3D54">
        <w:t xml:space="preserve">must file a report no later than June 1, 2017, that lists the certificate numbers in the Western Renewable Energy Generation Information System for every megawatt-hour and renewable energy credit that </w:t>
      </w:r>
      <w:r w:rsidR="002435F3">
        <w:t>Pacific Power &amp; Light Company</w:t>
      </w:r>
      <w:r w:rsidR="002435F3" w:rsidRPr="00CD3D54">
        <w:t xml:space="preserve"> </w:t>
      </w:r>
      <w:r w:rsidRPr="00CD3D54">
        <w:t>retired to meet the January 1, 2015, target.</w:t>
      </w:r>
    </w:p>
    <w:p w14:paraId="3D124CB0" w14:textId="77777777" w:rsidR="002909DE" w:rsidRPr="00CD3D54" w:rsidRDefault="0057374E" w:rsidP="002909DE">
      <w:pPr>
        <w:numPr>
          <w:ilvl w:val="0"/>
          <w:numId w:val="1"/>
        </w:numPr>
        <w:spacing w:after="240" w:line="288" w:lineRule="auto"/>
        <w:ind w:left="720" w:hanging="1440"/>
      </w:pPr>
      <w:r w:rsidRPr="00CD3D54">
        <w:t>(</w:t>
      </w:r>
      <w:r>
        <w:t>7</w:t>
      </w:r>
      <w:r w:rsidRPr="00CD3D54">
        <w:t>)</w:t>
      </w:r>
      <w:r w:rsidRPr="00CD3D54">
        <w:tab/>
        <w:t xml:space="preserve">The Commission Secretary is authorized to accept or approve a filing that complies with the requirements of this </w:t>
      </w:r>
      <w:r w:rsidR="002909DE" w:rsidRPr="00CD3D54">
        <w:t>Order.</w:t>
      </w:r>
    </w:p>
    <w:p w14:paraId="3D124CB1" w14:textId="77777777" w:rsidR="0057374E" w:rsidRPr="00CD3D54" w:rsidRDefault="002909DE" w:rsidP="002909DE">
      <w:pPr>
        <w:spacing w:after="240" w:line="288" w:lineRule="auto"/>
        <w:ind w:left="-720" w:firstLine="720"/>
      </w:pPr>
      <w:r w:rsidRPr="00CD3D54">
        <w:t xml:space="preserve">DATED at Olympia, Washington, and effective </w:t>
      </w:r>
      <w:r w:rsidR="002435F3">
        <w:t>August 27</w:t>
      </w:r>
      <w:r w:rsidR="0057374E" w:rsidRPr="00CD3D54">
        <w:t>, 2015.</w:t>
      </w:r>
    </w:p>
    <w:p w14:paraId="3D124CB2" w14:textId="77777777" w:rsidR="0057374E" w:rsidRPr="00CD3D54" w:rsidRDefault="0057374E" w:rsidP="0057374E">
      <w:pPr>
        <w:spacing w:before="120" w:after="240" w:line="288" w:lineRule="auto"/>
        <w:jc w:val="center"/>
        <w:rPr>
          <w:rFonts w:eastAsia="Calibri"/>
        </w:rPr>
      </w:pPr>
      <w:r w:rsidRPr="00CD3D54">
        <w:rPr>
          <w:rFonts w:eastAsia="Calibri"/>
        </w:rPr>
        <w:t>WASHINGTON UTILITIES AND TRANSPORTATION COMMISSION</w:t>
      </w:r>
    </w:p>
    <w:p w14:paraId="3D124CB3" w14:textId="77777777" w:rsidR="0057374E" w:rsidRPr="00CD3D54" w:rsidRDefault="0057374E" w:rsidP="0057374E">
      <w:pPr>
        <w:spacing w:line="288" w:lineRule="auto"/>
        <w:rPr>
          <w:rFonts w:eastAsia="Calibri"/>
        </w:rPr>
      </w:pPr>
    </w:p>
    <w:p w14:paraId="3D124CB4" w14:textId="77777777" w:rsidR="0057374E" w:rsidRPr="00CD3D54" w:rsidRDefault="0057374E" w:rsidP="0057374E">
      <w:pPr>
        <w:spacing w:line="288" w:lineRule="auto"/>
        <w:rPr>
          <w:rFonts w:eastAsia="Calibri"/>
        </w:rPr>
      </w:pPr>
    </w:p>
    <w:p w14:paraId="3D124CB5" w14:textId="77777777" w:rsidR="0057374E" w:rsidRPr="00CD3D54" w:rsidRDefault="0057374E" w:rsidP="0057374E">
      <w:pPr>
        <w:spacing w:line="288" w:lineRule="auto"/>
        <w:rPr>
          <w:rFonts w:eastAsia="Calibri"/>
        </w:rPr>
      </w:pPr>
      <w:r w:rsidRPr="00CD3D54">
        <w:rPr>
          <w:rFonts w:eastAsia="Calibri"/>
        </w:rPr>
        <w:tab/>
      </w:r>
      <w:r w:rsidRPr="00CD3D54">
        <w:rPr>
          <w:rFonts w:eastAsia="Calibri"/>
        </w:rPr>
        <w:tab/>
      </w:r>
      <w:r w:rsidRPr="00CD3D54">
        <w:rPr>
          <w:rFonts w:eastAsia="Calibri"/>
        </w:rPr>
        <w:tab/>
      </w:r>
      <w:r w:rsidRPr="00CD3D54">
        <w:rPr>
          <w:rFonts w:eastAsia="Calibri"/>
        </w:rPr>
        <w:tab/>
      </w:r>
      <w:r w:rsidRPr="00CD3D54">
        <w:rPr>
          <w:rFonts w:eastAsia="Calibri"/>
        </w:rPr>
        <w:tab/>
        <w:t>DAVID W. DANNER, Chairman</w:t>
      </w:r>
    </w:p>
    <w:p w14:paraId="3D124CB6" w14:textId="77777777" w:rsidR="0057374E" w:rsidRPr="00CD3D54" w:rsidRDefault="0057374E" w:rsidP="0057374E">
      <w:pPr>
        <w:spacing w:before="120" w:after="240" w:line="288" w:lineRule="auto"/>
        <w:rPr>
          <w:rFonts w:eastAsia="Calibri"/>
        </w:rPr>
      </w:pPr>
    </w:p>
    <w:p w14:paraId="3D124CB7" w14:textId="77777777" w:rsidR="0057374E" w:rsidRPr="00CD3D54" w:rsidRDefault="0057374E" w:rsidP="0057374E">
      <w:pPr>
        <w:spacing w:before="120" w:after="240" w:line="288" w:lineRule="auto"/>
        <w:rPr>
          <w:rFonts w:eastAsia="Calibri"/>
        </w:rPr>
      </w:pPr>
    </w:p>
    <w:p w14:paraId="3D124CB8" w14:textId="77777777" w:rsidR="0057374E" w:rsidRPr="00CD3D54" w:rsidRDefault="0057374E" w:rsidP="0057374E">
      <w:pPr>
        <w:spacing w:line="288" w:lineRule="auto"/>
        <w:rPr>
          <w:rFonts w:eastAsia="Calibri"/>
        </w:rPr>
      </w:pPr>
      <w:r w:rsidRPr="00CD3D54">
        <w:rPr>
          <w:rFonts w:eastAsia="Calibri"/>
        </w:rPr>
        <w:tab/>
      </w:r>
      <w:r w:rsidRPr="00CD3D54">
        <w:rPr>
          <w:rFonts w:eastAsia="Calibri"/>
        </w:rPr>
        <w:tab/>
      </w:r>
      <w:r w:rsidRPr="00CD3D54">
        <w:rPr>
          <w:rFonts w:eastAsia="Calibri"/>
        </w:rPr>
        <w:tab/>
      </w:r>
      <w:r w:rsidRPr="00CD3D54">
        <w:rPr>
          <w:rFonts w:eastAsia="Calibri"/>
        </w:rPr>
        <w:tab/>
      </w:r>
      <w:r w:rsidRPr="00CD3D54">
        <w:rPr>
          <w:rFonts w:eastAsia="Calibri"/>
        </w:rPr>
        <w:tab/>
        <w:t>PHILIP B. JONES, Commissioner</w:t>
      </w:r>
    </w:p>
    <w:p w14:paraId="3D124CB9" w14:textId="77777777" w:rsidR="0057374E" w:rsidRPr="00CD3D54" w:rsidRDefault="0057374E" w:rsidP="0057374E">
      <w:pPr>
        <w:spacing w:before="120" w:after="240" w:line="288" w:lineRule="auto"/>
        <w:rPr>
          <w:rFonts w:eastAsia="Calibri"/>
        </w:rPr>
      </w:pPr>
    </w:p>
    <w:p w14:paraId="3D124CBA" w14:textId="77777777" w:rsidR="0057374E" w:rsidRPr="00CD3D54" w:rsidRDefault="0057374E" w:rsidP="0057374E">
      <w:pPr>
        <w:spacing w:before="120" w:after="240" w:line="288" w:lineRule="auto"/>
        <w:rPr>
          <w:rFonts w:eastAsia="Calibri"/>
        </w:rPr>
      </w:pPr>
    </w:p>
    <w:p w14:paraId="3D124CBB" w14:textId="77777777" w:rsidR="0057374E" w:rsidRPr="00CD3D54" w:rsidRDefault="0057374E" w:rsidP="0057374E">
      <w:pPr>
        <w:spacing w:before="120" w:after="240" w:line="288" w:lineRule="auto"/>
        <w:rPr>
          <w:rFonts w:eastAsia="Calibri"/>
        </w:rPr>
      </w:pPr>
      <w:r w:rsidRPr="00CD3D54">
        <w:rPr>
          <w:rFonts w:eastAsia="Calibri"/>
        </w:rPr>
        <w:tab/>
      </w:r>
      <w:r w:rsidRPr="00CD3D54">
        <w:rPr>
          <w:rFonts w:eastAsia="Calibri"/>
        </w:rPr>
        <w:tab/>
      </w:r>
      <w:r w:rsidRPr="00CD3D54">
        <w:rPr>
          <w:rFonts w:eastAsia="Calibri"/>
        </w:rPr>
        <w:tab/>
      </w:r>
      <w:r w:rsidRPr="00CD3D54">
        <w:rPr>
          <w:rFonts w:eastAsia="Calibri"/>
        </w:rPr>
        <w:tab/>
      </w:r>
      <w:r w:rsidRPr="00CD3D54">
        <w:rPr>
          <w:rFonts w:eastAsia="Calibri"/>
        </w:rPr>
        <w:tab/>
      </w:r>
      <w:r>
        <w:rPr>
          <w:rFonts w:eastAsia="Calibri"/>
        </w:rPr>
        <w:t>ANN E. RENDAHL</w:t>
      </w:r>
      <w:r w:rsidRPr="00CD3D54">
        <w:rPr>
          <w:rFonts w:eastAsia="Calibri"/>
        </w:rPr>
        <w:t>, Commissioner</w:t>
      </w:r>
    </w:p>
    <w:p w14:paraId="3D124CBC" w14:textId="77777777" w:rsidR="002C039A" w:rsidRPr="00AD3312" w:rsidRDefault="002C039A" w:rsidP="00AD3312"/>
    <w:sectPr w:rsidR="002C039A" w:rsidRPr="00AD3312" w:rsidSect="0057374E">
      <w:headerReference w:type="default" r:id="rId10"/>
      <w:headerReference w:type="first" r:id="rId11"/>
      <w:footerReference w:type="first" r:id="rId12"/>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24CBF" w14:textId="77777777" w:rsidR="005230FA" w:rsidRDefault="005230FA" w:rsidP="0057374E">
      <w:r>
        <w:separator/>
      </w:r>
    </w:p>
  </w:endnote>
  <w:endnote w:type="continuationSeparator" w:id="0">
    <w:p w14:paraId="3D124CC0" w14:textId="77777777" w:rsidR="005230FA" w:rsidRDefault="005230FA" w:rsidP="0057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24CC6" w14:textId="77777777" w:rsidR="000A675F" w:rsidRPr="00DB0710" w:rsidRDefault="005230FA" w:rsidP="00C179F6">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24CBD" w14:textId="77777777" w:rsidR="005230FA" w:rsidRDefault="005230FA" w:rsidP="0057374E">
      <w:r>
        <w:separator/>
      </w:r>
    </w:p>
  </w:footnote>
  <w:footnote w:type="continuationSeparator" w:id="0">
    <w:p w14:paraId="3D124CBE" w14:textId="77777777" w:rsidR="005230FA" w:rsidRDefault="005230FA" w:rsidP="0057374E">
      <w:r>
        <w:continuationSeparator/>
      </w:r>
    </w:p>
  </w:footnote>
  <w:footnote w:id="1">
    <w:p w14:paraId="3D124CC7" w14:textId="77777777" w:rsidR="0057374E" w:rsidRPr="00323D0C" w:rsidRDefault="0057374E" w:rsidP="00323D0C">
      <w:pPr>
        <w:pStyle w:val="FootnoteText"/>
      </w:pPr>
      <w:r w:rsidRPr="00AD2260">
        <w:rPr>
          <w:rStyle w:val="FootnoteReference"/>
          <w:sz w:val="22"/>
          <w:szCs w:val="22"/>
        </w:rPr>
        <w:footnoteRef/>
      </w:r>
      <w:r w:rsidRPr="00323D0C">
        <w:t xml:space="preserve"> RCW Chapter 19.285.</w:t>
      </w:r>
    </w:p>
  </w:footnote>
  <w:footnote w:id="2">
    <w:p w14:paraId="3D124CC8" w14:textId="77777777" w:rsidR="0057374E" w:rsidRPr="00323D0C" w:rsidRDefault="0057374E" w:rsidP="00323D0C">
      <w:pPr>
        <w:pStyle w:val="FootnoteText"/>
      </w:pPr>
      <w:r w:rsidRPr="00323D0C">
        <w:rPr>
          <w:rStyle w:val="FootnoteReference"/>
        </w:rPr>
        <w:footnoteRef/>
      </w:r>
      <w:r w:rsidRPr="00323D0C">
        <w:t xml:space="preserve"> RCW 19.285.060(6).</w:t>
      </w:r>
    </w:p>
  </w:footnote>
  <w:footnote w:id="3">
    <w:p w14:paraId="3D124CC9" w14:textId="77777777" w:rsidR="0057374E" w:rsidRPr="00323D0C" w:rsidRDefault="0057374E" w:rsidP="00323D0C">
      <w:pPr>
        <w:pStyle w:val="FootnoteText"/>
      </w:pPr>
      <w:r w:rsidRPr="00323D0C">
        <w:rPr>
          <w:rStyle w:val="FootnoteReference"/>
        </w:rPr>
        <w:footnoteRef/>
      </w:r>
      <w:r w:rsidRPr="00323D0C">
        <w:t xml:space="preserve"> WAC 480-109-210(3)(b).</w:t>
      </w:r>
    </w:p>
  </w:footnote>
  <w:footnote w:id="4">
    <w:p w14:paraId="3D124CCA" w14:textId="77777777" w:rsidR="0057374E" w:rsidRPr="00323D0C" w:rsidRDefault="0057374E" w:rsidP="00323D0C">
      <w:pPr>
        <w:pStyle w:val="FootnoteText"/>
        <w:spacing w:after="120"/>
      </w:pPr>
      <w:r w:rsidRPr="00323D0C">
        <w:rPr>
          <w:rStyle w:val="FootnoteReference"/>
        </w:rPr>
        <w:footnoteRef/>
      </w:r>
      <w:r w:rsidRPr="00323D0C">
        <w:t xml:space="preserve"> WAC 480-109-210(1) and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24CC1" w14:textId="77777777" w:rsidR="000A675F" w:rsidRPr="00AC0E30" w:rsidRDefault="005230FA">
    <w:pPr>
      <w:tabs>
        <w:tab w:val="left" w:pos="7740"/>
      </w:tabs>
      <w:rPr>
        <w:b/>
        <w:bCs/>
        <w:sz w:val="20"/>
      </w:rPr>
    </w:pPr>
    <w:r w:rsidRPr="00AC0E30">
      <w:rPr>
        <w:b/>
        <w:bCs/>
        <w:sz w:val="20"/>
      </w:rPr>
      <w:t>DOCKET</w:t>
    </w:r>
    <w:r>
      <w:rPr>
        <w:b/>
        <w:bCs/>
        <w:sz w:val="20"/>
      </w:rPr>
      <w:t xml:space="preserve"> UE</w:t>
    </w:r>
    <w:r>
      <w:rPr>
        <w:b/>
        <w:bCs/>
        <w:sz w:val="20"/>
      </w:rPr>
      <w:noBreakHyphen/>
      <w:t>1</w:t>
    </w:r>
    <w:r w:rsidR="002435F3">
      <w:rPr>
        <w:b/>
        <w:bCs/>
        <w:sz w:val="20"/>
      </w:rPr>
      <w:t>51162</w:t>
    </w:r>
    <w:r w:rsidRPr="00AC0E30">
      <w:rPr>
        <w:b/>
        <w:bCs/>
        <w:sz w:val="20"/>
      </w:rPr>
      <w:tab/>
      <w:t xml:space="preserve">PAGE </w:t>
    </w:r>
    <w:r w:rsidRPr="00AC0E30">
      <w:rPr>
        <w:b/>
        <w:bCs/>
        <w:sz w:val="20"/>
      </w:rPr>
      <w:pgNum/>
    </w:r>
  </w:p>
  <w:p w14:paraId="3D124CC2" w14:textId="77777777" w:rsidR="000A675F" w:rsidRPr="00AC0E30" w:rsidRDefault="005230FA">
    <w:pPr>
      <w:tabs>
        <w:tab w:val="left" w:pos="7740"/>
      </w:tabs>
      <w:rPr>
        <w:b/>
        <w:bCs/>
        <w:sz w:val="20"/>
      </w:rPr>
    </w:pPr>
    <w:r>
      <w:rPr>
        <w:b/>
        <w:bCs/>
        <w:sz w:val="20"/>
      </w:rPr>
      <w:t>ORDER 01</w:t>
    </w:r>
  </w:p>
  <w:p w14:paraId="3D124CC3" w14:textId="77777777" w:rsidR="000A675F" w:rsidRDefault="00AC1949">
    <w:pPr>
      <w:tabs>
        <w:tab w:val="left" w:pos="7740"/>
      </w:tabs>
      <w:rPr>
        <w:b/>
        <w:bCs/>
        <w:sz w:val="20"/>
      </w:rPr>
    </w:pPr>
  </w:p>
  <w:p w14:paraId="3D124CC4" w14:textId="77777777" w:rsidR="000A675F" w:rsidRPr="00AC0E30" w:rsidRDefault="00AC1949">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24CC5" w14:textId="77777777" w:rsidR="000A675F" w:rsidRPr="00FB551C" w:rsidRDefault="005230FA" w:rsidP="00170ABD">
    <w:pPr>
      <w:pStyle w:val="Header"/>
      <w:tabs>
        <w:tab w:val="clear" w:pos="4320"/>
        <w:tab w:val="clear" w:pos="8640"/>
        <w:tab w:val="right" w:pos="846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C3C26"/>
    <w:multiLevelType w:val="hybridMultilevel"/>
    <w:tmpl w:val="A7C006F8"/>
    <w:lvl w:ilvl="0" w:tplc="3FC8479C">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64204C"/>
    <w:multiLevelType w:val="hybridMultilevel"/>
    <w:tmpl w:val="85385DE6"/>
    <w:lvl w:ilvl="0" w:tplc="1160F90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590C749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5F15181"/>
    <w:multiLevelType w:val="hybridMultilevel"/>
    <w:tmpl w:val="8FEC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74E"/>
    <w:rsid w:val="00051826"/>
    <w:rsid w:val="000E640C"/>
    <w:rsid w:val="001C5AB1"/>
    <w:rsid w:val="001E1D7A"/>
    <w:rsid w:val="002435F3"/>
    <w:rsid w:val="002909DE"/>
    <w:rsid w:val="002C039A"/>
    <w:rsid w:val="00323D0C"/>
    <w:rsid w:val="004715FE"/>
    <w:rsid w:val="005230FA"/>
    <w:rsid w:val="00552600"/>
    <w:rsid w:val="0057374E"/>
    <w:rsid w:val="005A6C74"/>
    <w:rsid w:val="0060498B"/>
    <w:rsid w:val="00654A37"/>
    <w:rsid w:val="00672F7B"/>
    <w:rsid w:val="006A41EE"/>
    <w:rsid w:val="00741B22"/>
    <w:rsid w:val="007506CA"/>
    <w:rsid w:val="00893843"/>
    <w:rsid w:val="009F5B19"/>
    <w:rsid w:val="00A84C2A"/>
    <w:rsid w:val="00AC1949"/>
    <w:rsid w:val="00AD3312"/>
    <w:rsid w:val="00AE273E"/>
    <w:rsid w:val="00B13041"/>
    <w:rsid w:val="00BE5393"/>
    <w:rsid w:val="00D609F9"/>
    <w:rsid w:val="00DA1B86"/>
    <w:rsid w:val="00DD2A47"/>
    <w:rsid w:val="00F03FA5"/>
    <w:rsid w:val="00F071A2"/>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4C76"/>
  <w15:chartTrackingRefBased/>
  <w15:docId w15:val="{98F33470-888C-47F0-ABB1-320A4348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74E"/>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57374E"/>
    <w:pPr>
      <w:jc w:val="center"/>
    </w:pPr>
    <w:rPr>
      <w:rFonts w:ascii="Arial" w:hAnsi="Arial" w:cs="Arial"/>
    </w:rPr>
  </w:style>
  <w:style w:type="character" w:customStyle="1" w:styleId="BodyTextChar">
    <w:name w:val="Body Text Char"/>
    <w:basedOn w:val="DefaultParagraphFont"/>
    <w:link w:val="BodyText"/>
    <w:rsid w:val="0057374E"/>
    <w:rPr>
      <w:rFonts w:ascii="Arial" w:eastAsia="Times New Roman" w:hAnsi="Arial" w:cs="Arial"/>
      <w:sz w:val="24"/>
      <w:szCs w:val="24"/>
    </w:rPr>
  </w:style>
  <w:style w:type="paragraph" w:styleId="Header">
    <w:name w:val="header"/>
    <w:basedOn w:val="Normal"/>
    <w:link w:val="HeaderChar"/>
    <w:rsid w:val="0057374E"/>
    <w:pPr>
      <w:tabs>
        <w:tab w:val="center" w:pos="4320"/>
        <w:tab w:val="right" w:pos="8640"/>
      </w:tabs>
    </w:pPr>
  </w:style>
  <w:style w:type="character" w:customStyle="1" w:styleId="HeaderChar">
    <w:name w:val="Header Char"/>
    <w:basedOn w:val="DefaultParagraphFont"/>
    <w:link w:val="Header"/>
    <w:rsid w:val="0057374E"/>
    <w:rPr>
      <w:rFonts w:ascii="Times New Roman" w:eastAsia="Times New Roman" w:hAnsi="Times New Roman" w:cs="Times New Roman"/>
      <w:sz w:val="24"/>
      <w:szCs w:val="24"/>
    </w:rPr>
  </w:style>
  <w:style w:type="paragraph" w:styleId="Footer">
    <w:name w:val="footer"/>
    <w:basedOn w:val="Normal"/>
    <w:link w:val="FooterChar"/>
    <w:rsid w:val="0057374E"/>
    <w:pPr>
      <w:tabs>
        <w:tab w:val="center" w:pos="4320"/>
        <w:tab w:val="right" w:pos="8640"/>
      </w:tabs>
    </w:pPr>
  </w:style>
  <w:style w:type="character" w:customStyle="1" w:styleId="FooterChar">
    <w:name w:val="Footer Char"/>
    <w:basedOn w:val="DefaultParagraphFont"/>
    <w:link w:val="Footer"/>
    <w:rsid w:val="0057374E"/>
    <w:rPr>
      <w:rFonts w:ascii="Times New Roman" w:eastAsia="Times New Roman" w:hAnsi="Times New Roman" w:cs="Times New Roman"/>
      <w:sz w:val="24"/>
      <w:szCs w:val="24"/>
    </w:rPr>
  </w:style>
  <w:style w:type="paragraph" w:styleId="FootnoteText">
    <w:name w:val="footnote text"/>
    <w:basedOn w:val="Normal"/>
    <w:link w:val="FootnoteTextChar"/>
    <w:rsid w:val="0057374E"/>
    <w:rPr>
      <w:sz w:val="20"/>
      <w:szCs w:val="20"/>
    </w:rPr>
  </w:style>
  <w:style w:type="character" w:customStyle="1" w:styleId="FootnoteTextChar">
    <w:name w:val="Footnote Text Char"/>
    <w:basedOn w:val="DefaultParagraphFont"/>
    <w:link w:val="FootnoteText"/>
    <w:rsid w:val="0057374E"/>
    <w:rPr>
      <w:rFonts w:ascii="Times New Roman" w:eastAsia="Times New Roman" w:hAnsi="Times New Roman" w:cs="Times New Roman"/>
      <w:sz w:val="20"/>
      <w:szCs w:val="20"/>
    </w:rPr>
  </w:style>
  <w:style w:type="character" w:styleId="FootnoteReference">
    <w:name w:val="footnote reference"/>
    <w:uiPriority w:val="99"/>
    <w:rsid w:val="0057374E"/>
    <w:rPr>
      <w:vertAlign w:val="superscript"/>
    </w:rPr>
  </w:style>
  <w:style w:type="paragraph" w:styleId="ListParagraph">
    <w:name w:val="List Paragraph"/>
    <w:basedOn w:val="Normal"/>
    <w:uiPriority w:val="34"/>
    <w:qFormat/>
    <w:rsid w:val="0057374E"/>
    <w:pPr>
      <w:ind w:left="720"/>
      <w:contextualSpacing/>
    </w:pPr>
    <w:rPr>
      <w:rFonts w:ascii="Palatino Linotype" w:hAnsi="Palatino Linotype"/>
    </w:rPr>
  </w:style>
  <w:style w:type="paragraph" w:customStyle="1" w:styleId="FindingsConclusions">
    <w:name w:val="Findings &amp; Conclusions"/>
    <w:basedOn w:val="Normal"/>
    <w:rsid w:val="002909D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E0F775D2F48249B61AE48C3C50BD02" ma:contentTypeVersion="119" ma:contentTypeDescription="" ma:contentTypeScope="" ma:versionID="bf0f654d30f1ec99f93f565601f367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2015-06-01T07:00:00+00:00</OpenedDate>
    <Date1 xmlns="dc463f71-b30c-4ab2-9473-d307f9d35888">2015-08-27T07:00:00+00:00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151162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09D4E49-F108-462D-9231-69B4AE8FFAE2}"/>
</file>

<file path=customXml/itemProps2.xml><?xml version="1.0" encoding="utf-8"?>
<ds:datastoreItem xmlns:ds="http://schemas.openxmlformats.org/officeDocument/2006/customXml" ds:itemID="{897E5C91-77FF-4F8B-A2D2-0C4F3932E361}"/>
</file>

<file path=customXml/itemProps3.xml><?xml version="1.0" encoding="utf-8"?>
<ds:datastoreItem xmlns:ds="http://schemas.openxmlformats.org/officeDocument/2006/customXml" ds:itemID="{EBB76F7A-2A74-4593-BD9E-7010D5F1738F}"/>
</file>

<file path=customXml/itemProps4.xml><?xml version="1.0" encoding="utf-8"?>
<ds:datastoreItem xmlns:ds="http://schemas.openxmlformats.org/officeDocument/2006/customXml" ds:itemID="{F3501947-9A17-4FBA-93D9-A99A22909C4B}"/>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Kern, Cathy (UTC)</cp:lastModifiedBy>
  <cp:revision>2</cp:revision>
  <dcterms:created xsi:type="dcterms:W3CDTF">2015-08-26T23:20:00Z</dcterms:created>
  <dcterms:modified xsi:type="dcterms:W3CDTF">2015-08-26T23:20:00Z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0x0101006E56B4D1795A2E4DB2F0B01679ED314A0093E0F775D2F48249B61AE48C3C50BD02</vt:lpwstr>
  </property>
  <property fmtid="{D5CDD505-2E9C-101B-9397-08002B2CF9AE}" pid="3" name="_docset_NoMedatataSyncRequired">
    <vt:lpwstr>False</vt:lpwstr>
  </property>
</Properties>
</file>