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06AFC" w14:textId="77777777" w:rsidR="004D50EB" w:rsidRPr="00415C58" w:rsidRDefault="004D50EB" w:rsidP="004D50EB">
      <w:pPr>
        <w:rPr>
          <w:rFonts w:ascii="Times New Roman" w:hAnsi="Times New Roman"/>
        </w:rPr>
      </w:pPr>
      <w:bookmarkStart w:id="0" w:name="_GoBack"/>
      <w:bookmarkEnd w:id="0"/>
      <w:r w:rsidRPr="00415C58">
        <w:rPr>
          <w:rFonts w:ascii="Times New Roman" w:hAnsi="Times New Roman"/>
        </w:rPr>
        <w:t>Agenda Date:</w:t>
      </w:r>
      <w:r w:rsidRPr="00415C58">
        <w:rPr>
          <w:rFonts w:ascii="Times New Roman" w:hAnsi="Times New Roman"/>
        </w:rPr>
        <w:tab/>
      </w:r>
      <w:r w:rsidRPr="00415C58">
        <w:rPr>
          <w:rFonts w:ascii="Times New Roman" w:hAnsi="Times New Roman"/>
        </w:rPr>
        <w:tab/>
      </w:r>
      <w:r>
        <w:rPr>
          <w:rFonts w:ascii="Times New Roman" w:hAnsi="Times New Roman"/>
        </w:rPr>
        <w:t>May 29, 2014</w:t>
      </w:r>
    </w:p>
    <w:p w14:paraId="19406AFD" w14:textId="51A22EC4" w:rsidR="004D50EB" w:rsidRPr="00415C58" w:rsidRDefault="004D50EB" w:rsidP="004D50EB">
      <w:pPr>
        <w:ind w:left="2160" w:hanging="2160"/>
        <w:rPr>
          <w:rFonts w:ascii="Times New Roman" w:hAnsi="Times New Roman"/>
        </w:rPr>
      </w:pPr>
      <w:r w:rsidRPr="00415C58">
        <w:rPr>
          <w:rFonts w:ascii="Times New Roman" w:hAnsi="Times New Roman"/>
        </w:rPr>
        <w:t>Item Number:</w:t>
      </w:r>
      <w:r w:rsidRPr="00415C58">
        <w:rPr>
          <w:rFonts w:ascii="Times New Roman" w:hAnsi="Times New Roman"/>
        </w:rPr>
        <w:tab/>
      </w:r>
      <w:r w:rsidR="00176C13">
        <w:rPr>
          <w:rFonts w:ascii="Times New Roman" w:hAnsi="Times New Roman"/>
        </w:rPr>
        <w:t>A1</w:t>
      </w:r>
    </w:p>
    <w:p w14:paraId="19406AFE" w14:textId="77777777" w:rsidR="004D50EB" w:rsidRPr="00415C58" w:rsidRDefault="004D50EB" w:rsidP="004D50EB">
      <w:pPr>
        <w:rPr>
          <w:rFonts w:ascii="Times New Roman" w:hAnsi="Times New Roman"/>
        </w:rPr>
      </w:pPr>
    </w:p>
    <w:p w14:paraId="19406AFF" w14:textId="55E8FFAD" w:rsidR="004D50EB" w:rsidRPr="00415C58" w:rsidRDefault="004D50EB" w:rsidP="004D50EB">
      <w:pPr>
        <w:rPr>
          <w:rFonts w:ascii="Times New Roman" w:hAnsi="Times New Roman"/>
          <w:b/>
          <w:bCs/>
        </w:rPr>
      </w:pPr>
      <w:r w:rsidRPr="00415C58">
        <w:rPr>
          <w:rFonts w:ascii="Times New Roman" w:hAnsi="Times New Roman"/>
          <w:b/>
          <w:bCs/>
        </w:rPr>
        <w:t>Docket:</w:t>
      </w:r>
      <w:r w:rsidRPr="00415C58">
        <w:rPr>
          <w:rFonts w:ascii="Times New Roman" w:hAnsi="Times New Roman"/>
          <w:b/>
          <w:bCs/>
        </w:rPr>
        <w:tab/>
      </w:r>
      <w:r w:rsidRPr="00415C58">
        <w:rPr>
          <w:rFonts w:ascii="Times New Roman" w:hAnsi="Times New Roman"/>
          <w:b/>
          <w:bCs/>
        </w:rPr>
        <w:tab/>
        <w:t>UE-1</w:t>
      </w:r>
      <w:r>
        <w:rPr>
          <w:rFonts w:ascii="Times New Roman" w:hAnsi="Times New Roman"/>
          <w:b/>
          <w:bCs/>
        </w:rPr>
        <w:t>20791</w:t>
      </w:r>
    </w:p>
    <w:p w14:paraId="19406B00" w14:textId="77777777" w:rsidR="004D50EB" w:rsidRPr="00415C58" w:rsidRDefault="004D50EB" w:rsidP="004D50EB">
      <w:pPr>
        <w:rPr>
          <w:rFonts w:ascii="Times New Roman" w:hAnsi="Times New Roman"/>
        </w:rPr>
      </w:pPr>
      <w:r w:rsidRPr="00415C58">
        <w:rPr>
          <w:rFonts w:ascii="Times New Roman" w:hAnsi="Times New Roman"/>
        </w:rPr>
        <w:t>Company:</w:t>
      </w:r>
      <w:r w:rsidRPr="00415C58">
        <w:rPr>
          <w:rFonts w:ascii="Times New Roman" w:hAnsi="Times New Roman"/>
        </w:rPr>
        <w:tab/>
      </w:r>
      <w:r w:rsidRPr="00415C58">
        <w:rPr>
          <w:rFonts w:ascii="Times New Roman" w:hAnsi="Times New Roman"/>
        </w:rPr>
        <w:tab/>
      </w:r>
      <w:r>
        <w:rPr>
          <w:rFonts w:ascii="Times New Roman" w:hAnsi="Times New Roman"/>
        </w:rPr>
        <w:t>Avista Corporation</w:t>
      </w:r>
    </w:p>
    <w:p w14:paraId="19406B01" w14:textId="77777777" w:rsidR="004D50EB" w:rsidRPr="00415C58" w:rsidRDefault="004D50EB" w:rsidP="004D50EB">
      <w:pPr>
        <w:rPr>
          <w:rFonts w:ascii="Times New Roman" w:hAnsi="Times New Roman"/>
        </w:rPr>
      </w:pPr>
    </w:p>
    <w:p w14:paraId="19406B02" w14:textId="77777777" w:rsidR="004D50EB" w:rsidRPr="00415C58" w:rsidRDefault="004D50EB" w:rsidP="004D50EB">
      <w:pPr>
        <w:rPr>
          <w:rFonts w:ascii="Times New Roman" w:hAnsi="Times New Roman"/>
        </w:rPr>
      </w:pPr>
      <w:r w:rsidRPr="00415C58">
        <w:rPr>
          <w:rFonts w:ascii="Times New Roman" w:hAnsi="Times New Roman"/>
        </w:rPr>
        <w:t>Staff:</w:t>
      </w:r>
      <w:r w:rsidRPr="00415C58">
        <w:rPr>
          <w:rFonts w:ascii="Times New Roman" w:hAnsi="Times New Roman"/>
        </w:rPr>
        <w:tab/>
      </w:r>
      <w:r w:rsidRPr="00415C58">
        <w:rPr>
          <w:rFonts w:ascii="Times New Roman" w:hAnsi="Times New Roman"/>
        </w:rPr>
        <w:tab/>
      </w:r>
      <w:r w:rsidRPr="00415C58">
        <w:rPr>
          <w:rFonts w:ascii="Times New Roman" w:hAnsi="Times New Roman"/>
        </w:rPr>
        <w:tab/>
      </w:r>
      <w:r>
        <w:rPr>
          <w:rFonts w:ascii="Times New Roman" w:hAnsi="Times New Roman"/>
        </w:rPr>
        <w:t>Jeremy Twitchell, Regulatory Analyst</w:t>
      </w:r>
    </w:p>
    <w:p w14:paraId="19406B03" w14:textId="77777777" w:rsidR="004D50EB" w:rsidRPr="00415C58" w:rsidRDefault="004D50EB" w:rsidP="004D50EB">
      <w:pPr>
        <w:rPr>
          <w:rFonts w:ascii="Times New Roman" w:hAnsi="Times New Roman"/>
        </w:rPr>
      </w:pPr>
    </w:p>
    <w:p w14:paraId="19406B04" w14:textId="77777777" w:rsidR="004D50EB" w:rsidRPr="00415C58" w:rsidRDefault="004D50EB" w:rsidP="004D50EB">
      <w:pPr>
        <w:rPr>
          <w:rFonts w:ascii="Times New Roman" w:hAnsi="Times New Roman"/>
          <w:b/>
          <w:bCs/>
          <w:u w:val="single"/>
        </w:rPr>
      </w:pPr>
      <w:r w:rsidRPr="00415C58">
        <w:rPr>
          <w:rFonts w:ascii="Times New Roman" w:hAnsi="Times New Roman"/>
          <w:b/>
          <w:bCs/>
          <w:u w:val="single"/>
        </w:rPr>
        <w:t>Recommendation</w:t>
      </w:r>
    </w:p>
    <w:p w14:paraId="19406B05" w14:textId="77777777" w:rsidR="004D50EB" w:rsidRPr="00437438" w:rsidRDefault="004D50EB" w:rsidP="004D50EB">
      <w:pPr>
        <w:rPr>
          <w:rFonts w:ascii="Times New Roman" w:hAnsi="Times New Roman"/>
        </w:rPr>
      </w:pPr>
    </w:p>
    <w:p w14:paraId="19406B06" w14:textId="77777777" w:rsidR="004D50EB" w:rsidRPr="00437438" w:rsidRDefault="004D50EB" w:rsidP="004D50EB">
      <w:pPr>
        <w:rPr>
          <w:rFonts w:ascii="Times New Roman" w:hAnsi="Times New Roman"/>
        </w:rPr>
      </w:pPr>
      <w:r w:rsidRPr="00437438">
        <w:rPr>
          <w:rFonts w:ascii="Times New Roman" w:hAnsi="Times New Roman"/>
        </w:rPr>
        <w:t>Issue an Order in Docket UE-1</w:t>
      </w:r>
      <w:r>
        <w:rPr>
          <w:rFonts w:ascii="Times New Roman" w:hAnsi="Times New Roman"/>
        </w:rPr>
        <w:t>20791</w:t>
      </w:r>
      <w:r w:rsidRPr="00437438">
        <w:rPr>
          <w:rFonts w:ascii="Times New Roman" w:hAnsi="Times New Roman"/>
        </w:rPr>
        <w:t xml:space="preserve"> finding:</w:t>
      </w:r>
    </w:p>
    <w:p w14:paraId="19406B07" w14:textId="77777777" w:rsidR="004D50EB" w:rsidRPr="00437438" w:rsidRDefault="004D50EB" w:rsidP="004D50EB">
      <w:pPr>
        <w:rPr>
          <w:rFonts w:ascii="Times New Roman" w:hAnsi="Times New Roman"/>
        </w:rPr>
      </w:pPr>
    </w:p>
    <w:p w14:paraId="19406B08" w14:textId="77777777" w:rsidR="004D50EB" w:rsidRPr="00437438" w:rsidRDefault="004D50EB" w:rsidP="004D50EB">
      <w:pPr>
        <w:ind w:left="720" w:hanging="720"/>
        <w:rPr>
          <w:rFonts w:ascii="Times New Roman" w:hAnsi="Times New Roman"/>
        </w:rPr>
      </w:pPr>
      <w:r w:rsidRPr="00437438">
        <w:rPr>
          <w:rFonts w:ascii="Times New Roman" w:hAnsi="Times New Roman"/>
        </w:rPr>
        <w:t>(1)</w:t>
      </w:r>
      <w:r w:rsidRPr="00437438">
        <w:rPr>
          <w:rFonts w:ascii="Times New Roman" w:hAnsi="Times New Roman"/>
        </w:rPr>
        <w:tab/>
      </w:r>
      <w:r>
        <w:rPr>
          <w:rFonts w:ascii="Times New Roman" w:hAnsi="Times New Roman"/>
        </w:rPr>
        <w:t xml:space="preserve">Avista Corporation </w:t>
      </w:r>
      <w:r w:rsidRPr="0047124C">
        <w:rPr>
          <w:rFonts w:ascii="Times New Roman" w:hAnsi="Times New Roman"/>
        </w:rPr>
        <w:t xml:space="preserve">has complied with the two-step reporting process identified by the </w:t>
      </w:r>
      <w:r>
        <w:rPr>
          <w:rFonts w:ascii="Times New Roman" w:hAnsi="Times New Roman"/>
        </w:rPr>
        <w:t>c</w:t>
      </w:r>
      <w:r w:rsidRPr="0047124C">
        <w:rPr>
          <w:rFonts w:ascii="Times New Roman" w:hAnsi="Times New Roman"/>
        </w:rPr>
        <w:t>ommission in Order 01 of this docket.</w:t>
      </w:r>
    </w:p>
    <w:p w14:paraId="19406B09" w14:textId="0FD33AA9" w:rsidR="004D50EB" w:rsidRPr="00437438" w:rsidRDefault="004D50EB" w:rsidP="004D50EB">
      <w:pPr>
        <w:ind w:left="720" w:hanging="720"/>
        <w:rPr>
          <w:rFonts w:ascii="Times New Roman" w:hAnsi="Times New Roman"/>
        </w:rPr>
      </w:pPr>
      <w:r w:rsidRPr="00437438">
        <w:rPr>
          <w:rFonts w:ascii="Times New Roman" w:hAnsi="Times New Roman"/>
        </w:rPr>
        <w:t>(2)</w:t>
      </w:r>
      <w:r w:rsidRPr="00437438">
        <w:rPr>
          <w:rFonts w:ascii="Times New Roman" w:hAnsi="Times New Roman"/>
        </w:rPr>
        <w:tab/>
      </w:r>
      <w:r>
        <w:rPr>
          <w:rFonts w:ascii="Times New Roman" w:hAnsi="Times New Roman"/>
        </w:rPr>
        <w:t>Avista Corporation</w:t>
      </w:r>
      <w:r w:rsidRPr="0047124C">
        <w:rPr>
          <w:rFonts w:ascii="Times New Roman" w:hAnsi="Times New Roman"/>
        </w:rPr>
        <w:t xml:space="preserve"> has generated or acquired </w:t>
      </w:r>
      <w:r w:rsidR="00C42722">
        <w:rPr>
          <w:rFonts w:ascii="Times New Roman" w:hAnsi="Times New Roman"/>
        </w:rPr>
        <w:t xml:space="preserve">191,205 </w:t>
      </w:r>
      <w:r w:rsidRPr="0047124C">
        <w:rPr>
          <w:rFonts w:ascii="Times New Roman" w:hAnsi="Times New Roman"/>
        </w:rPr>
        <w:t xml:space="preserve">megawatt-hours </w:t>
      </w:r>
      <w:r>
        <w:rPr>
          <w:rFonts w:ascii="Times New Roman" w:hAnsi="Times New Roman"/>
        </w:rPr>
        <w:t>of</w:t>
      </w:r>
      <w:r w:rsidRPr="0047124C">
        <w:rPr>
          <w:rFonts w:ascii="Times New Roman" w:hAnsi="Times New Roman"/>
        </w:rPr>
        <w:t xml:space="preserve"> eligible generation for the purpose of 2012 RPS compliance,</w:t>
      </w:r>
      <w:r w:rsidRPr="004D50EB">
        <w:t xml:space="preserve"> </w:t>
      </w:r>
      <w:r w:rsidRPr="004D50EB">
        <w:rPr>
          <w:rFonts w:ascii="Times New Roman" w:hAnsi="Times New Roman"/>
        </w:rPr>
        <w:t>and retired corresponding certificates for all resources that are registered in WREGIS.</w:t>
      </w:r>
    </w:p>
    <w:p w14:paraId="19406B0A" w14:textId="77777777" w:rsidR="004D50EB" w:rsidRPr="00437438" w:rsidRDefault="004D50EB" w:rsidP="004D50EB">
      <w:pPr>
        <w:ind w:left="720" w:hanging="720"/>
        <w:rPr>
          <w:rFonts w:ascii="Times New Roman" w:hAnsi="Times New Roman"/>
        </w:rPr>
      </w:pPr>
      <w:r w:rsidRPr="00437438">
        <w:rPr>
          <w:rFonts w:ascii="Times New Roman" w:hAnsi="Times New Roman"/>
        </w:rPr>
        <w:t>(3)</w:t>
      </w:r>
      <w:r w:rsidRPr="00437438">
        <w:rPr>
          <w:rFonts w:ascii="Times New Roman" w:hAnsi="Times New Roman"/>
        </w:rPr>
        <w:tab/>
      </w:r>
      <w:r>
        <w:rPr>
          <w:rFonts w:ascii="Times New Roman" w:hAnsi="Times New Roman"/>
        </w:rPr>
        <w:t>Avista Corporation</w:t>
      </w:r>
      <w:r w:rsidRPr="0047124C">
        <w:rPr>
          <w:rFonts w:ascii="Times New Roman" w:hAnsi="Times New Roman"/>
        </w:rPr>
        <w:t xml:space="preserve"> has complied with its 2012 RPS target as required by RCW 19.285.040(2)(a)(i).</w:t>
      </w:r>
    </w:p>
    <w:p w14:paraId="19406B0B" w14:textId="77777777" w:rsidR="004D50EB" w:rsidRPr="00415C58" w:rsidRDefault="004D50EB" w:rsidP="004D50EB">
      <w:pPr>
        <w:rPr>
          <w:rFonts w:ascii="Times New Roman" w:hAnsi="Times New Roman"/>
        </w:rPr>
      </w:pPr>
    </w:p>
    <w:p w14:paraId="19406B0C" w14:textId="77777777" w:rsidR="004D50EB" w:rsidRPr="00415C58" w:rsidRDefault="004D50EB" w:rsidP="004D50EB">
      <w:pPr>
        <w:rPr>
          <w:rFonts w:ascii="Times New Roman" w:hAnsi="Times New Roman"/>
          <w:b/>
          <w:u w:val="single"/>
        </w:rPr>
      </w:pPr>
      <w:r>
        <w:rPr>
          <w:rFonts w:ascii="Times New Roman" w:hAnsi="Times New Roman"/>
          <w:b/>
          <w:u w:val="single"/>
        </w:rPr>
        <w:t>Background</w:t>
      </w:r>
    </w:p>
    <w:p w14:paraId="19406B0D" w14:textId="77777777" w:rsidR="004D50EB" w:rsidRPr="00415C58" w:rsidRDefault="004D50EB" w:rsidP="004D50EB">
      <w:pPr>
        <w:rPr>
          <w:rFonts w:ascii="Times New Roman" w:hAnsi="Times New Roman"/>
        </w:rPr>
      </w:pPr>
    </w:p>
    <w:p w14:paraId="19406B0E" w14:textId="678D5EF2" w:rsidR="004D50EB" w:rsidRDefault="004D50EB" w:rsidP="004D50EB">
      <w:pPr>
        <w:rPr>
          <w:rFonts w:ascii="Times New Roman" w:hAnsi="Times New Roman"/>
        </w:rPr>
      </w:pPr>
      <w:r>
        <w:rPr>
          <w:rFonts w:ascii="Times New Roman" w:hAnsi="Times New Roman"/>
        </w:rPr>
        <w:t>The commission issued Order 01 in this docket on Sept. 13, 2012, which approved Avista Corporation’s (Avista or company) calculation of its 2012 renewable energy target as 166,047 meg</w:t>
      </w:r>
      <w:r w:rsidR="004E1336">
        <w:rPr>
          <w:rFonts w:ascii="Times New Roman" w:hAnsi="Times New Roman"/>
        </w:rPr>
        <w:t>a</w:t>
      </w:r>
      <w:r>
        <w:rPr>
          <w:rFonts w:ascii="Times New Roman" w:hAnsi="Times New Roman"/>
        </w:rPr>
        <w:t>watt-hours. In that order, the commission also adopted a “two-step” process for determining compliance with the renewable portfolio standard (RPS) requir</w:t>
      </w:r>
      <w:r w:rsidR="004E1336">
        <w:rPr>
          <w:rFonts w:ascii="Times New Roman" w:hAnsi="Times New Roman"/>
        </w:rPr>
        <w:t>e</w:t>
      </w:r>
      <w:r>
        <w:rPr>
          <w:rFonts w:ascii="Times New Roman" w:hAnsi="Times New Roman"/>
        </w:rPr>
        <w:t xml:space="preserve">ments within the Energy Independence Act (EIA). </w:t>
      </w:r>
    </w:p>
    <w:p w14:paraId="19406B0F" w14:textId="77777777" w:rsidR="004D50EB" w:rsidRDefault="004D50EB" w:rsidP="004D50EB">
      <w:pPr>
        <w:rPr>
          <w:rFonts w:ascii="Times New Roman" w:hAnsi="Times New Roman"/>
        </w:rPr>
      </w:pPr>
    </w:p>
    <w:p w14:paraId="19406B10" w14:textId="0AAFFC81" w:rsidR="004D50EB" w:rsidRDefault="004D50EB" w:rsidP="004D50EB">
      <w:pPr>
        <w:rPr>
          <w:rFonts w:ascii="Times New Roman" w:hAnsi="Times New Roman"/>
        </w:rPr>
      </w:pPr>
      <w:r>
        <w:rPr>
          <w:rFonts w:ascii="Times New Roman" w:hAnsi="Times New Roman"/>
        </w:rPr>
        <w:t>Under the two-step process, each utility is expected to file an initial report each year to calculate its renewable energy target for that year and demonstrate that it has acquired or contracted to acquire enough renewable energy credits (RECs) or eligible gener</w:t>
      </w:r>
      <w:r w:rsidR="004E1336">
        <w:rPr>
          <w:rFonts w:ascii="Times New Roman" w:hAnsi="Times New Roman"/>
        </w:rPr>
        <w:t>ation to meet that target. Then</w:t>
      </w:r>
      <w:r>
        <w:rPr>
          <w:rFonts w:ascii="Times New Roman" w:hAnsi="Times New Roman"/>
        </w:rPr>
        <w:t xml:space="preserve"> no later than June 1 two years after the target year, the utility must file a report with the commission that shows the specific resources that it used for compliance and the quantity of RECs or eligible generation from each resource.</w:t>
      </w:r>
    </w:p>
    <w:p w14:paraId="19406B11" w14:textId="77777777" w:rsidR="004D50EB" w:rsidRDefault="004D50EB" w:rsidP="004D50EB">
      <w:pPr>
        <w:rPr>
          <w:rFonts w:ascii="Times New Roman" w:hAnsi="Times New Roman"/>
        </w:rPr>
      </w:pPr>
    </w:p>
    <w:p w14:paraId="19406B12" w14:textId="77777777" w:rsidR="004D50EB" w:rsidRDefault="004D50EB" w:rsidP="004D50EB">
      <w:pPr>
        <w:rPr>
          <w:rFonts w:ascii="Times New Roman" w:hAnsi="Times New Roman"/>
        </w:rPr>
      </w:pPr>
      <w:r>
        <w:rPr>
          <w:rFonts w:ascii="Times New Roman" w:hAnsi="Times New Roman"/>
        </w:rPr>
        <w:t xml:space="preserve">Pursuant to RCW 19.285.030(20), the Washington State Department of Commerce has selected the Western Renewable Energy Generation Information System (WREGIS) as the tracking body that verifies the RECs and eligible generation that qualifying utilities under the EIA use for compliance. To comply with the RPS requirements of the EIA, a utility must retire WREGIS certificates for the eligible resources that it claimed in its final compliance report. </w:t>
      </w:r>
    </w:p>
    <w:p w14:paraId="19406B13" w14:textId="77777777" w:rsidR="004D50EB" w:rsidRDefault="004D50EB" w:rsidP="004D50EB">
      <w:pPr>
        <w:rPr>
          <w:rFonts w:ascii="Times New Roman" w:hAnsi="Times New Roman"/>
        </w:rPr>
      </w:pPr>
    </w:p>
    <w:p w14:paraId="19406B14" w14:textId="77777777" w:rsidR="004D50EB" w:rsidRDefault="004D50EB" w:rsidP="004D50EB">
      <w:pPr>
        <w:rPr>
          <w:rFonts w:ascii="Times New Roman" w:hAnsi="Times New Roman"/>
        </w:rPr>
      </w:pPr>
      <w:r>
        <w:rPr>
          <w:rFonts w:ascii="Times New Roman" w:hAnsi="Times New Roman"/>
          <w:b/>
          <w:u w:val="single"/>
        </w:rPr>
        <w:t>Discussion</w:t>
      </w:r>
    </w:p>
    <w:p w14:paraId="19406B15" w14:textId="77777777" w:rsidR="004D50EB" w:rsidRDefault="004D50EB" w:rsidP="004D50EB">
      <w:pPr>
        <w:rPr>
          <w:rFonts w:ascii="Times New Roman" w:hAnsi="Times New Roman"/>
        </w:rPr>
      </w:pPr>
    </w:p>
    <w:p w14:paraId="19406B16" w14:textId="77777777" w:rsidR="004D50EB" w:rsidRDefault="004D50EB" w:rsidP="004D50EB">
      <w:pPr>
        <w:rPr>
          <w:rFonts w:ascii="Times New Roman" w:hAnsi="Times New Roman"/>
        </w:rPr>
      </w:pPr>
      <w:r>
        <w:rPr>
          <w:rFonts w:ascii="Times New Roman" w:hAnsi="Times New Roman"/>
        </w:rPr>
        <w:t xml:space="preserve">On April 25, 2014, Avista filed its Request for Compliance Determination for the 2012 target. At the time of filing the request, Avista had not yet retired its WREGIS certificates, as the company </w:t>
      </w:r>
      <w:r>
        <w:rPr>
          <w:rFonts w:ascii="Times New Roman" w:hAnsi="Times New Roman"/>
        </w:rPr>
        <w:lastRenderedPageBreak/>
        <w:t>preferred to be ordered to do so by the commission. Staff, however, believe</w:t>
      </w:r>
      <w:r w:rsidR="00885E8B">
        <w:rPr>
          <w:rFonts w:ascii="Times New Roman" w:hAnsi="Times New Roman"/>
        </w:rPr>
        <w:t>s</w:t>
      </w:r>
      <w:r>
        <w:rPr>
          <w:rFonts w:ascii="Times New Roman" w:hAnsi="Times New Roman"/>
        </w:rPr>
        <w:t xml:space="preserve"> that retiring certificates is a necessary component of demonstrating compliance, and requested that Avista retire the WREGIS certificates before the open meeting. </w:t>
      </w:r>
    </w:p>
    <w:p w14:paraId="19406B17" w14:textId="77777777" w:rsidR="004D50EB" w:rsidRDefault="004D50EB" w:rsidP="004D50EB">
      <w:pPr>
        <w:rPr>
          <w:rFonts w:ascii="Times New Roman" w:hAnsi="Times New Roman"/>
        </w:rPr>
      </w:pPr>
    </w:p>
    <w:p w14:paraId="19406B18" w14:textId="7C788D6B" w:rsidR="004D50EB" w:rsidRDefault="004D50EB" w:rsidP="004D50EB">
      <w:pPr>
        <w:rPr>
          <w:rFonts w:ascii="Times New Roman" w:hAnsi="Times New Roman"/>
        </w:rPr>
      </w:pPr>
      <w:r>
        <w:rPr>
          <w:rFonts w:ascii="Times New Roman" w:hAnsi="Times New Roman"/>
        </w:rPr>
        <w:t xml:space="preserve">Staff’s opinion is based on Order 01 in this docket, which required Avista to “file a second report no later </w:t>
      </w:r>
      <w:r w:rsidRPr="004D50EB">
        <w:rPr>
          <w:rFonts w:ascii="Times New Roman" w:hAnsi="Times New Roman"/>
        </w:rPr>
        <w:t>June 1, 2014, that provides the information necessary to determine whether Avista met the January 1, 2012, target, including the specific megawatt-hours and/or renewable energy credits used to meet the target.</w:t>
      </w:r>
      <w:r>
        <w:rPr>
          <w:rFonts w:ascii="Times New Roman" w:hAnsi="Times New Roman"/>
        </w:rPr>
        <w:t>”</w:t>
      </w:r>
      <w:r w:rsidR="007339B9">
        <w:rPr>
          <w:rStyle w:val="FootnoteReference"/>
          <w:rFonts w:ascii="Times New Roman" w:hAnsi="Times New Roman"/>
        </w:rPr>
        <w:footnoteReference w:id="1"/>
      </w:r>
      <w:r w:rsidR="006D6B08">
        <w:rPr>
          <w:rFonts w:ascii="Times New Roman" w:hAnsi="Times New Roman"/>
        </w:rPr>
        <w:t>Meeting</w:t>
      </w:r>
      <w:r w:rsidR="008F711D">
        <w:rPr>
          <w:rFonts w:ascii="Times New Roman" w:hAnsi="Times New Roman"/>
        </w:rPr>
        <w:t xml:space="preserve"> </w:t>
      </w:r>
      <w:r>
        <w:rPr>
          <w:rFonts w:ascii="Times New Roman" w:hAnsi="Times New Roman"/>
        </w:rPr>
        <w:t>the target, in staff’s opinion, requires a utility to retire the WREGIS certificates</w:t>
      </w:r>
      <w:r w:rsidR="006D6B08">
        <w:rPr>
          <w:rFonts w:ascii="Times New Roman" w:hAnsi="Times New Roman"/>
        </w:rPr>
        <w:t xml:space="preserve"> for the generation and RECs that are being used for compliance</w:t>
      </w:r>
      <w:r>
        <w:rPr>
          <w:rFonts w:ascii="Times New Roman" w:hAnsi="Times New Roman"/>
        </w:rPr>
        <w:t xml:space="preserve">, because that is the point at which the resources are committed to the target and can no longer be sold or held for another year. </w:t>
      </w:r>
      <w:r w:rsidR="002A0D08">
        <w:rPr>
          <w:rFonts w:ascii="Times New Roman" w:hAnsi="Times New Roman"/>
        </w:rPr>
        <w:t xml:space="preserve">Although </w:t>
      </w:r>
      <w:r>
        <w:rPr>
          <w:rFonts w:ascii="Times New Roman" w:hAnsi="Times New Roman"/>
        </w:rPr>
        <w:t xml:space="preserve">the </w:t>
      </w:r>
      <w:r w:rsidR="002A0D08">
        <w:rPr>
          <w:rFonts w:ascii="Times New Roman" w:hAnsi="Times New Roman"/>
        </w:rPr>
        <w:t xml:space="preserve">initial order was not explicit about the retirement of </w:t>
      </w:r>
      <w:r>
        <w:rPr>
          <w:rFonts w:ascii="Times New Roman" w:hAnsi="Times New Roman"/>
        </w:rPr>
        <w:t xml:space="preserve">WREGIS certificates, </w:t>
      </w:r>
      <w:r w:rsidR="002A0D08">
        <w:rPr>
          <w:rFonts w:ascii="Times New Roman" w:hAnsi="Times New Roman"/>
        </w:rPr>
        <w:t xml:space="preserve">it </w:t>
      </w:r>
      <w:r>
        <w:rPr>
          <w:rFonts w:ascii="Times New Roman" w:hAnsi="Times New Roman"/>
        </w:rPr>
        <w:t>would have</w:t>
      </w:r>
      <w:r w:rsidR="002A0D08">
        <w:rPr>
          <w:rFonts w:ascii="Times New Roman" w:hAnsi="Times New Roman"/>
        </w:rPr>
        <w:t xml:space="preserve"> described</w:t>
      </w:r>
      <w:r>
        <w:rPr>
          <w:rFonts w:ascii="Times New Roman" w:hAnsi="Times New Roman"/>
        </w:rPr>
        <w:t xml:space="preserve"> an additional compliance filing afte</w:t>
      </w:r>
      <w:r w:rsidR="00897C85">
        <w:rPr>
          <w:rFonts w:ascii="Times New Roman" w:hAnsi="Times New Roman"/>
        </w:rPr>
        <w:t xml:space="preserve">r the certificates </w:t>
      </w:r>
      <w:r w:rsidR="002A0D08">
        <w:rPr>
          <w:rFonts w:ascii="Times New Roman" w:hAnsi="Times New Roman"/>
        </w:rPr>
        <w:t xml:space="preserve">were </w:t>
      </w:r>
      <w:r w:rsidR="00897C85">
        <w:rPr>
          <w:rFonts w:ascii="Times New Roman" w:hAnsi="Times New Roman"/>
        </w:rPr>
        <w:t>retired</w:t>
      </w:r>
      <w:r w:rsidR="002A0D08">
        <w:rPr>
          <w:rFonts w:ascii="Times New Roman" w:hAnsi="Times New Roman"/>
        </w:rPr>
        <w:t xml:space="preserve"> if that were the desired approach</w:t>
      </w:r>
      <w:r w:rsidR="00897C85">
        <w:rPr>
          <w:rFonts w:ascii="Times New Roman" w:hAnsi="Times New Roman"/>
        </w:rPr>
        <w:t>.</w:t>
      </w:r>
      <w:r w:rsidR="002A0D08" w:rsidRPr="002A0D08">
        <w:rPr>
          <w:rFonts w:ascii="Times New Roman" w:hAnsi="Times New Roman"/>
        </w:rPr>
        <w:t xml:space="preserve"> </w:t>
      </w:r>
      <w:r w:rsidR="002A0D08">
        <w:rPr>
          <w:rFonts w:ascii="Times New Roman" w:hAnsi="Times New Roman"/>
        </w:rPr>
        <w:t xml:space="preserve">Retiring the certificates before requesting a determination of final compliance simplifies the compliance process, </w:t>
      </w:r>
      <w:r w:rsidR="00DF387A">
        <w:rPr>
          <w:rFonts w:ascii="Times New Roman" w:hAnsi="Times New Roman"/>
        </w:rPr>
        <w:t>preventing additional, unnecessary work of the company and staff</w:t>
      </w:r>
      <w:r w:rsidR="002A0D08">
        <w:rPr>
          <w:rFonts w:ascii="Times New Roman" w:hAnsi="Times New Roman"/>
        </w:rPr>
        <w:t>.</w:t>
      </w:r>
    </w:p>
    <w:p w14:paraId="19406B19" w14:textId="77777777" w:rsidR="00897C85" w:rsidRDefault="00897C85" w:rsidP="004D50EB">
      <w:pPr>
        <w:rPr>
          <w:rFonts w:ascii="Times New Roman" w:hAnsi="Times New Roman"/>
        </w:rPr>
      </w:pPr>
    </w:p>
    <w:p w14:paraId="19406B1A" w14:textId="6CC45E90" w:rsidR="004D50EB" w:rsidRDefault="00897C85" w:rsidP="004D50EB">
      <w:pPr>
        <w:rPr>
          <w:rFonts w:ascii="Times New Roman" w:hAnsi="Times New Roman"/>
        </w:rPr>
      </w:pPr>
      <w:r>
        <w:rPr>
          <w:rFonts w:ascii="Times New Roman" w:hAnsi="Times New Roman"/>
        </w:rPr>
        <w:t>Staff expressed this view to Avista, and the company agreed to retire its RECs before the open meeting. On May 20</w:t>
      </w:r>
      <w:r w:rsidR="00C42722">
        <w:rPr>
          <w:rFonts w:ascii="Times New Roman" w:hAnsi="Times New Roman"/>
        </w:rPr>
        <w:t xml:space="preserve"> and May 28</w:t>
      </w:r>
      <w:r>
        <w:rPr>
          <w:rFonts w:ascii="Times New Roman" w:hAnsi="Times New Roman"/>
        </w:rPr>
        <w:t xml:space="preserve">, 2014, Avista filed supplemental information in this docket that </w:t>
      </w:r>
      <w:r w:rsidR="004D50EB">
        <w:rPr>
          <w:rFonts w:ascii="Times New Roman" w:hAnsi="Times New Roman"/>
        </w:rPr>
        <w:t>included a printout of the company’s WREGIS account showing that</w:t>
      </w:r>
      <w:r>
        <w:rPr>
          <w:rFonts w:ascii="Times New Roman" w:hAnsi="Times New Roman"/>
        </w:rPr>
        <w:t xml:space="preserve"> it had retired</w:t>
      </w:r>
      <w:r w:rsidR="004D50EB">
        <w:rPr>
          <w:rFonts w:ascii="Times New Roman" w:hAnsi="Times New Roman"/>
        </w:rPr>
        <w:t xml:space="preserve"> </w:t>
      </w:r>
      <w:r w:rsidR="000D3C62">
        <w:rPr>
          <w:rFonts w:ascii="Times New Roman" w:hAnsi="Times New Roman"/>
        </w:rPr>
        <w:t>a total of 168,999</w:t>
      </w:r>
      <w:r w:rsidR="004D50EB">
        <w:rPr>
          <w:rFonts w:ascii="Times New Roman" w:hAnsi="Times New Roman"/>
        </w:rPr>
        <w:t xml:space="preserve"> certificates for compliance with the company’s 2012 Washington renewable energy target. </w:t>
      </w:r>
      <w:r>
        <w:rPr>
          <w:rFonts w:ascii="Times New Roman" w:hAnsi="Times New Roman"/>
        </w:rPr>
        <w:t>Avista</w:t>
      </w:r>
      <w:r w:rsidR="004D50EB">
        <w:rPr>
          <w:rFonts w:ascii="Times New Roman" w:hAnsi="Times New Roman"/>
        </w:rPr>
        <w:t xml:space="preserve"> also acquired </w:t>
      </w:r>
      <w:r w:rsidR="00C42722">
        <w:rPr>
          <w:rFonts w:ascii="Times New Roman" w:hAnsi="Times New Roman"/>
        </w:rPr>
        <w:t xml:space="preserve">22,206 </w:t>
      </w:r>
      <w:r w:rsidR="004D50EB">
        <w:rPr>
          <w:rFonts w:ascii="Times New Roman" w:hAnsi="Times New Roman"/>
        </w:rPr>
        <w:t xml:space="preserve">megawatt-hours of eligible hydro generation from the Wanapum Dam, for a total of </w:t>
      </w:r>
      <w:r w:rsidR="00C42722">
        <w:rPr>
          <w:rFonts w:ascii="Times New Roman" w:hAnsi="Times New Roman"/>
        </w:rPr>
        <w:t>191,205</w:t>
      </w:r>
      <w:r w:rsidR="004D50EB">
        <w:rPr>
          <w:rFonts w:ascii="Times New Roman" w:hAnsi="Times New Roman"/>
        </w:rPr>
        <w:t xml:space="preserve"> megawatt-hours </w:t>
      </w:r>
      <w:r>
        <w:rPr>
          <w:rFonts w:ascii="Times New Roman" w:hAnsi="Times New Roman"/>
        </w:rPr>
        <w:t>of</w:t>
      </w:r>
      <w:r w:rsidR="004D50EB">
        <w:rPr>
          <w:rFonts w:ascii="Times New Roman" w:hAnsi="Times New Roman"/>
        </w:rPr>
        <w:t xml:space="preserve"> eligible renewable resource generation for 2012. </w:t>
      </w:r>
      <w:r w:rsidR="000D3C62">
        <w:rPr>
          <w:rFonts w:ascii="Times New Roman" w:hAnsi="Times New Roman"/>
        </w:rPr>
        <w:t>See Staff’s new Attachment A to this memo.</w:t>
      </w:r>
    </w:p>
    <w:p w14:paraId="19406B1B" w14:textId="77777777" w:rsidR="004D50EB" w:rsidRDefault="004D50EB" w:rsidP="004D50EB">
      <w:pPr>
        <w:rPr>
          <w:rFonts w:ascii="Times New Roman" w:hAnsi="Times New Roman"/>
        </w:rPr>
      </w:pPr>
    </w:p>
    <w:p w14:paraId="19406B1C" w14:textId="738C00EE" w:rsidR="004D50EB" w:rsidRDefault="004D50EB" w:rsidP="004D50EB">
      <w:pPr>
        <w:rPr>
          <w:rFonts w:ascii="Times New Roman" w:hAnsi="Times New Roman"/>
        </w:rPr>
      </w:pPr>
      <w:r>
        <w:rPr>
          <w:rFonts w:ascii="Times New Roman" w:hAnsi="Times New Roman"/>
        </w:rPr>
        <w:t xml:space="preserve">Grant County PUD, which operates Wanapum, has not registered that facility in WREGIS, so </w:t>
      </w:r>
      <w:r w:rsidR="00897C85">
        <w:rPr>
          <w:rFonts w:ascii="Times New Roman" w:hAnsi="Times New Roman"/>
        </w:rPr>
        <w:t>Avista</w:t>
      </w:r>
      <w:r>
        <w:rPr>
          <w:rFonts w:ascii="Times New Roman" w:hAnsi="Times New Roman"/>
        </w:rPr>
        <w:t xml:space="preserve"> was unable to retire certificates that corresponded to its share of Wanapum’s eligible generation. Staff recommends that in approving </w:t>
      </w:r>
      <w:r w:rsidR="00897C85">
        <w:rPr>
          <w:rFonts w:ascii="Times New Roman" w:hAnsi="Times New Roman"/>
        </w:rPr>
        <w:t>Avista</w:t>
      </w:r>
      <w:r>
        <w:rPr>
          <w:rFonts w:ascii="Times New Roman" w:hAnsi="Times New Roman"/>
        </w:rPr>
        <w:t>’s use of Wanapum generation, the commission state that the approval applies for the 2012 target year only, to allow for further investigation of whether utilities should be allowed to claim eligible resources th</w:t>
      </w:r>
      <w:r w:rsidR="00897C85">
        <w:rPr>
          <w:rFonts w:ascii="Times New Roman" w:hAnsi="Times New Roman"/>
        </w:rPr>
        <w:t>at cannot be track</w:t>
      </w:r>
      <w:r w:rsidR="00985402">
        <w:rPr>
          <w:rFonts w:ascii="Times New Roman" w:hAnsi="Times New Roman"/>
        </w:rPr>
        <w:t xml:space="preserve">ed in WREGIS. </w:t>
      </w:r>
      <w:r w:rsidR="008F711D">
        <w:rPr>
          <w:rFonts w:ascii="Times New Roman" w:hAnsi="Times New Roman"/>
        </w:rPr>
        <w:t>This is consistent with the commission’s approval of Method 3 for calculating Avista’s 2012 incremental hydro generation.</w:t>
      </w:r>
      <w:r w:rsidR="007339B9">
        <w:rPr>
          <w:rStyle w:val="FootnoteReference"/>
          <w:rFonts w:ascii="Times New Roman" w:hAnsi="Times New Roman"/>
        </w:rPr>
        <w:footnoteReference w:id="2"/>
      </w:r>
      <w:r w:rsidR="008F711D">
        <w:rPr>
          <w:rFonts w:ascii="Times New Roman" w:hAnsi="Times New Roman"/>
        </w:rPr>
        <w:t xml:space="preserve"> </w:t>
      </w:r>
      <w:r w:rsidR="00985402">
        <w:rPr>
          <w:rFonts w:ascii="Times New Roman" w:hAnsi="Times New Roman"/>
        </w:rPr>
        <w:t xml:space="preserve">Staff also believes it should be made clear that methodologies employed by PUDs in determining their incremental hydro production will be evaluated on a case-by-case basis. </w:t>
      </w:r>
    </w:p>
    <w:p w14:paraId="19406B1D" w14:textId="77777777" w:rsidR="004D50EB" w:rsidRDefault="004D50EB" w:rsidP="004D50EB">
      <w:pPr>
        <w:rPr>
          <w:rFonts w:ascii="Times New Roman" w:hAnsi="Times New Roman"/>
        </w:rPr>
      </w:pPr>
    </w:p>
    <w:p w14:paraId="19406B1E" w14:textId="77777777" w:rsidR="004D50EB" w:rsidRPr="00415C58" w:rsidRDefault="004D50EB" w:rsidP="004D50EB">
      <w:pPr>
        <w:rPr>
          <w:rFonts w:ascii="Times New Roman" w:hAnsi="Times New Roman"/>
          <w:b/>
          <w:u w:val="single"/>
        </w:rPr>
      </w:pPr>
      <w:r w:rsidRPr="00415C58">
        <w:rPr>
          <w:rFonts w:ascii="Times New Roman" w:hAnsi="Times New Roman"/>
          <w:b/>
          <w:u w:val="single"/>
        </w:rPr>
        <w:t>Conclusion</w:t>
      </w:r>
    </w:p>
    <w:p w14:paraId="19406B1F" w14:textId="77777777" w:rsidR="004D50EB" w:rsidRPr="00415C58" w:rsidRDefault="004D50EB" w:rsidP="004D50EB">
      <w:pPr>
        <w:rPr>
          <w:rFonts w:ascii="Times New Roman" w:hAnsi="Times New Roman"/>
        </w:rPr>
      </w:pPr>
    </w:p>
    <w:p w14:paraId="19406B20" w14:textId="77777777" w:rsidR="004D50EB" w:rsidRDefault="004D50EB" w:rsidP="004D50EB">
      <w:pPr>
        <w:rPr>
          <w:rFonts w:ascii="Times New Roman" w:hAnsi="Times New Roman"/>
        </w:rPr>
      </w:pPr>
      <w:r>
        <w:rPr>
          <w:rFonts w:ascii="Times New Roman" w:hAnsi="Times New Roman"/>
        </w:rPr>
        <w:lastRenderedPageBreak/>
        <w:t>Staff recommends that the commission issue an order in Docket UE-</w:t>
      </w:r>
      <w:r w:rsidR="00985402">
        <w:rPr>
          <w:rFonts w:ascii="Times New Roman" w:hAnsi="Times New Roman"/>
        </w:rPr>
        <w:t>120791</w:t>
      </w:r>
      <w:r>
        <w:rPr>
          <w:rFonts w:ascii="Times New Roman" w:hAnsi="Times New Roman"/>
        </w:rPr>
        <w:t xml:space="preserve"> as described in the recommendation section above. </w:t>
      </w:r>
    </w:p>
    <w:p w14:paraId="4ABAC773" w14:textId="77777777" w:rsidR="000D3C62" w:rsidRDefault="000D3C62" w:rsidP="004D50EB">
      <w:pPr>
        <w:rPr>
          <w:rFonts w:ascii="Times New Roman" w:hAnsi="Times New Roman"/>
        </w:rPr>
      </w:pPr>
    </w:p>
    <w:p w14:paraId="7A826EA0" w14:textId="0225C57C" w:rsidR="000D3C62" w:rsidRPr="00415C58" w:rsidRDefault="000D3C62" w:rsidP="004D50EB">
      <w:pPr>
        <w:rPr>
          <w:rFonts w:ascii="Times New Roman" w:hAnsi="Times New Roman"/>
        </w:rPr>
      </w:pPr>
      <w:r>
        <w:rPr>
          <w:rFonts w:ascii="Times New Roman" w:hAnsi="Times New Roman"/>
        </w:rPr>
        <w:t>See new Attachment A circulated at the open meeting.</w:t>
      </w:r>
    </w:p>
    <w:sectPr w:rsidR="000D3C62" w:rsidRPr="00415C5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06B2F" w14:textId="77777777" w:rsidR="00C42722" w:rsidRDefault="00C42722">
      <w:r>
        <w:separator/>
      </w:r>
    </w:p>
  </w:endnote>
  <w:endnote w:type="continuationSeparator" w:id="0">
    <w:p w14:paraId="19406B31" w14:textId="77777777" w:rsidR="00C42722" w:rsidRDefault="00C4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811F8" w14:textId="77777777" w:rsidR="00B30985" w:rsidRDefault="00B30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DC5B5" w14:textId="77777777" w:rsidR="00B30985" w:rsidRDefault="00B309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2840E" w14:textId="77777777" w:rsidR="00B30985" w:rsidRDefault="00B30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06B2B" w14:textId="77777777" w:rsidR="00C42722" w:rsidRDefault="00C42722">
      <w:r>
        <w:separator/>
      </w:r>
    </w:p>
  </w:footnote>
  <w:footnote w:type="continuationSeparator" w:id="0">
    <w:p w14:paraId="19406B2D" w14:textId="77777777" w:rsidR="00C42722" w:rsidRDefault="00C42722">
      <w:r>
        <w:continuationSeparator/>
      </w:r>
    </w:p>
  </w:footnote>
  <w:footnote w:id="1">
    <w:p w14:paraId="2A1D4407" w14:textId="09F20BD3" w:rsidR="00C42722" w:rsidRDefault="00C42722">
      <w:pPr>
        <w:pStyle w:val="FootnoteText"/>
      </w:pPr>
      <w:r>
        <w:rPr>
          <w:rStyle w:val="FootnoteReference"/>
        </w:rPr>
        <w:footnoteRef/>
      </w:r>
      <w:r>
        <w:t xml:space="preserve"> Avista Corporation’s Renewable Renewable Energy Target Progress Report, Docket UE-120791, Order 01, ¶ 54.</w:t>
      </w:r>
    </w:p>
  </w:footnote>
  <w:footnote w:id="2">
    <w:p w14:paraId="5D0CAA4A" w14:textId="75B8126C" w:rsidR="00C42722" w:rsidRDefault="00C42722">
      <w:pPr>
        <w:pStyle w:val="FootnoteText"/>
      </w:pPr>
      <w:r>
        <w:rPr>
          <w:rStyle w:val="FootnoteReference"/>
        </w:rPr>
        <w:footnoteRef/>
      </w:r>
      <w:r>
        <w:t xml:space="preserve"> Avista Corporation’s Renewable Renewable Energy Target Progress Report, Docket UE-120791, Order 01, ¶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3DC0A" w14:textId="77777777" w:rsidR="00B30985" w:rsidRDefault="00B309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06B26" w14:textId="3A831974" w:rsidR="00C42722" w:rsidRPr="00777586" w:rsidRDefault="00C42722">
    <w:pPr>
      <w:pStyle w:val="Header"/>
      <w:rPr>
        <w:rFonts w:ascii="Times New Roman" w:hAnsi="Times New Roman"/>
        <w:sz w:val="20"/>
        <w:szCs w:val="20"/>
      </w:rPr>
    </w:pPr>
    <w:r w:rsidRPr="00777586">
      <w:rPr>
        <w:rFonts w:ascii="Times New Roman" w:hAnsi="Times New Roman"/>
        <w:sz w:val="20"/>
        <w:szCs w:val="20"/>
      </w:rPr>
      <w:t>D</w:t>
    </w:r>
    <w:r>
      <w:rPr>
        <w:rFonts w:ascii="Times New Roman" w:hAnsi="Times New Roman"/>
        <w:sz w:val="20"/>
        <w:szCs w:val="20"/>
      </w:rPr>
      <w:t>OCKET UE-120791</w:t>
    </w:r>
  </w:p>
  <w:p w14:paraId="19406B27" w14:textId="77777777" w:rsidR="00C42722" w:rsidRPr="00777586" w:rsidRDefault="00C42722">
    <w:pPr>
      <w:pStyle w:val="Header"/>
      <w:rPr>
        <w:rFonts w:ascii="Times New Roman" w:hAnsi="Times New Roman"/>
        <w:sz w:val="20"/>
        <w:szCs w:val="20"/>
      </w:rPr>
    </w:pPr>
    <w:r>
      <w:rPr>
        <w:rFonts w:ascii="Times New Roman" w:hAnsi="Times New Roman"/>
        <w:sz w:val="20"/>
        <w:szCs w:val="20"/>
      </w:rPr>
      <w:t>May 29, 2014</w:t>
    </w:r>
  </w:p>
  <w:p w14:paraId="19406B28" w14:textId="77777777" w:rsidR="00C42722" w:rsidRPr="00777586" w:rsidRDefault="00C42722">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363AB8">
      <w:rPr>
        <w:rStyle w:val="PageNumber"/>
        <w:rFonts w:ascii="Times New Roman" w:hAnsi="Times New Roman"/>
        <w:noProof/>
        <w:sz w:val="20"/>
        <w:szCs w:val="20"/>
      </w:rPr>
      <w:t>3</w:t>
    </w:r>
    <w:r w:rsidRPr="00777586">
      <w:rPr>
        <w:rStyle w:val="PageNumber"/>
        <w:rFonts w:ascii="Times New Roman" w:hAnsi="Times New Roman"/>
        <w:sz w:val="20"/>
        <w:szCs w:val="20"/>
      </w:rPr>
      <w:fldChar w:fldCharType="end"/>
    </w:r>
  </w:p>
  <w:p w14:paraId="19406B29" w14:textId="77777777" w:rsidR="00C42722" w:rsidRDefault="00C42722">
    <w:pPr>
      <w:pStyle w:val="Header"/>
      <w:rPr>
        <w:rStyle w:val="PageNumber"/>
        <w:sz w:val="20"/>
      </w:rPr>
    </w:pPr>
  </w:p>
  <w:p w14:paraId="19406B2A" w14:textId="77777777" w:rsidR="00C42722" w:rsidRDefault="00C42722">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8C2A" w14:textId="3AD63131" w:rsidR="00C42722" w:rsidRDefault="00C42722" w:rsidP="00C42722">
    <w:pPr>
      <w:pStyle w:val="Header"/>
      <w:jc w:val="right"/>
    </w:pPr>
    <w:r>
      <w:t>REVISED MAY 29, 2014</w:t>
    </w:r>
    <w:r w:rsidR="00B30985">
      <w:t xml:space="preserve"> 10:38 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EB"/>
    <w:rsid w:val="000D3C62"/>
    <w:rsid w:val="000E640C"/>
    <w:rsid w:val="00176C13"/>
    <w:rsid w:val="001C5AB1"/>
    <w:rsid w:val="001E1D7A"/>
    <w:rsid w:val="002A0D08"/>
    <w:rsid w:val="002C039A"/>
    <w:rsid w:val="00363AB8"/>
    <w:rsid w:val="004C5A1B"/>
    <w:rsid w:val="004D50EB"/>
    <w:rsid w:val="004D6BDC"/>
    <w:rsid w:val="004E1336"/>
    <w:rsid w:val="00552600"/>
    <w:rsid w:val="005A6C74"/>
    <w:rsid w:val="00672F7B"/>
    <w:rsid w:val="006A41EE"/>
    <w:rsid w:val="006C1AB4"/>
    <w:rsid w:val="006D6B08"/>
    <w:rsid w:val="007339B9"/>
    <w:rsid w:val="00862526"/>
    <w:rsid w:val="00885E8B"/>
    <w:rsid w:val="008936FF"/>
    <w:rsid w:val="00897C85"/>
    <w:rsid w:val="008F711D"/>
    <w:rsid w:val="00985402"/>
    <w:rsid w:val="00A84C2A"/>
    <w:rsid w:val="00AD3312"/>
    <w:rsid w:val="00AE273E"/>
    <w:rsid w:val="00B13041"/>
    <w:rsid w:val="00B30985"/>
    <w:rsid w:val="00C42722"/>
    <w:rsid w:val="00DA1B86"/>
    <w:rsid w:val="00DD2A47"/>
    <w:rsid w:val="00DF387A"/>
    <w:rsid w:val="00F21B68"/>
    <w:rsid w:val="00F3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40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EB"/>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4D50EB"/>
    <w:pPr>
      <w:tabs>
        <w:tab w:val="center" w:pos="4320"/>
        <w:tab w:val="right" w:pos="8640"/>
      </w:tabs>
    </w:pPr>
  </w:style>
  <w:style w:type="character" w:customStyle="1" w:styleId="HeaderChar">
    <w:name w:val="Header Char"/>
    <w:basedOn w:val="DefaultParagraphFont"/>
    <w:link w:val="Header"/>
    <w:rsid w:val="004D50EB"/>
    <w:rPr>
      <w:rFonts w:ascii="Palatino Linotype" w:eastAsia="Times New Roman" w:hAnsi="Palatino Linotype" w:cs="Times New Roman"/>
      <w:sz w:val="24"/>
      <w:szCs w:val="24"/>
    </w:rPr>
  </w:style>
  <w:style w:type="character" w:styleId="PageNumber">
    <w:name w:val="page number"/>
    <w:basedOn w:val="DefaultParagraphFont"/>
    <w:rsid w:val="004D50EB"/>
  </w:style>
  <w:style w:type="paragraph" w:styleId="BalloonText">
    <w:name w:val="Balloon Text"/>
    <w:basedOn w:val="Normal"/>
    <w:link w:val="BalloonTextChar"/>
    <w:uiPriority w:val="99"/>
    <w:semiHidden/>
    <w:unhideWhenUsed/>
    <w:rsid w:val="004E1336"/>
    <w:rPr>
      <w:rFonts w:ascii="Tahoma" w:hAnsi="Tahoma" w:cs="Tahoma"/>
      <w:sz w:val="16"/>
      <w:szCs w:val="16"/>
    </w:rPr>
  </w:style>
  <w:style w:type="character" w:customStyle="1" w:styleId="BalloonTextChar">
    <w:name w:val="Balloon Text Char"/>
    <w:basedOn w:val="DefaultParagraphFont"/>
    <w:link w:val="BalloonText"/>
    <w:uiPriority w:val="99"/>
    <w:semiHidden/>
    <w:rsid w:val="004E1336"/>
    <w:rPr>
      <w:rFonts w:ascii="Tahoma" w:eastAsia="Times New Roman" w:hAnsi="Tahoma" w:cs="Tahoma"/>
      <w:sz w:val="16"/>
      <w:szCs w:val="16"/>
    </w:rPr>
  </w:style>
  <w:style w:type="paragraph" w:styleId="Footer">
    <w:name w:val="footer"/>
    <w:basedOn w:val="Normal"/>
    <w:link w:val="FooterChar"/>
    <w:uiPriority w:val="99"/>
    <w:unhideWhenUsed/>
    <w:rsid w:val="004E1336"/>
    <w:pPr>
      <w:tabs>
        <w:tab w:val="center" w:pos="4680"/>
        <w:tab w:val="right" w:pos="9360"/>
      </w:tabs>
    </w:pPr>
  </w:style>
  <w:style w:type="character" w:customStyle="1" w:styleId="FooterChar">
    <w:name w:val="Footer Char"/>
    <w:basedOn w:val="DefaultParagraphFont"/>
    <w:link w:val="Footer"/>
    <w:uiPriority w:val="99"/>
    <w:rsid w:val="004E1336"/>
    <w:rPr>
      <w:rFonts w:ascii="Palatino Linotype" w:eastAsia="Times New Roman" w:hAnsi="Palatino Linotype" w:cs="Times New Roman"/>
      <w:sz w:val="24"/>
      <w:szCs w:val="24"/>
    </w:rPr>
  </w:style>
  <w:style w:type="paragraph" w:styleId="FootnoteText">
    <w:name w:val="footnote text"/>
    <w:basedOn w:val="Normal"/>
    <w:link w:val="FootnoteTextChar"/>
    <w:uiPriority w:val="99"/>
    <w:semiHidden/>
    <w:unhideWhenUsed/>
    <w:rsid w:val="007339B9"/>
    <w:rPr>
      <w:sz w:val="20"/>
      <w:szCs w:val="20"/>
    </w:rPr>
  </w:style>
  <w:style w:type="character" w:customStyle="1" w:styleId="FootnoteTextChar">
    <w:name w:val="Footnote Text Char"/>
    <w:basedOn w:val="DefaultParagraphFont"/>
    <w:link w:val="FootnoteText"/>
    <w:uiPriority w:val="99"/>
    <w:semiHidden/>
    <w:rsid w:val="007339B9"/>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7339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EB"/>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4D50EB"/>
    <w:pPr>
      <w:tabs>
        <w:tab w:val="center" w:pos="4320"/>
        <w:tab w:val="right" w:pos="8640"/>
      </w:tabs>
    </w:pPr>
  </w:style>
  <w:style w:type="character" w:customStyle="1" w:styleId="HeaderChar">
    <w:name w:val="Header Char"/>
    <w:basedOn w:val="DefaultParagraphFont"/>
    <w:link w:val="Header"/>
    <w:rsid w:val="004D50EB"/>
    <w:rPr>
      <w:rFonts w:ascii="Palatino Linotype" w:eastAsia="Times New Roman" w:hAnsi="Palatino Linotype" w:cs="Times New Roman"/>
      <w:sz w:val="24"/>
      <w:szCs w:val="24"/>
    </w:rPr>
  </w:style>
  <w:style w:type="character" w:styleId="PageNumber">
    <w:name w:val="page number"/>
    <w:basedOn w:val="DefaultParagraphFont"/>
    <w:rsid w:val="004D50EB"/>
  </w:style>
  <w:style w:type="paragraph" w:styleId="BalloonText">
    <w:name w:val="Balloon Text"/>
    <w:basedOn w:val="Normal"/>
    <w:link w:val="BalloonTextChar"/>
    <w:uiPriority w:val="99"/>
    <w:semiHidden/>
    <w:unhideWhenUsed/>
    <w:rsid w:val="004E1336"/>
    <w:rPr>
      <w:rFonts w:ascii="Tahoma" w:hAnsi="Tahoma" w:cs="Tahoma"/>
      <w:sz w:val="16"/>
      <w:szCs w:val="16"/>
    </w:rPr>
  </w:style>
  <w:style w:type="character" w:customStyle="1" w:styleId="BalloonTextChar">
    <w:name w:val="Balloon Text Char"/>
    <w:basedOn w:val="DefaultParagraphFont"/>
    <w:link w:val="BalloonText"/>
    <w:uiPriority w:val="99"/>
    <w:semiHidden/>
    <w:rsid w:val="004E1336"/>
    <w:rPr>
      <w:rFonts w:ascii="Tahoma" w:eastAsia="Times New Roman" w:hAnsi="Tahoma" w:cs="Tahoma"/>
      <w:sz w:val="16"/>
      <w:szCs w:val="16"/>
    </w:rPr>
  </w:style>
  <w:style w:type="paragraph" w:styleId="Footer">
    <w:name w:val="footer"/>
    <w:basedOn w:val="Normal"/>
    <w:link w:val="FooterChar"/>
    <w:uiPriority w:val="99"/>
    <w:unhideWhenUsed/>
    <w:rsid w:val="004E1336"/>
    <w:pPr>
      <w:tabs>
        <w:tab w:val="center" w:pos="4680"/>
        <w:tab w:val="right" w:pos="9360"/>
      </w:tabs>
    </w:pPr>
  </w:style>
  <w:style w:type="character" w:customStyle="1" w:styleId="FooterChar">
    <w:name w:val="Footer Char"/>
    <w:basedOn w:val="DefaultParagraphFont"/>
    <w:link w:val="Footer"/>
    <w:uiPriority w:val="99"/>
    <w:rsid w:val="004E1336"/>
    <w:rPr>
      <w:rFonts w:ascii="Palatino Linotype" w:eastAsia="Times New Roman" w:hAnsi="Palatino Linotype" w:cs="Times New Roman"/>
      <w:sz w:val="24"/>
      <w:szCs w:val="24"/>
    </w:rPr>
  </w:style>
  <w:style w:type="paragraph" w:styleId="FootnoteText">
    <w:name w:val="footnote text"/>
    <w:basedOn w:val="Normal"/>
    <w:link w:val="FootnoteTextChar"/>
    <w:uiPriority w:val="99"/>
    <w:semiHidden/>
    <w:unhideWhenUsed/>
    <w:rsid w:val="007339B9"/>
    <w:rPr>
      <w:sz w:val="20"/>
      <w:szCs w:val="20"/>
    </w:rPr>
  </w:style>
  <w:style w:type="character" w:customStyle="1" w:styleId="FootnoteTextChar">
    <w:name w:val="Footnote Text Char"/>
    <w:basedOn w:val="DefaultParagraphFont"/>
    <w:link w:val="FootnoteText"/>
    <w:uiPriority w:val="99"/>
    <w:semiHidden/>
    <w:rsid w:val="007339B9"/>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733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2014-05-29T07:00:00+00:00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35A4AC77D7E5428AD9BDA350F20B97" ma:contentTypeVersion="139" ma:contentTypeDescription="" ma:contentTypeScope="" ma:versionID="85612a15f0051ff5657306a9106b7a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45B86-BEE2-4609-A149-45538D97E758}"/>
</file>

<file path=customXml/itemProps2.xml><?xml version="1.0" encoding="utf-8"?>
<ds:datastoreItem xmlns:ds="http://schemas.openxmlformats.org/officeDocument/2006/customXml" ds:itemID="{2144C537-41E2-4468-8118-AA7F38F1BCBF}"/>
</file>

<file path=customXml/itemProps3.xml><?xml version="1.0" encoding="utf-8"?>
<ds:datastoreItem xmlns:ds="http://schemas.openxmlformats.org/officeDocument/2006/customXml" ds:itemID="{D7335E06-F539-4EFB-A12B-D47DC184B65A}"/>
</file>

<file path=customXml/itemProps4.xml><?xml version="1.0" encoding="utf-8"?>
<ds:datastoreItem xmlns:ds="http://schemas.openxmlformats.org/officeDocument/2006/customXml" ds:itemID="{736A44E9-F76B-4EBD-AA36-1CC5AB1D0962}"/>
</file>

<file path=customXml/itemProps5.xml><?xml version="1.0" encoding="utf-8"?>
<ds:datastoreItem xmlns:ds="http://schemas.openxmlformats.org/officeDocument/2006/customXml" ds:itemID="{77C7EAE8-35AF-4F05-BE29-4FD547E54319}"/>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A11</vt:lpstr>
    </vt:vector>
  </TitlesOfParts>
  <Company>Washington Utilities and Transportation Commission</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dc:title>
  <dc:creator>Jeremy Twitchell</dc:creator>
  <cp:lastModifiedBy>Lisa Wyse</cp:lastModifiedBy>
  <cp:revision>2</cp:revision>
  <cp:lastPrinted>2014-05-21T20:40:00Z</cp:lastPrinted>
  <dcterms:created xsi:type="dcterms:W3CDTF">2014-06-05T18:06:00Z</dcterms:created>
  <dcterms:modified xsi:type="dcterms:W3CDTF">2014-06-05T18:06:00Z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0x0101006E56B4D1795A2E4DB2F0B01679ED314A00FD35A4AC77D7E5428AD9BDA350F20B97</vt:lpwstr>
  </property>
  <property fmtid="{D5CDD505-2E9C-101B-9397-08002B2CF9AE}" pid="3" name="_docset_NoMedatataSyncRequired">
    <vt:lpwstr>False</vt:lpwstr>
  </property>
</Properties>
</file>