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Default="006C391D" w:rsidP="000631C7">
      <w:pPr>
        <w:pStyle w:val="NoSpacing"/>
        <w:spacing w:line="264" w:lineRule="auto"/>
      </w:pPr>
    </w:p>
    <w:p w:rsidR="006A36F8" w:rsidRDefault="006A36F8" w:rsidP="000631C7">
      <w:pPr>
        <w:pStyle w:val="NoSpacing"/>
        <w:spacing w:line="264" w:lineRule="auto"/>
      </w:pPr>
    </w:p>
    <w:p w:rsidR="006A36F8" w:rsidRDefault="006A36F8" w:rsidP="000631C7">
      <w:pPr>
        <w:pStyle w:val="NoSpacing"/>
        <w:spacing w:line="264" w:lineRule="auto"/>
      </w:pPr>
    </w:p>
    <w:p w:rsidR="006A36F8" w:rsidRDefault="006A36F8" w:rsidP="000631C7">
      <w:pPr>
        <w:pStyle w:val="NoSpacing"/>
        <w:spacing w:line="264" w:lineRule="auto"/>
      </w:pPr>
    </w:p>
    <w:p w:rsidR="006A36F8" w:rsidRDefault="006A36F8" w:rsidP="000631C7">
      <w:pPr>
        <w:pStyle w:val="NoSpacing"/>
        <w:spacing w:line="264" w:lineRule="auto"/>
      </w:pPr>
    </w:p>
    <w:p w:rsidR="006A36F8" w:rsidRPr="006A36F8" w:rsidRDefault="006A36F8" w:rsidP="000631C7">
      <w:pPr>
        <w:pStyle w:val="NoSpacing"/>
        <w:spacing w:line="264" w:lineRule="auto"/>
        <w:jc w:val="center"/>
      </w:pPr>
      <w:r w:rsidRPr="006A36F8">
        <w:t>January 23, 2012</w:t>
      </w:r>
    </w:p>
    <w:p w:rsidR="006A36F8" w:rsidRPr="006A36F8" w:rsidRDefault="006A36F8" w:rsidP="000631C7">
      <w:pPr>
        <w:pStyle w:val="NoSpacing"/>
        <w:spacing w:line="264" w:lineRule="auto"/>
        <w:jc w:val="center"/>
      </w:pPr>
    </w:p>
    <w:p w:rsidR="006A36F8" w:rsidRPr="006A36F8" w:rsidRDefault="006A36F8" w:rsidP="000631C7">
      <w:pPr>
        <w:pStyle w:val="NoSpacing"/>
        <w:spacing w:line="264" w:lineRule="auto"/>
        <w:jc w:val="center"/>
        <w:rPr>
          <w:b/>
        </w:rPr>
      </w:pPr>
      <w:r w:rsidRPr="006A36F8">
        <w:rPr>
          <w:b/>
        </w:rPr>
        <w:t>NOTICE REVISING PROCEDURAL SCHEDULE</w:t>
      </w:r>
    </w:p>
    <w:p w:rsidR="006A36F8" w:rsidRDefault="006A36F8" w:rsidP="000631C7">
      <w:pPr>
        <w:pStyle w:val="NoSpacing"/>
        <w:spacing w:line="264" w:lineRule="auto"/>
      </w:pPr>
    </w:p>
    <w:p w:rsidR="006A36F8" w:rsidRDefault="006A36F8" w:rsidP="000631C7">
      <w:pPr>
        <w:pStyle w:val="NoSpacing"/>
        <w:spacing w:line="264" w:lineRule="auto"/>
        <w:ind w:left="720" w:hanging="720"/>
      </w:pPr>
      <w:r>
        <w:t>RE:</w:t>
      </w:r>
      <w:r>
        <w:tab/>
      </w:r>
      <w:r w:rsidRPr="006A36F8">
        <w:rPr>
          <w:i/>
        </w:rPr>
        <w:t>Washington Independent Telecommunications Association, Washington Exchange Carrier Association, The Toledo Telephone Co., Inc., Tenino Telephone Company, Kalama Telephone Company and Hood Canal Telephone Company, d/b/a Hood Canal Communica</w:t>
      </w:r>
      <w:r>
        <w:rPr>
          <w:i/>
        </w:rPr>
        <w:t>t</w:t>
      </w:r>
      <w:r w:rsidRPr="006A36F8">
        <w:rPr>
          <w:i/>
        </w:rPr>
        <w:t>ions, Complainants, v. McLeodUSA Telecommunications Services, L.L.C. and PAETEC Communications, Inc., Respondents</w:t>
      </w:r>
      <w:r>
        <w:t>, Docket UT-111816</w:t>
      </w:r>
    </w:p>
    <w:p w:rsidR="006A36F8" w:rsidRDefault="006A36F8" w:rsidP="000631C7">
      <w:pPr>
        <w:pStyle w:val="NoSpacing"/>
        <w:spacing w:line="264" w:lineRule="auto"/>
      </w:pPr>
    </w:p>
    <w:p w:rsidR="006A36F8" w:rsidRDefault="006A36F8" w:rsidP="000631C7">
      <w:pPr>
        <w:pStyle w:val="NoSpacing"/>
        <w:spacing w:line="264" w:lineRule="auto"/>
      </w:pPr>
      <w:r>
        <w:t>TO ALL PARTIES:</w:t>
      </w:r>
    </w:p>
    <w:p w:rsidR="006A36F8" w:rsidRDefault="006A36F8" w:rsidP="000631C7">
      <w:pPr>
        <w:pStyle w:val="NoSpacing"/>
        <w:spacing w:line="264" w:lineRule="auto"/>
      </w:pPr>
    </w:p>
    <w:p w:rsidR="006A36F8" w:rsidRDefault="006A36F8" w:rsidP="000631C7">
      <w:pPr>
        <w:pStyle w:val="NoSpacing"/>
        <w:spacing w:line="264" w:lineRule="auto"/>
      </w:pPr>
      <w:r>
        <w:t>On November 30, 2011, the Washington Utilities and Transportation Commission (Commission) entered Order 01, Prehearing Conference Order in the above-referenced matter.</w:t>
      </w:r>
      <w:r w:rsidR="00B07C89">
        <w:t xml:space="preserve">  Order 01, among other things, adopts a</w:t>
      </w:r>
      <w:r w:rsidR="00EE2C0B">
        <w:t>n agreed</w:t>
      </w:r>
      <w:r w:rsidR="00B07C89">
        <w:t xml:space="preserve"> procedural schedule.</w:t>
      </w:r>
    </w:p>
    <w:p w:rsidR="006A36F8" w:rsidRDefault="006A36F8" w:rsidP="000631C7">
      <w:pPr>
        <w:pStyle w:val="NoSpacing"/>
        <w:spacing w:line="264" w:lineRule="auto"/>
      </w:pPr>
    </w:p>
    <w:p w:rsidR="000631C7" w:rsidRDefault="006A36F8" w:rsidP="000631C7">
      <w:pPr>
        <w:pStyle w:val="NoSpacing"/>
        <w:spacing w:line="264" w:lineRule="auto"/>
      </w:pPr>
      <w:r>
        <w:t>On January 23, 2012, the Complainant</w:t>
      </w:r>
      <w:r w:rsidR="00EE2C0B">
        <w:t>s</w:t>
      </w:r>
      <w:r w:rsidR="00B07C89">
        <w:t xml:space="preserve">, on behalf of the parties, </w:t>
      </w:r>
      <w:r w:rsidR="000631C7">
        <w:t xml:space="preserve">sent an informal request to revise the </w:t>
      </w:r>
      <w:r w:rsidR="00B07C89">
        <w:t xml:space="preserve">procedural schedule in Order 01 </w:t>
      </w:r>
      <w:r w:rsidR="00EE2C0B">
        <w:t>to allow additional time for the exchange of information.  The parties propose the following revised procedural schedule</w:t>
      </w:r>
      <w:r w:rsidR="000631C7">
        <w:t>:</w:t>
      </w:r>
    </w:p>
    <w:p w:rsidR="00B07C89" w:rsidRDefault="00B07C89" w:rsidP="000631C7">
      <w:pPr>
        <w:pStyle w:val="NoSpacing"/>
        <w:spacing w:line="264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46"/>
        <w:gridCol w:w="2349"/>
        <w:gridCol w:w="2113"/>
      </w:tblGrid>
      <w:tr w:rsidR="00B07C89" w:rsidRPr="00B07C89" w:rsidTr="00FF6F7C">
        <w:tc>
          <w:tcPr>
            <w:tcW w:w="4646" w:type="dxa"/>
            <w:shd w:val="pct15" w:color="auto" w:fill="auto"/>
          </w:tcPr>
          <w:p w:rsidR="00B07C89" w:rsidRPr="00B07C89" w:rsidRDefault="00B07C89" w:rsidP="000631C7">
            <w:pPr>
              <w:pStyle w:val="NoSpacing"/>
              <w:spacing w:line="264" w:lineRule="auto"/>
              <w:rPr>
                <w:b/>
              </w:rPr>
            </w:pPr>
            <w:r w:rsidRPr="00B07C89">
              <w:rPr>
                <w:b/>
              </w:rPr>
              <w:t>Event</w:t>
            </w:r>
          </w:p>
        </w:tc>
        <w:tc>
          <w:tcPr>
            <w:tcW w:w="2349" w:type="dxa"/>
            <w:shd w:val="pct15" w:color="auto" w:fill="auto"/>
          </w:tcPr>
          <w:p w:rsidR="00B07C89" w:rsidRPr="00B07C89" w:rsidRDefault="00B07C89" w:rsidP="000631C7">
            <w:pPr>
              <w:pStyle w:val="NoSpacing"/>
              <w:spacing w:line="264" w:lineRule="auto"/>
              <w:rPr>
                <w:b/>
              </w:rPr>
            </w:pPr>
            <w:r w:rsidRPr="00B07C89">
              <w:rPr>
                <w:b/>
              </w:rPr>
              <w:t>Prior Deadline</w:t>
            </w:r>
          </w:p>
        </w:tc>
        <w:tc>
          <w:tcPr>
            <w:tcW w:w="2113" w:type="dxa"/>
            <w:shd w:val="pct15" w:color="auto" w:fill="auto"/>
          </w:tcPr>
          <w:p w:rsidR="00B07C89" w:rsidRPr="00B07C89" w:rsidRDefault="00B07C89" w:rsidP="000631C7">
            <w:pPr>
              <w:pStyle w:val="NoSpacing"/>
              <w:spacing w:line="264" w:lineRule="auto"/>
              <w:rPr>
                <w:b/>
              </w:rPr>
            </w:pPr>
            <w:r w:rsidRPr="00B07C89">
              <w:rPr>
                <w:b/>
              </w:rPr>
              <w:t>New Deadline</w:t>
            </w:r>
          </w:p>
        </w:tc>
      </w:tr>
      <w:tr w:rsidR="00B07C89" w:rsidTr="00FF6F7C">
        <w:tc>
          <w:tcPr>
            <w:tcW w:w="4646" w:type="dxa"/>
          </w:tcPr>
          <w:p w:rsidR="00B07C89" w:rsidRPr="00B07C89" w:rsidRDefault="00B07C89" w:rsidP="000631C7">
            <w:pPr>
              <w:pStyle w:val="NoSpacing"/>
              <w:spacing w:line="264" w:lineRule="auto"/>
              <w:rPr>
                <w:sz w:val="24"/>
                <w:szCs w:val="24"/>
              </w:rPr>
            </w:pPr>
            <w:r w:rsidRPr="00B07C89">
              <w:rPr>
                <w:sz w:val="24"/>
                <w:szCs w:val="24"/>
              </w:rPr>
              <w:t>Complainants’ Prefiled Opening Testimony</w:t>
            </w:r>
          </w:p>
        </w:tc>
        <w:tc>
          <w:tcPr>
            <w:tcW w:w="2349" w:type="dxa"/>
          </w:tcPr>
          <w:p w:rsidR="00B07C89" w:rsidRPr="00B07C89" w:rsidRDefault="00B07C89" w:rsidP="000631C7">
            <w:pPr>
              <w:pStyle w:val="NoSpacing"/>
              <w:spacing w:line="264" w:lineRule="auto"/>
              <w:rPr>
                <w:sz w:val="24"/>
                <w:szCs w:val="24"/>
              </w:rPr>
            </w:pPr>
            <w:r w:rsidRPr="00B07C89">
              <w:rPr>
                <w:sz w:val="24"/>
                <w:szCs w:val="24"/>
              </w:rPr>
              <w:t>February 3, 2012</w:t>
            </w:r>
          </w:p>
        </w:tc>
        <w:tc>
          <w:tcPr>
            <w:tcW w:w="2113" w:type="dxa"/>
          </w:tcPr>
          <w:p w:rsidR="00B07C89" w:rsidRPr="00B07C89" w:rsidRDefault="00B07C89" w:rsidP="000631C7">
            <w:pPr>
              <w:pStyle w:val="NoSpacing"/>
              <w:spacing w:line="264" w:lineRule="auto"/>
              <w:rPr>
                <w:sz w:val="24"/>
                <w:szCs w:val="24"/>
              </w:rPr>
            </w:pPr>
            <w:r w:rsidRPr="00B07C89">
              <w:rPr>
                <w:sz w:val="24"/>
                <w:szCs w:val="24"/>
              </w:rPr>
              <w:t>April 6, 2012</w:t>
            </w:r>
          </w:p>
        </w:tc>
      </w:tr>
      <w:tr w:rsidR="00B07C89" w:rsidTr="00FF6F7C">
        <w:tc>
          <w:tcPr>
            <w:tcW w:w="4646" w:type="dxa"/>
          </w:tcPr>
          <w:p w:rsidR="00B07C89" w:rsidRPr="00B07C89" w:rsidRDefault="00B07C89" w:rsidP="000631C7">
            <w:pPr>
              <w:pStyle w:val="NoSpacing"/>
              <w:spacing w:line="264" w:lineRule="auto"/>
              <w:rPr>
                <w:sz w:val="24"/>
                <w:szCs w:val="24"/>
              </w:rPr>
            </w:pPr>
            <w:r w:rsidRPr="00B07C89">
              <w:rPr>
                <w:sz w:val="24"/>
                <w:szCs w:val="24"/>
              </w:rPr>
              <w:t>Respondents’ Prefiled Response Testimony</w:t>
            </w:r>
          </w:p>
        </w:tc>
        <w:tc>
          <w:tcPr>
            <w:tcW w:w="2349" w:type="dxa"/>
          </w:tcPr>
          <w:p w:rsidR="00B07C89" w:rsidRPr="00B07C89" w:rsidRDefault="00B07C89" w:rsidP="000631C7">
            <w:pPr>
              <w:pStyle w:val="NoSpacing"/>
              <w:spacing w:line="264" w:lineRule="auto"/>
              <w:rPr>
                <w:sz w:val="24"/>
                <w:szCs w:val="24"/>
              </w:rPr>
            </w:pPr>
            <w:r w:rsidRPr="00B07C89">
              <w:rPr>
                <w:sz w:val="24"/>
                <w:szCs w:val="24"/>
              </w:rPr>
              <w:t>April 6, 2012</w:t>
            </w:r>
          </w:p>
        </w:tc>
        <w:tc>
          <w:tcPr>
            <w:tcW w:w="2113" w:type="dxa"/>
          </w:tcPr>
          <w:p w:rsidR="00B07C89" w:rsidRPr="00B07C89" w:rsidRDefault="00B07C89" w:rsidP="000631C7">
            <w:pPr>
              <w:pStyle w:val="NoSpacing"/>
              <w:spacing w:line="264" w:lineRule="auto"/>
              <w:rPr>
                <w:sz w:val="24"/>
                <w:szCs w:val="24"/>
              </w:rPr>
            </w:pPr>
            <w:r w:rsidRPr="00B07C89">
              <w:rPr>
                <w:sz w:val="24"/>
                <w:szCs w:val="24"/>
              </w:rPr>
              <w:t>May 11, 2012</w:t>
            </w:r>
          </w:p>
        </w:tc>
      </w:tr>
      <w:tr w:rsidR="00B07C89" w:rsidTr="00FF6F7C">
        <w:tc>
          <w:tcPr>
            <w:tcW w:w="4646" w:type="dxa"/>
          </w:tcPr>
          <w:p w:rsidR="00B07C89" w:rsidRPr="00B07C89" w:rsidRDefault="00B07C89" w:rsidP="000631C7">
            <w:pPr>
              <w:pStyle w:val="NoSpacing"/>
              <w:spacing w:line="264" w:lineRule="auto"/>
              <w:rPr>
                <w:sz w:val="24"/>
                <w:szCs w:val="24"/>
              </w:rPr>
            </w:pPr>
            <w:r w:rsidRPr="00B07C89">
              <w:rPr>
                <w:sz w:val="24"/>
                <w:szCs w:val="24"/>
              </w:rPr>
              <w:t>Complainants’ Prefiled Rebuttal Testimony</w:t>
            </w:r>
          </w:p>
        </w:tc>
        <w:tc>
          <w:tcPr>
            <w:tcW w:w="2349" w:type="dxa"/>
          </w:tcPr>
          <w:p w:rsidR="00B07C89" w:rsidRPr="00B07C89" w:rsidRDefault="00B07C89" w:rsidP="000631C7">
            <w:pPr>
              <w:pStyle w:val="NoSpacing"/>
              <w:spacing w:line="264" w:lineRule="auto"/>
              <w:rPr>
                <w:sz w:val="24"/>
                <w:szCs w:val="24"/>
              </w:rPr>
            </w:pPr>
            <w:r w:rsidRPr="00B07C89">
              <w:rPr>
                <w:sz w:val="24"/>
                <w:szCs w:val="24"/>
              </w:rPr>
              <w:t>April 27, 2012</w:t>
            </w:r>
          </w:p>
        </w:tc>
        <w:tc>
          <w:tcPr>
            <w:tcW w:w="2113" w:type="dxa"/>
          </w:tcPr>
          <w:p w:rsidR="00B07C89" w:rsidRPr="00B07C89" w:rsidRDefault="00B07C89" w:rsidP="000631C7">
            <w:pPr>
              <w:pStyle w:val="NoSpacing"/>
              <w:spacing w:line="264" w:lineRule="auto"/>
              <w:rPr>
                <w:sz w:val="24"/>
                <w:szCs w:val="24"/>
              </w:rPr>
            </w:pPr>
            <w:r w:rsidRPr="00B07C89">
              <w:rPr>
                <w:sz w:val="24"/>
                <w:szCs w:val="24"/>
              </w:rPr>
              <w:t>June 1, 2012</w:t>
            </w:r>
          </w:p>
        </w:tc>
      </w:tr>
      <w:tr w:rsidR="00B07C89" w:rsidTr="00FF6F7C">
        <w:tc>
          <w:tcPr>
            <w:tcW w:w="4646" w:type="dxa"/>
          </w:tcPr>
          <w:p w:rsidR="00B07C89" w:rsidRPr="00B07C89" w:rsidRDefault="00B07C89" w:rsidP="000631C7">
            <w:pPr>
              <w:pStyle w:val="NoSpacing"/>
              <w:spacing w:line="264" w:lineRule="auto"/>
              <w:rPr>
                <w:sz w:val="24"/>
                <w:szCs w:val="24"/>
              </w:rPr>
            </w:pPr>
            <w:r w:rsidRPr="00B07C89">
              <w:rPr>
                <w:sz w:val="24"/>
                <w:szCs w:val="24"/>
              </w:rPr>
              <w:t>Evidentiary Hearings</w:t>
            </w:r>
          </w:p>
        </w:tc>
        <w:tc>
          <w:tcPr>
            <w:tcW w:w="2349" w:type="dxa"/>
          </w:tcPr>
          <w:p w:rsidR="00B07C89" w:rsidRPr="00B07C89" w:rsidRDefault="00B07C89" w:rsidP="000631C7">
            <w:pPr>
              <w:pStyle w:val="NoSpacing"/>
              <w:spacing w:line="264" w:lineRule="auto"/>
              <w:rPr>
                <w:sz w:val="24"/>
                <w:szCs w:val="24"/>
              </w:rPr>
            </w:pPr>
            <w:r w:rsidRPr="00B07C89">
              <w:rPr>
                <w:sz w:val="24"/>
                <w:szCs w:val="24"/>
              </w:rPr>
              <w:t>May 15 – 17, 2012</w:t>
            </w:r>
          </w:p>
        </w:tc>
        <w:tc>
          <w:tcPr>
            <w:tcW w:w="2113" w:type="dxa"/>
          </w:tcPr>
          <w:p w:rsidR="00B07C89" w:rsidRPr="00B07C89" w:rsidRDefault="00B07C89" w:rsidP="000631C7">
            <w:pPr>
              <w:pStyle w:val="NoSpacing"/>
              <w:spacing w:line="264" w:lineRule="auto"/>
              <w:rPr>
                <w:sz w:val="24"/>
                <w:szCs w:val="24"/>
              </w:rPr>
            </w:pPr>
            <w:r w:rsidRPr="00B07C89">
              <w:rPr>
                <w:sz w:val="24"/>
                <w:szCs w:val="24"/>
              </w:rPr>
              <w:t>June 20 – 21, 2012</w:t>
            </w:r>
          </w:p>
        </w:tc>
      </w:tr>
    </w:tbl>
    <w:p w:rsidR="00B07C89" w:rsidRDefault="00B07C89" w:rsidP="000631C7">
      <w:pPr>
        <w:pStyle w:val="NoSpacing"/>
        <w:spacing w:line="264" w:lineRule="auto"/>
      </w:pPr>
    </w:p>
    <w:p w:rsidR="00B07C89" w:rsidRPr="00B07C89" w:rsidRDefault="00B07C89" w:rsidP="000631C7">
      <w:pPr>
        <w:pStyle w:val="NoSpacing"/>
        <w:spacing w:line="264" w:lineRule="auto"/>
        <w:rPr>
          <w:b/>
        </w:rPr>
      </w:pPr>
      <w:r w:rsidRPr="00B07C89">
        <w:rPr>
          <w:b/>
        </w:rPr>
        <w:t xml:space="preserve">PLEASE TAKE NOTICE That the </w:t>
      </w:r>
      <w:r w:rsidR="00EE2C0B">
        <w:rPr>
          <w:b/>
        </w:rPr>
        <w:t>Commission grants the p</w:t>
      </w:r>
      <w:r w:rsidRPr="00B07C89">
        <w:rPr>
          <w:b/>
        </w:rPr>
        <w:t xml:space="preserve">arties’ request </w:t>
      </w:r>
      <w:r w:rsidR="00EE2C0B">
        <w:rPr>
          <w:b/>
        </w:rPr>
        <w:t>and adopts the revised</w:t>
      </w:r>
      <w:r w:rsidRPr="00B07C89">
        <w:rPr>
          <w:b/>
        </w:rPr>
        <w:t xml:space="preserve"> procedural schedule</w:t>
      </w:r>
      <w:r w:rsidR="00EE2C0B">
        <w:rPr>
          <w:b/>
        </w:rPr>
        <w:t xml:space="preserve"> they propose to</w:t>
      </w:r>
      <w:bookmarkStart w:id="0" w:name="_GoBack"/>
      <w:bookmarkEnd w:id="0"/>
      <w:r w:rsidR="00EE2C0B">
        <w:rPr>
          <w:b/>
        </w:rPr>
        <w:t xml:space="preserve"> govern</w:t>
      </w:r>
      <w:r w:rsidRPr="00B07C89">
        <w:rPr>
          <w:b/>
        </w:rPr>
        <w:t xml:space="preserve"> this proceeding.</w:t>
      </w:r>
    </w:p>
    <w:p w:rsidR="00B07C89" w:rsidRDefault="00B07C89" w:rsidP="000631C7">
      <w:pPr>
        <w:pStyle w:val="NoSpacing"/>
        <w:spacing w:line="264" w:lineRule="auto"/>
      </w:pPr>
    </w:p>
    <w:p w:rsidR="00B07C89" w:rsidRDefault="00B07C89" w:rsidP="000631C7">
      <w:pPr>
        <w:pStyle w:val="NoSpacing"/>
        <w:spacing w:line="264" w:lineRule="auto"/>
      </w:pPr>
      <w:r>
        <w:t>Sincerely,</w:t>
      </w:r>
    </w:p>
    <w:p w:rsidR="00B07C89" w:rsidRDefault="00B07C89" w:rsidP="000631C7">
      <w:pPr>
        <w:pStyle w:val="NoSpacing"/>
        <w:spacing w:line="264" w:lineRule="auto"/>
      </w:pPr>
    </w:p>
    <w:p w:rsidR="00B07C89" w:rsidRDefault="00B07C89" w:rsidP="000631C7">
      <w:pPr>
        <w:pStyle w:val="NoSpacing"/>
        <w:spacing w:line="264" w:lineRule="auto"/>
      </w:pPr>
    </w:p>
    <w:p w:rsidR="00B07C89" w:rsidRDefault="00B07C89" w:rsidP="000631C7">
      <w:pPr>
        <w:pStyle w:val="NoSpacing"/>
        <w:spacing w:line="264" w:lineRule="auto"/>
      </w:pPr>
    </w:p>
    <w:p w:rsidR="00B07C89" w:rsidRDefault="00B07C89" w:rsidP="000631C7">
      <w:pPr>
        <w:pStyle w:val="NoSpacing"/>
        <w:spacing w:line="264" w:lineRule="auto"/>
      </w:pPr>
      <w:r>
        <w:t>GREGORY J. KOPTA</w:t>
      </w:r>
    </w:p>
    <w:p w:rsidR="00B07C89" w:rsidRDefault="00B07C89" w:rsidP="000631C7">
      <w:pPr>
        <w:pStyle w:val="NoSpacing"/>
        <w:spacing w:line="264" w:lineRule="auto"/>
      </w:pPr>
      <w:r>
        <w:t>Administrative Law Judge</w:t>
      </w:r>
    </w:p>
    <w:sectPr w:rsidR="00B07C89" w:rsidSect="00332D4D">
      <w:pgSz w:w="12240" w:h="15840" w:code="1"/>
      <w:pgMar w:top="1440" w:right="1440" w:bottom="1440" w:left="1800" w:header="720" w:footer="720" w:gutter="0"/>
      <w:paperSrc w:first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C4" w:rsidRDefault="00471BC4" w:rsidP="00471BC4">
      <w:pPr>
        <w:spacing w:line="240" w:lineRule="auto"/>
      </w:pPr>
      <w:r>
        <w:separator/>
      </w:r>
    </w:p>
  </w:endnote>
  <w:endnote w:type="continuationSeparator" w:id="0">
    <w:p w:rsidR="00471BC4" w:rsidRDefault="00471BC4" w:rsidP="00471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C4" w:rsidRDefault="00471BC4" w:rsidP="00471BC4">
      <w:pPr>
        <w:spacing w:line="240" w:lineRule="auto"/>
      </w:pPr>
      <w:r>
        <w:separator/>
      </w:r>
    </w:p>
  </w:footnote>
  <w:footnote w:type="continuationSeparator" w:id="0">
    <w:p w:rsidR="00471BC4" w:rsidRDefault="00471BC4" w:rsidP="00471B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F8"/>
    <w:rsid w:val="00000817"/>
    <w:rsid w:val="00000D94"/>
    <w:rsid w:val="00024FCC"/>
    <w:rsid w:val="00025066"/>
    <w:rsid w:val="00036A42"/>
    <w:rsid w:val="00054580"/>
    <w:rsid w:val="000631C7"/>
    <w:rsid w:val="000A4CFE"/>
    <w:rsid w:val="000C159F"/>
    <w:rsid w:val="000D794B"/>
    <w:rsid w:val="000E69A6"/>
    <w:rsid w:val="000F4FEE"/>
    <w:rsid w:val="000F629A"/>
    <w:rsid w:val="000F6DD6"/>
    <w:rsid w:val="001140DB"/>
    <w:rsid w:val="00124765"/>
    <w:rsid w:val="00125DE3"/>
    <w:rsid w:val="0012797D"/>
    <w:rsid w:val="00134F21"/>
    <w:rsid w:val="0014077E"/>
    <w:rsid w:val="00141D59"/>
    <w:rsid w:val="001605B2"/>
    <w:rsid w:val="001703EB"/>
    <w:rsid w:val="001723BF"/>
    <w:rsid w:val="00196394"/>
    <w:rsid w:val="001A7351"/>
    <w:rsid w:val="001B2E88"/>
    <w:rsid w:val="001B3E0A"/>
    <w:rsid w:val="001C5C2C"/>
    <w:rsid w:val="001E109A"/>
    <w:rsid w:val="00223577"/>
    <w:rsid w:val="00244FDA"/>
    <w:rsid w:val="00251048"/>
    <w:rsid w:val="0025477A"/>
    <w:rsid w:val="00262124"/>
    <w:rsid w:val="0026475C"/>
    <w:rsid w:val="00270B6C"/>
    <w:rsid w:val="00281C9A"/>
    <w:rsid w:val="002861A1"/>
    <w:rsid w:val="002E5203"/>
    <w:rsid w:val="003004E6"/>
    <w:rsid w:val="00311D5D"/>
    <w:rsid w:val="00320272"/>
    <w:rsid w:val="00325229"/>
    <w:rsid w:val="00326C72"/>
    <w:rsid w:val="00331826"/>
    <w:rsid w:val="00331DBD"/>
    <w:rsid w:val="00332D4D"/>
    <w:rsid w:val="00337B84"/>
    <w:rsid w:val="0035370C"/>
    <w:rsid w:val="003753AE"/>
    <w:rsid w:val="003A7922"/>
    <w:rsid w:val="003B5BCB"/>
    <w:rsid w:val="003E07FA"/>
    <w:rsid w:val="003F118C"/>
    <w:rsid w:val="003F43F9"/>
    <w:rsid w:val="003F6DEF"/>
    <w:rsid w:val="00400A04"/>
    <w:rsid w:val="00405309"/>
    <w:rsid w:val="004274F0"/>
    <w:rsid w:val="00434DC9"/>
    <w:rsid w:val="00437E3F"/>
    <w:rsid w:val="00446B83"/>
    <w:rsid w:val="004470D6"/>
    <w:rsid w:val="00466587"/>
    <w:rsid w:val="00471BC4"/>
    <w:rsid w:val="00497485"/>
    <w:rsid w:val="0049799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35A88"/>
    <w:rsid w:val="00546385"/>
    <w:rsid w:val="00550788"/>
    <w:rsid w:val="00571C63"/>
    <w:rsid w:val="0057556D"/>
    <w:rsid w:val="005811C7"/>
    <w:rsid w:val="005963E1"/>
    <w:rsid w:val="005970BC"/>
    <w:rsid w:val="005A4601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7468"/>
    <w:rsid w:val="00671E79"/>
    <w:rsid w:val="006725EB"/>
    <w:rsid w:val="00672ABD"/>
    <w:rsid w:val="00682AAC"/>
    <w:rsid w:val="00686180"/>
    <w:rsid w:val="006967D3"/>
    <w:rsid w:val="006A36F8"/>
    <w:rsid w:val="006B51AE"/>
    <w:rsid w:val="006C391D"/>
    <w:rsid w:val="006D55D8"/>
    <w:rsid w:val="006E57AA"/>
    <w:rsid w:val="0070503D"/>
    <w:rsid w:val="00751967"/>
    <w:rsid w:val="00760467"/>
    <w:rsid w:val="007777F4"/>
    <w:rsid w:val="0078059A"/>
    <w:rsid w:val="00782B25"/>
    <w:rsid w:val="007A011C"/>
    <w:rsid w:val="007A316D"/>
    <w:rsid w:val="007A6418"/>
    <w:rsid w:val="007B1BB5"/>
    <w:rsid w:val="007B6BA4"/>
    <w:rsid w:val="007C5D5F"/>
    <w:rsid w:val="007D026E"/>
    <w:rsid w:val="007D15D4"/>
    <w:rsid w:val="007E4058"/>
    <w:rsid w:val="007E4545"/>
    <w:rsid w:val="007E6723"/>
    <w:rsid w:val="007F7C8A"/>
    <w:rsid w:val="00813DB4"/>
    <w:rsid w:val="008221C4"/>
    <w:rsid w:val="008312B2"/>
    <w:rsid w:val="00834A6B"/>
    <w:rsid w:val="008530CE"/>
    <w:rsid w:val="00857614"/>
    <w:rsid w:val="00860D9F"/>
    <w:rsid w:val="00863D19"/>
    <w:rsid w:val="00866E0A"/>
    <w:rsid w:val="008712BF"/>
    <w:rsid w:val="00885F8D"/>
    <w:rsid w:val="008927D2"/>
    <w:rsid w:val="00894053"/>
    <w:rsid w:val="008A0BC8"/>
    <w:rsid w:val="008A2759"/>
    <w:rsid w:val="008C4198"/>
    <w:rsid w:val="008F1933"/>
    <w:rsid w:val="008F56B3"/>
    <w:rsid w:val="0091303D"/>
    <w:rsid w:val="00950B86"/>
    <w:rsid w:val="00956140"/>
    <w:rsid w:val="00957166"/>
    <w:rsid w:val="009621D5"/>
    <w:rsid w:val="00976A7E"/>
    <w:rsid w:val="009903F5"/>
    <w:rsid w:val="009931C1"/>
    <w:rsid w:val="009A5465"/>
    <w:rsid w:val="009A68EE"/>
    <w:rsid w:val="009B5279"/>
    <w:rsid w:val="009D011E"/>
    <w:rsid w:val="009E5DD1"/>
    <w:rsid w:val="009F2B54"/>
    <w:rsid w:val="009F41E3"/>
    <w:rsid w:val="009F57A7"/>
    <w:rsid w:val="00A06B24"/>
    <w:rsid w:val="00A06FCB"/>
    <w:rsid w:val="00A13853"/>
    <w:rsid w:val="00A25D45"/>
    <w:rsid w:val="00A30C4A"/>
    <w:rsid w:val="00A35B1C"/>
    <w:rsid w:val="00A642B3"/>
    <w:rsid w:val="00A6640F"/>
    <w:rsid w:val="00A82346"/>
    <w:rsid w:val="00AA1D38"/>
    <w:rsid w:val="00AB33FE"/>
    <w:rsid w:val="00AD1F22"/>
    <w:rsid w:val="00AE465D"/>
    <w:rsid w:val="00B01186"/>
    <w:rsid w:val="00B07C89"/>
    <w:rsid w:val="00B4193F"/>
    <w:rsid w:val="00B62CF3"/>
    <w:rsid w:val="00B6469B"/>
    <w:rsid w:val="00B91632"/>
    <w:rsid w:val="00BA4723"/>
    <w:rsid w:val="00BA4DB0"/>
    <w:rsid w:val="00BC18E9"/>
    <w:rsid w:val="00BD2231"/>
    <w:rsid w:val="00BD4460"/>
    <w:rsid w:val="00BE0AD2"/>
    <w:rsid w:val="00BE754D"/>
    <w:rsid w:val="00BF5A05"/>
    <w:rsid w:val="00C02040"/>
    <w:rsid w:val="00C03C4D"/>
    <w:rsid w:val="00C06D95"/>
    <w:rsid w:val="00C227FD"/>
    <w:rsid w:val="00C32100"/>
    <w:rsid w:val="00C55CFC"/>
    <w:rsid w:val="00C77E1D"/>
    <w:rsid w:val="00C920D2"/>
    <w:rsid w:val="00C93A82"/>
    <w:rsid w:val="00CB2C63"/>
    <w:rsid w:val="00CB7F41"/>
    <w:rsid w:val="00CE13E8"/>
    <w:rsid w:val="00CF06C1"/>
    <w:rsid w:val="00D0056C"/>
    <w:rsid w:val="00D167FA"/>
    <w:rsid w:val="00D23952"/>
    <w:rsid w:val="00D36495"/>
    <w:rsid w:val="00D417B8"/>
    <w:rsid w:val="00D51AB0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6CB3"/>
    <w:rsid w:val="00E005E8"/>
    <w:rsid w:val="00E21AF0"/>
    <w:rsid w:val="00E43AD9"/>
    <w:rsid w:val="00E666E8"/>
    <w:rsid w:val="00E94DEF"/>
    <w:rsid w:val="00E95080"/>
    <w:rsid w:val="00EA64C0"/>
    <w:rsid w:val="00EC7B52"/>
    <w:rsid w:val="00ED08AA"/>
    <w:rsid w:val="00EE2C0B"/>
    <w:rsid w:val="00EE4F4B"/>
    <w:rsid w:val="00F35267"/>
    <w:rsid w:val="00F50B69"/>
    <w:rsid w:val="00F54581"/>
    <w:rsid w:val="00F558A0"/>
    <w:rsid w:val="00F67B92"/>
    <w:rsid w:val="00F75379"/>
    <w:rsid w:val="00F763FB"/>
    <w:rsid w:val="00F80CD0"/>
    <w:rsid w:val="00F903F5"/>
    <w:rsid w:val="00FC344E"/>
    <w:rsid w:val="00FE3112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6A36F8"/>
    <w:pPr>
      <w:spacing w:line="240" w:lineRule="auto"/>
    </w:pPr>
  </w:style>
  <w:style w:type="table" w:styleId="TableGrid">
    <w:name w:val="Table Grid"/>
    <w:basedOn w:val="TableNormal"/>
    <w:uiPriority w:val="59"/>
    <w:rsid w:val="00B07C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6A36F8"/>
    <w:pPr>
      <w:spacing w:line="240" w:lineRule="auto"/>
    </w:pPr>
  </w:style>
  <w:style w:type="table" w:styleId="TableGrid">
    <w:name w:val="Table Grid"/>
    <w:basedOn w:val="TableNormal"/>
    <w:uiPriority w:val="59"/>
    <w:rsid w:val="00B07C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A1E690EF9D7643A8E008F95B2E9097" ma:contentTypeVersion="143" ma:contentTypeDescription="" ma:contentTypeScope="" ma:versionID="e04c4de3f4851c8ce2e56834539919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2011-10-17T07:00:00+00:00</OpenedDate>
    <Date1 xmlns="dc463f71-b30c-4ab2-9473-d307f9d35888">2012-01-23T08:00:00+00:00</Date1>
    <IsDocumentOrder xmlns="dc463f71-b30c-4ab2-9473-d307f9d35888" xsi:nil="true"/>
    <IsHighlyConfidential xmlns="dc463f71-b30c-4ab2-9473-d307f9d35888">false</IsHighlyConfidential>
    <CaseCompanyNames xmlns="dc463f71-b30c-4ab2-9473-d307f9d35888">McLeodUSA Telecommunications Services, LLC;PaeTec Communications, Inc.</CaseCompanyNames>
    <DocketNumber xmlns="dc463f71-b30c-4ab2-9473-d307f9d35888">111816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E5D7D66-4BB6-443A-8549-EC491B13FFB1}"/>
</file>

<file path=customXml/itemProps2.xml><?xml version="1.0" encoding="utf-8"?>
<ds:datastoreItem xmlns:ds="http://schemas.openxmlformats.org/officeDocument/2006/customXml" ds:itemID="{56F55D05-65F2-4F69-9771-642C2C93EE0D}"/>
</file>

<file path=customXml/itemProps3.xml><?xml version="1.0" encoding="utf-8"?>
<ds:datastoreItem xmlns:ds="http://schemas.openxmlformats.org/officeDocument/2006/customXml" ds:itemID="{D989338D-DB99-4E23-8DF9-FB612EF50B4A}"/>
</file>

<file path=customXml/itemProps4.xml><?xml version="1.0" encoding="utf-8"?>
<ds:datastoreItem xmlns:ds="http://schemas.openxmlformats.org/officeDocument/2006/customXml" ds:itemID="{C0BE4623-34BE-4491-BC41-FAAF8A3D4C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2012-01-23T21:24:00Z</dcterms:created>
  <dcterms:modified xsi:type="dcterms:W3CDTF">2012-01-23T21:24:00Z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0x0101006E56B4D1795A2E4DB2F0B01679ED314A00F2A1E690EF9D7643A8E008F95B2E9097</vt:lpwstr>
  </property>
  <property fmtid="{D5CDD505-2E9C-101B-9397-08002B2CF9AE}" pid="3" name="_docset_NoMedatataSyncRequired">
    <vt:lpwstr>False</vt:lpwstr>
  </property>
</Properties>
</file>