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3FD71" w14:textId="2B6EC1E2" w:rsidR="006E3B58" w:rsidRDefault="00154718" w:rsidP="00BE5610">
      <w:bookmarkStart w:id="0" w:name="_GoBack"/>
      <w:bookmarkEnd w:id="0"/>
      <w:r w:rsidRPr="00EB4CE3">
        <w:t xml:space="preserve">Agenda Date: </w:t>
      </w:r>
      <w:r w:rsidRPr="00EB4CE3">
        <w:tab/>
      </w:r>
      <w:r w:rsidRPr="00EB4CE3">
        <w:tab/>
      </w:r>
      <w:r w:rsidR="009F0695">
        <w:t>August</w:t>
      </w:r>
      <w:r w:rsidR="00143CDB">
        <w:t xml:space="preserve"> </w:t>
      </w:r>
      <w:r w:rsidR="00010C20">
        <w:t>2</w:t>
      </w:r>
      <w:r w:rsidR="009F0695">
        <w:t>8</w:t>
      </w:r>
      <w:r w:rsidRPr="00EB4CE3">
        <w:t xml:space="preserve">, </w:t>
      </w:r>
      <w:r w:rsidR="00103755">
        <w:t>201</w:t>
      </w:r>
      <w:r w:rsidR="007A59D5">
        <w:t>4</w:t>
      </w:r>
      <w:r w:rsidR="004456FB">
        <w:tab/>
      </w:r>
      <w:r w:rsidR="004456FB">
        <w:tab/>
      </w:r>
    </w:p>
    <w:p w14:paraId="1F03FD72" w14:textId="5F94BBC5" w:rsidR="00154718" w:rsidRDefault="00154718" w:rsidP="00BE5610">
      <w:r w:rsidRPr="00EB4CE3">
        <w:t>Item Number</w:t>
      </w:r>
      <w:r w:rsidR="00CE0818">
        <w:t>:</w:t>
      </w:r>
      <w:r w:rsidR="00CE0818">
        <w:tab/>
      </w:r>
      <w:r w:rsidR="00CE0818">
        <w:tab/>
      </w:r>
      <w:r w:rsidR="00C04B51" w:rsidRPr="00C04B51">
        <w:t>A</w:t>
      </w:r>
      <w:r w:rsidR="000734FD">
        <w:t>1</w:t>
      </w:r>
      <w:r w:rsidR="00E06470">
        <w:tab/>
      </w:r>
      <w:r w:rsidR="00E06470">
        <w:tab/>
      </w:r>
      <w:r w:rsidR="00E06470">
        <w:tab/>
      </w:r>
      <w:r w:rsidR="00E06470">
        <w:tab/>
      </w:r>
    </w:p>
    <w:p w14:paraId="1F03FD73" w14:textId="77777777" w:rsidR="006E3B58" w:rsidRPr="00EB4CE3" w:rsidRDefault="006E3B58" w:rsidP="00BE5610"/>
    <w:p w14:paraId="1F03FD74" w14:textId="3C9DDCF7" w:rsidR="00154718" w:rsidRPr="00EB4CE3" w:rsidRDefault="00154718" w:rsidP="00BE5610">
      <w:r w:rsidRPr="00EB4CE3">
        <w:t xml:space="preserve">Docket: </w:t>
      </w:r>
      <w:r w:rsidRPr="00EB4CE3">
        <w:tab/>
      </w:r>
      <w:r w:rsidRPr="00EB4CE3">
        <w:tab/>
        <w:t>UW-</w:t>
      </w:r>
      <w:r w:rsidR="00705164">
        <w:t>1</w:t>
      </w:r>
      <w:r w:rsidR="003C73AC">
        <w:t>10436</w:t>
      </w:r>
    </w:p>
    <w:p w14:paraId="1F03FD75" w14:textId="77777777" w:rsidR="00154718" w:rsidRPr="00EB4CE3" w:rsidRDefault="00A41C23" w:rsidP="00BE5610">
      <w:r w:rsidRPr="00EB4CE3">
        <w:t>Company Name:</w:t>
      </w:r>
      <w:r w:rsidRPr="00EB4CE3">
        <w:tab/>
      </w:r>
      <w:r w:rsidR="00187E0D">
        <w:t>Olympic Water and Sewer, Inc.</w:t>
      </w:r>
    </w:p>
    <w:p w14:paraId="1F03FD76" w14:textId="77777777" w:rsidR="00154718" w:rsidRPr="00EB4CE3" w:rsidRDefault="00154718" w:rsidP="00BE5610"/>
    <w:p w14:paraId="1F03FD77" w14:textId="77777777" w:rsidR="00154718" w:rsidRDefault="00595023" w:rsidP="00BE5610">
      <w:r w:rsidRPr="00EB4CE3">
        <w:t xml:space="preserve">Staff: </w:t>
      </w:r>
      <w:r w:rsidRPr="00EB4CE3">
        <w:tab/>
      </w:r>
      <w:r w:rsidRPr="00EB4CE3">
        <w:tab/>
      </w:r>
      <w:r w:rsidRPr="00EB4CE3">
        <w:tab/>
        <w:t>Jim Ward</w:t>
      </w:r>
      <w:r w:rsidR="00154718" w:rsidRPr="00EB4CE3">
        <w:t>, Regulatory Analyst</w:t>
      </w:r>
    </w:p>
    <w:p w14:paraId="1F03FD78" w14:textId="77777777" w:rsidR="00154718" w:rsidRPr="00EB4CE3" w:rsidRDefault="00103755" w:rsidP="00705164">
      <w:pPr>
        <w:ind w:left="1440" w:firstLine="720"/>
      </w:pPr>
      <w:r>
        <w:t>John Cupp</w:t>
      </w:r>
      <w:r w:rsidR="00154718" w:rsidRPr="00EB4CE3">
        <w:t>, Consumer Protection Staff</w:t>
      </w:r>
    </w:p>
    <w:p w14:paraId="1F03FD79" w14:textId="77777777" w:rsidR="00154718" w:rsidRPr="00EB4CE3" w:rsidRDefault="00154718" w:rsidP="00BE5610"/>
    <w:p w14:paraId="1F03FD7A" w14:textId="77777777" w:rsidR="00154718" w:rsidRPr="00935AF2" w:rsidRDefault="00154718" w:rsidP="00BE5610">
      <w:pPr>
        <w:rPr>
          <w:b/>
          <w:u w:val="single"/>
        </w:rPr>
      </w:pPr>
      <w:r w:rsidRPr="00935AF2">
        <w:rPr>
          <w:b/>
          <w:u w:val="single"/>
        </w:rPr>
        <w:t>Recommendation</w:t>
      </w:r>
      <w:r w:rsidR="0013149D">
        <w:rPr>
          <w:b/>
          <w:u w:val="single"/>
        </w:rPr>
        <w:t>s</w:t>
      </w:r>
    </w:p>
    <w:p w14:paraId="22913972" w14:textId="667A9314" w:rsidR="00010C20" w:rsidRDefault="00010C20" w:rsidP="00010C20">
      <w:pPr>
        <w:widowControl w:val="0"/>
        <w:autoSpaceDE w:val="0"/>
        <w:autoSpaceDN w:val="0"/>
        <w:adjustRightInd w:val="0"/>
        <w:rPr>
          <w:rFonts w:eastAsia="Times New Roman"/>
          <w:color w:val="000000"/>
          <w:lang w:bidi="ar-SA"/>
        </w:rPr>
      </w:pPr>
    </w:p>
    <w:p w14:paraId="38559651" w14:textId="41EE7945" w:rsidR="00010C20" w:rsidRDefault="00010C20" w:rsidP="00010C2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Complaint and Order Suspending the Tariff Revisions filed by</w:t>
      </w:r>
      <w:r>
        <w:t xml:space="preserve"> Olympic Water and Sewer</w:t>
      </w:r>
      <w:r w:rsidRPr="006073C4">
        <w:t xml:space="preserve">, Inc., </w:t>
      </w:r>
      <w:r>
        <w:t>in Docket UW-1</w:t>
      </w:r>
      <w:r w:rsidR="005C112B">
        <w:t>10436</w:t>
      </w:r>
      <w:r>
        <w:t xml:space="preserve"> dated April </w:t>
      </w:r>
      <w:r w:rsidR="005C112B">
        <w:t>10</w:t>
      </w:r>
      <w:r w:rsidRPr="006D62FC">
        <w:t>, 2014.</w:t>
      </w:r>
      <w:r w:rsidRPr="004C73F1">
        <w:t xml:space="preserve"> </w:t>
      </w:r>
    </w:p>
    <w:p w14:paraId="46747B57" w14:textId="77777777" w:rsidR="00010C20" w:rsidRDefault="00010C20" w:rsidP="00924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p>
    <w:p w14:paraId="7DAC913E" w14:textId="184705D4" w:rsidR="00010C20" w:rsidRDefault="00010C20" w:rsidP="00010C2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Allow the revised rates and tariff revision</w:t>
      </w:r>
      <w:r w:rsidR="005C112B">
        <w:t>s</w:t>
      </w:r>
      <w:r w:rsidRPr="00AA4488">
        <w:t xml:space="preserve"> filed by </w:t>
      </w:r>
      <w:r>
        <w:t>Olympic Water and Sewer, Inc.,</w:t>
      </w:r>
      <w:r w:rsidRPr="00AA4488">
        <w:t xml:space="preserve"> on </w:t>
      </w:r>
      <w:r w:rsidR="009F0695" w:rsidRPr="000734FD">
        <w:t>August 22</w:t>
      </w:r>
      <w:r w:rsidRPr="000734FD">
        <w:t>, 2014</w:t>
      </w:r>
      <w:r>
        <w:t xml:space="preserve">, </w:t>
      </w:r>
      <w:r w:rsidRPr="00AA4488">
        <w:t xml:space="preserve">to become effective </w:t>
      </w:r>
      <w:r w:rsidR="002E0F52">
        <w:t xml:space="preserve">September </w:t>
      </w:r>
      <w:r>
        <w:t>1</w:t>
      </w:r>
      <w:r w:rsidRPr="00AA4488">
        <w:t>, 201</w:t>
      </w:r>
      <w:r>
        <w:t>4</w:t>
      </w:r>
      <w:r w:rsidRPr="00AA4488">
        <w:t>.</w:t>
      </w:r>
    </w:p>
    <w:p w14:paraId="5B7507C9" w14:textId="77777777" w:rsidR="00D24204" w:rsidRDefault="00D24204" w:rsidP="009249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435C4B69" w14:textId="358C1E59" w:rsidR="00D24204" w:rsidRDefault="00D24204" w:rsidP="00010C20">
      <w:pPr>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Issue an Order Allowing Deferral of Well No. 17 drilling</w:t>
      </w:r>
      <w:r w:rsidRPr="00AC7006">
        <w:t xml:space="preserve"> </w:t>
      </w:r>
      <w:r>
        <w:t>and partial legal cost to be included in the replacement source of supply for the North Aquifer Well System.</w:t>
      </w:r>
    </w:p>
    <w:p w14:paraId="1F03FD7D" w14:textId="75978D17" w:rsidR="00A271A6" w:rsidRPr="00B1586B" w:rsidRDefault="00A271A6" w:rsidP="004F25D5">
      <w:pPr>
        <w:widowControl w:val="0"/>
        <w:autoSpaceDE w:val="0"/>
        <w:autoSpaceDN w:val="0"/>
        <w:adjustRightInd w:val="0"/>
      </w:pPr>
    </w:p>
    <w:p w14:paraId="1F03FD80" w14:textId="135BA80B" w:rsidR="00154718" w:rsidRPr="00935AF2" w:rsidRDefault="00C37902" w:rsidP="00BE5610">
      <w:pPr>
        <w:rPr>
          <w:b/>
          <w:u w:val="single"/>
        </w:rPr>
      </w:pPr>
      <w:r>
        <w:rPr>
          <w:b/>
          <w:u w:val="single"/>
        </w:rPr>
        <w:t>Background</w:t>
      </w:r>
    </w:p>
    <w:p w14:paraId="1F03FD81" w14:textId="77777777" w:rsidR="00154718" w:rsidRPr="00EB4CE3" w:rsidRDefault="00154718" w:rsidP="00BE5610"/>
    <w:p w14:paraId="1F03FD84" w14:textId="59CB9384" w:rsidR="00AE0092" w:rsidRPr="007A59D5" w:rsidRDefault="00DD65A6" w:rsidP="007A59D5">
      <w:pPr>
        <w:rPr>
          <w:szCs w:val="32"/>
        </w:rPr>
      </w:pPr>
      <w:r w:rsidRPr="007A59D5">
        <w:rPr>
          <w:szCs w:val="32"/>
        </w:rPr>
        <w:t xml:space="preserve">On </w:t>
      </w:r>
      <w:r w:rsidR="007A59D5">
        <w:rPr>
          <w:szCs w:val="32"/>
        </w:rPr>
        <w:t>March</w:t>
      </w:r>
      <w:r w:rsidR="00187E0D" w:rsidRPr="007A59D5">
        <w:rPr>
          <w:szCs w:val="32"/>
        </w:rPr>
        <w:t xml:space="preserve"> </w:t>
      </w:r>
      <w:r w:rsidR="009A01B8">
        <w:rPr>
          <w:szCs w:val="32"/>
        </w:rPr>
        <w:t>7</w:t>
      </w:r>
      <w:r w:rsidRPr="007A59D5">
        <w:rPr>
          <w:szCs w:val="32"/>
        </w:rPr>
        <w:t xml:space="preserve">, </w:t>
      </w:r>
      <w:r w:rsidR="00705164" w:rsidRPr="007A59D5">
        <w:rPr>
          <w:szCs w:val="32"/>
        </w:rPr>
        <w:t>201</w:t>
      </w:r>
      <w:r w:rsidR="007A59D5">
        <w:rPr>
          <w:szCs w:val="32"/>
        </w:rPr>
        <w:t>4</w:t>
      </w:r>
      <w:r w:rsidRPr="007A59D5">
        <w:rPr>
          <w:szCs w:val="32"/>
        </w:rPr>
        <w:t xml:space="preserve">, </w:t>
      </w:r>
      <w:r w:rsidR="00187E0D" w:rsidRPr="007A59D5">
        <w:rPr>
          <w:szCs w:val="32"/>
        </w:rPr>
        <w:t xml:space="preserve">Olympic Water and Sewer, </w:t>
      </w:r>
      <w:r w:rsidR="002A17FD" w:rsidRPr="007A59D5">
        <w:rPr>
          <w:szCs w:val="32"/>
        </w:rPr>
        <w:t>Inc.</w:t>
      </w:r>
      <w:r w:rsidR="006F6487" w:rsidRPr="007A59D5">
        <w:rPr>
          <w:szCs w:val="32"/>
        </w:rPr>
        <w:t xml:space="preserve"> </w:t>
      </w:r>
      <w:r w:rsidRPr="007A59D5">
        <w:rPr>
          <w:szCs w:val="32"/>
        </w:rPr>
        <w:t>(</w:t>
      </w:r>
      <w:r w:rsidR="00187E0D" w:rsidRPr="007A59D5">
        <w:rPr>
          <w:szCs w:val="32"/>
        </w:rPr>
        <w:t xml:space="preserve">Olympic </w:t>
      </w:r>
      <w:r w:rsidRPr="007A59D5">
        <w:rPr>
          <w:szCs w:val="32"/>
        </w:rPr>
        <w:t>or company</w:t>
      </w:r>
      <w:r w:rsidR="00A201C0" w:rsidRPr="007A59D5">
        <w:rPr>
          <w:szCs w:val="32"/>
        </w:rPr>
        <w:t>)</w:t>
      </w:r>
      <w:r w:rsidR="00BD138F" w:rsidRPr="007A59D5">
        <w:rPr>
          <w:szCs w:val="32"/>
        </w:rPr>
        <w:t>,</w:t>
      </w:r>
      <w:r w:rsidR="00A201C0" w:rsidRPr="007A59D5">
        <w:rPr>
          <w:szCs w:val="32"/>
        </w:rPr>
        <w:t xml:space="preserve"> filed</w:t>
      </w:r>
      <w:r w:rsidRPr="007A59D5">
        <w:rPr>
          <w:szCs w:val="32"/>
        </w:rPr>
        <w:t xml:space="preserve"> </w:t>
      </w:r>
      <w:r w:rsidR="00CB1B63" w:rsidRPr="007A59D5">
        <w:rPr>
          <w:szCs w:val="32"/>
        </w:rPr>
        <w:t xml:space="preserve">a </w:t>
      </w:r>
      <w:r w:rsidR="009A01B8">
        <w:rPr>
          <w:szCs w:val="32"/>
        </w:rPr>
        <w:t>p</w:t>
      </w:r>
      <w:r w:rsidR="007A59D5" w:rsidRPr="007A59D5">
        <w:rPr>
          <w:szCs w:val="32"/>
        </w:rPr>
        <w:t xml:space="preserve">roposed general rate increase that would generate $52,124 (7.8 percent) additional annual revenue. This </w:t>
      </w:r>
      <w:r w:rsidR="00512774">
        <w:rPr>
          <w:szCs w:val="32"/>
        </w:rPr>
        <w:t xml:space="preserve">general </w:t>
      </w:r>
      <w:r w:rsidR="00D24204">
        <w:rPr>
          <w:szCs w:val="32"/>
        </w:rPr>
        <w:t xml:space="preserve">rate increase is in the form of a </w:t>
      </w:r>
      <w:r w:rsidR="007A59D5" w:rsidRPr="007A59D5">
        <w:rPr>
          <w:szCs w:val="32"/>
        </w:rPr>
        <w:t xml:space="preserve">surcharge </w:t>
      </w:r>
      <w:r w:rsidR="00D24204">
        <w:rPr>
          <w:szCs w:val="32"/>
        </w:rPr>
        <w:t xml:space="preserve">and </w:t>
      </w:r>
      <w:r w:rsidR="007A59D5" w:rsidRPr="007A59D5">
        <w:rPr>
          <w:szCs w:val="32"/>
        </w:rPr>
        <w:t xml:space="preserve">is </w:t>
      </w:r>
      <w:r w:rsidR="00F52F18">
        <w:rPr>
          <w:szCs w:val="32"/>
        </w:rPr>
        <w:t xml:space="preserve">filed </w:t>
      </w:r>
      <w:r w:rsidR="007A59D5" w:rsidRPr="007A59D5">
        <w:rPr>
          <w:szCs w:val="32"/>
        </w:rPr>
        <w:lastRenderedPageBreak/>
        <w:t xml:space="preserve">pursuant to UW-110436 Order </w:t>
      </w:r>
      <w:r w:rsidR="004B04A7">
        <w:rPr>
          <w:szCs w:val="32"/>
        </w:rPr>
        <w:t xml:space="preserve">  </w:t>
      </w:r>
      <w:r w:rsidR="00F52F18">
        <w:rPr>
          <w:szCs w:val="32"/>
        </w:rPr>
        <w:t xml:space="preserve">No. </w:t>
      </w:r>
      <w:r w:rsidR="007A59D5" w:rsidRPr="007A59D5">
        <w:rPr>
          <w:szCs w:val="32"/>
        </w:rPr>
        <w:t>1 granting deferral of certain cost</w:t>
      </w:r>
      <w:r w:rsidR="00F52F18">
        <w:rPr>
          <w:szCs w:val="32"/>
        </w:rPr>
        <w:t>s</w:t>
      </w:r>
      <w:r w:rsidR="007A59D5" w:rsidRPr="007A59D5">
        <w:rPr>
          <w:szCs w:val="32"/>
        </w:rPr>
        <w:t xml:space="preserve"> associated with drilling Well </w:t>
      </w:r>
      <w:r w:rsidR="00F52F18">
        <w:rPr>
          <w:szCs w:val="32"/>
        </w:rPr>
        <w:t xml:space="preserve">No. </w:t>
      </w:r>
      <w:r w:rsidR="007A59D5" w:rsidRPr="007A59D5">
        <w:rPr>
          <w:szCs w:val="32"/>
        </w:rPr>
        <w:t>17 and the investigation and remediation of contamination discovered while drilling that well in April 2009. Olympic serves 1,608 mixed use customers near Port Ludlow in Jefferson County. The company’s last rate change was effective May 22, 2008.</w:t>
      </w:r>
    </w:p>
    <w:p w14:paraId="1F03FD85" w14:textId="77777777" w:rsidR="00AE0092" w:rsidRDefault="00AE0092" w:rsidP="00951306">
      <w:pPr>
        <w:pStyle w:val="NoSpacing"/>
      </w:pPr>
    </w:p>
    <w:p w14:paraId="6564FDDF" w14:textId="5C2D6F2D" w:rsidR="00E01425" w:rsidRDefault="00E01425" w:rsidP="00951306">
      <w:pPr>
        <w:pStyle w:val="NoSpacing"/>
      </w:pPr>
      <w:r>
        <w:rPr>
          <w:color w:val="000000"/>
        </w:rPr>
        <w:t xml:space="preserve">On September 15, 2010, </w:t>
      </w:r>
      <w:r w:rsidR="005C112B">
        <w:t>Olympic</w:t>
      </w:r>
      <w:r>
        <w:t xml:space="preserve"> filed a t</w:t>
      </w:r>
      <w:r w:rsidRPr="008C168F">
        <w:rPr>
          <w:rFonts w:eastAsia="Times New Roman"/>
          <w:lang w:bidi="ar-SA"/>
        </w:rPr>
        <w:t xml:space="preserve">ariff revision </w:t>
      </w:r>
      <w:r w:rsidR="006F1BD7">
        <w:rPr>
          <w:rFonts w:eastAsia="Times New Roman"/>
          <w:lang w:bidi="ar-SA"/>
        </w:rPr>
        <w:t xml:space="preserve">that would generate </w:t>
      </w:r>
      <w:r w:rsidR="006F1BD7" w:rsidRPr="00407C80">
        <w:t>$</w:t>
      </w:r>
      <w:r w:rsidR="006F1BD7">
        <w:t>182,097</w:t>
      </w:r>
      <w:r w:rsidR="006F1BD7" w:rsidRPr="00407C80">
        <w:t xml:space="preserve"> (</w:t>
      </w:r>
      <w:r w:rsidR="006F1BD7">
        <w:t>25</w:t>
      </w:r>
      <w:r w:rsidR="006F1BD7" w:rsidRPr="00407C80">
        <w:t xml:space="preserve"> percent) </w:t>
      </w:r>
      <w:r w:rsidR="006F1BD7">
        <w:t>additional annual revenue</w:t>
      </w:r>
      <w:r w:rsidR="006F1BD7">
        <w:rPr>
          <w:rFonts w:eastAsia="Times New Roman"/>
          <w:lang w:bidi="ar-SA"/>
        </w:rPr>
        <w:t xml:space="preserve"> </w:t>
      </w:r>
      <w:r w:rsidRPr="008C168F">
        <w:rPr>
          <w:rFonts w:eastAsia="Times New Roman"/>
          <w:lang w:bidi="ar-SA"/>
        </w:rPr>
        <w:t xml:space="preserve">to </w:t>
      </w:r>
      <w:r>
        <w:rPr>
          <w:rFonts w:eastAsia="Times New Roman"/>
          <w:lang w:bidi="ar-SA"/>
        </w:rPr>
        <w:t xml:space="preserve">its </w:t>
      </w:r>
      <w:r w:rsidR="006F1BD7">
        <w:rPr>
          <w:rFonts w:eastAsia="Times New Roman"/>
          <w:lang w:bidi="ar-SA"/>
        </w:rPr>
        <w:t xml:space="preserve">tariff. </w:t>
      </w:r>
      <w:r w:rsidRPr="00407C80">
        <w:t xml:space="preserve">. </w:t>
      </w:r>
      <w:r w:rsidR="00603AF9">
        <w:t xml:space="preserve">Staff’s </w:t>
      </w:r>
      <w:r w:rsidR="00B7757B">
        <w:t xml:space="preserve">subsequent </w:t>
      </w:r>
      <w:r w:rsidR="00603AF9">
        <w:t xml:space="preserve">review of </w:t>
      </w:r>
      <w:r w:rsidR="00E7669C">
        <w:t>Olympic</w:t>
      </w:r>
      <w:r w:rsidR="004653F7">
        <w:t>’</w:t>
      </w:r>
      <w:r w:rsidR="00E7669C">
        <w:t>s</w:t>
      </w:r>
      <w:r w:rsidR="00603AF9" w:rsidRPr="00407C80">
        <w:t xml:space="preserve"> books, records and supporting documents </w:t>
      </w:r>
      <w:r w:rsidR="00603AF9">
        <w:t>show</w:t>
      </w:r>
      <w:r w:rsidR="006F6487">
        <w:t>ed</w:t>
      </w:r>
      <w:r w:rsidR="00603AF9">
        <w:t xml:space="preserve"> a large portion of the </w:t>
      </w:r>
      <w:r w:rsidR="00B7757B">
        <w:t xml:space="preserve">proposed </w:t>
      </w:r>
      <w:r w:rsidR="00603AF9">
        <w:t xml:space="preserve">rate increase resulted from </w:t>
      </w:r>
      <w:r w:rsidR="00BD138F">
        <w:t xml:space="preserve">the </w:t>
      </w:r>
      <w:r w:rsidR="00951306">
        <w:t xml:space="preserve">$32,794 construction costs and $18,500 in legal </w:t>
      </w:r>
      <w:r w:rsidR="000C3CFE">
        <w:t>cost</w:t>
      </w:r>
      <w:r w:rsidR="00951306">
        <w:t>s related to drilling</w:t>
      </w:r>
      <w:r w:rsidR="006F6487">
        <w:t xml:space="preserve"> W</w:t>
      </w:r>
      <w:r w:rsidR="00951306">
        <w:t xml:space="preserve">ell </w:t>
      </w:r>
      <w:r w:rsidR="00F52F18">
        <w:t xml:space="preserve">No. </w:t>
      </w:r>
      <w:r w:rsidR="006F6487">
        <w:t>17</w:t>
      </w:r>
      <w:r w:rsidR="00043899" w:rsidRPr="00043899">
        <w:t xml:space="preserve"> </w:t>
      </w:r>
      <w:r w:rsidR="00043899">
        <w:t xml:space="preserve">and the </w:t>
      </w:r>
      <w:r w:rsidR="00043899" w:rsidRPr="00B1586B">
        <w:t xml:space="preserve">investigation of </w:t>
      </w:r>
      <w:r w:rsidR="00043899">
        <w:t xml:space="preserve">soil contamination discovered while drilling </w:t>
      </w:r>
      <w:r w:rsidR="00043899" w:rsidRPr="00B1586B">
        <w:t xml:space="preserve">Well </w:t>
      </w:r>
      <w:r w:rsidR="00F52F18">
        <w:t xml:space="preserve">No. </w:t>
      </w:r>
      <w:r w:rsidR="00043899" w:rsidRPr="00B1586B">
        <w:t>17</w:t>
      </w:r>
      <w:r w:rsidR="00BD138F">
        <w:t xml:space="preserve">. </w:t>
      </w:r>
      <w:r w:rsidR="00043899">
        <w:t xml:space="preserve">Well </w:t>
      </w:r>
      <w:r w:rsidR="00F52F18">
        <w:t xml:space="preserve">No. </w:t>
      </w:r>
      <w:r w:rsidR="00043899">
        <w:t>17</w:t>
      </w:r>
      <w:r w:rsidR="00BD138F">
        <w:t xml:space="preserve"> </w:t>
      </w:r>
      <w:r w:rsidR="00951306">
        <w:t xml:space="preserve">was </w:t>
      </w:r>
      <w:r w:rsidR="00D24204">
        <w:t xml:space="preserve">ultimately deemed </w:t>
      </w:r>
      <w:r w:rsidR="00951306">
        <w:t xml:space="preserve">unusable for production due to </w:t>
      </w:r>
      <w:r w:rsidR="00426C82">
        <w:t>soil</w:t>
      </w:r>
      <w:r w:rsidR="00B7757B">
        <w:t xml:space="preserve"> </w:t>
      </w:r>
      <w:r w:rsidR="00951306">
        <w:t>contamination</w:t>
      </w:r>
      <w:r w:rsidR="006F6487">
        <w:t xml:space="preserve"> discovered during the drilling</w:t>
      </w:r>
      <w:r w:rsidR="00087D28">
        <w:t xml:space="preserve"> process</w:t>
      </w:r>
      <w:r w:rsidR="00BD138F">
        <w:t xml:space="preserve">. </w:t>
      </w:r>
    </w:p>
    <w:p w14:paraId="495E1C64" w14:textId="77777777" w:rsidR="00E01425" w:rsidRDefault="00E01425" w:rsidP="00951306">
      <w:pPr>
        <w:pStyle w:val="NoSpacing"/>
      </w:pPr>
    </w:p>
    <w:p w14:paraId="1F03FD88" w14:textId="7FEF2F7B" w:rsidR="00760472" w:rsidRDefault="00BD138F" w:rsidP="00E01425">
      <w:pPr>
        <w:pStyle w:val="NoSpacing"/>
        <w:rPr>
          <w:rFonts w:eastAsia="Times New Roman"/>
          <w:color w:val="000000"/>
          <w:lang w:bidi="ar-SA"/>
        </w:rPr>
      </w:pPr>
      <w:r>
        <w:t xml:space="preserve">Because investigation and remediation of the contamination costs </w:t>
      </w:r>
      <w:r w:rsidR="00087D28">
        <w:t>we</w:t>
      </w:r>
      <w:r>
        <w:t>re unknown and on-going, s</w:t>
      </w:r>
      <w:r w:rsidR="00951306">
        <w:t>taff removed th</w:t>
      </w:r>
      <w:r>
        <w:t>o</w:t>
      </w:r>
      <w:r w:rsidR="00951306">
        <w:t>se costs</w:t>
      </w:r>
      <w:r w:rsidR="005642D2">
        <w:t xml:space="preserve"> from the rate case</w:t>
      </w:r>
      <w:r w:rsidR="00951306">
        <w:t xml:space="preserve">. </w:t>
      </w:r>
      <w:r w:rsidR="00951306" w:rsidRPr="00B1586B">
        <w:t xml:space="preserve">The result of </w:t>
      </w:r>
      <w:r w:rsidR="001C30BF" w:rsidRPr="00B1586B">
        <w:t>th</w:t>
      </w:r>
      <w:r w:rsidR="005C112B">
        <w:t>e</w:t>
      </w:r>
      <w:r w:rsidR="00E01425">
        <w:t>s</w:t>
      </w:r>
      <w:r w:rsidR="005C112B">
        <w:t>e</w:t>
      </w:r>
      <w:r w:rsidR="00E01425">
        <w:t xml:space="preserve"> </w:t>
      </w:r>
      <w:r w:rsidR="00951306" w:rsidRPr="00B1586B">
        <w:t>adjustment</w:t>
      </w:r>
      <w:r w:rsidR="005C112B">
        <w:t>s</w:t>
      </w:r>
      <w:r w:rsidR="00E01425">
        <w:t xml:space="preserve"> and other </w:t>
      </w:r>
      <w:r w:rsidR="0011507C">
        <w:t>allocations</w:t>
      </w:r>
      <w:r w:rsidR="00087D28">
        <w:t xml:space="preserve"> </w:t>
      </w:r>
      <w:r w:rsidR="00D37092">
        <w:t xml:space="preserve">showed that </w:t>
      </w:r>
      <w:r w:rsidR="00E01425">
        <w:t>the company</w:t>
      </w:r>
      <w:r w:rsidR="00715204">
        <w:t xml:space="preserve"> </w:t>
      </w:r>
      <w:r w:rsidR="00A33CED">
        <w:t>ha</w:t>
      </w:r>
      <w:r w:rsidR="00E01425">
        <w:t>d</w:t>
      </w:r>
      <w:r w:rsidR="00715204">
        <w:t xml:space="preserve"> </w:t>
      </w:r>
      <w:r w:rsidR="00951306" w:rsidRPr="00B1586B">
        <w:t>no</w:t>
      </w:r>
      <w:r w:rsidR="00715204">
        <w:t>t</w:t>
      </w:r>
      <w:r w:rsidR="00951306" w:rsidRPr="00B1586B">
        <w:t xml:space="preserve"> </w:t>
      </w:r>
      <w:r w:rsidR="00715204">
        <w:t xml:space="preserve">demonstrated </w:t>
      </w:r>
      <w:r w:rsidR="00301106">
        <w:t>its</w:t>
      </w:r>
      <w:r w:rsidR="00715204">
        <w:t xml:space="preserve"> need</w:t>
      </w:r>
      <w:r w:rsidR="00087D28">
        <w:t xml:space="preserve"> for</w:t>
      </w:r>
      <w:r w:rsidR="00715204">
        <w:t xml:space="preserve"> </w:t>
      </w:r>
      <w:r w:rsidR="00951306" w:rsidRPr="00B1586B">
        <w:t>additi</w:t>
      </w:r>
      <w:r w:rsidR="00E7669C" w:rsidRPr="00B1586B">
        <w:t>o</w:t>
      </w:r>
      <w:r w:rsidR="00951306" w:rsidRPr="00B1586B">
        <w:t>n</w:t>
      </w:r>
      <w:r w:rsidR="00E7669C" w:rsidRPr="00B1586B">
        <w:t>a</w:t>
      </w:r>
      <w:r w:rsidR="00951306" w:rsidRPr="00B1586B">
        <w:t>l revenue</w:t>
      </w:r>
      <w:r w:rsidR="00B402B4" w:rsidRPr="00B1586B">
        <w:t>.</w:t>
      </w:r>
      <w:r w:rsidR="00B402B4">
        <w:t xml:space="preserve"> </w:t>
      </w:r>
      <w:r w:rsidR="009A01B8">
        <w:t>On March 9, 2011, the company requested, and staff concurred, that the commission d</w:t>
      </w:r>
      <w:r w:rsidR="009A01B8" w:rsidRPr="00A271A6">
        <w:rPr>
          <w:rFonts w:eastAsia="Times New Roman"/>
          <w:color w:val="000000"/>
          <w:lang w:bidi="ar-SA"/>
        </w:rPr>
        <w:t xml:space="preserve">ismiss the Complaint and Order Suspending the Tariff Revision </w:t>
      </w:r>
      <w:r w:rsidR="009A01B8">
        <w:rPr>
          <w:rFonts w:eastAsia="Times New Roman"/>
          <w:color w:val="000000"/>
          <w:lang w:bidi="ar-SA"/>
        </w:rPr>
        <w:t xml:space="preserve">in Docket UW-101543 </w:t>
      </w:r>
      <w:r w:rsidR="009A01B8" w:rsidRPr="00A271A6">
        <w:rPr>
          <w:rFonts w:eastAsia="Times New Roman"/>
          <w:color w:val="000000"/>
          <w:lang w:bidi="ar-SA"/>
        </w:rPr>
        <w:t>filed by</w:t>
      </w:r>
      <w:r w:rsidR="009A01B8" w:rsidRPr="004D7E01">
        <w:t xml:space="preserve"> </w:t>
      </w:r>
      <w:r w:rsidR="009A01B8">
        <w:t>Olympic on September 15, 2010, and allow Olympic to withdraw the tariff revision</w:t>
      </w:r>
      <w:r w:rsidR="009A01B8">
        <w:rPr>
          <w:rFonts w:eastAsia="Times New Roman"/>
          <w:color w:val="000000"/>
          <w:lang w:bidi="ar-SA"/>
        </w:rPr>
        <w:t xml:space="preserve">. </w:t>
      </w:r>
      <w:r w:rsidR="00204D11">
        <w:rPr>
          <w:rFonts w:eastAsia="Times New Roman"/>
          <w:color w:val="000000"/>
          <w:lang w:bidi="ar-SA"/>
        </w:rPr>
        <w:t xml:space="preserve">The withdrawal letter filed by the company </w:t>
      </w:r>
      <w:r w:rsidR="00087D28">
        <w:rPr>
          <w:rFonts w:eastAsia="Times New Roman"/>
          <w:color w:val="000000"/>
          <w:lang w:bidi="ar-SA"/>
        </w:rPr>
        <w:t>wa</w:t>
      </w:r>
      <w:r w:rsidR="00204D11">
        <w:rPr>
          <w:rFonts w:eastAsia="Times New Roman"/>
          <w:color w:val="000000"/>
          <w:lang w:bidi="ar-SA"/>
        </w:rPr>
        <w:t xml:space="preserve">s conditioned upon the commission approving the </w:t>
      </w:r>
      <w:r w:rsidR="00F23F28">
        <w:rPr>
          <w:rFonts w:eastAsia="Times New Roman"/>
          <w:color w:val="000000"/>
          <w:lang w:bidi="ar-SA"/>
        </w:rPr>
        <w:t>a</w:t>
      </w:r>
      <w:r w:rsidR="00204D11">
        <w:rPr>
          <w:rFonts w:eastAsia="Times New Roman"/>
          <w:color w:val="000000"/>
          <w:lang w:bidi="ar-SA"/>
        </w:rPr>
        <w:t xml:space="preserve">ccounting </w:t>
      </w:r>
      <w:r w:rsidR="00F23F28">
        <w:rPr>
          <w:rFonts w:eastAsia="Times New Roman"/>
          <w:color w:val="000000"/>
          <w:lang w:bidi="ar-SA"/>
        </w:rPr>
        <w:t>p</w:t>
      </w:r>
      <w:r w:rsidR="00204D11">
        <w:rPr>
          <w:rFonts w:eastAsia="Times New Roman"/>
          <w:color w:val="000000"/>
          <w:lang w:bidi="ar-SA"/>
        </w:rPr>
        <w:t>etition</w:t>
      </w:r>
      <w:r w:rsidR="00E6185C">
        <w:rPr>
          <w:rFonts w:eastAsia="Times New Roman"/>
          <w:color w:val="000000"/>
          <w:lang w:bidi="ar-SA"/>
        </w:rPr>
        <w:t>.</w:t>
      </w:r>
      <w:r w:rsidR="00204D11">
        <w:rPr>
          <w:rFonts w:eastAsia="Times New Roman"/>
          <w:color w:val="000000"/>
          <w:lang w:bidi="ar-SA"/>
        </w:rPr>
        <w:t xml:space="preserve"> </w:t>
      </w:r>
      <w:r w:rsidR="00087D28">
        <w:rPr>
          <w:rFonts w:eastAsia="Times New Roman"/>
          <w:color w:val="000000"/>
          <w:lang w:bidi="ar-SA"/>
        </w:rPr>
        <w:t>T</w:t>
      </w:r>
      <w:r w:rsidR="00204D11">
        <w:rPr>
          <w:rFonts w:eastAsia="Times New Roman"/>
          <w:color w:val="000000"/>
          <w:lang w:bidi="ar-SA"/>
        </w:rPr>
        <w:t xml:space="preserve">he withdrawal </w:t>
      </w:r>
      <w:r w:rsidR="00087D28">
        <w:rPr>
          <w:rFonts w:eastAsia="Times New Roman"/>
          <w:color w:val="000000"/>
          <w:lang w:bidi="ar-SA"/>
        </w:rPr>
        <w:t>wa</w:t>
      </w:r>
      <w:r w:rsidR="00204D11">
        <w:rPr>
          <w:rFonts w:eastAsia="Times New Roman"/>
          <w:color w:val="000000"/>
          <w:lang w:bidi="ar-SA"/>
        </w:rPr>
        <w:t>s allowed</w:t>
      </w:r>
      <w:r w:rsidR="00087D28">
        <w:rPr>
          <w:rFonts w:eastAsia="Times New Roman"/>
          <w:color w:val="000000"/>
          <w:lang w:bidi="ar-SA"/>
        </w:rPr>
        <w:t xml:space="preserve"> and</w:t>
      </w:r>
      <w:r w:rsidR="00204D11">
        <w:rPr>
          <w:rFonts w:eastAsia="Times New Roman"/>
          <w:color w:val="000000"/>
          <w:lang w:bidi="ar-SA"/>
        </w:rPr>
        <w:t xml:space="preserve"> the r</w:t>
      </w:r>
      <w:r w:rsidR="007D55AE">
        <w:rPr>
          <w:rFonts w:eastAsia="Times New Roman"/>
          <w:lang w:bidi="ar-SA"/>
        </w:rPr>
        <w:t>ates for water service remain</w:t>
      </w:r>
      <w:r w:rsidR="00087D28">
        <w:rPr>
          <w:rFonts w:eastAsia="Times New Roman"/>
          <w:lang w:bidi="ar-SA"/>
        </w:rPr>
        <w:t>ed</w:t>
      </w:r>
      <w:r w:rsidR="007D55AE">
        <w:rPr>
          <w:rFonts w:eastAsia="Times New Roman"/>
          <w:lang w:bidi="ar-SA"/>
        </w:rPr>
        <w:t xml:space="preserve"> unchanged. </w:t>
      </w:r>
    </w:p>
    <w:p w14:paraId="1F03FD89" w14:textId="77777777" w:rsidR="00743A51" w:rsidRDefault="00743A51"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color w:val="000000"/>
          <w:lang w:bidi="ar-SA"/>
        </w:rPr>
      </w:pPr>
    </w:p>
    <w:p w14:paraId="1F03FD8A" w14:textId="37660A93" w:rsidR="00FC797F" w:rsidRPr="00B1586B" w:rsidRDefault="00715204" w:rsidP="00FC797F">
      <w:pPr>
        <w:widowControl w:val="0"/>
        <w:autoSpaceDE w:val="0"/>
        <w:autoSpaceDN w:val="0"/>
        <w:adjustRightInd w:val="0"/>
      </w:pPr>
      <w:r>
        <w:t>On March 7, 2011, Olympic filed a</w:t>
      </w:r>
      <w:r w:rsidR="00C62DC4">
        <w:t xml:space="preserve"> </w:t>
      </w:r>
      <w:r>
        <w:t xml:space="preserve">petition </w:t>
      </w:r>
      <w:r w:rsidR="00751E73">
        <w:t xml:space="preserve">in </w:t>
      </w:r>
      <w:r>
        <w:t xml:space="preserve">Docket UW-110436 requesting an </w:t>
      </w:r>
      <w:r w:rsidR="00C62DC4">
        <w:t xml:space="preserve">accounting </w:t>
      </w:r>
      <w:r>
        <w:t>order authorizing deferred accounting treatment for cost</w:t>
      </w:r>
      <w:r w:rsidRPr="00B1586B">
        <w:t xml:space="preserve">s associated with </w:t>
      </w:r>
      <w:r w:rsidR="00F00B7C" w:rsidRPr="00B1586B">
        <w:t>drilling</w:t>
      </w:r>
      <w:r w:rsidR="00F00B7C">
        <w:t xml:space="preserve"> Well </w:t>
      </w:r>
      <w:r w:rsidR="00F52F18">
        <w:t xml:space="preserve">No. </w:t>
      </w:r>
      <w:r w:rsidR="00F00B7C">
        <w:t>17</w:t>
      </w:r>
      <w:r w:rsidR="00F00B7C" w:rsidRPr="00B1586B">
        <w:t xml:space="preserve">, </w:t>
      </w:r>
      <w:r w:rsidR="00F00B7C">
        <w:t xml:space="preserve">and the </w:t>
      </w:r>
      <w:r w:rsidR="00F00B7C" w:rsidRPr="00B1586B">
        <w:t xml:space="preserve">investigation and remediation of </w:t>
      </w:r>
      <w:r w:rsidR="00426C82">
        <w:t>soil</w:t>
      </w:r>
      <w:r w:rsidR="00F00B7C">
        <w:t xml:space="preserve"> contamination </w:t>
      </w:r>
      <w:r w:rsidR="00666EDE">
        <w:t xml:space="preserve">discovered while drilling </w:t>
      </w:r>
      <w:r w:rsidR="00666EDE" w:rsidRPr="00B1586B">
        <w:t xml:space="preserve">Well </w:t>
      </w:r>
      <w:r w:rsidR="00F52F18">
        <w:t xml:space="preserve">No. </w:t>
      </w:r>
      <w:r w:rsidR="00666EDE" w:rsidRPr="00B1586B">
        <w:t>17</w:t>
      </w:r>
      <w:r w:rsidR="00CB1B63">
        <w:t>.</w:t>
      </w:r>
      <w:r w:rsidR="00094B8B">
        <w:t xml:space="preserve"> Costs</w:t>
      </w:r>
      <w:r w:rsidR="008B0C20">
        <w:t xml:space="preserve"> </w:t>
      </w:r>
      <w:r w:rsidR="00087D28">
        <w:t>would</w:t>
      </w:r>
      <w:r w:rsidR="008B0C20">
        <w:t xml:space="preserve"> include, but are not limited to, actual well drilling, consulting, engineering, legal fees, testing and other costs associated with </w:t>
      </w:r>
      <w:r w:rsidR="00043899">
        <w:t xml:space="preserve">the </w:t>
      </w:r>
      <w:r w:rsidR="00043899" w:rsidRPr="00B1586B">
        <w:t xml:space="preserve">investigation and remediation of </w:t>
      </w:r>
      <w:r w:rsidR="00043899">
        <w:t xml:space="preserve">soil contamination discovered while drilling </w:t>
      </w:r>
      <w:r w:rsidR="008B0C20">
        <w:t xml:space="preserve">Well </w:t>
      </w:r>
      <w:r w:rsidR="00F52F18">
        <w:t xml:space="preserve">No. </w:t>
      </w:r>
      <w:r w:rsidR="008B0C20">
        <w:t xml:space="preserve">17. </w:t>
      </w:r>
      <w:r w:rsidR="00A33CED">
        <w:t>D</w:t>
      </w:r>
      <w:r w:rsidR="00DF2E8D">
        <w:t>e</w:t>
      </w:r>
      <w:r w:rsidR="00A33CED">
        <w:t>fe</w:t>
      </w:r>
      <w:r w:rsidR="00DF2E8D">
        <w:t>r</w:t>
      </w:r>
      <w:r w:rsidR="00A33CED">
        <w:t>red</w:t>
      </w:r>
      <w:r>
        <w:t xml:space="preserve"> accounting </w:t>
      </w:r>
      <w:r w:rsidR="005C112B">
        <w:t xml:space="preserve">treatment </w:t>
      </w:r>
      <w:r>
        <w:t>w</w:t>
      </w:r>
      <w:r w:rsidR="00087D28">
        <w:t>ould</w:t>
      </w:r>
      <w:r>
        <w:t xml:space="preserve"> </w:t>
      </w:r>
      <w:r w:rsidR="00B7757B">
        <w:t>preserv</w:t>
      </w:r>
      <w:r>
        <w:t>e</w:t>
      </w:r>
      <w:r w:rsidR="00B7757B">
        <w:t xml:space="preserve"> </w:t>
      </w:r>
      <w:r>
        <w:t>Olympic’s</w:t>
      </w:r>
      <w:r w:rsidR="00B7757B">
        <w:t xml:space="preserve"> ability to seek recovery o</w:t>
      </w:r>
      <w:r w:rsidR="00CC3EE4">
        <w:t>f th</w:t>
      </w:r>
      <w:r>
        <w:t>ose</w:t>
      </w:r>
      <w:r w:rsidR="00CC3EE4">
        <w:t xml:space="preserve"> costs </w:t>
      </w:r>
      <w:r>
        <w:t>at a later time</w:t>
      </w:r>
      <w:r w:rsidR="00B402B4">
        <w:t xml:space="preserve">. </w:t>
      </w:r>
    </w:p>
    <w:p w14:paraId="1F03FD8B" w14:textId="77777777" w:rsidR="00FC797F" w:rsidRDefault="00FC797F" w:rsidP="00603A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A" w14:textId="7ED12939" w:rsidR="008E5A4E" w:rsidRDefault="00B131E1" w:rsidP="00F60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Staff </w:t>
      </w:r>
      <w:r w:rsidR="00301106">
        <w:t>concurred</w:t>
      </w:r>
      <w:r>
        <w:t xml:space="preserve"> with the company’s request for deferred accounting treatment</w:t>
      </w:r>
      <w:r w:rsidR="00B402B4">
        <w:t xml:space="preserve">. </w:t>
      </w:r>
      <w:r w:rsidR="00F60EAF">
        <w:t xml:space="preserve">See Staff’s open meeting memo of April 24, 2014, for all conditions. Under section 8 </w:t>
      </w:r>
      <w:r w:rsidR="005C112B">
        <w:t xml:space="preserve">of the conditions, </w:t>
      </w:r>
      <w:r w:rsidR="00F60EAF">
        <w:t xml:space="preserve">the company had options for filing for </w:t>
      </w:r>
      <w:r w:rsidR="00664875">
        <w:t xml:space="preserve">deferred </w:t>
      </w:r>
      <w:r w:rsidR="00F60EAF">
        <w:t>cost.</w:t>
      </w:r>
    </w:p>
    <w:p w14:paraId="1F03FD9B" w14:textId="77777777" w:rsidR="00CF4EB3" w:rsidRDefault="00CF4EB3" w:rsidP="00CF4E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03FD9C" w14:textId="52D3F158" w:rsidR="00B93044" w:rsidRDefault="00CF4EB3" w:rsidP="00F60EAF">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w:t>
      </w:r>
      <w:r w:rsidR="00B93044">
        <w:t xml:space="preserve"> </w:t>
      </w:r>
      <w:r w:rsidR="00FF2762">
        <w:t xml:space="preserve">- </w:t>
      </w:r>
      <w:r w:rsidR="00B93044">
        <w:t xml:space="preserve">The company may file </w:t>
      </w:r>
      <w:r w:rsidR="0012342E">
        <w:t xml:space="preserve">tariff revisions </w:t>
      </w:r>
      <w:r w:rsidR="00B93044">
        <w:t xml:space="preserve">to recover Well </w:t>
      </w:r>
      <w:r w:rsidR="00F52F18">
        <w:t xml:space="preserve">No. </w:t>
      </w:r>
      <w:r w:rsidR="00F1000F">
        <w:t>1</w:t>
      </w:r>
      <w:r w:rsidR="00B93044">
        <w:t xml:space="preserve">7 drilling and </w:t>
      </w:r>
      <w:r w:rsidR="00070E98">
        <w:t xml:space="preserve">soil contamination </w:t>
      </w:r>
      <w:r w:rsidR="00B93044">
        <w:t>investigati</w:t>
      </w:r>
      <w:r w:rsidR="006F6487">
        <w:t>on</w:t>
      </w:r>
      <w:r w:rsidR="00B93044">
        <w:t xml:space="preserve"> cost</w:t>
      </w:r>
      <w:r w:rsidR="006F6487">
        <w:t>s</w:t>
      </w:r>
      <w:r w:rsidR="00B93044">
        <w:t xml:space="preserve"> w</w:t>
      </w:r>
      <w:r w:rsidR="0059540A" w:rsidRPr="008E5A4E">
        <w:t xml:space="preserve">hen the </w:t>
      </w:r>
      <w:r w:rsidR="0059540A">
        <w:t xml:space="preserve">costs are known and measurable </w:t>
      </w:r>
      <w:r w:rsidR="0059540A" w:rsidRPr="008E5A4E">
        <w:t xml:space="preserve">and </w:t>
      </w:r>
      <w:r w:rsidR="00AF6B3F">
        <w:t xml:space="preserve">the </w:t>
      </w:r>
      <w:r w:rsidR="0059540A">
        <w:t xml:space="preserve">responsibilities </w:t>
      </w:r>
      <w:r w:rsidR="00AF6B3F">
        <w:t>for costs ha</w:t>
      </w:r>
      <w:r w:rsidR="005642D2">
        <w:t>ve</w:t>
      </w:r>
      <w:r w:rsidR="00AF6B3F">
        <w:t xml:space="preserve"> been finalized </w:t>
      </w:r>
      <w:r w:rsidR="0012342E">
        <w:t>between a</w:t>
      </w:r>
      <w:r w:rsidR="00AF6B3F">
        <w:t>n</w:t>
      </w:r>
      <w:r w:rsidR="0012342E">
        <w:t>y insurance provider or other third party</w:t>
      </w:r>
      <w:r w:rsidR="0059540A" w:rsidRPr="008E5A4E">
        <w:t xml:space="preserve">. </w:t>
      </w:r>
    </w:p>
    <w:p w14:paraId="1F03FD9D" w14:textId="534DE7D4" w:rsidR="00760472" w:rsidRDefault="00F60EAF" w:rsidP="00F60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
        <w:t>8</w:t>
      </w:r>
      <w:r>
        <w:tab/>
      </w:r>
      <w:r w:rsidR="00CF4EB3">
        <w:t>b</w:t>
      </w:r>
      <w:r w:rsidR="00B93044">
        <w:t xml:space="preserve"> </w:t>
      </w:r>
      <w:r w:rsidR="00FF2762">
        <w:t xml:space="preserve">- </w:t>
      </w:r>
      <w:r w:rsidR="00B93044">
        <w:t xml:space="preserve">The company may file </w:t>
      </w:r>
      <w:r w:rsidR="0012342E">
        <w:t xml:space="preserve">tariff revisions </w:t>
      </w:r>
      <w:r w:rsidR="00B93044">
        <w:t xml:space="preserve">to recover </w:t>
      </w:r>
      <w:r w:rsidR="00070E98">
        <w:t>soil contamination</w:t>
      </w:r>
      <w:r w:rsidR="00B93044">
        <w:t xml:space="preserve"> remediation cost</w:t>
      </w:r>
      <w:r w:rsidR="00AF6B3F">
        <w:t>s</w:t>
      </w:r>
      <w:r w:rsidR="00B93044">
        <w:t xml:space="preserve"> w</w:t>
      </w:r>
      <w:r w:rsidR="00B93044" w:rsidRPr="008E5A4E">
        <w:t xml:space="preserve">hen the </w:t>
      </w:r>
      <w:r w:rsidR="00B93044">
        <w:t xml:space="preserve">costs are known and measurable </w:t>
      </w:r>
      <w:r w:rsidR="00B93044" w:rsidRPr="008E5A4E">
        <w:t xml:space="preserve">and </w:t>
      </w:r>
      <w:r w:rsidR="00AF6B3F">
        <w:t>the responsibilities for costs ha</w:t>
      </w:r>
      <w:r w:rsidR="005642D2">
        <w:t>ve</w:t>
      </w:r>
      <w:r w:rsidR="00AF6B3F">
        <w:t xml:space="preserve"> been finalized between any insurance provider or other third party</w:t>
      </w:r>
      <w:r w:rsidR="00B93044" w:rsidRPr="008E5A4E">
        <w:t>.</w:t>
      </w:r>
    </w:p>
    <w:p w14:paraId="1F03FD9E" w14:textId="77777777" w:rsidR="00CF4EB3" w:rsidRDefault="00CF4EB3">
      <w:pPr>
        <w:ind w:left="720"/>
      </w:pPr>
    </w:p>
    <w:p w14:paraId="28998CC9" w14:textId="106B7BD8" w:rsidR="008C4BA7" w:rsidRDefault="008C4BA7" w:rsidP="00F60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company is seeking cost recovery </w:t>
      </w:r>
      <w:r w:rsidR="005C112B">
        <w:t>under condition</w:t>
      </w:r>
      <w:r>
        <w:t xml:space="preserve"> 8a in this filing.</w:t>
      </w:r>
    </w:p>
    <w:p w14:paraId="2310E64C" w14:textId="77777777" w:rsidR="008C4BA7" w:rsidRDefault="008C4BA7" w:rsidP="00F60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34C3E8" w14:textId="22A54526" w:rsidR="00010C20" w:rsidRPr="00010C20" w:rsidRDefault="00010C20" w:rsidP="00010C20">
      <w:pPr>
        <w:rPr>
          <w:b/>
          <w:u w:val="single"/>
        </w:rPr>
      </w:pPr>
      <w:r>
        <w:rPr>
          <w:b/>
          <w:u w:val="single"/>
        </w:rPr>
        <w:t>Discussion</w:t>
      </w:r>
    </w:p>
    <w:p w14:paraId="1F03FDA4" w14:textId="77777777" w:rsidR="00C02F07" w:rsidRDefault="00C02F07" w:rsidP="00A87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68E12139" w14:textId="77777777" w:rsidR="003D7AAF" w:rsidRDefault="00655135" w:rsidP="00655135">
      <w:pPr>
        <w:rPr>
          <w:color w:val="000000"/>
        </w:rPr>
      </w:pPr>
      <w:r w:rsidRPr="00655135">
        <w:rPr>
          <w:color w:val="000000"/>
          <w:u w:val="single"/>
        </w:rPr>
        <w:t>History of need for additional or replacement source for North Aquifer Well System</w:t>
      </w:r>
      <w:r w:rsidR="003D7AAF">
        <w:rPr>
          <w:color w:val="000000"/>
        </w:rPr>
        <w:t xml:space="preserve"> </w:t>
      </w:r>
    </w:p>
    <w:p w14:paraId="0F02A6FF" w14:textId="1FC489DC" w:rsidR="00655135" w:rsidRPr="003D7AAF" w:rsidRDefault="003D7AAF" w:rsidP="00655135">
      <w:pPr>
        <w:rPr>
          <w:color w:val="000000"/>
        </w:rPr>
      </w:pPr>
      <w:r>
        <w:rPr>
          <w:color w:val="000000"/>
        </w:rPr>
        <w:t>(Attachment 1)</w:t>
      </w:r>
    </w:p>
    <w:p w14:paraId="73CD2DFF" w14:textId="77777777" w:rsidR="00655135" w:rsidRPr="00FE68FC" w:rsidRDefault="00655135" w:rsidP="00655135">
      <w:pPr>
        <w:rPr>
          <w:color w:val="000000"/>
        </w:rPr>
      </w:pPr>
    </w:p>
    <w:p w14:paraId="216A73AB" w14:textId="64DB646B" w:rsidR="00655135" w:rsidRPr="00FE68FC" w:rsidRDefault="00D84A94" w:rsidP="00655135">
      <w:pPr>
        <w:spacing w:after="240"/>
        <w:rPr>
          <w:color w:val="000000"/>
        </w:rPr>
      </w:pPr>
      <w:r>
        <w:rPr>
          <w:color w:val="000000"/>
        </w:rPr>
        <w:t>T</w:t>
      </w:r>
      <w:r w:rsidR="00655135" w:rsidRPr="00FE68FC">
        <w:rPr>
          <w:color w:val="000000"/>
        </w:rPr>
        <w:t xml:space="preserve">he company was aware of the risk </w:t>
      </w:r>
      <w:r>
        <w:rPr>
          <w:color w:val="000000"/>
        </w:rPr>
        <w:t>that</w:t>
      </w:r>
      <w:r w:rsidRPr="00FE68FC">
        <w:rPr>
          <w:color w:val="000000"/>
        </w:rPr>
        <w:t xml:space="preserve"> </w:t>
      </w:r>
      <w:r>
        <w:rPr>
          <w:color w:val="000000"/>
        </w:rPr>
        <w:t>W</w:t>
      </w:r>
      <w:r w:rsidRPr="00FE68FC">
        <w:rPr>
          <w:color w:val="000000"/>
        </w:rPr>
        <w:t xml:space="preserve">ell </w:t>
      </w:r>
      <w:r w:rsidR="00F52F18">
        <w:rPr>
          <w:color w:val="000000"/>
        </w:rPr>
        <w:t xml:space="preserve">No. </w:t>
      </w:r>
      <w:r w:rsidR="00655135" w:rsidRPr="00FE68FC">
        <w:rPr>
          <w:color w:val="000000"/>
        </w:rPr>
        <w:t xml:space="preserve">2 </w:t>
      </w:r>
      <w:r>
        <w:rPr>
          <w:color w:val="000000"/>
        </w:rPr>
        <w:t xml:space="preserve">may </w:t>
      </w:r>
      <w:r w:rsidR="00655135" w:rsidRPr="00FE68FC">
        <w:rPr>
          <w:color w:val="000000"/>
        </w:rPr>
        <w:t>los</w:t>
      </w:r>
      <w:r>
        <w:rPr>
          <w:color w:val="000000"/>
        </w:rPr>
        <w:t>e</w:t>
      </w:r>
      <w:r w:rsidR="00655135" w:rsidRPr="00FE68FC">
        <w:rPr>
          <w:color w:val="000000"/>
        </w:rPr>
        <w:t xml:space="preserve"> capacity or fail if </w:t>
      </w:r>
      <w:r>
        <w:rPr>
          <w:color w:val="000000"/>
        </w:rPr>
        <w:t xml:space="preserve">the company </w:t>
      </w:r>
      <w:r w:rsidR="00655135" w:rsidRPr="00FE68FC">
        <w:rPr>
          <w:color w:val="000000"/>
        </w:rPr>
        <w:t xml:space="preserve">continued to use it as the main source for the North Aquifer Well System. The company </w:t>
      </w:r>
      <w:r>
        <w:rPr>
          <w:color w:val="000000"/>
        </w:rPr>
        <w:t>identified</w:t>
      </w:r>
      <w:r w:rsidR="00655135" w:rsidRPr="00FE68FC">
        <w:rPr>
          <w:color w:val="000000"/>
        </w:rPr>
        <w:t xml:space="preserve"> the </w:t>
      </w:r>
      <w:r>
        <w:rPr>
          <w:color w:val="000000"/>
        </w:rPr>
        <w:t xml:space="preserve">following </w:t>
      </w:r>
      <w:r w:rsidR="00655135" w:rsidRPr="00FE68FC">
        <w:rPr>
          <w:color w:val="000000"/>
        </w:rPr>
        <w:t>alternatives:</w:t>
      </w:r>
    </w:p>
    <w:p w14:paraId="0BE42D7B" w14:textId="71E70438" w:rsidR="00655135" w:rsidRPr="00FE68FC" w:rsidRDefault="00655135" w:rsidP="00655135">
      <w:pPr>
        <w:pStyle w:val="ListParagraph"/>
        <w:numPr>
          <w:ilvl w:val="0"/>
          <w:numId w:val="30"/>
        </w:numPr>
        <w:spacing w:after="240"/>
        <w:rPr>
          <w:color w:val="000000"/>
        </w:rPr>
      </w:pPr>
      <w:r w:rsidRPr="00FE68FC">
        <w:rPr>
          <w:color w:val="000000"/>
        </w:rPr>
        <w:t>Continue to operate with then-current wells</w:t>
      </w:r>
      <w:r w:rsidR="00473A66">
        <w:rPr>
          <w:color w:val="000000"/>
        </w:rPr>
        <w:t xml:space="preserve"> No.</w:t>
      </w:r>
      <w:r w:rsidR="004B04A7">
        <w:rPr>
          <w:color w:val="000000"/>
        </w:rPr>
        <w:t xml:space="preserve"> </w:t>
      </w:r>
      <w:r w:rsidR="00473A66">
        <w:rPr>
          <w:color w:val="000000"/>
        </w:rPr>
        <w:t xml:space="preserve">2 and No. 3 knowing that the </w:t>
      </w:r>
      <w:r w:rsidRPr="00FE68FC">
        <w:rPr>
          <w:color w:val="000000"/>
        </w:rPr>
        <w:t xml:space="preserve">future capacity of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2 </w:t>
      </w:r>
      <w:r w:rsidR="00473A66">
        <w:rPr>
          <w:color w:val="000000"/>
        </w:rPr>
        <w:t xml:space="preserve">is </w:t>
      </w:r>
      <w:r w:rsidRPr="00FE68FC">
        <w:rPr>
          <w:color w:val="000000"/>
        </w:rPr>
        <w:t xml:space="preserve">unknown and </w:t>
      </w:r>
      <w:r w:rsidR="00D84A94">
        <w:rPr>
          <w:color w:val="000000"/>
        </w:rPr>
        <w:t>Well</w:t>
      </w:r>
      <w:r w:rsidRPr="00FE68FC">
        <w:rPr>
          <w:color w:val="000000"/>
        </w:rPr>
        <w:t xml:space="preserve"> </w:t>
      </w:r>
      <w:r w:rsidR="00F52F18">
        <w:rPr>
          <w:color w:val="000000"/>
        </w:rPr>
        <w:t xml:space="preserve">No. </w:t>
      </w:r>
      <w:r w:rsidRPr="00FE68FC">
        <w:rPr>
          <w:color w:val="000000"/>
        </w:rPr>
        <w:t>3</w:t>
      </w:r>
      <w:r w:rsidR="00473A66">
        <w:rPr>
          <w:color w:val="000000"/>
        </w:rPr>
        <w:t xml:space="preserve"> has </w:t>
      </w:r>
      <w:r w:rsidRPr="00FE68FC">
        <w:rPr>
          <w:color w:val="000000"/>
        </w:rPr>
        <w:t xml:space="preserve">issues </w:t>
      </w:r>
      <w:r w:rsidR="00473A66">
        <w:rPr>
          <w:color w:val="000000"/>
        </w:rPr>
        <w:t xml:space="preserve">with </w:t>
      </w:r>
      <w:r>
        <w:rPr>
          <w:color w:val="000000"/>
        </w:rPr>
        <w:t>recovery capacity</w:t>
      </w:r>
      <w:r w:rsidR="00473A66">
        <w:rPr>
          <w:color w:val="000000"/>
        </w:rPr>
        <w:t xml:space="preserve"> while</w:t>
      </w:r>
      <w:r w:rsidRPr="00FE68FC">
        <w:rPr>
          <w:color w:val="000000"/>
        </w:rPr>
        <w:t xml:space="preserve"> at the same time, determine if drilling another well at the </w:t>
      </w:r>
      <w:r w:rsidR="00D84A94">
        <w:rPr>
          <w:color w:val="000000"/>
        </w:rPr>
        <w:t>Well</w:t>
      </w:r>
      <w:r>
        <w:rPr>
          <w:color w:val="000000"/>
        </w:rPr>
        <w:t xml:space="preserve"> </w:t>
      </w:r>
      <w:r w:rsidR="00F52F18">
        <w:rPr>
          <w:color w:val="000000"/>
        </w:rPr>
        <w:t xml:space="preserve">No. </w:t>
      </w:r>
      <w:r>
        <w:rPr>
          <w:color w:val="000000"/>
        </w:rPr>
        <w:t xml:space="preserve">2 </w:t>
      </w:r>
      <w:r w:rsidRPr="00FE68FC">
        <w:rPr>
          <w:color w:val="000000"/>
        </w:rPr>
        <w:t>site into the same aquifer would be possible.</w:t>
      </w:r>
    </w:p>
    <w:p w14:paraId="4BB190AA" w14:textId="511D5686" w:rsidR="00655135" w:rsidRPr="00FE68FC" w:rsidRDefault="00655135" w:rsidP="00655135">
      <w:pPr>
        <w:pStyle w:val="ListParagraph"/>
        <w:numPr>
          <w:ilvl w:val="0"/>
          <w:numId w:val="30"/>
        </w:numPr>
        <w:spacing w:after="240"/>
        <w:rPr>
          <w:color w:val="000000"/>
        </w:rPr>
      </w:pPr>
      <w:r w:rsidRPr="00FE68FC">
        <w:rPr>
          <w:color w:val="000000"/>
        </w:rPr>
        <w:t>Drill a replacement deep well at another location in the North A</w:t>
      </w:r>
      <w:r>
        <w:rPr>
          <w:color w:val="000000"/>
        </w:rPr>
        <w:t>quifer Well</w:t>
      </w:r>
      <w:r w:rsidRPr="00FE68FC">
        <w:rPr>
          <w:color w:val="000000"/>
        </w:rPr>
        <w:t xml:space="preserve"> System.</w:t>
      </w:r>
    </w:p>
    <w:p w14:paraId="7607A072" w14:textId="09ACB817" w:rsidR="00655135" w:rsidRPr="00FE68FC" w:rsidRDefault="00655135" w:rsidP="00655135">
      <w:pPr>
        <w:pStyle w:val="ListParagraph"/>
        <w:numPr>
          <w:ilvl w:val="0"/>
          <w:numId w:val="30"/>
        </w:numPr>
        <w:spacing w:after="240"/>
        <w:rPr>
          <w:color w:val="000000"/>
        </w:rPr>
      </w:pPr>
      <w:r w:rsidRPr="00FE68FC">
        <w:rPr>
          <w:color w:val="000000"/>
        </w:rPr>
        <w:t>Transport water from a known source from the South A</w:t>
      </w:r>
      <w:r>
        <w:rPr>
          <w:color w:val="000000"/>
        </w:rPr>
        <w:t>quifer</w:t>
      </w:r>
      <w:r w:rsidRPr="00FE68FC">
        <w:rPr>
          <w:color w:val="000000"/>
        </w:rPr>
        <w:t xml:space="preserve"> Well System (mainly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5). </w:t>
      </w:r>
    </w:p>
    <w:p w14:paraId="1DA33BB0" w14:textId="77777777" w:rsidR="00655135" w:rsidRPr="00FE68FC" w:rsidRDefault="00655135" w:rsidP="00655135">
      <w:pPr>
        <w:rPr>
          <w:color w:val="000000"/>
        </w:rPr>
      </w:pPr>
      <w:r w:rsidRPr="00FE68FC">
        <w:rPr>
          <w:color w:val="000000"/>
        </w:rPr>
        <w:lastRenderedPageBreak/>
        <w:t xml:space="preserve">After these alternatives were identified, the company determined the cost and risk of each alternative. </w:t>
      </w:r>
    </w:p>
    <w:p w14:paraId="1A359599" w14:textId="77777777" w:rsidR="00655135" w:rsidRPr="00FE68FC" w:rsidRDefault="00655135" w:rsidP="00655135">
      <w:pPr>
        <w:rPr>
          <w:color w:val="000000"/>
        </w:rPr>
      </w:pPr>
    </w:p>
    <w:p w14:paraId="14B8CD13" w14:textId="5AB0B38E" w:rsidR="00655135" w:rsidRPr="00FE68FC" w:rsidRDefault="00655135" w:rsidP="00655135">
      <w:pPr>
        <w:rPr>
          <w:color w:val="000000"/>
        </w:rPr>
      </w:pPr>
      <w:r w:rsidRPr="00FE68FC">
        <w:rPr>
          <w:color w:val="000000"/>
        </w:rPr>
        <w:t xml:space="preserve">Alternative 1 involved simply waiting until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2 failed to produce. The cost was determined to be minimal unless </w:t>
      </w:r>
      <w:r w:rsidR="00D84A94">
        <w:rPr>
          <w:color w:val="000000"/>
        </w:rPr>
        <w:t>Well</w:t>
      </w:r>
      <w:r w:rsidRPr="00FE68FC">
        <w:rPr>
          <w:color w:val="000000"/>
        </w:rPr>
        <w:t xml:space="preserve"> </w:t>
      </w:r>
      <w:r w:rsidR="00F52F18">
        <w:rPr>
          <w:color w:val="000000"/>
        </w:rPr>
        <w:t xml:space="preserve">No. </w:t>
      </w:r>
      <w:r>
        <w:rPr>
          <w:color w:val="000000"/>
        </w:rPr>
        <w:t xml:space="preserve">2 </w:t>
      </w:r>
      <w:r w:rsidRPr="00FE68FC">
        <w:rPr>
          <w:color w:val="000000"/>
        </w:rPr>
        <w:t>fail</w:t>
      </w:r>
      <w:r>
        <w:rPr>
          <w:color w:val="000000"/>
        </w:rPr>
        <w:t>ed</w:t>
      </w:r>
      <w:r w:rsidRPr="00FE68FC">
        <w:rPr>
          <w:color w:val="000000"/>
        </w:rPr>
        <w:t xml:space="preserve"> </w:t>
      </w:r>
      <w:r>
        <w:rPr>
          <w:color w:val="000000"/>
        </w:rPr>
        <w:t>to meet</w:t>
      </w:r>
      <w:r w:rsidRPr="00FE68FC">
        <w:rPr>
          <w:color w:val="000000"/>
        </w:rPr>
        <w:t xml:space="preserve"> production capacity</w:t>
      </w:r>
      <w:r>
        <w:rPr>
          <w:color w:val="000000"/>
        </w:rPr>
        <w:t>.</w:t>
      </w:r>
      <w:r w:rsidRPr="00FE68FC">
        <w:rPr>
          <w:color w:val="000000"/>
        </w:rPr>
        <w:t xml:space="preserve"> Then, the cost was likely to be high and immediate action would be needed to provide water supply</w:t>
      </w:r>
      <w:r w:rsidR="00512774">
        <w:rPr>
          <w:color w:val="000000"/>
        </w:rPr>
        <w:t xml:space="preserve"> and</w:t>
      </w:r>
      <w:r w:rsidR="009249F4">
        <w:rPr>
          <w:color w:val="000000"/>
        </w:rPr>
        <w:t xml:space="preserve"> drilling a new well at the site of Well No. 2 would then be explored.</w:t>
      </w:r>
    </w:p>
    <w:p w14:paraId="10A0181D" w14:textId="77777777" w:rsidR="00655135" w:rsidRPr="00FE68FC" w:rsidRDefault="00655135" w:rsidP="00655135">
      <w:pPr>
        <w:rPr>
          <w:color w:val="000000"/>
        </w:rPr>
      </w:pPr>
    </w:p>
    <w:p w14:paraId="68C9CB94" w14:textId="2EBAA758" w:rsidR="00655135" w:rsidRPr="00FE68FC" w:rsidRDefault="00655135" w:rsidP="00655135">
      <w:pPr>
        <w:rPr>
          <w:color w:val="000000"/>
        </w:rPr>
      </w:pPr>
      <w:r w:rsidRPr="00FE68FC">
        <w:rPr>
          <w:color w:val="000000"/>
        </w:rPr>
        <w:t>Alternative 2</w:t>
      </w:r>
      <w:r w:rsidR="005C112B">
        <w:rPr>
          <w:color w:val="000000"/>
        </w:rPr>
        <w:t xml:space="preserve"> would </w:t>
      </w:r>
      <w:r w:rsidR="00473A66">
        <w:rPr>
          <w:color w:val="000000"/>
        </w:rPr>
        <w:t>require that a new well be drilled  which</w:t>
      </w:r>
      <w:r w:rsidR="005C112B">
        <w:rPr>
          <w:color w:val="000000"/>
        </w:rPr>
        <w:t xml:space="preserve"> </w:t>
      </w:r>
      <w:r w:rsidRPr="00FE68FC">
        <w:rPr>
          <w:color w:val="000000"/>
        </w:rPr>
        <w:t xml:space="preserve">would involve land purchase, </w:t>
      </w:r>
      <w:r w:rsidR="00473A66">
        <w:rPr>
          <w:color w:val="000000"/>
        </w:rPr>
        <w:t xml:space="preserve">a </w:t>
      </w:r>
      <w:r w:rsidRPr="00FE68FC">
        <w:rPr>
          <w:color w:val="000000"/>
        </w:rPr>
        <w:t xml:space="preserve">water rights request to Department of Ecology (DOE) and </w:t>
      </w:r>
      <w:r w:rsidR="00473A66">
        <w:rPr>
          <w:color w:val="000000"/>
        </w:rPr>
        <w:t xml:space="preserve">the </w:t>
      </w:r>
      <w:r w:rsidRPr="00FE68FC">
        <w:rPr>
          <w:color w:val="000000"/>
        </w:rPr>
        <w:t>cost of well construction. Each item was prioritized in accordance with an assessment of its probable cost</w:t>
      </w:r>
      <w:r w:rsidRPr="00FE68FC">
        <w:rPr>
          <w:rFonts w:eastAsia="Times New Roman"/>
          <w:color w:val="111111"/>
        </w:rPr>
        <w:t xml:space="preserve"> and </w:t>
      </w:r>
      <w:r w:rsidR="00F95B8C">
        <w:rPr>
          <w:rFonts w:eastAsia="Times New Roman"/>
          <w:color w:val="111111"/>
        </w:rPr>
        <w:t>risk. The company concluded that new property acquisition was too expensive and too risky and rejected that alternative.</w:t>
      </w:r>
    </w:p>
    <w:p w14:paraId="2093CBB4" w14:textId="77777777" w:rsidR="00655135" w:rsidRPr="00FE68FC" w:rsidRDefault="00655135" w:rsidP="00655135">
      <w:pPr>
        <w:rPr>
          <w:color w:val="000000"/>
        </w:rPr>
      </w:pPr>
    </w:p>
    <w:p w14:paraId="60FA712F" w14:textId="1C8C9D15" w:rsidR="00655135" w:rsidRPr="00FE68FC" w:rsidRDefault="00655135" w:rsidP="00655135">
      <w:pPr>
        <w:rPr>
          <w:color w:val="000000"/>
        </w:rPr>
      </w:pPr>
      <w:r w:rsidRPr="00FE68FC">
        <w:rPr>
          <w:color w:val="000000"/>
        </w:rPr>
        <w:t>Alternative 3 was reviewed and explored with projected costs of $1,654,603, including estimated costs for known requirements</w:t>
      </w:r>
      <w:r w:rsidR="00E93EB5">
        <w:rPr>
          <w:color w:val="000000"/>
        </w:rPr>
        <w:t>,</w:t>
      </w:r>
      <w:r w:rsidRPr="00FE68FC">
        <w:rPr>
          <w:color w:val="000000"/>
        </w:rPr>
        <w:t xml:space="preserve"> such as arsenic treatment and installation of </w:t>
      </w:r>
      <w:r>
        <w:rPr>
          <w:color w:val="000000"/>
        </w:rPr>
        <w:t>additional booster pumping. If continued usage, larger replacement piping may need to help provide total water capacity during peak use periods to move water from the South A</w:t>
      </w:r>
      <w:r w:rsidR="005C112B">
        <w:rPr>
          <w:color w:val="000000"/>
        </w:rPr>
        <w:t>quifer</w:t>
      </w:r>
      <w:r>
        <w:rPr>
          <w:color w:val="000000"/>
        </w:rPr>
        <w:t xml:space="preserve"> Well System to the North A</w:t>
      </w:r>
      <w:r w:rsidR="0011507C">
        <w:rPr>
          <w:color w:val="000000"/>
        </w:rPr>
        <w:t>rea</w:t>
      </w:r>
      <w:r>
        <w:rPr>
          <w:color w:val="000000"/>
        </w:rPr>
        <w:t xml:space="preserve"> customers</w:t>
      </w:r>
      <w:r w:rsidRPr="00FE68FC">
        <w:rPr>
          <w:color w:val="000000"/>
        </w:rPr>
        <w:t xml:space="preserve">. </w:t>
      </w:r>
    </w:p>
    <w:p w14:paraId="197B0556" w14:textId="77777777" w:rsidR="00655135" w:rsidRPr="00FE68FC" w:rsidRDefault="00655135" w:rsidP="00655135">
      <w:pPr>
        <w:rPr>
          <w:color w:val="000000"/>
        </w:rPr>
      </w:pPr>
    </w:p>
    <w:p w14:paraId="1F888325" w14:textId="1D089AA7" w:rsidR="00655135" w:rsidRPr="00FE68FC" w:rsidRDefault="00655135" w:rsidP="00655135">
      <w:pPr>
        <w:rPr>
          <w:color w:val="000000"/>
        </w:rPr>
      </w:pPr>
      <w:r w:rsidRPr="00FE68FC">
        <w:rPr>
          <w:color w:val="000000"/>
        </w:rPr>
        <w:t>In 2008</w:t>
      </w:r>
      <w:r w:rsidR="00E93EB5">
        <w:rPr>
          <w:color w:val="000000"/>
        </w:rPr>
        <w:t>,</w:t>
      </w:r>
      <w:r w:rsidRPr="00FE68FC">
        <w:rPr>
          <w:color w:val="000000"/>
        </w:rPr>
        <w:t xml:space="preserve"> the company retained Robinson</w:t>
      </w:r>
      <w:r w:rsidRPr="00FE68FC">
        <w:rPr>
          <w:rFonts w:eastAsia="Times New Roman"/>
          <w:color w:val="111111"/>
        </w:rPr>
        <w:t xml:space="preserve"> Noble for a report whose scope of work included hydrogeologic services and consulting related to construction of Well </w:t>
      </w:r>
      <w:r w:rsidR="00F52F18">
        <w:rPr>
          <w:rFonts w:eastAsia="Times New Roman"/>
          <w:color w:val="111111"/>
        </w:rPr>
        <w:t xml:space="preserve">No. </w:t>
      </w:r>
      <w:r w:rsidRPr="00FE68FC">
        <w:rPr>
          <w:rFonts w:eastAsia="Times New Roman"/>
          <w:color w:val="111111"/>
        </w:rPr>
        <w:t xml:space="preserve">17 as an additional point of withdrawal at the Well </w:t>
      </w:r>
      <w:r w:rsidR="00F52F18">
        <w:rPr>
          <w:rFonts w:eastAsia="Times New Roman"/>
          <w:color w:val="111111"/>
        </w:rPr>
        <w:t xml:space="preserve">No. </w:t>
      </w:r>
      <w:r w:rsidRPr="00FE68FC">
        <w:rPr>
          <w:rFonts w:eastAsia="Times New Roman"/>
          <w:color w:val="111111"/>
        </w:rPr>
        <w:t>2 site.</w:t>
      </w:r>
      <w:r w:rsidRPr="00FE68FC">
        <w:rPr>
          <w:rStyle w:val="FootnoteReference"/>
          <w:rFonts w:eastAsia="Times New Roman"/>
          <w:color w:val="111111"/>
        </w:rPr>
        <w:footnoteReference w:id="1"/>
      </w:r>
      <w:r w:rsidRPr="00FE68FC">
        <w:rPr>
          <w:rFonts w:eastAsia="Times New Roman"/>
          <w:color w:val="111111"/>
        </w:rPr>
        <w:t xml:space="preserve"> The scope of work also included reporting on </w:t>
      </w:r>
      <w:r w:rsidR="00E93EB5" w:rsidRPr="00FE68FC">
        <w:rPr>
          <w:rFonts w:eastAsia="Times New Roman"/>
          <w:color w:val="111111"/>
        </w:rPr>
        <w:t xml:space="preserve">operational issues </w:t>
      </w:r>
      <w:r w:rsidR="00E93EB5">
        <w:rPr>
          <w:rFonts w:eastAsia="Times New Roman"/>
          <w:color w:val="111111"/>
        </w:rPr>
        <w:t xml:space="preserve">for </w:t>
      </w:r>
      <w:r w:rsidRPr="00FE68FC">
        <w:rPr>
          <w:rFonts w:eastAsia="Times New Roman"/>
          <w:color w:val="111111"/>
        </w:rPr>
        <w:t xml:space="preserve">Well </w:t>
      </w:r>
      <w:r w:rsidR="00F52F18">
        <w:rPr>
          <w:rFonts w:eastAsia="Times New Roman"/>
          <w:color w:val="111111"/>
        </w:rPr>
        <w:t xml:space="preserve">No. </w:t>
      </w:r>
      <w:r w:rsidRPr="00FE68FC">
        <w:rPr>
          <w:rFonts w:eastAsia="Times New Roman"/>
          <w:color w:val="111111"/>
        </w:rPr>
        <w:t xml:space="preserve">3. Robinson Noble’s recommendation was to drill a </w:t>
      </w:r>
      <w:r w:rsidRPr="003E1859">
        <w:rPr>
          <w:rFonts w:eastAsia="Times New Roman"/>
          <w:color w:val="111111"/>
        </w:rPr>
        <w:t xml:space="preserve">new well at the existing </w:t>
      </w:r>
      <w:r w:rsidR="00512774">
        <w:rPr>
          <w:rFonts w:eastAsia="Times New Roman"/>
          <w:color w:val="111111"/>
        </w:rPr>
        <w:t xml:space="preserve">Well No. 2 </w:t>
      </w:r>
      <w:r w:rsidRPr="003E1859">
        <w:rPr>
          <w:rFonts w:eastAsia="Times New Roman"/>
          <w:color w:val="111111"/>
        </w:rPr>
        <w:t>site</w:t>
      </w:r>
      <w:r w:rsidRPr="003E1859">
        <w:rPr>
          <w:rFonts w:eastAsia="Times New Roman"/>
          <w:color w:val="FF0000"/>
        </w:rPr>
        <w:t xml:space="preserve"> </w:t>
      </w:r>
      <w:r w:rsidRPr="003E1859">
        <w:rPr>
          <w:rFonts w:eastAsia="Times New Roman"/>
          <w:color w:val="111111"/>
        </w:rPr>
        <w:t>located at 781 Walker Way at a projected cost of $ $18</w:t>
      </w:r>
      <w:r w:rsidR="00F95B8C" w:rsidRPr="003E1859">
        <w:rPr>
          <w:rFonts w:eastAsia="Times New Roman"/>
          <w:color w:val="111111"/>
        </w:rPr>
        <w:t>0</w:t>
      </w:r>
      <w:r w:rsidRPr="003E1859">
        <w:rPr>
          <w:rFonts w:eastAsia="Times New Roman"/>
          <w:color w:val="111111"/>
        </w:rPr>
        <w:t>,000.</w:t>
      </w:r>
      <w:r w:rsidRPr="00FE68FC">
        <w:rPr>
          <w:rFonts w:eastAsia="Times New Roman"/>
          <w:color w:val="111111"/>
        </w:rPr>
        <w:t xml:space="preserve"> </w:t>
      </w:r>
      <w:r w:rsidRPr="00FE68FC">
        <w:rPr>
          <w:rFonts w:eastAsia="Times New Roman"/>
          <w:color w:val="111111"/>
        </w:rPr>
        <w:br/>
      </w:r>
    </w:p>
    <w:p w14:paraId="531BE02E" w14:textId="26B38650" w:rsidR="00655135" w:rsidRPr="00FE68FC" w:rsidRDefault="00655135" w:rsidP="00655135">
      <w:pPr>
        <w:rPr>
          <w:color w:val="000000"/>
        </w:rPr>
      </w:pPr>
      <w:r w:rsidRPr="00FE68FC">
        <w:rPr>
          <w:color w:val="000000"/>
        </w:rPr>
        <w:lastRenderedPageBreak/>
        <w:t xml:space="preserve">The Robinson Noble study had several key findings. </w:t>
      </w:r>
      <w:r w:rsidR="00E93EB5">
        <w:rPr>
          <w:color w:val="000000"/>
        </w:rPr>
        <w:t>S</w:t>
      </w:r>
      <w:r w:rsidRPr="00FE68FC">
        <w:rPr>
          <w:color w:val="000000"/>
        </w:rPr>
        <w:t xml:space="preserve">ource production records for several years showed that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2 </w:t>
      </w:r>
      <w:r w:rsidR="0011507C">
        <w:rPr>
          <w:color w:val="000000"/>
        </w:rPr>
        <w:t>was</w:t>
      </w:r>
      <w:r w:rsidRPr="00FE68FC">
        <w:rPr>
          <w:color w:val="000000"/>
        </w:rPr>
        <w:t xml:space="preserve"> declining and </w:t>
      </w:r>
      <w:r w:rsidR="0011507C">
        <w:rPr>
          <w:color w:val="000000"/>
        </w:rPr>
        <w:t xml:space="preserve">had </w:t>
      </w:r>
      <w:r w:rsidRPr="00FE68FC">
        <w:rPr>
          <w:color w:val="000000"/>
        </w:rPr>
        <w:t xml:space="preserve">unknown future capacity. The North Aquifer Well System is served by </w:t>
      </w:r>
      <w:r w:rsidR="00D84A94">
        <w:rPr>
          <w:color w:val="000000"/>
        </w:rPr>
        <w:t>Well</w:t>
      </w:r>
      <w:r w:rsidR="0011507C">
        <w:rPr>
          <w:color w:val="000000"/>
        </w:rPr>
        <w:t>s</w:t>
      </w:r>
      <w:r w:rsidRPr="00FE68FC">
        <w:rPr>
          <w:color w:val="000000"/>
        </w:rPr>
        <w:t xml:space="preserve"> </w:t>
      </w:r>
      <w:r w:rsidR="00F52F18">
        <w:rPr>
          <w:color w:val="000000"/>
        </w:rPr>
        <w:t xml:space="preserve">No. </w:t>
      </w:r>
      <w:r w:rsidRPr="00FE68FC">
        <w:rPr>
          <w:color w:val="000000"/>
        </w:rPr>
        <w:t xml:space="preserve">2, </w:t>
      </w:r>
      <w:r w:rsidR="00F52F18">
        <w:rPr>
          <w:color w:val="000000"/>
        </w:rPr>
        <w:t xml:space="preserve">No. </w:t>
      </w:r>
      <w:r w:rsidRPr="00FE68FC">
        <w:rPr>
          <w:color w:val="000000"/>
        </w:rPr>
        <w:t xml:space="preserve">3 and </w:t>
      </w:r>
      <w:r w:rsidR="00F52F18">
        <w:rPr>
          <w:color w:val="000000"/>
        </w:rPr>
        <w:t xml:space="preserve">No. </w:t>
      </w:r>
      <w:r w:rsidRPr="00FE68FC">
        <w:rPr>
          <w:color w:val="000000"/>
        </w:rPr>
        <w:t xml:space="preserve">4N. Well </w:t>
      </w:r>
      <w:r w:rsidR="00F52F18">
        <w:rPr>
          <w:color w:val="000000"/>
        </w:rPr>
        <w:t xml:space="preserve">No. </w:t>
      </w:r>
      <w:r w:rsidRPr="00FE68FC">
        <w:rPr>
          <w:color w:val="000000"/>
        </w:rPr>
        <w:t>2 was placed in-service in 1968 and had capacity to serve of 245 gallons per minute.</w:t>
      </w:r>
      <w:r w:rsidRPr="00FE68FC">
        <w:rPr>
          <w:rStyle w:val="FootnoteReference"/>
          <w:color w:val="000000"/>
        </w:rPr>
        <w:footnoteReference w:id="2"/>
      </w:r>
    </w:p>
    <w:p w14:paraId="6F743853" w14:textId="77777777" w:rsidR="00655135" w:rsidRDefault="00655135" w:rsidP="00655135">
      <w:pPr>
        <w:rPr>
          <w:color w:val="000000"/>
          <w:szCs w:val="32"/>
        </w:rPr>
      </w:pPr>
    </w:p>
    <w:p w14:paraId="58A1AC68" w14:textId="49B2B6C1" w:rsidR="00655135" w:rsidRPr="00FE68FC" w:rsidRDefault="00655135" w:rsidP="00655135">
      <w:pPr>
        <w:rPr>
          <w:color w:val="000000"/>
        </w:rPr>
      </w:pPr>
      <w:r w:rsidRPr="00FE68FC">
        <w:rPr>
          <w:color w:val="000000"/>
        </w:rPr>
        <w:t xml:space="preserve">If there were no future declines in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2 capacity, then the North Aquifer Well System, with all wells operational, was thought to have adequate source capacity for </w:t>
      </w:r>
      <w:r w:rsidR="00512774">
        <w:rPr>
          <w:color w:val="000000"/>
        </w:rPr>
        <w:t xml:space="preserve">more than </w:t>
      </w:r>
      <w:r w:rsidRPr="00FE68FC">
        <w:rPr>
          <w:color w:val="000000"/>
        </w:rPr>
        <w:t xml:space="preserve">20 years of growth based on then-current water demand analysis. </w:t>
      </w:r>
    </w:p>
    <w:p w14:paraId="4D5FED1E" w14:textId="77777777" w:rsidR="00655135" w:rsidRPr="00FE68FC" w:rsidRDefault="00655135" w:rsidP="00655135">
      <w:pPr>
        <w:rPr>
          <w:color w:val="000000"/>
        </w:rPr>
      </w:pPr>
    </w:p>
    <w:p w14:paraId="741881D8" w14:textId="4A0EA090" w:rsidR="00655135" w:rsidRPr="00FE68FC" w:rsidRDefault="005F7D39" w:rsidP="00655135">
      <w:pPr>
        <w:rPr>
          <w:color w:val="000000"/>
        </w:rPr>
      </w:pPr>
      <w:r w:rsidRPr="00FE68FC">
        <w:rPr>
          <w:color w:val="000000"/>
        </w:rPr>
        <w:t xml:space="preserve">If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2 continued to decline and was ultimately taken out of production with no immediate replacement of source capacity, then </w:t>
      </w:r>
      <w:r w:rsidR="00D84A94">
        <w:rPr>
          <w:color w:val="000000"/>
        </w:rPr>
        <w:t>Wells</w:t>
      </w:r>
      <w:r w:rsidRPr="00FE68FC">
        <w:rPr>
          <w:color w:val="000000"/>
        </w:rPr>
        <w:t xml:space="preserve"> </w:t>
      </w:r>
      <w:r w:rsidR="00F52F18">
        <w:rPr>
          <w:color w:val="000000"/>
        </w:rPr>
        <w:t xml:space="preserve">No. </w:t>
      </w:r>
      <w:r w:rsidRPr="00FE68FC">
        <w:rPr>
          <w:color w:val="000000"/>
        </w:rPr>
        <w:t xml:space="preserve">3 and </w:t>
      </w:r>
      <w:r w:rsidR="00F52F18">
        <w:rPr>
          <w:color w:val="000000"/>
        </w:rPr>
        <w:t xml:space="preserve">No. </w:t>
      </w:r>
      <w:r w:rsidRPr="00FE68FC">
        <w:rPr>
          <w:color w:val="000000"/>
        </w:rPr>
        <w:t>4N had the ability to provide the current level demand capacity and an additional 37 E</w:t>
      </w:r>
      <w:r>
        <w:rPr>
          <w:color w:val="000000"/>
        </w:rPr>
        <w:t xml:space="preserve">quivalent </w:t>
      </w:r>
      <w:r w:rsidRPr="00FE68FC">
        <w:rPr>
          <w:color w:val="000000"/>
        </w:rPr>
        <w:t>R</w:t>
      </w:r>
      <w:r>
        <w:rPr>
          <w:color w:val="000000"/>
        </w:rPr>
        <w:t xml:space="preserve">esidential </w:t>
      </w:r>
      <w:r w:rsidRPr="00FE68FC">
        <w:rPr>
          <w:color w:val="000000"/>
        </w:rPr>
        <w:t>U</w:t>
      </w:r>
      <w:r>
        <w:rPr>
          <w:color w:val="000000"/>
        </w:rPr>
        <w:t>nit</w:t>
      </w:r>
      <w:r w:rsidRPr="00FE68FC">
        <w:rPr>
          <w:color w:val="000000"/>
        </w:rPr>
        <w:t>s.</w:t>
      </w:r>
    </w:p>
    <w:p w14:paraId="6B3A3586" w14:textId="77777777" w:rsidR="00655135" w:rsidRPr="00FE68FC" w:rsidRDefault="00655135" w:rsidP="00655135">
      <w:pPr>
        <w:rPr>
          <w:color w:val="000000"/>
        </w:rPr>
      </w:pPr>
    </w:p>
    <w:p w14:paraId="332451D6" w14:textId="6819F782" w:rsidR="00655135" w:rsidRPr="00FE68FC" w:rsidRDefault="00655135" w:rsidP="00655135">
      <w:pPr>
        <w:rPr>
          <w:color w:val="000000"/>
        </w:rPr>
      </w:pPr>
      <w:r w:rsidRPr="00FE68FC">
        <w:rPr>
          <w:color w:val="000000"/>
        </w:rPr>
        <w:t>Selection of the current site at 781 Walker Way met several key elements that had been outlined by various sources. The new well would use the existing aquifer source and would not require waiting for new source approval from DOE</w:t>
      </w:r>
      <w:r w:rsidR="00E93EB5">
        <w:rPr>
          <w:color w:val="000000"/>
        </w:rPr>
        <w:t xml:space="preserve">, which, </w:t>
      </w:r>
      <w:r w:rsidR="00E93EB5" w:rsidRPr="00FE68FC">
        <w:rPr>
          <w:color w:val="000000"/>
        </w:rPr>
        <w:t>based on backlogs for applications</w:t>
      </w:r>
      <w:r w:rsidR="00E93EB5">
        <w:rPr>
          <w:color w:val="000000"/>
        </w:rPr>
        <w:t xml:space="preserve">, </w:t>
      </w:r>
      <w:r w:rsidRPr="00FE68FC">
        <w:rPr>
          <w:color w:val="000000"/>
        </w:rPr>
        <w:t xml:space="preserve">could </w:t>
      </w:r>
      <w:r w:rsidR="00E93EB5">
        <w:rPr>
          <w:color w:val="000000"/>
        </w:rPr>
        <w:t>take</w:t>
      </w:r>
      <w:r w:rsidRPr="00FE68FC">
        <w:rPr>
          <w:color w:val="000000"/>
        </w:rPr>
        <w:t xml:space="preserve"> several years. Shifting to a new site in the North Area was dismissed due to the highly variable geology and unknown water producing capabilities. Additionally, new property acquisition could be expensive and risky. The availability of a new, deeper aquifer was discussed based on uncertain existence and unknown depth or quantity of a new source. The current aquifer of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2 was known and </w:t>
      </w:r>
      <w:r w:rsidR="00934F31" w:rsidRPr="00FE68FC">
        <w:rPr>
          <w:color w:val="000000"/>
        </w:rPr>
        <w:t>avoid</w:t>
      </w:r>
      <w:r w:rsidR="00934F31">
        <w:rPr>
          <w:color w:val="000000"/>
        </w:rPr>
        <w:t>ed</w:t>
      </w:r>
      <w:r w:rsidR="00934F31" w:rsidRPr="00FE68FC">
        <w:rPr>
          <w:color w:val="000000"/>
        </w:rPr>
        <w:t xml:space="preserve"> </w:t>
      </w:r>
      <w:r w:rsidRPr="00FE68FC">
        <w:rPr>
          <w:color w:val="000000"/>
        </w:rPr>
        <w:t xml:space="preserve">the </w:t>
      </w:r>
      <w:r w:rsidR="00491DD0">
        <w:rPr>
          <w:color w:val="000000"/>
        </w:rPr>
        <w:t>risk</w:t>
      </w:r>
      <w:r w:rsidR="00491DD0" w:rsidRPr="00FE68FC">
        <w:rPr>
          <w:color w:val="000000"/>
        </w:rPr>
        <w:t xml:space="preserve">s </w:t>
      </w:r>
      <w:r w:rsidRPr="00FE68FC">
        <w:rPr>
          <w:color w:val="000000"/>
        </w:rPr>
        <w:t>of drilling in a new area. Shifting the location to the South Aquifer Well System would require arsenic treatment of the water being provided to the North Aquifer Well System as well as new transmission infrastructure.</w:t>
      </w:r>
    </w:p>
    <w:p w14:paraId="136457D6" w14:textId="77777777" w:rsidR="00655135" w:rsidRPr="00FE68FC" w:rsidRDefault="00655135" w:rsidP="00655135">
      <w:pPr>
        <w:rPr>
          <w:color w:val="000000"/>
        </w:rPr>
      </w:pPr>
    </w:p>
    <w:p w14:paraId="0B8A5F19" w14:textId="77777777" w:rsidR="00655135" w:rsidRPr="00FE68FC" w:rsidRDefault="00655135" w:rsidP="00655135">
      <w:pPr>
        <w:rPr>
          <w:color w:val="000000"/>
        </w:rPr>
      </w:pPr>
      <w:r w:rsidRPr="00FE68FC">
        <w:rPr>
          <w:color w:val="000000"/>
        </w:rPr>
        <w:t>The company decided to use the existing site location at 781 Walker Way.</w:t>
      </w:r>
      <w:r w:rsidRPr="00FE68FC">
        <w:rPr>
          <w:rStyle w:val="FootnoteReference"/>
          <w:color w:val="000000"/>
        </w:rPr>
        <w:footnoteReference w:id="3"/>
      </w:r>
      <w:r w:rsidRPr="00FE68FC">
        <w:rPr>
          <w:color w:val="000000"/>
        </w:rPr>
        <w:t xml:space="preserve"> </w:t>
      </w:r>
    </w:p>
    <w:p w14:paraId="566EF7F4" w14:textId="77777777" w:rsidR="00655135" w:rsidRPr="00FE68FC" w:rsidRDefault="00655135" w:rsidP="00655135">
      <w:pPr>
        <w:rPr>
          <w:color w:val="000000"/>
        </w:rPr>
      </w:pPr>
    </w:p>
    <w:p w14:paraId="7A2B3C7B" w14:textId="6A1E05EE" w:rsidR="00655135" w:rsidRPr="00FE68FC" w:rsidRDefault="003D7AAF" w:rsidP="00655135">
      <w:pPr>
        <w:rPr>
          <w:color w:val="000000"/>
        </w:rPr>
      </w:pPr>
      <w:r>
        <w:rPr>
          <w:color w:val="000000"/>
          <w:u w:val="single"/>
        </w:rPr>
        <w:t>S</w:t>
      </w:r>
      <w:r w:rsidR="00655135" w:rsidRPr="00FE68FC">
        <w:rPr>
          <w:color w:val="000000"/>
          <w:u w:val="single"/>
        </w:rPr>
        <w:t>ite selection at 781 Walker Way</w:t>
      </w:r>
    </w:p>
    <w:p w14:paraId="67BC29A6" w14:textId="067808FA" w:rsidR="00655135" w:rsidRDefault="003D7AAF" w:rsidP="00655135">
      <w:pPr>
        <w:rPr>
          <w:color w:val="000000"/>
        </w:rPr>
      </w:pPr>
      <w:r>
        <w:rPr>
          <w:color w:val="000000"/>
        </w:rPr>
        <w:t>(Attachment 2)</w:t>
      </w:r>
    </w:p>
    <w:p w14:paraId="45FD106C" w14:textId="77777777" w:rsidR="003D7AAF" w:rsidRPr="00FE68FC" w:rsidRDefault="003D7AAF" w:rsidP="00655135">
      <w:pPr>
        <w:rPr>
          <w:color w:val="000000"/>
        </w:rPr>
      </w:pPr>
    </w:p>
    <w:p w14:paraId="3896C5F5" w14:textId="77777777" w:rsidR="00655135" w:rsidRDefault="00655135" w:rsidP="00655135">
      <w:pPr>
        <w:rPr>
          <w:color w:val="000000"/>
        </w:rPr>
      </w:pPr>
      <w:r w:rsidRPr="00FE68FC">
        <w:rPr>
          <w:color w:val="000000"/>
        </w:rPr>
        <w:t xml:space="preserve">Consideration was given to the geologist’s report (1991) on the underground storage tank (UST) removals done in 1990. This report noted several items to support the company’s conclusion to use the existing site at 781 Walker Way. </w:t>
      </w:r>
      <w:r w:rsidRPr="00FE68FC">
        <w:rPr>
          <w:rStyle w:val="FootnoteReference"/>
          <w:color w:val="000000"/>
        </w:rPr>
        <w:footnoteReference w:id="4"/>
      </w:r>
    </w:p>
    <w:p w14:paraId="65CA75AC" w14:textId="77777777" w:rsidR="00655135" w:rsidRPr="00FE68FC" w:rsidRDefault="00655135" w:rsidP="00655135">
      <w:pPr>
        <w:rPr>
          <w:color w:val="000000"/>
        </w:rPr>
      </w:pPr>
    </w:p>
    <w:p w14:paraId="0B351D20" w14:textId="77777777" w:rsidR="00655135" w:rsidRPr="00FE68FC" w:rsidRDefault="00655135" w:rsidP="00655135">
      <w:pPr>
        <w:pStyle w:val="ListParagraph"/>
        <w:numPr>
          <w:ilvl w:val="0"/>
          <w:numId w:val="29"/>
        </w:numPr>
        <w:rPr>
          <w:color w:val="000000"/>
        </w:rPr>
      </w:pPr>
      <w:r w:rsidRPr="00FE68FC">
        <w:rPr>
          <w:color w:val="000000"/>
        </w:rPr>
        <w:t>No groundwater was encountered in the drilling of the borings at the site.</w:t>
      </w:r>
    </w:p>
    <w:p w14:paraId="0FAB154B" w14:textId="1E5FF249" w:rsidR="00655135" w:rsidRPr="00FE68FC" w:rsidRDefault="00655135" w:rsidP="00655135">
      <w:pPr>
        <w:pStyle w:val="ListParagraph"/>
        <w:numPr>
          <w:ilvl w:val="0"/>
          <w:numId w:val="29"/>
        </w:numPr>
        <w:rPr>
          <w:color w:val="000000"/>
        </w:rPr>
      </w:pPr>
      <w:r w:rsidRPr="00FE68FC">
        <w:rPr>
          <w:color w:val="000000"/>
        </w:rPr>
        <w:t>A total of approximately 150 cubic yards of gasoline-contaminated soil were excavated from two (northern) UST locations.</w:t>
      </w:r>
    </w:p>
    <w:p w14:paraId="315C885B" w14:textId="77777777" w:rsidR="00655135" w:rsidRPr="00FE68FC" w:rsidRDefault="00655135" w:rsidP="00655135">
      <w:pPr>
        <w:pStyle w:val="ListParagraph"/>
        <w:numPr>
          <w:ilvl w:val="0"/>
          <w:numId w:val="29"/>
        </w:numPr>
        <w:rPr>
          <w:color w:val="000000"/>
        </w:rPr>
      </w:pPr>
      <w:r w:rsidRPr="00FE68FC">
        <w:rPr>
          <w:color w:val="000000"/>
        </w:rPr>
        <w:t>No detectable contamination was encountered around the southern 2,000-gallon tank.</w:t>
      </w:r>
    </w:p>
    <w:p w14:paraId="45E7E80B" w14:textId="77777777" w:rsidR="00655135" w:rsidRPr="00FE68FC" w:rsidRDefault="00655135" w:rsidP="00655135">
      <w:pPr>
        <w:pStyle w:val="ListParagraph"/>
        <w:numPr>
          <w:ilvl w:val="0"/>
          <w:numId w:val="29"/>
        </w:numPr>
        <w:rPr>
          <w:color w:val="000000"/>
        </w:rPr>
      </w:pPr>
      <w:r w:rsidRPr="00FE68FC">
        <w:rPr>
          <w:color w:val="000000"/>
        </w:rPr>
        <w:t>The low permeability sediments between the contaminated soil and the screened aquifer protect potable groundwater from contamination.</w:t>
      </w:r>
    </w:p>
    <w:p w14:paraId="6CBDD7CB" w14:textId="77777777" w:rsidR="00655135" w:rsidRPr="00FE68FC" w:rsidRDefault="00655135" w:rsidP="00655135">
      <w:pPr>
        <w:pStyle w:val="ListParagraph"/>
        <w:numPr>
          <w:ilvl w:val="0"/>
          <w:numId w:val="29"/>
        </w:numPr>
        <w:rPr>
          <w:color w:val="000000"/>
        </w:rPr>
      </w:pPr>
      <w:r w:rsidRPr="00FE68FC">
        <w:rPr>
          <w:color w:val="000000"/>
        </w:rPr>
        <w:t>The remaining soil contamination ‘is surrounded by low permeability silty sand of sufficient thickness to protect the adjacent water well from migration of hydrocarbons into the public water supply.”</w:t>
      </w:r>
    </w:p>
    <w:p w14:paraId="4A0C72DE" w14:textId="02B7983E" w:rsidR="00655135" w:rsidRPr="00FE68FC" w:rsidRDefault="00655135" w:rsidP="00655135">
      <w:pPr>
        <w:pStyle w:val="ListParagraph"/>
        <w:numPr>
          <w:ilvl w:val="0"/>
          <w:numId w:val="29"/>
        </w:numPr>
        <w:rPr>
          <w:color w:val="000000"/>
        </w:rPr>
      </w:pPr>
      <w:r w:rsidRPr="00FE68FC">
        <w:rPr>
          <w:color w:val="000000"/>
        </w:rPr>
        <w:t xml:space="preserve">The thick sequence of clay, silt, and cemented sand located above the water producing interval . . . should provide substantial protection of the water producing sand </w:t>
      </w:r>
      <w:r w:rsidR="00934F31">
        <w:rPr>
          <w:color w:val="000000"/>
        </w:rPr>
        <w:t>from</w:t>
      </w:r>
      <w:r w:rsidR="00934F31" w:rsidRPr="00FE68FC">
        <w:rPr>
          <w:color w:val="000000"/>
        </w:rPr>
        <w:t xml:space="preserve"> </w:t>
      </w:r>
      <w:r w:rsidRPr="00FE68FC">
        <w:rPr>
          <w:color w:val="000000"/>
        </w:rPr>
        <w:t>any surface contamination.</w:t>
      </w:r>
    </w:p>
    <w:p w14:paraId="5A9F8CAF" w14:textId="77777777" w:rsidR="00655135" w:rsidRPr="00FE68FC" w:rsidRDefault="00655135" w:rsidP="00655135">
      <w:pPr>
        <w:rPr>
          <w:color w:val="000000"/>
        </w:rPr>
      </w:pPr>
    </w:p>
    <w:p w14:paraId="35E4EDD7" w14:textId="14848B6A" w:rsidR="00655135" w:rsidRPr="00FE68FC" w:rsidRDefault="00655135" w:rsidP="00655135">
      <w:pPr>
        <w:rPr>
          <w:color w:val="000000"/>
        </w:rPr>
      </w:pPr>
      <w:r w:rsidRPr="00FE68FC">
        <w:rPr>
          <w:color w:val="000000"/>
        </w:rPr>
        <w:t xml:space="preserve">Well </w:t>
      </w:r>
      <w:r w:rsidR="00F52F18">
        <w:rPr>
          <w:color w:val="000000"/>
        </w:rPr>
        <w:t xml:space="preserve">No. </w:t>
      </w:r>
      <w:r w:rsidRPr="00FE68FC">
        <w:rPr>
          <w:color w:val="000000"/>
        </w:rPr>
        <w:t xml:space="preserve">2 </w:t>
      </w:r>
      <w:r w:rsidR="003D05F8">
        <w:rPr>
          <w:color w:val="000000"/>
        </w:rPr>
        <w:t>is located</w:t>
      </w:r>
      <w:r w:rsidR="003D05F8" w:rsidRPr="00FE68FC">
        <w:rPr>
          <w:color w:val="000000"/>
        </w:rPr>
        <w:t xml:space="preserve"> </w:t>
      </w:r>
      <w:r w:rsidRPr="00FE68FC">
        <w:rPr>
          <w:color w:val="000000"/>
        </w:rPr>
        <w:t>approximately 85 feet from the UST</w:t>
      </w:r>
      <w:r w:rsidR="003D05F8">
        <w:rPr>
          <w:color w:val="000000"/>
        </w:rPr>
        <w:t xml:space="preserve">s, which were removed and </w:t>
      </w:r>
      <w:r w:rsidRPr="00FE68FC">
        <w:rPr>
          <w:color w:val="000000"/>
        </w:rPr>
        <w:t xml:space="preserve">contamination remediated </w:t>
      </w:r>
      <w:r w:rsidR="003D05F8">
        <w:rPr>
          <w:color w:val="000000"/>
        </w:rPr>
        <w:t xml:space="preserve">in 1990, as </w:t>
      </w:r>
      <w:r w:rsidRPr="00FE68FC">
        <w:rPr>
          <w:color w:val="000000"/>
        </w:rPr>
        <w:t xml:space="preserve">noted above. Well </w:t>
      </w:r>
      <w:r w:rsidR="00F52F18">
        <w:rPr>
          <w:color w:val="000000"/>
        </w:rPr>
        <w:t xml:space="preserve">No. </w:t>
      </w:r>
      <w:r w:rsidRPr="00FE68FC">
        <w:rPr>
          <w:color w:val="000000"/>
        </w:rPr>
        <w:t xml:space="preserve">2 had declining capacity each subsequent year and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3 had declining water </w:t>
      </w:r>
      <w:r>
        <w:rPr>
          <w:color w:val="000000"/>
        </w:rPr>
        <w:t>recovery</w:t>
      </w:r>
      <w:r w:rsidRPr="00FE68FC">
        <w:rPr>
          <w:color w:val="000000"/>
        </w:rPr>
        <w:t xml:space="preserve"> issues</w:t>
      </w:r>
      <w:r w:rsidRPr="00FE68FC">
        <w:rPr>
          <w:rStyle w:val="FootnoteReference"/>
          <w:color w:val="000000"/>
        </w:rPr>
        <w:footnoteReference w:id="5"/>
      </w:r>
      <w:r w:rsidRPr="00FE68FC">
        <w:rPr>
          <w:color w:val="000000"/>
        </w:rPr>
        <w:t xml:space="preserve">. </w:t>
      </w:r>
    </w:p>
    <w:p w14:paraId="2A8529E6" w14:textId="77777777" w:rsidR="00655135" w:rsidRDefault="00655135" w:rsidP="00655135">
      <w:pPr>
        <w:ind w:firstLine="360"/>
        <w:rPr>
          <w:color w:val="000000"/>
          <w:szCs w:val="32"/>
        </w:rPr>
      </w:pPr>
    </w:p>
    <w:p w14:paraId="51A51965" w14:textId="23CED7D5" w:rsidR="00655135" w:rsidRPr="00FE68FC" w:rsidRDefault="00934F31" w:rsidP="00655135">
      <w:pPr>
        <w:rPr>
          <w:color w:val="000000"/>
        </w:rPr>
      </w:pPr>
      <w:r>
        <w:rPr>
          <w:color w:val="000000"/>
        </w:rPr>
        <w:lastRenderedPageBreak/>
        <w:t>T</w:t>
      </w:r>
      <w:r w:rsidR="00655135" w:rsidRPr="00FE68FC">
        <w:rPr>
          <w:color w:val="000000"/>
        </w:rPr>
        <w:t xml:space="preserve">he company decided to drill </w:t>
      </w:r>
      <w:r w:rsidR="00D84A94">
        <w:rPr>
          <w:color w:val="000000"/>
        </w:rPr>
        <w:t>Well</w:t>
      </w:r>
      <w:r w:rsidR="00655135" w:rsidRPr="00FE68FC">
        <w:rPr>
          <w:color w:val="000000"/>
        </w:rPr>
        <w:t xml:space="preserve"> </w:t>
      </w:r>
      <w:r w:rsidR="00F52F18">
        <w:rPr>
          <w:color w:val="000000"/>
        </w:rPr>
        <w:t xml:space="preserve">No. </w:t>
      </w:r>
      <w:r w:rsidR="00655135" w:rsidRPr="00FE68FC">
        <w:rPr>
          <w:color w:val="000000"/>
        </w:rPr>
        <w:t>17 in the confirmed aquifer area approximately 110 feet to the southeast of the former garage and prior UST location. This distance is further than the Department of Health</w:t>
      </w:r>
      <w:r w:rsidR="00491DD0">
        <w:rPr>
          <w:color w:val="000000"/>
        </w:rPr>
        <w:t>’s</w:t>
      </w:r>
      <w:r w:rsidR="00655135" w:rsidRPr="00FE68FC">
        <w:rPr>
          <w:color w:val="000000"/>
        </w:rPr>
        <w:t xml:space="preserve"> (DOH) required 100</w:t>
      </w:r>
      <w:r>
        <w:rPr>
          <w:color w:val="000000"/>
        </w:rPr>
        <w:t>-</w:t>
      </w:r>
      <w:r w:rsidR="00655135" w:rsidRPr="00FE68FC">
        <w:rPr>
          <w:color w:val="000000"/>
        </w:rPr>
        <w:t>foot radius wellhead protection area for an active well providing drinking water to the public.</w:t>
      </w:r>
      <w:r w:rsidR="003C3D03">
        <w:rPr>
          <w:color w:val="000000"/>
        </w:rPr>
        <w:t xml:space="preserve"> Moreover, given the nature of the soils</w:t>
      </w:r>
      <w:r w:rsidR="003D05F8">
        <w:rPr>
          <w:color w:val="000000"/>
        </w:rPr>
        <w:t>,</w:t>
      </w:r>
      <w:r w:rsidR="003C3D03">
        <w:rPr>
          <w:color w:val="000000"/>
        </w:rPr>
        <w:t xml:space="preserve"> as noted in the 1991 geologist’s report, the company believed the location would be free of contaminants.</w:t>
      </w:r>
    </w:p>
    <w:p w14:paraId="45CC246A" w14:textId="77777777" w:rsidR="00655135" w:rsidRPr="00FE68FC" w:rsidRDefault="00655135" w:rsidP="00655135">
      <w:pPr>
        <w:rPr>
          <w:color w:val="000000"/>
        </w:rPr>
      </w:pPr>
    </w:p>
    <w:p w14:paraId="439DBF7D" w14:textId="43F8695F" w:rsidR="00655135" w:rsidRPr="00FE68FC" w:rsidRDefault="005F7D39" w:rsidP="00655135">
      <w:pPr>
        <w:rPr>
          <w:color w:val="000000"/>
        </w:rPr>
      </w:pPr>
      <w:r w:rsidRPr="00FE68FC">
        <w:rPr>
          <w:color w:val="000000"/>
          <w:u w:val="single"/>
        </w:rPr>
        <w:t xml:space="preserve">Well </w:t>
      </w:r>
      <w:r w:rsidR="00F52F18">
        <w:rPr>
          <w:color w:val="000000"/>
          <w:u w:val="single"/>
        </w:rPr>
        <w:t xml:space="preserve">No. </w:t>
      </w:r>
      <w:r w:rsidRPr="00FE68FC">
        <w:rPr>
          <w:color w:val="000000"/>
          <w:u w:val="single"/>
        </w:rPr>
        <w:t xml:space="preserve">17 </w:t>
      </w:r>
      <w:r>
        <w:rPr>
          <w:color w:val="000000"/>
          <w:u w:val="single"/>
        </w:rPr>
        <w:t>r</w:t>
      </w:r>
      <w:r w:rsidRPr="00FE68FC">
        <w:rPr>
          <w:color w:val="000000"/>
          <w:u w:val="single"/>
        </w:rPr>
        <w:t xml:space="preserve">eview and </w:t>
      </w:r>
      <w:r>
        <w:rPr>
          <w:color w:val="000000"/>
          <w:u w:val="single"/>
        </w:rPr>
        <w:t>i</w:t>
      </w:r>
      <w:r w:rsidRPr="00FE68FC">
        <w:rPr>
          <w:color w:val="000000"/>
          <w:u w:val="single"/>
        </w:rPr>
        <w:t xml:space="preserve">nvestigation after contamination found </w:t>
      </w:r>
      <w:r w:rsidR="00934F31">
        <w:rPr>
          <w:color w:val="000000"/>
          <w:u w:val="single"/>
        </w:rPr>
        <w:t xml:space="preserve">in </w:t>
      </w:r>
      <w:r w:rsidRPr="00FE68FC">
        <w:rPr>
          <w:color w:val="000000"/>
          <w:u w:val="single"/>
        </w:rPr>
        <w:t>April 2009</w:t>
      </w:r>
      <w:r w:rsidRPr="00FE68FC">
        <w:rPr>
          <w:color w:val="000000"/>
        </w:rPr>
        <w:t>.</w:t>
      </w:r>
    </w:p>
    <w:p w14:paraId="15C7F51B" w14:textId="77777777" w:rsidR="00655135" w:rsidRPr="00FE68FC" w:rsidRDefault="00655135" w:rsidP="00655135">
      <w:pPr>
        <w:rPr>
          <w:color w:val="000000"/>
        </w:rPr>
      </w:pPr>
    </w:p>
    <w:p w14:paraId="3312C65B" w14:textId="799D43E8" w:rsidR="00655135" w:rsidRPr="00FE68FC" w:rsidRDefault="00512774" w:rsidP="00655135">
      <w:pPr>
        <w:autoSpaceDE w:val="0"/>
        <w:autoSpaceDN w:val="0"/>
        <w:adjustRightInd w:val="0"/>
        <w:rPr>
          <w:color w:val="000000"/>
        </w:rPr>
      </w:pPr>
      <w:r>
        <w:rPr>
          <w:color w:val="000000"/>
        </w:rPr>
        <w:t xml:space="preserve">Shortly after drilling started on </w:t>
      </w:r>
      <w:r w:rsidR="00491DD0">
        <w:rPr>
          <w:color w:val="000000"/>
        </w:rPr>
        <w:t>Well No. 17</w:t>
      </w:r>
      <w:r>
        <w:rPr>
          <w:color w:val="000000"/>
        </w:rPr>
        <w:t>,</w:t>
      </w:r>
      <w:r w:rsidR="00491DD0">
        <w:rPr>
          <w:color w:val="000000"/>
        </w:rPr>
        <w:t xml:space="preserve"> </w:t>
      </w:r>
      <w:r w:rsidR="00655135" w:rsidRPr="00FE68FC">
        <w:rPr>
          <w:color w:val="000000"/>
        </w:rPr>
        <w:t xml:space="preserve">contamination was discovered at </w:t>
      </w:r>
      <w:r w:rsidR="00934F31">
        <w:rPr>
          <w:color w:val="000000"/>
        </w:rPr>
        <w:t xml:space="preserve">the </w:t>
      </w:r>
      <w:r w:rsidR="00D84A94">
        <w:rPr>
          <w:color w:val="000000"/>
        </w:rPr>
        <w:t>Well</w:t>
      </w:r>
      <w:r w:rsidR="00655135" w:rsidRPr="00FE68FC">
        <w:rPr>
          <w:color w:val="000000"/>
        </w:rPr>
        <w:t xml:space="preserve"> </w:t>
      </w:r>
      <w:r w:rsidR="00F52F18">
        <w:rPr>
          <w:color w:val="000000"/>
        </w:rPr>
        <w:t xml:space="preserve">No. </w:t>
      </w:r>
      <w:r w:rsidR="00655135" w:rsidRPr="00FE68FC">
        <w:rPr>
          <w:color w:val="000000"/>
        </w:rPr>
        <w:t>17 site</w:t>
      </w:r>
      <w:r w:rsidR="00491DD0">
        <w:rPr>
          <w:color w:val="000000"/>
        </w:rPr>
        <w:t>. Given this result</w:t>
      </w:r>
      <w:r w:rsidR="00655135" w:rsidRPr="00FE68FC">
        <w:rPr>
          <w:color w:val="000000"/>
        </w:rPr>
        <w:t xml:space="preserve">, the company believed further investigation was necessary to determine if </w:t>
      </w:r>
      <w:r w:rsidR="00D84A94">
        <w:rPr>
          <w:color w:val="000000"/>
        </w:rPr>
        <w:t>Well</w:t>
      </w:r>
      <w:r w:rsidR="00655135" w:rsidRPr="00FE68FC">
        <w:rPr>
          <w:color w:val="000000"/>
        </w:rPr>
        <w:t xml:space="preserve"> </w:t>
      </w:r>
      <w:r w:rsidR="00F52F18">
        <w:rPr>
          <w:color w:val="000000"/>
        </w:rPr>
        <w:t xml:space="preserve">No. </w:t>
      </w:r>
      <w:r w:rsidR="00655135" w:rsidRPr="00FE68FC">
        <w:rPr>
          <w:color w:val="000000"/>
        </w:rPr>
        <w:t xml:space="preserve">2 was at risk. Also, legal costs were incurred to determine the ramifications related to the contamination found at </w:t>
      </w:r>
      <w:r w:rsidR="00D84A94">
        <w:rPr>
          <w:color w:val="000000"/>
        </w:rPr>
        <w:t>Well</w:t>
      </w:r>
      <w:r w:rsidR="00655135" w:rsidRPr="00FE68FC">
        <w:rPr>
          <w:color w:val="000000"/>
        </w:rPr>
        <w:t xml:space="preserve"> </w:t>
      </w:r>
      <w:r w:rsidR="00F52F18">
        <w:rPr>
          <w:color w:val="000000"/>
        </w:rPr>
        <w:t xml:space="preserve">No. </w:t>
      </w:r>
      <w:r w:rsidR="00655135" w:rsidRPr="00FE68FC">
        <w:rPr>
          <w:color w:val="000000"/>
        </w:rPr>
        <w:t xml:space="preserve">17 and what actions would be required. To the extent the </w:t>
      </w:r>
      <w:r w:rsidR="00491DD0" w:rsidRPr="00FE68FC">
        <w:rPr>
          <w:color w:val="000000"/>
        </w:rPr>
        <w:t>investigat</w:t>
      </w:r>
      <w:r w:rsidR="00491DD0">
        <w:rPr>
          <w:color w:val="000000"/>
        </w:rPr>
        <w:t>ory</w:t>
      </w:r>
      <w:r w:rsidR="00491DD0" w:rsidRPr="00FE68FC">
        <w:rPr>
          <w:color w:val="000000"/>
        </w:rPr>
        <w:t xml:space="preserve"> </w:t>
      </w:r>
      <w:r w:rsidR="00655135" w:rsidRPr="00FE68FC">
        <w:rPr>
          <w:color w:val="000000"/>
        </w:rPr>
        <w:t xml:space="preserve">activities undertaken were useful and necessary to </w:t>
      </w:r>
      <w:r w:rsidR="00491DD0">
        <w:rPr>
          <w:color w:val="000000"/>
        </w:rPr>
        <w:t xml:space="preserve">assessing </w:t>
      </w:r>
      <w:r w:rsidR="00655135" w:rsidRPr="00FE68FC">
        <w:rPr>
          <w:color w:val="000000"/>
        </w:rPr>
        <w:t xml:space="preserve">risks to </w:t>
      </w:r>
      <w:r w:rsidR="00D84A94">
        <w:rPr>
          <w:color w:val="000000"/>
        </w:rPr>
        <w:t>Well</w:t>
      </w:r>
      <w:r w:rsidR="00655135" w:rsidRPr="00FE68FC">
        <w:rPr>
          <w:color w:val="000000"/>
        </w:rPr>
        <w:t xml:space="preserve"> </w:t>
      </w:r>
      <w:r w:rsidR="00F52F18">
        <w:rPr>
          <w:color w:val="000000"/>
        </w:rPr>
        <w:t xml:space="preserve">No. </w:t>
      </w:r>
      <w:r w:rsidR="00655135" w:rsidRPr="00FE68FC">
        <w:rPr>
          <w:color w:val="000000"/>
        </w:rPr>
        <w:t>2</w:t>
      </w:r>
      <w:r w:rsidR="00934F31">
        <w:rPr>
          <w:color w:val="000000"/>
        </w:rPr>
        <w:t>,</w:t>
      </w:r>
      <w:r w:rsidR="00934F31" w:rsidRPr="00FE68FC">
        <w:rPr>
          <w:color w:val="000000"/>
        </w:rPr>
        <w:t xml:space="preserve"> </w:t>
      </w:r>
      <w:r w:rsidR="00655135" w:rsidRPr="00FE68FC">
        <w:rPr>
          <w:color w:val="000000"/>
        </w:rPr>
        <w:t>th</w:t>
      </w:r>
      <w:r w:rsidR="00934F31">
        <w:rPr>
          <w:color w:val="000000"/>
        </w:rPr>
        <w:t>o</w:t>
      </w:r>
      <w:r w:rsidR="00655135" w:rsidRPr="00FE68FC">
        <w:rPr>
          <w:color w:val="000000"/>
        </w:rPr>
        <w:t>se costs might be recover</w:t>
      </w:r>
      <w:r w:rsidR="00934F31">
        <w:rPr>
          <w:color w:val="000000"/>
        </w:rPr>
        <w:t>ed</w:t>
      </w:r>
      <w:r w:rsidR="00655135" w:rsidRPr="00FE68FC">
        <w:rPr>
          <w:color w:val="000000"/>
        </w:rPr>
        <w:t xml:space="preserve"> in this filing.</w:t>
      </w:r>
    </w:p>
    <w:p w14:paraId="725057B7" w14:textId="77777777" w:rsidR="00655135" w:rsidRPr="00FE68FC" w:rsidRDefault="00655135" w:rsidP="00655135">
      <w:pPr>
        <w:rPr>
          <w:color w:val="000000"/>
        </w:rPr>
      </w:pPr>
    </w:p>
    <w:p w14:paraId="0F41EC56" w14:textId="77777777" w:rsidR="00655135" w:rsidRPr="00FE68FC" w:rsidRDefault="00655135" w:rsidP="00655135">
      <w:pPr>
        <w:rPr>
          <w:color w:val="000000"/>
          <w:u w:val="single"/>
        </w:rPr>
      </w:pPr>
      <w:r w:rsidRPr="00FE68FC">
        <w:rPr>
          <w:color w:val="000000"/>
          <w:u w:val="single"/>
        </w:rPr>
        <w:t>Future Remediation of site</w:t>
      </w:r>
    </w:p>
    <w:p w14:paraId="6F146599" w14:textId="77777777" w:rsidR="00655135" w:rsidRPr="00FE68FC" w:rsidRDefault="00655135" w:rsidP="00655135">
      <w:pPr>
        <w:rPr>
          <w:color w:val="000000"/>
          <w:u w:val="single"/>
        </w:rPr>
      </w:pPr>
    </w:p>
    <w:p w14:paraId="7C8A8DEC" w14:textId="77A8F24E" w:rsidR="00655135" w:rsidRPr="00FE68FC" w:rsidRDefault="00655135" w:rsidP="00655135">
      <w:pPr>
        <w:rPr>
          <w:color w:val="000000"/>
        </w:rPr>
      </w:pPr>
      <w:r w:rsidRPr="00FE68FC">
        <w:rPr>
          <w:color w:val="000000"/>
        </w:rPr>
        <w:t>The company is not seeking funds for any remediation or future cost</w:t>
      </w:r>
      <w:r w:rsidR="00934F31">
        <w:rPr>
          <w:color w:val="000000"/>
        </w:rPr>
        <w:t>s</w:t>
      </w:r>
      <w:r w:rsidRPr="00FE68FC">
        <w:rPr>
          <w:color w:val="000000"/>
        </w:rPr>
        <w:t xml:space="preserve"> not yet known or measurable. Therefore, </w:t>
      </w:r>
      <w:r w:rsidR="00934F31">
        <w:rPr>
          <w:color w:val="000000"/>
        </w:rPr>
        <w:t>s</w:t>
      </w:r>
      <w:r w:rsidRPr="00FE68FC">
        <w:rPr>
          <w:color w:val="000000"/>
        </w:rPr>
        <w:t xml:space="preserve">taff did not consider any remediation or future cost. The company has entered into a settlement agreement which provides for remediation cost up to a cap on certain obligations of $1,000,000. </w:t>
      </w:r>
      <w:r w:rsidRPr="00FE68FC">
        <w:rPr>
          <w:rStyle w:val="FootnoteReference"/>
          <w:color w:val="000000"/>
        </w:rPr>
        <w:footnoteReference w:id="6"/>
      </w:r>
    </w:p>
    <w:p w14:paraId="6A7393F0" w14:textId="77777777" w:rsidR="00655135" w:rsidRPr="00FE68FC" w:rsidRDefault="00655135" w:rsidP="00655135">
      <w:pPr>
        <w:rPr>
          <w:color w:val="000000"/>
        </w:rPr>
      </w:pPr>
    </w:p>
    <w:p w14:paraId="6EFF4C1B" w14:textId="21431A96" w:rsidR="00655135" w:rsidRPr="00FE68FC" w:rsidRDefault="00934F31" w:rsidP="00655135">
      <w:pPr>
        <w:rPr>
          <w:color w:val="000000"/>
        </w:rPr>
      </w:pPr>
      <w:r>
        <w:rPr>
          <w:color w:val="000000"/>
        </w:rPr>
        <w:t>T</w:t>
      </w:r>
      <w:r w:rsidR="00655135" w:rsidRPr="00FE68FC">
        <w:rPr>
          <w:color w:val="000000"/>
        </w:rPr>
        <w:t>he company seek</w:t>
      </w:r>
      <w:r>
        <w:rPr>
          <w:color w:val="000000"/>
        </w:rPr>
        <w:t>s</w:t>
      </w:r>
      <w:r w:rsidR="00655135" w:rsidRPr="00FE68FC">
        <w:rPr>
          <w:color w:val="000000"/>
        </w:rPr>
        <w:t xml:space="preserve"> </w:t>
      </w:r>
      <w:r w:rsidR="00D24204">
        <w:rPr>
          <w:color w:val="000000"/>
        </w:rPr>
        <w:t xml:space="preserve">recovery </w:t>
      </w:r>
      <w:r w:rsidR="00655135" w:rsidRPr="00FE68FC">
        <w:rPr>
          <w:color w:val="000000"/>
        </w:rPr>
        <w:t xml:space="preserve">of </w:t>
      </w:r>
      <w:r>
        <w:rPr>
          <w:color w:val="000000"/>
        </w:rPr>
        <w:t xml:space="preserve">only </w:t>
      </w:r>
      <w:r w:rsidR="00491DD0">
        <w:rPr>
          <w:color w:val="000000"/>
        </w:rPr>
        <w:t xml:space="preserve">those </w:t>
      </w:r>
      <w:r w:rsidR="00655135" w:rsidRPr="00FE68FC">
        <w:rPr>
          <w:color w:val="000000"/>
        </w:rPr>
        <w:t xml:space="preserve">costs associated with </w:t>
      </w:r>
      <w:r>
        <w:rPr>
          <w:color w:val="000000"/>
        </w:rPr>
        <w:t xml:space="preserve">(1) </w:t>
      </w:r>
      <w:r w:rsidR="00655135" w:rsidRPr="00FE68FC">
        <w:rPr>
          <w:color w:val="000000"/>
        </w:rPr>
        <w:t xml:space="preserve">drilling </w:t>
      </w:r>
      <w:r w:rsidR="00D84A94">
        <w:rPr>
          <w:color w:val="000000"/>
        </w:rPr>
        <w:t>Well</w:t>
      </w:r>
      <w:r w:rsidR="00655135" w:rsidRPr="00FE68FC">
        <w:rPr>
          <w:color w:val="000000"/>
        </w:rPr>
        <w:t xml:space="preserve"> </w:t>
      </w:r>
      <w:r w:rsidR="00F52F18">
        <w:rPr>
          <w:color w:val="000000"/>
        </w:rPr>
        <w:t xml:space="preserve">No. </w:t>
      </w:r>
      <w:r w:rsidR="00655135" w:rsidRPr="00FE68FC">
        <w:rPr>
          <w:color w:val="000000"/>
        </w:rPr>
        <w:t xml:space="preserve">17 and </w:t>
      </w:r>
      <w:r>
        <w:rPr>
          <w:color w:val="000000"/>
        </w:rPr>
        <w:t>(2)</w:t>
      </w:r>
      <w:r w:rsidRPr="00FE68FC">
        <w:rPr>
          <w:color w:val="000000"/>
        </w:rPr>
        <w:t xml:space="preserve"> </w:t>
      </w:r>
      <w:r w:rsidR="00655135" w:rsidRPr="00FE68FC">
        <w:rPr>
          <w:color w:val="000000"/>
        </w:rPr>
        <w:t>investigation and legal costs after the discovery of soil contamination.</w:t>
      </w:r>
    </w:p>
    <w:p w14:paraId="5317938E" w14:textId="77777777" w:rsidR="00655135" w:rsidRPr="00FE68FC" w:rsidRDefault="00655135" w:rsidP="00655135">
      <w:pPr>
        <w:rPr>
          <w:color w:val="000000"/>
        </w:rPr>
      </w:pPr>
    </w:p>
    <w:p w14:paraId="4A849038" w14:textId="43E0BD63" w:rsidR="00655135" w:rsidRPr="00FE68FC" w:rsidRDefault="00655135" w:rsidP="00655135">
      <w:pPr>
        <w:rPr>
          <w:color w:val="000000"/>
        </w:rPr>
      </w:pPr>
      <w:r w:rsidRPr="00FE68FC">
        <w:rPr>
          <w:color w:val="000000"/>
        </w:rPr>
        <w:t>Under the Model Toxics Control Act Cleanup Regulation for Washington, a current or past facility owner or operator is potentially liable for cleanup.</w:t>
      </w:r>
      <w:r w:rsidRPr="00FE68FC">
        <w:rPr>
          <w:rStyle w:val="FootnoteReference"/>
          <w:color w:val="000000"/>
        </w:rPr>
        <w:footnoteReference w:id="7"/>
      </w:r>
      <w:r w:rsidRPr="00FE68FC">
        <w:rPr>
          <w:color w:val="000000"/>
        </w:rPr>
        <w:t xml:space="preserve"> Olympic Water and Sewer</w:t>
      </w:r>
      <w:r w:rsidR="00AA76F6">
        <w:rPr>
          <w:color w:val="000000"/>
        </w:rPr>
        <w:t>,</w:t>
      </w:r>
      <w:r w:rsidRPr="00FE68FC">
        <w:rPr>
          <w:color w:val="000000"/>
        </w:rPr>
        <w:t xml:space="preserve"> or the company’s predecessor corporations, have provided funds for drilling, investigation and legal costs to date. Some of these costs have also been shared with a third party for initial site characterization and technical investigation</w:t>
      </w:r>
      <w:r w:rsidR="007557EA">
        <w:rPr>
          <w:color w:val="000000"/>
        </w:rPr>
        <w:t xml:space="preserve">. </w:t>
      </w:r>
      <w:r w:rsidR="00C63026" w:rsidRPr="00FE68FC">
        <w:rPr>
          <w:color w:val="000000"/>
        </w:rPr>
        <w:t>The company</w:t>
      </w:r>
      <w:r w:rsidR="00C63026">
        <w:rPr>
          <w:color w:val="000000"/>
        </w:rPr>
        <w:t xml:space="preserve"> filed an insurance </w:t>
      </w:r>
      <w:r w:rsidR="00C63026" w:rsidRPr="00FE68FC">
        <w:rPr>
          <w:color w:val="000000"/>
        </w:rPr>
        <w:t xml:space="preserve">claim </w:t>
      </w:r>
      <w:r w:rsidR="00C63026">
        <w:rPr>
          <w:color w:val="000000"/>
        </w:rPr>
        <w:t>that was denied by the insurer.</w:t>
      </w:r>
    </w:p>
    <w:p w14:paraId="5A9D81D1" w14:textId="77777777" w:rsidR="00655135" w:rsidRPr="00FE68FC" w:rsidRDefault="00655135" w:rsidP="00655135">
      <w:pPr>
        <w:rPr>
          <w:color w:val="000000"/>
        </w:rPr>
      </w:pPr>
    </w:p>
    <w:p w14:paraId="678A2815" w14:textId="4109966B" w:rsidR="00655135" w:rsidRPr="00FE68FC" w:rsidRDefault="00655135" w:rsidP="00655135">
      <w:pPr>
        <w:rPr>
          <w:color w:val="000000"/>
        </w:rPr>
      </w:pPr>
      <w:r w:rsidRPr="00FE68FC">
        <w:rPr>
          <w:color w:val="000000"/>
        </w:rPr>
        <w:t xml:space="preserve">In staff’s opinion, the company was pro-active in its response to </w:t>
      </w:r>
      <w:r w:rsidR="00D84A94">
        <w:rPr>
          <w:color w:val="000000"/>
        </w:rPr>
        <w:t>Well</w:t>
      </w:r>
      <w:r w:rsidRPr="00FE68FC">
        <w:rPr>
          <w:color w:val="000000"/>
        </w:rPr>
        <w:t xml:space="preserve"> </w:t>
      </w:r>
      <w:r w:rsidR="00F52F18">
        <w:rPr>
          <w:color w:val="000000"/>
        </w:rPr>
        <w:t xml:space="preserve">No. </w:t>
      </w:r>
      <w:r w:rsidRPr="00FE68FC">
        <w:rPr>
          <w:color w:val="000000"/>
        </w:rPr>
        <w:t>2 capacity issues and in seeking an additional source of water</w:t>
      </w:r>
      <w:r w:rsidR="00D24204">
        <w:rPr>
          <w:color w:val="000000"/>
        </w:rPr>
        <w:t xml:space="preserve"> for the North Aquifer service area</w:t>
      </w:r>
      <w:r w:rsidRPr="00FE68FC">
        <w:rPr>
          <w:color w:val="000000"/>
        </w:rPr>
        <w:t xml:space="preserve">. </w:t>
      </w:r>
      <w:r w:rsidR="00B97CF1">
        <w:rPr>
          <w:color w:val="000000"/>
        </w:rPr>
        <w:t>T</w:t>
      </w:r>
      <w:r w:rsidRPr="00FE68FC">
        <w:rPr>
          <w:color w:val="000000"/>
        </w:rPr>
        <w:t xml:space="preserve">he company selected 781 Walker Way and drilled </w:t>
      </w:r>
      <w:r w:rsidR="00D84A94">
        <w:rPr>
          <w:color w:val="000000"/>
        </w:rPr>
        <w:t>Well</w:t>
      </w:r>
      <w:r w:rsidRPr="00FE68FC">
        <w:rPr>
          <w:color w:val="000000"/>
        </w:rPr>
        <w:t xml:space="preserve"> </w:t>
      </w:r>
      <w:r w:rsidR="00F52F18">
        <w:rPr>
          <w:color w:val="000000"/>
        </w:rPr>
        <w:t xml:space="preserve">No. </w:t>
      </w:r>
      <w:r w:rsidRPr="00FE68FC">
        <w:rPr>
          <w:color w:val="000000"/>
        </w:rPr>
        <w:t xml:space="preserve">17. Staff believes the company is entitled to recovery from customers and outlines below the cost recovery portions and treatment. All costs </w:t>
      </w:r>
      <w:r w:rsidR="00491DD0">
        <w:rPr>
          <w:color w:val="000000"/>
        </w:rPr>
        <w:t xml:space="preserve">shown </w:t>
      </w:r>
      <w:r w:rsidRPr="00FE68FC">
        <w:rPr>
          <w:color w:val="000000"/>
        </w:rPr>
        <w:t>below are based on after tax benefit, interest accrued and cost recovery allocations to third parties.</w:t>
      </w:r>
      <w:r w:rsidRPr="00FE68FC">
        <w:rPr>
          <w:rStyle w:val="FootnoteReference"/>
          <w:color w:val="000000"/>
        </w:rPr>
        <w:footnoteReference w:id="8"/>
      </w:r>
    </w:p>
    <w:p w14:paraId="3A30A2D1" w14:textId="3078ADA6" w:rsidR="00655135" w:rsidRDefault="00655135">
      <w:pPr>
        <w:rPr>
          <w:color w:val="000000"/>
        </w:rPr>
      </w:pPr>
    </w:p>
    <w:p w14:paraId="4C51C154" w14:textId="77777777" w:rsidR="00185D8A" w:rsidRDefault="00655135" w:rsidP="00655135">
      <w:pPr>
        <w:rPr>
          <w:color w:val="000000"/>
          <w:u w:val="single"/>
        </w:rPr>
      </w:pPr>
      <w:r w:rsidRPr="00FE68FC">
        <w:rPr>
          <w:color w:val="000000"/>
          <w:u w:val="single"/>
        </w:rPr>
        <w:t>Cost Recovery</w:t>
      </w:r>
      <w:r w:rsidR="001F7967">
        <w:rPr>
          <w:color w:val="000000"/>
          <w:u w:val="single"/>
        </w:rPr>
        <w:tab/>
      </w:r>
    </w:p>
    <w:p w14:paraId="13871072" w14:textId="77777777" w:rsidR="00185D8A" w:rsidRDefault="00185D8A" w:rsidP="00185D8A"/>
    <w:p w14:paraId="734A6BC1" w14:textId="62C44245" w:rsidR="00C25790" w:rsidRDefault="00C25790" w:rsidP="00C257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 xml:space="preserve">Since </w:t>
      </w:r>
      <w:r w:rsidR="00D24204">
        <w:t xml:space="preserve">the </w:t>
      </w:r>
      <w:r w:rsidR="00B97CF1">
        <w:t xml:space="preserve">April 10, 2014, </w:t>
      </w:r>
      <w:r w:rsidR="00D24204">
        <w:t>suspension date</w:t>
      </w:r>
      <w:r w:rsidR="00B97CF1">
        <w:t xml:space="preserve">, </w:t>
      </w:r>
      <w:r>
        <w:t xml:space="preserve">the company and customers have had several meetings to discuss the surcharge filing. Commission staff attended one public meeting with customers held at Port Ludlow. The company </w:t>
      </w:r>
      <w:r w:rsidR="00DB4F48">
        <w:t xml:space="preserve">has reached a </w:t>
      </w:r>
      <w:r>
        <w:t>compromise</w:t>
      </w:r>
      <w:r w:rsidR="00A52DC8">
        <w:t xml:space="preserve"> </w:t>
      </w:r>
      <w:r w:rsidR="00A45AD0">
        <w:rPr>
          <w:rStyle w:val="FootnoteReference"/>
        </w:rPr>
        <w:footnoteReference w:id="9"/>
      </w:r>
      <w:r>
        <w:t xml:space="preserve"> </w:t>
      </w:r>
      <w:r w:rsidR="00A52DC8">
        <w:rPr>
          <w:rStyle w:val="FootnoteReference"/>
        </w:rPr>
        <w:footnoteReference w:id="10"/>
      </w:r>
      <w:r w:rsidR="00A52DC8">
        <w:t xml:space="preserve"> </w:t>
      </w:r>
      <w:r w:rsidR="00A45AD0">
        <w:t xml:space="preserve">on </w:t>
      </w:r>
      <w:r w:rsidR="00D24204">
        <w:t xml:space="preserve">cost </w:t>
      </w:r>
      <w:r w:rsidR="00A45AD0">
        <w:t xml:space="preserve">recovery </w:t>
      </w:r>
      <w:r w:rsidR="00DB4F48">
        <w:t>with</w:t>
      </w:r>
      <w:r>
        <w:t xml:space="preserve"> the Port Ludlow Village Council</w:t>
      </w:r>
      <w:r w:rsidR="00DB4F48">
        <w:rPr>
          <w:rStyle w:val="FootnoteReference"/>
        </w:rPr>
        <w:footnoteReference w:id="11"/>
      </w:r>
      <w:r w:rsidR="00A52DC8">
        <w:t>.</w:t>
      </w:r>
      <w:r w:rsidR="00A45AD0">
        <w:t xml:space="preserve"> </w:t>
      </w:r>
    </w:p>
    <w:p w14:paraId="0914C10E" w14:textId="77777777" w:rsidR="00C25790" w:rsidRDefault="00C25790" w:rsidP="00C257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A0417A8" w14:textId="38782018" w:rsidR="00EC2565" w:rsidRDefault="00EC2565" w:rsidP="00C257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The following table shows the originally proposed cost</w:t>
      </w:r>
      <w:r w:rsidR="0013379A">
        <w:t xml:space="preserve"> </w:t>
      </w:r>
      <w:r>
        <w:t>recovery for well No. 17 with revisions and deferred items that were the product of meetings with stakeholders and UTC Staff.</w:t>
      </w:r>
    </w:p>
    <w:p w14:paraId="065AA4A8" w14:textId="77777777" w:rsidR="007557EA" w:rsidRDefault="007557EA" w:rsidP="00C257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5E6B6AD7" w14:textId="77777777" w:rsidR="007557EA" w:rsidRDefault="007557EA" w:rsidP="00C257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tbl>
      <w:tblPr>
        <w:tblStyle w:val="TableGrid"/>
        <w:tblW w:w="0" w:type="auto"/>
        <w:jc w:val="center"/>
        <w:tblLook w:val="04A0" w:firstRow="1" w:lastRow="0" w:firstColumn="1" w:lastColumn="0" w:noHBand="0" w:noVBand="1"/>
      </w:tblPr>
      <w:tblGrid>
        <w:gridCol w:w="3055"/>
        <w:gridCol w:w="1980"/>
        <w:gridCol w:w="2249"/>
        <w:gridCol w:w="1981"/>
      </w:tblGrid>
      <w:tr w:rsidR="00C25790" w:rsidRPr="009F0695" w14:paraId="55E78359" w14:textId="61555B13" w:rsidTr="007557EA">
        <w:trPr>
          <w:jc w:val="center"/>
        </w:trPr>
        <w:tc>
          <w:tcPr>
            <w:tcW w:w="3055" w:type="dxa"/>
            <w:vAlign w:val="center"/>
          </w:tcPr>
          <w:p w14:paraId="188B2F4D" w14:textId="633716BD" w:rsidR="00C25790" w:rsidRPr="009F0695" w:rsidRDefault="00C25790" w:rsidP="009F0695">
            <w:pPr>
              <w:jc w:val="center"/>
              <w:rPr>
                <w:b/>
              </w:rPr>
            </w:pPr>
            <w:r w:rsidRPr="009F0695">
              <w:rPr>
                <w:b/>
              </w:rPr>
              <w:t>Well No. 17</w:t>
            </w:r>
          </w:p>
        </w:tc>
        <w:tc>
          <w:tcPr>
            <w:tcW w:w="1980" w:type="dxa"/>
            <w:vAlign w:val="center"/>
          </w:tcPr>
          <w:p w14:paraId="2EA26175" w14:textId="70B7C1D5" w:rsidR="00C25790" w:rsidRPr="009F0695" w:rsidRDefault="00C25790" w:rsidP="009F0695">
            <w:pPr>
              <w:jc w:val="center"/>
              <w:rPr>
                <w:b/>
              </w:rPr>
            </w:pPr>
            <w:r w:rsidRPr="009F0695">
              <w:rPr>
                <w:b/>
              </w:rPr>
              <w:t>Proposed</w:t>
            </w:r>
            <w:r w:rsidR="006C65CF">
              <w:rPr>
                <w:b/>
              </w:rPr>
              <w:t xml:space="preserve"> Cost</w:t>
            </w:r>
          </w:p>
        </w:tc>
        <w:tc>
          <w:tcPr>
            <w:tcW w:w="2249" w:type="dxa"/>
            <w:vAlign w:val="center"/>
          </w:tcPr>
          <w:p w14:paraId="2681A018" w14:textId="02222B7B" w:rsidR="00C25790" w:rsidRPr="009F0695" w:rsidRDefault="00C25790" w:rsidP="00B97CF1">
            <w:pPr>
              <w:jc w:val="center"/>
              <w:rPr>
                <w:b/>
              </w:rPr>
            </w:pPr>
            <w:r w:rsidRPr="009F0695">
              <w:rPr>
                <w:b/>
              </w:rPr>
              <w:t>Revised</w:t>
            </w:r>
            <w:r w:rsidR="006C65CF">
              <w:rPr>
                <w:b/>
              </w:rPr>
              <w:t xml:space="preserve"> Cost</w:t>
            </w:r>
          </w:p>
        </w:tc>
        <w:tc>
          <w:tcPr>
            <w:tcW w:w="1981" w:type="dxa"/>
            <w:vAlign w:val="center"/>
          </w:tcPr>
          <w:p w14:paraId="2293C6D7" w14:textId="2A16DD53" w:rsidR="00C25790" w:rsidRPr="009F0695" w:rsidRDefault="00C25790" w:rsidP="009F0695">
            <w:pPr>
              <w:jc w:val="center"/>
              <w:rPr>
                <w:b/>
              </w:rPr>
            </w:pPr>
            <w:r>
              <w:rPr>
                <w:b/>
              </w:rPr>
              <w:t>Deferred</w:t>
            </w:r>
            <w:r w:rsidR="006C65CF">
              <w:rPr>
                <w:b/>
              </w:rPr>
              <w:t xml:space="preserve"> Cost</w:t>
            </w:r>
          </w:p>
        </w:tc>
      </w:tr>
      <w:tr w:rsidR="00C25790" w14:paraId="2E2FB69D" w14:textId="1A3FDEE7" w:rsidTr="007557EA">
        <w:trPr>
          <w:jc w:val="center"/>
        </w:trPr>
        <w:tc>
          <w:tcPr>
            <w:tcW w:w="3055" w:type="dxa"/>
          </w:tcPr>
          <w:p w14:paraId="2DA6C3E0" w14:textId="66544940" w:rsidR="00C25790" w:rsidRDefault="00C25790" w:rsidP="00185D8A">
            <w:r>
              <w:t>Well Drilling</w:t>
            </w:r>
          </w:p>
        </w:tc>
        <w:tc>
          <w:tcPr>
            <w:tcW w:w="1980" w:type="dxa"/>
            <w:vAlign w:val="center"/>
          </w:tcPr>
          <w:p w14:paraId="71B53A58" w14:textId="6334350F" w:rsidR="00C25790" w:rsidRDefault="00C25790" w:rsidP="007557EA">
            <w:pPr>
              <w:jc w:val="center"/>
            </w:pPr>
            <w:r>
              <w:t>$ 31,115</w:t>
            </w:r>
          </w:p>
        </w:tc>
        <w:tc>
          <w:tcPr>
            <w:tcW w:w="2249" w:type="dxa"/>
            <w:vAlign w:val="center"/>
          </w:tcPr>
          <w:p w14:paraId="508C373B" w14:textId="1EE00164" w:rsidR="00C25790" w:rsidRDefault="00C25790" w:rsidP="00826439">
            <w:pPr>
              <w:jc w:val="center"/>
            </w:pPr>
            <w:r>
              <w:t>--</w:t>
            </w:r>
          </w:p>
        </w:tc>
        <w:tc>
          <w:tcPr>
            <w:tcW w:w="1981" w:type="dxa"/>
            <w:vAlign w:val="center"/>
          </w:tcPr>
          <w:p w14:paraId="1F57119F" w14:textId="7860A6E9" w:rsidR="00C25790" w:rsidRDefault="00C25790" w:rsidP="007557EA">
            <w:pPr>
              <w:jc w:val="center"/>
            </w:pPr>
            <w:r>
              <w:t>$ 31,115</w:t>
            </w:r>
          </w:p>
        </w:tc>
      </w:tr>
      <w:tr w:rsidR="00C25790" w14:paraId="520716A3" w14:textId="6A4BC219" w:rsidTr="007557EA">
        <w:trPr>
          <w:jc w:val="center"/>
        </w:trPr>
        <w:tc>
          <w:tcPr>
            <w:tcW w:w="3055" w:type="dxa"/>
          </w:tcPr>
          <w:p w14:paraId="777D7940" w14:textId="77777777" w:rsidR="00C25790" w:rsidRDefault="00C25790" w:rsidP="00185D8A"/>
        </w:tc>
        <w:tc>
          <w:tcPr>
            <w:tcW w:w="1980" w:type="dxa"/>
            <w:vAlign w:val="center"/>
          </w:tcPr>
          <w:p w14:paraId="23A192C0" w14:textId="77777777" w:rsidR="00C25790" w:rsidRDefault="00C25790" w:rsidP="007557EA">
            <w:pPr>
              <w:jc w:val="center"/>
            </w:pPr>
          </w:p>
        </w:tc>
        <w:tc>
          <w:tcPr>
            <w:tcW w:w="2249" w:type="dxa"/>
            <w:vAlign w:val="center"/>
          </w:tcPr>
          <w:p w14:paraId="08878507" w14:textId="77777777" w:rsidR="00C25790" w:rsidRDefault="00C25790" w:rsidP="007557EA">
            <w:pPr>
              <w:jc w:val="center"/>
            </w:pPr>
          </w:p>
        </w:tc>
        <w:tc>
          <w:tcPr>
            <w:tcW w:w="1981" w:type="dxa"/>
            <w:vAlign w:val="center"/>
          </w:tcPr>
          <w:p w14:paraId="776221E7" w14:textId="77777777" w:rsidR="00C25790" w:rsidRDefault="00C25790" w:rsidP="007557EA">
            <w:pPr>
              <w:jc w:val="center"/>
            </w:pPr>
          </w:p>
        </w:tc>
      </w:tr>
      <w:tr w:rsidR="00C25790" w14:paraId="024AD80C" w14:textId="0ABB9F8B" w:rsidTr="007557EA">
        <w:trPr>
          <w:jc w:val="center"/>
        </w:trPr>
        <w:tc>
          <w:tcPr>
            <w:tcW w:w="3055" w:type="dxa"/>
          </w:tcPr>
          <w:p w14:paraId="4C72DE0E" w14:textId="20DE133B" w:rsidR="00C25790" w:rsidRDefault="00C25790" w:rsidP="00185D8A">
            <w:r>
              <w:t>Site Investigation</w:t>
            </w:r>
          </w:p>
        </w:tc>
        <w:tc>
          <w:tcPr>
            <w:tcW w:w="1980" w:type="dxa"/>
            <w:vAlign w:val="center"/>
          </w:tcPr>
          <w:p w14:paraId="6DBD94CD" w14:textId="64E470D7" w:rsidR="00C25790" w:rsidRDefault="00C25790" w:rsidP="007557EA">
            <w:pPr>
              <w:jc w:val="center"/>
            </w:pPr>
            <w:r>
              <w:t>$ 69,844</w:t>
            </w:r>
          </w:p>
        </w:tc>
        <w:tc>
          <w:tcPr>
            <w:tcW w:w="2249" w:type="dxa"/>
            <w:vAlign w:val="center"/>
          </w:tcPr>
          <w:p w14:paraId="1D0274E3" w14:textId="32900B93" w:rsidR="00C25790" w:rsidRDefault="00C25790" w:rsidP="007557EA">
            <w:pPr>
              <w:jc w:val="center"/>
            </w:pPr>
            <w:r>
              <w:t>$ 69,844</w:t>
            </w:r>
          </w:p>
        </w:tc>
        <w:tc>
          <w:tcPr>
            <w:tcW w:w="1981" w:type="dxa"/>
            <w:vAlign w:val="center"/>
          </w:tcPr>
          <w:p w14:paraId="5AE45E74" w14:textId="12A2223D" w:rsidR="00C25790" w:rsidRDefault="00C25790" w:rsidP="00826439">
            <w:pPr>
              <w:jc w:val="center"/>
            </w:pPr>
            <w:r>
              <w:t>--</w:t>
            </w:r>
          </w:p>
        </w:tc>
      </w:tr>
      <w:tr w:rsidR="00C25790" w14:paraId="5756328C" w14:textId="06086282" w:rsidTr="007557EA">
        <w:trPr>
          <w:jc w:val="center"/>
        </w:trPr>
        <w:tc>
          <w:tcPr>
            <w:tcW w:w="3055" w:type="dxa"/>
          </w:tcPr>
          <w:p w14:paraId="0C4F04F3" w14:textId="42B5E4A8" w:rsidR="00C25790" w:rsidRDefault="00C25790" w:rsidP="00185D8A">
            <w:r>
              <w:t>Legal</w:t>
            </w:r>
          </w:p>
        </w:tc>
        <w:tc>
          <w:tcPr>
            <w:tcW w:w="1980" w:type="dxa"/>
            <w:vAlign w:val="center"/>
          </w:tcPr>
          <w:p w14:paraId="4E7DA7C9" w14:textId="2AC9D3A1" w:rsidR="00C25790" w:rsidRDefault="00C25790" w:rsidP="007557EA">
            <w:pPr>
              <w:jc w:val="center"/>
            </w:pPr>
            <w:r>
              <w:t>$ 47,475</w:t>
            </w:r>
          </w:p>
        </w:tc>
        <w:tc>
          <w:tcPr>
            <w:tcW w:w="2249" w:type="dxa"/>
            <w:vAlign w:val="center"/>
          </w:tcPr>
          <w:p w14:paraId="459A9BC2" w14:textId="4748F400" w:rsidR="00C25790" w:rsidRDefault="00C25790" w:rsidP="007557EA">
            <w:pPr>
              <w:jc w:val="center"/>
            </w:pPr>
            <w:r>
              <w:t>$35,606</w:t>
            </w:r>
          </w:p>
        </w:tc>
        <w:tc>
          <w:tcPr>
            <w:tcW w:w="1981" w:type="dxa"/>
            <w:vAlign w:val="center"/>
          </w:tcPr>
          <w:p w14:paraId="0AB7CAF4" w14:textId="59FB75B8" w:rsidR="00C25790" w:rsidRDefault="00C25790" w:rsidP="007557EA">
            <w:pPr>
              <w:jc w:val="center"/>
            </w:pPr>
            <w:r>
              <w:t>$ 11,869</w:t>
            </w:r>
          </w:p>
        </w:tc>
      </w:tr>
      <w:tr w:rsidR="00C25790" w14:paraId="7C314F74" w14:textId="47F1AF2F" w:rsidTr="007557EA">
        <w:trPr>
          <w:jc w:val="center"/>
        </w:trPr>
        <w:tc>
          <w:tcPr>
            <w:tcW w:w="3055" w:type="dxa"/>
          </w:tcPr>
          <w:p w14:paraId="74FC54C9" w14:textId="3217FE7B" w:rsidR="00C25790" w:rsidRDefault="00C25790" w:rsidP="009F0695">
            <w:r>
              <w:t>Notice &amp; Mailing</w:t>
            </w:r>
          </w:p>
        </w:tc>
        <w:tc>
          <w:tcPr>
            <w:tcW w:w="1980" w:type="dxa"/>
            <w:vAlign w:val="center"/>
          </w:tcPr>
          <w:p w14:paraId="0F4DA09A" w14:textId="1BC89411" w:rsidR="00C25790" w:rsidRDefault="00C25790" w:rsidP="007557EA">
            <w:pPr>
              <w:jc w:val="center"/>
            </w:pPr>
            <w:r>
              <w:t>$     788</w:t>
            </w:r>
          </w:p>
        </w:tc>
        <w:tc>
          <w:tcPr>
            <w:tcW w:w="2249" w:type="dxa"/>
            <w:vAlign w:val="center"/>
          </w:tcPr>
          <w:p w14:paraId="3016F7E8" w14:textId="6D31DBE3" w:rsidR="00C25790" w:rsidRDefault="00C25790" w:rsidP="007557EA">
            <w:pPr>
              <w:jc w:val="center"/>
            </w:pPr>
            <w:r>
              <w:t>$     788</w:t>
            </w:r>
          </w:p>
        </w:tc>
        <w:tc>
          <w:tcPr>
            <w:tcW w:w="1981" w:type="dxa"/>
            <w:vAlign w:val="center"/>
          </w:tcPr>
          <w:p w14:paraId="1DDA6EED" w14:textId="71082785" w:rsidR="00C25790" w:rsidRDefault="00C25790" w:rsidP="00826439">
            <w:pPr>
              <w:jc w:val="center"/>
            </w:pPr>
            <w:r>
              <w:t>--</w:t>
            </w:r>
          </w:p>
        </w:tc>
      </w:tr>
      <w:tr w:rsidR="00C25790" w14:paraId="12136D4D" w14:textId="5FDE2D32" w:rsidTr="007557EA">
        <w:trPr>
          <w:jc w:val="center"/>
        </w:trPr>
        <w:tc>
          <w:tcPr>
            <w:tcW w:w="3055" w:type="dxa"/>
          </w:tcPr>
          <w:p w14:paraId="0AC1FC9F" w14:textId="5D8A9244" w:rsidR="00C25790" w:rsidRDefault="00C25790" w:rsidP="00185D8A">
            <w:r>
              <w:t>Utility Tax</w:t>
            </w:r>
          </w:p>
        </w:tc>
        <w:tc>
          <w:tcPr>
            <w:tcW w:w="1980" w:type="dxa"/>
            <w:vAlign w:val="center"/>
          </w:tcPr>
          <w:p w14:paraId="4F050D64" w14:textId="7B6B4EE8" w:rsidR="00C25790" w:rsidRDefault="00C25790" w:rsidP="007557EA">
            <w:pPr>
              <w:jc w:val="center"/>
            </w:pPr>
            <w:r>
              <w:t>$ 4,543</w:t>
            </w:r>
          </w:p>
        </w:tc>
        <w:tc>
          <w:tcPr>
            <w:tcW w:w="2249" w:type="dxa"/>
            <w:vAlign w:val="center"/>
          </w:tcPr>
          <w:p w14:paraId="0FDFA6EC" w14:textId="7897A8C1" w:rsidR="00C25790" w:rsidRDefault="00C25790" w:rsidP="007557EA">
            <w:pPr>
              <w:jc w:val="center"/>
            </w:pPr>
            <w:r>
              <w:t>$  1,737</w:t>
            </w:r>
          </w:p>
        </w:tc>
        <w:tc>
          <w:tcPr>
            <w:tcW w:w="1981" w:type="dxa"/>
            <w:vAlign w:val="center"/>
          </w:tcPr>
          <w:p w14:paraId="6978D2B8" w14:textId="60E0FD58" w:rsidR="00C25790" w:rsidRDefault="00C25790" w:rsidP="00826439">
            <w:pPr>
              <w:jc w:val="center"/>
            </w:pPr>
            <w:r>
              <w:t>--</w:t>
            </w:r>
          </w:p>
        </w:tc>
      </w:tr>
      <w:tr w:rsidR="00C25790" w14:paraId="1D51ED28" w14:textId="5B38CAD6" w:rsidTr="007557EA">
        <w:trPr>
          <w:jc w:val="center"/>
        </w:trPr>
        <w:tc>
          <w:tcPr>
            <w:tcW w:w="3055" w:type="dxa"/>
          </w:tcPr>
          <w:p w14:paraId="0E54D3FB" w14:textId="281A35E3" w:rsidR="00C25790" w:rsidRDefault="00C25790" w:rsidP="00185D8A">
            <w:r>
              <w:t>Interest</w:t>
            </w:r>
          </w:p>
        </w:tc>
        <w:tc>
          <w:tcPr>
            <w:tcW w:w="1980" w:type="dxa"/>
            <w:vAlign w:val="center"/>
          </w:tcPr>
          <w:p w14:paraId="6754EFB7" w14:textId="5EBF26EC" w:rsidR="00C25790" w:rsidRDefault="00C25790" w:rsidP="007557EA">
            <w:pPr>
              <w:jc w:val="center"/>
            </w:pPr>
            <w:r>
              <w:t>$ 13,398</w:t>
            </w:r>
          </w:p>
        </w:tc>
        <w:tc>
          <w:tcPr>
            <w:tcW w:w="2249" w:type="dxa"/>
            <w:vAlign w:val="center"/>
          </w:tcPr>
          <w:p w14:paraId="407D2DC6" w14:textId="1976AB55" w:rsidR="00C25790" w:rsidRDefault="00C25790" w:rsidP="007557EA">
            <w:pPr>
              <w:jc w:val="center"/>
            </w:pPr>
            <w:r>
              <w:t>$   9,534</w:t>
            </w:r>
          </w:p>
        </w:tc>
        <w:tc>
          <w:tcPr>
            <w:tcW w:w="1981" w:type="dxa"/>
            <w:vAlign w:val="center"/>
          </w:tcPr>
          <w:p w14:paraId="2CCA6675" w14:textId="326405B1" w:rsidR="00C25790" w:rsidRDefault="00C25790" w:rsidP="00826439">
            <w:pPr>
              <w:jc w:val="center"/>
            </w:pPr>
            <w:r>
              <w:t>--</w:t>
            </w:r>
          </w:p>
        </w:tc>
      </w:tr>
      <w:tr w:rsidR="00C25790" w14:paraId="2C90D740" w14:textId="6BC973DD" w:rsidTr="007557EA">
        <w:trPr>
          <w:jc w:val="center"/>
        </w:trPr>
        <w:tc>
          <w:tcPr>
            <w:tcW w:w="3055" w:type="dxa"/>
          </w:tcPr>
          <w:p w14:paraId="6B03E468" w14:textId="77777777" w:rsidR="00C25790" w:rsidRDefault="00C25790" w:rsidP="00185D8A"/>
        </w:tc>
        <w:tc>
          <w:tcPr>
            <w:tcW w:w="1980" w:type="dxa"/>
            <w:vAlign w:val="center"/>
          </w:tcPr>
          <w:p w14:paraId="0F5E518F" w14:textId="77777777" w:rsidR="00C25790" w:rsidRDefault="00C25790" w:rsidP="007557EA">
            <w:pPr>
              <w:jc w:val="center"/>
            </w:pPr>
          </w:p>
        </w:tc>
        <w:tc>
          <w:tcPr>
            <w:tcW w:w="2249" w:type="dxa"/>
            <w:vAlign w:val="center"/>
          </w:tcPr>
          <w:p w14:paraId="306BA475" w14:textId="77777777" w:rsidR="00C25790" w:rsidRDefault="00C25790" w:rsidP="007557EA">
            <w:pPr>
              <w:jc w:val="center"/>
            </w:pPr>
          </w:p>
        </w:tc>
        <w:tc>
          <w:tcPr>
            <w:tcW w:w="1981" w:type="dxa"/>
            <w:vAlign w:val="center"/>
          </w:tcPr>
          <w:p w14:paraId="2A6ECB90" w14:textId="77777777" w:rsidR="00C25790" w:rsidRDefault="00C25790" w:rsidP="007557EA">
            <w:pPr>
              <w:jc w:val="center"/>
            </w:pPr>
          </w:p>
        </w:tc>
      </w:tr>
      <w:tr w:rsidR="00C25790" w14:paraId="332A5897" w14:textId="77842AE7" w:rsidTr="007557EA">
        <w:trPr>
          <w:jc w:val="center"/>
        </w:trPr>
        <w:tc>
          <w:tcPr>
            <w:tcW w:w="3055" w:type="dxa"/>
          </w:tcPr>
          <w:p w14:paraId="40596062" w14:textId="449F60A8" w:rsidR="00C25790" w:rsidRDefault="00C25790" w:rsidP="00185D8A">
            <w:r>
              <w:t>Total</w:t>
            </w:r>
          </w:p>
        </w:tc>
        <w:tc>
          <w:tcPr>
            <w:tcW w:w="1980" w:type="dxa"/>
            <w:vAlign w:val="center"/>
          </w:tcPr>
          <w:p w14:paraId="3FD35B0E" w14:textId="66450353" w:rsidR="00C25790" w:rsidRDefault="00C25790" w:rsidP="007557EA">
            <w:pPr>
              <w:jc w:val="center"/>
            </w:pPr>
            <w:r>
              <w:t>$ 165,059</w:t>
            </w:r>
          </w:p>
        </w:tc>
        <w:tc>
          <w:tcPr>
            <w:tcW w:w="2249" w:type="dxa"/>
            <w:vAlign w:val="center"/>
          </w:tcPr>
          <w:p w14:paraId="2A58FE8E" w14:textId="79426D1E" w:rsidR="00C25790" w:rsidRDefault="00C25790" w:rsidP="007557EA">
            <w:pPr>
              <w:jc w:val="center"/>
            </w:pPr>
            <w:r>
              <w:t>$ 117,514</w:t>
            </w:r>
          </w:p>
        </w:tc>
        <w:tc>
          <w:tcPr>
            <w:tcW w:w="1981" w:type="dxa"/>
            <w:vAlign w:val="center"/>
          </w:tcPr>
          <w:p w14:paraId="246EC6B9" w14:textId="439F8699" w:rsidR="00C25790" w:rsidRDefault="00C25790" w:rsidP="007557EA">
            <w:pPr>
              <w:jc w:val="center"/>
            </w:pPr>
            <w:r>
              <w:t>$ 42,983</w:t>
            </w:r>
          </w:p>
        </w:tc>
      </w:tr>
      <w:tr w:rsidR="00B97CF1" w14:paraId="7B565520" w14:textId="77777777" w:rsidTr="007557EA">
        <w:trPr>
          <w:jc w:val="center"/>
        </w:trPr>
        <w:tc>
          <w:tcPr>
            <w:tcW w:w="3055" w:type="dxa"/>
          </w:tcPr>
          <w:p w14:paraId="5A419E5B" w14:textId="77777777" w:rsidR="00B97CF1" w:rsidRDefault="00B97CF1" w:rsidP="00185D8A"/>
        </w:tc>
        <w:tc>
          <w:tcPr>
            <w:tcW w:w="1980" w:type="dxa"/>
          </w:tcPr>
          <w:p w14:paraId="2264E81B" w14:textId="77777777" w:rsidR="00B97CF1" w:rsidRDefault="00B97CF1" w:rsidP="007557EA">
            <w:pPr>
              <w:jc w:val="center"/>
            </w:pPr>
          </w:p>
        </w:tc>
        <w:tc>
          <w:tcPr>
            <w:tcW w:w="2249" w:type="dxa"/>
          </w:tcPr>
          <w:p w14:paraId="14292A47" w14:textId="77777777" w:rsidR="00B97CF1" w:rsidRDefault="00B97CF1" w:rsidP="007557EA">
            <w:pPr>
              <w:jc w:val="center"/>
            </w:pPr>
          </w:p>
        </w:tc>
        <w:tc>
          <w:tcPr>
            <w:tcW w:w="1981" w:type="dxa"/>
          </w:tcPr>
          <w:p w14:paraId="0A47B0CD" w14:textId="77777777" w:rsidR="00B97CF1" w:rsidRDefault="00B97CF1" w:rsidP="00826439">
            <w:pPr>
              <w:jc w:val="center"/>
            </w:pPr>
          </w:p>
        </w:tc>
      </w:tr>
      <w:tr w:rsidR="00C25790" w14:paraId="4E0DB268" w14:textId="48CA62C6" w:rsidTr="007557EA">
        <w:trPr>
          <w:jc w:val="center"/>
        </w:trPr>
        <w:tc>
          <w:tcPr>
            <w:tcW w:w="3055" w:type="dxa"/>
          </w:tcPr>
          <w:p w14:paraId="4B9E754F" w14:textId="73EAD157" w:rsidR="00C25790" w:rsidRDefault="00C25790" w:rsidP="00383576">
            <w:r>
              <w:t xml:space="preserve">Annual </w:t>
            </w:r>
            <w:r w:rsidR="00B97CF1">
              <w:t xml:space="preserve">Surcharge </w:t>
            </w:r>
            <w:r w:rsidR="00D26762">
              <w:t>Amount</w:t>
            </w:r>
          </w:p>
        </w:tc>
        <w:tc>
          <w:tcPr>
            <w:tcW w:w="1980" w:type="dxa"/>
          </w:tcPr>
          <w:p w14:paraId="19074758" w14:textId="78E51C13" w:rsidR="00C25790" w:rsidRDefault="00C25790" w:rsidP="007557EA">
            <w:pPr>
              <w:jc w:val="center"/>
            </w:pPr>
            <w:r>
              <w:t>$  52,124</w:t>
            </w:r>
          </w:p>
        </w:tc>
        <w:tc>
          <w:tcPr>
            <w:tcW w:w="2249" w:type="dxa"/>
          </w:tcPr>
          <w:p w14:paraId="4748C72C" w14:textId="046107D8" w:rsidR="00C25790" w:rsidRDefault="00C25790" w:rsidP="007557EA">
            <w:pPr>
              <w:jc w:val="center"/>
            </w:pPr>
            <w:r>
              <w:t>$  37,110</w:t>
            </w:r>
          </w:p>
        </w:tc>
        <w:tc>
          <w:tcPr>
            <w:tcW w:w="1981" w:type="dxa"/>
          </w:tcPr>
          <w:p w14:paraId="173C2F48" w14:textId="423B2048" w:rsidR="00C25790" w:rsidRDefault="00C25790" w:rsidP="00826439">
            <w:pPr>
              <w:jc w:val="center"/>
            </w:pPr>
            <w:r>
              <w:t>--</w:t>
            </w:r>
          </w:p>
        </w:tc>
      </w:tr>
      <w:tr w:rsidR="00D26762" w14:paraId="384CE430" w14:textId="77777777" w:rsidTr="007557EA">
        <w:trPr>
          <w:jc w:val="center"/>
        </w:trPr>
        <w:tc>
          <w:tcPr>
            <w:tcW w:w="3055" w:type="dxa"/>
          </w:tcPr>
          <w:p w14:paraId="0314EBF8" w14:textId="65984D08" w:rsidR="00D26762" w:rsidRPr="007557EA" w:rsidRDefault="00D26762" w:rsidP="00D26762">
            <w:pPr>
              <w:rPr>
                <w:b/>
              </w:rPr>
            </w:pPr>
            <w:r w:rsidRPr="007557EA">
              <w:rPr>
                <w:b/>
              </w:rPr>
              <w:t>Monthly Surcharge Rate</w:t>
            </w:r>
            <w:r>
              <w:rPr>
                <w:b/>
              </w:rPr>
              <w:t>*</w:t>
            </w:r>
          </w:p>
        </w:tc>
        <w:tc>
          <w:tcPr>
            <w:tcW w:w="1980" w:type="dxa"/>
          </w:tcPr>
          <w:p w14:paraId="54AD4303" w14:textId="4EA74F10" w:rsidR="00D26762" w:rsidRPr="007557EA" w:rsidRDefault="00D26762" w:rsidP="007557EA">
            <w:pPr>
              <w:jc w:val="center"/>
              <w:rPr>
                <w:b/>
              </w:rPr>
            </w:pPr>
            <w:r w:rsidRPr="007557EA">
              <w:rPr>
                <w:b/>
              </w:rPr>
              <w:t>$2.70*</w:t>
            </w:r>
            <w:r w:rsidR="006B69DB">
              <w:rPr>
                <w:b/>
              </w:rPr>
              <w:t>*</w:t>
            </w:r>
          </w:p>
        </w:tc>
        <w:tc>
          <w:tcPr>
            <w:tcW w:w="2249" w:type="dxa"/>
          </w:tcPr>
          <w:p w14:paraId="15F0B398" w14:textId="0390E817" w:rsidR="00D26762" w:rsidRPr="007557EA" w:rsidRDefault="00D26762" w:rsidP="007557EA">
            <w:pPr>
              <w:jc w:val="center"/>
              <w:rPr>
                <w:b/>
              </w:rPr>
            </w:pPr>
            <w:r w:rsidRPr="007557EA">
              <w:rPr>
                <w:b/>
              </w:rPr>
              <w:t>$1.92**</w:t>
            </w:r>
            <w:r w:rsidR="006B69DB">
              <w:rPr>
                <w:b/>
              </w:rPr>
              <w:t>*</w:t>
            </w:r>
          </w:p>
        </w:tc>
        <w:tc>
          <w:tcPr>
            <w:tcW w:w="1981" w:type="dxa"/>
          </w:tcPr>
          <w:p w14:paraId="4E268F1B" w14:textId="77777777" w:rsidR="00D26762" w:rsidRDefault="00D26762" w:rsidP="00D26762">
            <w:pPr>
              <w:jc w:val="center"/>
            </w:pPr>
          </w:p>
        </w:tc>
      </w:tr>
    </w:tbl>
    <w:p w14:paraId="36FCE926" w14:textId="28314446" w:rsidR="006B69DB" w:rsidRDefault="006B69DB" w:rsidP="00D26762">
      <w:pPr>
        <w:rPr>
          <w:sz w:val="22"/>
          <w:szCs w:val="22"/>
        </w:rPr>
      </w:pPr>
      <w:r>
        <w:rPr>
          <w:sz w:val="22"/>
          <w:szCs w:val="22"/>
        </w:rPr>
        <w:t>* Annual Surcharge Amount ÷ 1,608 customers ÷12 months</w:t>
      </w:r>
    </w:p>
    <w:p w14:paraId="3CAB8D24" w14:textId="69247493" w:rsidR="00D26762" w:rsidRDefault="00D26762" w:rsidP="00D26762">
      <w:pPr>
        <w:rPr>
          <w:sz w:val="22"/>
          <w:szCs w:val="22"/>
        </w:rPr>
      </w:pPr>
      <w:r w:rsidRPr="009D2A93">
        <w:rPr>
          <w:sz w:val="22"/>
          <w:szCs w:val="22"/>
        </w:rPr>
        <w:t>*</w:t>
      </w:r>
      <w:r w:rsidR="006B69DB">
        <w:rPr>
          <w:sz w:val="22"/>
          <w:szCs w:val="22"/>
        </w:rPr>
        <w:t>*</w:t>
      </w:r>
      <w:r w:rsidRPr="009D2A93">
        <w:rPr>
          <w:sz w:val="22"/>
          <w:szCs w:val="22"/>
        </w:rPr>
        <w:t>Surcharge expire</w:t>
      </w:r>
      <w:r>
        <w:rPr>
          <w:sz w:val="22"/>
          <w:szCs w:val="22"/>
        </w:rPr>
        <w:t>s</w:t>
      </w:r>
      <w:r w:rsidRPr="009D2A93">
        <w:rPr>
          <w:sz w:val="22"/>
          <w:szCs w:val="22"/>
        </w:rPr>
        <w:t xml:space="preserve"> June 30, 2017, or upon recovery of $165,059</w:t>
      </w:r>
      <w:r>
        <w:rPr>
          <w:sz w:val="22"/>
          <w:szCs w:val="22"/>
        </w:rPr>
        <w:t>,</w:t>
      </w:r>
      <w:r w:rsidRPr="009D2A93">
        <w:rPr>
          <w:sz w:val="22"/>
          <w:szCs w:val="22"/>
        </w:rPr>
        <w:t xml:space="preserve"> whichever occurs first.</w:t>
      </w:r>
    </w:p>
    <w:p w14:paraId="1C52760C" w14:textId="0034B130" w:rsidR="00D26762" w:rsidRPr="009D2A93" w:rsidRDefault="00D26762" w:rsidP="00D26762">
      <w:pPr>
        <w:rPr>
          <w:sz w:val="22"/>
          <w:szCs w:val="22"/>
        </w:rPr>
      </w:pPr>
      <w:r>
        <w:rPr>
          <w:sz w:val="22"/>
          <w:szCs w:val="22"/>
        </w:rPr>
        <w:t>**</w:t>
      </w:r>
      <w:r w:rsidR="006B69DB">
        <w:rPr>
          <w:sz w:val="22"/>
          <w:szCs w:val="22"/>
        </w:rPr>
        <w:t>*</w:t>
      </w:r>
      <w:r w:rsidRPr="000F48BF">
        <w:rPr>
          <w:sz w:val="22"/>
          <w:szCs w:val="22"/>
        </w:rPr>
        <w:t xml:space="preserve"> </w:t>
      </w:r>
      <w:r>
        <w:rPr>
          <w:sz w:val="22"/>
          <w:szCs w:val="22"/>
        </w:rPr>
        <w:t>Surcharge expire</w:t>
      </w:r>
      <w:r w:rsidR="008C7933">
        <w:rPr>
          <w:sz w:val="22"/>
          <w:szCs w:val="22"/>
        </w:rPr>
        <w:t>s</w:t>
      </w:r>
      <w:r>
        <w:rPr>
          <w:sz w:val="22"/>
          <w:szCs w:val="22"/>
        </w:rPr>
        <w:t xml:space="preserve"> October 31</w:t>
      </w:r>
      <w:r w:rsidRPr="009D2A93">
        <w:rPr>
          <w:sz w:val="22"/>
          <w:szCs w:val="22"/>
        </w:rPr>
        <w:t>, 2017, or upon recovery of $</w:t>
      </w:r>
      <w:r>
        <w:rPr>
          <w:sz w:val="22"/>
          <w:szCs w:val="22"/>
        </w:rPr>
        <w:t>117,514,</w:t>
      </w:r>
      <w:r w:rsidRPr="009D2A93">
        <w:rPr>
          <w:sz w:val="22"/>
          <w:szCs w:val="22"/>
        </w:rPr>
        <w:t xml:space="preserve"> whichever occurs first.</w:t>
      </w:r>
    </w:p>
    <w:p w14:paraId="62081E21" w14:textId="77777777"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256F57C" w14:textId="77777777"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The compromise proposal is:</w:t>
      </w:r>
    </w:p>
    <w:p w14:paraId="5D144759" w14:textId="77777777"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6E020F1A" w14:textId="0CC09E34" w:rsidR="00EC2565" w:rsidRDefault="006C65CF" w:rsidP="007557EA">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Well No. 17 drilling cost:  Defer all of the $31,115 cost f</w:t>
      </w:r>
      <w:r w:rsidR="00EC2565">
        <w:t>or future capitalization and recovery associated with a future new water supply source for the North Aquifer service area.</w:t>
      </w:r>
    </w:p>
    <w:p w14:paraId="600A4D42" w14:textId="77777777"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642BDB6" w14:textId="2C8F3B51" w:rsidR="00EC2565" w:rsidRDefault="006C65CF" w:rsidP="007557EA">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Site Investigation cost:  Recover all of the $69,844 in the revised surcharge</w:t>
      </w:r>
      <w:r w:rsidR="00EC2565">
        <w:t>.</w:t>
      </w:r>
    </w:p>
    <w:p w14:paraId="02F07172" w14:textId="77777777" w:rsidR="006C65CF" w:rsidRDefault="006C65CF" w:rsidP="007557EA">
      <w:pPr>
        <w:pStyle w:val="ListParagraph"/>
      </w:pPr>
    </w:p>
    <w:p w14:paraId="41805F22" w14:textId="40427D46" w:rsidR="000B5EC8" w:rsidRDefault="006C65CF" w:rsidP="007557EA">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lastRenderedPageBreak/>
        <w:t xml:space="preserve">Legal cost: Recover $35,606 (75 percent) in the revised surcharge and defer </w:t>
      </w:r>
      <w:r w:rsidR="00EC2565">
        <w:t xml:space="preserve">$11,869 (25 percent) </w:t>
      </w:r>
      <w:r w:rsidR="000B5EC8" w:rsidRPr="000B5EC8">
        <w:t xml:space="preserve">for future capitalization and </w:t>
      </w:r>
      <w:r w:rsidR="00EC2565">
        <w:t>recovery associated with a future new water supply source for the North Aquifer service area.</w:t>
      </w:r>
    </w:p>
    <w:p w14:paraId="5D13DDD1" w14:textId="77777777" w:rsidR="000B5EC8" w:rsidRDefault="000B5EC8" w:rsidP="008264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0B08019" w14:textId="7C7B40E8" w:rsidR="000B5EC8" w:rsidRDefault="000B5EC8" w:rsidP="007557EA">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Notice &amp; Mailing: All costs included in revised surcharge. (No change)</w:t>
      </w:r>
    </w:p>
    <w:p w14:paraId="1F75F4D3" w14:textId="77777777" w:rsidR="000B5EC8" w:rsidRDefault="000B5EC8" w:rsidP="007557EA">
      <w:pPr>
        <w:pStyle w:val="ListParagraph"/>
      </w:pPr>
    </w:p>
    <w:p w14:paraId="5E2EE931" w14:textId="5D3D4B56" w:rsidR="000B5EC8" w:rsidRDefault="000B5EC8" w:rsidP="007557EA">
      <w:pPr>
        <w:pStyle w:val="ListParagraph"/>
        <w:widowControl w:val="0"/>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t>Utility Tax: Adjusted to apply to revised costs in the revised surcharge.</w:t>
      </w:r>
    </w:p>
    <w:p w14:paraId="37C6B5E8" w14:textId="77777777" w:rsidR="000B5EC8" w:rsidRDefault="000B5EC8" w:rsidP="007557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0BA4EF3F" w14:textId="77777777" w:rsidR="000B5EC8" w:rsidRPr="000B5EC8" w:rsidRDefault="000B5EC8" w:rsidP="000B5EC8">
      <w:pPr>
        <w:pStyle w:val="ListParagraph"/>
        <w:numPr>
          <w:ilvl w:val="0"/>
          <w:numId w:val="34"/>
        </w:numPr>
      </w:pPr>
      <w:r>
        <w:t xml:space="preserve">Interest: </w:t>
      </w:r>
      <w:r w:rsidRPr="000B5EC8">
        <w:t>Adjusted to apply to revised costs in the revised surcharge.</w:t>
      </w:r>
    </w:p>
    <w:p w14:paraId="1D6B71EA" w14:textId="77777777" w:rsidR="00EC2565" w:rsidRDefault="00EC2565" w:rsidP="007557EA">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3DFDE856" w14:textId="1C0946B7"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snapToGrid w:val="0"/>
        </w:rPr>
      </w:pPr>
      <w:r>
        <w:t xml:space="preserve">Total amount in the revised proposal is $117,514 </w:t>
      </w:r>
      <w:r w:rsidR="006C65CF">
        <w:t xml:space="preserve">for the current surcharge </w:t>
      </w:r>
      <w:r>
        <w:t xml:space="preserve">and $42,983 </w:t>
      </w:r>
      <w:r w:rsidR="000B5EC8">
        <w:t xml:space="preserve">deferred </w:t>
      </w:r>
      <w:r>
        <w:t>for future capitalization and recovery associated with a future new water supply source for the North Aquifer service area.</w:t>
      </w:r>
      <w:r w:rsidRPr="000F2A66">
        <w:rPr>
          <w:snapToGrid w:val="0"/>
        </w:rPr>
        <w:t xml:space="preserve"> </w:t>
      </w:r>
    </w:p>
    <w:p w14:paraId="50C70C46" w14:textId="77777777"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snapToGrid w:val="0"/>
        </w:rPr>
      </w:pPr>
    </w:p>
    <w:p w14:paraId="7F2EBBE2" w14:textId="15661802" w:rsidR="00EC2565" w:rsidRDefault="00EC2565" w:rsidP="00EC25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r>
        <w:rPr>
          <w:snapToGrid w:val="0"/>
        </w:rPr>
        <w:t xml:space="preserve">The </w:t>
      </w:r>
      <w:r w:rsidR="00D24204">
        <w:rPr>
          <w:snapToGrid w:val="0"/>
        </w:rPr>
        <w:t>revised s</w:t>
      </w:r>
      <w:r>
        <w:rPr>
          <w:snapToGrid w:val="0"/>
        </w:rPr>
        <w:t xml:space="preserve">urcharge </w:t>
      </w:r>
      <w:r w:rsidR="006C65CF">
        <w:rPr>
          <w:snapToGrid w:val="0"/>
        </w:rPr>
        <w:t>would</w:t>
      </w:r>
      <w:r>
        <w:rPr>
          <w:snapToGrid w:val="0"/>
        </w:rPr>
        <w:t xml:space="preserve"> expire October 31, 2017, or upon recovery of $ </w:t>
      </w:r>
      <w:r w:rsidR="004B04A7">
        <w:rPr>
          <w:snapToGrid w:val="0"/>
        </w:rPr>
        <w:t>117,514 whichever occurs first.</w:t>
      </w:r>
      <w:r>
        <w:rPr>
          <w:snapToGrid w:val="0"/>
        </w:rPr>
        <w:t xml:space="preserve"> Cost</w:t>
      </w:r>
      <w:r w:rsidR="006C65CF">
        <w:rPr>
          <w:snapToGrid w:val="0"/>
        </w:rPr>
        <w:t>s</w:t>
      </w:r>
      <w:r>
        <w:rPr>
          <w:snapToGrid w:val="0"/>
        </w:rPr>
        <w:t xml:space="preserve"> includes principal, plus interest charges and state excise taxes. </w:t>
      </w:r>
      <w:r w:rsidR="00826439">
        <w:rPr>
          <w:snapToGrid w:val="0"/>
        </w:rPr>
        <w:t xml:space="preserve">Customers could choose to </w:t>
      </w:r>
      <w:r w:rsidR="00826439">
        <w:t xml:space="preserve">pay, </w:t>
      </w:r>
      <w:r>
        <w:t>within 90 days of effective date</w:t>
      </w:r>
      <w:r w:rsidR="00826439">
        <w:t>,</w:t>
      </w:r>
      <w:r>
        <w:t xml:space="preserve"> a one-time </w:t>
      </w:r>
      <w:r w:rsidR="00826439">
        <w:t xml:space="preserve">$67.06 </w:t>
      </w:r>
      <w:r>
        <w:t xml:space="preserve">payment </w:t>
      </w:r>
      <w:r w:rsidR="006C65CF">
        <w:t>to avoid</w:t>
      </w:r>
      <w:r>
        <w:t xml:space="preserve"> interest cost.</w:t>
      </w:r>
    </w:p>
    <w:p w14:paraId="503F1EF5" w14:textId="4B11D664" w:rsidR="009D2A93" w:rsidRPr="002E3E9D" w:rsidRDefault="009D2A93" w:rsidP="009D2A93"/>
    <w:p w14:paraId="553A6D20" w14:textId="77777777" w:rsidR="00664875" w:rsidRDefault="00664875" w:rsidP="006648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r w:rsidRPr="00A8749C">
        <w:rPr>
          <w:rFonts w:eastAsia="Times New Roman"/>
          <w:b/>
          <w:u w:val="single"/>
          <w:lang w:bidi="ar-SA"/>
        </w:rPr>
        <w:t xml:space="preserve">Customer Comments </w:t>
      </w:r>
    </w:p>
    <w:p w14:paraId="3D794A9A" w14:textId="77777777" w:rsidR="00664875" w:rsidRPr="00A8749C" w:rsidRDefault="00664875" w:rsidP="006648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rPr>
          <w:rFonts w:eastAsia="Times New Roman"/>
          <w:b/>
          <w:u w:val="single"/>
          <w:lang w:bidi="ar-SA"/>
        </w:rPr>
      </w:pPr>
    </w:p>
    <w:p w14:paraId="712FD7F3" w14:textId="77777777" w:rsidR="00664875" w:rsidRDefault="00664875" w:rsidP="00664875">
      <w:r>
        <w:rPr>
          <w:color w:val="000000"/>
        </w:rPr>
        <w:t>On March 07, 2014, the company notified its customers of the proposed surcharge by mail. Staff received 50 comments regarding the proposed surcharge; 39 opposed to the surcharge and 11 in favor. Customers were notified that they may access relevant documents about this surcharge on the commission’s website, and that they may contact John Cupp at 1-888-333-9882 or jcupp@utc.wa.gov with questions or concerns.</w:t>
      </w:r>
    </w:p>
    <w:p w14:paraId="537C7598" w14:textId="77777777" w:rsidR="00664875" w:rsidRDefault="00664875" w:rsidP="00664875">
      <w:pPr>
        <w:ind w:left="719"/>
      </w:pPr>
    </w:p>
    <w:p w14:paraId="68B82CD8" w14:textId="77777777" w:rsidR="00664875" w:rsidRDefault="00664875" w:rsidP="00664875">
      <w:pPr>
        <w:rPr>
          <w:b/>
          <w:color w:val="000000"/>
        </w:rPr>
      </w:pPr>
      <w:r>
        <w:rPr>
          <w:b/>
          <w:color w:val="000000"/>
        </w:rPr>
        <w:t>General Comments</w:t>
      </w:r>
    </w:p>
    <w:p w14:paraId="7C9D587F" w14:textId="77777777" w:rsidR="00664875" w:rsidRDefault="00664875" w:rsidP="00664875"/>
    <w:p w14:paraId="3B58EDE8" w14:textId="77777777" w:rsidR="00664875" w:rsidRDefault="00664875" w:rsidP="00664875">
      <w:pPr>
        <w:numPr>
          <w:ilvl w:val="0"/>
          <w:numId w:val="31"/>
        </w:numPr>
        <w:ind w:left="720" w:hanging="360"/>
        <w:rPr>
          <w:color w:val="000000"/>
        </w:rPr>
      </w:pPr>
      <w:r w:rsidRPr="000F6208">
        <w:rPr>
          <w:color w:val="000000"/>
        </w:rPr>
        <w:lastRenderedPageBreak/>
        <w:t>Customers who oppose the proposed surcharge believe they should not have to pay for what they consider poor business decisions. They believe Pope Resources</w:t>
      </w:r>
      <w:r>
        <w:rPr>
          <w:color w:val="000000"/>
        </w:rPr>
        <w:t xml:space="preserve"> </w:t>
      </w:r>
      <w:r>
        <w:t>or the water company</w:t>
      </w:r>
      <w:r w:rsidRPr="000F6208">
        <w:rPr>
          <w:color w:val="000000"/>
        </w:rPr>
        <w:t xml:space="preserve"> should be responsible for all costs related to Well </w:t>
      </w:r>
      <w:r>
        <w:rPr>
          <w:color w:val="000000"/>
        </w:rPr>
        <w:t xml:space="preserve">No. </w:t>
      </w:r>
      <w:r w:rsidRPr="000F6208">
        <w:rPr>
          <w:color w:val="000000"/>
        </w:rPr>
        <w:t xml:space="preserve">17. </w:t>
      </w:r>
    </w:p>
    <w:p w14:paraId="5DABBB2A" w14:textId="77777777" w:rsidR="00664875" w:rsidRDefault="00664875" w:rsidP="00664875">
      <w:pPr>
        <w:ind w:firstLine="720"/>
      </w:pPr>
    </w:p>
    <w:p w14:paraId="20382AF4" w14:textId="77777777" w:rsidR="00664875" w:rsidRPr="00406F80" w:rsidRDefault="00664875" w:rsidP="00664875">
      <w:pPr>
        <w:numPr>
          <w:ilvl w:val="0"/>
          <w:numId w:val="31"/>
        </w:numPr>
        <w:ind w:left="720" w:hanging="360"/>
      </w:pPr>
      <w:r>
        <w:t xml:space="preserve">Customers in favor of the surcharge believe the company made a good faith effort to                                                                                                                   increase water supply to the community. They are willing to pay the surcharge.                                                                                            </w:t>
      </w:r>
    </w:p>
    <w:p w14:paraId="25D48D50" w14:textId="77777777" w:rsidR="00664875" w:rsidRDefault="00664875" w:rsidP="00664875"/>
    <w:p w14:paraId="663DF227" w14:textId="77777777" w:rsidR="00664875" w:rsidRDefault="00664875" w:rsidP="00664875">
      <w:pPr>
        <w:ind w:left="719"/>
      </w:pPr>
      <w:r>
        <w:rPr>
          <w:b/>
          <w:color w:val="000000"/>
        </w:rPr>
        <w:t>Staff Response</w:t>
      </w:r>
    </w:p>
    <w:p w14:paraId="4B735DA7" w14:textId="38C141A2" w:rsidR="00664875" w:rsidRDefault="00664875" w:rsidP="00B644C2">
      <w:pPr>
        <w:ind w:left="719"/>
        <w:rPr>
          <w:color w:val="000000"/>
        </w:rPr>
      </w:pPr>
      <w:r>
        <w:rPr>
          <w:color w:val="000000"/>
        </w:rPr>
        <w:t>Staff informed the commenters that the proposed surcharge would be on the agenda of</w:t>
      </w:r>
      <w:r w:rsidR="00B644C2">
        <w:rPr>
          <w:color w:val="000000"/>
        </w:rPr>
        <w:t xml:space="preserve"> </w:t>
      </w:r>
      <w:r>
        <w:rPr>
          <w:color w:val="000000"/>
        </w:rPr>
        <w:t>the May 29, 2014, open meeting, along with information about how to participate in person or by phone.</w:t>
      </w:r>
    </w:p>
    <w:p w14:paraId="7D527B40" w14:textId="77777777" w:rsidR="00664875" w:rsidRDefault="00664875" w:rsidP="00664875">
      <w:pPr>
        <w:ind w:left="720"/>
      </w:pPr>
    </w:p>
    <w:p w14:paraId="1F03FDAF" w14:textId="6E5D68E9" w:rsidR="00B402B4" w:rsidRDefault="00B402B4" w:rsidP="00B402B4">
      <w:pPr>
        <w:rPr>
          <w:b/>
          <w:u w:val="single"/>
        </w:rPr>
      </w:pPr>
      <w:r w:rsidRPr="00935AF2">
        <w:rPr>
          <w:b/>
          <w:u w:val="single"/>
        </w:rPr>
        <w:t xml:space="preserve">Conclusion </w:t>
      </w:r>
    </w:p>
    <w:p w14:paraId="1F03FDB0" w14:textId="77777777" w:rsidR="009270B9" w:rsidRPr="009270B9" w:rsidRDefault="009270B9" w:rsidP="009270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5" w:lineRule="auto"/>
        <w:rPr>
          <w:rFonts w:eastAsia="Times New Roman"/>
          <w:lang w:bidi="ar-SA"/>
        </w:rPr>
      </w:pPr>
    </w:p>
    <w:p w14:paraId="1F03FDB1" w14:textId="7F1BB87D" w:rsidR="00704124" w:rsidRDefault="00204D11" w:rsidP="00C62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Pr>
          <w:rFonts w:eastAsia="Times New Roman"/>
          <w:color w:val="000000"/>
          <w:lang w:bidi="ar-SA"/>
        </w:rPr>
        <w:t xml:space="preserve">The company has filed to </w:t>
      </w:r>
      <w:r w:rsidR="009D2A93">
        <w:rPr>
          <w:rFonts w:eastAsia="Times New Roman"/>
          <w:color w:val="000000"/>
          <w:lang w:bidi="ar-SA"/>
        </w:rPr>
        <w:t>recover costs</w:t>
      </w:r>
      <w:r w:rsidR="00F60EAF">
        <w:rPr>
          <w:rFonts w:eastAsia="Times New Roman"/>
          <w:color w:val="000000"/>
          <w:lang w:bidi="ar-SA"/>
        </w:rPr>
        <w:t>,</w:t>
      </w:r>
      <w:r w:rsidR="009D2A93">
        <w:rPr>
          <w:rFonts w:eastAsia="Times New Roman"/>
          <w:color w:val="000000"/>
          <w:lang w:bidi="ar-SA"/>
        </w:rPr>
        <w:t xml:space="preserve"> </w:t>
      </w:r>
      <w:r w:rsidR="00F60EAF">
        <w:rPr>
          <w:rFonts w:eastAsia="Times New Roman"/>
          <w:color w:val="000000"/>
          <w:lang w:bidi="ar-SA"/>
        </w:rPr>
        <w:t xml:space="preserve">under condition 8a of Order 01, </w:t>
      </w:r>
      <w:r w:rsidR="009D2A93">
        <w:rPr>
          <w:rFonts w:eastAsia="Times New Roman"/>
          <w:color w:val="000000"/>
          <w:lang w:bidi="ar-SA"/>
        </w:rPr>
        <w:t>that were deferred</w:t>
      </w:r>
      <w:r>
        <w:rPr>
          <w:rFonts w:eastAsia="Times New Roman"/>
          <w:color w:val="000000"/>
          <w:lang w:bidi="ar-SA"/>
        </w:rPr>
        <w:t xml:space="preserve"> upon the commission approving the </w:t>
      </w:r>
      <w:r w:rsidR="00F23F28">
        <w:rPr>
          <w:rFonts w:eastAsia="Times New Roman"/>
          <w:color w:val="000000"/>
          <w:lang w:bidi="ar-SA"/>
        </w:rPr>
        <w:t>p</w:t>
      </w:r>
      <w:r>
        <w:rPr>
          <w:rFonts w:eastAsia="Times New Roman"/>
          <w:color w:val="000000"/>
          <w:lang w:bidi="ar-SA"/>
        </w:rPr>
        <w:t xml:space="preserve">etition </w:t>
      </w:r>
      <w:r w:rsidR="00F23F28">
        <w:rPr>
          <w:rFonts w:eastAsia="Times New Roman"/>
          <w:color w:val="000000"/>
          <w:lang w:bidi="ar-SA"/>
        </w:rPr>
        <w:t xml:space="preserve">for accounting order </w:t>
      </w:r>
      <w:r w:rsidR="00DA2FC8">
        <w:rPr>
          <w:rFonts w:eastAsia="Times New Roman"/>
          <w:color w:val="000000"/>
          <w:lang w:bidi="ar-SA"/>
        </w:rPr>
        <w:t>on</w:t>
      </w:r>
      <w:r>
        <w:rPr>
          <w:rFonts w:eastAsia="Times New Roman"/>
          <w:color w:val="000000"/>
          <w:lang w:bidi="ar-SA"/>
        </w:rPr>
        <w:t xml:space="preserve"> </w:t>
      </w:r>
      <w:r w:rsidR="009D2A93">
        <w:rPr>
          <w:rFonts w:eastAsia="Times New Roman"/>
          <w:color w:val="000000"/>
          <w:lang w:bidi="ar-SA"/>
        </w:rPr>
        <w:t>September 17, 2011</w:t>
      </w:r>
      <w:r>
        <w:rPr>
          <w:rFonts w:eastAsia="Times New Roman"/>
          <w:color w:val="000000"/>
          <w:lang w:bidi="ar-SA"/>
        </w:rPr>
        <w:t>.</w:t>
      </w:r>
      <w:r>
        <w:rPr>
          <w:rFonts w:eastAsia="Times New Roman"/>
          <w:lang w:bidi="ar-SA"/>
        </w:rPr>
        <w:t xml:space="preserve"> </w:t>
      </w:r>
    </w:p>
    <w:p w14:paraId="1F03FDB2" w14:textId="77777777" w:rsidR="0011477E" w:rsidRDefault="0011477E" w:rsidP="0011477E"/>
    <w:p w14:paraId="5F5F6650" w14:textId="61888B8F" w:rsidR="009F6646" w:rsidRDefault="009F6646" w:rsidP="009F6646">
      <w:r>
        <w:t xml:space="preserve">While selection of the well site at 781 Walker Way by the company involved risk which the company knew based on previous reviews and acknowledgements of prior contamination, </w:t>
      </w:r>
    </w:p>
    <w:p w14:paraId="06B3E87D" w14:textId="56E4E7DB" w:rsidR="00185D8A" w:rsidRDefault="00185D8A" w:rsidP="00185D8A">
      <w:r>
        <w:t xml:space="preserve">Staff believes </w:t>
      </w:r>
      <w:r w:rsidR="000735CF">
        <w:t xml:space="preserve">that drilling well No. 17 was reasonable based on the need for an additional source and issues associated with </w:t>
      </w:r>
      <w:r>
        <w:t>well</w:t>
      </w:r>
      <w:r w:rsidR="000735CF">
        <w:t>s</w:t>
      </w:r>
      <w:r>
        <w:t xml:space="preserve"> No. 2 and No. 3</w:t>
      </w:r>
      <w:r w:rsidRPr="003E1859">
        <w:t>.</w:t>
      </w:r>
      <w:r>
        <w:t xml:space="preserve"> </w:t>
      </w:r>
      <w:r w:rsidR="003B16ED">
        <w:t>Moreover, t</w:t>
      </w:r>
      <w:r w:rsidR="00DC0379" w:rsidRPr="00DC0379">
        <w:t>he company drilled well No. 17 after considering the geologic report, the removal of the USTs and contamination remediation in 1990, the potential for future contamination, the proximity to Well No. 2, which was located closer to the 1990 UST site and showed no contamination, the location of Well No. 17 further from the 1990 UST site and further than DOH recommendation, and the costs of other identified options.</w:t>
      </w:r>
      <w:r w:rsidR="00DC0379">
        <w:t xml:space="preserve"> </w:t>
      </w:r>
      <w:r w:rsidRPr="003E1859">
        <w:t xml:space="preserve">Once drilling started and contamination was found the company </w:t>
      </w:r>
      <w:r w:rsidR="00A52DC8">
        <w:t xml:space="preserve">immediately </w:t>
      </w:r>
      <w:r w:rsidRPr="003E1859">
        <w:t>stopped drilling and began its investigations. Well No. 2 was tested and found to contain no contamination and the</w:t>
      </w:r>
      <w:r>
        <w:t xml:space="preserve"> company expanded its investigation to the surrounding area</w:t>
      </w:r>
      <w:r w:rsidR="009249F4">
        <w:t xml:space="preserve"> to determine the extent of contamination</w:t>
      </w:r>
      <w:r>
        <w:t>.</w:t>
      </w:r>
      <w:r w:rsidR="00337207">
        <w:t xml:space="preserve"> </w:t>
      </w:r>
    </w:p>
    <w:p w14:paraId="3EEAAF3E" w14:textId="77777777" w:rsidR="00185D8A" w:rsidRDefault="00185D8A" w:rsidP="009D2A93"/>
    <w:p w14:paraId="08D361EB" w14:textId="14A84238" w:rsidR="003E1859" w:rsidRDefault="009D2A93" w:rsidP="009D2A93">
      <w:r>
        <w:t>Commission staff has review</w:t>
      </w:r>
      <w:r w:rsidR="00F60EAF">
        <w:t>ed</w:t>
      </w:r>
      <w:r>
        <w:t xml:space="preserve"> the company’s </w:t>
      </w:r>
      <w:r w:rsidR="00F60EAF">
        <w:t xml:space="preserve">filing </w:t>
      </w:r>
      <w:r w:rsidR="00E62DDB">
        <w:t xml:space="preserve">to recover the </w:t>
      </w:r>
      <w:r w:rsidR="00F60EAF">
        <w:t xml:space="preserve">cost of </w:t>
      </w:r>
      <w:r w:rsidR="00E62DDB">
        <w:t xml:space="preserve">drilling </w:t>
      </w:r>
      <w:r w:rsidR="00D84A94">
        <w:t>Well</w:t>
      </w:r>
      <w:r w:rsidR="00F60EAF">
        <w:t xml:space="preserve"> </w:t>
      </w:r>
      <w:r w:rsidR="00F52F18">
        <w:t>No</w:t>
      </w:r>
      <w:r w:rsidR="00185D8A">
        <w:t xml:space="preserve">. </w:t>
      </w:r>
      <w:r w:rsidR="00F60EAF">
        <w:t>17, investigation cost</w:t>
      </w:r>
      <w:r w:rsidR="00DA2FC8">
        <w:t>s</w:t>
      </w:r>
      <w:r w:rsidR="00F60EAF">
        <w:t xml:space="preserve"> after </w:t>
      </w:r>
      <w:r w:rsidR="00DA2FC8">
        <w:t xml:space="preserve">the </w:t>
      </w:r>
      <w:r w:rsidR="00F60EAF">
        <w:t xml:space="preserve">contamination </w:t>
      </w:r>
      <w:r w:rsidR="00DA2FC8">
        <w:t xml:space="preserve">was </w:t>
      </w:r>
      <w:r w:rsidR="00F60EAF">
        <w:t>discovered, legal cost</w:t>
      </w:r>
      <w:r w:rsidR="00DA2FC8">
        <w:t>s</w:t>
      </w:r>
      <w:r w:rsidR="00F60EAF">
        <w:t xml:space="preserve"> for reviews and </w:t>
      </w:r>
      <w:r w:rsidR="00C20CF1">
        <w:t>negotiations</w:t>
      </w:r>
      <w:r w:rsidR="00DA2FC8">
        <w:t>,</w:t>
      </w:r>
      <w:r w:rsidR="00F60EAF">
        <w:t xml:space="preserve"> and </w:t>
      </w:r>
      <w:r w:rsidR="00DA2FC8">
        <w:t xml:space="preserve">the cost of the </w:t>
      </w:r>
      <w:r w:rsidR="00F60EAF">
        <w:t>company</w:t>
      </w:r>
      <w:r w:rsidR="00DA2FC8">
        <w:t xml:space="preserve">’s </w:t>
      </w:r>
      <w:r w:rsidR="00F60EAF">
        <w:t xml:space="preserve">notice </w:t>
      </w:r>
      <w:r w:rsidR="00DA2FC8">
        <w:t>to customers</w:t>
      </w:r>
      <w:r w:rsidR="00F60EAF">
        <w:t xml:space="preserve">. </w:t>
      </w:r>
      <w:r w:rsidR="00DA2FC8">
        <w:t>S</w:t>
      </w:r>
      <w:r w:rsidR="000F48BF">
        <w:t xml:space="preserve">taff </w:t>
      </w:r>
      <w:r w:rsidR="00F1000F">
        <w:t>has also reviewed the compr</w:t>
      </w:r>
      <w:r w:rsidR="00E62DDB">
        <w:t>om</w:t>
      </w:r>
      <w:r w:rsidR="00F1000F">
        <w:t xml:space="preserve">ise </w:t>
      </w:r>
      <w:r w:rsidR="003E1859">
        <w:t>letter</w:t>
      </w:r>
      <w:r w:rsidR="00F1000F">
        <w:t xml:space="preserve"> between the company and the Port Ludlow Village Council in support of the revised filing. </w:t>
      </w:r>
    </w:p>
    <w:p w14:paraId="488B83F0" w14:textId="77777777" w:rsidR="00EA50D0" w:rsidRDefault="00EA50D0" w:rsidP="009D2A93"/>
    <w:p w14:paraId="6B987CF4" w14:textId="16011B6A" w:rsidR="00EA50D0" w:rsidRDefault="00DA75C9" w:rsidP="009D2A93">
      <w:r>
        <w:t xml:space="preserve">The compromise letter outlines the revised and deferred treatment proposal shown in the </w:t>
      </w:r>
      <w:r w:rsidR="00EA50D0">
        <w:t xml:space="preserve">table of </w:t>
      </w:r>
      <w:r>
        <w:t xml:space="preserve">summary </w:t>
      </w:r>
      <w:r w:rsidR="00EA50D0">
        <w:t xml:space="preserve">of cost </w:t>
      </w:r>
      <w:r w:rsidR="00B703A5">
        <w:t xml:space="preserve">recovery </w:t>
      </w:r>
      <w:r w:rsidR="00EA50D0">
        <w:t xml:space="preserve">Well No. 17 </w:t>
      </w:r>
      <w:r>
        <w:t xml:space="preserve">above. </w:t>
      </w:r>
      <w:r w:rsidR="00EA50D0">
        <w:t>The letter notes</w:t>
      </w:r>
      <w:r w:rsidR="00826439">
        <w:t xml:space="preserve">: </w:t>
      </w:r>
      <w:r w:rsidR="00EA50D0">
        <w:t xml:space="preserve"> “OWSI acknowledges that </w:t>
      </w:r>
      <w:r w:rsidR="00B703A5">
        <w:t>t</w:t>
      </w:r>
      <w:r w:rsidR="00EA50D0">
        <w:t xml:space="preserve">his compromise surcharge will be non-precedential as to any future rate-making of OWSI related to the subject property, soil or groundwater site contamination, or costs attributable to </w:t>
      </w:r>
      <w:r w:rsidR="00B703A5">
        <w:t>W</w:t>
      </w:r>
      <w:r w:rsidR="00EA50D0">
        <w:t>ell #2 or Well #17.” “Further, OWSI is willing to commit to its customer base that i</w:t>
      </w:r>
      <w:r w:rsidR="00B703A5">
        <w:t>f</w:t>
      </w:r>
      <w:r w:rsidR="00EA50D0">
        <w:t xml:space="preserve"> OWSI elects to drill a new water supply well at the property commonly </w:t>
      </w:r>
      <w:r w:rsidR="00337207">
        <w:t xml:space="preserve">referred to as 781 Walker Way, Port Ludlow, Washington and identified by Jefferson </w:t>
      </w:r>
      <w:r w:rsidR="00B703A5">
        <w:t>C</w:t>
      </w:r>
      <w:r w:rsidR="00337207">
        <w:t>ounty Assessor’s Tax Parcel No. 821084004 in the future, and encounters additional contamination, OWSI will not file for recovery of costs for future well drilling costs associated with an attempted well not placed into production, or environmental site investigation or remediation costs arising under or resulting from any such future well drilling.”</w:t>
      </w:r>
    </w:p>
    <w:p w14:paraId="66CE9F14" w14:textId="77777777" w:rsidR="00EA50D0" w:rsidRDefault="00EA50D0" w:rsidP="009D2A93"/>
    <w:p w14:paraId="74781AE8" w14:textId="53FE88B0" w:rsidR="003E1859" w:rsidRDefault="006830E8" w:rsidP="009D2A93">
      <w:r>
        <w:t>Staff notes the following two conditions:</w:t>
      </w:r>
    </w:p>
    <w:p w14:paraId="7C5036C0" w14:textId="77777777" w:rsidR="00EA50D0" w:rsidRDefault="00EA50D0" w:rsidP="009D2A93"/>
    <w:p w14:paraId="0D8E4F7F" w14:textId="1CEE4816" w:rsidR="006830E8" w:rsidRDefault="006830E8" w:rsidP="006830E8">
      <w:pPr>
        <w:pStyle w:val="ListParagraph"/>
        <w:numPr>
          <w:ilvl w:val="3"/>
          <w:numId w:val="31"/>
        </w:numPr>
        <w:tabs>
          <w:tab w:val="left" w:pos="1080"/>
        </w:tabs>
      </w:pPr>
      <w:r>
        <w:t>Allowance of deferred accounting makes no determination of ratemaking treatment of any deferred cost and does not constitu</w:t>
      </w:r>
      <w:r w:rsidR="00EA50D0">
        <w:t>t</w:t>
      </w:r>
      <w:r>
        <w:t>e regulatory assurance that the deferred amount will be recovered, in whole or part, in any future rate proceeding.</w:t>
      </w:r>
    </w:p>
    <w:p w14:paraId="2C515DE2" w14:textId="77777777" w:rsidR="00EA50D0" w:rsidRDefault="00EA50D0" w:rsidP="00EA50D0">
      <w:pPr>
        <w:pStyle w:val="ListParagraph"/>
        <w:tabs>
          <w:tab w:val="left" w:pos="1080"/>
        </w:tabs>
      </w:pPr>
    </w:p>
    <w:p w14:paraId="23F12D0F" w14:textId="65AF9B86" w:rsidR="006830E8" w:rsidRDefault="006830E8" w:rsidP="006830E8">
      <w:pPr>
        <w:pStyle w:val="ListParagraph"/>
        <w:numPr>
          <w:ilvl w:val="3"/>
          <w:numId w:val="31"/>
        </w:numPr>
        <w:tabs>
          <w:tab w:val="left" w:pos="1080"/>
        </w:tabs>
      </w:pPr>
      <w:r>
        <w:t xml:space="preserve">Deferred </w:t>
      </w:r>
      <w:r w:rsidR="00EA50D0">
        <w:t xml:space="preserve">accounting does not determine whether any of the company’s decisions or incurred costs associated with drilling Well No. 17, or with investigating or remediating soil contamination were prudent, whether or not the company exercised due diligence in pursuing compensation from third parties for soil contamination, what portion of costs, if any, </w:t>
      </w:r>
      <w:r w:rsidR="00EA50D0">
        <w:lastRenderedPageBreak/>
        <w:t>should customers ultimately bear, or how those costs, if any, should be recovered. All of these issues will be considered by the commission during any tariff revision proceeding in which the company seeks to recover deferred costs</w:t>
      </w:r>
    </w:p>
    <w:p w14:paraId="3EAD23AD" w14:textId="77777777" w:rsidR="003E1859" w:rsidRDefault="003E1859" w:rsidP="009D2A93"/>
    <w:p w14:paraId="5A9B3083" w14:textId="30602BAB" w:rsidR="009D2A93" w:rsidRDefault="00F1000F" w:rsidP="009D2A93">
      <w:r>
        <w:t xml:space="preserve">Staff </w:t>
      </w:r>
      <w:r w:rsidR="005C112B">
        <w:t xml:space="preserve">recommends </w:t>
      </w:r>
      <w:r w:rsidR="00E62DDB">
        <w:t xml:space="preserve">approving the </w:t>
      </w:r>
      <w:r w:rsidR="003E1859">
        <w:t xml:space="preserve">revised filing </w:t>
      </w:r>
      <w:r w:rsidR="00E62DDB">
        <w:t xml:space="preserve">that will </w:t>
      </w:r>
      <w:r w:rsidR="005C112B">
        <w:t>reduc</w:t>
      </w:r>
      <w:r w:rsidR="00E62DDB">
        <w:t>e</w:t>
      </w:r>
      <w:r w:rsidR="000F48BF">
        <w:t xml:space="preserve"> the </w:t>
      </w:r>
      <w:r w:rsidR="00D84A94">
        <w:t>Well</w:t>
      </w:r>
      <w:r w:rsidR="000F48BF">
        <w:t xml:space="preserve"> </w:t>
      </w:r>
      <w:r w:rsidR="00F52F18">
        <w:t xml:space="preserve">No. </w:t>
      </w:r>
      <w:r w:rsidR="000F48BF">
        <w:t xml:space="preserve">17 surcharge from $2.70 </w:t>
      </w:r>
      <w:r w:rsidR="00E62DDB">
        <w:t xml:space="preserve">per month </w:t>
      </w:r>
      <w:r w:rsidR="000F48BF">
        <w:t>to $1.</w:t>
      </w:r>
      <w:r w:rsidR="009F0695">
        <w:t>92</w:t>
      </w:r>
      <w:r w:rsidR="000F48BF">
        <w:t xml:space="preserve"> per month for a period of 38 months.</w:t>
      </w:r>
    </w:p>
    <w:p w14:paraId="1F03FDB6" w14:textId="77777777" w:rsidR="003C73AC" w:rsidRPr="00B1586B" w:rsidRDefault="003C73AC" w:rsidP="003C73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0" w:lineRule="auto"/>
      </w:pPr>
    </w:p>
    <w:p w14:paraId="1F03FDB7" w14:textId="77777777" w:rsidR="00B402B4" w:rsidRDefault="00B402B4" w:rsidP="00B402B4">
      <w:pPr>
        <w:rPr>
          <w:b/>
          <w:u w:val="single"/>
        </w:rPr>
      </w:pPr>
      <w:r>
        <w:rPr>
          <w:b/>
          <w:u w:val="single"/>
        </w:rPr>
        <w:t>Recommendat</w:t>
      </w:r>
      <w:r w:rsidRPr="00935AF2">
        <w:rPr>
          <w:b/>
          <w:u w:val="single"/>
        </w:rPr>
        <w:t>ion</w:t>
      </w:r>
      <w:r w:rsidR="00CB1B63">
        <w:rPr>
          <w:b/>
          <w:u w:val="single"/>
        </w:rPr>
        <w:t>s</w:t>
      </w:r>
      <w:r w:rsidRPr="00935AF2">
        <w:rPr>
          <w:b/>
          <w:u w:val="single"/>
        </w:rPr>
        <w:t xml:space="preserve"> </w:t>
      </w:r>
    </w:p>
    <w:p w14:paraId="65C87073" w14:textId="77777777" w:rsidR="00664875" w:rsidRDefault="00664875" w:rsidP="00664875">
      <w:pPr>
        <w:widowControl w:val="0"/>
        <w:autoSpaceDE w:val="0"/>
        <w:autoSpaceDN w:val="0"/>
        <w:adjustRightInd w:val="0"/>
        <w:rPr>
          <w:rFonts w:eastAsia="Times New Roman"/>
          <w:color w:val="000000"/>
          <w:lang w:bidi="ar-SA"/>
        </w:rPr>
      </w:pPr>
    </w:p>
    <w:p w14:paraId="558ECD42" w14:textId="77777777" w:rsidR="00664875" w:rsidRDefault="00664875" w:rsidP="00664875">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t xml:space="preserve">Dismiss the </w:t>
      </w:r>
      <w:r w:rsidRPr="006073C4">
        <w:t>Complaint and Order Suspending the Tariff Revisions filed by</w:t>
      </w:r>
      <w:r>
        <w:t xml:space="preserve"> Olympic Water and Sewer</w:t>
      </w:r>
      <w:r w:rsidRPr="006073C4">
        <w:t xml:space="preserve">, Inc., </w:t>
      </w:r>
      <w:r>
        <w:t>in Docket UW-110436 dated April 10</w:t>
      </w:r>
      <w:r w:rsidRPr="006D62FC">
        <w:t>, 2014.</w:t>
      </w:r>
      <w:r w:rsidRPr="004C73F1">
        <w:t xml:space="preserve"> </w:t>
      </w:r>
    </w:p>
    <w:p w14:paraId="626542E1" w14:textId="77777777" w:rsidR="00664875" w:rsidRDefault="00664875" w:rsidP="006648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04548CDD" w14:textId="290B0860" w:rsidR="00D24204" w:rsidRDefault="00664875" w:rsidP="00D24204">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pPr>
      <w:r w:rsidRPr="00AA4488">
        <w:t>Allow the revised rates and tariff revision</w:t>
      </w:r>
      <w:r>
        <w:t>s</w:t>
      </w:r>
      <w:r w:rsidRPr="00AA4488">
        <w:t xml:space="preserve"> filed by </w:t>
      </w:r>
      <w:r>
        <w:t>Olympic Water and Sewer, Inc.,</w:t>
      </w:r>
      <w:r w:rsidRPr="00AA4488">
        <w:t xml:space="preserve"> on </w:t>
      </w:r>
      <w:r w:rsidRPr="002675B9">
        <w:t>August 22, 2014</w:t>
      </w:r>
      <w:r>
        <w:t xml:space="preserve">, </w:t>
      </w:r>
      <w:r w:rsidRPr="00AA4488">
        <w:t xml:space="preserve">to become effective </w:t>
      </w:r>
      <w:r w:rsidR="002E0F52">
        <w:t xml:space="preserve">September </w:t>
      </w:r>
      <w:r>
        <w:t>1</w:t>
      </w:r>
      <w:r w:rsidRPr="00AA4488">
        <w:t>, 201</w:t>
      </w:r>
      <w:r>
        <w:t>4</w:t>
      </w:r>
      <w:r w:rsidRPr="00AA4488">
        <w:t>.</w:t>
      </w:r>
    </w:p>
    <w:p w14:paraId="24DEC973" w14:textId="77777777" w:rsidR="00D24204" w:rsidRDefault="00D24204" w:rsidP="0026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ind w:left="720"/>
      </w:pPr>
    </w:p>
    <w:p w14:paraId="22E7C7EB" w14:textId="7D9E7D2E" w:rsidR="00664875" w:rsidRPr="00DC0379" w:rsidRDefault="00D24204" w:rsidP="00E56E06">
      <w:pPr>
        <w:widowControl w:val="0"/>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23" w:lineRule="auto"/>
        <w:rPr>
          <w:rFonts w:eastAsia="Times New Roman"/>
          <w:color w:val="000000"/>
          <w:lang w:bidi="ar-SA"/>
        </w:rPr>
      </w:pPr>
      <w:r>
        <w:t>Issue an Order Allowing Deferral of Well No. 17 drilling and partial legal cost to be included in the replacement source of supply for the North Aquifer Well System.</w:t>
      </w:r>
    </w:p>
    <w:sectPr w:rsidR="00664875" w:rsidRPr="00DC0379" w:rsidSect="00F148C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45CFD" w14:textId="77777777" w:rsidR="00CA4357" w:rsidRDefault="00CA4357" w:rsidP="00BE5610">
      <w:r>
        <w:separator/>
      </w:r>
    </w:p>
  </w:endnote>
  <w:endnote w:type="continuationSeparator" w:id="0">
    <w:p w14:paraId="1EF78EB2" w14:textId="77777777" w:rsidR="00CA4357" w:rsidRDefault="00CA4357" w:rsidP="00BE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0380A" w14:textId="77777777" w:rsidR="00CA4357" w:rsidRDefault="00CA4357" w:rsidP="00BE5610">
      <w:r>
        <w:separator/>
      </w:r>
    </w:p>
  </w:footnote>
  <w:footnote w:type="continuationSeparator" w:id="0">
    <w:p w14:paraId="6E6FA833" w14:textId="77777777" w:rsidR="00CA4357" w:rsidRDefault="00CA4357" w:rsidP="00BE5610">
      <w:r>
        <w:continuationSeparator/>
      </w:r>
    </w:p>
  </w:footnote>
  <w:footnote w:id="1">
    <w:p w14:paraId="60D274BD" w14:textId="77777777" w:rsidR="00DB058A" w:rsidRPr="003D05F8" w:rsidRDefault="00DB058A" w:rsidP="00655135">
      <w:pPr>
        <w:pStyle w:val="FootnoteText"/>
        <w:rPr>
          <w:rFonts w:ascii="Times New Roman" w:hAnsi="Times New Roman"/>
        </w:rPr>
      </w:pPr>
      <w:r w:rsidRPr="003D05F8">
        <w:rPr>
          <w:rStyle w:val="FootnoteReference"/>
          <w:rFonts w:ascii="Times New Roman" w:hAnsi="Times New Roman"/>
        </w:rPr>
        <w:footnoteRef/>
      </w:r>
      <w:r w:rsidRPr="003D05F8">
        <w:rPr>
          <w:rFonts w:ascii="Times New Roman" w:hAnsi="Times New Roman"/>
        </w:rPr>
        <w:t xml:space="preserve"> February 28, 2008 Scope of Work, Robinson Noble.</w:t>
      </w:r>
    </w:p>
  </w:footnote>
  <w:footnote w:id="2">
    <w:p w14:paraId="04D57332" w14:textId="77777777" w:rsidR="00DB058A" w:rsidRPr="003D05F8" w:rsidRDefault="00DB058A" w:rsidP="00655135">
      <w:pPr>
        <w:pStyle w:val="FootnoteText"/>
        <w:rPr>
          <w:rFonts w:ascii="Times New Roman" w:hAnsi="Times New Roman"/>
        </w:rPr>
      </w:pPr>
      <w:r w:rsidRPr="003D05F8">
        <w:rPr>
          <w:rStyle w:val="FootnoteReference"/>
          <w:rFonts w:ascii="Times New Roman" w:hAnsi="Times New Roman"/>
        </w:rPr>
        <w:footnoteRef/>
      </w:r>
      <w:r w:rsidRPr="003D05F8">
        <w:rPr>
          <w:rFonts w:ascii="Times New Roman" w:hAnsi="Times New Roman"/>
        </w:rPr>
        <w:t xml:space="preserve"> 2005-2009 Annual report on the Port Ludlow area groundwater monitoring program for Port Ludlow Associates, LLC Pages 2-3.</w:t>
      </w:r>
    </w:p>
  </w:footnote>
  <w:footnote w:id="3">
    <w:p w14:paraId="0BB0F44C" w14:textId="77777777" w:rsidR="00DB058A" w:rsidRPr="003D05F8" w:rsidRDefault="00DB058A" w:rsidP="00655135">
      <w:pPr>
        <w:pStyle w:val="FootnoteText"/>
        <w:rPr>
          <w:rFonts w:ascii="Times New Roman" w:hAnsi="Times New Roman"/>
        </w:rPr>
      </w:pPr>
      <w:r w:rsidRPr="003D05F8">
        <w:rPr>
          <w:rStyle w:val="FootnoteReference"/>
          <w:rFonts w:ascii="Times New Roman" w:hAnsi="Times New Roman"/>
        </w:rPr>
        <w:footnoteRef/>
      </w:r>
      <w:r w:rsidRPr="003D05F8">
        <w:rPr>
          <w:rFonts w:ascii="Times New Roman" w:hAnsi="Times New Roman"/>
        </w:rPr>
        <w:t xml:space="preserve"> Response Data Request 1, question 3, page 7.</w:t>
      </w:r>
    </w:p>
  </w:footnote>
  <w:footnote w:id="4">
    <w:p w14:paraId="1E98C4C1" w14:textId="77777777" w:rsidR="00DB058A" w:rsidRPr="003D05F8" w:rsidRDefault="00DB058A" w:rsidP="00655135">
      <w:pPr>
        <w:pStyle w:val="FootnoteText"/>
        <w:rPr>
          <w:rFonts w:ascii="Times New Roman" w:hAnsi="Times New Roman"/>
        </w:rPr>
      </w:pPr>
      <w:r w:rsidRPr="003D05F8">
        <w:rPr>
          <w:rStyle w:val="FootnoteReference"/>
          <w:rFonts w:ascii="Times New Roman" w:hAnsi="Times New Roman"/>
        </w:rPr>
        <w:footnoteRef/>
      </w:r>
      <w:r w:rsidRPr="003D05F8">
        <w:rPr>
          <w:rFonts w:ascii="Times New Roman" w:hAnsi="Times New Roman"/>
        </w:rPr>
        <w:t xml:space="preserve"> Applied Geotechnology Inc., Hydrocarbon Contamination Assessment and Underground Storage Tank Removal, dated March 4, 1991.</w:t>
      </w:r>
    </w:p>
  </w:footnote>
  <w:footnote w:id="5">
    <w:p w14:paraId="65C0DBFB" w14:textId="77777777" w:rsidR="00DB058A" w:rsidRPr="003D05F8" w:rsidRDefault="00DB058A" w:rsidP="00655135">
      <w:pPr>
        <w:pStyle w:val="FootnoteText"/>
        <w:rPr>
          <w:rFonts w:ascii="Times New Roman" w:hAnsi="Times New Roman"/>
        </w:rPr>
      </w:pPr>
      <w:r w:rsidRPr="003D05F8">
        <w:rPr>
          <w:rStyle w:val="FootnoteReference"/>
          <w:rFonts w:ascii="Times New Roman" w:hAnsi="Times New Roman"/>
        </w:rPr>
        <w:footnoteRef/>
      </w:r>
      <w:r w:rsidRPr="003D05F8">
        <w:rPr>
          <w:rFonts w:ascii="Times New Roman" w:hAnsi="Times New Roman"/>
        </w:rPr>
        <w:t xml:space="preserve"> August – October 2007, emails between Olympic Water &amp; Sewer and Robinson, Noble &amp; Saltbush.</w:t>
      </w:r>
    </w:p>
  </w:footnote>
  <w:footnote w:id="6">
    <w:p w14:paraId="32C40B0B" w14:textId="30E38D1F" w:rsidR="00DB058A" w:rsidRPr="000D428F" w:rsidRDefault="00DB058A" w:rsidP="00655135">
      <w:pPr>
        <w:pStyle w:val="FootnoteText"/>
        <w:rPr>
          <w:rFonts w:ascii="Times New Roman" w:hAnsi="Times New Roman"/>
        </w:rPr>
      </w:pPr>
      <w:r>
        <w:rPr>
          <w:rStyle w:val="FootnoteReference"/>
        </w:rPr>
        <w:footnoteRef/>
      </w:r>
      <w:r>
        <w:t xml:space="preserve"> </w:t>
      </w:r>
      <w:r w:rsidRPr="000D428F">
        <w:rPr>
          <w:rFonts w:ascii="Times New Roman" w:hAnsi="Times New Roman"/>
        </w:rPr>
        <w:t xml:space="preserve">Settlement Agreement between Olympic Water and Sewer, Inc., </w:t>
      </w:r>
      <w:r w:rsidRPr="000D428F">
        <w:rPr>
          <w:rFonts w:ascii="Times New Roman" w:hAnsi="Times New Roman"/>
          <w:color w:val="000000"/>
          <w:lang w:bidi="en-US"/>
        </w:rPr>
        <w:t>Port Ludlow Associates LLC, Olympic Property Group and Pope Resources</w:t>
      </w:r>
      <w:r>
        <w:rPr>
          <w:rFonts w:ascii="Times New Roman" w:hAnsi="Times New Roman"/>
          <w:color w:val="000000"/>
          <w:lang w:bidi="en-US"/>
        </w:rPr>
        <w:t>,</w:t>
      </w:r>
      <w:r w:rsidRPr="000D428F">
        <w:rPr>
          <w:rFonts w:ascii="Times New Roman" w:hAnsi="Times New Roman"/>
          <w:color w:val="000000"/>
          <w:lang w:bidi="en-US"/>
        </w:rPr>
        <w:t xml:space="preserve"> page 6 dated May 21, 2013.</w:t>
      </w:r>
    </w:p>
  </w:footnote>
  <w:footnote w:id="7">
    <w:p w14:paraId="25E87D30" w14:textId="77777777" w:rsidR="00DB058A" w:rsidRPr="003D05F8" w:rsidRDefault="00DB058A" w:rsidP="00655135">
      <w:pPr>
        <w:pStyle w:val="FootnoteText"/>
        <w:rPr>
          <w:rFonts w:ascii="Times New Roman" w:hAnsi="Times New Roman"/>
        </w:rPr>
      </w:pPr>
      <w:r>
        <w:rPr>
          <w:rStyle w:val="FootnoteReference"/>
        </w:rPr>
        <w:footnoteRef/>
      </w:r>
      <w:r>
        <w:t xml:space="preserve"> </w:t>
      </w:r>
      <w:r w:rsidRPr="003D05F8">
        <w:rPr>
          <w:rFonts w:ascii="Times New Roman" w:hAnsi="Times New Roman"/>
        </w:rPr>
        <w:t>Model Toxics Control Act, chapter 70.105D RCW and chapter 173-340 WAC.</w:t>
      </w:r>
    </w:p>
  </w:footnote>
  <w:footnote w:id="8">
    <w:p w14:paraId="63176C42" w14:textId="77777777" w:rsidR="00DB058A" w:rsidRPr="003C639D" w:rsidRDefault="00DB058A" w:rsidP="00655135">
      <w:pPr>
        <w:pStyle w:val="FootnoteText"/>
        <w:rPr>
          <w:rFonts w:ascii="Times New Roman" w:hAnsi="Times New Roman"/>
        </w:rPr>
      </w:pPr>
      <w:r w:rsidRPr="003C639D">
        <w:rPr>
          <w:rStyle w:val="FootnoteReference"/>
          <w:rFonts w:ascii="Times New Roman" w:hAnsi="Times New Roman"/>
        </w:rPr>
        <w:footnoteRef/>
      </w:r>
      <w:r w:rsidRPr="003C639D">
        <w:rPr>
          <w:rFonts w:ascii="Times New Roman" w:hAnsi="Times New Roman"/>
        </w:rPr>
        <w:t xml:space="preserve"> Invoice Log of Company Spreadsheet Total cost of $246,858.</w:t>
      </w:r>
    </w:p>
  </w:footnote>
  <w:footnote w:id="9">
    <w:p w14:paraId="5758E56B" w14:textId="77777777" w:rsidR="00A45AD0" w:rsidRPr="007557EA" w:rsidRDefault="00A45AD0" w:rsidP="00A45AD0">
      <w:pPr>
        <w:pStyle w:val="FootnoteText"/>
        <w:rPr>
          <w:rFonts w:ascii="Times New Roman" w:hAnsi="Times New Roman"/>
        </w:rPr>
      </w:pPr>
      <w:r w:rsidRPr="007557EA">
        <w:rPr>
          <w:rStyle w:val="FootnoteReference"/>
          <w:rFonts w:ascii="Times New Roman" w:hAnsi="Times New Roman"/>
        </w:rPr>
        <w:footnoteRef/>
      </w:r>
      <w:r w:rsidRPr="007557EA">
        <w:rPr>
          <w:rFonts w:ascii="Times New Roman" w:hAnsi="Times New Roman"/>
        </w:rPr>
        <w:t xml:space="preserve"> Attachment 3, August 11, 2014, Letter from Olympic Water to Jim Ward, Compromise Proposal</w:t>
      </w:r>
    </w:p>
  </w:footnote>
  <w:footnote w:id="10">
    <w:p w14:paraId="1DB411A8" w14:textId="77777777" w:rsidR="00A52DC8" w:rsidRPr="007557EA" w:rsidRDefault="00A52DC8" w:rsidP="00A52DC8">
      <w:pPr>
        <w:pStyle w:val="FootnoteText"/>
        <w:rPr>
          <w:rFonts w:ascii="Times New Roman" w:hAnsi="Times New Roman"/>
        </w:rPr>
      </w:pPr>
      <w:r w:rsidRPr="007557EA">
        <w:rPr>
          <w:rStyle w:val="FootnoteReference"/>
          <w:rFonts w:ascii="Times New Roman" w:hAnsi="Times New Roman"/>
        </w:rPr>
        <w:footnoteRef/>
      </w:r>
      <w:r w:rsidRPr="007557EA">
        <w:rPr>
          <w:rFonts w:ascii="Times New Roman" w:hAnsi="Times New Roman"/>
        </w:rPr>
        <w:t xml:space="preserve"> Attachment 4, August 14, 2014, Letter from PLVC to Jim Ward, Supporting Compromise</w:t>
      </w:r>
    </w:p>
  </w:footnote>
  <w:footnote w:id="11">
    <w:p w14:paraId="7CF7C8EA" w14:textId="1D3A1AC4" w:rsidR="00DB4F48" w:rsidRPr="007557EA" w:rsidRDefault="00DB4F48">
      <w:pPr>
        <w:pStyle w:val="FootnoteText"/>
        <w:rPr>
          <w:rFonts w:ascii="Times New Roman" w:hAnsi="Times New Roman"/>
        </w:rPr>
      </w:pPr>
      <w:r>
        <w:rPr>
          <w:rStyle w:val="FootnoteReference"/>
        </w:rPr>
        <w:footnoteRef/>
      </w:r>
      <w:r>
        <w:t xml:space="preserve"> </w:t>
      </w:r>
      <w:r w:rsidRPr="007557EA">
        <w:rPr>
          <w:rFonts w:ascii="Times New Roman" w:hAnsi="Times New Roman"/>
        </w:rPr>
        <w:t xml:space="preserve">Port Ludlow Village Council (PLVC) Formed in 1999 as a representative body whose function is to foster and preserve the quality of life in Port Ludlow. PLVC </w:t>
      </w:r>
      <w:r w:rsidR="00BB5E52" w:rsidRPr="007557EA">
        <w:rPr>
          <w:rFonts w:ascii="Times New Roman" w:hAnsi="Times New Roman"/>
        </w:rPr>
        <w:t xml:space="preserve">can represent all property owners </w:t>
      </w:r>
      <w:r w:rsidR="00457C04" w:rsidRPr="007557EA">
        <w:rPr>
          <w:rFonts w:ascii="Times New Roman" w:hAnsi="Times New Roman"/>
        </w:rPr>
        <w:t xml:space="preserve">of the Port Ludlow Master Planned Resort (approximately 1,600) </w:t>
      </w:r>
      <w:r w:rsidR="00BB5E52" w:rsidRPr="007557EA">
        <w:rPr>
          <w:rFonts w:ascii="Times New Roman" w:hAnsi="Times New Roman"/>
        </w:rPr>
        <w:t xml:space="preserve">and </w:t>
      </w:r>
      <w:r w:rsidRPr="007557EA">
        <w:rPr>
          <w:rFonts w:ascii="Times New Roman" w:hAnsi="Times New Roman"/>
        </w:rPr>
        <w:t>functions very similar to a homeowners association with an elected council board with representatives elected based on population of the areas of North Bay, South Bay, and members representing the commercial and developer interest.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FDC2" w14:textId="6222D2F0" w:rsidR="00DB058A" w:rsidRPr="00296F3B" w:rsidRDefault="00DB058A" w:rsidP="00BE5610">
    <w:pPr>
      <w:pStyle w:val="Header"/>
      <w:rPr>
        <w:sz w:val="20"/>
        <w:szCs w:val="20"/>
      </w:rPr>
    </w:pPr>
    <w:r w:rsidRPr="00296F3B">
      <w:rPr>
        <w:sz w:val="20"/>
        <w:szCs w:val="20"/>
      </w:rPr>
      <w:t>Docket</w:t>
    </w:r>
    <w:r>
      <w:rPr>
        <w:sz w:val="20"/>
        <w:szCs w:val="20"/>
      </w:rPr>
      <w:t xml:space="preserve"> UW-110436</w:t>
    </w:r>
  </w:p>
  <w:p w14:paraId="1F03FDC3" w14:textId="172B868F" w:rsidR="00DB058A" w:rsidRPr="00296F3B" w:rsidRDefault="00CE0818" w:rsidP="00BE5610">
    <w:pPr>
      <w:pStyle w:val="Header"/>
      <w:rPr>
        <w:sz w:val="20"/>
        <w:szCs w:val="20"/>
      </w:rPr>
    </w:pPr>
    <w:r>
      <w:rPr>
        <w:sz w:val="20"/>
        <w:szCs w:val="20"/>
      </w:rPr>
      <w:t>August 28</w:t>
    </w:r>
    <w:r w:rsidR="00DB058A" w:rsidRPr="00296F3B">
      <w:rPr>
        <w:sz w:val="20"/>
        <w:szCs w:val="20"/>
      </w:rPr>
      <w:t>, 201</w:t>
    </w:r>
    <w:r w:rsidR="00DB058A">
      <w:rPr>
        <w:sz w:val="20"/>
        <w:szCs w:val="20"/>
      </w:rPr>
      <w:t>4</w:t>
    </w:r>
  </w:p>
  <w:p w14:paraId="1F03FDC4" w14:textId="77777777" w:rsidR="00DB058A" w:rsidRDefault="00DB058A" w:rsidP="00BE5610">
    <w:pPr>
      <w:pStyle w:val="Header"/>
      <w:rPr>
        <w:sz w:val="20"/>
        <w:szCs w:val="20"/>
      </w:rPr>
    </w:pPr>
    <w:r w:rsidRPr="00296F3B">
      <w:rPr>
        <w:sz w:val="20"/>
        <w:szCs w:val="20"/>
      </w:rPr>
      <w:t xml:space="preserve">Page </w:t>
    </w:r>
    <w:r w:rsidRPr="00296F3B">
      <w:rPr>
        <w:sz w:val="20"/>
        <w:szCs w:val="20"/>
      </w:rPr>
      <w:fldChar w:fldCharType="begin"/>
    </w:r>
    <w:r w:rsidRPr="00296F3B">
      <w:rPr>
        <w:sz w:val="20"/>
        <w:szCs w:val="20"/>
      </w:rPr>
      <w:instrText xml:space="preserve"> PAGE   \* MERGEFORMAT </w:instrText>
    </w:r>
    <w:r w:rsidRPr="00296F3B">
      <w:rPr>
        <w:sz w:val="20"/>
        <w:szCs w:val="20"/>
      </w:rPr>
      <w:fldChar w:fldCharType="separate"/>
    </w:r>
    <w:r w:rsidR="009E03EA">
      <w:rPr>
        <w:noProof/>
        <w:sz w:val="20"/>
        <w:szCs w:val="20"/>
      </w:rPr>
      <w:t>2</w:t>
    </w:r>
    <w:r w:rsidRPr="00296F3B">
      <w:rPr>
        <w:sz w:val="20"/>
        <w:szCs w:val="20"/>
      </w:rPr>
      <w:fldChar w:fldCharType="end"/>
    </w:r>
  </w:p>
  <w:p w14:paraId="1F03FDC5" w14:textId="77777777" w:rsidR="00DB058A" w:rsidRPr="00296F3B" w:rsidRDefault="00DB058A" w:rsidP="00BE5610">
    <w:pPr>
      <w:pStyle w:val="Header"/>
      <w:rPr>
        <w:sz w:val="20"/>
        <w:szCs w:val="20"/>
      </w:rPr>
    </w:pPr>
  </w:p>
  <w:p w14:paraId="1F03FDC6" w14:textId="77777777" w:rsidR="00DB058A" w:rsidRDefault="00DB058A" w:rsidP="00BE5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53D1C1A"/>
    <w:multiLevelType w:val="hybridMultilevel"/>
    <w:tmpl w:val="ACC0E514"/>
    <w:lvl w:ilvl="0" w:tplc="E8D82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7FFD"/>
    <w:multiLevelType w:val="hybridMultilevel"/>
    <w:tmpl w:val="E2CAF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76EA3"/>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775B3A"/>
    <w:multiLevelType w:val="hybridMultilevel"/>
    <w:tmpl w:val="137E20D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0010EF"/>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D3389"/>
    <w:multiLevelType w:val="hybridMultilevel"/>
    <w:tmpl w:val="D9E6CBEE"/>
    <w:lvl w:ilvl="0" w:tplc="272E71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C687E"/>
    <w:multiLevelType w:val="hybridMultilevel"/>
    <w:tmpl w:val="3D987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C76F96"/>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E635A"/>
    <w:multiLevelType w:val="hybridMultilevel"/>
    <w:tmpl w:val="DAD267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45C16"/>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9036CE"/>
    <w:multiLevelType w:val="hybridMultilevel"/>
    <w:tmpl w:val="2B4435AA"/>
    <w:lvl w:ilvl="0" w:tplc="C696203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71B4A"/>
    <w:multiLevelType w:val="hybridMultilevel"/>
    <w:tmpl w:val="F56CE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277A8"/>
    <w:multiLevelType w:val="hybridMultilevel"/>
    <w:tmpl w:val="0B5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B2267"/>
    <w:multiLevelType w:val="hybridMultilevel"/>
    <w:tmpl w:val="69F43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36607"/>
    <w:multiLevelType w:val="hybridMultilevel"/>
    <w:tmpl w:val="14C8832A"/>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571F6"/>
    <w:multiLevelType w:val="hybridMultilevel"/>
    <w:tmpl w:val="102A9EC4"/>
    <w:lvl w:ilvl="0" w:tplc="E1F89D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01203"/>
    <w:multiLevelType w:val="hybridMultilevel"/>
    <w:tmpl w:val="BD70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FE208C"/>
    <w:multiLevelType w:val="hybridMultilevel"/>
    <w:tmpl w:val="8E5C0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586B5F"/>
    <w:multiLevelType w:val="hybridMultilevel"/>
    <w:tmpl w:val="E4E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53620A"/>
    <w:multiLevelType w:val="hybridMultilevel"/>
    <w:tmpl w:val="C776A72A"/>
    <w:lvl w:ilvl="0" w:tplc="50E4AA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FE526B"/>
    <w:multiLevelType w:val="hybridMultilevel"/>
    <w:tmpl w:val="F7D09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EEB4F9A"/>
    <w:multiLevelType w:val="hybridMultilevel"/>
    <w:tmpl w:val="20A47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1EB51A3"/>
    <w:multiLevelType w:val="hybridMultilevel"/>
    <w:tmpl w:val="3AF8BB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4DB6F4D"/>
    <w:multiLevelType w:val="hybridMultilevel"/>
    <w:tmpl w:val="7B56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68B3150"/>
    <w:multiLevelType w:val="hybridMultilevel"/>
    <w:tmpl w:val="7D18A1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B51069"/>
    <w:multiLevelType w:val="hybridMultilevel"/>
    <w:tmpl w:val="295859AE"/>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8">
    <w:nsid w:val="6D0B1FC1"/>
    <w:multiLevelType w:val="hybridMultilevel"/>
    <w:tmpl w:val="1632D7CC"/>
    <w:lvl w:ilvl="0" w:tplc="94809802">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00C7E"/>
    <w:multiLevelType w:val="hybridMultilevel"/>
    <w:tmpl w:val="202A3F9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0F0A6A"/>
    <w:multiLevelType w:val="hybridMultilevel"/>
    <w:tmpl w:val="E3C0BBA4"/>
    <w:lvl w:ilvl="0" w:tplc="605641F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23"/>
  </w:num>
  <w:num w:numId="4">
    <w:abstractNumId w:val="25"/>
  </w:num>
  <w:num w:numId="5">
    <w:abstractNumId w:val="1"/>
  </w:num>
  <w:num w:numId="6">
    <w:abstractNumId w:val="3"/>
  </w:num>
  <w:num w:numId="7">
    <w:abstractNumId w:val="14"/>
  </w:num>
  <w:num w:numId="8">
    <w:abstractNumId w:val="26"/>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1"/>
  </w:num>
  <w:num w:numId="15">
    <w:abstractNumId w:val="10"/>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8"/>
  </w:num>
  <w:num w:numId="19">
    <w:abstractNumId w:val="20"/>
  </w:num>
  <w:num w:numId="20">
    <w:abstractNumId w:val="9"/>
  </w:num>
  <w:num w:numId="21">
    <w:abstractNumId w:val="3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13"/>
  </w:num>
  <w:num w:numId="26">
    <w:abstractNumId w:val="11"/>
  </w:num>
  <w:num w:numId="27">
    <w:abstractNumId w:val="16"/>
  </w:num>
  <w:num w:numId="28">
    <w:abstractNumId w:val="6"/>
  </w:num>
  <w:num w:numId="29">
    <w:abstractNumId w:val="19"/>
  </w:num>
  <w:num w:numId="30">
    <w:abstractNumId w:val="7"/>
  </w:num>
  <w:num w:numId="31">
    <w:abstractNumId w:val="0"/>
  </w:num>
  <w:num w:numId="32">
    <w:abstractNumId w:val="15"/>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DateAndTime/>
  <w:hideSpellingErrors/>
  <w:hideGrammaticalErrors/>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18"/>
    <w:rsid w:val="000020C4"/>
    <w:rsid w:val="00005828"/>
    <w:rsid w:val="00010C20"/>
    <w:rsid w:val="00011046"/>
    <w:rsid w:val="00015DD8"/>
    <w:rsid w:val="0002774D"/>
    <w:rsid w:val="00030B4E"/>
    <w:rsid w:val="0003714D"/>
    <w:rsid w:val="00043899"/>
    <w:rsid w:val="000458AC"/>
    <w:rsid w:val="0005270D"/>
    <w:rsid w:val="00053628"/>
    <w:rsid w:val="00054CC9"/>
    <w:rsid w:val="00055945"/>
    <w:rsid w:val="000625B1"/>
    <w:rsid w:val="0006481C"/>
    <w:rsid w:val="00066C40"/>
    <w:rsid w:val="0006708E"/>
    <w:rsid w:val="00070C76"/>
    <w:rsid w:val="00070E98"/>
    <w:rsid w:val="00072280"/>
    <w:rsid w:val="000734FD"/>
    <w:rsid w:val="000735CF"/>
    <w:rsid w:val="0008268C"/>
    <w:rsid w:val="00082892"/>
    <w:rsid w:val="00083BC4"/>
    <w:rsid w:val="00083D7B"/>
    <w:rsid w:val="00085451"/>
    <w:rsid w:val="00087D28"/>
    <w:rsid w:val="000908F4"/>
    <w:rsid w:val="000909CD"/>
    <w:rsid w:val="00090B62"/>
    <w:rsid w:val="00091DE4"/>
    <w:rsid w:val="00094B8B"/>
    <w:rsid w:val="00097E35"/>
    <w:rsid w:val="000B0C16"/>
    <w:rsid w:val="000B5EC8"/>
    <w:rsid w:val="000B78DD"/>
    <w:rsid w:val="000C1B0B"/>
    <w:rsid w:val="000C2481"/>
    <w:rsid w:val="000C3CFE"/>
    <w:rsid w:val="000C3D4F"/>
    <w:rsid w:val="000D01D2"/>
    <w:rsid w:val="000D3B16"/>
    <w:rsid w:val="000D3CE0"/>
    <w:rsid w:val="000D6DAF"/>
    <w:rsid w:val="000D706D"/>
    <w:rsid w:val="000E1DFC"/>
    <w:rsid w:val="000E50DD"/>
    <w:rsid w:val="000E640C"/>
    <w:rsid w:val="000E714E"/>
    <w:rsid w:val="000F29ED"/>
    <w:rsid w:val="000F48BF"/>
    <w:rsid w:val="000F5D27"/>
    <w:rsid w:val="000F6251"/>
    <w:rsid w:val="00103755"/>
    <w:rsid w:val="00111EF9"/>
    <w:rsid w:val="00112670"/>
    <w:rsid w:val="0011477E"/>
    <w:rsid w:val="00114B3D"/>
    <w:rsid w:val="0011507C"/>
    <w:rsid w:val="00116BC6"/>
    <w:rsid w:val="00116FB7"/>
    <w:rsid w:val="0012342E"/>
    <w:rsid w:val="00124C0B"/>
    <w:rsid w:val="00126930"/>
    <w:rsid w:val="0013089B"/>
    <w:rsid w:val="00130B3D"/>
    <w:rsid w:val="0013149D"/>
    <w:rsid w:val="0013280A"/>
    <w:rsid w:val="0013379A"/>
    <w:rsid w:val="0013423A"/>
    <w:rsid w:val="00136DD9"/>
    <w:rsid w:val="00140589"/>
    <w:rsid w:val="00141434"/>
    <w:rsid w:val="001423FE"/>
    <w:rsid w:val="00142B36"/>
    <w:rsid w:val="00143CDB"/>
    <w:rsid w:val="0014659D"/>
    <w:rsid w:val="00154718"/>
    <w:rsid w:val="001603B0"/>
    <w:rsid w:val="0016055D"/>
    <w:rsid w:val="0016348F"/>
    <w:rsid w:val="001648E7"/>
    <w:rsid w:val="0016545B"/>
    <w:rsid w:val="00171102"/>
    <w:rsid w:val="00173A9E"/>
    <w:rsid w:val="00173F60"/>
    <w:rsid w:val="00177491"/>
    <w:rsid w:val="001824D0"/>
    <w:rsid w:val="00184151"/>
    <w:rsid w:val="00185D8A"/>
    <w:rsid w:val="00187E0D"/>
    <w:rsid w:val="00190825"/>
    <w:rsid w:val="00191627"/>
    <w:rsid w:val="001A0A16"/>
    <w:rsid w:val="001A1500"/>
    <w:rsid w:val="001A1AA1"/>
    <w:rsid w:val="001C30BF"/>
    <w:rsid w:val="001C438A"/>
    <w:rsid w:val="001C5AB1"/>
    <w:rsid w:val="001C7DFD"/>
    <w:rsid w:val="001D2A48"/>
    <w:rsid w:val="001D2F7A"/>
    <w:rsid w:val="001D4BFC"/>
    <w:rsid w:val="001E0047"/>
    <w:rsid w:val="001E0702"/>
    <w:rsid w:val="001E11F9"/>
    <w:rsid w:val="001E1BE5"/>
    <w:rsid w:val="001F30F9"/>
    <w:rsid w:val="001F3D7A"/>
    <w:rsid w:val="001F465E"/>
    <w:rsid w:val="001F7967"/>
    <w:rsid w:val="002027E0"/>
    <w:rsid w:val="00204D11"/>
    <w:rsid w:val="00207CDF"/>
    <w:rsid w:val="00212D43"/>
    <w:rsid w:val="0021363E"/>
    <w:rsid w:val="0022116C"/>
    <w:rsid w:val="002218EF"/>
    <w:rsid w:val="00226657"/>
    <w:rsid w:val="002277F9"/>
    <w:rsid w:val="00227DC0"/>
    <w:rsid w:val="00241B80"/>
    <w:rsid w:val="00244A84"/>
    <w:rsid w:val="00260D57"/>
    <w:rsid w:val="002622A8"/>
    <w:rsid w:val="002632B7"/>
    <w:rsid w:val="00266104"/>
    <w:rsid w:val="002675B9"/>
    <w:rsid w:val="00283AD9"/>
    <w:rsid w:val="00285152"/>
    <w:rsid w:val="002863C0"/>
    <w:rsid w:val="00291958"/>
    <w:rsid w:val="00292F9A"/>
    <w:rsid w:val="00294AE3"/>
    <w:rsid w:val="00295745"/>
    <w:rsid w:val="00296F3B"/>
    <w:rsid w:val="002A17FD"/>
    <w:rsid w:val="002A4E8A"/>
    <w:rsid w:val="002A70D7"/>
    <w:rsid w:val="002B5724"/>
    <w:rsid w:val="002C039A"/>
    <w:rsid w:val="002C20B0"/>
    <w:rsid w:val="002C23B9"/>
    <w:rsid w:val="002C6110"/>
    <w:rsid w:val="002C786B"/>
    <w:rsid w:val="002D33FC"/>
    <w:rsid w:val="002E0F52"/>
    <w:rsid w:val="002E50C7"/>
    <w:rsid w:val="002F0BC8"/>
    <w:rsid w:val="002F3890"/>
    <w:rsid w:val="002F70BE"/>
    <w:rsid w:val="00300789"/>
    <w:rsid w:val="00300D92"/>
    <w:rsid w:val="00301106"/>
    <w:rsid w:val="00305DB3"/>
    <w:rsid w:val="00306AE0"/>
    <w:rsid w:val="003219B9"/>
    <w:rsid w:val="00323034"/>
    <w:rsid w:val="00324289"/>
    <w:rsid w:val="00330C32"/>
    <w:rsid w:val="00333221"/>
    <w:rsid w:val="00334A7C"/>
    <w:rsid w:val="00337207"/>
    <w:rsid w:val="00337C05"/>
    <w:rsid w:val="00340C02"/>
    <w:rsid w:val="00354852"/>
    <w:rsid w:val="00355F2E"/>
    <w:rsid w:val="00367ED5"/>
    <w:rsid w:val="00383576"/>
    <w:rsid w:val="00385F54"/>
    <w:rsid w:val="00392579"/>
    <w:rsid w:val="00396F67"/>
    <w:rsid w:val="003A5258"/>
    <w:rsid w:val="003B16ED"/>
    <w:rsid w:val="003B4D1C"/>
    <w:rsid w:val="003B5083"/>
    <w:rsid w:val="003B700C"/>
    <w:rsid w:val="003C166B"/>
    <w:rsid w:val="003C16E8"/>
    <w:rsid w:val="003C3D03"/>
    <w:rsid w:val="003C4EB8"/>
    <w:rsid w:val="003C639D"/>
    <w:rsid w:val="003C73AC"/>
    <w:rsid w:val="003D0238"/>
    <w:rsid w:val="003D05F8"/>
    <w:rsid w:val="003D1E26"/>
    <w:rsid w:val="003D2276"/>
    <w:rsid w:val="003D25A3"/>
    <w:rsid w:val="003D3146"/>
    <w:rsid w:val="003D717F"/>
    <w:rsid w:val="003D79BC"/>
    <w:rsid w:val="003D7AAF"/>
    <w:rsid w:val="003E1859"/>
    <w:rsid w:val="003E6D45"/>
    <w:rsid w:val="003F0972"/>
    <w:rsid w:val="00405F3D"/>
    <w:rsid w:val="00411F64"/>
    <w:rsid w:val="004246FA"/>
    <w:rsid w:val="00424794"/>
    <w:rsid w:val="00426C82"/>
    <w:rsid w:val="00433FDC"/>
    <w:rsid w:val="004456FB"/>
    <w:rsid w:val="00450175"/>
    <w:rsid w:val="00450267"/>
    <w:rsid w:val="00451AF9"/>
    <w:rsid w:val="0045370F"/>
    <w:rsid w:val="0045498E"/>
    <w:rsid w:val="00454D15"/>
    <w:rsid w:val="00455301"/>
    <w:rsid w:val="00456888"/>
    <w:rsid w:val="00456EC7"/>
    <w:rsid w:val="00457C04"/>
    <w:rsid w:val="004653F7"/>
    <w:rsid w:val="00466174"/>
    <w:rsid w:val="0046632D"/>
    <w:rsid w:val="0046783B"/>
    <w:rsid w:val="00470AE0"/>
    <w:rsid w:val="00472DF2"/>
    <w:rsid w:val="00473720"/>
    <w:rsid w:val="00473A66"/>
    <w:rsid w:val="00473F57"/>
    <w:rsid w:val="00482338"/>
    <w:rsid w:val="004838E1"/>
    <w:rsid w:val="00487BA4"/>
    <w:rsid w:val="00491DD0"/>
    <w:rsid w:val="004944F2"/>
    <w:rsid w:val="00495B71"/>
    <w:rsid w:val="00496744"/>
    <w:rsid w:val="00497530"/>
    <w:rsid w:val="004A5C6A"/>
    <w:rsid w:val="004A691E"/>
    <w:rsid w:val="004A7061"/>
    <w:rsid w:val="004B04A7"/>
    <w:rsid w:val="004B1AA8"/>
    <w:rsid w:val="004B7D5F"/>
    <w:rsid w:val="004C36DF"/>
    <w:rsid w:val="004C5605"/>
    <w:rsid w:val="004D4EF6"/>
    <w:rsid w:val="004D5E19"/>
    <w:rsid w:val="004D736E"/>
    <w:rsid w:val="004D7E01"/>
    <w:rsid w:val="004E0141"/>
    <w:rsid w:val="004E6B8F"/>
    <w:rsid w:val="004F009E"/>
    <w:rsid w:val="004F127E"/>
    <w:rsid w:val="004F25D5"/>
    <w:rsid w:val="00504DB9"/>
    <w:rsid w:val="005123FF"/>
    <w:rsid w:val="00512774"/>
    <w:rsid w:val="005131DE"/>
    <w:rsid w:val="00515B98"/>
    <w:rsid w:val="00527CF8"/>
    <w:rsid w:val="00533DBE"/>
    <w:rsid w:val="00544DDE"/>
    <w:rsid w:val="00552600"/>
    <w:rsid w:val="00552E11"/>
    <w:rsid w:val="005561C1"/>
    <w:rsid w:val="00557E18"/>
    <w:rsid w:val="0056400F"/>
    <w:rsid w:val="005642D2"/>
    <w:rsid w:val="0056751B"/>
    <w:rsid w:val="0057047C"/>
    <w:rsid w:val="005710F7"/>
    <w:rsid w:val="00587079"/>
    <w:rsid w:val="005912C3"/>
    <w:rsid w:val="00591D1D"/>
    <w:rsid w:val="00595023"/>
    <w:rsid w:val="0059540A"/>
    <w:rsid w:val="00596D05"/>
    <w:rsid w:val="00597882"/>
    <w:rsid w:val="005A6C74"/>
    <w:rsid w:val="005A71C6"/>
    <w:rsid w:val="005B4C72"/>
    <w:rsid w:val="005B6246"/>
    <w:rsid w:val="005C112B"/>
    <w:rsid w:val="005C15D1"/>
    <w:rsid w:val="005D4CA4"/>
    <w:rsid w:val="005D7925"/>
    <w:rsid w:val="005F059A"/>
    <w:rsid w:val="005F136C"/>
    <w:rsid w:val="005F51F2"/>
    <w:rsid w:val="005F7D39"/>
    <w:rsid w:val="00603AF9"/>
    <w:rsid w:val="006070AC"/>
    <w:rsid w:val="00616813"/>
    <w:rsid w:val="0062191D"/>
    <w:rsid w:val="0062474A"/>
    <w:rsid w:val="00626264"/>
    <w:rsid w:val="006308C7"/>
    <w:rsid w:val="00631C8E"/>
    <w:rsid w:val="00640616"/>
    <w:rsid w:val="00641A44"/>
    <w:rsid w:val="00642AC3"/>
    <w:rsid w:val="0064326E"/>
    <w:rsid w:val="006449EA"/>
    <w:rsid w:val="00645A0C"/>
    <w:rsid w:val="00647ECD"/>
    <w:rsid w:val="00654D5A"/>
    <w:rsid w:val="00655135"/>
    <w:rsid w:val="00656E56"/>
    <w:rsid w:val="00661F4F"/>
    <w:rsid w:val="00664875"/>
    <w:rsid w:val="00666EDE"/>
    <w:rsid w:val="006700B0"/>
    <w:rsid w:val="00671E46"/>
    <w:rsid w:val="00672F7B"/>
    <w:rsid w:val="00673B06"/>
    <w:rsid w:val="006830E8"/>
    <w:rsid w:val="00683780"/>
    <w:rsid w:val="0068432F"/>
    <w:rsid w:val="00684C49"/>
    <w:rsid w:val="00695625"/>
    <w:rsid w:val="006A021F"/>
    <w:rsid w:val="006A0AC1"/>
    <w:rsid w:val="006A41EE"/>
    <w:rsid w:val="006A4895"/>
    <w:rsid w:val="006B4513"/>
    <w:rsid w:val="006B495A"/>
    <w:rsid w:val="006B51B8"/>
    <w:rsid w:val="006B69DB"/>
    <w:rsid w:val="006B6D42"/>
    <w:rsid w:val="006B795B"/>
    <w:rsid w:val="006C013C"/>
    <w:rsid w:val="006C3712"/>
    <w:rsid w:val="006C4737"/>
    <w:rsid w:val="006C65CF"/>
    <w:rsid w:val="006C714F"/>
    <w:rsid w:val="006D0B53"/>
    <w:rsid w:val="006D15C2"/>
    <w:rsid w:val="006D22CE"/>
    <w:rsid w:val="006D52E1"/>
    <w:rsid w:val="006E0F8C"/>
    <w:rsid w:val="006E1B69"/>
    <w:rsid w:val="006E3B58"/>
    <w:rsid w:val="006E60BA"/>
    <w:rsid w:val="006F113F"/>
    <w:rsid w:val="006F1BD7"/>
    <w:rsid w:val="006F6487"/>
    <w:rsid w:val="006F6EE1"/>
    <w:rsid w:val="00703C09"/>
    <w:rsid w:val="00704124"/>
    <w:rsid w:val="00704631"/>
    <w:rsid w:val="00705164"/>
    <w:rsid w:val="0071402F"/>
    <w:rsid w:val="00715204"/>
    <w:rsid w:val="00716E8B"/>
    <w:rsid w:val="007207CD"/>
    <w:rsid w:val="007210FE"/>
    <w:rsid w:val="007228E4"/>
    <w:rsid w:val="00724BB0"/>
    <w:rsid w:val="007261E5"/>
    <w:rsid w:val="00727399"/>
    <w:rsid w:val="007335C6"/>
    <w:rsid w:val="00734BC8"/>
    <w:rsid w:val="00743A51"/>
    <w:rsid w:val="00746397"/>
    <w:rsid w:val="00751B5E"/>
    <w:rsid w:val="00751E73"/>
    <w:rsid w:val="00754ED6"/>
    <w:rsid w:val="007557EA"/>
    <w:rsid w:val="00760472"/>
    <w:rsid w:val="007611CF"/>
    <w:rsid w:val="0076679B"/>
    <w:rsid w:val="00767BDD"/>
    <w:rsid w:val="00772F17"/>
    <w:rsid w:val="00773CAD"/>
    <w:rsid w:val="00774275"/>
    <w:rsid w:val="00774540"/>
    <w:rsid w:val="00776D6C"/>
    <w:rsid w:val="00776E58"/>
    <w:rsid w:val="00790302"/>
    <w:rsid w:val="007913E9"/>
    <w:rsid w:val="00794919"/>
    <w:rsid w:val="0079709F"/>
    <w:rsid w:val="007A0BDB"/>
    <w:rsid w:val="007A1DFE"/>
    <w:rsid w:val="007A59D5"/>
    <w:rsid w:val="007B0BE0"/>
    <w:rsid w:val="007B29CE"/>
    <w:rsid w:val="007D55AE"/>
    <w:rsid w:val="007E489C"/>
    <w:rsid w:val="007E5B2C"/>
    <w:rsid w:val="007E71A3"/>
    <w:rsid w:val="007F13D3"/>
    <w:rsid w:val="007F26EF"/>
    <w:rsid w:val="007F60C5"/>
    <w:rsid w:val="008001DC"/>
    <w:rsid w:val="00800F98"/>
    <w:rsid w:val="0080117F"/>
    <w:rsid w:val="008020A5"/>
    <w:rsid w:val="008037AC"/>
    <w:rsid w:val="008111DE"/>
    <w:rsid w:val="008138E1"/>
    <w:rsid w:val="008165AD"/>
    <w:rsid w:val="00816612"/>
    <w:rsid w:val="00816F41"/>
    <w:rsid w:val="00823690"/>
    <w:rsid w:val="00825773"/>
    <w:rsid w:val="00826439"/>
    <w:rsid w:val="00826C0C"/>
    <w:rsid w:val="00826F11"/>
    <w:rsid w:val="00827BE3"/>
    <w:rsid w:val="00832CE0"/>
    <w:rsid w:val="00853B63"/>
    <w:rsid w:val="0085598E"/>
    <w:rsid w:val="008630EA"/>
    <w:rsid w:val="00863543"/>
    <w:rsid w:val="00864F6E"/>
    <w:rsid w:val="0087483A"/>
    <w:rsid w:val="00877282"/>
    <w:rsid w:val="008871CF"/>
    <w:rsid w:val="008A20BF"/>
    <w:rsid w:val="008A350E"/>
    <w:rsid w:val="008A6E88"/>
    <w:rsid w:val="008B0C20"/>
    <w:rsid w:val="008B479D"/>
    <w:rsid w:val="008B4AA0"/>
    <w:rsid w:val="008B52CF"/>
    <w:rsid w:val="008C168F"/>
    <w:rsid w:val="008C1A57"/>
    <w:rsid w:val="008C1E17"/>
    <w:rsid w:val="008C26CE"/>
    <w:rsid w:val="008C4BA7"/>
    <w:rsid w:val="008C7933"/>
    <w:rsid w:val="008C7E6D"/>
    <w:rsid w:val="008D0AAC"/>
    <w:rsid w:val="008E5A4E"/>
    <w:rsid w:val="00901675"/>
    <w:rsid w:val="00901E60"/>
    <w:rsid w:val="00915BD4"/>
    <w:rsid w:val="009206A2"/>
    <w:rsid w:val="009249F4"/>
    <w:rsid w:val="00924E13"/>
    <w:rsid w:val="0092593B"/>
    <w:rsid w:val="00926924"/>
    <w:rsid w:val="009270B9"/>
    <w:rsid w:val="0093048B"/>
    <w:rsid w:val="00934F31"/>
    <w:rsid w:val="00935AF2"/>
    <w:rsid w:val="0094358B"/>
    <w:rsid w:val="009506B9"/>
    <w:rsid w:val="00951306"/>
    <w:rsid w:val="00952AA0"/>
    <w:rsid w:val="00960675"/>
    <w:rsid w:val="00962F41"/>
    <w:rsid w:val="00967F91"/>
    <w:rsid w:val="009768A1"/>
    <w:rsid w:val="00983416"/>
    <w:rsid w:val="00983543"/>
    <w:rsid w:val="00984AEE"/>
    <w:rsid w:val="009864F6"/>
    <w:rsid w:val="00992790"/>
    <w:rsid w:val="009A01B8"/>
    <w:rsid w:val="009B2F83"/>
    <w:rsid w:val="009B5DCE"/>
    <w:rsid w:val="009B696D"/>
    <w:rsid w:val="009C19BB"/>
    <w:rsid w:val="009C440F"/>
    <w:rsid w:val="009C5C3C"/>
    <w:rsid w:val="009D109C"/>
    <w:rsid w:val="009D2A93"/>
    <w:rsid w:val="009D6766"/>
    <w:rsid w:val="009E03EA"/>
    <w:rsid w:val="009E0D5C"/>
    <w:rsid w:val="009E4F48"/>
    <w:rsid w:val="009F0695"/>
    <w:rsid w:val="009F561B"/>
    <w:rsid w:val="009F6646"/>
    <w:rsid w:val="00A01C65"/>
    <w:rsid w:val="00A0210E"/>
    <w:rsid w:val="00A04699"/>
    <w:rsid w:val="00A06A46"/>
    <w:rsid w:val="00A10E54"/>
    <w:rsid w:val="00A201C0"/>
    <w:rsid w:val="00A26FD3"/>
    <w:rsid w:val="00A271A6"/>
    <w:rsid w:val="00A274A1"/>
    <w:rsid w:val="00A2758F"/>
    <w:rsid w:val="00A32222"/>
    <w:rsid w:val="00A33CC3"/>
    <w:rsid w:val="00A33CED"/>
    <w:rsid w:val="00A41C23"/>
    <w:rsid w:val="00A42E8D"/>
    <w:rsid w:val="00A45AD0"/>
    <w:rsid w:val="00A5145E"/>
    <w:rsid w:val="00A52858"/>
    <w:rsid w:val="00A52DC8"/>
    <w:rsid w:val="00A6009F"/>
    <w:rsid w:val="00A64CC7"/>
    <w:rsid w:val="00A67402"/>
    <w:rsid w:val="00A7048A"/>
    <w:rsid w:val="00A70E29"/>
    <w:rsid w:val="00A726C4"/>
    <w:rsid w:val="00A73C46"/>
    <w:rsid w:val="00A8090E"/>
    <w:rsid w:val="00A813D0"/>
    <w:rsid w:val="00A822CA"/>
    <w:rsid w:val="00A82CAE"/>
    <w:rsid w:val="00A84C2A"/>
    <w:rsid w:val="00A85688"/>
    <w:rsid w:val="00A86F90"/>
    <w:rsid w:val="00A8749C"/>
    <w:rsid w:val="00A902E8"/>
    <w:rsid w:val="00AA2503"/>
    <w:rsid w:val="00AA76F6"/>
    <w:rsid w:val="00AC6F3A"/>
    <w:rsid w:val="00AC7006"/>
    <w:rsid w:val="00AD0599"/>
    <w:rsid w:val="00AD059D"/>
    <w:rsid w:val="00AD0897"/>
    <w:rsid w:val="00AD1824"/>
    <w:rsid w:val="00AD3312"/>
    <w:rsid w:val="00AD3DD8"/>
    <w:rsid w:val="00AD4B87"/>
    <w:rsid w:val="00AE0092"/>
    <w:rsid w:val="00AE0900"/>
    <w:rsid w:val="00AF1D42"/>
    <w:rsid w:val="00AF5800"/>
    <w:rsid w:val="00AF6B3F"/>
    <w:rsid w:val="00B00171"/>
    <w:rsid w:val="00B03361"/>
    <w:rsid w:val="00B13041"/>
    <w:rsid w:val="00B131E1"/>
    <w:rsid w:val="00B1586B"/>
    <w:rsid w:val="00B33485"/>
    <w:rsid w:val="00B34845"/>
    <w:rsid w:val="00B35380"/>
    <w:rsid w:val="00B360DD"/>
    <w:rsid w:val="00B402B4"/>
    <w:rsid w:val="00B42AD0"/>
    <w:rsid w:val="00B451F0"/>
    <w:rsid w:val="00B45CF2"/>
    <w:rsid w:val="00B51910"/>
    <w:rsid w:val="00B5220D"/>
    <w:rsid w:val="00B5241C"/>
    <w:rsid w:val="00B55CD3"/>
    <w:rsid w:val="00B56E98"/>
    <w:rsid w:val="00B603AA"/>
    <w:rsid w:val="00B639FC"/>
    <w:rsid w:val="00B644C2"/>
    <w:rsid w:val="00B703A5"/>
    <w:rsid w:val="00B71DC1"/>
    <w:rsid w:val="00B726EF"/>
    <w:rsid w:val="00B7757B"/>
    <w:rsid w:val="00B84E56"/>
    <w:rsid w:val="00B93044"/>
    <w:rsid w:val="00B96622"/>
    <w:rsid w:val="00B97113"/>
    <w:rsid w:val="00B97CF1"/>
    <w:rsid w:val="00BA0EB0"/>
    <w:rsid w:val="00BA3269"/>
    <w:rsid w:val="00BA3D1B"/>
    <w:rsid w:val="00BB2331"/>
    <w:rsid w:val="00BB5E52"/>
    <w:rsid w:val="00BC03F3"/>
    <w:rsid w:val="00BD138F"/>
    <w:rsid w:val="00BD39EF"/>
    <w:rsid w:val="00BE5610"/>
    <w:rsid w:val="00BF2510"/>
    <w:rsid w:val="00C011D5"/>
    <w:rsid w:val="00C02F07"/>
    <w:rsid w:val="00C03AA9"/>
    <w:rsid w:val="00C04668"/>
    <w:rsid w:val="00C04B51"/>
    <w:rsid w:val="00C04FF5"/>
    <w:rsid w:val="00C0624C"/>
    <w:rsid w:val="00C062C0"/>
    <w:rsid w:val="00C07C24"/>
    <w:rsid w:val="00C20CF1"/>
    <w:rsid w:val="00C250F7"/>
    <w:rsid w:val="00C25790"/>
    <w:rsid w:val="00C36001"/>
    <w:rsid w:val="00C36D30"/>
    <w:rsid w:val="00C37902"/>
    <w:rsid w:val="00C41982"/>
    <w:rsid w:val="00C41B31"/>
    <w:rsid w:val="00C4224C"/>
    <w:rsid w:val="00C42A41"/>
    <w:rsid w:val="00C45EB9"/>
    <w:rsid w:val="00C62DC4"/>
    <w:rsid w:val="00C63026"/>
    <w:rsid w:val="00C647EB"/>
    <w:rsid w:val="00C71EF8"/>
    <w:rsid w:val="00C92705"/>
    <w:rsid w:val="00C9274A"/>
    <w:rsid w:val="00CA04A7"/>
    <w:rsid w:val="00CA22AF"/>
    <w:rsid w:val="00CA3026"/>
    <w:rsid w:val="00CA4357"/>
    <w:rsid w:val="00CA50F7"/>
    <w:rsid w:val="00CA6007"/>
    <w:rsid w:val="00CB0525"/>
    <w:rsid w:val="00CB1B63"/>
    <w:rsid w:val="00CC3EE4"/>
    <w:rsid w:val="00CC4FE2"/>
    <w:rsid w:val="00CD1F0A"/>
    <w:rsid w:val="00CD43F1"/>
    <w:rsid w:val="00CD758B"/>
    <w:rsid w:val="00CE0818"/>
    <w:rsid w:val="00CE1DDD"/>
    <w:rsid w:val="00CE7267"/>
    <w:rsid w:val="00CF0CB9"/>
    <w:rsid w:val="00CF1AA4"/>
    <w:rsid w:val="00CF4EB3"/>
    <w:rsid w:val="00CF66D8"/>
    <w:rsid w:val="00D00B3A"/>
    <w:rsid w:val="00D0403B"/>
    <w:rsid w:val="00D108C7"/>
    <w:rsid w:val="00D10C98"/>
    <w:rsid w:val="00D12988"/>
    <w:rsid w:val="00D12B32"/>
    <w:rsid w:val="00D24204"/>
    <w:rsid w:val="00D26762"/>
    <w:rsid w:val="00D30196"/>
    <w:rsid w:val="00D31072"/>
    <w:rsid w:val="00D31B70"/>
    <w:rsid w:val="00D327D0"/>
    <w:rsid w:val="00D33FD2"/>
    <w:rsid w:val="00D37092"/>
    <w:rsid w:val="00D4166C"/>
    <w:rsid w:val="00D44D58"/>
    <w:rsid w:val="00D47789"/>
    <w:rsid w:val="00D53F2F"/>
    <w:rsid w:val="00D57ADC"/>
    <w:rsid w:val="00D6298E"/>
    <w:rsid w:val="00D62F0D"/>
    <w:rsid w:val="00D65C0A"/>
    <w:rsid w:val="00D662D4"/>
    <w:rsid w:val="00D70105"/>
    <w:rsid w:val="00D7596F"/>
    <w:rsid w:val="00D764C7"/>
    <w:rsid w:val="00D7659F"/>
    <w:rsid w:val="00D7684A"/>
    <w:rsid w:val="00D77A03"/>
    <w:rsid w:val="00D80776"/>
    <w:rsid w:val="00D84A94"/>
    <w:rsid w:val="00D96246"/>
    <w:rsid w:val="00D96F9A"/>
    <w:rsid w:val="00DA1B86"/>
    <w:rsid w:val="00DA2FC8"/>
    <w:rsid w:val="00DA64A1"/>
    <w:rsid w:val="00DA75C9"/>
    <w:rsid w:val="00DB058A"/>
    <w:rsid w:val="00DB145D"/>
    <w:rsid w:val="00DB3767"/>
    <w:rsid w:val="00DB46DB"/>
    <w:rsid w:val="00DB4F48"/>
    <w:rsid w:val="00DC0379"/>
    <w:rsid w:val="00DC12EE"/>
    <w:rsid w:val="00DD2A47"/>
    <w:rsid w:val="00DD65A6"/>
    <w:rsid w:val="00DD6714"/>
    <w:rsid w:val="00DE29E0"/>
    <w:rsid w:val="00DF2E8D"/>
    <w:rsid w:val="00E001DD"/>
    <w:rsid w:val="00E01425"/>
    <w:rsid w:val="00E02017"/>
    <w:rsid w:val="00E06470"/>
    <w:rsid w:val="00E16AEF"/>
    <w:rsid w:val="00E21E65"/>
    <w:rsid w:val="00E24838"/>
    <w:rsid w:val="00E256DF"/>
    <w:rsid w:val="00E26DE6"/>
    <w:rsid w:val="00E273D7"/>
    <w:rsid w:val="00E3025E"/>
    <w:rsid w:val="00E3132D"/>
    <w:rsid w:val="00E35D9D"/>
    <w:rsid w:val="00E37996"/>
    <w:rsid w:val="00E4351B"/>
    <w:rsid w:val="00E50A27"/>
    <w:rsid w:val="00E50D5F"/>
    <w:rsid w:val="00E53B48"/>
    <w:rsid w:val="00E56E06"/>
    <w:rsid w:val="00E60353"/>
    <w:rsid w:val="00E6185C"/>
    <w:rsid w:val="00E62DDB"/>
    <w:rsid w:val="00E62E77"/>
    <w:rsid w:val="00E7669C"/>
    <w:rsid w:val="00E76CBF"/>
    <w:rsid w:val="00E80DAA"/>
    <w:rsid w:val="00E8562C"/>
    <w:rsid w:val="00E864B6"/>
    <w:rsid w:val="00E93EB5"/>
    <w:rsid w:val="00E941B2"/>
    <w:rsid w:val="00E96BCC"/>
    <w:rsid w:val="00EA50D0"/>
    <w:rsid w:val="00EA52A5"/>
    <w:rsid w:val="00EB024F"/>
    <w:rsid w:val="00EB3A93"/>
    <w:rsid w:val="00EB41E4"/>
    <w:rsid w:val="00EB4CE3"/>
    <w:rsid w:val="00EB6042"/>
    <w:rsid w:val="00EC2565"/>
    <w:rsid w:val="00EC31F5"/>
    <w:rsid w:val="00EC3B3F"/>
    <w:rsid w:val="00EC4599"/>
    <w:rsid w:val="00EC5118"/>
    <w:rsid w:val="00EC6C2D"/>
    <w:rsid w:val="00ED3FED"/>
    <w:rsid w:val="00ED4CC8"/>
    <w:rsid w:val="00EE074C"/>
    <w:rsid w:val="00EE6798"/>
    <w:rsid w:val="00EE7659"/>
    <w:rsid w:val="00EF0944"/>
    <w:rsid w:val="00EF436B"/>
    <w:rsid w:val="00F00111"/>
    <w:rsid w:val="00F00561"/>
    <w:rsid w:val="00F007DA"/>
    <w:rsid w:val="00F00B7C"/>
    <w:rsid w:val="00F1000F"/>
    <w:rsid w:val="00F121C0"/>
    <w:rsid w:val="00F12D5F"/>
    <w:rsid w:val="00F148CB"/>
    <w:rsid w:val="00F167E4"/>
    <w:rsid w:val="00F21B68"/>
    <w:rsid w:val="00F23F28"/>
    <w:rsid w:val="00F27C98"/>
    <w:rsid w:val="00F3018E"/>
    <w:rsid w:val="00F330AF"/>
    <w:rsid w:val="00F35DB6"/>
    <w:rsid w:val="00F40EE9"/>
    <w:rsid w:val="00F435A5"/>
    <w:rsid w:val="00F469E5"/>
    <w:rsid w:val="00F52F18"/>
    <w:rsid w:val="00F541D0"/>
    <w:rsid w:val="00F56219"/>
    <w:rsid w:val="00F57BC4"/>
    <w:rsid w:val="00F60EAF"/>
    <w:rsid w:val="00F66F3E"/>
    <w:rsid w:val="00F700D9"/>
    <w:rsid w:val="00F713A4"/>
    <w:rsid w:val="00F72E59"/>
    <w:rsid w:val="00F7764C"/>
    <w:rsid w:val="00F8306C"/>
    <w:rsid w:val="00F83084"/>
    <w:rsid w:val="00F83144"/>
    <w:rsid w:val="00F87B48"/>
    <w:rsid w:val="00F90612"/>
    <w:rsid w:val="00F92193"/>
    <w:rsid w:val="00F93D9C"/>
    <w:rsid w:val="00F95B8C"/>
    <w:rsid w:val="00F96ED4"/>
    <w:rsid w:val="00FA015B"/>
    <w:rsid w:val="00FA58E0"/>
    <w:rsid w:val="00FB699B"/>
    <w:rsid w:val="00FB741F"/>
    <w:rsid w:val="00FC239F"/>
    <w:rsid w:val="00FC797F"/>
    <w:rsid w:val="00FE2453"/>
    <w:rsid w:val="00FE5608"/>
    <w:rsid w:val="00FF1670"/>
    <w:rsid w:val="00FF2762"/>
    <w:rsid w:val="00FF42B0"/>
    <w:rsid w:val="00FF631E"/>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F03FD71"/>
  <w15:docId w15:val="{5356C6D4-1ACE-4F48-B17C-340D0C4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10"/>
    <w:rPr>
      <w:rFonts w:ascii="Times New Roman" w:hAnsi="Times New Roman"/>
      <w:sz w:val="24"/>
      <w:szCs w:val="24"/>
      <w:lang w:bidi="en-US"/>
    </w:rPr>
  </w:style>
  <w:style w:type="paragraph" w:styleId="Heading1">
    <w:name w:val="heading 1"/>
    <w:basedOn w:val="Normal"/>
    <w:next w:val="Normal"/>
    <w:link w:val="Heading1Char"/>
    <w:uiPriority w:val="9"/>
    <w:qFormat/>
    <w:rsid w:val="001603B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603B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1603B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603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603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603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03B0"/>
    <w:pPr>
      <w:spacing w:before="240" w:after="60"/>
      <w:outlineLvl w:val="6"/>
    </w:pPr>
  </w:style>
  <w:style w:type="paragraph" w:styleId="Heading8">
    <w:name w:val="heading 8"/>
    <w:basedOn w:val="Normal"/>
    <w:next w:val="Normal"/>
    <w:link w:val="Heading8Char"/>
    <w:uiPriority w:val="9"/>
    <w:semiHidden/>
    <w:unhideWhenUsed/>
    <w:qFormat/>
    <w:rsid w:val="001603B0"/>
    <w:pPr>
      <w:spacing w:before="240" w:after="60"/>
      <w:outlineLvl w:val="7"/>
    </w:pPr>
    <w:rPr>
      <w:i/>
      <w:iCs/>
    </w:rPr>
  </w:style>
  <w:style w:type="paragraph" w:styleId="Heading9">
    <w:name w:val="heading 9"/>
    <w:basedOn w:val="Normal"/>
    <w:next w:val="Normal"/>
    <w:link w:val="Heading9Char"/>
    <w:uiPriority w:val="9"/>
    <w:semiHidden/>
    <w:unhideWhenUsed/>
    <w:qFormat/>
    <w:rsid w:val="001603B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B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603B0"/>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1603B0"/>
    <w:rPr>
      <w:rFonts w:ascii="Cambria" w:eastAsia="Times New Roman" w:hAnsi="Cambria"/>
      <w:b/>
      <w:bCs/>
      <w:sz w:val="26"/>
      <w:szCs w:val="26"/>
    </w:rPr>
  </w:style>
  <w:style w:type="character" w:customStyle="1" w:styleId="Heading4Char">
    <w:name w:val="Heading 4 Char"/>
    <w:basedOn w:val="DefaultParagraphFont"/>
    <w:link w:val="Heading4"/>
    <w:uiPriority w:val="9"/>
    <w:rsid w:val="001603B0"/>
    <w:rPr>
      <w:b/>
      <w:bCs/>
      <w:sz w:val="28"/>
      <w:szCs w:val="28"/>
    </w:rPr>
  </w:style>
  <w:style w:type="character" w:customStyle="1" w:styleId="Heading5Char">
    <w:name w:val="Heading 5 Char"/>
    <w:basedOn w:val="DefaultParagraphFont"/>
    <w:link w:val="Heading5"/>
    <w:uiPriority w:val="9"/>
    <w:semiHidden/>
    <w:rsid w:val="001603B0"/>
    <w:rPr>
      <w:b/>
      <w:bCs/>
      <w:i/>
      <w:iCs/>
      <w:sz w:val="26"/>
      <w:szCs w:val="26"/>
    </w:rPr>
  </w:style>
  <w:style w:type="character" w:customStyle="1" w:styleId="Heading6Char">
    <w:name w:val="Heading 6 Char"/>
    <w:basedOn w:val="DefaultParagraphFont"/>
    <w:link w:val="Heading6"/>
    <w:uiPriority w:val="9"/>
    <w:semiHidden/>
    <w:rsid w:val="001603B0"/>
    <w:rPr>
      <w:b/>
      <w:bCs/>
    </w:rPr>
  </w:style>
  <w:style w:type="character" w:customStyle="1" w:styleId="Heading7Char">
    <w:name w:val="Heading 7 Char"/>
    <w:basedOn w:val="DefaultParagraphFont"/>
    <w:link w:val="Heading7"/>
    <w:uiPriority w:val="9"/>
    <w:semiHidden/>
    <w:rsid w:val="001603B0"/>
    <w:rPr>
      <w:sz w:val="24"/>
      <w:szCs w:val="24"/>
    </w:rPr>
  </w:style>
  <w:style w:type="character" w:customStyle="1" w:styleId="Heading8Char">
    <w:name w:val="Heading 8 Char"/>
    <w:basedOn w:val="DefaultParagraphFont"/>
    <w:link w:val="Heading8"/>
    <w:uiPriority w:val="9"/>
    <w:semiHidden/>
    <w:rsid w:val="001603B0"/>
    <w:rPr>
      <w:i/>
      <w:iCs/>
      <w:sz w:val="24"/>
      <w:szCs w:val="24"/>
    </w:rPr>
  </w:style>
  <w:style w:type="character" w:customStyle="1" w:styleId="Heading9Char">
    <w:name w:val="Heading 9 Char"/>
    <w:basedOn w:val="DefaultParagraphFont"/>
    <w:link w:val="Heading9"/>
    <w:uiPriority w:val="9"/>
    <w:semiHidden/>
    <w:rsid w:val="001603B0"/>
    <w:rPr>
      <w:rFonts w:ascii="Cambria" w:eastAsia="Times New Roman" w:hAnsi="Cambria"/>
    </w:rPr>
  </w:style>
  <w:style w:type="paragraph" w:styleId="Title">
    <w:name w:val="Title"/>
    <w:basedOn w:val="Normal"/>
    <w:next w:val="Normal"/>
    <w:link w:val="TitleChar"/>
    <w:uiPriority w:val="10"/>
    <w:qFormat/>
    <w:rsid w:val="001603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603B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603B0"/>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1603B0"/>
    <w:rPr>
      <w:rFonts w:ascii="Cambria" w:eastAsia="Times New Roman" w:hAnsi="Cambria"/>
      <w:sz w:val="24"/>
      <w:szCs w:val="24"/>
    </w:rPr>
  </w:style>
  <w:style w:type="character" w:styleId="Strong">
    <w:name w:val="Strong"/>
    <w:basedOn w:val="DefaultParagraphFont"/>
    <w:uiPriority w:val="22"/>
    <w:qFormat/>
    <w:rsid w:val="001603B0"/>
    <w:rPr>
      <w:b/>
      <w:bCs/>
    </w:rPr>
  </w:style>
  <w:style w:type="character" w:styleId="Emphasis">
    <w:name w:val="Emphasis"/>
    <w:basedOn w:val="DefaultParagraphFont"/>
    <w:uiPriority w:val="20"/>
    <w:qFormat/>
    <w:rsid w:val="001603B0"/>
    <w:rPr>
      <w:rFonts w:ascii="Calibri" w:hAnsi="Calibri"/>
      <w:b/>
      <w:i/>
      <w:iCs/>
    </w:rPr>
  </w:style>
  <w:style w:type="paragraph" w:styleId="NoSpacing">
    <w:name w:val="No Spacing"/>
    <w:basedOn w:val="Normal"/>
    <w:uiPriority w:val="1"/>
    <w:qFormat/>
    <w:rsid w:val="001603B0"/>
    <w:rPr>
      <w:szCs w:val="32"/>
    </w:rPr>
  </w:style>
  <w:style w:type="paragraph" w:styleId="ListParagraph">
    <w:name w:val="List Paragraph"/>
    <w:basedOn w:val="Normal"/>
    <w:uiPriority w:val="34"/>
    <w:qFormat/>
    <w:rsid w:val="001603B0"/>
    <w:pPr>
      <w:ind w:left="720"/>
      <w:contextualSpacing/>
    </w:pPr>
  </w:style>
  <w:style w:type="paragraph" w:styleId="Quote">
    <w:name w:val="Quote"/>
    <w:basedOn w:val="Normal"/>
    <w:next w:val="Normal"/>
    <w:link w:val="QuoteChar"/>
    <w:uiPriority w:val="29"/>
    <w:qFormat/>
    <w:rsid w:val="001603B0"/>
    <w:rPr>
      <w:i/>
    </w:rPr>
  </w:style>
  <w:style w:type="character" w:customStyle="1" w:styleId="QuoteChar">
    <w:name w:val="Quote Char"/>
    <w:basedOn w:val="DefaultParagraphFont"/>
    <w:link w:val="Quote"/>
    <w:uiPriority w:val="29"/>
    <w:rsid w:val="001603B0"/>
    <w:rPr>
      <w:i/>
      <w:sz w:val="24"/>
      <w:szCs w:val="24"/>
    </w:rPr>
  </w:style>
  <w:style w:type="paragraph" w:styleId="IntenseQuote">
    <w:name w:val="Intense Quote"/>
    <w:basedOn w:val="Normal"/>
    <w:next w:val="Normal"/>
    <w:link w:val="IntenseQuoteChar"/>
    <w:uiPriority w:val="30"/>
    <w:qFormat/>
    <w:rsid w:val="001603B0"/>
    <w:pPr>
      <w:ind w:left="720" w:right="720"/>
    </w:pPr>
    <w:rPr>
      <w:b/>
      <w:i/>
      <w:szCs w:val="22"/>
    </w:rPr>
  </w:style>
  <w:style w:type="character" w:customStyle="1" w:styleId="IntenseQuoteChar">
    <w:name w:val="Intense Quote Char"/>
    <w:basedOn w:val="DefaultParagraphFont"/>
    <w:link w:val="IntenseQuote"/>
    <w:uiPriority w:val="30"/>
    <w:rsid w:val="001603B0"/>
    <w:rPr>
      <w:b/>
      <w:i/>
      <w:sz w:val="24"/>
    </w:rPr>
  </w:style>
  <w:style w:type="character" w:styleId="SubtleEmphasis">
    <w:name w:val="Subtle Emphasis"/>
    <w:uiPriority w:val="19"/>
    <w:qFormat/>
    <w:rsid w:val="001603B0"/>
    <w:rPr>
      <w:i/>
      <w:color w:val="5A5A5A"/>
    </w:rPr>
  </w:style>
  <w:style w:type="character" w:styleId="IntenseEmphasis">
    <w:name w:val="Intense Emphasis"/>
    <w:basedOn w:val="DefaultParagraphFont"/>
    <w:uiPriority w:val="21"/>
    <w:qFormat/>
    <w:rsid w:val="001603B0"/>
    <w:rPr>
      <w:b/>
      <w:i/>
      <w:sz w:val="24"/>
      <w:szCs w:val="24"/>
      <w:u w:val="single"/>
    </w:rPr>
  </w:style>
  <w:style w:type="character" w:styleId="SubtleReference">
    <w:name w:val="Subtle Reference"/>
    <w:basedOn w:val="DefaultParagraphFont"/>
    <w:uiPriority w:val="31"/>
    <w:qFormat/>
    <w:rsid w:val="001603B0"/>
    <w:rPr>
      <w:sz w:val="24"/>
      <w:szCs w:val="24"/>
      <w:u w:val="single"/>
    </w:rPr>
  </w:style>
  <w:style w:type="character" w:styleId="IntenseReference">
    <w:name w:val="Intense Reference"/>
    <w:basedOn w:val="DefaultParagraphFont"/>
    <w:uiPriority w:val="32"/>
    <w:qFormat/>
    <w:rsid w:val="001603B0"/>
    <w:rPr>
      <w:b/>
      <w:sz w:val="24"/>
      <w:u w:val="single"/>
    </w:rPr>
  </w:style>
  <w:style w:type="character" w:styleId="BookTitle">
    <w:name w:val="Book Title"/>
    <w:basedOn w:val="DefaultParagraphFont"/>
    <w:uiPriority w:val="33"/>
    <w:qFormat/>
    <w:rsid w:val="001603B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1603B0"/>
    <w:pPr>
      <w:outlineLvl w:val="9"/>
    </w:pPr>
  </w:style>
  <w:style w:type="paragraph" w:styleId="Header">
    <w:name w:val="header"/>
    <w:basedOn w:val="Normal"/>
    <w:link w:val="HeaderChar"/>
    <w:uiPriority w:val="99"/>
    <w:unhideWhenUsed/>
    <w:rsid w:val="003B700C"/>
    <w:pPr>
      <w:tabs>
        <w:tab w:val="center" w:pos="4680"/>
        <w:tab w:val="right" w:pos="9360"/>
      </w:tabs>
    </w:pPr>
  </w:style>
  <w:style w:type="character" w:customStyle="1" w:styleId="HeaderChar">
    <w:name w:val="Header Char"/>
    <w:basedOn w:val="DefaultParagraphFont"/>
    <w:link w:val="Header"/>
    <w:uiPriority w:val="99"/>
    <w:rsid w:val="003B700C"/>
    <w:rPr>
      <w:sz w:val="24"/>
      <w:szCs w:val="24"/>
    </w:rPr>
  </w:style>
  <w:style w:type="paragraph" w:styleId="Footer">
    <w:name w:val="footer"/>
    <w:basedOn w:val="Normal"/>
    <w:link w:val="FooterChar"/>
    <w:uiPriority w:val="99"/>
    <w:unhideWhenUsed/>
    <w:rsid w:val="003B700C"/>
    <w:pPr>
      <w:tabs>
        <w:tab w:val="center" w:pos="4680"/>
        <w:tab w:val="right" w:pos="9360"/>
      </w:tabs>
    </w:pPr>
  </w:style>
  <w:style w:type="character" w:customStyle="1" w:styleId="FooterChar">
    <w:name w:val="Footer Char"/>
    <w:basedOn w:val="DefaultParagraphFont"/>
    <w:link w:val="Footer"/>
    <w:uiPriority w:val="99"/>
    <w:rsid w:val="003B700C"/>
    <w:rPr>
      <w:sz w:val="24"/>
      <w:szCs w:val="24"/>
    </w:rPr>
  </w:style>
  <w:style w:type="paragraph" w:styleId="BalloonText">
    <w:name w:val="Balloon Text"/>
    <w:basedOn w:val="Normal"/>
    <w:link w:val="BalloonTextChar"/>
    <w:uiPriority w:val="99"/>
    <w:semiHidden/>
    <w:unhideWhenUsed/>
    <w:rsid w:val="003B700C"/>
    <w:rPr>
      <w:rFonts w:ascii="Tahoma" w:hAnsi="Tahoma" w:cs="Tahoma"/>
      <w:sz w:val="16"/>
      <w:szCs w:val="16"/>
    </w:rPr>
  </w:style>
  <w:style w:type="character" w:customStyle="1" w:styleId="BalloonTextChar">
    <w:name w:val="Balloon Text Char"/>
    <w:basedOn w:val="DefaultParagraphFont"/>
    <w:link w:val="BalloonText"/>
    <w:uiPriority w:val="99"/>
    <w:semiHidden/>
    <w:rsid w:val="003B700C"/>
    <w:rPr>
      <w:rFonts w:ascii="Tahoma" w:hAnsi="Tahoma" w:cs="Tahoma"/>
      <w:sz w:val="16"/>
      <w:szCs w:val="16"/>
    </w:rPr>
  </w:style>
  <w:style w:type="table" w:styleId="TableGrid">
    <w:name w:val="Table Grid"/>
    <w:basedOn w:val="TableNormal"/>
    <w:uiPriority w:val="59"/>
    <w:rsid w:val="00D765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D25A3"/>
    <w:rPr>
      <w:sz w:val="16"/>
      <w:szCs w:val="16"/>
    </w:rPr>
  </w:style>
  <w:style w:type="paragraph" w:styleId="CommentText">
    <w:name w:val="annotation text"/>
    <w:basedOn w:val="Normal"/>
    <w:link w:val="CommentTextChar"/>
    <w:uiPriority w:val="99"/>
    <w:semiHidden/>
    <w:unhideWhenUsed/>
    <w:rsid w:val="003D25A3"/>
    <w:rPr>
      <w:sz w:val="20"/>
      <w:szCs w:val="20"/>
    </w:rPr>
  </w:style>
  <w:style w:type="character" w:customStyle="1" w:styleId="CommentTextChar">
    <w:name w:val="Comment Text Char"/>
    <w:basedOn w:val="DefaultParagraphFont"/>
    <w:link w:val="CommentText"/>
    <w:uiPriority w:val="99"/>
    <w:semiHidden/>
    <w:rsid w:val="003D25A3"/>
    <w:rPr>
      <w:rFonts w:ascii="Times New Roman" w:hAnsi="Times New Roman"/>
      <w:lang w:bidi="en-US"/>
    </w:rPr>
  </w:style>
  <w:style w:type="paragraph" w:styleId="CommentSubject">
    <w:name w:val="annotation subject"/>
    <w:basedOn w:val="CommentText"/>
    <w:next w:val="CommentText"/>
    <w:link w:val="CommentSubjectChar"/>
    <w:uiPriority w:val="99"/>
    <w:semiHidden/>
    <w:unhideWhenUsed/>
    <w:rsid w:val="003D25A3"/>
    <w:rPr>
      <w:b/>
      <w:bCs/>
    </w:rPr>
  </w:style>
  <w:style w:type="character" w:customStyle="1" w:styleId="CommentSubjectChar">
    <w:name w:val="Comment Subject Char"/>
    <w:basedOn w:val="CommentTextChar"/>
    <w:link w:val="CommentSubject"/>
    <w:uiPriority w:val="99"/>
    <w:semiHidden/>
    <w:rsid w:val="003D25A3"/>
    <w:rPr>
      <w:rFonts w:ascii="Times New Roman" w:hAnsi="Times New Roman"/>
      <w:b/>
      <w:bCs/>
      <w:lang w:bidi="en-US"/>
    </w:rPr>
  </w:style>
  <w:style w:type="paragraph" w:styleId="Revision">
    <w:name w:val="Revision"/>
    <w:hidden/>
    <w:uiPriority w:val="99"/>
    <w:semiHidden/>
    <w:rsid w:val="003D25A3"/>
    <w:rPr>
      <w:rFonts w:ascii="Times New Roman" w:hAnsi="Times New Roman"/>
      <w:sz w:val="24"/>
      <w:szCs w:val="24"/>
      <w:lang w:bidi="en-US"/>
    </w:rPr>
  </w:style>
  <w:style w:type="paragraph" w:styleId="BodyText">
    <w:name w:val="Body Text"/>
    <w:basedOn w:val="Normal"/>
    <w:link w:val="BodyTextChar"/>
    <w:uiPriority w:val="99"/>
    <w:semiHidden/>
    <w:unhideWhenUsed/>
    <w:rsid w:val="006C3712"/>
    <w:pPr>
      <w:autoSpaceDE w:val="0"/>
      <w:autoSpaceDN w:val="0"/>
    </w:pPr>
    <w:rPr>
      <w:rFonts w:ascii="Courier" w:eastAsiaTheme="minorHAnsi" w:hAnsi="Courier"/>
      <w:lang w:bidi="ar-SA"/>
    </w:rPr>
  </w:style>
  <w:style w:type="character" w:customStyle="1" w:styleId="BodyTextChar">
    <w:name w:val="Body Text Char"/>
    <w:basedOn w:val="DefaultParagraphFont"/>
    <w:link w:val="BodyText"/>
    <w:uiPriority w:val="99"/>
    <w:semiHidden/>
    <w:rsid w:val="006C3712"/>
    <w:rPr>
      <w:rFonts w:ascii="Courier" w:eastAsiaTheme="minorHAnsi" w:hAnsi="Courier"/>
      <w:sz w:val="24"/>
      <w:szCs w:val="24"/>
    </w:rPr>
  </w:style>
  <w:style w:type="paragraph" w:styleId="FootnoteText">
    <w:name w:val="footnote text"/>
    <w:basedOn w:val="Normal"/>
    <w:link w:val="FootnoteTextChar"/>
    <w:uiPriority w:val="99"/>
    <w:semiHidden/>
    <w:unhideWhenUsed/>
    <w:rsid w:val="00655135"/>
    <w:rPr>
      <w:rFonts w:ascii="Calibri" w:hAnsi="Calibri"/>
      <w:sz w:val="20"/>
      <w:szCs w:val="20"/>
      <w:lang w:bidi="ar-SA"/>
    </w:rPr>
  </w:style>
  <w:style w:type="character" w:customStyle="1" w:styleId="FootnoteTextChar">
    <w:name w:val="Footnote Text Char"/>
    <w:basedOn w:val="DefaultParagraphFont"/>
    <w:link w:val="FootnoteText"/>
    <w:uiPriority w:val="99"/>
    <w:semiHidden/>
    <w:rsid w:val="00655135"/>
  </w:style>
  <w:style w:type="character" w:styleId="FootnoteReference">
    <w:name w:val="footnote reference"/>
    <w:basedOn w:val="DefaultParagraphFont"/>
    <w:uiPriority w:val="99"/>
    <w:semiHidden/>
    <w:unhideWhenUsed/>
    <w:rsid w:val="00655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6683">
      <w:bodyDiv w:val="1"/>
      <w:marLeft w:val="0"/>
      <w:marRight w:val="0"/>
      <w:marTop w:val="0"/>
      <w:marBottom w:val="0"/>
      <w:divBdr>
        <w:top w:val="none" w:sz="0" w:space="0" w:color="auto"/>
        <w:left w:val="none" w:sz="0" w:space="0" w:color="auto"/>
        <w:bottom w:val="none" w:sz="0" w:space="0" w:color="auto"/>
        <w:right w:val="none" w:sz="0" w:space="0" w:color="auto"/>
      </w:divBdr>
    </w:div>
    <w:div w:id="791557032">
      <w:bodyDiv w:val="1"/>
      <w:marLeft w:val="0"/>
      <w:marRight w:val="0"/>
      <w:marTop w:val="0"/>
      <w:marBottom w:val="0"/>
      <w:divBdr>
        <w:top w:val="none" w:sz="0" w:space="0" w:color="auto"/>
        <w:left w:val="none" w:sz="0" w:space="0" w:color="auto"/>
        <w:bottom w:val="none" w:sz="0" w:space="0" w:color="auto"/>
        <w:right w:val="none" w:sz="0" w:space="0" w:color="auto"/>
      </w:divBdr>
    </w:div>
    <w:div w:id="963467909">
      <w:bodyDiv w:val="1"/>
      <w:marLeft w:val="0"/>
      <w:marRight w:val="0"/>
      <w:marTop w:val="0"/>
      <w:marBottom w:val="0"/>
      <w:divBdr>
        <w:top w:val="none" w:sz="0" w:space="0" w:color="auto"/>
        <w:left w:val="none" w:sz="0" w:space="0" w:color="auto"/>
        <w:bottom w:val="none" w:sz="0" w:space="0" w:color="auto"/>
        <w:right w:val="none" w:sz="0" w:space="0" w:color="auto"/>
      </w:divBdr>
    </w:div>
    <w:div w:id="11694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2011-03-07T08:00:00+00:00</OpenedDate>
    <Date1 xmlns="dc463f71-b30c-4ab2-9473-d307f9d35888">2014-08-28T07:00:00+00:00</Date1>
    <IsDocumentOrder xmlns="dc463f71-b30c-4ab2-9473-d307f9d35888" xsi:nil="true"/>
    <IsHighlyConfidential xmlns="dc463f71-b30c-4ab2-9473-d307f9d35888">false</IsHighlyConfidential>
    <CaseCompanyNames xmlns="dc463f71-b30c-4ab2-9473-d307f9d35888">Olympic Water and Sewer, Inc.</CaseCompanyNames>
    <DocketNumber xmlns="dc463f71-b30c-4ab2-9473-d307f9d35888">110436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EC27B08A0F96489DD070D119B506F4" ma:contentTypeVersion="143" ma:contentTypeDescription="" ma:contentTypeScope="" ma:versionID="79730e6b1fc1b2e7f082a89e566de6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2D938-B2EC-4E3F-BD8F-DDAED969F7BB}"/>
</file>

<file path=customXml/itemProps2.xml><?xml version="1.0" encoding="utf-8"?>
<ds:datastoreItem xmlns:ds="http://schemas.openxmlformats.org/officeDocument/2006/customXml" ds:itemID="{45227816-F000-4174-9D2D-0767F5EBBD00}"/>
</file>

<file path=customXml/itemProps3.xml><?xml version="1.0" encoding="utf-8"?>
<ds:datastoreItem xmlns:ds="http://schemas.openxmlformats.org/officeDocument/2006/customXml" ds:itemID="{69A2B954-FF01-4AC3-A890-9CD4ADD13D9B}"/>
</file>

<file path=customXml/itemProps4.xml><?xml version="1.0" encoding="utf-8"?>
<ds:datastoreItem xmlns:ds="http://schemas.openxmlformats.org/officeDocument/2006/customXml" ds:itemID="{46A71751-11BB-414F-8E54-50A34819D4EC}"/>
</file>

<file path=customXml/itemProps5.xml><?xml version="1.0" encoding="utf-8"?>
<ds:datastoreItem xmlns:ds="http://schemas.openxmlformats.org/officeDocument/2006/customXml" ds:itemID="{55B89C35-4DB2-4B11-863A-E32F1BC314F6}"/>
</file>

<file path=customXml/itemProps6.xml><?xml version="1.0" encoding="utf-8"?>
<ds:datastoreItem xmlns:ds="http://schemas.openxmlformats.org/officeDocument/2006/customXml" ds:itemID="{3A7B1162-4257-4EB7-A2A6-DED41ECFBDF2}"/>
</file>

<file path=docProps/app.xml><?xml version="1.0" encoding="utf-8"?>
<Properties xmlns="http://schemas.openxmlformats.org/officeDocument/2006/extended-properties" xmlns:vt="http://schemas.openxmlformats.org/officeDocument/2006/docPropsVTypes">
  <Template>Normal.dotm</Template>
  <TotalTime>0</TotalTime>
  <Pages>8</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Olympic Water and Sewer Memo to dismiss</vt:lpstr>
    </vt:vector>
  </TitlesOfParts>
  <Company>Washington Utilities and Transportation Commission</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Water and Sewer Memo to dismiss</dc:title>
  <dc:creator>JWard</dc:creator>
  <cp:lastModifiedBy>Wyse, Lisa (UTC)</cp:lastModifiedBy>
  <cp:revision>2</cp:revision>
  <cp:lastPrinted>2014-08-25T20:56:00Z</cp:lastPrinted>
  <dcterms:created xsi:type="dcterms:W3CDTF">2014-08-26T17:04:00Z</dcterms:created>
  <dcterms:modified xsi:type="dcterms:W3CDTF">2014-08-26T17:04:00Z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0x0101006E56B4D1795A2E4DB2F0B01679ED314A00DFEC27B08A0F96489DD070D119B506F4</vt:lpwstr>
  </property>
  <property fmtid="{D5CDD505-2E9C-101B-9397-08002B2CF9AE}" pid="3" name="Item ID">
    <vt:lpwstr>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