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8DC" w:rsidRDefault="008378DC" w:rsidP="000274CD">
      <w:pPr>
        <w:spacing w:line="480" w:lineRule="auto"/>
        <w:jc w:val="center"/>
        <w:rPr>
          <w:b/>
          <w:caps/>
        </w:rPr>
      </w:pPr>
      <w:bookmarkStart w:id="0" w:name="TitleOfPleading"/>
      <w:bookmarkEnd w:id="0"/>
      <w:r>
        <w:rPr>
          <w:b/>
          <w:caps/>
        </w:rPr>
        <w:t xml:space="preserve">BEFORE THE </w:t>
      </w:r>
      <w:smartTag w:uri="urn:schemas:contacts" w:element="Sn">
        <w:smartTag w:uri="urn:schemas-microsoft-com:office:smarttags" w:element="State">
          <w:smartTag w:uri="urn:schemas-microsoft-com:office:smarttags" w:element="place">
            <w:r>
              <w:rPr>
                <w:b/>
                <w:caps/>
              </w:rPr>
              <w:t>WASHINGTON</w:t>
            </w:r>
          </w:smartTag>
        </w:smartTag>
      </w:smartTag>
      <w:r>
        <w:rPr>
          <w:b/>
          <w:caps/>
        </w:rPr>
        <w:t xml:space="preserve"> UTILITIES AND TRANSPORTATION COMMISSION</w:t>
      </w:r>
    </w:p>
    <w:p w:rsidR="008378DC" w:rsidRDefault="008378DC" w:rsidP="000274CD">
      <w:pPr>
        <w:spacing w:line="480" w:lineRule="auto"/>
        <w:jc w:val="center"/>
        <w:rPr>
          <w:b/>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4788"/>
      </w:tblGrid>
      <w:tr w:rsidR="008378DC" w:rsidTr="002460CE">
        <w:tc>
          <w:tcPr>
            <w:tcW w:w="4788" w:type="dxa"/>
            <w:tcBorders>
              <w:top w:val="nil"/>
              <w:left w:val="nil"/>
              <w:bottom w:val="single" w:sz="4" w:space="0" w:color="auto"/>
              <w:right w:val="single" w:sz="4" w:space="0" w:color="auto"/>
            </w:tcBorders>
          </w:tcPr>
          <w:p w:rsidR="000207E9" w:rsidRDefault="000207E9" w:rsidP="00A565EF">
            <w:pPr>
              <w:pStyle w:val="BodyTextIndent2"/>
              <w:ind w:left="720" w:hanging="720"/>
              <w:rPr>
                <w:rFonts w:ascii="Times New Roman" w:hAnsi="Times New Roman"/>
                <w:color w:val="000000"/>
              </w:rPr>
            </w:pPr>
            <w:r w:rsidRPr="00AB5E15">
              <w:rPr>
                <w:rFonts w:ascii="Times New Roman" w:hAnsi="Times New Roman"/>
                <w:color w:val="000000"/>
              </w:rPr>
              <w:t>Rulemaking Concerning</w:t>
            </w:r>
            <w:r>
              <w:rPr>
                <w:rFonts w:ascii="Times New Roman" w:hAnsi="Times New Roman"/>
                <w:color w:val="000000"/>
              </w:rPr>
              <w:t xml:space="preserve"> </w:t>
            </w:r>
            <w:r w:rsidRPr="00AB5E15">
              <w:rPr>
                <w:rFonts w:ascii="Times New Roman" w:hAnsi="Times New Roman"/>
                <w:color w:val="000000"/>
              </w:rPr>
              <w:t>Telec</w:t>
            </w:r>
            <w:r>
              <w:rPr>
                <w:rFonts w:ascii="Times New Roman" w:hAnsi="Times New Roman"/>
                <w:color w:val="000000"/>
              </w:rPr>
              <w:t>ommunications</w:t>
            </w:r>
          </w:p>
          <w:p w:rsidR="00EC6BDB" w:rsidRDefault="000207E9" w:rsidP="00A565EF">
            <w:pPr>
              <w:pStyle w:val="BodyTextIndent2"/>
              <w:ind w:left="720" w:hanging="720"/>
              <w:rPr>
                <w:rFonts w:ascii="Times New Roman" w:hAnsi="Times New Roman"/>
                <w:color w:val="000000"/>
              </w:rPr>
            </w:pPr>
            <w:r>
              <w:rPr>
                <w:rFonts w:ascii="Times New Roman" w:hAnsi="Times New Roman"/>
                <w:color w:val="000000"/>
              </w:rPr>
              <w:t>Service (Line) Extensions</w:t>
            </w:r>
          </w:p>
          <w:p w:rsidR="00133F75" w:rsidRPr="00AB5E15" w:rsidRDefault="00133F75" w:rsidP="00A565EF">
            <w:pPr>
              <w:pStyle w:val="BodyTextIndent2"/>
              <w:rPr>
                <w:rFonts w:ascii="Times New Roman" w:hAnsi="Times New Roman"/>
                <w:color w:val="000000"/>
              </w:rPr>
            </w:pPr>
            <w:r>
              <w:rPr>
                <w:rFonts w:ascii="Times New Roman" w:hAnsi="Times New Roman"/>
                <w:color w:val="000000"/>
              </w:rPr>
              <w:t>(WAC 480-120</w:t>
            </w:r>
            <w:r w:rsidR="008C7F33">
              <w:rPr>
                <w:rFonts w:ascii="Times New Roman" w:hAnsi="Times New Roman"/>
                <w:color w:val="000000"/>
              </w:rPr>
              <w:t>-071</w:t>
            </w:r>
            <w:r>
              <w:rPr>
                <w:rFonts w:ascii="Times New Roman" w:hAnsi="Times New Roman"/>
                <w:color w:val="000000"/>
              </w:rPr>
              <w:t xml:space="preserve"> a</w:t>
            </w:r>
            <w:r w:rsidRPr="00AB5E15">
              <w:rPr>
                <w:rFonts w:ascii="Times New Roman" w:hAnsi="Times New Roman"/>
                <w:color w:val="000000"/>
              </w:rPr>
              <w:t>nd 480-123)</w:t>
            </w:r>
          </w:p>
          <w:p w:rsidR="00133F75" w:rsidRDefault="00133F75" w:rsidP="00A565EF"/>
          <w:p w:rsidR="008378DC" w:rsidRDefault="00133F75" w:rsidP="00A565EF">
            <w:r>
              <w:t>Comment Opportunity (CR 101)</w:t>
            </w:r>
            <w:bookmarkStart w:id="1" w:name="tag2"/>
            <w:bookmarkEnd w:id="1"/>
          </w:p>
          <w:p w:rsidR="008378DC" w:rsidRDefault="008378DC" w:rsidP="00A565EF"/>
        </w:tc>
        <w:tc>
          <w:tcPr>
            <w:tcW w:w="4788" w:type="dxa"/>
            <w:tcBorders>
              <w:top w:val="nil"/>
              <w:left w:val="single" w:sz="4" w:space="0" w:color="auto"/>
              <w:bottom w:val="nil"/>
              <w:right w:val="nil"/>
            </w:tcBorders>
          </w:tcPr>
          <w:p w:rsidR="009B059F" w:rsidRDefault="009B059F" w:rsidP="000274CD">
            <w:pPr>
              <w:spacing w:line="480" w:lineRule="auto"/>
              <w:ind w:left="252"/>
            </w:pPr>
          </w:p>
          <w:p w:rsidR="008378DC" w:rsidRDefault="00C97C1F" w:rsidP="000274CD">
            <w:pPr>
              <w:spacing w:line="480" w:lineRule="auto"/>
              <w:ind w:left="252"/>
            </w:pPr>
            <w:r>
              <w:t>DOCKET NO. UT-07</w:t>
            </w:r>
            <w:r w:rsidR="00133F75">
              <w:t>3014</w:t>
            </w:r>
          </w:p>
          <w:p w:rsidR="00133F75" w:rsidRDefault="00133F75" w:rsidP="000274CD">
            <w:pPr>
              <w:spacing w:line="480" w:lineRule="auto"/>
              <w:ind w:left="252"/>
            </w:pPr>
          </w:p>
        </w:tc>
      </w:tr>
    </w:tbl>
    <w:p w:rsidR="008378DC" w:rsidRDefault="008378DC" w:rsidP="000274CD">
      <w:pPr>
        <w:spacing w:line="480" w:lineRule="auto"/>
        <w:jc w:val="center"/>
      </w:pPr>
    </w:p>
    <w:p w:rsidR="007945BB" w:rsidRDefault="000A515B" w:rsidP="007945BB">
      <w:pPr>
        <w:jc w:val="center"/>
        <w:rPr>
          <w:b/>
        </w:rPr>
      </w:pPr>
      <w:r>
        <w:rPr>
          <w:b/>
        </w:rPr>
        <w:t xml:space="preserve">REDACTED </w:t>
      </w:r>
    </w:p>
    <w:p w:rsidR="008378DC" w:rsidRDefault="00783A1B" w:rsidP="000274CD">
      <w:pPr>
        <w:spacing w:line="480" w:lineRule="auto"/>
        <w:jc w:val="center"/>
        <w:rPr>
          <w:b/>
        </w:rPr>
      </w:pPr>
      <w:r>
        <w:rPr>
          <w:b/>
        </w:rPr>
        <w:t xml:space="preserve">SECOND </w:t>
      </w:r>
      <w:r w:rsidR="008378DC">
        <w:rPr>
          <w:b/>
        </w:rPr>
        <w:t>COM</w:t>
      </w:r>
      <w:r w:rsidR="00C97C1F">
        <w:rPr>
          <w:b/>
        </w:rPr>
        <w:t>MENTS OF PUBLIC COUNSEL</w:t>
      </w:r>
    </w:p>
    <w:p w:rsidR="00DA34F9" w:rsidRDefault="0083228B" w:rsidP="000274CD">
      <w:pPr>
        <w:spacing w:line="480" w:lineRule="auto"/>
        <w:jc w:val="center"/>
        <w:rPr>
          <w:b/>
        </w:rPr>
      </w:pPr>
      <w:r>
        <w:rPr>
          <w:b/>
        </w:rPr>
        <w:t>February 11, 2008</w:t>
      </w:r>
    </w:p>
    <w:p w:rsidR="00C97C1F" w:rsidRPr="000274CD" w:rsidRDefault="008378DC" w:rsidP="000274CD">
      <w:pPr>
        <w:numPr>
          <w:ilvl w:val="0"/>
          <w:numId w:val="4"/>
        </w:numPr>
        <w:tabs>
          <w:tab w:val="clear" w:pos="720"/>
        </w:tabs>
        <w:spacing w:line="480" w:lineRule="auto"/>
        <w:ind w:left="0" w:firstLine="0"/>
        <w:jc w:val="center"/>
        <w:rPr>
          <w:b/>
        </w:rPr>
      </w:pPr>
      <w:r>
        <w:rPr>
          <w:b/>
        </w:rPr>
        <w:t>INTRODUCTION</w:t>
      </w:r>
    </w:p>
    <w:p w:rsidR="00167148" w:rsidRDefault="00160883" w:rsidP="000274CD">
      <w:pPr>
        <w:spacing w:line="480" w:lineRule="auto"/>
      </w:pPr>
      <w:r>
        <w:rPr>
          <w:szCs w:val="24"/>
        </w:rPr>
        <w:tab/>
        <w:t xml:space="preserve">The Public Counsel Section of the Washington Attorney General’s Office </w:t>
      </w:r>
      <w:r w:rsidR="00783A1B">
        <w:rPr>
          <w:szCs w:val="24"/>
        </w:rPr>
        <w:t xml:space="preserve">(Public Counsel) </w:t>
      </w:r>
      <w:r>
        <w:rPr>
          <w:szCs w:val="24"/>
        </w:rPr>
        <w:t>respectfully submits these comments in respon</w:t>
      </w:r>
      <w:r w:rsidR="00E63BC9">
        <w:rPr>
          <w:szCs w:val="24"/>
        </w:rPr>
        <w:t xml:space="preserve">se to the Commission’s </w:t>
      </w:r>
      <w:r>
        <w:rPr>
          <w:szCs w:val="24"/>
        </w:rPr>
        <w:t xml:space="preserve">Notice of Opportunity to Comment </w:t>
      </w:r>
      <w:r w:rsidR="00E63BC9">
        <w:rPr>
          <w:szCs w:val="24"/>
        </w:rPr>
        <w:t xml:space="preserve">on Draft Rules </w:t>
      </w:r>
      <w:r w:rsidR="00DB6B22">
        <w:rPr>
          <w:szCs w:val="24"/>
        </w:rPr>
        <w:t xml:space="preserve">(CR-101) </w:t>
      </w:r>
      <w:r w:rsidR="00783A1B">
        <w:rPr>
          <w:szCs w:val="24"/>
        </w:rPr>
        <w:t>issued January 10, 2008</w:t>
      </w:r>
      <w:r>
        <w:rPr>
          <w:szCs w:val="24"/>
        </w:rPr>
        <w:t xml:space="preserve">. </w:t>
      </w:r>
      <w:r w:rsidR="008E12BB">
        <w:t xml:space="preserve"> </w:t>
      </w:r>
      <w:r w:rsidR="00DB6B22">
        <w:t xml:space="preserve">Public Counsel believes that the primary goal of this rulemaking should be to create a </w:t>
      </w:r>
      <w:r w:rsidR="008C7F33">
        <w:t xml:space="preserve">balanced </w:t>
      </w:r>
      <w:r w:rsidR="00DB6B22">
        <w:t xml:space="preserve">rule that </w:t>
      </w:r>
      <w:r w:rsidR="008C7F33">
        <w:t>both promotes</w:t>
      </w:r>
      <w:r w:rsidR="00DB6B22">
        <w:t xml:space="preserve"> universal service and </w:t>
      </w:r>
      <w:r w:rsidR="00783A1B">
        <w:t>maintain</w:t>
      </w:r>
      <w:r w:rsidR="008C7F33">
        <w:t>s</w:t>
      </w:r>
      <w:r w:rsidR="00783A1B">
        <w:t xml:space="preserve"> reasonable rates</w:t>
      </w:r>
      <w:r w:rsidR="00DB6B22">
        <w:t xml:space="preserve">.  </w:t>
      </w:r>
      <w:r w:rsidR="008E12BB">
        <w:t xml:space="preserve">Such a rule should </w:t>
      </w:r>
      <w:r w:rsidR="00414A75">
        <w:t>accommodate the need for</w:t>
      </w:r>
      <w:r w:rsidR="008E12BB">
        <w:t xml:space="preserve"> extensions </w:t>
      </w:r>
      <w:r w:rsidR="00501695">
        <w:t>while minimizing the costs borne by</w:t>
      </w:r>
      <w:r w:rsidR="00414A75">
        <w:t xml:space="preserve"> companies and, ultimately,</w:t>
      </w:r>
      <w:r w:rsidR="00501695">
        <w:t xml:space="preserve"> the general body of ratepayers.</w:t>
      </w:r>
    </w:p>
    <w:p w:rsidR="00E75F58" w:rsidRDefault="00B50F31" w:rsidP="000274CD">
      <w:pPr>
        <w:spacing w:line="480" w:lineRule="auto"/>
        <w:ind w:firstLine="720"/>
        <w:rPr>
          <w:szCs w:val="24"/>
        </w:rPr>
      </w:pPr>
      <w:r>
        <w:t>As discussed below</w:t>
      </w:r>
      <w:r w:rsidR="00501695">
        <w:t>, we respectfully suggest that th</w:t>
      </w:r>
      <w:r>
        <w:t xml:space="preserve">e Commission </w:t>
      </w:r>
      <w:r w:rsidR="00DB6B22">
        <w:t>retain</w:t>
      </w:r>
      <w:r w:rsidR="00501695">
        <w:t xml:space="preserve"> the existing rule but amend it to include a cost allowance</w:t>
      </w:r>
      <w:r w:rsidR="007C4F9A">
        <w:t xml:space="preserve">, </w:t>
      </w:r>
      <w:r w:rsidR="00501695">
        <w:t>or price cap</w:t>
      </w:r>
      <w:r w:rsidR="007C4F9A">
        <w:t xml:space="preserve">, </w:t>
      </w:r>
      <w:r w:rsidR="00501695">
        <w:t>for individual</w:t>
      </w:r>
      <w:r>
        <w:t xml:space="preserve"> applicants</w:t>
      </w:r>
      <w:r w:rsidR="00E75F58">
        <w:t xml:space="preserve">.  </w:t>
      </w:r>
      <w:r>
        <w:t xml:space="preserve">A cost allowance would limit the overall cost </w:t>
      </w:r>
      <w:r w:rsidR="003461D0">
        <w:t xml:space="preserve">to </w:t>
      </w:r>
      <w:r w:rsidR="00DB6B22">
        <w:t>companies</w:t>
      </w:r>
      <w:r w:rsidR="008C7F33">
        <w:t xml:space="preserve"> </w:t>
      </w:r>
      <w:r>
        <w:t xml:space="preserve">while </w:t>
      </w:r>
      <w:r w:rsidR="003461D0">
        <w:t xml:space="preserve">still </w:t>
      </w:r>
      <w:r>
        <w:t xml:space="preserve">allowing for the construction of </w:t>
      </w:r>
      <w:r w:rsidR="008A63A8">
        <w:t>most extensions</w:t>
      </w:r>
      <w:r>
        <w:t xml:space="preserve">.  </w:t>
      </w:r>
      <w:r w:rsidR="00DB6B22">
        <w:t xml:space="preserve">Alternatively, if the Commission chooses to adopt the </w:t>
      </w:r>
      <w:r w:rsidR="00783A1B">
        <w:t>d</w:t>
      </w:r>
      <w:r w:rsidR="00DB6B22">
        <w:t xml:space="preserve">raft </w:t>
      </w:r>
      <w:r w:rsidR="00783A1B">
        <w:t>r</w:t>
      </w:r>
      <w:r w:rsidR="00DB6B22">
        <w:t>ule</w:t>
      </w:r>
      <w:r w:rsidR="005E70A1">
        <w:t>s</w:t>
      </w:r>
      <w:r w:rsidR="00DB6B22">
        <w:t>, we reco</w:t>
      </w:r>
      <w:r w:rsidR="00E75F58">
        <w:t xml:space="preserve">mmend </w:t>
      </w:r>
      <w:r w:rsidR="00DB6B22">
        <w:t xml:space="preserve">a number of </w:t>
      </w:r>
      <w:r w:rsidR="00E75F58">
        <w:t xml:space="preserve">changes that </w:t>
      </w:r>
      <w:r w:rsidR="008A63A8">
        <w:t xml:space="preserve">would </w:t>
      </w:r>
      <w:r w:rsidR="00F34A50">
        <w:rPr>
          <w:szCs w:val="24"/>
        </w:rPr>
        <w:t>more equitably balance the interests involved.</w:t>
      </w:r>
    </w:p>
    <w:p w:rsidR="00A565EF" w:rsidRDefault="00A565EF" w:rsidP="000274CD">
      <w:pPr>
        <w:spacing w:line="480" w:lineRule="auto"/>
        <w:ind w:firstLine="720"/>
      </w:pPr>
    </w:p>
    <w:p w:rsidR="00870A7F" w:rsidRDefault="00870A7F" w:rsidP="000274CD">
      <w:pPr>
        <w:spacing w:line="480" w:lineRule="auto"/>
        <w:ind w:firstLine="720"/>
      </w:pPr>
    </w:p>
    <w:p w:rsidR="00E75F58" w:rsidRPr="00E75F58" w:rsidRDefault="007F2496" w:rsidP="000274CD">
      <w:pPr>
        <w:pStyle w:val="ListParagraph"/>
        <w:numPr>
          <w:ilvl w:val="0"/>
          <w:numId w:val="4"/>
        </w:numPr>
        <w:spacing w:line="480" w:lineRule="auto"/>
        <w:jc w:val="center"/>
        <w:rPr>
          <w:b/>
        </w:rPr>
      </w:pPr>
      <w:r>
        <w:rPr>
          <w:b/>
        </w:rPr>
        <w:tab/>
      </w:r>
      <w:r w:rsidR="00783A1B">
        <w:rPr>
          <w:b/>
        </w:rPr>
        <w:t>SCALE OF THE PROBLEM</w:t>
      </w:r>
    </w:p>
    <w:p w:rsidR="00436C08" w:rsidRDefault="00414A75" w:rsidP="000274CD">
      <w:pPr>
        <w:pStyle w:val="ListParagraph"/>
        <w:spacing w:line="480" w:lineRule="auto"/>
        <w:ind w:left="0" w:firstLine="720"/>
      </w:pPr>
      <w:r w:rsidRPr="00C56553">
        <w:t xml:space="preserve">Neither the number nor the </w:t>
      </w:r>
      <w:r w:rsidR="00F34A50" w:rsidRPr="00C56553">
        <w:t>cost of extensions appears</w:t>
      </w:r>
      <w:r w:rsidRPr="00C56553">
        <w:t xml:space="preserve"> </w:t>
      </w:r>
      <w:r w:rsidR="00F34A50" w:rsidRPr="00C56553">
        <w:t>to be</w:t>
      </w:r>
      <w:r w:rsidR="005B5854" w:rsidRPr="00C56553">
        <w:t xml:space="preserve"> </w:t>
      </w:r>
      <w:r w:rsidR="00F34A50" w:rsidRPr="00C56553">
        <w:t xml:space="preserve">a </w:t>
      </w:r>
      <w:r w:rsidR="005B5854" w:rsidRPr="00C56553">
        <w:t>sig</w:t>
      </w:r>
      <w:r w:rsidR="003C43F7">
        <w:t>nificant problem in Washington S</w:t>
      </w:r>
      <w:r w:rsidR="005B5854" w:rsidRPr="00C56553">
        <w:t xml:space="preserve">tate.  </w:t>
      </w:r>
      <w:r w:rsidR="006B56E9" w:rsidRPr="00C56553">
        <w:t>Based on data provided by four companies</w:t>
      </w:r>
      <w:r w:rsidR="0016044F" w:rsidRPr="00C56553">
        <w:t xml:space="preserve"> that are</w:t>
      </w:r>
      <w:r w:rsidR="006B56E9" w:rsidRPr="00C56553">
        <w:t xml:space="preserve"> participating in this rulemaking, </w:t>
      </w:r>
      <w:r w:rsidR="0063627D" w:rsidRPr="00C56553">
        <w:t xml:space="preserve">approximately </w:t>
      </w:r>
      <w:r w:rsidR="006A7337" w:rsidRPr="00C56553">
        <w:t>79 extensions were constructed in</w:t>
      </w:r>
      <w:r w:rsidR="0063627D" w:rsidRPr="00C56553">
        <w:t xml:space="preserve"> 2006</w:t>
      </w:r>
      <w:r w:rsidR="005B5854" w:rsidRPr="00C56553">
        <w:t>.</w:t>
      </w:r>
      <w:r w:rsidR="006B56E9" w:rsidRPr="00C56553">
        <w:rPr>
          <w:rStyle w:val="FootnoteReference"/>
        </w:rPr>
        <w:footnoteReference w:id="2"/>
      </w:r>
      <w:r w:rsidR="00FB611E" w:rsidRPr="00C56553">
        <w:t xml:space="preserve"> </w:t>
      </w:r>
      <w:r w:rsidR="00251015" w:rsidRPr="00C56553">
        <w:t xml:space="preserve"> </w:t>
      </w:r>
      <w:r w:rsidR="006A7337" w:rsidRPr="00C56553">
        <w:t>During the first ten months of</w:t>
      </w:r>
      <w:r w:rsidR="0016044F" w:rsidRPr="00C56553">
        <w:t xml:space="preserve"> 2007, these</w:t>
      </w:r>
      <w:r w:rsidR="0063627D" w:rsidRPr="00C56553">
        <w:t xml:space="preserve"> companies constructed</w:t>
      </w:r>
      <w:r w:rsidR="0016044F" w:rsidRPr="00C56553">
        <w:t xml:space="preserve"> </w:t>
      </w:r>
      <w:r w:rsidR="00050A4D" w:rsidRPr="00C56553">
        <w:t xml:space="preserve">approximately </w:t>
      </w:r>
      <w:r w:rsidR="006A7337" w:rsidRPr="00C56553">
        <w:t>47</w:t>
      </w:r>
      <w:r w:rsidR="00050A4D" w:rsidRPr="00C56553">
        <w:t xml:space="preserve"> </w:t>
      </w:r>
      <w:r w:rsidR="0063627D" w:rsidRPr="00C56553">
        <w:t>extensions</w:t>
      </w:r>
      <w:r w:rsidR="007C4F9A" w:rsidRPr="00C56553">
        <w:t xml:space="preserve"> at a total estimated cost</w:t>
      </w:r>
      <w:r w:rsidR="00B57129" w:rsidRPr="00C56553">
        <w:t xml:space="preserve"> of just under $665,000</w:t>
      </w:r>
      <w:r w:rsidR="0063627D" w:rsidRPr="00C56553">
        <w:t>.</w:t>
      </w:r>
      <w:r w:rsidR="006A7337" w:rsidRPr="00C56553">
        <w:rPr>
          <w:rStyle w:val="FootnoteReference"/>
        </w:rPr>
        <w:footnoteReference w:id="3"/>
      </w:r>
      <w:r w:rsidR="0063627D" w:rsidRPr="00C56553">
        <w:t xml:space="preserve">  </w:t>
      </w:r>
      <w:r w:rsidR="00050A4D" w:rsidRPr="00C56553">
        <w:t xml:space="preserve">In </w:t>
      </w:r>
      <w:r w:rsidR="007C4F9A" w:rsidRPr="00C56553">
        <w:t xml:space="preserve">the first ten months of </w:t>
      </w:r>
      <w:r w:rsidR="00050A4D" w:rsidRPr="00C56553">
        <w:t>2007, t</w:t>
      </w:r>
      <w:r w:rsidR="005B5854" w:rsidRPr="00C56553">
        <w:t>he avera</w:t>
      </w:r>
      <w:r w:rsidR="000D3CFA" w:rsidRPr="00C56553">
        <w:t xml:space="preserve">ge </w:t>
      </w:r>
      <w:r w:rsidR="00050A4D" w:rsidRPr="00C56553">
        <w:t xml:space="preserve">per-customer cost </w:t>
      </w:r>
      <w:r w:rsidR="005C4B51" w:rsidRPr="00C56553">
        <w:t>for three of th</w:t>
      </w:r>
      <w:r w:rsidR="008C7F33">
        <w:t xml:space="preserve">e </w:t>
      </w:r>
      <w:r w:rsidR="005C4B51" w:rsidRPr="00C56553">
        <w:t>companies</w:t>
      </w:r>
      <w:r w:rsidR="005C4B51" w:rsidRPr="00C56553">
        <w:rPr>
          <w:rStyle w:val="FootnoteReference"/>
        </w:rPr>
        <w:footnoteReference w:id="4"/>
      </w:r>
      <w:r w:rsidR="005C4B51" w:rsidRPr="00C56553">
        <w:t xml:space="preserve"> </w:t>
      </w:r>
      <w:r w:rsidR="00050A4D" w:rsidRPr="00C56553">
        <w:t>was $</w:t>
      </w:r>
      <w:r w:rsidR="00FD5988" w:rsidRPr="00C56553">
        <w:t>11,696</w:t>
      </w:r>
      <w:r w:rsidR="008C7F33">
        <w:t>,</w:t>
      </w:r>
      <w:r w:rsidR="007C4F9A" w:rsidRPr="00C56553">
        <w:t xml:space="preserve"> and </w:t>
      </w:r>
      <w:r w:rsidR="00050A4D" w:rsidRPr="00C56553">
        <w:t>t</w:t>
      </w:r>
      <w:r w:rsidR="005B5854" w:rsidRPr="00C56553">
        <w:t xml:space="preserve">he average distance </w:t>
      </w:r>
      <w:r w:rsidR="007C4F9A" w:rsidRPr="00C56553">
        <w:t xml:space="preserve">of extensions </w:t>
      </w:r>
      <w:r w:rsidR="005B5854" w:rsidRPr="00C56553">
        <w:t xml:space="preserve">was </w:t>
      </w:r>
      <w:r w:rsidR="00783A1B" w:rsidRPr="00C56553">
        <w:t>2,</w:t>
      </w:r>
      <w:r w:rsidR="007254B8" w:rsidRPr="00C56553">
        <w:t>108</w:t>
      </w:r>
      <w:r w:rsidR="005B5854" w:rsidRPr="00C56553">
        <w:t xml:space="preserve"> feet, or just less than 4/10 of a mile.</w:t>
      </w:r>
      <w:r w:rsidR="005B5854">
        <w:t xml:space="preserve">  </w:t>
      </w:r>
    </w:p>
    <w:p w:rsidR="000D3CFA" w:rsidRDefault="000D3CFA" w:rsidP="000274CD">
      <w:pPr>
        <w:pStyle w:val="ListParagraph"/>
        <w:spacing w:line="480" w:lineRule="auto"/>
        <w:ind w:left="0" w:firstLine="720"/>
      </w:pPr>
      <w:r>
        <w:t>Because the scale of the problem is small, Public Counsel does not believe a wholesale revision of the current rule is needed</w:t>
      </w:r>
      <w:r w:rsidR="007C4F9A">
        <w:t>.  Instead, we recommend the Commission take</w:t>
      </w:r>
      <w:r w:rsidR="008C7F33">
        <w:t xml:space="preserve"> the</w:t>
      </w:r>
      <w:r w:rsidR="007C4F9A">
        <w:t xml:space="preserve"> incremental approach</w:t>
      </w:r>
      <w:r w:rsidR="008C7F33">
        <w:t xml:space="preserve"> described below</w:t>
      </w:r>
      <w:r w:rsidR="007C4F9A">
        <w:t>.</w:t>
      </w:r>
      <w:r>
        <w:t xml:space="preserve"> </w:t>
      </w:r>
    </w:p>
    <w:p w:rsidR="000F617F" w:rsidRPr="00E75F58" w:rsidRDefault="00E75F58" w:rsidP="000274CD">
      <w:pPr>
        <w:pStyle w:val="ListParagraph"/>
        <w:numPr>
          <w:ilvl w:val="0"/>
          <w:numId w:val="4"/>
        </w:numPr>
        <w:spacing w:line="480" w:lineRule="auto"/>
        <w:jc w:val="center"/>
        <w:rPr>
          <w:b/>
        </w:rPr>
      </w:pPr>
      <w:r>
        <w:tab/>
      </w:r>
      <w:r w:rsidR="000D3CFA">
        <w:rPr>
          <w:b/>
        </w:rPr>
        <w:t xml:space="preserve">PUBLIC COUNSEL’S </w:t>
      </w:r>
      <w:r w:rsidRPr="00E75F58">
        <w:rPr>
          <w:b/>
        </w:rPr>
        <w:t>COST ALLOWANCE ALTERNATIVE</w:t>
      </w:r>
    </w:p>
    <w:p w:rsidR="00675BF8" w:rsidRDefault="00E16E70" w:rsidP="000274CD">
      <w:pPr>
        <w:spacing w:line="480" w:lineRule="auto"/>
      </w:pPr>
      <w:r>
        <w:tab/>
      </w:r>
      <w:r w:rsidR="000C7FC0">
        <w:t>Public Counsel recommends that the Commission retain the existing rule, but amend it to include a cost allowance</w:t>
      </w:r>
      <w:r w:rsidR="003115E1">
        <w:t xml:space="preserve"> of $9,000</w:t>
      </w:r>
      <w:r w:rsidR="000C7FC0">
        <w:t xml:space="preserve">.  </w:t>
      </w:r>
      <w:r w:rsidR="0016201E">
        <w:t xml:space="preserve">Under </w:t>
      </w:r>
      <w:r w:rsidR="009D7648">
        <w:t>this proposal</w:t>
      </w:r>
      <w:r w:rsidR="0016201E">
        <w:t>, t</w:t>
      </w:r>
      <w:r w:rsidR="007A3815">
        <w:t xml:space="preserve">he existing requirement </w:t>
      </w:r>
      <w:r w:rsidR="0016201E">
        <w:t xml:space="preserve">that </w:t>
      </w:r>
      <w:r w:rsidR="007A3815">
        <w:t xml:space="preserve">applicants </w:t>
      </w:r>
      <w:r w:rsidR="0016201E">
        <w:lastRenderedPageBreak/>
        <w:t>make an</w:t>
      </w:r>
      <w:r w:rsidR="00E6521F">
        <w:t xml:space="preserve"> initial payment up to twenty times their basic monthly service rate</w:t>
      </w:r>
      <w:r w:rsidR="0016201E">
        <w:t xml:space="preserve"> would remain</w:t>
      </w:r>
      <w:r w:rsidR="00E6521F">
        <w:t>.</w:t>
      </w:r>
      <w:r w:rsidR="00347D00">
        <w:rPr>
          <w:rStyle w:val="FootnoteReference"/>
        </w:rPr>
        <w:footnoteReference w:id="5"/>
      </w:r>
      <w:r w:rsidR="00E6521F">
        <w:t xml:space="preserve">  Applicants would also remain responsible for paying the cost of trenching, conduit, or other structures, required for drop wire placement.</w:t>
      </w:r>
      <w:r w:rsidR="00347D00">
        <w:rPr>
          <w:rStyle w:val="FootnoteReference"/>
        </w:rPr>
        <w:footnoteReference w:id="6"/>
      </w:r>
      <w:r w:rsidR="00E6521F">
        <w:t xml:space="preserve">  </w:t>
      </w:r>
      <w:r w:rsidR="0016201E">
        <w:t>T</w:t>
      </w:r>
      <w:r w:rsidR="000C7FC0">
        <w:t>he applicant would then receive an allowance for the remaining</w:t>
      </w:r>
      <w:r w:rsidR="0016201E">
        <w:t xml:space="preserve"> cost, </w:t>
      </w:r>
      <w:r w:rsidR="000C7FC0">
        <w:t>up to $</w:t>
      </w:r>
      <w:r w:rsidR="003115E1">
        <w:t>9</w:t>
      </w:r>
      <w:r w:rsidR="007A3815">
        <w:t xml:space="preserve">,000.  </w:t>
      </w:r>
      <w:r w:rsidR="0016201E">
        <w:t>Accordingly, c</w:t>
      </w:r>
      <w:r w:rsidR="007A3815">
        <w:t>osts between $</w:t>
      </w:r>
      <w:r w:rsidR="00A30EC4">
        <w:t>360</w:t>
      </w:r>
      <w:r w:rsidR="007A3815">
        <w:t xml:space="preserve"> (the approximate amount of the initial payment) and $9,000 would be the company’s responsibility and would be recoverable</w:t>
      </w:r>
      <w:r w:rsidR="009D7648">
        <w:t xml:space="preserve"> in rates; i</w:t>
      </w:r>
      <w:r w:rsidR="007A3815">
        <w:t xml:space="preserve">ndividual applicants would be responsible for any costs beyond $9,000.  </w:t>
      </w:r>
    </w:p>
    <w:p w:rsidR="009D7648" w:rsidRDefault="00675BF8" w:rsidP="000274CD">
      <w:pPr>
        <w:spacing w:line="480" w:lineRule="auto"/>
      </w:pPr>
      <w:r>
        <w:tab/>
      </w:r>
      <w:r w:rsidR="009D7648">
        <w:t xml:space="preserve">A cost allowance is the simplest and most effective means of addressing the concerns of all parties—it would create a direct and clear-cut method for controlling overall costs while accommodating the need for extensions.  </w:t>
      </w:r>
      <w:r w:rsidR="00895E95">
        <w:t xml:space="preserve">Under </w:t>
      </w:r>
      <w:r w:rsidR="009768F0">
        <w:t>this proposal</w:t>
      </w:r>
      <w:r w:rsidR="00895E95">
        <w:t xml:space="preserve">, most applicants </w:t>
      </w:r>
      <w:r w:rsidR="009768F0">
        <w:t>would</w:t>
      </w:r>
      <w:r w:rsidR="00895E95">
        <w:t xml:space="preserve"> not face prohibitive costs</w:t>
      </w:r>
      <w:r w:rsidR="009768F0">
        <w:t xml:space="preserve">, meaning that most </w:t>
      </w:r>
      <w:r w:rsidR="009768F0" w:rsidRPr="00C56553">
        <w:t>extensions applied for would be built</w:t>
      </w:r>
      <w:r w:rsidR="00895E95" w:rsidRPr="00C56553">
        <w:t xml:space="preserve">.  </w:t>
      </w:r>
      <w:r w:rsidR="003E2364" w:rsidRPr="00C56553">
        <w:t xml:space="preserve">In 2007, </w:t>
      </w:r>
      <w:r w:rsidR="002B24E5" w:rsidRPr="00C56553">
        <w:t>51</w:t>
      </w:r>
      <w:r w:rsidR="002802EA" w:rsidRPr="00C56553">
        <w:t xml:space="preserve"> </w:t>
      </w:r>
      <w:r w:rsidR="003E2364" w:rsidRPr="00C56553">
        <w:t>percent of line extensions cost less than $9,000</w:t>
      </w:r>
      <w:r w:rsidR="009D7648">
        <w:t>.  Under</w:t>
      </w:r>
      <w:r w:rsidR="003E2364" w:rsidRPr="00FC2161">
        <w:t xml:space="preserve"> a </w:t>
      </w:r>
      <w:r w:rsidR="00921A61">
        <w:t xml:space="preserve">cost </w:t>
      </w:r>
      <w:r w:rsidR="003E2364" w:rsidRPr="00FC2161">
        <w:t xml:space="preserve">allowance, these would all be constructed with customers </w:t>
      </w:r>
      <w:r w:rsidR="003E2364" w:rsidRPr="00C56553">
        <w:t>paying</w:t>
      </w:r>
      <w:r w:rsidR="00FC2161" w:rsidRPr="00C56553">
        <w:t xml:space="preserve"> only</w:t>
      </w:r>
      <w:r w:rsidR="003E2364" w:rsidRPr="00C56553">
        <w:t xml:space="preserve"> the initial fee.  </w:t>
      </w:r>
      <w:r w:rsidR="00FC2161" w:rsidRPr="00C56553">
        <w:t xml:space="preserve">Of the remaining extensions, most were not significantly more than </w:t>
      </w:r>
      <w:r w:rsidR="003E2364" w:rsidRPr="00C56553">
        <w:t xml:space="preserve">$9,000; </w:t>
      </w:r>
      <w:r w:rsidR="00FC2161" w:rsidRPr="00C56553">
        <w:t xml:space="preserve">this is demonstrated by the fact that </w:t>
      </w:r>
      <w:r w:rsidR="003E2364" w:rsidRPr="00C56553">
        <w:t>t</w:t>
      </w:r>
      <w:r w:rsidR="00F806C3" w:rsidRPr="00C56553">
        <w:t xml:space="preserve">he average cost of line extensions in </w:t>
      </w:r>
      <w:r w:rsidR="001C7536" w:rsidRPr="00C56553">
        <w:t>2007 was less than $</w:t>
      </w:r>
      <w:r w:rsidR="002B24E5" w:rsidRPr="00C56553">
        <w:t>11,7</w:t>
      </w:r>
      <w:r w:rsidR="001C7536" w:rsidRPr="00C56553">
        <w:t>00.</w:t>
      </w:r>
      <w:r w:rsidR="001C7536" w:rsidRPr="00C56553">
        <w:rPr>
          <w:rStyle w:val="FootnoteReference"/>
        </w:rPr>
        <w:footnoteReference w:id="7"/>
      </w:r>
      <w:r w:rsidR="003A6D67" w:rsidRPr="00FC2161">
        <w:t xml:space="preserve">  </w:t>
      </w:r>
      <w:r w:rsidR="00FA0FC6">
        <w:t>Thus, an additional group of applicants could obtain extensions for not much more than the initial fee</w:t>
      </w:r>
      <w:r w:rsidR="0059486E" w:rsidRPr="00FC2161">
        <w:t xml:space="preserve">.  </w:t>
      </w:r>
    </w:p>
    <w:p w:rsidR="00675BF8" w:rsidRDefault="009D7648" w:rsidP="000274CD">
      <w:pPr>
        <w:spacing w:line="480" w:lineRule="auto"/>
      </w:pPr>
      <w:r>
        <w:tab/>
      </w:r>
      <w:r w:rsidR="0059486E" w:rsidRPr="00FC2161">
        <w:t xml:space="preserve">At the same time, </w:t>
      </w:r>
      <w:r w:rsidR="00414E87">
        <w:t xml:space="preserve">the cost </w:t>
      </w:r>
      <w:r w:rsidR="00B00A48">
        <w:t xml:space="preserve">borne by </w:t>
      </w:r>
      <w:r w:rsidR="0059486E" w:rsidRPr="00FC2161">
        <w:t>companies</w:t>
      </w:r>
      <w:r w:rsidR="00414E87">
        <w:t>,</w:t>
      </w:r>
      <w:r w:rsidR="0059486E" w:rsidRPr="00FC2161">
        <w:t xml:space="preserve"> and </w:t>
      </w:r>
      <w:r w:rsidR="00895E95">
        <w:t xml:space="preserve">ultimately </w:t>
      </w:r>
      <w:r w:rsidR="0059486E" w:rsidRPr="00FC2161">
        <w:t xml:space="preserve">the general body of </w:t>
      </w:r>
      <w:r w:rsidR="00895E95" w:rsidRPr="00FC2161">
        <w:t>ratepayers</w:t>
      </w:r>
      <w:r w:rsidR="00414E87">
        <w:t>,</w:t>
      </w:r>
      <w:r w:rsidR="0059486E" w:rsidRPr="00FC2161">
        <w:t xml:space="preserve"> </w:t>
      </w:r>
      <w:r w:rsidR="00414E87">
        <w:t>would fall</w:t>
      </w:r>
      <w:r w:rsidR="00025C31">
        <w:t xml:space="preserve">.  </w:t>
      </w:r>
      <w:r w:rsidR="00B00A48">
        <w:t>For example, i</w:t>
      </w:r>
      <w:r w:rsidR="00025C31">
        <w:t xml:space="preserve">f the </w:t>
      </w:r>
      <w:r w:rsidR="00921A61">
        <w:t>cost</w:t>
      </w:r>
      <w:r w:rsidR="00025C31">
        <w:t xml:space="preserve"> allowance had been in place in 2007, </w:t>
      </w:r>
      <w:r w:rsidR="00025C31" w:rsidRPr="00C56553">
        <w:t xml:space="preserve">CenturyTel’s total cost would have </w:t>
      </w:r>
      <w:r w:rsidR="00D278A2" w:rsidRPr="00D278A2">
        <w:rPr>
          <w:b/>
        </w:rPr>
        <w:t xml:space="preserve">[Begin Confidential] </w:t>
      </w:r>
      <w:r w:rsidR="00C55FAA">
        <w:rPr>
          <w:b/>
        </w:rPr>
        <w:t xml:space="preserve">XXXXXXXXXXXXXXXXXXXXX </w:t>
      </w:r>
      <w:r w:rsidR="00D278A2" w:rsidRPr="00D278A2">
        <w:rPr>
          <w:b/>
        </w:rPr>
        <w:lastRenderedPageBreak/>
        <w:t>[End Confidential</w:t>
      </w:r>
      <w:r w:rsidR="00D278A2">
        <w:t>]</w:t>
      </w:r>
      <w:r w:rsidR="00025C31" w:rsidRPr="00C56553">
        <w:t>.  Similarly, Toledo and Embarq’s costs would</w:t>
      </w:r>
      <w:r w:rsidR="00800F10">
        <w:t xml:space="preserve"> have</w:t>
      </w:r>
      <w:r w:rsidR="009768F0" w:rsidRPr="00C56553">
        <w:t xml:space="preserve"> </w:t>
      </w:r>
      <w:r w:rsidR="00D278A2" w:rsidRPr="00D278A2">
        <w:rPr>
          <w:b/>
        </w:rPr>
        <w:t xml:space="preserve">[Begin Confidential] </w:t>
      </w:r>
      <w:r w:rsidR="00C55FAA">
        <w:rPr>
          <w:b/>
        </w:rPr>
        <w:t>XXXXXXXXXXXXXXXXXXXXXXXXXX</w:t>
      </w:r>
      <w:r w:rsidR="00D278A2" w:rsidRPr="00D278A2">
        <w:rPr>
          <w:b/>
        </w:rPr>
        <w:t xml:space="preserve"> [End Confidential]</w:t>
      </w:r>
      <w:r w:rsidR="00025C31" w:rsidRPr="00D278A2">
        <w:t>.</w:t>
      </w:r>
      <w:r w:rsidR="00414E87" w:rsidRPr="00D278A2">
        <w:rPr>
          <w:rStyle w:val="FootnoteReference"/>
        </w:rPr>
        <w:footnoteReference w:id="8"/>
      </w:r>
      <w:r w:rsidR="00DA18C8">
        <w:t xml:space="preserve"> </w:t>
      </w:r>
      <w:r w:rsidR="00414E87">
        <w:t xml:space="preserve"> </w:t>
      </w:r>
    </w:p>
    <w:p w:rsidR="00D26040" w:rsidRPr="00025C31" w:rsidRDefault="00D26040" w:rsidP="000274CD">
      <w:pPr>
        <w:spacing w:line="480" w:lineRule="auto"/>
      </w:pPr>
      <w:r>
        <w:tab/>
        <w:t>In sum, a cost allowance would shift costs from the companies, and ultimately the general body of ratepayers, to those few individuals requesting expensive extensions.</w:t>
      </w:r>
      <w:r>
        <w:rPr>
          <w:rStyle w:val="FootnoteReference"/>
        </w:rPr>
        <w:footnoteReference w:id="9"/>
      </w:r>
    </w:p>
    <w:p w:rsidR="0016283A" w:rsidRDefault="007F2496" w:rsidP="000274CD">
      <w:pPr>
        <w:pStyle w:val="ListParagraph"/>
        <w:numPr>
          <w:ilvl w:val="0"/>
          <w:numId w:val="4"/>
        </w:numPr>
        <w:spacing w:line="480" w:lineRule="auto"/>
        <w:jc w:val="center"/>
        <w:rPr>
          <w:b/>
          <w:szCs w:val="24"/>
        </w:rPr>
      </w:pPr>
      <w:r>
        <w:rPr>
          <w:b/>
          <w:szCs w:val="24"/>
        </w:rPr>
        <w:tab/>
      </w:r>
      <w:r w:rsidR="0083228B">
        <w:rPr>
          <w:b/>
          <w:szCs w:val="24"/>
        </w:rPr>
        <w:t>COMMENTS AND AMENDMENTS</w:t>
      </w:r>
    </w:p>
    <w:p w:rsidR="00A50264" w:rsidRPr="002D18A0" w:rsidRDefault="006445C1" w:rsidP="000274CD">
      <w:pPr>
        <w:pStyle w:val="ListParagraph"/>
        <w:spacing w:line="480" w:lineRule="auto"/>
        <w:ind w:left="0" w:firstLine="720"/>
        <w:rPr>
          <w:szCs w:val="24"/>
        </w:rPr>
      </w:pPr>
      <w:r>
        <w:rPr>
          <w:szCs w:val="24"/>
        </w:rPr>
        <w:t>Public Counsel</w:t>
      </w:r>
      <w:r w:rsidR="0083228B">
        <w:rPr>
          <w:szCs w:val="24"/>
        </w:rPr>
        <w:t xml:space="preserve"> </w:t>
      </w:r>
      <w:r w:rsidR="006B6959">
        <w:rPr>
          <w:szCs w:val="24"/>
        </w:rPr>
        <w:t>recommends</w:t>
      </w:r>
      <w:r w:rsidR="0083228B">
        <w:rPr>
          <w:szCs w:val="24"/>
        </w:rPr>
        <w:t xml:space="preserve"> the cost allowance approach discussed above</w:t>
      </w:r>
      <w:r>
        <w:rPr>
          <w:szCs w:val="24"/>
        </w:rPr>
        <w:t xml:space="preserve"> </w:t>
      </w:r>
      <w:r w:rsidR="009D7648">
        <w:rPr>
          <w:szCs w:val="24"/>
        </w:rPr>
        <w:t>as preferable to the proposed draft</w:t>
      </w:r>
      <w:r w:rsidR="006B6959">
        <w:rPr>
          <w:szCs w:val="24"/>
        </w:rPr>
        <w:t xml:space="preserve"> rules. </w:t>
      </w:r>
      <w:r>
        <w:rPr>
          <w:szCs w:val="24"/>
        </w:rPr>
        <w:t xml:space="preserve"> </w:t>
      </w:r>
      <w:r w:rsidR="007F2496">
        <w:rPr>
          <w:szCs w:val="24"/>
        </w:rPr>
        <w:t>However, if the C</w:t>
      </w:r>
      <w:r w:rsidR="006B6959">
        <w:rPr>
          <w:szCs w:val="24"/>
        </w:rPr>
        <w:t xml:space="preserve">ommission wishes to adopt the </w:t>
      </w:r>
      <w:r w:rsidR="009D7648">
        <w:rPr>
          <w:szCs w:val="24"/>
        </w:rPr>
        <w:t xml:space="preserve">draft </w:t>
      </w:r>
      <w:r w:rsidR="006B6959">
        <w:rPr>
          <w:szCs w:val="24"/>
        </w:rPr>
        <w:t xml:space="preserve">rules, we recommend the following amendments to more equitably balance the interests involved. </w:t>
      </w:r>
    </w:p>
    <w:p w:rsidR="00A50264" w:rsidRDefault="00B00A48" w:rsidP="00A565EF">
      <w:pPr>
        <w:pStyle w:val="ListParagraph"/>
        <w:numPr>
          <w:ilvl w:val="0"/>
          <w:numId w:val="16"/>
        </w:numPr>
        <w:spacing w:line="480" w:lineRule="auto"/>
        <w:ind w:hanging="720"/>
        <w:rPr>
          <w:b/>
          <w:szCs w:val="24"/>
        </w:rPr>
      </w:pPr>
      <w:r>
        <w:rPr>
          <w:b/>
          <w:szCs w:val="24"/>
        </w:rPr>
        <w:t>Draft WAC 480-120-071(2)</w:t>
      </w:r>
      <w:r w:rsidR="003118DE" w:rsidRPr="003118DE">
        <w:rPr>
          <w:b/>
          <w:szCs w:val="24"/>
        </w:rPr>
        <w:t>:  Time deadlines for extension of service</w:t>
      </w:r>
      <w:r w:rsidR="001A5885">
        <w:rPr>
          <w:b/>
          <w:szCs w:val="24"/>
        </w:rPr>
        <w:t>.</w:t>
      </w:r>
    </w:p>
    <w:p w:rsidR="003118DE" w:rsidRDefault="007B0F70" w:rsidP="003118DE">
      <w:pPr>
        <w:pStyle w:val="ListParagraph"/>
        <w:spacing w:line="480" w:lineRule="auto"/>
        <w:ind w:left="0"/>
      </w:pPr>
      <w:r>
        <w:tab/>
        <w:t xml:space="preserve">Where applicants are responsible for some of the cost, i.e. any time the extension is above the 1/10 of a mile allowance, </w:t>
      </w:r>
      <w:r w:rsidR="009768F0">
        <w:t>the draft rule</w:t>
      </w:r>
      <w:r w:rsidR="005E70A1">
        <w:t>s</w:t>
      </w:r>
      <w:r w:rsidR="009768F0">
        <w:t xml:space="preserve"> require </w:t>
      </w:r>
      <w:r>
        <w:t xml:space="preserve">companies </w:t>
      </w:r>
      <w:r w:rsidR="009768F0">
        <w:t>to</w:t>
      </w:r>
      <w:r>
        <w:t xml:space="preserve"> extend service within 12 months </w:t>
      </w:r>
      <w:r w:rsidR="00921A61">
        <w:t>from the time that the</w:t>
      </w:r>
      <w:r w:rsidR="00CA0C13">
        <w:t xml:space="preserve"> applicant meets the company’s payment terms.  </w:t>
      </w:r>
      <w:r>
        <w:t>However, c</w:t>
      </w:r>
      <w:r w:rsidR="006B6959">
        <w:t xml:space="preserve">ompanies </w:t>
      </w:r>
      <w:r w:rsidR="009D7648">
        <w:t xml:space="preserve">can </w:t>
      </w:r>
      <w:r w:rsidR="008612A7">
        <w:t xml:space="preserve">set any </w:t>
      </w:r>
      <w:r w:rsidR="006B6959">
        <w:t>payment terms</w:t>
      </w:r>
      <w:r w:rsidR="008612A7">
        <w:t xml:space="preserve"> </w:t>
      </w:r>
      <w:r w:rsidR="009D7648">
        <w:t>they wish</w:t>
      </w:r>
      <w:r w:rsidR="006B6959">
        <w:t xml:space="preserve"> and could require an applicant to pay in full before it extends service.  </w:t>
      </w:r>
      <w:r w:rsidR="00921A61">
        <w:t xml:space="preserve">This </w:t>
      </w:r>
      <w:r w:rsidR="008612A7">
        <w:t xml:space="preserve">provision </w:t>
      </w:r>
      <w:r w:rsidR="00921A61">
        <w:t>conflicts with the rule’s requirement that service be extended “in a timely manner” because, f</w:t>
      </w:r>
      <w:r w:rsidR="006B6959">
        <w:t xml:space="preserve">or applicants who </w:t>
      </w:r>
      <w:r w:rsidR="008612A7">
        <w:t>cannot pay the full cost immediately</w:t>
      </w:r>
      <w:r w:rsidR="006B6959">
        <w:t xml:space="preserve">, </w:t>
      </w:r>
      <w:r w:rsidR="00921A61">
        <w:t xml:space="preserve">it </w:t>
      </w:r>
      <w:r w:rsidR="006B6959">
        <w:t xml:space="preserve">may mean going without phone service for </w:t>
      </w:r>
      <w:r w:rsidR="00921A61">
        <w:t>much longer than one year.</w:t>
      </w:r>
    </w:p>
    <w:p w:rsidR="00870A7F" w:rsidRDefault="002012D5" w:rsidP="005D1F83">
      <w:pPr>
        <w:pStyle w:val="ListParagraph"/>
        <w:spacing w:line="480" w:lineRule="auto"/>
        <w:ind w:left="0"/>
      </w:pPr>
      <w:r>
        <w:tab/>
        <w:t xml:space="preserve">Accordingly, the Commission </w:t>
      </w:r>
      <w:r w:rsidR="00B00A48">
        <w:t>should consider</w:t>
      </w:r>
      <w:r w:rsidR="004919D5">
        <w:t xml:space="preserve"> requiring companies to make reasonable payment plans available to all applicant</w:t>
      </w:r>
      <w:r w:rsidR="002B24E5">
        <w:t>s</w:t>
      </w:r>
      <w:r w:rsidR="004919D5">
        <w:t xml:space="preserve"> and begin the</w:t>
      </w:r>
      <w:r w:rsidR="00C86526">
        <w:t xml:space="preserve"> running</w:t>
      </w:r>
      <w:r w:rsidR="004919D5">
        <w:t xml:space="preserve"> of the 12 month deadline upon </w:t>
      </w:r>
    </w:p>
    <w:p w:rsidR="00870A7F" w:rsidRDefault="00870A7F">
      <w:pPr>
        <w:rPr>
          <w:rFonts w:eastAsia="Calibri"/>
          <w:szCs w:val="22"/>
        </w:rPr>
      </w:pPr>
      <w:r>
        <w:br w:type="page"/>
      </w:r>
    </w:p>
    <w:p w:rsidR="00F9745E" w:rsidRPr="00AA5868" w:rsidRDefault="00E746F9" w:rsidP="005D1F83">
      <w:pPr>
        <w:pStyle w:val="ListParagraph"/>
        <w:spacing w:line="480" w:lineRule="auto"/>
        <w:ind w:left="0"/>
      </w:pPr>
      <w:proofErr w:type="gramStart"/>
      <w:r>
        <w:lastRenderedPageBreak/>
        <w:t>substantial</w:t>
      </w:r>
      <w:proofErr w:type="gramEnd"/>
      <w:r>
        <w:t xml:space="preserve">, </w:t>
      </w:r>
      <w:r w:rsidR="004919D5">
        <w:t>partial payment</w:t>
      </w:r>
      <w:r w:rsidR="002012D5">
        <w:t>.</w:t>
      </w:r>
      <w:r w:rsidR="00921A61">
        <w:t xml:space="preserve">  </w:t>
      </w:r>
      <w:r w:rsidR="00F9745E">
        <w:t xml:space="preserve">Section (2) </w:t>
      </w:r>
      <w:r w:rsidR="00921A61">
        <w:t>could</w:t>
      </w:r>
      <w:r w:rsidR="002B24E5">
        <w:t xml:space="preserve"> </w:t>
      </w:r>
      <w:r w:rsidR="00F9745E">
        <w:t>be amended to read:</w:t>
      </w:r>
    </w:p>
    <w:p w:rsidR="00F9745E" w:rsidRDefault="00F9745E" w:rsidP="00AA5868">
      <w:pPr>
        <w:ind w:left="720" w:right="720"/>
        <w:jc w:val="both"/>
        <w:rPr>
          <w:strike/>
        </w:rPr>
      </w:pPr>
      <w:r w:rsidRPr="00AA5868">
        <w:t xml:space="preserve">   </w:t>
      </w:r>
      <w:r w:rsidRPr="00AA5868">
        <w:tab/>
      </w:r>
      <w:r w:rsidR="005D1F83">
        <w:t>(iv)</w:t>
      </w:r>
      <w:r w:rsidR="00AA5868" w:rsidRPr="00AA5868">
        <w:t xml:space="preserve"> </w:t>
      </w:r>
      <w:r w:rsidRPr="00AA5868">
        <w:t xml:space="preserve">When the company bills for construction charges, </w:t>
      </w:r>
      <w:r w:rsidRPr="00AA5868">
        <w:rPr>
          <w:strike/>
        </w:rPr>
        <w:t>including extraordinary costs under subsection (3</w:t>
      </w:r>
      <w:proofErr w:type="gramStart"/>
      <w:r w:rsidRPr="00AA5868">
        <w:rPr>
          <w:strike/>
        </w:rPr>
        <w:t>)(</w:t>
      </w:r>
      <w:proofErr w:type="gramEnd"/>
      <w:r w:rsidRPr="00AA5868">
        <w:rPr>
          <w:strike/>
        </w:rPr>
        <w:t>b) of this section,</w:t>
      </w:r>
      <w:r w:rsidRPr="00AA5868">
        <w:t xml:space="preserve"> </w:t>
      </w:r>
      <w:r w:rsidR="004919D5">
        <w:rPr>
          <w:u w:val="single"/>
        </w:rPr>
        <w:t>i</w:t>
      </w:r>
      <w:r w:rsidR="00B00A48">
        <w:rPr>
          <w:u w:val="single"/>
        </w:rPr>
        <w:t>t</w:t>
      </w:r>
      <w:r w:rsidR="004919D5">
        <w:rPr>
          <w:u w:val="single"/>
        </w:rPr>
        <w:t xml:space="preserve"> must make a payment plan</w:t>
      </w:r>
      <w:r w:rsidR="00E746F9">
        <w:rPr>
          <w:u w:val="single"/>
        </w:rPr>
        <w:t>,</w:t>
      </w:r>
      <w:r w:rsidR="004919D5">
        <w:rPr>
          <w:u w:val="single"/>
        </w:rPr>
        <w:t xml:space="preserve"> allowing payment on a reasonable schedule, available to the applicant.  The company</w:t>
      </w:r>
      <w:r w:rsidRPr="00AA5868">
        <w:t xml:space="preserve"> must complete the extension and provide new tariffed residential basic local exchange service within </w:t>
      </w:r>
      <w:r w:rsidR="005D1F83" w:rsidRPr="005D1F83">
        <w:t>twelve</w:t>
      </w:r>
      <w:r w:rsidR="002F2CDA" w:rsidRPr="005D1F83">
        <w:t xml:space="preserve"> </w:t>
      </w:r>
      <w:r w:rsidRPr="00AA5868">
        <w:t xml:space="preserve">months after the applicant </w:t>
      </w:r>
      <w:r w:rsidRPr="00B00A48">
        <w:rPr>
          <w:strike/>
        </w:rPr>
        <w:t>meets the payment terms</w:t>
      </w:r>
      <w:r w:rsidRPr="00AA5868">
        <w:t xml:space="preserve"> </w:t>
      </w:r>
      <w:r w:rsidR="00B00A48" w:rsidRPr="00B00A48">
        <w:rPr>
          <w:u w:val="single"/>
        </w:rPr>
        <w:t>pays an initial fee</w:t>
      </w:r>
      <w:r w:rsidR="00E746F9">
        <w:rPr>
          <w:u w:val="single"/>
        </w:rPr>
        <w:t xml:space="preserve"> set by the </w:t>
      </w:r>
      <w:proofErr w:type="spellStart"/>
      <w:r w:rsidR="00E746F9">
        <w:rPr>
          <w:u w:val="single"/>
        </w:rPr>
        <w:t>company.</w:t>
      </w:r>
      <w:r w:rsidRPr="00E746F9">
        <w:rPr>
          <w:strike/>
        </w:rPr>
        <w:t>established</w:t>
      </w:r>
      <w:proofErr w:type="spellEnd"/>
      <w:r w:rsidRPr="00E746F9">
        <w:rPr>
          <w:strike/>
        </w:rPr>
        <w:t xml:space="preserve"> by the company</w:t>
      </w:r>
      <w:r w:rsidR="00967C98" w:rsidRPr="00E746F9">
        <w:rPr>
          <w:strike/>
        </w:rPr>
        <w:t>.</w:t>
      </w:r>
      <w:r w:rsidRPr="00E746F9">
        <w:rPr>
          <w:strike/>
        </w:rPr>
        <w:t>(</w:t>
      </w:r>
      <w:r w:rsidRPr="00967C98">
        <w:rPr>
          <w:strike/>
        </w:rPr>
        <w:t>e.g., payment in full, partial payment on a schedule).</w:t>
      </w:r>
      <w:r w:rsidRPr="00967C98">
        <w:t xml:space="preserve"> </w:t>
      </w:r>
      <w:r w:rsidR="00967C98" w:rsidRPr="00967C98">
        <w:t xml:space="preserve"> </w:t>
      </w:r>
      <w:r w:rsidR="00E746F9">
        <w:rPr>
          <w:u w:val="single"/>
        </w:rPr>
        <w:t>However, i</w:t>
      </w:r>
      <w:r w:rsidR="008612A7">
        <w:rPr>
          <w:u w:val="single"/>
        </w:rPr>
        <w:t xml:space="preserve">n no case may a company </w:t>
      </w:r>
      <w:r w:rsidR="00E746F9">
        <w:rPr>
          <w:u w:val="single"/>
        </w:rPr>
        <w:t>require</w:t>
      </w:r>
      <w:r w:rsidR="008612A7">
        <w:rPr>
          <w:u w:val="single"/>
        </w:rPr>
        <w:t xml:space="preserve"> an initial fee of </w:t>
      </w:r>
      <w:r w:rsidR="00E746F9">
        <w:rPr>
          <w:u w:val="single"/>
        </w:rPr>
        <w:t>more</w:t>
      </w:r>
      <w:r w:rsidR="008612A7">
        <w:rPr>
          <w:u w:val="single"/>
        </w:rPr>
        <w:t xml:space="preserve"> than</w:t>
      </w:r>
      <w:r w:rsidR="00030C73">
        <w:rPr>
          <w:u w:val="single"/>
        </w:rPr>
        <w:t xml:space="preserve"> </w:t>
      </w:r>
      <w:r w:rsidR="00967C98">
        <w:rPr>
          <w:u w:val="single"/>
        </w:rPr>
        <w:t>twenty times the applicant’s basic monthly service rate exclusive of all</w:t>
      </w:r>
      <w:r w:rsidR="00030C73">
        <w:rPr>
          <w:u w:val="single"/>
        </w:rPr>
        <w:t xml:space="preserve"> fees, taxes, or other charges</w:t>
      </w:r>
      <w:r w:rsidR="00967C98">
        <w:rPr>
          <w:u w:val="single"/>
        </w:rPr>
        <w:t>.</w:t>
      </w:r>
      <w:r w:rsidR="00967C98" w:rsidRPr="00030C73">
        <w:t xml:space="preserve">  </w:t>
      </w:r>
      <w:r w:rsidRPr="00AA5868">
        <w:t xml:space="preserve">If there are multiple applicants under subsection (3) of this section, </w:t>
      </w:r>
      <w:r w:rsidR="00967C98">
        <w:rPr>
          <w:u w:val="single"/>
        </w:rPr>
        <w:t xml:space="preserve">each applicant may be required to </w:t>
      </w:r>
      <w:r w:rsidR="00B00A48">
        <w:rPr>
          <w:u w:val="single"/>
        </w:rPr>
        <w:t>pay the initial fee</w:t>
      </w:r>
      <w:r w:rsidR="00967C98">
        <w:rPr>
          <w:u w:val="single"/>
        </w:rPr>
        <w:t xml:space="preserve"> established by the company or pay the amount described above</w:t>
      </w:r>
      <w:r w:rsidR="00967C98" w:rsidRPr="00B00A48">
        <w:t>.</w:t>
      </w:r>
      <w:r w:rsidR="00921A61" w:rsidRPr="00B00A48">
        <w:t xml:space="preserve">  </w:t>
      </w:r>
      <w:r w:rsidRPr="00967C98">
        <w:rPr>
          <w:strike/>
        </w:rPr>
        <w:t>then all applicants must meet the payment terms established by the company.</w:t>
      </w:r>
    </w:p>
    <w:p w:rsidR="001A5885" w:rsidRPr="005D1F83" w:rsidRDefault="001A5885" w:rsidP="00AA5868">
      <w:pPr>
        <w:ind w:left="720" w:right="720"/>
        <w:jc w:val="both"/>
        <w:rPr>
          <w:strike/>
        </w:rPr>
      </w:pPr>
    </w:p>
    <w:p w:rsidR="00D3685B" w:rsidRDefault="008612A7" w:rsidP="001A5885">
      <w:pPr>
        <w:pStyle w:val="ListParagraph"/>
        <w:numPr>
          <w:ilvl w:val="0"/>
          <w:numId w:val="16"/>
        </w:numPr>
        <w:spacing w:line="480" w:lineRule="auto"/>
        <w:ind w:hanging="720"/>
        <w:rPr>
          <w:b/>
          <w:szCs w:val="24"/>
        </w:rPr>
      </w:pPr>
      <w:r>
        <w:rPr>
          <w:b/>
          <w:szCs w:val="24"/>
        </w:rPr>
        <w:t>Draft WAC 480-120-071</w:t>
      </w:r>
      <w:r w:rsidR="00A50264">
        <w:rPr>
          <w:b/>
          <w:szCs w:val="24"/>
        </w:rPr>
        <w:t>(3)(a)</w:t>
      </w:r>
      <w:r w:rsidR="007165B8">
        <w:rPr>
          <w:b/>
          <w:szCs w:val="24"/>
        </w:rPr>
        <w:t xml:space="preserve">: Length of </w:t>
      </w:r>
      <w:r>
        <w:rPr>
          <w:b/>
          <w:szCs w:val="24"/>
        </w:rPr>
        <w:t>a</w:t>
      </w:r>
      <w:r w:rsidR="007165B8">
        <w:rPr>
          <w:b/>
          <w:szCs w:val="24"/>
        </w:rPr>
        <w:t>llowance.</w:t>
      </w:r>
    </w:p>
    <w:p w:rsidR="00030C73" w:rsidRDefault="00A50264" w:rsidP="000274CD">
      <w:pPr>
        <w:pStyle w:val="ListParagraph"/>
        <w:spacing w:line="480" w:lineRule="auto"/>
        <w:ind w:left="0" w:firstLine="720"/>
        <w:rPr>
          <w:szCs w:val="24"/>
        </w:rPr>
      </w:pPr>
      <w:r>
        <w:rPr>
          <w:szCs w:val="24"/>
        </w:rPr>
        <w:t>The draft rule</w:t>
      </w:r>
      <w:r w:rsidR="00E746F9">
        <w:rPr>
          <w:szCs w:val="24"/>
        </w:rPr>
        <w:t>s require</w:t>
      </w:r>
      <w:r>
        <w:rPr>
          <w:szCs w:val="24"/>
        </w:rPr>
        <w:t xml:space="preserve"> companies to provide line extensions of 1/10 of a mile</w:t>
      </w:r>
      <w:r w:rsidR="00E746F9">
        <w:rPr>
          <w:szCs w:val="24"/>
        </w:rPr>
        <w:t xml:space="preserve"> or less </w:t>
      </w:r>
      <w:r>
        <w:rPr>
          <w:szCs w:val="24"/>
        </w:rPr>
        <w:t xml:space="preserve">to </w:t>
      </w:r>
      <w:r w:rsidR="00800F10">
        <w:rPr>
          <w:szCs w:val="24"/>
        </w:rPr>
        <w:t xml:space="preserve">applicants </w:t>
      </w:r>
      <w:r>
        <w:rPr>
          <w:szCs w:val="24"/>
        </w:rPr>
        <w:t xml:space="preserve">at no charge.  </w:t>
      </w:r>
      <w:r w:rsidR="004772CA">
        <w:rPr>
          <w:szCs w:val="24"/>
        </w:rPr>
        <w:t xml:space="preserve">This allowance is only about </w:t>
      </w:r>
      <w:r w:rsidR="002F08E2">
        <w:rPr>
          <w:szCs w:val="24"/>
        </w:rPr>
        <w:t xml:space="preserve">one-quarter </w:t>
      </w:r>
      <w:r w:rsidR="004772CA">
        <w:rPr>
          <w:szCs w:val="24"/>
        </w:rPr>
        <w:t>the average length of line extensions</w:t>
      </w:r>
      <w:r w:rsidR="00E746F9">
        <w:rPr>
          <w:szCs w:val="24"/>
        </w:rPr>
        <w:t xml:space="preserve"> built</w:t>
      </w:r>
      <w:r w:rsidR="004772CA">
        <w:rPr>
          <w:szCs w:val="24"/>
        </w:rPr>
        <w:t xml:space="preserve"> in 2007.</w:t>
      </w:r>
      <w:r w:rsidR="004772CA">
        <w:rPr>
          <w:rStyle w:val="FootnoteReference"/>
          <w:szCs w:val="24"/>
        </w:rPr>
        <w:footnoteReference w:id="10"/>
      </w:r>
      <w:r w:rsidR="004772CA">
        <w:rPr>
          <w:szCs w:val="24"/>
        </w:rPr>
        <w:t xml:space="preserve">  Moreover, the data provided by t</w:t>
      </w:r>
      <w:r w:rsidR="00AF7BA4">
        <w:rPr>
          <w:szCs w:val="24"/>
        </w:rPr>
        <w:t xml:space="preserve">wo </w:t>
      </w:r>
      <w:r w:rsidR="00AE7735">
        <w:rPr>
          <w:szCs w:val="24"/>
        </w:rPr>
        <w:t xml:space="preserve">of the </w:t>
      </w:r>
      <w:r w:rsidR="004772CA">
        <w:rPr>
          <w:szCs w:val="24"/>
        </w:rPr>
        <w:t xml:space="preserve">companies listed above shows </w:t>
      </w:r>
      <w:r w:rsidR="004772CA" w:rsidRPr="00030C73">
        <w:rPr>
          <w:szCs w:val="24"/>
        </w:rPr>
        <w:t>only one</w:t>
      </w:r>
      <w:r w:rsidR="004772CA">
        <w:rPr>
          <w:szCs w:val="24"/>
        </w:rPr>
        <w:t xml:space="preserve"> line extension </w:t>
      </w:r>
      <w:r w:rsidR="002F08E2">
        <w:rPr>
          <w:szCs w:val="24"/>
        </w:rPr>
        <w:t xml:space="preserve">in 2007 </w:t>
      </w:r>
      <w:r w:rsidR="004772CA">
        <w:rPr>
          <w:szCs w:val="24"/>
        </w:rPr>
        <w:t>that was less than 1/10 of a mile.</w:t>
      </w:r>
      <w:bookmarkStart w:id="2" w:name="_Ref189626716"/>
      <w:r w:rsidR="00777B7B">
        <w:rPr>
          <w:rStyle w:val="FootnoteReference"/>
          <w:szCs w:val="24"/>
        </w:rPr>
        <w:footnoteReference w:id="11"/>
      </w:r>
      <w:bookmarkEnd w:id="2"/>
      <w:r w:rsidR="004772CA">
        <w:rPr>
          <w:szCs w:val="24"/>
        </w:rPr>
        <w:t xml:space="preserve">  </w:t>
      </w:r>
      <w:r w:rsidR="00D462EB">
        <w:rPr>
          <w:szCs w:val="24"/>
        </w:rPr>
        <w:t>The data from 2006 shows no extensions under 1/10 of a mile</w:t>
      </w:r>
      <w:r w:rsidR="00AF7BA4">
        <w:rPr>
          <w:szCs w:val="24"/>
        </w:rPr>
        <w:t>.</w:t>
      </w:r>
      <w:r w:rsidR="00AF7BA4">
        <w:rPr>
          <w:rStyle w:val="FootnoteReference"/>
          <w:szCs w:val="24"/>
        </w:rPr>
        <w:footnoteReference w:id="12"/>
      </w:r>
      <w:r w:rsidR="00AF7BA4">
        <w:rPr>
          <w:szCs w:val="24"/>
        </w:rPr>
        <w:t xml:space="preserve">  </w:t>
      </w:r>
      <w:r w:rsidR="00030C73">
        <w:rPr>
          <w:szCs w:val="24"/>
        </w:rPr>
        <w:t xml:space="preserve">It appears, therefore, that virtually all </w:t>
      </w:r>
      <w:r w:rsidR="00145149">
        <w:rPr>
          <w:szCs w:val="24"/>
        </w:rPr>
        <w:t>applicants would pay</w:t>
      </w:r>
      <w:r w:rsidR="005E70A1">
        <w:rPr>
          <w:szCs w:val="24"/>
        </w:rPr>
        <w:t xml:space="preserve"> more for extensions under the draft rules</w:t>
      </w:r>
      <w:r w:rsidR="00145149">
        <w:rPr>
          <w:szCs w:val="24"/>
        </w:rPr>
        <w:t xml:space="preserve"> than under the existing rule.</w:t>
      </w:r>
      <w:r w:rsidR="00145149">
        <w:rPr>
          <w:rStyle w:val="FootnoteReference"/>
          <w:szCs w:val="24"/>
        </w:rPr>
        <w:footnoteReference w:id="13"/>
      </w:r>
      <w:r w:rsidR="00145149">
        <w:rPr>
          <w:szCs w:val="24"/>
        </w:rPr>
        <w:t xml:space="preserve">  </w:t>
      </w:r>
      <w:r w:rsidR="00030C73">
        <w:rPr>
          <w:szCs w:val="24"/>
        </w:rPr>
        <w:t>For most applicants, the</w:t>
      </w:r>
      <w:r w:rsidR="00921A61">
        <w:rPr>
          <w:szCs w:val="24"/>
        </w:rPr>
        <w:t xml:space="preserve"> cost </w:t>
      </w:r>
      <w:r w:rsidR="00030C73">
        <w:rPr>
          <w:szCs w:val="24"/>
        </w:rPr>
        <w:t xml:space="preserve">would be significant—for </w:t>
      </w:r>
      <w:r w:rsidR="008612A7">
        <w:rPr>
          <w:szCs w:val="24"/>
        </w:rPr>
        <w:t xml:space="preserve">limited or moderate income </w:t>
      </w:r>
      <w:r w:rsidR="00C84485">
        <w:rPr>
          <w:szCs w:val="24"/>
        </w:rPr>
        <w:t>applicants</w:t>
      </w:r>
      <w:r w:rsidR="00030C73">
        <w:rPr>
          <w:szCs w:val="24"/>
        </w:rPr>
        <w:t>, the cost could be prohibitive.</w:t>
      </w:r>
    </w:p>
    <w:p w:rsidR="00F9745E" w:rsidRPr="00A50264" w:rsidRDefault="00E746F9" w:rsidP="00056F1D">
      <w:pPr>
        <w:pStyle w:val="ListParagraph"/>
        <w:spacing w:line="480" w:lineRule="auto"/>
        <w:ind w:left="0" w:firstLine="720"/>
        <w:rPr>
          <w:szCs w:val="24"/>
        </w:rPr>
      </w:pPr>
      <w:r>
        <w:rPr>
          <w:szCs w:val="24"/>
        </w:rPr>
        <w:t xml:space="preserve">The Commission </w:t>
      </w:r>
      <w:r w:rsidR="002F08E2">
        <w:rPr>
          <w:szCs w:val="24"/>
        </w:rPr>
        <w:t>should consider increasing the distance</w:t>
      </w:r>
      <w:r>
        <w:rPr>
          <w:szCs w:val="24"/>
        </w:rPr>
        <w:t xml:space="preserve"> of the allowance</w:t>
      </w:r>
      <w:r w:rsidR="002F08E2">
        <w:rPr>
          <w:szCs w:val="24"/>
        </w:rPr>
        <w:t xml:space="preserve">.  Setting </w:t>
      </w:r>
      <w:r w:rsidR="001E1BD4">
        <w:rPr>
          <w:szCs w:val="24"/>
        </w:rPr>
        <w:t xml:space="preserve">the allowance at 2,000 feet </w:t>
      </w:r>
      <w:r w:rsidR="00C84485">
        <w:rPr>
          <w:szCs w:val="24"/>
        </w:rPr>
        <w:t xml:space="preserve">would still result in lowering the costs that companies </w:t>
      </w:r>
      <w:r>
        <w:rPr>
          <w:szCs w:val="24"/>
        </w:rPr>
        <w:t>are currently responsible</w:t>
      </w:r>
      <w:r w:rsidR="00C84485">
        <w:rPr>
          <w:szCs w:val="24"/>
        </w:rPr>
        <w:t xml:space="preserve"> for under the existing rule because </w:t>
      </w:r>
      <w:r w:rsidR="005D1F83">
        <w:rPr>
          <w:szCs w:val="24"/>
        </w:rPr>
        <w:t>it would place</w:t>
      </w:r>
      <w:r w:rsidR="00AE7735">
        <w:rPr>
          <w:szCs w:val="24"/>
        </w:rPr>
        <w:t xml:space="preserve"> </w:t>
      </w:r>
      <w:r w:rsidR="001E1BD4">
        <w:rPr>
          <w:szCs w:val="24"/>
        </w:rPr>
        <w:t xml:space="preserve">the extraordinary </w:t>
      </w:r>
      <w:r w:rsidR="00AE7735">
        <w:rPr>
          <w:szCs w:val="24"/>
        </w:rPr>
        <w:t xml:space="preserve">cost </w:t>
      </w:r>
      <w:r w:rsidR="001E1BD4">
        <w:rPr>
          <w:szCs w:val="24"/>
        </w:rPr>
        <w:t xml:space="preserve">of long </w:t>
      </w:r>
      <w:r w:rsidR="001E1BD4">
        <w:rPr>
          <w:szCs w:val="24"/>
        </w:rPr>
        <w:lastRenderedPageBreak/>
        <w:t>extensions</w:t>
      </w:r>
      <w:r w:rsidR="00AE7735">
        <w:rPr>
          <w:szCs w:val="24"/>
        </w:rPr>
        <w:t xml:space="preserve"> on individual customers</w:t>
      </w:r>
      <w:r w:rsidR="001E1BD4">
        <w:rPr>
          <w:szCs w:val="24"/>
        </w:rPr>
        <w:t xml:space="preserve">.  </w:t>
      </w:r>
      <w:r w:rsidR="00AE7735">
        <w:rPr>
          <w:szCs w:val="24"/>
        </w:rPr>
        <w:t xml:space="preserve">According to the data provided by the four companies listed above, </w:t>
      </w:r>
      <w:r w:rsidR="00C84485">
        <w:rPr>
          <w:szCs w:val="24"/>
        </w:rPr>
        <w:t>it was longer extensions</w:t>
      </w:r>
      <w:r w:rsidR="003B6147">
        <w:rPr>
          <w:szCs w:val="24"/>
        </w:rPr>
        <w:t>—</w:t>
      </w:r>
      <w:r w:rsidR="00C84485">
        <w:rPr>
          <w:szCs w:val="24"/>
        </w:rPr>
        <w:t xml:space="preserve">those over </w:t>
      </w:r>
      <w:r w:rsidR="00AE7735">
        <w:rPr>
          <w:szCs w:val="24"/>
        </w:rPr>
        <w:t xml:space="preserve">2,000 </w:t>
      </w:r>
      <w:r w:rsidR="00C84485">
        <w:rPr>
          <w:szCs w:val="24"/>
        </w:rPr>
        <w:t>feet</w:t>
      </w:r>
      <w:r w:rsidR="003B6147">
        <w:rPr>
          <w:szCs w:val="24"/>
        </w:rPr>
        <w:t>—</w:t>
      </w:r>
      <w:r w:rsidR="00C84485">
        <w:rPr>
          <w:szCs w:val="24"/>
        </w:rPr>
        <w:t>which</w:t>
      </w:r>
      <w:r w:rsidR="00AE7735">
        <w:rPr>
          <w:szCs w:val="24"/>
        </w:rPr>
        <w:t xml:space="preserve"> made up</w:t>
      </w:r>
      <w:r w:rsidR="0030308E">
        <w:rPr>
          <w:szCs w:val="24"/>
        </w:rPr>
        <w:t xml:space="preserve"> the bulk of the </w:t>
      </w:r>
      <w:r w:rsidR="00C84485">
        <w:rPr>
          <w:szCs w:val="24"/>
        </w:rPr>
        <w:t xml:space="preserve">companies’ </w:t>
      </w:r>
      <w:r w:rsidR="0030308E">
        <w:rPr>
          <w:szCs w:val="24"/>
        </w:rPr>
        <w:t>overall cost</w:t>
      </w:r>
      <w:r w:rsidR="00C84485">
        <w:rPr>
          <w:szCs w:val="24"/>
        </w:rPr>
        <w:t xml:space="preserve">s.  Shorter extensions were notably less expensive; </w:t>
      </w:r>
      <w:r w:rsidR="0030308E">
        <w:rPr>
          <w:szCs w:val="24"/>
        </w:rPr>
        <w:t xml:space="preserve">almost all extensions </w:t>
      </w:r>
      <w:r w:rsidR="00921A61">
        <w:rPr>
          <w:szCs w:val="24"/>
        </w:rPr>
        <w:t xml:space="preserve">shorter than </w:t>
      </w:r>
      <w:r w:rsidR="0030308E">
        <w:rPr>
          <w:szCs w:val="24"/>
        </w:rPr>
        <w:t>2,000 feet cost less than $10,000</w:t>
      </w:r>
      <w:r w:rsidR="00AE7735">
        <w:rPr>
          <w:szCs w:val="24"/>
        </w:rPr>
        <w:t>.</w:t>
      </w:r>
      <w:r w:rsidR="00AE7735">
        <w:rPr>
          <w:rStyle w:val="FootnoteReference"/>
          <w:szCs w:val="24"/>
        </w:rPr>
        <w:footnoteReference w:id="14"/>
      </w:r>
    </w:p>
    <w:p w:rsidR="00056F1D" w:rsidRPr="00056F1D" w:rsidRDefault="008612A7" w:rsidP="001A5885">
      <w:pPr>
        <w:pStyle w:val="ListParagraph"/>
        <w:numPr>
          <w:ilvl w:val="0"/>
          <w:numId w:val="16"/>
        </w:numPr>
        <w:spacing w:line="480" w:lineRule="auto"/>
        <w:ind w:hanging="720"/>
        <w:rPr>
          <w:b/>
        </w:rPr>
      </w:pPr>
      <w:r>
        <w:rPr>
          <w:b/>
          <w:szCs w:val="24"/>
        </w:rPr>
        <w:t>Draft WAC 480-120-071</w:t>
      </w:r>
      <w:r w:rsidR="006F54C7">
        <w:rPr>
          <w:b/>
        </w:rPr>
        <w:t>(4)</w:t>
      </w:r>
      <w:r w:rsidR="007165B8">
        <w:rPr>
          <w:b/>
        </w:rPr>
        <w:t>:</w:t>
      </w:r>
      <w:r w:rsidR="006F54C7">
        <w:rPr>
          <w:b/>
        </w:rPr>
        <w:t xml:space="preserve"> Applicant </w:t>
      </w:r>
      <w:r>
        <w:rPr>
          <w:b/>
        </w:rPr>
        <w:t>a</w:t>
      </w:r>
      <w:r w:rsidR="006F54C7">
        <w:rPr>
          <w:b/>
        </w:rPr>
        <w:t xml:space="preserve">ccess </w:t>
      </w:r>
      <w:r>
        <w:rPr>
          <w:b/>
        </w:rPr>
        <w:t>c</w:t>
      </w:r>
      <w:r w:rsidR="006F54C7">
        <w:rPr>
          <w:b/>
        </w:rPr>
        <w:t>ertification</w:t>
      </w:r>
      <w:r w:rsidR="007165B8">
        <w:rPr>
          <w:b/>
        </w:rPr>
        <w:t>.</w:t>
      </w:r>
    </w:p>
    <w:p w:rsidR="00CA03F2" w:rsidRDefault="00486507" w:rsidP="00056F1D">
      <w:pPr>
        <w:spacing w:line="480" w:lineRule="auto"/>
      </w:pPr>
      <w:r>
        <w:tab/>
      </w:r>
      <w:r w:rsidR="006F54C7">
        <w:t xml:space="preserve">The draft rules require applicants asking for extensions longer than the 1/10 </w:t>
      </w:r>
      <w:r w:rsidR="00E746F9">
        <w:t xml:space="preserve">of a </w:t>
      </w:r>
      <w:r w:rsidR="006F54C7">
        <w:t xml:space="preserve">mile allowance </w:t>
      </w:r>
      <w:r w:rsidR="003B6147">
        <w:t xml:space="preserve">to </w:t>
      </w:r>
      <w:r w:rsidR="006F54C7">
        <w:t xml:space="preserve">certify </w:t>
      </w:r>
      <w:r w:rsidR="003B6147">
        <w:t xml:space="preserve">that </w:t>
      </w:r>
      <w:r w:rsidR="006F54C7">
        <w:t>they do not have access to “reliable and adequate service from another telecommunications</w:t>
      </w:r>
      <w:r w:rsidR="00305FA8">
        <w:t xml:space="preserve"> carrier.”</w:t>
      </w:r>
      <w:r w:rsidR="005129C3">
        <w:rPr>
          <w:rStyle w:val="FootnoteReference"/>
        </w:rPr>
        <w:footnoteReference w:id="15"/>
      </w:r>
      <w:r w:rsidR="00305FA8">
        <w:t xml:space="preserve">  </w:t>
      </w:r>
      <w:r w:rsidR="00386A57">
        <w:t xml:space="preserve">(Public Counsel assumes that this includes wireless service.)  </w:t>
      </w:r>
      <w:r w:rsidR="00C95224">
        <w:t xml:space="preserve">If they do not, or cannot, the company may refuse to extend service.  </w:t>
      </w:r>
    </w:p>
    <w:p w:rsidR="00715576" w:rsidRDefault="00CA03F2" w:rsidP="000274CD">
      <w:pPr>
        <w:spacing w:line="480" w:lineRule="auto"/>
      </w:pPr>
      <w:r>
        <w:tab/>
      </w:r>
      <w:r w:rsidR="00715576">
        <w:t xml:space="preserve">This provision raises numerous concerns.  </w:t>
      </w:r>
      <w:r w:rsidR="00827696">
        <w:t>First, s</w:t>
      </w:r>
      <w:r w:rsidR="0030308E">
        <w:t>hifting the burden from companies to applicants to</w:t>
      </w:r>
      <w:r w:rsidR="008C17AF">
        <w:t xml:space="preserve"> show that comparable service is not available </w:t>
      </w:r>
      <w:r>
        <w:t xml:space="preserve">would </w:t>
      </w:r>
      <w:r w:rsidR="00715576">
        <w:t xml:space="preserve">undermine </w:t>
      </w:r>
      <w:r w:rsidR="0030308E">
        <w:t xml:space="preserve">telecommunications carriers’ </w:t>
      </w:r>
      <w:r w:rsidR="00414A75">
        <w:t>statutory</w:t>
      </w:r>
      <w:r w:rsidR="0030308E">
        <w:t xml:space="preserve"> obligation to provide telephone service to all people.</w:t>
      </w:r>
      <w:r w:rsidR="0030308E">
        <w:rPr>
          <w:rStyle w:val="FootnoteReference"/>
        </w:rPr>
        <w:footnoteReference w:id="16"/>
      </w:r>
      <w:r w:rsidR="0030308E">
        <w:t xml:space="preserve"> </w:t>
      </w:r>
      <w:r w:rsidR="00827696">
        <w:t xml:space="preserve"> </w:t>
      </w:r>
      <w:r w:rsidR="00056F1D">
        <w:t>Second, to the extent that this provision forces a customer to use wireless in lieu of wireline, i</w:t>
      </w:r>
      <w:r w:rsidR="00C86526">
        <w:t>t is inconsistent with the Commission’s determination that wireless se</w:t>
      </w:r>
      <w:r w:rsidR="00056F1D">
        <w:t>rvice is not comparable to wire</w:t>
      </w:r>
      <w:r w:rsidR="00C86526">
        <w:t>line.</w:t>
      </w:r>
      <w:r w:rsidR="00FA3CBE">
        <w:rPr>
          <w:rStyle w:val="FootnoteReference"/>
        </w:rPr>
        <w:footnoteReference w:id="17"/>
      </w:r>
      <w:r w:rsidR="00C86526">
        <w:t xml:space="preserve">  </w:t>
      </w:r>
    </w:p>
    <w:p w:rsidR="005129C3" w:rsidRDefault="00715576" w:rsidP="000274CD">
      <w:pPr>
        <w:spacing w:line="480" w:lineRule="auto"/>
      </w:pPr>
      <w:r>
        <w:lastRenderedPageBreak/>
        <w:tab/>
      </w:r>
      <w:r w:rsidR="00056F1D">
        <w:t>Third</w:t>
      </w:r>
      <w:r w:rsidR="007839B2">
        <w:t xml:space="preserve">, </w:t>
      </w:r>
      <w:r w:rsidR="008C17AF">
        <w:t>requiring</w:t>
      </w:r>
      <w:r w:rsidR="006847AD">
        <w:t xml:space="preserve"> each customer </w:t>
      </w:r>
      <w:r w:rsidR="00827696">
        <w:t xml:space="preserve">to </w:t>
      </w:r>
      <w:r w:rsidR="00350CDF">
        <w:t xml:space="preserve">make such a showing </w:t>
      </w:r>
      <w:r w:rsidR="008764A6">
        <w:t>is</w:t>
      </w:r>
      <w:r w:rsidR="004F12E1">
        <w:t xml:space="preserve"> </w:t>
      </w:r>
      <w:r w:rsidR="00654F23">
        <w:t xml:space="preserve">an </w:t>
      </w:r>
      <w:r w:rsidR="00827696">
        <w:t>unreasonably</w:t>
      </w:r>
      <w:r w:rsidR="004F12E1">
        <w:t xml:space="preserve"> burden</w:t>
      </w:r>
      <w:r w:rsidR="00827696">
        <w:t>some</w:t>
      </w:r>
      <w:r w:rsidR="00654F23">
        <w:t xml:space="preserve"> expectation, </w:t>
      </w:r>
      <w:r w:rsidR="005971EF">
        <w:t>as well as</w:t>
      </w:r>
      <w:r w:rsidR="00910B0E">
        <w:t xml:space="preserve"> </w:t>
      </w:r>
      <w:r w:rsidR="008764A6">
        <w:t>cost</w:t>
      </w:r>
      <w:r w:rsidR="004F12E1">
        <w:t xml:space="preserve"> in</w:t>
      </w:r>
      <w:r w:rsidR="008E6C67">
        <w:t>efficient</w:t>
      </w:r>
      <w:r w:rsidR="00654F23">
        <w:t>.</w:t>
      </w:r>
      <w:r w:rsidR="008C17AF" w:rsidRPr="008C17AF">
        <w:rPr>
          <w:rStyle w:val="FootnoteReference"/>
        </w:rPr>
        <w:t xml:space="preserve"> </w:t>
      </w:r>
      <w:r w:rsidR="008C17AF">
        <w:rPr>
          <w:rStyle w:val="FootnoteReference"/>
        </w:rPr>
        <w:footnoteReference w:id="18"/>
      </w:r>
      <w:r w:rsidR="00654F23">
        <w:t xml:space="preserve"> </w:t>
      </w:r>
      <w:r w:rsidR="008C17AF">
        <w:t xml:space="preserve"> It is likely that many individuals would not know how to make such a determination.  Further, they</w:t>
      </w:r>
      <w:r w:rsidR="008764A6">
        <w:t xml:space="preserve"> </w:t>
      </w:r>
      <w:r w:rsidR="0030308E">
        <w:t xml:space="preserve">might have to subscribe to </w:t>
      </w:r>
      <w:r w:rsidR="008764A6">
        <w:t xml:space="preserve">all the various </w:t>
      </w:r>
      <w:r w:rsidR="008764A6">
        <w:rPr>
          <w:i/>
        </w:rPr>
        <w:t xml:space="preserve">possible </w:t>
      </w:r>
      <w:r w:rsidR="008764A6">
        <w:t xml:space="preserve">cell phone service just to test </w:t>
      </w:r>
      <w:r w:rsidR="0036577C">
        <w:t xml:space="preserve">for service at their location. </w:t>
      </w:r>
      <w:r w:rsidR="00350CDF">
        <w:t xml:space="preserve"> </w:t>
      </w:r>
      <w:r w:rsidR="008C17AF">
        <w:t>Conversely, c</w:t>
      </w:r>
      <w:r w:rsidR="005971EF">
        <w:t xml:space="preserve">ompanies already have the necessary </w:t>
      </w:r>
      <w:r w:rsidR="00910B0E">
        <w:t xml:space="preserve">equipment, </w:t>
      </w:r>
      <w:r w:rsidR="005971EF">
        <w:t>familiarity with the system</w:t>
      </w:r>
      <w:r w:rsidR="00910B0E">
        <w:t>, and technical expertise</w:t>
      </w:r>
      <w:r w:rsidR="005971EF">
        <w:t xml:space="preserve"> to better answer this question than customers would.</w:t>
      </w:r>
      <w:r w:rsidR="00827696">
        <w:t xml:space="preserve"> </w:t>
      </w:r>
      <w:r w:rsidR="00910B0E">
        <w:t xml:space="preserve"> </w:t>
      </w:r>
      <w:r w:rsidR="00827696">
        <w:t xml:space="preserve">Companies could also include protocol </w:t>
      </w:r>
      <w:r w:rsidR="0036577C">
        <w:t xml:space="preserve">in </w:t>
      </w:r>
      <w:r w:rsidR="00350CDF">
        <w:t>filed</w:t>
      </w:r>
      <w:r w:rsidR="0036577C">
        <w:t xml:space="preserve"> tariff</w:t>
      </w:r>
      <w:r w:rsidR="00350CDF">
        <w:t>s</w:t>
      </w:r>
      <w:r w:rsidR="0036577C">
        <w:t xml:space="preserve"> </w:t>
      </w:r>
      <w:r w:rsidR="00827696">
        <w:t xml:space="preserve">which could </w:t>
      </w:r>
      <w:r w:rsidR="00350CDF">
        <w:t xml:space="preserve">allow for </w:t>
      </w:r>
      <w:r w:rsidR="0036577C">
        <w:t>uniform determination</w:t>
      </w:r>
      <w:r w:rsidR="00350CDF">
        <w:t>s</w:t>
      </w:r>
      <w:r w:rsidR="0036577C">
        <w:t xml:space="preserve">. </w:t>
      </w:r>
      <w:r w:rsidR="00350CDF">
        <w:t xml:space="preserve"> </w:t>
      </w:r>
    </w:p>
    <w:p w:rsidR="00056F1D" w:rsidRDefault="00056F1D" w:rsidP="000274CD">
      <w:pPr>
        <w:spacing w:line="480" w:lineRule="auto"/>
      </w:pPr>
      <w:r>
        <w:tab/>
        <w:t>Finally, it is unclear why a certification provision for applications over 1/10 of a mile is necessary. T</w:t>
      </w:r>
      <w:r w:rsidR="00715576">
        <w:t>hrough the distance allowance, t</w:t>
      </w:r>
      <w:r>
        <w:t xml:space="preserve">he draft rules assign all costs of extensions beyond the 1/10 </w:t>
      </w:r>
      <w:r w:rsidR="005E70A1">
        <w:t xml:space="preserve">of a </w:t>
      </w:r>
      <w:r>
        <w:t xml:space="preserve">mile allowance to the applicant, so longer extensions create no additional cost to companies.  </w:t>
      </w:r>
    </w:p>
    <w:p w:rsidR="000274CD" w:rsidRPr="007165B8" w:rsidRDefault="005129C3" w:rsidP="00514951">
      <w:pPr>
        <w:spacing w:line="480" w:lineRule="auto"/>
      </w:pPr>
      <w:r>
        <w:tab/>
        <w:t xml:space="preserve">In light of these </w:t>
      </w:r>
      <w:r w:rsidR="00C86526">
        <w:t xml:space="preserve">myriad </w:t>
      </w:r>
      <w:r w:rsidR="00414A75">
        <w:t>concerns</w:t>
      </w:r>
      <w:r>
        <w:t>, Public C</w:t>
      </w:r>
      <w:r w:rsidR="007839B2">
        <w:t xml:space="preserve">ounsel recommends that </w:t>
      </w:r>
      <w:r w:rsidR="00490141">
        <w:t>s</w:t>
      </w:r>
      <w:r w:rsidR="007839B2">
        <w:t>ection (4) be deleted.</w:t>
      </w:r>
      <w:r w:rsidR="00A27696">
        <w:rPr>
          <w:rStyle w:val="FootnoteReference"/>
        </w:rPr>
        <w:footnoteReference w:id="19"/>
      </w:r>
      <w:r w:rsidR="007839B2">
        <w:t xml:space="preserve">  </w:t>
      </w:r>
    </w:p>
    <w:p w:rsidR="007165B8" w:rsidRDefault="00056F1D" w:rsidP="001A5885">
      <w:pPr>
        <w:pStyle w:val="ListParagraph"/>
        <w:numPr>
          <w:ilvl w:val="0"/>
          <w:numId w:val="16"/>
        </w:numPr>
        <w:spacing w:line="480" w:lineRule="auto"/>
        <w:ind w:hanging="720"/>
      </w:pPr>
      <w:r>
        <w:rPr>
          <w:b/>
          <w:szCs w:val="24"/>
        </w:rPr>
        <w:t>Draft WAC 480-120-071(</w:t>
      </w:r>
      <w:r w:rsidR="007165B8" w:rsidRPr="00AD099A">
        <w:rPr>
          <w:b/>
        </w:rPr>
        <w:t>7)</w:t>
      </w:r>
      <w:r w:rsidR="007165B8">
        <w:rPr>
          <w:b/>
        </w:rPr>
        <w:t xml:space="preserve">: </w:t>
      </w:r>
      <w:r>
        <w:rPr>
          <w:b/>
        </w:rPr>
        <w:t>Customer b</w:t>
      </w:r>
      <w:r w:rsidR="007165B8" w:rsidRPr="00AD099A">
        <w:rPr>
          <w:b/>
        </w:rPr>
        <w:t>illing</w:t>
      </w:r>
      <w:r w:rsidR="007165B8" w:rsidRPr="00AD099A">
        <w:rPr>
          <w:rFonts w:eastAsia="Times New Roman"/>
          <w:b/>
          <w:szCs w:val="20"/>
        </w:rPr>
        <w:t>.</w:t>
      </w:r>
      <w:r w:rsidR="007165B8" w:rsidRPr="00AD099A">
        <w:rPr>
          <w:rFonts w:eastAsia="Times New Roman"/>
          <w:szCs w:val="20"/>
        </w:rPr>
        <w:t xml:space="preserve"> </w:t>
      </w:r>
    </w:p>
    <w:p w:rsidR="00DB7711" w:rsidRDefault="00D94B12" w:rsidP="000274CD">
      <w:pPr>
        <w:pStyle w:val="ListParagraph"/>
        <w:spacing w:line="480" w:lineRule="auto"/>
        <w:ind w:left="0"/>
      </w:pPr>
      <w:r>
        <w:tab/>
        <w:t>It is important that applicants have a choice whether</w:t>
      </w:r>
      <w:r w:rsidR="00715576">
        <w:t xml:space="preserve"> or not</w:t>
      </w:r>
      <w:r>
        <w:t xml:space="preserve"> to use a company’s services for construction of supporting structures or trenches.  If the cost of proposed construction of supporting structures or trenches is included with a statement of the cost of the actual extension, i</w:t>
      </w:r>
      <w:r w:rsidR="00DB7711">
        <w:t xml:space="preserve">t is possible applicants will not differentiate between optional and required costs.  </w:t>
      </w:r>
      <w:r>
        <w:t xml:space="preserve">Thus, </w:t>
      </w:r>
      <w:r w:rsidR="00490141">
        <w:t>s</w:t>
      </w:r>
      <w:r w:rsidR="00EF3BA3">
        <w:t xml:space="preserve">ubsection </w:t>
      </w:r>
      <w:r>
        <w:t>(</w:t>
      </w:r>
      <w:r w:rsidR="00EF3BA3">
        <w:t>7)(a)(</w:t>
      </w:r>
      <w:proofErr w:type="spellStart"/>
      <w:r w:rsidR="00EF3BA3">
        <w:t>i</w:t>
      </w:r>
      <w:proofErr w:type="spellEnd"/>
      <w:r w:rsidR="00AD099A">
        <w:t>) should specify that</w:t>
      </w:r>
      <w:r>
        <w:t xml:space="preserve"> a</w:t>
      </w:r>
      <w:r w:rsidR="00AD099A">
        <w:t xml:space="preserve"> company’s offer to construct supporting structures</w:t>
      </w:r>
      <w:r w:rsidR="0014069A">
        <w:t xml:space="preserve"> and dig</w:t>
      </w:r>
      <w:r w:rsidR="00AD099A">
        <w:t xml:space="preserve"> </w:t>
      </w:r>
      <w:r w:rsidR="00EF3BA3">
        <w:t xml:space="preserve">trenches must be clearly separated from billing of </w:t>
      </w:r>
      <w:r w:rsidR="00715576">
        <w:t>mandatory c</w:t>
      </w:r>
      <w:r w:rsidR="00EF3BA3">
        <w:t xml:space="preserve">osts that </w:t>
      </w:r>
      <w:r>
        <w:t xml:space="preserve">are in excess of the </w:t>
      </w:r>
      <w:r>
        <w:lastRenderedPageBreak/>
        <w:t>allowance.</w:t>
      </w:r>
      <w:r w:rsidR="00DB7711">
        <w:t xml:space="preserve">  To further ensure that applicants have a meaningful choice, </w:t>
      </w:r>
      <w:r w:rsidR="00490141">
        <w:t>s</w:t>
      </w:r>
      <w:r w:rsidR="00DB7711">
        <w:t>ubsection (7</w:t>
      </w:r>
      <w:proofErr w:type="gramStart"/>
      <w:r w:rsidR="00DB7711">
        <w:t>)(</w:t>
      </w:r>
      <w:proofErr w:type="gramEnd"/>
      <w:r w:rsidR="00DB7711">
        <w:t>a)(ii) should include a statement that the company’s construction specifications should be reasonable.  These subsections may be amended to read:</w:t>
      </w:r>
    </w:p>
    <w:p w:rsidR="00DB7711" w:rsidRPr="00CE6822" w:rsidRDefault="00CE6822" w:rsidP="000274CD">
      <w:pPr>
        <w:ind w:left="720" w:right="720"/>
        <w:jc w:val="both"/>
        <w:rPr>
          <w:i/>
        </w:rPr>
      </w:pPr>
      <w:r>
        <w:t>(i) . . . .  </w:t>
      </w:r>
      <w:r w:rsidR="00DB7711" w:rsidRPr="00DB7711">
        <w:t>The company may offer to construct supporting structures and dig trenches and may charge for those services, but the tariff may not require that applicants use only company services to construct supporting structures and dig trenches.</w:t>
      </w:r>
      <w:r>
        <w:t xml:space="preserve">  </w:t>
      </w:r>
      <w:r w:rsidRPr="00CE6822">
        <w:rPr>
          <w:u w:val="single"/>
        </w:rPr>
        <w:t>The company may not submit an offer to construct with the “bill for construction” required under (2)(b)(iii)</w:t>
      </w:r>
      <w:r>
        <w:rPr>
          <w:u w:val="single"/>
        </w:rPr>
        <w:t>,</w:t>
      </w:r>
      <w:r w:rsidRPr="00CE6822">
        <w:rPr>
          <w:u w:val="single"/>
        </w:rPr>
        <w:t xml:space="preserve"> or any other billing statement.</w:t>
      </w:r>
      <w:r>
        <w:rPr>
          <w:u w:val="single"/>
        </w:rPr>
        <w:t xml:space="preserve">  The offer must clearly state that it is purely an offer, not a mandatory cost, and that the applicant may chose to employ a different company for construction services.</w:t>
      </w:r>
    </w:p>
    <w:p w:rsidR="00DB7711" w:rsidRPr="00DB7711" w:rsidRDefault="00DB7711" w:rsidP="000274CD">
      <w:pPr>
        <w:ind w:left="720" w:right="720"/>
        <w:jc w:val="both"/>
      </w:pPr>
      <w:r w:rsidRPr="00DB7711">
        <w:t>(ii) The company tariff may require that all supporting structures required for placement of company-provided drop wire from the applicant’s property line to the premises are placed in accordance with company construction specifications</w:t>
      </w:r>
      <w:r w:rsidR="00CE6822">
        <w:t xml:space="preserve">.  </w:t>
      </w:r>
      <w:r w:rsidR="00CE6822" w:rsidRPr="008038B9">
        <w:rPr>
          <w:u w:val="single"/>
        </w:rPr>
        <w:t>These specifications must be reasonable in light of the company’s existing guidelines and policies</w:t>
      </w:r>
      <w:r w:rsidRPr="008038B9">
        <w:rPr>
          <w:u w:val="single"/>
        </w:rPr>
        <w:t>.</w:t>
      </w:r>
      <w:r w:rsidRPr="00DB7711">
        <w:t xml:space="preserve"> </w:t>
      </w:r>
    </w:p>
    <w:p w:rsidR="00EB7263" w:rsidRDefault="00EB7263" w:rsidP="000274CD">
      <w:pPr>
        <w:spacing w:line="480" w:lineRule="auto"/>
      </w:pPr>
    </w:p>
    <w:p w:rsidR="00160883" w:rsidRPr="00E03024" w:rsidRDefault="00160883" w:rsidP="00E03024">
      <w:pPr>
        <w:numPr>
          <w:ilvl w:val="0"/>
          <w:numId w:val="4"/>
        </w:numPr>
        <w:tabs>
          <w:tab w:val="clear" w:pos="720"/>
        </w:tabs>
        <w:spacing w:line="480" w:lineRule="auto"/>
        <w:ind w:left="0" w:firstLine="0"/>
        <w:jc w:val="center"/>
        <w:rPr>
          <w:b/>
        </w:rPr>
      </w:pPr>
      <w:r>
        <w:rPr>
          <w:b/>
        </w:rPr>
        <w:t>CONCLUSION</w:t>
      </w:r>
    </w:p>
    <w:p w:rsidR="00160883" w:rsidRDefault="00E03024" w:rsidP="000274CD">
      <w:pPr>
        <w:spacing w:line="480" w:lineRule="auto"/>
        <w:rPr>
          <w:szCs w:val="24"/>
        </w:rPr>
      </w:pPr>
      <w:r>
        <w:rPr>
          <w:szCs w:val="24"/>
        </w:rPr>
        <w:tab/>
        <w:t>Public Counsel respectfully recommends that</w:t>
      </w:r>
      <w:r w:rsidR="005E70A1">
        <w:rPr>
          <w:szCs w:val="24"/>
        </w:rPr>
        <w:t xml:space="preserve">, rather than undertaking a wholesale </w:t>
      </w:r>
      <w:proofErr w:type="gramStart"/>
      <w:r w:rsidR="005E70A1">
        <w:rPr>
          <w:szCs w:val="24"/>
        </w:rPr>
        <w:t>revision,</w:t>
      </w:r>
      <w:proofErr w:type="gramEnd"/>
      <w:r>
        <w:rPr>
          <w:szCs w:val="24"/>
        </w:rPr>
        <w:t xml:space="preserve"> the</w:t>
      </w:r>
      <w:r w:rsidR="00976C3F">
        <w:rPr>
          <w:szCs w:val="24"/>
        </w:rPr>
        <w:t xml:space="preserve"> Commission</w:t>
      </w:r>
      <w:r w:rsidR="00FB3178">
        <w:rPr>
          <w:szCs w:val="24"/>
        </w:rPr>
        <w:t xml:space="preserve"> </w:t>
      </w:r>
      <w:r w:rsidR="00715576">
        <w:rPr>
          <w:szCs w:val="24"/>
        </w:rPr>
        <w:t>retain the existing rule</w:t>
      </w:r>
      <w:r w:rsidR="005E70A1">
        <w:rPr>
          <w:szCs w:val="24"/>
        </w:rPr>
        <w:t xml:space="preserve"> and amend it to include a cost allowance</w:t>
      </w:r>
      <w:r>
        <w:rPr>
          <w:szCs w:val="24"/>
        </w:rPr>
        <w:t xml:space="preserve">.  </w:t>
      </w:r>
      <w:r w:rsidR="00976C3F">
        <w:rPr>
          <w:szCs w:val="24"/>
        </w:rPr>
        <w:t xml:space="preserve">A cost allowance is the </w:t>
      </w:r>
      <w:r w:rsidR="00976C3F">
        <w:t xml:space="preserve">simplest and most effective means of addressing the concerns of all parties—it would reduce the cost of extensions </w:t>
      </w:r>
      <w:r w:rsidR="005E70A1">
        <w:t>borne by</w:t>
      </w:r>
      <w:r w:rsidR="00976C3F">
        <w:t xml:space="preserve"> companies</w:t>
      </w:r>
      <w:r w:rsidR="005E70A1">
        <w:t>, and ultimately by the general body of ratepayers,</w:t>
      </w:r>
      <w:r w:rsidR="00976C3F">
        <w:t xml:space="preserve"> while allowing for the construction of most extensions.  Alternatively, if the Commission adopts </w:t>
      </w:r>
      <w:r w:rsidR="005E70A1">
        <w:t>the draft rules</w:t>
      </w:r>
      <w:r w:rsidR="00976C3F">
        <w:t>, Public Counsel</w:t>
      </w:r>
      <w:r w:rsidR="00FB3178">
        <w:t xml:space="preserve"> recommends that</w:t>
      </w:r>
      <w:r w:rsidR="005E70A1">
        <w:t xml:space="preserve"> they </w:t>
      </w:r>
      <w:r w:rsidR="00FB3178">
        <w:t>be amended as discussed above to more equitably balance the interests involved.</w:t>
      </w:r>
    </w:p>
    <w:p w:rsidR="00D03865" w:rsidRDefault="00D03865" w:rsidP="000274CD">
      <w:pPr>
        <w:spacing w:line="480" w:lineRule="auto"/>
      </w:pPr>
    </w:p>
    <w:sectPr w:rsidR="00D03865" w:rsidSect="00227416">
      <w:headerReference w:type="default" r:id="rId8"/>
      <w:footerReference w:type="default" r:id="rId9"/>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441B" w:rsidRDefault="00FC441B">
      <w:r>
        <w:separator/>
      </w:r>
    </w:p>
  </w:endnote>
  <w:endnote w:type="continuationSeparator" w:id="1">
    <w:p w:rsidR="00FC441B" w:rsidRDefault="00FC44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41B" w:rsidRDefault="00FC441B">
    <w:pPr>
      <w:rPr>
        <w:sz w:val="12"/>
        <w:szCs w:val="12"/>
      </w:rPr>
    </w:pPr>
  </w:p>
  <w:tbl>
    <w:tblPr>
      <w:tblW w:w="9468" w:type="dxa"/>
      <w:tblInd w:w="108" w:type="dxa"/>
      <w:tblLayout w:type="fixed"/>
      <w:tblLook w:val="0000"/>
    </w:tblPr>
    <w:tblGrid>
      <w:gridCol w:w="3780"/>
      <w:gridCol w:w="2160"/>
      <w:gridCol w:w="3528"/>
    </w:tblGrid>
    <w:tr w:rsidR="00FC441B" w:rsidTr="00490141">
      <w:tc>
        <w:tcPr>
          <w:tcW w:w="3780" w:type="dxa"/>
        </w:tcPr>
        <w:p w:rsidR="00FC441B" w:rsidRDefault="007945BB" w:rsidP="00112BAE">
          <w:pPr>
            <w:pStyle w:val="Footer"/>
            <w:tabs>
              <w:tab w:val="clear" w:pos="4320"/>
            </w:tabs>
            <w:rPr>
              <w:caps/>
              <w:sz w:val="16"/>
              <w:szCs w:val="16"/>
            </w:rPr>
          </w:pPr>
          <w:r>
            <w:rPr>
              <w:caps/>
              <w:sz w:val="16"/>
              <w:szCs w:val="16"/>
            </w:rPr>
            <w:t xml:space="preserve">redacted </w:t>
          </w:r>
          <w:r w:rsidR="00FC441B">
            <w:rPr>
              <w:caps/>
              <w:sz w:val="16"/>
              <w:szCs w:val="16"/>
            </w:rPr>
            <w:t xml:space="preserve">SECOND comments of public CouNSEL (CR-101)  </w:t>
          </w:r>
        </w:p>
        <w:p w:rsidR="00FC441B" w:rsidRDefault="00FC441B" w:rsidP="00112BAE">
          <w:pPr>
            <w:pStyle w:val="Footer"/>
            <w:tabs>
              <w:tab w:val="clear" w:pos="4320"/>
            </w:tabs>
            <w:rPr>
              <w:caps/>
              <w:sz w:val="16"/>
              <w:szCs w:val="16"/>
            </w:rPr>
          </w:pPr>
          <w:r>
            <w:rPr>
              <w:caps/>
              <w:sz w:val="16"/>
              <w:szCs w:val="16"/>
            </w:rPr>
            <w:t>DOCKET NO.  UT-073014</w:t>
          </w:r>
        </w:p>
      </w:tc>
      <w:tc>
        <w:tcPr>
          <w:tcW w:w="2160" w:type="dxa"/>
        </w:tcPr>
        <w:p w:rsidR="00FC441B" w:rsidRDefault="00FC441B" w:rsidP="00490141">
          <w:pPr>
            <w:pStyle w:val="Footer"/>
            <w:tabs>
              <w:tab w:val="left" w:pos="870"/>
              <w:tab w:val="center" w:pos="972"/>
            </w:tabs>
          </w:pPr>
          <w:r>
            <w:tab/>
          </w:r>
          <w:r>
            <w:tab/>
          </w:r>
          <w:fldSimple w:instr=" PAGE  \* MERGEFORMAT ">
            <w:r w:rsidR="000A515B">
              <w:rPr>
                <w:noProof/>
              </w:rPr>
              <w:t>1</w:t>
            </w:r>
          </w:fldSimple>
        </w:p>
      </w:tc>
      <w:tc>
        <w:tcPr>
          <w:tcW w:w="3528" w:type="dxa"/>
        </w:tcPr>
        <w:p w:rsidR="00FC441B" w:rsidRDefault="00FC441B">
          <w:pPr>
            <w:pStyle w:val="Footer"/>
            <w:jc w:val="center"/>
            <w:rPr>
              <w:sz w:val="15"/>
            </w:rPr>
          </w:pPr>
          <w:r>
            <w:rPr>
              <w:sz w:val="15"/>
            </w:rPr>
            <w:t xml:space="preserve">ATTORNEY GENERAL OF </w:t>
          </w:r>
          <w:smartTag w:uri="urn:schemas:contacts" w:element="Sn">
            <w:smartTag w:uri="urn:schemas-microsoft-com:office:smarttags" w:element="State">
              <w:smartTag w:uri="urn:schemas-microsoft-com:office:smarttags" w:element="place">
                <w:r>
                  <w:rPr>
                    <w:sz w:val="15"/>
                  </w:rPr>
                  <w:t>WASHINGTON</w:t>
                </w:r>
              </w:smartTag>
            </w:smartTag>
          </w:smartTag>
        </w:p>
        <w:p w:rsidR="00FC441B" w:rsidRDefault="00FC441B">
          <w:pPr>
            <w:pStyle w:val="Footer"/>
            <w:jc w:val="center"/>
            <w:rPr>
              <w:sz w:val="15"/>
            </w:rPr>
          </w:pPr>
          <w:smartTag w:uri="urn:schemas-microsoft-com:office:smarttags" w:element="PersonName">
            <w:r>
              <w:rPr>
                <w:sz w:val="15"/>
              </w:rPr>
              <w:t>Public Counsel</w:t>
            </w:r>
          </w:smartTag>
        </w:p>
        <w:p w:rsidR="00FC441B" w:rsidRDefault="00FC441B">
          <w:pPr>
            <w:pStyle w:val="Footer"/>
            <w:jc w:val="center"/>
            <w:rPr>
              <w:sz w:val="15"/>
            </w:rPr>
          </w:pPr>
          <w:smartTag w:uri="urn:schemas:contacts" w:element="GivenName">
            <w:smartTag w:uri="urn:schemas-microsoft-com:office:smarttags" w:element="address">
              <w:r>
                <w:rPr>
                  <w:sz w:val="15"/>
                </w:rPr>
                <w:t>800 5</w:t>
              </w:r>
              <w:r>
                <w:rPr>
                  <w:sz w:val="15"/>
                  <w:vertAlign w:val="superscript"/>
                </w:rPr>
                <w:t>th</w:t>
              </w:r>
              <w:r>
                <w:rPr>
                  <w:sz w:val="15"/>
                </w:rPr>
                <w:t xml:space="preserve"> Ave., Suite 2000</w:t>
              </w:r>
            </w:smartTag>
          </w:smartTag>
        </w:p>
        <w:p w:rsidR="00FC441B" w:rsidRDefault="00FC441B">
          <w:pPr>
            <w:pStyle w:val="Footer"/>
            <w:jc w:val="center"/>
            <w:rPr>
              <w:sz w:val="15"/>
            </w:rPr>
          </w:pPr>
          <w:smartTag w:uri="urn:schemas-microsoft-com:office:smarttags" w:element="place">
            <w:smartTag w:uri="urn:schemas-microsoft-com:office:smarttags" w:element="City">
              <w:r>
                <w:rPr>
                  <w:sz w:val="15"/>
                </w:rPr>
                <w:t>Seattle</w:t>
              </w:r>
            </w:smartTag>
            <w:r>
              <w:rPr>
                <w:sz w:val="15"/>
              </w:rPr>
              <w:t xml:space="preserve">, </w:t>
            </w:r>
            <w:smartTag w:uri="urn:schemas-microsoft-com:office:smarttags" w:element="State">
              <w:r>
                <w:rPr>
                  <w:sz w:val="15"/>
                </w:rPr>
                <w:t>WA</w:t>
              </w:r>
            </w:smartTag>
            <w:r>
              <w:rPr>
                <w:sz w:val="15"/>
              </w:rPr>
              <w:t xml:space="preserve"> </w:t>
            </w:r>
            <w:smartTag w:uri="urn:schemas-microsoft-com:office:smarttags" w:element="PostalCode">
              <w:r>
                <w:rPr>
                  <w:sz w:val="15"/>
                </w:rPr>
                <w:t>98104-3188</w:t>
              </w:r>
            </w:smartTag>
          </w:smartTag>
        </w:p>
        <w:p w:rsidR="00FC441B" w:rsidRDefault="00FC441B">
          <w:pPr>
            <w:pStyle w:val="Footer"/>
            <w:jc w:val="center"/>
            <w:rPr>
              <w:sz w:val="15"/>
            </w:rPr>
          </w:pPr>
          <w:r>
            <w:rPr>
              <w:sz w:val="15"/>
            </w:rPr>
            <w:t>(206) 464-7744</w:t>
          </w:r>
        </w:p>
      </w:tc>
    </w:tr>
  </w:tbl>
  <w:p w:rsidR="00FC441B" w:rsidRDefault="00FC44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441B" w:rsidRDefault="00FC441B">
      <w:r>
        <w:separator/>
      </w:r>
    </w:p>
  </w:footnote>
  <w:footnote w:type="continuationSeparator" w:id="1">
    <w:p w:rsidR="00FC441B" w:rsidRDefault="00FC441B">
      <w:r>
        <w:continuationSeparator/>
      </w:r>
    </w:p>
  </w:footnote>
  <w:footnote w:id="2">
    <w:p w:rsidR="00FC441B" w:rsidRPr="006A6501" w:rsidRDefault="00FC441B" w:rsidP="00347D00">
      <w:pPr>
        <w:pStyle w:val="FootnoteText"/>
        <w:ind w:firstLine="0"/>
        <w:contextualSpacing/>
      </w:pPr>
      <w:r>
        <w:rPr>
          <w:rStyle w:val="FootnoteReference"/>
        </w:rPr>
        <w:footnoteRef/>
      </w:r>
      <w:r>
        <w:t xml:space="preserve"> </w:t>
      </w:r>
      <w:r w:rsidRPr="00C56553">
        <w:t xml:space="preserve">CenturyTel, </w:t>
      </w:r>
      <w:proofErr w:type="spellStart"/>
      <w:r w:rsidRPr="00C56553">
        <w:t>Embarq</w:t>
      </w:r>
      <w:proofErr w:type="spellEnd"/>
      <w:r w:rsidRPr="00C56553">
        <w:t xml:space="preserve">, </w:t>
      </w:r>
      <w:r>
        <w:t xml:space="preserve">Qwest, </w:t>
      </w:r>
      <w:r w:rsidRPr="00C56553">
        <w:t xml:space="preserve">and </w:t>
      </w:r>
      <w:r w:rsidRPr="00B64F93">
        <w:t xml:space="preserve">Toledo Telephone Co. (through counsel for the Washington Independent Telephone Association (WITA)) provided data to Staff and Public Counsel.  CenturyTel provided data </w:t>
      </w:r>
      <w:r w:rsidRPr="00B64F93">
        <w:rPr>
          <w:i/>
        </w:rPr>
        <w:t>only</w:t>
      </w:r>
      <w:r w:rsidRPr="00B64F93">
        <w:t xml:space="preserve"> for line extensions over 1/10 of a mile because it does not separately track shorter extensions.  Thus, figures in this section do </w:t>
      </w:r>
      <w:r w:rsidRPr="00B64F93">
        <w:rPr>
          <w:i/>
        </w:rPr>
        <w:t xml:space="preserve">not </w:t>
      </w:r>
      <w:r w:rsidRPr="00B64F93">
        <w:t xml:space="preserve">include the distance </w:t>
      </w:r>
      <w:r>
        <w:t>or</w:t>
      </w:r>
      <w:r w:rsidRPr="00B64F93">
        <w:t xml:space="preserve"> cost of </w:t>
      </w:r>
      <w:r>
        <w:t xml:space="preserve">any </w:t>
      </w:r>
      <w:r w:rsidRPr="00B64F93">
        <w:t xml:space="preserve">extensions constructed by CenturyTel that were less than 1/10 of a mile.  Accordingly, the number of extensions stated may be lower than actual, and the average costs and distances figured may be inaccurately high and long respectively.  Additionally, Qwest provided overall </w:t>
      </w:r>
      <w:r>
        <w:t xml:space="preserve">data </w:t>
      </w:r>
      <w:r w:rsidRPr="00B64F93">
        <w:t>for the last seven years, so figures for that company are based on a seven-year average.</w:t>
      </w:r>
    </w:p>
  </w:footnote>
  <w:footnote w:id="3">
    <w:p w:rsidR="00FC441B" w:rsidRDefault="00FC441B" w:rsidP="006A7337">
      <w:pPr>
        <w:pStyle w:val="FootnoteText"/>
        <w:ind w:firstLine="0"/>
      </w:pPr>
      <w:r>
        <w:rPr>
          <w:rStyle w:val="FootnoteReference"/>
        </w:rPr>
        <w:footnoteRef/>
      </w:r>
      <w:r>
        <w:t xml:space="preserve"> Companies provided this data in October 2007—more recent data has not been made available.</w:t>
      </w:r>
    </w:p>
  </w:footnote>
  <w:footnote w:id="4">
    <w:p w:rsidR="00FC441B" w:rsidRDefault="00FC441B">
      <w:pPr>
        <w:pStyle w:val="FootnoteText"/>
        <w:ind w:firstLine="0"/>
      </w:pPr>
      <w:r>
        <w:rPr>
          <w:rStyle w:val="FootnoteReference"/>
        </w:rPr>
        <w:footnoteRef/>
      </w:r>
      <w:r>
        <w:t xml:space="preserve"> Information from </w:t>
      </w:r>
      <w:r w:rsidRPr="00445358">
        <w:t xml:space="preserve">Qwest could not be included in this calculation because it was provided in a different format, i.e. single, overall figures for the last seven years.  </w:t>
      </w:r>
      <w:r w:rsidRPr="00445358">
        <w:rPr>
          <w:b/>
        </w:rPr>
        <w:t xml:space="preserve">[Begin Confidential] </w:t>
      </w:r>
      <w:r w:rsidR="00773B7F">
        <w:rPr>
          <w:b/>
        </w:rPr>
        <w:t>XXXXXXXXXXXXXXXXXXXXXXX</w:t>
      </w:r>
      <w:r w:rsidRPr="00445358">
        <w:rPr>
          <w:b/>
        </w:rPr>
        <w:t xml:space="preserve"> </w:t>
      </w:r>
      <w:r w:rsidR="00773B7F">
        <w:rPr>
          <w:b/>
        </w:rPr>
        <w:t>XXXXXXXXXXXXXXXXXXXXXXXXXXXXXXXXXXXXXXXXXXXXXXXXXXXXXXXXXXXXXXXXXXXXXXXXXXXXXXXXXXXXXXXXXXXXXXXXXXXXXXXXXXXXXXXXXXXXXXXXXXXXXXXXXXXXXXXXXXXXXXXXXXXXXXXXXXXXXXXXXXXXXXXXXXXXXXXXXXXXXXXXXXXXXXXXXXXXXXXXXXXXXXXXXXXXXXXXXXXXXXXXXXXXXXXXXXXXXXXXXXXXXXXXXXXXXXXX</w:t>
      </w:r>
      <w:r w:rsidR="00BD7209">
        <w:rPr>
          <w:b/>
        </w:rPr>
        <w:t>XXXXXXXXXXXXXXXXXXXX</w:t>
      </w:r>
      <w:r w:rsidRPr="00445358">
        <w:rPr>
          <w:b/>
        </w:rPr>
        <w:t>[End Confidential]</w:t>
      </w:r>
    </w:p>
  </w:footnote>
  <w:footnote w:id="5">
    <w:p w:rsidR="00FC441B" w:rsidRPr="007A3815" w:rsidRDefault="00FC441B" w:rsidP="00347D00">
      <w:pPr>
        <w:pStyle w:val="FootnoteText"/>
        <w:ind w:firstLine="0"/>
        <w:contextualSpacing/>
      </w:pPr>
      <w:r>
        <w:rPr>
          <w:rStyle w:val="FootnoteReference"/>
        </w:rPr>
        <w:footnoteRef/>
      </w:r>
      <w:r>
        <w:t xml:space="preserve"> WAC 480-01-071(3)(a).  For the purpose of these comments, Public Counsel has assumed an average initial charge </w:t>
      </w:r>
      <w:r w:rsidRPr="007A3815">
        <w:t>of $</w:t>
      </w:r>
      <w:r>
        <w:t>360</w:t>
      </w:r>
      <w:r w:rsidRPr="007A3815">
        <w:t xml:space="preserve"> based on an average monthly </w:t>
      </w:r>
      <w:r w:rsidRPr="007B0F70">
        <w:t>basic charge of $18</w:t>
      </w:r>
      <w:r>
        <w:t>.</w:t>
      </w:r>
    </w:p>
  </w:footnote>
  <w:footnote w:id="6">
    <w:p w:rsidR="00FC441B" w:rsidRPr="00FC2161" w:rsidRDefault="00FC441B" w:rsidP="00347D00">
      <w:pPr>
        <w:pStyle w:val="FootnoteText"/>
        <w:ind w:firstLine="0"/>
        <w:contextualSpacing/>
      </w:pPr>
      <w:r w:rsidRPr="007A3815">
        <w:rPr>
          <w:rStyle w:val="FootnoteReference"/>
        </w:rPr>
        <w:footnoteRef/>
      </w:r>
      <w:r w:rsidRPr="007A3815">
        <w:t xml:space="preserve"> WAC 480-01-071(3)(b).</w:t>
      </w:r>
    </w:p>
  </w:footnote>
  <w:footnote w:id="7">
    <w:p w:rsidR="00FC441B" w:rsidRDefault="00FC441B" w:rsidP="001C7536">
      <w:pPr>
        <w:pStyle w:val="FootnoteText"/>
        <w:ind w:firstLine="0"/>
      </w:pPr>
      <w:r w:rsidRPr="00FC2161">
        <w:rPr>
          <w:rStyle w:val="FootnoteReference"/>
        </w:rPr>
        <w:footnoteRef/>
      </w:r>
      <w:r w:rsidRPr="00FC2161">
        <w:t xml:space="preserve"> Moreover, the average cost of extensions is trending downwards.  The average </w:t>
      </w:r>
      <w:r>
        <w:t xml:space="preserve">cost </w:t>
      </w:r>
      <w:r w:rsidRPr="00FC2161">
        <w:t xml:space="preserve">in 2006 was </w:t>
      </w:r>
      <w:r w:rsidRPr="00C56553">
        <w:t>$13,300; in 2005 it was even higher.</w:t>
      </w:r>
      <w:r>
        <w:t xml:space="preserve"> </w:t>
      </w:r>
    </w:p>
  </w:footnote>
  <w:footnote w:id="8">
    <w:p w:rsidR="00FC441B" w:rsidRDefault="00FC441B" w:rsidP="00414E87">
      <w:pPr>
        <w:pStyle w:val="FootnoteText"/>
        <w:ind w:firstLine="0"/>
      </w:pPr>
      <w:r>
        <w:rPr>
          <w:rStyle w:val="FootnoteReference"/>
        </w:rPr>
        <w:footnoteRef/>
      </w:r>
      <w:r>
        <w:t xml:space="preserve"> It is not possible to calculate a similar number for Qwest </w:t>
      </w:r>
      <w:r w:rsidRPr="00D278A2">
        <w:t xml:space="preserve">because the company only provided </w:t>
      </w:r>
      <w:r>
        <w:t>seven</w:t>
      </w:r>
      <w:r w:rsidRPr="00D278A2">
        <w:t>-year average data.</w:t>
      </w:r>
    </w:p>
  </w:footnote>
  <w:footnote w:id="9">
    <w:p w:rsidR="00FC441B" w:rsidRDefault="00FC441B" w:rsidP="00D26040">
      <w:pPr>
        <w:pStyle w:val="FootnoteText"/>
        <w:ind w:firstLine="0"/>
      </w:pPr>
      <w:r>
        <w:rPr>
          <w:rStyle w:val="FootnoteReference"/>
        </w:rPr>
        <w:footnoteRef/>
      </w:r>
      <w:r>
        <w:t xml:space="preserve"> This proposal would also likely reduce, if not eliminate, the need for costly and time-consuming petitions which some companies claim are necessary under the current rule.</w:t>
      </w:r>
    </w:p>
  </w:footnote>
  <w:footnote w:id="10">
    <w:p w:rsidR="00FC441B" w:rsidRPr="00D278A2" w:rsidRDefault="00FC441B" w:rsidP="004772CA">
      <w:pPr>
        <w:pStyle w:val="FootnoteText"/>
        <w:ind w:firstLine="0"/>
      </w:pPr>
      <w:r>
        <w:rPr>
          <w:rStyle w:val="FootnoteReference"/>
        </w:rPr>
        <w:footnoteRef/>
      </w:r>
      <w:r>
        <w:t xml:space="preserve"> When data from previous years is included, t</w:t>
      </w:r>
      <w:r>
        <w:rPr>
          <w:szCs w:val="24"/>
        </w:rPr>
        <w:t xml:space="preserve">he 1/10 of a mile allowance is barely half of the average length of the shortest 20 percent of </w:t>
      </w:r>
      <w:r w:rsidRPr="00D278A2">
        <w:rPr>
          <w:szCs w:val="24"/>
        </w:rPr>
        <w:t>line extensions.</w:t>
      </w:r>
    </w:p>
  </w:footnote>
  <w:footnote w:id="11">
    <w:p w:rsidR="00FC441B" w:rsidRPr="00D278A2" w:rsidRDefault="00FC441B" w:rsidP="00777B7B">
      <w:pPr>
        <w:pStyle w:val="FootnoteText"/>
        <w:ind w:firstLine="0"/>
      </w:pPr>
      <w:r w:rsidRPr="00D278A2">
        <w:rPr>
          <w:rStyle w:val="FootnoteReference"/>
        </w:rPr>
        <w:footnoteRef/>
      </w:r>
      <w:r w:rsidRPr="00D278A2">
        <w:t xml:space="preserve"> </w:t>
      </w:r>
      <w:r w:rsidRPr="00D278A2">
        <w:rPr>
          <w:b/>
        </w:rPr>
        <w:t xml:space="preserve">[Begin Confidential] </w:t>
      </w:r>
      <w:proofErr w:type="gramStart"/>
      <w:r w:rsidR="00AE74AB">
        <w:rPr>
          <w:b/>
        </w:rPr>
        <w:t>XXXXXXXXXXXXXXXXXXXXXXXXXXXXXXXXXXXXXXXXXXXXXXXXXXX</w:t>
      </w:r>
      <w:r w:rsidRPr="00D278A2">
        <w:rPr>
          <w:b/>
        </w:rPr>
        <w:t xml:space="preserve"> </w:t>
      </w:r>
      <w:r w:rsidR="00AE74AB">
        <w:rPr>
          <w:b/>
        </w:rPr>
        <w:t>XXXXXXXXXXXXXXXXXXXXXX</w:t>
      </w:r>
      <w:r w:rsidRPr="00D278A2">
        <w:rPr>
          <w:b/>
        </w:rPr>
        <w:t xml:space="preserve"> [End Confidential]</w:t>
      </w:r>
      <w:r w:rsidRPr="00D278A2">
        <w:t>.</w:t>
      </w:r>
      <w:proofErr w:type="gramEnd"/>
    </w:p>
  </w:footnote>
  <w:footnote w:id="12">
    <w:p w:rsidR="00FC441B" w:rsidRPr="00145149" w:rsidRDefault="00FC441B" w:rsidP="00AF7BA4">
      <w:pPr>
        <w:pStyle w:val="FootnoteText"/>
        <w:ind w:firstLine="0"/>
      </w:pPr>
      <w:r w:rsidRPr="00D278A2">
        <w:rPr>
          <w:rStyle w:val="FootnoteReference"/>
        </w:rPr>
        <w:footnoteRef/>
      </w:r>
      <w:r w:rsidRPr="00D278A2">
        <w:t xml:space="preserve"> </w:t>
      </w:r>
      <w:r w:rsidRPr="00D278A2">
        <w:rPr>
          <w:i/>
        </w:rPr>
        <w:t>See id.</w:t>
      </w:r>
    </w:p>
  </w:footnote>
  <w:footnote w:id="13">
    <w:p w:rsidR="00FC441B" w:rsidRDefault="00FC441B" w:rsidP="00145149">
      <w:pPr>
        <w:pStyle w:val="FootnoteText"/>
        <w:ind w:firstLine="0"/>
      </w:pPr>
      <w:r>
        <w:rPr>
          <w:rStyle w:val="FootnoteReference"/>
        </w:rPr>
        <w:footnoteRef/>
      </w:r>
      <w:r>
        <w:t xml:space="preserve"> All but one of the 102 applicants from 2005 through 2007 would pay more under the draft rules.</w:t>
      </w:r>
    </w:p>
  </w:footnote>
  <w:footnote w:id="14">
    <w:p w:rsidR="00FC441B" w:rsidRDefault="00FC441B" w:rsidP="00AE7735">
      <w:pPr>
        <w:pStyle w:val="FootnoteText"/>
        <w:ind w:firstLine="0"/>
      </w:pPr>
      <w:r>
        <w:rPr>
          <w:rStyle w:val="FootnoteReference"/>
        </w:rPr>
        <w:footnoteRef/>
      </w:r>
      <w:r>
        <w:t xml:space="preserve"> </w:t>
      </w:r>
      <w:r w:rsidRPr="00D278A2">
        <w:t xml:space="preserve">These calculations do not include data from Qwest because it provided only </w:t>
      </w:r>
      <w:r>
        <w:t>seven-year</w:t>
      </w:r>
      <w:r w:rsidRPr="00D278A2">
        <w:t xml:space="preserve"> averages.  Also, as mentioned above, it may be that CenturyTel’s data does not include extensions of less than 1/10 of a mile.</w:t>
      </w:r>
    </w:p>
  </w:footnote>
  <w:footnote w:id="15">
    <w:p w:rsidR="00FC441B" w:rsidRDefault="00FC441B" w:rsidP="005129C3">
      <w:pPr>
        <w:pStyle w:val="FootnoteText"/>
        <w:ind w:firstLine="0"/>
      </w:pPr>
      <w:r>
        <w:rPr>
          <w:rStyle w:val="FootnoteReference"/>
        </w:rPr>
        <w:footnoteRef/>
      </w:r>
      <w:r>
        <w:t xml:space="preserve"> The same problems apply to Subsection (4)(b)(iii), which places the burden of proof on the applicant when the applicant appeals the company’s determination.</w:t>
      </w:r>
    </w:p>
  </w:footnote>
  <w:footnote w:id="16">
    <w:p w:rsidR="00FC441B" w:rsidRPr="0011138D" w:rsidRDefault="00FC441B" w:rsidP="0030308E">
      <w:pPr>
        <w:pStyle w:val="FootnoteText"/>
        <w:ind w:firstLine="0"/>
      </w:pPr>
      <w:r>
        <w:rPr>
          <w:rStyle w:val="FootnoteReference"/>
        </w:rPr>
        <w:footnoteRef/>
      </w:r>
      <w:r>
        <w:t xml:space="preserve"> RCW 80.36.090 (stating “[e]very telecommunications company shall, upon reasonable notice, furnish to all persons and corporations who may apply therefor and be reasonably entitled thereto suitable and proper facilities and connections for </w:t>
      </w:r>
      <w:r w:rsidRPr="0011138D">
        <w:t>telephonic communication and furnish telephone service as demanded”).</w:t>
      </w:r>
    </w:p>
  </w:footnote>
  <w:footnote w:id="17">
    <w:p w:rsidR="00FC441B" w:rsidRPr="00FA3CBE" w:rsidRDefault="00FC441B" w:rsidP="00FA3CBE">
      <w:pPr>
        <w:pStyle w:val="FootnoteText"/>
        <w:ind w:firstLine="0"/>
      </w:pPr>
      <w:r w:rsidRPr="0011138D">
        <w:rPr>
          <w:rStyle w:val="FootnoteReference"/>
        </w:rPr>
        <w:footnoteRef/>
      </w:r>
      <w:r w:rsidRPr="0011138D">
        <w:t xml:space="preserve"> </w:t>
      </w:r>
      <w:r w:rsidRPr="0011138D">
        <w:rPr>
          <w:i/>
        </w:rPr>
        <w:t>See</w:t>
      </w:r>
      <w:r>
        <w:rPr>
          <w:i/>
        </w:rPr>
        <w:t xml:space="preserve"> WUTC v. Inland Telephone Company, </w:t>
      </w:r>
      <w:r>
        <w:t xml:space="preserve">Docket No. UT-050606, Order 09, ¶39-40 (rejecting Inland’s argument that relieving it of its obligation to serve would not create a public harm because three wireless carriers provided service in its service area and stating, “[w]e find . . . that ETC provision of wireless service is not the equivalent of incumbent wireline service.”)  </w:t>
      </w:r>
      <w:r>
        <w:rPr>
          <w:i/>
        </w:rPr>
        <w:t>See also In the Matter of High-Cost Universal Service Support, Federal-State Joint Board on Universal Service</w:t>
      </w:r>
      <w:r>
        <w:t>, WC Docket No. 05-337, CC Docket No. 96-45, FCC 08-4, Notice of Proposed Rulemaking (NPRM), released January 29, 2008, ¶¶9-10.  In this NPRM, the FCC observed that “rather than providing a complete substitute for traditional wireline service…wireless competitive ETCs largely provide mobile wireless telephony service in addition to a customer’s existing wireline service.”  The FCC went on to note that “[b]ecause the majority of households do not view wireline and wireless services to be direct substitutes, many households subscribe to both services…[.]”</w:t>
      </w:r>
    </w:p>
  </w:footnote>
  <w:footnote w:id="18">
    <w:p w:rsidR="00FC441B" w:rsidRDefault="00FC441B" w:rsidP="008C17AF">
      <w:pPr>
        <w:pStyle w:val="FootnoteText"/>
        <w:ind w:firstLine="0"/>
      </w:pPr>
      <w:r>
        <w:rPr>
          <w:rStyle w:val="FootnoteReference"/>
        </w:rPr>
        <w:footnoteRef/>
      </w:r>
      <w:r>
        <w:t xml:space="preserve"> Many other practical concerns arise over requiring individual applicants to test for alternative service.  There are currently no protocols for testing—would applicants have to devise their own? </w:t>
      </w:r>
    </w:p>
  </w:footnote>
  <w:footnote w:id="19">
    <w:p w:rsidR="00FC441B" w:rsidRDefault="00FC441B" w:rsidP="00A27696">
      <w:pPr>
        <w:pStyle w:val="FootnoteText"/>
        <w:ind w:firstLine="0"/>
      </w:pPr>
      <w:r>
        <w:rPr>
          <w:rStyle w:val="FootnoteReference"/>
        </w:rPr>
        <w:footnoteRef/>
      </w:r>
      <w:r>
        <w:t xml:space="preserve"> If Section (4) is deleted, those sections that reference the applicant certification would also have to be amended or deleted.  This includes (2)(ii) and (iii).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41B" w:rsidRDefault="00722080">
    <w:r>
      <w:rPr>
        <w:noProof/>
      </w:rPr>
      <w:pict>
        <v:line id="_x0000_s2049" style="position:absolute;z-index:251657728;mso-position-horizontal-relative:margin;mso-position-vertical-relative:page" from="-7.2pt,0" to="-7.15pt,11in" o:allowincell="f" stroked="f">
          <v:stroke startarrowwidth="narrow" startarrowlength="short" endarrowwidth="narrow" endarrowlength="short"/>
          <w10:wrap anchorx="margin" anchory="pag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113C0"/>
    <w:multiLevelType w:val="hybridMultilevel"/>
    <w:tmpl w:val="D848F26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7D242DB"/>
    <w:multiLevelType w:val="hybridMultilevel"/>
    <w:tmpl w:val="2A509E8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546AA"/>
    <w:multiLevelType w:val="hybridMultilevel"/>
    <w:tmpl w:val="66BE07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C5051D"/>
    <w:multiLevelType w:val="hybridMultilevel"/>
    <w:tmpl w:val="F3E2E344"/>
    <w:lvl w:ilvl="0" w:tplc="F6A231D0">
      <w:start w:val="1"/>
      <w:numFmt w:val="upperLetter"/>
      <w:lvlText w:val="%1."/>
      <w:lvlJc w:val="left"/>
      <w:pPr>
        <w:tabs>
          <w:tab w:val="num" w:pos="1080"/>
        </w:tabs>
        <w:ind w:left="1080" w:hanging="360"/>
      </w:pPr>
      <w:rPr>
        <w:rFonts w:hint="default"/>
        <w:b/>
        <w:i w:val="0"/>
        <w:caps w:val="0"/>
        <w:strike w:val="0"/>
        <w:dstrike w:val="0"/>
        <w:shadow w:val="0"/>
        <w:emboss w:val="0"/>
        <w:imprint w:val="0"/>
        <w:vanish w:val="0"/>
        <w:sz w:val="24"/>
        <w:szCs w:val="24"/>
        <w:vertAlign w:val="baseline"/>
      </w:rPr>
    </w:lvl>
    <w:lvl w:ilvl="1" w:tplc="0409000F">
      <w:start w:val="1"/>
      <w:numFmt w:val="decimal"/>
      <w:lvlText w:val="%2."/>
      <w:lvlJc w:val="left"/>
      <w:pPr>
        <w:tabs>
          <w:tab w:val="num" w:pos="1800"/>
        </w:tabs>
        <w:ind w:left="1800" w:hanging="360"/>
      </w:pPr>
      <w:rPr>
        <w:rFonts w:hint="default"/>
        <w:b/>
        <w:i w:val="0"/>
        <w:caps w:val="0"/>
        <w:strike w:val="0"/>
        <w:dstrike w:val="0"/>
        <w:shadow w:val="0"/>
        <w:emboss w:val="0"/>
        <w:imprint w:val="0"/>
        <w:vanish w:val="0"/>
        <w:sz w:val="24"/>
        <w:szCs w:val="24"/>
        <w:vertAlign w:val="baseline"/>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08744F2"/>
    <w:multiLevelType w:val="hybridMultilevel"/>
    <w:tmpl w:val="DA7C4702"/>
    <w:lvl w:ilvl="0" w:tplc="7FCE8A52">
      <w:start w:val="2"/>
      <w:numFmt w:val="upperLetter"/>
      <w:lvlText w:val="%1."/>
      <w:lvlJc w:val="left"/>
      <w:pPr>
        <w:tabs>
          <w:tab w:val="num" w:pos="1080"/>
        </w:tabs>
        <w:ind w:left="1080" w:hanging="360"/>
      </w:pPr>
      <w:rPr>
        <w:rFonts w:hint="default"/>
        <w:b/>
        <w:i w:val="0"/>
        <w:caps w:val="0"/>
        <w:strike w:val="0"/>
        <w:dstrike w:val="0"/>
        <w:shadow w:val="0"/>
        <w:emboss w:val="0"/>
        <w:imprint w:val="0"/>
        <w:vanish w:val="0"/>
        <w:sz w:val="24"/>
        <w:szCs w:val="24"/>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4454CEC"/>
    <w:multiLevelType w:val="hybridMultilevel"/>
    <w:tmpl w:val="8C7C188A"/>
    <w:lvl w:ilvl="0" w:tplc="795E81D6">
      <w:start w:val="1"/>
      <w:numFmt w:val="lowerLetter"/>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6">
    <w:nsid w:val="16184D54"/>
    <w:multiLevelType w:val="hybridMultilevel"/>
    <w:tmpl w:val="AB86A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A53BE9"/>
    <w:multiLevelType w:val="hybridMultilevel"/>
    <w:tmpl w:val="09C07BD4"/>
    <w:lvl w:ilvl="0" w:tplc="5CC2E48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142B69"/>
    <w:multiLevelType w:val="hybridMultilevel"/>
    <w:tmpl w:val="31005706"/>
    <w:lvl w:ilvl="0" w:tplc="01DA5E6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3E4FF0"/>
    <w:multiLevelType w:val="hybridMultilevel"/>
    <w:tmpl w:val="7C3C70F6"/>
    <w:lvl w:ilvl="0" w:tplc="0C765DD6">
      <w:start w:val="3"/>
      <w:numFmt w:val="upperRoman"/>
      <w:lvlText w:val="%1."/>
      <w:lvlJc w:val="left"/>
      <w:pPr>
        <w:tabs>
          <w:tab w:val="num" w:pos="1440"/>
        </w:tabs>
        <w:ind w:left="1440" w:hanging="360"/>
      </w:pPr>
      <w:rPr>
        <w:rFonts w:hint="default"/>
        <w:b/>
        <w:i w:val="0"/>
        <w:caps w:val="0"/>
        <w:strike w:val="0"/>
        <w:dstrike w:val="0"/>
        <w:shadow w:val="0"/>
        <w:emboss w:val="0"/>
        <w:imprint w:val="0"/>
        <w:vanish w:val="0"/>
        <w:sz w:val="24"/>
        <w:szCs w:val="24"/>
        <w:vertAlign w:val="baseline"/>
      </w:rPr>
    </w:lvl>
    <w:lvl w:ilvl="1" w:tplc="550ADB9A">
      <w:start w:val="3"/>
      <w:numFmt w:val="upperRoman"/>
      <w:lvlText w:val="%2."/>
      <w:lvlJc w:val="left"/>
      <w:pPr>
        <w:tabs>
          <w:tab w:val="num" w:pos="1440"/>
        </w:tabs>
        <w:ind w:left="1440" w:hanging="360"/>
      </w:pPr>
      <w:rPr>
        <w:rFonts w:hint="default"/>
        <w:b/>
        <w:i w:val="0"/>
        <w:caps w:val="0"/>
        <w:strike w:val="0"/>
        <w:dstrike w:val="0"/>
        <w:shadow w:val="0"/>
        <w:emboss w:val="0"/>
        <w:imprint w:val="0"/>
        <w:vanish w:val="0"/>
        <w:sz w:val="24"/>
        <w:szCs w:val="24"/>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E3C21C4"/>
    <w:multiLevelType w:val="hybridMultilevel"/>
    <w:tmpl w:val="10EA3806"/>
    <w:lvl w:ilvl="0" w:tplc="2A4CEE14">
      <w:start w:val="2"/>
      <w:numFmt w:val="upperRoman"/>
      <w:lvlText w:val="%1."/>
      <w:lvlJc w:val="left"/>
      <w:pPr>
        <w:tabs>
          <w:tab w:val="num" w:pos="720"/>
        </w:tabs>
        <w:ind w:left="720" w:hanging="360"/>
      </w:pPr>
      <w:rPr>
        <w:rFonts w:hint="default"/>
        <w:b/>
        <w:i w:val="0"/>
        <w:caps w:val="0"/>
        <w:strike w:val="0"/>
        <w:dstrike w:val="0"/>
        <w:shadow w:val="0"/>
        <w:emboss w:val="0"/>
        <w:imprint w:val="0"/>
        <w:vanish w:val="0"/>
        <w:sz w:val="24"/>
        <w:szCs w:val="24"/>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E7E083C"/>
    <w:multiLevelType w:val="hybridMultilevel"/>
    <w:tmpl w:val="524A5F4C"/>
    <w:lvl w:ilvl="0" w:tplc="21A6387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54C20FD"/>
    <w:multiLevelType w:val="hybridMultilevel"/>
    <w:tmpl w:val="C15EE8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DF492B"/>
    <w:multiLevelType w:val="hybridMultilevel"/>
    <w:tmpl w:val="8814D5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6E32D4"/>
    <w:multiLevelType w:val="hybridMultilevel"/>
    <w:tmpl w:val="663CA68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2266F32"/>
    <w:multiLevelType w:val="hybridMultilevel"/>
    <w:tmpl w:val="03867A66"/>
    <w:lvl w:ilvl="0" w:tplc="FD68198C">
      <w:start w:val="1"/>
      <w:numFmt w:val="upperRoman"/>
      <w:lvlText w:val="%1."/>
      <w:lvlJc w:val="left"/>
      <w:pPr>
        <w:tabs>
          <w:tab w:val="num" w:pos="720"/>
        </w:tabs>
        <w:ind w:left="720" w:hanging="360"/>
      </w:pPr>
      <w:rPr>
        <w:rFonts w:hint="default"/>
        <w:b/>
        <w:i w:val="0"/>
        <w:caps w:val="0"/>
        <w:strike w:val="0"/>
        <w:dstrike w:val="0"/>
        <w:shadow w:val="0"/>
        <w:emboss w:val="0"/>
        <w:imprint w:val="0"/>
        <w:vanish w:val="0"/>
        <w:sz w:val="24"/>
        <w:szCs w:val="24"/>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3C50F1C"/>
    <w:multiLevelType w:val="hybridMultilevel"/>
    <w:tmpl w:val="A20AC7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6A4A32"/>
    <w:multiLevelType w:val="hybridMultilevel"/>
    <w:tmpl w:val="3B00CA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5695F70"/>
    <w:multiLevelType w:val="hybridMultilevel"/>
    <w:tmpl w:val="3DF2F81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78B3ED8"/>
    <w:multiLevelType w:val="hybridMultilevel"/>
    <w:tmpl w:val="565A22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F53B4D"/>
    <w:multiLevelType w:val="hybridMultilevel"/>
    <w:tmpl w:val="831AFA7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D819CE"/>
    <w:multiLevelType w:val="hybridMultilevel"/>
    <w:tmpl w:val="46A6E61E"/>
    <w:lvl w:ilvl="0" w:tplc="B940858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76A10D3"/>
    <w:multiLevelType w:val="hybridMultilevel"/>
    <w:tmpl w:val="34761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C45D2F"/>
    <w:multiLevelType w:val="hybridMultilevel"/>
    <w:tmpl w:val="361A15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0D78DE"/>
    <w:multiLevelType w:val="hybridMultilevel"/>
    <w:tmpl w:val="4C2E12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0"/>
  </w:num>
  <w:num w:numId="3">
    <w:abstractNumId w:val="9"/>
  </w:num>
  <w:num w:numId="4">
    <w:abstractNumId w:val="15"/>
  </w:num>
  <w:num w:numId="5">
    <w:abstractNumId w:val="11"/>
  </w:num>
  <w:num w:numId="6">
    <w:abstractNumId w:val="4"/>
  </w:num>
  <w:num w:numId="7">
    <w:abstractNumId w:val="21"/>
  </w:num>
  <w:num w:numId="8">
    <w:abstractNumId w:val="16"/>
  </w:num>
  <w:num w:numId="9">
    <w:abstractNumId w:val="13"/>
  </w:num>
  <w:num w:numId="10">
    <w:abstractNumId w:val="0"/>
  </w:num>
  <w:num w:numId="11">
    <w:abstractNumId w:val="2"/>
  </w:num>
  <w:num w:numId="12">
    <w:abstractNumId w:val="6"/>
  </w:num>
  <w:num w:numId="13">
    <w:abstractNumId w:val="22"/>
  </w:num>
  <w:num w:numId="14">
    <w:abstractNumId w:val="17"/>
  </w:num>
  <w:num w:numId="15">
    <w:abstractNumId w:val="12"/>
  </w:num>
  <w:num w:numId="16">
    <w:abstractNumId w:val="8"/>
  </w:num>
  <w:num w:numId="17">
    <w:abstractNumId w:val="24"/>
  </w:num>
  <w:num w:numId="18">
    <w:abstractNumId w:val="5"/>
  </w:num>
  <w:num w:numId="19">
    <w:abstractNumId w:val="7"/>
  </w:num>
  <w:num w:numId="20">
    <w:abstractNumId w:val="20"/>
  </w:num>
  <w:num w:numId="21">
    <w:abstractNumId w:val="1"/>
  </w:num>
  <w:num w:numId="22">
    <w:abstractNumId w:val="14"/>
  </w:num>
  <w:num w:numId="23">
    <w:abstractNumId w:val="18"/>
  </w:num>
  <w:num w:numId="24">
    <w:abstractNumId w:val="23"/>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C97C1F"/>
    <w:rsid w:val="00002E15"/>
    <w:rsid w:val="000207E9"/>
    <w:rsid w:val="00022E34"/>
    <w:rsid w:val="00025C31"/>
    <w:rsid w:val="000274CD"/>
    <w:rsid w:val="00030C73"/>
    <w:rsid w:val="000332E4"/>
    <w:rsid w:val="00050A4D"/>
    <w:rsid w:val="000516F7"/>
    <w:rsid w:val="00055E2D"/>
    <w:rsid w:val="00056F1D"/>
    <w:rsid w:val="00066CE8"/>
    <w:rsid w:val="00072892"/>
    <w:rsid w:val="00094CD7"/>
    <w:rsid w:val="00097866"/>
    <w:rsid w:val="000A1F23"/>
    <w:rsid w:val="000A43EE"/>
    <w:rsid w:val="000A515B"/>
    <w:rsid w:val="000A5BD5"/>
    <w:rsid w:val="000C7FC0"/>
    <w:rsid w:val="000D3CFA"/>
    <w:rsid w:val="000D7550"/>
    <w:rsid w:val="000E4B3F"/>
    <w:rsid w:val="000F3B5F"/>
    <w:rsid w:val="000F3CD8"/>
    <w:rsid w:val="000F617F"/>
    <w:rsid w:val="001060D3"/>
    <w:rsid w:val="00110879"/>
    <w:rsid w:val="0011138D"/>
    <w:rsid w:val="00111E53"/>
    <w:rsid w:val="001125B5"/>
    <w:rsid w:val="00112BAE"/>
    <w:rsid w:val="0012790B"/>
    <w:rsid w:val="0013222F"/>
    <w:rsid w:val="00133F75"/>
    <w:rsid w:val="001352F4"/>
    <w:rsid w:val="00140295"/>
    <w:rsid w:val="0014069A"/>
    <w:rsid w:val="001436F7"/>
    <w:rsid w:val="00145149"/>
    <w:rsid w:val="00146FBE"/>
    <w:rsid w:val="0016044F"/>
    <w:rsid w:val="00160883"/>
    <w:rsid w:val="0016201E"/>
    <w:rsid w:val="0016283A"/>
    <w:rsid w:val="00167148"/>
    <w:rsid w:val="00167923"/>
    <w:rsid w:val="00185790"/>
    <w:rsid w:val="00185DA1"/>
    <w:rsid w:val="00196EB7"/>
    <w:rsid w:val="001A39C3"/>
    <w:rsid w:val="001A5885"/>
    <w:rsid w:val="001B3DEB"/>
    <w:rsid w:val="001C16E4"/>
    <w:rsid w:val="001C18C1"/>
    <w:rsid w:val="001C7536"/>
    <w:rsid w:val="001D1865"/>
    <w:rsid w:val="001E1BD4"/>
    <w:rsid w:val="002012D5"/>
    <w:rsid w:val="00221A59"/>
    <w:rsid w:val="00223620"/>
    <w:rsid w:val="00227416"/>
    <w:rsid w:val="0023089C"/>
    <w:rsid w:val="00242DA7"/>
    <w:rsid w:val="002460CE"/>
    <w:rsid w:val="00251015"/>
    <w:rsid w:val="0025367E"/>
    <w:rsid w:val="002558BC"/>
    <w:rsid w:val="00260D01"/>
    <w:rsid w:val="00277F1B"/>
    <w:rsid w:val="002802EA"/>
    <w:rsid w:val="00291B08"/>
    <w:rsid w:val="00292103"/>
    <w:rsid w:val="002A30E9"/>
    <w:rsid w:val="002B24E5"/>
    <w:rsid w:val="002C02C6"/>
    <w:rsid w:val="002D18A0"/>
    <w:rsid w:val="002D4FCA"/>
    <w:rsid w:val="002F08E2"/>
    <w:rsid w:val="002F2CDA"/>
    <w:rsid w:val="0030050F"/>
    <w:rsid w:val="003009C1"/>
    <w:rsid w:val="0030308E"/>
    <w:rsid w:val="00305FA8"/>
    <w:rsid w:val="003115E1"/>
    <w:rsid w:val="003118DE"/>
    <w:rsid w:val="00327FA7"/>
    <w:rsid w:val="00332777"/>
    <w:rsid w:val="003461D0"/>
    <w:rsid w:val="00346B1C"/>
    <w:rsid w:val="00347D00"/>
    <w:rsid w:val="00350CDF"/>
    <w:rsid w:val="0036577C"/>
    <w:rsid w:val="00386A57"/>
    <w:rsid w:val="003A6D67"/>
    <w:rsid w:val="003B6147"/>
    <w:rsid w:val="003C43F7"/>
    <w:rsid w:val="003E2364"/>
    <w:rsid w:val="003F6F20"/>
    <w:rsid w:val="004037E5"/>
    <w:rsid w:val="00406DEF"/>
    <w:rsid w:val="00414A75"/>
    <w:rsid w:val="00414E87"/>
    <w:rsid w:val="004235DD"/>
    <w:rsid w:val="00426AE4"/>
    <w:rsid w:val="00427A06"/>
    <w:rsid w:val="00436C08"/>
    <w:rsid w:val="00445358"/>
    <w:rsid w:val="00446441"/>
    <w:rsid w:val="00461685"/>
    <w:rsid w:val="00467A72"/>
    <w:rsid w:val="00474A15"/>
    <w:rsid w:val="004772CA"/>
    <w:rsid w:val="00486507"/>
    <w:rsid w:val="00490141"/>
    <w:rsid w:val="004919D5"/>
    <w:rsid w:val="004D24E4"/>
    <w:rsid w:val="004D711B"/>
    <w:rsid w:val="004F00EA"/>
    <w:rsid w:val="004F0AFE"/>
    <w:rsid w:val="004F0BD3"/>
    <w:rsid w:val="004F12E1"/>
    <w:rsid w:val="004F558F"/>
    <w:rsid w:val="00501695"/>
    <w:rsid w:val="005129C3"/>
    <w:rsid w:val="00514951"/>
    <w:rsid w:val="005163E2"/>
    <w:rsid w:val="00530A1B"/>
    <w:rsid w:val="00560464"/>
    <w:rsid w:val="00561F01"/>
    <w:rsid w:val="00563329"/>
    <w:rsid w:val="005644DD"/>
    <w:rsid w:val="00565ACA"/>
    <w:rsid w:val="00570ED2"/>
    <w:rsid w:val="005717E0"/>
    <w:rsid w:val="00574BEE"/>
    <w:rsid w:val="0058482D"/>
    <w:rsid w:val="0059010F"/>
    <w:rsid w:val="0059486E"/>
    <w:rsid w:val="00596719"/>
    <w:rsid w:val="005971EF"/>
    <w:rsid w:val="005B5854"/>
    <w:rsid w:val="005C4B51"/>
    <w:rsid w:val="005D1F83"/>
    <w:rsid w:val="005D40D9"/>
    <w:rsid w:val="005E70A1"/>
    <w:rsid w:val="005F4957"/>
    <w:rsid w:val="005F62E4"/>
    <w:rsid w:val="006000C2"/>
    <w:rsid w:val="0060343B"/>
    <w:rsid w:val="00615800"/>
    <w:rsid w:val="00626856"/>
    <w:rsid w:val="0063627D"/>
    <w:rsid w:val="00640D83"/>
    <w:rsid w:val="006445C1"/>
    <w:rsid w:val="00654F23"/>
    <w:rsid w:val="00657438"/>
    <w:rsid w:val="00674886"/>
    <w:rsid w:val="00675418"/>
    <w:rsid w:val="00675BF8"/>
    <w:rsid w:val="00676346"/>
    <w:rsid w:val="006847AD"/>
    <w:rsid w:val="006A15B6"/>
    <w:rsid w:val="006A3CA4"/>
    <w:rsid w:val="006A6501"/>
    <w:rsid w:val="006A7337"/>
    <w:rsid w:val="006B56E9"/>
    <w:rsid w:val="006B6261"/>
    <w:rsid w:val="006B6959"/>
    <w:rsid w:val="006C028D"/>
    <w:rsid w:val="006F54C7"/>
    <w:rsid w:val="006F6D99"/>
    <w:rsid w:val="00715576"/>
    <w:rsid w:val="007165B8"/>
    <w:rsid w:val="00717CA9"/>
    <w:rsid w:val="00722080"/>
    <w:rsid w:val="007254B8"/>
    <w:rsid w:val="0074108F"/>
    <w:rsid w:val="00760DC8"/>
    <w:rsid w:val="00765BFC"/>
    <w:rsid w:val="007713A4"/>
    <w:rsid w:val="00773B7F"/>
    <w:rsid w:val="00777B7B"/>
    <w:rsid w:val="007813E6"/>
    <w:rsid w:val="007839B2"/>
    <w:rsid w:val="00783A1B"/>
    <w:rsid w:val="007945BB"/>
    <w:rsid w:val="007A3815"/>
    <w:rsid w:val="007A7487"/>
    <w:rsid w:val="007B0F70"/>
    <w:rsid w:val="007C4F9A"/>
    <w:rsid w:val="007D4D22"/>
    <w:rsid w:val="007E4D76"/>
    <w:rsid w:val="007F2496"/>
    <w:rsid w:val="00800F10"/>
    <w:rsid w:val="008038B9"/>
    <w:rsid w:val="00807FE7"/>
    <w:rsid w:val="00811CA8"/>
    <w:rsid w:val="00827696"/>
    <w:rsid w:val="008307E0"/>
    <w:rsid w:val="0083228B"/>
    <w:rsid w:val="008378DC"/>
    <w:rsid w:val="00844861"/>
    <w:rsid w:val="00851150"/>
    <w:rsid w:val="008612A7"/>
    <w:rsid w:val="00870A7F"/>
    <w:rsid w:val="0087263D"/>
    <w:rsid w:val="008764A6"/>
    <w:rsid w:val="00876988"/>
    <w:rsid w:val="00895E95"/>
    <w:rsid w:val="008A5847"/>
    <w:rsid w:val="008A63A8"/>
    <w:rsid w:val="008B2D52"/>
    <w:rsid w:val="008C17AF"/>
    <w:rsid w:val="008C7F33"/>
    <w:rsid w:val="008D16CA"/>
    <w:rsid w:val="008E12BB"/>
    <w:rsid w:val="008E6C67"/>
    <w:rsid w:val="0090026B"/>
    <w:rsid w:val="00905088"/>
    <w:rsid w:val="00910B0E"/>
    <w:rsid w:val="009155AD"/>
    <w:rsid w:val="00921390"/>
    <w:rsid w:val="00921A61"/>
    <w:rsid w:val="009363D8"/>
    <w:rsid w:val="009374BA"/>
    <w:rsid w:val="00941144"/>
    <w:rsid w:val="00956E47"/>
    <w:rsid w:val="00967C98"/>
    <w:rsid w:val="00973F26"/>
    <w:rsid w:val="009749E5"/>
    <w:rsid w:val="009768F0"/>
    <w:rsid w:val="00976C3F"/>
    <w:rsid w:val="00980D01"/>
    <w:rsid w:val="00995596"/>
    <w:rsid w:val="00996CDB"/>
    <w:rsid w:val="009A5670"/>
    <w:rsid w:val="009A7FFB"/>
    <w:rsid w:val="009B059F"/>
    <w:rsid w:val="009B40F1"/>
    <w:rsid w:val="009D1FB7"/>
    <w:rsid w:val="009D7648"/>
    <w:rsid w:val="009F0033"/>
    <w:rsid w:val="00A17F08"/>
    <w:rsid w:val="00A21B98"/>
    <w:rsid w:val="00A27696"/>
    <w:rsid w:val="00A30EC4"/>
    <w:rsid w:val="00A31CAC"/>
    <w:rsid w:val="00A45E29"/>
    <w:rsid w:val="00A50264"/>
    <w:rsid w:val="00A52DD6"/>
    <w:rsid w:val="00A565EF"/>
    <w:rsid w:val="00A6031D"/>
    <w:rsid w:val="00A605F6"/>
    <w:rsid w:val="00A706DA"/>
    <w:rsid w:val="00A741F8"/>
    <w:rsid w:val="00A74F01"/>
    <w:rsid w:val="00A81180"/>
    <w:rsid w:val="00A8284D"/>
    <w:rsid w:val="00A8671F"/>
    <w:rsid w:val="00A91793"/>
    <w:rsid w:val="00A944BF"/>
    <w:rsid w:val="00AA45AE"/>
    <w:rsid w:val="00AA5868"/>
    <w:rsid w:val="00AA7F8E"/>
    <w:rsid w:val="00AB5211"/>
    <w:rsid w:val="00AC5D52"/>
    <w:rsid w:val="00AD099A"/>
    <w:rsid w:val="00AE74AB"/>
    <w:rsid w:val="00AE7735"/>
    <w:rsid w:val="00AF3330"/>
    <w:rsid w:val="00AF7BA4"/>
    <w:rsid w:val="00B00A48"/>
    <w:rsid w:val="00B00D84"/>
    <w:rsid w:val="00B14ED3"/>
    <w:rsid w:val="00B174CB"/>
    <w:rsid w:val="00B21C93"/>
    <w:rsid w:val="00B30728"/>
    <w:rsid w:val="00B341BB"/>
    <w:rsid w:val="00B355AC"/>
    <w:rsid w:val="00B478A5"/>
    <w:rsid w:val="00B50194"/>
    <w:rsid w:val="00B50F31"/>
    <w:rsid w:val="00B57129"/>
    <w:rsid w:val="00B64F93"/>
    <w:rsid w:val="00B82A58"/>
    <w:rsid w:val="00B8518C"/>
    <w:rsid w:val="00B8568B"/>
    <w:rsid w:val="00BC797E"/>
    <w:rsid w:val="00BD1443"/>
    <w:rsid w:val="00BD2A65"/>
    <w:rsid w:val="00BD664F"/>
    <w:rsid w:val="00BD691D"/>
    <w:rsid w:val="00BD7209"/>
    <w:rsid w:val="00BE1AC3"/>
    <w:rsid w:val="00BE1E7B"/>
    <w:rsid w:val="00BF77CA"/>
    <w:rsid w:val="00C00C99"/>
    <w:rsid w:val="00C26041"/>
    <w:rsid w:val="00C27AE1"/>
    <w:rsid w:val="00C45F89"/>
    <w:rsid w:val="00C5490A"/>
    <w:rsid w:val="00C55FAA"/>
    <w:rsid w:val="00C56553"/>
    <w:rsid w:val="00C65548"/>
    <w:rsid w:val="00C65AC0"/>
    <w:rsid w:val="00C77270"/>
    <w:rsid w:val="00C84485"/>
    <w:rsid w:val="00C86526"/>
    <w:rsid w:val="00C95224"/>
    <w:rsid w:val="00C97C1F"/>
    <w:rsid w:val="00CA0269"/>
    <w:rsid w:val="00CA03F2"/>
    <w:rsid w:val="00CA0409"/>
    <w:rsid w:val="00CA0C13"/>
    <w:rsid w:val="00CE4203"/>
    <w:rsid w:val="00CE6822"/>
    <w:rsid w:val="00CE6CD9"/>
    <w:rsid w:val="00D03865"/>
    <w:rsid w:val="00D12C6F"/>
    <w:rsid w:val="00D26040"/>
    <w:rsid w:val="00D2657D"/>
    <w:rsid w:val="00D278A2"/>
    <w:rsid w:val="00D3685B"/>
    <w:rsid w:val="00D462EB"/>
    <w:rsid w:val="00D5251A"/>
    <w:rsid w:val="00D81ACD"/>
    <w:rsid w:val="00D82ECC"/>
    <w:rsid w:val="00D94B12"/>
    <w:rsid w:val="00DA18C8"/>
    <w:rsid w:val="00DA34F9"/>
    <w:rsid w:val="00DB26A5"/>
    <w:rsid w:val="00DB6B22"/>
    <w:rsid w:val="00DB7711"/>
    <w:rsid w:val="00DB798A"/>
    <w:rsid w:val="00DC1DD5"/>
    <w:rsid w:val="00DD2BBD"/>
    <w:rsid w:val="00E03024"/>
    <w:rsid w:val="00E1424B"/>
    <w:rsid w:val="00E16E70"/>
    <w:rsid w:val="00E46B78"/>
    <w:rsid w:val="00E63BC9"/>
    <w:rsid w:val="00E6521F"/>
    <w:rsid w:val="00E746F9"/>
    <w:rsid w:val="00E75F58"/>
    <w:rsid w:val="00E77DDC"/>
    <w:rsid w:val="00E95BE6"/>
    <w:rsid w:val="00EA690A"/>
    <w:rsid w:val="00EB3941"/>
    <w:rsid w:val="00EB5A53"/>
    <w:rsid w:val="00EB7263"/>
    <w:rsid w:val="00EC639F"/>
    <w:rsid w:val="00EC6BDB"/>
    <w:rsid w:val="00EE1156"/>
    <w:rsid w:val="00EE20D3"/>
    <w:rsid w:val="00EE3193"/>
    <w:rsid w:val="00EE3369"/>
    <w:rsid w:val="00EE39A3"/>
    <w:rsid w:val="00EF3BA3"/>
    <w:rsid w:val="00F0249B"/>
    <w:rsid w:val="00F07CDE"/>
    <w:rsid w:val="00F23A85"/>
    <w:rsid w:val="00F27AEE"/>
    <w:rsid w:val="00F31AFA"/>
    <w:rsid w:val="00F33A3A"/>
    <w:rsid w:val="00F34A50"/>
    <w:rsid w:val="00F40A6A"/>
    <w:rsid w:val="00F64E86"/>
    <w:rsid w:val="00F779C5"/>
    <w:rsid w:val="00F806C3"/>
    <w:rsid w:val="00F9745E"/>
    <w:rsid w:val="00FA0FC6"/>
    <w:rsid w:val="00FA3CBE"/>
    <w:rsid w:val="00FB0A89"/>
    <w:rsid w:val="00FB3178"/>
    <w:rsid w:val="00FB611E"/>
    <w:rsid w:val="00FC00D7"/>
    <w:rsid w:val="00FC2161"/>
    <w:rsid w:val="00FC441B"/>
    <w:rsid w:val="00FC722C"/>
    <w:rsid w:val="00FD5988"/>
    <w:rsid w:val="00FF46B9"/>
    <w:rsid w:val="00FF59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PersonName"/>
  <w:smartTagType w:namespaceuri="urn:schemas-microsoft-com:office:smarttags" w:name="PostalCode"/>
  <w:smartTagType w:namespaceuri="urn:schemas-microsoft-com:office:smarttags" w:name="City"/>
  <w:smartTagType w:namespaceuri="urn:schemas-microsoft-com:office:smarttags" w:name="address"/>
  <w:smartTagType w:namespaceuri="urn:schemas:contacts" w:name="Sn"/>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416"/>
    <w:rPr>
      <w:sz w:val="24"/>
    </w:rPr>
  </w:style>
  <w:style w:type="paragraph" w:styleId="Heading2">
    <w:name w:val="heading 2"/>
    <w:basedOn w:val="Normal"/>
    <w:next w:val="Normal"/>
    <w:link w:val="Heading2Char"/>
    <w:uiPriority w:val="9"/>
    <w:unhideWhenUsed/>
    <w:qFormat/>
    <w:rsid w:val="00A565E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27416"/>
    <w:pPr>
      <w:tabs>
        <w:tab w:val="center" w:pos="4320"/>
        <w:tab w:val="right" w:pos="8640"/>
      </w:tabs>
    </w:pPr>
    <w:rPr>
      <w:sz w:val="20"/>
    </w:rPr>
  </w:style>
  <w:style w:type="character" w:styleId="FootnoteReference">
    <w:name w:val="footnote reference"/>
    <w:basedOn w:val="DefaultParagraphFont"/>
    <w:semiHidden/>
    <w:rsid w:val="00227416"/>
    <w:rPr>
      <w:vertAlign w:val="superscript"/>
    </w:rPr>
  </w:style>
  <w:style w:type="paragraph" w:styleId="FootnoteText">
    <w:name w:val="footnote text"/>
    <w:basedOn w:val="Normal"/>
    <w:link w:val="FootnoteTextChar"/>
    <w:semiHidden/>
    <w:rsid w:val="00227416"/>
    <w:pPr>
      <w:ind w:firstLine="720"/>
      <w:jc w:val="both"/>
    </w:pPr>
    <w:rPr>
      <w:sz w:val="20"/>
    </w:rPr>
  </w:style>
  <w:style w:type="table" w:styleId="TableGrid">
    <w:name w:val="Table Grid"/>
    <w:basedOn w:val="TableNormal"/>
    <w:rsid w:val="002274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227416"/>
    <w:pPr>
      <w:tabs>
        <w:tab w:val="center" w:pos="4320"/>
        <w:tab w:val="right" w:pos="8640"/>
      </w:tabs>
    </w:pPr>
  </w:style>
  <w:style w:type="paragraph" w:styleId="ListParagraph">
    <w:name w:val="List Paragraph"/>
    <w:basedOn w:val="Normal"/>
    <w:uiPriority w:val="34"/>
    <w:qFormat/>
    <w:rsid w:val="00C97C1F"/>
    <w:pPr>
      <w:ind w:left="720"/>
      <w:contextualSpacing/>
    </w:pPr>
    <w:rPr>
      <w:rFonts w:eastAsia="Calibri"/>
      <w:szCs w:val="22"/>
    </w:rPr>
  </w:style>
  <w:style w:type="character" w:customStyle="1" w:styleId="FootnoteTextChar">
    <w:name w:val="Footnote Text Char"/>
    <w:basedOn w:val="DefaultParagraphFont"/>
    <w:link w:val="FootnoteText"/>
    <w:semiHidden/>
    <w:rsid w:val="00C97C1F"/>
  </w:style>
  <w:style w:type="character" w:styleId="Hyperlink">
    <w:name w:val="Hyperlink"/>
    <w:basedOn w:val="DefaultParagraphFont"/>
    <w:uiPriority w:val="99"/>
    <w:unhideWhenUsed/>
    <w:rsid w:val="00717CA9"/>
    <w:rPr>
      <w:color w:val="0000FF"/>
      <w:u w:val="single"/>
    </w:rPr>
  </w:style>
  <w:style w:type="paragraph" w:styleId="BalloonText">
    <w:name w:val="Balloon Text"/>
    <w:basedOn w:val="Normal"/>
    <w:link w:val="BalloonTextChar"/>
    <w:uiPriority w:val="99"/>
    <w:semiHidden/>
    <w:unhideWhenUsed/>
    <w:rsid w:val="009B059F"/>
    <w:rPr>
      <w:rFonts w:ascii="Tahoma" w:hAnsi="Tahoma" w:cs="Tahoma"/>
      <w:sz w:val="16"/>
      <w:szCs w:val="16"/>
    </w:rPr>
  </w:style>
  <w:style w:type="character" w:customStyle="1" w:styleId="BalloonTextChar">
    <w:name w:val="Balloon Text Char"/>
    <w:basedOn w:val="DefaultParagraphFont"/>
    <w:link w:val="BalloonText"/>
    <w:uiPriority w:val="99"/>
    <w:semiHidden/>
    <w:rsid w:val="009B059F"/>
    <w:rPr>
      <w:rFonts w:ascii="Tahoma" w:hAnsi="Tahoma" w:cs="Tahoma"/>
      <w:sz w:val="16"/>
      <w:szCs w:val="16"/>
    </w:rPr>
  </w:style>
  <w:style w:type="paragraph" w:styleId="BodyTextIndent2">
    <w:name w:val="Body Text Indent 2"/>
    <w:basedOn w:val="Normal"/>
    <w:next w:val="Normal"/>
    <w:link w:val="BodyTextIndent2Char"/>
    <w:rsid w:val="00133F75"/>
    <w:pPr>
      <w:autoSpaceDE w:val="0"/>
      <w:autoSpaceDN w:val="0"/>
      <w:adjustRightInd w:val="0"/>
    </w:pPr>
    <w:rPr>
      <w:rFonts w:ascii="Palatino Linotype" w:hAnsi="Palatino Linotype"/>
      <w:szCs w:val="24"/>
    </w:rPr>
  </w:style>
  <w:style w:type="character" w:customStyle="1" w:styleId="BodyTextIndent2Char">
    <w:name w:val="Body Text Indent 2 Char"/>
    <w:basedOn w:val="DefaultParagraphFont"/>
    <w:link w:val="BodyTextIndent2"/>
    <w:rsid w:val="00133F75"/>
    <w:rPr>
      <w:rFonts w:ascii="Palatino Linotype" w:hAnsi="Palatino Linotype"/>
      <w:sz w:val="24"/>
      <w:szCs w:val="24"/>
    </w:rPr>
  </w:style>
  <w:style w:type="character" w:styleId="CommentReference">
    <w:name w:val="annotation reference"/>
    <w:basedOn w:val="DefaultParagraphFont"/>
    <w:uiPriority w:val="99"/>
    <w:semiHidden/>
    <w:unhideWhenUsed/>
    <w:rsid w:val="00596719"/>
    <w:rPr>
      <w:sz w:val="16"/>
      <w:szCs w:val="16"/>
    </w:rPr>
  </w:style>
  <w:style w:type="paragraph" w:styleId="CommentText">
    <w:name w:val="annotation text"/>
    <w:basedOn w:val="Normal"/>
    <w:link w:val="CommentTextChar"/>
    <w:uiPriority w:val="99"/>
    <w:semiHidden/>
    <w:unhideWhenUsed/>
    <w:rsid w:val="00596719"/>
    <w:rPr>
      <w:sz w:val="20"/>
    </w:rPr>
  </w:style>
  <w:style w:type="character" w:customStyle="1" w:styleId="CommentTextChar">
    <w:name w:val="Comment Text Char"/>
    <w:basedOn w:val="DefaultParagraphFont"/>
    <w:link w:val="CommentText"/>
    <w:uiPriority w:val="99"/>
    <w:semiHidden/>
    <w:rsid w:val="00596719"/>
  </w:style>
  <w:style w:type="paragraph" w:styleId="CommentSubject">
    <w:name w:val="annotation subject"/>
    <w:basedOn w:val="CommentText"/>
    <w:next w:val="CommentText"/>
    <w:link w:val="CommentSubjectChar"/>
    <w:uiPriority w:val="99"/>
    <w:semiHidden/>
    <w:unhideWhenUsed/>
    <w:rsid w:val="00596719"/>
    <w:rPr>
      <w:b/>
      <w:bCs/>
    </w:rPr>
  </w:style>
  <w:style w:type="character" w:customStyle="1" w:styleId="CommentSubjectChar">
    <w:name w:val="Comment Subject Char"/>
    <w:basedOn w:val="CommentTextChar"/>
    <w:link w:val="CommentSubject"/>
    <w:uiPriority w:val="99"/>
    <w:semiHidden/>
    <w:rsid w:val="00596719"/>
    <w:rPr>
      <w:b/>
      <w:bCs/>
    </w:rPr>
  </w:style>
  <w:style w:type="paragraph" w:styleId="Revision">
    <w:name w:val="Revision"/>
    <w:hidden/>
    <w:uiPriority w:val="99"/>
    <w:semiHidden/>
    <w:rsid w:val="00654F23"/>
    <w:rPr>
      <w:sz w:val="24"/>
    </w:rPr>
  </w:style>
  <w:style w:type="character" w:customStyle="1" w:styleId="Heading2Char">
    <w:name w:val="Heading 2 Char"/>
    <w:basedOn w:val="DefaultParagraphFont"/>
    <w:link w:val="Heading2"/>
    <w:uiPriority w:val="9"/>
    <w:rsid w:val="00A565EF"/>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773283480">
      <w:bodyDiv w:val="1"/>
      <w:marLeft w:val="0"/>
      <w:marRight w:val="0"/>
      <w:marTop w:val="0"/>
      <w:marBottom w:val="0"/>
      <w:divBdr>
        <w:top w:val="none" w:sz="0" w:space="0" w:color="auto"/>
        <w:left w:val="none" w:sz="0" w:space="0" w:color="auto"/>
        <w:bottom w:val="none" w:sz="0" w:space="0" w:color="auto"/>
        <w:right w:val="none" w:sz="0" w:space="0" w:color="auto"/>
      </w:divBdr>
    </w:div>
    <w:div w:id="182978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170</IndustryCode>
    <CaseStatus xmlns="dc463f71-b30c-4ab2-9473-d307f9d35888">Closed</CaseStatus>
    <OpenedDate xmlns="dc463f71-b30c-4ab2-9473-d307f9d35888">2007-03-29T07:00:00+00:00</OpenedDate>
    <Date1 xmlns="dc463f71-b30c-4ab2-9473-d307f9d35888">2008-02-11T08:00:00+00:00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073014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4A8F51A0FE6D7489C6F077820F7737F" ma:contentTypeVersion="132" ma:contentTypeDescription="" ma:contentTypeScope="" ma:versionID="0a31e27c84f5ec6f763a8546a3ce31f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61C24B-770F-4AA0-92F5-3DA4ECFD8D60}"/>
</file>

<file path=customXml/itemProps2.xml><?xml version="1.0" encoding="utf-8"?>
<ds:datastoreItem xmlns:ds="http://schemas.openxmlformats.org/officeDocument/2006/customXml" ds:itemID="{CB193FE4-585B-4663-B8C4-C0EBE330AE5C}"/>
</file>

<file path=customXml/itemProps3.xml><?xml version="1.0" encoding="utf-8"?>
<ds:datastoreItem xmlns:ds="http://schemas.openxmlformats.org/officeDocument/2006/customXml" ds:itemID="{FF749F38-D17E-4E25-955D-197E4DDD9FE9}"/>
</file>

<file path=customXml/itemProps4.xml><?xml version="1.0" encoding="utf-8"?>
<ds:datastoreItem xmlns:ds="http://schemas.openxmlformats.org/officeDocument/2006/customXml" ds:itemID="{BB899E2E-5958-4782-AF15-CBFFA91AE7F4}"/>
</file>

<file path=customXml/itemProps5.xml><?xml version="1.0" encoding="utf-8"?>
<ds:datastoreItem xmlns:ds="http://schemas.openxmlformats.org/officeDocument/2006/customXml" ds:itemID="{784271B7-9142-4EF6-88D2-81D4427E3E2F}"/>
</file>

<file path=docProps/app.xml><?xml version="1.0" encoding="utf-8"?>
<Properties xmlns="http://schemas.openxmlformats.org/officeDocument/2006/extended-properties" xmlns:vt="http://schemas.openxmlformats.org/officeDocument/2006/docPropsVTypes">
  <Template>Normal.dotm</Template>
  <TotalTime>17</TotalTime>
  <Pages>8</Pages>
  <Words>1839</Words>
  <Characters>10228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Office of the Attorney General</Company>
  <LinksUpToDate>false</LinksUpToDate>
  <CharactersWithSpaces>12043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Office of the Attorney General</dc:creator>
  <cp:keywords/>
  <dc:description/>
  <cp:lastModifiedBy>carolw</cp:lastModifiedBy>
  <cp:revision>10</cp:revision>
  <cp:lastPrinted>2008-02-11T23:13:00Z</cp:lastPrinted>
  <dcterms:created xsi:type="dcterms:W3CDTF">2008-02-11T23:18:00Z</dcterms:created>
  <dcterms:modified xsi:type="dcterms:W3CDTF">2008-02-11T23:35:00Z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0x0101006E56B4D1795A2E4DB2F0B01679ED314A00D4A8F51A0FE6D7489C6F077820F7737F</vt:lpwstr>
  </property>
  <property fmtid="{D5CDD505-2E9C-101B-9397-08002B2CF9AE}" pid="4" name="_docset_NoMedatataSyncRequired">
    <vt:lpwstr>False</vt:lpwstr>
  </property>
</Properties>
</file>