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C61C3" w14:textId="77777777" w:rsidR="00B97FD2" w:rsidRPr="001C5833" w:rsidRDefault="00B97FD2" w:rsidP="00BD7E31">
      <w:pPr>
        <w:jc w:val="both"/>
        <w:rPr>
          <w:rFonts w:cs="Arial"/>
          <w:b/>
          <w:color w:val="1F497D"/>
        </w:rPr>
      </w:pPr>
      <w:bookmarkStart w:id="0" w:name="_GoBack"/>
      <w:bookmarkEnd w:id="0"/>
    </w:p>
    <w:p w14:paraId="225C61C4" w14:textId="77777777" w:rsidR="00B97FD2" w:rsidRPr="002226E5" w:rsidRDefault="00B97FD2" w:rsidP="00A619D9">
      <w:pPr>
        <w:jc w:val="center"/>
        <w:rPr>
          <w:rFonts w:ascii="Times New Roman" w:hAnsi="Times New Roman" w:cs="Times New Roman"/>
          <w:b/>
          <w:color w:val="1F497D"/>
          <w:sz w:val="40"/>
          <w:szCs w:val="40"/>
        </w:rPr>
      </w:pPr>
    </w:p>
    <w:p w14:paraId="225C61C5" w14:textId="77777777" w:rsidR="00B97FD2" w:rsidRPr="002226E5" w:rsidRDefault="00A8338F" w:rsidP="00A619D9">
      <w:pPr>
        <w:pStyle w:val="Title"/>
        <w:jc w:val="center"/>
        <w:rPr>
          <w:rFonts w:ascii="Times New Roman" w:hAnsi="Times New Roman" w:cs="Times New Roman"/>
          <w:color w:val="1F497D" w:themeColor="text2"/>
          <w:szCs w:val="40"/>
        </w:rPr>
      </w:pPr>
      <w:r w:rsidRPr="002226E5">
        <w:rPr>
          <w:rFonts w:ascii="Times New Roman" w:hAnsi="Times New Roman" w:cs="Times New Roman"/>
          <w:color w:val="1F497D" w:themeColor="text2"/>
        </w:rPr>
        <w:t>Low-Income Rate Assistance Program</w:t>
      </w:r>
    </w:p>
    <w:p w14:paraId="225C61C6" w14:textId="77777777" w:rsidR="00B97FD2" w:rsidRPr="002226E5" w:rsidRDefault="00A8338F" w:rsidP="00A619D9">
      <w:pPr>
        <w:pStyle w:val="Title"/>
        <w:jc w:val="center"/>
        <w:rPr>
          <w:rFonts w:ascii="Times New Roman" w:hAnsi="Times New Roman" w:cs="Times New Roman"/>
          <w:color w:val="1F497D" w:themeColor="text2"/>
        </w:rPr>
      </w:pPr>
      <w:r w:rsidRPr="002226E5">
        <w:rPr>
          <w:rFonts w:ascii="Times New Roman" w:hAnsi="Times New Roman" w:cs="Times New Roman"/>
          <w:color w:val="1F497D" w:themeColor="text2"/>
        </w:rPr>
        <w:t>(LIRAP)</w:t>
      </w:r>
    </w:p>
    <w:p w14:paraId="225C61C7" w14:textId="77777777" w:rsidR="00B97FD2" w:rsidRPr="002226E5" w:rsidRDefault="00B97FD2" w:rsidP="00A619D9">
      <w:pPr>
        <w:pStyle w:val="Title"/>
        <w:jc w:val="center"/>
        <w:rPr>
          <w:rFonts w:ascii="Times New Roman" w:hAnsi="Times New Roman" w:cs="Times New Roman"/>
          <w:color w:val="1F497D" w:themeColor="text2"/>
        </w:rPr>
      </w:pPr>
    </w:p>
    <w:p w14:paraId="225C61C8" w14:textId="77777777" w:rsidR="00B97FD2" w:rsidRPr="002226E5" w:rsidRDefault="00A8338F" w:rsidP="00A619D9">
      <w:pPr>
        <w:pStyle w:val="Title"/>
        <w:jc w:val="center"/>
        <w:rPr>
          <w:rFonts w:ascii="Times New Roman" w:hAnsi="Times New Roman" w:cs="Times New Roman"/>
          <w:color w:val="1F497D" w:themeColor="text2"/>
        </w:rPr>
      </w:pPr>
      <w:r w:rsidRPr="002226E5">
        <w:rPr>
          <w:rFonts w:ascii="Times New Roman" w:hAnsi="Times New Roman" w:cs="Times New Roman"/>
          <w:color w:val="1F497D" w:themeColor="text2"/>
        </w:rPr>
        <w:t>Annual Summary Report</w:t>
      </w:r>
    </w:p>
    <w:p w14:paraId="225C61C9" w14:textId="77777777" w:rsidR="00B97FD2" w:rsidRPr="001C5833" w:rsidRDefault="00B97FD2" w:rsidP="00A619D9">
      <w:pPr>
        <w:pStyle w:val="Heading1"/>
        <w:jc w:val="center"/>
      </w:pPr>
    </w:p>
    <w:p w14:paraId="225C61CA" w14:textId="77777777" w:rsidR="00B97FD2" w:rsidRPr="001C5833" w:rsidRDefault="00B97FD2" w:rsidP="00A619D9">
      <w:pPr>
        <w:pStyle w:val="Heading1"/>
        <w:jc w:val="center"/>
      </w:pPr>
    </w:p>
    <w:p w14:paraId="225C61CB" w14:textId="77777777" w:rsidR="00B97FD2" w:rsidRPr="002226E5" w:rsidRDefault="00B97FD2" w:rsidP="00A619D9">
      <w:pPr>
        <w:pStyle w:val="Heading1"/>
        <w:jc w:val="center"/>
        <w:rPr>
          <w:rFonts w:ascii="Times New Roman" w:hAnsi="Times New Roman" w:cs="Times New Roman"/>
        </w:rPr>
      </w:pPr>
    </w:p>
    <w:p w14:paraId="225C61CC" w14:textId="77777777" w:rsidR="00B97FD2" w:rsidRPr="002226E5" w:rsidRDefault="00B97FD2" w:rsidP="00A619D9">
      <w:pPr>
        <w:jc w:val="center"/>
        <w:rPr>
          <w:rFonts w:ascii="Times New Roman" w:hAnsi="Times New Roman" w:cs="Times New Roman"/>
          <w:b/>
          <w:color w:val="1F497D" w:themeColor="text2"/>
          <w:sz w:val="28"/>
        </w:rPr>
      </w:pPr>
      <w:r w:rsidRPr="002226E5">
        <w:rPr>
          <w:rFonts w:ascii="Times New Roman" w:hAnsi="Times New Roman" w:cs="Times New Roman"/>
          <w:b/>
          <w:color w:val="1F497D" w:themeColor="text2"/>
          <w:sz w:val="28"/>
        </w:rPr>
        <w:t>For the program period October 20</w:t>
      </w:r>
      <w:r w:rsidR="009D6A88" w:rsidRPr="002226E5">
        <w:rPr>
          <w:rFonts w:ascii="Times New Roman" w:hAnsi="Times New Roman" w:cs="Times New Roman"/>
          <w:b/>
          <w:color w:val="1F497D" w:themeColor="text2"/>
          <w:sz w:val="28"/>
        </w:rPr>
        <w:t>1</w:t>
      </w:r>
      <w:r w:rsidR="00EF01F2" w:rsidRPr="002226E5">
        <w:rPr>
          <w:rFonts w:ascii="Times New Roman" w:hAnsi="Times New Roman" w:cs="Times New Roman"/>
          <w:b/>
          <w:color w:val="1F497D" w:themeColor="text2"/>
          <w:sz w:val="28"/>
        </w:rPr>
        <w:t>5</w:t>
      </w:r>
      <w:r w:rsidRPr="002226E5">
        <w:rPr>
          <w:rFonts w:ascii="Times New Roman" w:hAnsi="Times New Roman" w:cs="Times New Roman"/>
          <w:b/>
          <w:color w:val="1F497D" w:themeColor="text2"/>
          <w:sz w:val="28"/>
        </w:rPr>
        <w:t xml:space="preserve"> through September 201</w:t>
      </w:r>
      <w:r w:rsidR="00EF01F2" w:rsidRPr="002226E5">
        <w:rPr>
          <w:rFonts w:ascii="Times New Roman" w:hAnsi="Times New Roman" w:cs="Times New Roman"/>
          <w:b/>
          <w:color w:val="1F497D" w:themeColor="text2"/>
          <w:sz w:val="28"/>
        </w:rPr>
        <w:t>6</w:t>
      </w:r>
    </w:p>
    <w:p w14:paraId="225C61CD" w14:textId="77777777" w:rsidR="00B97FD2" w:rsidRPr="002226E5" w:rsidRDefault="00B97FD2" w:rsidP="00A619D9">
      <w:pPr>
        <w:jc w:val="center"/>
        <w:rPr>
          <w:rFonts w:ascii="Times New Roman" w:hAnsi="Times New Roman" w:cs="Times New Roman"/>
          <w:color w:val="1F497D" w:themeColor="text2"/>
        </w:rPr>
      </w:pPr>
    </w:p>
    <w:p w14:paraId="225C61CE" w14:textId="77777777" w:rsidR="00B97FD2" w:rsidRPr="002226E5" w:rsidRDefault="00B97FD2" w:rsidP="00A619D9">
      <w:pPr>
        <w:jc w:val="center"/>
        <w:rPr>
          <w:rFonts w:ascii="Times New Roman" w:hAnsi="Times New Roman" w:cs="Times New Roman"/>
          <w:color w:val="1F497D" w:themeColor="text2"/>
        </w:rPr>
      </w:pPr>
    </w:p>
    <w:p w14:paraId="225C61CF" w14:textId="77777777" w:rsidR="00B97FD2" w:rsidRPr="002226E5" w:rsidRDefault="00B97FD2" w:rsidP="00A619D9">
      <w:pPr>
        <w:jc w:val="center"/>
        <w:rPr>
          <w:rFonts w:ascii="Times New Roman" w:hAnsi="Times New Roman" w:cs="Times New Roman"/>
          <w:color w:val="1F497D" w:themeColor="text2"/>
        </w:rPr>
      </w:pPr>
    </w:p>
    <w:p w14:paraId="225C61D0" w14:textId="77777777" w:rsidR="00B97FD2" w:rsidRPr="002226E5" w:rsidRDefault="00B97FD2" w:rsidP="00A619D9">
      <w:pPr>
        <w:jc w:val="center"/>
        <w:rPr>
          <w:rFonts w:ascii="Times New Roman" w:hAnsi="Times New Roman" w:cs="Times New Roman"/>
          <w:color w:val="1F497D" w:themeColor="text2"/>
        </w:rPr>
      </w:pPr>
    </w:p>
    <w:p w14:paraId="225C61D1" w14:textId="77777777" w:rsidR="00B97FD2" w:rsidRPr="002226E5" w:rsidRDefault="00B97FD2" w:rsidP="00A619D9">
      <w:pPr>
        <w:jc w:val="center"/>
        <w:rPr>
          <w:rFonts w:ascii="Times New Roman" w:hAnsi="Times New Roman" w:cs="Times New Roman"/>
          <w:color w:val="1F497D" w:themeColor="text2"/>
        </w:rPr>
      </w:pPr>
    </w:p>
    <w:p w14:paraId="225C61D2" w14:textId="77777777" w:rsidR="00B97FD2" w:rsidRPr="002226E5" w:rsidRDefault="00B97FD2" w:rsidP="00A619D9">
      <w:pPr>
        <w:jc w:val="center"/>
        <w:rPr>
          <w:rFonts w:ascii="Times New Roman" w:hAnsi="Times New Roman" w:cs="Times New Roman"/>
          <w:color w:val="1F497D" w:themeColor="text2"/>
        </w:rPr>
      </w:pPr>
    </w:p>
    <w:p w14:paraId="225C61D3" w14:textId="77777777" w:rsidR="00B97FD2" w:rsidRPr="002226E5" w:rsidRDefault="001D13B0" w:rsidP="00A619D9">
      <w:pPr>
        <w:jc w:val="center"/>
        <w:rPr>
          <w:rFonts w:ascii="Times New Roman" w:hAnsi="Times New Roman" w:cs="Times New Roman"/>
          <w:b/>
          <w:color w:val="1F497D" w:themeColor="text2"/>
          <w:sz w:val="36"/>
        </w:rPr>
      </w:pPr>
      <w:r w:rsidRPr="002226E5">
        <w:rPr>
          <w:rFonts w:ascii="Times New Roman" w:hAnsi="Times New Roman" w:cs="Times New Roman"/>
          <w:b/>
          <w:color w:val="1F497D" w:themeColor="text2"/>
          <w:sz w:val="36"/>
        </w:rPr>
        <w:t>WASHINGTON</w:t>
      </w:r>
    </w:p>
    <w:p w14:paraId="225C61D4" w14:textId="77777777" w:rsidR="00B97FD2" w:rsidRPr="001C5833" w:rsidRDefault="00B97FD2" w:rsidP="00BD7E31">
      <w:pPr>
        <w:jc w:val="both"/>
        <w:rPr>
          <w:rFonts w:cs="Arial"/>
          <w:b/>
          <w:color w:val="1F497D" w:themeColor="text2"/>
          <w:sz w:val="36"/>
        </w:rPr>
      </w:pPr>
    </w:p>
    <w:p w14:paraId="225C61D5" w14:textId="77777777" w:rsidR="00B97FD2" w:rsidRPr="001C5833" w:rsidRDefault="00B97FD2" w:rsidP="00BD7E31">
      <w:pPr>
        <w:jc w:val="both"/>
        <w:rPr>
          <w:rFonts w:cs="Arial"/>
          <w:b/>
          <w:color w:val="1F497D"/>
          <w:sz w:val="36"/>
        </w:rPr>
      </w:pPr>
    </w:p>
    <w:p w14:paraId="225C61D6" w14:textId="77777777" w:rsidR="003816D6" w:rsidRPr="001C5833" w:rsidRDefault="003816D6" w:rsidP="00A619D9">
      <w:pPr>
        <w:tabs>
          <w:tab w:val="left" w:pos="7920"/>
        </w:tabs>
        <w:jc w:val="both"/>
        <w:rPr>
          <w:rFonts w:cs="Arial"/>
        </w:rPr>
      </w:pPr>
    </w:p>
    <w:p w14:paraId="225C61D7" w14:textId="77777777" w:rsidR="00B97FD2" w:rsidRPr="001C5833" w:rsidRDefault="00B97FD2" w:rsidP="00BD7E31">
      <w:pPr>
        <w:tabs>
          <w:tab w:val="left" w:pos="7920"/>
        </w:tabs>
        <w:ind w:left="720" w:hanging="720"/>
        <w:jc w:val="both"/>
        <w:rPr>
          <w:rFonts w:cs="Arial"/>
        </w:rPr>
      </w:pPr>
    </w:p>
    <w:p w14:paraId="225C61D8" w14:textId="77777777" w:rsidR="00B97FD2" w:rsidRPr="00AA551E" w:rsidRDefault="00EF76F2" w:rsidP="00BD7E31">
      <w:pPr>
        <w:tabs>
          <w:tab w:val="left" w:pos="7920"/>
        </w:tabs>
        <w:ind w:left="720" w:hanging="720"/>
        <w:jc w:val="both"/>
        <w:rPr>
          <w:rFonts w:ascii="Times New Roman" w:hAnsi="Times New Roman" w:cs="Times New Roman"/>
          <w:sz w:val="20"/>
          <w:szCs w:val="20"/>
        </w:rPr>
      </w:pPr>
      <w:r w:rsidRPr="00AA551E">
        <w:rPr>
          <w:rFonts w:ascii="Times New Roman" w:hAnsi="Times New Roman" w:cs="Times New Roman"/>
          <w:sz w:val="20"/>
          <w:szCs w:val="20"/>
        </w:rPr>
        <w:t>20</w:t>
      </w:r>
      <w:r w:rsidR="00372867" w:rsidRPr="00AA551E">
        <w:rPr>
          <w:rFonts w:ascii="Times New Roman" w:hAnsi="Times New Roman" w:cs="Times New Roman"/>
          <w:sz w:val="20"/>
          <w:szCs w:val="20"/>
        </w:rPr>
        <w:t>1</w:t>
      </w:r>
      <w:r w:rsidR="00EF01F2">
        <w:rPr>
          <w:rFonts w:ascii="Times New Roman" w:hAnsi="Times New Roman" w:cs="Times New Roman"/>
          <w:sz w:val="20"/>
          <w:szCs w:val="20"/>
        </w:rPr>
        <w:t>6</w:t>
      </w:r>
      <w:r w:rsidRPr="00AA551E">
        <w:rPr>
          <w:rFonts w:ascii="Times New Roman" w:hAnsi="Times New Roman" w:cs="Times New Roman"/>
          <w:sz w:val="20"/>
          <w:szCs w:val="20"/>
        </w:rPr>
        <w:t xml:space="preserve"> Avista Corporation. All Right Reserved</w:t>
      </w:r>
    </w:p>
    <w:p w14:paraId="225C61D9" w14:textId="77777777" w:rsidR="00B97FD2" w:rsidRPr="00AA551E" w:rsidRDefault="00B97FD2" w:rsidP="00BD7E31">
      <w:pPr>
        <w:jc w:val="both"/>
        <w:rPr>
          <w:rFonts w:ascii="Times New Roman" w:hAnsi="Times New Roman" w:cs="Times New Roman"/>
          <w:sz w:val="20"/>
          <w:szCs w:val="20"/>
        </w:rPr>
      </w:pPr>
    </w:p>
    <w:p w14:paraId="225C61DA" w14:textId="77777777" w:rsidR="00B97FD2" w:rsidRPr="00AA551E" w:rsidRDefault="00F53867" w:rsidP="00BD7E31">
      <w:pPr>
        <w:jc w:val="both"/>
        <w:rPr>
          <w:rFonts w:ascii="Times New Roman" w:hAnsi="Times New Roman" w:cs="Times New Roman"/>
        </w:rPr>
      </w:pPr>
      <w:r w:rsidRPr="00AA551E">
        <w:rPr>
          <w:rFonts w:ascii="Times New Roman" w:hAnsi="Times New Roman" w:cs="Times New Roman"/>
          <w:sz w:val="20"/>
          <w:szCs w:val="20"/>
        </w:rPr>
        <w:t>Permission of the Copyright owner is granted to users to copy, download, reproduce, transmit or distribute any part of this document provided that: (1) the user includes Avista’s copyright notice on all copies, and (2) the materials ar</w:t>
      </w:r>
      <w:r w:rsidR="00D72D2A" w:rsidRPr="00AA551E">
        <w:rPr>
          <w:rFonts w:ascii="Times New Roman" w:hAnsi="Times New Roman" w:cs="Times New Roman"/>
          <w:sz w:val="20"/>
          <w:szCs w:val="20"/>
        </w:rPr>
        <w:t>e not used in any misleading or inappropriate manner. Furthermore, no portion of the attached work shall be republished in printed or digital form without the written permission of the Copyright owner.</w:t>
      </w:r>
    </w:p>
    <w:sdt>
      <w:sdtPr>
        <w:rPr>
          <w:rFonts w:ascii="Arial" w:eastAsia="Times New Roman" w:hAnsi="Arial" w:cstheme="minorBidi"/>
          <w:b w:val="0"/>
          <w:bCs w:val="0"/>
          <w:color w:val="auto"/>
          <w:sz w:val="20"/>
          <w:szCs w:val="20"/>
        </w:rPr>
        <w:id w:val="1572545"/>
        <w:docPartObj>
          <w:docPartGallery w:val="Table of Contents"/>
          <w:docPartUnique/>
        </w:docPartObj>
      </w:sdtPr>
      <w:sdtEndPr>
        <w:rPr>
          <w:rFonts w:eastAsiaTheme="minorHAnsi"/>
          <w:sz w:val="24"/>
          <w:szCs w:val="24"/>
        </w:rPr>
      </w:sdtEndPr>
      <w:sdtContent>
        <w:p w14:paraId="225C61DB" w14:textId="77777777" w:rsidR="00B97FD2" w:rsidRPr="002226E5" w:rsidRDefault="00A8338F" w:rsidP="00BD7E31">
          <w:pPr>
            <w:pStyle w:val="TOCHeading"/>
            <w:jc w:val="both"/>
            <w:rPr>
              <w:rFonts w:ascii="Times New Roman" w:hAnsi="Times New Roman" w:cs="Times New Roman"/>
            </w:rPr>
          </w:pPr>
          <w:r w:rsidRPr="002226E5">
            <w:rPr>
              <w:rFonts w:ascii="Times New Roman" w:hAnsi="Times New Roman" w:cs="Times New Roman"/>
            </w:rPr>
            <w:t>Table of Contents</w:t>
          </w:r>
        </w:p>
        <w:p w14:paraId="225C61DC" w14:textId="77777777" w:rsidR="00E217EB" w:rsidRDefault="00627FA3">
          <w:pPr>
            <w:pStyle w:val="TOC1"/>
            <w:rPr>
              <w:rFonts w:asciiTheme="minorHAnsi" w:eastAsiaTheme="minorEastAsia" w:hAnsiTheme="minorHAnsi" w:cstheme="minorBidi"/>
              <w:b w:val="0"/>
              <w:szCs w:val="22"/>
            </w:rPr>
          </w:pPr>
          <w:r w:rsidRPr="001A710D">
            <w:rPr>
              <w:szCs w:val="22"/>
            </w:rPr>
            <w:fldChar w:fldCharType="begin"/>
          </w:r>
          <w:r w:rsidR="00A8338F" w:rsidRPr="001A710D">
            <w:rPr>
              <w:szCs w:val="22"/>
            </w:rPr>
            <w:instrText xml:space="preserve"> TOC \o "1-3" \h \z \u </w:instrText>
          </w:r>
          <w:r w:rsidRPr="001A710D">
            <w:rPr>
              <w:szCs w:val="22"/>
            </w:rPr>
            <w:fldChar w:fldCharType="separate"/>
          </w:r>
          <w:hyperlink w:anchor="_Toc469571446" w:history="1">
            <w:r w:rsidR="00E217EB" w:rsidRPr="0062117A">
              <w:rPr>
                <w:rStyle w:val="Hyperlink"/>
              </w:rPr>
              <w:t>Overview</w:t>
            </w:r>
            <w:r w:rsidR="00E217EB">
              <w:rPr>
                <w:webHidden/>
              </w:rPr>
              <w:tab/>
            </w:r>
            <w:r w:rsidR="00E217EB">
              <w:rPr>
                <w:webHidden/>
              </w:rPr>
              <w:fldChar w:fldCharType="begin"/>
            </w:r>
            <w:r w:rsidR="00E217EB">
              <w:rPr>
                <w:webHidden/>
              </w:rPr>
              <w:instrText xml:space="preserve"> PAGEREF _Toc469571446 \h </w:instrText>
            </w:r>
            <w:r w:rsidR="00E217EB">
              <w:rPr>
                <w:webHidden/>
              </w:rPr>
            </w:r>
            <w:r w:rsidR="00E217EB">
              <w:rPr>
                <w:webHidden/>
              </w:rPr>
              <w:fldChar w:fldCharType="separate"/>
            </w:r>
            <w:r w:rsidR="00B049AA">
              <w:rPr>
                <w:webHidden/>
              </w:rPr>
              <w:t>4</w:t>
            </w:r>
            <w:r w:rsidR="00E217EB">
              <w:rPr>
                <w:webHidden/>
              </w:rPr>
              <w:fldChar w:fldCharType="end"/>
            </w:r>
          </w:hyperlink>
        </w:p>
        <w:p w14:paraId="225C61DD" w14:textId="77777777" w:rsidR="00E217EB" w:rsidRDefault="00D814D4">
          <w:pPr>
            <w:pStyle w:val="TOC1"/>
            <w:rPr>
              <w:rFonts w:asciiTheme="minorHAnsi" w:eastAsiaTheme="minorEastAsia" w:hAnsiTheme="minorHAnsi" w:cstheme="minorBidi"/>
              <w:b w:val="0"/>
              <w:szCs w:val="22"/>
            </w:rPr>
          </w:pPr>
          <w:hyperlink w:anchor="_Toc469571447" w:history="1">
            <w:r w:rsidR="00E217EB" w:rsidRPr="0062117A">
              <w:rPr>
                <w:rStyle w:val="Hyperlink"/>
              </w:rPr>
              <w:t>Program Year Results</w:t>
            </w:r>
            <w:r w:rsidR="00E217EB">
              <w:rPr>
                <w:webHidden/>
              </w:rPr>
              <w:tab/>
            </w:r>
            <w:r w:rsidR="00E217EB">
              <w:rPr>
                <w:webHidden/>
              </w:rPr>
              <w:fldChar w:fldCharType="begin"/>
            </w:r>
            <w:r w:rsidR="00E217EB">
              <w:rPr>
                <w:webHidden/>
              </w:rPr>
              <w:instrText xml:space="preserve"> PAGEREF _Toc469571447 \h </w:instrText>
            </w:r>
            <w:r w:rsidR="00E217EB">
              <w:rPr>
                <w:webHidden/>
              </w:rPr>
            </w:r>
            <w:r w:rsidR="00E217EB">
              <w:rPr>
                <w:webHidden/>
              </w:rPr>
              <w:fldChar w:fldCharType="separate"/>
            </w:r>
            <w:r w:rsidR="00B049AA">
              <w:rPr>
                <w:webHidden/>
              </w:rPr>
              <w:t>5</w:t>
            </w:r>
            <w:r w:rsidR="00E217EB">
              <w:rPr>
                <w:webHidden/>
              </w:rPr>
              <w:fldChar w:fldCharType="end"/>
            </w:r>
          </w:hyperlink>
        </w:p>
        <w:p w14:paraId="225C61DE" w14:textId="77777777" w:rsidR="00E217EB" w:rsidRDefault="00D814D4">
          <w:pPr>
            <w:pStyle w:val="TOC2"/>
            <w:rPr>
              <w:rFonts w:asciiTheme="minorHAnsi" w:eastAsiaTheme="minorEastAsia" w:hAnsiTheme="minorHAnsi" w:cstheme="minorBidi"/>
              <w:szCs w:val="22"/>
            </w:rPr>
          </w:pPr>
          <w:hyperlink w:anchor="_Toc469571448" w:history="1">
            <w:r w:rsidR="00E217EB" w:rsidRPr="0062117A">
              <w:rPr>
                <w:rStyle w:val="Hyperlink"/>
              </w:rPr>
              <w:t>Table 1 – Yearly Revenues and Disbursements</w:t>
            </w:r>
            <w:r w:rsidR="00E217EB">
              <w:rPr>
                <w:webHidden/>
              </w:rPr>
              <w:tab/>
            </w:r>
            <w:r w:rsidR="00E217EB">
              <w:rPr>
                <w:webHidden/>
              </w:rPr>
              <w:fldChar w:fldCharType="begin"/>
            </w:r>
            <w:r w:rsidR="00E217EB">
              <w:rPr>
                <w:webHidden/>
              </w:rPr>
              <w:instrText xml:space="preserve"> PAGEREF _Toc469571448 \h </w:instrText>
            </w:r>
            <w:r w:rsidR="00E217EB">
              <w:rPr>
                <w:webHidden/>
              </w:rPr>
            </w:r>
            <w:r w:rsidR="00E217EB">
              <w:rPr>
                <w:webHidden/>
              </w:rPr>
              <w:fldChar w:fldCharType="separate"/>
            </w:r>
            <w:r w:rsidR="00B049AA">
              <w:rPr>
                <w:webHidden/>
              </w:rPr>
              <w:t>6</w:t>
            </w:r>
            <w:r w:rsidR="00E217EB">
              <w:rPr>
                <w:webHidden/>
              </w:rPr>
              <w:fldChar w:fldCharType="end"/>
            </w:r>
          </w:hyperlink>
        </w:p>
        <w:p w14:paraId="225C61DF" w14:textId="77777777" w:rsidR="00E217EB" w:rsidRDefault="00D814D4">
          <w:pPr>
            <w:pStyle w:val="TOC2"/>
            <w:rPr>
              <w:rFonts w:asciiTheme="minorHAnsi" w:eastAsiaTheme="minorEastAsia" w:hAnsiTheme="minorHAnsi" w:cstheme="minorBidi"/>
              <w:szCs w:val="22"/>
            </w:rPr>
          </w:pPr>
          <w:hyperlink w:anchor="_Toc469571449" w:history="1">
            <w:r w:rsidR="00E217EB" w:rsidRPr="0062117A">
              <w:rPr>
                <w:rStyle w:val="Hyperlink"/>
              </w:rPr>
              <w:t>Participants and Fund Distribution</w:t>
            </w:r>
            <w:r w:rsidR="00E217EB">
              <w:rPr>
                <w:webHidden/>
              </w:rPr>
              <w:tab/>
            </w:r>
            <w:r w:rsidR="00E217EB">
              <w:rPr>
                <w:webHidden/>
              </w:rPr>
              <w:fldChar w:fldCharType="begin"/>
            </w:r>
            <w:r w:rsidR="00E217EB">
              <w:rPr>
                <w:webHidden/>
              </w:rPr>
              <w:instrText xml:space="preserve"> PAGEREF _Toc469571449 \h </w:instrText>
            </w:r>
            <w:r w:rsidR="00E217EB">
              <w:rPr>
                <w:webHidden/>
              </w:rPr>
            </w:r>
            <w:r w:rsidR="00E217EB">
              <w:rPr>
                <w:webHidden/>
              </w:rPr>
              <w:fldChar w:fldCharType="separate"/>
            </w:r>
            <w:r w:rsidR="00B049AA">
              <w:rPr>
                <w:webHidden/>
              </w:rPr>
              <w:t>6</w:t>
            </w:r>
            <w:r w:rsidR="00E217EB">
              <w:rPr>
                <w:webHidden/>
              </w:rPr>
              <w:fldChar w:fldCharType="end"/>
            </w:r>
          </w:hyperlink>
        </w:p>
        <w:p w14:paraId="225C61E0" w14:textId="77777777" w:rsidR="00E217EB" w:rsidRDefault="00D814D4">
          <w:pPr>
            <w:pStyle w:val="TOC2"/>
            <w:rPr>
              <w:rFonts w:asciiTheme="minorHAnsi" w:eastAsiaTheme="minorEastAsia" w:hAnsiTheme="minorHAnsi" w:cstheme="minorBidi"/>
              <w:szCs w:val="22"/>
            </w:rPr>
          </w:pPr>
          <w:hyperlink w:anchor="_Toc469571450" w:history="1">
            <w:r w:rsidR="00E217EB" w:rsidRPr="0062117A">
              <w:rPr>
                <w:rStyle w:val="Hyperlink"/>
              </w:rPr>
              <w:t>Table 2 - Number and Amount of Grants by Component</w:t>
            </w:r>
            <w:r w:rsidR="00E217EB">
              <w:rPr>
                <w:webHidden/>
              </w:rPr>
              <w:tab/>
            </w:r>
            <w:r w:rsidR="00E217EB">
              <w:rPr>
                <w:webHidden/>
              </w:rPr>
              <w:fldChar w:fldCharType="begin"/>
            </w:r>
            <w:r w:rsidR="00E217EB">
              <w:rPr>
                <w:webHidden/>
              </w:rPr>
              <w:instrText xml:space="preserve"> PAGEREF _Toc469571450 \h </w:instrText>
            </w:r>
            <w:r w:rsidR="00E217EB">
              <w:rPr>
                <w:webHidden/>
              </w:rPr>
            </w:r>
            <w:r w:rsidR="00E217EB">
              <w:rPr>
                <w:webHidden/>
              </w:rPr>
              <w:fldChar w:fldCharType="separate"/>
            </w:r>
            <w:r w:rsidR="00B049AA">
              <w:rPr>
                <w:webHidden/>
              </w:rPr>
              <w:t>7</w:t>
            </w:r>
            <w:r w:rsidR="00E217EB">
              <w:rPr>
                <w:webHidden/>
              </w:rPr>
              <w:fldChar w:fldCharType="end"/>
            </w:r>
          </w:hyperlink>
        </w:p>
        <w:p w14:paraId="225C61E1" w14:textId="77777777" w:rsidR="00E217EB" w:rsidRDefault="00D814D4">
          <w:pPr>
            <w:pStyle w:val="TOC2"/>
            <w:rPr>
              <w:rFonts w:asciiTheme="minorHAnsi" w:eastAsiaTheme="minorEastAsia" w:hAnsiTheme="minorHAnsi" w:cstheme="minorBidi"/>
              <w:szCs w:val="22"/>
            </w:rPr>
          </w:pPr>
          <w:hyperlink w:anchor="_Toc469571451" w:history="1">
            <w:r w:rsidR="00E217EB" w:rsidRPr="0062117A">
              <w:rPr>
                <w:rStyle w:val="Hyperlink"/>
              </w:rPr>
              <w:t>Table 3 - Demographic Data – Year 14 October 2015 – September 2016</w:t>
            </w:r>
            <w:r w:rsidR="00E217EB">
              <w:rPr>
                <w:webHidden/>
              </w:rPr>
              <w:tab/>
            </w:r>
            <w:r w:rsidR="00E217EB">
              <w:rPr>
                <w:webHidden/>
              </w:rPr>
              <w:fldChar w:fldCharType="begin"/>
            </w:r>
            <w:r w:rsidR="00E217EB">
              <w:rPr>
                <w:webHidden/>
              </w:rPr>
              <w:instrText xml:space="preserve"> PAGEREF _Toc469571451 \h </w:instrText>
            </w:r>
            <w:r w:rsidR="00E217EB">
              <w:rPr>
                <w:webHidden/>
              </w:rPr>
            </w:r>
            <w:r w:rsidR="00E217EB">
              <w:rPr>
                <w:webHidden/>
              </w:rPr>
              <w:fldChar w:fldCharType="separate"/>
            </w:r>
            <w:r w:rsidR="00B049AA">
              <w:rPr>
                <w:webHidden/>
              </w:rPr>
              <w:t>8</w:t>
            </w:r>
            <w:r w:rsidR="00E217EB">
              <w:rPr>
                <w:webHidden/>
              </w:rPr>
              <w:fldChar w:fldCharType="end"/>
            </w:r>
          </w:hyperlink>
        </w:p>
        <w:p w14:paraId="225C61E2" w14:textId="77777777" w:rsidR="00E217EB" w:rsidRDefault="00D814D4">
          <w:pPr>
            <w:pStyle w:val="TOC2"/>
            <w:rPr>
              <w:rFonts w:asciiTheme="minorHAnsi" w:eastAsiaTheme="minorEastAsia" w:hAnsiTheme="minorHAnsi" w:cstheme="minorBidi"/>
              <w:szCs w:val="22"/>
            </w:rPr>
          </w:pPr>
          <w:hyperlink w:anchor="_Toc469571452" w:history="1">
            <w:r w:rsidR="00E217EB" w:rsidRPr="0062117A">
              <w:rPr>
                <w:rStyle w:val="Hyperlink"/>
              </w:rPr>
              <w:t>Administration and Program Support Fees</w:t>
            </w:r>
            <w:r w:rsidR="00E217EB">
              <w:rPr>
                <w:webHidden/>
              </w:rPr>
              <w:tab/>
            </w:r>
            <w:r w:rsidR="00E217EB">
              <w:rPr>
                <w:webHidden/>
              </w:rPr>
              <w:fldChar w:fldCharType="begin"/>
            </w:r>
            <w:r w:rsidR="00E217EB">
              <w:rPr>
                <w:webHidden/>
              </w:rPr>
              <w:instrText xml:space="preserve"> PAGEREF _Toc469571452 \h </w:instrText>
            </w:r>
            <w:r w:rsidR="00E217EB">
              <w:rPr>
                <w:webHidden/>
              </w:rPr>
            </w:r>
            <w:r w:rsidR="00E217EB">
              <w:rPr>
                <w:webHidden/>
              </w:rPr>
              <w:fldChar w:fldCharType="separate"/>
            </w:r>
            <w:r w:rsidR="00B049AA">
              <w:rPr>
                <w:webHidden/>
              </w:rPr>
              <w:t>9</w:t>
            </w:r>
            <w:r w:rsidR="00E217EB">
              <w:rPr>
                <w:webHidden/>
              </w:rPr>
              <w:fldChar w:fldCharType="end"/>
            </w:r>
          </w:hyperlink>
        </w:p>
        <w:p w14:paraId="225C61E3" w14:textId="77777777" w:rsidR="00E217EB" w:rsidRDefault="00D814D4">
          <w:pPr>
            <w:pStyle w:val="TOC2"/>
            <w:rPr>
              <w:rFonts w:asciiTheme="minorHAnsi" w:eastAsiaTheme="minorEastAsia" w:hAnsiTheme="minorHAnsi" w:cstheme="minorBidi"/>
              <w:szCs w:val="22"/>
            </w:rPr>
          </w:pPr>
          <w:hyperlink w:anchor="_Toc469571453" w:history="1">
            <w:r w:rsidR="00E217EB" w:rsidRPr="0062117A">
              <w:rPr>
                <w:rStyle w:val="Hyperlink"/>
              </w:rPr>
              <w:t>Table 4 – Administration and Program Support Fees</w:t>
            </w:r>
            <w:r w:rsidR="00E217EB">
              <w:rPr>
                <w:webHidden/>
              </w:rPr>
              <w:tab/>
            </w:r>
            <w:r w:rsidR="00E217EB">
              <w:rPr>
                <w:webHidden/>
              </w:rPr>
              <w:fldChar w:fldCharType="begin"/>
            </w:r>
            <w:r w:rsidR="00E217EB">
              <w:rPr>
                <w:webHidden/>
              </w:rPr>
              <w:instrText xml:space="preserve"> PAGEREF _Toc469571453 \h </w:instrText>
            </w:r>
            <w:r w:rsidR="00E217EB">
              <w:rPr>
                <w:webHidden/>
              </w:rPr>
            </w:r>
            <w:r w:rsidR="00E217EB">
              <w:rPr>
                <w:webHidden/>
              </w:rPr>
              <w:fldChar w:fldCharType="separate"/>
            </w:r>
            <w:r w:rsidR="00B049AA">
              <w:rPr>
                <w:webHidden/>
              </w:rPr>
              <w:t>10</w:t>
            </w:r>
            <w:r w:rsidR="00E217EB">
              <w:rPr>
                <w:webHidden/>
              </w:rPr>
              <w:fldChar w:fldCharType="end"/>
            </w:r>
          </w:hyperlink>
        </w:p>
        <w:p w14:paraId="225C61E4" w14:textId="77777777" w:rsidR="00E217EB" w:rsidRDefault="00D814D4">
          <w:pPr>
            <w:pStyle w:val="TOC2"/>
            <w:rPr>
              <w:rFonts w:asciiTheme="minorHAnsi" w:eastAsiaTheme="minorEastAsia" w:hAnsiTheme="minorHAnsi" w:cstheme="minorBidi"/>
              <w:szCs w:val="22"/>
            </w:rPr>
          </w:pPr>
          <w:hyperlink w:anchor="_Toc469571454" w:history="1">
            <w:r w:rsidR="00E217EB" w:rsidRPr="0062117A">
              <w:rPr>
                <w:rStyle w:val="Hyperlink"/>
              </w:rPr>
              <w:t>Conservation Education Staff &amp; Labor Support</w:t>
            </w:r>
            <w:r w:rsidR="00E217EB">
              <w:rPr>
                <w:webHidden/>
              </w:rPr>
              <w:tab/>
            </w:r>
            <w:r w:rsidR="00E217EB">
              <w:rPr>
                <w:webHidden/>
              </w:rPr>
              <w:fldChar w:fldCharType="begin"/>
            </w:r>
            <w:r w:rsidR="00E217EB">
              <w:rPr>
                <w:webHidden/>
              </w:rPr>
              <w:instrText xml:space="preserve"> PAGEREF _Toc469571454 \h </w:instrText>
            </w:r>
            <w:r w:rsidR="00E217EB">
              <w:rPr>
                <w:webHidden/>
              </w:rPr>
            </w:r>
            <w:r w:rsidR="00E217EB">
              <w:rPr>
                <w:webHidden/>
              </w:rPr>
              <w:fldChar w:fldCharType="separate"/>
            </w:r>
            <w:r w:rsidR="00B049AA">
              <w:rPr>
                <w:webHidden/>
              </w:rPr>
              <w:t>10</w:t>
            </w:r>
            <w:r w:rsidR="00E217EB">
              <w:rPr>
                <w:webHidden/>
              </w:rPr>
              <w:fldChar w:fldCharType="end"/>
            </w:r>
          </w:hyperlink>
        </w:p>
        <w:p w14:paraId="225C61E5" w14:textId="77777777" w:rsidR="00E217EB" w:rsidRDefault="00D814D4">
          <w:pPr>
            <w:pStyle w:val="TOC2"/>
            <w:rPr>
              <w:rFonts w:asciiTheme="minorHAnsi" w:eastAsiaTheme="minorEastAsia" w:hAnsiTheme="minorHAnsi" w:cstheme="minorBidi"/>
              <w:szCs w:val="22"/>
            </w:rPr>
          </w:pPr>
          <w:hyperlink w:anchor="_Toc469571455" w:history="1">
            <w:r w:rsidR="00E217EB" w:rsidRPr="0062117A">
              <w:rPr>
                <w:rStyle w:val="Hyperlink"/>
              </w:rPr>
              <w:t>Table 5 – Conservation Education Staff and Labor</w:t>
            </w:r>
            <w:r w:rsidR="00E217EB">
              <w:rPr>
                <w:webHidden/>
              </w:rPr>
              <w:tab/>
            </w:r>
            <w:r w:rsidR="00E217EB">
              <w:rPr>
                <w:webHidden/>
              </w:rPr>
              <w:fldChar w:fldCharType="begin"/>
            </w:r>
            <w:r w:rsidR="00E217EB">
              <w:rPr>
                <w:webHidden/>
              </w:rPr>
              <w:instrText xml:space="preserve"> PAGEREF _Toc469571455 \h </w:instrText>
            </w:r>
            <w:r w:rsidR="00E217EB">
              <w:rPr>
                <w:webHidden/>
              </w:rPr>
            </w:r>
            <w:r w:rsidR="00E217EB">
              <w:rPr>
                <w:webHidden/>
              </w:rPr>
              <w:fldChar w:fldCharType="separate"/>
            </w:r>
            <w:r w:rsidR="00B049AA">
              <w:rPr>
                <w:webHidden/>
              </w:rPr>
              <w:t>11</w:t>
            </w:r>
            <w:r w:rsidR="00E217EB">
              <w:rPr>
                <w:webHidden/>
              </w:rPr>
              <w:fldChar w:fldCharType="end"/>
            </w:r>
          </w:hyperlink>
        </w:p>
        <w:p w14:paraId="225C61E6" w14:textId="77777777" w:rsidR="00E217EB" w:rsidRDefault="00D814D4">
          <w:pPr>
            <w:pStyle w:val="TOC1"/>
            <w:rPr>
              <w:rFonts w:asciiTheme="minorHAnsi" w:eastAsiaTheme="minorEastAsia" w:hAnsiTheme="minorHAnsi" w:cstheme="minorBidi"/>
              <w:b w:val="0"/>
              <w:szCs w:val="22"/>
            </w:rPr>
          </w:pPr>
          <w:hyperlink w:anchor="_Toc469571456" w:history="1">
            <w:r w:rsidR="00E217EB" w:rsidRPr="0062117A">
              <w:rPr>
                <w:rStyle w:val="Hyperlink"/>
              </w:rPr>
              <w:t>Program Impacts</w:t>
            </w:r>
            <w:r w:rsidR="00E217EB">
              <w:rPr>
                <w:webHidden/>
              </w:rPr>
              <w:tab/>
            </w:r>
            <w:r w:rsidR="00E217EB">
              <w:rPr>
                <w:webHidden/>
              </w:rPr>
              <w:fldChar w:fldCharType="begin"/>
            </w:r>
            <w:r w:rsidR="00E217EB">
              <w:rPr>
                <w:webHidden/>
              </w:rPr>
              <w:instrText xml:space="preserve"> PAGEREF _Toc469571456 \h </w:instrText>
            </w:r>
            <w:r w:rsidR="00E217EB">
              <w:rPr>
                <w:webHidden/>
              </w:rPr>
            </w:r>
            <w:r w:rsidR="00E217EB">
              <w:rPr>
                <w:webHidden/>
              </w:rPr>
              <w:fldChar w:fldCharType="separate"/>
            </w:r>
            <w:r w:rsidR="00B049AA">
              <w:rPr>
                <w:webHidden/>
              </w:rPr>
              <w:t>12</w:t>
            </w:r>
            <w:r w:rsidR="00E217EB">
              <w:rPr>
                <w:webHidden/>
              </w:rPr>
              <w:fldChar w:fldCharType="end"/>
            </w:r>
          </w:hyperlink>
        </w:p>
        <w:p w14:paraId="225C61E7" w14:textId="77777777" w:rsidR="00E217EB" w:rsidRDefault="00D814D4">
          <w:pPr>
            <w:pStyle w:val="TOC2"/>
            <w:rPr>
              <w:rFonts w:asciiTheme="minorHAnsi" w:eastAsiaTheme="minorEastAsia" w:hAnsiTheme="minorHAnsi" w:cstheme="minorBidi"/>
              <w:szCs w:val="22"/>
            </w:rPr>
          </w:pPr>
          <w:hyperlink w:anchor="_Toc469571457" w:history="1">
            <w:r w:rsidR="00E217EB" w:rsidRPr="0062117A">
              <w:rPr>
                <w:rStyle w:val="Hyperlink"/>
              </w:rPr>
              <w:t>Energy Burden</w:t>
            </w:r>
            <w:r w:rsidR="00E217EB">
              <w:rPr>
                <w:webHidden/>
              </w:rPr>
              <w:tab/>
            </w:r>
            <w:r w:rsidR="00E217EB">
              <w:rPr>
                <w:webHidden/>
              </w:rPr>
              <w:fldChar w:fldCharType="begin"/>
            </w:r>
            <w:r w:rsidR="00E217EB">
              <w:rPr>
                <w:webHidden/>
              </w:rPr>
              <w:instrText xml:space="preserve"> PAGEREF _Toc469571457 \h </w:instrText>
            </w:r>
            <w:r w:rsidR="00E217EB">
              <w:rPr>
                <w:webHidden/>
              </w:rPr>
            </w:r>
            <w:r w:rsidR="00E217EB">
              <w:rPr>
                <w:webHidden/>
              </w:rPr>
              <w:fldChar w:fldCharType="separate"/>
            </w:r>
            <w:r w:rsidR="00B049AA">
              <w:rPr>
                <w:webHidden/>
              </w:rPr>
              <w:t>12</w:t>
            </w:r>
            <w:r w:rsidR="00E217EB">
              <w:rPr>
                <w:webHidden/>
              </w:rPr>
              <w:fldChar w:fldCharType="end"/>
            </w:r>
          </w:hyperlink>
        </w:p>
        <w:p w14:paraId="225C61E8" w14:textId="77777777" w:rsidR="00E217EB" w:rsidRDefault="00D814D4">
          <w:pPr>
            <w:pStyle w:val="TOC2"/>
            <w:rPr>
              <w:rFonts w:asciiTheme="minorHAnsi" w:eastAsiaTheme="minorEastAsia" w:hAnsiTheme="minorHAnsi" w:cstheme="minorBidi"/>
              <w:szCs w:val="22"/>
            </w:rPr>
          </w:pPr>
          <w:hyperlink w:anchor="_Toc469571458" w:history="1">
            <w:r w:rsidR="00E217EB" w:rsidRPr="0062117A">
              <w:rPr>
                <w:rStyle w:val="Hyperlink"/>
              </w:rPr>
              <w:t>Table 6 - Energy Burden - Total Energy costs divided by household income</w:t>
            </w:r>
            <w:r w:rsidR="00E217EB">
              <w:rPr>
                <w:webHidden/>
              </w:rPr>
              <w:tab/>
            </w:r>
            <w:r w:rsidR="00E217EB">
              <w:rPr>
                <w:webHidden/>
              </w:rPr>
              <w:fldChar w:fldCharType="begin"/>
            </w:r>
            <w:r w:rsidR="00E217EB">
              <w:rPr>
                <w:webHidden/>
              </w:rPr>
              <w:instrText xml:space="preserve"> PAGEREF _Toc469571458 \h </w:instrText>
            </w:r>
            <w:r w:rsidR="00E217EB">
              <w:rPr>
                <w:webHidden/>
              </w:rPr>
            </w:r>
            <w:r w:rsidR="00E217EB">
              <w:rPr>
                <w:webHidden/>
              </w:rPr>
              <w:fldChar w:fldCharType="separate"/>
            </w:r>
            <w:r w:rsidR="00B049AA">
              <w:rPr>
                <w:webHidden/>
              </w:rPr>
              <w:t>13</w:t>
            </w:r>
            <w:r w:rsidR="00E217EB">
              <w:rPr>
                <w:webHidden/>
              </w:rPr>
              <w:fldChar w:fldCharType="end"/>
            </w:r>
          </w:hyperlink>
        </w:p>
        <w:p w14:paraId="225C61E9" w14:textId="77777777" w:rsidR="00E217EB" w:rsidRDefault="00D814D4">
          <w:pPr>
            <w:pStyle w:val="TOC2"/>
            <w:rPr>
              <w:rFonts w:asciiTheme="minorHAnsi" w:eastAsiaTheme="minorEastAsia" w:hAnsiTheme="minorHAnsi" w:cstheme="minorBidi"/>
              <w:szCs w:val="22"/>
            </w:rPr>
          </w:pPr>
          <w:hyperlink w:anchor="_Toc469571459" w:history="1">
            <w:r w:rsidR="00E217EB" w:rsidRPr="0062117A">
              <w:rPr>
                <w:rStyle w:val="Hyperlink"/>
              </w:rPr>
              <w:t>Program Distribution Percentage</w:t>
            </w:r>
            <w:r w:rsidR="00E217EB">
              <w:rPr>
                <w:webHidden/>
              </w:rPr>
              <w:tab/>
            </w:r>
            <w:r w:rsidR="00E217EB">
              <w:rPr>
                <w:webHidden/>
              </w:rPr>
              <w:fldChar w:fldCharType="begin"/>
            </w:r>
            <w:r w:rsidR="00E217EB">
              <w:rPr>
                <w:webHidden/>
              </w:rPr>
              <w:instrText xml:space="preserve"> PAGEREF _Toc469571459 \h </w:instrText>
            </w:r>
            <w:r w:rsidR="00E217EB">
              <w:rPr>
                <w:webHidden/>
              </w:rPr>
            </w:r>
            <w:r w:rsidR="00E217EB">
              <w:rPr>
                <w:webHidden/>
              </w:rPr>
              <w:fldChar w:fldCharType="separate"/>
            </w:r>
            <w:r w:rsidR="00B049AA">
              <w:rPr>
                <w:webHidden/>
              </w:rPr>
              <w:t>13</w:t>
            </w:r>
            <w:r w:rsidR="00E217EB">
              <w:rPr>
                <w:webHidden/>
              </w:rPr>
              <w:fldChar w:fldCharType="end"/>
            </w:r>
          </w:hyperlink>
        </w:p>
        <w:p w14:paraId="225C61EA" w14:textId="77777777" w:rsidR="00E217EB" w:rsidRDefault="00D814D4">
          <w:pPr>
            <w:pStyle w:val="TOC2"/>
            <w:rPr>
              <w:rFonts w:asciiTheme="minorHAnsi" w:eastAsiaTheme="minorEastAsia" w:hAnsiTheme="minorHAnsi" w:cstheme="minorBidi"/>
              <w:szCs w:val="22"/>
            </w:rPr>
          </w:pPr>
          <w:hyperlink w:anchor="_Toc469571460" w:history="1">
            <w:r w:rsidR="00E217EB" w:rsidRPr="0062117A">
              <w:rPr>
                <w:rStyle w:val="Hyperlink"/>
              </w:rPr>
              <w:t>Table 7 – Direct Service Distribution</w:t>
            </w:r>
            <w:r w:rsidR="00E217EB">
              <w:rPr>
                <w:webHidden/>
              </w:rPr>
              <w:tab/>
            </w:r>
            <w:r w:rsidR="00E217EB">
              <w:rPr>
                <w:webHidden/>
              </w:rPr>
              <w:fldChar w:fldCharType="begin"/>
            </w:r>
            <w:r w:rsidR="00E217EB">
              <w:rPr>
                <w:webHidden/>
              </w:rPr>
              <w:instrText xml:space="preserve"> PAGEREF _Toc469571460 \h </w:instrText>
            </w:r>
            <w:r w:rsidR="00E217EB">
              <w:rPr>
                <w:webHidden/>
              </w:rPr>
            </w:r>
            <w:r w:rsidR="00E217EB">
              <w:rPr>
                <w:webHidden/>
              </w:rPr>
              <w:fldChar w:fldCharType="separate"/>
            </w:r>
            <w:r w:rsidR="00B049AA">
              <w:rPr>
                <w:webHidden/>
              </w:rPr>
              <w:t>14</w:t>
            </w:r>
            <w:r w:rsidR="00E217EB">
              <w:rPr>
                <w:webHidden/>
              </w:rPr>
              <w:fldChar w:fldCharType="end"/>
            </w:r>
          </w:hyperlink>
        </w:p>
        <w:p w14:paraId="225C61EB" w14:textId="77777777" w:rsidR="00E217EB" w:rsidRDefault="00D814D4">
          <w:pPr>
            <w:pStyle w:val="TOC2"/>
            <w:rPr>
              <w:rFonts w:asciiTheme="minorHAnsi" w:eastAsiaTheme="minorEastAsia" w:hAnsiTheme="minorHAnsi" w:cstheme="minorBidi"/>
              <w:szCs w:val="22"/>
            </w:rPr>
          </w:pPr>
          <w:hyperlink w:anchor="_Toc469571461" w:history="1">
            <w:r w:rsidR="00E217EB" w:rsidRPr="0062117A">
              <w:rPr>
                <w:rStyle w:val="Hyperlink"/>
              </w:rPr>
              <w:t>Avista Electric and Natural Gas Assistance</w:t>
            </w:r>
            <w:r w:rsidR="00E217EB">
              <w:rPr>
                <w:webHidden/>
              </w:rPr>
              <w:tab/>
            </w:r>
            <w:r w:rsidR="00E217EB">
              <w:rPr>
                <w:webHidden/>
              </w:rPr>
              <w:fldChar w:fldCharType="begin"/>
            </w:r>
            <w:r w:rsidR="00E217EB">
              <w:rPr>
                <w:webHidden/>
              </w:rPr>
              <w:instrText xml:space="preserve"> PAGEREF _Toc469571461 \h </w:instrText>
            </w:r>
            <w:r w:rsidR="00E217EB">
              <w:rPr>
                <w:webHidden/>
              </w:rPr>
            </w:r>
            <w:r w:rsidR="00E217EB">
              <w:rPr>
                <w:webHidden/>
              </w:rPr>
              <w:fldChar w:fldCharType="separate"/>
            </w:r>
            <w:r w:rsidR="00B049AA">
              <w:rPr>
                <w:webHidden/>
              </w:rPr>
              <w:t>14</w:t>
            </w:r>
            <w:r w:rsidR="00E217EB">
              <w:rPr>
                <w:webHidden/>
              </w:rPr>
              <w:fldChar w:fldCharType="end"/>
            </w:r>
          </w:hyperlink>
        </w:p>
        <w:p w14:paraId="225C61EC" w14:textId="77777777" w:rsidR="00E217EB" w:rsidRDefault="00D814D4">
          <w:pPr>
            <w:pStyle w:val="TOC2"/>
            <w:rPr>
              <w:rFonts w:asciiTheme="minorHAnsi" w:eastAsiaTheme="minorEastAsia" w:hAnsiTheme="minorHAnsi" w:cstheme="minorBidi"/>
              <w:szCs w:val="22"/>
            </w:rPr>
          </w:pPr>
          <w:hyperlink w:anchor="_Toc469571462" w:history="1">
            <w:r w:rsidR="00E217EB" w:rsidRPr="0062117A">
              <w:rPr>
                <w:rStyle w:val="Hyperlink"/>
              </w:rPr>
              <w:t>Table 8 – LIRAP Direct Service Assistance Allocation</w:t>
            </w:r>
            <w:r w:rsidR="00E217EB">
              <w:rPr>
                <w:webHidden/>
              </w:rPr>
              <w:tab/>
            </w:r>
            <w:r w:rsidR="00E217EB">
              <w:rPr>
                <w:webHidden/>
              </w:rPr>
              <w:fldChar w:fldCharType="begin"/>
            </w:r>
            <w:r w:rsidR="00E217EB">
              <w:rPr>
                <w:webHidden/>
              </w:rPr>
              <w:instrText xml:space="preserve"> PAGEREF _Toc469571462 \h </w:instrText>
            </w:r>
            <w:r w:rsidR="00E217EB">
              <w:rPr>
                <w:webHidden/>
              </w:rPr>
            </w:r>
            <w:r w:rsidR="00E217EB">
              <w:rPr>
                <w:webHidden/>
              </w:rPr>
              <w:fldChar w:fldCharType="separate"/>
            </w:r>
            <w:r w:rsidR="00B049AA">
              <w:rPr>
                <w:webHidden/>
              </w:rPr>
              <w:t>15</w:t>
            </w:r>
            <w:r w:rsidR="00E217EB">
              <w:rPr>
                <w:webHidden/>
              </w:rPr>
              <w:fldChar w:fldCharType="end"/>
            </w:r>
          </w:hyperlink>
        </w:p>
        <w:p w14:paraId="225C61ED" w14:textId="77777777" w:rsidR="00E217EB" w:rsidRDefault="00D814D4">
          <w:pPr>
            <w:pStyle w:val="TOC1"/>
            <w:rPr>
              <w:rFonts w:asciiTheme="minorHAnsi" w:eastAsiaTheme="minorEastAsia" w:hAnsiTheme="minorHAnsi" w:cstheme="minorBidi"/>
              <w:b w:val="0"/>
              <w:szCs w:val="22"/>
            </w:rPr>
          </w:pPr>
          <w:hyperlink w:anchor="_Toc469571463" w:history="1">
            <w:r w:rsidR="00E217EB" w:rsidRPr="0062117A">
              <w:rPr>
                <w:rStyle w:val="Hyperlink"/>
              </w:rPr>
              <w:t>Regulatory Changes</w:t>
            </w:r>
            <w:r w:rsidR="00E217EB">
              <w:rPr>
                <w:webHidden/>
              </w:rPr>
              <w:tab/>
            </w:r>
            <w:r w:rsidR="00E217EB">
              <w:rPr>
                <w:webHidden/>
              </w:rPr>
              <w:fldChar w:fldCharType="begin"/>
            </w:r>
            <w:r w:rsidR="00E217EB">
              <w:rPr>
                <w:webHidden/>
              </w:rPr>
              <w:instrText xml:space="preserve"> PAGEREF _Toc469571463 \h </w:instrText>
            </w:r>
            <w:r w:rsidR="00E217EB">
              <w:rPr>
                <w:webHidden/>
              </w:rPr>
            </w:r>
            <w:r w:rsidR="00E217EB">
              <w:rPr>
                <w:webHidden/>
              </w:rPr>
              <w:fldChar w:fldCharType="separate"/>
            </w:r>
            <w:r w:rsidR="00B049AA">
              <w:rPr>
                <w:webHidden/>
              </w:rPr>
              <w:t>15</w:t>
            </w:r>
            <w:r w:rsidR="00E217EB">
              <w:rPr>
                <w:webHidden/>
              </w:rPr>
              <w:fldChar w:fldCharType="end"/>
            </w:r>
          </w:hyperlink>
        </w:p>
        <w:p w14:paraId="225C61EE" w14:textId="77777777" w:rsidR="00E217EB" w:rsidRDefault="00D814D4">
          <w:pPr>
            <w:pStyle w:val="TOC2"/>
            <w:rPr>
              <w:rFonts w:asciiTheme="minorHAnsi" w:eastAsiaTheme="minorEastAsia" w:hAnsiTheme="minorHAnsi" w:cstheme="minorBidi"/>
              <w:szCs w:val="22"/>
            </w:rPr>
          </w:pPr>
          <w:hyperlink w:anchor="_Toc469571464" w:history="1">
            <w:r w:rsidR="00E217EB" w:rsidRPr="0062117A">
              <w:rPr>
                <w:rStyle w:val="Hyperlink"/>
              </w:rPr>
              <w:t>LIRAP Funding</w:t>
            </w:r>
            <w:r w:rsidR="00E217EB">
              <w:rPr>
                <w:webHidden/>
              </w:rPr>
              <w:tab/>
            </w:r>
            <w:r w:rsidR="00E217EB">
              <w:rPr>
                <w:webHidden/>
              </w:rPr>
              <w:fldChar w:fldCharType="begin"/>
            </w:r>
            <w:r w:rsidR="00E217EB">
              <w:rPr>
                <w:webHidden/>
              </w:rPr>
              <w:instrText xml:space="preserve"> PAGEREF _Toc469571464 \h </w:instrText>
            </w:r>
            <w:r w:rsidR="00E217EB">
              <w:rPr>
                <w:webHidden/>
              </w:rPr>
            </w:r>
            <w:r w:rsidR="00E217EB">
              <w:rPr>
                <w:webHidden/>
              </w:rPr>
              <w:fldChar w:fldCharType="separate"/>
            </w:r>
            <w:r w:rsidR="00B049AA">
              <w:rPr>
                <w:webHidden/>
              </w:rPr>
              <w:t>15</w:t>
            </w:r>
            <w:r w:rsidR="00E217EB">
              <w:rPr>
                <w:webHidden/>
              </w:rPr>
              <w:fldChar w:fldCharType="end"/>
            </w:r>
          </w:hyperlink>
        </w:p>
        <w:p w14:paraId="225C61EF" w14:textId="77777777" w:rsidR="00E217EB" w:rsidRDefault="00D814D4">
          <w:pPr>
            <w:pStyle w:val="TOC2"/>
            <w:rPr>
              <w:rFonts w:asciiTheme="minorHAnsi" w:eastAsiaTheme="minorEastAsia" w:hAnsiTheme="minorHAnsi" w:cstheme="minorBidi"/>
              <w:szCs w:val="22"/>
            </w:rPr>
          </w:pPr>
          <w:hyperlink w:anchor="_Toc469571465" w:history="1">
            <w:r w:rsidR="00E217EB" w:rsidRPr="0062117A">
              <w:rPr>
                <w:rStyle w:val="Hyperlink"/>
              </w:rPr>
              <w:t>LIRAP Modifications</w:t>
            </w:r>
            <w:r w:rsidR="00E217EB">
              <w:rPr>
                <w:webHidden/>
              </w:rPr>
              <w:tab/>
            </w:r>
            <w:r w:rsidR="00E217EB">
              <w:rPr>
                <w:webHidden/>
              </w:rPr>
              <w:fldChar w:fldCharType="begin"/>
            </w:r>
            <w:r w:rsidR="00E217EB">
              <w:rPr>
                <w:webHidden/>
              </w:rPr>
              <w:instrText xml:space="preserve"> PAGEREF _Toc469571465 \h </w:instrText>
            </w:r>
            <w:r w:rsidR="00E217EB">
              <w:rPr>
                <w:webHidden/>
              </w:rPr>
            </w:r>
            <w:r w:rsidR="00E217EB">
              <w:rPr>
                <w:webHidden/>
              </w:rPr>
              <w:fldChar w:fldCharType="separate"/>
            </w:r>
            <w:r w:rsidR="00B049AA">
              <w:rPr>
                <w:webHidden/>
              </w:rPr>
              <w:t>15</w:t>
            </w:r>
            <w:r w:rsidR="00E217EB">
              <w:rPr>
                <w:webHidden/>
              </w:rPr>
              <w:fldChar w:fldCharType="end"/>
            </w:r>
          </w:hyperlink>
        </w:p>
        <w:p w14:paraId="225C61F0" w14:textId="77777777" w:rsidR="00E217EB" w:rsidRDefault="00D814D4">
          <w:pPr>
            <w:pStyle w:val="TOC2"/>
            <w:rPr>
              <w:rFonts w:asciiTheme="minorHAnsi" w:eastAsiaTheme="minorEastAsia" w:hAnsiTheme="minorHAnsi" w:cstheme="minorBidi"/>
              <w:szCs w:val="22"/>
            </w:rPr>
          </w:pPr>
          <w:hyperlink w:anchor="_Toc469571466" w:history="1">
            <w:r w:rsidR="00E217EB" w:rsidRPr="0062117A">
              <w:rPr>
                <w:rStyle w:val="Hyperlink"/>
              </w:rPr>
              <w:t>Senior and Disabled Customer Rate Discount Pilot</w:t>
            </w:r>
            <w:r w:rsidR="00E217EB">
              <w:rPr>
                <w:webHidden/>
              </w:rPr>
              <w:tab/>
            </w:r>
            <w:r w:rsidR="00E217EB">
              <w:rPr>
                <w:webHidden/>
              </w:rPr>
              <w:fldChar w:fldCharType="begin"/>
            </w:r>
            <w:r w:rsidR="00E217EB">
              <w:rPr>
                <w:webHidden/>
              </w:rPr>
              <w:instrText xml:space="preserve"> PAGEREF _Toc469571466 \h </w:instrText>
            </w:r>
            <w:r w:rsidR="00E217EB">
              <w:rPr>
                <w:webHidden/>
              </w:rPr>
            </w:r>
            <w:r w:rsidR="00E217EB">
              <w:rPr>
                <w:webHidden/>
              </w:rPr>
              <w:fldChar w:fldCharType="separate"/>
            </w:r>
            <w:r w:rsidR="00B049AA">
              <w:rPr>
                <w:webHidden/>
              </w:rPr>
              <w:t>16</w:t>
            </w:r>
            <w:r w:rsidR="00E217EB">
              <w:rPr>
                <w:webHidden/>
              </w:rPr>
              <w:fldChar w:fldCharType="end"/>
            </w:r>
          </w:hyperlink>
        </w:p>
        <w:p w14:paraId="225C61F1" w14:textId="77777777" w:rsidR="00E217EB" w:rsidRDefault="00D814D4">
          <w:pPr>
            <w:pStyle w:val="TOC3"/>
            <w:tabs>
              <w:tab w:val="right" w:leader="dot" w:pos="9350"/>
            </w:tabs>
            <w:rPr>
              <w:noProof/>
            </w:rPr>
          </w:pPr>
          <w:hyperlink w:anchor="_Toc469571467" w:history="1">
            <w:r w:rsidR="00E217EB" w:rsidRPr="0062117A">
              <w:rPr>
                <w:rStyle w:val="Hyperlink"/>
                <w:noProof/>
              </w:rPr>
              <w:t>Participating Agencies</w:t>
            </w:r>
            <w:r w:rsidR="00E217EB">
              <w:rPr>
                <w:noProof/>
                <w:webHidden/>
              </w:rPr>
              <w:tab/>
            </w:r>
            <w:r w:rsidR="00E217EB">
              <w:rPr>
                <w:noProof/>
                <w:webHidden/>
              </w:rPr>
              <w:fldChar w:fldCharType="begin"/>
            </w:r>
            <w:r w:rsidR="00E217EB">
              <w:rPr>
                <w:noProof/>
                <w:webHidden/>
              </w:rPr>
              <w:instrText xml:space="preserve"> PAGEREF _Toc469571467 \h </w:instrText>
            </w:r>
            <w:r w:rsidR="00E217EB">
              <w:rPr>
                <w:noProof/>
                <w:webHidden/>
              </w:rPr>
            </w:r>
            <w:r w:rsidR="00E217EB">
              <w:rPr>
                <w:noProof/>
                <w:webHidden/>
              </w:rPr>
              <w:fldChar w:fldCharType="separate"/>
            </w:r>
            <w:r w:rsidR="00B049AA">
              <w:rPr>
                <w:noProof/>
                <w:webHidden/>
              </w:rPr>
              <w:t>17</w:t>
            </w:r>
            <w:r w:rsidR="00E217EB">
              <w:rPr>
                <w:noProof/>
                <w:webHidden/>
              </w:rPr>
              <w:fldChar w:fldCharType="end"/>
            </w:r>
          </w:hyperlink>
        </w:p>
        <w:p w14:paraId="225C61F2" w14:textId="77777777" w:rsidR="00E217EB" w:rsidRDefault="00D814D4">
          <w:pPr>
            <w:pStyle w:val="TOC3"/>
            <w:tabs>
              <w:tab w:val="right" w:leader="dot" w:pos="9350"/>
            </w:tabs>
            <w:rPr>
              <w:noProof/>
            </w:rPr>
          </w:pPr>
          <w:hyperlink w:anchor="_Toc469571468" w:history="1">
            <w:r w:rsidR="00E217EB" w:rsidRPr="0062117A">
              <w:rPr>
                <w:rStyle w:val="Hyperlink"/>
                <w:noProof/>
              </w:rPr>
              <w:t>Program Results</w:t>
            </w:r>
            <w:r w:rsidR="00E217EB">
              <w:rPr>
                <w:noProof/>
                <w:webHidden/>
              </w:rPr>
              <w:tab/>
            </w:r>
            <w:r w:rsidR="00E217EB">
              <w:rPr>
                <w:noProof/>
                <w:webHidden/>
              </w:rPr>
              <w:fldChar w:fldCharType="begin"/>
            </w:r>
            <w:r w:rsidR="00E217EB">
              <w:rPr>
                <w:noProof/>
                <w:webHidden/>
              </w:rPr>
              <w:instrText xml:space="preserve"> PAGEREF _Toc469571468 \h </w:instrText>
            </w:r>
            <w:r w:rsidR="00E217EB">
              <w:rPr>
                <w:noProof/>
                <w:webHidden/>
              </w:rPr>
            </w:r>
            <w:r w:rsidR="00E217EB">
              <w:rPr>
                <w:noProof/>
                <w:webHidden/>
              </w:rPr>
              <w:fldChar w:fldCharType="separate"/>
            </w:r>
            <w:r w:rsidR="00B049AA">
              <w:rPr>
                <w:noProof/>
                <w:webHidden/>
              </w:rPr>
              <w:t>17</w:t>
            </w:r>
            <w:r w:rsidR="00E217EB">
              <w:rPr>
                <w:noProof/>
                <w:webHidden/>
              </w:rPr>
              <w:fldChar w:fldCharType="end"/>
            </w:r>
          </w:hyperlink>
        </w:p>
        <w:p w14:paraId="225C61F3" w14:textId="77777777" w:rsidR="00E217EB" w:rsidRDefault="00D814D4">
          <w:pPr>
            <w:pStyle w:val="TOC2"/>
            <w:rPr>
              <w:rFonts w:asciiTheme="minorHAnsi" w:eastAsiaTheme="minorEastAsia" w:hAnsiTheme="minorHAnsi" w:cstheme="minorBidi"/>
              <w:szCs w:val="22"/>
            </w:rPr>
          </w:pPr>
          <w:hyperlink w:anchor="_Toc469571469" w:history="1">
            <w:r w:rsidR="00E217EB" w:rsidRPr="0062117A">
              <w:rPr>
                <w:rStyle w:val="Hyperlink"/>
              </w:rPr>
              <w:t>Table 9 – Rate Discount Pilot - Participants</w:t>
            </w:r>
            <w:r w:rsidR="00E217EB">
              <w:rPr>
                <w:webHidden/>
              </w:rPr>
              <w:tab/>
            </w:r>
            <w:r w:rsidR="00E217EB">
              <w:rPr>
                <w:webHidden/>
              </w:rPr>
              <w:fldChar w:fldCharType="begin"/>
            </w:r>
            <w:r w:rsidR="00E217EB">
              <w:rPr>
                <w:webHidden/>
              </w:rPr>
              <w:instrText xml:space="preserve"> PAGEREF _Toc469571469 \h </w:instrText>
            </w:r>
            <w:r w:rsidR="00E217EB">
              <w:rPr>
                <w:webHidden/>
              </w:rPr>
            </w:r>
            <w:r w:rsidR="00E217EB">
              <w:rPr>
                <w:webHidden/>
              </w:rPr>
              <w:fldChar w:fldCharType="separate"/>
            </w:r>
            <w:r w:rsidR="00B049AA">
              <w:rPr>
                <w:webHidden/>
              </w:rPr>
              <w:t>18</w:t>
            </w:r>
            <w:r w:rsidR="00E217EB">
              <w:rPr>
                <w:webHidden/>
              </w:rPr>
              <w:fldChar w:fldCharType="end"/>
            </w:r>
          </w:hyperlink>
        </w:p>
        <w:p w14:paraId="225C61F4" w14:textId="77777777" w:rsidR="00E217EB" w:rsidRDefault="00D814D4">
          <w:pPr>
            <w:pStyle w:val="TOC2"/>
            <w:rPr>
              <w:rFonts w:asciiTheme="minorHAnsi" w:eastAsiaTheme="minorEastAsia" w:hAnsiTheme="minorHAnsi" w:cstheme="minorBidi"/>
              <w:szCs w:val="22"/>
            </w:rPr>
          </w:pPr>
          <w:hyperlink w:anchor="_Toc469571470" w:history="1">
            <w:r w:rsidR="00E217EB" w:rsidRPr="0062117A">
              <w:rPr>
                <w:rStyle w:val="Hyperlink"/>
              </w:rPr>
              <w:t>Table 10 – Participant Enrollment</w:t>
            </w:r>
            <w:r w:rsidR="00E217EB">
              <w:rPr>
                <w:webHidden/>
              </w:rPr>
              <w:tab/>
            </w:r>
            <w:r w:rsidR="00E217EB">
              <w:rPr>
                <w:webHidden/>
              </w:rPr>
              <w:fldChar w:fldCharType="begin"/>
            </w:r>
            <w:r w:rsidR="00E217EB">
              <w:rPr>
                <w:webHidden/>
              </w:rPr>
              <w:instrText xml:space="preserve"> PAGEREF _Toc469571470 \h </w:instrText>
            </w:r>
            <w:r w:rsidR="00E217EB">
              <w:rPr>
                <w:webHidden/>
              </w:rPr>
            </w:r>
            <w:r w:rsidR="00E217EB">
              <w:rPr>
                <w:webHidden/>
              </w:rPr>
              <w:fldChar w:fldCharType="separate"/>
            </w:r>
            <w:r w:rsidR="00B049AA">
              <w:rPr>
                <w:webHidden/>
              </w:rPr>
              <w:t>18</w:t>
            </w:r>
            <w:r w:rsidR="00E217EB">
              <w:rPr>
                <w:webHidden/>
              </w:rPr>
              <w:fldChar w:fldCharType="end"/>
            </w:r>
          </w:hyperlink>
        </w:p>
        <w:p w14:paraId="225C61F5" w14:textId="77777777" w:rsidR="00E217EB" w:rsidRDefault="00D814D4">
          <w:pPr>
            <w:pStyle w:val="TOC2"/>
            <w:rPr>
              <w:rFonts w:asciiTheme="minorHAnsi" w:eastAsiaTheme="minorEastAsia" w:hAnsiTheme="minorHAnsi" w:cstheme="minorBidi"/>
              <w:szCs w:val="22"/>
            </w:rPr>
          </w:pPr>
          <w:hyperlink w:anchor="_Toc469571471" w:history="1">
            <w:r w:rsidR="00E217EB" w:rsidRPr="0062117A">
              <w:rPr>
                <w:rStyle w:val="Hyperlink"/>
              </w:rPr>
              <w:t>Table 11 – Average Monthly Discount per Customer - Electric</w:t>
            </w:r>
            <w:r w:rsidR="00E217EB">
              <w:rPr>
                <w:webHidden/>
              </w:rPr>
              <w:tab/>
            </w:r>
            <w:r w:rsidR="00E217EB">
              <w:rPr>
                <w:webHidden/>
              </w:rPr>
              <w:fldChar w:fldCharType="begin"/>
            </w:r>
            <w:r w:rsidR="00E217EB">
              <w:rPr>
                <w:webHidden/>
              </w:rPr>
              <w:instrText xml:space="preserve"> PAGEREF _Toc469571471 \h </w:instrText>
            </w:r>
            <w:r w:rsidR="00E217EB">
              <w:rPr>
                <w:webHidden/>
              </w:rPr>
            </w:r>
            <w:r w:rsidR="00E217EB">
              <w:rPr>
                <w:webHidden/>
              </w:rPr>
              <w:fldChar w:fldCharType="separate"/>
            </w:r>
            <w:r w:rsidR="00B049AA">
              <w:rPr>
                <w:webHidden/>
              </w:rPr>
              <w:t>19</w:t>
            </w:r>
            <w:r w:rsidR="00E217EB">
              <w:rPr>
                <w:webHidden/>
              </w:rPr>
              <w:fldChar w:fldCharType="end"/>
            </w:r>
          </w:hyperlink>
        </w:p>
        <w:p w14:paraId="225C61F6" w14:textId="77777777" w:rsidR="00E217EB" w:rsidRDefault="00D814D4">
          <w:pPr>
            <w:pStyle w:val="TOC2"/>
            <w:rPr>
              <w:rFonts w:asciiTheme="minorHAnsi" w:eastAsiaTheme="minorEastAsia" w:hAnsiTheme="minorHAnsi" w:cstheme="minorBidi"/>
              <w:szCs w:val="22"/>
            </w:rPr>
          </w:pPr>
          <w:hyperlink w:anchor="_Toc469571472" w:history="1">
            <w:r w:rsidR="00E217EB" w:rsidRPr="0062117A">
              <w:rPr>
                <w:rStyle w:val="Hyperlink"/>
              </w:rPr>
              <w:t>Table 12 – Average Monthly Discount per Customer – Natural Gas</w:t>
            </w:r>
            <w:r w:rsidR="00E217EB">
              <w:rPr>
                <w:webHidden/>
              </w:rPr>
              <w:tab/>
            </w:r>
            <w:r w:rsidR="00E217EB">
              <w:rPr>
                <w:webHidden/>
              </w:rPr>
              <w:fldChar w:fldCharType="begin"/>
            </w:r>
            <w:r w:rsidR="00E217EB">
              <w:rPr>
                <w:webHidden/>
              </w:rPr>
              <w:instrText xml:space="preserve"> PAGEREF _Toc469571472 \h </w:instrText>
            </w:r>
            <w:r w:rsidR="00E217EB">
              <w:rPr>
                <w:webHidden/>
              </w:rPr>
            </w:r>
            <w:r w:rsidR="00E217EB">
              <w:rPr>
                <w:webHidden/>
              </w:rPr>
              <w:fldChar w:fldCharType="separate"/>
            </w:r>
            <w:r w:rsidR="00B049AA">
              <w:rPr>
                <w:webHidden/>
              </w:rPr>
              <w:t>20</w:t>
            </w:r>
            <w:r w:rsidR="00E217EB">
              <w:rPr>
                <w:webHidden/>
              </w:rPr>
              <w:fldChar w:fldCharType="end"/>
            </w:r>
          </w:hyperlink>
        </w:p>
        <w:p w14:paraId="225C61F7" w14:textId="77777777" w:rsidR="00E217EB" w:rsidRDefault="00D814D4">
          <w:pPr>
            <w:pStyle w:val="TOC2"/>
            <w:rPr>
              <w:rFonts w:asciiTheme="minorHAnsi" w:eastAsiaTheme="minorEastAsia" w:hAnsiTheme="minorHAnsi" w:cstheme="minorBidi"/>
              <w:szCs w:val="22"/>
            </w:rPr>
          </w:pPr>
          <w:hyperlink w:anchor="_Toc469571473" w:history="1">
            <w:r w:rsidR="00E217EB" w:rsidRPr="0062117A">
              <w:rPr>
                <w:rStyle w:val="Hyperlink"/>
              </w:rPr>
              <w:t>True-Up Mechanism</w:t>
            </w:r>
            <w:r w:rsidR="00E217EB">
              <w:rPr>
                <w:webHidden/>
              </w:rPr>
              <w:tab/>
            </w:r>
            <w:r w:rsidR="00E217EB">
              <w:rPr>
                <w:webHidden/>
              </w:rPr>
              <w:fldChar w:fldCharType="begin"/>
            </w:r>
            <w:r w:rsidR="00E217EB">
              <w:rPr>
                <w:webHidden/>
              </w:rPr>
              <w:instrText xml:space="preserve"> PAGEREF _Toc469571473 \h </w:instrText>
            </w:r>
            <w:r w:rsidR="00E217EB">
              <w:rPr>
                <w:webHidden/>
              </w:rPr>
            </w:r>
            <w:r w:rsidR="00E217EB">
              <w:rPr>
                <w:webHidden/>
              </w:rPr>
              <w:fldChar w:fldCharType="separate"/>
            </w:r>
            <w:r w:rsidR="00B049AA">
              <w:rPr>
                <w:webHidden/>
              </w:rPr>
              <w:t>20</w:t>
            </w:r>
            <w:r w:rsidR="00E217EB">
              <w:rPr>
                <w:webHidden/>
              </w:rPr>
              <w:fldChar w:fldCharType="end"/>
            </w:r>
          </w:hyperlink>
        </w:p>
        <w:p w14:paraId="225C61F8" w14:textId="77777777" w:rsidR="00E217EB" w:rsidRDefault="00D814D4">
          <w:pPr>
            <w:pStyle w:val="TOC2"/>
            <w:rPr>
              <w:rFonts w:asciiTheme="minorHAnsi" w:eastAsiaTheme="minorEastAsia" w:hAnsiTheme="minorHAnsi" w:cstheme="minorBidi"/>
              <w:szCs w:val="22"/>
            </w:rPr>
          </w:pPr>
          <w:hyperlink w:anchor="_Toc469571474" w:history="1">
            <w:r w:rsidR="00E217EB" w:rsidRPr="0062117A">
              <w:rPr>
                <w:rStyle w:val="Hyperlink"/>
              </w:rPr>
              <w:t>LIRAP Emergency Share, temporary exception program</w:t>
            </w:r>
            <w:r w:rsidR="00E217EB">
              <w:rPr>
                <w:webHidden/>
              </w:rPr>
              <w:tab/>
            </w:r>
            <w:r w:rsidR="00E217EB">
              <w:rPr>
                <w:webHidden/>
              </w:rPr>
              <w:fldChar w:fldCharType="begin"/>
            </w:r>
            <w:r w:rsidR="00E217EB">
              <w:rPr>
                <w:webHidden/>
              </w:rPr>
              <w:instrText xml:space="preserve"> PAGEREF _Toc469571474 \h </w:instrText>
            </w:r>
            <w:r w:rsidR="00E217EB">
              <w:rPr>
                <w:webHidden/>
              </w:rPr>
            </w:r>
            <w:r w:rsidR="00E217EB">
              <w:rPr>
                <w:webHidden/>
              </w:rPr>
              <w:fldChar w:fldCharType="separate"/>
            </w:r>
            <w:r w:rsidR="00B049AA">
              <w:rPr>
                <w:webHidden/>
              </w:rPr>
              <w:t>21</w:t>
            </w:r>
            <w:r w:rsidR="00E217EB">
              <w:rPr>
                <w:webHidden/>
              </w:rPr>
              <w:fldChar w:fldCharType="end"/>
            </w:r>
          </w:hyperlink>
        </w:p>
        <w:p w14:paraId="225C61F9" w14:textId="77777777" w:rsidR="00E217EB" w:rsidRDefault="00D814D4">
          <w:pPr>
            <w:pStyle w:val="TOC1"/>
            <w:rPr>
              <w:rFonts w:asciiTheme="minorHAnsi" w:eastAsiaTheme="minorEastAsia" w:hAnsiTheme="minorHAnsi" w:cstheme="minorBidi"/>
              <w:b w:val="0"/>
              <w:szCs w:val="22"/>
            </w:rPr>
          </w:pPr>
          <w:hyperlink w:anchor="_Toc469571475" w:history="1">
            <w:r w:rsidR="00E217EB" w:rsidRPr="0062117A">
              <w:rPr>
                <w:rStyle w:val="Hyperlink"/>
              </w:rPr>
              <w:t>Program Process</w:t>
            </w:r>
            <w:r w:rsidR="00E217EB">
              <w:rPr>
                <w:webHidden/>
              </w:rPr>
              <w:tab/>
            </w:r>
            <w:r w:rsidR="00E217EB">
              <w:rPr>
                <w:webHidden/>
              </w:rPr>
              <w:fldChar w:fldCharType="begin"/>
            </w:r>
            <w:r w:rsidR="00E217EB">
              <w:rPr>
                <w:webHidden/>
              </w:rPr>
              <w:instrText xml:space="preserve"> PAGEREF _Toc469571475 \h </w:instrText>
            </w:r>
            <w:r w:rsidR="00E217EB">
              <w:rPr>
                <w:webHidden/>
              </w:rPr>
            </w:r>
            <w:r w:rsidR="00E217EB">
              <w:rPr>
                <w:webHidden/>
              </w:rPr>
              <w:fldChar w:fldCharType="separate"/>
            </w:r>
            <w:r w:rsidR="00B049AA">
              <w:rPr>
                <w:webHidden/>
              </w:rPr>
              <w:t>21</w:t>
            </w:r>
            <w:r w:rsidR="00E217EB">
              <w:rPr>
                <w:webHidden/>
              </w:rPr>
              <w:fldChar w:fldCharType="end"/>
            </w:r>
          </w:hyperlink>
        </w:p>
        <w:p w14:paraId="225C61FA" w14:textId="77777777" w:rsidR="00E217EB" w:rsidRDefault="00D814D4">
          <w:pPr>
            <w:pStyle w:val="TOC2"/>
            <w:rPr>
              <w:rFonts w:asciiTheme="minorHAnsi" w:eastAsiaTheme="minorEastAsia" w:hAnsiTheme="minorHAnsi" w:cstheme="minorBidi"/>
              <w:szCs w:val="22"/>
            </w:rPr>
          </w:pPr>
          <w:hyperlink w:anchor="_Toc469571476" w:history="1">
            <w:r w:rsidR="00E217EB" w:rsidRPr="0062117A">
              <w:rPr>
                <w:rStyle w:val="Hyperlink"/>
              </w:rPr>
              <w:t>Agency Meetings</w:t>
            </w:r>
            <w:r w:rsidR="00E217EB">
              <w:rPr>
                <w:webHidden/>
              </w:rPr>
              <w:tab/>
            </w:r>
            <w:r w:rsidR="00E217EB">
              <w:rPr>
                <w:webHidden/>
              </w:rPr>
              <w:fldChar w:fldCharType="begin"/>
            </w:r>
            <w:r w:rsidR="00E217EB">
              <w:rPr>
                <w:webHidden/>
              </w:rPr>
              <w:instrText xml:space="preserve"> PAGEREF _Toc469571476 \h </w:instrText>
            </w:r>
            <w:r w:rsidR="00E217EB">
              <w:rPr>
                <w:webHidden/>
              </w:rPr>
            </w:r>
            <w:r w:rsidR="00E217EB">
              <w:rPr>
                <w:webHidden/>
              </w:rPr>
              <w:fldChar w:fldCharType="separate"/>
            </w:r>
            <w:r w:rsidR="00B049AA">
              <w:rPr>
                <w:webHidden/>
              </w:rPr>
              <w:t>21</w:t>
            </w:r>
            <w:r w:rsidR="00E217EB">
              <w:rPr>
                <w:webHidden/>
              </w:rPr>
              <w:fldChar w:fldCharType="end"/>
            </w:r>
          </w:hyperlink>
        </w:p>
        <w:p w14:paraId="225C61FB" w14:textId="77777777" w:rsidR="00E217EB" w:rsidRDefault="00D814D4">
          <w:pPr>
            <w:pStyle w:val="TOC1"/>
            <w:rPr>
              <w:rFonts w:asciiTheme="minorHAnsi" w:eastAsiaTheme="minorEastAsia" w:hAnsiTheme="minorHAnsi" w:cstheme="minorBidi"/>
              <w:b w:val="0"/>
              <w:szCs w:val="22"/>
            </w:rPr>
          </w:pPr>
          <w:hyperlink w:anchor="_Toc469571477" w:history="1">
            <w:r w:rsidR="00E217EB" w:rsidRPr="0062117A">
              <w:rPr>
                <w:rStyle w:val="Hyperlink"/>
              </w:rPr>
              <w:t>Conservation Education and Outreach</w:t>
            </w:r>
            <w:r w:rsidR="00E217EB">
              <w:rPr>
                <w:webHidden/>
              </w:rPr>
              <w:tab/>
            </w:r>
            <w:r w:rsidR="00E217EB">
              <w:rPr>
                <w:webHidden/>
              </w:rPr>
              <w:fldChar w:fldCharType="begin"/>
            </w:r>
            <w:r w:rsidR="00E217EB">
              <w:rPr>
                <w:webHidden/>
              </w:rPr>
              <w:instrText xml:space="preserve"> PAGEREF _Toc469571477 \h </w:instrText>
            </w:r>
            <w:r w:rsidR="00E217EB">
              <w:rPr>
                <w:webHidden/>
              </w:rPr>
            </w:r>
            <w:r w:rsidR="00E217EB">
              <w:rPr>
                <w:webHidden/>
              </w:rPr>
              <w:fldChar w:fldCharType="separate"/>
            </w:r>
            <w:r w:rsidR="00B049AA">
              <w:rPr>
                <w:webHidden/>
              </w:rPr>
              <w:t>22</w:t>
            </w:r>
            <w:r w:rsidR="00E217EB">
              <w:rPr>
                <w:webHidden/>
              </w:rPr>
              <w:fldChar w:fldCharType="end"/>
            </w:r>
          </w:hyperlink>
        </w:p>
        <w:p w14:paraId="225C61FC" w14:textId="77777777" w:rsidR="00E217EB" w:rsidRDefault="00D814D4">
          <w:pPr>
            <w:pStyle w:val="TOC2"/>
            <w:rPr>
              <w:rFonts w:asciiTheme="minorHAnsi" w:eastAsiaTheme="minorEastAsia" w:hAnsiTheme="minorHAnsi" w:cstheme="minorBidi"/>
              <w:szCs w:val="22"/>
            </w:rPr>
          </w:pPr>
          <w:hyperlink w:anchor="_Toc469571478" w:history="1">
            <w:r w:rsidR="00E217EB" w:rsidRPr="0062117A">
              <w:rPr>
                <w:rStyle w:val="Hyperlink"/>
              </w:rPr>
              <w:t>Conservation Education Activities</w:t>
            </w:r>
            <w:r w:rsidR="00E217EB">
              <w:rPr>
                <w:webHidden/>
              </w:rPr>
              <w:tab/>
            </w:r>
            <w:r w:rsidR="00E217EB">
              <w:rPr>
                <w:webHidden/>
              </w:rPr>
              <w:fldChar w:fldCharType="begin"/>
            </w:r>
            <w:r w:rsidR="00E217EB">
              <w:rPr>
                <w:webHidden/>
              </w:rPr>
              <w:instrText xml:space="preserve"> PAGEREF _Toc469571478 \h </w:instrText>
            </w:r>
            <w:r w:rsidR="00E217EB">
              <w:rPr>
                <w:webHidden/>
              </w:rPr>
            </w:r>
            <w:r w:rsidR="00E217EB">
              <w:rPr>
                <w:webHidden/>
              </w:rPr>
              <w:fldChar w:fldCharType="separate"/>
            </w:r>
            <w:r w:rsidR="00B049AA">
              <w:rPr>
                <w:webHidden/>
              </w:rPr>
              <w:t>23</w:t>
            </w:r>
            <w:r w:rsidR="00E217EB">
              <w:rPr>
                <w:webHidden/>
              </w:rPr>
              <w:fldChar w:fldCharType="end"/>
            </w:r>
          </w:hyperlink>
        </w:p>
        <w:p w14:paraId="225C61FD" w14:textId="77777777" w:rsidR="00E217EB" w:rsidRDefault="00D814D4">
          <w:pPr>
            <w:pStyle w:val="TOC3"/>
            <w:tabs>
              <w:tab w:val="right" w:leader="dot" w:pos="9350"/>
            </w:tabs>
            <w:rPr>
              <w:noProof/>
            </w:rPr>
          </w:pPr>
          <w:hyperlink w:anchor="_Toc469571479" w:history="1">
            <w:r w:rsidR="00E217EB" w:rsidRPr="0062117A">
              <w:rPr>
                <w:rStyle w:val="Hyperlink"/>
                <w:noProof/>
              </w:rPr>
              <w:t>Agency Con Ed Programs and Practices</w:t>
            </w:r>
            <w:r w:rsidR="00E217EB">
              <w:rPr>
                <w:noProof/>
                <w:webHidden/>
              </w:rPr>
              <w:tab/>
            </w:r>
            <w:r w:rsidR="00E217EB">
              <w:rPr>
                <w:noProof/>
                <w:webHidden/>
              </w:rPr>
              <w:fldChar w:fldCharType="begin"/>
            </w:r>
            <w:r w:rsidR="00E217EB">
              <w:rPr>
                <w:noProof/>
                <w:webHidden/>
              </w:rPr>
              <w:instrText xml:space="preserve"> PAGEREF _Toc469571479 \h </w:instrText>
            </w:r>
            <w:r w:rsidR="00E217EB">
              <w:rPr>
                <w:noProof/>
                <w:webHidden/>
              </w:rPr>
            </w:r>
            <w:r w:rsidR="00E217EB">
              <w:rPr>
                <w:noProof/>
                <w:webHidden/>
              </w:rPr>
              <w:fldChar w:fldCharType="separate"/>
            </w:r>
            <w:r w:rsidR="00B049AA">
              <w:rPr>
                <w:noProof/>
                <w:webHidden/>
              </w:rPr>
              <w:t>23</w:t>
            </w:r>
            <w:r w:rsidR="00E217EB">
              <w:rPr>
                <w:noProof/>
                <w:webHidden/>
              </w:rPr>
              <w:fldChar w:fldCharType="end"/>
            </w:r>
          </w:hyperlink>
        </w:p>
        <w:p w14:paraId="225C61FE" w14:textId="77777777" w:rsidR="00E217EB" w:rsidRDefault="00D814D4">
          <w:pPr>
            <w:pStyle w:val="TOC3"/>
            <w:tabs>
              <w:tab w:val="right" w:leader="dot" w:pos="9350"/>
            </w:tabs>
            <w:rPr>
              <w:noProof/>
            </w:rPr>
          </w:pPr>
          <w:hyperlink w:anchor="_Toc469571480" w:history="1">
            <w:r w:rsidR="00E217EB" w:rsidRPr="0062117A">
              <w:rPr>
                <w:rStyle w:val="Hyperlink"/>
                <w:noProof/>
              </w:rPr>
              <w:t>Avista Outreach and Education</w:t>
            </w:r>
            <w:r w:rsidR="00E217EB">
              <w:rPr>
                <w:noProof/>
                <w:webHidden/>
              </w:rPr>
              <w:tab/>
            </w:r>
            <w:r w:rsidR="00E217EB">
              <w:rPr>
                <w:noProof/>
                <w:webHidden/>
              </w:rPr>
              <w:fldChar w:fldCharType="begin"/>
            </w:r>
            <w:r w:rsidR="00E217EB">
              <w:rPr>
                <w:noProof/>
                <w:webHidden/>
              </w:rPr>
              <w:instrText xml:space="preserve"> PAGEREF _Toc469571480 \h </w:instrText>
            </w:r>
            <w:r w:rsidR="00E217EB">
              <w:rPr>
                <w:noProof/>
                <w:webHidden/>
              </w:rPr>
            </w:r>
            <w:r w:rsidR="00E217EB">
              <w:rPr>
                <w:noProof/>
                <w:webHidden/>
              </w:rPr>
              <w:fldChar w:fldCharType="separate"/>
            </w:r>
            <w:r w:rsidR="00B049AA">
              <w:rPr>
                <w:noProof/>
                <w:webHidden/>
              </w:rPr>
              <w:t>25</w:t>
            </w:r>
            <w:r w:rsidR="00E217EB">
              <w:rPr>
                <w:noProof/>
                <w:webHidden/>
              </w:rPr>
              <w:fldChar w:fldCharType="end"/>
            </w:r>
          </w:hyperlink>
        </w:p>
        <w:p w14:paraId="225C61FF" w14:textId="77777777" w:rsidR="00E217EB" w:rsidRDefault="00D814D4">
          <w:pPr>
            <w:pStyle w:val="TOC3"/>
            <w:tabs>
              <w:tab w:val="right" w:leader="dot" w:pos="9350"/>
            </w:tabs>
            <w:rPr>
              <w:noProof/>
            </w:rPr>
          </w:pPr>
          <w:hyperlink w:anchor="_Toc469571481" w:history="1">
            <w:r w:rsidR="00E217EB" w:rsidRPr="0062117A">
              <w:rPr>
                <w:rStyle w:val="Hyperlink"/>
                <w:noProof/>
              </w:rPr>
              <w:t>Senior Directories and Publications</w:t>
            </w:r>
            <w:r w:rsidR="00E217EB">
              <w:rPr>
                <w:noProof/>
                <w:webHidden/>
              </w:rPr>
              <w:tab/>
            </w:r>
            <w:r w:rsidR="00E217EB">
              <w:rPr>
                <w:noProof/>
                <w:webHidden/>
              </w:rPr>
              <w:fldChar w:fldCharType="begin"/>
            </w:r>
            <w:r w:rsidR="00E217EB">
              <w:rPr>
                <w:noProof/>
                <w:webHidden/>
              </w:rPr>
              <w:instrText xml:space="preserve"> PAGEREF _Toc469571481 \h </w:instrText>
            </w:r>
            <w:r w:rsidR="00E217EB">
              <w:rPr>
                <w:noProof/>
                <w:webHidden/>
              </w:rPr>
            </w:r>
            <w:r w:rsidR="00E217EB">
              <w:rPr>
                <w:noProof/>
                <w:webHidden/>
              </w:rPr>
              <w:fldChar w:fldCharType="separate"/>
            </w:r>
            <w:r w:rsidR="00B049AA">
              <w:rPr>
                <w:noProof/>
                <w:webHidden/>
              </w:rPr>
              <w:t>25</w:t>
            </w:r>
            <w:r w:rsidR="00E217EB">
              <w:rPr>
                <w:noProof/>
                <w:webHidden/>
              </w:rPr>
              <w:fldChar w:fldCharType="end"/>
            </w:r>
          </w:hyperlink>
        </w:p>
        <w:p w14:paraId="225C6200" w14:textId="77777777" w:rsidR="00E217EB" w:rsidRDefault="00D814D4">
          <w:pPr>
            <w:pStyle w:val="TOC1"/>
            <w:rPr>
              <w:rFonts w:asciiTheme="minorHAnsi" w:eastAsiaTheme="minorEastAsia" w:hAnsiTheme="minorHAnsi" w:cstheme="minorBidi"/>
              <w:b w:val="0"/>
              <w:szCs w:val="22"/>
            </w:rPr>
          </w:pPr>
          <w:hyperlink w:anchor="_Toc469571482" w:history="1">
            <w:r w:rsidR="00E217EB" w:rsidRPr="0062117A">
              <w:rPr>
                <w:rStyle w:val="Hyperlink"/>
              </w:rPr>
              <w:t>Key Terms</w:t>
            </w:r>
            <w:r w:rsidR="00E217EB">
              <w:rPr>
                <w:webHidden/>
              </w:rPr>
              <w:tab/>
            </w:r>
            <w:r w:rsidR="00E217EB">
              <w:rPr>
                <w:webHidden/>
              </w:rPr>
              <w:fldChar w:fldCharType="begin"/>
            </w:r>
            <w:r w:rsidR="00E217EB">
              <w:rPr>
                <w:webHidden/>
              </w:rPr>
              <w:instrText xml:space="preserve"> PAGEREF _Toc469571482 \h </w:instrText>
            </w:r>
            <w:r w:rsidR="00E217EB">
              <w:rPr>
                <w:webHidden/>
              </w:rPr>
            </w:r>
            <w:r w:rsidR="00E217EB">
              <w:rPr>
                <w:webHidden/>
              </w:rPr>
              <w:fldChar w:fldCharType="separate"/>
            </w:r>
            <w:r w:rsidR="00B049AA">
              <w:rPr>
                <w:webHidden/>
              </w:rPr>
              <w:t>25</w:t>
            </w:r>
            <w:r w:rsidR="00E217EB">
              <w:rPr>
                <w:webHidden/>
              </w:rPr>
              <w:fldChar w:fldCharType="end"/>
            </w:r>
          </w:hyperlink>
        </w:p>
        <w:p w14:paraId="225C6201" w14:textId="77777777" w:rsidR="00E217EB" w:rsidRDefault="00D814D4">
          <w:pPr>
            <w:pStyle w:val="TOC1"/>
            <w:rPr>
              <w:rFonts w:asciiTheme="minorHAnsi" w:eastAsiaTheme="minorEastAsia" w:hAnsiTheme="minorHAnsi" w:cstheme="minorBidi"/>
              <w:b w:val="0"/>
              <w:szCs w:val="22"/>
            </w:rPr>
          </w:pPr>
          <w:hyperlink w:anchor="_Toc469571483" w:history="1">
            <w:r w:rsidR="00E217EB" w:rsidRPr="0062117A">
              <w:rPr>
                <w:rStyle w:val="Hyperlink"/>
              </w:rPr>
              <w:t>Data Collection</w:t>
            </w:r>
            <w:r w:rsidR="00E217EB">
              <w:rPr>
                <w:webHidden/>
              </w:rPr>
              <w:tab/>
            </w:r>
            <w:r w:rsidR="00E217EB">
              <w:rPr>
                <w:webHidden/>
              </w:rPr>
              <w:fldChar w:fldCharType="begin"/>
            </w:r>
            <w:r w:rsidR="00E217EB">
              <w:rPr>
                <w:webHidden/>
              </w:rPr>
              <w:instrText xml:space="preserve"> PAGEREF _Toc469571483 \h </w:instrText>
            </w:r>
            <w:r w:rsidR="00E217EB">
              <w:rPr>
                <w:webHidden/>
              </w:rPr>
            </w:r>
            <w:r w:rsidR="00E217EB">
              <w:rPr>
                <w:webHidden/>
              </w:rPr>
              <w:fldChar w:fldCharType="separate"/>
            </w:r>
            <w:r w:rsidR="00B049AA">
              <w:rPr>
                <w:webHidden/>
              </w:rPr>
              <w:t>26</w:t>
            </w:r>
            <w:r w:rsidR="00E217EB">
              <w:rPr>
                <w:webHidden/>
              </w:rPr>
              <w:fldChar w:fldCharType="end"/>
            </w:r>
          </w:hyperlink>
        </w:p>
        <w:p w14:paraId="225C6202" w14:textId="77777777" w:rsidR="00E217EB" w:rsidRDefault="00D814D4">
          <w:pPr>
            <w:pStyle w:val="TOC1"/>
            <w:rPr>
              <w:rFonts w:asciiTheme="minorHAnsi" w:eastAsiaTheme="minorEastAsia" w:hAnsiTheme="minorHAnsi" w:cstheme="minorBidi"/>
              <w:b w:val="0"/>
              <w:szCs w:val="22"/>
            </w:rPr>
          </w:pPr>
          <w:hyperlink w:anchor="_Toc469571484" w:history="1">
            <w:r w:rsidR="00E217EB" w:rsidRPr="0062117A">
              <w:rPr>
                <w:rStyle w:val="Hyperlink"/>
              </w:rPr>
              <w:t>Participating LIRAP Agencies</w:t>
            </w:r>
            <w:r w:rsidR="00E217EB">
              <w:rPr>
                <w:webHidden/>
              </w:rPr>
              <w:tab/>
            </w:r>
            <w:r w:rsidR="00E217EB">
              <w:rPr>
                <w:webHidden/>
              </w:rPr>
              <w:fldChar w:fldCharType="begin"/>
            </w:r>
            <w:r w:rsidR="00E217EB">
              <w:rPr>
                <w:webHidden/>
              </w:rPr>
              <w:instrText xml:space="preserve"> PAGEREF _Toc469571484 \h </w:instrText>
            </w:r>
            <w:r w:rsidR="00E217EB">
              <w:rPr>
                <w:webHidden/>
              </w:rPr>
            </w:r>
            <w:r w:rsidR="00E217EB">
              <w:rPr>
                <w:webHidden/>
              </w:rPr>
              <w:fldChar w:fldCharType="separate"/>
            </w:r>
            <w:r w:rsidR="00B049AA">
              <w:rPr>
                <w:webHidden/>
              </w:rPr>
              <w:t>27</w:t>
            </w:r>
            <w:r w:rsidR="00E217EB">
              <w:rPr>
                <w:webHidden/>
              </w:rPr>
              <w:fldChar w:fldCharType="end"/>
            </w:r>
          </w:hyperlink>
        </w:p>
        <w:p w14:paraId="225C6203" w14:textId="77777777" w:rsidR="00E217EB" w:rsidRDefault="00D814D4">
          <w:pPr>
            <w:pStyle w:val="TOC1"/>
            <w:rPr>
              <w:rFonts w:asciiTheme="minorHAnsi" w:eastAsiaTheme="minorEastAsia" w:hAnsiTheme="minorHAnsi" w:cstheme="minorBidi"/>
              <w:b w:val="0"/>
              <w:szCs w:val="22"/>
            </w:rPr>
          </w:pPr>
          <w:hyperlink w:anchor="_Toc469571485" w:history="1">
            <w:r w:rsidR="00E217EB" w:rsidRPr="0062117A">
              <w:rPr>
                <w:rStyle w:val="Hyperlink"/>
              </w:rPr>
              <w:t>Contacts</w:t>
            </w:r>
            <w:r w:rsidR="00E217EB">
              <w:rPr>
                <w:webHidden/>
              </w:rPr>
              <w:tab/>
            </w:r>
            <w:r w:rsidR="00E217EB">
              <w:rPr>
                <w:webHidden/>
              </w:rPr>
              <w:fldChar w:fldCharType="begin"/>
            </w:r>
            <w:r w:rsidR="00E217EB">
              <w:rPr>
                <w:webHidden/>
              </w:rPr>
              <w:instrText xml:space="preserve"> PAGEREF _Toc469571485 \h </w:instrText>
            </w:r>
            <w:r w:rsidR="00E217EB">
              <w:rPr>
                <w:webHidden/>
              </w:rPr>
            </w:r>
            <w:r w:rsidR="00E217EB">
              <w:rPr>
                <w:webHidden/>
              </w:rPr>
              <w:fldChar w:fldCharType="separate"/>
            </w:r>
            <w:r w:rsidR="00B049AA">
              <w:rPr>
                <w:webHidden/>
              </w:rPr>
              <w:t>27</w:t>
            </w:r>
            <w:r w:rsidR="00E217EB">
              <w:rPr>
                <w:webHidden/>
              </w:rPr>
              <w:fldChar w:fldCharType="end"/>
            </w:r>
          </w:hyperlink>
        </w:p>
        <w:p w14:paraId="225C6204" w14:textId="77777777" w:rsidR="00B97FD2" w:rsidRPr="001C5833" w:rsidRDefault="00627FA3" w:rsidP="00BD7E31">
          <w:pPr>
            <w:jc w:val="both"/>
            <w:rPr>
              <w:rFonts w:cs="Arial"/>
            </w:rPr>
          </w:pPr>
          <w:r w:rsidRPr="001A710D">
            <w:rPr>
              <w:rFonts w:ascii="Times New Roman" w:hAnsi="Times New Roman" w:cs="Times New Roman"/>
              <w:sz w:val="22"/>
              <w:szCs w:val="22"/>
            </w:rPr>
            <w:fldChar w:fldCharType="end"/>
          </w:r>
        </w:p>
      </w:sdtContent>
    </w:sdt>
    <w:p w14:paraId="225C6205" w14:textId="77777777" w:rsidR="00B97FD2" w:rsidRPr="00AA551E" w:rsidRDefault="006717CE" w:rsidP="00736DB1">
      <w:pPr>
        <w:pStyle w:val="Heading1"/>
        <w:spacing w:before="0" w:after="0"/>
        <w:jc w:val="both"/>
        <w:rPr>
          <w:rFonts w:ascii="Times New Roman" w:hAnsi="Times New Roman" w:cs="Times New Roman"/>
          <w:szCs w:val="24"/>
        </w:rPr>
      </w:pPr>
      <w:r>
        <w:br w:type="page"/>
      </w:r>
      <w:bookmarkStart w:id="1" w:name="_Toc469571446"/>
      <w:r w:rsidR="00A8338F" w:rsidRPr="00AA551E">
        <w:rPr>
          <w:rFonts w:ascii="Times New Roman" w:hAnsi="Times New Roman" w:cs="Times New Roman"/>
        </w:rPr>
        <w:lastRenderedPageBreak/>
        <w:t>Overview</w:t>
      </w:r>
      <w:bookmarkEnd w:id="1"/>
      <w:r w:rsidR="00BD7E31" w:rsidRPr="00AA551E">
        <w:rPr>
          <w:rFonts w:ascii="Times New Roman" w:hAnsi="Times New Roman" w:cs="Times New Roman"/>
        </w:rPr>
        <w:tab/>
      </w:r>
      <w:r w:rsidR="00BD7E31" w:rsidRPr="00AA551E">
        <w:rPr>
          <w:rFonts w:ascii="Times New Roman" w:hAnsi="Times New Roman" w:cs="Times New Roman"/>
        </w:rPr>
        <w:tab/>
      </w:r>
      <w:r w:rsidR="00BD7E31" w:rsidRPr="00AA551E">
        <w:rPr>
          <w:rFonts w:ascii="Times New Roman" w:hAnsi="Times New Roman" w:cs="Times New Roman"/>
        </w:rPr>
        <w:tab/>
      </w:r>
      <w:r w:rsidR="00BD7E31" w:rsidRPr="00AA551E">
        <w:rPr>
          <w:rFonts w:ascii="Times New Roman" w:hAnsi="Times New Roman" w:cs="Times New Roman"/>
        </w:rPr>
        <w:tab/>
      </w:r>
      <w:r w:rsidR="00BD7E31" w:rsidRPr="00AA551E">
        <w:rPr>
          <w:rFonts w:ascii="Times New Roman" w:hAnsi="Times New Roman" w:cs="Times New Roman"/>
        </w:rPr>
        <w:tab/>
      </w:r>
      <w:r w:rsidR="00BD7E31" w:rsidRPr="00AA551E">
        <w:rPr>
          <w:rFonts w:ascii="Times New Roman" w:hAnsi="Times New Roman" w:cs="Times New Roman"/>
        </w:rPr>
        <w:tab/>
      </w:r>
      <w:r w:rsidR="00BD7E31" w:rsidRPr="00AA551E">
        <w:rPr>
          <w:rFonts w:ascii="Times New Roman" w:hAnsi="Times New Roman" w:cs="Times New Roman"/>
        </w:rPr>
        <w:tab/>
      </w:r>
      <w:r w:rsidR="00BD7E31" w:rsidRPr="00AA551E">
        <w:rPr>
          <w:rFonts w:ascii="Times New Roman" w:hAnsi="Times New Roman" w:cs="Times New Roman"/>
        </w:rPr>
        <w:tab/>
      </w:r>
      <w:r w:rsidR="00BD7E31" w:rsidRPr="00AA551E">
        <w:rPr>
          <w:rFonts w:ascii="Times New Roman" w:hAnsi="Times New Roman" w:cs="Times New Roman"/>
        </w:rPr>
        <w:tab/>
      </w:r>
      <w:r w:rsidR="00A8338F" w:rsidRPr="00AA551E">
        <w:rPr>
          <w:rFonts w:ascii="Times New Roman" w:hAnsi="Times New Roman" w:cs="Times New Roman"/>
          <w:szCs w:val="24"/>
        </w:rPr>
        <w:tab/>
      </w:r>
      <w:r w:rsidR="00A8338F" w:rsidRPr="00AA551E">
        <w:rPr>
          <w:rFonts w:ascii="Times New Roman" w:hAnsi="Times New Roman" w:cs="Times New Roman"/>
          <w:szCs w:val="24"/>
        </w:rPr>
        <w:tab/>
      </w:r>
    </w:p>
    <w:p w14:paraId="225C6206" w14:textId="77777777" w:rsidR="00736DB1" w:rsidRDefault="00736DB1" w:rsidP="00736DB1">
      <w:pPr>
        <w:pStyle w:val="Header"/>
        <w:tabs>
          <w:tab w:val="clear" w:pos="4320"/>
          <w:tab w:val="clear" w:pos="8640"/>
        </w:tabs>
        <w:spacing w:line="480" w:lineRule="auto"/>
        <w:ind w:firstLine="360"/>
        <w:jc w:val="both"/>
        <w:rPr>
          <w:rFonts w:ascii="Times New Roman" w:hAnsi="Times New Roman" w:cs="Times New Roman"/>
          <w:color w:val="000000" w:themeColor="text1"/>
        </w:rPr>
      </w:pPr>
    </w:p>
    <w:p w14:paraId="225C6207" w14:textId="77777777" w:rsidR="00AA551E" w:rsidRPr="00AA551E" w:rsidRDefault="00B97FD2" w:rsidP="0098550F">
      <w:pPr>
        <w:pStyle w:val="Header"/>
        <w:tabs>
          <w:tab w:val="clear" w:pos="4320"/>
          <w:tab w:val="clear" w:pos="8640"/>
        </w:tabs>
        <w:spacing w:line="480" w:lineRule="auto"/>
        <w:ind w:firstLine="720"/>
        <w:jc w:val="both"/>
        <w:rPr>
          <w:rFonts w:ascii="Times New Roman" w:hAnsi="Times New Roman" w:cs="Times New Roman"/>
          <w:color w:val="000000" w:themeColor="text1"/>
        </w:rPr>
      </w:pPr>
      <w:r w:rsidRPr="00AA551E">
        <w:rPr>
          <w:rFonts w:ascii="Times New Roman" w:hAnsi="Times New Roman" w:cs="Times New Roman"/>
          <w:color w:val="000000" w:themeColor="text1"/>
        </w:rPr>
        <w:t xml:space="preserve">Avista Utilities’ Low-Income Rate Assistance Program (LIRAP) approved by the Washington Utilities and Transportation Commission (UTC) in 2001 collects funding through electric and natural gas tariff surcharges on Schedules </w:t>
      </w:r>
      <w:r w:rsidR="000F2EB1" w:rsidRPr="00AA551E">
        <w:rPr>
          <w:rFonts w:ascii="Times New Roman" w:hAnsi="Times New Roman" w:cs="Times New Roman"/>
          <w:color w:val="000000" w:themeColor="text1"/>
        </w:rPr>
        <w:t xml:space="preserve">92 </w:t>
      </w:r>
      <w:r w:rsidRPr="00AA551E">
        <w:rPr>
          <w:rFonts w:ascii="Times New Roman" w:hAnsi="Times New Roman" w:cs="Times New Roman"/>
          <w:color w:val="000000" w:themeColor="text1"/>
        </w:rPr>
        <w:t xml:space="preserve">and </w:t>
      </w:r>
      <w:r w:rsidR="000F2EB1" w:rsidRPr="00AA551E">
        <w:rPr>
          <w:rFonts w:ascii="Times New Roman" w:hAnsi="Times New Roman" w:cs="Times New Roman"/>
          <w:color w:val="000000" w:themeColor="text1"/>
        </w:rPr>
        <w:t>192</w:t>
      </w:r>
      <w:r w:rsidRPr="00AA551E">
        <w:rPr>
          <w:rFonts w:ascii="Times New Roman" w:hAnsi="Times New Roman" w:cs="Times New Roman"/>
          <w:color w:val="000000" w:themeColor="text1"/>
        </w:rPr>
        <w:t>.  These funds are distributed by Community Action Agencies (CAA’s</w:t>
      </w:r>
      <w:r w:rsidR="00D4431A">
        <w:rPr>
          <w:rFonts w:ascii="Times New Roman" w:hAnsi="Times New Roman" w:cs="Times New Roman"/>
          <w:color w:val="000000" w:themeColor="text1"/>
        </w:rPr>
        <w:t xml:space="preserve"> or “agencies”</w:t>
      </w:r>
      <w:r w:rsidRPr="00AA551E">
        <w:rPr>
          <w:rFonts w:ascii="Times New Roman" w:hAnsi="Times New Roman" w:cs="Times New Roman"/>
          <w:color w:val="000000" w:themeColor="text1"/>
        </w:rPr>
        <w:t xml:space="preserve">) in a manner similar to the Federal and State-sponsored Low Income Home Energy Assistance Program (LIHEAP). </w:t>
      </w:r>
      <w:r w:rsidR="00823939" w:rsidRPr="00AA551E">
        <w:rPr>
          <w:rFonts w:ascii="Times New Roman" w:eastAsia="Times New Roman" w:hAnsi="Times New Roman" w:cs="Times New Roman"/>
          <w:color w:val="2D261A"/>
        </w:rPr>
        <w:t>LIRAP, like LIHEAP assistance can help a household avoid having its utilities shut off or help reestablish service after a disruption and can also help pay ongoing heating costs.</w:t>
      </w:r>
      <w:r w:rsidR="00AA551E">
        <w:rPr>
          <w:rFonts w:ascii="Times New Roman" w:eastAsia="Times New Roman" w:hAnsi="Times New Roman" w:cs="Times New Roman"/>
          <w:color w:val="2D261A"/>
        </w:rPr>
        <w:t xml:space="preserve"> </w:t>
      </w:r>
      <w:r w:rsidR="00AA551E" w:rsidRPr="00AA551E">
        <w:rPr>
          <w:rFonts w:ascii="Times New Roman" w:hAnsi="Times New Roman" w:cs="Times New Roman"/>
          <w:color w:val="000000" w:themeColor="text1"/>
        </w:rPr>
        <w:t>The current LIR</w:t>
      </w:r>
      <w:r w:rsidR="00286A46">
        <w:rPr>
          <w:rFonts w:ascii="Times New Roman" w:hAnsi="Times New Roman" w:cs="Times New Roman"/>
          <w:color w:val="000000" w:themeColor="text1"/>
        </w:rPr>
        <w:t>AP program is comprised of four</w:t>
      </w:r>
      <w:r w:rsidR="00AA551E" w:rsidRPr="00AA551E">
        <w:rPr>
          <w:rFonts w:ascii="Times New Roman" w:hAnsi="Times New Roman" w:cs="Times New Roman"/>
          <w:color w:val="000000" w:themeColor="text1"/>
        </w:rPr>
        <w:t xml:space="preserve"> components: </w:t>
      </w:r>
    </w:p>
    <w:p w14:paraId="225C6208" w14:textId="77777777" w:rsidR="00AA551E" w:rsidRPr="00AA551E" w:rsidRDefault="006F16F0" w:rsidP="00D4431A">
      <w:pPr>
        <w:pStyle w:val="ListParagraph"/>
        <w:numPr>
          <w:ilvl w:val="0"/>
          <w:numId w:val="9"/>
        </w:numPr>
        <w:autoSpaceDE/>
        <w:autoSpaceDN/>
        <w:spacing w:after="120" w:line="360" w:lineRule="auto"/>
        <w:ind w:right="360"/>
        <w:jc w:val="both"/>
      </w:pPr>
      <w:r>
        <w:t>LIRAP Heat:</w:t>
      </w:r>
      <w:r w:rsidR="00AA551E" w:rsidRPr="00AA551E">
        <w:t xml:space="preserve"> </w:t>
      </w:r>
      <w:r w:rsidR="00AA551E" w:rsidRPr="00AA551E">
        <w:rPr>
          <w:color w:val="000000" w:themeColor="text1"/>
        </w:rPr>
        <w:t>mimics the LIHEAP program in terms of income eligibility, intake requirements, and benefit calculation.</w:t>
      </w:r>
    </w:p>
    <w:p w14:paraId="225C6209" w14:textId="77777777" w:rsidR="00AA551E" w:rsidRPr="00AA551E" w:rsidRDefault="00AA551E" w:rsidP="00D4431A">
      <w:pPr>
        <w:pStyle w:val="ListParagraph"/>
        <w:numPr>
          <w:ilvl w:val="0"/>
          <w:numId w:val="9"/>
        </w:numPr>
        <w:autoSpaceDE/>
        <w:autoSpaceDN/>
        <w:spacing w:after="120" w:line="360" w:lineRule="auto"/>
        <w:ind w:right="360"/>
        <w:jc w:val="both"/>
      </w:pPr>
      <w:r w:rsidRPr="00AA551E">
        <w:t>LIRAP Emergency</w:t>
      </w:r>
      <w:r w:rsidR="007E6FE3">
        <w:t xml:space="preserve"> </w:t>
      </w:r>
      <w:r w:rsidR="007E6FE3" w:rsidRPr="00AA551E">
        <w:t>Share</w:t>
      </w:r>
      <w:r w:rsidR="006F16F0">
        <w:t>:</w:t>
      </w:r>
      <w:r w:rsidRPr="00AA551E">
        <w:t xml:space="preserve"> </w:t>
      </w:r>
      <w:r w:rsidRPr="00AA551E">
        <w:rPr>
          <w:color w:val="000000" w:themeColor="text1"/>
        </w:rPr>
        <w:t>LIRAP Emergency</w:t>
      </w:r>
      <w:r w:rsidR="007E6FE3">
        <w:rPr>
          <w:color w:val="000000" w:themeColor="text1"/>
        </w:rPr>
        <w:t xml:space="preserve"> </w:t>
      </w:r>
      <w:r w:rsidR="007E6FE3" w:rsidRPr="00AA551E">
        <w:rPr>
          <w:color w:val="000000" w:themeColor="text1"/>
        </w:rPr>
        <w:t>Share</w:t>
      </w:r>
      <w:r w:rsidRPr="00AA551E">
        <w:rPr>
          <w:color w:val="000000" w:themeColor="text1"/>
        </w:rPr>
        <w:t xml:space="preserve"> emulates the Project Share program </w:t>
      </w:r>
      <w:r w:rsidR="007E6FE3">
        <w:rPr>
          <w:color w:val="000000" w:themeColor="text1"/>
        </w:rPr>
        <w:t xml:space="preserve">that is </w:t>
      </w:r>
      <w:r w:rsidRPr="00AA551E">
        <w:rPr>
          <w:color w:val="000000" w:themeColor="text1"/>
        </w:rPr>
        <w:t xml:space="preserve">funded through voluntary </w:t>
      </w:r>
      <w:r w:rsidR="007E6FE3">
        <w:rPr>
          <w:color w:val="000000" w:themeColor="text1"/>
        </w:rPr>
        <w:t>donations</w:t>
      </w:r>
      <w:r w:rsidR="007E6FE3" w:rsidRPr="00AA551E">
        <w:rPr>
          <w:color w:val="000000" w:themeColor="text1"/>
        </w:rPr>
        <w:t xml:space="preserve"> </w:t>
      </w:r>
      <w:r w:rsidRPr="00AA551E">
        <w:rPr>
          <w:color w:val="000000" w:themeColor="text1"/>
        </w:rPr>
        <w:t xml:space="preserve">that are used to help customers in emergency situations.  </w:t>
      </w:r>
    </w:p>
    <w:p w14:paraId="225C620A" w14:textId="77777777" w:rsidR="00B97FD2" w:rsidRPr="00286A46" w:rsidRDefault="006F16F0" w:rsidP="00D4431A">
      <w:pPr>
        <w:pStyle w:val="ListParagraph"/>
        <w:numPr>
          <w:ilvl w:val="0"/>
          <w:numId w:val="9"/>
        </w:numPr>
        <w:autoSpaceDE/>
        <w:autoSpaceDN/>
        <w:spacing w:after="120" w:line="360" w:lineRule="auto"/>
        <w:ind w:right="360"/>
        <w:jc w:val="both"/>
      </w:pPr>
      <w:r>
        <w:t xml:space="preserve">LIRAP Senior Energy Outreach: </w:t>
      </w:r>
      <w:r w:rsidR="00AA551E" w:rsidRPr="00AA551E">
        <w:rPr>
          <w:color w:val="000000" w:themeColor="text1"/>
        </w:rPr>
        <w:t>targets a third distinct customer group by providing a one-time per program year benefit of $100 or $300 to seniors with incomes up to 200 percent of the federal poverty level (“FPL”).</w:t>
      </w:r>
    </w:p>
    <w:p w14:paraId="225C620B" w14:textId="77777777" w:rsidR="00286A46" w:rsidRPr="00AA551E" w:rsidRDefault="00286A46" w:rsidP="00D4431A">
      <w:pPr>
        <w:pStyle w:val="ListParagraph"/>
        <w:numPr>
          <w:ilvl w:val="0"/>
          <w:numId w:val="9"/>
        </w:numPr>
        <w:autoSpaceDE/>
        <w:autoSpaceDN/>
        <w:spacing w:after="120" w:line="360" w:lineRule="auto"/>
        <w:ind w:right="360"/>
        <w:jc w:val="both"/>
      </w:pPr>
      <w:r>
        <w:t>Senior/Disabled Rate Discount Pilot</w:t>
      </w:r>
      <w:r w:rsidR="006F16F0">
        <w:t>:</w:t>
      </w:r>
      <w:r>
        <w:t xml:space="preserve"> A rate discount program for senior and disabled households with fixed incomes between 126-200 percent FPL.</w:t>
      </w:r>
    </w:p>
    <w:p w14:paraId="225C620C" w14:textId="77777777" w:rsidR="00AA551E" w:rsidRDefault="00AA551E" w:rsidP="00D4431A">
      <w:pPr>
        <w:spacing w:line="480" w:lineRule="auto"/>
        <w:jc w:val="both"/>
        <w:rPr>
          <w:rFonts w:ascii="Times New Roman" w:hAnsi="Times New Roman" w:cs="Times New Roman"/>
        </w:rPr>
      </w:pPr>
    </w:p>
    <w:p w14:paraId="225C620D" w14:textId="77777777" w:rsidR="00823939" w:rsidRPr="00AA551E" w:rsidRDefault="00523C32" w:rsidP="00BD7E31">
      <w:pPr>
        <w:spacing w:line="480" w:lineRule="auto"/>
        <w:ind w:firstLine="720"/>
        <w:jc w:val="both"/>
        <w:rPr>
          <w:rFonts w:ascii="Times New Roman" w:hAnsi="Times New Roman" w:cs="Times New Roman"/>
        </w:rPr>
      </w:pPr>
      <w:r w:rsidRPr="00AA551E">
        <w:rPr>
          <w:rFonts w:ascii="Times New Roman" w:hAnsi="Times New Roman" w:cs="Times New Roman"/>
        </w:rPr>
        <w:t>Avista is committed to reducing the burden of energy costs for our customers most affected by rising energy prices, including low income individuals and families, seniors, disabled and vulnerable customers.  To assist our customers in their ability to pay, the Company focuses on actions and programs in four primary areas:</w:t>
      </w:r>
    </w:p>
    <w:p w14:paraId="225C620E" w14:textId="77777777" w:rsidR="00F43166" w:rsidRPr="003B291E" w:rsidRDefault="00523C32" w:rsidP="0099149C">
      <w:pPr>
        <w:pStyle w:val="ListParagraph"/>
        <w:numPr>
          <w:ilvl w:val="0"/>
          <w:numId w:val="10"/>
        </w:numPr>
        <w:spacing w:line="360" w:lineRule="auto"/>
        <w:jc w:val="both"/>
      </w:pPr>
      <w:r w:rsidRPr="003B291E">
        <w:lastRenderedPageBreak/>
        <w:t xml:space="preserve">advocacy for and support of programs providing direct financial assistance; </w:t>
      </w:r>
    </w:p>
    <w:p w14:paraId="225C620F" w14:textId="77777777" w:rsidR="00F43166" w:rsidRPr="003B291E" w:rsidRDefault="00523C32" w:rsidP="0099149C">
      <w:pPr>
        <w:pStyle w:val="ListParagraph"/>
        <w:numPr>
          <w:ilvl w:val="0"/>
          <w:numId w:val="10"/>
        </w:numPr>
        <w:spacing w:line="360" w:lineRule="auto"/>
        <w:jc w:val="both"/>
      </w:pPr>
      <w:r w:rsidRPr="003B291E">
        <w:t xml:space="preserve">low income and senior outreach programs; </w:t>
      </w:r>
    </w:p>
    <w:p w14:paraId="225C6210" w14:textId="77777777" w:rsidR="00F43166" w:rsidRPr="003B291E" w:rsidRDefault="00523C32" w:rsidP="0099149C">
      <w:pPr>
        <w:pStyle w:val="ListParagraph"/>
        <w:numPr>
          <w:ilvl w:val="0"/>
          <w:numId w:val="10"/>
        </w:numPr>
        <w:spacing w:line="360" w:lineRule="auto"/>
        <w:jc w:val="both"/>
      </w:pPr>
      <w:r w:rsidRPr="003B291E">
        <w:t xml:space="preserve">energy efficiency and energy conservation education; and </w:t>
      </w:r>
    </w:p>
    <w:p w14:paraId="225C6211" w14:textId="77777777" w:rsidR="009E228B" w:rsidRPr="003B291E" w:rsidRDefault="00523C32" w:rsidP="0099149C">
      <w:pPr>
        <w:pStyle w:val="ListParagraph"/>
        <w:numPr>
          <w:ilvl w:val="0"/>
          <w:numId w:val="10"/>
        </w:numPr>
        <w:spacing w:line="360" w:lineRule="auto"/>
        <w:jc w:val="both"/>
      </w:pPr>
      <w:r w:rsidRPr="003B291E">
        <w:t>support of community programs that increase customers</w:t>
      </w:r>
      <w:r w:rsidR="003B291E" w:rsidRPr="003B291E">
        <w:t xml:space="preserve">’ ability to pay basic costs of </w:t>
      </w:r>
      <w:r w:rsidRPr="003B291E">
        <w:t>living.</w:t>
      </w:r>
    </w:p>
    <w:p w14:paraId="225C6212" w14:textId="77777777" w:rsidR="00B97FD2" w:rsidRPr="00AA551E" w:rsidRDefault="00A8338F" w:rsidP="00BD7E31">
      <w:pPr>
        <w:pStyle w:val="Heading1"/>
        <w:jc w:val="both"/>
        <w:rPr>
          <w:rFonts w:ascii="Times New Roman" w:hAnsi="Times New Roman" w:cs="Times New Roman"/>
        </w:rPr>
      </w:pPr>
      <w:bookmarkStart w:id="2" w:name="_Toc469571447"/>
      <w:r w:rsidRPr="00AA551E">
        <w:rPr>
          <w:rFonts w:ascii="Times New Roman" w:hAnsi="Times New Roman" w:cs="Times New Roman"/>
        </w:rPr>
        <w:t>Program Year Results</w:t>
      </w:r>
      <w:bookmarkEnd w:id="2"/>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p>
    <w:p w14:paraId="225C6213" w14:textId="77777777" w:rsidR="00B97FD2" w:rsidRPr="00EF01F2" w:rsidRDefault="00B97FD2" w:rsidP="00BD7E31">
      <w:pPr>
        <w:spacing w:line="480" w:lineRule="auto"/>
        <w:ind w:firstLine="720"/>
        <w:jc w:val="both"/>
        <w:rPr>
          <w:rFonts w:ascii="Times New Roman" w:hAnsi="Times New Roman" w:cs="Times New Roman"/>
          <w:snapToGrid w:val="0"/>
          <w:highlight w:val="yellow"/>
        </w:rPr>
      </w:pPr>
      <w:r w:rsidRPr="00AA551E">
        <w:rPr>
          <w:rFonts w:ascii="Times New Roman" w:hAnsi="Times New Roman" w:cs="Times New Roman"/>
        </w:rPr>
        <w:t>Approximately $</w:t>
      </w:r>
      <w:r w:rsidR="001F222E" w:rsidRPr="00AA551E">
        <w:rPr>
          <w:rFonts w:ascii="Times New Roman" w:hAnsi="Times New Roman" w:cs="Times New Roman"/>
        </w:rPr>
        <w:t>4,</w:t>
      </w:r>
      <w:r w:rsidR="00EF01F2">
        <w:rPr>
          <w:rFonts w:ascii="Times New Roman" w:hAnsi="Times New Roman" w:cs="Times New Roman"/>
        </w:rPr>
        <w:t>468,665</w:t>
      </w:r>
      <w:r w:rsidR="001F222E" w:rsidRPr="00AA551E">
        <w:rPr>
          <w:rFonts w:ascii="Times New Roman" w:hAnsi="Times New Roman" w:cs="Times New Roman"/>
        </w:rPr>
        <w:t xml:space="preserve"> o</w:t>
      </w:r>
      <w:r w:rsidRPr="00AA551E">
        <w:rPr>
          <w:rFonts w:ascii="Times New Roman" w:hAnsi="Times New Roman" w:cs="Times New Roman"/>
        </w:rPr>
        <w:t>f electric revenue was collected during the program year and $</w:t>
      </w:r>
      <w:r w:rsidR="00EF01F2">
        <w:rPr>
          <w:rFonts w:ascii="Times New Roman" w:hAnsi="Times New Roman" w:cs="Times New Roman"/>
        </w:rPr>
        <w:t>2,253,622</w:t>
      </w:r>
      <w:r w:rsidR="001F222E" w:rsidRPr="00AA551E">
        <w:rPr>
          <w:rFonts w:ascii="Times New Roman" w:hAnsi="Times New Roman" w:cs="Times New Roman"/>
        </w:rPr>
        <w:t xml:space="preserve"> of </w:t>
      </w:r>
      <w:r w:rsidRPr="00AA551E">
        <w:rPr>
          <w:rFonts w:ascii="Times New Roman" w:hAnsi="Times New Roman" w:cs="Times New Roman"/>
        </w:rPr>
        <w:t>natural gas revenue was collected for a total of $</w:t>
      </w:r>
      <w:r w:rsidR="00EF01F2">
        <w:rPr>
          <w:rFonts w:ascii="Times New Roman" w:hAnsi="Times New Roman" w:cs="Times New Roman"/>
        </w:rPr>
        <w:t>6,722,288</w:t>
      </w:r>
      <w:r w:rsidR="00EF01F2">
        <w:rPr>
          <w:rStyle w:val="FootnoteReference"/>
          <w:rFonts w:ascii="Times New Roman" w:hAnsi="Times New Roman" w:cs="Times New Roman"/>
        </w:rPr>
        <w:footnoteReference w:id="1"/>
      </w:r>
      <w:r w:rsidRPr="00AA551E">
        <w:rPr>
          <w:rFonts w:ascii="Times New Roman" w:hAnsi="Times New Roman" w:cs="Times New Roman"/>
          <w:snapToGrid w:val="0"/>
        </w:rPr>
        <w:t xml:space="preserve">. </w:t>
      </w:r>
      <w:r w:rsidRPr="00AA551E">
        <w:rPr>
          <w:rFonts w:ascii="Times New Roman" w:hAnsi="Times New Roman" w:cs="Times New Roman"/>
        </w:rPr>
        <w:t xml:space="preserve">For this program </w:t>
      </w:r>
      <w:r w:rsidRPr="00AC0EF4">
        <w:rPr>
          <w:rFonts w:ascii="Times New Roman" w:hAnsi="Times New Roman" w:cs="Times New Roman"/>
        </w:rPr>
        <w:t xml:space="preserve">year, </w:t>
      </w:r>
      <w:r w:rsidR="00AC0EF4" w:rsidRPr="00AC0EF4">
        <w:rPr>
          <w:rFonts w:ascii="Times New Roman" w:hAnsi="Times New Roman" w:cs="Times New Roman"/>
        </w:rPr>
        <w:t>14,811</w:t>
      </w:r>
      <w:r w:rsidR="002E7B04" w:rsidRPr="00AC0EF4">
        <w:rPr>
          <w:rFonts w:ascii="Times New Roman" w:hAnsi="Times New Roman" w:cs="Times New Roman"/>
        </w:rPr>
        <w:t xml:space="preserve"> electric and natural gas customers in the Company’s Washington service territory received </w:t>
      </w:r>
      <w:r w:rsidR="002E7B04" w:rsidRPr="00AC0EF4">
        <w:rPr>
          <w:rFonts w:ascii="Times New Roman" w:hAnsi="Times New Roman" w:cs="Times New Roman"/>
          <w:u w:val="single"/>
        </w:rPr>
        <w:t>total</w:t>
      </w:r>
      <w:r w:rsidR="002E7B04" w:rsidRPr="00AC0EF4">
        <w:rPr>
          <w:rFonts w:ascii="Times New Roman" w:hAnsi="Times New Roman" w:cs="Times New Roman"/>
        </w:rPr>
        <w:t xml:space="preserve"> energy grants averaging $3</w:t>
      </w:r>
      <w:r w:rsidR="00AC0EF4" w:rsidRPr="00AC0EF4">
        <w:rPr>
          <w:rFonts w:ascii="Times New Roman" w:hAnsi="Times New Roman" w:cs="Times New Roman"/>
        </w:rPr>
        <w:t>46</w:t>
      </w:r>
      <w:r w:rsidR="002E7B04" w:rsidRPr="00AC0EF4">
        <w:rPr>
          <w:rFonts w:ascii="Times New Roman" w:hAnsi="Times New Roman" w:cs="Times New Roman"/>
        </w:rPr>
        <w:t xml:space="preserve"> and </w:t>
      </w:r>
      <w:r w:rsidRPr="00AC0EF4">
        <w:rPr>
          <w:rFonts w:ascii="Times New Roman" w:hAnsi="Times New Roman" w:cs="Times New Roman"/>
        </w:rPr>
        <w:t xml:space="preserve">the average LIRAP </w:t>
      </w:r>
      <w:r w:rsidRPr="00AC0EF4">
        <w:rPr>
          <w:rFonts w:ascii="Times New Roman" w:hAnsi="Times New Roman" w:cs="Times New Roman"/>
          <w:u w:val="single"/>
        </w:rPr>
        <w:t>heat</w:t>
      </w:r>
      <w:r w:rsidR="002244C8" w:rsidRPr="00AC0EF4">
        <w:rPr>
          <w:rFonts w:ascii="Times New Roman" w:hAnsi="Times New Roman" w:cs="Times New Roman"/>
        </w:rPr>
        <w:t xml:space="preserve"> grant </w:t>
      </w:r>
      <w:r w:rsidRPr="00AC0EF4">
        <w:rPr>
          <w:rFonts w:ascii="Times New Roman" w:hAnsi="Times New Roman" w:cs="Times New Roman"/>
        </w:rPr>
        <w:t>averaged $</w:t>
      </w:r>
      <w:r w:rsidR="00AC0EF4" w:rsidRPr="00AC0EF4">
        <w:rPr>
          <w:rFonts w:ascii="Times New Roman" w:hAnsi="Times New Roman" w:cs="Times New Roman"/>
        </w:rPr>
        <w:t>446</w:t>
      </w:r>
      <w:r w:rsidRPr="00AC0EF4">
        <w:rPr>
          <w:rFonts w:ascii="Times New Roman" w:hAnsi="Times New Roman" w:cs="Times New Roman"/>
        </w:rPr>
        <w:t xml:space="preserve">. </w:t>
      </w:r>
    </w:p>
    <w:p w14:paraId="225C6214" w14:textId="77777777" w:rsidR="00275CAD" w:rsidRPr="00AA551E" w:rsidRDefault="00A8338F" w:rsidP="00275CAD">
      <w:pPr>
        <w:pStyle w:val="BodyText"/>
        <w:tabs>
          <w:tab w:val="left" w:pos="720"/>
        </w:tabs>
        <w:spacing w:line="480" w:lineRule="auto"/>
        <w:jc w:val="both"/>
        <w:rPr>
          <w:rFonts w:ascii="Times New Roman" w:hAnsi="Times New Roman"/>
          <w:snapToGrid w:val="0"/>
        </w:rPr>
      </w:pPr>
      <w:r w:rsidRPr="00D35FE7">
        <w:rPr>
          <w:rFonts w:ascii="Times New Roman" w:hAnsi="Times New Roman"/>
          <w:szCs w:val="24"/>
        </w:rPr>
        <w:tab/>
        <w:t>In this program year, 6</w:t>
      </w:r>
      <w:r w:rsidR="00D35FE7" w:rsidRPr="00D35FE7">
        <w:rPr>
          <w:rFonts w:ascii="Times New Roman" w:hAnsi="Times New Roman"/>
          <w:szCs w:val="24"/>
        </w:rPr>
        <w:t>0</w:t>
      </w:r>
      <w:r w:rsidRPr="00D35FE7">
        <w:rPr>
          <w:rFonts w:ascii="Times New Roman" w:hAnsi="Times New Roman"/>
          <w:szCs w:val="24"/>
        </w:rPr>
        <w:t xml:space="preserve">% of LIRAP participants had household average incomes less than $15,000.   Approximately </w:t>
      </w:r>
      <w:r w:rsidR="00D35FE7" w:rsidRPr="00D35FE7">
        <w:rPr>
          <w:rFonts w:ascii="Times New Roman" w:hAnsi="Times New Roman"/>
          <w:szCs w:val="24"/>
        </w:rPr>
        <w:t>37</w:t>
      </w:r>
      <w:r w:rsidRPr="00D35FE7">
        <w:rPr>
          <w:rFonts w:ascii="Times New Roman" w:hAnsi="Times New Roman"/>
          <w:szCs w:val="24"/>
        </w:rPr>
        <w:t xml:space="preserve">% of the grant recipients had annual household incomes less than $8,000.  Over </w:t>
      </w:r>
      <w:r w:rsidR="009D6A88" w:rsidRPr="00D35FE7">
        <w:rPr>
          <w:rFonts w:ascii="Times New Roman" w:hAnsi="Times New Roman"/>
          <w:szCs w:val="24"/>
        </w:rPr>
        <w:t>6</w:t>
      </w:r>
      <w:r w:rsidR="00D35FE7" w:rsidRPr="00D35FE7">
        <w:rPr>
          <w:rFonts w:ascii="Times New Roman" w:hAnsi="Times New Roman"/>
          <w:szCs w:val="24"/>
        </w:rPr>
        <w:t>3</w:t>
      </w:r>
      <w:r w:rsidRPr="00D35FE7">
        <w:rPr>
          <w:rFonts w:ascii="Times New Roman" w:hAnsi="Times New Roman"/>
          <w:szCs w:val="24"/>
        </w:rPr>
        <w:t xml:space="preserve">% of the LIRAP participants had households of two or more people.  Customers renting their residences constituted </w:t>
      </w:r>
      <w:r w:rsidR="009D6A88" w:rsidRPr="00D35FE7">
        <w:rPr>
          <w:rFonts w:ascii="Times New Roman" w:hAnsi="Times New Roman"/>
          <w:szCs w:val="24"/>
        </w:rPr>
        <w:t>7</w:t>
      </w:r>
      <w:r w:rsidR="001F222E" w:rsidRPr="00D35FE7">
        <w:rPr>
          <w:rFonts w:ascii="Times New Roman" w:hAnsi="Times New Roman"/>
          <w:szCs w:val="24"/>
        </w:rPr>
        <w:t>3</w:t>
      </w:r>
      <w:r w:rsidRPr="00D35FE7">
        <w:rPr>
          <w:rFonts w:ascii="Times New Roman" w:hAnsi="Times New Roman"/>
          <w:szCs w:val="24"/>
        </w:rPr>
        <w:t>% of the total.</w:t>
      </w:r>
    </w:p>
    <w:p w14:paraId="225C6215" w14:textId="77777777" w:rsidR="00B97FD2" w:rsidRPr="00AA551E" w:rsidRDefault="00B97FD2" w:rsidP="00A619D9">
      <w:pPr>
        <w:spacing w:line="480" w:lineRule="auto"/>
        <w:ind w:firstLine="720"/>
        <w:jc w:val="both"/>
        <w:rPr>
          <w:rFonts w:ascii="Times New Roman" w:hAnsi="Times New Roman" w:cs="Times New Roman"/>
          <w:color w:val="000000" w:themeColor="text1"/>
        </w:rPr>
      </w:pPr>
      <w:r w:rsidRPr="00AA551E">
        <w:rPr>
          <w:rFonts w:ascii="Times New Roman" w:hAnsi="Times New Roman" w:cs="Times New Roman"/>
          <w:snapToGrid w:val="0"/>
          <w:color w:val="000000" w:themeColor="text1"/>
        </w:rPr>
        <w:t xml:space="preserve">The following Table reflects </w:t>
      </w:r>
      <w:r w:rsidRPr="00AA551E">
        <w:rPr>
          <w:rFonts w:ascii="Times New Roman" w:hAnsi="Times New Roman" w:cs="Times New Roman"/>
          <w:color w:val="000000" w:themeColor="text1"/>
        </w:rPr>
        <w:t>the total amount disbursed since the inception of the Washington LIRAP program, these numbers include amounts for Direct Services, Administration, and Conservation Education:</w:t>
      </w:r>
    </w:p>
    <w:p w14:paraId="225C6216" w14:textId="77777777" w:rsidR="001448F0" w:rsidRDefault="001448F0" w:rsidP="00BD7E31">
      <w:pPr>
        <w:pStyle w:val="Heading2"/>
        <w:jc w:val="both"/>
        <w:rPr>
          <w:rFonts w:ascii="Times New Roman" w:hAnsi="Times New Roman" w:cs="Times New Roman"/>
        </w:rPr>
      </w:pPr>
    </w:p>
    <w:p w14:paraId="225C6217" w14:textId="77777777" w:rsidR="001448F0" w:rsidRDefault="001448F0" w:rsidP="001448F0"/>
    <w:p w14:paraId="225C6218" w14:textId="77777777" w:rsidR="001448F0" w:rsidRDefault="001448F0" w:rsidP="001448F0"/>
    <w:p w14:paraId="225C6219" w14:textId="77777777" w:rsidR="001448F0" w:rsidRDefault="001448F0" w:rsidP="001448F0"/>
    <w:p w14:paraId="225C621A" w14:textId="77777777" w:rsidR="001448F0" w:rsidRPr="001448F0" w:rsidRDefault="001448F0" w:rsidP="001448F0"/>
    <w:p w14:paraId="225C621B" w14:textId="77777777" w:rsidR="00B97FD2" w:rsidRPr="00AA551E" w:rsidRDefault="00A8338F" w:rsidP="00BD7E31">
      <w:pPr>
        <w:pStyle w:val="Heading2"/>
        <w:jc w:val="both"/>
        <w:rPr>
          <w:rFonts w:ascii="Times New Roman" w:hAnsi="Times New Roman" w:cs="Times New Roman"/>
        </w:rPr>
      </w:pPr>
      <w:bookmarkStart w:id="3" w:name="_Toc469571448"/>
      <w:r w:rsidRPr="00AA551E">
        <w:rPr>
          <w:rFonts w:ascii="Times New Roman" w:hAnsi="Times New Roman" w:cs="Times New Roman"/>
        </w:rPr>
        <w:lastRenderedPageBreak/>
        <w:t>Table 1 – Yearly Revenues and Disbursements</w:t>
      </w:r>
      <w:bookmarkEnd w:id="3"/>
      <w:r w:rsidRPr="00AA551E">
        <w:rPr>
          <w:rFonts w:ascii="Times New Roman" w:hAnsi="Times New Roman" w:cs="Times New Roman"/>
        </w:rPr>
        <w:t xml:space="preserve"> </w:t>
      </w:r>
    </w:p>
    <w:p w14:paraId="225C621C" w14:textId="77777777" w:rsidR="00234A80" w:rsidRPr="00234A80" w:rsidRDefault="00234A80" w:rsidP="00234A80"/>
    <w:p w14:paraId="225C621D" w14:textId="77777777" w:rsidR="00275CAD" w:rsidRDefault="006D3A69" w:rsidP="00275CAD">
      <w:pPr>
        <w:jc w:val="both"/>
        <w:rPr>
          <w:rFonts w:cs="Arial"/>
          <w:b/>
          <w:snapToGrid w:val="0"/>
          <w:color w:val="FF0000"/>
        </w:rPr>
      </w:pPr>
      <w:r w:rsidRPr="006D3A69">
        <w:rPr>
          <w:noProof/>
        </w:rPr>
        <w:drawing>
          <wp:inline distT="0" distB="0" distL="0" distR="0" wp14:anchorId="225C638C" wp14:editId="225C638D">
            <wp:extent cx="5943600" cy="40331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33178"/>
                    </a:xfrm>
                    <a:prstGeom prst="rect">
                      <a:avLst/>
                    </a:prstGeom>
                    <a:noFill/>
                    <a:ln>
                      <a:noFill/>
                    </a:ln>
                  </pic:spPr>
                </pic:pic>
              </a:graphicData>
            </a:graphic>
          </wp:inline>
        </w:drawing>
      </w:r>
    </w:p>
    <w:p w14:paraId="225C621E" w14:textId="77777777" w:rsidR="00B97FD2" w:rsidRPr="00AA551E" w:rsidRDefault="001448F0" w:rsidP="00A619D9">
      <w:pPr>
        <w:pStyle w:val="Heading2"/>
        <w:jc w:val="both"/>
        <w:rPr>
          <w:rFonts w:ascii="Times New Roman" w:hAnsi="Times New Roman" w:cs="Times New Roman"/>
        </w:rPr>
      </w:pPr>
      <w:r>
        <w:rPr>
          <w:rFonts w:ascii="Times New Roman" w:hAnsi="Times New Roman" w:cs="Times New Roman"/>
        </w:rPr>
        <w:br/>
      </w:r>
      <w:bookmarkStart w:id="4" w:name="_Toc469571449"/>
      <w:r w:rsidR="00A8338F" w:rsidRPr="00AA551E">
        <w:rPr>
          <w:rFonts w:ascii="Times New Roman" w:hAnsi="Times New Roman" w:cs="Times New Roman"/>
        </w:rPr>
        <w:t>Participants and Fund Distribution</w:t>
      </w:r>
      <w:bookmarkEnd w:id="4"/>
      <w:r w:rsidR="00A8338F" w:rsidRPr="00AA551E">
        <w:rPr>
          <w:rFonts w:ascii="Times New Roman" w:hAnsi="Times New Roman" w:cs="Times New Roman"/>
        </w:rPr>
        <w:t xml:space="preserve"> </w:t>
      </w:r>
    </w:p>
    <w:p w14:paraId="225C621F" w14:textId="77777777" w:rsidR="00A619D9" w:rsidRPr="00AA551E" w:rsidRDefault="00A8338F" w:rsidP="00A619D9">
      <w:pPr>
        <w:pStyle w:val="BodyText"/>
        <w:spacing w:line="480" w:lineRule="auto"/>
        <w:ind w:firstLine="720"/>
        <w:jc w:val="both"/>
        <w:rPr>
          <w:rFonts w:ascii="Times New Roman" w:hAnsi="Times New Roman"/>
          <w:szCs w:val="24"/>
        </w:rPr>
      </w:pPr>
      <w:r w:rsidRPr="00AA551E">
        <w:rPr>
          <w:rFonts w:ascii="Times New Roman" w:hAnsi="Times New Roman"/>
          <w:szCs w:val="24"/>
        </w:rPr>
        <w:t xml:space="preserve">Participants may have received a total of two grants from LIHEAP, LIRAP and LIRAP </w:t>
      </w:r>
      <w:r w:rsidR="00B636C6">
        <w:rPr>
          <w:rFonts w:ascii="Times New Roman" w:hAnsi="Times New Roman"/>
          <w:szCs w:val="24"/>
        </w:rPr>
        <w:t>Emergency</w:t>
      </w:r>
      <w:r w:rsidRPr="00AA551E">
        <w:rPr>
          <w:rFonts w:ascii="Times New Roman" w:hAnsi="Times New Roman"/>
          <w:szCs w:val="24"/>
        </w:rPr>
        <w:t xml:space="preserve"> Share at different times during the program year.  The CAA’s are able to serve repeat participants according to the LIHEAP/LIRAP guidelines, specifically using income qualifications and by demonstrated need.</w:t>
      </w:r>
    </w:p>
    <w:p w14:paraId="225C6220" w14:textId="77777777" w:rsidR="001448F0" w:rsidRDefault="003B291E" w:rsidP="00234A80">
      <w:pPr>
        <w:pStyle w:val="BodyText"/>
        <w:jc w:val="both"/>
        <w:rPr>
          <w:rStyle w:val="Heading2Char"/>
          <w:rFonts w:ascii="Times New Roman" w:hAnsi="Times New Roman" w:cs="Times New Roman"/>
        </w:rPr>
      </w:pPr>
      <w:r>
        <w:rPr>
          <w:rStyle w:val="Heading2Char"/>
          <w:rFonts w:ascii="Times New Roman" w:hAnsi="Times New Roman" w:cs="Times New Roman"/>
        </w:rPr>
        <w:br/>
      </w:r>
    </w:p>
    <w:p w14:paraId="225C6221" w14:textId="77777777" w:rsidR="001448F0" w:rsidRDefault="001448F0" w:rsidP="00234A80">
      <w:pPr>
        <w:pStyle w:val="BodyText"/>
        <w:jc w:val="both"/>
        <w:rPr>
          <w:rStyle w:val="Heading2Char"/>
          <w:rFonts w:ascii="Times New Roman" w:hAnsi="Times New Roman" w:cs="Times New Roman"/>
        </w:rPr>
      </w:pPr>
    </w:p>
    <w:p w14:paraId="225C6222" w14:textId="77777777" w:rsidR="001448F0" w:rsidRDefault="001448F0" w:rsidP="00234A80">
      <w:pPr>
        <w:pStyle w:val="BodyText"/>
        <w:jc w:val="both"/>
        <w:rPr>
          <w:rStyle w:val="Heading2Char"/>
          <w:rFonts w:ascii="Times New Roman" w:hAnsi="Times New Roman" w:cs="Times New Roman"/>
        </w:rPr>
      </w:pPr>
    </w:p>
    <w:p w14:paraId="225C6223" w14:textId="77777777" w:rsidR="001448F0" w:rsidRDefault="001448F0" w:rsidP="00234A80">
      <w:pPr>
        <w:pStyle w:val="BodyText"/>
        <w:jc w:val="both"/>
        <w:rPr>
          <w:rStyle w:val="Heading2Char"/>
          <w:rFonts w:ascii="Times New Roman" w:hAnsi="Times New Roman" w:cs="Times New Roman"/>
        </w:rPr>
      </w:pPr>
    </w:p>
    <w:p w14:paraId="225C6224" w14:textId="77777777" w:rsidR="001448F0" w:rsidRDefault="001448F0" w:rsidP="00234A80">
      <w:pPr>
        <w:pStyle w:val="BodyText"/>
        <w:jc w:val="both"/>
        <w:rPr>
          <w:rStyle w:val="Heading2Char"/>
          <w:rFonts w:ascii="Times New Roman" w:hAnsi="Times New Roman" w:cs="Times New Roman"/>
        </w:rPr>
      </w:pPr>
    </w:p>
    <w:p w14:paraId="225C6225" w14:textId="77777777" w:rsidR="00B97FD2" w:rsidRPr="00AA551E" w:rsidRDefault="00A8338F" w:rsidP="00234A80">
      <w:pPr>
        <w:pStyle w:val="BodyText"/>
        <w:jc w:val="both"/>
        <w:rPr>
          <w:rStyle w:val="Heading2Char"/>
          <w:rFonts w:ascii="Times New Roman" w:hAnsi="Times New Roman" w:cs="Times New Roman"/>
        </w:rPr>
      </w:pPr>
      <w:bookmarkStart w:id="5" w:name="_Toc469571450"/>
      <w:r w:rsidRPr="00445BE3">
        <w:rPr>
          <w:rStyle w:val="Heading2Char"/>
          <w:rFonts w:ascii="Times New Roman" w:hAnsi="Times New Roman" w:cs="Times New Roman"/>
        </w:rPr>
        <w:lastRenderedPageBreak/>
        <w:t>Table 2 - Number and Amount of Grants by Component</w:t>
      </w:r>
      <w:bookmarkEnd w:id="5"/>
    </w:p>
    <w:p w14:paraId="225C6226" w14:textId="77777777" w:rsidR="00234A80" w:rsidRPr="00A619D9" w:rsidRDefault="00234A80" w:rsidP="00234A80">
      <w:pPr>
        <w:pStyle w:val="BodyText"/>
        <w:jc w:val="both"/>
        <w:rPr>
          <w:rFonts w:ascii="Arial" w:hAnsi="Arial" w:cs="Arial"/>
          <w:szCs w:val="24"/>
        </w:rPr>
      </w:pPr>
    </w:p>
    <w:p w14:paraId="225C6227" w14:textId="77777777" w:rsidR="00275CAD" w:rsidRDefault="001448F0" w:rsidP="00275CAD">
      <w:pPr>
        <w:pStyle w:val="BodyText"/>
        <w:tabs>
          <w:tab w:val="left" w:pos="720"/>
        </w:tabs>
        <w:spacing w:line="480" w:lineRule="auto"/>
        <w:jc w:val="center"/>
        <w:rPr>
          <w:rFonts w:ascii="Arial" w:hAnsi="Arial" w:cs="Arial"/>
          <w:b/>
          <w:szCs w:val="24"/>
          <w:u w:val="single"/>
        </w:rPr>
      </w:pPr>
      <w:r w:rsidRPr="001448F0">
        <w:rPr>
          <w:noProof/>
        </w:rPr>
        <w:drawing>
          <wp:inline distT="0" distB="0" distL="0" distR="0" wp14:anchorId="225C638E" wp14:editId="225C638F">
            <wp:extent cx="4535170" cy="54203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5170" cy="5420360"/>
                    </a:xfrm>
                    <a:prstGeom prst="rect">
                      <a:avLst/>
                    </a:prstGeom>
                    <a:noFill/>
                    <a:ln>
                      <a:noFill/>
                    </a:ln>
                  </pic:spPr>
                </pic:pic>
              </a:graphicData>
            </a:graphic>
          </wp:inline>
        </w:drawing>
      </w:r>
    </w:p>
    <w:p w14:paraId="225C6228" w14:textId="77777777" w:rsidR="00544728" w:rsidRDefault="00544728" w:rsidP="00234A80">
      <w:pPr>
        <w:pStyle w:val="BodyText"/>
        <w:tabs>
          <w:tab w:val="left" w:pos="720"/>
          <w:tab w:val="left" w:pos="2250"/>
          <w:tab w:val="left" w:pos="7920"/>
        </w:tabs>
        <w:spacing w:line="480" w:lineRule="auto"/>
        <w:jc w:val="both"/>
        <w:rPr>
          <w:rFonts w:ascii="Arial" w:hAnsi="Arial" w:cs="Arial"/>
          <w:szCs w:val="24"/>
        </w:rPr>
      </w:pPr>
    </w:p>
    <w:p w14:paraId="225C6229" w14:textId="77777777" w:rsidR="00234A80" w:rsidRDefault="003B291E" w:rsidP="00234A80">
      <w:pPr>
        <w:pStyle w:val="BodyText"/>
        <w:tabs>
          <w:tab w:val="left" w:pos="720"/>
          <w:tab w:val="left" w:pos="2250"/>
          <w:tab w:val="left" w:pos="7920"/>
        </w:tabs>
        <w:spacing w:line="480" w:lineRule="auto"/>
        <w:jc w:val="both"/>
        <w:rPr>
          <w:rFonts w:ascii="Times New Roman" w:hAnsi="Times New Roman"/>
          <w:szCs w:val="24"/>
        </w:rPr>
      </w:pPr>
      <w:r>
        <w:rPr>
          <w:rFonts w:ascii="Arial" w:hAnsi="Arial" w:cs="Arial"/>
          <w:szCs w:val="24"/>
        </w:rPr>
        <w:tab/>
      </w:r>
      <w:r w:rsidR="00A8338F" w:rsidRPr="00AA551E">
        <w:rPr>
          <w:rFonts w:ascii="Times New Roman" w:hAnsi="Times New Roman"/>
          <w:szCs w:val="24"/>
        </w:rPr>
        <w:t>Table 3 below shows a collection of demographic data intended to be responsive to requests for general information of participating customers.  This data was collected by the participating Community Action Agencies.</w:t>
      </w:r>
    </w:p>
    <w:p w14:paraId="225C622A" w14:textId="77777777" w:rsidR="00B97FD2" w:rsidRPr="00AA551E" w:rsidRDefault="00BD7E31" w:rsidP="00BD7E31">
      <w:pPr>
        <w:pStyle w:val="Heading2"/>
        <w:jc w:val="both"/>
        <w:rPr>
          <w:rFonts w:ascii="Times New Roman" w:hAnsi="Times New Roman" w:cs="Times New Roman"/>
        </w:rPr>
      </w:pPr>
      <w:bookmarkStart w:id="6" w:name="_Toc469571451"/>
      <w:r w:rsidRPr="00D35FE7">
        <w:rPr>
          <w:rFonts w:ascii="Times New Roman" w:hAnsi="Times New Roman" w:cs="Times New Roman"/>
        </w:rPr>
        <w:lastRenderedPageBreak/>
        <w:t>Table 3 -</w:t>
      </w:r>
      <w:r w:rsidR="00A8338F" w:rsidRPr="00D35FE7">
        <w:rPr>
          <w:rFonts w:ascii="Times New Roman" w:hAnsi="Times New Roman" w:cs="Times New Roman"/>
        </w:rPr>
        <w:t xml:space="preserve"> Demographic Data</w:t>
      </w:r>
      <w:r w:rsidR="001448F0">
        <w:rPr>
          <w:rFonts w:ascii="Times New Roman" w:hAnsi="Times New Roman" w:cs="Times New Roman"/>
        </w:rPr>
        <w:t xml:space="preserve"> – Year 14 October 2015 – September 2016</w:t>
      </w:r>
      <w:bookmarkEnd w:id="6"/>
    </w:p>
    <w:p w14:paraId="225C622B" w14:textId="77777777" w:rsidR="00B97FD2" w:rsidRPr="001C5833" w:rsidRDefault="00B97FD2" w:rsidP="00BD7E31">
      <w:pPr>
        <w:jc w:val="both"/>
        <w:rPr>
          <w:rFonts w:cs="Arial"/>
        </w:rPr>
      </w:pPr>
    </w:p>
    <w:p w14:paraId="225C622C" w14:textId="77777777" w:rsidR="00275CAD" w:rsidRDefault="00D35FE7" w:rsidP="00275CAD">
      <w:pPr>
        <w:widowControl w:val="0"/>
        <w:jc w:val="center"/>
        <w:rPr>
          <w:rFonts w:cs="Arial"/>
          <w:u w:val="single"/>
        </w:rPr>
      </w:pPr>
      <w:r w:rsidRPr="00D35FE7">
        <w:rPr>
          <w:noProof/>
        </w:rPr>
        <w:drawing>
          <wp:inline distT="0" distB="0" distL="0" distR="0" wp14:anchorId="225C6390" wp14:editId="225C6391">
            <wp:extent cx="5047615" cy="5895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7615" cy="5895975"/>
                    </a:xfrm>
                    <a:prstGeom prst="rect">
                      <a:avLst/>
                    </a:prstGeom>
                    <a:noFill/>
                    <a:ln>
                      <a:noFill/>
                    </a:ln>
                  </pic:spPr>
                </pic:pic>
              </a:graphicData>
            </a:graphic>
          </wp:inline>
        </w:drawing>
      </w:r>
    </w:p>
    <w:p w14:paraId="225C622D" w14:textId="77777777" w:rsidR="00F3744C" w:rsidRPr="00AA551E" w:rsidRDefault="00B97FD2" w:rsidP="00BD7E31">
      <w:pPr>
        <w:pStyle w:val="Heading2"/>
        <w:jc w:val="both"/>
        <w:rPr>
          <w:rFonts w:ascii="Times New Roman" w:hAnsi="Times New Roman" w:cs="Times New Roman"/>
        </w:rPr>
      </w:pPr>
      <w:r w:rsidRPr="001C5833">
        <w:rPr>
          <w:u w:val="single"/>
        </w:rPr>
        <w:br w:type="page"/>
      </w:r>
      <w:bookmarkStart w:id="7" w:name="_Toc469571452"/>
      <w:r w:rsidR="00F3744C" w:rsidRPr="00AA551E">
        <w:rPr>
          <w:rFonts w:ascii="Times New Roman" w:hAnsi="Times New Roman" w:cs="Times New Roman"/>
        </w:rPr>
        <w:lastRenderedPageBreak/>
        <w:t xml:space="preserve">Administration and Program </w:t>
      </w:r>
      <w:r w:rsidR="00505584" w:rsidRPr="00AA551E">
        <w:rPr>
          <w:rFonts w:ascii="Times New Roman" w:hAnsi="Times New Roman" w:cs="Times New Roman"/>
        </w:rPr>
        <w:t xml:space="preserve">Support </w:t>
      </w:r>
      <w:r w:rsidR="00F3744C" w:rsidRPr="00AA551E">
        <w:rPr>
          <w:rFonts w:ascii="Times New Roman" w:hAnsi="Times New Roman" w:cs="Times New Roman"/>
        </w:rPr>
        <w:t>Fees</w:t>
      </w:r>
      <w:bookmarkEnd w:id="7"/>
    </w:p>
    <w:p w14:paraId="225C622E" w14:textId="77777777" w:rsidR="00F3744C" w:rsidRPr="00AA551E" w:rsidRDefault="000669B6" w:rsidP="00BD7E31">
      <w:pPr>
        <w:spacing w:line="480" w:lineRule="auto"/>
        <w:ind w:firstLine="720"/>
        <w:jc w:val="both"/>
        <w:rPr>
          <w:rFonts w:ascii="Times New Roman" w:hAnsi="Times New Roman" w:cs="Times New Roman"/>
        </w:rPr>
      </w:pPr>
      <w:r w:rsidRPr="00AA551E">
        <w:rPr>
          <w:rFonts w:ascii="Times New Roman" w:hAnsi="Times New Roman" w:cs="Times New Roman"/>
        </w:rPr>
        <w:t>A portion of the</w:t>
      </w:r>
      <w:r w:rsidR="00F3744C" w:rsidRPr="00AA551E">
        <w:rPr>
          <w:rFonts w:ascii="Times New Roman" w:hAnsi="Times New Roman" w:cs="Times New Roman"/>
        </w:rPr>
        <w:t xml:space="preserve"> revenue collected is provided to the </w:t>
      </w:r>
      <w:r w:rsidR="00FF39DF" w:rsidRPr="00AA551E">
        <w:rPr>
          <w:rFonts w:ascii="Times New Roman" w:hAnsi="Times New Roman" w:cs="Times New Roman"/>
        </w:rPr>
        <w:t xml:space="preserve">six </w:t>
      </w:r>
      <w:r w:rsidR="00F3744C" w:rsidRPr="00AA551E">
        <w:rPr>
          <w:rFonts w:ascii="Times New Roman" w:hAnsi="Times New Roman" w:cs="Times New Roman"/>
        </w:rPr>
        <w:t>Community Action Agencies in Avista’s Washington service territory for disbursal to qualifying customers and for administration of the program.</w:t>
      </w:r>
      <w:r w:rsidR="001448F0">
        <w:rPr>
          <w:rFonts w:ascii="Times New Roman" w:hAnsi="Times New Roman" w:cs="Times New Roman"/>
        </w:rPr>
        <w:t xml:space="preserve">  These funds are referred to as “Administration and Program Support Fees” or “Admin Fees</w:t>
      </w:r>
      <w:r w:rsidR="00E217EB">
        <w:rPr>
          <w:rFonts w:ascii="Times New Roman" w:hAnsi="Times New Roman" w:cs="Times New Roman"/>
        </w:rPr>
        <w:t>.”</w:t>
      </w:r>
    </w:p>
    <w:p w14:paraId="225C622F" w14:textId="77777777" w:rsidR="00F3744C" w:rsidRPr="00AA551E" w:rsidRDefault="00F3744C" w:rsidP="00BD7E31">
      <w:pPr>
        <w:pStyle w:val="BodyText"/>
        <w:tabs>
          <w:tab w:val="left" w:pos="720"/>
        </w:tabs>
        <w:spacing w:line="480" w:lineRule="auto"/>
        <w:jc w:val="both"/>
        <w:rPr>
          <w:rFonts w:ascii="Times New Roman" w:hAnsi="Times New Roman"/>
          <w:snapToGrid w:val="0"/>
        </w:rPr>
      </w:pPr>
      <w:r w:rsidRPr="00AA551E">
        <w:rPr>
          <w:rFonts w:ascii="Times New Roman" w:hAnsi="Times New Roman"/>
        </w:rPr>
        <w:tab/>
      </w:r>
      <w:r w:rsidR="00FF39DF" w:rsidRPr="00AA551E">
        <w:rPr>
          <w:rFonts w:ascii="Times New Roman" w:hAnsi="Times New Roman"/>
        </w:rPr>
        <w:t>Customer e</w:t>
      </w:r>
      <w:r w:rsidRPr="00AA551E">
        <w:rPr>
          <w:rFonts w:ascii="Times New Roman" w:hAnsi="Times New Roman"/>
        </w:rPr>
        <w:t>ligibility</w:t>
      </w:r>
      <w:r w:rsidR="00FF39DF" w:rsidRPr="00AA551E">
        <w:rPr>
          <w:rFonts w:ascii="Times New Roman" w:hAnsi="Times New Roman"/>
        </w:rPr>
        <w:t xml:space="preserve"> for LIRAP Heat</w:t>
      </w:r>
      <w:r w:rsidR="009217DD" w:rsidRPr="00AA551E">
        <w:rPr>
          <w:rFonts w:ascii="Times New Roman" w:hAnsi="Times New Roman"/>
        </w:rPr>
        <w:t xml:space="preserve"> </w:t>
      </w:r>
      <w:r w:rsidR="009165B2" w:rsidRPr="00AA551E">
        <w:rPr>
          <w:rFonts w:ascii="Times New Roman" w:hAnsi="Times New Roman"/>
        </w:rPr>
        <w:t xml:space="preserve">is </w:t>
      </w:r>
      <w:r w:rsidRPr="00AA551E">
        <w:rPr>
          <w:rFonts w:ascii="Times New Roman" w:hAnsi="Times New Roman"/>
        </w:rPr>
        <w:t xml:space="preserve">determined according to existing guidelines established by Federal and State standards used for the Low-Income </w:t>
      </w:r>
      <w:r w:rsidR="001448F0">
        <w:rPr>
          <w:rFonts w:ascii="Times New Roman" w:hAnsi="Times New Roman"/>
        </w:rPr>
        <w:t>Home Energy Assistance Program</w:t>
      </w:r>
      <w:r w:rsidRPr="00AA551E">
        <w:rPr>
          <w:rFonts w:ascii="Times New Roman" w:hAnsi="Times New Roman"/>
        </w:rPr>
        <w:t xml:space="preserve">.  Additionally, customers experiencing emergencies are eligible for assistance under </w:t>
      </w:r>
      <w:r w:rsidR="00FF39DF" w:rsidRPr="00AA551E">
        <w:rPr>
          <w:rFonts w:ascii="Times New Roman" w:hAnsi="Times New Roman"/>
        </w:rPr>
        <w:t xml:space="preserve">LIRAP </w:t>
      </w:r>
      <w:r w:rsidR="00B636C6">
        <w:rPr>
          <w:rFonts w:ascii="Times New Roman" w:hAnsi="Times New Roman"/>
        </w:rPr>
        <w:t>Emergency</w:t>
      </w:r>
      <w:r w:rsidRPr="00AA551E">
        <w:rPr>
          <w:rFonts w:ascii="Times New Roman" w:hAnsi="Times New Roman"/>
        </w:rPr>
        <w:t xml:space="preserve"> Share</w:t>
      </w:r>
      <w:r w:rsidR="00FF39DF" w:rsidRPr="00AA551E">
        <w:rPr>
          <w:rFonts w:ascii="Times New Roman" w:hAnsi="Times New Roman"/>
        </w:rPr>
        <w:t xml:space="preserve">. </w:t>
      </w:r>
      <w:r w:rsidR="001448F0">
        <w:rPr>
          <w:rFonts w:ascii="Times New Roman" w:hAnsi="Times New Roman"/>
        </w:rPr>
        <w:t>F</w:t>
      </w:r>
      <w:r w:rsidR="00FF39DF" w:rsidRPr="00AA551E">
        <w:rPr>
          <w:rFonts w:ascii="Times New Roman" w:hAnsi="Times New Roman"/>
        </w:rPr>
        <w:t xml:space="preserve">or senior customers who exceed the federal income guidelines, there is LIRAP </w:t>
      </w:r>
      <w:r w:rsidR="007E6FE3">
        <w:rPr>
          <w:rFonts w:ascii="Times New Roman" w:hAnsi="Times New Roman"/>
        </w:rPr>
        <w:t>Senior Outreach</w:t>
      </w:r>
      <w:r w:rsidR="00FF39DF" w:rsidRPr="00AA551E">
        <w:rPr>
          <w:rFonts w:ascii="Times New Roman" w:hAnsi="Times New Roman"/>
        </w:rPr>
        <w:t xml:space="preserve"> that is designed to be used in conjunction with Comfort Level Billing. </w:t>
      </w:r>
      <w:r w:rsidRPr="00AA551E">
        <w:rPr>
          <w:rFonts w:ascii="Times New Roman" w:hAnsi="Times New Roman"/>
          <w:szCs w:val="24"/>
        </w:rPr>
        <w:t xml:space="preserve">The programs and partnerships Avista has formed have been invaluable to customers who often have limited incomes or have exhausted all of their resources. </w:t>
      </w:r>
    </w:p>
    <w:p w14:paraId="225C6230" w14:textId="77777777" w:rsidR="00F3744C" w:rsidRPr="00AA551E" w:rsidRDefault="00F3744C" w:rsidP="00BD7E31">
      <w:pPr>
        <w:spacing w:line="480" w:lineRule="auto"/>
        <w:ind w:firstLine="720"/>
        <w:jc w:val="both"/>
        <w:rPr>
          <w:rFonts w:ascii="Times New Roman" w:hAnsi="Times New Roman" w:cs="Times New Roman"/>
          <w:snapToGrid w:val="0"/>
        </w:rPr>
      </w:pPr>
      <w:r w:rsidRPr="00AA551E">
        <w:rPr>
          <w:rFonts w:ascii="Times New Roman" w:hAnsi="Times New Roman" w:cs="Times New Roman"/>
          <w:snapToGrid w:val="0"/>
        </w:rPr>
        <w:t>For this reporting program year, a total of $</w:t>
      </w:r>
      <w:r w:rsidR="00445BE3">
        <w:rPr>
          <w:rFonts w:ascii="Times New Roman" w:hAnsi="Times New Roman" w:cs="Times New Roman"/>
          <w:snapToGrid w:val="0"/>
        </w:rPr>
        <w:t>1,054,675</w:t>
      </w:r>
      <w:r w:rsidR="009217DD" w:rsidRPr="00AA551E">
        <w:rPr>
          <w:rFonts w:ascii="Times New Roman" w:hAnsi="Times New Roman" w:cs="Times New Roman"/>
          <w:snapToGrid w:val="0"/>
        </w:rPr>
        <w:t xml:space="preserve"> </w:t>
      </w:r>
      <w:r w:rsidRPr="00AA551E">
        <w:rPr>
          <w:rFonts w:ascii="Times New Roman" w:hAnsi="Times New Roman" w:cs="Times New Roman"/>
          <w:snapToGrid w:val="0"/>
        </w:rPr>
        <w:t xml:space="preserve">was distributed to the Agencies for administration </w:t>
      </w:r>
      <w:r w:rsidR="00505584" w:rsidRPr="00AA551E">
        <w:rPr>
          <w:rFonts w:ascii="Times New Roman" w:hAnsi="Times New Roman" w:cs="Times New Roman"/>
          <w:snapToGrid w:val="0"/>
        </w:rPr>
        <w:t xml:space="preserve">and program </w:t>
      </w:r>
      <w:r w:rsidR="00A56CBC" w:rsidRPr="00AA551E">
        <w:rPr>
          <w:rFonts w:ascii="Times New Roman" w:hAnsi="Times New Roman" w:cs="Times New Roman"/>
          <w:snapToGrid w:val="0"/>
        </w:rPr>
        <w:t xml:space="preserve">support </w:t>
      </w:r>
      <w:r w:rsidR="00505584" w:rsidRPr="00AA551E">
        <w:rPr>
          <w:rFonts w:ascii="Times New Roman" w:hAnsi="Times New Roman" w:cs="Times New Roman"/>
          <w:snapToGrid w:val="0"/>
        </w:rPr>
        <w:t>fees support</w:t>
      </w:r>
      <w:r w:rsidRPr="00AA551E">
        <w:rPr>
          <w:rFonts w:ascii="Times New Roman" w:hAnsi="Times New Roman" w:cs="Times New Roman"/>
          <w:snapToGrid w:val="0"/>
        </w:rPr>
        <w:t xml:space="preserve">, which was </w:t>
      </w:r>
      <w:r w:rsidR="00505584" w:rsidRPr="00AA551E">
        <w:rPr>
          <w:rFonts w:ascii="Times New Roman" w:hAnsi="Times New Roman" w:cs="Times New Roman"/>
          <w:snapToGrid w:val="0"/>
        </w:rPr>
        <w:t>16.5</w:t>
      </w:r>
      <w:r w:rsidRPr="00AA551E">
        <w:rPr>
          <w:rFonts w:ascii="Times New Roman" w:hAnsi="Times New Roman" w:cs="Times New Roman"/>
          <w:snapToGrid w:val="0"/>
        </w:rPr>
        <w:t>% of revenue collections</w:t>
      </w:r>
      <w:r w:rsidR="00445BE3">
        <w:rPr>
          <w:rFonts w:ascii="Times New Roman" w:hAnsi="Times New Roman" w:cs="Times New Roman"/>
          <w:snapToGrid w:val="0"/>
        </w:rPr>
        <w:t xml:space="preserve">. </w:t>
      </w:r>
      <w:r w:rsidRPr="00AA551E">
        <w:rPr>
          <w:rFonts w:ascii="Times New Roman" w:hAnsi="Times New Roman" w:cs="Times New Roman"/>
          <w:snapToGrid w:val="0"/>
        </w:rPr>
        <w:t>This amount, including the $</w:t>
      </w:r>
      <w:r w:rsidR="00445BE3">
        <w:rPr>
          <w:rFonts w:ascii="Times New Roman" w:hAnsi="Times New Roman" w:cs="Times New Roman"/>
          <w:snapToGrid w:val="0"/>
        </w:rPr>
        <w:t>182,556</w:t>
      </w:r>
      <w:r w:rsidRPr="00AA551E">
        <w:rPr>
          <w:rFonts w:ascii="Times New Roman" w:hAnsi="Times New Roman" w:cs="Times New Roman"/>
          <w:snapToGrid w:val="0"/>
        </w:rPr>
        <w:t xml:space="preserve"> carry over from the previous reporting program year, totaled </w:t>
      </w:r>
      <w:r w:rsidRPr="00445BE3">
        <w:rPr>
          <w:rFonts w:ascii="Times New Roman" w:hAnsi="Times New Roman" w:cs="Times New Roman"/>
          <w:snapToGrid w:val="0"/>
        </w:rPr>
        <w:t>$</w:t>
      </w:r>
      <w:r w:rsidR="00445BE3" w:rsidRPr="00445BE3">
        <w:rPr>
          <w:rFonts w:ascii="Times New Roman" w:hAnsi="Times New Roman" w:cs="Times New Roman"/>
          <w:snapToGrid w:val="0"/>
        </w:rPr>
        <w:t>1</w:t>
      </w:r>
      <w:r w:rsidR="00445BE3">
        <w:rPr>
          <w:rFonts w:ascii="Times New Roman" w:hAnsi="Times New Roman" w:cs="Times New Roman"/>
          <w:snapToGrid w:val="0"/>
        </w:rPr>
        <w:t>,237,231</w:t>
      </w:r>
      <w:r w:rsidRPr="00AA551E">
        <w:rPr>
          <w:rFonts w:ascii="Times New Roman" w:hAnsi="Times New Roman" w:cs="Times New Roman"/>
          <w:snapToGrid w:val="0"/>
        </w:rPr>
        <w:t xml:space="preserve"> available for administration and program support costs.</w:t>
      </w:r>
    </w:p>
    <w:p w14:paraId="225C6231" w14:textId="77777777" w:rsidR="00F3744C" w:rsidRPr="00AA551E" w:rsidRDefault="00F3744C" w:rsidP="00BD7E31">
      <w:pPr>
        <w:pStyle w:val="BodyText"/>
        <w:tabs>
          <w:tab w:val="left" w:pos="720"/>
        </w:tabs>
        <w:spacing w:line="480" w:lineRule="auto"/>
        <w:jc w:val="both"/>
        <w:rPr>
          <w:rFonts w:ascii="Times New Roman" w:hAnsi="Times New Roman"/>
          <w:snapToGrid w:val="0"/>
        </w:rPr>
      </w:pPr>
      <w:r w:rsidRPr="00AA551E">
        <w:rPr>
          <w:rFonts w:ascii="Times New Roman" w:hAnsi="Times New Roman"/>
          <w:snapToGrid w:val="0"/>
        </w:rPr>
        <w:tab/>
        <w:t>Excluding the amount subsidized from other funding sources, the amount spent by the agencies from LIRAP funds was $</w:t>
      </w:r>
      <w:r w:rsidR="00445BE3">
        <w:rPr>
          <w:rFonts w:ascii="Times New Roman" w:hAnsi="Times New Roman"/>
          <w:snapToGrid w:val="0"/>
        </w:rPr>
        <w:t>1,122,464</w:t>
      </w:r>
      <w:r w:rsidRPr="00AA551E">
        <w:rPr>
          <w:rFonts w:ascii="Times New Roman" w:hAnsi="Times New Roman"/>
          <w:snapToGrid w:val="0"/>
        </w:rPr>
        <w:t xml:space="preserve">, leaving an unspent </w:t>
      </w:r>
      <w:r w:rsidR="00275CAD" w:rsidRPr="00AA551E">
        <w:rPr>
          <w:rFonts w:ascii="Times New Roman" w:hAnsi="Times New Roman"/>
          <w:snapToGrid w:val="0"/>
        </w:rPr>
        <w:t>administration and program support fees</w:t>
      </w:r>
      <w:r w:rsidR="0006208E" w:rsidRPr="00AA551E">
        <w:rPr>
          <w:rFonts w:ascii="Times New Roman" w:hAnsi="Times New Roman"/>
          <w:snapToGrid w:val="0"/>
        </w:rPr>
        <w:t xml:space="preserve"> </w:t>
      </w:r>
      <w:r w:rsidR="0006208E" w:rsidRPr="00445BE3">
        <w:rPr>
          <w:rFonts w:ascii="Times New Roman" w:hAnsi="Times New Roman"/>
          <w:snapToGrid w:val="0"/>
        </w:rPr>
        <w:t xml:space="preserve">balance </w:t>
      </w:r>
      <w:r w:rsidRPr="00445BE3">
        <w:rPr>
          <w:rFonts w:ascii="Times New Roman" w:hAnsi="Times New Roman"/>
          <w:snapToGrid w:val="0"/>
        </w:rPr>
        <w:t>of $</w:t>
      </w:r>
      <w:r w:rsidR="00445BE3" w:rsidRPr="00445BE3">
        <w:rPr>
          <w:rFonts w:ascii="Times New Roman" w:hAnsi="Times New Roman"/>
          <w:snapToGrid w:val="0"/>
        </w:rPr>
        <w:t>114,766</w:t>
      </w:r>
      <w:r w:rsidRPr="00AA551E">
        <w:rPr>
          <w:rFonts w:ascii="Times New Roman" w:hAnsi="Times New Roman"/>
          <w:snapToGrid w:val="0"/>
        </w:rPr>
        <w:t xml:space="preserve"> at </w:t>
      </w:r>
      <w:r w:rsidR="00505584" w:rsidRPr="00AA551E">
        <w:rPr>
          <w:rFonts w:ascii="Times New Roman" w:hAnsi="Times New Roman"/>
          <w:snapToGrid w:val="0"/>
        </w:rPr>
        <w:t>September</w:t>
      </w:r>
      <w:r w:rsidRPr="00AA551E">
        <w:rPr>
          <w:rFonts w:ascii="Times New Roman" w:hAnsi="Times New Roman"/>
          <w:snapToGrid w:val="0"/>
        </w:rPr>
        <w:t xml:space="preserve"> 30, </w:t>
      </w:r>
      <w:r w:rsidR="0075329B" w:rsidRPr="00AA551E">
        <w:rPr>
          <w:rFonts w:ascii="Times New Roman" w:hAnsi="Times New Roman"/>
          <w:snapToGrid w:val="0"/>
        </w:rPr>
        <w:t>201</w:t>
      </w:r>
      <w:r w:rsidR="005F5F06">
        <w:rPr>
          <w:rFonts w:ascii="Times New Roman" w:hAnsi="Times New Roman"/>
          <w:snapToGrid w:val="0"/>
        </w:rPr>
        <w:t>6</w:t>
      </w:r>
      <w:r w:rsidRPr="00AA551E">
        <w:rPr>
          <w:rFonts w:ascii="Times New Roman" w:hAnsi="Times New Roman"/>
          <w:snapToGrid w:val="0"/>
        </w:rPr>
        <w:t xml:space="preserve">.  </w:t>
      </w:r>
      <w:r w:rsidR="001448F0">
        <w:rPr>
          <w:rFonts w:ascii="Times New Roman" w:hAnsi="Times New Roman"/>
          <w:snapToGrid w:val="0"/>
        </w:rPr>
        <w:t xml:space="preserve">Admin and Program Support Fees are paid out </w:t>
      </w:r>
      <w:r w:rsidR="00E60A8C">
        <w:rPr>
          <w:rFonts w:ascii="Times New Roman" w:hAnsi="Times New Roman"/>
          <w:snapToGrid w:val="0"/>
        </w:rPr>
        <w:t>to the individual</w:t>
      </w:r>
      <w:r w:rsidR="00891A98" w:rsidRPr="00AA551E">
        <w:rPr>
          <w:rFonts w:ascii="Times New Roman" w:hAnsi="Times New Roman"/>
          <w:snapToGrid w:val="0"/>
        </w:rPr>
        <w:t xml:space="preserve"> agencies and per their discretion can </w:t>
      </w:r>
      <w:r w:rsidRPr="00AA551E">
        <w:rPr>
          <w:rFonts w:ascii="Times New Roman" w:hAnsi="Times New Roman"/>
          <w:snapToGrid w:val="0"/>
        </w:rPr>
        <w:t xml:space="preserve">be carried forward into the next reporting program year to cover </w:t>
      </w:r>
      <w:r w:rsidR="00505584" w:rsidRPr="00AA551E">
        <w:rPr>
          <w:rFonts w:ascii="Times New Roman" w:hAnsi="Times New Roman"/>
          <w:snapToGrid w:val="0"/>
        </w:rPr>
        <w:t>future administration costs of the agencies</w:t>
      </w:r>
      <w:r w:rsidRPr="00AA551E">
        <w:rPr>
          <w:rFonts w:ascii="Times New Roman" w:hAnsi="Times New Roman"/>
          <w:snapToGrid w:val="0"/>
        </w:rPr>
        <w:t xml:space="preserve">.  </w:t>
      </w:r>
      <w:r w:rsidR="00A56CBC" w:rsidRPr="00AA551E">
        <w:rPr>
          <w:rFonts w:ascii="Times New Roman" w:hAnsi="Times New Roman"/>
          <w:snapToGrid w:val="0"/>
        </w:rPr>
        <w:t xml:space="preserve">The table below </w:t>
      </w:r>
      <w:r w:rsidRPr="00AA551E">
        <w:rPr>
          <w:rFonts w:ascii="Times New Roman" w:hAnsi="Times New Roman"/>
          <w:snapToGrid w:val="0"/>
        </w:rPr>
        <w:t xml:space="preserve">represents a recap of the administration and </w:t>
      </w:r>
      <w:r w:rsidR="00505584" w:rsidRPr="00AA551E">
        <w:rPr>
          <w:rFonts w:ascii="Times New Roman" w:hAnsi="Times New Roman"/>
          <w:snapToGrid w:val="0"/>
        </w:rPr>
        <w:t>program fees</w:t>
      </w:r>
      <w:r w:rsidRPr="00AA551E">
        <w:rPr>
          <w:rFonts w:ascii="Times New Roman" w:hAnsi="Times New Roman"/>
          <w:snapToGrid w:val="0"/>
        </w:rPr>
        <w:t xml:space="preserve"> spent and the amount available at </w:t>
      </w:r>
      <w:r w:rsidR="00505584" w:rsidRPr="00AA551E">
        <w:rPr>
          <w:rFonts w:ascii="Times New Roman" w:hAnsi="Times New Roman"/>
          <w:snapToGrid w:val="0"/>
        </w:rPr>
        <w:t>September</w:t>
      </w:r>
      <w:r w:rsidRPr="00AA551E">
        <w:rPr>
          <w:rFonts w:ascii="Times New Roman" w:hAnsi="Times New Roman"/>
          <w:snapToGrid w:val="0"/>
        </w:rPr>
        <w:t xml:space="preserve"> 30, </w:t>
      </w:r>
      <w:r w:rsidR="0075329B" w:rsidRPr="00AA551E">
        <w:rPr>
          <w:rFonts w:ascii="Times New Roman" w:hAnsi="Times New Roman"/>
          <w:snapToGrid w:val="0"/>
        </w:rPr>
        <w:t>201</w:t>
      </w:r>
      <w:r w:rsidR="005F5F06">
        <w:rPr>
          <w:rFonts w:ascii="Times New Roman" w:hAnsi="Times New Roman"/>
          <w:snapToGrid w:val="0"/>
        </w:rPr>
        <w:t>6</w:t>
      </w:r>
      <w:r w:rsidRPr="00AA551E">
        <w:rPr>
          <w:rFonts w:ascii="Times New Roman" w:hAnsi="Times New Roman"/>
          <w:snapToGrid w:val="0"/>
        </w:rPr>
        <w:t>.</w:t>
      </w:r>
    </w:p>
    <w:p w14:paraId="225C6232" w14:textId="77777777" w:rsidR="00BD7E31" w:rsidRPr="00AA551E" w:rsidRDefault="00BD7E31" w:rsidP="00BD7E31">
      <w:pPr>
        <w:pStyle w:val="Heading2"/>
        <w:jc w:val="both"/>
        <w:rPr>
          <w:rFonts w:ascii="Times New Roman" w:hAnsi="Times New Roman" w:cs="Times New Roman"/>
        </w:rPr>
      </w:pPr>
      <w:bookmarkStart w:id="8" w:name="_Toc469571453"/>
      <w:r w:rsidRPr="00F9683C">
        <w:rPr>
          <w:rFonts w:ascii="Times New Roman" w:hAnsi="Times New Roman" w:cs="Times New Roman"/>
        </w:rPr>
        <w:lastRenderedPageBreak/>
        <w:t>Table 4 – Administration and Program Support Fees</w:t>
      </w:r>
      <w:bookmarkEnd w:id="8"/>
    </w:p>
    <w:p w14:paraId="225C6233" w14:textId="77777777" w:rsidR="00BD7E31" w:rsidRPr="00BD7E31" w:rsidRDefault="00BD7E31" w:rsidP="00BD7E31">
      <w:pPr>
        <w:jc w:val="both"/>
      </w:pPr>
    </w:p>
    <w:p w14:paraId="225C6234" w14:textId="77777777" w:rsidR="00A56CBC" w:rsidRDefault="00445BE3" w:rsidP="007C77D4">
      <w:pPr>
        <w:pStyle w:val="BodyText"/>
        <w:tabs>
          <w:tab w:val="left" w:pos="720"/>
        </w:tabs>
        <w:spacing w:line="480" w:lineRule="auto"/>
        <w:jc w:val="center"/>
        <w:rPr>
          <w:rFonts w:ascii="Arial" w:hAnsi="Arial" w:cs="Arial"/>
          <w:snapToGrid w:val="0"/>
        </w:rPr>
      </w:pPr>
      <w:r w:rsidRPr="00445BE3">
        <w:rPr>
          <w:noProof/>
        </w:rPr>
        <w:drawing>
          <wp:inline distT="0" distB="0" distL="0" distR="0" wp14:anchorId="225C6392" wp14:editId="225C6393">
            <wp:extent cx="5325745" cy="3562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5745" cy="3562350"/>
                    </a:xfrm>
                    <a:prstGeom prst="rect">
                      <a:avLst/>
                    </a:prstGeom>
                    <a:noFill/>
                    <a:ln>
                      <a:noFill/>
                    </a:ln>
                  </pic:spPr>
                </pic:pic>
              </a:graphicData>
            </a:graphic>
          </wp:inline>
        </w:drawing>
      </w:r>
    </w:p>
    <w:p w14:paraId="225C6235" w14:textId="77777777" w:rsidR="00F3744C" w:rsidRPr="00F3744C" w:rsidRDefault="00F3744C" w:rsidP="00BD7E31">
      <w:pPr>
        <w:jc w:val="both"/>
      </w:pPr>
    </w:p>
    <w:p w14:paraId="225C6236" w14:textId="77777777" w:rsidR="00275CAD" w:rsidRPr="00AA551E" w:rsidRDefault="00F3744C" w:rsidP="00275CAD">
      <w:pPr>
        <w:pStyle w:val="Heading2"/>
        <w:jc w:val="both"/>
        <w:rPr>
          <w:rFonts w:ascii="Times New Roman" w:hAnsi="Times New Roman" w:cs="Times New Roman"/>
        </w:rPr>
      </w:pPr>
      <w:bookmarkStart w:id="9" w:name="_Toc469571454"/>
      <w:r w:rsidRPr="00AA551E">
        <w:rPr>
          <w:rFonts w:ascii="Times New Roman" w:hAnsi="Times New Roman" w:cs="Times New Roman"/>
        </w:rPr>
        <w:t>Conservation Education Staff &amp; Labor Support</w:t>
      </w:r>
      <w:bookmarkEnd w:id="9"/>
    </w:p>
    <w:p w14:paraId="225C6237" w14:textId="77777777" w:rsidR="00F43166" w:rsidRPr="00AA551E" w:rsidRDefault="0075329B">
      <w:pPr>
        <w:spacing w:line="480" w:lineRule="auto"/>
        <w:ind w:firstLine="720"/>
        <w:jc w:val="both"/>
        <w:rPr>
          <w:rFonts w:ascii="Times New Roman" w:hAnsi="Times New Roman" w:cs="Times New Roman"/>
        </w:rPr>
      </w:pPr>
      <w:r w:rsidRPr="00AA551E">
        <w:rPr>
          <w:rFonts w:ascii="Times New Roman" w:hAnsi="Times New Roman" w:cs="Times New Roman"/>
        </w:rPr>
        <w:t>T</w:t>
      </w:r>
      <w:r w:rsidR="001A320C" w:rsidRPr="00AA551E">
        <w:rPr>
          <w:rFonts w:ascii="Times New Roman" w:hAnsi="Times New Roman" w:cs="Times New Roman"/>
        </w:rPr>
        <w:t>he Company alloca</w:t>
      </w:r>
      <w:r w:rsidRPr="00AA551E">
        <w:rPr>
          <w:rFonts w:ascii="Times New Roman" w:hAnsi="Times New Roman" w:cs="Times New Roman"/>
        </w:rPr>
        <w:t>tes</w:t>
      </w:r>
      <w:r w:rsidR="001A320C" w:rsidRPr="00AA551E">
        <w:rPr>
          <w:rFonts w:ascii="Times New Roman" w:hAnsi="Times New Roman" w:cs="Times New Roman"/>
        </w:rPr>
        <w:t xml:space="preserve"> 4.2% of program </w:t>
      </w:r>
      <w:r w:rsidR="001448F0">
        <w:rPr>
          <w:rFonts w:ascii="Times New Roman" w:hAnsi="Times New Roman" w:cs="Times New Roman"/>
        </w:rPr>
        <w:t xml:space="preserve">funding </w:t>
      </w:r>
      <w:r w:rsidR="001A320C" w:rsidRPr="00AA551E">
        <w:rPr>
          <w:rFonts w:ascii="Times New Roman" w:hAnsi="Times New Roman" w:cs="Times New Roman"/>
        </w:rPr>
        <w:t>to help support labor related to the Conservation Education program.</w:t>
      </w:r>
      <w:r w:rsidR="00F95E67">
        <w:rPr>
          <w:rFonts w:ascii="Times New Roman" w:hAnsi="Times New Roman" w:cs="Times New Roman"/>
        </w:rPr>
        <w:t xml:space="preserve"> </w:t>
      </w:r>
      <w:r w:rsidR="001A320C" w:rsidRPr="00AA551E">
        <w:rPr>
          <w:rFonts w:ascii="Times New Roman" w:hAnsi="Times New Roman" w:cs="Times New Roman"/>
        </w:rPr>
        <w:t xml:space="preserve"> These funds are used to support the staffing and administration needs of each agency specifically for conservation education activities.  </w:t>
      </w:r>
      <w:r w:rsidR="001448F0">
        <w:rPr>
          <w:rFonts w:ascii="Times New Roman" w:hAnsi="Times New Roman" w:cs="Times New Roman"/>
        </w:rPr>
        <w:t>“</w:t>
      </w:r>
      <w:r w:rsidR="001A320C" w:rsidRPr="00AA551E">
        <w:rPr>
          <w:rFonts w:ascii="Times New Roman" w:hAnsi="Times New Roman" w:cs="Times New Roman"/>
        </w:rPr>
        <w:t>Conservation Education Staff &amp; Labor</w:t>
      </w:r>
      <w:r w:rsidR="001448F0">
        <w:rPr>
          <w:rFonts w:ascii="Times New Roman" w:hAnsi="Times New Roman" w:cs="Times New Roman"/>
        </w:rPr>
        <w:t>”, or “ConEd S&amp;L”</w:t>
      </w:r>
      <w:r w:rsidR="001A320C" w:rsidRPr="00AA551E">
        <w:rPr>
          <w:rFonts w:ascii="Times New Roman" w:hAnsi="Times New Roman" w:cs="Times New Roman"/>
        </w:rPr>
        <w:t xml:space="preserve"> funds are paid out to the agencies in monthly payments along with Administration and Program Support funds.</w:t>
      </w:r>
    </w:p>
    <w:p w14:paraId="225C6238" w14:textId="77777777" w:rsidR="00F43166" w:rsidRPr="00AA551E" w:rsidRDefault="001A320C">
      <w:pPr>
        <w:spacing w:line="480" w:lineRule="auto"/>
        <w:ind w:firstLine="720"/>
        <w:jc w:val="both"/>
        <w:rPr>
          <w:rFonts w:ascii="Times New Roman" w:hAnsi="Times New Roman" w:cs="Times New Roman"/>
          <w:snapToGrid w:val="0"/>
        </w:rPr>
      </w:pPr>
      <w:r w:rsidRPr="00AA551E">
        <w:rPr>
          <w:rFonts w:ascii="Times New Roman" w:hAnsi="Times New Roman" w:cs="Times New Roman"/>
          <w:snapToGrid w:val="0"/>
        </w:rPr>
        <w:t>For this reporting program year, a total of $</w:t>
      </w:r>
      <w:r w:rsidR="00445BE3">
        <w:rPr>
          <w:rFonts w:ascii="Times New Roman" w:hAnsi="Times New Roman" w:cs="Times New Roman"/>
          <w:snapToGrid w:val="0"/>
        </w:rPr>
        <w:t>268,462</w:t>
      </w:r>
      <w:r w:rsidRPr="00AA551E">
        <w:rPr>
          <w:rFonts w:ascii="Times New Roman" w:hAnsi="Times New Roman" w:cs="Times New Roman"/>
          <w:snapToGrid w:val="0"/>
        </w:rPr>
        <w:t xml:space="preserve"> was distributed to the Agencies for Conservation Education Staff &amp; Labor, which was 4.2% of revenue collections.  </w:t>
      </w:r>
      <w:r w:rsidR="0075329B" w:rsidRPr="00AA551E">
        <w:rPr>
          <w:rFonts w:ascii="Times New Roman" w:hAnsi="Times New Roman" w:cs="Times New Roman"/>
          <w:snapToGrid w:val="0"/>
        </w:rPr>
        <w:t xml:space="preserve">This amount, </w:t>
      </w:r>
      <w:r w:rsidR="0075329B" w:rsidRPr="00445BE3">
        <w:rPr>
          <w:rFonts w:ascii="Times New Roman" w:hAnsi="Times New Roman" w:cs="Times New Roman"/>
          <w:snapToGrid w:val="0"/>
        </w:rPr>
        <w:t>including the $</w:t>
      </w:r>
      <w:r w:rsidR="00445BE3" w:rsidRPr="00445BE3">
        <w:rPr>
          <w:rFonts w:ascii="Times New Roman" w:hAnsi="Times New Roman" w:cs="Times New Roman"/>
          <w:snapToGrid w:val="0"/>
        </w:rPr>
        <w:t>140,311</w:t>
      </w:r>
      <w:r w:rsidR="0075329B" w:rsidRPr="00445BE3">
        <w:rPr>
          <w:rFonts w:ascii="Times New Roman" w:hAnsi="Times New Roman" w:cs="Times New Roman"/>
          <w:snapToGrid w:val="0"/>
        </w:rPr>
        <w:t xml:space="preserve"> carry</w:t>
      </w:r>
      <w:r w:rsidR="0075329B" w:rsidRPr="00AA551E">
        <w:rPr>
          <w:rFonts w:ascii="Times New Roman" w:hAnsi="Times New Roman" w:cs="Times New Roman"/>
          <w:snapToGrid w:val="0"/>
        </w:rPr>
        <w:t xml:space="preserve"> over from the previous reporting program year, totaled $</w:t>
      </w:r>
      <w:r w:rsidR="00445BE3">
        <w:rPr>
          <w:rFonts w:ascii="Times New Roman" w:hAnsi="Times New Roman" w:cs="Times New Roman"/>
          <w:snapToGrid w:val="0"/>
        </w:rPr>
        <w:t>408,773</w:t>
      </w:r>
      <w:r w:rsidR="0075329B" w:rsidRPr="00AA551E">
        <w:rPr>
          <w:rFonts w:ascii="Times New Roman" w:hAnsi="Times New Roman" w:cs="Times New Roman"/>
          <w:snapToGrid w:val="0"/>
        </w:rPr>
        <w:t xml:space="preserve"> available for </w:t>
      </w:r>
      <w:r w:rsidR="001448F0">
        <w:rPr>
          <w:rFonts w:ascii="Times New Roman" w:hAnsi="Times New Roman" w:cs="Times New Roman"/>
          <w:snapToGrid w:val="0"/>
        </w:rPr>
        <w:t>Conservation Education Staff and Labor</w:t>
      </w:r>
      <w:r w:rsidR="0075329B" w:rsidRPr="00AA551E">
        <w:rPr>
          <w:rFonts w:ascii="Times New Roman" w:hAnsi="Times New Roman" w:cs="Times New Roman"/>
          <w:snapToGrid w:val="0"/>
        </w:rPr>
        <w:t>.</w:t>
      </w:r>
    </w:p>
    <w:p w14:paraId="225C6239" w14:textId="77777777" w:rsidR="001A320C" w:rsidRPr="00AA551E" w:rsidRDefault="001A320C" w:rsidP="00BD7E31">
      <w:pPr>
        <w:pStyle w:val="BodyText"/>
        <w:tabs>
          <w:tab w:val="left" w:pos="720"/>
        </w:tabs>
        <w:spacing w:line="480" w:lineRule="auto"/>
        <w:jc w:val="both"/>
        <w:rPr>
          <w:rFonts w:ascii="Times New Roman" w:hAnsi="Times New Roman"/>
          <w:snapToGrid w:val="0"/>
        </w:rPr>
      </w:pPr>
      <w:r w:rsidRPr="00AA551E">
        <w:rPr>
          <w:rFonts w:ascii="Times New Roman" w:hAnsi="Times New Roman"/>
          <w:snapToGrid w:val="0"/>
        </w:rPr>
        <w:lastRenderedPageBreak/>
        <w:tab/>
        <w:t>Excluding the amount subsidized from other funding sources, the amount spent by the agencies from LIRAP funds was $</w:t>
      </w:r>
      <w:r w:rsidR="00445BE3">
        <w:rPr>
          <w:rFonts w:ascii="Times New Roman" w:hAnsi="Times New Roman"/>
          <w:snapToGrid w:val="0"/>
        </w:rPr>
        <w:t>373,115</w:t>
      </w:r>
      <w:r w:rsidRPr="00AA551E">
        <w:rPr>
          <w:rFonts w:ascii="Times New Roman" w:hAnsi="Times New Roman"/>
          <w:snapToGrid w:val="0"/>
        </w:rPr>
        <w:t xml:space="preserve">, leaving </w:t>
      </w:r>
      <w:r w:rsidR="0006208E" w:rsidRPr="00AA551E">
        <w:rPr>
          <w:rFonts w:ascii="Times New Roman" w:hAnsi="Times New Roman"/>
          <w:snapToGrid w:val="0"/>
        </w:rPr>
        <w:t xml:space="preserve">an unspent Conservation Education Staff and Labor balance </w:t>
      </w:r>
      <w:r w:rsidRPr="00445BE3">
        <w:rPr>
          <w:rFonts w:ascii="Times New Roman" w:hAnsi="Times New Roman"/>
          <w:snapToGrid w:val="0"/>
        </w:rPr>
        <w:t>of $</w:t>
      </w:r>
      <w:r w:rsidR="00445BE3" w:rsidRPr="00445BE3">
        <w:rPr>
          <w:rFonts w:ascii="Times New Roman" w:hAnsi="Times New Roman"/>
          <w:snapToGrid w:val="0"/>
        </w:rPr>
        <w:t>35,658</w:t>
      </w:r>
      <w:r w:rsidR="00445BE3">
        <w:rPr>
          <w:rFonts w:ascii="Times New Roman" w:hAnsi="Times New Roman"/>
          <w:snapToGrid w:val="0"/>
        </w:rPr>
        <w:t xml:space="preserve"> </w:t>
      </w:r>
      <w:r w:rsidRPr="00AA551E">
        <w:rPr>
          <w:rFonts w:ascii="Times New Roman" w:hAnsi="Times New Roman"/>
          <w:snapToGrid w:val="0"/>
        </w:rPr>
        <w:t xml:space="preserve">at September 30, </w:t>
      </w:r>
      <w:r w:rsidR="0075329B" w:rsidRPr="00AA551E">
        <w:rPr>
          <w:rFonts w:ascii="Times New Roman" w:hAnsi="Times New Roman"/>
          <w:snapToGrid w:val="0"/>
        </w:rPr>
        <w:t>201</w:t>
      </w:r>
      <w:r w:rsidR="005F5F06">
        <w:rPr>
          <w:rFonts w:ascii="Times New Roman" w:hAnsi="Times New Roman"/>
          <w:snapToGrid w:val="0"/>
        </w:rPr>
        <w:t>6</w:t>
      </w:r>
      <w:r w:rsidRPr="00AA551E">
        <w:rPr>
          <w:rFonts w:ascii="Times New Roman" w:hAnsi="Times New Roman"/>
          <w:snapToGrid w:val="0"/>
        </w:rPr>
        <w:t xml:space="preserve">.  This </w:t>
      </w:r>
      <w:r w:rsidR="00891A98" w:rsidRPr="00AA551E">
        <w:rPr>
          <w:rFonts w:ascii="Times New Roman" w:hAnsi="Times New Roman"/>
          <w:snapToGrid w:val="0"/>
        </w:rPr>
        <w:t xml:space="preserve">funding has been distributed to the individual agencies and per their discretion can </w:t>
      </w:r>
      <w:r w:rsidRPr="00AA551E">
        <w:rPr>
          <w:rFonts w:ascii="Times New Roman" w:hAnsi="Times New Roman"/>
          <w:snapToGrid w:val="0"/>
        </w:rPr>
        <w:t>be carried forward into the next reporting program year to cover future Conservation Education Staff and Labor costs of the agencies.  The table below represents a recap of the Conservation Education Staff and Labor spent and the amount available at September 30, 201</w:t>
      </w:r>
      <w:r w:rsidR="005F5F06">
        <w:rPr>
          <w:rFonts w:ascii="Times New Roman" w:hAnsi="Times New Roman"/>
          <w:snapToGrid w:val="0"/>
        </w:rPr>
        <w:t>6</w:t>
      </w:r>
      <w:r w:rsidRPr="00AA551E">
        <w:rPr>
          <w:rFonts w:ascii="Times New Roman" w:hAnsi="Times New Roman"/>
          <w:snapToGrid w:val="0"/>
        </w:rPr>
        <w:t>.</w:t>
      </w:r>
    </w:p>
    <w:p w14:paraId="225C623A" w14:textId="77777777" w:rsidR="001A320C" w:rsidRPr="00AA551E" w:rsidRDefault="00BD7E31" w:rsidP="00BD7E31">
      <w:pPr>
        <w:pStyle w:val="Heading2"/>
        <w:jc w:val="both"/>
        <w:rPr>
          <w:rFonts w:ascii="Times New Roman" w:hAnsi="Times New Roman" w:cs="Times New Roman"/>
        </w:rPr>
      </w:pPr>
      <w:bookmarkStart w:id="10" w:name="_Toc469571455"/>
      <w:r w:rsidRPr="00F9683C">
        <w:rPr>
          <w:rFonts w:ascii="Times New Roman" w:hAnsi="Times New Roman" w:cs="Times New Roman"/>
        </w:rPr>
        <w:t>Table 5 – Conservation Education Staff and Labor</w:t>
      </w:r>
      <w:bookmarkEnd w:id="10"/>
    </w:p>
    <w:p w14:paraId="225C623B" w14:textId="77777777" w:rsidR="00F3744C" w:rsidRDefault="001448F0" w:rsidP="007C77D4">
      <w:pPr>
        <w:jc w:val="center"/>
      </w:pPr>
      <w:r w:rsidRPr="001448F0">
        <w:rPr>
          <w:noProof/>
        </w:rPr>
        <w:drawing>
          <wp:inline distT="0" distB="0" distL="0" distR="0" wp14:anchorId="225C6394" wp14:editId="225C6395">
            <wp:extent cx="5325745" cy="3562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5745" cy="3562350"/>
                    </a:xfrm>
                    <a:prstGeom prst="rect">
                      <a:avLst/>
                    </a:prstGeom>
                    <a:noFill/>
                    <a:ln>
                      <a:noFill/>
                    </a:ln>
                  </pic:spPr>
                </pic:pic>
              </a:graphicData>
            </a:graphic>
          </wp:inline>
        </w:drawing>
      </w:r>
    </w:p>
    <w:p w14:paraId="225C623C" w14:textId="77777777" w:rsidR="00B97FD2" w:rsidRPr="00AA551E" w:rsidRDefault="00872CD7" w:rsidP="00872CD7">
      <w:pPr>
        <w:pStyle w:val="Heading1"/>
        <w:spacing w:before="0" w:after="0"/>
        <w:jc w:val="both"/>
        <w:rPr>
          <w:rFonts w:ascii="Times New Roman" w:hAnsi="Times New Roman" w:cs="Times New Roman"/>
        </w:rPr>
      </w:pPr>
      <w:r>
        <w:rPr>
          <w:rFonts w:ascii="Times New Roman" w:hAnsi="Times New Roman" w:cs="Times New Roman"/>
        </w:rPr>
        <w:br w:type="page"/>
      </w:r>
      <w:bookmarkStart w:id="11" w:name="_Toc469571456"/>
      <w:r w:rsidR="00BD7E31" w:rsidRPr="00AA551E">
        <w:rPr>
          <w:rFonts w:ascii="Times New Roman" w:hAnsi="Times New Roman" w:cs="Times New Roman"/>
        </w:rPr>
        <w:lastRenderedPageBreak/>
        <w:t>Program Impacts</w:t>
      </w:r>
      <w:bookmarkEnd w:id="11"/>
      <w:r w:rsidR="00BD7E31" w:rsidRPr="00AA551E">
        <w:rPr>
          <w:rFonts w:ascii="Times New Roman" w:hAnsi="Times New Roman" w:cs="Times New Roman"/>
        </w:rPr>
        <w:tab/>
      </w:r>
      <w:r w:rsidR="00BD7E31" w:rsidRPr="00AA551E">
        <w:rPr>
          <w:rFonts w:ascii="Times New Roman" w:hAnsi="Times New Roman" w:cs="Times New Roman"/>
        </w:rPr>
        <w:tab/>
      </w:r>
      <w:r w:rsidR="00BD7E31" w:rsidRPr="00AA551E">
        <w:rPr>
          <w:rFonts w:ascii="Times New Roman" w:hAnsi="Times New Roman" w:cs="Times New Roman"/>
        </w:rPr>
        <w:tab/>
      </w:r>
      <w:r w:rsidR="00BD7E31" w:rsidRPr="00AA551E">
        <w:rPr>
          <w:rFonts w:ascii="Times New Roman" w:hAnsi="Times New Roman" w:cs="Times New Roman"/>
        </w:rPr>
        <w:tab/>
      </w:r>
      <w:r w:rsidR="00BD7E31" w:rsidRPr="00AA551E">
        <w:rPr>
          <w:rFonts w:ascii="Times New Roman" w:hAnsi="Times New Roman" w:cs="Times New Roman"/>
        </w:rPr>
        <w:tab/>
      </w:r>
      <w:r w:rsidR="00BD7E31" w:rsidRPr="00AA551E">
        <w:rPr>
          <w:rFonts w:ascii="Times New Roman" w:hAnsi="Times New Roman" w:cs="Times New Roman"/>
        </w:rPr>
        <w:tab/>
      </w:r>
      <w:r w:rsidR="00BD7E31" w:rsidRPr="00AA551E">
        <w:rPr>
          <w:rFonts w:ascii="Times New Roman" w:hAnsi="Times New Roman" w:cs="Times New Roman"/>
        </w:rPr>
        <w:tab/>
      </w:r>
      <w:r w:rsidR="00BD7E31" w:rsidRPr="00AA551E">
        <w:rPr>
          <w:rFonts w:ascii="Times New Roman" w:hAnsi="Times New Roman" w:cs="Times New Roman"/>
        </w:rPr>
        <w:tab/>
      </w:r>
      <w:r w:rsidR="00A8338F" w:rsidRPr="00AA551E">
        <w:rPr>
          <w:rFonts w:ascii="Times New Roman" w:hAnsi="Times New Roman" w:cs="Times New Roman"/>
        </w:rPr>
        <w:tab/>
      </w:r>
    </w:p>
    <w:p w14:paraId="225C623D" w14:textId="77777777" w:rsidR="009B0F61" w:rsidRPr="00AA551E" w:rsidRDefault="0006208E" w:rsidP="00BD7E31">
      <w:pPr>
        <w:pStyle w:val="Heading2"/>
        <w:jc w:val="both"/>
        <w:rPr>
          <w:rFonts w:ascii="Times New Roman" w:hAnsi="Times New Roman" w:cs="Times New Roman"/>
        </w:rPr>
      </w:pPr>
      <w:bookmarkStart w:id="12" w:name="_Toc469571457"/>
      <w:r w:rsidRPr="008D3D69">
        <w:rPr>
          <w:rFonts w:ascii="Times New Roman" w:hAnsi="Times New Roman" w:cs="Times New Roman"/>
        </w:rPr>
        <w:t>Energy Burden</w:t>
      </w:r>
      <w:bookmarkEnd w:id="12"/>
      <w:r w:rsidRPr="00AA551E">
        <w:rPr>
          <w:rFonts w:ascii="Times New Roman" w:hAnsi="Times New Roman" w:cs="Times New Roman"/>
        </w:rPr>
        <w:t xml:space="preserve"> </w:t>
      </w:r>
    </w:p>
    <w:p w14:paraId="225C623E" w14:textId="77777777" w:rsidR="00B97FD2" w:rsidRPr="00AA551E" w:rsidRDefault="0006208E" w:rsidP="00BD7E31">
      <w:pPr>
        <w:widowControl w:val="0"/>
        <w:spacing w:line="480" w:lineRule="auto"/>
        <w:ind w:firstLine="720"/>
        <w:jc w:val="both"/>
        <w:rPr>
          <w:rFonts w:ascii="Times New Roman" w:hAnsi="Times New Roman" w:cs="Times New Roman"/>
        </w:rPr>
      </w:pPr>
      <w:r w:rsidRPr="00AA551E">
        <w:rPr>
          <w:rFonts w:ascii="Times New Roman" w:hAnsi="Times New Roman" w:cs="Times New Roman"/>
        </w:rPr>
        <w:t xml:space="preserve">“Energy burden” is the percentage of income that households pay for energy service.  This term is relevant to low-income issues as a comparison to income used for other essential needs such as food, housing, clothing, and health services.  Table </w:t>
      </w:r>
      <w:r w:rsidR="002E7B04">
        <w:rPr>
          <w:rFonts w:ascii="Times New Roman" w:hAnsi="Times New Roman" w:cs="Times New Roman"/>
        </w:rPr>
        <w:t>6</w:t>
      </w:r>
      <w:r w:rsidRPr="00AA551E">
        <w:rPr>
          <w:rFonts w:ascii="Times New Roman" w:hAnsi="Times New Roman" w:cs="Times New Roman"/>
        </w:rPr>
        <w:t xml:space="preserve"> includes information provided by the Spokane Neighborhood Action </w:t>
      </w:r>
      <w:r w:rsidR="00275CAD" w:rsidRPr="00AA551E">
        <w:rPr>
          <w:rFonts w:ascii="Times New Roman" w:hAnsi="Times New Roman" w:cs="Times New Roman"/>
        </w:rPr>
        <w:t>Partners</w:t>
      </w:r>
      <w:r w:rsidR="00463366" w:rsidRPr="00AA551E">
        <w:rPr>
          <w:rFonts w:ascii="Times New Roman" w:hAnsi="Times New Roman" w:cs="Times New Roman"/>
        </w:rPr>
        <w:t xml:space="preserve"> </w:t>
      </w:r>
      <w:r w:rsidRPr="00AA551E">
        <w:rPr>
          <w:rFonts w:ascii="Times New Roman" w:hAnsi="Times New Roman" w:cs="Times New Roman"/>
        </w:rPr>
        <w:t>(SNAP), depicts reductions in the energy burden experienced by energy assistance participants in the current program year.  The column titled “Before Benefits” represents the energy burden to low-income customers prior to receiving the energy assistance benefits.  Each successive column illustrates low-income customers’ energy burden after receiving the specified energy assistance benefit.  For customers receiving energy assistance benefits, the energy burden has been reduced by approximately 5</w:t>
      </w:r>
      <w:r w:rsidR="00DA4A6C">
        <w:rPr>
          <w:rFonts w:ascii="Times New Roman" w:hAnsi="Times New Roman" w:cs="Times New Roman"/>
        </w:rPr>
        <w:t>4</w:t>
      </w:r>
      <w:r w:rsidRPr="00AA551E">
        <w:rPr>
          <w:rFonts w:ascii="Times New Roman" w:hAnsi="Times New Roman" w:cs="Times New Roman"/>
        </w:rPr>
        <w:t>% for customers between 0 and 50% of the federal poverty level (FPL); 4</w:t>
      </w:r>
      <w:r w:rsidR="00DA4A6C">
        <w:rPr>
          <w:rFonts w:ascii="Times New Roman" w:hAnsi="Times New Roman" w:cs="Times New Roman"/>
        </w:rPr>
        <w:t>8</w:t>
      </w:r>
      <w:r w:rsidRPr="00AA551E">
        <w:rPr>
          <w:rFonts w:ascii="Times New Roman" w:hAnsi="Times New Roman" w:cs="Times New Roman"/>
        </w:rPr>
        <w:t xml:space="preserve">% for those between 51% to 100% FPL and by </w:t>
      </w:r>
      <w:r w:rsidR="00DA4A6C">
        <w:rPr>
          <w:rFonts w:ascii="Times New Roman" w:hAnsi="Times New Roman" w:cs="Times New Roman"/>
          <w:color w:val="000000" w:themeColor="text1"/>
        </w:rPr>
        <w:t>41</w:t>
      </w:r>
      <w:r w:rsidRPr="00AA551E">
        <w:rPr>
          <w:rFonts w:ascii="Times New Roman" w:hAnsi="Times New Roman" w:cs="Times New Roman"/>
          <w:color w:val="000000" w:themeColor="text1"/>
        </w:rPr>
        <w:t>%</w:t>
      </w:r>
      <w:r w:rsidRPr="00AA551E">
        <w:rPr>
          <w:rFonts w:ascii="Times New Roman" w:hAnsi="Times New Roman" w:cs="Times New Roman"/>
        </w:rPr>
        <w:t xml:space="preserve"> for energy assistance recipients between 101% and 125% of the FPL.</w:t>
      </w:r>
    </w:p>
    <w:p w14:paraId="225C623F" w14:textId="77777777" w:rsidR="00B97FD2" w:rsidRPr="00AA551E" w:rsidRDefault="002E7B04" w:rsidP="00BD7E31">
      <w:pPr>
        <w:pStyle w:val="BodyText"/>
        <w:tabs>
          <w:tab w:val="left" w:pos="720"/>
        </w:tabs>
        <w:spacing w:line="480" w:lineRule="auto"/>
        <w:jc w:val="both"/>
        <w:rPr>
          <w:rFonts w:ascii="Times New Roman" w:hAnsi="Times New Roman"/>
          <w:szCs w:val="24"/>
        </w:rPr>
      </w:pPr>
      <w:r>
        <w:rPr>
          <w:rFonts w:ascii="Times New Roman" w:hAnsi="Times New Roman"/>
          <w:szCs w:val="24"/>
        </w:rPr>
        <w:tab/>
        <w:t>Table 6</w:t>
      </w:r>
      <w:r w:rsidR="0006208E" w:rsidRPr="00AA551E">
        <w:rPr>
          <w:rFonts w:ascii="Times New Roman" w:hAnsi="Times New Roman"/>
          <w:szCs w:val="24"/>
        </w:rPr>
        <w:t xml:space="preserve"> has been calculated as follows:  </w:t>
      </w:r>
    </w:p>
    <w:p w14:paraId="225C6240" w14:textId="77777777" w:rsidR="00B97FD2" w:rsidRPr="00AA551E" w:rsidRDefault="0006208E" w:rsidP="0099149C">
      <w:pPr>
        <w:pStyle w:val="BodyText"/>
        <w:numPr>
          <w:ilvl w:val="0"/>
          <w:numId w:val="1"/>
        </w:numPr>
        <w:spacing w:line="360" w:lineRule="auto"/>
        <w:ind w:left="1440"/>
        <w:jc w:val="both"/>
        <w:rPr>
          <w:rFonts w:ascii="Times New Roman" w:hAnsi="Times New Roman"/>
          <w:szCs w:val="24"/>
        </w:rPr>
      </w:pPr>
      <w:r w:rsidRPr="00AA551E">
        <w:rPr>
          <w:rFonts w:ascii="Times New Roman" w:hAnsi="Times New Roman"/>
          <w:szCs w:val="24"/>
        </w:rPr>
        <w:t xml:space="preserve">The remaining households’ energy burden was calculated by dividing the annual household income by the annual energy costs.  </w:t>
      </w:r>
    </w:p>
    <w:p w14:paraId="225C6241" w14:textId="77777777" w:rsidR="00B97FD2" w:rsidRPr="00AA551E" w:rsidRDefault="0006208E" w:rsidP="0099149C">
      <w:pPr>
        <w:pStyle w:val="BodyText"/>
        <w:numPr>
          <w:ilvl w:val="0"/>
          <w:numId w:val="1"/>
        </w:numPr>
        <w:spacing w:line="360" w:lineRule="auto"/>
        <w:ind w:left="1440"/>
        <w:jc w:val="both"/>
        <w:rPr>
          <w:rFonts w:ascii="Times New Roman" w:hAnsi="Times New Roman"/>
          <w:szCs w:val="24"/>
        </w:rPr>
      </w:pPr>
      <w:r w:rsidRPr="00AA551E">
        <w:rPr>
          <w:rFonts w:ascii="Times New Roman" w:hAnsi="Times New Roman"/>
          <w:szCs w:val="24"/>
        </w:rPr>
        <w:t xml:space="preserve">Annual income was calculated by multiplying the three-month average, required at the time of application, by four to determine the annual amount.  </w:t>
      </w:r>
    </w:p>
    <w:p w14:paraId="225C6242" w14:textId="77777777" w:rsidR="00B97FD2" w:rsidRPr="00AA551E" w:rsidRDefault="0006208E" w:rsidP="0099149C">
      <w:pPr>
        <w:pStyle w:val="BodyText"/>
        <w:numPr>
          <w:ilvl w:val="0"/>
          <w:numId w:val="1"/>
        </w:numPr>
        <w:spacing w:line="360" w:lineRule="auto"/>
        <w:ind w:left="1440"/>
        <w:jc w:val="both"/>
        <w:rPr>
          <w:rFonts w:ascii="Times New Roman" w:hAnsi="Times New Roman"/>
          <w:szCs w:val="24"/>
        </w:rPr>
      </w:pPr>
      <w:r w:rsidRPr="00AA551E">
        <w:rPr>
          <w:rFonts w:ascii="Times New Roman" w:hAnsi="Times New Roman"/>
          <w:szCs w:val="24"/>
        </w:rPr>
        <w:t>Annual energy costs were determined by the actual previous 12 months energy usage from the date of application.  When annual energy costs are not available, a backup amount developed on the average cost for households, with that fuel type and vendor, was used.</w:t>
      </w:r>
    </w:p>
    <w:p w14:paraId="225C6243" w14:textId="77777777" w:rsidR="003C465B" w:rsidRDefault="003C465B">
      <w:pPr>
        <w:rPr>
          <w:rFonts w:ascii="Times New Roman" w:eastAsiaTheme="majorEastAsia" w:hAnsi="Times New Roman" w:cs="Times New Roman"/>
          <w:b/>
          <w:bCs/>
          <w:snapToGrid w:val="0"/>
          <w:color w:val="1869A6"/>
          <w:sz w:val="28"/>
          <w:szCs w:val="26"/>
        </w:rPr>
      </w:pPr>
      <w:bookmarkStart w:id="13" w:name="_Toc469571458"/>
      <w:r>
        <w:rPr>
          <w:rFonts w:ascii="Times New Roman" w:hAnsi="Times New Roman" w:cs="Times New Roman"/>
        </w:rPr>
        <w:br w:type="page"/>
      </w:r>
    </w:p>
    <w:p w14:paraId="225C6244" w14:textId="77777777" w:rsidR="00B97FD2" w:rsidRPr="00AA551E" w:rsidRDefault="0006208E" w:rsidP="00BD7E31">
      <w:pPr>
        <w:pStyle w:val="Heading2"/>
        <w:jc w:val="both"/>
        <w:rPr>
          <w:rFonts w:ascii="Times New Roman" w:hAnsi="Times New Roman" w:cs="Times New Roman"/>
        </w:rPr>
      </w:pPr>
      <w:r w:rsidRPr="008D3D69">
        <w:rPr>
          <w:rFonts w:ascii="Times New Roman" w:hAnsi="Times New Roman" w:cs="Times New Roman"/>
        </w:rPr>
        <w:lastRenderedPageBreak/>
        <w:t>Table 6 - Energy Burden - Total Energy costs divided by household income</w:t>
      </w:r>
      <w:bookmarkEnd w:id="13"/>
    </w:p>
    <w:p w14:paraId="225C6245" w14:textId="77777777" w:rsidR="00B97FD2" w:rsidRPr="00D0348F" w:rsidRDefault="00B97FD2" w:rsidP="00BD7E31">
      <w:pPr>
        <w:jc w:val="both"/>
        <w:rPr>
          <w:rFonts w:cs="Arial"/>
        </w:rPr>
      </w:pPr>
    </w:p>
    <w:tbl>
      <w:tblPr>
        <w:tblW w:w="6792" w:type="dxa"/>
        <w:tblInd w:w="1276" w:type="dxa"/>
        <w:tblLayout w:type="fixed"/>
        <w:tblCellMar>
          <w:left w:w="0" w:type="dxa"/>
          <w:right w:w="0" w:type="dxa"/>
        </w:tblCellMar>
        <w:tblLook w:val="04A0" w:firstRow="1" w:lastRow="0" w:firstColumn="1" w:lastColumn="0" w:noHBand="0" w:noVBand="1"/>
      </w:tblPr>
      <w:tblGrid>
        <w:gridCol w:w="1384"/>
        <w:gridCol w:w="1120"/>
        <w:gridCol w:w="855"/>
        <w:gridCol w:w="856"/>
        <w:gridCol w:w="856"/>
        <w:gridCol w:w="856"/>
        <w:gridCol w:w="865"/>
      </w:tblGrid>
      <w:tr w:rsidR="003B291E" w:rsidRPr="00D0348F" w14:paraId="225C6249" w14:textId="77777777" w:rsidTr="003C465B">
        <w:trPr>
          <w:trHeight w:val="48"/>
        </w:trPr>
        <w:tc>
          <w:tcPr>
            <w:tcW w:w="6792" w:type="dxa"/>
            <w:gridSpan w:val="7"/>
            <w:tcBorders>
              <w:top w:val="single" w:sz="8" w:space="0" w:color="auto"/>
              <w:left w:val="single" w:sz="8" w:space="0" w:color="auto"/>
              <w:right w:val="single" w:sz="8" w:space="0" w:color="auto"/>
            </w:tcBorders>
            <w:noWrap/>
            <w:tcMar>
              <w:top w:w="15" w:type="dxa"/>
              <w:left w:w="15" w:type="dxa"/>
              <w:bottom w:w="0" w:type="dxa"/>
              <w:right w:w="15" w:type="dxa"/>
            </w:tcMar>
            <w:vAlign w:val="bottom"/>
          </w:tcPr>
          <w:p w14:paraId="225C6246" w14:textId="77777777" w:rsidR="003B291E" w:rsidRPr="00D0348F" w:rsidRDefault="003B291E" w:rsidP="003B291E">
            <w:pPr>
              <w:jc w:val="both"/>
              <w:rPr>
                <w:rFonts w:cs="Arial"/>
                <w:sz w:val="20"/>
              </w:rPr>
            </w:pPr>
            <w:r w:rsidRPr="007B2B33">
              <w:rPr>
                <w:rFonts w:cs="Arial"/>
                <w:sz w:val="20"/>
              </w:rPr>
              <w:t> </w:t>
            </w:r>
            <w:r w:rsidRPr="00D0348F">
              <w:rPr>
                <w:rFonts w:cs="Arial"/>
                <w:b/>
                <w:bCs/>
                <w:sz w:val="20"/>
              </w:rPr>
              <w:t xml:space="preserve">ENERGY BURDEN </w:t>
            </w:r>
            <w:r w:rsidR="008D3D69" w:rsidRPr="00D0348F">
              <w:rPr>
                <w:rFonts w:cs="Arial"/>
                <w:b/>
                <w:bCs/>
                <w:sz w:val="20"/>
              </w:rPr>
              <w:t>201</w:t>
            </w:r>
            <w:r w:rsidR="008D3D69">
              <w:rPr>
                <w:rFonts w:cs="Arial"/>
                <w:b/>
                <w:bCs/>
                <w:sz w:val="20"/>
              </w:rPr>
              <w:t>5</w:t>
            </w:r>
            <w:r w:rsidRPr="00D0348F">
              <w:rPr>
                <w:rFonts w:cs="Arial"/>
                <w:b/>
                <w:bCs/>
                <w:sz w:val="20"/>
              </w:rPr>
              <w:t>/</w:t>
            </w:r>
            <w:r w:rsidR="008D3D69" w:rsidRPr="00D0348F">
              <w:rPr>
                <w:rFonts w:cs="Arial"/>
                <w:b/>
                <w:bCs/>
                <w:sz w:val="20"/>
              </w:rPr>
              <w:t>20</w:t>
            </w:r>
            <w:r w:rsidR="008D3D69">
              <w:rPr>
                <w:rFonts w:cs="Arial"/>
                <w:b/>
                <w:bCs/>
                <w:sz w:val="20"/>
              </w:rPr>
              <w:t>16</w:t>
            </w:r>
            <w:r w:rsidRPr="00D0348F">
              <w:rPr>
                <w:rStyle w:val="FootnoteReference"/>
                <w:rFonts w:cs="Arial"/>
                <w:b/>
                <w:bCs/>
                <w:sz w:val="20"/>
              </w:rPr>
              <w:footnoteReference w:id="2"/>
            </w:r>
          </w:p>
          <w:p w14:paraId="225C6247" w14:textId="77777777" w:rsidR="003B291E" w:rsidRPr="00D0348F" w:rsidRDefault="003B291E" w:rsidP="003B291E">
            <w:pPr>
              <w:jc w:val="both"/>
              <w:rPr>
                <w:rFonts w:cs="Arial"/>
                <w:sz w:val="20"/>
              </w:rPr>
            </w:pPr>
            <w:r w:rsidRPr="007B2B33">
              <w:rPr>
                <w:rFonts w:cs="Arial"/>
                <w:sz w:val="20"/>
              </w:rPr>
              <w:t> </w:t>
            </w:r>
          </w:p>
          <w:p w14:paraId="225C6248" w14:textId="77777777" w:rsidR="003B291E" w:rsidRPr="00D0348F" w:rsidRDefault="003B291E" w:rsidP="003B291E">
            <w:pPr>
              <w:jc w:val="both"/>
              <w:rPr>
                <w:rFonts w:cs="Arial"/>
                <w:sz w:val="20"/>
              </w:rPr>
            </w:pPr>
            <w:r w:rsidRPr="007B2B33">
              <w:rPr>
                <w:rFonts w:cs="Arial"/>
                <w:sz w:val="20"/>
              </w:rPr>
              <w:t> </w:t>
            </w:r>
          </w:p>
        </w:tc>
      </w:tr>
      <w:tr w:rsidR="003B291E" w14:paraId="225C624D" w14:textId="77777777" w:rsidTr="003C465B">
        <w:trPr>
          <w:trHeight w:val="201"/>
        </w:trPr>
        <w:tc>
          <w:tcPr>
            <w:tcW w:w="6792" w:type="dxa"/>
            <w:gridSpan w:val="7"/>
            <w:tcBorders>
              <w:left w:val="single" w:sz="8" w:space="0" w:color="auto"/>
              <w:bottom w:val="single" w:sz="8" w:space="0" w:color="auto"/>
              <w:right w:val="single" w:sz="8" w:space="0" w:color="000000"/>
            </w:tcBorders>
            <w:noWrap/>
            <w:tcMar>
              <w:top w:w="15" w:type="dxa"/>
              <w:left w:w="15" w:type="dxa"/>
              <w:bottom w:w="0" w:type="dxa"/>
              <w:right w:w="15" w:type="dxa"/>
            </w:tcMar>
            <w:vAlign w:val="bottom"/>
          </w:tcPr>
          <w:p w14:paraId="225C624A" w14:textId="77777777" w:rsidR="003B291E" w:rsidRDefault="003B291E" w:rsidP="003B291E">
            <w:pPr>
              <w:jc w:val="center"/>
              <w:rPr>
                <w:rFonts w:cs="Arial"/>
                <w:sz w:val="20"/>
              </w:rPr>
            </w:pPr>
          </w:p>
          <w:p w14:paraId="225C624B" w14:textId="77777777" w:rsidR="003B291E" w:rsidRDefault="003B291E" w:rsidP="003B291E">
            <w:pPr>
              <w:jc w:val="center"/>
              <w:rPr>
                <w:rFonts w:cs="Arial"/>
                <w:sz w:val="20"/>
              </w:rPr>
            </w:pPr>
          </w:p>
          <w:p w14:paraId="225C624C" w14:textId="77777777" w:rsidR="003B291E" w:rsidRDefault="003B291E" w:rsidP="003B291E">
            <w:pPr>
              <w:rPr>
                <w:rFonts w:cs="Arial"/>
                <w:sz w:val="20"/>
              </w:rPr>
            </w:pPr>
            <w:r w:rsidRPr="007B2B33">
              <w:rPr>
                <w:rFonts w:cs="Arial"/>
                <w:sz w:val="20"/>
              </w:rPr>
              <w:t>Energy costs are reduced by benefits for these calculations</w:t>
            </w:r>
          </w:p>
        </w:tc>
      </w:tr>
      <w:tr w:rsidR="003B291E" w:rsidRPr="00D0348F" w14:paraId="225C6255" w14:textId="77777777" w:rsidTr="003C465B">
        <w:trPr>
          <w:trHeight w:val="1523"/>
        </w:trPr>
        <w:tc>
          <w:tcPr>
            <w:tcW w:w="1384"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14:paraId="225C624E" w14:textId="77777777" w:rsidR="003B291E" w:rsidRPr="00D0348F" w:rsidRDefault="003B291E" w:rsidP="003B291E">
            <w:pPr>
              <w:jc w:val="both"/>
              <w:rPr>
                <w:rFonts w:cs="Arial"/>
                <w:sz w:val="20"/>
              </w:rPr>
            </w:pPr>
            <w:r w:rsidRPr="007B2B33">
              <w:rPr>
                <w:rFonts w:cs="Arial"/>
                <w:sz w:val="20"/>
              </w:rPr>
              <w:t> </w:t>
            </w:r>
          </w:p>
        </w:tc>
        <w:tc>
          <w:tcPr>
            <w:tcW w:w="1120" w:type="dxa"/>
            <w:tcBorders>
              <w:top w:val="single" w:sz="8" w:space="0" w:color="auto"/>
              <w:left w:val="nil"/>
              <w:bottom w:val="single" w:sz="8" w:space="0" w:color="auto"/>
              <w:right w:val="nil"/>
            </w:tcBorders>
            <w:noWrap/>
            <w:tcMar>
              <w:top w:w="15" w:type="dxa"/>
              <w:left w:w="15" w:type="dxa"/>
              <w:bottom w:w="0" w:type="dxa"/>
              <w:right w:w="15" w:type="dxa"/>
            </w:tcMar>
            <w:vAlign w:val="bottom"/>
          </w:tcPr>
          <w:p w14:paraId="225C624F" w14:textId="77777777" w:rsidR="003B291E" w:rsidRPr="00D0348F" w:rsidRDefault="003B291E" w:rsidP="003B291E">
            <w:pPr>
              <w:jc w:val="both"/>
              <w:rPr>
                <w:rFonts w:cs="Arial"/>
                <w:sz w:val="20"/>
              </w:rPr>
            </w:pPr>
            <w:r w:rsidRPr="007B2B33">
              <w:rPr>
                <w:rFonts w:cs="Arial"/>
                <w:sz w:val="20"/>
              </w:rPr>
              <w:t> </w:t>
            </w:r>
          </w:p>
        </w:tc>
        <w:tc>
          <w:tcPr>
            <w:tcW w:w="855" w:type="dxa"/>
            <w:tcBorders>
              <w:top w:val="nil"/>
              <w:left w:val="single" w:sz="8" w:space="0" w:color="auto"/>
              <w:bottom w:val="single" w:sz="8" w:space="0" w:color="auto"/>
              <w:right w:val="single" w:sz="8" w:space="0" w:color="auto"/>
            </w:tcBorders>
            <w:noWrap/>
            <w:tcMar>
              <w:top w:w="15" w:type="dxa"/>
              <w:left w:w="15" w:type="dxa"/>
              <w:bottom w:w="0" w:type="dxa"/>
              <w:right w:w="15" w:type="dxa"/>
            </w:tcMar>
            <w:textDirection w:val="btLr"/>
            <w:vAlign w:val="center"/>
          </w:tcPr>
          <w:p w14:paraId="225C6250" w14:textId="77777777" w:rsidR="003B291E" w:rsidRPr="00D0348F" w:rsidRDefault="003B291E" w:rsidP="003B291E">
            <w:pPr>
              <w:jc w:val="center"/>
              <w:rPr>
                <w:rFonts w:cs="Arial"/>
                <w:b/>
                <w:bCs/>
                <w:sz w:val="20"/>
              </w:rPr>
            </w:pPr>
            <w:r w:rsidRPr="007B2B33">
              <w:rPr>
                <w:rFonts w:cs="Arial"/>
                <w:b/>
                <w:bCs/>
                <w:sz w:val="20"/>
              </w:rPr>
              <w:t>Before Benefits</w:t>
            </w:r>
          </w:p>
        </w:tc>
        <w:tc>
          <w:tcPr>
            <w:tcW w:w="856"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center"/>
          </w:tcPr>
          <w:p w14:paraId="225C6251" w14:textId="77777777" w:rsidR="003B291E" w:rsidRPr="00D0348F" w:rsidRDefault="003B291E" w:rsidP="003B291E">
            <w:pPr>
              <w:jc w:val="center"/>
              <w:rPr>
                <w:rFonts w:cs="Arial"/>
                <w:b/>
                <w:bCs/>
                <w:sz w:val="20"/>
              </w:rPr>
            </w:pPr>
            <w:r w:rsidRPr="007B2B33">
              <w:rPr>
                <w:rFonts w:cs="Arial"/>
                <w:b/>
                <w:bCs/>
                <w:sz w:val="20"/>
              </w:rPr>
              <w:t>EAP or Avista</w:t>
            </w:r>
          </w:p>
        </w:tc>
        <w:tc>
          <w:tcPr>
            <w:tcW w:w="856"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center"/>
          </w:tcPr>
          <w:p w14:paraId="225C6252" w14:textId="77777777" w:rsidR="003B291E" w:rsidRPr="00D0348F" w:rsidRDefault="003B291E" w:rsidP="003B291E">
            <w:pPr>
              <w:jc w:val="center"/>
              <w:rPr>
                <w:rFonts w:cs="Arial"/>
                <w:b/>
                <w:bCs/>
                <w:sz w:val="20"/>
              </w:rPr>
            </w:pPr>
            <w:r w:rsidRPr="007B2B33">
              <w:rPr>
                <w:rFonts w:cs="Arial"/>
                <w:b/>
                <w:bCs/>
                <w:sz w:val="20"/>
              </w:rPr>
              <w:t>Plus Senior</w:t>
            </w:r>
          </w:p>
        </w:tc>
        <w:tc>
          <w:tcPr>
            <w:tcW w:w="856"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center"/>
          </w:tcPr>
          <w:p w14:paraId="225C6253" w14:textId="77777777" w:rsidR="003B291E" w:rsidRPr="00D0348F" w:rsidRDefault="003B291E" w:rsidP="003B291E">
            <w:pPr>
              <w:jc w:val="center"/>
              <w:rPr>
                <w:rFonts w:cs="Arial"/>
                <w:b/>
                <w:bCs/>
                <w:sz w:val="20"/>
              </w:rPr>
            </w:pPr>
            <w:r w:rsidRPr="007B2B33">
              <w:rPr>
                <w:rFonts w:cs="Arial"/>
                <w:b/>
                <w:bCs/>
                <w:sz w:val="20"/>
              </w:rPr>
              <w:t>Plus  Avista Emergency</w:t>
            </w:r>
          </w:p>
        </w:tc>
        <w:tc>
          <w:tcPr>
            <w:tcW w:w="865"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center"/>
          </w:tcPr>
          <w:p w14:paraId="225C6254" w14:textId="77777777" w:rsidR="003B291E" w:rsidRPr="00D0348F" w:rsidRDefault="003B291E" w:rsidP="003B291E">
            <w:pPr>
              <w:jc w:val="center"/>
              <w:rPr>
                <w:rFonts w:cs="Arial"/>
                <w:b/>
                <w:bCs/>
                <w:sz w:val="20"/>
              </w:rPr>
            </w:pPr>
            <w:r w:rsidRPr="007B2B33">
              <w:rPr>
                <w:rFonts w:cs="Arial"/>
                <w:b/>
                <w:bCs/>
                <w:sz w:val="20"/>
              </w:rPr>
              <w:t>All Benefits</w:t>
            </w:r>
          </w:p>
        </w:tc>
      </w:tr>
      <w:tr w:rsidR="003B291E" w:rsidRPr="00D0348F" w14:paraId="225C625D" w14:textId="77777777" w:rsidTr="003C465B">
        <w:trPr>
          <w:trHeight w:val="189"/>
        </w:trPr>
        <w:tc>
          <w:tcPr>
            <w:tcW w:w="1384" w:type="dxa"/>
            <w:tcBorders>
              <w:top w:val="single" w:sz="8" w:space="0" w:color="auto"/>
              <w:left w:val="single" w:sz="8" w:space="0" w:color="auto"/>
              <w:bottom w:val="nil"/>
              <w:right w:val="nil"/>
            </w:tcBorders>
            <w:noWrap/>
            <w:tcMar>
              <w:top w:w="15" w:type="dxa"/>
              <w:left w:w="15" w:type="dxa"/>
              <w:bottom w:w="0" w:type="dxa"/>
              <w:right w:w="15" w:type="dxa"/>
            </w:tcMar>
            <w:vAlign w:val="bottom"/>
          </w:tcPr>
          <w:p w14:paraId="225C6256" w14:textId="77777777" w:rsidR="003B291E" w:rsidRPr="00D0348F" w:rsidRDefault="003B291E" w:rsidP="003B291E">
            <w:pPr>
              <w:jc w:val="both"/>
              <w:rPr>
                <w:rFonts w:cs="Arial"/>
                <w:b/>
                <w:bCs/>
                <w:sz w:val="20"/>
              </w:rPr>
            </w:pPr>
            <w:r w:rsidRPr="007B2B33">
              <w:rPr>
                <w:rFonts w:cs="Arial"/>
                <w:b/>
                <w:bCs/>
                <w:sz w:val="20"/>
              </w:rPr>
              <w:t>0-50%FPL</w:t>
            </w:r>
          </w:p>
        </w:tc>
        <w:tc>
          <w:tcPr>
            <w:tcW w:w="1120" w:type="dxa"/>
            <w:tcBorders>
              <w:top w:val="single" w:sz="8" w:space="0" w:color="auto"/>
              <w:left w:val="single" w:sz="8" w:space="0" w:color="auto"/>
              <w:bottom w:val="nil"/>
              <w:right w:val="nil"/>
            </w:tcBorders>
            <w:noWrap/>
            <w:tcMar>
              <w:top w:w="15" w:type="dxa"/>
              <w:left w:w="15" w:type="dxa"/>
              <w:bottom w:w="0" w:type="dxa"/>
              <w:right w:w="15" w:type="dxa"/>
            </w:tcMar>
            <w:vAlign w:val="bottom"/>
          </w:tcPr>
          <w:p w14:paraId="225C6257" w14:textId="77777777" w:rsidR="003B291E" w:rsidRPr="00D0348F" w:rsidRDefault="003B291E" w:rsidP="003B291E">
            <w:pPr>
              <w:jc w:val="both"/>
              <w:rPr>
                <w:rFonts w:cs="Arial"/>
                <w:sz w:val="20"/>
              </w:rPr>
            </w:pPr>
          </w:p>
        </w:tc>
        <w:tc>
          <w:tcPr>
            <w:tcW w:w="855" w:type="dxa"/>
            <w:tcBorders>
              <w:top w:val="single" w:sz="8" w:space="0" w:color="auto"/>
              <w:left w:val="single" w:sz="8" w:space="0" w:color="auto"/>
              <w:bottom w:val="nil"/>
              <w:right w:val="nil"/>
            </w:tcBorders>
            <w:noWrap/>
            <w:tcMar>
              <w:top w:w="15" w:type="dxa"/>
              <w:left w:w="15" w:type="dxa"/>
              <w:bottom w:w="0" w:type="dxa"/>
              <w:right w:w="15" w:type="dxa"/>
            </w:tcMar>
            <w:vAlign w:val="center"/>
          </w:tcPr>
          <w:p w14:paraId="225C6258" w14:textId="77777777" w:rsidR="003B291E" w:rsidRPr="00D0348F" w:rsidRDefault="003B291E" w:rsidP="003B291E">
            <w:pPr>
              <w:jc w:val="center"/>
              <w:rPr>
                <w:rFonts w:cs="Arial"/>
                <w:sz w:val="20"/>
              </w:rPr>
            </w:pPr>
          </w:p>
        </w:tc>
        <w:tc>
          <w:tcPr>
            <w:tcW w:w="856" w:type="dxa"/>
            <w:tcBorders>
              <w:top w:val="single" w:sz="8" w:space="0" w:color="auto"/>
              <w:left w:val="single" w:sz="8" w:space="0" w:color="auto"/>
              <w:bottom w:val="nil"/>
              <w:right w:val="nil"/>
            </w:tcBorders>
            <w:noWrap/>
            <w:tcMar>
              <w:top w:w="15" w:type="dxa"/>
              <w:left w:w="15" w:type="dxa"/>
              <w:bottom w:w="0" w:type="dxa"/>
              <w:right w:w="15" w:type="dxa"/>
            </w:tcMar>
            <w:vAlign w:val="center"/>
          </w:tcPr>
          <w:p w14:paraId="225C6259" w14:textId="77777777" w:rsidR="003B291E" w:rsidRPr="00D0348F" w:rsidRDefault="003B291E" w:rsidP="003B291E">
            <w:pPr>
              <w:jc w:val="center"/>
              <w:rPr>
                <w:rFonts w:cs="Arial"/>
                <w:sz w:val="20"/>
              </w:rPr>
            </w:pPr>
          </w:p>
        </w:tc>
        <w:tc>
          <w:tcPr>
            <w:tcW w:w="856" w:type="dxa"/>
            <w:tcBorders>
              <w:top w:val="single" w:sz="8" w:space="0" w:color="auto"/>
              <w:left w:val="single" w:sz="8" w:space="0" w:color="auto"/>
              <w:bottom w:val="nil"/>
              <w:right w:val="nil"/>
            </w:tcBorders>
            <w:noWrap/>
            <w:tcMar>
              <w:top w:w="15" w:type="dxa"/>
              <w:left w:w="15" w:type="dxa"/>
              <w:bottom w:w="0" w:type="dxa"/>
              <w:right w:w="15" w:type="dxa"/>
            </w:tcMar>
            <w:vAlign w:val="center"/>
          </w:tcPr>
          <w:p w14:paraId="225C625A" w14:textId="77777777" w:rsidR="003B291E" w:rsidRPr="00D0348F" w:rsidRDefault="003B291E" w:rsidP="003B291E">
            <w:pPr>
              <w:jc w:val="center"/>
              <w:rPr>
                <w:rFonts w:cs="Arial"/>
                <w:sz w:val="20"/>
              </w:rPr>
            </w:pPr>
          </w:p>
        </w:tc>
        <w:tc>
          <w:tcPr>
            <w:tcW w:w="856" w:type="dxa"/>
            <w:tcBorders>
              <w:top w:val="single" w:sz="8" w:space="0" w:color="auto"/>
              <w:left w:val="single" w:sz="8" w:space="0" w:color="auto"/>
              <w:bottom w:val="nil"/>
              <w:right w:val="nil"/>
            </w:tcBorders>
            <w:noWrap/>
            <w:tcMar>
              <w:top w:w="15" w:type="dxa"/>
              <w:left w:w="15" w:type="dxa"/>
              <w:bottom w:w="0" w:type="dxa"/>
              <w:right w:w="15" w:type="dxa"/>
            </w:tcMar>
            <w:vAlign w:val="center"/>
          </w:tcPr>
          <w:p w14:paraId="225C625B" w14:textId="77777777" w:rsidR="003B291E" w:rsidRPr="00D0348F" w:rsidRDefault="003B291E" w:rsidP="003B291E">
            <w:pPr>
              <w:jc w:val="center"/>
              <w:rPr>
                <w:rFonts w:cs="Arial"/>
                <w:sz w:val="20"/>
              </w:rPr>
            </w:pPr>
          </w:p>
        </w:tc>
        <w:tc>
          <w:tcPr>
            <w:tcW w:w="865"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center"/>
          </w:tcPr>
          <w:p w14:paraId="225C625C" w14:textId="77777777" w:rsidR="003B291E" w:rsidRPr="00D0348F" w:rsidRDefault="003B291E" w:rsidP="003B291E">
            <w:pPr>
              <w:jc w:val="center"/>
              <w:rPr>
                <w:rFonts w:cs="Arial"/>
                <w:sz w:val="20"/>
              </w:rPr>
            </w:pPr>
          </w:p>
        </w:tc>
      </w:tr>
      <w:tr w:rsidR="003B291E" w:rsidRPr="00D0348F" w14:paraId="225C6265" w14:textId="77777777" w:rsidTr="003C465B">
        <w:trPr>
          <w:trHeight w:val="189"/>
        </w:trPr>
        <w:tc>
          <w:tcPr>
            <w:tcW w:w="1384" w:type="dxa"/>
            <w:tcBorders>
              <w:top w:val="nil"/>
              <w:left w:val="single" w:sz="8" w:space="0" w:color="auto"/>
              <w:bottom w:val="nil"/>
              <w:right w:val="single" w:sz="8" w:space="0" w:color="auto"/>
            </w:tcBorders>
            <w:noWrap/>
            <w:tcMar>
              <w:top w:w="15" w:type="dxa"/>
              <w:left w:w="15" w:type="dxa"/>
              <w:bottom w:w="0" w:type="dxa"/>
              <w:right w:w="15" w:type="dxa"/>
            </w:tcMar>
            <w:vAlign w:val="bottom"/>
          </w:tcPr>
          <w:p w14:paraId="225C625E" w14:textId="77777777" w:rsidR="003B291E" w:rsidRPr="00D0348F" w:rsidRDefault="003B291E" w:rsidP="003B291E">
            <w:pPr>
              <w:jc w:val="both"/>
              <w:rPr>
                <w:rFonts w:cs="Arial"/>
                <w:b/>
                <w:bCs/>
                <w:sz w:val="20"/>
              </w:rPr>
            </w:pPr>
            <w:r w:rsidRPr="007B2B33">
              <w:rPr>
                <w:rFonts w:cs="Arial"/>
                <w:b/>
                <w:bCs/>
                <w:sz w:val="20"/>
              </w:rPr>
              <w:t> </w:t>
            </w:r>
          </w:p>
        </w:tc>
        <w:tc>
          <w:tcPr>
            <w:tcW w:w="1120" w:type="dxa"/>
            <w:tcBorders>
              <w:top w:val="nil"/>
              <w:left w:val="nil"/>
              <w:bottom w:val="nil"/>
              <w:right w:val="single" w:sz="8" w:space="0" w:color="auto"/>
            </w:tcBorders>
            <w:noWrap/>
            <w:tcMar>
              <w:top w:w="15" w:type="dxa"/>
              <w:left w:w="15" w:type="dxa"/>
              <w:bottom w:w="0" w:type="dxa"/>
              <w:right w:w="15" w:type="dxa"/>
            </w:tcMar>
            <w:vAlign w:val="bottom"/>
          </w:tcPr>
          <w:p w14:paraId="225C625F" w14:textId="77777777" w:rsidR="003B291E" w:rsidRDefault="003B291E" w:rsidP="003B291E">
            <w:pPr>
              <w:jc w:val="center"/>
              <w:rPr>
                <w:rFonts w:cs="Arial"/>
                <w:sz w:val="20"/>
              </w:rPr>
            </w:pPr>
            <w:r w:rsidRPr="007B2B33">
              <w:rPr>
                <w:rFonts w:cs="Arial"/>
                <w:sz w:val="20"/>
              </w:rPr>
              <w:t>N</w:t>
            </w:r>
          </w:p>
        </w:tc>
        <w:tc>
          <w:tcPr>
            <w:tcW w:w="855" w:type="dxa"/>
            <w:tcBorders>
              <w:top w:val="nil"/>
              <w:left w:val="nil"/>
              <w:bottom w:val="nil"/>
              <w:right w:val="single" w:sz="8" w:space="0" w:color="auto"/>
            </w:tcBorders>
            <w:noWrap/>
            <w:tcMar>
              <w:top w:w="15" w:type="dxa"/>
              <w:left w:w="15" w:type="dxa"/>
              <w:bottom w:w="0" w:type="dxa"/>
              <w:right w:w="15" w:type="dxa"/>
            </w:tcMar>
            <w:vAlign w:val="center"/>
          </w:tcPr>
          <w:p w14:paraId="225C6260" w14:textId="77777777" w:rsidR="003B291E" w:rsidRPr="00D0348F" w:rsidRDefault="003B291E" w:rsidP="003B291E">
            <w:pPr>
              <w:jc w:val="center"/>
              <w:rPr>
                <w:rFonts w:cs="Arial"/>
                <w:sz w:val="20"/>
              </w:rPr>
            </w:pPr>
          </w:p>
        </w:tc>
        <w:tc>
          <w:tcPr>
            <w:tcW w:w="856" w:type="dxa"/>
            <w:tcBorders>
              <w:top w:val="nil"/>
              <w:left w:val="nil"/>
              <w:right w:val="single" w:sz="8" w:space="0" w:color="auto"/>
            </w:tcBorders>
            <w:noWrap/>
            <w:tcMar>
              <w:top w:w="15" w:type="dxa"/>
              <w:left w:w="15" w:type="dxa"/>
              <w:bottom w:w="0" w:type="dxa"/>
              <w:right w:w="15" w:type="dxa"/>
            </w:tcMar>
            <w:vAlign w:val="center"/>
          </w:tcPr>
          <w:p w14:paraId="225C6261" w14:textId="77777777" w:rsidR="003B291E" w:rsidRPr="00D0348F" w:rsidRDefault="003B291E" w:rsidP="003B291E">
            <w:pPr>
              <w:jc w:val="center"/>
              <w:rPr>
                <w:rFonts w:cs="Arial"/>
                <w:sz w:val="20"/>
              </w:rPr>
            </w:pP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62" w14:textId="77777777" w:rsidR="003B291E" w:rsidRPr="00D0348F" w:rsidRDefault="003B291E" w:rsidP="003B291E">
            <w:pPr>
              <w:jc w:val="center"/>
              <w:rPr>
                <w:rFonts w:cs="Arial"/>
                <w:sz w:val="20"/>
              </w:rPr>
            </w:pP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63" w14:textId="77777777" w:rsidR="003B291E" w:rsidRPr="00D0348F" w:rsidRDefault="003B291E" w:rsidP="003B291E">
            <w:pPr>
              <w:jc w:val="center"/>
              <w:rPr>
                <w:rFonts w:cs="Arial"/>
                <w:sz w:val="20"/>
              </w:rPr>
            </w:pPr>
          </w:p>
        </w:tc>
        <w:tc>
          <w:tcPr>
            <w:tcW w:w="865" w:type="dxa"/>
            <w:tcBorders>
              <w:top w:val="nil"/>
              <w:left w:val="nil"/>
              <w:bottom w:val="nil"/>
              <w:right w:val="single" w:sz="8" w:space="0" w:color="auto"/>
            </w:tcBorders>
            <w:noWrap/>
            <w:tcMar>
              <w:top w:w="15" w:type="dxa"/>
              <w:left w:w="15" w:type="dxa"/>
              <w:bottom w:w="0" w:type="dxa"/>
              <w:right w:w="15" w:type="dxa"/>
            </w:tcMar>
            <w:vAlign w:val="center"/>
          </w:tcPr>
          <w:p w14:paraId="225C6264" w14:textId="77777777" w:rsidR="003B291E" w:rsidRPr="00D0348F" w:rsidRDefault="003B291E" w:rsidP="003B291E">
            <w:pPr>
              <w:jc w:val="center"/>
              <w:rPr>
                <w:rFonts w:cs="Arial"/>
                <w:sz w:val="20"/>
              </w:rPr>
            </w:pPr>
          </w:p>
        </w:tc>
      </w:tr>
      <w:tr w:rsidR="003B291E" w:rsidRPr="00D0348F" w14:paraId="225C626D" w14:textId="77777777" w:rsidTr="003C465B">
        <w:trPr>
          <w:trHeight w:val="189"/>
        </w:trPr>
        <w:tc>
          <w:tcPr>
            <w:tcW w:w="1384" w:type="dxa"/>
            <w:tcBorders>
              <w:top w:val="nil"/>
              <w:left w:val="single" w:sz="8" w:space="0" w:color="auto"/>
              <w:bottom w:val="nil"/>
              <w:right w:val="single" w:sz="8" w:space="0" w:color="auto"/>
            </w:tcBorders>
            <w:noWrap/>
            <w:tcMar>
              <w:top w:w="15" w:type="dxa"/>
              <w:left w:w="15" w:type="dxa"/>
              <w:bottom w:w="0" w:type="dxa"/>
              <w:right w:w="15" w:type="dxa"/>
            </w:tcMar>
            <w:vAlign w:val="bottom"/>
          </w:tcPr>
          <w:p w14:paraId="225C6266" w14:textId="77777777" w:rsidR="003B291E" w:rsidRPr="00D0348F" w:rsidRDefault="003B291E" w:rsidP="003B291E">
            <w:pPr>
              <w:jc w:val="both"/>
              <w:rPr>
                <w:rFonts w:cs="Arial"/>
                <w:b/>
                <w:bCs/>
                <w:sz w:val="20"/>
              </w:rPr>
            </w:pPr>
            <w:r w:rsidRPr="007B2B33">
              <w:rPr>
                <w:rFonts w:cs="Arial"/>
                <w:b/>
                <w:bCs/>
                <w:sz w:val="20"/>
              </w:rPr>
              <w:t> </w:t>
            </w:r>
          </w:p>
        </w:tc>
        <w:tc>
          <w:tcPr>
            <w:tcW w:w="1120" w:type="dxa"/>
            <w:tcBorders>
              <w:top w:val="nil"/>
              <w:left w:val="nil"/>
              <w:bottom w:val="nil"/>
              <w:right w:val="single" w:sz="8" w:space="0" w:color="auto"/>
            </w:tcBorders>
            <w:noWrap/>
            <w:tcMar>
              <w:top w:w="15" w:type="dxa"/>
              <w:left w:w="15" w:type="dxa"/>
              <w:bottom w:w="0" w:type="dxa"/>
              <w:right w:w="15" w:type="dxa"/>
            </w:tcMar>
            <w:vAlign w:val="bottom"/>
          </w:tcPr>
          <w:p w14:paraId="225C6267" w14:textId="77777777" w:rsidR="003B291E" w:rsidRDefault="007E6FE3" w:rsidP="003B291E">
            <w:pPr>
              <w:jc w:val="center"/>
              <w:rPr>
                <w:rFonts w:cs="Arial"/>
                <w:sz w:val="20"/>
              </w:rPr>
            </w:pPr>
            <w:r>
              <w:rPr>
                <w:rFonts w:cs="Arial"/>
                <w:sz w:val="20"/>
              </w:rPr>
              <w:t>1,012</w:t>
            </w:r>
            <w:r w:rsidRPr="007B2B33">
              <w:rPr>
                <w:rFonts w:cs="Arial"/>
                <w:sz w:val="20"/>
              </w:rPr>
              <w:t xml:space="preserve"> </w:t>
            </w:r>
            <w:r w:rsidR="003B291E" w:rsidRPr="007B2B33">
              <w:rPr>
                <w:rFonts w:cs="Arial"/>
                <w:sz w:val="20"/>
              </w:rPr>
              <w:t>elec</w:t>
            </w:r>
          </w:p>
        </w:tc>
        <w:tc>
          <w:tcPr>
            <w:tcW w:w="855" w:type="dxa"/>
            <w:tcBorders>
              <w:top w:val="nil"/>
              <w:left w:val="nil"/>
              <w:bottom w:val="nil"/>
              <w:right w:val="single" w:sz="8" w:space="0" w:color="auto"/>
            </w:tcBorders>
            <w:noWrap/>
            <w:tcMar>
              <w:top w:w="15" w:type="dxa"/>
              <w:left w:w="15" w:type="dxa"/>
              <w:bottom w:w="0" w:type="dxa"/>
              <w:right w:w="15" w:type="dxa"/>
            </w:tcMar>
            <w:vAlign w:val="center"/>
          </w:tcPr>
          <w:p w14:paraId="225C6268" w14:textId="77777777" w:rsidR="003B291E" w:rsidRPr="00D0348F" w:rsidRDefault="007E6FE3" w:rsidP="003B291E">
            <w:pPr>
              <w:jc w:val="center"/>
              <w:rPr>
                <w:rFonts w:cs="Arial"/>
                <w:sz w:val="20"/>
              </w:rPr>
            </w:pPr>
            <w:r>
              <w:rPr>
                <w:rFonts w:cs="Arial"/>
                <w:sz w:val="20"/>
              </w:rPr>
              <w:t>18.3</w:t>
            </w:r>
            <w:r w:rsidR="003B291E" w:rsidRPr="007B2B33">
              <w:rPr>
                <w:rFonts w:cs="Arial"/>
                <w:sz w:val="20"/>
              </w:rPr>
              <w:t>%</w:t>
            </w:r>
          </w:p>
        </w:tc>
        <w:tc>
          <w:tcPr>
            <w:tcW w:w="856" w:type="dxa"/>
            <w:tcBorders>
              <w:right w:val="single" w:sz="4" w:space="0" w:color="auto"/>
            </w:tcBorders>
            <w:noWrap/>
            <w:tcMar>
              <w:top w:w="15" w:type="dxa"/>
              <w:left w:w="15" w:type="dxa"/>
              <w:bottom w:w="0" w:type="dxa"/>
              <w:right w:w="15" w:type="dxa"/>
            </w:tcMar>
            <w:vAlign w:val="center"/>
          </w:tcPr>
          <w:p w14:paraId="225C6269" w14:textId="77777777" w:rsidR="003B291E" w:rsidRPr="00D0348F" w:rsidRDefault="007E6FE3" w:rsidP="003B291E">
            <w:pPr>
              <w:jc w:val="center"/>
              <w:rPr>
                <w:rFonts w:cs="Arial"/>
                <w:sz w:val="20"/>
              </w:rPr>
            </w:pPr>
            <w:r>
              <w:rPr>
                <w:rFonts w:cs="Arial"/>
                <w:sz w:val="20"/>
              </w:rPr>
              <w:t>10.0</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6A" w14:textId="77777777" w:rsidR="003B291E" w:rsidRPr="00D0348F" w:rsidRDefault="007E6FE3" w:rsidP="003B291E">
            <w:pPr>
              <w:jc w:val="center"/>
              <w:rPr>
                <w:rFonts w:cs="Arial"/>
                <w:sz w:val="20"/>
              </w:rPr>
            </w:pPr>
            <w:r>
              <w:rPr>
                <w:rFonts w:cs="Arial"/>
                <w:sz w:val="20"/>
              </w:rPr>
              <w:t>10.0</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6B" w14:textId="77777777" w:rsidR="003B291E" w:rsidRPr="00D0348F" w:rsidRDefault="007E6FE3" w:rsidP="003B291E">
            <w:pPr>
              <w:jc w:val="center"/>
              <w:rPr>
                <w:rFonts w:cs="Arial"/>
                <w:sz w:val="20"/>
              </w:rPr>
            </w:pPr>
            <w:r>
              <w:rPr>
                <w:rFonts w:cs="Arial"/>
                <w:sz w:val="20"/>
              </w:rPr>
              <w:t>8.9</w:t>
            </w:r>
            <w:r w:rsidR="003B291E" w:rsidRPr="007B2B33">
              <w:rPr>
                <w:rFonts w:cs="Arial"/>
                <w:sz w:val="20"/>
              </w:rPr>
              <w:t>%</w:t>
            </w:r>
          </w:p>
        </w:tc>
        <w:tc>
          <w:tcPr>
            <w:tcW w:w="865" w:type="dxa"/>
            <w:tcBorders>
              <w:top w:val="nil"/>
              <w:left w:val="nil"/>
              <w:bottom w:val="nil"/>
              <w:right w:val="single" w:sz="8" w:space="0" w:color="auto"/>
            </w:tcBorders>
            <w:noWrap/>
            <w:tcMar>
              <w:top w:w="15" w:type="dxa"/>
              <w:left w:w="15" w:type="dxa"/>
              <w:bottom w:w="0" w:type="dxa"/>
              <w:right w:w="15" w:type="dxa"/>
            </w:tcMar>
            <w:vAlign w:val="center"/>
          </w:tcPr>
          <w:p w14:paraId="225C626C" w14:textId="77777777" w:rsidR="003B291E" w:rsidRPr="00D0348F" w:rsidRDefault="007E6FE3" w:rsidP="003B291E">
            <w:pPr>
              <w:jc w:val="center"/>
              <w:rPr>
                <w:rFonts w:cs="Arial"/>
                <w:sz w:val="20"/>
              </w:rPr>
            </w:pPr>
            <w:r>
              <w:rPr>
                <w:rFonts w:cs="Arial"/>
                <w:sz w:val="20"/>
              </w:rPr>
              <w:t>8.9</w:t>
            </w:r>
            <w:r w:rsidR="003B291E" w:rsidRPr="007B2B33">
              <w:rPr>
                <w:rFonts w:cs="Arial"/>
                <w:sz w:val="20"/>
              </w:rPr>
              <w:t>%</w:t>
            </w:r>
          </w:p>
        </w:tc>
      </w:tr>
      <w:tr w:rsidR="003B291E" w:rsidRPr="00D0348F" w14:paraId="225C6275" w14:textId="77777777" w:rsidTr="003C465B">
        <w:trPr>
          <w:trHeight w:val="189"/>
        </w:trPr>
        <w:tc>
          <w:tcPr>
            <w:tcW w:w="1384" w:type="dxa"/>
            <w:tcBorders>
              <w:top w:val="nil"/>
              <w:left w:val="single" w:sz="8" w:space="0" w:color="auto"/>
              <w:bottom w:val="nil"/>
              <w:right w:val="single" w:sz="8" w:space="0" w:color="auto"/>
            </w:tcBorders>
            <w:noWrap/>
            <w:tcMar>
              <w:top w:w="15" w:type="dxa"/>
              <w:left w:w="15" w:type="dxa"/>
              <w:bottom w:w="0" w:type="dxa"/>
              <w:right w:w="15" w:type="dxa"/>
            </w:tcMar>
            <w:vAlign w:val="bottom"/>
          </w:tcPr>
          <w:p w14:paraId="225C626E" w14:textId="77777777" w:rsidR="003B291E" w:rsidRPr="00D0348F" w:rsidRDefault="003B291E" w:rsidP="003B291E">
            <w:pPr>
              <w:jc w:val="both"/>
              <w:rPr>
                <w:rFonts w:cs="Arial"/>
                <w:b/>
                <w:bCs/>
                <w:sz w:val="20"/>
              </w:rPr>
            </w:pPr>
            <w:r w:rsidRPr="007B2B33">
              <w:rPr>
                <w:rFonts w:cs="Arial"/>
                <w:b/>
                <w:bCs/>
                <w:sz w:val="20"/>
              </w:rPr>
              <w:t> </w:t>
            </w:r>
          </w:p>
        </w:tc>
        <w:tc>
          <w:tcPr>
            <w:tcW w:w="1120" w:type="dxa"/>
            <w:tcBorders>
              <w:top w:val="nil"/>
              <w:left w:val="nil"/>
              <w:bottom w:val="nil"/>
              <w:right w:val="single" w:sz="8" w:space="0" w:color="auto"/>
            </w:tcBorders>
            <w:noWrap/>
            <w:tcMar>
              <w:top w:w="15" w:type="dxa"/>
              <w:left w:w="15" w:type="dxa"/>
              <w:bottom w:w="0" w:type="dxa"/>
              <w:right w:w="15" w:type="dxa"/>
            </w:tcMar>
            <w:vAlign w:val="bottom"/>
          </w:tcPr>
          <w:p w14:paraId="225C626F" w14:textId="77777777" w:rsidR="003B291E" w:rsidRDefault="007E6FE3" w:rsidP="003B291E">
            <w:pPr>
              <w:jc w:val="center"/>
              <w:rPr>
                <w:rFonts w:cs="Arial"/>
                <w:sz w:val="20"/>
                <w:u w:val="single"/>
              </w:rPr>
            </w:pPr>
            <w:r>
              <w:rPr>
                <w:rFonts w:cs="Arial"/>
                <w:sz w:val="20"/>
                <w:u w:val="single"/>
              </w:rPr>
              <w:t>475</w:t>
            </w:r>
            <w:r w:rsidRPr="007B2B33">
              <w:rPr>
                <w:rFonts w:cs="Arial"/>
                <w:sz w:val="20"/>
                <w:u w:val="single"/>
              </w:rPr>
              <w:t xml:space="preserve"> </w:t>
            </w:r>
            <w:r w:rsidR="003B291E" w:rsidRPr="007B2B33">
              <w:rPr>
                <w:rFonts w:cs="Arial"/>
                <w:sz w:val="20"/>
                <w:u w:val="single"/>
              </w:rPr>
              <w:t>gas</w:t>
            </w:r>
          </w:p>
        </w:tc>
        <w:tc>
          <w:tcPr>
            <w:tcW w:w="855" w:type="dxa"/>
            <w:tcBorders>
              <w:top w:val="nil"/>
              <w:left w:val="nil"/>
              <w:bottom w:val="nil"/>
              <w:right w:val="single" w:sz="8" w:space="0" w:color="auto"/>
            </w:tcBorders>
            <w:noWrap/>
            <w:tcMar>
              <w:top w:w="15" w:type="dxa"/>
              <w:left w:w="15" w:type="dxa"/>
              <w:bottom w:w="0" w:type="dxa"/>
              <w:right w:w="15" w:type="dxa"/>
            </w:tcMar>
            <w:vAlign w:val="center"/>
          </w:tcPr>
          <w:p w14:paraId="225C6270" w14:textId="77777777" w:rsidR="003B291E" w:rsidRPr="00D0348F" w:rsidRDefault="007E6FE3" w:rsidP="003B291E">
            <w:pPr>
              <w:jc w:val="center"/>
              <w:rPr>
                <w:rFonts w:cs="Arial"/>
                <w:sz w:val="20"/>
              </w:rPr>
            </w:pPr>
            <w:r>
              <w:rPr>
                <w:rFonts w:cs="Arial"/>
                <w:sz w:val="20"/>
              </w:rPr>
              <w:t>18.0</w:t>
            </w:r>
            <w:r w:rsidR="003B291E" w:rsidRPr="007B2B33">
              <w:rPr>
                <w:rFonts w:cs="Arial"/>
                <w:sz w:val="20"/>
              </w:rPr>
              <w:t>%</w:t>
            </w:r>
          </w:p>
        </w:tc>
        <w:tc>
          <w:tcPr>
            <w:tcW w:w="856" w:type="dxa"/>
            <w:tcBorders>
              <w:right w:val="single" w:sz="4" w:space="0" w:color="auto"/>
            </w:tcBorders>
            <w:noWrap/>
            <w:tcMar>
              <w:top w:w="15" w:type="dxa"/>
              <w:left w:w="15" w:type="dxa"/>
              <w:bottom w:w="0" w:type="dxa"/>
              <w:right w:w="15" w:type="dxa"/>
            </w:tcMar>
            <w:vAlign w:val="center"/>
          </w:tcPr>
          <w:p w14:paraId="225C6271" w14:textId="77777777" w:rsidR="003B291E" w:rsidRPr="00D0348F" w:rsidRDefault="007E6FE3" w:rsidP="003B291E">
            <w:pPr>
              <w:jc w:val="center"/>
              <w:rPr>
                <w:rFonts w:cs="Arial"/>
                <w:sz w:val="20"/>
              </w:rPr>
            </w:pPr>
            <w:r>
              <w:rPr>
                <w:rFonts w:cs="Arial"/>
                <w:sz w:val="20"/>
              </w:rPr>
              <w:t>8.</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72" w14:textId="77777777" w:rsidR="003B291E" w:rsidRPr="00D0348F" w:rsidRDefault="007E6FE3" w:rsidP="003B291E">
            <w:pPr>
              <w:jc w:val="center"/>
              <w:rPr>
                <w:rFonts w:cs="Arial"/>
                <w:sz w:val="20"/>
              </w:rPr>
            </w:pPr>
            <w:r>
              <w:rPr>
                <w:rFonts w:cs="Arial"/>
                <w:sz w:val="20"/>
              </w:rPr>
              <w:t>8.4</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73" w14:textId="77777777" w:rsidR="003B291E" w:rsidRPr="00D0348F" w:rsidRDefault="007E6FE3" w:rsidP="003B291E">
            <w:pPr>
              <w:jc w:val="center"/>
              <w:rPr>
                <w:rFonts w:cs="Arial"/>
                <w:sz w:val="20"/>
              </w:rPr>
            </w:pPr>
            <w:r>
              <w:rPr>
                <w:rFonts w:cs="Arial"/>
                <w:sz w:val="20"/>
              </w:rPr>
              <w:t>7.1</w:t>
            </w:r>
            <w:r w:rsidR="003B291E" w:rsidRPr="007B2B33">
              <w:rPr>
                <w:rFonts w:cs="Arial"/>
                <w:sz w:val="20"/>
              </w:rPr>
              <w:t>%</w:t>
            </w:r>
          </w:p>
        </w:tc>
        <w:tc>
          <w:tcPr>
            <w:tcW w:w="865" w:type="dxa"/>
            <w:tcBorders>
              <w:top w:val="nil"/>
              <w:left w:val="nil"/>
              <w:bottom w:val="nil"/>
              <w:right w:val="single" w:sz="8" w:space="0" w:color="auto"/>
            </w:tcBorders>
            <w:noWrap/>
            <w:tcMar>
              <w:top w:w="15" w:type="dxa"/>
              <w:left w:w="15" w:type="dxa"/>
              <w:bottom w:w="0" w:type="dxa"/>
              <w:right w:w="15" w:type="dxa"/>
            </w:tcMar>
            <w:vAlign w:val="center"/>
          </w:tcPr>
          <w:p w14:paraId="225C6274" w14:textId="77777777" w:rsidR="003B291E" w:rsidRPr="00D0348F" w:rsidRDefault="007E6FE3" w:rsidP="003B291E">
            <w:pPr>
              <w:jc w:val="center"/>
              <w:rPr>
                <w:rFonts w:cs="Arial"/>
                <w:sz w:val="20"/>
              </w:rPr>
            </w:pPr>
            <w:r>
              <w:rPr>
                <w:rFonts w:cs="Arial"/>
                <w:sz w:val="20"/>
              </w:rPr>
              <w:t>7.1</w:t>
            </w:r>
            <w:r w:rsidR="003B291E" w:rsidRPr="007B2B33">
              <w:rPr>
                <w:rFonts w:cs="Arial"/>
                <w:sz w:val="20"/>
              </w:rPr>
              <w:t>%</w:t>
            </w:r>
          </w:p>
        </w:tc>
      </w:tr>
      <w:tr w:rsidR="003B291E" w:rsidRPr="00D0348F" w14:paraId="225C627D" w14:textId="77777777" w:rsidTr="003C465B">
        <w:trPr>
          <w:trHeight w:val="189"/>
        </w:trPr>
        <w:tc>
          <w:tcPr>
            <w:tcW w:w="1384" w:type="dxa"/>
            <w:tcBorders>
              <w:top w:val="nil"/>
              <w:left w:val="single" w:sz="8" w:space="0" w:color="auto"/>
              <w:bottom w:val="nil"/>
              <w:right w:val="single" w:sz="8" w:space="0" w:color="auto"/>
            </w:tcBorders>
            <w:noWrap/>
            <w:tcMar>
              <w:top w:w="15" w:type="dxa"/>
              <w:left w:w="15" w:type="dxa"/>
              <w:bottom w:w="0" w:type="dxa"/>
              <w:right w:w="15" w:type="dxa"/>
            </w:tcMar>
            <w:vAlign w:val="bottom"/>
          </w:tcPr>
          <w:p w14:paraId="225C6276" w14:textId="77777777" w:rsidR="003B291E" w:rsidRPr="00D0348F" w:rsidRDefault="003B291E" w:rsidP="003B291E">
            <w:pPr>
              <w:jc w:val="both"/>
              <w:rPr>
                <w:rFonts w:cs="Arial"/>
                <w:b/>
                <w:bCs/>
                <w:sz w:val="20"/>
              </w:rPr>
            </w:pPr>
            <w:r w:rsidRPr="007B2B33">
              <w:rPr>
                <w:rFonts w:cs="Arial"/>
                <w:b/>
                <w:bCs/>
                <w:sz w:val="20"/>
              </w:rPr>
              <w:t> </w:t>
            </w:r>
          </w:p>
        </w:tc>
        <w:tc>
          <w:tcPr>
            <w:tcW w:w="1120" w:type="dxa"/>
            <w:tcBorders>
              <w:top w:val="nil"/>
              <w:left w:val="nil"/>
              <w:bottom w:val="nil"/>
              <w:right w:val="single" w:sz="8" w:space="0" w:color="auto"/>
            </w:tcBorders>
            <w:noWrap/>
            <w:tcMar>
              <w:top w:w="15" w:type="dxa"/>
              <w:left w:w="15" w:type="dxa"/>
              <w:bottom w:w="0" w:type="dxa"/>
              <w:right w:w="15" w:type="dxa"/>
            </w:tcMar>
            <w:vAlign w:val="bottom"/>
          </w:tcPr>
          <w:p w14:paraId="225C6277" w14:textId="77777777" w:rsidR="003B291E" w:rsidRDefault="007E6FE3" w:rsidP="003B291E">
            <w:pPr>
              <w:jc w:val="center"/>
              <w:rPr>
                <w:rFonts w:cs="Arial"/>
                <w:sz w:val="20"/>
              </w:rPr>
            </w:pPr>
            <w:r>
              <w:rPr>
                <w:rFonts w:cs="Arial"/>
                <w:sz w:val="20"/>
              </w:rPr>
              <w:t>1,487</w:t>
            </w:r>
            <w:r w:rsidR="003B291E" w:rsidRPr="007B2B33">
              <w:rPr>
                <w:rFonts w:cs="Arial"/>
                <w:sz w:val="20"/>
              </w:rPr>
              <w:t xml:space="preserve"> all</w:t>
            </w:r>
          </w:p>
        </w:tc>
        <w:tc>
          <w:tcPr>
            <w:tcW w:w="855" w:type="dxa"/>
            <w:tcBorders>
              <w:top w:val="nil"/>
              <w:left w:val="nil"/>
              <w:bottom w:val="nil"/>
              <w:right w:val="single" w:sz="8" w:space="0" w:color="auto"/>
            </w:tcBorders>
            <w:noWrap/>
            <w:tcMar>
              <w:top w:w="15" w:type="dxa"/>
              <w:left w:w="15" w:type="dxa"/>
              <w:bottom w:w="0" w:type="dxa"/>
              <w:right w:w="15" w:type="dxa"/>
            </w:tcMar>
            <w:vAlign w:val="center"/>
          </w:tcPr>
          <w:p w14:paraId="225C6278" w14:textId="77777777" w:rsidR="003B291E" w:rsidRPr="00D0348F" w:rsidRDefault="007E6FE3" w:rsidP="003B291E">
            <w:pPr>
              <w:jc w:val="center"/>
              <w:rPr>
                <w:rFonts w:cs="Arial"/>
                <w:sz w:val="20"/>
              </w:rPr>
            </w:pPr>
            <w:r>
              <w:rPr>
                <w:rFonts w:cs="Arial"/>
                <w:sz w:val="20"/>
              </w:rPr>
              <w:t>18.2</w:t>
            </w:r>
            <w:r w:rsidR="003B291E" w:rsidRPr="007B2B33">
              <w:rPr>
                <w:rFonts w:cs="Arial"/>
                <w:sz w:val="20"/>
              </w:rPr>
              <w:t>%</w:t>
            </w:r>
          </w:p>
        </w:tc>
        <w:tc>
          <w:tcPr>
            <w:tcW w:w="856" w:type="dxa"/>
            <w:tcBorders>
              <w:right w:val="single" w:sz="4" w:space="0" w:color="auto"/>
            </w:tcBorders>
            <w:noWrap/>
            <w:tcMar>
              <w:top w:w="15" w:type="dxa"/>
              <w:left w:w="15" w:type="dxa"/>
              <w:bottom w:w="0" w:type="dxa"/>
              <w:right w:w="15" w:type="dxa"/>
            </w:tcMar>
            <w:vAlign w:val="center"/>
          </w:tcPr>
          <w:p w14:paraId="225C6279" w14:textId="77777777" w:rsidR="003B291E" w:rsidRPr="00D0348F" w:rsidRDefault="007E6FE3" w:rsidP="003B291E">
            <w:pPr>
              <w:jc w:val="center"/>
              <w:rPr>
                <w:rFonts w:cs="Arial"/>
                <w:sz w:val="20"/>
              </w:rPr>
            </w:pPr>
            <w:r>
              <w:rPr>
                <w:rFonts w:cs="Arial"/>
                <w:sz w:val="20"/>
              </w:rPr>
              <w:t>9.5</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7A" w14:textId="77777777" w:rsidR="003B291E" w:rsidRPr="00D0348F" w:rsidRDefault="007E6FE3" w:rsidP="003B291E">
            <w:pPr>
              <w:jc w:val="center"/>
              <w:rPr>
                <w:rFonts w:cs="Arial"/>
                <w:sz w:val="20"/>
              </w:rPr>
            </w:pPr>
            <w:r>
              <w:rPr>
                <w:rFonts w:cs="Arial"/>
                <w:sz w:val="20"/>
              </w:rPr>
              <w:t>9.5</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7B" w14:textId="77777777" w:rsidR="003B291E" w:rsidRPr="00D0348F" w:rsidRDefault="007E6FE3" w:rsidP="003B291E">
            <w:pPr>
              <w:jc w:val="center"/>
              <w:rPr>
                <w:rFonts w:cs="Arial"/>
                <w:sz w:val="20"/>
              </w:rPr>
            </w:pPr>
            <w:r>
              <w:rPr>
                <w:rFonts w:cs="Arial"/>
                <w:sz w:val="20"/>
              </w:rPr>
              <w:t>8.3</w:t>
            </w:r>
            <w:r w:rsidR="003B291E" w:rsidRPr="007B2B33">
              <w:rPr>
                <w:rFonts w:cs="Arial"/>
                <w:sz w:val="20"/>
              </w:rPr>
              <w:t>%</w:t>
            </w:r>
          </w:p>
        </w:tc>
        <w:tc>
          <w:tcPr>
            <w:tcW w:w="865" w:type="dxa"/>
            <w:tcBorders>
              <w:top w:val="nil"/>
              <w:left w:val="nil"/>
              <w:bottom w:val="nil"/>
              <w:right w:val="single" w:sz="8" w:space="0" w:color="auto"/>
            </w:tcBorders>
            <w:noWrap/>
            <w:tcMar>
              <w:top w:w="15" w:type="dxa"/>
              <w:left w:w="15" w:type="dxa"/>
              <w:bottom w:w="0" w:type="dxa"/>
              <w:right w:w="15" w:type="dxa"/>
            </w:tcMar>
            <w:vAlign w:val="center"/>
          </w:tcPr>
          <w:p w14:paraId="225C627C" w14:textId="77777777" w:rsidR="003B291E" w:rsidRPr="00D0348F" w:rsidRDefault="007E6FE3" w:rsidP="003B291E">
            <w:pPr>
              <w:jc w:val="center"/>
              <w:rPr>
                <w:rFonts w:cs="Arial"/>
                <w:sz w:val="20"/>
              </w:rPr>
            </w:pPr>
            <w:r>
              <w:rPr>
                <w:rFonts w:cs="Arial"/>
                <w:sz w:val="20"/>
              </w:rPr>
              <w:t>8.3</w:t>
            </w:r>
            <w:r w:rsidR="003B291E" w:rsidRPr="007B2B33">
              <w:rPr>
                <w:rFonts w:cs="Arial"/>
                <w:sz w:val="20"/>
              </w:rPr>
              <w:t>%</w:t>
            </w:r>
          </w:p>
        </w:tc>
      </w:tr>
      <w:tr w:rsidR="003B291E" w:rsidRPr="00D0348F" w14:paraId="225C6285" w14:textId="77777777" w:rsidTr="003C465B">
        <w:trPr>
          <w:trHeight w:val="75"/>
        </w:trPr>
        <w:tc>
          <w:tcPr>
            <w:tcW w:w="138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25C627E" w14:textId="77777777" w:rsidR="003B291E" w:rsidRPr="00D0348F" w:rsidRDefault="003B291E" w:rsidP="003B291E">
            <w:pPr>
              <w:jc w:val="both"/>
              <w:rPr>
                <w:rFonts w:cs="Arial"/>
                <w:b/>
                <w:bCs/>
                <w:sz w:val="20"/>
              </w:rPr>
            </w:pPr>
            <w:r w:rsidRPr="007B2B33">
              <w:rPr>
                <w:rFonts w:cs="Arial"/>
                <w:b/>
                <w:bCs/>
                <w:sz w:val="20"/>
              </w:rPr>
              <w:t> </w:t>
            </w:r>
          </w:p>
        </w:tc>
        <w:tc>
          <w:tcPr>
            <w:tcW w:w="1120"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25C627F" w14:textId="77777777" w:rsidR="003B291E" w:rsidRPr="00D0348F" w:rsidRDefault="003B291E" w:rsidP="003B291E">
            <w:pPr>
              <w:jc w:val="both"/>
              <w:rPr>
                <w:rFonts w:cs="Arial"/>
                <w:sz w:val="20"/>
              </w:rPr>
            </w:pPr>
          </w:p>
        </w:tc>
        <w:tc>
          <w:tcPr>
            <w:tcW w:w="855"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225C6280" w14:textId="77777777" w:rsidR="003B291E" w:rsidRPr="00D0348F" w:rsidRDefault="003B291E" w:rsidP="003B291E">
            <w:pPr>
              <w:jc w:val="center"/>
              <w:rPr>
                <w:rFonts w:cs="Arial"/>
                <w:sz w:val="20"/>
              </w:rPr>
            </w:pPr>
          </w:p>
        </w:tc>
        <w:tc>
          <w:tcPr>
            <w:tcW w:w="85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225C6281" w14:textId="77777777" w:rsidR="003B291E" w:rsidRPr="00D0348F" w:rsidRDefault="003B291E" w:rsidP="003B291E">
            <w:pPr>
              <w:jc w:val="center"/>
              <w:rPr>
                <w:rFonts w:cs="Arial"/>
                <w:sz w:val="20"/>
              </w:rPr>
            </w:pPr>
          </w:p>
        </w:tc>
        <w:tc>
          <w:tcPr>
            <w:tcW w:w="85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225C6282" w14:textId="77777777" w:rsidR="003B291E" w:rsidRPr="00D0348F" w:rsidRDefault="003B291E" w:rsidP="003B291E">
            <w:pPr>
              <w:jc w:val="center"/>
              <w:rPr>
                <w:rFonts w:cs="Arial"/>
                <w:sz w:val="20"/>
              </w:rPr>
            </w:pPr>
          </w:p>
        </w:tc>
        <w:tc>
          <w:tcPr>
            <w:tcW w:w="85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225C6283" w14:textId="77777777" w:rsidR="003B291E" w:rsidRPr="00D0348F" w:rsidRDefault="003B291E" w:rsidP="003B291E">
            <w:pPr>
              <w:jc w:val="center"/>
              <w:rPr>
                <w:rFonts w:cs="Arial"/>
                <w:sz w:val="20"/>
              </w:rPr>
            </w:pPr>
          </w:p>
        </w:tc>
        <w:tc>
          <w:tcPr>
            <w:tcW w:w="865"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225C6284" w14:textId="77777777" w:rsidR="003B291E" w:rsidRPr="00D0348F" w:rsidRDefault="003B291E" w:rsidP="003B291E">
            <w:pPr>
              <w:jc w:val="center"/>
              <w:rPr>
                <w:rFonts w:cs="Arial"/>
                <w:sz w:val="20"/>
              </w:rPr>
            </w:pPr>
          </w:p>
        </w:tc>
      </w:tr>
      <w:tr w:rsidR="003B291E" w:rsidRPr="00D0348F" w14:paraId="225C628D" w14:textId="77777777" w:rsidTr="003C465B">
        <w:trPr>
          <w:trHeight w:val="189"/>
        </w:trPr>
        <w:tc>
          <w:tcPr>
            <w:tcW w:w="1384" w:type="dxa"/>
            <w:tcBorders>
              <w:top w:val="nil"/>
              <w:left w:val="single" w:sz="8" w:space="0" w:color="auto"/>
              <w:bottom w:val="nil"/>
              <w:right w:val="nil"/>
            </w:tcBorders>
            <w:noWrap/>
            <w:tcMar>
              <w:top w:w="15" w:type="dxa"/>
              <w:left w:w="15" w:type="dxa"/>
              <w:bottom w:w="0" w:type="dxa"/>
              <w:right w:w="15" w:type="dxa"/>
            </w:tcMar>
            <w:vAlign w:val="bottom"/>
          </w:tcPr>
          <w:p w14:paraId="225C6286" w14:textId="77777777" w:rsidR="003B291E" w:rsidRPr="00D0348F" w:rsidRDefault="003B291E" w:rsidP="003B291E">
            <w:pPr>
              <w:jc w:val="both"/>
              <w:rPr>
                <w:rFonts w:cs="Arial"/>
                <w:b/>
                <w:bCs/>
                <w:sz w:val="20"/>
              </w:rPr>
            </w:pPr>
            <w:r w:rsidRPr="007B2B33">
              <w:rPr>
                <w:rFonts w:cs="Arial"/>
                <w:b/>
                <w:bCs/>
                <w:sz w:val="20"/>
              </w:rPr>
              <w:t>51-100%FPL</w:t>
            </w:r>
          </w:p>
        </w:tc>
        <w:tc>
          <w:tcPr>
            <w:tcW w:w="1120" w:type="dxa"/>
            <w:tcBorders>
              <w:top w:val="nil"/>
              <w:left w:val="single" w:sz="8" w:space="0" w:color="auto"/>
              <w:bottom w:val="nil"/>
              <w:right w:val="nil"/>
            </w:tcBorders>
            <w:noWrap/>
            <w:tcMar>
              <w:top w:w="15" w:type="dxa"/>
              <w:left w:w="15" w:type="dxa"/>
              <w:bottom w:w="0" w:type="dxa"/>
              <w:right w:w="15" w:type="dxa"/>
            </w:tcMar>
            <w:vAlign w:val="bottom"/>
          </w:tcPr>
          <w:p w14:paraId="225C6287" w14:textId="77777777" w:rsidR="003B291E" w:rsidRPr="00D0348F" w:rsidRDefault="003B291E" w:rsidP="003B291E">
            <w:pPr>
              <w:jc w:val="both"/>
              <w:rPr>
                <w:rFonts w:cs="Arial"/>
                <w:sz w:val="20"/>
              </w:rPr>
            </w:pPr>
          </w:p>
        </w:tc>
        <w:tc>
          <w:tcPr>
            <w:tcW w:w="855" w:type="dxa"/>
            <w:tcBorders>
              <w:top w:val="nil"/>
              <w:left w:val="single" w:sz="8" w:space="0" w:color="auto"/>
              <w:bottom w:val="nil"/>
              <w:right w:val="nil"/>
            </w:tcBorders>
            <w:noWrap/>
            <w:tcMar>
              <w:top w:w="15" w:type="dxa"/>
              <w:left w:w="15" w:type="dxa"/>
              <w:bottom w:w="0" w:type="dxa"/>
              <w:right w:w="15" w:type="dxa"/>
            </w:tcMar>
            <w:vAlign w:val="center"/>
          </w:tcPr>
          <w:p w14:paraId="225C6288" w14:textId="77777777" w:rsidR="003B291E" w:rsidRPr="00D0348F" w:rsidRDefault="003B291E" w:rsidP="003B291E">
            <w:pPr>
              <w:jc w:val="center"/>
              <w:rPr>
                <w:rFonts w:cs="Arial"/>
                <w:sz w:val="20"/>
              </w:rPr>
            </w:pPr>
          </w:p>
        </w:tc>
        <w:tc>
          <w:tcPr>
            <w:tcW w:w="856" w:type="dxa"/>
            <w:tcBorders>
              <w:top w:val="nil"/>
              <w:left w:val="single" w:sz="8" w:space="0" w:color="auto"/>
              <w:bottom w:val="nil"/>
              <w:right w:val="nil"/>
            </w:tcBorders>
            <w:noWrap/>
            <w:tcMar>
              <w:top w:w="15" w:type="dxa"/>
              <w:left w:w="15" w:type="dxa"/>
              <w:bottom w:w="0" w:type="dxa"/>
              <w:right w:w="15" w:type="dxa"/>
            </w:tcMar>
            <w:vAlign w:val="center"/>
          </w:tcPr>
          <w:p w14:paraId="225C6289" w14:textId="77777777" w:rsidR="003B291E" w:rsidRPr="00D0348F" w:rsidRDefault="003B291E" w:rsidP="003B291E">
            <w:pPr>
              <w:jc w:val="center"/>
              <w:rPr>
                <w:rFonts w:cs="Arial"/>
                <w:sz w:val="20"/>
              </w:rPr>
            </w:pPr>
          </w:p>
        </w:tc>
        <w:tc>
          <w:tcPr>
            <w:tcW w:w="856" w:type="dxa"/>
            <w:tcBorders>
              <w:top w:val="nil"/>
              <w:left w:val="single" w:sz="8" w:space="0" w:color="auto"/>
              <w:bottom w:val="nil"/>
              <w:right w:val="nil"/>
            </w:tcBorders>
            <w:noWrap/>
            <w:tcMar>
              <w:top w:w="15" w:type="dxa"/>
              <w:left w:w="15" w:type="dxa"/>
              <w:bottom w:w="0" w:type="dxa"/>
              <w:right w:w="15" w:type="dxa"/>
            </w:tcMar>
            <w:vAlign w:val="center"/>
          </w:tcPr>
          <w:p w14:paraId="225C628A" w14:textId="77777777" w:rsidR="003B291E" w:rsidRPr="00D0348F" w:rsidRDefault="003B291E" w:rsidP="003B291E">
            <w:pPr>
              <w:jc w:val="center"/>
              <w:rPr>
                <w:rFonts w:cs="Arial"/>
                <w:sz w:val="20"/>
              </w:rPr>
            </w:pPr>
          </w:p>
        </w:tc>
        <w:tc>
          <w:tcPr>
            <w:tcW w:w="856" w:type="dxa"/>
            <w:tcBorders>
              <w:top w:val="nil"/>
              <w:left w:val="single" w:sz="8" w:space="0" w:color="auto"/>
              <w:bottom w:val="nil"/>
              <w:right w:val="nil"/>
            </w:tcBorders>
            <w:noWrap/>
            <w:tcMar>
              <w:top w:w="15" w:type="dxa"/>
              <w:left w:w="15" w:type="dxa"/>
              <w:bottom w:w="0" w:type="dxa"/>
              <w:right w:w="15" w:type="dxa"/>
            </w:tcMar>
            <w:vAlign w:val="center"/>
          </w:tcPr>
          <w:p w14:paraId="225C628B" w14:textId="77777777" w:rsidR="003B291E" w:rsidRPr="00D0348F" w:rsidRDefault="003B291E" w:rsidP="003B291E">
            <w:pPr>
              <w:jc w:val="center"/>
              <w:rPr>
                <w:rFonts w:cs="Arial"/>
                <w:sz w:val="20"/>
              </w:rPr>
            </w:pPr>
          </w:p>
        </w:tc>
        <w:tc>
          <w:tcPr>
            <w:tcW w:w="865" w:type="dxa"/>
            <w:tcBorders>
              <w:top w:val="nil"/>
              <w:left w:val="single" w:sz="8" w:space="0" w:color="auto"/>
              <w:bottom w:val="nil"/>
              <w:right w:val="single" w:sz="8" w:space="0" w:color="auto"/>
            </w:tcBorders>
            <w:noWrap/>
            <w:tcMar>
              <w:top w:w="15" w:type="dxa"/>
              <w:left w:w="15" w:type="dxa"/>
              <w:bottom w:w="0" w:type="dxa"/>
              <w:right w:w="15" w:type="dxa"/>
            </w:tcMar>
            <w:vAlign w:val="center"/>
          </w:tcPr>
          <w:p w14:paraId="225C628C" w14:textId="77777777" w:rsidR="003B291E" w:rsidRPr="00D0348F" w:rsidRDefault="003B291E" w:rsidP="003B291E">
            <w:pPr>
              <w:jc w:val="center"/>
              <w:rPr>
                <w:rFonts w:cs="Arial"/>
                <w:sz w:val="20"/>
              </w:rPr>
            </w:pPr>
          </w:p>
        </w:tc>
      </w:tr>
      <w:tr w:rsidR="003B291E" w:rsidRPr="00D0348F" w14:paraId="225C6295" w14:textId="77777777" w:rsidTr="003C465B">
        <w:trPr>
          <w:trHeight w:val="189"/>
        </w:trPr>
        <w:tc>
          <w:tcPr>
            <w:tcW w:w="1384" w:type="dxa"/>
            <w:tcBorders>
              <w:top w:val="nil"/>
              <w:left w:val="single" w:sz="8" w:space="0" w:color="auto"/>
              <w:bottom w:val="nil"/>
              <w:right w:val="single" w:sz="8" w:space="0" w:color="auto"/>
            </w:tcBorders>
            <w:noWrap/>
            <w:tcMar>
              <w:top w:w="15" w:type="dxa"/>
              <w:left w:w="15" w:type="dxa"/>
              <w:bottom w:w="0" w:type="dxa"/>
              <w:right w:w="15" w:type="dxa"/>
            </w:tcMar>
            <w:vAlign w:val="bottom"/>
          </w:tcPr>
          <w:p w14:paraId="225C628E" w14:textId="77777777" w:rsidR="003B291E" w:rsidRPr="00D0348F" w:rsidRDefault="003B291E" w:rsidP="003B291E">
            <w:pPr>
              <w:jc w:val="both"/>
              <w:rPr>
                <w:rFonts w:cs="Arial"/>
                <w:b/>
                <w:bCs/>
                <w:sz w:val="20"/>
              </w:rPr>
            </w:pPr>
            <w:r w:rsidRPr="007B2B33">
              <w:rPr>
                <w:rFonts w:cs="Arial"/>
                <w:b/>
                <w:bCs/>
                <w:sz w:val="20"/>
              </w:rPr>
              <w:t> </w:t>
            </w:r>
          </w:p>
        </w:tc>
        <w:tc>
          <w:tcPr>
            <w:tcW w:w="1120" w:type="dxa"/>
            <w:tcBorders>
              <w:top w:val="nil"/>
              <w:left w:val="nil"/>
              <w:bottom w:val="nil"/>
              <w:right w:val="single" w:sz="8" w:space="0" w:color="auto"/>
            </w:tcBorders>
            <w:noWrap/>
            <w:tcMar>
              <w:top w:w="15" w:type="dxa"/>
              <w:left w:w="15" w:type="dxa"/>
              <w:bottom w:w="0" w:type="dxa"/>
              <w:right w:w="15" w:type="dxa"/>
            </w:tcMar>
            <w:vAlign w:val="bottom"/>
          </w:tcPr>
          <w:p w14:paraId="225C628F" w14:textId="77777777" w:rsidR="003B291E" w:rsidRDefault="003B291E" w:rsidP="003B291E">
            <w:pPr>
              <w:jc w:val="center"/>
              <w:rPr>
                <w:rFonts w:cs="Arial"/>
                <w:sz w:val="20"/>
              </w:rPr>
            </w:pPr>
            <w:r w:rsidRPr="007B2B33">
              <w:rPr>
                <w:rFonts w:cs="Arial"/>
                <w:sz w:val="20"/>
              </w:rPr>
              <w:t>N</w:t>
            </w:r>
          </w:p>
        </w:tc>
        <w:tc>
          <w:tcPr>
            <w:tcW w:w="855" w:type="dxa"/>
            <w:tcBorders>
              <w:top w:val="nil"/>
              <w:left w:val="nil"/>
              <w:bottom w:val="nil"/>
              <w:right w:val="single" w:sz="8" w:space="0" w:color="auto"/>
            </w:tcBorders>
            <w:noWrap/>
            <w:tcMar>
              <w:top w:w="15" w:type="dxa"/>
              <w:left w:w="15" w:type="dxa"/>
              <w:bottom w:w="0" w:type="dxa"/>
              <w:right w:w="15" w:type="dxa"/>
            </w:tcMar>
            <w:vAlign w:val="center"/>
          </w:tcPr>
          <w:p w14:paraId="225C6290" w14:textId="77777777" w:rsidR="003B291E" w:rsidRPr="00D0348F" w:rsidRDefault="003B291E" w:rsidP="003B291E">
            <w:pPr>
              <w:jc w:val="center"/>
              <w:rPr>
                <w:rFonts w:cs="Arial"/>
                <w:sz w:val="20"/>
              </w:rPr>
            </w:pP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91" w14:textId="77777777" w:rsidR="003B291E" w:rsidRPr="00D0348F" w:rsidRDefault="003B291E" w:rsidP="003B291E">
            <w:pPr>
              <w:jc w:val="center"/>
              <w:rPr>
                <w:rFonts w:cs="Arial"/>
                <w:sz w:val="20"/>
              </w:rPr>
            </w:pP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92" w14:textId="77777777" w:rsidR="003B291E" w:rsidRPr="00D0348F" w:rsidRDefault="003B291E" w:rsidP="003B291E">
            <w:pPr>
              <w:jc w:val="center"/>
              <w:rPr>
                <w:rFonts w:cs="Arial"/>
                <w:sz w:val="20"/>
              </w:rPr>
            </w:pP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93" w14:textId="77777777" w:rsidR="003B291E" w:rsidRPr="00D0348F" w:rsidRDefault="003B291E" w:rsidP="003B291E">
            <w:pPr>
              <w:jc w:val="center"/>
              <w:rPr>
                <w:rFonts w:cs="Arial"/>
                <w:sz w:val="20"/>
              </w:rPr>
            </w:pPr>
          </w:p>
        </w:tc>
        <w:tc>
          <w:tcPr>
            <w:tcW w:w="865" w:type="dxa"/>
            <w:tcBorders>
              <w:top w:val="nil"/>
              <w:left w:val="nil"/>
              <w:bottom w:val="nil"/>
              <w:right w:val="single" w:sz="8" w:space="0" w:color="auto"/>
            </w:tcBorders>
            <w:noWrap/>
            <w:tcMar>
              <w:top w:w="15" w:type="dxa"/>
              <w:left w:w="15" w:type="dxa"/>
              <w:bottom w:w="0" w:type="dxa"/>
              <w:right w:w="15" w:type="dxa"/>
            </w:tcMar>
            <w:vAlign w:val="center"/>
          </w:tcPr>
          <w:p w14:paraId="225C6294" w14:textId="77777777" w:rsidR="003B291E" w:rsidRPr="00D0348F" w:rsidRDefault="003B291E" w:rsidP="003B291E">
            <w:pPr>
              <w:jc w:val="center"/>
              <w:rPr>
                <w:rFonts w:cs="Arial"/>
                <w:sz w:val="20"/>
              </w:rPr>
            </w:pPr>
          </w:p>
        </w:tc>
      </w:tr>
      <w:tr w:rsidR="003B291E" w:rsidRPr="00D0348F" w14:paraId="225C629D" w14:textId="77777777" w:rsidTr="003C465B">
        <w:trPr>
          <w:trHeight w:val="189"/>
        </w:trPr>
        <w:tc>
          <w:tcPr>
            <w:tcW w:w="1384" w:type="dxa"/>
            <w:tcBorders>
              <w:top w:val="nil"/>
              <w:left w:val="single" w:sz="8" w:space="0" w:color="auto"/>
              <w:bottom w:val="nil"/>
              <w:right w:val="single" w:sz="8" w:space="0" w:color="auto"/>
            </w:tcBorders>
            <w:noWrap/>
            <w:tcMar>
              <w:top w:w="15" w:type="dxa"/>
              <w:left w:w="15" w:type="dxa"/>
              <w:bottom w:w="0" w:type="dxa"/>
              <w:right w:w="15" w:type="dxa"/>
            </w:tcMar>
            <w:vAlign w:val="bottom"/>
          </w:tcPr>
          <w:p w14:paraId="225C6296" w14:textId="77777777" w:rsidR="003B291E" w:rsidRPr="00D0348F" w:rsidRDefault="003B291E" w:rsidP="003B291E">
            <w:pPr>
              <w:jc w:val="both"/>
              <w:rPr>
                <w:rFonts w:cs="Arial"/>
                <w:b/>
                <w:bCs/>
                <w:sz w:val="20"/>
              </w:rPr>
            </w:pPr>
            <w:r w:rsidRPr="007B2B33">
              <w:rPr>
                <w:rFonts w:cs="Arial"/>
                <w:b/>
                <w:bCs/>
                <w:sz w:val="20"/>
              </w:rPr>
              <w:t> </w:t>
            </w:r>
          </w:p>
        </w:tc>
        <w:tc>
          <w:tcPr>
            <w:tcW w:w="1120" w:type="dxa"/>
            <w:tcBorders>
              <w:top w:val="nil"/>
              <w:left w:val="nil"/>
              <w:bottom w:val="nil"/>
              <w:right w:val="single" w:sz="8" w:space="0" w:color="auto"/>
            </w:tcBorders>
            <w:noWrap/>
            <w:tcMar>
              <w:top w:w="15" w:type="dxa"/>
              <w:left w:w="15" w:type="dxa"/>
              <w:bottom w:w="0" w:type="dxa"/>
              <w:right w:w="15" w:type="dxa"/>
            </w:tcMar>
            <w:vAlign w:val="bottom"/>
          </w:tcPr>
          <w:p w14:paraId="225C6297" w14:textId="77777777" w:rsidR="003B291E" w:rsidRDefault="007E305A" w:rsidP="003B291E">
            <w:pPr>
              <w:jc w:val="center"/>
              <w:rPr>
                <w:rFonts w:cs="Arial"/>
                <w:sz w:val="20"/>
              </w:rPr>
            </w:pPr>
            <w:r>
              <w:rPr>
                <w:rFonts w:cs="Arial"/>
                <w:sz w:val="20"/>
              </w:rPr>
              <w:t>2,091</w:t>
            </w:r>
            <w:r w:rsidR="003B291E" w:rsidRPr="007B2B33">
              <w:rPr>
                <w:rFonts w:cs="Arial"/>
                <w:sz w:val="20"/>
              </w:rPr>
              <w:t xml:space="preserve"> elec</w:t>
            </w:r>
          </w:p>
        </w:tc>
        <w:tc>
          <w:tcPr>
            <w:tcW w:w="855" w:type="dxa"/>
            <w:tcBorders>
              <w:top w:val="nil"/>
              <w:left w:val="nil"/>
              <w:bottom w:val="nil"/>
              <w:right w:val="single" w:sz="8" w:space="0" w:color="auto"/>
            </w:tcBorders>
            <w:noWrap/>
            <w:tcMar>
              <w:top w:w="15" w:type="dxa"/>
              <w:left w:w="15" w:type="dxa"/>
              <w:bottom w:w="0" w:type="dxa"/>
              <w:right w:w="15" w:type="dxa"/>
            </w:tcMar>
            <w:vAlign w:val="center"/>
          </w:tcPr>
          <w:p w14:paraId="225C6298" w14:textId="77777777" w:rsidR="003B291E" w:rsidRPr="00D0348F" w:rsidRDefault="007E305A" w:rsidP="003B291E">
            <w:pPr>
              <w:jc w:val="center"/>
              <w:rPr>
                <w:rFonts w:cs="Arial"/>
                <w:sz w:val="20"/>
              </w:rPr>
            </w:pPr>
            <w:r>
              <w:rPr>
                <w:rFonts w:cs="Arial"/>
                <w:sz w:val="20"/>
              </w:rPr>
              <w:t>7.1</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99" w14:textId="77777777" w:rsidR="003B291E" w:rsidRPr="00D0348F" w:rsidRDefault="003B291E" w:rsidP="007E305A">
            <w:pPr>
              <w:jc w:val="center"/>
              <w:rPr>
                <w:rFonts w:cs="Arial"/>
                <w:sz w:val="20"/>
              </w:rPr>
            </w:pPr>
            <w:r>
              <w:rPr>
                <w:rFonts w:cs="Arial"/>
                <w:sz w:val="20"/>
              </w:rPr>
              <w:t>4.</w:t>
            </w:r>
            <w:r w:rsidR="007E305A">
              <w:rPr>
                <w:rFonts w:cs="Arial"/>
                <w:sz w:val="20"/>
              </w:rPr>
              <w:t>2</w:t>
            </w:r>
            <w:r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9A" w14:textId="77777777" w:rsidR="003B291E" w:rsidRPr="00D0348F" w:rsidRDefault="003B291E" w:rsidP="007E305A">
            <w:pPr>
              <w:jc w:val="center"/>
              <w:rPr>
                <w:rFonts w:cs="Arial"/>
                <w:sz w:val="20"/>
              </w:rPr>
            </w:pPr>
            <w:r>
              <w:rPr>
                <w:rFonts w:cs="Arial"/>
                <w:sz w:val="20"/>
              </w:rPr>
              <w:t>4.</w:t>
            </w:r>
            <w:r w:rsidR="007E305A">
              <w:rPr>
                <w:rFonts w:cs="Arial"/>
                <w:sz w:val="20"/>
              </w:rPr>
              <w:t>2</w:t>
            </w:r>
            <w:r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9B" w14:textId="77777777" w:rsidR="003B291E" w:rsidRPr="00D0348F" w:rsidRDefault="007E305A" w:rsidP="003B291E">
            <w:pPr>
              <w:jc w:val="center"/>
              <w:rPr>
                <w:rFonts w:cs="Arial"/>
                <w:sz w:val="20"/>
              </w:rPr>
            </w:pPr>
            <w:r>
              <w:rPr>
                <w:rFonts w:cs="Arial"/>
                <w:sz w:val="20"/>
              </w:rPr>
              <w:t>3.9</w:t>
            </w:r>
            <w:r w:rsidR="003B291E" w:rsidRPr="007B2B33">
              <w:rPr>
                <w:rFonts w:cs="Arial"/>
                <w:sz w:val="20"/>
              </w:rPr>
              <w:t>%</w:t>
            </w:r>
          </w:p>
        </w:tc>
        <w:tc>
          <w:tcPr>
            <w:tcW w:w="865" w:type="dxa"/>
            <w:tcBorders>
              <w:top w:val="nil"/>
              <w:left w:val="nil"/>
              <w:bottom w:val="nil"/>
              <w:right w:val="single" w:sz="8" w:space="0" w:color="auto"/>
            </w:tcBorders>
            <w:noWrap/>
            <w:tcMar>
              <w:top w:w="15" w:type="dxa"/>
              <w:left w:w="15" w:type="dxa"/>
              <w:bottom w:w="0" w:type="dxa"/>
              <w:right w:w="15" w:type="dxa"/>
            </w:tcMar>
            <w:vAlign w:val="center"/>
          </w:tcPr>
          <w:p w14:paraId="225C629C" w14:textId="77777777" w:rsidR="003B291E" w:rsidRPr="00D0348F" w:rsidRDefault="007E305A" w:rsidP="003B291E">
            <w:pPr>
              <w:jc w:val="center"/>
              <w:rPr>
                <w:rFonts w:cs="Arial"/>
                <w:sz w:val="20"/>
              </w:rPr>
            </w:pPr>
            <w:r>
              <w:rPr>
                <w:rFonts w:cs="Arial"/>
                <w:sz w:val="20"/>
              </w:rPr>
              <w:t>3.9</w:t>
            </w:r>
            <w:r w:rsidR="003B291E" w:rsidRPr="007B2B33">
              <w:rPr>
                <w:rFonts w:cs="Arial"/>
                <w:sz w:val="20"/>
              </w:rPr>
              <w:t>%</w:t>
            </w:r>
          </w:p>
        </w:tc>
      </w:tr>
      <w:tr w:rsidR="003B291E" w:rsidRPr="00D0348F" w14:paraId="225C62A5" w14:textId="77777777" w:rsidTr="003C465B">
        <w:trPr>
          <w:trHeight w:val="189"/>
        </w:trPr>
        <w:tc>
          <w:tcPr>
            <w:tcW w:w="1384" w:type="dxa"/>
            <w:tcBorders>
              <w:top w:val="nil"/>
              <w:left w:val="single" w:sz="8" w:space="0" w:color="auto"/>
              <w:bottom w:val="nil"/>
              <w:right w:val="single" w:sz="8" w:space="0" w:color="auto"/>
            </w:tcBorders>
            <w:noWrap/>
            <w:tcMar>
              <w:top w:w="15" w:type="dxa"/>
              <w:left w:w="15" w:type="dxa"/>
              <w:bottom w:w="0" w:type="dxa"/>
              <w:right w:w="15" w:type="dxa"/>
            </w:tcMar>
            <w:vAlign w:val="bottom"/>
          </w:tcPr>
          <w:p w14:paraId="225C629E" w14:textId="77777777" w:rsidR="003B291E" w:rsidRPr="00D0348F" w:rsidRDefault="003B291E" w:rsidP="003B291E">
            <w:pPr>
              <w:jc w:val="both"/>
              <w:rPr>
                <w:rFonts w:cs="Arial"/>
                <w:b/>
                <w:bCs/>
                <w:sz w:val="20"/>
              </w:rPr>
            </w:pPr>
            <w:r w:rsidRPr="007B2B33">
              <w:rPr>
                <w:rFonts w:cs="Arial"/>
                <w:b/>
                <w:bCs/>
                <w:sz w:val="20"/>
              </w:rPr>
              <w:t> </w:t>
            </w:r>
          </w:p>
        </w:tc>
        <w:tc>
          <w:tcPr>
            <w:tcW w:w="1120" w:type="dxa"/>
            <w:tcBorders>
              <w:top w:val="nil"/>
              <w:left w:val="nil"/>
              <w:bottom w:val="nil"/>
              <w:right w:val="single" w:sz="8" w:space="0" w:color="auto"/>
            </w:tcBorders>
            <w:noWrap/>
            <w:tcMar>
              <w:top w:w="15" w:type="dxa"/>
              <w:left w:w="15" w:type="dxa"/>
              <w:bottom w:w="0" w:type="dxa"/>
              <w:right w:w="15" w:type="dxa"/>
            </w:tcMar>
            <w:vAlign w:val="bottom"/>
          </w:tcPr>
          <w:p w14:paraId="225C629F" w14:textId="77777777" w:rsidR="003B291E" w:rsidRDefault="003B291E" w:rsidP="007E305A">
            <w:pPr>
              <w:jc w:val="center"/>
              <w:rPr>
                <w:rFonts w:cs="Arial"/>
                <w:sz w:val="20"/>
                <w:u w:val="single"/>
              </w:rPr>
            </w:pPr>
            <w:r>
              <w:rPr>
                <w:rFonts w:cs="Arial"/>
                <w:sz w:val="20"/>
                <w:u w:val="single"/>
              </w:rPr>
              <w:t>1,</w:t>
            </w:r>
            <w:r w:rsidR="007E305A">
              <w:rPr>
                <w:rFonts w:cs="Arial"/>
                <w:sz w:val="20"/>
                <w:u w:val="single"/>
              </w:rPr>
              <w:t>148</w:t>
            </w:r>
            <w:r w:rsidR="007E305A" w:rsidRPr="007B2B33">
              <w:rPr>
                <w:rFonts w:cs="Arial"/>
                <w:sz w:val="20"/>
                <w:u w:val="single"/>
              </w:rPr>
              <w:t xml:space="preserve"> </w:t>
            </w:r>
            <w:r w:rsidRPr="007B2B33">
              <w:rPr>
                <w:rFonts w:cs="Arial"/>
                <w:sz w:val="20"/>
                <w:u w:val="single"/>
              </w:rPr>
              <w:t>gas</w:t>
            </w:r>
          </w:p>
        </w:tc>
        <w:tc>
          <w:tcPr>
            <w:tcW w:w="855" w:type="dxa"/>
            <w:tcBorders>
              <w:top w:val="nil"/>
              <w:left w:val="nil"/>
              <w:bottom w:val="nil"/>
              <w:right w:val="single" w:sz="8" w:space="0" w:color="auto"/>
            </w:tcBorders>
            <w:noWrap/>
            <w:tcMar>
              <w:top w:w="15" w:type="dxa"/>
              <w:left w:w="15" w:type="dxa"/>
              <w:bottom w:w="0" w:type="dxa"/>
              <w:right w:w="15" w:type="dxa"/>
            </w:tcMar>
            <w:vAlign w:val="center"/>
          </w:tcPr>
          <w:p w14:paraId="225C62A0" w14:textId="77777777" w:rsidR="003B291E" w:rsidRPr="00D0348F" w:rsidRDefault="007E305A" w:rsidP="003B291E">
            <w:pPr>
              <w:jc w:val="center"/>
              <w:rPr>
                <w:rFonts w:cs="Arial"/>
                <w:sz w:val="20"/>
              </w:rPr>
            </w:pPr>
            <w:r>
              <w:rPr>
                <w:rFonts w:cs="Arial"/>
                <w:sz w:val="20"/>
              </w:rPr>
              <w:t>6.3</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A1" w14:textId="77777777" w:rsidR="003B291E" w:rsidRPr="00D0348F" w:rsidRDefault="007E305A" w:rsidP="003B291E">
            <w:pPr>
              <w:jc w:val="center"/>
              <w:rPr>
                <w:rFonts w:cs="Arial"/>
                <w:sz w:val="20"/>
              </w:rPr>
            </w:pPr>
            <w:r>
              <w:rPr>
                <w:rFonts w:cs="Arial"/>
                <w:sz w:val="20"/>
              </w:rPr>
              <w:t>3.3</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A2" w14:textId="77777777" w:rsidR="003B291E" w:rsidRPr="00D0348F" w:rsidRDefault="007E305A" w:rsidP="003B291E">
            <w:pPr>
              <w:jc w:val="center"/>
              <w:rPr>
                <w:rFonts w:cs="Arial"/>
                <w:sz w:val="20"/>
              </w:rPr>
            </w:pPr>
            <w:r>
              <w:rPr>
                <w:rFonts w:cs="Arial"/>
                <w:sz w:val="20"/>
              </w:rPr>
              <w:t>3.3</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A3" w14:textId="77777777" w:rsidR="003B291E" w:rsidRPr="00D0348F" w:rsidRDefault="007E305A" w:rsidP="003B291E">
            <w:pPr>
              <w:jc w:val="center"/>
              <w:rPr>
                <w:rFonts w:cs="Arial"/>
                <w:sz w:val="20"/>
              </w:rPr>
            </w:pPr>
            <w:r>
              <w:rPr>
                <w:rFonts w:cs="Arial"/>
                <w:sz w:val="20"/>
              </w:rPr>
              <w:t>2.9</w:t>
            </w:r>
            <w:r w:rsidR="003B291E" w:rsidRPr="007B2B33">
              <w:rPr>
                <w:rFonts w:cs="Arial"/>
                <w:sz w:val="20"/>
              </w:rPr>
              <w:t>%</w:t>
            </w:r>
          </w:p>
        </w:tc>
        <w:tc>
          <w:tcPr>
            <w:tcW w:w="865" w:type="dxa"/>
            <w:tcBorders>
              <w:top w:val="nil"/>
              <w:left w:val="nil"/>
              <w:bottom w:val="nil"/>
              <w:right w:val="single" w:sz="8" w:space="0" w:color="auto"/>
            </w:tcBorders>
            <w:noWrap/>
            <w:tcMar>
              <w:top w:w="15" w:type="dxa"/>
              <w:left w:w="15" w:type="dxa"/>
              <w:bottom w:w="0" w:type="dxa"/>
              <w:right w:w="15" w:type="dxa"/>
            </w:tcMar>
            <w:vAlign w:val="center"/>
          </w:tcPr>
          <w:p w14:paraId="225C62A4" w14:textId="77777777" w:rsidR="003B291E" w:rsidRPr="00D0348F" w:rsidRDefault="007E305A" w:rsidP="003B291E">
            <w:pPr>
              <w:jc w:val="center"/>
              <w:rPr>
                <w:rFonts w:cs="Arial"/>
                <w:sz w:val="20"/>
              </w:rPr>
            </w:pPr>
            <w:r>
              <w:rPr>
                <w:rFonts w:cs="Arial"/>
                <w:sz w:val="20"/>
              </w:rPr>
              <w:t>2.9</w:t>
            </w:r>
            <w:r w:rsidR="003B291E" w:rsidRPr="007B2B33">
              <w:rPr>
                <w:rFonts w:cs="Arial"/>
                <w:sz w:val="20"/>
              </w:rPr>
              <w:t>%</w:t>
            </w:r>
          </w:p>
        </w:tc>
      </w:tr>
      <w:tr w:rsidR="003B291E" w:rsidRPr="00D0348F" w14:paraId="225C62AD" w14:textId="77777777" w:rsidTr="003C465B">
        <w:trPr>
          <w:trHeight w:val="189"/>
        </w:trPr>
        <w:tc>
          <w:tcPr>
            <w:tcW w:w="1384" w:type="dxa"/>
            <w:tcBorders>
              <w:top w:val="nil"/>
              <w:left w:val="single" w:sz="8" w:space="0" w:color="auto"/>
              <w:bottom w:val="nil"/>
              <w:right w:val="single" w:sz="8" w:space="0" w:color="auto"/>
            </w:tcBorders>
            <w:noWrap/>
            <w:tcMar>
              <w:top w:w="15" w:type="dxa"/>
              <w:left w:w="15" w:type="dxa"/>
              <w:bottom w:w="0" w:type="dxa"/>
              <w:right w:w="15" w:type="dxa"/>
            </w:tcMar>
            <w:vAlign w:val="bottom"/>
          </w:tcPr>
          <w:p w14:paraId="225C62A6" w14:textId="77777777" w:rsidR="003B291E" w:rsidRPr="00D0348F" w:rsidRDefault="003B291E" w:rsidP="003B291E">
            <w:pPr>
              <w:jc w:val="both"/>
              <w:rPr>
                <w:rFonts w:cs="Arial"/>
                <w:b/>
                <w:bCs/>
                <w:sz w:val="20"/>
              </w:rPr>
            </w:pPr>
            <w:r w:rsidRPr="007B2B33">
              <w:rPr>
                <w:rFonts w:cs="Arial"/>
                <w:b/>
                <w:bCs/>
                <w:sz w:val="20"/>
              </w:rPr>
              <w:t> </w:t>
            </w:r>
          </w:p>
        </w:tc>
        <w:tc>
          <w:tcPr>
            <w:tcW w:w="1120" w:type="dxa"/>
            <w:tcBorders>
              <w:top w:val="nil"/>
              <w:left w:val="nil"/>
              <w:bottom w:val="nil"/>
              <w:right w:val="single" w:sz="8" w:space="0" w:color="auto"/>
            </w:tcBorders>
            <w:noWrap/>
            <w:tcMar>
              <w:top w:w="15" w:type="dxa"/>
              <w:left w:w="15" w:type="dxa"/>
              <w:bottom w:w="0" w:type="dxa"/>
              <w:right w:w="15" w:type="dxa"/>
            </w:tcMar>
            <w:vAlign w:val="bottom"/>
          </w:tcPr>
          <w:p w14:paraId="225C62A7" w14:textId="77777777" w:rsidR="003B291E" w:rsidRDefault="007E305A" w:rsidP="003B291E">
            <w:pPr>
              <w:jc w:val="center"/>
              <w:rPr>
                <w:rFonts w:cs="Arial"/>
                <w:sz w:val="20"/>
              </w:rPr>
            </w:pPr>
            <w:r>
              <w:rPr>
                <w:rFonts w:cs="Arial"/>
                <w:sz w:val="20"/>
              </w:rPr>
              <w:t>3,239</w:t>
            </w:r>
            <w:r w:rsidR="003B291E" w:rsidRPr="007B2B33">
              <w:rPr>
                <w:rFonts w:cs="Arial"/>
                <w:sz w:val="20"/>
              </w:rPr>
              <w:t xml:space="preserve"> all</w:t>
            </w:r>
          </w:p>
        </w:tc>
        <w:tc>
          <w:tcPr>
            <w:tcW w:w="855" w:type="dxa"/>
            <w:tcBorders>
              <w:top w:val="nil"/>
              <w:left w:val="nil"/>
              <w:bottom w:val="nil"/>
              <w:right w:val="single" w:sz="8" w:space="0" w:color="auto"/>
            </w:tcBorders>
            <w:noWrap/>
            <w:tcMar>
              <w:top w:w="15" w:type="dxa"/>
              <w:left w:w="15" w:type="dxa"/>
              <w:bottom w:w="0" w:type="dxa"/>
              <w:right w:w="15" w:type="dxa"/>
            </w:tcMar>
            <w:vAlign w:val="center"/>
          </w:tcPr>
          <w:p w14:paraId="225C62A8" w14:textId="77777777" w:rsidR="003B291E" w:rsidRPr="00D0348F" w:rsidRDefault="007E305A" w:rsidP="003B291E">
            <w:pPr>
              <w:jc w:val="center"/>
              <w:rPr>
                <w:rFonts w:cs="Arial"/>
                <w:sz w:val="20"/>
              </w:rPr>
            </w:pPr>
            <w:r>
              <w:rPr>
                <w:rFonts w:cs="Arial"/>
                <w:sz w:val="20"/>
              </w:rPr>
              <w:t>6.8</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A9" w14:textId="77777777" w:rsidR="003B291E" w:rsidRPr="00D0348F" w:rsidRDefault="007E305A" w:rsidP="003B291E">
            <w:pPr>
              <w:jc w:val="center"/>
              <w:rPr>
                <w:rFonts w:cs="Arial"/>
                <w:sz w:val="20"/>
              </w:rPr>
            </w:pPr>
            <w:r>
              <w:rPr>
                <w:rFonts w:cs="Arial"/>
                <w:sz w:val="20"/>
              </w:rPr>
              <w:t>3.9</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AA" w14:textId="77777777" w:rsidR="003B291E" w:rsidRPr="00D0348F" w:rsidRDefault="007E305A" w:rsidP="003B291E">
            <w:pPr>
              <w:jc w:val="center"/>
              <w:rPr>
                <w:rFonts w:cs="Arial"/>
                <w:sz w:val="20"/>
              </w:rPr>
            </w:pPr>
            <w:r>
              <w:rPr>
                <w:rFonts w:cs="Arial"/>
                <w:sz w:val="20"/>
              </w:rPr>
              <w:t>3.9</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AB" w14:textId="77777777" w:rsidR="003B291E" w:rsidRPr="00D0348F" w:rsidRDefault="007E305A" w:rsidP="003B291E">
            <w:pPr>
              <w:jc w:val="center"/>
              <w:rPr>
                <w:rFonts w:cs="Arial"/>
                <w:sz w:val="20"/>
              </w:rPr>
            </w:pPr>
            <w:r>
              <w:rPr>
                <w:rFonts w:cs="Arial"/>
                <w:sz w:val="20"/>
              </w:rPr>
              <w:t>3.5</w:t>
            </w:r>
            <w:r w:rsidR="003B291E" w:rsidRPr="007B2B33">
              <w:rPr>
                <w:rFonts w:cs="Arial"/>
                <w:sz w:val="20"/>
              </w:rPr>
              <w:t>%</w:t>
            </w:r>
          </w:p>
        </w:tc>
        <w:tc>
          <w:tcPr>
            <w:tcW w:w="865" w:type="dxa"/>
            <w:tcBorders>
              <w:top w:val="nil"/>
              <w:left w:val="nil"/>
              <w:bottom w:val="nil"/>
              <w:right w:val="single" w:sz="8" w:space="0" w:color="auto"/>
            </w:tcBorders>
            <w:noWrap/>
            <w:tcMar>
              <w:top w:w="15" w:type="dxa"/>
              <w:left w:w="15" w:type="dxa"/>
              <w:bottom w:w="0" w:type="dxa"/>
              <w:right w:w="15" w:type="dxa"/>
            </w:tcMar>
            <w:vAlign w:val="center"/>
          </w:tcPr>
          <w:p w14:paraId="225C62AC" w14:textId="77777777" w:rsidR="003B291E" w:rsidRPr="00D0348F" w:rsidRDefault="007E305A" w:rsidP="003B291E">
            <w:pPr>
              <w:jc w:val="center"/>
              <w:rPr>
                <w:rFonts w:cs="Arial"/>
                <w:sz w:val="20"/>
              </w:rPr>
            </w:pPr>
            <w:r>
              <w:rPr>
                <w:rFonts w:cs="Arial"/>
                <w:sz w:val="20"/>
              </w:rPr>
              <w:t>3.5</w:t>
            </w:r>
            <w:r w:rsidR="003B291E" w:rsidRPr="007B2B33">
              <w:rPr>
                <w:rFonts w:cs="Arial"/>
                <w:sz w:val="20"/>
              </w:rPr>
              <w:t>%</w:t>
            </w:r>
          </w:p>
        </w:tc>
      </w:tr>
      <w:tr w:rsidR="003B291E" w:rsidRPr="00D0348F" w14:paraId="225C62B5" w14:textId="77777777" w:rsidTr="003C465B">
        <w:trPr>
          <w:trHeight w:val="48"/>
        </w:trPr>
        <w:tc>
          <w:tcPr>
            <w:tcW w:w="138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25C62AE" w14:textId="77777777" w:rsidR="003B291E" w:rsidRPr="00D0348F" w:rsidRDefault="003B291E" w:rsidP="003B291E">
            <w:pPr>
              <w:jc w:val="both"/>
              <w:rPr>
                <w:rFonts w:cs="Arial"/>
                <w:b/>
                <w:bCs/>
                <w:sz w:val="20"/>
              </w:rPr>
            </w:pPr>
            <w:r w:rsidRPr="007B2B33">
              <w:rPr>
                <w:rFonts w:cs="Arial"/>
                <w:b/>
                <w:bCs/>
                <w:sz w:val="20"/>
              </w:rPr>
              <w:t> </w:t>
            </w:r>
          </w:p>
        </w:tc>
        <w:tc>
          <w:tcPr>
            <w:tcW w:w="1120"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25C62AF" w14:textId="77777777" w:rsidR="003B291E" w:rsidRPr="00D0348F" w:rsidRDefault="003B291E" w:rsidP="003B291E">
            <w:pPr>
              <w:jc w:val="both"/>
              <w:rPr>
                <w:rFonts w:cs="Arial"/>
                <w:sz w:val="20"/>
              </w:rPr>
            </w:pPr>
          </w:p>
        </w:tc>
        <w:tc>
          <w:tcPr>
            <w:tcW w:w="855"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225C62B0" w14:textId="77777777" w:rsidR="003B291E" w:rsidRPr="00D0348F" w:rsidRDefault="003B291E" w:rsidP="003B291E">
            <w:pPr>
              <w:jc w:val="center"/>
              <w:rPr>
                <w:rFonts w:cs="Arial"/>
                <w:sz w:val="20"/>
              </w:rPr>
            </w:pPr>
          </w:p>
        </w:tc>
        <w:tc>
          <w:tcPr>
            <w:tcW w:w="85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225C62B1" w14:textId="77777777" w:rsidR="003B291E" w:rsidRPr="00D0348F" w:rsidRDefault="003B291E" w:rsidP="003B291E">
            <w:pPr>
              <w:jc w:val="center"/>
              <w:rPr>
                <w:rFonts w:cs="Arial"/>
                <w:sz w:val="20"/>
              </w:rPr>
            </w:pPr>
          </w:p>
        </w:tc>
        <w:tc>
          <w:tcPr>
            <w:tcW w:w="85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225C62B2" w14:textId="77777777" w:rsidR="003B291E" w:rsidRPr="00D0348F" w:rsidRDefault="003B291E" w:rsidP="003B291E">
            <w:pPr>
              <w:jc w:val="center"/>
              <w:rPr>
                <w:rFonts w:cs="Arial"/>
                <w:sz w:val="20"/>
              </w:rPr>
            </w:pPr>
          </w:p>
        </w:tc>
        <w:tc>
          <w:tcPr>
            <w:tcW w:w="85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225C62B3" w14:textId="77777777" w:rsidR="003B291E" w:rsidRPr="00D0348F" w:rsidRDefault="003B291E" w:rsidP="003B291E">
            <w:pPr>
              <w:jc w:val="center"/>
              <w:rPr>
                <w:rFonts w:cs="Arial"/>
                <w:sz w:val="20"/>
              </w:rPr>
            </w:pPr>
          </w:p>
        </w:tc>
        <w:tc>
          <w:tcPr>
            <w:tcW w:w="865"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225C62B4" w14:textId="77777777" w:rsidR="003B291E" w:rsidRPr="00D0348F" w:rsidRDefault="003B291E" w:rsidP="003B291E">
            <w:pPr>
              <w:jc w:val="center"/>
              <w:rPr>
                <w:rFonts w:cs="Arial"/>
                <w:sz w:val="20"/>
              </w:rPr>
            </w:pPr>
          </w:p>
        </w:tc>
      </w:tr>
      <w:tr w:rsidR="003B291E" w:rsidRPr="00D0348F" w14:paraId="225C62BD" w14:textId="77777777" w:rsidTr="003C465B">
        <w:trPr>
          <w:trHeight w:val="189"/>
        </w:trPr>
        <w:tc>
          <w:tcPr>
            <w:tcW w:w="1384" w:type="dxa"/>
            <w:tcBorders>
              <w:top w:val="nil"/>
              <w:left w:val="single" w:sz="8" w:space="0" w:color="auto"/>
              <w:bottom w:val="nil"/>
              <w:right w:val="nil"/>
            </w:tcBorders>
            <w:noWrap/>
            <w:tcMar>
              <w:top w:w="15" w:type="dxa"/>
              <w:left w:w="15" w:type="dxa"/>
              <w:bottom w:w="0" w:type="dxa"/>
              <w:right w:w="15" w:type="dxa"/>
            </w:tcMar>
            <w:vAlign w:val="bottom"/>
          </w:tcPr>
          <w:p w14:paraId="225C62B6" w14:textId="77777777" w:rsidR="003B291E" w:rsidRPr="00D0348F" w:rsidRDefault="003B291E" w:rsidP="003B291E">
            <w:pPr>
              <w:jc w:val="both"/>
              <w:rPr>
                <w:rFonts w:cs="Arial"/>
                <w:b/>
                <w:bCs/>
                <w:sz w:val="20"/>
              </w:rPr>
            </w:pPr>
            <w:r w:rsidRPr="007B2B33">
              <w:rPr>
                <w:rFonts w:cs="Arial"/>
                <w:b/>
                <w:bCs/>
                <w:sz w:val="20"/>
              </w:rPr>
              <w:t>101-125%FPL</w:t>
            </w:r>
          </w:p>
        </w:tc>
        <w:tc>
          <w:tcPr>
            <w:tcW w:w="1120" w:type="dxa"/>
            <w:tcBorders>
              <w:top w:val="nil"/>
              <w:left w:val="single" w:sz="8" w:space="0" w:color="auto"/>
              <w:bottom w:val="nil"/>
              <w:right w:val="nil"/>
            </w:tcBorders>
            <w:noWrap/>
            <w:tcMar>
              <w:top w:w="15" w:type="dxa"/>
              <w:left w:w="15" w:type="dxa"/>
              <w:bottom w:w="0" w:type="dxa"/>
              <w:right w:w="15" w:type="dxa"/>
            </w:tcMar>
            <w:vAlign w:val="bottom"/>
          </w:tcPr>
          <w:p w14:paraId="225C62B7" w14:textId="77777777" w:rsidR="003B291E" w:rsidRPr="00D0348F" w:rsidRDefault="003B291E" w:rsidP="003B291E">
            <w:pPr>
              <w:jc w:val="both"/>
              <w:rPr>
                <w:rFonts w:cs="Arial"/>
                <w:sz w:val="20"/>
              </w:rPr>
            </w:pPr>
          </w:p>
        </w:tc>
        <w:tc>
          <w:tcPr>
            <w:tcW w:w="855" w:type="dxa"/>
            <w:tcBorders>
              <w:top w:val="nil"/>
              <w:left w:val="single" w:sz="8" w:space="0" w:color="auto"/>
              <w:bottom w:val="nil"/>
              <w:right w:val="nil"/>
            </w:tcBorders>
            <w:noWrap/>
            <w:tcMar>
              <w:top w:w="15" w:type="dxa"/>
              <w:left w:w="15" w:type="dxa"/>
              <w:bottom w:w="0" w:type="dxa"/>
              <w:right w:w="15" w:type="dxa"/>
            </w:tcMar>
            <w:vAlign w:val="center"/>
          </w:tcPr>
          <w:p w14:paraId="225C62B8" w14:textId="77777777" w:rsidR="003B291E" w:rsidRPr="00D0348F" w:rsidRDefault="003B291E" w:rsidP="003B291E">
            <w:pPr>
              <w:jc w:val="center"/>
              <w:rPr>
                <w:rFonts w:cs="Arial"/>
                <w:sz w:val="20"/>
              </w:rPr>
            </w:pPr>
          </w:p>
        </w:tc>
        <w:tc>
          <w:tcPr>
            <w:tcW w:w="856" w:type="dxa"/>
            <w:tcBorders>
              <w:top w:val="nil"/>
              <w:left w:val="single" w:sz="8" w:space="0" w:color="auto"/>
              <w:bottom w:val="nil"/>
              <w:right w:val="nil"/>
            </w:tcBorders>
            <w:noWrap/>
            <w:tcMar>
              <w:top w:w="15" w:type="dxa"/>
              <w:left w:w="15" w:type="dxa"/>
              <w:bottom w:w="0" w:type="dxa"/>
              <w:right w:w="15" w:type="dxa"/>
            </w:tcMar>
            <w:vAlign w:val="center"/>
          </w:tcPr>
          <w:p w14:paraId="225C62B9" w14:textId="77777777" w:rsidR="003B291E" w:rsidRPr="00D0348F" w:rsidRDefault="003B291E" w:rsidP="003B291E">
            <w:pPr>
              <w:jc w:val="center"/>
              <w:rPr>
                <w:rFonts w:cs="Arial"/>
                <w:sz w:val="20"/>
              </w:rPr>
            </w:pPr>
          </w:p>
        </w:tc>
        <w:tc>
          <w:tcPr>
            <w:tcW w:w="856" w:type="dxa"/>
            <w:tcBorders>
              <w:top w:val="nil"/>
              <w:left w:val="single" w:sz="8" w:space="0" w:color="auto"/>
              <w:bottom w:val="nil"/>
              <w:right w:val="nil"/>
            </w:tcBorders>
            <w:noWrap/>
            <w:tcMar>
              <w:top w:w="15" w:type="dxa"/>
              <w:left w:w="15" w:type="dxa"/>
              <w:bottom w:w="0" w:type="dxa"/>
              <w:right w:w="15" w:type="dxa"/>
            </w:tcMar>
            <w:vAlign w:val="center"/>
          </w:tcPr>
          <w:p w14:paraId="225C62BA" w14:textId="77777777" w:rsidR="003B291E" w:rsidRPr="00D0348F" w:rsidRDefault="003B291E" w:rsidP="003B291E">
            <w:pPr>
              <w:jc w:val="center"/>
              <w:rPr>
                <w:rFonts w:cs="Arial"/>
                <w:sz w:val="20"/>
              </w:rPr>
            </w:pPr>
          </w:p>
        </w:tc>
        <w:tc>
          <w:tcPr>
            <w:tcW w:w="856" w:type="dxa"/>
            <w:tcBorders>
              <w:top w:val="nil"/>
              <w:left w:val="single" w:sz="8" w:space="0" w:color="auto"/>
              <w:bottom w:val="nil"/>
              <w:right w:val="nil"/>
            </w:tcBorders>
            <w:noWrap/>
            <w:tcMar>
              <w:top w:w="15" w:type="dxa"/>
              <w:left w:w="15" w:type="dxa"/>
              <w:bottom w:w="0" w:type="dxa"/>
              <w:right w:w="15" w:type="dxa"/>
            </w:tcMar>
            <w:vAlign w:val="center"/>
          </w:tcPr>
          <w:p w14:paraId="225C62BB" w14:textId="77777777" w:rsidR="003B291E" w:rsidRPr="00D0348F" w:rsidRDefault="003B291E" w:rsidP="003B291E">
            <w:pPr>
              <w:jc w:val="center"/>
              <w:rPr>
                <w:rFonts w:cs="Arial"/>
                <w:sz w:val="20"/>
              </w:rPr>
            </w:pPr>
          </w:p>
        </w:tc>
        <w:tc>
          <w:tcPr>
            <w:tcW w:w="865" w:type="dxa"/>
            <w:tcBorders>
              <w:top w:val="nil"/>
              <w:left w:val="single" w:sz="8" w:space="0" w:color="auto"/>
              <w:bottom w:val="nil"/>
              <w:right w:val="single" w:sz="8" w:space="0" w:color="auto"/>
            </w:tcBorders>
            <w:noWrap/>
            <w:tcMar>
              <w:top w:w="15" w:type="dxa"/>
              <w:left w:w="15" w:type="dxa"/>
              <w:bottom w:w="0" w:type="dxa"/>
              <w:right w:w="15" w:type="dxa"/>
            </w:tcMar>
            <w:vAlign w:val="center"/>
          </w:tcPr>
          <w:p w14:paraId="225C62BC" w14:textId="77777777" w:rsidR="003B291E" w:rsidRPr="00D0348F" w:rsidRDefault="003B291E" w:rsidP="003B291E">
            <w:pPr>
              <w:jc w:val="center"/>
              <w:rPr>
                <w:rFonts w:cs="Arial"/>
                <w:sz w:val="20"/>
              </w:rPr>
            </w:pPr>
          </w:p>
        </w:tc>
      </w:tr>
      <w:tr w:rsidR="003B291E" w:rsidRPr="00D0348F" w14:paraId="225C62C5" w14:textId="77777777" w:rsidTr="003C465B">
        <w:trPr>
          <w:trHeight w:val="189"/>
        </w:trPr>
        <w:tc>
          <w:tcPr>
            <w:tcW w:w="1384" w:type="dxa"/>
            <w:tcBorders>
              <w:top w:val="nil"/>
              <w:left w:val="single" w:sz="8" w:space="0" w:color="auto"/>
              <w:bottom w:val="nil"/>
              <w:right w:val="single" w:sz="8" w:space="0" w:color="auto"/>
            </w:tcBorders>
            <w:noWrap/>
            <w:tcMar>
              <w:top w:w="15" w:type="dxa"/>
              <w:left w:w="15" w:type="dxa"/>
              <w:bottom w:w="0" w:type="dxa"/>
              <w:right w:w="15" w:type="dxa"/>
            </w:tcMar>
            <w:vAlign w:val="bottom"/>
          </w:tcPr>
          <w:p w14:paraId="225C62BE" w14:textId="77777777" w:rsidR="003B291E" w:rsidRPr="00D0348F" w:rsidRDefault="003B291E" w:rsidP="003B291E">
            <w:pPr>
              <w:jc w:val="both"/>
              <w:rPr>
                <w:rFonts w:cs="Arial"/>
                <w:b/>
                <w:bCs/>
                <w:sz w:val="20"/>
              </w:rPr>
            </w:pPr>
            <w:r w:rsidRPr="007B2B33">
              <w:rPr>
                <w:rFonts w:cs="Arial"/>
                <w:b/>
                <w:bCs/>
                <w:sz w:val="20"/>
              </w:rPr>
              <w:t> </w:t>
            </w:r>
          </w:p>
        </w:tc>
        <w:tc>
          <w:tcPr>
            <w:tcW w:w="1120" w:type="dxa"/>
            <w:tcBorders>
              <w:top w:val="nil"/>
              <w:left w:val="nil"/>
              <w:bottom w:val="nil"/>
              <w:right w:val="single" w:sz="8" w:space="0" w:color="auto"/>
            </w:tcBorders>
            <w:noWrap/>
            <w:tcMar>
              <w:top w:w="15" w:type="dxa"/>
              <w:left w:w="15" w:type="dxa"/>
              <w:bottom w:w="0" w:type="dxa"/>
              <w:right w:w="15" w:type="dxa"/>
            </w:tcMar>
            <w:vAlign w:val="bottom"/>
          </w:tcPr>
          <w:p w14:paraId="225C62BF" w14:textId="77777777" w:rsidR="003B291E" w:rsidRDefault="003B291E" w:rsidP="003B291E">
            <w:pPr>
              <w:jc w:val="center"/>
              <w:rPr>
                <w:rFonts w:cs="Arial"/>
                <w:sz w:val="20"/>
              </w:rPr>
            </w:pPr>
            <w:r w:rsidRPr="007B2B33">
              <w:rPr>
                <w:rFonts w:cs="Arial"/>
                <w:sz w:val="20"/>
              </w:rPr>
              <w:t>N</w:t>
            </w:r>
          </w:p>
        </w:tc>
        <w:tc>
          <w:tcPr>
            <w:tcW w:w="855" w:type="dxa"/>
            <w:tcBorders>
              <w:top w:val="nil"/>
              <w:left w:val="nil"/>
              <w:bottom w:val="nil"/>
              <w:right w:val="single" w:sz="8" w:space="0" w:color="auto"/>
            </w:tcBorders>
            <w:noWrap/>
            <w:tcMar>
              <w:top w:w="15" w:type="dxa"/>
              <w:left w:w="15" w:type="dxa"/>
              <w:bottom w:w="0" w:type="dxa"/>
              <w:right w:w="15" w:type="dxa"/>
            </w:tcMar>
            <w:vAlign w:val="center"/>
          </w:tcPr>
          <w:p w14:paraId="225C62C0" w14:textId="77777777" w:rsidR="003B291E" w:rsidRPr="00D0348F" w:rsidRDefault="003B291E" w:rsidP="003B291E">
            <w:pPr>
              <w:jc w:val="center"/>
              <w:rPr>
                <w:rFonts w:cs="Arial"/>
                <w:sz w:val="20"/>
              </w:rPr>
            </w:pP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C1" w14:textId="77777777" w:rsidR="003B291E" w:rsidRPr="00D0348F" w:rsidRDefault="003B291E" w:rsidP="003B291E">
            <w:pPr>
              <w:jc w:val="center"/>
              <w:rPr>
                <w:rFonts w:cs="Arial"/>
                <w:sz w:val="20"/>
              </w:rPr>
            </w:pP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C2" w14:textId="77777777" w:rsidR="003B291E" w:rsidRPr="00D0348F" w:rsidRDefault="003B291E" w:rsidP="003B291E">
            <w:pPr>
              <w:jc w:val="center"/>
              <w:rPr>
                <w:rFonts w:cs="Arial"/>
                <w:sz w:val="20"/>
              </w:rPr>
            </w:pP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C3" w14:textId="77777777" w:rsidR="003B291E" w:rsidRPr="00D0348F" w:rsidRDefault="003B291E" w:rsidP="003B291E">
            <w:pPr>
              <w:jc w:val="center"/>
              <w:rPr>
                <w:rFonts w:cs="Arial"/>
                <w:sz w:val="20"/>
              </w:rPr>
            </w:pPr>
          </w:p>
        </w:tc>
        <w:tc>
          <w:tcPr>
            <w:tcW w:w="865" w:type="dxa"/>
            <w:tcBorders>
              <w:top w:val="nil"/>
              <w:left w:val="nil"/>
              <w:bottom w:val="nil"/>
              <w:right w:val="single" w:sz="8" w:space="0" w:color="auto"/>
            </w:tcBorders>
            <w:noWrap/>
            <w:tcMar>
              <w:top w:w="15" w:type="dxa"/>
              <w:left w:w="15" w:type="dxa"/>
              <w:bottom w:w="0" w:type="dxa"/>
              <w:right w:w="15" w:type="dxa"/>
            </w:tcMar>
            <w:vAlign w:val="center"/>
          </w:tcPr>
          <w:p w14:paraId="225C62C4" w14:textId="77777777" w:rsidR="003B291E" w:rsidRPr="00D0348F" w:rsidRDefault="003B291E" w:rsidP="003B291E">
            <w:pPr>
              <w:jc w:val="center"/>
              <w:rPr>
                <w:rFonts w:cs="Arial"/>
                <w:sz w:val="20"/>
              </w:rPr>
            </w:pPr>
          </w:p>
        </w:tc>
      </w:tr>
      <w:tr w:rsidR="003B291E" w:rsidRPr="00D0348F" w14:paraId="225C62CD" w14:textId="77777777" w:rsidTr="003C465B">
        <w:trPr>
          <w:trHeight w:val="189"/>
        </w:trPr>
        <w:tc>
          <w:tcPr>
            <w:tcW w:w="1384" w:type="dxa"/>
            <w:tcBorders>
              <w:top w:val="nil"/>
              <w:left w:val="single" w:sz="8" w:space="0" w:color="auto"/>
              <w:bottom w:val="nil"/>
              <w:right w:val="single" w:sz="8" w:space="0" w:color="auto"/>
            </w:tcBorders>
            <w:noWrap/>
            <w:tcMar>
              <w:top w:w="15" w:type="dxa"/>
              <w:left w:w="15" w:type="dxa"/>
              <w:bottom w:w="0" w:type="dxa"/>
              <w:right w:w="15" w:type="dxa"/>
            </w:tcMar>
            <w:vAlign w:val="bottom"/>
          </w:tcPr>
          <w:p w14:paraId="225C62C6" w14:textId="77777777" w:rsidR="003B291E" w:rsidRPr="00D0348F" w:rsidRDefault="003B291E" w:rsidP="003B291E">
            <w:pPr>
              <w:jc w:val="both"/>
              <w:rPr>
                <w:rFonts w:cs="Arial"/>
                <w:b/>
                <w:bCs/>
                <w:sz w:val="20"/>
              </w:rPr>
            </w:pPr>
            <w:r w:rsidRPr="007B2B33">
              <w:rPr>
                <w:rFonts w:cs="Arial"/>
                <w:b/>
                <w:bCs/>
                <w:sz w:val="20"/>
              </w:rPr>
              <w:t> </w:t>
            </w:r>
          </w:p>
        </w:tc>
        <w:tc>
          <w:tcPr>
            <w:tcW w:w="1120" w:type="dxa"/>
            <w:tcBorders>
              <w:top w:val="nil"/>
              <w:left w:val="nil"/>
              <w:bottom w:val="nil"/>
              <w:right w:val="single" w:sz="8" w:space="0" w:color="auto"/>
            </w:tcBorders>
            <w:noWrap/>
            <w:tcMar>
              <w:top w:w="15" w:type="dxa"/>
              <w:left w:w="15" w:type="dxa"/>
              <w:bottom w:w="0" w:type="dxa"/>
              <w:right w:w="15" w:type="dxa"/>
            </w:tcMar>
            <w:vAlign w:val="bottom"/>
          </w:tcPr>
          <w:p w14:paraId="225C62C7" w14:textId="77777777" w:rsidR="003B291E" w:rsidRDefault="007E305A" w:rsidP="003B291E">
            <w:pPr>
              <w:jc w:val="center"/>
              <w:rPr>
                <w:rFonts w:cs="Arial"/>
                <w:sz w:val="20"/>
              </w:rPr>
            </w:pPr>
            <w:r>
              <w:rPr>
                <w:rFonts w:cs="Arial"/>
                <w:sz w:val="20"/>
              </w:rPr>
              <w:t>657</w:t>
            </w:r>
            <w:r w:rsidRPr="007B2B33">
              <w:rPr>
                <w:rFonts w:cs="Arial"/>
                <w:sz w:val="20"/>
              </w:rPr>
              <w:t xml:space="preserve"> </w:t>
            </w:r>
            <w:r w:rsidR="003B291E" w:rsidRPr="007B2B33">
              <w:rPr>
                <w:rFonts w:cs="Arial"/>
                <w:sz w:val="20"/>
              </w:rPr>
              <w:t>elec</w:t>
            </w:r>
          </w:p>
        </w:tc>
        <w:tc>
          <w:tcPr>
            <w:tcW w:w="855" w:type="dxa"/>
            <w:tcBorders>
              <w:top w:val="nil"/>
              <w:left w:val="nil"/>
              <w:bottom w:val="nil"/>
              <w:right w:val="single" w:sz="8" w:space="0" w:color="auto"/>
            </w:tcBorders>
            <w:noWrap/>
            <w:tcMar>
              <w:top w:w="15" w:type="dxa"/>
              <w:left w:w="15" w:type="dxa"/>
              <w:bottom w:w="0" w:type="dxa"/>
              <w:right w:w="15" w:type="dxa"/>
            </w:tcMar>
            <w:vAlign w:val="center"/>
          </w:tcPr>
          <w:p w14:paraId="225C62C8" w14:textId="77777777" w:rsidR="003B291E" w:rsidRPr="00D0348F" w:rsidRDefault="007E305A" w:rsidP="003B291E">
            <w:pPr>
              <w:jc w:val="center"/>
              <w:rPr>
                <w:rFonts w:cs="Arial"/>
                <w:sz w:val="20"/>
              </w:rPr>
            </w:pPr>
            <w:r>
              <w:rPr>
                <w:rFonts w:cs="Arial"/>
                <w:sz w:val="20"/>
              </w:rPr>
              <w:t>5.0</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C9" w14:textId="77777777" w:rsidR="003B291E" w:rsidRPr="00D0348F" w:rsidRDefault="007E305A" w:rsidP="003B291E">
            <w:pPr>
              <w:jc w:val="center"/>
              <w:rPr>
                <w:rFonts w:cs="Arial"/>
                <w:sz w:val="20"/>
              </w:rPr>
            </w:pPr>
            <w:r>
              <w:rPr>
                <w:rFonts w:cs="Arial"/>
                <w:sz w:val="20"/>
              </w:rPr>
              <w:t>3.3</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CA" w14:textId="77777777" w:rsidR="003B291E" w:rsidRPr="00D0348F" w:rsidRDefault="007E305A" w:rsidP="003B291E">
            <w:pPr>
              <w:jc w:val="center"/>
              <w:rPr>
                <w:rFonts w:cs="Arial"/>
                <w:sz w:val="20"/>
              </w:rPr>
            </w:pPr>
            <w:r>
              <w:rPr>
                <w:rFonts w:cs="Arial"/>
                <w:sz w:val="20"/>
              </w:rPr>
              <w:t>3.3</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CB" w14:textId="77777777" w:rsidR="003B291E" w:rsidRPr="00D0348F" w:rsidRDefault="003B291E" w:rsidP="007E305A">
            <w:pPr>
              <w:jc w:val="center"/>
              <w:rPr>
                <w:rFonts w:cs="Arial"/>
                <w:sz w:val="20"/>
              </w:rPr>
            </w:pPr>
            <w:r>
              <w:rPr>
                <w:rFonts w:cs="Arial"/>
                <w:sz w:val="20"/>
              </w:rPr>
              <w:t>3.</w:t>
            </w:r>
            <w:r w:rsidR="007E305A">
              <w:rPr>
                <w:rFonts w:cs="Arial"/>
                <w:sz w:val="20"/>
              </w:rPr>
              <w:t>1</w:t>
            </w:r>
            <w:r w:rsidRPr="007B2B33">
              <w:rPr>
                <w:rFonts w:cs="Arial"/>
                <w:sz w:val="20"/>
              </w:rPr>
              <w:t>%</w:t>
            </w:r>
          </w:p>
        </w:tc>
        <w:tc>
          <w:tcPr>
            <w:tcW w:w="865" w:type="dxa"/>
            <w:tcBorders>
              <w:top w:val="nil"/>
              <w:left w:val="nil"/>
              <w:bottom w:val="nil"/>
              <w:right w:val="single" w:sz="8" w:space="0" w:color="auto"/>
            </w:tcBorders>
            <w:noWrap/>
            <w:tcMar>
              <w:top w:w="15" w:type="dxa"/>
              <w:left w:w="15" w:type="dxa"/>
              <w:bottom w:w="0" w:type="dxa"/>
              <w:right w:w="15" w:type="dxa"/>
            </w:tcMar>
            <w:vAlign w:val="center"/>
          </w:tcPr>
          <w:p w14:paraId="225C62CC" w14:textId="77777777" w:rsidR="003B291E" w:rsidRPr="00D0348F" w:rsidRDefault="003B291E" w:rsidP="007E305A">
            <w:pPr>
              <w:jc w:val="center"/>
              <w:rPr>
                <w:rFonts w:cs="Arial"/>
                <w:sz w:val="20"/>
              </w:rPr>
            </w:pPr>
            <w:r>
              <w:rPr>
                <w:rFonts w:cs="Arial"/>
                <w:sz w:val="20"/>
              </w:rPr>
              <w:t>3.</w:t>
            </w:r>
            <w:r w:rsidR="007E305A">
              <w:rPr>
                <w:rFonts w:cs="Arial"/>
                <w:sz w:val="20"/>
              </w:rPr>
              <w:t>1</w:t>
            </w:r>
            <w:r w:rsidRPr="007B2B33">
              <w:rPr>
                <w:rFonts w:cs="Arial"/>
                <w:sz w:val="20"/>
              </w:rPr>
              <w:t>%</w:t>
            </w:r>
          </w:p>
        </w:tc>
      </w:tr>
      <w:tr w:rsidR="003B291E" w:rsidRPr="00D0348F" w14:paraId="225C62D5" w14:textId="77777777" w:rsidTr="003C465B">
        <w:trPr>
          <w:trHeight w:val="189"/>
        </w:trPr>
        <w:tc>
          <w:tcPr>
            <w:tcW w:w="1384" w:type="dxa"/>
            <w:tcBorders>
              <w:top w:val="nil"/>
              <w:left w:val="single" w:sz="8" w:space="0" w:color="auto"/>
              <w:bottom w:val="nil"/>
              <w:right w:val="single" w:sz="8" w:space="0" w:color="auto"/>
            </w:tcBorders>
            <w:noWrap/>
            <w:tcMar>
              <w:top w:w="15" w:type="dxa"/>
              <w:left w:w="15" w:type="dxa"/>
              <w:bottom w:w="0" w:type="dxa"/>
              <w:right w:w="15" w:type="dxa"/>
            </w:tcMar>
            <w:vAlign w:val="bottom"/>
          </w:tcPr>
          <w:p w14:paraId="225C62CE" w14:textId="77777777" w:rsidR="003B291E" w:rsidRPr="00D0348F" w:rsidRDefault="003B291E" w:rsidP="003B291E">
            <w:pPr>
              <w:jc w:val="both"/>
              <w:rPr>
                <w:rFonts w:cs="Arial"/>
                <w:b/>
                <w:bCs/>
                <w:sz w:val="20"/>
              </w:rPr>
            </w:pPr>
            <w:r w:rsidRPr="007B2B33">
              <w:rPr>
                <w:rFonts w:cs="Arial"/>
                <w:b/>
                <w:bCs/>
                <w:sz w:val="20"/>
              </w:rPr>
              <w:t> </w:t>
            </w:r>
          </w:p>
        </w:tc>
        <w:tc>
          <w:tcPr>
            <w:tcW w:w="1120" w:type="dxa"/>
            <w:tcBorders>
              <w:top w:val="nil"/>
              <w:left w:val="nil"/>
              <w:bottom w:val="nil"/>
              <w:right w:val="single" w:sz="8" w:space="0" w:color="auto"/>
            </w:tcBorders>
            <w:noWrap/>
            <w:tcMar>
              <w:top w:w="15" w:type="dxa"/>
              <w:left w:w="15" w:type="dxa"/>
              <w:bottom w:w="0" w:type="dxa"/>
              <w:right w:w="15" w:type="dxa"/>
            </w:tcMar>
            <w:vAlign w:val="bottom"/>
          </w:tcPr>
          <w:p w14:paraId="225C62CF" w14:textId="77777777" w:rsidR="003B291E" w:rsidRDefault="007E305A" w:rsidP="003B291E">
            <w:pPr>
              <w:jc w:val="center"/>
              <w:rPr>
                <w:rFonts w:cs="Arial"/>
                <w:sz w:val="20"/>
                <w:u w:val="single"/>
              </w:rPr>
            </w:pPr>
            <w:r>
              <w:rPr>
                <w:rFonts w:cs="Arial"/>
                <w:sz w:val="20"/>
                <w:u w:val="single"/>
              </w:rPr>
              <w:t>533</w:t>
            </w:r>
            <w:r w:rsidRPr="007B2B33">
              <w:rPr>
                <w:rFonts w:cs="Arial"/>
                <w:sz w:val="20"/>
                <w:u w:val="single"/>
              </w:rPr>
              <w:t xml:space="preserve"> </w:t>
            </w:r>
            <w:r w:rsidR="003B291E" w:rsidRPr="007B2B33">
              <w:rPr>
                <w:rFonts w:cs="Arial"/>
                <w:sz w:val="20"/>
                <w:u w:val="single"/>
              </w:rPr>
              <w:t>gas</w:t>
            </w:r>
          </w:p>
        </w:tc>
        <w:tc>
          <w:tcPr>
            <w:tcW w:w="855" w:type="dxa"/>
            <w:tcBorders>
              <w:top w:val="nil"/>
              <w:left w:val="nil"/>
              <w:bottom w:val="nil"/>
              <w:right w:val="single" w:sz="8" w:space="0" w:color="auto"/>
            </w:tcBorders>
            <w:noWrap/>
            <w:tcMar>
              <w:top w:w="15" w:type="dxa"/>
              <w:left w:w="15" w:type="dxa"/>
              <w:bottom w:w="0" w:type="dxa"/>
              <w:right w:w="15" w:type="dxa"/>
            </w:tcMar>
            <w:vAlign w:val="center"/>
          </w:tcPr>
          <w:p w14:paraId="225C62D0" w14:textId="77777777" w:rsidR="003B291E" w:rsidRPr="00D0348F" w:rsidRDefault="007E305A" w:rsidP="003B291E">
            <w:pPr>
              <w:jc w:val="center"/>
              <w:rPr>
                <w:rFonts w:cs="Arial"/>
                <w:sz w:val="20"/>
              </w:rPr>
            </w:pPr>
            <w:r>
              <w:rPr>
                <w:rFonts w:cs="Arial"/>
                <w:sz w:val="20"/>
              </w:rPr>
              <w:t>4.5</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D1" w14:textId="77777777" w:rsidR="003B291E" w:rsidRPr="00D0348F" w:rsidRDefault="007E305A" w:rsidP="003B291E">
            <w:pPr>
              <w:jc w:val="center"/>
              <w:rPr>
                <w:rFonts w:cs="Arial"/>
                <w:sz w:val="20"/>
              </w:rPr>
            </w:pPr>
            <w:r>
              <w:rPr>
                <w:rFonts w:cs="Arial"/>
                <w:sz w:val="20"/>
              </w:rPr>
              <w:t>2.8</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D2" w14:textId="77777777" w:rsidR="003B291E" w:rsidRPr="00D0348F" w:rsidRDefault="007E305A" w:rsidP="003B291E">
            <w:pPr>
              <w:jc w:val="center"/>
              <w:rPr>
                <w:rFonts w:cs="Arial"/>
                <w:sz w:val="20"/>
              </w:rPr>
            </w:pPr>
            <w:r>
              <w:rPr>
                <w:rFonts w:cs="Arial"/>
                <w:sz w:val="20"/>
              </w:rPr>
              <w:t>2.8</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D3" w14:textId="77777777" w:rsidR="003B291E" w:rsidRPr="00D0348F" w:rsidRDefault="007E305A" w:rsidP="003B291E">
            <w:pPr>
              <w:jc w:val="center"/>
              <w:rPr>
                <w:rFonts w:cs="Arial"/>
                <w:sz w:val="20"/>
              </w:rPr>
            </w:pPr>
            <w:r>
              <w:rPr>
                <w:rFonts w:cs="Arial"/>
                <w:sz w:val="20"/>
              </w:rPr>
              <w:t>2.6</w:t>
            </w:r>
            <w:r w:rsidR="003B291E" w:rsidRPr="007B2B33">
              <w:rPr>
                <w:rFonts w:cs="Arial"/>
                <w:sz w:val="20"/>
              </w:rPr>
              <w:t>%</w:t>
            </w:r>
          </w:p>
        </w:tc>
        <w:tc>
          <w:tcPr>
            <w:tcW w:w="865" w:type="dxa"/>
            <w:tcBorders>
              <w:top w:val="nil"/>
              <w:left w:val="nil"/>
              <w:bottom w:val="nil"/>
              <w:right w:val="single" w:sz="8" w:space="0" w:color="auto"/>
            </w:tcBorders>
            <w:noWrap/>
            <w:tcMar>
              <w:top w:w="15" w:type="dxa"/>
              <w:left w:w="15" w:type="dxa"/>
              <w:bottom w:w="0" w:type="dxa"/>
              <w:right w:w="15" w:type="dxa"/>
            </w:tcMar>
            <w:vAlign w:val="center"/>
          </w:tcPr>
          <w:p w14:paraId="225C62D4" w14:textId="77777777" w:rsidR="003B291E" w:rsidRPr="00D0348F" w:rsidRDefault="007E305A" w:rsidP="003B291E">
            <w:pPr>
              <w:jc w:val="center"/>
              <w:rPr>
                <w:rFonts w:cs="Arial"/>
                <w:sz w:val="20"/>
              </w:rPr>
            </w:pPr>
            <w:r>
              <w:rPr>
                <w:rFonts w:cs="Arial"/>
                <w:sz w:val="20"/>
              </w:rPr>
              <w:t>2.6</w:t>
            </w:r>
            <w:r w:rsidR="003B291E" w:rsidRPr="007B2B33">
              <w:rPr>
                <w:rFonts w:cs="Arial"/>
                <w:sz w:val="20"/>
              </w:rPr>
              <w:t>%</w:t>
            </w:r>
          </w:p>
        </w:tc>
      </w:tr>
      <w:tr w:rsidR="003B291E" w:rsidRPr="00D0348F" w14:paraId="225C62DD" w14:textId="77777777" w:rsidTr="003C465B">
        <w:trPr>
          <w:trHeight w:val="189"/>
        </w:trPr>
        <w:tc>
          <w:tcPr>
            <w:tcW w:w="1384" w:type="dxa"/>
            <w:tcBorders>
              <w:top w:val="nil"/>
              <w:left w:val="single" w:sz="8" w:space="0" w:color="auto"/>
              <w:bottom w:val="nil"/>
              <w:right w:val="single" w:sz="8" w:space="0" w:color="auto"/>
            </w:tcBorders>
            <w:noWrap/>
            <w:tcMar>
              <w:top w:w="15" w:type="dxa"/>
              <w:left w:w="15" w:type="dxa"/>
              <w:bottom w:w="0" w:type="dxa"/>
              <w:right w:w="15" w:type="dxa"/>
            </w:tcMar>
            <w:vAlign w:val="bottom"/>
          </w:tcPr>
          <w:p w14:paraId="225C62D6" w14:textId="77777777" w:rsidR="003B291E" w:rsidRPr="00D0348F" w:rsidRDefault="003B291E" w:rsidP="003B291E">
            <w:pPr>
              <w:jc w:val="both"/>
              <w:rPr>
                <w:rFonts w:cs="Arial"/>
                <w:b/>
                <w:bCs/>
                <w:sz w:val="20"/>
              </w:rPr>
            </w:pPr>
            <w:r w:rsidRPr="007B2B33">
              <w:rPr>
                <w:rFonts w:cs="Arial"/>
                <w:b/>
                <w:bCs/>
                <w:sz w:val="20"/>
              </w:rPr>
              <w:t> </w:t>
            </w:r>
          </w:p>
        </w:tc>
        <w:tc>
          <w:tcPr>
            <w:tcW w:w="1120" w:type="dxa"/>
            <w:tcBorders>
              <w:top w:val="nil"/>
              <w:left w:val="nil"/>
              <w:bottom w:val="nil"/>
              <w:right w:val="single" w:sz="8" w:space="0" w:color="auto"/>
            </w:tcBorders>
            <w:noWrap/>
            <w:tcMar>
              <w:top w:w="15" w:type="dxa"/>
              <w:left w:w="15" w:type="dxa"/>
              <w:bottom w:w="0" w:type="dxa"/>
              <w:right w:w="15" w:type="dxa"/>
            </w:tcMar>
            <w:vAlign w:val="bottom"/>
          </w:tcPr>
          <w:p w14:paraId="225C62D7" w14:textId="77777777" w:rsidR="003B291E" w:rsidRDefault="007E305A" w:rsidP="003B291E">
            <w:pPr>
              <w:jc w:val="center"/>
              <w:rPr>
                <w:rFonts w:cs="Arial"/>
                <w:sz w:val="20"/>
              </w:rPr>
            </w:pPr>
            <w:r>
              <w:rPr>
                <w:rFonts w:cs="Arial"/>
                <w:sz w:val="20"/>
              </w:rPr>
              <w:t>1,190</w:t>
            </w:r>
            <w:r w:rsidRPr="007B2B33">
              <w:rPr>
                <w:rFonts w:cs="Arial"/>
                <w:sz w:val="20"/>
              </w:rPr>
              <w:t xml:space="preserve"> </w:t>
            </w:r>
            <w:r w:rsidR="003B291E" w:rsidRPr="007B2B33">
              <w:rPr>
                <w:rFonts w:cs="Arial"/>
                <w:sz w:val="20"/>
              </w:rPr>
              <w:t>all</w:t>
            </w:r>
          </w:p>
        </w:tc>
        <w:tc>
          <w:tcPr>
            <w:tcW w:w="855" w:type="dxa"/>
            <w:tcBorders>
              <w:top w:val="nil"/>
              <w:left w:val="nil"/>
              <w:bottom w:val="nil"/>
              <w:right w:val="single" w:sz="8" w:space="0" w:color="auto"/>
            </w:tcBorders>
            <w:noWrap/>
            <w:tcMar>
              <w:top w:w="15" w:type="dxa"/>
              <w:left w:w="15" w:type="dxa"/>
              <w:bottom w:w="0" w:type="dxa"/>
              <w:right w:w="15" w:type="dxa"/>
            </w:tcMar>
            <w:vAlign w:val="center"/>
          </w:tcPr>
          <w:p w14:paraId="225C62D8" w14:textId="77777777" w:rsidR="003B291E" w:rsidRPr="00D0348F" w:rsidRDefault="007E305A" w:rsidP="003B291E">
            <w:pPr>
              <w:jc w:val="center"/>
              <w:rPr>
                <w:rFonts w:cs="Arial"/>
                <w:sz w:val="20"/>
              </w:rPr>
            </w:pPr>
            <w:r>
              <w:rPr>
                <w:rFonts w:cs="Arial"/>
                <w:sz w:val="20"/>
              </w:rPr>
              <w:t>4.8</w:t>
            </w:r>
            <w:r w:rsidR="003B291E"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D9" w14:textId="77777777" w:rsidR="003B291E" w:rsidRPr="00D0348F" w:rsidRDefault="003B291E" w:rsidP="007E305A">
            <w:pPr>
              <w:jc w:val="center"/>
              <w:rPr>
                <w:rFonts w:cs="Arial"/>
                <w:sz w:val="20"/>
              </w:rPr>
            </w:pPr>
            <w:r>
              <w:rPr>
                <w:rFonts w:cs="Arial"/>
                <w:sz w:val="20"/>
              </w:rPr>
              <w:t>3.</w:t>
            </w:r>
            <w:r w:rsidR="007E305A">
              <w:rPr>
                <w:rFonts w:cs="Arial"/>
                <w:sz w:val="20"/>
              </w:rPr>
              <w:t>1</w:t>
            </w:r>
            <w:r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DA" w14:textId="77777777" w:rsidR="003B291E" w:rsidRPr="00D0348F" w:rsidRDefault="003B291E" w:rsidP="007E305A">
            <w:pPr>
              <w:jc w:val="center"/>
              <w:rPr>
                <w:rFonts w:cs="Arial"/>
                <w:sz w:val="20"/>
              </w:rPr>
            </w:pPr>
            <w:r>
              <w:rPr>
                <w:rFonts w:cs="Arial"/>
                <w:sz w:val="20"/>
              </w:rPr>
              <w:t>3.</w:t>
            </w:r>
            <w:r w:rsidR="007E305A">
              <w:rPr>
                <w:rFonts w:cs="Arial"/>
                <w:sz w:val="20"/>
              </w:rPr>
              <w:t>1</w:t>
            </w:r>
            <w:r w:rsidRPr="007B2B33">
              <w:rPr>
                <w:rFonts w:cs="Arial"/>
                <w:sz w:val="20"/>
              </w:rPr>
              <w:t>%</w:t>
            </w:r>
          </w:p>
        </w:tc>
        <w:tc>
          <w:tcPr>
            <w:tcW w:w="856" w:type="dxa"/>
            <w:tcBorders>
              <w:top w:val="nil"/>
              <w:left w:val="nil"/>
              <w:bottom w:val="nil"/>
              <w:right w:val="single" w:sz="8" w:space="0" w:color="auto"/>
            </w:tcBorders>
            <w:noWrap/>
            <w:tcMar>
              <w:top w:w="15" w:type="dxa"/>
              <w:left w:w="15" w:type="dxa"/>
              <w:bottom w:w="0" w:type="dxa"/>
              <w:right w:w="15" w:type="dxa"/>
            </w:tcMar>
            <w:vAlign w:val="center"/>
          </w:tcPr>
          <w:p w14:paraId="225C62DB" w14:textId="77777777" w:rsidR="003B291E" w:rsidRPr="00D0348F" w:rsidRDefault="007E305A" w:rsidP="003B291E">
            <w:pPr>
              <w:jc w:val="center"/>
              <w:rPr>
                <w:rFonts w:cs="Arial"/>
                <w:sz w:val="20"/>
              </w:rPr>
            </w:pPr>
            <w:r>
              <w:rPr>
                <w:rFonts w:cs="Arial"/>
                <w:sz w:val="20"/>
              </w:rPr>
              <w:t>2.8</w:t>
            </w:r>
            <w:r w:rsidR="003B291E" w:rsidRPr="007B2B33">
              <w:rPr>
                <w:rFonts w:cs="Arial"/>
                <w:sz w:val="20"/>
              </w:rPr>
              <w:t>%</w:t>
            </w:r>
          </w:p>
        </w:tc>
        <w:tc>
          <w:tcPr>
            <w:tcW w:w="865" w:type="dxa"/>
            <w:tcBorders>
              <w:top w:val="nil"/>
              <w:left w:val="nil"/>
              <w:bottom w:val="nil"/>
              <w:right w:val="single" w:sz="8" w:space="0" w:color="auto"/>
            </w:tcBorders>
            <w:noWrap/>
            <w:tcMar>
              <w:top w:w="15" w:type="dxa"/>
              <w:left w:w="15" w:type="dxa"/>
              <w:bottom w:w="0" w:type="dxa"/>
              <w:right w:w="15" w:type="dxa"/>
            </w:tcMar>
            <w:vAlign w:val="center"/>
          </w:tcPr>
          <w:p w14:paraId="225C62DC" w14:textId="77777777" w:rsidR="003B291E" w:rsidRPr="00D0348F" w:rsidRDefault="007E305A" w:rsidP="003B291E">
            <w:pPr>
              <w:jc w:val="center"/>
              <w:rPr>
                <w:rFonts w:cs="Arial"/>
                <w:sz w:val="20"/>
              </w:rPr>
            </w:pPr>
            <w:r>
              <w:rPr>
                <w:rFonts w:cs="Arial"/>
                <w:sz w:val="20"/>
              </w:rPr>
              <w:t>2.8</w:t>
            </w:r>
            <w:r w:rsidR="003B291E" w:rsidRPr="007B2B33">
              <w:rPr>
                <w:rFonts w:cs="Arial"/>
                <w:sz w:val="20"/>
              </w:rPr>
              <w:t>%</w:t>
            </w:r>
          </w:p>
        </w:tc>
      </w:tr>
      <w:tr w:rsidR="003B291E" w:rsidRPr="00D0348F" w14:paraId="225C62E5" w14:textId="77777777" w:rsidTr="003C465B">
        <w:trPr>
          <w:trHeight w:val="201"/>
        </w:trPr>
        <w:tc>
          <w:tcPr>
            <w:tcW w:w="138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25C62DE" w14:textId="77777777" w:rsidR="003B291E" w:rsidRPr="00D0348F" w:rsidRDefault="003B291E" w:rsidP="003B291E">
            <w:pPr>
              <w:jc w:val="both"/>
              <w:rPr>
                <w:rFonts w:cs="Arial"/>
                <w:b/>
                <w:bCs/>
                <w:sz w:val="20"/>
              </w:rPr>
            </w:pPr>
            <w:r w:rsidRPr="00D0348F">
              <w:rPr>
                <w:rFonts w:cs="Arial"/>
                <w:b/>
                <w:bCs/>
                <w:sz w:val="20"/>
              </w:rPr>
              <w:t> </w:t>
            </w:r>
          </w:p>
        </w:tc>
        <w:tc>
          <w:tcPr>
            <w:tcW w:w="1120"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25C62DF" w14:textId="77777777" w:rsidR="003B291E" w:rsidRPr="00D0348F" w:rsidRDefault="003B291E" w:rsidP="003B291E">
            <w:pPr>
              <w:jc w:val="both"/>
              <w:rPr>
                <w:rFonts w:cs="Arial"/>
                <w:sz w:val="20"/>
              </w:rPr>
            </w:pPr>
          </w:p>
        </w:tc>
        <w:tc>
          <w:tcPr>
            <w:tcW w:w="855"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25C62E0" w14:textId="77777777" w:rsidR="003B291E" w:rsidRPr="00D0348F" w:rsidRDefault="003B291E" w:rsidP="003B291E">
            <w:pPr>
              <w:jc w:val="both"/>
              <w:rPr>
                <w:rFonts w:cs="Arial"/>
                <w:sz w:val="20"/>
              </w:rPr>
            </w:pPr>
          </w:p>
        </w:tc>
        <w:tc>
          <w:tcPr>
            <w:tcW w:w="85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25C62E1" w14:textId="77777777" w:rsidR="003B291E" w:rsidRPr="00D0348F" w:rsidRDefault="003B291E" w:rsidP="003B291E">
            <w:pPr>
              <w:jc w:val="both"/>
              <w:rPr>
                <w:rFonts w:cs="Arial"/>
                <w:sz w:val="20"/>
              </w:rPr>
            </w:pPr>
          </w:p>
        </w:tc>
        <w:tc>
          <w:tcPr>
            <w:tcW w:w="85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25C62E2" w14:textId="77777777" w:rsidR="003B291E" w:rsidRPr="00D0348F" w:rsidRDefault="003B291E" w:rsidP="003B291E">
            <w:pPr>
              <w:jc w:val="both"/>
              <w:rPr>
                <w:rFonts w:cs="Arial"/>
                <w:sz w:val="20"/>
              </w:rPr>
            </w:pPr>
          </w:p>
        </w:tc>
        <w:tc>
          <w:tcPr>
            <w:tcW w:w="85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25C62E3" w14:textId="77777777" w:rsidR="003B291E" w:rsidRPr="00D0348F" w:rsidRDefault="003B291E" w:rsidP="003B291E">
            <w:pPr>
              <w:jc w:val="both"/>
              <w:rPr>
                <w:rFonts w:cs="Arial"/>
                <w:sz w:val="20"/>
              </w:rPr>
            </w:pPr>
          </w:p>
        </w:tc>
        <w:tc>
          <w:tcPr>
            <w:tcW w:w="865"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25C62E4" w14:textId="77777777" w:rsidR="003B291E" w:rsidRPr="00D0348F" w:rsidRDefault="003B291E" w:rsidP="003B291E">
            <w:pPr>
              <w:jc w:val="both"/>
              <w:rPr>
                <w:rFonts w:cs="Arial"/>
                <w:sz w:val="20"/>
              </w:rPr>
            </w:pPr>
          </w:p>
        </w:tc>
      </w:tr>
    </w:tbl>
    <w:p w14:paraId="225C62E6" w14:textId="77777777" w:rsidR="009B0F61" w:rsidRPr="00D0348F" w:rsidRDefault="009B0F61" w:rsidP="00BD7E31">
      <w:pPr>
        <w:widowControl w:val="0"/>
        <w:spacing w:line="480" w:lineRule="auto"/>
        <w:jc w:val="both"/>
        <w:rPr>
          <w:rStyle w:val="Heading2Char"/>
          <w:b w:val="0"/>
        </w:rPr>
      </w:pPr>
    </w:p>
    <w:p w14:paraId="225C62E7" w14:textId="77777777" w:rsidR="009B0F61" w:rsidRPr="00AA551E" w:rsidRDefault="00A8338F" w:rsidP="00BD7E31">
      <w:pPr>
        <w:widowControl w:val="0"/>
        <w:spacing w:line="480" w:lineRule="auto"/>
        <w:jc w:val="both"/>
        <w:rPr>
          <w:rFonts w:ascii="Times New Roman" w:hAnsi="Times New Roman" w:cs="Times New Roman"/>
        </w:rPr>
      </w:pPr>
      <w:bookmarkStart w:id="14" w:name="_Toc469571459"/>
      <w:r w:rsidRPr="00AA551E">
        <w:rPr>
          <w:rStyle w:val="Heading2Char"/>
          <w:rFonts w:ascii="Times New Roman" w:hAnsi="Times New Roman" w:cs="Times New Roman"/>
        </w:rPr>
        <w:t>Program Distribution Percentage</w:t>
      </w:r>
      <w:bookmarkEnd w:id="14"/>
    </w:p>
    <w:p w14:paraId="225C62E8" w14:textId="77777777" w:rsidR="00B97FD2" w:rsidRDefault="002E7B04" w:rsidP="00BD7E31">
      <w:pPr>
        <w:widowControl w:val="0"/>
        <w:spacing w:line="480" w:lineRule="auto"/>
        <w:ind w:firstLine="720"/>
        <w:jc w:val="both"/>
        <w:rPr>
          <w:rFonts w:ascii="Times New Roman" w:hAnsi="Times New Roman" w:cs="Times New Roman"/>
        </w:rPr>
      </w:pPr>
      <w:r>
        <w:rPr>
          <w:rFonts w:ascii="Times New Roman" w:hAnsi="Times New Roman" w:cs="Times New Roman"/>
        </w:rPr>
        <w:t>T</w:t>
      </w:r>
      <w:r w:rsidR="00B97FD2" w:rsidRPr="00AA551E">
        <w:rPr>
          <w:rFonts w:ascii="Times New Roman" w:hAnsi="Times New Roman" w:cs="Times New Roman"/>
        </w:rPr>
        <w:t>he percentages for program distribution among the three grant programs (i.e., LIRAP Heat, Emergency Share and Senior Outreac</w:t>
      </w:r>
      <w:r w:rsidR="000B159F" w:rsidRPr="00AA551E">
        <w:rPr>
          <w:rFonts w:ascii="Times New Roman" w:hAnsi="Times New Roman" w:cs="Times New Roman"/>
        </w:rPr>
        <w:t xml:space="preserve">h) </w:t>
      </w:r>
      <w:r>
        <w:rPr>
          <w:rFonts w:ascii="Times New Roman" w:hAnsi="Times New Roman" w:cs="Times New Roman"/>
        </w:rPr>
        <w:t>are</w:t>
      </w:r>
      <w:r w:rsidR="000B159F" w:rsidRPr="00AA551E">
        <w:rPr>
          <w:rFonts w:ascii="Times New Roman" w:hAnsi="Times New Roman" w:cs="Times New Roman"/>
        </w:rPr>
        <w:t xml:space="preserve"> 60% for LIRAP Heat;</w:t>
      </w:r>
      <w:r w:rsidR="00B97FD2" w:rsidRPr="00AA551E">
        <w:rPr>
          <w:rFonts w:ascii="Times New Roman" w:hAnsi="Times New Roman" w:cs="Times New Roman"/>
        </w:rPr>
        <w:t xml:space="preserve"> 26% for LIRAP Emergency Share</w:t>
      </w:r>
      <w:r w:rsidR="000B159F" w:rsidRPr="00AA551E">
        <w:rPr>
          <w:rFonts w:ascii="Times New Roman" w:hAnsi="Times New Roman" w:cs="Times New Roman"/>
        </w:rPr>
        <w:t>;</w:t>
      </w:r>
      <w:r w:rsidR="00B97FD2" w:rsidRPr="00AA551E">
        <w:rPr>
          <w:rFonts w:ascii="Times New Roman" w:hAnsi="Times New Roman" w:cs="Times New Roman"/>
        </w:rPr>
        <w:t xml:space="preserve"> and 14% for Senior Energy Outreach.  The</w:t>
      </w:r>
      <w:r w:rsidR="007169AD" w:rsidRPr="00AA551E">
        <w:rPr>
          <w:rFonts w:ascii="Times New Roman" w:hAnsi="Times New Roman" w:cs="Times New Roman"/>
        </w:rPr>
        <w:t xml:space="preserve"> </w:t>
      </w:r>
      <w:r w:rsidR="00B90611" w:rsidRPr="00AA551E">
        <w:rPr>
          <w:rFonts w:ascii="Times New Roman" w:hAnsi="Times New Roman" w:cs="Times New Roman"/>
        </w:rPr>
        <w:t xml:space="preserve">Direct Service </w:t>
      </w:r>
      <w:r w:rsidR="007169AD" w:rsidRPr="00AA551E">
        <w:rPr>
          <w:rFonts w:ascii="Times New Roman" w:hAnsi="Times New Roman" w:cs="Times New Roman"/>
        </w:rPr>
        <w:t>distribution</w:t>
      </w:r>
      <w:r w:rsidR="00B97FD2" w:rsidRPr="00AA551E">
        <w:rPr>
          <w:rFonts w:ascii="Times New Roman" w:hAnsi="Times New Roman" w:cs="Times New Roman"/>
        </w:rPr>
        <w:t xml:space="preserve"> </w:t>
      </w:r>
      <w:r w:rsidR="000B159F" w:rsidRPr="00AA551E">
        <w:rPr>
          <w:rFonts w:ascii="Times New Roman" w:hAnsi="Times New Roman" w:cs="Times New Roman"/>
        </w:rPr>
        <w:t xml:space="preserve">results </w:t>
      </w:r>
      <w:r w:rsidR="007169AD" w:rsidRPr="00AA551E">
        <w:rPr>
          <w:rFonts w:ascii="Times New Roman" w:hAnsi="Times New Roman" w:cs="Times New Roman"/>
        </w:rPr>
        <w:t xml:space="preserve">for this program year </w:t>
      </w:r>
      <w:r w:rsidR="000B159F" w:rsidRPr="00AA551E">
        <w:rPr>
          <w:rFonts w:ascii="Times New Roman" w:hAnsi="Times New Roman" w:cs="Times New Roman"/>
        </w:rPr>
        <w:t>were</w:t>
      </w:r>
      <w:r w:rsidR="00B97FD2" w:rsidRPr="00AA551E">
        <w:rPr>
          <w:rFonts w:ascii="Times New Roman" w:hAnsi="Times New Roman" w:cs="Times New Roman"/>
        </w:rPr>
        <w:t xml:space="preserve"> as follows:</w:t>
      </w:r>
    </w:p>
    <w:p w14:paraId="225C62E9" w14:textId="77777777" w:rsidR="002E7B04" w:rsidRPr="00AA551E" w:rsidRDefault="002E7B04" w:rsidP="00E60A8C">
      <w:pPr>
        <w:pStyle w:val="Heading2"/>
        <w:jc w:val="both"/>
        <w:rPr>
          <w:rFonts w:ascii="Times New Roman" w:hAnsi="Times New Roman" w:cs="Times New Roman"/>
        </w:rPr>
      </w:pPr>
      <w:bookmarkStart w:id="15" w:name="_Toc469571460"/>
      <w:r>
        <w:rPr>
          <w:rFonts w:ascii="Times New Roman" w:hAnsi="Times New Roman" w:cs="Times New Roman"/>
        </w:rPr>
        <w:lastRenderedPageBreak/>
        <w:t>Table 7</w:t>
      </w:r>
      <w:r w:rsidRPr="00AA551E">
        <w:rPr>
          <w:rFonts w:ascii="Times New Roman" w:hAnsi="Times New Roman" w:cs="Times New Roman"/>
        </w:rPr>
        <w:t xml:space="preserve"> </w:t>
      </w:r>
      <w:r>
        <w:rPr>
          <w:rFonts w:ascii="Times New Roman" w:hAnsi="Times New Roman" w:cs="Times New Roman"/>
        </w:rPr>
        <w:t>–</w:t>
      </w:r>
      <w:r w:rsidRPr="00AA551E">
        <w:rPr>
          <w:rFonts w:ascii="Times New Roman" w:hAnsi="Times New Roman" w:cs="Times New Roman"/>
        </w:rPr>
        <w:t xml:space="preserve"> </w:t>
      </w:r>
      <w:r>
        <w:rPr>
          <w:rFonts w:ascii="Times New Roman" w:hAnsi="Times New Roman" w:cs="Times New Roman"/>
        </w:rPr>
        <w:t>Direct Service Distribution</w:t>
      </w:r>
      <w:bookmarkEnd w:id="15"/>
    </w:p>
    <w:tbl>
      <w:tblPr>
        <w:tblW w:w="91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878"/>
        <w:gridCol w:w="1844"/>
        <w:gridCol w:w="2221"/>
        <w:gridCol w:w="2201"/>
      </w:tblGrid>
      <w:tr w:rsidR="00B97FD2" w:rsidRPr="00D0348F" w14:paraId="225C62EE" w14:textId="77777777" w:rsidTr="00E96A28">
        <w:trPr>
          <w:jc w:val="center"/>
        </w:trPr>
        <w:tc>
          <w:tcPr>
            <w:tcW w:w="2878" w:type="dxa"/>
            <w:shd w:val="clear" w:color="auto" w:fill="EEECE1" w:themeFill="background2"/>
          </w:tcPr>
          <w:p w14:paraId="225C62EA" w14:textId="77777777" w:rsidR="00B97FD2" w:rsidRPr="00D0348F" w:rsidRDefault="00A8338F" w:rsidP="00BD7E31">
            <w:pPr>
              <w:pStyle w:val="ListParagraph"/>
              <w:widowControl w:val="0"/>
              <w:ind w:left="0"/>
              <w:jc w:val="both"/>
              <w:rPr>
                <w:rFonts w:ascii="Arial" w:hAnsi="Arial" w:cs="Arial"/>
                <w:b/>
              </w:rPr>
            </w:pPr>
            <w:r w:rsidRPr="00D0348F">
              <w:rPr>
                <w:rFonts w:ascii="Arial" w:hAnsi="Arial" w:cs="Arial"/>
                <w:b/>
              </w:rPr>
              <w:t>Agency</w:t>
            </w:r>
          </w:p>
        </w:tc>
        <w:tc>
          <w:tcPr>
            <w:tcW w:w="1844" w:type="dxa"/>
            <w:shd w:val="clear" w:color="auto" w:fill="EEECE1" w:themeFill="background2"/>
            <w:vAlign w:val="center"/>
          </w:tcPr>
          <w:p w14:paraId="225C62EB" w14:textId="77777777" w:rsidR="00B97FD2" w:rsidRPr="00D0348F" w:rsidRDefault="00A8338F" w:rsidP="003569BE">
            <w:pPr>
              <w:pStyle w:val="ListParagraph"/>
              <w:widowControl w:val="0"/>
              <w:ind w:left="0"/>
              <w:jc w:val="center"/>
              <w:rPr>
                <w:rFonts w:ascii="Arial" w:hAnsi="Arial" w:cs="Arial"/>
                <w:b/>
              </w:rPr>
            </w:pPr>
            <w:r w:rsidRPr="00D0348F">
              <w:rPr>
                <w:rFonts w:ascii="Arial" w:hAnsi="Arial" w:cs="Arial"/>
                <w:b/>
              </w:rPr>
              <w:t>Heat</w:t>
            </w:r>
          </w:p>
        </w:tc>
        <w:tc>
          <w:tcPr>
            <w:tcW w:w="2221" w:type="dxa"/>
            <w:shd w:val="clear" w:color="auto" w:fill="EEECE1" w:themeFill="background2"/>
            <w:vAlign w:val="center"/>
          </w:tcPr>
          <w:p w14:paraId="225C62EC" w14:textId="77777777" w:rsidR="00B97FD2" w:rsidRPr="00D0348F" w:rsidRDefault="00A8338F" w:rsidP="003569BE">
            <w:pPr>
              <w:pStyle w:val="ListParagraph"/>
              <w:widowControl w:val="0"/>
              <w:ind w:left="0"/>
              <w:jc w:val="center"/>
              <w:rPr>
                <w:rFonts w:ascii="Arial" w:hAnsi="Arial" w:cs="Arial"/>
                <w:b/>
              </w:rPr>
            </w:pPr>
            <w:r w:rsidRPr="00D0348F">
              <w:rPr>
                <w:rFonts w:ascii="Arial" w:hAnsi="Arial" w:cs="Arial"/>
                <w:b/>
              </w:rPr>
              <w:t>Emergency Share</w:t>
            </w:r>
          </w:p>
        </w:tc>
        <w:tc>
          <w:tcPr>
            <w:tcW w:w="2201" w:type="dxa"/>
            <w:shd w:val="clear" w:color="auto" w:fill="EEECE1" w:themeFill="background2"/>
            <w:vAlign w:val="center"/>
          </w:tcPr>
          <w:p w14:paraId="225C62ED" w14:textId="77777777" w:rsidR="00B97FD2" w:rsidRPr="00D0348F" w:rsidRDefault="00A8338F" w:rsidP="003569BE">
            <w:pPr>
              <w:pStyle w:val="ListParagraph"/>
              <w:widowControl w:val="0"/>
              <w:ind w:left="0"/>
              <w:jc w:val="center"/>
              <w:rPr>
                <w:rFonts w:ascii="Arial" w:hAnsi="Arial" w:cs="Arial"/>
                <w:b/>
              </w:rPr>
            </w:pPr>
            <w:r w:rsidRPr="00D0348F">
              <w:rPr>
                <w:rFonts w:ascii="Arial" w:hAnsi="Arial" w:cs="Arial"/>
                <w:b/>
              </w:rPr>
              <w:t>Senior Outreach</w:t>
            </w:r>
          </w:p>
        </w:tc>
      </w:tr>
      <w:tr w:rsidR="00B97FD2" w:rsidRPr="00D0348F" w14:paraId="225C62F3" w14:textId="77777777" w:rsidTr="00E96A28">
        <w:trPr>
          <w:jc w:val="center"/>
        </w:trPr>
        <w:tc>
          <w:tcPr>
            <w:tcW w:w="2878" w:type="dxa"/>
            <w:shd w:val="clear" w:color="auto" w:fill="auto"/>
          </w:tcPr>
          <w:p w14:paraId="225C62EF" w14:textId="77777777" w:rsidR="00B97FD2" w:rsidRPr="00D0348F" w:rsidRDefault="002663F6" w:rsidP="003B291E">
            <w:pPr>
              <w:widowControl w:val="0"/>
              <w:rPr>
                <w:rFonts w:cs="Arial"/>
                <w:b/>
              </w:rPr>
            </w:pPr>
            <w:r w:rsidRPr="00D0348F">
              <w:rPr>
                <w:rFonts w:cs="Arial"/>
                <w:b/>
              </w:rPr>
              <w:t>Recommended Percent for Program Distribution</w:t>
            </w:r>
          </w:p>
        </w:tc>
        <w:tc>
          <w:tcPr>
            <w:tcW w:w="1844" w:type="dxa"/>
            <w:shd w:val="clear" w:color="auto" w:fill="auto"/>
            <w:vAlign w:val="center"/>
          </w:tcPr>
          <w:p w14:paraId="225C62F0" w14:textId="77777777" w:rsidR="00B97FD2" w:rsidRPr="00D0348F" w:rsidRDefault="002663F6" w:rsidP="003569BE">
            <w:pPr>
              <w:pStyle w:val="ListParagraph"/>
              <w:widowControl w:val="0"/>
              <w:ind w:left="0"/>
              <w:jc w:val="center"/>
              <w:rPr>
                <w:rFonts w:ascii="Arial" w:hAnsi="Arial" w:cs="Arial"/>
                <w:b/>
              </w:rPr>
            </w:pPr>
            <w:r w:rsidRPr="00D0348F">
              <w:rPr>
                <w:rFonts w:ascii="Arial" w:hAnsi="Arial" w:cs="Arial"/>
                <w:b/>
              </w:rPr>
              <w:t>60</w:t>
            </w:r>
            <w:r w:rsidR="004A4386" w:rsidRPr="00D0348F">
              <w:rPr>
                <w:rFonts w:ascii="Arial" w:hAnsi="Arial" w:cs="Arial"/>
                <w:b/>
              </w:rPr>
              <w:t>.00</w:t>
            </w:r>
            <w:r w:rsidRPr="00D0348F">
              <w:rPr>
                <w:rFonts w:ascii="Arial" w:hAnsi="Arial" w:cs="Arial"/>
                <w:b/>
              </w:rPr>
              <w:t>%</w:t>
            </w:r>
          </w:p>
        </w:tc>
        <w:tc>
          <w:tcPr>
            <w:tcW w:w="2221" w:type="dxa"/>
            <w:shd w:val="clear" w:color="auto" w:fill="auto"/>
            <w:vAlign w:val="center"/>
          </w:tcPr>
          <w:p w14:paraId="225C62F1" w14:textId="77777777" w:rsidR="00B97FD2" w:rsidRPr="00D0348F" w:rsidRDefault="002663F6" w:rsidP="003569BE">
            <w:pPr>
              <w:pStyle w:val="ListParagraph"/>
              <w:widowControl w:val="0"/>
              <w:ind w:left="0"/>
              <w:jc w:val="center"/>
              <w:rPr>
                <w:rFonts w:ascii="Arial" w:hAnsi="Arial" w:cs="Arial"/>
                <w:b/>
              </w:rPr>
            </w:pPr>
            <w:r w:rsidRPr="00D0348F">
              <w:rPr>
                <w:rFonts w:ascii="Arial" w:hAnsi="Arial" w:cs="Arial"/>
                <w:b/>
              </w:rPr>
              <w:t>26</w:t>
            </w:r>
            <w:r w:rsidR="004A4386" w:rsidRPr="00D0348F">
              <w:rPr>
                <w:rFonts w:ascii="Arial" w:hAnsi="Arial" w:cs="Arial"/>
                <w:b/>
              </w:rPr>
              <w:t>.00</w:t>
            </w:r>
            <w:r w:rsidRPr="00D0348F">
              <w:rPr>
                <w:rFonts w:ascii="Arial" w:hAnsi="Arial" w:cs="Arial"/>
                <w:b/>
              </w:rPr>
              <w:t>%</w:t>
            </w:r>
          </w:p>
        </w:tc>
        <w:tc>
          <w:tcPr>
            <w:tcW w:w="2201" w:type="dxa"/>
            <w:shd w:val="clear" w:color="auto" w:fill="auto"/>
            <w:vAlign w:val="center"/>
          </w:tcPr>
          <w:p w14:paraId="225C62F2" w14:textId="77777777" w:rsidR="00B97FD2" w:rsidRPr="00D0348F" w:rsidRDefault="002663F6" w:rsidP="003569BE">
            <w:pPr>
              <w:pStyle w:val="ListParagraph"/>
              <w:widowControl w:val="0"/>
              <w:ind w:left="0"/>
              <w:jc w:val="center"/>
              <w:rPr>
                <w:rFonts w:ascii="Arial" w:hAnsi="Arial" w:cs="Arial"/>
                <w:b/>
              </w:rPr>
            </w:pPr>
            <w:r w:rsidRPr="00D0348F">
              <w:rPr>
                <w:rFonts w:ascii="Arial" w:hAnsi="Arial" w:cs="Arial"/>
                <w:b/>
              </w:rPr>
              <w:t>14</w:t>
            </w:r>
            <w:r w:rsidR="004A4386" w:rsidRPr="00D0348F">
              <w:rPr>
                <w:rFonts w:ascii="Arial" w:hAnsi="Arial" w:cs="Arial"/>
                <w:b/>
              </w:rPr>
              <w:t>.00</w:t>
            </w:r>
            <w:r w:rsidRPr="00D0348F">
              <w:rPr>
                <w:rFonts w:ascii="Arial" w:hAnsi="Arial" w:cs="Arial"/>
                <w:b/>
              </w:rPr>
              <w:t>%</w:t>
            </w:r>
          </w:p>
        </w:tc>
      </w:tr>
      <w:tr w:rsidR="00E96A28" w:rsidRPr="00D0348F" w14:paraId="225C62F8" w14:textId="77777777" w:rsidTr="003D2E1D">
        <w:trPr>
          <w:jc w:val="center"/>
        </w:trPr>
        <w:tc>
          <w:tcPr>
            <w:tcW w:w="2878" w:type="dxa"/>
            <w:shd w:val="clear" w:color="auto" w:fill="auto"/>
          </w:tcPr>
          <w:p w14:paraId="225C62F4" w14:textId="77777777" w:rsidR="00E96A28" w:rsidRPr="00D0348F" w:rsidRDefault="00E96A28" w:rsidP="003569BE">
            <w:pPr>
              <w:widowControl w:val="0"/>
              <w:rPr>
                <w:rFonts w:cs="Arial"/>
                <w:u w:val="single"/>
              </w:rPr>
            </w:pPr>
            <w:r w:rsidRPr="00D0348F">
              <w:rPr>
                <w:rFonts w:cs="Arial"/>
              </w:rPr>
              <w:t>Community Action Partnership Asotin</w:t>
            </w:r>
          </w:p>
        </w:tc>
        <w:tc>
          <w:tcPr>
            <w:tcW w:w="1844" w:type="dxa"/>
            <w:shd w:val="clear" w:color="auto" w:fill="auto"/>
            <w:vAlign w:val="bottom"/>
          </w:tcPr>
          <w:p w14:paraId="225C62F5"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72.43%</w:t>
            </w:r>
          </w:p>
        </w:tc>
        <w:tc>
          <w:tcPr>
            <w:tcW w:w="2221" w:type="dxa"/>
            <w:shd w:val="clear" w:color="auto" w:fill="auto"/>
            <w:vAlign w:val="bottom"/>
          </w:tcPr>
          <w:p w14:paraId="225C62F6"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24.41%</w:t>
            </w:r>
          </w:p>
        </w:tc>
        <w:tc>
          <w:tcPr>
            <w:tcW w:w="2201" w:type="dxa"/>
            <w:shd w:val="clear" w:color="auto" w:fill="auto"/>
            <w:vAlign w:val="bottom"/>
          </w:tcPr>
          <w:p w14:paraId="225C62F7"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3.16%</w:t>
            </w:r>
          </w:p>
        </w:tc>
      </w:tr>
      <w:tr w:rsidR="00E96A28" w:rsidRPr="00D0348F" w14:paraId="225C62FD" w14:textId="77777777" w:rsidTr="00E96A28">
        <w:trPr>
          <w:jc w:val="center"/>
        </w:trPr>
        <w:tc>
          <w:tcPr>
            <w:tcW w:w="2878" w:type="dxa"/>
            <w:shd w:val="clear" w:color="auto" w:fill="auto"/>
          </w:tcPr>
          <w:p w14:paraId="225C62F9" w14:textId="77777777" w:rsidR="00E96A28" w:rsidRPr="00D0348F" w:rsidRDefault="00E96A28" w:rsidP="00BD7E31">
            <w:pPr>
              <w:pStyle w:val="ListParagraph"/>
              <w:widowControl w:val="0"/>
              <w:ind w:left="0"/>
              <w:jc w:val="both"/>
              <w:rPr>
                <w:rFonts w:ascii="Arial" w:hAnsi="Arial" w:cs="Arial"/>
              </w:rPr>
            </w:pPr>
            <w:r w:rsidRPr="00D0348F">
              <w:rPr>
                <w:rFonts w:ascii="Arial" w:hAnsi="Arial" w:cs="Arial"/>
              </w:rPr>
              <w:t>OIC</w:t>
            </w:r>
          </w:p>
        </w:tc>
        <w:tc>
          <w:tcPr>
            <w:tcW w:w="1844" w:type="dxa"/>
            <w:shd w:val="clear" w:color="auto" w:fill="auto"/>
            <w:vAlign w:val="bottom"/>
          </w:tcPr>
          <w:p w14:paraId="225C62FA"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55.87%</w:t>
            </w:r>
          </w:p>
        </w:tc>
        <w:tc>
          <w:tcPr>
            <w:tcW w:w="2221" w:type="dxa"/>
            <w:shd w:val="clear" w:color="auto" w:fill="auto"/>
            <w:vAlign w:val="bottom"/>
          </w:tcPr>
          <w:p w14:paraId="225C62FB"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29.54%</w:t>
            </w:r>
          </w:p>
        </w:tc>
        <w:tc>
          <w:tcPr>
            <w:tcW w:w="2201" w:type="dxa"/>
            <w:shd w:val="clear" w:color="auto" w:fill="auto"/>
            <w:vAlign w:val="bottom"/>
          </w:tcPr>
          <w:p w14:paraId="225C62FC"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14.59%</w:t>
            </w:r>
          </w:p>
        </w:tc>
      </w:tr>
      <w:tr w:rsidR="00E96A28" w:rsidRPr="00D0348F" w14:paraId="225C6302" w14:textId="77777777" w:rsidTr="003D2E1D">
        <w:trPr>
          <w:jc w:val="center"/>
        </w:trPr>
        <w:tc>
          <w:tcPr>
            <w:tcW w:w="2878" w:type="dxa"/>
            <w:shd w:val="clear" w:color="auto" w:fill="auto"/>
          </w:tcPr>
          <w:p w14:paraId="225C62FE" w14:textId="77777777" w:rsidR="00E96A28" w:rsidRPr="00D0348F" w:rsidRDefault="00E96A28" w:rsidP="00BD7E31">
            <w:pPr>
              <w:pStyle w:val="ListParagraph"/>
              <w:widowControl w:val="0"/>
              <w:ind w:left="0"/>
              <w:jc w:val="both"/>
              <w:rPr>
                <w:rFonts w:ascii="Arial" w:hAnsi="Arial" w:cs="Arial"/>
              </w:rPr>
            </w:pPr>
            <w:r w:rsidRPr="00D0348F">
              <w:rPr>
                <w:rFonts w:ascii="Arial" w:hAnsi="Arial" w:cs="Arial"/>
              </w:rPr>
              <w:t>Rural Resources</w:t>
            </w:r>
          </w:p>
        </w:tc>
        <w:tc>
          <w:tcPr>
            <w:tcW w:w="1844" w:type="dxa"/>
            <w:shd w:val="clear" w:color="auto" w:fill="auto"/>
            <w:vAlign w:val="bottom"/>
          </w:tcPr>
          <w:p w14:paraId="225C62FF"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75.12%</w:t>
            </w:r>
          </w:p>
        </w:tc>
        <w:tc>
          <w:tcPr>
            <w:tcW w:w="2221" w:type="dxa"/>
            <w:shd w:val="clear" w:color="auto" w:fill="auto"/>
            <w:vAlign w:val="bottom"/>
          </w:tcPr>
          <w:p w14:paraId="225C6300"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13.97%</w:t>
            </w:r>
          </w:p>
        </w:tc>
        <w:tc>
          <w:tcPr>
            <w:tcW w:w="2201" w:type="dxa"/>
            <w:shd w:val="clear" w:color="auto" w:fill="auto"/>
            <w:vAlign w:val="bottom"/>
          </w:tcPr>
          <w:p w14:paraId="225C6301"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10.91%</w:t>
            </w:r>
          </w:p>
        </w:tc>
      </w:tr>
      <w:tr w:rsidR="00E96A28" w:rsidRPr="00D0348F" w14:paraId="225C6307" w14:textId="77777777" w:rsidTr="003D2E1D">
        <w:trPr>
          <w:jc w:val="center"/>
        </w:trPr>
        <w:tc>
          <w:tcPr>
            <w:tcW w:w="2878" w:type="dxa"/>
            <w:shd w:val="clear" w:color="auto" w:fill="auto"/>
          </w:tcPr>
          <w:p w14:paraId="225C6303" w14:textId="77777777" w:rsidR="00E96A28" w:rsidRPr="00D0348F" w:rsidRDefault="00E96A28" w:rsidP="00BD7E31">
            <w:pPr>
              <w:pStyle w:val="ListParagraph"/>
              <w:widowControl w:val="0"/>
              <w:ind w:left="0"/>
              <w:jc w:val="both"/>
              <w:rPr>
                <w:rFonts w:ascii="Arial" w:hAnsi="Arial" w:cs="Arial"/>
              </w:rPr>
            </w:pPr>
            <w:r w:rsidRPr="00D0348F">
              <w:rPr>
                <w:rFonts w:ascii="Arial" w:hAnsi="Arial" w:cs="Arial"/>
              </w:rPr>
              <w:t>SNAP</w:t>
            </w:r>
          </w:p>
        </w:tc>
        <w:tc>
          <w:tcPr>
            <w:tcW w:w="1844" w:type="dxa"/>
            <w:shd w:val="clear" w:color="auto" w:fill="auto"/>
            <w:vAlign w:val="bottom"/>
          </w:tcPr>
          <w:p w14:paraId="225C6304"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70.44%</w:t>
            </w:r>
          </w:p>
        </w:tc>
        <w:tc>
          <w:tcPr>
            <w:tcW w:w="2221" w:type="dxa"/>
            <w:shd w:val="clear" w:color="auto" w:fill="auto"/>
            <w:vAlign w:val="bottom"/>
          </w:tcPr>
          <w:p w14:paraId="225C6305"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20.21%</w:t>
            </w:r>
          </w:p>
        </w:tc>
        <w:tc>
          <w:tcPr>
            <w:tcW w:w="2201" w:type="dxa"/>
            <w:shd w:val="clear" w:color="auto" w:fill="auto"/>
            <w:vAlign w:val="bottom"/>
          </w:tcPr>
          <w:p w14:paraId="225C6306"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9.35%</w:t>
            </w:r>
          </w:p>
        </w:tc>
      </w:tr>
      <w:tr w:rsidR="00E96A28" w:rsidRPr="00D0348F" w14:paraId="225C630C" w14:textId="77777777" w:rsidTr="003D2E1D">
        <w:trPr>
          <w:jc w:val="center"/>
        </w:trPr>
        <w:tc>
          <w:tcPr>
            <w:tcW w:w="2878" w:type="dxa"/>
            <w:shd w:val="clear" w:color="auto" w:fill="auto"/>
          </w:tcPr>
          <w:p w14:paraId="225C6308" w14:textId="77777777" w:rsidR="00E96A28" w:rsidRPr="00D0348F" w:rsidRDefault="00E96A28" w:rsidP="00BD7E31">
            <w:pPr>
              <w:pStyle w:val="ListParagraph"/>
              <w:widowControl w:val="0"/>
              <w:ind w:left="0"/>
              <w:jc w:val="both"/>
              <w:rPr>
                <w:rFonts w:ascii="Arial" w:hAnsi="Arial" w:cs="Arial"/>
              </w:rPr>
            </w:pPr>
            <w:r w:rsidRPr="00D0348F">
              <w:rPr>
                <w:rFonts w:ascii="Arial" w:hAnsi="Arial" w:cs="Arial"/>
              </w:rPr>
              <w:t>WGAP</w:t>
            </w:r>
          </w:p>
        </w:tc>
        <w:tc>
          <w:tcPr>
            <w:tcW w:w="1844" w:type="dxa"/>
            <w:shd w:val="clear" w:color="auto" w:fill="auto"/>
            <w:vAlign w:val="bottom"/>
          </w:tcPr>
          <w:p w14:paraId="225C6309"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96.79%</w:t>
            </w:r>
          </w:p>
        </w:tc>
        <w:tc>
          <w:tcPr>
            <w:tcW w:w="2221" w:type="dxa"/>
            <w:shd w:val="clear" w:color="auto" w:fill="auto"/>
            <w:vAlign w:val="bottom"/>
          </w:tcPr>
          <w:p w14:paraId="225C630A"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3.21%</w:t>
            </w:r>
          </w:p>
        </w:tc>
        <w:tc>
          <w:tcPr>
            <w:tcW w:w="2201" w:type="dxa"/>
            <w:shd w:val="clear" w:color="auto" w:fill="auto"/>
            <w:vAlign w:val="bottom"/>
          </w:tcPr>
          <w:p w14:paraId="225C630B"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0.00%</w:t>
            </w:r>
          </w:p>
        </w:tc>
      </w:tr>
      <w:tr w:rsidR="00E96A28" w:rsidRPr="00D0348F" w14:paraId="225C6311" w14:textId="77777777" w:rsidTr="00E96A28">
        <w:trPr>
          <w:jc w:val="center"/>
        </w:trPr>
        <w:tc>
          <w:tcPr>
            <w:tcW w:w="2878" w:type="dxa"/>
            <w:shd w:val="clear" w:color="auto" w:fill="auto"/>
          </w:tcPr>
          <w:p w14:paraId="225C630D" w14:textId="77777777" w:rsidR="00E96A28" w:rsidRPr="00D0348F" w:rsidRDefault="00E96A28" w:rsidP="003B291E">
            <w:pPr>
              <w:widowControl w:val="0"/>
              <w:rPr>
                <w:rFonts w:cs="Arial"/>
              </w:rPr>
            </w:pPr>
            <w:r w:rsidRPr="00D0348F">
              <w:rPr>
                <w:rFonts w:cs="Arial"/>
              </w:rPr>
              <w:t>Community Action Center Whitman</w:t>
            </w:r>
          </w:p>
        </w:tc>
        <w:tc>
          <w:tcPr>
            <w:tcW w:w="1844" w:type="dxa"/>
            <w:shd w:val="clear" w:color="auto" w:fill="auto"/>
            <w:vAlign w:val="bottom"/>
          </w:tcPr>
          <w:p w14:paraId="225C630E"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31.84%</w:t>
            </w:r>
          </w:p>
        </w:tc>
        <w:tc>
          <w:tcPr>
            <w:tcW w:w="2221" w:type="dxa"/>
            <w:shd w:val="clear" w:color="auto" w:fill="auto"/>
            <w:vAlign w:val="bottom"/>
          </w:tcPr>
          <w:p w14:paraId="225C630F"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60.28%</w:t>
            </w:r>
          </w:p>
        </w:tc>
        <w:tc>
          <w:tcPr>
            <w:tcW w:w="2201" w:type="dxa"/>
            <w:shd w:val="clear" w:color="auto" w:fill="auto"/>
            <w:vAlign w:val="bottom"/>
          </w:tcPr>
          <w:p w14:paraId="225C6310"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7.88%</w:t>
            </w:r>
          </w:p>
        </w:tc>
      </w:tr>
      <w:tr w:rsidR="00E96A28" w:rsidRPr="00D0348F" w14:paraId="225C6316" w14:textId="77777777" w:rsidTr="003D2E1D">
        <w:trPr>
          <w:jc w:val="center"/>
        </w:trPr>
        <w:tc>
          <w:tcPr>
            <w:tcW w:w="2878" w:type="dxa"/>
            <w:shd w:val="clear" w:color="auto" w:fill="auto"/>
          </w:tcPr>
          <w:p w14:paraId="225C6312" w14:textId="77777777" w:rsidR="00E96A28" w:rsidRPr="00D0348F" w:rsidRDefault="00E96A28" w:rsidP="00BD7E31">
            <w:pPr>
              <w:pStyle w:val="ListParagraph"/>
              <w:widowControl w:val="0"/>
              <w:ind w:left="0"/>
              <w:jc w:val="both"/>
              <w:rPr>
                <w:rFonts w:ascii="Arial" w:hAnsi="Arial" w:cs="Arial"/>
                <w:b/>
              </w:rPr>
            </w:pPr>
            <w:r w:rsidRPr="00D0348F">
              <w:rPr>
                <w:rFonts w:ascii="Arial" w:hAnsi="Arial" w:cs="Arial"/>
                <w:b/>
              </w:rPr>
              <w:t xml:space="preserve">Total </w:t>
            </w:r>
          </w:p>
        </w:tc>
        <w:tc>
          <w:tcPr>
            <w:tcW w:w="1844" w:type="dxa"/>
            <w:shd w:val="clear" w:color="auto" w:fill="auto"/>
            <w:vAlign w:val="bottom"/>
          </w:tcPr>
          <w:p w14:paraId="225C6313"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69.24%</w:t>
            </w:r>
          </w:p>
        </w:tc>
        <w:tc>
          <w:tcPr>
            <w:tcW w:w="2221" w:type="dxa"/>
            <w:shd w:val="clear" w:color="auto" w:fill="auto"/>
            <w:vAlign w:val="bottom"/>
          </w:tcPr>
          <w:p w14:paraId="225C6314"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21.43%</w:t>
            </w:r>
          </w:p>
        </w:tc>
        <w:tc>
          <w:tcPr>
            <w:tcW w:w="2201" w:type="dxa"/>
            <w:shd w:val="clear" w:color="auto" w:fill="auto"/>
            <w:vAlign w:val="bottom"/>
          </w:tcPr>
          <w:p w14:paraId="225C6315" w14:textId="77777777" w:rsidR="00E96A28" w:rsidRPr="00D0348F" w:rsidRDefault="00E96A28" w:rsidP="003569BE">
            <w:pPr>
              <w:pStyle w:val="ListParagraph"/>
              <w:widowControl w:val="0"/>
              <w:ind w:left="0"/>
              <w:jc w:val="center"/>
              <w:rPr>
                <w:rFonts w:ascii="Arial" w:hAnsi="Arial" w:cs="Arial"/>
              </w:rPr>
            </w:pPr>
            <w:r>
              <w:rPr>
                <w:rFonts w:ascii="Arial" w:hAnsi="Arial" w:cs="Arial"/>
                <w:color w:val="000000"/>
              </w:rPr>
              <w:t>9.33%</w:t>
            </w:r>
          </w:p>
        </w:tc>
      </w:tr>
    </w:tbl>
    <w:p w14:paraId="225C6317" w14:textId="77777777" w:rsidR="00B97FD2" w:rsidRPr="00D0348F" w:rsidRDefault="00B97FD2" w:rsidP="00BD7E31">
      <w:pPr>
        <w:pStyle w:val="ListParagraph"/>
        <w:widowControl w:val="0"/>
        <w:spacing w:line="360" w:lineRule="auto"/>
        <w:ind w:left="1080"/>
        <w:jc w:val="both"/>
        <w:rPr>
          <w:rFonts w:ascii="Arial" w:hAnsi="Arial" w:cs="Arial"/>
        </w:rPr>
      </w:pPr>
    </w:p>
    <w:p w14:paraId="225C6318" w14:textId="77777777" w:rsidR="00B97FD2" w:rsidRPr="00AA551E" w:rsidRDefault="00B97FD2" w:rsidP="00BD7E31">
      <w:pPr>
        <w:widowControl w:val="0"/>
        <w:spacing w:line="480" w:lineRule="auto"/>
        <w:ind w:firstLine="720"/>
        <w:jc w:val="both"/>
        <w:rPr>
          <w:rFonts w:ascii="Times New Roman" w:hAnsi="Times New Roman" w:cs="Times New Roman"/>
        </w:rPr>
      </w:pPr>
      <w:r w:rsidRPr="00AA551E">
        <w:rPr>
          <w:rFonts w:ascii="Times New Roman" w:hAnsi="Times New Roman" w:cs="Times New Roman"/>
        </w:rPr>
        <w:t xml:space="preserve">The Company recognizes that each agency service territory is unique and attributes the differences in program distribution to diversity of need that each agency experiences. However, the Company will continue to monitor and assess these differences. </w:t>
      </w:r>
    </w:p>
    <w:p w14:paraId="225C6319" w14:textId="77777777" w:rsidR="004A4386" w:rsidRPr="00AA551E" w:rsidRDefault="004A4386" w:rsidP="00BD7E31">
      <w:pPr>
        <w:widowControl w:val="0"/>
        <w:spacing w:line="480" w:lineRule="auto"/>
        <w:ind w:firstLine="720"/>
        <w:jc w:val="both"/>
        <w:rPr>
          <w:rFonts w:ascii="Times New Roman" w:hAnsi="Times New Roman" w:cs="Times New Roman"/>
        </w:rPr>
      </w:pPr>
    </w:p>
    <w:p w14:paraId="225C631A" w14:textId="77777777" w:rsidR="009B0F61" w:rsidRPr="00AA551E" w:rsidRDefault="00A8338F" w:rsidP="00BD7E31">
      <w:pPr>
        <w:spacing w:line="480" w:lineRule="auto"/>
        <w:jc w:val="both"/>
        <w:rPr>
          <w:rStyle w:val="Heading2Char"/>
          <w:rFonts w:ascii="Times New Roman" w:hAnsi="Times New Roman" w:cs="Times New Roman"/>
          <w:u w:val="single"/>
        </w:rPr>
      </w:pPr>
      <w:bookmarkStart w:id="16" w:name="_Toc469571461"/>
      <w:r w:rsidRPr="00AA551E">
        <w:rPr>
          <w:rStyle w:val="Heading2Char"/>
          <w:rFonts w:ascii="Times New Roman" w:hAnsi="Times New Roman" w:cs="Times New Roman"/>
        </w:rPr>
        <w:t xml:space="preserve">Avista Electric and Natural Gas </w:t>
      </w:r>
      <w:r w:rsidR="003A086E">
        <w:rPr>
          <w:rStyle w:val="Heading2Char"/>
          <w:rFonts w:ascii="Times New Roman" w:hAnsi="Times New Roman" w:cs="Times New Roman"/>
        </w:rPr>
        <w:t>Assistance</w:t>
      </w:r>
      <w:bookmarkEnd w:id="16"/>
    </w:p>
    <w:p w14:paraId="225C631B" w14:textId="77777777" w:rsidR="00275CAD" w:rsidRDefault="00B97FD2" w:rsidP="00275CAD">
      <w:pPr>
        <w:spacing w:line="480" w:lineRule="auto"/>
        <w:ind w:firstLine="720"/>
        <w:jc w:val="both"/>
        <w:rPr>
          <w:rFonts w:ascii="Times New Roman" w:hAnsi="Times New Roman" w:cs="Times New Roman"/>
        </w:rPr>
      </w:pPr>
      <w:r w:rsidRPr="00AA551E">
        <w:rPr>
          <w:rFonts w:ascii="Times New Roman" w:hAnsi="Times New Roman" w:cs="Times New Roman"/>
        </w:rPr>
        <w:t xml:space="preserve"> To improve the equitability of the distribution of LIRAP funds and based on discussions with Commission Staff and other interested parties, the Company agreed to allow electric revenue to be used for natural gas heat customers as long as those same customers also use Avista electric service. Of the total LIRAP </w:t>
      </w:r>
      <w:r w:rsidR="007D267E">
        <w:rPr>
          <w:rFonts w:ascii="Times New Roman" w:hAnsi="Times New Roman" w:cs="Times New Roman"/>
        </w:rPr>
        <w:t>assistance grants</w:t>
      </w:r>
      <w:r w:rsidRPr="00AA551E">
        <w:rPr>
          <w:rFonts w:ascii="Times New Roman" w:hAnsi="Times New Roman" w:cs="Times New Roman"/>
        </w:rPr>
        <w:t xml:space="preserve"> </w:t>
      </w:r>
      <w:r w:rsidR="007D267E">
        <w:rPr>
          <w:rFonts w:ascii="Times New Roman" w:hAnsi="Times New Roman" w:cs="Times New Roman"/>
        </w:rPr>
        <w:t>issued,</w:t>
      </w:r>
      <w:r w:rsidRPr="00AA551E">
        <w:rPr>
          <w:rFonts w:ascii="Times New Roman" w:hAnsi="Times New Roman" w:cs="Times New Roman"/>
        </w:rPr>
        <w:t xml:space="preserve"> approximately </w:t>
      </w:r>
      <w:r w:rsidR="009F08DA">
        <w:rPr>
          <w:rFonts w:ascii="Times New Roman" w:hAnsi="Times New Roman" w:cs="Times New Roman"/>
        </w:rPr>
        <w:t>62</w:t>
      </w:r>
      <w:r w:rsidRPr="00AA551E">
        <w:rPr>
          <w:rFonts w:ascii="Times New Roman" w:hAnsi="Times New Roman" w:cs="Times New Roman"/>
        </w:rPr>
        <w:t xml:space="preserve">% was electric and </w:t>
      </w:r>
      <w:r w:rsidR="009F08DA">
        <w:rPr>
          <w:rFonts w:ascii="Times New Roman" w:hAnsi="Times New Roman" w:cs="Times New Roman"/>
        </w:rPr>
        <w:t>37</w:t>
      </w:r>
      <w:r w:rsidRPr="00AA551E">
        <w:rPr>
          <w:rFonts w:ascii="Times New Roman" w:hAnsi="Times New Roman" w:cs="Times New Roman"/>
        </w:rPr>
        <w:t xml:space="preserve">% was natural gas. The </w:t>
      </w:r>
      <w:r w:rsidR="00C17DDF" w:rsidRPr="00AA551E">
        <w:rPr>
          <w:rFonts w:ascii="Times New Roman" w:hAnsi="Times New Roman" w:cs="Times New Roman"/>
        </w:rPr>
        <w:t>201</w:t>
      </w:r>
      <w:r w:rsidR="00544728">
        <w:rPr>
          <w:rFonts w:ascii="Times New Roman" w:hAnsi="Times New Roman" w:cs="Times New Roman"/>
        </w:rPr>
        <w:t>5</w:t>
      </w:r>
      <w:r w:rsidRPr="00AA551E">
        <w:rPr>
          <w:rFonts w:ascii="Times New Roman" w:hAnsi="Times New Roman" w:cs="Times New Roman"/>
        </w:rPr>
        <w:t>/</w:t>
      </w:r>
      <w:r w:rsidR="006D4CEB" w:rsidRPr="00AA551E">
        <w:rPr>
          <w:rFonts w:ascii="Times New Roman" w:hAnsi="Times New Roman" w:cs="Times New Roman"/>
        </w:rPr>
        <w:t>201</w:t>
      </w:r>
      <w:r w:rsidR="00544728">
        <w:rPr>
          <w:rFonts w:ascii="Times New Roman" w:hAnsi="Times New Roman" w:cs="Times New Roman"/>
        </w:rPr>
        <w:t>6</w:t>
      </w:r>
      <w:r w:rsidR="006D4CEB" w:rsidRPr="00AA551E">
        <w:rPr>
          <w:rFonts w:ascii="Times New Roman" w:hAnsi="Times New Roman" w:cs="Times New Roman"/>
        </w:rPr>
        <w:t xml:space="preserve"> </w:t>
      </w:r>
      <w:r w:rsidR="006B6DA8" w:rsidRPr="00AA551E">
        <w:rPr>
          <w:rFonts w:ascii="Times New Roman" w:hAnsi="Times New Roman" w:cs="Times New Roman"/>
        </w:rPr>
        <w:t>results for heating source assistance are</w:t>
      </w:r>
      <w:r w:rsidRPr="00AA551E">
        <w:rPr>
          <w:rFonts w:ascii="Times New Roman" w:hAnsi="Times New Roman" w:cs="Times New Roman"/>
        </w:rPr>
        <w:t xml:space="preserve"> as follows:</w:t>
      </w:r>
    </w:p>
    <w:p w14:paraId="225C631C" w14:textId="77777777" w:rsidR="00872CD7" w:rsidRDefault="00872CD7" w:rsidP="00275CAD">
      <w:pPr>
        <w:spacing w:line="480" w:lineRule="auto"/>
        <w:ind w:firstLine="720"/>
        <w:jc w:val="both"/>
        <w:rPr>
          <w:rFonts w:ascii="Times New Roman" w:hAnsi="Times New Roman" w:cs="Times New Roman"/>
        </w:rPr>
      </w:pPr>
    </w:p>
    <w:p w14:paraId="225C631D" w14:textId="77777777" w:rsidR="002E7B04" w:rsidRPr="00AA551E" w:rsidRDefault="002E7B04" w:rsidP="002E7B04">
      <w:pPr>
        <w:pStyle w:val="Heading2"/>
        <w:jc w:val="both"/>
        <w:rPr>
          <w:rFonts w:ascii="Times New Roman" w:hAnsi="Times New Roman" w:cs="Times New Roman"/>
        </w:rPr>
      </w:pPr>
      <w:bookmarkStart w:id="17" w:name="_Toc469571462"/>
      <w:r>
        <w:rPr>
          <w:rFonts w:ascii="Times New Roman" w:hAnsi="Times New Roman" w:cs="Times New Roman"/>
        </w:rPr>
        <w:lastRenderedPageBreak/>
        <w:t>Table 8</w:t>
      </w:r>
      <w:r w:rsidRPr="00AA551E">
        <w:rPr>
          <w:rFonts w:ascii="Times New Roman" w:hAnsi="Times New Roman" w:cs="Times New Roman"/>
        </w:rPr>
        <w:t xml:space="preserve"> </w:t>
      </w:r>
      <w:r>
        <w:rPr>
          <w:rFonts w:ascii="Times New Roman" w:hAnsi="Times New Roman" w:cs="Times New Roman"/>
        </w:rPr>
        <w:t>–</w:t>
      </w:r>
      <w:r w:rsidRPr="00AA551E">
        <w:rPr>
          <w:rFonts w:ascii="Times New Roman" w:hAnsi="Times New Roman" w:cs="Times New Roman"/>
        </w:rPr>
        <w:t xml:space="preserve"> </w:t>
      </w:r>
      <w:r>
        <w:rPr>
          <w:rFonts w:ascii="Times New Roman" w:hAnsi="Times New Roman" w:cs="Times New Roman"/>
        </w:rPr>
        <w:t xml:space="preserve">LIRAP Direct Service </w:t>
      </w:r>
      <w:r w:rsidR="007D267E">
        <w:rPr>
          <w:rFonts w:ascii="Times New Roman" w:hAnsi="Times New Roman" w:cs="Times New Roman"/>
        </w:rPr>
        <w:t>Assistance</w:t>
      </w:r>
      <w:r>
        <w:rPr>
          <w:rFonts w:ascii="Times New Roman" w:hAnsi="Times New Roman" w:cs="Times New Roman"/>
        </w:rPr>
        <w:t xml:space="preserve"> Allocation</w:t>
      </w:r>
      <w:bookmarkEnd w:id="17"/>
    </w:p>
    <w:p w14:paraId="225C631E" w14:textId="77777777" w:rsidR="00B97FD2" w:rsidRPr="00D0348F" w:rsidRDefault="0098550F" w:rsidP="00BD7E31">
      <w:pPr>
        <w:jc w:val="both"/>
        <w:rPr>
          <w:rFonts w:cs="Arial"/>
        </w:rPr>
      </w:pPr>
      <w:r w:rsidRPr="0098550F">
        <w:rPr>
          <w:noProof/>
        </w:rPr>
        <w:drawing>
          <wp:inline distT="0" distB="0" distL="0" distR="0" wp14:anchorId="225C6396" wp14:editId="225C6397">
            <wp:extent cx="5427980" cy="1806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7980" cy="1806575"/>
                    </a:xfrm>
                    <a:prstGeom prst="rect">
                      <a:avLst/>
                    </a:prstGeom>
                    <a:noFill/>
                    <a:ln>
                      <a:noFill/>
                    </a:ln>
                  </pic:spPr>
                </pic:pic>
              </a:graphicData>
            </a:graphic>
          </wp:inline>
        </w:drawing>
      </w:r>
    </w:p>
    <w:p w14:paraId="225C631F" w14:textId="77777777" w:rsidR="0061391F" w:rsidRPr="0061391F" w:rsidRDefault="001448F0" w:rsidP="0061391F">
      <w:pPr>
        <w:pStyle w:val="Heading1"/>
        <w:rPr>
          <w:rFonts w:ascii="Times New Roman" w:hAnsi="Times New Roman" w:cs="Times New Roman"/>
        </w:rPr>
      </w:pPr>
      <w:r>
        <w:rPr>
          <w:rFonts w:ascii="Times New Roman" w:hAnsi="Times New Roman" w:cs="Times New Roman"/>
        </w:rPr>
        <w:br/>
      </w:r>
      <w:bookmarkStart w:id="18" w:name="_Toc469571463"/>
      <w:r w:rsidR="00286A46" w:rsidRPr="00AA551E">
        <w:rPr>
          <w:rFonts w:ascii="Times New Roman" w:hAnsi="Times New Roman" w:cs="Times New Roman"/>
        </w:rPr>
        <w:t>Regulatory Changes</w:t>
      </w:r>
      <w:bookmarkEnd w:id="18"/>
      <w:r w:rsidR="0061391F">
        <w:br/>
      </w:r>
    </w:p>
    <w:p w14:paraId="225C6320" w14:textId="77777777" w:rsidR="000B7BDA" w:rsidRPr="000B7BDA" w:rsidRDefault="000B7BDA" w:rsidP="000B7BDA">
      <w:pPr>
        <w:pStyle w:val="Heading2"/>
        <w:rPr>
          <w:rFonts w:ascii="Times New Roman" w:hAnsi="Times New Roman" w:cs="Times New Roman"/>
        </w:rPr>
      </w:pPr>
      <w:bookmarkStart w:id="19" w:name="_Toc469571464"/>
      <w:r w:rsidRPr="000B7BDA">
        <w:rPr>
          <w:rFonts w:ascii="Times New Roman" w:hAnsi="Times New Roman" w:cs="Times New Roman"/>
        </w:rPr>
        <w:t>LIRAP Funding</w:t>
      </w:r>
      <w:bookmarkEnd w:id="19"/>
    </w:p>
    <w:p w14:paraId="225C6321" w14:textId="77777777" w:rsidR="000B7BDA" w:rsidRPr="0061391F" w:rsidRDefault="000B7BDA" w:rsidP="000B7BDA">
      <w:pPr>
        <w:spacing w:after="120" w:line="480" w:lineRule="auto"/>
        <w:ind w:firstLine="720"/>
        <w:jc w:val="both"/>
        <w:rPr>
          <w:rFonts w:ascii="Times New Roman" w:hAnsi="Times New Roman" w:cs="Times New Roman"/>
        </w:rPr>
      </w:pPr>
      <w:r w:rsidRPr="0061391F">
        <w:rPr>
          <w:rFonts w:ascii="Times New Roman" w:hAnsi="Times New Roman" w:cs="Times New Roman"/>
        </w:rPr>
        <w:t>In the Company’s 2015 general rate case</w:t>
      </w:r>
      <w:r>
        <w:rPr>
          <w:rStyle w:val="FootnoteReference"/>
          <w:rFonts w:ascii="Times New Roman" w:hAnsi="Times New Roman" w:cs="Times New Roman"/>
        </w:rPr>
        <w:footnoteReference w:id="3"/>
      </w:r>
      <w:r w:rsidRPr="0061391F">
        <w:rPr>
          <w:rFonts w:ascii="Times New Roman" w:hAnsi="Times New Roman" w:cs="Times New Roman"/>
        </w:rPr>
        <w:t xml:space="preserve">, the Commission approved a five-year plan to increase </w:t>
      </w:r>
      <w:r>
        <w:rPr>
          <w:rFonts w:ascii="Times New Roman" w:hAnsi="Times New Roman" w:cs="Times New Roman"/>
        </w:rPr>
        <w:t xml:space="preserve">LIRAP </w:t>
      </w:r>
      <w:r w:rsidRPr="0061391F">
        <w:rPr>
          <w:rFonts w:ascii="Times New Roman" w:hAnsi="Times New Roman" w:cs="Times New Roman"/>
        </w:rPr>
        <w:t xml:space="preserve">funding by </w:t>
      </w:r>
      <w:r>
        <w:rPr>
          <w:rFonts w:ascii="Times New Roman" w:hAnsi="Times New Roman" w:cs="Times New Roman"/>
        </w:rPr>
        <w:t>7</w:t>
      </w:r>
      <w:r w:rsidRPr="0061391F">
        <w:rPr>
          <w:rFonts w:ascii="Times New Roman" w:hAnsi="Times New Roman" w:cs="Times New Roman"/>
        </w:rPr>
        <w:t xml:space="preserve"> percent or twice the percentage increase in Schedule 1 and Schedule 101 base rates, whichever is greater. This funding plan authorizes multi-year rate increases for Schedules 92 and 192, but does not change any LIRAP programs or the way that LIRAP funds are administered</w:t>
      </w:r>
      <w:r>
        <w:rPr>
          <w:rFonts w:ascii="Times New Roman" w:hAnsi="Times New Roman" w:cs="Times New Roman"/>
        </w:rPr>
        <w:t>.  These annual increases are communicated to the agencies by May prior to the start of the applicable program year.</w:t>
      </w:r>
      <w:r w:rsidR="001448F0">
        <w:rPr>
          <w:rFonts w:ascii="Times New Roman" w:hAnsi="Times New Roman" w:cs="Times New Roman"/>
        </w:rPr>
        <w:t xml:space="preserve"> Annually the Company will file a revision to Tariff Schedules 92 and 192 to increase revenue for the program.</w:t>
      </w:r>
      <w:r w:rsidR="001D6640">
        <w:rPr>
          <w:rFonts w:ascii="Times New Roman" w:hAnsi="Times New Roman" w:cs="Times New Roman"/>
        </w:rPr>
        <w:t xml:space="preserve"> </w:t>
      </w:r>
    </w:p>
    <w:p w14:paraId="225C6322" w14:textId="77777777" w:rsidR="00286A46" w:rsidRPr="00AA551E" w:rsidRDefault="00286A46" w:rsidP="00286A46">
      <w:pPr>
        <w:pStyle w:val="Heading2"/>
        <w:rPr>
          <w:rFonts w:ascii="Times New Roman" w:hAnsi="Times New Roman" w:cs="Times New Roman"/>
        </w:rPr>
      </w:pPr>
      <w:bookmarkStart w:id="20" w:name="_Toc469571465"/>
      <w:r w:rsidRPr="00AA551E">
        <w:rPr>
          <w:rFonts w:ascii="Times New Roman" w:hAnsi="Times New Roman" w:cs="Times New Roman"/>
        </w:rPr>
        <w:t>LIRAP Modifications</w:t>
      </w:r>
      <w:bookmarkEnd w:id="20"/>
    </w:p>
    <w:p w14:paraId="225C6323" w14:textId="77777777" w:rsidR="00286A46" w:rsidRPr="00AA551E" w:rsidRDefault="00286A46" w:rsidP="000B7BDA">
      <w:pPr>
        <w:spacing w:line="480" w:lineRule="auto"/>
        <w:ind w:firstLine="720"/>
        <w:jc w:val="both"/>
        <w:rPr>
          <w:rFonts w:ascii="Times New Roman" w:hAnsi="Times New Roman" w:cs="Times New Roman"/>
        </w:rPr>
      </w:pPr>
      <w:r w:rsidRPr="00AA551E">
        <w:rPr>
          <w:rFonts w:ascii="Times New Roman" w:hAnsi="Times New Roman" w:cs="Times New Roman"/>
        </w:rPr>
        <w:t>The following modifications were approved by the Commission and were implemented for the October 2015 – September 2016 program year:</w:t>
      </w:r>
    </w:p>
    <w:p w14:paraId="225C6324" w14:textId="77777777" w:rsidR="00286A46" w:rsidRPr="00AA551E" w:rsidRDefault="00286A46" w:rsidP="0099149C">
      <w:pPr>
        <w:numPr>
          <w:ilvl w:val="0"/>
          <w:numId w:val="7"/>
        </w:numPr>
        <w:spacing w:line="360" w:lineRule="auto"/>
        <w:ind w:left="1080"/>
        <w:jc w:val="both"/>
        <w:rPr>
          <w:rFonts w:ascii="Times New Roman" w:hAnsi="Times New Roman" w:cs="Times New Roman"/>
        </w:rPr>
      </w:pPr>
      <w:r w:rsidRPr="00AA551E">
        <w:rPr>
          <w:rFonts w:ascii="Times New Roman" w:hAnsi="Times New Roman" w:cs="Times New Roman"/>
        </w:rPr>
        <w:lastRenderedPageBreak/>
        <w:t>Funding will be allocated as a fixed annual budget, rather than collected and allocated on a month-to-month basis.</w:t>
      </w:r>
    </w:p>
    <w:p w14:paraId="225C6325" w14:textId="77777777" w:rsidR="00286A46" w:rsidRPr="00AA551E" w:rsidRDefault="00286A46" w:rsidP="0099149C">
      <w:pPr>
        <w:numPr>
          <w:ilvl w:val="0"/>
          <w:numId w:val="7"/>
        </w:numPr>
        <w:spacing w:line="360" w:lineRule="auto"/>
        <w:ind w:left="1080"/>
        <w:jc w:val="both"/>
        <w:rPr>
          <w:rFonts w:ascii="Times New Roman" w:hAnsi="Times New Roman" w:cs="Times New Roman"/>
        </w:rPr>
      </w:pPr>
      <w:r w:rsidRPr="00AA551E">
        <w:rPr>
          <w:rFonts w:ascii="Times New Roman" w:hAnsi="Times New Roman" w:cs="Times New Roman"/>
        </w:rPr>
        <w:t xml:space="preserve">Avista will inform each Agency of its fixed annual budget allocation by the end of May each year. </w:t>
      </w:r>
    </w:p>
    <w:p w14:paraId="225C6326" w14:textId="77777777" w:rsidR="00286A46" w:rsidRPr="00AA551E" w:rsidRDefault="00286A46" w:rsidP="0099149C">
      <w:pPr>
        <w:numPr>
          <w:ilvl w:val="0"/>
          <w:numId w:val="7"/>
        </w:numPr>
        <w:spacing w:line="360" w:lineRule="auto"/>
        <w:ind w:left="1080"/>
        <w:jc w:val="both"/>
        <w:rPr>
          <w:rFonts w:ascii="Times New Roman" w:hAnsi="Times New Roman" w:cs="Times New Roman"/>
        </w:rPr>
      </w:pPr>
      <w:r w:rsidRPr="00AA551E">
        <w:rPr>
          <w:rFonts w:ascii="Times New Roman" w:hAnsi="Times New Roman" w:cs="Times New Roman"/>
        </w:rPr>
        <w:t>Avista will establish a true-up mechanism for Schedules 92 and 192 and make an annual filing to adjust rates and collect the necessary program revenue.</w:t>
      </w:r>
    </w:p>
    <w:p w14:paraId="225C6327" w14:textId="77777777" w:rsidR="00286A46" w:rsidRPr="00AA551E" w:rsidRDefault="00286A46" w:rsidP="0099149C">
      <w:pPr>
        <w:numPr>
          <w:ilvl w:val="0"/>
          <w:numId w:val="7"/>
        </w:numPr>
        <w:spacing w:line="360" w:lineRule="auto"/>
        <w:ind w:left="1080"/>
        <w:jc w:val="both"/>
        <w:rPr>
          <w:rFonts w:ascii="Times New Roman" w:hAnsi="Times New Roman" w:cs="Times New Roman"/>
        </w:rPr>
      </w:pPr>
      <w:r w:rsidRPr="00AA551E">
        <w:rPr>
          <w:rFonts w:ascii="Times New Roman" w:hAnsi="Times New Roman" w:cs="Times New Roman"/>
        </w:rPr>
        <w:t>Agencies will have discretion to spend the allocated budget during the program year in the manner that best fits their operation of the program.</w:t>
      </w:r>
    </w:p>
    <w:p w14:paraId="225C6328" w14:textId="77777777" w:rsidR="00286A46" w:rsidRPr="00AA551E" w:rsidRDefault="00286A46" w:rsidP="0099149C">
      <w:pPr>
        <w:numPr>
          <w:ilvl w:val="0"/>
          <w:numId w:val="7"/>
        </w:numPr>
        <w:spacing w:line="360" w:lineRule="auto"/>
        <w:ind w:left="1080"/>
        <w:jc w:val="both"/>
        <w:rPr>
          <w:rFonts w:ascii="Times New Roman" w:hAnsi="Times New Roman" w:cs="Times New Roman"/>
        </w:rPr>
      </w:pPr>
      <w:r w:rsidRPr="00AA551E">
        <w:rPr>
          <w:rFonts w:ascii="Times New Roman" w:hAnsi="Times New Roman" w:cs="Times New Roman"/>
        </w:rPr>
        <w:t>LIRAP Heat grants may be awarded through the end of the program year according to Agencies’ planned program implementation, rather than ending concurrent with the LIHEAP grants.</w:t>
      </w:r>
    </w:p>
    <w:p w14:paraId="225C6329" w14:textId="77777777" w:rsidR="00286A46" w:rsidRPr="00AA551E" w:rsidRDefault="00286A46" w:rsidP="0099149C">
      <w:pPr>
        <w:numPr>
          <w:ilvl w:val="0"/>
          <w:numId w:val="7"/>
        </w:numPr>
        <w:spacing w:line="360" w:lineRule="auto"/>
        <w:ind w:left="1080"/>
        <w:jc w:val="both"/>
        <w:rPr>
          <w:rFonts w:ascii="Times New Roman" w:hAnsi="Times New Roman" w:cs="Times New Roman"/>
        </w:rPr>
      </w:pPr>
      <w:r w:rsidRPr="00AA551E">
        <w:rPr>
          <w:rFonts w:ascii="Times New Roman" w:hAnsi="Times New Roman" w:cs="Times New Roman"/>
        </w:rPr>
        <w:t>Avista will establish an ongoing energy assistance program advisory group to monitor and explore ways to improve the program.</w:t>
      </w:r>
    </w:p>
    <w:p w14:paraId="225C632A" w14:textId="77777777" w:rsidR="00286A46" w:rsidRDefault="00286A46" w:rsidP="0099149C">
      <w:pPr>
        <w:numPr>
          <w:ilvl w:val="0"/>
          <w:numId w:val="7"/>
        </w:numPr>
        <w:spacing w:line="360" w:lineRule="auto"/>
        <w:ind w:left="1080"/>
        <w:jc w:val="both"/>
        <w:rPr>
          <w:rFonts w:ascii="Times New Roman" w:hAnsi="Times New Roman" w:cs="Times New Roman"/>
        </w:rPr>
      </w:pPr>
      <w:r w:rsidRPr="00AA551E">
        <w:rPr>
          <w:rFonts w:ascii="Times New Roman" w:hAnsi="Times New Roman" w:cs="Times New Roman"/>
        </w:rPr>
        <w:t xml:space="preserve">Agencies will explore using texting capabilities to improve appointment attendance. </w:t>
      </w:r>
    </w:p>
    <w:p w14:paraId="225C632B" w14:textId="77777777" w:rsidR="0046797B" w:rsidRDefault="0046797B" w:rsidP="0046797B">
      <w:pPr>
        <w:spacing w:line="360" w:lineRule="auto"/>
        <w:jc w:val="both"/>
        <w:rPr>
          <w:rFonts w:ascii="Times New Roman" w:hAnsi="Times New Roman" w:cs="Times New Roman"/>
        </w:rPr>
      </w:pPr>
    </w:p>
    <w:p w14:paraId="225C632C" w14:textId="77777777" w:rsidR="00544728" w:rsidRPr="00AA551E" w:rsidRDefault="00544728" w:rsidP="00544728">
      <w:pPr>
        <w:pStyle w:val="Heading2"/>
        <w:jc w:val="both"/>
        <w:rPr>
          <w:rFonts w:ascii="Times New Roman" w:hAnsi="Times New Roman" w:cs="Times New Roman"/>
        </w:rPr>
      </w:pPr>
      <w:bookmarkStart w:id="21" w:name="_Toc469571466"/>
      <w:bookmarkStart w:id="22" w:name="_Toc341960292"/>
      <w:r>
        <w:rPr>
          <w:rFonts w:ascii="Times New Roman" w:hAnsi="Times New Roman" w:cs="Times New Roman"/>
        </w:rPr>
        <w:t>Senior and Disabled Customer Rate Discount Pilot</w:t>
      </w:r>
      <w:bookmarkEnd w:id="21"/>
    </w:p>
    <w:p w14:paraId="225C632D" w14:textId="77777777" w:rsidR="00544728" w:rsidRDefault="00544728" w:rsidP="00544728">
      <w:pPr>
        <w:spacing w:after="160" w:line="480" w:lineRule="auto"/>
        <w:jc w:val="both"/>
        <w:rPr>
          <w:rFonts w:ascii="Times New Roman" w:hAnsi="Times New Roman" w:cs="Times New Roman"/>
        </w:rPr>
      </w:pPr>
      <w:r w:rsidRPr="00F72DB2">
        <w:rPr>
          <w:rFonts w:ascii="Times New Roman" w:hAnsi="Times New Roman" w:cs="Times New Roman"/>
        </w:rPr>
        <w:tab/>
      </w:r>
      <w:r>
        <w:rPr>
          <w:rFonts w:ascii="Times New Roman" w:hAnsi="Times New Roman" w:cs="Times New Roman"/>
        </w:rPr>
        <w:t xml:space="preserve">Beginning in the </w:t>
      </w:r>
      <w:r w:rsidR="00BF62B8" w:rsidRPr="00AA551E">
        <w:rPr>
          <w:rFonts w:ascii="Times New Roman" w:hAnsi="Times New Roman" w:cs="Times New Roman"/>
        </w:rPr>
        <w:t>October 2015 – September 2016 program year</w:t>
      </w:r>
      <w:r>
        <w:rPr>
          <w:rFonts w:ascii="Times New Roman" w:hAnsi="Times New Roman" w:cs="Times New Roman"/>
        </w:rPr>
        <w:t xml:space="preserve">, </w:t>
      </w:r>
      <w:r w:rsidRPr="00F72DB2">
        <w:rPr>
          <w:rFonts w:ascii="Times New Roman" w:hAnsi="Times New Roman" w:cs="Times New Roman"/>
        </w:rPr>
        <w:t>Avista introduced a rate discount program for senior and disabled households with fixed incomes between 126-200 percent of FPL. The per kilowatt-hour and per therm rate discounts are designed to provide an average bene</w:t>
      </w:r>
      <w:r w:rsidR="001963D0">
        <w:rPr>
          <w:rFonts w:ascii="Times New Roman" w:hAnsi="Times New Roman" w:cs="Times New Roman"/>
        </w:rPr>
        <w:t>fit of $300 per participant per</w:t>
      </w:r>
      <w:r w:rsidRPr="00F72DB2">
        <w:rPr>
          <w:rFonts w:ascii="Times New Roman" w:hAnsi="Times New Roman" w:cs="Times New Roman"/>
        </w:rPr>
        <w:t xml:space="preserve"> program year, which is consistent with the grant amount provided through the existing LIRAP Senior Energy Outreach program</w:t>
      </w:r>
      <w:r>
        <w:rPr>
          <w:rStyle w:val="FootnoteReference"/>
          <w:rFonts w:ascii="Times New Roman" w:hAnsi="Times New Roman" w:cs="Times New Roman"/>
        </w:rPr>
        <w:footnoteReference w:id="4"/>
      </w:r>
      <w:r>
        <w:rPr>
          <w:rFonts w:ascii="Times New Roman" w:hAnsi="Times New Roman" w:cs="Times New Roman"/>
        </w:rPr>
        <w:t>.</w:t>
      </w:r>
      <w:r w:rsidRPr="00F72DB2">
        <w:rPr>
          <w:rFonts w:ascii="Times New Roman" w:hAnsi="Times New Roman" w:cs="Times New Roman"/>
        </w:rPr>
        <w:t xml:space="preserve"> </w:t>
      </w:r>
      <w:r>
        <w:rPr>
          <w:rFonts w:ascii="Times New Roman" w:hAnsi="Times New Roman" w:cs="Times New Roman"/>
        </w:rPr>
        <w:t xml:space="preserve"> </w:t>
      </w:r>
      <w:r w:rsidRPr="00F72DB2">
        <w:rPr>
          <w:rFonts w:ascii="Times New Roman" w:hAnsi="Times New Roman" w:cs="Times New Roman"/>
        </w:rPr>
        <w:t>Eligible customers may receive the rate discount for either one-year or the duration of the pilot intake period,</w:t>
      </w:r>
      <w:r w:rsidRPr="00F72DB2">
        <w:rPr>
          <w:rStyle w:val="FootnoteReference"/>
          <w:rFonts w:ascii="Times New Roman" w:hAnsi="Times New Roman" w:cs="Times New Roman"/>
        </w:rPr>
        <w:footnoteReference w:id="5"/>
      </w:r>
      <w:r w:rsidRPr="00F72DB2">
        <w:rPr>
          <w:rFonts w:ascii="Times New Roman" w:hAnsi="Times New Roman" w:cs="Times New Roman"/>
        </w:rPr>
        <w:t xml:space="preserve"> whichever is longer.</w:t>
      </w:r>
      <w:r>
        <w:rPr>
          <w:rFonts w:ascii="Times New Roman" w:hAnsi="Times New Roman" w:cs="Times New Roman"/>
        </w:rPr>
        <w:t xml:space="preserve">  </w:t>
      </w:r>
      <w:r w:rsidRPr="00F72DB2">
        <w:rPr>
          <w:rFonts w:ascii="Times New Roman" w:hAnsi="Times New Roman" w:cs="Times New Roman"/>
        </w:rPr>
        <w:t xml:space="preserve">The rate discounts </w:t>
      </w:r>
      <w:r>
        <w:rPr>
          <w:rFonts w:ascii="Times New Roman" w:hAnsi="Times New Roman" w:cs="Times New Roman"/>
        </w:rPr>
        <w:t>is</w:t>
      </w:r>
      <w:r w:rsidRPr="00F72DB2">
        <w:rPr>
          <w:rFonts w:ascii="Times New Roman" w:hAnsi="Times New Roman" w:cs="Times New Roman"/>
        </w:rPr>
        <w:t xml:space="preserve"> $0.03153 per kilowatt-hour of electricity and $0.40663 per therm of natural gas</w:t>
      </w:r>
      <w:r>
        <w:rPr>
          <w:rFonts w:ascii="Times New Roman" w:hAnsi="Times New Roman" w:cs="Times New Roman"/>
        </w:rPr>
        <w:t>.</w:t>
      </w:r>
      <w:r w:rsidRPr="00D124A2">
        <w:rPr>
          <w:rFonts w:ascii="Times New Roman" w:hAnsi="Times New Roman" w:cs="Times New Roman"/>
        </w:rPr>
        <w:t xml:space="preserve"> </w:t>
      </w:r>
      <w:r>
        <w:rPr>
          <w:rFonts w:ascii="Times New Roman" w:hAnsi="Times New Roman" w:cs="Times New Roman"/>
        </w:rPr>
        <w:t>The pilot program is set to conclude at the end of the 2016/2017 program year.</w:t>
      </w:r>
      <w:r w:rsidRPr="00F72DB2">
        <w:rPr>
          <w:rFonts w:ascii="Times New Roman" w:hAnsi="Times New Roman" w:cs="Times New Roman"/>
        </w:rPr>
        <w:t xml:space="preserve">  </w:t>
      </w:r>
    </w:p>
    <w:p w14:paraId="225C632E" w14:textId="77777777" w:rsidR="00544728" w:rsidRDefault="00544728" w:rsidP="00544728">
      <w:pPr>
        <w:spacing w:after="160" w:line="480" w:lineRule="auto"/>
        <w:ind w:firstLine="720"/>
        <w:jc w:val="both"/>
        <w:rPr>
          <w:rFonts w:ascii="Times New Roman" w:hAnsi="Times New Roman" w:cs="Times New Roman"/>
        </w:rPr>
      </w:pPr>
      <w:r>
        <w:rPr>
          <w:rFonts w:ascii="Times New Roman" w:hAnsi="Times New Roman" w:cs="Times New Roman"/>
        </w:rPr>
        <w:lastRenderedPageBreak/>
        <w:t>The pilot program</w:t>
      </w:r>
      <w:r w:rsidRPr="00F72DB2">
        <w:rPr>
          <w:rFonts w:ascii="Times New Roman" w:hAnsi="Times New Roman" w:cs="Times New Roman"/>
        </w:rPr>
        <w:t xml:space="preserve"> aim</w:t>
      </w:r>
      <w:r>
        <w:rPr>
          <w:rFonts w:ascii="Times New Roman" w:hAnsi="Times New Roman" w:cs="Times New Roman"/>
        </w:rPr>
        <w:t>ed</w:t>
      </w:r>
      <w:r w:rsidRPr="00F72DB2">
        <w:rPr>
          <w:rFonts w:ascii="Times New Roman" w:hAnsi="Times New Roman" w:cs="Times New Roman"/>
        </w:rPr>
        <w:t xml:space="preserve"> to enroll a total of 800 participants (700 </w:t>
      </w:r>
      <w:r w:rsidR="001448F0">
        <w:rPr>
          <w:rFonts w:ascii="Times New Roman" w:hAnsi="Times New Roman" w:cs="Times New Roman"/>
        </w:rPr>
        <w:t>or</w:t>
      </w:r>
      <w:r w:rsidRPr="00F72DB2">
        <w:rPr>
          <w:rFonts w:ascii="Times New Roman" w:hAnsi="Times New Roman" w:cs="Times New Roman"/>
        </w:rPr>
        <w:t xml:space="preserve"> 87.5% </w:t>
      </w:r>
      <w:r w:rsidR="001448F0">
        <w:rPr>
          <w:rFonts w:ascii="Times New Roman" w:hAnsi="Times New Roman" w:cs="Times New Roman"/>
        </w:rPr>
        <w:t xml:space="preserve">from </w:t>
      </w:r>
      <w:r w:rsidRPr="00F72DB2">
        <w:rPr>
          <w:rFonts w:ascii="Times New Roman" w:hAnsi="Times New Roman" w:cs="Times New Roman"/>
        </w:rPr>
        <w:t xml:space="preserve">SNAP, 100 </w:t>
      </w:r>
      <w:r w:rsidR="001448F0">
        <w:rPr>
          <w:rFonts w:ascii="Times New Roman" w:hAnsi="Times New Roman" w:cs="Times New Roman"/>
        </w:rPr>
        <w:t>or</w:t>
      </w:r>
      <w:r w:rsidRPr="00F72DB2">
        <w:rPr>
          <w:rFonts w:ascii="Times New Roman" w:hAnsi="Times New Roman" w:cs="Times New Roman"/>
        </w:rPr>
        <w:t xml:space="preserve"> 12.5% </w:t>
      </w:r>
      <w:r w:rsidR="001448F0">
        <w:rPr>
          <w:rFonts w:ascii="Times New Roman" w:hAnsi="Times New Roman" w:cs="Times New Roman"/>
        </w:rPr>
        <w:t xml:space="preserve">from </w:t>
      </w:r>
      <w:r w:rsidRPr="00F72DB2">
        <w:rPr>
          <w:rFonts w:ascii="Times New Roman" w:hAnsi="Times New Roman" w:cs="Times New Roman"/>
        </w:rPr>
        <w:t>R</w:t>
      </w:r>
      <w:r w:rsidR="001448F0">
        <w:rPr>
          <w:rFonts w:ascii="Times New Roman" w:hAnsi="Times New Roman" w:cs="Times New Roman"/>
        </w:rPr>
        <w:t xml:space="preserve">ural </w:t>
      </w:r>
      <w:r w:rsidRPr="00F72DB2">
        <w:rPr>
          <w:rFonts w:ascii="Times New Roman" w:hAnsi="Times New Roman" w:cs="Times New Roman"/>
        </w:rPr>
        <w:t>R</w:t>
      </w:r>
      <w:r w:rsidR="001448F0">
        <w:rPr>
          <w:rFonts w:ascii="Times New Roman" w:hAnsi="Times New Roman" w:cs="Times New Roman"/>
        </w:rPr>
        <w:t>esources</w:t>
      </w:r>
      <w:r w:rsidRPr="00F72DB2">
        <w:rPr>
          <w:rFonts w:ascii="Times New Roman" w:hAnsi="Times New Roman" w:cs="Times New Roman"/>
        </w:rPr>
        <w:t xml:space="preserve">) between October 1, 2015 and September 30, 2017.  The total budget for the two-year pilot </w:t>
      </w:r>
      <w:r>
        <w:rPr>
          <w:rFonts w:ascii="Times New Roman" w:hAnsi="Times New Roman" w:cs="Times New Roman"/>
        </w:rPr>
        <w:t>is</w:t>
      </w:r>
      <w:r w:rsidRPr="00F72DB2">
        <w:rPr>
          <w:rFonts w:ascii="Times New Roman" w:hAnsi="Times New Roman" w:cs="Times New Roman"/>
        </w:rPr>
        <w:t xml:space="preserve"> be $700,000, including $50,000 for a third-party evaluation.  </w:t>
      </w:r>
    </w:p>
    <w:p w14:paraId="225C632F" w14:textId="77777777" w:rsidR="00544728" w:rsidRDefault="00544728" w:rsidP="00544728">
      <w:pPr>
        <w:pStyle w:val="Heading3"/>
      </w:pPr>
      <w:bookmarkStart w:id="23" w:name="_Toc469571467"/>
      <w:r>
        <w:t>Participating Agencies</w:t>
      </w:r>
      <w:bookmarkEnd w:id="23"/>
    </w:p>
    <w:p w14:paraId="225C6330" w14:textId="77777777" w:rsidR="00544728" w:rsidRPr="00F72DB2" w:rsidRDefault="00544728" w:rsidP="00544728">
      <w:pPr>
        <w:spacing w:after="160" w:line="480" w:lineRule="auto"/>
        <w:ind w:firstLine="720"/>
        <w:jc w:val="both"/>
        <w:rPr>
          <w:rFonts w:ascii="Times New Roman" w:hAnsi="Times New Roman" w:cs="Times New Roman"/>
        </w:rPr>
      </w:pPr>
      <w:r w:rsidRPr="00F72DB2">
        <w:rPr>
          <w:rFonts w:ascii="Times New Roman" w:hAnsi="Times New Roman" w:cs="Times New Roman"/>
        </w:rPr>
        <w:t>For purposes of the pilot, the Senior</w:t>
      </w:r>
      <w:r w:rsidR="001448F0">
        <w:rPr>
          <w:rFonts w:ascii="Times New Roman" w:hAnsi="Times New Roman" w:cs="Times New Roman"/>
        </w:rPr>
        <w:t xml:space="preserve"> and </w:t>
      </w:r>
      <w:r w:rsidRPr="00F72DB2">
        <w:rPr>
          <w:rFonts w:ascii="Times New Roman" w:hAnsi="Times New Roman" w:cs="Times New Roman"/>
        </w:rPr>
        <w:t xml:space="preserve">Disabled </w:t>
      </w:r>
      <w:r w:rsidR="001448F0">
        <w:rPr>
          <w:rFonts w:ascii="Times New Roman" w:hAnsi="Times New Roman" w:cs="Times New Roman"/>
        </w:rPr>
        <w:t xml:space="preserve">Customer </w:t>
      </w:r>
      <w:r w:rsidRPr="00F72DB2">
        <w:rPr>
          <w:rFonts w:ascii="Times New Roman" w:hAnsi="Times New Roman" w:cs="Times New Roman"/>
        </w:rPr>
        <w:t xml:space="preserve">Rate Discount </w:t>
      </w:r>
      <w:r>
        <w:rPr>
          <w:rFonts w:ascii="Times New Roman" w:hAnsi="Times New Roman" w:cs="Times New Roman"/>
        </w:rPr>
        <w:t>was</w:t>
      </w:r>
      <w:r w:rsidRPr="00F72DB2">
        <w:rPr>
          <w:rFonts w:ascii="Times New Roman" w:hAnsi="Times New Roman" w:cs="Times New Roman"/>
        </w:rPr>
        <w:t xml:space="preserve"> </w:t>
      </w:r>
      <w:r>
        <w:rPr>
          <w:rFonts w:ascii="Times New Roman" w:hAnsi="Times New Roman" w:cs="Times New Roman"/>
        </w:rPr>
        <w:t>conducted</w:t>
      </w:r>
      <w:r w:rsidRPr="00F72DB2">
        <w:rPr>
          <w:rFonts w:ascii="Times New Roman" w:hAnsi="Times New Roman" w:cs="Times New Roman"/>
        </w:rPr>
        <w:t xml:space="preserve"> in both an urban (SNAP) and a rural (Rural Resources) area to allow data collection in both environments for evaluation purposes.  The pilot </w:t>
      </w:r>
      <w:r>
        <w:rPr>
          <w:rFonts w:ascii="Times New Roman" w:hAnsi="Times New Roman" w:cs="Times New Roman"/>
        </w:rPr>
        <w:t>was</w:t>
      </w:r>
      <w:r w:rsidRPr="00F72DB2">
        <w:rPr>
          <w:rFonts w:ascii="Times New Roman" w:hAnsi="Times New Roman" w:cs="Times New Roman"/>
        </w:rPr>
        <w:t xml:space="preserve"> limited to these two </w:t>
      </w:r>
      <w:r w:rsidR="001448F0">
        <w:rPr>
          <w:rFonts w:ascii="Times New Roman" w:hAnsi="Times New Roman" w:cs="Times New Roman"/>
        </w:rPr>
        <w:t>a</w:t>
      </w:r>
      <w:r w:rsidRPr="00F72DB2">
        <w:rPr>
          <w:rFonts w:ascii="Times New Roman" w:hAnsi="Times New Roman" w:cs="Times New Roman"/>
        </w:rPr>
        <w:t xml:space="preserve">gencies at this time due to several factors including, but not limited to, the cost to modify </w:t>
      </w:r>
      <w:r w:rsidR="001448F0">
        <w:rPr>
          <w:rFonts w:ascii="Times New Roman" w:hAnsi="Times New Roman" w:cs="Times New Roman"/>
        </w:rPr>
        <w:t>a</w:t>
      </w:r>
      <w:r w:rsidRPr="00F72DB2">
        <w:rPr>
          <w:rFonts w:ascii="Times New Roman" w:hAnsi="Times New Roman" w:cs="Times New Roman"/>
        </w:rPr>
        <w:t>gency databa</w:t>
      </w:r>
      <w:r w:rsidR="003C465B">
        <w:rPr>
          <w:rFonts w:ascii="Times New Roman" w:hAnsi="Times New Roman" w:cs="Times New Roman"/>
        </w:rPr>
        <w:t>ses for the pilot, the impact of</w:t>
      </w:r>
      <w:r w:rsidRPr="00F72DB2">
        <w:rPr>
          <w:rFonts w:ascii="Times New Roman" w:hAnsi="Times New Roman" w:cs="Times New Roman"/>
        </w:rPr>
        <w:t xml:space="preserve"> the cost</w:t>
      </w:r>
      <w:r w:rsidR="003C465B">
        <w:rPr>
          <w:rFonts w:ascii="Times New Roman" w:hAnsi="Times New Roman" w:cs="Times New Roman"/>
        </w:rPr>
        <w:t xml:space="preserve"> of a</w:t>
      </w:r>
      <w:r w:rsidR="001448F0">
        <w:rPr>
          <w:rFonts w:ascii="Times New Roman" w:hAnsi="Times New Roman" w:cs="Times New Roman"/>
        </w:rPr>
        <w:t xml:space="preserve"> third-</w:t>
      </w:r>
      <w:r w:rsidR="00BF62B8">
        <w:rPr>
          <w:rFonts w:ascii="Times New Roman" w:hAnsi="Times New Roman" w:cs="Times New Roman"/>
        </w:rPr>
        <w:t>party evaluation.</w:t>
      </w:r>
    </w:p>
    <w:p w14:paraId="225C6331" w14:textId="77777777" w:rsidR="00544728" w:rsidRDefault="00544728" w:rsidP="00544728">
      <w:pPr>
        <w:spacing w:after="160" w:line="480" w:lineRule="auto"/>
        <w:ind w:firstLine="720"/>
        <w:jc w:val="both"/>
        <w:rPr>
          <w:rFonts w:ascii="Times New Roman" w:hAnsi="Times New Roman" w:cs="Times New Roman"/>
        </w:rPr>
      </w:pPr>
      <w:r w:rsidRPr="00F72DB2">
        <w:rPr>
          <w:rFonts w:ascii="Times New Roman" w:hAnsi="Times New Roman" w:cs="Times New Roman"/>
        </w:rPr>
        <w:t xml:space="preserve">Following the third-party evaluation, the energy assistance advisory group </w:t>
      </w:r>
      <w:r w:rsidR="003C465B">
        <w:rPr>
          <w:rFonts w:ascii="Times New Roman" w:hAnsi="Times New Roman" w:cs="Times New Roman"/>
        </w:rPr>
        <w:t>evaluate</w:t>
      </w:r>
      <w:r w:rsidRPr="00F72DB2">
        <w:rPr>
          <w:rFonts w:ascii="Times New Roman" w:hAnsi="Times New Roman" w:cs="Times New Roman"/>
        </w:rPr>
        <w:t xml:space="preserve"> whether to recommend continuation, modification or termination of the Rate Discount pilot, and the Company will make appropriate filings with the Commission.</w:t>
      </w:r>
    </w:p>
    <w:p w14:paraId="225C6332" w14:textId="77777777" w:rsidR="00544728" w:rsidRDefault="00544728" w:rsidP="00544728">
      <w:pPr>
        <w:pStyle w:val="Heading3"/>
      </w:pPr>
      <w:bookmarkStart w:id="24" w:name="_Toc469571468"/>
      <w:r>
        <w:t>Program Results</w:t>
      </w:r>
      <w:bookmarkEnd w:id="24"/>
    </w:p>
    <w:p w14:paraId="225C6333" w14:textId="77777777" w:rsidR="00544728" w:rsidRDefault="00544728" w:rsidP="00BF3CBD">
      <w:pPr>
        <w:spacing w:line="480" w:lineRule="auto"/>
        <w:jc w:val="both"/>
        <w:rPr>
          <w:rFonts w:ascii="Times New Roman" w:hAnsi="Times New Roman" w:cs="Times New Roman"/>
        </w:rPr>
      </w:pPr>
      <w:r>
        <w:tab/>
      </w:r>
      <w:r>
        <w:rPr>
          <w:rFonts w:ascii="Times New Roman" w:hAnsi="Times New Roman" w:cs="Times New Roman"/>
        </w:rPr>
        <w:t xml:space="preserve">The Rate Discount Pilot </w:t>
      </w:r>
      <w:r w:rsidR="00BF62B8">
        <w:rPr>
          <w:rFonts w:ascii="Times New Roman" w:hAnsi="Times New Roman" w:cs="Times New Roman"/>
        </w:rPr>
        <w:t>served</w:t>
      </w:r>
      <w:r>
        <w:rPr>
          <w:rFonts w:ascii="Times New Roman" w:hAnsi="Times New Roman" w:cs="Times New Roman"/>
        </w:rPr>
        <w:t xml:space="preserve"> 763 individual households by the conclusion of the </w:t>
      </w:r>
      <w:r w:rsidR="00BF62B8">
        <w:rPr>
          <w:rFonts w:ascii="Times New Roman" w:hAnsi="Times New Roman" w:cs="Times New Roman"/>
        </w:rPr>
        <w:t xml:space="preserve">October </w:t>
      </w:r>
      <w:r>
        <w:rPr>
          <w:rFonts w:ascii="Times New Roman" w:hAnsi="Times New Roman" w:cs="Times New Roman"/>
        </w:rPr>
        <w:t>2015</w:t>
      </w:r>
      <w:r w:rsidR="00BF62B8">
        <w:rPr>
          <w:rFonts w:ascii="Times New Roman" w:hAnsi="Times New Roman" w:cs="Times New Roman"/>
        </w:rPr>
        <w:t xml:space="preserve"> – September </w:t>
      </w:r>
      <w:r>
        <w:rPr>
          <w:rFonts w:ascii="Times New Roman" w:hAnsi="Times New Roman" w:cs="Times New Roman"/>
        </w:rPr>
        <w:t>2016 program year.  Of this amount</w:t>
      </w:r>
      <w:r w:rsidR="003C465B">
        <w:rPr>
          <w:rFonts w:ascii="Times New Roman" w:hAnsi="Times New Roman" w:cs="Times New Roman"/>
        </w:rPr>
        <w:t>,</w:t>
      </w:r>
      <w:r>
        <w:rPr>
          <w:rFonts w:ascii="Times New Roman" w:hAnsi="Times New Roman" w:cs="Times New Roman"/>
        </w:rPr>
        <w:t xml:space="preserve"> 516 customers received discounts for their electric service and 247 for their natural gas service. SNAP provided discounts to 672 customers and Rural Resources provide discounts to 91 customers. The below table summarizes this information.</w:t>
      </w:r>
    </w:p>
    <w:p w14:paraId="225C6334" w14:textId="77777777" w:rsidR="00E217EB" w:rsidRDefault="00E217EB" w:rsidP="001448F0">
      <w:pPr>
        <w:pStyle w:val="Heading2"/>
        <w:rPr>
          <w:rFonts w:ascii="Times New Roman" w:hAnsi="Times New Roman" w:cs="Times New Roman"/>
        </w:rPr>
      </w:pPr>
    </w:p>
    <w:p w14:paraId="225C6335" w14:textId="77777777" w:rsidR="00E217EB" w:rsidRPr="00E217EB" w:rsidRDefault="00E217EB" w:rsidP="00E217EB">
      <w:r>
        <w:br/>
      </w:r>
    </w:p>
    <w:p w14:paraId="225C6336" w14:textId="77777777" w:rsidR="001448F0" w:rsidRPr="001448F0" w:rsidRDefault="001448F0" w:rsidP="001448F0">
      <w:pPr>
        <w:pStyle w:val="Heading2"/>
        <w:rPr>
          <w:rFonts w:ascii="Times New Roman" w:hAnsi="Times New Roman" w:cs="Times New Roman"/>
        </w:rPr>
      </w:pPr>
      <w:bookmarkStart w:id="25" w:name="_Toc469571469"/>
      <w:r w:rsidRPr="001448F0">
        <w:rPr>
          <w:rFonts w:ascii="Times New Roman" w:hAnsi="Times New Roman" w:cs="Times New Roman"/>
        </w:rPr>
        <w:lastRenderedPageBreak/>
        <w:t>Table 9 – Rate Discount Pilot - Participants</w:t>
      </w:r>
      <w:bookmarkEnd w:id="25"/>
    </w:p>
    <w:p w14:paraId="225C6337" w14:textId="77777777" w:rsidR="00544728" w:rsidRPr="003A6E94" w:rsidRDefault="00BF62B8" w:rsidP="00E217EB">
      <w:pPr>
        <w:jc w:val="center"/>
        <w:rPr>
          <w:rFonts w:ascii="Times New Roman" w:hAnsi="Times New Roman" w:cs="Times New Roman"/>
        </w:rPr>
      </w:pPr>
      <w:r w:rsidRPr="00BF62B8">
        <w:rPr>
          <w:noProof/>
        </w:rPr>
        <w:drawing>
          <wp:inline distT="0" distB="0" distL="0" distR="0" wp14:anchorId="225C6398" wp14:editId="225C6399">
            <wp:extent cx="5120192" cy="2728569"/>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0192" cy="2728569"/>
                    </a:xfrm>
                    <a:prstGeom prst="rect">
                      <a:avLst/>
                    </a:prstGeom>
                    <a:noFill/>
                    <a:ln>
                      <a:noFill/>
                    </a:ln>
                  </pic:spPr>
                </pic:pic>
              </a:graphicData>
            </a:graphic>
          </wp:inline>
        </w:drawing>
      </w:r>
    </w:p>
    <w:p w14:paraId="225C6338" w14:textId="77777777" w:rsidR="00544728" w:rsidRDefault="00544728" w:rsidP="00544728">
      <w:pPr>
        <w:pStyle w:val="ListParagraph"/>
        <w:jc w:val="center"/>
      </w:pPr>
    </w:p>
    <w:p w14:paraId="225C6339" w14:textId="77777777" w:rsidR="00544728" w:rsidRDefault="00544728" w:rsidP="00BF3CBD">
      <w:pPr>
        <w:pStyle w:val="ListParagraph"/>
        <w:spacing w:line="480" w:lineRule="auto"/>
        <w:ind w:left="0" w:firstLine="720"/>
        <w:jc w:val="both"/>
        <w:rPr>
          <w:noProof/>
        </w:rPr>
      </w:pPr>
      <w:r>
        <w:rPr>
          <w:noProof/>
        </w:rPr>
        <w:t xml:space="preserve">The </w:t>
      </w:r>
      <w:r w:rsidR="00BF3CBD">
        <w:rPr>
          <w:noProof/>
        </w:rPr>
        <w:t xml:space="preserve">Rate Discount Pilot </w:t>
      </w:r>
      <w:r>
        <w:rPr>
          <w:noProof/>
        </w:rPr>
        <w:t xml:space="preserve">program experienced </w:t>
      </w:r>
      <w:r w:rsidR="00BF3CBD">
        <w:rPr>
          <w:noProof/>
        </w:rPr>
        <w:t>approximartly 90% of its enrollment during</w:t>
      </w:r>
      <w:r>
        <w:rPr>
          <w:noProof/>
        </w:rPr>
        <w:t xml:space="preserve"> the </w:t>
      </w:r>
      <w:r w:rsidR="00BF62B8">
        <w:rPr>
          <w:noProof/>
        </w:rPr>
        <w:t xml:space="preserve">months of </w:t>
      </w:r>
      <w:r>
        <w:rPr>
          <w:noProof/>
        </w:rPr>
        <w:t xml:space="preserve">March and April.  </w:t>
      </w:r>
      <w:r w:rsidR="00BF3CBD">
        <w:rPr>
          <w:noProof/>
        </w:rPr>
        <w:t xml:space="preserve">By the end </w:t>
      </w:r>
      <w:r w:rsidR="003C465B">
        <w:rPr>
          <w:noProof/>
        </w:rPr>
        <w:t xml:space="preserve">of </w:t>
      </w:r>
      <w:r w:rsidR="00BF3CBD">
        <w:rPr>
          <w:noProof/>
        </w:rPr>
        <w:t>that two month period, the total number of participants totalled 693 households. Prior to that period,</w:t>
      </w:r>
      <w:r>
        <w:rPr>
          <w:noProof/>
        </w:rPr>
        <w:t xml:space="preserve"> the average number of residential customers receiving a rate discount was 217.</w:t>
      </w:r>
      <w:r w:rsidR="006F38EA">
        <w:rPr>
          <w:noProof/>
        </w:rPr>
        <w:t xml:space="preserve">  </w:t>
      </w:r>
      <w:r>
        <w:rPr>
          <w:noProof/>
        </w:rPr>
        <w:t>Please see the table below to illustrate the enrollment of customers during the program.</w:t>
      </w:r>
    </w:p>
    <w:p w14:paraId="225C633A" w14:textId="77777777" w:rsidR="001448F0" w:rsidRPr="001448F0" w:rsidRDefault="001448F0" w:rsidP="001448F0">
      <w:pPr>
        <w:pStyle w:val="Heading2"/>
        <w:rPr>
          <w:rFonts w:ascii="Times New Roman" w:hAnsi="Times New Roman" w:cs="Times New Roman"/>
          <w:noProof/>
        </w:rPr>
      </w:pPr>
      <w:bookmarkStart w:id="26" w:name="_Toc469571470"/>
      <w:r w:rsidRPr="001448F0">
        <w:rPr>
          <w:rFonts w:ascii="Times New Roman" w:hAnsi="Times New Roman" w:cs="Times New Roman"/>
          <w:noProof/>
        </w:rPr>
        <w:t>Table 10 – Participant Enrollment</w:t>
      </w:r>
      <w:bookmarkEnd w:id="26"/>
    </w:p>
    <w:p w14:paraId="225C633B" w14:textId="77777777" w:rsidR="00544728" w:rsidRDefault="006F38EA" w:rsidP="00E217EB">
      <w:pPr>
        <w:pStyle w:val="ListParagraph"/>
        <w:ind w:left="0"/>
        <w:jc w:val="center"/>
      </w:pPr>
      <w:r>
        <w:rPr>
          <w:noProof/>
        </w:rPr>
        <w:drawing>
          <wp:inline distT="0" distB="0" distL="0" distR="0" wp14:anchorId="225C639A" wp14:editId="225C639B">
            <wp:extent cx="5449718" cy="2487168"/>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9718" cy="2487168"/>
                    </a:xfrm>
                    <a:prstGeom prst="rect">
                      <a:avLst/>
                    </a:prstGeom>
                    <a:noFill/>
                  </pic:spPr>
                </pic:pic>
              </a:graphicData>
            </a:graphic>
          </wp:inline>
        </w:drawing>
      </w:r>
    </w:p>
    <w:p w14:paraId="225C633C" w14:textId="77777777" w:rsidR="0046797B" w:rsidRDefault="00544728" w:rsidP="006F125E">
      <w:pPr>
        <w:pStyle w:val="ListParagraph"/>
        <w:spacing w:line="480" w:lineRule="auto"/>
        <w:ind w:left="0" w:firstLine="720"/>
        <w:jc w:val="both"/>
      </w:pPr>
      <w:r>
        <w:lastRenderedPageBreak/>
        <w:t xml:space="preserve">The total dollar amount of discounts </w:t>
      </w:r>
      <w:r w:rsidR="00BF3CBD">
        <w:t>issued</w:t>
      </w:r>
      <w:r>
        <w:t xml:space="preserve"> by the pilot program during the program year totaled $175,468 ($</w:t>
      </w:r>
      <w:r w:rsidR="006F38EA">
        <w:t>1</w:t>
      </w:r>
      <w:r>
        <w:t xml:space="preserve">37,348 Electric, $38,120 Natural Gas).  Of this amount, SNAPs customer base </w:t>
      </w:r>
      <w:r w:rsidR="006F38EA">
        <w:t>received</w:t>
      </w:r>
      <w:r>
        <w:t xml:space="preserve"> $135,368 </w:t>
      </w:r>
      <w:r w:rsidR="006F38EA">
        <w:t xml:space="preserve">in discounts </w:t>
      </w:r>
      <w:r>
        <w:t>($100,883 Electric, $34,485 N</w:t>
      </w:r>
      <w:r w:rsidR="006F38EA">
        <w:t xml:space="preserve">atural Gas) and Rural Resources’ customers received </w:t>
      </w:r>
      <w:r>
        <w:t xml:space="preserve">$40,101 </w:t>
      </w:r>
      <w:r w:rsidR="006F38EA">
        <w:t xml:space="preserve">in discounts </w:t>
      </w:r>
      <w:r>
        <w:t>($36,465 Electric, $3,635 Natural Gas)</w:t>
      </w:r>
      <w:r w:rsidR="006F38EA">
        <w:t>.</w:t>
      </w:r>
      <w:r w:rsidR="006F125E">
        <w:t xml:space="preserve"> </w:t>
      </w:r>
    </w:p>
    <w:p w14:paraId="225C633D" w14:textId="77777777" w:rsidR="006F38EA" w:rsidRDefault="001963D0" w:rsidP="006F125E">
      <w:pPr>
        <w:pStyle w:val="ListParagraph"/>
        <w:spacing w:line="480" w:lineRule="auto"/>
        <w:ind w:left="0" w:firstLine="720"/>
        <w:jc w:val="both"/>
      </w:pPr>
      <w:r>
        <w:t>The</w:t>
      </w:r>
      <w:r w:rsidR="006F125E">
        <w:t xml:space="preserve"> goal</w:t>
      </w:r>
      <w:r>
        <w:t xml:space="preserve"> of the Rate Discount Pilot</w:t>
      </w:r>
      <w:r w:rsidR="003C465B">
        <w:t xml:space="preserve"> is</w:t>
      </w:r>
      <w:r w:rsidR="006F125E">
        <w:t xml:space="preserve"> to provide</w:t>
      </w:r>
      <w:r>
        <w:t xml:space="preserve"> each participating</w:t>
      </w:r>
      <w:r w:rsidR="006F125E">
        <w:t xml:space="preserve"> household with total annual discounts of approximately $300</w:t>
      </w:r>
      <w:r>
        <w:t xml:space="preserve"> for their service type. On average, customers participating in the Electric discount program received a total annualized benefit of $</w:t>
      </w:r>
      <w:r w:rsidR="007A5C02">
        <w:t>446.31</w:t>
      </w:r>
      <w:r>
        <w:t xml:space="preserve"> or an average monthly discount of $</w:t>
      </w:r>
      <w:r w:rsidR="007A5C02">
        <w:t>37.19</w:t>
      </w:r>
      <w:r>
        <w:t xml:space="preserve">.  For </w:t>
      </w:r>
      <w:r w:rsidR="003C465B">
        <w:t xml:space="preserve">Natural </w:t>
      </w:r>
      <w:r>
        <w:t xml:space="preserve">Gas customers participating in the </w:t>
      </w:r>
      <w:r w:rsidR="006F1BDF">
        <w:t>p</w:t>
      </w:r>
      <w:r>
        <w:t>ilot, the annualized average discount was $</w:t>
      </w:r>
      <w:r w:rsidR="007A5C02">
        <w:t>306.86</w:t>
      </w:r>
      <w:r>
        <w:t xml:space="preserve"> or an average monthly discount of $</w:t>
      </w:r>
      <w:r w:rsidR="007A5C02">
        <w:t>25.57</w:t>
      </w:r>
      <w:r>
        <w:t>.  Please see the below tables to illustrate the monthly average discounts received by Rate Discount participants.</w:t>
      </w:r>
    </w:p>
    <w:p w14:paraId="225C633E" w14:textId="77777777" w:rsidR="001448F0" w:rsidRPr="001448F0" w:rsidRDefault="001448F0" w:rsidP="001448F0">
      <w:pPr>
        <w:pStyle w:val="Heading2"/>
        <w:rPr>
          <w:rFonts w:ascii="Times New Roman" w:hAnsi="Times New Roman" w:cs="Times New Roman"/>
        </w:rPr>
      </w:pPr>
      <w:bookmarkStart w:id="27" w:name="_Toc469571471"/>
      <w:r w:rsidRPr="001448F0">
        <w:rPr>
          <w:rFonts w:ascii="Times New Roman" w:hAnsi="Times New Roman" w:cs="Times New Roman"/>
        </w:rPr>
        <w:t>Table 11 – Average Monthly Discount per Customer - Electric</w:t>
      </w:r>
      <w:bookmarkEnd w:id="27"/>
    </w:p>
    <w:p w14:paraId="225C633F" w14:textId="77777777" w:rsidR="001963D0" w:rsidRDefault="007A5C02" w:rsidP="006F125E">
      <w:pPr>
        <w:pStyle w:val="ListParagraph"/>
        <w:spacing w:line="480" w:lineRule="auto"/>
        <w:ind w:left="0" w:firstLine="720"/>
        <w:jc w:val="both"/>
      </w:pPr>
      <w:r>
        <w:rPr>
          <w:noProof/>
        </w:rPr>
        <w:drawing>
          <wp:inline distT="0" distB="0" distL="0" distR="0" wp14:anchorId="225C639C" wp14:editId="225C639D">
            <wp:extent cx="4996281" cy="26805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3016" cy="2689547"/>
                    </a:xfrm>
                    <a:prstGeom prst="rect">
                      <a:avLst/>
                    </a:prstGeom>
                    <a:noFill/>
                  </pic:spPr>
                </pic:pic>
              </a:graphicData>
            </a:graphic>
          </wp:inline>
        </w:drawing>
      </w:r>
    </w:p>
    <w:p w14:paraId="225C6340" w14:textId="77777777" w:rsidR="001448F0" w:rsidRPr="001448F0" w:rsidRDefault="001448F0" w:rsidP="001448F0">
      <w:pPr>
        <w:pStyle w:val="Heading2"/>
        <w:rPr>
          <w:rFonts w:ascii="Times New Roman" w:hAnsi="Times New Roman" w:cs="Times New Roman"/>
        </w:rPr>
      </w:pPr>
      <w:bookmarkStart w:id="28" w:name="_Toc469571472"/>
      <w:r>
        <w:rPr>
          <w:rFonts w:ascii="Times New Roman" w:hAnsi="Times New Roman" w:cs="Times New Roman"/>
        </w:rPr>
        <w:lastRenderedPageBreak/>
        <w:t>Table 12 – Average Monthly Discount per Customer – Natural Gas</w:t>
      </w:r>
      <w:bookmarkEnd w:id="28"/>
    </w:p>
    <w:p w14:paraId="225C6341" w14:textId="77777777" w:rsidR="00544728" w:rsidRDefault="007A5C02" w:rsidP="001963D0">
      <w:pPr>
        <w:pStyle w:val="ListParagraph"/>
        <w:ind w:left="0" w:firstLine="714"/>
      </w:pPr>
      <w:r>
        <w:rPr>
          <w:noProof/>
        </w:rPr>
        <w:drawing>
          <wp:inline distT="0" distB="0" distL="0" distR="0" wp14:anchorId="225C639E" wp14:editId="225C639F">
            <wp:extent cx="4974336" cy="26762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2184" cy="2685810"/>
                    </a:xfrm>
                    <a:prstGeom prst="rect">
                      <a:avLst/>
                    </a:prstGeom>
                    <a:noFill/>
                  </pic:spPr>
                </pic:pic>
              </a:graphicData>
            </a:graphic>
          </wp:inline>
        </w:drawing>
      </w:r>
    </w:p>
    <w:p w14:paraId="225C6342" w14:textId="77777777" w:rsidR="00E217EB" w:rsidRDefault="00E217EB" w:rsidP="00E217EB">
      <w:pPr>
        <w:spacing w:line="480" w:lineRule="auto"/>
        <w:ind w:firstLine="720"/>
        <w:jc w:val="both"/>
        <w:rPr>
          <w:rFonts w:ascii="Times New Roman" w:hAnsi="Times New Roman" w:cs="Times New Roman"/>
        </w:rPr>
      </w:pPr>
    </w:p>
    <w:p w14:paraId="225C6343" w14:textId="77777777" w:rsidR="00544728" w:rsidRDefault="007A5C02" w:rsidP="00E217EB">
      <w:pPr>
        <w:spacing w:line="480" w:lineRule="auto"/>
        <w:ind w:firstLine="720"/>
        <w:jc w:val="both"/>
        <w:rPr>
          <w:rFonts w:ascii="Times New Roman" w:hAnsi="Times New Roman" w:cs="Times New Roman"/>
        </w:rPr>
      </w:pPr>
      <w:r w:rsidRPr="007A5C02">
        <w:rPr>
          <w:rFonts w:ascii="Times New Roman" w:hAnsi="Times New Roman" w:cs="Times New Roman"/>
        </w:rPr>
        <w:t xml:space="preserve">The Rate Discount Pilot Program will continue through the October 2016 – September 2017 program year.  At the conclusion of that program year, the Low-Income Advisory Group, supported by a third-party evaluation report, will </w:t>
      </w:r>
      <w:r w:rsidR="00A52C38">
        <w:rPr>
          <w:rFonts w:ascii="Times New Roman" w:hAnsi="Times New Roman" w:cs="Times New Roman"/>
        </w:rPr>
        <w:t xml:space="preserve">evaluate </w:t>
      </w:r>
      <w:r>
        <w:rPr>
          <w:rFonts w:ascii="Times New Roman" w:hAnsi="Times New Roman" w:cs="Times New Roman"/>
        </w:rPr>
        <w:t xml:space="preserve">the pilot program </w:t>
      </w:r>
      <w:r w:rsidR="00A52C38">
        <w:rPr>
          <w:rFonts w:ascii="Times New Roman" w:hAnsi="Times New Roman" w:cs="Times New Roman"/>
        </w:rPr>
        <w:t xml:space="preserve">and </w:t>
      </w:r>
      <w:r w:rsidR="006F1BDF">
        <w:rPr>
          <w:rFonts w:ascii="Times New Roman" w:hAnsi="Times New Roman" w:cs="Times New Roman"/>
        </w:rPr>
        <w:t>make a recommendation to the Commission</w:t>
      </w:r>
      <w:r w:rsidR="00A52C38">
        <w:rPr>
          <w:rFonts w:ascii="Times New Roman" w:hAnsi="Times New Roman" w:cs="Times New Roman"/>
        </w:rPr>
        <w:t xml:space="preserve"> on the pilot results</w:t>
      </w:r>
      <w:r w:rsidR="006F1BDF">
        <w:rPr>
          <w:rFonts w:ascii="Times New Roman" w:hAnsi="Times New Roman" w:cs="Times New Roman"/>
        </w:rPr>
        <w:t>.</w:t>
      </w:r>
    </w:p>
    <w:p w14:paraId="225C6344" w14:textId="77777777" w:rsidR="002D114D" w:rsidRDefault="002D114D" w:rsidP="002D114D">
      <w:pPr>
        <w:pStyle w:val="Heading2"/>
        <w:rPr>
          <w:rFonts w:ascii="Times New Roman" w:hAnsi="Times New Roman" w:cs="Times New Roman"/>
        </w:rPr>
      </w:pPr>
      <w:bookmarkStart w:id="29" w:name="_Toc469571473"/>
      <w:r w:rsidRPr="00E217EB">
        <w:rPr>
          <w:rFonts w:ascii="Times New Roman" w:hAnsi="Times New Roman" w:cs="Times New Roman"/>
        </w:rPr>
        <w:t>True-Up Mechanism</w:t>
      </w:r>
      <w:bookmarkEnd w:id="29"/>
    </w:p>
    <w:p w14:paraId="225C6345" w14:textId="77777777" w:rsidR="001D6640" w:rsidRPr="002D114D" w:rsidRDefault="002D114D" w:rsidP="00E217EB">
      <w:pPr>
        <w:spacing w:line="480" w:lineRule="auto"/>
        <w:jc w:val="both"/>
        <w:rPr>
          <w:rFonts w:ascii="Times New Roman" w:hAnsi="Times New Roman" w:cs="Times New Roman"/>
        </w:rPr>
      </w:pPr>
      <w:r>
        <w:tab/>
      </w:r>
      <w:r>
        <w:rPr>
          <w:rFonts w:ascii="Times New Roman" w:hAnsi="Times New Roman" w:cs="Times New Roman"/>
        </w:rPr>
        <w:t>A</w:t>
      </w:r>
      <w:r w:rsidR="001D6640">
        <w:rPr>
          <w:rFonts w:ascii="Times New Roman" w:hAnsi="Times New Roman" w:cs="Times New Roman"/>
        </w:rPr>
        <w:t>s per the Company’s joint petition, it was agreed that a</w:t>
      </w:r>
      <w:r>
        <w:rPr>
          <w:rFonts w:ascii="Times New Roman" w:hAnsi="Times New Roman" w:cs="Times New Roman"/>
        </w:rPr>
        <w:t xml:space="preserve">fter the conclusion of the program year, the Company will file annually a true-up mechanism that will </w:t>
      </w:r>
      <w:r w:rsidR="001D6640">
        <w:rPr>
          <w:rFonts w:ascii="Times New Roman" w:hAnsi="Times New Roman" w:cs="Times New Roman"/>
        </w:rPr>
        <w:t>align the dollars collected with the annual budgeted amounts communicated to the agencies</w:t>
      </w:r>
      <w:r>
        <w:rPr>
          <w:rFonts w:ascii="Times New Roman" w:hAnsi="Times New Roman" w:cs="Times New Roman"/>
        </w:rPr>
        <w:t xml:space="preserve">.  The difference between the actual collections and the annual budgeted amount will be </w:t>
      </w:r>
      <w:r w:rsidR="00464ED2">
        <w:rPr>
          <w:rFonts w:ascii="Times New Roman" w:hAnsi="Times New Roman" w:cs="Times New Roman"/>
        </w:rPr>
        <w:t>adjusted</w:t>
      </w:r>
      <w:r>
        <w:rPr>
          <w:rFonts w:ascii="Times New Roman" w:hAnsi="Times New Roman" w:cs="Times New Roman"/>
        </w:rPr>
        <w:t xml:space="preserve"> in the LIRAP </w:t>
      </w:r>
      <w:r w:rsidR="00A74EAB">
        <w:rPr>
          <w:rFonts w:ascii="Times New Roman" w:hAnsi="Times New Roman" w:cs="Times New Roman"/>
        </w:rPr>
        <w:t>rate schedule</w:t>
      </w:r>
      <w:r w:rsidR="00E217EB">
        <w:rPr>
          <w:rFonts w:ascii="Times New Roman" w:hAnsi="Times New Roman" w:cs="Times New Roman"/>
        </w:rPr>
        <w:t>s</w:t>
      </w:r>
      <w:r w:rsidR="00A74EAB">
        <w:rPr>
          <w:rFonts w:ascii="Times New Roman" w:hAnsi="Times New Roman" w:cs="Times New Roman"/>
        </w:rPr>
        <w:t xml:space="preserve"> 92 and 192.  </w:t>
      </w:r>
      <w:r w:rsidR="00464ED2">
        <w:rPr>
          <w:rFonts w:ascii="Times New Roman" w:hAnsi="Times New Roman" w:cs="Times New Roman"/>
        </w:rPr>
        <w:t xml:space="preserve">For the </w:t>
      </w:r>
      <w:r w:rsidR="001D6640">
        <w:rPr>
          <w:rFonts w:ascii="Times New Roman" w:hAnsi="Times New Roman" w:cs="Times New Roman"/>
        </w:rPr>
        <w:t>current</w:t>
      </w:r>
      <w:r w:rsidR="00464ED2">
        <w:rPr>
          <w:rFonts w:ascii="Times New Roman" w:hAnsi="Times New Roman" w:cs="Times New Roman"/>
        </w:rPr>
        <w:t xml:space="preserve"> program year, </w:t>
      </w:r>
      <w:r w:rsidR="001D6640">
        <w:rPr>
          <w:rFonts w:ascii="Times New Roman" w:hAnsi="Times New Roman" w:cs="Times New Roman"/>
        </w:rPr>
        <w:t xml:space="preserve">LIRAP </w:t>
      </w:r>
      <w:r w:rsidR="00464ED2">
        <w:rPr>
          <w:rFonts w:ascii="Times New Roman" w:hAnsi="Times New Roman" w:cs="Times New Roman"/>
        </w:rPr>
        <w:t>collections</w:t>
      </w:r>
      <w:r w:rsidR="001D6640">
        <w:rPr>
          <w:rFonts w:ascii="Times New Roman" w:hAnsi="Times New Roman" w:cs="Times New Roman"/>
        </w:rPr>
        <w:t xml:space="preserve"> from customers</w:t>
      </w:r>
      <w:r w:rsidR="00464ED2">
        <w:rPr>
          <w:rFonts w:ascii="Times New Roman" w:hAnsi="Times New Roman" w:cs="Times New Roman"/>
        </w:rPr>
        <w:t xml:space="preserve"> exceeded</w:t>
      </w:r>
      <w:r w:rsidR="001D6640">
        <w:rPr>
          <w:rFonts w:ascii="Times New Roman" w:hAnsi="Times New Roman" w:cs="Times New Roman"/>
        </w:rPr>
        <w:t xml:space="preserve"> the</w:t>
      </w:r>
      <w:r w:rsidR="00464ED2">
        <w:rPr>
          <w:rFonts w:ascii="Times New Roman" w:hAnsi="Times New Roman" w:cs="Times New Roman"/>
        </w:rPr>
        <w:t xml:space="preserve"> </w:t>
      </w:r>
      <w:r w:rsidR="001D6640">
        <w:rPr>
          <w:rFonts w:ascii="Times New Roman" w:hAnsi="Times New Roman" w:cs="Times New Roman"/>
        </w:rPr>
        <w:t xml:space="preserve">targeted </w:t>
      </w:r>
      <w:r w:rsidR="00464ED2">
        <w:rPr>
          <w:rFonts w:ascii="Times New Roman" w:hAnsi="Times New Roman" w:cs="Times New Roman"/>
        </w:rPr>
        <w:t>budget by $</w:t>
      </w:r>
      <w:r w:rsidR="001D6640">
        <w:rPr>
          <w:rFonts w:ascii="Times New Roman" w:hAnsi="Times New Roman" w:cs="Times New Roman"/>
        </w:rPr>
        <w:t>113,246</w:t>
      </w:r>
      <w:r w:rsidR="00A74EAB">
        <w:rPr>
          <w:rFonts w:ascii="Times New Roman" w:hAnsi="Times New Roman" w:cs="Times New Roman"/>
        </w:rPr>
        <w:t xml:space="preserve"> ($97,621 Electric and $15,625</w:t>
      </w:r>
      <w:r w:rsidR="001D6640">
        <w:rPr>
          <w:rFonts w:ascii="Times New Roman" w:hAnsi="Times New Roman" w:cs="Times New Roman"/>
        </w:rPr>
        <w:t xml:space="preserve"> Gas)</w:t>
      </w:r>
      <w:r w:rsidR="00A74EAB">
        <w:rPr>
          <w:rFonts w:ascii="Times New Roman" w:hAnsi="Times New Roman" w:cs="Times New Roman"/>
        </w:rPr>
        <w:t xml:space="preserve">. </w:t>
      </w:r>
      <w:r w:rsidR="00E217EB">
        <w:rPr>
          <w:rFonts w:ascii="Times New Roman" w:hAnsi="Times New Roman" w:cs="Times New Roman"/>
        </w:rPr>
        <w:t>The resulting adjustment to customer rates would decrease the LIRAP rate so that actual collections from ratepayers would align with the program budget.</w:t>
      </w:r>
    </w:p>
    <w:p w14:paraId="225C6346" w14:textId="77777777" w:rsidR="007E305A" w:rsidRPr="000B7BDA" w:rsidRDefault="007E305A" w:rsidP="007E305A">
      <w:pPr>
        <w:pStyle w:val="Heading2"/>
        <w:rPr>
          <w:rFonts w:ascii="Times New Roman" w:hAnsi="Times New Roman" w:cs="Times New Roman"/>
        </w:rPr>
      </w:pPr>
      <w:bookmarkStart w:id="30" w:name="_Toc469571474"/>
      <w:r w:rsidRPr="000B7BDA">
        <w:rPr>
          <w:rFonts w:ascii="Times New Roman" w:hAnsi="Times New Roman" w:cs="Times New Roman"/>
        </w:rPr>
        <w:lastRenderedPageBreak/>
        <w:t xml:space="preserve">LIRAP </w:t>
      </w:r>
      <w:r>
        <w:rPr>
          <w:rFonts w:ascii="Times New Roman" w:hAnsi="Times New Roman" w:cs="Times New Roman"/>
        </w:rPr>
        <w:t>Emergency Share, t</w:t>
      </w:r>
      <w:r w:rsidRPr="000B7BDA">
        <w:rPr>
          <w:rFonts w:ascii="Times New Roman" w:hAnsi="Times New Roman" w:cs="Times New Roman"/>
        </w:rPr>
        <w:t xml:space="preserve">emporary </w:t>
      </w:r>
      <w:r>
        <w:rPr>
          <w:rFonts w:ascii="Times New Roman" w:hAnsi="Times New Roman" w:cs="Times New Roman"/>
        </w:rPr>
        <w:t>e</w:t>
      </w:r>
      <w:r w:rsidRPr="000B7BDA">
        <w:rPr>
          <w:rFonts w:ascii="Times New Roman" w:hAnsi="Times New Roman" w:cs="Times New Roman"/>
        </w:rPr>
        <w:t xml:space="preserve">xception </w:t>
      </w:r>
      <w:r>
        <w:rPr>
          <w:rFonts w:ascii="Times New Roman" w:hAnsi="Times New Roman" w:cs="Times New Roman"/>
        </w:rPr>
        <w:t>p</w:t>
      </w:r>
      <w:r w:rsidRPr="000B7BDA">
        <w:rPr>
          <w:rFonts w:ascii="Times New Roman" w:hAnsi="Times New Roman" w:cs="Times New Roman"/>
        </w:rPr>
        <w:t>rogram</w:t>
      </w:r>
      <w:bookmarkEnd w:id="30"/>
    </w:p>
    <w:p w14:paraId="225C6347" w14:textId="77777777" w:rsidR="007E305A" w:rsidRDefault="007E305A" w:rsidP="007E305A">
      <w:pPr>
        <w:spacing w:line="480" w:lineRule="auto"/>
        <w:jc w:val="both"/>
        <w:rPr>
          <w:rFonts w:ascii="Times New Roman" w:hAnsi="Times New Roman" w:cs="Times New Roman"/>
        </w:rPr>
      </w:pPr>
      <w:r w:rsidRPr="000B7BDA">
        <w:rPr>
          <w:rFonts w:ascii="Times New Roman" w:hAnsi="Times New Roman" w:cs="Times New Roman"/>
        </w:rPr>
        <w:tab/>
        <w:t xml:space="preserve">Avista implemented a temporary exception for LIRAP Emergency </w:t>
      </w:r>
      <w:r>
        <w:rPr>
          <w:rFonts w:ascii="Times New Roman" w:hAnsi="Times New Roman" w:cs="Times New Roman"/>
        </w:rPr>
        <w:t xml:space="preserve">Share </w:t>
      </w:r>
      <w:r w:rsidRPr="000B7BDA">
        <w:rPr>
          <w:rFonts w:ascii="Times New Roman" w:hAnsi="Times New Roman" w:cs="Times New Roman"/>
        </w:rPr>
        <w:t>for customers with extraord</w:t>
      </w:r>
      <w:r>
        <w:rPr>
          <w:rFonts w:ascii="Times New Roman" w:hAnsi="Times New Roman" w:cs="Times New Roman"/>
        </w:rPr>
        <w:t xml:space="preserve">inarily high past due or final notices. This additional plan segment </w:t>
      </w:r>
      <w:r w:rsidRPr="000B7BDA">
        <w:rPr>
          <w:rFonts w:ascii="Times New Roman" w:hAnsi="Times New Roman" w:cs="Times New Roman"/>
        </w:rPr>
        <w:t>provide</w:t>
      </w:r>
      <w:r>
        <w:rPr>
          <w:rFonts w:ascii="Times New Roman" w:hAnsi="Times New Roman" w:cs="Times New Roman"/>
        </w:rPr>
        <w:t>s</w:t>
      </w:r>
      <w:r w:rsidRPr="000B7BDA">
        <w:rPr>
          <w:rFonts w:ascii="Times New Roman" w:hAnsi="Times New Roman" w:cs="Times New Roman"/>
        </w:rPr>
        <w:t xml:space="preserve"> a solution for agencies when encountering customers where the current benefit</w:t>
      </w:r>
      <w:r>
        <w:rPr>
          <w:rFonts w:ascii="Times New Roman" w:hAnsi="Times New Roman" w:cs="Times New Roman"/>
        </w:rPr>
        <w:t xml:space="preserve"> design may not provide a solution to their situation.  The temporary exception program aims to provide grants to those customers and help them remain connected to services.  The program was implemented on August 8, 2016 and will conclude May 31, 2017.  The parameters for qualifying for this program are that the customer can be up to 200% FPL and have made good faith payments and/or been in communication with Avista regarding their situation.  Individuals applying for the exemption are approved by a CAA manager in collaboration with an Avista Customer Assistance Referral and Evaluation Services (CARES) representative.  The maximum grant amount for each individual customer is up to 90% of the average annual energy bill (electric and gas) and has a maximum grant amount of $1,550.</w:t>
      </w:r>
    </w:p>
    <w:p w14:paraId="225C6348" w14:textId="77777777" w:rsidR="007E305A" w:rsidRPr="000B7BDA" w:rsidRDefault="007E305A" w:rsidP="007E305A">
      <w:pPr>
        <w:spacing w:line="480" w:lineRule="auto"/>
        <w:jc w:val="both"/>
        <w:rPr>
          <w:rFonts w:ascii="Times New Roman" w:hAnsi="Times New Roman" w:cs="Times New Roman"/>
        </w:rPr>
      </w:pPr>
      <w:r>
        <w:rPr>
          <w:rFonts w:ascii="Times New Roman" w:hAnsi="Times New Roman" w:cs="Times New Roman"/>
        </w:rPr>
        <w:tab/>
        <w:t>Since its August 8, 2016 starting date, $8,605.25 grants have been issued under Avista’s Temporary Exception program which has helped a total of to 13 customers.  The average grant amount for these recipients was $661.64.  It is anticipated that more grants will be distributed under the exception program as the 2016/2017 program year heads into the winter months.</w:t>
      </w:r>
    </w:p>
    <w:p w14:paraId="225C6349" w14:textId="77777777" w:rsidR="00B97FD2" w:rsidRPr="00AA551E" w:rsidRDefault="00A8338F" w:rsidP="00A619D9">
      <w:pPr>
        <w:pStyle w:val="Heading1"/>
        <w:jc w:val="both"/>
        <w:rPr>
          <w:rFonts w:ascii="Times New Roman" w:hAnsi="Times New Roman" w:cs="Times New Roman"/>
          <w:u w:val="single"/>
        </w:rPr>
      </w:pPr>
      <w:bookmarkStart w:id="31" w:name="_Toc469571475"/>
      <w:r w:rsidRPr="00AA551E">
        <w:rPr>
          <w:rFonts w:ascii="Times New Roman" w:hAnsi="Times New Roman" w:cs="Times New Roman"/>
        </w:rPr>
        <w:t>Program Process</w:t>
      </w:r>
      <w:bookmarkEnd w:id="31"/>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bookmarkEnd w:id="22"/>
    </w:p>
    <w:p w14:paraId="225C634A" w14:textId="77777777" w:rsidR="009B0F61" w:rsidRPr="00AA551E" w:rsidRDefault="009B0F61" w:rsidP="00BD7E31">
      <w:pPr>
        <w:pStyle w:val="Heading2"/>
        <w:jc w:val="both"/>
        <w:rPr>
          <w:rFonts w:ascii="Times New Roman" w:hAnsi="Times New Roman" w:cs="Times New Roman"/>
        </w:rPr>
      </w:pPr>
      <w:bookmarkStart w:id="32" w:name="_Toc469571476"/>
      <w:r w:rsidRPr="00AA551E">
        <w:rPr>
          <w:rFonts w:ascii="Times New Roman" w:hAnsi="Times New Roman" w:cs="Times New Roman"/>
        </w:rPr>
        <w:t>Agency Meetings</w:t>
      </w:r>
      <w:bookmarkEnd w:id="32"/>
    </w:p>
    <w:p w14:paraId="225C634B" w14:textId="77777777" w:rsidR="00B97FD2" w:rsidRPr="00AA551E" w:rsidRDefault="00A8338F" w:rsidP="00BD7E31">
      <w:pPr>
        <w:pStyle w:val="BodyText2"/>
        <w:tabs>
          <w:tab w:val="clear" w:pos="720"/>
        </w:tabs>
        <w:spacing w:line="480" w:lineRule="auto"/>
        <w:ind w:firstLine="720"/>
        <w:jc w:val="both"/>
        <w:rPr>
          <w:rFonts w:ascii="Times New Roman" w:hAnsi="Times New Roman"/>
          <w:color w:val="auto"/>
          <w:szCs w:val="24"/>
        </w:rPr>
      </w:pPr>
      <w:r w:rsidRPr="00AA551E">
        <w:rPr>
          <w:rFonts w:ascii="Times New Roman" w:hAnsi="Times New Roman"/>
          <w:color w:val="auto"/>
          <w:szCs w:val="24"/>
        </w:rPr>
        <w:t xml:space="preserve">The Company </w:t>
      </w:r>
      <w:r w:rsidR="006D4CEB" w:rsidRPr="00AA551E">
        <w:rPr>
          <w:rFonts w:ascii="Times New Roman" w:hAnsi="Times New Roman"/>
          <w:color w:val="auto"/>
          <w:szCs w:val="24"/>
        </w:rPr>
        <w:t xml:space="preserve">met </w:t>
      </w:r>
      <w:r w:rsidR="00950BD4" w:rsidRPr="00AA551E">
        <w:rPr>
          <w:rFonts w:ascii="Times New Roman" w:hAnsi="Times New Roman"/>
          <w:color w:val="auto"/>
          <w:szCs w:val="24"/>
        </w:rPr>
        <w:t>twice</w:t>
      </w:r>
      <w:r w:rsidR="00012C06" w:rsidRPr="00AA551E">
        <w:rPr>
          <w:rFonts w:ascii="Times New Roman" w:hAnsi="Times New Roman"/>
          <w:color w:val="auto"/>
          <w:szCs w:val="24"/>
        </w:rPr>
        <w:t xml:space="preserve"> </w:t>
      </w:r>
      <w:r w:rsidR="0086512E" w:rsidRPr="00AA551E">
        <w:rPr>
          <w:rFonts w:ascii="Times New Roman" w:hAnsi="Times New Roman"/>
          <w:color w:val="auto"/>
          <w:szCs w:val="24"/>
        </w:rPr>
        <w:t xml:space="preserve">this year </w:t>
      </w:r>
      <w:r w:rsidRPr="00AA551E">
        <w:rPr>
          <w:rFonts w:ascii="Times New Roman" w:hAnsi="Times New Roman"/>
          <w:color w:val="auto"/>
          <w:szCs w:val="24"/>
        </w:rPr>
        <w:t>with the LIRAP agencies</w:t>
      </w:r>
      <w:r w:rsidR="00950BD4" w:rsidRPr="00AA551E">
        <w:rPr>
          <w:rFonts w:ascii="Times New Roman" w:hAnsi="Times New Roman"/>
          <w:color w:val="auto"/>
          <w:szCs w:val="24"/>
        </w:rPr>
        <w:t xml:space="preserve">; first </w:t>
      </w:r>
      <w:r w:rsidR="00012C06" w:rsidRPr="00AA551E">
        <w:rPr>
          <w:rFonts w:ascii="Times New Roman" w:hAnsi="Times New Roman"/>
          <w:color w:val="auto"/>
          <w:szCs w:val="24"/>
        </w:rPr>
        <w:t xml:space="preserve">in </w:t>
      </w:r>
      <w:r w:rsidR="00950BD4" w:rsidRPr="00AA551E">
        <w:rPr>
          <w:rFonts w:ascii="Times New Roman" w:hAnsi="Times New Roman"/>
          <w:color w:val="auto"/>
          <w:szCs w:val="24"/>
        </w:rPr>
        <w:t xml:space="preserve">May </w:t>
      </w:r>
      <w:r w:rsidR="00012C06" w:rsidRPr="00AA551E">
        <w:rPr>
          <w:rFonts w:ascii="Times New Roman" w:hAnsi="Times New Roman"/>
          <w:color w:val="auto"/>
          <w:szCs w:val="24"/>
        </w:rPr>
        <w:t>following the end of the heating season</w:t>
      </w:r>
      <w:r w:rsidR="00950BD4" w:rsidRPr="00AA551E">
        <w:rPr>
          <w:rFonts w:ascii="Times New Roman" w:hAnsi="Times New Roman"/>
          <w:color w:val="auto"/>
          <w:szCs w:val="24"/>
        </w:rPr>
        <w:t xml:space="preserve"> and then again in September prior to the launch of the heating season</w:t>
      </w:r>
      <w:r w:rsidR="00012C06" w:rsidRPr="00AA551E">
        <w:rPr>
          <w:rFonts w:ascii="Times New Roman" w:hAnsi="Times New Roman"/>
          <w:color w:val="auto"/>
          <w:szCs w:val="24"/>
        </w:rPr>
        <w:t xml:space="preserve">. </w:t>
      </w:r>
      <w:r w:rsidR="0086512E" w:rsidRPr="00AA551E">
        <w:rPr>
          <w:rFonts w:ascii="Times New Roman" w:hAnsi="Times New Roman"/>
          <w:color w:val="auto"/>
          <w:szCs w:val="24"/>
        </w:rPr>
        <w:t xml:space="preserve"> </w:t>
      </w:r>
      <w:r w:rsidRPr="00AA551E">
        <w:rPr>
          <w:rFonts w:ascii="Times New Roman" w:hAnsi="Times New Roman"/>
          <w:color w:val="auto"/>
          <w:szCs w:val="24"/>
        </w:rPr>
        <w:t xml:space="preserve">The discussion that occurs during the meetings provides direction for continued program refinement </w:t>
      </w:r>
      <w:r w:rsidRPr="00AA551E">
        <w:rPr>
          <w:rFonts w:ascii="Times New Roman" w:hAnsi="Times New Roman"/>
          <w:color w:val="auto"/>
          <w:szCs w:val="24"/>
        </w:rPr>
        <w:lastRenderedPageBreak/>
        <w:t xml:space="preserve">and clarity for program implementation. </w:t>
      </w:r>
      <w:r w:rsidR="00B70BAD" w:rsidRPr="00AA551E">
        <w:rPr>
          <w:rFonts w:ascii="Times New Roman" w:hAnsi="Times New Roman"/>
          <w:color w:val="auto"/>
          <w:szCs w:val="24"/>
        </w:rPr>
        <w:t xml:space="preserve">Concurrent with the </w:t>
      </w:r>
      <w:r w:rsidR="00E217EB" w:rsidRPr="00AA551E">
        <w:rPr>
          <w:rFonts w:ascii="Times New Roman" w:hAnsi="Times New Roman"/>
          <w:color w:val="auto"/>
          <w:szCs w:val="24"/>
        </w:rPr>
        <w:t>fall</w:t>
      </w:r>
      <w:r w:rsidR="00B70BAD" w:rsidRPr="00AA551E">
        <w:rPr>
          <w:rFonts w:ascii="Times New Roman" w:hAnsi="Times New Roman"/>
          <w:color w:val="auto"/>
          <w:szCs w:val="24"/>
        </w:rPr>
        <w:t xml:space="preserve"> meeting, the introductory meeting for the Energy Assistance Program Advisory Committee was conducted.  The original workgroup representatives along with Executive Director of Aging &amp; Long Term Care were invited. During the meeting an overview of the committee’s purpose and introduction from the President of Evergreen Economics, the evaluator for the Rate Discount Program were presented.</w:t>
      </w:r>
    </w:p>
    <w:p w14:paraId="225C634C" w14:textId="77777777" w:rsidR="00B97FD2" w:rsidRPr="00AA551E" w:rsidRDefault="00B97FD2" w:rsidP="00BD7E31">
      <w:pPr>
        <w:spacing w:line="480" w:lineRule="auto"/>
        <w:ind w:firstLine="720"/>
        <w:jc w:val="both"/>
        <w:rPr>
          <w:rFonts w:ascii="Times New Roman" w:hAnsi="Times New Roman" w:cs="Times New Roman"/>
        </w:rPr>
      </w:pPr>
      <w:r w:rsidRPr="00AA551E">
        <w:rPr>
          <w:rFonts w:ascii="Times New Roman" w:hAnsi="Times New Roman" w:cs="Times New Roman"/>
        </w:rPr>
        <w:t xml:space="preserve">In addition to the group meeting, the Company </w:t>
      </w:r>
      <w:r w:rsidR="00012C06" w:rsidRPr="00AA551E">
        <w:rPr>
          <w:rFonts w:ascii="Times New Roman" w:hAnsi="Times New Roman" w:cs="Times New Roman"/>
        </w:rPr>
        <w:t>conducted training for energy intake staff at SNAP</w:t>
      </w:r>
      <w:r w:rsidR="00E217EB">
        <w:rPr>
          <w:rFonts w:ascii="Times New Roman" w:hAnsi="Times New Roman" w:cs="Times New Roman"/>
        </w:rPr>
        <w:t>,</w:t>
      </w:r>
      <w:r w:rsidR="007E305A">
        <w:rPr>
          <w:rFonts w:ascii="Times New Roman" w:hAnsi="Times New Roman" w:cs="Times New Roman"/>
        </w:rPr>
        <w:t xml:space="preserve"> and </w:t>
      </w:r>
      <w:r w:rsidR="00950BD4" w:rsidRPr="00AA551E">
        <w:rPr>
          <w:rFonts w:ascii="Times New Roman" w:hAnsi="Times New Roman" w:cs="Times New Roman"/>
        </w:rPr>
        <w:t>the Community Action Center</w:t>
      </w:r>
      <w:r w:rsidR="00012C06" w:rsidRPr="00AA551E">
        <w:rPr>
          <w:rFonts w:ascii="Times New Roman" w:hAnsi="Times New Roman" w:cs="Times New Roman"/>
        </w:rPr>
        <w:t xml:space="preserve"> prior to the beginning of the heating season. The agenda for the sessions include</w:t>
      </w:r>
      <w:r w:rsidR="00D30D0B" w:rsidRPr="00AA551E">
        <w:rPr>
          <w:rFonts w:ascii="Times New Roman" w:hAnsi="Times New Roman" w:cs="Times New Roman"/>
        </w:rPr>
        <w:t>d</w:t>
      </w:r>
      <w:r w:rsidR="00012C06" w:rsidRPr="00AA551E">
        <w:rPr>
          <w:rFonts w:ascii="Times New Roman" w:hAnsi="Times New Roman" w:cs="Times New Roman"/>
        </w:rPr>
        <w:t xml:space="preserve"> overview of the CARES, and Avista Customer Service – both entities that interact with agency staff on a daily basis for the processing of energy assistance grants. The session also covers the bill cycle, Avista online resources, customer billing and payment options, and effective</w:t>
      </w:r>
      <w:r w:rsidR="00E91A70" w:rsidRPr="00AA551E">
        <w:rPr>
          <w:rFonts w:ascii="Times New Roman" w:hAnsi="Times New Roman" w:cs="Times New Roman"/>
        </w:rPr>
        <w:t xml:space="preserve"> use of the Company</w:t>
      </w:r>
      <w:r w:rsidR="00D30D0B" w:rsidRPr="00AA551E">
        <w:rPr>
          <w:rFonts w:ascii="Times New Roman" w:hAnsi="Times New Roman" w:cs="Times New Roman"/>
        </w:rPr>
        <w:t xml:space="preserve">’s </w:t>
      </w:r>
      <w:r w:rsidR="00E91A70" w:rsidRPr="00AA551E">
        <w:rPr>
          <w:rFonts w:ascii="Times New Roman" w:hAnsi="Times New Roman" w:cs="Times New Roman"/>
        </w:rPr>
        <w:t>Energy Assistance workbench</w:t>
      </w:r>
      <w:r w:rsidR="00950BD4" w:rsidRPr="00AA551E">
        <w:rPr>
          <w:rFonts w:ascii="Times New Roman" w:hAnsi="Times New Roman" w:cs="Times New Roman"/>
        </w:rPr>
        <w:t xml:space="preserve">, where agencies can get </w:t>
      </w:r>
      <w:r w:rsidR="00AF1D10" w:rsidRPr="00AA551E">
        <w:rPr>
          <w:rFonts w:ascii="Times New Roman" w:hAnsi="Times New Roman" w:cs="Times New Roman"/>
        </w:rPr>
        <w:t>customer usage and billing/payment history and post a grant</w:t>
      </w:r>
      <w:r w:rsidR="00E91A70" w:rsidRPr="00AA551E">
        <w:rPr>
          <w:rFonts w:ascii="Times New Roman" w:hAnsi="Times New Roman" w:cs="Times New Roman"/>
        </w:rPr>
        <w:t xml:space="preserve">. </w:t>
      </w:r>
    </w:p>
    <w:p w14:paraId="225C634D" w14:textId="77777777" w:rsidR="00B97FD2" w:rsidRPr="00AA551E" w:rsidRDefault="00A8338F" w:rsidP="00BD7E31">
      <w:pPr>
        <w:pStyle w:val="Heading1"/>
        <w:jc w:val="both"/>
        <w:rPr>
          <w:rFonts w:ascii="Times New Roman" w:hAnsi="Times New Roman" w:cs="Times New Roman"/>
        </w:rPr>
      </w:pPr>
      <w:bookmarkStart w:id="33" w:name="_Toc469571477"/>
      <w:r w:rsidRPr="00AA551E">
        <w:rPr>
          <w:rFonts w:ascii="Times New Roman" w:hAnsi="Times New Roman" w:cs="Times New Roman"/>
        </w:rPr>
        <w:t>Conservation Education and Outreach</w:t>
      </w:r>
      <w:bookmarkEnd w:id="33"/>
      <w:r w:rsidR="008F5B73" w:rsidRPr="00AA551E">
        <w:rPr>
          <w:rFonts w:ascii="Times New Roman" w:hAnsi="Times New Roman" w:cs="Times New Roman"/>
        </w:rPr>
        <w:tab/>
      </w:r>
      <w:r w:rsidR="008F5B73" w:rsidRPr="00AA551E">
        <w:rPr>
          <w:rFonts w:ascii="Times New Roman" w:hAnsi="Times New Roman" w:cs="Times New Roman"/>
        </w:rPr>
        <w:tab/>
      </w:r>
      <w:r w:rsidR="008F5B73" w:rsidRPr="00AA551E">
        <w:rPr>
          <w:rFonts w:ascii="Times New Roman" w:hAnsi="Times New Roman" w:cs="Times New Roman"/>
        </w:rPr>
        <w:tab/>
      </w:r>
      <w:r w:rsidR="008F5B73" w:rsidRPr="00AA551E">
        <w:rPr>
          <w:rFonts w:ascii="Times New Roman" w:hAnsi="Times New Roman" w:cs="Times New Roman"/>
        </w:rPr>
        <w:tab/>
      </w:r>
    </w:p>
    <w:p w14:paraId="225C634E" w14:textId="77777777" w:rsidR="00B97FD2" w:rsidRPr="00AA551E" w:rsidRDefault="00A8338F" w:rsidP="00BD7E31">
      <w:pPr>
        <w:autoSpaceDE w:val="0"/>
        <w:autoSpaceDN w:val="0"/>
        <w:adjustRightInd w:val="0"/>
        <w:spacing w:line="480" w:lineRule="auto"/>
        <w:ind w:firstLine="720"/>
        <w:jc w:val="both"/>
        <w:rPr>
          <w:rFonts w:ascii="Times New Roman" w:hAnsi="Times New Roman" w:cs="Times New Roman"/>
        </w:rPr>
      </w:pPr>
      <w:r w:rsidRPr="00AA551E">
        <w:rPr>
          <w:rFonts w:ascii="Times New Roman" w:hAnsi="Times New Roman" w:cs="Times New Roman"/>
        </w:rPr>
        <w:t xml:space="preserve">Conservation Education (Con-Ed) </w:t>
      </w:r>
      <w:r w:rsidR="00E41961" w:rsidRPr="00AA551E">
        <w:rPr>
          <w:rFonts w:ascii="Times New Roman" w:hAnsi="Times New Roman" w:cs="Times New Roman"/>
        </w:rPr>
        <w:t>is</w:t>
      </w:r>
      <w:r w:rsidRPr="00AA551E">
        <w:rPr>
          <w:rFonts w:ascii="Times New Roman" w:hAnsi="Times New Roman" w:cs="Times New Roman"/>
        </w:rPr>
        <w:t xml:space="preserve"> a key component of the LIRAP energy assistance program</w:t>
      </w:r>
      <w:r w:rsidR="00E41961" w:rsidRPr="00AA551E">
        <w:rPr>
          <w:rFonts w:ascii="Times New Roman" w:hAnsi="Times New Roman" w:cs="Times New Roman"/>
        </w:rPr>
        <w:t xml:space="preserve"> as</w:t>
      </w:r>
      <w:r w:rsidRPr="00AA551E">
        <w:rPr>
          <w:rFonts w:ascii="Times New Roman" w:hAnsi="Times New Roman" w:cs="Times New Roman"/>
        </w:rPr>
        <w:t xml:space="preserve"> it supports the program’s intent to encourage </w:t>
      </w:r>
      <w:r w:rsidR="009F08DA" w:rsidRPr="00AA551E">
        <w:rPr>
          <w:rFonts w:ascii="Times New Roman" w:hAnsi="Times New Roman" w:cs="Times New Roman"/>
        </w:rPr>
        <w:t>self-sufficiency</w:t>
      </w:r>
      <w:r w:rsidRPr="00AA551E">
        <w:rPr>
          <w:rFonts w:ascii="Times New Roman" w:hAnsi="Times New Roman" w:cs="Times New Roman"/>
        </w:rPr>
        <w:t xml:space="preserve">. Teaching and demonstrating </w:t>
      </w:r>
      <w:r w:rsidR="006D4CEB" w:rsidRPr="00AA551E">
        <w:rPr>
          <w:rFonts w:ascii="Times New Roman" w:hAnsi="Times New Roman" w:cs="Times New Roman"/>
        </w:rPr>
        <w:t>proven</w:t>
      </w:r>
      <w:r w:rsidRPr="00AA551E">
        <w:rPr>
          <w:rFonts w:ascii="Times New Roman" w:hAnsi="Times New Roman" w:cs="Times New Roman"/>
        </w:rPr>
        <w:t xml:space="preserve"> approaches to managing energy use may potentially reduce customers’ bills and increase customers’ ability to pay.  In the original program dockets (Docket Nos. UE-010436 and UG-010437) the Commission Staff’s decision memo dated April 25, 2001 states: “Staff believes that a comprehensive educational program should be designed to contribute toward changing the behavior of customers with respect to energy conservation and efficiency. The educational materials may include video, workshops, articles, brochures and newsletters, etc. The production of educational materials, including how well the message is structured, ease with which </w:t>
      </w:r>
      <w:r w:rsidRPr="00AA551E">
        <w:rPr>
          <w:rFonts w:ascii="Times New Roman" w:hAnsi="Times New Roman" w:cs="Times New Roman"/>
        </w:rPr>
        <w:lastRenderedPageBreak/>
        <w:t xml:space="preserve">it can be comprehended by customers and whether or not there are alternative forms of educational materials to enhance conservation measures, should be evaluated by consultants.” Also provided in Staff’s memo is the inclusion of the 4% funding level to the Company for Conservation Education.  </w:t>
      </w:r>
    </w:p>
    <w:p w14:paraId="225C634F" w14:textId="77777777" w:rsidR="00B97FD2" w:rsidRPr="00AA551E" w:rsidRDefault="00A8338F" w:rsidP="00BD7E31">
      <w:pPr>
        <w:autoSpaceDE w:val="0"/>
        <w:autoSpaceDN w:val="0"/>
        <w:adjustRightInd w:val="0"/>
        <w:spacing w:line="480" w:lineRule="auto"/>
        <w:ind w:firstLine="720"/>
        <w:jc w:val="both"/>
        <w:rPr>
          <w:rFonts w:ascii="Times New Roman" w:hAnsi="Times New Roman" w:cs="Times New Roman"/>
        </w:rPr>
      </w:pPr>
      <w:r w:rsidRPr="00AA551E">
        <w:rPr>
          <w:rFonts w:ascii="Times New Roman" w:hAnsi="Times New Roman" w:cs="Times New Roman"/>
        </w:rPr>
        <w:t>Based on this order, Avista has recognized the following educational strategies as efficient and effective means for delivering the energy conservation program:</w:t>
      </w:r>
    </w:p>
    <w:p w14:paraId="225C6350" w14:textId="77777777" w:rsidR="00B97FD2" w:rsidRPr="00AA551E" w:rsidRDefault="00A8338F" w:rsidP="0099149C">
      <w:pPr>
        <w:numPr>
          <w:ilvl w:val="0"/>
          <w:numId w:val="2"/>
        </w:numPr>
        <w:autoSpaceDE w:val="0"/>
        <w:autoSpaceDN w:val="0"/>
        <w:adjustRightInd w:val="0"/>
        <w:spacing w:line="480" w:lineRule="auto"/>
        <w:jc w:val="both"/>
        <w:rPr>
          <w:rFonts w:ascii="Times New Roman" w:hAnsi="Times New Roman" w:cs="Times New Roman"/>
        </w:rPr>
      </w:pPr>
      <w:r w:rsidRPr="00AA551E">
        <w:rPr>
          <w:rFonts w:ascii="Times New Roman" w:hAnsi="Times New Roman" w:cs="Times New Roman"/>
        </w:rPr>
        <w:t xml:space="preserve">Energy Conservation workshops for groups of Avista customers with the primary focus on reaching seniors and low-income. </w:t>
      </w:r>
    </w:p>
    <w:p w14:paraId="225C6351" w14:textId="77777777" w:rsidR="00B97FD2" w:rsidRPr="00AA551E" w:rsidRDefault="00A8338F" w:rsidP="0099149C">
      <w:pPr>
        <w:numPr>
          <w:ilvl w:val="0"/>
          <w:numId w:val="2"/>
        </w:numPr>
        <w:autoSpaceDE w:val="0"/>
        <w:autoSpaceDN w:val="0"/>
        <w:adjustRightInd w:val="0"/>
        <w:spacing w:line="480" w:lineRule="auto"/>
        <w:jc w:val="both"/>
        <w:rPr>
          <w:rFonts w:ascii="Times New Roman" w:hAnsi="Times New Roman" w:cs="Times New Roman"/>
        </w:rPr>
      </w:pPr>
      <w:r w:rsidRPr="00AA551E">
        <w:rPr>
          <w:rFonts w:ascii="Times New Roman" w:hAnsi="Times New Roman" w:cs="Times New Roman"/>
        </w:rPr>
        <w:t xml:space="preserve">Energy Conservation kits that include items such as: window plastic, V-seal, outlet draft stoppers, and other items to encourage effective energy management practices and that all Avista customers who have received an energy assistance grant </w:t>
      </w:r>
      <w:r w:rsidR="00912978" w:rsidRPr="00AA551E">
        <w:rPr>
          <w:rFonts w:ascii="Times New Roman" w:hAnsi="Times New Roman" w:cs="Times New Roman"/>
        </w:rPr>
        <w:t>are</w:t>
      </w:r>
      <w:r w:rsidRPr="00AA551E">
        <w:rPr>
          <w:rFonts w:ascii="Times New Roman" w:hAnsi="Times New Roman" w:cs="Times New Roman"/>
        </w:rPr>
        <w:t xml:space="preserve"> provided with energy conservation materials. </w:t>
      </w:r>
    </w:p>
    <w:p w14:paraId="225C6352" w14:textId="77777777" w:rsidR="00B97FD2" w:rsidRPr="00AA551E" w:rsidRDefault="00A8338F" w:rsidP="0099149C">
      <w:pPr>
        <w:numPr>
          <w:ilvl w:val="0"/>
          <w:numId w:val="2"/>
        </w:numPr>
        <w:autoSpaceDE w:val="0"/>
        <w:autoSpaceDN w:val="0"/>
        <w:adjustRightInd w:val="0"/>
        <w:spacing w:line="480" w:lineRule="auto"/>
        <w:jc w:val="both"/>
        <w:rPr>
          <w:rFonts w:ascii="Times New Roman" w:hAnsi="Times New Roman" w:cs="Times New Roman"/>
        </w:rPr>
      </w:pPr>
      <w:r w:rsidRPr="00AA551E">
        <w:rPr>
          <w:rFonts w:ascii="Times New Roman" w:hAnsi="Times New Roman" w:cs="Times New Roman"/>
        </w:rPr>
        <w:t>Avista printed materials that feature information on:</w:t>
      </w:r>
    </w:p>
    <w:p w14:paraId="225C6353" w14:textId="77777777" w:rsidR="00B97FD2" w:rsidRPr="00AA551E" w:rsidRDefault="00A8338F" w:rsidP="0099149C">
      <w:pPr>
        <w:numPr>
          <w:ilvl w:val="1"/>
          <w:numId w:val="11"/>
        </w:numPr>
        <w:autoSpaceDE w:val="0"/>
        <w:autoSpaceDN w:val="0"/>
        <w:adjustRightInd w:val="0"/>
        <w:spacing w:line="360" w:lineRule="auto"/>
        <w:jc w:val="both"/>
        <w:rPr>
          <w:rFonts w:ascii="Times New Roman" w:hAnsi="Times New Roman" w:cs="Times New Roman"/>
        </w:rPr>
      </w:pPr>
      <w:r w:rsidRPr="00AA551E">
        <w:rPr>
          <w:rFonts w:ascii="Times New Roman" w:hAnsi="Times New Roman" w:cs="Times New Roman"/>
        </w:rPr>
        <w:t>Avista Assistance Programs, such as payment arrangements, comfort-level billing, preferred due date, and</w:t>
      </w:r>
    </w:p>
    <w:p w14:paraId="225C6354" w14:textId="77777777" w:rsidR="00B97FD2" w:rsidRPr="00E142B6" w:rsidRDefault="00A8338F" w:rsidP="0099149C">
      <w:pPr>
        <w:numPr>
          <w:ilvl w:val="1"/>
          <w:numId w:val="11"/>
        </w:numPr>
        <w:autoSpaceDE w:val="0"/>
        <w:autoSpaceDN w:val="0"/>
        <w:adjustRightInd w:val="0"/>
        <w:spacing w:line="360" w:lineRule="auto"/>
        <w:jc w:val="both"/>
        <w:rPr>
          <w:rFonts w:ascii="Times New Roman" w:hAnsi="Times New Roman" w:cs="Times New Roman"/>
        </w:rPr>
      </w:pPr>
      <w:r w:rsidRPr="00AA551E">
        <w:rPr>
          <w:rFonts w:ascii="Times New Roman" w:hAnsi="Times New Roman" w:cs="Times New Roman"/>
        </w:rPr>
        <w:t>Energy saving methods and resources</w:t>
      </w:r>
    </w:p>
    <w:p w14:paraId="225C6355" w14:textId="77777777" w:rsidR="00B97FD2" w:rsidRPr="00AA551E" w:rsidRDefault="00E217EB" w:rsidP="00BD7E31">
      <w:pPr>
        <w:pStyle w:val="Heading2"/>
        <w:jc w:val="both"/>
        <w:rPr>
          <w:rFonts w:ascii="Times New Roman" w:hAnsi="Times New Roman" w:cs="Times New Roman"/>
        </w:rPr>
      </w:pPr>
      <w:bookmarkStart w:id="34" w:name="_Toc469571478"/>
      <w:r>
        <w:rPr>
          <w:rFonts w:ascii="Times New Roman" w:hAnsi="Times New Roman" w:cs="Times New Roman"/>
        </w:rPr>
        <w:br/>
      </w:r>
      <w:r>
        <w:rPr>
          <w:rFonts w:ascii="Times New Roman" w:hAnsi="Times New Roman" w:cs="Times New Roman"/>
        </w:rPr>
        <w:br/>
      </w:r>
      <w:r w:rsidR="00A8338F" w:rsidRPr="00E217EB">
        <w:rPr>
          <w:rFonts w:ascii="Times New Roman" w:hAnsi="Times New Roman" w:cs="Times New Roman"/>
        </w:rPr>
        <w:t>Conservation Education Activities</w:t>
      </w:r>
      <w:bookmarkEnd w:id="34"/>
    </w:p>
    <w:p w14:paraId="225C6356" w14:textId="77777777" w:rsidR="002D24D7" w:rsidRPr="003B291E" w:rsidRDefault="002D24D7" w:rsidP="003B291E">
      <w:pPr>
        <w:pStyle w:val="Heading3"/>
      </w:pPr>
      <w:bookmarkStart w:id="35" w:name="_Toc469571479"/>
      <w:r w:rsidRPr="003B291E">
        <w:t>Agency Con Ed Programs and Practices</w:t>
      </w:r>
      <w:bookmarkEnd w:id="35"/>
    </w:p>
    <w:p w14:paraId="225C6357" w14:textId="77777777" w:rsidR="0072073F" w:rsidRDefault="00A8338F" w:rsidP="00BD7E31">
      <w:pPr>
        <w:pStyle w:val="BodyText2"/>
        <w:spacing w:line="480" w:lineRule="auto"/>
        <w:jc w:val="both"/>
        <w:rPr>
          <w:rFonts w:ascii="Times New Roman" w:hAnsi="Times New Roman"/>
          <w:color w:val="auto"/>
          <w:szCs w:val="24"/>
        </w:rPr>
      </w:pPr>
      <w:r w:rsidRPr="00AA551E">
        <w:rPr>
          <w:rFonts w:ascii="Times New Roman" w:hAnsi="Times New Roman"/>
          <w:color w:val="auto"/>
          <w:szCs w:val="24"/>
        </w:rPr>
        <w:tab/>
        <w:t xml:space="preserve">The agencies </w:t>
      </w:r>
      <w:r w:rsidR="00912978" w:rsidRPr="00AA551E">
        <w:rPr>
          <w:rFonts w:ascii="Times New Roman" w:hAnsi="Times New Roman"/>
          <w:color w:val="auto"/>
          <w:szCs w:val="24"/>
        </w:rPr>
        <w:t xml:space="preserve">can use up to 6% of direct service funding to </w:t>
      </w:r>
      <w:r w:rsidRPr="00AA551E">
        <w:rPr>
          <w:rFonts w:ascii="Times New Roman" w:hAnsi="Times New Roman"/>
          <w:color w:val="auto"/>
          <w:szCs w:val="24"/>
        </w:rPr>
        <w:t xml:space="preserve">purchase energy saving items to disburse to individuals </w:t>
      </w:r>
      <w:r w:rsidR="00D3252F" w:rsidRPr="00AA551E">
        <w:rPr>
          <w:rFonts w:ascii="Times New Roman" w:hAnsi="Times New Roman"/>
          <w:color w:val="auto"/>
          <w:szCs w:val="24"/>
        </w:rPr>
        <w:t xml:space="preserve">either </w:t>
      </w:r>
      <w:r w:rsidRPr="00AA551E">
        <w:rPr>
          <w:rFonts w:ascii="Times New Roman" w:hAnsi="Times New Roman"/>
          <w:color w:val="auto"/>
          <w:szCs w:val="24"/>
        </w:rPr>
        <w:t>at the time of their appointment</w:t>
      </w:r>
      <w:r w:rsidR="00D3252F" w:rsidRPr="00AA551E">
        <w:rPr>
          <w:rFonts w:ascii="Times New Roman" w:hAnsi="Times New Roman"/>
          <w:color w:val="auto"/>
          <w:szCs w:val="24"/>
        </w:rPr>
        <w:t xml:space="preserve"> or through other means</w:t>
      </w:r>
      <w:r w:rsidRPr="00AA551E">
        <w:rPr>
          <w:rFonts w:ascii="Times New Roman" w:hAnsi="Times New Roman"/>
          <w:color w:val="auto"/>
          <w:szCs w:val="24"/>
        </w:rPr>
        <w:t xml:space="preserve">. </w:t>
      </w:r>
    </w:p>
    <w:p w14:paraId="225C6358" w14:textId="77777777" w:rsidR="0072073F" w:rsidRDefault="00A8338F" w:rsidP="00BD7E31">
      <w:pPr>
        <w:pStyle w:val="BodyText2"/>
        <w:spacing w:line="480" w:lineRule="auto"/>
        <w:jc w:val="both"/>
        <w:rPr>
          <w:rFonts w:ascii="Times New Roman" w:hAnsi="Times New Roman"/>
          <w:color w:val="auto"/>
          <w:szCs w:val="24"/>
        </w:rPr>
      </w:pPr>
      <w:r w:rsidRPr="00AA551E">
        <w:rPr>
          <w:rFonts w:ascii="Times New Roman" w:hAnsi="Times New Roman"/>
          <w:color w:val="auto"/>
          <w:szCs w:val="24"/>
        </w:rPr>
        <w:t xml:space="preserve">The Community Action </w:t>
      </w:r>
      <w:r w:rsidR="00B70BAD" w:rsidRPr="00AA551E">
        <w:rPr>
          <w:rFonts w:ascii="Times New Roman" w:hAnsi="Times New Roman"/>
          <w:color w:val="auto"/>
          <w:szCs w:val="24"/>
        </w:rPr>
        <w:t xml:space="preserve">Center </w:t>
      </w:r>
      <w:r w:rsidR="00FC4EEE" w:rsidRPr="00AA551E">
        <w:rPr>
          <w:rFonts w:ascii="Times New Roman" w:hAnsi="Times New Roman"/>
          <w:color w:val="auto"/>
          <w:szCs w:val="24"/>
        </w:rPr>
        <w:t xml:space="preserve">(CAC) </w:t>
      </w:r>
      <w:r w:rsidRPr="00AA551E">
        <w:rPr>
          <w:rFonts w:ascii="Times New Roman" w:hAnsi="Times New Roman"/>
          <w:color w:val="auto"/>
          <w:szCs w:val="24"/>
        </w:rPr>
        <w:t xml:space="preserve">that serves </w:t>
      </w:r>
      <w:r w:rsidR="00B70BAD" w:rsidRPr="00AA551E">
        <w:rPr>
          <w:rFonts w:ascii="Times New Roman" w:hAnsi="Times New Roman"/>
          <w:color w:val="auto"/>
          <w:szCs w:val="24"/>
        </w:rPr>
        <w:t xml:space="preserve">Whitman </w:t>
      </w:r>
      <w:r w:rsidR="00C51CDC">
        <w:rPr>
          <w:rFonts w:ascii="Times New Roman" w:hAnsi="Times New Roman"/>
          <w:color w:val="auto"/>
          <w:szCs w:val="24"/>
        </w:rPr>
        <w:t xml:space="preserve">County provided energy conservation information to 1,100 Avista customers during intake. During the assistance intake process, the </w:t>
      </w:r>
      <w:r w:rsidR="00C51CDC">
        <w:rPr>
          <w:rFonts w:ascii="Times New Roman" w:hAnsi="Times New Roman"/>
          <w:color w:val="auto"/>
          <w:szCs w:val="24"/>
        </w:rPr>
        <w:lastRenderedPageBreak/>
        <w:t xml:space="preserve">CAC staff </w:t>
      </w:r>
      <w:r w:rsidR="0072073F">
        <w:rPr>
          <w:rFonts w:ascii="Times New Roman" w:hAnsi="Times New Roman"/>
          <w:color w:val="auto"/>
          <w:szCs w:val="24"/>
        </w:rPr>
        <w:t xml:space="preserve">discusses energy saving measures and way to use conservation materials. </w:t>
      </w:r>
      <w:r w:rsidR="00D3252F" w:rsidRPr="00AA551E">
        <w:rPr>
          <w:rFonts w:ascii="Times New Roman" w:hAnsi="Times New Roman"/>
          <w:color w:val="auto"/>
          <w:szCs w:val="24"/>
        </w:rPr>
        <w:t>.</w:t>
      </w:r>
      <w:r w:rsidRPr="00AA551E">
        <w:rPr>
          <w:rFonts w:ascii="Times New Roman" w:hAnsi="Times New Roman"/>
          <w:color w:val="auto"/>
          <w:szCs w:val="24"/>
        </w:rPr>
        <w:t xml:space="preserve"> </w:t>
      </w:r>
      <w:r w:rsidR="0072073F">
        <w:rPr>
          <w:rFonts w:ascii="Times New Roman" w:hAnsi="Times New Roman"/>
          <w:color w:val="auto"/>
          <w:szCs w:val="24"/>
        </w:rPr>
        <w:t xml:space="preserve">Rather than a pre-packaged kit, the </w:t>
      </w:r>
      <w:r w:rsidR="00FC4EEE" w:rsidRPr="00AA551E">
        <w:rPr>
          <w:rFonts w:ascii="Times New Roman" w:hAnsi="Times New Roman"/>
          <w:color w:val="auto"/>
          <w:szCs w:val="24"/>
        </w:rPr>
        <w:t>CAC</w:t>
      </w:r>
      <w:r w:rsidR="00C51CDC">
        <w:rPr>
          <w:rFonts w:ascii="Times New Roman" w:hAnsi="Times New Roman"/>
          <w:color w:val="auto"/>
          <w:szCs w:val="24"/>
        </w:rPr>
        <w:t xml:space="preserve"> allows the families to choose the energy saving items that they will use in their home, those items include light bulbs, plastic window kits, and shower timers.</w:t>
      </w:r>
      <w:r w:rsidR="00FC4EEE" w:rsidRPr="00AA551E">
        <w:rPr>
          <w:rFonts w:ascii="Times New Roman" w:hAnsi="Times New Roman"/>
          <w:color w:val="auto"/>
          <w:szCs w:val="24"/>
        </w:rPr>
        <w:t xml:space="preserve"> </w:t>
      </w:r>
    </w:p>
    <w:p w14:paraId="225C6359" w14:textId="77777777" w:rsidR="0072073F" w:rsidRDefault="0072073F" w:rsidP="00BD7E31">
      <w:pPr>
        <w:pStyle w:val="BodyText2"/>
        <w:spacing w:line="480" w:lineRule="auto"/>
        <w:jc w:val="both"/>
        <w:rPr>
          <w:rFonts w:ascii="Times New Roman" w:hAnsi="Times New Roman"/>
          <w:color w:val="auto"/>
          <w:szCs w:val="24"/>
        </w:rPr>
      </w:pPr>
      <w:r>
        <w:rPr>
          <w:rFonts w:ascii="Times New Roman" w:hAnsi="Times New Roman"/>
          <w:color w:val="auto"/>
          <w:szCs w:val="24"/>
        </w:rPr>
        <w:t>At the Community Action Partnership (CAP) that serves Asotin County customers can watch a rotating energy conservation presentation on the lobby screen and pick up informational brochures while they wait for their appointment. During the energy appointment, the intake worker reviews the customer’s bill with them, and refers those with high energy burden to the weatherization program. The CAP also posts energy conservation message on their Facebook page</w:t>
      </w:r>
      <w:r w:rsidR="00F57FDA">
        <w:rPr>
          <w:rFonts w:ascii="Times New Roman" w:hAnsi="Times New Roman"/>
          <w:color w:val="auto"/>
          <w:szCs w:val="24"/>
        </w:rPr>
        <w:t xml:space="preserve">. The CAP provides their clients with energy saving items that are specific to their energy conservation needs; those items included night lights, light bulbs, water temperatures gauges, and refrigerator thermometers. </w:t>
      </w:r>
    </w:p>
    <w:p w14:paraId="225C635A" w14:textId="77777777" w:rsidR="00ED5E73" w:rsidRDefault="00E217EB" w:rsidP="00BD7E31">
      <w:pPr>
        <w:pStyle w:val="BodyText2"/>
        <w:spacing w:line="480" w:lineRule="auto"/>
        <w:jc w:val="both"/>
        <w:rPr>
          <w:rFonts w:ascii="Times New Roman" w:hAnsi="Times New Roman"/>
          <w:color w:val="auto"/>
          <w:szCs w:val="24"/>
        </w:rPr>
      </w:pPr>
      <w:r>
        <w:rPr>
          <w:rFonts w:ascii="Times New Roman" w:hAnsi="Times New Roman"/>
          <w:color w:val="auto"/>
          <w:szCs w:val="24"/>
        </w:rPr>
        <w:tab/>
      </w:r>
      <w:r w:rsidR="00A8338F" w:rsidRPr="00AA551E">
        <w:rPr>
          <w:rFonts w:ascii="Times New Roman" w:hAnsi="Times New Roman"/>
          <w:color w:val="auto"/>
          <w:szCs w:val="24"/>
        </w:rPr>
        <w:t xml:space="preserve">Rural Resources </w:t>
      </w:r>
      <w:r w:rsidR="00ED5E73">
        <w:rPr>
          <w:rFonts w:ascii="Times New Roman" w:hAnsi="Times New Roman"/>
          <w:color w:val="auto"/>
          <w:szCs w:val="24"/>
        </w:rPr>
        <w:t xml:space="preserve">makes, </w:t>
      </w:r>
      <w:r w:rsidR="00912978" w:rsidRPr="00AA551E">
        <w:rPr>
          <w:rFonts w:ascii="Times New Roman" w:hAnsi="Times New Roman"/>
          <w:color w:val="auto"/>
          <w:szCs w:val="24"/>
        </w:rPr>
        <w:t xml:space="preserve">that </w:t>
      </w:r>
      <w:r w:rsidR="00A8338F" w:rsidRPr="00AA551E">
        <w:rPr>
          <w:rFonts w:ascii="Times New Roman" w:hAnsi="Times New Roman"/>
          <w:color w:val="auto"/>
          <w:szCs w:val="24"/>
        </w:rPr>
        <w:t>serv</w:t>
      </w:r>
      <w:r w:rsidR="00912978" w:rsidRPr="00AA551E">
        <w:rPr>
          <w:rFonts w:ascii="Times New Roman" w:hAnsi="Times New Roman"/>
          <w:color w:val="auto"/>
          <w:szCs w:val="24"/>
        </w:rPr>
        <w:t>es</w:t>
      </w:r>
      <w:r w:rsidR="00A8338F" w:rsidRPr="00AA551E">
        <w:rPr>
          <w:rFonts w:ascii="Times New Roman" w:hAnsi="Times New Roman"/>
          <w:color w:val="auto"/>
          <w:szCs w:val="24"/>
        </w:rPr>
        <w:t xml:space="preserve"> Stevens, Lincoln and Ferry counties</w:t>
      </w:r>
      <w:r w:rsidR="00ED5E73">
        <w:rPr>
          <w:rFonts w:ascii="Times New Roman" w:hAnsi="Times New Roman"/>
          <w:color w:val="auto"/>
          <w:szCs w:val="24"/>
        </w:rPr>
        <w:t>, makes energy saving items such as window plastic, weather-stripping, door sweeps, light bulbs, aerators, rope caulk, power strips, and information available to clients after their energy appointment</w:t>
      </w:r>
      <w:r w:rsidR="00D3252F" w:rsidRPr="00AA551E">
        <w:rPr>
          <w:rFonts w:ascii="Times New Roman" w:hAnsi="Times New Roman"/>
          <w:color w:val="auto"/>
          <w:szCs w:val="24"/>
        </w:rPr>
        <w:t xml:space="preserve">. </w:t>
      </w:r>
      <w:r w:rsidR="00E41961" w:rsidRPr="00AA551E">
        <w:rPr>
          <w:rFonts w:ascii="Times New Roman" w:hAnsi="Times New Roman"/>
          <w:color w:val="auto"/>
          <w:szCs w:val="24"/>
        </w:rPr>
        <w:t xml:space="preserve">Additionally, </w:t>
      </w:r>
      <w:r w:rsidR="00912978" w:rsidRPr="00AA551E">
        <w:rPr>
          <w:rFonts w:ascii="Times New Roman" w:hAnsi="Times New Roman"/>
          <w:color w:val="auto"/>
          <w:szCs w:val="24"/>
        </w:rPr>
        <w:t xml:space="preserve">at the time of intake, </w:t>
      </w:r>
      <w:r w:rsidR="00E41961" w:rsidRPr="00AA551E">
        <w:rPr>
          <w:rFonts w:ascii="Times New Roman" w:hAnsi="Times New Roman"/>
          <w:color w:val="auto"/>
          <w:szCs w:val="24"/>
        </w:rPr>
        <w:t>education and in-depth counseling and personalized troubleshooting is provided to high energy bill customers</w:t>
      </w:r>
      <w:r w:rsidR="00912978" w:rsidRPr="00AA551E">
        <w:rPr>
          <w:rFonts w:ascii="Times New Roman" w:hAnsi="Times New Roman"/>
          <w:color w:val="auto"/>
          <w:szCs w:val="24"/>
        </w:rPr>
        <w:t xml:space="preserve">. </w:t>
      </w:r>
    </w:p>
    <w:p w14:paraId="225C635B" w14:textId="77777777" w:rsidR="00A619D9" w:rsidRDefault="00ED5E73" w:rsidP="00BD7E31">
      <w:pPr>
        <w:pStyle w:val="BodyText2"/>
        <w:spacing w:line="480" w:lineRule="auto"/>
        <w:jc w:val="both"/>
        <w:rPr>
          <w:rFonts w:ascii="Times New Roman" w:hAnsi="Times New Roman"/>
          <w:color w:val="auto"/>
          <w:szCs w:val="24"/>
        </w:rPr>
      </w:pPr>
      <w:r>
        <w:rPr>
          <w:rFonts w:ascii="Times New Roman" w:hAnsi="Times New Roman"/>
          <w:color w:val="auto"/>
          <w:szCs w:val="24"/>
        </w:rPr>
        <w:t xml:space="preserve">Serving Spokane County, </w:t>
      </w:r>
      <w:r w:rsidR="00912978" w:rsidRPr="00AA551E">
        <w:rPr>
          <w:rFonts w:ascii="Times New Roman" w:hAnsi="Times New Roman"/>
          <w:color w:val="auto"/>
          <w:szCs w:val="24"/>
        </w:rPr>
        <w:t xml:space="preserve">SNAP’s primary LIRAP conservation education activities occur </w:t>
      </w:r>
      <w:r w:rsidR="00FC4EEE" w:rsidRPr="00AA551E">
        <w:rPr>
          <w:rFonts w:ascii="Times New Roman" w:hAnsi="Times New Roman"/>
          <w:color w:val="auto"/>
          <w:szCs w:val="24"/>
        </w:rPr>
        <w:t xml:space="preserve">during the energy assistance </w:t>
      </w:r>
      <w:r w:rsidR="00912978" w:rsidRPr="00AA551E">
        <w:rPr>
          <w:rFonts w:ascii="Times New Roman" w:hAnsi="Times New Roman"/>
          <w:color w:val="auto"/>
          <w:szCs w:val="24"/>
        </w:rPr>
        <w:t>intake</w:t>
      </w:r>
      <w:r w:rsidR="00FC4EEE" w:rsidRPr="00AA551E">
        <w:rPr>
          <w:rFonts w:ascii="Times New Roman" w:hAnsi="Times New Roman"/>
          <w:color w:val="auto"/>
          <w:szCs w:val="24"/>
        </w:rPr>
        <w:t xml:space="preserve"> appointment, workshops, outreach events, and televised interviews, social media, radio and website visitors.</w:t>
      </w:r>
      <w:r w:rsidR="00912978" w:rsidRPr="00AA551E">
        <w:rPr>
          <w:rFonts w:ascii="Times New Roman" w:hAnsi="Times New Roman"/>
          <w:color w:val="auto"/>
          <w:szCs w:val="24"/>
        </w:rPr>
        <w:t xml:space="preserve"> . </w:t>
      </w:r>
      <w:r w:rsidR="00FC4EEE" w:rsidRPr="00AA551E">
        <w:rPr>
          <w:rFonts w:ascii="Times New Roman" w:hAnsi="Times New Roman"/>
          <w:color w:val="auto"/>
          <w:szCs w:val="24"/>
        </w:rPr>
        <w:t xml:space="preserve">SNAP conducted </w:t>
      </w:r>
      <w:r w:rsidR="00C51CDC">
        <w:rPr>
          <w:rFonts w:ascii="Times New Roman" w:hAnsi="Times New Roman"/>
          <w:color w:val="auto"/>
          <w:szCs w:val="24"/>
        </w:rPr>
        <w:t>21</w:t>
      </w:r>
      <w:r w:rsidR="00C51CDC" w:rsidRPr="00AA551E">
        <w:rPr>
          <w:rFonts w:ascii="Times New Roman" w:hAnsi="Times New Roman"/>
          <w:color w:val="auto"/>
          <w:szCs w:val="24"/>
        </w:rPr>
        <w:t xml:space="preserve"> </w:t>
      </w:r>
      <w:r w:rsidR="00FC4EEE" w:rsidRPr="00AA551E">
        <w:rPr>
          <w:rFonts w:ascii="Times New Roman" w:hAnsi="Times New Roman"/>
          <w:color w:val="auto"/>
          <w:szCs w:val="24"/>
        </w:rPr>
        <w:t xml:space="preserve">conservation education workshops and participated at </w:t>
      </w:r>
      <w:r w:rsidR="00C51CDC">
        <w:rPr>
          <w:rFonts w:ascii="Times New Roman" w:hAnsi="Times New Roman"/>
          <w:color w:val="auto"/>
          <w:szCs w:val="24"/>
        </w:rPr>
        <w:t>46</w:t>
      </w:r>
      <w:r w:rsidR="00C51CDC" w:rsidRPr="00AA551E">
        <w:rPr>
          <w:rFonts w:ascii="Times New Roman" w:hAnsi="Times New Roman"/>
          <w:color w:val="auto"/>
          <w:szCs w:val="24"/>
        </w:rPr>
        <w:t xml:space="preserve"> </w:t>
      </w:r>
      <w:r w:rsidR="00FC4EEE" w:rsidRPr="00AA551E">
        <w:rPr>
          <w:rFonts w:ascii="Times New Roman" w:hAnsi="Times New Roman"/>
          <w:color w:val="auto"/>
          <w:szCs w:val="24"/>
        </w:rPr>
        <w:t>community outreach events. Through all their activities, they reached 13,</w:t>
      </w:r>
      <w:r w:rsidR="00C51CDC">
        <w:rPr>
          <w:rFonts w:ascii="Times New Roman" w:hAnsi="Times New Roman"/>
          <w:color w:val="auto"/>
          <w:szCs w:val="24"/>
        </w:rPr>
        <w:t>286</w:t>
      </w:r>
      <w:r w:rsidR="00C51CDC" w:rsidRPr="00AA551E">
        <w:rPr>
          <w:rFonts w:ascii="Times New Roman" w:hAnsi="Times New Roman"/>
          <w:color w:val="auto"/>
          <w:szCs w:val="24"/>
        </w:rPr>
        <w:t xml:space="preserve"> </w:t>
      </w:r>
      <w:r w:rsidR="00FC4EEE" w:rsidRPr="00AA551E">
        <w:rPr>
          <w:rFonts w:ascii="Times New Roman" w:hAnsi="Times New Roman"/>
          <w:color w:val="auto"/>
          <w:szCs w:val="24"/>
        </w:rPr>
        <w:t xml:space="preserve">households and an additional 10,000 through media sources.  </w:t>
      </w:r>
    </w:p>
    <w:p w14:paraId="225C635C" w14:textId="77777777" w:rsidR="00A52C38" w:rsidRDefault="00A52C38" w:rsidP="00BD7E31">
      <w:pPr>
        <w:pStyle w:val="BodyText2"/>
        <w:spacing w:line="480" w:lineRule="auto"/>
        <w:jc w:val="both"/>
        <w:rPr>
          <w:rFonts w:ascii="Times New Roman" w:hAnsi="Times New Roman"/>
          <w:color w:val="auto"/>
          <w:szCs w:val="24"/>
        </w:rPr>
      </w:pPr>
    </w:p>
    <w:p w14:paraId="225C635D" w14:textId="77777777" w:rsidR="00CF0CE8" w:rsidRPr="00CF0CE8" w:rsidRDefault="00CF0CE8" w:rsidP="00CF0CE8"/>
    <w:p w14:paraId="225C635E" w14:textId="77777777" w:rsidR="00B97FD2" w:rsidRPr="00AA551E" w:rsidRDefault="002D24D7" w:rsidP="003B291E">
      <w:pPr>
        <w:pStyle w:val="Heading3"/>
        <w:rPr>
          <w:i/>
        </w:rPr>
      </w:pPr>
      <w:bookmarkStart w:id="36" w:name="_Toc469571480"/>
      <w:r w:rsidRPr="00AA551E">
        <w:lastRenderedPageBreak/>
        <w:t xml:space="preserve">Avista </w:t>
      </w:r>
      <w:r w:rsidR="00A8338F" w:rsidRPr="00AA551E">
        <w:t>Outreach</w:t>
      </w:r>
      <w:r w:rsidRPr="00AA551E">
        <w:t xml:space="preserve"> and Education</w:t>
      </w:r>
      <w:bookmarkEnd w:id="36"/>
    </w:p>
    <w:p w14:paraId="225C635F" w14:textId="77777777" w:rsidR="00FD6E32" w:rsidRPr="00AA551E" w:rsidRDefault="00FD6E32" w:rsidP="00BD7E31">
      <w:pPr>
        <w:pStyle w:val="BodyText"/>
        <w:spacing w:line="480" w:lineRule="auto"/>
        <w:ind w:firstLine="720"/>
        <w:jc w:val="both"/>
        <w:rPr>
          <w:rFonts w:ascii="Times New Roman" w:hAnsi="Times New Roman"/>
          <w:szCs w:val="24"/>
        </w:rPr>
      </w:pPr>
      <w:r w:rsidRPr="00AA551E">
        <w:rPr>
          <w:rFonts w:ascii="Times New Roman" w:hAnsi="Times New Roman"/>
          <w:szCs w:val="24"/>
        </w:rPr>
        <w:t>The majority of households seeking assistance contact the Community Action Agencies (CAA’s) directly.  However, Avista has a variety of methods to support outreach efforts to engage those in need and guide them to the agencies and promote the availability of assistance programs at the agencies</w:t>
      </w:r>
      <w:r w:rsidR="002D24D7" w:rsidRPr="00AA551E">
        <w:rPr>
          <w:rFonts w:ascii="Times New Roman" w:hAnsi="Times New Roman"/>
          <w:szCs w:val="24"/>
        </w:rPr>
        <w:t xml:space="preserve"> and energy conservation</w:t>
      </w:r>
      <w:r w:rsidRPr="00AA551E">
        <w:rPr>
          <w:rFonts w:ascii="Times New Roman" w:hAnsi="Times New Roman"/>
          <w:szCs w:val="24"/>
        </w:rPr>
        <w:t xml:space="preserve">.   </w:t>
      </w:r>
    </w:p>
    <w:p w14:paraId="225C6360" w14:textId="77777777" w:rsidR="008F2E6F" w:rsidRPr="00AA551E" w:rsidRDefault="008F2E6F" w:rsidP="00BD7E31">
      <w:pPr>
        <w:pStyle w:val="BodyText"/>
        <w:spacing w:line="480" w:lineRule="auto"/>
        <w:ind w:firstLine="720"/>
        <w:jc w:val="both"/>
        <w:rPr>
          <w:rFonts w:ascii="Times New Roman" w:hAnsi="Times New Roman"/>
          <w:color w:val="FF0000"/>
          <w:szCs w:val="24"/>
        </w:rPr>
      </w:pPr>
      <w:r w:rsidRPr="00AA551E">
        <w:rPr>
          <w:rFonts w:ascii="Times New Roman" w:hAnsi="Times New Roman"/>
          <w:szCs w:val="24"/>
        </w:rPr>
        <w:t xml:space="preserve">The Company has provided energy use guides, and billing and </w:t>
      </w:r>
      <w:r w:rsidR="00B13AD2" w:rsidRPr="00AA551E">
        <w:rPr>
          <w:rFonts w:ascii="Times New Roman" w:hAnsi="Times New Roman"/>
          <w:szCs w:val="24"/>
        </w:rPr>
        <w:t xml:space="preserve">payment </w:t>
      </w:r>
      <w:r w:rsidRPr="00AA551E">
        <w:rPr>
          <w:rFonts w:ascii="Times New Roman" w:hAnsi="Times New Roman"/>
          <w:szCs w:val="24"/>
        </w:rPr>
        <w:t xml:space="preserve">options sheets to the agencies to support their conservation education and outreach activities. </w:t>
      </w:r>
    </w:p>
    <w:p w14:paraId="225C6361" w14:textId="77777777" w:rsidR="00A619D9" w:rsidRDefault="00E142B6" w:rsidP="003B291E">
      <w:pPr>
        <w:pStyle w:val="BodyText"/>
        <w:spacing w:line="480" w:lineRule="auto"/>
        <w:ind w:firstLine="720"/>
        <w:jc w:val="both"/>
        <w:rPr>
          <w:rFonts w:ascii="Times New Roman" w:hAnsi="Times New Roman"/>
          <w:szCs w:val="24"/>
        </w:rPr>
      </w:pPr>
      <w:r>
        <w:rPr>
          <w:rFonts w:ascii="Times New Roman" w:hAnsi="Times New Roman"/>
          <w:szCs w:val="24"/>
        </w:rPr>
        <w:t>The C</w:t>
      </w:r>
      <w:r w:rsidR="002D24D7" w:rsidRPr="00AA551E">
        <w:rPr>
          <w:rFonts w:ascii="Times New Roman" w:hAnsi="Times New Roman"/>
          <w:szCs w:val="24"/>
        </w:rPr>
        <w:t xml:space="preserve">ompany </w:t>
      </w:r>
      <w:r w:rsidR="00FD6E32" w:rsidRPr="00AA551E">
        <w:rPr>
          <w:rFonts w:ascii="Times New Roman" w:hAnsi="Times New Roman"/>
          <w:szCs w:val="24"/>
        </w:rPr>
        <w:t>host</w:t>
      </w:r>
      <w:r w:rsidR="002D24D7" w:rsidRPr="00AA551E">
        <w:rPr>
          <w:rFonts w:ascii="Times New Roman" w:hAnsi="Times New Roman"/>
          <w:szCs w:val="24"/>
        </w:rPr>
        <w:t>s</w:t>
      </w:r>
      <w:r w:rsidR="00FD6E32" w:rsidRPr="00AA551E">
        <w:rPr>
          <w:rFonts w:ascii="Times New Roman" w:hAnsi="Times New Roman"/>
          <w:szCs w:val="24"/>
        </w:rPr>
        <w:t xml:space="preserve"> community workshops, energy fairs</w:t>
      </w:r>
      <w:r w:rsidR="002D24D7" w:rsidRPr="00AA551E">
        <w:rPr>
          <w:rFonts w:ascii="Times New Roman" w:hAnsi="Times New Roman"/>
          <w:szCs w:val="24"/>
        </w:rPr>
        <w:t>,</w:t>
      </w:r>
      <w:r w:rsidR="00AF1D10" w:rsidRPr="00AA551E">
        <w:rPr>
          <w:rFonts w:ascii="Times New Roman" w:hAnsi="Times New Roman"/>
          <w:szCs w:val="24"/>
        </w:rPr>
        <w:t xml:space="preserve"> </w:t>
      </w:r>
      <w:r w:rsidR="00FD6E32" w:rsidRPr="00AA551E">
        <w:rPr>
          <w:rFonts w:ascii="Times New Roman" w:hAnsi="Times New Roman"/>
          <w:szCs w:val="24"/>
        </w:rPr>
        <w:t>and mobile outreach events</w:t>
      </w:r>
      <w:r w:rsidR="002D24D7" w:rsidRPr="00AA551E">
        <w:rPr>
          <w:rFonts w:ascii="Times New Roman" w:hAnsi="Times New Roman"/>
          <w:szCs w:val="24"/>
        </w:rPr>
        <w:t xml:space="preserve"> and participated in general outreach events</w:t>
      </w:r>
      <w:r w:rsidR="00ED5E73">
        <w:rPr>
          <w:rFonts w:ascii="Times New Roman" w:hAnsi="Times New Roman"/>
          <w:szCs w:val="24"/>
        </w:rPr>
        <w:t xml:space="preserve"> throughout our service area</w:t>
      </w:r>
      <w:r w:rsidR="00AF1D10" w:rsidRPr="00AA551E">
        <w:rPr>
          <w:rFonts w:ascii="Times New Roman" w:hAnsi="Times New Roman"/>
          <w:szCs w:val="24"/>
        </w:rPr>
        <w:t>, to</w:t>
      </w:r>
      <w:r w:rsidR="002D24D7" w:rsidRPr="00AA551E">
        <w:rPr>
          <w:rFonts w:ascii="Times New Roman" w:hAnsi="Times New Roman"/>
          <w:szCs w:val="24"/>
        </w:rPr>
        <w:t xml:space="preserve"> provide education and resources for home energy management and to raise awareness about </w:t>
      </w:r>
      <w:r w:rsidR="00FD6E32" w:rsidRPr="00AA551E">
        <w:rPr>
          <w:rFonts w:ascii="Times New Roman" w:hAnsi="Times New Roman"/>
          <w:szCs w:val="24"/>
        </w:rPr>
        <w:t>the local agenc</w:t>
      </w:r>
      <w:r w:rsidR="002D24D7" w:rsidRPr="00AA551E">
        <w:rPr>
          <w:rFonts w:ascii="Times New Roman" w:hAnsi="Times New Roman"/>
          <w:szCs w:val="24"/>
        </w:rPr>
        <w:t>ies</w:t>
      </w:r>
      <w:r w:rsidR="00FD6E32" w:rsidRPr="00AA551E">
        <w:rPr>
          <w:rFonts w:ascii="Times New Roman" w:hAnsi="Times New Roman"/>
          <w:szCs w:val="24"/>
        </w:rPr>
        <w:t xml:space="preserve"> and the services they provide – most specifically energy assistance. </w:t>
      </w:r>
      <w:r w:rsidR="002D24D7" w:rsidRPr="00AA551E">
        <w:rPr>
          <w:rFonts w:ascii="Times New Roman" w:hAnsi="Times New Roman"/>
          <w:szCs w:val="24"/>
        </w:rPr>
        <w:t xml:space="preserve">For the </w:t>
      </w:r>
      <w:r w:rsidR="00621068" w:rsidRPr="00AA551E">
        <w:rPr>
          <w:rFonts w:ascii="Times New Roman" w:hAnsi="Times New Roman"/>
          <w:szCs w:val="24"/>
        </w:rPr>
        <w:t>201</w:t>
      </w:r>
      <w:r w:rsidR="00621068">
        <w:rPr>
          <w:rFonts w:ascii="Times New Roman" w:hAnsi="Times New Roman"/>
          <w:szCs w:val="24"/>
        </w:rPr>
        <w:t>5</w:t>
      </w:r>
      <w:r w:rsidR="002D24D7" w:rsidRPr="00AA551E">
        <w:rPr>
          <w:rFonts w:ascii="Times New Roman" w:hAnsi="Times New Roman"/>
          <w:szCs w:val="24"/>
        </w:rPr>
        <w:t>/</w:t>
      </w:r>
      <w:r w:rsidR="00621068" w:rsidRPr="00AA551E">
        <w:rPr>
          <w:rFonts w:ascii="Times New Roman" w:hAnsi="Times New Roman"/>
          <w:szCs w:val="24"/>
        </w:rPr>
        <w:t>201</w:t>
      </w:r>
      <w:r w:rsidR="00621068">
        <w:rPr>
          <w:rFonts w:ascii="Times New Roman" w:hAnsi="Times New Roman"/>
          <w:szCs w:val="24"/>
        </w:rPr>
        <w:t>6</w:t>
      </w:r>
      <w:r w:rsidR="00621068" w:rsidRPr="00AA551E">
        <w:rPr>
          <w:rFonts w:ascii="Times New Roman" w:hAnsi="Times New Roman"/>
          <w:szCs w:val="24"/>
        </w:rPr>
        <w:t xml:space="preserve"> </w:t>
      </w:r>
      <w:r w:rsidR="002D24D7" w:rsidRPr="00AA551E">
        <w:rPr>
          <w:rFonts w:ascii="Times New Roman" w:hAnsi="Times New Roman"/>
          <w:szCs w:val="24"/>
        </w:rPr>
        <w:t>program year</w:t>
      </w:r>
      <w:r w:rsidR="008A0428" w:rsidRPr="00AA551E">
        <w:rPr>
          <w:rFonts w:ascii="Times New Roman" w:hAnsi="Times New Roman"/>
          <w:szCs w:val="24"/>
        </w:rPr>
        <w:t>,</w:t>
      </w:r>
      <w:r w:rsidR="00FD6E32" w:rsidRPr="00AA551E">
        <w:rPr>
          <w:rFonts w:ascii="Times New Roman" w:hAnsi="Times New Roman"/>
          <w:szCs w:val="24"/>
        </w:rPr>
        <w:t xml:space="preserve"> approximately </w:t>
      </w:r>
      <w:r w:rsidR="00621068">
        <w:rPr>
          <w:rFonts w:ascii="Times New Roman" w:hAnsi="Times New Roman"/>
          <w:szCs w:val="24"/>
        </w:rPr>
        <w:t>10,</w:t>
      </w:r>
      <w:r w:rsidR="00940ADA">
        <w:rPr>
          <w:rFonts w:ascii="Times New Roman" w:hAnsi="Times New Roman"/>
          <w:szCs w:val="24"/>
        </w:rPr>
        <w:t>860</w:t>
      </w:r>
      <w:r w:rsidR="002D24D7" w:rsidRPr="00AA551E">
        <w:rPr>
          <w:rFonts w:ascii="Times New Roman" w:hAnsi="Times New Roman"/>
          <w:szCs w:val="24"/>
        </w:rPr>
        <w:t xml:space="preserve"> individuals</w:t>
      </w:r>
      <w:r w:rsidR="00FD6E32" w:rsidRPr="00AA551E">
        <w:rPr>
          <w:rFonts w:ascii="Times New Roman" w:hAnsi="Times New Roman"/>
          <w:szCs w:val="24"/>
        </w:rPr>
        <w:t xml:space="preserve"> were reached through </w:t>
      </w:r>
      <w:r w:rsidR="00621068">
        <w:rPr>
          <w:rFonts w:ascii="Times New Roman" w:hAnsi="Times New Roman"/>
          <w:szCs w:val="24"/>
        </w:rPr>
        <w:t>9</w:t>
      </w:r>
      <w:r w:rsidR="00940ADA">
        <w:rPr>
          <w:rFonts w:ascii="Times New Roman" w:hAnsi="Times New Roman"/>
          <w:szCs w:val="24"/>
        </w:rPr>
        <w:t>3</w:t>
      </w:r>
      <w:r w:rsidR="00B13AD2" w:rsidRPr="00AA551E">
        <w:rPr>
          <w:rFonts w:ascii="Times New Roman" w:hAnsi="Times New Roman"/>
          <w:szCs w:val="24"/>
        </w:rPr>
        <w:t xml:space="preserve"> </w:t>
      </w:r>
      <w:r w:rsidR="002D24D7" w:rsidRPr="00AA551E">
        <w:rPr>
          <w:rFonts w:ascii="Times New Roman" w:hAnsi="Times New Roman"/>
          <w:szCs w:val="24"/>
        </w:rPr>
        <w:t>events</w:t>
      </w:r>
      <w:r w:rsidR="00B13AD2" w:rsidRPr="00AA551E">
        <w:rPr>
          <w:rFonts w:ascii="Times New Roman" w:hAnsi="Times New Roman"/>
          <w:szCs w:val="24"/>
        </w:rPr>
        <w:t xml:space="preserve"> through Avista hosted activities</w:t>
      </w:r>
      <w:r w:rsidR="00FD6E32" w:rsidRPr="00AA551E">
        <w:rPr>
          <w:rFonts w:ascii="Times New Roman" w:hAnsi="Times New Roman"/>
          <w:szCs w:val="24"/>
        </w:rPr>
        <w:t>.</w:t>
      </w:r>
      <w:r w:rsidR="00A8338F" w:rsidRPr="00AA551E">
        <w:rPr>
          <w:rFonts w:ascii="Times New Roman" w:hAnsi="Times New Roman"/>
          <w:szCs w:val="24"/>
        </w:rPr>
        <w:t xml:space="preserve"> </w:t>
      </w:r>
    </w:p>
    <w:p w14:paraId="225C6362" w14:textId="77777777" w:rsidR="003B291E" w:rsidRPr="00AA551E" w:rsidRDefault="003B291E" w:rsidP="00E217EB">
      <w:pPr>
        <w:pStyle w:val="BodyText"/>
        <w:spacing w:line="480" w:lineRule="auto"/>
        <w:jc w:val="both"/>
        <w:rPr>
          <w:rFonts w:ascii="Times New Roman" w:hAnsi="Times New Roman"/>
          <w:szCs w:val="24"/>
        </w:rPr>
      </w:pPr>
    </w:p>
    <w:p w14:paraId="225C6363" w14:textId="77777777" w:rsidR="00B97FD2" w:rsidRPr="00AA551E" w:rsidRDefault="00A8338F" w:rsidP="003B291E">
      <w:pPr>
        <w:pStyle w:val="Heading3"/>
      </w:pPr>
      <w:bookmarkStart w:id="37" w:name="_Toc469571481"/>
      <w:r w:rsidRPr="00AA551E">
        <w:t>Senior Directories and Publications</w:t>
      </w:r>
      <w:bookmarkEnd w:id="37"/>
      <w:r w:rsidRPr="00AA551E">
        <w:t xml:space="preserve"> </w:t>
      </w:r>
    </w:p>
    <w:p w14:paraId="225C6364" w14:textId="77777777" w:rsidR="00B97FD2" w:rsidRDefault="00FD6E32" w:rsidP="00BD7E31">
      <w:pPr>
        <w:spacing w:line="480" w:lineRule="auto"/>
        <w:ind w:firstLine="720"/>
        <w:jc w:val="both"/>
        <w:rPr>
          <w:rFonts w:ascii="Times New Roman" w:hAnsi="Times New Roman" w:cs="Times New Roman"/>
        </w:rPr>
      </w:pPr>
      <w:r w:rsidRPr="00AA551E">
        <w:rPr>
          <w:rFonts w:ascii="Times New Roman" w:hAnsi="Times New Roman" w:cs="Times New Roman"/>
        </w:rPr>
        <w:t xml:space="preserve">The Company continues </w:t>
      </w:r>
      <w:r w:rsidR="008A0428" w:rsidRPr="00AA551E">
        <w:rPr>
          <w:rFonts w:ascii="Times New Roman" w:hAnsi="Times New Roman" w:cs="Times New Roman"/>
        </w:rPr>
        <w:t>its</w:t>
      </w:r>
      <w:r w:rsidRPr="00AA551E">
        <w:rPr>
          <w:rFonts w:ascii="Times New Roman" w:hAnsi="Times New Roman" w:cs="Times New Roman"/>
        </w:rPr>
        <w:t xml:space="preserve"> practice of placing ads in senior publications as part of a strategic effort to reach seniors with information about energy efficiency, billing assistance, Senior Energy Outreach workshops and CARES information.</w:t>
      </w:r>
      <w:r w:rsidR="00A8338F" w:rsidRPr="00AA551E">
        <w:rPr>
          <w:rFonts w:ascii="Times New Roman" w:hAnsi="Times New Roman" w:cs="Times New Roman"/>
        </w:rPr>
        <w:t xml:space="preserve"> </w:t>
      </w:r>
    </w:p>
    <w:p w14:paraId="225C6365" w14:textId="77777777" w:rsidR="00B97FD2" w:rsidRPr="00AA551E" w:rsidRDefault="00A8338F" w:rsidP="00A619D9">
      <w:pPr>
        <w:pStyle w:val="Heading1"/>
        <w:rPr>
          <w:rFonts w:ascii="Times New Roman" w:hAnsi="Times New Roman" w:cs="Times New Roman"/>
        </w:rPr>
      </w:pPr>
      <w:bookmarkStart w:id="38" w:name="_Toc469571482"/>
      <w:r w:rsidRPr="00AA551E">
        <w:rPr>
          <w:rFonts w:ascii="Times New Roman" w:hAnsi="Times New Roman" w:cs="Times New Roman"/>
        </w:rPr>
        <w:t>Key Terms</w:t>
      </w:r>
      <w:bookmarkEnd w:id="38"/>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p>
    <w:p w14:paraId="225C6366" w14:textId="77777777" w:rsidR="00B97FD2" w:rsidRPr="00AA551E" w:rsidRDefault="00A8338F" w:rsidP="00BD7E31">
      <w:pPr>
        <w:spacing w:line="480" w:lineRule="auto"/>
        <w:jc w:val="both"/>
        <w:rPr>
          <w:rFonts w:ascii="Times New Roman" w:hAnsi="Times New Roman" w:cs="Times New Roman"/>
        </w:rPr>
      </w:pPr>
      <w:r w:rsidRPr="00AA551E">
        <w:rPr>
          <w:rFonts w:ascii="Times New Roman" w:hAnsi="Times New Roman" w:cs="Times New Roman"/>
        </w:rPr>
        <w:t>Key terms used in this Report are described as follows.</w:t>
      </w:r>
    </w:p>
    <w:p w14:paraId="225C6367" w14:textId="77777777" w:rsidR="00B97FD2" w:rsidRDefault="00A8338F" w:rsidP="0099149C">
      <w:pPr>
        <w:pStyle w:val="ListParagraph"/>
        <w:numPr>
          <w:ilvl w:val="0"/>
          <w:numId w:val="6"/>
        </w:numPr>
        <w:spacing w:line="360" w:lineRule="auto"/>
        <w:jc w:val="both"/>
      </w:pPr>
      <w:r w:rsidRPr="00AA551E">
        <w:rPr>
          <w:u w:val="single"/>
        </w:rPr>
        <w:t>Energy Cost Burden, Energy Burden</w:t>
      </w:r>
      <w:r w:rsidR="00B13AD2" w:rsidRPr="006F16F0">
        <w:t xml:space="preserve">: </w:t>
      </w:r>
      <w:r w:rsidRPr="00AA551E">
        <w:t>The percentage of income that households pay for energy service.</w:t>
      </w:r>
    </w:p>
    <w:p w14:paraId="225C6368" w14:textId="77777777" w:rsidR="006F1BDF" w:rsidRPr="00AA551E" w:rsidRDefault="006F1BDF" w:rsidP="006F1BDF">
      <w:pPr>
        <w:pStyle w:val="ListParagraph"/>
        <w:numPr>
          <w:ilvl w:val="0"/>
          <w:numId w:val="6"/>
        </w:numPr>
        <w:spacing w:line="360" w:lineRule="auto"/>
        <w:jc w:val="both"/>
      </w:pPr>
      <w:r w:rsidRPr="00D4431A">
        <w:rPr>
          <w:u w:val="single"/>
        </w:rPr>
        <w:t>LIHEAP</w:t>
      </w:r>
      <w:r>
        <w:t>:</w:t>
      </w:r>
      <w:r w:rsidRPr="00D4431A">
        <w:rPr>
          <w:bCs/>
          <w:color w:val="2D261A"/>
        </w:rPr>
        <w:t xml:space="preserve"> </w:t>
      </w:r>
      <w:r w:rsidRPr="00AA551E">
        <w:rPr>
          <w:bCs/>
          <w:color w:val="2D261A"/>
        </w:rPr>
        <w:t xml:space="preserve">The Low Income Home Energy Assistance Program </w:t>
      </w:r>
      <w:r w:rsidRPr="00AA551E">
        <w:rPr>
          <w:color w:val="2D261A"/>
        </w:rPr>
        <w:t>(</w:t>
      </w:r>
      <w:r w:rsidRPr="00AA551E">
        <w:rPr>
          <w:bCs/>
          <w:color w:val="2D261A"/>
        </w:rPr>
        <w:t>LIHEAP</w:t>
      </w:r>
      <w:r w:rsidRPr="00AA551E">
        <w:rPr>
          <w:color w:val="2D261A"/>
        </w:rPr>
        <w:t xml:space="preserve">) is a federal program established in 1981 and funded annually by Congress. These federal dollars are </w:t>
      </w:r>
      <w:r w:rsidRPr="00AA551E">
        <w:rPr>
          <w:color w:val="2D261A"/>
        </w:rPr>
        <w:lastRenderedPageBreak/>
        <w:t>released directly to states, territories, tribes and the District of Columbia who use the funds to provide energy assistance to low-income households. LIHEAP offers financial assistance to qualifying low-income households to help them pay their home heating or cooling bills. Under federal law, a household must have income below either 150 percent of the federal poverty level or 60 percent of state median income level, whichever is higher. However, states can set lower income thresholds if they choose to. Some states use non-federal funds to expand their programs to include more households or to provide higher benefits.</w:t>
      </w:r>
    </w:p>
    <w:p w14:paraId="225C6369" w14:textId="77777777" w:rsidR="006F1BDF" w:rsidRPr="006F1BDF" w:rsidRDefault="006F1BDF" w:rsidP="006F1BDF">
      <w:pPr>
        <w:pStyle w:val="FootnoteText"/>
        <w:numPr>
          <w:ilvl w:val="0"/>
          <w:numId w:val="6"/>
        </w:numPr>
        <w:spacing w:line="360" w:lineRule="auto"/>
        <w:jc w:val="both"/>
        <w:rPr>
          <w:sz w:val="24"/>
          <w:szCs w:val="24"/>
        </w:rPr>
      </w:pPr>
      <w:r w:rsidRPr="006F1BDF">
        <w:rPr>
          <w:sz w:val="24"/>
          <w:szCs w:val="24"/>
          <w:u w:val="single"/>
        </w:rPr>
        <w:t>LIRAP Emergency Share</w:t>
      </w:r>
      <w:r w:rsidRPr="006F1BDF">
        <w:rPr>
          <w:sz w:val="24"/>
          <w:szCs w:val="24"/>
        </w:rPr>
        <w:t xml:space="preserve">: Funds provided for “emergency” purposes.  Customers cannot receive both Emergency Share and Project share but can receive other forms of energy assistance.  </w:t>
      </w:r>
    </w:p>
    <w:p w14:paraId="225C636A" w14:textId="77777777" w:rsidR="00B97FD2" w:rsidRDefault="00A8338F" w:rsidP="006F1BDF">
      <w:pPr>
        <w:pStyle w:val="FootnoteText"/>
        <w:numPr>
          <w:ilvl w:val="0"/>
          <w:numId w:val="6"/>
        </w:numPr>
        <w:spacing w:line="360" w:lineRule="auto"/>
        <w:jc w:val="both"/>
        <w:rPr>
          <w:sz w:val="24"/>
        </w:rPr>
      </w:pPr>
      <w:r w:rsidRPr="00D4431A">
        <w:rPr>
          <w:sz w:val="24"/>
          <w:u w:val="single"/>
        </w:rPr>
        <w:t>LIRAP Heat</w:t>
      </w:r>
      <w:r w:rsidR="00B13AD2" w:rsidRPr="00D4431A">
        <w:rPr>
          <w:sz w:val="24"/>
        </w:rPr>
        <w:t xml:space="preserve">: </w:t>
      </w:r>
      <w:r w:rsidR="00D4431A" w:rsidRPr="00D4431A">
        <w:rPr>
          <w:sz w:val="24"/>
        </w:rPr>
        <w:t>For clients receiving “regular” energy assistance (i.e., LIRAP Heat), the eligibility determination is the same as the Federal LIHEAP program.  The amount of the assistance provided is based on household income, energy costs (all electric or natural gas costs, used for space heating or base load) and housing type (single family, multifamily, etc.) and then calculated using the Office of Community Development’s (OCD) mechanism.  The benefits of using this mechanism include leveraging established systems and staff knowledge already in place at the agencies as well as using a system that indexes assistance to income and need.</w:t>
      </w:r>
    </w:p>
    <w:p w14:paraId="225C636B" w14:textId="77777777" w:rsidR="006F1BDF" w:rsidRPr="006F1BDF" w:rsidRDefault="006F1BDF" w:rsidP="006F1BDF">
      <w:pPr>
        <w:pStyle w:val="ListParagraph"/>
        <w:numPr>
          <w:ilvl w:val="0"/>
          <w:numId w:val="6"/>
        </w:numPr>
        <w:spacing w:line="360" w:lineRule="auto"/>
        <w:jc w:val="both"/>
        <w:rPr>
          <w:b/>
          <w:u w:val="single"/>
        </w:rPr>
      </w:pPr>
      <w:r w:rsidRPr="00AA551E">
        <w:rPr>
          <w:u w:val="single"/>
        </w:rPr>
        <w:t>LIRAP Senior Energy Outreach</w:t>
      </w:r>
      <w:r w:rsidRPr="006F16F0">
        <w:t xml:space="preserve">: </w:t>
      </w:r>
      <w:r w:rsidRPr="00AA551E">
        <w:t>This program denotes an offering unique to low-income senior customers.</w:t>
      </w:r>
    </w:p>
    <w:p w14:paraId="225C636C" w14:textId="77777777" w:rsidR="00B97FD2" w:rsidRPr="00AA551E" w:rsidRDefault="00A8338F" w:rsidP="0099149C">
      <w:pPr>
        <w:pStyle w:val="ListParagraph"/>
        <w:numPr>
          <w:ilvl w:val="0"/>
          <w:numId w:val="6"/>
        </w:numPr>
        <w:spacing w:line="360" w:lineRule="auto"/>
        <w:jc w:val="both"/>
      </w:pPr>
      <w:r w:rsidRPr="00AA551E">
        <w:rPr>
          <w:u w:val="single"/>
        </w:rPr>
        <w:t>Participants</w:t>
      </w:r>
      <w:r w:rsidR="00B13AD2" w:rsidRPr="006F16F0">
        <w:t xml:space="preserve">: </w:t>
      </w:r>
      <w:r w:rsidRPr="00AA551E">
        <w:t>Customers who received LIRAP grant(s).</w:t>
      </w:r>
    </w:p>
    <w:p w14:paraId="225C636D" w14:textId="77777777" w:rsidR="00B97FD2" w:rsidRPr="00AA551E" w:rsidRDefault="006F1BDF" w:rsidP="0099149C">
      <w:pPr>
        <w:pStyle w:val="ListParagraph"/>
        <w:numPr>
          <w:ilvl w:val="0"/>
          <w:numId w:val="6"/>
        </w:numPr>
        <w:spacing w:line="360" w:lineRule="auto"/>
        <w:jc w:val="both"/>
      </w:pPr>
      <w:r>
        <w:rPr>
          <w:u w:val="single"/>
        </w:rPr>
        <w:t xml:space="preserve">Tariff </w:t>
      </w:r>
      <w:r w:rsidR="00A8338F" w:rsidRPr="00AA551E">
        <w:rPr>
          <w:u w:val="single"/>
        </w:rPr>
        <w:t xml:space="preserve">Schedule </w:t>
      </w:r>
      <w:r w:rsidR="0061640D" w:rsidRPr="00AA551E">
        <w:rPr>
          <w:u w:val="single"/>
        </w:rPr>
        <w:t>92</w:t>
      </w:r>
      <w:r w:rsidR="00B13AD2" w:rsidRPr="006F16F0">
        <w:t xml:space="preserve">: </w:t>
      </w:r>
      <w:r w:rsidR="00A8338F" w:rsidRPr="00AA551E">
        <w:t>Avista tariff including the electric surcharge LIRAP rate.</w:t>
      </w:r>
    </w:p>
    <w:p w14:paraId="225C636E" w14:textId="77777777" w:rsidR="00B97FD2" w:rsidRPr="00AA551E" w:rsidRDefault="006F1BDF" w:rsidP="0099149C">
      <w:pPr>
        <w:pStyle w:val="ListParagraph"/>
        <w:numPr>
          <w:ilvl w:val="0"/>
          <w:numId w:val="6"/>
        </w:numPr>
        <w:spacing w:line="360" w:lineRule="auto"/>
        <w:jc w:val="both"/>
      </w:pPr>
      <w:r>
        <w:rPr>
          <w:u w:val="single"/>
        </w:rPr>
        <w:t xml:space="preserve">Tariff </w:t>
      </w:r>
      <w:r w:rsidR="00A8338F" w:rsidRPr="00AA551E">
        <w:rPr>
          <w:u w:val="single"/>
        </w:rPr>
        <w:t xml:space="preserve">Schedule </w:t>
      </w:r>
      <w:r w:rsidR="0061640D" w:rsidRPr="00AA551E">
        <w:rPr>
          <w:u w:val="single"/>
        </w:rPr>
        <w:t>192</w:t>
      </w:r>
      <w:r w:rsidR="00B13AD2" w:rsidRPr="006F16F0">
        <w:t>:</w:t>
      </w:r>
      <w:r w:rsidR="006F16F0" w:rsidRPr="006F16F0">
        <w:t xml:space="preserve"> </w:t>
      </w:r>
      <w:r w:rsidR="00A8338F" w:rsidRPr="00AA551E">
        <w:t>Avista tariff including the natural gas surcharge LIRAP rate.</w:t>
      </w:r>
    </w:p>
    <w:p w14:paraId="225C636F" w14:textId="77777777" w:rsidR="00B97FD2" w:rsidRPr="00AA551E" w:rsidRDefault="00A8338F" w:rsidP="00BD7E31">
      <w:pPr>
        <w:pStyle w:val="Heading1"/>
        <w:jc w:val="both"/>
        <w:rPr>
          <w:rFonts w:ascii="Times New Roman" w:hAnsi="Times New Roman" w:cs="Times New Roman"/>
        </w:rPr>
      </w:pPr>
      <w:bookmarkStart w:id="39" w:name="_Toc469571483"/>
      <w:r w:rsidRPr="00AA551E">
        <w:rPr>
          <w:rFonts w:ascii="Times New Roman" w:hAnsi="Times New Roman" w:cs="Times New Roman"/>
        </w:rPr>
        <w:t>Data Collection</w:t>
      </w:r>
      <w:bookmarkEnd w:id="39"/>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bookmarkStart w:id="40" w:name="_Toc294255861"/>
    </w:p>
    <w:p w14:paraId="225C6370" w14:textId="77777777" w:rsidR="00B97FD2" w:rsidRPr="00AA551E" w:rsidRDefault="00A8338F" w:rsidP="00BD7E31">
      <w:pPr>
        <w:spacing w:line="480" w:lineRule="auto"/>
        <w:contextualSpacing/>
        <w:jc w:val="both"/>
        <w:rPr>
          <w:rFonts w:ascii="Times New Roman" w:hAnsi="Times New Roman" w:cs="Times New Roman"/>
        </w:rPr>
      </w:pPr>
      <w:r w:rsidRPr="00AA551E">
        <w:rPr>
          <w:rFonts w:ascii="Times New Roman" w:hAnsi="Times New Roman" w:cs="Times New Roman"/>
        </w:rPr>
        <w:t>The data collection and measures used by Avista Utilities in the evaluation of LIRAP include:</w:t>
      </w:r>
      <w:bookmarkEnd w:id="40"/>
    </w:p>
    <w:p w14:paraId="225C6371" w14:textId="77777777" w:rsidR="00B97FD2" w:rsidRPr="00AA551E" w:rsidRDefault="00A8338F" w:rsidP="0099149C">
      <w:pPr>
        <w:pStyle w:val="ListParagraph"/>
        <w:numPr>
          <w:ilvl w:val="0"/>
          <w:numId w:val="3"/>
        </w:numPr>
        <w:spacing w:line="360" w:lineRule="auto"/>
        <w:jc w:val="both"/>
      </w:pPr>
      <w:r w:rsidRPr="00AA551E">
        <w:t>LIRAP Database;</w:t>
      </w:r>
    </w:p>
    <w:p w14:paraId="225C6372" w14:textId="77777777" w:rsidR="00B97FD2" w:rsidRPr="00AA551E" w:rsidRDefault="00A8338F" w:rsidP="0099149C">
      <w:pPr>
        <w:pStyle w:val="ListParagraph"/>
        <w:numPr>
          <w:ilvl w:val="0"/>
          <w:numId w:val="3"/>
        </w:numPr>
        <w:spacing w:line="360" w:lineRule="auto"/>
        <w:jc w:val="both"/>
      </w:pPr>
      <w:r w:rsidRPr="00AA551E">
        <w:t>Customer Service System (Avista Utilities’ information management data base);</w:t>
      </w:r>
    </w:p>
    <w:p w14:paraId="225C6373" w14:textId="77777777" w:rsidR="00B97FD2" w:rsidRPr="00AA551E" w:rsidRDefault="00A8338F" w:rsidP="0099149C">
      <w:pPr>
        <w:pStyle w:val="ListParagraph"/>
        <w:numPr>
          <w:ilvl w:val="0"/>
          <w:numId w:val="3"/>
        </w:numPr>
        <w:spacing w:line="360" w:lineRule="auto"/>
        <w:jc w:val="both"/>
        <w:rPr>
          <w:b/>
          <w:u w:val="single"/>
        </w:rPr>
      </w:pPr>
      <w:r w:rsidRPr="00AA551E">
        <w:lastRenderedPageBreak/>
        <w:t>Ongoing Advisory Group review.</w:t>
      </w:r>
    </w:p>
    <w:p w14:paraId="225C6374" w14:textId="77777777" w:rsidR="00B97FD2" w:rsidRPr="00AA551E" w:rsidRDefault="00A8338F" w:rsidP="00BD7E31">
      <w:pPr>
        <w:pStyle w:val="Heading1"/>
        <w:jc w:val="both"/>
        <w:rPr>
          <w:rFonts w:ascii="Times New Roman" w:hAnsi="Times New Roman" w:cs="Times New Roman"/>
        </w:rPr>
      </w:pPr>
      <w:bookmarkStart w:id="41" w:name="_Toc469571484"/>
      <w:r w:rsidRPr="00AA551E">
        <w:rPr>
          <w:rFonts w:ascii="Times New Roman" w:hAnsi="Times New Roman" w:cs="Times New Roman"/>
        </w:rPr>
        <w:t>Participating LIRAP Agencies</w:t>
      </w:r>
      <w:bookmarkEnd w:id="41"/>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r w:rsidRPr="00AA551E">
        <w:rPr>
          <w:rFonts w:ascii="Times New Roman" w:hAnsi="Times New Roman" w:cs="Times New Roman"/>
        </w:rPr>
        <w:tab/>
      </w:r>
    </w:p>
    <w:p w14:paraId="225C6375" w14:textId="77777777" w:rsidR="00B97FD2" w:rsidRPr="00AA551E" w:rsidRDefault="00A8338F" w:rsidP="0099149C">
      <w:pPr>
        <w:pStyle w:val="ListParagraph"/>
        <w:numPr>
          <w:ilvl w:val="0"/>
          <w:numId w:val="4"/>
        </w:numPr>
        <w:spacing w:line="360" w:lineRule="auto"/>
        <w:jc w:val="both"/>
      </w:pPr>
      <w:r w:rsidRPr="00AA551E">
        <w:t xml:space="preserve">Spokane Neighborhood Action </w:t>
      </w:r>
      <w:r w:rsidR="00463366" w:rsidRPr="00AA551E">
        <w:t>Partners</w:t>
      </w:r>
    </w:p>
    <w:p w14:paraId="225C6376" w14:textId="77777777" w:rsidR="00B97FD2" w:rsidRPr="00AA551E" w:rsidRDefault="00A8338F" w:rsidP="0099149C">
      <w:pPr>
        <w:pStyle w:val="ListParagraph"/>
        <w:numPr>
          <w:ilvl w:val="0"/>
          <w:numId w:val="4"/>
        </w:numPr>
        <w:spacing w:line="360" w:lineRule="auto"/>
        <w:jc w:val="both"/>
      </w:pPr>
      <w:r w:rsidRPr="00AA551E">
        <w:t>Opportunities Industrialization Center of Washington</w:t>
      </w:r>
    </w:p>
    <w:p w14:paraId="225C6377" w14:textId="77777777" w:rsidR="00B97FD2" w:rsidRPr="00AA551E" w:rsidRDefault="00A8338F" w:rsidP="0099149C">
      <w:pPr>
        <w:pStyle w:val="ListParagraph"/>
        <w:numPr>
          <w:ilvl w:val="0"/>
          <w:numId w:val="4"/>
        </w:numPr>
        <w:spacing w:line="360" w:lineRule="auto"/>
        <w:jc w:val="both"/>
      </w:pPr>
      <w:r w:rsidRPr="00AA551E">
        <w:t>Community Action Center of Whitman County</w:t>
      </w:r>
    </w:p>
    <w:p w14:paraId="225C6378" w14:textId="77777777" w:rsidR="00B97FD2" w:rsidRPr="00AA551E" w:rsidRDefault="00A8338F" w:rsidP="0099149C">
      <w:pPr>
        <w:pStyle w:val="ListParagraph"/>
        <w:numPr>
          <w:ilvl w:val="0"/>
          <w:numId w:val="4"/>
        </w:numPr>
        <w:spacing w:line="360" w:lineRule="auto"/>
        <w:jc w:val="both"/>
      </w:pPr>
      <w:r w:rsidRPr="00AA551E">
        <w:t>A Community Action Partnership (Asotin County)</w:t>
      </w:r>
    </w:p>
    <w:p w14:paraId="225C6379" w14:textId="77777777" w:rsidR="00B97FD2" w:rsidRPr="00AA551E" w:rsidRDefault="00A8338F" w:rsidP="0099149C">
      <w:pPr>
        <w:pStyle w:val="ListParagraph"/>
        <w:numPr>
          <w:ilvl w:val="0"/>
          <w:numId w:val="4"/>
        </w:numPr>
        <w:spacing w:line="360" w:lineRule="auto"/>
        <w:jc w:val="both"/>
      </w:pPr>
      <w:r w:rsidRPr="00AA551E">
        <w:t>Washington Gorge Action Programs</w:t>
      </w:r>
    </w:p>
    <w:p w14:paraId="225C637A" w14:textId="77777777" w:rsidR="00B97FD2" w:rsidRPr="00AA551E" w:rsidRDefault="00A8338F" w:rsidP="0099149C">
      <w:pPr>
        <w:pStyle w:val="ListParagraph"/>
        <w:numPr>
          <w:ilvl w:val="0"/>
          <w:numId w:val="4"/>
        </w:numPr>
        <w:spacing w:line="360" w:lineRule="auto"/>
        <w:jc w:val="both"/>
      </w:pPr>
      <w:r w:rsidRPr="00AA551E">
        <w:t>Rural Resources Community Action</w:t>
      </w:r>
    </w:p>
    <w:p w14:paraId="225C637B" w14:textId="77777777" w:rsidR="00B97FD2" w:rsidRPr="00AA551E" w:rsidRDefault="00A619D9" w:rsidP="00BD7E31">
      <w:pPr>
        <w:pStyle w:val="Heading1"/>
        <w:jc w:val="both"/>
        <w:rPr>
          <w:rFonts w:ascii="Times New Roman" w:hAnsi="Times New Roman" w:cs="Times New Roman"/>
        </w:rPr>
      </w:pPr>
      <w:bookmarkStart w:id="42" w:name="_Toc469571485"/>
      <w:r w:rsidRPr="00AA551E">
        <w:rPr>
          <w:rFonts w:ascii="Times New Roman" w:hAnsi="Times New Roman" w:cs="Times New Roman"/>
        </w:rPr>
        <w:t>C</w:t>
      </w:r>
      <w:r w:rsidR="00A8338F" w:rsidRPr="00AA551E">
        <w:rPr>
          <w:rFonts w:ascii="Times New Roman" w:hAnsi="Times New Roman" w:cs="Times New Roman"/>
        </w:rPr>
        <w:t>ontacts</w:t>
      </w:r>
      <w:bookmarkEnd w:id="42"/>
      <w:r w:rsidR="00A8338F" w:rsidRPr="00AA551E">
        <w:rPr>
          <w:rFonts w:ascii="Times New Roman" w:hAnsi="Times New Roman" w:cs="Times New Roman"/>
        </w:rPr>
        <w:tab/>
      </w:r>
      <w:r w:rsidR="00A8338F" w:rsidRPr="00AA551E">
        <w:rPr>
          <w:rFonts w:ascii="Times New Roman" w:hAnsi="Times New Roman" w:cs="Times New Roman"/>
        </w:rPr>
        <w:tab/>
      </w:r>
      <w:r w:rsidR="00A8338F" w:rsidRPr="00AA551E">
        <w:rPr>
          <w:rFonts w:ascii="Times New Roman" w:hAnsi="Times New Roman" w:cs="Times New Roman"/>
        </w:rPr>
        <w:tab/>
      </w:r>
      <w:r w:rsidR="00A8338F" w:rsidRPr="00AA551E">
        <w:rPr>
          <w:rFonts w:ascii="Times New Roman" w:hAnsi="Times New Roman" w:cs="Times New Roman"/>
        </w:rPr>
        <w:tab/>
      </w:r>
      <w:r w:rsidR="00A8338F" w:rsidRPr="00AA551E">
        <w:rPr>
          <w:rFonts w:ascii="Times New Roman" w:hAnsi="Times New Roman" w:cs="Times New Roman"/>
        </w:rPr>
        <w:tab/>
      </w:r>
      <w:r w:rsidR="00A8338F" w:rsidRPr="00AA551E">
        <w:rPr>
          <w:rFonts w:ascii="Times New Roman" w:hAnsi="Times New Roman" w:cs="Times New Roman"/>
        </w:rPr>
        <w:tab/>
      </w:r>
      <w:r w:rsidR="00A8338F" w:rsidRPr="00AA551E">
        <w:rPr>
          <w:rFonts w:ascii="Times New Roman" w:hAnsi="Times New Roman" w:cs="Times New Roman"/>
        </w:rPr>
        <w:tab/>
      </w:r>
      <w:r w:rsidR="00A8338F" w:rsidRPr="00AA551E">
        <w:rPr>
          <w:rFonts w:ascii="Times New Roman" w:hAnsi="Times New Roman" w:cs="Times New Roman"/>
        </w:rPr>
        <w:tab/>
      </w:r>
      <w:r w:rsidR="00A8338F" w:rsidRPr="00AA551E">
        <w:rPr>
          <w:rFonts w:ascii="Times New Roman" w:hAnsi="Times New Roman" w:cs="Times New Roman"/>
        </w:rPr>
        <w:tab/>
      </w:r>
      <w:r w:rsidR="00A8338F" w:rsidRPr="00AA551E">
        <w:rPr>
          <w:rFonts w:ascii="Times New Roman" w:hAnsi="Times New Roman" w:cs="Times New Roman"/>
        </w:rPr>
        <w:tab/>
      </w:r>
      <w:r w:rsidR="00A8338F" w:rsidRPr="00AA551E">
        <w:rPr>
          <w:rFonts w:ascii="Times New Roman" w:hAnsi="Times New Roman" w:cs="Times New Roman"/>
        </w:rPr>
        <w:tab/>
      </w:r>
    </w:p>
    <w:p w14:paraId="225C637C" w14:textId="77777777" w:rsidR="00B97FD2" w:rsidRPr="00AA551E" w:rsidRDefault="00A8338F" w:rsidP="00BD7E31">
      <w:pPr>
        <w:jc w:val="both"/>
        <w:rPr>
          <w:rFonts w:ascii="Times New Roman" w:hAnsi="Times New Roman" w:cs="Times New Roman"/>
        </w:rPr>
      </w:pPr>
      <w:r w:rsidRPr="00AA551E">
        <w:rPr>
          <w:rFonts w:ascii="Times New Roman" w:hAnsi="Times New Roman" w:cs="Times New Roman"/>
        </w:rPr>
        <w:t>For further information, please contact:</w:t>
      </w:r>
    </w:p>
    <w:p w14:paraId="225C637D" w14:textId="77777777" w:rsidR="00B97FD2" w:rsidRPr="00AA551E" w:rsidRDefault="00B97FD2" w:rsidP="00BD7E31">
      <w:pPr>
        <w:jc w:val="both"/>
        <w:rPr>
          <w:rFonts w:ascii="Times New Roman" w:hAnsi="Times New Roman" w:cs="Times New Roman"/>
        </w:rPr>
      </w:pPr>
    </w:p>
    <w:p w14:paraId="225C637E" w14:textId="77777777" w:rsidR="00B97FD2" w:rsidRPr="00AA551E" w:rsidRDefault="00A8338F" w:rsidP="0099149C">
      <w:pPr>
        <w:pStyle w:val="ListParagraph"/>
        <w:numPr>
          <w:ilvl w:val="0"/>
          <w:numId w:val="5"/>
        </w:numPr>
        <w:jc w:val="both"/>
      </w:pPr>
      <w:r w:rsidRPr="00AA551E">
        <w:t xml:space="preserve">Ana Matthews </w:t>
      </w:r>
    </w:p>
    <w:p w14:paraId="225C637F" w14:textId="77777777" w:rsidR="00B97FD2" w:rsidRPr="00AA551E" w:rsidRDefault="00A8338F" w:rsidP="00BD7E31">
      <w:pPr>
        <w:pStyle w:val="ListParagraph"/>
        <w:jc w:val="both"/>
      </w:pPr>
      <w:r w:rsidRPr="00AA551E">
        <w:t xml:space="preserve">LIRAP </w:t>
      </w:r>
      <w:r w:rsidR="008A0428" w:rsidRPr="00AA551E">
        <w:t xml:space="preserve">Program </w:t>
      </w:r>
      <w:r w:rsidRPr="00AA551E">
        <w:t>Manager</w:t>
      </w:r>
    </w:p>
    <w:p w14:paraId="225C6380" w14:textId="77777777" w:rsidR="00B97FD2" w:rsidRPr="00AA551E" w:rsidRDefault="00A8338F" w:rsidP="00BD7E31">
      <w:pPr>
        <w:ind w:firstLine="720"/>
        <w:jc w:val="both"/>
        <w:rPr>
          <w:rFonts w:ascii="Times New Roman" w:hAnsi="Times New Roman" w:cs="Times New Roman"/>
        </w:rPr>
      </w:pPr>
      <w:r w:rsidRPr="00AA551E">
        <w:rPr>
          <w:rFonts w:ascii="Times New Roman" w:hAnsi="Times New Roman" w:cs="Times New Roman"/>
        </w:rPr>
        <w:t>509.495.7979</w:t>
      </w:r>
    </w:p>
    <w:p w14:paraId="225C6381" w14:textId="77777777" w:rsidR="00B97FD2" w:rsidRPr="00AA551E" w:rsidRDefault="00A8338F" w:rsidP="00BD7E31">
      <w:pPr>
        <w:pStyle w:val="ListParagraph"/>
        <w:jc w:val="both"/>
      </w:pPr>
      <w:r w:rsidRPr="00AA551E">
        <w:t>Ana.Matthews@avistacorp.com</w:t>
      </w:r>
    </w:p>
    <w:p w14:paraId="225C6382" w14:textId="77777777" w:rsidR="00B97FD2" w:rsidRPr="00AA551E" w:rsidRDefault="00B97FD2" w:rsidP="00BD7E31">
      <w:pPr>
        <w:ind w:firstLine="720"/>
        <w:jc w:val="both"/>
        <w:rPr>
          <w:rFonts w:ascii="Times New Roman" w:hAnsi="Times New Roman" w:cs="Times New Roman"/>
        </w:rPr>
      </w:pPr>
    </w:p>
    <w:p w14:paraId="225C6383" w14:textId="77777777" w:rsidR="00B97FD2" w:rsidRPr="00AA551E" w:rsidRDefault="00A8338F" w:rsidP="0099149C">
      <w:pPr>
        <w:pStyle w:val="ListParagraph"/>
        <w:numPr>
          <w:ilvl w:val="0"/>
          <w:numId w:val="5"/>
        </w:numPr>
        <w:jc w:val="both"/>
      </w:pPr>
      <w:r w:rsidRPr="00AA551E">
        <w:t>Linda Gervais</w:t>
      </w:r>
    </w:p>
    <w:p w14:paraId="225C6384" w14:textId="77777777" w:rsidR="00B97FD2" w:rsidRPr="00AA551E" w:rsidRDefault="00AC0EF4" w:rsidP="00BD7E31">
      <w:pPr>
        <w:pStyle w:val="ListParagraph"/>
        <w:jc w:val="both"/>
      </w:pPr>
      <w:r>
        <w:t xml:space="preserve">Senior </w:t>
      </w:r>
      <w:r w:rsidR="00A8338F" w:rsidRPr="00AA551E">
        <w:t>Manager, Regulatory Policy</w:t>
      </w:r>
    </w:p>
    <w:p w14:paraId="225C6385" w14:textId="77777777" w:rsidR="00B97FD2" w:rsidRPr="00AA551E" w:rsidRDefault="00A8338F" w:rsidP="00BD7E31">
      <w:pPr>
        <w:ind w:firstLine="720"/>
        <w:jc w:val="both"/>
        <w:rPr>
          <w:rFonts w:ascii="Times New Roman" w:hAnsi="Times New Roman" w:cs="Times New Roman"/>
        </w:rPr>
      </w:pPr>
      <w:r w:rsidRPr="00AA551E">
        <w:rPr>
          <w:rFonts w:ascii="Times New Roman" w:hAnsi="Times New Roman" w:cs="Times New Roman"/>
        </w:rPr>
        <w:t>509.495.4975</w:t>
      </w:r>
    </w:p>
    <w:p w14:paraId="225C6386" w14:textId="77777777" w:rsidR="00B97FD2" w:rsidRPr="00AA551E" w:rsidRDefault="00A8338F" w:rsidP="00BD7E31">
      <w:pPr>
        <w:pStyle w:val="ListParagraph"/>
        <w:jc w:val="both"/>
      </w:pPr>
      <w:r w:rsidRPr="00AA551E">
        <w:t>linda.gervais@avistacorp.com</w:t>
      </w:r>
      <w:r w:rsidRPr="00AA551E">
        <w:tab/>
      </w:r>
    </w:p>
    <w:p w14:paraId="225C6387" w14:textId="77777777" w:rsidR="00B97FD2" w:rsidRPr="00AA551E" w:rsidRDefault="00B97FD2" w:rsidP="00BD7E31">
      <w:pPr>
        <w:jc w:val="both"/>
        <w:rPr>
          <w:rFonts w:ascii="Times New Roman" w:hAnsi="Times New Roman" w:cs="Times New Roman"/>
        </w:rPr>
      </w:pPr>
    </w:p>
    <w:p w14:paraId="225C6388" w14:textId="77777777" w:rsidR="00B97FD2" w:rsidRPr="00AA551E" w:rsidRDefault="00FB2DB9" w:rsidP="0099149C">
      <w:pPr>
        <w:pStyle w:val="ListParagraph"/>
        <w:numPr>
          <w:ilvl w:val="0"/>
          <w:numId w:val="5"/>
        </w:numPr>
        <w:jc w:val="both"/>
      </w:pPr>
      <w:r w:rsidRPr="00AA551E">
        <w:t>Ryan Finesilver</w:t>
      </w:r>
    </w:p>
    <w:p w14:paraId="225C6389" w14:textId="77777777" w:rsidR="00B97FD2" w:rsidRPr="00AA551E" w:rsidRDefault="00A8338F" w:rsidP="00BD7E31">
      <w:pPr>
        <w:pStyle w:val="ListParagraph"/>
        <w:jc w:val="both"/>
      </w:pPr>
      <w:r w:rsidRPr="00AA551E">
        <w:t>Regulatory Analyst</w:t>
      </w:r>
    </w:p>
    <w:p w14:paraId="225C638A" w14:textId="77777777" w:rsidR="00B97FD2" w:rsidRPr="00AA551E" w:rsidRDefault="00A8338F" w:rsidP="00BD7E31">
      <w:pPr>
        <w:pStyle w:val="ListParagraph"/>
        <w:jc w:val="both"/>
      </w:pPr>
      <w:r w:rsidRPr="00AA551E">
        <w:t>509.495.</w:t>
      </w:r>
      <w:r w:rsidR="00FB2DB9" w:rsidRPr="00AA551E">
        <w:t>4873</w:t>
      </w:r>
    </w:p>
    <w:p w14:paraId="225C638B" w14:textId="77777777" w:rsidR="003D0502" w:rsidRPr="00AA551E" w:rsidRDefault="00FB2DB9" w:rsidP="006F1BDF">
      <w:pPr>
        <w:pStyle w:val="ListParagraph"/>
        <w:jc w:val="both"/>
      </w:pPr>
      <w:r w:rsidRPr="00AA551E">
        <w:t>ryan.finesilver</w:t>
      </w:r>
      <w:r w:rsidR="00A8338F" w:rsidRPr="00AA551E">
        <w:t>@avistacorp.com</w:t>
      </w:r>
    </w:p>
    <w:sectPr w:rsidR="003D0502" w:rsidRPr="00AA551E" w:rsidSect="003D0502">
      <w:headerReference w:type="default" r:id="rId21"/>
      <w:footerReference w:type="default" r:id="rId22"/>
      <w:headerReference w:type="first" r:id="rId23"/>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C63A2" w14:textId="77777777" w:rsidR="003C465B" w:rsidRDefault="003C465B" w:rsidP="00BA6B62">
      <w:r>
        <w:separator/>
      </w:r>
    </w:p>
  </w:endnote>
  <w:endnote w:type="continuationSeparator" w:id="0">
    <w:p w14:paraId="225C63A3" w14:textId="77777777" w:rsidR="003C465B" w:rsidRDefault="003C465B" w:rsidP="00BA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08830"/>
      <w:docPartObj>
        <w:docPartGallery w:val="Page Numbers (Bottom of Page)"/>
        <w:docPartUnique/>
      </w:docPartObj>
    </w:sdtPr>
    <w:sdtEndPr>
      <w:rPr>
        <w:color w:val="7F7F7F" w:themeColor="background1" w:themeShade="7F"/>
        <w:spacing w:val="60"/>
      </w:rPr>
    </w:sdtEndPr>
    <w:sdtContent>
      <w:p w14:paraId="225C63A5" w14:textId="77777777" w:rsidR="003C465B" w:rsidRDefault="003C465B">
        <w:pPr>
          <w:pStyle w:val="Footer"/>
          <w:pBdr>
            <w:top w:val="single" w:sz="4" w:space="1" w:color="D9D9D9" w:themeColor="background1" w:themeShade="D9"/>
          </w:pBdr>
          <w:jc w:val="right"/>
        </w:pPr>
        <w:r w:rsidRPr="002663F6">
          <w:rPr>
            <w:sz w:val="20"/>
            <w:szCs w:val="20"/>
          </w:rPr>
          <w:fldChar w:fldCharType="begin"/>
        </w:r>
        <w:r w:rsidRPr="002663F6">
          <w:rPr>
            <w:sz w:val="20"/>
            <w:szCs w:val="20"/>
          </w:rPr>
          <w:instrText xml:space="preserve"> PAGE   \* MERGEFORMAT </w:instrText>
        </w:r>
        <w:r w:rsidRPr="002663F6">
          <w:rPr>
            <w:sz w:val="20"/>
            <w:szCs w:val="20"/>
          </w:rPr>
          <w:fldChar w:fldCharType="separate"/>
        </w:r>
        <w:r w:rsidR="00D814D4">
          <w:rPr>
            <w:noProof/>
            <w:sz w:val="20"/>
            <w:szCs w:val="20"/>
          </w:rPr>
          <w:t>2</w:t>
        </w:r>
        <w:r w:rsidRPr="002663F6">
          <w:rPr>
            <w:sz w:val="20"/>
            <w:szCs w:val="20"/>
          </w:rPr>
          <w:fldChar w:fldCharType="end"/>
        </w:r>
        <w:r w:rsidRPr="002663F6">
          <w:rPr>
            <w:sz w:val="20"/>
            <w:szCs w:val="20"/>
          </w:rPr>
          <w:t xml:space="preserve"> | </w:t>
        </w:r>
        <w:r w:rsidRPr="002663F6">
          <w:rPr>
            <w:color w:val="7F7F7F" w:themeColor="background1" w:themeShade="7F"/>
            <w:spacing w:val="60"/>
            <w:sz w:val="20"/>
            <w:szCs w:val="20"/>
          </w:rPr>
          <w:t>Page</w:t>
        </w:r>
      </w:p>
    </w:sdtContent>
  </w:sdt>
  <w:p w14:paraId="225C63A6" w14:textId="77777777" w:rsidR="003C465B" w:rsidRDefault="003C465B"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C63A0" w14:textId="77777777" w:rsidR="003C465B" w:rsidRDefault="003C465B" w:rsidP="00BA6B62">
      <w:r>
        <w:separator/>
      </w:r>
    </w:p>
  </w:footnote>
  <w:footnote w:type="continuationSeparator" w:id="0">
    <w:p w14:paraId="225C63A1" w14:textId="77777777" w:rsidR="003C465B" w:rsidRDefault="003C465B" w:rsidP="00BA6B62">
      <w:r>
        <w:continuationSeparator/>
      </w:r>
    </w:p>
  </w:footnote>
  <w:footnote w:id="1">
    <w:p w14:paraId="225C63AA" w14:textId="77777777" w:rsidR="003C465B" w:rsidRDefault="003C465B">
      <w:pPr>
        <w:pStyle w:val="FootnoteText"/>
      </w:pPr>
      <w:r>
        <w:rPr>
          <w:rStyle w:val="FootnoteReference"/>
        </w:rPr>
        <w:footnoteRef/>
      </w:r>
      <w:r>
        <w:t xml:space="preserve"> Includes funding for both LIRAP and the Rate Discount Pilot Program.</w:t>
      </w:r>
    </w:p>
  </w:footnote>
  <w:footnote w:id="2">
    <w:p w14:paraId="225C63AB" w14:textId="77777777" w:rsidR="003C465B" w:rsidRPr="007C77D4" w:rsidRDefault="003C465B" w:rsidP="003B291E">
      <w:pPr>
        <w:pStyle w:val="FootnoteText"/>
      </w:pPr>
      <w:r w:rsidRPr="007C77D4">
        <w:rPr>
          <w:rStyle w:val="FootnoteReference"/>
        </w:rPr>
        <w:footnoteRef/>
      </w:r>
      <w:r w:rsidRPr="007C77D4">
        <w:t xml:space="preserve"> </w:t>
      </w:r>
      <w:r w:rsidRPr="007C77D4">
        <w:rPr>
          <w:rFonts w:cs="Arial"/>
        </w:rPr>
        <w:t>Table 6 – Information provided by Spokane Neighborhood Action Partners (SNAP) and features their experience in Spokane County.</w:t>
      </w:r>
    </w:p>
  </w:footnote>
  <w:footnote w:id="3">
    <w:p w14:paraId="225C63AC" w14:textId="77777777" w:rsidR="003C465B" w:rsidRDefault="003C465B" w:rsidP="000B7BDA">
      <w:pPr>
        <w:pStyle w:val="FootnoteText"/>
      </w:pPr>
      <w:r>
        <w:rPr>
          <w:rStyle w:val="FootnoteReference"/>
        </w:rPr>
        <w:footnoteRef/>
      </w:r>
      <w:r>
        <w:t xml:space="preserve"> Dockets UE-150204 and UG-150205 Order No. 05 Issued by the Commission on January 6, 2016.</w:t>
      </w:r>
    </w:p>
  </w:footnote>
  <w:footnote w:id="4">
    <w:p w14:paraId="225C63AD" w14:textId="77777777" w:rsidR="003C465B" w:rsidRDefault="003C465B" w:rsidP="00544728">
      <w:pPr>
        <w:pStyle w:val="FootnoteText"/>
      </w:pPr>
      <w:r>
        <w:rPr>
          <w:rStyle w:val="FootnoteReference"/>
        </w:rPr>
        <w:footnoteRef/>
      </w:r>
      <w:r>
        <w:t xml:space="preserve"> </w:t>
      </w:r>
      <w:r w:rsidRPr="00F72DB2">
        <w:t>The actual benefit amount received by each customer may be more or less than $300 depending on actual usage</w:t>
      </w:r>
      <w:r>
        <w:t>.</w:t>
      </w:r>
    </w:p>
  </w:footnote>
  <w:footnote w:id="5">
    <w:p w14:paraId="225C63AE" w14:textId="77777777" w:rsidR="003C465B" w:rsidRDefault="003C465B" w:rsidP="00544728">
      <w:pPr>
        <w:pStyle w:val="FootnoteText"/>
      </w:pPr>
      <w:r>
        <w:rPr>
          <w:rStyle w:val="FootnoteReference"/>
        </w:rPr>
        <w:footnoteRef/>
      </w:r>
      <w:r>
        <w:t xml:space="preserve"> Intake period runs annually from October 1, through September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C63A4" w14:textId="77777777" w:rsidR="003C465B" w:rsidRDefault="003C465B"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C63A7" w14:textId="77777777" w:rsidR="003C465B" w:rsidRDefault="003C465B" w:rsidP="003D0502">
    <w:pPr>
      <w:pStyle w:val="Header"/>
      <w:spacing w:after="480"/>
      <w:ind w:left="-1166" w:right="-1166"/>
    </w:pPr>
    <w:r w:rsidRPr="0071027A">
      <w:rPr>
        <w:noProof/>
      </w:rPr>
      <w:drawing>
        <wp:inline distT="0" distB="0" distL="0" distR="0" wp14:anchorId="225C63A8" wp14:editId="225C63A9">
          <wp:extent cx="7397115" cy="1158881"/>
          <wp:effectExtent l="25400" t="0" r="0" b="0"/>
          <wp:docPr id="19" name="Picture 19"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3BC3"/>
    <w:multiLevelType w:val="hybridMultilevel"/>
    <w:tmpl w:val="B486F5AC"/>
    <w:lvl w:ilvl="0" w:tplc="04090001">
      <w:start w:val="1"/>
      <w:numFmt w:val="bullet"/>
      <w:lvlText w:val=""/>
      <w:lvlJc w:val="left"/>
      <w:pPr>
        <w:tabs>
          <w:tab w:val="num" w:pos="240"/>
        </w:tabs>
        <w:ind w:left="240" w:hanging="816"/>
      </w:pPr>
      <w:rPr>
        <w:rFonts w:ascii="Symbol" w:hAnsi="Symbol" w:hint="default"/>
        <w:b w:val="0"/>
        <w:bCs w:val="0"/>
        <w:i/>
        <w:iCs/>
        <w:sz w:val="18"/>
        <w:szCs w:val="18"/>
      </w:rPr>
    </w:lvl>
    <w:lvl w:ilvl="1" w:tplc="04090001">
      <w:start w:val="1"/>
      <w:numFmt w:val="bullet"/>
      <w:lvlText w:val=""/>
      <w:lvlJc w:val="left"/>
      <w:pPr>
        <w:ind w:left="960" w:hanging="360"/>
      </w:pPr>
      <w:rPr>
        <w:rFonts w:ascii="Symbol" w:hAnsi="Symbol" w:hint="default"/>
      </w:rPr>
    </w:lvl>
    <w:lvl w:ilvl="2" w:tplc="04090001">
      <w:start w:val="1"/>
      <w:numFmt w:val="bullet"/>
      <w:lvlText w:val=""/>
      <w:lvlJc w:val="left"/>
      <w:pPr>
        <w:tabs>
          <w:tab w:val="num" w:pos="1680"/>
        </w:tabs>
        <w:ind w:left="1680" w:hanging="180"/>
      </w:pPr>
      <w:rPr>
        <w:rFonts w:ascii="Symbol" w:hAnsi="Symbol" w:hint="default"/>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 w15:restartNumberingAfterBreak="0">
    <w:nsid w:val="07C4085C"/>
    <w:multiLevelType w:val="hybridMultilevel"/>
    <w:tmpl w:val="9BCC4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06018"/>
    <w:multiLevelType w:val="hybridMultilevel"/>
    <w:tmpl w:val="726034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43ABD"/>
    <w:multiLevelType w:val="hybridMultilevel"/>
    <w:tmpl w:val="6CA465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81AE4"/>
    <w:multiLevelType w:val="hybridMultilevel"/>
    <w:tmpl w:val="8DEE4D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4204C"/>
    <w:multiLevelType w:val="hybridMultilevel"/>
    <w:tmpl w:val="DFC4F3AE"/>
    <w:lvl w:ilvl="0" w:tplc="A81CD388">
      <w:start w:val="1"/>
      <w:numFmt w:val="decimal"/>
      <w:pStyle w:val="FindingsConclusions"/>
      <w:lvlText w:val="%1"/>
      <w:lvlJc w:val="left"/>
      <w:pPr>
        <w:tabs>
          <w:tab w:val="num" w:pos="1080"/>
        </w:tabs>
        <w:ind w:left="1080" w:hanging="1080"/>
      </w:pPr>
      <w:rPr>
        <w:rFonts w:hint="default"/>
        <w:b w:val="0"/>
        <w:i/>
        <w:sz w:val="20"/>
      </w:rPr>
    </w:lvl>
    <w:lvl w:ilvl="1" w:tplc="5B08A2AA">
      <w:start w:val="1"/>
      <w:numFmt w:val="decimal"/>
      <w:lvlText w:val="%2."/>
      <w:lvlJc w:val="left"/>
      <w:pPr>
        <w:tabs>
          <w:tab w:val="num" w:pos="1800"/>
        </w:tabs>
        <w:ind w:left="1800" w:hanging="720"/>
      </w:pPr>
      <w:rPr>
        <w:rFonts w:hint="default"/>
        <w:b/>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FC0C1A50">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3F2C49"/>
    <w:multiLevelType w:val="hybridMultilevel"/>
    <w:tmpl w:val="310CEA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32709A"/>
    <w:multiLevelType w:val="hybridMultilevel"/>
    <w:tmpl w:val="0254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16566"/>
    <w:multiLevelType w:val="hybridMultilevel"/>
    <w:tmpl w:val="6E4CC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A76FCF"/>
    <w:multiLevelType w:val="hybridMultilevel"/>
    <w:tmpl w:val="2A3EFB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60BF5"/>
    <w:multiLevelType w:val="hybridMultilevel"/>
    <w:tmpl w:val="184A3C06"/>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C79BD"/>
    <w:multiLevelType w:val="hybridMultilevel"/>
    <w:tmpl w:val="4C1080C2"/>
    <w:lvl w:ilvl="0" w:tplc="D222FA6E">
      <w:start w:val="1"/>
      <w:numFmt w:val="decimal"/>
      <w:lvlText w:val="%1"/>
      <w:lvlJc w:val="left"/>
      <w:pPr>
        <w:tabs>
          <w:tab w:val="num" w:pos="240"/>
        </w:tabs>
        <w:ind w:left="240" w:hanging="816"/>
      </w:pPr>
      <w:rPr>
        <w:rFonts w:cs="Times New Roman" w:hint="default"/>
        <w:b w:val="0"/>
        <w:bCs w:val="0"/>
        <w:i/>
        <w:iCs/>
        <w:sz w:val="18"/>
        <w:szCs w:val="18"/>
      </w:rPr>
    </w:lvl>
    <w:lvl w:ilvl="1" w:tplc="04090001">
      <w:start w:val="1"/>
      <w:numFmt w:val="bullet"/>
      <w:lvlText w:val=""/>
      <w:lvlJc w:val="left"/>
      <w:pPr>
        <w:ind w:left="960" w:hanging="360"/>
      </w:pPr>
      <w:rPr>
        <w:rFonts w:ascii="Symbol" w:hAnsi="Symbol" w:hint="default"/>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2" w15:restartNumberingAfterBreak="0">
    <w:nsid w:val="55A90265"/>
    <w:multiLevelType w:val="hybridMultilevel"/>
    <w:tmpl w:val="10304870"/>
    <w:lvl w:ilvl="0" w:tplc="521449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428E2"/>
    <w:multiLevelType w:val="hybridMultilevel"/>
    <w:tmpl w:val="3F48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9B70BF"/>
    <w:multiLevelType w:val="hybridMultilevel"/>
    <w:tmpl w:val="4B72E8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941E99"/>
    <w:multiLevelType w:val="hybridMultilevel"/>
    <w:tmpl w:val="31C017F4"/>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3"/>
  </w:num>
  <w:num w:numId="2">
    <w:abstractNumId w:val="4"/>
  </w:num>
  <w:num w:numId="3">
    <w:abstractNumId w:val="3"/>
  </w:num>
  <w:num w:numId="4">
    <w:abstractNumId w:val="2"/>
  </w:num>
  <w:num w:numId="5">
    <w:abstractNumId w:val="9"/>
  </w:num>
  <w:num w:numId="6">
    <w:abstractNumId w:val="1"/>
  </w:num>
  <w:num w:numId="7">
    <w:abstractNumId w:val="10"/>
  </w:num>
  <w:num w:numId="8">
    <w:abstractNumId w:val="0"/>
  </w:num>
  <w:num w:numId="9">
    <w:abstractNumId w:val="7"/>
  </w:num>
  <w:num w:numId="10">
    <w:abstractNumId w:val="14"/>
  </w:num>
  <w:num w:numId="11">
    <w:abstractNumId w:val="12"/>
  </w:num>
  <w:num w:numId="12">
    <w:abstractNumId w:val="6"/>
  </w:num>
  <w:num w:numId="13">
    <w:abstractNumId w:val="11"/>
  </w:num>
  <w:num w:numId="14">
    <w:abstractNumId w:val="15"/>
  </w:num>
  <w:num w:numId="15">
    <w:abstractNumId w:val="5"/>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6012"/>
    <w:rsid w:val="00012C06"/>
    <w:rsid w:val="0003332F"/>
    <w:rsid w:val="000529A2"/>
    <w:rsid w:val="000532DE"/>
    <w:rsid w:val="0006208E"/>
    <w:rsid w:val="000669B6"/>
    <w:rsid w:val="000678BD"/>
    <w:rsid w:val="00072BFF"/>
    <w:rsid w:val="00080A90"/>
    <w:rsid w:val="000B159F"/>
    <w:rsid w:val="000B7BDA"/>
    <w:rsid w:val="000C0CB4"/>
    <w:rsid w:val="000D16A9"/>
    <w:rsid w:val="000E601B"/>
    <w:rsid w:val="000F2EB1"/>
    <w:rsid w:val="001123DB"/>
    <w:rsid w:val="0012187A"/>
    <w:rsid w:val="00137CCB"/>
    <w:rsid w:val="001448F0"/>
    <w:rsid w:val="001963D0"/>
    <w:rsid w:val="00196CCA"/>
    <w:rsid w:val="001A320C"/>
    <w:rsid w:val="001A4794"/>
    <w:rsid w:val="001A710D"/>
    <w:rsid w:val="001B510F"/>
    <w:rsid w:val="001C5833"/>
    <w:rsid w:val="001D13B0"/>
    <w:rsid w:val="001D6640"/>
    <w:rsid w:val="001F222E"/>
    <w:rsid w:val="00200184"/>
    <w:rsid w:val="00203DC9"/>
    <w:rsid w:val="002103B9"/>
    <w:rsid w:val="00213891"/>
    <w:rsid w:val="002226E5"/>
    <w:rsid w:val="00223D84"/>
    <w:rsid w:val="002244C8"/>
    <w:rsid w:val="00224760"/>
    <w:rsid w:val="00234A80"/>
    <w:rsid w:val="00237B15"/>
    <w:rsid w:val="00247DEA"/>
    <w:rsid w:val="00252CF6"/>
    <w:rsid w:val="00264B98"/>
    <w:rsid w:val="002663F6"/>
    <w:rsid w:val="00267A2E"/>
    <w:rsid w:val="00270552"/>
    <w:rsid w:val="00270DD1"/>
    <w:rsid w:val="00275CAD"/>
    <w:rsid w:val="00286A46"/>
    <w:rsid w:val="002A620F"/>
    <w:rsid w:val="002C3025"/>
    <w:rsid w:val="002D114D"/>
    <w:rsid w:val="002D24D7"/>
    <w:rsid w:val="002E7B04"/>
    <w:rsid w:val="002F56EC"/>
    <w:rsid w:val="00300094"/>
    <w:rsid w:val="00306642"/>
    <w:rsid w:val="003117CE"/>
    <w:rsid w:val="00330281"/>
    <w:rsid w:val="003354CB"/>
    <w:rsid w:val="00345AA4"/>
    <w:rsid w:val="003569BE"/>
    <w:rsid w:val="00372867"/>
    <w:rsid w:val="003816D6"/>
    <w:rsid w:val="003A086E"/>
    <w:rsid w:val="003A33C6"/>
    <w:rsid w:val="003A5E30"/>
    <w:rsid w:val="003A6E94"/>
    <w:rsid w:val="003B0E38"/>
    <w:rsid w:val="003B1731"/>
    <w:rsid w:val="003B291E"/>
    <w:rsid w:val="003C2E16"/>
    <w:rsid w:val="003C465B"/>
    <w:rsid w:val="003D0502"/>
    <w:rsid w:val="003D0D74"/>
    <w:rsid w:val="003D2E1D"/>
    <w:rsid w:val="00445BE3"/>
    <w:rsid w:val="00463366"/>
    <w:rsid w:val="00464ED2"/>
    <w:rsid w:val="00466821"/>
    <w:rsid w:val="0046797B"/>
    <w:rsid w:val="00471D19"/>
    <w:rsid w:val="004A4386"/>
    <w:rsid w:val="004B0D02"/>
    <w:rsid w:val="004B112A"/>
    <w:rsid w:val="004C7047"/>
    <w:rsid w:val="004D3B8F"/>
    <w:rsid w:val="004E3337"/>
    <w:rsid w:val="004E791E"/>
    <w:rsid w:val="00505584"/>
    <w:rsid w:val="00523C32"/>
    <w:rsid w:val="00544728"/>
    <w:rsid w:val="00590FA2"/>
    <w:rsid w:val="00595714"/>
    <w:rsid w:val="005B1777"/>
    <w:rsid w:val="005D2766"/>
    <w:rsid w:val="005E6405"/>
    <w:rsid w:val="005F5F06"/>
    <w:rsid w:val="0061391F"/>
    <w:rsid w:val="0061640D"/>
    <w:rsid w:val="00621068"/>
    <w:rsid w:val="006266AC"/>
    <w:rsid w:val="00627FA3"/>
    <w:rsid w:val="006543D8"/>
    <w:rsid w:val="006717CE"/>
    <w:rsid w:val="00690883"/>
    <w:rsid w:val="00695B08"/>
    <w:rsid w:val="006A7257"/>
    <w:rsid w:val="006B1125"/>
    <w:rsid w:val="006B168C"/>
    <w:rsid w:val="006B18FE"/>
    <w:rsid w:val="006B6DA8"/>
    <w:rsid w:val="006D3A69"/>
    <w:rsid w:val="006D4CEB"/>
    <w:rsid w:val="006F125E"/>
    <w:rsid w:val="006F16F0"/>
    <w:rsid w:val="006F1BDF"/>
    <w:rsid w:val="006F38EA"/>
    <w:rsid w:val="006F5F48"/>
    <w:rsid w:val="00716432"/>
    <w:rsid w:val="007169AD"/>
    <w:rsid w:val="0072073F"/>
    <w:rsid w:val="007211B7"/>
    <w:rsid w:val="00736DB1"/>
    <w:rsid w:val="0075329B"/>
    <w:rsid w:val="007540B1"/>
    <w:rsid w:val="00767DB7"/>
    <w:rsid w:val="007710E2"/>
    <w:rsid w:val="007A0206"/>
    <w:rsid w:val="007A5C02"/>
    <w:rsid w:val="007A6B3C"/>
    <w:rsid w:val="007C0578"/>
    <w:rsid w:val="007C0B7C"/>
    <w:rsid w:val="007C77D4"/>
    <w:rsid w:val="007D267E"/>
    <w:rsid w:val="007D6CF0"/>
    <w:rsid w:val="007E305A"/>
    <w:rsid w:val="007E6FE3"/>
    <w:rsid w:val="00823939"/>
    <w:rsid w:val="00832472"/>
    <w:rsid w:val="008443D2"/>
    <w:rsid w:val="008575CC"/>
    <w:rsid w:val="00860AE8"/>
    <w:rsid w:val="0086512E"/>
    <w:rsid w:val="00872CD7"/>
    <w:rsid w:val="00874FFF"/>
    <w:rsid w:val="00890F23"/>
    <w:rsid w:val="00891A98"/>
    <w:rsid w:val="00892E22"/>
    <w:rsid w:val="008A0428"/>
    <w:rsid w:val="008D3D69"/>
    <w:rsid w:val="008F2E6F"/>
    <w:rsid w:val="008F5B73"/>
    <w:rsid w:val="00906474"/>
    <w:rsid w:val="00911BCE"/>
    <w:rsid w:val="00912978"/>
    <w:rsid w:val="009143DE"/>
    <w:rsid w:val="009165B2"/>
    <w:rsid w:val="009217DD"/>
    <w:rsid w:val="00932355"/>
    <w:rsid w:val="00940ADA"/>
    <w:rsid w:val="00943064"/>
    <w:rsid w:val="00944670"/>
    <w:rsid w:val="00950BD4"/>
    <w:rsid w:val="00970F2D"/>
    <w:rsid w:val="0098550F"/>
    <w:rsid w:val="0099149C"/>
    <w:rsid w:val="009B0F61"/>
    <w:rsid w:val="009D6A88"/>
    <w:rsid w:val="009E228B"/>
    <w:rsid w:val="009E6458"/>
    <w:rsid w:val="009F08DA"/>
    <w:rsid w:val="009F48A0"/>
    <w:rsid w:val="00A03AC1"/>
    <w:rsid w:val="00A068A1"/>
    <w:rsid w:val="00A41E24"/>
    <w:rsid w:val="00A52C38"/>
    <w:rsid w:val="00A56CBC"/>
    <w:rsid w:val="00A619D9"/>
    <w:rsid w:val="00A61D60"/>
    <w:rsid w:val="00A74EAB"/>
    <w:rsid w:val="00A82CFB"/>
    <w:rsid w:val="00A8338F"/>
    <w:rsid w:val="00A85272"/>
    <w:rsid w:val="00AA551E"/>
    <w:rsid w:val="00AB73BC"/>
    <w:rsid w:val="00AC0EF4"/>
    <w:rsid w:val="00AC3B39"/>
    <w:rsid w:val="00AD57C7"/>
    <w:rsid w:val="00AD65CE"/>
    <w:rsid w:val="00AF1D10"/>
    <w:rsid w:val="00B01F7E"/>
    <w:rsid w:val="00B049AA"/>
    <w:rsid w:val="00B05A36"/>
    <w:rsid w:val="00B13AD2"/>
    <w:rsid w:val="00B15CF2"/>
    <w:rsid w:val="00B16A05"/>
    <w:rsid w:val="00B17034"/>
    <w:rsid w:val="00B3771B"/>
    <w:rsid w:val="00B5366B"/>
    <w:rsid w:val="00B636C6"/>
    <w:rsid w:val="00B70BAD"/>
    <w:rsid w:val="00B75C96"/>
    <w:rsid w:val="00B8152C"/>
    <w:rsid w:val="00B90611"/>
    <w:rsid w:val="00B97FD2"/>
    <w:rsid w:val="00BA6B62"/>
    <w:rsid w:val="00BD7E31"/>
    <w:rsid w:val="00BF3CBD"/>
    <w:rsid w:val="00BF62B8"/>
    <w:rsid w:val="00C00825"/>
    <w:rsid w:val="00C04430"/>
    <w:rsid w:val="00C10E4A"/>
    <w:rsid w:val="00C17DDF"/>
    <w:rsid w:val="00C364E4"/>
    <w:rsid w:val="00C36ECC"/>
    <w:rsid w:val="00C51CDC"/>
    <w:rsid w:val="00C566B8"/>
    <w:rsid w:val="00C67BC0"/>
    <w:rsid w:val="00C865EA"/>
    <w:rsid w:val="00C95801"/>
    <w:rsid w:val="00CB429C"/>
    <w:rsid w:val="00CF0CE8"/>
    <w:rsid w:val="00D0348F"/>
    <w:rsid w:val="00D078E2"/>
    <w:rsid w:val="00D124A2"/>
    <w:rsid w:val="00D165FE"/>
    <w:rsid w:val="00D229C0"/>
    <w:rsid w:val="00D253B8"/>
    <w:rsid w:val="00D30D0B"/>
    <w:rsid w:val="00D3252F"/>
    <w:rsid w:val="00D35FE7"/>
    <w:rsid w:val="00D4431A"/>
    <w:rsid w:val="00D71DDE"/>
    <w:rsid w:val="00D72D2A"/>
    <w:rsid w:val="00D77E4B"/>
    <w:rsid w:val="00D814D4"/>
    <w:rsid w:val="00D91712"/>
    <w:rsid w:val="00DA4A6C"/>
    <w:rsid w:val="00DB109F"/>
    <w:rsid w:val="00DB52F7"/>
    <w:rsid w:val="00DC3BB3"/>
    <w:rsid w:val="00DD4AC0"/>
    <w:rsid w:val="00DE3223"/>
    <w:rsid w:val="00E142B6"/>
    <w:rsid w:val="00E16C33"/>
    <w:rsid w:val="00E217EB"/>
    <w:rsid w:val="00E24807"/>
    <w:rsid w:val="00E35587"/>
    <w:rsid w:val="00E41961"/>
    <w:rsid w:val="00E449C7"/>
    <w:rsid w:val="00E60A8C"/>
    <w:rsid w:val="00E62521"/>
    <w:rsid w:val="00E63892"/>
    <w:rsid w:val="00E86BFC"/>
    <w:rsid w:val="00E91A70"/>
    <w:rsid w:val="00E96A28"/>
    <w:rsid w:val="00EA4101"/>
    <w:rsid w:val="00EC0006"/>
    <w:rsid w:val="00ED0558"/>
    <w:rsid w:val="00ED353A"/>
    <w:rsid w:val="00ED5E73"/>
    <w:rsid w:val="00ED7982"/>
    <w:rsid w:val="00EE105F"/>
    <w:rsid w:val="00EE1371"/>
    <w:rsid w:val="00EF01F2"/>
    <w:rsid w:val="00EF76F2"/>
    <w:rsid w:val="00F13036"/>
    <w:rsid w:val="00F35FB3"/>
    <w:rsid w:val="00F3744C"/>
    <w:rsid w:val="00F37718"/>
    <w:rsid w:val="00F43166"/>
    <w:rsid w:val="00F46D3B"/>
    <w:rsid w:val="00F518B1"/>
    <w:rsid w:val="00F53041"/>
    <w:rsid w:val="00F53867"/>
    <w:rsid w:val="00F57FDA"/>
    <w:rsid w:val="00F72DB2"/>
    <w:rsid w:val="00F744A8"/>
    <w:rsid w:val="00F821D2"/>
    <w:rsid w:val="00F95E67"/>
    <w:rsid w:val="00F9683C"/>
    <w:rsid w:val="00FB2DB9"/>
    <w:rsid w:val="00FB75DE"/>
    <w:rsid w:val="00FC499B"/>
    <w:rsid w:val="00FC4EEE"/>
    <w:rsid w:val="00FC5DAE"/>
    <w:rsid w:val="00FD68B2"/>
    <w:rsid w:val="00FD6E32"/>
    <w:rsid w:val="00FF39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25C61C3"/>
  <w15:docId w15:val="{C052C312-5178-4631-9DD7-35540EFE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qFormat/>
    <w:rsid w:val="00BD7E31"/>
    <w:pPr>
      <w:keepNext/>
      <w:keepLines/>
      <w:spacing w:before="480" w:after="240"/>
      <w:outlineLvl w:val="0"/>
    </w:pPr>
    <w:rPr>
      <w:rFonts w:eastAsiaTheme="majorEastAsia" w:cs="Arial"/>
      <w:b/>
      <w:bCs/>
      <w:color w:val="1F497D" w:themeColor="text2"/>
      <w:sz w:val="36"/>
      <w:szCs w:val="36"/>
    </w:rPr>
  </w:style>
  <w:style w:type="paragraph" w:styleId="Heading2">
    <w:name w:val="heading 2"/>
    <w:basedOn w:val="Normal"/>
    <w:next w:val="Normal"/>
    <w:link w:val="Heading2Char"/>
    <w:unhideWhenUsed/>
    <w:qFormat/>
    <w:rsid w:val="00BD7E31"/>
    <w:pPr>
      <w:keepNext/>
      <w:keepLines/>
      <w:spacing w:before="200" w:after="240"/>
      <w:outlineLvl w:val="1"/>
    </w:pPr>
    <w:rPr>
      <w:rFonts w:eastAsiaTheme="majorEastAsia" w:cs="Arial"/>
      <w:b/>
      <w:bCs/>
      <w:snapToGrid w:val="0"/>
      <w:color w:val="1869A6"/>
      <w:sz w:val="28"/>
      <w:szCs w:val="26"/>
    </w:rPr>
  </w:style>
  <w:style w:type="paragraph" w:styleId="Heading3">
    <w:name w:val="heading 3"/>
    <w:basedOn w:val="BodyText2"/>
    <w:next w:val="Normal"/>
    <w:link w:val="Heading3Char"/>
    <w:unhideWhenUsed/>
    <w:qFormat/>
    <w:rsid w:val="003B291E"/>
    <w:pPr>
      <w:spacing w:line="480" w:lineRule="auto"/>
      <w:jc w:val="both"/>
      <w:outlineLvl w:val="2"/>
    </w:pPr>
    <w:rPr>
      <w:rFonts w:ascii="Times New Roman" w:hAnsi="Times New Roman"/>
      <w:color w:val="1F497D" w:themeColor="text2"/>
      <w:szCs w:val="24"/>
      <w:u w:val="single"/>
    </w:rPr>
  </w:style>
  <w:style w:type="paragraph" w:styleId="Heading4">
    <w:name w:val="heading 4"/>
    <w:basedOn w:val="Normal"/>
    <w:next w:val="Normal"/>
    <w:link w:val="Heading4Char"/>
    <w:qFormat/>
    <w:rsid w:val="00B97FD2"/>
    <w:pPr>
      <w:keepNext/>
      <w:outlineLvl w:val="3"/>
    </w:pPr>
    <w:rPr>
      <w:rFonts w:ascii="Garamond" w:eastAsia="Times New Roman" w:hAnsi="Garamond" w:cs="Times New Roman"/>
      <w:sz w:val="26"/>
      <w:szCs w:val="20"/>
    </w:rPr>
  </w:style>
  <w:style w:type="paragraph" w:styleId="Heading5">
    <w:name w:val="heading 5"/>
    <w:basedOn w:val="Normal"/>
    <w:next w:val="Normal"/>
    <w:link w:val="Heading5Char"/>
    <w:qFormat/>
    <w:rsid w:val="00B97FD2"/>
    <w:pPr>
      <w:keepNext/>
      <w:outlineLvl w:val="4"/>
    </w:pPr>
    <w:rPr>
      <w:rFonts w:eastAsia="Times New Roman" w:cs="Times New Roman"/>
      <w:b/>
      <w:i/>
      <w:snapToGrid w:val="0"/>
      <w:color w:val="000000"/>
      <w:sz w:val="20"/>
      <w:szCs w:val="20"/>
    </w:rPr>
  </w:style>
  <w:style w:type="paragraph" w:styleId="Heading6">
    <w:name w:val="heading 6"/>
    <w:basedOn w:val="Normal"/>
    <w:next w:val="Normal"/>
    <w:link w:val="Heading6Char"/>
    <w:qFormat/>
    <w:rsid w:val="00B97FD2"/>
    <w:pPr>
      <w:keepNext/>
      <w:outlineLvl w:val="5"/>
    </w:pPr>
    <w:rPr>
      <w:rFonts w:ascii="Times New Roman" w:eastAsia="Times New Roman" w:hAnsi="Times New Roman" w:cs="Times New Roman"/>
      <w:b/>
      <w:szCs w:val="20"/>
      <w:u w:val="single"/>
    </w:rPr>
  </w:style>
  <w:style w:type="paragraph" w:styleId="Heading7">
    <w:name w:val="heading 7"/>
    <w:basedOn w:val="Normal"/>
    <w:next w:val="Normal"/>
    <w:link w:val="Heading7Char"/>
    <w:qFormat/>
    <w:rsid w:val="00B97FD2"/>
    <w:pPr>
      <w:keepNext/>
      <w:outlineLvl w:val="6"/>
    </w:pPr>
    <w:rPr>
      <w:rFonts w:eastAsia="Times New Roman" w:cs="Times New Roman"/>
      <w:b/>
      <w:dstrike/>
      <w:snapToGrid w:val="0"/>
      <w:color w:val="000000"/>
      <w:szCs w:val="20"/>
      <w14:shadow w14:blurRad="50800" w14:dist="38100" w14:dir="2700000" w14:sx="100000" w14:sy="100000" w14:kx="0" w14:ky="0" w14:algn="tl">
        <w14:srgbClr w14:val="000000">
          <w14:alpha w14:val="60000"/>
        </w14:srgbClr>
      </w14:shadow>
    </w:rPr>
  </w:style>
  <w:style w:type="paragraph" w:styleId="Heading8">
    <w:name w:val="heading 8"/>
    <w:basedOn w:val="Normal"/>
    <w:next w:val="Normal"/>
    <w:link w:val="Heading8Char"/>
    <w:qFormat/>
    <w:rsid w:val="00B97FD2"/>
    <w:pPr>
      <w:keepNext/>
      <w:outlineLvl w:val="7"/>
    </w:pPr>
    <w:rPr>
      <w:rFonts w:eastAsia="Times New Roman" w:cs="Times New Roman"/>
      <w:szCs w:val="20"/>
      <w:u w:val="single"/>
    </w:rPr>
  </w:style>
  <w:style w:type="paragraph" w:styleId="Heading9">
    <w:name w:val="heading 9"/>
    <w:basedOn w:val="Normal"/>
    <w:next w:val="Normal"/>
    <w:link w:val="Heading9Char"/>
    <w:qFormat/>
    <w:rsid w:val="00B97FD2"/>
    <w:pPr>
      <w:keepNext/>
      <w:jc w:val="right"/>
      <w:outlineLvl w:val="8"/>
    </w:pPr>
    <w:rPr>
      <w:rFonts w:eastAsia="Times New Roman" w:cs="Times New Roman"/>
      <w:b/>
      <w:i/>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7E31"/>
    <w:rPr>
      <w:rFonts w:ascii="Arial" w:eastAsiaTheme="majorEastAsia" w:hAnsi="Arial" w:cs="Arial"/>
      <w:b/>
      <w:bCs/>
      <w:color w:val="1F497D" w:themeColor="text2"/>
      <w:sz w:val="36"/>
      <w:szCs w:val="36"/>
    </w:rPr>
  </w:style>
  <w:style w:type="character" w:customStyle="1" w:styleId="Heading2Char">
    <w:name w:val="Heading 2 Char"/>
    <w:basedOn w:val="DefaultParagraphFont"/>
    <w:link w:val="Heading2"/>
    <w:rsid w:val="00BD7E31"/>
    <w:rPr>
      <w:rFonts w:ascii="Arial" w:eastAsiaTheme="majorEastAsia" w:hAnsi="Arial" w:cs="Arial"/>
      <w:b/>
      <w:bCs/>
      <w:snapToGrid w:val="0"/>
      <w:color w:val="1869A6"/>
      <w:sz w:val="28"/>
      <w:szCs w:val="26"/>
    </w:rPr>
  </w:style>
  <w:style w:type="character" w:customStyle="1" w:styleId="Heading3Char">
    <w:name w:val="Heading 3 Char"/>
    <w:basedOn w:val="DefaultParagraphFont"/>
    <w:link w:val="Heading3"/>
    <w:rsid w:val="003B291E"/>
    <w:rPr>
      <w:rFonts w:ascii="Times New Roman" w:eastAsia="Times New Roman" w:hAnsi="Times New Roman" w:cs="Times New Roman"/>
      <w:color w:val="1F497D" w:themeColor="text2"/>
      <w:sz w:val="24"/>
      <w:szCs w:val="24"/>
      <w:u w:val="single"/>
    </w:rPr>
  </w:style>
  <w:style w:type="character" w:customStyle="1" w:styleId="Heading4Char">
    <w:name w:val="Heading 4 Char"/>
    <w:basedOn w:val="DefaultParagraphFont"/>
    <w:link w:val="Heading4"/>
    <w:rsid w:val="00B97FD2"/>
    <w:rPr>
      <w:rFonts w:ascii="Garamond" w:eastAsia="Times New Roman" w:hAnsi="Garamond" w:cs="Times New Roman"/>
      <w:sz w:val="26"/>
    </w:rPr>
  </w:style>
  <w:style w:type="character" w:customStyle="1" w:styleId="Heading5Char">
    <w:name w:val="Heading 5 Char"/>
    <w:basedOn w:val="DefaultParagraphFont"/>
    <w:link w:val="Heading5"/>
    <w:rsid w:val="00B97FD2"/>
    <w:rPr>
      <w:rFonts w:ascii="Arial" w:eastAsia="Times New Roman" w:hAnsi="Arial" w:cs="Times New Roman"/>
      <w:b/>
      <w:i/>
      <w:snapToGrid w:val="0"/>
      <w:color w:val="000000"/>
    </w:rPr>
  </w:style>
  <w:style w:type="character" w:customStyle="1" w:styleId="Heading6Char">
    <w:name w:val="Heading 6 Char"/>
    <w:basedOn w:val="DefaultParagraphFont"/>
    <w:link w:val="Heading6"/>
    <w:rsid w:val="00B97FD2"/>
    <w:rPr>
      <w:rFonts w:ascii="Times New Roman" w:eastAsia="Times New Roman" w:hAnsi="Times New Roman" w:cs="Times New Roman"/>
      <w:b/>
      <w:sz w:val="24"/>
      <w:u w:val="single"/>
    </w:rPr>
  </w:style>
  <w:style w:type="character" w:customStyle="1" w:styleId="Heading7Char">
    <w:name w:val="Heading 7 Char"/>
    <w:basedOn w:val="DefaultParagraphFont"/>
    <w:link w:val="Heading7"/>
    <w:rsid w:val="00B97FD2"/>
    <w:rPr>
      <w:rFonts w:ascii="Arial" w:eastAsia="Times New Roman" w:hAnsi="Arial" w:cs="Times New Roman"/>
      <w:b/>
      <w:dstrike/>
      <w:snapToGrid w:val="0"/>
      <w:color w:val="000000"/>
      <w:sz w:val="24"/>
      <w14:shadow w14:blurRad="50800" w14:dist="38100" w14:dir="2700000" w14:sx="100000" w14:sy="100000" w14:kx="0" w14:ky="0" w14:algn="tl">
        <w14:srgbClr w14:val="000000">
          <w14:alpha w14:val="60000"/>
        </w14:srgbClr>
      </w14:shadow>
    </w:rPr>
  </w:style>
  <w:style w:type="character" w:customStyle="1" w:styleId="Heading8Char">
    <w:name w:val="Heading 8 Char"/>
    <w:basedOn w:val="DefaultParagraphFont"/>
    <w:link w:val="Heading8"/>
    <w:rsid w:val="00B97FD2"/>
    <w:rPr>
      <w:rFonts w:ascii="Arial" w:eastAsia="Times New Roman" w:hAnsi="Arial" w:cs="Times New Roman"/>
      <w:sz w:val="24"/>
      <w:u w:val="single"/>
    </w:rPr>
  </w:style>
  <w:style w:type="character" w:customStyle="1" w:styleId="Heading9Char">
    <w:name w:val="Heading 9 Char"/>
    <w:basedOn w:val="DefaultParagraphFont"/>
    <w:link w:val="Heading9"/>
    <w:rsid w:val="00B97FD2"/>
    <w:rPr>
      <w:rFonts w:ascii="Arial" w:eastAsia="Times New Roman" w:hAnsi="Arial" w:cs="Times New Roman"/>
      <w:b/>
      <w:i/>
      <w:snapToGrid w:val="0"/>
      <w:color w:val="000000"/>
    </w:rPr>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paragraph" w:styleId="BalloonText">
    <w:name w:val="Balloon Text"/>
    <w:basedOn w:val="Normal"/>
    <w:link w:val="BalloonTextChar"/>
    <w:semiHidden/>
    <w:unhideWhenUsed/>
    <w:rsid w:val="00B97FD2"/>
    <w:rPr>
      <w:rFonts w:ascii="Tahoma" w:hAnsi="Tahoma" w:cs="Tahoma"/>
      <w:sz w:val="16"/>
      <w:szCs w:val="16"/>
    </w:rPr>
  </w:style>
  <w:style w:type="character" w:customStyle="1" w:styleId="BalloonTextChar">
    <w:name w:val="Balloon Text Char"/>
    <w:basedOn w:val="DefaultParagraphFont"/>
    <w:link w:val="BalloonText"/>
    <w:semiHidden/>
    <w:rsid w:val="00B97FD2"/>
    <w:rPr>
      <w:rFonts w:ascii="Tahoma" w:hAnsi="Tahoma" w:cs="Tahoma"/>
      <w:sz w:val="16"/>
      <w:szCs w:val="16"/>
    </w:rPr>
  </w:style>
  <w:style w:type="character" w:styleId="Hyperlink">
    <w:name w:val="Hyperlink"/>
    <w:basedOn w:val="DefaultParagraphFont"/>
    <w:uiPriority w:val="99"/>
    <w:rsid w:val="00B97FD2"/>
    <w:rPr>
      <w:color w:val="0000FF"/>
      <w:u w:val="single"/>
    </w:rPr>
  </w:style>
  <w:style w:type="character" w:styleId="PageNumber">
    <w:name w:val="page number"/>
    <w:basedOn w:val="DefaultParagraphFont"/>
    <w:rsid w:val="00B97FD2"/>
  </w:style>
  <w:style w:type="paragraph" w:styleId="BodyText">
    <w:name w:val="Body Text"/>
    <w:basedOn w:val="Normal"/>
    <w:link w:val="BodyTextChar"/>
    <w:rsid w:val="00B97FD2"/>
    <w:rPr>
      <w:rFonts w:ascii="Garamond" w:eastAsia="Times New Roman" w:hAnsi="Garamond" w:cs="Times New Roman"/>
      <w:szCs w:val="20"/>
    </w:rPr>
  </w:style>
  <w:style w:type="character" w:customStyle="1" w:styleId="BodyTextChar">
    <w:name w:val="Body Text Char"/>
    <w:basedOn w:val="DefaultParagraphFont"/>
    <w:link w:val="BodyText"/>
    <w:rsid w:val="00B97FD2"/>
    <w:rPr>
      <w:rFonts w:ascii="Garamond" w:eastAsia="Times New Roman" w:hAnsi="Garamond" w:cs="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1"/>
    <w:basedOn w:val="Normal"/>
    <w:link w:val="FootnoteTextChar"/>
    <w:uiPriority w:val="99"/>
    <w:qFormat/>
    <w:rsid w:val="00B97FD2"/>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B97FD2"/>
    <w:rPr>
      <w:rFonts w:ascii="Times New Roman" w:eastAsia="Times New Roman" w:hAnsi="Times New Roman" w:cs="Times New Roman"/>
    </w:rPr>
  </w:style>
  <w:style w:type="character" w:styleId="FootnoteReference">
    <w:name w:val="footnote reference"/>
    <w:aliases w:val="Style 12,(NECG) Footnote Reference,Style 13,Appel note de bas de p,Style 124,fr,o,Style 3,FR,Style 17,Footnote Reference/,Style 6,callout,Style 9,Style 20,Footnote 1r,Style 15,o1,fr1,o2,fr2,o3,fr3,Style 18,Style 7,Style 8,Style 19"/>
    <w:basedOn w:val="DefaultParagraphFont"/>
    <w:uiPriority w:val="99"/>
    <w:qFormat/>
    <w:rsid w:val="00B97FD2"/>
    <w:rPr>
      <w:vertAlign w:val="superscript"/>
    </w:rPr>
  </w:style>
  <w:style w:type="paragraph" w:styleId="BodyTextIndent">
    <w:name w:val="Body Text Indent"/>
    <w:basedOn w:val="Normal"/>
    <w:link w:val="BodyTextIndentChar"/>
    <w:rsid w:val="00B97FD2"/>
    <w:pPr>
      <w:ind w:left="360" w:hanging="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B97FD2"/>
    <w:rPr>
      <w:rFonts w:ascii="Times New Roman" w:eastAsia="Times New Roman" w:hAnsi="Times New Roman" w:cs="Times New Roman"/>
      <w:sz w:val="24"/>
    </w:rPr>
  </w:style>
  <w:style w:type="paragraph" w:styleId="CommentText">
    <w:name w:val="annotation text"/>
    <w:basedOn w:val="Normal"/>
    <w:link w:val="CommentTextChar"/>
    <w:semiHidden/>
    <w:rsid w:val="00B97FD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B97FD2"/>
    <w:rPr>
      <w:rFonts w:ascii="Times New Roman" w:eastAsia="Times New Roman" w:hAnsi="Times New Roman" w:cs="Times New Roman"/>
    </w:rPr>
  </w:style>
  <w:style w:type="paragraph" w:styleId="BodyText2">
    <w:name w:val="Body Text 2"/>
    <w:basedOn w:val="Normal"/>
    <w:link w:val="BodyText2Char"/>
    <w:uiPriority w:val="99"/>
    <w:rsid w:val="00B97FD2"/>
    <w:pPr>
      <w:tabs>
        <w:tab w:val="left" w:pos="720"/>
      </w:tabs>
    </w:pPr>
    <w:rPr>
      <w:rFonts w:eastAsia="Times New Roman" w:cs="Times New Roman"/>
      <w:color w:val="FF0000"/>
      <w:szCs w:val="20"/>
    </w:rPr>
  </w:style>
  <w:style w:type="character" w:customStyle="1" w:styleId="BodyText2Char">
    <w:name w:val="Body Text 2 Char"/>
    <w:basedOn w:val="DefaultParagraphFont"/>
    <w:link w:val="BodyText2"/>
    <w:uiPriority w:val="99"/>
    <w:rsid w:val="00B97FD2"/>
    <w:rPr>
      <w:rFonts w:ascii="Arial" w:eastAsia="Times New Roman" w:hAnsi="Arial" w:cs="Times New Roman"/>
      <w:color w:val="FF0000"/>
      <w:sz w:val="24"/>
    </w:rPr>
  </w:style>
  <w:style w:type="paragraph" w:styleId="BodyText3">
    <w:name w:val="Body Text 3"/>
    <w:basedOn w:val="Normal"/>
    <w:link w:val="BodyText3Char"/>
    <w:rsid w:val="00B97FD2"/>
    <w:rPr>
      <w:rFonts w:ascii="Times New Roman" w:eastAsia="Times New Roman" w:hAnsi="Times New Roman" w:cs="Times New Roman"/>
      <w:color w:val="FF0000"/>
      <w:sz w:val="20"/>
      <w:szCs w:val="20"/>
    </w:rPr>
  </w:style>
  <w:style w:type="character" w:customStyle="1" w:styleId="BodyText3Char">
    <w:name w:val="Body Text 3 Char"/>
    <w:basedOn w:val="DefaultParagraphFont"/>
    <w:link w:val="BodyText3"/>
    <w:rsid w:val="00B97FD2"/>
    <w:rPr>
      <w:rFonts w:ascii="Times New Roman" w:eastAsia="Times New Roman" w:hAnsi="Times New Roman" w:cs="Times New Roman"/>
      <w:color w:val="FF0000"/>
    </w:rPr>
  </w:style>
  <w:style w:type="character" w:styleId="FollowedHyperlink">
    <w:name w:val="FollowedHyperlink"/>
    <w:basedOn w:val="DefaultParagraphFont"/>
    <w:rsid w:val="00B97FD2"/>
    <w:rPr>
      <w:color w:val="800080"/>
      <w:u w:val="single"/>
    </w:rPr>
  </w:style>
  <w:style w:type="paragraph" w:customStyle="1" w:styleId="xl24">
    <w:name w:val="xl24"/>
    <w:basedOn w:val="Normal"/>
    <w:rsid w:val="00B97FD2"/>
    <w:pPr>
      <w:shd w:val="clear" w:color="auto" w:fill="C0C0C0"/>
      <w:spacing w:before="100" w:beforeAutospacing="1" w:after="100" w:afterAutospacing="1"/>
      <w:jc w:val="center"/>
    </w:pPr>
    <w:rPr>
      <w:rFonts w:eastAsia="Arial Unicode MS" w:cs="Arial"/>
      <w:sz w:val="16"/>
      <w:szCs w:val="16"/>
    </w:rPr>
  </w:style>
  <w:style w:type="paragraph" w:customStyle="1" w:styleId="xl25">
    <w:name w:val="xl25"/>
    <w:basedOn w:val="Normal"/>
    <w:rsid w:val="00B97FD2"/>
    <w:pPr>
      <w:pBdr>
        <w:right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26">
    <w:name w:val="xl26"/>
    <w:basedOn w:val="Normal"/>
    <w:rsid w:val="00B97FD2"/>
    <w:pPr>
      <w:pBdr>
        <w:left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27">
    <w:name w:val="xl27"/>
    <w:basedOn w:val="Normal"/>
    <w:rsid w:val="00B97FD2"/>
    <w:pPr>
      <w:pBdr>
        <w:top w:val="single" w:sz="8" w:space="0" w:color="auto"/>
        <w:left w:val="single" w:sz="8" w:space="0" w:color="auto"/>
      </w:pBdr>
      <w:spacing w:before="100" w:beforeAutospacing="1" w:after="100" w:afterAutospacing="1"/>
    </w:pPr>
    <w:rPr>
      <w:rFonts w:eastAsia="Arial Unicode MS" w:cs="Arial"/>
      <w:sz w:val="16"/>
      <w:szCs w:val="16"/>
    </w:rPr>
  </w:style>
  <w:style w:type="paragraph" w:customStyle="1" w:styleId="xl28">
    <w:name w:val="xl28"/>
    <w:basedOn w:val="Normal"/>
    <w:rsid w:val="00B97FD2"/>
    <w:pPr>
      <w:pBdr>
        <w:top w:val="single" w:sz="8" w:space="0" w:color="auto"/>
      </w:pBdr>
      <w:spacing w:before="100" w:beforeAutospacing="1" w:after="100" w:afterAutospacing="1"/>
    </w:pPr>
    <w:rPr>
      <w:rFonts w:eastAsia="Arial Unicode MS" w:cs="Arial"/>
      <w:sz w:val="16"/>
      <w:szCs w:val="16"/>
    </w:rPr>
  </w:style>
  <w:style w:type="paragraph" w:customStyle="1" w:styleId="xl29">
    <w:name w:val="xl29"/>
    <w:basedOn w:val="Normal"/>
    <w:rsid w:val="00B97FD2"/>
    <w:pPr>
      <w:pBdr>
        <w:top w:val="single" w:sz="8" w:space="0" w:color="auto"/>
        <w:right w:val="single" w:sz="8" w:space="0" w:color="auto"/>
      </w:pBdr>
      <w:spacing w:before="100" w:beforeAutospacing="1" w:after="100" w:afterAutospacing="1"/>
    </w:pPr>
    <w:rPr>
      <w:rFonts w:eastAsia="Arial Unicode MS" w:cs="Arial"/>
      <w:sz w:val="16"/>
      <w:szCs w:val="16"/>
    </w:rPr>
  </w:style>
  <w:style w:type="paragraph" w:customStyle="1" w:styleId="xl30">
    <w:name w:val="xl30"/>
    <w:basedOn w:val="Normal"/>
    <w:rsid w:val="00B97FD2"/>
    <w:pPr>
      <w:pBdr>
        <w:top w:val="single" w:sz="8" w:space="0" w:color="auto"/>
        <w:left w:val="single" w:sz="8" w:space="0" w:color="auto"/>
      </w:pBdr>
      <w:spacing w:before="100" w:beforeAutospacing="1" w:after="100" w:afterAutospacing="1"/>
    </w:pPr>
    <w:rPr>
      <w:rFonts w:eastAsia="Arial Unicode MS" w:cs="Arial"/>
      <w:sz w:val="16"/>
      <w:szCs w:val="16"/>
    </w:rPr>
  </w:style>
  <w:style w:type="paragraph" w:customStyle="1" w:styleId="xl31">
    <w:name w:val="xl31"/>
    <w:basedOn w:val="Normal"/>
    <w:rsid w:val="00B97FD2"/>
    <w:pPr>
      <w:shd w:val="clear" w:color="auto" w:fill="C0C0C0"/>
      <w:spacing w:before="100" w:beforeAutospacing="1" w:after="100" w:afterAutospacing="1"/>
    </w:pPr>
    <w:rPr>
      <w:rFonts w:eastAsia="Arial Unicode MS" w:cs="Arial"/>
      <w:sz w:val="16"/>
      <w:szCs w:val="16"/>
    </w:rPr>
  </w:style>
  <w:style w:type="paragraph" w:customStyle="1" w:styleId="xl32">
    <w:name w:val="xl32"/>
    <w:basedOn w:val="Normal"/>
    <w:rsid w:val="00B97FD2"/>
    <w:pPr>
      <w:pBdr>
        <w:left w:val="single" w:sz="8" w:space="0" w:color="auto"/>
      </w:pBdr>
      <w:shd w:val="clear" w:color="auto" w:fill="C0C0C0"/>
      <w:spacing w:before="100" w:beforeAutospacing="1" w:after="100" w:afterAutospacing="1"/>
    </w:pPr>
    <w:rPr>
      <w:rFonts w:eastAsia="Arial Unicode MS" w:cs="Arial"/>
      <w:sz w:val="16"/>
      <w:szCs w:val="16"/>
    </w:rPr>
  </w:style>
  <w:style w:type="paragraph" w:customStyle="1" w:styleId="xl33">
    <w:name w:val="xl33"/>
    <w:basedOn w:val="Normal"/>
    <w:rsid w:val="00B97FD2"/>
    <w:pPr>
      <w:pBdr>
        <w:right w:val="single" w:sz="8" w:space="0" w:color="auto"/>
      </w:pBdr>
      <w:shd w:val="clear" w:color="auto" w:fill="C0C0C0"/>
      <w:spacing w:before="100" w:beforeAutospacing="1" w:after="100" w:afterAutospacing="1"/>
    </w:pPr>
    <w:rPr>
      <w:rFonts w:eastAsia="Arial Unicode MS" w:cs="Arial"/>
      <w:sz w:val="16"/>
      <w:szCs w:val="16"/>
    </w:rPr>
  </w:style>
  <w:style w:type="paragraph" w:customStyle="1" w:styleId="xl34">
    <w:name w:val="xl34"/>
    <w:basedOn w:val="Normal"/>
    <w:rsid w:val="00B97FD2"/>
    <w:pPr>
      <w:pBdr>
        <w:left w:val="single" w:sz="8" w:space="0" w:color="auto"/>
      </w:pBdr>
      <w:shd w:val="clear" w:color="auto" w:fill="C0C0C0"/>
      <w:spacing w:before="100" w:beforeAutospacing="1" w:after="100" w:afterAutospacing="1"/>
    </w:pPr>
    <w:rPr>
      <w:rFonts w:eastAsia="Arial Unicode MS" w:cs="Arial"/>
      <w:sz w:val="16"/>
      <w:szCs w:val="16"/>
    </w:rPr>
  </w:style>
  <w:style w:type="paragraph" w:customStyle="1" w:styleId="xl35">
    <w:name w:val="xl35"/>
    <w:basedOn w:val="Normal"/>
    <w:rsid w:val="00B97FD2"/>
    <w:pPr>
      <w:pBdr>
        <w:left w:val="single" w:sz="8" w:space="0" w:color="auto"/>
      </w:pBdr>
      <w:spacing w:before="100" w:beforeAutospacing="1" w:after="100" w:afterAutospacing="1"/>
    </w:pPr>
    <w:rPr>
      <w:rFonts w:eastAsia="Arial Unicode MS" w:cs="Arial"/>
      <w:sz w:val="16"/>
      <w:szCs w:val="16"/>
    </w:rPr>
  </w:style>
  <w:style w:type="paragraph" w:customStyle="1" w:styleId="xl36">
    <w:name w:val="xl36"/>
    <w:basedOn w:val="Normal"/>
    <w:rsid w:val="00B97FD2"/>
    <w:pPr>
      <w:spacing w:before="100" w:beforeAutospacing="1" w:after="100" w:afterAutospacing="1"/>
    </w:pPr>
    <w:rPr>
      <w:rFonts w:eastAsia="Arial Unicode MS" w:cs="Arial"/>
      <w:sz w:val="16"/>
      <w:szCs w:val="16"/>
    </w:rPr>
  </w:style>
  <w:style w:type="paragraph" w:customStyle="1" w:styleId="xl37">
    <w:name w:val="xl37"/>
    <w:basedOn w:val="Normal"/>
    <w:rsid w:val="00B97FD2"/>
    <w:pPr>
      <w:pBdr>
        <w:right w:val="single" w:sz="8" w:space="0" w:color="auto"/>
      </w:pBdr>
      <w:spacing w:before="100" w:beforeAutospacing="1" w:after="100" w:afterAutospacing="1"/>
    </w:pPr>
    <w:rPr>
      <w:rFonts w:eastAsia="Arial Unicode MS" w:cs="Arial"/>
      <w:sz w:val="16"/>
      <w:szCs w:val="16"/>
    </w:rPr>
  </w:style>
  <w:style w:type="paragraph" w:customStyle="1" w:styleId="xl38">
    <w:name w:val="xl38"/>
    <w:basedOn w:val="Normal"/>
    <w:rsid w:val="00B97FD2"/>
    <w:pPr>
      <w:pBdr>
        <w:left w:val="single" w:sz="8" w:space="0" w:color="auto"/>
      </w:pBdr>
      <w:spacing w:before="100" w:beforeAutospacing="1" w:after="100" w:afterAutospacing="1"/>
    </w:pPr>
    <w:rPr>
      <w:rFonts w:eastAsia="Arial Unicode MS" w:cs="Arial"/>
      <w:sz w:val="16"/>
      <w:szCs w:val="16"/>
    </w:rPr>
  </w:style>
  <w:style w:type="paragraph" w:customStyle="1" w:styleId="xl39">
    <w:name w:val="xl39"/>
    <w:basedOn w:val="Normal"/>
    <w:rsid w:val="00B97FD2"/>
    <w:pPr>
      <w:pBdr>
        <w:right w:val="single" w:sz="8" w:space="0" w:color="auto"/>
      </w:pBdr>
      <w:spacing w:before="100" w:beforeAutospacing="1" w:after="100" w:afterAutospacing="1"/>
    </w:pPr>
    <w:rPr>
      <w:rFonts w:eastAsia="Arial Unicode MS" w:cs="Arial"/>
      <w:sz w:val="16"/>
      <w:szCs w:val="16"/>
    </w:rPr>
  </w:style>
  <w:style w:type="paragraph" w:customStyle="1" w:styleId="xl40">
    <w:name w:val="xl40"/>
    <w:basedOn w:val="Normal"/>
    <w:rsid w:val="00B97FD2"/>
    <w:pPr>
      <w:pBdr>
        <w:left w:val="single" w:sz="8" w:space="0" w:color="auto"/>
      </w:pBdr>
      <w:spacing w:before="100" w:beforeAutospacing="1" w:after="100" w:afterAutospacing="1"/>
    </w:pPr>
    <w:rPr>
      <w:rFonts w:eastAsia="Arial Unicode MS" w:cs="Arial"/>
      <w:sz w:val="16"/>
      <w:szCs w:val="16"/>
    </w:rPr>
  </w:style>
  <w:style w:type="paragraph" w:customStyle="1" w:styleId="xl41">
    <w:name w:val="xl41"/>
    <w:basedOn w:val="Normal"/>
    <w:rsid w:val="00B97FD2"/>
    <w:pPr>
      <w:pBdr>
        <w:left w:val="single" w:sz="8" w:space="0" w:color="auto"/>
        <w:bottom w:val="single" w:sz="8" w:space="0" w:color="auto"/>
      </w:pBdr>
      <w:spacing w:before="100" w:beforeAutospacing="1" w:after="100" w:afterAutospacing="1"/>
    </w:pPr>
    <w:rPr>
      <w:rFonts w:eastAsia="Arial Unicode MS" w:cs="Arial"/>
      <w:sz w:val="16"/>
      <w:szCs w:val="16"/>
    </w:rPr>
  </w:style>
  <w:style w:type="paragraph" w:customStyle="1" w:styleId="xl42">
    <w:name w:val="xl42"/>
    <w:basedOn w:val="Normal"/>
    <w:rsid w:val="00B97FD2"/>
    <w:pPr>
      <w:pBdr>
        <w:bottom w:val="single" w:sz="8" w:space="0" w:color="auto"/>
      </w:pBdr>
      <w:spacing w:before="100" w:beforeAutospacing="1" w:after="100" w:afterAutospacing="1"/>
    </w:pPr>
    <w:rPr>
      <w:rFonts w:eastAsia="Arial Unicode MS" w:cs="Arial"/>
      <w:sz w:val="16"/>
      <w:szCs w:val="16"/>
    </w:rPr>
  </w:style>
  <w:style w:type="paragraph" w:customStyle="1" w:styleId="xl43">
    <w:name w:val="xl43"/>
    <w:basedOn w:val="Normal"/>
    <w:rsid w:val="00B97FD2"/>
    <w:pPr>
      <w:pBdr>
        <w:bottom w:val="single" w:sz="8" w:space="0" w:color="auto"/>
        <w:right w:val="single" w:sz="8" w:space="0" w:color="auto"/>
      </w:pBdr>
      <w:spacing w:before="100" w:beforeAutospacing="1" w:after="100" w:afterAutospacing="1"/>
    </w:pPr>
    <w:rPr>
      <w:rFonts w:eastAsia="Arial Unicode MS" w:cs="Arial"/>
      <w:sz w:val="16"/>
      <w:szCs w:val="16"/>
    </w:rPr>
  </w:style>
  <w:style w:type="paragraph" w:customStyle="1" w:styleId="xl44">
    <w:name w:val="xl44"/>
    <w:basedOn w:val="Normal"/>
    <w:rsid w:val="00B97FD2"/>
    <w:pPr>
      <w:pBdr>
        <w:left w:val="single" w:sz="8" w:space="0" w:color="auto"/>
        <w:bottom w:val="single" w:sz="8" w:space="0" w:color="auto"/>
      </w:pBdr>
      <w:spacing w:before="100" w:beforeAutospacing="1" w:after="100" w:afterAutospacing="1"/>
    </w:pPr>
    <w:rPr>
      <w:rFonts w:eastAsia="Arial Unicode MS" w:cs="Arial"/>
      <w:sz w:val="16"/>
      <w:szCs w:val="16"/>
    </w:rPr>
  </w:style>
  <w:style w:type="paragraph" w:customStyle="1" w:styleId="xl45">
    <w:name w:val="xl45"/>
    <w:basedOn w:val="Normal"/>
    <w:rsid w:val="00B97FD2"/>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46">
    <w:name w:val="xl46"/>
    <w:basedOn w:val="Normal"/>
    <w:rsid w:val="00B97FD2"/>
    <w:pPr>
      <w:pBdr>
        <w:top w:val="single" w:sz="8" w:space="0" w:color="auto"/>
        <w:bottom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47">
    <w:name w:val="xl47"/>
    <w:basedOn w:val="Normal"/>
    <w:rsid w:val="00B97FD2"/>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48">
    <w:name w:val="xl48"/>
    <w:basedOn w:val="Normal"/>
    <w:rsid w:val="00B97FD2"/>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49">
    <w:name w:val="xl49"/>
    <w:basedOn w:val="Normal"/>
    <w:rsid w:val="00B97FD2"/>
    <w:pPr>
      <w:pBdr>
        <w:top w:val="single" w:sz="8" w:space="0" w:color="auto"/>
        <w:bottom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50">
    <w:name w:val="xl50"/>
    <w:basedOn w:val="Normal"/>
    <w:rsid w:val="00B97FD2"/>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51">
    <w:name w:val="xl51"/>
    <w:basedOn w:val="Normal"/>
    <w:rsid w:val="00B97FD2"/>
    <w:pPr>
      <w:pBdr>
        <w:top w:val="single" w:sz="8" w:space="0" w:color="auto"/>
        <w:left w:val="single" w:sz="8" w:space="0" w:color="auto"/>
        <w:right w:val="single" w:sz="8" w:space="0" w:color="auto"/>
      </w:pBdr>
      <w:spacing w:before="100" w:beforeAutospacing="1" w:after="100" w:afterAutospacing="1"/>
    </w:pPr>
    <w:rPr>
      <w:rFonts w:eastAsia="Arial Unicode MS" w:cs="Arial"/>
      <w:sz w:val="16"/>
      <w:szCs w:val="16"/>
    </w:rPr>
  </w:style>
  <w:style w:type="paragraph" w:customStyle="1" w:styleId="xl52">
    <w:name w:val="xl52"/>
    <w:basedOn w:val="Normal"/>
    <w:rsid w:val="00B97FD2"/>
    <w:pPr>
      <w:pBdr>
        <w:left w:val="single" w:sz="8" w:space="0" w:color="auto"/>
        <w:right w:val="single" w:sz="8" w:space="0" w:color="auto"/>
      </w:pBdr>
      <w:spacing w:before="100" w:beforeAutospacing="1" w:after="100" w:afterAutospacing="1"/>
    </w:pPr>
    <w:rPr>
      <w:rFonts w:eastAsia="Arial Unicode MS" w:cs="Arial"/>
      <w:sz w:val="16"/>
      <w:szCs w:val="16"/>
    </w:rPr>
  </w:style>
  <w:style w:type="paragraph" w:customStyle="1" w:styleId="xl53">
    <w:name w:val="xl53"/>
    <w:basedOn w:val="Normal"/>
    <w:rsid w:val="00B97FD2"/>
    <w:pPr>
      <w:pBdr>
        <w:left w:val="single" w:sz="8" w:space="0" w:color="auto"/>
        <w:right w:val="single" w:sz="8" w:space="0" w:color="auto"/>
      </w:pBdr>
      <w:shd w:val="clear" w:color="auto" w:fill="C0C0C0"/>
      <w:spacing w:before="100" w:beforeAutospacing="1" w:after="100" w:afterAutospacing="1"/>
    </w:pPr>
    <w:rPr>
      <w:rFonts w:eastAsia="Arial Unicode MS" w:cs="Arial"/>
      <w:sz w:val="16"/>
      <w:szCs w:val="16"/>
    </w:rPr>
  </w:style>
  <w:style w:type="paragraph" w:customStyle="1" w:styleId="xl54">
    <w:name w:val="xl54"/>
    <w:basedOn w:val="Normal"/>
    <w:rsid w:val="00B97FD2"/>
    <w:pPr>
      <w:pBdr>
        <w:left w:val="single" w:sz="8" w:space="0" w:color="auto"/>
        <w:bottom w:val="single" w:sz="8" w:space="0" w:color="auto"/>
        <w:right w:val="single" w:sz="8" w:space="0" w:color="auto"/>
      </w:pBdr>
      <w:spacing w:before="100" w:beforeAutospacing="1" w:after="100" w:afterAutospacing="1"/>
    </w:pPr>
    <w:rPr>
      <w:rFonts w:eastAsia="Arial Unicode MS" w:cs="Arial"/>
      <w:sz w:val="16"/>
      <w:szCs w:val="16"/>
    </w:rPr>
  </w:style>
  <w:style w:type="paragraph" w:customStyle="1" w:styleId="xl55">
    <w:name w:val="xl55"/>
    <w:basedOn w:val="Normal"/>
    <w:rsid w:val="00B97FD2"/>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56">
    <w:name w:val="xl56"/>
    <w:basedOn w:val="Normal"/>
    <w:rsid w:val="00B97FD2"/>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57">
    <w:name w:val="xl57"/>
    <w:basedOn w:val="Normal"/>
    <w:rsid w:val="00B97FD2"/>
    <w:pPr>
      <w:pBdr>
        <w:top w:val="single" w:sz="8" w:space="0" w:color="auto"/>
        <w:bottom w:val="single" w:sz="8"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58">
    <w:name w:val="xl58"/>
    <w:basedOn w:val="Normal"/>
    <w:rsid w:val="00B97FD2"/>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Arial Unicode MS" w:cs="Arial"/>
      <w:sz w:val="16"/>
      <w:szCs w:val="16"/>
    </w:rPr>
  </w:style>
  <w:style w:type="paragraph" w:styleId="BodyTextIndent2">
    <w:name w:val="Body Text Indent 2"/>
    <w:basedOn w:val="Normal"/>
    <w:link w:val="BodyTextIndent2Char"/>
    <w:rsid w:val="00B97FD2"/>
    <w:pPr>
      <w:ind w:left="72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B97FD2"/>
    <w:rPr>
      <w:rFonts w:ascii="Times New Roman" w:eastAsia="Times New Roman" w:hAnsi="Times New Roman" w:cs="Times New Roman"/>
      <w:sz w:val="24"/>
    </w:rPr>
  </w:style>
  <w:style w:type="paragraph" w:styleId="BodyTextIndent3">
    <w:name w:val="Body Text Indent 3"/>
    <w:basedOn w:val="Normal"/>
    <w:link w:val="BodyTextIndent3Char"/>
    <w:rsid w:val="00B97FD2"/>
    <w:pPr>
      <w:spacing w:before="375"/>
      <w:ind w:left="9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B97FD2"/>
    <w:rPr>
      <w:rFonts w:ascii="Times New Roman" w:eastAsia="Times New Roman" w:hAnsi="Times New Roman" w:cs="Times New Roman"/>
      <w:color w:val="000000"/>
      <w:sz w:val="24"/>
    </w:rPr>
  </w:style>
  <w:style w:type="paragraph" w:styleId="NoSpacing">
    <w:name w:val="No Spacing"/>
    <w:link w:val="NoSpacingChar"/>
    <w:uiPriority w:val="1"/>
    <w:qFormat/>
    <w:rsid w:val="00B97FD2"/>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B97FD2"/>
    <w:rPr>
      <w:rFonts w:ascii="Calibri" w:eastAsia="Times New Roman" w:hAnsi="Calibri" w:cs="Times New Roman"/>
      <w:sz w:val="22"/>
      <w:szCs w:val="22"/>
    </w:rPr>
  </w:style>
  <w:style w:type="table" w:styleId="TableGrid">
    <w:name w:val="Table Grid"/>
    <w:basedOn w:val="TableNormal"/>
    <w:uiPriority w:val="59"/>
    <w:rsid w:val="00B97FD2"/>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B97FD2"/>
    <w:rPr>
      <w:b/>
      <w:bCs/>
    </w:rPr>
  </w:style>
  <w:style w:type="paragraph" w:styleId="ListParagraph">
    <w:name w:val="List Paragraph"/>
    <w:basedOn w:val="Normal"/>
    <w:uiPriority w:val="34"/>
    <w:qFormat/>
    <w:rsid w:val="00B97FD2"/>
    <w:pPr>
      <w:autoSpaceDE w:val="0"/>
      <w:autoSpaceDN w:val="0"/>
      <w:ind w:left="720"/>
      <w:contextualSpacing/>
    </w:pPr>
    <w:rPr>
      <w:rFonts w:ascii="Times New Roman" w:eastAsia="Times New Roman" w:hAnsi="Times New Roman" w:cs="Times New Roman"/>
    </w:rPr>
  </w:style>
  <w:style w:type="paragraph" w:styleId="Title">
    <w:name w:val="Title"/>
    <w:basedOn w:val="Normal"/>
    <w:next w:val="Normal"/>
    <w:link w:val="TitleChar"/>
    <w:uiPriority w:val="10"/>
    <w:qFormat/>
    <w:rsid w:val="00B97F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7FD2"/>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B97FD2"/>
    <w:pPr>
      <w:spacing w:line="276" w:lineRule="auto"/>
      <w:outlineLvl w:val="9"/>
    </w:pPr>
    <w:rPr>
      <w:rFonts w:asciiTheme="majorHAnsi" w:hAnsiTheme="majorHAnsi"/>
      <w:color w:val="365F91" w:themeColor="accent1" w:themeShade="BF"/>
      <w:sz w:val="28"/>
      <w:szCs w:val="28"/>
    </w:rPr>
  </w:style>
  <w:style w:type="paragraph" w:styleId="TOC2">
    <w:name w:val="toc 2"/>
    <w:basedOn w:val="Normal"/>
    <w:next w:val="Normal"/>
    <w:autoRedefine/>
    <w:uiPriority w:val="39"/>
    <w:qFormat/>
    <w:rsid w:val="001A710D"/>
    <w:pPr>
      <w:tabs>
        <w:tab w:val="right" w:leader="dot" w:pos="9360"/>
      </w:tabs>
      <w:spacing w:after="100"/>
      <w:ind w:left="200"/>
    </w:pPr>
    <w:rPr>
      <w:rFonts w:ascii="Times New Roman" w:eastAsia="Times New Roman" w:hAnsi="Times New Roman" w:cs="Times New Roman"/>
      <w:noProof/>
      <w:sz w:val="22"/>
      <w:szCs w:val="20"/>
    </w:rPr>
  </w:style>
  <w:style w:type="paragraph" w:styleId="TOC1">
    <w:name w:val="toc 1"/>
    <w:basedOn w:val="Normal"/>
    <w:next w:val="Normal"/>
    <w:autoRedefine/>
    <w:uiPriority w:val="39"/>
    <w:qFormat/>
    <w:rsid w:val="001A710D"/>
    <w:pPr>
      <w:tabs>
        <w:tab w:val="right" w:leader="dot" w:pos="9360"/>
      </w:tabs>
      <w:spacing w:after="100"/>
    </w:pPr>
    <w:rPr>
      <w:rFonts w:ascii="Times New Roman" w:eastAsia="Times New Roman" w:hAnsi="Times New Roman" w:cs="Times New Roman"/>
      <w:b/>
      <w:noProof/>
      <w:sz w:val="22"/>
      <w:szCs w:val="20"/>
    </w:rPr>
  </w:style>
  <w:style w:type="paragraph" w:styleId="TOC3">
    <w:name w:val="toc 3"/>
    <w:basedOn w:val="Normal"/>
    <w:next w:val="Normal"/>
    <w:autoRedefine/>
    <w:uiPriority w:val="39"/>
    <w:unhideWhenUsed/>
    <w:qFormat/>
    <w:rsid w:val="00B97FD2"/>
    <w:pPr>
      <w:spacing w:after="100" w:line="276" w:lineRule="auto"/>
      <w:ind w:left="440"/>
    </w:pPr>
    <w:rPr>
      <w:rFonts w:asciiTheme="minorHAnsi" w:eastAsiaTheme="minorEastAsia" w:hAnsiTheme="minorHAnsi"/>
      <w:sz w:val="22"/>
      <w:szCs w:val="22"/>
    </w:rPr>
  </w:style>
  <w:style w:type="paragraph" w:styleId="CommentSubject">
    <w:name w:val="annotation subject"/>
    <w:basedOn w:val="CommentText"/>
    <w:next w:val="CommentText"/>
    <w:link w:val="CommentSubjectChar"/>
    <w:rsid w:val="00B97FD2"/>
    <w:rPr>
      <w:b/>
      <w:bCs/>
    </w:rPr>
  </w:style>
  <w:style w:type="character" w:customStyle="1" w:styleId="CommentSubjectChar">
    <w:name w:val="Comment Subject Char"/>
    <w:basedOn w:val="CommentTextChar"/>
    <w:link w:val="CommentSubject"/>
    <w:rsid w:val="00B97FD2"/>
    <w:rPr>
      <w:rFonts w:ascii="Times New Roman" w:eastAsia="Times New Roman" w:hAnsi="Times New Roman" w:cs="Times New Roman"/>
      <w:b/>
      <w:bCs/>
    </w:rPr>
  </w:style>
  <w:style w:type="character" w:styleId="CommentReference">
    <w:name w:val="annotation reference"/>
    <w:basedOn w:val="DefaultParagraphFont"/>
    <w:semiHidden/>
    <w:unhideWhenUsed/>
    <w:rsid w:val="006717CE"/>
    <w:rPr>
      <w:sz w:val="16"/>
      <w:szCs w:val="16"/>
    </w:rPr>
  </w:style>
  <w:style w:type="paragraph" w:styleId="Revision">
    <w:name w:val="Revision"/>
    <w:hidden/>
    <w:uiPriority w:val="99"/>
    <w:semiHidden/>
    <w:rsid w:val="00D0348F"/>
    <w:rPr>
      <w:rFonts w:ascii="Arial" w:hAnsi="Arial"/>
      <w:sz w:val="24"/>
      <w:szCs w:val="24"/>
    </w:rPr>
  </w:style>
  <w:style w:type="paragraph" w:customStyle="1" w:styleId="FindingsConclusions">
    <w:name w:val="Findings &amp; Conclusions"/>
    <w:basedOn w:val="Normal"/>
    <w:rsid w:val="006B1125"/>
    <w:pPr>
      <w:numPr>
        <w:numId w:val="15"/>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3726">
      <w:bodyDiv w:val="1"/>
      <w:marLeft w:val="0"/>
      <w:marRight w:val="0"/>
      <w:marTop w:val="0"/>
      <w:marBottom w:val="0"/>
      <w:divBdr>
        <w:top w:val="none" w:sz="0" w:space="0" w:color="auto"/>
        <w:left w:val="none" w:sz="0" w:space="0" w:color="auto"/>
        <w:bottom w:val="none" w:sz="0" w:space="0" w:color="auto"/>
        <w:right w:val="none" w:sz="0" w:space="0" w:color="auto"/>
      </w:divBdr>
    </w:div>
    <w:div w:id="73861231">
      <w:bodyDiv w:val="1"/>
      <w:marLeft w:val="0"/>
      <w:marRight w:val="0"/>
      <w:marTop w:val="0"/>
      <w:marBottom w:val="0"/>
      <w:divBdr>
        <w:top w:val="none" w:sz="0" w:space="0" w:color="auto"/>
        <w:left w:val="none" w:sz="0" w:space="0" w:color="auto"/>
        <w:bottom w:val="none" w:sz="0" w:space="0" w:color="auto"/>
        <w:right w:val="none" w:sz="0" w:space="0" w:color="auto"/>
      </w:divBdr>
    </w:div>
    <w:div w:id="84151992">
      <w:bodyDiv w:val="1"/>
      <w:marLeft w:val="0"/>
      <w:marRight w:val="0"/>
      <w:marTop w:val="0"/>
      <w:marBottom w:val="0"/>
      <w:divBdr>
        <w:top w:val="none" w:sz="0" w:space="0" w:color="auto"/>
        <w:left w:val="none" w:sz="0" w:space="0" w:color="auto"/>
        <w:bottom w:val="none" w:sz="0" w:space="0" w:color="auto"/>
        <w:right w:val="none" w:sz="0" w:space="0" w:color="auto"/>
      </w:divBdr>
    </w:div>
    <w:div w:id="131412145">
      <w:bodyDiv w:val="1"/>
      <w:marLeft w:val="0"/>
      <w:marRight w:val="0"/>
      <w:marTop w:val="0"/>
      <w:marBottom w:val="0"/>
      <w:divBdr>
        <w:top w:val="none" w:sz="0" w:space="0" w:color="auto"/>
        <w:left w:val="none" w:sz="0" w:space="0" w:color="auto"/>
        <w:bottom w:val="none" w:sz="0" w:space="0" w:color="auto"/>
        <w:right w:val="none" w:sz="0" w:space="0" w:color="auto"/>
      </w:divBdr>
    </w:div>
    <w:div w:id="222450072">
      <w:bodyDiv w:val="1"/>
      <w:marLeft w:val="0"/>
      <w:marRight w:val="0"/>
      <w:marTop w:val="0"/>
      <w:marBottom w:val="0"/>
      <w:divBdr>
        <w:top w:val="none" w:sz="0" w:space="0" w:color="auto"/>
        <w:left w:val="none" w:sz="0" w:space="0" w:color="auto"/>
        <w:bottom w:val="none" w:sz="0" w:space="0" w:color="auto"/>
        <w:right w:val="none" w:sz="0" w:space="0" w:color="auto"/>
      </w:divBdr>
    </w:div>
    <w:div w:id="227693440">
      <w:bodyDiv w:val="1"/>
      <w:marLeft w:val="0"/>
      <w:marRight w:val="0"/>
      <w:marTop w:val="0"/>
      <w:marBottom w:val="0"/>
      <w:divBdr>
        <w:top w:val="none" w:sz="0" w:space="0" w:color="auto"/>
        <w:left w:val="none" w:sz="0" w:space="0" w:color="auto"/>
        <w:bottom w:val="none" w:sz="0" w:space="0" w:color="auto"/>
        <w:right w:val="none" w:sz="0" w:space="0" w:color="auto"/>
      </w:divBdr>
      <w:divsChild>
        <w:div w:id="301615556">
          <w:marLeft w:val="1526"/>
          <w:marRight w:val="0"/>
          <w:marTop w:val="96"/>
          <w:marBottom w:val="0"/>
          <w:divBdr>
            <w:top w:val="none" w:sz="0" w:space="0" w:color="auto"/>
            <w:left w:val="none" w:sz="0" w:space="0" w:color="auto"/>
            <w:bottom w:val="none" w:sz="0" w:space="0" w:color="auto"/>
            <w:right w:val="none" w:sz="0" w:space="0" w:color="auto"/>
          </w:divBdr>
        </w:div>
      </w:divsChild>
    </w:div>
    <w:div w:id="301732172">
      <w:bodyDiv w:val="1"/>
      <w:marLeft w:val="0"/>
      <w:marRight w:val="0"/>
      <w:marTop w:val="0"/>
      <w:marBottom w:val="0"/>
      <w:divBdr>
        <w:top w:val="none" w:sz="0" w:space="0" w:color="auto"/>
        <w:left w:val="none" w:sz="0" w:space="0" w:color="auto"/>
        <w:bottom w:val="none" w:sz="0" w:space="0" w:color="auto"/>
        <w:right w:val="none" w:sz="0" w:space="0" w:color="auto"/>
      </w:divBdr>
    </w:div>
    <w:div w:id="316037471">
      <w:bodyDiv w:val="1"/>
      <w:marLeft w:val="0"/>
      <w:marRight w:val="0"/>
      <w:marTop w:val="0"/>
      <w:marBottom w:val="0"/>
      <w:divBdr>
        <w:top w:val="none" w:sz="0" w:space="0" w:color="auto"/>
        <w:left w:val="none" w:sz="0" w:space="0" w:color="auto"/>
        <w:bottom w:val="none" w:sz="0" w:space="0" w:color="auto"/>
        <w:right w:val="none" w:sz="0" w:space="0" w:color="auto"/>
      </w:divBdr>
    </w:div>
    <w:div w:id="831915848">
      <w:bodyDiv w:val="1"/>
      <w:marLeft w:val="0"/>
      <w:marRight w:val="0"/>
      <w:marTop w:val="0"/>
      <w:marBottom w:val="0"/>
      <w:divBdr>
        <w:top w:val="none" w:sz="0" w:space="0" w:color="auto"/>
        <w:left w:val="none" w:sz="0" w:space="0" w:color="auto"/>
        <w:bottom w:val="none" w:sz="0" w:space="0" w:color="auto"/>
        <w:right w:val="none" w:sz="0" w:space="0" w:color="auto"/>
      </w:divBdr>
    </w:div>
    <w:div w:id="851184757">
      <w:bodyDiv w:val="1"/>
      <w:marLeft w:val="0"/>
      <w:marRight w:val="0"/>
      <w:marTop w:val="0"/>
      <w:marBottom w:val="0"/>
      <w:divBdr>
        <w:top w:val="none" w:sz="0" w:space="0" w:color="auto"/>
        <w:left w:val="none" w:sz="0" w:space="0" w:color="auto"/>
        <w:bottom w:val="none" w:sz="0" w:space="0" w:color="auto"/>
        <w:right w:val="none" w:sz="0" w:space="0" w:color="auto"/>
      </w:divBdr>
    </w:div>
    <w:div w:id="989403888">
      <w:bodyDiv w:val="1"/>
      <w:marLeft w:val="0"/>
      <w:marRight w:val="0"/>
      <w:marTop w:val="0"/>
      <w:marBottom w:val="0"/>
      <w:divBdr>
        <w:top w:val="none" w:sz="0" w:space="0" w:color="auto"/>
        <w:left w:val="none" w:sz="0" w:space="0" w:color="auto"/>
        <w:bottom w:val="none" w:sz="0" w:space="0" w:color="auto"/>
        <w:right w:val="none" w:sz="0" w:space="0" w:color="auto"/>
      </w:divBdr>
    </w:div>
    <w:div w:id="1396002841">
      <w:bodyDiv w:val="1"/>
      <w:marLeft w:val="0"/>
      <w:marRight w:val="0"/>
      <w:marTop w:val="0"/>
      <w:marBottom w:val="0"/>
      <w:divBdr>
        <w:top w:val="none" w:sz="0" w:space="0" w:color="auto"/>
        <w:left w:val="none" w:sz="0" w:space="0" w:color="auto"/>
        <w:bottom w:val="none" w:sz="0" w:space="0" w:color="auto"/>
        <w:right w:val="none" w:sz="0" w:space="0" w:color="auto"/>
      </w:divBdr>
    </w:div>
    <w:div w:id="1402869128">
      <w:bodyDiv w:val="1"/>
      <w:marLeft w:val="0"/>
      <w:marRight w:val="0"/>
      <w:marTop w:val="0"/>
      <w:marBottom w:val="0"/>
      <w:divBdr>
        <w:top w:val="none" w:sz="0" w:space="0" w:color="auto"/>
        <w:left w:val="none" w:sz="0" w:space="0" w:color="auto"/>
        <w:bottom w:val="none" w:sz="0" w:space="0" w:color="auto"/>
        <w:right w:val="none" w:sz="0" w:space="0" w:color="auto"/>
      </w:divBdr>
    </w:div>
    <w:div w:id="1530527823">
      <w:bodyDiv w:val="1"/>
      <w:marLeft w:val="0"/>
      <w:marRight w:val="0"/>
      <w:marTop w:val="0"/>
      <w:marBottom w:val="0"/>
      <w:divBdr>
        <w:top w:val="none" w:sz="0" w:space="0" w:color="auto"/>
        <w:left w:val="none" w:sz="0" w:space="0" w:color="auto"/>
        <w:bottom w:val="none" w:sz="0" w:space="0" w:color="auto"/>
        <w:right w:val="none" w:sz="0" w:space="0" w:color="auto"/>
      </w:divBdr>
    </w:div>
    <w:div w:id="1553614762">
      <w:bodyDiv w:val="1"/>
      <w:marLeft w:val="0"/>
      <w:marRight w:val="0"/>
      <w:marTop w:val="0"/>
      <w:marBottom w:val="0"/>
      <w:divBdr>
        <w:top w:val="none" w:sz="0" w:space="0" w:color="auto"/>
        <w:left w:val="none" w:sz="0" w:space="0" w:color="auto"/>
        <w:bottom w:val="none" w:sz="0" w:space="0" w:color="auto"/>
        <w:right w:val="none" w:sz="0" w:space="0" w:color="auto"/>
      </w:divBdr>
    </w:div>
    <w:div w:id="1898972344">
      <w:bodyDiv w:val="1"/>
      <w:marLeft w:val="0"/>
      <w:marRight w:val="0"/>
      <w:marTop w:val="0"/>
      <w:marBottom w:val="0"/>
      <w:divBdr>
        <w:top w:val="none" w:sz="0" w:space="0" w:color="auto"/>
        <w:left w:val="none" w:sz="0" w:space="0" w:color="auto"/>
        <w:bottom w:val="none" w:sz="0" w:space="0" w:color="auto"/>
        <w:right w:val="none" w:sz="0" w:space="0" w:color="auto"/>
      </w:divBdr>
    </w:div>
    <w:div w:id="2017074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jpeg"/><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2001-04-02T07:00:00+00:00</OpenedDate>
    <Date1 xmlns="dc463f71-b30c-4ab2-9473-d307f9d35888">2016-12-28T08:00:00+00:00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010436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56F39FE3B1304FBE45953B4A78BB85" ma:contentTypeVersion="128" ma:contentTypeDescription="" ma:contentTypeScope="" ma:versionID="93c9c34a5776f871f8d6456bb8f58c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501BD-731C-4748-BD83-016B2A471D18}">
  <ds:schemaRefs>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6a7bd91e-004b-490a-8704-e368d63d59a0"/>
    <ds:schemaRef ds:uri="http://www.w3.org/XML/1998/namespac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8E108D-AAD5-4834-AB0C-AC67ACDA6CEC}">
  <ds:schemaRefs>
    <ds:schemaRef ds:uri="http://schemas.microsoft.com/sharepoint/v3/contenttype/forms"/>
  </ds:schemaRefs>
</ds:datastoreItem>
</file>

<file path=customXml/itemProps3.xml><?xml version="1.0" encoding="utf-8"?>
<ds:datastoreItem xmlns:ds="http://schemas.openxmlformats.org/officeDocument/2006/customXml" ds:itemID="{A7746D33-27D4-49D6-858C-0D7769C66528}"/>
</file>

<file path=customXml/itemProps4.xml><?xml version="1.0" encoding="utf-8"?>
<ds:datastoreItem xmlns:ds="http://schemas.openxmlformats.org/officeDocument/2006/customXml" ds:itemID="{AD4049A6-05F2-4209-AD2C-30A79E7A8F54}">
  <ds:schemaRefs>
    <ds:schemaRef ds:uri="http://schemas.openxmlformats.org/officeDocument/2006/bibliography"/>
  </ds:schemaRefs>
</ds:datastoreItem>
</file>

<file path=customXml/itemProps5.xml><?xml version="1.0" encoding="utf-8"?>
<ds:datastoreItem xmlns:ds="http://schemas.openxmlformats.org/officeDocument/2006/customXml" ds:itemID="{950C036A-C318-4D13-B52C-18AEFA703BF4}"/>
</file>

<file path=docProps/app.xml><?xml version="1.0" encoding="utf-8"?>
<Properties xmlns="http://schemas.openxmlformats.org/officeDocument/2006/extended-properties" xmlns:vt="http://schemas.openxmlformats.org/officeDocument/2006/docPropsVTypes">
  <Template>Normal.dotm</Template>
  <TotalTime>1</TotalTime>
  <Pages>27</Pages>
  <Words>4955</Words>
  <Characters>28246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33135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monigle</dc:creator>
  <cp:lastModifiedBy>Kredel, Ashley (UTC)</cp:lastModifiedBy>
  <cp:revision>2</cp:revision>
  <cp:lastPrinted>2016-12-28T17:10:00Z</cp:lastPrinted>
  <dcterms:created xsi:type="dcterms:W3CDTF">2016-12-28T18:11:00Z</dcterms:created>
  <dcterms:modified xsi:type="dcterms:W3CDTF">2016-12-28T18:11:00Z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0x0101006E56B4D1795A2E4DB2F0B01679ED314A006256F39FE3B1304FBE45953B4A78BB85</vt:lpwstr>
  </property>
  <property fmtid="{D5CDD505-2E9C-101B-9397-08002B2CF9AE}" pid="3" name="_docset_NoMedatataSyncRequired">
    <vt:lpwstr>False</vt:lpwstr>
  </property>
</Properties>
</file>