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DBAC0"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Exhibit </w:t>
      </w:r>
      <w:r w:rsidR="00EA5286" w:rsidRPr="007E50F7">
        <w:rPr>
          <w:b/>
          <w:bCs/>
        </w:rPr>
        <w:t>No.</w:t>
      </w:r>
      <w:r w:rsidR="00940838" w:rsidRPr="007E50F7">
        <w:rPr>
          <w:b/>
          <w:bCs/>
        </w:rPr>
        <w:t xml:space="preserve"> </w:t>
      </w:r>
      <w:r w:rsidR="00CD5EF2" w:rsidRPr="007E50F7">
        <w:rPr>
          <w:b/>
          <w:bCs/>
        </w:rPr>
        <w:t>_</w:t>
      </w:r>
      <w:r w:rsidR="00940838" w:rsidRPr="007E50F7">
        <w:rPr>
          <w:b/>
          <w:bCs/>
        </w:rPr>
        <w:t>_</w:t>
      </w:r>
      <w:r w:rsidR="00CD5EF2" w:rsidRPr="007E50F7">
        <w:rPr>
          <w:b/>
          <w:bCs/>
        </w:rPr>
        <w:t>_</w:t>
      </w:r>
      <w:r w:rsidR="00CB6378" w:rsidRPr="007E50F7">
        <w:rPr>
          <w:b/>
          <w:bCs/>
        </w:rPr>
        <w:t xml:space="preserve"> </w:t>
      </w:r>
      <w:r w:rsidR="00783CB8" w:rsidRPr="007E50F7">
        <w:rPr>
          <w:b/>
          <w:bCs/>
        </w:rPr>
        <w:t>(</w:t>
      </w:r>
      <w:proofErr w:type="spellStart"/>
      <w:r w:rsidR="002F1187" w:rsidRPr="007E50F7">
        <w:rPr>
          <w:b/>
          <w:bCs/>
        </w:rPr>
        <w:t>CTM</w:t>
      </w:r>
      <w:r w:rsidR="00783CB8" w:rsidRPr="007E50F7">
        <w:rPr>
          <w:b/>
          <w:bCs/>
        </w:rPr>
        <w:t>-</w:t>
      </w:r>
      <w:r w:rsidR="0088018B" w:rsidRPr="007E50F7">
        <w:rPr>
          <w:b/>
          <w:bCs/>
        </w:rPr>
        <w:t>1</w:t>
      </w:r>
      <w:r w:rsidR="00783CB8" w:rsidRPr="007E50F7">
        <w:rPr>
          <w:b/>
          <w:bCs/>
        </w:rPr>
        <w:t>T</w:t>
      </w:r>
      <w:proofErr w:type="spellEnd"/>
      <w:r w:rsidR="00783CB8" w:rsidRPr="007E50F7">
        <w:rPr>
          <w:b/>
          <w:bCs/>
        </w:rPr>
        <w:t>)</w:t>
      </w:r>
    </w:p>
    <w:p w14:paraId="3C1DBAC1"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Docket</w:t>
      </w:r>
      <w:r w:rsidR="00B12659" w:rsidRPr="007E50F7">
        <w:rPr>
          <w:b/>
          <w:bCs/>
        </w:rPr>
        <w:t>s UE-1</w:t>
      </w:r>
      <w:r w:rsidR="00EB6EA6">
        <w:rPr>
          <w:b/>
          <w:bCs/>
        </w:rPr>
        <w:t>40188/</w:t>
      </w:r>
      <w:proofErr w:type="spellStart"/>
      <w:r w:rsidR="00EB6EA6">
        <w:rPr>
          <w:b/>
          <w:bCs/>
        </w:rPr>
        <w:t>UG</w:t>
      </w:r>
      <w:proofErr w:type="spellEnd"/>
      <w:r w:rsidR="00EB6EA6">
        <w:rPr>
          <w:b/>
          <w:bCs/>
        </w:rPr>
        <w:t>-140189</w:t>
      </w:r>
    </w:p>
    <w:p w14:paraId="3C1DBAC2"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Witness: </w:t>
      </w:r>
      <w:r w:rsidR="002F1187" w:rsidRPr="007E50F7">
        <w:rPr>
          <w:b/>
          <w:bCs/>
        </w:rPr>
        <w:t>Christopher T. Mickelson</w:t>
      </w:r>
    </w:p>
    <w:p w14:paraId="3C1DBAC3" w14:textId="77777777" w:rsidR="00B12659" w:rsidRPr="007E50F7" w:rsidRDefault="00B12659" w:rsidP="00B12659">
      <w:pPr>
        <w:tabs>
          <w:tab w:val="center" w:pos="4680"/>
        </w:tabs>
        <w:ind w:right="-108" w:hanging="180"/>
        <w:jc w:val="both"/>
        <w:rPr>
          <w:b/>
        </w:rPr>
      </w:pPr>
    </w:p>
    <w:p w14:paraId="3C1DBAC4" w14:textId="77777777" w:rsidR="00B12659" w:rsidRDefault="00B12659" w:rsidP="00B12659">
      <w:pPr>
        <w:tabs>
          <w:tab w:val="center" w:pos="4680"/>
        </w:tabs>
        <w:ind w:right="-108" w:hanging="180"/>
        <w:jc w:val="both"/>
        <w:rPr>
          <w:b/>
        </w:rPr>
      </w:pPr>
    </w:p>
    <w:p w14:paraId="3C1DBAC5" w14:textId="77777777" w:rsidR="00EB6EA6" w:rsidRDefault="00EB6EA6" w:rsidP="00B12659">
      <w:pPr>
        <w:tabs>
          <w:tab w:val="center" w:pos="4680"/>
        </w:tabs>
        <w:ind w:right="-108" w:hanging="180"/>
        <w:jc w:val="both"/>
        <w:rPr>
          <w:b/>
        </w:rPr>
      </w:pPr>
    </w:p>
    <w:p w14:paraId="3C1DBAC6" w14:textId="77777777" w:rsidR="00EB6EA6" w:rsidRPr="007E50F7" w:rsidRDefault="00EB6EA6" w:rsidP="00B12659">
      <w:pPr>
        <w:tabs>
          <w:tab w:val="center" w:pos="4680"/>
        </w:tabs>
        <w:ind w:right="-108" w:hanging="180"/>
        <w:jc w:val="both"/>
        <w:rPr>
          <w:b/>
        </w:rPr>
      </w:pPr>
    </w:p>
    <w:p w14:paraId="3C1DBAC7" w14:textId="77777777" w:rsidR="00EB6EA6" w:rsidRDefault="00EB6EA6" w:rsidP="00EB6EA6">
      <w:pPr>
        <w:tabs>
          <w:tab w:val="center" w:pos="4680"/>
        </w:tabs>
        <w:ind w:right="-108" w:hanging="180"/>
        <w:jc w:val="center"/>
        <w:rPr>
          <w:b/>
        </w:rPr>
      </w:pPr>
      <w:r>
        <w:rPr>
          <w:b/>
        </w:rPr>
        <w:t>BEFORE THE WASHINGTON</w:t>
      </w:r>
    </w:p>
    <w:p w14:paraId="3C1DBAC8" w14:textId="77777777" w:rsidR="00B12659" w:rsidRDefault="00B12659" w:rsidP="00EB6EA6">
      <w:pPr>
        <w:tabs>
          <w:tab w:val="center" w:pos="4680"/>
        </w:tabs>
        <w:ind w:right="-108" w:hanging="180"/>
        <w:jc w:val="center"/>
        <w:rPr>
          <w:b/>
        </w:rPr>
      </w:pPr>
      <w:r w:rsidRPr="007E50F7">
        <w:rPr>
          <w:b/>
        </w:rPr>
        <w:t>UTILITIES AND TRANSPORTATION COMMISSION</w:t>
      </w:r>
    </w:p>
    <w:p w14:paraId="3C1DBAC9" w14:textId="77777777" w:rsidR="00EB6EA6" w:rsidRDefault="00EB6EA6" w:rsidP="00B12659">
      <w:pPr>
        <w:tabs>
          <w:tab w:val="center" w:pos="4680"/>
        </w:tabs>
        <w:ind w:right="-108" w:hanging="180"/>
        <w:jc w:val="both"/>
        <w:rPr>
          <w:b/>
        </w:rPr>
      </w:pPr>
    </w:p>
    <w:p w14:paraId="3C1DBACA" w14:textId="77777777" w:rsidR="00EB6EA6" w:rsidRPr="007E50F7" w:rsidRDefault="00EB6EA6" w:rsidP="00B12659">
      <w:pPr>
        <w:tabs>
          <w:tab w:val="center" w:pos="4680"/>
        </w:tabs>
        <w:ind w:right="-108" w:hanging="180"/>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B6EA6" w:rsidRPr="00F27E5A" w14:paraId="3C1DBAD8" w14:textId="77777777" w:rsidTr="00EB6EA6">
        <w:tc>
          <w:tcPr>
            <w:tcW w:w="4590" w:type="dxa"/>
            <w:tcBorders>
              <w:top w:val="single" w:sz="6" w:space="0" w:color="FFFFFF"/>
              <w:left w:val="single" w:sz="6" w:space="0" w:color="FFFFFF"/>
              <w:bottom w:val="single" w:sz="7" w:space="0" w:color="000000"/>
              <w:right w:val="single" w:sz="6" w:space="0" w:color="FFFFFF"/>
            </w:tcBorders>
          </w:tcPr>
          <w:p w14:paraId="3C1DBACB" w14:textId="77777777" w:rsidR="00EB6EA6" w:rsidRPr="00F27E5A" w:rsidRDefault="00EB6EA6" w:rsidP="00393B56">
            <w:pPr>
              <w:rPr>
                <w:b/>
              </w:rPr>
            </w:pPr>
            <w:r w:rsidRPr="00F27E5A">
              <w:rPr>
                <w:b/>
              </w:rPr>
              <w:t xml:space="preserve">WASHINGTON UTILITIES AND TRANSPORTATION COMMISSION, </w:t>
            </w:r>
          </w:p>
          <w:p w14:paraId="3C1DBACC" w14:textId="77777777" w:rsidR="00EB6EA6" w:rsidRPr="00F27E5A" w:rsidRDefault="00EB6EA6" w:rsidP="00393B56">
            <w:pPr>
              <w:rPr>
                <w:b/>
              </w:rPr>
            </w:pPr>
          </w:p>
          <w:p w14:paraId="3C1DBACD" w14:textId="77777777" w:rsidR="00EB6EA6" w:rsidRPr="00F27E5A" w:rsidRDefault="00EB6EA6" w:rsidP="00393B56">
            <w:pPr>
              <w:rPr>
                <w:b/>
              </w:rPr>
            </w:pPr>
            <w:r w:rsidRPr="00F27E5A">
              <w:rPr>
                <w:b/>
              </w:rPr>
              <w:tab/>
            </w:r>
            <w:r w:rsidRPr="00F27E5A">
              <w:rPr>
                <w:b/>
              </w:rPr>
              <w:tab/>
              <w:t>Complainant,</w:t>
            </w:r>
          </w:p>
          <w:p w14:paraId="3C1DBACE" w14:textId="77777777" w:rsidR="00EB6EA6" w:rsidRPr="00F27E5A" w:rsidRDefault="00EB6EA6" w:rsidP="00393B56">
            <w:pPr>
              <w:rPr>
                <w:b/>
              </w:rPr>
            </w:pPr>
          </w:p>
          <w:p w14:paraId="3C1DBACF" w14:textId="77777777" w:rsidR="00EB6EA6" w:rsidRPr="00F27E5A" w:rsidRDefault="00EB6EA6" w:rsidP="00393B56">
            <w:pPr>
              <w:rPr>
                <w:b/>
              </w:rPr>
            </w:pPr>
            <w:r w:rsidRPr="00F27E5A">
              <w:rPr>
                <w:b/>
              </w:rPr>
              <w:tab/>
              <w:t>v.</w:t>
            </w:r>
          </w:p>
          <w:p w14:paraId="3C1DBAD0" w14:textId="77777777" w:rsidR="00EB6EA6" w:rsidRPr="00F27E5A" w:rsidRDefault="00EB6EA6" w:rsidP="00393B56">
            <w:pPr>
              <w:rPr>
                <w:b/>
              </w:rPr>
            </w:pPr>
          </w:p>
          <w:p w14:paraId="3C1DBAD1" w14:textId="77777777" w:rsidR="00EB6EA6" w:rsidRPr="00F27E5A" w:rsidRDefault="00523E58" w:rsidP="00393B56">
            <w:pPr>
              <w:rPr>
                <w:b/>
              </w:rPr>
            </w:pPr>
            <w:r>
              <w:rPr>
                <w:b/>
              </w:rPr>
              <w:t>AVISTA CORPORATION</w:t>
            </w:r>
            <w:r w:rsidR="00EB6EA6" w:rsidRPr="00F27E5A">
              <w:rPr>
                <w:b/>
              </w:rPr>
              <w:t xml:space="preserve">, </w:t>
            </w:r>
          </w:p>
          <w:p w14:paraId="3C1DBAD2" w14:textId="77777777" w:rsidR="00EB6EA6" w:rsidRPr="00F27E5A" w:rsidRDefault="00EB6EA6" w:rsidP="00393B56">
            <w:pPr>
              <w:rPr>
                <w:b/>
              </w:rPr>
            </w:pPr>
          </w:p>
          <w:p w14:paraId="3C1DBAD3" w14:textId="77777777" w:rsidR="00EB6EA6" w:rsidRPr="00F27E5A" w:rsidRDefault="00EB6EA6" w:rsidP="00393B56">
            <w:pPr>
              <w:spacing w:after="19"/>
              <w:rPr>
                <w:b/>
              </w:rPr>
            </w:pPr>
            <w:r w:rsidRPr="00F27E5A">
              <w:rPr>
                <w:b/>
              </w:rPr>
              <w:tab/>
            </w:r>
            <w:r w:rsidRPr="00F27E5A">
              <w:rPr>
                <w:b/>
              </w:rPr>
              <w:tab/>
              <w:t>Respondent.</w:t>
            </w:r>
          </w:p>
          <w:p w14:paraId="3C1DBAD4" w14:textId="77777777" w:rsidR="00EB6EA6" w:rsidRPr="00F27E5A" w:rsidRDefault="00EB6EA6" w:rsidP="00393B56">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14:paraId="61D1BD32" w14:textId="77777777" w:rsidR="00A670D4" w:rsidRDefault="00EB6EA6" w:rsidP="00EB6EA6">
            <w:pPr>
              <w:pStyle w:val="Header"/>
              <w:ind w:left="416"/>
              <w:rPr>
                <w:b/>
              </w:rPr>
            </w:pPr>
            <w:r w:rsidRPr="00F27E5A">
              <w:rPr>
                <w:b/>
              </w:rPr>
              <w:t>DOCKET</w:t>
            </w:r>
            <w:r>
              <w:rPr>
                <w:b/>
              </w:rPr>
              <w:t>S</w:t>
            </w:r>
            <w:r w:rsidRPr="00F27E5A">
              <w:rPr>
                <w:b/>
              </w:rPr>
              <w:t xml:space="preserve"> UE-1</w:t>
            </w:r>
            <w:r>
              <w:rPr>
                <w:b/>
              </w:rPr>
              <w:t>40188</w:t>
            </w:r>
            <w:r w:rsidR="00A670D4">
              <w:rPr>
                <w:b/>
              </w:rPr>
              <w:t xml:space="preserve"> and </w:t>
            </w:r>
          </w:p>
          <w:p w14:paraId="3C1DBAD5" w14:textId="21947F92" w:rsidR="00EB6EA6" w:rsidRPr="00F27E5A" w:rsidRDefault="00EB6EA6" w:rsidP="00EB6EA6">
            <w:pPr>
              <w:pStyle w:val="Header"/>
              <w:ind w:left="416"/>
              <w:rPr>
                <w:b/>
              </w:rPr>
            </w:pPr>
            <w:proofErr w:type="spellStart"/>
            <w:r>
              <w:rPr>
                <w:b/>
              </w:rPr>
              <w:t>UG</w:t>
            </w:r>
            <w:proofErr w:type="spellEnd"/>
            <w:r>
              <w:rPr>
                <w:b/>
              </w:rPr>
              <w:t>-140189</w:t>
            </w:r>
          </w:p>
          <w:p w14:paraId="3C1DBAD6" w14:textId="5C3C2EC4" w:rsidR="00EB6EA6" w:rsidRPr="00A670D4" w:rsidRDefault="00A670D4" w:rsidP="00EB6EA6">
            <w:pPr>
              <w:pStyle w:val="Header"/>
              <w:ind w:left="416"/>
              <w:rPr>
                <w:b/>
              </w:rPr>
            </w:pPr>
            <w:r>
              <w:rPr>
                <w:b/>
              </w:rPr>
              <w:t>(</w:t>
            </w:r>
            <w:r>
              <w:rPr>
                <w:b/>
                <w:i/>
              </w:rPr>
              <w:t>Consolidated</w:t>
            </w:r>
            <w:r>
              <w:rPr>
                <w:b/>
              </w:rPr>
              <w:t xml:space="preserve">) </w:t>
            </w:r>
          </w:p>
          <w:p w14:paraId="3C1DBAD7" w14:textId="77777777" w:rsidR="00EB6EA6" w:rsidRPr="00F27E5A" w:rsidRDefault="00EB6EA6" w:rsidP="00EB6EA6">
            <w:pPr>
              <w:pStyle w:val="Header"/>
              <w:ind w:left="416"/>
              <w:rPr>
                <w:b/>
              </w:rPr>
            </w:pPr>
          </w:p>
        </w:tc>
      </w:tr>
    </w:tbl>
    <w:p w14:paraId="3C1DBAD9" w14:textId="77777777" w:rsidR="00C3471C" w:rsidRDefault="00C3471C" w:rsidP="00C3471C">
      <w:pPr>
        <w:rPr>
          <w:b/>
          <w:bCs/>
        </w:rPr>
      </w:pPr>
    </w:p>
    <w:p w14:paraId="3C1DBADA" w14:textId="77777777" w:rsidR="00EB6EA6" w:rsidRDefault="00EB6EA6" w:rsidP="00C3471C">
      <w:pPr>
        <w:rPr>
          <w:b/>
          <w:bCs/>
        </w:rPr>
      </w:pPr>
    </w:p>
    <w:p w14:paraId="3C1DBADB" w14:textId="77777777" w:rsidR="00EB6EA6" w:rsidRDefault="00EB6EA6" w:rsidP="00C3471C">
      <w:pPr>
        <w:rPr>
          <w:b/>
          <w:bCs/>
        </w:rPr>
      </w:pPr>
    </w:p>
    <w:p w14:paraId="3C1DBADC" w14:textId="77777777" w:rsidR="00EB6EA6" w:rsidRPr="007E50F7" w:rsidRDefault="00EB6EA6" w:rsidP="00C3471C">
      <w:pPr>
        <w:rPr>
          <w:b/>
          <w:bCs/>
        </w:rPr>
      </w:pPr>
    </w:p>
    <w:p w14:paraId="3C1DBADD" w14:textId="77777777" w:rsidR="00C3471C" w:rsidRPr="007E50F7" w:rsidRDefault="00C3471C" w:rsidP="00C3471C">
      <w:pPr>
        <w:tabs>
          <w:tab w:val="center" w:pos="4680"/>
        </w:tabs>
        <w:jc w:val="center"/>
        <w:rPr>
          <w:b/>
          <w:bCs/>
        </w:rPr>
      </w:pPr>
      <w:r w:rsidRPr="007E50F7">
        <w:rPr>
          <w:b/>
          <w:bCs/>
        </w:rPr>
        <w:t>TESTIMONY OF</w:t>
      </w:r>
    </w:p>
    <w:p w14:paraId="3C1DBADE" w14:textId="77777777" w:rsidR="00C3471C" w:rsidRPr="007E50F7" w:rsidRDefault="00C3471C" w:rsidP="00C3471C">
      <w:pPr>
        <w:jc w:val="center"/>
        <w:rPr>
          <w:b/>
          <w:bCs/>
        </w:rPr>
      </w:pPr>
    </w:p>
    <w:p w14:paraId="3C1DBADF" w14:textId="77777777" w:rsidR="00C3471C" w:rsidRPr="007E50F7" w:rsidRDefault="002F1187" w:rsidP="00C3471C">
      <w:pPr>
        <w:tabs>
          <w:tab w:val="center" w:pos="4680"/>
        </w:tabs>
        <w:jc w:val="center"/>
        <w:rPr>
          <w:b/>
          <w:bCs/>
        </w:rPr>
      </w:pPr>
      <w:r w:rsidRPr="007E50F7">
        <w:rPr>
          <w:b/>
          <w:bCs/>
        </w:rPr>
        <w:t>CHRISTOPHER T. MICKELSON</w:t>
      </w:r>
    </w:p>
    <w:p w14:paraId="3C1DBAE0" w14:textId="77777777" w:rsidR="00C3471C" w:rsidRPr="007E50F7" w:rsidRDefault="00C3471C" w:rsidP="00C3471C">
      <w:pPr>
        <w:tabs>
          <w:tab w:val="center" w:pos="4680"/>
        </w:tabs>
        <w:jc w:val="center"/>
        <w:rPr>
          <w:b/>
          <w:bCs/>
        </w:rPr>
      </w:pPr>
    </w:p>
    <w:p w14:paraId="3C1DBAE1" w14:textId="77777777" w:rsidR="00C3471C" w:rsidRPr="007E50F7" w:rsidRDefault="00C3471C" w:rsidP="00C3471C">
      <w:pPr>
        <w:tabs>
          <w:tab w:val="center" w:pos="4680"/>
        </w:tabs>
        <w:jc w:val="center"/>
        <w:rPr>
          <w:b/>
          <w:bCs/>
        </w:rPr>
      </w:pPr>
      <w:r w:rsidRPr="007E50F7">
        <w:rPr>
          <w:b/>
          <w:bCs/>
        </w:rPr>
        <w:t>STAFF OF</w:t>
      </w:r>
    </w:p>
    <w:p w14:paraId="3C1DBAE2" w14:textId="77777777" w:rsidR="00C3471C" w:rsidRPr="007E50F7" w:rsidRDefault="00C3471C" w:rsidP="00C3471C">
      <w:pPr>
        <w:tabs>
          <w:tab w:val="center" w:pos="4680"/>
        </w:tabs>
        <w:jc w:val="center"/>
        <w:rPr>
          <w:b/>
          <w:bCs/>
        </w:rPr>
      </w:pPr>
      <w:r w:rsidRPr="007E50F7">
        <w:rPr>
          <w:b/>
          <w:bCs/>
        </w:rPr>
        <w:t>WASHINGTON UTILITIES AND</w:t>
      </w:r>
    </w:p>
    <w:p w14:paraId="3C1DBAE3" w14:textId="77777777" w:rsidR="00C3471C" w:rsidRPr="007E50F7" w:rsidRDefault="00C3471C" w:rsidP="00C3471C">
      <w:pPr>
        <w:tabs>
          <w:tab w:val="center" w:pos="4680"/>
        </w:tabs>
        <w:jc w:val="center"/>
        <w:rPr>
          <w:b/>
          <w:bCs/>
        </w:rPr>
      </w:pPr>
      <w:r w:rsidRPr="007E50F7">
        <w:rPr>
          <w:b/>
          <w:bCs/>
        </w:rPr>
        <w:t>TRANSPORTATION COMMISSION</w:t>
      </w:r>
    </w:p>
    <w:p w14:paraId="3C1DBAE4" w14:textId="77777777" w:rsidR="0074370C" w:rsidRDefault="0074370C" w:rsidP="00C3471C">
      <w:pPr>
        <w:tabs>
          <w:tab w:val="center" w:pos="4680"/>
        </w:tabs>
        <w:jc w:val="center"/>
        <w:rPr>
          <w:b/>
          <w:bCs/>
        </w:rPr>
      </w:pPr>
    </w:p>
    <w:p w14:paraId="3C1DBAE5" w14:textId="77777777" w:rsidR="00EB6EA6" w:rsidRDefault="00EB6EA6" w:rsidP="00C3471C">
      <w:pPr>
        <w:tabs>
          <w:tab w:val="center" w:pos="4680"/>
        </w:tabs>
        <w:jc w:val="center"/>
        <w:rPr>
          <w:b/>
          <w:bCs/>
        </w:rPr>
      </w:pPr>
    </w:p>
    <w:p w14:paraId="3C1DBAE6" w14:textId="77777777" w:rsidR="00EB6EA6" w:rsidRPr="007E50F7" w:rsidRDefault="00EB6EA6" w:rsidP="00C3471C">
      <w:pPr>
        <w:tabs>
          <w:tab w:val="center" w:pos="4680"/>
        </w:tabs>
        <w:jc w:val="center"/>
        <w:rPr>
          <w:b/>
          <w:bCs/>
        </w:rPr>
      </w:pPr>
    </w:p>
    <w:p w14:paraId="3C1DBAE7" w14:textId="77777777" w:rsidR="00464A47" w:rsidRPr="007E50F7" w:rsidRDefault="00464A47" w:rsidP="002F1187">
      <w:pPr>
        <w:jc w:val="center"/>
        <w:rPr>
          <w:b/>
          <w:bCs/>
          <w:i/>
        </w:rPr>
      </w:pPr>
      <w:r w:rsidRPr="007E50F7">
        <w:rPr>
          <w:b/>
          <w:bCs/>
          <w:i/>
        </w:rPr>
        <w:t xml:space="preserve">Electric </w:t>
      </w:r>
      <w:r w:rsidR="006F1931" w:rsidRPr="007E50F7">
        <w:rPr>
          <w:b/>
          <w:bCs/>
          <w:i/>
        </w:rPr>
        <w:t>Cost of Service</w:t>
      </w:r>
      <w:r w:rsidR="00820A91" w:rsidRPr="007E50F7">
        <w:rPr>
          <w:b/>
          <w:bCs/>
          <w:i/>
        </w:rPr>
        <w:t>, Revenue Allocation</w:t>
      </w:r>
      <w:r w:rsidR="0092519E" w:rsidRPr="007E50F7">
        <w:rPr>
          <w:b/>
          <w:bCs/>
          <w:i/>
        </w:rPr>
        <w:t>,</w:t>
      </w:r>
      <w:r w:rsidR="00D47143" w:rsidRPr="007E50F7">
        <w:rPr>
          <w:b/>
          <w:bCs/>
          <w:i/>
        </w:rPr>
        <w:t xml:space="preserve"> </w:t>
      </w:r>
      <w:r w:rsidRPr="007E50F7">
        <w:rPr>
          <w:b/>
          <w:bCs/>
          <w:i/>
        </w:rPr>
        <w:t>and Rate Design</w:t>
      </w:r>
    </w:p>
    <w:p w14:paraId="3C1DBAE8" w14:textId="77777777" w:rsidR="00C3471C" w:rsidRPr="007E50F7" w:rsidRDefault="00E80CFE" w:rsidP="002F1187">
      <w:pPr>
        <w:jc w:val="center"/>
        <w:rPr>
          <w:b/>
          <w:bCs/>
          <w:i/>
        </w:rPr>
      </w:pPr>
      <w:r w:rsidRPr="007E50F7">
        <w:rPr>
          <w:b/>
          <w:bCs/>
          <w:i/>
        </w:rPr>
        <w:t>Natural Gas</w:t>
      </w:r>
      <w:r w:rsidR="00464A47" w:rsidRPr="007E50F7">
        <w:rPr>
          <w:b/>
          <w:bCs/>
          <w:i/>
        </w:rPr>
        <w:t xml:space="preserve"> </w:t>
      </w:r>
      <w:r w:rsidR="00D47143" w:rsidRPr="007E50F7">
        <w:rPr>
          <w:b/>
          <w:bCs/>
          <w:i/>
        </w:rPr>
        <w:t>Cost of Service</w:t>
      </w:r>
      <w:r w:rsidR="00820A91" w:rsidRPr="007E50F7">
        <w:rPr>
          <w:b/>
          <w:bCs/>
          <w:i/>
        </w:rPr>
        <w:t>, Revenue Allocation</w:t>
      </w:r>
      <w:r w:rsidR="0092519E" w:rsidRPr="007E50F7">
        <w:rPr>
          <w:b/>
          <w:bCs/>
          <w:i/>
        </w:rPr>
        <w:t>,</w:t>
      </w:r>
      <w:r w:rsidR="002F1187" w:rsidRPr="007E50F7">
        <w:rPr>
          <w:b/>
          <w:bCs/>
          <w:i/>
        </w:rPr>
        <w:t xml:space="preserve"> </w:t>
      </w:r>
      <w:r w:rsidR="00440606" w:rsidRPr="007E50F7">
        <w:rPr>
          <w:b/>
          <w:bCs/>
          <w:i/>
        </w:rPr>
        <w:t>and</w:t>
      </w:r>
      <w:r w:rsidR="002F1187" w:rsidRPr="007E50F7">
        <w:rPr>
          <w:b/>
          <w:bCs/>
          <w:i/>
        </w:rPr>
        <w:t xml:space="preserve"> Rate Design</w:t>
      </w:r>
    </w:p>
    <w:p w14:paraId="3C1DBAE9" w14:textId="77777777" w:rsidR="00C3471C" w:rsidRDefault="00C3471C" w:rsidP="00C3471C">
      <w:pPr>
        <w:rPr>
          <w:b/>
          <w:bCs/>
        </w:rPr>
      </w:pPr>
    </w:p>
    <w:p w14:paraId="3C1DBAEC" w14:textId="77777777" w:rsidR="00EB6EA6" w:rsidRPr="007E50F7" w:rsidRDefault="00EB6EA6" w:rsidP="00C3471C">
      <w:pPr>
        <w:rPr>
          <w:b/>
          <w:bCs/>
        </w:rPr>
      </w:pPr>
    </w:p>
    <w:p w14:paraId="3C1DBAED" w14:textId="77777777" w:rsidR="00C3471C" w:rsidRPr="007E50F7" w:rsidRDefault="00EB6EA6" w:rsidP="00C3471C">
      <w:pPr>
        <w:tabs>
          <w:tab w:val="center" w:pos="4680"/>
        </w:tabs>
        <w:jc w:val="center"/>
        <w:rPr>
          <w:b/>
          <w:bCs/>
        </w:rPr>
      </w:pPr>
      <w:r>
        <w:rPr>
          <w:b/>
          <w:bCs/>
        </w:rPr>
        <w:t>July 22</w:t>
      </w:r>
      <w:r w:rsidR="002F1187" w:rsidRPr="007E50F7">
        <w:rPr>
          <w:b/>
          <w:bCs/>
        </w:rPr>
        <w:t>, 201</w:t>
      </w:r>
      <w:r>
        <w:rPr>
          <w:b/>
          <w:bCs/>
        </w:rPr>
        <w:t>4</w:t>
      </w:r>
    </w:p>
    <w:p w14:paraId="3C1DBAEE" w14:textId="77777777" w:rsidR="00C3471C" w:rsidRPr="007E50F7" w:rsidRDefault="00C3471C" w:rsidP="00C3471C">
      <w:pPr>
        <w:tabs>
          <w:tab w:val="center" w:pos="4680"/>
        </w:tabs>
        <w:rPr>
          <w:b/>
          <w:bCs/>
        </w:rPr>
      </w:pPr>
    </w:p>
    <w:p w14:paraId="3C1DBAEF" w14:textId="77777777" w:rsidR="00C3471C" w:rsidRPr="007E50F7" w:rsidRDefault="00C3471C" w:rsidP="00C3471C">
      <w:pPr>
        <w:tabs>
          <w:tab w:val="center" w:pos="4680"/>
        </w:tabs>
        <w:sectPr w:rsidR="00C3471C" w:rsidRPr="007E50F7" w:rsidSect="00C3471C">
          <w:footerReference w:type="default" r:id="rId13"/>
          <w:pgSz w:w="12240" w:h="15840" w:code="1"/>
          <w:pgMar w:top="1440" w:right="1440" w:bottom="1440" w:left="1872" w:header="720" w:footer="720" w:gutter="0"/>
          <w:cols w:space="720"/>
          <w:titlePg/>
          <w:docGrid w:linePitch="360"/>
        </w:sectPr>
      </w:pPr>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14:paraId="3C1DBAF0" w14:textId="77777777" w:rsidR="00641F26" w:rsidRPr="007E50F7" w:rsidRDefault="00641F26" w:rsidP="00CE2CD8">
          <w:pPr>
            <w:pStyle w:val="TOCHeading"/>
            <w:numPr>
              <w:ilvl w:val="0"/>
              <w:numId w:val="0"/>
            </w:numPr>
            <w:spacing w:line="240" w:lineRule="auto"/>
            <w:jc w:val="center"/>
            <w:rPr>
              <w:rFonts w:ascii="Times New Roman" w:hAnsi="Times New Roman" w:cs="Times New Roman"/>
              <w:color w:val="auto"/>
              <w:sz w:val="24"/>
              <w:szCs w:val="24"/>
            </w:rPr>
          </w:pPr>
          <w:r w:rsidRPr="007E50F7">
            <w:rPr>
              <w:rFonts w:ascii="Times New Roman" w:hAnsi="Times New Roman" w:cs="Times New Roman"/>
              <w:color w:val="auto"/>
              <w:sz w:val="24"/>
              <w:szCs w:val="24"/>
            </w:rPr>
            <w:t>TABLE OF CONTENTS</w:t>
          </w:r>
        </w:p>
        <w:p w14:paraId="3C1DBAF1" w14:textId="77777777" w:rsidR="00641F26" w:rsidRPr="007E50F7" w:rsidRDefault="00641F26" w:rsidP="00641F26">
          <w:pPr>
            <w:rPr>
              <w:lang w:eastAsia="ja-JP"/>
            </w:rPr>
          </w:pPr>
        </w:p>
        <w:p w14:paraId="49CB19D6" w14:textId="2BEA8664" w:rsidR="00AA29F4" w:rsidRDefault="006C0746">
          <w:pPr>
            <w:pStyle w:val="TOC1"/>
            <w:rPr>
              <w:rFonts w:asciiTheme="minorHAnsi" w:hAnsiTheme="minorHAnsi"/>
              <w:noProof/>
              <w:sz w:val="22"/>
              <w:lang w:eastAsia="en-US"/>
            </w:rPr>
          </w:pPr>
          <w:r w:rsidRPr="007E50F7">
            <w:fldChar w:fldCharType="begin"/>
          </w:r>
          <w:r w:rsidR="006B4E3E" w:rsidRPr="007E50F7">
            <w:instrText xml:space="preserve"> TOC \o "1-7" \h \z \u </w:instrText>
          </w:r>
          <w:r w:rsidRPr="007E50F7">
            <w:fldChar w:fldCharType="separate"/>
          </w:r>
          <w:hyperlink w:anchor="_Toc393696912" w:history="1">
            <w:r w:rsidR="00AA29F4" w:rsidRPr="00470FD8">
              <w:rPr>
                <w:rStyle w:val="Hyperlink"/>
                <w:noProof/>
              </w:rPr>
              <w:t>I.</w:t>
            </w:r>
            <w:r w:rsidR="00AA29F4">
              <w:rPr>
                <w:rFonts w:asciiTheme="minorHAnsi" w:hAnsiTheme="minorHAnsi"/>
                <w:noProof/>
                <w:sz w:val="22"/>
                <w:lang w:eastAsia="en-US"/>
              </w:rPr>
              <w:tab/>
            </w:r>
            <w:r w:rsidR="00AA29F4" w:rsidRPr="00470FD8">
              <w:rPr>
                <w:rStyle w:val="Hyperlink"/>
                <w:noProof/>
              </w:rPr>
              <w:t>INTRODUCTION</w:t>
            </w:r>
            <w:r w:rsidR="00AA29F4">
              <w:rPr>
                <w:noProof/>
                <w:webHidden/>
              </w:rPr>
              <w:tab/>
            </w:r>
            <w:r w:rsidR="00AA29F4">
              <w:rPr>
                <w:noProof/>
                <w:webHidden/>
              </w:rPr>
              <w:fldChar w:fldCharType="begin"/>
            </w:r>
            <w:r w:rsidR="00AA29F4">
              <w:rPr>
                <w:noProof/>
                <w:webHidden/>
              </w:rPr>
              <w:instrText xml:space="preserve"> PAGEREF _Toc393696912 \h </w:instrText>
            </w:r>
            <w:r w:rsidR="00AA29F4">
              <w:rPr>
                <w:noProof/>
                <w:webHidden/>
              </w:rPr>
            </w:r>
            <w:r w:rsidR="00AA29F4">
              <w:rPr>
                <w:noProof/>
                <w:webHidden/>
              </w:rPr>
              <w:fldChar w:fldCharType="separate"/>
            </w:r>
            <w:r w:rsidR="0004481F">
              <w:rPr>
                <w:noProof/>
                <w:webHidden/>
              </w:rPr>
              <w:t>1</w:t>
            </w:r>
            <w:r w:rsidR="00AA29F4">
              <w:rPr>
                <w:noProof/>
                <w:webHidden/>
              </w:rPr>
              <w:fldChar w:fldCharType="end"/>
            </w:r>
          </w:hyperlink>
        </w:p>
        <w:p w14:paraId="0FAAF51F" w14:textId="5F328417" w:rsidR="00AA29F4" w:rsidRDefault="0004481F">
          <w:pPr>
            <w:pStyle w:val="TOC1"/>
            <w:rPr>
              <w:rFonts w:asciiTheme="minorHAnsi" w:hAnsiTheme="minorHAnsi"/>
              <w:noProof/>
              <w:sz w:val="22"/>
              <w:lang w:eastAsia="en-US"/>
            </w:rPr>
          </w:pPr>
          <w:hyperlink w:anchor="_Toc393696913" w:history="1">
            <w:r w:rsidR="00AA29F4" w:rsidRPr="00470FD8">
              <w:rPr>
                <w:rStyle w:val="Hyperlink"/>
                <w:noProof/>
              </w:rPr>
              <w:t>II.</w:t>
            </w:r>
            <w:r w:rsidR="00AA29F4">
              <w:rPr>
                <w:rFonts w:asciiTheme="minorHAnsi" w:hAnsiTheme="minorHAnsi"/>
                <w:noProof/>
                <w:sz w:val="22"/>
                <w:lang w:eastAsia="en-US"/>
              </w:rPr>
              <w:tab/>
            </w:r>
            <w:r w:rsidR="00AA29F4" w:rsidRPr="00470FD8">
              <w:rPr>
                <w:rStyle w:val="Hyperlink"/>
                <w:noProof/>
              </w:rPr>
              <w:t>SCOPE AND SUMMARY OF TESTIMONY</w:t>
            </w:r>
            <w:r w:rsidR="00AA29F4">
              <w:rPr>
                <w:noProof/>
                <w:webHidden/>
              </w:rPr>
              <w:tab/>
            </w:r>
            <w:r w:rsidR="00AA29F4">
              <w:rPr>
                <w:noProof/>
                <w:webHidden/>
              </w:rPr>
              <w:fldChar w:fldCharType="begin"/>
            </w:r>
            <w:r w:rsidR="00AA29F4">
              <w:rPr>
                <w:noProof/>
                <w:webHidden/>
              </w:rPr>
              <w:instrText xml:space="preserve"> PAGEREF _Toc393696913 \h </w:instrText>
            </w:r>
            <w:r w:rsidR="00AA29F4">
              <w:rPr>
                <w:noProof/>
                <w:webHidden/>
              </w:rPr>
            </w:r>
            <w:r w:rsidR="00AA29F4">
              <w:rPr>
                <w:noProof/>
                <w:webHidden/>
              </w:rPr>
              <w:fldChar w:fldCharType="separate"/>
            </w:r>
            <w:r>
              <w:rPr>
                <w:noProof/>
                <w:webHidden/>
              </w:rPr>
              <w:t>3</w:t>
            </w:r>
            <w:r w:rsidR="00AA29F4">
              <w:rPr>
                <w:noProof/>
                <w:webHidden/>
              </w:rPr>
              <w:fldChar w:fldCharType="end"/>
            </w:r>
          </w:hyperlink>
        </w:p>
        <w:p w14:paraId="2C8A5997" w14:textId="3002576C" w:rsidR="00AA29F4" w:rsidRDefault="0004481F">
          <w:pPr>
            <w:pStyle w:val="TOC1"/>
            <w:rPr>
              <w:rFonts w:asciiTheme="minorHAnsi" w:hAnsiTheme="minorHAnsi"/>
              <w:noProof/>
              <w:sz w:val="22"/>
              <w:lang w:eastAsia="en-US"/>
            </w:rPr>
          </w:pPr>
          <w:hyperlink w:anchor="_Toc393696914" w:history="1">
            <w:r w:rsidR="00AA29F4" w:rsidRPr="00470FD8">
              <w:rPr>
                <w:rStyle w:val="Hyperlink"/>
                <w:noProof/>
              </w:rPr>
              <w:t>III.</w:t>
            </w:r>
            <w:r w:rsidR="00AA29F4">
              <w:rPr>
                <w:rFonts w:asciiTheme="minorHAnsi" w:hAnsiTheme="minorHAnsi"/>
                <w:noProof/>
                <w:sz w:val="22"/>
                <w:lang w:eastAsia="en-US"/>
              </w:rPr>
              <w:tab/>
            </w:r>
            <w:r w:rsidR="00AA29F4" w:rsidRPr="00470FD8">
              <w:rPr>
                <w:rStyle w:val="Hyperlink"/>
                <w:noProof/>
              </w:rPr>
              <w:t>COST OF SERVICE CONSIDERATIONS</w:t>
            </w:r>
            <w:r w:rsidR="00AA29F4">
              <w:rPr>
                <w:noProof/>
                <w:webHidden/>
              </w:rPr>
              <w:tab/>
            </w:r>
            <w:r w:rsidR="00AA29F4">
              <w:rPr>
                <w:noProof/>
                <w:webHidden/>
              </w:rPr>
              <w:fldChar w:fldCharType="begin"/>
            </w:r>
            <w:r w:rsidR="00AA29F4">
              <w:rPr>
                <w:noProof/>
                <w:webHidden/>
              </w:rPr>
              <w:instrText xml:space="preserve"> PAGEREF _Toc393696914 \h </w:instrText>
            </w:r>
            <w:r w:rsidR="00AA29F4">
              <w:rPr>
                <w:noProof/>
                <w:webHidden/>
              </w:rPr>
            </w:r>
            <w:r w:rsidR="00AA29F4">
              <w:rPr>
                <w:noProof/>
                <w:webHidden/>
              </w:rPr>
              <w:fldChar w:fldCharType="separate"/>
            </w:r>
            <w:r>
              <w:rPr>
                <w:noProof/>
                <w:webHidden/>
              </w:rPr>
              <w:t>7</w:t>
            </w:r>
            <w:r w:rsidR="00AA29F4">
              <w:rPr>
                <w:noProof/>
                <w:webHidden/>
              </w:rPr>
              <w:fldChar w:fldCharType="end"/>
            </w:r>
          </w:hyperlink>
        </w:p>
        <w:p w14:paraId="529BB997" w14:textId="64E0A7BE" w:rsidR="00AA29F4" w:rsidRDefault="0004481F">
          <w:pPr>
            <w:pStyle w:val="TOC1"/>
            <w:rPr>
              <w:rFonts w:asciiTheme="minorHAnsi" w:hAnsiTheme="minorHAnsi"/>
              <w:noProof/>
              <w:sz w:val="22"/>
              <w:lang w:eastAsia="en-US"/>
            </w:rPr>
          </w:pPr>
          <w:hyperlink w:anchor="_Toc393696915" w:history="1">
            <w:r w:rsidR="00AA29F4" w:rsidRPr="00470FD8">
              <w:rPr>
                <w:rStyle w:val="Hyperlink"/>
                <w:noProof/>
              </w:rPr>
              <w:t>IV.</w:t>
            </w:r>
            <w:r w:rsidR="00AA29F4">
              <w:rPr>
                <w:rFonts w:asciiTheme="minorHAnsi" w:hAnsiTheme="minorHAnsi"/>
                <w:noProof/>
                <w:sz w:val="22"/>
                <w:lang w:eastAsia="en-US"/>
              </w:rPr>
              <w:tab/>
            </w:r>
            <w:r w:rsidR="00AA29F4" w:rsidRPr="00470FD8">
              <w:rPr>
                <w:rStyle w:val="Hyperlink"/>
                <w:noProof/>
              </w:rPr>
              <w:t>ELECTRIC COST OF SERVICE</w:t>
            </w:r>
            <w:r w:rsidR="00AA29F4">
              <w:rPr>
                <w:noProof/>
                <w:webHidden/>
              </w:rPr>
              <w:tab/>
            </w:r>
            <w:r w:rsidR="00AA29F4">
              <w:rPr>
                <w:noProof/>
                <w:webHidden/>
              </w:rPr>
              <w:fldChar w:fldCharType="begin"/>
            </w:r>
            <w:r w:rsidR="00AA29F4">
              <w:rPr>
                <w:noProof/>
                <w:webHidden/>
              </w:rPr>
              <w:instrText xml:space="preserve"> PAGEREF _Toc393696915 \h </w:instrText>
            </w:r>
            <w:r w:rsidR="00AA29F4">
              <w:rPr>
                <w:noProof/>
                <w:webHidden/>
              </w:rPr>
            </w:r>
            <w:r w:rsidR="00AA29F4">
              <w:rPr>
                <w:noProof/>
                <w:webHidden/>
              </w:rPr>
              <w:fldChar w:fldCharType="separate"/>
            </w:r>
            <w:r>
              <w:rPr>
                <w:noProof/>
                <w:webHidden/>
              </w:rPr>
              <w:t>10</w:t>
            </w:r>
            <w:r w:rsidR="00AA29F4">
              <w:rPr>
                <w:noProof/>
                <w:webHidden/>
              </w:rPr>
              <w:fldChar w:fldCharType="end"/>
            </w:r>
          </w:hyperlink>
        </w:p>
        <w:p w14:paraId="3B2BB77D" w14:textId="1990183D" w:rsidR="00AA29F4" w:rsidRDefault="0004481F">
          <w:pPr>
            <w:pStyle w:val="TOC3"/>
            <w:rPr>
              <w:rFonts w:asciiTheme="minorHAnsi" w:hAnsiTheme="minorHAnsi"/>
              <w:noProof/>
              <w:sz w:val="22"/>
              <w:lang w:eastAsia="en-US"/>
            </w:rPr>
          </w:pPr>
          <w:hyperlink w:anchor="_Toc393696916"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Newly Created Class: Schedule 26</w:t>
            </w:r>
            <w:r w:rsidR="00AA29F4">
              <w:rPr>
                <w:noProof/>
                <w:webHidden/>
              </w:rPr>
              <w:tab/>
            </w:r>
            <w:r w:rsidR="00AA29F4">
              <w:rPr>
                <w:noProof/>
                <w:webHidden/>
              </w:rPr>
              <w:fldChar w:fldCharType="begin"/>
            </w:r>
            <w:r w:rsidR="00AA29F4">
              <w:rPr>
                <w:noProof/>
                <w:webHidden/>
              </w:rPr>
              <w:instrText xml:space="preserve"> PAGEREF _Toc393696916 \h </w:instrText>
            </w:r>
            <w:r w:rsidR="00AA29F4">
              <w:rPr>
                <w:noProof/>
                <w:webHidden/>
              </w:rPr>
            </w:r>
            <w:r w:rsidR="00AA29F4">
              <w:rPr>
                <w:noProof/>
                <w:webHidden/>
              </w:rPr>
              <w:fldChar w:fldCharType="separate"/>
            </w:r>
            <w:r>
              <w:rPr>
                <w:noProof/>
                <w:webHidden/>
              </w:rPr>
              <w:t>11</w:t>
            </w:r>
            <w:r w:rsidR="00AA29F4">
              <w:rPr>
                <w:noProof/>
                <w:webHidden/>
              </w:rPr>
              <w:fldChar w:fldCharType="end"/>
            </w:r>
          </w:hyperlink>
        </w:p>
        <w:p w14:paraId="172B03E4" w14:textId="47FEAB6F" w:rsidR="00AA29F4" w:rsidRDefault="0004481F">
          <w:pPr>
            <w:pStyle w:val="TOC3"/>
            <w:rPr>
              <w:rFonts w:asciiTheme="minorHAnsi" w:hAnsiTheme="minorHAnsi"/>
              <w:noProof/>
              <w:sz w:val="22"/>
              <w:lang w:eastAsia="en-US"/>
            </w:rPr>
          </w:pPr>
          <w:hyperlink w:anchor="_Toc393696917"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Electric Cost Classifications and Allocations</w:t>
            </w:r>
            <w:r w:rsidR="00AA29F4">
              <w:rPr>
                <w:noProof/>
                <w:webHidden/>
              </w:rPr>
              <w:tab/>
            </w:r>
            <w:r w:rsidR="00AA29F4">
              <w:rPr>
                <w:noProof/>
                <w:webHidden/>
              </w:rPr>
              <w:fldChar w:fldCharType="begin"/>
            </w:r>
            <w:r w:rsidR="00AA29F4">
              <w:rPr>
                <w:noProof/>
                <w:webHidden/>
              </w:rPr>
              <w:instrText xml:space="preserve"> PAGEREF _Toc393696917 \h </w:instrText>
            </w:r>
            <w:r w:rsidR="00AA29F4">
              <w:rPr>
                <w:noProof/>
                <w:webHidden/>
              </w:rPr>
            </w:r>
            <w:r w:rsidR="00AA29F4">
              <w:rPr>
                <w:noProof/>
                <w:webHidden/>
              </w:rPr>
              <w:fldChar w:fldCharType="separate"/>
            </w:r>
            <w:r>
              <w:rPr>
                <w:noProof/>
                <w:webHidden/>
              </w:rPr>
              <w:t>12</w:t>
            </w:r>
            <w:r w:rsidR="00AA29F4">
              <w:rPr>
                <w:noProof/>
                <w:webHidden/>
              </w:rPr>
              <w:fldChar w:fldCharType="end"/>
            </w:r>
          </w:hyperlink>
        </w:p>
        <w:p w14:paraId="6840EE42" w14:textId="1003A1E9" w:rsidR="00AA29F4" w:rsidRDefault="0004481F">
          <w:pPr>
            <w:pStyle w:val="TOC6"/>
            <w:rPr>
              <w:rFonts w:asciiTheme="minorHAnsi" w:eastAsiaTheme="minorEastAsia" w:hAnsiTheme="minorHAnsi" w:cstheme="minorBidi"/>
              <w:noProof/>
              <w:sz w:val="22"/>
              <w:szCs w:val="22"/>
            </w:rPr>
          </w:pPr>
          <w:hyperlink w:anchor="_Toc393696918" w:history="1">
            <w:r w:rsidR="00AA29F4" w:rsidRPr="00470FD8">
              <w:rPr>
                <w:rStyle w:val="Hyperlink"/>
                <w:noProof/>
              </w:rPr>
              <w:t>1.</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General Plant Costs and Administrative and General Expenses</w:t>
            </w:r>
            <w:r w:rsidR="00AA29F4">
              <w:rPr>
                <w:noProof/>
                <w:webHidden/>
              </w:rPr>
              <w:tab/>
            </w:r>
            <w:r w:rsidR="00AA29F4">
              <w:rPr>
                <w:noProof/>
                <w:webHidden/>
              </w:rPr>
              <w:fldChar w:fldCharType="begin"/>
            </w:r>
            <w:r w:rsidR="00AA29F4">
              <w:rPr>
                <w:noProof/>
                <w:webHidden/>
              </w:rPr>
              <w:instrText xml:space="preserve"> PAGEREF _Toc393696918 \h </w:instrText>
            </w:r>
            <w:r w:rsidR="00AA29F4">
              <w:rPr>
                <w:noProof/>
                <w:webHidden/>
              </w:rPr>
            </w:r>
            <w:r w:rsidR="00AA29F4">
              <w:rPr>
                <w:noProof/>
                <w:webHidden/>
              </w:rPr>
              <w:fldChar w:fldCharType="separate"/>
            </w:r>
            <w:r>
              <w:rPr>
                <w:noProof/>
                <w:webHidden/>
              </w:rPr>
              <w:t>14</w:t>
            </w:r>
            <w:r w:rsidR="00AA29F4">
              <w:rPr>
                <w:noProof/>
                <w:webHidden/>
              </w:rPr>
              <w:fldChar w:fldCharType="end"/>
            </w:r>
          </w:hyperlink>
        </w:p>
        <w:p w14:paraId="1E014F2B" w14:textId="7667204A" w:rsidR="00AA29F4" w:rsidRDefault="0004481F">
          <w:pPr>
            <w:pStyle w:val="TOC6"/>
            <w:rPr>
              <w:rFonts w:asciiTheme="minorHAnsi" w:eastAsiaTheme="minorEastAsia" w:hAnsiTheme="minorHAnsi" w:cstheme="minorBidi"/>
              <w:noProof/>
              <w:sz w:val="22"/>
              <w:szCs w:val="22"/>
            </w:rPr>
          </w:pPr>
          <w:hyperlink w:anchor="_Toc393696919" w:history="1">
            <w:r w:rsidR="00AA29F4" w:rsidRPr="00470FD8">
              <w:rPr>
                <w:rStyle w:val="Hyperlink"/>
                <w:noProof/>
              </w:rPr>
              <w:t>2.</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Production Costs</w:t>
            </w:r>
            <w:r w:rsidR="00AA29F4">
              <w:rPr>
                <w:noProof/>
                <w:webHidden/>
              </w:rPr>
              <w:tab/>
            </w:r>
            <w:r w:rsidR="00AA29F4">
              <w:rPr>
                <w:noProof/>
                <w:webHidden/>
              </w:rPr>
              <w:fldChar w:fldCharType="begin"/>
            </w:r>
            <w:r w:rsidR="00AA29F4">
              <w:rPr>
                <w:noProof/>
                <w:webHidden/>
              </w:rPr>
              <w:instrText xml:space="preserve"> PAGEREF _Toc393696919 \h </w:instrText>
            </w:r>
            <w:r w:rsidR="00AA29F4">
              <w:rPr>
                <w:noProof/>
                <w:webHidden/>
              </w:rPr>
            </w:r>
            <w:r w:rsidR="00AA29F4">
              <w:rPr>
                <w:noProof/>
                <w:webHidden/>
              </w:rPr>
              <w:fldChar w:fldCharType="separate"/>
            </w:r>
            <w:r>
              <w:rPr>
                <w:noProof/>
                <w:webHidden/>
              </w:rPr>
              <w:t>16</w:t>
            </w:r>
            <w:r w:rsidR="00AA29F4">
              <w:rPr>
                <w:noProof/>
                <w:webHidden/>
              </w:rPr>
              <w:fldChar w:fldCharType="end"/>
            </w:r>
          </w:hyperlink>
        </w:p>
        <w:p w14:paraId="3346DB65" w14:textId="6D4E9D02" w:rsidR="00AA29F4" w:rsidRDefault="0004481F">
          <w:pPr>
            <w:pStyle w:val="TOC6"/>
            <w:rPr>
              <w:rFonts w:asciiTheme="minorHAnsi" w:eastAsiaTheme="minorEastAsia" w:hAnsiTheme="minorHAnsi" w:cstheme="minorBidi"/>
              <w:noProof/>
              <w:sz w:val="22"/>
              <w:szCs w:val="22"/>
            </w:rPr>
          </w:pPr>
          <w:hyperlink w:anchor="_Toc393696920" w:history="1">
            <w:r w:rsidR="00AA29F4" w:rsidRPr="00470FD8">
              <w:rPr>
                <w:rStyle w:val="Hyperlink"/>
                <w:noProof/>
              </w:rPr>
              <w:t>3.</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Transmission Costs</w:t>
            </w:r>
            <w:r w:rsidR="00AA29F4">
              <w:rPr>
                <w:noProof/>
                <w:webHidden/>
              </w:rPr>
              <w:tab/>
            </w:r>
            <w:r w:rsidR="00AA29F4">
              <w:rPr>
                <w:noProof/>
                <w:webHidden/>
              </w:rPr>
              <w:fldChar w:fldCharType="begin"/>
            </w:r>
            <w:r w:rsidR="00AA29F4">
              <w:rPr>
                <w:noProof/>
                <w:webHidden/>
              </w:rPr>
              <w:instrText xml:space="preserve"> PAGEREF _Toc393696920 \h </w:instrText>
            </w:r>
            <w:r w:rsidR="00AA29F4">
              <w:rPr>
                <w:noProof/>
                <w:webHidden/>
              </w:rPr>
            </w:r>
            <w:r w:rsidR="00AA29F4">
              <w:rPr>
                <w:noProof/>
                <w:webHidden/>
              </w:rPr>
              <w:fldChar w:fldCharType="separate"/>
            </w:r>
            <w:r>
              <w:rPr>
                <w:noProof/>
                <w:webHidden/>
              </w:rPr>
              <w:t>21</w:t>
            </w:r>
            <w:r w:rsidR="00AA29F4">
              <w:rPr>
                <w:noProof/>
                <w:webHidden/>
              </w:rPr>
              <w:fldChar w:fldCharType="end"/>
            </w:r>
          </w:hyperlink>
        </w:p>
        <w:p w14:paraId="405B8310" w14:textId="7BEA45BE" w:rsidR="00AA29F4" w:rsidRDefault="0004481F">
          <w:pPr>
            <w:pStyle w:val="TOC6"/>
            <w:rPr>
              <w:rFonts w:asciiTheme="minorHAnsi" w:eastAsiaTheme="minorEastAsia" w:hAnsiTheme="minorHAnsi" w:cstheme="minorBidi"/>
              <w:noProof/>
              <w:sz w:val="22"/>
              <w:szCs w:val="22"/>
            </w:rPr>
          </w:pPr>
          <w:hyperlink w:anchor="_Toc393696921" w:history="1">
            <w:r w:rsidR="00AA29F4" w:rsidRPr="00470FD8">
              <w:rPr>
                <w:rStyle w:val="Hyperlink"/>
                <w:noProof/>
              </w:rPr>
              <w:t>4.</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Wind Costs</w:t>
            </w:r>
            <w:r w:rsidR="00AA29F4">
              <w:rPr>
                <w:noProof/>
                <w:webHidden/>
              </w:rPr>
              <w:tab/>
            </w:r>
            <w:r w:rsidR="00AA29F4">
              <w:rPr>
                <w:noProof/>
                <w:webHidden/>
              </w:rPr>
              <w:fldChar w:fldCharType="begin"/>
            </w:r>
            <w:r w:rsidR="00AA29F4">
              <w:rPr>
                <w:noProof/>
                <w:webHidden/>
              </w:rPr>
              <w:instrText xml:space="preserve"> PAGEREF _Toc393696921 \h </w:instrText>
            </w:r>
            <w:r w:rsidR="00AA29F4">
              <w:rPr>
                <w:noProof/>
                <w:webHidden/>
              </w:rPr>
            </w:r>
            <w:r w:rsidR="00AA29F4">
              <w:rPr>
                <w:noProof/>
                <w:webHidden/>
              </w:rPr>
              <w:fldChar w:fldCharType="separate"/>
            </w:r>
            <w:r>
              <w:rPr>
                <w:noProof/>
                <w:webHidden/>
              </w:rPr>
              <w:t>24</w:t>
            </w:r>
            <w:r w:rsidR="00AA29F4">
              <w:rPr>
                <w:noProof/>
                <w:webHidden/>
              </w:rPr>
              <w:fldChar w:fldCharType="end"/>
            </w:r>
          </w:hyperlink>
        </w:p>
        <w:p w14:paraId="11BFE0B2" w14:textId="65827924" w:rsidR="00AA29F4" w:rsidRDefault="0004481F">
          <w:pPr>
            <w:pStyle w:val="TOC3"/>
            <w:rPr>
              <w:rFonts w:asciiTheme="minorHAnsi" w:hAnsiTheme="minorHAnsi"/>
              <w:noProof/>
              <w:sz w:val="22"/>
              <w:lang w:eastAsia="en-US"/>
            </w:rPr>
          </w:pPr>
          <w:hyperlink w:anchor="_Toc393696922" w:history="1">
            <w:r w:rsidR="00AA29F4" w:rsidRPr="00470FD8">
              <w:rPr>
                <w:rStyle w:val="Hyperlink"/>
                <w:noProof/>
              </w:rPr>
              <w:t>C.</w:t>
            </w:r>
            <w:r w:rsidR="00AA29F4">
              <w:rPr>
                <w:rFonts w:asciiTheme="minorHAnsi" w:hAnsiTheme="minorHAnsi"/>
                <w:noProof/>
                <w:sz w:val="22"/>
                <w:lang w:eastAsia="en-US"/>
              </w:rPr>
              <w:tab/>
            </w:r>
            <w:r w:rsidR="00AA29F4" w:rsidRPr="00470FD8">
              <w:rPr>
                <w:rStyle w:val="Hyperlink"/>
                <w:noProof/>
              </w:rPr>
              <w:t>Company’s Cost of Service Study</w:t>
            </w:r>
            <w:r w:rsidR="00AA29F4">
              <w:rPr>
                <w:noProof/>
                <w:webHidden/>
              </w:rPr>
              <w:tab/>
            </w:r>
            <w:r w:rsidR="00AA29F4">
              <w:rPr>
                <w:noProof/>
                <w:webHidden/>
              </w:rPr>
              <w:fldChar w:fldCharType="begin"/>
            </w:r>
            <w:r w:rsidR="00AA29F4">
              <w:rPr>
                <w:noProof/>
                <w:webHidden/>
              </w:rPr>
              <w:instrText xml:space="preserve"> PAGEREF _Toc393696922 \h </w:instrText>
            </w:r>
            <w:r w:rsidR="00AA29F4">
              <w:rPr>
                <w:noProof/>
                <w:webHidden/>
              </w:rPr>
            </w:r>
            <w:r w:rsidR="00AA29F4">
              <w:rPr>
                <w:noProof/>
                <w:webHidden/>
              </w:rPr>
              <w:fldChar w:fldCharType="separate"/>
            </w:r>
            <w:r>
              <w:rPr>
                <w:noProof/>
                <w:webHidden/>
              </w:rPr>
              <w:t>26</w:t>
            </w:r>
            <w:r w:rsidR="00AA29F4">
              <w:rPr>
                <w:noProof/>
                <w:webHidden/>
              </w:rPr>
              <w:fldChar w:fldCharType="end"/>
            </w:r>
          </w:hyperlink>
        </w:p>
        <w:p w14:paraId="091BC504" w14:textId="596E424D" w:rsidR="00AA29F4" w:rsidRDefault="0004481F">
          <w:pPr>
            <w:pStyle w:val="TOC3"/>
            <w:rPr>
              <w:rFonts w:asciiTheme="minorHAnsi" w:hAnsiTheme="minorHAnsi"/>
              <w:noProof/>
              <w:sz w:val="22"/>
              <w:lang w:eastAsia="en-US"/>
            </w:rPr>
          </w:pPr>
          <w:hyperlink w:anchor="_Toc393696923" w:history="1">
            <w:r w:rsidR="00AA29F4" w:rsidRPr="00470FD8">
              <w:rPr>
                <w:rStyle w:val="Hyperlink"/>
                <w:noProof/>
              </w:rPr>
              <w:t>D.</w:t>
            </w:r>
            <w:r w:rsidR="00AA29F4">
              <w:rPr>
                <w:rFonts w:asciiTheme="minorHAnsi" w:hAnsiTheme="minorHAnsi"/>
                <w:noProof/>
                <w:sz w:val="22"/>
                <w:lang w:eastAsia="en-US"/>
              </w:rPr>
              <w:tab/>
            </w:r>
            <w:r w:rsidR="00AA29F4" w:rsidRPr="00470FD8">
              <w:rPr>
                <w:rStyle w:val="Hyperlink"/>
                <w:noProof/>
              </w:rPr>
              <w:t>Parity Ratios</w:t>
            </w:r>
            <w:r w:rsidR="00AA29F4">
              <w:rPr>
                <w:noProof/>
                <w:webHidden/>
              </w:rPr>
              <w:tab/>
            </w:r>
            <w:r w:rsidR="00AA29F4">
              <w:rPr>
                <w:noProof/>
                <w:webHidden/>
              </w:rPr>
              <w:fldChar w:fldCharType="begin"/>
            </w:r>
            <w:r w:rsidR="00AA29F4">
              <w:rPr>
                <w:noProof/>
                <w:webHidden/>
              </w:rPr>
              <w:instrText xml:space="preserve"> PAGEREF _Toc393696923 \h </w:instrText>
            </w:r>
            <w:r w:rsidR="00AA29F4">
              <w:rPr>
                <w:noProof/>
                <w:webHidden/>
              </w:rPr>
            </w:r>
            <w:r w:rsidR="00AA29F4">
              <w:rPr>
                <w:noProof/>
                <w:webHidden/>
              </w:rPr>
              <w:fldChar w:fldCharType="separate"/>
            </w:r>
            <w:r>
              <w:rPr>
                <w:noProof/>
                <w:webHidden/>
              </w:rPr>
              <w:t>29</w:t>
            </w:r>
            <w:r w:rsidR="00AA29F4">
              <w:rPr>
                <w:noProof/>
                <w:webHidden/>
              </w:rPr>
              <w:fldChar w:fldCharType="end"/>
            </w:r>
          </w:hyperlink>
        </w:p>
        <w:p w14:paraId="0961CE59" w14:textId="75F27736" w:rsidR="00AA29F4" w:rsidRDefault="0004481F">
          <w:pPr>
            <w:pStyle w:val="TOC1"/>
            <w:rPr>
              <w:rFonts w:asciiTheme="minorHAnsi" w:hAnsiTheme="minorHAnsi"/>
              <w:noProof/>
              <w:sz w:val="22"/>
              <w:lang w:eastAsia="en-US"/>
            </w:rPr>
          </w:pPr>
          <w:hyperlink w:anchor="_Toc393696924" w:history="1">
            <w:r w:rsidR="00AA29F4" w:rsidRPr="00470FD8">
              <w:rPr>
                <w:rStyle w:val="Hyperlink"/>
                <w:noProof/>
              </w:rPr>
              <w:t>V.</w:t>
            </w:r>
            <w:r w:rsidR="00AA29F4">
              <w:rPr>
                <w:rFonts w:asciiTheme="minorHAnsi" w:hAnsiTheme="minorHAnsi"/>
                <w:noProof/>
                <w:sz w:val="22"/>
                <w:lang w:eastAsia="en-US"/>
              </w:rPr>
              <w:tab/>
            </w:r>
            <w:r w:rsidR="00AA29F4" w:rsidRPr="00470FD8">
              <w:rPr>
                <w:rStyle w:val="Hyperlink"/>
                <w:noProof/>
              </w:rPr>
              <w:t>ELECTRIC REVENUE ALLOCATION</w:t>
            </w:r>
            <w:r w:rsidR="00AA29F4">
              <w:rPr>
                <w:noProof/>
                <w:webHidden/>
              </w:rPr>
              <w:tab/>
            </w:r>
            <w:r w:rsidR="00AA29F4">
              <w:rPr>
                <w:noProof/>
                <w:webHidden/>
              </w:rPr>
              <w:fldChar w:fldCharType="begin"/>
            </w:r>
            <w:r w:rsidR="00AA29F4">
              <w:rPr>
                <w:noProof/>
                <w:webHidden/>
              </w:rPr>
              <w:instrText xml:space="preserve"> PAGEREF _Toc393696924 \h </w:instrText>
            </w:r>
            <w:r w:rsidR="00AA29F4">
              <w:rPr>
                <w:noProof/>
                <w:webHidden/>
              </w:rPr>
            </w:r>
            <w:r w:rsidR="00AA29F4">
              <w:rPr>
                <w:noProof/>
                <w:webHidden/>
              </w:rPr>
              <w:fldChar w:fldCharType="separate"/>
            </w:r>
            <w:r>
              <w:rPr>
                <w:noProof/>
                <w:webHidden/>
              </w:rPr>
              <w:t>33</w:t>
            </w:r>
            <w:r w:rsidR="00AA29F4">
              <w:rPr>
                <w:noProof/>
                <w:webHidden/>
              </w:rPr>
              <w:fldChar w:fldCharType="end"/>
            </w:r>
          </w:hyperlink>
        </w:p>
        <w:p w14:paraId="0835E009" w14:textId="71D43A64" w:rsidR="00AA29F4" w:rsidRDefault="0004481F">
          <w:pPr>
            <w:pStyle w:val="TOC1"/>
            <w:rPr>
              <w:rFonts w:asciiTheme="minorHAnsi" w:hAnsiTheme="minorHAnsi"/>
              <w:noProof/>
              <w:sz w:val="22"/>
              <w:lang w:eastAsia="en-US"/>
            </w:rPr>
          </w:pPr>
          <w:hyperlink w:anchor="_Toc393696925" w:history="1">
            <w:r w:rsidR="00AA29F4" w:rsidRPr="00470FD8">
              <w:rPr>
                <w:rStyle w:val="Hyperlink"/>
                <w:noProof/>
              </w:rPr>
              <w:t>VI.</w:t>
            </w:r>
            <w:r w:rsidR="00AA29F4">
              <w:rPr>
                <w:rFonts w:asciiTheme="minorHAnsi" w:hAnsiTheme="minorHAnsi"/>
                <w:noProof/>
                <w:sz w:val="22"/>
                <w:lang w:eastAsia="en-US"/>
              </w:rPr>
              <w:tab/>
            </w:r>
            <w:r w:rsidR="00AA29F4" w:rsidRPr="00470FD8">
              <w:rPr>
                <w:rStyle w:val="Hyperlink"/>
                <w:noProof/>
              </w:rPr>
              <w:t>ELECTRIC RATE DESIGN</w:t>
            </w:r>
            <w:r w:rsidR="00AA29F4">
              <w:rPr>
                <w:noProof/>
                <w:webHidden/>
              </w:rPr>
              <w:tab/>
            </w:r>
            <w:r w:rsidR="00AA29F4">
              <w:rPr>
                <w:noProof/>
                <w:webHidden/>
              </w:rPr>
              <w:fldChar w:fldCharType="begin"/>
            </w:r>
            <w:r w:rsidR="00AA29F4">
              <w:rPr>
                <w:noProof/>
                <w:webHidden/>
              </w:rPr>
              <w:instrText xml:space="preserve"> PAGEREF _Toc393696925 \h </w:instrText>
            </w:r>
            <w:r w:rsidR="00AA29F4">
              <w:rPr>
                <w:noProof/>
                <w:webHidden/>
              </w:rPr>
            </w:r>
            <w:r w:rsidR="00AA29F4">
              <w:rPr>
                <w:noProof/>
                <w:webHidden/>
              </w:rPr>
              <w:fldChar w:fldCharType="separate"/>
            </w:r>
            <w:r>
              <w:rPr>
                <w:noProof/>
                <w:webHidden/>
              </w:rPr>
              <w:t>36</w:t>
            </w:r>
            <w:r w:rsidR="00AA29F4">
              <w:rPr>
                <w:noProof/>
                <w:webHidden/>
              </w:rPr>
              <w:fldChar w:fldCharType="end"/>
            </w:r>
          </w:hyperlink>
        </w:p>
        <w:p w14:paraId="15E0797C" w14:textId="75D0FE31" w:rsidR="00AA29F4" w:rsidRDefault="0004481F">
          <w:pPr>
            <w:pStyle w:val="TOC3"/>
            <w:rPr>
              <w:rFonts w:asciiTheme="minorHAnsi" w:hAnsiTheme="minorHAnsi"/>
              <w:noProof/>
              <w:sz w:val="22"/>
              <w:lang w:eastAsia="en-US"/>
            </w:rPr>
          </w:pPr>
          <w:hyperlink w:anchor="_Toc393696926"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Monthly Customer Charge</w:t>
            </w:r>
            <w:r w:rsidR="00AA29F4">
              <w:rPr>
                <w:noProof/>
                <w:webHidden/>
              </w:rPr>
              <w:tab/>
            </w:r>
            <w:r w:rsidR="00AA29F4">
              <w:rPr>
                <w:noProof/>
                <w:webHidden/>
              </w:rPr>
              <w:fldChar w:fldCharType="begin"/>
            </w:r>
            <w:r w:rsidR="00AA29F4">
              <w:rPr>
                <w:noProof/>
                <w:webHidden/>
              </w:rPr>
              <w:instrText xml:space="preserve"> PAGEREF _Toc393696926 \h </w:instrText>
            </w:r>
            <w:r w:rsidR="00AA29F4">
              <w:rPr>
                <w:noProof/>
                <w:webHidden/>
              </w:rPr>
            </w:r>
            <w:r w:rsidR="00AA29F4">
              <w:rPr>
                <w:noProof/>
                <w:webHidden/>
              </w:rPr>
              <w:fldChar w:fldCharType="separate"/>
            </w:r>
            <w:r>
              <w:rPr>
                <w:noProof/>
                <w:webHidden/>
              </w:rPr>
              <w:t>37</w:t>
            </w:r>
            <w:r w:rsidR="00AA29F4">
              <w:rPr>
                <w:noProof/>
                <w:webHidden/>
              </w:rPr>
              <w:fldChar w:fldCharType="end"/>
            </w:r>
          </w:hyperlink>
        </w:p>
        <w:p w14:paraId="5FA15712" w14:textId="6DB4A558" w:rsidR="00AA29F4" w:rsidRDefault="0004481F">
          <w:pPr>
            <w:pStyle w:val="TOC3"/>
            <w:rPr>
              <w:rFonts w:asciiTheme="minorHAnsi" w:hAnsiTheme="minorHAnsi"/>
              <w:noProof/>
              <w:sz w:val="22"/>
              <w:lang w:eastAsia="en-US"/>
            </w:rPr>
          </w:pPr>
          <w:hyperlink w:anchor="_Toc393696927"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Volumetric Rates</w:t>
            </w:r>
            <w:r w:rsidR="00AA29F4">
              <w:rPr>
                <w:noProof/>
                <w:webHidden/>
              </w:rPr>
              <w:tab/>
            </w:r>
            <w:r w:rsidR="00AA29F4">
              <w:rPr>
                <w:noProof/>
                <w:webHidden/>
              </w:rPr>
              <w:fldChar w:fldCharType="begin"/>
            </w:r>
            <w:r w:rsidR="00AA29F4">
              <w:rPr>
                <w:noProof/>
                <w:webHidden/>
              </w:rPr>
              <w:instrText xml:space="preserve"> PAGEREF _Toc393696927 \h </w:instrText>
            </w:r>
            <w:r w:rsidR="00AA29F4">
              <w:rPr>
                <w:noProof/>
                <w:webHidden/>
              </w:rPr>
            </w:r>
            <w:r w:rsidR="00AA29F4">
              <w:rPr>
                <w:noProof/>
                <w:webHidden/>
              </w:rPr>
              <w:fldChar w:fldCharType="separate"/>
            </w:r>
            <w:r>
              <w:rPr>
                <w:noProof/>
                <w:webHidden/>
              </w:rPr>
              <w:t>43</w:t>
            </w:r>
            <w:r w:rsidR="00AA29F4">
              <w:rPr>
                <w:noProof/>
                <w:webHidden/>
              </w:rPr>
              <w:fldChar w:fldCharType="end"/>
            </w:r>
          </w:hyperlink>
        </w:p>
        <w:p w14:paraId="4B964340" w14:textId="46381170" w:rsidR="00AA29F4" w:rsidRDefault="0004481F">
          <w:pPr>
            <w:pStyle w:val="TOC3"/>
            <w:rPr>
              <w:rFonts w:asciiTheme="minorHAnsi" w:hAnsiTheme="minorHAnsi"/>
              <w:noProof/>
              <w:sz w:val="22"/>
              <w:lang w:eastAsia="en-US"/>
            </w:rPr>
          </w:pPr>
          <w:hyperlink w:anchor="_Toc393696928" w:history="1">
            <w:r w:rsidR="00AA29F4" w:rsidRPr="00470FD8">
              <w:rPr>
                <w:rStyle w:val="Hyperlink"/>
                <w:noProof/>
              </w:rPr>
              <w:t>C.</w:t>
            </w:r>
            <w:r w:rsidR="00AA29F4">
              <w:rPr>
                <w:rFonts w:asciiTheme="minorHAnsi" w:hAnsiTheme="minorHAnsi"/>
                <w:noProof/>
                <w:sz w:val="22"/>
                <w:lang w:eastAsia="en-US"/>
              </w:rPr>
              <w:tab/>
            </w:r>
            <w:r w:rsidR="00AA29F4" w:rsidRPr="00470FD8">
              <w:rPr>
                <w:rStyle w:val="Hyperlink"/>
                <w:noProof/>
              </w:rPr>
              <w:t>Straight-Fixed Variable Rate Design for Schedules 25 and 26</w:t>
            </w:r>
            <w:r w:rsidR="00AA29F4">
              <w:rPr>
                <w:noProof/>
                <w:webHidden/>
              </w:rPr>
              <w:tab/>
            </w:r>
            <w:r w:rsidR="00AA29F4">
              <w:rPr>
                <w:noProof/>
                <w:webHidden/>
              </w:rPr>
              <w:fldChar w:fldCharType="begin"/>
            </w:r>
            <w:r w:rsidR="00AA29F4">
              <w:rPr>
                <w:noProof/>
                <w:webHidden/>
              </w:rPr>
              <w:instrText xml:space="preserve"> PAGEREF _Toc393696928 \h </w:instrText>
            </w:r>
            <w:r w:rsidR="00AA29F4">
              <w:rPr>
                <w:noProof/>
                <w:webHidden/>
              </w:rPr>
            </w:r>
            <w:r w:rsidR="00AA29F4">
              <w:rPr>
                <w:noProof/>
                <w:webHidden/>
              </w:rPr>
              <w:fldChar w:fldCharType="separate"/>
            </w:r>
            <w:r>
              <w:rPr>
                <w:noProof/>
                <w:webHidden/>
              </w:rPr>
              <w:t>44</w:t>
            </w:r>
            <w:r w:rsidR="00AA29F4">
              <w:rPr>
                <w:noProof/>
                <w:webHidden/>
              </w:rPr>
              <w:fldChar w:fldCharType="end"/>
            </w:r>
          </w:hyperlink>
        </w:p>
        <w:p w14:paraId="5E9ED5CD" w14:textId="7001C1E3" w:rsidR="00AA29F4" w:rsidRDefault="0004481F">
          <w:pPr>
            <w:pStyle w:val="TOC3"/>
            <w:rPr>
              <w:rFonts w:asciiTheme="minorHAnsi" w:hAnsiTheme="minorHAnsi"/>
              <w:noProof/>
              <w:sz w:val="22"/>
              <w:lang w:eastAsia="en-US"/>
            </w:rPr>
          </w:pPr>
          <w:hyperlink w:anchor="_Toc393696929" w:history="1">
            <w:r w:rsidR="00AA29F4" w:rsidRPr="00470FD8">
              <w:rPr>
                <w:rStyle w:val="Hyperlink"/>
                <w:noProof/>
              </w:rPr>
              <w:t>D.</w:t>
            </w:r>
            <w:r w:rsidR="00AA29F4">
              <w:rPr>
                <w:rFonts w:asciiTheme="minorHAnsi" w:hAnsiTheme="minorHAnsi"/>
                <w:noProof/>
                <w:sz w:val="22"/>
                <w:lang w:eastAsia="en-US"/>
              </w:rPr>
              <w:tab/>
            </w:r>
            <w:r w:rsidR="00AA29F4" w:rsidRPr="00470FD8">
              <w:rPr>
                <w:rStyle w:val="Hyperlink"/>
                <w:noProof/>
              </w:rPr>
              <w:t>Other Recommendations</w:t>
            </w:r>
            <w:r w:rsidR="00AA29F4">
              <w:rPr>
                <w:noProof/>
                <w:webHidden/>
              </w:rPr>
              <w:tab/>
            </w:r>
            <w:r w:rsidR="00AA29F4">
              <w:rPr>
                <w:noProof/>
                <w:webHidden/>
              </w:rPr>
              <w:fldChar w:fldCharType="begin"/>
            </w:r>
            <w:r w:rsidR="00AA29F4">
              <w:rPr>
                <w:noProof/>
                <w:webHidden/>
              </w:rPr>
              <w:instrText xml:space="preserve"> PAGEREF _Toc393696929 \h </w:instrText>
            </w:r>
            <w:r w:rsidR="00AA29F4">
              <w:rPr>
                <w:noProof/>
                <w:webHidden/>
              </w:rPr>
            </w:r>
            <w:r w:rsidR="00AA29F4">
              <w:rPr>
                <w:noProof/>
                <w:webHidden/>
              </w:rPr>
              <w:fldChar w:fldCharType="separate"/>
            </w:r>
            <w:r>
              <w:rPr>
                <w:noProof/>
                <w:webHidden/>
              </w:rPr>
              <w:t>48</w:t>
            </w:r>
            <w:r w:rsidR="00AA29F4">
              <w:rPr>
                <w:noProof/>
                <w:webHidden/>
              </w:rPr>
              <w:fldChar w:fldCharType="end"/>
            </w:r>
          </w:hyperlink>
        </w:p>
        <w:p w14:paraId="0E7CF45D" w14:textId="0E781741" w:rsidR="00AA29F4" w:rsidRDefault="0004481F">
          <w:pPr>
            <w:pStyle w:val="TOC1"/>
            <w:rPr>
              <w:rFonts w:asciiTheme="minorHAnsi" w:hAnsiTheme="minorHAnsi"/>
              <w:noProof/>
              <w:sz w:val="22"/>
              <w:lang w:eastAsia="en-US"/>
            </w:rPr>
          </w:pPr>
          <w:hyperlink w:anchor="_Toc393696930" w:history="1">
            <w:r w:rsidR="00AA29F4" w:rsidRPr="00470FD8">
              <w:rPr>
                <w:rStyle w:val="Hyperlink"/>
                <w:noProof/>
              </w:rPr>
              <w:t>VII.</w:t>
            </w:r>
            <w:r w:rsidR="00AA29F4">
              <w:rPr>
                <w:rFonts w:asciiTheme="minorHAnsi" w:hAnsiTheme="minorHAnsi"/>
                <w:noProof/>
                <w:sz w:val="22"/>
                <w:lang w:eastAsia="en-US"/>
              </w:rPr>
              <w:tab/>
            </w:r>
            <w:r w:rsidR="00AA29F4" w:rsidRPr="00470FD8">
              <w:rPr>
                <w:rStyle w:val="Hyperlink"/>
                <w:noProof/>
              </w:rPr>
              <w:t>NATURAL GAS COST OF SERVICE</w:t>
            </w:r>
            <w:r w:rsidR="00AA29F4">
              <w:rPr>
                <w:noProof/>
                <w:webHidden/>
              </w:rPr>
              <w:tab/>
            </w:r>
            <w:r w:rsidR="00AA29F4">
              <w:rPr>
                <w:noProof/>
                <w:webHidden/>
              </w:rPr>
              <w:fldChar w:fldCharType="begin"/>
            </w:r>
            <w:r w:rsidR="00AA29F4">
              <w:rPr>
                <w:noProof/>
                <w:webHidden/>
              </w:rPr>
              <w:instrText xml:space="preserve"> PAGEREF _Toc393696930 \h </w:instrText>
            </w:r>
            <w:r w:rsidR="00AA29F4">
              <w:rPr>
                <w:noProof/>
                <w:webHidden/>
              </w:rPr>
            </w:r>
            <w:r w:rsidR="00AA29F4">
              <w:rPr>
                <w:noProof/>
                <w:webHidden/>
              </w:rPr>
              <w:fldChar w:fldCharType="separate"/>
            </w:r>
            <w:r>
              <w:rPr>
                <w:noProof/>
                <w:webHidden/>
              </w:rPr>
              <w:t>50</w:t>
            </w:r>
            <w:r w:rsidR="00AA29F4">
              <w:rPr>
                <w:noProof/>
                <w:webHidden/>
              </w:rPr>
              <w:fldChar w:fldCharType="end"/>
            </w:r>
          </w:hyperlink>
        </w:p>
        <w:p w14:paraId="6AB753EC" w14:textId="3020E0C5" w:rsidR="00AA29F4" w:rsidRDefault="0004481F">
          <w:pPr>
            <w:pStyle w:val="TOC3"/>
            <w:rPr>
              <w:rFonts w:asciiTheme="minorHAnsi" w:hAnsiTheme="minorHAnsi"/>
              <w:noProof/>
              <w:sz w:val="22"/>
              <w:lang w:eastAsia="en-US"/>
            </w:rPr>
          </w:pPr>
          <w:hyperlink w:anchor="_Toc393696931"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Natural Gas Cost Classifications and Allocations</w:t>
            </w:r>
            <w:r w:rsidR="00AA29F4">
              <w:rPr>
                <w:noProof/>
                <w:webHidden/>
              </w:rPr>
              <w:tab/>
            </w:r>
            <w:r w:rsidR="00AA29F4">
              <w:rPr>
                <w:noProof/>
                <w:webHidden/>
              </w:rPr>
              <w:fldChar w:fldCharType="begin"/>
            </w:r>
            <w:r w:rsidR="00AA29F4">
              <w:rPr>
                <w:noProof/>
                <w:webHidden/>
              </w:rPr>
              <w:instrText xml:space="preserve"> PAGEREF _Toc393696931 \h </w:instrText>
            </w:r>
            <w:r w:rsidR="00AA29F4">
              <w:rPr>
                <w:noProof/>
                <w:webHidden/>
              </w:rPr>
            </w:r>
            <w:r w:rsidR="00AA29F4">
              <w:rPr>
                <w:noProof/>
                <w:webHidden/>
              </w:rPr>
              <w:fldChar w:fldCharType="separate"/>
            </w:r>
            <w:r>
              <w:rPr>
                <w:noProof/>
                <w:webHidden/>
              </w:rPr>
              <w:t>51</w:t>
            </w:r>
            <w:r w:rsidR="00AA29F4">
              <w:rPr>
                <w:noProof/>
                <w:webHidden/>
              </w:rPr>
              <w:fldChar w:fldCharType="end"/>
            </w:r>
          </w:hyperlink>
        </w:p>
        <w:p w14:paraId="161B7129" w14:textId="785BBC55" w:rsidR="00AA29F4" w:rsidRDefault="0004481F">
          <w:pPr>
            <w:pStyle w:val="TOC6"/>
            <w:rPr>
              <w:rFonts w:asciiTheme="minorHAnsi" w:eastAsiaTheme="minorEastAsia" w:hAnsiTheme="minorHAnsi" w:cstheme="minorBidi"/>
              <w:noProof/>
              <w:sz w:val="22"/>
              <w:szCs w:val="22"/>
            </w:rPr>
          </w:pPr>
          <w:hyperlink w:anchor="_Toc393696932" w:history="1">
            <w:r w:rsidR="00AA29F4" w:rsidRPr="00470FD8">
              <w:rPr>
                <w:rStyle w:val="Hyperlink"/>
                <w:noProof/>
              </w:rPr>
              <w:t>1.</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General Plant Costs and Administrative and General Expenses</w:t>
            </w:r>
            <w:r w:rsidR="00AA29F4">
              <w:rPr>
                <w:noProof/>
                <w:webHidden/>
              </w:rPr>
              <w:tab/>
            </w:r>
            <w:r w:rsidR="00AA29F4">
              <w:rPr>
                <w:noProof/>
                <w:webHidden/>
              </w:rPr>
              <w:fldChar w:fldCharType="begin"/>
            </w:r>
            <w:r w:rsidR="00AA29F4">
              <w:rPr>
                <w:noProof/>
                <w:webHidden/>
              </w:rPr>
              <w:instrText xml:space="preserve"> PAGEREF _Toc393696932 \h </w:instrText>
            </w:r>
            <w:r w:rsidR="00AA29F4">
              <w:rPr>
                <w:noProof/>
                <w:webHidden/>
              </w:rPr>
            </w:r>
            <w:r w:rsidR="00AA29F4">
              <w:rPr>
                <w:noProof/>
                <w:webHidden/>
              </w:rPr>
              <w:fldChar w:fldCharType="separate"/>
            </w:r>
            <w:r>
              <w:rPr>
                <w:noProof/>
                <w:webHidden/>
              </w:rPr>
              <w:t>52</w:t>
            </w:r>
            <w:r w:rsidR="00AA29F4">
              <w:rPr>
                <w:noProof/>
                <w:webHidden/>
              </w:rPr>
              <w:fldChar w:fldCharType="end"/>
            </w:r>
          </w:hyperlink>
        </w:p>
        <w:p w14:paraId="35D0DF01" w14:textId="7254EFC1" w:rsidR="00AA29F4" w:rsidRDefault="0004481F">
          <w:pPr>
            <w:pStyle w:val="TOC6"/>
            <w:rPr>
              <w:rFonts w:asciiTheme="minorHAnsi" w:eastAsiaTheme="minorEastAsia" w:hAnsiTheme="minorHAnsi" w:cstheme="minorBidi"/>
              <w:noProof/>
              <w:sz w:val="22"/>
              <w:szCs w:val="22"/>
            </w:rPr>
          </w:pPr>
          <w:hyperlink w:anchor="_Toc393696933" w:history="1">
            <w:r w:rsidR="00AA29F4" w:rsidRPr="00470FD8">
              <w:rPr>
                <w:rStyle w:val="Hyperlink"/>
                <w:noProof/>
              </w:rPr>
              <w:t>2.</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Distribution Main Costs</w:t>
            </w:r>
            <w:r w:rsidR="00AA29F4">
              <w:rPr>
                <w:noProof/>
                <w:webHidden/>
              </w:rPr>
              <w:tab/>
            </w:r>
            <w:r w:rsidR="00AA29F4">
              <w:rPr>
                <w:noProof/>
                <w:webHidden/>
              </w:rPr>
              <w:fldChar w:fldCharType="begin"/>
            </w:r>
            <w:r w:rsidR="00AA29F4">
              <w:rPr>
                <w:noProof/>
                <w:webHidden/>
              </w:rPr>
              <w:instrText xml:space="preserve"> PAGEREF _Toc393696933 \h </w:instrText>
            </w:r>
            <w:r w:rsidR="00AA29F4">
              <w:rPr>
                <w:noProof/>
                <w:webHidden/>
              </w:rPr>
            </w:r>
            <w:r w:rsidR="00AA29F4">
              <w:rPr>
                <w:noProof/>
                <w:webHidden/>
              </w:rPr>
              <w:fldChar w:fldCharType="separate"/>
            </w:r>
            <w:r>
              <w:rPr>
                <w:noProof/>
                <w:webHidden/>
              </w:rPr>
              <w:t>52</w:t>
            </w:r>
            <w:r w:rsidR="00AA29F4">
              <w:rPr>
                <w:noProof/>
                <w:webHidden/>
              </w:rPr>
              <w:fldChar w:fldCharType="end"/>
            </w:r>
          </w:hyperlink>
        </w:p>
        <w:p w14:paraId="2907EA2E" w14:textId="3F7EA817" w:rsidR="00AA29F4" w:rsidRDefault="0004481F">
          <w:pPr>
            <w:pStyle w:val="TOC6"/>
            <w:rPr>
              <w:rFonts w:asciiTheme="minorHAnsi" w:eastAsiaTheme="minorEastAsia" w:hAnsiTheme="minorHAnsi" w:cstheme="minorBidi"/>
              <w:noProof/>
              <w:sz w:val="22"/>
              <w:szCs w:val="22"/>
            </w:rPr>
          </w:pPr>
          <w:hyperlink w:anchor="_Toc393696934" w:history="1">
            <w:r w:rsidR="00AA29F4" w:rsidRPr="00470FD8">
              <w:rPr>
                <w:rStyle w:val="Hyperlink"/>
                <w:noProof/>
              </w:rPr>
              <w:t>3.</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Underground Storage Plant Costs</w:t>
            </w:r>
            <w:r w:rsidR="00AA29F4">
              <w:rPr>
                <w:noProof/>
                <w:webHidden/>
              </w:rPr>
              <w:tab/>
            </w:r>
            <w:r w:rsidR="00AA29F4">
              <w:rPr>
                <w:noProof/>
                <w:webHidden/>
              </w:rPr>
              <w:fldChar w:fldCharType="begin"/>
            </w:r>
            <w:r w:rsidR="00AA29F4">
              <w:rPr>
                <w:noProof/>
                <w:webHidden/>
              </w:rPr>
              <w:instrText xml:space="preserve"> PAGEREF _Toc393696934 \h </w:instrText>
            </w:r>
            <w:r w:rsidR="00AA29F4">
              <w:rPr>
                <w:noProof/>
                <w:webHidden/>
              </w:rPr>
            </w:r>
            <w:r w:rsidR="00AA29F4">
              <w:rPr>
                <w:noProof/>
                <w:webHidden/>
              </w:rPr>
              <w:fldChar w:fldCharType="separate"/>
            </w:r>
            <w:r>
              <w:rPr>
                <w:noProof/>
                <w:webHidden/>
              </w:rPr>
              <w:t>60</w:t>
            </w:r>
            <w:r w:rsidR="00AA29F4">
              <w:rPr>
                <w:noProof/>
                <w:webHidden/>
              </w:rPr>
              <w:fldChar w:fldCharType="end"/>
            </w:r>
          </w:hyperlink>
        </w:p>
        <w:p w14:paraId="2FAF9EC2" w14:textId="79034043" w:rsidR="00AA29F4" w:rsidRDefault="0004481F">
          <w:pPr>
            <w:pStyle w:val="TOC3"/>
            <w:rPr>
              <w:rFonts w:asciiTheme="minorHAnsi" w:hAnsiTheme="minorHAnsi"/>
              <w:noProof/>
              <w:sz w:val="22"/>
              <w:lang w:eastAsia="en-US"/>
            </w:rPr>
          </w:pPr>
          <w:hyperlink w:anchor="_Toc393696935"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Special Contracts</w:t>
            </w:r>
            <w:r w:rsidR="00AA29F4">
              <w:rPr>
                <w:noProof/>
                <w:webHidden/>
              </w:rPr>
              <w:tab/>
            </w:r>
            <w:r w:rsidR="00AA29F4">
              <w:rPr>
                <w:noProof/>
                <w:webHidden/>
              </w:rPr>
              <w:fldChar w:fldCharType="begin"/>
            </w:r>
            <w:r w:rsidR="00AA29F4">
              <w:rPr>
                <w:noProof/>
                <w:webHidden/>
              </w:rPr>
              <w:instrText xml:space="preserve"> PAGEREF _Toc393696935 \h </w:instrText>
            </w:r>
            <w:r w:rsidR="00AA29F4">
              <w:rPr>
                <w:noProof/>
                <w:webHidden/>
              </w:rPr>
            </w:r>
            <w:r w:rsidR="00AA29F4">
              <w:rPr>
                <w:noProof/>
                <w:webHidden/>
              </w:rPr>
              <w:fldChar w:fldCharType="separate"/>
            </w:r>
            <w:r>
              <w:rPr>
                <w:noProof/>
                <w:webHidden/>
              </w:rPr>
              <w:t>63</w:t>
            </w:r>
            <w:r w:rsidR="00AA29F4">
              <w:rPr>
                <w:noProof/>
                <w:webHidden/>
              </w:rPr>
              <w:fldChar w:fldCharType="end"/>
            </w:r>
          </w:hyperlink>
        </w:p>
        <w:p w14:paraId="7F6A4D38" w14:textId="0CC5363D" w:rsidR="00AA29F4" w:rsidRDefault="0004481F">
          <w:pPr>
            <w:pStyle w:val="TOC1"/>
            <w:rPr>
              <w:rFonts w:asciiTheme="minorHAnsi" w:hAnsiTheme="minorHAnsi"/>
              <w:noProof/>
              <w:sz w:val="22"/>
              <w:lang w:eastAsia="en-US"/>
            </w:rPr>
          </w:pPr>
          <w:hyperlink w:anchor="_Toc393696936" w:history="1">
            <w:r w:rsidR="00AA29F4" w:rsidRPr="00470FD8">
              <w:rPr>
                <w:rStyle w:val="Hyperlink"/>
                <w:noProof/>
              </w:rPr>
              <w:t>VIII.</w:t>
            </w:r>
            <w:r w:rsidR="00AA29F4">
              <w:rPr>
                <w:rFonts w:asciiTheme="minorHAnsi" w:hAnsiTheme="minorHAnsi"/>
                <w:noProof/>
                <w:sz w:val="22"/>
                <w:lang w:eastAsia="en-US"/>
              </w:rPr>
              <w:tab/>
            </w:r>
            <w:r w:rsidR="00AA29F4" w:rsidRPr="00470FD8">
              <w:rPr>
                <w:rStyle w:val="Hyperlink"/>
                <w:noProof/>
              </w:rPr>
              <w:t>NATURAL GAS REVENUE ALLOCATION</w:t>
            </w:r>
            <w:r w:rsidR="00AA29F4">
              <w:rPr>
                <w:noProof/>
                <w:webHidden/>
              </w:rPr>
              <w:tab/>
            </w:r>
            <w:r w:rsidR="00AA29F4">
              <w:rPr>
                <w:noProof/>
                <w:webHidden/>
              </w:rPr>
              <w:fldChar w:fldCharType="begin"/>
            </w:r>
            <w:r w:rsidR="00AA29F4">
              <w:rPr>
                <w:noProof/>
                <w:webHidden/>
              </w:rPr>
              <w:instrText xml:space="preserve"> PAGEREF _Toc393696936 \h </w:instrText>
            </w:r>
            <w:r w:rsidR="00AA29F4">
              <w:rPr>
                <w:noProof/>
                <w:webHidden/>
              </w:rPr>
            </w:r>
            <w:r w:rsidR="00AA29F4">
              <w:rPr>
                <w:noProof/>
                <w:webHidden/>
              </w:rPr>
              <w:fldChar w:fldCharType="separate"/>
            </w:r>
            <w:r>
              <w:rPr>
                <w:noProof/>
                <w:webHidden/>
              </w:rPr>
              <w:t>64</w:t>
            </w:r>
            <w:r w:rsidR="00AA29F4">
              <w:rPr>
                <w:noProof/>
                <w:webHidden/>
              </w:rPr>
              <w:fldChar w:fldCharType="end"/>
            </w:r>
          </w:hyperlink>
        </w:p>
        <w:p w14:paraId="2C2147E5" w14:textId="04BE8B38" w:rsidR="00AA29F4" w:rsidRDefault="0004481F">
          <w:pPr>
            <w:pStyle w:val="TOC1"/>
            <w:rPr>
              <w:rFonts w:asciiTheme="minorHAnsi" w:hAnsiTheme="minorHAnsi"/>
              <w:noProof/>
              <w:sz w:val="22"/>
              <w:lang w:eastAsia="en-US"/>
            </w:rPr>
          </w:pPr>
          <w:hyperlink w:anchor="_Toc393696937" w:history="1">
            <w:r w:rsidR="00AA29F4" w:rsidRPr="00470FD8">
              <w:rPr>
                <w:rStyle w:val="Hyperlink"/>
                <w:noProof/>
              </w:rPr>
              <w:t>IX.</w:t>
            </w:r>
            <w:r w:rsidR="00AA29F4">
              <w:rPr>
                <w:rFonts w:asciiTheme="minorHAnsi" w:hAnsiTheme="minorHAnsi"/>
                <w:noProof/>
                <w:sz w:val="22"/>
                <w:lang w:eastAsia="en-US"/>
              </w:rPr>
              <w:tab/>
            </w:r>
            <w:r w:rsidR="00AA29F4" w:rsidRPr="00470FD8">
              <w:rPr>
                <w:rStyle w:val="Hyperlink"/>
                <w:noProof/>
              </w:rPr>
              <w:t>NATURAL GAS RATE DESIGN</w:t>
            </w:r>
            <w:r w:rsidR="00AA29F4">
              <w:rPr>
                <w:noProof/>
                <w:webHidden/>
              </w:rPr>
              <w:tab/>
            </w:r>
            <w:r w:rsidR="00AA29F4">
              <w:rPr>
                <w:noProof/>
                <w:webHidden/>
              </w:rPr>
              <w:fldChar w:fldCharType="begin"/>
            </w:r>
            <w:r w:rsidR="00AA29F4">
              <w:rPr>
                <w:noProof/>
                <w:webHidden/>
              </w:rPr>
              <w:instrText xml:space="preserve"> PAGEREF _Toc393696937 \h </w:instrText>
            </w:r>
            <w:r w:rsidR="00AA29F4">
              <w:rPr>
                <w:noProof/>
                <w:webHidden/>
              </w:rPr>
            </w:r>
            <w:r w:rsidR="00AA29F4">
              <w:rPr>
                <w:noProof/>
                <w:webHidden/>
              </w:rPr>
              <w:fldChar w:fldCharType="separate"/>
            </w:r>
            <w:r>
              <w:rPr>
                <w:noProof/>
                <w:webHidden/>
              </w:rPr>
              <w:t>66</w:t>
            </w:r>
            <w:r w:rsidR="00AA29F4">
              <w:rPr>
                <w:noProof/>
                <w:webHidden/>
              </w:rPr>
              <w:fldChar w:fldCharType="end"/>
            </w:r>
          </w:hyperlink>
        </w:p>
        <w:p w14:paraId="13CFDB0F" w14:textId="1CEF9AA5" w:rsidR="00AA29F4" w:rsidRDefault="0004481F">
          <w:pPr>
            <w:pStyle w:val="TOC3"/>
            <w:rPr>
              <w:rFonts w:asciiTheme="minorHAnsi" w:hAnsiTheme="minorHAnsi"/>
              <w:noProof/>
              <w:sz w:val="22"/>
              <w:lang w:eastAsia="en-US"/>
            </w:rPr>
          </w:pPr>
          <w:hyperlink w:anchor="_Toc393696938"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General Service (Residential) Rates</w:t>
            </w:r>
            <w:r w:rsidR="00AA29F4">
              <w:rPr>
                <w:noProof/>
                <w:webHidden/>
              </w:rPr>
              <w:tab/>
            </w:r>
            <w:r w:rsidR="00AA29F4">
              <w:rPr>
                <w:noProof/>
                <w:webHidden/>
              </w:rPr>
              <w:fldChar w:fldCharType="begin"/>
            </w:r>
            <w:r w:rsidR="00AA29F4">
              <w:rPr>
                <w:noProof/>
                <w:webHidden/>
              </w:rPr>
              <w:instrText xml:space="preserve"> PAGEREF _Toc393696938 \h </w:instrText>
            </w:r>
            <w:r w:rsidR="00AA29F4">
              <w:rPr>
                <w:noProof/>
                <w:webHidden/>
              </w:rPr>
            </w:r>
            <w:r w:rsidR="00AA29F4">
              <w:rPr>
                <w:noProof/>
                <w:webHidden/>
              </w:rPr>
              <w:fldChar w:fldCharType="separate"/>
            </w:r>
            <w:r>
              <w:rPr>
                <w:noProof/>
                <w:webHidden/>
              </w:rPr>
              <w:t>67</w:t>
            </w:r>
            <w:r w:rsidR="00AA29F4">
              <w:rPr>
                <w:noProof/>
                <w:webHidden/>
              </w:rPr>
              <w:fldChar w:fldCharType="end"/>
            </w:r>
          </w:hyperlink>
        </w:p>
        <w:p w14:paraId="28139123" w14:textId="2F0C615E" w:rsidR="00AA29F4" w:rsidRDefault="0004481F">
          <w:pPr>
            <w:pStyle w:val="TOC3"/>
            <w:rPr>
              <w:rFonts w:asciiTheme="minorHAnsi" w:hAnsiTheme="minorHAnsi"/>
              <w:noProof/>
              <w:sz w:val="22"/>
              <w:lang w:eastAsia="en-US"/>
            </w:rPr>
          </w:pPr>
          <w:hyperlink w:anchor="_Toc393696939"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Large and Extra Large General Service</w:t>
            </w:r>
            <w:r w:rsidR="00AA29F4">
              <w:rPr>
                <w:noProof/>
                <w:webHidden/>
              </w:rPr>
              <w:tab/>
            </w:r>
            <w:r w:rsidR="00AA29F4">
              <w:rPr>
                <w:noProof/>
                <w:webHidden/>
              </w:rPr>
              <w:fldChar w:fldCharType="begin"/>
            </w:r>
            <w:r w:rsidR="00AA29F4">
              <w:rPr>
                <w:noProof/>
                <w:webHidden/>
              </w:rPr>
              <w:instrText xml:space="preserve"> PAGEREF _Toc393696939 \h </w:instrText>
            </w:r>
            <w:r w:rsidR="00AA29F4">
              <w:rPr>
                <w:noProof/>
                <w:webHidden/>
              </w:rPr>
            </w:r>
            <w:r w:rsidR="00AA29F4">
              <w:rPr>
                <w:noProof/>
                <w:webHidden/>
              </w:rPr>
              <w:fldChar w:fldCharType="separate"/>
            </w:r>
            <w:r>
              <w:rPr>
                <w:noProof/>
                <w:webHidden/>
              </w:rPr>
              <w:t>69</w:t>
            </w:r>
            <w:r w:rsidR="00AA29F4">
              <w:rPr>
                <w:noProof/>
                <w:webHidden/>
              </w:rPr>
              <w:fldChar w:fldCharType="end"/>
            </w:r>
          </w:hyperlink>
        </w:p>
        <w:p w14:paraId="11B3B885" w14:textId="09001A2F" w:rsidR="00AA29F4" w:rsidRDefault="0004481F">
          <w:pPr>
            <w:pStyle w:val="TOC3"/>
            <w:rPr>
              <w:rFonts w:asciiTheme="minorHAnsi" w:hAnsiTheme="minorHAnsi"/>
              <w:noProof/>
              <w:sz w:val="22"/>
              <w:lang w:eastAsia="en-US"/>
            </w:rPr>
          </w:pPr>
          <w:hyperlink w:anchor="_Toc393696940" w:history="1">
            <w:r w:rsidR="00AA29F4" w:rsidRPr="00470FD8">
              <w:rPr>
                <w:rStyle w:val="Hyperlink"/>
                <w:noProof/>
              </w:rPr>
              <w:t>C.</w:t>
            </w:r>
            <w:r w:rsidR="00AA29F4">
              <w:rPr>
                <w:rFonts w:asciiTheme="minorHAnsi" w:hAnsiTheme="minorHAnsi"/>
                <w:noProof/>
                <w:sz w:val="22"/>
                <w:lang w:eastAsia="en-US"/>
              </w:rPr>
              <w:tab/>
            </w:r>
            <w:r w:rsidR="00AA29F4" w:rsidRPr="00470FD8">
              <w:rPr>
                <w:rStyle w:val="Hyperlink"/>
                <w:noProof/>
              </w:rPr>
              <w:t>Transportation Rates</w:t>
            </w:r>
            <w:r w:rsidR="00AA29F4">
              <w:rPr>
                <w:noProof/>
                <w:webHidden/>
              </w:rPr>
              <w:tab/>
            </w:r>
            <w:r w:rsidR="00AA29F4">
              <w:rPr>
                <w:noProof/>
                <w:webHidden/>
              </w:rPr>
              <w:fldChar w:fldCharType="begin"/>
            </w:r>
            <w:r w:rsidR="00AA29F4">
              <w:rPr>
                <w:noProof/>
                <w:webHidden/>
              </w:rPr>
              <w:instrText xml:space="preserve"> PAGEREF _Toc393696940 \h </w:instrText>
            </w:r>
            <w:r w:rsidR="00AA29F4">
              <w:rPr>
                <w:noProof/>
                <w:webHidden/>
              </w:rPr>
            </w:r>
            <w:r w:rsidR="00AA29F4">
              <w:rPr>
                <w:noProof/>
                <w:webHidden/>
              </w:rPr>
              <w:fldChar w:fldCharType="separate"/>
            </w:r>
            <w:r>
              <w:rPr>
                <w:noProof/>
                <w:webHidden/>
              </w:rPr>
              <w:t>69</w:t>
            </w:r>
            <w:r w:rsidR="00AA29F4">
              <w:rPr>
                <w:noProof/>
                <w:webHidden/>
              </w:rPr>
              <w:fldChar w:fldCharType="end"/>
            </w:r>
          </w:hyperlink>
        </w:p>
        <w:p w14:paraId="36BA80C3" w14:textId="63F9380A" w:rsidR="00AA29F4" w:rsidRDefault="0004481F">
          <w:pPr>
            <w:pStyle w:val="TOC3"/>
            <w:rPr>
              <w:rFonts w:asciiTheme="minorHAnsi" w:hAnsiTheme="minorHAnsi"/>
              <w:noProof/>
              <w:sz w:val="22"/>
              <w:lang w:eastAsia="en-US"/>
            </w:rPr>
          </w:pPr>
          <w:hyperlink w:anchor="_Toc393696941" w:history="1">
            <w:r w:rsidR="00AA29F4" w:rsidRPr="00470FD8">
              <w:rPr>
                <w:rStyle w:val="Hyperlink"/>
                <w:noProof/>
              </w:rPr>
              <w:t>D.</w:t>
            </w:r>
            <w:r w:rsidR="00AA29F4">
              <w:rPr>
                <w:rFonts w:asciiTheme="minorHAnsi" w:hAnsiTheme="minorHAnsi"/>
                <w:noProof/>
                <w:sz w:val="22"/>
                <w:lang w:eastAsia="en-US"/>
              </w:rPr>
              <w:tab/>
            </w:r>
            <w:r w:rsidR="00AA29F4" w:rsidRPr="00470FD8">
              <w:rPr>
                <w:rStyle w:val="Hyperlink"/>
                <w:noProof/>
              </w:rPr>
              <w:t>Interruptible Rates</w:t>
            </w:r>
            <w:r w:rsidR="00AA29F4">
              <w:rPr>
                <w:noProof/>
                <w:webHidden/>
              </w:rPr>
              <w:tab/>
            </w:r>
            <w:r w:rsidR="00AA29F4">
              <w:rPr>
                <w:noProof/>
                <w:webHidden/>
              </w:rPr>
              <w:fldChar w:fldCharType="begin"/>
            </w:r>
            <w:r w:rsidR="00AA29F4">
              <w:rPr>
                <w:noProof/>
                <w:webHidden/>
              </w:rPr>
              <w:instrText xml:space="preserve"> PAGEREF _Toc393696941 \h </w:instrText>
            </w:r>
            <w:r w:rsidR="00AA29F4">
              <w:rPr>
                <w:noProof/>
                <w:webHidden/>
              </w:rPr>
            </w:r>
            <w:r w:rsidR="00AA29F4">
              <w:rPr>
                <w:noProof/>
                <w:webHidden/>
              </w:rPr>
              <w:fldChar w:fldCharType="separate"/>
            </w:r>
            <w:r>
              <w:rPr>
                <w:noProof/>
                <w:webHidden/>
              </w:rPr>
              <w:t>70</w:t>
            </w:r>
            <w:r w:rsidR="00AA29F4">
              <w:rPr>
                <w:noProof/>
                <w:webHidden/>
              </w:rPr>
              <w:fldChar w:fldCharType="end"/>
            </w:r>
          </w:hyperlink>
        </w:p>
        <w:p w14:paraId="3C1DBB10" w14:textId="77777777" w:rsidR="00276957" w:rsidRPr="007E50F7" w:rsidRDefault="006C0746" w:rsidP="000004F0">
          <w:pPr>
            <w:spacing w:line="360" w:lineRule="auto"/>
            <w:rPr>
              <w:rFonts w:eastAsiaTheme="minorEastAsia" w:cstheme="minorBidi"/>
              <w:szCs w:val="22"/>
              <w:lang w:eastAsia="ja-JP"/>
            </w:rPr>
          </w:pPr>
          <w:r w:rsidRPr="007E50F7">
            <w:rPr>
              <w:rFonts w:eastAsiaTheme="minorEastAsia" w:cstheme="minorBidi"/>
              <w:szCs w:val="22"/>
              <w:lang w:eastAsia="ja-JP"/>
            </w:rPr>
            <w:fldChar w:fldCharType="end"/>
          </w:r>
          <w:r w:rsidR="00276957" w:rsidRPr="007E50F7">
            <w:rPr>
              <w:rFonts w:eastAsiaTheme="minorEastAsia" w:cstheme="minorBidi"/>
              <w:szCs w:val="22"/>
              <w:lang w:eastAsia="ja-JP"/>
            </w:rPr>
            <w:br w:type="page"/>
          </w:r>
        </w:p>
        <w:p w14:paraId="3C1DBB11" w14:textId="77777777" w:rsidR="00B44F4A" w:rsidRPr="007E50F7" w:rsidRDefault="00B44F4A" w:rsidP="00641F26">
          <w:pPr>
            <w:spacing w:line="360" w:lineRule="auto"/>
            <w:rPr>
              <w:b/>
              <w:bCs/>
              <w:noProof/>
            </w:rPr>
          </w:pPr>
        </w:p>
        <w:p w14:paraId="3C1DBB12" w14:textId="77777777" w:rsidR="00B44F4A" w:rsidRPr="007E50F7" w:rsidRDefault="00B44F4A" w:rsidP="00B44F4A">
          <w:pPr>
            <w:spacing w:line="360" w:lineRule="auto"/>
            <w:jc w:val="center"/>
            <w:rPr>
              <w:b/>
              <w:bCs/>
              <w:noProof/>
            </w:rPr>
          </w:pPr>
          <w:r w:rsidRPr="007E50F7">
            <w:rPr>
              <w:b/>
              <w:bCs/>
              <w:noProof/>
            </w:rPr>
            <w:t>LIST OF EXHIBITS</w:t>
          </w:r>
        </w:p>
        <w:p w14:paraId="3C1DBB13" w14:textId="77777777" w:rsidR="004E0D94" w:rsidRPr="007E50F7" w:rsidRDefault="004E0D94" w:rsidP="004E0D94"/>
        <w:p w14:paraId="3C1DBB14" w14:textId="77777777" w:rsidR="00484857" w:rsidRPr="007D109E" w:rsidRDefault="00477F8A" w:rsidP="00484857">
          <w:pPr>
            <w:spacing w:line="360" w:lineRule="auto"/>
          </w:pPr>
          <w:r w:rsidRPr="007D109E">
            <w:rPr>
              <w:bCs/>
            </w:rPr>
            <w:t>Exhibit No.</w:t>
          </w:r>
          <w:r w:rsidR="00940838" w:rsidRPr="007D109E">
            <w:rPr>
              <w:bCs/>
            </w:rPr>
            <w:t xml:space="preserve"> </w:t>
          </w:r>
          <w:r w:rsidRPr="007D109E">
            <w:rPr>
              <w:bCs/>
            </w:rPr>
            <w:t>_</w:t>
          </w:r>
          <w:r w:rsidR="00940838" w:rsidRPr="007D109E">
            <w:rPr>
              <w:bCs/>
            </w:rPr>
            <w:t>_</w:t>
          </w:r>
          <w:r w:rsidRPr="007D109E">
            <w:rPr>
              <w:bCs/>
            </w:rPr>
            <w:t>_ (</w:t>
          </w:r>
          <w:proofErr w:type="spellStart"/>
          <w:r w:rsidRPr="007D109E">
            <w:rPr>
              <w:bCs/>
            </w:rPr>
            <w:t>CTM</w:t>
          </w:r>
          <w:proofErr w:type="spellEnd"/>
          <w:r w:rsidRPr="007D109E">
            <w:rPr>
              <w:bCs/>
            </w:rPr>
            <w:t>-</w:t>
          </w:r>
          <w:r w:rsidR="005C0100" w:rsidRPr="007D109E">
            <w:rPr>
              <w:bCs/>
            </w:rPr>
            <w:t>2</w:t>
          </w:r>
          <w:r w:rsidRPr="007D109E">
            <w:rPr>
              <w:bCs/>
            </w:rPr>
            <w:t>)</w:t>
          </w:r>
          <w:r w:rsidRPr="007D109E">
            <w:rPr>
              <w:bCs/>
            </w:rPr>
            <w:tab/>
          </w:r>
          <w:r w:rsidR="00484857" w:rsidRPr="007D109E">
            <w:rPr>
              <w:bCs/>
            </w:rPr>
            <w:t xml:space="preserve">Electric </w:t>
          </w:r>
          <w:r w:rsidR="00251BED" w:rsidRPr="007D109E">
            <w:rPr>
              <w:bCs/>
            </w:rPr>
            <w:t>Cost of Service</w:t>
          </w:r>
        </w:p>
        <w:p w14:paraId="3C1DBB15" w14:textId="77777777" w:rsidR="00B758B7" w:rsidRPr="007D109E" w:rsidRDefault="00B758B7" w:rsidP="00B758B7">
          <w:pPr>
            <w:spacing w:line="360" w:lineRule="auto"/>
          </w:pPr>
          <w:r w:rsidRPr="007D109E">
            <w:rPr>
              <w:bCs/>
            </w:rPr>
            <w:t>Exhibit No.</w:t>
          </w:r>
          <w:r w:rsidR="00940838" w:rsidRPr="007D109E">
            <w:rPr>
              <w:bCs/>
            </w:rPr>
            <w:t xml:space="preserve"> </w:t>
          </w:r>
          <w:r w:rsidRPr="007D109E">
            <w:rPr>
              <w:bCs/>
            </w:rPr>
            <w:t>_</w:t>
          </w:r>
          <w:r w:rsidR="00940838" w:rsidRPr="007D109E">
            <w:rPr>
              <w:bCs/>
            </w:rPr>
            <w:t>_</w:t>
          </w:r>
          <w:r w:rsidRPr="007D109E">
            <w:rPr>
              <w:bCs/>
            </w:rPr>
            <w:t>_ (</w:t>
          </w:r>
          <w:proofErr w:type="spellStart"/>
          <w:r w:rsidRPr="007D109E">
            <w:rPr>
              <w:bCs/>
            </w:rPr>
            <w:t>CTM</w:t>
          </w:r>
          <w:proofErr w:type="spellEnd"/>
          <w:r w:rsidRPr="007D109E">
            <w:rPr>
              <w:bCs/>
            </w:rPr>
            <w:t>-</w:t>
          </w:r>
          <w:r w:rsidR="005C0100" w:rsidRPr="007D109E">
            <w:rPr>
              <w:bCs/>
            </w:rPr>
            <w:t>3</w:t>
          </w:r>
          <w:r w:rsidRPr="007D109E">
            <w:rPr>
              <w:bCs/>
            </w:rPr>
            <w:t>)</w:t>
          </w:r>
          <w:r w:rsidRPr="007D109E">
            <w:rPr>
              <w:bCs/>
            </w:rPr>
            <w:tab/>
            <w:t xml:space="preserve">Electric </w:t>
          </w:r>
          <w:r w:rsidRPr="007D109E">
            <w:t>Revenue Allocation and Rate Design</w:t>
          </w:r>
        </w:p>
        <w:p w14:paraId="3C1DBB16" w14:textId="77777777" w:rsidR="004E747D" w:rsidRPr="007D109E" w:rsidRDefault="004E747D" w:rsidP="004E747D">
          <w:pPr>
            <w:spacing w:line="360" w:lineRule="auto"/>
          </w:pPr>
          <w:r w:rsidRPr="007D109E">
            <w:rPr>
              <w:bCs/>
            </w:rPr>
            <w:t>Exhibit No. ___ (</w:t>
          </w:r>
          <w:proofErr w:type="spellStart"/>
          <w:r w:rsidRPr="007D109E">
            <w:rPr>
              <w:bCs/>
            </w:rPr>
            <w:t>CTM</w:t>
          </w:r>
          <w:proofErr w:type="spellEnd"/>
          <w:r w:rsidRPr="007D109E">
            <w:rPr>
              <w:bCs/>
            </w:rPr>
            <w:t>-</w:t>
          </w:r>
          <w:r w:rsidR="005C0100" w:rsidRPr="007D109E">
            <w:rPr>
              <w:bCs/>
            </w:rPr>
            <w:t>4</w:t>
          </w:r>
          <w:r w:rsidRPr="007D109E">
            <w:rPr>
              <w:bCs/>
            </w:rPr>
            <w:t>)</w:t>
          </w:r>
          <w:r w:rsidRPr="007D109E">
            <w:rPr>
              <w:bCs/>
            </w:rPr>
            <w:tab/>
            <w:t xml:space="preserve">Electric </w:t>
          </w:r>
          <w:r w:rsidR="007D109E" w:rsidRPr="007D109E">
            <w:rPr>
              <w:bCs/>
            </w:rPr>
            <w:t xml:space="preserve">Cost </w:t>
          </w:r>
          <w:r w:rsidR="00D02B6B">
            <w:rPr>
              <w:bCs/>
            </w:rPr>
            <w:t xml:space="preserve">Classifications and </w:t>
          </w:r>
          <w:r w:rsidR="007D109E" w:rsidRPr="007D109E">
            <w:rPr>
              <w:bCs/>
            </w:rPr>
            <w:t>Allocations</w:t>
          </w:r>
        </w:p>
        <w:p w14:paraId="3C1DBB17" w14:textId="77777777" w:rsidR="004E747D" w:rsidRPr="007D109E" w:rsidRDefault="004E747D" w:rsidP="004E747D">
          <w:pPr>
            <w:spacing w:line="360" w:lineRule="auto"/>
          </w:pPr>
          <w:r w:rsidRPr="007D109E">
            <w:rPr>
              <w:bCs/>
            </w:rPr>
            <w:t>Exhibit No. ___ (</w:t>
          </w:r>
          <w:proofErr w:type="spellStart"/>
          <w:r w:rsidRPr="007D109E">
            <w:rPr>
              <w:bCs/>
            </w:rPr>
            <w:t>CTM</w:t>
          </w:r>
          <w:proofErr w:type="spellEnd"/>
          <w:r w:rsidRPr="007D109E">
            <w:rPr>
              <w:bCs/>
            </w:rPr>
            <w:t>-</w:t>
          </w:r>
          <w:r w:rsidR="005C0100" w:rsidRPr="007D109E">
            <w:rPr>
              <w:bCs/>
            </w:rPr>
            <w:t>5</w:t>
          </w:r>
          <w:r w:rsidRPr="007D109E">
            <w:rPr>
              <w:bCs/>
            </w:rPr>
            <w:t>)</w:t>
          </w:r>
          <w:r w:rsidRPr="007D109E">
            <w:rPr>
              <w:bCs/>
            </w:rPr>
            <w:tab/>
            <w:t>Natural Gas Cost of Service</w:t>
          </w:r>
        </w:p>
        <w:p w14:paraId="3C1DBB18" w14:textId="77777777" w:rsidR="00B758B7" w:rsidRPr="007D109E" w:rsidRDefault="00B758B7" w:rsidP="004E0D94">
          <w:pPr>
            <w:spacing w:line="360" w:lineRule="auto"/>
          </w:pPr>
          <w:r w:rsidRPr="007D109E">
            <w:rPr>
              <w:bCs/>
            </w:rPr>
            <w:t>Exhibit No.</w:t>
          </w:r>
          <w:r w:rsidR="00940838" w:rsidRPr="007D109E">
            <w:rPr>
              <w:bCs/>
            </w:rPr>
            <w:t xml:space="preserve"> </w:t>
          </w:r>
          <w:r w:rsidRPr="007D109E">
            <w:rPr>
              <w:bCs/>
            </w:rPr>
            <w:t>__</w:t>
          </w:r>
          <w:r w:rsidR="00940838" w:rsidRPr="007D109E">
            <w:rPr>
              <w:bCs/>
            </w:rPr>
            <w:t>_</w:t>
          </w:r>
          <w:r w:rsidRPr="007D109E">
            <w:rPr>
              <w:bCs/>
            </w:rPr>
            <w:t xml:space="preserve"> (</w:t>
          </w:r>
          <w:proofErr w:type="spellStart"/>
          <w:r w:rsidRPr="007D109E">
            <w:rPr>
              <w:bCs/>
            </w:rPr>
            <w:t>CTM</w:t>
          </w:r>
          <w:proofErr w:type="spellEnd"/>
          <w:r w:rsidRPr="007D109E">
            <w:rPr>
              <w:bCs/>
            </w:rPr>
            <w:t>-</w:t>
          </w:r>
          <w:r w:rsidR="005C0100" w:rsidRPr="007D109E">
            <w:rPr>
              <w:bCs/>
            </w:rPr>
            <w:t>6</w:t>
          </w:r>
          <w:r w:rsidRPr="007D109E">
            <w:rPr>
              <w:bCs/>
            </w:rPr>
            <w:t>)</w:t>
          </w:r>
          <w:r w:rsidRPr="007D109E">
            <w:rPr>
              <w:bCs/>
            </w:rPr>
            <w:tab/>
            <w:t xml:space="preserve">Natural Gas </w:t>
          </w:r>
          <w:r w:rsidRPr="007D109E">
            <w:t>Revenue Allocation and Rate Design</w:t>
          </w:r>
        </w:p>
        <w:p w14:paraId="3C1DBB19" w14:textId="77777777" w:rsidR="00276957" w:rsidRPr="007D109E" w:rsidRDefault="00276957" w:rsidP="00276957">
          <w:pPr>
            <w:spacing w:line="360" w:lineRule="auto"/>
          </w:pPr>
          <w:r w:rsidRPr="007D109E">
            <w:rPr>
              <w:bCs/>
            </w:rPr>
            <w:t>Exhibit No.</w:t>
          </w:r>
          <w:r w:rsidR="00940838" w:rsidRPr="007D109E">
            <w:rPr>
              <w:bCs/>
            </w:rPr>
            <w:t xml:space="preserve"> </w:t>
          </w:r>
          <w:r w:rsidRPr="007D109E">
            <w:rPr>
              <w:bCs/>
            </w:rPr>
            <w:t>_</w:t>
          </w:r>
          <w:r w:rsidR="00940838" w:rsidRPr="007D109E">
            <w:rPr>
              <w:bCs/>
            </w:rPr>
            <w:t>_</w:t>
          </w:r>
          <w:r w:rsidRPr="007D109E">
            <w:rPr>
              <w:bCs/>
            </w:rPr>
            <w:t>_ (</w:t>
          </w:r>
          <w:proofErr w:type="spellStart"/>
          <w:r w:rsidRPr="007D109E">
            <w:rPr>
              <w:bCs/>
            </w:rPr>
            <w:t>CTM</w:t>
          </w:r>
          <w:proofErr w:type="spellEnd"/>
          <w:r w:rsidRPr="007D109E">
            <w:rPr>
              <w:bCs/>
            </w:rPr>
            <w:t>-</w:t>
          </w:r>
          <w:r w:rsidR="005C0100" w:rsidRPr="007D109E">
            <w:rPr>
              <w:bCs/>
            </w:rPr>
            <w:t>7</w:t>
          </w:r>
          <w:r w:rsidRPr="007D109E">
            <w:rPr>
              <w:bCs/>
            </w:rPr>
            <w:t>)</w:t>
          </w:r>
          <w:r w:rsidRPr="007D109E">
            <w:rPr>
              <w:bCs/>
            </w:rPr>
            <w:tab/>
            <w:t>Natural Gas</w:t>
          </w:r>
          <w:r w:rsidRPr="007D109E">
            <w:t xml:space="preserve"> </w:t>
          </w:r>
          <w:r w:rsidR="007D109E" w:rsidRPr="007D109E">
            <w:t xml:space="preserve">Cost </w:t>
          </w:r>
          <w:r w:rsidR="00D02B6B">
            <w:t xml:space="preserve">Classifications and </w:t>
          </w:r>
          <w:r w:rsidR="00477F8A" w:rsidRPr="007D109E">
            <w:t>A</w:t>
          </w:r>
          <w:r w:rsidR="007D109E" w:rsidRPr="007D109E">
            <w:t>llocations</w:t>
          </w:r>
        </w:p>
        <w:p w14:paraId="3C1DBB1A" w14:textId="77777777" w:rsidR="00641F26" w:rsidRPr="007D109E" w:rsidRDefault="00276957" w:rsidP="004E0D94">
          <w:pPr>
            <w:spacing w:line="360" w:lineRule="auto"/>
          </w:pPr>
          <w:r w:rsidRPr="007D109E">
            <w:rPr>
              <w:bCs/>
            </w:rPr>
            <w:t>Exhibit No.</w:t>
          </w:r>
          <w:r w:rsidR="00940838" w:rsidRPr="007D109E">
            <w:rPr>
              <w:bCs/>
            </w:rPr>
            <w:t xml:space="preserve"> </w:t>
          </w:r>
          <w:r w:rsidRPr="007D109E">
            <w:rPr>
              <w:bCs/>
            </w:rPr>
            <w:t>__</w:t>
          </w:r>
          <w:r w:rsidR="00940838" w:rsidRPr="007D109E">
            <w:rPr>
              <w:bCs/>
            </w:rPr>
            <w:t>_</w:t>
          </w:r>
          <w:r w:rsidRPr="007D109E">
            <w:rPr>
              <w:bCs/>
            </w:rPr>
            <w:t xml:space="preserve"> (</w:t>
          </w:r>
          <w:proofErr w:type="spellStart"/>
          <w:r w:rsidRPr="007D109E">
            <w:rPr>
              <w:bCs/>
            </w:rPr>
            <w:t>CTM</w:t>
          </w:r>
          <w:proofErr w:type="spellEnd"/>
          <w:r w:rsidRPr="007D109E">
            <w:rPr>
              <w:bCs/>
            </w:rPr>
            <w:t>-</w:t>
          </w:r>
          <w:r w:rsidR="005C0100" w:rsidRPr="007D109E">
            <w:rPr>
              <w:bCs/>
            </w:rPr>
            <w:t>8</w:t>
          </w:r>
          <w:r w:rsidRPr="007D109E">
            <w:rPr>
              <w:bCs/>
            </w:rPr>
            <w:t>)</w:t>
          </w:r>
          <w:r w:rsidRPr="007D109E">
            <w:rPr>
              <w:bCs/>
            </w:rPr>
            <w:tab/>
          </w:r>
          <w:r w:rsidRPr="007D109E">
            <w:t>Allocation of Natur</w:t>
          </w:r>
          <w:r w:rsidR="000726F7" w:rsidRPr="007D109E">
            <w:t>al Gas Distribution Mains</w:t>
          </w:r>
        </w:p>
      </w:sdtContent>
    </w:sdt>
    <w:p w14:paraId="3C1DBB1B" w14:textId="77777777" w:rsidR="00FB6F77" w:rsidRPr="007E50F7" w:rsidRDefault="00B65674" w:rsidP="005A6989">
      <w:pPr>
        <w:sectPr w:rsidR="00FB6F77" w:rsidRPr="007E50F7" w:rsidSect="00B65674">
          <w:footerReference w:type="default" r:id="rId14"/>
          <w:pgSz w:w="12240" w:h="15840" w:code="1"/>
          <w:pgMar w:top="1440" w:right="1440" w:bottom="1440" w:left="1872" w:header="720" w:footer="720" w:gutter="0"/>
          <w:pgNumType w:fmt="lowerRoman" w:start="1"/>
          <w:cols w:space="720"/>
          <w:docGrid w:linePitch="360"/>
        </w:sectPr>
      </w:pPr>
      <w:r w:rsidRPr="007E50F7">
        <w:br w:type="page"/>
      </w:r>
    </w:p>
    <w:p w14:paraId="3C1DBB1C" w14:textId="77777777" w:rsidR="00FB6F77" w:rsidRPr="007E50F7" w:rsidRDefault="00FB6F77" w:rsidP="00E24E40">
      <w:pPr>
        <w:pStyle w:val="Heading1"/>
        <w:jc w:val="both"/>
      </w:pPr>
      <w:bookmarkStart w:id="0" w:name="_Toc391992029"/>
      <w:bookmarkStart w:id="1" w:name="_Toc393696912"/>
      <w:r w:rsidRPr="007E50F7">
        <w:lastRenderedPageBreak/>
        <w:t>INTRODUCTION</w:t>
      </w:r>
      <w:bookmarkEnd w:id="0"/>
      <w:bookmarkEnd w:id="1"/>
    </w:p>
    <w:p w14:paraId="3C1DBB1D" w14:textId="77777777" w:rsidR="001D211D" w:rsidRPr="007E50F7" w:rsidRDefault="001D211D" w:rsidP="00641F26">
      <w:pPr>
        <w:pStyle w:val="Question-Testimony"/>
      </w:pPr>
    </w:p>
    <w:p w14:paraId="3C1DBB1E" w14:textId="77777777" w:rsidR="00C3471C" w:rsidRPr="007E50F7" w:rsidRDefault="00C3471C" w:rsidP="00641F26">
      <w:pPr>
        <w:pStyle w:val="Question-Testimony"/>
      </w:pPr>
      <w:r w:rsidRPr="007E50F7">
        <w:t>Q.</w:t>
      </w:r>
      <w:r w:rsidRPr="007E50F7">
        <w:tab/>
        <w:t xml:space="preserve">Please state your name and business address.  </w:t>
      </w:r>
    </w:p>
    <w:p w14:paraId="3C1DBB1F" w14:textId="77777777" w:rsidR="00C3471C" w:rsidRPr="007E50F7" w:rsidRDefault="002F1187" w:rsidP="00641F26">
      <w:pPr>
        <w:pStyle w:val="Answer-Testimony"/>
      </w:pPr>
      <w:r w:rsidRPr="007E50F7">
        <w:t>A.</w:t>
      </w:r>
      <w:r w:rsidRPr="007E50F7">
        <w:tab/>
        <w:t>My name is Christopher T</w:t>
      </w:r>
      <w:r w:rsidR="003A238D" w:rsidRPr="007E50F7">
        <w:t>homas</w:t>
      </w:r>
      <w:r w:rsidRPr="007E50F7">
        <w:t xml:space="preserve"> Mickelson</w:t>
      </w:r>
      <w:r w:rsidR="00C3471C" w:rsidRPr="007E50F7">
        <w:t>.  My business address is</w:t>
      </w:r>
      <w:r w:rsidR="00100D8D" w:rsidRPr="007E50F7">
        <w:t xml:space="preserve"> t</w:t>
      </w:r>
      <w:r w:rsidRPr="007E50F7">
        <w:t xml:space="preserve">he Richard </w:t>
      </w:r>
      <w:proofErr w:type="spellStart"/>
      <w:r w:rsidRPr="007E50F7">
        <w:t>Hemstad</w:t>
      </w:r>
      <w:proofErr w:type="spellEnd"/>
      <w:r w:rsidRPr="007E50F7">
        <w:t xml:space="preserve"> Building,</w:t>
      </w:r>
      <w:r w:rsidR="00C3471C" w:rsidRPr="007E50F7">
        <w:t xml:space="preserve"> 1300 S. Evergreen Park Drive S.W., Olympia, W</w:t>
      </w:r>
      <w:r w:rsidR="00100D8D" w:rsidRPr="007E50F7">
        <w:t>ashington</w:t>
      </w:r>
      <w:r w:rsidR="00393B56">
        <w:t xml:space="preserve">  98504.</w:t>
      </w:r>
    </w:p>
    <w:p w14:paraId="3C1DBB20" w14:textId="77777777" w:rsidR="00464A47" w:rsidRPr="007E50F7" w:rsidRDefault="00464A47" w:rsidP="00464A47">
      <w:pPr>
        <w:spacing w:line="480" w:lineRule="auto"/>
        <w:ind w:left="720" w:hanging="720"/>
      </w:pPr>
    </w:p>
    <w:p w14:paraId="3C1DBB21" w14:textId="77777777" w:rsidR="00464A47" w:rsidRPr="007E50F7" w:rsidRDefault="00464A47" w:rsidP="00464A47">
      <w:pPr>
        <w:pStyle w:val="Question-Testimony"/>
      </w:pPr>
      <w:r w:rsidRPr="007E50F7">
        <w:t>Q.</w:t>
      </w:r>
      <w:r w:rsidRPr="007E50F7">
        <w:tab/>
        <w:t xml:space="preserve">By whom are you employed and in what capacity?  </w:t>
      </w:r>
    </w:p>
    <w:p w14:paraId="3C1DBB22" w14:textId="77777777" w:rsidR="00464A47" w:rsidRPr="007E50F7" w:rsidRDefault="00464A47" w:rsidP="00464A47">
      <w:pPr>
        <w:pStyle w:val="Answer-Testimony"/>
      </w:pPr>
      <w:r w:rsidRPr="007E50F7">
        <w:rPr>
          <w:rStyle w:val="Answer-TestimonyChar"/>
        </w:rPr>
        <w:t>A.</w:t>
      </w:r>
      <w:r w:rsidRPr="007E50F7">
        <w:rPr>
          <w:rStyle w:val="Answer-TestimonyChar"/>
        </w:rPr>
        <w:tab/>
        <w:t>I am employed by the Washington Utilities and Transportation Commission</w:t>
      </w:r>
      <w:r w:rsidRPr="007E50F7">
        <w:t xml:space="preserve"> (“Commission”) as a Senior Regulatory Analyst in the Energy Section of the Regulatory Services Division.</w:t>
      </w:r>
      <w:r w:rsidR="0092519E" w:rsidRPr="007E50F7">
        <w:t xml:space="preserve">  A</w:t>
      </w:r>
      <w:r w:rsidRPr="007E50F7">
        <w:t>mong other duties,</w:t>
      </w:r>
      <w:r w:rsidR="0092519E" w:rsidRPr="007E50F7">
        <w:t xml:space="preserve"> </w:t>
      </w:r>
      <w:r w:rsidR="00393B56" w:rsidRPr="00F27E5A">
        <w:t>I am responsible for analyzing financial, accounting, and revenue allocation and rate design issues in general rate cases, accounting petitions, and other tariff filings, as they pertain to the electric and natural gas companies under the jurisdiction of this Commission</w:t>
      </w:r>
      <w:r w:rsidRPr="007E50F7">
        <w:t>.</w:t>
      </w:r>
    </w:p>
    <w:p w14:paraId="3C1DBB23" w14:textId="77777777" w:rsidR="00464A47" w:rsidRPr="007E50F7" w:rsidRDefault="00464A47" w:rsidP="00464A47">
      <w:pPr>
        <w:spacing w:line="480" w:lineRule="auto"/>
        <w:ind w:left="720" w:hanging="720"/>
      </w:pPr>
    </w:p>
    <w:p w14:paraId="3C1DBB24" w14:textId="77777777" w:rsidR="00464A47" w:rsidRPr="007E50F7" w:rsidRDefault="00464A47" w:rsidP="00464A47">
      <w:pPr>
        <w:pStyle w:val="Question-Testimony"/>
      </w:pPr>
      <w:r w:rsidRPr="007E50F7">
        <w:t>Q.</w:t>
      </w:r>
      <w:r w:rsidRPr="007E50F7">
        <w:tab/>
        <w:t>How long have you been employed by the Commission?</w:t>
      </w:r>
    </w:p>
    <w:p w14:paraId="3C1DBB25" w14:textId="77777777" w:rsidR="00464A47" w:rsidRPr="007E50F7" w:rsidRDefault="00464A47" w:rsidP="00464A47">
      <w:pPr>
        <w:pStyle w:val="Answer-Testimony"/>
      </w:pPr>
      <w:r w:rsidRPr="007E50F7">
        <w:t>A.</w:t>
      </w:r>
      <w:r w:rsidRPr="007E50F7">
        <w:tab/>
        <w:t>I have been employed by the Commission since June 2007.</w:t>
      </w:r>
    </w:p>
    <w:p w14:paraId="3C1DBB26" w14:textId="77777777" w:rsidR="00464A47" w:rsidRPr="007E50F7" w:rsidRDefault="00464A47" w:rsidP="00464A47">
      <w:pPr>
        <w:tabs>
          <w:tab w:val="left" w:pos="-1440"/>
        </w:tabs>
        <w:spacing w:line="480" w:lineRule="auto"/>
      </w:pPr>
    </w:p>
    <w:p w14:paraId="3C1DBB27" w14:textId="77777777" w:rsidR="00464A47" w:rsidRPr="007E50F7" w:rsidRDefault="00464A47" w:rsidP="00464A47">
      <w:pPr>
        <w:pStyle w:val="Question-Testimony"/>
      </w:pPr>
      <w:r w:rsidRPr="007E50F7">
        <w:t>Q.</w:t>
      </w:r>
      <w:r w:rsidRPr="007E50F7">
        <w:tab/>
        <w:t>Would you please state your educational and professional background?</w:t>
      </w:r>
    </w:p>
    <w:p w14:paraId="3C1DBB28" w14:textId="77777777" w:rsidR="00393B56" w:rsidRDefault="00464A47" w:rsidP="00393B56">
      <w:pPr>
        <w:pStyle w:val="Answer-Testimony"/>
      </w:pPr>
      <w:r w:rsidRPr="007E50F7">
        <w:t>A.</w:t>
      </w:r>
      <w:r w:rsidRPr="007E50F7">
        <w:tab/>
      </w:r>
      <w:r w:rsidR="00393B56" w:rsidRPr="00F27E5A">
        <w:t>I graduated from the University of Washington</w:t>
      </w:r>
      <w:r w:rsidR="00393B56">
        <w:t xml:space="preserve"> </w:t>
      </w:r>
      <w:r w:rsidR="00393B56" w:rsidRPr="00F27E5A">
        <w:t xml:space="preserve">in 2002, receiving a Bachelor of Arts degree in Business Administration.  </w:t>
      </w:r>
      <w:r w:rsidR="00393B56">
        <w:t>While attending college, I performed the duties of accounts payable and subcontracting accounting</w:t>
      </w:r>
      <w:r w:rsidR="00393B56" w:rsidRPr="00382FF3">
        <w:t xml:space="preserve"> </w:t>
      </w:r>
      <w:r w:rsidR="00393B56">
        <w:t xml:space="preserve">for </w:t>
      </w:r>
      <w:proofErr w:type="spellStart"/>
      <w:r w:rsidR="00393B56">
        <w:t>Sellen</w:t>
      </w:r>
      <w:proofErr w:type="spellEnd"/>
      <w:r w:rsidR="00393B56">
        <w:t xml:space="preserve"> Construction Company.  In 2006, I was employed as a fraud auditor for the Washington State </w:t>
      </w:r>
      <w:r w:rsidR="00393B56">
        <w:lastRenderedPageBreak/>
        <w:t xml:space="preserve">Department of Labor &amp; Industries.  </w:t>
      </w:r>
      <w:r w:rsidR="00393B56" w:rsidRPr="00F27E5A">
        <w:t>Since joining the Commission, I have attended several regulatory courses, including the 49th Annual National Association of Regulatory Utility Commissioners Regulatory Studies Program held at Michigan State University.</w:t>
      </w:r>
    </w:p>
    <w:p w14:paraId="3C1DBB29" w14:textId="77777777" w:rsidR="002A71C9" w:rsidRPr="00F27E5A" w:rsidRDefault="002A71C9" w:rsidP="002A71C9">
      <w:pPr>
        <w:pStyle w:val="Answer-Testimony"/>
        <w:ind w:firstLine="720"/>
      </w:pPr>
      <w:r w:rsidRPr="00F27E5A">
        <w:t>I have participated in the development of Commission rules, prepared detailed statistical studies for use by commissioners and other Commission employees, and examined utility and transportation company reports for compliance with Commission regulations.  I have also presented Staff recommendations at numerous open public meetings.</w:t>
      </w:r>
    </w:p>
    <w:p w14:paraId="3C1DBB2A" w14:textId="77777777" w:rsidR="00BD353A" w:rsidRDefault="00BD353A" w:rsidP="00393B56">
      <w:pPr>
        <w:pStyle w:val="Answer-Testimony"/>
      </w:pPr>
    </w:p>
    <w:p w14:paraId="3C1DBB2B" w14:textId="77777777" w:rsidR="002A71C9" w:rsidRPr="00F27E5A" w:rsidRDefault="002A71C9" w:rsidP="0011480F">
      <w:pPr>
        <w:pStyle w:val="Question-Testimony"/>
      </w:pPr>
      <w:r>
        <w:t>Q.</w:t>
      </w:r>
      <w:r>
        <w:tab/>
        <w:t>Have you previously testified before the Commission?</w:t>
      </w:r>
    </w:p>
    <w:p w14:paraId="3C1DBB2C" w14:textId="77777777" w:rsidR="00393B56" w:rsidRDefault="00BD353A" w:rsidP="00393B56">
      <w:pPr>
        <w:pStyle w:val="Answer-Testimony"/>
      </w:pPr>
      <w:r>
        <w:t>A.</w:t>
      </w:r>
      <w:r>
        <w:tab/>
      </w:r>
      <w:r w:rsidR="002A71C9">
        <w:t xml:space="preserve">Yes.  Recently, </w:t>
      </w:r>
      <w:r w:rsidR="00393B56">
        <w:t xml:space="preserve">I testified on uncollectible expenses, net-to-gross conversion factor, </w:t>
      </w:r>
      <w:r w:rsidR="00393B56" w:rsidRPr="00F27E5A">
        <w:t>electric cost of service, revenue allocation</w:t>
      </w:r>
      <w:r w:rsidR="00393B56">
        <w:t xml:space="preserve">, </w:t>
      </w:r>
      <w:r w:rsidR="00393B56" w:rsidRPr="00F27E5A">
        <w:t>rate design</w:t>
      </w:r>
      <w:r w:rsidR="00393B56">
        <w:t xml:space="preserve">, and service charges in PacifiCorp d/b/a </w:t>
      </w:r>
      <w:r w:rsidR="00393B56" w:rsidRPr="00F27E5A">
        <w:t>Pacific Power &amp; Light Company</w:t>
      </w:r>
      <w:r w:rsidR="00393B56">
        <w:t>’s</w:t>
      </w:r>
      <w:r w:rsidR="00393B56" w:rsidRPr="00F27E5A">
        <w:t xml:space="preserve"> general rate case</w:t>
      </w:r>
      <w:r w:rsidR="00393B56">
        <w:t xml:space="preserve"> (“</w:t>
      </w:r>
      <w:proofErr w:type="spellStart"/>
      <w:r w:rsidR="00393B56">
        <w:t>GRC</w:t>
      </w:r>
      <w:proofErr w:type="spellEnd"/>
      <w:r w:rsidR="00393B56">
        <w:t>”)</w:t>
      </w:r>
      <w:r w:rsidR="00393B56" w:rsidRPr="00F27E5A">
        <w:t>,</w:t>
      </w:r>
      <w:r w:rsidR="00393B56">
        <w:t xml:space="preserve"> Docket UE-130043.  I also </w:t>
      </w:r>
      <w:r w:rsidR="007F6ACB">
        <w:t>filed testimony</w:t>
      </w:r>
      <w:r w:rsidR="00393B56">
        <w:t xml:space="preserve"> </w:t>
      </w:r>
      <w:r w:rsidR="00393B56" w:rsidRPr="00F27E5A">
        <w:t xml:space="preserve">on </w:t>
      </w:r>
      <w:proofErr w:type="spellStart"/>
      <w:r w:rsidR="00393B56" w:rsidRPr="00F27E5A">
        <w:t>Aldyl</w:t>
      </w:r>
      <w:proofErr w:type="spellEnd"/>
      <w:r w:rsidR="00393B56" w:rsidRPr="00F27E5A">
        <w:t>-A pipe replacement</w:t>
      </w:r>
      <w:r w:rsidR="00393B56">
        <w:t xml:space="preserve"> accounting treatment</w:t>
      </w:r>
      <w:r w:rsidR="00393B56" w:rsidRPr="00F27E5A">
        <w:t>, electric and natural gas cost of service, revenue allocations and rate design in Avista Corporation’s</w:t>
      </w:r>
      <w:r w:rsidR="00393B56">
        <w:t xml:space="preserve"> (“Avista” or “Company”)</w:t>
      </w:r>
      <w:r w:rsidR="00393B56" w:rsidRPr="00F27E5A">
        <w:t xml:space="preserve"> </w:t>
      </w:r>
      <w:proofErr w:type="spellStart"/>
      <w:r w:rsidR="00393B56">
        <w:t>GRC</w:t>
      </w:r>
      <w:proofErr w:type="spellEnd"/>
      <w:r w:rsidR="00393B56" w:rsidRPr="00F27E5A">
        <w:t>, Do</w:t>
      </w:r>
      <w:r w:rsidR="00393B56">
        <w:t xml:space="preserve">ckets UE-120436 and </w:t>
      </w:r>
      <w:proofErr w:type="spellStart"/>
      <w:r w:rsidR="00393B56">
        <w:t>UG</w:t>
      </w:r>
      <w:proofErr w:type="spellEnd"/>
      <w:r w:rsidR="00393B56">
        <w:t>-120437.</w:t>
      </w:r>
    </w:p>
    <w:p w14:paraId="3C1DBB2D" w14:textId="77777777" w:rsidR="002E5B72" w:rsidRDefault="00393B56" w:rsidP="00393B56">
      <w:pPr>
        <w:pStyle w:val="Answer-Testimony"/>
        <w:ind w:firstLine="720"/>
      </w:pPr>
      <w:r w:rsidRPr="00F27E5A">
        <w:t xml:space="preserve">I </w:t>
      </w:r>
      <w:r>
        <w:t xml:space="preserve">testified </w:t>
      </w:r>
      <w:r w:rsidRPr="00F27E5A">
        <w:t>on</w:t>
      </w:r>
      <w:r>
        <w:t xml:space="preserve"> the treatment of planned major maintenance activities, hydro production operating and maintenance expense, the handling of United States Department of the Treasury </w:t>
      </w:r>
      <w:r w:rsidRPr="002B3012">
        <w:t>Grant</w:t>
      </w:r>
      <w:r>
        <w:t>s, other power cost issues and calculations, revenue allocation, and rate design</w:t>
      </w:r>
      <w:r w:rsidRPr="00F27E5A">
        <w:t xml:space="preserve"> </w:t>
      </w:r>
      <w:r>
        <w:t xml:space="preserve">in </w:t>
      </w:r>
      <w:r w:rsidRPr="00F27E5A">
        <w:t>Puget Sound Energy, Inc.’s</w:t>
      </w:r>
      <w:r w:rsidR="00602C38">
        <w:t xml:space="preserve"> (“PSE”)</w:t>
      </w:r>
      <w:r>
        <w:t xml:space="preserve"> Power Cost Only Rate Case (“</w:t>
      </w:r>
      <w:proofErr w:type="spellStart"/>
      <w:r>
        <w:t>PCORC</w:t>
      </w:r>
      <w:proofErr w:type="spellEnd"/>
      <w:r>
        <w:t xml:space="preserve">”), Docket UE-130617; </w:t>
      </w:r>
      <w:r w:rsidR="00602C38">
        <w:t xml:space="preserve">and the allocation of </w:t>
      </w:r>
      <w:r w:rsidR="00602C38" w:rsidRPr="00750FB2">
        <w:t xml:space="preserve">proceeds </w:t>
      </w:r>
      <w:r w:rsidR="00602C38">
        <w:t xml:space="preserve">from the </w:t>
      </w:r>
      <w:r w:rsidR="00602C38">
        <w:lastRenderedPageBreak/>
        <w:t xml:space="preserve">sale of the assets to </w:t>
      </w:r>
      <w:r w:rsidR="00602C38" w:rsidRPr="00660E87">
        <w:t>J</w:t>
      </w:r>
      <w:r w:rsidR="00602C38">
        <w:t xml:space="preserve">efferson County </w:t>
      </w:r>
      <w:r w:rsidR="00602C38" w:rsidRPr="00660E87">
        <w:t>P</w:t>
      </w:r>
      <w:r w:rsidR="00602C38">
        <w:t xml:space="preserve">ublic Utility District #1 in PSE’s accounting petition, Docket UE-132027; </w:t>
      </w:r>
      <w:r>
        <w:t xml:space="preserve">and on </w:t>
      </w:r>
      <w:r w:rsidRPr="00F27E5A">
        <w:t xml:space="preserve">natural gas revenue requirement, revenue allocation and rate design in </w:t>
      </w:r>
      <w:r>
        <w:t xml:space="preserve">PSE’s </w:t>
      </w:r>
      <w:proofErr w:type="spellStart"/>
      <w:r>
        <w:t>GRC</w:t>
      </w:r>
      <w:proofErr w:type="spellEnd"/>
      <w:r w:rsidR="002E5B72">
        <w:t xml:space="preserve">, Docket </w:t>
      </w:r>
      <w:proofErr w:type="spellStart"/>
      <w:r w:rsidR="002E5B72">
        <w:t>UG</w:t>
      </w:r>
      <w:proofErr w:type="spellEnd"/>
      <w:r w:rsidR="002E5B72">
        <w:t>-111049.</w:t>
      </w:r>
    </w:p>
    <w:p w14:paraId="3C1DBB2E" w14:textId="77777777" w:rsidR="00393B56" w:rsidRPr="00F27E5A" w:rsidRDefault="00393B56" w:rsidP="00393B56">
      <w:pPr>
        <w:pStyle w:val="Answer-Testimony"/>
        <w:ind w:firstLine="720"/>
      </w:pPr>
      <w:r w:rsidRPr="00F27E5A">
        <w:t xml:space="preserve">I was the lead analyst in numerous other tariff applications, including </w:t>
      </w:r>
      <w:proofErr w:type="spellStart"/>
      <w:r>
        <w:t>GRCs</w:t>
      </w:r>
      <w:proofErr w:type="spellEnd"/>
      <w:r w:rsidRPr="00F27E5A">
        <w:t xml:space="preserve"> of </w:t>
      </w:r>
      <w:proofErr w:type="spellStart"/>
      <w:r w:rsidRPr="00F27E5A">
        <w:t>Murrey’s</w:t>
      </w:r>
      <w:proofErr w:type="spellEnd"/>
      <w:r w:rsidRPr="00F27E5A">
        <w:t xml:space="preserve"> Disposal Company, Inc., Docket TG-090097; American Disposal Company, Inc., Docket TG-090098; Washington Water Service Company, Docket UW-090733; and Waste Management of Washington, Inc., Dockets TG-091933 and TG-101080.</w:t>
      </w:r>
    </w:p>
    <w:p w14:paraId="3C1DBB2F" w14:textId="77777777" w:rsidR="00DC40BC" w:rsidRPr="007E50F7" w:rsidRDefault="00DC40BC" w:rsidP="00FD5B3E">
      <w:pPr>
        <w:pStyle w:val="BodyTextIndent"/>
      </w:pPr>
    </w:p>
    <w:p w14:paraId="3C1DBB30" w14:textId="77777777" w:rsidR="00DC40BC" w:rsidRPr="007E50F7" w:rsidRDefault="00FB6F77" w:rsidP="008304C3">
      <w:pPr>
        <w:pStyle w:val="Heading1"/>
      </w:pPr>
      <w:bookmarkStart w:id="2" w:name="_Toc391992030"/>
      <w:bookmarkStart w:id="3" w:name="_Toc393696913"/>
      <w:r w:rsidRPr="007E50F7">
        <w:t xml:space="preserve">SCOPE AND </w:t>
      </w:r>
      <w:r w:rsidR="003831A5" w:rsidRPr="007E50F7">
        <w:t>SUMMARY OF TESTIMONY</w:t>
      </w:r>
      <w:bookmarkEnd w:id="2"/>
      <w:bookmarkEnd w:id="3"/>
    </w:p>
    <w:p w14:paraId="3C1DBB31" w14:textId="77777777" w:rsidR="00C04987" w:rsidRPr="007E50F7" w:rsidRDefault="00C04987" w:rsidP="002079C0">
      <w:pPr>
        <w:spacing w:line="480" w:lineRule="auto"/>
      </w:pPr>
    </w:p>
    <w:p w14:paraId="3C1DBB32" w14:textId="77777777" w:rsidR="004D3E3B" w:rsidRPr="007E50F7" w:rsidRDefault="00EB4706" w:rsidP="00B44F4A">
      <w:pPr>
        <w:pStyle w:val="Question-Testimony"/>
      </w:pPr>
      <w:r w:rsidRPr="007E50F7">
        <w:t>Q.</w:t>
      </w:r>
      <w:r w:rsidRPr="007E50F7">
        <w:tab/>
      </w:r>
      <w:r w:rsidR="00660396" w:rsidRPr="007E50F7">
        <w:t xml:space="preserve">What is the </w:t>
      </w:r>
      <w:r w:rsidR="004D3E3B" w:rsidRPr="007E50F7">
        <w:t>purpose of your testimony</w:t>
      </w:r>
      <w:r w:rsidR="00660396" w:rsidRPr="007E50F7">
        <w:t>?</w:t>
      </w:r>
    </w:p>
    <w:p w14:paraId="3C1DBB33" w14:textId="77777777" w:rsidR="00975436" w:rsidRDefault="004D3E3B" w:rsidP="00975436">
      <w:pPr>
        <w:pStyle w:val="Answer-Testimony"/>
      </w:pPr>
      <w:r w:rsidRPr="007E50F7">
        <w:t>A.</w:t>
      </w:r>
      <w:r w:rsidRPr="007E50F7">
        <w:tab/>
      </w:r>
      <w:r w:rsidR="005243A8">
        <w:t>My testimony</w:t>
      </w:r>
      <w:r w:rsidR="005243A8" w:rsidRPr="00750FB2">
        <w:t xml:space="preserve"> present</w:t>
      </w:r>
      <w:r w:rsidR="005243A8">
        <w:t>s</w:t>
      </w:r>
      <w:r w:rsidR="005243A8" w:rsidRPr="00750FB2">
        <w:t xml:space="preserve"> Staff’s recommendations for</w:t>
      </w:r>
      <w:r w:rsidR="00975436">
        <w:t xml:space="preserve"> </w:t>
      </w:r>
      <w:r w:rsidR="00EB01D0">
        <w:t xml:space="preserve">cost of service studies and </w:t>
      </w:r>
      <w:r w:rsidR="005243A8" w:rsidRPr="00750FB2">
        <w:t xml:space="preserve">allocating </w:t>
      </w:r>
      <w:r w:rsidR="00BD353A">
        <w:t xml:space="preserve">Staff’s recommended </w:t>
      </w:r>
      <w:r w:rsidR="00975436">
        <w:t xml:space="preserve">revenue requirement </w:t>
      </w:r>
      <w:r w:rsidR="00BF272D">
        <w:t>to Avista’s rate schedules for both e</w:t>
      </w:r>
      <w:r w:rsidR="0011480F">
        <w:t>lectric and natural gas service</w:t>
      </w:r>
      <w:r w:rsidR="005243A8">
        <w:t>.  I also present Staff’s recommended rate design</w:t>
      </w:r>
      <w:r w:rsidR="00162508">
        <w:t>s</w:t>
      </w:r>
      <w:r w:rsidR="005243A8">
        <w:t xml:space="preserve"> to implement that allocation</w:t>
      </w:r>
      <w:r w:rsidR="00975436">
        <w:t xml:space="preserve"> for both electric and natural gas</w:t>
      </w:r>
      <w:r w:rsidR="00162508">
        <w:t xml:space="preserve"> services</w:t>
      </w:r>
      <w:r w:rsidR="005243A8">
        <w:t>.</w:t>
      </w:r>
    </w:p>
    <w:p w14:paraId="3C1DBB34" w14:textId="77777777" w:rsidR="003A238D" w:rsidRPr="007E50F7" w:rsidRDefault="00167B0D" w:rsidP="005243A8">
      <w:pPr>
        <w:pStyle w:val="Answer-Testimony"/>
        <w:ind w:firstLine="720"/>
      </w:pPr>
      <w:r w:rsidRPr="007E50F7">
        <w:t xml:space="preserve">I respond to </w:t>
      </w:r>
      <w:r w:rsidR="009D2441" w:rsidRPr="007E50F7">
        <w:t>the</w:t>
      </w:r>
      <w:r w:rsidRPr="007E50F7">
        <w:t xml:space="preserve"> Company</w:t>
      </w:r>
      <w:r w:rsidR="00BD353A">
        <w:t>’s cost of service, revenue allocation</w:t>
      </w:r>
      <w:r w:rsidR="007F6ACB">
        <w:t>,</w:t>
      </w:r>
      <w:r w:rsidR="00BD353A">
        <w:t xml:space="preserve"> and rate design </w:t>
      </w:r>
      <w:r w:rsidRPr="007E50F7">
        <w:t>proposals</w:t>
      </w:r>
      <w:r w:rsidR="009D2441" w:rsidRPr="007E50F7">
        <w:t xml:space="preserve"> sponsored by </w:t>
      </w:r>
      <w:r w:rsidR="003E4D91" w:rsidRPr="007E50F7">
        <w:t>Ms. Knox (</w:t>
      </w:r>
      <w:r w:rsidR="001E28A3">
        <w:t xml:space="preserve">Electric </w:t>
      </w:r>
      <w:r w:rsidR="003E4D91" w:rsidRPr="007E50F7">
        <w:t>Cost of Service)</w:t>
      </w:r>
      <w:r w:rsidR="001E28A3">
        <w:t xml:space="preserve">, </w:t>
      </w:r>
      <w:r w:rsidR="001E28A3" w:rsidRPr="007E50F7">
        <w:t>M</w:t>
      </w:r>
      <w:r w:rsidR="001E28A3">
        <w:t>r</w:t>
      </w:r>
      <w:r w:rsidR="001E28A3" w:rsidRPr="007E50F7">
        <w:t xml:space="preserve">. </w:t>
      </w:r>
      <w:r w:rsidR="0041559A">
        <w:t>Miller</w:t>
      </w:r>
      <w:r w:rsidR="001E28A3" w:rsidRPr="007E50F7">
        <w:t xml:space="preserve"> (</w:t>
      </w:r>
      <w:r w:rsidR="001E28A3">
        <w:t xml:space="preserve">Natural Gas </w:t>
      </w:r>
      <w:r w:rsidR="001E28A3" w:rsidRPr="007E50F7">
        <w:t>Cost of Service)</w:t>
      </w:r>
      <w:r w:rsidR="001E28A3">
        <w:t>,</w:t>
      </w:r>
      <w:r w:rsidR="00C064AA" w:rsidRPr="007E50F7">
        <w:t xml:space="preserve"> and Mr. </w:t>
      </w:r>
      <w:proofErr w:type="spellStart"/>
      <w:r w:rsidR="00C064AA" w:rsidRPr="007E50F7">
        <w:t>Ehrbar</w:t>
      </w:r>
      <w:proofErr w:type="spellEnd"/>
      <w:r w:rsidR="00C064AA" w:rsidRPr="007E50F7">
        <w:t xml:space="preserve"> (</w:t>
      </w:r>
      <w:r w:rsidR="00C02F35">
        <w:t xml:space="preserve">Electric and Natural Gas </w:t>
      </w:r>
      <w:r w:rsidR="00C064AA" w:rsidRPr="007E50F7">
        <w:t>Rate Design</w:t>
      </w:r>
      <w:r w:rsidR="00C02F35">
        <w:t>s</w:t>
      </w:r>
      <w:r w:rsidR="00C064AA" w:rsidRPr="007E50F7">
        <w:t>)</w:t>
      </w:r>
      <w:r w:rsidR="009D2441" w:rsidRPr="007E50F7">
        <w:t>.</w:t>
      </w:r>
    </w:p>
    <w:p w14:paraId="3C1DBB35" w14:textId="77777777" w:rsidR="00891A10" w:rsidRPr="007E50F7" w:rsidRDefault="00891A10" w:rsidP="00BE03C9">
      <w:pPr>
        <w:pStyle w:val="Answer-Testimony"/>
      </w:pPr>
    </w:p>
    <w:p w14:paraId="3C1DBB36" w14:textId="77777777" w:rsidR="00FC044E" w:rsidRPr="006256A4" w:rsidRDefault="00E311DF" w:rsidP="00FC044E">
      <w:pPr>
        <w:pStyle w:val="Question-Testimony"/>
      </w:pPr>
      <w:r w:rsidRPr="007E50F7">
        <w:t>Q.</w:t>
      </w:r>
      <w:r w:rsidRPr="007E50F7">
        <w:tab/>
        <w:t>Please summarize your recommendation</w:t>
      </w:r>
      <w:r w:rsidR="004003A6" w:rsidRPr="007E50F7">
        <w:t>s</w:t>
      </w:r>
      <w:r w:rsidRPr="007E50F7">
        <w:t xml:space="preserve"> with respect to </w:t>
      </w:r>
      <w:r w:rsidR="00C838BF" w:rsidRPr="007E50F7">
        <w:t xml:space="preserve">the </w:t>
      </w:r>
      <w:r w:rsidR="00891A10" w:rsidRPr="007E50F7">
        <w:t>electric</w:t>
      </w:r>
      <w:r w:rsidRPr="007E50F7">
        <w:t xml:space="preserve"> </w:t>
      </w:r>
      <w:r w:rsidR="004003A6" w:rsidRPr="007E50F7">
        <w:t>cost of service</w:t>
      </w:r>
      <w:r w:rsidR="00C838BF" w:rsidRPr="007E50F7">
        <w:t xml:space="preserve"> study</w:t>
      </w:r>
      <w:r w:rsidR="004003A6" w:rsidRPr="007E50F7">
        <w:t xml:space="preserve">, </w:t>
      </w:r>
      <w:r w:rsidRPr="007E50F7">
        <w:t>revenue allocation</w:t>
      </w:r>
      <w:r w:rsidR="0011480F">
        <w:t>,</w:t>
      </w:r>
      <w:r w:rsidRPr="007E50F7">
        <w:t xml:space="preserve"> and rate design</w:t>
      </w:r>
      <w:r w:rsidR="001B527C" w:rsidRPr="007E50F7">
        <w:t>.</w:t>
      </w:r>
    </w:p>
    <w:p w14:paraId="3C1DBB37" w14:textId="77777777" w:rsidR="00BD353A" w:rsidRDefault="00FC044E" w:rsidP="00382149">
      <w:pPr>
        <w:pStyle w:val="Answer-Testimony"/>
      </w:pPr>
      <w:r w:rsidRPr="006256A4">
        <w:lastRenderedPageBreak/>
        <w:t>A.</w:t>
      </w:r>
      <w:r w:rsidRPr="006256A4">
        <w:tab/>
      </w:r>
      <w:r w:rsidR="00BF272D" w:rsidRPr="00382149">
        <w:t xml:space="preserve">Staff makes multiple recommendations for classifying and allocating capital investments and operating expenses.  </w:t>
      </w:r>
      <w:r w:rsidR="00382149" w:rsidRPr="00382149">
        <w:t xml:space="preserve">The principle </w:t>
      </w:r>
      <w:r w:rsidR="00382149">
        <w:t>difference between Staff’s cost of service studies and Avista’s are</w:t>
      </w:r>
      <w:r w:rsidR="003B50F1" w:rsidRPr="003B50F1">
        <w:t xml:space="preserve"> </w:t>
      </w:r>
      <w:r w:rsidR="003B50F1">
        <w:t>the classifying and allocating of</w:t>
      </w:r>
      <w:r w:rsidR="00382149">
        <w:t>:</w:t>
      </w:r>
      <w:r w:rsidR="003B50F1">
        <w:t xml:space="preserve"> (1) general plant</w:t>
      </w:r>
      <w:r w:rsidR="003D21B4">
        <w:t xml:space="preserve"> costs</w:t>
      </w:r>
      <w:r w:rsidR="003B50F1">
        <w:t xml:space="preserve"> and administrative and general (“</w:t>
      </w:r>
      <w:proofErr w:type="spellStart"/>
      <w:r w:rsidR="003B50F1">
        <w:t>A&amp;G</w:t>
      </w:r>
      <w:proofErr w:type="spellEnd"/>
      <w:r w:rsidR="003B50F1">
        <w:t>”) expenses; (2) production costs; (3) transmission costs</w:t>
      </w:r>
      <w:r w:rsidR="00BD558A">
        <w:t>; and (4) wind costs</w:t>
      </w:r>
      <w:r w:rsidR="00382149" w:rsidRPr="00211185">
        <w:t>.</w:t>
      </w:r>
      <w:r w:rsidR="00382149">
        <w:t xml:space="preserve">  </w:t>
      </w:r>
      <w:r w:rsidR="004D7D95">
        <w:t xml:space="preserve">For </w:t>
      </w:r>
      <w:r w:rsidR="006B57E2">
        <w:t xml:space="preserve">both general plant costs and </w:t>
      </w:r>
      <w:proofErr w:type="spellStart"/>
      <w:r w:rsidR="006B57E2">
        <w:t>A&amp;G</w:t>
      </w:r>
      <w:proofErr w:type="spellEnd"/>
      <w:r w:rsidR="006B57E2">
        <w:t xml:space="preserve"> expenses</w:t>
      </w:r>
      <w:r w:rsidR="004D7D95">
        <w:t xml:space="preserve">, Staff uses the Company’s blended 4-part factor allocator.  For production costs, </w:t>
      </w:r>
      <w:r w:rsidR="0000399E">
        <w:t>Staff use</w:t>
      </w:r>
      <w:r w:rsidR="00DE62E7">
        <w:t xml:space="preserve">s the </w:t>
      </w:r>
      <w:r w:rsidR="0000399E">
        <w:t xml:space="preserve">average and excess </w:t>
      </w:r>
      <w:r w:rsidR="0000399E" w:rsidRPr="00D84B51">
        <w:t>demand</w:t>
      </w:r>
      <w:r w:rsidR="0000399E">
        <w:t xml:space="preserve"> method</w:t>
      </w:r>
      <w:r w:rsidR="00DE62E7">
        <w:t>,</w:t>
      </w:r>
      <w:r w:rsidR="0000399E">
        <w:t xml:space="preserve"> with the excess allocated on the basis of non-coincident peak demand.  </w:t>
      </w:r>
      <w:r w:rsidR="004D7D95">
        <w:t>For transmission costs, Staff applies a 12 coincidental peak and average method.</w:t>
      </w:r>
      <w:r w:rsidR="003B50F1">
        <w:t xml:space="preserve"> </w:t>
      </w:r>
      <w:r w:rsidR="004D7D95">
        <w:t xml:space="preserve"> </w:t>
      </w:r>
      <w:r w:rsidR="00BD558A">
        <w:t>For wind costs, Staff used 100 percent generating level consumption.</w:t>
      </w:r>
      <w:r w:rsidR="003B50F1">
        <w:t xml:space="preserve"> </w:t>
      </w:r>
      <w:r w:rsidR="004D7D95">
        <w:t xml:space="preserve"> </w:t>
      </w:r>
      <w:r w:rsidR="00BF272D" w:rsidRPr="006256A4">
        <w:t>In addition, Staff recommends creating a new schedule</w:t>
      </w:r>
      <w:r w:rsidR="00C02F35">
        <w:t>, Schedule 26,</w:t>
      </w:r>
      <w:r w:rsidR="00BF272D" w:rsidRPr="006256A4">
        <w:t xml:space="preserve"> for ultra large usage customers.</w:t>
      </w:r>
    </w:p>
    <w:p w14:paraId="3C1DBB38" w14:textId="77777777" w:rsidR="009F695A" w:rsidRDefault="00BD353A" w:rsidP="00FC044E">
      <w:pPr>
        <w:pStyle w:val="Answer-Testimony"/>
      </w:pPr>
      <w:r>
        <w:tab/>
      </w:r>
      <w:r>
        <w:tab/>
      </w:r>
      <w:r w:rsidR="00BF272D">
        <w:t>Staff</w:t>
      </w:r>
      <w:r w:rsidR="00BF272D" w:rsidRPr="006256A4">
        <w:t xml:space="preserve"> </w:t>
      </w:r>
      <w:r w:rsidR="006256A4" w:rsidRPr="006256A4">
        <w:t>did not use the</w:t>
      </w:r>
      <w:r w:rsidR="00162508" w:rsidRPr="006256A4">
        <w:t xml:space="preserve"> Company’s electric cost of service study </w:t>
      </w:r>
      <w:r w:rsidR="006256A4" w:rsidRPr="006256A4">
        <w:t xml:space="preserve">because </w:t>
      </w:r>
      <w:r>
        <w:t xml:space="preserve">that </w:t>
      </w:r>
      <w:r w:rsidR="00BF272D">
        <w:t xml:space="preserve">study </w:t>
      </w:r>
      <w:r w:rsidR="006256A4" w:rsidRPr="006256A4">
        <w:t xml:space="preserve">did not </w:t>
      </w:r>
      <w:r w:rsidR="00162508" w:rsidRPr="006256A4">
        <w:t xml:space="preserve">reasonably </w:t>
      </w:r>
      <w:r w:rsidR="00BF272D">
        <w:t xml:space="preserve">or fairly </w:t>
      </w:r>
      <w:r w:rsidR="00162508" w:rsidRPr="006256A4">
        <w:t>functionalize, classif</w:t>
      </w:r>
      <w:r w:rsidR="00BF272D">
        <w:t>y</w:t>
      </w:r>
      <w:r w:rsidR="0011480F">
        <w:t>,</w:t>
      </w:r>
      <w:r w:rsidR="00162508" w:rsidRPr="006256A4">
        <w:t xml:space="preserve"> and allocate</w:t>
      </w:r>
      <w:r>
        <w:t xml:space="preserve"> </w:t>
      </w:r>
      <w:r w:rsidR="00162508" w:rsidRPr="006256A4">
        <w:t>capital investments and operating expenses to each rate schedule.</w:t>
      </w:r>
    </w:p>
    <w:p w14:paraId="3C1DBB39" w14:textId="2BA48592" w:rsidR="006437EC" w:rsidRPr="00CE55AC" w:rsidRDefault="006437EC" w:rsidP="00FC044E">
      <w:pPr>
        <w:pStyle w:val="Answer-Testimony"/>
      </w:pPr>
      <w:r w:rsidRPr="00CE55AC">
        <w:tab/>
      </w:r>
      <w:r w:rsidRPr="00CE55AC">
        <w:tab/>
        <w:t xml:space="preserve">With respect to revenue allocation, Staff proposes a rate </w:t>
      </w:r>
      <w:r w:rsidR="001F4EBF" w:rsidRPr="00CE55AC">
        <w:t>spread</w:t>
      </w:r>
      <w:r w:rsidRPr="00CE55AC">
        <w:t xml:space="preserve"> that is consistent with </w:t>
      </w:r>
      <w:r w:rsidR="00BD353A" w:rsidRPr="00CE55AC">
        <w:t>Staff’s</w:t>
      </w:r>
      <w:r w:rsidRPr="00CE55AC">
        <w:t xml:space="preserve"> cost of service study results and principles of cost causation.  </w:t>
      </w:r>
      <w:r w:rsidR="00914944" w:rsidRPr="00CE55AC">
        <w:t xml:space="preserve">Staff recommends </w:t>
      </w:r>
      <w:r w:rsidR="009F0842" w:rsidRPr="00CE55AC">
        <w:t xml:space="preserve">General </w:t>
      </w:r>
      <w:r w:rsidR="00914944" w:rsidRPr="00CE55AC">
        <w:t xml:space="preserve">Schedules 11 and 12 </w:t>
      </w:r>
      <w:r w:rsidR="00515A3E" w:rsidRPr="00CE55AC">
        <w:t xml:space="preserve">receive </w:t>
      </w:r>
      <w:r w:rsidR="00801990" w:rsidRPr="00CE55AC">
        <w:t>a</w:t>
      </w:r>
      <w:r w:rsidR="00515A3E" w:rsidRPr="00CE55AC">
        <w:t xml:space="preserve"> </w:t>
      </w:r>
      <w:r w:rsidR="00774A6B" w:rsidRPr="00CE55AC">
        <w:t>5</w:t>
      </w:r>
      <w:r w:rsidR="00801990" w:rsidRPr="00CE55AC">
        <w:t>.</w:t>
      </w:r>
      <w:r w:rsidR="00774A6B" w:rsidRPr="00CE55AC">
        <w:t>0</w:t>
      </w:r>
      <w:r w:rsidR="00AD461E" w:rsidRPr="00CE55AC">
        <w:t>0</w:t>
      </w:r>
      <w:r w:rsidR="00515A3E" w:rsidRPr="00CE55AC">
        <w:t xml:space="preserve"> percent decrease, </w:t>
      </w:r>
      <w:r w:rsidR="009F0842" w:rsidRPr="00CE55AC">
        <w:t xml:space="preserve">Large General </w:t>
      </w:r>
      <w:r w:rsidR="00914944" w:rsidRPr="00CE55AC">
        <w:t>Schedule</w:t>
      </w:r>
      <w:r w:rsidR="009F0842" w:rsidRPr="00CE55AC">
        <w:t>s</w:t>
      </w:r>
      <w:r w:rsidR="00914944" w:rsidRPr="00CE55AC">
        <w:t xml:space="preserve"> </w:t>
      </w:r>
      <w:r w:rsidR="009F0842" w:rsidRPr="00CE55AC">
        <w:t>2</w:t>
      </w:r>
      <w:r w:rsidR="00914944" w:rsidRPr="00CE55AC">
        <w:t>1</w:t>
      </w:r>
      <w:r w:rsidR="009F0842" w:rsidRPr="00CE55AC">
        <w:t xml:space="preserve"> and 22 </w:t>
      </w:r>
      <w:r w:rsidR="00BF272D" w:rsidRPr="00CE55AC">
        <w:t>receive</w:t>
      </w:r>
      <w:r w:rsidR="009F0842" w:rsidRPr="00CE55AC">
        <w:t xml:space="preserve"> a </w:t>
      </w:r>
      <w:r w:rsidR="00774A6B" w:rsidRPr="00CE55AC">
        <w:t>2</w:t>
      </w:r>
      <w:r w:rsidR="00801990" w:rsidRPr="00CE55AC">
        <w:t>.</w:t>
      </w:r>
      <w:r w:rsidR="00774A6B" w:rsidRPr="00CE55AC">
        <w:t>15</w:t>
      </w:r>
      <w:r w:rsidR="00382149" w:rsidRPr="00CE55AC">
        <w:t xml:space="preserve"> percent</w:t>
      </w:r>
      <w:r w:rsidR="009F0842" w:rsidRPr="00CE55AC">
        <w:t xml:space="preserve"> decrease,</w:t>
      </w:r>
      <w:r w:rsidR="00515A3E" w:rsidRPr="00CE55AC">
        <w:t xml:space="preserve"> Extra-Large General Schedule 25 receives a </w:t>
      </w:r>
      <w:r w:rsidR="00AD461E" w:rsidRPr="00CE55AC">
        <w:t>2</w:t>
      </w:r>
      <w:r w:rsidR="00801990" w:rsidRPr="00CE55AC">
        <w:t>.</w:t>
      </w:r>
      <w:r w:rsidR="00774A6B" w:rsidRPr="00CE55AC">
        <w:t>29</w:t>
      </w:r>
      <w:r w:rsidR="00515A3E" w:rsidRPr="00CE55AC">
        <w:t xml:space="preserve"> percent decrease,</w:t>
      </w:r>
      <w:r w:rsidR="009F0842" w:rsidRPr="00CE55AC">
        <w:t xml:space="preserve"> while newly created Ultra-Large General Schedule 26 </w:t>
      </w:r>
      <w:r w:rsidR="00BF272D" w:rsidRPr="00CE55AC">
        <w:t>receives</w:t>
      </w:r>
      <w:r w:rsidR="00914944" w:rsidRPr="00CE55AC">
        <w:t xml:space="preserve"> a</w:t>
      </w:r>
      <w:r w:rsidR="00382149" w:rsidRPr="00CE55AC">
        <w:t xml:space="preserve"> </w:t>
      </w:r>
      <w:r w:rsidR="00AD461E" w:rsidRPr="00CE55AC">
        <w:t>5</w:t>
      </w:r>
      <w:r w:rsidR="00801990" w:rsidRPr="00CE55AC">
        <w:t>.</w:t>
      </w:r>
      <w:r w:rsidR="00774A6B" w:rsidRPr="00CE55AC">
        <w:t>40</w:t>
      </w:r>
      <w:r w:rsidR="00382149" w:rsidRPr="00CE55AC">
        <w:t xml:space="preserve"> percent </w:t>
      </w:r>
      <w:r w:rsidR="009F0842" w:rsidRPr="00CE55AC">
        <w:t>de</w:t>
      </w:r>
      <w:r w:rsidR="00914944" w:rsidRPr="00CE55AC">
        <w:t xml:space="preserve">crease, </w:t>
      </w:r>
      <w:r w:rsidR="009F0842" w:rsidRPr="00CE55AC">
        <w:t xml:space="preserve">and all other </w:t>
      </w:r>
      <w:r w:rsidR="00914944" w:rsidRPr="00CE55AC">
        <w:t xml:space="preserve">Schedules </w:t>
      </w:r>
      <w:r w:rsidR="00BF272D" w:rsidRPr="00CE55AC">
        <w:t>receive</w:t>
      </w:r>
      <w:r w:rsidR="009F0842" w:rsidRPr="00CE55AC">
        <w:t xml:space="preserve"> no change to their </w:t>
      </w:r>
      <w:r w:rsidR="00A161D9" w:rsidRPr="00CE55AC">
        <w:t>revenue requirement</w:t>
      </w:r>
      <w:r w:rsidR="00DE62E7" w:rsidRPr="00CE55AC">
        <w:t>s</w:t>
      </w:r>
      <w:r w:rsidR="00914944" w:rsidRPr="00CE55AC">
        <w:t>.</w:t>
      </w:r>
    </w:p>
    <w:p w14:paraId="3C1DBB3A" w14:textId="77777777" w:rsidR="00C74494" w:rsidRPr="00CE55AC" w:rsidRDefault="006437EC" w:rsidP="00C74494">
      <w:pPr>
        <w:pStyle w:val="Answer-Testimony"/>
      </w:pPr>
      <w:r w:rsidRPr="00CE55AC">
        <w:tab/>
      </w:r>
      <w:r w:rsidRPr="00CE55AC">
        <w:tab/>
      </w:r>
      <w:r w:rsidR="00F45F78" w:rsidRPr="00CE55AC">
        <w:t xml:space="preserve">As for </w:t>
      </w:r>
      <w:r w:rsidRPr="00CE55AC">
        <w:t xml:space="preserve">electric </w:t>
      </w:r>
      <w:r w:rsidR="00F45F78" w:rsidRPr="00CE55AC">
        <w:t xml:space="preserve">rate design, Staff </w:t>
      </w:r>
      <w:r w:rsidR="003831A5" w:rsidRPr="00CE55AC">
        <w:t>recommend</w:t>
      </w:r>
      <w:r w:rsidR="00250327" w:rsidRPr="00CE55AC">
        <w:t>s</w:t>
      </w:r>
      <w:r w:rsidR="00D7546E" w:rsidRPr="00CE55AC">
        <w:t xml:space="preserve"> </w:t>
      </w:r>
      <w:r w:rsidR="00DE62E7" w:rsidRPr="00CE55AC">
        <w:t xml:space="preserve">the Commission </w:t>
      </w:r>
      <w:r w:rsidR="00C74494" w:rsidRPr="00CE55AC">
        <w:t>increas</w:t>
      </w:r>
      <w:r w:rsidR="00DE62E7" w:rsidRPr="00CE55AC">
        <w:t>e</w:t>
      </w:r>
      <w:r w:rsidR="00C74494" w:rsidRPr="00CE55AC">
        <w:t xml:space="preserve"> the </w:t>
      </w:r>
      <w:r w:rsidR="00DE62E7" w:rsidRPr="00CE55AC">
        <w:t xml:space="preserve">basic </w:t>
      </w:r>
      <w:r w:rsidR="00C74494" w:rsidRPr="00CE55AC">
        <w:t xml:space="preserve">monthly customer charge to </w:t>
      </w:r>
      <w:r w:rsidR="0076547E" w:rsidRPr="00CE55AC">
        <w:t>$</w:t>
      </w:r>
      <w:r w:rsidR="001976AD" w:rsidRPr="00CE55AC">
        <w:t>8</w:t>
      </w:r>
      <w:r w:rsidR="009F0842" w:rsidRPr="00CE55AC">
        <w:t>.5</w:t>
      </w:r>
      <w:r w:rsidR="001976AD" w:rsidRPr="00CE55AC">
        <w:t>0</w:t>
      </w:r>
      <w:r w:rsidR="0076547E" w:rsidRPr="00CE55AC">
        <w:t xml:space="preserve"> to </w:t>
      </w:r>
      <w:r w:rsidR="00DE62E7" w:rsidRPr="00CE55AC">
        <w:t>better reflect the customer-specific fixed</w:t>
      </w:r>
      <w:r w:rsidR="00515A3E" w:rsidRPr="00CE55AC">
        <w:t xml:space="preserve"> </w:t>
      </w:r>
      <w:r w:rsidR="00515A3E" w:rsidRPr="00CE55AC">
        <w:lastRenderedPageBreak/>
        <w:t>costs</w:t>
      </w:r>
      <w:r w:rsidR="00DE62E7" w:rsidRPr="00CE55AC">
        <w:t xml:space="preserve"> Avista incurs,</w:t>
      </w:r>
      <w:r w:rsidR="00BF272D" w:rsidRPr="00CE55AC">
        <w:t xml:space="preserve"> Staff further recommends</w:t>
      </w:r>
      <w:r w:rsidR="00C74494" w:rsidRPr="00CE55AC">
        <w:t xml:space="preserve"> </w:t>
      </w:r>
      <w:r w:rsidR="00DE62E7" w:rsidRPr="00CE55AC">
        <w:t xml:space="preserve">the Commission </w:t>
      </w:r>
      <w:r w:rsidR="009F0842" w:rsidRPr="00CE55AC">
        <w:t>apply separate uniform percentage decrease</w:t>
      </w:r>
      <w:r w:rsidR="00BF272D" w:rsidRPr="00CE55AC">
        <w:t>s</w:t>
      </w:r>
      <w:r w:rsidR="009F0842" w:rsidRPr="00CE55AC">
        <w:t xml:space="preserve"> for all energy volumetric rates in each schedule</w:t>
      </w:r>
      <w:r w:rsidR="00BF00CE" w:rsidRPr="00CE55AC">
        <w:rPr>
          <w:rStyle w:val="FootnoteReference"/>
        </w:rPr>
        <w:footnoteReference w:id="2"/>
      </w:r>
      <w:r w:rsidR="00BF272D" w:rsidRPr="00CE55AC">
        <w:t xml:space="preserve"> and</w:t>
      </w:r>
      <w:r w:rsidR="00B45D3B" w:rsidRPr="00CE55AC">
        <w:t xml:space="preserve"> </w:t>
      </w:r>
      <w:r w:rsidR="006C4B39" w:rsidRPr="00CE55AC">
        <w:t>set demand charges equal across all schedules</w:t>
      </w:r>
      <w:r w:rsidR="00BF272D" w:rsidRPr="00CE55AC">
        <w:t>.  Lastly, Staff recommends</w:t>
      </w:r>
      <w:r w:rsidR="006C4B39" w:rsidRPr="00CE55AC">
        <w:t xml:space="preserve"> </w:t>
      </w:r>
      <w:r w:rsidR="00DE62E7" w:rsidRPr="00CE55AC">
        <w:t xml:space="preserve">the Commission </w:t>
      </w:r>
      <w:r w:rsidR="006C4B39" w:rsidRPr="00CE55AC">
        <w:t xml:space="preserve">apply </w:t>
      </w:r>
      <w:r w:rsidR="00DE62E7" w:rsidRPr="00CE55AC">
        <w:t xml:space="preserve">a </w:t>
      </w:r>
      <w:r w:rsidR="006C4B39" w:rsidRPr="00CE55AC">
        <w:t>straight</w:t>
      </w:r>
      <w:r w:rsidR="00B45D3B" w:rsidRPr="00CE55AC">
        <w:t>-</w:t>
      </w:r>
      <w:r w:rsidR="006C4B39" w:rsidRPr="00CE55AC">
        <w:t>fixed variable rate design for Schedules 25 and 26</w:t>
      </w:r>
      <w:r w:rsidR="00DE62E7" w:rsidRPr="00CE55AC">
        <w:t xml:space="preserve">, rather than include </w:t>
      </w:r>
      <w:r w:rsidR="0011480F" w:rsidRPr="00CE55AC">
        <w:t>the</w:t>
      </w:r>
      <w:r w:rsidR="009F695A" w:rsidRPr="00CE55AC">
        <w:t>se</w:t>
      </w:r>
      <w:r w:rsidR="0011480F" w:rsidRPr="00CE55AC">
        <w:t xml:space="preserve"> two</w:t>
      </w:r>
      <w:r w:rsidR="009F695A" w:rsidRPr="00CE55AC">
        <w:t xml:space="preserve"> schedules </w:t>
      </w:r>
      <w:r w:rsidR="006C4B39" w:rsidRPr="00CE55AC">
        <w:t xml:space="preserve">in </w:t>
      </w:r>
      <w:r w:rsidR="00B45D3B" w:rsidRPr="00CE55AC">
        <w:t>t</w:t>
      </w:r>
      <w:r w:rsidR="006C4B39" w:rsidRPr="00CE55AC">
        <w:t>he decoupling mechanism</w:t>
      </w:r>
      <w:r w:rsidR="009F0842" w:rsidRPr="00CE55AC">
        <w:t>.</w:t>
      </w:r>
    </w:p>
    <w:p w14:paraId="3C1DBB3B" w14:textId="77777777" w:rsidR="00167B0D" w:rsidRPr="009F0842" w:rsidRDefault="00167B0D" w:rsidP="00167B0D">
      <w:pPr>
        <w:pStyle w:val="Answer-Testimony"/>
      </w:pPr>
    </w:p>
    <w:p w14:paraId="3C1DBB3C" w14:textId="77777777" w:rsidR="00167B0D" w:rsidRPr="007E50F7" w:rsidRDefault="00167B0D" w:rsidP="00167B0D">
      <w:pPr>
        <w:pStyle w:val="Question-Testimony"/>
      </w:pPr>
      <w:r w:rsidRPr="007E50F7">
        <w:t>Q.</w:t>
      </w:r>
      <w:r w:rsidRPr="007E50F7">
        <w:tab/>
        <w:t xml:space="preserve">Please summarize </w:t>
      </w:r>
      <w:r w:rsidR="006437EC" w:rsidRPr="007E50F7">
        <w:t>Staff’s</w:t>
      </w:r>
      <w:r w:rsidRPr="007E50F7">
        <w:t xml:space="preserve"> recommendation</w:t>
      </w:r>
      <w:r w:rsidR="004003A6" w:rsidRPr="007E50F7">
        <w:t>s</w:t>
      </w:r>
      <w:r w:rsidRPr="007E50F7">
        <w:t xml:space="preserve"> </w:t>
      </w:r>
      <w:r w:rsidR="00256C92" w:rsidRPr="007E50F7">
        <w:t xml:space="preserve">for </w:t>
      </w:r>
      <w:r w:rsidR="00C838BF" w:rsidRPr="007E50F7">
        <w:t xml:space="preserve">the </w:t>
      </w:r>
      <w:r w:rsidRPr="007E50F7">
        <w:t xml:space="preserve">natural gas </w:t>
      </w:r>
      <w:r w:rsidR="004003A6" w:rsidRPr="007E50F7">
        <w:t>cost of service</w:t>
      </w:r>
      <w:r w:rsidR="00C838BF" w:rsidRPr="007E50F7">
        <w:t xml:space="preserve"> study</w:t>
      </w:r>
      <w:r w:rsidR="004003A6" w:rsidRPr="007E50F7">
        <w:t xml:space="preserve">, </w:t>
      </w:r>
      <w:r w:rsidRPr="007E50F7">
        <w:t>revenue allocation</w:t>
      </w:r>
      <w:r w:rsidR="0092519E" w:rsidRPr="007E50F7">
        <w:t>,</w:t>
      </w:r>
      <w:r w:rsidRPr="007E50F7">
        <w:t xml:space="preserve"> and rate design.</w:t>
      </w:r>
    </w:p>
    <w:p w14:paraId="3C1DBB3D" w14:textId="77777777" w:rsidR="003B50F1" w:rsidRDefault="00167B0D" w:rsidP="003B50F1">
      <w:pPr>
        <w:pStyle w:val="Answer-Testimony"/>
      </w:pPr>
      <w:r w:rsidRPr="007E50F7">
        <w:t>A.</w:t>
      </w:r>
      <w:r w:rsidRPr="007E50F7">
        <w:tab/>
      </w:r>
      <w:r w:rsidR="003B50F1" w:rsidRPr="00382149">
        <w:t xml:space="preserve">Staff makes multiple recommendations for classifying and allocating capital investments and operating expenses.  The principle </w:t>
      </w:r>
      <w:r w:rsidR="003B50F1">
        <w:t xml:space="preserve">difference between Staff’s cost of service studies and Avista’s are the classifying and allocating of: (1) </w:t>
      </w:r>
      <w:r w:rsidR="00137707">
        <w:t>gas distribution main costs</w:t>
      </w:r>
      <w:r w:rsidR="003B50F1">
        <w:t>; (2) general plant and administrative and general (“</w:t>
      </w:r>
      <w:proofErr w:type="spellStart"/>
      <w:r w:rsidR="003B50F1">
        <w:t>A&amp;G</w:t>
      </w:r>
      <w:proofErr w:type="spellEnd"/>
      <w:r w:rsidR="003B50F1">
        <w:t>”) expenses; and (3) underground storage plant</w:t>
      </w:r>
      <w:r w:rsidR="00137707">
        <w:t xml:space="preserve"> costs</w:t>
      </w:r>
      <w:r w:rsidR="003B50F1" w:rsidRPr="007E50F7">
        <w:t>.</w:t>
      </w:r>
      <w:r w:rsidR="003B50F1">
        <w:t xml:space="preserve">  </w:t>
      </w:r>
      <w:r w:rsidR="003B50F1" w:rsidRPr="007E50F7">
        <w:t xml:space="preserve">Staff classifies </w:t>
      </w:r>
      <w:r w:rsidR="003B50F1">
        <w:t xml:space="preserve">distribution </w:t>
      </w:r>
      <w:r w:rsidR="003B50F1" w:rsidRPr="007E50F7">
        <w:t xml:space="preserve">mains to reflect the fact that large load customers (i.e., Schedules 131, 132, and 146) benefit from the reliability and capacity of the system </w:t>
      </w:r>
      <w:r w:rsidR="003B50F1">
        <w:t xml:space="preserve">provided by </w:t>
      </w:r>
      <w:r w:rsidR="003B50F1" w:rsidRPr="007E50F7">
        <w:t>smaller pipes</w:t>
      </w:r>
      <w:r w:rsidR="003B50F1">
        <w:t xml:space="preserve"> (</w:t>
      </w:r>
      <w:r w:rsidR="003B50F1" w:rsidRPr="007E50F7">
        <w:t>less than four inches in diameter</w:t>
      </w:r>
      <w:r w:rsidR="003B50F1">
        <w:t>)</w:t>
      </w:r>
      <w:r w:rsidR="003B50F1" w:rsidRPr="007E50F7">
        <w:t>.</w:t>
      </w:r>
      <w:r w:rsidR="003B50F1">
        <w:t xml:space="preserve">  For general plant and </w:t>
      </w:r>
      <w:proofErr w:type="spellStart"/>
      <w:r w:rsidR="003B50F1">
        <w:t>A&amp;G</w:t>
      </w:r>
      <w:proofErr w:type="spellEnd"/>
      <w:r w:rsidR="003B50F1">
        <w:t xml:space="preserve"> expenses, Staff uses the Company’s 4-factor allocator.</w:t>
      </w:r>
      <w:r w:rsidR="001846FE">
        <w:t xml:space="preserve">  For underground storage plant costs, Staff </w:t>
      </w:r>
      <w:r w:rsidR="00C6133A">
        <w:t>reflects</w:t>
      </w:r>
      <w:r w:rsidR="00A161D9">
        <w:t xml:space="preserve"> </w:t>
      </w:r>
      <w:r w:rsidR="00D24FD8">
        <w:t xml:space="preserve">a </w:t>
      </w:r>
      <w:r w:rsidR="00D24FD8" w:rsidRPr="00B15387">
        <w:t>20</w:t>
      </w:r>
      <w:r w:rsidR="00D24FD8">
        <w:t xml:space="preserve"> percent load balancing benefit for all customers and </w:t>
      </w:r>
      <w:r w:rsidR="00D24FD8" w:rsidRPr="00B15387">
        <w:t>80</w:t>
      </w:r>
      <w:r w:rsidR="00D24FD8">
        <w:t xml:space="preserve"> percent commodity storage benefit for sales customers</w:t>
      </w:r>
      <w:r w:rsidR="001846FE">
        <w:t>.</w:t>
      </w:r>
    </w:p>
    <w:p w14:paraId="3C1DBB3E" w14:textId="77777777" w:rsidR="003B50F1" w:rsidRDefault="003B50F1" w:rsidP="003B50F1">
      <w:pPr>
        <w:pStyle w:val="Answer-Testimony"/>
      </w:pPr>
      <w:r>
        <w:tab/>
      </w:r>
      <w:r>
        <w:tab/>
        <w:t>Staff</w:t>
      </w:r>
      <w:r w:rsidRPr="006256A4">
        <w:t xml:space="preserve"> did not use the Company’s </w:t>
      </w:r>
      <w:r>
        <w:t xml:space="preserve">natural gas </w:t>
      </w:r>
      <w:r w:rsidRPr="006256A4">
        <w:t xml:space="preserve">cost of service study because </w:t>
      </w:r>
      <w:r>
        <w:t xml:space="preserve">that study </w:t>
      </w:r>
      <w:r w:rsidRPr="006256A4">
        <w:t xml:space="preserve">did not reasonably </w:t>
      </w:r>
      <w:r>
        <w:t xml:space="preserve">or fairly </w:t>
      </w:r>
      <w:r w:rsidRPr="006256A4">
        <w:t>functionalize, classif</w:t>
      </w:r>
      <w:r>
        <w:t>y,</w:t>
      </w:r>
      <w:r w:rsidRPr="006256A4">
        <w:t xml:space="preserve"> and allocate</w:t>
      </w:r>
      <w:r>
        <w:t xml:space="preserve"> </w:t>
      </w:r>
      <w:r w:rsidRPr="006256A4">
        <w:t>capital investments and operating expenses to each rate schedule.</w:t>
      </w:r>
    </w:p>
    <w:p w14:paraId="3C1DBB3F" w14:textId="77777777" w:rsidR="006437EC" w:rsidRPr="00CE55AC" w:rsidRDefault="006437EC" w:rsidP="004759D8">
      <w:pPr>
        <w:pStyle w:val="Answer-Testimony"/>
      </w:pPr>
      <w:r w:rsidRPr="007E50F7">
        <w:lastRenderedPageBreak/>
        <w:tab/>
      </w:r>
      <w:r w:rsidRPr="007E50F7">
        <w:tab/>
      </w:r>
      <w:r w:rsidR="003B50F1" w:rsidRPr="004D7D95">
        <w:t>The differences in classifying and allocating of costs lead</w:t>
      </w:r>
      <w:r w:rsidR="00137707" w:rsidRPr="004D7D95">
        <w:t>s</w:t>
      </w:r>
      <w:r w:rsidRPr="004D7D95">
        <w:t xml:space="preserve"> Staff to recommend a </w:t>
      </w:r>
      <w:r w:rsidR="00F5655A" w:rsidRPr="004D7D95">
        <w:t>revenue allocation differ</w:t>
      </w:r>
      <w:r w:rsidRPr="004D7D95">
        <w:t xml:space="preserve">ent </w:t>
      </w:r>
      <w:r w:rsidR="00F5655A" w:rsidRPr="004D7D95">
        <w:t xml:space="preserve">from the equal percentage proposed by the Company.  </w:t>
      </w:r>
      <w:r w:rsidRPr="004D7D95">
        <w:t xml:space="preserve">Staff </w:t>
      </w:r>
      <w:r w:rsidRPr="0099031E">
        <w:t xml:space="preserve">recommends </w:t>
      </w:r>
      <w:r w:rsidR="00271029" w:rsidRPr="0099031E">
        <w:t xml:space="preserve">General Service (Residential) </w:t>
      </w:r>
      <w:r w:rsidR="007D2FE0" w:rsidRPr="0099031E">
        <w:t>Schedule 1</w:t>
      </w:r>
      <w:r w:rsidR="00271029" w:rsidRPr="0099031E">
        <w:t>0</w:t>
      </w:r>
      <w:r w:rsidR="007D2FE0" w:rsidRPr="0099031E">
        <w:t>1</w:t>
      </w:r>
      <w:r w:rsidR="0099031E" w:rsidRPr="0099031E">
        <w:t xml:space="preserve"> receives</w:t>
      </w:r>
      <w:r w:rsidR="0099031E" w:rsidRPr="009F0842">
        <w:t xml:space="preserve"> a</w:t>
      </w:r>
      <w:r w:rsidR="0099031E">
        <w:t xml:space="preserve"> </w:t>
      </w:r>
      <w:r w:rsidR="00412094" w:rsidRPr="00CE55AC">
        <w:t>6</w:t>
      </w:r>
      <w:r w:rsidR="00031061" w:rsidRPr="00CE55AC">
        <w:t>.</w:t>
      </w:r>
      <w:r w:rsidR="00C02F35" w:rsidRPr="00CE55AC">
        <w:t>2</w:t>
      </w:r>
      <w:r w:rsidR="0099031E" w:rsidRPr="00CE55AC">
        <w:t xml:space="preserve"> percent </w:t>
      </w:r>
      <w:r w:rsidR="00A24A58" w:rsidRPr="00CE55AC">
        <w:t>in</w:t>
      </w:r>
      <w:r w:rsidR="0099031E" w:rsidRPr="00CE55AC">
        <w:t>crease,</w:t>
      </w:r>
      <w:r w:rsidR="007D2FE0" w:rsidRPr="00CE55AC">
        <w:t xml:space="preserve"> </w:t>
      </w:r>
      <w:r w:rsidR="00FC5EF2" w:rsidRPr="00CE55AC">
        <w:t xml:space="preserve">Transportation Schedule </w:t>
      </w:r>
      <w:r w:rsidR="007D2FE0" w:rsidRPr="00CE55AC">
        <w:t>146</w:t>
      </w:r>
      <w:r w:rsidR="0099031E" w:rsidRPr="00CE55AC">
        <w:t xml:space="preserve"> receives a 1</w:t>
      </w:r>
      <w:r w:rsidR="00412094" w:rsidRPr="00CE55AC">
        <w:t>7</w:t>
      </w:r>
      <w:r w:rsidR="0099031E" w:rsidRPr="00CE55AC">
        <w:t>.</w:t>
      </w:r>
      <w:r w:rsidR="00412094" w:rsidRPr="00CE55AC">
        <w:t>2</w:t>
      </w:r>
      <w:r w:rsidR="0099031E" w:rsidRPr="00CE55AC">
        <w:t xml:space="preserve"> percent </w:t>
      </w:r>
      <w:r w:rsidR="00A24A58" w:rsidRPr="00CE55AC">
        <w:t>in</w:t>
      </w:r>
      <w:r w:rsidR="0099031E" w:rsidRPr="00CE55AC">
        <w:t xml:space="preserve">crease, Interruptible Schedules 131 and 132 receive a </w:t>
      </w:r>
      <w:r w:rsidR="00412094" w:rsidRPr="00CE55AC">
        <w:t>2</w:t>
      </w:r>
      <w:r w:rsidR="0099031E" w:rsidRPr="00CE55AC">
        <w:t>.</w:t>
      </w:r>
      <w:r w:rsidR="00412094" w:rsidRPr="00CE55AC">
        <w:t>7</w:t>
      </w:r>
      <w:r w:rsidR="0099031E" w:rsidRPr="00CE55AC">
        <w:t xml:space="preserve"> percent </w:t>
      </w:r>
      <w:r w:rsidR="00A24A58" w:rsidRPr="00CE55AC">
        <w:t>in</w:t>
      </w:r>
      <w:r w:rsidR="0099031E" w:rsidRPr="00CE55AC">
        <w:t xml:space="preserve">crease, and all other Schedules receive no change to their </w:t>
      </w:r>
      <w:r w:rsidR="00A161D9" w:rsidRPr="00CE55AC">
        <w:t>revenue requirements</w:t>
      </w:r>
      <w:r w:rsidR="0099031E" w:rsidRPr="00CE55AC">
        <w:t>.</w:t>
      </w:r>
    </w:p>
    <w:p w14:paraId="3C1DBB40" w14:textId="77777777" w:rsidR="00794B0F" w:rsidRPr="00271029" w:rsidRDefault="006437EC" w:rsidP="004759D8">
      <w:pPr>
        <w:pStyle w:val="Answer-Testimony"/>
      </w:pPr>
      <w:r w:rsidRPr="00CE55AC">
        <w:tab/>
      </w:r>
      <w:r w:rsidRPr="00CE55AC">
        <w:tab/>
      </w:r>
      <w:r w:rsidR="00CD6CFF" w:rsidRPr="00CE55AC">
        <w:t>As f</w:t>
      </w:r>
      <w:r w:rsidR="00794B0F" w:rsidRPr="00CE55AC">
        <w:t>or</w:t>
      </w:r>
      <w:r w:rsidR="00EA397E" w:rsidRPr="00CE55AC">
        <w:t xml:space="preserve"> natural</w:t>
      </w:r>
      <w:r w:rsidR="00794B0F" w:rsidRPr="00CE55AC">
        <w:t xml:space="preserve"> </w:t>
      </w:r>
      <w:r w:rsidRPr="00CE55AC">
        <w:t xml:space="preserve">gas </w:t>
      </w:r>
      <w:r w:rsidR="00794B0F" w:rsidRPr="00CE55AC">
        <w:t xml:space="preserve">rate </w:t>
      </w:r>
      <w:r w:rsidR="00167B0D" w:rsidRPr="00CE55AC">
        <w:t>design</w:t>
      </w:r>
      <w:r w:rsidR="00CD6CFF" w:rsidRPr="00CE55AC">
        <w:t xml:space="preserve">, </w:t>
      </w:r>
      <w:r w:rsidR="00EA397E" w:rsidRPr="00CE55AC">
        <w:t>Staff recommends the Commission increas</w:t>
      </w:r>
      <w:r w:rsidR="0076547E" w:rsidRPr="00CE55AC">
        <w:t xml:space="preserve">e </w:t>
      </w:r>
      <w:r w:rsidR="00EA397E" w:rsidRPr="00CE55AC">
        <w:t>the monthly customer charge to</w:t>
      </w:r>
      <w:r w:rsidR="0076547E" w:rsidRPr="00CE55AC">
        <w:t xml:space="preserve"> $</w:t>
      </w:r>
      <w:r w:rsidR="00412094" w:rsidRPr="00CE55AC">
        <w:t>8</w:t>
      </w:r>
      <w:r w:rsidR="00031061" w:rsidRPr="00CE55AC">
        <w:t>.</w:t>
      </w:r>
      <w:r w:rsidR="00412094" w:rsidRPr="00CE55AC">
        <w:t>92</w:t>
      </w:r>
      <w:r w:rsidR="0076547E" w:rsidRPr="00CE55AC">
        <w:t xml:space="preserve"> to</w:t>
      </w:r>
      <w:r w:rsidR="00EA397E" w:rsidRPr="00CE55AC">
        <w:t xml:space="preserve"> </w:t>
      </w:r>
      <w:r w:rsidR="00DE62E7">
        <w:t>better reflect the customer-</w:t>
      </w:r>
      <w:r w:rsidR="00CC5B79">
        <w:t>specific</w:t>
      </w:r>
      <w:r w:rsidR="00DE62E7">
        <w:t xml:space="preserve"> fixed costs Avista incurs</w:t>
      </w:r>
      <w:r w:rsidR="00EA397E" w:rsidRPr="00271029">
        <w:t xml:space="preserve">, </w:t>
      </w:r>
      <w:r w:rsidR="00271029" w:rsidRPr="00271029">
        <w:t xml:space="preserve">decrease </w:t>
      </w:r>
      <w:r w:rsidR="009F695A">
        <w:t xml:space="preserve">the </w:t>
      </w:r>
      <w:r w:rsidR="00271029" w:rsidRPr="00271029">
        <w:t>volumetric rates for Schedules 111, 112, 121,</w:t>
      </w:r>
      <w:r w:rsidR="00031061" w:rsidRPr="00031061">
        <w:t xml:space="preserve"> </w:t>
      </w:r>
      <w:r w:rsidR="00031061">
        <w:t>and 122</w:t>
      </w:r>
      <w:r w:rsidR="00271029" w:rsidRPr="00271029">
        <w:t xml:space="preserve">, </w:t>
      </w:r>
      <w:r w:rsidR="00EA397E" w:rsidRPr="00271029">
        <w:t xml:space="preserve">and </w:t>
      </w:r>
      <w:r w:rsidR="00C3296F" w:rsidRPr="002042E2">
        <w:t>appl</w:t>
      </w:r>
      <w:r w:rsidR="00C3296F">
        <w:t>y a split of 50/50 of the Transportation Schedule’s</w:t>
      </w:r>
      <w:r w:rsidR="00C3296F" w:rsidRPr="002042E2">
        <w:t xml:space="preserve"> revenue requirement to the customer charge</w:t>
      </w:r>
      <w:r w:rsidR="00C3296F">
        <w:t xml:space="preserve"> and volumetric rates</w:t>
      </w:r>
      <w:r w:rsidR="00DE62E7">
        <w:t>.</w:t>
      </w:r>
    </w:p>
    <w:p w14:paraId="3C1DBB41" w14:textId="77777777" w:rsidR="00757F0D" w:rsidRPr="007E50F7" w:rsidRDefault="00757F0D" w:rsidP="00757F0D">
      <w:pPr>
        <w:pStyle w:val="Answer-Testimony"/>
      </w:pPr>
    </w:p>
    <w:p w14:paraId="3C1DBB42" w14:textId="77777777" w:rsidR="00757F0D" w:rsidRPr="007E50F7" w:rsidRDefault="00757F0D" w:rsidP="00757F0D">
      <w:pPr>
        <w:pStyle w:val="Question-Testimony"/>
      </w:pPr>
      <w:r w:rsidRPr="007E50F7">
        <w:t>Q.</w:t>
      </w:r>
      <w:r w:rsidRPr="007E50F7">
        <w:tab/>
        <w:t>Do you sponsor any exhibits in support of Staff’s recommendations?</w:t>
      </w:r>
    </w:p>
    <w:p w14:paraId="3C1DBB43" w14:textId="77777777" w:rsidR="00757F0D" w:rsidRPr="00FD718B" w:rsidRDefault="00757F0D" w:rsidP="00757F0D">
      <w:pPr>
        <w:pStyle w:val="Answer-Testimony"/>
      </w:pPr>
      <w:r w:rsidRPr="007E50F7">
        <w:t>A.</w:t>
      </w:r>
      <w:r w:rsidRPr="007E50F7">
        <w:tab/>
      </w:r>
      <w:r w:rsidRPr="00FD718B">
        <w:t>Yes, I sponsor the following exhibits in support of my testimony:</w:t>
      </w:r>
    </w:p>
    <w:p w14:paraId="3C1DBB44" w14:textId="77777777" w:rsidR="001E1863" w:rsidRPr="00FD718B" w:rsidRDefault="001E1863" w:rsidP="00281A2B">
      <w:pPr>
        <w:pStyle w:val="Answer-Testimony"/>
        <w:numPr>
          <w:ilvl w:val="0"/>
          <w:numId w:val="2"/>
        </w:numPr>
      </w:pPr>
      <w:r w:rsidRPr="00FD718B">
        <w:t>Exhibit No.</w:t>
      </w:r>
      <w:r w:rsidR="00940838" w:rsidRPr="00FD718B">
        <w:t xml:space="preserve"> _</w:t>
      </w:r>
      <w:r w:rsidRPr="00FD718B">
        <w:t>__</w:t>
      </w:r>
      <w:r w:rsidR="00940838" w:rsidRPr="00FD718B">
        <w:t xml:space="preserve"> </w:t>
      </w:r>
      <w:r w:rsidR="00E75CCC" w:rsidRPr="00FD718B">
        <w:t>(</w:t>
      </w:r>
      <w:proofErr w:type="spellStart"/>
      <w:r w:rsidR="00E75CCC" w:rsidRPr="00FD718B">
        <w:t>CTM</w:t>
      </w:r>
      <w:proofErr w:type="spellEnd"/>
      <w:r w:rsidR="00E75CCC" w:rsidRPr="00FD718B">
        <w:t>-</w:t>
      </w:r>
      <w:r w:rsidR="005C0100" w:rsidRPr="00FD718B">
        <w:t>2</w:t>
      </w:r>
      <w:r w:rsidRPr="00FD718B">
        <w:t>), Electric</w:t>
      </w:r>
      <w:r w:rsidR="009E0103" w:rsidRPr="00FD718B">
        <w:t xml:space="preserve"> Cost of Service</w:t>
      </w:r>
    </w:p>
    <w:p w14:paraId="3C1DBB45" w14:textId="77777777" w:rsidR="001E1863" w:rsidRPr="00FD718B" w:rsidRDefault="001E1863" w:rsidP="00281A2B">
      <w:pPr>
        <w:pStyle w:val="Answer-Testimony"/>
        <w:numPr>
          <w:ilvl w:val="0"/>
          <w:numId w:val="2"/>
        </w:numPr>
      </w:pPr>
      <w:r w:rsidRPr="00FD718B">
        <w:t>Exhibit No.</w:t>
      </w:r>
      <w:r w:rsidR="00940838" w:rsidRPr="00FD718B">
        <w:t xml:space="preserve"> </w:t>
      </w:r>
      <w:r w:rsidRPr="00FD718B">
        <w:t>__</w:t>
      </w:r>
      <w:r w:rsidR="00940838" w:rsidRPr="00FD718B">
        <w:t xml:space="preserve">_ </w:t>
      </w:r>
      <w:r w:rsidR="00E75CCC" w:rsidRPr="00FD718B">
        <w:t>(</w:t>
      </w:r>
      <w:proofErr w:type="spellStart"/>
      <w:r w:rsidR="00E75CCC" w:rsidRPr="00FD718B">
        <w:t>CTM</w:t>
      </w:r>
      <w:proofErr w:type="spellEnd"/>
      <w:r w:rsidR="00E75CCC" w:rsidRPr="00FD718B">
        <w:t>-</w:t>
      </w:r>
      <w:r w:rsidR="005C0100" w:rsidRPr="00FD718B">
        <w:t>3</w:t>
      </w:r>
      <w:r w:rsidRPr="00FD718B">
        <w:t>), Electric Revenue Allocation and Rate Design</w:t>
      </w:r>
    </w:p>
    <w:p w14:paraId="3C1DBB46" w14:textId="77777777" w:rsidR="004E747D" w:rsidRPr="00FD718B" w:rsidRDefault="004E747D" w:rsidP="00281A2B">
      <w:pPr>
        <w:pStyle w:val="Answer-Testimony"/>
        <w:numPr>
          <w:ilvl w:val="0"/>
          <w:numId w:val="2"/>
        </w:numPr>
      </w:pPr>
      <w:r w:rsidRPr="00FD718B">
        <w:t>Exhibit No. ___</w:t>
      </w:r>
      <w:r w:rsidR="00E75CCC" w:rsidRPr="00FD718B">
        <w:t xml:space="preserve"> (</w:t>
      </w:r>
      <w:proofErr w:type="spellStart"/>
      <w:r w:rsidR="00E75CCC" w:rsidRPr="00FD718B">
        <w:t>CTM</w:t>
      </w:r>
      <w:proofErr w:type="spellEnd"/>
      <w:r w:rsidR="00E75CCC" w:rsidRPr="00FD718B">
        <w:t>-</w:t>
      </w:r>
      <w:r w:rsidR="005C0100" w:rsidRPr="00FD718B">
        <w:t>4</w:t>
      </w:r>
      <w:r w:rsidRPr="00FD718B">
        <w:t xml:space="preserve">), Electric </w:t>
      </w:r>
      <w:r w:rsidR="00FD718B">
        <w:t xml:space="preserve">Cost </w:t>
      </w:r>
      <w:r w:rsidR="00D02B6B">
        <w:t xml:space="preserve">Classifications and </w:t>
      </w:r>
      <w:r w:rsidR="00FD718B">
        <w:t>Allocations</w:t>
      </w:r>
    </w:p>
    <w:p w14:paraId="3C1DBB47" w14:textId="77777777" w:rsidR="004E747D" w:rsidRPr="00FD718B" w:rsidRDefault="004E747D" w:rsidP="00281A2B">
      <w:pPr>
        <w:pStyle w:val="Answer-Testimony"/>
        <w:numPr>
          <w:ilvl w:val="0"/>
          <w:numId w:val="2"/>
        </w:numPr>
      </w:pPr>
      <w:r w:rsidRPr="00FD718B">
        <w:t>Exhibit No. ___</w:t>
      </w:r>
      <w:r w:rsidR="00E75CCC" w:rsidRPr="00FD718B">
        <w:t xml:space="preserve"> (</w:t>
      </w:r>
      <w:proofErr w:type="spellStart"/>
      <w:r w:rsidR="00E75CCC" w:rsidRPr="00FD718B">
        <w:t>CTM</w:t>
      </w:r>
      <w:proofErr w:type="spellEnd"/>
      <w:r w:rsidR="00E75CCC" w:rsidRPr="00FD718B">
        <w:t>-</w:t>
      </w:r>
      <w:r w:rsidR="005C0100" w:rsidRPr="00FD718B">
        <w:t>5</w:t>
      </w:r>
      <w:r w:rsidRPr="00FD718B">
        <w:t>), Natural Gas Cost of Service</w:t>
      </w:r>
    </w:p>
    <w:p w14:paraId="3C1DBB48" w14:textId="77777777" w:rsidR="001E1863" w:rsidRPr="00FD718B" w:rsidRDefault="001E1863" w:rsidP="00281A2B">
      <w:pPr>
        <w:pStyle w:val="Answer-Testimony"/>
        <w:numPr>
          <w:ilvl w:val="0"/>
          <w:numId w:val="2"/>
        </w:numPr>
      </w:pPr>
      <w:r w:rsidRPr="00FD718B">
        <w:t>Exhibit No.</w:t>
      </w:r>
      <w:r w:rsidR="00940838" w:rsidRPr="00FD718B">
        <w:t xml:space="preserve"> _</w:t>
      </w:r>
      <w:r w:rsidRPr="00FD718B">
        <w:t>__</w:t>
      </w:r>
      <w:r w:rsidR="00940838" w:rsidRPr="00FD718B">
        <w:t xml:space="preserve"> </w:t>
      </w:r>
      <w:r w:rsidR="00E75CCC" w:rsidRPr="00FD718B">
        <w:t>(</w:t>
      </w:r>
      <w:proofErr w:type="spellStart"/>
      <w:r w:rsidR="00E75CCC" w:rsidRPr="00FD718B">
        <w:t>CTM</w:t>
      </w:r>
      <w:proofErr w:type="spellEnd"/>
      <w:r w:rsidR="00E75CCC" w:rsidRPr="00FD718B">
        <w:t>-</w:t>
      </w:r>
      <w:r w:rsidR="005C0100" w:rsidRPr="00FD718B">
        <w:t>6</w:t>
      </w:r>
      <w:r w:rsidRPr="00FD718B">
        <w:t xml:space="preserve">), </w:t>
      </w:r>
      <w:r w:rsidR="009E0103" w:rsidRPr="00FD718B">
        <w:t>Natural Gas</w:t>
      </w:r>
      <w:r w:rsidRPr="00FD718B">
        <w:t xml:space="preserve"> Revenue Allocation and Rate Design</w:t>
      </w:r>
    </w:p>
    <w:p w14:paraId="3C1DBB49" w14:textId="77777777" w:rsidR="001E1863" w:rsidRPr="00FD718B" w:rsidRDefault="001E1863" w:rsidP="00281A2B">
      <w:pPr>
        <w:pStyle w:val="Answer-Testimony"/>
        <w:numPr>
          <w:ilvl w:val="0"/>
          <w:numId w:val="2"/>
        </w:numPr>
      </w:pPr>
      <w:r w:rsidRPr="00FD718B">
        <w:t>Exhibit No.</w:t>
      </w:r>
      <w:r w:rsidR="00940838" w:rsidRPr="00FD718B">
        <w:t xml:space="preserve"> </w:t>
      </w:r>
      <w:r w:rsidRPr="00FD718B">
        <w:t>__</w:t>
      </w:r>
      <w:r w:rsidR="00940838" w:rsidRPr="00FD718B">
        <w:t xml:space="preserve">_ </w:t>
      </w:r>
      <w:r w:rsidR="00E75CCC" w:rsidRPr="00FD718B">
        <w:t>(</w:t>
      </w:r>
      <w:proofErr w:type="spellStart"/>
      <w:r w:rsidR="00E75CCC" w:rsidRPr="00FD718B">
        <w:t>CTM</w:t>
      </w:r>
      <w:proofErr w:type="spellEnd"/>
      <w:r w:rsidR="00E75CCC" w:rsidRPr="00FD718B">
        <w:t>-</w:t>
      </w:r>
      <w:r w:rsidR="005C0100" w:rsidRPr="00FD718B">
        <w:t>7</w:t>
      </w:r>
      <w:r w:rsidRPr="00FD718B">
        <w:t xml:space="preserve">), </w:t>
      </w:r>
      <w:r w:rsidR="009E0103" w:rsidRPr="00FD718B">
        <w:t xml:space="preserve">Natural Gas </w:t>
      </w:r>
      <w:r w:rsidR="00FD718B">
        <w:t xml:space="preserve">Cost </w:t>
      </w:r>
      <w:r w:rsidR="00D02B6B">
        <w:t xml:space="preserve">Classifications and </w:t>
      </w:r>
      <w:r w:rsidR="00FD718B">
        <w:t>Allocations</w:t>
      </w:r>
    </w:p>
    <w:p w14:paraId="3C1DBB4A" w14:textId="77777777" w:rsidR="001E1863" w:rsidRPr="00FD718B" w:rsidRDefault="001E1863" w:rsidP="00281A2B">
      <w:pPr>
        <w:pStyle w:val="Answer-Testimony"/>
        <w:numPr>
          <w:ilvl w:val="0"/>
          <w:numId w:val="2"/>
        </w:numPr>
      </w:pPr>
      <w:r w:rsidRPr="00FD718B">
        <w:t>Exhibit No.</w:t>
      </w:r>
      <w:r w:rsidR="00940838" w:rsidRPr="00FD718B">
        <w:t xml:space="preserve"> </w:t>
      </w:r>
      <w:r w:rsidRPr="00FD718B">
        <w:t>__</w:t>
      </w:r>
      <w:r w:rsidR="00940838" w:rsidRPr="00FD718B">
        <w:t xml:space="preserve">_ </w:t>
      </w:r>
      <w:r w:rsidRPr="00FD718B">
        <w:t>(</w:t>
      </w:r>
      <w:proofErr w:type="spellStart"/>
      <w:r w:rsidR="00E75CCC" w:rsidRPr="00FD718B">
        <w:t>CTM</w:t>
      </w:r>
      <w:proofErr w:type="spellEnd"/>
      <w:r w:rsidR="00E75CCC" w:rsidRPr="00FD718B">
        <w:t>-</w:t>
      </w:r>
      <w:r w:rsidR="005C0100" w:rsidRPr="00FD718B">
        <w:t>8</w:t>
      </w:r>
      <w:r w:rsidRPr="00FD718B">
        <w:t xml:space="preserve">), </w:t>
      </w:r>
      <w:r w:rsidR="009E0103" w:rsidRPr="00FD718B">
        <w:t>Allocation of Natural Gas Distribution Mains</w:t>
      </w:r>
    </w:p>
    <w:p w14:paraId="3C1DBB4B" w14:textId="77777777" w:rsidR="0011480F" w:rsidRPr="007E50F7" w:rsidRDefault="0011480F" w:rsidP="0011480F">
      <w:pPr>
        <w:pStyle w:val="BodyTextIndent"/>
      </w:pPr>
    </w:p>
    <w:p w14:paraId="3C1DBB4C" w14:textId="77777777" w:rsidR="0011480F" w:rsidRPr="007E50F7" w:rsidRDefault="0011480F" w:rsidP="0011480F">
      <w:pPr>
        <w:pStyle w:val="Heading1"/>
      </w:pPr>
      <w:bookmarkStart w:id="4" w:name="_Toc391992031"/>
      <w:bookmarkStart w:id="5" w:name="_Toc393696914"/>
      <w:r w:rsidRPr="007E50F7">
        <w:lastRenderedPageBreak/>
        <w:t>COST OF SERVICE</w:t>
      </w:r>
      <w:r>
        <w:t xml:space="preserve"> CONSIDERATIONS</w:t>
      </w:r>
      <w:bookmarkEnd w:id="4"/>
      <w:bookmarkEnd w:id="5"/>
    </w:p>
    <w:p w14:paraId="3C1DBB4D" w14:textId="77777777" w:rsidR="0011480F" w:rsidRPr="007E50F7" w:rsidRDefault="0011480F" w:rsidP="0011480F">
      <w:pPr>
        <w:pStyle w:val="Answer-Testimony"/>
      </w:pPr>
    </w:p>
    <w:p w14:paraId="3C1DBB4E" w14:textId="77777777" w:rsidR="0011480F" w:rsidRPr="007E50F7" w:rsidRDefault="0011480F" w:rsidP="0011480F">
      <w:pPr>
        <w:pStyle w:val="Question-Testimony"/>
      </w:pPr>
      <w:r w:rsidRPr="007E50F7">
        <w:t>Q.</w:t>
      </w:r>
      <w:r w:rsidRPr="007E50F7">
        <w:tab/>
        <w:t>What does a cost of service study measure?</w:t>
      </w:r>
    </w:p>
    <w:p w14:paraId="3C1DBB4F" w14:textId="77777777" w:rsidR="0011480F" w:rsidRDefault="0011480F" w:rsidP="0011480F">
      <w:pPr>
        <w:pStyle w:val="Answer-Testimony"/>
      </w:pPr>
      <w:r w:rsidRPr="007E50F7">
        <w:t>A.</w:t>
      </w:r>
      <w:r w:rsidRPr="007E50F7">
        <w:tab/>
      </w:r>
      <w:r>
        <w:t>For both electric and natural gas services, a</w:t>
      </w:r>
      <w:r w:rsidRPr="007E50F7">
        <w:t xml:space="preserve"> cost of service study measures whether the revenue provided by customers </w:t>
      </w:r>
      <w:r w:rsidR="00DE62E7">
        <w:t xml:space="preserve">in each schedule </w:t>
      </w:r>
      <w:r w:rsidRPr="007E50F7">
        <w:t>recovers the cost to serve those customers</w:t>
      </w:r>
      <w:r w:rsidR="00DE62E7">
        <w:t>.  A cost of service study does this</w:t>
      </w:r>
      <w:r w:rsidRPr="007E50F7">
        <w:t xml:space="preserve"> by apportioning the revenue, expenses, and rate base associated with providing service to defined groups of customers</w:t>
      </w:r>
      <w:r>
        <w:t>, so that individual rates can be properly set</w:t>
      </w:r>
      <w:r w:rsidRPr="007E50F7">
        <w:t>.</w:t>
      </w:r>
    </w:p>
    <w:p w14:paraId="3C1DBB50" w14:textId="77777777" w:rsidR="0011480F" w:rsidRDefault="0011480F" w:rsidP="0011480F">
      <w:pPr>
        <w:pStyle w:val="Answer-Testimony"/>
      </w:pPr>
    </w:p>
    <w:p w14:paraId="3C1DBB51" w14:textId="77777777" w:rsidR="0011480F" w:rsidRPr="003B5206" w:rsidRDefault="0011480F" w:rsidP="0011480F">
      <w:pPr>
        <w:pStyle w:val="Question-Testimony"/>
      </w:pPr>
      <w:r w:rsidRPr="003B5206">
        <w:t>Q.</w:t>
      </w:r>
      <w:r w:rsidRPr="003B5206">
        <w:tab/>
        <w:t>How is a cost of service study performed?</w:t>
      </w:r>
    </w:p>
    <w:p w14:paraId="3C1DBB52" w14:textId="77777777" w:rsidR="0011480F" w:rsidRDefault="0011480F" w:rsidP="0011480F">
      <w:pPr>
        <w:pStyle w:val="Answer-Testimony"/>
      </w:pPr>
      <w:r w:rsidRPr="003B5206">
        <w:t>A.</w:t>
      </w:r>
      <w:r w:rsidRPr="003B5206">
        <w:tab/>
        <w:t>There are three broad steps to a cost of service study: (1) functionalization,</w:t>
      </w:r>
      <w:r>
        <w:t xml:space="preserve"> </w:t>
      </w:r>
      <w:r w:rsidRPr="003B5206">
        <w:t>(2) classification, and (3) allocation.</w:t>
      </w:r>
    </w:p>
    <w:p w14:paraId="3C1DBB53" w14:textId="77777777" w:rsidR="0011480F" w:rsidRPr="003B5206" w:rsidRDefault="0011480F" w:rsidP="0011480F">
      <w:pPr>
        <w:pStyle w:val="Answer-Testimony"/>
      </w:pPr>
    </w:p>
    <w:p w14:paraId="3C1DBB54" w14:textId="77777777" w:rsidR="0011480F" w:rsidRPr="003B5206" w:rsidRDefault="0011480F" w:rsidP="0011480F">
      <w:pPr>
        <w:pStyle w:val="Question-Testimony"/>
      </w:pPr>
      <w:r w:rsidRPr="003B5206">
        <w:t>Q.</w:t>
      </w:r>
      <w:r w:rsidRPr="003B5206">
        <w:tab/>
        <w:t>Please describe the first step in a cost of service study, functionalization.</w:t>
      </w:r>
    </w:p>
    <w:p w14:paraId="3C1DBB55" w14:textId="77777777" w:rsidR="0011480F" w:rsidRDefault="0011480F" w:rsidP="0011480F">
      <w:pPr>
        <w:pStyle w:val="Answer-Testimony"/>
      </w:pPr>
      <w:r w:rsidRPr="003B5206">
        <w:t>A.</w:t>
      </w:r>
      <w:r w:rsidRPr="003B5206">
        <w:tab/>
        <w:t xml:space="preserve">Functionalization </w:t>
      </w:r>
      <w:r w:rsidR="00DE62E7">
        <w:t xml:space="preserve">of costs </w:t>
      </w:r>
      <w:r w:rsidRPr="003B5206">
        <w:t>separates plant and expenses into major categories based on the major functions of the utility, which for</w:t>
      </w:r>
      <w:r>
        <w:t xml:space="preserve"> the Company’s </w:t>
      </w:r>
      <w:r w:rsidRPr="003B5206">
        <w:t>business</w:t>
      </w:r>
      <w:r>
        <w:t>es</w:t>
      </w:r>
      <w:r w:rsidRPr="003B5206">
        <w:t xml:space="preserve"> are</w:t>
      </w:r>
      <w:r>
        <w:t>:</w:t>
      </w:r>
    </w:p>
    <w:p w14:paraId="3C1DBB56" w14:textId="77777777" w:rsidR="0011480F" w:rsidRPr="0034749D" w:rsidRDefault="0011480F" w:rsidP="0011480F">
      <w:pPr>
        <w:pStyle w:val="Answer-Testimony"/>
        <w:numPr>
          <w:ilvl w:val="0"/>
          <w:numId w:val="15"/>
        </w:numPr>
      </w:pPr>
      <w:r>
        <w:t xml:space="preserve">Electric – </w:t>
      </w:r>
      <w:r w:rsidRPr="009075DC">
        <w:rPr>
          <w:rFonts w:eastAsia="SimSun"/>
        </w:rPr>
        <w:t>generation, transmission, and distribution</w:t>
      </w:r>
      <w:r w:rsidR="004D7D95">
        <w:rPr>
          <w:rFonts w:eastAsia="SimSun"/>
        </w:rPr>
        <w:t>.</w:t>
      </w:r>
    </w:p>
    <w:p w14:paraId="3C1DBB57" w14:textId="77777777" w:rsidR="0011480F" w:rsidRDefault="0011480F" w:rsidP="0011480F">
      <w:pPr>
        <w:pStyle w:val="Answer-Testimony"/>
        <w:numPr>
          <w:ilvl w:val="0"/>
          <w:numId w:val="15"/>
        </w:numPr>
      </w:pPr>
      <w:r>
        <w:t xml:space="preserve">Natural gas – </w:t>
      </w:r>
      <w:r w:rsidRPr="003B5206">
        <w:t>production, storage</w:t>
      </w:r>
      <w:r>
        <w:t>,</w:t>
      </w:r>
      <w:r w:rsidRPr="003B5206">
        <w:t xml:space="preserve"> and distribution.</w:t>
      </w:r>
    </w:p>
    <w:p w14:paraId="3C1DBB58" w14:textId="77777777" w:rsidR="0011480F" w:rsidRPr="003B5206" w:rsidRDefault="0011480F" w:rsidP="0011480F">
      <w:pPr>
        <w:pStyle w:val="Answer-Testimony"/>
      </w:pPr>
    </w:p>
    <w:p w14:paraId="3C1DBB59" w14:textId="77777777" w:rsidR="0011480F" w:rsidRPr="003B5206" w:rsidRDefault="0011480F" w:rsidP="0011480F">
      <w:pPr>
        <w:pStyle w:val="Question-Testimony"/>
      </w:pPr>
      <w:r w:rsidRPr="003B5206">
        <w:t>Q.</w:t>
      </w:r>
      <w:r w:rsidRPr="003B5206">
        <w:tab/>
        <w:t>Please describe the second step in a cost of service study, classification.</w:t>
      </w:r>
    </w:p>
    <w:p w14:paraId="3C1DBB5A" w14:textId="77777777" w:rsidR="0011480F" w:rsidRDefault="0011480F" w:rsidP="0011480F">
      <w:pPr>
        <w:pStyle w:val="Answer-Testimony"/>
        <w:rPr>
          <w:rFonts w:eastAsia="SimSun"/>
        </w:rPr>
      </w:pPr>
      <w:r w:rsidRPr="003B5206">
        <w:t>A.</w:t>
      </w:r>
      <w:r w:rsidRPr="003B5206">
        <w:tab/>
      </w:r>
      <w:r w:rsidR="00DE62E7">
        <w:rPr>
          <w:rFonts w:eastAsia="SimSun"/>
        </w:rPr>
        <w:t xml:space="preserve">Classification </w:t>
      </w:r>
      <w:r w:rsidRPr="003B5206">
        <w:t>further separates costs into categories based on the utility operation, for which the plant is constructed</w:t>
      </w:r>
      <w:r w:rsidR="00A16588">
        <w:t xml:space="preserve"> and </w:t>
      </w:r>
      <w:r>
        <w:t>operated</w:t>
      </w:r>
      <w:r w:rsidR="00DE62E7">
        <w:t xml:space="preserve">.  These categories are </w:t>
      </w:r>
      <w:r w:rsidRPr="009075DC">
        <w:rPr>
          <w:rFonts w:eastAsia="SimSun"/>
        </w:rPr>
        <w:t>customer</w:t>
      </w:r>
      <w:r w:rsidR="00DE62E7">
        <w:rPr>
          <w:rFonts w:eastAsia="SimSun"/>
        </w:rPr>
        <w:t>-</w:t>
      </w:r>
      <w:r w:rsidR="00DE62E7">
        <w:rPr>
          <w:rFonts w:eastAsia="SimSun"/>
        </w:rPr>
        <w:lastRenderedPageBreak/>
        <w:t>related</w:t>
      </w:r>
      <w:r w:rsidRPr="009075DC">
        <w:rPr>
          <w:rFonts w:eastAsia="SimSun"/>
        </w:rPr>
        <w:t>, demand</w:t>
      </w:r>
      <w:r w:rsidR="00DE62E7">
        <w:rPr>
          <w:rFonts w:eastAsia="SimSun"/>
        </w:rPr>
        <w:t>-related</w:t>
      </w:r>
      <w:r>
        <w:rPr>
          <w:rFonts w:eastAsia="SimSun"/>
        </w:rPr>
        <w:t>,</w:t>
      </w:r>
      <w:r w:rsidRPr="009075DC">
        <w:rPr>
          <w:rFonts w:eastAsia="SimSun"/>
        </w:rPr>
        <w:t xml:space="preserve"> and energy</w:t>
      </w:r>
      <w:r w:rsidR="00DE62E7">
        <w:rPr>
          <w:rFonts w:eastAsia="SimSun"/>
        </w:rPr>
        <w:t xml:space="preserve">-related </w:t>
      </w:r>
      <w:r>
        <w:rPr>
          <w:rFonts w:eastAsia="SimSun"/>
        </w:rPr>
        <w:t>(or commodity</w:t>
      </w:r>
      <w:r w:rsidR="00A16588">
        <w:rPr>
          <w:rFonts w:eastAsia="SimSun"/>
        </w:rPr>
        <w:t>-related</w:t>
      </w:r>
      <w:r>
        <w:rPr>
          <w:rFonts w:eastAsia="SimSun"/>
        </w:rPr>
        <w:t xml:space="preserve"> for natural gas)</w:t>
      </w:r>
      <w:r w:rsidRPr="009075DC">
        <w:rPr>
          <w:rFonts w:eastAsia="SimSun"/>
        </w:rPr>
        <w:t xml:space="preserve"> components</w:t>
      </w:r>
      <w:r>
        <w:rPr>
          <w:rFonts w:eastAsia="SimSun"/>
        </w:rPr>
        <w:t>.</w:t>
      </w:r>
    </w:p>
    <w:p w14:paraId="3C1DBB5B" w14:textId="77777777" w:rsidR="0011480F" w:rsidRPr="00367BA2" w:rsidRDefault="0011480F" w:rsidP="0011480F">
      <w:pPr>
        <w:pStyle w:val="Answer-Testimony"/>
        <w:rPr>
          <w:rFonts w:eastAsia="SimSun"/>
        </w:rPr>
      </w:pPr>
    </w:p>
    <w:p w14:paraId="3C1DBB5C" w14:textId="77777777" w:rsidR="0011480F" w:rsidRPr="003B5206" w:rsidRDefault="0011480F" w:rsidP="0011480F">
      <w:pPr>
        <w:pStyle w:val="Question-Testimony"/>
      </w:pPr>
      <w:r w:rsidRPr="003B5206">
        <w:t>Q.</w:t>
      </w:r>
      <w:r w:rsidRPr="003B5206">
        <w:tab/>
        <w:t>Please describe customer-related costs.</w:t>
      </w:r>
    </w:p>
    <w:p w14:paraId="3C1DBB5D" w14:textId="77777777" w:rsidR="0011480F" w:rsidRPr="00CB6085" w:rsidRDefault="0011480F" w:rsidP="00CB6085">
      <w:pPr>
        <w:pStyle w:val="Answer-Testimony"/>
        <w:rPr>
          <w:rFonts w:eastAsia="SimSun"/>
        </w:rPr>
      </w:pPr>
      <w:r w:rsidRPr="009D6E05">
        <w:t>A.</w:t>
      </w:r>
      <w:r w:rsidRPr="009D6E05">
        <w:tab/>
      </w:r>
      <w:r w:rsidR="009D6E05" w:rsidRPr="00CB6085">
        <w:t xml:space="preserve">Customer-related costs reflect the minimum amount of </w:t>
      </w:r>
      <w:r w:rsidR="00DE62E7">
        <w:t>fixed costs (</w:t>
      </w:r>
      <w:r w:rsidR="00DE62E7">
        <w:rPr>
          <w:i/>
        </w:rPr>
        <w:t xml:space="preserve">i.e., </w:t>
      </w:r>
      <w:r w:rsidR="009D6E05" w:rsidRPr="00CB6085">
        <w:t>equipment and service</w:t>
      </w:r>
      <w:r w:rsidR="00DE62E7">
        <w:t xml:space="preserve">) the utility needs to supply </w:t>
      </w:r>
      <w:r w:rsidR="009D6E05" w:rsidRPr="00CB6085">
        <w:t xml:space="preserve">for customers to access the </w:t>
      </w:r>
      <w:r w:rsidR="00DE62E7">
        <w:t xml:space="preserve">utility </w:t>
      </w:r>
      <w:r w:rsidR="009D6E05" w:rsidRPr="00CB6085">
        <w:t>system</w:t>
      </w:r>
      <w:r w:rsidR="00DE62E7">
        <w:t xml:space="preserve">.  These are </w:t>
      </w:r>
      <w:r w:rsidR="009D6E05" w:rsidRPr="00CB6085">
        <w:t>the cost of meters, service drops, meter reading, meter maintenance, and billing.  These are costs that vary with the addition or subtraction of customers.  These costs do not vary with usage; therefore, these costs are properly considered customer-related costs rather than demand-related costs or energy-related costs</w:t>
      </w:r>
      <w:r w:rsidR="00C02F35">
        <w:t>.</w:t>
      </w:r>
    </w:p>
    <w:p w14:paraId="3C1DBB5E" w14:textId="77777777" w:rsidR="00690AB5" w:rsidRPr="00CB6085" w:rsidRDefault="00690AB5" w:rsidP="00CB6085">
      <w:pPr>
        <w:pStyle w:val="Answer-Testimony"/>
      </w:pPr>
    </w:p>
    <w:p w14:paraId="3C1DBB5F" w14:textId="77777777" w:rsidR="0011480F" w:rsidRPr="00CB6085" w:rsidRDefault="0011480F" w:rsidP="00CB6085">
      <w:pPr>
        <w:pStyle w:val="Question-Testimony"/>
      </w:pPr>
      <w:r w:rsidRPr="00CB6085">
        <w:t>Q.</w:t>
      </w:r>
      <w:r w:rsidRPr="00CB6085">
        <w:tab/>
        <w:t>Please describe demand-related costs.</w:t>
      </w:r>
    </w:p>
    <w:p w14:paraId="3C1DBB60" w14:textId="77777777" w:rsidR="0011480F" w:rsidRPr="00AC1524" w:rsidRDefault="0011480F" w:rsidP="00AC1524">
      <w:pPr>
        <w:pStyle w:val="Answer-Testimony"/>
        <w:rPr>
          <w:rFonts w:eastAsia="SimSun"/>
        </w:rPr>
      </w:pPr>
      <w:r w:rsidRPr="00AC1524">
        <w:t>A.</w:t>
      </w:r>
      <w:r w:rsidRPr="00AC1524">
        <w:tab/>
        <w:t xml:space="preserve">Demand, or capacity, costs are those costs associated with designing, installing, and operating the system to meet maximum hourly </w:t>
      </w:r>
      <w:r w:rsidR="00DE62E7">
        <w:t xml:space="preserve">electric </w:t>
      </w:r>
      <w:r w:rsidRPr="00AC1524">
        <w:t xml:space="preserve">loads or gas flow requirements.  </w:t>
      </w:r>
      <w:r w:rsidR="00DE62E7">
        <w:t xml:space="preserve">Both electric and gas systems </w:t>
      </w:r>
      <w:r w:rsidRPr="00AC1524">
        <w:t xml:space="preserve">must be sized to meet peak requirements, even though average daily </w:t>
      </w:r>
      <w:r w:rsidR="00AC1524" w:rsidRPr="00AC1524">
        <w:t xml:space="preserve">usages </w:t>
      </w:r>
      <w:r w:rsidRPr="00AC1524">
        <w:t xml:space="preserve">are below peak levels; otherwise the system would not be adequate to serve customers’ demand for electricity or natural gas on the peak days.  </w:t>
      </w:r>
      <w:r w:rsidR="00DE62E7">
        <w:t>Accordingly, while t</w:t>
      </w:r>
      <w:r w:rsidRPr="00AC1524">
        <w:rPr>
          <w:rFonts w:eastAsia="SimSun"/>
        </w:rPr>
        <w:t>hese structures or units may not be fully utilized at all times</w:t>
      </w:r>
      <w:r w:rsidR="00DE62E7">
        <w:rPr>
          <w:rFonts w:eastAsia="SimSun"/>
        </w:rPr>
        <w:t xml:space="preserve">, </w:t>
      </w:r>
      <w:r w:rsidRPr="00AC1524">
        <w:rPr>
          <w:rFonts w:eastAsia="SimSun"/>
        </w:rPr>
        <w:t xml:space="preserve">they must be designed and installed to meet the maximum </w:t>
      </w:r>
      <w:r w:rsidRPr="00AC1524">
        <w:t xml:space="preserve">peak demand </w:t>
      </w:r>
      <w:r w:rsidRPr="00AC1524">
        <w:rPr>
          <w:rFonts w:eastAsia="SimSun"/>
        </w:rPr>
        <w:t>that the utility plans to serve.</w:t>
      </w:r>
    </w:p>
    <w:p w14:paraId="3C1DBB61" w14:textId="77777777" w:rsidR="0011480F" w:rsidRPr="00AC1524" w:rsidRDefault="0011480F" w:rsidP="00AC1524">
      <w:pPr>
        <w:pStyle w:val="Answer-Testimony"/>
      </w:pPr>
    </w:p>
    <w:p w14:paraId="3C1DBB62" w14:textId="77777777" w:rsidR="0011480F" w:rsidRPr="00CB6085" w:rsidRDefault="0011480F" w:rsidP="00A670D4">
      <w:pPr>
        <w:pStyle w:val="Question-Testimony"/>
        <w:keepNext/>
      </w:pPr>
      <w:r w:rsidRPr="00CB6085">
        <w:lastRenderedPageBreak/>
        <w:t>Q.</w:t>
      </w:r>
      <w:r w:rsidRPr="00CB6085">
        <w:tab/>
        <w:t xml:space="preserve">Please describe </w:t>
      </w:r>
      <w:r w:rsidR="00252C41" w:rsidRPr="00CB6085">
        <w:t xml:space="preserve">energy- and </w:t>
      </w:r>
      <w:r w:rsidRPr="00CB6085">
        <w:t>commodity</w:t>
      </w:r>
      <w:r w:rsidR="00252C41" w:rsidRPr="00CB6085">
        <w:t>-related</w:t>
      </w:r>
      <w:r w:rsidRPr="00CB6085">
        <w:t xml:space="preserve"> costs.</w:t>
      </w:r>
    </w:p>
    <w:p w14:paraId="3C1DBB63" w14:textId="77777777" w:rsidR="00DE62E7" w:rsidRDefault="0011480F" w:rsidP="00BA468E">
      <w:pPr>
        <w:pStyle w:val="Answer-Testimony"/>
        <w:rPr>
          <w:rFonts w:eastAsia="SimSun"/>
        </w:rPr>
      </w:pPr>
      <w:r w:rsidRPr="00BA468E">
        <w:t>A.</w:t>
      </w:r>
      <w:r w:rsidRPr="00BA468E">
        <w:tab/>
      </w:r>
      <w:r w:rsidR="00252C41" w:rsidRPr="00BA468E">
        <w:t>Energy- and c</w:t>
      </w:r>
      <w:r w:rsidRPr="00BA468E">
        <w:t>ommodity</w:t>
      </w:r>
      <w:r w:rsidR="00252C41" w:rsidRPr="00BA468E">
        <w:t>-related</w:t>
      </w:r>
      <w:r w:rsidRPr="00BA468E">
        <w:t xml:space="preserve"> costs</w:t>
      </w:r>
      <w:r w:rsidR="00252C41" w:rsidRPr="00BA468E">
        <w:t xml:space="preserve"> </w:t>
      </w:r>
      <w:r w:rsidR="00252C41" w:rsidRPr="00BA468E">
        <w:rPr>
          <w:rFonts w:eastAsia="SimSun"/>
        </w:rPr>
        <w:t>are those costs that vary with the amount of electricity</w:t>
      </w:r>
      <w:r w:rsidR="00BA468E" w:rsidRPr="00BA468E">
        <w:rPr>
          <w:rFonts w:eastAsia="SimSun"/>
        </w:rPr>
        <w:t xml:space="preserve"> or natural gas</w:t>
      </w:r>
      <w:r w:rsidR="00252C41" w:rsidRPr="00BA468E">
        <w:rPr>
          <w:rFonts w:eastAsia="SimSun"/>
        </w:rPr>
        <w:t xml:space="preserve"> sold </w:t>
      </w:r>
      <w:r w:rsidR="00BA468E" w:rsidRPr="00BA468E">
        <w:rPr>
          <w:rFonts w:eastAsia="SimSun"/>
        </w:rPr>
        <w:t xml:space="preserve">to, </w:t>
      </w:r>
      <w:r w:rsidR="00252C41" w:rsidRPr="00BA468E">
        <w:rPr>
          <w:rFonts w:eastAsia="SimSun"/>
        </w:rPr>
        <w:t>or transmitted for, customers</w:t>
      </w:r>
      <w:r w:rsidR="00BA468E" w:rsidRPr="00BA468E">
        <w:rPr>
          <w:rFonts w:eastAsia="SimSun"/>
        </w:rPr>
        <w:t xml:space="preserve">. </w:t>
      </w:r>
      <w:r w:rsidRPr="00BA468E">
        <w:t xml:space="preserve"> </w:t>
      </w:r>
      <w:r w:rsidR="00BA468E" w:rsidRPr="00BA468E">
        <w:rPr>
          <w:rFonts w:eastAsia="SimSun"/>
        </w:rPr>
        <w:t xml:space="preserve">Costs related to supply are classified as energy-related to the extent they vary with the amount of electricity purchased or generated by the utility for its customers.  </w:t>
      </w:r>
    </w:p>
    <w:p w14:paraId="3C1DBB64" w14:textId="77777777" w:rsidR="0011480F" w:rsidRPr="00BA468E" w:rsidRDefault="00DE62E7" w:rsidP="00BA468E">
      <w:pPr>
        <w:pStyle w:val="Answer-Testimony"/>
      </w:pPr>
      <w:r>
        <w:tab/>
      </w:r>
      <w:r>
        <w:tab/>
        <w:t>For example, n</w:t>
      </w:r>
      <w:r w:rsidR="00BA468E" w:rsidRPr="00BA468E">
        <w:t>atural g</w:t>
      </w:r>
      <w:r w:rsidR="0011480F" w:rsidRPr="00BA468E">
        <w:t>as distribution systems have very low commodity-related costs aside from purchased gas.</w:t>
      </w:r>
    </w:p>
    <w:p w14:paraId="3C1DBB65" w14:textId="77777777" w:rsidR="0011480F" w:rsidRPr="00BA468E" w:rsidRDefault="0011480F" w:rsidP="00BA468E">
      <w:pPr>
        <w:pStyle w:val="Answer-Testimony"/>
        <w:rPr>
          <w:rFonts w:eastAsia="SimSun"/>
        </w:rPr>
      </w:pPr>
    </w:p>
    <w:p w14:paraId="3C1DBB66" w14:textId="77777777" w:rsidR="0011480F" w:rsidRPr="003B5206" w:rsidRDefault="0011480F" w:rsidP="0011480F">
      <w:pPr>
        <w:pStyle w:val="Question-Testimony"/>
      </w:pPr>
      <w:bookmarkStart w:id="6" w:name="OLE_LINK3"/>
      <w:r w:rsidRPr="003B5206">
        <w:t>Q.</w:t>
      </w:r>
      <w:r w:rsidRPr="003B5206">
        <w:tab/>
        <w:t>Please describe the third step in a cost of service study, allocation.</w:t>
      </w:r>
    </w:p>
    <w:p w14:paraId="3C1DBB67" w14:textId="77777777" w:rsidR="00EA7E99" w:rsidRDefault="0011480F" w:rsidP="0011480F">
      <w:pPr>
        <w:pStyle w:val="Answer-Testimony"/>
      </w:pPr>
      <w:r w:rsidRPr="003B5206">
        <w:t>A.</w:t>
      </w:r>
      <w:r w:rsidRPr="003B5206">
        <w:tab/>
      </w:r>
      <w:r w:rsidR="00EA7E99">
        <w:t>Allocation is a means to ascribe a cost to a particular rate schedule.  C</w:t>
      </w:r>
      <w:r w:rsidRPr="003B5206">
        <w:t>ost</w:t>
      </w:r>
      <w:r w:rsidR="00EA7E99">
        <w:t xml:space="preserve">s that are </w:t>
      </w:r>
      <w:r w:rsidRPr="003B5206">
        <w:t xml:space="preserve">unique to a specific customer class </w:t>
      </w:r>
      <w:r w:rsidR="00EA7E99">
        <w:t xml:space="preserve">are </w:t>
      </w:r>
      <w:r w:rsidRPr="003B5206">
        <w:t>directly assigned to that customer class</w:t>
      </w:r>
      <w:r w:rsidR="00EA7E99">
        <w:t>.  Costs that cannot be directly assigned are allocated</w:t>
      </w:r>
      <w:r w:rsidRPr="003B5206">
        <w:t xml:space="preserve"> based on factor</w:t>
      </w:r>
      <w:r w:rsidR="00BD40E9">
        <w:t>s</w:t>
      </w:r>
      <w:r w:rsidRPr="003B5206">
        <w:t xml:space="preserve"> that </w:t>
      </w:r>
      <w:r w:rsidR="00BD40E9">
        <w:t>are</w:t>
      </w:r>
      <w:r w:rsidRPr="003B5206">
        <w:t xml:space="preserve"> related to th</w:t>
      </w:r>
      <w:r w:rsidR="00BD40E9">
        <w:t>e</w:t>
      </w:r>
      <w:r w:rsidR="001846FE">
        <w:t xml:space="preserve"> type of cost.</w:t>
      </w:r>
    </w:p>
    <w:p w14:paraId="3C1DBB68" w14:textId="77777777" w:rsidR="00EA7E99" w:rsidRDefault="00EA7E99" w:rsidP="0011480F">
      <w:pPr>
        <w:pStyle w:val="Answer-Testimony"/>
      </w:pPr>
      <w:r>
        <w:tab/>
      </w:r>
      <w:r>
        <w:tab/>
        <w:t xml:space="preserve">For example, </w:t>
      </w:r>
      <w:r w:rsidR="0011480F" w:rsidRPr="003B5206">
        <w:t>customer-related costs are allocated based on the number of customers</w:t>
      </w:r>
      <w:r w:rsidR="00BD40E9">
        <w:t xml:space="preserve">, while </w:t>
      </w:r>
      <w:r w:rsidR="0011480F" w:rsidRPr="003B5206">
        <w:t>demand-related costs are allocated based on peak demand</w:t>
      </w:r>
      <w:r w:rsidR="00BD40E9">
        <w:t xml:space="preserve">, </w:t>
      </w:r>
      <w:r w:rsidR="0011480F" w:rsidRPr="003B5206">
        <w:t xml:space="preserve">and </w:t>
      </w:r>
      <w:r w:rsidR="0011480F">
        <w:t xml:space="preserve">energy- or </w:t>
      </w:r>
      <w:r w:rsidR="0011480F" w:rsidRPr="003B5206">
        <w:t xml:space="preserve">commodity-related costs are allocated to customer classes based on </w:t>
      </w:r>
      <w:r w:rsidR="0011480F">
        <w:t xml:space="preserve">load (electric) or </w:t>
      </w:r>
      <w:r w:rsidR="0011480F" w:rsidRPr="003B5206">
        <w:t>throughput</w:t>
      </w:r>
      <w:r w:rsidR="0011480F">
        <w:t xml:space="preserve"> (natural gas)</w:t>
      </w:r>
      <w:r w:rsidR="001846FE">
        <w:t>.</w:t>
      </w:r>
    </w:p>
    <w:p w14:paraId="3C1DBB69" w14:textId="77777777" w:rsidR="0011480F" w:rsidRPr="003B5206" w:rsidRDefault="00EA7E99" w:rsidP="0011480F">
      <w:pPr>
        <w:pStyle w:val="Answer-Testimony"/>
      </w:pPr>
      <w:r>
        <w:tab/>
      </w:r>
      <w:r>
        <w:tab/>
      </w:r>
      <w:r w:rsidR="0011480F" w:rsidRPr="003B5206">
        <w:t>There are many variations of these allocation factors based on the specific costs and plant items being allocated</w:t>
      </w:r>
      <w:r>
        <w:t>.  S</w:t>
      </w:r>
      <w:r w:rsidR="0011480F" w:rsidRPr="003B5206">
        <w:t>ome costs may be allocated based on a combination of allocation factors</w:t>
      </w:r>
      <w:r w:rsidR="00BD40E9">
        <w:t xml:space="preserve"> </w:t>
      </w:r>
      <w:r>
        <w:t xml:space="preserve">when they </w:t>
      </w:r>
      <w:r w:rsidR="00BD40E9">
        <w:t>s</w:t>
      </w:r>
      <w:r w:rsidR="00BD40E9">
        <w:rPr>
          <w:rFonts w:eastAsia="SimSun"/>
        </w:rPr>
        <w:t>erv</w:t>
      </w:r>
      <w:r>
        <w:rPr>
          <w:rFonts w:eastAsia="SimSun"/>
        </w:rPr>
        <w:t>e</w:t>
      </w:r>
      <w:r w:rsidR="00BD40E9" w:rsidRPr="009075DC">
        <w:rPr>
          <w:rFonts w:eastAsia="SimSun"/>
        </w:rPr>
        <w:t xml:space="preserve"> multiple functions</w:t>
      </w:r>
      <w:r w:rsidR="0011480F" w:rsidRPr="003B5206">
        <w:t>.</w:t>
      </w:r>
    </w:p>
    <w:bookmarkEnd w:id="6"/>
    <w:p w14:paraId="3C1DBB6A" w14:textId="77777777" w:rsidR="0011480F" w:rsidRPr="007E50F7" w:rsidRDefault="0011480F" w:rsidP="0011480F">
      <w:pPr>
        <w:pStyle w:val="Answer-Testimony"/>
      </w:pPr>
    </w:p>
    <w:p w14:paraId="3C1DBB6B" w14:textId="77777777" w:rsidR="00891A10" w:rsidRPr="007E50F7" w:rsidRDefault="008A14BC" w:rsidP="0069535A">
      <w:pPr>
        <w:pStyle w:val="Heading1"/>
      </w:pPr>
      <w:bookmarkStart w:id="7" w:name="_Toc391992032"/>
      <w:bookmarkStart w:id="8" w:name="_Toc393696915"/>
      <w:r w:rsidRPr="007E50F7">
        <w:lastRenderedPageBreak/>
        <w:t>ELECTRIC</w:t>
      </w:r>
      <w:r w:rsidR="00955041" w:rsidRPr="007E50F7">
        <w:t xml:space="preserve"> </w:t>
      </w:r>
      <w:r w:rsidR="007B4B29" w:rsidRPr="007E50F7">
        <w:t xml:space="preserve">COST OF </w:t>
      </w:r>
      <w:r w:rsidR="00955041" w:rsidRPr="007E50F7">
        <w:t>SERVICE</w:t>
      </w:r>
      <w:bookmarkEnd w:id="7"/>
      <w:bookmarkEnd w:id="8"/>
    </w:p>
    <w:p w14:paraId="3C1DBB6C" w14:textId="77777777" w:rsidR="00914944" w:rsidRPr="007E50F7" w:rsidRDefault="00914944" w:rsidP="00A670D4">
      <w:pPr>
        <w:pStyle w:val="Answer-Testimony"/>
        <w:keepNext/>
      </w:pPr>
    </w:p>
    <w:p w14:paraId="3C1DBB6D" w14:textId="77777777" w:rsidR="00914944" w:rsidRPr="007E50F7" w:rsidRDefault="00914944" w:rsidP="00914944">
      <w:pPr>
        <w:pStyle w:val="Question-Testimony"/>
      </w:pPr>
      <w:r w:rsidRPr="007E50F7">
        <w:t>Q.</w:t>
      </w:r>
      <w:r w:rsidRPr="007E50F7">
        <w:tab/>
        <w:t xml:space="preserve">What </w:t>
      </w:r>
      <w:r w:rsidR="00375F20">
        <w:t xml:space="preserve">financial results did </w:t>
      </w:r>
      <w:r w:rsidR="00FE6816">
        <w:t>Staff</w:t>
      </w:r>
      <w:r w:rsidR="00375F20">
        <w:t xml:space="preserve"> use as inputs to the </w:t>
      </w:r>
      <w:r w:rsidRPr="007E50F7">
        <w:t>cost of service study?</w:t>
      </w:r>
    </w:p>
    <w:p w14:paraId="3C1DBB6E" w14:textId="77777777" w:rsidR="00914944" w:rsidRPr="00654AED" w:rsidRDefault="00914944" w:rsidP="00914944">
      <w:pPr>
        <w:pStyle w:val="Answer-Testimony"/>
      </w:pPr>
      <w:r w:rsidRPr="007E50F7">
        <w:t>A.</w:t>
      </w:r>
      <w:r w:rsidRPr="007E50F7">
        <w:tab/>
      </w:r>
      <w:r w:rsidR="00375F20">
        <w:t xml:space="preserve">Staff used the financial data from </w:t>
      </w:r>
      <w:r w:rsidR="00C76102">
        <w:t>the Company’s pro forma cross check study</w:t>
      </w:r>
      <w:r w:rsidR="00FE6816">
        <w:t>,</w:t>
      </w:r>
      <w:r w:rsidR="00C76102">
        <w:rPr>
          <w:rStyle w:val="FootnoteReference"/>
        </w:rPr>
        <w:footnoteReference w:id="3"/>
      </w:r>
      <w:r w:rsidR="00FE6816">
        <w:t xml:space="preserve"> </w:t>
      </w:r>
      <w:r w:rsidR="00375F20">
        <w:t xml:space="preserve">after </w:t>
      </w:r>
      <w:r w:rsidR="00FE6816" w:rsidRPr="00654AED">
        <w:t>exclud</w:t>
      </w:r>
      <w:r w:rsidR="009F695A">
        <w:t>ing</w:t>
      </w:r>
      <w:r w:rsidR="00FE6816" w:rsidRPr="00654AED">
        <w:t xml:space="preserve"> </w:t>
      </w:r>
      <w:r w:rsidR="009F695A">
        <w:t xml:space="preserve">all </w:t>
      </w:r>
      <w:r w:rsidR="00EF77F7">
        <w:t xml:space="preserve">plant and expense </w:t>
      </w:r>
      <w:r w:rsidR="00654AED">
        <w:t>adjustments that go into the rate year.</w:t>
      </w:r>
      <w:r w:rsidR="00302CA2">
        <w:t xml:space="preserve">  In addition, Staff updated the system load factor for the test period</w:t>
      </w:r>
      <w:r w:rsidR="00EA7E99">
        <w:t xml:space="preserve">, the 12 months ending </w:t>
      </w:r>
      <w:r w:rsidR="00CC5B79">
        <w:t xml:space="preserve">June </w:t>
      </w:r>
      <w:r w:rsidR="00EA7E99">
        <w:t>3</w:t>
      </w:r>
      <w:r w:rsidR="00CC5B79">
        <w:t>0</w:t>
      </w:r>
      <w:r w:rsidR="00EA7E99">
        <w:t xml:space="preserve">, 2013, rather than </w:t>
      </w:r>
      <w:r w:rsidR="00302CA2">
        <w:t>calendar year 2012.</w:t>
      </w:r>
      <w:r w:rsidR="00302CA2">
        <w:rPr>
          <w:rStyle w:val="FootnoteReference"/>
        </w:rPr>
        <w:footnoteReference w:id="4"/>
      </w:r>
    </w:p>
    <w:p w14:paraId="3C1DBB6F" w14:textId="77777777" w:rsidR="00C76102" w:rsidRPr="00654AED" w:rsidRDefault="00C76102" w:rsidP="00C76102">
      <w:pPr>
        <w:pStyle w:val="Answer-Testimony"/>
      </w:pPr>
    </w:p>
    <w:p w14:paraId="3C1DBB70" w14:textId="77777777" w:rsidR="00C76102" w:rsidRPr="00654AED" w:rsidRDefault="00C76102" w:rsidP="00C76102">
      <w:pPr>
        <w:pStyle w:val="Question-Testimony"/>
      </w:pPr>
      <w:r w:rsidRPr="00654AED">
        <w:t>Q.</w:t>
      </w:r>
      <w:r w:rsidRPr="00654AED">
        <w:tab/>
        <w:t>Wh</w:t>
      </w:r>
      <w:r w:rsidR="00685757">
        <w:t xml:space="preserve">y did Staff use </w:t>
      </w:r>
      <w:r w:rsidR="00EA7E99">
        <w:t xml:space="preserve">a modified </w:t>
      </w:r>
      <w:r w:rsidR="00685757">
        <w:t xml:space="preserve">Company cross check study </w:t>
      </w:r>
      <w:r w:rsidR="00EA7E99">
        <w:t xml:space="preserve">as the basis of its cost of service study rather than </w:t>
      </w:r>
      <w:r w:rsidR="00685757">
        <w:t xml:space="preserve">Staff’s </w:t>
      </w:r>
      <w:r w:rsidR="00EA7E99">
        <w:t xml:space="preserve">own </w:t>
      </w:r>
      <w:r w:rsidR="00685757">
        <w:t>attrition study</w:t>
      </w:r>
      <w:r w:rsidRPr="00654AED">
        <w:t>?</w:t>
      </w:r>
    </w:p>
    <w:p w14:paraId="3C1DBB71" w14:textId="77777777" w:rsidR="008919E1" w:rsidRDefault="00C76102" w:rsidP="00C76102">
      <w:pPr>
        <w:pStyle w:val="Answer-Testimony"/>
      </w:pPr>
      <w:r w:rsidRPr="00654AED">
        <w:t>A.</w:t>
      </w:r>
      <w:r w:rsidRPr="00654AED">
        <w:tab/>
      </w:r>
      <w:r w:rsidR="009F695A">
        <w:t>T</w:t>
      </w:r>
      <w:r w:rsidRPr="00654AED">
        <w:t xml:space="preserve">he cost of service study requires </w:t>
      </w:r>
      <w:r w:rsidR="009F695A">
        <w:t xml:space="preserve">information at the level of </w:t>
      </w:r>
      <w:r w:rsidRPr="00654AED">
        <w:t>detail</w:t>
      </w:r>
      <w:r w:rsidR="009F695A">
        <w:t xml:space="preserve"> provided </w:t>
      </w:r>
      <w:r w:rsidR="00FE6816" w:rsidRPr="00654AED">
        <w:t>by Federal Energy Regulatory Commission (“FERC”) account category</w:t>
      </w:r>
      <w:r w:rsidR="009F695A">
        <w:t xml:space="preserve">.  </w:t>
      </w:r>
      <w:r w:rsidR="00EA7E99">
        <w:t xml:space="preserve">Staff’s attrition study does not reflect this detail.  </w:t>
      </w:r>
      <w:r w:rsidR="009F695A">
        <w:t>The cross check study, as modified, was the best information available.</w:t>
      </w:r>
    </w:p>
    <w:p w14:paraId="3C1DBB72" w14:textId="77777777" w:rsidR="00C76102" w:rsidRPr="00654AED" w:rsidRDefault="00FE6816" w:rsidP="008919E1">
      <w:pPr>
        <w:pStyle w:val="Answer-Testimony"/>
        <w:ind w:firstLine="720"/>
      </w:pPr>
      <w:r w:rsidRPr="00654AED">
        <w:t>In addition,</w:t>
      </w:r>
      <w:r w:rsidR="00685757">
        <w:t xml:space="preserve"> by using the cross check study and excluding any adjustments that wen</w:t>
      </w:r>
      <w:r w:rsidR="00131432">
        <w:t>t</w:t>
      </w:r>
      <w:r w:rsidR="00685757">
        <w:t xml:space="preserve"> into the rate year, Staff would expect</w:t>
      </w:r>
      <w:r w:rsidR="001D515A">
        <w:t xml:space="preserve"> for costs</w:t>
      </w:r>
      <w:r w:rsidR="00685757">
        <w:t xml:space="preserve"> the relationship from the past to continue into the future with Staff’s revenue</w:t>
      </w:r>
      <w:r w:rsidR="00131432">
        <w:t xml:space="preserve"> requirement reflecting what the</w:t>
      </w:r>
      <w:r w:rsidR="00685757">
        <w:t xml:space="preserve"> trend line growth would be going into the rate year.</w:t>
      </w:r>
    </w:p>
    <w:p w14:paraId="3C1DBB73" w14:textId="77777777" w:rsidR="00914944" w:rsidRPr="00654AED" w:rsidRDefault="00914944" w:rsidP="00914944">
      <w:pPr>
        <w:pStyle w:val="Answer-Testimony"/>
      </w:pPr>
    </w:p>
    <w:p w14:paraId="3C1DBB74" w14:textId="77777777" w:rsidR="00685757" w:rsidRPr="007E50F7" w:rsidRDefault="00685757" w:rsidP="00A670D4">
      <w:pPr>
        <w:pStyle w:val="Heading3"/>
      </w:pPr>
      <w:bookmarkStart w:id="9" w:name="_Toc391992033"/>
      <w:bookmarkStart w:id="10" w:name="_Toc393696916"/>
      <w:r>
        <w:lastRenderedPageBreak/>
        <w:t>Newly Created Class</w:t>
      </w:r>
      <w:r w:rsidR="007C3314">
        <w:t>:</w:t>
      </w:r>
      <w:r>
        <w:t xml:space="preserve"> Schedule 26</w:t>
      </w:r>
      <w:bookmarkEnd w:id="9"/>
      <w:bookmarkEnd w:id="10"/>
    </w:p>
    <w:p w14:paraId="3C1DBB75" w14:textId="77777777" w:rsidR="00685757" w:rsidRPr="00BB63B0" w:rsidRDefault="00685757" w:rsidP="00A670D4">
      <w:pPr>
        <w:pStyle w:val="Answer-Testimony"/>
        <w:keepNext/>
      </w:pPr>
    </w:p>
    <w:p w14:paraId="3C1DBB76" w14:textId="77777777" w:rsidR="00685757" w:rsidRPr="00BB63B0" w:rsidRDefault="00685757" w:rsidP="00685757">
      <w:pPr>
        <w:pStyle w:val="Question-Testimony"/>
        <w:keepNext/>
      </w:pPr>
      <w:r w:rsidRPr="00BB63B0">
        <w:t>Q.</w:t>
      </w:r>
      <w:r w:rsidRPr="00BB63B0">
        <w:tab/>
      </w:r>
      <w:r w:rsidR="00EA7E99">
        <w:t>Please describe Staff’s proposal to create a new Schedule 26.</w:t>
      </w:r>
    </w:p>
    <w:p w14:paraId="3C1DBB77" w14:textId="77777777" w:rsidR="001A57FE" w:rsidRPr="00950051" w:rsidRDefault="00685757" w:rsidP="00685757">
      <w:pPr>
        <w:pStyle w:val="Answer-Testimony"/>
      </w:pPr>
      <w:r w:rsidRPr="00BB63B0">
        <w:t>A.</w:t>
      </w:r>
      <w:r w:rsidRPr="00BB63B0">
        <w:tab/>
      </w:r>
      <w:r w:rsidR="00BB63B0" w:rsidRPr="00BB63B0">
        <w:t xml:space="preserve">Staff </w:t>
      </w:r>
      <w:r w:rsidR="00EA7E99">
        <w:t>proposes to create a new rate Schedule 26</w:t>
      </w:r>
      <w:r w:rsidR="00950051">
        <w:t>, called “Ultra-Large General Service,”</w:t>
      </w:r>
      <w:r w:rsidR="00EA7E99">
        <w:t xml:space="preserve"> for </w:t>
      </w:r>
      <w:r w:rsidR="00CC5B79">
        <w:t xml:space="preserve">extremely </w:t>
      </w:r>
      <w:r w:rsidR="00EA7E99">
        <w:t>large usage customers.</w:t>
      </w:r>
      <w:r w:rsidR="001A57FE">
        <w:t xml:space="preserve">  Customers with</w:t>
      </w:r>
      <w:r w:rsidR="001D515A">
        <w:t xml:space="preserve"> consistent monthly usage </w:t>
      </w:r>
      <w:r w:rsidR="001D515A" w:rsidRPr="00950051">
        <w:t>pattern of at least</w:t>
      </w:r>
      <w:r w:rsidR="00FA1756" w:rsidRPr="00950051">
        <w:t xml:space="preserve"> 55 thousand kilovolt-amp (‘KVA”)</w:t>
      </w:r>
      <w:r w:rsidR="001D515A" w:rsidRPr="00950051">
        <w:t xml:space="preserve"> </w:t>
      </w:r>
      <w:r w:rsidR="001A57FE" w:rsidRPr="00950051">
        <w:t>w</w:t>
      </w:r>
      <w:r w:rsidR="00CC5B79" w:rsidRPr="00950051">
        <w:t>ould qualify for this schedule.</w:t>
      </w:r>
    </w:p>
    <w:p w14:paraId="3C1DBB78" w14:textId="77777777" w:rsidR="00685757" w:rsidRPr="00BB63B0" w:rsidRDefault="001A57FE" w:rsidP="00685757">
      <w:pPr>
        <w:pStyle w:val="Answer-Testimony"/>
      </w:pPr>
      <w:r>
        <w:tab/>
      </w:r>
      <w:r>
        <w:tab/>
      </w:r>
      <w:r w:rsidR="00EA7E99">
        <w:t>Currently, Avista has one such customer, called ”</w:t>
      </w:r>
      <w:r w:rsidR="00BB63B0">
        <w:t>C</w:t>
      </w:r>
      <w:r w:rsidR="00BB63B0" w:rsidRPr="00BB63B0">
        <w:t>ustomer</w:t>
      </w:r>
      <w:r w:rsidR="007C3314">
        <w:t xml:space="preserve"> </w:t>
      </w:r>
      <w:r w:rsidR="00BB63B0" w:rsidRPr="00BB63B0">
        <w:t>9</w:t>
      </w:r>
      <w:r w:rsidR="00BB63B0">
        <w:t>”</w:t>
      </w:r>
      <w:r w:rsidR="00EA7E99">
        <w:t xml:space="preserve"> in the Company’s cost of </w:t>
      </w:r>
      <w:r w:rsidR="00CC5B79">
        <w:t>s</w:t>
      </w:r>
      <w:r w:rsidR="00EA7E99">
        <w:t>ervice study.</w:t>
      </w:r>
      <w:r w:rsidR="00EA7E99" w:rsidRPr="00BB63B0">
        <w:rPr>
          <w:rStyle w:val="FootnoteReference"/>
        </w:rPr>
        <w:footnoteReference w:id="5"/>
      </w:r>
      <w:r w:rsidR="00EA7E99">
        <w:t xml:space="preserve">  This customer currently is served under </w:t>
      </w:r>
      <w:r w:rsidR="00BB63B0" w:rsidRPr="00BB63B0">
        <w:t>Schedule 25</w:t>
      </w:r>
      <w:r w:rsidR="00FA1756">
        <w:t>.</w:t>
      </w:r>
    </w:p>
    <w:p w14:paraId="3C1DBB79" w14:textId="77777777" w:rsidR="00685757" w:rsidRPr="00BB4632" w:rsidRDefault="00685757" w:rsidP="00685757">
      <w:pPr>
        <w:pStyle w:val="Answer-Testimony"/>
      </w:pPr>
    </w:p>
    <w:p w14:paraId="3C1DBB7A" w14:textId="77777777" w:rsidR="00685757" w:rsidRPr="00BB4632" w:rsidRDefault="00685757" w:rsidP="00685757">
      <w:pPr>
        <w:pStyle w:val="Question-Testimony"/>
        <w:keepNext/>
      </w:pPr>
      <w:r w:rsidRPr="00BB4632">
        <w:t>Q.</w:t>
      </w:r>
      <w:r w:rsidRPr="00BB4632">
        <w:tab/>
        <w:t>Wh</w:t>
      </w:r>
      <w:r w:rsidR="00EA7E99">
        <w:t xml:space="preserve">at is the basis for </w:t>
      </w:r>
      <w:r w:rsidR="005B6338">
        <w:t>Staff</w:t>
      </w:r>
      <w:r w:rsidR="00EA7E99">
        <w:t>’s proposal</w:t>
      </w:r>
      <w:r w:rsidRPr="00BB4632">
        <w:t>?</w:t>
      </w:r>
    </w:p>
    <w:p w14:paraId="3C1DBB7B" w14:textId="77777777" w:rsidR="005B6338" w:rsidRDefault="00685757" w:rsidP="00685757">
      <w:pPr>
        <w:pStyle w:val="Answer-Testimony"/>
      </w:pPr>
      <w:r w:rsidRPr="00BB4632">
        <w:t>A.</w:t>
      </w:r>
      <w:r w:rsidRPr="00BB4632">
        <w:tab/>
      </w:r>
      <w:r w:rsidR="00CC5B79">
        <w:t>Schedule</w:t>
      </w:r>
      <w:r w:rsidR="001A57FE">
        <w:t xml:space="preserve"> 25 is a poor fit for customers like </w:t>
      </w:r>
      <w:r w:rsidR="00BB63B0" w:rsidRPr="00BB4632">
        <w:t>Customer</w:t>
      </w:r>
      <w:r w:rsidR="005B6338">
        <w:t xml:space="preserve"> </w:t>
      </w:r>
      <w:r w:rsidR="00BB63B0" w:rsidRPr="00BB4632">
        <w:t>9</w:t>
      </w:r>
      <w:r w:rsidR="001A57FE">
        <w:t>.</w:t>
      </w:r>
      <w:r w:rsidR="005B6338">
        <w:t xml:space="preserve">  Fo</w:t>
      </w:r>
      <w:r w:rsidR="00BB63B0" w:rsidRPr="00BB4632">
        <w:t xml:space="preserve">r example, </w:t>
      </w:r>
      <w:r w:rsidR="00EA7E99">
        <w:t>Custom</w:t>
      </w:r>
      <w:r w:rsidR="001A57FE">
        <w:t>e</w:t>
      </w:r>
      <w:r w:rsidR="00EA7E99">
        <w:t xml:space="preserve">r 9 is </w:t>
      </w:r>
      <w:r w:rsidR="00BB63B0" w:rsidRPr="00BB4632">
        <w:t xml:space="preserve">the </w:t>
      </w:r>
      <w:r w:rsidR="00BB63B0" w:rsidRPr="00BB4632">
        <w:rPr>
          <w:u w:val="single"/>
        </w:rPr>
        <w:t>only</w:t>
      </w:r>
      <w:r w:rsidR="00BB63B0" w:rsidRPr="00BB4632">
        <w:t xml:space="preserve"> customer </w:t>
      </w:r>
      <w:r w:rsidR="001A57FE">
        <w:t xml:space="preserve">in Schedule 25 </w:t>
      </w:r>
      <w:r w:rsidR="005B6338">
        <w:t xml:space="preserve">that has usage in </w:t>
      </w:r>
      <w:r w:rsidR="00BB63B0" w:rsidRPr="00BB4632">
        <w:t xml:space="preserve">the third </w:t>
      </w:r>
      <w:r w:rsidR="005B6338">
        <w:t xml:space="preserve">and last rate block, </w:t>
      </w:r>
      <w:r w:rsidR="00EA7E99">
        <w:t xml:space="preserve">which applies to </w:t>
      </w:r>
      <w:r w:rsidR="005B6338">
        <w:t xml:space="preserve">usage </w:t>
      </w:r>
      <w:r w:rsidR="00BB63B0" w:rsidRPr="00BB4632">
        <w:t xml:space="preserve">over 6 million </w:t>
      </w:r>
      <w:proofErr w:type="spellStart"/>
      <w:r w:rsidR="00D2098A" w:rsidRPr="00BB4632">
        <w:t>kW</w:t>
      </w:r>
      <w:r w:rsidR="00D2098A">
        <w:t>h</w:t>
      </w:r>
      <w:r w:rsidR="00D2098A" w:rsidRPr="00BB4632">
        <w:t>s</w:t>
      </w:r>
      <w:proofErr w:type="spellEnd"/>
      <w:r w:rsidR="00EA7E99">
        <w:t xml:space="preserve">.  </w:t>
      </w:r>
      <w:r w:rsidR="00E4619C">
        <w:t xml:space="preserve">Customer 9 </w:t>
      </w:r>
      <w:r w:rsidR="005B6338">
        <w:t xml:space="preserve">has usage in this </w:t>
      </w:r>
      <w:r w:rsidR="00EA7E99">
        <w:t xml:space="preserve">third rate </w:t>
      </w:r>
      <w:r w:rsidR="005B6338">
        <w:t xml:space="preserve">block </w:t>
      </w:r>
      <w:r w:rsidR="00BB63B0" w:rsidRPr="00BB4632">
        <w:t xml:space="preserve">each month </w:t>
      </w:r>
      <w:r w:rsidR="005B6338">
        <w:t>of</w:t>
      </w:r>
      <w:r w:rsidR="00950051">
        <w:t xml:space="preserve"> the </w:t>
      </w:r>
      <w:r w:rsidR="00EF77F7">
        <w:t xml:space="preserve">test </w:t>
      </w:r>
      <w:r w:rsidR="00950051">
        <w:t>year.</w:t>
      </w:r>
    </w:p>
    <w:p w14:paraId="3C1DBB7C" w14:textId="77777777" w:rsidR="00BB63B0" w:rsidRPr="00BB4632" w:rsidRDefault="005B6338" w:rsidP="00685757">
      <w:pPr>
        <w:pStyle w:val="Answer-Testimony"/>
      </w:pPr>
      <w:r>
        <w:tab/>
      </w:r>
      <w:r>
        <w:tab/>
      </w:r>
      <w:r w:rsidR="00EA7E99">
        <w:t>In addition,</w:t>
      </w:r>
      <w:r w:rsidR="00EF77F7">
        <w:t xml:space="preserve"> </w:t>
      </w:r>
      <w:r w:rsidR="00BB63B0" w:rsidRPr="00BB4632">
        <w:t xml:space="preserve">Customer </w:t>
      </w:r>
      <w:proofErr w:type="spellStart"/>
      <w:r w:rsidR="00BB63B0" w:rsidRPr="00BB4632">
        <w:t>9</w:t>
      </w:r>
      <w:r>
        <w:t>’s</w:t>
      </w:r>
      <w:proofErr w:type="spellEnd"/>
      <w:r>
        <w:t xml:space="preserve"> usage</w:t>
      </w:r>
      <w:r w:rsidR="00BB63B0" w:rsidRPr="00BB4632">
        <w:t xml:space="preserve"> equaled approximately half of the load for </w:t>
      </w:r>
      <w:r w:rsidR="00EA7E99">
        <w:t>S</w:t>
      </w:r>
      <w:r w:rsidR="00BB63B0" w:rsidRPr="00BB4632">
        <w:t>chedule</w:t>
      </w:r>
      <w:r w:rsidR="00EA7E99">
        <w:t xml:space="preserve"> 25,</w:t>
      </w:r>
      <w:r w:rsidR="00BB63B0" w:rsidRPr="00BB4632">
        <w:t xml:space="preserve"> and </w:t>
      </w:r>
      <w:r w:rsidR="00EA7E99">
        <w:t xml:space="preserve">accounted for </w:t>
      </w:r>
      <w:r w:rsidR="00BB63B0" w:rsidRPr="00BB4632">
        <w:t xml:space="preserve">roughly 40 percent of the demand for </w:t>
      </w:r>
      <w:r w:rsidR="00EA7E99">
        <w:t>that s</w:t>
      </w:r>
      <w:r w:rsidR="00BB63B0" w:rsidRPr="00BB4632">
        <w:t xml:space="preserve">chedule.  </w:t>
      </w:r>
      <w:r w:rsidR="00EA7E99">
        <w:t>T</w:t>
      </w:r>
      <w:r w:rsidR="009E0C6B" w:rsidRPr="00BB4632">
        <w:t>he peak demand for Customer 9 was seven times greater than the average demand peak</w:t>
      </w:r>
      <w:r w:rsidR="00EF77F7">
        <w:t xml:space="preserve"> within the test year</w:t>
      </w:r>
      <w:r w:rsidR="009E0C6B" w:rsidRPr="00BB4632">
        <w:t>; the closes</w:t>
      </w:r>
      <w:r w:rsidR="002171FB" w:rsidRPr="00BB4632">
        <w:t>t</w:t>
      </w:r>
      <w:r w:rsidR="009E0C6B" w:rsidRPr="00BB4632">
        <w:t xml:space="preserve"> customer was only twice the average demand peak.</w:t>
      </w:r>
    </w:p>
    <w:p w14:paraId="3C1DBB7D" w14:textId="77777777" w:rsidR="002171FB" w:rsidRPr="00BB4632" w:rsidRDefault="002171FB" w:rsidP="00BB4632">
      <w:pPr>
        <w:pStyle w:val="Answer-Testimony"/>
      </w:pPr>
      <w:r w:rsidRPr="00BB4632">
        <w:lastRenderedPageBreak/>
        <w:tab/>
      </w:r>
      <w:r w:rsidRPr="00BB4632">
        <w:tab/>
      </w:r>
      <w:r w:rsidR="00EA7E99">
        <w:t xml:space="preserve">Also, because </w:t>
      </w:r>
      <w:r w:rsidR="00BB63B0" w:rsidRPr="00BB4632">
        <w:t>the Company was proposing a specific decoupling mechanism for Schedule 25</w:t>
      </w:r>
      <w:r w:rsidR="00EA7E99">
        <w:t>,</w:t>
      </w:r>
      <w:r w:rsidR="009E0C6B" w:rsidRPr="00BB4632">
        <w:rPr>
          <w:rStyle w:val="FootnoteReference"/>
        </w:rPr>
        <w:footnoteReference w:id="6"/>
      </w:r>
      <w:r w:rsidR="007C3314">
        <w:t xml:space="preserve"> it would be unreasonable or unfair to decouple Schedule 25 without recognizing the discrepancy in usage and costs to serve Customer 9 compared to the remaining Schedule 25 customers.</w:t>
      </w:r>
    </w:p>
    <w:p w14:paraId="3C1DBB7E" w14:textId="77777777" w:rsidR="00685757" w:rsidRPr="00BB4632" w:rsidRDefault="00841B77" w:rsidP="00BB63B0">
      <w:pPr>
        <w:pStyle w:val="Answer-Testimony"/>
        <w:ind w:firstLine="720"/>
      </w:pPr>
      <w:r>
        <w:t>For these reasons, it makes sense to create Schedule 26</w:t>
      </w:r>
      <w:r w:rsidR="00A0535E">
        <w:t xml:space="preserve"> for ultra large usage customers</w:t>
      </w:r>
      <w:r>
        <w:t xml:space="preserve"> and </w:t>
      </w:r>
      <w:r w:rsidR="00A0535E">
        <w:t>start allocating costs and designing rates based on those characteristics.</w:t>
      </w:r>
    </w:p>
    <w:p w14:paraId="3C1DBB7F" w14:textId="77777777" w:rsidR="00685757" w:rsidRPr="0069535A" w:rsidRDefault="00685757" w:rsidP="00685757">
      <w:pPr>
        <w:pStyle w:val="Answer-Testimony"/>
      </w:pPr>
    </w:p>
    <w:p w14:paraId="3C1DBB80" w14:textId="77777777" w:rsidR="00980C24" w:rsidRPr="007E50F7" w:rsidRDefault="002666B2" w:rsidP="00B73116">
      <w:pPr>
        <w:pStyle w:val="Heading3"/>
      </w:pPr>
      <w:bookmarkStart w:id="11" w:name="_Toc391992034"/>
      <w:bookmarkStart w:id="12" w:name="_Toc393696917"/>
      <w:r>
        <w:t xml:space="preserve">Electric </w:t>
      </w:r>
      <w:r w:rsidR="0069535A">
        <w:t xml:space="preserve">Cost </w:t>
      </w:r>
      <w:r w:rsidR="00577DA8">
        <w:t xml:space="preserve">Classifications and </w:t>
      </w:r>
      <w:r w:rsidR="0069535A">
        <w:t>Allocation</w:t>
      </w:r>
      <w:r w:rsidR="00A70CE3">
        <w:t>s</w:t>
      </w:r>
      <w:bookmarkEnd w:id="11"/>
      <w:bookmarkEnd w:id="12"/>
    </w:p>
    <w:p w14:paraId="3C1DBB81" w14:textId="77777777" w:rsidR="00577DA8" w:rsidRPr="008E23B2" w:rsidRDefault="00577DA8" w:rsidP="00577DA8">
      <w:pPr>
        <w:pStyle w:val="Answer-Testimony"/>
      </w:pPr>
    </w:p>
    <w:p w14:paraId="3C1DBB82" w14:textId="77777777" w:rsidR="00577DA8" w:rsidRPr="00C70C7C" w:rsidRDefault="00577DA8" w:rsidP="00577DA8">
      <w:pPr>
        <w:pStyle w:val="Question-Testimony"/>
      </w:pPr>
      <w:r w:rsidRPr="00C70C7C">
        <w:t>Q.</w:t>
      </w:r>
      <w:r w:rsidRPr="00C70C7C">
        <w:tab/>
      </w:r>
      <w:r>
        <w:t>Did Staff conduct a systematic review of the Company’s electric cost of service study</w:t>
      </w:r>
      <w:r w:rsidRPr="00C70C7C">
        <w:t xml:space="preserve"> for </w:t>
      </w:r>
      <w:r w:rsidR="003B3D8E">
        <w:t xml:space="preserve">classifying and </w:t>
      </w:r>
      <w:r w:rsidRPr="00C70C7C">
        <w:t>allocating plant and expenses?</w:t>
      </w:r>
    </w:p>
    <w:p w14:paraId="3C1DBB83" w14:textId="77777777" w:rsidR="00577DA8" w:rsidRDefault="00577DA8" w:rsidP="00577DA8">
      <w:pPr>
        <w:pStyle w:val="Answer-Testimony"/>
      </w:pPr>
      <w:r w:rsidRPr="00C70C7C">
        <w:t>A.</w:t>
      </w:r>
      <w:r w:rsidRPr="00C70C7C">
        <w:tab/>
      </w:r>
      <w:r>
        <w:t>Yes.  In addition to Staff’s own research and review, Staff met with Avista’s cost of service experts and conducted a detailed review of the Company’s cost of service study to analyze the functionalization, classification, and allocation for each FERC account.</w:t>
      </w:r>
    </w:p>
    <w:p w14:paraId="3C1DBB84" w14:textId="77777777" w:rsidR="00577DA8" w:rsidRDefault="00577DA8" w:rsidP="00577DA8">
      <w:pPr>
        <w:pStyle w:val="Answer-Testimony"/>
      </w:pPr>
    </w:p>
    <w:p w14:paraId="3C1DBB85" w14:textId="77777777" w:rsidR="00577DA8" w:rsidRPr="00630CA8" w:rsidRDefault="00577DA8" w:rsidP="00577DA8">
      <w:pPr>
        <w:pStyle w:val="Answer-Testimony"/>
        <w:rPr>
          <w:b/>
        </w:rPr>
      </w:pPr>
      <w:r>
        <w:rPr>
          <w:b/>
        </w:rPr>
        <w:t>Q.</w:t>
      </w:r>
      <w:r>
        <w:rPr>
          <w:b/>
        </w:rPr>
        <w:tab/>
        <w:t>What is the result of Staff’s systematic review?</w:t>
      </w:r>
    </w:p>
    <w:p w14:paraId="3C1DBB86" w14:textId="77777777" w:rsidR="00577DA8" w:rsidRDefault="00577DA8" w:rsidP="00577DA8">
      <w:pPr>
        <w:pStyle w:val="Answer-Testimony"/>
      </w:pPr>
      <w:r>
        <w:t>A.</w:t>
      </w:r>
      <w:r>
        <w:tab/>
        <w:t xml:space="preserve">The result is that Staff made many adjustments, both major and minor, to the Company’s electric cost of service study, as shown by FERC account, in my Exhibit No. </w:t>
      </w:r>
      <w:r w:rsidR="001A57FE">
        <w:t>___ (</w:t>
      </w:r>
      <w:proofErr w:type="spellStart"/>
      <w:r>
        <w:t>CTM</w:t>
      </w:r>
      <w:proofErr w:type="spellEnd"/>
      <w:r>
        <w:t>-</w:t>
      </w:r>
      <w:r w:rsidR="00400EDE">
        <w:t>4</w:t>
      </w:r>
      <w:r w:rsidR="001A57FE">
        <w:t>)</w:t>
      </w:r>
      <w:r>
        <w:t>.</w:t>
      </w:r>
    </w:p>
    <w:p w14:paraId="3C1DBB87" w14:textId="77777777" w:rsidR="00400EDE" w:rsidRDefault="00400EDE" w:rsidP="00577DA8">
      <w:pPr>
        <w:pStyle w:val="Answer-Testimony"/>
      </w:pPr>
    </w:p>
    <w:p w14:paraId="3C1DBB88" w14:textId="77777777" w:rsidR="00400EDE" w:rsidRPr="00C70C7C" w:rsidRDefault="00400EDE" w:rsidP="00400EDE">
      <w:pPr>
        <w:pStyle w:val="Question-Testimony"/>
      </w:pPr>
      <w:r w:rsidRPr="00C70C7C">
        <w:lastRenderedPageBreak/>
        <w:t>Q.</w:t>
      </w:r>
      <w:r w:rsidRPr="00C70C7C">
        <w:tab/>
      </w:r>
      <w:r>
        <w:t>Are there other reasons why the Commission should take a “hard look” at the cost of service study issues in this case?</w:t>
      </w:r>
    </w:p>
    <w:p w14:paraId="3C1DBB89" w14:textId="77777777" w:rsidR="00400EDE" w:rsidRDefault="00400EDE" w:rsidP="00400EDE">
      <w:pPr>
        <w:pStyle w:val="Answer-Testimony"/>
      </w:pPr>
      <w:r w:rsidRPr="00C70C7C">
        <w:t>A.</w:t>
      </w:r>
      <w:r w:rsidRPr="00C70C7C">
        <w:tab/>
      </w:r>
      <w:r>
        <w:t>Yes.  First, the Company is proposing a decoupling mechanism, which recovers fixed costs on a revenue per customer basis.  Therefore, before decoupling, it is appropriate to conduct a systematic review of the entire cost of service study by FERC account, to verify whether the basic principles for functionalization, classification, and allocation are still fair and reasonable</w:t>
      </w:r>
      <w:r w:rsidR="00AB4B86">
        <w:t xml:space="preserve">; and to </w:t>
      </w:r>
      <w:r w:rsidR="00AB4B86" w:rsidRPr="006256A4">
        <w:t xml:space="preserve">propose a rate spread that is consistent with </w:t>
      </w:r>
      <w:r w:rsidR="00AB4B86">
        <w:t xml:space="preserve">the </w:t>
      </w:r>
      <w:r w:rsidR="00AB4B86" w:rsidRPr="006256A4">
        <w:t>cost of service study results and principles of cost causation</w:t>
      </w:r>
      <w:r>
        <w:t>.</w:t>
      </w:r>
      <w:r w:rsidR="008B5E09">
        <w:t xml:space="preserve">  This assures that each customer class receives a fair share of fixed cost responsibilities.</w:t>
      </w:r>
    </w:p>
    <w:p w14:paraId="3C1DBB8A" w14:textId="77777777" w:rsidR="00400EDE" w:rsidRDefault="00400EDE" w:rsidP="00400EDE">
      <w:pPr>
        <w:pStyle w:val="Answer-Testimony"/>
        <w:ind w:firstLine="720"/>
      </w:pPr>
      <w:r>
        <w:t xml:space="preserve">Second, while the industry is changing, the Commission has not conducted a thorough review of </w:t>
      </w:r>
      <w:r w:rsidR="008B5E09">
        <w:t xml:space="preserve">Avista’s </w:t>
      </w:r>
      <w:r>
        <w:t xml:space="preserve">cost of service studies since the early </w:t>
      </w:r>
      <w:proofErr w:type="spellStart"/>
      <w:r>
        <w:t>1990s</w:t>
      </w:r>
      <w:proofErr w:type="spellEnd"/>
      <w:r>
        <w:t>.</w:t>
      </w:r>
      <w:r>
        <w:rPr>
          <w:rStyle w:val="FootnoteReference"/>
        </w:rPr>
        <w:footnoteReference w:id="7"/>
      </w:r>
      <w:r>
        <w:t xml:space="preserve">  </w:t>
      </w:r>
      <w:r w:rsidR="008B5E09">
        <w:t xml:space="preserve">Since that time, Avista has had </w:t>
      </w:r>
      <w:r>
        <w:t>a growing amount of new renewable resource and non-</w:t>
      </w:r>
      <w:proofErr w:type="spellStart"/>
      <w:r>
        <w:t>dispatchable</w:t>
      </w:r>
      <w:proofErr w:type="spellEnd"/>
      <w:r>
        <w:t xml:space="preserve"> resources. It is appropriate for the Commission to determine the proper cost of service methods </w:t>
      </w:r>
      <w:r w:rsidR="001A57FE">
        <w:t xml:space="preserve">under </w:t>
      </w:r>
      <w:r>
        <w:t>the current regulatory environment.</w:t>
      </w:r>
    </w:p>
    <w:p w14:paraId="3C1DBB8B" w14:textId="77777777" w:rsidR="00577DA8" w:rsidRPr="00C23D9E" w:rsidRDefault="00577DA8" w:rsidP="00577DA8">
      <w:pPr>
        <w:pStyle w:val="Question-Testimony"/>
        <w:ind w:left="0" w:firstLine="0"/>
      </w:pPr>
    </w:p>
    <w:p w14:paraId="3C1DBB8C" w14:textId="77777777" w:rsidR="00577DA8" w:rsidRPr="00C23D9E" w:rsidRDefault="00577DA8" w:rsidP="00577DA8">
      <w:pPr>
        <w:pStyle w:val="Question-Testimony"/>
      </w:pPr>
      <w:r w:rsidRPr="00C23D9E">
        <w:t>Q.</w:t>
      </w:r>
      <w:r w:rsidRPr="00C23D9E">
        <w:tab/>
        <w:t>What minor adjustments did Staff make to the cost of service study for allocating plant and expenses?</w:t>
      </w:r>
    </w:p>
    <w:p w14:paraId="3C1DBB8D" w14:textId="77777777" w:rsidR="00577DA8" w:rsidRPr="00C23D9E" w:rsidRDefault="00577DA8" w:rsidP="00577DA8">
      <w:pPr>
        <w:pStyle w:val="Answer-Testimony"/>
      </w:pPr>
      <w:r w:rsidRPr="00C23D9E">
        <w:t>A.</w:t>
      </w:r>
      <w:r w:rsidRPr="00C23D9E">
        <w:tab/>
        <w:t xml:space="preserve">There were several minor adjustments, which had minimal impact on assigning costs, but </w:t>
      </w:r>
      <w:r>
        <w:t xml:space="preserve">these adjustments were made </w:t>
      </w:r>
      <w:r w:rsidRPr="00C23D9E">
        <w:t>based on principles and common sense</w:t>
      </w:r>
      <w:r w:rsidR="001A57FE">
        <w:t xml:space="preserve">.  Each of these adjustments </w:t>
      </w:r>
      <w:r w:rsidR="00AB4B86">
        <w:t xml:space="preserve">are reflected in </w:t>
      </w:r>
      <w:r w:rsidR="001A57FE">
        <w:t>Exhibit No. ___ (</w:t>
      </w:r>
      <w:proofErr w:type="spellStart"/>
      <w:r w:rsidR="001A57FE">
        <w:t>CTM</w:t>
      </w:r>
      <w:proofErr w:type="spellEnd"/>
      <w:r w:rsidR="00AB4B86">
        <w:t>-4</w:t>
      </w:r>
      <w:r w:rsidR="001A57FE">
        <w:t>)</w:t>
      </w:r>
      <w:r w:rsidR="00A670D4">
        <w:t>.</w:t>
      </w:r>
      <w:r w:rsidRPr="00C23D9E">
        <w:t xml:space="preserve">  For example</w:t>
      </w:r>
      <w:r>
        <w:t xml:space="preserve">, the Company’s study assigned meter reading expense to </w:t>
      </w:r>
      <w:r w:rsidRPr="00C23D9E">
        <w:t>street light</w:t>
      </w:r>
      <w:r>
        <w:t xml:space="preserve">ing service, </w:t>
      </w:r>
      <w:r>
        <w:lastRenderedPageBreak/>
        <w:t xml:space="preserve">though </w:t>
      </w:r>
      <w:r w:rsidRPr="00C23D9E">
        <w:t xml:space="preserve">street lights </w:t>
      </w:r>
      <w:r>
        <w:t>are not metered</w:t>
      </w:r>
      <w:r w:rsidR="00D02B6B">
        <w:t>.</w:t>
      </w:r>
      <w:r>
        <w:t xml:space="preserve">  Street lights are billed based on the number of </w:t>
      </w:r>
      <w:r w:rsidRPr="00C23D9E">
        <w:t xml:space="preserve">bulbs </w:t>
      </w:r>
      <w:r>
        <w:t xml:space="preserve">or </w:t>
      </w:r>
      <w:r w:rsidRPr="00C23D9E">
        <w:t>poles</w:t>
      </w:r>
      <w:r>
        <w:t xml:space="preserve"> involved.</w:t>
      </w:r>
      <w:r w:rsidR="001A57FE">
        <w:t xml:space="preserve">  Though this is a minor adjustment, in my study, I assign no meter reading costs to street lighting services.</w:t>
      </w:r>
    </w:p>
    <w:p w14:paraId="3C1DBB8E" w14:textId="77777777" w:rsidR="00577DA8" w:rsidRPr="00C23D9E" w:rsidRDefault="00577DA8" w:rsidP="00577DA8">
      <w:pPr>
        <w:pStyle w:val="Question-Testimony"/>
        <w:ind w:left="0" w:firstLine="0"/>
      </w:pPr>
    </w:p>
    <w:p w14:paraId="3C1DBB8F" w14:textId="77777777" w:rsidR="00577DA8" w:rsidRPr="00C70C7C" w:rsidRDefault="00577DA8" w:rsidP="00577DA8">
      <w:pPr>
        <w:pStyle w:val="Question-Testimony"/>
      </w:pPr>
      <w:r w:rsidRPr="00FB573E">
        <w:t>Q.</w:t>
      </w:r>
      <w:r w:rsidRPr="00FB573E">
        <w:tab/>
        <w:t xml:space="preserve">What major adjustments did Staff make to the cost of service study for </w:t>
      </w:r>
      <w:r w:rsidRPr="00C70C7C">
        <w:t>allocating plant and expenses?</w:t>
      </w:r>
    </w:p>
    <w:p w14:paraId="3C1DBB90" w14:textId="77777777" w:rsidR="0000399E" w:rsidRDefault="00577DA8" w:rsidP="00577DA8">
      <w:pPr>
        <w:pStyle w:val="Answer-Testimony"/>
      </w:pPr>
      <w:r w:rsidRPr="00C70C7C">
        <w:t>A.</w:t>
      </w:r>
      <w:r w:rsidRPr="00C70C7C">
        <w:tab/>
      </w:r>
      <w:r>
        <w:t xml:space="preserve">Staff made </w:t>
      </w:r>
      <w:r w:rsidR="00D456C5">
        <w:t>three</w:t>
      </w:r>
      <w:r>
        <w:t xml:space="preserve"> major adjustments to the Company’s electric cost of service study for </w:t>
      </w:r>
      <w:r w:rsidR="0000399E">
        <w:t xml:space="preserve">classifying and </w:t>
      </w:r>
      <w:r>
        <w:t>allocating plant and expenses:</w:t>
      </w:r>
      <w:r w:rsidR="0000399E">
        <w:t xml:space="preserve"> (1) general plant</w:t>
      </w:r>
      <w:r w:rsidR="003D21B4">
        <w:t xml:space="preserve"> costs</w:t>
      </w:r>
      <w:r w:rsidR="0000399E">
        <w:t xml:space="preserve"> and administrative and general (“</w:t>
      </w:r>
      <w:proofErr w:type="spellStart"/>
      <w:r w:rsidR="0000399E">
        <w:t>A&amp;G</w:t>
      </w:r>
      <w:proofErr w:type="spellEnd"/>
      <w:r w:rsidR="0000399E">
        <w:t>”) expenses; (2) production costs;</w:t>
      </w:r>
      <w:r w:rsidR="00D456C5">
        <w:t xml:space="preserve"> (3) transmission costs</w:t>
      </w:r>
      <w:r w:rsidR="00BD558A">
        <w:t>; and (4) wind</w:t>
      </w:r>
      <w:r w:rsidR="00D456C5">
        <w:t xml:space="preserve"> costs</w:t>
      </w:r>
      <w:r w:rsidR="0064750B">
        <w:t>.</w:t>
      </w:r>
    </w:p>
    <w:p w14:paraId="3C1DBB91" w14:textId="77777777" w:rsidR="0000399E" w:rsidRDefault="00577DA8" w:rsidP="0000399E">
      <w:pPr>
        <w:pStyle w:val="Answer-Testimony"/>
        <w:ind w:firstLine="720"/>
      </w:pPr>
      <w:r>
        <w:t xml:space="preserve">For both </w:t>
      </w:r>
      <w:r w:rsidR="006B57E2">
        <w:t xml:space="preserve">general plant costs and </w:t>
      </w:r>
      <w:proofErr w:type="spellStart"/>
      <w:r>
        <w:t>A&amp;G</w:t>
      </w:r>
      <w:proofErr w:type="spellEnd"/>
      <w:r>
        <w:t xml:space="preserve"> expenses, Staff used the Company’s blended 4-part factor allocator </w:t>
      </w:r>
      <w:r w:rsidRPr="00910CF4">
        <w:t>(“4-</w:t>
      </w:r>
      <w:r>
        <w:t>f</w:t>
      </w:r>
      <w:r w:rsidRPr="00910CF4">
        <w:t>actor”)</w:t>
      </w:r>
      <w:r w:rsidR="0000399E">
        <w:t>.</w:t>
      </w:r>
      <w:r>
        <w:t xml:space="preserve"> </w:t>
      </w:r>
      <w:r w:rsidR="0000399E">
        <w:t xml:space="preserve"> </w:t>
      </w:r>
      <w:r>
        <w:t>Staff use</w:t>
      </w:r>
      <w:r w:rsidR="008B5E09">
        <w:t>d</w:t>
      </w:r>
      <w:r w:rsidR="001A57FE">
        <w:t xml:space="preserve"> the </w:t>
      </w:r>
      <w:r>
        <w:t xml:space="preserve">average and excess </w:t>
      </w:r>
      <w:r w:rsidRPr="00D84B51">
        <w:t>demand</w:t>
      </w:r>
      <w:r>
        <w:t xml:space="preserve"> method</w:t>
      </w:r>
      <w:r w:rsidR="001A57FE">
        <w:t>,</w:t>
      </w:r>
      <w:r>
        <w:t xml:space="preserve"> with the excess allocated on the basis of non-coincident peak demand</w:t>
      </w:r>
      <w:r w:rsidRPr="00976A48">
        <w:t xml:space="preserve"> </w:t>
      </w:r>
      <w:r w:rsidRPr="00910CF4">
        <w:t xml:space="preserve">for </w:t>
      </w:r>
      <w:r>
        <w:t>production costs</w:t>
      </w:r>
      <w:r w:rsidR="0000399E">
        <w:t xml:space="preserve">.  For transmission costs, </w:t>
      </w:r>
      <w:r w:rsidRPr="00D84B51">
        <w:t xml:space="preserve">Staff used </w:t>
      </w:r>
      <w:r w:rsidRPr="00503B77">
        <w:t>12</w:t>
      </w:r>
      <w:r w:rsidR="001909BE">
        <w:t>-</w:t>
      </w:r>
      <w:r w:rsidRPr="00503B77">
        <w:t xml:space="preserve">coincidental peak </w:t>
      </w:r>
      <w:r w:rsidRPr="00B1527F">
        <w:t>and average methodology</w:t>
      </w:r>
      <w:r w:rsidRPr="00D84B51">
        <w:t>.</w:t>
      </w:r>
      <w:r w:rsidR="00BD558A">
        <w:t xml:space="preserve">  For wind costs, Staff used 100 percent generating level consumption.</w:t>
      </w:r>
    </w:p>
    <w:p w14:paraId="3C1DBB92" w14:textId="77777777" w:rsidR="0000399E" w:rsidRDefault="0000399E" w:rsidP="0064750B">
      <w:pPr>
        <w:pStyle w:val="Answer-Testimony"/>
      </w:pPr>
    </w:p>
    <w:p w14:paraId="3C1DBB93" w14:textId="77777777" w:rsidR="008B7F26" w:rsidRPr="007E50F7" w:rsidRDefault="006511E4" w:rsidP="00A670D4">
      <w:pPr>
        <w:pStyle w:val="Heading6"/>
      </w:pPr>
      <w:bookmarkStart w:id="13" w:name="_Toc335665565"/>
      <w:bookmarkStart w:id="14" w:name="_Toc391992035"/>
      <w:bookmarkStart w:id="15" w:name="_Toc393696918"/>
      <w:r>
        <w:t xml:space="preserve">Classification and </w:t>
      </w:r>
      <w:r w:rsidR="003D5017">
        <w:t xml:space="preserve">Allocation of </w:t>
      </w:r>
      <w:r w:rsidR="00EA6420">
        <w:t xml:space="preserve">General Plant Costs and </w:t>
      </w:r>
      <w:r w:rsidR="003D5017">
        <w:t>Administrative and General Expenses</w:t>
      </w:r>
      <w:bookmarkEnd w:id="13"/>
      <w:bookmarkEnd w:id="14"/>
      <w:bookmarkEnd w:id="15"/>
    </w:p>
    <w:p w14:paraId="3C1DBB94" w14:textId="77777777" w:rsidR="001909BE" w:rsidRDefault="001909BE" w:rsidP="001909BE">
      <w:pPr>
        <w:pStyle w:val="Answer-Testimony"/>
      </w:pPr>
    </w:p>
    <w:p w14:paraId="3C1DBB95" w14:textId="77777777" w:rsidR="001909BE" w:rsidRPr="001C1A34" w:rsidRDefault="001909BE" w:rsidP="001909BE">
      <w:pPr>
        <w:pStyle w:val="Question-Testimony"/>
      </w:pPr>
      <w:r w:rsidRPr="001C1A34">
        <w:t>Q.</w:t>
      </w:r>
      <w:r w:rsidRPr="001C1A34">
        <w:tab/>
      </w:r>
      <w:r>
        <w:t xml:space="preserve">What are the </w:t>
      </w:r>
      <w:r w:rsidRPr="001C1A34">
        <w:t>component</w:t>
      </w:r>
      <w:r>
        <w:t xml:space="preserve">s of the Company’s </w:t>
      </w:r>
      <w:r w:rsidRPr="001C1A34">
        <w:t>4-</w:t>
      </w:r>
      <w:r>
        <w:t>fa</w:t>
      </w:r>
      <w:r w:rsidRPr="001C1A34">
        <w:t>ctor</w:t>
      </w:r>
      <w:r>
        <w:t xml:space="preserve"> you used in this case?</w:t>
      </w:r>
    </w:p>
    <w:p w14:paraId="3C1DBB96" w14:textId="77777777" w:rsidR="001909BE" w:rsidRPr="001C1A34" w:rsidRDefault="001909BE" w:rsidP="001909BE">
      <w:pPr>
        <w:pStyle w:val="Answer-Testimony"/>
      </w:pPr>
      <w:r w:rsidRPr="001C1A34">
        <w:t>A.</w:t>
      </w:r>
      <w:r w:rsidRPr="001C1A34">
        <w:tab/>
      </w:r>
      <w:r>
        <w:t xml:space="preserve">The </w:t>
      </w:r>
      <w:r w:rsidRPr="001C1A34">
        <w:t xml:space="preserve">Company’s 4-factor weights equally the following </w:t>
      </w:r>
      <w:r>
        <w:t>components</w:t>
      </w:r>
      <w:r w:rsidRPr="001C1A34">
        <w:t>:</w:t>
      </w:r>
    </w:p>
    <w:p w14:paraId="3C1DBB97" w14:textId="77777777" w:rsidR="001909BE" w:rsidRDefault="001909BE" w:rsidP="001909BE">
      <w:pPr>
        <w:pStyle w:val="Answer-Testimony"/>
        <w:numPr>
          <w:ilvl w:val="0"/>
          <w:numId w:val="12"/>
        </w:numPr>
      </w:pPr>
      <w:r>
        <w:t>Customer count.</w:t>
      </w:r>
    </w:p>
    <w:p w14:paraId="3C1DBB98" w14:textId="77777777" w:rsidR="001909BE" w:rsidRDefault="001909BE" w:rsidP="001909BE">
      <w:pPr>
        <w:pStyle w:val="Answer-Testimony"/>
        <w:numPr>
          <w:ilvl w:val="0"/>
          <w:numId w:val="12"/>
        </w:numPr>
      </w:pPr>
      <w:r>
        <w:t>Direct labor to Operations and Maintenance (“</w:t>
      </w:r>
      <w:proofErr w:type="spellStart"/>
      <w:r>
        <w:t>O&amp;M</w:t>
      </w:r>
      <w:proofErr w:type="spellEnd"/>
      <w:r>
        <w:t>”).</w:t>
      </w:r>
    </w:p>
    <w:p w14:paraId="3C1DBB99" w14:textId="77777777" w:rsidR="001909BE" w:rsidRDefault="001909BE" w:rsidP="001909BE">
      <w:pPr>
        <w:pStyle w:val="Answer-Testimony"/>
        <w:numPr>
          <w:ilvl w:val="0"/>
          <w:numId w:val="12"/>
        </w:numPr>
      </w:pPr>
      <w:proofErr w:type="spellStart"/>
      <w:r>
        <w:lastRenderedPageBreak/>
        <w:t>O&amp;M</w:t>
      </w:r>
      <w:proofErr w:type="spellEnd"/>
      <w:r>
        <w:t xml:space="preserve"> expense directly charged to transmission and distribution (less labor).</w:t>
      </w:r>
    </w:p>
    <w:p w14:paraId="3C1DBB9A" w14:textId="77777777" w:rsidR="001909BE" w:rsidRDefault="001909BE" w:rsidP="001909BE">
      <w:pPr>
        <w:pStyle w:val="Answer-Testimony"/>
        <w:numPr>
          <w:ilvl w:val="0"/>
          <w:numId w:val="12"/>
        </w:numPr>
      </w:pPr>
      <w:r>
        <w:t>Directly assigned net plant.</w:t>
      </w:r>
    </w:p>
    <w:p w14:paraId="3C1DBB9B" w14:textId="77777777" w:rsidR="005435C7" w:rsidRDefault="005435C7" w:rsidP="005435C7">
      <w:pPr>
        <w:pStyle w:val="Question-Testimony"/>
        <w:ind w:left="0" w:firstLine="0"/>
      </w:pPr>
    </w:p>
    <w:p w14:paraId="3C1DBB9C" w14:textId="77777777" w:rsidR="00AE1B58" w:rsidRPr="00A72162" w:rsidRDefault="00AE1B58" w:rsidP="00AE1B58">
      <w:pPr>
        <w:pStyle w:val="Question-Testimony"/>
      </w:pPr>
      <w:r w:rsidRPr="00A72162">
        <w:t>Q.</w:t>
      </w:r>
      <w:r w:rsidRPr="00A72162">
        <w:tab/>
        <w:t xml:space="preserve">Please explain </w:t>
      </w:r>
      <w:r>
        <w:t>how Staff used the 4-factor in the electric cost of service study.</w:t>
      </w:r>
    </w:p>
    <w:p w14:paraId="3C1DBB9D" w14:textId="77777777" w:rsidR="00AE1B58" w:rsidRDefault="00AE1B58" w:rsidP="00AE1B58">
      <w:pPr>
        <w:pStyle w:val="Answer-Testimony"/>
      </w:pPr>
      <w:r w:rsidRPr="00A72162">
        <w:t>A.</w:t>
      </w:r>
      <w:r w:rsidRPr="00A72162">
        <w:tab/>
      </w:r>
      <w:r>
        <w:t>Currently, the Company uses the 4-factor to allocate common operating costs and plant between states (Washington, Idaho, and Oregon) and among services (electric and natural gas).</w:t>
      </w:r>
      <w:r>
        <w:rPr>
          <w:rStyle w:val="FootnoteReference"/>
        </w:rPr>
        <w:footnoteReference w:id="8"/>
      </w:r>
      <w:r>
        <w:t xml:space="preserve">  Therefore, it made sense to continue using the 4-factor </w:t>
      </w:r>
      <w:r w:rsidR="00730B6F">
        <w:t>to allocate t</w:t>
      </w:r>
      <w:r>
        <w:t>o the class schedules because deviating from the 4-factor allocator</w:t>
      </w:r>
      <w:r w:rsidR="00730B6F">
        <w:t xml:space="preserve"> would have created inconsistent treatment of costs and plant compared to the Company</w:t>
      </w:r>
      <w:r w:rsidR="007F053E">
        <w:t>,</w:t>
      </w:r>
      <w:r w:rsidR="00730B6F">
        <w:t xml:space="preserve"> which allocated based on relative production, transmission, and distribution plant; or relative operating and maintenance expenses.</w:t>
      </w:r>
      <w:r w:rsidR="00730B6F">
        <w:rPr>
          <w:rStyle w:val="FootnoteReference"/>
        </w:rPr>
        <w:footnoteReference w:id="9"/>
      </w:r>
    </w:p>
    <w:p w14:paraId="3C1DBB9E" w14:textId="77777777" w:rsidR="00AE1B58" w:rsidRDefault="00AE1B58" w:rsidP="005435C7">
      <w:pPr>
        <w:pStyle w:val="Question-Testimony"/>
        <w:ind w:left="0" w:firstLine="0"/>
      </w:pPr>
    </w:p>
    <w:p w14:paraId="3C1DBB9F" w14:textId="77777777" w:rsidR="00B93E5B" w:rsidRDefault="00B93E5B" w:rsidP="00B1527F">
      <w:pPr>
        <w:pStyle w:val="Question-Testimony"/>
      </w:pPr>
      <w:r>
        <w:t>Q.</w:t>
      </w:r>
      <w:r>
        <w:tab/>
        <w:t xml:space="preserve">What items are found in </w:t>
      </w:r>
      <w:r w:rsidR="003854BF">
        <w:t xml:space="preserve">General Plant Costs and </w:t>
      </w:r>
      <w:proofErr w:type="spellStart"/>
      <w:r w:rsidR="003854BF">
        <w:t>A&amp;G</w:t>
      </w:r>
      <w:proofErr w:type="spellEnd"/>
      <w:r w:rsidR="003854BF">
        <w:t xml:space="preserve"> expenses</w:t>
      </w:r>
      <w:r>
        <w:t>?</w:t>
      </w:r>
    </w:p>
    <w:p w14:paraId="3C1DBBA0" w14:textId="77777777" w:rsidR="007844A9" w:rsidRPr="001909BE" w:rsidRDefault="00B93E5B" w:rsidP="007844A9">
      <w:pPr>
        <w:pStyle w:val="Answer-Testimony"/>
      </w:pPr>
      <w:r w:rsidRPr="001909BE">
        <w:t>A.</w:t>
      </w:r>
      <w:r w:rsidRPr="001909BE">
        <w:tab/>
      </w:r>
      <w:r w:rsidR="007844A9">
        <w:t>W</w:t>
      </w:r>
      <w:r w:rsidR="003854BF">
        <w:t xml:space="preserve">ithin general plant </w:t>
      </w:r>
      <w:r w:rsidR="007844A9">
        <w:t xml:space="preserve">are items such as structures and improvements, office furniture and equipment, tools, shop and garage equipment, laboratory equipment, and communication equipment.  </w:t>
      </w:r>
      <w:proofErr w:type="spellStart"/>
      <w:r w:rsidR="007844A9">
        <w:t>A&amp;G</w:t>
      </w:r>
      <w:proofErr w:type="spellEnd"/>
      <w:r w:rsidR="007844A9">
        <w:t xml:space="preserve"> expenses </w:t>
      </w:r>
      <w:r w:rsidR="001A57FE">
        <w:t xml:space="preserve">include </w:t>
      </w:r>
      <w:r w:rsidR="007844A9">
        <w:t xml:space="preserve">such items as </w:t>
      </w:r>
      <w:proofErr w:type="spellStart"/>
      <w:r w:rsidR="007844A9">
        <w:t>A&amp;G</w:t>
      </w:r>
      <w:proofErr w:type="spellEnd"/>
      <w:r w:rsidR="007844A9">
        <w:t xml:space="preserve"> salaries, office supplies and expenses, injuries and damages, employee pensions and benefits, general advertising expenses, and maintenance of general plant.</w:t>
      </w:r>
    </w:p>
    <w:p w14:paraId="3C1DBBA1" w14:textId="77777777" w:rsidR="00B93E5B" w:rsidRPr="001909BE" w:rsidRDefault="00B93E5B" w:rsidP="001909BE">
      <w:pPr>
        <w:pStyle w:val="Answer-Testimony"/>
      </w:pPr>
    </w:p>
    <w:p w14:paraId="3C1DBBA2" w14:textId="77777777" w:rsidR="00B93E5B" w:rsidRPr="00D04851" w:rsidRDefault="00B93E5B" w:rsidP="00A670D4">
      <w:pPr>
        <w:pStyle w:val="Question-Testimony"/>
        <w:keepNext/>
      </w:pPr>
      <w:r w:rsidRPr="00D04851">
        <w:lastRenderedPageBreak/>
        <w:t>Q.</w:t>
      </w:r>
      <w:r w:rsidRPr="00D04851">
        <w:tab/>
        <w:t xml:space="preserve">What </w:t>
      </w:r>
      <w:r w:rsidR="002A6B46">
        <w:t>is</w:t>
      </w:r>
      <w:r w:rsidRPr="00D04851">
        <w:t xml:space="preserve"> the </w:t>
      </w:r>
      <w:r w:rsidR="002A6B46">
        <w:t>benefit</w:t>
      </w:r>
      <w:r w:rsidRPr="00D04851">
        <w:t xml:space="preserve"> of </w:t>
      </w:r>
      <w:r w:rsidR="002A6B46">
        <w:t>the 4</w:t>
      </w:r>
      <w:r w:rsidRPr="00D04851">
        <w:t>-factor allocator?</w:t>
      </w:r>
    </w:p>
    <w:p w14:paraId="3C1DBBA3" w14:textId="77777777" w:rsidR="00091914" w:rsidRDefault="00B93E5B" w:rsidP="001909BE">
      <w:pPr>
        <w:pStyle w:val="Answer-Testimony"/>
      </w:pPr>
      <w:r>
        <w:t>A.</w:t>
      </w:r>
      <w:r>
        <w:tab/>
      </w:r>
      <w:r w:rsidR="005959AF">
        <w:t xml:space="preserve">The </w:t>
      </w:r>
      <w:r w:rsidR="002A6B46">
        <w:t>primary benefit of</w:t>
      </w:r>
      <w:r w:rsidR="005959AF">
        <w:t xml:space="preserve"> the 4-factor </w:t>
      </w:r>
      <w:r w:rsidR="002A6B46">
        <w:t>is</w:t>
      </w:r>
      <w:r w:rsidR="005959AF">
        <w:t xml:space="preserve"> to increase the accuracy of accounting records and allocation between jurisdictions and services.  The prior method allocated common costs and plant</w:t>
      </w:r>
      <w:r w:rsidR="00091914">
        <w:t xml:space="preserve"> based on number of customers</w:t>
      </w:r>
      <w:r w:rsidR="002A6B46">
        <w:t xml:space="preserve"> only</w:t>
      </w:r>
      <w:r w:rsidR="00091914">
        <w:t>.</w:t>
      </w:r>
    </w:p>
    <w:p w14:paraId="3C1DBBA4" w14:textId="77777777" w:rsidR="00B93E5B" w:rsidRPr="00532110" w:rsidRDefault="002A6B46" w:rsidP="00B15387">
      <w:pPr>
        <w:pStyle w:val="Answer-Testimony"/>
        <w:ind w:firstLine="720"/>
      </w:pPr>
      <w:r>
        <w:t>The 4-factor is a common way to allocate these types of costs and plant.</w:t>
      </w:r>
      <w:r w:rsidR="000B50B5">
        <w:t xml:space="preserve">  In addition, t</w:t>
      </w:r>
      <w:r w:rsidR="00532110">
        <w:t xml:space="preserve">he </w:t>
      </w:r>
      <w:r w:rsidR="001909BE" w:rsidRPr="00532110">
        <w:t>specific costs and plant items being allocated</w:t>
      </w:r>
      <w:r w:rsidR="00532110" w:rsidRPr="00532110">
        <w:t xml:space="preserve"> </w:t>
      </w:r>
      <w:r w:rsidR="001909BE" w:rsidRPr="00532110">
        <w:t>are recognized as s</w:t>
      </w:r>
      <w:r w:rsidR="001909BE" w:rsidRPr="00532110">
        <w:rPr>
          <w:rFonts w:eastAsia="SimSun"/>
        </w:rPr>
        <w:t>erving multiple functions</w:t>
      </w:r>
      <w:r w:rsidR="00013B45">
        <w:rPr>
          <w:rFonts w:eastAsia="SimSun"/>
        </w:rPr>
        <w:t>,</w:t>
      </w:r>
      <w:r w:rsidR="001909BE" w:rsidRPr="00532110">
        <w:rPr>
          <w:rFonts w:eastAsia="SimSun"/>
        </w:rPr>
        <w:t xml:space="preserve"> therefore</w:t>
      </w:r>
      <w:r w:rsidR="00013B45">
        <w:rPr>
          <w:rFonts w:eastAsia="SimSun"/>
        </w:rPr>
        <w:t>,</w:t>
      </w:r>
      <w:r w:rsidR="001909BE" w:rsidRPr="00532110">
        <w:rPr>
          <w:rFonts w:eastAsia="SimSun"/>
        </w:rPr>
        <w:t xml:space="preserve"> </w:t>
      </w:r>
      <w:r w:rsidR="001909BE" w:rsidRPr="00532110">
        <w:t>having mu</w:t>
      </w:r>
      <w:r w:rsidR="000B50B5">
        <w:t xml:space="preserve">ltiple </w:t>
      </w:r>
      <w:r w:rsidR="001909BE" w:rsidRPr="00532110">
        <w:t>components</w:t>
      </w:r>
      <w:r w:rsidR="000B50B5">
        <w:t xml:space="preserve"> to allocate is appropriate</w:t>
      </w:r>
      <w:r w:rsidR="001909BE" w:rsidRPr="00532110">
        <w:t>.</w:t>
      </w:r>
    </w:p>
    <w:p w14:paraId="3C1DBBA5" w14:textId="77777777" w:rsidR="00B93E5B" w:rsidRDefault="00CE44A6" w:rsidP="00091914">
      <w:pPr>
        <w:pStyle w:val="Answer-Testimony"/>
        <w:ind w:firstLine="720"/>
      </w:pPr>
      <w:r>
        <w:t>The current 4-factor allocation methodology was developed in a cost assignment study in March 1993</w:t>
      </w:r>
      <w:r w:rsidR="00F02E85">
        <w:t xml:space="preserve">, and approved by </w:t>
      </w:r>
      <w:r w:rsidR="005959AF">
        <w:t xml:space="preserve">the Commission through a </w:t>
      </w:r>
      <w:r w:rsidR="00F02E85">
        <w:t>letter</w:t>
      </w:r>
      <w:r w:rsidR="002A6B46">
        <w:t>.</w:t>
      </w:r>
      <w:r w:rsidR="00F02E85">
        <w:rPr>
          <w:rStyle w:val="FootnoteReference"/>
        </w:rPr>
        <w:footnoteReference w:id="10"/>
      </w:r>
      <w:r w:rsidR="00F02E85">
        <w:t xml:space="preserve"> </w:t>
      </w:r>
      <w:r w:rsidR="002A6B46">
        <w:t>Avista’s other</w:t>
      </w:r>
      <w:r>
        <w:t xml:space="preserve"> jurisdictions</w:t>
      </w:r>
      <w:r w:rsidR="005959AF">
        <w:t xml:space="preserve"> had</w:t>
      </w:r>
      <w:r w:rsidR="00091914">
        <w:t xml:space="preserve"> similar letters</w:t>
      </w:r>
      <w:r w:rsidR="005959AF">
        <w:t xml:space="preserve"> </w:t>
      </w:r>
      <w:r w:rsidR="00091914">
        <w:t>accepting t</w:t>
      </w:r>
      <w:r w:rsidR="005959AF">
        <w:t>he new methodology</w:t>
      </w:r>
      <w:r w:rsidR="002A6B46">
        <w:t>.</w:t>
      </w:r>
      <w:r w:rsidR="00B55D09">
        <w:rPr>
          <w:rStyle w:val="FootnoteReference"/>
        </w:rPr>
        <w:footnoteReference w:id="11"/>
      </w:r>
      <w:r w:rsidR="002A6B46">
        <w:t xml:space="preserve">  The Commission</w:t>
      </w:r>
      <w:r w:rsidR="002F1B1C">
        <w:t xml:space="preserve"> implemented </w:t>
      </w:r>
      <w:r w:rsidR="002A6B46">
        <w:t>the 4-factor</w:t>
      </w:r>
      <w:r w:rsidR="002F1B1C">
        <w:t xml:space="preserve"> in the following general rate case</w:t>
      </w:r>
      <w:r w:rsidR="00013B45">
        <w:t xml:space="preserve">, </w:t>
      </w:r>
      <w:r w:rsidR="002A6B46">
        <w:t>Docket</w:t>
      </w:r>
      <w:r w:rsidR="00B15387">
        <w:t>s,</w:t>
      </w:r>
      <w:r w:rsidR="002A6B46">
        <w:t xml:space="preserve"> </w:t>
      </w:r>
      <w:r w:rsidR="00215C53">
        <w:t>991606 and 991607</w:t>
      </w:r>
      <w:r>
        <w:t xml:space="preserve">.  This has </w:t>
      </w:r>
      <w:r w:rsidR="002F1B1C">
        <w:t xml:space="preserve">been reviewed in the past and </w:t>
      </w:r>
      <w:r w:rsidR="00526BE9">
        <w:t>it remains</w:t>
      </w:r>
      <w:r>
        <w:t xml:space="preserve"> a consistent and reasonable approach for allocating across the Company’s jurisdictions, and services, for common costs and common general plant.</w:t>
      </w:r>
    </w:p>
    <w:p w14:paraId="3C1DBBA6" w14:textId="77777777" w:rsidR="00B93E5B" w:rsidRPr="00532110" w:rsidRDefault="00B93E5B" w:rsidP="00532110">
      <w:pPr>
        <w:pStyle w:val="Answer-Testimony"/>
      </w:pPr>
    </w:p>
    <w:p w14:paraId="3C1DBBA7" w14:textId="77777777" w:rsidR="008B7F26" w:rsidRPr="007E50F7" w:rsidRDefault="006511E4" w:rsidP="00A670D4">
      <w:pPr>
        <w:pStyle w:val="Heading6"/>
      </w:pPr>
      <w:bookmarkStart w:id="16" w:name="_Toc391992036"/>
      <w:bookmarkStart w:id="17" w:name="_Toc393696919"/>
      <w:r>
        <w:t xml:space="preserve">Classification and </w:t>
      </w:r>
      <w:r w:rsidR="00EA6420">
        <w:t>A</w:t>
      </w:r>
      <w:r w:rsidR="003D5017">
        <w:t>llocat</w:t>
      </w:r>
      <w:r w:rsidR="00EA6420">
        <w:t xml:space="preserve">ion of </w:t>
      </w:r>
      <w:r w:rsidR="003D5017">
        <w:t>Production Costs</w:t>
      </w:r>
      <w:bookmarkEnd w:id="16"/>
      <w:bookmarkEnd w:id="17"/>
    </w:p>
    <w:p w14:paraId="3C1DBBA8" w14:textId="77777777" w:rsidR="00B93E5B" w:rsidRDefault="00B93E5B" w:rsidP="00D84B51">
      <w:pPr>
        <w:pStyle w:val="Question-Testimony"/>
      </w:pPr>
    </w:p>
    <w:p w14:paraId="3C1DBBA9" w14:textId="77777777" w:rsidR="00B93E5B" w:rsidRDefault="00B93E5B" w:rsidP="00D84B51">
      <w:pPr>
        <w:pStyle w:val="Question-Testimony"/>
      </w:pPr>
      <w:r>
        <w:t>Q.</w:t>
      </w:r>
      <w:r>
        <w:tab/>
        <w:t xml:space="preserve">Please explain </w:t>
      </w:r>
      <w:r w:rsidR="00DE1114">
        <w:t xml:space="preserve">the type of costs that </w:t>
      </w:r>
      <w:r>
        <w:t xml:space="preserve">are </w:t>
      </w:r>
      <w:r w:rsidR="00DE1114">
        <w:t>classified as Production Costs.</w:t>
      </w:r>
    </w:p>
    <w:p w14:paraId="3C1DBBAA" w14:textId="77777777" w:rsidR="001A57FE" w:rsidRDefault="00DE1114" w:rsidP="00AC552B">
      <w:pPr>
        <w:pStyle w:val="Question-Testimony"/>
        <w:spacing w:after="120"/>
        <w:rPr>
          <w:b w:val="0"/>
        </w:rPr>
      </w:pPr>
      <w:r>
        <w:rPr>
          <w:b w:val="0"/>
        </w:rPr>
        <w:t>A.</w:t>
      </w:r>
      <w:r>
        <w:rPr>
          <w:b w:val="0"/>
        </w:rPr>
        <w:tab/>
      </w:r>
      <w:r w:rsidR="001A57FE">
        <w:rPr>
          <w:b w:val="0"/>
        </w:rPr>
        <w:t>I follow the explanation used in t</w:t>
      </w:r>
      <w:r w:rsidR="006C5D64">
        <w:rPr>
          <w:b w:val="0"/>
        </w:rPr>
        <w:t xml:space="preserve">he </w:t>
      </w:r>
      <w:r w:rsidR="00B03096">
        <w:rPr>
          <w:b w:val="0"/>
        </w:rPr>
        <w:t xml:space="preserve">Electric Utility Cost Allocation Manual (January 1992) published by the </w:t>
      </w:r>
      <w:r w:rsidR="006C5D64">
        <w:rPr>
          <w:b w:val="0"/>
        </w:rPr>
        <w:t>National Association of Regulatory Utility Commissioners (“</w:t>
      </w:r>
      <w:proofErr w:type="spellStart"/>
      <w:r w:rsidR="006C5D64">
        <w:rPr>
          <w:b w:val="0"/>
        </w:rPr>
        <w:t>NARUC</w:t>
      </w:r>
      <w:proofErr w:type="spellEnd"/>
      <w:r w:rsidR="006C5D64">
        <w:rPr>
          <w:b w:val="0"/>
        </w:rPr>
        <w:t>”)</w:t>
      </w:r>
      <w:r w:rsidR="00526BE9">
        <w:rPr>
          <w:b w:val="0"/>
        </w:rPr>
        <w:t>:</w:t>
      </w:r>
    </w:p>
    <w:p w14:paraId="3C1DBBAB" w14:textId="77777777" w:rsidR="00DE1114" w:rsidRDefault="001A57FE" w:rsidP="00AC552B">
      <w:pPr>
        <w:pStyle w:val="Question-Testimony"/>
        <w:spacing w:after="120" w:line="240" w:lineRule="auto"/>
        <w:ind w:left="1440"/>
        <w:rPr>
          <w:b w:val="0"/>
        </w:rPr>
      </w:pPr>
      <w:r>
        <w:rPr>
          <w:b w:val="0"/>
        </w:rPr>
        <w:lastRenderedPageBreak/>
        <w:tab/>
      </w:r>
      <w:r w:rsidR="006C5D64">
        <w:rPr>
          <w:b w:val="0"/>
        </w:rPr>
        <w:t>[p]</w:t>
      </w:r>
      <w:proofErr w:type="spellStart"/>
      <w:r w:rsidR="006C5D64">
        <w:rPr>
          <w:b w:val="0"/>
        </w:rPr>
        <w:t>roduction</w:t>
      </w:r>
      <w:proofErr w:type="spellEnd"/>
      <w:r w:rsidR="006C5D64">
        <w:rPr>
          <w:b w:val="0"/>
        </w:rPr>
        <w:t xml:space="preserve"> plant costs are either fixed or variable.  Fixed production costs are those revenue requirements associated with generating plant owned by the utility, including cost of capital, depreciation, taxes and fixed </w:t>
      </w:r>
      <w:proofErr w:type="spellStart"/>
      <w:r w:rsidR="006C5D64">
        <w:rPr>
          <w:b w:val="0"/>
        </w:rPr>
        <w:t>O&amp;M</w:t>
      </w:r>
      <w:proofErr w:type="spellEnd"/>
      <w:r w:rsidR="006C5D64">
        <w:rPr>
          <w:b w:val="0"/>
        </w:rPr>
        <w:t xml:space="preserve">.  Variable costs are fuel costs, purchased power costs and some </w:t>
      </w:r>
      <w:proofErr w:type="spellStart"/>
      <w:r w:rsidR="006C5D64">
        <w:rPr>
          <w:b w:val="0"/>
        </w:rPr>
        <w:t>O&amp;M</w:t>
      </w:r>
      <w:proofErr w:type="spellEnd"/>
      <w:r w:rsidR="006C5D64">
        <w:rPr>
          <w:b w:val="0"/>
        </w:rPr>
        <w:t xml:space="preserve"> expenses.  Fixed production costs vary with capacity additions, not with energy produced from given plant capacity, and are classified as demand-related.  Variable production costs change with the amount of energy produced delivered or purchased and are classified as energy-related.</w:t>
      </w:r>
    </w:p>
    <w:p w14:paraId="3C1DBBAC" w14:textId="77777777" w:rsidR="001A57FE" w:rsidRDefault="001A57FE" w:rsidP="00D84B51">
      <w:pPr>
        <w:pStyle w:val="Question-Testimony"/>
        <w:rPr>
          <w:b w:val="0"/>
        </w:rPr>
      </w:pPr>
    </w:p>
    <w:p w14:paraId="3C1DBBAD" w14:textId="77777777" w:rsidR="006C5D64" w:rsidRPr="00CE55AC" w:rsidRDefault="006C5D64" w:rsidP="00D84B51">
      <w:pPr>
        <w:pStyle w:val="Question-Testimony"/>
        <w:rPr>
          <w:b w:val="0"/>
        </w:rPr>
      </w:pPr>
      <w:r w:rsidRPr="00CE55AC">
        <w:rPr>
          <w:b w:val="0"/>
        </w:rPr>
        <w:tab/>
      </w:r>
      <w:r w:rsidRPr="00CE55AC">
        <w:rPr>
          <w:b w:val="0"/>
        </w:rPr>
        <w:tab/>
        <w:t>The percentage weighting for classification of demand- and energy-related costs and plant in Staff’s cost of service study are 30.73 percent demand-related and 69.27 percent energy-related.</w:t>
      </w:r>
    </w:p>
    <w:p w14:paraId="3C1DBBAE" w14:textId="77777777" w:rsidR="00DE1114" w:rsidRPr="00B93E5B" w:rsidRDefault="00DE1114" w:rsidP="00D84B51">
      <w:pPr>
        <w:pStyle w:val="Question-Testimony"/>
      </w:pPr>
    </w:p>
    <w:p w14:paraId="3C1DBBAF" w14:textId="77777777" w:rsidR="00DE1114" w:rsidRPr="00DE1114" w:rsidRDefault="00DE1114" w:rsidP="00D84B51">
      <w:pPr>
        <w:pStyle w:val="Question-Testimony"/>
      </w:pPr>
      <w:r>
        <w:t>Q.</w:t>
      </w:r>
      <w:r>
        <w:tab/>
        <w:t>How did Staff determine the appropriate allocator for Production Costs?</w:t>
      </w:r>
    </w:p>
    <w:p w14:paraId="3C1DBBB0" w14:textId="77777777" w:rsidR="00DE1114" w:rsidRPr="00DE1114" w:rsidRDefault="00DE1114" w:rsidP="00D84B51">
      <w:pPr>
        <w:pStyle w:val="Question-Testimony"/>
        <w:rPr>
          <w:b w:val="0"/>
        </w:rPr>
      </w:pPr>
      <w:r w:rsidRPr="00D04851">
        <w:rPr>
          <w:rStyle w:val="Answer-TestimonyChar"/>
          <w:b w:val="0"/>
        </w:rPr>
        <w:t>A.</w:t>
      </w:r>
      <w:r w:rsidRPr="00D04851">
        <w:rPr>
          <w:rStyle w:val="Answer-TestimonyChar"/>
          <w:b w:val="0"/>
        </w:rPr>
        <w:tab/>
        <w:t>In addition to reviewing the Company’s peak credit method, Staff reviewed several other methodologies</w:t>
      </w:r>
      <w:r w:rsidR="00526BE9">
        <w:rPr>
          <w:rStyle w:val="Answer-TestimonyChar"/>
          <w:b w:val="0"/>
        </w:rPr>
        <w:t>,</w:t>
      </w:r>
      <w:r w:rsidRPr="00D04851">
        <w:rPr>
          <w:rStyle w:val="Answer-TestimonyChar"/>
          <w:b w:val="0"/>
        </w:rPr>
        <w:t xml:space="preserve"> as reflected in my </w:t>
      </w:r>
      <w:r w:rsidR="001A57FE">
        <w:rPr>
          <w:rStyle w:val="Answer-TestimonyChar"/>
          <w:b w:val="0"/>
        </w:rPr>
        <w:t>Exhibit No. ___ (</w:t>
      </w:r>
      <w:proofErr w:type="spellStart"/>
      <w:r w:rsidR="001A57FE">
        <w:rPr>
          <w:rStyle w:val="Answer-TestimonyChar"/>
          <w:b w:val="0"/>
        </w:rPr>
        <w:t>CTM</w:t>
      </w:r>
      <w:proofErr w:type="spellEnd"/>
      <w:r w:rsidRPr="00D04851">
        <w:rPr>
          <w:rStyle w:val="Answer-TestimonyChar"/>
          <w:b w:val="0"/>
        </w:rPr>
        <w:t>-</w:t>
      </w:r>
      <w:r w:rsidR="005A0687">
        <w:rPr>
          <w:rStyle w:val="Answer-TestimonyChar"/>
          <w:b w:val="0"/>
        </w:rPr>
        <w:t>4</w:t>
      </w:r>
      <w:r w:rsidR="001A57FE">
        <w:rPr>
          <w:rStyle w:val="Answer-TestimonyChar"/>
          <w:b w:val="0"/>
        </w:rPr>
        <w:t>)</w:t>
      </w:r>
      <w:r w:rsidRPr="00D04851">
        <w:rPr>
          <w:rStyle w:val="Answer-TestimonyChar"/>
          <w:b w:val="0"/>
        </w:rPr>
        <w:t>:</w:t>
      </w:r>
      <w:r w:rsidR="005A0687">
        <w:rPr>
          <w:rStyle w:val="FootnoteReference"/>
          <w:b w:val="0"/>
        </w:rPr>
        <w:footnoteReference w:id="12"/>
      </w:r>
      <w:r w:rsidRPr="00D04851">
        <w:rPr>
          <w:rStyle w:val="Answer-TestimonyChar"/>
          <w:b w:val="0"/>
        </w:rPr>
        <w:t xml:space="preserve"> average and excess demand method</w:t>
      </w:r>
      <w:r w:rsidR="006C5D64">
        <w:rPr>
          <w:rStyle w:val="Answer-TestimonyChar"/>
          <w:b w:val="0"/>
        </w:rPr>
        <w:t>,</w:t>
      </w:r>
      <w:r w:rsidR="00537682">
        <w:rPr>
          <w:rStyle w:val="Answer-TestimonyChar"/>
          <w:b w:val="0"/>
        </w:rPr>
        <w:t xml:space="preserve"> summer and winter peak, 12-</w:t>
      </w:r>
      <w:r w:rsidRPr="00D04851">
        <w:rPr>
          <w:rStyle w:val="Answer-TestimonyChar"/>
          <w:b w:val="0"/>
        </w:rPr>
        <w:t xml:space="preserve">coincidental </w:t>
      </w:r>
      <w:r w:rsidR="00B14C3D" w:rsidRPr="00D04851">
        <w:rPr>
          <w:rStyle w:val="Answer-TestimonyChar"/>
          <w:b w:val="0"/>
        </w:rPr>
        <w:t>peaks</w:t>
      </w:r>
      <w:r w:rsidR="00537682">
        <w:rPr>
          <w:rStyle w:val="Answer-TestimonyChar"/>
          <w:b w:val="0"/>
        </w:rPr>
        <w:t>, peak and average, and 12-</w:t>
      </w:r>
      <w:r w:rsidRPr="00D04851">
        <w:rPr>
          <w:rStyle w:val="Answer-TestimonyChar"/>
          <w:b w:val="0"/>
        </w:rPr>
        <w:t>coincidental peak and average.</w:t>
      </w:r>
      <w:r w:rsidRPr="00D04851">
        <w:rPr>
          <w:rStyle w:val="Answer-TestimonyChar"/>
          <w:b w:val="0"/>
          <w:vertAlign w:val="superscript"/>
        </w:rPr>
        <w:footnoteReference w:id="13"/>
      </w:r>
    </w:p>
    <w:p w14:paraId="3C1DBBB1" w14:textId="77777777" w:rsidR="00DE1114" w:rsidRDefault="00DE1114" w:rsidP="00D84B51">
      <w:pPr>
        <w:pStyle w:val="Question-Testimony"/>
        <w:rPr>
          <w:b w:val="0"/>
        </w:rPr>
      </w:pPr>
    </w:p>
    <w:p w14:paraId="3C1DBBB2" w14:textId="77777777" w:rsidR="00375F20" w:rsidRDefault="00375F20" w:rsidP="00D84B51">
      <w:pPr>
        <w:pStyle w:val="Question-Testimony"/>
      </w:pPr>
      <w:r>
        <w:t>Q.</w:t>
      </w:r>
      <w:r>
        <w:tab/>
        <w:t>Please explain the terms “peak,” “coincidental peak</w:t>
      </w:r>
      <w:r w:rsidR="00D04851">
        <w:t>,</w:t>
      </w:r>
      <w:r>
        <w:t>” and “non</w:t>
      </w:r>
      <w:r w:rsidR="00D04851">
        <w:t>-</w:t>
      </w:r>
      <w:r>
        <w:t>coincidental peak.”</w:t>
      </w:r>
    </w:p>
    <w:p w14:paraId="3C1DBBB3" w14:textId="5B3CBE34" w:rsidR="00375F20" w:rsidRPr="00D04851" w:rsidRDefault="00375F20" w:rsidP="00D04851">
      <w:pPr>
        <w:pStyle w:val="Answer-Testimony"/>
      </w:pPr>
      <w:r>
        <w:t>A.</w:t>
      </w:r>
      <w:r>
        <w:tab/>
      </w:r>
      <w:r w:rsidR="002D1CA6" w:rsidRPr="007E50F7">
        <w:t>“Peak” is the</w:t>
      </w:r>
      <w:r w:rsidR="00A63641">
        <w:t xml:space="preserve"> highest total hourly demand for all customers served on the utility’s sy</w:t>
      </w:r>
      <w:r w:rsidR="006945A9">
        <w:t xml:space="preserve">stem within a specific period (day, month, </w:t>
      </w:r>
      <w:r w:rsidR="007C18A2">
        <w:t>and year</w:t>
      </w:r>
      <w:r w:rsidR="006945A9">
        <w:t xml:space="preserve">); typically referred to as the ‘system peak.’  </w:t>
      </w:r>
      <w:r w:rsidR="002D1CA6" w:rsidRPr="007E50F7">
        <w:t>“</w:t>
      </w:r>
      <w:r w:rsidR="002D1CA6">
        <w:t>Coincidental peak</w:t>
      </w:r>
      <w:r w:rsidR="002D1CA6" w:rsidRPr="007E50F7">
        <w:t>”</w:t>
      </w:r>
      <w:r w:rsidR="00E52F5A">
        <w:t xml:space="preserve"> is the </w:t>
      </w:r>
      <w:r w:rsidR="003223DC">
        <w:t xml:space="preserve">contribution to </w:t>
      </w:r>
      <w:r w:rsidR="00E52F5A">
        <w:t xml:space="preserve">demand </w:t>
      </w:r>
      <w:r w:rsidR="00701D39">
        <w:t xml:space="preserve">of </w:t>
      </w:r>
      <w:r w:rsidR="003223DC">
        <w:t xml:space="preserve">each </w:t>
      </w:r>
      <w:r w:rsidR="00701D39">
        <w:t>class at the same time as</w:t>
      </w:r>
      <w:r w:rsidR="003223DC">
        <w:t>, or coinciding with,</w:t>
      </w:r>
      <w:r w:rsidR="00701D39">
        <w:t xml:space="preserve"> the system peak.</w:t>
      </w:r>
      <w:r w:rsidR="002D1CA6">
        <w:t xml:space="preserve">  </w:t>
      </w:r>
      <w:r w:rsidR="002D1CA6" w:rsidRPr="007E50F7">
        <w:t>“</w:t>
      </w:r>
      <w:r w:rsidR="002D1CA6">
        <w:t>Non-coincidental peak</w:t>
      </w:r>
      <w:r w:rsidR="002D1CA6" w:rsidRPr="007E50F7">
        <w:t xml:space="preserve">” is </w:t>
      </w:r>
      <w:r w:rsidR="002D1CA6" w:rsidRPr="007E50F7">
        <w:lastRenderedPageBreak/>
        <w:t xml:space="preserve">the </w:t>
      </w:r>
      <w:r w:rsidR="00701D39">
        <w:t xml:space="preserve">maximum demand of </w:t>
      </w:r>
      <w:r w:rsidR="003223DC">
        <w:t xml:space="preserve">a </w:t>
      </w:r>
      <w:r w:rsidR="00701D39">
        <w:t xml:space="preserve">class </w:t>
      </w:r>
      <w:r w:rsidR="003223DC">
        <w:t>at any point in time,</w:t>
      </w:r>
      <w:r w:rsidR="00701D39">
        <w:t xml:space="preserve"> but not necessarily at the </w:t>
      </w:r>
      <w:r w:rsidR="003223DC">
        <w:t xml:space="preserve">same </w:t>
      </w:r>
      <w:r w:rsidR="00701D39">
        <w:t xml:space="preserve">time </w:t>
      </w:r>
      <w:r w:rsidR="003223DC">
        <w:t xml:space="preserve">as </w:t>
      </w:r>
      <w:r w:rsidR="00701D39">
        <w:t xml:space="preserve">the system </w:t>
      </w:r>
      <w:r w:rsidR="00E52F5A">
        <w:t>peak.</w:t>
      </w:r>
    </w:p>
    <w:p w14:paraId="3C1DBBB4" w14:textId="77777777" w:rsidR="00375F20" w:rsidRPr="00DE1114" w:rsidRDefault="00375F20" w:rsidP="00D04851">
      <w:pPr>
        <w:pStyle w:val="Answer-Testimony"/>
      </w:pPr>
    </w:p>
    <w:p w14:paraId="3C1DBBB5" w14:textId="77777777" w:rsidR="00DE1114" w:rsidRPr="00DE1114" w:rsidRDefault="00DE1114" w:rsidP="00D84B51">
      <w:pPr>
        <w:pStyle w:val="Question-Testimony"/>
      </w:pPr>
      <w:r>
        <w:t>Q.</w:t>
      </w:r>
      <w:r>
        <w:tab/>
        <w:t>What method does Staff recommend the Commission use in this case to allocate Production Costs?</w:t>
      </w:r>
    </w:p>
    <w:p w14:paraId="3C1DBBB6" w14:textId="77777777" w:rsidR="00DE1114" w:rsidRDefault="00DB6293" w:rsidP="00DB6293">
      <w:pPr>
        <w:pStyle w:val="Answer-Testimony"/>
      </w:pPr>
      <w:r w:rsidRPr="00DB6293">
        <w:t>A.</w:t>
      </w:r>
      <w:r w:rsidRPr="00DB6293">
        <w:tab/>
      </w:r>
      <w:r w:rsidR="00375F20" w:rsidRPr="00DB6293">
        <w:t xml:space="preserve">Staff recommends the Commission use the </w:t>
      </w:r>
      <w:r w:rsidR="00DE1114" w:rsidRPr="00DB6293">
        <w:t>average and excess demand method</w:t>
      </w:r>
      <w:r w:rsidR="00AE1823">
        <w:t xml:space="preserve"> to allocate production costs</w:t>
      </w:r>
      <w:r w:rsidRPr="00DB6293">
        <w:t>.</w:t>
      </w:r>
    </w:p>
    <w:p w14:paraId="3C1DBBB7" w14:textId="77777777" w:rsidR="00DB6293" w:rsidRPr="00DB6293" w:rsidRDefault="00DB6293" w:rsidP="00DB6293">
      <w:pPr>
        <w:pStyle w:val="Answer-Testimony"/>
      </w:pPr>
    </w:p>
    <w:p w14:paraId="3C1DBBB8" w14:textId="77777777" w:rsidR="00DE1114" w:rsidRDefault="00375F20" w:rsidP="00DB6293">
      <w:pPr>
        <w:pStyle w:val="Question-Testimony"/>
      </w:pPr>
      <w:r>
        <w:t>Q.</w:t>
      </w:r>
      <w:r>
        <w:tab/>
        <w:t>Please describe how the average and excess demand method works.</w:t>
      </w:r>
    </w:p>
    <w:p w14:paraId="3C1DBBB9" w14:textId="77777777" w:rsidR="00091914" w:rsidRDefault="00375F20" w:rsidP="006F59B2">
      <w:pPr>
        <w:pStyle w:val="Answer-Testimony"/>
      </w:pPr>
      <w:r w:rsidRPr="006F59B2">
        <w:t>A.</w:t>
      </w:r>
      <w:r w:rsidRPr="006F59B2">
        <w:tab/>
      </w:r>
      <w:r w:rsidR="00750482">
        <w:t>A</w:t>
      </w:r>
      <w:r w:rsidR="003A4A21" w:rsidRPr="006F59B2">
        <w:t>verage and excess demand method</w:t>
      </w:r>
      <w:r w:rsidR="00750482">
        <w:t xml:space="preserve"> consists of two parts.</w:t>
      </w:r>
      <w:r w:rsidR="001A57FE">
        <w:t xml:space="preserve"> </w:t>
      </w:r>
      <w:r w:rsidR="00750482">
        <w:t xml:space="preserve"> T</w:t>
      </w:r>
      <w:r w:rsidR="003A4A21" w:rsidRPr="006F59B2">
        <w:t xml:space="preserve">he </w:t>
      </w:r>
      <w:r w:rsidR="00750482">
        <w:t xml:space="preserve">first component of each class’s allocation factor is its proportion of total </w:t>
      </w:r>
      <w:r w:rsidR="001A57FE">
        <w:t xml:space="preserve">average </w:t>
      </w:r>
      <w:r w:rsidR="00750482">
        <w:t>energy consumption (</w:t>
      </w:r>
      <w:r w:rsidR="00750482" w:rsidRPr="006F59B2">
        <w:t>annual energy usage divided by 8,760 hours</w:t>
      </w:r>
      <w:r w:rsidR="00750482">
        <w:t>) times the system load factor.</w:t>
      </w:r>
      <w:r w:rsidR="001A57FE">
        <w:t xml:space="preserve">  The </w:t>
      </w:r>
      <w:r w:rsidR="00091914">
        <w:t xml:space="preserve">second component of each class’s allocation factor, called </w:t>
      </w:r>
      <w:r w:rsidR="001A57FE">
        <w:t>excess demand</w:t>
      </w:r>
      <w:r w:rsidR="00091914">
        <w:t>,</w:t>
      </w:r>
      <w:r w:rsidR="001A57FE">
        <w:t xml:space="preserve"> is</w:t>
      </w:r>
      <w:r w:rsidR="00091914">
        <w:t xml:space="preserve"> the proportion of the difference between the sum of all classes’ non-coincident peaks and the system average demand and multiplied by the remaining proportion of production plant (</w:t>
      </w:r>
      <w:r w:rsidR="00091914" w:rsidRPr="00091914">
        <w:rPr>
          <w:i/>
        </w:rPr>
        <w:t>i.e.</w:t>
      </w:r>
      <w:r w:rsidR="00091914">
        <w:t xml:space="preserve"> one minus the system load factor), and then added to the first component to obtain the total allocator.</w:t>
      </w:r>
    </w:p>
    <w:p w14:paraId="3C1DBBBA" w14:textId="77777777" w:rsidR="006F59B2" w:rsidRPr="006F59B2" w:rsidRDefault="006F59B2" w:rsidP="006F59B2">
      <w:pPr>
        <w:pStyle w:val="Answer-Testimony"/>
      </w:pPr>
    </w:p>
    <w:p w14:paraId="3C1DBBBB" w14:textId="77777777" w:rsidR="00AE1823" w:rsidRPr="00804024" w:rsidRDefault="00AE1823" w:rsidP="00AE1823">
      <w:pPr>
        <w:pStyle w:val="Question-Testimony"/>
      </w:pPr>
      <w:r w:rsidRPr="00804024">
        <w:t>Q.</w:t>
      </w:r>
      <w:r w:rsidRPr="00804024">
        <w:tab/>
        <w:t>Please provide the formula for the average and excess demand method Staff uses in this case.</w:t>
      </w:r>
    </w:p>
    <w:p w14:paraId="3C1DBBBC" w14:textId="77777777" w:rsidR="00AE1823" w:rsidRDefault="00AE1823" w:rsidP="00AE1823">
      <w:pPr>
        <w:pStyle w:val="Answer-Testimony"/>
      </w:pPr>
      <w:r w:rsidRPr="002E5E02">
        <w:t>A.</w:t>
      </w:r>
      <w:r w:rsidRPr="002E5E02">
        <w:tab/>
      </w:r>
      <w:r>
        <w:t xml:space="preserve">Yes.  </w:t>
      </w:r>
      <w:r w:rsidRPr="002E5E02">
        <w:t xml:space="preserve">The </w:t>
      </w:r>
      <w:r>
        <w:t>formula is as follows:</w:t>
      </w:r>
    </w:p>
    <w:p w14:paraId="3C1DBBBD" w14:textId="77777777" w:rsidR="00AE1823" w:rsidRDefault="00AE1823" w:rsidP="00AE1823">
      <w:pPr>
        <w:pStyle w:val="Answer-Testimony"/>
      </w:pPr>
      <w:r>
        <w:tab/>
        <w:t xml:space="preserve">Average and Excess Demand method = (AE% x </w:t>
      </w:r>
      <w:proofErr w:type="spellStart"/>
      <w:r w:rsidR="00A24A58">
        <w:t>S</w:t>
      </w:r>
      <w:r>
        <w:t>LF</w:t>
      </w:r>
      <w:proofErr w:type="spellEnd"/>
      <w:r>
        <w:t>%) +[ED% x (1-</w:t>
      </w:r>
      <w:proofErr w:type="spellStart"/>
      <w:r w:rsidR="00A24A58">
        <w:t>S</w:t>
      </w:r>
      <w:r>
        <w:t>LF</w:t>
      </w:r>
      <w:proofErr w:type="spellEnd"/>
      <w:r>
        <w:t>%)]</w:t>
      </w:r>
    </w:p>
    <w:p w14:paraId="3C1DBBBE" w14:textId="77777777" w:rsidR="00AE1823" w:rsidRDefault="00AE1823" w:rsidP="00AE1823">
      <w:pPr>
        <w:pStyle w:val="Answer-Testimony"/>
      </w:pPr>
      <w:r>
        <w:tab/>
        <w:t>Where the components are:</w:t>
      </w:r>
    </w:p>
    <w:p w14:paraId="3C1DBBBF" w14:textId="77777777" w:rsidR="00AE1823" w:rsidRDefault="00AE1823" w:rsidP="00AE1823">
      <w:pPr>
        <w:pStyle w:val="Answer-Testimony"/>
        <w:numPr>
          <w:ilvl w:val="0"/>
          <w:numId w:val="2"/>
        </w:numPr>
      </w:pPr>
      <w:r>
        <w:lastRenderedPageBreak/>
        <w:t>AE% = each class’s share of total average energy consumption</w:t>
      </w:r>
      <w:r w:rsidR="00091914">
        <w:t xml:space="preserve"> (annual MWh divided by 8,760 hours)</w:t>
      </w:r>
      <w:r>
        <w:t>.</w:t>
      </w:r>
    </w:p>
    <w:p w14:paraId="3C1DBBC0" w14:textId="77777777" w:rsidR="00AE1823" w:rsidRDefault="00AE1823" w:rsidP="00AE1823">
      <w:pPr>
        <w:pStyle w:val="Answer-Testimony"/>
        <w:numPr>
          <w:ilvl w:val="0"/>
          <w:numId w:val="2"/>
        </w:numPr>
      </w:pPr>
      <w:r>
        <w:t xml:space="preserve">ED% = each class’s share of excess demand, which </w:t>
      </w:r>
      <w:r w:rsidR="00091914">
        <w:t xml:space="preserve">for each class </w:t>
      </w:r>
      <w:r>
        <w:t xml:space="preserve">is the difference between </w:t>
      </w:r>
      <w:r w:rsidR="006F59B2">
        <w:t>annual non-coincident peak (</w:t>
      </w:r>
      <w:proofErr w:type="spellStart"/>
      <w:r w:rsidR="006F59B2">
        <w:t>NCP</w:t>
      </w:r>
      <w:proofErr w:type="spellEnd"/>
      <w:r w:rsidR="006F59B2">
        <w:t xml:space="preserve">) less average annual demand (annual MWh </w:t>
      </w:r>
      <w:r w:rsidR="00091914">
        <w:t>divided by</w:t>
      </w:r>
      <w:r w:rsidR="006F59B2">
        <w:t xml:space="preserve"> 8</w:t>
      </w:r>
      <w:r w:rsidR="00091914">
        <w:t>,</w:t>
      </w:r>
      <w:r w:rsidR="006F59B2">
        <w:t>760</w:t>
      </w:r>
      <w:r w:rsidR="00091914">
        <w:t xml:space="preserve"> hours</w:t>
      </w:r>
      <w:r w:rsidR="006F59B2">
        <w:t>)</w:t>
      </w:r>
      <w:r>
        <w:t>.</w:t>
      </w:r>
    </w:p>
    <w:p w14:paraId="3C1DBBC1" w14:textId="77777777" w:rsidR="00AE1823" w:rsidRDefault="00A24A58" w:rsidP="00AE1823">
      <w:pPr>
        <w:pStyle w:val="Answer-Testimony"/>
        <w:numPr>
          <w:ilvl w:val="0"/>
          <w:numId w:val="2"/>
        </w:numPr>
      </w:pPr>
      <w:proofErr w:type="spellStart"/>
      <w:r>
        <w:t>S</w:t>
      </w:r>
      <w:r w:rsidR="00AE1823">
        <w:t>LF</w:t>
      </w:r>
      <w:proofErr w:type="spellEnd"/>
      <w:r w:rsidR="00AE1823">
        <w:t xml:space="preserve">% = </w:t>
      </w:r>
      <w:r>
        <w:t>System l</w:t>
      </w:r>
      <w:r w:rsidR="00AE1823">
        <w:t>oad factor, which is the system’s average megawatt (“</w:t>
      </w:r>
      <w:proofErr w:type="spellStart"/>
      <w:r w:rsidR="00091914">
        <w:t>a</w:t>
      </w:r>
      <w:r w:rsidR="00AE1823">
        <w:t>MW</w:t>
      </w:r>
      <w:proofErr w:type="spellEnd"/>
      <w:r w:rsidR="00AE1823">
        <w:t>”) energy (total retail energy divided by annual hours) divided by peak MW demand.</w:t>
      </w:r>
    </w:p>
    <w:p w14:paraId="3C1DBBC2" w14:textId="77777777" w:rsidR="00375F20" w:rsidRPr="00DB6293" w:rsidRDefault="00375F20" w:rsidP="00DB6293">
      <w:pPr>
        <w:pStyle w:val="Answer-Testimony"/>
      </w:pPr>
    </w:p>
    <w:p w14:paraId="3C1DBBC3" w14:textId="77777777" w:rsidR="00DE1114" w:rsidRDefault="00DE1114" w:rsidP="00DB6293">
      <w:pPr>
        <w:pStyle w:val="Question-Testimony"/>
      </w:pPr>
      <w:r>
        <w:t>Q.</w:t>
      </w:r>
      <w:r>
        <w:tab/>
        <w:t>Please explain why Staff recommends the average and excess demand method</w:t>
      </w:r>
      <w:r w:rsidR="00375F20">
        <w:t xml:space="preserve"> for allocating Production Costs</w:t>
      </w:r>
      <w:r>
        <w:t>.</w:t>
      </w:r>
    </w:p>
    <w:p w14:paraId="3C1DBBC4" w14:textId="77777777" w:rsidR="00805A3D" w:rsidRPr="00503B77" w:rsidRDefault="00DE1114" w:rsidP="00D84B51">
      <w:pPr>
        <w:pStyle w:val="Answer-Testimony"/>
      </w:pPr>
      <w:r>
        <w:t>A.</w:t>
      </w:r>
      <w:r>
        <w:tab/>
      </w:r>
      <w:r w:rsidR="001241B5">
        <w:t xml:space="preserve">First, </w:t>
      </w:r>
      <w:r>
        <w:t xml:space="preserve">the average and excess demand method </w:t>
      </w:r>
      <w:r w:rsidR="0012568C" w:rsidRPr="00503B77">
        <w:t xml:space="preserve">is stable over </w:t>
      </w:r>
      <w:r w:rsidR="00503B77" w:rsidRPr="00503B77">
        <w:t xml:space="preserve">a </w:t>
      </w:r>
      <w:r w:rsidR="0012568C" w:rsidRPr="00503B77">
        <w:t xml:space="preserve">long </w:t>
      </w:r>
      <w:r w:rsidR="00503B77" w:rsidRPr="00503B77">
        <w:t xml:space="preserve">time </w:t>
      </w:r>
      <w:r w:rsidR="0012568C" w:rsidRPr="00503B77">
        <w:t>period</w:t>
      </w:r>
      <w:r>
        <w:t xml:space="preserve">.  Second, </w:t>
      </w:r>
      <w:r w:rsidR="0012568C" w:rsidRPr="00503B77">
        <w:t xml:space="preserve">the excess is allocated on the basis of </w:t>
      </w:r>
      <w:r>
        <w:t>non-coincident peak,</w:t>
      </w:r>
      <w:r w:rsidR="0012568C" w:rsidRPr="00503B77">
        <w:t xml:space="preserve"> </w:t>
      </w:r>
      <w:r w:rsidR="00805A3D" w:rsidRPr="00503B77">
        <w:t xml:space="preserve">which </w:t>
      </w:r>
      <w:r w:rsidR="0012568C" w:rsidRPr="00503B77">
        <w:t xml:space="preserve">takes into account system peak-load, individual class peak-load, and </w:t>
      </w:r>
      <w:r>
        <w:t xml:space="preserve">the </w:t>
      </w:r>
      <w:r w:rsidR="0012568C" w:rsidRPr="00503B77">
        <w:t xml:space="preserve">degree of use </w:t>
      </w:r>
      <w:r w:rsidR="00935315" w:rsidRPr="00503B77">
        <w:t>for each class of service.  Further</w:t>
      </w:r>
      <w:r w:rsidR="00805A3D" w:rsidRPr="00503B77">
        <w:t>more</w:t>
      </w:r>
      <w:r w:rsidR="00935315" w:rsidRPr="00503B77">
        <w:t xml:space="preserve">, the </w:t>
      </w:r>
      <w:r>
        <w:t xml:space="preserve">average and excess </w:t>
      </w:r>
      <w:r w:rsidR="00375F20">
        <w:t xml:space="preserve">demand </w:t>
      </w:r>
      <w:r w:rsidR="00935315" w:rsidRPr="00503B77">
        <w:t xml:space="preserve">method </w:t>
      </w:r>
      <w:r w:rsidR="00CB0F51">
        <w:t xml:space="preserve">fairly allocates costs to all classes on usage during peak hours and </w:t>
      </w:r>
      <w:r w:rsidR="00935315" w:rsidRPr="00503B77">
        <w:t xml:space="preserve">avoids </w:t>
      </w:r>
      <w:r w:rsidR="00CB0F51" w:rsidRPr="00804024">
        <w:t>individual</w:t>
      </w:r>
      <w:r w:rsidR="00CB0F51">
        <w:t>s</w:t>
      </w:r>
      <w:r w:rsidR="00CB0F51" w:rsidRPr="00804024">
        <w:t xml:space="preserve"> or </w:t>
      </w:r>
      <w:r w:rsidR="00CB0F51">
        <w:t xml:space="preserve">rate </w:t>
      </w:r>
      <w:r w:rsidR="00CB0F51" w:rsidRPr="00804024">
        <w:t>schedules whose rates do not reflect their full cost to service due to select scenarios or design day planning</w:t>
      </w:r>
      <w:r w:rsidR="00CB0F51">
        <w:t>,</w:t>
      </w:r>
      <w:r w:rsidR="00935315" w:rsidRPr="00503B77">
        <w:t xml:space="preserve"> </w:t>
      </w:r>
      <w:r w:rsidR="00CB0F51" w:rsidRPr="00503B77">
        <w:t>which</w:t>
      </w:r>
      <w:r w:rsidR="00935315" w:rsidRPr="00503B77">
        <w:t xml:space="preserve"> </w:t>
      </w:r>
      <w:r w:rsidR="00CB0F51" w:rsidRPr="00503B77">
        <w:t>has</w:t>
      </w:r>
      <w:r w:rsidR="00935315" w:rsidRPr="00503B77">
        <w:t xml:space="preserve"> no load at the time of the system peak</w:t>
      </w:r>
      <w:r w:rsidR="001241B5">
        <w:t>.</w:t>
      </w:r>
    </w:p>
    <w:p w14:paraId="3C1DBBC5" w14:textId="77777777" w:rsidR="00940177" w:rsidRPr="00503B77" w:rsidRDefault="00805A3D" w:rsidP="00CB0F51">
      <w:pPr>
        <w:pStyle w:val="Answer-Testimony"/>
        <w:ind w:firstLine="720"/>
      </w:pPr>
      <w:r w:rsidRPr="00503B77">
        <w:t>M</w:t>
      </w:r>
      <w:r w:rsidR="00935315" w:rsidRPr="00503B77">
        <w:t xml:space="preserve">ore specifically, the </w:t>
      </w:r>
      <w:r w:rsidR="00DE1114">
        <w:t xml:space="preserve">average and excess demand </w:t>
      </w:r>
      <w:r w:rsidR="00935315" w:rsidRPr="00503B77">
        <w:t>method recognizes and gives appropriate weighting to all three factors which must be considered in determining the appropriate allocation methodology for a specific system.</w:t>
      </w:r>
      <w:r w:rsidR="00940177" w:rsidRPr="00503B77">
        <w:t xml:space="preserve">  First, </w:t>
      </w:r>
      <w:r w:rsidR="00DE1114">
        <w:t>the average and excess demand method</w:t>
      </w:r>
      <w:r w:rsidR="00940177" w:rsidRPr="00503B77">
        <w:t xml:space="preserve"> recognizes the </w:t>
      </w:r>
      <w:r w:rsidR="00DE1114">
        <w:t>non-coincident peak</w:t>
      </w:r>
      <w:r w:rsidR="00940177" w:rsidRPr="00503B77">
        <w:t xml:space="preserve"> maximum demand.  Second, </w:t>
      </w:r>
      <w:r w:rsidR="00DE1114">
        <w:t>the average and excess demand method</w:t>
      </w:r>
      <w:r w:rsidR="00940177" w:rsidRPr="00503B77">
        <w:t xml:space="preserve"> recognizes the system </w:t>
      </w:r>
      <w:r w:rsidR="00940177" w:rsidRPr="00503B77">
        <w:lastRenderedPageBreak/>
        <w:t xml:space="preserve">peak.  The difference between the system peak and the system average is the total excess demand, which is allocated to individual rate classes.  Also, by definition, the sum of the </w:t>
      </w:r>
      <w:r w:rsidR="00DE1114">
        <w:t xml:space="preserve">average and excess demand </w:t>
      </w:r>
      <w:r w:rsidR="00940177" w:rsidRPr="00503B77">
        <w:t>of all rate classes is the system peak.  Third,</w:t>
      </w:r>
      <w:r w:rsidR="00AE1823">
        <w:t xml:space="preserve"> </w:t>
      </w:r>
      <w:r w:rsidR="00DE1114">
        <w:t>the average and excess demand method</w:t>
      </w:r>
      <w:r w:rsidR="00940177" w:rsidRPr="00503B77">
        <w:t xml:space="preserve"> recognizes load factor or </w:t>
      </w:r>
      <w:r w:rsidR="00CB0F51">
        <w:t>duration of use of the system.  By weighting both average and excess demand, this method gives recognition that both types of demand are a cost driver for the utility</w:t>
      </w:r>
      <w:r w:rsidR="00CB0F51" w:rsidRPr="006F59B2">
        <w:t>.</w:t>
      </w:r>
    </w:p>
    <w:p w14:paraId="3C1DBBC6" w14:textId="77777777" w:rsidR="00D84B51" w:rsidRPr="002E5E02" w:rsidRDefault="00D84B51" w:rsidP="00D84B51">
      <w:pPr>
        <w:pStyle w:val="Question-Testimony"/>
        <w:ind w:left="0" w:firstLine="0"/>
      </w:pPr>
    </w:p>
    <w:p w14:paraId="3C1DBBC7" w14:textId="77777777" w:rsidR="00375F20" w:rsidRPr="00804024" w:rsidRDefault="00D84B51" w:rsidP="00804024">
      <w:pPr>
        <w:pStyle w:val="Question-Testimony"/>
      </w:pPr>
      <w:r w:rsidRPr="00804024">
        <w:t>Q.</w:t>
      </w:r>
      <w:r w:rsidRPr="00804024">
        <w:tab/>
      </w:r>
      <w:r w:rsidR="00375F20" w:rsidRPr="00804024">
        <w:t xml:space="preserve">Please explain why the average and excess demand method is a stable method.  </w:t>
      </w:r>
    </w:p>
    <w:p w14:paraId="3C1DBBC8" w14:textId="74671EA0" w:rsidR="00375F20" w:rsidRPr="00E374F7" w:rsidRDefault="00375F20" w:rsidP="00804024">
      <w:pPr>
        <w:pStyle w:val="Answer-Testimony"/>
      </w:pPr>
      <w:r w:rsidRPr="00E374F7">
        <w:t>A.</w:t>
      </w:r>
      <w:r w:rsidRPr="00E374F7">
        <w:tab/>
        <w:t xml:space="preserve">As shown in my </w:t>
      </w:r>
      <w:r w:rsidR="001A57FE">
        <w:t>Exhibit No. ___ (</w:t>
      </w:r>
      <w:proofErr w:type="spellStart"/>
      <w:r w:rsidR="001A57FE">
        <w:t>CTM</w:t>
      </w:r>
      <w:proofErr w:type="spellEnd"/>
      <w:r w:rsidR="00AE1823" w:rsidRPr="00E374F7">
        <w:t>-4</w:t>
      </w:r>
      <w:r w:rsidR="00286E47">
        <w:t>)</w:t>
      </w:r>
      <w:r w:rsidR="00AE1823" w:rsidRPr="00E374F7">
        <w:t xml:space="preserve"> on </w:t>
      </w:r>
      <w:r w:rsidR="00AE1823" w:rsidRPr="00CE55AC">
        <w:t>page</w:t>
      </w:r>
      <w:r w:rsidR="00AD461E" w:rsidRPr="00CE55AC">
        <w:t>s</w:t>
      </w:r>
      <w:r w:rsidR="00AE1823" w:rsidRPr="00CE55AC">
        <w:t xml:space="preserve"> 4</w:t>
      </w:r>
      <w:r w:rsidR="00AD461E" w:rsidRPr="00CE55AC">
        <w:t xml:space="preserve"> and 5</w:t>
      </w:r>
      <w:r w:rsidR="00AE1823" w:rsidRPr="00CE55AC">
        <w:t xml:space="preserve">, </w:t>
      </w:r>
      <w:r w:rsidR="00286E47">
        <w:t xml:space="preserve">the </w:t>
      </w:r>
      <w:r w:rsidR="00AE1823" w:rsidRPr="00E374F7">
        <w:t>average and excess demand method had</w:t>
      </w:r>
      <w:r w:rsidR="00E374F7" w:rsidRPr="00E374F7">
        <w:t xml:space="preserve"> a </w:t>
      </w:r>
      <w:r w:rsidR="00B03096">
        <w:t xml:space="preserve">relatively </w:t>
      </w:r>
      <w:r w:rsidR="00E374F7" w:rsidRPr="00E374F7">
        <w:t>small variance, less than 2.7%,</w:t>
      </w:r>
      <w:r w:rsidR="00E374F7" w:rsidRPr="00E374F7">
        <w:rPr>
          <w:rStyle w:val="FootnoteReference"/>
        </w:rPr>
        <w:footnoteReference w:id="14"/>
      </w:r>
      <w:r w:rsidR="00E374F7" w:rsidRPr="00E374F7">
        <w:t xml:space="preserve"> over the last five general rate cases.</w:t>
      </w:r>
    </w:p>
    <w:p w14:paraId="3C1DBBC9" w14:textId="77777777" w:rsidR="00375F20" w:rsidRPr="00E374F7" w:rsidRDefault="00375F20" w:rsidP="00804024">
      <w:pPr>
        <w:pStyle w:val="Answer-Testimony"/>
      </w:pPr>
    </w:p>
    <w:p w14:paraId="3C1DBBCA" w14:textId="77777777" w:rsidR="00D84B51" w:rsidRPr="002E5E02" w:rsidRDefault="000D62BF" w:rsidP="00D84B51">
      <w:pPr>
        <w:pStyle w:val="Question-Testimony"/>
      </w:pPr>
      <w:r>
        <w:t>Q.</w:t>
      </w:r>
      <w:r>
        <w:tab/>
        <w:t xml:space="preserve">Referring to that </w:t>
      </w:r>
      <w:r w:rsidR="00804024">
        <w:t>exhibit</w:t>
      </w:r>
      <w:r w:rsidR="00286E47">
        <w:t xml:space="preserve"> and page</w:t>
      </w:r>
      <w:r>
        <w:t>, are there more stable methods?</w:t>
      </w:r>
    </w:p>
    <w:p w14:paraId="3C1DBBCB" w14:textId="77777777" w:rsidR="000D62BF" w:rsidRDefault="00D84B51" w:rsidP="00D84B51">
      <w:pPr>
        <w:pStyle w:val="Answer-Testimony"/>
      </w:pPr>
      <w:r w:rsidRPr="002E5E02">
        <w:t>A.</w:t>
      </w:r>
      <w:r w:rsidRPr="002E5E02">
        <w:tab/>
      </w:r>
      <w:r w:rsidR="000D62BF">
        <w:t xml:space="preserve">Yes, there are three methods that are more stable: </w:t>
      </w:r>
      <w:r w:rsidR="002E5E02" w:rsidRPr="002E5E02">
        <w:t xml:space="preserve">summer and winter </w:t>
      </w:r>
      <w:r w:rsidR="002E5E02" w:rsidRPr="007047E1">
        <w:t>peak</w:t>
      </w:r>
      <w:r w:rsidR="000D62BF">
        <w:t xml:space="preserve"> method</w:t>
      </w:r>
      <w:r w:rsidR="002E5E02" w:rsidRPr="007047E1">
        <w:t>, 1</w:t>
      </w:r>
      <w:r w:rsidR="00D63486" w:rsidRPr="007047E1">
        <w:t>2</w:t>
      </w:r>
      <w:r w:rsidR="00AD6D1E">
        <w:t>-</w:t>
      </w:r>
      <w:r w:rsidR="000D62BF">
        <w:t>coincident peaks method</w:t>
      </w:r>
      <w:r w:rsidR="00D63486" w:rsidRPr="007047E1">
        <w:t>,</w:t>
      </w:r>
      <w:r w:rsidR="002E5E02" w:rsidRPr="007047E1">
        <w:t xml:space="preserve"> </w:t>
      </w:r>
      <w:r w:rsidR="000D62BF">
        <w:t xml:space="preserve">and </w:t>
      </w:r>
      <w:r w:rsidR="0010320D" w:rsidRPr="007047E1">
        <w:t>12</w:t>
      </w:r>
      <w:r w:rsidR="00AD6D1E">
        <w:t>-</w:t>
      </w:r>
      <w:r w:rsidR="000D62BF">
        <w:t xml:space="preserve">coincident </w:t>
      </w:r>
      <w:r w:rsidR="002E5E02" w:rsidRPr="002E5E02">
        <w:t>peak and average</w:t>
      </w:r>
      <w:r w:rsidR="00D63486">
        <w:t xml:space="preserve"> </w:t>
      </w:r>
      <w:r w:rsidR="002E5E02" w:rsidRPr="002E5E02">
        <w:t>method</w:t>
      </w:r>
      <w:r w:rsidR="000D62BF">
        <w:t>.  However, each of these method</w:t>
      </w:r>
      <w:r w:rsidR="00AD6D1E">
        <w:t>ologies</w:t>
      </w:r>
      <w:r w:rsidR="000D62BF">
        <w:t xml:space="preserve"> </w:t>
      </w:r>
      <w:r w:rsidR="00AD6D1E" w:rsidRPr="002E5E02">
        <w:t>places</w:t>
      </w:r>
      <w:r w:rsidR="002E5E02" w:rsidRPr="002E5E02">
        <w:t xml:space="preserve"> to</w:t>
      </w:r>
      <w:r w:rsidR="00B235FE">
        <w:t>o</w:t>
      </w:r>
      <w:r w:rsidR="002E5E02" w:rsidRPr="002E5E02">
        <w:t xml:space="preserve"> much weight on demand, </w:t>
      </w:r>
      <w:r w:rsidR="009972C2">
        <w:t xml:space="preserve">thereby </w:t>
      </w:r>
      <w:r w:rsidR="002E5E02" w:rsidRPr="002E5E02">
        <w:t>allow</w:t>
      </w:r>
      <w:r w:rsidR="009972C2">
        <w:t>ing</w:t>
      </w:r>
      <w:r w:rsidR="002E5E02" w:rsidRPr="002E5E02">
        <w:t xml:space="preserve"> for</w:t>
      </w:r>
      <w:r w:rsidR="00CB0F51">
        <w:t xml:space="preserve"> </w:t>
      </w:r>
      <w:r w:rsidR="00CB0F51" w:rsidRPr="00804024">
        <w:t>individual</w:t>
      </w:r>
      <w:r w:rsidR="00CB0F51">
        <w:t>s</w:t>
      </w:r>
      <w:r w:rsidR="00CB0F51" w:rsidRPr="00804024">
        <w:t xml:space="preserve"> or </w:t>
      </w:r>
      <w:r w:rsidR="00CB0F51">
        <w:t xml:space="preserve">rate </w:t>
      </w:r>
      <w:r w:rsidR="00CB0F51" w:rsidRPr="00804024">
        <w:t>schedules whose rates do not reflect their full cost to service due to</w:t>
      </w:r>
      <w:r w:rsidR="002E5E02" w:rsidRPr="002E5E02">
        <w:t xml:space="preserve"> </w:t>
      </w:r>
      <w:r w:rsidR="00CB0F51">
        <w:t xml:space="preserve">them </w:t>
      </w:r>
      <w:r w:rsidR="002E5E02" w:rsidRPr="002E5E02">
        <w:t>not</w:t>
      </w:r>
      <w:r w:rsidR="00CB0F51">
        <w:t xml:space="preserve"> being</w:t>
      </w:r>
      <w:r w:rsidR="002E5E02" w:rsidRPr="002E5E02">
        <w:t xml:space="preserve"> on the system at </w:t>
      </w:r>
      <w:r w:rsidR="00CB0F51">
        <w:t>the time of coincidental peak.</w:t>
      </w:r>
    </w:p>
    <w:p w14:paraId="3C1DBBCC" w14:textId="77777777" w:rsidR="002E5E02" w:rsidRDefault="000D62BF" w:rsidP="00D84B51">
      <w:pPr>
        <w:pStyle w:val="Answer-Testimony"/>
      </w:pPr>
      <w:r>
        <w:tab/>
      </w:r>
      <w:r>
        <w:tab/>
        <w:t xml:space="preserve">The </w:t>
      </w:r>
      <w:r w:rsidR="00DE1114">
        <w:t>average and excess demand method</w:t>
      </w:r>
      <w:r w:rsidR="002E5E02" w:rsidRPr="002E5E02">
        <w:t xml:space="preserve"> </w:t>
      </w:r>
      <w:r>
        <w:t xml:space="preserve">is </w:t>
      </w:r>
      <w:r w:rsidR="002E5E02" w:rsidRPr="002E5E02">
        <w:t>a fairer</w:t>
      </w:r>
      <w:r w:rsidR="00D63486">
        <w:t xml:space="preserve"> </w:t>
      </w:r>
      <w:r w:rsidR="002E5E02">
        <w:t xml:space="preserve">and </w:t>
      </w:r>
      <w:r w:rsidR="00B235FE">
        <w:t xml:space="preserve">more </w:t>
      </w:r>
      <w:r w:rsidR="002E5E02" w:rsidRPr="002E5E02">
        <w:t>balance</w:t>
      </w:r>
      <w:r w:rsidR="00B235FE">
        <w:t>d</w:t>
      </w:r>
      <w:r w:rsidR="002E5E02" w:rsidRPr="002E5E02">
        <w:t xml:space="preserve"> approach</w:t>
      </w:r>
      <w:r w:rsidR="002E5E02">
        <w:t xml:space="preserve"> that</w:t>
      </w:r>
      <w:r w:rsidR="002E5E02" w:rsidRPr="002E5E02">
        <w:t xml:space="preserve"> applie</w:t>
      </w:r>
      <w:r>
        <w:t>s</w:t>
      </w:r>
      <w:r w:rsidR="002E5E02" w:rsidRPr="002E5E02">
        <w:t xml:space="preserve"> </w:t>
      </w:r>
      <w:r w:rsidR="002E5E02" w:rsidRPr="00503B77">
        <w:t>appropriate</w:t>
      </w:r>
      <w:r w:rsidR="002E5E02" w:rsidRPr="002E5E02">
        <w:t xml:space="preserve"> weighting to the demand on the system</w:t>
      </w:r>
      <w:r w:rsidR="00B235FE">
        <w:t xml:space="preserve"> and</w:t>
      </w:r>
      <w:r w:rsidR="002E5E02" w:rsidRPr="002E5E02">
        <w:t xml:space="preserve"> </w:t>
      </w:r>
      <w:r>
        <w:t xml:space="preserve">thus better reflects </w:t>
      </w:r>
      <w:r w:rsidR="002E5E02" w:rsidRPr="002E5E02">
        <w:t>the system</w:t>
      </w:r>
      <w:r w:rsidR="00AE1823">
        <w:t xml:space="preserve">’s </w:t>
      </w:r>
      <w:r w:rsidR="002E5E02">
        <w:t>actual</w:t>
      </w:r>
      <w:r w:rsidR="00074D59">
        <w:t xml:space="preserve"> peak</w:t>
      </w:r>
      <w:r w:rsidR="002E5E02" w:rsidRPr="002E5E02">
        <w:t xml:space="preserve"> </w:t>
      </w:r>
      <w:r w:rsidR="00AE1823">
        <w:t xml:space="preserve">duration and </w:t>
      </w:r>
      <w:r w:rsidR="00074D59">
        <w:t xml:space="preserve">its </w:t>
      </w:r>
      <w:r w:rsidR="00AE1823">
        <w:t xml:space="preserve">allocation between high load </w:t>
      </w:r>
      <w:r w:rsidR="00074D59">
        <w:t xml:space="preserve">factor </w:t>
      </w:r>
      <w:r w:rsidR="00AE1823">
        <w:t xml:space="preserve">and low load </w:t>
      </w:r>
      <w:r w:rsidR="00074D59">
        <w:t xml:space="preserve">factor </w:t>
      </w:r>
      <w:r w:rsidR="00AE1823">
        <w:t>classes</w:t>
      </w:r>
      <w:r w:rsidR="002E5E02" w:rsidRPr="002E5E02">
        <w:t>.</w:t>
      </w:r>
    </w:p>
    <w:p w14:paraId="3C1DBBCD" w14:textId="77777777" w:rsidR="00D63486" w:rsidRDefault="00D63486" w:rsidP="00D84B51">
      <w:pPr>
        <w:pStyle w:val="Answer-Testimony"/>
      </w:pPr>
      <w:r>
        <w:lastRenderedPageBreak/>
        <w:tab/>
      </w:r>
      <w:r>
        <w:tab/>
        <w:t xml:space="preserve">Staff initially </w:t>
      </w:r>
      <w:r w:rsidR="000D62BF">
        <w:t xml:space="preserve">considered the </w:t>
      </w:r>
      <w:r>
        <w:t xml:space="preserve">base-intermediate-peak method and </w:t>
      </w:r>
      <w:r w:rsidR="000D62BF">
        <w:t xml:space="preserve">the </w:t>
      </w:r>
      <w:r>
        <w:t xml:space="preserve">probability of dispatch method, but these </w:t>
      </w:r>
      <w:r w:rsidR="000D62BF">
        <w:t>methods</w:t>
      </w:r>
      <w:r>
        <w:t xml:space="preserve"> are best suited </w:t>
      </w:r>
      <w:r w:rsidR="00B235FE">
        <w:t xml:space="preserve">to </w:t>
      </w:r>
      <w:r>
        <w:t xml:space="preserve">analyzing cost of service by time periods, </w:t>
      </w:r>
      <w:r w:rsidR="00286E47">
        <w:t xml:space="preserve">which </w:t>
      </w:r>
      <w:r w:rsidR="000D62BF">
        <w:t>c</w:t>
      </w:r>
      <w:r w:rsidR="00B235FE">
        <w:t>ould be beneficial if the Commission chooses to pursue time-of-use</w:t>
      </w:r>
      <w:r w:rsidR="00AD6D1E">
        <w:t xml:space="preserve"> or unbundling</w:t>
      </w:r>
      <w:r w:rsidR="00B235FE">
        <w:t xml:space="preserve"> </w:t>
      </w:r>
      <w:r w:rsidR="00804024">
        <w:t>pricing</w:t>
      </w:r>
      <w:r>
        <w:t xml:space="preserve">.  </w:t>
      </w:r>
      <w:r w:rsidR="000D62BF">
        <w:t>However,</w:t>
      </w:r>
      <w:r w:rsidR="00804024">
        <w:t xml:space="preserve"> time-of-use </w:t>
      </w:r>
      <w:r w:rsidR="00AD6D1E">
        <w:t xml:space="preserve">or unbundling </w:t>
      </w:r>
      <w:r w:rsidR="00804024">
        <w:t xml:space="preserve">pricing mechanisms would </w:t>
      </w:r>
      <w:r>
        <w:t>require better and more detailed load research data for the customer classes to produce unique allocation of production fixed and variable costs.</w:t>
      </w:r>
      <w:r>
        <w:rPr>
          <w:rStyle w:val="FootnoteReference"/>
        </w:rPr>
        <w:footnoteReference w:id="15"/>
      </w:r>
    </w:p>
    <w:p w14:paraId="3C1DBBCE" w14:textId="77777777" w:rsidR="00AE1823" w:rsidRPr="002E5E02" w:rsidRDefault="00AE1823" w:rsidP="00D84B51">
      <w:pPr>
        <w:pStyle w:val="Answer-Testimony"/>
      </w:pPr>
    </w:p>
    <w:p w14:paraId="3C1DBBCF" w14:textId="77777777" w:rsidR="008B7F26" w:rsidRPr="007E50F7" w:rsidRDefault="002E5E02" w:rsidP="00A670D4">
      <w:pPr>
        <w:pStyle w:val="Heading6"/>
      </w:pPr>
      <w:r w:rsidRPr="002E5E02">
        <w:t xml:space="preserve"> </w:t>
      </w:r>
      <w:bookmarkStart w:id="18" w:name="_Toc391992037"/>
      <w:bookmarkStart w:id="19" w:name="_Toc393696920"/>
      <w:r w:rsidR="006511E4">
        <w:t xml:space="preserve">Classification and </w:t>
      </w:r>
      <w:r w:rsidR="003D5017">
        <w:t>Allocat</w:t>
      </w:r>
      <w:r w:rsidR="00EA6420">
        <w:t>ion</w:t>
      </w:r>
      <w:r w:rsidR="003D5017">
        <w:t xml:space="preserve"> </w:t>
      </w:r>
      <w:r w:rsidR="00EA6420">
        <w:t>o</w:t>
      </w:r>
      <w:r w:rsidR="003D5017">
        <w:t>f Transmission Costs</w:t>
      </w:r>
      <w:bookmarkEnd w:id="18"/>
      <w:bookmarkEnd w:id="19"/>
    </w:p>
    <w:p w14:paraId="3C1DBBD0" w14:textId="77777777" w:rsidR="000D62BF" w:rsidRPr="007047E1" w:rsidRDefault="000D62BF" w:rsidP="00864BF4">
      <w:pPr>
        <w:pStyle w:val="Question-Testimony"/>
        <w:ind w:left="0" w:firstLine="0"/>
      </w:pPr>
    </w:p>
    <w:p w14:paraId="3C1DBBD1" w14:textId="77777777" w:rsidR="000D62BF" w:rsidRDefault="000D62BF" w:rsidP="008E3022">
      <w:pPr>
        <w:pStyle w:val="Question-Testimony"/>
      </w:pPr>
      <w:r>
        <w:t>Q.</w:t>
      </w:r>
      <w:r>
        <w:tab/>
        <w:t>What types of costs are included as Transmission Costs?</w:t>
      </w:r>
    </w:p>
    <w:p w14:paraId="3C1DBBD2" w14:textId="77777777" w:rsidR="000D62BF" w:rsidRPr="00F11A8F" w:rsidRDefault="000D62BF" w:rsidP="00F11A8F">
      <w:pPr>
        <w:pStyle w:val="Answer-Testimony"/>
      </w:pPr>
      <w:r w:rsidRPr="00F11A8F">
        <w:t>A.</w:t>
      </w:r>
      <w:r w:rsidRPr="00F11A8F">
        <w:tab/>
      </w:r>
      <w:r w:rsidR="00F11A8F" w:rsidRPr="00F11A8F">
        <w:t xml:space="preserve">These costs relate to FERC </w:t>
      </w:r>
      <w:r w:rsidR="00074D59">
        <w:t xml:space="preserve">plant </w:t>
      </w:r>
      <w:r w:rsidR="00F11A8F" w:rsidRPr="00F11A8F">
        <w:t>accounts 350 through 359</w:t>
      </w:r>
      <w:r w:rsidR="00F11A8F">
        <w:t>,</w:t>
      </w:r>
      <w:r w:rsidR="00F11A8F" w:rsidRPr="00F11A8F">
        <w:t xml:space="preserve"> </w:t>
      </w:r>
      <w:r w:rsidR="00286E47">
        <w:t xml:space="preserve">and </w:t>
      </w:r>
      <w:r w:rsidR="0003215C">
        <w:t xml:space="preserve">the return on and return of those plant accounts, </w:t>
      </w:r>
      <w:r w:rsidR="00286E47">
        <w:t xml:space="preserve">plus </w:t>
      </w:r>
      <w:r w:rsidR="0003215C" w:rsidRPr="00F11A8F">
        <w:t xml:space="preserve">taxes and corresponding </w:t>
      </w:r>
      <w:proofErr w:type="spellStart"/>
      <w:r w:rsidR="0003215C">
        <w:t>O&amp;M</w:t>
      </w:r>
      <w:proofErr w:type="spellEnd"/>
      <w:r w:rsidR="0003215C" w:rsidRPr="00F11A8F">
        <w:t xml:space="preserve"> expenses</w:t>
      </w:r>
      <w:r w:rsidR="00AA29B6">
        <w:t xml:space="preserve"> and revenues</w:t>
      </w:r>
      <w:r w:rsidR="00F11A8F" w:rsidRPr="00F11A8F">
        <w:t>.</w:t>
      </w:r>
    </w:p>
    <w:p w14:paraId="3C1DBBD3" w14:textId="77777777" w:rsidR="000D62BF" w:rsidRPr="00F11A8F" w:rsidRDefault="000D62BF" w:rsidP="00F11A8F">
      <w:pPr>
        <w:pStyle w:val="Answer-Testimony"/>
      </w:pPr>
    </w:p>
    <w:p w14:paraId="3C1DBBD4" w14:textId="77777777" w:rsidR="008E3022" w:rsidRPr="007047E1" w:rsidRDefault="009972C2" w:rsidP="008E3022">
      <w:pPr>
        <w:pStyle w:val="Question-Testimony"/>
      </w:pPr>
      <w:r>
        <w:t>Q.</w:t>
      </w:r>
      <w:r>
        <w:tab/>
        <w:t>What method did Staff use</w:t>
      </w:r>
      <w:r w:rsidR="008E3022" w:rsidRPr="007047E1">
        <w:t xml:space="preserve"> for </w:t>
      </w:r>
      <w:r w:rsidR="000D62BF">
        <w:t>allocating T</w:t>
      </w:r>
      <w:r w:rsidR="008E3022" w:rsidRPr="007047E1">
        <w:t xml:space="preserve">ransmission </w:t>
      </w:r>
      <w:r w:rsidR="000D62BF">
        <w:t>C</w:t>
      </w:r>
      <w:r w:rsidR="008E3022" w:rsidRPr="007047E1">
        <w:t>osts</w:t>
      </w:r>
      <w:r w:rsidR="000D62BF">
        <w:t xml:space="preserve"> in the cost of service study</w:t>
      </w:r>
      <w:r w:rsidR="00013B45">
        <w:t>?</w:t>
      </w:r>
    </w:p>
    <w:p w14:paraId="3C1DBBD5" w14:textId="77777777" w:rsidR="000D62BF" w:rsidRDefault="008E3022" w:rsidP="008E3022">
      <w:pPr>
        <w:pStyle w:val="Answer-Testimony"/>
      </w:pPr>
      <w:r w:rsidRPr="007047E1">
        <w:t>A.</w:t>
      </w:r>
      <w:r w:rsidRPr="007047E1">
        <w:tab/>
      </w:r>
      <w:r w:rsidR="000D62BF" w:rsidRPr="007047E1">
        <w:t xml:space="preserve">Staff used </w:t>
      </w:r>
      <w:r w:rsidR="000D62BF">
        <w:t xml:space="preserve">the </w:t>
      </w:r>
      <w:r w:rsidR="000D62BF" w:rsidRPr="007047E1">
        <w:t>12</w:t>
      </w:r>
      <w:r w:rsidR="00F11A8F">
        <w:t>-</w:t>
      </w:r>
      <w:r w:rsidR="000D62BF">
        <w:t xml:space="preserve">coincident peak </w:t>
      </w:r>
      <w:r w:rsidR="000D62BF" w:rsidRPr="007047E1">
        <w:t>and average method</w:t>
      </w:r>
      <w:r w:rsidR="00286E47">
        <w:t xml:space="preserve"> to allocate Transmission Costs</w:t>
      </w:r>
      <w:r w:rsidR="000D62BF">
        <w:t>.</w:t>
      </w:r>
    </w:p>
    <w:p w14:paraId="3C1DBBD6" w14:textId="77777777" w:rsidR="000D62BF" w:rsidRDefault="000D62BF" w:rsidP="008E3022">
      <w:pPr>
        <w:pStyle w:val="Answer-Testimony"/>
      </w:pPr>
    </w:p>
    <w:p w14:paraId="3C1DBBD7" w14:textId="77777777" w:rsidR="000D62BF" w:rsidRPr="00A8126A" w:rsidRDefault="000D62BF" w:rsidP="00A8126A">
      <w:pPr>
        <w:pStyle w:val="Question-Testimony"/>
      </w:pPr>
      <w:r w:rsidRPr="000D62BF">
        <w:t>Q.</w:t>
      </w:r>
      <w:r w:rsidRPr="000D62BF">
        <w:tab/>
        <w:t xml:space="preserve">Please </w:t>
      </w:r>
      <w:r w:rsidR="003F347A">
        <w:t>describe</w:t>
      </w:r>
      <w:r w:rsidRPr="000D62BF">
        <w:t xml:space="preserve"> how the </w:t>
      </w:r>
      <w:r w:rsidR="00745177">
        <w:t>12-</w:t>
      </w:r>
      <w:r w:rsidRPr="0011480F">
        <w:t>coincident peak and average method works.</w:t>
      </w:r>
    </w:p>
    <w:p w14:paraId="3C1DBBD8" w14:textId="77777777" w:rsidR="00521A5B" w:rsidRDefault="00C83660" w:rsidP="00BE05E2">
      <w:pPr>
        <w:pStyle w:val="Answer-Testimony"/>
      </w:pPr>
      <w:r>
        <w:t>A.</w:t>
      </w:r>
      <w:r>
        <w:tab/>
      </w:r>
      <w:r w:rsidRPr="00BE05E2">
        <w:t xml:space="preserve">The 12-coincident peak and average </w:t>
      </w:r>
      <w:r w:rsidR="003F347A" w:rsidRPr="00BE05E2">
        <w:t xml:space="preserve">method consists of two </w:t>
      </w:r>
      <w:r w:rsidR="00521A5B">
        <w:t>components</w:t>
      </w:r>
      <w:r w:rsidR="003F347A" w:rsidRPr="00BE05E2">
        <w:t xml:space="preserve">.  The first component of each class’s allocation factor is its proportion of total average energy </w:t>
      </w:r>
      <w:r w:rsidR="003F347A" w:rsidRPr="00BE05E2">
        <w:lastRenderedPageBreak/>
        <w:t>consumption (annual energy usage divided by 8,</w:t>
      </w:r>
      <w:r w:rsidR="003F347A" w:rsidRPr="007F2E05">
        <w:t xml:space="preserve">760 hours) times </w:t>
      </w:r>
      <w:r w:rsidR="007F2E05" w:rsidRPr="007F2E05">
        <w:t xml:space="preserve">the average energy </w:t>
      </w:r>
      <w:r w:rsidR="00031841" w:rsidRPr="007F2E05">
        <w:t>divid</w:t>
      </w:r>
      <w:r w:rsidR="007F2E05" w:rsidRPr="007F2E05">
        <w:t>ed by</w:t>
      </w:r>
      <w:r w:rsidR="00031841" w:rsidRPr="007F2E05">
        <w:t xml:space="preserve"> the sum of the average of </w:t>
      </w:r>
      <w:r w:rsidR="007F2E05">
        <w:t xml:space="preserve">the twelve monthly </w:t>
      </w:r>
      <w:r w:rsidR="00031841" w:rsidRPr="007F2E05">
        <w:t>peak demands and the average energy.</w:t>
      </w:r>
      <w:r w:rsidR="003F347A" w:rsidRPr="007F2E05">
        <w:t xml:space="preserve">  </w:t>
      </w:r>
    </w:p>
    <w:p w14:paraId="3C1DBBD9" w14:textId="77777777" w:rsidR="003F347A" w:rsidRPr="006C3655" w:rsidRDefault="00521A5B" w:rsidP="00BE05E2">
      <w:pPr>
        <w:pStyle w:val="Answer-Testimony"/>
      </w:pPr>
      <w:r>
        <w:tab/>
      </w:r>
      <w:r>
        <w:tab/>
      </w:r>
      <w:r w:rsidR="003F347A" w:rsidRPr="007F2E05">
        <w:t>The second component of each class’s allocation factor</w:t>
      </w:r>
      <w:r w:rsidR="00BE05E2" w:rsidRPr="007F2E05">
        <w:t xml:space="preserve"> </w:t>
      </w:r>
      <w:r w:rsidR="003F347A" w:rsidRPr="007F2E05">
        <w:t xml:space="preserve">is </w:t>
      </w:r>
      <w:r w:rsidR="00BE05E2" w:rsidRPr="007F2E05">
        <w:t>its contribution to the</w:t>
      </w:r>
      <w:r w:rsidR="002F6CA3" w:rsidRPr="007F2E05">
        <w:t xml:space="preserve"> average</w:t>
      </w:r>
      <w:r w:rsidR="00031841" w:rsidRPr="007F2E05">
        <w:t xml:space="preserve"> of specified group of system peak demands (e.g. the 12 monthly coincident peaks) </w:t>
      </w:r>
      <w:r w:rsidR="002F6CA3" w:rsidRPr="007F2E05">
        <w:t>for the test period</w:t>
      </w:r>
      <w:r>
        <w:t>,</w:t>
      </w:r>
      <w:r w:rsidR="002F6CA3" w:rsidRPr="007F2E05">
        <w:t xml:space="preserve"> </w:t>
      </w:r>
      <w:r w:rsidR="00031841" w:rsidRPr="007F2E05">
        <w:t xml:space="preserve">multiplied by </w:t>
      </w:r>
      <w:r w:rsidR="007F2E05" w:rsidRPr="007F2E05">
        <w:t xml:space="preserve">the average of </w:t>
      </w:r>
      <w:r w:rsidR="007F2E05">
        <w:t xml:space="preserve">the twelve monthly </w:t>
      </w:r>
      <w:r w:rsidR="007F2E05" w:rsidRPr="007F2E05">
        <w:t>peak demands</w:t>
      </w:r>
      <w:r>
        <w:t>,</w:t>
      </w:r>
      <w:r w:rsidR="007F2E05" w:rsidRPr="007F2E05">
        <w:t xml:space="preserve"> </w:t>
      </w:r>
      <w:r w:rsidR="002F6CA3">
        <w:t>divid</w:t>
      </w:r>
      <w:r w:rsidR="001D6ACC">
        <w:t>ed by</w:t>
      </w:r>
      <w:r w:rsidR="002F6CA3">
        <w:t xml:space="preserve"> </w:t>
      </w:r>
      <w:r w:rsidR="007F2E05" w:rsidRPr="007F2E05">
        <w:t xml:space="preserve">the sum of the average of </w:t>
      </w:r>
      <w:r w:rsidR="007F2E05">
        <w:t xml:space="preserve">the twelve monthly </w:t>
      </w:r>
      <w:r w:rsidR="007F2E05" w:rsidRPr="007F2E05">
        <w:t>peak demands and the average energy</w:t>
      </w:r>
      <w:r w:rsidR="001D6ACC">
        <w:t>,</w:t>
      </w:r>
      <w:r w:rsidR="003F347A" w:rsidRPr="006C3655">
        <w:t xml:space="preserve"> and then added to the first component to obtain the total allocator.</w:t>
      </w:r>
    </w:p>
    <w:p w14:paraId="3C1DBBDA" w14:textId="77777777" w:rsidR="006C3655" w:rsidRPr="003F347A" w:rsidRDefault="006C3655" w:rsidP="00BE05E2">
      <w:pPr>
        <w:pStyle w:val="Answer-Testimony"/>
        <w:rPr>
          <w:color w:val="FF0000"/>
        </w:rPr>
      </w:pPr>
      <w:r>
        <w:tab/>
      </w:r>
      <w:r>
        <w:tab/>
        <w:t xml:space="preserve">Important observations to be drawn are: (1) the number of hours chosen as the basis for the demand allocator can have a significant effect on the revenue allocation, even for </w:t>
      </w:r>
      <w:r w:rsidR="00521A5B">
        <w:t xml:space="preserve">a </w:t>
      </w:r>
      <w:r>
        <w:t>relatively small number of hours, and (2) the greater the number of hours used, the more the allocation will reflect energy requirements.</w:t>
      </w:r>
    </w:p>
    <w:p w14:paraId="3C1DBBDB" w14:textId="77777777" w:rsidR="00745177" w:rsidRPr="008E3022" w:rsidRDefault="00745177" w:rsidP="001D36AF">
      <w:pPr>
        <w:pStyle w:val="Answer-Testimony"/>
      </w:pPr>
    </w:p>
    <w:p w14:paraId="3C1DBBDC" w14:textId="77777777" w:rsidR="00745177" w:rsidRPr="007047E1" w:rsidRDefault="00745177" w:rsidP="00745177">
      <w:pPr>
        <w:pStyle w:val="Question-Testimony"/>
      </w:pPr>
      <w:r w:rsidRPr="007047E1">
        <w:t>Q.</w:t>
      </w:r>
      <w:r w:rsidRPr="007047E1">
        <w:tab/>
      </w:r>
      <w:r>
        <w:t xml:space="preserve">Please provide the formula for the </w:t>
      </w:r>
      <w:r w:rsidRPr="007047E1">
        <w:t xml:space="preserve">12 </w:t>
      </w:r>
      <w:r>
        <w:t>coincident peak and average allocation method.</w:t>
      </w:r>
    </w:p>
    <w:p w14:paraId="3C1DBBDD" w14:textId="77777777" w:rsidR="00745177" w:rsidRPr="007047E1" w:rsidRDefault="00745177" w:rsidP="00745177">
      <w:pPr>
        <w:pStyle w:val="Answer-Testimony"/>
      </w:pPr>
      <w:r w:rsidRPr="007047E1">
        <w:t>A.</w:t>
      </w:r>
      <w:r w:rsidRPr="007047E1">
        <w:tab/>
        <w:t xml:space="preserve">The </w:t>
      </w:r>
      <w:r>
        <w:t xml:space="preserve">formula </w:t>
      </w:r>
      <w:r w:rsidRPr="007047E1">
        <w:t>is as follow</w:t>
      </w:r>
      <w:r>
        <w:t>s</w:t>
      </w:r>
      <w:r w:rsidRPr="007047E1">
        <w:t>:</w:t>
      </w:r>
    </w:p>
    <w:p w14:paraId="3C1DBBDE" w14:textId="77777777" w:rsidR="00745177" w:rsidRDefault="00745177" w:rsidP="00745177">
      <w:pPr>
        <w:pStyle w:val="Answer-Testimony"/>
      </w:pPr>
      <w:r>
        <w:tab/>
        <w:t xml:space="preserve">12-coincident peak and average method </w:t>
      </w:r>
      <w:r w:rsidRPr="007047E1">
        <w:t>= (AE</w:t>
      </w:r>
      <w:r>
        <w:t>% x ALF%) +[AD% x (1-ALF%)]</w:t>
      </w:r>
    </w:p>
    <w:p w14:paraId="3C1DBBDF" w14:textId="77777777" w:rsidR="00745177" w:rsidRDefault="00745177" w:rsidP="00745177">
      <w:pPr>
        <w:pStyle w:val="Answer-Testimony"/>
      </w:pPr>
      <w:r>
        <w:tab/>
        <w:t>Where the components are:</w:t>
      </w:r>
    </w:p>
    <w:p w14:paraId="3C1DBBE0" w14:textId="77777777" w:rsidR="00745177" w:rsidRDefault="00745177" w:rsidP="00745177">
      <w:pPr>
        <w:pStyle w:val="Answer-Testimony"/>
        <w:numPr>
          <w:ilvl w:val="0"/>
          <w:numId w:val="2"/>
        </w:numPr>
      </w:pPr>
      <w:r>
        <w:t>AE% = each class’s share of total average energy consumption</w:t>
      </w:r>
      <w:r w:rsidR="0058164A">
        <w:t xml:space="preserve"> (annual MWh divided by 8,760 hours)</w:t>
      </w:r>
      <w:r>
        <w:t>.</w:t>
      </w:r>
    </w:p>
    <w:p w14:paraId="3C1DBBE1" w14:textId="77777777" w:rsidR="00745177" w:rsidRPr="00D74EDB" w:rsidRDefault="00745177" w:rsidP="00745177">
      <w:pPr>
        <w:pStyle w:val="Answer-Testimony"/>
        <w:numPr>
          <w:ilvl w:val="0"/>
          <w:numId w:val="2"/>
        </w:numPr>
      </w:pPr>
      <w:r w:rsidRPr="00D74EDB">
        <w:t>AD% = each class’s share of total average monthly coincident peak demand.</w:t>
      </w:r>
    </w:p>
    <w:p w14:paraId="3C1DBBE2" w14:textId="77777777" w:rsidR="00745177" w:rsidRPr="00D74EDB" w:rsidRDefault="00745177" w:rsidP="00745177">
      <w:pPr>
        <w:pStyle w:val="Answer-Testimony"/>
        <w:numPr>
          <w:ilvl w:val="0"/>
          <w:numId w:val="2"/>
        </w:numPr>
      </w:pPr>
      <w:r>
        <w:lastRenderedPageBreak/>
        <w:t>A</w:t>
      </w:r>
      <w:r w:rsidRPr="00D74EDB">
        <w:t xml:space="preserve">LF% = the system’s </w:t>
      </w:r>
      <w:proofErr w:type="spellStart"/>
      <w:r w:rsidRPr="00D74EDB">
        <w:t>a</w:t>
      </w:r>
      <w:r w:rsidR="0058164A">
        <w:t>MW</w:t>
      </w:r>
      <w:proofErr w:type="spellEnd"/>
      <w:r w:rsidRPr="00D74EDB">
        <w:t xml:space="preserve"> energy (total retail energy divided by annual hours) divided by the average</w:t>
      </w:r>
      <w:r>
        <w:t xml:space="preserve"> actual demand values registered on the</w:t>
      </w:r>
      <w:r w:rsidRPr="00D74EDB">
        <w:t xml:space="preserve"> </w:t>
      </w:r>
      <w:r>
        <w:t>monthly peak days for the test period (January through December)</w:t>
      </w:r>
      <w:r w:rsidR="00C83660">
        <w:t xml:space="preserve">, plus the system’s </w:t>
      </w:r>
      <w:proofErr w:type="spellStart"/>
      <w:r w:rsidR="00C83660">
        <w:t>aMW</w:t>
      </w:r>
      <w:proofErr w:type="spellEnd"/>
      <w:r w:rsidR="00C83660">
        <w:t xml:space="preserve"> energy</w:t>
      </w:r>
      <w:r w:rsidRPr="00D74EDB">
        <w:t>.</w:t>
      </w:r>
    </w:p>
    <w:p w14:paraId="3C1DBBE3" w14:textId="77777777" w:rsidR="000D62BF" w:rsidRPr="00A8126A" w:rsidRDefault="000D62BF" w:rsidP="00A8126A">
      <w:pPr>
        <w:pStyle w:val="Answer-Testimony"/>
      </w:pPr>
    </w:p>
    <w:p w14:paraId="3C1DBBE4" w14:textId="77777777" w:rsidR="000D62BF" w:rsidRDefault="000D62BF" w:rsidP="00A8126A">
      <w:pPr>
        <w:pStyle w:val="Question-Testimony"/>
      </w:pPr>
      <w:r>
        <w:t>Q.</w:t>
      </w:r>
      <w:r>
        <w:tab/>
        <w:t xml:space="preserve">Why should the Commission use </w:t>
      </w:r>
      <w:r w:rsidRPr="000D62BF">
        <w:t xml:space="preserve">the </w:t>
      </w:r>
      <w:r w:rsidR="00745177">
        <w:t>12-</w:t>
      </w:r>
      <w:r w:rsidRPr="0011480F">
        <w:t>coincident peak and average method</w:t>
      </w:r>
      <w:r w:rsidRPr="007047E1">
        <w:t xml:space="preserve"> </w:t>
      </w:r>
      <w:r w:rsidRPr="0011480F">
        <w:t>to allocate Transmission Costs?</w:t>
      </w:r>
    </w:p>
    <w:p w14:paraId="3C1DBBE5" w14:textId="77777777" w:rsidR="000D62BF" w:rsidRDefault="000D62BF" w:rsidP="008E3022">
      <w:pPr>
        <w:pStyle w:val="Answer-Testimony"/>
      </w:pPr>
      <w:r>
        <w:t>A.</w:t>
      </w:r>
      <w:r>
        <w:tab/>
      </w:r>
      <w:r w:rsidR="008E3022" w:rsidRPr="007047E1">
        <w:t>Typically, transmission cost</w:t>
      </w:r>
      <w:r>
        <w:t xml:space="preserve">s are </w:t>
      </w:r>
      <w:r w:rsidR="008E3022" w:rsidRPr="007047E1">
        <w:t>allocat</w:t>
      </w:r>
      <w:r>
        <w:t xml:space="preserve">ed using </w:t>
      </w:r>
      <w:r w:rsidR="008E3022" w:rsidRPr="007047E1">
        <w:t>production cost allocators</w:t>
      </w:r>
      <w:r w:rsidR="002D049E">
        <w:t xml:space="preserve"> </w:t>
      </w:r>
      <w:r w:rsidR="00286E47">
        <w:t xml:space="preserve">because </w:t>
      </w:r>
      <w:r w:rsidR="002D049E">
        <w:t>they are considered to be an extension of the production system</w:t>
      </w:r>
      <w:r w:rsidR="008E3022" w:rsidRPr="007047E1">
        <w:t>,</w:t>
      </w:r>
      <w:r w:rsidR="004F4FA9">
        <w:t xml:space="preserve"> which</w:t>
      </w:r>
      <w:r w:rsidR="008E3022" w:rsidRPr="007047E1">
        <w:t xml:space="preserve"> </w:t>
      </w:r>
      <w:r>
        <w:t xml:space="preserve">for Staff would </w:t>
      </w:r>
      <w:r w:rsidR="00AC552B">
        <w:t xml:space="preserve">have been </w:t>
      </w:r>
      <w:r w:rsidR="00DE1114">
        <w:t>average and excess demand method</w:t>
      </w:r>
      <w:r w:rsidR="00AC552B">
        <w:t>.</w:t>
      </w:r>
    </w:p>
    <w:p w14:paraId="3C1DBBE6" w14:textId="77777777" w:rsidR="008E3022" w:rsidRPr="00CE55AC" w:rsidRDefault="000D62BF" w:rsidP="008E3022">
      <w:pPr>
        <w:pStyle w:val="Answer-Testimony"/>
      </w:pPr>
      <w:r w:rsidRPr="00CE55AC">
        <w:tab/>
      </w:r>
      <w:r w:rsidRPr="00CE55AC">
        <w:tab/>
      </w:r>
      <w:r w:rsidR="008E3022" w:rsidRPr="00CE55AC">
        <w:t xml:space="preserve">However, </w:t>
      </w:r>
      <w:r w:rsidR="00745177" w:rsidRPr="00CE55AC">
        <w:t>the 12-</w:t>
      </w:r>
      <w:r w:rsidRPr="00CE55AC">
        <w:t xml:space="preserve">coincident peak and average method </w:t>
      </w:r>
      <w:r w:rsidR="0010320D" w:rsidRPr="00CE55AC">
        <w:t xml:space="preserve">provides a more appropriate weighting for demand to energy that reflects </w:t>
      </w:r>
      <w:r w:rsidR="00A039AF" w:rsidRPr="00CE55AC">
        <w:t xml:space="preserve">how the system is </w:t>
      </w:r>
      <w:r w:rsidR="001A415E" w:rsidRPr="00CE55AC">
        <w:t>design</w:t>
      </w:r>
      <w:r w:rsidR="000D26BE" w:rsidRPr="00CE55AC">
        <w:t>ed</w:t>
      </w:r>
      <w:r w:rsidR="001A415E" w:rsidRPr="00CE55AC">
        <w:t xml:space="preserve"> and</w:t>
      </w:r>
      <w:r w:rsidR="000D26BE" w:rsidRPr="00CE55AC">
        <w:t xml:space="preserve"> </w:t>
      </w:r>
      <w:r w:rsidR="001A415E" w:rsidRPr="00CE55AC">
        <w:t>operat</w:t>
      </w:r>
      <w:r w:rsidRPr="00CE55AC">
        <w:t>ed</w:t>
      </w:r>
      <w:r w:rsidR="002D049E" w:rsidRPr="00CE55AC">
        <w:t>, even under adverse operating conditions</w:t>
      </w:r>
      <w:r w:rsidR="000D26BE" w:rsidRPr="00CE55AC">
        <w:t>.</w:t>
      </w:r>
      <w:r w:rsidR="00745177" w:rsidRPr="00CE55AC">
        <w:t xml:space="preserve">  In this case, the weighting is </w:t>
      </w:r>
      <w:r w:rsidR="0064303F" w:rsidRPr="00CE55AC">
        <w:t>57</w:t>
      </w:r>
      <w:r w:rsidR="00745177" w:rsidRPr="00CE55AC">
        <w:t>.</w:t>
      </w:r>
      <w:r w:rsidR="0064303F" w:rsidRPr="00CE55AC">
        <w:t>89</w:t>
      </w:r>
      <w:r w:rsidR="00745177" w:rsidRPr="00CE55AC">
        <w:t xml:space="preserve"> percent demand and </w:t>
      </w:r>
      <w:r w:rsidR="0064303F" w:rsidRPr="00CE55AC">
        <w:t>42</w:t>
      </w:r>
      <w:r w:rsidR="00745177" w:rsidRPr="00CE55AC">
        <w:t>.</w:t>
      </w:r>
      <w:r w:rsidR="0064303F" w:rsidRPr="00CE55AC">
        <w:t>11</w:t>
      </w:r>
      <w:r w:rsidR="00745177" w:rsidRPr="00CE55AC">
        <w:t xml:space="preserve"> percent energy</w:t>
      </w:r>
      <w:r w:rsidR="0058164A" w:rsidRPr="00CE55AC">
        <w:t>, compared to average and excess demand method with a weighting of 30.73 percent demand and 69.27 percent energy</w:t>
      </w:r>
      <w:r w:rsidR="00745177" w:rsidRPr="00CE55AC">
        <w:t>.</w:t>
      </w:r>
    </w:p>
    <w:p w14:paraId="3C1DBBE7" w14:textId="77777777" w:rsidR="004A2948" w:rsidRDefault="000D26BE" w:rsidP="008E3022">
      <w:pPr>
        <w:pStyle w:val="Answer-Testimony"/>
      </w:pPr>
      <w:r w:rsidRPr="007047E1">
        <w:tab/>
      </w:r>
      <w:r w:rsidRPr="007047E1">
        <w:tab/>
        <w:t xml:space="preserve">In addition, the highest peak demand is the overriding </w:t>
      </w:r>
      <w:r>
        <w:t xml:space="preserve">consideration that drives power supply cost decisions.  The majority of </w:t>
      </w:r>
      <w:r w:rsidR="004A2948">
        <w:t>T</w:t>
      </w:r>
      <w:r>
        <w:t xml:space="preserve">ransmission </w:t>
      </w:r>
      <w:r w:rsidR="004A2948">
        <w:t xml:space="preserve">Costs represent a </w:t>
      </w:r>
      <w:r>
        <w:t>fixed cost</w:t>
      </w:r>
      <w:r w:rsidR="004A2948">
        <w:t xml:space="preserve">, and transmission plant </w:t>
      </w:r>
      <w:r>
        <w:t xml:space="preserve">is built </w:t>
      </w:r>
      <w:r w:rsidR="004A2948">
        <w:t xml:space="preserve">to meet the utility’s </w:t>
      </w:r>
      <w:r>
        <w:t xml:space="preserve">capacity needs </w:t>
      </w:r>
      <w:r w:rsidR="004A2948">
        <w:t>at</w:t>
      </w:r>
      <w:r>
        <w:t xml:space="preserve"> the system’s highest peak</w:t>
      </w:r>
      <w:r w:rsidR="004F4FA9">
        <w:t>.  The system</w:t>
      </w:r>
      <w:r>
        <w:t xml:space="preserve"> uses a portion of that</w:t>
      </w:r>
      <w:r w:rsidR="004F4FA9">
        <w:t xml:space="preserve"> transmission</w:t>
      </w:r>
      <w:r>
        <w:t xml:space="preserve"> capacity on an average basis.</w:t>
      </w:r>
    </w:p>
    <w:p w14:paraId="3C1DBBE8" w14:textId="20A8E0F8" w:rsidR="000D26BE" w:rsidRPr="00CE55AC" w:rsidRDefault="004A2948" w:rsidP="008E3022">
      <w:pPr>
        <w:pStyle w:val="Answer-Testimony"/>
      </w:pPr>
      <w:r w:rsidRPr="00CE55AC">
        <w:tab/>
      </w:r>
      <w:r w:rsidRPr="00CE55AC">
        <w:tab/>
      </w:r>
      <w:r w:rsidR="000D26BE" w:rsidRPr="00CE55AC">
        <w:t>Staff used 12</w:t>
      </w:r>
      <w:r w:rsidR="00745177" w:rsidRPr="00CE55AC">
        <w:t>-</w:t>
      </w:r>
      <w:r w:rsidRPr="00CE55AC">
        <w:t>coincident peaks rather than one</w:t>
      </w:r>
      <w:r w:rsidR="000D26BE" w:rsidRPr="00CE55AC">
        <w:t xml:space="preserve">, to reflect </w:t>
      </w:r>
      <w:r w:rsidRPr="00CE55AC">
        <w:t xml:space="preserve">the fact </w:t>
      </w:r>
      <w:r w:rsidR="000D26BE" w:rsidRPr="00CE55AC">
        <w:t xml:space="preserve">that utilities install </w:t>
      </w:r>
      <w:r w:rsidRPr="00CE55AC">
        <w:t xml:space="preserve">transmission </w:t>
      </w:r>
      <w:r w:rsidR="000D26BE" w:rsidRPr="00CE55AC">
        <w:t xml:space="preserve">facilities to maintain a reasonably constant level of reliability throughout the year; therefore, no single peak demand is of any significantly greater magnitude than any of the other monthly </w:t>
      </w:r>
      <w:r w:rsidRPr="00CE55AC">
        <w:t>coincident peak demands</w:t>
      </w:r>
      <w:r w:rsidR="004F4FA9" w:rsidRPr="00CE55AC">
        <w:t xml:space="preserve">.  </w:t>
      </w:r>
      <w:r w:rsidRPr="00CE55AC">
        <w:t xml:space="preserve">In this way, </w:t>
      </w:r>
      <w:r w:rsidR="004F4FA9" w:rsidRPr="00CE55AC">
        <w:lastRenderedPageBreak/>
        <w:t xml:space="preserve">Staff’s </w:t>
      </w:r>
      <w:r w:rsidRPr="00CE55AC">
        <w:t xml:space="preserve">method </w:t>
      </w:r>
      <w:r w:rsidR="004F4FA9" w:rsidRPr="00CE55AC">
        <w:t>considers</w:t>
      </w:r>
      <w:r w:rsidR="000D26BE" w:rsidRPr="00CE55AC">
        <w:t xml:space="preserve"> the relative importance of each month</w:t>
      </w:r>
      <w:r w:rsidR="0058164A" w:rsidRPr="00CE55AC">
        <w:t>, even though the highest system’s peak drives the sizing requirements of the transmission plant</w:t>
      </w:r>
      <w:r w:rsidR="0064303F" w:rsidRPr="00CE55AC">
        <w:t>; otherwise, the weighting would have been 61.21 percent demand and 38.79 percent energy.</w:t>
      </w:r>
      <w:r w:rsidR="00FE4DFB" w:rsidRPr="00CE55AC">
        <w:t xml:space="preserve">  Also, the 12-coincident peaks is stable over a long time period by having relatively small variance compared to an ordinary peak and average method, as shown in my Exhibit No. ___ (</w:t>
      </w:r>
      <w:proofErr w:type="spellStart"/>
      <w:r w:rsidR="00FE4DFB" w:rsidRPr="00CE55AC">
        <w:t>CTM</w:t>
      </w:r>
      <w:proofErr w:type="spellEnd"/>
      <w:r w:rsidR="00FE4DFB" w:rsidRPr="00CE55AC">
        <w:t>-4) on page</w:t>
      </w:r>
      <w:r w:rsidR="00AD461E" w:rsidRPr="00CE55AC">
        <w:t>s</w:t>
      </w:r>
      <w:r w:rsidR="00FE4DFB" w:rsidRPr="00CE55AC">
        <w:t xml:space="preserve"> 4</w:t>
      </w:r>
      <w:r w:rsidR="00AD461E" w:rsidRPr="00CE55AC">
        <w:t xml:space="preserve"> and 5</w:t>
      </w:r>
      <w:r w:rsidR="00FE4DFB" w:rsidRPr="00CE55AC">
        <w:t>.</w:t>
      </w:r>
    </w:p>
    <w:p w14:paraId="3C1DBBE9" w14:textId="77777777" w:rsidR="005C5B40" w:rsidRDefault="005C5B40" w:rsidP="001C1A34">
      <w:pPr>
        <w:pStyle w:val="Answer-Testimony"/>
      </w:pPr>
    </w:p>
    <w:p w14:paraId="3C1DBBEA" w14:textId="77777777" w:rsidR="002F1C10" w:rsidRPr="007E50F7" w:rsidRDefault="002F1C10" w:rsidP="00A670D4">
      <w:pPr>
        <w:pStyle w:val="Heading6"/>
      </w:pPr>
      <w:r w:rsidRPr="002E5E02">
        <w:t xml:space="preserve"> </w:t>
      </w:r>
      <w:bookmarkStart w:id="20" w:name="_Toc391992038"/>
      <w:bookmarkStart w:id="21" w:name="_Toc393696921"/>
      <w:r>
        <w:t>Classification and Allocation of Wind Costs</w:t>
      </w:r>
      <w:bookmarkEnd w:id="20"/>
      <w:bookmarkEnd w:id="21"/>
    </w:p>
    <w:p w14:paraId="3C1DBBEB" w14:textId="77777777" w:rsidR="002F1C10" w:rsidRPr="007047E1" w:rsidRDefault="002F1C10" w:rsidP="002F1C10">
      <w:pPr>
        <w:pStyle w:val="Question-Testimony"/>
        <w:ind w:left="0" w:firstLine="0"/>
      </w:pPr>
    </w:p>
    <w:p w14:paraId="3C1DBBEC" w14:textId="77777777" w:rsidR="002F1C10" w:rsidRPr="00DA48BC" w:rsidRDefault="00521A5B" w:rsidP="00DA65B8">
      <w:pPr>
        <w:pStyle w:val="Question-Testimony"/>
      </w:pPr>
      <w:r>
        <w:t>Q.</w:t>
      </w:r>
      <w:r>
        <w:tab/>
        <w:t>What are “Wind Costs?”</w:t>
      </w:r>
    </w:p>
    <w:p w14:paraId="3C1DBBED" w14:textId="77777777" w:rsidR="00521A5B" w:rsidRPr="00B15387" w:rsidRDefault="00521A5B" w:rsidP="00DA65B8">
      <w:pPr>
        <w:pStyle w:val="Answer-Testimony"/>
      </w:pPr>
      <w:r>
        <w:t>A.</w:t>
      </w:r>
      <w:r>
        <w:tab/>
      </w:r>
      <w:r w:rsidR="0037608C">
        <w:t>Wind Costs are n</w:t>
      </w:r>
      <w:r w:rsidR="0037608C" w:rsidRPr="00593A44">
        <w:t>on-</w:t>
      </w:r>
      <w:proofErr w:type="spellStart"/>
      <w:r w:rsidR="0037608C" w:rsidRPr="00593A44">
        <w:t>dispatchable</w:t>
      </w:r>
      <w:proofErr w:type="spellEnd"/>
      <w:r w:rsidR="0037608C" w:rsidRPr="00593A44">
        <w:t xml:space="preserve"> </w:t>
      </w:r>
      <w:r w:rsidR="0037608C">
        <w:t>wind-b</w:t>
      </w:r>
      <w:r w:rsidR="0042635F">
        <w:t>ased renewable generation plant</w:t>
      </w:r>
      <w:r w:rsidR="0042635F" w:rsidRPr="0042635F">
        <w:t xml:space="preserve"> </w:t>
      </w:r>
      <w:r w:rsidR="0042635F">
        <w:t xml:space="preserve">and </w:t>
      </w:r>
      <w:r w:rsidR="0042635F" w:rsidRPr="00F11A8F">
        <w:t>costs relate</w:t>
      </w:r>
      <w:r w:rsidR="00DA65B8">
        <w:t>d</w:t>
      </w:r>
      <w:r w:rsidR="0042635F" w:rsidRPr="00F11A8F">
        <w:t xml:space="preserve"> to FERC </w:t>
      </w:r>
      <w:r w:rsidR="00DA65B8">
        <w:t>A</w:t>
      </w:r>
      <w:r w:rsidR="0042635F">
        <w:t>ccounts 555</w:t>
      </w:r>
      <w:r w:rsidR="0042635F" w:rsidRPr="008C6358">
        <w:rPr>
          <w:rStyle w:val="FootnoteReference"/>
        </w:rPr>
        <w:footnoteReference w:id="16"/>
      </w:r>
      <w:r w:rsidR="0042635F" w:rsidRPr="00F11A8F">
        <w:t xml:space="preserve"> </w:t>
      </w:r>
      <w:r w:rsidR="0042635F">
        <w:t>and 186</w:t>
      </w:r>
      <w:r w:rsidR="0037608C">
        <w:t>.</w:t>
      </w:r>
    </w:p>
    <w:p w14:paraId="3C1DBBEE" w14:textId="77777777" w:rsidR="00521A5B" w:rsidRDefault="00521A5B" w:rsidP="003863F6">
      <w:pPr>
        <w:pStyle w:val="Answer-Testimony"/>
      </w:pPr>
    </w:p>
    <w:p w14:paraId="3C1DBBEF" w14:textId="77777777" w:rsidR="002F1C10" w:rsidRPr="002F1C10" w:rsidRDefault="002F1C10" w:rsidP="002F1C10">
      <w:pPr>
        <w:pStyle w:val="Question-Testimony"/>
      </w:pPr>
      <w:r w:rsidRPr="002F1C10">
        <w:t>Q.</w:t>
      </w:r>
      <w:r w:rsidRPr="002F1C10">
        <w:tab/>
        <w:t xml:space="preserve">How did Staff </w:t>
      </w:r>
      <w:r w:rsidR="0037608C">
        <w:t xml:space="preserve">classify and </w:t>
      </w:r>
      <w:r w:rsidRPr="002F1C10">
        <w:t>allocate Wind Costs?</w:t>
      </w:r>
    </w:p>
    <w:p w14:paraId="3C1DBBF0" w14:textId="77777777" w:rsidR="002F1C10" w:rsidRPr="00593A44" w:rsidRDefault="002F1C10" w:rsidP="00593A44">
      <w:pPr>
        <w:pStyle w:val="Answer-Testimony"/>
      </w:pPr>
      <w:r w:rsidRPr="00593A44">
        <w:t>A.</w:t>
      </w:r>
      <w:r w:rsidRPr="00593A44">
        <w:tab/>
        <w:t xml:space="preserve">Staff </w:t>
      </w:r>
      <w:r w:rsidR="001B4C44">
        <w:t>classified Wind Costs as energy-</w:t>
      </w:r>
      <w:r w:rsidR="0037608C">
        <w:t xml:space="preserve">related and </w:t>
      </w:r>
      <w:r w:rsidRPr="00593A44">
        <w:t xml:space="preserve">allocated </w:t>
      </w:r>
      <w:r w:rsidR="0037608C">
        <w:t>those c</w:t>
      </w:r>
      <w:r w:rsidRPr="00593A44">
        <w:t xml:space="preserve">osts </w:t>
      </w:r>
      <w:r w:rsidR="00420538" w:rsidRPr="00593A44">
        <w:t>based on 100 percent generation level consumption (i.e., 100 percent energy</w:t>
      </w:r>
      <w:r w:rsidR="0037608C">
        <w:t xml:space="preserve"> before line losses</w:t>
      </w:r>
      <w:r w:rsidR="00420538" w:rsidRPr="00593A44">
        <w:t>)</w:t>
      </w:r>
      <w:r w:rsidRPr="00593A44">
        <w:t xml:space="preserve">.  </w:t>
      </w:r>
      <w:r w:rsidR="00B45A33" w:rsidRPr="00593A44">
        <w:t xml:space="preserve">This aligns </w:t>
      </w:r>
      <w:r w:rsidR="004C0984" w:rsidRPr="00593A44">
        <w:t xml:space="preserve">the way the costs are collected with </w:t>
      </w:r>
      <w:r w:rsidR="00521A5B">
        <w:t xml:space="preserve">how </w:t>
      </w:r>
      <w:r w:rsidR="004C0984" w:rsidRPr="00593A44">
        <w:t xml:space="preserve">the benefits are being provided to customers through the </w:t>
      </w:r>
      <w:r w:rsidR="00B45A33" w:rsidRPr="00593A44">
        <w:t>Renewable Energy Credit (“REC”)</w:t>
      </w:r>
      <w:r w:rsidR="004C0984" w:rsidRPr="00593A44">
        <w:t xml:space="preserve"> proposal of a uniform rebate across all rate classes.</w:t>
      </w:r>
      <w:r w:rsidR="004C0984" w:rsidRPr="00CA7E0A">
        <w:rPr>
          <w:rStyle w:val="FootnoteReference"/>
        </w:rPr>
        <w:footnoteReference w:id="17"/>
      </w:r>
    </w:p>
    <w:p w14:paraId="3C1DBBF1" w14:textId="77777777" w:rsidR="002F1C10" w:rsidRPr="002F1C10" w:rsidRDefault="002F1C10" w:rsidP="002F1C10">
      <w:pPr>
        <w:pStyle w:val="Answer-Testimony"/>
        <w:rPr>
          <w:color w:val="FF0000"/>
        </w:rPr>
      </w:pPr>
    </w:p>
    <w:p w14:paraId="3C1DBBF2" w14:textId="77777777" w:rsidR="002F1C10" w:rsidRPr="00420538" w:rsidRDefault="008E3022" w:rsidP="00420538">
      <w:pPr>
        <w:pStyle w:val="Question-Testimony"/>
      </w:pPr>
      <w:r w:rsidRPr="007047E1">
        <w:t>Q.</w:t>
      </w:r>
      <w:r w:rsidRPr="007047E1">
        <w:tab/>
        <w:t xml:space="preserve">Please explain </w:t>
      </w:r>
      <w:r w:rsidR="002F1C10" w:rsidRPr="00420538">
        <w:t>how Avista</w:t>
      </w:r>
      <w:r w:rsidR="00B15387">
        <w:t xml:space="preserve"> </w:t>
      </w:r>
      <w:r w:rsidR="002F1C10" w:rsidRPr="00420538">
        <w:t xml:space="preserve">allocates </w:t>
      </w:r>
      <w:r w:rsidR="00420538" w:rsidRPr="00420538">
        <w:t>Wind C</w:t>
      </w:r>
      <w:r w:rsidR="002F1C10" w:rsidRPr="00420538">
        <w:t>osts.</w:t>
      </w:r>
    </w:p>
    <w:p w14:paraId="3C1DBBF3" w14:textId="77777777" w:rsidR="002F1C10" w:rsidRPr="00CE55AC" w:rsidRDefault="002F1C10" w:rsidP="00593A44">
      <w:pPr>
        <w:pStyle w:val="Answer-Testimony"/>
      </w:pPr>
      <w:r w:rsidRPr="00CE55AC">
        <w:lastRenderedPageBreak/>
        <w:t>A.</w:t>
      </w:r>
      <w:r w:rsidRPr="00CE55AC">
        <w:tab/>
        <w:t xml:space="preserve">Avista allocates </w:t>
      </w:r>
      <w:r w:rsidR="00420538" w:rsidRPr="00CE55AC">
        <w:t>Wind C</w:t>
      </w:r>
      <w:r w:rsidRPr="00CE55AC">
        <w:t xml:space="preserve">osts </w:t>
      </w:r>
      <w:r w:rsidR="004C0984" w:rsidRPr="00CE55AC">
        <w:t>based on production plant</w:t>
      </w:r>
      <w:r w:rsidR="00521A5B" w:rsidRPr="00CE55AC">
        <w:t xml:space="preserve">, by </w:t>
      </w:r>
      <w:r w:rsidR="00593A44" w:rsidRPr="00CE55AC">
        <w:t xml:space="preserve">applying a percentage weighting for classification of demand- and energy-related costs in </w:t>
      </w:r>
      <w:r w:rsidR="0037608C" w:rsidRPr="00CE55AC">
        <w:t>the Company</w:t>
      </w:r>
      <w:r w:rsidR="00593A44" w:rsidRPr="00CE55AC">
        <w:t>’s cost of service study are 3</w:t>
      </w:r>
      <w:r w:rsidR="0037608C" w:rsidRPr="00CE55AC">
        <w:t>1</w:t>
      </w:r>
      <w:r w:rsidR="00593A44" w:rsidRPr="00CE55AC">
        <w:t>.</w:t>
      </w:r>
      <w:r w:rsidR="0037608C" w:rsidRPr="00CE55AC">
        <w:t>2</w:t>
      </w:r>
      <w:r w:rsidR="00593A44" w:rsidRPr="00CE55AC">
        <w:t>7 percent demand-related and 6</w:t>
      </w:r>
      <w:r w:rsidR="0037608C" w:rsidRPr="00CE55AC">
        <w:t>8</w:t>
      </w:r>
      <w:r w:rsidR="00593A44" w:rsidRPr="00CE55AC">
        <w:t>.7</w:t>
      </w:r>
      <w:r w:rsidR="0037608C" w:rsidRPr="00CE55AC">
        <w:t>3</w:t>
      </w:r>
      <w:r w:rsidR="00593A44" w:rsidRPr="00CE55AC">
        <w:t xml:space="preserve"> percent energy-related.</w:t>
      </w:r>
    </w:p>
    <w:p w14:paraId="3C1DBBF4" w14:textId="77777777" w:rsidR="00B93E5B" w:rsidRDefault="00B93E5B" w:rsidP="001909BE">
      <w:pPr>
        <w:pStyle w:val="Answer-Testimony"/>
      </w:pPr>
    </w:p>
    <w:p w14:paraId="3C1DBBF5" w14:textId="77777777" w:rsidR="00B93E5B" w:rsidRDefault="001909BE" w:rsidP="00B1527F">
      <w:pPr>
        <w:pStyle w:val="Question-Testimony"/>
      </w:pPr>
      <w:r>
        <w:t>Q.</w:t>
      </w:r>
      <w:r>
        <w:tab/>
        <w:t xml:space="preserve">Is </w:t>
      </w:r>
      <w:r w:rsidR="003D57F0">
        <w:t>allocation of Wind Costs based on production plant appropriate?</w:t>
      </w:r>
    </w:p>
    <w:p w14:paraId="3C1DBBF6" w14:textId="77777777" w:rsidR="003D57F0" w:rsidRDefault="00B93E5B" w:rsidP="00593A44">
      <w:pPr>
        <w:pStyle w:val="Answer-Testimony"/>
      </w:pPr>
      <w:r w:rsidRPr="00532110">
        <w:t>A.</w:t>
      </w:r>
      <w:r w:rsidRPr="00532110">
        <w:tab/>
      </w:r>
      <w:r w:rsidR="003D57F0">
        <w:t xml:space="preserve">No.  Allocating Wind Costs based on production plant does not align costs and benefits, nor does it reflect </w:t>
      </w:r>
      <w:r w:rsidR="00593A44" w:rsidRPr="00593A44">
        <w:t>the way non-</w:t>
      </w:r>
      <w:proofErr w:type="spellStart"/>
      <w:r w:rsidR="00593A44" w:rsidRPr="00593A44">
        <w:t>dispatchable</w:t>
      </w:r>
      <w:proofErr w:type="spellEnd"/>
      <w:r w:rsidR="00593A44" w:rsidRPr="00593A44">
        <w:t xml:space="preserve"> </w:t>
      </w:r>
      <w:r w:rsidR="00593A44">
        <w:t xml:space="preserve">generation </w:t>
      </w:r>
      <w:r w:rsidR="00593A44" w:rsidRPr="00593A44">
        <w:t>plant</w:t>
      </w:r>
      <w:r w:rsidR="00976048">
        <w:t>s</w:t>
      </w:r>
      <w:r w:rsidR="00593A44" w:rsidRPr="00593A44">
        <w:t xml:space="preserve"> </w:t>
      </w:r>
      <w:r w:rsidR="003D57F0">
        <w:t xml:space="preserve">such as wind facilities </w:t>
      </w:r>
      <w:r w:rsidR="00593A44" w:rsidRPr="00593A44">
        <w:t xml:space="preserve">operate.  </w:t>
      </w:r>
    </w:p>
    <w:p w14:paraId="3C1DBBF7" w14:textId="77777777" w:rsidR="00593A44" w:rsidRPr="00593A44" w:rsidRDefault="003D57F0" w:rsidP="00593A44">
      <w:pPr>
        <w:pStyle w:val="Answer-Testimony"/>
      </w:pPr>
      <w:r>
        <w:tab/>
      </w:r>
      <w:r>
        <w:tab/>
        <w:t>For example, t</w:t>
      </w:r>
      <w:r w:rsidR="00B45A33" w:rsidRPr="00593A44">
        <w:t xml:space="preserve">he Company’s </w:t>
      </w:r>
      <w:r w:rsidR="00976048">
        <w:t xml:space="preserve">2013 </w:t>
      </w:r>
      <w:r w:rsidR="00B45A33" w:rsidRPr="00593A44">
        <w:t>I</w:t>
      </w:r>
      <w:r w:rsidR="00D15D50">
        <w:t xml:space="preserve">ntegrated </w:t>
      </w:r>
      <w:r w:rsidR="00B45A33" w:rsidRPr="00593A44">
        <w:t>R</w:t>
      </w:r>
      <w:r w:rsidR="00D15D50">
        <w:t xml:space="preserve">esource </w:t>
      </w:r>
      <w:r w:rsidR="00B45A33" w:rsidRPr="00593A44">
        <w:t>P</w:t>
      </w:r>
      <w:r w:rsidR="00D15D50">
        <w:t>lan (“</w:t>
      </w:r>
      <w:proofErr w:type="spellStart"/>
      <w:r w:rsidR="00D15D50">
        <w:t>IRP</w:t>
      </w:r>
      <w:proofErr w:type="spellEnd"/>
      <w:r w:rsidR="00D15D50">
        <w:t>”)</w:t>
      </w:r>
      <w:r w:rsidR="00B45A33" w:rsidRPr="00593A44">
        <w:t xml:space="preserve"> stat</w:t>
      </w:r>
      <w:r w:rsidR="00593A44">
        <w:t>es, “</w:t>
      </w:r>
      <w:r w:rsidR="00D15D50">
        <w:t>[r]</w:t>
      </w:r>
      <w:proofErr w:type="spellStart"/>
      <w:r w:rsidR="00D15D50">
        <w:t>enewable</w:t>
      </w:r>
      <w:proofErr w:type="spellEnd"/>
      <w:r w:rsidR="00D15D50">
        <w:t xml:space="preserve"> resources are attractive because they have low or no fuel costs and few, if any, direct emissions.  However, solar- and wind-based renewable generation has </w:t>
      </w:r>
      <w:r w:rsidR="00D15D50" w:rsidRPr="00976048">
        <w:rPr>
          <w:i/>
          <w:u w:val="single"/>
        </w:rPr>
        <w:t>limited or no capacity value</w:t>
      </w:r>
      <w:r w:rsidR="00D15D50">
        <w:t xml:space="preserve"> for the operations of Avista’s system, and their variable output presents integration challenges requiring additional non-variable capacity investments</w:t>
      </w:r>
      <w:r w:rsidR="00B45A33" w:rsidRPr="00593A44">
        <w:t>.”</w:t>
      </w:r>
      <w:r w:rsidR="00B45A33" w:rsidRPr="00593A44">
        <w:rPr>
          <w:rStyle w:val="FootnoteReference"/>
        </w:rPr>
        <w:footnoteReference w:id="18"/>
      </w:r>
      <w:r w:rsidR="000B2C79">
        <w:t xml:space="preserve">  This means the Company must assign a higher planning reserve margin</w:t>
      </w:r>
      <w:r>
        <w:t xml:space="preserve"> to wind facilities</w:t>
      </w:r>
      <w:r w:rsidR="000B2C79">
        <w:t>, which</w:t>
      </w:r>
      <w:r>
        <w:t>,</w:t>
      </w:r>
      <w:r w:rsidR="000B2C79">
        <w:t xml:space="preserve"> on average “increase</w:t>
      </w:r>
      <w:r>
        <w:t>[s]</w:t>
      </w:r>
      <w:r w:rsidR="000B2C79">
        <w:t xml:space="preserve"> customer rates when compared to resource portfolios without reserves because of the additional cost of carrying additional generating capacity that is rarely used.”</w:t>
      </w:r>
      <w:r w:rsidR="000B2C79">
        <w:rPr>
          <w:rStyle w:val="FootnoteReference"/>
        </w:rPr>
        <w:footnoteReference w:id="19"/>
      </w:r>
      <w:r w:rsidR="003B531D">
        <w:t xml:space="preserve">  </w:t>
      </w:r>
      <w:r w:rsidR="0037608C">
        <w:t>Reserve</w:t>
      </w:r>
      <w:r w:rsidR="003B531D">
        <w:t xml:space="preserve"> resources are typically natural gas-fired </w:t>
      </w:r>
      <w:proofErr w:type="spellStart"/>
      <w:r w:rsidR="003B531D">
        <w:t>peaker</w:t>
      </w:r>
      <w:proofErr w:type="spellEnd"/>
      <w:r w:rsidR="003B531D">
        <w:t xml:space="preserve"> plants that “allow the plants to start and ramp quickly, providing regulation services and reserves for load following and to integrate variable resources such as wind and solar.”</w:t>
      </w:r>
      <w:r w:rsidR="003B531D">
        <w:rPr>
          <w:rStyle w:val="FootnoteReference"/>
        </w:rPr>
        <w:footnoteReference w:id="20"/>
      </w:r>
    </w:p>
    <w:p w14:paraId="3C1DBBF8" w14:textId="77777777" w:rsidR="001B4C44" w:rsidRDefault="001B4C44" w:rsidP="001B4C44">
      <w:pPr>
        <w:pStyle w:val="Answer-Testimony"/>
      </w:pPr>
    </w:p>
    <w:p w14:paraId="3C1DBBF9" w14:textId="77777777" w:rsidR="001B4C44" w:rsidRDefault="001B4C44" w:rsidP="001B4C44">
      <w:pPr>
        <w:pStyle w:val="Question-Testimony"/>
      </w:pPr>
      <w:r>
        <w:t>Q.</w:t>
      </w:r>
      <w:r>
        <w:tab/>
        <w:t>Why did Staff allocation only Wind Costs and not Solar Costs?</w:t>
      </w:r>
    </w:p>
    <w:p w14:paraId="3C1DBBFA" w14:textId="77777777" w:rsidR="001B4C44" w:rsidRDefault="001B4C44" w:rsidP="001B4C44">
      <w:pPr>
        <w:pStyle w:val="Answer-Testimony"/>
      </w:pPr>
      <w:r w:rsidRPr="00532110">
        <w:t>A.</w:t>
      </w:r>
      <w:r w:rsidRPr="00532110">
        <w:tab/>
      </w:r>
      <w:r>
        <w:t xml:space="preserve">The Company has two solar installations; </w:t>
      </w:r>
      <w:r w:rsidR="007C5ED1">
        <w:t>a 15 kW</w:t>
      </w:r>
      <w:r>
        <w:t xml:space="preserve"> Rathdrum </w:t>
      </w:r>
      <w:r w:rsidR="007C5ED1">
        <w:t xml:space="preserve">Solar project </w:t>
      </w:r>
      <w:r>
        <w:t xml:space="preserve">and an array of four solar panels on the Company’s headquarters.  Rathdrum </w:t>
      </w:r>
      <w:r w:rsidR="007C5ED1">
        <w:t xml:space="preserve">Solar </w:t>
      </w:r>
      <w:r>
        <w:t>is</w:t>
      </w:r>
      <w:r w:rsidR="007C5ED1">
        <w:t xml:space="preserve"> funded by participating </w:t>
      </w:r>
      <w:r>
        <w:t xml:space="preserve">customers through </w:t>
      </w:r>
      <w:r w:rsidR="007C5ED1">
        <w:t xml:space="preserve">a voluntary renewable energy program, called </w:t>
      </w:r>
      <w:r>
        <w:t>“Buck-A-Block</w:t>
      </w:r>
      <w:r w:rsidR="007C5ED1">
        <w:t>,</w:t>
      </w:r>
      <w:r>
        <w:t>”</w:t>
      </w:r>
      <w:r w:rsidR="007C5ED1">
        <w:rPr>
          <w:rStyle w:val="FootnoteReference"/>
        </w:rPr>
        <w:footnoteReference w:id="21"/>
      </w:r>
      <w:r>
        <w:t xml:space="preserve"> while the four solar panels strictly supply electricity to the Company’s electric vehicles onsite</w:t>
      </w:r>
      <w:r w:rsidR="003863F6">
        <w:t xml:space="preserve"> and appear to be de minims</w:t>
      </w:r>
      <w:r>
        <w:t>.</w:t>
      </w:r>
    </w:p>
    <w:p w14:paraId="3C1DBBFB" w14:textId="77777777" w:rsidR="002F1C10" w:rsidRPr="00D65C20" w:rsidRDefault="001B4C44" w:rsidP="00DA65B8">
      <w:pPr>
        <w:pStyle w:val="Answer-Testimony"/>
        <w:ind w:firstLine="720"/>
      </w:pPr>
      <w:r>
        <w:t xml:space="preserve">Otherwise, Staff </w:t>
      </w:r>
      <w:r w:rsidRPr="00662816">
        <w:t>would have used the same</w:t>
      </w:r>
      <w:r w:rsidRPr="0091392B">
        <w:t xml:space="preserve"> approach</w:t>
      </w:r>
      <w:r>
        <w:t xml:space="preserve"> applied to Wind Costs</w:t>
      </w:r>
      <w:r w:rsidRPr="00662816">
        <w:t xml:space="preserve"> for </w:t>
      </w:r>
      <w:r w:rsidRPr="0091392B">
        <w:t xml:space="preserve">classifying </w:t>
      </w:r>
      <w:r w:rsidRPr="00D65C20">
        <w:t xml:space="preserve">and allocating </w:t>
      </w:r>
      <w:r>
        <w:t xml:space="preserve">to </w:t>
      </w:r>
      <w:r w:rsidRPr="00662816">
        <w:t>any non-</w:t>
      </w:r>
      <w:proofErr w:type="spellStart"/>
      <w:r w:rsidRPr="00662816">
        <w:t>dispatchable</w:t>
      </w:r>
      <w:proofErr w:type="spellEnd"/>
      <w:r w:rsidRPr="00662816">
        <w:t xml:space="preserve"> generation plants </w:t>
      </w:r>
      <w:r>
        <w:t>t</w:t>
      </w:r>
      <w:r w:rsidRPr="00662816">
        <w:t>h</w:t>
      </w:r>
      <w:r>
        <w:t>at has</w:t>
      </w:r>
      <w:r w:rsidRPr="00662816">
        <w:t xml:space="preserve"> </w:t>
      </w:r>
      <w:r w:rsidRPr="00DA65B8">
        <w:t>limited or no capacity value</w:t>
      </w:r>
      <w:r w:rsidRPr="00662816">
        <w:t xml:space="preserve"> for the </w:t>
      </w:r>
      <w:r>
        <w:t xml:space="preserve">system, such as </w:t>
      </w:r>
      <w:r w:rsidR="00D65C20">
        <w:t>s</w:t>
      </w:r>
      <w:r w:rsidRPr="00662816">
        <w:t>olar</w:t>
      </w:r>
      <w:r w:rsidRPr="0091392B">
        <w:t>.</w:t>
      </w:r>
    </w:p>
    <w:p w14:paraId="3C1DBBFC" w14:textId="77777777" w:rsidR="001B4C44" w:rsidRPr="00593A44" w:rsidRDefault="001B4C44" w:rsidP="001B4C44">
      <w:pPr>
        <w:pStyle w:val="Answer-Testimony"/>
      </w:pPr>
    </w:p>
    <w:p w14:paraId="3C1DBBFD" w14:textId="77777777" w:rsidR="00505078" w:rsidRPr="007E50F7" w:rsidRDefault="0012140E" w:rsidP="00505078">
      <w:pPr>
        <w:pStyle w:val="Heading3"/>
      </w:pPr>
      <w:bookmarkStart w:id="22" w:name="_Toc391992039"/>
      <w:bookmarkStart w:id="23" w:name="_Toc393696922"/>
      <w:r>
        <w:t>Company’s Cost of Service Study</w:t>
      </w:r>
      <w:bookmarkEnd w:id="22"/>
      <w:bookmarkEnd w:id="23"/>
    </w:p>
    <w:p w14:paraId="3C1DBBFE" w14:textId="77777777" w:rsidR="005C5B40" w:rsidRDefault="005C5B40" w:rsidP="001C1A34">
      <w:pPr>
        <w:pStyle w:val="Answer-Testimony"/>
      </w:pPr>
    </w:p>
    <w:p w14:paraId="3C1DBBFF" w14:textId="77777777" w:rsidR="00577DA8" w:rsidRPr="00ED1E5A" w:rsidRDefault="00577DA8" w:rsidP="00577DA8">
      <w:pPr>
        <w:pStyle w:val="Question-Testimony"/>
      </w:pPr>
      <w:r w:rsidRPr="00ED1E5A">
        <w:t>Q.</w:t>
      </w:r>
      <w:r w:rsidRPr="00ED1E5A">
        <w:tab/>
        <w:t>Did Staff review the Company’s proposed electric cost of service study?</w:t>
      </w:r>
    </w:p>
    <w:p w14:paraId="3C1DBC00" w14:textId="77777777" w:rsidR="00577DA8" w:rsidRPr="00DA4972" w:rsidRDefault="00577DA8" w:rsidP="00577DA8">
      <w:pPr>
        <w:pStyle w:val="Answer-Testimony"/>
        <w:rPr>
          <w:color w:val="FF0000"/>
        </w:rPr>
      </w:pPr>
      <w:r w:rsidRPr="00ED1E5A">
        <w:t>A.</w:t>
      </w:r>
      <w:r w:rsidRPr="00ED1E5A">
        <w:tab/>
        <w:t xml:space="preserve">Yes.  The Company’s proposed electric cost of service is contained in Ms. Knox’s Exhibit No. </w:t>
      </w:r>
      <w:r w:rsidR="00286E47">
        <w:t>___ (</w:t>
      </w:r>
      <w:proofErr w:type="spellStart"/>
      <w:r w:rsidRPr="00ED1E5A">
        <w:t>TLK</w:t>
      </w:r>
      <w:proofErr w:type="spellEnd"/>
      <w:r w:rsidRPr="00ED1E5A">
        <w:t>-3</w:t>
      </w:r>
      <w:r w:rsidR="00286E47">
        <w:t>)</w:t>
      </w:r>
      <w:r w:rsidRPr="00ED1E5A">
        <w:t>.</w:t>
      </w:r>
    </w:p>
    <w:p w14:paraId="3C1DBC01" w14:textId="77777777" w:rsidR="00577DA8" w:rsidRPr="005D1597" w:rsidRDefault="00577DA8" w:rsidP="00577DA8">
      <w:pPr>
        <w:pStyle w:val="Question-Testimony"/>
        <w:ind w:left="0" w:firstLine="0"/>
      </w:pPr>
    </w:p>
    <w:p w14:paraId="3C1DBC02" w14:textId="77777777" w:rsidR="00577DA8" w:rsidRPr="005D1597" w:rsidRDefault="00577DA8" w:rsidP="00577DA8">
      <w:pPr>
        <w:pStyle w:val="Question-Testimony"/>
      </w:pPr>
      <w:r w:rsidRPr="005D1597">
        <w:t>Q.</w:t>
      </w:r>
      <w:r w:rsidRPr="005D1597">
        <w:tab/>
        <w:t>Does the Company’s electric cost of service study follow the same methodology the Commission has accepted in the past?</w:t>
      </w:r>
    </w:p>
    <w:p w14:paraId="3C1DBC03" w14:textId="77777777" w:rsidR="00577DA8" w:rsidRPr="005D1597" w:rsidRDefault="00577DA8" w:rsidP="00577DA8">
      <w:pPr>
        <w:pStyle w:val="Answer-Testimony"/>
      </w:pPr>
      <w:r w:rsidRPr="005D1597">
        <w:t>A.</w:t>
      </w:r>
      <w:r w:rsidRPr="005D1597">
        <w:tab/>
        <w:t xml:space="preserve">Yes, with one exception.  The Company’s current cost of service study revises the peak credit classification of production and transmission costs.  According to Ms. Knox, the Company’s prior method was “complicated to compute and apply, </w:t>
      </w:r>
      <w:r w:rsidRPr="005D1597">
        <w:lastRenderedPageBreak/>
        <w:t>unrelated to the actual usage of the system, and has a tendency to shift costs back and forth between energy and demand.”</w:t>
      </w:r>
      <w:r w:rsidRPr="005D1597">
        <w:rPr>
          <w:rStyle w:val="FootnoteReference"/>
        </w:rPr>
        <w:footnoteReference w:id="22"/>
      </w:r>
    </w:p>
    <w:p w14:paraId="3C1DBC04" w14:textId="77777777" w:rsidR="00577DA8" w:rsidRPr="005D1597" w:rsidRDefault="00577DA8" w:rsidP="00577DA8">
      <w:pPr>
        <w:pStyle w:val="Answer-Testimony"/>
        <w:ind w:firstLine="720"/>
      </w:pPr>
      <w:r w:rsidRPr="005D1597">
        <w:t>Under the prior method, the Company would classify energy and demand using a comparison of the replacement cost for thermal and hydro plants separately, which created separate peak credit ratios.  For transmission costs, Avista assigned a 50/50 weighting of the separate peak credit ratios to energy and demand while classifying fuel and load dispatching expenses to energy and peaking plant related costs to demand.</w:t>
      </w:r>
    </w:p>
    <w:p w14:paraId="3C1DBC05" w14:textId="77777777" w:rsidR="00577DA8" w:rsidRPr="007B372D" w:rsidRDefault="00577DA8" w:rsidP="00577DA8">
      <w:pPr>
        <w:pStyle w:val="Answer-Testimony"/>
      </w:pPr>
    </w:p>
    <w:p w14:paraId="3C1DBC06" w14:textId="77777777" w:rsidR="00577DA8" w:rsidRPr="007B372D" w:rsidRDefault="00577DA8" w:rsidP="00577DA8">
      <w:pPr>
        <w:pStyle w:val="Question-Testimony"/>
      </w:pPr>
      <w:r w:rsidRPr="007B372D">
        <w:t>Q.</w:t>
      </w:r>
      <w:r w:rsidRPr="007B372D">
        <w:tab/>
        <w:t>Has the Company proposed this methodology change in any prior general rate case?</w:t>
      </w:r>
    </w:p>
    <w:p w14:paraId="3C1DBC07" w14:textId="77777777" w:rsidR="00577DA8" w:rsidRPr="007B372D" w:rsidRDefault="00577DA8" w:rsidP="00577DA8">
      <w:pPr>
        <w:pStyle w:val="Answer-Testimony"/>
      </w:pPr>
      <w:r w:rsidRPr="007B372D">
        <w:t>A.</w:t>
      </w:r>
      <w:r w:rsidRPr="007B372D">
        <w:tab/>
        <w:t>Yes.  In Avista’s three prior electric rate cases, Dockets UE-100467, UE-110876, and UE-12</w:t>
      </w:r>
      <w:r>
        <w:t>0436</w:t>
      </w:r>
      <w:r w:rsidRPr="007B372D">
        <w:t>, the Company proposed this change in methodology.  However, each of those dockets was resolved by settlement, and the cost of service study issue was not resolved.</w:t>
      </w:r>
    </w:p>
    <w:p w14:paraId="3C1DBC08" w14:textId="77777777" w:rsidR="00577DA8" w:rsidRPr="007B372D" w:rsidRDefault="00577DA8" w:rsidP="00577DA8">
      <w:pPr>
        <w:pStyle w:val="Answer-Testimony"/>
      </w:pPr>
    </w:p>
    <w:p w14:paraId="3C1DBC09" w14:textId="77777777" w:rsidR="00577DA8" w:rsidRPr="007B372D" w:rsidRDefault="00577DA8" w:rsidP="00577DA8">
      <w:pPr>
        <w:pStyle w:val="Question-Testimony"/>
      </w:pPr>
      <w:r w:rsidRPr="007B372D">
        <w:t>Q.</w:t>
      </w:r>
      <w:r w:rsidRPr="007B372D">
        <w:tab/>
      </w:r>
      <w:r>
        <w:t>Should the Commission accept Avista’s proposed change</w:t>
      </w:r>
      <w:r w:rsidRPr="007B372D">
        <w:t>?</w:t>
      </w:r>
    </w:p>
    <w:p w14:paraId="3C1DBC0A" w14:textId="77777777" w:rsidR="00577DA8" w:rsidRPr="007B372D" w:rsidRDefault="00577DA8" w:rsidP="00577DA8">
      <w:pPr>
        <w:pStyle w:val="Answer-Testimony"/>
      </w:pPr>
      <w:r w:rsidRPr="007B372D">
        <w:t>A.</w:t>
      </w:r>
      <w:r w:rsidRPr="007B372D">
        <w:tab/>
        <w:t>No.</w:t>
      </w:r>
    </w:p>
    <w:p w14:paraId="3C1DBC0B" w14:textId="77777777" w:rsidR="00577DA8" w:rsidRPr="007B372D" w:rsidRDefault="00577DA8" w:rsidP="00577DA8">
      <w:pPr>
        <w:pStyle w:val="Answer-Testimony"/>
      </w:pPr>
      <w:r w:rsidRPr="007B372D">
        <w:t xml:space="preserve"> </w:t>
      </w:r>
    </w:p>
    <w:p w14:paraId="3C1DBC0C" w14:textId="77777777" w:rsidR="00577DA8" w:rsidRPr="007B372D" w:rsidRDefault="00577DA8" w:rsidP="00577DA8">
      <w:pPr>
        <w:pStyle w:val="Question-Testimony"/>
      </w:pPr>
      <w:r w:rsidRPr="007B372D">
        <w:t>Q.</w:t>
      </w:r>
      <w:r w:rsidRPr="007B372D">
        <w:tab/>
      </w:r>
      <w:r>
        <w:t xml:space="preserve">Did </w:t>
      </w:r>
      <w:r w:rsidRPr="007B372D">
        <w:t xml:space="preserve">Staff recommend using the </w:t>
      </w:r>
      <w:r>
        <w:t xml:space="preserve">Company’s proposed change in </w:t>
      </w:r>
      <w:r w:rsidRPr="007B372D">
        <w:t>methodology in the Company’s last general rate case, Docket UE-120436?</w:t>
      </w:r>
    </w:p>
    <w:p w14:paraId="3C1DBC0D" w14:textId="77777777" w:rsidR="00577DA8" w:rsidRDefault="00577DA8" w:rsidP="00577DA8">
      <w:pPr>
        <w:pStyle w:val="Answer-Testimony"/>
      </w:pPr>
      <w:r w:rsidRPr="007B372D">
        <w:lastRenderedPageBreak/>
        <w:t>A.</w:t>
      </w:r>
      <w:r w:rsidRPr="007B372D">
        <w:tab/>
      </w:r>
      <w:r>
        <w:t xml:space="preserve">Yes.  However, Staff’s support was based on the stability of the changed method.  New information shows that the </w:t>
      </w:r>
      <w:r w:rsidR="00900778">
        <w:t>Company’s</w:t>
      </w:r>
      <w:r>
        <w:t xml:space="preserve"> new method is not stable.  In this case, Staff conducted a longer historical review of the system load factor and peak credit application.</w:t>
      </w:r>
      <w:r>
        <w:rPr>
          <w:rStyle w:val="FootnoteReference"/>
        </w:rPr>
        <w:footnoteReference w:id="23"/>
      </w:r>
      <w:r>
        <w:t xml:space="preserve">  Based on that review, it is apparent that the proposed method was one of the least stable methods as compared to other allocation methods.</w:t>
      </w:r>
    </w:p>
    <w:p w14:paraId="3C1DBC0E" w14:textId="77777777" w:rsidR="00577DA8" w:rsidRPr="00DA4972" w:rsidRDefault="00577DA8" w:rsidP="00577DA8">
      <w:pPr>
        <w:pStyle w:val="Answer-Testimony"/>
        <w:ind w:firstLine="720"/>
        <w:rPr>
          <w:color w:val="FF0000"/>
        </w:rPr>
      </w:pPr>
      <w:r>
        <w:t xml:space="preserve">The </w:t>
      </w:r>
      <w:r w:rsidR="00900778">
        <w:t>Company’s</w:t>
      </w:r>
      <w:r>
        <w:t xml:space="preserve"> proposed methodology was unstable relative to the prior method as well as various methods that Staff had not previously considered.</w:t>
      </w:r>
      <w:r w:rsidDel="005B6338">
        <w:t xml:space="preserve"> </w:t>
      </w:r>
    </w:p>
    <w:p w14:paraId="3C1DBC0F" w14:textId="77777777" w:rsidR="00577DA8" w:rsidRDefault="00577DA8" w:rsidP="00577DA8">
      <w:pPr>
        <w:pStyle w:val="Answer-Testimony"/>
      </w:pPr>
    </w:p>
    <w:p w14:paraId="3C1DBC10" w14:textId="77777777" w:rsidR="00577DA8" w:rsidRDefault="00577DA8" w:rsidP="00577DA8">
      <w:pPr>
        <w:pStyle w:val="Question-Testimony"/>
      </w:pPr>
      <w:r>
        <w:t>Q.</w:t>
      </w:r>
      <w:r>
        <w:tab/>
        <w:t>Please explain what that longer historical review showed.</w:t>
      </w:r>
    </w:p>
    <w:p w14:paraId="3C1DBC11" w14:textId="77777777" w:rsidR="00577DA8" w:rsidRDefault="00577DA8" w:rsidP="001C1A34">
      <w:pPr>
        <w:pStyle w:val="Answer-Testimony"/>
      </w:pPr>
      <w:r w:rsidRPr="007C3314">
        <w:t>A.</w:t>
      </w:r>
      <w:r w:rsidRPr="007C3314">
        <w:tab/>
      </w:r>
      <w:r w:rsidR="00C673E1">
        <w:t>The historical review showed that the peak credit method was the second least stable allocation method out of the six allocation methodologies</w:t>
      </w:r>
      <w:r w:rsidR="00C673E1" w:rsidRPr="00C673E1">
        <w:t xml:space="preserve"> </w:t>
      </w:r>
      <w:r w:rsidR="00C673E1">
        <w:t xml:space="preserve">examined.  The peak credit method produced variances up to nine percent over the last five general rate case, as shown in </w:t>
      </w:r>
      <w:r w:rsidR="001A57FE">
        <w:t>Exhibit No. ___ (</w:t>
      </w:r>
      <w:proofErr w:type="spellStart"/>
      <w:r w:rsidR="001A57FE">
        <w:t>CTM</w:t>
      </w:r>
      <w:proofErr w:type="spellEnd"/>
      <w:r w:rsidR="00286E47">
        <w:t>-4)</w:t>
      </w:r>
      <w:r w:rsidR="00C673E1">
        <w:t>.</w:t>
      </w:r>
    </w:p>
    <w:p w14:paraId="3C1DBC12" w14:textId="77777777" w:rsidR="00C673E1" w:rsidRPr="002E5E02" w:rsidRDefault="00C673E1" w:rsidP="001C1A34">
      <w:pPr>
        <w:pStyle w:val="Answer-Testimony"/>
      </w:pPr>
    </w:p>
    <w:p w14:paraId="3C1DBC13" w14:textId="77777777" w:rsidR="00F654A7" w:rsidRPr="00F654A7" w:rsidRDefault="00F654A7" w:rsidP="00F654A7">
      <w:pPr>
        <w:pStyle w:val="Question-Testimony"/>
      </w:pPr>
      <w:r w:rsidRPr="00C70C7C">
        <w:t>Q.</w:t>
      </w:r>
      <w:r w:rsidRPr="00C70C7C">
        <w:tab/>
      </w:r>
      <w:r w:rsidR="004A2948">
        <w:t>Overall, d</w:t>
      </w:r>
      <w:r>
        <w:t xml:space="preserve">oes Staff’s cost of service study reasonably and fairly </w:t>
      </w:r>
      <w:r w:rsidRPr="00C70C7C">
        <w:t>allocat</w:t>
      </w:r>
      <w:r>
        <w:t>e</w:t>
      </w:r>
      <w:r w:rsidRPr="00C70C7C">
        <w:t xml:space="preserve"> plant and </w:t>
      </w:r>
      <w:r w:rsidRPr="00F654A7">
        <w:t>expenses?</w:t>
      </w:r>
    </w:p>
    <w:p w14:paraId="3C1DBC14" w14:textId="77777777" w:rsidR="006F0A7A" w:rsidRPr="00F654A7" w:rsidRDefault="00F654A7" w:rsidP="00F654A7">
      <w:pPr>
        <w:pStyle w:val="Answer-Testimony"/>
      </w:pPr>
      <w:r w:rsidRPr="00F654A7">
        <w:t>A.</w:t>
      </w:r>
      <w:r w:rsidRPr="00F654A7">
        <w:tab/>
        <w:t xml:space="preserve">Yes.  </w:t>
      </w:r>
      <w:r w:rsidR="006F0A7A" w:rsidRPr="00F654A7">
        <w:t xml:space="preserve">Overall, the </w:t>
      </w:r>
      <w:r w:rsidRPr="00F654A7">
        <w:t>Staff</w:t>
      </w:r>
      <w:r w:rsidR="006F0A7A" w:rsidRPr="00F654A7">
        <w:t>’s cost of service study reasonably functionalizes, classifies</w:t>
      </w:r>
      <w:r w:rsidR="00153D38">
        <w:t>,</w:t>
      </w:r>
      <w:r w:rsidR="006F0A7A" w:rsidRPr="00F654A7">
        <w:t xml:space="preserve"> and allocates capital investments and operating expen</w:t>
      </w:r>
      <w:r w:rsidRPr="00F654A7">
        <w:t>ses to each rate schedule.  Staff</w:t>
      </w:r>
      <w:r w:rsidR="006F0A7A" w:rsidRPr="00F654A7">
        <w:t>’s electric cost of service study fairly and equitably identifies the costs required to serve each particular customer class.</w:t>
      </w:r>
    </w:p>
    <w:p w14:paraId="3C1DBC15" w14:textId="77777777" w:rsidR="006F0A7A" w:rsidRPr="00F654A7" w:rsidRDefault="006F0A7A" w:rsidP="007827B0">
      <w:pPr>
        <w:pStyle w:val="Answer-Testimony"/>
      </w:pPr>
    </w:p>
    <w:p w14:paraId="3C1DBC16" w14:textId="77777777" w:rsidR="007827B0" w:rsidRPr="007E50F7" w:rsidRDefault="007827B0" w:rsidP="007827B0">
      <w:pPr>
        <w:pStyle w:val="Heading3"/>
      </w:pPr>
      <w:bookmarkStart w:id="24" w:name="_Toc391992040"/>
      <w:bookmarkStart w:id="25" w:name="_Toc393696923"/>
      <w:r>
        <w:lastRenderedPageBreak/>
        <w:t>Parity Ratios</w:t>
      </w:r>
      <w:bookmarkEnd w:id="24"/>
      <w:bookmarkEnd w:id="25"/>
    </w:p>
    <w:p w14:paraId="3C1DBC17" w14:textId="77777777" w:rsidR="007827B0" w:rsidRPr="007E50F7" w:rsidRDefault="007827B0" w:rsidP="00980C24">
      <w:pPr>
        <w:pStyle w:val="Answer-Testimony"/>
      </w:pPr>
    </w:p>
    <w:p w14:paraId="3C1DBC18" w14:textId="77777777" w:rsidR="00980C24" w:rsidRPr="007E50F7" w:rsidRDefault="00980C24" w:rsidP="004D0ADB">
      <w:pPr>
        <w:pStyle w:val="Question-Testimony"/>
        <w:keepNext/>
      </w:pPr>
      <w:r w:rsidRPr="007E50F7">
        <w:t>Q.</w:t>
      </w:r>
      <w:r w:rsidRPr="007E50F7">
        <w:tab/>
        <w:t>Wh</w:t>
      </w:r>
      <w:r w:rsidR="005415AD" w:rsidRPr="007E50F7">
        <w:t xml:space="preserve">at </w:t>
      </w:r>
      <w:r w:rsidR="00DE6039" w:rsidRPr="007E50F7">
        <w:t xml:space="preserve">is the typical output of a </w:t>
      </w:r>
      <w:r w:rsidR="005415AD" w:rsidRPr="007E50F7">
        <w:t>cost of service study</w:t>
      </w:r>
      <w:r w:rsidRPr="007E50F7">
        <w:t>?</w:t>
      </w:r>
    </w:p>
    <w:p w14:paraId="3C1DBC19" w14:textId="77777777" w:rsidR="00D10E54" w:rsidRPr="007E50F7" w:rsidRDefault="001F4EBF" w:rsidP="007E7EAB">
      <w:pPr>
        <w:pStyle w:val="Answer-Testimony"/>
      </w:pPr>
      <w:r w:rsidRPr="007E50F7">
        <w:t>A.</w:t>
      </w:r>
      <w:r w:rsidRPr="007E50F7">
        <w:tab/>
        <w:t>Typically, the outputs of a cost of service study are parity ratios for each customer class.</w:t>
      </w:r>
    </w:p>
    <w:p w14:paraId="3C1DBC1A" w14:textId="77777777" w:rsidR="00D10E54" w:rsidRPr="007E50F7" w:rsidRDefault="00D10E54" w:rsidP="007E7EAB">
      <w:pPr>
        <w:pStyle w:val="Answer-Testimony"/>
      </w:pPr>
    </w:p>
    <w:p w14:paraId="3C1DBC1B" w14:textId="77777777" w:rsidR="00D10E54" w:rsidRPr="007E50F7" w:rsidRDefault="00D10E54" w:rsidP="00D10E54">
      <w:pPr>
        <w:pStyle w:val="Question-Testimony"/>
      </w:pPr>
      <w:r w:rsidRPr="007E50F7">
        <w:t>Q.</w:t>
      </w:r>
      <w:r w:rsidRPr="007E50F7">
        <w:tab/>
        <w:t>What is a parity ratio?</w:t>
      </w:r>
    </w:p>
    <w:p w14:paraId="3C1DBC1C" w14:textId="77777777" w:rsidR="00D10E54" w:rsidRDefault="00D10E54" w:rsidP="007E7EAB">
      <w:pPr>
        <w:pStyle w:val="Answer-Testimony"/>
      </w:pPr>
      <w:r w:rsidRPr="007E50F7">
        <w:t>A.</w:t>
      </w:r>
      <w:r w:rsidRPr="007E50F7">
        <w:tab/>
        <w:t>A parity ratio indicates how close a particular rate schedule is to covering its cost of service.  For example, if a rate schedule is producing revenues that are 100 percent of its cost of service</w:t>
      </w:r>
      <w:r w:rsidR="004A2948">
        <w:t>, as determined by the cost of service study</w:t>
      </w:r>
      <w:r w:rsidRPr="007E50F7">
        <w:t>, that rate schedule has a parity ratio of 1.00.  If a rate schedule covers only 70 percent of its cost of service, it has a parity ratio of 0.70.  If a rate schedule covers 130 percent of its cost of service, its parity ratio is 1.30.</w:t>
      </w:r>
    </w:p>
    <w:p w14:paraId="3C1DBC1D" w14:textId="77777777" w:rsidR="004806FD" w:rsidRPr="007E50F7" w:rsidRDefault="004806FD" w:rsidP="007E7EAB">
      <w:pPr>
        <w:pStyle w:val="Answer-Testimony"/>
      </w:pPr>
    </w:p>
    <w:p w14:paraId="3C1DBC1E" w14:textId="77777777" w:rsidR="004806FD" w:rsidRPr="007E50F7" w:rsidRDefault="004806FD" w:rsidP="004806FD">
      <w:pPr>
        <w:pStyle w:val="Question-Testimony"/>
      </w:pPr>
      <w:r w:rsidRPr="007E50F7">
        <w:t>Q.</w:t>
      </w:r>
      <w:r w:rsidRPr="007E50F7">
        <w:tab/>
        <w:t>How should the Commission use the parity ratios from the cost of service study to allocate revenues in this case?</w:t>
      </w:r>
    </w:p>
    <w:p w14:paraId="3C1DBC1F" w14:textId="77777777" w:rsidR="004806FD" w:rsidRPr="007E50F7" w:rsidRDefault="004806FD" w:rsidP="004806FD">
      <w:pPr>
        <w:pStyle w:val="Answer-Testimony"/>
        <w:rPr>
          <w:b/>
        </w:rPr>
      </w:pPr>
      <w:r w:rsidRPr="007E50F7">
        <w:t>A.</w:t>
      </w:r>
      <w:r w:rsidRPr="007E50F7">
        <w:tab/>
        <w:t xml:space="preserve">The Commission should consider parity ratios as an important part of the </w:t>
      </w:r>
      <w:r w:rsidR="00900778">
        <w:t>revenue allocation decision</w:t>
      </w:r>
      <w:r w:rsidR="009F2ADE">
        <w:t xml:space="preserve">, especially with </w:t>
      </w:r>
      <w:r w:rsidR="004A2948">
        <w:t xml:space="preserve">a </w:t>
      </w:r>
      <w:r w:rsidR="009F2ADE">
        <w:t>decoupling mechanism</w:t>
      </w:r>
      <w:r w:rsidRPr="007E50F7">
        <w:t>.  Overall, the Commission should move rate schedules closer to parity</w:t>
      </w:r>
      <w:r w:rsidR="00B262BD">
        <w:t xml:space="preserve"> ratios of 1.00</w:t>
      </w:r>
      <w:r w:rsidR="009F2ADE">
        <w:t>.</w:t>
      </w:r>
    </w:p>
    <w:p w14:paraId="3C1DBC20" w14:textId="77777777" w:rsidR="004806FD" w:rsidRPr="007E50F7" w:rsidRDefault="004806FD" w:rsidP="004806FD">
      <w:pPr>
        <w:pStyle w:val="Answer-Testimony"/>
        <w:rPr>
          <w:b/>
        </w:rPr>
      </w:pPr>
      <w:r w:rsidRPr="007E50F7">
        <w:tab/>
      </w:r>
      <w:r w:rsidRPr="007E50F7">
        <w:tab/>
        <w:t xml:space="preserve">However, parity is not the only factor.  The Commission should also consider the appearance of fairness, perceptions of equity, economic conditions in the service </w:t>
      </w:r>
      <w:r w:rsidRPr="007E50F7">
        <w:lastRenderedPageBreak/>
        <w:t>territory, and rate stability.</w:t>
      </w:r>
      <w:r w:rsidRPr="007E50F7">
        <w:rPr>
          <w:rStyle w:val="FootnoteReference"/>
        </w:rPr>
        <w:footnoteReference w:id="24"/>
      </w:r>
      <w:r w:rsidRPr="007E50F7">
        <w:t xml:space="preserve">  I discuss each of these considerations later in my testimony.</w:t>
      </w:r>
    </w:p>
    <w:p w14:paraId="3C1DBC21" w14:textId="77777777" w:rsidR="004806FD" w:rsidRPr="007E50F7" w:rsidRDefault="004806FD" w:rsidP="004806FD">
      <w:pPr>
        <w:pStyle w:val="Question-Testimony"/>
      </w:pPr>
    </w:p>
    <w:p w14:paraId="3C1DBC22" w14:textId="77777777" w:rsidR="004806FD" w:rsidRPr="007E50F7" w:rsidRDefault="004806FD" w:rsidP="004806FD">
      <w:pPr>
        <w:pStyle w:val="Question-Testimony"/>
      </w:pPr>
      <w:r w:rsidRPr="007E50F7">
        <w:t>Q.</w:t>
      </w:r>
      <w:r w:rsidRPr="007E50F7">
        <w:tab/>
        <w:t>Is it practical to achieve a parity ratio of 1.00 for every rate schedule?</w:t>
      </w:r>
    </w:p>
    <w:p w14:paraId="3C1DBC23" w14:textId="77777777" w:rsidR="004806FD" w:rsidRPr="007E50F7" w:rsidRDefault="004806FD" w:rsidP="00286E47">
      <w:pPr>
        <w:pStyle w:val="Answer-Testimony"/>
      </w:pPr>
      <w:r w:rsidRPr="007E50F7">
        <w:t>A.</w:t>
      </w:r>
      <w:r w:rsidRPr="007E50F7">
        <w:tab/>
        <w:t xml:space="preserve">No.  </w:t>
      </w:r>
      <w:r w:rsidR="00900778">
        <w:t>T</w:t>
      </w:r>
      <w:r w:rsidRPr="007E50F7">
        <w:t xml:space="preserve">he assumptions and results of the cost of service study are often </w:t>
      </w:r>
      <w:r w:rsidR="00900778">
        <w:t>controversial, and no cost of service study is “perfect.”</w:t>
      </w:r>
      <w:r w:rsidRPr="007E50F7">
        <w:t xml:space="preserve">  It is a matter of informed judgment to determine how much of the average rate increase is fairly apportioned to each </w:t>
      </w:r>
      <w:r w:rsidR="00690C3E">
        <w:t xml:space="preserve">rate </w:t>
      </w:r>
      <w:r w:rsidRPr="007E50F7">
        <w:t xml:space="preserve">schedule.  Consequently, if a rate schedule is at 95 percent parity or 105 percent </w:t>
      </w:r>
      <w:r w:rsidR="000F403A" w:rsidRPr="007E50F7">
        <w:t>parity that</w:t>
      </w:r>
      <w:r w:rsidRPr="007E50F7">
        <w:t xml:space="preserve"> </w:t>
      </w:r>
      <w:r w:rsidR="004A2948">
        <w:t xml:space="preserve">usually </w:t>
      </w:r>
      <w:r w:rsidRPr="007E50F7">
        <w:t>justifies an equal percentage increase.</w:t>
      </w:r>
      <w:r w:rsidR="00286E47">
        <w:t xml:space="preserve">  </w:t>
      </w:r>
      <w:r w:rsidR="00900778">
        <w:t>T</w:t>
      </w:r>
      <w:r w:rsidR="00B262BD">
        <w:t xml:space="preserve">he </w:t>
      </w:r>
      <w:r w:rsidR="004716EA">
        <w:t xml:space="preserve">Commission should </w:t>
      </w:r>
      <w:r w:rsidR="00286E47">
        <w:t>use</w:t>
      </w:r>
      <w:r w:rsidR="004716EA">
        <w:t xml:space="preserve"> a </w:t>
      </w:r>
      <w:r>
        <w:t xml:space="preserve">target </w:t>
      </w:r>
      <w:r w:rsidR="004716EA">
        <w:t xml:space="preserve">parity </w:t>
      </w:r>
      <w:r>
        <w:t xml:space="preserve">range </w:t>
      </w:r>
      <w:r w:rsidR="004716EA">
        <w:t xml:space="preserve">of 95 to 105 percent </w:t>
      </w:r>
      <w:r w:rsidR="004A2948">
        <w:t xml:space="preserve">for </w:t>
      </w:r>
      <w:r>
        <w:t xml:space="preserve">all </w:t>
      </w:r>
      <w:r w:rsidR="00690C3E">
        <w:t xml:space="preserve">rate </w:t>
      </w:r>
      <w:r>
        <w:t>schedules</w:t>
      </w:r>
      <w:r w:rsidR="00286E47">
        <w:t xml:space="preserve"> in this case</w:t>
      </w:r>
      <w:r w:rsidR="009F2ADE">
        <w:t>.</w:t>
      </w:r>
    </w:p>
    <w:p w14:paraId="3C1DBC24" w14:textId="77777777" w:rsidR="004806FD" w:rsidRPr="007E50F7" w:rsidRDefault="004806FD" w:rsidP="004806FD">
      <w:pPr>
        <w:pStyle w:val="Question-Testimony"/>
      </w:pPr>
    </w:p>
    <w:p w14:paraId="3C1DBC25" w14:textId="77777777" w:rsidR="004806FD" w:rsidRPr="007E50F7" w:rsidRDefault="004806FD" w:rsidP="004806FD">
      <w:pPr>
        <w:pStyle w:val="Question-Testimony"/>
      </w:pPr>
      <w:r w:rsidRPr="007E50F7">
        <w:t>Q.</w:t>
      </w:r>
      <w:r w:rsidRPr="007E50F7">
        <w:tab/>
      </w:r>
      <w:r>
        <w:t>Why should the Commission try to achieve a target parity range of 95 to 105 percent</w:t>
      </w:r>
      <w:r w:rsidRPr="007E50F7">
        <w:t>?</w:t>
      </w:r>
    </w:p>
    <w:p w14:paraId="3C1DBC26" w14:textId="77777777" w:rsidR="00C11C9D" w:rsidRDefault="004806FD" w:rsidP="004A2948">
      <w:pPr>
        <w:pStyle w:val="Answer-Testimony"/>
      </w:pPr>
      <w:r w:rsidRPr="007E50F7">
        <w:t>A.</w:t>
      </w:r>
      <w:r w:rsidRPr="007E50F7">
        <w:tab/>
      </w:r>
      <w:r>
        <w:t xml:space="preserve">There </w:t>
      </w:r>
      <w:r w:rsidR="004716EA">
        <w:t xml:space="preserve">are </w:t>
      </w:r>
      <w:r w:rsidR="004A2948">
        <w:t xml:space="preserve">many reasons.  </w:t>
      </w:r>
      <w:r>
        <w:t xml:space="preserve">First, </w:t>
      </w:r>
      <w:r w:rsidR="004A2948">
        <w:t xml:space="preserve">and particularly </w:t>
      </w:r>
      <w:r>
        <w:t xml:space="preserve">if the Commission </w:t>
      </w:r>
      <w:r w:rsidR="00C11C9D">
        <w:t xml:space="preserve">elects </w:t>
      </w:r>
      <w:r>
        <w:t xml:space="preserve">to </w:t>
      </w:r>
      <w:r w:rsidR="004A2948">
        <w:t xml:space="preserve">adopt </w:t>
      </w:r>
      <w:r>
        <w:t>decoupling</w:t>
      </w:r>
      <w:r w:rsidR="00B262BD">
        <w:t>,</w:t>
      </w:r>
      <w:r>
        <w:t xml:space="preserve"> it is </w:t>
      </w:r>
      <w:r w:rsidR="004A2948">
        <w:t xml:space="preserve">very </w:t>
      </w:r>
      <w:r>
        <w:t xml:space="preserve">important to </w:t>
      </w:r>
      <w:r w:rsidR="004A2948">
        <w:t xml:space="preserve">have the appropriate </w:t>
      </w:r>
      <w:r>
        <w:t>cost structure in place</w:t>
      </w:r>
      <w:r w:rsidR="00C11C9D">
        <w:t xml:space="preserve"> beforehand</w:t>
      </w:r>
      <w:r w:rsidR="004A2948">
        <w:t xml:space="preserve">.  Otherwise, true-ups </w:t>
      </w:r>
      <w:r w:rsidR="00B262BD">
        <w:t xml:space="preserve">will </w:t>
      </w:r>
      <w:r w:rsidR="00C11C9D">
        <w:t>exacerbat</w:t>
      </w:r>
      <w:r w:rsidR="00B262BD">
        <w:t>e</w:t>
      </w:r>
      <w:r w:rsidR="00C11C9D">
        <w:t xml:space="preserve"> the</w:t>
      </w:r>
      <w:r w:rsidR="00153D38">
        <w:t xml:space="preserve"> inappropriate price signals</w:t>
      </w:r>
      <w:r w:rsidR="00C11C9D">
        <w:t xml:space="preserve">.  For example, </w:t>
      </w:r>
      <w:r w:rsidR="004A2948">
        <w:t xml:space="preserve">assume a </w:t>
      </w:r>
      <w:r w:rsidR="00690C3E">
        <w:t xml:space="preserve">rate </w:t>
      </w:r>
      <w:r w:rsidR="00C11C9D">
        <w:t xml:space="preserve">schedule has rates </w:t>
      </w:r>
      <w:r w:rsidR="00B70348">
        <w:t xml:space="preserve">designed </w:t>
      </w:r>
      <w:r w:rsidR="00C11C9D">
        <w:t>based o</w:t>
      </w:r>
      <w:r w:rsidR="00E52A6E">
        <w:t>n</w:t>
      </w:r>
      <w:r w:rsidR="00C11C9D">
        <w:t xml:space="preserve"> a parity ratio of 0.90 percent (</w:t>
      </w:r>
      <w:r w:rsidR="004A2948">
        <w:rPr>
          <w:i/>
        </w:rPr>
        <w:t xml:space="preserve">i.e., </w:t>
      </w:r>
      <w:r w:rsidR="00C11C9D">
        <w:t>below the cost o</w:t>
      </w:r>
      <w:r w:rsidR="00900778">
        <w:t>f</w:t>
      </w:r>
      <w:r w:rsidR="00C11C9D">
        <w:t xml:space="preserve"> service), but that same</w:t>
      </w:r>
      <w:r w:rsidR="00690C3E">
        <w:t xml:space="preserve"> rate</w:t>
      </w:r>
      <w:r w:rsidR="00C11C9D">
        <w:t xml:space="preserve"> schedule </w:t>
      </w:r>
      <w:r w:rsidR="004A2948">
        <w:t xml:space="preserve">is subject to </w:t>
      </w:r>
      <w:r w:rsidR="00C11C9D">
        <w:t>decoupling and is experiencing load growth greater than customer growth</w:t>
      </w:r>
      <w:r w:rsidR="00E52A6E">
        <w:t>.</w:t>
      </w:r>
      <w:r w:rsidR="00C11C9D">
        <w:t xml:space="preserve"> </w:t>
      </w:r>
      <w:r w:rsidR="00E52A6E">
        <w:t>In that scenario,</w:t>
      </w:r>
      <w:r w:rsidR="00C11C9D">
        <w:t xml:space="preserve"> under </w:t>
      </w:r>
      <w:r w:rsidR="009F2ADE">
        <w:t xml:space="preserve">a revenue per customer </w:t>
      </w:r>
      <w:r w:rsidR="00C11C9D">
        <w:t>decoupling mechanism</w:t>
      </w:r>
      <w:r w:rsidR="00286E47">
        <w:t>,</w:t>
      </w:r>
      <w:r w:rsidR="00C11C9D">
        <w:t xml:space="preserve"> </w:t>
      </w:r>
      <w:r w:rsidR="00E52A6E">
        <w:t xml:space="preserve">the Commission risks establishing </w:t>
      </w:r>
      <w:r w:rsidR="00C11C9D">
        <w:t>credit</w:t>
      </w:r>
      <w:r w:rsidR="00E52A6E">
        <w:t>s</w:t>
      </w:r>
      <w:r w:rsidR="00B70348">
        <w:t xml:space="preserve"> to that </w:t>
      </w:r>
      <w:r w:rsidR="00690C3E">
        <w:t xml:space="preserve">rate </w:t>
      </w:r>
      <w:r w:rsidR="00B70348">
        <w:t xml:space="preserve">schedule </w:t>
      </w:r>
      <w:r w:rsidR="00E52A6E">
        <w:t xml:space="preserve">greater than </w:t>
      </w:r>
      <w:r w:rsidR="00B70348">
        <w:t>the revenue</w:t>
      </w:r>
      <w:r w:rsidR="00E52A6E">
        <w:t xml:space="preserve"> generated</w:t>
      </w:r>
      <w:r w:rsidR="00B70348">
        <w:t xml:space="preserve"> per </w:t>
      </w:r>
      <w:r w:rsidR="00B70348">
        <w:lastRenderedPageBreak/>
        <w:t>customer.</w:t>
      </w:r>
      <w:r w:rsidR="005A45A4">
        <w:t xml:space="preserve">  This </w:t>
      </w:r>
      <w:r w:rsidR="00E52A6E">
        <w:t xml:space="preserve">would </w:t>
      </w:r>
      <w:r w:rsidR="005A45A4">
        <w:t xml:space="preserve">result in </w:t>
      </w:r>
      <w:r w:rsidR="003F1049" w:rsidRPr="003F1049">
        <w:t>the Company crediting money back to customers for using more electricity, there</w:t>
      </w:r>
      <w:r w:rsidR="003D57F0">
        <w:t>by</w:t>
      </w:r>
      <w:r w:rsidR="003F1049" w:rsidRPr="003F1049">
        <w:t xml:space="preserve"> </w:t>
      </w:r>
      <w:r w:rsidR="005A45A4">
        <w:t>sending inappropriate price signals.</w:t>
      </w:r>
    </w:p>
    <w:p w14:paraId="3C1DBC27" w14:textId="77777777" w:rsidR="00C04DBB" w:rsidRDefault="00C11C9D" w:rsidP="004806FD">
      <w:pPr>
        <w:pStyle w:val="Answer-Testimony"/>
      </w:pPr>
      <w:r>
        <w:tab/>
      </w:r>
      <w:r>
        <w:tab/>
      </w:r>
      <w:r w:rsidR="004806FD">
        <w:t xml:space="preserve">Second, any parity ratio outside of the target range </w:t>
      </w:r>
      <w:r w:rsidR="004A2948">
        <w:t>may be considered un</w:t>
      </w:r>
      <w:r w:rsidR="00B70348">
        <w:t xml:space="preserve">reasonable </w:t>
      </w:r>
      <w:r w:rsidR="000F403A">
        <w:t xml:space="preserve">and </w:t>
      </w:r>
      <w:r w:rsidR="004A2948">
        <w:t>unfair</w:t>
      </w:r>
      <w:r w:rsidR="009A138D">
        <w:t>.</w:t>
      </w:r>
      <w:r w:rsidR="004716EA">
        <w:t xml:space="preserve">  </w:t>
      </w:r>
      <w:r w:rsidR="004A2948">
        <w:t xml:space="preserve">A </w:t>
      </w:r>
      <w:r w:rsidR="00690C3E">
        <w:t xml:space="preserve">rate </w:t>
      </w:r>
      <w:r w:rsidR="004716EA">
        <w:t>schedule under parity</w:t>
      </w:r>
      <w:r w:rsidR="004A2948">
        <w:t xml:space="preserve"> can be considered as </w:t>
      </w:r>
      <w:r w:rsidR="004716EA">
        <w:t xml:space="preserve">being subsidized by </w:t>
      </w:r>
      <w:r w:rsidR="005A45A4">
        <w:t>other</w:t>
      </w:r>
      <w:r w:rsidR="004716EA">
        <w:t xml:space="preserve"> </w:t>
      </w:r>
      <w:r w:rsidR="00690C3E">
        <w:t xml:space="preserve">rate </w:t>
      </w:r>
      <w:r w:rsidR="004716EA">
        <w:t>schedule</w:t>
      </w:r>
      <w:r w:rsidR="005A45A4">
        <w:t>(s)</w:t>
      </w:r>
      <w:r w:rsidR="00C04DBB">
        <w:t>.</w:t>
      </w:r>
      <w:r w:rsidR="004A2948">
        <w:t xml:space="preserve">  Again, due to the imprecision and judgment involved in a cost study, this is a serious consideration only when parity ratios </w:t>
      </w:r>
      <w:r w:rsidR="00B97190">
        <w:t xml:space="preserve">are outside the </w:t>
      </w:r>
      <w:r w:rsidR="00153D38">
        <w:t>0</w:t>
      </w:r>
      <w:r w:rsidR="00B97190">
        <w:t>.95 to 1.05 range.</w:t>
      </w:r>
    </w:p>
    <w:p w14:paraId="3C1DBC28" w14:textId="77777777" w:rsidR="004806FD" w:rsidRPr="00690C3E" w:rsidRDefault="004806FD" w:rsidP="00153D38">
      <w:pPr>
        <w:pStyle w:val="Answer-Testimony"/>
        <w:ind w:firstLine="720"/>
        <w:rPr>
          <w:color w:val="FF0000"/>
        </w:rPr>
      </w:pPr>
      <w:r>
        <w:t xml:space="preserve">Third, </w:t>
      </w:r>
      <w:r w:rsidR="00B70348">
        <w:t xml:space="preserve">a </w:t>
      </w:r>
      <w:r w:rsidR="00B97190">
        <w:t xml:space="preserve">rate schedule with a </w:t>
      </w:r>
      <w:r w:rsidR="00B70348">
        <w:t>parity ratio above 105 percent (</w:t>
      </w:r>
      <w:r w:rsidR="00900778" w:rsidRPr="00900778">
        <w:rPr>
          <w:i/>
        </w:rPr>
        <w:t>i.e.,</w:t>
      </w:r>
      <w:r w:rsidR="00900778">
        <w:t xml:space="preserve"> </w:t>
      </w:r>
      <w:r w:rsidR="00B70348">
        <w:t>above the cost o</w:t>
      </w:r>
      <w:r w:rsidR="00900778">
        <w:t>f</w:t>
      </w:r>
      <w:r w:rsidR="00B70348">
        <w:t xml:space="preserve"> service) put</w:t>
      </w:r>
      <w:r w:rsidR="005142EB">
        <w:t>s</w:t>
      </w:r>
      <w:r w:rsidR="00B70348">
        <w:t xml:space="preserve"> undue burden on the customers with</w:t>
      </w:r>
      <w:r w:rsidR="005142EB">
        <w:t>in</w:t>
      </w:r>
      <w:r w:rsidR="00B70348">
        <w:t xml:space="preserve"> th</w:t>
      </w:r>
      <w:r w:rsidR="00B97190">
        <w:t xml:space="preserve">at </w:t>
      </w:r>
      <w:r w:rsidR="00690C3E">
        <w:t>rate</w:t>
      </w:r>
      <w:r w:rsidR="005A45A4">
        <w:t xml:space="preserve"> </w:t>
      </w:r>
      <w:r w:rsidR="00B70348">
        <w:t xml:space="preserve">schedule </w:t>
      </w:r>
      <w:r w:rsidR="00900778">
        <w:t>and</w:t>
      </w:r>
      <w:r w:rsidR="00B70348">
        <w:t xml:space="preserve"> </w:t>
      </w:r>
      <w:r w:rsidR="00E52A6E">
        <w:t>may place those customers</w:t>
      </w:r>
      <w:r w:rsidR="005142EB">
        <w:t xml:space="preserve"> </w:t>
      </w:r>
      <w:r w:rsidR="00E52A6E">
        <w:t>at a competitive disadvantage</w:t>
      </w:r>
      <w:r w:rsidR="005142EB">
        <w:t xml:space="preserve">; therefore, </w:t>
      </w:r>
      <w:r w:rsidR="00E52A6E">
        <w:t xml:space="preserve">high parity ratios may </w:t>
      </w:r>
      <w:r w:rsidR="00153D38">
        <w:t>degrade economic</w:t>
      </w:r>
      <w:r w:rsidR="009A138D" w:rsidRPr="007E50F7">
        <w:t xml:space="preserve"> conditions</w:t>
      </w:r>
      <w:r w:rsidR="00B70348" w:rsidRPr="00B70348">
        <w:t xml:space="preserve"> </w:t>
      </w:r>
      <w:r w:rsidR="00B70348" w:rsidRPr="007E50F7">
        <w:t>in the service territory</w:t>
      </w:r>
      <w:r w:rsidR="00153D38">
        <w:t>.</w:t>
      </w:r>
    </w:p>
    <w:p w14:paraId="3C1DBC29" w14:textId="77777777" w:rsidR="00C04DBB" w:rsidRPr="007E50F7" w:rsidRDefault="00C04DBB" w:rsidP="00C04DBB">
      <w:pPr>
        <w:pStyle w:val="Answer-Testimony"/>
      </w:pPr>
    </w:p>
    <w:p w14:paraId="3C1DBC2A" w14:textId="77777777" w:rsidR="00C04DBB" w:rsidRPr="00131D93" w:rsidRDefault="00C04DBB" w:rsidP="00C04DBB">
      <w:pPr>
        <w:pStyle w:val="Question-Testimony"/>
      </w:pPr>
      <w:r w:rsidRPr="007E50F7">
        <w:t>Q.</w:t>
      </w:r>
      <w:r w:rsidRPr="007E50F7">
        <w:tab/>
        <w:t>Have you prepared a table summarizing the results of Staff’s cost of service study?</w:t>
      </w:r>
    </w:p>
    <w:p w14:paraId="3C1DBC2B" w14:textId="77777777" w:rsidR="007A2CDD" w:rsidRDefault="00C04DBB" w:rsidP="008602A3">
      <w:pPr>
        <w:pStyle w:val="Answer-Testimony"/>
      </w:pPr>
      <w:r w:rsidRPr="00131D93">
        <w:t>A.</w:t>
      </w:r>
      <w:r w:rsidRPr="00131D93">
        <w:tab/>
        <w:t>Yes.  Table 1 below sets forth the parity ratios under current rate structure using the Company’s cost of service, and Staff’s proposal.</w:t>
      </w:r>
    </w:p>
    <w:p w14:paraId="3C1DBC2C" w14:textId="77777777" w:rsidR="00412094" w:rsidRDefault="00412094" w:rsidP="008602A3">
      <w:pPr>
        <w:pStyle w:val="Answer-Testimony"/>
      </w:pPr>
    </w:p>
    <w:p w14:paraId="3C1DBC2D" w14:textId="77777777" w:rsidR="00412094" w:rsidRDefault="00412094" w:rsidP="008602A3">
      <w:pPr>
        <w:pStyle w:val="Answer-Testimony"/>
      </w:pPr>
    </w:p>
    <w:p w14:paraId="3C1DBC2E" w14:textId="77777777" w:rsidR="00412094" w:rsidRDefault="00412094" w:rsidP="008602A3">
      <w:pPr>
        <w:pStyle w:val="Answer-Testimony"/>
      </w:pPr>
    </w:p>
    <w:p w14:paraId="3C1DBC2F" w14:textId="77777777" w:rsidR="00412094" w:rsidRDefault="00412094" w:rsidP="008602A3">
      <w:pPr>
        <w:pStyle w:val="Answer-Testimony"/>
      </w:pPr>
    </w:p>
    <w:p w14:paraId="3C1DBC30" w14:textId="77777777" w:rsidR="00412094" w:rsidRDefault="00412094" w:rsidP="008602A3">
      <w:pPr>
        <w:pStyle w:val="Answer-Testimony"/>
      </w:pPr>
    </w:p>
    <w:p w14:paraId="3C1DBC31" w14:textId="77777777" w:rsidR="00412094" w:rsidRDefault="00412094" w:rsidP="008602A3">
      <w:pPr>
        <w:pStyle w:val="Answer-Testimony"/>
      </w:pPr>
    </w:p>
    <w:p w14:paraId="3C1DBC32" w14:textId="77777777" w:rsidR="00412094" w:rsidRPr="00131D93" w:rsidRDefault="00412094" w:rsidP="008602A3">
      <w:pPr>
        <w:pStyle w:val="Answer-Testimony"/>
      </w:pPr>
    </w:p>
    <w:tbl>
      <w:tblPr>
        <w:tblpPr w:leftFromText="187" w:rightFromText="187" w:vertAnchor="text" w:horzAnchor="page" w:tblpX="2634" w:tblpY="8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1296"/>
        <w:gridCol w:w="1296"/>
      </w:tblGrid>
      <w:tr w:rsidR="00C04DBB" w:rsidRPr="007E50F7" w14:paraId="3C1DBC37" w14:textId="77777777" w:rsidTr="00C136CE">
        <w:trPr>
          <w:cantSplit/>
        </w:trPr>
        <w:tc>
          <w:tcPr>
            <w:tcW w:w="5335" w:type="dxa"/>
            <w:vAlign w:val="center"/>
          </w:tcPr>
          <w:p w14:paraId="3C1DBC33" w14:textId="77777777" w:rsidR="00C04DBB" w:rsidRPr="007E50F7" w:rsidRDefault="00C04DBB" w:rsidP="00C136CE">
            <w:pPr>
              <w:pStyle w:val="answer"/>
              <w:keepNext/>
              <w:spacing w:before="60" w:after="60" w:line="240" w:lineRule="auto"/>
              <w:ind w:left="0" w:firstLine="0"/>
              <w:jc w:val="center"/>
              <w:rPr>
                <w:b/>
              </w:rPr>
            </w:pPr>
            <w:r w:rsidRPr="007E50F7">
              <w:rPr>
                <w:b/>
              </w:rPr>
              <w:lastRenderedPageBreak/>
              <w:t>Customer Class</w:t>
            </w:r>
          </w:p>
        </w:tc>
        <w:tc>
          <w:tcPr>
            <w:tcW w:w="1296" w:type="dxa"/>
            <w:vAlign w:val="center"/>
          </w:tcPr>
          <w:p w14:paraId="3C1DBC34" w14:textId="77777777" w:rsidR="00C04DBB" w:rsidRDefault="00C04DBB" w:rsidP="00C136CE">
            <w:pPr>
              <w:pStyle w:val="answer"/>
              <w:keepNext/>
              <w:spacing w:before="60" w:after="60" w:line="240" w:lineRule="auto"/>
              <w:ind w:left="0" w:firstLine="0"/>
              <w:jc w:val="center"/>
              <w:rPr>
                <w:b/>
              </w:rPr>
            </w:pPr>
            <w:r>
              <w:rPr>
                <w:b/>
              </w:rPr>
              <w:t>Company</w:t>
            </w:r>
          </w:p>
          <w:p w14:paraId="3C1DBC35" w14:textId="77777777" w:rsidR="00C04DBB" w:rsidRPr="007E50F7" w:rsidRDefault="00C04DBB" w:rsidP="00C136CE">
            <w:pPr>
              <w:pStyle w:val="answer"/>
              <w:keepNext/>
              <w:spacing w:before="60" w:after="60" w:line="240" w:lineRule="auto"/>
              <w:ind w:left="0" w:firstLine="0"/>
              <w:jc w:val="center"/>
              <w:rPr>
                <w:b/>
              </w:rPr>
            </w:pPr>
            <w:r w:rsidRPr="007E50F7">
              <w:rPr>
                <w:b/>
              </w:rPr>
              <w:t>Current</w:t>
            </w:r>
          </w:p>
        </w:tc>
        <w:tc>
          <w:tcPr>
            <w:tcW w:w="1296" w:type="dxa"/>
            <w:vAlign w:val="center"/>
          </w:tcPr>
          <w:p w14:paraId="3C1DBC36" w14:textId="77777777" w:rsidR="00C04DBB" w:rsidRPr="007E50F7" w:rsidRDefault="00C04DBB" w:rsidP="00C136CE">
            <w:pPr>
              <w:pStyle w:val="answer"/>
              <w:keepNext/>
              <w:spacing w:before="60" w:after="60" w:line="240" w:lineRule="auto"/>
              <w:ind w:left="0" w:firstLine="0"/>
              <w:jc w:val="center"/>
              <w:rPr>
                <w:b/>
              </w:rPr>
            </w:pPr>
            <w:r w:rsidRPr="007E50F7">
              <w:rPr>
                <w:b/>
              </w:rPr>
              <w:t xml:space="preserve">Staff </w:t>
            </w:r>
            <w:r>
              <w:rPr>
                <w:b/>
              </w:rPr>
              <w:t>Current</w:t>
            </w:r>
          </w:p>
        </w:tc>
      </w:tr>
      <w:tr w:rsidR="00C04DBB" w:rsidRPr="007E50F7" w14:paraId="3C1DBC3B" w14:textId="77777777" w:rsidTr="00C136CE">
        <w:trPr>
          <w:cantSplit/>
        </w:trPr>
        <w:tc>
          <w:tcPr>
            <w:tcW w:w="5335" w:type="dxa"/>
            <w:vAlign w:val="center"/>
          </w:tcPr>
          <w:p w14:paraId="3C1DBC38" w14:textId="77777777" w:rsidR="00C04DBB" w:rsidRPr="00490BBE" w:rsidRDefault="00C04DBB" w:rsidP="00C136CE">
            <w:pPr>
              <w:pStyle w:val="answer"/>
              <w:keepNext/>
              <w:spacing w:before="60" w:after="60" w:line="240" w:lineRule="auto"/>
              <w:ind w:left="0" w:firstLine="0"/>
            </w:pPr>
            <w:r w:rsidRPr="00490BBE">
              <w:t>Total System</w:t>
            </w:r>
          </w:p>
        </w:tc>
        <w:tc>
          <w:tcPr>
            <w:tcW w:w="1296" w:type="dxa"/>
            <w:vAlign w:val="center"/>
          </w:tcPr>
          <w:p w14:paraId="3C1DBC39" w14:textId="77777777" w:rsidR="00C04DBB" w:rsidRPr="007E50F7" w:rsidRDefault="00C04DBB" w:rsidP="00C136CE">
            <w:pPr>
              <w:pStyle w:val="answer"/>
              <w:keepNext/>
              <w:spacing w:before="60" w:after="60" w:line="240" w:lineRule="auto"/>
              <w:ind w:left="0" w:firstLine="0"/>
              <w:jc w:val="center"/>
            </w:pPr>
            <w:r w:rsidRPr="007E50F7">
              <w:t>1.00</w:t>
            </w:r>
          </w:p>
        </w:tc>
        <w:tc>
          <w:tcPr>
            <w:tcW w:w="1296" w:type="dxa"/>
            <w:vAlign w:val="center"/>
          </w:tcPr>
          <w:p w14:paraId="3C1DBC3A" w14:textId="77777777" w:rsidR="00C04DBB" w:rsidRPr="00CE55AC" w:rsidRDefault="00C04DBB" w:rsidP="00C136CE">
            <w:pPr>
              <w:pStyle w:val="answer"/>
              <w:keepNext/>
              <w:spacing w:before="60" w:after="60" w:line="240" w:lineRule="auto"/>
              <w:ind w:left="0" w:firstLine="0"/>
              <w:jc w:val="center"/>
            </w:pPr>
            <w:r w:rsidRPr="00CE55AC">
              <w:t>1.00</w:t>
            </w:r>
          </w:p>
        </w:tc>
      </w:tr>
      <w:tr w:rsidR="00C04DBB" w:rsidRPr="007E50F7" w14:paraId="3C1DBC3F" w14:textId="77777777" w:rsidTr="00C136CE">
        <w:trPr>
          <w:cantSplit/>
        </w:trPr>
        <w:tc>
          <w:tcPr>
            <w:tcW w:w="5335" w:type="dxa"/>
            <w:vAlign w:val="center"/>
          </w:tcPr>
          <w:p w14:paraId="3C1DBC3C" w14:textId="77777777" w:rsidR="00C04DBB" w:rsidRPr="00490BBE" w:rsidRDefault="00490BBE" w:rsidP="00C136CE">
            <w:pPr>
              <w:pStyle w:val="answer"/>
              <w:keepNext/>
              <w:spacing w:before="60" w:after="60" w:line="240" w:lineRule="auto"/>
              <w:ind w:left="0" w:firstLine="0"/>
            </w:pPr>
            <w:r w:rsidRPr="00490BBE">
              <w:t>Residential (Schedule 1)</w:t>
            </w:r>
          </w:p>
        </w:tc>
        <w:tc>
          <w:tcPr>
            <w:tcW w:w="1296" w:type="dxa"/>
            <w:vAlign w:val="center"/>
          </w:tcPr>
          <w:p w14:paraId="3C1DBC3D" w14:textId="77777777" w:rsidR="00C04DBB" w:rsidRPr="007E50F7" w:rsidRDefault="00490BBE" w:rsidP="00C136CE">
            <w:pPr>
              <w:pStyle w:val="answer"/>
              <w:keepNext/>
              <w:spacing w:before="60" w:after="60" w:line="240" w:lineRule="auto"/>
              <w:ind w:left="0" w:firstLine="0"/>
              <w:jc w:val="center"/>
            </w:pPr>
            <w:r>
              <w:t>0.</w:t>
            </w:r>
            <w:r w:rsidR="00C04DBB">
              <w:t>9</w:t>
            </w:r>
            <w:r>
              <w:t>3</w:t>
            </w:r>
          </w:p>
        </w:tc>
        <w:tc>
          <w:tcPr>
            <w:tcW w:w="1296" w:type="dxa"/>
            <w:vAlign w:val="center"/>
          </w:tcPr>
          <w:p w14:paraId="3C1DBC3E" w14:textId="77777777" w:rsidR="00C04DBB" w:rsidRPr="00CE55AC" w:rsidRDefault="00C04DBB" w:rsidP="00C136CE">
            <w:pPr>
              <w:pStyle w:val="answer"/>
              <w:keepNext/>
              <w:spacing w:before="60" w:after="60" w:line="240" w:lineRule="auto"/>
              <w:ind w:left="0" w:firstLine="0"/>
              <w:jc w:val="center"/>
            </w:pPr>
            <w:r w:rsidRPr="00CE55AC">
              <w:t>0.</w:t>
            </w:r>
            <w:r w:rsidR="00E6325F" w:rsidRPr="00CE55AC">
              <w:t>92</w:t>
            </w:r>
          </w:p>
        </w:tc>
      </w:tr>
      <w:tr w:rsidR="00C04DBB" w:rsidRPr="007E50F7" w14:paraId="3C1DBC43" w14:textId="77777777" w:rsidTr="00C136CE">
        <w:trPr>
          <w:cantSplit/>
        </w:trPr>
        <w:tc>
          <w:tcPr>
            <w:tcW w:w="5335" w:type="dxa"/>
            <w:vAlign w:val="center"/>
          </w:tcPr>
          <w:p w14:paraId="3C1DBC40" w14:textId="77777777" w:rsidR="00C04DBB" w:rsidRPr="00490BBE" w:rsidRDefault="00490BBE" w:rsidP="00C136CE">
            <w:pPr>
              <w:pStyle w:val="answer"/>
              <w:keepNext/>
              <w:spacing w:before="60" w:after="60" w:line="240" w:lineRule="auto"/>
              <w:ind w:left="0" w:firstLine="0"/>
            </w:pPr>
            <w:r w:rsidRPr="00490BBE">
              <w:t>General Service (Schedules 11, 12)</w:t>
            </w:r>
          </w:p>
        </w:tc>
        <w:tc>
          <w:tcPr>
            <w:tcW w:w="1296" w:type="dxa"/>
            <w:vAlign w:val="center"/>
          </w:tcPr>
          <w:p w14:paraId="3C1DBC41" w14:textId="77777777" w:rsidR="00C04DBB" w:rsidRPr="007E50F7" w:rsidRDefault="00C04DBB" w:rsidP="00490BBE">
            <w:pPr>
              <w:pStyle w:val="answer"/>
              <w:keepNext/>
              <w:spacing w:before="60" w:after="60" w:line="240" w:lineRule="auto"/>
              <w:ind w:left="0" w:firstLine="0"/>
              <w:jc w:val="center"/>
            </w:pPr>
            <w:r w:rsidRPr="007E50F7">
              <w:t>1.</w:t>
            </w:r>
            <w:r w:rsidR="00490BBE">
              <w:t>15</w:t>
            </w:r>
          </w:p>
        </w:tc>
        <w:tc>
          <w:tcPr>
            <w:tcW w:w="1296" w:type="dxa"/>
            <w:vAlign w:val="center"/>
          </w:tcPr>
          <w:p w14:paraId="3C1DBC42" w14:textId="77777777" w:rsidR="00C04DBB" w:rsidRPr="00CE55AC" w:rsidRDefault="00C04DBB" w:rsidP="001B4C44">
            <w:pPr>
              <w:pStyle w:val="answer"/>
              <w:keepNext/>
              <w:spacing w:before="60" w:after="60" w:line="240" w:lineRule="auto"/>
              <w:ind w:left="0" w:firstLine="0"/>
              <w:jc w:val="center"/>
            </w:pPr>
            <w:r w:rsidRPr="00CE55AC">
              <w:t>1.</w:t>
            </w:r>
            <w:r w:rsidR="00E6325F" w:rsidRPr="00CE55AC">
              <w:t>1</w:t>
            </w:r>
            <w:r w:rsidR="00F70083" w:rsidRPr="00CE55AC">
              <w:t>4</w:t>
            </w:r>
          </w:p>
        </w:tc>
      </w:tr>
      <w:tr w:rsidR="00C04DBB" w:rsidRPr="007E50F7" w14:paraId="3C1DBC47" w14:textId="77777777" w:rsidTr="00C136CE">
        <w:trPr>
          <w:cantSplit/>
        </w:trPr>
        <w:tc>
          <w:tcPr>
            <w:tcW w:w="5335" w:type="dxa"/>
            <w:vAlign w:val="center"/>
          </w:tcPr>
          <w:p w14:paraId="3C1DBC44" w14:textId="77777777" w:rsidR="00C04DBB" w:rsidRPr="00490BBE" w:rsidRDefault="00490BBE" w:rsidP="00C136CE">
            <w:pPr>
              <w:pStyle w:val="answer"/>
              <w:keepNext/>
              <w:spacing w:before="60" w:after="60" w:line="240" w:lineRule="auto"/>
              <w:ind w:left="0" w:firstLine="0"/>
            </w:pPr>
            <w:r w:rsidRPr="00490BBE">
              <w:t>Large General Service (Schedules 21, 22)</w:t>
            </w:r>
          </w:p>
        </w:tc>
        <w:tc>
          <w:tcPr>
            <w:tcW w:w="1296" w:type="dxa"/>
            <w:vAlign w:val="center"/>
          </w:tcPr>
          <w:p w14:paraId="3C1DBC45" w14:textId="77777777" w:rsidR="00C04DBB" w:rsidRPr="007E50F7" w:rsidRDefault="00C04DBB" w:rsidP="00490BBE">
            <w:pPr>
              <w:pStyle w:val="answer"/>
              <w:keepNext/>
              <w:spacing w:before="60" w:after="60" w:line="240" w:lineRule="auto"/>
              <w:ind w:left="0" w:firstLine="0"/>
              <w:jc w:val="center"/>
            </w:pPr>
            <w:r w:rsidRPr="007E50F7">
              <w:t>1.</w:t>
            </w:r>
            <w:r w:rsidR="00490BBE">
              <w:t>06</w:t>
            </w:r>
          </w:p>
        </w:tc>
        <w:tc>
          <w:tcPr>
            <w:tcW w:w="1296" w:type="dxa"/>
            <w:vAlign w:val="center"/>
          </w:tcPr>
          <w:p w14:paraId="3C1DBC46" w14:textId="77777777" w:rsidR="00C04DBB" w:rsidRPr="00CE55AC" w:rsidRDefault="00C04DBB" w:rsidP="00C136CE">
            <w:pPr>
              <w:pStyle w:val="answer"/>
              <w:keepNext/>
              <w:spacing w:before="60" w:after="60" w:line="240" w:lineRule="auto"/>
              <w:ind w:left="0" w:firstLine="0"/>
              <w:jc w:val="center"/>
            </w:pPr>
            <w:r w:rsidRPr="00CE55AC">
              <w:t>1.</w:t>
            </w:r>
            <w:r w:rsidR="00E6325F" w:rsidRPr="00CE55AC">
              <w:t>12</w:t>
            </w:r>
          </w:p>
        </w:tc>
      </w:tr>
      <w:tr w:rsidR="00C04DBB" w:rsidRPr="007E50F7" w14:paraId="3C1DBC4B" w14:textId="77777777" w:rsidTr="00C136CE">
        <w:trPr>
          <w:cantSplit/>
        </w:trPr>
        <w:tc>
          <w:tcPr>
            <w:tcW w:w="5335" w:type="dxa"/>
            <w:vAlign w:val="center"/>
          </w:tcPr>
          <w:p w14:paraId="3C1DBC48" w14:textId="77777777" w:rsidR="00C04DBB" w:rsidRPr="00490BBE" w:rsidRDefault="00490BBE" w:rsidP="00C136CE">
            <w:pPr>
              <w:pStyle w:val="answer"/>
              <w:keepNext/>
              <w:spacing w:before="60" w:after="60" w:line="240" w:lineRule="auto"/>
              <w:ind w:left="0" w:firstLine="0"/>
            </w:pPr>
            <w:r w:rsidRPr="00490BBE">
              <w:t>Extra Large General Service (Schedule 25)</w:t>
            </w:r>
          </w:p>
        </w:tc>
        <w:tc>
          <w:tcPr>
            <w:tcW w:w="1296" w:type="dxa"/>
            <w:vAlign w:val="center"/>
          </w:tcPr>
          <w:p w14:paraId="3C1DBC49" w14:textId="77777777" w:rsidR="00C04DBB" w:rsidRPr="007E50F7" w:rsidRDefault="00490BBE" w:rsidP="00490BBE">
            <w:pPr>
              <w:pStyle w:val="answer"/>
              <w:keepNext/>
              <w:spacing w:before="60" w:after="60" w:line="240" w:lineRule="auto"/>
              <w:ind w:left="0" w:firstLine="0"/>
              <w:jc w:val="center"/>
            </w:pPr>
            <w:r>
              <w:t>0</w:t>
            </w:r>
            <w:r w:rsidR="00C04DBB" w:rsidRPr="007E50F7">
              <w:t>.</w:t>
            </w:r>
            <w:r>
              <w:t>98</w:t>
            </w:r>
          </w:p>
        </w:tc>
        <w:tc>
          <w:tcPr>
            <w:tcW w:w="1296" w:type="dxa"/>
            <w:vAlign w:val="center"/>
          </w:tcPr>
          <w:p w14:paraId="3C1DBC4A" w14:textId="77777777" w:rsidR="00C04DBB" w:rsidRPr="00CE55AC" w:rsidRDefault="00490BBE" w:rsidP="00C136CE">
            <w:pPr>
              <w:pStyle w:val="answer"/>
              <w:keepNext/>
              <w:spacing w:before="60" w:after="60" w:line="240" w:lineRule="auto"/>
              <w:ind w:left="0" w:firstLine="0"/>
              <w:jc w:val="center"/>
            </w:pPr>
            <w:r w:rsidRPr="00CE55AC">
              <w:t>1</w:t>
            </w:r>
            <w:r w:rsidR="00C04DBB" w:rsidRPr="00CE55AC">
              <w:t>.</w:t>
            </w:r>
            <w:r w:rsidR="00E6325F" w:rsidRPr="00CE55AC">
              <w:t>08</w:t>
            </w:r>
          </w:p>
        </w:tc>
      </w:tr>
      <w:tr w:rsidR="00490BBE" w:rsidRPr="007E50F7" w14:paraId="3C1DBC4F" w14:textId="77777777" w:rsidTr="00C136CE">
        <w:trPr>
          <w:cantSplit/>
        </w:trPr>
        <w:tc>
          <w:tcPr>
            <w:tcW w:w="5335" w:type="dxa"/>
            <w:vAlign w:val="center"/>
          </w:tcPr>
          <w:p w14:paraId="3C1DBC4C" w14:textId="77777777" w:rsidR="00490BBE" w:rsidRPr="00490BBE" w:rsidRDefault="00490BBE" w:rsidP="00490BBE">
            <w:pPr>
              <w:pStyle w:val="answer"/>
              <w:keepNext/>
              <w:spacing w:before="60" w:after="60" w:line="240" w:lineRule="auto"/>
              <w:ind w:left="0" w:firstLine="0"/>
            </w:pPr>
            <w:r w:rsidRPr="00490BBE">
              <w:t>Ultra Large General Service (Schedule 26)</w:t>
            </w:r>
          </w:p>
        </w:tc>
        <w:tc>
          <w:tcPr>
            <w:tcW w:w="1296" w:type="dxa"/>
            <w:vAlign w:val="center"/>
          </w:tcPr>
          <w:p w14:paraId="3C1DBC4D" w14:textId="77777777" w:rsidR="00490BBE" w:rsidRPr="007E50F7" w:rsidRDefault="00490BBE" w:rsidP="00C136CE">
            <w:pPr>
              <w:pStyle w:val="answer"/>
              <w:keepNext/>
              <w:spacing w:before="60" w:after="60" w:line="240" w:lineRule="auto"/>
              <w:ind w:left="0" w:firstLine="0"/>
              <w:jc w:val="center"/>
            </w:pPr>
            <w:r>
              <w:t>N/A</w:t>
            </w:r>
          </w:p>
        </w:tc>
        <w:tc>
          <w:tcPr>
            <w:tcW w:w="1296" w:type="dxa"/>
            <w:vAlign w:val="center"/>
          </w:tcPr>
          <w:p w14:paraId="3C1DBC4E" w14:textId="77777777" w:rsidR="00490BBE" w:rsidRPr="00CE55AC" w:rsidRDefault="00190FC5" w:rsidP="00C136CE">
            <w:pPr>
              <w:pStyle w:val="answer"/>
              <w:keepNext/>
              <w:spacing w:before="60" w:after="60" w:line="240" w:lineRule="auto"/>
              <w:ind w:left="0" w:firstLine="0"/>
              <w:jc w:val="center"/>
            </w:pPr>
            <w:r w:rsidRPr="00CE55AC">
              <w:t>1.</w:t>
            </w:r>
            <w:r w:rsidR="00E6325F" w:rsidRPr="00CE55AC">
              <w:t>1</w:t>
            </w:r>
            <w:r w:rsidR="00F70083" w:rsidRPr="00CE55AC">
              <w:t>1</w:t>
            </w:r>
          </w:p>
        </w:tc>
      </w:tr>
      <w:tr w:rsidR="00490BBE" w:rsidRPr="007E50F7" w14:paraId="3C1DBC53" w14:textId="77777777" w:rsidTr="00C136CE">
        <w:trPr>
          <w:cantSplit/>
        </w:trPr>
        <w:tc>
          <w:tcPr>
            <w:tcW w:w="5335" w:type="dxa"/>
            <w:vAlign w:val="center"/>
          </w:tcPr>
          <w:p w14:paraId="3C1DBC50" w14:textId="77777777" w:rsidR="00490BBE" w:rsidRPr="00490BBE" w:rsidRDefault="00490BBE" w:rsidP="00490BBE">
            <w:pPr>
              <w:pStyle w:val="answer"/>
              <w:keepNext/>
              <w:spacing w:before="60" w:after="60" w:line="240" w:lineRule="auto"/>
              <w:ind w:left="0" w:firstLine="0"/>
            </w:pPr>
            <w:r w:rsidRPr="00490BBE">
              <w:t>Pumping Service (Schedules 31, 32)</w:t>
            </w:r>
          </w:p>
        </w:tc>
        <w:tc>
          <w:tcPr>
            <w:tcW w:w="1296" w:type="dxa"/>
            <w:vAlign w:val="center"/>
          </w:tcPr>
          <w:p w14:paraId="3C1DBC51" w14:textId="77777777" w:rsidR="00490BBE" w:rsidRPr="007E50F7" w:rsidRDefault="00490BBE" w:rsidP="00490BBE">
            <w:pPr>
              <w:pStyle w:val="answer"/>
              <w:keepNext/>
              <w:spacing w:before="60" w:after="60" w:line="240" w:lineRule="auto"/>
              <w:ind w:left="0" w:firstLine="0"/>
              <w:jc w:val="center"/>
            </w:pPr>
            <w:r>
              <w:t>0</w:t>
            </w:r>
            <w:r w:rsidRPr="007E50F7">
              <w:t>.</w:t>
            </w:r>
            <w:r>
              <w:t>98</w:t>
            </w:r>
          </w:p>
        </w:tc>
        <w:tc>
          <w:tcPr>
            <w:tcW w:w="1296" w:type="dxa"/>
            <w:vAlign w:val="center"/>
          </w:tcPr>
          <w:p w14:paraId="3C1DBC52" w14:textId="77777777" w:rsidR="00490BBE" w:rsidRPr="00CE55AC" w:rsidRDefault="00490BBE" w:rsidP="00490BBE">
            <w:pPr>
              <w:pStyle w:val="answer"/>
              <w:keepNext/>
              <w:spacing w:before="60" w:after="60" w:line="240" w:lineRule="auto"/>
              <w:ind w:left="0" w:firstLine="0"/>
              <w:jc w:val="center"/>
            </w:pPr>
            <w:r w:rsidRPr="00CE55AC">
              <w:t>0.</w:t>
            </w:r>
            <w:r w:rsidR="00E6325F" w:rsidRPr="00CE55AC">
              <w:t>9</w:t>
            </w:r>
            <w:r w:rsidR="00F70083" w:rsidRPr="00CE55AC">
              <w:t>7</w:t>
            </w:r>
          </w:p>
        </w:tc>
      </w:tr>
      <w:tr w:rsidR="00490BBE" w:rsidRPr="007E50F7" w14:paraId="3C1DBC57" w14:textId="77777777" w:rsidTr="00C136CE">
        <w:trPr>
          <w:cantSplit/>
        </w:trPr>
        <w:tc>
          <w:tcPr>
            <w:tcW w:w="5335" w:type="dxa"/>
            <w:vAlign w:val="center"/>
          </w:tcPr>
          <w:p w14:paraId="3C1DBC54" w14:textId="77777777" w:rsidR="00490BBE" w:rsidRPr="00490BBE" w:rsidRDefault="00490BBE" w:rsidP="00490BBE">
            <w:pPr>
              <w:pStyle w:val="answer"/>
              <w:keepNext/>
              <w:spacing w:before="60" w:after="60" w:line="240" w:lineRule="auto"/>
              <w:ind w:left="0" w:firstLine="0"/>
            </w:pPr>
            <w:r w:rsidRPr="00490BBE">
              <w:t>Street &amp; Area Lights (Schedules 41-49)</w:t>
            </w:r>
          </w:p>
        </w:tc>
        <w:tc>
          <w:tcPr>
            <w:tcW w:w="1296" w:type="dxa"/>
            <w:vAlign w:val="center"/>
          </w:tcPr>
          <w:p w14:paraId="3C1DBC55" w14:textId="77777777" w:rsidR="00490BBE" w:rsidRDefault="00490BBE" w:rsidP="00490BBE">
            <w:pPr>
              <w:pStyle w:val="answer"/>
              <w:keepNext/>
              <w:spacing w:before="60" w:after="60" w:line="240" w:lineRule="auto"/>
              <w:ind w:left="0" w:firstLine="0"/>
              <w:jc w:val="center"/>
            </w:pPr>
            <w:r>
              <w:t>0.97</w:t>
            </w:r>
          </w:p>
        </w:tc>
        <w:tc>
          <w:tcPr>
            <w:tcW w:w="1296" w:type="dxa"/>
            <w:vAlign w:val="center"/>
          </w:tcPr>
          <w:p w14:paraId="3C1DBC56" w14:textId="77777777" w:rsidR="00490BBE" w:rsidRPr="00CE55AC" w:rsidRDefault="00190FC5" w:rsidP="00490BBE">
            <w:pPr>
              <w:pStyle w:val="answer"/>
              <w:keepNext/>
              <w:spacing w:before="60" w:after="60" w:line="240" w:lineRule="auto"/>
              <w:ind w:left="0" w:firstLine="0"/>
              <w:jc w:val="center"/>
            </w:pPr>
            <w:r w:rsidRPr="00CE55AC">
              <w:t>0.9</w:t>
            </w:r>
            <w:r w:rsidR="00E6325F" w:rsidRPr="00CE55AC">
              <w:t>9</w:t>
            </w:r>
          </w:p>
        </w:tc>
      </w:tr>
    </w:tbl>
    <w:p w14:paraId="3C1DBC58" w14:textId="77777777" w:rsidR="00C04DBB" w:rsidRDefault="00C04DBB" w:rsidP="00C04DBB">
      <w:pPr>
        <w:pStyle w:val="Answer-Testimony"/>
        <w:jc w:val="center"/>
      </w:pPr>
      <w:r w:rsidRPr="00490BBE">
        <w:t xml:space="preserve">Table 1:  Summary </w:t>
      </w:r>
      <w:r w:rsidRPr="007E50F7">
        <w:t xml:space="preserve">of </w:t>
      </w:r>
      <w:r>
        <w:t xml:space="preserve">Revenue </w:t>
      </w:r>
      <w:r w:rsidRPr="007E50F7">
        <w:t>Parity Ratios</w:t>
      </w:r>
    </w:p>
    <w:p w14:paraId="3C1DBC59" w14:textId="77777777" w:rsidR="00C04DBB" w:rsidRPr="007E50F7" w:rsidRDefault="00C04DBB" w:rsidP="00C04DBB">
      <w:pPr>
        <w:pStyle w:val="Answer-Testimony"/>
        <w:jc w:val="center"/>
      </w:pPr>
    </w:p>
    <w:p w14:paraId="3C1DBC5A" w14:textId="77777777" w:rsidR="00C04DBB" w:rsidRPr="000559D0" w:rsidRDefault="00C04DBB" w:rsidP="00C04DBB">
      <w:pPr>
        <w:pStyle w:val="Answer-Testimony"/>
        <w:rPr>
          <w:color w:val="FFFFFF" w:themeColor="background1"/>
        </w:rPr>
      </w:pPr>
      <w:r w:rsidRPr="000559D0">
        <w:rPr>
          <w:color w:val="FFFFFF" w:themeColor="background1"/>
        </w:rPr>
        <w:t>R</w:t>
      </w:r>
    </w:p>
    <w:p w14:paraId="3C1DBC5B" w14:textId="77777777" w:rsidR="00C04DBB" w:rsidRPr="000559D0" w:rsidRDefault="00C04DBB" w:rsidP="00C04DBB">
      <w:pPr>
        <w:pStyle w:val="Answer-Testimony"/>
        <w:rPr>
          <w:color w:val="FFFFFF" w:themeColor="background1"/>
        </w:rPr>
      </w:pPr>
      <w:r w:rsidRPr="000559D0">
        <w:rPr>
          <w:color w:val="FFFFFF" w:themeColor="background1"/>
        </w:rPr>
        <w:t>R</w:t>
      </w:r>
    </w:p>
    <w:p w14:paraId="3C1DBC5C" w14:textId="77777777" w:rsidR="00C04DBB" w:rsidRPr="000559D0" w:rsidRDefault="00C04DBB" w:rsidP="00C04DBB">
      <w:pPr>
        <w:pStyle w:val="Answer-Testimony"/>
        <w:rPr>
          <w:color w:val="FFFFFF" w:themeColor="background1"/>
        </w:rPr>
      </w:pPr>
      <w:r w:rsidRPr="000559D0">
        <w:rPr>
          <w:color w:val="FFFFFF" w:themeColor="background1"/>
        </w:rPr>
        <w:t>R</w:t>
      </w:r>
    </w:p>
    <w:p w14:paraId="3C1DBC5D" w14:textId="77777777" w:rsidR="00C04DBB" w:rsidRPr="000559D0" w:rsidRDefault="00C04DBB" w:rsidP="00C04DBB">
      <w:pPr>
        <w:pStyle w:val="Answer-Testimony"/>
        <w:rPr>
          <w:color w:val="FFFFFF" w:themeColor="background1"/>
        </w:rPr>
      </w:pPr>
      <w:r w:rsidRPr="000559D0">
        <w:rPr>
          <w:color w:val="FFFFFF" w:themeColor="background1"/>
        </w:rPr>
        <w:t>R</w:t>
      </w:r>
    </w:p>
    <w:p w14:paraId="3C1DBC5E" w14:textId="77777777" w:rsidR="00C04DBB" w:rsidRPr="000559D0" w:rsidRDefault="00C04DBB" w:rsidP="00C04DBB">
      <w:pPr>
        <w:pStyle w:val="Answer-Testimony"/>
        <w:rPr>
          <w:color w:val="FFFFFF" w:themeColor="background1"/>
        </w:rPr>
      </w:pPr>
      <w:r w:rsidRPr="000559D0">
        <w:rPr>
          <w:color w:val="FFFFFF" w:themeColor="background1"/>
        </w:rPr>
        <w:t>R</w:t>
      </w:r>
    </w:p>
    <w:p w14:paraId="3C1DBC5F" w14:textId="77777777" w:rsidR="00C04DBB" w:rsidRDefault="00C04DBB" w:rsidP="00C04DBB">
      <w:pPr>
        <w:pStyle w:val="Question-Testimony"/>
        <w:rPr>
          <w:color w:val="FFFFFF" w:themeColor="background1"/>
        </w:rPr>
      </w:pPr>
      <w:r w:rsidRPr="000559D0">
        <w:rPr>
          <w:color w:val="FFFFFF" w:themeColor="background1"/>
        </w:rPr>
        <w:t>R</w:t>
      </w:r>
    </w:p>
    <w:p w14:paraId="3C1DBC60" w14:textId="77777777" w:rsidR="00C04DBB" w:rsidRDefault="00C04DBB" w:rsidP="00C04DBB">
      <w:pPr>
        <w:pStyle w:val="Question-Testimony"/>
        <w:rPr>
          <w:color w:val="FFFFFF" w:themeColor="background1"/>
        </w:rPr>
      </w:pPr>
      <w:r w:rsidRPr="000559D0">
        <w:rPr>
          <w:color w:val="FFFFFF" w:themeColor="background1"/>
        </w:rPr>
        <w:t>R</w:t>
      </w:r>
    </w:p>
    <w:p w14:paraId="3C1DBC61" w14:textId="77777777" w:rsidR="00490BBE" w:rsidRPr="000559D0" w:rsidRDefault="00490BBE" w:rsidP="00C04DBB">
      <w:pPr>
        <w:pStyle w:val="Question-Testimony"/>
        <w:rPr>
          <w:color w:val="FFFFFF" w:themeColor="background1"/>
        </w:rPr>
      </w:pPr>
    </w:p>
    <w:p w14:paraId="3C1DBC62" w14:textId="77777777" w:rsidR="00C04DBB" w:rsidRPr="00AF797F" w:rsidRDefault="00C04DBB" w:rsidP="00C04DBB">
      <w:pPr>
        <w:pStyle w:val="Question-Testimony"/>
      </w:pPr>
      <w:r w:rsidRPr="007E50F7">
        <w:t>Q.</w:t>
      </w:r>
      <w:r w:rsidRPr="007E50F7">
        <w:tab/>
        <w:t xml:space="preserve">What does this </w:t>
      </w:r>
      <w:r w:rsidRPr="00AF797F">
        <w:t>table show?</w:t>
      </w:r>
    </w:p>
    <w:p w14:paraId="3C1DBC63" w14:textId="77777777" w:rsidR="00AF797F" w:rsidRPr="00AF797F" w:rsidRDefault="00C04DBB" w:rsidP="00B917E9">
      <w:pPr>
        <w:pStyle w:val="Answer-Testimony"/>
      </w:pPr>
      <w:r w:rsidRPr="00AF797F">
        <w:t>A.</w:t>
      </w:r>
      <w:r w:rsidRPr="00AF797F">
        <w:tab/>
        <w:t xml:space="preserve">This table shows that using the </w:t>
      </w:r>
      <w:r w:rsidR="00AF797F" w:rsidRPr="00AF797F">
        <w:t>Staff</w:t>
      </w:r>
      <w:r w:rsidRPr="00AF797F">
        <w:t>’s cost of service</w:t>
      </w:r>
      <w:r w:rsidR="00B97190">
        <w:t xml:space="preserve"> study, the following rate schedules have parity ratios outside the </w:t>
      </w:r>
      <w:r w:rsidR="00525386">
        <w:t>0</w:t>
      </w:r>
      <w:r w:rsidR="00B97190">
        <w:t xml:space="preserve">.95 to 1.05 range: (1) </w:t>
      </w:r>
      <w:r w:rsidR="00B917E9" w:rsidRPr="00AF797F">
        <w:t>Residential</w:t>
      </w:r>
      <w:r w:rsidR="00AF797F" w:rsidRPr="00AF797F">
        <w:t xml:space="preserve"> Schedule 1</w:t>
      </w:r>
      <w:r w:rsidR="00B97190">
        <w:t xml:space="preserve"> </w:t>
      </w:r>
      <w:r w:rsidR="00AF797F" w:rsidRPr="00AF797F">
        <w:t xml:space="preserve">is covering </w:t>
      </w:r>
      <w:r w:rsidR="00B917E9" w:rsidRPr="00AF797F">
        <w:t>9</w:t>
      </w:r>
      <w:r w:rsidR="00E6325F">
        <w:t>2</w:t>
      </w:r>
      <w:r w:rsidR="00B917E9" w:rsidRPr="00AF797F">
        <w:t xml:space="preserve"> percent of </w:t>
      </w:r>
      <w:r w:rsidR="00A07F2C">
        <w:t xml:space="preserve">the </w:t>
      </w:r>
      <w:r w:rsidR="00B917E9" w:rsidRPr="00AF797F">
        <w:t xml:space="preserve">cost of service; </w:t>
      </w:r>
      <w:r w:rsidR="00B97190">
        <w:t xml:space="preserve">(2) </w:t>
      </w:r>
      <w:r w:rsidR="00B917E9" w:rsidRPr="00AF797F">
        <w:t>General Service Schedules 11 and 12 cover 11</w:t>
      </w:r>
      <w:r w:rsidR="00E6325F">
        <w:t>5</w:t>
      </w:r>
      <w:r w:rsidR="00B917E9" w:rsidRPr="00AF797F">
        <w:t xml:space="preserve"> percent of </w:t>
      </w:r>
      <w:r w:rsidR="00A07F2C">
        <w:t>the</w:t>
      </w:r>
      <w:r w:rsidR="00B917E9" w:rsidRPr="00AF797F">
        <w:t xml:space="preserve"> cost of service</w:t>
      </w:r>
      <w:r w:rsidR="00B97190">
        <w:t>; (3)</w:t>
      </w:r>
      <w:r w:rsidR="00B917E9" w:rsidRPr="00AF797F">
        <w:t xml:space="preserve"> Large General Service Schedules 21 and 22 cover 11</w:t>
      </w:r>
      <w:r w:rsidR="00E6325F">
        <w:t>2</w:t>
      </w:r>
      <w:r w:rsidR="00B917E9" w:rsidRPr="00AF797F">
        <w:t xml:space="preserve"> percent of </w:t>
      </w:r>
      <w:r w:rsidR="00A07F2C">
        <w:t>the</w:t>
      </w:r>
      <w:r w:rsidR="00B917E9" w:rsidRPr="00AF797F">
        <w:t xml:space="preserve"> cost of service</w:t>
      </w:r>
      <w:r w:rsidR="00E6325F">
        <w:t>; (4)</w:t>
      </w:r>
      <w:r w:rsidR="00E6325F" w:rsidRPr="00AF797F">
        <w:t xml:space="preserve"> </w:t>
      </w:r>
      <w:r w:rsidR="00E6325F">
        <w:t xml:space="preserve">Ultra </w:t>
      </w:r>
      <w:r w:rsidR="00E6325F" w:rsidRPr="00AF797F">
        <w:t>Large General Service Schedule 2</w:t>
      </w:r>
      <w:r w:rsidR="00E6325F">
        <w:t>6</w:t>
      </w:r>
      <w:r w:rsidR="00E6325F" w:rsidRPr="00AF797F">
        <w:t xml:space="preserve"> cover</w:t>
      </w:r>
      <w:r w:rsidR="00E6325F">
        <w:t>s</w:t>
      </w:r>
      <w:r w:rsidR="00E6325F" w:rsidRPr="00AF797F">
        <w:t xml:space="preserve"> 11</w:t>
      </w:r>
      <w:r w:rsidR="00E6325F">
        <w:t>2</w:t>
      </w:r>
      <w:r w:rsidR="00E6325F" w:rsidRPr="00AF797F">
        <w:t xml:space="preserve"> percent of </w:t>
      </w:r>
      <w:r w:rsidR="00E6325F">
        <w:t>the</w:t>
      </w:r>
      <w:r w:rsidR="00E6325F" w:rsidRPr="00AF797F">
        <w:t xml:space="preserve"> cost of service</w:t>
      </w:r>
      <w:r w:rsidR="00E6325F">
        <w:t>; and (5)</w:t>
      </w:r>
      <w:r w:rsidR="00E6325F" w:rsidRPr="00AF797F">
        <w:t xml:space="preserve"> </w:t>
      </w:r>
      <w:r w:rsidR="00E6325F">
        <w:t>Extra Large General Service Schedule</w:t>
      </w:r>
      <w:r w:rsidR="00E6325F" w:rsidRPr="00AF797F">
        <w:t xml:space="preserve"> 2</w:t>
      </w:r>
      <w:r w:rsidR="00E6325F">
        <w:t>5</w:t>
      </w:r>
      <w:r w:rsidR="00E6325F" w:rsidRPr="00AF797F">
        <w:t xml:space="preserve"> cover</w:t>
      </w:r>
      <w:r w:rsidR="00E6325F">
        <w:t>s</w:t>
      </w:r>
      <w:r w:rsidR="00E6325F" w:rsidRPr="00AF797F">
        <w:t xml:space="preserve"> 1</w:t>
      </w:r>
      <w:r w:rsidR="00E6325F">
        <w:t>08</w:t>
      </w:r>
      <w:r w:rsidR="00B917E9" w:rsidRPr="00AF797F">
        <w:t xml:space="preserve"> percent of </w:t>
      </w:r>
      <w:r w:rsidR="00A07F2C">
        <w:t>the</w:t>
      </w:r>
      <w:r w:rsidR="00B917E9" w:rsidRPr="00AF797F">
        <w:t xml:space="preserve"> cost of service.</w:t>
      </w:r>
    </w:p>
    <w:p w14:paraId="3C1DBC64" w14:textId="77777777" w:rsidR="00B917E9" w:rsidRPr="00AF797F" w:rsidRDefault="00AF797F" w:rsidP="00B917E9">
      <w:pPr>
        <w:pStyle w:val="Answer-Testimony"/>
      </w:pPr>
      <w:r w:rsidRPr="00AF797F">
        <w:t xml:space="preserve"> </w:t>
      </w:r>
    </w:p>
    <w:p w14:paraId="3C1DBC65" w14:textId="77777777" w:rsidR="00B917E9" w:rsidRPr="00AF797F" w:rsidRDefault="00B917E9" w:rsidP="00B917E9">
      <w:pPr>
        <w:pStyle w:val="Question-Testimony"/>
      </w:pPr>
      <w:r w:rsidRPr="00AF797F">
        <w:t>Q.</w:t>
      </w:r>
      <w:r w:rsidRPr="00AF797F">
        <w:tab/>
        <w:t>Wh</w:t>
      </w:r>
      <w:r w:rsidR="008602A3">
        <w:t>at</w:t>
      </w:r>
      <w:r w:rsidRPr="00AF797F">
        <w:t xml:space="preserve"> </w:t>
      </w:r>
      <w:r w:rsidR="00B97190">
        <w:t xml:space="preserve">causes the </w:t>
      </w:r>
      <w:r w:rsidRPr="00AF797F">
        <w:t xml:space="preserve">parity ratios for the Residential and General Service Schedules </w:t>
      </w:r>
      <w:r w:rsidR="00B97190">
        <w:t xml:space="preserve">to be outside the </w:t>
      </w:r>
      <w:r w:rsidR="00C74ECC">
        <w:t>0</w:t>
      </w:r>
      <w:r w:rsidR="00B97190">
        <w:t>.95 to 1.05 range</w:t>
      </w:r>
      <w:r w:rsidRPr="00AF797F">
        <w:t>?</w:t>
      </w:r>
    </w:p>
    <w:p w14:paraId="3C1DBC66" w14:textId="77777777" w:rsidR="00B917E9" w:rsidRPr="00525386" w:rsidRDefault="00B917E9" w:rsidP="00B917E9">
      <w:pPr>
        <w:pStyle w:val="Answer-Testimony"/>
        <w:rPr>
          <w:color w:val="FF0000"/>
        </w:rPr>
      </w:pPr>
      <w:r w:rsidRPr="00AF797F">
        <w:t>A.</w:t>
      </w:r>
      <w:r w:rsidRPr="00AF797F">
        <w:tab/>
        <w:t xml:space="preserve">This is likely due to the equal percentage increases that </w:t>
      </w:r>
      <w:r w:rsidR="00B97190">
        <w:t xml:space="preserve">have been </w:t>
      </w:r>
      <w:r w:rsidRPr="00AF797F">
        <w:t>applied in the past several general rate cases, most of which involved settlements.</w:t>
      </w:r>
      <w:r w:rsidR="00C74ECC">
        <w:t xml:space="preserve">  This tends to </w:t>
      </w:r>
      <w:r w:rsidR="00C74ECC">
        <w:lastRenderedPageBreak/>
        <w:t>preserve or even exacerbate the inequities between rate schedules.  To help get all schedules within the target range, or even parity, the Commission could direct the Company to reduce the imbalances between rate schedules by half for each general rate case</w:t>
      </w:r>
      <w:r w:rsidR="00A07F2C">
        <w:t xml:space="preserve">.  That </w:t>
      </w:r>
      <w:r w:rsidR="00C74ECC">
        <w:t>way, within two or three general rate case filings</w:t>
      </w:r>
      <w:r w:rsidR="00A07F2C">
        <w:t>,</w:t>
      </w:r>
      <w:r w:rsidR="00C74ECC">
        <w:t xml:space="preserve"> the imbalances would be</w:t>
      </w:r>
      <w:r w:rsidR="00C74ECC" w:rsidRPr="00C74ECC">
        <w:t xml:space="preserve"> </w:t>
      </w:r>
      <w:r w:rsidR="00C74ECC">
        <w:t>eliminated.</w:t>
      </w:r>
    </w:p>
    <w:p w14:paraId="3C1DBC67" w14:textId="77777777" w:rsidR="0069535A" w:rsidRPr="00AF797F" w:rsidRDefault="0069535A" w:rsidP="0069535A">
      <w:pPr>
        <w:pStyle w:val="BodyTextIndent"/>
      </w:pPr>
    </w:p>
    <w:p w14:paraId="3C1DBC68" w14:textId="77777777" w:rsidR="0069535A" w:rsidRPr="007E50F7" w:rsidRDefault="0069535A" w:rsidP="0069535A">
      <w:pPr>
        <w:pStyle w:val="Heading1"/>
      </w:pPr>
      <w:bookmarkStart w:id="26" w:name="_Toc391992041"/>
      <w:bookmarkStart w:id="27" w:name="_Toc393696924"/>
      <w:r w:rsidRPr="007E50F7">
        <w:t>ELECTRIC REVENUE ALLOCATION</w:t>
      </w:r>
      <w:bookmarkEnd w:id="26"/>
      <w:bookmarkEnd w:id="27"/>
    </w:p>
    <w:p w14:paraId="3C1DBC69" w14:textId="77777777" w:rsidR="0069535A" w:rsidRDefault="0069535A" w:rsidP="0069535A">
      <w:pPr>
        <w:pStyle w:val="Answer-Testimony"/>
      </w:pPr>
    </w:p>
    <w:p w14:paraId="3C1DBC6A" w14:textId="77777777" w:rsidR="000905D9" w:rsidRPr="007E50F7" w:rsidRDefault="000905D9" w:rsidP="000905D9">
      <w:pPr>
        <w:pStyle w:val="Question-Testimony"/>
      </w:pPr>
      <w:r w:rsidRPr="007E50F7">
        <w:t>Q.</w:t>
      </w:r>
      <w:r w:rsidRPr="007E50F7">
        <w:tab/>
        <w:t>Please explain the general concept of r</w:t>
      </w:r>
      <w:r w:rsidR="00C87022" w:rsidRPr="007E50F7">
        <w:t>evenue allocation</w:t>
      </w:r>
      <w:r w:rsidRPr="007E50F7">
        <w:t>.</w:t>
      </w:r>
    </w:p>
    <w:p w14:paraId="3C1DBC6B" w14:textId="77777777" w:rsidR="000905D9" w:rsidRPr="007E50F7" w:rsidRDefault="000905D9" w:rsidP="000905D9">
      <w:pPr>
        <w:pStyle w:val="Answer-Testimony"/>
      </w:pPr>
      <w:r w:rsidRPr="007E50F7">
        <w:t>A.</w:t>
      </w:r>
      <w:r w:rsidRPr="007E50F7">
        <w:tab/>
      </w:r>
      <w:r w:rsidR="00CA3B4C" w:rsidRPr="007E50F7">
        <w:t>R</w:t>
      </w:r>
      <w:r w:rsidRPr="007E50F7">
        <w:t>evenue allocation, also known as “rate spread</w:t>
      </w:r>
      <w:r w:rsidR="00741EC7">
        <w:t>,</w:t>
      </w:r>
      <w:r w:rsidRPr="007E50F7">
        <w:t>” is the process of determining the portion of total revenues to be collected from each rate schedule.</w:t>
      </w:r>
    </w:p>
    <w:p w14:paraId="3C1DBC6C" w14:textId="77777777" w:rsidR="00434467" w:rsidRPr="007E50F7" w:rsidRDefault="00434467" w:rsidP="00C87022">
      <w:pPr>
        <w:pStyle w:val="Answer-Testimony"/>
      </w:pPr>
    </w:p>
    <w:p w14:paraId="3C1DBC6D" w14:textId="77777777" w:rsidR="003E0CC4" w:rsidRPr="007E50F7" w:rsidRDefault="003E0CC4" w:rsidP="003E0CC4">
      <w:pPr>
        <w:pStyle w:val="Question-Testimony"/>
      </w:pPr>
      <w:r w:rsidRPr="007E50F7">
        <w:t>Q.</w:t>
      </w:r>
      <w:r w:rsidRPr="007E50F7">
        <w:tab/>
        <w:t>What is Staff’s recommendation on revenue allocation</w:t>
      </w:r>
      <w:r w:rsidR="00A07F2C">
        <w:t xml:space="preserve"> for electric service</w:t>
      </w:r>
      <w:r w:rsidRPr="007E50F7">
        <w:t>?</w:t>
      </w:r>
    </w:p>
    <w:p w14:paraId="3C1DBC6E" w14:textId="2F7C2049" w:rsidR="003E0CC4" w:rsidRPr="00CE55AC" w:rsidRDefault="003E0CC4" w:rsidP="003E0CC4">
      <w:pPr>
        <w:pStyle w:val="Answer-Testimony"/>
      </w:pPr>
      <w:r w:rsidRPr="007E50F7">
        <w:t>A.</w:t>
      </w:r>
      <w:r w:rsidRPr="007E50F7">
        <w:tab/>
      </w:r>
      <w:r w:rsidR="00D10E54" w:rsidRPr="007E50F7">
        <w:t xml:space="preserve">Based on </w:t>
      </w:r>
      <w:r w:rsidRPr="007E50F7">
        <w:t xml:space="preserve">Staff’s recommended overall revenue </w:t>
      </w:r>
      <w:r w:rsidR="00000DA1" w:rsidRPr="00CE55AC">
        <w:t>de</w:t>
      </w:r>
      <w:r w:rsidRPr="00CE55AC">
        <w:t xml:space="preserve">crease of </w:t>
      </w:r>
      <w:r w:rsidR="00AE4F8D" w:rsidRPr="00CE55AC">
        <w:t>1</w:t>
      </w:r>
      <w:r w:rsidR="00704120" w:rsidRPr="00CE55AC">
        <w:t>.</w:t>
      </w:r>
      <w:r w:rsidR="00774A6B" w:rsidRPr="00CE55AC">
        <w:t>71</w:t>
      </w:r>
      <w:r w:rsidRPr="00CE55AC">
        <w:t xml:space="preserve"> percent</w:t>
      </w:r>
      <w:r w:rsidR="00D10E54" w:rsidRPr="00CE55AC">
        <w:t xml:space="preserve">, and in </w:t>
      </w:r>
      <w:r w:rsidRPr="00CE55AC">
        <w:t xml:space="preserve">order to move </w:t>
      </w:r>
      <w:r w:rsidR="00AE4F8D" w:rsidRPr="00CE55AC">
        <w:t xml:space="preserve">all </w:t>
      </w:r>
      <w:r w:rsidR="00D10E54" w:rsidRPr="00CE55AC">
        <w:t>S</w:t>
      </w:r>
      <w:r w:rsidRPr="00CE55AC">
        <w:t>chedules closer to parity, Staff recommends the following</w:t>
      </w:r>
      <w:r w:rsidR="00A07F2C" w:rsidRPr="00CE55AC">
        <w:t>:</w:t>
      </w:r>
    </w:p>
    <w:p w14:paraId="3C1DBC6F" w14:textId="77777777" w:rsidR="003E0CC4" w:rsidRPr="00CE55AC" w:rsidRDefault="003E0CC4" w:rsidP="00281A2B">
      <w:pPr>
        <w:pStyle w:val="Answer-Testimony"/>
        <w:numPr>
          <w:ilvl w:val="0"/>
          <w:numId w:val="4"/>
        </w:numPr>
      </w:pPr>
      <w:r w:rsidRPr="00CE55AC">
        <w:t>Schedule 1, Residential</w:t>
      </w:r>
      <w:r w:rsidR="00A07F2C" w:rsidRPr="00CE55AC">
        <w:t>:</w:t>
      </w:r>
      <w:r w:rsidRPr="00CE55AC">
        <w:t xml:space="preserve"> </w:t>
      </w:r>
      <w:r w:rsidR="00AE4F8D" w:rsidRPr="00CE55AC">
        <w:t>no change to revenues</w:t>
      </w:r>
      <w:r w:rsidRPr="00CE55AC">
        <w:t>.</w:t>
      </w:r>
    </w:p>
    <w:p w14:paraId="3C1DBC70" w14:textId="5A5F5661" w:rsidR="003E0CC4" w:rsidRPr="00CE55AC" w:rsidRDefault="00832957" w:rsidP="00281A2B">
      <w:pPr>
        <w:pStyle w:val="Answer-Testimony"/>
        <w:numPr>
          <w:ilvl w:val="0"/>
          <w:numId w:val="4"/>
        </w:numPr>
      </w:pPr>
      <w:r w:rsidRPr="00CE55AC">
        <w:t>Schedules 11 and 12, General Service</w:t>
      </w:r>
      <w:r w:rsidR="00A07F2C" w:rsidRPr="00CE55AC">
        <w:t>:</w:t>
      </w:r>
      <w:r w:rsidR="003E0CC4" w:rsidRPr="00CE55AC">
        <w:t xml:space="preserve"> </w:t>
      </w:r>
      <w:r w:rsidR="00704120" w:rsidRPr="00CE55AC">
        <w:t>decrease</w:t>
      </w:r>
      <w:r w:rsidR="003E0CC4" w:rsidRPr="00CE55AC">
        <w:t xml:space="preserve"> </w:t>
      </w:r>
      <w:r w:rsidR="00774A6B" w:rsidRPr="00CE55AC">
        <w:t>5</w:t>
      </w:r>
      <w:r w:rsidR="00EE3103" w:rsidRPr="00CE55AC">
        <w:t>.</w:t>
      </w:r>
      <w:r w:rsidR="00774A6B" w:rsidRPr="00CE55AC">
        <w:t>0</w:t>
      </w:r>
      <w:r w:rsidR="00AD461E" w:rsidRPr="00CE55AC">
        <w:t>0</w:t>
      </w:r>
      <w:r w:rsidR="003E0CC4" w:rsidRPr="00CE55AC">
        <w:t xml:space="preserve"> percent.</w:t>
      </w:r>
    </w:p>
    <w:p w14:paraId="3C1DBC71" w14:textId="1FC3D7DC" w:rsidR="003E0CC4" w:rsidRPr="00CE55AC" w:rsidRDefault="003E0CC4" w:rsidP="00281A2B">
      <w:pPr>
        <w:pStyle w:val="Answer-Testimony"/>
        <w:numPr>
          <w:ilvl w:val="0"/>
          <w:numId w:val="4"/>
        </w:numPr>
      </w:pPr>
      <w:r w:rsidRPr="00CE55AC">
        <w:t>Schedules 21 and 22, Large General Service</w:t>
      </w:r>
      <w:r w:rsidR="00A07F2C" w:rsidRPr="00CE55AC">
        <w:t xml:space="preserve">: </w:t>
      </w:r>
      <w:r w:rsidR="00704120" w:rsidRPr="00CE55AC">
        <w:t>de</w:t>
      </w:r>
      <w:r w:rsidRPr="00CE55AC">
        <w:t xml:space="preserve">crease </w:t>
      </w:r>
      <w:r w:rsidR="00774A6B" w:rsidRPr="00CE55AC">
        <w:t>2</w:t>
      </w:r>
      <w:r w:rsidR="00EE3103" w:rsidRPr="00CE55AC">
        <w:t>.</w:t>
      </w:r>
      <w:r w:rsidR="00774A6B" w:rsidRPr="00CE55AC">
        <w:t>15</w:t>
      </w:r>
      <w:r w:rsidRPr="00CE55AC">
        <w:t xml:space="preserve"> percent.</w:t>
      </w:r>
    </w:p>
    <w:p w14:paraId="3C1DBC72" w14:textId="6FEF85A1" w:rsidR="003E0CC4" w:rsidRPr="00CE55AC" w:rsidRDefault="003E0CC4" w:rsidP="00281A2B">
      <w:pPr>
        <w:pStyle w:val="Answer-Testimony"/>
        <w:numPr>
          <w:ilvl w:val="0"/>
          <w:numId w:val="4"/>
        </w:numPr>
      </w:pPr>
      <w:r w:rsidRPr="00CE55AC">
        <w:t>Schedule 25, Extra Large General Service</w:t>
      </w:r>
      <w:r w:rsidR="00A07F2C" w:rsidRPr="00CE55AC">
        <w:t>:</w:t>
      </w:r>
      <w:r w:rsidRPr="00CE55AC">
        <w:t xml:space="preserve"> </w:t>
      </w:r>
      <w:r w:rsidR="00EE3103" w:rsidRPr="00CE55AC">
        <w:t xml:space="preserve">decrease </w:t>
      </w:r>
      <w:r w:rsidR="00D542DC" w:rsidRPr="00CE55AC">
        <w:t>2</w:t>
      </w:r>
      <w:r w:rsidR="00EE3103" w:rsidRPr="00CE55AC">
        <w:t>.</w:t>
      </w:r>
      <w:r w:rsidR="00774A6B" w:rsidRPr="00CE55AC">
        <w:t>29</w:t>
      </w:r>
      <w:r w:rsidR="00EE3103" w:rsidRPr="00CE55AC">
        <w:t xml:space="preserve"> percent</w:t>
      </w:r>
      <w:r w:rsidRPr="00CE55AC">
        <w:t>.</w:t>
      </w:r>
    </w:p>
    <w:p w14:paraId="3C1DBC73" w14:textId="68727011" w:rsidR="00AE4F8D" w:rsidRPr="007E50F7" w:rsidRDefault="00AE4F8D" w:rsidP="00AE4F8D">
      <w:pPr>
        <w:pStyle w:val="Answer-Testimony"/>
        <w:numPr>
          <w:ilvl w:val="0"/>
          <w:numId w:val="4"/>
        </w:numPr>
      </w:pPr>
      <w:r w:rsidRPr="00CE55AC">
        <w:t>Schedule 26, Ultra Large General Service</w:t>
      </w:r>
      <w:r w:rsidR="00A07F2C" w:rsidRPr="00CE55AC">
        <w:t>:</w:t>
      </w:r>
      <w:r w:rsidRPr="00CE55AC">
        <w:t xml:space="preserve"> decrease </w:t>
      </w:r>
      <w:r w:rsidR="00F70083" w:rsidRPr="00CE55AC">
        <w:t>5</w:t>
      </w:r>
      <w:r w:rsidR="00EE3103" w:rsidRPr="00CE55AC">
        <w:t>.</w:t>
      </w:r>
      <w:r w:rsidR="00774A6B" w:rsidRPr="00CE55AC">
        <w:t>40</w:t>
      </w:r>
      <w:r w:rsidRPr="00CE55AC">
        <w:t xml:space="preserve"> </w:t>
      </w:r>
      <w:r w:rsidRPr="007E50F7">
        <w:t>percent.</w:t>
      </w:r>
    </w:p>
    <w:p w14:paraId="3C1DBC74" w14:textId="77777777" w:rsidR="003E0CC4" w:rsidRPr="007E50F7" w:rsidRDefault="003E0CC4" w:rsidP="00281A2B">
      <w:pPr>
        <w:pStyle w:val="Answer-Testimony"/>
        <w:numPr>
          <w:ilvl w:val="0"/>
          <w:numId w:val="4"/>
        </w:numPr>
      </w:pPr>
      <w:r w:rsidRPr="007E50F7">
        <w:t>Schedule 30-32, Pumping</w:t>
      </w:r>
      <w:r w:rsidR="00A07F2C">
        <w:t>:</w:t>
      </w:r>
      <w:r w:rsidRPr="007E50F7">
        <w:t xml:space="preserve"> </w:t>
      </w:r>
      <w:r w:rsidR="00AE4F8D">
        <w:t>no change to revenues</w:t>
      </w:r>
      <w:r w:rsidRPr="007E50F7">
        <w:t>.</w:t>
      </w:r>
    </w:p>
    <w:p w14:paraId="3C1DBC75" w14:textId="77777777" w:rsidR="003E0CC4" w:rsidRPr="007E50F7" w:rsidRDefault="003E0CC4" w:rsidP="00281A2B">
      <w:pPr>
        <w:pStyle w:val="Answer-Testimony"/>
        <w:numPr>
          <w:ilvl w:val="0"/>
          <w:numId w:val="4"/>
        </w:numPr>
      </w:pPr>
      <w:r w:rsidRPr="007E50F7">
        <w:t>Schedule 41-48, Street &amp; Area Lighting</w:t>
      </w:r>
      <w:r w:rsidR="00A07F2C">
        <w:t>:</w:t>
      </w:r>
      <w:r w:rsidRPr="007E50F7">
        <w:t xml:space="preserve"> </w:t>
      </w:r>
      <w:r w:rsidR="00BA0ACA">
        <w:t>no change to revenues</w:t>
      </w:r>
      <w:r w:rsidRPr="007E50F7">
        <w:t>.</w:t>
      </w:r>
    </w:p>
    <w:p w14:paraId="3C1DBC76" w14:textId="77777777" w:rsidR="003E0CC4" w:rsidRPr="00376BA8" w:rsidRDefault="003E0CC4" w:rsidP="003E0CC4">
      <w:pPr>
        <w:pStyle w:val="Answer-Testimony"/>
      </w:pPr>
    </w:p>
    <w:p w14:paraId="3C1DBC77" w14:textId="77777777" w:rsidR="003E0CC4" w:rsidRPr="0003090C" w:rsidRDefault="003E0CC4" w:rsidP="003E0CC4">
      <w:pPr>
        <w:pStyle w:val="Question-Testimony"/>
      </w:pPr>
      <w:r w:rsidRPr="00376BA8">
        <w:lastRenderedPageBreak/>
        <w:t>Q.</w:t>
      </w:r>
      <w:r w:rsidRPr="00376BA8">
        <w:tab/>
        <w:t xml:space="preserve">Please </w:t>
      </w:r>
      <w:r w:rsidRPr="0003090C">
        <w:t>explain why Schedule</w:t>
      </w:r>
      <w:r w:rsidR="00B97190">
        <w:t>s</w:t>
      </w:r>
      <w:r w:rsidRPr="0003090C">
        <w:t xml:space="preserve"> 1</w:t>
      </w:r>
      <w:r w:rsidR="00C61091" w:rsidRPr="0003090C">
        <w:t>,</w:t>
      </w:r>
      <w:r w:rsidR="005F6991" w:rsidRPr="0003090C">
        <w:t xml:space="preserve"> </w:t>
      </w:r>
      <w:r w:rsidR="00C61091" w:rsidRPr="0003090C">
        <w:t>30, 31</w:t>
      </w:r>
      <w:r w:rsidR="00D84A70" w:rsidRPr="0003090C">
        <w:t>, 32, and 41 through 48</w:t>
      </w:r>
      <w:r w:rsidRPr="0003090C">
        <w:t xml:space="preserve"> get </w:t>
      </w:r>
      <w:r w:rsidR="00D84A70" w:rsidRPr="0003090C">
        <w:t>no decrease</w:t>
      </w:r>
      <w:r w:rsidRPr="0003090C">
        <w:t>, while Schedules 11, 12, 21,</w:t>
      </w:r>
      <w:r w:rsidR="00D84A70" w:rsidRPr="0003090C">
        <w:t xml:space="preserve"> 22</w:t>
      </w:r>
      <w:r w:rsidR="00BA0ACA">
        <w:t>, 25</w:t>
      </w:r>
      <w:r w:rsidRPr="0003090C">
        <w:t xml:space="preserve"> and 2</w:t>
      </w:r>
      <w:r w:rsidR="00D84A70" w:rsidRPr="0003090C">
        <w:t>6</w:t>
      </w:r>
      <w:r w:rsidRPr="0003090C">
        <w:t xml:space="preserve"> get a </w:t>
      </w:r>
      <w:r w:rsidR="000559D0" w:rsidRPr="0003090C">
        <w:t>de</w:t>
      </w:r>
      <w:r w:rsidRPr="0003090C">
        <w:t>crease.</w:t>
      </w:r>
    </w:p>
    <w:p w14:paraId="3C1DBC78" w14:textId="77777777" w:rsidR="00D10E54" w:rsidRPr="00A534FD" w:rsidRDefault="001F4EBF" w:rsidP="003E0CC4">
      <w:pPr>
        <w:pStyle w:val="Answer-Testimony"/>
      </w:pPr>
      <w:r w:rsidRPr="0003090C">
        <w:t>A.</w:t>
      </w:r>
      <w:r w:rsidRPr="0003090C">
        <w:tab/>
        <w:t xml:space="preserve">Staff proposes a gradual move toward parity for those schedules that are </w:t>
      </w:r>
      <w:r w:rsidR="006756D4">
        <w:t>outside</w:t>
      </w:r>
      <w:r w:rsidR="00B97190">
        <w:t xml:space="preserve"> the </w:t>
      </w:r>
      <w:r w:rsidR="006756D4">
        <w:t>0</w:t>
      </w:r>
      <w:r w:rsidR="00B97190">
        <w:t>.95 to 1.05 range</w:t>
      </w:r>
      <w:r w:rsidRPr="0003090C">
        <w:t xml:space="preserve">.  </w:t>
      </w:r>
      <w:r w:rsidR="00B97190">
        <w:t xml:space="preserve">Therefore, </w:t>
      </w:r>
      <w:r w:rsidR="00D10E54" w:rsidRPr="0003090C">
        <w:t xml:space="preserve">Staff applied a much </w:t>
      </w:r>
      <w:r w:rsidR="000559D0" w:rsidRPr="0003090C">
        <w:t>more</w:t>
      </w:r>
      <w:r w:rsidR="00D10E54" w:rsidRPr="0003090C">
        <w:t xml:space="preserve"> than average </w:t>
      </w:r>
      <w:r w:rsidR="000559D0" w:rsidRPr="0003090C">
        <w:t>de</w:t>
      </w:r>
      <w:r w:rsidR="00D10E54" w:rsidRPr="0003090C">
        <w:t xml:space="preserve">crease to those schedules that </w:t>
      </w:r>
      <w:r w:rsidR="00B97190">
        <w:t xml:space="preserve">have a parity ratio above 1.05, and </w:t>
      </w:r>
      <w:r w:rsidR="0003090C" w:rsidRPr="0003090C">
        <w:t xml:space="preserve">no </w:t>
      </w:r>
      <w:r w:rsidR="00AF305F">
        <w:t xml:space="preserve">decrease </w:t>
      </w:r>
      <w:r w:rsidR="0003090C" w:rsidRPr="0003090C">
        <w:t xml:space="preserve">to revenues </w:t>
      </w:r>
      <w:r w:rsidR="00D10E54" w:rsidRPr="0003090C">
        <w:t xml:space="preserve">for schedules </w:t>
      </w:r>
      <w:r w:rsidR="00B97190">
        <w:t xml:space="preserve">that have a parity ratio less than </w:t>
      </w:r>
      <w:r w:rsidR="006756D4">
        <w:t>0</w:t>
      </w:r>
      <w:r w:rsidR="00B97190">
        <w:t>.95</w:t>
      </w:r>
      <w:r w:rsidR="00260EA1">
        <w:t>, or even within the target range</w:t>
      </w:r>
      <w:r w:rsidR="00D10E54" w:rsidRPr="0003090C">
        <w:t>.</w:t>
      </w:r>
    </w:p>
    <w:p w14:paraId="3C1DBC79" w14:textId="77777777" w:rsidR="00B97190" w:rsidRDefault="00B97190" w:rsidP="00461C56">
      <w:pPr>
        <w:pStyle w:val="Answer-Testimony"/>
      </w:pPr>
    </w:p>
    <w:p w14:paraId="3C1DBC7A" w14:textId="77777777" w:rsidR="00B97190" w:rsidRPr="006756D4" w:rsidRDefault="00B97190" w:rsidP="006756D4">
      <w:pPr>
        <w:pStyle w:val="Question-Testimony"/>
      </w:pPr>
      <w:r>
        <w:t>Q.</w:t>
      </w:r>
      <w:r>
        <w:tab/>
      </w:r>
      <w:r w:rsidR="00ED36F9">
        <w:t>By comparison, w</w:t>
      </w:r>
      <w:r>
        <w:t>hat rate increases or decreases would be required to move each rate schedule to parity?</w:t>
      </w:r>
    </w:p>
    <w:p w14:paraId="3C1DBC7B" w14:textId="77777777" w:rsidR="00B97190" w:rsidRPr="00DA4066" w:rsidRDefault="00B97190" w:rsidP="00461C56">
      <w:pPr>
        <w:pStyle w:val="Answer-Testimony"/>
      </w:pPr>
      <w:r w:rsidRPr="006756D4">
        <w:t>A.</w:t>
      </w:r>
      <w:r w:rsidRPr="006756D4">
        <w:tab/>
      </w:r>
      <w:r w:rsidR="003E0CC4" w:rsidRPr="00DA4066">
        <w:t>To reach parity</w:t>
      </w:r>
      <w:r w:rsidR="000559D0" w:rsidRPr="00DA4066">
        <w:t xml:space="preserve"> at </w:t>
      </w:r>
      <w:r w:rsidR="00C61091" w:rsidRPr="00DA4066">
        <w:t xml:space="preserve">existing </w:t>
      </w:r>
      <w:r w:rsidR="000559D0" w:rsidRPr="00DA4066">
        <w:t>rates</w:t>
      </w:r>
      <w:r w:rsidR="003E0CC4" w:rsidRPr="00DA4066">
        <w:t xml:space="preserve">, </w:t>
      </w:r>
      <w:r w:rsidRPr="00DA4066">
        <w:t>the following approximate rate changes would be required:</w:t>
      </w:r>
    </w:p>
    <w:p w14:paraId="3C1DBC7C" w14:textId="268A59F7" w:rsidR="00B97190" w:rsidRPr="00CE55AC" w:rsidRDefault="003E0CC4" w:rsidP="006756D4">
      <w:pPr>
        <w:pStyle w:val="Answer-Testimony"/>
        <w:numPr>
          <w:ilvl w:val="0"/>
          <w:numId w:val="13"/>
        </w:numPr>
      </w:pPr>
      <w:r w:rsidRPr="00DA4066">
        <w:t>Residential Schedule 1</w:t>
      </w:r>
      <w:r w:rsidR="00B97190" w:rsidRPr="00DA4066">
        <w:t xml:space="preserve">: </w:t>
      </w:r>
      <w:r w:rsidR="00DA4066" w:rsidRPr="00CE55AC">
        <w:t>1</w:t>
      </w:r>
      <w:r w:rsidR="00774A6B" w:rsidRPr="00CE55AC">
        <w:t>4</w:t>
      </w:r>
      <w:r w:rsidR="00DA4066" w:rsidRPr="00CE55AC">
        <w:t>.</w:t>
      </w:r>
      <w:r w:rsidR="00774A6B" w:rsidRPr="00CE55AC">
        <w:t>9</w:t>
      </w:r>
      <w:r w:rsidRPr="00CE55AC">
        <w:t xml:space="preserve"> percent </w:t>
      </w:r>
      <w:r w:rsidR="00900778" w:rsidRPr="00CE55AC">
        <w:t>rate</w:t>
      </w:r>
      <w:r w:rsidRPr="00CE55AC">
        <w:t xml:space="preserve"> increase</w:t>
      </w:r>
      <w:r w:rsidR="006756D4" w:rsidRPr="00CE55AC">
        <w:t>.</w:t>
      </w:r>
    </w:p>
    <w:p w14:paraId="3C1DBC7D" w14:textId="1C57729E" w:rsidR="00F01821" w:rsidRPr="00CE55AC" w:rsidRDefault="003E0CC4" w:rsidP="006756D4">
      <w:pPr>
        <w:pStyle w:val="Answer-Testimony"/>
        <w:numPr>
          <w:ilvl w:val="0"/>
          <w:numId w:val="13"/>
        </w:numPr>
      </w:pPr>
      <w:r w:rsidRPr="00CE55AC">
        <w:t>General Service Schedules 11 and 12</w:t>
      </w:r>
      <w:r w:rsidR="00B97190" w:rsidRPr="00CE55AC">
        <w:t xml:space="preserve">: </w:t>
      </w:r>
      <w:r w:rsidR="00031120" w:rsidRPr="00CE55AC">
        <w:t>1</w:t>
      </w:r>
      <w:r w:rsidR="00F70083" w:rsidRPr="00CE55AC">
        <w:t>8</w:t>
      </w:r>
      <w:r w:rsidR="00DA4066" w:rsidRPr="00CE55AC">
        <w:t>.</w:t>
      </w:r>
      <w:r w:rsidR="00774A6B" w:rsidRPr="00CE55AC">
        <w:t>8</w:t>
      </w:r>
      <w:r w:rsidR="00F01821" w:rsidRPr="00CE55AC">
        <w:t xml:space="preserve"> percent </w:t>
      </w:r>
      <w:r w:rsidRPr="00CE55AC">
        <w:t>rate decrease</w:t>
      </w:r>
      <w:r w:rsidR="00DA4066" w:rsidRPr="00CE55AC">
        <w:t>s</w:t>
      </w:r>
      <w:r w:rsidR="006756D4" w:rsidRPr="00CE55AC">
        <w:t>.</w:t>
      </w:r>
    </w:p>
    <w:p w14:paraId="3C1DBC7E" w14:textId="304E6BA1" w:rsidR="00F01821" w:rsidRPr="00CE55AC" w:rsidRDefault="00DA4066" w:rsidP="006756D4">
      <w:pPr>
        <w:pStyle w:val="Answer-Testimony"/>
        <w:numPr>
          <w:ilvl w:val="0"/>
          <w:numId w:val="13"/>
        </w:numPr>
      </w:pPr>
      <w:r w:rsidRPr="00CE55AC">
        <w:t xml:space="preserve">Large General Service </w:t>
      </w:r>
      <w:r w:rsidR="003E0CC4" w:rsidRPr="00CE55AC">
        <w:t>Schedules 21 and 22</w:t>
      </w:r>
      <w:r w:rsidRPr="00CE55AC">
        <w:t>: 1</w:t>
      </w:r>
      <w:r w:rsidR="00031120" w:rsidRPr="00CE55AC">
        <w:t>5</w:t>
      </w:r>
      <w:r w:rsidRPr="00CE55AC">
        <w:t>.</w:t>
      </w:r>
      <w:r w:rsidR="00774A6B" w:rsidRPr="00CE55AC">
        <w:t>5</w:t>
      </w:r>
      <w:r w:rsidR="00F01821" w:rsidRPr="00CE55AC">
        <w:t xml:space="preserve"> percent </w:t>
      </w:r>
      <w:r w:rsidR="003E0CC4" w:rsidRPr="00CE55AC">
        <w:t>rate decrease</w:t>
      </w:r>
      <w:r w:rsidRPr="00CE55AC">
        <w:t>s</w:t>
      </w:r>
      <w:r w:rsidR="006756D4" w:rsidRPr="00CE55AC">
        <w:t>.</w:t>
      </w:r>
    </w:p>
    <w:p w14:paraId="3C1DBC7F" w14:textId="7FC75871" w:rsidR="00F01821" w:rsidRPr="00CE55AC" w:rsidRDefault="00DA4066" w:rsidP="006756D4">
      <w:pPr>
        <w:pStyle w:val="Answer-Testimony"/>
        <w:numPr>
          <w:ilvl w:val="0"/>
          <w:numId w:val="13"/>
        </w:numPr>
      </w:pPr>
      <w:r w:rsidRPr="00CE55AC">
        <w:t>Extra Large General Service Schedule</w:t>
      </w:r>
      <w:r w:rsidR="00C61091" w:rsidRPr="00CE55AC">
        <w:t xml:space="preserve"> 25</w:t>
      </w:r>
      <w:r w:rsidR="00F01821" w:rsidRPr="00CE55AC">
        <w:t xml:space="preserve">: </w:t>
      </w:r>
      <w:r w:rsidR="00D542DC" w:rsidRPr="00CE55AC">
        <w:t>10</w:t>
      </w:r>
      <w:r w:rsidRPr="00CE55AC">
        <w:t>.</w:t>
      </w:r>
      <w:r w:rsidR="00774A6B" w:rsidRPr="00CE55AC">
        <w:t>3</w:t>
      </w:r>
      <w:r w:rsidR="00F01821" w:rsidRPr="00CE55AC">
        <w:t xml:space="preserve"> percent </w:t>
      </w:r>
      <w:r w:rsidR="00C61091" w:rsidRPr="00CE55AC">
        <w:t xml:space="preserve">rate </w:t>
      </w:r>
      <w:r w:rsidR="00A534FD" w:rsidRPr="00CE55AC">
        <w:t>de</w:t>
      </w:r>
      <w:r w:rsidR="00C61091" w:rsidRPr="00CE55AC">
        <w:t>crease</w:t>
      </w:r>
      <w:r w:rsidR="006756D4" w:rsidRPr="00CE55AC">
        <w:t>.</w:t>
      </w:r>
    </w:p>
    <w:p w14:paraId="3C1DBC80" w14:textId="7B964D28" w:rsidR="00F01821" w:rsidRPr="00CE55AC" w:rsidRDefault="00DA4066" w:rsidP="006756D4">
      <w:pPr>
        <w:pStyle w:val="Answer-Testimony"/>
        <w:numPr>
          <w:ilvl w:val="0"/>
          <w:numId w:val="13"/>
        </w:numPr>
      </w:pPr>
      <w:r w:rsidRPr="00CE55AC">
        <w:t xml:space="preserve">Ultra Large General Service </w:t>
      </w:r>
      <w:r w:rsidR="00A534FD" w:rsidRPr="00CE55AC">
        <w:t>Schedule 26</w:t>
      </w:r>
      <w:r w:rsidR="00F01821" w:rsidRPr="00CE55AC">
        <w:t xml:space="preserve">: </w:t>
      </w:r>
      <w:r w:rsidR="00D542DC" w:rsidRPr="00CE55AC">
        <w:t>1</w:t>
      </w:r>
      <w:r w:rsidR="00774A6B" w:rsidRPr="00CE55AC">
        <w:t>5</w:t>
      </w:r>
      <w:r w:rsidRPr="00CE55AC">
        <w:t>.</w:t>
      </w:r>
      <w:r w:rsidR="00774A6B" w:rsidRPr="00CE55AC">
        <w:t>1</w:t>
      </w:r>
      <w:r w:rsidR="00F01821" w:rsidRPr="00CE55AC">
        <w:t xml:space="preserve"> percent </w:t>
      </w:r>
      <w:r w:rsidR="00A534FD" w:rsidRPr="00CE55AC">
        <w:t>rate decrease</w:t>
      </w:r>
      <w:r w:rsidR="006756D4" w:rsidRPr="00CE55AC">
        <w:t>.</w:t>
      </w:r>
    </w:p>
    <w:p w14:paraId="3C1DBC81" w14:textId="67659467" w:rsidR="003E0CC4" w:rsidRPr="00CE55AC" w:rsidRDefault="00DA4066" w:rsidP="006756D4">
      <w:pPr>
        <w:pStyle w:val="Answer-Testimony"/>
        <w:numPr>
          <w:ilvl w:val="0"/>
          <w:numId w:val="13"/>
        </w:numPr>
      </w:pPr>
      <w:r w:rsidRPr="00CE55AC">
        <w:t xml:space="preserve">Pumping </w:t>
      </w:r>
      <w:r w:rsidR="00C61091" w:rsidRPr="00CE55AC">
        <w:t>Schedules 30 through 32</w:t>
      </w:r>
      <w:r w:rsidR="00F01821" w:rsidRPr="00CE55AC">
        <w:t xml:space="preserve">: </w:t>
      </w:r>
      <w:r w:rsidR="00F70083" w:rsidRPr="00CE55AC">
        <w:t>5</w:t>
      </w:r>
      <w:r w:rsidR="00031120" w:rsidRPr="00CE55AC">
        <w:t>.</w:t>
      </w:r>
      <w:r w:rsidR="00774A6B" w:rsidRPr="00CE55AC">
        <w:t>0</w:t>
      </w:r>
      <w:r w:rsidR="00F01821" w:rsidRPr="00CE55AC">
        <w:t xml:space="preserve"> percent </w:t>
      </w:r>
      <w:r w:rsidR="00C61091" w:rsidRPr="00CE55AC">
        <w:t xml:space="preserve">rate </w:t>
      </w:r>
      <w:r w:rsidR="00F46B9B" w:rsidRPr="00CE55AC">
        <w:t>in</w:t>
      </w:r>
      <w:r w:rsidRPr="00CE55AC">
        <w:t>creases</w:t>
      </w:r>
      <w:r w:rsidR="00461C56" w:rsidRPr="00CE55AC">
        <w:t>.</w:t>
      </w:r>
    </w:p>
    <w:p w14:paraId="3C1DBC82" w14:textId="4DCEDB0E" w:rsidR="00DA4066" w:rsidRPr="00DA4066" w:rsidRDefault="00DA4066" w:rsidP="006756D4">
      <w:pPr>
        <w:pStyle w:val="Answer-Testimony"/>
        <w:numPr>
          <w:ilvl w:val="0"/>
          <w:numId w:val="13"/>
        </w:numPr>
      </w:pPr>
      <w:r w:rsidRPr="00CE55AC">
        <w:t xml:space="preserve">Street and Lighting Schedules 41 through 48: </w:t>
      </w:r>
      <w:r w:rsidR="00D542DC" w:rsidRPr="00CE55AC">
        <w:t>2</w:t>
      </w:r>
      <w:r w:rsidR="00031120" w:rsidRPr="00CE55AC">
        <w:t>.</w:t>
      </w:r>
      <w:r w:rsidR="00774A6B" w:rsidRPr="00CE55AC">
        <w:t>5</w:t>
      </w:r>
      <w:r w:rsidRPr="00CE55AC">
        <w:t xml:space="preserve"> percent rate </w:t>
      </w:r>
      <w:r w:rsidR="00F46B9B">
        <w:t>in</w:t>
      </w:r>
      <w:r>
        <w:t>creases.</w:t>
      </w:r>
    </w:p>
    <w:p w14:paraId="3C1DBC83" w14:textId="77777777" w:rsidR="00F01821" w:rsidRDefault="00F01821" w:rsidP="00715CC9">
      <w:pPr>
        <w:pStyle w:val="Answer-Testimony"/>
      </w:pPr>
    </w:p>
    <w:p w14:paraId="3C1DBC84" w14:textId="77777777" w:rsidR="00F01821" w:rsidRPr="006756D4" w:rsidRDefault="00F01821" w:rsidP="006756D4">
      <w:pPr>
        <w:pStyle w:val="Question-Testimony"/>
      </w:pPr>
      <w:r>
        <w:t>Q.</w:t>
      </w:r>
      <w:r>
        <w:tab/>
        <w:t>Have you prepared a table s</w:t>
      </w:r>
      <w:r w:rsidR="006756D4">
        <w:t>howing the results of Staff’s revenue</w:t>
      </w:r>
      <w:r>
        <w:t xml:space="preserve"> allocation proposal?</w:t>
      </w:r>
    </w:p>
    <w:p w14:paraId="3C1DBC85" w14:textId="77777777" w:rsidR="007A2CDD" w:rsidRDefault="00F01821" w:rsidP="008602A3">
      <w:pPr>
        <w:pStyle w:val="Answer-Testimony"/>
      </w:pPr>
      <w:r>
        <w:t>A.</w:t>
      </w:r>
      <w:r>
        <w:tab/>
        <w:t xml:space="preserve">Yes.  </w:t>
      </w:r>
      <w:r w:rsidR="00A21EAB" w:rsidRPr="0003090C">
        <w:t>Table 2 below</w:t>
      </w:r>
      <w:r>
        <w:t xml:space="preserve"> </w:t>
      </w:r>
      <w:r w:rsidR="002D7DCE" w:rsidRPr="0003090C">
        <w:t>shows t</w:t>
      </w:r>
      <w:r w:rsidR="003E0CC4" w:rsidRPr="0003090C">
        <w:t xml:space="preserve">he results </w:t>
      </w:r>
      <w:r w:rsidR="004A00FC">
        <w:t xml:space="preserve">of Staff’s </w:t>
      </w:r>
      <w:r w:rsidR="00DB0F69">
        <w:t xml:space="preserve">revenue allocation </w:t>
      </w:r>
      <w:r w:rsidR="004A00FC">
        <w:t>proposal</w:t>
      </w:r>
      <w:r w:rsidR="00260EA1">
        <w:t xml:space="preserve"> compared to current</w:t>
      </w:r>
      <w:r w:rsidR="00DB0F69">
        <w:t xml:space="preserve"> revenue allocation under </w:t>
      </w:r>
      <w:r w:rsidR="00260EA1">
        <w:t xml:space="preserve">Staff’s </w:t>
      </w:r>
      <w:r w:rsidR="00DB0F69">
        <w:t xml:space="preserve">classification and allocation </w:t>
      </w:r>
      <w:r w:rsidR="00DB0F69">
        <w:lastRenderedPageBreak/>
        <w:t>approaches</w:t>
      </w:r>
      <w:r w:rsidR="004A00FC">
        <w:t xml:space="preserve">.  </w:t>
      </w:r>
      <w:r w:rsidR="007E7EAB" w:rsidRPr="0003090C">
        <w:t xml:space="preserve">These results </w:t>
      </w:r>
      <w:r>
        <w:t xml:space="preserve">also </w:t>
      </w:r>
      <w:r w:rsidR="007E7EAB" w:rsidRPr="0003090C">
        <w:t xml:space="preserve">are provided in the summary of results from the cost of service study </w:t>
      </w:r>
      <w:r w:rsidR="007E7EAB" w:rsidRPr="00715CC9">
        <w:t xml:space="preserve">on page one, line </w:t>
      </w:r>
      <w:r w:rsidR="0003090C" w:rsidRPr="00715CC9">
        <w:t>55</w:t>
      </w:r>
      <w:r w:rsidR="007E7EAB" w:rsidRPr="00715CC9">
        <w:t xml:space="preserve"> of my </w:t>
      </w:r>
      <w:r w:rsidR="001A57FE">
        <w:t>Exhibit No. ___ (</w:t>
      </w:r>
      <w:proofErr w:type="spellStart"/>
      <w:r w:rsidR="001A57FE">
        <w:t>CTM</w:t>
      </w:r>
      <w:proofErr w:type="spellEnd"/>
      <w:r w:rsidR="00286E47">
        <w:t>-2)</w:t>
      </w:r>
      <w:r w:rsidR="007E7EAB" w:rsidRPr="0003090C">
        <w:t>.</w:t>
      </w:r>
    </w:p>
    <w:tbl>
      <w:tblPr>
        <w:tblpPr w:leftFromText="187" w:rightFromText="187" w:vertAnchor="text" w:horzAnchor="page" w:tblpX="2634" w:tblpY="818"/>
        <w:tblOverlap w:val="never"/>
        <w:tblW w:w="7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tblGrid>
      <w:tr w:rsidR="006756D4" w:rsidRPr="00D84A70" w14:paraId="3C1DBC89" w14:textId="77777777" w:rsidTr="006756D4">
        <w:trPr>
          <w:cantSplit/>
        </w:trPr>
        <w:tc>
          <w:tcPr>
            <w:tcW w:w="4691" w:type="dxa"/>
            <w:vAlign w:val="center"/>
          </w:tcPr>
          <w:p w14:paraId="3C1DBC86" w14:textId="77777777" w:rsidR="006756D4" w:rsidRPr="0003090C" w:rsidRDefault="006756D4" w:rsidP="005A05E0">
            <w:pPr>
              <w:pStyle w:val="answer"/>
              <w:keepNext/>
              <w:spacing w:before="60" w:after="60" w:line="240" w:lineRule="auto"/>
              <w:ind w:left="0" w:firstLine="0"/>
              <w:jc w:val="center"/>
              <w:rPr>
                <w:b/>
              </w:rPr>
            </w:pPr>
            <w:r w:rsidRPr="0003090C">
              <w:rPr>
                <w:b/>
              </w:rPr>
              <w:t>Customer Class</w:t>
            </w:r>
          </w:p>
        </w:tc>
        <w:tc>
          <w:tcPr>
            <w:tcW w:w="1296" w:type="dxa"/>
            <w:vAlign w:val="center"/>
          </w:tcPr>
          <w:p w14:paraId="3C1DBC87" w14:textId="77777777" w:rsidR="006756D4" w:rsidRPr="0003090C" w:rsidRDefault="006756D4" w:rsidP="005A05E0">
            <w:pPr>
              <w:pStyle w:val="answer"/>
              <w:keepNext/>
              <w:spacing w:before="60" w:after="60" w:line="240" w:lineRule="auto"/>
              <w:ind w:left="0" w:firstLine="0"/>
              <w:jc w:val="center"/>
              <w:rPr>
                <w:b/>
              </w:rPr>
            </w:pPr>
            <w:r w:rsidRPr="0003090C">
              <w:rPr>
                <w:b/>
              </w:rPr>
              <w:t>Staff Current</w:t>
            </w:r>
          </w:p>
        </w:tc>
        <w:tc>
          <w:tcPr>
            <w:tcW w:w="1296" w:type="dxa"/>
            <w:vAlign w:val="center"/>
          </w:tcPr>
          <w:p w14:paraId="3C1DBC88" w14:textId="77777777" w:rsidR="006756D4" w:rsidRPr="0003090C" w:rsidRDefault="006756D4" w:rsidP="005A05E0">
            <w:pPr>
              <w:pStyle w:val="answer"/>
              <w:keepNext/>
              <w:spacing w:before="60" w:after="60" w:line="240" w:lineRule="auto"/>
              <w:ind w:left="0" w:firstLine="0"/>
              <w:jc w:val="center"/>
              <w:rPr>
                <w:b/>
              </w:rPr>
            </w:pPr>
            <w:r w:rsidRPr="0003090C">
              <w:rPr>
                <w:b/>
              </w:rPr>
              <w:t>Staff Proposal</w:t>
            </w:r>
          </w:p>
        </w:tc>
      </w:tr>
      <w:tr w:rsidR="006756D4" w:rsidRPr="00D84A70" w14:paraId="3C1DBC8D" w14:textId="77777777" w:rsidTr="006756D4">
        <w:trPr>
          <w:cantSplit/>
        </w:trPr>
        <w:tc>
          <w:tcPr>
            <w:tcW w:w="4691" w:type="dxa"/>
            <w:vAlign w:val="center"/>
          </w:tcPr>
          <w:p w14:paraId="3C1DBC8A" w14:textId="77777777" w:rsidR="006756D4" w:rsidRPr="0003090C" w:rsidRDefault="006756D4" w:rsidP="0003090C">
            <w:pPr>
              <w:pStyle w:val="answer"/>
              <w:keepNext/>
              <w:spacing w:before="60" w:after="60" w:line="240" w:lineRule="auto"/>
              <w:ind w:left="0" w:firstLine="0"/>
            </w:pPr>
            <w:r w:rsidRPr="0003090C">
              <w:t>Total System</w:t>
            </w:r>
          </w:p>
        </w:tc>
        <w:tc>
          <w:tcPr>
            <w:tcW w:w="1296" w:type="dxa"/>
            <w:vAlign w:val="center"/>
          </w:tcPr>
          <w:p w14:paraId="3C1DBC8B" w14:textId="77777777" w:rsidR="006756D4" w:rsidRPr="00490BBE" w:rsidRDefault="006756D4" w:rsidP="0003090C">
            <w:pPr>
              <w:pStyle w:val="answer"/>
              <w:keepNext/>
              <w:spacing w:before="60" w:after="60" w:line="240" w:lineRule="auto"/>
              <w:ind w:left="0" w:firstLine="0"/>
              <w:jc w:val="center"/>
            </w:pPr>
            <w:r w:rsidRPr="00490BBE">
              <w:t>1.00</w:t>
            </w:r>
          </w:p>
        </w:tc>
        <w:tc>
          <w:tcPr>
            <w:tcW w:w="1296" w:type="dxa"/>
            <w:vAlign w:val="center"/>
          </w:tcPr>
          <w:p w14:paraId="3C1DBC8C" w14:textId="77777777" w:rsidR="006756D4" w:rsidRPr="00CE55AC" w:rsidRDefault="006756D4" w:rsidP="0003090C">
            <w:pPr>
              <w:pStyle w:val="answer"/>
              <w:keepNext/>
              <w:spacing w:before="60" w:after="60" w:line="240" w:lineRule="auto"/>
              <w:ind w:left="0" w:firstLine="0"/>
              <w:jc w:val="center"/>
            </w:pPr>
            <w:r w:rsidRPr="00CE55AC">
              <w:t>1.00</w:t>
            </w:r>
          </w:p>
        </w:tc>
      </w:tr>
      <w:tr w:rsidR="006756D4" w:rsidRPr="00D84A70" w14:paraId="3C1DBC91" w14:textId="77777777" w:rsidTr="006756D4">
        <w:trPr>
          <w:cantSplit/>
        </w:trPr>
        <w:tc>
          <w:tcPr>
            <w:tcW w:w="4691" w:type="dxa"/>
            <w:vAlign w:val="center"/>
          </w:tcPr>
          <w:p w14:paraId="3C1DBC8E" w14:textId="77777777" w:rsidR="006756D4" w:rsidRPr="0003090C" w:rsidRDefault="006756D4" w:rsidP="0003090C">
            <w:pPr>
              <w:pStyle w:val="answer"/>
              <w:keepNext/>
              <w:spacing w:before="60" w:after="60" w:line="240" w:lineRule="auto"/>
              <w:ind w:left="0" w:firstLine="0"/>
            </w:pPr>
            <w:r w:rsidRPr="0003090C">
              <w:t>Residential (Schedule 1)</w:t>
            </w:r>
          </w:p>
        </w:tc>
        <w:tc>
          <w:tcPr>
            <w:tcW w:w="1296" w:type="dxa"/>
            <w:vAlign w:val="center"/>
          </w:tcPr>
          <w:p w14:paraId="3C1DBC8F" w14:textId="77777777" w:rsidR="006756D4" w:rsidRPr="00490BBE" w:rsidRDefault="006756D4" w:rsidP="0003090C">
            <w:pPr>
              <w:pStyle w:val="answer"/>
              <w:keepNext/>
              <w:spacing w:before="60" w:after="60" w:line="240" w:lineRule="auto"/>
              <w:ind w:left="0" w:firstLine="0"/>
              <w:jc w:val="center"/>
            </w:pPr>
            <w:r w:rsidRPr="00490BBE">
              <w:t>0.</w:t>
            </w:r>
            <w:r w:rsidR="00E6325F">
              <w:t>92</w:t>
            </w:r>
          </w:p>
        </w:tc>
        <w:tc>
          <w:tcPr>
            <w:tcW w:w="1296" w:type="dxa"/>
            <w:vAlign w:val="center"/>
          </w:tcPr>
          <w:p w14:paraId="3C1DBC90" w14:textId="77777777" w:rsidR="006756D4" w:rsidRPr="00CE55AC" w:rsidRDefault="006756D4" w:rsidP="0003090C">
            <w:pPr>
              <w:pStyle w:val="answer"/>
              <w:keepNext/>
              <w:spacing w:before="60" w:after="60" w:line="240" w:lineRule="auto"/>
              <w:ind w:left="0" w:firstLine="0"/>
              <w:jc w:val="center"/>
            </w:pPr>
            <w:r w:rsidRPr="00CE55AC">
              <w:t>0.9</w:t>
            </w:r>
            <w:r w:rsidR="003370F2" w:rsidRPr="00CE55AC">
              <w:t>3</w:t>
            </w:r>
          </w:p>
        </w:tc>
      </w:tr>
      <w:tr w:rsidR="006756D4" w:rsidRPr="00D84A70" w14:paraId="3C1DBC95" w14:textId="77777777" w:rsidTr="006756D4">
        <w:trPr>
          <w:cantSplit/>
        </w:trPr>
        <w:tc>
          <w:tcPr>
            <w:tcW w:w="4691" w:type="dxa"/>
            <w:vAlign w:val="center"/>
          </w:tcPr>
          <w:p w14:paraId="3C1DBC92" w14:textId="77777777" w:rsidR="006756D4" w:rsidRPr="0003090C" w:rsidRDefault="006756D4" w:rsidP="0003090C">
            <w:pPr>
              <w:pStyle w:val="answer"/>
              <w:keepNext/>
              <w:spacing w:before="60" w:after="60" w:line="240" w:lineRule="auto"/>
              <w:ind w:left="0" w:firstLine="0"/>
            </w:pPr>
            <w:r w:rsidRPr="0003090C">
              <w:t>General Service (Schedules 11, 12)</w:t>
            </w:r>
          </w:p>
        </w:tc>
        <w:tc>
          <w:tcPr>
            <w:tcW w:w="1296" w:type="dxa"/>
            <w:vAlign w:val="center"/>
          </w:tcPr>
          <w:p w14:paraId="3C1DBC93" w14:textId="77777777" w:rsidR="006756D4" w:rsidRPr="00490BBE" w:rsidRDefault="006756D4" w:rsidP="0003090C">
            <w:pPr>
              <w:pStyle w:val="answer"/>
              <w:keepNext/>
              <w:spacing w:before="60" w:after="60" w:line="240" w:lineRule="auto"/>
              <w:ind w:left="0" w:firstLine="0"/>
              <w:jc w:val="center"/>
            </w:pPr>
            <w:r w:rsidRPr="00490BBE">
              <w:t>1.</w:t>
            </w:r>
            <w:r w:rsidR="00E6325F">
              <w:t>1</w:t>
            </w:r>
            <w:r w:rsidR="00F70083">
              <w:t>4</w:t>
            </w:r>
          </w:p>
        </w:tc>
        <w:tc>
          <w:tcPr>
            <w:tcW w:w="1296" w:type="dxa"/>
            <w:vAlign w:val="center"/>
          </w:tcPr>
          <w:p w14:paraId="3C1DBC94" w14:textId="77777777" w:rsidR="006756D4" w:rsidRPr="00CE55AC" w:rsidRDefault="006756D4" w:rsidP="0003090C">
            <w:pPr>
              <w:pStyle w:val="answer"/>
              <w:keepNext/>
              <w:spacing w:before="60" w:after="60" w:line="240" w:lineRule="auto"/>
              <w:ind w:left="0" w:firstLine="0"/>
              <w:jc w:val="center"/>
            </w:pPr>
            <w:r w:rsidRPr="00CE55AC">
              <w:t>1.</w:t>
            </w:r>
            <w:r w:rsidR="00E6325F" w:rsidRPr="00CE55AC">
              <w:t>08</w:t>
            </w:r>
          </w:p>
        </w:tc>
      </w:tr>
      <w:tr w:rsidR="006756D4" w:rsidRPr="00D84A70" w14:paraId="3C1DBC99" w14:textId="77777777" w:rsidTr="006756D4">
        <w:trPr>
          <w:cantSplit/>
        </w:trPr>
        <w:tc>
          <w:tcPr>
            <w:tcW w:w="4691" w:type="dxa"/>
            <w:vAlign w:val="center"/>
          </w:tcPr>
          <w:p w14:paraId="3C1DBC96" w14:textId="77777777" w:rsidR="006756D4" w:rsidRPr="0003090C" w:rsidRDefault="006756D4" w:rsidP="0003090C">
            <w:pPr>
              <w:pStyle w:val="answer"/>
              <w:keepNext/>
              <w:spacing w:before="60" w:after="60" w:line="240" w:lineRule="auto"/>
              <w:ind w:left="0" w:firstLine="0"/>
            </w:pPr>
            <w:r w:rsidRPr="0003090C">
              <w:t>Large General Service (Schedules 21, 22)</w:t>
            </w:r>
          </w:p>
        </w:tc>
        <w:tc>
          <w:tcPr>
            <w:tcW w:w="1296" w:type="dxa"/>
            <w:vAlign w:val="center"/>
          </w:tcPr>
          <w:p w14:paraId="3C1DBC97" w14:textId="77777777" w:rsidR="006756D4" w:rsidRPr="00490BBE" w:rsidRDefault="006756D4" w:rsidP="0003090C">
            <w:pPr>
              <w:pStyle w:val="answer"/>
              <w:keepNext/>
              <w:spacing w:before="60" w:after="60" w:line="240" w:lineRule="auto"/>
              <w:ind w:left="0" w:firstLine="0"/>
              <w:jc w:val="center"/>
            </w:pPr>
            <w:r w:rsidRPr="00490BBE">
              <w:t>1.</w:t>
            </w:r>
            <w:r w:rsidR="00E6325F">
              <w:t>12</w:t>
            </w:r>
          </w:p>
        </w:tc>
        <w:tc>
          <w:tcPr>
            <w:tcW w:w="1296" w:type="dxa"/>
            <w:vAlign w:val="center"/>
          </w:tcPr>
          <w:p w14:paraId="3C1DBC98" w14:textId="77777777" w:rsidR="006756D4" w:rsidRPr="00CE55AC" w:rsidRDefault="006756D4" w:rsidP="0003090C">
            <w:pPr>
              <w:pStyle w:val="answer"/>
              <w:keepNext/>
              <w:spacing w:before="60" w:after="60" w:line="240" w:lineRule="auto"/>
              <w:ind w:left="0" w:firstLine="0"/>
              <w:jc w:val="center"/>
            </w:pPr>
            <w:r w:rsidRPr="00CE55AC">
              <w:t>1.</w:t>
            </w:r>
            <w:r w:rsidR="00E6325F" w:rsidRPr="00CE55AC">
              <w:t>08</w:t>
            </w:r>
          </w:p>
        </w:tc>
      </w:tr>
      <w:tr w:rsidR="006756D4" w:rsidRPr="00D84A70" w14:paraId="3C1DBC9D" w14:textId="77777777" w:rsidTr="006756D4">
        <w:trPr>
          <w:cantSplit/>
        </w:trPr>
        <w:tc>
          <w:tcPr>
            <w:tcW w:w="4691" w:type="dxa"/>
            <w:vAlign w:val="center"/>
          </w:tcPr>
          <w:p w14:paraId="3C1DBC9A" w14:textId="77777777" w:rsidR="006756D4" w:rsidRPr="0003090C" w:rsidRDefault="006756D4" w:rsidP="0003090C">
            <w:pPr>
              <w:pStyle w:val="answer"/>
              <w:keepNext/>
              <w:spacing w:before="60" w:after="60" w:line="240" w:lineRule="auto"/>
              <w:ind w:left="0" w:firstLine="0"/>
            </w:pPr>
            <w:r w:rsidRPr="0003090C">
              <w:t>Extra Large General Service (Schedule 25)</w:t>
            </w:r>
          </w:p>
        </w:tc>
        <w:tc>
          <w:tcPr>
            <w:tcW w:w="1296" w:type="dxa"/>
            <w:vAlign w:val="center"/>
          </w:tcPr>
          <w:p w14:paraId="3C1DBC9B" w14:textId="77777777" w:rsidR="006756D4" w:rsidRPr="00490BBE" w:rsidRDefault="006756D4" w:rsidP="0003090C">
            <w:pPr>
              <w:pStyle w:val="answer"/>
              <w:keepNext/>
              <w:spacing w:before="60" w:after="60" w:line="240" w:lineRule="auto"/>
              <w:ind w:left="0" w:firstLine="0"/>
              <w:jc w:val="center"/>
            </w:pPr>
            <w:r w:rsidRPr="00490BBE">
              <w:t>1.</w:t>
            </w:r>
            <w:r w:rsidR="00E6325F">
              <w:t>08</w:t>
            </w:r>
          </w:p>
        </w:tc>
        <w:tc>
          <w:tcPr>
            <w:tcW w:w="1296" w:type="dxa"/>
            <w:vAlign w:val="center"/>
          </w:tcPr>
          <w:p w14:paraId="3C1DBC9C" w14:textId="77777777" w:rsidR="006756D4" w:rsidRPr="00CE55AC" w:rsidRDefault="006756D4" w:rsidP="0003090C">
            <w:pPr>
              <w:pStyle w:val="answer"/>
              <w:keepNext/>
              <w:spacing w:before="60" w:after="60" w:line="240" w:lineRule="auto"/>
              <w:ind w:left="0" w:firstLine="0"/>
              <w:jc w:val="center"/>
            </w:pPr>
            <w:r w:rsidRPr="00CE55AC">
              <w:t>1.05</w:t>
            </w:r>
          </w:p>
        </w:tc>
      </w:tr>
      <w:tr w:rsidR="006756D4" w:rsidRPr="00D84A70" w14:paraId="3C1DBCA1" w14:textId="77777777" w:rsidTr="006756D4">
        <w:trPr>
          <w:cantSplit/>
        </w:trPr>
        <w:tc>
          <w:tcPr>
            <w:tcW w:w="4691" w:type="dxa"/>
            <w:vAlign w:val="center"/>
          </w:tcPr>
          <w:p w14:paraId="3C1DBC9E" w14:textId="77777777" w:rsidR="006756D4" w:rsidRPr="0003090C" w:rsidRDefault="006756D4" w:rsidP="0003090C">
            <w:pPr>
              <w:pStyle w:val="answer"/>
              <w:keepNext/>
              <w:spacing w:before="60" w:after="60" w:line="240" w:lineRule="auto"/>
              <w:ind w:left="0" w:firstLine="0"/>
            </w:pPr>
            <w:r w:rsidRPr="0003090C">
              <w:t>Ultra Large General Service (Schedule 26)</w:t>
            </w:r>
          </w:p>
        </w:tc>
        <w:tc>
          <w:tcPr>
            <w:tcW w:w="1296" w:type="dxa"/>
            <w:vAlign w:val="center"/>
          </w:tcPr>
          <w:p w14:paraId="3C1DBC9F" w14:textId="77777777" w:rsidR="006756D4" w:rsidRPr="00490BBE" w:rsidRDefault="006756D4" w:rsidP="0003090C">
            <w:pPr>
              <w:pStyle w:val="answer"/>
              <w:keepNext/>
              <w:spacing w:before="60" w:after="60" w:line="240" w:lineRule="auto"/>
              <w:ind w:left="0" w:firstLine="0"/>
              <w:jc w:val="center"/>
            </w:pPr>
            <w:r w:rsidRPr="00490BBE">
              <w:t>1.</w:t>
            </w:r>
            <w:r w:rsidR="00E6325F">
              <w:t>1</w:t>
            </w:r>
            <w:r w:rsidR="00F70083">
              <w:t>1</w:t>
            </w:r>
          </w:p>
        </w:tc>
        <w:tc>
          <w:tcPr>
            <w:tcW w:w="1296" w:type="dxa"/>
            <w:vAlign w:val="center"/>
          </w:tcPr>
          <w:p w14:paraId="3C1DBCA0" w14:textId="77777777" w:rsidR="006756D4" w:rsidRPr="00CE55AC" w:rsidRDefault="006756D4" w:rsidP="0003090C">
            <w:pPr>
              <w:pStyle w:val="answer"/>
              <w:keepNext/>
              <w:spacing w:before="60" w:after="60" w:line="240" w:lineRule="auto"/>
              <w:ind w:left="0" w:firstLine="0"/>
              <w:jc w:val="center"/>
            </w:pPr>
            <w:r w:rsidRPr="00CE55AC">
              <w:t>1.</w:t>
            </w:r>
            <w:r w:rsidR="003370F2" w:rsidRPr="00CE55AC">
              <w:t>05</w:t>
            </w:r>
          </w:p>
        </w:tc>
      </w:tr>
      <w:tr w:rsidR="006756D4" w:rsidRPr="00D84A70" w14:paraId="3C1DBCA5" w14:textId="77777777" w:rsidTr="006756D4">
        <w:trPr>
          <w:cantSplit/>
        </w:trPr>
        <w:tc>
          <w:tcPr>
            <w:tcW w:w="4691" w:type="dxa"/>
            <w:vAlign w:val="center"/>
          </w:tcPr>
          <w:p w14:paraId="3C1DBCA2" w14:textId="77777777" w:rsidR="006756D4" w:rsidRPr="0003090C" w:rsidRDefault="006756D4" w:rsidP="0003090C">
            <w:pPr>
              <w:pStyle w:val="answer"/>
              <w:keepNext/>
              <w:spacing w:before="60" w:after="60" w:line="240" w:lineRule="auto"/>
              <w:ind w:left="0" w:firstLine="0"/>
            </w:pPr>
            <w:r w:rsidRPr="0003090C">
              <w:t>Pumping Service (Schedules 31, 32)</w:t>
            </w:r>
          </w:p>
        </w:tc>
        <w:tc>
          <w:tcPr>
            <w:tcW w:w="1296" w:type="dxa"/>
            <w:vAlign w:val="center"/>
          </w:tcPr>
          <w:p w14:paraId="3C1DBCA3" w14:textId="77777777" w:rsidR="006756D4" w:rsidRPr="00490BBE" w:rsidRDefault="006756D4" w:rsidP="0003090C">
            <w:pPr>
              <w:pStyle w:val="answer"/>
              <w:keepNext/>
              <w:spacing w:before="60" w:after="60" w:line="240" w:lineRule="auto"/>
              <w:ind w:left="0" w:firstLine="0"/>
              <w:jc w:val="center"/>
            </w:pPr>
            <w:r w:rsidRPr="00490BBE">
              <w:t>0.</w:t>
            </w:r>
            <w:r w:rsidR="00E6325F">
              <w:t>9</w:t>
            </w:r>
            <w:r w:rsidR="00F70083">
              <w:t>7</w:t>
            </w:r>
          </w:p>
        </w:tc>
        <w:tc>
          <w:tcPr>
            <w:tcW w:w="1296" w:type="dxa"/>
            <w:vAlign w:val="center"/>
          </w:tcPr>
          <w:p w14:paraId="3C1DBCA4" w14:textId="77777777" w:rsidR="006756D4" w:rsidRPr="00CE55AC" w:rsidRDefault="006756D4" w:rsidP="0003090C">
            <w:pPr>
              <w:pStyle w:val="answer"/>
              <w:keepNext/>
              <w:spacing w:before="60" w:after="60" w:line="240" w:lineRule="auto"/>
              <w:ind w:left="0" w:firstLine="0"/>
              <w:jc w:val="center"/>
            </w:pPr>
            <w:r w:rsidRPr="00CE55AC">
              <w:t>0.98</w:t>
            </w:r>
          </w:p>
        </w:tc>
      </w:tr>
      <w:tr w:rsidR="006756D4" w:rsidRPr="00D84A70" w14:paraId="3C1DBCA9" w14:textId="77777777" w:rsidTr="006756D4">
        <w:trPr>
          <w:cantSplit/>
        </w:trPr>
        <w:tc>
          <w:tcPr>
            <w:tcW w:w="4691" w:type="dxa"/>
            <w:vAlign w:val="center"/>
          </w:tcPr>
          <w:p w14:paraId="3C1DBCA6" w14:textId="77777777" w:rsidR="006756D4" w:rsidRPr="0003090C" w:rsidRDefault="006756D4" w:rsidP="0003090C">
            <w:pPr>
              <w:pStyle w:val="answer"/>
              <w:keepNext/>
              <w:spacing w:before="60" w:after="60" w:line="240" w:lineRule="auto"/>
              <w:ind w:left="0" w:firstLine="0"/>
            </w:pPr>
            <w:r w:rsidRPr="0003090C">
              <w:t>Street &amp; Area Lights (Schedules 41-49)</w:t>
            </w:r>
          </w:p>
        </w:tc>
        <w:tc>
          <w:tcPr>
            <w:tcW w:w="1296" w:type="dxa"/>
            <w:vAlign w:val="center"/>
          </w:tcPr>
          <w:p w14:paraId="3C1DBCA7" w14:textId="77777777" w:rsidR="006756D4" w:rsidRPr="00490BBE" w:rsidRDefault="006756D4" w:rsidP="0003090C">
            <w:pPr>
              <w:pStyle w:val="answer"/>
              <w:keepNext/>
              <w:spacing w:before="60" w:after="60" w:line="240" w:lineRule="auto"/>
              <w:ind w:left="0" w:firstLine="0"/>
              <w:jc w:val="center"/>
            </w:pPr>
            <w:r w:rsidRPr="00490BBE">
              <w:t>0.</w:t>
            </w:r>
            <w:r w:rsidR="00E6325F">
              <w:t>99</w:t>
            </w:r>
          </w:p>
        </w:tc>
        <w:tc>
          <w:tcPr>
            <w:tcW w:w="1296" w:type="dxa"/>
            <w:vAlign w:val="center"/>
          </w:tcPr>
          <w:p w14:paraId="3C1DBCA8" w14:textId="77777777" w:rsidR="006756D4" w:rsidRPr="00CE55AC" w:rsidRDefault="00E6325F" w:rsidP="0003090C">
            <w:pPr>
              <w:pStyle w:val="answer"/>
              <w:keepNext/>
              <w:spacing w:before="60" w:after="60" w:line="240" w:lineRule="auto"/>
              <w:ind w:left="0" w:firstLine="0"/>
              <w:jc w:val="center"/>
            </w:pPr>
            <w:r w:rsidRPr="00CE55AC">
              <w:t>0.99</w:t>
            </w:r>
          </w:p>
        </w:tc>
      </w:tr>
    </w:tbl>
    <w:p w14:paraId="3C1DBCAA" w14:textId="77777777" w:rsidR="007E7EAB" w:rsidRPr="0003090C" w:rsidRDefault="007E7EAB" w:rsidP="007E7EAB">
      <w:pPr>
        <w:pStyle w:val="Answer-Testimony"/>
        <w:jc w:val="center"/>
      </w:pPr>
      <w:r w:rsidRPr="0003090C">
        <w:t xml:space="preserve">Table </w:t>
      </w:r>
      <w:r w:rsidR="00A21EAB" w:rsidRPr="0003090C">
        <w:t>2</w:t>
      </w:r>
      <w:r w:rsidRPr="0003090C">
        <w:t xml:space="preserve">:  Summary of </w:t>
      </w:r>
      <w:r w:rsidR="0003090C">
        <w:t xml:space="preserve">Revenue </w:t>
      </w:r>
      <w:r w:rsidRPr="0003090C">
        <w:t>Parity Ratios</w:t>
      </w:r>
    </w:p>
    <w:p w14:paraId="3C1DBCAB" w14:textId="77777777" w:rsidR="007E7EAB" w:rsidRPr="0003090C" w:rsidRDefault="007E7EAB" w:rsidP="007E7EAB">
      <w:pPr>
        <w:pStyle w:val="Answer-Testimony"/>
        <w:rPr>
          <w:color w:val="FFFFFF" w:themeColor="background1"/>
        </w:rPr>
      </w:pPr>
      <w:r w:rsidRPr="0003090C">
        <w:rPr>
          <w:color w:val="FFFFFF" w:themeColor="background1"/>
        </w:rPr>
        <w:t>R</w:t>
      </w:r>
    </w:p>
    <w:p w14:paraId="3C1DBCAC" w14:textId="77777777" w:rsidR="007E7EAB" w:rsidRPr="0003090C" w:rsidRDefault="007E7EAB" w:rsidP="007E7EAB">
      <w:pPr>
        <w:pStyle w:val="Answer-Testimony"/>
        <w:rPr>
          <w:color w:val="FFFFFF" w:themeColor="background1"/>
        </w:rPr>
      </w:pPr>
      <w:r w:rsidRPr="0003090C">
        <w:rPr>
          <w:color w:val="FFFFFF" w:themeColor="background1"/>
        </w:rPr>
        <w:t>R</w:t>
      </w:r>
    </w:p>
    <w:p w14:paraId="3C1DBCAD" w14:textId="77777777" w:rsidR="007E7EAB" w:rsidRPr="0003090C" w:rsidRDefault="007E7EAB" w:rsidP="007E7EAB">
      <w:pPr>
        <w:pStyle w:val="Answer-Testimony"/>
        <w:rPr>
          <w:color w:val="FFFFFF" w:themeColor="background1"/>
        </w:rPr>
      </w:pPr>
      <w:r w:rsidRPr="0003090C">
        <w:rPr>
          <w:color w:val="FFFFFF" w:themeColor="background1"/>
        </w:rPr>
        <w:t>R</w:t>
      </w:r>
    </w:p>
    <w:p w14:paraId="3C1DBCAE" w14:textId="77777777" w:rsidR="007E7EAB" w:rsidRPr="0003090C" w:rsidRDefault="007E7EAB" w:rsidP="007E7EAB">
      <w:pPr>
        <w:pStyle w:val="Answer-Testimony"/>
        <w:rPr>
          <w:color w:val="FFFFFF" w:themeColor="background1"/>
        </w:rPr>
      </w:pPr>
      <w:r w:rsidRPr="0003090C">
        <w:rPr>
          <w:color w:val="FFFFFF" w:themeColor="background1"/>
        </w:rPr>
        <w:t>R</w:t>
      </w:r>
    </w:p>
    <w:p w14:paraId="3C1DBCAF" w14:textId="77777777" w:rsidR="007E7EAB" w:rsidRPr="0003090C" w:rsidRDefault="007E7EAB" w:rsidP="007E7EAB">
      <w:pPr>
        <w:pStyle w:val="Answer-Testimony"/>
        <w:rPr>
          <w:color w:val="FFFFFF" w:themeColor="background1"/>
        </w:rPr>
      </w:pPr>
      <w:r w:rsidRPr="0003090C">
        <w:rPr>
          <w:color w:val="FFFFFF" w:themeColor="background1"/>
        </w:rPr>
        <w:t>R</w:t>
      </w:r>
    </w:p>
    <w:p w14:paraId="3C1DBCB0" w14:textId="77777777" w:rsidR="007E7EAB" w:rsidRPr="0003090C" w:rsidRDefault="007E7EAB" w:rsidP="007E7EAB">
      <w:pPr>
        <w:pStyle w:val="Question-Testimony"/>
        <w:rPr>
          <w:color w:val="FFFFFF" w:themeColor="background1"/>
        </w:rPr>
      </w:pPr>
      <w:r w:rsidRPr="0003090C">
        <w:rPr>
          <w:color w:val="FFFFFF" w:themeColor="background1"/>
        </w:rPr>
        <w:t>R</w:t>
      </w:r>
    </w:p>
    <w:p w14:paraId="3C1DBCB1" w14:textId="77777777" w:rsidR="007E7EAB" w:rsidRPr="0003090C" w:rsidRDefault="007E7EAB" w:rsidP="007E7EAB">
      <w:pPr>
        <w:pStyle w:val="Question-Testimony"/>
        <w:rPr>
          <w:color w:val="FFFFFF" w:themeColor="background1"/>
        </w:rPr>
      </w:pPr>
      <w:r w:rsidRPr="0003090C">
        <w:rPr>
          <w:color w:val="FFFFFF" w:themeColor="background1"/>
        </w:rPr>
        <w:t>R</w:t>
      </w:r>
    </w:p>
    <w:p w14:paraId="3C1DBCB2" w14:textId="77777777" w:rsidR="007E7EAB" w:rsidRDefault="007E7EAB" w:rsidP="007E7EAB">
      <w:pPr>
        <w:pStyle w:val="Question-Testimony"/>
        <w:rPr>
          <w:color w:val="FFFFFF" w:themeColor="background1"/>
        </w:rPr>
      </w:pPr>
    </w:p>
    <w:p w14:paraId="3C1DBCB3" w14:textId="77777777" w:rsidR="00A534FD" w:rsidRPr="0003090C" w:rsidRDefault="00A534FD" w:rsidP="007E7EAB">
      <w:pPr>
        <w:pStyle w:val="Question-Testimony"/>
        <w:rPr>
          <w:color w:val="FFFFFF" w:themeColor="background1"/>
        </w:rPr>
      </w:pPr>
    </w:p>
    <w:p w14:paraId="3C1DBCB4" w14:textId="77777777" w:rsidR="008C55C9" w:rsidRPr="007E50F7" w:rsidRDefault="008C55C9" w:rsidP="008C55C9">
      <w:pPr>
        <w:pStyle w:val="Question-Testimony"/>
      </w:pPr>
      <w:r w:rsidRPr="007E50F7">
        <w:t>Q.</w:t>
      </w:r>
      <w:r w:rsidRPr="007E50F7">
        <w:tab/>
        <w:t xml:space="preserve">How does </w:t>
      </w:r>
      <w:r w:rsidR="00A26237">
        <w:t>Staff’s</w:t>
      </w:r>
      <w:r w:rsidRPr="007E50F7">
        <w:t xml:space="preserve"> proposal reflect consideration of </w:t>
      </w:r>
      <w:r w:rsidR="00A07F2C">
        <w:t>equity</w:t>
      </w:r>
      <w:r w:rsidRPr="007E50F7">
        <w:t>, economic conditions and rate stability?</w:t>
      </w:r>
    </w:p>
    <w:p w14:paraId="3C1DBCB5" w14:textId="77777777" w:rsidR="00D10E54" w:rsidRPr="007E50F7" w:rsidRDefault="008C55C9" w:rsidP="00107408">
      <w:pPr>
        <w:pStyle w:val="Answer-Testimony"/>
      </w:pPr>
      <w:r w:rsidRPr="007E50F7">
        <w:t>A.</w:t>
      </w:r>
      <w:r w:rsidRPr="007E50F7">
        <w:tab/>
      </w:r>
      <w:r w:rsidR="00107408" w:rsidRPr="007E50F7">
        <w:t>Staff’s recommendation emphasizes the customer class relationship to parity and customer bill impacts.  The parity percentages discussed earlier in my testimony indicate that some classes currently pay less than it costs to serve them, and other classes pay more than it costs to serve them.  Because this relationship between costs and revenues varies by customer class, the Company’s earned return also varies by customer class.  By adjusting rate spread, classes can be brought closer to paying the costs incurred to serve the</w:t>
      </w:r>
      <w:r w:rsidR="00F83794">
        <w:t>m,</w:t>
      </w:r>
      <w:r w:rsidR="00107408" w:rsidRPr="007E50F7">
        <w:t xml:space="preserve"> and class level rates of return can be brought closer to the </w:t>
      </w:r>
      <w:r w:rsidR="00AF305F">
        <w:t>system average rate of return.</w:t>
      </w:r>
    </w:p>
    <w:p w14:paraId="3C1DBCB6" w14:textId="77777777" w:rsidR="009F5AB0" w:rsidRPr="007E50F7" w:rsidRDefault="00D10E54" w:rsidP="00107408">
      <w:pPr>
        <w:pStyle w:val="Answer-Testimony"/>
      </w:pPr>
      <w:r w:rsidRPr="007E50F7">
        <w:lastRenderedPageBreak/>
        <w:tab/>
      </w:r>
      <w:r w:rsidRPr="007E50F7">
        <w:tab/>
      </w:r>
      <w:r w:rsidR="00107408" w:rsidRPr="007E50F7">
        <w:t>Staff’s long-term goal is to set rates at parity for each class, and the recommended rate spread is designed to move classes toward those levels without producing unacceptably large customer impacts.</w:t>
      </w:r>
    </w:p>
    <w:p w14:paraId="3C1DBCB7" w14:textId="77777777" w:rsidR="00107408" w:rsidRPr="007E50F7" w:rsidRDefault="00555DC2" w:rsidP="009F5AB0">
      <w:pPr>
        <w:pStyle w:val="Answer-Testimony"/>
        <w:ind w:firstLine="720"/>
      </w:pPr>
      <w:r w:rsidRPr="007E50F7">
        <w:t>Staff</w:t>
      </w:r>
      <w:r w:rsidR="009F5AB0" w:rsidRPr="007E50F7">
        <w:t xml:space="preserve"> also</w:t>
      </w:r>
      <w:r w:rsidRPr="007E50F7">
        <w:t xml:space="preserve"> recognizes </w:t>
      </w:r>
      <w:r w:rsidR="00F83794">
        <w:t xml:space="preserve">that </w:t>
      </w:r>
      <w:r w:rsidRPr="007E50F7">
        <w:t xml:space="preserve">the </w:t>
      </w:r>
      <w:r w:rsidR="00103139" w:rsidRPr="007E50F7">
        <w:t xml:space="preserve">current </w:t>
      </w:r>
      <w:r w:rsidRPr="007E50F7">
        <w:t xml:space="preserve">economic conditions </w:t>
      </w:r>
      <w:r w:rsidR="00F83794">
        <w:t>in</w:t>
      </w:r>
      <w:r w:rsidR="00103139" w:rsidRPr="007E50F7">
        <w:t xml:space="preserve"> the Company’s </w:t>
      </w:r>
      <w:r w:rsidRPr="007E50F7">
        <w:t xml:space="preserve">service area </w:t>
      </w:r>
      <w:r w:rsidR="00103139" w:rsidRPr="007E50F7">
        <w:t>c</w:t>
      </w:r>
      <w:r w:rsidRPr="007E50F7">
        <w:t xml:space="preserve">ould not </w:t>
      </w:r>
      <w:r w:rsidR="00F83794">
        <w:t xml:space="preserve">support </w:t>
      </w:r>
      <w:r w:rsidR="00103139" w:rsidRPr="007E50F7">
        <w:t>a complete shift to</w:t>
      </w:r>
      <w:r w:rsidR="009F5AB0" w:rsidRPr="007E50F7">
        <w:t xml:space="preserve"> the</w:t>
      </w:r>
      <w:r w:rsidR="00103139" w:rsidRPr="007E50F7">
        <w:t xml:space="preserve"> cost o</w:t>
      </w:r>
      <w:r w:rsidR="009F5AB0" w:rsidRPr="007E50F7">
        <w:t>f</w:t>
      </w:r>
      <w:r w:rsidR="00103139" w:rsidRPr="007E50F7">
        <w:t xml:space="preserve"> service</w:t>
      </w:r>
      <w:r w:rsidR="00F83794">
        <w:t xml:space="preserve"> or the accompanying rate instability such an immediate change would cause</w:t>
      </w:r>
      <w:r w:rsidR="00103139" w:rsidRPr="007E50F7">
        <w:t>.</w:t>
      </w:r>
      <w:r w:rsidR="009F5AB0" w:rsidRPr="007E50F7">
        <w:t xml:space="preserve">  Therefore, Staff is applying </w:t>
      </w:r>
      <w:r w:rsidR="00ED36F9" w:rsidRPr="004657B1">
        <w:t xml:space="preserve">moderate rate changes </w:t>
      </w:r>
      <w:r w:rsidR="003D57F0">
        <w:t xml:space="preserve">which </w:t>
      </w:r>
      <w:r w:rsidR="00ED36F9" w:rsidRPr="004657B1">
        <w:t>are more reasonable</w:t>
      </w:r>
      <w:r w:rsidR="009F5AB0" w:rsidRPr="007E50F7">
        <w:t xml:space="preserve"> and </w:t>
      </w:r>
      <w:r w:rsidR="00ED36F9" w:rsidRPr="004657B1">
        <w:t>represent a gradual approach</w:t>
      </w:r>
      <w:r w:rsidR="009F5AB0" w:rsidRPr="007E50F7">
        <w:t xml:space="preserve"> to </w:t>
      </w:r>
      <w:r w:rsidR="00ED36F9" w:rsidRPr="004657B1">
        <w:t>address parity</w:t>
      </w:r>
      <w:r w:rsidR="009F5AB0" w:rsidRPr="007E50F7">
        <w:t xml:space="preserve"> imbalances</w:t>
      </w:r>
    </w:p>
    <w:p w14:paraId="3C1DBCB8" w14:textId="77777777" w:rsidR="008C55C9" w:rsidRDefault="008C55C9" w:rsidP="008C55C9">
      <w:pPr>
        <w:pStyle w:val="Answer-Testimony"/>
      </w:pPr>
    </w:p>
    <w:p w14:paraId="3C1DBCB9" w14:textId="77777777" w:rsidR="00F01821" w:rsidRDefault="00F01821" w:rsidP="00386798">
      <w:pPr>
        <w:pStyle w:val="Question-Testimony"/>
      </w:pPr>
      <w:r>
        <w:t>Q.</w:t>
      </w:r>
      <w:r>
        <w:tab/>
        <w:t>What does Avista propose for revenue allocation?</w:t>
      </w:r>
    </w:p>
    <w:p w14:paraId="3C1DBCBA" w14:textId="77777777" w:rsidR="00F01821" w:rsidRPr="00F01821" w:rsidRDefault="008F3382" w:rsidP="008C55C9">
      <w:pPr>
        <w:pStyle w:val="Answer-Testimony"/>
      </w:pPr>
      <w:r>
        <w:t>A</w:t>
      </w:r>
      <w:r>
        <w:tab/>
        <w:t xml:space="preserve">Avista proposes a uniform </w:t>
      </w:r>
      <w:r w:rsidR="00F01821">
        <w:t>percentage increase.</w:t>
      </w:r>
      <w:r w:rsidR="00386798">
        <w:rPr>
          <w:rStyle w:val="FootnoteReference"/>
        </w:rPr>
        <w:footnoteReference w:id="25"/>
      </w:r>
    </w:p>
    <w:p w14:paraId="3C1DBCBB" w14:textId="77777777" w:rsidR="00F01821" w:rsidRPr="007E50F7" w:rsidRDefault="00F01821" w:rsidP="008C55C9">
      <w:pPr>
        <w:pStyle w:val="Answer-Testimony"/>
      </w:pPr>
    </w:p>
    <w:p w14:paraId="3C1DBCBC" w14:textId="77777777" w:rsidR="008C55C9" w:rsidRPr="007E50F7" w:rsidRDefault="008C55C9" w:rsidP="008C55C9">
      <w:pPr>
        <w:pStyle w:val="Question-Testimony"/>
      </w:pPr>
      <w:r w:rsidRPr="007E50F7">
        <w:t>Q.</w:t>
      </w:r>
      <w:r w:rsidRPr="007E50F7">
        <w:tab/>
        <w:t>How does Staff’s propos</w:t>
      </w:r>
      <w:r w:rsidR="009D1A98" w:rsidRPr="007E50F7">
        <w:t>ed</w:t>
      </w:r>
      <w:r w:rsidRPr="007E50F7">
        <w:t xml:space="preserve"> revenue allocation compare to the Company’s?</w:t>
      </w:r>
    </w:p>
    <w:p w14:paraId="3C1DBCBD" w14:textId="77777777" w:rsidR="00434467" w:rsidRPr="007E50F7" w:rsidRDefault="008C55C9" w:rsidP="002D34A4">
      <w:pPr>
        <w:pStyle w:val="Answer-Testimony"/>
      </w:pPr>
      <w:r w:rsidRPr="007E50F7">
        <w:t>A.</w:t>
      </w:r>
      <w:r w:rsidRPr="007E50F7">
        <w:tab/>
        <w:t xml:space="preserve">Staff’s proposed revenue allocation reduces the </w:t>
      </w:r>
      <w:r w:rsidR="008F3382">
        <w:t xml:space="preserve">majority of </w:t>
      </w:r>
      <w:r w:rsidRPr="007E50F7">
        <w:t xml:space="preserve">inequities demonstrated by the disparate parity ratios shown in the table above.  </w:t>
      </w:r>
      <w:r w:rsidR="00643186">
        <w:t>The Company</w:t>
      </w:r>
      <w:r w:rsidRPr="007E50F7">
        <w:t xml:space="preserve">’s </w:t>
      </w:r>
      <w:r w:rsidR="00F01821">
        <w:t>propos</w:t>
      </w:r>
      <w:r w:rsidR="008F3382">
        <w:t>ed uniform percentage increase</w:t>
      </w:r>
      <w:r w:rsidR="00F01821">
        <w:t xml:space="preserve"> perpetuates current disparities in parity ratios</w:t>
      </w:r>
      <w:r w:rsidR="00FE5FD1" w:rsidRPr="007E50F7">
        <w:t>, with no meaningful movement toward parity</w:t>
      </w:r>
      <w:r w:rsidR="00F01821">
        <w:t xml:space="preserve"> for any of these schedules</w:t>
      </w:r>
      <w:r w:rsidR="002D34A4" w:rsidRPr="007E50F7">
        <w:t>.</w:t>
      </w:r>
      <w:r w:rsidR="00A07F2C">
        <w:t xml:space="preserve">  The Commission should reject the Company’s proposal for these reasons.</w:t>
      </w:r>
    </w:p>
    <w:p w14:paraId="3C1DBCBE" w14:textId="77777777" w:rsidR="0069535A" w:rsidRPr="007E50F7" w:rsidRDefault="0069535A" w:rsidP="0069535A">
      <w:pPr>
        <w:pStyle w:val="BodyTextIndent"/>
      </w:pPr>
    </w:p>
    <w:p w14:paraId="3C1DBCBF" w14:textId="77777777" w:rsidR="0069535A" w:rsidRPr="007E50F7" w:rsidRDefault="0069535A" w:rsidP="00386798">
      <w:pPr>
        <w:pStyle w:val="Heading1"/>
        <w:ind w:left="720" w:firstLine="0"/>
        <w:jc w:val="center"/>
      </w:pPr>
      <w:bookmarkStart w:id="28" w:name="_Toc391992042"/>
      <w:bookmarkStart w:id="29" w:name="_Toc393696925"/>
      <w:r w:rsidRPr="007E50F7">
        <w:t>ELECTRIC RATE DESIGN</w:t>
      </w:r>
      <w:bookmarkEnd w:id="28"/>
      <w:bookmarkEnd w:id="29"/>
    </w:p>
    <w:p w14:paraId="3C1DBCC0" w14:textId="77777777" w:rsidR="008A14BC" w:rsidRPr="007E50F7" w:rsidRDefault="008A14BC" w:rsidP="008A14BC">
      <w:pPr>
        <w:pStyle w:val="BodyTextIndent"/>
      </w:pPr>
    </w:p>
    <w:p w14:paraId="3C1DBCC1" w14:textId="77777777" w:rsidR="008A14BC" w:rsidRPr="007E50F7" w:rsidRDefault="008A14BC" w:rsidP="008A14BC">
      <w:pPr>
        <w:pStyle w:val="Question-Testimony"/>
      </w:pPr>
      <w:r w:rsidRPr="007E50F7">
        <w:t>Q.</w:t>
      </w:r>
      <w:r w:rsidRPr="007E50F7">
        <w:tab/>
        <w:t xml:space="preserve">Please explain the general concept of </w:t>
      </w:r>
      <w:r w:rsidR="00AE6A9F" w:rsidRPr="007E50F7">
        <w:t xml:space="preserve">electric </w:t>
      </w:r>
      <w:r w:rsidRPr="007E50F7">
        <w:t>rate design.</w:t>
      </w:r>
    </w:p>
    <w:p w14:paraId="3C1DBCC2" w14:textId="77777777" w:rsidR="008A14BC" w:rsidRPr="007E50F7" w:rsidRDefault="008A14BC" w:rsidP="008A14BC">
      <w:pPr>
        <w:pStyle w:val="Answer-Testimony"/>
      </w:pPr>
      <w:r w:rsidRPr="007E50F7">
        <w:lastRenderedPageBreak/>
        <w:t>A.</w:t>
      </w:r>
      <w:r w:rsidRPr="007E50F7">
        <w:tab/>
      </w:r>
      <w:r w:rsidR="00AE6A9F" w:rsidRPr="007E50F7">
        <w:t>Electric r</w:t>
      </w:r>
      <w:r w:rsidRPr="007E50F7">
        <w:t xml:space="preserve">ate design takes total allocated revenue for each </w:t>
      </w:r>
      <w:r w:rsidR="00AE6A9F" w:rsidRPr="007E50F7">
        <w:t xml:space="preserve">electric </w:t>
      </w:r>
      <w:r w:rsidRPr="007E50F7">
        <w:t xml:space="preserve">rate schedule and determines the specific charges within the </w:t>
      </w:r>
      <w:r w:rsidR="00A07F2C">
        <w:t xml:space="preserve">rate </w:t>
      </w:r>
      <w:r w:rsidRPr="007E50F7">
        <w:t>schedule, such as the basic charge per month, the demand charge per kilowatt, and the cents per kilowatt-hour (kWh)</w:t>
      </w:r>
      <w:r w:rsidR="00F01821">
        <w:t xml:space="preserve"> of energy</w:t>
      </w:r>
      <w:r w:rsidRPr="007E50F7">
        <w:t>.</w:t>
      </w:r>
    </w:p>
    <w:p w14:paraId="3C1DBCC3" w14:textId="77777777" w:rsidR="00AA261E" w:rsidRPr="007E50F7" w:rsidRDefault="00AA261E" w:rsidP="008A14BC">
      <w:pPr>
        <w:pStyle w:val="Answer-Testimony"/>
      </w:pPr>
    </w:p>
    <w:p w14:paraId="3C1DBCC4" w14:textId="77777777" w:rsidR="00AA261E" w:rsidRPr="007E50F7" w:rsidRDefault="00AA261E" w:rsidP="00AA261E">
      <w:pPr>
        <w:pStyle w:val="Question-Testimony"/>
      </w:pPr>
      <w:r w:rsidRPr="007E50F7">
        <w:t>Q.</w:t>
      </w:r>
      <w:r w:rsidRPr="007E50F7">
        <w:tab/>
        <w:t>What are Staff’s electric rate design structure proposals?</w:t>
      </w:r>
    </w:p>
    <w:p w14:paraId="3C1DBCC5" w14:textId="77777777" w:rsidR="00AA261E" w:rsidRPr="00271029" w:rsidRDefault="00AA261E" w:rsidP="00AA261E">
      <w:pPr>
        <w:pStyle w:val="Answer-Testimony"/>
      </w:pPr>
      <w:r w:rsidRPr="00FD2A85">
        <w:t>A.</w:t>
      </w:r>
      <w:r w:rsidRPr="00FD2A85">
        <w:tab/>
      </w:r>
      <w:r w:rsidR="00D84A70" w:rsidRPr="00FD2A85">
        <w:t xml:space="preserve">Staff proposes </w:t>
      </w:r>
      <w:r w:rsidR="00A07F2C">
        <w:t>to use</w:t>
      </w:r>
      <w:r w:rsidR="00F0650E" w:rsidRPr="00FD2A85">
        <w:t xml:space="preserve"> rate year billing determinants</w:t>
      </w:r>
      <w:r w:rsidR="00F0650E" w:rsidRPr="00FD2A85">
        <w:rPr>
          <w:rStyle w:val="FootnoteReference"/>
        </w:rPr>
        <w:footnoteReference w:id="26"/>
      </w:r>
      <w:r w:rsidR="00F0650E" w:rsidRPr="00FD2A85">
        <w:t xml:space="preserve"> to reflect Staff witness Mr. McGuire’s </w:t>
      </w:r>
      <w:r w:rsidR="00F0650E" w:rsidRPr="00271029">
        <w:t>recommendation for growth rates within the attrition study.</w:t>
      </w:r>
      <w:r w:rsidR="00F0650E" w:rsidRPr="00271029">
        <w:rPr>
          <w:rStyle w:val="FootnoteReference"/>
        </w:rPr>
        <w:footnoteReference w:id="27"/>
      </w:r>
      <w:r w:rsidR="00F0650E" w:rsidRPr="00271029">
        <w:t xml:space="preserve">  Staff also proposes to</w:t>
      </w:r>
      <w:r w:rsidRPr="00271029">
        <w:t xml:space="preserve">: (1) </w:t>
      </w:r>
      <w:r w:rsidR="00214462">
        <w:t>i</w:t>
      </w:r>
      <w:r w:rsidRPr="00271029">
        <w:t>ncrease the</w:t>
      </w:r>
      <w:r w:rsidR="00AE6A9F" w:rsidRPr="00271029">
        <w:t xml:space="preserve"> monthly customer</w:t>
      </w:r>
      <w:r w:rsidRPr="00271029">
        <w:t xml:space="preserve"> charge</w:t>
      </w:r>
      <w:r w:rsidR="00F0650E" w:rsidRPr="00271029">
        <w:t>s</w:t>
      </w:r>
      <w:r w:rsidRPr="00271029">
        <w:t xml:space="preserve"> to include more fixed costs; (2) </w:t>
      </w:r>
      <w:r w:rsidR="00214462">
        <w:t>i</w:t>
      </w:r>
      <w:r w:rsidR="00D84A70" w:rsidRPr="00271029">
        <w:t xml:space="preserve">ncrease and set equal the demand </w:t>
      </w:r>
      <w:r w:rsidRPr="00271029">
        <w:t xml:space="preserve">volumetric </w:t>
      </w:r>
      <w:r w:rsidR="00D84A70" w:rsidRPr="00271029">
        <w:t>rates for all Non-</w:t>
      </w:r>
      <w:r w:rsidRPr="00271029">
        <w:t>Residential Schedule</w:t>
      </w:r>
      <w:r w:rsidR="00D84A70" w:rsidRPr="00271029">
        <w:t>s</w:t>
      </w:r>
      <w:r w:rsidRPr="00271029">
        <w:t>;</w:t>
      </w:r>
      <w:r w:rsidR="00C136CE" w:rsidRPr="00271029">
        <w:t xml:space="preserve"> (3) </w:t>
      </w:r>
      <w:r w:rsidR="00121F14" w:rsidRPr="00271029">
        <w:t>apply separate uniform percentage decrease</w:t>
      </w:r>
      <w:r w:rsidR="006C5D38">
        <w:t>s</w:t>
      </w:r>
      <w:r w:rsidR="00121F14" w:rsidRPr="00271029">
        <w:t xml:space="preserve"> for all energy volumetric rates in each schedule</w:t>
      </w:r>
      <w:r w:rsidR="00BF00CE">
        <w:t>, except for Residential Schedule 1</w:t>
      </w:r>
      <w:r w:rsidR="003D57F0">
        <w:t>,</w:t>
      </w:r>
      <w:r w:rsidR="00BF00CE">
        <w:t xml:space="preserve"> which gets a uniform percentage decrease to the first two volumetric block rates</w:t>
      </w:r>
      <w:r w:rsidR="00C136CE" w:rsidRPr="00271029">
        <w:t>;</w:t>
      </w:r>
      <w:r w:rsidRPr="00271029">
        <w:t xml:space="preserve"> and (</w:t>
      </w:r>
      <w:r w:rsidR="00C136CE" w:rsidRPr="00271029">
        <w:t>4</w:t>
      </w:r>
      <w:r w:rsidRPr="00271029">
        <w:t xml:space="preserve">) </w:t>
      </w:r>
      <w:r w:rsidR="00214462">
        <w:t>c</w:t>
      </w:r>
      <w:r w:rsidR="00F0650E" w:rsidRPr="00271029">
        <w:t>reate</w:t>
      </w:r>
      <w:r w:rsidRPr="00271029">
        <w:t xml:space="preserve"> </w:t>
      </w:r>
      <w:r w:rsidR="00D84A70" w:rsidRPr="00271029">
        <w:t>a straight-fixed variable (“</w:t>
      </w:r>
      <w:proofErr w:type="spellStart"/>
      <w:r w:rsidR="00D84A70" w:rsidRPr="00271029">
        <w:t>SFV</w:t>
      </w:r>
      <w:proofErr w:type="spellEnd"/>
      <w:r w:rsidR="00D84A70" w:rsidRPr="00271029">
        <w:t>”) rate design for Schedule 25 and newly created Schedule 26</w:t>
      </w:r>
      <w:r w:rsidR="0094458D">
        <w:t>,</w:t>
      </w:r>
      <w:r w:rsidR="00F0650E" w:rsidRPr="00271029">
        <w:t xml:space="preserve"> instead of having these customers </w:t>
      </w:r>
      <w:r w:rsidR="00A07F2C">
        <w:t xml:space="preserve">be </w:t>
      </w:r>
      <w:r w:rsidR="00F0650E" w:rsidRPr="00271029">
        <w:t>part of the decoupling mechanism</w:t>
      </w:r>
      <w:r w:rsidRPr="00271029">
        <w:t>.</w:t>
      </w:r>
    </w:p>
    <w:p w14:paraId="3C1DBCC6" w14:textId="77777777" w:rsidR="0069535A" w:rsidRPr="00271029" w:rsidRDefault="0069535A" w:rsidP="0069535A">
      <w:pPr>
        <w:pStyle w:val="Answer-Testimony"/>
        <w:ind w:left="0" w:firstLine="0"/>
      </w:pPr>
    </w:p>
    <w:p w14:paraId="3C1DBCC7" w14:textId="77777777" w:rsidR="0069535A" w:rsidRPr="007E50F7" w:rsidRDefault="0069535A" w:rsidP="001F57BB">
      <w:pPr>
        <w:pStyle w:val="Heading3"/>
      </w:pPr>
      <w:bookmarkStart w:id="30" w:name="_Toc391992043"/>
      <w:bookmarkStart w:id="31" w:name="_Toc393696926"/>
      <w:r>
        <w:t>Monthly Customer Charge</w:t>
      </w:r>
      <w:bookmarkEnd w:id="30"/>
      <w:bookmarkEnd w:id="31"/>
    </w:p>
    <w:p w14:paraId="3C1DBCC8" w14:textId="77777777" w:rsidR="0022334C" w:rsidRPr="007E50F7" w:rsidRDefault="0022334C" w:rsidP="0022334C">
      <w:pPr>
        <w:pStyle w:val="Question-Testimony"/>
      </w:pPr>
    </w:p>
    <w:p w14:paraId="3C1DBCC9" w14:textId="77777777" w:rsidR="008A14BC" w:rsidRPr="007E50F7" w:rsidRDefault="008A14BC" w:rsidP="0022334C">
      <w:pPr>
        <w:pStyle w:val="Question-Testimony"/>
      </w:pPr>
      <w:r w:rsidRPr="007E50F7">
        <w:t>Q.</w:t>
      </w:r>
      <w:r w:rsidRPr="007E50F7">
        <w:tab/>
        <w:t>What rate design does Staff propose</w:t>
      </w:r>
      <w:r w:rsidR="007A1000" w:rsidRPr="007E50F7">
        <w:t xml:space="preserve"> for</w:t>
      </w:r>
      <w:r w:rsidR="00AE6A9F" w:rsidRPr="007E50F7">
        <w:t xml:space="preserve"> the</w:t>
      </w:r>
      <w:r w:rsidR="007A1000" w:rsidRPr="007E50F7">
        <w:t xml:space="preserve"> monthly customer charge</w:t>
      </w:r>
      <w:r w:rsidR="001D7C55">
        <w:t>?</w:t>
      </w:r>
    </w:p>
    <w:p w14:paraId="3C1DBCCA" w14:textId="77777777" w:rsidR="001D7C55" w:rsidRDefault="008A14BC" w:rsidP="0022334C">
      <w:pPr>
        <w:pStyle w:val="Answer-Testimony"/>
      </w:pPr>
      <w:r w:rsidRPr="007E50F7">
        <w:t>A.</w:t>
      </w:r>
      <w:r w:rsidRPr="007E50F7">
        <w:tab/>
      </w:r>
      <w:r w:rsidR="001D7C55">
        <w:t xml:space="preserve">While </w:t>
      </w:r>
      <w:r w:rsidR="000E077B">
        <w:t xml:space="preserve">Staff’s case identifies a revenue requirement decrease to be assigned to select rate schedules, </w:t>
      </w:r>
      <w:r w:rsidR="001D7C55">
        <w:t xml:space="preserve">and </w:t>
      </w:r>
      <w:r w:rsidR="000E077B">
        <w:t>propose</w:t>
      </w:r>
      <w:r w:rsidR="007B29D0">
        <w:t>s</w:t>
      </w:r>
      <w:r w:rsidR="000E077B">
        <w:t xml:space="preserve"> no change in residential</w:t>
      </w:r>
      <w:r w:rsidR="00FD075B">
        <w:t xml:space="preserve">, extra-large general, pumping, </w:t>
      </w:r>
      <w:r w:rsidR="00FD075B">
        <w:lastRenderedPageBreak/>
        <w:t>and street light</w:t>
      </w:r>
      <w:r w:rsidR="000E077B">
        <w:t xml:space="preserve"> class revenues</w:t>
      </w:r>
      <w:r w:rsidR="001D7C55">
        <w:t xml:space="preserve">, certain </w:t>
      </w:r>
      <w:r w:rsidR="000E077B">
        <w:t xml:space="preserve">revenue-neutral changes in rate design </w:t>
      </w:r>
      <w:r w:rsidR="001D7C55">
        <w:t>are appropriate</w:t>
      </w:r>
      <w:r w:rsidR="000E077B">
        <w:t>.</w:t>
      </w:r>
    </w:p>
    <w:p w14:paraId="3C1DBCCB" w14:textId="77777777" w:rsidR="00434467" w:rsidRPr="00CE55AC" w:rsidRDefault="001D7C55" w:rsidP="0022334C">
      <w:pPr>
        <w:pStyle w:val="Answer-Testimony"/>
      </w:pPr>
      <w:r>
        <w:tab/>
      </w:r>
      <w:r>
        <w:tab/>
        <w:t xml:space="preserve">Accordingly, </w:t>
      </w:r>
      <w:r w:rsidR="008A14BC" w:rsidRPr="007E50F7">
        <w:t xml:space="preserve">Staff proposes to increase the </w:t>
      </w:r>
      <w:r w:rsidR="008902AE" w:rsidRPr="007E50F7">
        <w:t xml:space="preserve">monthly customer charge </w:t>
      </w:r>
      <w:r w:rsidR="009F4996" w:rsidRPr="007E50F7">
        <w:t xml:space="preserve">for </w:t>
      </w:r>
      <w:r w:rsidR="008A14BC" w:rsidRPr="007E50F7">
        <w:t>Residenti</w:t>
      </w:r>
      <w:r w:rsidR="009F4996" w:rsidRPr="007E50F7">
        <w:t xml:space="preserve">al Schedule 1 </w:t>
      </w:r>
      <w:r w:rsidR="008A14BC" w:rsidRPr="007E50F7">
        <w:t>from $</w:t>
      </w:r>
      <w:r w:rsidR="000E077B">
        <w:t>8</w:t>
      </w:r>
      <w:r w:rsidR="008A14BC" w:rsidRPr="007E50F7">
        <w:t xml:space="preserve">.00 to </w:t>
      </w:r>
      <w:r w:rsidR="008A14BC" w:rsidRPr="00CE55AC">
        <w:t>$</w:t>
      </w:r>
      <w:r w:rsidR="001976AD" w:rsidRPr="00CE55AC">
        <w:t>8</w:t>
      </w:r>
      <w:r w:rsidR="008A14BC" w:rsidRPr="00CE55AC">
        <w:t>.</w:t>
      </w:r>
      <w:r w:rsidR="00270BA7" w:rsidRPr="00CE55AC">
        <w:t>5</w:t>
      </w:r>
      <w:r w:rsidR="001976AD" w:rsidRPr="00CE55AC">
        <w:t>0</w:t>
      </w:r>
      <w:r w:rsidR="008A14BC" w:rsidRPr="00CE55AC">
        <w:t>.</w:t>
      </w:r>
    </w:p>
    <w:p w14:paraId="3C1DBCCC" w14:textId="77777777" w:rsidR="00434467" w:rsidRPr="00CE55AC" w:rsidRDefault="00434467" w:rsidP="0022334C">
      <w:pPr>
        <w:pStyle w:val="Answer-Testimony"/>
      </w:pPr>
    </w:p>
    <w:p w14:paraId="3C1DBCCD" w14:textId="77777777" w:rsidR="00434467" w:rsidRPr="007E50F7" w:rsidRDefault="00434467" w:rsidP="0022334C">
      <w:pPr>
        <w:pStyle w:val="Answer-Testimony"/>
        <w:rPr>
          <w:b/>
        </w:rPr>
      </w:pPr>
      <w:r w:rsidRPr="00CE55AC">
        <w:rPr>
          <w:b/>
        </w:rPr>
        <w:t>Q.</w:t>
      </w:r>
      <w:r w:rsidRPr="00CE55AC">
        <w:rPr>
          <w:b/>
        </w:rPr>
        <w:tab/>
      </w:r>
      <w:r w:rsidR="001D7C55" w:rsidRPr="00CE55AC">
        <w:rPr>
          <w:b/>
        </w:rPr>
        <w:t xml:space="preserve">Is </w:t>
      </w:r>
      <w:r w:rsidR="001976AD" w:rsidRPr="00CE55AC">
        <w:rPr>
          <w:b/>
        </w:rPr>
        <w:t>an</w:t>
      </w:r>
      <w:r w:rsidR="001D7C55" w:rsidRPr="00CE55AC">
        <w:rPr>
          <w:b/>
        </w:rPr>
        <w:t xml:space="preserve"> $</w:t>
      </w:r>
      <w:r w:rsidR="001976AD" w:rsidRPr="00CE55AC">
        <w:rPr>
          <w:b/>
        </w:rPr>
        <w:t>8</w:t>
      </w:r>
      <w:r w:rsidR="001D7C55" w:rsidRPr="00CE55AC">
        <w:rPr>
          <w:b/>
        </w:rPr>
        <w:t>.5</w:t>
      </w:r>
      <w:r w:rsidR="001976AD" w:rsidRPr="00CE55AC">
        <w:rPr>
          <w:b/>
        </w:rPr>
        <w:t>0</w:t>
      </w:r>
      <w:r w:rsidR="001D7C55" w:rsidRPr="00CE55AC">
        <w:rPr>
          <w:b/>
        </w:rPr>
        <w:t xml:space="preserve"> </w:t>
      </w:r>
      <w:r w:rsidRPr="00CE55AC">
        <w:rPr>
          <w:b/>
        </w:rPr>
        <w:t xml:space="preserve">monthly customer charge </w:t>
      </w:r>
      <w:r w:rsidRPr="007E50F7">
        <w:rPr>
          <w:b/>
        </w:rPr>
        <w:t>cost based?</w:t>
      </w:r>
    </w:p>
    <w:p w14:paraId="3C1DBCCE" w14:textId="77777777" w:rsidR="008A14BC" w:rsidRPr="007E50F7" w:rsidRDefault="00434467" w:rsidP="001452BF">
      <w:pPr>
        <w:pStyle w:val="Answer-Testimony"/>
      </w:pPr>
      <w:r w:rsidRPr="007E50F7">
        <w:t>A.</w:t>
      </w:r>
      <w:r w:rsidRPr="007E50F7">
        <w:tab/>
        <w:t xml:space="preserve">Yes.  </w:t>
      </w:r>
      <w:r w:rsidR="003602A5" w:rsidRPr="007E50F7">
        <w:t xml:space="preserve">I show the cost basis for </w:t>
      </w:r>
      <w:r w:rsidR="009F4996" w:rsidRPr="007E50F7">
        <w:t>th</w:t>
      </w:r>
      <w:r w:rsidR="001D7C55">
        <w:t>is</w:t>
      </w:r>
      <w:r w:rsidR="009F4996" w:rsidRPr="007E50F7">
        <w:t xml:space="preserve"> price in </w:t>
      </w:r>
      <w:r w:rsidR="008A14BC" w:rsidRPr="007E50F7">
        <w:t xml:space="preserve">my </w:t>
      </w:r>
      <w:r w:rsidR="00B36DD6" w:rsidRPr="000E077B">
        <w:t>Exhibit No.</w:t>
      </w:r>
      <w:r w:rsidRPr="000E077B">
        <w:t xml:space="preserve"> </w:t>
      </w:r>
      <w:r w:rsidR="00B36DD6" w:rsidRPr="000E077B">
        <w:t>__</w:t>
      </w:r>
      <w:r w:rsidRPr="000E077B">
        <w:t>_</w:t>
      </w:r>
      <w:r w:rsidR="00B36DD6" w:rsidRPr="000E077B">
        <w:t xml:space="preserve"> (</w:t>
      </w:r>
      <w:proofErr w:type="spellStart"/>
      <w:r w:rsidR="00B36DD6" w:rsidRPr="000E077B">
        <w:t>CTM</w:t>
      </w:r>
      <w:proofErr w:type="spellEnd"/>
      <w:r w:rsidR="00286E47">
        <w:t>-2)</w:t>
      </w:r>
      <w:r w:rsidR="00955041" w:rsidRPr="000E077B">
        <w:t>,</w:t>
      </w:r>
      <w:r w:rsidR="008A14BC" w:rsidRPr="000E077B">
        <w:t xml:space="preserve"> page </w:t>
      </w:r>
      <w:r w:rsidR="001452BF">
        <w:t>5</w:t>
      </w:r>
      <w:r w:rsidR="007A1000" w:rsidRPr="000E077B">
        <w:t xml:space="preserve">, lines </w:t>
      </w:r>
      <w:r w:rsidR="001452BF">
        <w:t xml:space="preserve">31 through </w:t>
      </w:r>
      <w:r w:rsidR="00AC7E26">
        <w:t>35</w:t>
      </w:r>
      <w:r w:rsidR="008A14BC" w:rsidRPr="000E077B">
        <w:t>.</w:t>
      </w:r>
    </w:p>
    <w:p w14:paraId="3C1DBCCF" w14:textId="77777777" w:rsidR="00AA261E" w:rsidRPr="007E50F7" w:rsidRDefault="00AA261E" w:rsidP="001452BF">
      <w:pPr>
        <w:pStyle w:val="Answer-Testimony"/>
      </w:pPr>
    </w:p>
    <w:p w14:paraId="3C1DBCD0" w14:textId="77777777" w:rsidR="00AA261E" w:rsidRPr="007E50F7" w:rsidRDefault="00AA261E" w:rsidP="0022334C">
      <w:pPr>
        <w:pStyle w:val="Question-Testimony"/>
      </w:pPr>
      <w:r w:rsidRPr="007E50F7">
        <w:t>Q.</w:t>
      </w:r>
      <w:r w:rsidRPr="007E50F7">
        <w:tab/>
      </w:r>
      <w:r w:rsidR="003602A5" w:rsidRPr="007E50F7">
        <w:t>Please explain your exhibit.</w:t>
      </w:r>
    </w:p>
    <w:p w14:paraId="3C1DBCD1" w14:textId="77777777" w:rsidR="00434467" w:rsidRPr="007E50F7" w:rsidRDefault="00AA261E" w:rsidP="0022334C">
      <w:pPr>
        <w:pStyle w:val="Answer-Testimony"/>
      </w:pPr>
      <w:r w:rsidRPr="007E50F7">
        <w:t>A.</w:t>
      </w:r>
      <w:r w:rsidRPr="007E50F7">
        <w:tab/>
      </w:r>
      <w:r w:rsidR="003602A5" w:rsidRPr="007E50F7">
        <w:t>As my exhibit shows, t</w:t>
      </w:r>
      <w:r w:rsidRPr="007E50F7">
        <w:t>he monthly customer charge, also known as</w:t>
      </w:r>
      <w:r w:rsidR="003602A5" w:rsidRPr="007E50F7">
        <w:t xml:space="preserve"> the</w:t>
      </w:r>
      <w:r w:rsidRPr="007E50F7">
        <w:t xml:space="preserve"> “basic charge</w:t>
      </w:r>
      <w:r w:rsidR="003430BA" w:rsidRPr="007E50F7">
        <w:t>,</w:t>
      </w:r>
      <w:r w:rsidRPr="007E50F7">
        <w:t xml:space="preserve">” covers </w:t>
      </w:r>
      <w:r w:rsidR="003602A5" w:rsidRPr="007E50F7">
        <w:t>c</w:t>
      </w:r>
      <w:r w:rsidR="009F4996" w:rsidRPr="007E50F7">
        <w:t>ustomer-related c</w:t>
      </w:r>
      <w:r w:rsidRPr="007E50F7">
        <w:t>osts</w:t>
      </w:r>
      <w:r w:rsidR="003602A5" w:rsidRPr="007E50F7">
        <w:t xml:space="preserve"> such as </w:t>
      </w:r>
      <w:r w:rsidRPr="007E50F7">
        <w:t>the cost of meters, service drops, meter reading, meter maintenance, and billing.</w:t>
      </w:r>
      <w:r w:rsidR="009F4996" w:rsidRPr="007E50F7">
        <w:rPr>
          <w:rStyle w:val="FootnoteReference"/>
        </w:rPr>
        <w:footnoteReference w:id="28"/>
      </w:r>
      <w:r w:rsidR="003602A5" w:rsidRPr="007E50F7">
        <w:t xml:space="preserve">  </w:t>
      </w:r>
      <w:r w:rsidR="00AC7E26">
        <w:t>As explained earlier, t</w:t>
      </w:r>
      <w:r w:rsidR="003602A5" w:rsidRPr="007E50F7">
        <w:t>hese are costs that vary with the addition or subtraction of customers.  These costs do not vary with usage</w:t>
      </w:r>
      <w:r w:rsidR="007F1B05" w:rsidRPr="007E50F7">
        <w:t>; therefore, t</w:t>
      </w:r>
      <w:r w:rsidR="003602A5" w:rsidRPr="007E50F7">
        <w:t>hese costs are properly considered customer-related costs rat</w:t>
      </w:r>
      <w:r w:rsidR="000D7DC5" w:rsidRPr="007E50F7">
        <w:t>her than demand-related costs</w:t>
      </w:r>
      <w:r w:rsidR="001D7C55">
        <w:t xml:space="preserve"> or energy-related costs</w:t>
      </w:r>
    </w:p>
    <w:p w14:paraId="3C1DBCD2" w14:textId="4AB8238A" w:rsidR="00A4497A" w:rsidRPr="00CE55AC" w:rsidRDefault="00434467" w:rsidP="0022334C">
      <w:pPr>
        <w:pStyle w:val="Answer-Testimony"/>
      </w:pPr>
      <w:r w:rsidRPr="007E50F7">
        <w:tab/>
      </w:r>
      <w:r w:rsidRPr="007E50F7">
        <w:tab/>
      </w:r>
      <w:r w:rsidR="00A4497A">
        <w:t xml:space="preserve">My exhibit shows the total customer-related costs for the Residential schedule is </w:t>
      </w:r>
      <w:r w:rsidR="00A4497A" w:rsidRPr="00CE55AC">
        <w:t>$17.</w:t>
      </w:r>
      <w:r w:rsidR="00774A6B" w:rsidRPr="00CE55AC">
        <w:t>7</w:t>
      </w:r>
      <w:r w:rsidR="00AD461E" w:rsidRPr="00CE55AC">
        <w:t>8</w:t>
      </w:r>
      <w:r w:rsidR="00A4497A" w:rsidRPr="00CE55AC">
        <w:t>.</w:t>
      </w:r>
    </w:p>
    <w:p w14:paraId="3C1DBCD3" w14:textId="77777777" w:rsidR="008A14BC" w:rsidRDefault="003602A5" w:rsidP="00DA48BC">
      <w:pPr>
        <w:pStyle w:val="Answer-Testimony"/>
        <w:ind w:firstLine="720"/>
      </w:pPr>
      <w:r w:rsidRPr="007E50F7">
        <w:t xml:space="preserve">Because these costs vary by the number of customers rather than usage, it is appropriate for Avista to recover these costs in the basic charge rather than </w:t>
      </w:r>
      <w:r w:rsidR="001D7C55">
        <w:t xml:space="preserve">through </w:t>
      </w:r>
      <w:r w:rsidRPr="007E50F7">
        <w:t>usage charges.</w:t>
      </w:r>
    </w:p>
    <w:p w14:paraId="3C1DBCD4" w14:textId="77777777" w:rsidR="009F4996" w:rsidRPr="007E50F7" w:rsidRDefault="009F4996" w:rsidP="00DA48BC">
      <w:pPr>
        <w:pStyle w:val="Answer-Testimony"/>
      </w:pPr>
    </w:p>
    <w:p w14:paraId="3C1DBCD5" w14:textId="77777777" w:rsidR="009F4996" w:rsidRPr="007E50F7" w:rsidRDefault="009F4996" w:rsidP="0022334C">
      <w:pPr>
        <w:pStyle w:val="Question-Testimony"/>
      </w:pPr>
      <w:r w:rsidRPr="007E50F7">
        <w:lastRenderedPageBreak/>
        <w:t>Q.</w:t>
      </w:r>
      <w:r w:rsidRPr="007E50F7">
        <w:tab/>
        <w:t>Why is Staff proposing to increase the basic charge</w:t>
      </w:r>
      <w:r w:rsidR="001D7C55">
        <w:t xml:space="preserve"> from $8.00 to </w:t>
      </w:r>
      <w:r w:rsidR="001D7C55" w:rsidRPr="00CE55AC">
        <w:t>$</w:t>
      </w:r>
      <w:r w:rsidR="001976AD" w:rsidRPr="00CE55AC">
        <w:t>8</w:t>
      </w:r>
      <w:r w:rsidR="001D7C55" w:rsidRPr="00CE55AC">
        <w:t>.5</w:t>
      </w:r>
      <w:r w:rsidR="001976AD" w:rsidRPr="00CE55AC">
        <w:t>0</w:t>
      </w:r>
      <w:r w:rsidRPr="007E50F7">
        <w:t>?</w:t>
      </w:r>
    </w:p>
    <w:p w14:paraId="3C1DBCD6" w14:textId="77777777" w:rsidR="009F4996" w:rsidRPr="007E50F7" w:rsidRDefault="009F4996" w:rsidP="0022334C">
      <w:pPr>
        <w:pStyle w:val="Answer-Testimony"/>
      </w:pPr>
      <w:r w:rsidRPr="007E50F7">
        <w:t>A.</w:t>
      </w:r>
      <w:r w:rsidRPr="007E50F7">
        <w:tab/>
        <w:t xml:space="preserve">Staff is proposing to increase the basic charge so that customers will pay an amount that </w:t>
      </w:r>
      <w:r w:rsidR="001D7C55">
        <w:t xml:space="preserve">better </w:t>
      </w:r>
      <w:r w:rsidRPr="007E50F7">
        <w:t xml:space="preserve">reflects the fixed costs </w:t>
      </w:r>
      <w:r w:rsidR="001D7C55">
        <w:t xml:space="preserve">Avista </w:t>
      </w:r>
      <w:r w:rsidRPr="007E50F7">
        <w:t>incur</w:t>
      </w:r>
      <w:r w:rsidR="001D7C55">
        <w:t>s</w:t>
      </w:r>
      <w:r w:rsidRPr="007E50F7">
        <w:t xml:space="preserve"> to serve customers</w:t>
      </w:r>
      <w:r w:rsidR="001D7C55">
        <w:t>,</w:t>
      </w:r>
      <w:r w:rsidRPr="007E50F7">
        <w:t xml:space="preserve"> regardless of the level of energy usage.  When customer-related costs are not entirely collected through the basic charge, the </w:t>
      </w:r>
      <w:r w:rsidR="00434467" w:rsidRPr="007E50F7">
        <w:t xml:space="preserve">Company collects the </w:t>
      </w:r>
      <w:r w:rsidRPr="007E50F7">
        <w:t>remaining portion of the customer-related fixed costs through per kWh charges</w:t>
      </w:r>
      <w:r w:rsidR="00434467" w:rsidRPr="007E50F7">
        <w:t>,</w:t>
      </w:r>
      <w:r w:rsidRPr="007E50F7">
        <w:t xml:space="preserve"> which ultimately result</w:t>
      </w:r>
      <w:r w:rsidR="007B273E" w:rsidRPr="007E50F7">
        <w:t>s</w:t>
      </w:r>
      <w:r w:rsidRPr="007E50F7">
        <w:t xml:space="preserve"> in cross-subsidization</w:t>
      </w:r>
      <w:r w:rsidR="003602A5" w:rsidRPr="007E50F7">
        <w:t>.</w:t>
      </w:r>
      <w:r w:rsidR="007F1B05" w:rsidRPr="007E50F7">
        <w:t xml:space="preserve">  </w:t>
      </w:r>
      <w:r w:rsidR="003602A5" w:rsidRPr="007E50F7">
        <w:t xml:space="preserve">In other words, </w:t>
      </w:r>
      <w:r w:rsidRPr="007E50F7">
        <w:t>if customer-related costs are collected through volumetric rates, those customers with above-average consumption are paying more than their fair share of customer-related fixed costs, thus subsidizing customers with below-average usage who are paying les</w:t>
      </w:r>
      <w:r w:rsidR="000F739B" w:rsidRPr="007E50F7">
        <w:t>s than their fair share.</w:t>
      </w:r>
    </w:p>
    <w:p w14:paraId="3C1DBCD7" w14:textId="77777777" w:rsidR="003602A5" w:rsidRPr="007E50F7" w:rsidRDefault="009F4996" w:rsidP="0022334C">
      <w:pPr>
        <w:pStyle w:val="Answer-Testimony"/>
        <w:ind w:firstLine="720"/>
      </w:pPr>
      <w:r w:rsidRPr="007E50F7">
        <w:t>In addition to the problem of cross-subsidization, the collection of customer-related costs through volumetric charges can lead to over- or under-collection of the fixed costs</w:t>
      </w:r>
      <w:r w:rsidR="00434467" w:rsidRPr="007E50F7">
        <w:t>,</w:t>
      </w:r>
      <w:r w:rsidRPr="007E50F7">
        <w:t xml:space="preserve"> </w:t>
      </w:r>
      <w:r w:rsidR="00434467" w:rsidRPr="007E50F7">
        <w:t xml:space="preserve">because electricity </w:t>
      </w:r>
      <w:r w:rsidRPr="007E50F7">
        <w:t xml:space="preserve">sales fluctuate with weather, </w:t>
      </w:r>
      <w:r w:rsidR="00B36DD6" w:rsidRPr="007E50F7">
        <w:t xml:space="preserve">the </w:t>
      </w:r>
      <w:r w:rsidRPr="007E50F7">
        <w:t>economy, energy efficienc</w:t>
      </w:r>
      <w:r w:rsidR="00B36DD6" w:rsidRPr="007E50F7">
        <w:t>ies</w:t>
      </w:r>
      <w:r w:rsidRPr="007E50F7">
        <w:t>, cons</w:t>
      </w:r>
      <w:r w:rsidR="003602A5" w:rsidRPr="007E50F7">
        <w:t>ervation, and self-generation.</w:t>
      </w:r>
      <w:r w:rsidR="007F1B05" w:rsidRPr="007E50F7">
        <w:rPr>
          <w:rStyle w:val="FootnoteReference"/>
        </w:rPr>
        <w:footnoteReference w:id="29"/>
      </w:r>
    </w:p>
    <w:p w14:paraId="3C1DBCD8" w14:textId="77777777" w:rsidR="000F739B" w:rsidRPr="007E50F7" w:rsidRDefault="003602A5" w:rsidP="0022334C">
      <w:pPr>
        <w:pStyle w:val="Answer-Testimony"/>
        <w:ind w:firstLine="720"/>
      </w:pPr>
      <w:r w:rsidRPr="007E50F7">
        <w:t>R</w:t>
      </w:r>
      <w:r w:rsidR="009F4996" w:rsidRPr="007E50F7">
        <w:t>emov</w:t>
      </w:r>
      <w:r w:rsidRPr="007E50F7">
        <w:t>ing</w:t>
      </w:r>
      <w:r w:rsidR="009F4996" w:rsidRPr="007E50F7">
        <w:t xml:space="preserve"> customer-related costs from volumetric sales is therefore beneficial on t</w:t>
      </w:r>
      <w:r w:rsidR="00AC7E26">
        <w:t>hree</w:t>
      </w:r>
      <w:r w:rsidR="009F4996" w:rsidRPr="007E50F7">
        <w:t xml:space="preserve"> fronts: </w:t>
      </w:r>
      <w:r w:rsidR="00AC7E26">
        <w:t>f</w:t>
      </w:r>
      <w:r w:rsidR="006C5D38">
        <w:t xml:space="preserve">irst, </w:t>
      </w:r>
      <w:r w:rsidR="009F4996" w:rsidRPr="007E50F7">
        <w:t>it remove</w:t>
      </w:r>
      <w:r w:rsidRPr="007E50F7">
        <w:t>s</w:t>
      </w:r>
      <w:r w:rsidR="009F4996" w:rsidRPr="007E50F7">
        <w:t xml:space="preserve"> some of the disincentive utilities currently experience regarding the promotion of energy efficien</w:t>
      </w:r>
      <w:r w:rsidRPr="007E50F7">
        <w:t>cy and conservation</w:t>
      </w:r>
      <w:r w:rsidR="00AC7E26">
        <w:t>; s</w:t>
      </w:r>
      <w:r w:rsidR="006C5D38">
        <w:t>econd,</w:t>
      </w:r>
      <w:r w:rsidRPr="007E50F7">
        <w:t xml:space="preserve"> it</w:t>
      </w:r>
      <w:r w:rsidR="009F4996" w:rsidRPr="007E50F7">
        <w:t xml:space="preserve"> improve</w:t>
      </w:r>
      <w:r w:rsidRPr="007E50F7">
        <w:t>s</w:t>
      </w:r>
      <w:r w:rsidR="009F4996" w:rsidRPr="007E50F7">
        <w:t xml:space="preserve"> the </w:t>
      </w:r>
      <w:r w:rsidRPr="007E50F7">
        <w:t xml:space="preserve">certainty of </w:t>
      </w:r>
      <w:r w:rsidR="009F4996" w:rsidRPr="007E50F7">
        <w:t xml:space="preserve">recovery </w:t>
      </w:r>
      <w:r w:rsidRPr="007E50F7">
        <w:t xml:space="preserve">of </w:t>
      </w:r>
      <w:r w:rsidR="009F4996" w:rsidRPr="007E50F7">
        <w:t>customer-related fixed costs</w:t>
      </w:r>
      <w:r w:rsidR="00AC7E26">
        <w:t xml:space="preserve">; and last, </w:t>
      </w:r>
      <w:r w:rsidR="00E03AD6">
        <w:t xml:space="preserve">it </w:t>
      </w:r>
      <w:r w:rsidR="00AC7E26">
        <w:t>should reduce the deferral amounts within the decoupling mechanism.</w:t>
      </w:r>
    </w:p>
    <w:p w14:paraId="3C1DBCD9" w14:textId="77777777" w:rsidR="000F739B" w:rsidRPr="007E50F7" w:rsidRDefault="000F739B" w:rsidP="0022334C">
      <w:pPr>
        <w:pStyle w:val="Answer-Testimony"/>
      </w:pPr>
    </w:p>
    <w:p w14:paraId="3C1DBCDA" w14:textId="77777777" w:rsidR="000F739B" w:rsidRPr="007E50F7" w:rsidRDefault="000F739B" w:rsidP="0022334C">
      <w:pPr>
        <w:pStyle w:val="Question-Testimony"/>
      </w:pPr>
      <w:r w:rsidRPr="007E50F7">
        <w:t>Q.</w:t>
      </w:r>
      <w:r w:rsidRPr="007E50F7">
        <w:tab/>
        <w:t xml:space="preserve">Will Staff’s proposal to increase the basic charge harm </w:t>
      </w:r>
      <w:r w:rsidR="00434467" w:rsidRPr="007E50F7">
        <w:t>l</w:t>
      </w:r>
      <w:r w:rsidRPr="007E50F7">
        <w:t xml:space="preserve">imited </w:t>
      </w:r>
      <w:r w:rsidR="00434467" w:rsidRPr="007E50F7">
        <w:t>i</w:t>
      </w:r>
      <w:r w:rsidRPr="007E50F7">
        <w:t>ncome customers?</w:t>
      </w:r>
    </w:p>
    <w:p w14:paraId="3C1DBCDB" w14:textId="77777777" w:rsidR="00434467" w:rsidRPr="007E50F7" w:rsidRDefault="000F739B" w:rsidP="0022334C">
      <w:pPr>
        <w:pStyle w:val="Answer-Testimony"/>
      </w:pPr>
      <w:r w:rsidRPr="007E50F7">
        <w:lastRenderedPageBreak/>
        <w:t>A.</w:t>
      </w:r>
      <w:r w:rsidRPr="007E50F7">
        <w:tab/>
      </w:r>
      <w:r w:rsidR="003602A5" w:rsidRPr="007E50F7">
        <w:t>No.  In fact, t</w:t>
      </w:r>
      <w:r w:rsidRPr="007E50F7">
        <w:t xml:space="preserve">he increase in the basic charge will actually help the average </w:t>
      </w:r>
      <w:r w:rsidR="00434467" w:rsidRPr="007E50F7">
        <w:t>l</w:t>
      </w:r>
      <w:r w:rsidRPr="007E50F7">
        <w:t xml:space="preserve">imited </w:t>
      </w:r>
      <w:r w:rsidR="00434467" w:rsidRPr="007E50F7">
        <w:t>i</w:t>
      </w:r>
      <w:r w:rsidRPr="007E50F7">
        <w:t xml:space="preserve">ncome customer.  </w:t>
      </w:r>
      <w:r w:rsidR="007B273E" w:rsidRPr="007E50F7">
        <w:t>S</w:t>
      </w:r>
      <w:r w:rsidRPr="007E50F7">
        <w:t xml:space="preserve">tudies have shown that the housing stock for most </w:t>
      </w:r>
      <w:r w:rsidR="00434467" w:rsidRPr="007E50F7">
        <w:t>l</w:t>
      </w:r>
      <w:r w:rsidRPr="007E50F7">
        <w:t xml:space="preserve">imited </w:t>
      </w:r>
      <w:r w:rsidR="00434467" w:rsidRPr="007E50F7">
        <w:t>i</w:t>
      </w:r>
      <w:r w:rsidRPr="007E50F7">
        <w:t>ncome customers is relatively inefficient</w:t>
      </w:r>
      <w:r w:rsidR="00434467" w:rsidRPr="007E50F7">
        <w:t>,</w:t>
      </w:r>
      <w:r w:rsidRPr="007E50F7">
        <w:t xml:space="preserve"> resulting in above-average usage for most </w:t>
      </w:r>
      <w:r w:rsidR="00434467" w:rsidRPr="007E50F7">
        <w:t>l</w:t>
      </w:r>
      <w:r w:rsidRPr="007E50F7">
        <w:t xml:space="preserve">imited </w:t>
      </w:r>
      <w:r w:rsidR="00434467" w:rsidRPr="007E50F7">
        <w:t>i</w:t>
      </w:r>
      <w:r w:rsidRPr="007E50F7">
        <w:t>ncome customers</w:t>
      </w:r>
      <w:r w:rsidR="00A07F2C">
        <w:t>.</w:t>
      </w:r>
      <w:r w:rsidR="00B91B7A" w:rsidRPr="007E50F7">
        <w:rPr>
          <w:rStyle w:val="FootnoteReference"/>
        </w:rPr>
        <w:footnoteReference w:id="30"/>
      </w:r>
      <w:r w:rsidR="007B273E" w:rsidRPr="007E50F7">
        <w:t xml:space="preserve"> </w:t>
      </w:r>
      <w:r w:rsidR="00A07F2C">
        <w:t xml:space="preserve"> Based on national averages</w:t>
      </w:r>
      <w:r w:rsidR="007B273E" w:rsidRPr="007E50F7">
        <w:t xml:space="preserve">, </w:t>
      </w:r>
      <w:r w:rsidR="00434467" w:rsidRPr="007E50F7">
        <w:t>l</w:t>
      </w:r>
      <w:r w:rsidR="007B273E" w:rsidRPr="007E50F7">
        <w:t xml:space="preserve">imited </w:t>
      </w:r>
      <w:r w:rsidR="00434467" w:rsidRPr="007E50F7">
        <w:t>i</w:t>
      </w:r>
      <w:r w:rsidR="007B273E" w:rsidRPr="007E50F7">
        <w:t xml:space="preserve">ncome customers have an average monthly usage </w:t>
      </w:r>
      <w:r w:rsidR="007B273E" w:rsidRPr="00C61DF5">
        <w:t>of 1,</w:t>
      </w:r>
      <w:r w:rsidR="00C61DF5" w:rsidRPr="00C61DF5">
        <w:t>091</w:t>
      </w:r>
      <w:r w:rsidR="007B273E" w:rsidRPr="00C61DF5">
        <w:t xml:space="preserve"> kWh </w:t>
      </w:r>
      <w:r w:rsidR="007B273E" w:rsidRPr="007E50F7">
        <w:t xml:space="preserve">compared to </w:t>
      </w:r>
      <w:r w:rsidR="00434467" w:rsidRPr="007E50F7">
        <w:t xml:space="preserve">other </w:t>
      </w:r>
      <w:r w:rsidR="007B273E" w:rsidRPr="007E50F7">
        <w:t>customers</w:t>
      </w:r>
      <w:r w:rsidR="00434467" w:rsidRPr="007E50F7">
        <w:t>,</w:t>
      </w:r>
      <w:r w:rsidR="007B273E" w:rsidRPr="007E50F7">
        <w:t xml:space="preserve"> who have an average monthly usage of </w:t>
      </w:r>
      <w:r w:rsidR="00C61DF5">
        <w:t>1,006</w:t>
      </w:r>
      <w:r w:rsidR="007B273E" w:rsidRPr="007E50F7">
        <w:t xml:space="preserve"> kWh.</w:t>
      </w:r>
      <w:r w:rsidR="007B273E" w:rsidRPr="007E50F7">
        <w:rPr>
          <w:rStyle w:val="FootnoteReference"/>
        </w:rPr>
        <w:footnoteReference w:id="31"/>
      </w:r>
    </w:p>
    <w:p w14:paraId="3C1DBCDC" w14:textId="77777777" w:rsidR="00131D93" w:rsidRDefault="00434467" w:rsidP="00131D93">
      <w:pPr>
        <w:pStyle w:val="Answer-Testimony"/>
      </w:pPr>
      <w:r w:rsidRPr="007E50F7">
        <w:tab/>
      </w:r>
      <w:r w:rsidRPr="007E50F7">
        <w:tab/>
      </w:r>
      <w:r w:rsidR="000F739B" w:rsidRPr="007E50F7">
        <w:t xml:space="preserve">As </w:t>
      </w:r>
      <w:r w:rsidR="003602A5" w:rsidRPr="007E50F7">
        <w:t xml:space="preserve">I just </w:t>
      </w:r>
      <w:r w:rsidR="000F739B" w:rsidRPr="007E50F7">
        <w:t xml:space="preserve">explained, customers with above-average usage subsidize customers with below-average usage if customer-related costs are included in volumetric charges.  Therefore, moving more of the customer-related fixed costs to the basic charge will help </w:t>
      </w:r>
      <w:r w:rsidRPr="007E50F7">
        <w:t>l</w:t>
      </w:r>
      <w:r w:rsidR="000F739B" w:rsidRPr="007E50F7">
        <w:t xml:space="preserve">imited </w:t>
      </w:r>
      <w:r w:rsidRPr="007E50F7">
        <w:t>i</w:t>
      </w:r>
      <w:r w:rsidR="000F739B" w:rsidRPr="007E50F7">
        <w:t>ncome customers by reducing the amount they subsidize other customers with lower usage</w:t>
      </w:r>
      <w:r w:rsidR="000220EF" w:rsidRPr="007E50F7">
        <w:t>, including</w:t>
      </w:r>
      <w:r w:rsidR="000F739B" w:rsidRPr="007E50F7">
        <w:t xml:space="preserve"> customers</w:t>
      </w:r>
      <w:r w:rsidR="000220EF" w:rsidRPr="007E50F7">
        <w:t xml:space="preserve"> </w:t>
      </w:r>
      <w:r w:rsidR="007B273E" w:rsidRPr="007E50F7">
        <w:t xml:space="preserve">with non-electric </w:t>
      </w:r>
      <w:r w:rsidR="000F739B" w:rsidRPr="007E50F7">
        <w:t>heating (i.e. natural gas, wood, propane, etc.)</w:t>
      </w:r>
      <w:r w:rsidR="00131D93">
        <w:t xml:space="preserve">. </w:t>
      </w:r>
    </w:p>
    <w:p w14:paraId="3C1DBCDD" w14:textId="77777777" w:rsidR="006B60A6" w:rsidRPr="000559D0" w:rsidRDefault="006B60A6" w:rsidP="006B60A6">
      <w:pPr>
        <w:pStyle w:val="Answer-Testimony"/>
        <w:rPr>
          <w:color w:val="FFFFFF" w:themeColor="background1"/>
        </w:rPr>
      </w:pPr>
    </w:p>
    <w:p w14:paraId="3C1DBCDE" w14:textId="77777777" w:rsidR="003602A5" w:rsidRPr="007E50F7" w:rsidRDefault="003602A5" w:rsidP="0022334C">
      <w:pPr>
        <w:pStyle w:val="Question-Testimony"/>
      </w:pPr>
      <w:r w:rsidRPr="007E50F7">
        <w:t>Q.</w:t>
      </w:r>
      <w:r w:rsidRPr="007E50F7">
        <w:tab/>
        <w:t xml:space="preserve">Will increasing the basic charge send </w:t>
      </w:r>
      <w:r w:rsidR="001D7C55">
        <w:t xml:space="preserve">appropriate </w:t>
      </w:r>
      <w:r w:rsidRPr="007E50F7">
        <w:t>price signal</w:t>
      </w:r>
      <w:r w:rsidR="001D7C55">
        <w:t>s</w:t>
      </w:r>
      <w:r w:rsidRPr="007E50F7">
        <w:t xml:space="preserve"> </w:t>
      </w:r>
      <w:r w:rsidR="000D7DC5" w:rsidRPr="007E50F7">
        <w:t>to</w:t>
      </w:r>
      <w:r w:rsidRPr="007E50F7">
        <w:t xml:space="preserve"> customers?</w:t>
      </w:r>
    </w:p>
    <w:p w14:paraId="3C1DBCDF" w14:textId="77777777" w:rsidR="003602A5" w:rsidRPr="007E50F7" w:rsidRDefault="003602A5" w:rsidP="0022334C">
      <w:pPr>
        <w:pStyle w:val="Answer-Testimony"/>
      </w:pPr>
      <w:r w:rsidRPr="007E50F7">
        <w:t>A.</w:t>
      </w:r>
      <w:r w:rsidRPr="007E50F7">
        <w:tab/>
      </w:r>
      <w:r w:rsidR="001D7C55">
        <w:t>Yes</w:t>
      </w:r>
      <w:r w:rsidRPr="007E50F7">
        <w:t xml:space="preserve">.  The increase to the basic charge sends the correct price signal because it recovers the </w:t>
      </w:r>
      <w:r w:rsidR="00B775BE">
        <w:t xml:space="preserve">actual </w:t>
      </w:r>
      <w:r w:rsidRPr="007E50F7">
        <w:t xml:space="preserve">fixed costs the </w:t>
      </w:r>
      <w:r w:rsidR="00434467" w:rsidRPr="007E50F7">
        <w:t>C</w:t>
      </w:r>
      <w:r w:rsidRPr="007E50F7">
        <w:t xml:space="preserve">ompany directly to serve that customer, </w:t>
      </w:r>
      <w:r w:rsidRPr="00386798">
        <w:rPr>
          <w:i/>
        </w:rPr>
        <w:t>e.g</w:t>
      </w:r>
      <w:r w:rsidRPr="007E50F7">
        <w:t>., t</w:t>
      </w:r>
      <w:r w:rsidR="00040A50" w:rsidRPr="007E50F7">
        <w:t>he service drop and the meter.</w:t>
      </w:r>
    </w:p>
    <w:p w14:paraId="3C1DBCE0" w14:textId="77777777" w:rsidR="003602A5" w:rsidRPr="007E50F7" w:rsidRDefault="003602A5" w:rsidP="0022334C">
      <w:pPr>
        <w:pStyle w:val="Answer-Testimony"/>
      </w:pPr>
    </w:p>
    <w:p w14:paraId="3C1DBCE1" w14:textId="77777777" w:rsidR="003602A5" w:rsidRPr="007E50F7" w:rsidRDefault="003602A5" w:rsidP="0022334C">
      <w:pPr>
        <w:pStyle w:val="Question-Testimony"/>
      </w:pPr>
      <w:r w:rsidRPr="007E50F7">
        <w:t>Q.</w:t>
      </w:r>
      <w:r w:rsidRPr="007E50F7">
        <w:tab/>
        <w:t>Is Staff’s level of customer charge appropriate?</w:t>
      </w:r>
    </w:p>
    <w:p w14:paraId="3C1DBCE2" w14:textId="77777777" w:rsidR="003602A5" w:rsidRPr="007E50F7" w:rsidRDefault="003602A5" w:rsidP="0022334C">
      <w:pPr>
        <w:pStyle w:val="Answer-Testimony"/>
        <w:rPr>
          <w:b/>
        </w:rPr>
      </w:pPr>
      <w:r w:rsidRPr="007E50F7">
        <w:rPr>
          <w:b/>
          <w:bCs/>
        </w:rPr>
        <w:t>A.</w:t>
      </w:r>
      <w:r w:rsidRPr="007E50F7">
        <w:rPr>
          <w:b/>
          <w:bCs/>
        </w:rPr>
        <w:tab/>
      </w:r>
      <w:r w:rsidRPr="007E50F7">
        <w:rPr>
          <w:bCs/>
        </w:rPr>
        <w:t xml:space="preserve">Yes.  </w:t>
      </w:r>
      <w:r w:rsidRPr="007E50F7">
        <w:t>In</w:t>
      </w:r>
      <w:r w:rsidR="003430BA" w:rsidRPr="007E50F7">
        <w:t xml:space="preserve"> a</w:t>
      </w:r>
      <w:r w:rsidRPr="007E50F7">
        <w:t xml:space="preserve"> </w:t>
      </w:r>
      <w:r w:rsidR="009F1850" w:rsidRPr="007E50F7">
        <w:t xml:space="preserve">January </w:t>
      </w:r>
      <w:r w:rsidR="00CC02CD" w:rsidRPr="007E50F7">
        <w:t>200</w:t>
      </w:r>
      <w:r w:rsidR="009F1850" w:rsidRPr="007E50F7">
        <w:t xml:space="preserve">7, </w:t>
      </w:r>
      <w:r w:rsidR="003430BA" w:rsidRPr="007E50F7">
        <w:t>r</w:t>
      </w:r>
      <w:r w:rsidRPr="007E50F7">
        <w:t>ate order for Puget Sound Energy</w:t>
      </w:r>
      <w:r w:rsidR="00423389" w:rsidRPr="007E50F7">
        <w:t>, Inc. (“PSE”)</w:t>
      </w:r>
      <w:r w:rsidRPr="007E50F7">
        <w:t>, the Commission identified the appropriate level of customer charge</w:t>
      </w:r>
      <w:r w:rsidR="00116A80" w:rsidRPr="007E50F7">
        <w:t xml:space="preserve"> as follows</w:t>
      </w:r>
      <w:r w:rsidRPr="007E50F7">
        <w:rPr>
          <w:bCs/>
        </w:rPr>
        <w:t>:</w:t>
      </w:r>
    </w:p>
    <w:p w14:paraId="3C1DBCE3" w14:textId="77777777" w:rsidR="003602A5" w:rsidRPr="007E50F7" w:rsidRDefault="003602A5" w:rsidP="00342685">
      <w:pPr>
        <w:pStyle w:val="Answer-Testimony"/>
        <w:spacing w:line="240" w:lineRule="auto"/>
        <w:ind w:left="1440" w:firstLine="0"/>
      </w:pPr>
      <w:r w:rsidRPr="007E50F7">
        <w:lastRenderedPageBreak/>
        <w:t>an increase in the customer charge…will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customer charge.</w:t>
      </w:r>
      <w:r w:rsidRPr="007E50F7">
        <w:rPr>
          <w:rStyle w:val="FootnoteReference"/>
        </w:rPr>
        <w:footnoteReference w:id="32"/>
      </w:r>
    </w:p>
    <w:p w14:paraId="3C1DBCE4" w14:textId="77777777" w:rsidR="00342685" w:rsidRPr="007E50F7" w:rsidRDefault="00342685" w:rsidP="00342685">
      <w:pPr>
        <w:pStyle w:val="Answer-Testimony"/>
        <w:spacing w:line="240" w:lineRule="auto"/>
      </w:pPr>
    </w:p>
    <w:p w14:paraId="3C1DBCE5" w14:textId="77777777" w:rsidR="000E077B" w:rsidRPr="00CE55AC" w:rsidRDefault="003602A5" w:rsidP="006B60A6">
      <w:pPr>
        <w:pStyle w:val="Answer-Testimony"/>
      </w:pPr>
      <w:r w:rsidRPr="00CE55AC">
        <w:tab/>
        <w:t>Staff’s proposed $</w:t>
      </w:r>
      <w:r w:rsidR="001976AD" w:rsidRPr="00CE55AC">
        <w:t>8</w:t>
      </w:r>
      <w:r w:rsidR="009F1850" w:rsidRPr="00CE55AC">
        <w:t>.</w:t>
      </w:r>
      <w:r w:rsidR="00270BA7" w:rsidRPr="00CE55AC">
        <w:t>5</w:t>
      </w:r>
      <w:r w:rsidR="001976AD" w:rsidRPr="00CE55AC">
        <w:t>0</w:t>
      </w:r>
      <w:r w:rsidRPr="00CE55AC">
        <w:t xml:space="preserve"> customer charge </w:t>
      </w:r>
      <w:r w:rsidR="00116A80" w:rsidRPr="00CE55AC">
        <w:t xml:space="preserve">for electric customers </w:t>
      </w:r>
      <w:r w:rsidRPr="00CE55AC">
        <w:t>meets this “balance point” because</w:t>
      </w:r>
      <w:r w:rsidR="009D3927" w:rsidRPr="00CE55AC">
        <w:t xml:space="preserve"> it </w:t>
      </w:r>
      <w:r w:rsidR="00116A80" w:rsidRPr="00CE55AC">
        <w:t xml:space="preserve">represents </w:t>
      </w:r>
      <w:r w:rsidR="009D3927" w:rsidRPr="00CE55AC">
        <w:t>2</w:t>
      </w:r>
      <w:r w:rsidR="00404C08" w:rsidRPr="00CE55AC">
        <w:t>4</w:t>
      </w:r>
      <w:r w:rsidR="009D3927" w:rsidRPr="00CE55AC">
        <w:t xml:space="preserve"> percent of </w:t>
      </w:r>
      <w:r w:rsidR="00116A80" w:rsidRPr="00CE55AC">
        <w:t xml:space="preserve">the </w:t>
      </w:r>
      <w:r w:rsidR="009D3927" w:rsidRPr="00CE55AC">
        <w:t>fixed costs allocated to residential customers</w:t>
      </w:r>
      <w:r w:rsidR="00D425EF" w:rsidRPr="00CE55AC">
        <w:rPr>
          <w:rStyle w:val="FootnoteReference"/>
        </w:rPr>
        <w:footnoteReference w:id="33"/>
      </w:r>
      <w:r w:rsidR="009D3927" w:rsidRPr="00CE55AC">
        <w:t xml:space="preserve"> and equals </w:t>
      </w:r>
      <w:r w:rsidR="00472358" w:rsidRPr="00CE55AC">
        <w:t>11</w:t>
      </w:r>
      <w:r w:rsidR="009D3927" w:rsidRPr="00CE55AC">
        <w:t xml:space="preserve"> percent of an average customer’s total bill.</w:t>
      </w:r>
      <w:r w:rsidR="00116A80" w:rsidRPr="00CE55AC">
        <w:t xml:space="preserve">  These percentages are within the limits the Commission approved in the PSE order quoted</w:t>
      </w:r>
      <w:r w:rsidR="006243C3" w:rsidRPr="00CE55AC">
        <w:t xml:space="preserve"> above</w:t>
      </w:r>
      <w:r w:rsidR="00116A80" w:rsidRPr="00CE55AC">
        <w:t>.</w:t>
      </w:r>
    </w:p>
    <w:p w14:paraId="3C1DBCE6" w14:textId="77777777" w:rsidR="001220DF" w:rsidRDefault="001220DF" w:rsidP="001220DF">
      <w:pPr>
        <w:pStyle w:val="Answer-Testimony"/>
      </w:pPr>
    </w:p>
    <w:p w14:paraId="3C1DBCE7" w14:textId="77777777" w:rsidR="001D7C55" w:rsidRDefault="001D7C55" w:rsidP="00386798">
      <w:pPr>
        <w:pStyle w:val="Question-Testimony"/>
      </w:pPr>
      <w:r>
        <w:t>Q.</w:t>
      </w:r>
      <w:r>
        <w:tab/>
        <w:t xml:space="preserve"> Please explain what “distributed generation” is, and how it applies in the context of the basic charge.</w:t>
      </w:r>
    </w:p>
    <w:p w14:paraId="3C1DBCE8" w14:textId="77777777" w:rsidR="001D7C55" w:rsidRPr="00934437" w:rsidRDefault="001D7C55" w:rsidP="00934437">
      <w:pPr>
        <w:pStyle w:val="Answer-Testimony"/>
      </w:pPr>
      <w:r w:rsidRPr="00934437">
        <w:t>A.</w:t>
      </w:r>
      <w:r w:rsidRPr="00934437">
        <w:tab/>
      </w:r>
      <w:r w:rsidR="00291C3C" w:rsidRPr="00934437">
        <w:t>Distributed generation, also called on-site generation, is small scale generating technologies (</w:t>
      </w:r>
      <w:r w:rsidR="00291C3C" w:rsidRPr="00DA48BC">
        <w:rPr>
          <w:i/>
        </w:rPr>
        <w:t>e.g.</w:t>
      </w:r>
      <w:r w:rsidR="00291C3C" w:rsidRPr="00934437">
        <w:t xml:space="preserve"> solar, wind</w:t>
      </w:r>
      <w:r w:rsidR="00934437">
        <w:t>, waste-to-energy, vehicle-to-grid</w:t>
      </w:r>
      <w:r w:rsidR="00291C3C" w:rsidRPr="00934437">
        <w:t xml:space="preserve"> or newer technologies) that are </w:t>
      </w:r>
      <w:r w:rsidR="00934437">
        <w:t xml:space="preserve">generating electricity at or close to </w:t>
      </w:r>
      <w:r w:rsidR="006243C3">
        <w:t>location where it is used</w:t>
      </w:r>
      <w:r w:rsidR="00934437">
        <w:t xml:space="preserve"> and </w:t>
      </w:r>
      <w:r w:rsidR="00291C3C" w:rsidRPr="00934437">
        <w:t xml:space="preserve">connected to the </w:t>
      </w:r>
      <w:r w:rsidR="00AC3366">
        <w:t>system</w:t>
      </w:r>
      <w:r w:rsidR="00291C3C" w:rsidRPr="00934437">
        <w:t>.  Distributed generation systems allow customers to produce some or all of the electricity they need and use (e.g. for HVAC, consumer electronics, lights, etc.)</w:t>
      </w:r>
      <w:r w:rsidR="00AC3366">
        <w:t>, thereby, effectively reducing</w:t>
      </w:r>
      <w:r w:rsidR="00291C3C" w:rsidRPr="00934437">
        <w:t xml:space="preserve"> their electric load</w:t>
      </w:r>
      <w:r w:rsidR="00AC3366">
        <w:t xml:space="preserve"> and possibly selling </w:t>
      </w:r>
      <w:r w:rsidR="006243C3">
        <w:t xml:space="preserve">electricity </w:t>
      </w:r>
      <w:r w:rsidR="00AC3366">
        <w:t>back to the utility provider</w:t>
      </w:r>
      <w:r w:rsidR="00291C3C" w:rsidRPr="00934437">
        <w:t>.</w:t>
      </w:r>
    </w:p>
    <w:p w14:paraId="3C1DBCE9" w14:textId="77777777" w:rsidR="00934437" w:rsidRPr="00934437" w:rsidRDefault="00AC3366" w:rsidP="00934437">
      <w:pPr>
        <w:pStyle w:val="Answer-Testimony"/>
        <w:ind w:firstLine="720"/>
      </w:pPr>
      <w:r>
        <w:t xml:space="preserve">Currently, residential retail rates are designed to recover a portion of the system’s fixed costs through kilowatt-hour charges, thus a </w:t>
      </w:r>
      <w:r w:rsidR="00E03AD6">
        <w:t xml:space="preserve">distributed </w:t>
      </w:r>
      <w:r>
        <w:t xml:space="preserve">generation </w:t>
      </w:r>
      <w:r>
        <w:lastRenderedPageBreak/>
        <w:t>customer will avoid paying some or its entire fair share of the fixed costs of services when supplying power back into the system.</w:t>
      </w:r>
    </w:p>
    <w:p w14:paraId="3C1DBCEA" w14:textId="77777777" w:rsidR="001D7C55" w:rsidRPr="00934437" w:rsidRDefault="001D7C55" w:rsidP="00934437">
      <w:pPr>
        <w:pStyle w:val="Answer-Testimony"/>
      </w:pPr>
    </w:p>
    <w:p w14:paraId="3C1DBCEB" w14:textId="77777777" w:rsidR="001220DF" w:rsidRPr="00386798" w:rsidRDefault="001220DF" w:rsidP="00386798">
      <w:pPr>
        <w:pStyle w:val="Question-Testimony"/>
      </w:pPr>
      <w:r w:rsidRPr="00386798">
        <w:t>Q.</w:t>
      </w:r>
      <w:r w:rsidRPr="00386798">
        <w:tab/>
      </w:r>
      <w:r w:rsidR="001D7C55" w:rsidRPr="00386798">
        <w:t>Is a higher basic charge necessary to address a perceived problem with customers who use distributed generation?</w:t>
      </w:r>
    </w:p>
    <w:p w14:paraId="3C1DBCEC" w14:textId="77777777" w:rsidR="001220DF" w:rsidRDefault="001220DF" w:rsidP="001220DF">
      <w:pPr>
        <w:pStyle w:val="Answer-Testimony"/>
      </w:pPr>
      <w:r w:rsidRPr="001220DF">
        <w:t>A.</w:t>
      </w:r>
      <w:r w:rsidRPr="001220DF">
        <w:tab/>
      </w:r>
      <w:r w:rsidR="001D7C55">
        <w:t xml:space="preserve">No.  </w:t>
      </w:r>
      <w:r w:rsidR="00A76A22">
        <w:t>D</w:t>
      </w:r>
      <w:r w:rsidR="001D7C55">
        <w:t xml:space="preserve">istributed generation </w:t>
      </w:r>
      <w:r w:rsidR="005A7CEC">
        <w:t xml:space="preserve">currently </w:t>
      </w:r>
      <w:r w:rsidR="001D7C55">
        <w:t xml:space="preserve">is </w:t>
      </w:r>
      <w:r w:rsidR="005A7CEC">
        <w:t xml:space="preserve">not a problem </w:t>
      </w:r>
      <w:r w:rsidR="001D7C55">
        <w:t xml:space="preserve">for Avista. </w:t>
      </w:r>
      <w:r w:rsidR="005A7CEC">
        <w:t xml:space="preserve"> Avista </w:t>
      </w:r>
      <w:r w:rsidR="00386798">
        <w:t>serves</w:t>
      </w:r>
      <w:r w:rsidR="005A7CEC">
        <w:t xml:space="preserve"> approximately 237,050 </w:t>
      </w:r>
      <w:r w:rsidR="002D30EC">
        <w:t>customers in Washington</w:t>
      </w:r>
      <w:r w:rsidR="006C5D38">
        <w:t>.  Over the last five years, the Company</w:t>
      </w:r>
      <w:r w:rsidR="00386798">
        <w:t xml:space="preserve"> has</w:t>
      </w:r>
      <w:r w:rsidR="003C7446">
        <w:t xml:space="preserve"> </w:t>
      </w:r>
      <w:r w:rsidR="00D55BF2">
        <w:t xml:space="preserve">experienced </w:t>
      </w:r>
      <w:r w:rsidR="006C5D38">
        <w:t>an</w:t>
      </w:r>
      <w:r w:rsidR="002D30EC">
        <w:t xml:space="preserve"> average </w:t>
      </w:r>
      <w:r w:rsidR="006243C3">
        <w:t>increase</w:t>
      </w:r>
      <w:r w:rsidR="002D30EC">
        <w:t xml:space="preserve"> of </w:t>
      </w:r>
      <w:r w:rsidR="00BC07BC">
        <w:t xml:space="preserve">only </w:t>
      </w:r>
      <w:r w:rsidR="002D30EC">
        <w:t>31 cust</w:t>
      </w:r>
      <w:r w:rsidR="00241147">
        <w:t xml:space="preserve">omers </w:t>
      </w:r>
      <w:r w:rsidR="00BC07BC">
        <w:t>using distributed generation</w:t>
      </w:r>
      <w:r w:rsidR="002D30EC">
        <w:t xml:space="preserve"> </w:t>
      </w:r>
      <w:r w:rsidR="00D55BF2">
        <w:t>per year</w:t>
      </w:r>
      <w:r w:rsidR="007A2CDD">
        <w:t>, or 157 customers in total for the five year period</w:t>
      </w:r>
      <w:r w:rsidR="006C5D38">
        <w:t xml:space="preserve">.  </w:t>
      </w:r>
      <w:r w:rsidR="007A2CDD">
        <w:t>The average t</w:t>
      </w:r>
      <w:r w:rsidR="006C5D38">
        <w:t>hirty-one customers represent</w:t>
      </w:r>
      <w:r w:rsidR="002D30EC">
        <w:t xml:space="preserve"> 0.01</w:t>
      </w:r>
      <w:r w:rsidR="003108B7">
        <w:t>3</w:t>
      </w:r>
      <w:r w:rsidR="002D30EC">
        <w:t xml:space="preserve"> percent</w:t>
      </w:r>
      <w:r w:rsidR="006C5D38">
        <w:t xml:space="preserve"> of Avista’s total</w:t>
      </w:r>
      <w:r w:rsidR="00BC07BC">
        <w:t xml:space="preserve"> customers</w:t>
      </w:r>
      <w:r w:rsidR="002D30EC">
        <w:t>,</w:t>
      </w:r>
      <w:r w:rsidR="00241147">
        <w:rPr>
          <w:rStyle w:val="FootnoteReference"/>
        </w:rPr>
        <w:footnoteReference w:id="34"/>
      </w:r>
      <w:r w:rsidR="002D30EC">
        <w:t xml:space="preserve"> </w:t>
      </w:r>
      <w:r w:rsidR="00241147">
        <w:t xml:space="preserve">which is </w:t>
      </w:r>
      <w:r w:rsidR="00BC07BC">
        <w:t xml:space="preserve">significantly </w:t>
      </w:r>
      <w:r w:rsidR="002D30EC">
        <w:t xml:space="preserve">less than the Company’s expected </w:t>
      </w:r>
      <w:r w:rsidR="007A2CDD">
        <w:t xml:space="preserve">annual </w:t>
      </w:r>
      <w:r w:rsidR="002D30EC">
        <w:t xml:space="preserve">customer growth </w:t>
      </w:r>
      <w:r w:rsidR="00241147">
        <w:t xml:space="preserve">of approximately 1.1 </w:t>
      </w:r>
      <w:r w:rsidR="002D30EC">
        <w:t>percent.</w:t>
      </w:r>
      <w:r w:rsidR="002D30EC">
        <w:rPr>
          <w:rStyle w:val="FootnoteReference"/>
        </w:rPr>
        <w:footnoteReference w:id="35"/>
      </w:r>
      <w:r w:rsidR="00FD63DF">
        <w:t xml:space="preserve">  In addition, there are other ways to address the issues of distributed generation without having to increase the monthly customer charge.</w:t>
      </w:r>
    </w:p>
    <w:p w14:paraId="3C1DBCED" w14:textId="77777777" w:rsidR="00D7648D" w:rsidRPr="007E50F7" w:rsidRDefault="00D7648D" w:rsidP="00D7648D">
      <w:pPr>
        <w:pStyle w:val="Answer-Testimony"/>
      </w:pPr>
    </w:p>
    <w:p w14:paraId="3C1DBCEE" w14:textId="77777777" w:rsidR="00D7648D" w:rsidRPr="007E50F7" w:rsidRDefault="00D7648D" w:rsidP="00D7648D">
      <w:pPr>
        <w:pStyle w:val="Question-Testimony"/>
      </w:pPr>
      <w:r w:rsidRPr="007E50F7">
        <w:t>Q.</w:t>
      </w:r>
      <w:r w:rsidRPr="007E50F7">
        <w:tab/>
      </w:r>
      <w:r>
        <w:t xml:space="preserve">What </w:t>
      </w:r>
      <w:r w:rsidR="00BC07BC">
        <w:t xml:space="preserve">does Staff propose for </w:t>
      </w:r>
      <w:r w:rsidR="00404C08">
        <w:t xml:space="preserve">customer </w:t>
      </w:r>
      <w:r>
        <w:t>charge</w:t>
      </w:r>
      <w:r w:rsidR="00404C08">
        <w:t>s</w:t>
      </w:r>
      <w:r>
        <w:t xml:space="preserve"> for non-residential </w:t>
      </w:r>
      <w:r w:rsidR="005E16C0">
        <w:t>customer classes</w:t>
      </w:r>
      <w:r w:rsidRPr="007E50F7">
        <w:t>?</w:t>
      </w:r>
    </w:p>
    <w:p w14:paraId="3C1DBCEF" w14:textId="77777777" w:rsidR="001220DF" w:rsidRPr="00452778" w:rsidRDefault="00D7648D" w:rsidP="00D7648D">
      <w:pPr>
        <w:pStyle w:val="Answer-Testimony"/>
      </w:pPr>
      <w:r w:rsidRPr="001220DF">
        <w:t>A.</w:t>
      </w:r>
      <w:r w:rsidRPr="001220DF">
        <w:tab/>
      </w:r>
      <w:r>
        <w:t xml:space="preserve">Staff proposes </w:t>
      </w:r>
      <w:r w:rsidR="00BC07BC">
        <w:t xml:space="preserve">to </w:t>
      </w:r>
      <w:r>
        <w:t>increas</w:t>
      </w:r>
      <w:r w:rsidR="00BC07BC">
        <w:t>e</w:t>
      </w:r>
      <w:r>
        <w:t xml:space="preserve"> the </w:t>
      </w:r>
      <w:r w:rsidR="00404C08">
        <w:t>customer</w:t>
      </w:r>
      <w:r>
        <w:t xml:space="preserve"> </w:t>
      </w:r>
      <w:r w:rsidRPr="00CE55AC">
        <w:t>charge</w:t>
      </w:r>
      <w:r w:rsidR="00404C08" w:rsidRPr="00CE55AC">
        <w:t>s</w:t>
      </w:r>
      <w:r w:rsidRPr="00CE55AC">
        <w:t xml:space="preserve"> by </w:t>
      </w:r>
      <w:r w:rsidR="001976AD" w:rsidRPr="00CE55AC">
        <w:t>6</w:t>
      </w:r>
      <w:r w:rsidR="005E16C0" w:rsidRPr="00CE55AC">
        <w:t>.</w:t>
      </w:r>
      <w:r w:rsidR="001976AD" w:rsidRPr="00CE55AC">
        <w:t>7</w:t>
      </w:r>
      <w:r w:rsidR="005E16C0" w:rsidRPr="00CE55AC">
        <w:t xml:space="preserve"> percent to all </w:t>
      </w:r>
      <w:r w:rsidR="005E16C0">
        <w:t>the non-residential customer classes,</w:t>
      </w:r>
      <w:r w:rsidR="00E02226">
        <w:rPr>
          <w:rStyle w:val="FootnoteReference"/>
        </w:rPr>
        <w:footnoteReference w:id="36"/>
      </w:r>
      <w:r w:rsidR="005E16C0">
        <w:t xml:space="preserve"> which provides basic charges within the </w:t>
      </w:r>
      <w:r w:rsidR="005E16C0" w:rsidRPr="007E50F7">
        <w:t xml:space="preserve">price levels in </w:t>
      </w:r>
      <w:r w:rsidR="005E16C0" w:rsidRPr="003C7446">
        <w:t xml:space="preserve">my </w:t>
      </w:r>
      <w:r w:rsidR="001A57FE">
        <w:t>Exhibit No. ___ (</w:t>
      </w:r>
      <w:proofErr w:type="spellStart"/>
      <w:r w:rsidR="001A57FE">
        <w:t>CTM</w:t>
      </w:r>
      <w:proofErr w:type="spellEnd"/>
      <w:r w:rsidR="00286E47">
        <w:t>-2)</w:t>
      </w:r>
      <w:r w:rsidR="00452778" w:rsidRPr="00452778">
        <w:t xml:space="preserve"> at</w:t>
      </w:r>
      <w:r w:rsidR="005E16C0" w:rsidRPr="00452778">
        <w:t xml:space="preserve"> page </w:t>
      </w:r>
      <w:r w:rsidR="00452778" w:rsidRPr="00452778">
        <w:t>5 on</w:t>
      </w:r>
      <w:r w:rsidR="005E16C0" w:rsidRPr="00452778">
        <w:t xml:space="preserve"> lines </w:t>
      </w:r>
      <w:r w:rsidR="003C7446" w:rsidRPr="00452778">
        <w:t>31-42</w:t>
      </w:r>
      <w:r w:rsidR="005E16C0" w:rsidRPr="00452778">
        <w:t>.</w:t>
      </w:r>
    </w:p>
    <w:p w14:paraId="3C1DBCF0" w14:textId="77777777" w:rsidR="00404C08" w:rsidRPr="007E50F7" w:rsidRDefault="00404C08" w:rsidP="00404C08">
      <w:pPr>
        <w:pStyle w:val="Answer-Testimony"/>
      </w:pPr>
    </w:p>
    <w:p w14:paraId="3C1DBCF1" w14:textId="77777777" w:rsidR="00404C08" w:rsidRPr="007E50F7" w:rsidRDefault="00404C08" w:rsidP="00404C08">
      <w:pPr>
        <w:pStyle w:val="Question-Testimony"/>
      </w:pPr>
      <w:r w:rsidRPr="007E50F7">
        <w:lastRenderedPageBreak/>
        <w:t>Q.</w:t>
      </w:r>
      <w:r w:rsidRPr="007E50F7">
        <w:tab/>
      </w:r>
      <w:r>
        <w:t xml:space="preserve">How will increasing the monthly customer charge </w:t>
      </w:r>
      <w:r w:rsidR="00BC07BC">
        <w:t>a</w:t>
      </w:r>
      <w:r>
        <w:t>ffect the proposed decoupling mechanism?</w:t>
      </w:r>
    </w:p>
    <w:p w14:paraId="3C1DBCF2" w14:textId="77777777" w:rsidR="00653DB6" w:rsidRDefault="00404C08" w:rsidP="00404C08">
      <w:pPr>
        <w:pStyle w:val="Answer-Testimony"/>
      </w:pPr>
      <w:r w:rsidRPr="001220DF">
        <w:t>A.</w:t>
      </w:r>
      <w:r w:rsidRPr="001220DF">
        <w:tab/>
      </w:r>
      <w:r w:rsidR="00BC07BC">
        <w:t xml:space="preserve">There are </w:t>
      </w:r>
      <w:r>
        <w:t xml:space="preserve">two </w:t>
      </w:r>
      <w:r w:rsidR="00BC07BC">
        <w:t>impacts</w:t>
      </w:r>
      <w:r>
        <w:t xml:space="preserve">.  First, </w:t>
      </w:r>
      <w:r w:rsidR="00BC07BC">
        <w:t>increasing the customer charges</w:t>
      </w:r>
      <w:r>
        <w:t xml:space="preserve"> decrease</w:t>
      </w:r>
      <w:r w:rsidR="00BC07BC">
        <w:t>s</w:t>
      </w:r>
      <w:r>
        <w:t xml:space="preserve"> the revenue per customer amount</w:t>
      </w:r>
      <w:r w:rsidR="00BC07BC">
        <w:t xml:space="preserve">, because </w:t>
      </w:r>
      <w:r w:rsidR="00AD1C68">
        <w:t>fixed revenues (</w:t>
      </w:r>
      <w:r>
        <w:t>customer charges</w:t>
      </w:r>
      <w:r w:rsidR="00AD1C68">
        <w:t>)</w:t>
      </w:r>
      <w:r>
        <w:t xml:space="preserve"> are </w:t>
      </w:r>
      <w:r w:rsidR="00AD1C68">
        <w:t xml:space="preserve">removed </w:t>
      </w:r>
      <w:r>
        <w:t xml:space="preserve">from the </w:t>
      </w:r>
      <w:r w:rsidR="00BC07BC">
        <w:t xml:space="preserve">revenue per customer </w:t>
      </w:r>
      <w:r>
        <w:t>calculation</w:t>
      </w:r>
      <w:r w:rsidR="00F91605">
        <w:t>.</w:t>
      </w:r>
      <w:r w:rsidR="00AD1C68">
        <w:rPr>
          <w:rStyle w:val="FootnoteReference"/>
        </w:rPr>
        <w:footnoteReference w:id="37"/>
      </w:r>
    </w:p>
    <w:p w14:paraId="3C1DBCF3" w14:textId="77777777" w:rsidR="00D7648D" w:rsidRDefault="00F91605" w:rsidP="00653DB6">
      <w:pPr>
        <w:pStyle w:val="Answer-Testimony"/>
        <w:ind w:firstLine="720"/>
      </w:pPr>
      <w:r>
        <w:t xml:space="preserve">Second, </w:t>
      </w:r>
      <w:r w:rsidR="00BC07BC">
        <w:t xml:space="preserve">increasing the customer charges </w:t>
      </w:r>
      <w:r>
        <w:t xml:space="preserve">should reduce the variance </w:t>
      </w:r>
      <w:r w:rsidR="00AD1C68">
        <w:t xml:space="preserve">in the deferral calculations each month </w:t>
      </w:r>
      <w:r>
        <w:t xml:space="preserve">between </w:t>
      </w:r>
      <w:r w:rsidR="00AD1C68">
        <w:t>actual and the determined allowed non-power supply revenue.</w:t>
      </w:r>
    </w:p>
    <w:p w14:paraId="3C1DBCF4" w14:textId="77777777" w:rsidR="00404C08" w:rsidRPr="001220DF" w:rsidRDefault="00404C08" w:rsidP="00404C08">
      <w:pPr>
        <w:pStyle w:val="Answer-Testimony"/>
      </w:pPr>
    </w:p>
    <w:p w14:paraId="3C1DBCF5" w14:textId="77777777" w:rsidR="00F95F50" w:rsidRPr="007E50F7" w:rsidRDefault="00F95F50" w:rsidP="00A07F2C">
      <w:pPr>
        <w:pStyle w:val="Heading3"/>
      </w:pPr>
      <w:bookmarkStart w:id="32" w:name="_Toc391992044"/>
      <w:bookmarkStart w:id="33" w:name="_Toc393696927"/>
      <w:r>
        <w:t>Volumetric Rates</w:t>
      </w:r>
      <w:bookmarkEnd w:id="32"/>
      <w:bookmarkEnd w:id="33"/>
    </w:p>
    <w:p w14:paraId="3C1DBCF6" w14:textId="77777777" w:rsidR="00F95F50" w:rsidRPr="007E50F7" w:rsidRDefault="00F95F50" w:rsidP="00F95F50">
      <w:pPr>
        <w:pStyle w:val="Question-Testimony"/>
      </w:pPr>
    </w:p>
    <w:p w14:paraId="3C1DBCF7" w14:textId="77777777" w:rsidR="00F95F50" w:rsidRPr="007E50F7" w:rsidRDefault="00F95F50" w:rsidP="00F95F50">
      <w:pPr>
        <w:pStyle w:val="Question-Testimony"/>
      </w:pPr>
      <w:r w:rsidRPr="007E50F7">
        <w:t>Q.</w:t>
      </w:r>
      <w:r w:rsidRPr="007E50F7">
        <w:tab/>
        <w:t xml:space="preserve">Please summarize Staff’s proposed change to the volumetric </w:t>
      </w:r>
      <w:r>
        <w:t>rates</w:t>
      </w:r>
      <w:r w:rsidR="00BC07BC">
        <w:t xml:space="preserve"> for electric service</w:t>
      </w:r>
      <w:r w:rsidRPr="007E50F7">
        <w:t>.</w:t>
      </w:r>
    </w:p>
    <w:p w14:paraId="3C1DBCF8" w14:textId="77777777" w:rsidR="00F95F50" w:rsidRPr="00CE55AC" w:rsidRDefault="00F95F50" w:rsidP="00F95F50">
      <w:pPr>
        <w:pStyle w:val="Answer-Testimony"/>
      </w:pPr>
      <w:r w:rsidRPr="007E50F7">
        <w:t>A.</w:t>
      </w:r>
      <w:r w:rsidRPr="007E50F7">
        <w:tab/>
        <w:t>Staff recommends</w:t>
      </w:r>
      <w:r w:rsidR="0009117E">
        <w:t xml:space="preserve"> the Commission</w:t>
      </w:r>
      <w:r>
        <w:t xml:space="preserve">: (1) </w:t>
      </w:r>
      <w:r w:rsidRPr="007E50F7">
        <w:t>apply</w:t>
      </w:r>
      <w:r w:rsidR="00FA7B21">
        <w:t xml:space="preserve"> separate</w:t>
      </w:r>
      <w:r w:rsidRPr="007E50F7">
        <w:t xml:space="preserve"> </w:t>
      </w:r>
      <w:r w:rsidRPr="00DA48BC">
        <w:t xml:space="preserve">uniform percentage </w:t>
      </w:r>
      <w:r>
        <w:t>de</w:t>
      </w:r>
      <w:r w:rsidRPr="007E50F7">
        <w:t>crease</w:t>
      </w:r>
      <w:r w:rsidR="0009117E">
        <w:t>s</w:t>
      </w:r>
      <w:r w:rsidRPr="007E50F7">
        <w:t xml:space="preserve"> for all </w:t>
      </w:r>
      <w:r w:rsidR="003C7446">
        <w:t xml:space="preserve">energy </w:t>
      </w:r>
      <w:r w:rsidRPr="007E50F7">
        <w:t>volumetric rates in</w:t>
      </w:r>
      <w:r w:rsidR="00FA7B21">
        <w:t xml:space="preserve"> each</w:t>
      </w:r>
      <w:r>
        <w:t xml:space="preserve"> s</w:t>
      </w:r>
      <w:r w:rsidRPr="007E50F7">
        <w:t>chedule</w:t>
      </w:r>
      <w:r w:rsidR="00BF00CE">
        <w:t>, except for Residential Schedule 1</w:t>
      </w:r>
      <w:r w:rsidR="003D57F0">
        <w:t>,</w:t>
      </w:r>
      <w:r w:rsidR="00BF00CE">
        <w:t xml:space="preserve"> which gets a uniform percentage decrease to the first two volumetric block rates</w:t>
      </w:r>
      <w:r w:rsidR="003C7446">
        <w:t>; and (2)</w:t>
      </w:r>
      <w:r w:rsidRPr="007E50F7">
        <w:t xml:space="preserve"> </w:t>
      </w:r>
      <w:r w:rsidRPr="00DA48BC">
        <w:t>increas</w:t>
      </w:r>
      <w:r w:rsidR="0009117E" w:rsidRPr="00DA48BC">
        <w:t>e</w:t>
      </w:r>
      <w:r>
        <w:t xml:space="preserve"> and set the demand rate across all non-residential schedules </w:t>
      </w:r>
      <w:r w:rsidR="0009117E">
        <w:t>to</w:t>
      </w:r>
      <w:r>
        <w:t xml:space="preserve"> </w:t>
      </w:r>
      <w:r w:rsidRPr="00CE55AC">
        <w:t>$6.25.</w:t>
      </w:r>
    </w:p>
    <w:p w14:paraId="3C1DBCF9" w14:textId="77777777" w:rsidR="003C7446" w:rsidRDefault="003C7446" w:rsidP="00F95F50">
      <w:pPr>
        <w:pStyle w:val="Answer-Testimony"/>
      </w:pPr>
    </w:p>
    <w:p w14:paraId="3C1DBCFA" w14:textId="77777777" w:rsidR="00BC07BC" w:rsidRPr="00653DB6" w:rsidRDefault="00BC07BC" w:rsidP="00A21FC2">
      <w:pPr>
        <w:pStyle w:val="Question-Testimony"/>
      </w:pPr>
      <w:r>
        <w:t>Q.</w:t>
      </w:r>
      <w:r>
        <w:tab/>
        <w:t>Please explain why Staff is proposing</w:t>
      </w:r>
      <w:r w:rsidR="00A21FC2">
        <w:t xml:space="preserve"> a uniform percentage decrease for energy volumetric rates.</w:t>
      </w:r>
    </w:p>
    <w:p w14:paraId="3C1DBCFB" w14:textId="77777777" w:rsidR="00886C20" w:rsidRDefault="00886C20" w:rsidP="00886C20">
      <w:pPr>
        <w:pStyle w:val="Answer-Testimony"/>
      </w:pPr>
      <w:r w:rsidRPr="007E50F7">
        <w:t>A.</w:t>
      </w:r>
      <w:r w:rsidRPr="007E50F7">
        <w:tab/>
      </w:r>
      <w:r w:rsidR="00A07F2C">
        <w:t xml:space="preserve">The reason is that this is </w:t>
      </w:r>
      <w:r>
        <w:t xml:space="preserve">a </w:t>
      </w:r>
      <w:r w:rsidR="00A07F2C">
        <w:t>“</w:t>
      </w:r>
      <w:r>
        <w:t>zero-sum-game,</w:t>
      </w:r>
      <w:r w:rsidR="00A07F2C">
        <w:t>”</w:t>
      </w:r>
      <w:r>
        <w:t xml:space="preserve"> where Staff is reflect</w:t>
      </w:r>
      <w:r w:rsidR="00A07F2C">
        <w:t>ing</w:t>
      </w:r>
      <w:r>
        <w:t xml:space="preserve"> the following: (1) </w:t>
      </w:r>
      <w:r w:rsidR="00A07F2C">
        <w:t xml:space="preserve">Staff’s proposed </w:t>
      </w:r>
      <w:r>
        <w:t xml:space="preserve">revenue requirement decrease; (2) keeping the schedules </w:t>
      </w:r>
      <w:r>
        <w:lastRenderedPageBreak/>
        <w:t>revenue-neutral; (3) considering the rate year billing determinants within the volumetric blocks; and (4) recognizing the increases in monthly customer charges and demand volumetric rates.</w:t>
      </w:r>
    </w:p>
    <w:p w14:paraId="3C1DBCFC" w14:textId="77777777" w:rsidR="001976AD" w:rsidRPr="00CE55AC" w:rsidRDefault="001976AD" w:rsidP="00BF00CE">
      <w:pPr>
        <w:pStyle w:val="Answer-Testimony"/>
      </w:pPr>
      <w:r w:rsidRPr="00CE55AC">
        <w:tab/>
      </w:r>
      <w:r w:rsidRPr="00CE55AC">
        <w:tab/>
      </w:r>
      <w:r w:rsidR="00BF00CE" w:rsidRPr="00CE55AC">
        <w:t>As f</w:t>
      </w:r>
      <w:r w:rsidRPr="00CE55AC">
        <w:t>or Residential Schedule 1, Staff kep</w:t>
      </w:r>
      <w:r w:rsidR="00BF00CE" w:rsidRPr="00CE55AC">
        <w:t>t</w:t>
      </w:r>
      <w:r w:rsidRPr="00CE55AC">
        <w:t xml:space="preserve"> the </w:t>
      </w:r>
      <w:r w:rsidR="00BF00CE" w:rsidRPr="00CE55AC">
        <w:t xml:space="preserve">third tier-block rate at its current 10.05 cents, which is below the </w:t>
      </w:r>
      <w:r w:rsidR="00176C22" w:rsidRPr="00CE55AC">
        <w:t>total unit cost in my Exhibit No. ___ (</w:t>
      </w:r>
      <w:proofErr w:type="spellStart"/>
      <w:r w:rsidR="00176C22" w:rsidRPr="00CE55AC">
        <w:t>CTM</w:t>
      </w:r>
      <w:proofErr w:type="spellEnd"/>
      <w:r w:rsidR="00176C22" w:rsidRPr="00CE55AC">
        <w:t>-2) at page 4 on lines 35.  Therefore, keeping the third tier-block rate the same and applying the uniform percentage decrease to the first two-tiers, preserves the proper prices signals and increases the rate differential between blocks.</w:t>
      </w:r>
    </w:p>
    <w:p w14:paraId="3C1DBCFD" w14:textId="77777777" w:rsidR="00886C20" w:rsidRDefault="00886C20" w:rsidP="00886C20">
      <w:pPr>
        <w:pStyle w:val="Answer-Testimony"/>
      </w:pPr>
    </w:p>
    <w:p w14:paraId="3C1DBCFE" w14:textId="77777777" w:rsidR="000F739B" w:rsidRPr="007E50F7" w:rsidRDefault="000F739B" w:rsidP="00886C20">
      <w:pPr>
        <w:pStyle w:val="Question-Testimony"/>
      </w:pPr>
      <w:r w:rsidRPr="007E50F7">
        <w:t>Q.</w:t>
      </w:r>
      <w:r w:rsidRPr="007E50F7">
        <w:tab/>
        <w:t>Please explain why Staff is proposing to increase</w:t>
      </w:r>
      <w:r w:rsidR="00DC6240">
        <w:t xml:space="preserve"> and set the demand rate equal across all non-residential schedules.</w:t>
      </w:r>
    </w:p>
    <w:p w14:paraId="3C1DBCFF" w14:textId="77777777" w:rsidR="00116A80" w:rsidRPr="00237AF4" w:rsidRDefault="000F739B" w:rsidP="0022334C">
      <w:pPr>
        <w:pStyle w:val="Answer-Testimony"/>
      </w:pPr>
      <w:r w:rsidRPr="007E50F7">
        <w:t>A.</w:t>
      </w:r>
      <w:r w:rsidRPr="007E50F7">
        <w:tab/>
      </w:r>
      <w:r w:rsidR="00237AF4">
        <w:t xml:space="preserve">By </w:t>
      </w:r>
      <w:r w:rsidR="00237AF4" w:rsidRPr="00237AF4">
        <w:t xml:space="preserve">increasing the demand rate and setting it equal across all non-residential schedules, </w:t>
      </w:r>
      <w:r w:rsidR="00F20492">
        <w:t>the Commission would</w:t>
      </w:r>
      <w:r w:rsidR="00F20492" w:rsidRPr="00237AF4">
        <w:t xml:space="preserve"> </w:t>
      </w:r>
      <w:r w:rsidR="00116A80" w:rsidRPr="00237AF4">
        <w:t xml:space="preserve">support a more appropriate price signal for </w:t>
      </w:r>
      <w:r w:rsidR="00237AF4" w:rsidRPr="00237AF4">
        <w:t xml:space="preserve">demand </w:t>
      </w:r>
      <w:r w:rsidR="00653DB6">
        <w:t>reduction</w:t>
      </w:r>
      <w:r w:rsidR="00237AF4">
        <w:t xml:space="preserve"> </w:t>
      </w:r>
      <w:r w:rsidR="00116A80" w:rsidRPr="00237AF4">
        <w:t>conservation</w:t>
      </w:r>
      <w:r w:rsidR="00237AF4" w:rsidRPr="00237AF4">
        <w:t xml:space="preserve">.  In addition, plant and </w:t>
      </w:r>
      <w:r w:rsidR="00237AF4" w:rsidRPr="00CE55AC">
        <w:t>operating expenses are allocated on a percentage related to demand</w:t>
      </w:r>
      <w:r w:rsidR="00653DB6" w:rsidRPr="00CE55AC">
        <w:t>.</w:t>
      </w:r>
      <w:r w:rsidR="00237AF4" w:rsidRPr="00CE55AC">
        <w:t xml:space="preserve"> </w:t>
      </w:r>
      <w:r w:rsidR="00F20492" w:rsidRPr="00CE55AC">
        <w:t xml:space="preserve"> I</w:t>
      </w:r>
      <w:r w:rsidR="00237AF4" w:rsidRPr="00CE55AC">
        <w:t>n this case</w:t>
      </w:r>
      <w:r w:rsidR="00F20492" w:rsidRPr="00CE55AC">
        <w:t>,</w:t>
      </w:r>
      <w:r w:rsidR="00237AF4" w:rsidRPr="00CE55AC">
        <w:t xml:space="preserve"> 30.73 </w:t>
      </w:r>
      <w:r w:rsidR="00237AF4" w:rsidRPr="00237AF4">
        <w:t>percent</w:t>
      </w:r>
      <w:r w:rsidR="00237AF4">
        <w:t xml:space="preserve"> is related to demand</w:t>
      </w:r>
      <w:r w:rsidR="00F20492">
        <w:t>; therefore,</w:t>
      </w:r>
      <w:r w:rsidR="00237AF4" w:rsidRPr="00237AF4">
        <w:t xml:space="preserve"> it </w:t>
      </w:r>
      <w:r w:rsidR="00BC07BC">
        <w:t xml:space="preserve">is </w:t>
      </w:r>
      <w:r w:rsidR="00237AF4" w:rsidRPr="00237AF4">
        <w:t>appropriate to set the rate equal for all non-residential schedules</w:t>
      </w:r>
      <w:r w:rsidR="00237AF4">
        <w:t xml:space="preserve"> </w:t>
      </w:r>
      <w:r w:rsidR="00F20492">
        <w:t xml:space="preserve">because </w:t>
      </w:r>
      <w:r w:rsidR="00237AF4">
        <w:t xml:space="preserve">all schedules </w:t>
      </w:r>
      <w:r w:rsidR="00F20492">
        <w:t>receive</w:t>
      </w:r>
      <w:r w:rsidR="00237AF4">
        <w:t xml:space="preserve"> an equal percentage of plant and operating expenses based on the same percentage of demand</w:t>
      </w:r>
      <w:r w:rsidR="00116A80" w:rsidRPr="00237AF4">
        <w:t>.</w:t>
      </w:r>
    </w:p>
    <w:p w14:paraId="3C1DBD00" w14:textId="77777777" w:rsidR="0069535A" w:rsidRPr="00237AF4" w:rsidRDefault="0069535A" w:rsidP="0069535A">
      <w:pPr>
        <w:pStyle w:val="Answer-Testimony"/>
      </w:pPr>
    </w:p>
    <w:p w14:paraId="3C1DBD01" w14:textId="77777777" w:rsidR="00C136CE" w:rsidRPr="007E50F7" w:rsidRDefault="00C136CE" w:rsidP="001F57BB">
      <w:pPr>
        <w:pStyle w:val="Heading3"/>
      </w:pPr>
      <w:bookmarkStart w:id="34" w:name="_Toc391992045"/>
      <w:bookmarkStart w:id="35" w:name="_Toc393696928"/>
      <w:r>
        <w:t>Straight-Fixed Variable</w:t>
      </w:r>
      <w:r w:rsidR="00A07F2C">
        <w:t xml:space="preserve"> Rate Design for Schedules 25 and 26</w:t>
      </w:r>
      <w:bookmarkEnd w:id="34"/>
      <w:bookmarkEnd w:id="35"/>
    </w:p>
    <w:p w14:paraId="3C1DBD02" w14:textId="77777777" w:rsidR="007A1C45" w:rsidRDefault="007A1C45" w:rsidP="007A1C45">
      <w:pPr>
        <w:pStyle w:val="Answer-Testimony"/>
      </w:pPr>
    </w:p>
    <w:p w14:paraId="3C1DBD03" w14:textId="77777777" w:rsidR="00BC07BC" w:rsidRPr="00653DB6" w:rsidRDefault="00BC07BC" w:rsidP="00653DB6">
      <w:pPr>
        <w:pStyle w:val="Question-Testimony"/>
      </w:pPr>
      <w:r>
        <w:t>Q.</w:t>
      </w:r>
      <w:r>
        <w:tab/>
        <w:t>Please describe the customers who take service under Schedules 25 and 26.</w:t>
      </w:r>
    </w:p>
    <w:p w14:paraId="3C1DBD04" w14:textId="77777777" w:rsidR="00664BA3" w:rsidRPr="009F6B2A" w:rsidRDefault="00BC07BC" w:rsidP="009F6B2A">
      <w:pPr>
        <w:pStyle w:val="Answer-Testimony"/>
      </w:pPr>
      <w:r w:rsidRPr="009F6B2A">
        <w:lastRenderedPageBreak/>
        <w:t>A.</w:t>
      </w:r>
      <w:r w:rsidRPr="009F6B2A">
        <w:tab/>
      </w:r>
      <w:r w:rsidR="009F6B2A" w:rsidRPr="009F6B2A">
        <w:t xml:space="preserve">These customers have very large </w:t>
      </w:r>
      <w:r w:rsidR="00A07F2C">
        <w:t xml:space="preserve">usage </w:t>
      </w:r>
      <w:r w:rsidR="009F6B2A" w:rsidRPr="009F6B2A">
        <w:t xml:space="preserve">and unique usage </w:t>
      </w:r>
      <w:r w:rsidR="00664BA3" w:rsidRPr="009F6B2A">
        <w:t>characteristics</w:t>
      </w:r>
      <w:r w:rsidR="009F6B2A" w:rsidRPr="009F6B2A">
        <w:t xml:space="preserve">, </w:t>
      </w:r>
      <w:r w:rsidR="00664BA3" w:rsidRPr="009F6B2A">
        <w:t xml:space="preserve">unlike any other customers on </w:t>
      </w:r>
      <w:r w:rsidR="009F6B2A" w:rsidRPr="009F6B2A">
        <w:t>any other s</w:t>
      </w:r>
      <w:r w:rsidR="00664BA3" w:rsidRPr="009F6B2A">
        <w:t>chedule.  For example, th</w:t>
      </w:r>
      <w:r w:rsidR="009F6B2A" w:rsidRPr="009F6B2A">
        <w:t>ese</w:t>
      </w:r>
      <w:r w:rsidR="00664BA3" w:rsidRPr="009F6B2A">
        <w:t xml:space="preserve"> customer</w:t>
      </w:r>
      <w:r w:rsidR="009F6B2A" w:rsidRPr="009F6B2A">
        <w:t>s</w:t>
      </w:r>
      <w:r w:rsidR="00664BA3" w:rsidRPr="009F6B2A">
        <w:t xml:space="preserve"> ha</w:t>
      </w:r>
      <w:r w:rsidR="009F6B2A" w:rsidRPr="009F6B2A">
        <w:t xml:space="preserve">ve approximately 20 percent of the entire system’s </w:t>
      </w:r>
      <w:r w:rsidR="00664BA3" w:rsidRPr="009F6B2A">
        <w:t>usage</w:t>
      </w:r>
      <w:r w:rsidR="009F6B2A" w:rsidRPr="009F6B2A">
        <w:t>, but only represent 0.0001 percent of the customers on the system.  In addition, these c</w:t>
      </w:r>
      <w:r w:rsidR="00664BA3" w:rsidRPr="009F6B2A">
        <w:t>ustomer</w:t>
      </w:r>
      <w:r w:rsidR="009F6B2A" w:rsidRPr="009F6B2A">
        <w:t xml:space="preserve">s have fairly consistent </w:t>
      </w:r>
      <w:r w:rsidR="00664BA3" w:rsidRPr="009F6B2A">
        <w:t xml:space="preserve">usage </w:t>
      </w:r>
      <w:r w:rsidR="009F6B2A" w:rsidRPr="009F6B2A">
        <w:t xml:space="preserve">throughout </w:t>
      </w:r>
      <w:r w:rsidR="00664BA3" w:rsidRPr="009F6B2A">
        <w:t>the entire</w:t>
      </w:r>
      <w:r w:rsidR="009F6B2A" w:rsidRPr="009F6B2A">
        <w:t xml:space="preserve"> year, compared to other </w:t>
      </w:r>
      <w:r w:rsidR="00664BA3" w:rsidRPr="009F6B2A">
        <w:t>schedule</w:t>
      </w:r>
      <w:r w:rsidR="009F6B2A" w:rsidRPr="009F6B2A">
        <w:t>s</w:t>
      </w:r>
      <w:r w:rsidR="00664BA3" w:rsidRPr="009F6B2A">
        <w:t xml:space="preserve"> </w:t>
      </w:r>
      <w:r w:rsidR="009F6B2A" w:rsidRPr="009F6B2A">
        <w:t>that either peak in the winter or summer.</w:t>
      </w:r>
    </w:p>
    <w:p w14:paraId="3C1DBD05" w14:textId="77777777" w:rsidR="00BC07BC" w:rsidRPr="009F6B2A" w:rsidRDefault="00BC07BC" w:rsidP="009F6B2A">
      <w:pPr>
        <w:pStyle w:val="Answer-Testimony"/>
      </w:pPr>
    </w:p>
    <w:p w14:paraId="3C1DBD06" w14:textId="77777777" w:rsidR="00D7106C" w:rsidRPr="00880EEE" w:rsidRDefault="00D7106C" w:rsidP="00D7106C">
      <w:pPr>
        <w:pStyle w:val="Question-Testimony"/>
      </w:pPr>
      <w:r w:rsidRPr="00880EEE">
        <w:t>Q.</w:t>
      </w:r>
      <w:r w:rsidRPr="00880EEE">
        <w:tab/>
        <w:t>What is Staff’s electric rate design structure proposal for Schedules 25 and 26?</w:t>
      </w:r>
    </w:p>
    <w:p w14:paraId="3C1DBD07" w14:textId="77777777" w:rsidR="00545CF5" w:rsidRPr="00880EEE" w:rsidRDefault="007A1C45" w:rsidP="00967FB4">
      <w:pPr>
        <w:pStyle w:val="Answer-Testimony"/>
      </w:pPr>
      <w:r w:rsidRPr="00880EEE">
        <w:t>A.</w:t>
      </w:r>
      <w:r w:rsidRPr="00880EEE">
        <w:tab/>
      </w:r>
      <w:r w:rsidR="00D7106C" w:rsidRPr="00880EEE">
        <w:t>Staff recommend</w:t>
      </w:r>
      <w:r w:rsidR="00A07F2C">
        <w:t>s</w:t>
      </w:r>
      <w:r w:rsidR="00D7106C" w:rsidRPr="00880EEE">
        <w:t xml:space="preserve"> these schedules </w:t>
      </w:r>
      <w:r w:rsidR="00496B50">
        <w:t xml:space="preserve">have </w:t>
      </w:r>
      <w:r w:rsidR="00D7106C" w:rsidRPr="00880EEE">
        <w:t>a straight-fixed variable</w:t>
      </w:r>
      <w:r w:rsidR="00BA4D7C" w:rsidRPr="00880EEE">
        <w:t xml:space="preserve"> </w:t>
      </w:r>
      <w:r w:rsidR="00D7106C" w:rsidRPr="00880EEE">
        <w:t>rate design,</w:t>
      </w:r>
      <w:r w:rsidR="00BA4D7C" w:rsidRPr="00880EEE">
        <w:rPr>
          <w:rStyle w:val="FootnoteReference"/>
        </w:rPr>
        <w:footnoteReference w:id="38"/>
      </w:r>
      <w:r w:rsidR="00D7106C" w:rsidRPr="00880EEE">
        <w:t xml:space="preserve"> instead of being part of a decoupling mechanism.</w:t>
      </w:r>
    </w:p>
    <w:p w14:paraId="3C1DBD08" w14:textId="77777777" w:rsidR="00D7106C" w:rsidRPr="00880EEE" w:rsidRDefault="00D7106C" w:rsidP="00D7106C">
      <w:pPr>
        <w:pStyle w:val="Answer-Testimony"/>
        <w:ind w:firstLine="720"/>
      </w:pPr>
    </w:p>
    <w:p w14:paraId="3C1DBD09" w14:textId="77777777" w:rsidR="00D7106C" w:rsidRPr="00880EEE" w:rsidRDefault="00D7106C" w:rsidP="00D7106C">
      <w:pPr>
        <w:pStyle w:val="Question-Testimony"/>
      </w:pPr>
      <w:r w:rsidRPr="00880EEE">
        <w:t>Q.</w:t>
      </w:r>
      <w:r w:rsidRPr="00880EEE">
        <w:tab/>
        <w:t xml:space="preserve">Please explain </w:t>
      </w:r>
      <w:r w:rsidR="00BA4D7C" w:rsidRPr="00880EEE">
        <w:t xml:space="preserve">what </w:t>
      </w:r>
      <w:r w:rsidR="00BC07BC">
        <w:t>“</w:t>
      </w:r>
      <w:r w:rsidR="00BC07BC" w:rsidRPr="00880EEE">
        <w:t>straight-fixed variable</w:t>
      </w:r>
      <w:r w:rsidR="00BC07BC">
        <w:t>”</w:t>
      </w:r>
      <w:r w:rsidR="00BC07BC" w:rsidRPr="00880EEE">
        <w:t xml:space="preserve"> </w:t>
      </w:r>
      <w:r w:rsidR="00BA4D7C" w:rsidRPr="00880EEE">
        <w:t xml:space="preserve">is and </w:t>
      </w:r>
      <w:r w:rsidRPr="00880EEE">
        <w:t xml:space="preserve">how </w:t>
      </w:r>
      <w:r w:rsidR="00BA4D7C" w:rsidRPr="00880EEE">
        <w:t>it works</w:t>
      </w:r>
      <w:r w:rsidRPr="00880EEE">
        <w:t>.</w:t>
      </w:r>
    </w:p>
    <w:p w14:paraId="3C1DBD0A" w14:textId="77777777" w:rsidR="008A14BC" w:rsidRPr="000F3834" w:rsidRDefault="00D7106C" w:rsidP="000F3834">
      <w:pPr>
        <w:pStyle w:val="Answer-Testimony"/>
        <w:rPr>
          <w:sz w:val="23"/>
          <w:szCs w:val="23"/>
        </w:rPr>
      </w:pPr>
      <w:r w:rsidRPr="00880EEE">
        <w:t>A.</w:t>
      </w:r>
      <w:r w:rsidRPr="00880EEE">
        <w:tab/>
      </w:r>
      <w:r w:rsidR="00BC07BC">
        <w:t xml:space="preserve">As described </w:t>
      </w:r>
      <w:r w:rsidR="00664BA3">
        <w:t xml:space="preserve">in </w:t>
      </w:r>
      <w:r w:rsidR="00BC07BC">
        <w:t xml:space="preserve">Mr. </w:t>
      </w:r>
      <w:proofErr w:type="spellStart"/>
      <w:r w:rsidR="00BC07BC">
        <w:t>Boonin’s</w:t>
      </w:r>
      <w:proofErr w:type="spellEnd"/>
      <w:r w:rsidR="00BC07BC">
        <w:t xml:space="preserve"> </w:t>
      </w:r>
      <w:r w:rsidR="00664BA3">
        <w:t xml:space="preserve">research and policy paper </w:t>
      </w:r>
      <w:r w:rsidR="00BC07BC">
        <w:t xml:space="preserve">on rate designs for energy efficiency, a straight-fixed variable rate </w:t>
      </w:r>
      <w:r w:rsidR="00653DB6">
        <w:t>design</w:t>
      </w:r>
      <w:r w:rsidR="00BC07BC">
        <w:t xml:space="preserve"> </w:t>
      </w:r>
      <w:r w:rsidR="00BC07BC">
        <w:rPr>
          <w:sz w:val="23"/>
          <w:szCs w:val="23"/>
        </w:rPr>
        <w:t xml:space="preserve">“places all of the utility’s fixed costs into a fixed component of a utility customer’s bill, thereby recovering only variable costs, such as fuel and purchased power, on a variable (e.g., per </w:t>
      </w:r>
      <w:r w:rsidR="00BC07BC" w:rsidRPr="007672DC">
        <w:rPr>
          <w:sz w:val="23"/>
          <w:szCs w:val="23"/>
        </w:rPr>
        <w:t>kWh or kW) basis.”</w:t>
      </w:r>
      <w:r w:rsidR="00BC07BC" w:rsidRPr="007672DC">
        <w:rPr>
          <w:rStyle w:val="FootnoteReference"/>
          <w:sz w:val="23"/>
          <w:szCs w:val="23"/>
        </w:rPr>
        <w:footnoteReference w:id="39"/>
      </w:r>
    </w:p>
    <w:p w14:paraId="3C1DBD0B" w14:textId="77777777" w:rsidR="00D7106C" w:rsidRPr="007672DC" w:rsidRDefault="00D7106C" w:rsidP="00D7106C">
      <w:pPr>
        <w:pStyle w:val="Answer-Testimony"/>
      </w:pPr>
    </w:p>
    <w:p w14:paraId="3C1DBD0C" w14:textId="77777777" w:rsidR="008A14BC" w:rsidRPr="007672DC" w:rsidRDefault="008A14BC" w:rsidP="008A14BC">
      <w:pPr>
        <w:pStyle w:val="Question-Testimony"/>
      </w:pPr>
      <w:r w:rsidRPr="007672DC">
        <w:t>Q.</w:t>
      </w:r>
      <w:r w:rsidRPr="007672DC">
        <w:tab/>
        <w:t xml:space="preserve">What are the </w:t>
      </w:r>
      <w:r w:rsidR="00BC07BC">
        <w:t xml:space="preserve">primary </w:t>
      </w:r>
      <w:r w:rsidRPr="007672DC">
        <w:t xml:space="preserve">benefits of </w:t>
      </w:r>
      <w:r w:rsidR="00BC07BC">
        <w:t>the straight-fixed variable rate design for these customers?</w:t>
      </w:r>
    </w:p>
    <w:p w14:paraId="3C1DBD0D" w14:textId="77777777" w:rsidR="008A14BC" w:rsidRPr="007672DC" w:rsidRDefault="008A14BC" w:rsidP="008A14BC">
      <w:pPr>
        <w:pStyle w:val="Answer-Testimony"/>
      </w:pPr>
      <w:r w:rsidRPr="007672DC">
        <w:t>A.</w:t>
      </w:r>
      <w:r w:rsidRPr="007672DC">
        <w:tab/>
        <w:t xml:space="preserve">There are </w:t>
      </w:r>
      <w:r w:rsidR="00A07F2C">
        <w:t xml:space="preserve">three </w:t>
      </w:r>
      <w:r w:rsidR="00BC07BC">
        <w:t xml:space="preserve">major categories of </w:t>
      </w:r>
      <w:r w:rsidRPr="007672DC">
        <w:t xml:space="preserve">benefits to Staff’s recommended </w:t>
      </w:r>
      <w:r w:rsidR="00A34925" w:rsidRPr="007672DC">
        <w:t>rate design</w:t>
      </w:r>
      <w:r w:rsidR="00140E11" w:rsidRPr="007672DC">
        <w:t xml:space="preserve"> changes</w:t>
      </w:r>
      <w:r w:rsidRPr="007672DC">
        <w:t xml:space="preserve">: (1) </w:t>
      </w:r>
      <w:r w:rsidR="005D35AD" w:rsidRPr="007672DC">
        <w:t>greater economic efficiencies</w:t>
      </w:r>
      <w:r w:rsidRPr="007672DC">
        <w:t>; (2)</w:t>
      </w:r>
      <w:r w:rsidR="007672DC" w:rsidRPr="007672DC">
        <w:t xml:space="preserve"> </w:t>
      </w:r>
      <w:r w:rsidR="00496B50">
        <w:t xml:space="preserve">removes the problems associated with </w:t>
      </w:r>
      <w:r w:rsidR="007672DC" w:rsidRPr="007672DC">
        <w:lastRenderedPageBreak/>
        <w:t>the ongoing decreases in use per customer that challenges the Company’s ability to collect its authorized revenues</w:t>
      </w:r>
      <w:r w:rsidRPr="007672DC">
        <w:t>; and (3) pro</w:t>
      </w:r>
      <w:r w:rsidR="003D7C95" w:rsidRPr="007672DC">
        <w:t>mote</w:t>
      </w:r>
      <w:r w:rsidR="007672DC">
        <w:t>s</w:t>
      </w:r>
      <w:r w:rsidR="003D7C95" w:rsidRPr="007672DC">
        <w:t xml:space="preserve"> energy efficienc</w:t>
      </w:r>
      <w:r w:rsidR="00BC07BC">
        <w:t>y</w:t>
      </w:r>
      <w:r w:rsidRPr="007672DC">
        <w:t>.</w:t>
      </w:r>
    </w:p>
    <w:p w14:paraId="3C1DBD0E" w14:textId="77777777" w:rsidR="001011DB" w:rsidRPr="000143CA" w:rsidRDefault="001011DB" w:rsidP="001011DB">
      <w:pPr>
        <w:pStyle w:val="Answer-Testimony"/>
        <w:rPr>
          <w:color w:val="FF0000"/>
        </w:rPr>
      </w:pPr>
    </w:p>
    <w:p w14:paraId="3C1DBD0F" w14:textId="77777777" w:rsidR="001011DB" w:rsidRPr="001011DB" w:rsidRDefault="001011DB" w:rsidP="001011DB">
      <w:pPr>
        <w:pStyle w:val="Question-Testimony"/>
      </w:pPr>
      <w:r w:rsidRPr="001011DB">
        <w:t>Q.</w:t>
      </w:r>
      <w:r w:rsidRPr="001011DB">
        <w:tab/>
        <w:t xml:space="preserve">Please explain </w:t>
      </w:r>
      <w:r w:rsidR="00BC07BC">
        <w:t xml:space="preserve">why your proposal promotes </w:t>
      </w:r>
      <w:r w:rsidRPr="001011DB">
        <w:t>greater economic efficiencies.</w:t>
      </w:r>
    </w:p>
    <w:p w14:paraId="3C1DBD10" w14:textId="77777777" w:rsidR="007672DC" w:rsidRDefault="001011DB" w:rsidP="000F3834">
      <w:pPr>
        <w:pStyle w:val="Answer-Testimony"/>
      </w:pPr>
      <w:r w:rsidRPr="001011DB">
        <w:t>A.</w:t>
      </w:r>
      <w:r w:rsidRPr="001011DB">
        <w:tab/>
      </w:r>
      <w:r w:rsidR="003D7C95" w:rsidRPr="001011DB">
        <w:t>A</w:t>
      </w:r>
      <w:r w:rsidR="00880EEE" w:rsidRPr="001011DB">
        <w:t xml:space="preserve"> </w:t>
      </w:r>
      <w:r w:rsidR="00496B50">
        <w:t>significant</w:t>
      </w:r>
      <w:r w:rsidR="00496B50" w:rsidRPr="001011DB">
        <w:t xml:space="preserve"> </w:t>
      </w:r>
      <w:r w:rsidR="00880EEE" w:rsidRPr="001011DB">
        <w:t xml:space="preserve">portion of the cost of providing </w:t>
      </w:r>
      <w:r w:rsidR="003D7C95" w:rsidRPr="001011DB">
        <w:t xml:space="preserve">electric (or even natural gas) </w:t>
      </w:r>
      <w:r w:rsidR="00880EEE" w:rsidRPr="001011DB">
        <w:t xml:space="preserve">service </w:t>
      </w:r>
      <w:r w:rsidR="00BC07BC">
        <w:t>are</w:t>
      </w:r>
      <w:r w:rsidR="00880EEE" w:rsidRPr="001011DB">
        <w:t xml:space="preserve"> fixed</w:t>
      </w:r>
      <w:r w:rsidR="00BC07BC">
        <w:t xml:space="preserve"> costs</w:t>
      </w:r>
      <w:r w:rsidR="003D7C95" w:rsidRPr="001011DB">
        <w:t>, while rates</w:t>
      </w:r>
      <w:r w:rsidR="00880EEE" w:rsidRPr="001011DB">
        <w:t xml:space="preserve"> are charged </w:t>
      </w:r>
      <w:r w:rsidR="00BC07BC">
        <w:t xml:space="preserve">using </w:t>
      </w:r>
      <w:r w:rsidR="00880EEE" w:rsidRPr="001011DB">
        <w:t xml:space="preserve">a combination of fixed and variable charges.  </w:t>
      </w:r>
      <w:r w:rsidR="00496B50">
        <w:t>C</w:t>
      </w:r>
      <w:r w:rsidR="003D7C95" w:rsidRPr="001011DB">
        <w:t>orrecting the disproportionate recovery of fixed costs</w:t>
      </w:r>
      <w:r w:rsidR="00496B50">
        <w:t xml:space="preserve"> in volumetric rates</w:t>
      </w:r>
      <w:r w:rsidR="003D7C95" w:rsidRPr="001011DB">
        <w:t xml:space="preserve"> by placing </w:t>
      </w:r>
      <w:r w:rsidR="005D35AD" w:rsidRPr="001011DB">
        <w:t xml:space="preserve">more of those fixed </w:t>
      </w:r>
      <w:r w:rsidR="003D7C95" w:rsidRPr="001011DB">
        <w:t xml:space="preserve">costs into </w:t>
      </w:r>
      <w:r w:rsidR="005D35AD" w:rsidRPr="001011DB">
        <w:t>a monthly customer c</w:t>
      </w:r>
      <w:r w:rsidR="003D7C95" w:rsidRPr="001011DB">
        <w:t xml:space="preserve">harge decouples per-customer sales volumes from a utility’s </w:t>
      </w:r>
      <w:r w:rsidR="005D35AD" w:rsidRPr="001011DB">
        <w:t>revenue more efficien</w:t>
      </w:r>
      <w:r w:rsidR="00496B50">
        <w:t>tl</w:t>
      </w:r>
      <w:r w:rsidR="005D35AD" w:rsidRPr="001011DB">
        <w:t>y than a decoupling mechanism</w:t>
      </w:r>
      <w:r w:rsidR="00496B50">
        <w:t xml:space="preserve">. </w:t>
      </w:r>
      <w:r w:rsidR="002A0F45">
        <w:t xml:space="preserve"> </w:t>
      </w:r>
      <w:r w:rsidR="00496B50">
        <w:t xml:space="preserve">Staff’s proposal also </w:t>
      </w:r>
      <w:r w:rsidR="00A07F2C">
        <w:t xml:space="preserve">eliminates </w:t>
      </w:r>
      <w:r w:rsidR="00496B50">
        <w:t>the need to continuo</w:t>
      </w:r>
      <w:r w:rsidR="00E0725B">
        <w:t>u</w:t>
      </w:r>
      <w:r w:rsidR="000F3834">
        <w:t>sly</w:t>
      </w:r>
      <w:r w:rsidR="005D35AD" w:rsidRPr="001011DB">
        <w:t xml:space="preserve"> </w:t>
      </w:r>
      <w:r w:rsidRPr="001011DB">
        <w:t xml:space="preserve">true-up </w:t>
      </w:r>
      <w:r w:rsidR="00496B50">
        <w:t>a decoupling mechanism through accounting deferrals</w:t>
      </w:r>
      <w:r w:rsidRPr="001011DB">
        <w:t>.</w:t>
      </w:r>
    </w:p>
    <w:p w14:paraId="3C1DBD11" w14:textId="77777777" w:rsidR="00B777E8" w:rsidRPr="000F3834" w:rsidRDefault="00B777E8" w:rsidP="000F3834">
      <w:pPr>
        <w:pStyle w:val="Answer-Testimony"/>
      </w:pPr>
    </w:p>
    <w:p w14:paraId="3C1DBD12" w14:textId="77777777" w:rsidR="007672DC" w:rsidRPr="001011DB" w:rsidRDefault="007672DC" w:rsidP="007672DC">
      <w:pPr>
        <w:pStyle w:val="Question-Testimony"/>
      </w:pPr>
      <w:r w:rsidRPr="001011DB">
        <w:t>Q.</w:t>
      </w:r>
      <w:r w:rsidRPr="001011DB">
        <w:tab/>
        <w:t xml:space="preserve">Please explain </w:t>
      </w:r>
      <w:r w:rsidR="00E0725B">
        <w:t>why the straight-fixed variable rate design better enables the Company to collect appropriate levels of revenues</w:t>
      </w:r>
      <w:r w:rsidRPr="001011DB">
        <w:t>.</w:t>
      </w:r>
    </w:p>
    <w:p w14:paraId="3C1DBD13" w14:textId="77777777" w:rsidR="00880EEE" w:rsidRDefault="007672DC" w:rsidP="006376F2">
      <w:pPr>
        <w:pStyle w:val="Answer-Testimony"/>
      </w:pPr>
      <w:r w:rsidRPr="001011DB">
        <w:t>A.</w:t>
      </w:r>
      <w:r w:rsidRPr="001011DB">
        <w:tab/>
      </w:r>
      <w:r w:rsidR="00E0725B">
        <w:t xml:space="preserve">Straight-fixed variable rate design allows the utility to collect its </w:t>
      </w:r>
      <w:r w:rsidR="0059344A">
        <w:t>fixed cost</w:t>
      </w:r>
      <w:r w:rsidR="001130E8">
        <w:t>s</w:t>
      </w:r>
      <w:r w:rsidR="0059344A">
        <w:t xml:space="preserve"> through fixed charges, therefore leaving only variable charges set at margin to go up or down based on usage</w:t>
      </w:r>
      <w:r w:rsidR="00E0725B">
        <w:t xml:space="preserve">.  </w:t>
      </w:r>
    </w:p>
    <w:p w14:paraId="3C1DBD14" w14:textId="77777777" w:rsidR="007672DC" w:rsidRPr="000143CA" w:rsidRDefault="007672DC" w:rsidP="007672DC">
      <w:pPr>
        <w:pStyle w:val="Answer-Testimony"/>
        <w:rPr>
          <w:color w:val="FF0000"/>
        </w:rPr>
      </w:pPr>
    </w:p>
    <w:p w14:paraId="3C1DBD15" w14:textId="77777777" w:rsidR="00880EEE" w:rsidRPr="000F3834" w:rsidRDefault="007672DC" w:rsidP="000F3834">
      <w:pPr>
        <w:pStyle w:val="Question-Testimony"/>
      </w:pPr>
      <w:r w:rsidRPr="000F3834">
        <w:t>Q.</w:t>
      </w:r>
      <w:r w:rsidRPr="000F3834">
        <w:tab/>
      </w:r>
      <w:r w:rsidR="00A07F2C" w:rsidRPr="001011DB">
        <w:t xml:space="preserve">Please explain </w:t>
      </w:r>
      <w:r w:rsidR="00A07F2C">
        <w:t xml:space="preserve">why the straight-fixed variable rate design promotes </w:t>
      </w:r>
      <w:r w:rsidR="001130E8" w:rsidRPr="000F3834">
        <w:t>energy efficienc</w:t>
      </w:r>
      <w:r w:rsidR="00A07F2C">
        <w:t>y</w:t>
      </w:r>
      <w:r w:rsidR="00637123">
        <w:t>.</w:t>
      </w:r>
    </w:p>
    <w:p w14:paraId="3C1DBD16" w14:textId="77777777" w:rsidR="008A14BC" w:rsidRPr="000F3834" w:rsidRDefault="000F3834" w:rsidP="000F3834">
      <w:pPr>
        <w:pStyle w:val="Answer-Testimony"/>
      </w:pPr>
      <w:r w:rsidRPr="000F3834">
        <w:t>A.</w:t>
      </w:r>
      <w:r w:rsidRPr="000F3834">
        <w:tab/>
      </w:r>
      <w:r w:rsidR="00637123">
        <w:t>Staff</w:t>
      </w:r>
      <w:r w:rsidR="00A07F2C">
        <w:t xml:space="preserve">’s </w:t>
      </w:r>
      <w:r w:rsidRPr="000F3834">
        <w:t>straight</w:t>
      </w:r>
      <w:r>
        <w:t>-fixed variable rate design</w:t>
      </w:r>
      <w:r w:rsidR="007672DC" w:rsidRPr="000F3834">
        <w:t xml:space="preserve"> </w:t>
      </w:r>
      <w:r w:rsidR="00C81C2C">
        <w:t xml:space="preserve">provides the right price signals for efficient utility system use, and </w:t>
      </w:r>
      <w:r w:rsidR="007672DC" w:rsidRPr="000F3834">
        <w:t>will help remove</w:t>
      </w:r>
      <w:r w:rsidR="007672DC" w:rsidRPr="006376F2">
        <w:t xml:space="preserve"> the disincentive</w:t>
      </w:r>
      <w:r w:rsidR="00B777E8">
        <w:t xml:space="preserve"> </w:t>
      </w:r>
      <w:r w:rsidR="001130E8">
        <w:t>the Company</w:t>
      </w:r>
      <w:r w:rsidR="007672DC" w:rsidRPr="006376F2">
        <w:t xml:space="preserve"> has </w:t>
      </w:r>
      <w:r>
        <w:t>to</w:t>
      </w:r>
      <w:r w:rsidR="007672DC" w:rsidRPr="006376F2">
        <w:t xml:space="preserve"> actively promot</w:t>
      </w:r>
      <w:r w:rsidR="001130E8">
        <w:t>e</w:t>
      </w:r>
      <w:r w:rsidR="007672DC" w:rsidRPr="006376F2">
        <w:t xml:space="preserve"> energy efficiency and demand side management for extra-large and ultra-</w:t>
      </w:r>
      <w:r w:rsidR="007672DC" w:rsidRPr="006376F2">
        <w:lastRenderedPageBreak/>
        <w:t>large customers</w:t>
      </w:r>
      <w:r w:rsidR="00C81C2C">
        <w:t xml:space="preserve"> </w:t>
      </w:r>
      <w:r w:rsidR="006243C3">
        <w:t>because</w:t>
      </w:r>
      <w:r w:rsidR="00C81C2C">
        <w:t xml:space="preserve"> fixed costs are removed from the volumetric rates where reduction in loads has a sizable impact on earnings</w:t>
      </w:r>
      <w:r w:rsidR="00C81C2C" w:rsidRPr="00C81C2C">
        <w:t xml:space="preserve"> </w:t>
      </w:r>
      <w:r w:rsidR="00C81C2C">
        <w:t>erosion</w:t>
      </w:r>
      <w:r w:rsidR="007672DC" w:rsidRPr="006376F2">
        <w:t>.</w:t>
      </w:r>
    </w:p>
    <w:p w14:paraId="3C1DBD17" w14:textId="77777777" w:rsidR="001011DB" w:rsidRPr="000143CA" w:rsidRDefault="001011DB" w:rsidP="001011DB">
      <w:pPr>
        <w:pStyle w:val="Answer-Testimony"/>
        <w:rPr>
          <w:color w:val="FF0000"/>
        </w:rPr>
      </w:pPr>
    </w:p>
    <w:p w14:paraId="3C1DBD18" w14:textId="77777777" w:rsidR="001011DB" w:rsidRPr="000F3834" w:rsidRDefault="001011DB" w:rsidP="000F3834">
      <w:pPr>
        <w:pStyle w:val="Question-Testimony"/>
      </w:pPr>
      <w:r w:rsidRPr="000F3834">
        <w:t>Q.</w:t>
      </w:r>
      <w:r w:rsidRPr="000F3834">
        <w:tab/>
      </w:r>
      <w:r w:rsidR="00A07F2C">
        <w:t xml:space="preserve">Is </w:t>
      </w:r>
      <w:r w:rsidR="00E0725B" w:rsidRPr="000F3834">
        <w:t>a straight-fixed variable rate design</w:t>
      </w:r>
      <w:r w:rsidR="00A07F2C">
        <w:t xml:space="preserve"> appropriate for all rate schedules</w:t>
      </w:r>
      <w:r w:rsidR="00E0725B" w:rsidRPr="000F3834">
        <w:t>?</w:t>
      </w:r>
    </w:p>
    <w:p w14:paraId="3C1DBD19" w14:textId="77777777" w:rsidR="00E0725B" w:rsidRDefault="001011DB" w:rsidP="001011DB">
      <w:pPr>
        <w:pStyle w:val="Answer-Testimony"/>
      </w:pPr>
      <w:r w:rsidRPr="001011DB">
        <w:t>A.</w:t>
      </w:r>
      <w:r w:rsidRPr="001011DB">
        <w:tab/>
      </w:r>
      <w:r w:rsidR="00A07F2C">
        <w:t>No</w:t>
      </w:r>
      <w:r w:rsidR="00E0725B">
        <w:t xml:space="preserve">.  In his </w:t>
      </w:r>
      <w:r w:rsidR="000F3834">
        <w:t>research and policy paper</w:t>
      </w:r>
      <w:r w:rsidR="00E0725B">
        <w:t xml:space="preserve">, Mr. </w:t>
      </w:r>
      <w:proofErr w:type="spellStart"/>
      <w:r w:rsidR="00E0725B">
        <w:t>Boonin</w:t>
      </w:r>
      <w:proofErr w:type="spellEnd"/>
      <w:r w:rsidR="00E0725B">
        <w:t xml:space="preserve"> identifies the </w:t>
      </w:r>
      <w:r w:rsidR="001130E8">
        <w:t xml:space="preserve">arguments </w:t>
      </w:r>
      <w:r w:rsidR="00A07F2C">
        <w:t xml:space="preserve">against this rate design, as </w:t>
      </w:r>
      <w:r>
        <w:t>“moving revenue from the variable component of a standard two-part tariff to the fixed charge can reduce a customer’s economic incentive to conserve”</w:t>
      </w:r>
      <w:r>
        <w:rPr>
          <w:rStyle w:val="FootnoteReference"/>
        </w:rPr>
        <w:footnoteReference w:id="40"/>
      </w:r>
      <w:r>
        <w:t xml:space="preserve"> </w:t>
      </w:r>
      <w:r w:rsidR="00E0725B">
        <w:t>and</w:t>
      </w:r>
      <w:r>
        <w:t xml:space="preserve"> “moving revenue from the variable component of a standard two-part tariff to the fixed charge adversely affects small users within a cl</w:t>
      </w:r>
      <w:r w:rsidR="000F3834">
        <w:t>as</w:t>
      </w:r>
      <w:r>
        <w:t>s, including possibly low-income customers.”</w:t>
      </w:r>
      <w:r>
        <w:rPr>
          <w:rStyle w:val="FootnoteReference"/>
        </w:rPr>
        <w:footnoteReference w:id="41"/>
      </w:r>
      <w:r>
        <w:t xml:space="preserve">  </w:t>
      </w:r>
    </w:p>
    <w:p w14:paraId="3C1DBD1A" w14:textId="77777777" w:rsidR="001011DB" w:rsidRPr="00DA48BC" w:rsidRDefault="00E0725B" w:rsidP="001011DB">
      <w:pPr>
        <w:pStyle w:val="Answer-Testimony"/>
      </w:pPr>
      <w:r>
        <w:tab/>
      </w:r>
      <w:r>
        <w:tab/>
      </w:r>
      <w:r w:rsidR="00A07F2C">
        <w:t>T</w:t>
      </w:r>
      <w:r w:rsidR="001130E8">
        <w:t xml:space="preserve">hese arguments </w:t>
      </w:r>
      <w:r w:rsidR="00A07F2C">
        <w:t xml:space="preserve">may apply to rate schedules with smaller usage, but these concerns do </w:t>
      </w:r>
      <w:r w:rsidR="001130E8">
        <w:t>not apply to Avista’s Schedule 25 and 26 customers</w:t>
      </w:r>
      <w:r>
        <w:t>, because</w:t>
      </w:r>
      <w:r w:rsidR="00B777E8">
        <w:t xml:space="preserve"> of the</w:t>
      </w:r>
      <w:r>
        <w:t xml:space="preserve"> </w:t>
      </w:r>
      <w:r w:rsidR="00B777E8" w:rsidRPr="009F6B2A">
        <w:t>large and unique usage characteristics</w:t>
      </w:r>
      <w:r w:rsidR="00B777E8">
        <w:t xml:space="preserve"> that I discussed earlier</w:t>
      </w:r>
      <w:r w:rsidR="00A97162">
        <w:t>.</w:t>
      </w:r>
      <w:r w:rsidR="006243C3" w:rsidRPr="006243C3">
        <w:t xml:space="preserve"> </w:t>
      </w:r>
      <w:r w:rsidR="006243C3">
        <w:t xml:space="preserve"> Moreover</w:t>
      </w:r>
      <w:r w:rsidR="006C675C">
        <w:t>, there are no “small” users or even low-income customer</w:t>
      </w:r>
      <w:r w:rsidR="001130E8">
        <w:t>s</w:t>
      </w:r>
      <w:r w:rsidR="006C675C">
        <w:t xml:space="preserve"> on the extra-large and ultra-large customer schedules for which Staff is recommending this type of rate design treatment be applied.</w:t>
      </w:r>
    </w:p>
    <w:p w14:paraId="3C1DBD1B" w14:textId="77777777" w:rsidR="001011DB" w:rsidRPr="006243C3" w:rsidRDefault="006243C3" w:rsidP="006243C3">
      <w:pPr>
        <w:pStyle w:val="Answer-Testimony"/>
        <w:ind w:firstLine="720"/>
      </w:pPr>
      <w:r>
        <w:t>Finally</w:t>
      </w:r>
      <w:r w:rsidR="00A07F2C">
        <w:t xml:space="preserve">, </w:t>
      </w:r>
      <w:r w:rsidR="006C675C">
        <w:t xml:space="preserve">Staff still sees an economic incentive to conserve through the demand volumetric rates, which </w:t>
      </w:r>
      <w:r w:rsidR="00A97162">
        <w:t>are</w:t>
      </w:r>
      <w:r w:rsidR="006C675C">
        <w:t xml:space="preserve"> more expensive and th</w:t>
      </w:r>
      <w:r w:rsidR="00E0725B">
        <w:t>us</w:t>
      </w:r>
      <w:r w:rsidR="006C675C">
        <w:t xml:space="preserve"> </w:t>
      </w:r>
      <w:r w:rsidR="00A07F2C">
        <w:t xml:space="preserve">a </w:t>
      </w:r>
      <w:r w:rsidR="001130E8">
        <w:t xml:space="preserve">more useful </w:t>
      </w:r>
      <w:r w:rsidR="00A07F2C">
        <w:t xml:space="preserve">and direct </w:t>
      </w:r>
      <w:r w:rsidR="001130E8">
        <w:t>target for energy conservation</w:t>
      </w:r>
      <w:r w:rsidR="006C675C">
        <w:t>.</w:t>
      </w:r>
    </w:p>
    <w:p w14:paraId="3C1DBD1C" w14:textId="77777777" w:rsidR="001011DB" w:rsidRPr="000143CA" w:rsidRDefault="001011DB" w:rsidP="008A14BC">
      <w:pPr>
        <w:pStyle w:val="Answer-Testimony"/>
        <w:rPr>
          <w:color w:val="FF0000"/>
        </w:rPr>
      </w:pPr>
    </w:p>
    <w:p w14:paraId="3C1DBD1D" w14:textId="77777777" w:rsidR="008A14BC" w:rsidRPr="006376F2" w:rsidRDefault="006376F2" w:rsidP="008A14BC">
      <w:pPr>
        <w:pStyle w:val="Question-Testimony"/>
      </w:pPr>
      <w:r w:rsidRPr="006376F2">
        <w:t>Q.</w:t>
      </w:r>
      <w:r w:rsidRPr="006376F2">
        <w:tab/>
      </w:r>
      <w:r w:rsidR="00E0725B">
        <w:t>Are there other items the Commission should consider before accepting the straight-fixed variable rate design Staff proposes?</w:t>
      </w:r>
    </w:p>
    <w:p w14:paraId="3C1DBD1E" w14:textId="77777777" w:rsidR="006376F2" w:rsidRDefault="008A14BC" w:rsidP="008560C2">
      <w:pPr>
        <w:pStyle w:val="Answer-Testimony"/>
      </w:pPr>
      <w:r w:rsidRPr="006376F2">
        <w:lastRenderedPageBreak/>
        <w:t>A.</w:t>
      </w:r>
      <w:r w:rsidRPr="006376F2">
        <w:tab/>
      </w:r>
      <w:r w:rsidR="006376F2" w:rsidRPr="006376F2">
        <w:t>Yes</w:t>
      </w:r>
      <w:r w:rsidR="001130E8">
        <w:t xml:space="preserve">. </w:t>
      </w:r>
      <w:r w:rsidR="006376F2" w:rsidRPr="006376F2">
        <w:t xml:space="preserve"> </w:t>
      </w:r>
      <w:r w:rsidR="00E0725B">
        <w:t xml:space="preserve">This is the first time </w:t>
      </w:r>
      <w:r w:rsidR="006376F2" w:rsidRPr="006376F2">
        <w:t>Staff</w:t>
      </w:r>
      <w:r w:rsidR="00E0725B">
        <w:t xml:space="preserve"> has proposed a</w:t>
      </w:r>
      <w:r w:rsidR="008560C2">
        <w:t xml:space="preserve"> </w:t>
      </w:r>
      <w:r w:rsidR="00E0725B">
        <w:t>straight-fixed variable rate design</w:t>
      </w:r>
      <w:r w:rsidR="008560C2">
        <w:t>; however, a similar approach was applied in PSE’s</w:t>
      </w:r>
      <w:r w:rsidR="00274488">
        <w:t xml:space="preserve"> natural gas</w:t>
      </w:r>
      <w:r w:rsidR="008560C2">
        <w:t xml:space="preserve"> decoupling docket, </w:t>
      </w:r>
      <w:proofErr w:type="spellStart"/>
      <w:r w:rsidR="008560C2">
        <w:t>UG</w:t>
      </w:r>
      <w:proofErr w:type="spellEnd"/>
      <w:r w:rsidR="008560C2">
        <w:t>-121705</w:t>
      </w:r>
      <w:r w:rsidR="00E0725B">
        <w:t>.  If the Commission accepts Staff’s proposal, the Commission can expect other utilities to propose this rate design for large users, a</w:t>
      </w:r>
      <w:r w:rsidR="008A5B1A">
        <w:t>nd perhaps</w:t>
      </w:r>
      <w:r w:rsidR="00E0725B">
        <w:t xml:space="preserve"> others.</w:t>
      </w:r>
    </w:p>
    <w:p w14:paraId="3C1DBD1F" w14:textId="77777777" w:rsidR="00AE0081" w:rsidRDefault="00AE0081" w:rsidP="008560C2">
      <w:pPr>
        <w:pStyle w:val="Answer-Testimony"/>
      </w:pPr>
      <w:r>
        <w:tab/>
      </w:r>
      <w:r>
        <w:tab/>
        <w:t>In addition, Staff removed and imbedded the primary voltage discount rate for 60 kilovolt and 115 kilovolt</w:t>
      </w:r>
      <w:r w:rsidR="008A5B1A">
        <w:t xml:space="preserve"> because</w:t>
      </w:r>
      <w:r>
        <w:t xml:space="preserve"> it only applied to Customer 9, which </w:t>
      </w:r>
      <w:r w:rsidR="008A5B1A">
        <w:t>now</w:t>
      </w:r>
      <w:r>
        <w:t xml:space="preserve"> has its own newly created Schedule 26</w:t>
      </w:r>
      <w:r w:rsidR="008A5B1A">
        <w:t>, according to Staff’s proposal</w:t>
      </w:r>
      <w:r>
        <w:t>.</w:t>
      </w:r>
    </w:p>
    <w:p w14:paraId="3C1DBD20" w14:textId="77777777" w:rsidR="0069535A" w:rsidRPr="000143CA" w:rsidRDefault="0069535A" w:rsidP="0069535A">
      <w:pPr>
        <w:pStyle w:val="Answer-Testimony"/>
        <w:ind w:left="0" w:firstLine="0"/>
        <w:rPr>
          <w:color w:val="FF0000"/>
        </w:rPr>
      </w:pPr>
    </w:p>
    <w:p w14:paraId="3C1DBD21" w14:textId="77777777" w:rsidR="0069535A" w:rsidRPr="007E50F7" w:rsidRDefault="00600E8B" w:rsidP="00A07F2C">
      <w:pPr>
        <w:pStyle w:val="Heading3"/>
      </w:pPr>
      <w:bookmarkStart w:id="36" w:name="_Toc391992046"/>
      <w:bookmarkStart w:id="37" w:name="_Toc393696929"/>
      <w:r>
        <w:t>Other Recommendations</w:t>
      </w:r>
      <w:bookmarkEnd w:id="36"/>
      <w:bookmarkEnd w:id="37"/>
    </w:p>
    <w:p w14:paraId="3C1DBD22" w14:textId="77777777" w:rsidR="005A744D" w:rsidRPr="007E50F7" w:rsidRDefault="005A744D" w:rsidP="005A744D">
      <w:pPr>
        <w:pStyle w:val="Answer-Testimony"/>
        <w:ind w:left="0" w:firstLine="0"/>
      </w:pPr>
    </w:p>
    <w:p w14:paraId="3C1DBD23" w14:textId="77777777" w:rsidR="005A744D" w:rsidRPr="007E50F7" w:rsidRDefault="005A744D" w:rsidP="005A744D">
      <w:pPr>
        <w:pStyle w:val="Question-Testimony"/>
      </w:pPr>
      <w:r w:rsidRPr="007E50F7">
        <w:t>Q.</w:t>
      </w:r>
      <w:r w:rsidRPr="007E50F7">
        <w:tab/>
        <w:t>Does Staff have any other recommendations regarding electric rate design?</w:t>
      </w:r>
    </w:p>
    <w:p w14:paraId="3C1DBD24" w14:textId="77777777" w:rsidR="005A744D" w:rsidRDefault="005A744D" w:rsidP="005A744D">
      <w:pPr>
        <w:pStyle w:val="Answer-Testimony"/>
      </w:pPr>
      <w:r w:rsidRPr="007E50F7">
        <w:t>A.</w:t>
      </w:r>
      <w:r w:rsidRPr="007E50F7">
        <w:tab/>
        <w:t>Yes.  Staff recommends the Commission direct the Company to examine in its next general rate case filing</w:t>
      </w:r>
      <w:r w:rsidR="004F6C4F">
        <w:t>: (1)</w:t>
      </w:r>
      <w:r w:rsidRPr="007E50F7">
        <w:t xml:space="preserve"> its volumetric blocks in Schedule’s 11, 12, 21,</w:t>
      </w:r>
      <w:r>
        <w:t xml:space="preserve"> and</w:t>
      </w:r>
      <w:r w:rsidRPr="007E50F7">
        <w:t xml:space="preserve"> 22 </w:t>
      </w:r>
      <w:r>
        <w:t xml:space="preserve">to </w:t>
      </w:r>
      <w:r w:rsidRPr="007E50F7">
        <w:t>demonstrate whether or not those rate blocks are valid and convey the appropriate price signals</w:t>
      </w:r>
      <w:r w:rsidR="004F6C4F">
        <w:t xml:space="preserve">; (2) </w:t>
      </w:r>
      <w:r w:rsidR="004F6C4F" w:rsidRPr="007E50F7">
        <w:t xml:space="preserve">to study </w:t>
      </w:r>
      <w:r w:rsidR="004F6C4F">
        <w:t xml:space="preserve">all ancillary charges, plus line extension costs, </w:t>
      </w:r>
      <w:r w:rsidR="004F6C4F" w:rsidRPr="007E50F7">
        <w:t>and require the Company to demonstrate</w:t>
      </w:r>
      <w:r w:rsidR="004F6C4F">
        <w:t xml:space="preserve"> for both electric and natural gas services</w:t>
      </w:r>
      <w:r w:rsidR="004F6C4F" w:rsidRPr="007E50F7">
        <w:t xml:space="preserve"> that each </w:t>
      </w:r>
      <w:r w:rsidR="004F6C4F">
        <w:t xml:space="preserve">ancillary charge and line extension cost </w:t>
      </w:r>
      <w:r w:rsidR="004F6C4F" w:rsidRPr="007E50F7">
        <w:t>is recovering the costs they impose on the system</w:t>
      </w:r>
      <w:r w:rsidR="004F6C4F">
        <w:t xml:space="preserve">; (3) </w:t>
      </w:r>
      <w:r w:rsidR="004F6C4F" w:rsidRPr="00546277">
        <w:t xml:space="preserve">examine its </w:t>
      </w:r>
      <w:r w:rsidR="00AE0081">
        <w:t>less than 11 kilovolt primary voltage discount rate</w:t>
      </w:r>
      <w:r w:rsidR="004F6C4F" w:rsidRPr="00546277">
        <w:t xml:space="preserve"> to demonstrate whether th</w:t>
      </w:r>
      <w:r w:rsidR="00AE0081">
        <w:t>at</w:t>
      </w:r>
      <w:r w:rsidR="004F6C4F" w:rsidRPr="00546277">
        <w:t xml:space="preserve"> </w:t>
      </w:r>
      <w:r w:rsidR="004F6C4F">
        <w:t>rate</w:t>
      </w:r>
      <w:r w:rsidR="00AE0081">
        <w:t xml:space="preserve"> is</w:t>
      </w:r>
      <w:r w:rsidR="004F6C4F">
        <w:t xml:space="preserve"> valid and appropriate; and (4) </w:t>
      </w:r>
      <w:r w:rsidR="004F6C4F" w:rsidRPr="007E50F7">
        <w:t>to study</w:t>
      </w:r>
      <w:r w:rsidR="004F6C4F">
        <w:t>,</w:t>
      </w:r>
      <w:r w:rsidR="004F6C4F" w:rsidRPr="007E50F7">
        <w:t xml:space="preserve"> </w:t>
      </w:r>
      <w:r w:rsidR="004F6C4F">
        <w:t xml:space="preserve">and possibly </w:t>
      </w:r>
      <w:r w:rsidR="004F6C4F" w:rsidRPr="00600E8B">
        <w:t>create</w:t>
      </w:r>
      <w:r w:rsidR="004F6C4F">
        <w:t xml:space="preserve"> and implement</w:t>
      </w:r>
      <w:r w:rsidR="004F6C4F" w:rsidRPr="00600E8B">
        <w:t xml:space="preserve"> a tariff to provide incentives or credits for </w:t>
      </w:r>
      <w:r w:rsidR="00E0725B">
        <w:t xml:space="preserve">commercial customers </w:t>
      </w:r>
      <w:r w:rsidR="004F6C4F" w:rsidRPr="00600E8B">
        <w:t>that shift power use to periods of low demand</w:t>
      </w:r>
      <w:r w:rsidR="004F6C4F">
        <w:t xml:space="preserve"> (and keep it there)</w:t>
      </w:r>
      <w:r w:rsidR="004F6C4F" w:rsidRPr="00600E8B">
        <w:t>, which improves the system load factor and lowers the overall cost of the system</w:t>
      </w:r>
      <w:r w:rsidRPr="007E50F7">
        <w:t>.</w:t>
      </w:r>
    </w:p>
    <w:p w14:paraId="3C1DBD25" w14:textId="77777777" w:rsidR="005A744D" w:rsidRPr="007E50F7" w:rsidRDefault="005A744D" w:rsidP="008966A8">
      <w:pPr>
        <w:pStyle w:val="Answer-Testimony"/>
      </w:pPr>
    </w:p>
    <w:p w14:paraId="3C1DBD26" w14:textId="77777777" w:rsidR="008A14BC" w:rsidRPr="007E50F7" w:rsidRDefault="008A14BC" w:rsidP="008A14BC">
      <w:pPr>
        <w:pStyle w:val="Question-Testimony"/>
      </w:pPr>
      <w:r w:rsidRPr="007E50F7">
        <w:lastRenderedPageBreak/>
        <w:t>Q.</w:t>
      </w:r>
      <w:r w:rsidRPr="007E50F7">
        <w:tab/>
        <w:t xml:space="preserve">What is the basis for </w:t>
      </w:r>
      <w:r w:rsidR="00E0725B">
        <w:t xml:space="preserve">your recommendation to study </w:t>
      </w:r>
      <w:r w:rsidRPr="007E50F7">
        <w:t>th</w:t>
      </w:r>
      <w:r w:rsidR="004F6C4F">
        <w:t>e non-residential volumetric block</w:t>
      </w:r>
      <w:r w:rsidR="00E0725B">
        <w:t>s</w:t>
      </w:r>
      <w:r w:rsidRPr="007E50F7">
        <w:t>?</w:t>
      </w:r>
    </w:p>
    <w:p w14:paraId="3C1DBD27" w14:textId="77777777" w:rsidR="00C942EA" w:rsidRDefault="008A14BC" w:rsidP="00C942EA">
      <w:pPr>
        <w:pStyle w:val="Answer-Testimony"/>
      </w:pPr>
      <w:r w:rsidRPr="007E50F7">
        <w:t>A.</w:t>
      </w:r>
      <w:r w:rsidRPr="007E50F7">
        <w:tab/>
      </w:r>
      <w:r w:rsidR="00C942EA" w:rsidRPr="007E50F7">
        <w:t xml:space="preserve">When the majority of the customers in a rate schedule fall either above or below the first block, it is conceivable </w:t>
      </w:r>
      <w:r w:rsidR="00C942EA">
        <w:t xml:space="preserve">the current rate design is not reflecting </w:t>
      </w:r>
      <w:r w:rsidR="00C942EA" w:rsidRPr="007E50F7">
        <w:t>the appropriate price signals.</w:t>
      </w:r>
      <w:r w:rsidR="00C942EA">
        <w:t xml:space="preserve">  </w:t>
      </w:r>
      <w:r w:rsidRPr="007E50F7">
        <w:t xml:space="preserve">The Company’s data </w:t>
      </w:r>
      <w:r w:rsidR="00C942EA">
        <w:t xml:space="preserve">show that for Schedules 11 &amp; 12 and 21 and 22, a majority of customers have usage only in the first block.  </w:t>
      </w:r>
    </w:p>
    <w:p w14:paraId="3C1DBD28" w14:textId="77777777" w:rsidR="00AF1145" w:rsidRPr="007E50F7" w:rsidRDefault="00C942EA" w:rsidP="00C942EA">
      <w:pPr>
        <w:pStyle w:val="Answer-Testimony"/>
      </w:pPr>
      <w:r>
        <w:tab/>
      </w:r>
      <w:r>
        <w:tab/>
      </w:r>
      <w:r w:rsidRPr="007E50F7" w:rsidDel="00C942EA">
        <w:t xml:space="preserve"> </w:t>
      </w:r>
      <w:r>
        <w:t>In particular, f</w:t>
      </w:r>
      <w:r w:rsidR="00183A08" w:rsidRPr="007E50F7">
        <w:t xml:space="preserve">or Schedule’s 11 and 12, </w:t>
      </w:r>
      <w:r w:rsidR="008A14BC" w:rsidRPr="007E50F7">
        <w:t>at least</w:t>
      </w:r>
      <w:r w:rsidR="00A74B15">
        <w:t xml:space="preserve"> 86.1</w:t>
      </w:r>
      <w:r w:rsidR="008A14BC" w:rsidRPr="00600E8B">
        <w:rPr>
          <w:color w:val="FF0000"/>
        </w:rPr>
        <w:t xml:space="preserve"> </w:t>
      </w:r>
      <w:r w:rsidR="008A14BC" w:rsidRPr="007E50F7">
        <w:t>percent of all billing determina</w:t>
      </w:r>
      <w:r w:rsidR="00E0725B">
        <w:t>n</w:t>
      </w:r>
      <w:r w:rsidR="008A14BC" w:rsidRPr="007E50F7">
        <w:t>ts with volume</w:t>
      </w:r>
      <w:r>
        <w:t>s</w:t>
      </w:r>
      <w:r w:rsidR="008A14BC" w:rsidRPr="007E50F7">
        <w:t xml:space="preserve"> of 3,500 kWh or less are below the first block of 3,650 kWh;</w:t>
      </w:r>
      <w:r w:rsidR="001069E0">
        <w:t xml:space="preserve"> and</w:t>
      </w:r>
      <w:r w:rsidR="008A14BC" w:rsidRPr="007E50F7">
        <w:t xml:space="preserve"> </w:t>
      </w:r>
      <w:r w:rsidR="00A97162">
        <w:t>f</w:t>
      </w:r>
      <w:r w:rsidR="00183A08" w:rsidRPr="007E50F7">
        <w:t xml:space="preserve">or Schedule’s 21 and 22, </w:t>
      </w:r>
      <w:r w:rsidR="008A14BC" w:rsidRPr="007E50F7">
        <w:t xml:space="preserve">at least </w:t>
      </w:r>
      <w:r w:rsidR="00A74B15">
        <w:t>59.4</w:t>
      </w:r>
      <w:r w:rsidR="008A14BC" w:rsidRPr="00600E8B">
        <w:rPr>
          <w:color w:val="FF0000"/>
        </w:rPr>
        <w:t xml:space="preserve"> </w:t>
      </w:r>
      <w:r w:rsidR="008A14BC" w:rsidRPr="007E50F7">
        <w:t>percent of all billing determina</w:t>
      </w:r>
      <w:r>
        <w:t>n</w:t>
      </w:r>
      <w:r w:rsidR="008A14BC" w:rsidRPr="007E50F7">
        <w:t>ts with volume</w:t>
      </w:r>
      <w:r w:rsidR="00AF1145" w:rsidRPr="007E50F7">
        <w:t>s</w:t>
      </w:r>
      <w:r w:rsidR="008A14BC" w:rsidRPr="007E50F7">
        <w:t xml:space="preserve"> of 35,000 kWh or less are below the first block of 250,000 kWh.</w:t>
      </w:r>
      <w:r w:rsidR="001069E0" w:rsidRPr="007E50F7">
        <w:rPr>
          <w:rStyle w:val="FootnoteReference"/>
        </w:rPr>
        <w:footnoteReference w:id="42"/>
      </w:r>
    </w:p>
    <w:p w14:paraId="3C1DBD29" w14:textId="77777777" w:rsidR="007544B8" w:rsidRPr="007E50F7" w:rsidRDefault="007544B8" w:rsidP="007544B8">
      <w:pPr>
        <w:pStyle w:val="Answer-Testimony"/>
      </w:pPr>
    </w:p>
    <w:p w14:paraId="3C1DBD2A" w14:textId="77777777" w:rsidR="007544B8" w:rsidRPr="007E50F7" w:rsidRDefault="007544B8" w:rsidP="007544B8">
      <w:pPr>
        <w:pStyle w:val="Question-Testimony"/>
      </w:pPr>
      <w:r w:rsidRPr="007E50F7">
        <w:t>Q.</w:t>
      </w:r>
      <w:r w:rsidRPr="007E50F7">
        <w:tab/>
        <w:t xml:space="preserve">What is the basis for </w:t>
      </w:r>
      <w:r w:rsidR="00C942EA">
        <w:t xml:space="preserve">Staff’s </w:t>
      </w:r>
      <w:r w:rsidR="004F6C4F">
        <w:t xml:space="preserve">ancillary charge </w:t>
      </w:r>
      <w:r w:rsidRPr="007E50F7">
        <w:t>recommendation</w:t>
      </w:r>
      <w:r w:rsidR="004F6C4F">
        <w:t>s</w:t>
      </w:r>
      <w:r w:rsidRPr="007E50F7">
        <w:t>?</w:t>
      </w:r>
    </w:p>
    <w:p w14:paraId="3C1DBD2B" w14:textId="77777777" w:rsidR="007544B8" w:rsidRDefault="007544B8" w:rsidP="007544B8">
      <w:pPr>
        <w:pStyle w:val="Answer-Testimony"/>
      </w:pPr>
      <w:r w:rsidRPr="007E50F7">
        <w:t>A.</w:t>
      </w:r>
      <w:r w:rsidRPr="007E50F7">
        <w:tab/>
        <w:t xml:space="preserve">The </w:t>
      </w:r>
      <w:r w:rsidRPr="007544B8">
        <w:t xml:space="preserve">Company’s response to Staff Data Request No. 148 stated, in part, “[t]he Company last filed to adjust its reconnection charge… in 2001 (Docket UE-011595).  As stated in the Settlement Stipulation approved in that docket…shall remain as approved in the Company’s last rate case, UE-991606.”  </w:t>
      </w:r>
      <w:r w:rsidR="008A5B1A">
        <w:t>B</w:t>
      </w:r>
      <w:r w:rsidR="001F57BB">
        <w:t>ecause</w:t>
      </w:r>
      <w:r w:rsidR="003D57F0">
        <w:t xml:space="preserve"> </w:t>
      </w:r>
      <w:r w:rsidRPr="007544B8">
        <w:t>these charges have not change</w:t>
      </w:r>
      <w:r w:rsidR="00C942EA">
        <w:t>d</w:t>
      </w:r>
      <w:r w:rsidRPr="007544B8">
        <w:t xml:space="preserve"> for over 15 years, inflation alone </w:t>
      </w:r>
      <w:r w:rsidR="008A5B1A">
        <w:t>eroded</w:t>
      </w:r>
      <w:r w:rsidR="001F57BB">
        <w:t xml:space="preserve"> these rates</w:t>
      </w:r>
      <w:r w:rsidR="003D57F0">
        <w:t>’</w:t>
      </w:r>
      <w:r w:rsidR="001F57BB">
        <w:t xml:space="preserve"> </w:t>
      </w:r>
      <w:r w:rsidR="008A5B1A">
        <w:t>ability to</w:t>
      </w:r>
      <w:r w:rsidR="001F57BB">
        <w:t xml:space="preserve"> cover their related costs, thus requiring other customers to subsidize these ancillary services.</w:t>
      </w:r>
    </w:p>
    <w:p w14:paraId="3C1DBD2C" w14:textId="77777777" w:rsidR="00C942EA" w:rsidRDefault="00C942EA" w:rsidP="007544B8">
      <w:pPr>
        <w:pStyle w:val="Answer-Testimony"/>
      </w:pPr>
      <w:r>
        <w:tab/>
      </w:r>
      <w:r>
        <w:tab/>
        <w:t>The Company needs to analyze the propriety of these charges.</w:t>
      </w:r>
    </w:p>
    <w:p w14:paraId="3C1DBD2D" w14:textId="77777777" w:rsidR="00546277" w:rsidRPr="00546277" w:rsidRDefault="00546277" w:rsidP="00546277">
      <w:pPr>
        <w:pStyle w:val="Answer-Testimony"/>
      </w:pPr>
    </w:p>
    <w:p w14:paraId="3C1DBD2E" w14:textId="77777777" w:rsidR="00546277" w:rsidRPr="00546277" w:rsidRDefault="00546277" w:rsidP="00A670D4">
      <w:pPr>
        <w:pStyle w:val="Question-Testimony"/>
        <w:keepNext/>
      </w:pPr>
      <w:r w:rsidRPr="00546277">
        <w:lastRenderedPageBreak/>
        <w:t>Q.</w:t>
      </w:r>
      <w:r w:rsidRPr="00546277">
        <w:tab/>
        <w:t xml:space="preserve">What is the basis </w:t>
      </w:r>
      <w:r w:rsidR="00C942EA">
        <w:t>Staff’s</w:t>
      </w:r>
      <w:r w:rsidRPr="00546277">
        <w:t xml:space="preserve"> </w:t>
      </w:r>
      <w:r w:rsidR="004F6C4F">
        <w:t xml:space="preserve">primary voltage discount rate </w:t>
      </w:r>
      <w:r w:rsidRPr="00546277">
        <w:t>recommendation?</w:t>
      </w:r>
    </w:p>
    <w:p w14:paraId="3C1DBD2F" w14:textId="77777777" w:rsidR="00546277" w:rsidRPr="00A2061F" w:rsidRDefault="00546277" w:rsidP="00546277">
      <w:pPr>
        <w:pStyle w:val="Answer-Testimony"/>
      </w:pPr>
      <w:r w:rsidRPr="00546277">
        <w:t>A.</w:t>
      </w:r>
      <w:r w:rsidRPr="00546277">
        <w:tab/>
      </w:r>
      <w:r w:rsidR="00C942EA">
        <w:t>Similar to ancillary charges, i</w:t>
      </w:r>
      <w:r w:rsidR="00A2061F">
        <w:t xml:space="preserve">t </w:t>
      </w:r>
      <w:r w:rsidR="00A2061F" w:rsidRPr="00AE0081">
        <w:t xml:space="preserve">has been over </w:t>
      </w:r>
      <w:r w:rsidR="00515A3E" w:rsidRPr="00AE0081">
        <w:t>15</w:t>
      </w:r>
      <w:r w:rsidR="00A2061F" w:rsidRPr="00AE0081">
        <w:t xml:space="preserve"> years since t</w:t>
      </w:r>
      <w:r w:rsidRPr="00AE0081">
        <w:t>he</w:t>
      </w:r>
      <w:r w:rsidRPr="00A2061F">
        <w:t xml:space="preserve"> Company</w:t>
      </w:r>
      <w:r w:rsidR="00A2061F" w:rsidRPr="00A2061F">
        <w:t xml:space="preserve"> </w:t>
      </w:r>
      <w:r w:rsidR="00C942EA">
        <w:t>h</w:t>
      </w:r>
      <w:r w:rsidR="00A2061F" w:rsidRPr="00A2061F">
        <w:t>as reviewed the primary voltage discount rate.</w:t>
      </w:r>
      <w:r w:rsidR="00754D50" w:rsidRPr="00A2061F">
        <w:rPr>
          <w:rStyle w:val="FootnoteReference"/>
        </w:rPr>
        <w:footnoteReference w:id="43"/>
      </w:r>
      <w:r w:rsidR="00A2061F">
        <w:t xml:space="preserve">  That is to</w:t>
      </w:r>
      <w:r w:rsidR="00455E29">
        <w:t>o</w:t>
      </w:r>
      <w:r w:rsidR="00A2061F">
        <w:t xml:space="preserve"> long</w:t>
      </w:r>
      <w:r w:rsidR="008A5B1A">
        <w:t>.  The Company should</w:t>
      </w:r>
      <w:r w:rsidR="00455E29">
        <w:t xml:space="preserve"> conduct an analysis </w:t>
      </w:r>
      <w:r w:rsidR="00A2061F">
        <w:t>to make sure th</w:t>
      </w:r>
      <w:r w:rsidR="00455E29">
        <w:t>ose discount rates</w:t>
      </w:r>
      <w:r w:rsidR="00A2061F">
        <w:t xml:space="preserve"> are still being applied appropriately and provide the correct incentives.</w:t>
      </w:r>
    </w:p>
    <w:p w14:paraId="3C1DBD30" w14:textId="77777777" w:rsidR="004F6C4F" w:rsidRPr="007E50F7" w:rsidRDefault="004F6C4F" w:rsidP="004F6C4F">
      <w:pPr>
        <w:pStyle w:val="Answer-Testimony"/>
      </w:pPr>
    </w:p>
    <w:p w14:paraId="3C1DBD31" w14:textId="77777777" w:rsidR="004F6C4F" w:rsidRPr="007E50F7" w:rsidRDefault="004F6C4F" w:rsidP="004F6C4F">
      <w:pPr>
        <w:pStyle w:val="Question-Testimony"/>
      </w:pPr>
      <w:r w:rsidRPr="007E50F7">
        <w:t>Q.</w:t>
      </w:r>
      <w:r w:rsidRPr="007E50F7">
        <w:tab/>
        <w:t xml:space="preserve">What is the basis for </w:t>
      </w:r>
      <w:r w:rsidR="00C942EA">
        <w:t>Staff’s</w:t>
      </w:r>
      <w:r>
        <w:t xml:space="preserve"> load shifting tariff </w:t>
      </w:r>
      <w:r w:rsidRPr="007E50F7">
        <w:t>recommendation?</w:t>
      </w:r>
    </w:p>
    <w:p w14:paraId="3C1DBD32" w14:textId="77777777" w:rsidR="00546277" w:rsidRPr="007E50F7" w:rsidRDefault="004F6C4F" w:rsidP="004F6C4F">
      <w:pPr>
        <w:pStyle w:val="Answer-Testimony"/>
      </w:pPr>
      <w:r w:rsidRPr="007E50F7">
        <w:t>A.</w:t>
      </w:r>
      <w:r w:rsidRPr="007E50F7">
        <w:tab/>
      </w:r>
      <w:r>
        <w:t xml:space="preserve">For this recommendation, Staff </w:t>
      </w:r>
      <w:r w:rsidR="00455E29">
        <w:t>recogniz</w:t>
      </w:r>
      <w:r w:rsidR="00C942EA">
        <w:t>es</w:t>
      </w:r>
      <w:r w:rsidR="00455E29">
        <w:t xml:space="preserve"> that</w:t>
      </w:r>
      <w:r w:rsidR="00C942EA">
        <w:t xml:space="preserve"> </w:t>
      </w:r>
      <w:r w:rsidRPr="00600E8B">
        <w:t>shift</w:t>
      </w:r>
      <w:r>
        <w:t>ing</w:t>
      </w:r>
      <w:r w:rsidRPr="00600E8B">
        <w:t xml:space="preserve"> power use to periods of low demand</w:t>
      </w:r>
      <w:r>
        <w:t xml:space="preserve"> </w:t>
      </w:r>
      <w:r w:rsidRPr="00600E8B">
        <w:t>improves the system</w:t>
      </w:r>
      <w:r>
        <w:t>’s</w:t>
      </w:r>
      <w:r w:rsidRPr="00600E8B">
        <w:t xml:space="preserve"> load factor and lowers the overall cost of the system</w:t>
      </w:r>
      <w:r>
        <w:t xml:space="preserve">.  Staff </w:t>
      </w:r>
      <w:r w:rsidR="00672119">
        <w:t>needs</w:t>
      </w:r>
      <w:r>
        <w:t xml:space="preserve"> the Company </w:t>
      </w:r>
      <w:r w:rsidR="00672119">
        <w:t xml:space="preserve">to </w:t>
      </w:r>
      <w:r>
        <w:t>do the initial research and provide preliminary findings for Staff to analy</w:t>
      </w:r>
      <w:r w:rsidR="00455E29">
        <w:t>ze.</w:t>
      </w:r>
      <w:r w:rsidR="00672119">
        <w:t xml:space="preserve">  Staff </w:t>
      </w:r>
      <w:r w:rsidR="00455E29">
        <w:t xml:space="preserve">is not </w:t>
      </w:r>
      <w:r w:rsidR="00672119">
        <w:t>certain the Company has the incentive</w:t>
      </w:r>
      <w:r w:rsidR="001F57BB">
        <w:t xml:space="preserve"> to</w:t>
      </w:r>
      <w:r w:rsidR="00672119">
        <w:t xml:space="preserve"> </w:t>
      </w:r>
      <w:r w:rsidR="00455E29">
        <w:t>conduct</w:t>
      </w:r>
      <w:r w:rsidR="00672119">
        <w:t xml:space="preserve"> this type of research </w:t>
      </w:r>
      <w:r w:rsidR="00455E29">
        <w:t>without the Commission’s direction</w:t>
      </w:r>
      <w:r w:rsidR="00672119">
        <w:t>.</w:t>
      </w:r>
    </w:p>
    <w:p w14:paraId="3C1DBD33" w14:textId="77777777" w:rsidR="007544B8" w:rsidRPr="007E50F7" w:rsidRDefault="007544B8" w:rsidP="007544B8">
      <w:pPr>
        <w:pStyle w:val="Answer-Testimony"/>
      </w:pPr>
    </w:p>
    <w:p w14:paraId="3C1DBD34" w14:textId="77777777" w:rsidR="00980C24" w:rsidRPr="007E50F7" w:rsidRDefault="008A14BC" w:rsidP="000D22BB">
      <w:pPr>
        <w:pStyle w:val="Heading1"/>
      </w:pPr>
      <w:bookmarkStart w:id="38" w:name="_Toc391992047"/>
      <w:bookmarkStart w:id="39" w:name="_Toc393696930"/>
      <w:r w:rsidRPr="007E50F7">
        <w:t>NATURAL GAS</w:t>
      </w:r>
      <w:r w:rsidR="007B4B29" w:rsidRPr="007E50F7">
        <w:t xml:space="preserve"> COST OF</w:t>
      </w:r>
      <w:r w:rsidR="00955041" w:rsidRPr="007E50F7">
        <w:t xml:space="preserve"> SERVICE</w:t>
      </w:r>
      <w:bookmarkEnd w:id="38"/>
      <w:bookmarkEnd w:id="39"/>
    </w:p>
    <w:p w14:paraId="3C1DBD35" w14:textId="77777777" w:rsidR="00281A2B" w:rsidRPr="00FC1EF0" w:rsidRDefault="00281A2B" w:rsidP="00281A2B">
      <w:pPr>
        <w:pStyle w:val="Answer-Testimony"/>
      </w:pPr>
    </w:p>
    <w:p w14:paraId="3C1DBD36" w14:textId="77777777" w:rsidR="00FC5C83" w:rsidRPr="00FC1EF0" w:rsidRDefault="00FC5C83" w:rsidP="00FC5C83">
      <w:pPr>
        <w:pStyle w:val="Question-Testimony"/>
      </w:pPr>
      <w:r w:rsidRPr="00FC1EF0">
        <w:t>Q.</w:t>
      </w:r>
      <w:r w:rsidRPr="00FC1EF0">
        <w:tab/>
        <w:t>What financial results did Staff use as inputs to the cost of service study?</w:t>
      </w:r>
    </w:p>
    <w:p w14:paraId="3C1DBD37" w14:textId="77777777" w:rsidR="00FC5C83" w:rsidRPr="00FC1EF0" w:rsidRDefault="00FC5C83" w:rsidP="00FC5C83">
      <w:pPr>
        <w:pStyle w:val="Answer-Testimony"/>
      </w:pPr>
      <w:r w:rsidRPr="00FC1EF0">
        <w:t>A.</w:t>
      </w:r>
      <w:r w:rsidRPr="00FC1EF0">
        <w:tab/>
      </w:r>
      <w:r w:rsidR="001F57BB">
        <w:t xml:space="preserve">For the reasons I stated earlier in </w:t>
      </w:r>
      <w:r w:rsidR="001F57BB" w:rsidRPr="00CE55AC">
        <w:t xml:space="preserve">Section </w:t>
      </w:r>
      <w:r w:rsidR="004E5A8D" w:rsidRPr="00CE55AC">
        <w:t>IV</w:t>
      </w:r>
      <w:r w:rsidR="001F57BB" w:rsidRPr="00CE55AC">
        <w:t xml:space="preserve">, </w:t>
      </w:r>
      <w:r w:rsidRPr="00FC1EF0">
        <w:t>Staff used the financial data from the Company’s pro forma cross check study,</w:t>
      </w:r>
      <w:r w:rsidRPr="00FC1EF0">
        <w:rPr>
          <w:rStyle w:val="FootnoteReference"/>
        </w:rPr>
        <w:footnoteReference w:id="44"/>
      </w:r>
      <w:r w:rsidRPr="00FC1EF0">
        <w:t xml:space="preserve"> after excluding all adjustments that go into the rate year.</w:t>
      </w:r>
    </w:p>
    <w:p w14:paraId="3C1DBD38" w14:textId="77777777" w:rsidR="00FC5C83" w:rsidRPr="00FC1EF0" w:rsidRDefault="00FC5C83" w:rsidP="00FC5C83">
      <w:pPr>
        <w:pStyle w:val="Answer-Testimony"/>
      </w:pPr>
    </w:p>
    <w:p w14:paraId="3C1DBD39" w14:textId="77777777" w:rsidR="005D10CA" w:rsidRPr="007E50F7" w:rsidRDefault="002666B2" w:rsidP="001F57BB">
      <w:pPr>
        <w:pStyle w:val="Heading3"/>
      </w:pPr>
      <w:bookmarkStart w:id="40" w:name="_Toc391992048"/>
      <w:bookmarkStart w:id="41" w:name="_Toc393696931"/>
      <w:r>
        <w:lastRenderedPageBreak/>
        <w:t xml:space="preserve">Natural Gas Cost </w:t>
      </w:r>
      <w:r w:rsidR="00982B84">
        <w:t xml:space="preserve">Classifications and </w:t>
      </w:r>
      <w:r>
        <w:t>Allocations</w:t>
      </w:r>
      <w:bookmarkEnd w:id="40"/>
      <w:bookmarkEnd w:id="41"/>
    </w:p>
    <w:p w14:paraId="3C1DBD3A" w14:textId="77777777" w:rsidR="00FC1EF0" w:rsidRPr="00910D33" w:rsidRDefault="00FC1EF0" w:rsidP="00A670D4">
      <w:pPr>
        <w:pStyle w:val="Answer-Testimony"/>
        <w:keepNext/>
      </w:pPr>
    </w:p>
    <w:p w14:paraId="3C1DBD3B" w14:textId="77777777" w:rsidR="00FC5C83" w:rsidRPr="00910D33" w:rsidRDefault="00FC5C83" w:rsidP="00FC5C83">
      <w:pPr>
        <w:pStyle w:val="Question-Testimony"/>
      </w:pPr>
      <w:r w:rsidRPr="00910D33">
        <w:t>Q.</w:t>
      </w:r>
      <w:r w:rsidRPr="00910D33">
        <w:tab/>
        <w:t xml:space="preserve">Did Staff conduct a systematic review of the Company’s </w:t>
      </w:r>
      <w:r w:rsidR="00FC1EF0" w:rsidRPr="00910D33">
        <w:t xml:space="preserve">natural gas </w:t>
      </w:r>
      <w:r w:rsidRPr="00910D33">
        <w:t>cost of service study for classifying and allocating plant and expenses?</w:t>
      </w:r>
    </w:p>
    <w:p w14:paraId="3C1DBD3C" w14:textId="77777777" w:rsidR="00FC5C83" w:rsidRPr="00910D33" w:rsidRDefault="00FC5C83" w:rsidP="00FC5C83">
      <w:pPr>
        <w:pStyle w:val="Answer-Testimony"/>
      </w:pPr>
      <w:r w:rsidRPr="00910D33">
        <w:t>A.</w:t>
      </w:r>
      <w:r w:rsidRPr="00910D33">
        <w:tab/>
        <w:t xml:space="preserve">Yes.  In addition to Staff’s own research and review, Staff met with Avista’s cost of service experts and conducted a detailed review of the Company’s cost of service study to analyze the functionalization, classification, and allocation </w:t>
      </w:r>
      <w:r w:rsidR="00AA58CA">
        <w:t>o</w:t>
      </w:r>
      <w:r w:rsidRPr="00910D33">
        <w:t>f</w:t>
      </w:r>
      <w:r w:rsidR="00AA58CA">
        <w:t xml:space="preserve"> items in</w:t>
      </w:r>
      <w:r w:rsidRPr="00910D33">
        <w:t xml:space="preserve"> each FERC account.</w:t>
      </w:r>
    </w:p>
    <w:p w14:paraId="3C1DBD3D" w14:textId="77777777" w:rsidR="00FC5C83" w:rsidRPr="00910D33" w:rsidRDefault="00FC5C83" w:rsidP="00FC5C83">
      <w:pPr>
        <w:pStyle w:val="Answer-Testimony"/>
      </w:pPr>
    </w:p>
    <w:p w14:paraId="3C1DBD3E" w14:textId="77777777" w:rsidR="00FC5C83" w:rsidRPr="00910D33" w:rsidRDefault="00FC5C83" w:rsidP="00FC5C83">
      <w:pPr>
        <w:pStyle w:val="Question-Testimony"/>
      </w:pPr>
      <w:r w:rsidRPr="00910D33">
        <w:t>Q.</w:t>
      </w:r>
      <w:r w:rsidRPr="00910D33">
        <w:tab/>
        <w:t>Are there reasons why the Commission should take a “hard look” at the cost of service study issues in this case?</w:t>
      </w:r>
    </w:p>
    <w:p w14:paraId="3C1DBD3F" w14:textId="77777777" w:rsidR="00FC5C83" w:rsidRPr="00910D33" w:rsidRDefault="00FC5C83" w:rsidP="00910D33">
      <w:pPr>
        <w:pStyle w:val="Answer-Testimony"/>
      </w:pPr>
      <w:r w:rsidRPr="00910D33">
        <w:t>A.</w:t>
      </w:r>
      <w:r w:rsidRPr="00910D33">
        <w:tab/>
        <w:t xml:space="preserve">Yes.  </w:t>
      </w:r>
      <w:r w:rsidR="001F57BB">
        <w:t xml:space="preserve">As for electric service, </w:t>
      </w:r>
      <w:r w:rsidR="001F57BB" w:rsidRPr="00910D33">
        <w:t xml:space="preserve">the Company is proposing a decoupling mechanism to recover fixed costs on a revenue per customer basis </w:t>
      </w:r>
      <w:r w:rsidR="001F57BB">
        <w:t xml:space="preserve">for </w:t>
      </w:r>
      <w:r w:rsidR="00127DB6">
        <w:t xml:space="preserve">natural </w:t>
      </w:r>
      <w:r w:rsidR="001F57BB">
        <w:t xml:space="preserve">gas service.  </w:t>
      </w:r>
      <w:r w:rsidR="00910D33" w:rsidRPr="00910D33">
        <w:t xml:space="preserve">For the same reasons that I </w:t>
      </w:r>
      <w:r w:rsidR="000F016D" w:rsidRPr="00910D33">
        <w:t>laid</w:t>
      </w:r>
      <w:r w:rsidR="00910D33" w:rsidRPr="00910D33">
        <w:t xml:space="preserve"> out </w:t>
      </w:r>
      <w:r w:rsidR="001F57BB" w:rsidRPr="00CE55AC">
        <w:t xml:space="preserve">Section </w:t>
      </w:r>
      <w:proofErr w:type="spellStart"/>
      <w:r w:rsidR="000F016D" w:rsidRPr="00CE55AC">
        <w:t>IV.B</w:t>
      </w:r>
      <w:proofErr w:type="spellEnd"/>
      <w:r w:rsidR="001F57BB" w:rsidRPr="00CE55AC">
        <w:t xml:space="preserve"> for </w:t>
      </w:r>
      <w:r w:rsidR="001F57BB">
        <w:t>electric service</w:t>
      </w:r>
      <w:r w:rsidR="00910D33" w:rsidRPr="00910D33">
        <w:t xml:space="preserve">, </w:t>
      </w:r>
      <w:r w:rsidRPr="00910D33">
        <w:t xml:space="preserve">the Commission </w:t>
      </w:r>
      <w:r w:rsidR="001F57BB">
        <w:t>should take a “hard look” at cost of service before approving decoupling.</w:t>
      </w:r>
    </w:p>
    <w:p w14:paraId="3C1DBD40" w14:textId="77777777" w:rsidR="00FC5C83" w:rsidRPr="00AA7963" w:rsidRDefault="00FC5C83" w:rsidP="00DA48BC">
      <w:pPr>
        <w:pStyle w:val="Answer-Testimony"/>
      </w:pPr>
    </w:p>
    <w:p w14:paraId="3C1DBD41" w14:textId="77777777" w:rsidR="00FC5C83" w:rsidRPr="00910D33" w:rsidRDefault="00FC5C83" w:rsidP="00FC5C83">
      <w:pPr>
        <w:pStyle w:val="Answer-Testimony"/>
        <w:rPr>
          <w:b/>
        </w:rPr>
      </w:pPr>
      <w:r w:rsidRPr="00910D33">
        <w:rPr>
          <w:b/>
        </w:rPr>
        <w:t>Q.</w:t>
      </w:r>
      <w:r w:rsidRPr="00910D33">
        <w:rPr>
          <w:b/>
        </w:rPr>
        <w:tab/>
        <w:t>What is the result of Staff’s systematic review?</w:t>
      </w:r>
    </w:p>
    <w:p w14:paraId="3C1DBD42" w14:textId="77777777" w:rsidR="00910D33" w:rsidRPr="000F016D" w:rsidRDefault="00FC5C83" w:rsidP="000F016D">
      <w:pPr>
        <w:pStyle w:val="Answer-Testimony"/>
      </w:pPr>
      <w:r w:rsidRPr="000F016D">
        <w:t>A.</w:t>
      </w:r>
      <w:r w:rsidRPr="000F016D">
        <w:tab/>
        <w:t xml:space="preserve">The result is that Staff made </w:t>
      </w:r>
      <w:r w:rsidR="00910D33" w:rsidRPr="000F016D">
        <w:t xml:space="preserve">three major </w:t>
      </w:r>
      <w:r w:rsidRPr="000F016D">
        <w:t xml:space="preserve">adjustments to the Company’s </w:t>
      </w:r>
      <w:r w:rsidR="00910D33" w:rsidRPr="000F016D">
        <w:t xml:space="preserve">natural gas </w:t>
      </w:r>
      <w:r w:rsidRPr="000F016D">
        <w:t>cost of service study</w:t>
      </w:r>
      <w:r w:rsidR="00910D33" w:rsidRPr="000F016D">
        <w:t>.</w:t>
      </w:r>
    </w:p>
    <w:p w14:paraId="3C1DBD43" w14:textId="77777777" w:rsidR="00FC5C83" w:rsidRPr="000F016D" w:rsidRDefault="00FC5C83" w:rsidP="00DA48BC">
      <w:pPr>
        <w:pStyle w:val="Question-Testimony"/>
        <w:ind w:left="0" w:firstLine="0"/>
      </w:pPr>
    </w:p>
    <w:p w14:paraId="3C1DBD44" w14:textId="77777777" w:rsidR="00FC5C83" w:rsidRPr="00AA7963" w:rsidRDefault="00FC5C83" w:rsidP="00FC5C83">
      <w:pPr>
        <w:pStyle w:val="Question-Testimony"/>
      </w:pPr>
      <w:r w:rsidRPr="00AA7963">
        <w:t>Q.</w:t>
      </w:r>
      <w:r w:rsidRPr="00AA7963">
        <w:tab/>
        <w:t>What major adjustments did Staff make to the cost of service study for allocating plant and expenses?</w:t>
      </w:r>
    </w:p>
    <w:p w14:paraId="3C1DBD45" w14:textId="77777777" w:rsidR="00FC5C83" w:rsidRPr="00AA7963" w:rsidRDefault="00FC5C83" w:rsidP="00FC5C83">
      <w:pPr>
        <w:pStyle w:val="Answer-Testimony"/>
      </w:pPr>
      <w:r w:rsidRPr="00AA7963">
        <w:lastRenderedPageBreak/>
        <w:t>A.</w:t>
      </w:r>
      <w:r w:rsidRPr="00AA7963">
        <w:tab/>
        <w:t xml:space="preserve">Staff made </w:t>
      </w:r>
      <w:r w:rsidR="00AA7963" w:rsidRPr="00AA7963">
        <w:t>three</w:t>
      </w:r>
      <w:r w:rsidRPr="00AA7963">
        <w:t xml:space="preserve"> major adjustments to the Company’s </w:t>
      </w:r>
      <w:r w:rsidR="00AA7963" w:rsidRPr="00AA7963">
        <w:t>natural gas</w:t>
      </w:r>
      <w:r w:rsidRPr="00AA7963">
        <w:t xml:space="preserve"> cost of service study for classifying and allocating plant and expenses: (1) general plant costs and administrative and general (“</w:t>
      </w:r>
      <w:proofErr w:type="spellStart"/>
      <w:r w:rsidRPr="00AA7963">
        <w:t>A&amp;G</w:t>
      </w:r>
      <w:proofErr w:type="spellEnd"/>
      <w:r w:rsidRPr="00AA7963">
        <w:t xml:space="preserve">”) expenses; (2) </w:t>
      </w:r>
      <w:r w:rsidR="00AA7963" w:rsidRPr="00AA7963">
        <w:t xml:space="preserve">distribution main </w:t>
      </w:r>
      <w:r w:rsidRPr="00AA7963">
        <w:t>costs;</w:t>
      </w:r>
      <w:r w:rsidR="00AA7963" w:rsidRPr="00AA7963">
        <w:t xml:space="preserve"> and</w:t>
      </w:r>
      <w:r w:rsidRPr="00AA7963">
        <w:t xml:space="preserve"> (3)</w:t>
      </w:r>
      <w:r w:rsidR="00AA7963" w:rsidRPr="00AA7963">
        <w:t xml:space="preserve"> underground storage plant</w:t>
      </w:r>
      <w:r w:rsidR="00FA42FD">
        <w:t xml:space="preserve"> costs</w:t>
      </w:r>
      <w:r w:rsidRPr="00AA7963">
        <w:t>.</w:t>
      </w:r>
    </w:p>
    <w:p w14:paraId="3C1DBD46" w14:textId="77777777" w:rsidR="00FC5C83" w:rsidRPr="00AA7963" w:rsidRDefault="00FC5C83" w:rsidP="008B7F26">
      <w:pPr>
        <w:pStyle w:val="Answer-Testimony"/>
      </w:pPr>
    </w:p>
    <w:p w14:paraId="3C1DBD47" w14:textId="77777777" w:rsidR="00AA7963" w:rsidRPr="007E50F7" w:rsidRDefault="00AA7963" w:rsidP="00A670D4">
      <w:pPr>
        <w:pStyle w:val="Heading6"/>
        <w:numPr>
          <w:ilvl w:val="0"/>
          <w:numId w:val="49"/>
        </w:numPr>
      </w:pPr>
      <w:bookmarkStart w:id="42" w:name="_Toc391992049"/>
      <w:bookmarkStart w:id="43" w:name="_Toc393696932"/>
      <w:r>
        <w:t>Classification and Allocation of General Plant Costs and Administrative and General Expenses</w:t>
      </w:r>
      <w:bookmarkEnd w:id="42"/>
      <w:bookmarkEnd w:id="43"/>
    </w:p>
    <w:p w14:paraId="3C1DBD48" w14:textId="77777777" w:rsidR="00AA7963" w:rsidRPr="007E50F7" w:rsidRDefault="00AA7963" w:rsidP="00AA7963">
      <w:pPr>
        <w:pStyle w:val="Question-Testimony"/>
      </w:pPr>
    </w:p>
    <w:p w14:paraId="3C1DBD49" w14:textId="77777777" w:rsidR="00AA7963" w:rsidRPr="007E50F7" w:rsidRDefault="00AA7963" w:rsidP="00AA7963">
      <w:pPr>
        <w:pStyle w:val="Question-Testimony"/>
      </w:pPr>
      <w:r w:rsidRPr="007E50F7">
        <w:t>Q.</w:t>
      </w:r>
      <w:r w:rsidRPr="007E50F7">
        <w:tab/>
      </w:r>
      <w:r>
        <w:t xml:space="preserve">How did Staff allocate </w:t>
      </w:r>
      <w:proofErr w:type="spellStart"/>
      <w:r>
        <w:t>A&amp;G</w:t>
      </w:r>
      <w:proofErr w:type="spellEnd"/>
      <w:r>
        <w:t xml:space="preserve"> expenses and general plant</w:t>
      </w:r>
      <w:r w:rsidRPr="007E50F7">
        <w:t>?</w:t>
      </w:r>
    </w:p>
    <w:p w14:paraId="3C1DBD4A" w14:textId="77777777" w:rsidR="00AA7963" w:rsidRDefault="00AA7963" w:rsidP="00AA7963">
      <w:pPr>
        <w:pStyle w:val="Answer-Testimony"/>
      </w:pPr>
      <w:r w:rsidRPr="007E50F7">
        <w:t>A.</w:t>
      </w:r>
      <w:r w:rsidRPr="007E50F7">
        <w:tab/>
      </w:r>
      <w:r>
        <w:t xml:space="preserve">Staff used the same 4-factor for both </w:t>
      </w:r>
      <w:proofErr w:type="spellStart"/>
      <w:r>
        <w:t>A&amp;G</w:t>
      </w:r>
      <w:proofErr w:type="spellEnd"/>
      <w:r>
        <w:t xml:space="preserve"> expenses and general plant, as explained </w:t>
      </w:r>
      <w:r w:rsidRPr="00FC1EF0">
        <w:t xml:space="preserve">in </w:t>
      </w:r>
      <w:r>
        <w:t>electric</w:t>
      </w:r>
      <w:r w:rsidR="000F016D">
        <w:t>’s</w:t>
      </w:r>
      <w:r>
        <w:t xml:space="preserve"> </w:t>
      </w:r>
      <w:r w:rsidRPr="00CE55AC">
        <w:t xml:space="preserve">Section </w:t>
      </w:r>
      <w:proofErr w:type="spellStart"/>
      <w:r w:rsidRPr="00CE55AC">
        <w:t>IV.B.1</w:t>
      </w:r>
      <w:proofErr w:type="spellEnd"/>
      <w:r w:rsidRPr="00CE55AC">
        <w:t xml:space="preserve"> </w:t>
      </w:r>
      <w:r w:rsidRPr="00FC1EF0">
        <w:t xml:space="preserve">of my testimony.  Please refer </w:t>
      </w:r>
      <w:r>
        <w:t>to that testimony for the justification for the 4-factor.</w:t>
      </w:r>
    </w:p>
    <w:p w14:paraId="3C1DBD4B" w14:textId="77777777" w:rsidR="00AA7963" w:rsidRPr="007E50F7" w:rsidRDefault="00AA7963" w:rsidP="00AA7963">
      <w:pPr>
        <w:pStyle w:val="Answer-Testimony"/>
      </w:pPr>
    </w:p>
    <w:p w14:paraId="3C1DBD4C" w14:textId="77777777" w:rsidR="008B7F26" w:rsidRPr="007E50F7" w:rsidRDefault="003D5017" w:rsidP="00A670D4">
      <w:pPr>
        <w:pStyle w:val="Heading6"/>
      </w:pPr>
      <w:bookmarkStart w:id="44" w:name="_Toc391992050"/>
      <w:bookmarkStart w:id="45" w:name="_Toc393696933"/>
      <w:r>
        <w:t>Classification and Allocation of Distribution Main Costs</w:t>
      </w:r>
      <w:bookmarkEnd w:id="44"/>
      <w:bookmarkEnd w:id="45"/>
    </w:p>
    <w:p w14:paraId="3C1DBD4D" w14:textId="77777777" w:rsidR="008966A8" w:rsidRPr="007E50F7" w:rsidRDefault="008966A8" w:rsidP="008A14BC">
      <w:pPr>
        <w:pStyle w:val="Question-Testimony"/>
      </w:pPr>
    </w:p>
    <w:p w14:paraId="3C1DBD4E" w14:textId="77777777" w:rsidR="008A14BC" w:rsidRPr="007E50F7" w:rsidRDefault="008A14BC" w:rsidP="008A14BC">
      <w:pPr>
        <w:pStyle w:val="Question-Testimony"/>
      </w:pPr>
      <w:r w:rsidRPr="007E50F7">
        <w:t>Q.</w:t>
      </w:r>
      <w:r w:rsidRPr="007E50F7">
        <w:tab/>
        <w:t>Are distribution mains a significant driver in the cost of service study?</w:t>
      </w:r>
    </w:p>
    <w:p w14:paraId="3C1DBD4F" w14:textId="77777777" w:rsidR="008A14BC" w:rsidRPr="007E50F7" w:rsidRDefault="008A14BC" w:rsidP="008A14BC">
      <w:pPr>
        <w:pStyle w:val="Answer-Testimony"/>
      </w:pPr>
      <w:r w:rsidRPr="007E50F7">
        <w:t>A.</w:t>
      </w:r>
      <w:r w:rsidRPr="007E50F7">
        <w:tab/>
        <w:t>Yes.  In fact, gas distribution mains are the biggest driver, representing over 3</w:t>
      </w:r>
      <w:r w:rsidR="001E28A3">
        <w:t>4</w:t>
      </w:r>
      <w:r w:rsidRPr="007E50F7">
        <w:t xml:space="preserve"> percent of total rate base.  This</w:t>
      </w:r>
      <w:r w:rsidR="003079AE" w:rsidRPr="007E50F7">
        <w:t xml:space="preserve"> means that </w:t>
      </w:r>
      <w:r w:rsidRPr="007E50F7">
        <w:t xml:space="preserve">small movements in </w:t>
      </w:r>
      <w:r w:rsidR="003079AE" w:rsidRPr="007E50F7">
        <w:t xml:space="preserve">the </w:t>
      </w:r>
      <w:r w:rsidRPr="007E50F7">
        <w:t>allocation</w:t>
      </w:r>
      <w:r w:rsidR="003079AE" w:rsidRPr="007E50F7">
        <w:t xml:space="preserve"> of </w:t>
      </w:r>
      <w:r w:rsidRPr="007E50F7">
        <w:t xml:space="preserve">these costs can make </w:t>
      </w:r>
      <w:r w:rsidR="00C942EA">
        <w:t xml:space="preserve">large </w:t>
      </w:r>
      <w:r w:rsidRPr="007E50F7">
        <w:t>differences</w:t>
      </w:r>
      <w:r w:rsidR="003079AE" w:rsidRPr="007E50F7">
        <w:t xml:space="preserve"> in the cost</w:t>
      </w:r>
      <w:r w:rsidRPr="007E50F7">
        <w:t xml:space="preserve"> to </w:t>
      </w:r>
      <w:r w:rsidR="003079AE" w:rsidRPr="007E50F7">
        <w:t xml:space="preserve">serve </w:t>
      </w:r>
      <w:r w:rsidR="00C942EA">
        <w:t xml:space="preserve">each </w:t>
      </w:r>
      <w:r w:rsidRPr="007E50F7">
        <w:t xml:space="preserve">customer </w:t>
      </w:r>
      <w:r w:rsidR="003079AE" w:rsidRPr="007E50F7">
        <w:t>class</w:t>
      </w:r>
      <w:r w:rsidRPr="007E50F7">
        <w:t>.</w:t>
      </w:r>
    </w:p>
    <w:p w14:paraId="3C1DBD50" w14:textId="77777777" w:rsidR="008A14BC" w:rsidRPr="007E50F7" w:rsidRDefault="008A14BC" w:rsidP="008A14BC">
      <w:pPr>
        <w:pStyle w:val="Answer-Testimony"/>
      </w:pPr>
    </w:p>
    <w:p w14:paraId="3C1DBD51" w14:textId="77777777" w:rsidR="008A14BC" w:rsidRPr="007E50F7" w:rsidRDefault="008A14BC" w:rsidP="008A14BC">
      <w:pPr>
        <w:pStyle w:val="Question-Testimony"/>
      </w:pPr>
      <w:r w:rsidRPr="007E50F7">
        <w:t>Q.</w:t>
      </w:r>
      <w:r w:rsidRPr="007E50F7">
        <w:tab/>
        <w:t>On what basis does Staff classify and allocate gas distribution mains?</w:t>
      </w:r>
    </w:p>
    <w:p w14:paraId="3C1DBD52" w14:textId="77777777" w:rsidR="003079AE" w:rsidRPr="007E50F7" w:rsidRDefault="008A14BC" w:rsidP="008A14BC">
      <w:pPr>
        <w:pStyle w:val="Answer-Testimony"/>
      </w:pPr>
      <w:r w:rsidRPr="007E50F7">
        <w:t>A.</w:t>
      </w:r>
      <w:r w:rsidRPr="007E50F7">
        <w:tab/>
        <w:t xml:space="preserve">Staff classifies gas distribution mains as a demand-related cost.  Staff allocates </w:t>
      </w:r>
      <w:r w:rsidR="003079AE" w:rsidRPr="007E50F7">
        <w:t xml:space="preserve">the cost of </w:t>
      </w:r>
      <w:r w:rsidRPr="007E50F7">
        <w:t xml:space="preserve">gas distribution mains </w:t>
      </w:r>
      <w:r w:rsidR="00523214" w:rsidRPr="007E50F7">
        <w:t>on a combination of peak demand and average demand</w:t>
      </w:r>
      <w:r w:rsidR="00183A08" w:rsidRPr="007E50F7">
        <w:t xml:space="preserve">.  Specifically, Staff allocates the cost of mains </w:t>
      </w:r>
      <w:r w:rsidR="00523214" w:rsidRPr="007E50F7">
        <w:t>3</w:t>
      </w:r>
      <w:r w:rsidR="001E28A3">
        <w:t>9</w:t>
      </w:r>
      <w:r w:rsidR="00523214" w:rsidRPr="007E50F7">
        <w:t>.</w:t>
      </w:r>
      <w:r w:rsidR="001E28A3">
        <w:t>8</w:t>
      </w:r>
      <w:r w:rsidR="00523214" w:rsidRPr="007E50F7">
        <w:t xml:space="preserve"> percent on average demand and 6</w:t>
      </w:r>
      <w:r w:rsidR="001E28A3">
        <w:t>0</w:t>
      </w:r>
      <w:r w:rsidR="00523214" w:rsidRPr="007E50F7">
        <w:t>.</w:t>
      </w:r>
      <w:r w:rsidR="001E28A3">
        <w:t>2</w:t>
      </w:r>
      <w:r w:rsidR="00523214" w:rsidRPr="007E50F7">
        <w:t xml:space="preserve"> percent on peak demand</w:t>
      </w:r>
      <w:r w:rsidR="003079AE" w:rsidRPr="007E50F7">
        <w:t>.</w:t>
      </w:r>
    </w:p>
    <w:p w14:paraId="3C1DBD53" w14:textId="77777777" w:rsidR="003079AE" w:rsidRPr="007E50F7" w:rsidRDefault="003079AE" w:rsidP="003079AE">
      <w:pPr>
        <w:pStyle w:val="Answer-Testimony"/>
      </w:pPr>
    </w:p>
    <w:p w14:paraId="3C1DBD54" w14:textId="77777777" w:rsidR="003079AE" w:rsidRPr="007E50F7" w:rsidRDefault="003079AE" w:rsidP="003079AE">
      <w:pPr>
        <w:pStyle w:val="Question-Testimony"/>
      </w:pPr>
      <w:r w:rsidRPr="007E50F7">
        <w:t>Q.</w:t>
      </w:r>
      <w:r w:rsidRPr="007E50F7">
        <w:tab/>
        <w:t>Please define “peak demand” and “average demand.</w:t>
      </w:r>
      <w:r w:rsidR="00C942EA">
        <w:t>”</w:t>
      </w:r>
    </w:p>
    <w:p w14:paraId="3C1DBD55" w14:textId="77777777" w:rsidR="008A14BC" w:rsidRPr="007E50F7" w:rsidRDefault="003079AE" w:rsidP="00C942EA">
      <w:pPr>
        <w:pStyle w:val="Answer-Testimony"/>
      </w:pPr>
      <w:r w:rsidRPr="007E50F7">
        <w:t>A.</w:t>
      </w:r>
      <w:r w:rsidRPr="007E50F7">
        <w:tab/>
        <w:t>“P</w:t>
      </w:r>
      <w:r w:rsidR="008A14BC" w:rsidRPr="007E50F7">
        <w:t xml:space="preserve">eak demand” </w:t>
      </w:r>
      <w:r w:rsidRPr="007E50F7">
        <w:t xml:space="preserve">is </w:t>
      </w:r>
      <w:r w:rsidR="008A14BC" w:rsidRPr="007E50F7">
        <w:t>the demand for gas on the</w:t>
      </w:r>
      <w:r w:rsidR="00FF4B8A" w:rsidRPr="007E50F7">
        <w:t xml:space="preserve"> average</w:t>
      </w:r>
      <w:r w:rsidR="008A14BC" w:rsidRPr="007E50F7">
        <w:t xml:space="preserve"> </w:t>
      </w:r>
      <w:r w:rsidR="00FF4B8A" w:rsidRPr="007E50F7">
        <w:t>five</w:t>
      </w:r>
      <w:r w:rsidR="004D4979" w:rsidRPr="007E50F7">
        <w:t xml:space="preserve"> consecutive</w:t>
      </w:r>
      <w:r w:rsidR="00FF4B8A" w:rsidRPr="007E50F7">
        <w:t xml:space="preserve"> peak days of the heating season for the last three years.</w:t>
      </w:r>
      <w:r w:rsidR="00C942EA">
        <w:t xml:space="preserve">  </w:t>
      </w:r>
      <w:r w:rsidR="00183A08" w:rsidRPr="007E50F7">
        <w:t>“</w:t>
      </w:r>
      <w:r w:rsidR="008A14BC" w:rsidRPr="007E50F7">
        <w:t>Average demand</w:t>
      </w:r>
      <w:r w:rsidR="00183A08" w:rsidRPr="007E50F7">
        <w:t>”</w:t>
      </w:r>
      <w:r w:rsidR="008A14BC" w:rsidRPr="007E50F7">
        <w:t xml:space="preserve"> is the total </w:t>
      </w:r>
      <w:r w:rsidR="00C942EA">
        <w:t xml:space="preserve">gas </w:t>
      </w:r>
      <w:r w:rsidR="008A14BC" w:rsidRPr="007E50F7">
        <w:t>consumption for the year divided by the days in the year.</w:t>
      </w:r>
    </w:p>
    <w:p w14:paraId="3C1DBD56" w14:textId="77777777" w:rsidR="008A14BC" w:rsidRPr="007E50F7" w:rsidRDefault="008A14BC" w:rsidP="008A14BC">
      <w:pPr>
        <w:pStyle w:val="BodyTextIndent"/>
      </w:pPr>
    </w:p>
    <w:p w14:paraId="3C1DBD57" w14:textId="77777777" w:rsidR="008A14BC" w:rsidRPr="007E50F7" w:rsidRDefault="008A14BC" w:rsidP="008A14BC">
      <w:pPr>
        <w:pStyle w:val="Question-Testimony"/>
      </w:pPr>
      <w:r w:rsidRPr="007E50F7">
        <w:t>Q.</w:t>
      </w:r>
      <w:r w:rsidRPr="007E50F7">
        <w:tab/>
        <w:t>Why does Staff propose to allocate gas distribution mains using a combination of peak and average demand?</w:t>
      </w:r>
    </w:p>
    <w:p w14:paraId="3C1DBD58" w14:textId="77777777" w:rsidR="00183A08" w:rsidRPr="007E50F7" w:rsidRDefault="008A14BC" w:rsidP="002C23CD">
      <w:pPr>
        <w:pStyle w:val="Answer-Testimony"/>
      </w:pPr>
      <w:r w:rsidRPr="007E50F7">
        <w:t>A.</w:t>
      </w:r>
      <w:r w:rsidRPr="007E50F7">
        <w:tab/>
        <w:t>The</w:t>
      </w:r>
      <w:r w:rsidR="00CB7BB1" w:rsidRPr="007E50F7">
        <w:t xml:space="preserve"> </w:t>
      </w:r>
      <w:r w:rsidRPr="007E50F7">
        <w:t>primary reason</w:t>
      </w:r>
      <w:r w:rsidR="00CB7BB1" w:rsidRPr="007E50F7">
        <w:t xml:space="preserve"> i</w:t>
      </w:r>
      <w:r w:rsidRPr="007E50F7">
        <w:t>s</w:t>
      </w:r>
      <w:r w:rsidR="00CB7BB1" w:rsidRPr="007E50F7">
        <w:t xml:space="preserve"> </w:t>
      </w:r>
      <w:r w:rsidR="00C942EA">
        <w:t xml:space="preserve">because </w:t>
      </w:r>
      <w:r w:rsidR="00183A08" w:rsidRPr="007E50F7">
        <w:t>large customers (</w:t>
      </w:r>
      <w:r w:rsidR="00183A08" w:rsidRPr="00DA48BC">
        <w:rPr>
          <w:i/>
        </w:rPr>
        <w:t>i.e.,</w:t>
      </w:r>
      <w:r w:rsidR="00183A08" w:rsidRPr="007E50F7">
        <w:t xml:space="preserve"> on Schedules 131, 132, </w:t>
      </w:r>
      <w:r w:rsidR="00E01292" w:rsidRPr="007E50F7">
        <w:t xml:space="preserve">and </w:t>
      </w:r>
      <w:r w:rsidR="00183A08" w:rsidRPr="007E50F7">
        <w:t xml:space="preserve">146) benefit from </w:t>
      </w:r>
      <w:r w:rsidR="0036396B" w:rsidRPr="007E50F7">
        <w:t>smaller</w:t>
      </w:r>
      <w:r w:rsidR="00C942EA">
        <w:t xml:space="preserve"> </w:t>
      </w:r>
      <w:r w:rsidR="00183A08" w:rsidRPr="007E50F7">
        <w:t>g</w:t>
      </w:r>
      <w:r w:rsidR="00CB7BB1" w:rsidRPr="007E50F7">
        <w:t>as distribution mains.</w:t>
      </w:r>
      <w:r w:rsidR="00511B5E">
        <w:t xml:space="preserve">  </w:t>
      </w:r>
      <w:r w:rsidR="00C942EA">
        <w:t>(</w:t>
      </w:r>
      <w:r w:rsidR="00511B5E">
        <w:t xml:space="preserve">Staff generally views pipes less than four inches in diameter as </w:t>
      </w:r>
      <w:r w:rsidR="00D103C4">
        <w:t xml:space="preserve">medium to </w:t>
      </w:r>
      <w:r w:rsidR="00511B5E">
        <w:t>small gas distribution mains</w:t>
      </w:r>
      <w:r w:rsidR="00C942EA">
        <w:t>)</w:t>
      </w:r>
      <w:r w:rsidR="00511B5E">
        <w:t xml:space="preserve">. </w:t>
      </w:r>
      <w:r w:rsidR="00C942EA">
        <w:t xml:space="preserve"> Because of this benefit, it is appropriate to allocate some of the costs of these smaller distribution mains to large customers.</w:t>
      </w:r>
    </w:p>
    <w:p w14:paraId="3C1DBD59" w14:textId="77777777" w:rsidR="00183A08" w:rsidRPr="007E50F7" w:rsidRDefault="00183A08" w:rsidP="002C23CD">
      <w:pPr>
        <w:pStyle w:val="Answer-Testimony"/>
      </w:pPr>
    </w:p>
    <w:p w14:paraId="3C1DBD5A" w14:textId="77777777" w:rsidR="002C23CD" w:rsidRPr="007E50F7" w:rsidRDefault="00183A08" w:rsidP="002C23CD">
      <w:pPr>
        <w:pStyle w:val="Answer-Testimony"/>
        <w:rPr>
          <w:b/>
        </w:rPr>
      </w:pPr>
      <w:r w:rsidRPr="007E50F7">
        <w:rPr>
          <w:b/>
        </w:rPr>
        <w:t>Q,</w:t>
      </w:r>
      <w:r w:rsidRPr="007E50F7">
        <w:rPr>
          <w:b/>
        </w:rPr>
        <w:tab/>
        <w:t xml:space="preserve">Please explain how large customers benefit from </w:t>
      </w:r>
      <w:r w:rsidR="006120C4">
        <w:rPr>
          <w:b/>
        </w:rPr>
        <w:t xml:space="preserve">smaller </w:t>
      </w:r>
      <w:r w:rsidRPr="007E50F7">
        <w:rPr>
          <w:b/>
        </w:rPr>
        <w:t xml:space="preserve">gas distribution mains.  </w:t>
      </w:r>
    </w:p>
    <w:p w14:paraId="3C1DBD5B" w14:textId="77777777" w:rsidR="008A14BC" w:rsidRPr="007E50F7" w:rsidRDefault="002C23CD" w:rsidP="002C23CD">
      <w:pPr>
        <w:pStyle w:val="Answer-Testimony"/>
      </w:pPr>
      <w:r w:rsidRPr="007E50F7">
        <w:t>A.</w:t>
      </w:r>
      <w:r w:rsidRPr="007E50F7">
        <w:tab/>
      </w:r>
      <w:r w:rsidR="006120C4">
        <w:t>L</w:t>
      </w:r>
      <w:r w:rsidR="008A14BC" w:rsidRPr="007E50F7">
        <w:t xml:space="preserve">arge </w:t>
      </w:r>
      <w:r w:rsidR="006120C4">
        <w:t xml:space="preserve">load </w:t>
      </w:r>
      <w:r w:rsidR="008A14BC" w:rsidRPr="007E50F7">
        <w:t xml:space="preserve">customers </w:t>
      </w:r>
      <w:r w:rsidR="006120C4" w:rsidRPr="007E50F7">
        <w:t>(</w:t>
      </w:r>
      <w:r w:rsidR="006120C4" w:rsidRPr="00DA48BC">
        <w:rPr>
          <w:i/>
        </w:rPr>
        <w:t>i.e.,</w:t>
      </w:r>
      <w:r w:rsidR="006120C4" w:rsidRPr="007E50F7">
        <w:t xml:space="preserve"> Schedules 131, 132, and 146)</w:t>
      </w:r>
      <w:r w:rsidR="006120C4">
        <w:t xml:space="preserve"> </w:t>
      </w:r>
      <w:r w:rsidR="008A14BC" w:rsidRPr="007E50F7">
        <w:t>benefit from the reliability and capacity of the system that the smaller pipe</w:t>
      </w:r>
      <w:r w:rsidR="005B6486" w:rsidRPr="007E50F7">
        <w:t>s</w:t>
      </w:r>
      <w:r w:rsidR="008A14BC" w:rsidRPr="007E50F7">
        <w:t xml:space="preserve"> </w:t>
      </w:r>
      <w:r w:rsidR="005B6486" w:rsidRPr="007E50F7">
        <w:t>deliver</w:t>
      </w:r>
      <w:r w:rsidR="006120C4">
        <w:t xml:space="preserve">, even though </w:t>
      </w:r>
      <w:r w:rsidR="006120C4" w:rsidRPr="007E50F7">
        <w:t xml:space="preserve">Avista may not directly serve </w:t>
      </w:r>
      <w:r w:rsidR="006120C4">
        <w:t xml:space="preserve">such </w:t>
      </w:r>
      <w:r w:rsidR="006120C4" w:rsidRPr="007E50F7">
        <w:t>customers</w:t>
      </w:r>
      <w:r w:rsidR="006120C4">
        <w:t xml:space="preserve"> </w:t>
      </w:r>
      <w:r w:rsidR="006120C4" w:rsidRPr="007E50F7">
        <w:t>with pipe less than four inches in diameter</w:t>
      </w:r>
      <w:r w:rsidR="008A14BC" w:rsidRPr="007E50F7">
        <w:t>.</w:t>
      </w:r>
    </w:p>
    <w:p w14:paraId="3C1DBD5C" w14:textId="77777777" w:rsidR="00183A08" w:rsidRPr="007E50F7" w:rsidRDefault="008A14BC" w:rsidP="008A14BC">
      <w:pPr>
        <w:pStyle w:val="Answer-Testimony"/>
        <w:ind w:firstLine="720"/>
      </w:pPr>
      <w:r w:rsidRPr="007E50F7">
        <w:t>The Company’s distribution system is a network of parallel and interconnected pipes that are used to move gas from one point to another</w:t>
      </w:r>
      <w:r w:rsidR="00523214" w:rsidRPr="007E50F7">
        <w:t xml:space="preserve">.  </w:t>
      </w:r>
      <w:r w:rsidR="00511B5E">
        <w:t>Regardless w</w:t>
      </w:r>
      <w:r w:rsidRPr="007E50F7">
        <w:t xml:space="preserve">hether the Company chooses to use medium diameter pipes to </w:t>
      </w:r>
      <w:r w:rsidR="00183A08" w:rsidRPr="007E50F7">
        <w:t xml:space="preserve">directly </w:t>
      </w:r>
      <w:r w:rsidRPr="007E50F7">
        <w:t xml:space="preserve">serve smaller customers and larger diameter pipes to </w:t>
      </w:r>
      <w:r w:rsidR="00183A08" w:rsidRPr="007E50F7">
        <w:t xml:space="preserve">directly </w:t>
      </w:r>
      <w:r w:rsidRPr="007E50F7">
        <w:t>serve larger customers</w:t>
      </w:r>
      <w:r w:rsidR="00183A08" w:rsidRPr="007E50F7">
        <w:t>,</w:t>
      </w:r>
      <w:r w:rsidR="00523214" w:rsidRPr="007E50F7">
        <w:t xml:space="preserve"> </w:t>
      </w:r>
      <w:r w:rsidRPr="007E50F7">
        <w:t>both</w:t>
      </w:r>
      <w:r w:rsidR="00523214" w:rsidRPr="007E50F7">
        <w:t xml:space="preserve"> types of pipes</w:t>
      </w:r>
      <w:r w:rsidRPr="007E50F7">
        <w:t xml:space="preserve"> </w:t>
      </w:r>
      <w:r w:rsidR="00523214" w:rsidRPr="007E50F7">
        <w:t>create capacity on the system.</w:t>
      </w:r>
    </w:p>
    <w:p w14:paraId="3C1DBD5D" w14:textId="77777777" w:rsidR="008A14BC" w:rsidRPr="007E50F7" w:rsidRDefault="00523214" w:rsidP="008A14BC">
      <w:pPr>
        <w:pStyle w:val="Answer-Testimony"/>
        <w:ind w:firstLine="720"/>
      </w:pPr>
      <w:r w:rsidRPr="007E50F7">
        <w:lastRenderedPageBreak/>
        <w:t>For example, i</w:t>
      </w:r>
      <w:r w:rsidR="008A14BC" w:rsidRPr="007E50F7">
        <w:t xml:space="preserve">f </w:t>
      </w:r>
      <w:r w:rsidRPr="007E50F7">
        <w:t xml:space="preserve">Avista had </w:t>
      </w:r>
      <w:r w:rsidR="002D727E" w:rsidRPr="007E50F7">
        <w:t>fewer medium</w:t>
      </w:r>
      <w:r w:rsidR="008A14BC" w:rsidRPr="007E50F7">
        <w:t xml:space="preserve"> sized pipe</w:t>
      </w:r>
      <w:r w:rsidR="002D727E">
        <w:t>s</w:t>
      </w:r>
      <w:r w:rsidR="008A14BC" w:rsidRPr="007E50F7">
        <w:t>, either</w:t>
      </w:r>
      <w:r w:rsidRPr="007E50F7">
        <w:t xml:space="preserve"> it would have </w:t>
      </w:r>
      <w:r w:rsidR="002D727E">
        <w:t xml:space="preserve">additional </w:t>
      </w:r>
      <w:r w:rsidR="008A14BC" w:rsidRPr="007E50F7">
        <w:t>larger diameter pipe</w:t>
      </w:r>
      <w:r w:rsidR="002D727E">
        <w:t>s</w:t>
      </w:r>
      <w:r w:rsidR="008A14BC" w:rsidRPr="007E50F7">
        <w:t xml:space="preserve"> or </w:t>
      </w:r>
      <w:r w:rsidR="00183A08" w:rsidRPr="007E50F7">
        <w:t>it</w:t>
      </w:r>
      <w:r w:rsidRPr="007E50F7">
        <w:t xml:space="preserve"> would have </w:t>
      </w:r>
      <w:r w:rsidR="008A14BC" w:rsidRPr="007E50F7">
        <w:t xml:space="preserve">less capacity available to serve all </w:t>
      </w:r>
      <w:r w:rsidRPr="007E50F7">
        <w:t xml:space="preserve">large and small </w:t>
      </w:r>
      <w:r w:rsidR="008A14BC" w:rsidRPr="007E50F7">
        <w:t xml:space="preserve">customers.  </w:t>
      </w:r>
      <w:r w:rsidRPr="007E50F7">
        <w:t>In other words, fr</w:t>
      </w:r>
      <w:r w:rsidR="00183A08" w:rsidRPr="007E50F7">
        <w:t>o</w:t>
      </w:r>
      <w:r w:rsidRPr="007E50F7">
        <w:t>m a cost of service perspective, c</w:t>
      </w:r>
      <w:r w:rsidR="008A14BC" w:rsidRPr="007E50F7">
        <w:t xml:space="preserve">apacity must be </w:t>
      </w:r>
      <w:r w:rsidR="00655C9F">
        <w:t>evaluated</w:t>
      </w:r>
      <w:r w:rsidR="008A14BC" w:rsidRPr="007E50F7">
        <w:t xml:space="preserve"> as a whole, </w:t>
      </w:r>
      <w:r w:rsidRPr="007E50F7">
        <w:t xml:space="preserve">and </w:t>
      </w:r>
      <w:r w:rsidR="008A14BC" w:rsidRPr="007E50F7">
        <w:t>total capacity allows</w:t>
      </w:r>
      <w:r w:rsidRPr="007E50F7">
        <w:t xml:space="preserve"> the Company to</w:t>
      </w:r>
      <w:r w:rsidR="008A14BC" w:rsidRPr="007E50F7">
        <w:t xml:space="preserve"> service large interruptible customers</w:t>
      </w:r>
      <w:r w:rsidRPr="007E50F7">
        <w:t>,</w:t>
      </w:r>
      <w:r w:rsidR="008A14BC" w:rsidRPr="007E50F7">
        <w:t xml:space="preserve"> even though some of the capacity is in the form of medium size main</w:t>
      </w:r>
      <w:r w:rsidRPr="007E50F7">
        <w:t>s.  O</w:t>
      </w:r>
      <w:r w:rsidR="008A14BC" w:rsidRPr="007E50F7">
        <w:t xml:space="preserve">therwise, more interruptible customers </w:t>
      </w:r>
      <w:r w:rsidRPr="007E50F7">
        <w:t>would be curtailed more often due to capacity constraints.</w:t>
      </w:r>
      <w:r w:rsidR="00985FE5">
        <w:rPr>
          <w:rStyle w:val="FootnoteReference"/>
        </w:rPr>
        <w:footnoteReference w:id="45"/>
      </w:r>
    </w:p>
    <w:p w14:paraId="3C1DBD5E" w14:textId="77777777" w:rsidR="00523214" w:rsidRPr="007E50F7" w:rsidRDefault="00523214" w:rsidP="00523214">
      <w:pPr>
        <w:pStyle w:val="BodyTextIndent"/>
      </w:pPr>
    </w:p>
    <w:p w14:paraId="3C1DBD5F" w14:textId="77777777" w:rsidR="00523214" w:rsidRPr="007E50F7" w:rsidRDefault="00523214" w:rsidP="00523214">
      <w:pPr>
        <w:pStyle w:val="Question-Testimony"/>
      </w:pPr>
      <w:r w:rsidRPr="007E50F7">
        <w:t>Q.</w:t>
      </w:r>
      <w:r w:rsidRPr="007E50F7">
        <w:tab/>
        <w:t>Can you provide an analogy to help illustrate this point?</w:t>
      </w:r>
    </w:p>
    <w:p w14:paraId="3C1DBD60" w14:textId="77777777" w:rsidR="008A14BC" w:rsidRPr="007E50F7" w:rsidRDefault="00523214" w:rsidP="00523214">
      <w:pPr>
        <w:pStyle w:val="Answer-Testimony"/>
      </w:pPr>
      <w:r w:rsidRPr="007E50F7">
        <w:t>A.</w:t>
      </w:r>
      <w:r w:rsidRPr="007E50F7">
        <w:tab/>
        <w:t xml:space="preserve">Yes.  </w:t>
      </w:r>
      <w:r w:rsidR="008A14BC" w:rsidRPr="007E50F7">
        <w:t xml:space="preserve">The gas distribution system can be </w:t>
      </w:r>
      <w:r w:rsidRPr="007E50F7">
        <w:t xml:space="preserve">analogized </w:t>
      </w:r>
      <w:r w:rsidR="008A14BC" w:rsidRPr="007E50F7">
        <w:t>to a network of roads that includes freeways</w:t>
      </w:r>
      <w:r w:rsidR="001E28A3">
        <w:t>,</w:t>
      </w:r>
      <w:r w:rsidR="008A14BC" w:rsidRPr="007E50F7">
        <w:rPr>
          <w:rStyle w:val="FootnoteReference"/>
        </w:rPr>
        <w:footnoteReference w:id="46"/>
      </w:r>
      <w:r w:rsidR="008A14BC" w:rsidRPr="007E50F7">
        <w:t xml:space="preserve"> arterials and side streets</w:t>
      </w:r>
      <w:r w:rsidR="001E28A3">
        <w:t>.</w:t>
      </w:r>
      <w:r w:rsidR="008A14BC" w:rsidRPr="007E50F7">
        <w:rPr>
          <w:rStyle w:val="FootnoteReference"/>
        </w:rPr>
        <w:footnoteReference w:id="47"/>
      </w:r>
      <w:r w:rsidR="008A14BC" w:rsidRPr="007E50F7">
        <w:t xml:space="preserve">  During times of normal or low traffic volumes, everything is moving freely in the direction of their destination</w:t>
      </w:r>
      <w:r w:rsidRPr="007E50F7">
        <w:t xml:space="preserve">.  Passenger vehicles </w:t>
      </w:r>
      <w:r w:rsidR="00D103C4">
        <w:t xml:space="preserve">use </w:t>
      </w:r>
      <w:r w:rsidR="008A14BC" w:rsidRPr="007E50F7">
        <w:t xml:space="preserve">the side streets to get to the arterials and the arterials to get to the freeways.  </w:t>
      </w:r>
      <w:r w:rsidR="00D103C4">
        <w:t>L</w:t>
      </w:r>
      <w:r w:rsidR="00D103C4" w:rsidRPr="007E50F7">
        <w:t xml:space="preserve">arge semi-tractor-trailer rigs </w:t>
      </w:r>
      <w:r w:rsidR="00D103C4">
        <w:t>generally stay off side streets, except for deliveries to local business, but use arterials to get to freeways.</w:t>
      </w:r>
      <w:r w:rsidR="00D103C4" w:rsidRPr="007E50F7">
        <w:t xml:space="preserve"> </w:t>
      </w:r>
      <w:r w:rsidRPr="007E50F7">
        <w:t>The system works well</w:t>
      </w:r>
      <w:r w:rsidR="008A14BC" w:rsidRPr="007E50F7">
        <w:t xml:space="preserve"> until traffic gets heavy and the freeways get congested and traffic slows down</w:t>
      </w:r>
      <w:r w:rsidR="008B09FF" w:rsidRPr="007E50F7">
        <w:t xml:space="preserve">.  At that point, </w:t>
      </w:r>
      <w:r w:rsidR="008A14BC" w:rsidRPr="007E50F7">
        <w:t xml:space="preserve">drivers of </w:t>
      </w:r>
      <w:r w:rsidR="00D103C4">
        <w:t>many</w:t>
      </w:r>
      <w:r w:rsidR="008A14BC" w:rsidRPr="007E50F7">
        <w:t xml:space="preserve"> cars and </w:t>
      </w:r>
      <w:r w:rsidR="00D103C4">
        <w:t xml:space="preserve">some </w:t>
      </w:r>
      <w:r w:rsidR="008A14BC" w:rsidRPr="007E50F7">
        <w:t xml:space="preserve">trucks then use more of the arterials and side streets, rather than continuing to add to the </w:t>
      </w:r>
      <w:r w:rsidR="008B09FF" w:rsidRPr="007E50F7">
        <w:t xml:space="preserve">freeway </w:t>
      </w:r>
      <w:r w:rsidR="008A14BC" w:rsidRPr="007E50F7">
        <w:t>congestion</w:t>
      </w:r>
      <w:r w:rsidR="008B09FF" w:rsidRPr="007E50F7">
        <w:t>.</w:t>
      </w:r>
    </w:p>
    <w:p w14:paraId="3C1DBD61" w14:textId="77777777" w:rsidR="008B09FF" w:rsidRPr="007E50F7" w:rsidRDefault="008A14BC" w:rsidP="008A14BC">
      <w:pPr>
        <w:pStyle w:val="Answer-Testimony"/>
        <w:ind w:firstLine="720"/>
      </w:pPr>
      <w:r w:rsidRPr="007E50F7">
        <w:t xml:space="preserve">If the arterials and side streets that parallel the freeways </w:t>
      </w:r>
      <w:r w:rsidR="008B09FF" w:rsidRPr="007E50F7">
        <w:t>are</w:t>
      </w:r>
      <w:r w:rsidRPr="007E50F7">
        <w:t xml:space="preserve"> not available, all of that traffic would still try to crowd the freeways</w:t>
      </w:r>
      <w:r w:rsidR="008B09FF" w:rsidRPr="007E50F7">
        <w:t>,</w:t>
      </w:r>
      <w:r w:rsidRPr="007E50F7">
        <w:t xml:space="preserve"> resulting in gridlock.  During the</w:t>
      </w:r>
      <w:r w:rsidR="008B09FF" w:rsidRPr="007E50F7">
        <w:t>se times of</w:t>
      </w:r>
      <w:r w:rsidRPr="007E50F7">
        <w:t xml:space="preserve"> high</w:t>
      </w:r>
      <w:r w:rsidR="008B09FF" w:rsidRPr="007E50F7">
        <w:t xml:space="preserve"> traffic</w:t>
      </w:r>
      <w:r w:rsidRPr="007E50F7">
        <w:t xml:space="preserve"> volume, the</w:t>
      </w:r>
      <w:r w:rsidR="008B09FF" w:rsidRPr="007E50F7">
        <w:t xml:space="preserve"> large</w:t>
      </w:r>
      <w:r w:rsidRPr="007E50F7">
        <w:t xml:space="preserve"> semis may not use the arterials and side </w:t>
      </w:r>
      <w:r w:rsidRPr="007E50F7">
        <w:lastRenderedPageBreak/>
        <w:t xml:space="preserve">streets themselves, but they </w:t>
      </w:r>
      <w:r w:rsidR="00FB5B47">
        <w:t>benefit</w:t>
      </w:r>
      <w:r w:rsidRPr="007E50F7">
        <w:t xml:space="preserve"> by having other </w:t>
      </w:r>
      <w:r w:rsidR="008B09FF" w:rsidRPr="007E50F7">
        <w:t>vehicles</w:t>
      </w:r>
      <w:r w:rsidRPr="007E50F7">
        <w:t xml:space="preserve"> select those alternative routes.  This benefit is very clear during times of high volume, but even during times of average use, the existence of smaller roads allows the freeway</w:t>
      </w:r>
      <w:r w:rsidR="008B09FF" w:rsidRPr="007E50F7">
        <w:t>s</w:t>
      </w:r>
      <w:r w:rsidRPr="007E50F7">
        <w:t xml:space="preserve"> to be less congested than </w:t>
      </w:r>
      <w:r w:rsidR="008B09FF" w:rsidRPr="007E50F7">
        <w:t>they</w:t>
      </w:r>
      <w:r w:rsidRPr="007E50F7">
        <w:t xml:space="preserve"> would otherwise be.</w:t>
      </w:r>
    </w:p>
    <w:p w14:paraId="3C1DBD62" w14:textId="77777777" w:rsidR="008A14BC" w:rsidRPr="007E50F7" w:rsidRDefault="008B09FF" w:rsidP="008A14BC">
      <w:pPr>
        <w:pStyle w:val="Answer-Testimony"/>
        <w:ind w:firstLine="720"/>
      </w:pPr>
      <w:r w:rsidRPr="007E50F7">
        <w:t>In short, h</w:t>
      </w:r>
      <w:r w:rsidR="008A14BC" w:rsidRPr="007E50F7">
        <w:t xml:space="preserve">aving arterials and side streets benefits all vehicles, even those who are traveling long distances at high speeds on the freeway.  Similarly, the gas distribution system as a whole provides capacity for all customers, including those who are </w:t>
      </w:r>
      <w:r w:rsidR="00183A08" w:rsidRPr="007E50F7">
        <w:t xml:space="preserve">directly </w:t>
      </w:r>
      <w:r w:rsidR="008A14BC" w:rsidRPr="007E50F7">
        <w:t>connected to large main</w:t>
      </w:r>
      <w:r w:rsidRPr="007E50F7">
        <w:t>s</w:t>
      </w:r>
      <w:r w:rsidR="008A14BC" w:rsidRPr="007E50F7">
        <w:t>.</w:t>
      </w:r>
    </w:p>
    <w:p w14:paraId="3C1DBD63" w14:textId="77777777" w:rsidR="008A14BC" w:rsidRPr="007E50F7" w:rsidRDefault="00183A08" w:rsidP="008A14BC">
      <w:pPr>
        <w:pStyle w:val="Answer-Testimony"/>
        <w:ind w:firstLine="720"/>
      </w:pPr>
      <w:r w:rsidRPr="007E50F7">
        <w:t xml:space="preserve">Moreover, </w:t>
      </w:r>
      <w:r w:rsidR="00393872" w:rsidRPr="007E50F7">
        <w:t xml:space="preserve">the </w:t>
      </w:r>
      <w:r w:rsidR="00393872" w:rsidRPr="00A74B15">
        <w:t xml:space="preserve">Company and </w:t>
      </w:r>
      <w:r w:rsidR="00756C1F" w:rsidRPr="00A74B15">
        <w:t xml:space="preserve">other </w:t>
      </w:r>
      <w:r w:rsidR="008B09FF" w:rsidRPr="00A74B15">
        <w:t>investor-owned utilities (“</w:t>
      </w:r>
      <w:r w:rsidR="008A14BC" w:rsidRPr="00A74B15">
        <w:t>IOUs</w:t>
      </w:r>
      <w:r w:rsidR="008B09FF" w:rsidRPr="00A74B15">
        <w:t>”)</w:t>
      </w:r>
      <w:r w:rsidR="00252294" w:rsidRPr="00A74B15">
        <w:rPr>
          <w:rStyle w:val="FootnoteReference"/>
        </w:rPr>
        <w:t xml:space="preserve"> </w:t>
      </w:r>
      <w:r w:rsidR="00252294" w:rsidRPr="00A74B15">
        <w:rPr>
          <w:rStyle w:val="FootnoteReference"/>
        </w:rPr>
        <w:footnoteReference w:id="48"/>
      </w:r>
      <w:r w:rsidR="008B09FF" w:rsidRPr="00A74B15">
        <w:t xml:space="preserve"> </w:t>
      </w:r>
      <w:r w:rsidR="00511B5E">
        <w:t>u</w:t>
      </w:r>
      <w:r w:rsidR="006120C4">
        <w:t>se</w:t>
      </w:r>
      <w:r w:rsidR="00252294" w:rsidRPr="00A74B15">
        <w:t xml:space="preserve"> a </w:t>
      </w:r>
      <w:r w:rsidR="008A14BC" w:rsidRPr="00A74B15">
        <w:t>planning model</w:t>
      </w:r>
      <w:r w:rsidR="000441B0" w:rsidRPr="00A74B15">
        <w:t xml:space="preserve"> by GL Noble Denton</w:t>
      </w:r>
      <w:r w:rsidR="00252294" w:rsidRPr="00A74B15">
        <w:t xml:space="preserve"> called “</w:t>
      </w:r>
      <w:proofErr w:type="spellStart"/>
      <w:r w:rsidR="00252294" w:rsidRPr="00A74B15">
        <w:t>SynerGEE</w:t>
      </w:r>
      <w:proofErr w:type="spellEnd"/>
      <w:r w:rsidR="00252294" w:rsidRPr="00A74B15">
        <w:t xml:space="preserve">” </w:t>
      </w:r>
      <w:r w:rsidR="008A14BC" w:rsidRPr="00A74B15">
        <w:t>that demonstrate</w:t>
      </w:r>
      <w:r w:rsidR="009D1A98" w:rsidRPr="00A74B15">
        <w:t>s</w:t>
      </w:r>
      <w:r w:rsidR="008A14BC" w:rsidRPr="00A74B15">
        <w:t xml:space="preserve"> that gas </w:t>
      </w:r>
      <w:r w:rsidR="00511B5E">
        <w:t xml:space="preserve">may </w:t>
      </w:r>
      <w:r w:rsidR="008A14BC" w:rsidRPr="00A74B15">
        <w:t>take multiple routes to a given customer depending on temperature, load and outage conditions.  This redundancy built in</w:t>
      </w:r>
      <w:r w:rsidRPr="00A74B15">
        <w:t>to</w:t>
      </w:r>
      <w:r w:rsidR="008A14BC" w:rsidRPr="00A74B15">
        <w:t xml:space="preserve"> the system provides additional system capacity and allows service </w:t>
      </w:r>
      <w:r w:rsidR="008A14BC" w:rsidRPr="007E50F7">
        <w:t>to a given customer even if parts of the system are temporarily out of service.</w:t>
      </w:r>
    </w:p>
    <w:p w14:paraId="3C1DBD64" w14:textId="77777777" w:rsidR="008A14BC" w:rsidRPr="007E50F7" w:rsidRDefault="008A14BC" w:rsidP="008A14BC">
      <w:pPr>
        <w:pStyle w:val="Question-Testimony"/>
      </w:pPr>
    </w:p>
    <w:p w14:paraId="3C1DBD65" w14:textId="77777777" w:rsidR="008A14BC" w:rsidRPr="007E50F7" w:rsidRDefault="008A14BC" w:rsidP="008A14BC">
      <w:pPr>
        <w:pStyle w:val="Question-Testimony"/>
      </w:pPr>
      <w:r w:rsidRPr="007E50F7">
        <w:t>Q.</w:t>
      </w:r>
      <w:r w:rsidRPr="007E50F7">
        <w:tab/>
        <w:t xml:space="preserve">How does Staff’s approach </w:t>
      </w:r>
      <w:r w:rsidR="008B09FF" w:rsidRPr="007E50F7">
        <w:t>respond to this shared use of capacity on the system</w:t>
      </w:r>
      <w:r w:rsidRPr="007E50F7">
        <w:t>?</w:t>
      </w:r>
    </w:p>
    <w:p w14:paraId="3C1DBD66" w14:textId="77777777" w:rsidR="008A14BC" w:rsidRPr="007E50F7" w:rsidRDefault="008A14BC" w:rsidP="00D25908">
      <w:pPr>
        <w:pStyle w:val="Answer-Testimony"/>
      </w:pPr>
      <w:r w:rsidRPr="007E50F7">
        <w:t>A.</w:t>
      </w:r>
      <w:r w:rsidRPr="007E50F7">
        <w:tab/>
        <w:t>Staff’s approach reflects a balance between the way the system is designed (to meet peak demand) and the way it is u</w:t>
      </w:r>
      <w:r w:rsidR="006120C4">
        <w:t>sed</w:t>
      </w:r>
      <w:r w:rsidRPr="007E50F7">
        <w:t xml:space="preserve"> on an annual basis (throughput based on gas usage that occurs during all conditions, not only peak conditions).</w:t>
      </w:r>
    </w:p>
    <w:p w14:paraId="3C1DBD67" w14:textId="77777777" w:rsidR="008A14BC" w:rsidRPr="007E50F7" w:rsidRDefault="008A14BC" w:rsidP="008A14BC">
      <w:pPr>
        <w:pStyle w:val="Answer-Testimony"/>
      </w:pPr>
    </w:p>
    <w:p w14:paraId="3C1DBD68" w14:textId="77777777" w:rsidR="008A14BC" w:rsidRPr="007E50F7" w:rsidRDefault="008A14BC" w:rsidP="00A670D4">
      <w:pPr>
        <w:pStyle w:val="Question-Testimony"/>
        <w:keepNext/>
      </w:pPr>
      <w:r w:rsidRPr="007E50F7">
        <w:lastRenderedPageBreak/>
        <w:t>Q.</w:t>
      </w:r>
      <w:r w:rsidRPr="007E50F7">
        <w:tab/>
        <w:t>Please describe how Staff classified and allocated gas distribution mains.</w:t>
      </w:r>
    </w:p>
    <w:p w14:paraId="3C1DBD69" w14:textId="77777777" w:rsidR="008A14BC" w:rsidRPr="007E50F7" w:rsidRDefault="008A14BC" w:rsidP="008A14BC">
      <w:pPr>
        <w:pStyle w:val="Answer-Testimony"/>
      </w:pPr>
      <w:r w:rsidRPr="007E50F7">
        <w:t>A.</w:t>
      </w:r>
      <w:r w:rsidRPr="007E50F7">
        <w:tab/>
      </w:r>
      <w:r w:rsidR="008B09FF" w:rsidRPr="007E50F7">
        <w:t xml:space="preserve">As I noted earlier, </w:t>
      </w:r>
      <w:r w:rsidRPr="007E50F7">
        <w:t>Staff classifies the cost of distribution mains as a demand-related cost.  However, Staff does not allocate these costs based solely on peak demand.  Instead, Staff used the peak and average method for allocating this portion of demand-related costs.  This method allocates demand costs based on a combination of peak demand and average demand.  Average demand is essentially another term for average throughput.</w:t>
      </w:r>
    </w:p>
    <w:p w14:paraId="3C1DBD6A" w14:textId="77777777" w:rsidR="008A14BC" w:rsidRPr="007E50F7" w:rsidRDefault="008A14BC" w:rsidP="008A14BC">
      <w:pPr>
        <w:pStyle w:val="Answer-Testimony"/>
        <w:ind w:firstLine="720"/>
      </w:pPr>
      <w:r w:rsidRPr="007E50F7">
        <w:t>Staff used the system load factor</w:t>
      </w:r>
      <w:r w:rsidR="00B8433F" w:rsidRPr="007E50F7">
        <w:rPr>
          <w:rStyle w:val="FootnoteReference"/>
        </w:rPr>
        <w:footnoteReference w:id="49"/>
      </w:r>
      <w:r w:rsidRPr="007E50F7">
        <w:t xml:space="preserve"> to </w:t>
      </w:r>
      <w:r w:rsidR="008B09FF" w:rsidRPr="007E50F7">
        <w:t>determine</w:t>
      </w:r>
      <w:r w:rsidRPr="007E50F7">
        <w:t xml:space="preserve"> how much of the demand-related costs would be allocated based on average demand and how much would be allocated based on peak demand.  Staff calculated a system load factor based on weather-normalized throughput and peak demand.  The load factor is the ratio of average load to peak load, and when multiplied by the plant investment, provides an estimate of costs that can be attributed to average use rather than peak use.</w:t>
      </w:r>
    </w:p>
    <w:p w14:paraId="3C1DBD6B" w14:textId="77777777" w:rsidR="008A14BC" w:rsidRPr="007E50F7" w:rsidRDefault="008B09FF" w:rsidP="008A14BC">
      <w:pPr>
        <w:pStyle w:val="Answer-Testimony"/>
        <w:ind w:firstLine="720"/>
      </w:pPr>
      <w:r w:rsidRPr="007E50F7">
        <w:t>Staff used t</w:t>
      </w:r>
      <w:r w:rsidR="008A14BC" w:rsidRPr="007E50F7">
        <w:t>he resulting 3</w:t>
      </w:r>
      <w:r w:rsidR="007002E1">
        <w:t>9</w:t>
      </w:r>
      <w:r w:rsidR="008A14BC" w:rsidRPr="007E50F7">
        <w:t>.</w:t>
      </w:r>
      <w:r w:rsidR="007002E1">
        <w:t>8</w:t>
      </w:r>
      <w:r w:rsidR="008A14BC" w:rsidRPr="007E50F7">
        <w:t xml:space="preserve"> percent load factor to divide these demand-related costs into peak demand and average demand for purposes of allocating the costs to customer classes, with the demand-related costs being allocated 3</w:t>
      </w:r>
      <w:r w:rsidR="007002E1">
        <w:t>9</w:t>
      </w:r>
      <w:r w:rsidR="008A14BC" w:rsidRPr="007E50F7">
        <w:t>.</w:t>
      </w:r>
      <w:r w:rsidR="007002E1">
        <w:t>8</w:t>
      </w:r>
      <w:r w:rsidR="008A14BC" w:rsidRPr="007E50F7">
        <w:t xml:space="preserve"> percent on average demand and 6</w:t>
      </w:r>
      <w:r w:rsidR="007002E1">
        <w:t>0</w:t>
      </w:r>
      <w:r w:rsidR="008A14BC" w:rsidRPr="007E50F7">
        <w:t>.</w:t>
      </w:r>
      <w:r w:rsidR="007002E1">
        <w:t>2</w:t>
      </w:r>
      <w:r w:rsidR="008A14BC" w:rsidRPr="007E50F7">
        <w:t xml:space="preserve"> percent on peak demand.  The load factor provides a reasonable basis for determining what portion of these costs should be allocated based on average demand.</w:t>
      </w:r>
    </w:p>
    <w:p w14:paraId="3C1DBD6C" w14:textId="77777777" w:rsidR="008A14BC" w:rsidRPr="007E50F7" w:rsidRDefault="008A14BC" w:rsidP="008A14BC">
      <w:pPr>
        <w:pStyle w:val="Answer-Testimony"/>
      </w:pPr>
    </w:p>
    <w:p w14:paraId="3C1DBD6D" w14:textId="77777777" w:rsidR="008A14BC" w:rsidRPr="007E50F7" w:rsidDel="00C62601" w:rsidRDefault="008A14BC" w:rsidP="008A14BC">
      <w:pPr>
        <w:pStyle w:val="Question-Testimony"/>
      </w:pPr>
      <w:r w:rsidRPr="007E50F7">
        <w:t>Q.</w:t>
      </w:r>
      <w:r w:rsidRPr="007E50F7">
        <w:tab/>
        <w:t xml:space="preserve">Please </w:t>
      </w:r>
      <w:r w:rsidR="008B09FF" w:rsidRPr="007E50F7">
        <w:t xml:space="preserve">explain the specific steps </w:t>
      </w:r>
      <w:r w:rsidRPr="007E50F7">
        <w:t>in Staff</w:t>
      </w:r>
      <w:r w:rsidR="008B09FF" w:rsidRPr="007E50F7">
        <w:t xml:space="preserve">’s use of </w:t>
      </w:r>
      <w:r w:rsidR="00324FD1" w:rsidRPr="007E50F7">
        <w:t>the peak and average method</w:t>
      </w:r>
      <w:r w:rsidR="008B09FF" w:rsidRPr="007E50F7">
        <w:t xml:space="preserve"> to allocate the </w:t>
      </w:r>
      <w:r w:rsidRPr="007E50F7">
        <w:t>cost of distribution mains to the rate schedules.</w:t>
      </w:r>
    </w:p>
    <w:p w14:paraId="3C1DBD6E" w14:textId="77777777" w:rsidR="008A14BC" w:rsidRPr="007E50F7" w:rsidRDefault="008A14BC" w:rsidP="00183A08">
      <w:pPr>
        <w:pStyle w:val="Answer-Testimony"/>
      </w:pPr>
      <w:r w:rsidRPr="007E50F7">
        <w:lastRenderedPageBreak/>
        <w:t>A.</w:t>
      </w:r>
      <w:r w:rsidRPr="007E50F7">
        <w:tab/>
        <w:t xml:space="preserve">First, I divided total distribution mains plant into the portion to be allocated based on peak demand and the portion to be allocated based on average demand using the system </w:t>
      </w:r>
      <w:r w:rsidR="006120C4">
        <w:t xml:space="preserve">39.8 percent </w:t>
      </w:r>
      <w:r w:rsidRPr="007E50F7">
        <w:t xml:space="preserve">load factor </w:t>
      </w:r>
      <w:r w:rsidR="006120C4">
        <w:t xml:space="preserve">I </w:t>
      </w:r>
      <w:r w:rsidRPr="007E50F7">
        <w:t>described above.</w:t>
      </w:r>
      <w:r w:rsidR="00570356">
        <w:rPr>
          <w:rStyle w:val="FootnoteReference"/>
        </w:rPr>
        <w:footnoteReference w:id="50"/>
      </w:r>
      <w:r w:rsidRPr="007E50F7">
        <w:t xml:space="preserve">  This resulted in </w:t>
      </w:r>
      <w:r w:rsidRPr="00CE55AC">
        <w:t>$</w:t>
      </w:r>
      <w:r w:rsidR="00E61C3C" w:rsidRPr="00CE55AC">
        <w:t>61</w:t>
      </w:r>
      <w:r w:rsidRPr="00CE55AC">
        <w:t>.</w:t>
      </w:r>
      <w:r w:rsidR="00E61C3C" w:rsidRPr="00CE55AC">
        <w:t>3</w:t>
      </w:r>
      <w:r w:rsidRPr="00CE55AC">
        <w:t xml:space="preserve"> million (3</w:t>
      </w:r>
      <w:r w:rsidR="00E61C3C" w:rsidRPr="00CE55AC">
        <w:t>9</w:t>
      </w:r>
      <w:r w:rsidRPr="00CE55AC">
        <w:t>.</w:t>
      </w:r>
      <w:r w:rsidR="00E61C3C" w:rsidRPr="00CE55AC">
        <w:t>8</w:t>
      </w:r>
      <w:r w:rsidRPr="00CE55AC">
        <w:t xml:space="preserve"> percent) of plant allocated based on average demand and $</w:t>
      </w:r>
      <w:r w:rsidR="00E61C3C" w:rsidRPr="00CE55AC">
        <w:t>92</w:t>
      </w:r>
      <w:r w:rsidRPr="00CE55AC">
        <w:t>.</w:t>
      </w:r>
      <w:r w:rsidR="00E61C3C" w:rsidRPr="00CE55AC">
        <w:t>7</w:t>
      </w:r>
      <w:r w:rsidRPr="00CE55AC">
        <w:t xml:space="preserve"> m</w:t>
      </w:r>
      <w:r w:rsidRPr="007E50F7">
        <w:t>illion (6</w:t>
      </w:r>
      <w:r w:rsidR="00E61C3C">
        <w:t>0</w:t>
      </w:r>
      <w:r w:rsidRPr="007E50F7">
        <w:t>.</w:t>
      </w:r>
      <w:r w:rsidR="00E61C3C">
        <w:t>2</w:t>
      </w:r>
      <w:r w:rsidRPr="007E50F7">
        <w:t xml:space="preserve"> percent) allocated based on peak demand.</w:t>
      </w:r>
    </w:p>
    <w:p w14:paraId="3C1DBD6F" w14:textId="77777777" w:rsidR="008A14BC" w:rsidRPr="007E50F7" w:rsidRDefault="008A14BC" w:rsidP="008A14BC">
      <w:pPr>
        <w:pStyle w:val="Answer-Testimony"/>
        <w:ind w:firstLine="720"/>
      </w:pPr>
      <w:r w:rsidRPr="007E50F7">
        <w:t>Second, I allocated the 6</w:t>
      </w:r>
      <w:r w:rsidR="00E61C3C">
        <w:t>0</w:t>
      </w:r>
      <w:r w:rsidRPr="007E50F7">
        <w:t>.</w:t>
      </w:r>
      <w:r w:rsidR="00E61C3C">
        <w:t>2</w:t>
      </w:r>
      <w:r w:rsidRPr="007E50F7">
        <w:t xml:space="preserve"> percent based on peak demand to all customer classes based on their estimated contributions to the peak demand.</w:t>
      </w:r>
    </w:p>
    <w:p w14:paraId="3C1DBD70" w14:textId="77777777" w:rsidR="008A14BC" w:rsidRPr="007E50F7" w:rsidRDefault="008A14BC" w:rsidP="008A14BC">
      <w:pPr>
        <w:pStyle w:val="Answer-Testimony"/>
        <w:ind w:firstLine="720"/>
      </w:pPr>
      <w:r w:rsidRPr="007E50F7">
        <w:t>Third, I split the 3</w:t>
      </w:r>
      <w:r w:rsidR="00E61C3C">
        <w:t>9</w:t>
      </w:r>
      <w:r w:rsidRPr="007E50F7">
        <w:t>.</w:t>
      </w:r>
      <w:r w:rsidR="00E61C3C">
        <w:t>8</w:t>
      </w:r>
      <w:r w:rsidRPr="007E50F7">
        <w:t xml:space="preserve"> percent based on average demand into three groups: (1) large main (greater than or equal to four inches in diameter); (2) medium main (two to three inches in diameter); and (3) small main (less than two inches in diameter).  I allocated large main to all customer classes based on annual weather normalized throughput.  I allocated small main to all classes except Schedules 131, 132, </w:t>
      </w:r>
      <w:r w:rsidR="00E01292" w:rsidRPr="007E50F7">
        <w:t xml:space="preserve">and </w:t>
      </w:r>
      <w:r w:rsidRPr="007E50F7">
        <w:t>146 based on annual weather normalized throughput.  I allocated medium main 33.3 percent to all classes and 66.7 percent to all classes except 146 based on annual weather normalized throughput.</w:t>
      </w:r>
    </w:p>
    <w:p w14:paraId="3C1DBD71" w14:textId="77777777" w:rsidR="008B09FF" w:rsidRPr="007E50F7" w:rsidRDefault="008B09FF" w:rsidP="008A14BC">
      <w:pPr>
        <w:pStyle w:val="Answer-Testimony"/>
        <w:ind w:firstLine="720"/>
      </w:pPr>
      <w:r w:rsidRPr="007E50F7">
        <w:t xml:space="preserve">My </w:t>
      </w:r>
      <w:r w:rsidR="001A57FE">
        <w:t>Exhibit No. ___ (</w:t>
      </w:r>
      <w:proofErr w:type="spellStart"/>
      <w:r w:rsidR="001A57FE">
        <w:t>CTM</w:t>
      </w:r>
      <w:proofErr w:type="spellEnd"/>
      <w:r w:rsidR="00172925" w:rsidRPr="00964C8A">
        <w:t>-</w:t>
      </w:r>
      <w:r w:rsidR="00172925" w:rsidRPr="00CE55AC">
        <w:t>8</w:t>
      </w:r>
      <w:r w:rsidR="001F57BB" w:rsidRPr="00CE55AC">
        <w:t>)</w:t>
      </w:r>
      <w:r w:rsidRPr="007E50F7">
        <w:t xml:space="preserve"> is a chart showing these steps.</w:t>
      </w:r>
    </w:p>
    <w:p w14:paraId="3C1DBD72" w14:textId="77777777" w:rsidR="00FF45FB" w:rsidRPr="007E50F7" w:rsidRDefault="00FF45FB" w:rsidP="0073643F">
      <w:pPr>
        <w:pStyle w:val="Answer-Testimony"/>
      </w:pPr>
    </w:p>
    <w:p w14:paraId="3C1DBD73" w14:textId="77777777" w:rsidR="008A14BC" w:rsidRPr="007E50F7" w:rsidRDefault="008A14BC" w:rsidP="008A14BC">
      <w:pPr>
        <w:pStyle w:val="Question-Testimony"/>
      </w:pPr>
      <w:r w:rsidRPr="007E50F7">
        <w:t>Q.</w:t>
      </w:r>
      <w:r w:rsidRPr="007E50F7">
        <w:tab/>
        <w:t>Why did you not allocate mains less than two inches in diameter to all classes?</w:t>
      </w:r>
    </w:p>
    <w:p w14:paraId="3C1DBD74" w14:textId="77777777" w:rsidR="009651B5" w:rsidRPr="007E50F7" w:rsidRDefault="008A14BC" w:rsidP="008A14BC">
      <w:pPr>
        <w:pStyle w:val="Answer-Testimony"/>
      </w:pPr>
      <w:r w:rsidRPr="007E50F7">
        <w:t>A.</w:t>
      </w:r>
      <w:r w:rsidRPr="007E50F7">
        <w:tab/>
        <w:t>These smallest mains are located in isolated locations on the Company’s system and thus are unlikely to provide</w:t>
      </w:r>
      <w:r w:rsidR="008B09FF" w:rsidRPr="007E50F7">
        <w:t xml:space="preserve"> the</w:t>
      </w:r>
      <w:r w:rsidRPr="007E50F7">
        <w:t xml:space="preserve"> benefits</w:t>
      </w:r>
      <w:r w:rsidR="008B09FF" w:rsidRPr="007E50F7">
        <w:t xml:space="preserve"> I have described</w:t>
      </w:r>
      <w:r w:rsidRPr="007E50F7">
        <w:t xml:space="preserve"> to the large commercial and industrial</w:t>
      </w:r>
      <w:r w:rsidR="008B09FF" w:rsidRPr="007E50F7">
        <w:t xml:space="preserve"> customers</w:t>
      </w:r>
      <w:r w:rsidRPr="007E50F7">
        <w:t xml:space="preserve"> served on Schedules 131, 132, </w:t>
      </w:r>
      <w:r w:rsidR="00B0186D" w:rsidRPr="007E50F7">
        <w:t xml:space="preserve">and </w:t>
      </w:r>
      <w:r w:rsidRPr="007E50F7">
        <w:t xml:space="preserve">146, </w:t>
      </w:r>
      <w:r w:rsidR="001F57BB">
        <w:t xml:space="preserve">compared to </w:t>
      </w:r>
      <w:r w:rsidRPr="007E50F7">
        <w:t>medium</w:t>
      </w:r>
      <w:r w:rsidR="001F57BB">
        <w:t>-sized</w:t>
      </w:r>
      <w:r w:rsidRPr="007E50F7">
        <w:t xml:space="preserve"> main</w:t>
      </w:r>
      <w:r w:rsidR="009651B5" w:rsidRPr="007E50F7">
        <w:t>s</w:t>
      </w:r>
      <w:r w:rsidR="001F57BB">
        <w:t>, which</w:t>
      </w:r>
      <w:r w:rsidRPr="007E50F7">
        <w:t xml:space="preserve"> </w:t>
      </w:r>
      <w:r w:rsidR="009651B5" w:rsidRPr="007E50F7">
        <w:t xml:space="preserve">are located </w:t>
      </w:r>
      <w:r w:rsidRPr="007E50F7">
        <w:t xml:space="preserve">throughout the </w:t>
      </w:r>
      <w:r w:rsidR="009651B5" w:rsidRPr="007E50F7">
        <w:t xml:space="preserve">Company’s </w:t>
      </w:r>
      <w:r w:rsidRPr="007E50F7">
        <w:t>distribution system.</w:t>
      </w:r>
    </w:p>
    <w:p w14:paraId="3C1DBD75" w14:textId="77777777" w:rsidR="009651B5" w:rsidRPr="007E50F7" w:rsidRDefault="009651B5" w:rsidP="009651B5">
      <w:pPr>
        <w:pStyle w:val="Answer-Testimony"/>
        <w:ind w:firstLine="720"/>
      </w:pPr>
      <w:r w:rsidRPr="007E50F7">
        <w:lastRenderedPageBreak/>
        <w:t>I also grouped t</w:t>
      </w:r>
      <w:r w:rsidR="008A14BC" w:rsidRPr="007E50F7">
        <w:t>hree inch main</w:t>
      </w:r>
      <w:r w:rsidRPr="007E50F7">
        <w:t>s</w:t>
      </w:r>
      <w:r w:rsidR="008A14BC" w:rsidRPr="007E50F7">
        <w:t xml:space="preserve"> with</w:t>
      </w:r>
      <w:r w:rsidRPr="007E50F7">
        <w:t xml:space="preserve"> the</w:t>
      </w:r>
      <w:r w:rsidR="008A14BC" w:rsidRPr="007E50F7">
        <w:t xml:space="preserve"> two inch main</w:t>
      </w:r>
      <w:r w:rsidRPr="007E50F7">
        <w:t xml:space="preserve">s because Avista has </w:t>
      </w:r>
      <w:r w:rsidR="00183A08" w:rsidRPr="007E50F7">
        <w:t>few</w:t>
      </w:r>
      <w:r w:rsidR="008A14BC" w:rsidRPr="007E50F7">
        <w:t xml:space="preserve"> three inch main</w:t>
      </w:r>
      <w:r w:rsidR="00183A08" w:rsidRPr="007E50F7">
        <w:t>s</w:t>
      </w:r>
      <w:r w:rsidR="008A14BC" w:rsidRPr="007E50F7">
        <w:t xml:space="preserve"> in </w:t>
      </w:r>
      <w:r w:rsidRPr="007E50F7">
        <w:t>its</w:t>
      </w:r>
      <w:r w:rsidR="008A14BC" w:rsidRPr="007E50F7">
        <w:t xml:space="preserve"> system.  By contra</w:t>
      </w:r>
      <w:r w:rsidR="006120C4">
        <w:t>s</w:t>
      </w:r>
      <w:r w:rsidR="008A14BC" w:rsidRPr="007E50F7">
        <w:t>t, large main</w:t>
      </w:r>
      <w:r w:rsidRPr="007E50F7">
        <w:t>s</w:t>
      </w:r>
      <w:r w:rsidR="008A14BC" w:rsidRPr="007E50F7">
        <w:t xml:space="preserve"> (four inch</w:t>
      </w:r>
      <w:r w:rsidRPr="007E50F7">
        <w:t xml:space="preserve"> </w:t>
      </w:r>
      <w:r w:rsidR="008A14BC" w:rsidRPr="007E50F7">
        <w:t xml:space="preserve">diameter and greater) </w:t>
      </w:r>
      <w:r w:rsidR="00F054D1" w:rsidRPr="007E50F7">
        <w:t>are</w:t>
      </w:r>
      <w:r w:rsidR="008A14BC" w:rsidRPr="007E50F7">
        <w:t xml:space="preserve"> the </w:t>
      </w:r>
      <w:r w:rsidR="006120C4">
        <w:t>“</w:t>
      </w:r>
      <w:r w:rsidR="008A14BC" w:rsidRPr="007E50F7">
        <w:t>backbone</w:t>
      </w:r>
      <w:r w:rsidR="006120C4">
        <w:t>”</w:t>
      </w:r>
      <w:r w:rsidR="008A14BC" w:rsidRPr="007E50F7">
        <w:t xml:space="preserve"> of </w:t>
      </w:r>
      <w:r w:rsidRPr="007E50F7">
        <w:t xml:space="preserve">Avista’s </w:t>
      </w:r>
      <w:r w:rsidR="008A14BC" w:rsidRPr="007E50F7">
        <w:t xml:space="preserve">system, and </w:t>
      </w:r>
      <w:r w:rsidRPr="007E50F7">
        <w:t xml:space="preserve">Avista uses </w:t>
      </w:r>
      <w:r w:rsidR="008A14BC" w:rsidRPr="007E50F7">
        <w:t>medium to small main</w:t>
      </w:r>
      <w:r w:rsidR="001F57BB">
        <w:t>s</w:t>
      </w:r>
      <w:r w:rsidR="008A14BC" w:rsidRPr="007E50F7">
        <w:t xml:space="preserve"> (two</w:t>
      </w:r>
      <w:r w:rsidRPr="007E50F7">
        <w:t xml:space="preserve"> </w:t>
      </w:r>
      <w:r w:rsidR="008A14BC" w:rsidRPr="007E50F7">
        <w:t>inch</w:t>
      </w:r>
      <w:r w:rsidRPr="007E50F7">
        <w:t xml:space="preserve"> diameter</w:t>
      </w:r>
      <w:r w:rsidR="008A14BC" w:rsidRPr="007E50F7">
        <w:t xml:space="preserve"> and smaller) to deliver gas to most of the customers.</w:t>
      </w:r>
    </w:p>
    <w:p w14:paraId="3C1DBD76" w14:textId="77777777" w:rsidR="008A14BC" w:rsidRPr="007E50F7" w:rsidRDefault="008A14BC" w:rsidP="009651B5">
      <w:pPr>
        <w:pStyle w:val="Answer-Testimony"/>
        <w:ind w:firstLine="720"/>
      </w:pPr>
      <w:r w:rsidRPr="007E50F7">
        <w:t xml:space="preserve">Therefore, </w:t>
      </w:r>
      <w:r w:rsidR="00CE371B" w:rsidRPr="007E50F7">
        <w:t>Staff’s approach acknowledges the fact that the smallest main</w:t>
      </w:r>
      <w:r w:rsidR="00183A08" w:rsidRPr="007E50F7">
        <w:t>s are</w:t>
      </w:r>
      <w:r w:rsidR="00CE371B" w:rsidRPr="007E50F7">
        <w:t xml:space="preserve"> in isolated locations on the system and </w:t>
      </w:r>
      <w:r w:rsidR="00183A08" w:rsidRPr="007E50F7">
        <w:t xml:space="preserve">they are </w:t>
      </w:r>
      <w:r w:rsidR="00CE371B" w:rsidRPr="007E50F7">
        <w:t>unlikely to benefit large commercial and industrial customers.</w:t>
      </w:r>
    </w:p>
    <w:p w14:paraId="3C1DBD77" w14:textId="77777777" w:rsidR="008A14BC" w:rsidRPr="007E50F7" w:rsidRDefault="008A14BC" w:rsidP="008A14BC">
      <w:pPr>
        <w:pStyle w:val="Answer-Testimony"/>
      </w:pPr>
    </w:p>
    <w:p w14:paraId="3C1DBD78" w14:textId="77777777" w:rsidR="008A14BC" w:rsidRPr="007E50F7" w:rsidRDefault="008A14BC" w:rsidP="008A14BC">
      <w:pPr>
        <w:pStyle w:val="Question-Testimony"/>
      </w:pPr>
      <w:r w:rsidRPr="007E50F7">
        <w:t>Q.</w:t>
      </w:r>
      <w:r w:rsidRPr="007E50F7">
        <w:tab/>
        <w:t>Why did you split medium mains (those two to three inches in diameter) into two groups?</w:t>
      </w:r>
    </w:p>
    <w:p w14:paraId="3C1DBD79" w14:textId="77777777" w:rsidR="008A14BC" w:rsidRPr="007E50F7" w:rsidRDefault="008A14BC" w:rsidP="009651B5">
      <w:pPr>
        <w:pStyle w:val="Answer-Testimony"/>
      </w:pPr>
      <w:r w:rsidRPr="007E50F7">
        <w:t>A.</w:t>
      </w:r>
      <w:r w:rsidRPr="007E50F7">
        <w:tab/>
      </w:r>
      <w:r w:rsidR="009651B5" w:rsidRPr="007E50F7">
        <w:t>Staff did this to reasonably allocate the cost of this plant.</w:t>
      </w:r>
      <w:r w:rsidRPr="007E50F7">
        <w:t xml:space="preserve"> </w:t>
      </w:r>
      <w:r w:rsidR="009651B5" w:rsidRPr="007E50F7">
        <w:t xml:space="preserve"> </w:t>
      </w:r>
      <w:r w:rsidRPr="007E50F7">
        <w:t xml:space="preserve">Giving the largest interruptible customers a full allocation of the costs of medium-sized mains </w:t>
      </w:r>
      <w:r w:rsidR="009651B5" w:rsidRPr="007E50F7">
        <w:t xml:space="preserve">arguably places too much </w:t>
      </w:r>
      <w:r w:rsidRPr="007E50F7">
        <w:t>emphasis on system benefits,</w:t>
      </w:r>
      <w:r w:rsidR="009651B5" w:rsidRPr="007E50F7">
        <w:t xml:space="preserve"> yet</w:t>
      </w:r>
      <w:r w:rsidRPr="007E50F7">
        <w:t xml:space="preserve"> </w:t>
      </w:r>
      <w:r w:rsidR="001F57BB">
        <w:t xml:space="preserve">to use </w:t>
      </w:r>
      <w:r w:rsidRPr="007E50F7">
        <w:t xml:space="preserve">a zero allocation </w:t>
      </w:r>
      <w:r w:rsidR="006120C4">
        <w:t>would assume no system benefits whatsoever</w:t>
      </w:r>
      <w:r w:rsidR="001F57BB">
        <w:t>, which is also wrong</w:t>
      </w:r>
      <w:r w:rsidR="006120C4">
        <w:t>.</w:t>
      </w:r>
      <w:r w:rsidR="009651B5" w:rsidRPr="007E50F7">
        <w:t xml:space="preserve">  </w:t>
      </w:r>
      <w:r w:rsidRPr="007E50F7">
        <w:t xml:space="preserve">Staff’s approach </w:t>
      </w:r>
      <w:r w:rsidR="009651B5" w:rsidRPr="007E50F7">
        <w:t xml:space="preserve">is a </w:t>
      </w:r>
      <w:r w:rsidRPr="007E50F7">
        <w:t>balance</w:t>
      </w:r>
      <w:r w:rsidR="009651B5" w:rsidRPr="007E50F7">
        <w:t xml:space="preserve"> between</w:t>
      </w:r>
      <w:r w:rsidRPr="007E50F7">
        <w:t xml:space="preserve"> </w:t>
      </w:r>
      <w:r w:rsidR="006120C4">
        <w:t xml:space="preserve">these </w:t>
      </w:r>
      <w:r w:rsidR="009651B5" w:rsidRPr="007E50F7">
        <w:t>extremes</w:t>
      </w:r>
      <w:r w:rsidRPr="007E50F7">
        <w:t>.</w:t>
      </w:r>
    </w:p>
    <w:p w14:paraId="3C1DBD7A" w14:textId="77777777" w:rsidR="008A14BC" w:rsidRPr="007E50F7" w:rsidRDefault="008A14BC" w:rsidP="008A14BC">
      <w:pPr>
        <w:pStyle w:val="Question-Testimony"/>
      </w:pPr>
    </w:p>
    <w:p w14:paraId="3C1DBD7B" w14:textId="77777777" w:rsidR="008A14BC" w:rsidRPr="007E50F7" w:rsidRDefault="008A14BC" w:rsidP="008A14BC">
      <w:pPr>
        <w:pStyle w:val="Question-Testimony"/>
      </w:pPr>
      <w:r w:rsidRPr="007E50F7">
        <w:t>Q.</w:t>
      </w:r>
      <w:r w:rsidRPr="007E50F7">
        <w:tab/>
        <w:t>Why did Staff choose the one-third, two-thirds split, with one third of medium main being allocated to all customers and two thirds to all classes except Schedule 146 (interruptible)?</w:t>
      </w:r>
    </w:p>
    <w:p w14:paraId="3C1DBD7C" w14:textId="77777777" w:rsidR="008A14BC" w:rsidRPr="005629EE" w:rsidRDefault="008A14BC" w:rsidP="008A14BC">
      <w:pPr>
        <w:pStyle w:val="Answer-Testimony"/>
      </w:pPr>
      <w:r w:rsidRPr="005629EE">
        <w:t>A.</w:t>
      </w:r>
      <w:r w:rsidRPr="005629EE">
        <w:tab/>
        <w:t xml:space="preserve">Staff considered the historical treatment of these customers and the benefits associated with being part of the gas distribution system for other </w:t>
      </w:r>
      <w:r w:rsidR="004E01D4">
        <w:t>investor</w:t>
      </w:r>
      <w:r w:rsidR="006120C4">
        <w:t>-owned utilities</w:t>
      </w:r>
      <w:r w:rsidRPr="005629EE">
        <w:t xml:space="preserve">.  Historically, Schedule 146 customers and contract customers had some assignment of costs related to medium main, but that assignment was small.  Prior to </w:t>
      </w:r>
      <w:r w:rsidRPr="005629EE">
        <w:lastRenderedPageBreak/>
        <w:t xml:space="preserve">this general rate case, the </w:t>
      </w:r>
      <w:r w:rsidR="009651B5" w:rsidRPr="005629EE">
        <w:t xml:space="preserve">only medium-sized mains the </w:t>
      </w:r>
      <w:r w:rsidRPr="005629EE">
        <w:t xml:space="preserve">Company would assign to those largest customers </w:t>
      </w:r>
      <w:r w:rsidR="009651B5" w:rsidRPr="005629EE">
        <w:t xml:space="preserve">were </w:t>
      </w:r>
      <w:r w:rsidRPr="005629EE">
        <w:t>based on a direct assignment.</w:t>
      </w:r>
    </w:p>
    <w:p w14:paraId="3C1DBD7D" w14:textId="77777777" w:rsidR="008A14BC" w:rsidRPr="007E50F7" w:rsidRDefault="008A14BC" w:rsidP="008A14BC">
      <w:pPr>
        <w:pStyle w:val="Answer-Testimony"/>
        <w:ind w:firstLine="720"/>
      </w:pPr>
      <w:r w:rsidRPr="005629EE">
        <w:t xml:space="preserve">Staff’s two-thirds weighting is an acknowledgement </w:t>
      </w:r>
      <w:r w:rsidRPr="007E50F7">
        <w:t>that, in the past, the</w:t>
      </w:r>
      <w:r w:rsidR="009651B5" w:rsidRPr="007E50F7">
        <w:t>se large customers were assigned</w:t>
      </w:r>
      <w:r w:rsidRPr="007E50F7">
        <w:t xml:space="preserve"> very </w:t>
      </w:r>
      <w:r w:rsidR="009651B5" w:rsidRPr="007E50F7">
        <w:t>little of the costs of distribution mains</w:t>
      </w:r>
      <w:r w:rsidRPr="007E50F7">
        <w:t>.  The one-third weighting acknowledges the benefits to all customers of being part of a distribution system.  Consequently, while the cost assignment of medium main</w:t>
      </w:r>
      <w:r w:rsidR="006120C4">
        <w:t>s</w:t>
      </w:r>
      <w:r w:rsidRPr="007E50F7">
        <w:t xml:space="preserve"> to Schedule 146 customers should be small, it should not be zero even though Avista has </w:t>
      </w:r>
      <w:r w:rsidR="009651B5" w:rsidRPr="007E50F7">
        <w:t xml:space="preserve">not curtailed a single </w:t>
      </w:r>
      <w:r w:rsidRPr="007E50F7">
        <w:t>Schedule 146 or contract customer</w:t>
      </w:r>
      <w:r w:rsidR="008030BF">
        <w:t xml:space="preserve"> </w:t>
      </w:r>
      <w:r w:rsidR="008030BF" w:rsidRPr="007E50F7">
        <w:t>for the last decade</w:t>
      </w:r>
      <w:r w:rsidR="008030BF">
        <w:t>,</w:t>
      </w:r>
      <w:r w:rsidR="008030BF" w:rsidRPr="007E50F7">
        <w:rPr>
          <w:rStyle w:val="FootnoteReference"/>
        </w:rPr>
        <w:footnoteReference w:id="51"/>
      </w:r>
    </w:p>
    <w:p w14:paraId="3C1DBD7E" w14:textId="77777777" w:rsidR="008A14BC" w:rsidRPr="007E50F7" w:rsidRDefault="008A14BC" w:rsidP="008A14BC">
      <w:pPr>
        <w:pStyle w:val="Question-Testimony"/>
      </w:pPr>
    </w:p>
    <w:p w14:paraId="3C1DBD7F" w14:textId="77777777" w:rsidR="008A14BC" w:rsidRPr="007E50F7" w:rsidRDefault="008A14BC" w:rsidP="008A14BC">
      <w:pPr>
        <w:pStyle w:val="Question-Testimony"/>
      </w:pPr>
      <w:r w:rsidRPr="007E50F7">
        <w:t>Q.</w:t>
      </w:r>
      <w:r w:rsidRPr="007E50F7">
        <w:tab/>
        <w:t>Please summarize the benefits of the Staff’s peak and average method for allocating gas distribution mains.</w:t>
      </w:r>
    </w:p>
    <w:p w14:paraId="3C1DBD80" w14:textId="77777777" w:rsidR="008A14BC" w:rsidRPr="007E50F7" w:rsidRDefault="008A14BC" w:rsidP="008A14BC">
      <w:pPr>
        <w:pStyle w:val="Answer-Testimony"/>
      </w:pPr>
      <w:r w:rsidRPr="007E50F7">
        <w:t>A.</w:t>
      </w:r>
      <w:r w:rsidRPr="007E50F7">
        <w:tab/>
      </w:r>
      <w:r w:rsidRPr="007E50F7">
        <w:rPr>
          <w:rStyle w:val="answerChar"/>
        </w:rPr>
        <w:t xml:space="preserve">There are </w:t>
      </w:r>
      <w:r w:rsidR="009651B5" w:rsidRPr="007E50F7">
        <w:rPr>
          <w:rStyle w:val="answerChar"/>
        </w:rPr>
        <w:t xml:space="preserve">three primary </w:t>
      </w:r>
      <w:r w:rsidRPr="007E50F7">
        <w:rPr>
          <w:rStyle w:val="answerChar"/>
        </w:rPr>
        <w:t>benefits to Staff’s peak and average method</w:t>
      </w:r>
      <w:r w:rsidRPr="007E50F7">
        <w:t xml:space="preserve">.  First, this method recognizes that all customers benefit from the entire gas system of medium and large mains as a whole, not only from the stretch of main through which gas flows to reach the individual customer.  The system is a network of pipes that provides benefits to customers in addition to </w:t>
      </w:r>
      <w:r w:rsidR="006120C4">
        <w:t xml:space="preserve">the benefits </w:t>
      </w:r>
      <w:r w:rsidRPr="007E50F7">
        <w:t>provid</w:t>
      </w:r>
      <w:r w:rsidR="006120C4">
        <w:t>ed by</w:t>
      </w:r>
      <w:r w:rsidRPr="007E50F7">
        <w:t xml:space="preserve"> the stretch of pipe through which molecules flow to reach the individual customer.</w:t>
      </w:r>
    </w:p>
    <w:p w14:paraId="3C1DBD81" w14:textId="77777777" w:rsidR="008A14BC" w:rsidRPr="007E50F7" w:rsidRDefault="009651B5" w:rsidP="008A14BC">
      <w:pPr>
        <w:pStyle w:val="Answer-Testimony"/>
        <w:ind w:firstLine="720"/>
      </w:pPr>
      <w:r w:rsidRPr="007E50F7">
        <w:t>Second</w:t>
      </w:r>
      <w:r w:rsidR="008A14BC" w:rsidRPr="007E50F7">
        <w:t>, by exempting large customers from any allocation of the cost of the smallest diameter main (less than two inches), Staff’s method acknowledges the fact that the</w:t>
      </w:r>
      <w:r w:rsidRPr="007E50F7">
        <w:t>se</w:t>
      </w:r>
      <w:r w:rsidR="008A14BC" w:rsidRPr="007E50F7">
        <w:t xml:space="preserve"> smallest main</w:t>
      </w:r>
      <w:r w:rsidR="00305F27" w:rsidRPr="007E50F7">
        <w:t>s</w:t>
      </w:r>
      <w:r w:rsidR="008A14BC" w:rsidRPr="007E50F7">
        <w:t xml:space="preserve"> </w:t>
      </w:r>
      <w:r w:rsidRPr="007E50F7">
        <w:t xml:space="preserve">are located in </w:t>
      </w:r>
      <w:r w:rsidR="008A14BC" w:rsidRPr="007E50F7">
        <w:t xml:space="preserve">isolated locations on the system and </w:t>
      </w:r>
      <w:r w:rsidR="00305F27" w:rsidRPr="007E50F7">
        <w:t>are</w:t>
      </w:r>
      <w:r w:rsidR="008A14BC" w:rsidRPr="007E50F7">
        <w:t xml:space="preserve"> unlikely to benefit large commercial and industrial customers.</w:t>
      </w:r>
    </w:p>
    <w:p w14:paraId="3C1DBD82" w14:textId="77777777" w:rsidR="008A14BC" w:rsidRPr="007E50F7" w:rsidRDefault="009651B5" w:rsidP="008A14BC">
      <w:pPr>
        <w:pStyle w:val="Answer-Testimony"/>
        <w:ind w:firstLine="720"/>
      </w:pPr>
      <w:r w:rsidRPr="007E50F7">
        <w:lastRenderedPageBreak/>
        <w:t>Third</w:t>
      </w:r>
      <w:r w:rsidR="008A14BC" w:rsidRPr="007E50F7">
        <w:t xml:space="preserve">, </w:t>
      </w:r>
      <w:r w:rsidR="00756C1F" w:rsidRPr="007E50F7">
        <w:t xml:space="preserve">Staff recognizes that the benefits of medium diameter mains to large interruptible customers are less than the benefits to other </w:t>
      </w:r>
      <w:r w:rsidR="0086135A" w:rsidRPr="007E50F7">
        <w:t xml:space="preserve">customers, </w:t>
      </w:r>
      <w:r w:rsidRPr="007E50F7">
        <w:t xml:space="preserve">by allocating only a portion of the cost of </w:t>
      </w:r>
      <w:r w:rsidR="008A14BC" w:rsidRPr="007E50F7">
        <w:t>two</w:t>
      </w:r>
      <w:r w:rsidR="004162C7" w:rsidRPr="007E50F7">
        <w:t xml:space="preserve"> and three</w:t>
      </w:r>
      <w:r w:rsidR="008A14BC" w:rsidRPr="007E50F7">
        <w:t xml:space="preserve"> inch diameter main</w:t>
      </w:r>
      <w:r w:rsidR="004162C7" w:rsidRPr="007E50F7">
        <w:t>s</w:t>
      </w:r>
      <w:r w:rsidR="008A14BC" w:rsidRPr="007E50F7">
        <w:t xml:space="preserve"> to large</w:t>
      </w:r>
      <w:r w:rsidRPr="007E50F7">
        <w:t xml:space="preserve"> interruptible</w:t>
      </w:r>
      <w:r w:rsidR="008A14BC" w:rsidRPr="007E50F7">
        <w:t xml:space="preserve"> customers.</w:t>
      </w:r>
    </w:p>
    <w:p w14:paraId="3C1DBD83" w14:textId="77777777" w:rsidR="00B9714C" w:rsidRPr="007E50F7" w:rsidRDefault="00B9714C" w:rsidP="00B9714C">
      <w:pPr>
        <w:pStyle w:val="Question-Testimony"/>
      </w:pPr>
    </w:p>
    <w:p w14:paraId="3C1DBD84" w14:textId="77777777" w:rsidR="00B9714C" w:rsidRPr="007E50F7" w:rsidRDefault="00B9714C" w:rsidP="00B9714C">
      <w:pPr>
        <w:pStyle w:val="Question-Testimony"/>
      </w:pPr>
      <w:r w:rsidRPr="007E50F7">
        <w:t>Q.</w:t>
      </w:r>
      <w:r w:rsidRPr="007E50F7">
        <w:tab/>
        <w:t xml:space="preserve">Has Staff’s approach to allocation of distribution mains </w:t>
      </w:r>
      <w:r w:rsidR="00BB3890" w:rsidRPr="007E50F7">
        <w:t xml:space="preserve">been </w:t>
      </w:r>
      <w:r w:rsidR="00CF368B">
        <w:t>proposed</w:t>
      </w:r>
      <w:r w:rsidR="00BB3890" w:rsidRPr="007E50F7">
        <w:t xml:space="preserve"> </w:t>
      </w:r>
      <w:r w:rsidR="00756C1F" w:rsidRPr="007E50F7">
        <w:t>by</w:t>
      </w:r>
      <w:r w:rsidR="00BB3890" w:rsidRPr="007E50F7">
        <w:t xml:space="preserve"> </w:t>
      </w:r>
      <w:r w:rsidRPr="007E50F7">
        <w:t xml:space="preserve">other </w:t>
      </w:r>
      <w:r w:rsidR="00E01292" w:rsidRPr="007E50F7">
        <w:t xml:space="preserve">investor-owned </w:t>
      </w:r>
      <w:r w:rsidR="006120C4">
        <w:t xml:space="preserve">gas </w:t>
      </w:r>
      <w:r w:rsidRPr="007E50F7">
        <w:t>utilities</w:t>
      </w:r>
      <w:r w:rsidR="006120C4">
        <w:t xml:space="preserve"> in this state</w:t>
      </w:r>
      <w:r w:rsidRPr="007E50F7">
        <w:t>?</w:t>
      </w:r>
    </w:p>
    <w:p w14:paraId="3C1DBD85" w14:textId="77777777" w:rsidR="008A14BC" w:rsidRPr="007E50F7" w:rsidRDefault="00B9714C" w:rsidP="00B9714C">
      <w:pPr>
        <w:pStyle w:val="Answer-Testimony"/>
      </w:pPr>
      <w:r w:rsidRPr="007E50F7">
        <w:t>A.</w:t>
      </w:r>
      <w:r w:rsidRPr="007E50F7">
        <w:tab/>
        <w:t xml:space="preserve">Yes.  </w:t>
      </w:r>
      <w:r w:rsidR="004D4979" w:rsidRPr="007E50F7">
        <w:t xml:space="preserve">A similar </w:t>
      </w:r>
      <w:r w:rsidR="00E01292" w:rsidRPr="007E50F7">
        <w:t>approach for</w:t>
      </w:r>
      <w:r w:rsidR="00BB3890" w:rsidRPr="007E50F7">
        <w:t xml:space="preserve"> allocating distribution mains has been </w:t>
      </w:r>
      <w:r w:rsidR="00CF368B">
        <w:t>proposed</w:t>
      </w:r>
      <w:r w:rsidR="00BB3890" w:rsidRPr="007E50F7">
        <w:t xml:space="preserve"> </w:t>
      </w:r>
      <w:r w:rsidR="00F054D1" w:rsidRPr="007E50F7">
        <w:t>by</w:t>
      </w:r>
      <w:r w:rsidR="00BB3890" w:rsidRPr="007E50F7">
        <w:t xml:space="preserve"> </w:t>
      </w:r>
      <w:r w:rsidR="008F306C" w:rsidRPr="007E50F7">
        <w:t>Puget Sound Energy, Inc</w:t>
      </w:r>
      <w:r w:rsidRPr="007E50F7">
        <w:t>.</w:t>
      </w:r>
      <w:r w:rsidR="00ED2522" w:rsidRPr="007E50F7">
        <w:t xml:space="preserve"> (“PSE”)</w:t>
      </w:r>
      <w:r w:rsidR="00BB3890" w:rsidRPr="007E50F7">
        <w:t xml:space="preserve"> in </w:t>
      </w:r>
      <w:r w:rsidR="008030BF">
        <w:t xml:space="preserve">its </w:t>
      </w:r>
      <w:r w:rsidR="00BB3890" w:rsidRPr="007E50F7">
        <w:t>last three general rate cases</w:t>
      </w:r>
      <w:r w:rsidR="00985FE5">
        <w:t>,</w:t>
      </w:r>
      <w:r w:rsidR="00E41F0E" w:rsidRPr="007E50F7">
        <w:rPr>
          <w:rStyle w:val="FootnoteReference"/>
        </w:rPr>
        <w:footnoteReference w:id="52"/>
      </w:r>
      <w:r w:rsidR="00BB3890" w:rsidRPr="007E50F7">
        <w:t xml:space="preserve"> but </w:t>
      </w:r>
      <w:r w:rsidR="006120C4">
        <w:t xml:space="preserve">the issue </w:t>
      </w:r>
      <w:r w:rsidR="00F054D1" w:rsidRPr="007E50F7">
        <w:t xml:space="preserve">was </w:t>
      </w:r>
      <w:r w:rsidR="00BB3890" w:rsidRPr="007E50F7">
        <w:t xml:space="preserve">never </w:t>
      </w:r>
      <w:r w:rsidR="00773D7B" w:rsidRPr="007E50F7">
        <w:t>fully litigated to a C</w:t>
      </w:r>
      <w:r w:rsidR="00BB3890" w:rsidRPr="007E50F7">
        <w:t>ommission</w:t>
      </w:r>
      <w:r w:rsidR="00773D7B" w:rsidRPr="007E50F7">
        <w:t xml:space="preserve"> </w:t>
      </w:r>
      <w:r w:rsidR="00F054D1" w:rsidRPr="007E50F7">
        <w:t xml:space="preserve">decision </w:t>
      </w:r>
      <w:r w:rsidR="00BB3890" w:rsidRPr="007E50F7">
        <w:t>due to settlements.</w:t>
      </w:r>
    </w:p>
    <w:p w14:paraId="3C1DBD86" w14:textId="77777777" w:rsidR="008B7F26" w:rsidRPr="007E50F7" w:rsidRDefault="008B7F26" w:rsidP="008B7F26">
      <w:pPr>
        <w:pStyle w:val="Answer-Testimony"/>
      </w:pPr>
    </w:p>
    <w:p w14:paraId="3C1DBD87" w14:textId="77777777" w:rsidR="008B7F26" w:rsidRPr="007E50F7" w:rsidRDefault="006511E4" w:rsidP="00A670D4">
      <w:pPr>
        <w:pStyle w:val="Heading6"/>
      </w:pPr>
      <w:bookmarkStart w:id="46" w:name="_Toc391992051"/>
      <w:bookmarkStart w:id="47" w:name="_Toc393696934"/>
      <w:r>
        <w:t xml:space="preserve">Classification and </w:t>
      </w:r>
      <w:r w:rsidR="009C1C8A">
        <w:t>Allocation of Underground Storage Plant Costs</w:t>
      </w:r>
      <w:bookmarkEnd w:id="46"/>
      <w:bookmarkEnd w:id="47"/>
    </w:p>
    <w:p w14:paraId="3C1DBD88" w14:textId="77777777" w:rsidR="00FC560A" w:rsidRPr="007E50F7" w:rsidRDefault="00FC560A" w:rsidP="00FC560A">
      <w:pPr>
        <w:pStyle w:val="Question-Testimony"/>
      </w:pPr>
    </w:p>
    <w:p w14:paraId="3C1DBD89" w14:textId="77777777" w:rsidR="00FC560A" w:rsidRPr="007E50F7" w:rsidRDefault="00FC560A" w:rsidP="00FC560A">
      <w:pPr>
        <w:pStyle w:val="Question-Testimony"/>
      </w:pPr>
      <w:r w:rsidRPr="007E50F7">
        <w:t>Q.</w:t>
      </w:r>
      <w:r w:rsidRPr="007E50F7">
        <w:tab/>
      </w:r>
      <w:r>
        <w:t xml:space="preserve">How did Staff allocate </w:t>
      </w:r>
      <w:r w:rsidR="00CF368B">
        <w:t xml:space="preserve">natural gas </w:t>
      </w:r>
      <w:r>
        <w:t>underground storage plant costs</w:t>
      </w:r>
      <w:r w:rsidRPr="007E50F7">
        <w:t>?</w:t>
      </w:r>
    </w:p>
    <w:p w14:paraId="3C1DBD8A" w14:textId="77777777" w:rsidR="009C1C8A" w:rsidRDefault="00FC560A" w:rsidP="00FC560A">
      <w:pPr>
        <w:pStyle w:val="Answer-Testimony"/>
      </w:pPr>
      <w:r w:rsidRPr="007E50F7">
        <w:t>A.</w:t>
      </w:r>
      <w:r w:rsidRPr="007E50F7">
        <w:tab/>
      </w:r>
      <w:r>
        <w:t xml:space="preserve">Staff </w:t>
      </w:r>
      <w:r w:rsidR="00CF368B">
        <w:t>allocated Jackson Prairie natural gas underground storage plant costs with a</w:t>
      </w:r>
      <w:r w:rsidRPr="00FC560A">
        <w:t xml:space="preserve"> 20 percent load balancing benefit for</w:t>
      </w:r>
      <w:r>
        <w:t xml:space="preserve"> all customers and 80 percent commodity storage benefit for sales customers</w:t>
      </w:r>
      <w:r w:rsidR="00E83300">
        <w:t>.  These are the same percentages</w:t>
      </w:r>
      <w:r>
        <w:t xml:space="preserve"> P</w:t>
      </w:r>
      <w:r w:rsidR="00127DB6">
        <w:t xml:space="preserve">uget </w:t>
      </w:r>
      <w:r w:rsidR="006E6B14">
        <w:t>S</w:t>
      </w:r>
      <w:r w:rsidR="00127DB6">
        <w:t xml:space="preserve">ound </w:t>
      </w:r>
      <w:r w:rsidR="006E6B14">
        <w:t>E</w:t>
      </w:r>
      <w:r w:rsidR="00127DB6">
        <w:t xml:space="preserve">nergy </w:t>
      </w:r>
      <w:r w:rsidR="00C03A7D">
        <w:t>(“PSE”)</w:t>
      </w:r>
      <w:r w:rsidR="00E83300">
        <w:t xml:space="preserve"> used in its</w:t>
      </w:r>
      <w:r w:rsidR="00EC311E">
        <w:t xml:space="preserve"> natural gas cost of service </w:t>
      </w:r>
      <w:r w:rsidR="00CF368B" w:rsidRPr="00CF368B">
        <w:t>studies</w:t>
      </w:r>
      <w:r w:rsidR="00CF368B">
        <w:t xml:space="preserve"> since</w:t>
      </w:r>
      <w:r w:rsidR="00EC311E">
        <w:t xml:space="preserve"> Docket No. </w:t>
      </w:r>
      <w:proofErr w:type="spellStart"/>
      <w:r w:rsidR="00EC311E">
        <w:t>UG</w:t>
      </w:r>
      <w:proofErr w:type="spellEnd"/>
      <w:r w:rsidR="00EC311E">
        <w:t>-</w:t>
      </w:r>
      <w:r w:rsidR="00CF368B">
        <w:t>0</w:t>
      </w:r>
      <w:r w:rsidR="00EC311E">
        <w:t>11</w:t>
      </w:r>
      <w:r w:rsidR="00CF368B">
        <w:t>571</w:t>
      </w:r>
      <w:r>
        <w:t>.</w:t>
      </w:r>
      <w:r w:rsidR="004657B1">
        <w:rPr>
          <w:rStyle w:val="FootnoteReference"/>
        </w:rPr>
        <w:footnoteReference w:id="53"/>
      </w:r>
    </w:p>
    <w:p w14:paraId="3C1DBD8B" w14:textId="77777777" w:rsidR="00FC560A" w:rsidRDefault="00FC560A" w:rsidP="00FC560A">
      <w:pPr>
        <w:pStyle w:val="Answer-Testimony"/>
      </w:pPr>
    </w:p>
    <w:p w14:paraId="3C1DBD8C" w14:textId="77777777" w:rsidR="009C1C8A" w:rsidRPr="00FC560A" w:rsidRDefault="009C1C8A" w:rsidP="00A670D4">
      <w:pPr>
        <w:pStyle w:val="Question-Testimony"/>
        <w:keepNext/>
      </w:pPr>
      <w:r w:rsidRPr="00FC560A">
        <w:lastRenderedPageBreak/>
        <w:t>Q.</w:t>
      </w:r>
      <w:r w:rsidRPr="00FC560A">
        <w:tab/>
        <w:t xml:space="preserve">Please explain how </w:t>
      </w:r>
      <w:r w:rsidR="00E83300">
        <w:t>Avista currently allocates</w:t>
      </w:r>
      <w:r w:rsidRPr="00FC560A">
        <w:t xml:space="preserve"> </w:t>
      </w:r>
      <w:r w:rsidR="00FC560A" w:rsidRPr="00FC560A">
        <w:t>underground storage plant costs</w:t>
      </w:r>
      <w:r w:rsidRPr="00FC560A">
        <w:t>.</w:t>
      </w:r>
    </w:p>
    <w:p w14:paraId="3C1DBD8D" w14:textId="77777777" w:rsidR="00FC560A" w:rsidRPr="00EC311E" w:rsidRDefault="009C1C8A" w:rsidP="00EC311E">
      <w:pPr>
        <w:pStyle w:val="Answer-Testimony"/>
      </w:pPr>
      <w:r w:rsidRPr="00FC560A">
        <w:t>A.</w:t>
      </w:r>
      <w:r w:rsidRPr="00FC560A">
        <w:tab/>
      </w:r>
      <w:r w:rsidR="00E83300">
        <w:t>Avista allocates</w:t>
      </w:r>
      <w:r w:rsidR="00FC560A">
        <w:t xml:space="preserve"> u</w:t>
      </w:r>
      <w:r w:rsidR="00FC560A" w:rsidRPr="00FC560A">
        <w:t xml:space="preserve">nderground storage </w:t>
      </w:r>
      <w:r w:rsidR="00FC560A">
        <w:t xml:space="preserve">plant </w:t>
      </w:r>
      <w:r w:rsidR="00FC560A" w:rsidRPr="00FC560A">
        <w:t xml:space="preserve">costs </w:t>
      </w:r>
      <w:r w:rsidR="00E83300">
        <w:t>by providing</w:t>
      </w:r>
      <w:r w:rsidR="00FC560A" w:rsidRPr="00FC560A">
        <w:t xml:space="preserve"> </w:t>
      </w:r>
      <w:r w:rsidR="00FC560A">
        <w:t xml:space="preserve">13 percent </w:t>
      </w:r>
      <w:r w:rsidR="00FC560A" w:rsidRPr="00FC560A">
        <w:t xml:space="preserve">load balancing benefits for all customers </w:t>
      </w:r>
      <w:r w:rsidR="00FC560A">
        <w:t xml:space="preserve">and 87 percent </w:t>
      </w:r>
      <w:r w:rsidR="00FC560A" w:rsidRPr="00FC560A">
        <w:t>commodity storage benefits for sales customers.</w:t>
      </w:r>
      <w:r w:rsidR="00FC560A">
        <w:t xml:space="preserve">  This </w:t>
      </w:r>
      <w:r w:rsidR="00FC560A" w:rsidRPr="00FC560A">
        <w:t xml:space="preserve">assignment of costs was agreed to as part of </w:t>
      </w:r>
      <w:r w:rsidR="00EC311E">
        <w:t xml:space="preserve">an </w:t>
      </w:r>
      <w:r w:rsidR="00FC560A" w:rsidRPr="00FC560A">
        <w:t xml:space="preserve">all-party Settlement Agreement in Docket No. </w:t>
      </w:r>
      <w:proofErr w:type="spellStart"/>
      <w:r w:rsidR="00FC560A" w:rsidRPr="00FC560A">
        <w:t>UG</w:t>
      </w:r>
      <w:proofErr w:type="spellEnd"/>
      <w:r w:rsidR="00FC560A" w:rsidRPr="00FC560A">
        <w:t>-</w:t>
      </w:r>
      <w:r w:rsidR="00FC560A" w:rsidRPr="00EC311E">
        <w:t>100468.</w:t>
      </w:r>
      <w:r w:rsidR="007E2ECA" w:rsidRPr="00EC311E">
        <w:rPr>
          <w:rStyle w:val="FootnoteReference"/>
        </w:rPr>
        <w:footnoteReference w:id="54"/>
      </w:r>
    </w:p>
    <w:p w14:paraId="3C1DBD8E" w14:textId="77777777" w:rsidR="00131D93" w:rsidRPr="00EC311E" w:rsidRDefault="00131D93" w:rsidP="00EC311E">
      <w:pPr>
        <w:pStyle w:val="Answer-Testimony"/>
      </w:pPr>
    </w:p>
    <w:p w14:paraId="3C1DBD8F" w14:textId="77777777" w:rsidR="00131D93" w:rsidRPr="00EC311E" w:rsidRDefault="00131D93" w:rsidP="00EC311E">
      <w:pPr>
        <w:pStyle w:val="Question-Testimony"/>
      </w:pPr>
      <w:r w:rsidRPr="00EC311E">
        <w:t>Q.</w:t>
      </w:r>
      <w:r w:rsidRPr="00EC311E">
        <w:tab/>
      </w:r>
      <w:r w:rsidR="00214F6E">
        <w:t>Is there a reason</w:t>
      </w:r>
      <w:r w:rsidR="00EC311E" w:rsidRPr="00EC311E">
        <w:t xml:space="preserve"> not </w:t>
      </w:r>
      <w:r w:rsidR="00214F6E">
        <w:t xml:space="preserve">to continue to </w:t>
      </w:r>
      <w:r w:rsidR="00EC311E" w:rsidRPr="00EC311E">
        <w:t xml:space="preserve">use the agreed split </w:t>
      </w:r>
      <w:r w:rsidR="00214F6E">
        <w:t>from that prior</w:t>
      </w:r>
      <w:r w:rsidR="00EC311E" w:rsidRPr="00EC311E">
        <w:t xml:space="preserve"> Settlement?</w:t>
      </w:r>
    </w:p>
    <w:p w14:paraId="3C1DBD90" w14:textId="77777777" w:rsidR="00131D93" w:rsidRPr="003D5017" w:rsidRDefault="00131D93" w:rsidP="00131D93">
      <w:pPr>
        <w:pStyle w:val="Answer-Testimony"/>
        <w:rPr>
          <w:color w:val="FF0000"/>
        </w:rPr>
      </w:pPr>
      <w:r w:rsidRPr="005C0C34">
        <w:t>A.</w:t>
      </w:r>
      <w:r w:rsidRPr="005C0C34">
        <w:tab/>
      </w:r>
      <w:r w:rsidR="00214F6E">
        <w:t>Yes.  Staff’s</w:t>
      </w:r>
      <w:r w:rsidR="00127DB6">
        <w:t xml:space="preserve"> </w:t>
      </w:r>
      <w:r w:rsidR="00EC311E">
        <w:t>20 percent for balancing</w:t>
      </w:r>
      <w:r w:rsidR="004657B1" w:rsidRPr="00DA48BC">
        <w:t xml:space="preserve"> (and pressure)</w:t>
      </w:r>
      <w:r w:rsidR="00EC311E">
        <w:t xml:space="preserve"> and 80 percent for storage</w:t>
      </w:r>
      <w:r w:rsidR="00214F6E" w:rsidRPr="005C0C34">
        <w:t xml:space="preserve"> </w:t>
      </w:r>
      <w:r w:rsidR="00214F6E">
        <w:t xml:space="preserve">is based on a system balancing study by </w:t>
      </w:r>
      <w:r w:rsidR="00EC311E" w:rsidRPr="005C0C34">
        <w:t>P</w:t>
      </w:r>
      <w:r w:rsidR="006E6B14" w:rsidRPr="005C0C34">
        <w:t>SE</w:t>
      </w:r>
      <w:r w:rsidR="00C03A7D">
        <w:t>,</w:t>
      </w:r>
      <w:r w:rsidR="00214F6E">
        <w:t xml:space="preserve"> one of the other </w:t>
      </w:r>
      <w:r w:rsidR="00C03A7D">
        <w:t>co-</w:t>
      </w:r>
      <w:r w:rsidR="00214F6E">
        <w:t>owners</w:t>
      </w:r>
      <w:r w:rsidR="002F1C10">
        <w:rPr>
          <w:rStyle w:val="FootnoteReference"/>
        </w:rPr>
        <w:footnoteReference w:id="55"/>
      </w:r>
      <w:r w:rsidR="00214F6E">
        <w:t xml:space="preserve"> of the Jackson Prairie</w:t>
      </w:r>
      <w:r w:rsidR="00C03A7D">
        <w:t xml:space="preserve"> storage facility.</w:t>
      </w:r>
      <w:r w:rsidR="00214F6E">
        <w:t xml:space="preserve">  </w:t>
      </w:r>
      <w:r w:rsidR="00C03A7D">
        <w:t xml:space="preserve">PSE </w:t>
      </w:r>
      <w:r w:rsidR="00EC311E">
        <w:t>operat</w:t>
      </w:r>
      <w:r w:rsidR="006E6B14">
        <w:t xml:space="preserve">es the </w:t>
      </w:r>
      <w:r w:rsidR="00EC311E">
        <w:t>Jackson Prairie</w:t>
      </w:r>
      <w:r w:rsidR="006E6B14">
        <w:t xml:space="preserve"> underground storage facility</w:t>
      </w:r>
      <w:r w:rsidR="00C03A7D">
        <w:t xml:space="preserve"> and its system balancing study provides an accurate measure of the benefits of underground storage at Jackson Prairie</w:t>
      </w:r>
      <w:r w:rsidR="00EC311E">
        <w:t>, to reflect any other percentage would be inaccurate.</w:t>
      </w:r>
    </w:p>
    <w:p w14:paraId="3C1DBD91" w14:textId="77777777" w:rsidR="00127DB6" w:rsidRPr="002E5E02" w:rsidRDefault="00127DB6" w:rsidP="00127DB6">
      <w:pPr>
        <w:pStyle w:val="Answer-Testimony"/>
      </w:pPr>
    </w:p>
    <w:p w14:paraId="3C1DBD92" w14:textId="77777777" w:rsidR="00127DB6" w:rsidRPr="00F654A7" w:rsidRDefault="00127DB6" w:rsidP="00127DB6">
      <w:pPr>
        <w:pStyle w:val="Question-Testimony"/>
      </w:pPr>
      <w:r w:rsidRPr="00C70C7C">
        <w:t>Q.</w:t>
      </w:r>
      <w:r w:rsidRPr="00C70C7C">
        <w:tab/>
      </w:r>
      <w:r>
        <w:t xml:space="preserve">Overall, does Staff’s cost of service study reasonably and fairly </w:t>
      </w:r>
      <w:r w:rsidRPr="00C70C7C">
        <w:t>allocat</w:t>
      </w:r>
      <w:r>
        <w:t>e</w:t>
      </w:r>
      <w:r w:rsidRPr="00C70C7C">
        <w:t xml:space="preserve"> plant and </w:t>
      </w:r>
      <w:r w:rsidRPr="00F654A7">
        <w:t>expenses?</w:t>
      </w:r>
    </w:p>
    <w:p w14:paraId="3C1DBD93" w14:textId="77777777" w:rsidR="00127DB6" w:rsidRPr="00F654A7" w:rsidRDefault="00127DB6" w:rsidP="00127DB6">
      <w:pPr>
        <w:pStyle w:val="Answer-Testimony"/>
      </w:pPr>
      <w:r w:rsidRPr="00F654A7">
        <w:t>A.</w:t>
      </w:r>
      <w:r w:rsidRPr="00F654A7">
        <w:tab/>
        <w:t>Yes.  Overall, the Staff’s cost of service study reasonably functionalizes, classifies</w:t>
      </w:r>
      <w:r>
        <w:t>,</w:t>
      </w:r>
      <w:r w:rsidRPr="00F654A7">
        <w:t xml:space="preserve"> and allocates capital investments and operating expenses to each rate schedule.  Staff’s </w:t>
      </w:r>
      <w:r>
        <w:t xml:space="preserve">natural gas </w:t>
      </w:r>
      <w:r w:rsidRPr="00F654A7">
        <w:t>cost of service study fairly and equitably identifies the costs required to serve each particular customer class.</w:t>
      </w:r>
    </w:p>
    <w:p w14:paraId="3C1DBD94" w14:textId="77777777" w:rsidR="008A14BC" w:rsidRPr="007E50F7" w:rsidRDefault="008A14BC" w:rsidP="00B9714C">
      <w:pPr>
        <w:pStyle w:val="Answer-Testimony"/>
      </w:pPr>
    </w:p>
    <w:p w14:paraId="3C1DBD95" w14:textId="77777777" w:rsidR="008A14BC" w:rsidRPr="007E50F7" w:rsidRDefault="008A14BC" w:rsidP="008A14BC">
      <w:pPr>
        <w:pStyle w:val="Question-Testimony"/>
      </w:pPr>
      <w:r w:rsidRPr="007E50F7">
        <w:lastRenderedPageBreak/>
        <w:t>Q.</w:t>
      </w:r>
      <w:r w:rsidRPr="007E50F7">
        <w:tab/>
      </w:r>
      <w:r w:rsidR="00B9714C" w:rsidRPr="007E50F7">
        <w:t xml:space="preserve">Have you prepared a table </w:t>
      </w:r>
      <w:r w:rsidRPr="007E50F7">
        <w:t>summariz</w:t>
      </w:r>
      <w:r w:rsidR="00B9714C" w:rsidRPr="007E50F7">
        <w:t>ing</w:t>
      </w:r>
      <w:r w:rsidRPr="007E50F7">
        <w:t xml:space="preserve"> the results of Staff’s cost of service study</w:t>
      </w:r>
      <w:r w:rsidR="00B9714C" w:rsidRPr="007E50F7">
        <w:t>?</w:t>
      </w:r>
    </w:p>
    <w:p w14:paraId="3C1DBD96" w14:textId="77777777" w:rsidR="007123A3" w:rsidRPr="00CE55AC" w:rsidRDefault="008A14BC" w:rsidP="00662816">
      <w:pPr>
        <w:pStyle w:val="Answer-Testimony"/>
      </w:pPr>
      <w:r w:rsidRPr="007E50F7">
        <w:t>A.</w:t>
      </w:r>
      <w:r w:rsidRPr="007E50F7">
        <w:tab/>
      </w:r>
      <w:r w:rsidR="00B9714C" w:rsidRPr="007E50F7">
        <w:t xml:space="preserve">Yes.  </w:t>
      </w:r>
      <w:r w:rsidR="00B9714C" w:rsidRPr="00CE55AC">
        <w:t xml:space="preserve">Table </w:t>
      </w:r>
      <w:r w:rsidR="00121F14" w:rsidRPr="00CE55AC">
        <w:t>3</w:t>
      </w:r>
      <w:r w:rsidR="000B1479" w:rsidRPr="00CE55AC">
        <w:t xml:space="preserve"> </w:t>
      </w:r>
      <w:r w:rsidR="00B9714C" w:rsidRPr="007E50F7">
        <w:t>below sets forth t</w:t>
      </w:r>
      <w:r w:rsidRPr="007E50F7">
        <w:t>he parity</w:t>
      </w:r>
      <w:r w:rsidR="00B9714C" w:rsidRPr="007E50F7">
        <w:t xml:space="preserve"> ratios</w:t>
      </w:r>
      <w:r w:rsidRPr="007E50F7">
        <w:t xml:space="preserve"> under current </w:t>
      </w:r>
      <w:r w:rsidR="008E2B33" w:rsidRPr="007E50F7">
        <w:t>rate structure</w:t>
      </w:r>
      <w:r w:rsidR="00002ADF" w:rsidRPr="007E50F7">
        <w:t xml:space="preserve"> using the </w:t>
      </w:r>
      <w:r w:rsidR="00A8237F" w:rsidRPr="007E50F7">
        <w:t>Company</w:t>
      </w:r>
      <w:r w:rsidR="00002ADF" w:rsidRPr="007E50F7">
        <w:t>’s cost of service</w:t>
      </w:r>
      <w:r w:rsidR="00CE371B" w:rsidRPr="007E50F7">
        <w:t>, and Staff’s propos</w:t>
      </w:r>
      <w:r w:rsidR="008E2B33" w:rsidRPr="007E50F7">
        <w:t>al</w:t>
      </w:r>
      <w:r w:rsidRPr="007E50F7">
        <w:t xml:space="preserve">.  </w:t>
      </w:r>
      <w:r w:rsidR="00B9714C" w:rsidRPr="007E50F7">
        <w:t>As I explained earlier in my discussion of the electric cost of service study, t</w:t>
      </w:r>
      <w:r w:rsidRPr="007E50F7">
        <w:t xml:space="preserve">he parity </w:t>
      </w:r>
      <w:r w:rsidR="00B9714C" w:rsidRPr="007E50F7">
        <w:t>ratios</w:t>
      </w:r>
      <w:r w:rsidRPr="007E50F7">
        <w:t xml:space="preserve"> indicates what portion of the cost of service customers pay under </w:t>
      </w:r>
      <w:r w:rsidR="00CE371B" w:rsidRPr="007E50F7">
        <w:t xml:space="preserve">each of the </w:t>
      </w:r>
      <w:r w:rsidRPr="007E50F7">
        <w:t>rate</w:t>
      </w:r>
      <w:r w:rsidR="00CE371B" w:rsidRPr="007E50F7">
        <w:t xml:space="preserve"> </w:t>
      </w:r>
      <w:r w:rsidRPr="007E50F7">
        <w:t>s</w:t>
      </w:r>
      <w:r w:rsidR="00CE371B" w:rsidRPr="007E50F7">
        <w:t>tructures</w:t>
      </w:r>
      <w:r w:rsidRPr="007E50F7">
        <w:t xml:space="preserve">, relative to other customer classes.  These results are provided in the summary of results from the cost of service study </w:t>
      </w:r>
      <w:r w:rsidRPr="00CE55AC">
        <w:t xml:space="preserve">on page one, line </w:t>
      </w:r>
      <w:r w:rsidR="004C774D" w:rsidRPr="00CE55AC">
        <w:t>220</w:t>
      </w:r>
      <w:r w:rsidRPr="00CE55AC">
        <w:t xml:space="preserve"> of </w:t>
      </w:r>
      <w:r w:rsidR="00CE371B" w:rsidRPr="00CE55AC">
        <w:t xml:space="preserve">my </w:t>
      </w:r>
      <w:r w:rsidRPr="00CE55AC">
        <w:t>Exhibit No. ___</w:t>
      </w:r>
      <w:r w:rsidR="008F3EA0" w:rsidRPr="00CE55AC">
        <w:t xml:space="preserve"> </w:t>
      </w:r>
      <w:r w:rsidRPr="00CE55AC">
        <w:t>(</w:t>
      </w:r>
      <w:proofErr w:type="spellStart"/>
      <w:r w:rsidR="00CE371B" w:rsidRPr="00CE55AC">
        <w:t>CTM</w:t>
      </w:r>
      <w:proofErr w:type="spellEnd"/>
      <w:r w:rsidRPr="00CE55AC">
        <w:t>-</w:t>
      </w:r>
      <w:r w:rsidR="00176609" w:rsidRPr="00CE55AC">
        <w:t>5</w:t>
      </w:r>
      <w:r w:rsidRPr="00CE55AC">
        <w:t>).</w:t>
      </w:r>
    </w:p>
    <w:tbl>
      <w:tblPr>
        <w:tblpPr w:leftFromText="187" w:rightFromText="187" w:vertAnchor="text" w:horzAnchor="page" w:tblpX="2634" w:tblpY="8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1296"/>
        <w:gridCol w:w="1296"/>
      </w:tblGrid>
      <w:tr w:rsidR="00CE55AC" w:rsidRPr="00CE55AC" w14:paraId="3C1DBD9B" w14:textId="77777777" w:rsidTr="006D56EA">
        <w:trPr>
          <w:cantSplit/>
        </w:trPr>
        <w:tc>
          <w:tcPr>
            <w:tcW w:w="5335" w:type="dxa"/>
            <w:vAlign w:val="center"/>
          </w:tcPr>
          <w:p w14:paraId="3C1DBD97" w14:textId="77777777" w:rsidR="006D56EA" w:rsidRPr="00CE55AC" w:rsidRDefault="006D56EA" w:rsidP="00B9369D">
            <w:pPr>
              <w:pStyle w:val="answer"/>
              <w:keepNext/>
              <w:spacing w:before="60" w:after="60" w:line="240" w:lineRule="auto"/>
              <w:ind w:left="0" w:firstLine="0"/>
              <w:jc w:val="center"/>
              <w:rPr>
                <w:b/>
              </w:rPr>
            </w:pPr>
            <w:r w:rsidRPr="00CE55AC">
              <w:rPr>
                <w:b/>
              </w:rPr>
              <w:t>Customer Class</w:t>
            </w:r>
          </w:p>
        </w:tc>
        <w:tc>
          <w:tcPr>
            <w:tcW w:w="1296" w:type="dxa"/>
            <w:vAlign w:val="center"/>
          </w:tcPr>
          <w:p w14:paraId="3C1DBD98" w14:textId="77777777" w:rsidR="006D56EA" w:rsidRPr="00CE55AC" w:rsidRDefault="006D56EA" w:rsidP="00002ADF">
            <w:pPr>
              <w:pStyle w:val="answer"/>
              <w:keepNext/>
              <w:spacing w:before="60" w:after="60" w:line="240" w:lineRule="auto"/>
              <w:ind w:left="0" w:firstLine="0"/>
              <w:jc w:val="center"/>
              <w:rPr>
                <w:b/>
              </w:rPr>
            </w:pPr>
            <w:r w:rsidRPr="00CE55AC">
              <w:rPr>
                <w:b/>
              </w:rPr>
              <w:t>Company</w:t>
            </w:r>
          </w:p>
          <w:p w14:paraId="3C1DBD99" w14:textId="77777777" w:rsidR="006D56EA" w:rsidRPr="00CE55AC" w:rsidRDefault="006D56EA" w:rsidP="00002ADF">
            <w:pPr>
              <w:pStyle w:val="answer"/>
              <w:keepNext/>
              <w:spacing w:before="60" w:after="60" w:line="240" w:lineRule="auto"/>
              <w:ind w:left="0" w:firstLine="0"/>
              <w:jc w:val="center"/>
              <w:rPr>
                <w:b/>
              </w:rPr>
            </w:pPr>
            <w:r w:rsidRPr="00CE55AC">
              <w:rPr>
                <w:b/>
              </w:rPr>
              <w:t>Current</w:t>
            </w:r>
          </w:p>
        </w:tc>
        <w:tc>
          <w:tcPr>
            <w:tcW w:w="1296" w:type="dxa"/>
            <w:vAlign w:val="center"/>
          </w:tcPr>
          <w:p w14:paraId="3C1DBD9A" w14:textId="77777777" w:rsidR="006D56EA" w:rsidRPr="00CE55AC" w:rsidRDefault="006D56EA" w:rsidP="006D56EA">
            <w:pPr>
              <w:pStyle w:val="answer"/>
              <w:keepNext/>
              <w:spacing w:before="60" w:after="60" w:line="240" w:lineRule="auto"/>
              <w:ind w:left="0" w:firstLine="0"/>
              <w:jc w:val="center"/>
              <w:rPr>
                <w:b/>
              </w:rPr>
            </w:pPr>
            <w:r w:rsidRPr="00CE55AC">
              <w:rPr>
                <w:b/>
              </w:rPr>
              <w:t>Staff Current</w:t>
            </w:r>
          </w:p>
        </w:tc>
      </w:tr>
      <w:tr w:rsidR="00CE55AC" w:rsidRPr="00CE55AC" w14:paraId="3C1DBD9F" w14:textId="77777777" w:rsidTr="006D56EA">
        <w:trPr>
          <w:cantSplit/>
        </w:trPr>
        <w:tc>
          <w:tcPr>
            <w:tcW w:w="5335" w:type="dxa"/>
            <w:vAlign w:val="center"/>
          </w:tcPr>
          <w:p w14:paraId="3C1DBD9C" w14:textId="77777777" w:rsidR="006D56EA" w:rsidRPr="00CE55AC" w:rsidRDefault="006D56EA" w:rsidP="00A8237F">
            <w:pPr>
              <w:pStyle w:val="answer"/>
              <w:keepNext/>
              <w:spacing w:before="60" w:after="60" w:line="240" w:lineRule="auto"/>
              <w:ind w:left="0" w:firstLine="0"/>
            </w:pPr>
            <w:r w:rsidRPr="00CE55AC">
              <w:t>Total System</w:t>
            </w:r>
          </w:p>
        </w:tc>
        <w:tc>
          <w:tcPr>
            <w:tcW w:w="1296" w:type="dxa"/>
            <w:vAlign w:val="center"/>
          </w:tcPr>
          <w:p w14:paraId="3C1DBD9D" w14:textId="77777777" w:rsidR="006D56EA" w:rsidRPr="00CE55AC" w:rsidRDefault="006D56EA" w:rsidP="00A8237F">
            <w:pPr>
              <w:pStyle w:val="answer"/>
              <w:keepNext/>
              <w:spacing w:before="60" w:after="60" w:line="240" w:lineRule="auto"/>
              <w:ind w:left="0" w:firstLine="0"/>
              <w:jc w:val="center"/>
            </w:pPr>
            <w:r w:rsidRPr="00CE55AC">
              <w:t>1.00</w:t>
            </w:r>
          </w:p>
        </w:tc>
        <w:tc>
          <w:tcPr>
            <w:tcW w:w="1296" w:type="dxa"/>
            <w:vAlign w:val="center"/>
          </w:tcPr>
          <w:p w14:paraId="3C1DBD9E" w14:textId="77777777" w:rsidR="006D56EA" w:rsidRPr="00CE55AC" w:rsidRDefault="006D56EA" w:rsidP="00A8237F">
            <w:pPr>
              <w:pStyle w:val="answer"/>
              <w:keepNext/>
              <w:spacing w:before="60" w:after="60" w:line="240" w:lineRule="auto"/>
              <w:ind w:left="0" w:firstLine="0"/>
              <w:jc w:val="center"/>
            </w:pPr>
            <w:r w:rsidRPr="00CE55AC">
              <w:t>1.00</w:t>
            </w:r>
          </w:p>
        </w:tc>
      </w:tr>
      <w:tr w:rsidR="00CE55AC" w:rsidRPr="00CE55AC" w14:paraId="3C1DBDA3" w14:textId="77777777" w:rsidTr="006D56EA">
        <w:trPr>
          <w:cantSplit/>
        </w:trPr>
        <w:tc>
          <w:tcPr>
            <w:tcW w:w="5335" w:type="dxa"/>
            <w:vAlign w:val="center"/>
          </w:tcPr>
          <w:p w14:paraId="3C1DBDA0" w14:textId="77777777" w:rsidR="006D56EA" w:rsidRPr="00CE55AC" w:rsidRDefault="006D56EA" w:rsidP="00512E81">
            <w:pPr>
              <w:pStyle w:val="answer"/>
              <w:keepNext/>
              <w:spacing w:before="60" w:after="60" w:line="240" w:lineRule="auto"/>
              <w:ind w:left="0" w:firstLine="0"/>
            </w:pPr>
            <w:r w:rsidRPr="00CE55AC">
              <w:t>General Service (Schedule 101)</w:t>
            </w:r>
          </w:p>
        </w:tc>
        <w:tc>
          <w:tcPr>
            <w:tcW w:w="1296" w:type="dxa"/>
            <w:vAlign w:val="center"/>
          </w:tcPr>
          <w:p w14:paraId="3C1DBDA1" w14:textId="77777777" w:rsidR="006D56EA" w:rsidRPr="00CE55AC" w:rsidRDefault="006D56EA" w:rsidP="006D56EA">
            <w:pPr>
              <w:pStyle w:val="answer"/>
              <w:keepNext/>
              <w:spacing w:before="60" w:after="60" w:line="240" w:lineRule="auto"/>
              <w:ind w:left="0" w:firstLine="0"/>
              <w:jc w:val="center"/>
            </w:pPr>
            <w:r w:rsidRPr="00CE55AC">
              <w:t>0.9</w:t>
            </w:r>
            <w:r w:rsidR="00E225A5" w:rsidRPr="00CE55AC">
              <w:t>7</w:t>
            </w:r>
          </w:p>
        </w:tc>
        <w:tc>
          <w:tcPr>
            <w:tcW w:w="1296" w:type="dxa"/>
            <w:vAlign w:val="center"/>
          </w:tcPr>
          <w:p w14:paraId="3C1DBDA2" w14:textId="77777777" w:rsidR="006D56EA" w:rsidRPr="00CE55AC" w:rsidRDefault="006D56EA" w:rsidP="00D846E5">
            <w:pPr>
              <w:pStyle w:val="answer"/>
              <w:keepNext/>
              <w:spacing w:before="60" w:after="60" w:line="240" w:lineRule="auto"/>
              <w:ind w:left="0" w:firstLine="0"/>
              <w:jc w:val="center"/>
            </w:pPr>
            <w:r w:rsidRPr="00CE55AC">
              <w:t>0.</w:t>
            </w:r>
            <w:r w:rsidR="00E225A5" w:rsidRPr="00CE55AC">
              <w:t>94</w:t>
            </w:r>
          </w:p>
        </w:tc>
      </w:tr>
      <w:tr w:rsidR="00CE55AC" w:rsidRPr="00CE55AC" w14:paraId="3C1DBDA7" w14:textId="77777777" w:rsidTr="006D56EA">
        <w:trPr>
          <w:cantSplit/>
        </w:trPr>
        <w:tc>
          <w:tcPr>
            <w:tcW w:w="5335" w:type="dxa"/>
            <w:vAlign w:val="center"/>
          </w:tcPr>
          <w:p w14:paraId="3C1DBDA4" w14:textId="77777777" w:rsidR="006D56EA" w:rsidRPr="00CE55AC" w:rsidRDefault="006D56EA" w:rsidP="00512E81">
            <w:pPr>
              <w:pStyle w:val="answer"/>
              <w:keepNext/>
              <w:spacing w:before="60" w:after="60" w:line="240" w:lineRule="auto"/>
              <w:ind w:left="0" w:firstLine="0"/>
            </w:pPr>
            <w:r w:rsidRPr="00CE55AC">
              <w:t>Large General Service (Schedules 111, 112)</w:t>
            </w:r>
          </w:p>
        </w:tc>
        <w:tc>
          <w:tcPr>
            <w:tcW w:w="1296" w:type="dxa"/>
            <w:vAlign w:val="center"/>
          </w:tcPr>
          <w:p w14:paraId="3C1DBDA5"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14</w:t>
            </w:r>
          </w:p>
        </w:tc>
        <w:tc>
          <w:tcPr>
            <w:tcW w:w="1296" w:type="dxa"/>
            <w:vAlign w:val="center"/>
          </w:tcPr>
          <w:p w14:paraId="3C1DBDA6"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34</w:t>
            </w:r>
          </w:p>
        </w:tc>
      </w:tr>
      <w:tr w:rsidR="00CE55AC" w:rsidRPr="00CE55AC" w14:paraId="3C1DBDAB" w14:textId="77777777" w:rsidTr="006D56EA">
        <w:trPr>
          <w:cantSplit/>
        </w:trPr>
        <w:tc>
          <w:tcPr>
            <w:tcW w:w="5335" w:type="dxa"/>
            <w:vAlign w:val="center"/>
          </w:tcPr>
          <w:p w14:paraId="3C1DBDA8" w14:textId="77777777" w:rsidR="006D56EA" w:rsidRPr="00CE55AC" w:rsidRDefault="006D56EA" w:rsidP="00512E81">
            <w:pPr>
              <w:pStyle w:val="answer"/>
              <w:keepNext/>
              <w:spacing w:before="60" w:after="60" w:line="240" w:lineRule="auto"/>
              <w:ind w:left="0" w:firstLine="0"/>
            </w:pPr>
            <w:r w:rsidRPr="00CE55AC">
              <w:t>Extra Large General Service (Schedules 121, 122)</w:t>
            </w:r>
          </w:p>
        </w:tc>
        <w:tc>
          <w:tcPr>
            <w:tcW w:w="1296" w:type="dxa"/>
            <w:vAlign w:val="center"/>
          </w:tcPr>
          <w:p w14:paraId="3C1DBDA9"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17</w:t>
            </w:r>
          </w:p>
        </w:tc>
        <w:tc>
          <w:tcPr>
            <w:tcW w:w="1296" w:type="dxa"/>
            <w:vAlign w:val="center"/>
          </w:tcPr>
          <w:p w14:paraId="3C1DBDAA" w14:textId="77777777" w:rsidR="006D56EA" w:rsidRPr="00CE55AC" w:rsidRDefault="006D56EA" w:rsidP="003C3F25">
            <w:pPr>
              <w:pStyle w:val="answer"/>
              <w:keepNext/>
              <w:spacing w:before="60" w:after="60" w:line="240" w:lineRule="auto"/>
              <w:ind w:left="0" w:firstLine="0"/>
              <w:jc w:val="center"/>
            </w:pPr>
            <w:r w:rsidRPr="00CE55AC">
              <w:t>1.</w:t>
            </w:r>
            <w:r w:rsidR="0099518B" w:rsidRPr="00CE55AC">
              <w:t>48</w:t>
            </w:r>
          </w:p>
        </w:tc>
      </w:tr>
      <w:tr w:rsidR="00CE55AC" w:rsidRPr="00CE55AC" w14:paraId="3C1DBDAF" w14:textId="77777777" w:rsidTr="006D56EA">
        <w:trPr>
          <w:cantSplit/>
        </w:trPr>
        <w:tc>
          <w:tcPr>
            <w:tcW w:w="5335" w:type="dxa"/>
            <w:vAlign w:val="center"/>
          </w:tcPr>
          <w:p w14:paraId="3C1DBDAC" w14:textId="77777777" w:rsidR="006D56EA" w:rsidRPr="00CE55AC" w:rsidRDefault="006D56EA" w:rsidP="00512E81">
            <w:pPr>
              <w:pStyle w:val="answer"/>
              <w:keepNext/>
              <w:spacing w:before="60" w:after="60" w:line="240" w:lineRule="auto"/>
              <w:ind w:left="0" w:firstLine="0"/>
            </w:pPr>
            <w:r w:rsidRPr="00CE55AC">
              <w:t>Interruptible (Schedule 131, 132)</w:t>
            </w:r>
          </w:p>
        </w:tc>
        <w:tc>
          <w:tcPr>
            <w:tcW w:w="1296" w:type="dxa"/>
            <w:vAlign w:val="center"/>
          </w:tcPr>
          <w:p w14:paraId="3C1DBDAD"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24</w:t>
            </w:r>
          </w:p>
        </w:tc>
        <w:tc>
          <w:tcPr>
            <w:tcW w:w="1296" w:type="dxa"/>
            <w:vAlign w:val="center"/>
          </w:tcPr>
          <w:p w14:paraId="3C1DBDAE" w14:textId="77777777" w:rsidR="006D56EA" w:rsidRPr="00CE55AC" w:rsidRDefault="00E225A5" w:rsidP="003C3F25">
            <w:pPr>
              <w:pStyle w:val="answer"/>
              <w:keepNext/>
              <w:spacing w:before="60" w:after="60" w:line="240" w:lineRule="auto"/>
              <w:ind w:left="0" w:firstLine="0"/>
              <w:jc w:val="center"/>
            </w:pPr>
            <w:r w:rsidRPr="00CE55AC">
              <w:t>1</w:t>
            </w:r>
            <w:r w:rsidR="006D56EA" w:rsidRPr="00CE55AC">
              <w:t>.</w:t>
            </w:r>
            <w:r w:rsidRPr="00CE55AC">
              <w:t>03</w:t>
            </w:r>
          </w:p>
        </w:tc>
      </w:tr>
      <w:tr w:rsidR="00CE55AC" w:rsidRPr="00CE55AC" w14:paraId="3C1DBDB3" w14:textId="77777777" w:rsidTr="006D56EA">
        <w:trPr>
          <w:cantSplit/>
        </w:trPr>
        <w:tc>
          <w:tcPr>
            <w:tcW w:w="5335" w:type="dxa"/>
            <w:vAlign w:val="center"/>
          </w:tcPr>
          <w:p w14:paraId="3C1DBDB0" w14:textId="77777777" w:rsidR="006D56EA" w:rsidRPr="00CE55AC" w:rsidRDefault="006D56EA" w:rsidP="00512E81">
            <w:pPr>
              <w:pStyle w:val="answer"/>
              <w:keepNext/>
              <w:spacing w:before="60" w:after="60" w:line="240" w:lineRule="auto"/>
              <w:ind w:left="0" w:firstLine="0"/>
            </w:pPr>
            <w:r w:rsidRPr="00CE55AC">
              <w:t>Transportation (Schedule 146)</w:t>
            </w:r>
          </w:p>
        </w:tc>
        <w:tc>
          <w:tcPr>
            <w:tcW w:w="1296" w:type="dxa"/>
            <w:vAlign w:val="center"/>
          </w:tcPr>
          <w:p w14:paraId="3C1DBDB1" w14:textId="77777777" w:rsidR="006D56EA" w:rsidRPr="00CE55AC" w:rsidRDefault="006D56EA" w:rsidP="00D846E5">
            <w:pPr>
              <w:pStyle w:val="answer"/>
              <w:keepNext/>
              <w:spacing w:before="60" w:after="60" w:line="240" w:lineRule="auto"/>
              <w:ind w:left="0" w:firstLine="0"/>
              <w:jc w:val="center"/>
            </w:pPr>
            <w:r w:rsidRPr="00CE55AC">
              <w:t>0.95</w:t>
            </w:r>
          </w:p>
        </w:tc>
        <w:tc>
          <w:tcPr>
            <w:tcW w:w="1296" w:type="dxa"/>
            <w:vAlign w:val="center"/>
          </w:tcPr>
          <w:p w14:paraId="3C1DBDB2" w14:textId="77777777" w:rsidR="006D56EA" w:rsidRPr="00CE55AC" w:rsidRDefault="006D56EA" w:rsidP="00E225A5">
            <w:pPr>
              <w:pStyle w:val="answer"/>
              <w:keepNext/>
              <w:spacing w:before="60" w:after="60" w:line="240" w:lineRule="auto"/>
              <w:ind w:left="0" w:firstLine="0"/>
              <w:jc w:val="center"/>
            </w:pPr>
            <w:r w:rsidRPr="00CE55AC">
              <w:t>0.</w:t>
            </w:r>
            <w:r w:rsidR="0099518B" w:rsidRPr="00CE55AC">
              <w:t>97</w:t>
            </w:r>
          </w:p>
        </w:tc>
      </w:tr>
    </w:tbl>
    <w:p w14:paraId="3C1DBDB4" w14:textId="77777777" w:rsidR="008A14BC" w:rsidRPr="00CE55AC" w:rsidRDefault="008A14BC" w:rsidP="002F70F7">
      <w:pPr>
        <w:pStyle w:val="Answer-Testimony"/>
        <w:jc w:val="center"/>
      </w:pPr>
      <w:r w:rsidRPr="00CE55AC">
        <w:t xml:space="preserve">Table </w:t>
      </w:r>
      <w:r w:rsidR="00121F14" w:rsidRPr="00CE55AC">
        <w:t>3</w:t>
      </w:r>
      <w:r w:rsidRPr="00CE55AC">
        <w:t xml:space="preserve">:  Summary of </w:t>
      </w:r>
      <w:r w:rsidR="00E225A5" w:rsidRPr="00CE55AC">
        <w:t>Margin</w:t>
      </w:r>
      <w:r w:rsidR="006D56EA" w:rsidRPr="00CE55AC">
        <w:t xml:space="preserve"> </w:t>
      </w:r>
      <w:r w:rsidRPr="00CE55AC">
        <w:t xml:space="preserve">Parity </w:t>
      </w:r>
      <w:r w:rsidR="0091592F" w:rsidRPr="00CE55AC">
        <w:t>Ratios</w:t>
      </w:r>
    </w:p>
    <w:p w14:paraId="3C1DBDB5" w14:textId="77777777" w:rsidR="00B9369D" w:rsidRPr="000559D0" w:rsidRDefault="0081428B" w:rsidP="00B9369D">
      <w:pPr>
        <w:pStyle w:val="Answer-Testimony"/>
        <w:rPr>
          <w:color w:val="FFFFFF" w:themeColor="background1"/>
        </w:rPr>
      </w:pPr>
      <w:r w:rsidRPr="000559D0">
        <w:rPr>
          <w:color w:val="FFFFFF" w:themeColor="background1"/>
        </w:rPr>
        <w:t>R</w:t>
      </w:r>
    </w:p>
    <w:p w14:paraId="3C1DBDB6" w14:textId="77777777" w:rsidR="00B9369D" w:rsidRPr="000559D0" w:rsidRDefault="0081428B" w:rsidP="00B9369D">
      <w:pPr>
        <w:pStyle w:val="Answer-Testimony"/>
        <w:rPr>
          <w:color w:val="FFFFFF" w:themeColor="background1"/>
        </w:rPr>
      </w:pPr>
      <w:r w:rsidRPr="000559D0">
        <w:rPr>
          <w:color w:val="FFFFFF" w:themeColor="background1"/>
        </w:rPr>
        <w:t>R</w:t>
      </w:r>
    </w:p>
    <w:p w14:paraId="3C1DBDB7" w14:textId="77777777" w:rsidR="00B9369D" w:rsidRPr="000559D0" w:rsidRDefault="0081428B" w:rsidP="00B9369D">
      <w:pPr>
        <w:pStyle w:val="Answer-Testimony"/>
        <w:rPr>
          <w:color w:val="FFFFFF" w:themeColor="background1"/>
        </w:rPr>
      </w:pPr>
      <w:r w:rsidRPr="000559D0">
        <w:rPr>
          <w:color w:val="FFFFFF" w:themeColor="background1"/>
        </w:rPr>
        <w:t>R</w:t>
      </w:r>
    </w:p>
    <w:p w14:paraId="3C1DBDB8" w14:textId="77777777" w:rsidR="00B9369D" w:rsidRPr="000559D0" w:rsidRDefault="0081428B" w:rsidP="00B9369D">
      <w:pPr>
        <w:pStyle w:val="Answer-Testimony"/>
        <w:rPr>
          <w:color w:val="FFFFFF" w:themeColor="background1"/>
        </w:rPr>
      </w:pPr>
      <w:r w:rsidRPr="000559D0">
        <w:rPr>
          <w:color w:val="FFFFFF" w:themeColor="background1"/>
        </w:rPr>
        <w:t>R</w:t>
      </w:r>
    </w:p>
    <w:p w14:paraId="3C1DBDB9" w14:textId="77777777" w:rsidR="00B9369D" w:rsidRPr="000559D0" w:rsidRDefault="0081428B" w:rsidP="00B9369D">
      <w:pPr>
        <w:pStyle w:val="Answer-Testimony"/>
        <w:rPr>
          <w:color w:val="FFFFFF" w:themeColor="background1"/>
        </w:rPr>
      </w:pPr>
      <w:r w:rsidRPr="000559D0">
        <w:rPr>
          <w:color w:val="FFFFFF" w:themeColor="background1"/>
        </w:rPr>
        <w:t>R</w:t>
      </w:r>
    </w:p>
    <w:p w14:paraId="3C1DBDBA" w14:textId="77777777" w:rsidR="008A14BC" w:rsidRPr="000559D0" w:rsidRDefault="0081428B" w:rsidP="008A14BC">
      <w:pPr>
        <w:pStyle w:val="Question-Testimony"/>
        <w:rPr>
          <w:color w:val="FFFFFF" w:themeColor="background1"/>
        </w:rPr>
      </w:pPr>
      <w:r w:rsidRPr="000559D0">
        <w:rPr>
          <w:color w:val="FFFFFF" w:themeColor="background1"/>
        </w:rPr>
        <w:t>R</w:t>
      </w:r>
    </w:p>
    <w:p w14:paraId="3C1DBDBB" w14:textId="77777777" w:rsidR="002F70F7" w:rsidRPr="000559D0" w:rsidRDefault="0081428B" w:rsidP="008A14BC">
      <w:pPr>
        <w:pStyle w:val="Question-Testimony"/>
        <w:rPr>
          <w:color w:val="FFFFFF" w:themeColor="background1"/>
        </w:rPr>
      </w:pPr>
      <w:r w:rsidRPr="000559D0">
        <w:rPr>
          <w:color w:val="FFFFFF" w:themeColor="background1"/>
        </w:rPr>
        <w:t>R</w:t>
      </w:r>
    </w:p>
    <w:p w14:paraId="3C1DBDBC" w14:textId="77777777" w:rsidR="008C38EE" w:rsidRPr="000559D0" w:rsidRDefault="008C38EE" w:rsidP="008C38EE">
      <w:pPr>
        <w:pStyle w:val="Question-Testimony"/>
        <w:rPr>
          <w:color w:val="FFFFFF" w:themeColor="background1"/>
        </w:rPr>
      </w:pPr>
    </w:p>
    <w:p w14:paraId="3C1DBDBD" w14:textId="77777777" w:rsidR="008C38EE" w:rsidRPr="007E50F7" w:rsidRDefault="008C38EE" w:rsidP="008C38EE">
      <w:pPr>
        <w:pStyle w:val="Question-Testimony"/>
      </w:pPr>
      <w:r w:rsidRPr="007E50F7">
        <w:t>Q.</w:t>
      </w:r>
      <w:r w:rsidRPr="007E50F7">
        <w:tab/>
        <w:t>What does this table show?</w:t>
      </w:r>
    </w:p>
    <w:p w14:paraId="3C1DBDBE" w14:textId="77777777" w:rsidR="00FC1EF0" w:rsidRPr="00EC1CC5" w:rsidRDefault="008C38EE" w:rsidP="00EC1CC5">
      <w:pPr>
        <w:pStyle w:val="Answer-Testimony"/>
      </w:pPr>
      <w:r w:rsidRPr="00EC1CC5">
        <w:t>A.</w:t>
      </w:r>
      <w:r w:rsidRPr="00EC1CC5">
        <w:tab/>
      </w:r>
      <w:r w:rsidR="00FC1EF0" w:rsidRPr="00EC1CC5">
        <w:t xml:space="preserve">This table </w:t>
      </w:r>
      <w:r w:rsidR="002D7940">
        <w:t>demonstrates th</w:t>
      </w:r>
      <w:r w:rsidR="00267B21">
        <w:t xml:space="preserve">at there are significant disparities in parity ratios, and thus is it </w:t>
      </w:r>
      <w:r w:rsidR="002D7940">
        <w:t xml:space="preserve">necessity to change </w:t>
      </w:r>
      <w:r w:rsidR="00267B21">
        <w:t xml:space="preserve">the </w:t>
      </w:r>
      <w:r w:rsidR="002D7940">
        <w:t>rate structure</w:t>
      </w:r>
      <w:r w:rsidR="00267B21">
        <w:t xml:space="preserve"> of certain customer classes.  Together </w:t>
      </w:r>
      <w:r w:rsidR="00DA48BC">
        <w:t xml:space="preserve">with </w:t>
      </w:r>
      <w:r w:rsidR="00DA48BC" w:rsidRPr="00EC1CC5">
        <w:t>Staff’s</w:t>
      </w:r>
      <w:r w:rsidR="00FC1EF0" w:rsidRPr="00EC1CC5">
        <w:t xml:space="preserve"> cost of service study, the following rate schedules have parity ratios outside the 0.95 to 1.05 range: (1) </w:t>
      </w:r>
      <w:r w:rsidR="00EC1CC5" w:rsidRPr="00EC1CC5">
        <w:t>General Service (</w:t>
      </w:r>
      <w:r w:rsidR="00FC1EF0" w:rsidRPr="00EC1CC5">
        <w:t>Residential</w:t>
      </w:r>
      <w:r w:rsidR="00EC1CC5" w:rsidRPr="00EC1CC5">
        <w:t>)</w:t>
      </w:r>
      <w:r w:rsidR="00FC1EF0" w:rsidRPr="00EC1CC5">
        <w:t xml:space="preserve"> Schedule 1</w:t>
      </w:r>
      <w:r w:rsidR="00EC1CC5" w:rsidRPr="00EC1CC5">
        <w:t>01</w:t>
      </w:r>
      <w:r w:rsidR="00FC1EF0" w:rsidRPr="00EC1CC5">
        <w:t xml:space="preserve"> is covering </w:t>
      </w:r>
      <w:r w:rsidR="00FC1EF0" w:rsidRPr="00CE55AC">
        <w:t>9</w:t>
      </w:r>
      <w:r w:rsidR="00EC1CC5" w:rsidRPr="00CE55AC">
        <w:t>4</w:t>
      </w:r>
      <w:r w:rsidR="00FC1EF0" w:rsidRPr="00CE55AC">
        <w:t xml:space="preserve"> </w:t>
      </w:r>
      <w:r w:rsidR="00FC1EF0" w:rsidRPr="00EC1CC5">
        <w:t xml:space="preserve">percent of its cost of service; (2) </w:t>
      </w:r>
      <w:r w:rsidR="00EC1CC5" w:rsidRPr="00EC1CC5">
        <w:t xml:space="preserve">Large </w:t>
      </w:r>
      <w:r w:rsidR="00FC1EF0" w:rsidRPr="00EC1CC5">
        <w:t>General Service Schedules 1</w:t>
      </w:r>
      <w:r w:rsidR="00EC1CC5" w:rsidRPr="00EC1CC5">
        <w:t>1</w:t>
      </w:r>
      <w:r w:rsidR="00FC1EF0" w:rsidRPr="00EC1CC5">
        <w:t>1 and 1</w:t>
      </w:r>
      <w:r w:rsidR="00EC1CC5" w:rsidRPr="00EC1CC5">
        <w:t>1</w:t>
      </w:r>
      <w:r w:rsidR="00FC1EF0" w:rsidRPr="00EC1CC5">
        <w:t xml:space="preserve">2 </w:t>
      </w:r>
      <w:r w:rsidR="00FC1EF0" w:rsidRPr="00CE55AC">
        <w:lastRenderedPageBreak/>
        <w:t>covers 1</w:t>
      </w:r>
      <w:r w:rsidR="00EC1CC5" w:rsidRPr="00CE55AC">
        <w:t>34</w:t>
      </w:r>
      <w:r w:rsidR="00FC1EF0" w:rsidRPr="00CE55AC">
        <w:t xml:space="preserve"> percent of its cost of service; and (3) </w:t>
      </w:r>
      <w:r w:rsidR="00EC1CC5" w:rsidRPr="00CE55AC">
        <w:t xml:space="preserve">Extra </w:t>
      </w:r>
      <w:r w:rsidR="00FC1EF0" w:rsidRPr="00CE55AC">
        <w:t xml:space="preserve">Large General Service Schedules </w:t>
      </w:r>
      <w:r w:rsidR="00EC1CC5" w:rsidRPr="00CE55AC">
        <w:t>1</w:t>
      </w:r>
      <w:r w:rsidR="00FC1EF0" w:rsidRPr="00CE55AC">
        <w:t xml:space="preserve">21 and </w:t>
      </w:r>
      <w:r w:rsidR="00EC1CC5" w:rsidRPr="00CE55AC">
        <w:t>122 covers 14</w:t>
      </w:r>
      <w:r w:rsidR="0099518B" w:rsidRPr="00CE55AC">
        <w:t>8</w:t>
      </w:r>
      <w:r w:rsidR="00FC1EF0" w:rsidRPr="00CE55AC">
        <w:t xml:space="preserve"> percent </w:t>
      </w:r>
      <w:r w:rsidR="00FC1EF0" w:rsidRPr="00EC1CC5">
        <w:t>of its cost of service.</w:t>
      </w:r>
      <w:r w:rsidR="002D7940">
        <w:t xml:space="preserve">  </w:t>
      </w:r>
    </w:p>
    <w:p w14:paraId="3C1DBDBF" w14:textId="77777777" w:rsidR="002666B2" w:rsidRPr="007E50F7" w:rsidRDefault="002666B2" w:rsidP="002666B2">
      <w:pPr>
        <w:pStyle w:val="Answer-Testimony"/>
      </w:pPr>
    </w:p>
    <w:p w14:paraId="3C1DBDC0" w14:textId="77777777" w:rsidR="00A35AF3" w:rsidRPr="007E50F7" w:rsidRDefault="008E1F2F" w:rsidP="001F57BB">
      <w:pPr>
        <w:pStyle w:val="Heading3"/>
      </w:pPr>
      <w:bookmarkStart w:id="48" w:name="_Toc391992052"/>
      <w:bookmarkStart w:id="49" w:name="_Toc393696935"/>
      <w:r>
        <w:t>Special Contracts</w:t>
      </w:r>
      <w:bookmarkEnd w:id="48"/>
      <w:bookmarkEnd w:id="49"/>
    </w:p>
    <w:p w14:paraId="3C1DBDC1" w14:textId="77777777" w:rsidR="00A35AF3" w:rsidRPr="007E50F7" w:rsidRDefault="00A35AF3" w:rsidP="00BB5F21">
      <w:pPr>
        <w:pStyle w:val="Answer-Testimony"/>
        <w:ind w:left="0" w:firstLine="0"/>
      </w:pPr>
    </w:p>
    <w:p w14:paraId="3C1DBDC2" w14:textId="77777777" w:rsidR="008A14BC" w:rsidRPr="007E50F7" w:rsidRDefault="008A14BC" w:rsidP="008A14BC">
      <w:pPr>
        <w:pStyle w:val="Question-Testimony"/>
      </w:pPr>
      <w:r w:rsidRPr="007E50F7">
        <w:t>Q.</w:t>
      </w:r>
      <w:r w:rsidRPr="007E50F7">
        <w:tab/>
        <w:t>Are there any other issues Staff recommend</w:t>
      </w:r>
      <w:r w:rsidR="00305F27" w:rsidRPr="007E50F7">
        <w:t>s</w:t>
      </w:r>
      <w:r w:rsidRPr="007E50F7">
        <w:t xml:space="preserve"> the Commission require the Company to </w:t>
      </w:r>
      <w:r w:rsidR="008C38EE" w:rsidRPr="007E50F7">
        <w:t xml:space="preserve">address </w:t>
      </w:r>
      <w:r w:rsidR="00305F27" w:rsidRPr="007E50F7">
        <w:t xml:space="preserve">in its </w:t>
      </w:r>
      <w:r w:rsidRPr="007E50F7">
        <w:t>next general rate case?</w:t>
      </w:r>
    </w:p>
    <w:p w14:paraId="3C1DBDC3" w14:textId="77777777" w:rsidR="008C38EE" w:rsidRPr="007E50F7" w:rsidRDefault="008A14BC" w:rsidP="008A14BC">
      <w:pPr>
        <w:pStyle w:val="Answer-Testimony"/>
      </w:pPr>
      <w:r w:rsidRPr="007E50F7">
        <w:t>A.</w:t>
      </w:r>
      <w:r w:rsidRPr="007E50F7">
        <w:tab/>
        <w:t xml:space="preserve">Yes.  </w:t>
      </w:r>
      <w:r w:rsidR="00ED2522" w:rsidRPr="007E50F7">
        <w:t>As the Commission has previously stated</w:t>
      </w:r>
      <w:r w:rsidR="001F57BB">
        <w:t>:</w:t>
      </w:r>
      <w:r w:rsidR="00ED2522" w:rsidRPr="007E50F7">
        <w:t xml:space="preserve"> </w:t>
      </w:r>
      <w:r w:rsidRPr="007E50F7">
        <w:t>“</w:t>
      </w:r>
      <w:r w:rsidR="003F48E9">
        <w:t>[r]</w:t>
      </w:r>
      <w:r w:rsidRPr="007E50F7">
        <w:t xml:space="preserve">ate spread should recognize that rates must be just and reasonable and not cause undue discrimination.  To this end, revenue </w:t>
      </w:r>
      <w:r w:rsidR="002A134A" w:rsidRPr="007E50F7">
        <w:t>responsibility</w:t>
      </w:r>
      <w:r w:rsidRPr="007E50F7">
        <w:t xml:space="preserve"> for any class should be informed by the cost to serve the class.”</w:t>
      </w:r>
      <w:r w:rsidRPr="007E50F7">
        <w:rPr>
          <w:rStyle w:val="FootnoteReference"/>
        </w:rPr>
        <w:footnoteReference w:id="56"/>
      </w:r>
      <w:r w:rsidR="00C03A7D">
        <w:t xml:space="preserve">  Therefore, </w:t>
      </w:r>
      <w:r w:rsidRPr="007E50F7">
        <w:t>Staff recommend</w:t>
      </w:r>
      <w:r w:rsidR="008C38EE" w:rsidRPr="007E50F7">
        <w:t>s</w:t>
      </w:r>
      <w:r w:rsidRPr="007E50F7">
        <w:t xml:space="preserve"> the Commission require the Company to run </w:t>
      </w:r>
      <w:r w:rsidR="00305F27" w:rsidRPr="007E50F7">
        <w:t>its</w:t>
      </w:r>
      <w:r w:rsidR="002C23CD" w:rsidRPr="007E50F7">
        <w:t xml:space="preserve"> c</w:t>
      </w:r>
      <w:r w:rsidR="00305F27" w:rsidRPr="007E50F7">
        <w:t xml:space="preserve">ost of service study and </w:t>
      </w:r>
      <w:r w:rsidRPr="007E50F7">
        <w:t xml:space="preserve">rate design </w:t>
      </w:r>
      <w:r w:rsidR="005F1426" w:rsidRPr="007E50F7">
        <w:t xml:space="preserve">models </w:t>
      </w:r>
      <w:r w:rsidRPr="007E50F7">
        <w:t xml:space="preserve">with Special Contracts as a separate </w:t>
      </w:r>
      <w:r w:rsidR="0086135A" w:rsidRPr="007E50F7">
        <w:t>customer class</w:t>
      </w:r>
      <w:r w:rsidRPr="007E50F7">
        <w:t xml:space="preserve"> (or column), instead of the credit methodology</w:t>
      </w:r>
      <w:r w:rsidRPr="007E50F7">
        <w:rPr>
          <w:rStyle w:val="FootnoteReference"/>
        </w:rPr>
        <w:footnoteReference w:id="57"/>
      </w:r>
      <w:r w:rsidRPr="007E50F7">
        <w:t xml:space="preserve"> </w:t>
      </w:r>
      <w:r w:rsidR="008C38EE" w:rsidRPr="007E50F7">
        <w:t xml:space="preserve">the Company </w:t>
      </w:r>
      <w:r w:rsidRPr="007E50F7">
        <w:t>currently use</w:t>
      </w:r>
      <w:r w:rsidR="008C38EE" w:rsidRPr="007E50F7">
        <w:t>s.  Alternatively, t</w:t>
      </w:r>
      <w:r w:rsidRPr="007E50F7">
        <w:t>he</w:t>
      </w:r>
      <w:r w:rsidR="008C38EE" w:rsidRPr="007E50F7">
        <w:t xml:space="preserve"> Commission should require the </w:t>
      </w:r>
      <w:r w:rsidRPr="007E50F7">
        <w:t xml:space="preserve">Company </w:t>
      </w:r>
      <w:r w:rsidR="008C38EE" w:rsidRPr="007E50F7">
        <w:t xml:space="preserve">to </w:t>
      </w:r>
      <w:r w:rsidRPr="007E50F7">
        <w:t>demonstrate</w:t>
      </w:r>
      <w:r w:rsidR="008C38EE" w:rsidRPr="007E50F7">
        <w:t xml:space="preserve"> that </w:t>
      </w:r>
      <w:r w:rsidRPr="007E50F7">
        <w:t>each Special Contract</w:t>
      </w:r>
      <w:r w:rsidR="008C38EE" w:rsidRPr="007E50F7">
        <w:t xml:space="preserve"> is </w:t>
      </w:r>
      <w:r w:rsidRPr="007E50F7">
        <w:t>recovering the costs</w:t>
      </w:r>
      <w:r w:rsidR="008C38EE" w:rsidRPr="007E50F7">
        <w:t xml:space="preserve"> </w:t>
      </w:r>
      <w:r w:rsidR="008030BF">
        <w:t>it</w:t>
      </w:r>
      <w:r w:rsidRPr="007E50F7">
        <w:t xml:space="preserve"> impose</w:t>
      </w:r>
      <w:r w:rsidR="008030BF">
        <w:t>s</w:t>
      </w:r>
      <w:r w:rsidRPr="007E50F7">
        <w:t xml:space="preserve"> on the system.</w:t>
      </w:r>
    </w:p>
    <w:p w14:paraId="3C1DBDC4" w14:textId="77777777" w:rsidR="0091430A" w:rsidRDefault="008A14BC" w:rsidP="008C38EE">
      <w:pPr>
        <w:pStyle w:val="Answer-Testimony"/>
        <w:ind w:firstLine="720"/>
      </w:pPr>
      <w:r w:rsidRPr="007E50F7">
        <w:t xml:space="preserve">This would allow Staff to </w:t>
      </w:r>
      <w:r w:rsidR="00E23CDB" w:rsidRPr="007E50F7">
        <w:t xml:space="preserve">evaluate the </w:t>
      </w:r>
      <w:r w:rsidRPr="007E50F7">
        <w:t>analysis and make sure the amount of revenue collect</w:t>
      </w:r>
      <w:r w:rsidR="00305F27" w:rsidRPr="007E50F7">
        <w:t xml:space="preserve">ed from Special </w:t>
      </w:r>
      <w:r w:rsidR="001F4EBF" w:rsidRPr="007E50F7">
        <w:t>Contracts</w:t>
      </w:r>
      <w:r w:rsidR="00305F27" w:rsidRPr="007E50F7">
        <w:t xml:space="preserve"> customers </w:t>
      </w:r>
      <w:r w:rsidRPr="007E50F7">
        <w:t xml:space="preserve">is </w:t>
      </w:r>
      <w:r w:rsidR="0091430A">
        <w:t>appropriate</w:t>
      </w:r>
      <w:r w:rsidRPr="007E50F7">
        <w:t xml:space="preserve">.  </w:t>
      </w:r>
      <w:r w:rsidR="00E23CDB" w:rsidRPr="007E50F7">
        <w:t>If not, t</w:t>
      </w:r>
      <w:r w:rsidRPr="007E50F7">
        <w:t>he</w:t>
      </w:r>
      <w:r w:rsidR="00E23CDB" w:rsidRPr="007E50F7">
        <w:t>n</w:t>
      </w:r>
      <w:r w:rsidRPr="007E50F7">
        <w:t xml:space="preserve"> </w:t>
      </w:r>
      <w:r w:rsidR="00E23CDB" w:rsidRPr="007E50F7">
        <w:t xml:space="preserve">the </w:t>
      </w:r>
      <w:r w:rsidRPr="007E50F7">
        <w:t>Commission can adjust long-term contract</w:t>
      </w:r>
      <w:r w:rsidR="00E23CDB" w:rsidRPr="007E50F7">
        <w:t>s</w:t>
      </w:r>
      <w:r w:rsidR="005F1426" w:rsidRPr="007E50F7">
        <w:t xml:space="preserve"> by imputing revenue</w:t>
      </w:r>
      <w:r w:rsidR="00E23CDB" w:rsidRPr="007E50F7">
        <w:t>s</w:t>
      </w:r>
      <w:r w:rsidR="005F1426" w:rsidRPr="007E50F7">
        <w:t xml:space="preserve"> within the rate </w:t>
      </w:r>
      <w:r w:rsidR="00E23CDB" w:rsidRPr="007E50F7">
        <w:t xml:space="preserve">case </w:t>
      </w:r>
      <w:r w:rsidR="00305F27" w:rsidRPr="007E50F7">
        <w:t xml:space="preserve">to prevent </w:t>
      </w:r>
      <w:r w:rsidRPr="007E50F7">
        <w:t xml:space="preserve">harm </w:t>
      </w:r>
      <w:r w:rsidR="00305F27" w:rsidRPr="007E50F7">
        <w:t xml:space="preserve">to </w:t>
      </w:r>
      <w:r w:rsidRPr="007E50F7">
        <w:t>other customer class</w:t>
      </w:r>
      <w:r w:rsidR="005F1426" w:rsidRPr="007E50F7">
        <w:t>es.</w:t>
      </w:r>
    </w:p>
    <w:p w14:paraId="3C1DBDC5" w14:textId="77777777" w:rsidR="008A14BC" w:rsidRPr="007E50F7" w:rsidRDefault="008A14BC" w:rsidP="00DA48BC">
      <w:pPr>
        <w:pStyle w:val="Answer-Testimony"/>
      </w:pPr>
    </w:p>
    <w:p w14:paraId="3C1DBDC6" w14:textId="77777777" w:rsidR="008A14BC" w:rsidRPr="007E50F7" w:rsidRDefault="008A14BC" w:rsidP="008A14BC">
      <w:pPr>
        <w:pStyle w:val="Question-Testimony"/>
      </w:pPr>
      <w:r w:rsidRPr="007E50F7">
        <w:lastRenderedPageBreak/>
        <w:t>Q.</w:t>
      </w:r>
      <w:r w:rsidRPr="007E50F7">
        <w:tab/>
        <w:t xml:space="preserve">Is </w:t>
      </w:r>
      <w:r w:rsidR="00ED2522" w:rsidRPr="007E50F7">
        <w:t xml:space="preserve">any other Commission-regulated utility </w:t>
      </w:r>
      <w:r w:rsidRPr="007E50F7">
        <w:t xml:space="preserve">currently </w:t>
      </w:r>
      <w:r w:rsidR="00ED2522" w:rsidRPr="007E50F7">
        <w:t>evaluating Special Contracts as a separate item in the cost of service study</w:t>
      </w:r>
      <w:r w:rsidR="001A1063" w:rsidRPr="007E50F7">
        <w:t xml:space="preserve"> and rate design</w:t>
      </w:r>
      <w:r w:rsidRPr="007E50F7">
        <w:t>?</w:t>
      </w:r>
    </w:p>
    <w:p w14:paraId="3C1DBDC7" w14:textId="77777777" w:rsidR="008A14BC" w:rsidRPr="007E50F7" w:rsidRDefault="008A14BC" w:rsidP="008A14BC">
      <w:pPr>
        <w:pStyle w:val="Answer-Testimony"/>
      </w:pPr>
      <w:r w:rsidRPr="007E50F7">
        <w:t>A.</w:t>
      </w:r>
      <w:r w:rsidRPr="007E50F7">
        <w:tab/>
        <w:t>Yes.  PS</w:t>
      </w:r>
      <w:r w:rsidR="00ED2522" w:rsidRPr="007E50F7">
        <w:t>E</w:t>
      </w:r>
      <w:r w:rsidRPr="007E50F7">
        <w:t xml:space="preserve"> currently runs </w:t>
      </w:r>
      <w:r w:rsidR="00ED2522" w:rsidRPr="007E50F7">
        <w:t>its cost of service</w:t>
      </w:r>
      <w:r w:rsidRPr="007E50F7">
        <w:t xml:space="preserve"> and rate design with Special Contracts represented as a </w:t>
      </w:r>
      <w:r w:rsidR="0086135A" w:rsidRPr="007E50F7">
        <w:t xml:space="preserve">distinct schedule </w:t>
      </w:r>
      <w:r w:rsidRPr="007E50F7">
        <w:t xml:space="preserve">(or column) within both </w:t>
      </w:r>
      <w:r w:rsidR="00ED2522" w:rsidRPr="007E50F7">
        <w:t>its</w:t>
      </w:r>
      <w:r w:rsidRPr="007E50F7">
        <w:t xml:space="preserve"> </w:t>
      </w:r>
      <w:r w:rsidR="00305F27" w:rsidRPr="007E50F7">
        <w:t xml:space="preserve">electric and gas </w:t>
      </w:r>
      <w:r w:rsidRPr="007E50F7">
        <w:t>models</w:t>
      </w:r>
      <w:r w:rsidR="00086C58" w:rsidRPr="007E50F7">
        <w:t>.</w:t>
      </w:r>
      <w:r w:rsidRPr="007E50F7">
        <w:rPr>
          <w:rStyle w:val="FootnoteReference"/>
        </w:rPr>
        <w:footnoteReference w:id="58"/>
      </w:r>
      <w:r w:rsidR="00ED2522" w:rsidRPr="007E50F7">
        <w:t xml:space="preserve">  PSE</w:t>
      </w:r>
      <w:r w:rsidRPr="007E50F7">
        <w:t xml:space="preserve"> shows the parity ratio</w:t>
      </w:r>
      <w:r w:rsidR="00ED2522" w:rsidRPr="007E50F7">
        <w:t>s</w:t>
      </w:r>
      <w:r w:rsidRPr="007E50F7">
        <w:t xml:space="preserve"> for </w:t>
      </w:r>
      <w:r w:rsidR="00ED2522" w:rsidRPr="007E50F7">
        <w:t xml:space="preserve">Special Contracts </w:t>
      </w:r>
      <w:r w:rsidRPr="007E50F7">
        <w:t>customer</w:t>
      </w:r>
      <w:r w:rsidR="00ED2522" w:rsidRPr="007E50F7">
        <w:t>s,</w:t>
      </w:r>
      <w:r w:rsidRPr="007E50F7">
        <w:t xml:space="preserve"> and adjusts the Special Contracts accordingly to </w:t>
      </w:r>
      <w:r w:rsidR="008030BF">
        <w:t>e</w:t>
      </w:r>
      <w:r w:rsidR="00ED2522" w:rsidRPr="007E50F7">
        <w:t xml:space="preserve">nsure Special </w:t>
      </w:r>
      <w:r w:rsidR="008030BF">
        <w:t>C</w:t>
      </w:r>
      <w:r w:rsidR="00ED2522" w:rsidRPr="007E50F7">
        <w:t xml:space="preserve">ontracts customers </w:t>
      </w:r>
      <w:r w:rsidRPr="007E50F7">
        <w:t xml:space="preserve">share the cost of the system and </w:t>
      </w:r>
      <w:r w:rsidR="00ED2522" w:rsidRPr="007E50F7">
        <w:t xml:space="preserve">pay their </w:t>
      </w:r>
      <w:r w:rsidRPr="007E50F7">
        <w:t>fair share of the cost</w:t>
      </w:r>
      <w:r w:rsidR="00ED2522" w:rsidRPr="007E50F7">
        <w:t>s</w:t>
      </w:r>
      <w:r w:rsidRPr="007E50F7">
        <w:t xml:space="preserve"> they impose on the system.</w:t>
      </w:r>
      <w:r w:rsidR="00305F27" w:rsidRPr="007E50F7">
        <w:t xml:space="preserve">  Avista should do no less.</w:t>
      </w:r>
    </w:p>
    <w:p w14:paraId="3C1DBDC8" w14:textId="77777777" w:rsidR="005D10CA" w:rsidRPr="007E50F7" w:rsidRDefault="005D10CA" w:rsidP="005D10CA">
      <w:pPr>
        <w:pStyle w:val="Answer-Testimony"/>
      </w:pPr>
    </w:p>
    <w:p w14:paraId="3C1DBDC9" w14:textId="77777777" w:rsidR="005D10CA" w:rsidRPr="007E50F7" w:rsidRDefault="005D10CA" w:rsidP="00665AA3">
      <w:pPr>
        <w:pStyle w:val="Heading1"/>
      </w:pPr>
      <w:bookmarkStart w:id="50" w:name="_Toc391992053"/>
      <w:bookmarkStart w:id="51" w:name="_Toc393696936"/>
      <w:r w:rsidRPr="007E50F7">
        <w:t>NATURAL GAS REVENUE ALLOCATION</w:t>
      </w:r>
      <w:bookmarkEnd w:id="50"/>
      <w:bookmarkEnd w:id="51"/>
    </w:p>
    <w:p w14:paraId="3C1DBDCA" w14:textId="77777777" w:rsidR="001B0420" w:rsidRPr="007E50F7" w:rsidRDefault="001B0420" w:rsidP="001B0420">
      <w:pPr>
        <w:pStyle w:val="Answer-Testimony"/>
      </w:pPr>
    </w:p>
    <w:p w14:paraId="3C1DBDCB" w14:textId="77777777" w:rsidR="001B0420" w:rsidRPr="007E50F7" w:rsidRDefault="001B0420" w:rsidP="001B0420">
      <w:pPr>
        <w:pStyle w:val="Question-Testimony"/>
      </w:pPr>
      <w:r w:rsidRPr="007E50F7">
        <w:t>Q.</w:t>
      </w:r>
      <w:r w:rsidRPr="007E50F7">
        <w:tab/>
        <w:t>What is Staff’s recommendation on revenue allocation</w:t>
      </w:r>
      <w:r w:rsidR="00305F27" w:rsidRPr="007E50F7">
        <w:t xml:space="preserve"> for gas service</w:t>
      </w:r>
      <w:r w:rsidRPr="007E50F7">
        <w:t>?</w:t>
      </w:r>
    </w:p>
    <w:p w14:paraId="3C1DBDCC" w14:textId="77777777" w:rsidR="001B0420" w:rsidRPr="00CE55AC" w:rsidRDefault="001B0420" w:rsidP="001B0420">
      <w:pPr>
        <w:pStyle w:val="Answer-Testimony"/>
      </w:pPr>
      <w:r w:rsidRPr="007E50F7">
        <w:t>A.</w:t>
      </w:r>
      <w:r w:rsidRPr="007E50F7">
        <w:tab/>
      </w:r>
      <w:r w:rsidR="00305F27" w:rsidRPr="0075218F">
        <w:t>B</w:t>
      </w:r>
      <w:r w:rsidR="00992681">
        <w:t xml:space="preserve">ased on </w:t>
      </w:r>
      <w:r w:rsidRPr="0075218F">
        <w:t>Staff recommend</w:t>
      </w:r>
      <w:r w:rsidR="00992681">
        <w:t>ed</w:t>
      </w:r>
      <w:r w:rsidR="000367EB" w:rsidRPr="0075218F">
        <w:t xml:space="preserve"> </w:t>
      </w:r>
      <w:r w:rsidRPr="0075218F">
        <w:t xml:space="preserve">overall </w:t>
      </w:r>
      <w:r w:rsidR="00305F27" w:rsidRPr="007E50F7">
        <w:t xml:space="preserve">gas </w:t>
      </w:r>
      <w:r w:rsidRPr="007E50F7">
        <w:t xml:space="preserve">revenue </w:t>
      </w:r>
      <w:r w:rsidR="00992681">
        <w:t xml:space="preserve">increases of </w:t>
      </w:r>
      <w:r w:rsidR="0060033E" w:rsidRPr="00CE55AC">
        <w:t>4</w:t>
      </w:r>
      <w:r w:rsidR="00992681" w:rsidRPr="00CE55AC">
        <w:t>.</w:t>
      </w:r>
      <w:r w:rsidR="0060033E" w:rsidRPr="00CE55AC">
        <w:t>77</w:t>
      </w:r>
      <w:r w:rsidR="0077177A" w:rsidRPr="00CE55AC">
        <w:t xml:space="preserve"> percent</w:t>
      </w:r>
      <w:r w:rsidR="00305F27" w:rsidRPr="00CE55AC">
        <w:t xml:space="preserve">, and in order </w:t>
      </w:r>
      <w:r w:rsidRPr="00CE55AC">
        <w:t xml:space="preserve">to move </w:t>
      </w:r>
      <w:r w:rsidR="00305F27" w:rsidRPr="00CE55AC">
        <w:t xml:space="preserve">gas </w:t>
      </w:r>
      <w:r w:rsidRPr="00CE55AC">
        <w:t>rate schedules closer to parity, Staff recommends the following increases:</w:t>
      </w:r>
    </w:p>
    <w:p w14:paraId="3C1DBDCD" w14:textId="77777777" w:rsidR="001B0420" w:rsidRPr="007E50F7" w:rsidRDefault="001B0420" w:rsidP="00281A2B">
      <w:pPr>
        <w:pStyle w:val="Answer-Testimony"/>
        <w:numPr>
          <w:ilvl w:val="0"/>
          <w:numId w:val="4"/>
        </w:numPr>
      </w:pPr>
      <w:r w:rsidRPr="00CE55AC">
        <w:t>Schedule 101, General Service</w:t>
      </w:r>
      <w:r w:rsidR="001F57BB" w:rsidRPr="00CE55AC">
        <w:t xml:space="preserve">: </w:t>
      </w:r>
      <w:r w:rsidR="003F567F" w:rsidRPr="00CE55AC">
        <w:t xml:space="preserve">increase </w:t>
      </w:r>
      <w:r w:rsidR="0060033E" w:rsidRPr="00CE55AC">
        <w:t>6</w:t>
      </w:r>
      <w:r w:rsidR="003F567F" w:rsidRPr="00CE55AC">
        <w:t>.</w:t>
      </w:r>
      <w:r w:rsidR="008841DF" w:rsidRPr="00CE55AC">
        <w:t>2</w:t>
      </w:r>
      <w:r w:rsidR="003F567F" w:rsidRPr="00CE55AC">
        <w:t xml:space="preserve"> per</w:t>
      </w:r>
      <w:r w:rsidR="003F567F" w:rsidRPr="007E50F7">
        <w:t>cent.</w:t>
      </w:r>
    </w:p>
    <w:p w14:paraId="3C1DBDCE" w14:textId="77777777" w:rsidR="001B0420" w:rsidRPr="007E50F7" w:rsidRDefault="001B0420" w:rsidP="00281A2B">
      <w:pPr>
        <w:pStyle w:val="Answer-Testimony"/>
        <w:numPr>
          <w:ilvl w:val="0"/>
          <w:numId w:val="4"/>
        </w:numPr>
      </w:pPr>
      <w:r w:rsidRPr="007E50F7">
        <w:t>Schedules 11</w:t>
      </w:r>
      <w:r w:rsidR="0034049B" w:rsidRPr="007E50F7">
        <w:t>1</w:t>
      </w:r>
      <w:r w:rsidRPr="007E50F7">
        <w:t xml:space="preserve"> and 1</w:t>
      </w:r>
      <w:r w:rsidR="0034049B" w:rsidRPr="007E50F7">
        <w:t>1</w:t>
      </w:r>
      <w:r w:rsidRPr="007E50F7">
        <w:t xml:space="preserve">2, </w:t>
      </w:r>
      <w:r w:rsidR="0034049B" w:rsidRPr="007E50F7">
        <w:t xml:space="preserve">Large </w:t>
      </w:r>
      <w:r w:rsidRPr="007E50F7">
        <w:t>General Service</w:t>
      </w:r>
      <w:r w:rsidR="001F57BB">
        <w:t>:</w:t>
      </w:r>
      <w:r w:rsidR="0091430A">
        <w:t xml:space="preserve"> </w:t>
      </w:r>
      <w:r w:rsidR="003F567F">
        <w:t>no change to revenues</w:t>
      </w:r>
      <w:r w:rsidRPr="007E50F7">
        <w:t>.</w:t>
      </w:r>
    </w:p>
    <w:p w14:paraId="3C1DBDCF" w14:textId="77777777" w:rsidR="001B0420" w:rsidRPr="007E50F7" w:rsidRDefault="001B0420" w:rsidP="00281A2B">
      <w:pPr>
        <w:pStyle w:val="Answer-Testimony"/>
        <w:numPr>
          <w:ilvl w:val="0"/>
          <w:numId w:val="4"/>
        </w:numPr>
      </w:pPr>
      <w:r w:rsidRPr="007E50F7">
        <w:t xml:space="preserve">Schedules </w:t>
      </w:r>
      <w:r w:rsidR="0034049B" w:rsidRPr="007E50F7">
        <w:t>1</w:t>
      </w:r>
      <w:r w:rsidRPr="007E50F7">
        <w:t xml:space="preserve">21 and </w:t>
      </w:r>
      <w:r w:rsidR="0034049B" w:rsidRPr="007E50F7">
        <w:t>1</w:t>
      </w:r>
      <w:r w:rsidRPr="007E50F7">
        <w:t xml:space="preserve">22, </w:t>
      </w:r>
      <w:r w:rsidR="0034049B" w:rsidRPr="007E50F7">
        <w:t xml:space="preserve">Extra </w:t>
      </w:r>
      <w:r w:rsidRPr="007E50F7">
        <w:t>Large General Service</w:t>
      </w:r>
      <w:r w:rsidR="001F57BB">
        <w:t>:</w:t>
      </w:r>
      <w:r w:rsidR="003F567F">
        <w:t xml:space="preserve"> n</w:t>
      </w:r>
      <w:r w:rsidR="00992681">
        <w:t>o change to revenues</w:t>
      </w:r>
      <w:r w:rsidRPr="007E50F7">
        <w:t>.</w:t>
      </w:r>
    </w:p>
    <w:p w14:paraId="3C1DBDD0" w14:textId="77777777" w:rsidR="001B0420" w:rsidRPr="00CE55AC" w:rsidRDefault="001B0420" w:rsidP="00281A2B">
      <w:pPr>
        <w:pStyle w:val="Answer-Testimony"/>
        <w:numPr>
          <w:ilvl w:val="0"/>
          <w:numId w:val="4"/>
        </w:numPr>
      </w:pPr>
      <w:r w:rsidRPr="007E50F7">
        <w:t>Schedule</w:t>
      </w:r>
      <w:r w:rsidR="0034049B" w:rsidRPr="007E50F7">
        <w:t>s</w:t>
      </w:r>
      <w:r w:rsidRPr="007E50F7">
        <w:t xml:space="preserve"> </w:t>
      </w:r>
      <w:r w:rsidR="0034049B" w:rsidRPr="007E50F7">
        <w:t>131 and 132</w:t>
      </w:r>
      <w:r w:rsidRPr="007E50F7">
        <w:t xml:space="preserve">, </w:t>
      </w:r>
      <w:r w:rsidR="0034049B" w:rsidRPr="007E50F7">
        <w:t>Interruptible</w:t>
      </w:r>
      <w:r w:rsidR="001F57BB" w:rsidRPr="00CE55AC">
        <w:t>:</w:t>
      </w:r>
      <w:r w:rsidR="003F567F" w:rsidRPr="00CE55AC">
        <w:t xml:space="preserve"> increase </w:t>
      </w:r>
      <w:r w:rsidR="0060033E" w:rsidRPr="00CE55AC">
        <w:t>2</w:t>
      </w:r>
      <w:r w:rsidR="00992681" w:rsidRPr="00CE55AC">
        <w:t>.</w:t>
      </w:r>
      <w:r w:rsidR="0060033E" w:rsidRPr="00CE55AC">
        <w:t>7</w:t>
      </w:r>
      <w:r w:rsidRPr="00CE55AC">
        <w:t xml:space="preserve"> percent.</w:t>
      </w:r>
    </w:p>
    <w:p w14:paraId="3C1DBDD1" w14:textId="77777777" w:rsidR="001B0420" w:rsidRPr="007E50F7" w:rsidRDefault="001B0420" w:rsidP="00281A2B">
      <w:pPr>
        <w:pStyle w:val="Answer-Testimony"/>
        <w:numPr>
          <w:ilvl w:val="0"/>
          <w:numId w:val="4"/>
        </w:numPr>
      </w:pPr>
      <w:r w:rsidRPr="00CE55AC">
        <w:t xml:space="preserve">Schedule </w:t>
      </w:r>
      <w:r w:rsidR="0034049B" w:rsidRPr="00CE55AC">
        <w:t>146</w:t>
      </w:r>
      <w:r w:rsidRPr="00CE55AC">
        <w:t xml:space="preserve">, </w:t>
      </w:r>
      <w:r w:rsidR="0034049B" w:rsidRPr="00CE55AC">
        <w:t>Transportation</w:t>
      </w:r>
      <w:r w:rsidR="001F57BB" w:rsidRPr="00CE55AC">
        <w:t xml:space="preserve">: </w:t>
      </w:r>
      <w:r w:rsidR="003F567F" w:rsidRPr="00CE55AC">
        <w:t xml:space="preserve">increase </w:t>
      </w:r>
      <w:r w:rsidR="00992681" w:rsidRPr="00CE55AC">
        <w:t>1</w:t>
      </w:r>
      <w:r w:rsidR="0060033E" w:rsidRPr="00CE55AC">
        <w:t>7</w:t>
      </w:r>
      <w:r w:rsidR="00CC49F3" w:rsidRPr="00CE55AC">
        <w:t>.</w:t>
      </w:r>
      <w:r w:rsidR="0060033E" w:rsidRPr="00CE55AC">
        <w:t>2</w:t>
      </w:r>
      <w:r w:rsidRPr="00CE55AC">
        <w:t xml:space="preserve"> </w:t>
      </w:r>
      <w:r w:rsidR="0034049B" w:rsidRPr="007E50F7">
        <w:t>percent</w:t>
      </w:r>
      <w:r w:rsidRPr="007E50F7">
        <w:t>.</w:t>
      </w:r>
    </w:p>
    <w:p w14:paraId="3C1DBDD2" w14:textId="77777777" w:rsidR="001B0420" w:rsidRPr="007E50F7" w:rsidRDefault="001B0420" w:rsidP="001B0420">
      <w:pPr>
        <w:pStyle w:val="Answer-Testimony"/>
      </w:pPr>
    </w:p>
    <w:p w14:paraId="3C1DBDD3" w14:textId="77777777" w:rsidR="001B0420" w:rsidRPr="00CC49F3" w:rsidRDefault="001B0420" w:rsidP="00CC49F3">
      <w:pPr>
        <w:pStyle w:val="Question-Testimony"/>
      </w:pPr>
      <w:r w:rsidRPr="00CC49F3">
        <w:lastRenderedPageBreak/>
        <w:t>Q.</w:t>
      </w:r>
      <w:r w:rsidRPr="00CC49F3">
        <w:tab/>
        <w:t xml:space="preserve">Please explain </w:t>
      </w:r>
      <w:r w:rsidR="001F57BB" w:rsidRPr="00CC49F3">
        <w:t xml:space="preserve">why </w:t>
      </w:r>
      <w:r w:rsidRPr="00CC49F3">
        <w:t>Schedule</w:t>
      </w:r>
      <w:r w:rsidR="00726DF4" w:rsidRPr="00CC49F3">
        <w:t>s 101 and</w:t>
      </w:r>
      <w:r w:rsidR="0034049B" w:rsidRPr="00CC49F3">
        <w:t xml:space="preserve"> 146</w:t>
      </w:r>
      <w:r w:rsidRPr="00CC49F3">
        <w:t xml:space="preserve"> </w:t>
      </w:r>
      <w:r w:rsidR="001F57BB" w:rsidRPr="00CC49F3">
        <w:t xml:space="preserve">should </w:t>
      </w:r>
      <w:r w:rsidR="0091430A" w:rsidRPr="00CC49F3">
        <w:t>receiv</w:t>
      </w:r>
      <w:r w:rsidR="001F57BB" w:rsidRPr="00CC49F3">
        <w:t>e</w:t>
      </w:r>
      <w:r w:rsidR="0091430A" w:rsidRPr="00CC49F3">
        <w:t xml:space="preserve"> </w:t>
      </w:r>
      <w:r w:rsidRPr="00CC49F3">
        <w:t>a higher than average increase, while Schedules 1</w:t>
      </w:r>
      <w:r w:rsidR="0034049B" w:rsidRPr="00CC49F3">
        <w:t>1</w:t>
      </w:r>
      <w:r w:rsidRPr="00CC49F3">
        <w:t>1, 1</w:t>
      </w:r>
      <w:r w:rsidR="0034049B" w:rsidRPr="00CC49F3">
        <w:t>1</w:t>
      </w:r>
      <w:r w:rsidRPr="00CC49F3">
        <w:t xml:space="preserve">2, </w:t>
      </w:r>
      <w:r w:rsidR="0034049B" w:rsidRPr="00CC49F3">
        <w:t>1</w:t>
      </w:r>
      <w:r w:rsidRPr="00CC49F3">
        <w:t xml:space="preserve">21, and </w:t>
      </w:r>
      <w:r w:rsidR="0034049B" w:rsidRPr="00CC49F3">
        <w:t>1</w:t>
      </w:r>
      <w:r w:rsidRPr="00CC49F3">
        <w:t xml:space="preserve">22 </w:t>
      </w:r>
      <w:r w:rsidR="001F57BB" w:rsidRPr="00CC49F3">
        <w:t xml:space="preserve">should </w:t>
      </w:r>
      <w:r w:rsidR="0091430A" w:rsidRPr="00CC49F3">
        <w:t>receive</w:t>
      </w:r>
      <w:r w:rsidRPr="00CC49F3">
        <w:t xml:space="preserve"> </w:t>
      </w:r>
      <w:r w:rsidR="00726DF4" w:rsidRPr="00CC49F3">
        <w:t xml:space="preserve">no </w:t>
      </w:r>
      <w:r w:rsidRPr="00CC49F3">
        <w:t>increase.</w:t>
      </w:r>
    </w:p>
    <w:p w14:paraId="3C1DBDD4" w14:textId="77777777" w:rsidR="00A1114B" w:rsidRDefault="001B0420" w:rsidP="004657B1">
      <w:pPr>
        <w:pStyle w:val="Answer-Testimony"/>
      </w:pPr>
      <w:r w:rsidRPr="004657B1">
        <w:t>A.</w:t>
      </w:r>
      <w:r w:rsidRPr="004657B1">
        <w:tab/>
      </w:r>
      <w:r w:rsidR="0091430A" w:rsidRPr="004657B1">
        <w:t xml:space="preserve">Because </w:t>
      </w:r>
      <w:r w:rsidR="00A1114B" w:rsidRPr="004657B1">
        <w:t xml:space="preserve">Schedule 146 is not part of the decoupling mechanism, Staff </w:t>
      </w:r>
      <w:r w:rsidR="0091430A" w:rsidRPr="004657B1">
        <w:t xml:space="preserve">believed </w:t>
      </w:r>
      <w:r w:rsidR="00A1114B" w:rsidRPr="004657B1">
        <w:t>this schedule need</w:t>
      </w:r>
      <w:r w:rsidR="00702405" w:rsidRPr="004657B1">
        <w:t>ed</w:t>
      </w:r>
      <w:r w:rsidR="00A1114B" w:rsidRPr="004657B1">
        <w:t xml:space="preserve"> to </w:t>
      </w:r>
      <w:r w:rsidR="0077177A" w:rsidRPr="004657B1">
        <w:t>reach parity</w:t>
      </w:r>
      <w:r w:rsidR="00A1114B" w:rsidRPr="004657B1">
        <w:t xml:space="preserve"> to make sure </w:t>
      </w:r>
      <w:r w:rsidR="00702405" w:rsidRPr="004657B1">
        <w:t xml:space="preserve">there are no </w:t>
      </w:r>
      <w:r w:rsidR="004E01D4" w:rsidRPr="004657B1">
        <w:t>cross-</w:t>
      </w:r>
      <w:r w:rsidR="00A1114B" w:rsidRPr="004657B1">
        <w:t xml:space="preserve">subsidies between schedules before the decoupling mechanism </w:t>
      </w:r>
      <w:r w:rsidR="00702405" w:rsidRPr="004657B1">
        <w:t xml:space="preserve">could be </w:t>
      </w:r>
      <w:r w:rsidR="00A1114B" w:rsidRPr="004657B1">
        <w:t>layered on to base rates.</w:t>
      </w:r>
      <w:r w:rsidR="009460B4" w:rsidRPr="004657B1">
        <w:t xml:space="preserve"> While the increase seems extraordinary, one must recall the basis of the increase is only delivery system costs with no actual gas.  With an imputed level of gas included, the increase would </w:t>
      </w:r>
      <w:r w:rsidR="009460B4" w:rsidRPr="00CE55AC">
        <w:t xml:space="preserve">be </w:t>
      </w:r>
      <w:r w:rsidR="0060033E" w:rsidRPr="00CE55AC">
        <w:t>8</w:t>
      </w:r>
      <w:r w:rsidR="00CC49F3" w:rsidRPr="00CE55AC">
        <w:t>.</w:t>
      </w:r>
      <w:r w:rsidR="0060033E" w:rsidRPr="00CE55AC">
        <w:t>5</w:t>
      </w:r>
      <w:r w:rsidR="00CC49F3" w:rsidRPr="00CE55AC">
        <w:t xml:space="preserve"> </w:t>
      </w:r>
      <w:r w:rsidR="004657B1" w:rsidRPr="00CE55AC">
        <w:t>percent</w:t>
      </w:r>
      <w:r w:rsidR="004657B1">
        <w:t>.</w:t>
      </w:r>
    </w:p>
    <w:p w14:paraId="3C1DBDD5" w14:textId="77777777" w:rsidR="001B0420" w:rsidRPr="0074277E" w:rsidRDefault="00CC49F3" w:rsidP="00CC49F3">
      <w:pPr>
        <w:pStyle w:val="Answer-Testimony"/>
        <w:rPr>
          <w:color w:val="FF0000"/>
        </w:rPr>
      </w:pPr>
      <w:r>
        <w:tab/>
      </w:r>
      <w:r>
        <w:tab/>
      </w:r>
      <w:r w:rsidR="00A1114B" w:rsidRPr="004657B1">
        <w:t>For the same reason</w:t>
      </w:r>
      <w:r w:rsidR="00702405" w:rsidRPr="004657B1">
        <w:t>s</w:t>
      </w:r>
      <w:r w:rsidR="00A1114B" w:rsidRPr="004657B1">
        <w:t xml:space="preserve"> explained earlier in my discussion of electric revenue allocation </w:t>
      </w:r>
      <w:r w:rsidR="00702405" w:rsidRPr="004657B1">
        <w:t>as applied</w:t>
      </w:r>
      <w:r w:rsidR="00A1114B" w:rsidRPr="004657B1">
        <w:t xml:space="preserve"> to Schedule 101, moderate rate changes are more reasonable and </w:t>
      </w:r>
      <w:r w:rsidR="00702405" w:rsidRPr="004657B1">
        <w:t xml:space="preserve">represent </w:t>
      </w:r>
      <w:r w:rsidR="00A1114B" w:rsidRPr="004657B1">
        <w:t>a</w:t>
      </w:r>
      <w:r w:rsidR="004E01D4" w:rsidRPr="004657B1">
        <w:t xml:space="preserve"> </w:t>
      </w:r>
      <w:r w:rsidR="00A1114B" w:rsidRPr="004657B1">
        <w:t>gradual</w:t>
      </w:r>
      <w:r w:rsidR="004E01D4" w:rsidRPr="004657B1">
        <w:t xml:space="preserve"> </w:t>
      </w:r>
      <w:r w:rsidR="00702405" w:rsidRPr="004657B1">
        <w:t>approach</w:t>
      </w:r>
      <w:r w:rsidR="00A1114B" w:rsidRPr="004657B1">
        <w:t xml:space="preserve"> to address parity imbalances.</w:t>
      </w:r>
    </w:p>
    <w:p w14:paraId="3C1DBDD6" w14:textId="77777777" w:rsidR="000064E2" w:rsidRDefault="000064E2" w:rsidP="000064E2">
      <w:pPr>
        <w:pStyle w:val="Answer-Testimony"/>
      </w:pPr>
    </w:p>
    <w:p w14:paraId="3C1DBDD7" w14:textId="77777777" w:rsidR="000064E2" w:rsidRPr="006756D4" w:rsidRDefault="000064E2" w:rsidP="000064E2">
      <w:pPr>
        <w:pStyle w:val="Question-Testimony"/>
      </w:pPr>
      <w:r>
        <w:t>Q.</w:t>
      </w:r>
      <w:r>
        <w:tab/>
      </w:r>
      <w:r w:rsidR="00ED36F9">
        <w:t>By comparison, w</w:t>
      </w:r>
      <w:r>
        <w:t>hat rate increases or decreases would be required to move each rate schedule to parity?</w:t>
      </w:r>
    </w:p>
    <w:p w14:paraId="3C1DBDD8" w14:textId="77777777" w:rsidR="000064E2" w:rsidRPr="00DA4066" w:rsidRDefault="000064E2" w:rsidP="000064E2">
      <w:pPr>
        <w:pStyle w:val="Answer-Testimony"/>
      </w:pPr>
      <w:r w:rsidRPr="006756D4">
        <w:t>A.</w:t>
      </w:r>
      <w:r w:rsidRPr="006756D4">
        <w:tab/>
      </w:r>
      <w:r w:rsidRPr="00DA4066">
        <w:t>To reach parity at existing rates, the following approximate rate changes would be required:</w:t>
      </w:r>
    </w:p>
    <w:p w14:paraId="3C1DBDD9" w14:textId="77777777" w:rsidR="000064E2" w:rsidRPr="00CE55AC" w:rsidRDefault="000064E2" w:rsidP="000064E2">
      <w:pPr>
        <w:pStyle w:val="Answer-Testimony"/>
        <w:numPr>
          <w:ilvl w:val="0"/>
          <w:numId w:val="13"/>
        </w:numPr>
      </w:pPr>
      <w:r w:rsidRPr="00DA4066">
        <w:t>General Service</w:t>
      </w:r>
      <w:r>
        <w:t xml:space="preserve"> (Residential)</w:t>
      </w:r>
      <w:r w:rsidRPr="00DA4066">
        <w:t xml:space="preserve"> Schedule 1</w:t>
      </w:r>
      <w:r>
        <w:t>0</w:t>
      </w:r>
      <w:r w:rsidRPr="00DA4066">
        <w:t xml:space="preserve">1: </w:t>
      </w:r>
      <w:r w:rsidRPr="00CE55AC">
        <w:t>8.</w:t>
      </w:r>
      <w:r w:rsidR="00054B07" w:rsidRPr="00CE55AC">
        <w:t>0</w:t>
      </w:r>
      <w:r w:rsidRPr="00CE55AC">
        <w:t xml:space="preserve"> percent rate increases.</w:t>
      </w:r>
    </w:p>
    <w:p w14:paraId="3C1DBDDA" w14:textId="77777777" w:rsidR="000064E2" w:rsidRPr="00CE55AC" w:rsidRDefault="000064E2" w:rsidP="000064E2">
      <w:pPr>
        <w:pStyle w:val="Answer-Testimony"/>
        <w:numPr>
          <w:ilvl w:val="0"/>
          <w:numId w:val="13"/>
        </w:numPr>
      </w:pPr>
      <w:r w:rsidRPr="00CE55AC">
        <w:t xml:space="preserve">Large General Service Schedules 111 and 112: </w:t>
      </w:r>
      <w:r w:rsidR="00054B07" w:rsidRPr="00CE55AC">
        <w:t>5</w:t>
      </w:r>
      <w:r w:rsidRPr="00CE55AC">
        <w:t>.</w:t>
      </w:r>
      <w:r w:rsidR="00054B07" w:rsidRPr="00CE55AC">
        <w:t>1</w:t>
      </w:r>
      <w:r w:rsidRPr="00CE55AC">
        <w:t xml:space="preserve"> percent rate decreases.</w:t>
      </w:r>
    </w:p>
    <w:p w14:paraId="3C1DBDDB" w14:textId="77777777" w:rsidR="000064E2" w:rsidRPr="00CE55AC" w:rsidRDefault="000064E2" w:rsidP="000064E2">
      <w:pPr>
        <w:pStyle w:val="Answer-Testimony"/>
        <w:numPr>
          <w:ilvl w:val="0"/>
          <w:numId w:val="13"/>
        </w:numPr>
      </w:pPr>
      <w:r w:rsidRPr="00CE55AC">
        <w:t xml:space="preserve">Extra Large General Service Schedules 121 and 122: </w:t>
      </w:r>
      <w:r w:rsidR="00054B07" w:rsidRPr="00CE55AC">
        <w:t>6</w:t>
      </w:r>
      <w:r w:rsidRPr="00CE55AC">
        <w:t>.</w:t>
      </w:r>
      <w:r w:rsidR="00054B07" w:rsidRPr="00CE55AC">
        <w:t>4</w:t>
      </w:r>
      <w:r w:rsidRPr="00CE55AC">
        <w:t xml:space="preserve"> percent rate decrease.</w:t>
      </w:r>
    </w:p>
    <w:p w14:paraId="3C1DBDDC" w14:textId="77777777" w:rsidR="000064E2" w:rsidRPr="00CE55AC" w:rsidRDefault="000064E2" w:rsidP="000064E2">
      <w:pPr>
        <w:pStyle w:val="Answer-Testimony"/>
        <w:numPr>
          <w:ilvl w:val="0"/>
          <w:numId w:val="13"/>
        </w:numPr>
      </w:pPr>
      <w:r w:rsidRPr="00CE55AC">
        <w:t xml:space="preserve">Interruptible Schedules 131 and 132: </w:t>
      </w:r>
      <w:r w:rsidR="00054B07" w:rsidRPr="00CE55AC">
        <w:t>2</w:t>
      </w:r>
      <w:r w:rsidRPr="00CE55AC">
        <w:t>.</w:t>
      </w:r>
      <w:r w:rsidR="00054B07" w:rsidRPr="00CE55AC">
        <w:t>7</w:t>
      </w:r>
      <w:r w:rsidRPr="00CE55AC">
        <w:t xml:space="preserve"> percent rate increase.</w:t>
      </w:r>
    </w:p>
    <w:p w14:paraId="3C1DBDDD" w14:textId="77777777" w:rsidR="000064E2" w:rsidRDefault="000064E2" w:rsidP="000064E2">
      <w:pPr>
        <w:pStyle w:val="Answer-Testimony"/>
        <w:numPr>
          <w:ilvl w:val="0"/>
          <w:numId w:val="13"/>
        </w:numPr>
      </w:pPr>
      <w:r w:rsidRPr="00CE55AC">
        <w:t>Transportation Schedule 146: 1</w:t>
      </w:r>
      <w:r w:rsidR="00054B07" w:rsidRPr="00CE55AC">
        <w:t>7</w:t>
      </w:r>
      <w:r w:rsidRPr="00CE55AC">
        <w:t>.</w:t>
      </w:r>
      <w:r w:rsidR="00054B07" w:rsidRPr="00CE55AC">
        <w:t>2</w:t>
      </w:r>
      <w:r w:rsidRPr="00CE55AC">
        <w:t xml:space="preserve"> percent rate increases</w:t>
      </w:r>
      <w:r w:rsidRPr="00DA4066">
        <w:t>.</w:t>
      </w:r>
    </w:p>
    <w:p w14:paraId="3C1DBDDE" w14:textId="77777777" w:rsidR="000064E2" w:rsidRPr="007E50F7" w:rsidRDefault="000064E2" w:rsidP="000367EB">
      <w:pPr>
        <w:pStyle w:val="Answer-Testimony"/>
      </w:pPr>
    </w:p>
    <w:p w14:paraId="3C1DBDDF" w14:textId="77777777" w:rsidR="000367EB" w:rsidRPr="007E50F7" w:rsidRDefault="000367EB" w:rsidP="000367EB">
      <w:pPr>
        <w:pStyle w:val="Question-Testimony"/>
      </w:pPr>
      <w:r w:rsidRPr="007E50F7">
        <w:t>Q.</w:t>
      </w:r>
      <w:r w:rsidRPr="007E50F7">
        <w:tab/>
        <w:t>How are the parity ratios affected by</w:t>
      </w:r>
      <w:r w:rsidR="0077177A" w:rsidRPr="007E50F7">
        <w:t xml:space="preserve"> your proposed</w:t>
      </w:r>
      <w:r w:rsidRPr="007E50F7">
        <w:t xml:space="preserve"> percentage increases?</w:t>
      </w:r>
    </w:p>
    <w:p w14:paraId="3C1DBDE0" w14:textId="77777777" w:rsidR="00412094" w:rsidRPr="007E50F7" w:rsidRDefault="000367EB" w:rsidP="000B1479">
      <w:pPr>
        <w:pStyle w:val="Answer-Testimony"/>
      </w:pPr>
      <w:r w:rsidRPr="007E50F7">
        <w:lastRenderedPageBreak/>
        <w:t>A.</w:t>
      </w:r>
      <w:r w:rsidRPr="007E50F7">
        <w:tab/>
      </w:r>
      <w:r w:rsidR="000B1479" w:rsidRPr="00CE55AC">
        <w:t xml:space="preserve">Table </w:t>
      </w:r>
      <w:r w:rsidR="00121F14" w:rsidRPr="00CE55AC">
        <w:t>4</w:t>
      </w:r>
      <w:r w:rsidR="000B1479" w:rsidRPr="00CE55AC">
        <w:t xml:space="preserve"> </w:t>
      </w:r>
      <w:r w:rsidR="000B1479" w:rsidRPr="007E50F7">
        <w:t xml:space="preserve">below, shows the results that </w:t>
      </w:r>
      <w:r w:rsidR="001B0420" w:rsidRPr="007E50F7">
        <w:t xml:space="preserve">Schedules receiving </w:t>
      </w:r>
      <w:r w:rsidR="00FC022D">
        <w:t xml:space="preserve">above </w:t>
      </w:r>
      <w:r w:rsidR="001B0420" w:rsidRPr="007E50F7">
        <w:t>average</w:t>
      </w:r>
      <w:r w:rsidR="002339A7">
        <w:t xml:space="preserve"> or </w:t>
      </w:r>
      <w:r w:rsidR="00FC022D">
        <w:t>no increases</w:t>
      </w:r>
      <w:r w:rsidR="001B0420" w:rsidRPr="007E50F7">
        <w:t xml:space="preserve"> </w:t>
      </w:r>
      <w:r w:rsidR="00FC022D">
        <w:t>move r</w:t>
      </w:r>
      <w:r w:rsidR="001B0420" w:rsidRPr="007E50F7">
        <w:t xml:space="preserve">atios </w:t>
      </w:r>
      <w:r w:rsidR="00FC022D">
        <w:t xml:space="preserve">closer to Staff’s recommended target parity range of </w:t>
      </w:r>
      <w:r w:rsidR="004E01D4">
        <w:t>0</w:t>
      </w:r>
      <w:r w:rsidR="0091430A">
        <w:t>.95 to 1.05</w:t>
      </w:r>
      <w:r w:rsidR="001B0420" w:rsidRPr="007E50F7">
        <w:t>.</w:t>
      </w:r>
    </w:p>
    <w:tbl>
      <w:tblPr>
        <w:tblpPr w:leftFromText="187" w:rightFromText="187" w:vertAnchor="text" w:horzAnchor="page" w:tblpX="2634" w:tblpY="81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95"/>
        <w:gridCol w:w="1620"/>
        <w:gridCol w:w="1440"/>
      </w:tblGrid>
      <w:tr w:rsidR="007E50F7" w:rsidRPr="007E50F7" w14:paraId="3C1DBDE4" w14:textId="77777777" w:rsidTr="00A8237F">
        <w:trPr>
          <w:cantSplit/>
        </w:trPr>
        <w:tc>
          <w:tcPr>
            <w:tcW w:w="5695" w:type="dxa"/>
            <w:vAlign w:val="center"/>
          </w:tcPr>
          <w:p w14:paraId="3C1DBDE1" w14:textId="77777777" w:rsidR="00A8237F" w:rsidRPr="007E50F7" w:rsidRDefault="00A8237F" w:rsidP="00FE5F12">
            <w:pPr>
              <w:pStyle w:val="answer"/>
              <w:keepNext/>
              <w:spacing w:before="60" w:after="60" w:line="240" w:lineRule="auto"/>
              <w:ind w:left="0" w:firstLine="0"/>
              <w:jc w:val="center"/>
              <w:rPr>
                <w:b/>
              </w:rPr>
            </w:pPr>
            <w:r w:rsidRPr="007E50F7">
              <w:rPr>
                <w:b/>
              </w:rPr>
              <w:t>Customer Class</w:t>
            </w:r>
          </w:p>
        </w:tc>
        <w:tc>
          <w:tcPr>
            <w:tcW w:w="1620" w:type="dxa"/>
            <w:vAlign w:val="center"/>
          </w:tcPr>
          <w:p w14:paraId="3C1DBDE2" w14:textId="77777777" w:rsidR="00A8237F" w:rsidRPr="007E50F7" w:rsidRDefault="00436E57" w:rsidP="002042E2">
            <w:pPr>
              <w:pStyle w:val="answer"/>
              <w:keepNext/>
              <w:spacing w:before="60" w:after="60" w:line="240" w:lineRule="auto"/>
              <w:ind w:left="0" w:firstLine="0"/>
              <w:jc w:val="center"/>
              <w:rPr>
                <w:b/>
              </w:rPr>
            </w:pPr>
            <w:r w:rsidRPr="007E50F7">
              <w:rPr>
                <w:b/>
              </w:rPr>
              <w:t xml:space="preserve">Staff </w:t>
            </w:r>
            <w:r w:rsidR="00A8237F" w:rsidRPr="007E50F7">
              <w:rPr>
                <w:b/>
              </w:rPr>
              <w:t>C</w:t>
            </w:r>
            <w:r w:rsidR="002042E2">
              <w:rPr>
                <w:b/>
              </w:rPr>
              <w:t>urrent</w:t>
            </w:r>
          </w:p>
        </w:tc>
        <w:tc>
          <w:tcPr>
            <w:tcW w:w="1440" w:type="dxa"/>
            <w:vAlign w:val="center"/>
          </w:tcPr>
          <w:p w14:paraId="3C1DBDE3" w14:textId="77777777" w:rsidR="00A8237F" w:rsidRPr="007E50F7" w:rsidRDefault="00A8237F" w:rsidP="00FE5F12">
            <w:pPr>
              <w:pStyle w:val="answer"/>
              <w:keepNext/>
              <w:spacing w:before="60" w:after="60" w:line="240" w:lineRule="auto"/>
              <w:ind w:left="0" w:firstLine="0"/>
              <w:jc w:val="center"/>
              <w:rPr>
                <w:b/>
              </w:rPr>
            </w:pPr>
            <w:r w:rsidRPr="007E50F7">
              <w:rPr>
                <w:b/>
              </w:rPr>
              <w:t>Staff Proposal</w:t>
            </w:r>
          </w:p>
        </w:tc>
      </w:tr>
      <w:tr w:rsidR="007E50F7" w:rsidRPr="007E50F7" w14:paraId="3C1DBDE8" w14:textId="77777777" w:rsidTr="00A8237F">
        <w:trPr>
          <w:cantSplit/>
        </w:trPr>
        <w:tc>
          <w:tcPr>
            <w:tcW w:w="5695" w:type="dxa"/>
            <w:vAlign w:val="center"/>
          </w:tcPr>
          <w:p w14:paraId="3C1DBDE5" w14:textId="77777777" w:rsidR="00A8237F" w:rsidRPr="007E50F7" w:rsidRDefault="00A8237F" w:rsidP="00FE5F12">
            <w:pPr>
              <w:pStyle w:val="answer"/>
              <w:keepNext/>
              <w:spacing w:before="60" w:after="60" w:line="240" w:lineRule="auto"/>
              <w:ind w:left="0" w:firstLine="0"/>
            </w:pPr>
            <w:r w:rsidRPr="007E50F7">
              <w:t>Total System</w:t>
            </w:r>
          </w:p>
        </w:tc>
        <w:tc>
          <w:tcPr>
            <w:tcW w:w="1620" w:type="dxa"/>
            <w:vAlign w:val="center"/>
          </w:tcPr>
          <w:p w14:paraId="3C1DBDE6" w14:textId="77777777" w:rsidR="00A8237F" w:rsidRPr="00FC022D" w:rsidRDefault="00A8237F" w:rsidP="00FE5F12">
            <w:pPr>
              <w:pStyle w:val="answer"/>
              <w:keepNext/>
              <w:spacing w:before="60" w:after="60" w:line="240" w:lineRule="auto"/>
              <w:ind w:left="0" w:firstLine="0"/>
              <w:jc w:val="center"/>
            </w:pPr>
            <w:r w:rsidRPr="00FC022D">
              <w:t>1.00</w:t>
            </w:r>
          </w:p>
        </w:tc>
        <w:tc>
          <w:tcPr>
            <w:tcW w:w="1440" w:type="dxa"/>
            <w:vAlign w:val="center"/>
          </w:tcPr>
          <w:p w14:paraId="3C1DBDE7" w14:textId="77777777" w:rsidR="00A8237F" w:rsidRPr="00CE55AC" w:rsidRDefault="00A8237F" w:rsidP="00FE5F12">
            <w:pPr>
              <w:pStyle w:val="answer"/>
              <w:keepNext/>
              <w:spacing w:before="60" w:after="60" w:line="240" w:lineRule="auto"/>
              <w:ind w:left="0" w:firstLine="0"/>
              <w:jc w:val="center"/>
            </w:pPr>
            <w:r w:rsidRPr="00CE55AC">
              <w:t>1.00</w:t>
            </w:r>
          </w:p>
        </w:tc>
      </w:tr>
      <w:tr w:rsidR="007E50F7" w:rsidRPr="007E50F7" w14:paraId="3C1DBDEC" w14:textId="77777777" w:rsidTr="00A8237F">
        <w:trPr>
          <w:cantSplit/>
        </w:trPr>
        <w:tc>
          <w:tcPr>
            <w:tcW w:w="5695" w:type="dxa"/>
            <w:vAlign w:val="center"/>
          </w:tcPr>
          <w:p w14:paraId="3C1DBDE9" w14:textId="77777777" w:rsidR="003C3F25" w:rsidRPr="007E50F7" w:rsidRDefault="003C3F25" w:rsidP="003C3F25">
            <w:pPr>
              <w:pStyle w:val="answer"/>
              <w:keepNext/>
              <w:spacing w:before="60" w:after="60" w:line="240" w:lineRule="auto"/>
              <w:ind w:left="0" w:firstLine="0"/>
            </w:pPr>
            <w:r w:rsidRPr="007E50F7">
              <w:t>General Service (Schedule 101)</w:t>
            </w:r>
          </w:p>
        </w:tc>
        <w:tc>
          <w:tcPr>
            <w:tcW w:w="1620" w:type="dxa"/>
            <w:vAlign w:val="center"/>
          </w:tcPr>
          <w:p w14:paraId="3C1DBDEA" w14:textId="77777777" w:rsidR="003C3F25" w:rsidRPr="00FC022D" w:rsidRDefault="00E225A5" w:rsidP="003C3F25">
            <w:pPr>
              <w:pStyle w:val="answer"/>
              <w:keepNext/>
              <w:spacing w:before="60" w:after="60" w:line="240" w:lineRule="auto"/>
              <w:ind w:left="0" w:firstLine="0"/>
              <w:jc w:val="center"/>
            </w:pPr>
            <w:r w:rsidRPr="00FC022D">
              <w:t>0.94</w:t>
            </w:r>
          </w:p>
        </w:tc>
        <w:tc>
          <w:tcPr>
            <w:tcW w:w="1440" w:type="dxa"/>
            <w:vAlign w:val="center"/>
          </w:tcPr>
          <w:p w14:paraId="3C1DBDEB" w14:textId="77777777" w:rsidR="003C3F25" w:rsidRPr="00CE55AC" w:rsidRDefault="002339A7" w:rsidP="00E225A5">
            <w:pPr>
              <w:pStyle w:val="answer"/>
              <w:keepNext/>
              <w:spacing w:before="60" w:after="60" w:line="240" w:lineRule="auto"/>
              <w:ind w:left="0" w:firstLine="0"/>
              <w:jc w:val="center"/>
            </w:pPr>
            <w:r w:rsidRPr="00CE55AC">
              <w:t>0.9</w:t>
            </w:r>
            <w:r w:rsidR="00E225A5" w:rsidRPr="00CE55AC">
              <w:t>7</w:t>
            </w:r>
          </w:p>
        </w:tc>
      </w:tr>
      <w:tr w:rsidR="007E50F7" w:rsidRPr="007E50F7" w14:paraId="3C1DBDF0" w14:textId="77777777" w:rsidTr="00A8237F">
        <w:trPr>
          <w:cantSplit/>
        </w:trPr>
        <w:tc>
          <w:tcPr>
            <w:tcW w:w="5695" w:type="dxa"/>
            <w:vAlign w:val="center"/>
          </w:tcPr>
          <w:p w14:paraId="3C1DBDED" w14:textId="77777777" w:rsidR="003C3F25" w:rsidRPr="007E50F7" w:rsidRDefault="003C3F25" w:rsidP="003C3F25">
            <w:pPr>
              <w:pStyle w:val="answer"/>
              <w:keepNext/>
              <w:spacing w:before="60" w:after="60" w:line="240" w:lineRule="auto"/>
              <w:ind w:left="0" w:firstLine="0"/>
            </w:pPr>
            <w:r w:rsidRPr="007E50F7">
              <w:t>Large General Service (Schedules 111, 112)</w:t>
            </w:r>
          </w:p>
        </w:tc>
        <w:tc>
          <w:tcPr>
            <w:tcW w:w="1620" w:type="dxa"/>
            <w:vAlign w:val="center"/>
          </w:tcPr>
          <w:p w14:paraId="3C1DBDEE" w14:textId="77777777" w:rsidR="003C3F25" w:rsidRPr="00FC022D" w:rsidRDefault="00E225A5" w:rsidP="003C3F25">
            <w:pPr>
              <w:pStyle w:val="answer"/>
              <w:keepNext/>
              <w:spacing w:before="60" w:after="60" w:line="240" w:lineRule="auto"/>
              <w:ind w:left="0" w:firstLine="0"/>
              <w:jc w:val="center"/>
            </w:pPr>
            <w:r w:rsidRPr="00FC022D">
              <w:t>1.34</w:t>
            </w:r>
          </w:p>
        </w:tc>
        <w:tc>
          <w:tcPr>
            <w:tcW w:w="1440" w:type="dxa"/>
            <w:vAlign w:val="center"/>
          </w:tcPr>
          <w:p w14:paraId="3C1DBDEF" w14:textId="77777777" w:rsidR="003C3F25" w:rsidRPr="00CE55AC" w:rsidRDefault="00E225A5" w:rsidP="003C3F25">
            <w:pPr>
              <w:pStyle w:val="answer"/>
              <w:keepNext/>
              <w:spacing w:before="60" w:after="60" w:line="240" w:lineRule="auto"/>
              <w:ind w:left="0" w:firstLine="0"/>
              <w:jc w:val="center"/>
            </w:pPr>
            <w:r w:rsidRPr="00CE55AC">
              <w:t>1.1</w:t>
            </w:r>
            <w:r w:rsidR="0060033E" w:rsidRPr="00CE55AC">
              <w:t>8</w:t>
            </w:r>
          </w:p>
        </w:tc>
      </w:tr>
      <w:tr w:rsidR="007E50F7" w:rsidRPr="007E50F7" w14:paraId="3C1DBDF4" w14:textId="77777777" w:rsidTr="00A8237F">
        <w:trPr>
          <w:cantSplit/>
        </w:trPr>
        <w:tc>
          <w:tcPr>
            <w:tcW w:w="5695" w:type="dxa"/>
            <w:vAlign w:val="center"/>
          </w:tcPr>
          <w:p w14:paraId="3C1DBDF1" w14:textId="77777777" w:rsidR="003C3F25" w:rsidRPr="007E50F7" w:rsidRDefault="003C3F25" w:rsidP="003C3F25">
            <w:pPr>
              <w:pStyle w:val="answer"/>
              <w:keepNext/>
              <w:spacing w:before="60" w:after="60" w:line="240" w:lineRule="auto"/>
              <w:ind w:left="0" w:firstLine="0"/>
            </w:pPr>
            <w:r w:rsidRPr="007E50F7">
              <w:t>Extra Large General Service (Schedules 121, 122)</w:t>
            </w:r>
          </w:p>
        </w:tc>
        <w:tc>
          <w:tcPr>
            <w:tcW w:w="1620" w:type="dxa"/>
            <w:vAlign w:val="center"/>
          </w:tcPr>
          <w:p w14:paraId="3C1DBDF2" w14:textId="77777777" w:rsidR="003C3F25" w:rsidRPr="00FC022D" w:rsidRDefault="0090795D" w:rsidP="003C3F25">
            <w:pPr>
              <w:pStyle w:val="answer"/>
              <w:keepNext/>
              <w:spacing w:before="60" w:after="60" w:line="240" w:lineRule="auto"/>
              <w:ind w:left="0" w:firstLine="0"/>
              <w:jc w:val="center"/>
            </w:pPr>
            <w:r>
              <w:t>1.48</w:t>
            </w:r>
          </w:p>
        </w:tc>
        <w:tc>
          <w:tcPr>
            <w:tcW w:w="1440" w:type="dxa"/>
            <w:vAlign w:val="center"/>
          </w:tcPr>
          <w:p w14:paraId="3C1DBDF3" w14:textId="77777777" w:rsidR="003C3F25" w:rsidRPr="00CE55AC" w:rsidRDefault="00E225A5" w:rsidP="003C3F25">
            <w:pPr>
              <w:pStyle w:val="answer"/>
              <w:keepNext/>
              <w:spacing w:before="60" w:after="60" w:line="240" w:lineRule="auto"/>
              <w:ind w:left="0" w:firstLine="0"/>
              <w:jc w:val="center"/>
            </w:pPr>
            <w:r w:rsidRPr="00CE55AC">
              <w:t>1.2</w:t>
            </w:r>
            <w:r w:rsidR="0060033E" w:rsidRPr="00CE55AC">
              <w:t>9</w:t>
            </w:r>
          </w:p>
        </w:tc>
      </w:tr>
      <w:tr w:rsidR="007E50F7" w:rsidRPr="007E50F7" w14:paraId="3C1DBDF8" w14:textId="77777777" w:rsidTr="00A8237F">
        <w:trPr>
          <w:cantSplit/>
        </w:trPr>
        <w:tc>
          <w:tcPr>
            <w:tcW w:w="5695" w:type="dxa"/>
            <w:vAlign w:val="center"/>
          </w:tcPr>
          <w:p w14:paraId="3C1DBDF5" w14:textId="77777777" w:rsidR="003C3F25" w:rsidRPr="007E50F7" w:rsidRDefault="003C3F25" w:rsidP="003C3F25">
            <w:pPr>
              <w:pStyle w:val="answer"/>
              <w:keepNext/>
              <w:spacing w:before="60" w:after="60" w:line="240" w:lineRule="auto"/>
              <w:ind w:left="0" w:firstLine="0"/>
            </w:pPr>
            <w:r w:rsidRPr="007E50F7">
              <w:t>Interruptible (Schedule 131, 132)</w:t>
            </w:r>
          </w:p>
        </w:tc>
        <w:tc>
          <w:tcPr>
            <w:tcW w:w="1620" w:type="dxa"/>
            <w:vAlign w:val="center"/>
          </w:tcPr>
          <w:p w14:paraId="3C1DBDF6" w14:textId="77777777" w:rsidR="003C3F25" w:rsidRPr="00FC022D" w:rsidRDefault="00E225A5" w:rsidP="003C3F25">
            <w:pPr>
              <w:pStyle w:val="answer"/>
              <w:keepNext/>
              <w:spacing w:before="60" w:after="60" w:line="240" w:lineRule="auto"/>
              <w:ind w:left="0" w:firstLine="0"/>
              <w:jc w:val="center"/>
            </w:pPr>
            <w:r w:rsidRPr="00FC022D">
              <w:t>1.03</w:t>
            </w:r>
          </w:p>
        </w:tc>
        <w:tc>
          <w:tcPr>
            <w:tcW w:w="1440" w:type="dxa"/>
            <w:vAlign w:val="center"/>
          </w:tcPr>
          <w:p w14:paraId="3C1DBDF7" w14:textId="77777777" w:rsidR="003C3F25" w:rsidRPr="00CE55AC" w:rsidRDefault="00E225A5" w:rsidP="003C3F25">
            <w:pPr>
              <w:pStyle w:val="answer"/>
              <w:keepNext/>
              <w:spacing w:before="60" w:after="60" w:line="240" w:lineRule="auto"/>
              <w:ind w:left="0" w:firstLine="0"/>
              <w:jc w:val="center"/>
            </w:pPr>
            <w:r w:rsidRPr="00CE55AC">
              <w:t>1.00</w:t>
            </w:r>
          </w:p>
        </w:tc>
      </w:tr>
      <w:tr w:rsidR="007E50F7" w:rsidRPr="007E50F7" w14:paraId="3C1DBDFC" w14:textId="77777777" w:rsidTr="00A8237F">
        <w:trPr>
          <w:cantSplit/>
        </w:trPr>
        <w:tc>
          <w:tcPr>
            <w:tcW w:w="5695" w:type="dxa"/>
            <w:vAlign w:val="center"/>
          </w:tcPr>
          <w:p w14:paraId="3C1DBDF9" w14:textId="77777777" w:rsidR="003C3F25" w:rsidRPr="007E50F7" w:rsidRDefault="003C3F25" w:rsidP="003C3F25">
            <w:pPr>
              <w:pStyle w:val="answer"/>
              <w:keepNext/>
              <w:spacing w:before="60" w:after="60" w:line="240" w:lineRule="auto"/>
              <w:ind w:left="0" w:firstLine="0"/>
            </w:pPr>
            <w:r w:rsidRPr="007E50F7">
              <w:t>Transportation (Schedule 146)</w:t>
            </w:r>
          </w:p>
        </w:tc>
        <w:tc>
          <w:tcPr>
            <w:tcW w:w="1620" w:type="dxa"/>
            <w:vAlign w:val="center"/>
          </w:tcPr>
          <w:p w14:paraId="3C1DBDFA" w14:textId="77777777" w:rsidR="003C3F25" w:rsidRPr="00FC022D" w:rsidRDefault="002339A7" w:rsidP="00E225A5">
            <w:pPr>
              <w:pStyle w:val="answer"/>
              <w:keepNext/>
              <w:spacing w:before="60" w:after="60" w:line="240" w:lineRule="auto"/>
              <w:ind w:left="0" w:firstLine="0"/>
              <w:jc w:val="center"/>
            </w:pPr>
            <w:r w:rsidRPr="00FC022D">
              <w:t>0.</w:t>
            </w:r>
            <w:r w:rsidR="0090795D">
              <w:t>97</w:t>
            </w:r>
          </w:p>
        </w:tc>
        <w:tc>
          <w:tcPr>
            <w:tcW w:w="1440" w:type="dxa"/>
            <w:vAlign w:val="center"/>
          </w:tcPr>
          <w:p w14:paraId="3C1DBDFB" w14:textId="77777777" w:rsidR="003C3F25" w:rsidRPr="00CE55AC" w:rsidRDefault="00696CEF" w:rsidP="0090795D">
            <w:pPr>
              <w:pStyle w:val="answer"/>
              <w:keepNext/>
              <w:spacing w:before="60" w:after="60" w:line="240" w:lineRule="auto"/>
              <w:ind w:left="0" w:firstLine="0"/>
              <w:jc w:val="center"/>
            </w:pPr>
            <w:r w:rsidRPr="00CE55AC">
              <w:t>1</w:t>
            </w:r>
            <w:r w:rsidR="002339A7" w:rsidRPr="00CE55AC">
              <w:t>.</w:t>
            </w:r>
            <w:r w:rsidRPr="00CE55AC">
              <w:t>00</w:t>
            </w:r>
          </w:p>
        </w:tc>
      </w:tr>
    </w:tbl>
    <w:p w14:paraId="3C1DBDFD" w14:textId="77777777" w:rsidR="00FE5F12" w:rsidRPr="007E50F7" w:rsidRDefault="00FE5F12" w:rsidP="00FE5F12">
      <w:pPr>
        <w:pStyle w:val="Answer-Testimony"/>
        <w:jc w:val="center"/>
      </w:pPr>
      <w:r w:rsidRPr="00CE55AC">
        <w:t xml:space="preserve">Table </w:t>
      </w:r>
      <w:r w:rsidR="00121F14" w:rsidRPr="00CE55AC">
        <w:t>4</w:t>
      </w:r>
      <w:r w:rsidRPr="00CE55AC">
        <w:t xml:space="preserve">:  Summary </w:t>
      </w:r>
      <w:r w:rsidRPr="007E50F7">
        <w:t xml:space="preserve">of </w:t>
      </w:r>
      <w:r w:rsidR="002042E2">
        <w:t xml:space="preserve">Margin </w:t>
      </w:r>
      <w:r w:rsidRPr="007E50F7">
        <w:t>Parity Ratios</w:t>
      </w:r>
    </w:p>
    <w:p w14:paraId="3C1DBDFE" w14:textId="77777777" w:rsidR="00FE5F12" w:rsidRPr="000559D0" w:rsidRDefault="00FE5F12" w:rsidP="00FE5F12">
      <w:pPr>
        <w:pStyle w:val="Answer-Testimony"/>
        <w:rPr>
          <w:color w:val="FFFFFF" w:themeColor="background1"/>
        </w:rPr>
      </w:pPr>
      <w:r w:rsidRPr="000559D0">
        <w:rPr>
          <w:color w:val="FFFFFF" w:themeColor="background1"/>
        </w:rPr>
        <w:t>R</w:t>
      </w:r>
    </w:p>
    <w:p w14:paraId="3C1DBDFF" w14:textId="77777777" w:rsidR="00FE5F12" w:rsidRPr="000559D0" w:rsidRDefault="00FE5F12" w:rsidP="00FE5F12">
      <w:pPr>
        <w:pStyle w:val="Answer-Testimony"/>
        <w:rPr>
          <w:color w:val="FFFFFF" w:themeColor="background1"/>
        </w:rPr>
      </w:pPr>
      <w:r w:rsidRPr="000559D0">
        <w:rPr>
          <w:color w:val="FFFFFF" w:themeColor="background1"/>
        </w:rPr>
        <w:t>R</w:t>
      </w:r>
    </w:p>
    <w:p w14:paraId="3C1DBE00" w14:textId="77777777" w:rsidR="00FE5F12" w:rsidRPr="000559D0" w:rsidRDefault="00FE5F12" w:rsidP="00FE5F12">
      <w:pPr>
        <w:pStyle w:val="Answer-Testimony"/>
        <w:rPr>
          <w:color w:val="FFFFFF" w:themeColor="background1"/>
        </w:rPr>
      </w:pPr>
      <w:r w:rsidRPr="000559D0">
        <w:rPr>
          <w:color w:val="FFFFFF" w:themeColor="background1"/>
        </w:rPr>
        <w:t>R</w:t>
      </w:r>
    </w:p>
    <w:p w14:paraId="3C1DBE01" w14:textId="77777777" w:rsidR="00FE5F12" w:rsidRPr="000559D0" w:rsidRDefault="00FE5F12" w:rsidP="00FE5F12">
      <w:pPr>
        <w:pStyle w:val="Answer-Testimony"/>
        <w:rPr>
          <w:color w:val="FFFFFF" w:themeColor="background1"/>
        </w:rPr>
      </w:pPr>
      <w:r w:rsidRPr="000559D0">
        <w:rPr>
          <w:color w:val="FFFFFF" w:themeColor="background1"/>
        </w:rPr>
        <w:t>R</w:t>
      </w:r>
    </w:p>
    <w:p w14:paraId="3C1DBE02" w14:textId="77777777" w:rsidR="00FE5F12" w:rsidRPr="000559D0" w:rsidRDefault="00FE5F12" w:rsidP="00FE5F12">
      <w:pPr>
        <w:pStyle w:val="Answer-Testimony"/>
        <w:rPr>
          <w:color w:val="FFFFFF" w:themeColor="background1"/>
        </w:rPr>
      </w:pPr>
      <w:r w:rsidRPr="000559D0">
        <w:rPr>
          <w:color w:val="FFFFFF" w:themeColor="background1"/>
        </w:rPr>
        <w:t>R</w:t>
      </w:r>
    </w:p>
    <w:p w14:paraId="3C1DBE03" w14:textId="77777777" w:rsidR="00FE5F12" w:rsidRPr="000559D0" w:rsidRDefault="00FE5F12" w:rsidP="00FE5F12">
      <w:pPr>
        <w:pStyle w:val="Question-Testimony"/>
        <w:rPr>
          <w:color w:val="FFFFFF" w:themeColor="background1"/>
        </w:rPr>
      </w:pPr>
      <w:r w:rsidRPr="000559D0">
        <w:rPr>
          <w:color w:val="FFFFFF" w:themeColor="background1"/>
        </w:rPr>
        <w:t>R</w:t>
      </w:r>
    </w:p>
    <w:p w14:paraId="3C1DBE04" w14:textId="77777777" w:rsidR="00FE5F12" w:rsidRPr="000559D0" w:rsidRDefault="00FE5F12" w:rsidP="00FE5F12">
      <w:pPr>
        <w:pStyle w:val="Question-Testimony"/>
        <w:rPr>
          <w:color w:val="FFFFFF" w:themeColor="background1"/>
        </w:rPr>
      </w:pPr>
    </w:p>
    <w:p w14:paraId="3C1DBE05" w14:textId="77777777" w:rsidR="005D10CA" w:rsidRPr="007E50F7" w:rsidRDefault="005D10CA" w:rsidP="005D10CA">
      <w:pPr>
        <w:pStyle w:val="Answer-Testimony"/>
      </w:pPr>
    </w:p>
    <w:p w14:paraId="3C1DBE06" w14:textId="77777777" w:rsidR="005D10CA" w:rsidRPr="007E50F7" w:rsidRDefault="005D10CA" w:rsidP="00665AA3">
      <w:pPr>
        <w:pStyle w:val="Heading1"/>
      </w:pPr>
      <w:bookmarkStart w:id="52" w:name="_Toc391992054"/>
      <w:bookmarkStart w:id="53" w:name="_Toc393696937"/>
      <w:r w:rsidRPr="007E50F7">
        <w:t>NATURAL GAS RATE DESIGN</w:t>
      </w:r>
      <w:bookmarkEnd w:id="52"/>
      <w:bookmarkEnd w:id="53"/>
    </w:p>
    <w:p w14:paraId="3C1DBE07" w14:textId="77777777" w:rsidR="000726F7" w:rsidRDefault="000726F7" w:rsidP="000726F7">
      <w:pPr>
        <w:pStyle w:val="Answer-Testimony"/>
      </w:pPr>
    </w:p>
    <w:p w14:paraId="3C1DBE08" w14:textId="77777777" w:rsidR="003D3FF2" w:rsidRPr="007E50F7" w:rsidRDefault="003D3FF2" w:rsidP="003D3FF2">
      <w:pPr>
        <w:pStyle w:val="Question-Testimony"/>
      </w:pPr>
      <w:r w:rsidRPr="007E50F7">
        <w:t>Q.</w:t>
      </w:r>
      <w:r w:rsidRPr="007E50F7">
        <w:tab/>
        <w:t xml:space="preserve">Please explain generally the concept of </w:t>
      </w:r>
      <w:r w:rsidR="0077177A" w:rsidRPr="007E50F7">
        <w:t xml:space="preserve">natural gas </w:t>
      </w:r>
      <w:r w:rsidRPr="007E50F7">
        <w:t>rate design.</w:t>
      </w:r>
    </w:p>
    <w:p w14:paraId="3C1DBE09" w14:textId="77777777" w:rsidR="003D3FF2" w:rsidRPr="007E50F7" w:rsidRDefault="003D3FF2" w:rsidP="003D3FF2">
      <w:pPr>
        <w:pStyle w:val="Answer-Testimony"/>
      </w:pPr>
      <w:r w:rsidRPr="007E50F7">
        <w:t>A.</w:t>
      </w:r>
      <w:r w:rsidRPr="007E50F7">
        <w:tab/>
      </w:r>
      <w:r w:rsidR="0077177A" w:rsidRPr="007E50F7">
        <w:t>Similar to electric rate design, natural gas r</w:t>
      </w:r>
      <w:r w:rsidRPr="007E50F7">
        <w:t xml:space="preserve">ate design takes the total allocated revenue for each rate schedule and determines the specific charges within the schedule, such as the basic charge per month, the demand charge per </w:t>
      </w:r>
      <w:proofErr w:type="spellStart"/>
      <w:r w:rsidRPr="007E50F7">
        <w:t>therm</w:t>
      </w:r>
      <w:proofErr w:type="spellEnd"/>
      <w:r w:rsidRPr="007E50F7">
        <w:t>, and the exact cents per therm.</w:t>
      </w:r>
    </w:p>
    <w:p w14:paraId="3C1DBE0A" w14:textId="77777777" w:rsidR="00992681" w:rsidRPr="007E50F7" w:rsidRDefault="00992681" w:rsidP="00992681">
      <w:pPr>
        <w:pStyle w:val="Answer-Testimony"/>
      </w:pPr>
    </w:p>
    <w:p w14:paraId="3C1DBE0B" w14:textId="77777777" w:rsidR="00992681" w:rsidRPr="007E50F7" w:rsidRDefault="00992681" w:rsidP="00992681">
      <w:pPr>
        <w:pStyle w:val="Question-Testimony"/>
      </w:pPr>
      <w:r w:rsidRPr="007E50F7">
        <w:t>Q.</w:t>
      </w:r>
      <w:r w:rsidRPr="007E50F7">
        <w:tab/>
        <w:t xml:space="preserve">What are Staff’s </w:t>
      </w:r>
      <w:r>
        <w:t>natural gas</w:t>
      </w:r>
      <w:r w:rsidRPr="007E50F7">
        <w:t xml:space="preserve"> rate design structure proposals?</w:t>
      </w:r>
    </w:p>
    <w:p w14:paraId="3C1DBE0C" w14:textId="77777777" w:rsidR="00992681" w:rsidRPr="00A260E7" w:rsidRDefault="00992681" w:rsidP="00992681">
      <w:pPr>
        <w:pStyle w:val="Answer-Testimony"/>
      </w:pPr>
      <w:r w:rsidRPr="007E50F7">
        <w:lastRenderedPageBreak/>
        <w:t>A</w:t>
      </w:r>
      <w:r w:rsidRPr="00FD2A85">
        <w:t>.</w:t>
      </w:r>
      <w:r w:rsidRPr="00FD2A85">
        <w:tab/>
      </w:r>
      <w:r w:rsidRPr="00A260E7">
        <w:t xml:space="preserve">Staff proposes </w:t>
      </w:r>
      <w:r w:rsidR="001F57BB">
        <w:t>to use</w:t>
      </w:r>
      <w:r w:rsidRPr="00A260E7">
        <w:t xml:space="preserve"> rate year billing determinants</w:t>
      </w:r>
      <w:r w:rsidRPr="00A260E7">
        <w:rPr>
          <w:rStyle w:val="FootnoteReference"/>
        </w:rPr>
        <w:footnoteReference w:id="59"/>
      </w:r>
      <w:r w:rsidRPr="00A260E7">
        <w:t xml:space="preserve"> to reflect Staff witness Mr. McGuire’s recommendation for growth rates within the attrition study.</w:t>
      </w:r>
      <w:r w:rsidRPr="00A260E7">
        <w:rPr>
          <w:rStyle w:val="FootnoteReference"/>
        </w:rPr>
        <w:footnoteReference w:id="60"/>
      </w:r>
      <w:r w:rsidRPr="00A260E7">
        <w:t xml:space="preserve">  Staff also proposes to: (1) </w:t>
      </w:r>
      <w:r w:rsidR="006B172B">
        <w:t>i</w:t>
      </w:r>
      <w:r w:rsidRPr="00A260E7">
        <w:t xml:space="preserve">ncrease the monthly customer charges to include more fixed costs; (2) </w:t>
      </w:r>
      <w:r w:rsidR="00A260E7" w:rsidRPr="00A260E7">
        <w:t>de</w:t>
      </w:r>
      <w:r w:rsidRPr="00A260E7">
        <w:t>crease volumetric rates for Schedules</w:t>
      </w:r>
      <w:r w:rsidR="00A260E7" w:rsidRPr="00A260E7">
        <w:t xml:space="preserve"> 111, 112, 121, </w:t>
      </w:r>
      <w:r w:rsidR="00031061">
        <w:t>and 122</w:t>
      </w:r>
      <w:r w:rsidRPr="00A260E7">
        <w:t xml:space="preserve">; </w:t>
      </w:r>
      <w:r w:rsidR="00A260E7" w:rsidRPr="00A260E7">
        <w:t xml:space="preserve">and </w:t>
      </w:r>
      <w:r w:rsidRPr="00A260E7">
        <w:t>(3)</w:t>
      </w:r>
      <w:r w:rsidR="00A260E7" w:rsidRPr="00A260E7">
        <w:t xml:space="preserve"> </w:t>
      </w:r>
      <w:r w:rsidR="008914AF" w:rsidRPr="002042E2">
        <w:t>appl</w:t>
      </w:r>
      <w:r w:rsidR="00C3296F">
        <w:t>y</w:t>
      </w:r>
      <w:r w:rsidR="008914AF" w:rsidRPr="002042E2">
        <w:t xml:space="preserve"> </w:t>
      </w:r>
      <w:r w:rsidR="008914AF">
        <w:t>a split of 50/50 of the Transportation Schedule’s</w:t>
      </w:r>
      <w:r w:rsidR="008914AF" w:rsidRPr="002042E2">
        <w:t xml:space="preserve"> revenue requirement to the customer charge</w:t>
      </w:r>
      <w:r w:rsidR="008914AF">
        <w:t xml:space="preserve"> and volumetric rates</w:t>
      </w:r>
      <w:r w:rsidRPr="00A260E7">
        <w:t>.</w:t>
      </w:r>
    </w:p>
    <w:p w14:paraId="3C1DBE0D" w14:textId="77777777" w:rsidR="000726F7" w:rsidRPr="000559D0" w:rsidRDefault="000726F7" w:rsidP="000726F7">
      <w:pPr>
        <w:pStyle w:val="Question-Testimony"/>
        <w:rPr>
          <w:color w:val="FFFFFF" w:themeColor="background1"/>
        </w:rPr>
      </w:pPr>
    </w:p>
    <w:p w14:paraId="3C1DBE0E" w14:textId="77777777" w:rsidR="000726F7" w:rsidRPr="007E50F7" w:rsidRDefault="001A205D" w:rsidP="000726F7">
      <w:pPr>
        <w:pStyle w:val="Heading3"/>
      </w:pPr>
      <w:bookmarkStart w:id="54" w:name="_Toc391992055"/>
      <w:bookmarkStart w:id="55" w:name="_Toc393696938"/>
      <w:r>
        <w:t>General Service (</w:t>
      </w:r>
      <w:r w:rsidR="002743AA">
        <w:t>Residential</w:t>
      </w:r>
      <w:r>
        <w:t>)</w:t>
      </w:r>
      <w:r w:rsidR="002743AA">
        <w:t xml:space="preserve"> Rates</w:t>
      </w:r>
      <w:bookmarkEnd w:id="54"/>
      <w:bookmarkEnd w:id="55"/>
    </w:p>
    <w:p w14:paraId="3C1DBE0F" w14:textId="77777777" w:rsidR="00054063" w:rsidRPr="007E50F7" w:rsidRDefault="00054063" w:rsidP="002815E0">
      <w:pPr>
        <w:pStyle w:val="Answer-Testimony"/>
      </w:pPr>
    </w:p>
    <w:p w14:paraId="3C1DBE10" w14:textId="77777777" w:rsidR="00AF5B5A" w:rsidRPr="007E50F7" w:rsidRDefault="00AF5B5A" w:rsidP="00AF5B5A">
      <w:pPr>
        <w:pStyle w:val="Question-Testimony"/>
      </w:pPr>
      <w:r w:rsidRPr="007E50F7">
        <w:t>Q.</w:t>
      </w:r>
      <w:r w:rsidRPr="007E50F7">
        <w:tab/>
        <w:t xml:space="preserve">What rate design does Staff propose for </w:t>
      </w:r>
      <w:r w:rsidR="00305F27" w:rsidRPr="007E50F7">
        <w:t xml:space="preserve">the </w:t>
      </w:r>
      <w:r w:rsidRPr="007E50F7">
        <w:t>monthly customer charge</w:t>
      </w:r>
      <w:r w:rsidR="00305F27" w:rsidRPr="007E50F7">
        <w:t>,</w:t>
      </w:r>
      <w:r w:rsidRPr="007E50F7">
        <w:t xml:space="preserve"> given Staff’s lower recommend revenue requirement?</w:t>
      </w:r>
    </w:p>
    <w:p w14:paraId="3C1DBE11" w14:textId="77777777" w:rsidR="00AF5B5A" w:rsidRPr="00CE55AC" w:rsidRDefault="00AF5B5A" w:rsidP="00AF5B5A">
      <w:pPr>
        <w:pStyle w:val="Answer-Testimony"/>
      </w:pPr>
      <w:r w:rsidRPr="007E50F7">
        <w:t>A.</w:t>
      </w:r>
      <w:r w:rsidRPr="007E50F7">
        <w:tab/>
        <w:t xml:space="preserve">Staff proposes to increase the monthly customer charge to reflect the costs that are fixed and </w:t>
      </w:r>
      <w:r w:rsidR="0086135A" w:rsidRPr="007E50F7">
        <w:t xml:space="preserve">that </w:t>
      </w:r>
      <w:r w:rsidRPr="007E50F7">
        <w:t>vary with the number of customers</w:t>
      </w:r>
      <w:r w:rsidR="00751AB5" w:rsidRPr="007E50F7">
        <w:t xml:space="preserve">.  </w:t>
      </w:r>
      <w:r w:rsidR="00FE5F12" w:rsidRPr="007E50F7">
        <w:t>For the same reason</w:t>
      </w:r>
      <w:r w:rsidR="00F57E37" w:rsidRPr="007E50F7">
        <w:t>s</w:t>
      </w:r>
      <w:r w:rsidR="00FE5F12" w:rsidRPr="007E50F7">
        <w:t xml:space="preserve"> I explained earlier in my discussion of electric rate design, these costs vary by the number of customers rather than usage</w:t>
      </w:r>
      <w:r w:rsidR="00702405">
        <w:t>.  Therefore,</w:t>
      </w:r>
      <w:r w:rsidR="00FE5F12" w:rsidRPr="007E50F7">
        <w:t xml:space="preserve"> it is appropriate for </w:t>
      </w:r>
      <w:r w:rsidR="00726DF4">
        <w:t>the Company</w:t>
      </w:r>
      <w:r w:rsidR="00FE5F12" w:rsidRPr="007E50F7">
        <w:t xml:space="preserve"> to recover these costs in the basic charge rather than usage charges.  </w:t>
      </w:r>
      <w:r w:rsidR="00751AB5" w:rsidRPr="007E50F7">
        <w:t>Accordingly</w:t>
      </w:r>
      <w:r w:rsidR="00FE5F12" w:rsidRPr="007E50F7">
        <w:t>, Staff</w:t>
      </w:r>
      <w:r w:rsidR="00751AB5" w:rsidRPr="007E50F7">
        <w:t xml:space="preserve"> proposes that the monthly customer charge for </w:t>
      </w:r>
      <w:r w:rsidRPr="007E50F7">
        <w:t>General Service Schedule 101 increase from $</w:t>
      </w:r>
      <w:r w:rsidR="0053502B">
        <w:t>8</w:t>
      </w:r>
      <w:r w:rsidRPr="007E50F7">
        <w:t xml:space="preserve">.00 to </w:t>
      </w:r>
      <w:r w:rsidRPr="00CE55AC">
        <w:t>$</w:t>
      </w:r>
      <w:r w:rsidR="0060033E" w:rsidRPr="00CE55AC">
        <w:t>8</w:t>
      </w:r>
      <w:r w:rsidRPr="00CE55AC">
        <w:t>.</w:t>
      </w:r>
      <w:r w:rsidR="0060033E" w:rsidRPr="00CE55AC">
        <w:t>92</w:t>
      </w:r>
      <w:r w:rsidRPr="00CE55AC">
        <w:t>.  The</w:t>
      </w:r>
      <w:r w:rsidR="00F57E37" w:rsidRPr="00CE55AC">
        <w:t xml:space="preserve"> development of this figure is </w:t>
      </w:r>
      <w:r w:rsidR="003413D8" w:rsidRPr="00CE55AC">
        <w:t xml:space="preserve">below </w:t>
      </w:r>
      <w:r w:rsidR="00B17020" w:rsidRPr="00CE55AC">
        <w:t xml:space="preserve">the minimum </w:t>
      </w:r>
      <w:r w:rsidR="0091430A" w:rsidRPr="00CE55AC">
        <w:t xml:space="preserve">customer-related costs </w:t>
      </w:r>
      <w:r w:rsidR="00B17020" w:rsidRPr="00CE55AC">
        <w:t>of $11.</w:t>
      </w:r>
      <w:r w:rsidR="008C63B1" w:rsidRPr="00CE55AC">
        <w:t>75</w:t>
      </w:r>
      <w:r w:rsidR="00B17020" w:rsidRPr="00CE55AC">
        <w:t xml:space="preserve"> </w:t>
      </w:r>
      <w:r w:rsidRPr="00CE55AC">
        <w:t>shown in my Exhibit No.</w:t>
      </w:r>
      <w:r w:rsidR="00F57E37" w:rsidRPr="00CE55AC">
        <w:t xml:space="preserve"> </w:t>
      </w:r>
      <w:r w:rsidRPr="00CE55AC">
        <w:t>__</w:t>
      </w:r>
      <w:r w:rsidR="00F57E37" w:rsidRPr="00CE55AC">
        <w:t>_</w:t>
      </w:r>
      <w:r w:rsidRPr="00CE55AC">
        <w:t xml:space="preserve"> (</w:t>
      </w:r>
      <w:proofErr w:type="spellStart"/>
      <w:r w:rsidRPr="00CE55AC">
        <w:t>CTM</w:t>
      </w:r>
      <w:proofErr w:type="spellEnd"/>
      <w:r w:rsidRPr="00CE55AC">
        <w:t>-</w:t>
      </w:r>
      <w:r w:rsidR="00745CD2" w:rsidRPr="00CE55AC">
        <w:t>5</w:t>
      </w:r>
      <w:r w:rsidRPr="00CE55AC">
        <w:t xml:space="preserve">), page </w:t>
      </w:r>
      <w:r w:rsidR="00662816" w:rsidRPr="00CE55AC">
        <w:t>4</w:t>
      </w:r>
      <w:r w:rsidRPr="00CE55AC">
        <w:t xml:space="preserve">, </w:t>
      </w:r>
      <w:r w:rsidR="00FE5F12" w:rsidRPr="00CE55AC">
        <w:t>and line</w:t>
      </w:r>
      <w:r w:rsidRPr="00CE55AC">
        <w:t xml:space="preserve"> </w:t>
      </w:r>
      <w:r w:rsidR="00662816" w:rsidRPr="00CE55AC">
        <w:t>29</w:t>
      </w:r>
      <w:r w:rsidRPr="00CE55AC">
        <w:t>.</w:t>
      </w:r>
    </w:p>
    <w:p w14:paraId="3C1DBE12" w14:textId="77777777" w:rsidR="00827A83" w:rsidRPr="007E50F7" w:rsidRDefault="00827A83" w:rsidP="00827A83">
      <w:pPr>
        <w:pStyle w:val="BodyTextIndent"/>
      </w:pPr>
    </w:p>
    <w:p w14:paraId="3C1DBE13" w14:textId="77777777" w:rsidR="00827A83" w:rsidRPr="007E50F7" w:rsidRDefault="00827A83" w:rsidP="00872C87">
      <w:pPr>
        <w:pStyle w:val="Question-Testimony"/>
        <w:keepNext/>
      </w:pPr>
      <w:r w:rsidRPr="007E50F7">
        <w:lastRenderedPageBreak/>
        <w:t>Q.</w:t>
      </w:r>
      <w:r w:rsidRPr="007E50F7">
        <w:tab/>
        <w:t xml:space="preserve">What costs are covered by the </w:t>
      </w:r>
      <w:r w:rsidR="00F57E37" w:rsidRPr="007E50F7">
        <w:t xml:space="preserve">gas </w:t>
      </w:r>
      <w:r w:rsidRPr="007E50F7">
        <w:t>monthly customer charge?</w:t>
      </w:r>
    </w:p>
    <w:p w14:paraId="3C1DBE14" w14:textId="77777777" w:rsidR="00827A83" w:rsidRPr="00EB341C" w:rsidRDefault="00827A83" w:rsidP="00827A83">
      <w:pPr>
        <w:pStyle w:val="Answer-Testimony"/>
      </w:pPr>
      <w:r w:rsidRPr="007E50F7">
        <w:t>A.</w:t>
      </w:r>
      <w:r w:rsidRPr="007E50F7">
        <w:tab/>
        <w:t xml:space="preserve">The </w:t>
      </w:r>
      <w:r w:rsidR="00F57E37" w:rsidRPr="007E50F7">
        <w:t xml:space="preserve">gas </w:t>
      </w:r>
      <w:r w:rsidRPr="007E50F7">
        <w:t xml:space="preserve">monthly customer charge includes the cost of meters, service drops, meter reading, meter maintenance, and billing.  Mr. </w:t>
      </w:r>
      <w:proofErr w:type="spellStart"/>
      <w:r w:rsidRPr="007E50F7">
        <w:t>Ehrbar’s</w:t>
      </w:r>
      <w:proofErr w:type="spellEnd"/>
      <w:r w:rsidRPr="007E50F7">
        <w:t xml:space="preserve"> Exhibit No.</w:t>
      </w:r>
      <w:r w:rsidR="001F57BB">
        <w:t xml:space="preserve"> ___ (</w:t>
      </w:r>
      <w:proofErr w:type="spellStart"/>
      <w:r w:rsidRPr="007E50F7">
        <w:t>PDE-1T</w:t>
      </w:r>
      <w:proofErr w:type="spellEnd"/>
      <w:r w:rsidR="001F57BB">
        <w:t>)</w:t>
      </w:r>
      <w:r w:rsidR="007E2ECA">
        <w:t xml:space="preserve">, </w:t>
      </w:r>
      <w:r w:rsidRPr="007E50F7">
        <w:t>starting on page 2</w:t>
      </w:r>
      <w:r w:rsidR="0053502B">
        <w:t>9</w:t>
      </w:r>
      <w:r w:rsidRPr="007E50F7">
        <w:t>, shows these costs total $</w:t>
      </w:r>
      <w:r w:rsidR="0053502B">
        <w:t>20</w:t>
      </w:r>
      <w:r w:rsidRPr="007E50F7">
        <w:t>.</w:t>
      </w:r>
      <w:r w:rsidR="0053502B">
        <w:t>02</w:t>
      </w:r>
      <w:r w:rsidRPr="007E50F7">
        <w:t xml:space="preserve"> per customer per month, </w:t>
      </w:r>
      <w:r w:rsidR="00F57E37" w:rsidRPr="007E50F7">
        <w:t xml:space="preserve">based on </w:t>
      </w:r>
      <w:r w:rsidRPr="007E50F7">
        <w:t xml:space="preserve">the </w:t>
      </w:r>
      <w:r w:rsidRPr="00EB341C">
        <w:t>Comp</w:t>
      </w:r>
      <w:r w:rsidR="0053502B" w:rsidRPr="00EB341C">
        <w:t>any’s rate request increase of 8</w:t>
      </w:r>
      <w:r w:rsidRPr="00EB341C">
        <w:t>.1 percent.</w:t>
      </w:r>
      <w:r w:rsidR="0091430A">
        <w:t xml:space="preserve">  My total customer cost estimate </w:t>
      </w:r>
      <w:r w:rsidR="0091430A" w:rsidRPr="00CE55AC">
        <w:t>is $</w:t>
      </w:r>
      <w:r w:rsidR="003F48E9" w:rsidRPr="00CE55AC">
        <w:t>22.72</w:t>
      </w:r>
      <w:r w:rsidR="0091430A" w:rsidRPr="00CE55AC">
        <w:t xml:space="preserve">.  The </w:t>
      </w:r>
      <w:r w:rsidR="0091430A">
        <w:t>difference</w:t>
      </w:r>
      <w:r w:rsidR="003F48E9">
        <w:t>s</w:t>
      </w:r>
      <w:r w:rsidR="0091430A">
        <w:t xml:space="preserve"> </w:t>
      </w:r>
      <w:r w:rsidR="003F48E9">
        <w:t>are</w:t>
      </w:r>
      <w:r w:rsidR="0091430A">
        <w:t xml:space="preserve"> </w:t>
      </w:r>
      <w:r w:rsidR="003F48E9">
        <w:t xml:space="preserve">mostly </w:t>
      </w:r>
      <w:r w:rsidR="0091430A">
        <w:t xml:space="preserve">due to </w:t>
      </w:r>
      <w:r w:rsidR="00AC4DED">
        <w:t xml:space="preserve">Staff and Company </w:t>
      </w:r>
      <w:r w:rsidR="00267B21">
        <w:t xml:space="preserve">differences </w:t>
      </w:r>
      <w:r w:rsidR="00AC4DED">
        <w:t xml:space="preserve">on </w:t>
      </w:r>
      <w:r w:rsidR="007E2ECA">
        <w:t>cost of capital</w:t>
      </w:r>
      <w:r w:rsidR="003F48E9">
        <w:t xml:space="preserve"> and classification</w:t>
      </w:r>
      <w:r w:rsidR="00C02F35">
        <w:t xml:space="preserve"> and allocation</w:t>
      </w:r>
      <w:r w:rsidR="003F48E9">
        <w:t xml:space="preserve"> of rate base</w:t>
      </w:r>
      <w:r w:rsidR="0091430A">
        <w:t>.</w:t>
      </w:r>
    </w:p>
    <w:p w14:paraId="3C1DBE15" w14:textId="77777777" w:rsidR="004C4B9C" w:rsidRPr="00EB341C" w:rsidRDefault="004C4B9C" w:rsidP="00827A83">
      <w:pPr>
        <w:pStyle w:val="Answer-Testimony"/>
      </w:pPr>
    </w:p>
    <w:p w14:paraId="3C1DBE16" w14:textId="77777777" w:rsidR="002743AA" w:rsidRPr="00EB341C" w:rsidRDefault="002743AA" w:rsidP="002743AA">
      <w:pPr>
        <w:pStyle w:val="Question-Testimony"/>
      </w:pPr>
      <w:r w:rsidRPr="00EB341C">
        <w:t>Q.</w:t>
      </w:r>
      <w:r w:rsidRPr="00EB341C">
        <w:tab/>
      </w:r>
      <w:r w:rsidR="0091430A">
        <w:t xml:space="preserve">Does </w:t>
      </w:r>
      <w:r w:rsidR="00702405">
        <w:t>Staff propose</w:t>
      </w:r>
      <w:r w:rsidR="0091430A">
        <w:t xml:space="preserve"> a change in the </w:t>
      </w:r>
      <w:r w:rsidR="00702405">
        <w:t xml:space="preserve">per </w:t>
      </w:r>
      <w:proofErr w:type="spellStart"/>
      <w:r w:rsidR="00702405">
        <w:t>therm</w:t>
      </w:r>
      <w:proofErr w:type="spellEnd"/>
      <w:r w:rsidR="00702405">
        <w:t xml:space="preserve"> </w:t>
      </w:r>
      <w:r w:rsidR="0091430A">
        <w:t xml:space="preserve">rate </w:t>
      </w:r>
      <w:r w:rsidR="00702405">
        <w:t>for Schedule 101</w:t>
      </w:r>
      <w:r w:rsidRPr="00EB341C">
        <w:t>?</w:t>
      </w:r>
    </w:p>
    <w:p w14:paraId="3C1DBE17" w14:textId="77777777" w:rsidR="003A038E" w:rsidRPr="00EB341C" w:rsidRDefault="002743AA" w:rsidP="002743AA">
      <w:pPr>
        <w:pStyle w:val="Answer-Testimony"/>
      </w:pPr>
      <w:r w:rsidRPr="00EB341C">
        <w:t>A.</w:t>
      </w:r>
      <w:r w:rsidRPr="00EB341C">
        <w:tab/>
      </w:r>
      <w:r w:rsidR="0091430A">
        <w:t xml:space="preserve">No.  </w:t>
      </w:r>
      <w:r w:rsidR="00702405">
        <w:t xml:space="preserve">The </w:t>
      </w:r>
      <w:r w:rsidR="003A038E" w:rsidRPr="00EB341C">
        <w:t xml:space="preserve">required </w:t>
      </w:r>
      <w:r w:rsidR="0091430A">
        <w:t xml:space="preserve">revenue </w:t>
      </w:r>
      <w:r w:rsidR="003A038E" w:rsidRPr="00EB341C">
        <w:t xml:space="preserve">increase was </w:t>
      </w:r>
      <w:r w:rsidR="0091430A">
        <w:t>provided by the increase to</w:t>
      </w:r>
      <w:r w:rsidR="003A038E" w:rsidRPr="00EB341C">
        <w:t xml:space="preserve"> the monthly customer charge.</w:t>
      </w:r>
    </w:p>
    <w:p w14:paraId="3C1DBE18" w14:textId="77777777" w:rsidR="002743AA" w:rsidRPr="00EB341C" w:rsidRDefault="003A038E" w:rsidP="003A038E">
      <w:pPr>
        <w:pStyle w:val="Answer-Testimony"/>
        <w:ind w:firstLine="720"/>
      </w:pPr>
      <w:r w:rsidRPr="00EB341C">
        <w:t>In addition, d</w:t>
      </w:r>
      <w:r w:rsidR="002743AA" w:rsidRPr="00EB341C">
        <w:t xml:space="preserve">epending on the revenue requirement the Commission ultimately determines, the rate per </w:t>
      </w:r>
      <w:proofErr w:type="spellStart"/>
      <w:r w:rsidR="002743AA" w:rsidRPr="00EB341C">
        <w:t>therm</w:t>
      </w:r>
      <w:proofErr w:type="spellEnd"/>
      <w:r w:rsidR="002743AA" w:rsidRPr="00EB341C">
        <w:t xml:space="preserve"> </w:t>
      </w:r>
      <w:r w:rsidRPr="00EB341C">
        <w:t xml:space="preserve">most likely would not need to change </w:t>
      </w:r>
      <w:r w:rsidR="0091430A">
        <w:t xml:space="preserve">because </w:t>
      </w:r>
      <w:r w:rsidRPr="00EB341C">
        <w:t xml:space="preserve">the increase could likely be put into the monthly customer charge </w:t>
      </w:r>
      <w:r w:rsidR="006A376C">
        <w:t xml:space="preserve">and remain </w:t>
      </w:r>
      <w:r w:rsidRPr="00EB341C">
        <w:t>below what Staff would deem as a minimum required basic charge</w:t>
      </w:r>
      <w:r w:rsidR="00A5029C">
        <w:t>.</w:t>
      </w:r>
      <w:r w:rsidRPr="00EB341C">
        <w:t xml:space="preserve">  </w:t>
      </w:r>
      <w:r w:rsidR="00A5029C">
        <w:t>Furthermore, Staff’s proposal</w:t>
      </w:r>
      <w:r w:rsidRPr="00EB341C">
        <w:t xml:space="preserve"> would reduce any intra-class subsidies</w:t>
      </w:r>
      <w:r w:rsidR="003A7480">
        <w:t xml:space="preserve">, have all residential </w:t>
      </w:r>
      <w:r w:rsidR="008630C0">
        <w:t xml:space="preserve">customers </w:t>
      </w:r>
      <w:r w:rsidR="00AC4DED">
        <w:t>incur</w:t>
      </w:r>
      <w:r w:rsidR="008630C0">
        <w:t xml:space="preserve"> an equal </w:t>
      </w:r>
      <w:r w:rsidR="003A7480">
        <w:t xml:space="preserve">share </w:t>
      </w:r>
      <w:r w:rsidR="008630C0">
        <w:t xml:space="preserve">of </w:t>
      </w:r>
      <w:r w:rsidR="003A7480">
        <w:t>the increase,</w:t>
      </w:r>
      <w:r w:rsidRPr="00EB341C">
        <w:t xml:space="preserve"> and provide the same benefits as discussed earlier within </w:t>
      </w:r>
      <w:r w:rsidRPr="00CE55AC">
        <w:t xml:space="preserve">Section </w:t>
      </w:r>
      <w:proofErr w:type="spellStart"/>
      <w:r w:rsidRPr="00CE55AC">
        <w:t>V</w:t>
      </w:r>
      <w:r w:rsidR="003A7480" w:rsidRPr="00CE55AC">
        <w:t>I</w:t>
      </w:r>
      <w:r w:rsidR="00EB341C" w:rsidRPr="00CE55AC">
        <w:t>.</w:t>
      </w:r>
      <w:r w:rsidRPr="00CE55AC">
        <w:t>A</w:t>
      </w:r>
      <w:proofErr w:type="spellEnd"/>
      <w:r w:rsidR="00AC4DED" w:rsidRPr="00CE55AC">
        <w:t>,</w:t>
      </w:r>
      <w:r w:rsidRPr="00CE55AC">
        <w:t xml:space="preserve"> </w:t>
      </w:r>
      <w:r w:rsidR="00A5029C" w:rsidRPr="00CE55AC">
        <w:t xml:space="preserve">relating </w:t>
      </w:r>
      <w:r w:rsidR="00A5029C">
        <w:t>to</w:t>
      </w:r>
      <w:r w:rsidR="00A5029C" w:rsidRPr="00EB341C">
        <w:t xml:space="preserve"> </w:t>
      </w:r>
      <w:r w:rsidRPr="00EB341C">
        <w:t>the</w:t>
      </w:r>
      <w:r w:rsidR="00A5029C">
        <w:t xml:space="preserve"> potential</w:t>
      </w:r>
      <w:r w:rsidRPr="00EB341C">
        <w:t xml:space="preserve"> variance within the decoupling mechanism’s </w:t>
      </w:r>
      <w:r w:rsidR="00EB341C" w:rsidRPr="00EB341C">
        <w:t>deferral calculations.</w:t>
      </w:r>
    </w:p>
    <w:p w14:paraId="3C1DBE19" w14:textId="77777777" w:rsidR="000726F7" w:rsidRPr="00EB341C" w:rsidRDefault="000726F7" w:rsidP="000726F7">
      <w:pPr>
        <w:pStyle w:val="Question-Testimony"/>
      </w:pPr>
    </w:p>
    <w:p w14:paraId="3C1DBE1A" w14:textId="77777777" w:rsidR="000726F7" w:rsidRPr="00EB341C" w:rsidRDefault="002743AA" w:rsidP="001F57BB">
      <w:pPr>
        <w:pStyle w:val="Heading3"/>
      </w:pPr>
      <w:bookmarkStart w:id="56" w:name="_Toc391992056"/>
      <w:bookmarkStart w:id="57" w:name="_Toc393696939"/>
      <w:r w:rsidRPr="00EB341C">
        <w:lastRenderedPageBreak/>
        <w:t>Large and Extra Large General Service</w:t>
      </w:r>
      <w:bookmarkEnd w:id="56"/>
      <w:bookmarkEnd w:id="57"/>
    </w:p>
    <w:p w14:paraId="3C1DBE1B" w14:textId="77777777" w:rsidR="005C5B66" w:rsidRPr="00A260E7" w:rsidRDefault="005C5B66" w:rsidP="00872C87">
      <w:pPr>
        <w:pStyle w:val="BodyTextIndent"/>
        <w:keepNext/>
        <w:ind w:left="0" w:firstLine="0"/>
        <w:rPr>
          <w:b/>
        </w:rPr>
      </w:pPr>
    </w:p>
    <w:p w14:paraId="3C1DBE1C" w14:textId="77777777" w:rsidR="005C5B66" w:rsidRPr="00A260E7" w:rsidRDefault="005C5B66" w:rsidP="005C5B66">
      <w:pPr>
        <w:pStyle w:val="Question-Testimony"/>
      </w:pPr>
      <w:r w:rsidRPr="00A260E7">
        <w:t>Q.</w:t>
      </w:r>
      <w:r w:rsidRPr="00A260E7">
        <w:tab/>
        <w:t>What is Staff’s natural gas rate design proposal</w:t>
      </w:r>
      <w:r w:rsidR="00A260E7" w:rsidRPr="00A260E7">
        <w:t xml:space="preserve"> for Schedules 111, 112, 121, and 122</w:t>
      </w:r>
      <w:r w:rsidRPr="00A260E7">
        <w:t>?</w:t>
      </w:r>
    </w:p>
    <w:p w14:paraId="3C1DBE1D" w14:textId="77777777" w:rsidR="00271029" w:rsidRPr="00A260E7" w:rsidRDefault="005C5B66" w:rsidP="005C5B66">
      <w:pPr>
        <w:pStyle w:val="Answer-Testimony"/>
      </w:pPr>
      <w:r w:rsidRPr="00A260E7">
        <w:t>A.</w:t>
      </w:r>
      <w:r w:rsidRPr="00A260E7">
        <w:tab/>
      </w:r>
      <w:r w:rsidR="00754D50" w:rsidRPr="00A260E7">
        <w:t xml:space="preserve">Due to rate year billing determinants growth rates, </w:t>
      </w:r>
      <w:r w:rsidRPr="00A260E7">
        <w:t>Staff</w:t>
      </w:r>
      <w:r w:rsidR="00751AB5" w:rsidRPr="00A260E7">
        <w:t xml:space="preserve"> </w:t>
      </w:r>
      <w:r w:rsidR="00754D50" w:rsidRPr="00A260E7">
        <w:t>recommend</w:t>
      </w:r>
      <w:r w:rsidR="00A5029C">
        <w:t>s</w:t>
      </w:r>
      <w:r w:rsidR="00754D50" w:rsidRPr="00A260E7">
        <w:t xml:space="preserve"> revenue-neutral changes in rate design to implement </w:t>
      </w:r>
      <w:r w:rsidR="00A260E7" w:rsidRPr="00A260E7">
        <w:t>a uniform decrease to volumetric rates for Schedules 111, 112, 121, and 122</w:t>
      </w:r>
      <w:r w:rsidRPr="00A260E7">
        <w:t>.</w:t>
      </w:r>
      <w:r w:rsidR="006A376C">
        <w:t xml:space="preserve">  </w:t>
      </w:r>
      <w:r w:rsidR="00A5029C">
        <w:t>Staff’s r</w:t>
      </w:r>
      <w:r w:rsidR="00271029">
        <w:t>eason for the decrease is to recognize the increase in rate year billing determinant, which show</w:t>
      </w:r>
      <w:r w:rsidR="00A74F6A">
        <w:t>s</w:t>
      </w:r>
      <w:r w:rsidR="00271029">
        <w:t xml:space="preserve"> large load growth compared to the last general rate case in 2012.</w:t>
      </w:r>
    </w:p>
    <w:p w14:paraId="3C1DBE1E" w14:textId="77777777" w:rsidR="000726F7" w:rsidRPr="002042E2" w:rsidRDefault="000726F7" w:rsidP="000726F7">
      <w:pPr>
        <w:pStyle w:val="Question-Testimony"/>
      </w:pPr>
    </w:p>
    <w:p w14:paraId="3C1DBE1F" w14:textId="77777777" w:rsidR="008B0E0D" w:rsidRPr="002042E2" w:rsidRDefault="008B0E0D" w:rsidP="001F57BB">
      <w:pPr>
        <w:pStyle w:val="Heading3"/>
      </w:pPr>
      <w:bookmarkStart w:id="58" w:name="_Toc391992057"/>
      <w:bookmarkStart w:id="59" w:name="_Toc393696940"/>
      <w:r w:rsidRPr="002042E2">
        <w:t>Transportation Rates</w:t>
      </w:r>
      <w:bookmarkEnd w:id="58"/>
      <w:bookmarkEnd w:id="59"/>
    </w:p>
    <w:p w14:paraId="3C1DBE20" w14:textId="77777777" w:rsidR="008B0E0D" w:rsidRPr="002042E2" w:rsidRDefault="008B0E0D" w:rsidP="008B0E0D">
      <w:pPr>
        <w:pStyle w:val="BodyTextIndent"/>
        <w:ind w:left="0" w:firstLine="0"/>
        <w:rPr>
          <w:b/>
        </w:rPr>
      </w:pPr>
    </w:p>
    <w:p w14:paraId="3C1DBE21" w14:textId="77777777" w:rsidR="008B0E0D" w:rsidRPr="002042E2" w:rsidRDefault="008B0E0D" w:rsidP="008B0E0D">
      <w:pPr>
        <w:pStyle w:val="Question-Testimony"/>
      </w:pPr>
      <w:r w:rsidRPr="002042E2">
        <w:t>Q.</w:t>
      </w:r>
      <w:r w:rsidRPr="002042E2">
        <w:tab/>
        <w:t xml:space="preserve">How did Staff </w:t>
      </w:r>
      <w:r w:rsidR="002042E2" w:rsidRPr="002042E2">
        <w:t xml:space="preserve">apply the </w:t>
      </w:r>
      <w:r w:rsidR="002042E2">
        <w:t xml:space="preserve">revenue </w:t>
      </w:r>
      <w:r w:rsidR="002042E2" w:rsidRPr="002042E2">
        <w:t xml:space="preserve">increase to Transportation </w:t>
      </w:r>
      <w:r w:rsidR="002042E2">
        <w:t>Schedule</w:t>
      </w:r>
      <w:r w:rsidRPr="002042E2">
        <w:t>?</w:t>
      </w:r>
    </w:p>
    <w:p w14:paraId="3C1DBE22" w14:textId="77777777" w:rsidR="008B0E0D" w:rsidRPr="00CE55AC" w:rsidRDefault="008B0E0D" w:rsidP="008B0E0D">
      <w:pPr>
        <w:pStyle w:val="Answer-Testimony"/>
      </w:pPr>
      <w:r w:rsidRPr="002042E2">
        <w:t>A.</w:t>
      </w:r>
      <w:r w:rsidRPr="002042E2">
        <w:tab/>
        <w:t xml:space="preserve">Staff </w:t>
      </w:r>
      <w:r w:rsidR="002042E2" w:rsidRPr="002042E2">
        <w:t xml:space="preserve">applied </w:t>
      </w:r>
      <w:r w:rsidR="008841DF">
        <w:t xml:space="preserve">a split of 50/50 of the </w:t>
      </w:r>
      <w:r w:rsidR="00726DF4">
        <w:t>schedule’s</w:t>
      </w:r>
      <w:r w:rsidR="002042E2" w:rsidRPr="002042E2">
        <w:t xml:space="preserve"> revenue requirement to the customer charge</w:t>
      </w:r>
      <w:r w:rsidR="008841DF">
        <w:t xml:space="preserve"> and volumetric rates</w:t>
      </w:r>
      <w:r w:rsidR="00726DF4">
        <w:t>.</w:t>
      </w:r>
      <w:r w:rsidR="008914AF">
        <w:t xml:space="preserve">  This would </w:t>
      </w:r>
      <w:r w:rsidR="008914AF" w:rsidRPr="007E50F7">
        <w:t xml:space="preserve">increase the customer charge for </w:t>
      </w:r>
      <w:r w:rsidR="008914AF">
        <w:t xml:space="preserve">Transportation </w:t>
      </w:r>
      <w:r w:rsidR="008914AF" w:rsidRPr="007E50F7">
        <w:t>Schedule 1</w:t>
      </w:r>
      <w:r w:rsidR="008914AF">
        <w:t>46</w:t>
      </w:r>
      <w:r w:rsidR="008914AF" w:rsidRPr="007E50F7">
        <w:t xml:space="preserve"> from $</w:t>
      </w:r>
      <w:r w:rsidR="008914AF">
        <w:t>400</w:t>
      </w:r>
      <w:r w:rsidR="008914AF" w:rsidRPr="007E50F7">
        <w:t xml:space="preserve">.00 to </w:t>
      </w:r>
      <w:r w:rsidR="008914AF" w:rsidRPr="00CE55AC">
        <w:t>$500.00; and apply a flat rate increase of 0.</w:t>
      </w:r>
      <w:r w:rsidR="0060033E" w:rsidRPr="00CE55AC">
        <w:t>5065</w:t>
      </w:r>
      <w:r w:rsidR="008914AF" w:rsidRPr="00CE55AC">
        <w:t xml:space="preserve"> cents to all present block rates.</w:t>
      </w:r>
    </w:p>
    <w:p w14:paraId="3C1DBE23" w14:textId="77777777" w:rsidR="00726DF4" w:rsidRPr="002042E2" w:rsidRDefault="00726DF4" w:rsidP="00726DF4">
      <w:pPr>
        <w:pStyle w:val="BodyTextIndent"/>
        <w:ind w:left="0" w:firstLine="0"/>
        <w:rPr>
          <w:b/>
        </w:rPr>
      </w:pPr>
    </w:p>
    <w:p w14:paraId="3C1DBE24" w14:textId="77777777" w:rsidR="00726DF4" w:rsidRPr="002042E2" w:rsidRDefault="00726DF4" w:rsidP="00726DF4">
      <w:pPr>
        <w:pStyle w:val="Question-Testimony"/>
      </w:pPr>
      <w:r w:rsidRPr="002042E2">
        <w:t>Q.</w:t>
      </w:r>
      <w:r w:rsidRPr="002042E2">
        <w:tab/>
      </w:r>
      <w:r>
        <w:t xml:space="preserve">Why did </w:t>
      </w:r>
      <w:r w:rsidRPr="002042E2">
        <w:t xml:space="preserve">Staff </w:t>
      </w:r>
      <w:r w:rsidR="006A376C">
        <w:t>use</w:t>
      </w:r>
      <w:r w:rsidRPr="002042E2">
        <w:t xml:space="preserve"> th</w:t>
      </w:r>
      <w:r w:rsidR="006A376C">
        <w:t>at</w:t>
      </w:r>
      <w:r>
        <w:t xml:space="preserve"> approach</w:t>
      </w:r>
      <w:r w:rsidRPr="002042E2">
        <w:t>?</w:t>
      </w:r>
    </w:p>
    <w:p w14:paraId="3C1DBE25" w14:textId="77777777" w:rsidR="0090795D" w:rsidRDefault="00726DF4" w:rsidP="00726DF4">
      <w:pPr>
        <w:pStyle w:val="Answer-Testimony"/>
      </w:pPr>
      <w:r w:rsidRPr="002042E2">
        <w:t>A.</w:t>
      </w:r>
      <w:r w:rsidRPr="002042E2">
        <w:tab/>
      </w:r>
      <w:r w:rsidR="0090795D">
        <w:t xml:space="preserve">First, it did not make common sense to Staff for transportation customers to pay lower monthly customer charges and volumetric rates compared to large general service customers under current rates, who are paying more </w:t>
      </w:r>
      <w:r w:rsidR="00AC4DED">
        <w:t>than</w:t>
      </w:r>
      <w:r w:rsidR="0090795D">
        <w:t xml:space="preserve"> </w:t>
      </w:r>
      <w:r w:rsidR="00AC4DED">
        <w:t>their</w:t>
      </w:r>
      <w:r w:rsidR="0090795D">
        <w:t xml:space="preserve"> cost </w:t>
      </w:r>
      <w:r w:rsidR="00AC4DED">
        <w:t>of</w:t>
      </w:r>
      <w:r w:rsidR="0090795D">
        <w:t xml:space="preserve"> service</w:t>
      </w:r>
      <w:r w:rsidR="00AC4DED">
        <w:t>,</w:t>
      </w:r>
      <w:r w:rsidR="0090795D">
        <w:t xml:space="preserve"> and </w:t>
      </w:r>
      <w:r w:rsidR="008B431D">
        <w:t xml:space="preserve">who </w:t>
      </w:r>
      <w:r w:rsidR="0090795D">
        <w:t>would be part of a decoupling mechanism.</w:t>
      </w:r>
    </w:p>
    <w:p w14:paraId="3C1DBE26" w14:textId="77777777" w:rsidR="00790C2C" w:rsidRDefault="0090795D" w:rsidP="0090795D">
      <w:pPr>
        <w:pStyle w:val="Answer-Testimony"/>
        <w:ind w:firstLine="720"/>
      </w:pPr>
      <w:r>
        <w:lastRenderedPageBreak/>
        <w:t xml:space="preserve">Second, applying </w:t>
      </w:r>
      <w:r w:rsidR="008841DF">
        <w:t>a split of 50/50 of the schedule’s</w:t>
      </w:r>
      <w:r w:rsidR="008841DF" w:rsidRPr="002042E2">
        <w:t xml:space="preserve"> revenue requirement to the customer charge</w:t>
      </w:r>
      <w:r w:rsidR="008841DF">
        <w:t xml:space="preserve"> and volumetric rates</w:t>
      </w:r>
      <w:r>
        <w:t xml:space="preserve"> </w:t>
      </w:r>
      <w:r w:rsidR="00726DF4">
        <w:t>would be fair and equitable to all transportation customers</w:t>
      </w:r>
      <w:r w:rsidR="008B431D">
        <w:t xml:space="preserve"> </w:t>
      </w:r>
      <w:r w:rsidR="00AC4DED">
        <w:t>because</w:t>
      </w:r>
      <w:r w:rsidR="008B431D">
        <w:t xml:space="preserve"> they all share an equal portion of the increase</w:t>
      </w:r>
      <w:r w:rsidR="008841DF">
        <w:t xml:space="preserve"> in customer charge and each have the opportunity to reduce their delivery system costs</w:t>
      </w:r>
      <w:r w:rsidR="00790C2C">
        <w:t>.</w:t>
      </w:r>
    </w:p>
    <w:p w14:paraId="3C1DBE27" w14:textId="77777777" w:rsidR="00DE2801" w:rsidRDefault="00586095" w:rsidP="0090795D">
      <w:pPr>
        <w:pStyle w:val="Answer-Testimony"/>
        <w:ind w:firstLine="720"/>
      </w:pPr>
      <w:r>
        <w:t>Next</w:t>
      </w:r>
      <w:r w:rsidR="00790C2C">
        <w:t xml:space="preserve">, these customers are not part of the </w:t>
      </w:r>
      <w:r w:rsidR="00726DF4">
        <w:t xml:space="preserve">decoupling </w:t>
      </w:r>
      <w:r w:rsidR="008B431D">
        <w:t>mechanism</w:t>
      </w:r>
      <w:r w:rsidR="008841DF">
        <w:t>, but Staff wanted to limit any intra-schedule subsidies</w:t>
      </w:r>
      <w:r w:rsidR="00726DF4">
        <w:t>.</w:t>
      </w:r>
    </w:p>
    <w:p w14:paraId="3C1DBE28" w14:textId="77777777" w:rsidR="00586095" w:rsidRDefault="00586095" w:rsidP="0090795D">
      <w:pPr>
        <w:pStyle w:val="Answer-Testimony"/>
        <w:ind w:firstLine="720"/>
      </w:pPr>
      <w:r>
        <w:t xml:space="preserve">Finally, it appears the five block rate design structure is no longer </w:t>
      </w:r>
      <w:r w:rsidR="00CC4DA6">
        <w:t xml:space="preserve">providing proper price signals </w:t>
      </w:r>
      <w:r>
        <w:t xml:space="preserve">since </w:t>
      </w:r>
      <w:r w:rsidR="00CC4DA6">
        <w:t xml:space="preserve">67.8 percent </w:t>
      </w:r>
      <w:r>
        <w:t xml:space="preserve">of usage </w:t>
      </w:r>
      <w:r w:rsidR="00CC4DA6">
        <w:t xml:space="preserve">falls within the first two blocks, and 95.8 percent of usage falls within the third block </w:t>
      </w:r>
      <w:r>
        <w:t>on this schedule</w:t>
      </w:r>
      <w:r w:rsidR="00CC4DA6">
        <w:t>.</w:t>
      </w:r>
      <w:r w:rsidR="00CC4DA6">
        <w:rPr>
          <w:rStyle w:val="FootnoteReference"/>
        </w:rPr>
        <w:footnoteReference w:id="61"/>
      </w:r>
      <w:r>
        <w:t xml:space="preserve"> </w:t>
      </w:r>
      <w:r w:rsidR="00CC4DA6">
        <w:t xml:space="preserve"> Thereby applying a flat cent increase will reduce the rate differential between blocks and allow gradualism for Staff’s next recommendation in a following general rate case of eliminating or shifting usage blocks or applying a straight-fixed variable rate design similar to electric Schedules 25 and 26 for these customers.</w:t>
      </w:r>
    </w:p>
    <w:p w14:paraId="3C1DBE29" w14:textId="77777777" w:rsidR="00726DF4" w:rsidRPr="000559D0" w:rsidRDefault="00726DF4" w:rsidP="00726DF4">
      <w:pPr>
        <w:pStyle w:val="Answer-Testimony"/>
        <w:rPr>
          <w:color w:val="FFFFFF" w:themeColor="background1"/>
        </w:rPr>
      </w:pPr>
    </w:p>
    <w:p w14:paraId="3C1DBE2A" w14:textId="77777777" w:rsidR="002042E2" w:rsidRPr="007E50F7" w:rsidRDefault="002042E2" w:rsidP="001F57BB">
      <w:pPr>
        <w:pStyle w:val="Heading3"/>
      </w:pPr>
      <w:bookmarkStart w:id="60" w:name="_Toc391992058"/>
      <w:bookmarkStart w:id="61" w:name="_Toc393696941"/>
      <w:r>
        <w:t>Interruptible Rates</w:t>
      </w:r>
      <w:bookmarkEnd w:id="60"/>
      <w:bookmarkEnd w:id="61"/>
    </w:p>
    <w:p w14:paraId="3C1DBE2B" w14:textId="77777777" w:rsidR="004005C0" w:rsidRPr="00A260E7" w:rsidRDefault="004005C0" w:rsidP="004005C0">
      <w:pPr>
        <w:pStyle w:val="BodyTextIndent"/>
        <w:ind w:left="0" w:firstLine="0"/>
        <w:rPr>
          <w:b/>
        </w:rPr>
      </w:pPr>
    </w:p>
    <w:p w14:paraId="3C1DBE2C" w14:textId="77777777" w:rsidR="004005C0" w:rsidRPr="00A260E7" w:rsidRDefault="004005C0" w:rsidP="004005C0">
      <w:pPr>
        <w:pStyle w:val="Question-Testimony"/>
      </w:pPr>
      <w:r w:rsidRPr="00A260E7">
        <w:t>Q.</w:t>
      </w:r>
      <w:r w:rsidRPr="00A260E7">
        <w:tab/>
        <w:t>What is Staff’s natural gas rate design proposal for Schedules 1</w:t>
      </w:r>
      <w:r>
        <w:t>3</w:t>
      </w:r>
      <w:r w:rsidRPr="00A260E7">
        <w:t>1</w:t>
      </w:r>
      <w:r>
        <w:t xml:space="preserve"> </w:t>
      </w:r>
      <w:r w:rsidRPr="00A260E7">
        <w:t>and 1</w:t>
      </w:r>
      <w:r>
        <w:t>3</w:t>
      </w:r>
      <w:r w:rsidRPr="00A260E7">
        <w:t>2?</w:t>
      </w:r>
    </w:p>
    <w:p w14:paraId="3C1DBE2D" w14:textId="77777777" w:rsidR="004005C0" w:rsidRPr="00A260E7" w:rsidRDefault="004005C0" w:rsidP="004005C0">
      <w:pPr>
        <w:pStyle w:val="Answer-Testimony"/>
      </w:pPr>
      <w:r w:rsidRPr="00A260E7">
        <w:t>A.</w:t>
      </w:r>
      <w:r w:rsidRPr="00A260E7">
        <w:tab/>
        <w:t>Due to rate year billing determinants growth rates, Staff recommend</w:t>
      </w:r>
      <w:r>
        <w:t>s</w:t>
      </w:r>
      <w:r w:rsidRPr="00A260E7">
        <w:t xml:space="preserve"> </w:t>
      </w:r>
      <w:r>
        <w:t>a</w:t>
      </w:r>
      <w:r w:rsidRPr="00A260E7">
        <w:t xml:space="preserve"> uniform decrease to volumetric rates for Schedules 1</w:t>
      </w:r>
      <w:r>
        <w:t>3</w:t>
      </w:r>
      <w:r w:rsidRPr="00A260E7">
        <w:t>1, and 1</w:t>
      </w:r>
      <w:r>
        <w:t>3</w:t>
      </w:r>
      <w:r w:rsidRPr="00A260E7">
        <w:t>2.</w:t>
      </w:r>
      <w:r>
        <w:t xml:space="preserve">  Staff’s reason for the decrease is to recognize the increase in rate year billing determinant, which shows large load growth compared to the last general rate case in 2012, even with recognizing </w:t>
      </w:r>
      <w:r w:rsidRPr="00CE55AC">
        <w:t xml:space="preserve">the </w:t>
      </w:r>
      <w:r w:rsidR="0060033E" w:rsidRPr="00CE55AC">
        <w:t>2</w:t>
      </w:r>
      <w:r w:rsidRPr="00CE55AC">
        <w:t>.</w:t>
      </w:r>
      <w:r w:rsidR="0060033E" w:rsidRPr="00CE55AC">
        <w:t>7</w:t>
      </w:r>
      <w:r w:rsidRPr="00CE55AC">
        <w:t xml:space="preserve"> </w:t>
      </w:r>
      <w:r>
        <w:t>percent increase to revenues.</w:t>
      </w:r>
    </w:p>
    <w:p w14:paraId="3C1DBE2E" w14:textId="77777777" w:rsidR="002042E2" w:rsidRPr="007E50F7" w:rsidRDefault="002042E2" w:rsidP="002042E2">
      <w:pPr>
        <w:pStyle w:val="Answer-Testimony"/>
      </w:pPr>
    </w:p>
    <w:p w14:paraId="3C1DBE2F" w14:textId="77777777" w:rsidR="002042E2" w:rsidRPr="007E50F7" w:rsidRDefault="002042E2" w:rsidP="002042E2">
      <w:pPr>
        <w:pStyle w:val="Question-Testimony"/>
      </w:pPr>
      <w:r w:rsidRPr="007E50F7">
        <w:t>Q.</w:t>
      </w:r>
      <w:r w:rsidRPr="007E50F7">
        <w:tab/>
        <w:t>Do you have any other rate design recommendations?</w:t>
      </w:r>
    </w:p>
    <w:p w14:paraId="3C1DBE30" w14:textId="77777777" w:rsidR="002042E2" w:rsidRDefault="002042E2" w:rsidP="002042E2">
      <w:pPr>
        <w:pStyle w:val="Answer-Testimony"/>
      </w:pPr>
      <w:r w:rsidRPr="007E50F7">
        <w:t>A.</w:t>
      </w:r>
      <w:r w:rsidRPr="007E50F7">
        <w:tab/>
        <w:t xml:space="preserve">Yes.  Staff recommends the Commission direct the Company to study </w:t>
      </w:r>
      <w:r w:rsidR="006A376C">
        <w:t xml:space="preserve">all </w:t>
      </w:r>
      <w:r w:rsidRPr="007E50F7">
        <w:t xml:space="preserve">interruptible rate (Schedules 131 and 132) offerings and </w:t>
      </w:r>
      <w:r w:rsidR="00A74F6A">
        <w:t>determine whether</w:t>
      </w:r>
      <w:r w:rsidR="00A74F6A" w:rsidRPr="007E50F7">
        <w:t xml:space="preserve"> </w:t>
      </w:r>
      <w:r w:rsidRPr="007E50F7">
        <w:t>the discounted rate</w:t>
      </w:r>
      <w:r w:rsidR="00A74F6A">
        <w:t xml:space="preserve"> is justified</w:t>
      </w:r>
      <w:r w:rsidR="00EC0E2C">
        <w:t xml:space="preserve"> in their next rate case</w:t>
      </w:r>
      <w:r w:rsidRPr="007E50F7">
        <w:t>.</w:t>
      </w:r>
    </w:p>
    <w:p w14:paraId="3C1DBE31" w14:textId="77777777" w:rsidR="002042E2" w:rsidRPr="007E50F7" w:rsidRDefault="002042E2" w:rsidP="002042E2">
      <w:pPr>
        <w:pStyle w:val="Answer-Testimony"/>
      </w:pPr>
    </w:p>
    <w:p w14:paraId="3C1DBE32" w14:textId="77777777" w:rsidR="002042E2" w:rsidRPr="007E50F7" w:rsidRDefault="002042E2" w:rsidP="002042E2">
      <w:pPr>
        <w:pStyle w:val="Question-Testimony"/>
      </w:pPr>
      <w:r w:rsidRPr="007E50F7">
        <w:t>Q.</w:t>
      </w:r>
      <w:r w:rsidRPr="007E50F7">
        <w:tab/>
        <w:t>What is the basis for this recommendation?</w:t>
      </w:r>
    </w:p>
    <w:p w14:paraId="3C1DBE33" w14:textId="77777777" w:rsidR="002042E2" w:rsidRPr="007E50F7" w:rsidRDefault="002042E2" w:rsidP="006A376C">
      <w:pPr>
        <w:pStyle w:val="Answer-Testimony"/>
      </w:pPr>
      <w:r w:rsidRPr="007E50F7">
        <w:t>A.</w:t>
      </w:r>
      <w:r w:rsidRPr="007E50F7">
        <w:tab/>
        <w:t xml:space="preserve">The Company’s response to Staff Data Request </w:t>
      </w:r>
      <w:r>
        <w:t>19</w:t>
      </w:r>
      <w:r w:rsidRPr="007E50F7">
        <w:t xml:space="preserve"> stated, in part, “</w:t>
      </w:r>
      <w:r>
        <w:t xml:space="preserve">[n]either of </w:t>
      </w:r>
      <w:r w:rsidRPr="007E50F7">
        <w:t>the Schedule 132</w:t>
      </w:r>
      <w:r>
        <w:t xml:space="preserve"> customers</w:t>
      </w:r>
      <w:r w:rsidRPr="007E50F7">
        <w:t xml:space="preserve"> (Interruptible Service) </w:t>
      </w:r>
      <w:r>
        <w:t>has been interrupted in the last ten years</w:t>
      </w:r>
      <w:r w:rsidRPr="007E50F7">
        <w:t>.”</w:t>
      </w:r>
      <w:r w:rsidR="006A376C">
        <w:t xml:space="preserve">  </w:t>
      </w:r>
      <w:r w:rsidRPr="007E50F7">
        <w:t>The Commission has expressed concerns about interruptible customers paying their fair share:</w:t>
      </w:r>
    </w:p>
    <w:p w14:paraId="3C1DBE34" w14:textId="77777777" w:rsidR="002042E2" w:rsidRPr="007E50F7" w:rsidRDefault="002042E2" w:rsidP="002042E2">
      <w:pPr>
        <w:pStyle w:val="Answer-Testimony"/>
        <w:spacing w:line="240" w:lineRule="auto"/>
        <w:ind w:left="1440" w:firstLine="0"/>
      </w:pPr>
      <w:r w:rsidRPr="007E50F7">
        <w:t>We [the Commissioners] expect that the utilities’ analyses will include overall costs to the system and load management factors, and we require that each of the studies, as to each of the interruptible rates thus offered, require assurance that customers are not merely given a discount rate.  The utilities will study the desirability and feasibility of interruptible rate offerings as well as their acceptability to customers.</w:t>
      </w:r>
      <w:r w:rsidRPr="007E50F7">
        <w:rPr>
          <w:rStyle w:val="FootnoteReference"/>
        </w:rPr>
        <w:footnoteReference w:id="62"/>
      </w:r>
    </w:p>
    <w:p w14:paraId="3C1DBE35" w14:textId="77777777" w:rsidR="002042E2" w:rsidRPr="007E50F7" w:rsidRDefault="002042E2" w:rsidP="002042E2">
      <w:pPr>
        <w:pStyle w:val="Answer-Testimony"/>
        <w:spacing w:line="240" w:lineRule="auto"/>
      </w:pPr>
    </w:p>
    <w:p w14:paraId="3C1DBE36" w14:textId="77777777" w:rsidR="002042E2" w:rsidRPr="007E50F7" w:rsidRDefault="002042E2" w:rsidP="002042E2">
      <w:pPr>
        <w:pStyle w:val="Answer-Testimony"/>
        <w:ind w:firstLine="720"/>
      </w:pPr>
      <w:r w:rsidRPr="007E50F7">
        <w:t xml:space="preserve">There may be real system benefits resulting from </w:t>
      </w:r>
      <w:r>
        <w:t>the Company</w:t>
      </w:r>
      <w:r w:rsidRPr="007E50F7">
        <w:t>’s interruptible schedule</w:t>
      </w:r>
      <w:r>
        <w:t>s</w:t>
      </w:r>
      <w:r w:rsidRPr="007E50F7">
        <w:t>, but the Company needs to provide an analysis which supports the existence of those benefits</w:t>
      </w:r>
      <w:r w:rsidR="00A74F6A">
        <w:t xml:space="preserve"> and includes </w:t>
      </w:r>
      <w:r w:rsidRPr="007E50F7">
        <w:t>a methodology for determining wh</w:t>
      </w:r>
      <w:r>
        <w:t xml:space="preserve">en to interrupt customers on </w:t>
      </w:r>
      <w:r w:rsidR="00A74F6A">
        <w:t>interruptible service</w:t>
      </w:r>
      <w:r w:rsidR="00A74F6A" w:rsidRPr="007E50F7">
        <w:t xml:space="preserve"> </w:t>
      </w:r>
      <w:r w:rsidRPr="007E50F7">
        <w:t>schedule</w:t>
      </w:r>
      <w:r>
        <w:t>s</w:t>
      </w:r>
      <w:r w:rsidRPr="007E50F7">
        <w:t>.</w:t>
      </w:r>
    </w:p>
    <w:p w14:paraId="3C1DBE37" w14:textId="421246F6" w:rsidR="002042E2" w:rsidRPr="007E50F7" w:rsidRDefault="002042E2" w:rsidP="002042E2">
      <w:pPr>
        <w:pStyle w:val="Answer-Testimony"/>
      </w:pPr>
      <w:bookmarkStart w:id="62" w:name="_GoBack"/>
      <w:bookmarkEnd w:id="62"/>
    </w:p>
    <w:p w14:paraId="3C1DBE38" w14:textId="77777777" w:rsidR="002042E2" w:rsidRPr="007E50F7" w:rsidRDefault="002042E2" w:rsidP="002042E2">
      <w:pPr>
        <w:pStyle w:val="Question-Testimony"/>
      </w:pPr>
      <w:r w:rsidRPr="007E50F7">
        <w:t>Q.</w:t>
      </w:r>
      <w:r w:rsidRPr="007E50F7">
        <w:tab/>
        <w:t>Does this conclude your testimony?</w:t>
      </w:r>
    </w:p>
    <w:p w14:paraId="3C1DBE3A" w14:textId="29912264" w:rsidR="002042E2" w:rsidRPr="00872C87" w:rsidRDefault="002042E2" w:rsidP="00872C87">
      <w:pPr>
        <w:pStyle w:val="Answer-Testimony"/>
      </w:pPr>
      <w:r w:rsidRPr="007E50F7">
        <w:t>A.</w:t>
      </w:r>
      <w:r w:rsidRPr="007E50F7">
        <w:tab/>
        <w:t xml:space="preserve">Yes.  </w:t>
      </w:r>
    </w:p>
    <w:sectPr w:rsidR="002042E2" w:rsidRPr="00872C87"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7E2D9" w14:textId="77777777" w:rsidR="002E2355" w:rsidRDefault="002E2355" w:rsidP="00C3471C">
      <w:r>
        <w:separator/>
      </w:r>
    </w:p>
    <w:p w14:paraId="2A267F58" w14:textId="77777777" w:rsidR="002E2355" w:rsidRDefault="002E2355"/>
  </w:endnote>
  <w:endnote w:type="continuationSeparator" w:id="0">
    <w:p w14:paraId="1361907D" w14:textId="77777777" w:rsidR="002E2355" w:rsidRDefault="002E2355" w:rsidP="00C3471C">
      <w:r>
        <w:continuationSeparator/>
      </w:r>
    </w:p>
    <w:p w14:paraId="20F0D571" w14:textId="77777777" w:rsidR="002E2355" w:rsidRDefault="002E2355"/>
  </w:endnote>
  <w:endnote w:type="continuationNotice" w:id="1">
    <w:p w14:paraId="72EF8531" w14:textId="77777777" w:rsidR="002E2355" w:rsidRDefault="002E2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BE45" w14:textId="77777777" w:rsidR="002E2355" w:rsidRPr="00DC40BC" w:rsidRDefault="002E2355">
    <w:pPr>
      <w:pStyle w:val="Footer"/>
      <w:rPr>
        <w:sz w:val="20"/>
        <w:szCs w:val="20"/>
      </w:rPr>
    </w:pPr>
  </w:p>
  <w:p w14:paraId="3C1DBE46" w14:textId="77777777" w:rsidR="002E2355" w:rsidRPr="00DC40BC" w:rsidRDefault="002E2355">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w:t>
    </w:r>
    <w:proofErr w:type="spellStart"/>
    <w:r w:rsidRPr="00DC40BC">
      <w:rPr>
        <w:sz w:val="20"/>
        <w:szCs w:val="20"/>
      </w:rPr>
      <w:t>1T</w:t>
    </w:r>
    <w:proofErr w:type="spellEnd"/>
    <w:r w:rsidRPr="00DC40BC">
      <w:rPr>
        <w:sz w:val="20"/>
        <w:szCs w:val="20"/>
      </w:rPr>
      <w:t>)</w:t>
    </w:r>
  </w:p>
  <w:p w14:paraId="3C1DBE47" w14:textId="77777777" w:rsidR="002E2355" w:rsidRPr="00DC40BC" w:rsidRDefault="002E2355"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BE48" w14:textId="77777777" w:rsidR="002E2355" w:rsidRPr="00DC40BC" w:rsidRDefault="002E2355">
    <w:pPr>
      <w:pStyle w:val="Footer"/>
      <w:rPr>
        <w:sz w:val="20"/>
        <w:szCs w:val="20"/>
      </w:rPr>
    </w:pPr>
  </w:p>
  <w:p w14:paraId="3C1DBE49" w14:textId="77777777" w:rsidR="002E2355" w:rsidRPr="00DC40BC" w:rsidRDefault="002E2355">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 ___ (</w:t>
    </w:r>
    <w:proofErr w:type="spellStart"/>
    <w:r>
      <w:rPr>
        <w:sz w:val="20"/>
        <w:szCs w:val="20"/>
      </w:rPr>
      <w:t>CTM-1T</w:t>
    </w:r>
    <w:proofErr w:type="spellEnd"/>
    <w:r>
      <w:rPr>
        <w:sz w:val="20"/>
        <w:szCs w:val="20"/>
      </w:rPr>
      <w:t>)</w:t>
    </w:r>
  </w:p>
  <w:p w14:paraId="3C1DBE4A" w14:textId="3A6C4C71" w:rsidR="002E2355" w:rsidRPr="00A53017" w:rsidRDefault="002E2355" w:rsidP="00A53017">
    <w:pPr>
      <w:pStyle w:val="Footer"/>
      <w:rPr>
        <w:sz w:val="20"/>
        <w:szCs w:val="20"/>
        <w:lang w:val="fr-FR"/>
      </w:rPr>
    </w:pPr>
    <w:r w:rsidRPr="00DC40BC">
      <w:rPr>
        <w:sz w:val="20"/>
        <w:szCs w:val="20"/>
      </w:rPr>
      <w:t>Docket</w:t>
    </w:r>
    <w:r>
      <w:rPr>
        <w:sz w:val="20"/>
        <w:szCs w:val="20"/>
      </w:rPr>
      <w:t>s UE-140188/</w:t>
    </w:r>
    <w:proofErr w:type="spellStart"/>
    <w:r>
      <w:rPr>
        <w:sz w:val="20"/>
        <w:szCs w:val="20"/>
      </w:rPr>
      <w:t>UG</w:t>
    </w:r>
    <w:proofErr w:type="spellEnd"/>
    <w:r>
      <w:rPr>
        <w:sz w:val="20"/>
        <w:szCs w:val="20"/>
      </w:rPr>
      <w:t>-140189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04481F">
      <w:rPr>
        <w:rStyle w:val="PageNumber"/>
        <w:noProof/>
        <w:sz w:val="20"/>
        <w:szCs w:val="20"/>
        <w:lang w:val="fr-FR"/>
      </w:rPr>
      <w:t>ii</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09B83" w14:textId="77777777" w:rsidR="002E2355" w:rsidRDefault="002E2355">
      <w:r>
        <w:separator/>
      </w:r>
    </w:p>
  </w:footnote>
  <w:footnote w:type="continuationSeparator" w:id="0">
    <w:p w14:paraId="18E0EDB6" w14:textId="77777777" w:rsidR="002E2355" w:rsidRDefault="002E2355" w:rsidP="00C3471C">
      <w:r>
        <w:continuationSeparator/>
      </w:r>
    </w:p>
    <w:p w14:paraId="080C27BA" w14:textId="77777777" w:rsidR="002E2355" w:rsidRDefault="002E2355"/>
  </w:footnote>
  <w:footnote w:type="continuationNotice" w:id="1">
    <w:p w14:paraId="62020362" w14:textId="77777777" w:rsidR="002E2355" w:rsidRDefault="002E2355"/>
  </w:footnote>
  <w:footnote w:id="2">
    <w:p w14:paraId="3C1DBE4B" w14:textId="77777777" w:rsidR="002E2355" w:rsidRDefault="002E2355">
      <w:pPr>
        <w:pStyle w:val="FootnoteText"/>
      </w:pPr>
      <w:r>
        <w:rPr>
          <w:rStyle w:val="FootnoteReference"/>
        </w:rPr>
        <w:footnoteRef/>
      </w:r>
      <w:r>
        <w:t xml:space="preserve"> Except for Residential Schedule 1, this gets a uniform percentage decrease to the first two volumetric block rates.</w:t>
      </w:r>
    </w:p>
  </w:footnote>
  <w:footnote w:id="3">
    <w:p w14:paraId="3C1DBE4C" w14:textId="77777777" w:rsidR="002E2355" w:rsidRDefault="002E2355">
      <w:pPr>
        <w:pStyle w:val="FootnoteText"/>
      </w:pPr>
      <w:r>
        <w:rPr>
          <w:rStyle w:val="FootnoteReference"/>
        </w:rPr>
        <w:footnoteRef/>
      </w:r>
      <w:r>
        <w:t xml:space="preserve"> Knox Direct, Exhibit No. ___ (</w:t>
      </w:r>
      <w:proofErr w:type="spellStart"/>
      <w:r>
        <w:t>TLK-1T</w:t>
      </w:r>
      <w:proofErr w:type="spellEnd"/>
      <w:r>
        <w:t>) at 11:1-8.</w:t>
      </w:r>
    </w:p>
  </w:footnote>
  <w:footnote w:id="4">
    <w:p w14:paraId="3C1DBE4D" w14:textId="77777777" w:rsidR="002E2355" w:rsidRDefault="002E2355">
      <w:pPr>
        <w:pStyle w:val="FootnoteText"/>
      </w:pPr>
      <w:r>
        <w:rPr>
          <w:rStyle w:val="FootnoteReference"/>
        </w:rPr>
        <w:footnoteRef/>
      </w:r>
      <w:r>
        <w:t xml:space="preserve"> Avista response to Staff Data Request 23.</w:t>
      </w:r>
    </w:p>
  </w:footnote>
  <w:footnote w:id="5">
    <w:p w14:paraId="3C1DBE4E" w14:textId="77777777" w:rsidR="002E2355" w:rsidRDefault="002E2355" w:rsidP="00EA7E99">
      <w:pPr>
        <w:pStyle w:val="FootnoteText"/>
      </w:pPr>
      <w:r>
        <w:rPr>
          <w:rStyle w:val="FootnoteReference"/>
        </w:rPr>
        <w:footnoteRef/>
      </w:r>
      <w:r>
        <w:t xml:space="preserve"> Avista response to Staff Data Request 87.</w:t>
      </w:r>
    </w:p>
  </w:footnote>
  <w:footnote w:id="6">
    <w:p w14:paraId="3C1DBE4F" w14:textId="77777777" w:rsidR="002E2355" w:rsidRDefault="002E2355">
      <w:pPr>
        <w:pStyle w:val="FootnoteText"/>
      </w:pPr>
      <w:r>
        <w:rPr>
          <w:rStyle w:val="FootnoteReference"/>
        </w:rPr>
        <w:footnoteRef/>
      </w:r>
      <w:r>
        <w:t xml:space="preserve"> </w:t>
      </w:r>
      <w:proofErr w:type="spellStart"/>
      <w:r>
        <w:t>Ehrbar</w:t>
      </w:r>
      <w:proofErr w:type="spellEnd"/>
      <w:r>
        <w:t xml:space="preserve"> Direct, Exhibit No. ___ (</w:t>
      </w:r>
      <w:proofErr w:type="spellStart"/>
      <w:r>
        <w:t>PDE-1T</w:t>
      </w:r>
      <w:proofErr w:type="spellEnd"/>
      <w:r>
        <w:t>) at 66:3-21.</w:t>
      </w:r>
    </w:p>
  </w:footnote>
  <w:footnote w:id="7">
    <w:p w14:paraId="3C1DBE50" w14:textId="77777777" w:rsidR="002E2355" w:rsidRDefault="002E2355" w:rsidP="00400EDE">
      <w:pPr>
        <w:pStyle w:val="FootnoteText"/>
      </w:pPr>
      <w:r>
        <w:rPr>
          <w:rStyle w:val="FootnoteReference"/>
        </w:rPr>
        <w:footnoteRef/>
      </w:r>
      <w:r>
        <w:t xml:space="preserve"> All electric utilities use cost of service study methodologies from Docket UE-920499.</w:t>
      </w:r>
    </w:p>
  </w:footnote>
  <w:footnote w:id="8">
    <w:p w14:paraId="3C1DBE51" w14:textId="77777777" w:rsidR="002E2355" w:rsidRDefault="002E2355" w:rsidP="00AE1B58">
      <w:pPr>
        <w:pStyle w:val="FootnoteText"/>
      </w:pPr>
      <w:r>
        <w:rPr>
          <w:rStyle w:val="FootnoteReference"/>
        </w:rPr>
        <w:footnoteRef/>
      </w:r>
      <w:r>
        <w:t xml:space="preserve"> Avista response to Staff Data Request 166.</w:t>
      </w:r>
    </w:p>
  </w:footnote>
  <w:footnote w:id="9">
    <w:p w14:paraId="3C1DBE52" w14:textId="77777777" w:rsidR="002E2355" w:rsidRDefault="002E2355">
      <w:pPr>
        <w:pStyle w:val="FootnoteText"/>
      </w:pPr>
      <w:r>
        <w:rPr>
          <w:rStyle w:val="FootnoteReference"/>
        </w:rPr>
        <w:footnoteRef/>
      </w:r>
      <w:r>
        <w:t xml:space="preserve"> Knox Direct, Exhibit No. ___ (</w:t>
      </w:r>
      <w:proofErr w:type="spellStart"/>
      <w:r>
        <w:t>TLK</w:t>
      </w:r>
      <w:proofErr w:type="spellEnd"/>
      <w:r>
        <w:t>-3) at 5:21-6:6.</w:t>
      </w:r>
    </w:p>
  </w:footnote>
  <w:footnote w:id="10">
    <w:p w14:paraId="3C1DBE53" w14:textId="77777777" w:rsidR="002E2355" w:rsidRDefault="002E2355">
      <w:pPr>
        <w:pStyle w:val="FootnoteText"/>
      </w:pPr>
      <w:r>
        <w:rPr>
          <w:rStyle w:val="FootnoteReference"/>
        </w:rPr>
        <w:footnoteRef/>
      </w:r>
      <w:r>
        <w:t xml:space="preserve"> Docket No. UT 3-6607 (October 12, 1993).</w:t>
      </w:r>
    </w:p>
  </w:footnote>
  <w:footnote w:id="11">
    <w:p w14:paraId="3C1DBE54" w14:textId="77777777" w:rsidR="002E2355" w:rsidRDefault="002E2355" w:rsidP="00B55D09">
      <w:pPr>
        <w:pStyle w:val="FootnoteText"/>
      </w:pPr>
      <w:r>
        <w:rPr>
          <w:rStyle w:val="FootnoteReference"/>
        </w:rPr>
        <w:footnoteRef/>
      </w:r>
      <w:r>
        <w:t xml:space="preserve"> Under the Company’s former name: The Washington Water Power Company.</w:t>
      </w:r>
    </w:p>
  </w:footnote>
  <w:footnote w:id="12">
    <w:p w14:paraId="3C1DBE55" w14:textId="5540F442" w:rsidR="002E2355" w:rsidRDefault="002E2355">
      <w:pPr>
        <w:pStyle w:val="FootnoteText"/>
      </w:pPr>
      <w:r>
        <w:rPr>
          <w:rStyle w:val="FootnoteReference"/>
        </w:rPr>
        <w:footnoteRef/>
      </w:r>
      <w:r>
        <w:t xml:space="preserve"> Mickelson Exhibit No. ___ (</w:t>
      </w:r>
      <w:proofErr w:type="spellStart"/>
      <w:r>
        <w:t>CTM</w:t>
      </w:r>
      <w:proofErr w:type="spellEnd"/>
      <w:r>
        <w:t xml:space="preserve">-4) is based on Avista response to Staff Data Request 21. </w:t>
      </w:r>
    </w:p>
  </w:footnote>
  <w:footnote w:id="13">
    <w:p w14:paraId="3C1DBE56" w14:textId="43AD4F69" w:rsidR="002E2355" w:rsidRDefault="002E2355" w:rsidP="00DE1114">
      <w:pPr>
        <w:pStyle w:val="FootnoteText"/>
      </w:pPr>
      <w:r>
        <w:rPr>
          <w:rStyle w:val="FootnoteReference"/>
        </w:rPr>
        <w:footnoteRef/>
      </w:r>
      <w:r>
        <w:t xml:space="preserve"> </w:t>
      </w:r>
      <w:r w:rsidR="004877E4">
        <w:rPr>
          <w:i/>
        </w:rPr>
        <w:t xml:space="preserve">See, </w:t>
      </w:r>
      <w:r>
        <w:t xml:space="preserve">National Association of Regulatory Utility Commissioners, </w:t>
      </w:r>
      <w:r w:rsidRPr="009E7AD7">
        <w:rPr>
          <w:i/>
        </w:rPr>
        <w:t>Electric Utility Cost Allocation Manual</w:t>
      </w:r>
      <w:r>
        <w:t xml:space="preserve"> </w:t>
      </w:r>
      <w:r w:rsidR="004877E4">
        <w:t>(</w:t>
      </w:r>
      <w:r>
        <w:t>January 1992</w:t>
      </w:r>
      <w:r w:rsidR="004877E4">
        <w:t>)</w:t>
      </w:r>
      <w:r>
        <w:t xml:space="preserve"> </w:t>
      </w:r>
      <w:r w:rsidR="004877E4">
        <w:t>,</w:t>
      </w:r>
      <w:r>
        <w:t>for further discussion on all of the methodologies.</w:t>
      </w:r>
    </w:p>
  </w:footnote>
  <w:footnote w:id="14">
    <w:p w14:paraId="3C1DBE57" w14:textId="77777777" w:rsidR="002E2355" w:rsidRDefault="002E2355">
      <w:pPr>
        <w:pStyle w:val="FootnoteText"/>
      </w:pPr>
      <w:r>
        <w:rPr>
          <w:rStyle w:val="FootnoteReference"/>
        </w:rPr>
        <w:footnoteRef/>
      </w:r>
      <w:r>
        <w:t xml:space="preserve"> Excluding Schedules 21 and 22, this had a 4.6 percent variance that was likely due to schedule switching over the last couple of general rate cases.</w:t>
      </w:r>
    </w:p>
  </w:footnote>
  <w:footnote w:id="15">
    <w:p w14:paraId="3C1DBE58" w14:textId="77777777" w:rsidR="002E2355" w:rsidRDefault="002E2355">
      <w:pPr>
        <w:pStyle w:val="FootnoteText"/>
      </w:pPr>
      <w:r>
        <w:rPr>
          <w:rStyle w:val="FootnoteReference"/>
        </w:rPr>
        <w:footnoteRef/>
      </w:r>
      <w:r>
        <w:t xml:space="preserve"> Similar to the detailed load resource data, as provided in Avista response to Staff Data Request 17. </w:t>
      </w:r>
    </w:p>
  </w:footnote>
  <w:footnote w:id="16">
    <w:p w14:paraId="3C1DBE59" w14:textId="77777777" w:rsidR="002E2355" w:rsidRDefault="002E2355" w:rsidP="0042635F">
      <w:pPr>
        <w:pStyle w:val="FootnoteText"/>
      </w:pPr>
      <w:r>
        <w:rPr>
          <w:rStyle w:val="FootnoteReference"/>
        </w:rPr>
        <w:footnoteRef/>
      </w:r>
      <w:r>
        <w:t xml:space="preserve"> Avista response to Staff Data Request 165.</w:t>
      </w:r>
    </w:p>
  </w:footnote>
  <w:footnote w:id="17">
    <w:p w14:paraId="3C1DBE5A" w14:textId="77777777" w:rsidR="002E2355" w:rsidRDefault="002E2355">
      <w:pPr>
        <w:pStyle w:val="FootnoteText"/>
      </w:pPr>
      <w:r>
        <w:rPr>
          <w:rStyle w:val="FootnoteReference"/>
        </w:rPr>
        <w:footnoteRef/>
      </w:r>
      <w:r>
        <w:t xml:space="preserve"> Johnson Direct, Exhibit No. ___ (</w:t>
      </w:r>
      <w:proofErr w:type="spellStart"/>
      <w:r>
        <w:t>WGJ-1T</w:t>
      </w:r>
      <w:proofErr w:type="spellEnd"/>
      <w:r>
        <w:t>) at 15:12-13.</w:t>
      </w:r>
    </w:p>
  </w:footnote>
  <w:footnote w:id="18">
    <w:p w14:paraId="3C1DBE5B" w14:textId="77777777" w:rsidR="002E2355" w:rsidRDefault="002E2355">
      <w:pPr>
        <w:pStyle w:val="FootnoteText"/>
      </w:pPr>
      <w:r>
        <w:rPr>
          <w:rStyle w:val="FootnoteReference"/>
        </w:rPr>
        <w:footnoteRef/>
      </w:r>
      <w:r>
        <w:t xml:space="preserve"> Kinney Direct, Exhibit No. ___ (</w:t>
      </w:r>
      <w:proofErr w:type="spellStart"/>
      <w:r>
        <w:t>SJK</w:t>
      </w:r>
      <w:proofErr w:type="spellEnd"/>
      <w:r>
        <w:t>-2) at 94. (</w:t>
      </w:r>
      <w:r w:rsidRPr="00976048">
        <w:rPr>
          <w:i/>
        </w:rPr>
        <w:t>emphasis added</w:t>
      </w:r>
      <w:r>
        <w:t>)</w:t>
      </w:r>
    </w:p>
  </w:footnote>
  <w:footnote w:id="19">
    <w:p w14:paraId="3C1DBE5C" w14:textId="77777777" w:rsidR="002E2355" w:rsidRDefault="002E2355">
      <w:pPr>
        <w:pStyle w:val="FootnoteText"/>
      </w:pPr>
      <w:r>
        <w:rPr>
          <w:rStyle w:val="FootnoteReference"/>
        </w:rPr>
        <w:footnoteRef/>
      </w:r>
      <w:r>
        <w:t xml:space="preserve"> </w:t>
      </w:r>
      <w:r w:rsidRPr="000B2C79">
        <w:rPr>
          <w:i/>
        </w:rPr>
        <w:t>Id.,</w:t>
      </w:r>
      <w:r>
        <w:t xml:space="preserve"> at 62.</w:t>
      </w:r>
    </w:p>
  </w:footnote>
  <w:footnote w:id="20">
    <w:p w14:paraId="3C1DBE5D" w14:textId="77777777" w:rsidR="002E2355" w:rsidRDefault="002E2355">
      <w:pPr>
        <w:pStyle w:val="FootnoteText"/>
      </w:pPr>
      <w:r>
        <w:rPr>
          <w:rStyle w:val="FootnoteReference"/>
        </w:rPr>
        <w:footnoteRef/>
      </w:r>
      <w:r>
        <w:t xml:space="preserve"> </w:t>
      </w:r>
      <w:r w:rsidRPr="000B2C79">
        <w:rPr>
          <w:i/>
        </w:rPr>
        <w:t>Id.,</w:t>
      </w:r>
      <w:r>
        <w:t xml:space="preserve"> at 116.</w:t>
      </w:r>
    </w:p>
  </w:footnote>
  <w:footnote w:id="21">
    <w:p w14:paraId="3C1DBE5E" w14:textId="77777777" w:rsidR="002E2355" w:rsidRDefault="002E2355">
      <w:pPr>
        <w:pStyle w:val="FootnoteText"/>
      </w:pPr>
      <w:r>
        <w:rPr>
          <w:rStyle w:val="FootnoteReference"/>
        </w:rPr>
        <w:footnoteRef/>
      </w:r>
      <w:r>
        <w:t xml:space="preserve"> </w:t>
      </w:r>
      <w:r w:rsidRPr="000B2C79">
        <w:rPr>
          <w:i/>
        </w:rPr>
        <w:t>Id.,</w:t>
      </w:r>
      <w:r>
        <w:t xml:space="preserve"> at 51.</w:t>
      </w:r>
    </w:p>
  </w:footnote>
  <w:footnote w:id="22">
    <w:p w14:paraId="3C1DBE5F" w14:textId="77777777" w:rsidR="002E2355" w:rsidRPr="007E50F7" w:rsidRDefault="002E2355" w:rsidP="00577DA8">
      <w:pPr>
        <w:pStyle w:val="FootnoteText"/>
      </w:pPr>
      <w:r w:rsidRPr="005D1597">
        <w:rPr>
          <w:rStyle w:val="FootnoteReference"/>
        </w:rPr>
        <w:footnoteRef/>
      </w:r>
      <w:r w:rsidRPr="005D1597">
        <w:t xml:space="preserve"> </w:t>
      </w:r>
      <w:r>
        <w:t>Knox Direct</w:t>
      </w:r>
      <w:r w:rsidRPr="005D1597">
        <w:t>, Exhibit No.</w:t>
      </w:r>
      <w:r>
        <w:t xml:space="preserve"> ___ (</w:t>
      </w:r>
      <w:proofErr w:type="spellStart"/>
      <w:r w:rsidRPr="005D1597">
        <w:t>TLK-1T</w:t>
      </w:r>
      <w:proofErr w:type="spellEnd"/>
      <w:r>
        <w:t>)</w:t>
      </w:r>
      <w:r w:rsidRPr="005D1597">
        <w:t xml:space="preserve"> at 13:13-15.</w:t>
      </w:r>
    </w:p>
  </w:footnote>
  <w:footnote w:id="23">
    <w:p w14:paraId="3C1DBE60" w14:textId="77777777" w:rsidR="002E2355" w:rsidRDefault="002E2355" w:rsidP="00577DA8">
      <w:pPr>
        <w:pStyle w:val="FootnoteText"/>
      </w:pPr>
      <w:r>
        <w:rPr>
          <w:rStyle w:val="FootnoteReference"/>
        </w:rPr>
        <w:footnoteRef/>
      </w:r>
      <w:r>
        <w:t xml:space="preserve"> Avista response to Staff Data Request 21.</w:t>
      </w:r>
    </w:p>
  </w:footnote>
  <w:footnote w:id="24">
    <w:p w14:paraId="3C1DBE61" w14:textId="55F695F1" w:rsidR="002E2355" w:rsidRPr="007E50F7" w:rsidRDefault="002E2355" w:rsidP="004806FD">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UE-111048 and </w:t>
      </w:r>
      <w:proofErr w:type="spellStart"/>
      <w:r w:rsidRPr="007E50F7">
        <w:t>UG</w:t>
      </w:r>
      <w:proofErr w:type="spellEnd"/>
      <w:r w:rsidRPr="007E50F7">
        <w:t xml:space="preserve">-111049, Order 08 (May 7, 2012), </w:t>
      </w:r>
      <w:r w:rsidR="004877E4">
        <w:t>at</w:t>
      </w:r>
      <w:r w:rsidRPr="007E50F7">
        <w:t xml:space="preserve"> 125.</w:t>
      </w:r>
    </w:p>
  </w:footnote>
  <w:footnote w:id="25">
    <w:p w14:paraId="3C1DBE62" w14:textId="77777777" w:rsidR="002E2355" w:rsidRDefault="002E2355">
      <w:pPr>
        <w:pStyle w:val="FootnoteText"/>
      </w:pPr>
      <w:r w:rsidRPr="008602A3">
        <w:rPr>
          <w:rStyle w:val="FootnoteReference"/>
        </w:rPr>
        <w:footnoteRef/>
      </w:r>
      <w:r w:rsidRPr="008602A3">
        <w:t xml:space="preserve"> </w:t>
      </w:r>
      <w:proofErr w:type="spellStart"/>
      <w:r>
        <w:t>Ehrbar</w:t>
      </w:r>
      <w:proofErr w:type="spellEnd"/>
      <w:r>
        <w:t xml:space="preserve"> Direct</w:t>
      </w:r>
      <w:r w:rsidRPr="008602A3">
        <w:t xml:space="preserve">, Exhibit No. </w:t>
      </w:r>
      <w:r>
        <w:t>___ (</w:t>
      </w:r>
      <w:proofErr w:type="spellStart"/>
      <w:r w:rsidRPr="008602A3">
        <w:t>PDE-1T</w:t>
      </w:r>
      <w:proofErr w:type="spellEnd"/>
      <w:r>
        <w:t>)</w:t>
      </w:r>
      <w:r w:rsidRPr="008602A3">
        <w:t xml:space="preserve"> at 5:22-24.</w:t>
      </w:r>
    </w:p>
  </w:footnote>
  <w:footnote w:id="26">
    <w:p w14:paraId="3C1DBE63" w14:textId="77777777" w:rsidR="002E2355" w:rsidRDefault="002E2355">
      <w:pPr>
        <w:pStyle w:val="FootnoteText"/>
      </w:pPr>
      <w:r>
        <w:rPr>
          <w:rStyle w:val="FootnoteReference"/>
        </w:rPr>
        <w:footnoteRef/>
      </w:r>
      <w:r>
        <w:t xml:space="preserve"> Avista response to Staff Data Request 24, Attachment A.</w:t>
      </w:r>
    </w:p>
  </w:footnote>
  <w:footnote w:id="27">
    <w:p w14:paraId="3C1DBE64" w14:textId="77777777" w:rsidR="002E2355" w:rsidRDefault="002E2355">
      <w:pPr>
        <w:pStyle w:val="FootnoteText"/>
      </w:pPr>
      <w:r>
        <w:rPr>
          <w:rStyle w:val="FootnoteReference"/>
        </w:rPr>
        <w:footnoteRef/>
      </w:r>
      <w:r>
        <w:t xml:space="preserve"> McGuire Direct, Exhibit Nos. ___ </w:t>
      </w:r>
      <w:r w:rsidRPr="00A7531F">
        <w:t>(CRM</w:t>
      </w:r>
      <w:r>
        <w:t>-</w:t>
      </w:r>
      <w:proofErr w:type="spellStart"/>
      <w:r>
        <w:t>1T</w:t>
      </w:r>
      <w:proofErr w:type="spellEnd"/>
      <w:r>
        <w:t>) and ___ (CRM-2).</w:t>
      </w:r>
    </w:p>
  </w:footnote>
  <w:footnote w:id="28">
    <w:p w14:paraId="3C1DBE65" w14:textId="77777777" w:rsidR="002E2355" w:rsidRPr="007E50F7" w:rsidRDefault="002E2355" w:rsidP="009F4996">
      <w:pPr>
        <w:pStyle w:val="FootnoteText"/>
      </w:pPr>
      <w:r w:rsidRPr="007E50F7">
        <w:rPr>
          <w:rStyle w:val="FootnoteReference"/>
        </w:rPr>
        <w:footnoteRef/>
      </w:r>
      <w:r w:rsidRPr="007E50F7">
        <w:t xml:space="preserve"> In essence, customer-related costs reflect the minimum amount of equipment and service needed for customers to access the electric grid.  </w:t>
      </w:r>
    </w:p>
  </w:footnote>
  <w:footnote w:id="29">
    <w:p w14:paraId="3C1DBE66" w14:textId="222C9DC9" w:rsidR="002E2355" w:rsidRPr="007E50F7" w:rsidRDefault="002E2355" w:rsidP="007F1B05">
      <w:pPr>
        <w:pStyle w:val="FootnoteText"/>
      </w:pPr>
      <w:r w:rsidRPr="007E50F7">
        <w:rPr>
          <w:rStyle w:val="FootnoteReference"/>
        </w:rPr>
        <w:footnoteRef/>
      </w:r>
      <w:r w:rsidRPr="007E50F7">
        <w:t xml:space="preserve"> Marry Blake, Creating the Right Retail Rate Environment for Energy Conservation and Energy Efficiency, </w:t>
      </w:r>
      <w:r w:rsidR="004877E4">
        <w:rPr>
          <w:i/>
        </w:rPr>
        <w:t>Management Quarterly</w:t>
      </w:r>
      <w:r w:rsidRPr="007E50F7">
        <w:rPr>
          <w:i/>
        </w:rPr>
        <w:t xml:space="preserve"> </w:t>
      </w:r>
      <w:r w:rsidR="004877E4">
        <w:t>(</w:t>
      </w:r>
      <w:r w:rsidRPr="007E50F7">
        <w:t>December 22, 2009</w:t>
      </w:r>
      <w:r w:rsidR="004877E4">
        <w:t xml:space="preserve">) at </w:t>
      </w:r>
      <w:r w:rsidRPr="007E50F7">
        <w:t>6.</w:t>
      </w:r>
    </w:p>
  </w:footnote>
  <w:footnote w:id="30">
    <w:p w14:paraId="3C1DBE67" w14:textId="77777777" w:rsidR="002E2355" w:rsidRPr="007E50F7" w:rsidRDefault="002E2355">
      <w:pPr>
        <w:pStyle w:val="FootnoteText"/>
      </w:pPr>
      <w:r w:rsidRPr="007E50F7">
        <w:rPr>
          <w:rStyle w:val="FootnoteReference"/>
        </w:rPr>
        <w:footnoteRef/>
      </w:r>
      <w:r w:rsidRPr="007E50F7">
        <w:t xml:space="preserve"> </w:t>
      </w:r>
      <w:r w:rsidRPr="00DA48BC">
        <w:rPr>
          <w:i/>
        </w:rPr>
        <w:t>Ibid.</w:t>
      </w:r>
    </w:p>
  </w:footnote>
  <w:footnote w:id="31">
    <w:p w14:paraId="3C1DBE68" w14:textId="77777777" w:rsidR="002E2355" w:rsidRPr="007E50F7" w:rsidRDefault="002E2355" w:rsidP="007B273E">
      <w:pPr>
        <w:pStyle w:val="FootnoteText"/>
      </w:pPr>
      <w:r w:rsidRPr="007E50F7">
        <w:rPr>
          <w:rStyle w:val="FootnoteReference"/>
        </w:rPr>
        <w:footnoteRef/>
      </w:r>
      <w:r w:rsidRPr="007E50F7">
        <w:t xml:space="preserve"> </w:t>
      </w:r>
      <w:proofErr w:type="spellStart"/>
      <w:r>
        <w:t>Ehrbar</w:t>
      </w:r>
      <w:proofErr w:type="spellEnd"/>
      <w:r>
        <w:t xml:space="preserve"> Direct, Exhibit No. ___ (</w:t>
      </w:r>
      <w:proofErr w:type="spellStart"/>
      <w:r>
        <w:t>PDE-1T</w:t>
      </w:r>
      <w:proofErr w:type="spellEnd"/>
      <w:r>
        <w:t>) at 36:4-11 to 37:1-23.</w:t>
      </w:r>
    </w:p>
  </w:footnote>
  <w:footnote w:id="32">
    <w:p w14:paraId="3C1DBE69" w14:textId="77777777" w:rsidR="002E2355" w:rsidRPr="007E50F7" w:rsidRDefault="002E2355" w:rsidP="003602A5">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UE-060266 and </w:t>
      </w:r>
      <w:proofErr w:type="spellStart"/>
      <w:r w:rsidRPr="007E50F7">
        <w:t>UG</w:t>
      </w:r>
      <w:proofErr w:type="spellEnd"/>
      <w:r w:rsidRPr="007E50F7">
        <w:t>-060267, Order 08 (January 5, 2007), page 48.</w:t>
      </w:r>
    </w:p>
  </w:footnote>
  <w:footnote w:id="33">
    <w:p w14:paraId="3C1DBE6A" w14:textId="77777777" w:rsidR="002E2355" w:rsidRPr="007E50F7" w:rsidRDefault="002E2355">
      <w:pPr>
        <w:pStyle w:val="FootnoteText"/>
      </w:pPr>
      <w:r w:rsidRPr="007E50F7">
        <w:rPr>
          <w:rStyle w:val="FootnoteReference"/>
        </w:rPr>
        <w:footnoteRef/>
      </w:r>
      <w:r w:rsidRPr="007E50F7">
        <w:t xml:space="preserve"> Percentage is based on total customer and distribution demand costs.</w:t>
      </w:r>
    </w:p>
  </w:footnote>
  <w:footnote w:id="34">
    <w:p w14:paraId="3C1DBE6B" w14:textId="77777777" w:rsidR="002E2355" w:rsidRDefault="002E2355" w:rsidP="00241147">
      <w:pPr>
        <w:pStyle w:val="FootnoteText"/>
      </w:pPr>
      <w:r>
        <w:rPr>
          <w:rStyle w:val="FootnoteReference"/>
        </w:rPr>
        <w:footnoteRef/>
      </w:r>
      <w:r>
        <w:t xml:space="preserve"> Avista response to Staff Data Request 123.</w:t>
      </w:r>
    </w:p>
  </w:footnote>
  <w:footnote w:id="35">
    <w:p w14:paraId="3C1DBE6C" w14:textId="77777777" w:rsidR="002E2355" w:rsidRDefault="002E2355">
      <w:pPr>
        <w:pStyle w:val="FootnoteText"/>
      </w:pPr>
      <w:r>
        <w:rPr>
          <w:rStyle w:val="FootnoteReference"/>
        </w:rPr>
        <w:footnoteRef/>
      </w:r>
      <w:r>
        <w:t xml:space="preserve"> Kinney Direct, Exhibit No. ___ (</w:t>
      </w:r>
      <w:proofErr w:type="spellStart"/>
      <w:r>
        <w:t>SJK</w:t>
      </w:r>
      <w:proofErr w:type="spellEnd"/>
      <w:r>
        <w:t>-2) at 38, Table 2.2.</w:t>
      </w:r>
    </w:p>
  </w:footnote>
  <w:footnote w:id="36">
    <w:p w14:paraId="3C1DBE6D" w14:textId="77777777" w:rsidR="002E2355" w:rsidRDefault="002E2355">
      <w:pPr>
        <w:pStyle w:val="FootnoteText"/>
      </w:pPr>
      <w:r>
        <w:rPr>
          <w:rStyle w:val="FootnoteReference"/>
        </w:rPr>
        <w:footnoteRef/>
      </w:r>
      <w:r>
        <w:t xml:space="preserve"> Excluding Schedule 26, this stays at the current monthly charge.</w:t>
      </w:r>
    </w:p>
  </w:footnote>
  <w:footnote w:id="37">
    <w:p w14:paraId="3C1DBE6E" w14:textId="77777777" w:rsidR="002E2355" w:rsidRDefault="002E2355">
      <w:pPr>
        <w:pStyle w:val="FootnoteText"/>
      </w:pPr>
      <w:r>
        <w:rPr>
          <w:rStyle w:val="FootnoteReference"/>
        </w:rPr>
        <w:footnoteRef/>
      </w:r>
      <w:r>
        <w:t xml:space="preserve"> </w:t>
      </w:r>
      <w:proofErr w:type="spellStart"/>
      <w:r>
        <w:t>Ehrbar</w:t>
      </w:r>
      <w:proofErr w:type="spellEnd"/>
      <w:r>
        <w:t xml:space="preserve"> Direct, Exhibit No. ___ (</w:t>
      </w:r>
      <w:proofErr w:type="spellStart"/>
      <w:r>
        <w:t>PDE-1T</w:t>
      </w:r>
      <w:proofErr w:type="spellEnd"/>
      <w:r>
        <w:t>) at 55:6-13.</w:t>
      </w:r>
    </w:p>
  </w:footnote>
  <w:footnote w:id="38">
    <w:p w14:paraId="3C1DBE6F" w14:textId="77777777" w:rsidR="002E2355" w:rsidRPr="00BA4D7C" w:rsidRDefault="002E2355" w:rsidP="00BA4D7C">
      <w:pPr>
        <w:autoSpaceDE w:val="0"/>
        <w:autoSpaceDN w:val="0"/>
        <w:adjustRightInd w:val="0"/>
        <w:rPr>
          <w:rFonts w:eastAsia="Calibri"/>
          <w:sz w:val="20"/>
          <w:szCs w:val="20"/>
        </w:rPr>
      </w:pPr>
      <w:r>
        <w:rPr>
          <w:rStyle w:val="FootnoteReference"/>
        </w:rPr>
        <w:footnoteRef/>
      </w:r>
      <w:r w:rsidRPr="00DA48BC">
        <w:rPr>
          <w:rFonts w:eastAsia="Calibri"/>
        </w:rPr>
        <w:t xml:space="preserve"> </w:t>
      </w:r>
      <w:r w:rsidRPr="00BA4D7C">
        <w:rPr>
          <w:rFonts w:eastAsia="Calibri"/>
          <w:sz w:val="20"/>
          <w:szCs w:val="20"/>
        </w:rPr>
        <w:t>David Magnus</w:t>
      </w:r>
      <w:r>
        <w:rPr>
          <w:rFonts w:eastAsia="Calibri"/>
          <w:sz w:val="20"/>
          <w:szCs w:val="20"/>
        </w:rPr>
        <w:t xml:space="preserve"> </w:t>
      </w:r>
      <w:proofErr w:type="spellStart"/>
      <w:r>
        <w:rPr>
          <w:rFonts w:eastAsia="Calibri"/>
          <w:sz w:val="20"/>
          <w:szCs w:val="20"/>
        </w:rPr>
        <w:t>Boonin</w:t>
      </w:r>
      <w:proofErr w:type="spellEnd"/>
      <w:r>
        <w:rPr>
          <w:rFonts w:eastAsia="Calibri"/>
          <w:sz w:val="20"/>
          <w:szCs w:val="20"/>
        </w:rPr>
        <w:t xml:space="preserve">, </w:t>
      </w:r>
      <w:hyperlink r:id="rId1" w:history="1">
        <w:r w:rsidRPr="003246DE">
          <w:rPr>
            <w:rStyle w:val="Hyperlink"/>
            <w:rFonts w:eastAsia="Calibri"/>
            <w:i/>
            <w:sz w:val="20"/>
            <w:szCs w:val="20"/>
          </w:rPr>
          <w:t>A Rate Design to Encourage Energy Efficiency and Reduce Revenue Requirements</w:t>
        </w:r>
      </w:hyperlink>
      <w:r>
        <w:rPr>
          <w:rFonts w:eastAsia="Calibri"/>
          <w:i/>
          <w:sz w:val="20"/>
          <w:szCs w:val="20"/>
        </w:rPr>
        <w:t>,</w:t>
      </w:r>
      <w:r w:rsidRPr="00BA4D7C">
        <w:rPr>
          <w:rFonts w:eastAsia="Calibri"/>
          <w:sz w:val="20"/>
          <w:szCs w:val="20"/>
        </w:rPr>
        <w:t xml:space="preserve"> National Regulatory Research Institute</w:t>
      </w:r>
      <w:r>
        <w:rPr>
          <w:rFonts w:eastAsia="Calibri"/>
          <w:sz w:val="20"/>
          <w:szCs w:val="20"/>
        </w:rPr>
        <w:t xml:space="preserve"> (</w:t>
      </w:r>
      <w:r w:rsidRPr="00BA4D7C">
        <w:rPr>
          <w:rFonts w:eastAsia="Calibri"/>
          <w:sz w:val="20"/>
          <w:szCs w:val="20"/>
        </w:rPr>
        <w:t>July 2008</w:t>
      </w:r>
      <w:r>
        <w:rPr>
          <w:rFonts w:eastAsia="Calibri"/>
          <w:sz w:val="20"/>
          <w:szCs w:val="20"/>
        </w:rPr>
        <w:t>)</w:t>
      </w:r>
      <w:r w:rsidRPr="00BA4D7C">
        <w:rPr>
          <w:rFonts w:eastAsia="Calibri"/>
          <w:sz w:val="20"/>
          <w:szCs w:val="20"/>
        </w:rPr>
        <w:t>.</w:t>
      </w:r>
    </w:p>
  </w:footnote>
  <w:footnote w:id="39">
    <w:p w14:paraId="3C1DBE70" w14:textId="77777777" w:rsidR="002E2355" w:rsidRDefault="002E2355" w:rsidP="00BC07BC">
      <w:pPr>
        <w:pStyle w:val="FootnoteText"/>
      </w:pPr>
      <w:r>
        <w:rPr>
          <w:rStyle w:val="FootnoteReference"/>
        </w:rPr>
        <w:footnoteRef/>
      </w:r>
      <w:r>
        <w:t xml:space="preserve"> </w:t>
      </w:r>
      <w:r w:rsidRPr="00DA48BC">
        <w:rPr>
          <w:i/>
        </w:rPr>
        <w:t>Id</w:t>
      </w:r>
      <w:r>
        <w:rPr>
          <w:i/>
        </w:rPr>
        <w:t>.</w:t>
      </w:r>
      <w:r>
        <w:t>, at iii.</w:t>
      </w:r>
    </w:p>
  </w:footnote>
  <w:footnote w:id="40">
    <w:p w14:paraId="3C1DBE71" w14:textId="77777777" w:rsidR="002E2355" w:rsidRDefault="002E2355">
      <w:pPr>
        <w:pStyle w:val="FootnoteText"/>
      </w:pPr>
      <w:r>
        <w:rPr>
          <w:rStyle w:val="FootnoteReference"/>
        </w:rPr>
        <w:footnoteRef/>
      </w:r>
      <w:r>
        <w:t xml:space="preserve"> </w:t>
      </w:r>
      <w:r>
        <w:rPr>
          <w:i/>
        </w:rPr>
        <w:t xml:space="preserve">Id., </w:t>
      </w:r>
      <w:proofErr w:type="spellStart"/>
      <w:r>
        <w:rPr>
          <w:i/>
        </w:rPr>
        <w:t>B</w:t>
      </w:r>
      <w:r>
        <w:t>oonin</w:t>
      </w:r>
      <w:proofErr w:type="spellEnd"/>
      <w:r>
        <w:t xml:space="preserve"> article, </w:t>
      </w:r>
      <w:r>
        <w:rPr>
          <w:i/>
        </w:rPr>
        <w:t>s</w:t>
      </w:r>
      <w:r w:rsidRPr="006243C3">
        <w:rPr>
          <w:i/>
        </w:rPr>
        <w:t>upra</w:t>
      </w:r>
      <w:r>
        <w:t xml:space="preserve"> </w:t>
      </w:r>
      <w:r w:rsidRPr="00CE55AC">
        <w:t xml:space="preserve">note 37, </w:t>
      </w:r>
      <w:r>
        <w:t xml:space="preserve">at 4. </w:t>
      </w:r>
    </w:p>
  </w:footnote>
  <w:footnote w:id="41">
    <w:p w14:paraId="3C1DBE72" w14:textId="77777777" w:rsidR="002E2355" w:rsidRDefault="002E2355">
      <w:pPr>
        <w:pStyle w:val="FootnoteText"/>
      </w:pPr>
      <w:r>
        <w:rPr>
          <w:rStyle w:val="FootnoteReference"/>
        </w:rPr>
        <w:footnoteRef/>
      </w:r>
      <w:r>
        <w:t xml:space="preserve"> </w:t>
      </w:r>
      <w:r w:rsidRPr="00DA48BC">
        <w:rPr>
          <w:i/>
        </w:rPr>
        <w:t>Id.</w:t>
      </w:r>
    </w:p>
  </w:footnote>
  <w:footnote w:id="42">
    <w:p w14:paraId="3C1DBE73" w14:textId="77777777" w:rsidR="002E2355" w:rsidRPr="007E50F7" w:rsidRDefault="002E2355" w:rsidP="001069E0">
      <w:pPr>
        <w:pStyle w:val="FootnoteText"/>
      </w:pPr>
      <w:r w:rsidRPr="007E50F7">
        <w:rPr>
          <w:rStyle w:val="FootnoteReference"/>
        </w:rPr>
        <w:footnoteRef/>
      </w:r>
      <w:r w:rsidRPr="007E50F7">
        <w:t xml:space="preserve"> </w:t>
      </w:r>
      <w:r>
        <w:t>Avista</w:t>
      </w:r>
      <w:r w:rsidRPr="00FC5C83">
        <w:t xml:space="preserve"> response to Staff Data Request 18, Attachment A.</w:t>
      </w:r>
    </w:p>
  </w:footnote>
  <w:footnote w:id="43">
    <w:p w14:paraId="3C1DBE74" w14:textId="77777777" w:rsidR="002E2355" w:rsidRDefault="002E2355">
      <w:pPr>
        <w:pStyle w:val="FootnoteText"/>
      </w:pPr>
      <w:r>
        <w:rPr>
          <w:rStyle w:val="FootnoteReference"/>
        </w:rPr>
        <w:footnoteRef/>
      </w:r>
      <w:r>
        <w:t xml:space="preserve"> Avista response to Staff Data Request 164.</w:t>
      </w:r>
    </w:p>
  </w:footnote>
  <w:footnote w:id="44">
    <w:p w14:paraId="3C1DBE75" w14:textId="77777777" w:rsidR="002E2355" w:rsidRDefault="002E2355" w:rsidP="00FC5C83">
      <w:pPr>
        <w:pStyle w:val="FootnoteText"/>
      </w:pPr>
      <w:r>
        <w:rPr>
          <w:rStyle w:val="FootnoteReference"/>
        </w:rPr>
        <w:footnoteRef/>
      </w:r>
      <w:r>
        <w:t xml:space="preserve"> Miller Direct, Exhibit No. ___ (</w:t>
      </w:r>
      <w:proofErr w:type="spellStart"/>
      <w:r>
        <w:t>JDM-1T</w:t>
      </w:r>
      <w:proofErr w:type="spellEnd"/>
      <w:r>
        <w:t>) at 9:1-10.</w:t>
      </w:r>
    </w:p>
  </w:footnote>
  <w:footnote w:id="45">
    <w:p w14:paraId="3C1DBE76" w14:textId="77777777" w:rsidR="002E2355" w:rsidRDefault="002E2355">
      <w:pPr>
        <w:pStyle w:val="FootnoteText"/>
      </w:pPr>
      <w:r>
        <w:rPr>
          <w:rStyle w:val="FootnoteReference"/>
        </w:rPr>
        <w:footnoteRef/>
      </w:r>
      <w:r>
        <w:t xml:space="preserve"> </w:t>
      </w:r>
      <w:r w:rsidRPr="007E50F7">
        <w:t xml:space="preserve">Avista </w:t>
      </w:r>
      <w:r>
        <w:t>response to Staff Data Request 19 – No customer has been interrupted in the last ten years</w:t>
      </w:r>
      <w:r w:rsidRPr="007E50F7">
        <w:t>.</w:t>
      </w:r>
    </w:p>
  </w:footnote>
  <w:footnote w:id="46">
    <w:p w14:paraId="3C1DBE77" w14:textId="77777777" w:rsidR="002E2355" w:rsidRPr="007E50F7" w:rsidRDefault="002E2355" w:rsidP="008A14BC">
      <w:pPr>
        <w:pStyle w:val="FootnoteText"/>
      </w:pPr>
      <w:r w:rsidRPr="007E50F7">
        <w:rPr>
          <w:rStyle w:val="FootnoteReference"/>
        </w:rPr>
        <w:footnoteRef/>
      </w:r>
      <w:r w:rsidRPr="007E50F7">
        <w:t xml:space="preserve"> Symbolizes large mains.</w:t>
      </w:r>
    </w:p>
  </w:footnote>
  <w:footnote w:id="47">
    <w:p w14:paraId="3C1DBE78" w14:textId="77777777" w:rsidR="002E2355" w:rsidRPr="007E50F7" w:rsidRDefault="002E2355" w:rsidP="008A14BC">
      <w:pPr>
        <w:pStyle w:val="FootnoteText"/>
      </w:pPr>
      <w:r w:rsidRPr="007E50F7">
        <w:rPr>
          <w:rStyle w:val="FootnoteReference"/>
        </w:rPr>
        <w:footnoteRef/>
      </w:r>
      <w:r w:rsidRPr="007E50F7">
        <w:t xml:space="preserve"> Symbolizes medium and small mains.</w:t>
      </w:r>
    </w:p>
  </w:footnote>
  <w:footnote w:id="48">
    <w:p w14:paraId="3C1DBE79" w14:textId="77777777" w:rsidR="002E2355" w:rsidRPr="007E50F7" w:rsidRDefault="002E2355" w:rsidP="00252294">
      <w:pPr>
        <w:pStyle w:val="FootnoteText"/>
      </w:pPr>
      <w:r w:rsidRPr="007E50F7">
        <w:rPr>
          <w:rStyle w:val="FootnoteReference"/>
        </w:rPr>
        <w:footnoteRef/>
      </w:r>
      <w:r w:rsidRPr="007E50F7">
        <w:t xml:space="preserve"> </w:t>
      </w:r>
      <w:r>
        <w:rPr>
          <w:i/>
        </w:rPr>
        <w:t xml:space="preserve">E.g., </w:t>
      </w:r>
      <w:r w:rsidRPr="007E50F7">
        <w:t>Puget Sound Energy, Inc.</w:t>
      </w:r>
    </w:p>
  </w:footnote>
  <w:footnote w:id="49">
    <w:p w14:paraId="3C1DBE7A" w14:textId="77777777" w:rsidR="002E2355" w:rsidRPr="007E50F7" w:rsidRDefault="002E2355">
      <w:pPr>
        <w:pStyle w:val="FootnoteText"/>
      </w:pPr>
      <w:r w:rsidRPr="006C3F53">
        <w:rPr>
          <w:rStyle w:val="FootnoteReference"/>
        </w:rPr>
        <w:footnoteRef/>
      </w:r>
      <w:r>
        <w:t xml:space="preserve"> Miller Direct</w:t>
      </w:r>
      <w:r w:rsidRPr="006C3F53">
        <w:t>, Exhibit No.</w:t>
      </w:r>
      <w:r>
        <w:t xml:space="preserve"> ___ (</w:t>
      </w:r>
      <w:proofErr w:type="spellStart"/>
      <w:r w:rsidRPr="006C3F53">
        <w:t>JDM</w:t>
      </w:r>
      <w:proofErr w:type="spellEnd"/>
      <w:r w:rsidRPr="006C3F53">
        <w:t>-2</w:t>
      </w:r>
      <w:r>
        <w:t xml:space="preserve">) at </w:t>
      </w:r>
      <w:r w:rsidRPr="006C3F53">
        <w:t>4</w:t>
      </w:r>
      <w:r>
        <w:t>:</w:t>
      </w:r>
      <w:r w:rsidRPr="006C3F53">
        <w:t>6-8.</w:t>
      </w:r>
    </w:p>
  </w:footnote>
  <w:footnote w:id="50">
    <w:p w14:paraId="3C1DBE7B" w14:textId="77777777" w:rsidR="002E2355" w:rsidRDefault="002E2355">
      <w:pPr>
        <w:pStyle w:val="FootnoteText"/>
      </w:pPr>
      <w:r>
        <w:rPr>
          <w:rStyle w:val="FootnoteReference"/>
        </w:rPr>
        <w:footnoteRef/>
      </w:r>
      <w:r>
        <w:t xml:space="preserve"> </w:t>
      </w:r>
      <w:r w:rsidRPr="004877E4">
        <w:rPr>
          <w:i/>
        </w:rPr>
        <w:t>Id</w:t>
      </w:r>
      <w:r>
        <w:t>.</w:t>
      </w:r>
    </w:p>
  </w:footnote>
  <w:footnote w:id="51">
    <w:p w14:paraId="3C1DBE7C" w14:textId="77777777" w:rsidR="002E2355" w:rsidRPr="007E50F7" w:rsidRDefault="002E2355" w:rsidP="008030BF">
      <w:pPr>
        <w:pStyle w:val="FootnoteText"/>
      </w:pPr>
      <w:r w:rsidRPr="007E50F7">
        <w:rPr>
          <w:rStyle w:val="FootnoteReference"/>
        </w:rPr>
        <w:footnoteRef/>
      </w:r>
      <w:r w:rsidRPr="007E50F7">
        <w:t xml:space="preserve"> Avista </w:t>
      </w:r>
      <w:r>
        <w:t>response to Staff Data Request 19</w:t>
      </w:r>
      <w:r w:rsidRPr="007E50F7">
        <w:t>.</w:t>
      </w:r>
    </w:p>
  </w:footnote>
  <w:footnote w:id="52">
    <w:p w14:paraId="3C1DBE7D" w14:textId="77777777" w:rsidR="002E2355" w:rsidRPr="007E50F7" w:rsidRDefault="002E2355">
      <w:pPr>
        <w:pStyle w:val="FootnoteText"/>
      </w:pPr>
      <w:r w:rsidRPr="007E50F7">
        <w:rPr>
          <w:rStyle w:val="FootnoteReference"/>
        </w:rPr>
        <w:footnoteRef/>
      </w:r>
      <w:r w:rsidRPr="007E50F7">
        <w:t xml:space="preserve"> Dockets </w:t>
      </w:r>
      <w:proofErr w:type="spellStart"/>
      <w:r w:rsidRPr="007E50F7">
        <w:t>UG</w:t>
      </w:r>
      <w:proofErr w:type="spellEnd"/>
      <w:r w:rsidRPr="007E50F7">
        <w:t xml:space="preserve">-090705, </w:t>
      </w:r>
      <w:proofErr w:type="spellStart"/>
      <w:r w:rsidRPr="007E50F7">
        <w:t>UG</w:t>
      </w:r>
      <w:proofErr w:type="spellEnd"/>
      <w:r w:rsidRPr="007E50F7">
        <w:t xml:space="preserve">-101644, and </w:t>
      </w:r>
      <w:proofErr w:type="spellStart"/>
      <w:r w:rsidRPr="007E50F7">
        <w:t>UG</w:t>
      </w:r>
      <w:proofErr w:type="spellEnd"/>
      <w:r w:rsidRPr="007E50F7">
        <w:t>-111049, see Direct Testimony of Janet K. Phelps.</w:t>
      </w:r>
    </w:p>
  </w:footnote>
  <w:footnote w:id="53">
    <w:p w14:paraId="3C1DBE7E" w14:textId="77777777" w:rsidR="002E2355" w:rsidRDefault="002E2355">
      <w:pPr>
        <w:pStyle w:val="FootnoteText"/>
      </w:pPr>
      <w:r>
        <w:rPr>
          <w:rStyle w:val="FootnoteReference"/>
        </w:rPr>
        <w:footnoteRef/>
      </w:r>
      <w:r w:rsidRPr="007E50F7">
        <w:t xml:space="preserve"> </w:t>
      </w:r>
      <w:r>
        <w:t xml:space="preserve">Feingold </w:t>
      </w:r>
      <w:r w:rsidRPr="007E50F7">
        <w:t>Direct</w:t>
      </w:r>
      <w:r>
        <w:t>, Exhibit No. ___ (RAF-</w:t>
      </w:r>
      <w:proofErr w:type="spellStart"/>
      <w:r>
        <w:t>1T</w:t>
      </w:r>
      <w:proofErr w:type="spellEnd"/>
      <w:r>
        <w:t>) at 30-33.</w:t>
      </w:r>
    </w:p>
  </w:footnote>
  <w:footnote w:id="54">
    <w:p w14:paraId="3C1DBE7F" w14:textId="77777777" w:rsidR="002E2355" w:rsidRDefault="002E2355">
      <w:pPr>
        <w:pStyle w:val="FootnoteText"/>
      </w:pPr>
      <w:r>
        <w:rPr>
          <w:rStyle w:val="FootnoteReference"/>
        </w:rPr>
        <w:footnoteRef/>
      </w:r>
      <w:r>
        <w:t xml:space="preserve"> Avista response to Staff Data Request 167.</w:t>
      </w:r>
    </w:p>
  </w:footnote>
  <w:footnote w:id="55">
    <w:p w14:paraId="3C1DBE80" w14:textId="77777777" w:rsidR="002E2355" w:rsidRDefault="002E2355" w:rsidP="002F1C10">
      <w:pPr>
        <w:pStyle w:val="FootnoteText"/>
      </w:pPr>
      <w:r>
        <w:rPr>
          <w:rStyle w:val="FootnoteReference"/>
        </w:rPr>
        <w:footnoteRef/>
      </w:r>
      <w:r>
        <w:t xml:space="preserve"> Owners are Puget Sound Energy, Avista, and Northwest Pipeline.</w:t>
      </w:r>
    </w:p>
  </w:footnote>
  <w:footnote w:id="56">
    <w:p w14:paraId="3C1DBE81" w14:textId="74BF3118" w:rsidR="002E2355" w:rsidRPr="007E50F7" w:rsidRDefault="002E2355" w:rsidP="008A14BC">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UE-111048 and </w:t>
      </w:r>
      <w:proofErr w:type="spellStart"/>
      <w:r w:rsidRPr="007E50F7">
        <w:t>UG</w:t>
      </w:r>
      <w:proofErr w:type="spellEnd"/>
      <w:r w:rsidRPr="007E50F7">
        <w:t xml:space="preserve">-111049, Order 08 (May 7, 2012), </w:t>
      </w:r>
      <w:r w:rsidR="004877E4">
        <w:t>at</w:t>
      </w:r>
      <w:r w:rsidRPr="007E50F7">
        <w:t xml:space="preserve"> 120.</w:t>
      </w:r>
    </w:p>
  </w:footnote>
  <w:footnote w:id="57">
    <w:p w14:paraId="3C1DBE82" w14:textId="77777777" w:rsidR="002E2355" w:rsidRPr="007E50F7" w:rsidRDefault="002E2355" w:rsidP="008A14BC">
      <w:pPr>
        <w:pStyle w:val="FootnoteText"/>
      </w:pPr>
      <w:r w:rsidRPr="007E50F7">
        <w:rPr>
          <w:rStyle w:val="FootnoteReference"/>
        </w:rPr>
        <w:footnoteRef/>
      </w:r>
      <w:r w:rsidRPr="007E50F7">
        <w:t xml:space="preserve"> </w:t>
      </w:r>
      <w:r>
        <w:t>Miller Direct</w:t>
      </w:r>
      <w:r w:rsidRPr="007E50F7">
        <w:t xml:space="preserve">, Exhibit No. </w:t>
      </w:r>
      <w:r>
        <w:t>___ (</w:t>
      </w:r>
      <w:proofErr w:type="spellStart"/>
      <w:r>
        <w:t>JDM</w:t>
      </w:r>
      <w:proofErr w:type="spellEnd"/>
      <w:r w:rsidRPr="007E50F7">
        <w:t>-</w:t>
      </w:r>
      <w:r>
        <w:t>2) at</w:t>
      </w:r>
      <w:r w:rsidRPr="007E50F7">
        <w:t xml:space="preserve"> </w:t>
      </w:r>
      <w:r>
        <w:t>6:3-10</w:t>
      </w:r>
      <w:r w:rsidRPr="007E50F7">
        <w:t>.</w:t>
      </w:r>
    </w:p>
  </w:footnote>
  <w:footnote w:id="58">
    <w:p w14:paraId="3C1DBE83" w14:textId="77777777" w:rsidR="002E2355" w:rsidRPr="007E50F7" w:rsidRDefault="002E2355" w:rsidP="008A14BC">
      <w:pPr>
        <w:pStyle w:val="FootnoteText"/>
      </w:pPr>
      <w:r w:rsidRPr="007E50F7">
        <w:rPr>
          <w:rStyle w:val="FootnoteReference"/>
        </w:rPr>
        <w:footnoteRef/>
      </w:r>
      <w:r w:rsidRPr="007E50F7">
        <w:t xml:space="preserve"> For Dockets UE-111048 and </w:t>
      </w:r>
      <w:proofErr w:type="spellStart"/>
      <w:r w:rsidRPr="007E50F7">
        <w:t>UG</w:t>
      </w:r>
      <w:proofErr w:type="spellEnd"/>
      <w:r>
        <w:t>-111049, see P</w:t>
      </w:r>
      <w:r w:rsidRPr="007E50F7">
        <w:t>iliaris</w:t>
      </w:r>
      <w:r>
        <w:t xml:space="preserve"> Direct,</w:t>
      </w:r>
      <w:r w:rsidRPr="007E50F7">
        <w:t xml:space="preserve"> Exhibit No.</w:t>
      </w:r>
      <w:r>
        <w:t xml:space="preserve"> ___ (</w:t>
      </w:r>
      <w:r w:rsidRPr="007E50F7">
        <w:t>JAP-</w:t>
      </w:r>
      <w:proofErr w:type="spellStart"/>
      <w:r w:rsidRPr="007E50F7">
        <w:t>1T</w:t>
      </w:r>
      <w:proofErr w:type="spellEnd"/>
      <w:r>
        <w:t>),</w:t>
      </w:r>
      <w:r w:rsidRPr="007E50F7">
        <w:t xml:space="preserve"> and Phelps</w:t>
      </w:r>
      <w:r>
        <w:t xml:space="preserve"> Direct,</w:t>
      </w:r>
      <w:r w:rsidRPr="007E50F7">
        <w:t xml:space="preserve"> Exhibit No. </w:t>
      </w:r>
      <w:r>
        <w:t>___ (</w:t>
      </w:r>
      <w:proofErr w:type="spellStart"/>
      <w:r w:rsidRPr="007E50F7">
        <w:t>JKP-1T</w:t>
      </w:r>
      <w:proofErr w:type="spellEnd"/>
      <w:r>
        <w:t>)</w:t>
      </w:r>
      <w:r w:rsidRPr="007E50F7">
        <w:t>.</w:t>
      </w:r>
    </w:p>
  </w:footnote>
  <w:footnote w:id="59">
    <w:p w14:paraId="3C1DBE84" w14:textId="77777777" w:rsidR="002E2355" w:rsidRDefault="002E2355" w:rsidP="00992681">
      <w:pPr>
        <w:pStyle w:val="FootnoteText"/>
      </w:pPr>
      <w:r>
        <w:rPr>
          <w:rStyle w:val="FootnoteReference"/>
        </w:rPr>
        <w:footnoteRef/>
      </w:r>
      <w:r>
        <w:t xml:space="preserve"> Avista response to Staff Data Request 24, Attachment B.</w:t>
      </w:r>
    </w:p>
  </w:footnote>
  <w:footnote w:id="60">
    <w:p w14:paraId="3C1DBE85" w14:textId="77777777" w:rsidR="002E2355" w:rsidRDefault="002E2355" w:rsidP="00992681">
      <w:pPr>
        <w:pStyle w:val="FootnoteText"/>
      </w:pPr>
      <w:r>
        <w:rPr>
          <w:rStyle w:val="FootnoteReference"/>
        </w:rPr>
        <w:footnoteRef/>
      </w:r>
      <w:r>
        <w:t xml:space="preserve"> McGuire Direct, Exhibit Nos. </w:t>
      </w:r>
      <w:r w:rsidRPr="00A7531F">
        <w:t>___ (CRM</w:t>
      </w:r>
      <w:r>
        <w:t>-</w:t>
      </w:r>
      <w:proofErr w:type="spellStart"/>
      <w:r>
        <w:t>1T</w:t>
      </w:r>
      <w:proofErr w:type="spellEnd"/>
      <w:r>
        <w:t xml:space="preserve">) </w:t>
      </w:r>
      <w:r w:rsidRPr="00A7531F">
        <w:t xml:space="preserve">and ___ </w:t>
      </w:r>
      <w:r>
        <w:t>(CRM-3).</w:t>
      </w:r>
    </w:p>
  </w:footnote>
  <w:footnote w:id="61">
    <w:p w14:paraId="3C1DBE86" w14:textId="77777777" w:rsidR="002E2355" w:rsidRDefault="002E2355">
      <w:pPr>
        <w:pStyle w:val="FootnoteText"/>
      </w:pPr>
      <w:r>
        <w:rPr>
          <w:rStyle w:val="FootnoteReference"/>
        </w:rPr>
        <w:footnoteRef/>
      </w:r>
      <w:r>
        <w:t xml:space="preserve"> Avista response to Staff Data Request 18.</w:t>
      </w:r>
    </w:p>
  </w:footnote>
  <w:footnote w:id="62">
    <w:p w14:paraId="3C1DBE87" w14:textId="3E103687" w:rsidR="002E2355" w:rsidRDefault="002E2355" w:rsidP="002042E2">
      <w:pPr>
        <w:pStyle w:val="FootnoteText"/>
      </w:pPr>
      <w:r w:rsidRPr="007E50F7">
        <w:rPr>
          <w:rStyle w:val="FootnoteReference"/>
        </w:rPr>
        <w:footnoteRef/>
      </w:r>
      <w:r w:rsidRPr="007E50F7">
        <w:t xml:space="preserve"> </w:t>
      </w:r>
      <w:r w:rsidRPr="007E50F7">
        <w:rPr>
          <w:i/>
          <w:iCs/>
        </w:rPr>
        <w:t>Utilities &amp; Transp. Comm’n v. Pacific Power &amp; Light Company, Puget Sound Power &amp; Light Company, and the Washington Water Power Company</w:t>
      </w:r>
      <w:r w:rsidRPr="007E50F7">
        <w:t xml:space="preserve">, Cause U-78-05, Commission Decision and Order (October 29, 1980), </w:t>
      </w:r>
      <w:r w:rsidR="004877E4">
        <w:t>at</w:t>
      </w:r>
      <w:r w:rsidRPr="007E50F7">
        <w:t xml:space="preserve">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14C71"/>
    <w:multiLevelType w:val="hybridMultilevel"/>
    <w:tmpl w:val="B522594E"/>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40595B"/>
    <w:multiLevelType w:val="hybridMultilevel"/>
    <w:tmpl w:val="870A2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8A6C39"/>
    <w:multiLevelType w:val="hybridMultilevel"/>
    <w:tmpl w:val="FBD01BF4"/>
    <w:lvl w:ilvl="0" w:tplc="A558A324">
      <w:start w:val="1"/>
      <w:numFmt w:val="decimal"/>
      <w:pStyle w:val="Heading6"/>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C24D0F"/>
    <w:multiLevelType w:val="hybridMultilevel"/>
    <w:tmpl w:val="D8AE1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51C221C"/>
    <w:multiLevelType w:val="hybridMultilevel"/>
    <w:tmpl w:val="BF161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582E81"/>
    <w:multiLevelType w:val="hybridMultilevel"/>
    <w:tmpl w:val="B3E01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522F31"/>
    <w:multiLevelType w:val="multilevel"/>
    <w:tmpl w:val="D64CA00E"/>
    <w:lvl w:ilvl="0">
      <w:start w:val="1"/>
      <w:numFmt w:val="upperRoman"/>
      <w:pStyle w:val="Heading1"/>
      <w:lvlText w:val="%1."/>
      <w:lvlJc w:val="left"/>
      <w:pPr>
        <w:ind w:left="225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0" w:firstLine="0"/>
      </w:pPr>
      <w:rPr>
        <w:rFonts w:hint="default"/>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num w:numId="1">
    <w:abstractNumId w:val="8"/>
  </w:num>
  <w:num w:numId="2">
    <w:abstractNumId w:val="0"/>
  </w:num>
  <w:num w:numId="3">
    <w:abstractNumId w:val="4"/>
  </w:num>
  <w:num w:numId="4">
    <w:abstractNumId w:val="3"/>
  </w:num>
  <w:num w:numId="5">
    <w:abstractNumId w:val="4"/>
    <w:lvlOverride w:ilvl="0">
      <w:startOverride w:val="1"/>
    </w:lvlOverride>
  </w:num>
  <w:num w:numId="6">
    <w:abstractNumId w:val="2"/>
  </w:num>
  <w:num w:numId="7">
    <w:abstractNumId w:val="4"/>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4"/>
    <w:lvlOverride w:ilvl="0">
      <w:startOverride w:val="1"/>
    </w:lvlOverride>
  </w:num>
  <w:num w:numId="18">
    <w:abstractNumId w:val="4"/>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num>
  <w:num w:numId="26">
    <w:abstractNumId w:val="4"/>
    <w:lvlOverride w:ilvl="0">
      <w:startOverride w:val="1"/>
    </w:lvlOverride>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4"/>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4"/>
  </w:num>
  <w:num w:numId="49">
    <w:abstractNumId w:val="4"/>
    <w:lvlOverride w:ilvl="0">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tter, Don (UTC)">
    <w15:presenceInfo w15:providerId="AD" w15:userId="S-1-5-21-1844237615-1844823847-839522115-1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A45"/>
    <w:rsid w:val="00002ADF"/>
    <w:rsid w:val="0000399E"/>
    <w:rsid w:val="00003A61"/>
    <w:rsid w:val="00004DA8"/>
    <w:rsid w:val="000064E2"/>
    <w:rsid w:val="00011667"/>
    <w:rsid w:val="00012B11"/>
    <w:rsid w:val="00012D3A"/>
    <w:rsid w:val="00013B45"/>
    <w:rsid w:val="000143CA"/>
    <w:rsid w:val="00014E7F"/>
    <w:rsid w:val="00017601"/>
    <w:rsid w:val="000212EF"/>
    <w:rsid w:val="0002192E"/>
    <w:rsid w:val="000220EF"/>
    <w:rsid w:val="00022279"/>
    <w:rsid w:val="000227F2"/>
    <w:rsid w:val="00022A96"/>
    <w:rsid w:val="0002766E"/>
    <w:rsid w:val="00030201"/>
    <w:rsid w:val="0003090C"/>
    <w:rsid w:val="00030C90"/>
    <w:rsid w:val="00031061"/>
    <w:rsid w:val="00031120"/>
    <w:rsid w:val="00031841"/>
    <w:rsid w:val="0003215C"/>
    <w:rsid w:val="00032597"/>
    <w:rsid w:val="00033013"/>
    <w:rsid w:val="00034417"/>
    <w:rsid w:val="0003542D"/>
    <w:rsid w:val="000367EB"/>
    <w:rsid w:val="00037C78"/>
    <w:rsid w:val="00040A50"/>
    <w:rsid w:val="000413E6"/>
    <w:rsid w:val="00041FF6"/>
    <w:rsid w:val="00042064"/>
    <w:rsid w:val="000441B0"/>
    <w:rsid w:val="0004481F"/>
    <w:rsid w:val="00052F2A"/>
    <w:rsid w:val="00054063"/>
    <w:rsid w:val="0005488A"/>
    <w:rsid w:val="00054A5B"/>
    <w:rsid w:val="00054B07"/>
    <w:rsid w:val="000555FF"/>
    <w:rsid w:val="000559D0"/>
    <w:rsid w:val="0006068D"/>
    <w:rsid w:val="00062CD2"/>
    <w:rsid w:val="0006430B"/>
    <w:rsid w:val="0006490F"/>
    <w:rsid w:val="000666C7"/>
    <w:rsid w:val="0007072A"/>
    <w:rsid w:val="000726F7"/>
    <w:rsid w:val="00072CA3"/>
    <w:rsid w:val="000734CE"/>
    <w:rsid w:val="00074BFB"/>
    <w:rsid w:val="00074D59"/>
    <w:rsid w:val="00075886"/>
    <w:rsid w:val="000760DE"/>
    <w:rsid w:val="0007674B"/>
    <w:rsid w:val="00083508"/>
    <w:rsid w:val="000847F9"/>
    <w:rsid w:val="00084EF8"/>
    <w:rsid w:val="00084F0A"/>
    <w:rsid w:val="00086C58"/>
    <w:rsid w:val="00086E43"/>
    <w:rsid w:val="00087340"/>
    <w:rsid w:val="000905D9"/>
    <w:rsid w:val="0009117E"/>
    <w:rsid w:val="00091914"/>
    <w:rsid w:val="000924F2"/>
    <w:rsid w:val="0009260F"/>
    <w:rsid w:val="00093C77"/>
    <w:rsid w:val="00095FD4"/>
    <w:rsid w:val="00096A7F"/>
    <w:rsid w:val="000A04F0"/>
    <w:rsid w:val="000A0CBC"/>
    <w:rsid w:val="000A297D"/>
    <w:rsid w:val="000A2AEE"/>
    <w:rsid w:val="000A4379"/>
    <w:rsid w:val="000A7214"/>
    <w:rsid w:val="000A757C"/>
    <w:rsid w:val="000B092E"/>
    <w:rsid w:val="000B1479"/>
    <w:rsid w:val="000B1817"/>
    <w:rsid w:val="000B29FF"/>
    <w:rsid w:val="000B2C79"/>
    <w:rsid w:val="000B50B5"/>
    <w:rsid w:val="000B5F9E"/>
    <w:rsid w:val="000B7175"/>
    <w:rsid w:val="000C4D4B"/>
    <w:rsid w:val="000D22BB"/>
    <w:rsid w:val="000D26BE"/>
    <w:rsid w:val="000D62BF"/>
    <w:rsid w:val="000D6F4B"/>
    <w:rsid w:val="000D7DC5"/>
    <w:rsid w:val="000D7E3C"/>
    <w:rsid w:val="000E077B"/>
    <w:rsid w:val="000E3D47"/>
    <w:rsid w:val="000E4A0D"/>
    <w:rsid w:val="000E4DA0"/>
    <w:rsid w:val="000F016D"/>
    <w:rsid w:val="000F18F5"/>
    <w:rsid w:val="000F2542"/>
    <w:rsid w:val="000F3834"/>
    <w:rsid w:val="000F403A"/>
    <w:rsid w:val="000F4165"/>
    <w:rsid w:val="000F5F8F"/>
    <w:rsid w:val="000F6219"/>
    <w:rsid w:val="000F63FD"/>
    <w:rsid w:val="000F6F3C"/>
    <w:rsid w:val="000F6FC2"/>
    <w:rsid w:val="000F739B"/>
    <w:rsid w:val="000F743B"/>
    <w:rsid w:val="000F785A"/>
    <w:rsid w:val="00100D8D"/>
    <w:rsid w:val="001011DB"/>
    <w:rsid w:val="00101BD5"/>
    <w:rsid w:val="00101F7E"/>
    <w:rsid w:val="00103139"/>
    <w:rsid w:val="0010320D"/>
    <w:rsid w:val="00104A9A"/>
    <w:rsid w:val="001065AA"/>
    <w:rsid w:val="001069E0"/>
    <w:rsid w:val="00106FDD"/>
    <w:rsid w:val="00107408"/>
    <w:rsid w:val="00111854"/>
    <w:rsid w:val="00111A87"/>
    <w:rsid w:val="00111C42"/>
    <w:rsid w:val="001130E8"/>
    <w:rsid w:val="0011480F"/>
    <w:rsid w:val="0011520F"/>
    <w:rsid w:val="00115B0E"/>
    <w:rsid w:val="00116A80"/>
    <w:rsid w:val="0011731C"/>
    <w:rsid w:val="00117A3E"/>
    <w:rsid w:val="00117AD1"/>
    <w:rsid w:val="0012140E"/>
    <w:rsid w:val="00121F14"/>
    <w:rsid w:val="001220DF"/>
    <w:rsid w:val="00122B97"/>
    <w:rsid w:val="00122CAF"/>
    <w:rsid w:val="00123644"/>
    <w:rsid w:val="001241B5"/>
    <w:rsid w:val="0012568C"/>
    <w:rsid w:val="00126CA3"/>
    <w:rsid w:val="00127DB6"/>
    <w:rsid w:val="00131432"/>
    <w:rsid w:val="00131D93"/>
    <w:rsid w:val="001324EA"/>
    <w:rsid w:val="00134F13"/>
    <w:rsid w:val="001370AB"/>
    <w:rsid w:val="001372D4"/>
    <w:rsid w:val="00137707"/>
    <w:rsid w:val="0014069B"/>
    <w:rsid w:val="00140E11"/>
    <w:rsid w:val="001414A2"/>
    <w:rsid w:val="001452BF"/>
    <w:rsid w:val="00145FFF"/>
    <w:rsid w:val="00146A9C"/>
    <w:rsid w:val="00153D38"/>
    <w:rsid w:val="00153ECA"/>
    <w:rsid w:val="00154646"/>
    <w:rsid w:val="00155E61"/>
    <w:rsid w:val="00160E4E"/>
    <w:rsid w:val="00162508"/>
    <w:rsid w:val="0016261B"/>
    <w:rsid w:val="00164006"/>
    <w:rsid w:val="001665FF"/>
    <w:rsid w:val="00167B0D"/>
    <w:rsid w:val="00170D63"/>
    <w:rsid w:val="00170F31"/>
    <w:rsid w:val="00171AC5"/>
    <w:rsid w:val="00172273"/>
    <w:rsid w:val="00172925"/>
    <w:rsid w:val="00173051"/>
    <w:rsid w:val="0017343E"/>
    <w:rsid w:val="00173897"/>
    <w:rsid w:val="00176609"/>
    <w:rsid w:val="00176C22"/>
    <w:rsid w:val="001804A5"/>
    <w:rsid w:val="00183A08"/>
    <w:rsid w:val="001846FE"/>
    <w:rsid w:val="00184851"/>
    <w:rsid w:val="001850CE"/>
    <w:rsid w:val="00185892"/>
    <w:rsid w:val="00186965"/>
    <w:rsid w:val="001876BA"/>
    <w:rsid w:val="001909BE"/>
    <w:rsid w:val="00190FC5"/>
    <w:rsid w:val="00191780"/>
    <w:rsid w:val="00191A0D"/>
    <w:rsid w:val="001939D1"/>
    <w:rsid w:val="001953D6"/>
    <w:rsid w:val="001972A1"/>
    <w:rsid w:val="001976AD"/>
    <w:rsid w:val="001A0C64"/>
    <w:rsid w:val="001A0FCE"/>
    <w:rsid w:val="001A1063"/>
    <w:rsid w:val="001A1D36"/>
    <w:rsid w:val="001A1F78"/>
    <w:rsid w:val="001A2038"/>
    <w:rsid w:val="001A205D"/>
    <w:rsid w:val="001A2C8F"/>
    <w:rsid w:val="001A2E26"/>
    <w:rsid w:val="001A3A77"/>
    <w:rsid w:val="001A415E"/>
    <w:rsid w:val="001A57FE"/>
    <w:rsid w:val="001B00FA"/>
    <w:rsid w:val="001B0420"/>
    <w:rsid w:val="001B2A45"/>
    <w:rsid w:val="001B3ACE"/>
    <w:rsid w:val="001B41C0"/>
    <w:rsid w:val="001B4C44"/>
    <w:rsid w:val="001B527C"/>
    <w:rsid w:val="001C1A34"/>
    <w:rsid w:val="001C2E22"/>
    <w:rsid w:val="001C3515"/>
    <w:rsid w:val="001C422E"/>
    <w:rsid w:val="001C4B44"/>
    <w:rsid w:val="001C5ABF"/>
    <w:rsid w:val="001C610C"/>
    <w:rsid w:val="001C7470"/>
    <w:rsid w:val="001D1741"/>
    <w:rsid w:val="001D179A"/>
    <w:rsid w:val="001D211D"/>
    <w:rsid w:val="001D3321"/>
    <w:rsid w:val="001D34B0"/>
    <w:rsid w:val="001D36AF"/>
    <w:rsid w:val="001D515A"/>
    <w:rsid w:val="001D6ACC"/>
    <w:rsid w:val="001D7C55"/>
    <w:rsid w:val="001E1863"/>
    <w:rsid w:val="001E2829"/>
    <w:rsid w:val="001E28A3"/>
    <w:rsid w:val="001E410C"/>
    <w:rsid w:val="001E43AE"/>
    <w:rsid w:val="001E68D4"/>
    <w:rsid w:val="001E77D0"/>
    <w:rsid w:val="001F03B0"/>
    <w:rsid w:val="001F065B"/>
    <w:rsid w:val="001F0928"/>
    <w:rsid w:val="001F1BF2"/>
    <w:rsid w:val="001F4EBF"/>
    <w:rsid w:val="001F57BB"/>
    <w:rsid w:val="001F5956"/>
    <w:rsid w:val="001F7125"/>
    <w:rsid w:val="001F74E0"/>
    <w:rsid w:val="001F7EDF"/>
    <w:rsid w:val="002026D1"/>
    <w:rsid w:val="00202B29"/>
    <w:rsid w:val="00203824"/>
    <w:rsid w:val="002042E2"/>
    <w:rsid w:val="00205E2F"/>
    <w:rsid w:val="00206413"/>
    <w:rsid w:val="002079A6"/>
    <w:rsid w:val="002079C0"/>
    <w:rsid w:val="00211185"/>
    <w:rsid w:val="00212851"/>
    <w:rsid w:val="00214462"/>
    <w:rsid w:val="00214F6E"/>
    <w:rsid w:val="002153E8"/>
    <w:rsid w:val="00215C53"/>
    <w:rsid w:val="002171FB"/>
    <w:rsid w:val="00217B30"/>
    <w:rsid w:val="00221157"/>
    <w:rsid w:val="0022334C"/>
    <w:rsid w:val="00225059"/>
    <w:rsid w:val="0022566C"/>
    <w:rsid w:val="002257DF"/>
    <w:rsid w:val="00226528"/>
    <w:rsid w:val="002278F2"/>
    <w:rsid w:val="00230710"/>
    <w:rsid w:val="00230E81"/>
    <w:rsid w:val="00232F27"/>
    <w:rsid w:val="002339A7"/>
    <w:rsid w:val="00233F91"/>
    <w:rsid w:val="0023452D"/>
    <w:rsid w:val="00234FD5"/>
    <w:rsid w:val="00237AF4"/>
    <w:rsid w:val="00241147"/>
    <w:rsid w:val="002429C8"/>
    <w:rsid w:val="00243D59"/>
    <w:rsid w:val="00243DA5"/>
    <w:rsid w:val="002460EF"/>
    <w:rsid w:val="002476CE"/>
    <w:rsid w:val="00250327"/>
    <w:rsid w:val="00250D4D"/>
    <w:rsid w:val="00250F45"/>
    <w:rsid w:val="00251502"/>
    <w:rsid w:val="00251BED"/>
    <w:rsid w:val="00252294"/>
    <w:rsid w:val="002523A7"/>
    <w:rsid w:val="00252C41"/>
    <w:rsid w:val="00254CB5"/>
    <w:rsid w:val="00255414"/>
    <w:rsid w:val="00255655"/>
    <w:rsid w:val="00256C92"/>
    <w:rsid w:val="00260EA1"/>
    <w:rsid w:val="00262218"/>
    <w:rsid w:val="0026256B"/>
    <w:rsid w:val="002627B3"/>
    <w:rsid w:val="002628E4"/>
    <w:rsid w:val="00264C9B"/>
    <w:rsid w:val="002660C6"/>
    <w:rsid w:val="002666B2"/>
    <w:rsid w:val="00266993"/>
    <w:rsid w:val="00267B21"/>
    <w:rsid w:val="002706E8"/>
    <w:rsid w:val="00270BA7"/>
    <w:rsid w:val="00271029"/>
    <w:rsid w:val="00271119"/>
    <w:rsid w:val="002743AA"/>
    <w:rsid w:val="00274488"/>
    <w:rsid w:val="00276957"/>
    <w:rsid w:val="002804E8"/>
    <w:rsid w:val="00280685"/>
    <w:rsid w:val="002815E0"/>
    <w:rsid w:val="00281A2B"/>
    <w:rsid w:val="00281AAC"/>
    <w:rsid w:val="00283BEF"/>
    <w:rsid w:val="002845CB"/>
    <w:rsid w:val="00286C00"/>
    <w:rsid w:val="00286E47"/>
    <w:rsid w:val="0028727E"/>
    <w:rsid w:val="00287EA7"/>
    <w:rsid w:val="00291C3C"/>
    <w:rsid w:val="00291EED"/>
    <w:rsid w:val="00293511"/>
    <w:rsid w:val="00293FD9"/>
    <w:rsid w:val="002951A8"/>
    <w:rsid w:val="00296ED8"/>
    <w:rsid w:val="002A0F45"/>
    <w:rsid w:val="002A134A"/>
    <w:rsid w:val="002A1C15"/>
    <w:rsid w:val="002A3397"/>
    <w:rsid w:val="002A4DF6"/>
    <w:rsid w:val="002A5205"/>
    <w:rsid w:val="002A6B46"/>
    <w:rsid w:val="002A71C9"/>
    <w:rsid w:val="002B2DC4"/>
    <w:rsid w:val="002B7339"/>
    <w:rsid w:val="002B7347"/>
    <w:rsid w:val="002C0D82"/>
    <w:rsid w:val="002C11AF"/>
    <w:rsid w:val="002C23CD"/>
    <w:rsid w:val="002C333C"/>
    <w:rsid w:val="002C3CBB"/>
    <w:rsid w:val="002C70DF"/>
    <w:rsid w:val="002C7491"/>
    <w:rsid w:val="002D049E"/>
    <w:rsid w:val="002D10CD"/>
    <w:rsid w:val="002D1CA6"/>
    <w:rsid w:val="002D30EC"/>
    <w:rsid w:val="002D34A4"/>
    <w:rsid w:val="002D48A0"/>
    <w:rsid w:val="002D5780"/>
    <w:rsid w:val="002D727E"/>
    <w:rsid w:val="002D7940"/>
    <w:rsid w:val="002D7DCE"/>
    <w:rsid w:val="002E058A"/>
    <w:rsid w:val="002E084A"/>
    <w:rsid w:val="002E1A8C"/>
    <w:rsid w:val="002E2355"/>
    <w:rsid w:val="002E23BB"/>
    <w:rsid w:val="002E3C3E"/>
    <w:rsid w:val="002E4CFF"/>
    <w:rsid w:val="002E5B72"/>
    <w:rsid w:val="002E5E02"/>
    <w:rsid w:val="002F1187"/>
    <w:rsid w:val="002F15FA"/>
    <w:rsid w:val="002F181B"/>
    <w:rsid w:val="002F1B1C"/>
    <w:rsid w:val="002F1C10"/>
    <w:rsid w:val="002F39CF"/>
    <w:rsid w:val="002F3C6D"/>
    <w:rsid w:val="002F41FA"/>
    <w:rsid w:val="002F529C"/>
    <w:rsid w:val="002F6CA3"/>
    <w:rsid w:val="002F70F7"/>
    <w:rsid w:val="00302CA2"/>
    <w:rsid w:val="00305012"/>
    <w:rsid w:val="003056FE"/>
    <w:rsid w:val="00305F27"/>
    <w:rsid w:val="00307183"/>
    <w:rsid w:val="003079AE"/>
    <w:rsid w:val="003108B7"/>
    <w:rsid w:val="0031293A"/>
    <w:rsid w:val="00312AA5"/>
    <w:rsid w:val="00315B76"/>
    <w:rsid w:val="003161F3"/>
    <w:rsid w:val="00320C17"/>
    <w:rsid w:val="00320E01"/>
    <w:rsid w:val="00321477"/>
    <w:rsid w:val="003223DC"/>
    <w:rsid w:val="00322669"/>
    <w:rsid w:val="003246DE"/>
    <w:rsid w:val="00324A58"/>
    <w:rsid w:val="00324FD1"/>
    <w:rsid w:val="00325954"/>
    <w:rsid w:val="00326B08"/>
    <w:rsid w:val="00327786"/>
    <w:rsid w:val="00333A0A"/>
    <w:rsid w:val="0033452A"/>
    <w:rsid w:val="0033492B"/>
    <w:rsid w:val="0033683E"/>
    <w:rsid w:val="003370F2"/>
    <w:rsid w:val="0033742A"/>
    <w:rsid w:val="0034049B"/>
    <w:rsid w:val="00340711"/>
    <w:rsid w:val="003413D8"/>
    <w:rsid w:val="00342685"/>
    <w:rsid w:val="003429DD"/>
    <w:rsid w:val="003430BA"/>
    <w:rsid w:val="00344D85"/>
    <w:rsid w:val="00345DAF"/>
    <w:rsid w:val="00346202"/>
    <w:rsid w:val="003466EE"/>
    <w:rsid w:val="0034764E"/>
    <w:rsid w:val="00350637"/>
    <w:rsid w:val="00350AA3"/>
    <w:rsid w:val="00351D79"/>
    <w:rsid w:val="003523AA"/>
    <w:rsid w:val="00353252"/>
    <w:rsid w:val="0035563D"/>
    <w:rsid w:val="003602A5"/>
    <w:rsid w:val="0036396B"/>
    <w:rsid w:val="00363E50"/>
    <w:rsid w:val="003657C9"/>
    <w:rsid w:val="00366E2C"/>
    <w:rsid w:val="00367458"/>
    <w:rsid w:val="00367AE6"/>
    <w:rsid w:val="00370D29"/>
    <w:rsid w:val="003710D8"/>
    <w:rsid w:val="00372CA0"/>
    <w:rsid w:val="0037436F"/>
    <w:rsid w:val="003748B7"/>
    <w:rsid w:val="003751F5"/>
    <w:rsid w:val="0037537D"/>
    <w:rsid w:val="00375A8E"/>
    <w:rsid w:val="00375F20"/>
    <w:rsid w:val="0037608C"/>
    <w:rsid w:val="00376BA8"/>
    <w:rsid w:val="00382149"/>
    <w:rsid w:val="003831A5"/>
    <w:rsid w:val="00383CE5"/>
    <w:rsid w:val="00384FFB"/>
    <w:rsid w:val="0038533D"/>
    <w:rsid w:val="003854BF"/>
    <w:rsid w:val="00385622"/>
    <w:rsid w:val="00385D34"/>
    <w:rsid w:val="003863F6"/>
    <w:rsid w:val="00386798"/>
    <w:rsid w:val="00390584"/>
    <w:rsid w:val="00391D78"/>
    <w:rsid w:val="00393872"/>
    <w:rsid w:val="003939F9"/>
    <w:rsid w:val="00393B56"/>
    <w:rsid w:val="00394237"/>
    <w:rsid w:val="00395790"/>
    <w:rsid w:val="00396CC9"/>
    <w:rsid w:val="0039778D"/>
    <w:rsid w:val="003A038E"/>
    <w:rsid w:val="003A238D"/>
    <w:rsid w:val="003A2545"/>
    <w:rsid w:val="003A2FA5"/>
    <w:rsid w:val="003A3F2E"/>
    <w:rsid w:val="003A4A21"/>
    <w:rsid w:val="003A59FD"/>
    <w:rsid w:val="003A7480"/>
    <w:rsid w:val="003A7AD8"/>
    <w:rsid w:val="003A7B3A"/>
    <w:rsid w:val="003B179C"/>
    <w:rsid w:val="003B3D8E"/>
    <w:rsid w:val="003B47C5"/>
    <w:rsid w:val="003B50F1"/>
    <w:rsid w:val="003B531D"/>
    <w:rsid w:val="003B556F"/>
    <w:rsid w:val="003B5571"/>
    <w:rsid w:val="003B59ED"/>
    <w:rsid w:val="003C0C07"/>
    <w:rsid w:val="003C2AB1"/>
    <w:rsid w:val="003C3F25"/>
    <w:rsid w:val="003C43BE"/>
    <w:rsid w:val="003C449C"/>
    <w:rsid w:val="003C515B"/>
    <w:rsid w:val="003C6072"/>
    <w:rsid w:val="003C7446"/>
    <w:rsid w:val="003C75B1"/>
    <w:rsid w:val="003D0076"/>
    <w:rsid w:val="003D0662"/>
    <w:rsid w:val="003D0FC9"/>
    <w:rsid w:val="003D21B4"/>
    <w:rsid w:val="003D3FF2"/>
    <w:rsid w:val="003D5017"/>
    <w:rsid w:val="003D57F0"/>
    <w:rsid w:val="003D7C95"/>
    <w:rsid w:val="003E0848"/>
    <w:rsid w:val="003E0CC4"/>
    <w:rsid w:val="003E2616"/>
    <w:rsid w:val="003E4721"/>
    <w:rsid w:val="003E4BC3"/>
    <w:rsid w:val="003E4D91"/>
    <w:rsid w:val="003E5276"/>
    <w:rsid w:val="003E6E64"/>
    <w:rsid w:val="003F0541"/>
    <w:rsid w:val="003F05B3"/>
    <w:rsid w:val="003F1049"/>
    <w:rsid w:val="003F1875"/>
    <w:rsid w:val="003F20DF"/>
    <w:rsid w:val="003F2C59"/>
    <w:rsid w:val="003F347A"/>
    <w:rsid w:val="003F37AF"/>
    <w:rsid w:val="003F3D97"/>
    <w:rsid w:val="003F401B"/>
    <w:rsid w:val="003F48E9"/>
    <w:rsid w:val="003F567F"/>
    <w:rsid w:val="003F5E8A"/>
    <w:rsid w:val="004003A6"/>
    <w:rsid w:val="004005C0"/>
    <w:rsid w:val="00400EDE"/>
    <w:rsid w:val="00400F72"/>
    <w:rsid w:val="004019F0"/>
    <w:rsid w:val="004024E3"/>
    <w:rsid w:val="0040325B"/>
    <w:rsid w:val="00404C08"/>
    <w:rsid w:val="0040543E"/>
    <w:rsid w:val="00407637"/>
    <w:rsid w:val="00407E70"/>
    <w:rsid w:val="00412094"/>
    <w:rsid w:val="004120E1"/>
    <w:rsid w:val="0041559A"/>
    <w:rsid w:val="00415837"/>
    <w:rsid w:val="004162C7"/>
    <w:rsid w:val="004163AD"/>
    <w:rsid w:val="00420381"/>
    <w:rsid w:val="00420538"/>
    <w:rsid w:val="00421E84"/>
    <w:rsid w:val="00422B1B"/>
    <w:rsid w:val="00423389"/>
    <w:rsid w:val="00423C09"/>
    <w:rsid w:val="00424933"/>
    <w:rsid w:val="0042635F"/>
    <w:rsid w:val="004264F8"/>
    <w:rsid w:val="004320BD"/>
    <w:rsid w:val="004333F3"/>
    <w:rsid w:val="00433A19"/>
    <w:rsid w:val="00434467"/>
    <w:rsid w:val="00436D4F"/>
    <w:rsid w:val="00436E57"/>
    <w:rsid w:val="00440606"/>
    <w:rsid w:val="00441292"/>
    <w:rsid w:val="0044178F"/>
    <w:rsid w:val="00442D35"/>
    <w:rsid w:val="0044342E"/>
    <w:rsid w:val="00443AF2"/>
    <w:rsid w:val="00444CDF"/>
    <w:rsid w:val="00445CD1"/>
    <w:rsid w:val="00447D5B"/>
    <w:rsid w:val="00450DEB"/>
    <w:rsid w:val="004520DF"/>
    <w:rsid w:val="00452778"/>
    <w:rsid w:val="00453AF0"/>
    <w:rsid w:val="00455E29"/>
    <w:rsid w:val="0045672A"/>
    <w:rsid w:val="004571CA"/>
    <w:rsid w:val="00461C56"/>
    <w:rsid w:val="00463017"/>
    <w:rsid w:val="00464A47"/>
    <w:rsid w:val="00464B33"/>
    <w:rsid w:val="00464CF9"/>
    <w:rsid w:val="0046556C"/>
    <w:rsid w:val="004657B1"/>
    <w:rsid w:val="00471089"/>
    <w:rsid w:val="004716EA"/>
    <w:rsid w:val="00472358"/>
    <w:rsid w:val="0047302B"/>
    <w:rsid w:val="00474547"/>
    <w:rsid w:val="00474D4A"/>
    <w:rsid w:val="0047526B"/>
    <w:rsid w:val="004755B0"/>
    <w:rsid w:val="004759D8"/>
    <w:rsid w:val="00477F8A"/>
    <w:rsid w:val="004806FD"/>
    <w:rsid w:val="00481631"/>
    <w:rsid w:val="0048192E"/>
    <w:rsid w:val="004828CF"/>
    <w:rsid w:val="00484857"/>
    <w:rsid w:val="004877E4"/>
    <w:rsid w:val="0048783C"/>
    <w:rsid w:val="00490BBE"/>
    <w:rsid w:val="0049194C"/>
    <w:rsid w:val="0049367F"/>
    <w:rsid w:val="004969E0"/>
    <w:rsid w:val="00496B50"/>
    <w:rsid w:val="00496CE6"/>
    <w:rsid w:val="004A008A"/>
    <w:rsid w:val="004A00FC"/>
    <w:rsid w:val="004A2192"/>
    <w:rsid w:val="004A2948"/>
    <w:rsid w:val="004A34CD"/>
    <w:rsid w:val="004A6E3D"/>
    <w:rsid w:val="004B08F5"/>
    <w:rsid w:val="004B1E46"/>
    <w:rsid w:val="004B1F6A"/>
    <w:rsid w:val="004B3B69"/>
    <w:rsid w:val="004B54EA"/>
    <w:rsid w:val="004B5E62"/>
    <w:rsid w:val="004B7B45"/>
    <w:rsid w:val="004B7DB7"/>
    <w:rsid w:val="004C0984"/>
    <w:rsid w:val="004C193E"/>
    <w:rsid w:val="004C1B55"/>
    <w:rsid w:val="004C2288"/>
    <w:rsid w:val="004C2599"/>
    <w:rsid w:val="004C2C83"/>
    <w:rsid w:val="004C32CB"/>
    <w:rsid w:val="004C34F7"/>
    <w:rsid w:val="004C3BB0"/>
    <w:rsid w:val="004C4B9C"/>
    <w:rsid w:val="004C5181"/>
    <w:rsid w:val="004C5A87"/>
    <w:rsid w:val="004C774D"/>
    <w:rsid w:val="004C7FBF"/>
    <w:rsid w:val="004D0ADB"/>
    <w:rsid w:val="004D1035"/>
    <w:rsid w:val="004D3C42"/>
    <w:rsid w:val="004D3E3B"/>
    <w:rsid w:val="004D4979"/>
    <w:rsid w:val="004D4AD3"/>
    <w:rsid w:val="004D7136"/>
    <w:rsid w:val="004D71A9"/>
    <w:rsid w:val="004D74C5"/>
    <w:rsid w:val="004D7D95"/>
    <w:rsid w:val="004E01D4"/>
    <w:rsid w:val="004E01EF"/>
    <w:rsid w:val="004E0D94"/>
    <w:rsid w:val="004E0FD3"/>
    <w:rsid w:val="004E497B"/>
    <w:rsid w:val="004E5A8D"/>
    <w:rsid w:val="004E747D"/>
    <w:rsid w:val="004F01D5"/>
    <w:rsid w:val="004F4FA9"/>
    <w:rsid w:val="004F5218"/>
    <w:rsid w:val="004F69AC"/>
    <w:rsid w:val="004F6A2A"/>
    <w:rsid w:val="004F6C4F"/>
    <w:rsid w:val="00500FBC"/>
    <w:rsid w:val="00503493"/>
    <w:rsid w:val="00503B77"/>
    <w:rsid w:val="00504408"/>
    <w:rsid w:val="00505078"/>
    <w:rsid w:val="00507F1D"/>
    <w:rsid w:val="00507F6C"/>
    <w:rsid w:val="00510B43"/>
    <w:rsid w:val="00510DF7"/>
    <w:rsid w:val="00511931"/>
    <w:rsid w:val="005119E4"/>
    <w:rsid w:val="00511B5E"/>
    <w:rsid w:val="00512E81"/>
    <w:rsid w:val="00513B01"/>
    <w:rsid w:val="005142EB"/>
    <w:rsid w:val="00515743"/>
    <w:rsid w:val="00515A3E"/>
    <w:rsid w:val="00521A5B"/>
    <w:rsid w:val="00523214"/>
    <w:rsid w:val="00523E58"/>
    <w:rsid w:val="005243A8"/>
    <w:rsid w:val="00525386"/>
    <w:rsid w:val="00526BE9"/>
    <w:rsid w:val="00526CE3"/>
    <w:rsid w:val="00527C01"/>
    <w:rsid w:val="00532110"/>
    <w:rsid w:val="00532D68"/>
    <w:rsid w:val="00533280"/>
    <w:rsid w:val="00533D71"/>
    <w:rsid w:val="00534EEC"/>
    <w:rsid w:val="0053502B"/>
    <w:rsid w:val="005351FE"/>
    <w:rsid w:val="00537682"/>
    <w:rsid w:val="00540F01"/>
    <w:rsid w:val="005415AD"/>
    <w:rsid w:val="00541725"/>
    <w:rsid w:val="00543142"/>
    <w:rsid w:val="005435C7"/>
    <w:rsid w:val="00543CE7"/>
    <w:rsid w:val="00543FEB"/>
    <w:rsid w:val="00545CF5"/>
    <w:rsid w:val="00546277"/>
    <w:rsid w:val="00546A07"/>
    <w:rsid w:val="00547B81"/>
    <w:rsid w:val="00547F11"/>
    <w:rsid w:val="00551CF5"/>
    <w:rsid w:val="00553CE2"/>
    <w:rsid w:val="00554421"/>
    <w:rsid w:val="0055565F"/>
    <w:rsid w:val="00555DC2"/>
    <w:rsid w:val="005602B1"/>
    <w:rsid w:val="00560D7A"/>
    <w:rsid w:val="00560EDE"/>
    <w:rsid w:val="00561F1A"/>
    <w:rsid w:val="005629EE"/>
    <w:rsid w:val="005649BE"/>
    <w:rsid w:val="00564AA9"/>
    <w:rsid w:val="00564DB3"/>
    <w:rsid w:val="0056622F"/>
    <w:rsid w:val="00570356"/>
    <w:rsid w:val="0057069C"/>
    <w:rsid w:val="00571171"/>
    <w:rsid w:val="005746D3"/>
    <w:rsid w:val="005754F1"/>
    <w:rsid w:val="00577DA8"/>
    <w:rsid w:val="00580399"/>
    <w:rsid w:val="0058164A"/>
    <w:rsid w:val="005847B1"/>
    <w:rsid w:val="00585D91"/>
    <w:rsid w:val="00586095"/>
    <w:rsid w:val="00590B19"/>
    <w:rsid w:val="005929C5"/>
    <w:rsid w:val="0059344A"/>
    <w:rsid w:val="00593907"/>
    <w:rsid w:val="00593A44"/>
    <w:rsid w:val="00594643"/>
    <w:rsid w:val="00594701"/>
    <w:rsid w:val="005952AA"/>
    <w:rsid w:val="00595338"/>
    <w:rsid w:val="005959AF"/>
    <w:rsid w:val="005A05E0"/>
    <w:rsid w:val="005A0687"/>
    <w:rsid w:val="005A2B0F"/>
    <w:rsid w:val="005A3BC9"/>
    <w:rsid w:val="005A3E06"/>
    <w:rsid w:val="005A42AB"/>
    <w:rsid w:val="005A45A4"/>
    <w:rsid w:val="005A4FEC"/>
    <w:rsid w:val="005A56AE"/>
    <w:rsid w:val="005A6989"/>
    <w:rsid w:val="005A744D"/>
    <w:rsid w:val="005A7CEC"/>
    <w:rsid w:val="005B4FF2"/>
    <w:rsid w:val="005B51A7"/>
    <w:rsid w:val="005B61DF"/>
    <w:rsid w:val="005B6243"/>
    <w:rsid w:val="005B6338"/>
    <w:rsid w:val="005B6486"/>
    <w:rsid w:val="005C0100"/>
    <w:rsid w:val="005C0C34"/>
    <w:rsid w:val="005C18CE"/>
    <w:rsid w:val="005C2D8C"/>
    <w:rsid w:val="005C3DE4"/>
    <w:rsid w:val="005C4B1C"/>
    <w:rsid w:val="005C5B40"/>
    <w:rsid w:val="005C5B66"/>
    <w:rsid w:val="005D10CA"/>
    <w:rsid w:val="005D1597"/>
    <w:rsid w:val="005D1E84"/>
    <w:rsid w:val="005D2A15"/>
    <w:rsid w:val="005D35AD"/>
    <w:rsid w:val="005D3984"/>
    <w:rsid w:val="005E16C0"/>
    <w:rsid w:val="005E2D5E"/>
    <w:rsid w:val="005E34E6"/>
    <w:rsid w:val="005E35E3"/>
    <w:rsid w:val="005E55E4"/>
    <w:rsid w:val="005E5889"/>
    <w:rsid w:val="005E6973"/>
    <w:rsid w:val="005F0885"/>
    <w:rsid w:val="005F1426"/>
    <w:rsid w:val="005F4B3F"/>
    <w:rsid w:val="005F6991"/>
    <w:rsid w:val="005F74AD"/>
    <w:rsid w:val="005F7A21"/>
    <w:rsid w:val="005F7B96"/>
    <w:rsid w:val="0060033E"/>
    <w:rsid w:val="006006E4"/>
    <w:rsid w:val="00600E8B"/>
    <w:rsid w:val="0060158E"/>
    <w:rsid w:val="00602C38"/>
    <w:rsid w:val="00604724"/>
    <w:rsid w:val="00605581"/>
    <w:rsid w:val="00606323"/>
    <w:rsid w:val="0060678B"/>
    <w:rsid w:val="00611294"/>
    <w:rsid w:val="0061190C"/>
    <w:rsid w:val="006120C4"/>
    <w:rsid w:val="00613CD5"/>
    <w:rsid w:val="00615849"/>
    <w:rsid w:val="00616056"/>
    <w:rsid w:val="00616A8A"/>
    <w:rsid w:val="006221DF"/>
    <w:rsid w:val="00623350"/>
    <w:rsid w:val="006242AF"/>
    <w:rsid w:val="006243C3"/>
    <w:rsid w:val="006252F3"/>
    <w:rsid w:val="006256A4"/>
    <w:rsid w:val="00626D1F"/>
    <w:rsid w:val="00630CA8"/>
    <w:rsid w:val="006318D5"/>
    <w:rsid w:val="006335D9"/>
    <w:rsid w:val="00633B35"/>
    <w:rsid w:val="00634F53"/>
    <w:rsid w:val="00635C74"/>
    <w:rsid w:val="00637123"/>
    <w:rsid w:val="006376F2"/>
    <w:rsid w:val="00640453"/>
    <w:rsid w:val="00641F26"/>
    <w:rsid w:val="00642E6C"/>
    <w:rsid w:val="0064303F"/>
    <w:rsid w:val="00643186"/>
    <w:rsid w:val="006437EC"/>
    <w:rsid w:val="00643838"/>
    <w:rsid w:val="00643D44"/>
    <w:rsid w:val="00645F63"/>
    <w:rsid w:val="0064750B"/>
    <w:rsid w:val="0064775C"/>
    <w:rsid w:val="00650BA4"/>
    <w:rsid w:val="006511E4"/>
    <w:rsid w:val="0065148E"/>
    <w:rsid w:val="00652315"/>
    <w:rsid w:val="00652508"/>
    <w:rsid w:val="006526D6"/>
    <w:rsid w:val="006532B3"/>
    <w:rsid w:val="00653DB6"/>
    <w:rsid w:val="006541E6"/>
    <w:rsid w:val="00654531"/>
    <w:rsid w:val="00654AED"/>
    <w:rsid w:val="00654EF6"/>
    <w:rsid w:val="00654F43"/>
    <w:rsid w:val="006550AC"/>
    <w:rsid w:val="00655C9F"/>
    <w:rsid w:val="00656526"/>
    <w:rsid w:val="00657800"/>
    <w:rsid w:val="00657D4F"/>
    <w:rsid w:val="00660396"/>
    <w:rsid w:val="00660614"/>
    <w:rsid w:val="00661227"/>
    <w:rsid w:val="00662816"/>
    <w:rsid w:val="00663621"/>
    <w:rsid w:val="006641F4"/>
    <w:rsid w:val="00664793"/>
    <w:rsid w:val="00664BA3"/>
    <w:rsid w:val="00665AA3"/>
    <w:rsid w:val="00671590"/>
    <w:rsid w:val="00672119"/>
    <w:rsid w:val="00672AB0"/>
    <w:rsid w:val="0067327F"/>
    <w:rsid w:val="00674D02"/>
    <w:rsid w:val="00674D0A"/>
    <w:rsid w:val="006756D4"/>
    <w:rsid w:val="0067682A"/>
    <w:rsid w:val="0068234F"/>
    <w:rsid w:val="0068500F"/>
    <w:rsid w:val="00685757"/>
    <w:rsid w:val="00685B91"/>
    <w:rsid w:val="006908BD"/>
    <w:rsid w:val="00690AB5"/>
    <w:rsid w:val="00690C3E"/>
    <w:rsid w:val="006945A9"/>
    <w:rsid w:val="0069535A"/>
    <w:rsid w:val="00695CE8"/>
    <w:rsid w:val="00696CEF"/>
    <w:rsid w:val="006A2EA9"/>
    <w:rsid w:val="006A376C"/>
    <w:rsid w:val="006A54E7"/>
    <w:rsid w:val="006B063B"/>
    <w:rsid w:val="006B08FF"/>
    <w:rsid w:val="006B172B"/>
    <w:rsid w:val="006B47EF"/>
    <w:rsid w:val="006B4E3E"/>
    <w:rsid w:val="006B57E2"/>
    <w:rsid w:val="006B5EA4"/>
    <w:rsid w:val="006B60A6"/>
    <w:rsid w:val="006B679E"/>
    <w:rsid w:val="006C0746"/>
    <w:rsid w:val="006C2FED"/>
    <w:rsid w:val="006C3655"/>
    <w:rsid w:val="006C3D3E"/>
    <w:rsid w:val="006C3F53"/>
    <w:rsid w:val="006C4092"/>
    <w:rsid w:val="006C4B39"/>
    <w:rsid w:val="006C5D38"/>
    <w:rsid w:val="006C5D64"/>
    <w:rsid w:val="006C5E9C"/>
    <w:rsid w:val="006C6219"/>
    <w:rsid w:val="006C675C"/>
    <w:rsid w:val="006C6A33"/>
    <w:rsid w:val="006D04CC"/>
    <w:rsid w:val="006D17F4"/>
    <w:rsid w:val="006D28EB"/>
    <w:rsid w:val="006D47AC"/>
    <w:rsid w:val="006D56EA"/>
    <w:rsid w:val="006D7010"/>
    <w:rsid w:val="006D76CE"/>
    <w:rsid w:val="006E0970"/>
    <w:rsid w:val="006E0BC6"/>
    <w:rsid w:val="006E2E1A"/>
    <w:rsid w:val="006E3117"/>
    <w:rsid w:val="006E3714"/>
    <w:rsid w:val="006E5A56"/>
    <w:rsid w:val="006E6B14"/>
    <w:rsid w:val="006E6CA7"/>
    <w:rsid w:val="006F0A7A"/>
    <w:rsid w:val="006F11EA"/>
    <w:rsid w:val="006F128B"/>
    <w:rsid w:val="006F141D"/>
    <w:rsid w:val="006F1931"/>
    <w:rsid w:val="006F2AB4"/>
    <w:rsid w:val="006F2FA1"/>
    <w:rsid w:val="006F35F6"/>
    <w:rsid w:val="006F3D18"/>
    <w:rsid w:val="006F44EE"/>
    <w:rsid w:val="006F487B"/>
    <w:rsid w:val="006F5152"/>
    <w:rsid w:val="006F59B2"/>
    <w:rsid w:val="006F79CF"/>
    <w:rsid w:val="00700066"/>
    <w:rsid w:val="007002E1"/>
    <w:rsid w:val="00701323"/>
    <w:rsid w:val="00701D39"/>
    <w:rsid w:val="00702405"/>
    <w:rsid w:val="00702F81"/>
    <w:rsid w:val="00704120"/>
    <w:rsid w:val="007047E1"/>
    <w:rsid w:val="00711DC4"/>
    <w:rsid w:val="007123A3"/>
    <w:rsid w:val="00713629"/>
    <w:rsid w:val="00713BF3"/>
    <w:rsid w:val="00714778"/>
    <w:rsid w:val="00715CC9"/>
    <w:rsid w:val="00721E97"/>
    <w:rsid w:val="00723E2B"/>
    <w:rsid w:val="00726DF4"/>
    <w:rsid w:val="00726F5D"/>
    <w:rsid w:val="007279A6"/>
    <w:rsid w:val="00727A16"/>
    <w:rsid w:val="007308EE"/>
    <w:rsid w:val="00730B6F"/>
    <w:rsid w:val="00730BE0"/>
    <w:rsid w:val="00731950"/>
    <w:rsid w:val="00733399"/>
    <w:rsid w:val="00733F33"/>
    <w:rsid w:val="00734062"/>
    <w:rsid w:val="00735360"/>
    <w:rsid w:val="0073643F"/>
    <w:rsid w:val="00736967"/>
    <w:rsid w:val="007416B4"/>
    <w:rsid w:val="00741EC7"/>
    <w:rsid w:val="0074277E"/>
    <w:rsid w:val="007429E0"/>
    <w:rsid w:val="00743107"/>
    <w:rsid w:val="0074370C"/>
    <w:rsid w:val="00743D06"/>
    <w:rsid w:val="00745177"/>
    <w:rsid w:val="0074534D"/>
    <w:rsid w:val="00745CD2"/>
    <w:rsid w:val="00750074"/>
    <w:rsid w:val="00750482"/>
    <w:rsid w:val="0075056B"/>
    <w:rsid w:val="0075150E"/>
    <w:rsid w:val="00751AB5"/>
    <w:rsid w:val="0075218F"/>
    <w:rsid w:val="00753D6E"/>
    <w:rsid w:val="007544B8"/>
    <w:rsid w:val="00754D50"/>
    <w:rsid w:val="00755032"/>
    <w:rsid w:val="00756B98"/>
    <w:rsid w:val="00756C1F"/>
    <w:rsid w:val="00756D23"/>
    <w:rsid w:val="00757AE1"/>
    <w:rsid w:val="00757F0D"/>
    <w:rsid w:val="00760794"/>
    <w:rsid w:val="0076168A"/>
    <w:rsid w:val="0076547E"/>
    <w:rsid w:val="007656A7"/>
    <w:rsid w:val="007672DC"/>
    <w:rsid w:val="00767D05"/>
    <w:rsid w:val="0077013A"/>
    <w:rsid w:val="007704CD"/>
    <w:rsid w:val="0077177A"/>
    <w:rsid w:val="007731AF"/>
    <w:rsid w:val="00773D7B"/>
    <w:rsid w:val="00774A6B"/>
    <w:rsid w:val="0077673E"/>
    <w:rsid w:val="00776A89"/>
    <w:rsid w:val="00777E90"/>
    <w:rsid w:val="007827B0"/>
    <w:rsid w:val="00782982"/>
    <w:rsid w:val="00783CB8"/>
    <w:rsid w:val="007844A9"/>
    <w:rsid w:val="00784E87"/>
    <w:rsid w:val="00784F00"/>
    <w:rsid w:val="00790393"/>
    <w:rsid w:val="00790C2C"/>
    <w:rsid w:val="0079175A"/>
    <w:rsid w:val="00794B0F"/>
    <w:rsid w:val="007A1000"/>
    <w:rsid w:val="007A15DC"/>
    <w:rsid w:val="007A1C45"/>
    <w:rsid w:val="007A2557"/>
    <w:rsid w:val="007A256E"/>
    <w:rsid w:val="007A2CDD"/>
    <w:rsid w:val="007A3063"/>
    <w:rsid w:val="007A4A07"/>
    <w:rsid w:val="007A4C50"/>
    <w:rsid w:val="007A7D8A"/>
    <w:rsid w:val="007B01C1"/>
    <w:rsid w:val="007B0E8C"/>
    <w:rsid w:val="007B1F1B"/>
    <w:rsid w:val="007B273E"/>
    <w:rsid w:val="007B29D0"/>
    <w:rsid w:val="007B372D"/>
    <w:rsid w:val="007B4B29"/>
    <w:rsid w:val="007B6E2A"/>
    <w:rsid w:val="007B6EB6"/>
    <w:rsid w:val="007B7920"/>
    <w:rsid w:val="007B7A24"/>
    <w:rsid w:val="007C18A2"/>
    <w:rsid w:val="007C3314"/>
    <w:rsid w:val="007C3B5E"/>
    <w:rsid w:val="007C3E99"/>
    <w:rsid w:val="007C46F6"/>
    <w:rsid w:val="007C46FA"/>
    <w:rsid w:val="007C4B79"/>
    <w:rsid w:val="007C5773"/>
    <w:rsid w:val="007C5791"/>
    <w:rsid w:val="007C5ED1"/>
    <w:rsid w:val="007C65B3"/>
    <w:rsid w:val="007C7664"/>
    <w:rsid w:val="007D072E"/>
    <w:rsid w:val="007D109E"/>
    <w:rsid w:val="007D200F"/>
    <w:rsid w:val="007D2FE0"/>
    <w:rsid w:val="007D5738"/>
    <w:rsid w:val="007D6CE0"/>
    <w:rsid w:val="007D7A00"/>
    <w:rsid w:val="007E02D7"/>
    <w:rsid w:val="007E0329"/>
    <w:rsid w:val="007E183F"/>
    <w:rsid w:val="007E237C"/>
    <w:rsid w:val="007E2ECA"/>
    <w:rsid w:val="007E3931"/>
    <w:rsid w:val="007E397E"/>
    <w:rsid w:val="007E48C3"/>
    <w:rsid w:val="007E4E80"/>
    <w:rsid w:val="007E4EF6"/>
    <w:rsid w:val="007E50F7"/>
    <w:rsid w:val="007E539D"/>
    <w:rsid w:val="007E74A5"/>
    <w:rsid w:val="007E7EAB"/>
    <w:rsid w:val="007F053E"/>
    <w:rsid w:val="007F08D7"/>
    <w:rsid w:val="007F0F1B"/>
    <w:rsid w:val="007F107D"/>
    <w:rsid w:val="007F1B05"/>
    <w:rsid w:val="007F2E05"/>
    <w:rsid w:val="007F6749"/>
    <w:rsid w:val="007F6ACB"/>
    <w:rsid w:val="007F7215"/>
    <w:rsid w:val="00800000"/>
    <w:rsid w:val="00801990"/>
    <w:rsid w:val="00801DE5"/>
    <w:rsid w:val="008030BF"/>
    <w:rsid w:val="00804024"/>
    <w:rsid w:val="00804AEF"/>
    <w:rsid w:val="008050C7"/>
    <w:rsid w:val="00805A3D"/>
    <w:rsid w:val="00810F96"/>
    <w:rsid w:val="0081428B"/>
    <w:rsid w:val="008149D3"/>
    <w:rsid w:val="00816777"/>
    <w:rsid w:val="00817A2B"/>
    <w:rsid w:val="00820A91"/>
    <w:rsid w:val="008221F1"/>
    <w:rsid w:val="00822D87"/>
    <w:rsid w:val="00823229"/>
    <w:rsid w:val="00823BDD"/>
    <w:rsid w:val="008243C2"/>
    <w:rsid w:val="00824BEF"/>
    <w:rsid w:val="0082506D"/>
    <w:rsid w:val="00825893"/>
    <w:rsid w:val="008275FE"/>
    <w:rsid w:val="00827A83"/>
    <w:rsid w:val="00827B83"/>
    <w:rsid w:val="008304C3"/>
    <w:rsid w:val="00830986"/>
    <w:rsid w:val="00832957"/>
    <w:rsid w:val="00832B03"/>
    <w:rsid w:val="008337AC"/>
    <w:rsid w:val="008344C0"/>
    <w:rsid w:val="008354DE"/>
    <w:rsid w:val="0083557C"/>
    <w:rsid w:val="00835C39"/>
    <w:rsid w:val="00835DC6"/>
    <w:rsid w:val="008374B5"/>
    <w:rsid w:val="0083771B"/>
    <w:rsid w:val="008379C7"/>
    <w:rsid w:val="0084013F"/>
    <w:rsid w:val="00840165"/>
    <w:rsid w:val="00840550"/>
    <w:rsid w:val="0084102E"/>
    <w:rsid w:val="00841AB7"/>
    <w:rsid w:val="00841B77"/>
    <w:rsid w:val="00841DE8"/>
    <w:rsid w:val="00842C56"/>
    <w:rsid w:val="00844978"/>
    <w:rsid w:val="00846AE2"/>
    <w:rsid w:val="00852310"/>
    <w:rsid w:val="00853332"/>
    <w:rsid w:val="00854476"/>
    <w:rsid w:val="00854D81"/>
    <w:rsid w:val="008560C2"/>
    <w:rsid w:val="00856172"/>
    <w:rsid w:val="00857AEC"/>
    <w:rsid w:val="008602A3"/>
    <w:rsid w:val="0086135A"/>
    <w:rsid w:val="008630C0"/>
    <w:rsid w:val="0086384C"/>
    <w:rsid w:val="00863C8F"/>
    <w:rsid w:val="00863F38"/>
    <w:rsid w:val="008646B7"/>
    <w:rsid w:val="00864BF4"/>
    <w:rsid w:val="008651FC"/>
    <w:rsid w:val="008665AD"/>
    <w:rsid w:val="0086662B"/>
    <w:rsid w:val="008677A7"/>
    <w:rsid w:val="00867BD4"/>
    <w:rsid w:val="00871CF5"/>
    <w:rsid w:val="00871D6B"/>
    <w:rsid w:val="008721C2"/>
    <w:rsid w:val="00872C10"/>
    <w:rsid w:val="00872C87"/>
    <w:rsid w:val="00874A46"/>
    <w:rsid w:val="008760B2"/>
    <w:rsid w:val="0088018B"/>
    <w:rsid w:val="00880EEE"/>
    <w:rsid w:val="00881FE2"/>
    <w:rsid w:val="00882E13"/>
    <w:rsid w:val="008841DF"/>
    <w:rsid w:val="00885D64"/>
    <w:rsid w:val="0088628A"/>
    <w:rsid w:val="00886836"/>
    <w:rsid w:val="00886C20"/>
    <w:rsid w:val="008902AE"/>
    <w:rsid w:val="00890404"/>
    <w:rsid w:val="008914AF"/>
    <w:rsid w:val="0089150B"/>
    <w:rsid w:val="008919E1"/>
    <w:rsid w:val="00891A10"/>
    <w:rsid w:val="00892992"/>
    <w:rsid w:val="00894A2A"/>
    <w:rsid w:val="00894E30"/>
    <w:rsid w:val="0089516C"/>
    <w:rsid w:val="008966A8"/>
    <w:rsid w:val="00896D30"/>
    <w:rsid w:val="00897620"/>
    <w:rsid w:val="00897A89"/>
    <w:rsid w:val="008A14BC"/>
    <w:rsid w:val="008A1A4D"/>
    <w:rsid w:val="008A1DC4"/>
    <w:rsid w:val="008A2A7A"/>
    <w:rsid w:val="008A51E9"/>
    <w:rsid w:val="008A5B1A"/>
    <w:rsid w:val="008A6AD3"/>
    <w:rsid w:val="008A6CCB"/>
    <w:rsid w:val="008A773C"/>
    <w:rsid w:val="008A7881"/>
    <w:rsid w:val="008B09FF"/>
    <w:rsid w:val="008B0E0D"/>
    <w:rsid w:val="008B1D44"/>
    <w:rsid w:val="008B2853"/>
    <w:rsid w:val="008B3498"/>
    <w:rsid w:val="008B431D"/>
    <w:rsid w:val="008B5A19"/>
    <w:rsid w:val="008B5E09"/>
    <w:rsid w:val="008B7F26"/>
    <w:rsid w:val="008C02CB"/>
    <w:rsid w:val="008C2FD9"/>
    <w:rsid w:val="008C38EE"/>
    <w:rsid w:val="008C4327"/>
    <w:rsid w:val="008C4752"/>
    <w:rsid w:val="008C4871"/>
    <w:rsid w:val="008C55C9"/>
    <w:rsid w:val="008C5991"/>
    <w:rsid w:val="008C63B1"/>
    <w:rsid w:val="008D1A1E"/>
    <w:rsid w:val="008D1CBC"/>
    <w:rsid w:val="008D3610"/>
    <w:rsid w:val="008D72D0"/>
    <w:rsid w:val="008D7A4B"/>
    <w:rsid w:val="008D7EB0"/>
    <w:rsid w:val="008E095C"/>
    <w:rsid w:val="008E0DB2"/>
    <w:rsid w:val="008E1F2F"/>
    <w:rsid w:val="008E23B2"/>
    <w:rsid w:val="008E2B33"/>
    <w:rsid w:val="008E3022"/>
    <w:rsid w:val="008E3456"/>
    <w:rsid w:val="008E54FD"/>
    <w:rsid w:val="008E56DD"/>
    <w:rsid w:val="008F08DC"/>
    <w:rsid w:val="008F0906"/>
    <w:rsid w:val="008F1045"/>
    <w:rsid w:val="008F1389"/>
    <w:rsid w:val="008F14A8"/>
    <w:rsid w:val="008F1A57"/>
    <w:rsid w:val="008F1BFC"/>
    <w:rsid w:val="008F306C"/>
    <w:rsid w:val="008F3382"/>
    <w:rsid w:val="008F3EA0"/>
    <w:rsid w:val="008F4484"/>
    <w:rsid w:val="008F522F"/>
    <w:rsid w:val="008F79AA"/>
    <w:rsid w:val="00900111"/>
    <w:rsid w:val="009002B3"/>
    <w:rsid w:val="00900778"/>
    <w:rsid w:val="00902475"/>
    <w:rsid w:val="00902A43"/>
    <w:rsid w:val="00903032"/>
    <w:rsid w:val="00903FA4"/>
    <w:rsid w:val="0090795D"/>
    <w:rsid w:val="00910CB4"/>
    <w:rsid w:val="00910CF4"/>
    <w:rsid w:val="00910D33"/>
    <w:rsid w:val="009113F3"/>
    <w:rsid w:val="00911FB8"/>
    <w:rsid w:val="00912A8E"/>
    <w:rsid w:val="0091306E"/>
    <w:rsid w:val="0091392B"/>
    <w:rsid w:val="0091430A"/>
    <w:rsid w:val="00914879"/>
    <w:rsid w:val="0091489C"/>
    <w:rsid w:val="00914944"/>
    <w:rsid w:val="009152AB"/>
    <w:rsid w:val="0091592F"/>
    <w:rsid w:val="00916335"/>
    <w:rsid w:val="00916F7D"/>
    <w:rsid w:val="00917206"/>
    <w:rsid w:val="00920208"/>
    <w:rsid w:val="009219D4"/>
    <w:rsid w:val="00924391"/>
    <w:rsid w:val="00924528"/>
    <w:rsid w:val="0092519E"/>
    <w:rsid w:val="009314F9"/>
    <w:rsid w:val="0093170E"/>
    <w:rsid w:val="00934437"/>
    <w:rsid w:val="009350B5"/>
    <w:rsid w:val="00935315"/>
    <w:rsid w:val="009359A7"/>
    <w:rsid w:val="0093713A"/>
    <w:rsid w:val="00937E18"/>
    <w:rsid w:val="00940177"/>
    <w:rsid w:val="009403D2"/>
    <w:rsid w:val="00940838"/>
    <w:rsid w:val="0094458D"/>
    <w:rsid w:val="00945C15"/>
    <w:rsid w:val="00945E2E"/>
    <w:rsid w:val="009460B4"/>
    <w:rsid w:val="00950051"/>
    <w:rsid w:val="009502EC"/>
    <w:rsid w:val="00951DE3"/>
    <w:rsid w:val="0095311E"/>
    <w:rsid w:val="00953EDF"/>
    <w:rsid w:val="00955041"/>
    <w:rsid w:val="00956751"/>
    <w:rsid w:val="009616FB"/>
    <w:rsid w:val="00961E71"/>
    <w:rsid w:val="00962872"/>
    <w:rsid w:val="0096359A"/>
    <w:rsid w:val="00964C8A"/>
    <w:rsid w:val="009651B5"/>
    <w:rsid w:val="00966103"/>
    <w:rsid w:val="0096746C"/>
    <w:rsid w:val="00967EBF"/>
    <w:rsid w:val="00967F1D"/>
    <w:rsid w:val="00967FB4"/>
    <w:rsid w:val="00973152"/>
    <w:rsid w:val="00974C5A"/>
    <w:rsid w:val="00974D48"/>
    <w:rsid w:val="00975436"/>
    <w:rsid w:val="00976048"/>
    <w:rsid w:val="00976405"/>
    <w:rsid w:val="00976A48"/>
    <w:rsid w:val="00976B77"/>
    <w:rsid w:val="00977B69"/>
    <w:rsid w:val="00980C24"/>
    <w:rsid w:val="00981341"/>
    <w:rsid w:val="0098241A"/>
    <w:rsid w:val="00982717"/>
    <w:rsid w:val="00982B84"/>
    <w:rsid w:val="009841D9"/>
    <w:rsid w:val="00985FE5"/>
    <w:rsid w:val="009863EF"/>
    <w:rsid w:val="00987ECF"/>
    <w:rsid w:val="0099031E"/>
    <w:rsid w:val="009908C4"/>
    <w:rsid w:val="00992681"/>
    <w:rsid w:val="0099518B"/>
    <w:rsid w:val="00996BA3"/>
    <w:rsid w:val="009972C2"/>
    <w:rsid w:val="0099734C"/>
    <w:rsid w:val="00997A52"/>
    <w:rsid w:val="00997F5E"/>
    <w:rsid w:val="009A138D"/>
    <w:rsid w:val="009A2F1B"/>
    <w:rsid w:val="009A3CA4"/>
    <w:rsid w:val="009A4AE2"/>
    <w:rsid w:val="009A5297"/>
    <w:rsid w:val="009A728D"/>
    <w:rsid w:val="009B13D8"/>
    <w:rsid w:val="009B3551"/>
    <w:rsid w:val="009C1BFD"/>
    <w:rsid w:val="009C1C8A"/>
    <w:rsid w:val="009C1D6E"/>
    <w:rsid w:val="009C36D8"/>
    <w:rsid w:val="009C3ACB"/>
    <w:rsid w:val="009C3FEA"/>
    <w:rsid w:val="009C45A1"/>
    <w:rsid w:val="009C506B"/>
    <w:rsid w:val="009D0829"/>
    <w:rsid w:val="009D18E3"/>
    <w:rsid w:val="009D1A98"/>
    <w:rsid w:val="009D2441"/>
    <w:rsid w:val="009D251B"/>
    <w:rsid w:val="009D27E0"/>
    <w:rsid w:val="009D3577"/>
    <w:rsid w:val="009D3927"/>
    <w:rsid w:val="009D3ECC"/>
    <w:rsid w:val="009D4260"/>
    <w:rsid w:val="009D4E3F"/>
    <w:rsid w:val="009D61A4"/>
    <w:rsid w:val="009D6E05"/>
    <w:rsid w:val="009E0103"/>
    <w:rsid w:val="009E0C6B"/>
    <w:rsid w:val="009E1304"/>
    <w:rsid w:val="009E147A"/>
    <w:rsid w:val="009E3FAF"/>
    <w:rsid w:val="009E433E"/>
    <w:rsid w:val="009E572A"/>
    <w:rsid w:val="009E7AD7"/>
    <w:rsid w:val="009F0842"/>
    <w:rsid w:val="009F13B5"/>
    <w:rsid w:val="009F1850"/>
    <w:rsid w:val="009F1D6E"/>
    <w:rsid w:val="009F2ADE"/>
    <w:rsid w:val="009F2D17"/>
    <w:rsid w:val="009F342A"/>
    <w:rsid w:val="009F4942"/>
    <w:rsid w:val="009F4996"/>
    <w:rsid w:val="009F4D1B"/>
    <w:rsid w:val="009F5AB0"/>
    <w:rsid w:val="009F6523"/>
    <w:rsid w:val="009F695A"/>
    <w:rsid w:val="009F6B2A"/>
    <w:rsid w:val="00A00FFF"/>
    <w:rsid w:val="00A01CC1"/>
    <w:rsid w:val="00A039AF"/>
    <w:rsid w:val="00A04D65"/>
    <w:rsid w:val="00A0535E"/>
    <w:rsid w:val="00A05425"/>
    <w:rsid w:val="00A05D2D"/>
    <w:rsid w:val="00A07382"/>
    <w:rsid w:val="00A07F2C"/>
    <w:rsid w:val="00A1114B"/>
    <w:rsid w:val="00A144DC"/>
    <w:rsid w:val="00A14B66"/>
    <w:rsid w:val="00A14E4D"/>
    <w:rsid w:val="00A161D9"/>
    <w:rsid w:val="00A16588"/>
    <w:rsid w:val="00A2061F"/>
    <w:rsid w:val="00A21EAB"/>
    <w:rsid w:val="00A21FC2"/>
    <w:rsid w:val="00A2271D"/>
    <w:rsid w:val="00A2293E"/>
    <w:rsid w:val="00A24A58"/>
    <w:rsid w:val="00A24F44"/>
    <w:rsid w:val="00A25C0B"/>
    <w:rsid w:val="00A25E8B"/>
    <w:rsid w:val="00A260E7"/>
    <w:rsid w:val="00A26237"/>
    <w:rsid w:val="00A32248"/>
    <w:rsid w:val="00A34925"/>
    <w:rsid w:val="00A34983"/>
    <w:rsid w:val="00A35AF3"/>
    <w:rsid w:val="00A367E5"/>
    <w:rsid w:val="00A37452"/>
    <w:rsid w:val="00A41391"/>
    <w:rsid w:val="00A425DF"/>
    <w:rsid w:val="00A42978"/>
    <w:rsid w:val="00A4497A"/>
    <w:rsid w:val="00A44B34"/>
    <w:rsid w:val="00A46AAD"/>
    <w:rsid w:val="00A5029C"/>
    <w:rsid w:val="00A5082A"/>
    <w:rsid w:val="00A517E0"/>
    <w:rsid w:val="00A53017"/>
    <w:rsid w:val="00A534FD"/>
    <w:rsid w:val="00A62431"/>
    <w:rsid w:val="00A63641"/>
    <w:rsid w:val="00A65959"/>
    <w:rsid w:val="00A66D2C"/>
    <w:rsid w:val="00A670D4"/>
    <w:rsid w:val="00A70CE3"/>
    <w:rsid w:val="00A71D72"/>
    <w:rsid w:val="00A72162"/>
    <w:rsid w:val="00A74565"/>
    <w:rsid w:val="00A74B15"/>
    <w:rsid w:val="00A74F6A"/>
    <w:rsid w:val="00A7531F"/>
    <w:rsid w:val="00A7587A"/>
    <w:rsid w:val="00A7596F"/>
    <w:rsid w:val="00A76A22"/>
    <w:rsid w:val="00A80692"/>
    <w:rsid w:val="00A80D1F"/>
    <w:rsid w:val="00A8126A"/>
    <w:rsid w:val="00A81590"/>
    <w:rsid w:val="00A82060"/>
    <w:rsid w:val="00A8237F"/>
    <w:rsid w:val="00A8428D"/>
    <w:rsid w:val="00A85A67"/>
    <w:rsid w:val="00A879A7"/>
    <w:rsid w:val="00A914C2"/>
    <w:rsid w:val="00A91B02"/>
    <w:rsid w:val="00A94E11"/>
    <w:rsid w:val="00A95B83"/>
    <w:rsid w:val="00A97162"/>
    <w:rsid w:val="00A9779C"/>
    <w:rsid w:val="00AA0706"/>
    <w:rsid w:val="00AA14BA"/>
    <w:rsid w:val="00AA1A67"/>
    <w:rsid w:val="00AA2024"/>
    <w:rsid w:val="00AA261E"/>
    <w:rsid w:val="00AA29B6"/>
    <w:rsid w:val="00AA29F4"/>
    <w:rsid w:val="00AA3577"/>
    <w:rsid w:val="00AA377B"/>
    <w:rsid w:val="00AA58CA"/>
    <w:rsid w:val="00AA7963"/>
    <w:rsid w:val="00AB0104"/>
    <w:rsid w:val="00AB212E"/>
    <w:rsid w:val="00AB2278"/>
    <w:rsid w:val="00AB4B86"/>
    <w:rsid w:val="00AB67B1"/>
    <w:rsid w:val="00AB6FB9"/>
    <w:rsid w:val="00AC0A99"/>
    <w:rsid w:val="00AC1524"/>
    <w:rsid w:val="00AC3366"/>
    <w:rsid w:val="00AC4DED"/>
    <w:rsid w:val="00AC552B"/>
    <w:rsid w:val="00AC5D76"/>
    <w:rsid w:val="00AC72A0"/>
    <w:rsid w:val="00AC7E26"/>
    <w:rsid w:val="00AD15BF"/>
    <w:rsid w:val="00AD1C68"/>
    <w:rsid w:val="00AD1C7E"/>
    <w:rsid w:val="00AD27EB"/>
    <w:rsid w:val="00AD38AD"/>
    <w:rsid w:val="00AD448F"/>
    <w:rsid w:val="00AD449E"/>
    <w:rsid w:val="00AD461E"/>
    <w:rsid w:val="00AD6237"/>
    <w:rsid w:val="00AD6D1E"/>
    <w:rsid w:val="00AD7D07"/>
    <w:rsid w:val="00AE0081"/>
    <w:rsid w:val="00AE082C"/>
    <w:rsid w:val="00AE1823"/>
    <w:rsid w:val="00AE1866"/>
    <w:rsid w:val="00AE1B58"/>
    <w:rsid w:val="00AE3DAE"/>
    <w:rsid w:val="00AE4F8D"/>
    <w:rsid w:val="00AE6A9F"/>
    <w:rsid w:val="00AE789E"/>
    <w:rsid w:val="00AE7DAE"/>
    <w:rsid w:val="00AF1145"/>
    <w:rsid w:val="00AF26AC"/>
    <w:rsid w:val="00AF305F"/>
    <w:rsid w:val="00AF3DDC"/>
    <w:rsid w:val="00AF40C3"/>
    <w:rsid w:val="00AF5B5A"/>
    <w:rsid w:val="00AF612B"/>
    <w:rsid w:val="00AF632B"/>
    <w:rsid w:val="00AF797F"/>
    <w:rsid w:val="00AF7B39"/>
    <w:rsid w:val="00B000BA"/>
    <w:rsid w:val="00B00387"/>
    <w:rsid w:val="00B0186D"/>
    <w:rsid w:val="00B024FB"/>
    <w:rsid w:val="00B03096"/>
    <w:rsid w:val="00B0322A"/>
    <w:rsid w:val="00B05533"/>
    <w:rsid w:val="00B10131"/>
    <w:rsid w:val="00B10A54"/>
    <w:rsid w:val="00B1230F"/>
    <w:rsid w:val="00B12370"/>
    <w:rsid w:val="00B12659"/>
    <w:rsid w:val="00B14A70"/>
    <w:rsid w:val="00B14C3D"/>
    <w:rsid w:val="00B1527F"/>
    <w:rsid w:val="00B15387"/>
    <w:rsid w:val="00B16D03"/>
    <w:rsid w:val="00B17020"/>
    <w:rsid w:val="00B215DF"/>
    <w:rsid w:val="00B21ED9"/>
    <w:rsid w:val="00B22177"/>
    <w:rsid w:val="00B22637"/>
    <w:rsid w:val="00B235FE"/>
    <w:rsid w:val="00B23D13"/>
    <w:rsid w:val="00B2430E"/>
    <w:rsid w:val="00B24B14"/>
    <w:rsid w:val="00B262BD"/>
    <w:rsid w:val="00B30897"/>
    <w:rsid w:val="00B33210"/>
    <w:rsid w:val="00B337FC"/>
    <w:rsid w:val="00B34A67"/>
    <w:rsid w:val="00B3528E"/>
    <w:rsid w:val="00B36DD6"/>
    <w:rsid w:val="00B400F2"/>
    <w:rsid w:val="00B44BEE"/>
    <w:rsid w:val="00B44E67"/>
    <w:rsid w:val="00B44F4A"/>
    <w:rsid w:val="00B45A33"/>
    <w:rsid w:val="00B45D3B"/>
    <w:rsid w:val="00B45FA1"/>
    <w:rsid w:val="00B462F3"/>
    <w:rsid w:val="00B479C2"/>
    <w:rsid w:val="00B51F5B"/>
    <w:rsid w:val="00B53706"/>
    <w:rsid w:val="00B54128"/>
    <w:rsid w:val="00B552AA"/>
    <w:rsid w:val="00B55D09"/>
    <w:rsid w:val="00B57EB9"/>
    <w:rsid w:val="00B613B1"/>
    <w:rsid w:val="00B647AE"/>
    <w:rsid w:val="00B65674"/>
    <w:rsid w:val="00B70348"/>
    <w:rsid w:val="00B71886"/>
    <w:rsid w:val="00B726EC"/>
    <w:rsid w:val="00B73116"/>
    <w:rsid w:val="00B739E1"/>
    <w:rsid w:val="00B758B7"/>
    <w:rsid w:val="00B76914"/>
    <w:rsid w:val="00B775BE"/>
    <w:rsid w:val="00B777E8"/>
    <w:rsid w:val="00B77A9D"/>
    <w:rsid w:val="00B77E87"/>
    <w:rsid w:val="00B803BA"/>
    <w:rsid w:val="00B80453"/>
    <w:rsid w:val="00B81785"/>
    <w:rsid w:val="00B81F4E"/>
    <w:rsid w:val="00B8433F"/>
    <w:rsid w:val="00B9079D"/>
    <w:rsid w:val="00B90884"/>
    <w:rsid w:val="00B917E9"/>
    <w:rsid w:val="00B91B7A"/>
    <w:rsid w:val="00B9238D"/>
    <w:rsid w:val="00B9369D"/>
    <w:rsid w:val="00B93E5B"/>
    <w:rsid w:val="00B961A5"/>
    <w:rsid w:val="00B965A6"/>
    <w:rsid w:val="00B9714C"/>
    <w:rsid w:val="00B97190"/>
    <w:rsid w:val="00BA0543"/>
    <w:rsid w:val="00BA0ACA"/>
    <w:rsid w:val="00BA20AF"/>
    <w:rsid w:val="00BA260F"/>
    <w:rsid w:val="00BA2C49"/>
    <w:rsid w:val="00BA2DF9"/>
    <w:rsid w:val="00BA468E"/>
    <w:rsid w:val="00BA4B6F"/>
    <w:rsid w:val="00BA4D7C"/>
    <w:rsid w:val="00BA59A0"/>
    <w:rsid w:val="00BA5BCB"/>
    <w:rsid w:val="00BA6DE0"/>
    <w:rsid w:val="00BB22BF"/>
    <w:rsid w:val="00BB3890"/>
    <w:rsid w:val="00BB4632"/>
    <w:rsid w:val="00BB5F21"/>
    <w:rsid w:val="00BB63B0"/>
    <w:rsid w:val="00BC07BC"/>
    <w:rsid w:val="00BC2429"/>
    <w:rsid w:val="00BD05B0"/>
    <w:rsid w:val="00BD065B"/>
    <w:rsid w:val="00BD353A"/>
    <w:rsid w:val="00BD37B6"/>
    <w:rsid w:val="00BD40E9"/>
    <w:rsid w:val="00BD4A70"/>
    <w:rsid w:val="00BD558A"/>
    <w:rsid w:val="00BD6004"/>
    <w:rsid w:val="00BD6D0F"/>
    <w:rsid w:val="00BD70B8"/>
    <w:rsid w:val="00BD76AF"/>
    <w:rsid w:val="00BE03C9"/>
    <w:rsid w:val="00BE05E2"/>
    <w:rsid w:val="00BE312D"/>
    <w:rsid w:val="00BF00CE"/>
    <w:rsid w:val="00BF14F4"/>
    <w:rsid w:val="00BF272D"/>
    <w:rsid w:val="00BF4B0A"/>
    <w:rsid w:val="00C02F35"/>
    <w:rsid w:val="00C03A7D"/>
    <w:rsid w:val="00C03E6A"/>
    <w:rsid w:val="00C0417E"/>
    <w:rsid w:val="00C04987"/>
    <w:rsid w:val="00C04B96"/>
    <w:rsid w:val="00C04DBB"/>
    <w:rsid w:val="00C05FC3"/>
    <w:rsid w:val="00C064AA"/>
    <w:rsid w:val="00C07F89"/>
    <w:rsid w:val="00C07FEC"/>
    <w:rsid w:val="00C10DD7"/>
    <w:rsid w:val="00C11C9D"/>
    <w:rsid w:val="00C11DD7"/>
    <w:rsid w:val="00C1316C"/>
    <w:rsid w:val="00C135C5"/>
    <w:rsid w:val="00C1368E"/>
    <w:rsid w:val="00C136CE"/>
    <w:rsid w:val="00C13791"/>
    <w:rsid w:val="00C147D8"/>
    <w:rsid w:val="00C15880"/>
    <w:rsid w:val="00C16C20"/>
    <w:rsid w:val="00C208E2"/>
    <w:rsid w:val="00C23D9E"/>
    <w:rsid w:val="00C24207"/>
    <w:rsid w:val="00C26E91"/>
    <w:rsid w:val="00C30052"/>
    <w:rsid w:val="00C323BF"/>
    <w:rsid w:val="00C3294C"/>
    <w:rsid w:val="00C3296F"/>
    <w:rsid w:val="00C3471C"/>
    <w:rsid w:val="00C362E1"/>
    <w:rsid w:val="00C36697"/>
    <w:rsid w:val="00C37B45"/>
    <w:rsid w:val="00C40AD8"/>
    <w:rsid w:val="00C421CE"/>
    <w:rsid w:val="00C43295"/>
    <w:rsid w:val="00C43A5A"/>
    <w:rsid w:val="00C441AD"/>
    <w:rsid w:val="00C520C3"/>
    <w:rsid w:val="00C52D7E"/>
    <w:rsid w:val="00C53A55"/>
    <w:rsid w:val="00C54025"/>
    <w:rsid w:val="00C54B76"/>
    <w:rsid w:val="00C61091"/>
    <w:rsid w:val="00C6133A"/>
    <w:rsid w:val="00C61DF5"/>
    <w:rsid w:val="00C62A70"/>
    <w:rsid w:val="00C63AC0"/>
    <w:rsid w:val="00C64320"/>
    <w:rsid w:val="00C6643C"/>
    <w:rsid w:val="00C673E1"/>
    <w:rsid w:val="00C70C7C"/>
    <w:rsid w:val="00C71FF0"/>
    <w:rsid w:val="00C74494"/>
    <w:rsid w:val="00C74ECC"/>
    <w:rsid w:val="00C75C1C"/>
    <w:rsid w:val="00C76102"/>
    <w:rsid w:val="00C767CC"/>
    <w:rsid w:val="00C81C2C"/>
    <w:rsid w:val="00C833C7"/>
    <w:rsid w:val="00C83660"/>
    <w:rsid w:val="00C838BF"/>
    <w:rsid w:val="00C844B1"/>
    <w:rsid w:val="00C84A25"/>
    <w:rsid w:val="00C84A68"/>
    <w:rsid w:val="00C86CB3"/>
    <w:rsid w:val="00C87022"/>
    <w:rsid w:val="00C87BE6"/>
    <w:rsid w:val="00C90B83"/>
    <w:rsid w:val="00C9106F"/>
    <w:rsid w:val="00C91BB1"/>
    <w:rsid w:val="00C91C90"/>
    <w:rsid w:val="00C92ADB"/>
    <w:rsid w:val="00C92ED8"/>
    <w:rsid w:val="00C942EA"/>
    <w:rsid w:val="00CA0028"/>
    <w:rsid w:val="00CA1C33"/>
    <w:rsid w:val="00CA1EA2"/>
    <w:rsid w:val="00CA30DE"/>
    <w:rsid w:val="00CA317A"/>
    <w:rsid w:val="00CA351F"/>
    <w:rsid w:val="00CA3B4C"/>
    <w:rsid w:val="00CA7E0A"/>
    <w:rsid w:val="00CB0F51"/>
    <w:rsid w:val="00CB1CD1"/>
    <w:rsid w:val="00CB3E0A"/>
    <w:rsid w:val="00CB5292"/>
    <w:rsid w:val="00CB6085"/>
    <w:rsid w:val="00CB6378"/>
    <w:rsid w:val="00CB726C"/>
    <w:rsid w:val="00CB7749"/>
    <w:rsid w:val="00CB7BB1"/>
    <w:rsid w:val="00CC02CD"/>
    <w:rsid w:val="00CC0C53"/>
    <w:rsid w:val="00CC168B"/>
    <w:rsid w:val="00CC3234"/>
    <w:rsid w:val="00CC49F3"/>
    <w:rsid w:val="00CC4DA6"/>
    <w:rsid w:val="00CC5B79"/>
    <w:rsid w:val="00CD020A"/>
    <w:rsid w:val="00CD188D"/>
    <w:rsid w:val="00CD563B"/>
    <w:rsid w:val="00CD5EF2"/>
    <w:rsid w:val="00CD6CFF"/>
    <w:rsid w:val="00CD7D6C"/>
    <w:rsid w:val="00CD7EB6"/>
    <w:rsid w:val="00CE11F0"/>
    <w:rsid w:val="00CE29DB"/>
    <w:rsid w:val="00CE2CD8"/>
    <w:rsid w:val="00CE30EB"/>
    <w:rsid w:val="00CE371B"/>
    <w:rsid w:val="00CE44A6"/>
    <w:rsid w:val="00CE4DCB"/>
    <w:rsid w:val="00CE55AC"/>
    <w:rsid w:val="00CE6768"/>
    <w:rsid w:val="00CF0251"/>
    <w:rsid w:val="00CF1345"/>
    <w:rsid w:val="00CF1370"/>
    <w:rsid w:val="00CF368B"/>
    <w:rsid w:val="00CF5BD3"/>
    <w:rsid w:val="00CF5D37"/>
    <w:rsid w:val="00CF6EEE"/>
    <w:rsid w:val="00D0259B"/>
    <w:rsid w:val="00D02B6B"/>
    <w:rsid w:val="00D03609"/>
    <w:rsid w:val="00D03D26"/>
    <w:rsid w:val="00D03E98"/>
    <w:rsid w:val="00D04851"/>
    <w:rsid w:val="00D05664"/>
    <w:rsid w:val="00D103C4"/>
    <w:rsid w:val="00D10E54"/>
    <w:rsid w:val="00D119FD"/>
    <w:rsid w:val="00D1242E"/>
    <w:rsid w:val="00D12BEE"/>
    <w:rsid w:val="00D12D56"/>
    <w:rsid w:val="00D15D50"/>
    <w:rsid w:val="00D15FA1"/>
    <w:rsid w:val="00D1663A"/>
    <w:rsid w:val="00D17754"/>
    <w:rsid w:val="00D20430"/>
    <w:rsid w:val="00D2098A"/>
    <w:rsid w:val="00D24FD8"/>
    <w:rsid w:val="00D2562D"/>
    <w:rsid w:val="00D25908"/>
    <w:rsid w:val="00D25DE8"/>
    <w:rsid w:val="00D26751"/>
    <w:rsid w:val="00D26BB3"/>
    <w:rsid w:val="00D26F82"/>
    <w:rsid w:val="00D2756F"/>
    <w:rsid w:val="00D3306E"/>
    <w:rsid w:val="00D34FA4"/>
    <w:rsid w:val="00D417DB"/>
    <w:rsid w:val="00D41BE5"/>
    <w:rsid w:val="00D425EF"/>
    <w:rsid w:val="00D430C0"/>
    <w:rsid w:val="00D434CB"/>
    <w:rsid w:val="00D4427D"/>
    <w:rsid w:val="00D456C5"/>
    <w:rsid w:val="00D46661"/>
    <w:rsid w:val="00D47143"/>
    <w:rsid w:val="00D50E92"/>
    <w:rsid w:val="00D53CAB"/>
    <w:rsid w:val="00D542DC"/>
    <w:rsid w:val="00D54F67"/>
    <w:rsid w:val="00D5537A"/>
    <w:rsid w:val="00D5559E"/>
    <w:rsid w:val="00D55BF2"/>
    <w:rsid w:val="00D61A23"/>
    <w:rsid w:val="00D63486"/>
    <w:rsid w:val="00D6429E"/>
    <w:rsid w:val="00D65C20"/>
    <w:rsid w:val="00D66F34"/>
    <w:rsid w:val="00D6748F"/>
    <w:rsid w:val="00D7086B"/>
    <w:rsid w:val="00D70E85"/>
    <w:rsid w:val="00D7106C"/>
    <w:rsid w:val="00D72FDA"/>
    <w:rsid w:val="00D73335"/>
    <w:rsid w:val="00D73E2B"/>
    <w:rsid w:val="00D74D6B"/>
    <w:rsid w:val="00D74EDB"/>
    <w:rsid w:val="00D7546E"/>
    <w:rsid w:val="00D7584E"/>
    <w:rsid w:val="00D7648D"/>
    <w:rsid w:val="00D76BD7"/>
    <w:rsid w:val="00D76F45"/>
    <w:rsid w:val="00D83166"/>
    <w:rsid w:val="00D840B1"/>
    <w:rsid w:val="00D846E5"/>
    <w:rsid w:val="00D84A70"/>
    <w:rsid w:val="00D84B51"/>
    <w:rsid w:val="00D90354"/>
    <w:rsid w:val="00D9363A"/>
    <w:rsid w:val="00D94402"/>
    <w:rsid w:val="00D94687"/>
    <w:rsid w:val="00D9535D"/>
    <w:rsid w:val="00D9584A"/>
    <w:rsid w:val="00D96D44"/>
    <w:rsid w:val="00DA4066"/>
    <w:rsid w:val="00DA48BC"/>
    <w:rsid w:val="00DA4972"/>
    <w:rsid w:val="00DA65B8"/>
    <w:rsid w:val="00DA6C44"/>
    <w:rsid w:val="00DB0F69"/>
    <w:rsid w:val="00DB11C0"/>
    <w:rsid w:val="00DB1E70"/>
    <w:rsid w:val="00DB338F"/>
    <w:rsid w:val="00DB4379"/>
    <w:rsid w:val="00DB4841"/>
    <w:rsid w:val="00DB6293"/>
    <w:rsid w:val="00DB6609"/>
    <w:rsid w:val="00DC08F4"/>
    <w:rsid w:val="00DC35C5"/>
    <w:rsid w:val="00DC3D1F"/>
    <w:rsid w:val="00DC40BC"/>
    <w:rsid w:val="00DC5399"/>
    <w:rsid w:val="00DC6240"/>
    <w:rsid w:val="00DC668D"/>
    <w:rsid w:val="00DC6916"/>
    <w:rsid w:val="00DC78B5"/>
    <w:rsid w:val="00DD1035"/>
    <w:rsid w:val="00DD2590"/>
    <w:rsid w:val="00DD3A28"/>
    <w:rsid w:val="00DD7455"/>
    <w:rsid w:val="00DD7AF5"/>
    <w:rsid w:val="00DD7EDF"/>
    <w:rsid w:val="00DE06E9"/>
    <w:rsid w:val="00DE1114"/>
    <w:rsid w:val="00DE2801"/>
    <w:rsid w:val="00DE3A19"/>
    <w:rsid w:val="00DE5421"/>
    <w:rsid w:val="00DE6039"/>
    <w:rsid w:val="00DE62E7"/>
    <w:rsid w:val="00DE6C8B"/>
    <w:rsid w:val="00DE7AAD"/>
    <w:rsid w:val="00DF27F0"/>
    <w:rsid w:val="00DF37B9"/>
    <w:rsid w:val="00DF3B9C"/>
    <w:rsid w:val="00DF56BA"/>
    <w:rsid w:val="00E00FDA"/>
    <w:rsid w:val="00E01292"/>
    <w:rsid w:val="00E01CC4"/>
    <w:rsid w:val="00E02226"/>
    <w:rsid w:val="00E039D6"/>
    <w:rsid w:val="00E03AD6"/>
    <w:rsid w:val="00E03BD0"/>
    <w:rsid w:val="00E04177"/>
    <w:rsid w:val="00E0725B"/>
    <w:rsid w:val="00E10DA7"/>
    <w:rsid w:val="00E121BA"/>
    <w:rsid w:val="00E1258C"/>
    <w:rsid w:val="00E13BB6"/>
    <w:rsid w:val="00E13E68"/>
    <w:rsid w:val="00E143FF"/>
    <w:rsid w:val="00E150D7"/>
    <w:rsid w:val="00E16125"/>
    <w:rsid w:val="00E20D18"/>
    <w:rsid w:val="00E21A50"/>
    <w:rsid w:val="00E225A5"/>
    <w:rsid w:val="00E23CDB"/>
    <w:rsid w:val="00E24E40"/>
    <w:rsid w:val="00E30968"/>
    <w:rsid w:val="00E311DF"/>
    <w:rsid w:val="00E316CF"/>
    <w:rsid w:val="00E32F41"/>
    <w:rsid w:val="00E35CE6"/>
    <w:rsid w:val="00E374F7"/>
    <w:rsid w:val="00E41F0E"/>
    <w:rsid w:val="00E422B5"/>
    <w:rsid w:val="00E4283E"/>
    <w:rsid w:val="00E430DD"/>
    <w:rsid w:val="00E44DC4"/>
    <w:rsid w:val="00E45AF0"/>
    <w:rsid w:val="00E4619C"/>
    <w:rsid w:val="00E47BC3"/>
    <w:rsid w:val="00E51806"/>
    <w:rsid w:val="00E51DCB"/>
    <w:rsid w:val="00E51DE5"/>
    <w:rsid w:val="00E52A6E"/>
    <w:rsid w:val="00E52DC7"/>
    <w:rsid w:val="00E52F5A"/>
    <w:rsid w:val="00E536F8"/>
    <w:rsid w:val="00E54B14"/>
    <w:rsid w:val="00E54E25"/>
    <w:rsid w:val="00E553B6"/>
    <w:rsid w:val="00E56529"/>
    <w:rsid w:val="00E56663"/>
    <w:rsid w:val="00E56C5A"/>
    <w:rsid w:val="00E61C3C"/>
    <w:rsid w:val="00E62576"/>
    <w:rsid w:val="00E62C9E"/>
    <w:rsid w:val="00E6325F"/>
    <w:rsid w:val="00E64B93"/>
    <w:rsid w:val="00E664F4"/>
    <w:rsid w:val="00E666A6"/>
    <w:rsid w:val="00E66CFB"/>
    <w:rsid w:val="00E71BFA"/>
    <w:rsid w:val="00E7243F"/>
    <w:rsid w:val="00E73C95"/>
    <w:rsid w:val="00E73D6D"/>
    <w:rsid w:val="00E7483E"/>
    <w:rsid w:val="00E75CCC"/>
    <w:rsid w:val="00E80CFE"/>
    <w:rsid w:val="00E83300"/>
    <w:rsid w:val="00E858EF"/>
    <w:rsid w:val="00E8617F"/>
    <w:rsid w:val="00E86FDB"/>
    <w:rsid w:val="00E878BD"/>
    <w:rsid w:val="00E90016"/>
    <w:rsid w:val="00E9041F"/>
    <w:rsid w:val="00E9071C"/>
    <w:rsid w:val="00E94D1D"/>
    <w:rsid w:val="00E95DD9"/>
    <w:rsid w:val="00E968A3"/>
    <w:rsid w:val="00E97BEC"/>
    <w:rsid w:val="00E97EDA"/>
    <w:rsid w:val="00EA0386"/>
    <w:rsid w:val="00EA31E2"/>
    <w:rsid w:val="00EA397E"/>
    <w:rsid w:val="00EA5286"/>
    <w:rsid w:val="00EA534C"/>
    <w:rsid w:val="00EA6420"/>
    <w:rsid w:val="00EA7E99"/>
    <w:rsid w:val="00EB01D0"/>
    <w:rsid w:val="00EB05B2"/>
    <w:rsid w:val="00EB0A1F"/>
    <w:rsid w:val="00EB1EBE"/>
    <w:rsid w:val="00EB341C"/>
    <w:rsid w:val="00EB4706"/>
    <w:rsid w:val="00EB6EA6"/>
    <w:rsid w:val="00EC0E2C"/>
    <w:rsid w:val="00EC17AE"/>
    <w:rsid w:val="00EC1B49"/>
    <w:rsid w:val="00EC1CC5"/>
    <w:rsid w:val="00EC311E"/>
    <w:rsid w:val="00EC3F50"/>
    <w:rsid w:val="00EC74C4"/>
    <w:rsid w:val="00ED1A01"/>
    <w:rsid w:val="00ED1E5A"/>
    <w:rsid w:val="00ED1F94"/>
    <w:rsid w:val="00ED2522"/>
    <w:rsid w:val="00ED36F9"/>
    <w:rsid w:val="00ED4F39"/>
    <w:rsid w:val="00ED5C4C"/>
    <w:rsid w:val="00ED760F"/>
    <w:rsid w:val="00EE117F"/>
    <w:rsid w:val="00EE2DD0"/>
    <w:rsid w:val="00EE3103"/>
    <w:rsid w:val="00EE3C43"/>
    <w:rsid w:val="00EF0EB2"/>
    <w:rsid w:val="00EF55CE"/>
    <w:rsid w:val="00EF77F7"/>
    <w:rsid w:val="00F01821"/>
    <w:rsid w:val="00F02E85"/>
    <w:rsid w:val="00F03842"/>
    <w:rsid w:val="00F054D1"/>
    <w:rsid w:val="00F0576E"/>
    <w:rsid w:val="00F0650E"/>
    <w:rsid w:val="00F116D7"/>
    <w:rsid w:val="00F11A8F"/>
    <w:rsid w:val="00F12CB8"/>
    <w:rsid w:val="00F14D18"/>
    <w:rsid w:val="00F17F5A"/>
    <w:rsid w:val="00F17FB9"/>
    <w:rsid w:val="00F20492"/>
    <w:rsid w:val="00F20695"/>
    <w:rsid w:val="00F2384C"/>
    <w:rsid w:val="00F240DA"/>
    <w:rsid w:val="00F2506E"/>
    <w:rsid w:val="00F264AE"/>
    <w:rsid w:val="00F30393"/>
    <w:rsid w:val="00F30B8D"/>
    <w:rsid w:val="00F32255"/>
    <w:rsid w:val="00F3242E"/>
    <w:rsid w:val="00F3471E"/>
    <w:rsid w:val="00F35BB2"/>
    <w:rsid w:val="00F35E18"/>
    <w:rsid w:val="00F40DF9"/>
    <w:rsid w:val="00F43997"/>
    <w:rsid w:val="00F45F78"/>
    <w:rsid w:val="00F463C4"/>
    <w:rsid w:val="00F46B9B"/>
    <w:rsid w:val="00F47B22"/>
    <w:rsid w:val="00F47CE6"/>
    <w:rsid w:val="00F53B9E"/>
    <w:rsid w:val="00F5655A"/>
    <w:rsid w:val="00F57D34"/>
    <w:rsid w:val="00F57E37"/>
    <w:rsid w:val="00F60A12"/>
    <w:rsid w:val="00F60A89"/>
    <w:rsid w:val="00F654A7"/>
    <w:rsid w:val="00F66549"/>
    <w:rsid w:val="00F70083"/>
    <w:rsid w:val="00F7039E"/>
    <w:rsid w:val="00F72184"/>
    <w:rsid w:val="00F73C7D"/>
    <w:rsid w:val="00F80F6C"/>
    <w:rsid w:val="00F81B83"/>
    <w:rsid w:val="00F826E6"/>
    <w:rsid w:val="00F82930"/>
    <w:rsid w:val="00F83794"/>
    <w:rsid w:val="00F83F8A"/>
    <w:rsid w:val="00F850EB"/>
    <w:rsid w:val="00F858EF"/>
    <w:rsid w:val="00F901B4"/>
    <w:rsid w:val="00F9094D"/>
    <w:rsid w:val="00F90A6D"/>
    <w:rsid w:val="00F90EA1"/>
    <w:rsid w:val="00F91605"/>
    <w:rsid w:val="00F916AC"/>
    <w:rsid w:val="00F94FA9"/>
    <w:rsid w:val="00F956CB"/>
    <w:rsid w:val="00F95C0C"/>
    <w:rsid w:val="00F95F50"/>
    <w:rsid w:val="00F963B4"/>
    <w:rsid w:val="00F96510"/>
    <w:rsid w:val="00F96E4E"/>
    <w:rsid w:val="00F96F3C"/>
    <w:rsid w:val="00FA093D"/>
    <w:rsid w:val="00FA0FCB"/>
    <w:rsid w:val="00FA1756"/>
    <w:rsid w:val="00FA1875"/>
    <w:rsid w:val="00FA4293"/>
    <w:rsid w:val="00FA42FD"/>
    <w:rsid w:val="00FA6951"/>
    <w:rsid w:val="00FA717B"/>
    <w:rsid w:val="00FA7B21"/>
    <w:rsid w:val="00FB20E2"/>
    <w:rsid w:val="00FB21AC"/>
    <w:rsid w:val="00FB2B5F"/>
    <w:rsid w:val="00FB355B"/>
    <w:rsid w:val="00FB573E"/>
    <w:rsid w:val="00FB5B47"/>
    <w:rsid w:val="00FB6BEE"/>
    <w:rsid w:val="00FB6E16"/>
    <w:rsid w:val="00FB6F77"/>
    <w:rsid w:val="00FC022D"/>
    <w:rsid w:val="00FC044E"/>
    <w:rsid w:val="00FC1CB1"/>
    <w:rsid w:val="00FC1EF0"/>
    <w:rsid w:val="00FC25E9"/>
    <w:rsid w:val="00FC560A"/>
    <w:rsid w:val="00FC5C83"/>
    <w:rsid w:val="00FC5EF2"/>
    <w:rsid w:val="00FC6A3D"/>
    <w:rsid w:val="00FD075B"/>
    <w:rsid w:val="00FD14A8"/>
    <w:rsid w:val="00FD1827"/>
    <w:rsid w:val="00FD25E2"/>
    <w:rsid w:val="00FD2A85"/>
    <w:rsid w:val="00FD4A15"/>
    <w:rsid w:val="00FD5B3E"/>
    <w:rsid w:val="00FD63DF"/>
    <w:rsid w:val="00FD718B"/>
    <w:rsid w:val="00FD7B29"/>
    <w:rsid w:val="00FE12F6"/>
    <w:rsid w:val="00FE4DFB"/>
    <w:rsid w:val="00FE5F12"/>
    <w:rsid w:val="00FE5FD1"/>
    <w:rsid w:val="00FE6816"/>
    <w:rsid w:val="00FE7455"/>
    <w:rsid w:val="00FF03F3"/>
    <w:rsid w:val="00FF3D70"/>
    <w:rsid w:val="00FF45FB"/>
    <w:rsid w:val="00FF467D"/>
    <w:rsid w:val="00FF4B8A"/>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D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1"/>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basedOn w:val="Normal"/>
    <w:next w:val="Normal"/>
    <w:link w:val="Heading3Char"/>
    <w:qFormat/>
    <w:rsid w:val="006B4E3E"/>
    <w:pPr>
      <w:keepNext/>
      <w:numPr>
        <w:ilvl w:val="2"/>
        <w:numId w:val="1"/>
      </w:numPr>
      <w:spacing w:line="480" w:lineRule="auto"/>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A670D4"/>
    <w:pPr>
      <w:numPr>
        <w:ilvl w:val="0"/>
        <w:numId w:val="3"/>
      </w:numPr>
      <w:spacing w:line="240" w:lineRule="auto"/>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A670D4"/>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paragraph" w:styleId="NormalWeb">
    <w:name w:val="Normal (Web)"/>
    <w:basedOn w:val="Normal"/>
    <w:uiPriority w:val="99"/>
    <w:semiHidden/>
    <w:unhideWhenUsed/>
    <w:rsid w:val="009344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1"/>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basedOn w:val="Normal"/>
    <w:next w:val="Normal"/>
    <w:link w:val="Heading3Char"/>
    <w:qFormat/>
    <w:rsid w:val="006B4E3E"/>
    <w:pPr>
      <w:keepNext/>
      <w:numPr>
        <w:ilvl w:val="2"/>
        <w:numId w:val="1"/>
      </w:numPr>
      <w:spacing w:line="480" w:lineRule="auto"/>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A670D4"/>
    <w:pPr>
      <w:numPr>
        <w:ilvl w:val="0"/>
        <w:numId w:val="3"/>
      </w:numPr>
      <w:spacing w:line="240" w:lineRule="auto"/>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A670D4"/>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paragraph" w:styleId="NormalWeb">
    <w:name w:val="Normal (Web)"/>
    <w:basedOn w:val="Normal"/>
    <w:uiPriority w:val="99"/>
    <w:semiHidden/>
    <w:unhideWhenUsed/>
    <w:rsid w:val="009344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4900">
      <w:bodyDiv w:val="1"/>
      <w:marLeft w:val="0"/>
      <w:marRight w:val="0"/>
      <w:marTop w:val="0"/>
      <w:marBottom w:val="525"/>
      <w:divBdr>
        <w:top w:val="none" w:sz="0" w:space="0" w:color="auto"/>
        <w:left w:val="none" w:sz="0" w:space="0" w:color="auto"/>
        <w:bottom w:val="none" w:sz="0" w:space="0" w:color="auto"/>
        <w:right w:val="none" w:sz="0" w:space="0" w:color="auto"/>
      </w:divBdr>
      <w:divsChild>
        <w:div w:id="1987778265">
          <w:marLeft w:val="0"/>
          <w:marRight w:val="0"/>
          <w:marTop w:val="0"/>
          <w:marBottom w:val="0"/>
          <w:divBdr>
            <w:top w:val="none" w:sz="0" w:space="0" w:color="auto"/>
            <w:left w:val="none" w:sz="0" w:space="0" w:color="auto"/>
            <w:bottom w:val="none" w:sz="0" w:space="0" w:color="auto"/>
            <w:right w:val="none" w:sz="0" w:space="0" w:color="auto"/>
          </w:divBdr>
          <w:divsChild>
            <w:div w:id="770276597">
              <w:marLeft w:val="0"/>
              <w:marRight w:val="0"/>
              <w:marTop w:val="0"/>
              <w:marBottom w:val="0"/>
              <w:divBdr>
                <w:top w:val="none" w:sz="0" w:space="0" w:color="auto"/>
                <w:left w:val="none" w:sz="0" w:space="0" w:color="auto"/>
                <w:bottom w:val="none" w:sz="0" w:space="0" w:color="auto"/>
                <w:right w:val="none" w:sz="0" w:space="0" w:color="auto"/>
              </w:divBdr>
              <w:divsChild>
                <w:div w:id="1177694923">
                  <w:marLeft w:val="0"/>
                  <w:marRight w:val="0"/>
                  <w:marTop w:val="0"/>
                  <w:marBottom w:val="0"/>
                  <w:divBdr>
                    <w:top w:val="none" w:sz="0" w:space="0" w:color="auto"/>
                    <w:left w:val="none" w:sz="0" w:space="0" w:color="auto"/>
                    <w:bottom w:val="none" w:sz="0" w:space="0" w:color="auto"/>
                    <w:right w:val="none" w:sz="0" w:space="0" w:color="auto"/>
                  </w:divBdr>
                  <w:divsChild>
                    <w:div w:id="4462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nrri.org/pubs/electricity/rate_des_energy_eff_SVF_REEF_jul08--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6BE12-D3BF-444D-B36C-3EA8F3747C22}"/>
</file>

<file path=customXml/itemProps2.xml><?xml version="1.0" encoding="utf-8"?>
<ds:datastoreItem xmlns:ds="http://schemas.openxmlformats.org/officeDocument/2006/customXml" ds:itemID="{3C35E59C-38C2-4546-8D59-07B2E8F3874E}"/>
</file>

<file path=customXml/itemProps3.xml><?xml version="1.0" encoding="utf-8"?>
<ds:datastoreItem xmlns:ds="http://schemas.openxmlformats.org/officeDocument/2006/customXml" ds:itemID="{D164D2E0-F03F-4C32-B1AB-DCF6349760AE}"/>
</file>

<file path=customXml/itemProps4.xml><?xml version="1.0" encoding="utf-8"?>
<ds:datastoreItem xmlns:ds="http://schemas.openxmlformats.org/officeDocument/2006/customXml" ds:itemID="{1BDA36A2-5F56-4CB7-8DEF-C0DE8B14E888}"/>
</file>

<file path=customXml/itemProps5.xml><?xml version="1.0" encoding="utf-8"?>
<ds:datastoreItem xmlns:ds="http://schemas.openxmlformats.org/officeDocument/2006/customXml" ds:itemID="{F1358A03-24F5-4A39-B181-5D5252982B5A}"/>
</file>

<file path=customXml/itemProps6.xml><?xml version="1.0" encoding="utf-8"?>
<ds:datastoreItem xmlns:ds="http://schemas.openxmlformats.org/officeDocument/2006/customXml" ds:itemID="{EB0AED3F-B9AB-4FEB-8F97-85E922854F6B}"/>
</file>

<file path=docProps/app.xml><?xml version="1.0" encoding="utf-8"?>
<Properties xmlns="http://schemas.openxmlformats.org/officeDocument/2006/extended-properties" xmlns:vt="http://schemas.openxmlformats.org/officeDocument/2006/docPropsVTypes">
  <Template>Normal.dotm</Template>
  <TotalTime>222</TotalTime>
  <Pages>75</Pages>
  <Words>14905</Words>
  <Characters>84960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Mickelson, Christopher (UTC)</dc:creator>
  <cp:lastModifiedBy>Krista Gross</cp:lastModifiedBy>
  <cp:revision>16</cp:revision>
  <cp:lastPrinted>2014-07-21T21:38:00Z</cp:lastPrinted>
  <dcterms:created xsi:type="dcterms:W3CDTF">2014-07-09T16:09:00Z</dcterms:created>
  <dcterms:modified xsi:type="dcterms:W3CDTF">2014-07-21T21:38:00Z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