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94" w:rsidRDefault="000F7B65" w:rsidP="00461401">
      <w:r>
        <w:t xml:space="preserve"> </w:t>
      </w:r>
    </w:p>
    <w:p w:rsidR="00461401" w:rsidRDefault="007B59D2" w:rsidP="00461401">
      <w:r>
        <w:t xml:space="preserve">July </w:t>
      </w:r>
      <w:r w:rsidR="00C020B6">
        <w:t>20</w:t>
      </w:r>
      <w:bookmarkStart w:id="0" w:name="_GoBack"/>
      <w:bookmarkEnd w:id="0"/>
      <w:r w:rsidR="008F51CB">
        <w:t xml:space="preserve">, </w:t>
      </w:r>
      <w:r w:rsidR="0019385F">
        <w:t>2017</w:t>
      </w:r>
    </w:p>
    <w:p w:rsidR="00461401" w:rsidRPr="000A5332" w:rsidRDefault="00461401" w:rsidP="00461401">
      <w:pPr>
        <w:rPr>
          <w:sz w:val="20"/>
          <w:szCs w:val="20"/>
        </w:rPr>
      </w:pPr>
    </w:p>
    <w:p w:rsidR="00461401" w:rsidRPr="000A5332" w:rsidRDefault="00461401" w:rsidP="00461401">
      <w:pPr>
        <w:rPr>
          <w:sz w:val="20"/>
          <w:szCs w:val="20"/>
        </w:rPr>
      </w:pPr>
    </w:p>
    <w:p w:rsidR="00461401" w:rsidRPr="004A5C13" w:rsidRDefault="00461401" w:rsidP="00461401">
      <w:r w:rsidRPr="004A5C13">
        <w:t>Steven V. King, Executive Director and Secretary</w:t>
      </w:r>
    </w:p>
    <w:p w:rsidR="00461401" w:rsidRPr="004A5C13" w:rsidRDefault="00461401" w:rsidP="00461401">
      <w:r w:rsidRPr="004A5C13">
        <w:t>Utilities and Transportation Commission</w:t>
      </w:r>
    </w:p>
    <w:p w:rsidR="00461401" w:rsidRPr="004A5C13" w:rsidRDefault="00461401" w:rsidP="00461401">
      <w:r w:rsidRPr="004A5C13">
        <w:t>1300 S. Evergreen Park Dr. SW</w:t>
      </w:r>
    </w:p>
    <w:p w:rsidR="00461401" w:rsidRPr="004A5C13" w:rsidRDefault="00461401" w:rsidP="00461401">
      <w:r w:rsidRPr="004A5C13">
        <w:t>P.O. Box 47250</w:t>
      </w:r>
    </w:p>
    <w:p w:rsidR="00461401" w:rsidRPr="004A5C13" w:rsidRDefault="00461401" w:rsidP="00461401">
      <w:r w:rsidRPr="004A5C13">
        <w:t>Olympia, WA 98504-7250</w:t>
      </w:r>
    </w:p>
    <w:p w:rsidR="00461401" w:rsidRPr="004A5C13" w:rsidRDefault="00461401" w:rsidP="00461401"/>
    <w:p w:rsidR="00435C4D" w:rsidRPr="00594B2E" w:rsidRDefault="00461401" w:rsidP="00435C4D">
      <w:pPr>
        <w:spacing w:line="276" w:lineRule="auto"/>
        <w:ind w:left="720" w:hanging="720"/>
      </w:pPr>
      <w:r>
        <w:t>RE:</w:t>
      </w:r>
      <w:r w:rsidRPr="00B647C5">
        <w:rPr>
          <w:b/>
          <w:i/>
        </w:rPr>
        <w:tab/>
      </w:r>
      <w:r w:rsidR="00435C4D" w:rsidRPr="00594B2E">
        <w:rPr>
          <w:i/>
        </w:rPr>
        <w:t xml:space="preserve">Washington Utilities and Transportation Commission v. </w:t>
      </w:r>
      <w:r w:rsidR="005F7E86">
        <w:rPr>
          <w:i/>
        </w:rPr>
        <w:t>TT&amp;</w:t>
      </w:r>
      <w:r w:rsidR="00BE41BE">
        <w:rPr>
          <w:i/>
        </w:rPr>
        <w:t>E, LLC</w:t>
      </w:r>
      <w:r w:rsidR="00E9365E">
        <w:rPr>
          <w:i/>
        </w:rPr>
        <w:t xml:space="preserve"> </w:t>
      </w:r>
      <w:r w:rsidR="00FC3E84">
        <w:rPr>
          <w:i/>
        </w:rPr>
        <w:t xml:space="preserve"> </w:t>
      </w:r>
    </w:p>
    <w:p w:rsidR="00435C4D" w:rsidRPr="00594B2E" w:rsidRDefault="00435C4D" w:rsidP="00435C4D">
      <w:pPr>
        <w:spacing w:line="276" w:lineRule="auto"/>
        <w:ind w:left="720"/>
      </w:pPr>
      <w:r w:rsidRPr="00594B2E">
        <w:t xml:space="preserve">Commission Staff’s </w:t>
      </w:r>
      <w:r w:rsidR="007C414F">
        <w:t xml:space="preserve">Recommendation to </w:t>
      </w:r>
      <w:r w:rsidR="00053D95">
        <w:t xml:space="preserve">Accept Penalty Payment Plan. </w:t>
      </w:r>
    </w:p>
    <w:p w:rsidR="00435C4D" w:rsidRPr="00594B2E" w:rsidRDefault="00435C4D" w:rsidP="00435C4D">
      <w:pPr>
        <w:spacing w:line="276" w:lineRule="auto"/>
        <w:ind w:left="720"/>
      </w:pPr>
      <w:r w:rsidRPr="00594B2E">
        <w:t xml:space="preserve">Docket </w:t>
      </w:r>
      <w:r>
        <w:t>D-</w:t>
      </w:r>
      <w:r w:rsidR="00BE41BE">
        <w:t>170116</w:t>
      </w:r>
    </w:p>
    <w:p w:rsidR="00461401" w:rsidRDefault="00461401" w:rsidP="00461401"/>
    <w:p w:rsidR="00461401" w:rsidRPr="004A5C13" w:rsidRDefault="00461401" w:rsidP="00461401">
      <w:r w:rsidRPr="004A5C13">
        <w:t>Dear Mr. King:</w:t>
      </w:r>
    </w:p>
    <w:p w:rsidR="00461401" w:rsidRPr="00080E49" w:rsidRDefault="00461401" w:rsidP="00461401"/>
    <w:p w:rsidR="00CC600E" w:rsidRDefault="00461401" w:rsidP="00A0608D">
      <w:r w:rsidRPr="004A5C13">
        <w:t xml:space="preserve">On </w:t>
      </w:r>
      <w:r w:rsidR="00A01F6E" w:rsidRPr="00A01F6E">
        <w:t>April 24</w:t>
      </w:r>
      <w:r w:rsidR="009524DD" w:rsidRPr="00A01F6E">
        <w:t>,</w:t>
      </w:r>
      <w:r w:rsidRPr="00A01F6E">
        <w:t xml:space="preserve"> 201</w:t>
      </w:r>
      <w:r w:rsidR="0019385F" w:rsidRPr="00A01F6E">
        <w:t>7</w:t>
      </w:r>
      <w:r w:rsidRPr="004A5C13">
        <w:t xml:space="preserve">, the Utilities and Transportation Commission </w:t>
      </w:r>
      <w:r>
        <w:t xml:space="preserve">(commission) </w:t>
      </w:r>
      <w:r w:rsidRPr="004A5C13">
        <w:t>issued a $</w:t>
      </w:r>
      <w:r w:rsidR="009524DD">
        <w:t>46</w:t>
      </w:r>
      <w:r>
        <w:t>,000</w:t>
      </w:r>
      <w:r w:rsidRPr="004A5C13">
        <w:t xml:space="preserve"> Penalt</w:t>
      </w:r>
      <w:r>
        <w:t>y Assessment in Docket D</w:t>
      </w:r>
      <w:r w:rsidR="007F2CC6">
        <w:t>-</w:t>
      </w:r>
      <w:r w:rsidR="009524DD">
        <w:t>170116</w:t>
      </w:r>
      <w:r>
        <w:t>,</w:t>
      </w:r>
      <w:r w:rsidRPr="004A5C13">
        <w:t xml:space="preserve"> against </w:t>
      </w:r>
      <w:r w:rsidR="005F7E86">
        <w:t>TT&amp;E, LLC (TT&amp;</w:t>
      </w:r>
      <w:r w:rsidR="009524DD">
        <w:t>E</w:t>
      </w:r>
      <w:r w:rsidR="00053D95">
        <w:t xml:space="preserve"> or company</w:t>
      </w:r>
      <w:r w:rsidR="009524DD">
        <w:t>)</w:t>
      </w:r>
      <w:r>
        <w:t xml:space="preserve"> </w:t>
      </w:r>
      <w:r w:rsidRPr="004A5C13">
        <w:t xml:space="preserve">for </w:t>
      </w:r>
      <w:r w:rsidR="009524DD">
        <w:t xml:space="preserve">10 </w:t>
      </w:r>
      <w:r w:rsidRPr="004A5C13">
        <w:t>violation</w:t>
      </w:r>
      <w:r w:rsidR="007C62E1">
        <w:t>s</w:t>
      </w:r>
      <w:r w:rsidRPr="004A5C13">
        <w:t xml:space="preserve"> of </w:t>
      </w:r>
      <w:r>
        <w:t>RCW</w:t>
      </w:r>
      <w:r w:rsidRPr="004A5C13">
        <w:t xml:space="preserve"> </w:t>
      </w:r>
      <w:r w:rsidR="007C62E1">
        <w:t>19.122.</w:t>
      </w:r>
      <w:r w:rsidR="00251A54" w:rsidRPr="001317DD">
        <w:t xml:space="preserve"> </w:t>
      </w:r>
      <w:r w:rsidR="00A0608D">
        <w:t>The</w:t>
      </w:r>
      <w:r w:rsidR="00F32565">
        <w:t>se</w:t>
      </w:r>
      <w:r w:rsidR="00A0608D">
        <w:t xml:space="preserve"> violations were based on a referral from the Washington State </w:t>
      </w:r>
      <w:r w:rsidR="009C42C0">
        <w:t>D</w:t>
      </w:r>
      <w:r w:rsidR="00A0608D">
        <w:t xml:space="preserve">ig </w:t>
      </w:r>
      <w:r w:rsidR="009C42C0">
        <w:t>L</w:t>
      </w:r>
      <w:r w:rsidR="00316BB9">
        <w:t>aw Safety Committee.</w:t>
      </w:r>
    </w:p>
    <w:p w:rsidR="00CC600E" w:rsidRDefault="00CC600E" w:rsidP="00A0608D"/>
    <w:p w:rsidR="00AE15E2" w:rsidRDefault="00AE15E2" w:rsidP="00AE15E2">
      <w:r>
        <w:t>S</w:t>
      </w:r>
      <w:r w:rsidR="005A156D">
        <w:t>taff believed that enforcing the entire $46,000 penalty against TT&amp;E would be financially burdensome</w:t>
      </w:r>
      <w:r w:rsidR="00DE2AA1">
        <w:t>,</w:t>
      </w:r>
      <w:r w:rsidR="005A156D">
        <w:t xml:space="preserve"> and recommended that the </w:t>
      </w:r>
      <w:r w:rsidR="00D60979">
        <w:t>c</w:t>
      </w:r>
      <w:r w:rsidR="005A156D">
        <w:t xml:space="preserve">ommission suspend $25,000 of </w:t>
      </w:r>
      <w:r w:rsidR="00D60979">
        <w:t>the</w:t>
      </w:r>
      <w:r w:rsidR="005A156D">
        <w:t xml:space="preserve"> penalty on</w:t>
      </w:r>
      <w:r w:rsidR="00BE2B0F">
        <w:t xml:space="preserve"> the</w:t>
      </w:r>
      <w:r w:rsidR="005A156D">
        <w:t xml:space="preserve"> condition</w:t>
      </w:r>
      <w:r w:rsidR="00BE2B0F">
        <w:t>s</w:t>
      </w:r>
      <w:r w:rsidR="005A156D">
        <w:t xml:space="preserve"> that the company commit no further violations of RCW 19.122</w:t>
      </w:r>
      <w:r w:rsidR="00CE68D9">
        <w:t xml:space="preserve"> for two years</w:t>
      </w:r>
      <w:r w:rsidR="00BE2B0F">
        <w:t>,</w:t>
      </w:r>
      <w:r w:rsidR="005A156D">
        <w:t xml:space="preserve"> and that all company personnel attend </w:t>
      </w:r>
      <w:r w:rsidR="00B363B9">
        <w:t xml:space="preserve">National Utility Contractor’s Association (NUCA) Dig Safe </w:t>
      </w:r>
      <w:r w:rsidR="005A156D">
        <w:t xml:space="preserve">training. </w:t>
      </w:r>
    </w:p>
    <w:p w:rsidR="00AE15E2" w:rsidRDefault="00AE15E2" w:rsidP="00AE15E2"/>
    <w:p w:rsidR="005A156D" w:rsidRDefault="00C0679D" w:rsidP="00AE15E2">
      <w:pPr>
        <w:rPr>
          <w:iCs/>
        </w:rPr>
      </w:pPr>
      <w:r w:rsidRPr="000F0313">
        <w:t>The</w:t>
      </w:r>
      <w:r>
        <w:rPr>
          <w:iCs/>
        </w:rPr>
        <w:t xml:space="preserve"> </w:t>
      </w:r>
      <w:r w:rsidR="00D60979">
        <w:rPr>
          <w:iCs/>
        </w:rPr>
        <w:t>c</w:t>
      </w:r>
      <w:r w:rsidRPr="001C4D84">
        <w:rPr>
          <w:iCs/>
        </w:rPr>
        <w:t>ommission</w:t>
      </w:r>
      <w:r>
        <w:rPr>
          <w:iCs/>
        </w:rPr>
        <w:t xml:space="preserve"> agreed with staff’s recommendation and</w:t>
      </w:r>
      <w:r w:rsidR="00AE15E2">
        <w:rPr>
          <w:iCs/>
        </w:rPr>
        <w:t xml:space="preserve"> </w:t>
      </w:r>
      <w:r>
        <w:rPr>
          <w:iCs/>
        </w:rPr>
        <w:t>assessed a penalty of $46,000</w:t>
      </w:r>
      <w:r w:rsidRPr="001C4D84">
        <w:rPr>
          <w:iCs/>
        </w:rPr>
        <w:t xml:space="preserve"> </w:t>
      </w:r>
      <w:r>
        <w:rPr>
          <w:iCs/>
        </w:rPr>
        <w:t>with an offer to</w:t>
      </w:r>
      <w:r w:rsidRPr="001C4D84">
        <w:rPr>
          <w:iCs/>
        </w:rPr>
        <w:t xml:space="preserve"> suspend $</w:t>
      </w:r>
      <w:r>
        <w:rPr>
          <w:iCs/>
        </w:rPr>
        <w:t>25</w:t>
      </w:r>
      <w:r w:rsidRPr="001C4D84">
        <w:rPr>
          <w:iCs/>
        </w:rPr>
        <w:t xml:space="preserve">,000 of </w:t>
      </w:r>
      <w:r>
        <w:rPr>
          <w:iCs/>
        </w:rPr>
        <w:t>the</w:t>
      </w:r>
      <w:r w:rsidRPr="001C4D84">
        <w:rPr>
          <w:iCs/>
        </w:rPr>
        <w:t xml:space="preserve"> penalty on the </w:t>
      </w:r>
      <w:r>
        <w:rPr>
          <w:iCs/>
        </w:rPr>
        <w:t xml:space="preserve">two previously stated conditions. </w:t>
      </w:r>
      <w:r w:rsidR="00AE15E2">
        <w:rPr>
          <w:iCs/>
        </w:rPr>
        <w:t xml:space="preserve">TT&amp;E received the penalty assessment via certified mail on April 28, 2017. </w:t>
      </w:r>
    </w:p>
    <w:p w:rsidR="000C3C4D" w:rsidRDefault="000C3C4D" w:rsidP="00461401"/>
    <w:p w:rsidR="00461401" w:rsidRDefault="00461401" w:rsidP="00461401">
      <w:r>
        <w:t xml:space="preserve">On </w:t>
      </w:r>
      <w:r w:rsidR="000C3C4D">
        <w:t>May 24</w:t>
      </w:r>
      <w:r w:rsidR="00FF33B3">
        <w:t>, 2017</w:t>
      </w:r>
      <w:r w:rsidR="007F2CC6">
        <w:t>,</w:t>
      </w:r>
      <w:r w:rsidRPr="004A5C13">
        <w:t xml:space="preserve"> </w:t>
      </w:r>
      <w:r w:rsidR="00E71660">
        <w:t>the commissi</w:t>
      </w:r>
      <w:r w:rsidR="00FF33B3">
        <w:t xml:space="preserve">on received a letter from </w:t>
      </w:r>
      <w:r w:rsidR="00B363B9">
        <w:t>TT&amp;E’s attorney, Russel Hermes</w:t>
      </w:r>
      <w:r w:rsidR="00316BB9">
        <w:t>, which</w:t>
      </w:r>
      <w:r w:rsidR="000C3C4D">
        <w:t xml:space="preserve"> provided </w:t>
      </w:r>
      <w:r w:rsidR="00B41C7A">
        <w:t>reasons</w:t>
      </w:r>
      <w:r w:rsidR="005F7E86">
        <w:t xml:space="preserve"> for which </w:t>
      </w:r>
      <w:r w:rsidR="00DE2AA1">
        <w:t xml:space="preserve">the company </w:t>
      </w:r>
      <w:r w:rsidR="005F7E86">
        <w:t>believed</w:t>
      </w:r>
      <w:r w:rsidR="000C3C4D">
        <w:t xml:space="preserve"> they deserved a mitigation hearing.</w:t>
      </w:r>
      <w:r w:rsidR="00FF33B3">
        <w:t xml:space="preserve"> </w:t>
      </w:r>
      <w:r w:rsidR="00C201A5">
        <w:t xml:space="preserve">The commission considered </w:t>
      </w:r>
      <w:r w:rsidR="00E16788">
        <w:t>the</w:t>
      </w:r>
      <w:r w:rsidR="00C201A5">
        <w:t xml:space="preserve"> arguments submitted by </w:t>
      </w:r>
      <w:r w:rsidR="00DE2AA1">
        <w:t xml:space="preserve">the company </w:t>
      </w:r>
      <w:r w:rsidR="00C201A5">
        <w:t xml:space="preserve">and determined in Order 01, effective June 5, 2017, that the recommended penalty amount was justified and the mitigation request was denied. </w:t>
      </w:r>
    </w:p>
    <w:p w:rsidR="00C201A5" w:rsidRDefault="00C201A5" w:rsidP="00461401"/>
    <w:p w:rsidR="00A5604A" w:rsidRDefault="00C201A5" w:rsidP="00461401">
      <w:r>
        <w:lastRenderedPageBreak/>
        <w:t>Order 01 stated that TT&amp;E must either pay the $21,000 portion of the penalty that is not suspended, or file jointly with staff a prop</w:t>
      </w:r>
      <w:r w:rsidR="00E16788">
        <w:t>o</w:t>
      </w:r>
      <w:r>
        <w:t>sed payment arrangement within 20 days of t</w:t>
      </w:r>
      <w:r w:rsidR="00E16788">
        <w:t xml:space="preserve">he </w:t>
      </w:r>
    </w:p>
    <w:p w:rsidR="00FE0281" w:rsidRDefault="00E16788" w:rsidP="00461401">
      <w:proofErr w:type="gramStart"/>
      <w:r>
        <w:t>effective</w:t>
      </w:r>
      <w:proofErr w:type="gramEnd"/>
      <w:r>
        <w:t xml:space="preserve"> date of Order 01</w:t>
      </w:r>
      <w:r>
        <w:rPr>
          <w:rStyle w:val="FootnoteReference"/>
        </w:rPr>
        <w:footnoteReference w:id="1"/>
      </w:r>
      <w:r w:rsidR="00B41C7A">
        <w:t>. The deadline for these</w:t>
      </w:r>
      <w:r>
        <w:t xml:space="preserve"> action</w:t>
      </w:r>
      <w:r w:rsidR="00B41C7A">
        <w:t>s</w:t>
      </w:r>
      <w:r>
        <w:t xml:space="preserve"> to occur was June 25, 2017. TT&amp;E failed to pay the required $21,000 portion of the penalty that is due, and made no attempt to contact staff to set up a payment plan. </w:t>
      </w:r>
    </w:p>
    <w:p w:rsidR="00FE0281" w:rsidRDefault="00FE0281" w:rsidP="00461401"/>
    <w:p w:rsidR="00E71660" w:rsidRDefault="00FE0281" w:rsidP="00F70192">
      <w:r>
        <w:t>On June 29, 2017</w:t>
      </w:r>
      <w:r w:rsidR="00316BB9">
        <w:t>, staff</w:t>
      </w:r>
      <w:r>
        <w:t xml:space="preserve"> recommended the commission impose </w:t>
      </w:r>
      <w:r w:rsidR="00DC5FC4">
        <w:t>the</w:t>
      </w:r>
      <w:r w:rsidR="00E16788">
        <w:t xml:space="preserve"> </w:t>
      </w:r>
      <w:r w:rsidR="00B41C7A">
        <w:t xml:space="preserve">suspended $25,000 portion of the </w:t>
      </w:r>
      <w:r w:rsidR="00DC5FC4">
        <w:t xml:space="preserve">original penalty amount </w:t>
      </w:r>
      <w:r w:rsidR="00B41C7A">
        <w:t>as a result of</w:t>
      </w:r>
      <w:r w:rsidR="00E16788">
        <w:t xml:space="preserve"> TT&amp;E failing to comply with the requirements of Order 01.</w:t>
      </w:r>
      <w:r>
        <w:t xml:space="preserve"> Upon </w:t>
      </w:r>
      <w:r w:rsidR="00316BB9">
        <w:t>receiving</w:t>
      </w:r>
      <w:r>
        <w:t xml:space="preserve"> this letter, company representative Ben </w:t>
      </w:r>
      <w:proofErr w:type="spellStart"/>
      <w:r>
        <w:t>Tanielian</w:t>
      </w:r>
      <w:proofErr w:type="spellEnd"/>
      <w:r>
        <w:t xml:space="preserve"> contacted the commission</w:t>
      </w:r>
      <w:r w:rsidR="007862DA">
        <w:t xml:space="preserve"> and stated there was a misunderstanding involving the company’s response to Order 01</w:t>
      </w:r>
      <w:r w:rsidR="00053D95">
        <w:t>,</w:t>
      </w:r>
      <w:r w:rsidR="007862DA">
        <w:t xml:space="preserve"> and requested an exception to be allowed to set up a payment plan as originally proposed. Staff requested Mr. </w:t>
      </w:r>
      <w:proofErr w:type="spellStart"/>
      <w:r w:rsidR="007862DA">
        <w:t>Tanielian</w:t>
      </w:r>
      <w:proofErr w:type="spellEnd"/>
      <w:r w:rsidR="007862DA">
        <w:t xml:space="preserve"> submit a written request providing further details of the company’s argument. </w:t>
      </w:r>
    </w:p>
    <w:p w:rsidR="007862DA" w:rsidRDefault="007862DA" w:rsidP="00F70192"/>
    <w:p w:rsidR="00DE2AA1" w:rsidRDefault="007862DA" w:rsidP="00F70192">
      <w:r>
        <w:t xml:space="preserve">On July 10, 2017, the commission received a written </w:t>
      </w:r>
      <w:r w:rsidR="00053D95">
        <w:t>response</w:t>
      </w:r>
      <w:r>
        <w:t xml:space="preserve"> from Mr. </w:t>
      </w:r>
      <w:proofErr w:type="spellStart"/>
      <w:r>
        <w:t>Tanielian</w:t>
      </w:r>
      <w:proofErr w:type="spellEnd"/>
      <w:r>
        <w:t xml:space="preserve"> </w:t>
      </w:r>
      <w:r w:rsidR="002D170A">
        <w:t xml:space="preserve">requesting a reconsideration of imposing the suspended portion and allowing the company to set up a payment plan. Mr. </w:t>
      </w:r>
      <w:proofErr w:type="spellStart"/>
      <w:r w:rsidR="002D170A">
        <w:t>Tanielian</w:t>
      </w:r>
      <w:proofErr w:type="spellEnd"/>
      <w:r w:rsidR="002D170A">
        <w:t xml:space="preserve"> </w:t>
      </w:r>
      <w:r>
        <w:t>stat</w:t>
      </w:r>
      <w:r w:rsidR="002D170A">
        <w:t>ed</w:t>
      </w:r>
      <w:r>
        <w:t xml:space="preserve"> the reason for the company’s failure to respond to Order 01 was due to a miscommunication </w:t>
      </w:r>
      <w:r w:rsidR="00053D95">
        <w:t>with</w:t>
      </w:r>
      <w:r>
        <w:t xml:space="preserve"> their attorney</w:t>
      </w:r>
      <w:r w:rsidR="00DE2AA1">
        <w:t>,</w:t>
      </w:r>
      <w:r>
        <w:t xml:space="preserve"> Mr. Hermes. He also stated the company ha</w:t>
      </w:r>
      <w:r w:rsidR="00DE2AA1">
        <w:t>s</w:t>
      </w:r>
      <w:r>
        <w:t xml:space="preserve"> hired a new employee to solely focus on processing and documenting utility locates. </w:t>
      </w:r>
      <w:r w:rsidR="002D170A">
        <w:t xml:space="preserve">On July 18, 2017, staff contacted Mr. </w:t>
      </w:r>
      <w:proofErr w:type="spellStart"/>
      <w:r w:rsidR="002D170A">
        <w:t>Tanielian</w:t>
      </w:r>
      <w:proofErr w:type="spellEnd"/>
      <w:r w:rsidR="002D170A">
        <w:t xml:space="preserve"> </w:t>
      </w:r>
      <w:r w:rsidR="006C21AD">
        <w:t>to discuss</w:t>
      </w:r>
      <w:r w:rsidR="002D170A">
        <w:t xml:space="preserve"> </w:t>
      </w:r>
      <w:r w:rsidR="00053D95">
        <w:t>the company’s</w:t>
      </w:r>
      <w:r w:rsidR="002D170A">
        <w:t xml:space="preserve"> request for a payment plan. </w:t>
      </w:r>
    </w:p>
    <w:p w:rsidR="00DE2AA1" w:rsidRDefault="00DE2AA1" w:rsidP="00F70192"/>
    <w:p w:rsidR="002D170A" w:rsidRDefault="002D170A" w:rsidP="00F70192">
      <w:r>
        <w:t xml:space="preserve">Staff </w:t>
      </w:r>
      <w:r w:rsidR="00053D95">
        <w:t>recommend</w:t>
      </w:r>
      <w:r w:rsidR="00A01F6E">
        <w:t>s the commission accept</w:t>
      </w:r>
      <w:r w:rsidR="00053D95">
        <w:t xml:space="preserve"> </w:t>
      </w:r>
      <w:r>
        <w:t>the following</w:t>
      </w:r>
      <w:r w:rsidR="00053D95">
        <w:t xml:space="preserve"> mutually agreed upon</w:t>
      </w:r>
      <w:r>
        <w:t xml:space="preserve"> payment arrangements</w:t>
      </w:r>
      <w:r w:rsidR="006C21AD">
        <w:t xml:space="preserve"> to satisfy the $21,000 penalty</w:t>
      </w:r>
      <w:r>
        <w:t>:</w:t>
      </w:r>
    </w:p>
    <w:p w:rsidR="002D170A" w:rsidRDefault="002D170A" w:rsidP="00F70192"/>
    <w:tbl>
      <w:tblPr>
        <w:tblStyle w:val="TableGrid"/>
        <w:tblW w:w="0" w:type="auto"/>
        <w:tblInd w:w="2875" w:type="dxa"/>
        <w:tblLook w:val="04A0" w:firstRow="1" w:lastRow="0" w:firstColumn="1" w:lastColumn="0" w:noHBand="0" w:noVBand="1"/>
      </w:tblPr>
      <w:tblGrid>
        <w:gridCol w:w="1800"/>
        <w:gridCol w:w="1530"/>
      </w:tblGrid>
      <w:tr w:rsidR="002D170A" w:rsidTr="002D170A">
        <w:tc>
          <w:tcPr>
            <w:tcW w:w="1800" w:type="dxa"/>
          </w:tcPr>
          <w:p w:rsidR="002D170A" w:rsidRDefault="002D170A" w:rsidP="002D170A">
            <w:pPr>
              <w:jc w:val="center"/>
            </w:pPr>
            <w:r>
              <w:t>Due Date</w:t>
            </w:r>
          </w:p>
        </w:tc>
        <w:tc>
          <w:tcPr>
            <w:tcW w:w="1530" w:type="dxa"/>
          </w:tcPr>
          <w:p w:rsidR="002D170A" w:rsidRDefault="002D170A" w:rsidP="002D170A">
            <w:pPr>
              <w:jc w:val="center"/>
            </w:pPr>
            <w:r>
              <w:t>Amount</w:t>
            </w:r>
          </w:p>
        </w:tc>
      </w:tr>
      <w:tr w:rsidR="002D170A" w:rsidTr="002D170A">
        <w:tc>
          <w:tcPr>
            <w:tcW w:w="1800" w:type="dxa"/>
          </w:tcPr>
          <w:p w:rsidR="002D170A" w:rsidRDefault="002D170A" w:rsidP="002D170A">
            <w:pPr>
              <w:jc w:val="center"/>
            </w:pPr>
            <w:r>
              <w:t>Aug. 15, 2017</w:t>
            </w:r>
          </w:p>
        </w:tc>
        <w:tc>
          <w:tcPr>
            <w:tcW w:w="1530" w:type="dxa"/>
          </w:tcPr>
          <w:p w:rsidR="002D170A" w:rsidRDefault="002D170A" w:rsidP="002D170A">
            <w:pPr>
              <w:jc w:val="center"/>
            </w:pPr>
            <w:r>
              <w:t>$2,625</w:t>
            </w:r>
          </w:p>
        </w:tc>
      </w:tr>
      <w:tr w:rsidR="006C21AD" w:rsidTr="002D170A">
        <w:tc>
          <w:tcPr>
            <w:tcW w:w="1800" w:type="dxa"/>
          </w:tcPr>
          <w:p w:rsidR="006C21AD" w:rsidRDefault="006C21AD" w:rsidP="006C21AD">
            <w:pPr>
              <w:jc w:val="center"/>
            </w:pPr>
            <w:r>
              <w:t>Sept. 15, 2017</w:t>
            </w:r>
          </w:p>
        </w:tc>
        <w:tc>
          <w:tcPr>
            <w:tcW w:w="1530" w:type="dxa"/>
          </w:tcPr>
          <w:p w:rsidR="006C21AD" w:rsidRDefault="006C21AD" w:rsidP="006C21AD">
            <w:pPr>
              <w:jc w:val="center"/>
            </w:pPr>
            <w:r w:rsidRPr="003143AF">
              <w:t>$2,625</w:t>
            </w:r>
          </w:p>
        </w:tc>
      </w:tr>
      <w:tr w:rsidR="006C21AD" w:rsidTr="002D170A">
        <w:tc>
          <w:tcPr>
            <w:tcW w:w="1800" w:type="dxa"/>
          </w:tcPr>
          <w:p w:rsidR="006C21AD" w:rsidRDefault="006C21AD" w:rsidP="006C21AD">
            <w:pPr>
              <w:jc w:val="center"/>
            </w:pPr>
            <w:r>
              <w:t>Oct. 15, 2017</w:t>
            </w:r>
          </w:p>
        </w:tc>
        <w:tc>
          <w:tcPr>
            <w:tcW w:w="1530" w:type="dxa"/>
          </w:tcPr>
          <w:p w:rsidR="006C21AD" w:rsidRDefault="006C21AD" w:rsidP="006C21AD">
            <w:pPr>
              <w:jc w:val="center"/>
            </w:pPr>
            <w:r w:rsidRPr="003143AF">
              <w:t>$2,625</w:t>
            </w:r>
          </w:p>
        </w:tc>
      </w:tr>
      <w:tr w:rsidR="006C21AD" w:rsidTr="002D170A">
        <w:tc>
          <w:tcPr>
            <w:tcW w:w="1800" w:type="dxa"/>
          </w:tcPr>
          <w:p w:rsidR="006C21AD" w:rsidRDefault="006C21AD" w:rsidP="006C21AD">
            <w:pPr>
              <w:jc w:val="center"/>
            </w:pPr>
            <w:r>
              <w:t>Nov. 15, 2017</w:t>
            </w:r>
          </w:p>
        </w:tc>
        <w:tc>
          <w:tcPr>
            <w:tcW w:w="1530" w:type="dxa"/>
          </w:tcPr>
          <w:p w:rsidR="006C21AD" w:rsidRDefault="006C21AD" w:rsidP="006C21AD">
            <w:pPr>
              <w:jc w:val="center"/>
            </w:pPr>
            <w:r w:rsidRPr="003143AF">
              <w:t>$2,625</w:t>
            </w:r>
          </w:p>
        </w:tc>
      </w:tr>
      <w:tr w:rsidR="006C21AD" w:rsidTr="002D170A">
        <w:tc>
          <w:tcPr>
            <w:tcW w:w="1800" w:type="dxa"/>
          </w:tcPr>
          <w:p w:rsidR="006C21AD" w:rsidRDefault="006C21AD" w:rsidP="006C21AD">
            <w:pPr>
              <w:jc w:val="center"/>
            </w:pPr>
            <w:r>
              <w:t>Dec. 15, 2017</w:t>
            </w:r>
          </w:p>
        </w:tc>
        <w:tc>
          <w:tcPr>
            <w:tcW w:w="1530" w:type="dxa"/>
          </w:tcPr>
          <w:p w:rsidR="006C21AD" w:rsidRDefault="006C21AD" w:rsidP="006C21AD">
            <w:pPr>
              <w:jc w:val="center"/>
            </w:pPr>
            <w:r w:rsidRPr="003143AF">
              <w:t>$2,625</w:t>
            </w:r>
          </w:p>
        </w:tc>
      </w:tr>
      <w:tr w:rsidR="006C21AD" w:rsidTr="002D170A">
        <w:tc>
          <w:tcPr>
            <w:tcW w:w="1800" w:type="dxa"/>
          </w:tcPr>
          <w:p w:rsidR="006C21AD" w:rsidRDefault="006C21AD" w:rsidP="00CE68D9">
            <w:pPr>
              <w:jc w:val="center"/>
            </w:pPr>
            <w:r>
              <w:t xml:space="preserve">Jan. 15, </w:t>
            </w:r>
            <w:r w:rsidR="00CE68D9">
              <w:t>2018</w:t>
            </w:r>
          </w:p>
        </w:tc>
        <w:tc>
          <w:tcPr>
            <w:tcW w:w="1530" w:type="dxa"/>
          </w:tcPr>
          <w:p w:rsidR="006C21AD" w:rsidRDefault="006C21AD" w:rsidP="006C21AD">
            <w:pPr>
              <w:jc w:val="center"/>
            </w:pPr>
            <w:r w:rsidRPr="003143AF">
              <w:t>$2,625</w:t>
            </w:r>
          </w:p>
        </w:tc>
      </w:tr>
      <w:tr w:rsidR="006C21AD" w:rsidTr="002D170A">
        <w:tc>
          <w:tcPr>
            <w:tcW w:w="1800" w:type="dxa"/>
          </w:tcPr>
          <w:p w:rsidR="006C21AD" w:rsidRDefault="006C21AD" w:rsidP="00CE68D9">
            <w:pPr>
              <w:jc w:val="center"/>
            </w:pPr>
            <w:r>
              <w:t xml:space="preserve">Feb. 15, </w:t>
            </w:r>
            <w:r w:rsidR="00CE68D9">
              <w:t>2018</w:t>
            </w:r>
          </w:p>
        </w:tc>
        <w:tc>
          <w:tcPr>
            <w:tcW w:w="1530" w:type="dxa"/>
          </w:tcPr>
          <w:p w:rsidR="006C21AD" w:rsidRDefault="006C21AD" w:rsidP="006C21AD">
            <w:pPr>
              <w:jc w:val="center"/>
            </w:pPr>
            <w:r w:rsidRPr="003143AF">
              <w:t>$2,625</w:t>
            </w:r>
          </w:p>
        </w:tc>
      </w:tr>
      <w:tr w:rsidR="006C21AD" w:rsidTr="002D170A">
        <w:tc>
          <w:tcPr>
            <w:tcW w:w="1800" w:type="dxa"/>
          </w:tcPr>
          <w:p w:rsidR="006C21AD" w:rsidRDefault="006C21AD" w:rsidP="00CE68D9">
            <w:pPr>
              <w:jc w:val="center"/>
            </w:pPr>
            <w:r>
              <w:t xml:space="preserve">March 15, </w:t>
            </w:r>
            <w:r w:rsidR="00CE68D9">
              <w:t>2018</w:t>
            </w:r>
          </w:p>
        </w:tc>
        <w:tc>
          <w:tcPr>
            <w:tcW w:w="1530" w:type="dxa"/>
          </w:tcPr>
          <w:p w:rsidR="006C21AD" w:rsidRDefault="006C21AD" w:rsidP="006C21AD">
            <w:pPr>
              <w:jc w:val="center"/>
            </w:pPr>
            <w:r w:rsidRPr="003143AF">
              <w:t>$2,625</w:t>
            </w:r>
          </w:p>
        </w:tc>
      </w:tr>
      <w:tr w:rsidR="002F3910" w:rsidRPr="002F3910" w:rsidTr="002D170A">
        <w:tc>
          <w:tcPr>
            <w:tcW w:w="1800" w:type="dxa"/>
          </w:tcPr>
          <w:p w:rsidR="002F3910" w:rsidRPr="002F3910" w:rsidRDefault="002F3910" w:rsidP="006C21AD">
            <w:pPr>
              <w:jc w:val="center"/>
              <w:rPr>
                <w:b/>
              </w:rPr>
            </w:pPr>
            <w:r w:rsidRPr="002F3910">
              <w:rPr>
                <w:b/>
              </w:rPr>
              <w:t>Total</w:t>
            </w:r>
          </w:p>
        </w:tc>
        <w:tc>
          <w:tcPr>
            <w:tcW w:w="1530" w:type="dxa"/>
          </w:tcPr>
          <w:p w:rsidR="002F3910" w:rsidRPr="002F3910" w:rsidRDefault="002F3910" w:rsidP="006C21AD">
            <w:pPr>
              <w:jc w:val="center"/>
              <w:rPr>
                <w:b/>
              </w:rPr>
            </w:pPr>
            <w:r w:rsidRPr="002F3910">
              <w:rPr>
                <w:b/>
              </w:rPr>
              <w:t>$21,000</w:t>
            </w:r>
          </w:p>
        </w:tc>
      </w:tr>
    </w:tbl>
    <w:p w:rsidR="002D170A" w:rsidRPr="003716DD" w:rsidRDefault="002D170A" w:rsidP="002D170A">
      <w:pPr>
        <w:jc w:val="center"/>
      </w:pPr>
    </w:p>
    <w:p w:rsidR="005A3D5A" w:rsidRDefault="005A3D5A" w:rsidP="00461401">
      <w:r>
        <w:t>Staff also recommends that the commission suspend $25,000 of the original $46,000 penalty as initially offered, on the conditions that the company commit no further violations of RCW 19.122 within two years of the date of the final order, and that all company personnel</w:t>
      </w:r>
      <w:r w:rsidR="00DE2AA1">
        <w:t>,</w:t>
      </w:r>
      <w:r>
        <w:t xml:space="preserve"> including ownership and management</w:t>
      </w:r>
      <w:r w:rsidR="00DE2AA1">
        <w:t>,</w:t>
      </w:r>
      <w:r>
        <w:t xml:space="preserve"> attend NUCA training within one year. </w:t>
      </w:r>
    </w:p>
    <w:p w:rsidR="005A3D5A" w:rsidRDefault="005A3D5A" w:rsidP="00461401"/>
    <w:p w:rsidR="005A3D5A" w:rsidRDefault="005A3D5A" w:rsidP="00461401">
      <w:r>
        <w:lastRenderedPageBreak/>
        <w:t xml:space="preserve">Finally, staff recommends that if the company fails to timely pay any installment of the agreed upon payment plan, the entire remaining balance including the suspended portion will become immediately due and payable. </w:t>
      </w:r>
    </w:p>
    <w:p w:rsidR="00053D95" w:rsidRDefault="00053D95" w:rsidP="00461401"/>
    <w:p w:rsidR="00A5604A" w:rsidRDefault="00A5604A" w:rsidP="00461401"/>
    <w:p w:rsidR="00461401" w:rsidRPr="003A492B" w:rsidRDefault="00461401" w:rsidP="00461401">
      <w:r>
        <w:t xml:space="preserve"> </w:t>
      </w:r>
      <w:r w:rsidRPr="003A492B">
        <w:t>Sincerely,</w:t>
      </w:r>
    </w:p>
    <w:p w:rsidR="00461401" w:rsidRDefault="00461401" w:rsidP="00461401"/>
    <w:p w:rsidR="00703627" w:rsidRDefault="00703627" w:rsidP="00461401"/>
    <w:p w:rsidR="000A5332" w:rsidRPr="003A492B" w:rsidRDefault="000A5332" w:rsidP="00461401"/>
    <w:p w:rsidR="00461401" w:rsidRPr="003A492B" w:rsidRDefault="00BE41BE" w:rsidP="00461401">
      <w:r>
        <w:t>Sean C. Mayo</w:t>
      </w:r>
    </w:p>
    <w:p w:rsidR="00121610" w:rsidRDefault="00461401" w:rsidP="00461401">
      <w:r w:rsidRPr="003A492B">
        <w:t>Pipeline Safety Director</w:t>
      </w:r>
    </w:p>
    <w:p w:rsidR="00781B1D" w:rsidRDefault="00781B1D" w:rsidP="00461401"/>
    <w:p w:rsidR="00852218" w:rsidRPr="00461401" w:rsidRDefault="00852218" w:rsidP="00852218">
      <w:pPr>
        <w:jc w:val="center"/>
      </w:pPr>
    </w:p>
    <w:sectPr w:rsidR="00852218" w:rsidRPr="00461401" w:rsidSect="00C020B6">
      <w:headerReference w:type="default" r:id="rId12"/>
      <w:headerReference w:type="first" r:id="rId13"/>
      <w:footerReference w:type="first" r:id="rId14"/>
      <w:pgSz w:w="12240" w:h="15840"/>
      <w:pgMar w:top="1440" w:right="1440" w:bottom="158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3E9" w:rsidRDefault="000F63E9" w:rsidP="00AB61BF">
      <w:r>
        <w:separator/>
      </w:r>
    </w:p>
  </w:endnote>
  <w:endnote w:type="continuationSeparator" w:id="0">
    <w:p w:rsidR="000F63E9" w:rsidRDefault="000F63E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3E9" w:rsidRDefault="000F63E9" w:rsidP="00AB61BF">
      <w:r>
        <w:separator/>
      </w:r>
    </w:p>
  </w:footnote>
  <w:footnote w:type="continuationSeparator" w:id="0">
    <w:p w:rsidR="000F63E9" w:rsidRDefault="000F63E9" w:rsidP="00AB61BF">
      <w:r>
        <w:continuationSeparator/>
      </w:r>
    </w:p>
  </w:footnote>
  <w:footnote w:id="1">
    <w:p w:rsidR="00E16788" w:rsidRDefault="00E16788">
      <w:pPr>
        <w:pStyle w:val="FootnoteText"/>
      </w:pPr>
      <w:r>
        <w:rPr>
          <w:rStyle w:val="FootnoteReference"/>
        </w:rPr>
        <w:footnoteRef/>
      </w:r>
      <w:r>
        <w:t xml:space="preserve"> Order 01 entered on</w:t>
      </w:r>
      <w:r w:rsidR="00B41C7A">
        <w:t xml:space="preserve"> June 5, 2017, incorrectly cited</w:t>
      </w:r>
      <w:r>
        <w:t xml:space="preserve"> a $19,000 portion of the penalty that is not </w:t>
      </w:r>
      <w:r w:rsidR="00B41C7A">
        <w:t>suspended</w:t>
      </w:r>
      <w:r>
        <w:t xml:space="preserve">. The correct amount is $21,000. An Erratum to Order 01 was sent to all parties of record on June 6, 2017, correcting this error.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934" w:rsidRDefault="005F7E86">
    <w:pPr>
      <w:pStyle w:val="Header"/>
    </w:pPr>
    <w:r>
      <w:t>TT&amp;</w:t>
    </w:r>
    <w:r w:rsidR="00BE41BE">
      <w:t>E, LLC</w:t>
    </w:r>
  </w:p>
  <w:p w:rsidR="00487934" w:rsidRDefault="00862C70">
    <w:pPr>
      <w:pStyle w:val="Header"/>
    </w:pPr>
    <w:r>
      <w:t>D-</w:t>
    </w:r>
    <w:r w:rsidR="00BE41BE">
      <w:t xml:space="preserve">170116 </w:t>
    </w:r>
  </w:p>
  <w:p w:rsidR="00487934" w:rsidRDefault="00B237F6">
    <w:pPr>
      <w:pStyle w:val="Header"/>
      <w:rPr>
        <w:bCs/>
      </w:rPr>
    </w:pPr>
    <w:r>
      <w:t xml:space="preserve">Page </w:t>
    </w:r>
    <w:r w:rsidRPr="00B237F6">
      <w:rPr>
        <w:bCs/>
      </w:rPr>
      <w:fldChar w:fldCharType="begin"/>
    </w:r>
    <w:r w:rsidRPr="00B237F6">
      <w:rPr>
        <w:bCs/>
      </w:rPr>
      <w:instrText xml:space="preserve"> PAGE  \* Arabic  \* MERGEFORMAT </w:instrText>
    </w:r>
    <w:r w:rsidRPr="00B237F6">
      <w:rPr>
        <w:bCs/>
      </w:rPr>
      <w:fldChar w:fldCharType="separate"/>
    </w:r>
    <w:r w:rsidR="00C020B6">
      <w:rPr>
        <w:bCs/>
        <w:noProof/>
      </w:rPr>
      <w:t>2</w:t>
    </w:r>
    <w:r w:rsidRPr="00B237F6">
      <w:rPr>
        <w:bCs/>
      </w:rPr>
      <w:fldChar w:fldCharType="end"/>
    </w:r>
    <w:r>
      <w:t xml:space="preserve"> of </w:t>
    </w:r>
    <w:r w:rsidRPr="00B237F6">
      <w:rPr>
        <w:bCs/>
      </w:rPr>
      <w:fldChar w:fldCharType="begin"/>
    </w:r>
    <w:r w:rsidRPr="00B237F6">
      <w:rPr>
        <w:bCs/>
      </w:rPr>
      <w:instrText xml:space="preserve"> NUMPAGES  \* Arabic  \* MERGEFORMAT </w:instrText>
    </w:r>
    <w:r w:rsidRPr="00B237F6">
      <w:rPr>
        <w:bCs/>
      </w:rPr>
      <w:fldChar w:fldCharType="separate"/>
    </w:r>
    <w:r w:rsidR="00C020B6">
      <w:rPr>
        <w:bCs/>
        <w:noProof/>
      </w:rPr>
      <w:t>3</w:t>
    </w:r>
    <w:r w:rsidRPr="00B237F6">
      <w:rPr>
        <w:bCs/>
      </w:rPr>
      <w:fldChar w:fldCharType="end"/>
    </w:r>
  </w:p>
  <w:p w:rsidR="00F641D5" w:rsidRDefault="00F641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F9" w:rsidRDefault="004847F9" w:rsidP="004847F9">
    <w:pPr>
      <w:jc w:val="center"/>
    </w:pPr>
    <w:r>
      <w:rPr>
        <w:noProof/>
      </w:rPr>
      <w:drawing>
        <wp:inline distT="0" distB="0" distL="0" distR="0" wp14:anchorId="54412433" wp14:editId="62169D4E">
          <wp:extent cx="662940" cy="68580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4847F9" w:rsidRDefault="004847F9" w:rsidP="004847F9">
    <w:pPr>
      <w:rPr>
        <w:sz w:val="14"/>
      </w:rPr>
    </w:pPr>
  </w:p>
  <w:p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4847F9" w:rsidRDefault="004847F9" w:rsidP="004847F9">
    <w:pPr>
      <w:jc w:val="center"/>
      <w:rPr>
        <w:color w:val="008000"/>
        <w:sz w:val="8"/>
      </w:rPr>
    </w:pPr>
  </w:p>
  <w:p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4847F9" w:rsidRDefault="004847F9" w:rsidP="004847F9">
    <w:pPr>
      <w:jc w:val="center"/>
      <w:rPr>
        <w:i/>
        <w:color w:val="008000"/>
        <w:sz w:val="8"/>
      </w:rPr>
    </w:pPr>
  </w:p>
  <w:p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E8D"/>
    <w:multiLevelType w:val="hybridMultilevel"/>
    <w:tmpl w:val="AACCE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4F90"/>
    <w:multiLevelType w:val="hybridMultilevel"/>
    <w:tmpl w:val="AAA64F96"/>
    <w:lvl w:ilvl="0" w:tplc="C6508776">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F24EFA"/>
    <w:multiLevelType w:val="hybridMultilevel"/>
    <w:tmpl w:val="3B8A9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D30497F"/>
    <w:multiLevelType w:val="hybridMultilevel"/>
    <w:tmpl w:val="7312EA2A"/>
    <w:lvl w:ilvl="0" w:tplc="FA06458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814054"/>
    <w:multiLevelType w:val="hybridMultilevel"/>
    <w:tmpl w:val="0B669D06"/>
    <w:lvl w:ilvl="0" w:tplc="5CBAB2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5178C"/>
    <w:multiLevelType w:val="hybridMultilevel"/>
    <w:tmpl w:val="025614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0"/>
  </w:num>
  <w:num w:numId="4">
    <w:abstractNumId w:val="2"/>
  </w:num>
  <w:num w:numId="5">
    <w:abstractNumId w:val="4"/>
  </w:num>
  <w:num w:numId="6">
    <w:abstractNumId w:val="3"/>
  </w:num>
  <w:num w:numId="7">
    <w:abstractNumId w:val="13"/>
  </w:num>
  <w:num w:numId="8">
    <w:abstractNumId w:val="1"/>
  </w:num>
  <w:num w:numId="9">
    <w:abstractNumId w:val="7"/>
  </w:num>
  <w:num w:numId="10">
    <w:abstractNumId w:val="6"/>
  </w:num>
  <w:num w:numId="11">
    <w:abstractNumId w:val="14"/>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61B1"/>
    <w:rsid w:val="00013FCC"/>
    <w:rsid w:val="000143C4"/>
    <w:rsid w:val="00014C8D"/>
    <w:rsid w:val="00035109"/>
    <w:rsid w:val="00040682"/>
    <w:rsid w:val="00047698"/>
    <w:rsid w:val="000527DD"/>
    <w:rsid w:val="00053D95"/>
    <w:rsid w:val="00055875"/>
    <w:rsid w:val="000637E3"/>
    <w:rsid w:val="00063930"/>
    <w:rsid w:val="00064ADC"/>
    <w:rsid w:val="00071345"/>
    <w:rsid w:val="0007364A"/>
    <w:rsid w:val="00076500"/>
    <w:rsid w:val="00080E49"/>
    <w:rsid w:val="000876F5"/>
    <w:rsid w:val="00096996"/>
    <w:rsid w:val="000A5332"/>
    <w:rsid w:val="000A639A"/>
    <w:rsid w:val="000B50AF"/>
    <w:rsid w:val="000B778A"/>
    <w:rsid w:val="000C0F24"/>
    <w:rsid w:val="000C3C4D"/>
    <w:rsid w:val="000D2077"/>
    <w:rsid w:val="000D3D22"/>
    <w:rsid w:val="000D603A"/>
    <w:rsid w:val="000E11BD"/>
    <w:rsid w:val="000E1E5B"/>
    <w:rsid w:val="000E391D"/>
    <w:rsid w:val="000E4875"/>
    <w:rsid w:val="000E7251"/>
    <w:rsid w:val="000F02C6"/>
    <w:rsid w:val="000F63E9"/>
    <w:rsid w:val="000F7B65"/>
    <w:rsid w:val="00111248"/>
    <w:rsid w:val="00117D51"/>
    <w:rsid w:val="00121610"/>
    <w:rsid w:val="00124242"/>
    <w:rsid w:val="00124A19"/>
    <w:rsid w:val="0012557A"/>
    <w:rsid w:val="00126848"/>
    <w:rsid w:val="0013094C"/>
    <w:rsid w:val="00131099"/>
    <w:rsid w:val="00131730"/>
    <w:rsid w:val="00133338"/>
    <w:rsid w:val="0013536A"/>
    <w:rsid w:val="001353BD"/>
    <w:rsid w:val="00136FC8"/>
    <w:rsid w:val="0014327C"/>
    <w:rsid w:val="00147032"/>
    <w:rsid w:val="00147DB5"/>
    <w:rsid w:val="0015306D"/>
    <w:rsid w:val="001540CC"/>
    <w:rsid w:val="0016660C"/>
    <w:rsid w:val="001723B9"/>
    <w:rsid w:val="001804DD"/>
    <w:rsid w:val="0018490A"/>
    <w:rsid w:val="001908D4"/>
    <w:rsid w:val="0019312D"/>
    <w:rsid w:val="0019385F"/>
    <w:rsid w:val="001A38CA"/>
    <w:rsid w:val="001B14D3"/>
    <w:rsid w:val="001C449E"/>
    <w:rsid w:val="001C6369"/>
    <w:rsid w:val="001C6F2D"/>
    <w:rsid w:val="001D1800"/>
    <w:rsid w:val="001E1227"/>
    <w:rsid w:val="001E77EB"/>
    <w:rsid w:val="001F04F9"/>
    <w:rsid w:val="001F31D2"/>
    <w:rsid w:val="0020591A"/>
    <w:rsid w:val="00205A8A"/>
    <w:rsid w:val="00206FD4"/>
    <w:rsid w:val="002122A9"/>
    <w:rsid w:val="00213ED3"/>
    <w:rsid w:val="00216F02"/>
    <w:rsid w:val="0022412A"/>
    <w:rsid w:val="00233D33"/>
    <w:rsid w:val="00234A85"/>
    <w:rsid w:val="002354B1"/>
    <w:rsid w:val="00237F30"/>
    <w:rsid w:val="00245AF9"/>
    <w:rsid w:val="00250E07"/>
    <w:rsid w:val="00251A54"/>
    <w:rsid w:val="00255E62"/>
    <w:rsid w:val="00257F34"/>
    <w:rsid w:val="002628CB"/>
    <w:rsid w:val="002640EA"/>
    <w:rsid w:val="002647F3"/>
    <w:rsid w:val="00265309"/>
    <w:rsid w:val="00265C82"/>
    <w:rsid w:val="00267ECF"/>
    <w:rsid w:val="002712B3"/>
    <w:rsid w:val="00273D2C"/>
    <w:rsid w:val="0027539A"/>
    <w:rsid w:val="00275591"/>
    <w:rsid w:val="002820CF"/>
    <w:rsid w:val="002834FA"/>
    <w:rsid w:val="002A0704"/>
    <w:rsid w:val="002B6420"/>
    <w:rsid w:val="002B6E16"/>
    <w:rsid w:val="002C1B4F"/>
    <w:rsid w:val="002C67BA"/>
    <w:rsid w:val="002D170A"/>
    <w:rsid w:val="002D2453"/>
    <w:rsid w:val="002D6081"/>
    <w:rsid w:val="002F3910"/>
    <w:rsid w:val="0030564E"/>
    <w:rsid w:val="0030668B"/>
    <w:rsid w:val="00316BB9"/>
    <w:rsid w:val="0032214F"/>
    <w:rsid w:val="003225B5"/>
    <w:rsid w:val="00330C44"/>
    <w:rsid w:val="00344D11"/>
    <w:rsid w:val="003505AA"/>
    <w:rsid w:val="0035187E"/>
    <w:rsid w:val="00353540"/>
    <w:rsid w:val="00355572"/>
    <w:rsid w:val="0035627B"/>
    <w:rsid w:val="003600A9"/>
    <w:rsid w:val="0036446F"/>
    <w:rsid w:val="00364DA6"/>
    <w:rsid w:val="003669F5"/>
    <w:rsid w:val="00366F16"/>
    <w:rsid w:val="003716DD"/>
    <w:rsid w:val="0037530A"/>
    <w:rsid w:val="00376138"/>
    <w:rsid w:val="0038659C"/>
    <w:rsid w:val="0038696B"/>
    <w:rsid w:val="003B01E3"/>
    <w:rsid w:val="003B477D"/>
    <w:rsid w:val="003B74A9"/>
    <w:rsid w:val="003C1E9F"/>
    <w:rsid w:val="003C5AEE"/>
    <w:rsid w:val="003E2449"/>
    <w:rsid w:val="003E2E17"/>
    <w:rsid w:val="003E3CF5"/>
    <w:rsid w:val="003E63F7"/>
    <w:rsid w:val="00401E78"/>
    <w:rsid w:val="00405161"/>
    <w:rsid w:val="004060AA"/>
    <w:rsid w:val="00414D74"/>
    <w:rsid w:val="00417016"/>
    <w:rsid w:val="00417385"/>
    <w:rsid w:val="00424089"/>
    <w:rsid w:val="004255B9"/>
    <w:rsid w:val="00430622"/>
    <w:rsid w:val="00433DFE"/>
    <w:rsid w:val="00435C4D"/>
    <w:rsid w:val="00440B9F"/>
    <w:rsid w:val="00442E90"/>
    <w:rsid w:val="004436A8"/>
    <w:rsid w:val="00444A09"/>
    <w:rsid w:val="00444CD7"/>
    <w:rsid w:val="0045135A"/>
    <w:rsid w:val="00456BB6"/>
    <w:rsid w:val="00456BD7"/>
    <w:rsid w:val="00456D30"/>
    <w:rsid w:val="00461401"/>
    <w:rsid w:val="00461D01"/>
    <w:rsid w:val="004621D8"/>
    <w:rsid w:val="004645CB"/>
    <w:rsid w:val="00465E32"/>
    <w:rsid w:val="00470F05"/>
    <w:rsid w:val="0048076E"/>
    <w:rsid w:val="004831E0"/>
    <w:rsid w:val="004847F9"/>
    <w:rsid w:val="00487934"/>
    <w:rsid w:val="0049380F"/>
    <w:rsid w:val="004943B3"/>
    <w:rsid w:val="0049612C"/>
    <w:rsid w:val="00497AE6"/>
    <w:rsid w:val="004A04C0"/>
    <w:rsid w:val="004A143B"/>
    <w:rsid w:val="004A1B53"/>
    <w:rsid w:val="004A20AB"/>
    <w:rsid w:val="004A59E3"/>
    <w:rsid w:val="004C18D8"/>
    <w:rsid w:val="004C1A29"/>
    <w:rsid w:val="004C3BD1"/>
    <w:rsid w:val="004C424B"/>
    <w:rsid w:val="004D0740"/>
    <w:rsid w:val="004E7FD7"/>
    <w:rsid w:val="004F3859"/>
    <w:rsid w:val="004F68C9"/>
    <w:rsid w:val="0051391F"/>
    <w:rsid w:val="00516521"/>
    <w:rsid w:val="00517073"/>
    <w:rsid w:val="00523142"/>
    <w:rsid w:val="005275DB"/>
    <w:rsid w:val="00531C07"/>
    <w:rsid w:val="0053242C"/>
    <w:rsid w:val="00533DD6"/>
    <w:rsid w:val="00534FE3"/>
    <w:rsid w:val="00535863"/>
    <w:rsid w:val="005431AE"/>
    <w:rsid w:val="005453F0"/>
    <w:rsid w:val="00546B90"/>
    <w:rsid w:val="0054755F"/>
    <w:rsid w:val="00572F1D"/>
    <w:rsid w:val="00575A54"/>
    <w:rsid w:val="005763F7"/>
    <w:rsid w:val="0058130D"/>
    <w:rsid w:val="005921B8"/>
    <w:rsid w:val="00595A18"/>
    <w:rsid w:val="005A130C"/>
    <w:rsid w:val="005A156D"/>
    <w:rsid w:val="005A3384"/>
    <w:rsid w:val="005A3D5A"/>
    <w:rsid w:val="005A4025"/>
    <w:rsid w:val="005A4666"/>
    <w:rsid w:val="005B3230"/>
    <w:rsid w:val="005B4E86"/>
    <w:rsid w:val="005C014B"/>
    <w:rsid w:val="005C3742"/>
    <w:rsid w:val="005C43E3"/>
    <w:rsid w:val="005C704B"/>
    <w:rsid w:val="005C789C"/>
    <w:rsid w:val="005D33BE"/>
    <w:rsid w:val="005D6E1F"/>
    <w:rsid w:val="005D7FF2"/>
    <w:rsid w:val="005E2C56"/>
    <w:rsid w:val="005E2E8E"/>
    <w:rsid w:val="005E4873"/>
    <w:rsid w:val="005F2A13"/>
    <w:rsid w:val="005F32B2"/>
    <w:rsid w:val="005F7E86"/>
    <w:rsid w:val="006032AE"/>
    <w:rsid w:val="00603E96"/>
    <w:rsid w:val="00607B13"/>
    <w:rsid w:val="006267CA"/>
    <w:rsid w:val="006271EA"/>
    <w:rsid w:val="00636B17"/>
    <w:rsid w:val="00637DAF"/>
    <w:rsid w:val="0064615A"/>
    <w:rsid w:val="006563B8"/>
    <w:rsid w:val="00657EE5"/>
    <w:rsid w:val="00660A2B"/>
    <w:rsid w:val="0066178D"/>
    <w:rsid w:val="00662563"/>
    <w:rsid w:val="006659CD"/>
    <w:rsid w:val="0067173B"/>
    <w:rsid w:val="006729EC"/>
    <w:rsid w:val="00675CF4"/>
    <w:rsid w:val="006832A5"/>
    <w:rsid w:val="00685CD7"/>
    <w:rsid w:val="00690AE6"/>
    <w:rsid w:val="00694401"/>
    <w:rsid w:val="00694800"/>
    <w:rsid w:val="006956BB"/>
    <w:rsid w:val="00697458"/>
    <w:rsid w:val="006A1535"/>
    <w:rsid w:val="006A69FE"/>
    <w:rsid w:val="006B1CF0"/>
    <w:rsid w:val="006B35DA"/>
    <w:rsid w:val="006C0239"/>
    <w:rsid w:val="006C21AD"/>
    <w:rsid w:val="006C317A"/>
    <w:rsid w:val="006C4ACD"/>
    <w:rsid w:val="006C600E"/>
    <w:rsid w:val="006D1375"/>
    <w:rsid w:val="006D236B"/>
    <w:rsid w:val="006D5484"/>
    <w:rsid w:val="006E4C7A"/>
    <w:rsid w:val="006E57A7"/>
    <w:rsid w:val="006F408A"/>
    <w:rsid w:val="006F6142"/>
    <w:rsid w:val="006F76FD"/>
    <w:rsid w:val="006F79FF"/>
    <w:rsid w:val="00701C06"/>
    <w:rsid w:val="00702900"/>
    <w:rsid w:val="00703627"/>
    <w:rsid w:val="00715F88"/>
    <w:rsid w:val="00716032"/>
    <w:rsid w:val="007172B1"/>
    <w:rsid w:val="007305EA"/>
    <w:rsid w:val="00732F07"/>
    <w:rsid w:val="007352B5"/>
    <w:rsid w:val="007377D4"/>
    <w:rsid w:val="007425F7"/>
    <w:rsid w:val="00745630"/>
    <w:rsid w:val="00745F8A"/>
    <w:rsid w:val="007466D4"/>
    <w:rsid w:val="00755695"/>
    <w:rsid w:val="007571E6"/>
    <w:rsid w:val="00762272"/>
    <w:rsid w:val="00763902"/>
    <w:rsid w:val="00765C90"/>
    <w:rsid w:val="00780553"/>
    <w:rsid w:val="00781B1D"/>
    <w:rsid w:val="007862DA"/>
    <w:rsid w:val="0078641F"/>
    <w:rsid w:val="007A2CAE"/>
    <w:rsid w:val="007A4CBE"/>
    <w:rsid w:val="007B59D2"/>
    <w:rsid w:val="007B5AEE"/>
    <w:rsid w:val="007C414F"/>
    <w:rsid w:val="007C5E20"/>
    <w:rsid w:val="007C62E1"/>
    <w:rsid w:val="007C6A80"/>
    <w:rsid w:val="007C6E74"/>
    <w:rsid w:val="007E3551"/>
    <w:rsid w:val="007F10ED"/>
    <w:rsid w:val="007F2CC6"/>
    <w:rsid w:val="007F552E"/>
    <w:rsid w:val="007F6D68"/>
    <w:rsid w:val="0080300E"/>
    <w:rsid w:val="00805C48"/>
    <w:rsid w:val="00822329"/>
    <w:rsid w:val="008230E3"/>
    <w:rsid w:val="00826FEA"/>
    <w:rsid w:val="008364C4"/>
    <w:rsid w:val="0083782A"/>
    <w:rsid w:val="008414E5"/>
    <w:rsid w:val="0084150C"/>
    <w:rsid w:val="0085165E"/>
    <w:rsid w:val="00852218"/>
    <w:rsid w:val="00852491"/>
    <w:rsid w:val="00856CAA"/>
    <w:rsid w:val="00862C70"/>
    <w:rsid w:val="00873DF6"/>
    <w:rsid w:val="008808EF"/>
    <w:rsid w:val="008B0313"/>
    <w:rsid w:val="008C283E"/>
    <w:rsid w:val="008D1FAE"/>
    <w:rsid w:val="008D33E2"/>
    <w:rsid w:val="008D4033"/>
    <w:rsid w:val="008D467A"/>
    <w:rsid w:val="008D4F02"/>
    <w:rsid w:val="008F1B59"/>
    <w:rsid w:val="008F51CB"/>
    <w:rsid w:val="009027D0"/>
    <w:rsid w:val="009246E4"/>
    <w:rsid w:val="0094456E"/>
    <w:rsid w:val="00944B34"/>
    <w:rsid w:val="009524DD"/>
    <w:rsid w:val="00952A64"/>
    <w:rsid w:val="00955E16"/>
    <w:rsid w:val="0096411E"/>
    <w:rsid w:val="00966182"/>
    <w:rsid w:val="00966207"/>
    <w:rsid w:val="0097341B"/>
    <w:rsid w:val="00974BF6"/>
    <w:rsid w:val="009765B2"/>
    <w:rsid w:val="0098326B"/>
    <w:rsid w:val="00995243"/>
    <w:rsid w:val="009A1749"/>
    <w:rsid w:val="009A7E94"/>
    <w:rsid w:val="009C42C0"/>
    <w:rsid w:val="009C5277"/>
    <w:rsid w:val="009D0F33"/>
    <w:rsid w:val="009D14CC"/>
    <w:rsid w:val="009E1D7B"/>
    <w:rsid w:val="009E4818"/>
    <w:rsid w:val="009F0A9E"/>
    <w:rsid w:val="009F496B"/>
    <w:rsid w:val="009F5DD0"/>
    <w:rsid w:val="009F69BF"/>
    <w:rsid w:val="009F6D8C"/>
    <w:rsid w:val="00A01F6E"/>
    <w:rsid w:val="00A0608D"/>
    <w:rsid w:val="00A07ED9"/>
    <w:rsid w:val="00A11808"/>
    <w:rsid w:val="00A136B5"/>
    <w:rsid w:val="00A22724"/>
    <w:rsid w:val="00A23455"/>
    <w:rsid w:val="00A35D67"/>
    <w:rsid w:val="00A43D55"/>
    <w:rsid w:val="00A538E2"/>
    <w:rsid w:val="00A53BA0"/>
    <w:rsid w:val="00A5604A"/>
    <w:rsid w:val="00A60745"/>
    <w:rsid w:val="00A6742F"/>
    <w:rsid w:val="00A7141A"/>
    <w:rsid w:val="00A940E9"/>
    <w:rsid w:val="00A957A9"/>
    <w:rsid w:val="00A96DE4"/>
    <w:rsid w:val="00AA0668"/>
    <w:rsid w:val="00AA4E90"/>
    <w:rsid w:val="00AA5851"/>
    <w:rsid w:val="00AB0FE3"/>
    <w:rsid w:val="00AB4CAA"/>
    <w:rsid w:val="00AB61BF"/>
    <w:rsid w:val="00AC48BF"/>
    <w:rsid w:val="00AD10E7"/>
    <w:rsid w:val="00AD48B2"/>
    <w:rsid w:val="00AE15E2"/>
    <w:rsid w:val="00AE15E3"/>
    <w:rsid w:val="00AE255D"/>
    <w:rsid w:val="00AE4F95"/>
    <w:rsid w:val="00AE7335"/>
    <w:rsid w:val="00AF1654"/>
    <w:rsid w:val="00AF1FEC"/>
    <w:rsid w:val="00B0438D"/>
    <w:rsid w:val="00B06F4E"/>
    <w:rsid w:val="00B077A1"/>
    <w:rsid w:val="00B147A9"/>
    <w:rsid w:val="00B237F6"/>
    <w:rsid w:val="00B2703B"/>
    <w:rsid w:val="00B27BD0"/>
    <w:rsid w:val="00B34B3B"/>
    <w:rsid w:val="00B363B9"/>
    <w:rsid w:val="00B37CDB"/>
    <w:rsid w:val="00B41C7A"/>
    <w:rsid w:val="00B52988"/>
    <w:rsid w:val="00B54BA4"/>
    <w:rsid w:val="00B55034"/>
    <w:rsid w:val="00B6047C"/>
    <w:rsid w:val="00B639B4"/>
    <w:rsid w:val="00B706C6"/>
    <w:rsid w:val="00B722A9"/>
    <w:rsid w:val="00B803EF"/>
    <w:rsid w:val="00B853C1"/>
    <w:rsid w:val="00B87A4A"/>
    <w:rsid w:val="00B92B3A"/>
    <w:rsid w:val="00B92E80"/>
    <w:rsid w:val="00B947DF"/>
    <w:rsid w:val="00B96003"/>
    <w:rsid w:val="00BA381D"/>
    <w:rsid w:val="00BA7782"/>
    <w:rsid w:val="00BC4229"/>
    <w:rsid w:val="00BC4721"/>
    <w:rsid w:val="00BD0180"/>
    <w:rsid w:val="00BD23F4"/>
    <w:rsid w:val="00BE2B0F"/>
    <w:rsid w:val="00BE3E85"/>
    <w:rsid w:val="00BE41BE"/>
    <w:rsid w:val="00BF1089"/>
    <w:rsid w:val="00C00362"/>
    <w:rsid w:val="00C0111F"/>
    <w:rsid w:val="00C020B6"/>
    <w:rsid w:val="00C06472"/>
    <w:rsid w:val="00C0679D"/>
    <w:rsid w:val="00C06BC9"/>
    <w:rsid w:val="00C1387D"/>
    <w:rsid w:val="00C14192"/>
    <w:rsid w:val="00C150EA"/>
    <w:rsid w:val="00C201A5"/>
    <w:rsid w:val="00C26D41"/>
    <w:rsid w:val="00C27CEE"/>
    <w:rsid w:val="00C31482"/>
    <w:rsid w:val="00C36B9D"/>
    <w:rsid w:val="00C41F01"/>
    <w:rsid w:val="00C436EB"/>
    <w:rsid w:val="00C443C0"/>
    <w:rsid w:val="00C55B90"/>
    <w:rsid w:val="00C6362C"/>
    <w:rsid w:val="00C649E1"/>
    <w:rsid w:val="00C65139"/>
    <w:rsid w:val="00C73FCA"/>
    <w:rsid w:val="00C773F2"/>
    <w:rsid w:val="00C905EF"/>
    <w:rsid w:val="00C959D1"/>
    <w:rsid w:val="00C95D2B"/>
    <w:rsid w:val="00C9626E"/>
    <w:rsid w:val="00C978E1"/>
    <w:rsid w:val="00CA017A"/>
    <w:rsid w:val="00CA0B37"/>
    <w:rsid w:val="00CB6A78"/>
    <w:rsid w:val="00CC600E"/>
    <w:rsid w:val="00CE37D5"/>
    <w:rsid w:val="00CE68D9"/>
    <w:rsid w:val="00CE7BD0"/>
    <w:rsid w:val="00CF33A3"/>
    <w:rsid w:val="00CF3970"/>
    <w:rsid w:val="00CF7BF8"/>
    <w:rsid w:val="00CF7C80"/>
    <w:rsid w:val="00D01D42"/>
    <w:rsid w:val="00D0286D"/>
    <w:rsid w:val="00D14D7F"/>
    <w:rsid w:val="00D17CBF"/>
    <w:rsid w:val="00D2035E"/>
    <w:rsid w:val="00D32561"/>
    <w:rsid w:val="00D34FBD"/>
    <w:rsid w:val="00D46D03"/>
    <w:rsid w:val="00D503F0"/>
    <w:rsid w:val="00D51F16"/>
    <w:rsid w:val="00D53B59"/>
    <w:rsid w:val="00D57864"/>
    <w:rsid w:val="00D60979"/>
    <w:rsid w:val="00D6181B"/>
    <w:rsid w:val="00D73EBD"/>
    <w:rsid w:val="00D75EF6"/>
    <w:rsid w:val="00D9038D"/>
    <w:rsid w:val="00D91265"/>
    <w:rsid w:val="00DA25F8"/>
    <w:rsid w:val="00DA6B2B"/>
    <w:rsid w:val="00DB55E8"/>
    <w:rsid w:val="00DB5D6A"/>
    <w:rsid w:val="00DB726B"/>
    <w:rsid w:val="00DB7A1B"/>
    <w:rsid w:val="00DC1AF6"/>
    <w:rsid w:val="00DC5FC4"/>
    <w:rsid w:val="00DD1501"/>
    <w:rsid w:val="00DD1F81"/>
    <w:rsid w:val="00DE2AA1"/>
    <w:rsid w:val="00DF64A3"/>
    <w:rsid w:val="00DF711D"/>
    <w:rsid w:val="00E10000"/>
    <w:rsid w:val="00E142E7"/>
    <w:rsid w:val="00E16788"/>
    <w:rsid w:val="00E228DB"/>
    <w:rsid w:val="00E2471D"/>
    <w:rsid w:val="00E252B7"/>
    <w:rsid w:val="00E322C3"/>
    <w:rsid w:val="00E43D7B"/>
    <w:rsid w:val="00E45F4E"/>
    <w:rsid w:val="00E4706D"/>
    <w:rsid w:val="00E47542"/>
    <w:rsid w:val="00E52F87"/>
    <w:rsid w:val="00E54C96"/>
    <w:rsid w:val="00E604FB"/>
    <w:rsid w:val="00E61FEB"/>
    <w:rsid w:val="00E63ED4"/>
    <w:rsid w:val="00E65DC9"/>
    <w:rsid w:val="00E71660"/>
    <w:rsid w:val="00E7387A"/>
    <w:rsid w:val="00E85295"/>
    <w:rsid w:val="00E85C03"/>
    <w:rsid w:val="00E9365E"/>
    <w:rsid w:val="00E95575"/>
    <w:rsid w:val="00EA03FE"/>
    <w:rsid w:val="00EA385B"/>
    <w:rsid w:val="00EC14C3"/>
    <w:rsid w:val="00EC5D40"/>
    <w:rsid w:val="00EC7ED3"/>
    <w:rsid w:val="00ED05D8"/>
    <w:rsid w:val="00ED1C3A"/>
    <w:rsid w:val="00ED1FD6"/>
    <w:rsid w:val="00ED4D2E"/>
    <w:rsid w:val="00EE231D"/>
    <w:rsid w:val="00EE5575"/>
    <w:rsid w:val="00EE6EC3"/>
    <w:rsid w:val="00EF3282"/>
    <w:rsid w:val="00EF79E8"/>
    <w:rsid w:val="00EF7E3B"/>
    <w:rsid w:val="00F0157C"/>
    <w:rsid w:val="00F20DAD"/>
    <w:rsid w:val="00F24717"/>
    <w:rsid w:val="00F315C9"/>
    <w:rsid w:val="00F32565"/>
    <w:rsid w:val="00F32A6D"/>
    <w:rsid w:val="00F40076"/>
    <w:rsid w:val="00F41226"/>
    <w:rsid w:val="00F4333E"/>
    <w:rsid w:val="00F47C73"/>
    <w:rsid w:val="00F51CB5"/>
    <w:rsid w:val="00F5684C"/>
    <w:rsid w:val="00F5788E"/>
    <w:rsid w:val="00F6136F"/>
    <w:rsid w:val="00F641D5"/>
    <w:rsid w:val="00F65ABE"/>
    <w:rsid w:val="00F70192"/>
    <w:rsid w:val="00F8486F"/>
    <w:rsid w:val="00F84BFD"/>
    <w:rsid w:val="00F85288"/>
    <w:rsid w:val="00F9182B"/>
    <w:rsid w:val="00F93153"/>
    <w:rsid w:val="00F94C9E"/>
    <w:rsid w:val="00FA1CC3"/>
    <w:rsid w:val="00FA2D09"/>
    <w:rsid w:val="00FA4302"/>
    <w:rsid w:val="00FA561C"/>
    <w:rsid w:val="00FB12F8"/>
    <w:rsid w:val="00FC06C2"/>
    <w:rsid w:val="00FC3E84"/>
    <w:rsid w:val="00FD04EB"/>
    <w:rsid w:val="00FE0281"/>
    <w:rsid w:val="00FE2FFC"/>
    <w:rsid w:val="00FE35F0"/>
    <w:rsid w:val="00FE68D7"/>
    <w:rsid w:val="00FE6E9E"/>
    <w:rsid w:val="00FF12C6"/>
    <w:rsid w:val="00FF33B3"/>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2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49612C"/>
    <w:rPr>
      <w:strike w:val="0"/>
      <w:dstrike w:val="0"/>
      <w:sz w:val="20"/>
      <w:vertAlign w:val="superscript"/>
    </w:rPr>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9612C"/>
    <w:pPr>
      <w:widowControl w:val="0"/>
      <w:autoSpaceDE w:val="0"/>
      <w:autoSpaceDN w:val="0"/>
      <w:adjustRightInd w:val="0"/>
    </w:pPr>
    <w:rPr>
      <w:sz w:val="20"/>
      <w:szCs w:val="20"/>
      <w:vertAlign w:val="superscript"/>
    </w:rPr>
  </w:style>
  <w:style w:type="character" w:customStyle="1" w:styleId="FootnoteTextChar">
    <w:name w:val="Footnote Text Char"/>
    <w:basedOn w:val="DefaultParagraphFont"/>
    <w:link w:val="FootnoteText"/>
    <w:uiPriority w:val="99"/>
    <w:rsid w:val="0049612C"/>
    <w:rPr>
      <w:rFonts w:ascii="Times New Roman" w:eastAsia="Times New Roman" w:hAnsi="Times New Roman" w:cs="Times New Roman"/>
      <w:sz w:val="20"/>
      <w:szCs w:val="20"/>
      <w:vertAlign w:val="superscript"/>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 w:type="paragraph" w:styleId="CommentText">
    <w:name w:val="annotation text"/>
    <w:basedOn w:val="Normal"/>
    <w:link w:val="CommentTextChar"/>
    <w:uiPriority w:val="99"/>
    <w:semiHidden/>
    <w:unhideWhenUsed/>
    <w:rsid w:val="0035187E"/>
    <w:rPr>
      <w:sz w:val="20"/>
      <w:szCs w:val="20"/>
    </w:rPr>
  </w:style>
  <w:style w:type="character" w:customStyle="1" w:styleId="CommentTextChar">
    <w:name w:val="Comment Text Char"/>
    <w:basedOn w:val="DefaultParagraphFont"/>
    <w:link w:val="CommentText"/>
    <w:uiPriority w:val="99"/>
    <w:semiHidden/>
    <w:rsid w:val="00351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87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35187E"/>
    <w:rPr>
      <w:rFonts w:ascii="Calibri" w:eastAsia="Calibri" w:hAnsi="Calibri" w:cs="Times New Roman"/>
      <w:b/>
      <w:bCs/>
      <w:sz w:val="20"/>
      <w:szCs w:val="20"/>
    </w:rPr>
  </w:style>
  <w:style w:type="paragraph" w:styleId="ListBullet">
    <w:name w:val="List Bullet"/>
    <w:basedOn w:val="ListParagraph"/>
    <w:rsid w:val="00B077A1"/>
    <w:pPr>
      <w:numPr>
        <w:numId w:val="12"/>
      </w:numPr>
      <w:spacing w:after="240"/>
    </w:pPr>
    <w:rPr>
      <w:rFonts w:eastAsia="Calibri"/>
      <w:b/>
    </w:rPr>
  </w:style>
  <w:style w:type="character" w:styleId="CommentReference">
    <w:name w:val="annotation reference"/>
    <w:basedOn w:val="DefaultParagraphFont"/>
    <w:uiPriority w:val="99"/>
    <w:semiHidden/>
    <w:unhideWhenUsed/>
    <w:rsid w:val="007B5AEE"/>
    <w:rPr>
      <w:sz w:val="16"/>
      <w:szCs w:val="16"/>
    </w:rPr>
  </w:style>
  <w:style w:type="paragraph" w:styleId="Revision">
    <w:name w:val="Revision"/>
    <w:hidden/>
    <w:uiPriority w:val="99"/>
    <w:semiHidden/>
    <w:rsid w:val="00F70192"/>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D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3F81E342BE234C904B7F6F0F1AA0DE" ma:contentTypeVersion="104" ma:contentTypeDescription="" ma:contentTypeScope="" ma:versionID="677eca5e6f2ef94b978d5967113364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refix xmlns="dc463f71-b30c-4ab2-9473-d307f9d35888">D</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2017-02-22T08:00:00+00:00</OpenedDate>
    <Date1 xmlns="dc463f71-b30c-4ab2-9473-d307f9d35888">2017-07-20T17:23:13+00:00</Date1>
    <IsDocumentOrder xmlns="dc463f71-b30c-4ab2-9473-d307f9d35888" xsi:nil="true"/>
    <IsHighlyConfidential xmlns="dc463f71-b30c-4ab2-9473-d307f9d35888">false</IsHighlyConfidential>
    <CaseCompanyNames xmlns="dc463f71-b30c-4ab2-9473-d307f9d35888" xsi:nil="true"/>
    <DocketNumber xmlns="dc463f71-b30c-4ab2-9473-d307f9d35888">170116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2.xml><?xml version="1.0" encoding="utf-8"?>
<ds:datastoreItem xmlns:ds="http://schemas.openxmlformats.org/officeDocument/2006/customXml" ds:itemID="{D96BBBDA-5E93-418B-82E8-2B2B393B6D31}"/>
</file>

<file path=customXml/itemProps3.xml><?xml version="1.0" encoding="utf-8"?>
<ds:datastoreItem xmlns:ds="http://schemas.openxmlformats.org/officeDocument/2006/customXml" ds:itemID="{4EE5220F-9113-4175-B8B6-F60615E751C3}"/>
</file>

<file path=customXml/itemProps4.xml><?xml version="1.0" encoding="utf-8"?>
<ds:datastoreItem xmlns:ds="http://schemas.openxmlformats.org/officeDocument/2006/customXml" ds:itemID="{D4D21186-BB63-4DE9-8AF1-40396A9E1C44}">
  <ds:schemaRefs>
    <ds:schemaRef ds:uri="http://purl.org/dc/terms/"/>
    <ds:schemaRef ds:uri="http://www.w3.org/XML/1998/namespace"/>
    <ds:schemaRef ds:uri="http://schemas.microsoft.com/office/2006/documentManagement/types"/>
    <ds:schemaRef ds:uri="http://schemas.microsoft.com/office/2006/metadata/properties"/>
    <ds:schemaRef ds:uri="dc463f71-b30c-4ab2-9473-d307f9d35888"/>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D2BB9881-CD19-49AE-9AEA-B9C2B740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Tinnerstet, Darren (UTC)</cp:lastModifiedBy>
  <cp:revision>3</cp:revision>
  <cp:lastPrinted>2017-06-28T23:01:00Z</cp:lastPrinted>
  <dcterms:created xsi:type="dcterms:W3CDTF">2017-07-19T14:57:00Z</dcterms:created>
  <dcterms:modified xsi:type="dcterms:W3CDTF">2017-07-20T16:05:00Z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0x0101006E56B4D1795A2E4DB2F0B01679ED314A00593F81E342BE234C904B7F6F0F1AA0DE</vt:lpwstr>
  </property>
  <property fmtid="{D5CDD505-2E9C-101B-9397-08002B2CF9AE}" pid="3" name="Status">
    <vt:lpwstr>Templates</vt:lpwstr>
  </property>
  <property fmtid="{D5CDD505-2E9C-101B-9397-08002B2CF9AE}" pid="4" name="_docset_NoMedatataSyncRequired">
    <vt:lpwstr>False</vt:lpwstr>
  </property>
  <property fmtid="{D5CDD505-2E9C-101B-9397-08002B2CF9AE}" pid="5" name="IsEFSEC">
    <vt:bool>false</vt:bool>
  </property>
</Properties>
</file>