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942F4" w14:textId="77777777" w:rsidR="00520547" w:rsidRPr="00023567" w:rsidRDefault="00520547" w:rsidP="00520547">
      <w:pPr>
        <w:rPr>
          <w:rFonts w:ascii="Times New Roman" w:hAnsi="Times New Roman" w:cs="Times New Roman"/>
        </w:rPr>
      </w:pPr>
      <w:r w:rsidRPr="00023567">
        <w:rPr>
          <w:rFonts w:ascii="Times New Roman" w:hAnsi="Times New Roman" w:cs="Times New Roman"/>
        </w:rPr>
        <w:t>Steven V. King</w:t>
      </w:r>
      <w:r w:rsidRPr="00023567">
        <w:rPr>
          <w:rFonts w:ascii="Times New Roman" w:hAnsi="Times New Roman" w:cs="Times New Roman"/>
        </w:rPr>
        <w:tab/>
      </w:r>
      <w:r w:rsidRPr="00023567">
        <w:rPr>
          <w:rFonts w:ascii="Times New Roman" w:hAnsi="Times New Roman" w:cs="Times New Roman"/>
        </w:rPr>
        <w:tab/>
      </w:r>
      <w:r w:rsidRPr="00023567">
        <w:rPr>
          <w:rFonts w:ascii="Times New Roman" w:hAnsi="Times New Roman" w:cs="Times New Roman"/>
        </w:rPr>
        <w:tab/>
      </w:r>
      <w:r w:rsidRPr="00023567">
        <w:rPr>
          <w:rFonts w:ascii="Times New Roman" w:hAnsi="Times New Roman" w:cs="Times New Roman"/>
        </w:rPr>
        <w:tab/>
      </w:r>
      <w:r w:rsidRPr="00023567">
        <w:rPr>
          <w:rFonts w:ascii="Times New Roman" w:hAnsi="Times New Roman" w:cs="Times New Roman"/>
        </w:rPr>
        <w:tab/>
      </w:r>
      <w:r w:rsidRPr="00023567">
        <w:rPr>
          <w:rFonts w:ascii="Times New Roman" w:hAnsi="Times New Roman" w:cs="Times New Roman"/>
        </w:rPr>
        <w:tab/>
      </w:r>
      <w:r w:rsidRPr="00023567">
        <w:rPr>
          <w:rFonts w:ascii="Times New Roman" w:hAnsi="Times New Roman" w:cs="Times New Roman"/>
        </w:rPr>
        <w:tab/>
      </w:r>
      <w:r w:rsidRPr="00023567">
        <w:rPr>
          <w:rFonts w:ascii="Times New Roman" w:hAnsi="Times New Roman" w:cs="Times New Roman"/>
        </w:rPr>
        <w:tab/>
        <w:t>May 9, 2014</w:t>
      </w:r>
    </w:p>
    <w:p w14:paraId="66DA2A2F" w14:textId="77777777" w:rsidR="00520547" w:rsidRPr="00023567" w:rsidRDefault="00520547" w:rsidP="00520547">
      <w:pPr>
        <w:pStyle w:val="Default"/>
      </w:pPr>
      <w:r w:rsidRPr="00023567">
        <w:t xml:space="preserve">Executive Director and Secretary </w:t>
      </w:r>
    </w:p>
    <w:p w14:paraId="5A9138F9" w14:textId="77777777" w:rsidR="00520547" w:rsidRPr="00023567" w:rsidRDefault="00520547" w:rsidP="00520547">
      <w:pPr>
        <w:pStyle w:val="Default"/>
      </w:pPr>
      <w:r w:rsidRPr="00023567">
        <w:t xml:space="preserve">Washington Utilities and Transportation Commission </w:t>
      </w:r>
    </w:p>
    <w:p w14:paraId="10438885" w14:textId="77777777" w:rsidR="00520547" w:rsidRPr="00023567" w:rsidRDefault="00520547" w:rsidP="00520547">
      <w:pPr>
        <w:pStyle w:val="Default"/>
      </w:pPr>
      <w:r w:rsidRPr="00023567">
        <w:t xml:space="preserve">1300 South Evergreen Park Drive S.W. </w:t>
      </w:r>
    </w:p>
    <w:p w14:paraId="09D9048D" w14:textId="77777777" w:rsidR="00520547" w:rsidRPr="00023567" w:rsidRDefault="00520547" w:rsidP="00520547">
      <w:pPr>
        <w:pStyle w:val="Default"/>
      </w:pPr>
      <w:r w:rsidRPr="00023567">
        <w:t xml:space="preserve">P.O. Box 47250 </w:t>
      </w:r>
    </w:p>
    <w:p w14:paraId="65904B78" w14:textId="77777777" w:rsidR="00520547" w:rsidRPr="00023567" w:rsidRDefault="00520547" w:rsidP="00520547">
      <w:pPr>
        <w:rPr>
          <w:rFonts w:ascii="Times New Roman" w:hAnsi="Times New Roman" w:cs="Times New Roman"/>
          <w:highlight w:val="yellow"/>
        </w:rPr>
      </w:pPr>
      <w:r w:rsidRPr="00023567">
        <w:rPr>
          <w:rFonts w:ascii="Times New Roman" w:hAnsi="Times New Roman" w:cs="Times New Roman"/>
        </w:rPr>
        <w:t>Olympia, Washington 98504-7250</w:t>
      </w:r>
    </w:p>
    <w:p w14:paraId="6BAC27E9" w14:textId="77777777" w:rsidR="00520547" w:rsidRPr="00023567" w:rsidRDefault="00520547" w:rsidP="00520547">
      <w:pPr>
        <w:rPr>
          <w:rFonts w:ascii="Times New Roman" w:hAnsi="Times New Roman" w:cs="Times New Roman"/>
          <w:highlight w:val="yellow"/>
        </w:rPr>
      </w:pPr>
    </w:p>
    <w:p w14:paraId="4684165F" w14:textId="77777777" w:rsidR="00520547" w:rsidRDefault="00520547" w:rsidP="00520547">
      <w:pPr>
        <w:ind w:firstLine="720"/>
        <w:rPr>
          <w:rFonts w:ascii="Times New Roman" w:hAnsi="Times New Roman" w:cs="Times New Roman"/>
          <w:b/>
        </w:rPr>
      </w:pPr>
      <w:r w:rsidRPr="00023567">
        <w:rPr>
          <w:rFonts w:ascii="Times New Roman" w:hAnsi="Times New Roman" w:cs="Times New Roman"/>
          <w:b/>
        </w:rPr>
        <w:t xml:space="preserve">RE: </w:t>
      </w:r>
      <w:r w:rsidRPr="00023567">
        <w:rPr>
          <w:rFonts w:ascii="Times New Roman" w:hAnsi="Times New Roman" w:cs="Times New Roman"/>
          <w:b/>
        </w:rPr>
        <w:tab/>
        <w:t>DOCKET NO. UE-131723 (I-937 rulemaking)</w:t>
      </w:r>
    </w:p>
    <w:p w14:paraId="51F23594" w14:textId="2388BB5B" w:rsidR="00C67F2A" w:rsidRPr="00023567" w:rsidRDefault="00C67F2A" w:rsidP="00C67F2A">
      <w:pPr>
        <w:ind w:left="1440"/>
        <w:rPr>
          <w:rFonts w:ascii="Times New Roman" w:hAnsi="Times New Roman" w:cs="Times New Roman"/>
          <w:b/>
        </w:rPr>
      </w:pPr>
      <w:r>
        <w:rPr>
          <w:rFonts w:ascii="Times New Roman" w:hAnsi="Times New Roman" w:cs="Times New Roman"/>
          <w:b/>
        </w:rPr>
        <w:t>Comments of NW Energy Coalition and Renewable Northwest re Renewables-Related Rules</w:t>
      </w:r>
    </w:p>
    <w:p w14:paraId="45848E3B" w14:textId="77777777" w:rsidR="00520547" w:rsidRPr="00023567" w:rsidRDefault="00520547" w:rsidP="00520547">
      <w:pPr>
        <w:rPr>
          <w:rFonts w:ascii="Times New Roman" w:hAnsi="Times New Roman" w:cs="Times New Roman"/>
        </w:rPr>
      </w:pPr>
    </w:p>
    <w:p w14:paraId="0951360B" w14:textId="77777777" w:rsidR="00520547" w:rsidRDefault="00520547" w:rsidP="00520547">
      <w:pPr>
        <w:rPr>
          <w:rFonts w:ascii="Times New Roman" w:hAnsi="Times New Roman" w:cs="Times New Roman"/>
        </w:rPr>
      </w:pPr>
      <w:r w:rsidRPr="00023567">
        <w:rPr>
          <w:rFonts w:ascii="Times New Roman" w:hAnsi="Times New Roman" w:cs="Times New Roman"/>
        </w:rPr>
        <w:t xml:space="preserve">The NW Energy Coalition and Renewable Northwest submit the following comments in response to the Commission’s April 9 Notice of Opportunity to File Written Comments regarding the Energy Independence Act (I-937, WAC 480-109) rulemaking. </w:t>
      </w:r>
    </w:p>
    <w:p w14:paraId="0B92F7DA" w14:textId="77777777" w:rsidR="00520547" w:rsidRDefault="00520547" w:rsidP="00520547">
      <w:pPr>
        <w:rPr>
          <w:rFonts w:ascii="Times New Roman" w:hAnsi="Times New Roman" w:cs="Times New Roman"/>
        </w:rPr>
      </w:pPr>
    </w:p>
    <w:p w14:paraId="203B0DFC" w14:textId="17239D38" w:rsidR="00520547" w:rsidRDefault="00F47383" w:rsidP="00520547">
      <w:pPr>
        <w:rPr>
          <w:rFonts w:ascii="Times New Roman" w:hAnsi="Times New Roman" w:cs="Times New Roman"/>
        </w:rPr>
      </w:pPr>
      <w:r>
        <w:rPr>
          <w:rFonts w:ascii="Times New Roman" w:hAnsi="Times New Roman" w:cs="Times New Roman"/>
        </w:rPr>
        <w:t xml:space="preserve">NW Energy Coalition separately submitted comments on the rules related to conservation. </w:t>
      </w:r>
      <w:r w:rsidR="00520547">
        <w:rPr>
          <w:rFonts w:ascii="Times New Roman" w:hAnsi="Times New Roman" w:cs="Times New Roman"/>
        </w:rPr>
        <w:t xml:space="preserve">For ease of reference, we have separated renewables and conservation comments into two documents. This document contains our </w:t>
      </w:r>
      <w:r>
        <w:rPr>
          <w:rFonts w:ascii="Times New Roman" w:hAnsi="Times New Roman" w:cs="Times New Roman"/>
        </w:rPr>
        <w:t xml:space="preserve">joint </w:t>
      </w:r>
      <w:r w:rsidR="00520547">
        <w:rPr>
          <w:rFonts w:ascii="Times New Roman" w:hAnsi="Times New Roman" w:cs="Times New Roman"/>
        </w:rPr>
        <w:t>comments on draft rules related to the renewables standard.</w:t>
      </w:r>
    </w:p>
    <w:p w14:paraId="14944156" w14:textId="77777777" w:rsidR="00520547" w:rsidRDefault="00520547" w:rsidP="00520547">
      <w:pPr>
        <w:rPr>
          <w:rFonts w:ascii="Times New Roman" w:hAnsi="Times New Roman" w:cs="Times New Roman"/>
        </w:rPr>
      </w:pPr>
    </w:p>
    <w:p w14:paraId="169B29FB" w14:textId="77777777" w:rsidR="00520547" w:rsidRDefault="00520547" w:rsidP="00520547">
      <w:pPr>
        <w:rPr>
          <w:rFonts w:ascii="Times New Roman" w:hAnsi="Times New Roman" w:cs="Times New Roman"/>
        </w:rPr>
      </w:pPr>
      <w:r>
        <w:rPr>
          <w:rFonts w:ascii="Times New Roman" w:hAnsi="Times New Roman" w:cs="Times New Roman"/>
        </w:rPr>
        <w:t>Staff’s draft rules for renewables are a major step forward. They present an excellent starting point for creating clearer and more effective I-937 implementing rules. In the comments that follow, we suggest a few areas for additional refinement during the rulemaking process.</w:t>
      </w:r>
    </w:p>
    <w:p w14:paraId="59A63C54" w14:textId="77777777" w:rsidR="00520547" w:rsidRDefault="00520547" w:rsidP="00520547">
      <w:pPr>
        <w:rPr>
          <w:rFonts w:ascii="Times New Roman" w:hAnsi="Times New Roman" w:cs="Times New Roman"/>
        </w:rPr>
      </w:pPr>
    </w:p>
    <w:p w14:paraId="59653A8E" w14:textId="4C533CEB" w:rsidR="00520547" w:rsidRDefault="00520547" w:rsidP="00520547">
      <w:pPr>
        <w:rPr>
          <w:rFonts w:ascii="Times New Roman" w:hAnsi="Times New Roman" w:cs="Times New Roman"/>
        </w:rPr>
      </w:pPr>
      <w:r>
        <w:rPr>
          <w:rFonts w:ascii="Times New Roman" w:hAnsi="Times New Roman" w:cs="Times New Roman"/>
        </w:rPr>
        <w:t xml:space="preserve">Our </w:t>
      </w:r>
      <w:r w:rsidR="00F47383">
        <w:rPr>
          <w:rFonts w:ascii="Times New Roman" w:hAnsi="Times New Roman" w:cs="Times New Roman"/>
        </w:rPr>
        <w:t xml:space="preserve">renewables </w:t>
      </w:r>
      <w:r>
        <w:rPr>
          <w:rFonts w:ascii="Times New Roman" w:hAnsi="Times New Roman" w:cs="Times New Roman"/>
        </w:rPr>
        <w:t xml:space="preserve">comments are organized thematically, in the following order:  </w:t>
      </w:r>
      <w:r w:rsidRPr="007C01F3">
        <w:rPr>
          <w:rFonts w:ascii="Times New Roman" w:hAnsi="Times New Roman" w:cs="Times New Roman"/>
          <w:b/>
        </w:rPr>
        <w:t xml:space="preserve">(1) reporting and review; (2) incremental cost; (3) </w:t>
      </w:r>
      <w:r w:rsidR="0065751B">
        <w:rPr>
          <w:rFonts w:ascii="Times New Roman" w:hAnsi="Times New Roman" w:cs="Times New Roman"/>
          <w:b/>
        </w:rPr>
        <w:t xml:space="preserve">incremental </w:t>
      </w:r>
      <w:r w:rsidRPr="007C01F3">
        <w:rPr>
          <w:rFonts w:ascii="Times New Roman" w:hAnsi="Times New Roman" w:cs="Times New Roman"/>
          <w:b/>
        </w:rPr>
        <w:t xml:space="preserve">hydroelectric </w:t>
      </w:r>
      <w:r w:rsidR="0065751B">
        <w:rPr>
          <w:rFonts w:ascii="Times New Roman" w:hAnsi="Times New Roman" w:cs="Times New Roman"/>
          <w:b/>
        </w:rPr>
        <w:t>energy</w:t>
      </w:r>
      <w:r w:rsidRPr="007C01F3">
        <w:rPr>
          <w:rFonts w:ascii="Times New Roman" w:hAnsi="Times New Roman" w:cs="Times New Roman"/>
          <w:b/>
        </w:rPr>
        <w:t>; and (4) miscellaneous.</w:t>
      </w:r>
      <w:r>
        <w:rPr>
          <w:rFonts w:ascii="Times New Roman" w:hAnsi="Times New Roman" w:cs="Times New Roman"/>
        </w:rPr>
        <w:t xml:space="preserve"> Within each thematic section, we have combined our comments on the draft rules, our responses to the </w:t>
      </w:r>
      <w:r w:rsidRPr="00520547">
        <w:rPr>
          <w:rFonts w:ascii="Times New Roman" w:hAnsi="Times New Roman" w:cs="Times New Roman"/>
        </w:rPr>
        <w:t>questions raised by the Commission</w:t>
      </w:r>
      <w:r>
        <w:rPr>
          <w:rFonts w:ascii="Times New Roman" w:hAnsi="Times New Roman" w:cs="Times New Roman"/>
        </w:rPr>
        <w:t>’s</w:t>
      </w:r>
      <w:r w:rsidRPr="00520547">
        <w:rPr>
          <w:rFonts w:ascii="Times New Roman" w:hAnsi="Times New Roman" w:cs="Times New Roman"/>
        </w:rPr>
        <w:t xml:space="preserve"> Notice</w:t>
      </w:r>
      <w:r>
        <w:rPr>
          <w:rFonts w:ascii="Times New Roman" w:hAnsi="Times New Roman" w:cs="Times New Roman"/>
        </w:rPr>
        <w:t>, and any additional comments.</w:t>
      </w:r>
    </w:p>
    <w:p w14:paraId="1B8443D6" w14:textId="77777777" w:rsidR="00520547" w:rsidRDefault="00520547" w:rsidP="00520547">
      <w:pPr>
        <w:rPr>
          <w:rFonts w:ascii="Times New Roman" w:hAnsi="Times New Roman" w:cs="Times New Roman"/>
        </w:rPr>
      </w:pPr>
    </w:p>
    <w:p w14:paraId="3C2B31F3" w14:textId="77777777" w:rsidR="00520547" w:rsidRPr="007C01F3" w:rsidRDefault="00520547" w:rsidP="00520547">
      <w:pPr>
        <w:jc w:val="center"/>
        <w:rPr>
          <w:rFonts w:ascii="Times New Roman" w:hAnsi="Times New Roman" w:cs="Times New Roman"/>
          <w:b/>
        </w:rPr>
      </w:pPr>
      <w:r w:rsidRPr="007C01F3">
        <w:rPr>
          <w:rFonts w:ascii="Times New Roman" w:hAnsi="Times New Roman" w:cs="Times New Roman"/>
          <w:b/>
        </w:rPr>
        <w:t>1. Reporting and Review</w:t>
      </w:r>
    </w:p>
    <w:p w14:paraId="6027FC82" w14:textId="77777777" w:rsidR="00520547" w:rsidRDefault="00520547" w:rsidP="00520547">
      <w:pPr>
        <w:rPr>
          <w:rFonts w:ascii="Times New Roman" w:hAnsi="Times New Roman" w:cs="Times New Roman"/>
        </w:rPr>
      </w:pPr>
    </w:p>
    <w:p w14:paraId="790F0122" w14:textId="77777777" w:rsidR="007C01F3" w:rsidRDefault="00431EF0" w:rsidP="00520547">
      <w:pPr>
        <w:rPr>
          <w:rFonts w:ascii="Times New Roman" w:hAnsi="Times New Roman" w:cs="Times New Roman"/>
        </w:rPr>
      </w:pPr>
      <w:r>
        <w:rPr>
          <w:rFonts w:ascii="Times New Roman" w:hAnsi="Times New Roman" w:cs="Times New Roman"/>
        </w:rPr>
        <w:t>Staff’s proposed rule amendments significantly clarify the</w:t>
      </w:r>
      <w:r w:rsidR="007C01F3">
        <w:rPr>
          <w:rFonts w:ascii="Times New Roman" w:hAnsi="Times New Roman" w:cs="Times New Roman"/>
        </w:rPr>
        <w:t xml:space="preserve"> timeline and content of reporting and review. We suggest one slight wording change to </w:t>
      </w:r>
      <w:r w:rsidR="00CD307B">
        <w:rPr>
          <w:rFonts w:ascii="Times New Roman" w:hAnsi="Times New Roman" w:cs="Times New Roman"/>
        </w:rPr>
        <w:t>help clarify</w:t>
      </w:r>
      <w:r w:rsidR="007C01F3">
        <w:rPr>
          <w:rFonts w:ascii="Times New Roman" w:hAnsi="Times New Roman" w:cs="Times New Roman"/>
        </w:rPr>
        <w:t xml:space="preserve"> what we believe to be Staff’s intention:  </w:t>
      </w:r>
      <w:r w:rsidR="00CD307B">
        <w:rPr>
          <w:rFonts w:ascii="Times New Roman" w:hAnsi="Times New Roman" w:cs="Times New Roman"/>
        </w:rPr>
        <w:t>throughout WAC 480-109-040</w:t>
      </w:r>
      <w:r w:rsidR="007C01F3">
        <w:rPr>
          <w:rFonts w:ascii="Times New Roman" w:hAnsi="Times New Roman" w:cs="Times New Roman"/>
        </w:rPr>
        <w:t>, change the phrase “</w:t>
      </w:r>
      <w:r w:rsidR="007C01F3" w:rsidRPr="007C01F3">
        <w:rPr>
          <w:rFonts w:ascii="Times New Roman" w:hAnsi="Times New Roman" w:cs="Times New Roman"/>
          <w:i/>
        </w:rPr>
        <w:t>the</w:t>
      </w:r>
      <w:r w:rsidR="007C01F3">
        <w:rPr>
          <w:rFonts w:ascii="Times New Roman" w:hAnsi="Times New Roman" w:cs="Times New Roman"/>
        </w:rPr>
        <w:t xml:space="preserve"> target year” to “</w:t>
      </w:r>
      <w:r w:rsidR="007C01F3" w:rsidRPr="007C01F3">
        <w:rPr>
          <w:rFonts w:ascii="Times New Roman" w:hAnsi="Times New Roman" w:cs="Times New Roman"/>
          <w:i/>
        </w:rPr>
        <w:t>that</w:t>
      </w:r>
      <w:r w:rsidR="007C01F3">
        <w:rPr>
          <w:rFonts w:ascii="Times New Roman" w:hAnsi="Times New Roman" w:cs="Times New Roman"/>
        </w:rPr>
        <w:t xml:space="preserve"> target year” (emphases added). </w:t>
      </w:r>
    </w:p>
    <w:p w14:paraId="4FAB637F" w14:textId="77777777" w:rsidR="007C01F3" w:rsidRDefault="007C01F3" w:rsidP="00520547">
      <w:pPr>
        <w:rPr>
          <w:rFonts w:ascii="Times New Roman" w:hAnsi="Times New Roman" w:cs="Times New Roman"/>
        </w:rPr>
      </w:pPr>
    </w:p>
    <w:p w14:paraId="7D14D992" w14:textId="77777777" w:rsidR="007C01F3" w:rsidRDefault="007C01F3" w:rsidP="00520547">
      <w:pPr>
        <w:rPr>
          <w:rFonts w:ascii="Times New Roman" w:hAnsi="Times New Roman" w:cs="Times New Roman"/>
        </w:rPr>
      </w:pPr>
      <w:r>
        <w:rPr>
          <w:rFonts w:ascii="Times New Roman" w:hAnsi="Times New Roman" w:cs="Times New Roman"/>
        </w:rPr>
        <w:t xml:space="preserve">To date, one of the most significant areas of confusion and disagreement in I-937 renewables implementation has been </w:t>
      </w:r>
      <w:r w:rsidRPr="007C01F3">
        <w:rPr>
          <w:rFonts w:ascii="Times New Roman" w:hAnsi="Times New Roman" w:cs="Times New Roman"/>
          <w:i/>
        </w:rPr>
        <w:t>which</w:t>
      </w:r>
      <w:r>
        <w:rPr>
          <w:rFonts w:ascii="Times New Roman" w:hAnsi="Times New Roman" w:cs="Times New Roman"/>
        </w:rPr>
        <w:t xml:space="preserve"> target year the June 1 report is meant to cover. We understand Staff’s proposed amendments to </w:t>
      </w:r>
      <w:r w:rsidR="00CD307B">
        <w:rPr>
          <w:rFonts w:ascii="Times New Roman" w:hAnsi="Times New Roman" w:cs="Times New Roman"/>
        </w:rPr>
        <w:t>require</w:t>
      </w:r>
      <w:r>
        <w:rPr>
          <w:rFonts w:ascii="Times New Roman" w:hAnsi="Times New Roman" w:cs="Times New Roman"/>
        </w:rPr>
        <w:t xml:space="preserve"> that “every June 1, utilities must detail the resources the utility has acquired or contracted to acquire to meet its renewable </w:t>
      </w:r>
      <w:r w:rsidR="00CD307B">
        <w:rPr>
          <w:rFonts w:ascii="Times New Roman" w:hAnsi="Times New Roman" w:cs="Times New Roman"/>
        </w:rPr>
        <w:t>resource obligation for” the target year commencing January 1 of the year in which the report is filed. (</w:t>
      </w:r>
      <w:r w:rsidR="00CD307B" w:rsidRPr="00CD307B">
        <w:rPr>
          <w:rFonts w:ascii="Times New Roman" w:hAnsi="Times New Roman" w:cs="Times New Roman"/>
          <w:i/>
        </w:rPr>
        <w:t>See</w:t>
      </w:r>
      <w:r w:rsidR="00CD307B">
        <w:rPr>
          <w:rFonts w:ascii="Times New Roman" w:hAnsi="Times New Roman" w:cs="Times New Roman"/>
        </w:rPr>
        <w:t xml:space="preserve"> proposed WAC 480-109-040(1) and 480-109-007(29).) Then, within two years of that report, the utility must submit a final compliance report to show actual WREGIS retirements for that target year. (Proposed WAC 480-109-040(6).)</w:t>
      </w:r>
    </w:p>
    <w:p w14:paraId="23EBBF76" w14:textId="77777777" w:rsidR="00CD307B" w:rsidRDefault="00CD307B" w:rsidP="00520547">
      <w:pPr>
        <w:rPr>
          <w:rFonts w:ascii="Times New Roman" w:hAnsi="Times New Roman" w:cs="Times New Roman"/>
        </w:rPr>
      </w:pPr>
    </w:p>
    <w:p w14:paraId="261CCA71" w14:textId="77777777" w:rsidR="00431EF0" w:rsidRDefault="00431EF0" w:rsidP="00520547">
      <w:pPr>
        <w:rPr>
          <w:rFonts w:ascii="Times New Roman" w:hAnsi="Times New Roman" w:cs="Times New Roman"/>
        </w:rPr>
      </w:pPr>
      <w:r>
        <w:rPr>
          <w:rFonts w:ascii="Times New Roman" w:hAnsi="Times New Roman" w:cs="Times New Roman"/>
        </w:rPr>
        <w:t>We agree with this approach, and it may be that the proposed wording is clear enough.  But, to reduce the risk of</w:t>
      </w:r>
      <w:r w:rsidR="00CD307B">
        <w:rPr>
          <w:rFonts w:ascii="Times New Roman" w:hAnsi="Times New Roman" w:cs="Times New Roman"/>
        </w:rPr>
        <w:t xml:space="preserve"> continued differing views of which target year is intended, we recommend either changing the phrase “</w:t>
      </w:r>
      <w:r w:rsidR="00CD307B" w:rsidRPr="007C01F3">
        <w:rPr>
          <w:rFonts w:ascii="Times New Roman" w:hAnsi="Times New Roman" w:cs="Times New Roman"/>
          <w:i/>
        </w:rPr>
        <w:t>the</w:t>
      </w:r>
      <w:r w:rsidR="00CD307B">
        <w:rPr>
          <w:rFonts w:ascii="Times New Roman" w:hAnsi="Times New Roman" w:cs="Times New Roman"/>
        </w:rPr>
        <w:t xml:space="preserve"> target year” to “</w:t>
      </w:r>
      <w:r w:rsidR="00CD307B" w:rsidRPr="007C01F3">
        <w:rPr>
          <w:rFonts w:ascii="Times New Roman" w:hAnsi="Times New Roman" w:cs="Times New Roman"/>
          <w:i/>
        </w:rPr>
        <w:t>that</w:t>
      </w:r>
      <w:r w:rsidR="00CD307B">
        <w:rPr>
          <w:rFonts w:ascii="Times New Roman" w:hAnsi="Times New Roman" w:cs="Times New Roman"/>
        </w:rPr>
        <w:t xml:space="preserve"> target year” (emphases added) throughout WAC 480-109-</w:t>
      </w:r>
      <w:r>
        <w:rPr>
          <w:rFonts w:ascii="Times New Roman" w:hAnsi="Times New Roman" w:cs="Times New Roman"/>
        </w:rPr>
        <w:t xml:space="preserve">040—or, to be even more clear, adding to the end of proposed WAC 480-109-040(1) the phrase “commencing January 1 of the year in which the report is filed.” </w:t>
      </w:r>
    </w:p>
    <w:p w14:paraId="36B7241C" w14:textId="77777777" w:rsidR="00431EF0" w:rsidRDefault="00431EF0" w:rsidP="00520547">
      <w:pPr>
        <w:rPr>
          <w:rFonts w:ascii="Times New Roman" w:hAnsi="Times New Roman" w:cs="Times New Roman"/>
        </w:rPr>
      </w:pPr>
    </w:p>
    <w:p w14:paraId="2AF108A3" w14:textId="77777777" w:rsidR="00431EF0" w:rsidRPr="00431EF0" w:rsidRDefault="00431EF0" w:rsidP="00431EF0">
      <w:pPr>
        <w:jc w:val="center"/>
        <w:rPr>
          <w:rFonts w:ascii="Times New Roman" w:hAnsi="Times New Roman" w:cs="Times New Roman"/>
          <w:b/>
        </w:rPr>
      </w:pPr>
      <w:r w:rsidRPr="00431EF0">
        <w:rPr>
          <w:rFonts w:ascii="Times New Roman" w:hAnsi="Times New Roman" w:cs="Times New Roman"/>
          <w:b/>
        </w:rPr>
        <w:t>2. Incremental Cost</w:t>
      </w:r>
    </w:p>
    <w:p w14:paraId="7BE50D1C" w14:textId="77777777" w:rsidR="00431EF0" w:rsidRDefault="00431EF0" w:rsidP="00520547">
      <w:pPr>
        <w:rPr>
          <w:rFonts w:ascii="Times New Roman" w:hAnsi="Times New Roman" w:cs="Times New Roman"/>
        </w:rPr>
      </w:pPr>
    </w:p>
    <w:p w14:paraId="1D34D858" w14:textId="77777777" w:rsidR="00431EF0" w:rsidRDefault="00431EF0" w:rsidP="00520547">
      <w:pPr>
        <w:rPr>
          <w:rFonts w:ascii="Times New Roman" w:hAnsi="Times New Roman" w:cs="Times New Roman"/>
        </w:rPr>
      </w:pPr>
      <w:r>
        <w:rPr>
          <w:rFonts w:ascii="Times New Roman" w:hAnsi="Times New Roman" w:cs="Times New Roman"/>
        </w:rPr>
        <w:t xml:space="preserve">Incremental cost calculation methodologies can be relatively complex, and Staff’s proposed rules make a good start at outlining a set of consistent expectations for those calculations. </w:t>
      </w:r>
      <w:r w:rsidR="00B12A02">
        <w:rPr>
          <w:rFonts w:ascii="Times New Roman" w:hAnsi="Times New Roman" w:cs="Times New Roman"/>
        </w:rPr>
        <w:t xml:space="preserve">Staff outlines a logical, step-by-step process for the analysis. </w:t>
      </w:r>
      <w:r>
        <w:rPr>
          <w:rFonts w:ascii="Times New Roman" w:hAnsi="Times New Roman" w:cs="Times New Roman"/>
        </w:rPr>
        <w:t xml:space="preserve">We support </w:t>
      </w:r>
      <w:r w:rsidR="00B12A02">
        <w:rPr>
          <w:rFonts w:ascii="Times New Roman" w:hAnsi="Times New Roman" w:cs="Times New Roman"/>
        </w:rPr>
        <w:t xml:space="preserve">Staff’s </w:t>
      </w:r>
      <w:r>
        <w:rPr>
          <w:rFonts w:ascii="Times New Roman" w:hAnsi="Times New Roman" w:cs="Times New Roman"/>
        </w:rPr>
        <w:t>effort to enhance the guidance in the WUTC rules in a manner aligned with the statute.</w:t>
      </w:r>
    </w:p>
    <w:p w14:paraId="0F5C7479" w14:textId="77777777" w:rsidR="00431EF0" w:rsidRDefault="00431EF0" w:rsidP="00520547">
      <w:pPr>
        <w:rPr>
          <w:rFonts w:ascii="Times New Roman" w:hAnsi="Times New Roman" w:cs="Times New Roman"/>
        </w:rPr>
      </w:pPr>
    </w:p>
    <w:p w14:paraId="68ED0AE4" w14:textId="77777777" w:rsidR="00431EF0" w:rsidRDefault="002B7A5C" w:rsidP="00520547">
      <w:pPr>
        <w:rPr>
          <w:rFonts w:ascii="Times New Roman" w:hAnsi="Times New Roman" w:cs="Times New Roman"/>
        </w:rPr>
      </w:pPr>
      <w:r>
        <w:rPr>
          <w:rFonts w:ascii="Times New Roman" w:hAnsi="Times New Roman" w:cs="Times New Roman"/>
        </w:rPr>
        <w:t>Here, w</w:t>
      </w:r>
      <w:r w:rsidR="00B12A02">
        <w:rPr>
          <w:rFonts w:ascii="Times New Roman" w:hAnsi="Times New Roman" w:cs="Times New Roman"/>
        </w:rPr>
        <w:t xml:space="preserve">e identify </w:t>
      </w:r>
      <w:r>
        <w:rPr>
          <w:rFonts w:ascii="Times New Roman" w:hAnsi="Times New Roman" w:cs="Times New Roman"/>
        </w:rPr>
        <w:t>three</w:t>
      </w:r>
      <w:r w:rsidR="00B12A02">
        <w:rPr>
          <w:rFonts w:ascii="Times New Roman" w:hAnsi="Times New Roman" w:cs="Times New Roman"/>
        </w:rPr>
        <w:t xml:space="preserve"> points on which </w:t>
      </w:r>
      <w:r>
        <w:rPr>
          <w:rFonts w:ascii="Times New Roman" w:hAnsi="Times New Roman" w:cs="Times New Roman"/>
        </w:rPr>
        <w:t xml:space="preserve">workshop discussion about the intent of the proposed rules </w:t>
      </w:r>
      <w:r w:rsidR="00B12A02">
        <w:rPr>
          <w:rFonts w:ascii="Times New Roman" w:hAnsi="Times New Roman" w:cs="Times New Roman"/>
        </w:rPr>
        <w:t>would be helpful</w:t>
      </w:r>
      <w:r>
        <w:rPr>
          <w:rFonts w:ascii="Times New Roman" w:hAnsi="Times New Roman" w:cs="Times New Roman"/>
        </w:rPr>
        <w:t>. We also respond to the question about integration costs on page 3 of the Notice.</w:t>
      </w:r>
    </w:p>
    <w:p w14:paraId="68C7AADC" w14:textId="77777777" w:rsidR="002B7A5C" w:rsidRDefault="002B7A5C" w:rsidP="00520547">
      <w:pPr>
        <w:rPr>
          <w:rFonts w:ascii="Times New Roman" w:hAnsi="Times New Roman" w:cs="Times New Roman"/>
        </w:rPr>
      </w:pPr>
    </w:p>
    <w:p w14:paraId="4EF2B88D" w14:textId="77777777" w:rsidR="002B7A5C" w:rsidRDefault="002B7A5C" w:rsidP="00520547">
      <w:pPr>
        <w:rPr>
          <w:rFonts w:ascii="Times New Roman" w:hAnsi="Times New Roman" w:cs="Times New Roman"/>
        </w:rPr>
      </w:pPr>
      <w:r>
        <w:rPr>
          <w:rFonts w:ascii="Times New Roman" w:hAnsi="Times New Roman" w:cs="Times New Roman"/>
        </w:rPr>
        <w:t xml:space="preserve">First, we would like to </w:t>
      </w:r>
      <w:r w:rsidR="00B17BBF">
        <w:rPr>
          <w:rFonts w:ascii="Times New Roman" w:hAnsi="Times New Roman" w:cs="Times New Roman"/>
        </w:rPr>
        <w:t>confirm</w:t>
      </w:r>
      <w:r>
        <w:rPr>
          <w:rFonts w:ascii="Times New Roman" w:hAnsi="Times New Roman" w:cs="Times New Roman"/>
        </w:rPr>
        <w:t xml:space="preserve"> </w:t>
      </w:r>
      <w:r w:rsidR="00B17BBF">
        <w:rPr>
          <w:rFonts w:ascii="Times New Roman" w:hAnsi="Times New Roman" w:cs="Times New Roman"/>
        </w:rPr>
        <w:t>our</w:t>
      </w:r>
      <w:r>
        <w:rPr>
          <w:rFonts w:ascii="Times New Roman" w:hAnsi="Times New Roman" w:cs="Times New Roman"/>
        </w:rPr>
        <w:t xml:space="preserve"> understand</w:t>
      </w:r>
      <w:r w:rsidR="00B17BBF">
        <w:rPr>
          <w:rFonts w:ascii="Times New Roman" w:hAnsi="Times New Roman" w:cs="Times New Roman"/>
        </w:rPr>
        <w:t>ing of</w:t>
      </w:r>
      <w:r>
        <w:rPr>
          <w:rFonts w:ascii="Times New Roman" w:hAnsi="Times New Roman" w:cs="Times New Roman"/>
        </w:rPr>
        <w:t xml:space="preserve"> Staff’s concept for incorporating capacity costs into the analysis. Capacity is mentioned in proposed WAC 480-109-040(2)(a)(v), and we want to be sure that Staff and parties are on the same page about the mechanisms available to identify the costs of acquiring equivalent energy and capacity.</w:t>
      </w:r>
    </w:p>
    <w:p w14:paraId="509ED203" w14:textId="77777777" w:rsidR="002B7A5C" w:rsidRDefault="002B7A5C" w:rsidP="00520547">
      <w:pPr>
        <w:rPr>
          <w:rFonts w:ascii="Times New Roman" w:hAnsi="Times New Roman" w:cs="Times New Roman"/>
        </w:rPr>
      </w:pPr>
    </w:p>
    <w:p w14:paraId="77EBA04B" w14:textId="77777777" w:rsidR="002B7A5C" w:rsidRDefault="002B7A5C" w:rsidP="00520547">
      <w:pPr>
        <w:rPr>
          <w:rFonts w:ascii="Times New Roman" w:hAnsi="Times New Roman" w:cs="Times New Roman"/>
        </w:rPr>
      </w:pPr>
      <w:r>
        <w:rPr>
          <w:rFonts w:ascii="Times New Roman" w:hAnsi="Times New Roman" w:cs="Times New Roman"/>
        </w:rPr>
        <w:t xml:space="preserve">Second, we would like to </w:t>
      </w:r>
      <w:r w:rsidR="00B17BBF">
        <w:rPr>
          <w:rFonts w:ascii="Times New Roman" w:hAnsi="Times New Roman" w:cs="Times New Roman"/>
        </w:rPr>
        <w:t>confirm</w:t>
      </w:r>
      <w:r>
        <w:rPr>
          <w:rFonts w:ascii="Times New Roman" w:hAnsi="Times New Roman" w:cs="Times New Roman"/>
        </w:rPr>
        <w:t xml:space="preserve"> how Staff’s proposal identifies the incremental cost associated with meeting the minimum renewables percentage for the year, as distinct from the cost of all renewables acquisitions. We think that proposed WAC 480-109-040(2)(a)(ix) is intended to capture the latter, and proposed WAC 480-109-040(2)(a)(x) the former. </w:t>
      </w:r>
      <w:r w:rsidR="00B17BBF">
        <w:rPr>
          <w:rFonts w:ascii="Times New Roman" w:hAnsi="Times New Roman" w:cs="Times New Roman"/>
        </w:rPr>
        <w:t>Discussion of</w:t>
      </w:r>
      <w:r>
        <w:rPr>
          <w:rFonts w:ascii="Times New Roman" w:hAnsi="Times New Roman" w:cs="Times New Roman"/>
        </w:rPr>
        <w:t xml:space="preserve"> this point would be helpful.</w:t>
      </w:r>
    </w:p>
    <w:p w14:paraId="257149F8" w14:textId="77777777" w:rsidR="002B7A5C" w:rsidRDefault="002B7A5C" w:rsidP="00520547">
      <w:pPr>
        <w:rPr>
          <w:rFonts w:ascii="Times New Roman" w:hAnsi="Times New Roman" w:cs="Times New Roman"/>
        </w:rPr>
      </w:pPr>
    </w:p>
    <w:p w14:paraId="062F7827" w14:textId="4B421384" w:rsidR="002B7A5C" w:rsidRDefault="002B7A5C" w:rsidP="00520547">
      <w:pPr>
        <w:rPr>
          <w:rFonts w:ascii="Times New Roman" w:hAnsi="Times New Roman" w:cs="Times New Roman"/>
        </w:rPr>
      </w:pPr>
      <w:r>
        <w:rPr>
          <w:rFonts w:ascii="Times New Roman" w:hAnsi="Times New Roman" w:cs="Times New Roman"/>
        </w:rPr>
        <w:t xml:space="preserve">Third, </w:t>
      </w:r>
      <w:r w:rsidR="00B17BBF">
        <w:rPr>
          <w:rFonts w:ascii="Times New Roman" w:hAnsi="Times New Roman" w:cs="Times New Roman"/>
        </w:rPr>
        <w:t xml:space="preserve">proposed WAC 480-109-040(2)(a)(vii) introduces the concept of unbundled renewable energy credits for the first time. We assume that the following meaning is intended:  when, at the time of purchase, the utility acquires </w:t>
      </w:r>
      <w:r w:rsidR="00B17BBF" w:rsidRPr="00B17BBF">
        <w:rPr>
          <w:rFonts w:ascii="Times New Roman" w:hAnsi="Times New Roman" w:cs="Times New Roman"/>
          <w:i/>
        </w:rPr>
        <w:t>only</w:t>
      </w:r>
      <w:r w:rsidR="00B17BBF">
        <w:rPr>
          <w:rFonts w:ascii="Times New Roman" w:hAnsi="Times New Roman" w:cs="Times New Roman"/>
        </w:rPr>
        <w:t xml:space="preserve"> renewable energy credits and the customers on whose behalf it purchases those RECs do not receive any associated electricity in the transaction. In this situation, there will</w:t>
      </w:r>
      <w:r w:rsidR="00F606E8">
        <w:rPr>
          <w:rFonts w:ascii="Times New Roman" w:hAnsi="Times New Roman" w:cs="Times New Roman"/>
        </w:rPr>
        <w:t xml:space="preserve"> be</w:t>
      </w:r>
      <w:r w:rsidR="00B17BBF">
        <w:rPr>
          <w:rFonts w:ascii="Times New Roman" w:hAnsi="Times New Roman" w:cs="Times New Roman"/>
        </w:rPr>
        <w:t xml:space="preserve"> a clear contract price for unbundled RECs that can be easily summed as proposed in new WAC 480-109-040(2)(a)(vii).</w:t>
      </w:r>
      <w:r w:rsidR="00D22DD2">
        <w:rPr>
          <w:rFonts w:ascii="Times New Roman" w:hAnsi="Times New Roman" w:cs="Times New Roman"/>
        </w:rPr>
        <w:t xml:space="preserve"> So long as the </w:t>
      </w:r>
      <w:r w:rsidR="00F606E8">
        <w:rPr>
          <w:rFonts w:ascii="Times New Roman" w:hAnsi="Times New Roman" w:cs="Times New Roman"/>
        </w:rPr>
        <w:t xml:space="preserve">rules </w:t>
      </w:r>
      <w:r w:rsidR="00D22DD2">
        <w:rPr>
          <w:rFonts w:ascii="Times New Roman" w:hAnsi="Times New Roman" w:cs="Times New Roman"/>
        </w:rPr>
        <w:t xml:space="preserve">maintain the incremental cost analysis for bundled purchases and add the REC cost only for unbundled purchases, this should not be a problem. But the </w:t>
      </w:r>
      <w:r w:rsidR="00F606E8">
        <w:rPr>
          <w:rFonts w:ascii="Times New Roman" w:hAnsi="Times New Roman" w:cs="Times New Roman"/>
        </w:rPr>
        <w:t xml:space="preserve">Commission </w:t>
      </w:r>
      <w:r w:rsidR="00D22DD2">
        <w:rPr>
          <w:rFonts w:ascii="Times New Roman" w:hAnsi="Times New Roman" w:cs="Times New Roman"/>
        </w:rPr>
        <w:t>may wish to consider adding a de</w:t>
      </w:r>
      <w:r w:rsidR="000F0B36">
        <w:rPr>
          <w:rFonts w:ascii="Times New Roman" w:hAnsi="Times New Roman" w:cs="Times New Roman"/>
        </w:rPr>
        <w:t>finition of “unbundled</w:t>
      </w:r>
      <w:r w:rsidR="00D22DD2">
        <w:rPr>
          <w:rFonts w:ascii="Times New Roman" w:hAnsi="Times New Roman" w:cs="Times New Roman"/>
        </w:rPr>
        <w:t>”</w:t>
      </w:r>
      <w:r w:rsidR="000F0B36">
        <w:rPr>
          <w:rFonts w:ascii="Times New Roman" w:hAnsi="Times New Roman" w:cs="Times New Roman"/>
        </w:rPr>
        <w:t xml:space="preserve"> to avoid any future confusion.</w:t>
      </w:r>
      <w:r w:rsidR="000F0B36">
        <w:rPr>
          <w:rStyle w:val="FootnoteReference"/>
          <w:rFonts w:ascii="Times New Roman" w:hAnsi="Times New Roman" w:cs="Times New Roman"/>
        </w:rPr>
        <w:footnoteReference w:id="1"/>
      </w:r>
    </w:p>
    <w:p w14:paraId="66212777" w14:textId="77777777" w:rsidR="00D22DD2" w:rsidRDefault="00D22DD2" w:rsidP="00520547">
      <w:pPr>
        <w:rPr>
          <w:rFonts w:ascii="Times New Roman" w:hAnsi="Times New Roman" w:cs="Times New Roman"/>
        </w:rPr>
      </w:pPr>
    </w:p>
    <w:p w14:paraId="20F3DC05" w14:textId="4F8868E6" w:rsidR="000F0B36" w:rsidRDefault="00D22DD2" w:rsidP="00520547">
      <w:pPr>
        <w:rPr>
          <w:rFonts w:ascii="Times New Roman" w:hAnsi="Times New Roman" w:cs="Times New Roman"/>
        </w:rPr>
      </w:pPr>
      <w:r>
        <w:rPr>
          <w:rFonts w:ascii="Times New Roman" w:hAnsi="Times New Roman" w:cs="Times New Roman"/>
        </w:rPr>
        <w:t xml:space="preserve">Finally, </w:t>
      </w:r>
      <w:r w:rsidR="000F0B36">
        <w:rPr>
          <w:rFonts w:ascii="Times New Roman" w:hAnsi="Times New Roman" w:cs="Times New Roman"/>
        </w:rPr>
        <w:t>we respond to the Commission’s question about determining integration costs. New or special methods for determining integration costs should not be created within I-937 rules. We recommend that integration costs be determined by reference to the integration costs approved for rate recovery in the utility’s most recent power cost case. Referring to the outcome of a power cost case is the best way to ensure that the integration costs in incremental cost calculations reflect what costs have actually been experienced in a time frame relatively near the target year. The alternative source of integration costs—utility integration studies associated with IRPs—may reflect anticipated future changes in integration costs over a longer term, but generally have not been vetted as rigorously and may not reflect the actual costs proved in a rate case for a single year close in time to the target year.</w:t>
      </w:r>
      <w:r w:rsidR="00F35B20">
        <w:rPr>
          <w:rFonts w:ascii="Times New Roman" w:hAnsi="Times New Roman" w:cs="Times New Roman"/>
        </w:rPr>
        <w:t xml:space="preserve"> On the other hand, if power cost cases are not filed annually and there is a period of years since the last power case</w:t>
      </w:r>
      <w:r w:rsidR="00C67F2A">
        <w:rPr>
          <w:rFonts w:ascii="Times New Roman" w:hAnsi="Times New Roman" w:cs="Times New Roman"/>
        </w:rPr>
        <w:t xml:space="preserve"> that set cost recovery for renewables integration</w:t>
      </w:r>
      <w:r w:rsidR="00F35B20">
        <w:rPr>
          <w:rFonts w:ascii="Times New Roman" w:hAnsi="Times New Roman" w:cs="Times New Roman"/>
        </w:rPr>
        <w:t xml:space="preserve">, an IRP integration study may become more appropriate on a case-by-case basis. </w:t>
      </w:r>
    </w:p>
    <w:p w14:paraId="464C72D9" w14:textId="77777777" w:rsidR="000F0B36" w:rsidRDefault="000F0B36" w:rsidP="00F35B20">
      <w:pPr>
        <w:jc w:val="center"/>
        <w:rPr>
          <w:rFonts w:ascii="Times New Roman" w:hAnsi="Times New Roman" w:cs="Times New Roman"/>
        </w:rPr>
      </w:pPr>
    </w:p>
    <w:p w14:paraId="7DDED029" w14:textId="77777777" w:rsidR="00D22DD2" w:rsidRPr="0065751B" w:rsidRDefault="0065751B" w:rsidP="0065751B">
      <w:pPr>
        <w:jc w:val="center"/>
        <w:rPr>
          <w:rFonts w:ascii="Times New Roman" w:hAnsi="Times New Roman" w:cs="Times New Roman"/>
          <w:b/>
        </w:rPr>
      </w:pPr>
      <w:r w:rsidRPr="0065751B">
        <w:rPr>
          <w:rFonts w:ascii="Times New Roman" w:hAnsi="Times New Roman" w:cs="Times New Roman"/>
          <w:b/>
        </w:rPr>
        <w:t>3. Incremental Hydroelectric Energy</w:t>
      </w:r>
    </w:p>
    <w:p w14:paraId="67E4B339" w14:textId="77777777" w:rsidR="0065751B" w:rsidRDefault="0065751B" w:rsidP="0065751B">
      <w:pPr>
        <w:rPr>
          <w:rFonts w:ascii="Times New Roman" w:hAnsi="Times New Roman" w:cs="Times New Roman"/>
        </w:rPr>
      </w:pPr>
    </w:p>
    <w:p w14:paraId="4BBC7523" w14:textId="77777777" w:rsidR="0065751B" w:rsidRDefault="0065751B" w:rsidP="0065751B">
      <w:pPr>
        <w:rPr>
          <w:rFonts w:ascii="Times New Roman" w:hAnsi="Times New Roman" w:cs="Times New Roman"/>
        </w:rPr>
      </w:pPr>
      <w:r>
        <w:rPr>
          <w:rFonts w:ascii="Times New Roman" w:hAnsi="Times New Roman" w:cs="Times New Roman"/>
        </w:rPr>
        <w:t>For this topic, we begin by addressing the questions on pages 2-3 of the Commission’s Notice.</w:t>
      </w:r>
      <w:r w:rsidR="00396EEC">
        <w:rPr>
          <w:rFonts w:ascii="Times New Roman" w:hAnsi="Times New Roman" w:cs="Times New Roman"/>
        </w:rPr>
        <w:t xml:space="preserve"> We do not have the expertise in hydroelectric or climate modeling to be able to answer the Commission’s questions directly. However, we wish to make two points that relate to the questions posed.</w:t>
      </w:r>
    </w:p>
    <w:p w14:paraId="17E69AFB" w14:textId="77777777" w:rsidR="00396EEC" w:rsidRDefault="00396EEC" w:rsidP="0065751B">
      <w:pPr>
        <w:rPr>
          <w:rFonts w:ascii="Times New Roman" w:hAnsi="Times New Roman" w:cs="Times New Roman"/>
        </w:rPr>
      </w:pPr>
    </w:p>
    <w:p w14:paraId="04D44BCE" w14:textId="63106B87" w:rsidR="00396EEC" w:rsidRDefault="00E43747" w:rsidP="0065751B">
      <w:pPr>
        <w:rPr>
          <w:rFonts w:ascii="Times New Roman" w:hAnsi="Times New Roman" w:cs="Times New Roman"/>
        </w:rPr>
      </w:pPr>
      <w:r>
        <w:rPr>
          <w:rFonts w:ascii="Times New Roman" w:hAnsi="Times New Roman" w:cs="Times New Roman"/>
        </w:rPr>
        <w:t xml:space="preserve">First, we encourage the Commission to select a historical period that is sufficiently representative but balances the depth of historical representation with a recognition that climate modelers expect the Northwest’s hydrologic environment to change significantly over time. The third National Climate Assessment released this week </w:t>
      </w:r>
      <w:r w:rsidR="00C67F2A">
        <w:rPr>
          <w:rFonts w:ascii="Times New Roman" w:hAnsi="Times New Roman" w:cs="Times New Roman"/>
        </w:rPr>
        <w:t>advises</w:t>
      </w:r>
      <w:r>
        <w:rPr>
          <w:rFonts w:ascii="Times New Roman" w:hAnsi="Times New Roman" w:cs="Times New Roman"/>
        </w:rPr>
        <w:t xml:space="preserve"> the Northwest region </w:t>
      </w:r>
      <w:r w:rsidR="00C67F2A">
        <w:rPr>
          <w:rFonts w:ascii="Times New Roman" w:hAnsi="Times New Roman" w:cs="Times New Roman"/>
        </w:rPr>
        <w:t>of the following</w:t>
      </w:r>
      <w:r>
        <w:rPr>
          <w:rFonts w:ascii="Times New Roman" w:hAnsi="Times New Roman" w:cs="Times New Roman"/>
        </w:rPr>
        <w:t>:</w:t>
      </w:r>
    </w:p>
    <w:p w14:paraId="5F6CCF49" w14:textId="77777777" w:rsidR="00E43747" w:rsidRDefault="00E43747" w:rsidP="0065751B">
      <w:pPr>
        <w:rPr>
          <w:rFonts w:ascii="Times New Roman" w:hAnsi="Times New Roman" w:cs="Times New Roman"/>
        </w:rPr>
      </w:pPr>
    </w:p>
    <w:p w14:paraId="6C591F39" w14:textId="0FC7F71A" w:rsidR="00E43747" w:rsidRDefault="00E43747" w:rsidP="00E43747">
      <w:pPr>
        <w:ind w:left="720"/>
        <w:rPr>
          <w:rFonts w:ascii="Times New Roman" w:hAnsi="Times New Roman" w:cs="Times New Roman"/>
        </w:rPr>
      </w:pPr>
      <w:r w:rsidRPr="00E43747">
        <w:rPr>
          <w:rFonts w:ascii="Times New Roman" w:hAnsi="Times New Roman" w:cs="Times New Roman"/>
        </w:rPr>
        <w:t>Changes in the timing of streamflow related to changing snowmelt are already observed and will continue, reducing the supply of water for many competing demands and causing far-reaching ecological and socioeconomic consequences.</w:t>
      </w:r>
    </w:p>
    <w:p w14:paraId="320FC9A4" w14:textId="77777777" w:rsidR="00E43747" w:rsidRDefault="00E43747" w:rsidP="00E43747">
      <w:pPr>
        <w:ind w:left="720"/>
        <w:rPr>
          <w:rFonts w:ascii="Times New Roman" w:hAnsi="Times New Roman" w:cs="Times New Roman"/>
        </w:rPr>
      </w:pPr>
    </w:p>
    <w:p w14:paraId="22B75CD7" w14:textId="34DB79A4" w:rsidR="00E43747" w:rsidRPr="00E43747" w:rsidRDefault="00E43747" w:rsidP="00E43747">
      <w:pPr>
        <w:numPr>
          <w:ilvl w:val="0"/>
          <w:numId w:val="1"/>
        </w:numPr>
        <w:rPr>
          <w:rFonts w:ascii="Times New Roman" w:hAnsi="Times New Roman" w:cs="Times New Roman"/>
        </w:rPr>
      </w:pPr>
      <w:r>
        <w:rPr>
          <w:rFonts w:ascii="Times New Roman" w:hAnsi="Times New Roman" w:cs="Times New Roman"/>
        </w:rPr>
        <w:tab/>
      </w:r>
      <w:r w:rsidRPr="00E43747">
        <w:rPr>
          <w:rFonts w:ascii="Times New Roman" w:hAnsi="Times New Roman" w:cs="Times New Roman"/>
        </w:rPr>
        <w:t>By 2050, snowmelt is projected to shift three to four weeks earlier than the 20th century average, and summer flows are projected to be substantially lower, even for an emissions scenario that assumes substantial emissions reductions (B1).</w:t>
      </w:r>
    </w:p>
    <w:p w14:paraId="6F7169C9" w14:textId="77777777" w:rsidR="00431EF0" w:rsidRDefault="00431EF0" w:rsidP="00520547">
      <w:pPr>
        <w:rPr>
          <w:rFonts w:ascii="Times New Roman" w:hAnsi="Times New Roman" w:cs="Times New Roman"/>
        </w:rPr>
      </w:pPr>
    </w:p>
    <w:p w14:paraId="6CF4415F" w14:textId="77777777" w:rsidR="00431EF0" w:rsidRDefault="00E43747" w:rsidP="00520547">
      <w:pPr>
        <w:rPr>
          <w:rFonts w:ascii="Times New Roman" w:hAnsi="Times New Roman" w:cs="Times New Roman"/>
        </w:rPr>
      </w:pPr>
      <w:r>
        <w:rPr>
          <w:rFonts w:ascii="Times New Roman" w:hAnsi="Times New Roman" w:cs="Times New Roman"/>
        </w:rPr>
        <w:t>(NCA Ch. 21: Northwest.)</w:t>
      </w:r>
    </w:p>
    <w:p w14:paraId="717CD55E" w14:textId="77777777" w:rsidR="00520547" w:rsidRDefault="00520547" w:rsidP="00520547">
      <w:pPr>
        <w:rPr>
          <w:rFonts w:ascii="Times New Roman" w:hAnsi="Times New Roman" w:cs="Times New Roman"/>
        </w:rPr>
      </w:pPr>
    </w:p>
    <w:p w14:paraId="5D125ABA" w14:textId="28DF6DC6" w:rsidR="00641FB5" w:rsidRDefault="00E43747" w:rsidP="00520547">
      <w:pPr>
        <w:rPr>
          <w:rFonts w:ascii="Times New Roman" w:hAnsi="Times New Roman" w:cs="Times New Roman"/>
          <w:noProof/>
        </w:rPr>
      </w:pPr>
      <w:r>
        <w:rPr>
          <w:rFonts w:ascii="Times New Roman" w:hAnsi="Times New Roman" w:cs="Times New Roman"/>
          <w:noProof/>
        </w:rPr>
        <w:t xml:space="preserve">Second, </w:t>
      </w:r>
      <w:r w:rsidR="00E1149A">
        <w:rPr>
          <w:rFonts w:ascii="Times New Roman" w:hAnsi="Times New Roman" w:cs="Times New Roman"/>
          <w:noProof/>
        </w:rPr>
        <w:t xml:space="preserve">the Commission’s questions imply that incremental hydroelectric production must be measured from a baseline representing actual historic production. </w:t>
      </w:r>
      <w:r w:rsidR="00F35B20">
        <w:rPr>
          <w:rFonts w:ascii="Times New Roman" w:hAnsi="Times New Roman" w:cs="Times New Roman"/>
          <w:noProof/>
        </w:rPr>
        <w:t xml:space="preserve">We support this conclusion. </w:t>
      </w:r>
      <w:r w:rsidR="00641FB5">
        <w:rPr>
          <w:rFonts w:ascii="Times New Roman" w:hAnsi="Times New Roman" w:cs="Times New Roman"/>
          <w:noProof/>
        </w:rPr>
        <w:t>Alternatively,</w:t>
      </w:r>
      <w:r w:rsidR="00E1149A">
        <w:rPr>
          <w:rFonts w:ascii="Times New Roman" w:hAnsi="Times New Roman" w:cs="Times New Roman"/>
          <w:noProof/>
        </w:rPr>
        <w:t xml:space="preserve"> Method 1 holds the river discharge consistent with that experienced in the target year, and models production with pre-upgrade equipment. We are not certain that all incremental hydroelectric production approved to date has been evaluated against either an actual historical baseline or a Method 1 calculation, and would like to better understand if and when analysis to date may have deviated from those expectations.</w:t>
      </w:r>
      <w:r w:rsidR="00641FB5">
        <w:rPr>
          <w:rFonts w:ascii="Times New Roman" w:hAnsi="Times New Roman" w:cs="Times New Roman"/>
          <w:noProof/>
        </w:rPr>
        <w:t xml:space="preserve"> Relevant to this may be a discussion of proposed WAC 480-109-007(26), which defines the river discharge for purposes of Method 1 as “the total volume of water passing through, over and around” the facility. We would like to understand whether this is a significant change, or </w:t>
      </w:r>
      <w:r w:rsidR="008E13E3">
        <w:rPr>
          <w:rFonts w:ascii="Times New Roman" w:hAnsi="Times New Roman" w:cs="Times New Roman"/>
          <w:noProof/>
        </w:rPr>
        <w:t xml:space="preserve">instead </w:t>
      </w:r>
      <w:r w:rsidR="00641FB5">
        <w:rPr>
          <w:rFonts w:ascii="Times New Roman" w:hAnsi="Times New Roman" w:cs="Times New Roman"/>
          <w:noProof/>
        </w:rPr>
        <w:t>whether this is consistent with the evaluation of incremental hydroelectric energy that has been undertaken to date.</w:t>
      </w:r>
    </w:p>
    <w:p w14:paraId="242F7AD9" w14:textId="77777777" w:rsidR="008E13E3" w:rsidRDefault="008E13E3" w:rsidP="00520547">
      <w:pPr>
        <w:rPr>
          <w:rFonts w:ascii="Times New Roman" w:hAnsi="Times New Roman" w:cs="Times New Roman"/>
          <w:noProof/>
        </w:rPr>
      </w:pPr>
    </w:p>
    <w:p w14:paraId="4C88922D" w14:textId="699C3DA8" w:rsidR="008E13E3" w:rsidRDefault="008E13E3" w:rsidP="00520547">
      <w:pPr>
        <w:rPr>
          <w:rFonts w:ascii="Times New Roman" w:hAnsi="Times New Roman" w:cs="Times New Roman"/>
          <w:noProof/>
        </w:rPr>
      </w:pPr>
      <w:r>
        <w:rPr>
          <w:rFonts w:ascii="Times New Roman" w:hAnsi="Times New Roman" w:cs="Times New Roman"/>
          <w:noProof/>
        </w:rPr>
        <w:t xml:space="preserve">Several other elements of the hydro-related proposed rule amendments </w:t>
      </w:r>
      <w:r w:rsidR="004018AF">
        <w:rPr>
          <w:rFonts w:ascii="Times New Roman" w:hAnsi="Times New Roman" w:cs="Times New Roman"/>
          <w:noProof/>
        </w:rPr>
        <w:t xml:space="preserve">in WAC 480-109-020(7) </w:t>
      </w:r>
      <w:r>
        <w:rPr>
          <w:rFonts w:ascii="Times New Roman" w:hAnsi="Times New Roman" w:cs="Times New Roman"/>
          <w:noProof/>
        </w:rPr>
        <w:t xml:space="preserve">caught our attention, and we note them </w:t>
      </w:r>
      <w:r w:rsidR="00C67F2A">
        <w:rPr>
          <w:rFonts w:ascii="Times New Roman" w:hAnsi="Times New Roman" w:cs="Times New Roman"/>
          <w:noProof/>
        </w:rPr>
        <w:t>in the following bullets</w:t>
      </w:r>
      <w:r>
        <w:rPr>
          <w:rFonts w:ascii="Times New Roman" w:hAnsi="Times New Roman" w:cs="Times New Roman"/>
          <w:noProof/>
        </w:rPr>
        <w:t>:</w:t>
      </w:r>
    </w:p>
    <w:p w14:paraId="2E5C9CCB" w14:textId="77777777" w:rsidR="008E13E3" w:rsidRDefault="008E13E3" w:rsidP="00520547">
      <w:pPr>
        <w:rPr>
          <w:rFonts w:ascii="Times New Roman" w:hAnsi="Times New Roman" w:cs="Times New Roman"/>
          <w:noProof/>
        </w:rPr>
      </w:pPr>
    </w:p>
    <w:p w14:paraId="31F7E66C" w14:textId="409744B6" w:rsidR="008E13E3" w:rsidRDefault="008E13E3" w:rsidP="008E13E3">
      <w:pPr>
        <w:pStyle w:val="ListParagraph"/>
        <w:numPr>
          <w:ilvl w:val="0"/>
          <w:numId w:val="2"/>
        </w:numPr>
        <w:rPr>
          <w:rFonts w:ascii="Times New Roman" w:hAnsi="Times New Roman" w:cs="Times New Roman"/>
          <w:noProof/>
        </w:rPr>
      </w:pPr>
      <w:r w:rsidRPr="008E13E3">
        <w:rPr>
          <w:rFonts w:ascii="Times New Roman" w:hAnsi="Times New Roman" w:cs="Times New Roman"/>
          <w:noProof/>
        </w:rPr>
        <w:t xml:space="preserve">We support the rules </w:t>
      </w:r>
      <w:r w:rsidRPr="008E13E3">
        <w:rPr>
          <w:rFonts w:ascii="Times New Roman" w:hAnsi="Times New Roman" w:cs="Times New Roman"/>
          <w:i/>
          <w:noProof/>
        </w:rPr>
        <w:t>not</w:t>
      </w:r>
      <w:r w:rsidRPr="008E13E3">
        <w:rPr>
          <w:rFonts w:ascii="Times New Roman" w:hAnsi="Times New Roman" w:cs="Times New Roman"/>
          <w:noProof/>
        </w:rPr>
        <w:t xml:space="preserve"> containing a guarantee that the WUTC will accept the results of the determination by a third-party seller’s I-937 compliance reviewer. The WUTC’s independent, transparent review under its own set of standards is important to succe</w:t>
      </w:r>
      <w:r w:rsidR="00C67F2A">
        <w:rPr>
          <w:rFonts w:ascii="Times New Roman" w:hAnsi="Times New Roman" w:cs="Times New Roman"/>
          <w:noProof/>
        </w:rPr>
        <w:t>ssful implementation of the law.</w:t>
      </w:r>
    </w:p>
    <w:p w14:paraId="689F4141" w14:textId="77777777" w:rsidR="00C67F2A" w:rsidRDefault="00C67F2A" w:rsidP="00C67F2A">
      <w:pPr>
        <w:pStyle w:val="ListParagraph"/>
        <w:rPr>
          <w:rFonts w:ascii="Times New Roman" w:hAnsi="Times New Roman" w:cs="Times New Roman"/>
          <w:noProof/>
        </w:rPr>
      </w:pPr>
    </w:p>
    <w:p w14:paraId="0E4F8C70" w14:textId="77777777" w:rsidR="008E13E3" w:rsidRDefault="002D65A4" w:rsidP="008E13E3">
      <w:pPr>
        <w:pStyle w:val="ListParagraph"/>
        <w:numPr>
          <w:ilvl w:val="0"/>
          <w:numId w:val="2"/>
        </w:numPr>
        <w:rPr>
          <w:rFonts w:ascii="Times New Roman" w:hAnsi="Times New Roman" w:cs="Times New Roman"/>
          <w:noProof/>
        </w:rPr>
      </w:pPr>
      <w:r>
        <w:rPr>
          <w:rFonts w:ascii="Times New Roman" w:hAnsi="Times New Roman" w:cs="Times New Roman"/>
          <w:noProof/>
        </w:rPr>
        <w:t>We support the proposed rules’ preference for Methods 1 and 2 except in exceptional cases where an exemption is granted.</w:t>
      </w:r>
    </w:p>
    <w:p w14:paraId="0633DBC1" w14:textId="77777777" w:rsidR="00C67F2A" w:rsidRPr="0084060E" w:rsidRDefault="00C67F2A" w:rsidP="0084060E">
      <w:pPr>
        <w:rPr>
          <w:rFonts w:ascii="Times New Roman" w:hAnsi="Times New Roman" w:cs="Times New Roman"/>
          <w:noProof/>
        </w:rPr>
      </w:pPr>
    </w:p>
    <w:p w14:paraId="1CCB57F1" w14:textId="53B074AF" w:rsidR="00F606E8" w:rsidRPr="00F454A5" w:rsidRDefault="002D65A4" w:rsidP="00F454A5">
      <w:pPr>
        <w:pStyle w:val="ListParagraph"/>
        <w:numPr>
          <w:ilvl w:val="0"/>
          <w:numId w:val="2"/>
        </w:numPr>
        <w:rPr>
          <w:rFonts w:ascii="TimesNewRomanPSMT" w:hAnsi="TimesNewRomanPSMT" w:cs="TimesNewRomanPSMT"/>
        </w:rPr>
      </w:pPr>
      <w:r>
        <w:rPr>
          <w:rFonts w:ascii="Times New Roman" w:hAnsi="Times New Roman" w:cs="Times New Roman"/>
          <w:noProof/>
        </w:rPr>
        <w:t>The rules do not make entirely clear Staff’s conclusion as to whether I-937 allows an apprentice labor multiplier for incremental hydroelectric energy from efficiency improvements. Proposed WAC 480-109-040(4)(a) states that the “eligible resource” commenced operation after 2005, and “eligible renewable resource” is defined in proposed WAC 480-109-007(11) as “incremental electricity produced as a result of efficiency improvements[.]” We would appreciate a discussion of how these two sections match up, and relate to the law.</w:t>
      </w:r>
      <w:r w:rsidR="00C67F2A">
        <w:rPr>
          <w:rFonts w:ascii="Times New Roman" w:hAnsi="Times New Roman" w:cs="Times New Roman"/>
          <w:noProof/>
        </w:rPr>
        <w:t xml:space="preserve"> </w:t>
      </w:r>
      <w:r w:rsidR="00F606E8">
        <w:rPr>
          <w:rFonts w:ascii="Times New Roman" w:hAnsi="Times New Roman" w:cs="Times New Roman"/>
          <w:noProof/>
        </w:rPr>
        <w:t>In our opinion, t</w:t>
      </w:r>
      <w:r w:rsidR="00F606E8" w:rsidRPr="00F606E8">
        <w:rPr>
          <w:rFonts w:ascii="TimesNewRomanPSMT" w:hAnsi="TimesNewRomanPSMT" w:cs="TimesNewRomanPSMT"/>
        </w:rPr>
        <w:t>he law does not provide an apprenticeship credit multiplier for hydropower efficiency upgrades</w:t>
      </w:r>
      <w:r w:rsidR="00F606E8">
        <w:rPr>
          <w:rFonts w:ascii="TimesNewRomanPSMT" w:hAnsi="TimesNewRomanPSMT" w:cs="TimesNewRomanPSMT"/>
        </w:rPr>
        <w:t xml:space="preserve"> </w:t>
      </w:r>
      <w:r w:rsidR="00F606E8" w:rsidRPr="00F606E8">
        <w:rPr>
          <w:rFonts w:ascii="TimesNewRomanPSMT" w:hAnsi="TimesNewRomanPSMT" w:cs="TimesNewRomanPSMT"/>
        </w:rPr>
        <w:t>to hydropower facilities originally in service before 200</w:t>
      </w:r>
      <w:r w:rsidR="00F606E8">
        <w:rPr>
          <w:rFonts w:ascii="TimesNewRomanPSMT" w:hAnsi="TimesNewRomanPSMT" w:cs="TimesNewRomanPSMT"/>
        </w:rPr>
        <w:t>5.</w:t>
      </w:r>
      <w:r w:rsidR="00F454A5">
        <w:rPr>
          <w:rFonts w:ascii="TimesNewRomanPSMT" w:hAnsi="TimesNewRomanPSMT" w:cs="TimesNewRomanPSMT"/>
        </w:rPr>
        <w:t xml:space="preserve"> </w:t>
      </w:r>
      <w:r w:rsidR="00F606E8" w:rsidRPr="00F454A5">
        <w:rPr>
          <w:rFonts w:ascii="TimesNewRomanPSMT" w:hAnsi="TimesNewRomanPSMT" w:cs="TimesNewRomanPSMT"/>
        </w:rPr>
        <w:t>The 1.2 multiplier for using apprenticeship programs during facility</w:t>
      </w:r>
      <w:r w:rsidR="00F454A5">
        <w:rPr>
          <w:rFonts w:ascii="TimesNewRomanPSMT" w:hAnsi="TimesNewRomanPSMT" w:cs="TimesNewRomanPSMT"/>
        </w:rPr>
        <w:t xml:space="preserve"> </w:t>
      </w:r>
      <w:r w:rsidR="00F606E8" w:rsidRPr="00F454A5">
        <w:rPr>
          <w:rFonts w:ascii="TimesNewRomanPSMT" w:hAnsi="TimesNewRomanPSMT" w:cs="TimesNewRomanPSMT"/>
        </w:rPr>
        <w:t xml:space="preserve">construction applies only when “the eligible renewable resource comes from </w:t>
      </w:r>
      <w:r w:rsidR="00F606E8" w:rsidRPr="00F454A5">
        <w:rPr>
          <w:rFonts w:ascii="TimesNewRomanPSMT" w:hAnsi="TimesNewRomanPSMT" w:cs="TimesNewRomanPSMT"/>
          <w:i/>
          <w:iCs/>
        </w:rPr>
        <w:t xml:space="preserve">a facility </w:t>
      </w:r>
      <w:r w:rsidR="00F606E8" w:rsidRPr="00F454A5">
        <w:rPr>
          <w:rFonts w:ascii="TimesNewRomanPSMT" w:hAnsi="TimesNewRomanPSMT" w:cs="TimesNewRomanPSMT"/>
        </w:rPr>
        <w:t>that commenced operation after December 31, 2005.” RCW</w:t>
      </w:r>
      <w:r w:rsidR="00F454A5">
        <w:rPr>
          <w:rFonts w:ascii="TimesNewRomanPSMT" w:hAnsi="TimesNewRomanPSMT" w:cs="TimesNewRomanPSMT"/>
        </w:rPr>
        <w:t xml:space="preserve"> </w:t>
      </w:r>
      <w:r w:rsidR="00F606E8" w:rsidRPr="00F454A5">
        <w:rPr>
          <w:rFonts w:ascii="TimesNewRomanPSMT" w:hAnsi="TimesNewRomanPSMT" w:cs="TimesNewRomanPSMT"/>
        </w:rPr>
        <w:t>19.285.040(2)(h)(i)(A) (emphasis added). The term “facility” is most reasonably understood to be synonymous with the entire hydroelectric project. In that interpretation, the only instance in which a qualifying utility could use an apprenticeship multiplier in conjunction with a hydropower efficiency upgrade would be if the utility commenced operation of a new generation project, irrigation pipe or canal after December 31, 2005, and in a future year improved the efficiency of that project. In addressing this issue, the Commission will need to interpret the terms generation “facility” versus “project.” Both terms are used in RCW 19.285 and WAC 194-37, but neither is defined. Appropriate guidance could come from the Low Impact Hydropower Institute’s Certification Handbook, which contains a definition of facility that indicates that an entire dam would constitute a “facility” and several dams (“facilities”) may work together to form a “project.”</w:t>
      </w:r>
      <w:r w:rsidR="00F454A5">
        <w:rPr>
          <w:rStyle w:val="FootnoteReference"/>
          <w:rFonts w:ascii="TimesNewRomanPSMT" w:hAnsi="TimesNewRomanPSMT" w:cs="TimesNewRomanPSMT"/>
        </w:rPr>
        <w:footnoteReference w:id="2"/>
      </w:r>
      <w:r w:rsidR="00F606E8" w:rsidRPr="00F454A5">
        <w:rPr>
          <w:rFonts w:ascii="TimesNewRomanPSMT" w:hAnsi="TimesNewRomanPSMT" w:cs="TimesNewRomanPSMT"/>
        </w:rPr>
        <w:t xml:space="preserve"> Interpreting the term “facility” so narrowly as to encompass only efficiency upgrades to an existing dam that commenced operations long before 2005 would run counter to normal industry usage. While use of apprentice labor </w:t>
      </w:r>
      <w:r w:rsidR="00822785">
        <w:rPr>
          <w:rFonts w:ascii="TimesNewRomanPSMT" w:hAnsi="TimesNewRomanPSMT" w:cs="TimesNewRomanPSMT"/>
        </w:rPr>
        <w:t>should be encouraged</w:t>
      </w:r>
      <w:r w:rsidR="00F606E8" w:rsidRPr="00F454A5">
        <w:rPr>
          <w:rFonts w:ascii="TimesNewRomanPSMT" w:hAnsi="TimesNewRomanPSMT" w:cs="TimesNewRomanPSMT"/>
        </w:rPr>
        <w:t xml:space="preserve">, we </w:t>
      </w:r>
      <w:r w:rsidR="00822785">
        <w:rPr>
          <w:rFonts w:ascii="TimesNewRomanPSMT" w:hAnsi="TimesNewRomanPSMT" w:cs="TimesNewRomanPSMT"/>
        </w:rPr>
        <w:t>find</w:t>
      </w:r>
      <w:r w:rsidR="00F606E8" w:rsidRPr="00F454A5">
        <w:rPr>
          <w:rFonts w:ascii="TimesNewRomanPSMT" w:hAnsi="TimesNewRomanPSMT" w:cs="TimesNewRomanPSMT"/>
        </w:rPr>
        <w:t xml:space="preserve"> that applying the apprentice labor multiplier to hydroelectric efficiency upgrades would require an excessively strained reading of the Act.</w:t>
      </w:r>
    </w:p>
    <w:p w14:paraId="3FF97551" w14:textId="77777777" w:rsidR="007A3100" w:rsidRDefault="007A3100" w:rsidP="007A3100">
      <w:pPr>
        <w:rPr>
          <w:rFonts w:ascii="Times New Roman" w:hAnsi="Times New Roman" w:cs="Times New Roman"/>
          <w:noProof/>
        </w:rPr>
      </w:pPr>
    </w:p>
    <w:p w14:paraId="60168A2D" w14:textId="77777777" w:rsidR="007A3100" w:rsidRPr="004018AF" w:rsidRDefault="007A3100" w:rsidP="007A3100">
      <w:pPr>
        <w:jc w:val="center"/>
        <w:rPr>
          <w:rFonts w:ascii="Times New Roman" w:hAnsi="Times New Roman" w:cs="Times New Roman"/>
          <w:b/>
          <w:noProof/>
        </w:rPr>
      </w:pPr>
      <w:r w:rsidRPr="004018AF">
        <w:rPr>
          <w:rFonts w:ascii="Times New Roman" w:hAnsi="Times New Roman" w:cs="Times New Roman"/>
          <w:b/>
          <w:noProof/>
        </w:rPr>
        <w:t>4. Miscellaneous</w:t>
      </w:r>
    </w:p>
    <w:p w14:paraId="5BBFD3D0" w14:textId="77777777" w:rsidR="007A3100" w:rsidRDefault="007A3100" w:rsidP="00021E9A">
      <w:pPr>
        <w:rPr>
          <w:rFonts w:ascii="Times New Roman" w:hAnsi="Times New Roman" w:cs="Times New Roman"/>
          <w:noProof/>
        </w:rPr>
      </w:pPr>
    </w:p>
    <w:p w14:paraId="4345E348" w14:textId="4F8E9C49" w:rsidR="00822785" w:rsidRDefault="00822785" w:rsidP="00021E9A">
      <w:pPr>
        <w:rPr>
          <w:rFonts w:ascii="Times New Roman" w:hAnsi="Times New Roman" w:cs="Times New Roman"/>
          <w:b/>
          <w:i/>
          <w:noProof/>
        </w:rPr>
      </w:pPr>
      <w:r>
        <w:rPr>
          <w:rFonts w:ascii="Times New Roman" w:hAnsi="Times New Roman" w:cs="Times New Roman"/>
          <w:b/>
          <w:i/>
          <w:noProof/>
        </w:rPr>
        <w:t xml:space="preserve">(a) Support </w:t>
      </w:r>
      <w:r w:rsidR="00C75186">
        <w:rPr>
          <w:rFonts w:ascii="Times New Roman" w:hAnsi="Times New Roman" w:cs="Times New Roman"/>
          <w:b/>
          <w:i/>
          <w:noProof/>
        </w:rPr>
        <w:t xml:space="preserve">measurement of emissions intensity in connection with I-937 filings </w:t>
      </w:r>
    </w:p>
    <w:p w14:paraId="6B2D0A82" w14:textId="77777777" w:rsidR="00822785" w:rsidRDefault="00822785" w:rsidP="00021E9A">
      <w:pPr>
        <w:rPr>
          <w:rFonts w:ascii="Times New Roman" w:hAnsi="Times New Roman" w:cs="Times New Roman"/>
          <w:noProof/>
        </w:rPr>
      </w:pPr>
    </w:p>
    <w:p w14:paraId="23EB024B" w14:textId="2A7C2E84" w:rsidR="00822785" w:rsidRDefault="00822785" w:rsidP="00021E9A">
      <w:pPr>
        <w:rPr>
          <w:rFonts w:ascii="Times New Roman" w:hAnsi="Times New Roman" w:cs="Times New Roman"/>
          <w:noProof/>
        </w:rPr>
      </w:pPr>
      <w:r>
        <w:rPr>
          <w:rFonts w:ascii="Times New Roman" w:hAnsi="Times New Roman" w:cs="Times New Roman"/>
          <w:noProof/>
        </w:rPr>
        <w:t>We commend the Commission for posing questions</w:t>
      </w:r>
      <w:r w:rsidR="00C75186">
        <w:rPr>
          <w:rFonts w:ascii="Times New Roman" w:hAnsi="Times New Roman" w:cs="Times New Roman"/>
          <w:noProof/>
        </w:rPr>
        <w:t>,</w:t>
      </w:r>
      <w:r>
        <w:rPr>
          <w:rFonts w:ascii="Times New Roman" w:hAnsi="Times New Roman" w:cs="Times New Roman"/>
          <w:noProof/>
        </w:rPr>
        <w:t xml:space="preserve"> on pages 3-4 of the Notice</w:t>
      </w:r>
      <w:r w:rsidR="00C75186">
        <w:rPr>
          <w:rFonts w:ascii="Times New Roman" w:hAnsi="Times New Roman" w:cs="Times New Roman"/>
          <w:noProof/>
        </w:rPr>
        <w:t>, about how it can measure I-937’s success in meeting the state’s environmental goals</w:t>
      </w:r>
      <w:r>
        <w:rPr>
          <w:rFonts w:ascii="Times New Roman" w:hAnsi="Times New Roman" w:cs="Times New Roman"/>
          <w:noProof/>
        </w:rPr>
        <w:t xml:space="preserve">. We support extending the Commission’s role beyond review of compliance with the requirements of the Act, toward an assessment of how the utilities’ chosen methods of achieving those requirements are affecting greenhouse gas emissions. </w:t>
      </w:r>
      <w:r w:rsidR="00C75186">
        <w:rPr>
          <w:rFonts w:ascii="Times New Roman" w:hAnsi="Times New Roman" w:cs="Times New Roman"/>
          <w:noProof/>
        </w:rPr>
        <w:t>Analysis performed in connection with the</w:t>
      </w:r>
      <w:r>
        <w:rPr>
          <w:rFonts w:ascii="Times New Roman" w:hAnsi="Times New Roman" w:cs="Times New Roman"/>
          <w:noProof/>
        </w:rPr>
        <w:t xml:space="preserve"> Climate Legislative and Executive Workgroup</w:t>
      </w:r>
      <w:r w:rsidR="00C75186">
        <w:rPr>
          <w:rFonts w:ascii="Times New Roman" w:hAnsi="Times New Roman" w:cs="Times New Roman"/>
          <w:noProof/>
        </w:rPr>
        <w:t xml:space="preserve"> process</w:t>
      </w:r>
      <w:r>
        <w:rPr>
          <w:rFonts w:ascii="Times New Roman" w:hAnsi="Times New Roman" w:cs="Times New Roman"/>
          <w:noProof/>
        </w:rPr>
        <w:t xml:space="preserve"> identified I-937 </w:t>
      </w:r>
      <w:r w:rsidR="00C75186">
        <w:rPr>
          <w:rFonts w:ascii="Times New Roman" w:hAnsi="Times New Roman" w:cs="Times New Roman"/>
          <w:noProof/>
        </w:rPr>
        <w:t>as</w:t>
      </w:r>
      <w:r w:rsidR="00C75186" w:rsidRPr="00C75186">
        <w:rPr>
          <w:rFonts w:ascii="Times New Roman" w:hAnsi="Times New Roman" w:cs="Times New Roman"/>
          <w:noProof/>
        </w:rPr>
        <w:t xml:space="preserve"> the state’s most effect policy, by far, at reducing greenhouse gases.</w:t>
      </w:r>
      <w:r w:rsidR="00C75186">
        <w:rPr>
          <w:rStyle w:val="FootnoteReference"/>
        </w:rPr>
        <w:footnoteReference w:id="3"/>
      </w:r>
      <w:r w:rsidR="00C75186">
        <w:rPr>
          <w:rFonts w:ascii="Times New Roman" w:hAnsi="Times New Roman" w:cs="Times New Roman"/>
          <w:noProof/>
        </w:rPr>
        <w:t xml:space="preserve"> Governor Inslee’s recent Executive Order 14-04 establishes a clear focus on reducing the state’s carbon emissions reductions, and the Commission is right to find ways to increase our understanding of how existing policies are reducing those emissions. We look forward to further discussion with all parties of exactly which metrics are most accessible and revealing as to progress on </w:t>
      </w:r>
      <w:r w:rsidR="00C67F2A">
        <w:rPr>
          <w:rFonts w:ascii="Times New Roman" w:hAnsi="Times New Roman" w:cs="Times New Roman"/>
          <w:noProof/>
        </w:rPr>
        <w:t>reducing carbon emissions</w:t>
      </w:r>
      <w:r w:rsidR="00C75186">
        <w:rPr>
          <w:rFonts w:ascii="Times New Roman" w:hAnsi="Times New Roman" w:cs="Times New Roman"/>
          <w:noProof/>
        </w:rPr>
        <w:t>.</w:t>
      </w:r>
    </w:p>
    <w:p w14:paraId="09C3CDB8" w14:textId="77777777" w:rsidR="00822785" w:rsidRPr="00822785" w:rsidRDefault="00822785" w:rsidP="00021E9A">
      <w:pPr>
        <w:rPr>
          <w:rFonts w:ascii="Times New Roman" w:hAnsi="Times New Roman" w:cs="Times New Roman"/>
          <w:noProof/>
        </w:rPr>
      </w:pPr>
    </w:p>
    <w:p w14:paraId="692DA8E1" w14:textId="6BDE1E86" w:rsidR="00021E9A" w:rsidRPr="004018AF" w:rsidRDefault="00021E9A" w:rsidP="00021E9A">
      <w:pPr>
        <w:rPr>
          <w:rFonts w:ascii="Times New Roman" w:hAnsi="Times New Roman" w:cs="Times New Roman"/>
          <w:b/>
          <w:i/>
          <w:noProof/>
        </w:rPr>
      </w:pPr>
      <w:r w:rsidRPr="004018AF">
        <w:rPr>
          <w:rFonts w:ascii="Times New Roman" w:hAnsi="Times New Roman" w:cs="Times New Roman"/>
          <w:b/>
          <w:i/>
          <w:noProof/>
        </w:rPr>
        <w:t>(</w:t>
      </w:r>
      <w:r w:rsidR="00822785">
        <w:rPr>
          <w:rFonts w:ascii="Times New Roman" w:hAnsi="Times New Roman" w:cs="Times New Roman"/>
          <w:b/>
          <w:i/>
          <w:noProof/>
        </w:rPr>
        <w:t>b</w:t>
      </w:r>
      <w:r w:rsidRPr="004018AF">
        <w:rPr>
          <w:rFonts w:ascii="Times New Roman" w:hAnsi="Times New Roman" w:cs="Times New Roman"/>
          <w:b/>
          <w:i/>
          <w:noProof/>
        </w:rPr>
        <w:t>) Question placement of co-firing definition</w:t>
      </w:r>
    </w:p>
    <w:p w14:paraId="17B4A32C" w14:textId="77777777" w:rsidR="00021E9A" w:rsidRDefault="00021E9A" w:rsidP="00021E9A">
      <w:pPr>
        <w:rPr>
          <w:rFonts w:ascii="Times New Roman" w:hAnsi="Times New Roman" w:cs="Times New Roman"/>
          <w:noProof/>
        </w:rPr>
      </w:pPr>
    </w:p>
    <w:p w14:paraId="517BEBC2" w14:textId="6D185AA9" w:rsidR="00021E9A" w:rsidRDefault="00021E9A" w:rsidP="00021E9A">
      <w:pPr>
        <w:rPr>
          <w:rFonts w:ascii="Times New Roman" w:hAnsi="Times New Roman" w:cs="Times New Roman"/>
          <w:noProof/>
        </w:rPr>
      </w:pPr>
      <w:r w:rsidRPr="00021E9A">
        <w:rPr>
          <w:rFonts w:ascii="Times New Roman" w:hAnsi="Times New Roman" w:cs="Times New Roman"/>
          <w:noProof/>
        </w:rPr>
        <w:t>The definition of</w:t>
      </w:r>
      <w:r>
        <w:rPr>
          <w:rFonts w:ascii="Times New Roman" w:hAnsi="Times New Roman" w:cs="Times New Roman"/>
          <w:noProof/>
        </w:rPr>
        <w:t xml:space="preserve"> “</w:t>
      </w:r>
      <w:r w:rsidRPr="00021E9A">
        <w:rPr>
          <w:rFonts w:ascii="Times New Roman" w:hAnsi="Times New Roman" w:cs="Times New Roman"/>
          <w:noProof/>
        </w:rPr>
        <w:t>renewable resource</w:t>
      </w:r>
      <w:r>
        <w:rPr>
          <w:rFonts w:ascii="Times New Roman" w:hAnsi="Times New Roman" w:cs="Times New Roman"/>
          <w:noProof/>
        </w:rPr>
        <w:t>”</w:t>
      </w:r>
      <w:r w:rsidRPr="00021E9A">
        <w:rPr>
          <w:rFonts w:ascii="Times New Roman" w:hAnsi="Times New Roman" w:cs="Times New Roman"/>
          <w:noProof/>
        </w:rPr>
        <w:t xml:space="preserve"> in </w:t>
      </w:r>
      <w:r>
        <w:rPr>
          <w:rFonts w:ascii="Times New Roman" w:hAnsi="Times New Roman" w:cs="Times New Roman"/>
          <w:noProof/>
        </w:rPr>
        <w:t>proposed WAC 480-109-007</w:t>
      </w:r>
      <w:r w:rsidRPr="00021E9A">
        <w:rPr>
          <w:rFonts w:ascii="Times New Roman" w:hAnsi="Times New Roman" w:cs="Times New Roman"/>
          <w:noProof/>
        </w:rPr>
        <w:t>(24) should not be modified to include co-firing.</w:t>
      </w:r>
      <w:r>
        <w:rPr>
          <w:rFonts w:ascii="Times New Roman" w:hAnsi="Times New Roman" w:cs="Times New Roman"/>
          <w:noProof/>
        </w:rPr>
        <w:t xml:space="preserve"> </w:t>
      </w:r>
      <w:r w:rsidR="00C75186" w:rsidRPr="00021E9A">
        <w:rPr>
          <w:rFonts w:ascii="Times New Roman" w:hAnsi="Times New Roman" w:cs="Times New Roman"/>
          <w:noProof/>
        </w:rPr>
        <w:t>We</w:t>
      </w:r>
      <w:r w:rsidR="00C75186">
        <w:rPr>
          <w:rFonts w:ascii="Times New Roman" w:hAnsi="Times New Roman" w:cs="Times New Roman"/>
          <w:noProof/>
        </w:rPr>
        <w:t xml:space="preserve"> </w:t>
      </w:r>
      <w:r w:rsidR="00C75186" w:rsidRPr="00021E9A">
        <w:rPr>
          <w:rFonts w:ascii="Times New Roman" w:hAnsi="Times New Roman" w:cs="Times New Roman"/>
          <w:noProof/>
        </w:rPr>
        <w:t>recommend placing the co-firing provision in WAC 480-109-020.</w:t>
      </w:r>
      <w:r w:rsidR="00C75186">
        <w:rPr>
          <w:rFonts w:ascii="Times New Roman" w:hAnsi="Times New Roman" w:cs="Times New Roman"/>
          <w:noProof/>
        </w:rPr>
        <w:t xml:space="preserve"> </w:t>
      </w:r>
      <w:r>
        <w:rPr>
          <w:rFonts w:ascii="Times New Roman" w:hAnsi="Times New Roman" w:cs="Times New Roman"/>
          <w:noProof/>
        </w:rPr>
        <w:t>Placing this new subsection (i)</w:t>
      </w:r>
      <w:r w:rsidRPr="00021E9A">
        <w:rPr>
          <w:rFonts w:ascii="Times New Roman" w:hAnsi="Times New Roman" w:cs="Times New Roman"/>
          <w:noProof/>
        </w:rPr>
        <w:t xml:space="preserve"> in the definition of renewable resources appears </w:t>
      </w:r>
      <w:r>
        <w:rPr>
          <w:rFonts w:ascii="Times New Roman" w:hAnsi="Times New Roman" w:cs="Times New Roman"/>
          <w:noProof/>
        </w:rPr>
        <w:t>inappropriate</w:t>
      </w:r>
      <w:r w:rsidRPr="00021E9A">
        <w:rPr>
          <w:rFonts w:ascii="Times New Roman" w:hAnsi="Times New Roman" w:cs="Times New Roman"/>
          <w:noProof/>
        </w:rPr>
        <w:t>.</w:t>
      </w:r>
      <w:r>
        <w:rPr>
          <w:rFonts w:ascii="Times New Roman" w:hAnsi="Times New Roman" w:cs="Times New Roman"/>
          <w:noProof/>
        </w:rPr>
        <w:t xml:space="preserve"> </w:t>
      </w:r>
      <w:r w:rsidRPr="00021E9A">
        <w:rPr>
          <w:rFonts w:ascii="Times New Roman" w:hAnsi="Times New Roman" w:cs="Times New Roman"/>
          <w:noProof/>
        </w:rPr>
        <w:t>Renewable resources are defined according to fuel source (e.g., solar,</w:t>
      </w:r>
      <w:r>
        <w:rPr>
          <w:rFonts w:ascii="Times New Roman" w:hAnsi="Times New Roman" w:cs="Times New Roman"/>
          <w:noProof/>
        </w:rPr>
        <w:t xml:space="preserve"> </w:t>
      </w:r>
      <w:r w:rsidRPr="00021E9A">
        <w:rPr>
          <w:rFonts w:ascii="Times New Roman" w:hAnsi="Times New Roman" w:cs="Times New Roman"/>
          <w:noProof/>
        </w:rPr>
        <w:t>wind,</w:t>
      </w:r>
      <w:r>
        <w:rPr>
          <w:rFonts w:ascii="Times New Roman" w:hAnsi="Times New Roman" w:cs="Times New Roman"/>
          <w:noProof/>
        </w:rPr>
        <w:t xml:space="preserve"> </w:t>
      </w:r>
      <w:r w:rsidRPr="00021E9A">
        <w:rPr>
          <w:rFonts w:ascii="Times New Roman" w:hAnsi="Times New Roman" w:cs="Times New Roman"/>
          <w:noProof/>
        </w:rPr>
        <w:t>water), yet the reference to co-firing focuses on generation facilities.</w:t>
      </w:r>
      <w:r>
        <w:rPr>
          <w:rFonts w:ascii="Times New Roman" w:hAnsi="Times New Roman" w:cs="Times New Roman"/>
          <w:noProof/>
        </w:rPr>
        <w:t xml:space="preserve"> </w:t>
      </w:r>
      <w:r w:rsidRPr="00021E9A">
        <w:rPr>
          <w:rFonts w:ascii="Times New Roman" w:hAnsi="Times New Roman" w:cs="Times New Roman"/>
          <w:noProof/>
        </w:rPr>
        <w:t>This</w:t>
      </w:r>
      <w:r>
        <w:rPr>
          <w:rFonts w:ascii="Times New Roman" w:hAnsi="Times New Roman" w:cs="Times New Roman"/>
          <w:noProof/>
        </w:rPr>
        <w:t xml:space="preserve"> </w:t>
      </w:r>
      <w:r w:rsidRPr="00021E9A">
        <w:rPr>
          <w:rFonts w:ascii="Times New Roman" w:hAnsi="Times New Roman" w:cs="Times New Roman"/>
          <w:noProof/>
        </w:rPr>
        <w:t>provision seems more appropriate for inclusion in the substantive rules</w:t>
      </w:r>
      <w:r w:rsidR="00F454A5">
        <w:rPr>
          <w:rFonts w:ascii="Times New Roman" w:hAnsi="Times New Roman" w:cs="Times New Roman"/>
          <w:noProof/>
        </w:rPr>
        <w:t xml:space="preserve"> r</w:t>
      </w:r>
      <w:r w:rsidRPr="00021E9A">
        <w:rPr>
          <w:rFonts w:ascii="Times New Roman" w:hAnsi="Times New Roman" w:cs="Times New Roman"/>
          <w:noProof/>
        </w:rPr>
        <w:t>ather</w:t>
      </w:r>
      <w:r>
        <w:rPr>
          <w:rFonts w:ascii="Times New Roman" w:hAnsi="Times New Roman" w:cs="Times New Roman"/>
          <w:noProof/>
        </w:rPr>
        <w:t xml:space="preserve"> </w:t>
      </w:r>
      <w:r w:rsidRPr="00021E9A">
        <w:rPr>
          <w:rFonts w:ascii="Times New Roman" w:hAnsi="Times New Roman" w:cs="Times New Roman"/>
          <w:noProof/>
        </w:rPr>
        <w:t>than within the definition of renewable resources as it is simply</w:t>
      </w:r>
      <w:r w:rsidR="00F454A5">
        <w:rPr>
          <w:rFonts w:ascii="Times New Roman" w:hAnsi="Times New Roman" w:cs="Times New Roman"/>
          <w:noProof/>
        </w:rPr>
        <w:t xml:space="preserve"> c</w:t>
      </w:r>
      <w:r w:rsidRPr="00021E9A">
        <w:rPr>
          <w:rFonts w:ascii="Times New Roman" w:hAnsi="Times New Roman" w:cs="Times New Roman"/>
          <w:noProof/>
        </w:rPr>
        <w:t>larifying</w:t>
      </w:r>
      <w:r>
        <w:rPr>
          <w:rFonts w:ascii="Times New Roman" w:hAnsi="Times New Roman" w:cs="Times New Roman"/>
          <w:noProof/>
        </w:rPr>
        <w:t xml:space="preserve"> </w:t>
      </w:r>
      <w:r w:rsidRPr="00021E9A">
        <w:rPr>
          <w:rFonts w:ascii="Times New Roman" w:hAnsi="Times New Roman" w:cs="Times New Roman"/>
          <w:noProof/>
        </w:rPr>
        <w:t>that a utility may count toward the renewable standard the electricity</w:t>
      </w:r>
      <w:r w:rsidR="00F454A5">
        <w:rPr>
          <w:rFonts w:ascii="Times New Roman" w:hAnsi="Times New Roman" w:cs="Times New Roman"/>
          <w:noProof/>
        </w:rPr>
        <w:t xml:space="preserve"> p</w:t>
      </w:r>
      <w:r w:rsidRPr="00021E9A">
        <w:rPr>
          <w:rFonts w:ascii="Times New Roman" w:hAnsi="Times New Roman" w:cs="Times New Roman"/>
          <w:noProof/>
        </w:rPr>
        <w:t>roduced</w:t>
      </w:r>
      <w:r>
        <w:rPr>
          <w:rFonts w:ascii="Times New Roman" w:hAnsi="Times New Roman" w:cs="Times New Roman"/>
          <w:noProof/>
        </w:rPr>
        <w:t xml:space="preserve"> </w:t>
      </w:r>
      <w:r w:rsidRPr="00021E9A">
        <w:rPr>
          <w:rFonts w:ascii="Times New Roman" w:hAnsi="Times New Roman" w:cs="Times New Roman"/>
          <w:noProof/>
        </w:rPr>
        <w:t>from an eligible renewable resource (such as biomass) that is co-fired with</w:t>
      </w:r>
      <w:r>
        <w:rPr>
          <w:rFonts w:ascii="Times New Roman" w:hAnsi="Times New Roman" w:cs="Times New Roman"/>
          <w:noProof/>
        </w:rPr>
        <w:t xml:space="preserve"> </w:t>
      </w:r>
      <w:r w:rsidRPr="00021E9A">
        <w:rPr>
          <w:rFonts w:ascii="Times New Roman" w:hAnsi="Times New Roman" w:cs="Times New Roman"/>
          <w:noProof/>
        </w:rPr>
        <w:t>non-eligible resources. The act of co-firing is not a renewable resource.</w:t>
      </w:r>
      <w:r>
        <w:rPr>
          <w:rFonts w:ascii="Times New Roman" w:hAnsi="Times New Roman" w:cs="Times New Roman"/>
          <w:noProof/>
        </w:rPr>
        <w:t xml:space="preserve"> </w:t>
      </w:r>
    </w:p>
    <w:p w14:paraId="1A10470C" w14:textId="77777777" w:rsidR="00021E9A" w:rsidRDefault="00021E9A" w:rsidP="00021E9A">
      <w:pPr>
        <w:rPr>
          <w:rFonts w:ascii="Times New Roman" w:hAnsi="Times New Roman" w:cs="Times New Roman"/>
          <w:noProof/>
        </w:rPr>
      </w:pPr>
    </w:p>
    <w:p w14:paraId="7D825B77" w14:textId="6C694493" w:rsidR="00021E9A" w:rsidRPr="004018AF" w:rsidRDefault="00C75186" w:rsidP="00021E9A">
      <w:pPr>
        <w:rPr>
          <w:rFonts w:ascii="Times New Roman" w:hAnsi="Times New Roman" w:cs="Times New Roman"/>
          <w:b/>
          <w:i/>
          <w:noProof/>
        </w:rPr>
      </w:pPr>
      <w:r>
        <w:rPr>
          <w:rFonts w:ascii="Times New Roman" w:hAnsi="Times New Roman" w:cs="Times New Roman"/>
          <w:b/>
          <w:i/>
          <w:noProof/>
        </w:rPr>
        <w:t>(c</w:t>
      </w:r>
      <w:r w:rsidR="00021E9A" w:rsidRPr="004018AF">
        <w:rPr>
          <w:rFonts w:ascii="Times New Roman" w:hAnsi="Times New Roman" w:cs="Times New Roman"/>
          <w:b/>
          <w:i/>
          <w:noProof/>
        </w:rPr>
        <w:t xml:space="preserve">) </w:t>
      </w:r>
      <w:r w:rsidR="004018AF" w:rsidRPr="004018AF">
        <w:rPr>
          <w:rFonts w:ascii="Times New Roman" w:hAnsi="Times New Roman" w:cs="Times New Roman"/>
          <w:b/>
          <w:i/>
          <w:noProof/>
        </w:rPr>
        <w:t>Address any differences between report to Commission and report to Commerce or summary report to customers</w:t>
      </w:r>
    </w:p>
    <w:p w14:paraId="0CFBE8B5" w14:textId="77777777" w:rsidR="004018AF" w:rsidRDefault="004018AF" w:rsidP="00021E9A">
      <w:pPr>
        <w:rPr>
          <w:rFonts w:ascii="Times New Roman" w:hAnsi="Times New Roman" w:cs="Times New Roman"/>
          <w:noProof/>
        </w:rPr>
      </w:pPr>
    </w:p>
    <w:p w14:paraId="371B20A0" w14:textId="59FF8919" w:rsidR="004018AF" w:rsidRDefault="004018AF" w:rsidP="00021E9A">
      <w:pPr>
        <w:rPr>
          <w:rFonts w:ascii="Times New Roman" w:hAnsi="Times New Roman" w:cs="Times New Roman"/>
          <w:noProof/>
        </w:rPr>
      </w:pPr>
      <w:r>
        <w:rPr>
          <w:rFonts w:ascii="Times New Roman" w:hAnsi="Times New Roman" w:cs="Times New Roman"/>
          <w:noProof/>
        </w:rPr>
        <w:t xml:space="preserve">The rules do an excellent job of clarifying what the Commission needs to see, </w:t>
      </w:r>
      <w:r w:rsidR="00F454A5">
        <w:rPr>
          <w:rFonts w:ascii="Times New Roman" w:hAnsi="Times New Roman" w:cs="Times New Roman"/>
          <w:noProof/>
        </w:rPr>
        <w:t xml:space="preserve">and </w:t>
      </w:r>
      <w:r>
        <w:rPr>
          <w:rFonts w:ascii="Times New Roman" w:hAnsi="Times New Roman" w:cs="Times New Roman"/>
          <w:noProof/>
        </w:rPr>
        <w:t xml:space="preserve">when, to perform its review function. Parties may wish to consider whether the rules should acknowledge that different or summary content be provided according to Commerce’s statewide reporting template </w:t>
      </w:r>
      <w:r w:rsidR="00C75186">
        <w:rPr>
          <w:rFonts w:ascii="Times New Roman" w:hAnsi="Times New Roman" w:cs="Times New Roman"/>
          <w:noProof/>
        </w:rPr>
        <w:t xml:space="preserve">and that </w:t>
      </w:r>
      <w:r>
        <w:rPr>
          <w:rFonts w:ascii="Times New Roman" w:hAnsi="Times New Roman" w:cs="Times New Roman"/>
          <w:noProof/>
        </w:rPr>
        <w:t>a format appropriate for posting to customers on the utility’s website</w:t>
      </w:r>
      <w:r w:rsidR="00C75186">
        <w:rPr>
          <w:rFonts w:ascii="Times New Roman" w:hAnsi="Times New Roman" w:cs="Times New Roman"/>
          <w:noProof/>
        </w:rPr>
        <w:t xml:space="preserve"> may be necessary</w:t>
      </w:r>
      <w:r>
        <w:rPr>
          <w:rFonts w:ascii="Times New Roman" w:hAnsi="Times New Roman" w:cs="Times New Roman"/>
          <w:noProof/>
        </w:rPr>
        <w:t>.</w:t>
      </w:r>
    </w:p>
    <w:p w14:paraId="26BF6ECC" w14:textId="77777777" w:rsidR="004018AF" w:rsidRDefault="004018AF" w:rsidP="00021E9A">
      <w:pPr>
        <w:rPr>
          <w:rFonts w:ascii="Times New Roman" w:hAnsi="Times New Roman" w:cs="Times New Roman"/>
          <w:noProof/>
        </w:rPr>
      </w:pPr>
    </w:p>
    <w:p w14:paraId="190A4554" w14:textId="7074EE0F" w:rsidR="004018AF" w:rsidRPr="004018AF" w:rsidRDefault="004018AF" w:rsidP="00021E9A">
      <w:pPr>
        <w:rPr>
          <w:rFonts w:ascii="Times New Roman" w:hAnsi="Times New Roman" w:cs="Times New Roman"/>
          <w:b/>
          <w:i/>
          <w:noProof/>
        </w:rPr>
      </w:pPr>
      <w:r w:rsidRPr="004018AF">
        <w:rPr>
          <w:rFonts w:ascii="Times New Roman" w:hAnsi="Times New Roman" w:cs="Times New Roman"/>
          <w:b/>
          <w:i/>
          <w:noProof/>
        </w:rPr>
        <w:t>(</w:t>
      </w:r>
      <w:r w:rsidR="00C75186">
        <w:rPr>
          <w:rFonts w:ascii="Times New Roman" w:hAnsi="Times New Roman" w:cs="Times New Roman"/>
          <w:b/>
          <w:i/>
          <w:noProof/>
        </w:rPr>
        <w:t>d</w:t>
      </w:r>
      <w:r w:rsidRPr="004018AF">
        <w:rPr>
          <w:rFonts w:ascii="Times New Roman" w:hAnsi="Times New Roman" w:cs="Times New Roman"/>
          <w:b/>
          <w:i/>
          <w:noProof/>
        </w:rPr>
        <w:t>) Support REC bifurcation language</w:t>
      </w:r>
    </w:p>
    <w:p w14:paraId="3A126A5A" w14:textId="77777777" w:rsidR="00641FB5" w:rsidRDefault="00641FB5" w:rsidP="00520547">
      <w:pPr>
        <w:rPr>
          <w:rFonts w:ascii="Times New Roman" w:hAnsi="Times New Roman" w:cs="Times New Roman"/>
          <w:noProof/>
        </w:rPr>
      </w:pPr>
    </w:p>
    <w:p w14:paraId="6F86D96E" w14:textId="77777777" w:rsidR="004018AF" w:rsidRDefault="004018AF" w:rsidP="00520547">
      <w:pPr>
        <w:rPr>
          <w:rFonts w:ascii="Times New Roman" w:hAnsi="Times New Roman" w:cs="Times New Roman"/>
          <w:noProof/>
        </w:rPr>
      </w:pPr>
      <w:r>
        <w:rPr>
          <w:rFonts w:ascii="Times New Roman" w:hAnsi="Times New Roman" w:cs="Times New Roman"/>
          <w:noProof/>
        </w:rPr>
        <w:t xml:space="preserve">We appreciate the codification of the Commission’s decision on multiplier-REC bifurcation in proposed WAC 480-109-020(4).  The language </w:t>
      </w:r>
      <w:r w:rsidR="00F454A5">
        <w:rPr>
          <w:rFonts w:ascii="Times New Roman" w:hAnsi="Times New Roman" w:cs="Times New Roman"/>
          <w:noProof/>
        </w:rPr>
        <w:t xml:space="preserve">in the proposed rules </w:t>
      </w:r>
      <w:r>
        <w:rPr>
          <w:rFonts w:ascii="Times New Roman" w:hAnsi="Times New Roman" w:cs="Times New Roman"/>
          <w:noProof/>
        </w:rPr>
        <w:t>appears consistent with the Commission’s decision.</w:t>
      </w:r>
    </w:p>
    <w:p w14:paraId="05B8CB20" w14:textId="77777777" w:rsidR="00F454A5" w:rsidRDefault="00F454A5" w:rsidP="00520547">
      <w:pPr>
        <w:rPr>
          <w:rFonts w:ascii="Times New Roman" w:hAnsi="Times New Roman" w:cs="Times New Roman"/>
          <w:noProof/>
        </w:rPr>
      </w:pPr>
    </w:p>
    <w:p w14:paraId="1D552E38" w14:textId="61138181" w:rsidR="004018AF" w:rsidRPr="00764671" w:rsidRDefault="004018AF" w:rsidP="00520547">
      <w:pPr>
        <w:rPr>
          <w:rFonts w:ascii="Times New Roman" w:hAnsi="Times New Roman" w:cs="Times New Roman"/>
          <w:b/>
          <w:i/>
          <w:noProof/>
        </w:rPr>
      </w:pPr>
      <w:r w:rsidRPr="00764671">
        <w:rPr>
          <w:rFonts w:ascii="Times New Roman" w:hAnsi="Times New Roman" w:cs="Times New Roman"/>
          <w:b/>
          <w:i/>
          <w:noProof/>
        </w:rPr>
        <w:t>(</w:t>
      </w:r>
      <w:r w:rsidR="00C75186">
        <w:rPr>
          <w:rFonts w:ascii="Times New Roman" w:hAnsi="Times New Roman" w:cs="Times New Roman"/>
          <w:b/>
          <w:i/>
          <w:noProof/>
        </w:rPr>
        <w:t>e</w:t>
      </w:r>
      <w:r w:rsidRPr="00764671">
        <w:rPr>
          <w:rFonts w:ascii="Times New Roman" w:hAnsi="Times New Roman" w:cs="Times New Roman"/>
          <w:b/>
          <w:i/>
          <w:noProof/>
        </w:rPr>
        <w:t>) Question added value</w:t>
      </w:r>
      <w:r w:rsidR="00764671" w:rsidRPr="00764671">
        <w:rPr>
          <w:rFonts w:ascii="Times New Roman" w:hAnsi="Times New Roman" w:cs="Times New Roman"/>
          <w:b/>
          <w:i/>
          <w:noProof/>
        </w:rPr>
        <w:t xml:space="preserve"> of qualifying WAC 480-109-020(1</w:t>
      </w:r>
      <w:r w:rsidRPr="00764671">
        <w:rPr>
          <w:rFonts w:ascii="Times New Roman" w:hAnsi="Times New Roman" w:cs="Times New Roman"/>
          <w:b/>
          <w:i/>
          <w:noProof/>
        </w:rPr>
        <w:t>) with “two-year”</w:t>
      </w:r>
    </w:p>
    <w:p w14:paraId="67DAD888" w14:textId="77777777" w:rsidR="004018AF" w:rsidRDefault="004018AF" w:rsidP="00520547">
      <w:pPr>
        <w:rPr>
          <w:rFonts w:ascii="Times New Roman" w:hAnsi="Times New Roman" w:cs="Times New Roman"/>
          <w:noProof/>
        </w:rPr>
      </w:pPr>
    </w:p>
    <w:p w14:paraId="51B1D077" w14:textId="77777777" w:rsidR="004018AF" w:rsidRDefault="004018AF" w:rsidP="00520547">
      <w:pPr>
        <w:rPr>
          <w:rFonts w:ascii="Times New Roman" w:hAnsi="Times New Roman" w:cs="Times New Roman"/>
          <w:noProof/>
        </w:rPr>
      </w:pPr>
      <w:r>
        <w:rPr>
          <w:rFonts w:ascii="Times New Roman" w:hAnsi="Times New Roman" w:cs="Times New Roman"/>
          <w:noProof/>
        </w:rPr>
        <w:t>The statute already defines load specifically with reference to the average loads of the two prior years. We question the added value of adding this phrase in the above-refere</w:t>
      </w:r>
      <w:r w:rsidR="00764671">
        <w:rPr>
          <w:rFonts w:ascii="Times New Roman" w:hAnsi="Times New Roman" w:cs="Times New Roman"/>
          <w:noProof/>
        </w:rPr>
        <w:t>nced section.</w:t>
      </w:r>
    </w:p>
    <w:p w14:paraId="2D97571F" w14:textId="77777777" w:rsidR="00764671" w:rsidRDefault="00764671" w:rsidP="00520547">
      <w:pPr>
        <w:rPr>
          <w:rFonts w:ascii="Times New Roman" w:hAnsi="Times New Roman" w:cs="Times New Roman"/>
          <w:noProof/>
        </w:rPr>
      </w:pPr>
    </w:p>
    <w:p w14:paraId="6A4673F2" w14:textId="036FAE44" w:rsidR="0084060E" w:rsidRPr="0084060E" w:rsidRDefault="0084060E" w:rsidP="0084060E">
      <w:pPr>
        <w:rPr>
          <w:rFonts w:ascii="Times New Roman" w:hAnsi="Times New Roman" w:cs="Times New Roman"/>
          <w:b/>
          <w:i/>
          <w:noProof/>
        </w:rPr>
      </w:pPr>
      <w:r w:rsidRPr="0084060E">
        <w:rPr>
          <w:rFonts w:ascii="Times New Roman" w:hAnsi="Times New Roman" w:cs="Times New Roman"/>
          <w:b/>
          <w:i/>
          <w:noProof/>
        </w:rPr>
        <w:t>(</w:t>
      </w:r>
      <w:r>
        <w:rPr>
          <w:rFonts w:ascii="Times New Roman" w:hAnsi="Times New Roman" w:cs="Times New Roman"/>
          <w:b/>
          <w:i/>
          <w:noProof/>
        </w:rPr>
        <w:t>f</w:t>
      </w:r>
      <w:r w:rsidRPr="0084060E">
        <w:rPr>
          <w:rFonts w:ascii="Times New Roman" w:hAnsi="Times New Roman" w:cs="Times New Roman"/>
          <w:b/>
          <w:i/>
          <w:noProof/>
        </w:rPr>
        <w:t>) Support amendment to WAC 480-109-030</w:t>
      </w:r>
    </w:p>
    <w:p w14:paraId="2BDAF850" w14:textId="77777777" w:rsidR="0084060E" w:rsidRDefault="0084060E" w:rsidP="0084060E">
      <w:pPr>
        <w:rPr>
          <w:rFonts w:ascii="Times New Roman" w:hAnsi="Times New Roman" w:cs="Times New Roman"/>
          <w:noProof/>
        </w:rPr>
      </w:pPr>
    </w:p>
    <w:p w14:paraId="03120ADB" w14:textId="0C2F9E55" w:rsidR="0084060E" w:rsidRPr="0084060E" w:rsidRDefault="0084060E" w:rsidP="00520547">
      <w:pPr>
        <w:rPr>
          <w:rFonts w:ascii="Times New Roman" w:hAnsi="Times New Roman" w:cs="Times New Roman"/>
          <w:noProof/>
        </w:rPr>
      </w:pPr>
      <w:r>
        <w:rPr>
          <w:rFonts w:ascii="Times New Roman" w:hAnsi="Times New Roman" w:cs="Times New Roman"/>
          <w:noProof/>
        </w:rPr>
        <w:t xml:space="preserve">We strongly support the proposed amendment to the first sentence of WAC </w:t>
      </w:r>
      <w:r w:rsidRPr="0084060E">
        <w:rPr>
          <w:rFonts w:ascii="Times New Roman" w:hAnsi="Times New Roman" w:cs="Times New Roman"/>
          <w:noProof/>
        </w:rPr>
        <w:t>480-109-030</w:t>
      </w:r>
      <w:r>
        <w:rPr>
          <w:rFonts w:ascii="Times New Roman" w:hAnsi="Times New Roman" w:cs="Times New Roman"/>
          <w:noProof/>
        </w:rPr>
        <w:t xml:space="preserve">, which further increases clarity </w:t>
      </w:r>
      <w:r>
        <w:rPr>
          <w:rFonts w:ascii="Times New Roman" w:hAnsi="Times New Roman" w:cs="Times New Roman"/>
          <w:noProof/>
        </w:rPr>
        <w:t xml:space="preserve">around the core principle </w:t>
      </w:r>
      <w:r>
        <w:rPr>
          <w:rFonts w:ascii="Times New Roman" w:hAnsi="Times New Roman" w:cs="Times New Roman"/>
          <w:noProof/>
        </w:rPr>
        <w:t>that alternative compliance mechanisms</w:t>
      </w:r>
      <w:r>
        <w:rPr>
          <w:rFonts w:ascii="Times New Roman" w:hAnsi="Times New Roman" w:cs="Times New Roman"/>
          <w:noProof/>
        </w:rPr>
        <w:t xml:space="preserve"> are available to</w:t>
      </w:r>
      <w:r>
        <w:rPr>
          <w:rFonts w:ascii="Times New Roman" w:hAnsi="Times New Roman" w:cs="Times New Roman"/>
          <w:noProof/>
        </w:rPr>
        <w:t xml:space="preserve"> lessen, but not eliminate, the requirement to deliver renewable energy or retire RECs on behalf of customers.</w:t>
      </w:r>
      <w:r w:rsidRPr="0084060E">
        <w:rPr>
          <w:rFonts w:ascii="Times New Roman" w:hAnsi="Times New Roman" w:cs="Times New Roman"/>
          <w:noProof/>
        </w:rPr>
        <w:t xml:space="preserve"> </w:t>
      </w:r>
    </w:p>
    <w:p w14:paraId="663715A6" w14:textId="77777777" w:rsidR="0084060E" w:rsidRDefault="0084060E" w:rsidP="00520547">
      <w:pPr>
        <w:rPr>
          <w:rFonts w:ascii="Times New Roman" w:hAnsi="Times New Roman" w:cs="Times New Roman"/>
          <w:b/>
          <w:i/>
          <w:noProof/>
        </w:rPr>
      </w:pPr>
    </w:p>
    <w:p w14:paraId="21F61DB3" w14:textId="4FF7CD2B" w:rsidR="00764671" w:rsidRPr="00764671" w:rsidRDefault="0084060E" w:rsidP="00520547">
      <w:pPr>
        <w:rPr>
          <w:rFonts w:ascii="Times New Roman" w:hAnsi="Times New Roman" w:cs="Times New Roman"/>
          <w:b/>
          <w:i/>
          <w:noProof/>
        </w:rPr>
      </w:pPr>
      <w:r>
        <w:rPr>
          <w:rFonts w:ascii="Times New Roman" w:hAnsi="Times New Roman" w:cs="Times New Roman"/>
          <w:b/>
          <w:i/>
          <w:noProof/>
        </w:rPr>
        <w:t>(g</w:t>
      </w:r>
      <w:r w:rsidR="00764671" w:rsidRPr="00764671">
        <w:rPr>
          <w:rFonts w:ascii="Times New Roman" w:hAnsi="Times New Roman" w:cs="Times New Roman"/>
          <w:b/>
          <w:i/>
          <w:noProof/>
        </w:rPr>
        <w:t xml:space="preserve">) Support </w:t>
      </w:r>
      <w:r w:rsidR="00764671">
        <w:rPr>
          <w:rFonts w:ascii="Times New Roman" w:hAnsi="Times New Roman" w:cs="Times New Roman"/>
          <w:b/>
          <w:i/>
          <w:noProof/>
        </w:rPr>
        <w:t>new rule</w:t>
      </w:r>
      <w:r w:rsidR="00764671" w:rsidRPr="00764671">
        <w:rPr>
          <w:rFonts w:ascii="Times New Roman" w:hAnsi="Times New Roman" w:cs="Times New Roman"/>
          <w:b/>
          <w:i/>
          <w:noProof/>
        </w:rPr>
        <w:t xml:space="preserve"> addressing multi-state allocations</w:t>
      </w:r>
    </w:p>
    <w:p w14:paraId="79DE22E8" w14:textId="77777777" w:rsidR="00764671" w:rsidRDefault="00764671" w:rsidP="00520547">
      <w:pPr>
        <w:rPr>
          <w:rFonts w:ascii="Times New Roman" w:hAnsi="Times New Roman" w:cs="Times New Roman"/>
          <w:noProof/>
        </w:rPr>
      </w:pPr>
    </w:p>
    <w:p w14:paraId="59EE180A" w14:textId="77777777" w:rsidR="00764671" w:rsidRDefault="00764671" w:rsidP="00520547">
      <w:pPr>
        <w:rPr>
          <w:rFonts w:ascii="Times New Roman" w:hAnsi="Times New Roman" w:cs="Times New Roman"/>
          <w:noProof/>
        </w:rPr>
      </w:pPr>
      <w:r>
        <w:rPr>
          <w:rFonts w:ascii="Times New Roman" w:hAnsi="Times New Roman" w:cs="Times New Roman"/>
          <w:noProof/>
        </w:rPr>
        <w:t>We appreciate the new proposed WAC 480-109-040(e), which requires clear documentation that RECs and MWhs have been allocated consistently with ratemaking practices.</w:t>
      </w:r>
    </w:p>
    <w:p w14:paraId="19D9E844" w14:textId="77777777" w:rsidR="0084060E" w:rsidRDefault="0084060E" w:rsidP="00520547">
      <w:pPr>
        <w:rPr>
          <w:rFonts w:ascii="Times New Roman" w:hAnsi="Times New Roman" w:cs="Times New Roman"/>
          <w:noProof/>
        </w:rPr>
      </w:pPr>
    </w:p>
    <w:p w14:paraId="57B033D2" w14:textId="1DC0E532" w:rsidR="0084060E" w:rsidRPr="0084060E" w:rsidRDefault="0084060E" w:rsidP="0084060E">
      <w:pPr>
        <w:jc w:val="center"/>
        <w:rPr>
          <w:rFonts w:ascii="Times New Roman" w:hAnsi="Times New Roman" w:cs="Times New Roman"/>
          <w:b/>
          <w:noProof/>
        </w:rPr>
      </w:pPr>
      <w:r w:rsidRPr="0084060E">
        <w:rPr>
          <w:rFonts w:ascii="Times New Roman" w:hAnsi="Times New Roman" w:cs="Times New Roman"/>
          <w:b/>
          <w:noProof/>
        </w:rPr>
        <w:t>5. Conclusion</w:t>
      </w:r>
    </w:p>
    <w:p w14:paraId="1E1D17EB" w14:textId="77777777" w:rsidR="00641FB5" w:rsidRDefault="00641FB5" w:rsidP="00520547">
      <w:pPr>
        <w:rPr>
          <w:rFonts w:ascii="Times New Roman" w:hAnsi="Times New Roman" w:cs="Times New Roman"/>
          <w:noProof/>
        </w:rPr>
      </w:pPr>
    </w:p>
    <w:p w14:paraId="0C2563D8" w14:textId="79E94C0B" w:rsidR="0084060E" w:rsidRDefault="0084060E" w:rsidP="00520547">
      <w:pPr>
        <w:rPr>
          <w:rFonts w:ascii="Times New Roman" w:hAnsi="Times New Roman" w:cs="Times New Roman"/>
          <w:noProof/>
        </w:rPr>
      </w:pPr>
      <w:r>
        <w:rPr>
          <w:rFonts w:ascii="Times New Roman" w:hAnsi="Times New Roman" w:cs="Times New Roman"/>
          <w:noProof/>
        </w:rPr>
        <w:t>We appreciate the work that Commission staff has put into crafting a set of clear, effective draft amendments. We look forward to discussing the draft with all parties at the workshop on May 15.</w:t>
      </w:r>
    </w:p>
    <w:p w14:paraId="29C4B1E4" w14:textId="77777777" w:rsidR="0084060E" w:rsidRDefault="0084060E" w:rsidP="00520547">
      <w:pPr>
        <w:rPr>
          <w:rFonts w:ascii="Times New Roman" w:hAnsi="Times New Roman" w:cs="Times New Roman"/>
          <w:noProof/>
        </w:rPr>
      </w:pPr>
    </w:p>
    <w:p w14:paraId="0617487F" w14:textId="66A20790" w:rsidR="0084060E" w:rsidRDefault="0084060E" w:rsidP="00520547">
      <w:pPr>
        <w:rPr>
          <w:rFonts w:ascii="Times New Roman" w:hAnsi="Times New Roman" w:cs="Times New Roman"/>
          <w:noProof/>
        </w:rPr>
      </w:pPr>
      <w:r>
        <w:rPr>
          <w:rFonts w:ascii="Times New Roman" w:hAnsi="Times New Roman" w:cs="Times New Roman"/>
          <w:noProof/>
        </w:rPr>
        <w:t>Sincerely,</w:t>
      </w:r>
    </w:p>
    <w:p w14:paraId="4644E569" w14:textId="77777777" w:rsidR="0084060E" w:rsidRDefault="0084060E" w:rsidP="00520547">
      <w:pPr>
        <w:rPr>
          <w:rFonts w:ascii="Times New Roman" w:hAnsi="Times New Roman" w:cs="Times New Roman"/>
          <w:noProof/>
        </w:rPr>
      </w:pPr>
    </w:p>
    <w:p w14:paraId="17B31986" w14:textId="4F5A7DBB" w:rsidR="0084060E" w:rsidRDefault="0084060E" w:rsidP="00520547">
      <w:pPr>
        <w:rPr>
          <w:rFonts w:ascii="Times New Roman" w:hAnsi="Times New Roman" w:cs="Times New Roman"/>
          <w:noProof/>
        </w:rPr>
      </w:pPr>
      <w:r>
        <w:rPr>
          <w:rFonts w:ascii="Times New Roman" w:hAnsi="Times New Roman" w:cs="Times New Roman"/>
          <w:noProof/>
        </w:rPr>
        <w:t>Megan Decker</w:t>
      </w:r>
    </w:p>
    <w:p w14:paraId="5D963F1B" w14:textId="2DD31C92" w:rsidR="0084060E" w:rsidRDefault="0084060E" w:rsidP="00520547">
      <w:pPr>
        <w:rPr>
          <w:rFonts w:ascii="Times New Roman" w:hAnsi="Times New Roman" w:cs="Times New Roman"/>
          <w:noProof/>
        </w:rPr>
      </w:pPr>
      <w:r>
        <w:rPr>
          <w:rFonts w:ascii="Times New Roman" w:hAnsi="Times New Roman" w:cs="Times New Roman"/>
          <w:noProof/>
        </w:rPr>
        <w:t>Renewable Northwest</w:t>
      </w:r>
    </w:p>
    <w:p w14:paraId="5CCC8270" w14:textId="77777777" w:rsidR="0084060E" w:rsidRDefault="0084060E" w:rsidP="00520547">
      <w:pPr>
        <w:rPr>
          <w:rFonts w:ascii="Times New Roman" w:hAnsi="Times New Roman" w:cs="Times New Roman"/>
          <w:noProof/>
        </w:rPr>
      </w:pPr>
    </w:p>
    <w:p w14:paraId="3400DBBF" w14:textId="54F843E6" w:rsidR="0084060E" w:rsidRDefault="0084060E" w:rsidP="00520547">
      <w:pPr>
        <w:rPr>
          <w:rFonts w:ascii="Times New Roman" w:hAnsi="Times New Roman" w:cs="Times New Roman"/>
          <w:noProof/>
        </w:rPr>
      </w:pPr>
      <w:r>
        <w:rPr>
          <w:rFonts w:ascii="Times New Roman" w:hAnsi="Times New Roman" w:cs="Times New Roman"/>
          <w:noProof/>
        </w:rPr>
        <w:t>Danielle Dixon</w:t>
      </w:r>
    </w:p>
    <w:p w14:paraId="5351A625" w14:textId="3A5EEC75" w:rsidR="0084060E" w:rsidRDefault="0084060E" w:rsidP="00520547">
      <w:pPr>
        <w:rPr>
          <w:rFonts w:ascii="Times New Roman" w:hAnsi="Times New Roman" w:cs="Times New Roman"/>
          <w:noProof/>
        </w:rPr>
      </w:pPr>
      <w:bookmarkStart w:id="0" w:name="_GoBack"/>
      <w:bookmarkEnd w:id="0"/>
      <w:r>
        <w:rPr>
          <w:rFonts w:ascii="Times New Roman" w:hAnsi="Times New Roman" w:cs="Times New Roman"/>
          <w:noProof/>
        </w:rPr>
        <w:t>NW Energy Coalition</w:t>
      </w:r>
    </w:p>
    <w:sectPr w:rsidR="0084060E" w:rsidSect="00ED7584">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BDDF0" w14:textId="77777777" w:rsidR="00C67F2A" w:rsidRDefault="00C67F2A" w:rsidP="00B17BBF">
      <w:r>
        <w:separator/>
      </w:r>
    </w:p>
  </w:endnote>
  <w:endnote w:type="continuationSeparator" w:id="0">
    <w:p w14:paraId="33F7C486" w14:textId="77777777" w:rsidR="00C67F2A" w:rsidRDefault="00C67F2A" w:rsidP="00B1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93E41" w14:textId="77777777" w:rsidR="00C67F2A" w:rsidRDefault="00C67F2A" w:rsidP="003F10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631E8" w14:textId="77777777" w:rsidR="00C67F2A" w:rsidRDefault="00C67F2A" w:rsidP="003F10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33D2D" w14:textId="77777777" w:rsidR="00C67F2A" w:rsidRPr="003F10D3" w:rsidRDefault="00C67F2A" w:rsidP="00C67F2A">
    <w:pPr>
      <w:pStyle w:val="Footer"/>
      <w:framePr w:wrap="around" w:vAnchor="text" w:hAnchor="page" w:x="10441" w:y="131"/>
      <w:rPr>
        <w:rStyle w:val="PageNumber"/>
        <w:rFonts w:ascii="Times New Roman" w:hAnsi="Times New Roman" w:cs="Times New Roman"/>
      </w:rPr>
    </w:pPr>
    <w:r w:rsidRPr="003F10D3">
      <w:rPr>
        <w:rStyle w:val="PageNumber"/>
        <w:rFonts w:ascii="Times New Roman" w:hAnsi="Times New Roman" w:cs="Times New Roman"/>
      </w:rPr>
      <w:fldChar w:fldCharType="begin"/>
    </w:r>
    <w:r w:rsidRPr="003F10D3">
      <w:rPr>
        <w:rStyle w:val="PageNumber"/>
        <w:rFonts w:ascii="Times New Roman" w:hAnsi="Times New Roman" w:cs="Times New Roman"/>
      </w:rPr>
      <w:instrText xml:space="preserve">PAGE  </w:instrText>
    </w:r>
    <w:r w:rsidRPr="003F10D3">
      <w:rPr>
        <w:rStyle w:val="PageNumber"/>
        <w:rFonts w:ascii="Times New Roman" w:hAnsi="Times New Roman" w:cs="Times New Roman"/>
      </w:rPr>
      <w:fldChar w:fldCharType="separate"/>
    </w:r>
    <w:r w:rsidR="008D1E71">
      <w:rPr>
        <w:rStyle w:val="PageNumber"/>
        <w:rFonts w:ascii="Times New Roman" w:hAnsi="Times New Roman" w:cs="Times New Roman"/>
        <w:noProof/>
      </w:rPr>
      <w:t>1</w:t>
    </w:r>
    <w:r w:rsidRPr="003F10D3">
      <w:rPr>
        <w:rStyle w:val="PageNumber"/>
        <w:rFonts w:ascii="Times New Roman" w:hAnsi="Times New Roman" w:cs="Times New Roman"/>
      </w:rPr>
      <w:fldChar w:fldCharType="end"/>
    </w:r>
  </w:p>
  <w:p w14:paraId="4A1378A9" w14:textId="080C10EE" w:rsidR="00C67F2A" w:rsidRDefault="00C67F2A" w:rsidP="00C67F2A">
    <w:pPr>
      <w:pStyle w:val="Footer"/>
      <w:pBdr>
        <w:top w:val="single" w:sz="4" w:space="1" w:color="auto"/>
      </w:pBdr>
      <w:rPr>
        <w:rFonts w:ascii="Times New Roman" w:hAnsi="Times New Roman" w:cs="Times New Roman"/>
        <w:sz w:val="20"/>
        <w:szCs w:val="20"/>
      </w:rPr>
    </w:pPr>
    <w:r w:rsidRPr="007A5DF5">
      <w:rPr>
        <w:rFonts w:ascii="Times New Roman" w:hAnsi="Times New Roman" w:cs="Times New Roman"/>
        <w:sz w:val="20"/>
        <w:szCs w:val="20"/>
      </w:rPr>
      <w:t xml:space="preserve">Docket No. UE-131723, </w:t>
    </w:r>
    <w:r>
      <w:rPr>
        <w:rFonts w:ascii="Times New Roman" w:hAnsi="Times New Roman" w:cs="Times New Roman"/>
        <w:sz w:val="20"/>
        <w:szCs w:val="20"/>
      </w:rPr>
      <w:t>Renewables - May 9, 2014</w:t>
    </w:r>
  </w:p>
  <w:p w14:paraId="6EAED617" w14:textId="6A3C69D7" w:rsidR="00C67F2A" w:rsidRPr="00C67F2A" w:rsidRDefault="00C67F2A" w:rsidP="00C67F2A">
    <w:pPr>
      <w:pStyle w:val="Footer"/>
      <w:rPr>
        <w:rFonts w:ascii="Times New Roman" w:hAnsi="Times New Roman" w:cs="Times New Roman"/>
        <w:sz w:val="20"/>
        <w:szCs w:val="20"/>
      </w:rPr>
    </w:pPr>
    <w:r w:rsidRPr="007A5DF5">
      <w:rPr>
        <w:rFonts w:ascii="Times New Roman" w:hAnsi="Times New Roman" w:cs="Times New Roman"/>
        <w:sz w:val="20"/>
        <w:szCs w:val="20"/>
      </w:rPr>
      <w:t>Comments of Renewable Northwest and N</w:t>
    </w:r>
    <w:r>
      <w:rPr>
        <w:rFonts w:ascii="Times New Roman" w:hAnsi="Times New Roman" w:cs="Times New Roman"/>
        <w:sz w:val="20"/>
        <w:szCs w:val="20"/>
      </w:rPr>
      <w:t>W Energy Coalition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277FB" w14:textId="77777777" w:rsidR="00C67F2A" w:rsidRDefault="00C67F2A" w:rsidP="00B17BBF">
      <w:r>
        <w:separator/>
      </w:r>
    </w:p>
  </w:footnote>
  <w:footnote w:type="continuationSeparator" w:id="0">
    <w:p w14:paraId="1F7B0AB9" w14:textId="77777777" w:rsidR="00C67F2A" w:rsidRDefault="00C67F2A" w:rsidP="00B17BBF">
      <w:r>
        <w:continuationSeparator/>
      </w:r>
    </w:p>
  </w:footnote>
  <w:footnote w:id="1">
    <w:p w14:paraId="75CF9DC2" w14:textId="77777777" w:rsidR="00C67F2A" w:rsidRDefault="00C67F2A" w:rsidP="000F0B36">
      <w:pPr>
        <w:pStyle w:val="FootnoteText"/>
      </w:pPr>
      <w:r>
        <w:rPr>
          <w:rStyle w:val="FootnoteReference"/>
        </w:rPr>
        <w:footnoteRef/>
      </w:r>
      <w:r>
        <w:t xml:space="preserve"> </w:t>
      </w:r>
      <w:r w:rsidRPr="00D22DD2">
        <w:rPr>
          <w:rFonts w:ascii="Times New Roman" w:hAnsi="Times New Roman" w:cs="Times New Roman"/>
          <w:sz w:val="22"/>
        </w:rPr>
        <w:t>On the Commerce side of I-937 implementation, there is an emerging problem with how purchases of unbundled RECs versus bundled REC-power purchases are treated in cost calculations. In one case, a utility made a bundled purchase of power and RECs at an undifferentiated contract price, but because the underlying power was not used to serve its load, it has conceptualized the resulting compliance instrument as an “unbundled REC.” Determining the cost of that “unbundled REC” (if it can even be called that) in a consistent, fair manner is next to impossible. It would be more appropriate to determine which type of cost analysis to apply based on whether the original transaction was for a bundled or unbundled product.</w:t>
      </w:r>
    </w:p>
  </w:footnote>
  <w:footnote w:id="2">
    <w:p w14:paraId="38E41922" w14:textId="77777777" w:rsidR="00C67F2A" w:rsidRPr="00822785" w:rsidRDefault="00C67F2A" w:rsidP="00F454A5">
      <w:pPr>
        <w:widowControl w:val="0"/>
        <w:autoSpaceDE w:val="0"/>
        <w:autoSpaceDN w:val="0"/>
        <w:adjustRightInd w:val="0"/>
        <w:rPr>
          <w:rFonts w:ascii="TimesNewRomanPSMT" w:hAnsi="TimesNewRomanPSMT" w:cs="TimesNewRomanPSMT"/>
          <w:i/>
          <w:iCs/>
          <w:color w:val="000000"/>
          <w:sz w:val="22"/>
          <w:szCs w:val="22"/>
        </w:rPr>
      </w:pPr>
      <w:r w:rsidRPr="00822785">
        <w:rPr>
          <w:rStyle w:val="FootnoteReference"/>
          <w:sz w:val="22"/>
          <w:szCs w:val="22"/>
        </w:rPr>
        <w:footnoteRef/>
      </w:r>
      <w:r w:rsidRPr="00822785">
        <w:rPr>
          <w:sz w:val="22"/>
          <w:szCs w:val="22"/>
        </w:rPr>
        <w:t xml:space="preserve"> </w:t>
      </w:r>
      <w:r w:rsidRPr="00822785">
        <w:rPr>
          <w:rFonts w:ascii="TimesNewRomanPSMT" w:hAnsi="TimesNewRomanPSMT" w:cs="TimesNewRomanPSMT"/>
          <w:color w:val="000000"/>
          <w:sz w:val="22"/>
          <w:szCs w:val="22"/>
        </w:rPr>
        <w:t xml:space="preserve">LIHI Certification Handbook, Part VII.C (“Definitions”), page 35, </w:t>
      </w:r>
      <w:r w:rsidRPr="00822785">
        <w:rPr>
          <w:rFonts w:ascii="TimesNewRomanPSMT" w:hAnsi="TimesNewRomanPSMT" w:cs="TimesNewRomanPSMT"/>
          <w:i/>
          <w:iCs/>
          <w:color w:val="000000"/>
          <w:sz w:val="22"/>
          <w:szCs w:val="22"/>
        </w:rPr>
        <w:t>available at</w:t>
      </w:r>
    </w:p>
    <w:p w14:paraId="21A50F49" w14:textId="77777777" w:rsidR="00C67F2A" w:rsidRPr="00822785" w:rsidRDefault="00C67F2A" w:rsidP="00F454A5">
      <w:pPr>
        <w:widowControl w:val="0"/>
        <w:autoSpaceDE w:val="0"/>
        <w:autoSpaceDN w:val="0"/>
        <w:adjustRightInd w:val="0"/>
        <w:rPr>
          <w:sz w:val="22"/>
          <w:szCs w:val="22"/>
        </w:rPr>
      </w:pPr>
      <w:r w:rsidRPr="00822785">
        <w:rPr>
          <w:rFonts w:ascii="TimesNewRomanPSMT" w:hAnsi="TimesNewRomanPSMT" w:cs="TimesNewRomanPSMT"/>
          <w:color w:val="0000FF"/>
          <w:sz w:val="22"/>
          <w:szCs w:val="22"/>
        </w:rPr>
        <w:t>http://www.lowimpacthydro.org/assets/files/LIHI%20HandbookDecember%202011(1).pdf</w:t>
      </w:r>
      <w:r w:rsidRPr="00822785">
        <w:rPr>
          <w:rFonts w:ascii="TimesNewRomanPSMT" w:hAnsi="TimesNewRomanPSMT" w:cs="TimesNewRomanPSMT"/>
          <w:color w:val="000000"/>
          <w:sz w:val="22"/>
          <w:szCs w:val="22"/>
        </w:rPr>
        <w:t>.</w:t>
      </w:r>
    </w:p>
    <w:p w14:paraId="54482681" w14:textId="77777777" w:rsidR="00C67F2A" w:rsidRPr="00822785" w:rsidRDefault="00C67F2A" w:rsidP="00F454A5">
      <w:pPr>
        <w:pStyle w:val="FootnoteText"/>
        <w:rPr>
          <w:sz w:val="22"/>
          <w:szCs w:val="22"/>
        </w:rPr>
      </w:pPr>
    </w:p>
  </w:footnote>
  <w:footnote w:id="3">
    <w:p w14:paraId="33B60523" w14:textId="77777777" w:rsidR="00C67F2A" w:rsidRPr="00C75186" w:rsidRDefault="00C67F2A" w:rsidP="00C75186">
      <w:pPr>
        <w:pStyle w:val="FootnoteText"/>
        <w:rPr>
          <w:rFonts w:ascii="Times New Roman" w:hAnsi="Times New Roman" w:cs="Times New Roman"/>
          <w:sz w:val="22"/>
          <w:szCs w:val="22"/>
        </w:rPr>
      </w:pPr>
      <w:r w:rsidRPr="00C75186">
        <w:rPr>
          <w:rStyle w:val="FootnoteReference"/>
          <w:rFonts w:ascii="Times New Roman" w:hAnsi="Times New Roman" w:cs="Times New Roman"/>
          <w:sz w:val="22"/>
          <w:szCs w:val="22"/>
        </w:rPr>
        <w:footnoteRef/>
      </w:r>
      <w:r w:rsidRPr="00C75186">
        <w:rPr>
          <w:rFonts w:ascii="Times New Roman" w:hAnsi="Times New Roman" w:cs="Times New Roman"/>
          <w:sz w:val="22"/>
          <w:szCs w:val="22"/>
        </w:rPr>
        <w:t xml:space="preserve"> State of Washington Climate Executive Workgroup (CLEW), Evaluations of Approaches to Reduce GHG Emissions in Washington State, October 14, 2013 www.governor.wa.gov/issues/economy/climateWorkgroup/documents/Task_4_Final_Report_10-13-2013.pdf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A204ED"/>
    <w:multiLevelType w:val="hybridMultilevel"/>
    <w:tmpl w:val="3042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47"/>
    <w:rsid w:val="00021E9A"/>
    <w:rsid w:val="000F0B36"/>
    <w:rsid w:val="002B7A5C"/>
    <w:rsid w:val="002D65A4"/>
    <w:rsid w:val="00376FE6"/>
    <w:rsid w:val="00396EEC"/>
    <w:rsid w:val="003F10D3"/>
    <w:rsid w:val="004018AF"/>
    <w:rsid w:val="00431EF0"/>
    <w:rsid w:val="00517395"/>
    <w:rsid w:val="00520547"/>
    <w:rsid w:val="0058323B"/>
    <w:rsid w:val="005C6906"/>
    <w:rsid w:val="00641FB5"/>
    <w:rsid w:val="0065751B"/>
    <w:rsid w:val="00746F2D"/>
    <w:rsid w:val="00764671"/>
    <w:rsid w:val="007A3100"/>
    <w:rsid w:val="007C01F3"/>
    <w:rsid w:val="00822785"/>
    <w:rsid w:val="0084060E"/>
    <w:rsid w:val="008D1E71"/>
    <w:rsid w:val="008E13E3"/>
    <w:rsid w:val="00AD6637"/>
    <w:rsid w:val="00B12A02"/>
    <w:rsid w:val="00B17BBF"/>
    <w:rsid w:val="00B417B2"/>
    <w:rsid w:val="00C47689"/>
    <w:rsid w:val="00C67F2A"/>
    <w:rsid w:val="00C75186"/>
    <w:rsid w:val="00CD307B"/>
    <w:rsid w:val="00CE0B1F"/>
    <w:rsid w:val="00D22DD2"/>
    <w:rsid w:val="00E1149A"/>
    <w:rsid w:val="00E43747"/>
    <w:rsid w:val="00ED7584"/>
    <w:rsid w:val="00F35B20"/>
    <w:rsid w:val="00F454A5"/>
    <w:rsid w:val="00F47383"/>
    <w:rsid w:val="00F6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EC0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395"/>
    <w:rPr>
      <w:rFonts w:ascii="Lucida Grande" w:hAnsi="Lucida Grande" w:cs="Lucida Grande"/>
      <w:sz w:val="18"/>
      <w:szCs w:val="18"/>
    </w:rPr>
  </w:style>
  <w:style w:type="paragraph" w:customStyle="1" w:styleId="Default">
    <w:name w:val="Default"/>
    <w:rsid w:val="00520547"/>
    <w:pPr>
      <w:widowControl w:val="0"/>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unhideWhenUsed/>
    <w:rsid w:val="00B17BBF"/>
  </w:style>
  <w:style w:type="character" w:customStyle="1" w:styleId="FootnoteTextChar">
    <w:name w:val="Footnote Text Char"/>
    <w:basedOn w:val="DefaultParagraphFont"/>
    <w:link w:val="FootnoteText"/>
    <w:uiPriority w:val="99"/>
    <w:rsid w:val="00B17BBF"/>
  </w:style>
  <w:style w:type="character" w:styleId="FootnoteReference">
    <w:name w:val="footnote reference"/>
    <w:basedOn w:val="DefaultParagraphFont"/>
    <w:uiPriority w:val="99"/>
    <w:unhideWhenUsed/>
    <w:rsid w:val="00B17BBF"/>
    <w:rPr>
      <w:vertAlign w:val="superscript"/>
    </w:rPr>
  </w:style>
  <w:style w:type="paragraph" w:styleId="Footer">
    <w:name w:val="footer"/>
    <w:basedOn w:val="Normal"/>
    <w:link w:val="FooterChar"/>
    <w:uiPriority w:val="99"/>
    <w:unhideWhenUsed/>
    <w:rsid w:val="003F10D3"/>
    <w:pPr>
      <w:tabs>
        <w:tab w:val="center" w:pos="4320"/>
        <w:tab w:val="right" w:pos="8640"/>
      </w:tabs>
    </w:pPr>
  </w:style>
  <w:style w:type="character" w:customStyle="1" w:styleId="FooterChar">
    <w:name w:val="Footer Char"/>
    <w:basedOn w:val="DefaultParagraphFont"/>
    <w:link w:val="Footer"/>
    <w:uiPriority w:val="99"/>
    <w:rsid w:val="003F10D3"/>
  </w:style>
  <w:style w:type="character" w:styleId="PageNumber">
    <w:name w:val="page number"/>
    <w:basedOn w:val="DefaultParagraphFont"/>
    <w:uiPriority w:val="99"/>
    <w:semiHidden/>
    <w:unhideWhenUsed/>
    <w:rsid w:val="003F10D3"/>
  </w:style>
  <w:style w:type="paragraph" w:styleId="Header">
    <w:name w:val="header"/>
    <w:basedOn w:val="Normal"/>
    <w:link w:val="HeaderChar"/>
    <w:uiPriority w:val="99"/>
    <w:unhideWhenUsed/>
    <w:rsid w:val="003F10D3"/>
    <w:pPr>
      <w:tabs>
        <w:tab w:val="center" w:pos="4320"/>
        <w:tab w:val="right" w:pos="8640"/>
      </w:tabs>
    </w:pPr>
  </w:style>
  <w:style w:type="character" w:customStyle="1" w:styleId="HeaderChar">
    <w:name w:val="Header Char"/>
    <w:basedOn w:val="DefaultParagraphFont"/>
    <w:link w:val="Header"/>
    <w:uiPriority w:val="99"/>
    <w:rsid w:val="003F10D3"/>
  </w:style>
  <w:style w:type="paragraph" w:styleId="ListParagraph">
    <w:name w:val="List Paragraph"/>
    <w:basedOn w:val="Normal"/>
    <w:uiPriority w:val="34"/>
    <w:qFormat/>
    <w:rsid w:val="008E13E3"/>
    <w:pPr>
      <w:ind w:left="720"/>
      <w:contextualSpacing/>
    </w:pPr>
  </w:style>
  <w:style w:type="character" w:styleId="CommentReference">
    <w:name w:val="annotation reference"/>
    <w:basedOn w:val="DefaultParagraphFont"/>
    <w:uiPriority w:val="99"/>
    <w:semiHidden/>
    <w:unhideWhenUsed/>
    <w:rsid w:val="00822785"/>
    <w:rPr>
      <w:sz w:val="18"/>
      <w:szCs w:val="18"/>
    </w:rPr>
  </w:style>
  <w:style w:type="paragraph" w:styleId="CommentText">
    <w:name w:val="annotation text"/>
    <w:basedOn w:val="Normal"/>
    <w:link w:val="CommentTextChar"/>
    <w:uiPriority w:val="99"/>
    <w:semiHidden/>
    <w:unhideWhenUsed/>
    <w:rsid w:val="00822785"/>
  </w:style>
  <w:style w:type="character" w:customStyle="1" w:styleId="CommentTextChar">
    <w:name w:val="Comment Text Char"/>
    <w:basedOn w:val="DefaultParagraphFont"/>
    <w:link w:val="CommentText"/>
    <w:uiPriority w:val="99"/>
    <w:semiHidden/>
    <w:rsid w:val="00822785"/>
  </w:style>
  <w:style w:type="paragraph" w:styleId="CommentSubject">
    <w:name w:val="annotation subject"/>
    <w:basedOn w:val="CommentText"/>
    <w:next w:val="CommentText"/>
    <w:link w:val="CommentSubjectChar"/>
    <w:uiPriority w:val="99"/>
    <w:semiHidden/>
    <w:unhideWhenUsed/>
    <w:rsid w:val="00822785"/>
    <w:rPr>
      <w:b/>
      <w:bCs/>
      <w:sz w:val="20"/>
      <w:szCs w:val="20"/>
    </w:rPr>
  </w:style>
  <w:style w:type="character" w:customStyle="1" w:styleId="CommentSubjectChar">
    <w:name w:val="Comment Subject Char"/>
    <w:basedOn w:val="CommentTextChar"/>
    <w:link w:val="CommentSubject"/>
    <w:uiPriority w:val="99"/>
    <w:semiHidden/>
    <w:rsid w:val="0082278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395"/>
    <w:rPr>
      <w:rFonts w:ascii="Lucida Grande" w:hAnsi="Lucida Grande" w:cs="Lucida Grande"/>
      <w:sz w:val="18"/>
      <w:szCs w:val="18"/>
    </w:rPr>
  </w:style>
  <w:style w:type="paragraph" w:customStyle="1" w:styleId="Default">
    <w:name w:val="Default"/>
    <w:rsid w:val="00520547"/>
    <w:pPr>
      <w:widowControl w:val="0"/>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unhideWhenUsed/>
    <w:rsid w:val="00B17BBF"/>
  </w:style>
  <w:style w:type="character" w:customStyle="1" w:styleId="FootnoteTextChar">
    <w:name w:val="Footnote Text Char"/>
    <w:basedOn w:val="DefaultParagraphFont"/>
    <w:link w:val="FootnoteText"/>
    <w:uiPriority w:val="99"/>
    <w:rsid w:val="00B17BBF"/>
  </w:style>
  <w:style w:type="character" w:styleId="FootnoteReference">
    <w:name w:val="footnote reference"/>
    <w:basedOn w:val="DefaultParagraphFont"/>
    <w:uiPriority w:val="99"/>
    <w:unhideWhenUsed/>
    <w:rsid w:val="00B17BBF"/>
    <w:rPr>
      <w:vertAlign w:val="superscript"/>
    </w:rPr>
  </w:style>
  <w:style w:type="paragraph" w:styleId="Footer">
    <w:name w:val="footer"/>
    <w:basedOn w:val="Normal"/>
    <w:link w:val="FooterChar"/>
    <w:uiPriority w:val="99"/>
    <w:unhideWhenUsed/>
    <w:rsid w:val="003F10D3"/>
    <w:pPr>
      <w:tabs>
        <w:tab w:val="center" w:pos="4320"/>
        <w:tab w:val="right" w:pos="8640"/>
      </w:tabs>
    </w:pPr>
  </w:style>
  <w:style w:type="character" w:customStyle="1" w:styleId="FooterChar">
    <w:name w:val="Footer Char"/>
    <w:basedOn w:val="DefaultParagraphFont"/>
    <w:link w:val="Footer"/>
    <w:uiPriority w:val="99"/>
    <w:rsid w:val="003F10D3"/>
  </w:style>
  <w:style w:type="character" w:styleId="PageNumber">
    <w:name w:val="page number"/>
    <w:basedOn w:val="DefaultParagraphFont"/>
    <w:uiPriority w:val="99"/>
    <w:semiHidden/>
    <w:unhideWhenUsed/>
    <w:rsid w:val="003F10D3"/>
  </w:style>
  <w:style w:type="paragraph" w:styleId="Header">
    <w:name w:val="header"/>
    <w:basedOn w:val="Normal"/>
    <w:link w:val="HeaderChar"/>
    <w:uiPriority w:val="99"/>
    <w:unhideWhenUsed/>
    <w:rsid w:val="003F10D3"/>
    <w:pPr>
      <w:tabs>
        <w:tab w:val="center" w:pos="4320"/>
        <w:tab w:val="right" w:pos="8640"/>
      </w:tabs>
    </w:pPr>
  </w:style>
  <w:style w:type="character" w:customStyle="1" w:styleId="HeaderChar">
    <w:name w:val="Header Char"/>
    <w:basedOn w:val="DefaultParagraphFont"/>
    <w:link w:val="Header"/>
    <w:uiPriority w:val="99"/>
    <w:rsid w:val="003F10D3"/>
  </w:style>
  <w:style w:type="paragraph" w:styleId="ListParagraph">
    <w:name w:val="List Paragraph"/>
    <w:basedOn w:val="Normal"/>
    <w:uiPriority w:val="34"/>
    <w:qFormat/>
    <w:rsid w:val="008E13E3"/>
    <w:pPr>
      <w:ind w:left="720"/>
      <w:contextualSpacing/>
    </w:pPr>
  </w:style>
  <w:style w:type="character" w:styleId="CommentReference">
    <w:name w:val="annotation reference"/>
    <w:basedOn w:val="DefaultParagraphFont"/>
    <w:uiPriority w:val="99"/>
    <w:semiHidden/>
    <w:unhideWhenUsed/>
    <w:rsid w:val="00822785"/>
    <w:rPr>
      <w:sz w:val="18"/>
      <w:szCs w:val="18"/>
    </w:rPr>
  </w:style>
  <w:style w:type="paragraph" w:styleId="CommentText">
    <w:name w:val="annotation text"/>
    <w:basedOn w:val="Normal"/>
    <w:link w:val="CommentTextChar"/>
    <w:uiPriority w:val="99"/>
    <w:semiHidden/>
    <w:unhideWhenUsed/>
    <w:rsid w:val="00822785"/>
  </w:style>
  <w:style w:type="character" w:customStyle="1" w:styleId="CommentTextChar">
    <w:name w:val="Comment Text Char"/>
    <w:basedOn w:val="DefaultParagraphFont"/>
    <w:link w:val="CommentText"/>
    <w:uiPriority w:val="99"/>
    <w:semiHidden/>
    <w:rsid w:val="00822785"/>
  </w:style>
  <w:style w:type="paragraph" w:styleId="CommentSubject">
    <w:name w:val="annotation subject"/>
    <w:basedOn w:val="CommentText"/>
    <w:next w:val="CommentText"/>
    <w:link w:val="CommentSubjectChar"/>
    <w:uiPriority w:val="99"/>
    <w:semiHidden/>
    <w:unhideWhenUsed/>
    <w:rsid w:val="00822785"/>
    <w:rPr>
      <w:b/>
      <w:bCs/>
      <w:sz w:val="20"/>
      <w:szCs w:val="20"/>
    </w:rPr>
  </w:style>
  <w:style w:type="character" w:customStyle="1" w:styleId="CommentSubjectChar">
    <w:name w:val="Comment Subject Char"/>
    <w:basedOn w:val="CommentTextChar"/>
    <w:link w:val="CommentSubject"/>
    <w:uiPriority w:val="99"/>
    <w:semiHidden/>
    <w:rsid w:val="008227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2014-05-09T07:00:00+00:00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5ACFC-BC7D-4866-991F-2D731A8F61B2}"/>
</file>

<file path=customXml/itemProps2.xml><?xml version="1.0" encoding="utf-8"?>
<ds:datastoreItem xmlns:ds="http://schemas.openxmlformats.org/officeDocument/2006/customXml" ds:itemID="{8EB0C8A7-2ADA-494E-AEA9-8CEC08419BC5}"/>
</file>

<file path=customXml/itemProps3.xml><?xml version="1.0" encoding="utf-8"?>
<ds:datastoreItem xmlns:ds="http://schemas.openxmlformats.org/officeDocument/2006/customXml" ds:itemID="{9DCCDF5C-515D-450B-8CBD-F8A4066FCEF7}"/>
</file>

<file path=customXml/itemProps4.xml><?xml version="1.0" encoding="utf-8"?>
<ds:datastoreItem xmlns:ds="http://schemas.openxmlformats.org/officeDocument/2006/customXml" ds:itemID="{87B43AE6-FEB3-4C91-A986-5F656C76DE6A}"/>
</file>

<file path=docProps/app.xml><?xml version="1.0" encoding="utf-8"?>
<Properties xmlns="http://schemas.openxmlformats.org/officeDocument/2006/extended-properties" xmlns:vt="http://schemas.openxmlformats.org/officeDocument/2006/docPropsVTypes">
  <Template>Normal.dotm</Template>
  <TotalTime>0</TotalTime>
  <Pages>6</Pages>
  <Words>2259</Words>
  <Characters>12877</Characters>
  <Application>Microsoft Macintosh Word</Application>
  <DocSecurity>0</DocSecurity>
  <Lines>107</Lines>
  <Paragraphs>30</Paragraphs>
  <ScaleCrop>false</ScaleCrop>
  <Company>Renewable Northwest Project</Company>
  <LinksUpToDate>false</LinksUpToDate>
  <CharactersWithSpaces>15106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Decker</dc:creator>
  <cp:keywords/>
  <dc:description/>
  <cp:lastModifiedBy>Megan Decker</cp:lastModifiedBy>
  <cp:revision>3</cp:revision>
  <cp:lastPrinted>2014-05-09T23:46:00Z</cp:lastPrinted>
  <dcterms:created xsi:type="dcterms:W3CDTF">2014-05-09T23:46:00Z</dcterms:created>
  <dcterms:modified xsi:type="dcterms:W3CDTF">2014-05-09T23:46:00Z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