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8433A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0518433B" w14:textId="1BB4184C"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203972">
        <w:rPr>
          <w:b/>
        </w:rPr>
        <w:t>COMMISSION</w:t>
      </w:r>
    </w:p>
    <w:p w14:paraId="0518433C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0"/>
        <w:gridCol w:w="269"/>
        <w:gridCol w:w="4011"/>
      </w:tblGrid>
      <w:tr w:rsidR="008807EB" w:rsidRPr="008807EB" w14:paraId="0518434B" w14:textId="77777777" w:rsidTr="003941BA">
        <w:tc>
          <w:tcPr>
            <w:tcW w:w="4428" w:type="dxa"/>
            <w:tcBorders>
              <w:bottom w:val="single" w:sz="4" w:space="0" w:color="auto"/>
              <w:right w:val="single" w:sz="4" w:space="0" w:color="auto"/>
            </w:tcBorders>
          </w:tcPr>
          <w:p w14:paraId="0518433D" w14:textId="77777777" w:rsidR="00652118" w:rsidRPr="008807EB" w:rsidRDefault="002B6FD3">
            <w:r w:rsidRPr="008807EB">
              <w:t xml:space="preserve">In the Matter of Tariff </w:t>
            </w:r>
            <w:r w:rsidR="00D91E6C" w:rsidRPr="008807EB">
              <w:t>Revision</w:t>
            </w:r>
            <w:r w:rsidR="00AE7A73" w:rsidRPr="008807EB">
              <w:t>s</w:t>
            </w:r>
            <w:r w:rsidR="00D91E6C" w:rsidRPr="008807EB">
              <w:t xml:space="preserve"> </w:t>
            </w:r>
            <w:r w:rsidRPr="008807EB">
              <w:t>to Increase Rates Due to a</w:t>
            </w:r>
            <w:r w:rsidR="00D0404E">
              <w:t xml:space="preserve"> General Rate Case,</w:t>
            </w:r>
            <w:r w:rsidRPr="008807EB">
              <w:t xml:space="preserve"> Disposal Fee Increase</w:t>
            </w:r>
            <w:r w:rsidR="00D0404E">
              <w:t>, and Annual Commodity Credit</w:t>
            </w:r>
            <w:r w:rsidRPr="008807EB">
              <w:t xml:space="preserve"> Filed by</w:t>
            </w:r>
          </w:p>
          <w:p w14:paraId="0518433E" w14:textId="77777777" w:rsidR="002B6FD3" w:rsidRDefault="002B6FD3"/>
          <w:p w14:paraId="11CBB5E5" w14:textId="77777777" w:rsidR="00622CFD" w:rsidRPr="008807EB" w:rsidRDefault="00622CFD"/>
          <w:p w14:paraId="0518433F" w14:textId="0DAA2A7B" w:rsidR="00A2678D" w:rsidRPr="008807EB" w:rsidRDefault="0046006F" w:rsidP="00E1566C">
            <w:r>
              <w:t>MURREY</w:t>
            </w:r>
            <w:r w:rsidR="00203972">
              <w:t>’</w:t>
            </w:r>
            <w:r>
              <w:t>S DISPOSAL COMPANY, INC., AND AMERICAN DISPOSAL COMPANY, INC.</w:t>
            </w:r>
          </w:p>
          <w:p w14:paraId="05184340" w14:textId="77777777" w:rsidR="00A2678D" w:rsidRPr="008807EB" w:rsidRDefault="00A2678D" w:rsidP="00E1566C"/>
          <w:p w14:paraId="05184341" w14:textId="1187F08D" w:rsidR="00652118" w:rsidRPr="008807EB" w:rsidRDefault="003E58A5" w:rsidP="00CA4FA9">
            <w:r w:rsidRPr="008807EB">
              <w:t>Certificate</w:t>
            </w:r>
            <w:r w:rsidR="006D7CFA">
              <w:t>s</w:t>
            </w:r>
            <w:r w:rsidRPr="008807EB">
              <w:t xml:space="preserve"> </w:t>
            </w:r>
            <w:r w:rsidR="0046006F">
              <w:t>G-9 and G-87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05184342" w14:textId="77777777" w:rsidR="00D95CA9" w:rsidRPr="008807EB" w:rsidRDefault="00D95CA9"/>
          <w:p w14:paraId="05184343" w14:textId="77777777" w:rsidR="003E58A5" w:rsidRPr="008807EB" w:rsidRDefault="003E58A5"/>
        </w:tc>
        <w:tc>
          <w:tcPr>
            <w:tcW w:w="4068" w:type="dxa"/>
          </w:tcPr>
          <w:p w14:paraId="7E1DF99E" w14:textId="194F49B7" w:rsidR="00622CFD" w:rsidRDefault="005C0760">
            <w:r w:rsidRPr="008807EB">
              <w:t>DOCKET</w:t>
            </w:r>
            <w:r w:rsidR="00652118" w:rsidRPr="008807EB">
              <w:t xml:space="preserve"> </w:t>
            </w:r>
            <w:r w:rsidR="0046006F">
              <w:t>T</w:t>
            </w:r>
            <w:r w:rsidR="00622CFD">
              <w:t>G-170036</w:t>
            </w:r>
          </w:p>
          <w:p w14:paraId="05184344" w14:textId="5409DC25" w:rsidR="00652118" w:rsidRDefault="00622CFD">
            <w:r>
              <w:t>DOCKET TG-170037</w:t>
            </w:r>
          </w:p>
          <w:p w14:paraId="05184345" w14:textId="77777777" w:rsidR="00D0404E" w:rsidRPr="008807EB" w:rsidRDefault="00D0404E">
            <w:pPr>
              <w:rPr>
                <w:b/>
              </w:rPr>
            </w:pPr>
          </w:p>
          <w:p w14:paraId="05184347" w14:textId="2D11A37C" w:rsidR="00652118" w:rsidRPr="008807EB" w:rsidRDefault="005C0760">
            <w:pPr>
              <w:rPr>
                <w:b/>
              </w:rPr>
            </w:pPr>
            <w:r w:rsidRPr="008807EB">
              <w:t>ORDER</w:t>
            </w:r>
            <w:r w:rsidR="00652118" w:rsidRPr="008807EB">
              <w:t xml:space="preserve"> </w:t>
            </w:r>
            <w:r w:rsidR="0046006F">
              <w:t>01</w:t>
            </w:r>
          </w:p>
          <w:p w14:paraId="05184348" w14:textId="77777777" w:rsidR="00652118" w:rsidRPr="008807EB" w:rsidRDefault="00652118">
            <w:pPr>
              <w:rPr>
                <w:b/>
              </w:rPr>
            </w:pPr>
          </w:p>
          <w:p w14:paraId="05184349" w14:textId="77777777" w:rsidR="00BC3CB3" w:rsidRPr="008807EB" w:rsidRDefault="00BC3CB3">
            <w:pPr>
              <w:rPr>
                <w:b/>
              </w:rPr>
            </w:pPr>
          </w:p>
          <w:p w14:paraId="0518434A" w14:textId="7B82646B" w:rsidR="00203972" w:rsidRPr="008807EB" w:rsidRDefault="00652118" w:rsidP="00203972">
            <w:r w:rsidRPr="008807EB">
              <w:t>ORD</w:t>
            </w:r>
            <w:r w:rsidR="002B6FD3" w:rsidRPr="008807EB">
              <w:t>ER GRANTING EXEMPTION FROM RULE</w:t>
            </w:r>
            <w:r w:rsidR="009817C9">
              <w:t>; ALLOWING REVISED RATES TO GO INTO EFFECT</w:t>
            </w:r>
            <w:r w:rsidR="002B6FD3" w:rsidRPr="008807EB">
              <w:t xml:space="preserve"> </w:t>
            </w:r>
            <w:r w:rsidR="00195E16">
              <w:t>BY OPERATION OF LAW</w:t>
            </w:r>
          </w:p>
        </w:tc>
      </w:tr>
    </w:tbl>
    <w:p w14:paraId="0518434C" w14:textId="5EFE121D" w:rsidR="00A12D32" w:rsidRDefault="00A12D32" w:rsidP="000B5335">
      <w:pPr>
        <w:spacing w:line="320" w:lineRule="exact"/>
        <w:jc w:val="center"/>
        <w:rPr>
          <w:b/>
        </w:rPr>
      </w:pPr>
    </w:p>
    <w:p w14:paraId="0518434D" w14:textId="77777777" w:rsidR="00652118" w:rsidRPr="008807EB" w:rsidRDefault="00652118" w:rsidP="000B5335">
      <w:pPr>
        <w:spacing w:line="320" w:lineRule="exact"/>
        <w:jc w:val="center"/>
        <w:rPr>
          <w:b/>
        </w:rPr>
      </w:pPr>
      <w:r w:rsidRPr="008807EB">
        <w:rPr>
          <w:b/>
        </w:rPr>
        <w:t>BACKGROUND</w:t>
      </w:r>
    </w:p>
    <w:p w14:paraId="0518434E" w14:textId="77777777" w:rsidR="00652118" w:rsidRPr="008807EB" w:rsidRDefault="00652118" w:rsidP="000B5335">
      <w:pPr>
        <w:spacing w:line="320" w:lineRule="exact"/>
        <w:jc w:val="center"/>
        <w:rPr>
          <w:b/>
        </w:rPr>
      </w:pPr>
    </w:p>
    <w:p w14:paraId="0518434F" w14:textId="6940371F" w:rsidR="00912475" w:rsidRDefault="00820226" w:rsidP="00520ACE">
      <w:pPr>
        <w:pStyle w:val="ListParagraph"/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76" w:lineRule="auto"/>
      </w:pPr>
      <w:r>
        <w:t xml:space="preserve">On January 10, 2017, </w:t>
      </w:r>
      <w:proofErr w:type="spellStart"/>
      <w:r>
        <w:t>Murrey</w:t>
      </w:r>
      <w:r w:rsidR="00203972">
        <w:t>’</w:t>
      </w:r>
      <w:r>
        <w:t>s</w:t>
      </w:r>
      <w:proofErr w:type="spellEnd"/>
      <w:r>
        <w:t xml:space="preserve"> Disposal Company, Inc. and American Disposal Company, Inc. (</w:t>
      </w:r>
      <w:proofErr w:type="spellStart"/>
      <w:r>
        <w:t>Murrey</w:t>
      </w:r>
      <w:r w:rsidR="00203972">
        <w:t>’</w:t>
      </w:r>
      <w:r>
        <w:t>s</w:t>
      </w:r>
      <w:proofErr w:type="spellEnd"/>
      <w:r>
        <w:t xml:space="preserve"> and American</w:t>
      </w:r>
      <w:r w:rsidRPr="00605711">
        <w:t xml:space="preserve"> or </w:t>
      </w:r>
      <w:r>
        <w:t xml:space="preserve">Company) filed with </w:t>
      </w:r>
      <w:r w:rsidRPr="008807EB">
        <w:t xml:space="preserve">the Washington Utilities and Transportation </w:t>
      </w:r>
      <w:r w:rsidR="00203972">
        <w:t>Commission</w:t>
      </w:r>
      <w:r w:rsidRPr="008807EB">
        <w:t xml:space="preserve"> (</w:t>
      </w:r>
      <w:r w:rsidR="00203972">
        <w:t>Commission</w:t>
      </w:r>
      <w:r w:rsidRPr="008807EB">
        <w:t>)</w:t>
      </w:r>
      <w:r>
        <w:t xml:space="preserve"> revisions to its Tariffs No. 27 </w:t>
      </w:r>
      <w:r w:rsidR="00262D96">
        <w:t xml:space="preserve">in Dockets TG-170021 and TG-170023 </w:t>
      </w:r>
      <w:r>
        <w:t xml:space="preserve">to recover the increased cost of disposal fees. </w:t>
      </w:r>
      <w:r w:rsidR="00912475">
        <w:t>The Company</w:t>
      </w:r>
      <w:r w:rsidR="00203972">
        <w:t>’</w:t>
      </w:r>
      <w:r w:rsidR="00912475">
        <w:t xml:space="preserve">s filing includes a request for an exemption from the </w:t>
      </w:r>
      <w:r w:rsidR="00111DAE">
        <w:t>work paper</w:t>
      </w:r>
      <w:r w:rsidR="00912475">
        <w:t xml:space="preserve"> filing requirements </w:t>
      </w:r>
      <w:r w:rsidR="00195E16">
        <w:t xml:space="preserve">of </w:t>
      </w:r>
      <w:r w:rsidR="00912475">
        <w:t>WAC 480-07-520</w:t>
      </w:r>
      <w:r w:rsidR="00195E16">
        <w:t>(4)</w:t>
      </w:r>
      <w:r w:rsidR="00912475">
        <w:t xml:space="preserve">. </w:t>
      </w:r>
      <w:r w:rsidR="00262D96">
        <w:br/>
      </w:r>
    </w:p>
    <w:p w14:paraId="05184350" w14:textId="1139B9CD" w:rsidR="00820226" w:rsidRDefault="00912475" w:rsidP="00520ACE">
      <w:pPr>
        <w:pStyle w:val="ListParagraph"/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76" w:lineRule="auto"/>
      </w:pPr>
      <w:r>
        <w:t xml:space="preserve">Also on January 10, 2017, </w:t>
      </w:r>
      <w:proofErr w:type="spellStart"/>
      <w:r>
        <w:t>Murrey</w:t>
      </w:r>
      <w:r w:rsidR="00203972">
        <w:t>’</w:t>
      </w:r>
      <w:r>
        <w:t>s</w:t>
      </w:r>
      <w:proofErr w:type="spellEnd"/>
      <w:r>
        <w:t xml:space="preserve"> and American filed commodity credit adjustments</w:t>
      </w:r>
      <w:r w:rsidR="00262D96">
        <w:t xml:space="preserve"> in Dockets TG-170020 and TG-170022</w:t>
      </w:r>
      <w:r>
        <w:t>.</w:t>
      </w:r>
      <w:r w:rsidR="00820226">
        <w:br/>
      </w:r>
    </w:p>
    <w:p w14:paraId="05184351" w14:textId="2071106B" w:rsidR="006D2BB9" w:rsidRDefault="00B625C5" w:rsidP="00912475">
      <w:pPr>
        <w:pStyle w:val="ListParagraph"/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76" w:lineRule="auto"/>
      </w:pPr>
      <w:r>
        <w:t>On January 13, 2017</w:t>
      </w:r>
      <w:r w:rsidRPr="00605711">
        <w:t xml:space="preserve">, </w:t>
      </w:r>
      <w:proofErr w:type="spellStart"/>
      <w:r w:rsidR="00820226">
        <w:t>Murrey</w:t>
      </w:r>
      <w:r w:rsidR="00203972">
        <w:t>’</w:t>
      </w:r>
      <w:r w:rsidR="00820226">
        <w:t>s</w:t>
      </w:r>
      <w:proofErr w:type="spellEnd"/>
      <w:r w:rsidR="00820226">
        <w:t xml:space="preserve"> and American</w:t>
      </w:r>
      <w:r w:rsidR="00820226" w:rsidRPr="00605711">
        <w:t xml:space="preserve"> </w:t>
      </w:r>
      <w:r>
        <w:t xml:space="preserve">filed </w:t>
      </w:r>
      <w:r w:rsidRPr="008807EB">
        <w:t>with</w:t>
      </w:r>
      <w:r w:rsidR="00820226">
        <w:t xml:space="preserve"> the </w:t>
      </w:r>
      <w:r w:rsidR="00203972">
        <w:t>Commission</w:t>
      </w:r>
      <w:r w:rsidR="00820226">
        <w:t xml:space="preserve"> request</w:t>
      </w:r>
      <w:r w:rsidR="001263E9">
        <w:t>s</w:t>
      </w:r>
      <w:r w:rsidR="00820226">
        <w:t xml:space="preserve"> </w:t>
      </w:r>
      <w:r w:rsidR="00111DAE">
        <w:t>for general</w:t>
      </w:r>
      <w:r w:rsidR="00820226">
        <w:t xml:space="preserve"> rate increase</w:t>
      </w:r>
      <w:r w:rsidR="001263E9">
        <w:t>s</w:t>
      </w:r>
      <w:r w:rsidR="00520ACE">
        <w:t xml:space="preserve"> in Dockets TG-170036 and TG-170037</w:t>
      </w:r>
      <w:r w:rsidR="006C5848">
        <w:t>. The requested increases</w:t>
      </w:r>
      <w:r w:rsidRPr="00605711">
        <w:t xml:space="preserve"> </w:t>
      </w:r>
      <w:r>
        <w:t>would generate approximately $1,663,000 (</w:t>
      </w:r>
      <w:r w:rsidRPr="002232B1">
        <w:t>6.4</w:t>
      </w:r>
      <w:r w:rsidRPr="00605711">
        <w:t xml:space="preserve"> percent)</w:t>
      </w:r>
      <w:r>
        <w:t xml:space="preserve"> in</w:t>
      </w:r>
      <w:r w:rsidRPr="00605711">
        <w:t xml:space="preserve"> addition</w:t>
      </w:r>
      <w:r>
        <w:t>al annual revenue.</w:t>
      </w:r>
      <w:r w:rsidR="00520ACE">
        <w:rPr>
          <w:rStyle w:val="FootnoteReference"/>
        </w:rPr>
        <w:footnoteReference w:id="1"/>
      </w:r>
      <w:r w:rsidR="00820226" w:rsidRPr="00820226">
        <w:rPr>
          <w:rStyle w:val="FootnoteReference"/>
        </w:rPr>
        <w:t xml:space="preserve"> </w:t>
      </w:r>
      <w:r w:rsidR="00820226">
        <w:t>The Company</w:t>
      </w:r>
      <w:r w:rsidR="00203972">
        <w:t>’</w:t>
      </w:r>
      <w:r w:rsidR="00820226">
        <w:t>s request</w:t>
      </w:r>
      <w:r>
        <w:t xml:space="preserve"> was</w:t>
      </w:r>
      <w:r w:rsidRPr="00605711">
        <w:t xml:space="preserve"> prompted by</w:t>
      </w:r>
      <w:r>
        <w:t xml:space="preserve"> </w:t>
      </w:r>
      <w:r w:rsidR="00820226">
        <w:t>its</w:t>
      </w:r>
      <w:r>
        <w:t xml:space="preserve"> </w:t>
      </w:r>
      <w:r w:rsidR="00820226">
        <w:t>transition</w:t>
      </w:r>
      <w:r>
        <w:t xml:space="preserve"> to automated garbage collection, which required significant investment in new trucks and garbage containers. </w:t>
      </w:r>
      <w:r w:rsidR="00820226">
        <w:t>The Company</w:t>
      </w:r>
      <w:r w:rsidR="00203972">
        <w:t>’</w:t>
      </w:r>
      <w:r w:rsidR="00820226">
        <w:t xml:space="preserve">s filing includes a petition for exemption from portions of </w:t>
      </w:r>
      <w:r w:rsidR="00262D96">
        <w:t xml:space="preserve">the </w:t>
      </w:r>
      <w:r w:rsidR="00111DAE">
        <w:t>work paper</w:t>
      </w:r>
      <w:r w:rsidR="00262D96">
        <w:t xml:space="preserve"> filing requirements </w:t>
      </w:r>
      <w:r w:rsidR="000C5BD5">
        <w:t>of</w:t>
      </w:r>
      <w:r w:rsidR="00262D96">
        <w:t xml:space="preserve"> </w:t>
      </w:r>
      <w:r w:rsidR="00820226">
        <w:t xml:space="preserve">WAC 480-07-520(4) and WAC 480-07-520(5). </w:t>
      </w:r>
      <w:proofErr w:type="spellStart"/>
      <w:r w:rsidR="00820226">
        <w:t>Murrey</w:t>
      </w:r>
      <w:r w:rsidR="00203972">
        <w:t>’</w:t>
      </w:r>
      <w:r w:rsidR="00820226">
        <w:t>s</w:t>
      </w:r>
      <w:proofErr w:type="spellEnd"/>
      <w:r w:rsidR="00820226">
        <w:t xml:space="preserve"> and American</w:t>
      </w:r>
      <w:r w:rsidR="00820226" w:rsidRPr="00605711">
        <w:t xml:space="preserve"> </w:t>
      </w:r>
      <w:r w:rsidR="00820226">
        <w:t xml:space="preserve">serve approximately </w:t>
      </w:r>
      <w:r w:rsidR="00820226" w:rsidRPr="00EE16C6">
        <w:t>34,600</w:t>
      </w:r>
      <w:r w:rsidR="00820226">
        <w:t xml:space="preserve"> residential, multifamily, and commercial customers </w:t>
      </w:r>
      <w:r w:rsidR="00820226" w:rsidRPr="00605711">
        <w:t>in</w:t>
      </w:r>
      <w:r w:rsidR="00820226">
        <w:t xml:space="preserve"> Pierce County</w:t>
      </w:r>
      <w:r w:rsidR="00820226" w:rsidRPr="00605711">
        <w:t xml:space="preserve">. </w:t>
      </w:r>
      <w:r w:rsidR="00820226" w:rsidRPr="008807EB">
        <w:t>The Company</w:t>
      </w:r>
      <w:r w:rsidR="00203972">
        <w:t>’</w:t>
      </w:r>
      <w:r w:rsidR="00820226" w:rsidRPr="008807EB">
        <w:t xml:space="preserve">s last general rate increase became effective on </w:t>
      </w:r>
      <w:r w:rsidR="00820226" w:rsidRPr="0046006F">
        <w:rPr>
          <w:bCs/>
        </w:rPr>
        <w:t>June 1, 2016</w:t>
      </w:r>
      <w:r w:rsidR="00820226" w:rsidRPr="008807EB">
        <w:t>.</w:t>
      </w:r>
      <w:r w:rsidR="00262D96">
        <w:rPr>
          <w:rStyle w:val="FootnoteReference"/>
        </w:rPr>
        <w:footnoteReference w:id="2"/>
      </w:r>
      <w:r w:rsidR="00912475">
        <w:br/>
      </w:r>
    </w:p>
    <w:p w14:paraId="05184352" w14:textId="77777777" w:rsidR="00262D96" w:rsidRPr="00262D96" w:rsidRDefault="00262D96" w:rsidP="00262D96">
      <w:pPr>
        <w:spacing w:line="320" w:lineRule="exact"/>
        <w:rPr>
          <w:b/>
        </w:rPr>
      </w:pPr>
      <w:r>
        <w:rPr>
          <w:b/>
        </w:rPr>
        <w:lastRenderedPageBreak/>
        <w:t>Request for Exemption – Disposal Fee Increase</w:t>
      </w:r>
      <w:r>
        <w:rPr>
          <w:b/>
        </w:rPr>
        <w:br/>
      </w:r>
    </w:p>
    <w:p w14:paraId="05184353" w14:textId="5AB1A5AB" w:rsidR="00CA4FA9" w:rsidRDefault="00CA4FA9" w:rsidP="00262D96">
      <w:pPr>
        <w:numPr>
          <w:ilvl w:val="0"/>
          <w:numId w:val="9"/>
        </w:numPr>
        <w:spacing w:line="320" w:lineRule="exact"/>
      </w:pPr>
      <w:r w:rsidRPr="00262D96">
        <w:t xml:space="preserve">A disposal fee increase falls within the definition of a general rate increase pursuant to </w:t>
      </w:r>
      <w:r w:rsidRPr="00203972">
        <w:t>WAC 480-07-505</w:t>
      </w:r>
      <w:r w:rsidRPr="00262D96">
        <w:t xml:space="preserve">. </w:t>
      </w:r>
      <w:r w:rsidRPr="00203972">
        <w:t>WAC 480-07-520</w:t>
      </w:r>
      <w:r w:rsidRPr="00262D96">
        <w:t xml:space="preserve"> lists the minimum required information the Company must provide in a general rate increase filing. </w:t>
      </w:r>
      <w:r>
        <w:br/>
      </w:r>
    </w:p>
    <w:p w14:paraId="05184354" w14:textId="6ECDD0A6" w:rsidR="00262D96" w:rsidRDefault="00262D96" w:rsidP="00CA4FA9">
      <w:pPr>
        <w:numPr>
          <w:ilvl w:val="0"/>
          <w:numId w:val="9"/>
        </w:numPr>
        <w:spacing w:line="320" w:lineRule="exact"/>
      </w:pPr>
      <w:r>
        <w:t>On</w:t>
      </w:r>
      <w:r w:rsidRPr="008807EB">
        <w:t xml:space="preserve"> </w:t>
      </w:r>
      <w:r w:rsidRPr="0046006F">
        <w:rPr>
          <w:bCs/>
        </w:rPr>
        <w:t>March 1, 2017</w:t>
      </w:r>
      <w:r w:rsidRPr="008807EB">
        <w:t xml:space="preserve">, </w:t>
      </w:r>
      <w:r w:rsidRPr="0046006F">
        <w:rPr>
          <w:bCs/>
        </w:rPr>
        <w:t>Pierce County</w:t>
      </w:r>
      <w:r w:rsidRPr="008807EB">
        <w:t xml:space="preserve"> will increase disposal fees from $</w:t>
      </w:r>
      <w:r>
        <w:t>145.84</w:t>
      </w:r>
      <w:r w:rsidRPr="008807EB">
        <w:t xml:space="preserve"> per </w:t>
      </w:r>
      <w:r>
        <w:t xml:space="preserve">ton </w:t>
      </w:r>
      <w:r w:rsidRPr="008807EB">
        <w:t>to $</w:t>
      </w:r>
      <w:r>
        <w:t>153.48</w:t>
      </w:r>
      <w:r w:rsidRPr="008807EB">
        <w:t xml:space="preserve"> per </w:t>
      </w:r>
      <w:r>
        <w:t xml:space="preserve">ton </w:t>
      </w:r>
      <w:r w:rsidRPr="008807EB">
        <w:t xml:space="preserve">at the </w:t>
      </w:r>
      <w:r w:rsidRPr="0046006F">
        <w:rPr>
          <w:bCs/>
        </w:rPr>
        <w:t>LRI Landfill</w:t>
      </w:r>
      <w:r>
        <w:t>. </w:t>
      </w:r>
      <w:proofErr w:type="spellStart"/>
      <w:r w:rsidR="00195E16">
        <w:t>Murrey</w:t>
      </w:r>
      <w:r w:rsidR="00203972">
        <w:t>’</w:t>
      </w:r>
      <w:r w:rsidR="00195E16">
        <w:t>s</w:t>
      </w:r>
      <w:proofErr w:type="spellEnd"/>
      <w:r w:rsidR="00195E16">
        <w:t xml:space="preserve"> and American</w:t>
      </w:r>
      <w:r w:rsidRPr="00262D96">
        <w:t xml:space="preserve"> provided information </w:t>
      </w:r>
      <w:r w:rsidR="00195E16">
        <w:t>relevant</w:t>
      </w:r>
      <w:r w:rsidRPr="00262D96">
        <w:t xml:space="preserve"> to the disposal fee increase but did not provide the remainder of the i</w:t>
      </w:r>
      <w:r w:rsidR="00CA4FA9">
        <w:t>nformation required by the rule</w:t>
      </w:r>
      <w:r w:rsidR="003B52F3">
        <w:t>,</w:t>
      </w:r>
      <w:r w:rsidR="00CA4FA9">
        <w:t xml:space="preserve"> </w:t>
      </w:r>
      <w:r w:rsidR="00CA4FA9" w:rsidRPr="008807EB">
        <w:t>and request</w:t>
      </w:r>
      <w:r w:rsidR="00195E16">
        <w:t>s</w:t>
      </w:r>
      <w:r w:rsidR="00CA4FA9" w:rsidRPr="008807EB">
        <w:t xml:space="preserve"> an exemption from the work paper filing requirements of </w:t>
      </w:r>
      <w:r w:rsidR="00CA4FA9" w:rsidRPr="00465E83">
        <w:t>WAC 480-07-520</w:t>
      </w:r>
      <w:r w:rsidR="00CA4FA9" w:rsidRPr="008807EB">
        <w:rPr>
          <w:rStyle w:val="Hyperlink"/>
          <w:color w:val="auto"/>
        </w:rPr>
        <w:t>(4)</w:t>
      </w:r>
      <w:r w:rsidR="00CA4FA9" w:rsidRPr="008807EB">
        <w:t>.</w:t>
      </w:r>
      <w:r>
        <w:br/>
      </w:r>
    </w:p>
    <w:p w14:paraId="05184355" w14:textId="1CBCC4D7" w:rsidR="00262D96" w:rsidRPr="008807EB" w:rsidRDefault="00262D96" w:rsidP="00262D96">
      <w:pPr>
        <w:numPr>
          <w:ilvl w:val="0"/>
          <w:numId w:val="9"/>
        </w:numPr>
        <w:spacing w:line="320" w:lineRule="exact"/>
      </w:pPr>
      <w:r w:rsidRPr="00203972">
        <w:t>WAC 480-07-110</w:t>
      </w:r>
      <w:r w:rsidRPr="008807EB">
        <w:t xml:space="preserve"> allows the </w:t>
      </w:r>
      <w:r w:rsidR="00203972">
        <w:t>Commission</w:t>
      </w:r>
      <w:r w:rsidRPr="008807EB">
        <w:t xml:space="preserve"> to grant an exemption from or modify the application of its rules if consistent with the public interest, the purposes underlying regula</w:t>
      </w:r>
      <w:r>
        <w:t>tion, and applicable statutes.</w:t>
      </w:r>
      <w:r w:rsidR="00CA4FA9">
        <w:rPr>
          <w:rStyle w:val="FootnoteReference"/>
        </w:rPr>
        <w:footnoteReference w:id="3"/>
      </w:r>
    </w:p>
    <w:p w14:paraId="05184356" w14:textId="77777777" w:rsidR="00262D96" w:rsidRPr="008807EB" w:rsidRDefault="00262D96" w:rsidP="00262D96">
      <w:pPr>
        <w:pStyle w:val="ListParagraph"/>
      </w:pPr>
    </w:p>
    <w:p w14:paraId="05184357" w14:textId="2F153BDA" w:rsidR="00262D96" w:rsidRPr="008807EB" w:rsidRDefault="00203972" w:rsidP="00262D96">
      <w:pPr>
        <w:numPr>
          <w:ilvl w:val="0"/>
          <w:numId w:val="9"/>
        </w:numPr>
        <w:spacing w:line="320" w:lineRule="exact"/>
      </w:pPr>
      <w:r>
        <w:t>Staff</w:t>
      </w:r>
      <w:r w:rsidR="00262D96" w:rsidRPr="008807EB">
        <w:t xml:space="preserve"> reviewed the proposed tariff </w:t>
      </w:r>
      <w:r w:rsidR="00CA4FA9">
        <w:t>revision</w:t>
      </w:r>
      <w:r w:rsidR="00262D96" w:rsidRPr="008807EB">
        <w:t xml:space="preserve"> and recommends the </w:t>
      </w:r>
      <w:r>
        <w:t>Commission</w:t>
      </w:r>
      <w:r w:rsidR="00262D96" w:rsidRPr="008807EB">
        <w:t xml:space="preserve"> allow the tariff to become effective by operation of law</w:t>
      </w:r>
      <w:r w:rsidR="0051693F">
        <w:t xml:space="preserve">. </w:t>
      </w:r>
      <w:r>
        <w:t>Staff</w:t>
      </w:r>
      <w:r w:rsidR="0051693F">
        <w:t xml:space="preserve"> further recommends the </w:t>
      </w:r>
      <w:r>
        <w:t>Commission</w:t>
      </w:r>
      <w:r w:rsidR="00262D96" w:rsidRPr="008807EB">
        <w:t xml:space="preserve"> grant the Company an exemption from </w:t>
      </w:r>
      <w:r w:rsidR="00262D96" w:rsidRPr="00203972">
        <w:t>WAC 480-07-520</w:t>
      </w:r>
      <w:r w:rsidR="00195E16">
        <w:rPr>
          <w:rStyle w:val="Hyperlink"/>
          <w:color w:val="auto"/>
        </w:rPr>
        <w:t>(4)</w:t>
      </w:r>
      <w:r w:rsidR="00262D96" w:rsidRPr="008807EB">
        <w:t>, work paper filing requirements</w:t>
      </w:r>
      <w:r w:rsidR="003B52F3">
        <w:t xml:space="preserve">, </w:t>
      </w:r>
      <w:r w:rsidR="00262D96" w:rsidRPr="008807EB">
        <w:t>for the following reasons:</w:t>
      </w:r>
    </w:p>
    <w:p w14:paraId="05184358" w14:textId="77777777" w:rsidR="00262D96" w:rsidRPr="008807EB" w:rsidRDefault="00262D96" w:rsidP="00262D96">
      <w:pPr>
        <w:pStyle w:val="ListParagraph"/>
      </w:pPr>
    </w:p>
    <w:p w14:paraId="05184359" w14:textId="181AF874" w:rsidR="00262D96" w:rsidRPr="00262D96" w:rsidRDefault="00262D96" w:rsidP="00262D96">
      <w:pPr>
        <w:numPr>
          <w:ilvl w:val="0"/>
          <w:numId w:val="10"/>
        </w:numPr>
        <w:spacing w:line="320" w:lineRule="exact"/>
        <w:ind w:left="547" w:hanging="547"/>
      </w:pPr>
      <w:r w:rsidRPr="00262D96">
        <w:t xml:space="preserve">Any changes that occurred since the last rate </w:t>
      </w:r>
      <w:r w:rsidR="003B52F3">
        <w:t xml:space="preserve">increase </w:t>
      </w:r>
      <w:r w:rsidRPr="00262D96">
        <w:t xml:space="preserve">became effective on </w:t>
      </w:r>
      <w:r w:rsidRPr="00262D96">
        <w:rPr>
          <w:bCs/>
        </w:rPr>
        <w:t xml:space="preserve">June 1, 2016, were addressed in the general rate case </w:t>
      </w:r>
      <w:r w:rsidR="00195E16">
        <w:rPr>
          <w:bCs/>
        </w:rPr>
        <w:t xml:space="preserve">in </w:t>
      </w:r>
      <w:r w:rsidRPr="00262D96">
        <w:rPr>
          <w:bCs/>
        </w:rPr>
        <w:t>Dockets TG-170036 and TG-170037</w:t>
      </w:r>
      <w:r w:rsidRPr="00262D96">
        <w:t xml:space="preserve">. </w:t>
      </w:r>
    </w:p>
    <w:p w14:paraId="0518435A" w14:textId="77777777" w:rsidR="00262D96" w:rsidRPr="008807EB" w:rsidRDefault="00262D96" w:rsidP="00262D96">
      <w:pPr>
        <w:spacing w:line="320" w:lineRule="exact"/>
        <w:ind w:left="720"/>
      </w:pPr>
    </w:p>
    <w:p w14:paraId="0518435B" w14:textId="35710942" w:rsidR="00262D96" w:rsidRPr="008807EB" w:rsidRDefault="00262D96" w:rsidP="00262D96">
      <w:pPr>
        <w:numPr>
          <w:ilvl w:val="0"/>
          <w:numId w:val="10"/>
        </w:numPr>
        <w:spacing w:line="320" w:lineRule="exact"/>
        <w:ind w:left="547" w:hanging="547"/>
      </w:pPr>
      <w:r w:rsidRPr="008807EB">
        <w:t xml:space="preserve">The increased disposal fees are set by </w:t>
      </w:r>
      <w:r w:rsidRPr="0046006F">
        <w:rPr>
          <w:bCs/>
        </w:rPr>
        <w:t>Pierce County</w:t>
      </w:r>
      <w:r w:rsidRPr="008807EB">
        <w:t xml:space="preserve"> and are required as a part of the Company</w:t>
      </w:r>
      <w:r w:rsidR="00203972">
        <w:t>’</w:t>
      </w:r>
      <w:r w:rsidRPr="008807EB">
        <w:t>s operations.</w:t>
      </w:r>
    </w:p>
    <w:p w14:paraId="0518435C" w14:textId="77777777" w:rsidR="00262D96" w:rsidRPr="008807EB" w:rsidRDefault="00262D96" w:rsidP="00262D96">
      <w:pPr>
        <w:pStyle w:val="ListParagraph"/>
      </w:pPr>
    </w:p>
    <w:p w14:paraId="0518435D" w14:textId="71ED8896" w:rsidR="00262D96" w:rsidRPr="008807EB" w:rsidRDefault="00262D96" w:rsidP="00262D96">
      <w:pPr>
        <w:numPr>
          <w:ilvl w:val="0"/>
          <w:numId w:val="10"/>
        </w:numPr>
        <w:spacing w:line="320" w:lineRule="exact"/>
        <w:ind w:left="547" w:hanging="547"/>
      </w:pPr>
      <w:r w:rsidRPr="008807EB">
        <w:t>The Company</w:t>
      </w:r>
      <w:r w:rsidR="00203972">
        <w:t>’</w:t>
      </w:r>
      <w:r w:rsidRPr="008807EB">
        <w:t>s financial information supports the proposed revenue requirement and the proposed rates.</w:t>
      </w:r>
    </w:p>
    <w:p w14:paraId="0518435E" w14:textId="77777777" w:rsidR="00262D96" w:rsidRPr="008807EB" w:rsidRDefault="00262D96" w:rsidP="00262D96">
      <w:pPr>
        <w:pStyle w:val="ListParagraph"/>
      </w:pPr>
    </w:p>
    <w:p w14:paraId="0518435F" w14:textId="09A00673" w:rsidR="00262D96" w:rsidRDefault="00203972" w:rsidP="00262D96">
      <w:pPr>
        <w:numPr>
          <w:ilvl w:val="0"/>
          <w:numId w:val="10"/>
        </w:numPr>
        <w:spacing w:line="320" w:lineRule="exact"/>
        <w:ind w:left="547" w:hanging="547"/>
      </w:pPr>
      <w:r>
        <w:t>Staff</w:t>
      </w:r>
      <w:r w:rsidR="00262D96" w:rsidRPr="008807EB">
        <w:t xml:space="preserve"> concluded the proposed rate increase, by reason of the increase in disposal fees, is fair, just, and reasonable.</w:t>
      </w:r>
      <w:r w:rsidR="00262D96">
        <w:br/>
      </w:r>
    </w:p>
    <w:p w14:paraId="05184360" w14:textId="6547F22C" w:rsidR="00262D96" w:rsidRPr="00262D96" w:rsidRDefault="00203972" w:rsidP="00262D96">
      <w:pPr>
        <w:numPr>
          <w:ilvl w:val="0"/>
          <w:numId w:val="9"/>
        </w:numPr>
        <w:spacing w:line="320" w:lineRule="exact"/>
      </w:pPr>
      <w:r>
        <w:t>Staff</w:t>
      </w:r>
      <w:r w:rsidR="00262D96">
        <w:t xml:space="preserve"> recommends the </w:t>
      </w:r>
      <w:r>
        <w:t>Commission</w:t>
      </w:r>
      <w:r w:rsidR="00262D96">
        <w:t xml:space="preserve"> grant the Company</w:t>
      </w:r>
      <w:r>
        <w:t>’</w:t>
      </w:r>
      <w:r w:rsidR="00262D96">
        <w:t xml:space="preserve">s request for an exemption from the </w:t>
      </w:r>
      <w:r w:rsidR="00111DAE">
        <w:t>work paper</w:t>
      </w:r>
      <w:r w:rsidR="00262D96">
        <w:t xml:space="preserve"> filing requirements of WAC 480-07-520(4) as those requirements relate to the Company</w:t>
      </w:r>
      <w:r>
        <w:t>’</w:t>
      </w:r>
      <w:r w:rsidR="00262D96">
        <w:t>s</w:t>
      </w:r>
      <w:r w:rsidR="003B52F3">
        <w:t xml:space="preserve"> requested</w:t>
      </w:r>
      <w:r w:rsidR="00262D96">
        <w:t xml:space="preserve"> disposal fee increase.</w:t>
      </w:r>
    </w:p>
    <w:p w14:paraId="05184362" w14:textId="77777777" w:rsidR="00262D96" w:rsidRDefault="00262D96" w:rsidP="00262D96">
      <w:pPr>
        <w:spacing w:line="320" w:lineRule="exact"/>
      </w:pPr>
      <w:r>
        <w:rPr>
          <w:b/>
        </w:rPr>
        <w:t>Request for Exemption – General Rate Case Filings</w:t>
      </w:r>
    </w:p>
    <w:p w14:paraId="05184363" w14:textId="77777777" w:rsidR="00262D96" w:rsidRDefault="00262D96" w:rsidP="00262D96"/>
    <w:p w14:paraId="05184364" w14:textId="090932B6" w:rsidR="006D0354" w:rsidRDefault="003B52F3" w:rsidP="006D2BB9">
      <w:pPr>
        <w:numPr>
          <w:ilvl w:val="0"/>
          <w:numId w:val="9"/>
        </w:numPr>
        <w:spacing w:line="320" w:lineRule="exact"/>
      </w:pPr>
      <w:r>
        <w:t>In connection with its general rate case filings, t</w:t>
      </w:r>
      <w:r w:rsidR="009817C9">
        <w:t>he</w:t>
      </w:r>
      <w:r w:rsidR="006D2BB9" w:rsidRPr="006D2BB9">
        <w:t xml:space="preserve"> </w:t>
      </w:r>
      <w:r w:rsidR="009817C9">
        <w:t>C</w:t>
      </w:r>
      <w:r w:rsidR="006D2BB9" w:rsidRPr="006D2BB9">
        <w:t xml:space="preserve">ompany </w:t>
      </w:r>
      <w:r w:rsidR="00912475">
        <w:t xml:space="preserve">requests an exemption from certain portions of the </w:t>
      </w:r>
      <w:r w:rsidR="00203972">
        <w:t>Commission’</w:t>
      </w:r>
      <w:r w:rsidR="00912475">
        <w:t xml:space="preserve">s </w:t>
      </w:r>
      <w:r w:rsidR="00111DAE">
        <w:t>work paper</w:t>
      </w:r>
      <w:r w:rsidR="00912475">
        <w:t xml:space="preserve"> filing requirements </w:t>
      </w:r>
      <w:r w:rsidR="00262D96">
        <w:t xml:space="preserve">to allow the Company to </w:t>
      </w:r>
      <w:r w:rsidR="006D0354">
        <w:t xml:space="preserve">submit </w:t>
      </w:r>
      <w:r w:rsidR="00111DAE">
        <w:t>work papers</w:t>
      </w:r>
      <w:r w:rsidR="006D0354">
        <w:t xml:space="preserve"> for the tariff-filing entities rather than the certificate holder as a whole. The Company further requests that it not be required to resubmit various </w:t>
      </w:r>
      <w:r w:rsidR="00111DAE">
        <w:t>work papers</w:t>
      </w:r>
      <w:r w:rsidR="006D0354">
        <w:t xml:space="preserve"> and documentation filed in connection with the Company</w:t>
      </w:r>
      <w:r w:rsidR="00203972">
        <w:t>’</w:t>
      </w:r>
      <w:r w:rsidR="006D0354">
        <w:t>s 2016 gene</w:t>
      </w:r>
      <w:r w:rsidR="006D2BB9" w:rsidRPr="006D2BB9">
        <w:t xml:space="preserve">ral rate </w:t>
      </w:r>
      <w:r w:rsidR="006D0354">
        <w:t xml:space="preserve">case. </w:t>
      </w:r>
      <w:r w:rsidR="006D0354">
        <w:br/>
      </w:r>
    </w:p>
    <w:p w14:paraId="05184365" w14:textId="77777777" w:rsidR="006D2BB9" w:rsidRDefault="006D0354" w:rsidP="006D2BB9">
      <w:pPr>
        <w:numPr>
          <w:ilvl w:val="0"/>
          <w:numId w:val="9"/>
        </w:numPr>
        <w:spacing w:line="320" w:lineRule="exact"/>
      </w:pPr>
      <w:r>
        <w:t>The</w:t>
      </w:r>
      <w:r w:rsidR="006D2BB9" w:rsidRPr="006D2BB9">
        <w:t xml:space="preserve"> </w:t>
      </w:r>
      <w:r w:rsidR="009817C9">
        <w:t>C</w:t>
      </w:r>
      <w:r w:rsidR="006D2BB9" w:rsidRPr="006D2BB9">
        <w:t xml:space="preserve">ompany </w:t>
      </w:r>
      <w:r>
        <w:t xml:space="preserve">recently </w:t>
      </w:r>
      <w:r w:rsidR="009817C9">
        <w:t>purchased</w:t>
      </w:r>
      <w:r w:rsidR="006D2BB9" w:rsidRPr="006D2BB9">
        <w:t xml:space="preserve"> new trucks, containers, and equipment </w:t>
      </w:r>
      <w:r w:rsidR="003B52F3">
        <w:t>f</w:t>
      </w:r>
      <w:r>
        <w:t>or the purpose of</w:t>
      </w:r>
      <w:r w:rsidR="006D2BB9" w:rsidRPr="006D2BB9">
        <w:t xml:space="preserve"> automating its residential, multifamily, and commercial garbage </w:t>
      </w:r>
      <w:r>
        <w:t>collection</w:t>
      </w:r>
      <w:r w:rsidR="00912475">
        <w:t xml:space="preserve">. Accordingly, the Company proposes an </w:t>
      </w:r>
      <w:r w:rsidR="006D2BB9" w:rsidRPr="006D2BB9">
        <w:t xml:space="preserve">expedited rate filing using the same </w:t>
      </w:r>
      <w:r w:rsidR="009817C9">
        <w:t>financial information</w:t>
      </w:r>
      <w:r w:rsidR="006D2BB9" w:rsidRPr="006D2BB9">
        <w:t xml:space="preserve"> from </w:t>
      </w:r>
      <w:r w:rsidR="000C5BD5">
        <w:t>its</w:t>
      </w:r>
      <w:r w:rsidR="006D2BB9" w:rsidRPr="006D2BB9">
        <w:t xml:space="preserve"> </w:t>
      </w:r>
      <w:r w:rsidR="00912475">
        <w:t>2016 general</w:t>
      </w:r>
      <w:r w:rsidR="006D2BB9" w:rsidRPr="006D2BB9">
        <w:t xml:space="preserve"> rate case</w:t>
      </w:r>
      <w:r w:rsidR="003B52F3">
        <w:t>,</w:t>
      </w:r>
      <w:r w:rsidR="006D2BB9" w:rsidRPr="006D2BB9">
        <w:t xml:space="preserve"> but inclu</w:t>
      </w:r>
      <w:r w:rsidR="009817C9">
        <w:t>ding the new assets purchased</w:t>
      </w:r>
      <w:r w:rsidR="003B52F3">
        <w:t xml:space="preserve"> and</w:t>
      </w:r>
      <w:r w:rsidR="006D2BB9" w:rsidRPr="006D2BB9">
        <w:t xml:space="preserve"> a payroll increase for its automated drivers, and adjusting for the projected cost savings from </w:t>
      </w:r>
      <w:r>
        <w:t>its transition to</w:t>
      </w:r>
      <w:r w:rsidR="006D2BB9" w:rsidRPr="006D2BB9">
        <w:t xml:space="preserve"> automat</w:t>
      </w:r>
      <w:r>
        <w:t>ed collection</w:t>
      </w:r>
      <w:r w:rsidR="006D2BB9" w:rsidRPr="006D2BB9">
        <w:t>.</w:t>
      </w:r>
      <w:r w:rsidR="006D2BB9">
        <w:t xml:space="preserve"> </w:t>
      </w:r>
      <w:r>
        <w:br/>
      </w:r>
    </w:p>
    <w:p w14:paraId="05184366" w14:textId="1756F4AE" w:rsidR="006D0354" w:rsidRDefault="00203972" w:rsidP="006D2BB9">
      <w:pPr>
        <w:numPr>
          <w:ilvl w:val="0"/>
          <w:numId w:val="9"/>
        </w:numPr>
        <w:spacing w:line="320" w:lineRule="exact"/>
      </w:pPr>
      <w:r>
        <w:t>Staff</w:t>
      </w:r>
      <w:r w:rsidR="006D0354">
        <w:t xml:space="preserve"> recommends the </w:t>
      </w:r>
      <w:r>
        <w:t>Commission</w:t>
      </w:r>
      <w:r w:rsidR="006D0354">
        <w:t xml:space="preserve"> grant the Company</w:t>
      </w:r>
      <w:r>
        <w:t>’</w:t>
      </w:r>
      <w:r w:rsidR="006D0354">
        <w:t xml:space="preserve">s </w:t>
      </w:r>
      <w:r w:rsidR="003B52F3">
        <w:t>p</w:t>
      </w:r>
      <w:r w:rsidR="006D0354">
        <w:t xml:space="preserve">etition for exemption from the </w:t>
      </w:r>
      <w:r w:rsidR="00111DAE">
        <w:t>work paper</w:t>
      </w:r>
      <w:r w:rsidR="006D0354">
        <w:t xml:space="preserve"> filing requirements </w:t>
      </w:r>
      <w:r w:rsidR="005660A2">
        <w:t>of WAC 480-07-520(4) and WAC 480-07-520(5) as those requirements relate to the Company</w:t>
      </w:r>
      <w:r>
        <w:t>’</w:t>
      </w:r>
      <w:r w:rsidR="005660A2">
        <w:t>s general rate increase request</w:t>
      </w:r>
      <w:r w:rsidR="00BA0F09">
        <w:t>.</w:t>
      </w:r>
      <w:r w:rsidR="005660A2" w:rsidRPr="008807EB">
        <w:t xml:space="preserve"> </w:t>
      </w:r>
      <w:r w:rsidR="005660A2">
        <w:t>Between the Company</w:t>
      </w:r>
      <w:r>
        <w:t>’</w:t>
      </w:r>
      <w:r w:rsidR="005660A2">
        <w:t xml:space="preserve">s previous rate case filing and the updates made in these dockets, </w:t>
      </w:r>
      <w:r>
        <w:t>Staff</w:t>
      </w:r>
      <w:r w:rsidR="005660A2">
        <w:t xml:space="preserve"> finds that</w:t>
      </w:r>
      <w:r w:rsidR="005660A2" w:rsidRPr="008807EB">
        <w:t xml:space="preserve"> the Company has provided sufficient information to enable </w:t>
      </w:r>
      <w:r w:rsidR="005660A2">
        <w:t>it</w:t>
      </w:r>
      <w:r w:rsidR="005660A2" w:rsidRPr="008807EB">
        <w:t xml:space="preserve"> to </w:t>
      </w:r>
      <w:r w:rsidR="00BA0F09" w:rsidRPr="008807EB">
        <w:t xml:space="preserve">determine whether </w:t>
      </w:r>
      <w:r w:rsidR="00BA0F09">
        <w:t>the Company</w:t>
      </w:r>
      <w:r>
        <w:t>’</w:t>
      </w:r>
      <w:r w:rsidR="00BA0F09">
        <w:t>s</w:t>
      </w:r>
      <w:r w:rsidR="00BA0F09" w:rsidRPr="008807EB">
        <w:t xml:space="preserve"> proposed rate increase is fair, ju</w:t>
      </w:r>
      <w:r w:rsidR="00BA0F09">
        <w:t>st, reasonable, and sufficient.</w:t>
      </w:r>
    </w:p>
    <w:p w14:paraId="05184367" w14:textId="29F03B5B" w:rsidR="006D0354" w:rsidRPr="006D0354" w:rsidRDefault="006D0354" w:rsidP="006D0354">
      <w:pPr>
        <w:spacing w:line="320" w:lineRule="exact"/>
        <w:rPr>
          <w:b/>
        </w:rPr>
      </w:pPr>
      <w:r>
        <w:br/>
      </w:r>
      <w:r w:rsidR="00203972">
        <w:rPr>
          <w:b/>
        </w:rPr>
        <w:t>Staff</w:t>
      </w:r>
      <w:r>
        <w:rPr>
          <w:b/>
        </w:rPr>
        <w:t xml:space="preserve"> Recommendation</w:t>
      </w:r>
    </w:p>
    <w:p w14:paraId="05184368" w14:textId="77777777" w:rsidR="006D0354" w:rsidRDefault="006D0354" w:rsidP="006D0354">
      <w:pPr>
        <w:pStyle w:val="ListParagraph"/>
      </w:pPr>
    </w:p>
    <w:p w14:paraId="05184369" w14:textId="575009F4" w:rsidR="00BA0F09" w:rsidRDefault="00203972" w:rsidP="005660A2">
      <w:pPr>
        <w:pStyle w:val="ListParagraph"/>
        <w:numPr>
          <w:ilvl w:val="0"/>
          <w:numId w:val="9"/>
        </w:numPr>
        <w:spacing w:line="276" w:lineRule="auto"/>
      </w:pPr>
      <w:r>
        <w:t>Staff’</w:t>
      </w:r>
      <w:r w:rsidR="006D0354" w:rsidRPr="004E6A60">
        <w:t xml:space="preserve">s review found </w:t>
      </w:r>
      <w:r w:rsidR="003B52F3">
        <w:t xml:space="preserve">that </w:t>
      </w:r>
      <w:r w:rsidR="006D0354" w:rsidRPr="004E6A60">
        <w:t>the proposed</w:t>
      </w:r>
      <w:r w:rsidR="005660A2">
        <w:t xml:space="preserve"> general rate increase</w:t>
      </w:r>
      <w:r w:rsidR="006D0354" w:rsidRPr="004E6A60">
        <w:t xml:space="preserve"> would result in excessive revenue. </w:t>
      </w:r>
      <w:r>
        <w:t>Staff</w:t>
      </w:r>
      <w:r w:rsidR="005660A2">
        <w:t xml:space="preserve"> removed a Company-</w:t>
      </w:r>
      <w:r w:rsidR="006D0354">
        <w:t xml:space="preserve">proposed adjustment for a prospective loss of “extra” revenue from </w:t>
      </w:r>
      <w:r w:rsidR="003B52F3">
        <w:t>transitioning</w:t>
      </w:r>
      <w:r w:rsidR="006D0354">
        <w:t xml:space="preserve"> to automated carts. Additionally, </w:t>
      </w:r>
      <w:r>
        <w:t>Staff</w:t>
      </w:r>
      <w:r w:rsidR="006D0354">
        <w:t xml:space="preserve"> </w:t>
      </w:r>
      <w:r w:rsidR="003B52F3">
        <w:t>updated</w:t>
      </w:r>
      <w:r w:rsidR="006D0354">
        <w:t xml:space="preserve"> the depreciation expense and made an adjustment to the </w:t>
      </w:r>
      <w:r w:rsidR="005660A2">
        <w:t>C</w:t>
      </w:r>
      <w:r w:rsidR="006D0354">
        <w:t>ompany</w:t>
      </w:r>
      <w:r w:rsidR="005660A2">
        <w:t>-</w:t>
      </w:r>
      <w:r w:rsidR="006D0354">
        <w:t>proposed payroll expense.</w:t>
      </w:r>
      <w:r w:rsidR="00BA0F09">
        <w:br/>
      </w:r>
    </w:p>
    <w:p w14:paraId="0518436A" w14:textId="4AD41611" w:rsidR="00820226" w:rsidRPr="008807EB" w:rsidRDefault="006D0354" w:rsidP="005660A2">
      <w:pPr>
        <w:pStyle w:val="ListParagraph"/>
        <w:numPr>
          <w:ilvl w:val="0"/>
          <w:numId w:val="9"/>
        </w:numPr>
        <w:spacing w:line="276" w:lineRule="auto"/>
      </w:pPr>
      <w:r w:rsidRPr="00DB1865">
        <w:t xml:space="preserve">The </w:t>
      </w:r>
      <w:r w:rsidR="005660A2">
        <w:t xml:space="preserve">Company and </w:t>
      </w:r>
      <w:r w:rsidR="00203972">
        <w:t>Staff</w:t>
      </w:r>
      <w:r w:rsidRPr="00DB1865">
        <w:t xml:space="preserve"> have agreed </w:t>
      </w:r>
      <w:r w:rsidR="003B52F3">
        <w:t>to</w:t>
      </w:r>
      <w:r w:rsidRPr="00DB1865">
        <w:t xml:space="preserve"> a revised revenue requirement of approximately $</w:t>
      </w:r>
      <w:r>
        <w:t>1,026</w:t>
      </w:r>
      <w:r w:rsidRPr="00DB1865">
        <w:t>,</w:t>
      </w:r>
      <w:r>
        <w:t>720</w:t>
      </w:r>
      <w:r w:rsidRPr="00DB1865">
        <w:t xml:space="preserve"> (</w:t>
      </w:r>
      <w:r>
        <w:t>4.0</w:t>
      </w:r>
      <w:r w:rsidRPr="00DB1865">
        <w:t xml:space="preserve"> percent) additional annual revenue</w:t>
      </w:r>
      <w:r w:rsidR="005660A2">
        <w:t>, which includes both the general rate increase and disposal fee increase requests</w:t>
      </w:r>
      <w:r w:rsidRPr="00DB1865">
        <w:t xml:space="preserve">. On </w:t>
      </w:r>
      <w:r w:rsidRPr="00412C81">
        <w:t>February 15,</w:t>
      </w:r>
      <w:r w:rsidRPr="00DB1865">
        <w:t xml:space="preserve"> 2017, the </w:t>
      </w:r>
      <w:r w:rsidR="005660A2">
        <w:t>C</w:t>
      </w:r>
      <w:r w:rsidRPr="00DB1865">
        <w:t>ompany filed revised rate</w:t>
      </w:r>
      <w:r w:rsidR="005660A2">
        <w:t xml:space="preserve">s at </w:t>
      </w:r>
      <w:r w:rsidR="00203972">
        <w:t>Staff</w:t>
      </w:r>
      <w:r w:rsidR="005660A2">
        <w:t>-</w:t>
      </w:r>
      <w:r w:rsidRPr="00DB1865">
        <w:t>recommended levels.</w:t>
      </w:r>
      <w:r w:rsidR="005660A2">
        <w:t xml:space="preserve"> </w:t>
      </w:r>
      <w:r w:rsidR="00203972">
        <w:t>Staff</w:t>
      </w:r>
      <w:r>
        <w:t xml:space="preserve"> r</w:t>
      </w:r>
      <w:r w:rsidR="00820226">
        <w:t xml:space="preserve">ecommends the </w:t>
      </w:r>
      <w:r w:rsidR="00203972">
        <w:t>Commission</w:t>
      </w:r>
      <w:r w:rsidR="00820226">
        <w:t xml:space="preserve"> </w:t>
      </w:r>
      <w:r w:rsidR="00B65D50">
        <w:t>allow the</w:t>
      </w:r>
      <w:r w:rsidR="00820226">
        <w:t xml:space="preserve"> Company</w:t>
      </w:r>
      <w:r w:rsidR="00203972">
        <w:t>’</w:t>
      </w:r>
      <w:r w:rsidR="00B65D50">
        <w:t>s</w:t>
      </w:r>
      <w:r w:rsidR="00820226">
        <w:t xml:space="preserve"> </w:t>
      </w:r>
      <w:r w:rsidR="005660A2">
        <w:t xml:space="preserve">revised tariff </w:t>
      </w:r>
      <w:r w:rsidR="00B65D50">
        <w:t>revisions</w:t>
      </w:r>
      <w:r w:rsidR="003B52F3">
        <w:t xml:space="preserve"> −</w:t>
      </w:r>
      <w:r w:rsidR="00B65D50">
        <w:t xml:space="preserve"> which include </w:t>
      </w:r>
      <w:r w:rsidR="00765C23">
        <w:t>a general rate increase, a disposal fee increase, an</w:t>
      </w:r>
      <w:r w:rsidR="003B52F3">
        <w:t>d a commodity credit adjustment −</w:t>
      </w:r>
      <w:r w:rsidR="00765C23">
        <w:t xml:space="preserve"> to go into effect by operation of law</w:t>
      </w:r>
      <w:r w:rsidR="005660A2">
        <w:t>.</w:t>
      </w:r>
    </w:p>
    <w:p w14:paraId="0518436B" w14:textId="5AC103CD" w:rsidR="00203972" w:rsidRDefault="00203972">
      <w:r>
        <w:br w:type="page"/>
      </w:r>
    </w:p>
    <w:p w14:paraId="0518436C" w14:textId="77777777" w:rsidR="005F7158" w:rsidRPr="008807EB" w:rsidRDefault="005F7158" w:rsidP="005F7158">
      <w:pPr>
        <w:spacing w:line="320" w:lineRule="exact"/>
        <w:jc w:val="center"/>
        <w:rPr>
          <w:b/>
        </w:rPr>
      </w:pPr>
      <w:r w:rsidRPr="008807EB">
        <w:rPr>
          <w:b/>
        </w:rPr>
        <w:lastRenderedPageBreak/>
        <w:t>DISCUSSION</w:t>
      </w:r>
    </w:p>
    <w:p w14:paraId="0518436D" w14:textId="77777777" w:rsidR="005F7158" w:rsidRPr="008807EB" w:rsidRDefault="005F7158" w:rsidP="005F7158">
      <w:pPr>
        <w:spacing w:line="320" w:lineRule="exact"/>
        <w:jc w:val="center"/>
        <w:rPr>
          <w:b/>
        </w:rPr>
      </w:pPr>
    </w:p>
    <w:p w14:paraId="0518436E" w14:textId="1781151B" w:rsidR="003B52F3" w:rsidRDefault="005F7158" w:rsidP="003B52F3">
      <w:pPr>
        <w:numPr>
          <w:ilvl w:val="0"/>
          <w:numId w:val="9"/>
        </w:numPr>
        <w:spacing w:line="320" w:lineRule="exact"/>
      </w:pPr>
      <w:r w:rsidRPr="008807EB">
        <w:t xml:space="preserve">The </w:t>
      </w:r>
      <w:r w:rsidR="00203972">
        <w:t>Commission</w:t>
      </w:r>
      <w:r w:rsidRPr="008807EB">
        <w:t xml:space="preserve"> concu</w:t>
      </w:r>
      <w:r w:rsidR="00A12D32">
        <w:t xml:space="preserve">rs with </w:t>
      </w:r>
      <w:r w:rsidR="00203972">
        <w:t>Staff’</w:t>
      </w:r>
      <w:r w:rsidR="00A12D32">
        <w:t>s recommendation</w:t>
      </w:r>
      <w:r w:rsidR="00C72DD5">
        <w:t xml:space="preserve"> and grants the Company</w:t>
      </w:r>
      <w:r w:rsidR="00203972">
        <w:t>’</w:t>
      </w:r>
      <w:r w:rsidR="003B52F3">
        <w:t>s p</w:t>
      </w:r>
      <w:r w:rsidR="00C72DD5">
        <w:t>etition</w:t>
      </w:r>
      <w:r w:rsidR="003B52F3">
        <w:t>s</w:t>
      </w:r>
      <w:r w:rsidR="00C72DD5">
        <w:t xml:space="preserve"> for exemptions from the </w:t>
      </w:r>
      <w:r w:rsidR="00111DAE">
        <w:t>work paper</w:t>
      </w:r>
      <w:r w:rsidR="00C72DD5">
        <w:t xml:space="preserve"> filing requirements related to both its general rate case filing and its disposal fee increase request</w:t>
      </w:r>
      <w:r w:rsidR="00A12D32">
        <w:t>.</w:t>
      </w:r>
      <w:r w:rsidRPr="008807EB">
        <w:t xml:space="preserve"> The purpose of the work paper filing requirements in </w:t>
      </w:r>
      <w:r w:rsidRPr="00203972">
        <w:t>WAC 480-07-520</w:t>
      </w:r>
      <w:r w:rsidR="00C72DD5">
        <w:rPr>
          <w:rStyle w:val="Hyperlink"/>
          <w:color w:val="auto"/>
        </w:rPr>
        <w:t xml:space="preserve"> </w:t>
      </w:r>
      <w:r w:rsidRPr="008807EB">
        <w:t xml:space="preserve">is to provide the </w:t>
      </w:r>
      <w:r w:rsidR="00203972">
        <w:t>Commission</w:t>
      </w:r>
      <w:r w:rsidRPr="008807EB">
        <w:t xml:space="preserve"> with information to determine whether a proposed rate increase is fair, ju</w:t>
      </w:r>
      <w:r w:rsidR="00A12D32">
        <w:t>st, reasonable, and sufficient.</w:t>
      </w:r>
      <w:r w:rsidRPr="008807EB">
        <w:t xml:space="preserve"> Here, the Company has provided </w:t>
      </w:r>
      <w:r w:rsidR="00111DAE" w:rsidRPr="008807EB">
        <w:t>adequate</w:t>
      </w:r>
      <w:r w:rsidRPr="008807EB">
        <w:t xml:space="preserve"> information to enable the </w:t>
      </w:r>
      <w:r w:rsidR="00203972">
        <w:t>Commission</w:t>
      </w:r>
      <w:r w:rsidRPr="008807EB">
        <w:t xml:space="preserve"> to make that determination</w:t>
      </w:r>
      <w:r w:rsidR="005660A2">
        <w:t xml:space="preserve">. Moreover, because the Company filed all required </w:t>
      </w:r>
      <w:r w:rsidR="00111DAE">
        <w:t>work papers</w:t>
      </w:r>
      <w:r w:rsidR="005660A2">
        <w:t xml:space="preserve"> in connection with its 2016 gen</w:t>
      </w:r>
      <w:r w:rsidR="003B52F3">
        <w:t>e</w:t>
      </w:r>
      <w:r w:rsidR="005660A2">
        <w:t xml:space="preserve">ral rate case, </w:t>
      </w:r>
      <w:r w:rsidR="00BA0F09">
        <w:t xml:space="preserve">requiring the Company to </w:t>
      </w:r>
      <w:r w:rsidR="00C72DD5">
        <w:t>resubmit</w:t>
      </w:r>
      <w:r w:rsidR="00BA0F09">
        <w:t xml:space="preserve"> that</w:t>
      </w:r>
      <w:r w:rsidRPr="008807EB">
        <w:t xml:space="preserve"> information would be unne</w:t>
      </w:r>
      <w:r w:rsidR="00A12D32">
        <w:t xml:space="preserve">cessary and unduly burdensome. </w:t>
      </w:r>
      <w:r w:rsidR="00C72DD5">
        <w:t xml:space="preserve">As </w:t>
      </w:r>
      <w:r w:rsidR="00203972">
        <w:t>Staff</w:t>
      </w:r>
      <w:r w:rsidR="00C72DD5">
        <w:t xml:space="preserve"> notes, </w:t>
      </w:r>
      <w:r w:rsidR="003B52F3">
        <w:t xml:space="preserve">the Company provided </w:t>
      </w:r>
      <w:r w:rsidR="00C72DD5">
        <w:t>all of the informat</w:t>
      </w:r>
      <w:r w:rsidR="003B52F3">
        <w:t xml:space="preserve">ion necessary for </w:t>
      </w:r>
      <w:r w:rsidR="00203972">
        <w:t>Staff</w:t>
      </w:r>
      <w:r w:rsidR="003B52F3">
        <w:t xml:space="preserve"> to conduct its analysis and make its</w:t>
      </w:r>
      <w:r w:rsidR="00C72DD5">
        <w:t xml:space="preserve"> </w:t>
      </w:r>
      <w:r w:rsidR="003B52F3">
        <w:t>final recommendation</w:t>
      </w:r>
      <w:r w:rsidR="00C72DD5">
        <w:t xml:space="preserve">. </w:t>
      </w:r>
      <w:r w:rsidRPr="008807EB">
        <w:t>Accordingly, an exemption from this requirement is consistent with the public interest and the purposes underlying the rule</w:t>
      </w:r>
      <w:r w:rsidR="003B52F3">
        <w:t>,</w:t>
      </w:r>
      <w:r w:rsidRPr="008807EB">
        <w:t xml:space="preserve"> and should be granted.</w:t>
      </w:r>
      <w:r w:rsidR="00C72DD5">
        <w:t xml:space="preserve"> </w:t>
      </w:r>
      <w:r w:rsidR="003B52F3">
        <w:br/>
      </w:r>
    </w:p>
    <w:p w14:paraId="0518436F" w14:textId="205E6298" w:rsidR="005F7158" w:rsidRPr="008807EB" w:rsidRDefault="003B52F3" w:rsidP="003B52F3">
      <w:pPr>
        <w:numPr>
          <w:ilvl w:val="0"/>
          <w:numId w:val="9"/>
        </w:numPr>
        <w:spacing w:line="320" w:lineRule="exact"/>
      </w:pPr>
      <w:r>
        <w:t xml:space="preserve">The </w:t>
      </w:r>
      <w:r w:rsidR="00203972">
        <w:t>Commission</w:t>
      </w:r>
      <w:r>
        <w:t xml:space="preserve"> also agrees with </w:t>
      </w:r>
      <w:r w:rsidR="00203972">
        <w:t>Staff’</w:t>
      </w:r>
      <w:r>
        <w:t xml:space="preserve">s conclusion that the revised rates are fair, just, reasonable, and sufficient. </w:t>
      </w:r>
      <w:r w:rsidR="00C72DD5">
        <w:t xml:space="preserve">The </w:t>
      </w:r>
      <w:r w:rsidR="00203972">
        <w:t>Commission</w:t>
      </w:r>
      <w:r w:rsidR="00C72DD5">
        <w:t xml:space="preserve"> will </w:t>
      </w:r>
      <w:r>
        <w:t xml:space="preserve">therefore </w:t>
      </w:r>
      <w:r w:rsidR="00C72DD5">
        <w:t>allow the Company</w:t>
      </w:r>
      <w:r w:rsidR="00203972">
        <w:t>’</w:t>
      </w:r>
      <w:r w:rsidR="00C72DD5">
        <w:t>s proposed tariff filing, as revised on February 15, 2017, to go into effect by operation of law on March 1, 2017.</w:t>
      </w:r>
    </w:p>
    <w:p w14:paraId="05184370" w14:textId="77777777" w:rsidR="006D42FF" w:rsidRPr="008807EB" w:rsidRDefault="006D42FF" w:rsidP="006D42FF">
      <w:pPr>
        <w:pStyle w:val="ListParagraph"/>
      </w:pPr>
    </w:p>
    <w:p w14:paraId="05184371" w14:textId="77777777" w:rsidR="008D0629" w:rsidRPr="008807EB" w:rsidRDefault="008D0629" w:rsidP="008D0629">
      <w:pPr>
        <w:spacing w:line="320" w:lineRule="exact"/>
        <w:jc w:val="center"/>
        <w:rPr>
          <w:b/>
        </w:rPr>
      </w:pPr>
      <w:r w:rsidRPr="008807EB">
        <w:rPr>
          <w:b/>
        </w:rPr>
        <w:t>FINDINGS AND CONCLUSIONS</w:t>
      </w:r>
    </w:p>
    <w:p w14:paraId="05184372" w14:textId="77777777" w:rsidR="008D0629" w:rsidRPr="008807EB" w:rsidRDefault="008D0629" w:rsidP="008D0629">
      <w:pPr>
        <w:spacing w:line="320" w:lineRule="exact"/>
        <w:ind w:left="-720"/>
        <w:rPr>
          <w:b/>
        </w:rPr>
      </w:pPr>
    </w:p>
    <w:p w14:paraId="05184373" w14:textId="75D491B5" w:rsidR="00BA4229" w:rsidRPr="008807EB" w:rsidRDefault="00652118" w:rsidP="00BA4229">
      <w:pPr>
        <w:numPr>
          <w:ilvl w:val="0"/>
          <w:numId w:val="9"/>
        </w:numPr>
        <w:spacing w:line="320" w:lineRule="exact"/>
        <w:ind w:left="720" w:hanging="1440"/>
      </w:pPr>
      <w:r w:rsidRPr="008807EB">
        <w:t>(1)</w:t>
      </w:r>
      <w:r w:rsidRPr="008807EB">
        <w:tab/>
        <w:t xml:space="preserve">The </w:t>
      </w:r>
      <w:r w:rsidR="00203972">
        <w:t>Commission</w:t>
      </w:r>
      <w:r w:rsidRPr="008807EB">
        <w:t xml:space="preserve"> is an agency of the </w:t>
      </w:r>
      <w:r w:rsidR="00883A7C" w:rsidRPr="008807EB">
        <w:t>S</w:t>
      </w:r>
      <w:r w:rsidRPr="008807EB">
        <w:t xml:space="preserve">tate of Washington vested by statute with the authority to regulate </w:t>
      </w:r>
      <w:r w:rsidR="00AD1A63" w:rsidRPr="008807EB">
        <w:t xml:space="preserve">the </w:t>
      </w:r>
      <w:r w:rsidR="00B94A17" w:rsidRPr="008807EB">
        <w:t xml:space="preserve">rates, rules, regulations, practices, </w:t>
      </w:r>
      <w:r w:rsidR="005F7158" w:rsidRPr="008807EB">
        <w:t xml:space="preserve">and </w:t>
      </w:r>
      <w:r w:rsidR="00B94A17" w:rsidRPr="008807EB">
        <w:t xml:space="preserve">accounts of </w:t>
      </w:r>
      <w:r w:rsidRPr="008807EB">
        <w:t>public service companies, i</w:t>
      </w:r>
      <w:r w:rsidR="00A12D32">
        <w:t>ncluding solid waste companies.</w:t>
      </w:r>
      <w:r w:rsidRPr="008807EB">
        <w:t xml:space="preserve"> </w:t>
      </w:r>
    </w:p>
    <w:p w14:paraId="05184374" w14:textId="77777777" w:rsidR="00BA4229" w:rsidRPr="008807EB" w:rsidRDefault="00BA4229" w:rsidP="00BA4229">
      <w:pPr>
        <w:spacing w:line="320" w:lineRule="exact"/>
        <w:ind w:left="720"/>
      </w:pPr>
    </w:p>
    <w:p w14:paraId="05184375" w14:textId="0D017F65" w:rsidR="006D42FF" w:rsidRPr="008807EB" w:rsidRDefault="00BA4229" w:rsidP="00BA4229">
      <w:pPr>
        <w:numPr>
          <w:ilvl w:val="0"/>
          <w:numId w:val="9"/>
        </w:numPr>
        <w:spacing w:line="320" w:lineRule="exact"/>
        <w:ind w:left="720" w:hanging="1440"/>
      </w:pPr>
      <w:r w:rsidRPr="008807EB">
        <w:t>(2)</w:t>
      </w:r>
      <w:r w:rsidRPr="008807EB">
        <w:tab/>
      </w:r>
      <w:proofErr w:type="spellStart"/>
      <w:r w:rsidR="009817C9">
        <w:t>Murrey</w:t>
      </w:r>
      <w:r w:rsidR="00203972">
        <w:t>’</w:t>
      </w:r>
      <w:r w:rsidR="009817C9">
        <w:t>s</w:t>
      </w:r>
      <w:proofErr w:type="spellEnd"/>
      <w:r w:rsidR="009817C9">
        <w:t xml:space="preserve"> and American</w:t>
      </w:r>
      <w:r w:rsidR="004D534B" w:rsidRPr="008807EB">
        <w:t xml:space="preserve"> </w:t>
      </w:r>
      <w:r w:rsidR="00652118" w:rsidRPr="008807EB">
        <w:t xml:space="preserve">is </w:t>
      </w:r>
      <w:r w:rsidR="006D42FF" w:rsidRPr="008807EB">
        <w:t xml:space="preserve">engaged in the business of providing solid waste services within the state of Washington and is a public service company subject to </w:t>
      </w:r>
      <w:r w:rsidR="00203972">
        <w:t>Commission</w:t>
      </w:r>
      <w:r w:rsidR="006D42FF" w:rsidRPr="008807EB">
        <w:t xml:space="preserve"> jurisdiction. </w:t>
      </w:r>
    </w:p>
    <w:p w14:paraId="05184376" w14:textId="77777777" w:rsidR="006D42FF" w:rsidRPr="008807EB" w:rsidRDefault="006D42FF" w:rsidP="006D42FF">
      <w:pPr>
        <w:spacing w:line="320" w:lineRule="exact"/>
        <w:ind w:left="720"/>
        <w:rPr>
          <w:i/>
        </w:rPr>
      </w:pPr>
    </w:p>
    <w:p w14:paraId="05184377" w14:textId="02E4D2A1" w:rsidR="00BA0F09" w:rsidRPr="00BA0F09" w:rsidRDefault="00BA4229" w:rsidP="000B5335">
      <w:pPr>
        <w:numPr>
          <w:ilvl w:val="0"/>
          <w:numId w:val="9"/>
        </w:numPr>
        <w:spacing w:line="320" w:lineRule="exact"/>
        <w:ind w:left="720" w:hanging="1440"/>
        <w:rPr>
          <w:rStyle w:val="Hyperlink"/>
          <w:i/>
          <w:color w:val="auto"/>
        </w:rPr>
      </w:pPr>
      <w:r w:rsidRPr="008807EB">
        <w:t>(3)</w:t>
      </w:r>
      <w:r w:rsidRPr="008807EB">
        <w:tab/>
      </w:r>
      <w:proofErr w:type="spellStart"/>
      <w:r w:rsidR="009817C9">
        <w:t>Murrey</w:t>
      </w:r>
      <w:r w:rsidR="00203972">
        <w:t>’</w:t>
      </w:r>
      <w:r w:rsidR="009817C9">
        <w:t>s</w:t>
      </w:r>
      <w:proofErr w:type="spellEnd"/>
      <w:r w:rsidR="009817C9">
        <w:t xml:space="preserve"> and American</w:t>
      </w:r>
      <w:r w:rsidR="009817C9" w:rsidRPr="008807EB">
        <w:t xml:space="preserve"> </w:t>
      </w:r>
      <w:r w:rsidR="00652118" w:rsidRPr="008807EB">
        <w:t xml:space="preserve">is subject to </w:t>
      </w:r>
      <w:r w:rsidR="006D42FF" w:rsidRPr="008807EB">
        <w:t xml:space="preserve">the filing requirements of </w:t>
      </w:r>
      <w:r w:rsidR="00361586" w:rsidRPr="00203972">
        <w:t>WAC 480-07</w:t>
      </w:r>
      <w:r w:rsidR="00652118" w:rsidRPr="00203972">
        <w:t>-</w:t>
      </w:r>
      <w:r w:rsidR="00361586" w:rsidRPr="00203972">
        <w:t>520</w:t>
      </w:r>
      <w:r w:rsidR="00522C0F" w:rsidRPr="008807EB">
        <w:t xml:space="preserve"> </w:t>
      </w:r>
      <w:r w:rsidR="00A33DD2" w:rsidRPr="008807EB">
        <w:t>for ge</w:t>
      </w:r>
      <w:r w:rsidR="00A12D32">
        <w:t xml:space="preserve">neral rate increase proposals. </w:t>
      </w:r>
      <w:r w:rsidR="00A33DD2" w:rsidRPr="008807EB">
        <w:t xml:space="preserve">The Company requested an exemption from </w:t>
      </w:r>
      <w:r w:rsidR="00A33DD2" w:rsidRPr="00203972">
        <w:t>WAC 480-07-520</w:t>
      </w:r>
      <w:r w:rsidR="00BA0F09">
        <w:rPr>
          <w:rStyle w:val="Hyperlink"/>
          <w:color w:val="auto"/>
        </w:rPr>
        <w:t>(4)</w:t>
      </w:r>
      <w:r w:rsidR="00B65D50">
        <w:rPr>
          <w:rStyle w:val="Hyperlink"/>
          <w:color w:val="auto"/>
        </w:rPr>
        <w:t xml:space="preserve"> </w:t>
      </w:r>
      <w:r w:rsidR="00791DA8" w:rsidRPr="008807EB">
        <w:t>and</w:t>
      </w:r>
      <w:r w:rsidR="00791DA8" w:rsidRPr="008807EB">
        <w:rPr>
          <w:rStyle w:val="Hyperlink"/>
          <w:color w:val="auto"/>
        </w:rPr>
        <w:t xml:space="preserve"> </w:t>
      </w:r>
      <w:r w:rsidR="00791DA8" w:rsidRPr="008807EB">
        <w:t xml:space="preserve">did not file </w:t>
      </w:r>
      <w:r w:rsidR="00BA0F09">
        <w:t>required</w:t>
      </w:r>
      <w:r w:rsidR="00791DA8" w:rsidRPr="008807EB">
        <w:t xml:space="preserve"> work papers </w:t>
      </w:r>
      <w:r w:rsidR="00BA0F09">
        <w:t>in</w:t>
      </w:r>
      <w:r w:rsidR="00B65D50">
        <w:rPr>
          <w:rStyle w:val="Hyperlink"/>
          <w:color w:val="auto"/>
        </w:rPr>
        <w:t xml:space="preserve"> connection with </w:t>
      </w:r>
      <w:r w:rsidR="00111DAE">
        <w:rPr>
          <w:rStyle w:val="Hyperlink"/>
          <w:color w:val="auto"/>
        </w:rPr>
        <w:t>its disposal fee increase request</w:t>
      </w:r>
      <w:r w:rsidR="00B65D50">
        <w:rPr>
          <w:rStyle w:val="Hyperlink"/>
          <w:color w:val="auto"/>
        </w:rPr>
        <w:t xml:space="preserve">. </w:t>
      </w:r>
    </w:p>
    <w:p w14:paraId="05184378" w14:textId="77777777" w:rsidR="00BA0F09" w:rsidRDefault="00BA0F09" w:rsidP="00BA0F09">
      <w:pPr>
        <w:pStyle w:val="ListParagraph"/>
        <w:rPr>
          <w:rStyle w:val="Hyperlink"/>
          <w:color w:val="auto"/>
        </w:rPr>
      </w:pPr>
    </w:p>
    <w:p w14:paraId="05184379" w14:textId="1EDF221C" w:rsidR="00652118" w:rsidRPr="008807EB" w:rsidRDefault="00BA0F09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rPr>
          <w:rStyle w:val="Hyperlink"/>
          <w:color w:val="auto"/>
        </w:rPr>
        <w:t>(4)</w:t>
      </w:r>
      <w:r>
        <w:rPr>
          <w:rStyle w:val="Hyperlink"/>
          <w:color w:val="auto"/>
        </w:rPr>
        <w:tab/>
      </w:r>
      <w:proofErr w:type="spellStart"/>
      <w:r>
        <w:t>Murrey</w:t>
      </w:r>
      <w:r w:rsidR="00203972">
        <w:t>’</w:t>
      </w:r>
      <w:r>
        <w:t>s</w:t>
      </w:r>
      <w:proofErr w:type="spellEnd"/>
      <w:r>
        <w:t xml:space="preserve"> and American</w:t>
      </w:r>
      <w:r w:rsidRPr="008807EB">
        <w:t xml:space="preserve"> </w:t>
      </w:r>
      <w:r>
        <w:rPr>
          <w:rStyle w:val="Hyperlink"/>
          <w:color w:val="auto"/>
        </w:rPr>
        <w:t xml:space="preserve">also requested an exemption from </w:t>
      </w:r>
      <w:r w:rsidRPr="00203972">
        <w:t>WAC 480-07-520</w:t>
      </w:r>
      <w:r>
        <w:rPr>
          <w:rStyle w:val="Hyperlink"/>
          <w:color w:val="auto"/>
        </w:rPr>
        <w:t xml:space="preserve">(4) and </w:t>
      </w:r>
      <w:r w:rsidRPr="00203972">
        <w:t>WAC 480-07-520</w:t>
      </w:r>
      <w:r>
        <w:rPr>
          <w:rStyle w:val="Hyperlink"/>
          <w:color w:val="auto"/>
        </w:rPr>
        <w:t xml:space="preserve">(5) in connection with its request for a general rate increase because </w:t>
      </w:r>
      <w:r w:rsidR="00111DAE">
        <w:rPr>
          <w:rStyle w:val="Hyperlink"/>
          <w:color w:val="auto"/>
        </w:rPr>
        <w:t>the required</w:t>
      </w:r>
      <w:r w:rsidR="00B65D50">
        <w:rPr>
          <w:rStyle w:val="Hyperlink"/>
          <w:color w:val="auto"/>
        </w:rPr>
        <w:t xml:space="preserve"> work papers were </w:t>
      </w:r>
      <w:r>
        <w:rPr>
          <w:rStyle w:val="Hyperlink"/>
          <w:color w:val="auto"/>
        </w:rPr>
        <w:t xml:space="preserve">previously </w:t>
      </w:r>
      <w:r w:rsidR="00B65D50">
        <w:rPr>
          <w:rStyle w:val="Hyperlink"/>
          <w:color w:val="auto"/>
        </w:rPr>
        <w:t xml:space="preserve">submitted in </w:t>
      </w:r>
      <w:r w:rsidR="00111DAE">
        <w:rPr>
          <w:rStyle w:val="Hyperlink"/>
          <w:color w:val="auto"/>
        </w:rPr>
        <w:t xml:space="preserve">connection with </w:t>
      </w:r>
      <w:r w:rsidR="00B65D50">
        <w:rPr>
          <w:rStyle w:val="Hyperlink"/>
          <w:color w:val="auto"/>
        </w:rPr>
        <w:lastRenderedPageBreak/>
        <w:t>the Company</w:t>
      </w:r>
      <w:r w:rsidR="00203972">
        <w:rPr>
          <w:rStyle w:val="Hyperlink"/>
          <w:color w:val="auto"/>
        </w:rPr>
        <w:t>’</w:t>
      </w:r>
      <w:r w:rsidR="00B65D50">
        <w:rPr>
          <w:rStyle w:val="Hyperlink"/>
          <w:color w:val="auto"/>
        </w:rPr>
        <w:t>s 2016 general rate case</w:t>
      </w:r>
      <w:r>
        <w:rPr>
          <w:rStyle w:val="Hyperlink"/>
          <w:color w:val="auto"/>
        </w:rPr>
        <w:t>. In addition, the Company filed work papers specific to the tariff-filing entity rather than the certificate holder as a whole.</w:t>
      </w:r>
      <w:r w:rsidR="00111DAE">
        <w:rPr>
          <w:rStyle w:val="Hyperlink"/>
          <w:color w:val="auto"/>
        </w:rPr>
        <w:t xml:space="preserve"> </w:t>
      </w:r>
    </w:p>
    <w:p w14:paraId="0518437A" w14:textId="77777777" w:rsidR="00A33DD2" w:rsidRPr="008807EB" w:rsidRDefault="00A33DD2" w:rsidP="00A33DD2">
      <w:pPr>
        <w:pStyle w:val="ListParagraph"/>
      </w:pPr>
    </w:p>
    <w:p w14:paraId="0518437B" w14:textId="299E6461" w:rsidR="00652118" w:rsidRPr="008807EB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t>(</w:t>
      </w:r>
      <w:r w:rsidR="00CD6603" w:rsidRPr="008807EB">
        <w:t>4</w:t>
      </w:r>
      <w:r w:rsidRPr="008807EB">
        <w:t>)</w:t>
      </w:r>
      <w:r w:rsidRPr="008807EB">
        <w:tab/>
        <w:t xml:space="preserve">This matter </w:t>
      </w:r>
      <w:r w:rsidR="00B94A17" w:rsidRPr="008807EB">
        <w:t>came</w:t>
      </w:r>
      <w:r w:rsidRPr="008807EB">
        <w:t xml:space="preserve"> before the </w:t>
      </w:r>
      <w:r w:rsidR="00203972">
        <w:t>Commission</w:t>
      </w:r>
      <w:r w:rsidRPr="008807EB">
        <w:t xml:space="preserve"> at its regularly scheduled meeting on</w:t>
      </w:r>
      <w:r w:rsidR="006F2147" w:rsidRPr="008807EB">
        <w:t xml:space="preserve"> </w:t>
      </w:r>
      <w:r w:rsidR="0046006F">
        <w:t>February 23, 2017</w:t>
      </w:r>
      <w:r w:rsidR="006707AC" w:rsidRPr="008807EB">
        <w:t>.</w:t>
      </w:r>
    </w:p>
    <w:p w14:paraId="0518437C" w14:textId="77777777" w:rsidR="00652118" w:rsidRPr="008807EB" w:rsidRDefault="00652118" w:rsidP="000B5335">
      <w:pPr>
        <w:spacing w:line="320" w:lineRule="exact"/>
        <w:rPr>
          <w:i/>
        </w:rPr>
      </w:pPr>
    </w:p>
    <w:p w14:paraId="0518437D" w14:textId="69E37DC2" w:rsidR="00D3706A" w:rsidRPr="008807EB" w:rsidRDefault="00652118" w:rsidP="00D3706A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t>(</w:t>
      </w:r>
      <w:r w:rsidR="00CD6603" w:rsidRPr="008807EB">
        <w:t>5</w:t>
      </w:r>
      <w:r w:rsidRPr="008807EB">
        <w:t>)</w:t>
      </w:r>
      <w:r w:rsidRPr="008807EB">
        <w:tab/>
      </w:r>
      <w:r w:rsidR="00CD6603" w:rsidRPr="008807EB">
        <w:t xml:space="preserve">An exemption from </w:t>
      </w:r>
      <w:r w:rsidR="00EE3084">
        <w:t xml:space="preserve">the </w:t>
      </w:r>
      <w:r w:rsidR="00CD6603" w:rsidRPr="008807EB">
        <w:t xml:space="preserve">general rate increase filing requirements set forth in </w:t>
      </w:r>
      <w:r w:rsidR="00CD6603" w:rsidRPr="00203972">
        <w:t>WAC 480-07-520</w:t>
      </w:r>
      <w:r w:rsidR="00BA0F09">
        <w:rPr>
          <w:rStyle w:val="Hyperlink"/>
          <w:color w:val="auto"/>
        </w:rPr>
        <w:t>(4) and WAC 480-07-520(5)</w:t>
      </w:r>
      <w:r w:rsidR="00CD6603" w:rsidRPr="008807EB">
        <w:t xml:space="preserve"> </w:t>
      </w:r>
      <w:r w:rsidR="005F7158" w:rsidRPr="008807EB">
        <w:t>for the filing</w:t>
      </w:r>
      <w:r w:rsidR="00B65D50">
        <w:t>s</w:t>
      </w:r>
      <w:r w:rsidR="005F7158" w:rsidRPr="008807EB">
        <w:t xml:space="preserve"> in this docket </w:t>
      </w:r>
      <w:r w:rsidR="00CD6603" w:rsidRPr="008807EB">
        <w:t>is in the public interest and is consistent with the purposes underlying the regulation and applicable statutes and should be granted.</w:t>
      </w:r>
    </w:p>
    <w:p w14:paraId="0518437E" w14:textId="77777777" w:rsidR="00D3706A" w:rsidRPr="008807EB" w:rsidRDefault="00D3706A" w:rsidP="00D3706A">
      <w:pPr>
        <w:pStyle w:val="ListParagraph"/>
      </w:pPr>
    </w:p>
    <w:p w14:paraId="0518437F" w14:textId="06AFD810" w:rsidR="00BB2AA4" w:rsidRPr="008807EB" w:rsidRDefault="00CD6603" w:rsidP="00D3706A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t>(6)</w:t>
      </w:r>
      <w:r w:rsidRPr="008807EB">
        <w:tab/>
        <w:t xml:space="preserve">It is in the public interest to allow the revisions to Tariff </w:t>
      </w:r>
      <w:r w:rsidR="006D2BB9">
        <w:t xml:space="preserve">27 </w:t>
      </w:r>
      <w:r w:rsidRPr="008807EB">
        <w:rPr>
          <w:bCs/>
        </w:rPr>
        <w:t>filed on</w:t>
      </w:r>
      <w:r w:rsidR="0046006F">
        <w:rPr>
          <w:bCs/>
        </w:rPr>
        <w:t xml:space="preserve"> January 10, 2017</w:t>
      </w:r>
      <w:r w:rsidR="00B65D50">
        <w:rPr>
          <w:bCs/>
        </w:rPr>
        <w:t>,</w:t>
      </w:r>
      <w:r w:rsidR="0046006F">
        <w:rPr>
          <w:bCs/>
        </w:rPr>
        <w:t xml:space="preserve"> and on</w:t>
      </w:r>
      <w:r w:rsidRPr="008807EB">
        <w:rPr>
          <w:bCs/>
        </w:rPr>
        <w:t xml:space="preserve"> </w:t>
      </w:r>
      <w:r w:rsidR="0046006F">
        <w:t>January 13, 2017</w:t>
      </w:r>
      <w:r w:rsidRPr="008807EB">
        <w:t xml:space="preserve">, </w:t>
      </w:r>
      <w:r w:rsidR="00CA7FBB">
        <w:t>a</w:t>
      </w:r>
      <w:r w:rsidR="00111DAE">
        <w:t>s</w:t>
      </w:r>
      <w:r w:rsidR="00CA7FBB">
        <w:t xml:space="preserve"> revised on </w:t>
      </w:r>
      <w:r w:rsidR="0046006F">
        <w:t>February 15, 2017</w:t>
      </w:r>
      <w:r w:rsidR="009C61BB" w:rsidRPr="008807EB">
        <w:t xml:space="preserve">, </w:t>
      </w:r>
      <w:r w:rsidRPr="008807EB">
        <w:t xml:space="preserve">to become effective on </w:t>
      </w:r>
      <w:r w:rsidR="0046006F" w:rsidRPr="0046006F">
        <w:rPr>
          <w:bCs/>
        </w:rPr>
        <w:t>March 1, 2017</w:t>
      </w:r>
      <w:r w:rsidRPr="008807EB">
        <w:t>, by operation of law.</w:t>
      </w:r>
    </w:p>
    <w:p w14:paraId="05184380" w14:textId="77777777" w:rsidR="00630344" w:rsidRPr="008807EB" w:rsidRDefault="00630344" w:rsidP="00BB2AA4">
      <w:pPr>
        <w:spacing w:line="320" w:lineRule="exact"/>
        <w:jc w:val="center"/>
        <w:rPr>
          <w:b/>
        </w:rPr>
      </w:pPr>
    </w:p>
    <w:p w14:paraId="05184381" w14:textId="77777777" w:rsidR="00652118" w:rsidRPr="008807EB" w:rsidRDefault="00652118" w:rsidP="00BB2AA4">
      <w:pPr>
        <w:spacing w:line="320" w:lineRule="exact"/>
        <w:jc w:val="center"/>
        <w:rPr>
          <w:b/>
        </w:rPr>
      </w:pPr>
      <w:r w:rsidRPr="008807EB">
        <w:rPr>
          <w:b/>
        </w:rPr>
        <w:t>O R D E R</w:t>
      </w:r>
    </w:p>
    <w:p w14:paraId="05184382" w14:textId="77777777" w:rsidR="00652118" w:rsidRPr="008807EB" w:rsidRDefault="00652118" w:rsidP="000B5335">
      <w:pPr>
        <w:spacing w:line="320" w:lineRule="exact"/>
        <w:ind w:left="360"/>
        <w:jc w:val="center"/>
        <w:rPr>
          <w:b/>
        </w:rPr>
      </w:pPr>
    </w:p>
    <w:p w14:paraId="05184383" w14:textId="3AB4F0AB" w:rsidR="00630344" w:rsidRPr="008807EB" w:rsidRDefault="00630344" w:rsidP="00630344">
      <w:pPr>
        <w:pStyle w:val="ListParagraph"/>
        <w:numPr>
          <w:ilvl w:val="0"/>
          <w:numId w:val="9"/>
        </w:numPr>
        <w:spacing w:line="320" w:lineRule="exact"/>
      </w:pPr>
      <w:r w:rsidRPr="00A12D32">
        <w:rPr>
          <w:b/>
        </w:rPr>
        <w:t xml:space="preserve">THE </w:t>
      </w:r>
      <w:r w:rsidR="00203972">
        <w:rPr>
          <w:b/>
        </w:rPr>
        <w:t>COMMISSION</w:t>
      </w:r>
      <w:r w:rsidRPr="00A12D32">
        <w:rPr>
          <w:b/>
        </w:rPr>
        <w:t xml:space="preserve"> GRANTS</w:t>
      </w:r>
      <w:r w:rsidR="00B65D50">
        <w:t xml:space="preserve"> </w:t>
      </w:r>
      <w:proofErr w:type="spellStart"/>
      <w:r w:rsidR="00B65D50">
        <w:t>Murrey</w:t>
      </w:r>
      <w:r w:rsidR="00203972">
        <w:t>’</w:t>
      </w:r>
      <w:r w:rsidR="00B65D50">
        <w:t>s</w:t>
      </w:r>
      <w:proofErr w:type="spellEnd"/>
      <w:r w:rsidR="00B65D50">
        <w:t xml:space="preserve"> Disposal Company, Inc. and American Disposal Company, Inc.</w:t>
      </w:r>
      <w:r w:rsidR="00203972">
        <w:t>’</w:t>
      </w:r>
      <w:r w:rsidR="00B65D50">
        <w:t xml:space="preserve">s </w:t>
      </w:r>
      <w:r w:rsidR="00B67210" w:rsidRPr="008807EB">
        <w:t xml:space="preserve">request for </w:t>
      </w:r>
      <w:r w:rsidR="00EE3497" w:rsidRPr="008807EB">
        <w:t xml:space="preserve">an exemption from </w:t>
      </w:r>
      <w:r w:rsidR="00EE3497" w:rsidRPr="00203972">
        <w:t>WAC 480-07-520</w:t>
      </w:r>
      <w:r w:rsidR="00490B70" w:rsidRPr="008807EB">
        <w:rPr>
          <w:rStyle w:val="Hyperlink"/>
          <w:color w:val="auto"/>
        </w:rPr>
        <w:t>(4)</w:t>
      </w:r>
      <w:r w:rsidR="0046006F">
        <w:rPr>
          <w:rStyle w:val="Hyperlink"/>
          <w:color w:val="auto"/>
        </w:rPr>
        <w:t xml:space="preserve"> and </w:t>
      </w:r>
      <w:r w:rsidR="00B65D50">
        <w:t>WAC 480-07-520(5)</w:t>
      </w:r>
      <w:r w:rsidR="00EE3497" w:rsidRPr="008807EB">
        <w:t xml:space="preserve"> for purposes of the tariff revisions</w:t>
      </w:r>
      <w:r w:rsidR="004E4820" w:rsidRPr="008807EB">
        <w:t xml:space="preserve"> </w:t>
      </w:r>
      <w:r w:rsidR="00EE3497" w:rsidRPr="008807EB">
        <w:t xml:space="preserve">filed in Docket </w:t>
      </w:r>
      <w:r w:rsidR="0046006F">
        <w:t>TG-170036, TG-170037, TG-170021, and TG-170023</w:t>
      </w:r>
      <w:r w:rsidR="00EE3497" w:rsidRPr="008807EB">
        <w:t xml:space="preserve"> on </w:t>
      </w:r>
      <w:r w:rsidR="0046006F">
        <w:t>January 10, 20</w:t>
      </w:r>
      <w:r w:rsidR="00B65D50">
        <w:t>1</w:t>
      </w:r>
      <w:r w:rsidR="0046006F">
        <w:t>7</w:t>
      </w:r>
      <w:r w:rsidR="00B65D50">
        <w:t>,</w:t>
      </w:r>
      <w:r w:rsidR="0046006F">
        <w:t xml:space="preserve"> and January 13, 2017</w:t>
      </w:r>
      <w:r w:rsidR="00CA7FBB">
        <w:t xml:space="preserve">, </w:t>
      </w:r>
      <w:r w:rsidR="00B65D50">
        <w:t xml:space="preserve">as </w:t>
      </w:r>
      <w:r w:rsidR="00CA7FBB">
        <w:t xml:space="preserve">revised on </w:t>
      </w:r>
      <w:r w:rsidR="0046006F">
        <w:t>February 15, 2017</w:t>
      </w:r>
      <w:r w:rsidR="00EE3497" w:rsidRPr="008807EB">
        <w:t xml:space="preserve">. </w:t>
      </w:r>
    </w:p>
    <w:p w14:paraId="05184385" w14:textId="77777777" w:rsidR="00883A7C" w:rsidRPr="00D868C5" w:rsidRDefault="00883A7C" w:rsidP="000B5335">
      <w:pPr>
        <w:spacing w:line="320" w:lineRule="exact"/>
      </w:pPr>
    </w:p>
    <w:p w14:paraId="05184386" w14:textId="65B60507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46006F" w:rsidRPr="0046006F">
        <w:rPr>
          <w:bCs/>
        </w:rPr>
        <w:t>February 23, 2017</w:t>
      </w:r>
      <w:r w:rsidRPr="006F2147">
        <w:t>.</w:t>
      </w:r>
    </w:p>
    <w:p w14:paraId="05184387" w14:textId="77777777" w:rsidR="00652118" w:rsidRPr="00D868C5" w:rsidRDefault="00652118" w:rsidP="000B5335">
      <w:pPr>
        <w:spacing w:line="320" w:lineRule="exact"/>
        <w:ind w:left="360"/>
      </w:pPr>
    </w:p>
    <w:p w14:paraId="05184388" w14:textId="687C7567" w:rsidR="00B65D50" w:rsidRDefault="00B65D50" w:rsidP="00B65D50">
      <w:pPr>
        <w:spacing w:line="320" w:lineRule="exact"/>
        <w:jc w:val="center"/>
      </w:pPr>
      <w:r>
        <w:t xml:space="preserve">WASHINGTON UTILITIES AND TRANSPORTATION </w:t>
      </w:r>
      <w:r w:rsidR="00203972">
        <w:t>COMMISSION</w:t>
      </w:r>
    </w:p>
    <w:p w14:paraId="05184389" w14:textId="77777777" w:rsidR="00B65D50" w:rsidRDefault="00B65D50" w:rsidP="00B65D50">
      <w:pPr>
        <w:spacing w:line="320" w:lineRule="exact"/>
      </w:pPr>
    </w:p>
    <w:p w14:paraId="0518438A" w14:textId="77777777" w:rsidR="00B65D50" w:rsidRDefault="00B65D50" w:rsidP="00B65D50">
      <w:pPr>
        <w:spacing w:line="320" w:lineRule="exact"/>
      </w:pPr>
    </w:p>
    <w:p w14:paraId="0518438B" w14:textId="77777777" w:rsidR="00B65D50" w:rsidRDefault="00B65D50" w:rsidP="00B65D50">
      <w:pPr>
        <w:spacing w:line="320" w:lineRule="exact"/>
      </w:pPr>
    </w:p>
    <w:p w14:paraId="0518438C" w14:textId="77777777" w:rsidR="00B65D50" w:rsidRDefault="00B65D50" w:rsidP="00B65D50">
      <w:pPr>
        <w:spacing w:line="320" w:lineRule="exact"/>
      </w:pPr>
      <w:r>
        <w:tab/>
      </w:r>
      <w:r>
        <w:tab/>
      </w:r>
      <w:r>
        <w:tab/>
      </w:r>
      <w:r>
        <w:tab/>
        <w:t>DAVID W. DANNER, Chairman</w:t>
      </w:r>
      <w:r>
        <w:br/>
      </w:r>
    </w:p>
    <w:p w14:paraId="0518438D" w14:textId="77777777" w:rsidR="00B65D50" w:rsidRDefault="00B65D50" w:rsidP="00B65D50">
      <w:pPr>
        <w:spacing w:line="320" w:lineRule="exact"/>
      </w:pPr>
      <w:r>
        <w:br/>
      </w:r>
    </w:p>
    <w:p w14:paraId="0518438E" w14:textId="6256E917" w:rsidR="00B65D50" w:rsidRDefault="00B65D50" w:rsidP="00B65D50">
      <w:pPr>
        <w:spacing w:line="320" w:lineRule="exact"/>
        <w:ind w:left="2160" w:firstLine="720"/>
      </w:pPr>
      <w:r>
        <w:t>PHILIP B. JONES</w:t>
      </w:r>
      <w:r w:rsidRPr="00072CAF">
        <w:t xml:space="preserve">, </w:t>
      </w:r>
      <w:r w:rsidR="00203972">
        <w:t>Commission</w:t>
      </w:r>
      <w:r w:rsidRPr="00072CAF">
        <w:t>er</w:t>
      </w:r>
      <w:r>
        <w:br/>
      </w:r>
    </w:p>
    <w:p w14:paraId="0518438F" w14:textId="77777777" w:rsidR="00B65D50" w:rsidRDefault="00B65D50" w:rsidP="00B65D50">
      <w:pPr>
        <w:spacing w:line="320" w:lineRule="exact"/>
      </w:pPr>
    </w:p>
    <w:p w14:paraId="05184390" w14:textId="77777777" w:rsidR="00B65D50" w:rsidRDefault="00B65D50" w:rsidP="00B65D50">
      <w:pPr>
        <w:spacing w:line="320" w:lineRule="exact"/>
      </w:pPr>
    </w:p>
    <w:p w14:paraId="05184392" w14:textId="0F14CF97" w:rsidR="00B65D50" w:rsidRDefault="00B65D50" w:rsidP="00AA482C">
      <w:pPr>
        <w:pStyle w:val="Header"/>
        <w:tabs>
          <w:tab w:val="clear" w:pos="4320"/>
          <w:tab w:val="clear" w:pos="8640"/>
        </w:tabs>
        <w:spacing w:line="320" w:lineRule="exact"/>
        <w:sectPr w:rsidR="00B65D50" w:rsidSect="00203972">
          <w:headerReference w:type="default" r:id="rId11"/>
          <w:type w:val="continuous"/>
          <w:pgSz w:w="12240" w:h="15840" w:code="1"/>
          <w:pgMar w:top="1440" w:right="1440" w:bottom="1260" w:left="2160" w:header="1008" w:footer="720" w:gutter="0"/>
          <w:cols w:space="720"/>
          <w:titlePg/>
          <w:docGrid w:linePitch="360"/>
        </w:sectPr>
      </w:pPr>
      <w:r>
        <w:tab/>
      </w:r>
      <w:r>
        <w:tab/>
      </w:r>
      <w:r>
        <w:tab/>
      </w:r>
      <w:r>
        <w:tab/>
        <w:t xml:space="preserve">ANN E. RENDAHL, </w:t>
      </w:r>
      <w:r w:rsidR="00203972">
        <w:t>Commission</w:t>
      </w:r>
      <w:r w:rsidR="00AA482C">
        <w:t>er</w:t>
      </w:r>
    </w:p>
    <w:p w14:paraId="05184394" w14:textId="77777777" w:rsidR="00652118" w:rsidRPr="00AA482C" w:rsidRDefault="00652118" w:rsidP="00AA482C">
      <w:pPr>
        <w:spacing w:line="320" w:lineRule="exact"/>
        <w:ind w:left="2160" w:firstLine="720"/>
      </w:pPr>
    </w:p>
    <w:sectPr w:rsidR="00652118" w:rsidRPr="00AA482C" w:rsidSect="00B65D50">
      <w:type w:val="continuous"/>
      <w:pgSz w:w="12240" w:h="15840"/>
      <w:pgMar w:top="1440" w:right="1440" w:bottom="1440" w:left="2160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84397" w14:textId="77777777" w:rsidR="003E5045" w:rsidRDefault="003E5045">
      <w:r>
        <w:separator/>
      </w:r>
    </w:p>
  </w:endnote>
  <w:endnote w:type="continuationSeparator" w:id="0">
    <w:p w14:paraId="05184398" w14:textId="77777777" w:rsidR="003E5045" w:rsidRDefault="003E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84395" w14:textId="77777777" w:rsidR="003E5045" w:rsidRDefault="003E5045">
      <w:r>
        <w:separator/>
      </w:r>
    </w:p>
  </w:footnote>
  <w:footnote w:type="continuationSeparator" w:id="0">
    <w:p w14:paraId="05184396" w14:textId="77777777" w:rsidR="003E5045" w:rsidRDefault="003E5045">
      <w:r>
        <w:continuationSeparator/>
      </w:r>
    </w:p>
  </w:footnote>
  <w:footnote w:id="1">
    <w:p w14:paraId="051843A3" w14:textId="54535594" w:rsidR="00520ACE" w:rsidRDefault="00520ACE" w:rsidP="00203972">
      <w:pPr>
        <w:spacing w:line="264" w:lineRule="auto"/>
      </w:pPr>
      <w:r w:rsidRPr="00520ACE">
        <w:rPr>
          <w:rStyle w:val="FootnoteReference"/>
          <w:sz w:val="22"/>
        </w:rPr>
        <w:footnoteRef/>
      </w:r>
      <w:r w:rsidRPr="00520ACE">
        <w:rPr>
          <w:sz w:val="22"/>
        </w:rPr>
        <w:t xml:space="preserve"> </w:t>
      </w:r>
      <w:r>
        <w:rPr>
          <w:sz w:val="22"/>
        </w:rPr>
        <w:t xml:space="preserve">For reporting purposes, </w:t>
      </w:r>
      <w:r w:rsidRPr="00520ACE">
        <w:rPr>
          <w:sz w:val="22"/>
        </w:rPr>
        <w:t>Murrey’s and American are separate business entities</w:t>
      </w:r>
      <w:r>
        <w:rPr>
          <w:sz w:val="22"/>
        </w:rPr>
        <w:t xml:space="preserve">, but </w:t>
      </w:r>
      <w:r w:rsidRPr="00520ACE">
        <w:rPr>
          <w:sz w:val="22"/>
        </w:rPr>
        <w:t>Murrey’s and American</w:t>
      </w:r>
      <w:r w:rsidR="00195E16">
        <w:rPr>
          <w:sz w:val="22"/>
        </w:rPr>
        <w:t xml:space="preserve"> </w:t>
      </w:r>
      <w:r w:rsidR="00195E16" w:rsidRPr="00520ACE">
        <w:rPr>
          <w:sz w:val="22"/>
        </w:rPr>
        <w:t>use identical tariffs</w:t>
      </w:r>
      <w:r w:rsidR="00195E16">
        <w:rPr>
          <w:sz w:val="22"/>
        </w:rPr>
        <w:t>.</w:t>
      </w:r>
      <w:r w:rsidRPr="00520ACE">
        <w:rPr>
          <w:sz w:val="22"/>
        </w:rPr>
        <w:t xml:space="preserve"> Although the general rate cases and disposal fee increases were filed in four separate dockets, Commission staff (Staff) treats these as a single tariff filing</w:t>
      </w:r>
      <w:r w:rsidR="00195E16">
        <w:rPr>
          <w:sz w:val="22"/>
        </w:rPr>
        <w:t xml:space="preserve"> for the purposes of determining whether the proposed increases are fair, just, reasonable, and sufficient</w:t>
      </w:r>
      <w:r w:rsidRPr="00520ACE">
        <w:rPr>
          <w:sz w:val="22"/>
        </w:rPr>
        <w:t xml:space="preserve">. </w:t>
      </w:r>
    </w:p>
  </w:footnote>
  <w:footnote w:id="2">
    <w:p w14:paraId="051843A4" w14:textId="77777777" w:rsidR="00262D96" w:rsidRPr="00CA4FA9" w:rsidRDefault="00262D96">
      <w:pPr>
        <w:pStyle w:val="FootnoteText"/>
        <w:rPr>
          <w:sz w:val="22"/>
          <w:szCs w:val="22"/>
        </w:rPr>
      </w:pPr>
      <w:r w:rsidRPr="00CA4FA9">
        <w:rPr>
          <w:rStyle w:val="FootnoteReference"/>
          <w:sz w:val="22"/>
          <w:szCs w:val="22"/>
        </w:rPr>
        <w:footnoteRef/>
      </w:r>
      <w:r w:rsidRPr="00CA4FA9">
        <w:rPr>
          <w:sz w:val="22"/>
          <w:szCs w:val="22"/>
        </w:rPr>
        <w:t xml:space="preserve"> </w:t>
      </w:r>
      <w:r w:rsidR="00195E16">
        <w:rPr>
          <w:sz w:val="22"/>
          <w:szCs w:val="22"/>
        </w:rPr>
        <w:t xml:space="preserve">See </w:t>
      </w:r>
      <w:r w:rsidRPr="00CA4FA9">
        <w:rPr>
          <w:sz w:val="22"/>
          <w:szCs w:val="22"/>
        </w:rPr>
        <w:t>Dockets TG-160232 and TG-160233.</w:t>
      </w:r>
      <w:r w:rsidR="00195E16">
        <w:rPr>
          <w:sz w:val="22"/>
          <w:szCs w:val="22"/>
        </w:rPr>
        <w:t xml:space="preserve"> The 2016 general rate increase was required by the terms of a settlement agreement in Dockets TG-130501 and TG-130502.</w:t>
      </w:r>
    </w:p>
  </w:footnote>
  <w:footnote w:id="3">
    <w:p w14:paraId="051843A5" w14:textId="77777777" w:rsidR="00CA4FA9" w:rsidRDefault="00CA4FA9">
      <w:pPr>
        <w:pStyle w:val="FootnoteText"/>
      </w:pPr>
      <w:r w:rsidRPr="00CA4FA9">
        <w:rPr>
          <w:rStyle w:val="FootnoteReference"/>
          <w:sz w:val="22"/>
          <w:szCs w:val="22"/>
        </w:rPr>
        <w:footnoteRef/>
      </w:r>
      <w:r w:rsidRPr="00CA4FA9">
        <w:rPr>
          <w:sz w:val="22"/>
          <w:szCs w:val="22"/>
        </w:rPr>
        <w:t xml:space="preserve"> </w:t>
      </w:r>
      <w:r w:rsidRPr="00CA4FA9">
        <w:rPr>
          <w:i/>
          <w:sz w:val="22"/>
          <w:szCs w:val="22"/>
        </w:rPr>
        <w:t>See also</w:t>
      </w:r>
      <w:r w:rsidRPr="00CA4FA9">
        <w:rPr>
          <w:sz w:val="22"/>
          <w:szCs w:val="22"/>
        </w:rPr>
        <w:t xml:space="preserve"> </w:t>
      </w:r>
      <w:hyperlink r:id="rId1" w:history="1">
        <w:r w:rsidRPr="00CA4FA9">
          <w:rPr>
            <w:rStyle w:val="Hyperlink"/>
            <w:color w:val="auto"/>
            <w:sz w:val="22"/>
            <w:szCs w:val="22"/>
          </w:rPr>
          <w:t>WAC 480-70-051</w:t>
        </w:r>
      </w:hyperlink>
      <w:r w:rsidRPr="00CA4FA9">
        <w:rPr>
          <w:rStyle w:val="Hyperlink"/>
          <w:color w:val="auto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84399" w14:textId="40E8E1AD" w:rsidR="00622CFD" w:rsidRDefault="00B65D50" w:rsidP="00622CFD">
    <w:pPr>
      <w:pStyle w:val="Header"/>
      <w:tabs>
        <w:tab w:val="clear" w:pos="8640"/>
        <w:tab w:val="left" w:pos="7000"/>
        <w:tab w:val="right" w:pos="8460"/>
      </w:tabs>
      <w:rPr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>S</w:t>
    </w:r>
    <w:r w:rsidRPr="00A748CC">
      <w:rPr>
        <w:b/>
        <w:sz w:val="20"/>
      </w:rPr>
      <w:t xml:space="preserve"> </w:t>
    </w:r>
    <w:r>
      <w:rPr>
        <w:b/>
        <w:sz w:val="20"/>
      </w:rPr>
      <w:t>TG-170036, TG-170037</w:t>
    </w:r>
    <w:r w:rsidR="00622CFD">
      <w:rPr>
        <w:b/>
        <w:sz w:val="20"/>
      </w:rPr>
      <w:tab/>
    </w:r>
    <w:r w:rsidR="00622CFD">
      <w:rPr>
        <w:b/>
        <w:sz w:val="20"/>
      </w:rPr>
      <w:tab/>
      <w:t xml:space="preserve">PAGE </w:t>
    </w:r>
    <w:r w:rsidR="00622CFD" w:rsidRPr="00622CFD">
      <w:rPr>
        <w:b/>
        <w:sz w:val="20"/>
      </w:rPr>
      <w:fldChar w:fldCharType="begin"/>
    </w:r>
    <w:r w:rsidR="00622CFD" w:rsidRPr="00622CFD">
      <w:rPr>
        <w:b/>
        <w:sz w:val="20"/>
      </w:rPr>
      <w:instrText xml:space="preserve"> PAGE   \* MERGEFORMAT </w:instrText>
    </w:r>
    <w:r w:rsidR="00622CFD" w:rsidRPr="00622CFD">
      <w:rPr>
        <w:b/>
        <w:sz w:val="20"/>
      </w:rPr>
      <w:fldChar w:fldCharType="separate"/>
    </w:r>
    <w:r w:rsidR="00E45D98">
      <w:rPr>
        <w:b/>
        <w:noProof/>
        <w:sz w:val="20"/>
      </w:rPr>
      <w:t>5</w:t>
    </w:r>
    <w:r w:rsidR="00622CFD" w:rsidRPr="00622CFD">
      <w:rPr>
        <w:b/>
        <w:noProof/>
        <w:sz w:val="20"/>
      </w:rPr>
      <w:fldChar w:fldCharType="end"/>
    </w:r>
    <w:r w:rsidR="00622CFD">
      <w:rPr>
        <w:b/>
        <w:sz w:val="20"/>
      </w:rPr>
      <w:tab/>
    </w:r>
    <w:r w:rsidR="00622CFD">
      <w:rPr>
        <w:b/>
        <w:sz w:val="20"/>
      </w:rPr>
      <w:tab/>
    </w:r>
  </w:p>
  <w:p w14:paraId="0518439B" w14:textId="47E15951" w:rsidR="00B65D50" w:rsidRPr="00622CFD" w:rsidRDefault="00622CFD" w:rsidP="00622CFD">
    <w:pPr>
      <w:pStyle w:val="Header"/>
      <w:tabs>
        <w:tab w:val="clear" w:pos="8640"/>
        <w:tab w:val="left" w:pos="7000"/>
        <w:tab w:val="right" w:pos="8460"/>
      </w:tabs>
      <w:rPr>
        <w:rStyle w:val="PageNumber"/>
        <w:b/>
        <w:sz w:val="20"/>
      </w:rPr>
    </w:pPr>
    <w:r>
      <w:rPr>
        <w:b/>
        <w:sz w:val="20"/>
      </w:rPr>
      <w:t xml:space="preserve">ORDER 01  </w:t>
    </w:r>
  </w:p>
  <w:p w14:paraId="0518439C" w14:textId="77777777" w:rsidR="00B65D50" w:rsidRPr="003F2878" w:rsidRDefault="00B65D50">
    <w:pPr>
      <w:pStyle w:val="Header"/>
      <w:rPr>
        <w:rStyle w:val="PageNumber"/>
        <w:b/>
        <w:sz w:val="20"/>
        <w:szCs w:val="20"/>
      </w:rPr>
    </w:pPr>
  </w:p>
  <w:p w14:paraId="0518439D" w14:textId="77777777" w:rsidR="00B65D50" w:rsidRPr="00F94149" w:rsidRDefault="00B65D5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276D3"/>
    <w:multiLevelType w:val="hybridMultilevel"/>
    <w:tmpl w:val="3E86E810"/>
    <w:lvl w:ilvl="0" w:tplc="C55E2CBA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37"/>
    <w:rsid w:val="00052A21"/>
    <w:rsid w:val="00055F5E"/>
    <w:rsid w:val="000602CB"/>
    <w:rsid w:val="0006774B"/>
    <w:rsid w:val="000714F0"/>
    <w:rsid w:val="000737F1"/>
    <w:rsid w:val="00076FD1"/>
    <w:rsid w:val="000918BA"/>
    <w:rsid w:val="000A3B91"/>
    <w:rsid w:val="000B5335"/>
    <w:rsid w:val="000C5BD5"/>
    <w:rsid w:val="000D22BC"/>
    <w:rsid w:val="000D6898"/>
    <w:rsid w:val="000E272E"/>
    <w:rsid w:val="00105A14"/>
    <w:rsid w:val="0011118A"/>
    <w:rsid w:val="00111DAE"/>
    <w:rsid w:val="00123D5B"/>
    <w:rsid w:val="001263E9"/>
    <w:rsid w:val="00131131"/>
    <w:rsid w:val="0013339C"/>
    <w:rsid w:val="00146D8B"/>
    <w:rsid w:val="00150CC6"/>
    <w:rsid w:val="00154410"/>
    <w:rsid w:val="001718DB"/>
    <w:rsid w:val="00175DDF"/>
    <w:rsid w:val="001764B7"/>
    <w:rsid w:val="001903F9"/>
    <w:rsid w:val="001904A4"/>
    <w:rsid w:val="00195E16"/>
    <w:rsid w:val="001A07B5"/>
    <w:rsid w:val="001B19B1"/>
    <w:rsid w:val="001F6B94"/>
    <w:rsid w:val="00203972"/>
    <w:rsid w:val="00206F37"/>
    <w:rsid w:val="002163AC"/>
    <w:rsid w:val="00216DE7"/>
    <w:rsid w:val="00225171"/>
    <w:rsid w:val="00254ECE"/>
    <w:rsid w:val="00262CA3"/>
    <w:rsid w:val="00262D96"/>
    <w:rsid w:val="00283FF7"/>
    <w:rsid w:val="00295F53"/>
    <w:rsid w:val="002B6FD3"/>
    <w:rsid w:val="002C2FCE"/>
    <w:rsid w:val="002D1E7F"/>
    <w:rsid w:val="002F1F08"/>
    <w:rsid w:val="00302600"/>
    <w:rsid w:val="00323DF2"/>
    <w:rsid w:val="00356C4B"/>
    <w:rsid w:val="00361586"/>
    <w:rsid w:val="00370520"/>
    <w:rsid w:val="003730CF"/>
    <w:rsid w:val="00393E8A"/>
    <w:rsid w:val="003941BA"/>
    <w:rsid w:val="003A2F63"/>
    <w:rsid w:val="003A3450"/>
    <w:rsid w:val="003B52F3"/>
    <w:rsid w:val="003E462C"/>
    <w:rsid w:val="003E5045"/>
    <w:rsid w:val="003E58A5"/>
    <w:rsid w:val="003F2780"/>
    <w:rsid w:val="003F4AE5"/>
    <w:rsid w:val="00423799"/>
    <w:rsid w:val="00430FD3"/>
    <w:rsid w:val="0046006F"/>
    <w:rsid w:val="00490B70"/>
    <w:rsid w:val="004974A0"/>
    <w:rsid w:val="004A7E78"/>
    <w:rsid w:val="004B140E"/>
    <w:rsid w:val="004C676B"/>
    <w:rsid w:val="004D534B"/>
    <w:rsid w:val="004E4820"/>
    <w:rsid w:val="005117FC"/>
    <w:rsid w:val="0051693F"/>
    <w:rsid w:val="00517C1A"/>
    <w:rsid w:val="00520ACE"/>
    <w:rsid w:val="00522C0F"/>
    <w:rsid w:val="00523302"/>
    <w:rsid w:val="00531598"/>
    <w:rsid w:val="00563B04"/>
    <w:rsid w:val="005660A2"/>
    <w:rsid w:val="005666EF"/>
    <w:rsid w:val="00590AC8"/>
    <w:rsid w:val="00591C74"/>
    <w:rsid w:val="005A3E36"/>
    <w:rsid w:val="005B0F72"/>
    <w:rsid w:val="005B1270"/>
    <w:rsid w:val="005C0760"/>
    <w:rsid w:val="005E24CE"/>
    <w:rsid w:val="005F7158"/>
    <w:rsid w:val="00622CFD"/>
    <w:rsid w:val="00630344"/>
    <w:rsid w:val="006358E0"/>
    <w:rsid w:val="0063596B"/>
    <w:rsid w:val="00640DD5"/>
    <w:rsid w:val="00652118"/>
    <w:rsid w:val="006707AC"/>
    <w:rsid w:val="00693D1D"/>
    <w:rsid w:val="006C5848"/>
    <w:rsid w:val="006C5D21"/>
    <w:rsid w:val="006D0354"/>
    <w:rsid w:val="006D2BB9"/>
    <w:rsid w:val="006D42FF"/>
    <w:rsid w:val="006D5D3E"/>
    <w:rsid w:val="006D67A0"/>
    <w:rsid w:val="006D7CFA"/>
    <w:rsid w:val="006F2147"/>
    <w:rsid w:val="006F3862"/>
    <w:rsid w:val="007064F5"/>
    <w:rsid w:val="007237A1"/>
    <w:rsid w:val="00735DD5"/>
    <w:rsid w:val="007523B3"/>
    <w:rsid w:val="00753D0B"/>
    <w:rsid w:val="007579A9"/>
    <w:rsid w:val="00765C23"/>
    <w:rsid w:val="00777D15"/>
    <w:rsid w:val="00790034"/>
    <w:rsid w:val="00791DA8"/>
    <w:rsid w:val="00794DC5"/>
    <w:rsid w:val="007A3847"/>
    <w:rsid w:val="007B246D"/>
    <w:rsid w:val="007B2AEC"/>
    <w:rsid w:val="007B3599"/>
    <w:rsid w:val="00803B84"/>
    <w:rsid w:val="00804AE5"/>
    <w:rsid w:val="00814ADF"/>
    <w:rsid w:val="00820226"/>
    <w:rsid w:val="008503D6"/>
    <w:rsid w:val="00851408"/>
    <w:rsid w:val="00851A76"/>
    <w:rsid w:val="00853BDA"/>
    <w:rsid w:val="008544D4"/>
    <w:rsid w:val="00863077"/>
    <w:rsid w:val="00877D37"/>
    <w:rsid w:val="008807EB"/>
    <w:rsid w:val="00883A7C"/>
    <w:rsid w:val="00887A33"/>
    <w:rsid w:val="008C0936"/>
    <w:rsid w:val="008C758E"/>
    <w:rsid w:val="008D0629"/>
    <w:rsid w:val="008E583E"/>
    <w:rsid w:val="009031FD"/>
    <w:rsid w:val="00912475"/>
    <w:rsid w:val="0091337D"/>
    <w:rsid w:val="009460BE"/>
    <w:rsid w:val="00954E76"/>
    <w:rsid w:val="00971999"/>
    <w:rsid w:val="009817C9"/>
    <w:rsid w:val="009941C7"/>
    <w:rsid w:val="0099487A"/>
    <w:rsid w:val="009A37C2"/>
    <w:rsid w:val="009C61BB"/>
    <w:rsid w:val="009F08B0"/>
    <w:rsid w:val="00A12D32"/>
    <w:rsid w:val="00A2678D"/>
    <w:rsid w:val="00A33DD2"/>
    <w:rsid w:val="00A3432B"/>
    <w:rsid w:val="00A4330A"/>
    <w:rsid w:val="00A5182E"/>
    <w:rsid w:val="00A970B6"/>
    <w:rsid w:val="00AA0774"/>
    <w:rsid w:val="00AA16AF"/>
    <w:rsid w:val="00AA482C"/>
    <w:rsid w:val="00AA4DA2"/>
    <w:rsid w:val="00AC54B7"/>
    <w:rsid w:val="00AD0830"/>
    <w:rsid w:val="00AD1A63"/>
    <w:rsid w:val="00AE7A73"/>
    <w:rsid w:val="00AF14F9"/>
    <w:rsid w:val="00AF2471"/>
    <w:rsid w:val="00B308A1"/>
    <w:rsid w:val="00B34252"/>
    <w:rsid w:val="00B625C5"/>
    <w:rsid w:val="00B65D50"/>
    <w:rsid w:val="00B67210"/>
    <w:rsid w:val="00B8240F"/>
    <w:rsid w:val="00B94A17"/>
    <w:rsid w:val="00BA0F09"/>
    <w:rsid w:val="00BA4229"/>
    <w:rsid w:val="00BB2AA4"/>
    <w:rsid w:val="00BB7BA4"/>
    <w:rsid w:val="00BC038B"/>
    <w:rsid w:val="00BC03D2"/>
    <w:rsid w:val="00BC3CB3"/>
    <w:rsid w:val="00BD2BC9"/>
    <w:rsid w:val="00BD6E91"/>
    <w:rsid w:val="00BE611A"/>
    <w:rsid w:val="00C05581"/>
    <w:rsid w:val="00C215EA"/>
    <w:rsid w:val="00C2767D"/>
    <w:rsid w:val="00C27DC9"/>
    <w:rsid w:val="00C5637B"/>
    <w:rsid w:val="00C63DF7"/>
    <w:rsid w:val="00C72DD5"/>
    <w:rsid w:val="00C9108F"/>
    <w:rsid w:val="00CA4FA9"/>
    <w:rsid w:val="00CA55CB"/>
    <w:rsid w:val="00CA7FBB"/>
    <w:rsid w:val="00CC3FE9"/>
    <w:rsid w:val="00CD6603"/>
    <w:rsid w:val="00CE067B"/>
    <w:rsid w:val="00CE3DF5"/>
    <w:rsid w:val="00D0404E"/>
    <w:rsid w:val="00D1641C"/>
    <w:rsid w:val="00D34637"/>
    <w:rsid w:val="00D3706A"/>
    <w:rsid w:val="00D471BC"/>
    <w:rsid w:val="00D47993"/>
    <w:rsid w:val="00D65A63"/>
    <w:rsid w:val="00D65B1E"/>
    <w:rsid w:val="00D81384"/>
    <w:rsid w:val="00D83B54"/>
    <w:rsid w:val="00D83BB1"/>
    <w:rsid w:val="00D868C5"/>
    <w:rsid w:val="00D91E6C"/>
    <w:rsid w:val="00D95CA9"/>
    <w:rsid w:val="00D95F87"/>
    <w:rsid w:val="00D962AD"/>
    <w:rsid w:val="00DD5C7D"/>
    <w:rsid w:val="00DD74BA"/>
    <w:rsid w:val="00DE599C"/>
    <w:rsid w:val="00DE7691"/>
    <w:rsid w:val="00E064FE"/>
    <w:rsid w:val="00E06B32"/>
    <w:rsid w:val="00E1312C"/>
    <w:rsid w:val="00E1566C"/>
    <w:rsid w:val="00E41761"/>
    <w:rsid w:val="00E45D98"/>
    <w:rsid w:val="00E477A6"/>
    <w:rsid w:val="00E657E9"/>
    <w:rsid w:val="00E7717E"/>
    <w:rsid w:val="00E833FB"/>
    <w:rsid w:val="00E9663A"/>
    <w:rsid w:val="00E974B7"/>
    <w:rsid w:val="00EA42A6"/>
    <w:rsid w:val="00EA5FD1"/>
    <w:rsid w:val="00EA71C9"/>
    <w:rsid w:val="00EB1104"/>
    <w:rsid w:val="00EC75E4"/>
    <w:rsid w:val="00EE3084"/>
    <w:rsid w:val="00EE3497"/>
    <w:rsid w:val="00F2114A"/>
    <w:rsid w:val="00F25205"/>
    <w:rsid w:val="00F356F8"/>
    <w:rsid w:val="00F56FCE"/>
    <w:rsid w:val="00F661A8"/>
    <w:rsid w:val="00F800DD"/>
    <w:rsid w:val="00F91E58"/>
    <w:rsid w:val="00FB4905"/>
    <w:rsid w:val="00FF1596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518433A"/>
  <w15:docId w15:val="{A445B637-450B-47A5-899C-4B15A7A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794D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94DC5"/>
  </w:style>
  <w:style w:type="character" w:styleId="FootnoteReference">
    <w:name w:val="footnote reference"/>
    <w:basedOn w:val="DefaultParagraphFont"/>
    <w:semiHidden/>
    <w:unhideWhenUsed/>
    <w:rsid w:val="00794D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pps.leg.wa.gov/WAC/default.aspx?cite=480-70-0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BBF6A88C3A54E49AFDF61E935B3C434" ma:contentTypeVersion="104" ma:contentTypeDescription="" ma:contentTypeScope="" ma:versionID="8d5ded24119b477000fa8e25e381273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2017-01-13T08:00:00+00:00</OpenedDate>
    <Date1 xmlns="dc463f71-b30c-4ab2-9473-d307f9d35888">2017-02-23T08:00:00+00:00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AMERICAN DISPOSAL COMPANY, INC.</CaseCompanyNames>
    <Nickname xmlns="http://schemas.microsoft.com/sharepoint/v3" xsi:nil="true"/>
    <DocketNumber xmlns="dc463f71-b30c-4ab2-9473-d307f9d35888">170037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A0426A10-B498-4C74-84EF-5130540B3C11}"/>
</file>

<file path=customXml/itemProps2.xml><?xml version="1.0" encoding="utf-8"?>
<ds:datastoreItem xmlns:ds="http://schemas.openxmlformats.org/officeDocument/2006/customXml" ds:itemID="{DA8BB158-1EC4-46AE-A6C3-49711B622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F6518C-27CB-4655-8399-2D13B18106C2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E99CDD68-0604-4A79-A940-643694AA2319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51276d0-61bc-4dad-b75c-21dfd12630a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BBA550B-F66E-4030-9FE8-04828C0F32D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C127A9D-635E-4D72-A43F-72C5109308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1450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TG-170036 and TG-170037 - Order 01</vt:lpstr>
    </vt:vector>
  </TitlesOfParts>
  <Company>WUTC</Company>
  <LinksUpToDate>false</LinksUpToDate>
  <CharactersWithSpaces>9565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TG-170036 and TG-170037 - Order 01</dc:title>
  <dc:creator>Hammond, Greg (UTC)</dc:creator>
  <cp:lastModifiedBy>Kern, Cathy (UTC)</cp:lastModifiedBy>
  <cp:revision>2</cp:revision>
  <cp:lastPrinted>2017-02-23T17:15:00Z</cp:lastPrinted>
  <dcterms:created xsi:type="dcterms:W3CDTF">2017-02-23T17:15:00Z</dcterms:created>
  <dcterms:modified xsi:type="dcterms:W3CDTF">2017-02-23T17:15:00Z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0x0101006E56B4D1795A2E4DB2F0B01679ED314A003BBF6A88C3A54E49AFDF61E935B3C434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