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C9565C" w14:textId="77777777" w:rsidR="00501FFC" w:rsidRDefault="00501FFC" w:rsidP="00F748D8">
      <w:pPr>
        <w:tabs>
          <w:tab w:val="center" w:pos="4680"/>
        </w:tabs>
        <w:ind w:right="-108" w:hanging="180"/>
        <w:jc w:val="both"/>
        <w:rPr>
          <w:sz w:val="24"/>
        </w:rPr>
      </w:pPr>
    </w:p>
    <w:p w14:paraId="79C9565D" w14:textId="77777777" w:rsidR="00501FFC" w:rsidRDefault="00501FFC" w:rsidP="00F748D8">
      <w:pPr>
        <w:tabs>
          <w:tab w:val="center" w:pos="4680"/>
        </w:tabs>
        <w:ind w:right="-108" w:hanging="180"/>
        <w:jc w:val="both"/>
        <w:rPr>
          <w:sz w:val="24"/>
        </w:rPr>
      </w:pPr>
    </w:p>
    <w:p w14:paraId="79C9565E" w14:textId="77777777" w:rsidR="00501FFC" w:rsidRDefault="00501FFC" w:rsidP="00F748D8">
      <w:pPr>
        <w:tabs>
          <w:tab w:val="center" w:pos="4680"/>
        </w:tabs>
        <w:ind w:right="-108" w:hanging="180"/>
        <w:jc w:val="both"/>
        <w:rPr>
          <w:sz w:val="24"/>
        </w:rPr>
      </w:pPr>
    </w:p>
    <w:p w14:paraId="79C9565F" w14:textId="77777777" w:rsidR="00501FFC" w:rsidRDefault="00501FFC" w:rsidP="00F748D8">
      <w:pPr>
        <w:tabs>
          <w:tab w:val="center" w:pos="4680"/>
        </w:tabs>
        <w:ind w:right="-108" w:hanging="180"/>
        <w:jc w:val="both"/>
        <w:rPr>
          <w:sz w:val="24"/>
        </w:rPr>
      </w:pPr>
    </w:p>
    <w:p w14:paraId="79C95660" w14:textId="77777777" w:rsidR="00501FFC" w:rsidRDefault="00501FFC" w:rsidP="00F748D8">
      <w:pPr>
        <w:tabs>
          <w:tab w:val="center" w:pos="4680"/>
        </w:tabs>
        <w:ind w:right="-108" w:hanging="180"/>
        <w:jc w:val="both"/>
        <w:rPr>
          <w:sz w:val="24"/>
        </w:rPr>
      </w:pPr>
    </w:p>
    <w:p w14:paraId="79C95661" w14:textId="77777777" w:rsidR="00F748D8" w:rsidRDefault="00F748D8" w:rsidP="00F748D8">
      <w:pPr>
        <w:tabs>
          <w:tab w:val="center" w:pos="4680"/>
        </w:tabs>
        <w:ind w:right="-108" w:hanging="180"/>
        <w:jc w:val="both"/>
        <w:rPr>
          <w:sz w:val="24"/>
        </w:rPr>
      </w:pPr>
      <w:r w:rsidRPr="004A2910">
        <w:rPr>
          <w:sz w:val="24"/>
        </w:rPr>
        <w:t xml:space="preserve">BEFORE THE </w:t>
      </w:r>
      <w:smartTag w:uri="urn:schemas-microsoft-com:office:smarttags" w:element="PostalCode">
        <w:smartTag w:uri="urn:schemas-microsoft-com:office:smarttags" w:element="place">
          <w:r w:rsidRPr="004A2910">
            <w:rPr>
              <w:sz w:val="24"/>
            </w:rPr>
            <w:t>WASHINGTON</w:t>
          </w:r>
        </w:smartTag>
      </w:smartTag>
      <w:r w:rsidRPr="004A2910">
        <w:rPr>
          <w:sz w:val="24"/>
        </w:rPr>
        <w:t xml:space="preserve"> UTILITIES AND TRANSPORTATION COMMISSION</w:t>
      </w:r>
    </w:p>
    <w:p w14:paraId="6575E215" w14:textId="77777777" w:rsidR="00CF4668" w:rsidRPr="004A2910" w:rsidRDefault="00CF4668" w:rsidP="00F748D8">
      <w:pPr>
        <w:tabs>
          <w:tab w:val="center" w:pos="4680"/>
        </w:tabs>
        <w:ind w:right="-108" w:hanging="180"/>
        <w:jc w:val="both"/>
        <w:rPr>
          <w:sz w:val="24"/>
        </w:rPr>
      </w:pPr>
    </w:p>
    <w:p w14:paraId="79C95662" w14:textId="77777777" w:rsidR="00F748D8" w:rsidRPr="004A2910" w:rsidRDefault="00F748D8" w:rsidP="00F748D8">
      <w:pPr>
        <w:jc w:val="both"/>
        <w:rPr>
          <w:sz w:val="24"/>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CF4668" w:rsidRPr="00376ACA" w14:paraId="0591FB4A" w14:textId="77777777" w:rsidTr="003214E7">
        <w:tc>
          <w:tcPr>
            <w:tcW w:w="4590" w:type="dxa"/>
            <w:tcBorders>
              <w:top w:val="single" w:sz="6" w:space="0" w:color="FFFFFF"/>
              <w:left w:val="single" w:sz="6" w:space="0" w:color="FFFFFF"/>
              <w:bottom w:val="single" w:sz="7" w:space="0" w:color="000000"/>
              <w:right w:val="single" w:sz="6" w:space="0" w:color="FFFFFF"/>
            </w:tcBorders>
          </w:tcPr>
          <w:p w14:paraId="1E97ED41" w14:textId="77777777" w:rsidR="00CF4668" w:rsidRPr="00CF4668" w:rsidRDefault="00CF4668" w:rsidP="003214E7">
            <w:pPr>
              <w:rPr>
                <w:sz w:val="24"/>
              </w:rPr>
            </w:pPr>
            <w:r w:rsidRPr="00CF4668">
              <w:rPr>
                <w:sz w:val="24"/>
              </w:rPr>
              <w:t>WASHINGTON UTILITIES AND TRANSPORTATION COMMISSION,</w:t>
            </w:r>
          </w:p>
          <w:p w14:paraId="457593FB" w14:textId="77777777" w:rsidR="00CF4668" w:rsidRPr="00CF4668" w:rsidRDefault="00CF4668" w:rsidP="003214E7">
            <w:pPr>
              <w:tabs>
                <w:tab w:val="left" w:pos="2145"/>
              </w:tabs>
              <w:rPr>
                <w:sz w:val="24"/>
              </w:rPr>
            </w:pPr>
            <w:r w:rsidRPr="00CF4668">
              <w:rPr>
                <w:sz w:val="24"/>
              </w:rPr>
              <w:tab/>
              <w:t>Complainant,</w:t>
            </w:r>
          </w:p>
          <w:p w14:paraId="4ABAD4F5" w14:textId="77777777" w:rsidR="00CF4668" w:rsidRPr="00CF4668" w:rsidRDefault="00CF4668" w:rsidP="003214E7">
            <w:pPr>
              <w:tabs>
                <w:tab w:val="left" w:pos="2145"/>
              </w:tabs>
              <w:rPr>
                <w:sz w:val="24"/>
              </w:rPr>
            </w:pPr>
            <w:r w:rsidRPr="00CF4668">
              <w:rPr>
                <w:sz w:val="24"/>
              </w:rPr>
              <w:t>v.</w:t>
            </w:r>
          </w:p>
          <w:p w14:paraId="7C888D7F" w14:textId="77777777" w:rsidR="00CF4668" w:rsidRPr="00CF4668" w:rsidRDefault="00CF4668" w:rsidP="003214E7">
            <w:pPr>
              <w:tabs>
                <w:tab w:val="left" w:pos="2145"/>
              </w:tabs>
              <w:rPr>
                <w:sz w:val="24"/>
              </w:rPr>
            </w:pPr>
          </w:p>
          <w:p w14:paraId="1DA940D1" w14:textId="77777777" w:rsidR="00CF4668" w:rsidRPr="00CF4668" w:rsidRDefault="00CF4668" w:rsidP="003214E7">
            <w:pPr>
              <w:tabs>
                <w:tab w:val="left" w:pos="2145"/>
              </w:tabs>
              <w:rPr>
                <w:sz w:val="24"/>
              </w:rPr>
            </w:pPr>
            <w:r w:rsidRPr="00CF4668">
              <w:rPr>
                <w:sz w:val="24"/>
              </w:rPr>
              <w:t>NEWAUKUM WATER SYSTEM, INC.,</w:t>
            </w:r>
          </w:p>
          <w:p w14:paraId="01285930" w14:textId="77777777" w:rsidR="00CF4668" w:rsidRPr="00CF4668" w:rsidRDefault="00CF4668" w:rsidP="003214E7">
            <w:pPr>
              <w:tabs>
                <w:tab w:val="left" w:pos="2145"/>
              </w:tabs>
              <w:rPr>
                <w:sz w:val="24"/>
              </w:rPr>
            </w:pPr>
          </w:p>
          <w:p w14:paraId="03F22FF4" w14:textId="77777777" w:rsidR="00CF4668" w:rsidRPr="00CF4668" w:rsidRDefault="00CF4668" w:rsidP="003214E7">
            <w:pPr>
              <w:tabs>
                <w:tab w:val="left" w:pos="2145"/>
              </w:tabs>
              <w:rPr>
                <w:sz w:val="24"/>
              </w:rPr>
            </w:pPr>
            <w:r w:rsidRPr="00CF4668">
              <w:rPr>
                <w:sz w:val="24"/>
              </w:rPr>
              <w:tab/>
              <w:t>Respondent.</w:t>
            </w:r>
          </w:p>
          <w:p w14:paraId="7D2648E1" w14:textId="77777777" w:rsidR="00CF4668" w:rsidRPr="00CF4668" w:rsidRDefault="00CF4668" w:rsidP="003214E7">
            <w:pPr>
              <w:rPr>
                <w:sz w:val="24"/>
              </w:rPr>
            </w:pPr>
          </w:p>
        </w:tc>
        <w:tc>
          <w:tcPr>
            <w:tcW w:w="4590" w:type="dxa"/>
            <w:tcBorders>
              <w:top w:val="single" w:sz="6" w:space="0" w:color="FFFFFF"/>
              <w:left w:val="single" w:sz="7" w:space="0" w:color="000000"/>
              <w:bottom w:val="single" w:sz="6" w:space="0" w:color="FFFFFF"/>
              <w:right w:val="single" w:sz="6" w:space="0" w:color="FFFFFF"/>
            </w:tcBorders>
          </w:tcPr>
          <w:p w14:paraId="40C6CFA4" w14:textId="77777777" w:rsidR="00CF4668" w:rsidRPr="00CF4668" w:rsidRDefault="00CF4668" w:rsidP="003214E7">
            <w:pPr>
              <w:ind w:left="416"/>
              <w:rPr>
                <w:sz w:val="24"/>
              </w:rPr>
            </w:pPr>
            <w:r w:rsidRPr="00CF4668">
              <w:rPr>
                <w:sz w:val="24"/>
              </w:rPr>
              <w:t>DOCKET UW-143181</w:t>
            </w:r>
          </w:p>
          <w:p w14:paraId="26189062" w14:textId="77777777" w:rsidR="00CF4668" w:rsidRPr="00CF4668" w:rsidRDefault="00CF4668" w:rsidP="003214E7">
            <w:pPr>
              <w:ind w:left="416"/>
              <w:rPr>
                <w:sz w:val="24"/>
              </w:rPr>
            </w:pPr>
            <w:r w:rsidRPr="00CF4668">
              <w:rPr>
                <w:sz w:val="24"/>
              </w:rPr>
              <w:t>(</w:t>
            </w:r>
            <w:r w:rsidRPr="00CF4668">
              <w:rPr>
                <w:i/>
                <w:sz w:val="24"/>
              </w:rPr>
              <w:t>Consolidated</w:t>
            </w:r>
            <w:r w:rsidRPr="00CF4668">
              <w:rPr>
                <w:sz w:val="24"/>
              </w:rPr>
              <w:t>)</w:t>
            </w:r>
          </w:p>
          <w:p w14:paraId="1767D639" w14:textId="77777777" w:rsidR="00CF4668" w:rsidRPr="00CF4668" w:rsidRDefault="00CF4668" w:rsidP="003214E7">
            <w:pPr>
              <w:ind w:left="416"/>
              <w:rPr>
                <w:sz w:val="24"/>
              </w:rPr>
            </w:pPr>
          </w:p>
        </w:tc>
      </w:tr>
      <w:tr w:rsidR="00CF4668" w:rsidRPr="00376ACA" w14:paraId="21299525" w14:textId="77777777" w:rsidTr="003214E7">
        <w:tc>
          <w:tcPr>
            <w:tcW w:w="4590" w:type="dxa"/>
            <w:tcBorders>
              <w:top w:val="single" w:sz="6" w:space="0" w:color="FFFFFF"/>
              <w:left w:val="single" w:sz="6" w:space="0" w:color="FFFFFF"/>
              <w:bottom w:val="single" w:sz="7" w:space="0" w:color="000000"/>
              <w:right w:val="single" w:sz="6" w:space="0" w:color="FFFFFF"/>
            </w:tcBorders>
          </w:tcPr>
          <w:p w14:paraId="224293F5" w14:textId="77777777" w:rsidR="00CF4668" w:rsidRDefault="00CF4668" w:rsidP="003214E7">
            <w:pPr>
              <w:rPr>
                <w:sz w:val="24"/>
              </w:rPr>
            </w:pPr>
          </w:p>
          <w:p w14:paraId="4C61EA4C" w14:textId="77777777" w:rsidR="00CF4668" w:rsidRPr="00CF4668" w:rsidRDefault="00CF4668" w:rsidP="003214E7">
            <w:pPr>
              <w:rPr>
                <w:sz w:val="24"/>
              </w:rPr>
            </w:pPr>
            <w:r w:rsidRPr="00CF4668">
              <w:rPr>
                <w:sz w:val="24"/>
              </w:rPr>
              <w:t>WASHINGTON UTILITIES AND TRANSPORTATION COMMISSION,</w:t>
            </w:r>
          </w:p>
          <w:p w14:paraId="63664A16" w14:textId="77777777" w:rsidR="00CF4668" w:rsidRPr="00CF4668" w:rsidRDefault="00CF4668" w:rsidP="003214E7">
            <w:pPr>
              <w:rPr>
                <w:sz w:val="24"/>
              </w:rPr>
            </w:pPr>
            <w:r w:rsidRPr="00CF4668">
              <w:rPr>
                <w:sz w:val="24"/>
              </w:rPr>
              <w:tab/>
              <w:t>Complainant,</w:t>
            </w:r>
          </w:p>
          <w:p w14:paraId="66351E15" w14:textId="77777777" w:rsidR="00CF4668" w:rsidRPr="00CF4668" w:rsidRDefault="00CF4668" w:rsidP="003214E7">
            <w:pPr>
              <w:rPr>
                <w:sz w:val="24"/>
              </w:rPr>
            </w:pPr>
            <w:r w:rsidRPr="00CF4668">
              <w:rPr>
                <w:sz w:val="24"/>
              </w:rPr>
              <w:t>v.</w:t>
            </w:r>
          </w:p>
          <w:p w14:paraId="1ED001A5" w14:textId="77777777" w:rsidR="00CF4668" w:rsidRPr="00CF4668" w:rsidRDefault="00CF4668" w:rsidP="003214E7">
            <w:pPr>
              <w:rPr>
                <w:sz w:val="24"/>
              </w:rPr>
            </w:pPr>
          </w:p>
          <w:p w14:paraId="2CDBCDA4" w14:textId="77777777" w:rsidR="00CF4668" w:rsidRPr="00CF4668" w:rsidRDefault="00CF4668" w:rsidP="003214E7">
            <w:pPr>
              <w:rPr>
                <w:sz w:val="24"/>
              </w:rPr>
            </w:pPr>
            <w:r w:rsidRPr="00CF4668">
              <w:rPr>
                <w:sz w:val="24"/>
              </w:rPr>
              <w:t>NEWAUKUM WATER SYSTEM, INC.,</w:t>
            </w:r>
          </w:p>
          <w:p w14:paraId="076CD6FC" w14:textId="77777777" w:rsidR="00CF4668" w:rsidRPr="00CF4668" w:rsidRDefault="00CF4668" w:rsidP="003214E7">
            <w:pPr>
              <w:rPr>
                <w:sz w:val="24"/>
              </w:rPr>
            </w:pPr>
          </w:p>
          <w:p w14:paraId="7580432E" w14:textId="77777777" w:rsidR="00CF4668" w:rsidRPr="00CF4668" w:rsidRDefault="00CF4668" w:rsidP="003214E7">
            <w:pPr>
              <w:rPr>
                <w:sz w:val="24"/>
              </w:rPr>
            </w:pPr>
            <w:r w:rsidRPr="00CF4668">
              <w:rPr>
                <w:sz w:val="24"/>
              </w:rPr>
              <w:tab/>
              <w:t>Respondent.</w:t>
            </w:r>
          </w:p>
          <w:p w14:paraId="549E4068" w14:textId="77777777" w:rsidR="00CF4668" w:rsidRPr="00CF4668" w:rsidRDefault="00CF4668" w:rsidP="003214E7">
            <w:pPr>
              <w:rPr>
                <w:sz w:val="24"/>
              </w:rPr>
            </w:pPr>
          </w:p>
        </w:tc>
        <w:tc>
          <w:tcPr>
            <w:tcW w:w="4590" w:type="dxa"/>
            <w:tcBorders>
              <w:top w:val="single" w:sz="6" w:space="0" w:color="FFFFFF"/>
              <w:left w:val="single" w:sz="7" w:space="0" w:color="000000"/>
              <w:bottom w:val="single" w:sz="6" w:space="0" w:color="FFFFFF"/>
              <w:right w:val="single" w:sz="6" w:space="0" w:color="FFFFFF"/>
            </w:tcBorders>
          </w:tcPr>
          <w:p w14:paraId="6F32F585" w14:textId="77777777" w:rsidR="00CF4668" w:rsidRDefault="00CF4668" w:rsidP="003214E7">
            <w:pPr>
              <w:ind w:left="416"/>
              <w:rPr>
                <w:sz w:val="24"/>
              </w:rPr>
            </w:pPr>
          </w:p>
          <w:p w14:paraId="5619C9FE" w14:textId="77777777" w:rsidR="00CF4668" w:rsidRPr="00CF4668" w:rsidRDefault="00CF4668" w:rsidP="003214E7">
            <w:pPr>
              <w:ind w:left="416"/>
              <w:rPr>
                <w:sz w:val="24"/>
              </w:rPr>
            </w:pPr>
            <w:r w:rsidRPr="00CF4668">
              <w:rPr>
                <w:sz w:val="24"/>
              </w:rPr>
              <w:t>DOCKET UW-143330</w:t>
            </w:r>
          </w:p>
          <w:p w14:paraId="36670AE9" w14:textId="77777777" w:rsidR="00CF4668" w:rsidRPr="00CF4668" w:rsidRDefault="00CF4668" w:rsidP="003214E7">
            <w:pPr>
              <w:ind w:left="416"/>
              <w:rPr>
                <w:sz w:val="24"/>
              </w:rPr>
            </w:pPr>
            <w:r w:rsidRPr="00CF4668">
              <w:rPr>
                <w:sz w:val="24"/>
              </w:rPr>
              <w:t>(</w:t>
            </w:r>
            <w:r w:rsidRPr="00CF4668">
              <w:rPr>
                <w:i/>
                <w:sz w:val="24"/>
              </w:rPr>
              <w:t>Consolidated</w:t>
            </w:r>
            <w:r w:rsidRPr="00CF4668">
              <w:rPr>
                <w:sz w:val="24"/>
              </w:rPr>
              <w:t>)</w:t>
            </w:r>
          </w:p>
          <w:p w14:paraId="2A1A6D3B" w14:textId="77777777" w:rsidR="00CF4668" w:rsidRPr="00CF4668" w:rsidRDefault="00CF4668" w:rsidP="003214E7">
            <w:pPr>
              <w:ind w:left="416"/>
              <w:rPr>
                <w:sz w:val="24"/>
              </w:rPr>
            </w:pPr>
          </w:p>
          <w:p w14:paraId="52DD2914" w14:textId="77777777" w:rsidR="00CF4668" w:rsidRPr="00CF4668" w:rsidRDefault="00CF4668" w:rsidP="003214E7">
            <w:pPr>
              <w:ind w:left="416"/>
              <w:rPr>
                <w:sz w:val="24"/>
              </w:rPr>
            </w:pPr>
          </w:p>
          <w:p w14:paraId="097DCA66" w14:textId="5499FC67" w:rsidR="00CF4668" w:rsidRPr="00CF4668" w:rsidRDefault="00CF4668" w:rsidP="003214E7">
            <w:pPr>
              <w:ind w:left="416"/>
              <w:rPr>
                <w:sz w:val="24"/>
              </w:rPr>
            </w:pPr>
            <w:r>
              <w:rPr>
                <w:sz w:val="24"/>
              </w:rPr>
              <w:t>NARRATIVE SUPPORTING SETTLEMENT AGREEMENT</w:t>
            </w:r>
          </w:p>
          <w:p w14:paraId="39CA4E46" w14:textId="77777777" w:rsidR="00CF4668" w:rsidRPr="00CF4668" w:rsidRDefault="00CF4668" w:rsidP="003214E7">
            <w:pPr>
              <w:ind w:left="416"/>
              <w:rPr>
                <w:sz w:val="24"/>
              </w:rPr>
            </w:pPr>
          </w:p>
        </w:tc>
      </w:tr>
    </w:tbl>
    <w:p w14:paraId="648F69F5" w14:textId="71A951A5" w:rsidR="00CF4668" w:rsidRDefault="00CF4668" w:rsidP="00F748D8">
      <w:pPr>
        <w:jc w:val="both"/>
        <w:rPr>
          <w:sz w:val="24"/>
        </w:rPr>
      </w:pPr>
    </w:p>
    <w:p w14:paraId="4CB8165B" w14:textId="7280220C" w:rsidR="00895DC5" w:rsidRPr="00895DC5" w:rsidRDefault="00895DC5" w:rsidP="006C5C39">
      <w:pPr>
        <w:widowControl/>
        <w:autoSpaceDE/>
        <w:autoSpaceDN/>
        <w:adjustRightInd/>
        <w:spacing w:line="480" w:lineRule="auto"/>
        <w:jc w:val="center"/>
        <w:rPr>
          <w:sz w:val="24"/>
        </w:rPr>
      </w:pPr>
      <w:r>
        <w:rPr>
          <w:b/>
          <w:sz w:val="24"/>
        </w:rPr>
        <w:t xml:space="preserve">I. </w:t>
      </w:r>
      <w:r w:rsidR="006C5C39">
        <w:rPr>
          <w:b/>
          <w:sz w:val="24"/>
        </w:rPr>
        <w:tab/>
      </w:r>
      <w:r>
        <w:rPr>
          <w:b/>
          <w:sz w:val="24"/>
        </w:rPr>
        <w:t>INTRODUCTION</w:t>
      </w:r>
    </w:p>
    <w:p w14:paraId="79C95674" w14:textId="42347BDA" w:rsidR="00F748D8" w:rsidRPr="006C5C39" w:rsidRDefault="006C5C39" w:rsidP="002E489A">
      <w:pPr>
        <w:widowControl/>
        <w:numPr>
          <w:ilvl w:val="0"/>
          <w:numId w:val="3"/>
        </w:numPr>
        <w:tabs>
          <w:tab w:val="clear" w:pos="720"/>
        </w:tabs>
        <w:autoSpaceDE/>
        <w:autoSpaceDN/>
        <w:adjustRightInd/>
        <w:spacing w:line="480" w:lineRule="auto"/>
        <w:ind w:left="0"/>
        <w:rPr>
          <w:sz w:val="24"/>
        </w:rPr>
      </w:pPr>
      <w:r>
        <w:rPr>
          <w:sz w:val="24"/>
        </w:rPr>
        <w:t xml:space="preserve"> </w:t>
      </w:r>
      <w:r>
        <w:rPr>
          <w:sz w:val="24"/>
        </w:rPr>
        <w:tab/>
      </w:r>
      <w:r w:rsidR="002E489A" w:rsidRPr="006C5C39">
        <w:rPr>
          <w:sz w:val="24"/>
        </w:rPr>
        <w:t>This Narrative Supporting Settlement Agreement (Narrative) is filed pursuant to Washington Administrative Code (WAC) 480-07-740(2)(a) on behalf of both Newaukum Water System, Inc.  (Newaukum or Company), and the Staff of the Washington Utilities and Transportation Commission (Staff) (collectively, the Parties).  Both parties have signed the settlement agreement (Agreement) for the above-referenced dockets, rendering it a “full settlement” pursuant to WAC 480-07-730(1).  The Agreement is being filed concurrently with this Narrative.  This Narrative summarizes the Agreement but is not intended to modify any terms of the Agreement</w:t>
      </w:r>
      <w:r w:rsidR="00F748D8" w:rsidRPr="006C5C39">
        <w:rPr>
          <w:sz w:val="24"/>
        </w:rPr>
        <w:t xml:space="preserve">. </w:t>
      </w:r>
    </w:p>
    <w:p w14:paraId="3C28E8FB" w14:textId="38A72DFB" w:rsidR="00895DC5" w:rsidRPr="006C5C39" w:rsidRDefault="00895DC5" w:rsidP="006C5C39">
      <w:pPr>
        <w:widowControl/>
        <w:autoSpaceDE/>
        <w:autoSpaceDN/>
        <w:adjustRightInd/>
        <w:spacing w:line="480" w:lineRule="auto"/>
        <w:jc w:val="center"/>
        <w:rPr>
          <w:b/>
          <w:sz w:val="24"/>
        </w:rPr>
      </w:pPr>
      <w:r w:rsidRPr="006C5C39">
        <w:rPr>
          <w:b/>
          <w:sz w:val="24"/>
        </w:rPr>
        <w:lastRenderedPageBreak/>
        <w:t xml:space="preserve">II. </w:t>
      </w:r>
      <w:r w:rsidR="006C5C39">
        <w:rPr>
          <w:b/>
          <w:sz w:val="24"/>
        </w:rPr>
        <w:tab/>
      </w:r>
      <w:r w:rsidRPr="006C5C39">
        <w:rPr>
          <w:b/>
          <w:sz w:val="24"/>
        </w:rPr>
        <w:t>PROPOSALS FOR REVIEW PROCEDURE</w:t>
      </w:r>
    </w:p>
    <w:p w14:paraId="59EA8E65" w14:textId="009BC756" w:rsidR="002E489A" w:rsidRPr="006C5C39" w:rsidRDefault="006C5C39" w:rsidP="002E489A">
      <w:pPr>
        <w:widowControl/>
        <w:numPr>
          <w:ilvl w:val="0"/>
          <w:numId w:val="3"/>
        </w:numPr>
        <w:autoSpaceDE/>
        <w:autoSpaceDN/>
        <w:adjustRightInd/>
        <w:spacing w:line="480" w:lineRule="auto"/>
        <w:ind w:left="0"/>
        <w:rPr>
          <w:sz w:val="24"/>
        </w:rPr>
      </w:pPr>
      <w:r>
        <w:rPr>
          <w:sz w:val="24"/>
        </w:rPr>
        <w:t xml:space="preserve"> </w:t>
      </w:r>
      <w:r>
        <w:rPr>
          <w:sz w:val="24"/>
        </w:rPr>
        <w:tab/>
      </w:r>
      <w:r w:rsidR="002E489A" w:rsidRPr="006C5C39">
        <w:rPr>
          <w:sz w:val="24"/>
        </w:rPr>
        <w:t xml:space="preserve">The Parties submit that this matter involving Staff’s complaint against Newaukum’s rates is less complex than a </w:t>
      </w:r>
      <w:r w:rsidR="00AD68C5" w:rsidRPr="006C5C39">
        <w:rPr>
          <w:sz w:val="24"/>
        </w:rPr>
        <w:t xml:space="preserve">company-filed </w:t>
      </w:r>
      <w:r w:rsidR="002E489A" w:rsidRPr="006C5C39">
        <w:rPr>
          <w:sz w:val="24"/>
        </w:rPr>
        <w:t>general rate proceeding.  The</w:t>
      </w:r>
      <w:r w:rsidR="00AD68C5" w:rsidRPr="006C5C39">
        <w:rPr>
          <w:sz w:val="24"/>
        </w:rPr>
        <w:t>refore, the</w:t>
      </w:r>
      <w:r w:rsidR="002E489A" w:rsidRPr="006C5C39">
        <w:rPr>
          <w:sz w:val="24"/>
        </w:rPr>
        <w:t xml:space="preserve"> Parties request that review proceed on a timetable for less complex matters, as provided in WAC 480-07-740(1)(b).  </w:t>
      </w:r>
    </w:p>
    <w:p w14:paraId="56480850" w14:textId="733AD6DA" w:rsidR="002E489A" w:rsidRPr="006C5C39" w:rsidRDefault="006C5C39" w:rsidP="002E489A">
      <w:pPr>
        <w:widowControl/>
        <w:numPr>
          <w:ilvl w:val="0"/>
          <w:numId w:val="3"/>
        </w:numPr>
        <w:autoSpaceDE/>
        <w:autoSpaceDN/>
        <w:adjustRightInd/>
        <w:spacing w:line="480" w:lineRule="auto"/>
        <w:ind w:left="0"/>
        <w:rPr>
          <w:sz w:val="24"/>
        </w:rPr>
      </w:pPr>
      <w:r>
        <w:rPr>
          <w:sz w:val="24"/>
        </w:rPr>
        <w:t xml:space="preserve"> </w:t>
      </w:r>
      <w:r>
        <w:rPr>
          <w:sz w:val="24"/>
        </w:rPr>
        <w:tab/>
      </w:r>
      <w:r w:rsidR="00AD68C5" w:rsidRPr="006C5C39">
        <w:rPr>
          <w:sz w:val="24"/>
        </w:rPr>
        <w:t xml:space="preserve">The Parties request that the Commission conduct a settlement hearing as contemplated in WAC 480-07-740(1). </w:t>
      </w:r>
      <w:r w:rsidR="002E489A" w:rsidRPr="006C5C39">
        <w:rPr>
          <w:sz w:val="24"/>
        </w:rPr>
        <w:t xml:space="preserve">Although this matter is less complex, </w:t>
      </w:r>
      <w:r w:rsidR="00AD68C5" w:rsidRPr="006C5C39">
        <w:rPr>
          <w:sz w:val="24"/>
        </w:rPr>
        <w:t>various customers of Newaukum</w:t>
      </w:r>
      <w:r w:rsidR="002E489A" w:rsidRPr="006C5C39">
        <w:rPr>
          <w:sz w:val="24"/>
        </w:rPr>
        <w:t xml:space="preserve"> have voiced </w:t>
      </w:r>
      <w:r w:rsidR="00AD68C5" w:rsidRPr="006C5C39">
        <w:rPr>
          <w:sz w:val="24"/>
        </w:rPr>
        <w:t xml:space="preserve">both satisfaction and </w:t>
      </w:r>
      <w:r w:rsidR="002E489A" w:rsidRPr="006C5C39">
        <w:rPr>
          <w:sz w:val="24"/>
        </w:rPr>
        <w:t>displeasure with the proposed settlement and the Parties concur that a formal settlement hearing and the opportunity for public comment are necessary in this case.</w:t>
      </w:r>
    </w:p>
    <w:p w14:paraId="446B0749" w14:textId="33515445" w:rsidR="002E489A" w:rsidRPr="006C5C39" w:rsidRDefault="006C5C39" w:rsidP="002E489A">
      <w:pPr>
        <w:widowControl/>
        <w:numPr>
          <w:ilvl w:val="0"/>
          <w:numId w:val="3"/>
        </w:numPr>
        <w:tabs>
          <w:tab w:val="clear" w:pos="720"/>
        </w:tabs>
        <w:autoSpaceDE/>
        <w:autoSpaceDN/>
        <w:adjustRightInd/>
        <w:spacing w:line="480" w:lineRule="auto"/>
        <w:ind w:left="0"/>
        <w:rPr>
          <w:sz w:val="24"/>
        </w:rPr>
      </w:pPr>
      <w:r>
        <w:rPr>
          <w:sz w:val="24"/>
        </w:rPr>
        <w:t xml:space="preserve"> </w:t>
      </w:r>
      <w:r>
        <w:rPr>
          <w:sz w:val="24"/>
        </w:rPr>
        <w:tab/>
      </w:r>
      <w:r w:rsidR="00AD68C5" w:rsidRPr="006C5C39">
        <w:rPr>
          <w:sz w:val="24"/>
        </w:rPr>
        <w:t>The Parties do not intend to file documentation supporting the Agreement, with the exception of the Agreement itself and this Narrative.  If the Commission requires supporting documents beyond the Agreement, Narrative, and the other documents on file in this docket, the Parties will provide documentation as needed.</w:t>
      </w:r>
    </w:p>
    <w:p w14:paraId="37F74511" w14:textId="521AAFCF" w:rsidR="00F24159" w:rsidRPr="006C5C39" w:rsidRDefault="006C5C39" w:rsidP="00F24159">
      <w:pPr>
        <w:widowControl/>
        <w:numPr>
          <w:ilvl w:val="0"/>
          <w:numId w:val="3"/>
        </w:numPr>
        <w:tabs>
          <w:tab w:val="clear" w:pos="720"/>
        </w:tabs>
        <w:autoSpaceDE/>
        <w:autoSpaceDN/>
        <w:adjustRightInd/>
        <w:spacing w:line="480" w:lineRule="auto"/>
        <w:ind w:left="0"/>
        <w:rPr>
          <w:sz w:val="24"/>
        </w:rPr>
      </w:pPr>
      <w:r>
        <w:rPr>
          <w:sz w:val="24"/>
        </w:rPr>
        <w:t xml:space="preserve"> </w:t>
      </w:r>
      <w:r>
        <w:rPr>
          <w:sz w:val="24"/>
        </w:rPr>
        <w:tab/>
      </w:r>
      <w:r w:rsidR="00AD68C5" w:rsidRPr="006C5C39">
        <w:rPr>
          <w:sz w:val="24"/>
        </w:rPr>
        <w:t>In keeping with WAC 480-07-740(2)(b), the Parties are prepared to present one or more witnesses each to testify in support of the proposal and answer questions concerning the Agreement’s details, and its costs and benefits, should such testimony be required at the Parties’ requested settlement hearing.  In addition, representatives of both Parties are available to respond to any questions regarding the proposed settlement that the Commission may have.</w:t>
      </w:r>
    </w:p>
    <w:p w14:paraId="7FEF0C4F" w14:textId="64D782BF" w:rsidR="00895DC5" w:rsidRPr="006C5C39" w:rsidRDefault="00895DC5" w:rsidP="006C5C39">
      <w:pPr>
        <w:widowControl/>
        <w:autoSpaceDE/>
        <w:autoSpaceDN/>
        <w:adjustRightInd/>
        <w:spacing w:line="480" w:lineRule="auto"/>
        <w:jc w:val="center"/>
        <w:rPr>
          <w:b/>
          <w:sz w:val="24"/>
        </w:rPr>
      </w:pPr>
      <w:r w:rsidRPr="006C5C39">
        <w:rPr>
          <w:b/>
          <w:sz w:val="24"/>
        </w:rPr>
        <w:t xml:space="preserve">III. </w:t>
      </w:r>
      <w:r w:rsidR="006C5C39">
        <w:rPr>
          <w:b/>
          <w:sz w:val="24"/>
        </w:rPr>
        <w:tab/>
      </w:r>
      <w:r w:rsidRPr="006C5C39">
        <w:rPr>
          <w:b/>
          <w:sz w:val="24"/>
        </w:rPr>
        <w:t>SCOPE OF THE UNDERLYING DISPUTE</w:t>
      </w:r>
    </w:p>
    <w:p w14:paraId="6384D14A" w14:textId="3ABFBE77" w:rsidR="00F24159" w:rsidRPr="006C5C39" w:rsidRDefault="006C5C39" w:rsidP="00F24159">
      <w:pPr>
        <w:widowControl/>
        <w:numPr>
          <w:ilvl w:val="0"/>
          <w:numId w:val="3"/>
        </w:numPr>
        <w:tabs>
          <w:tab w:val="clear" w:pos="720"/>
        </w:tabs>
        <w:autoSpaceDE/>
        <w:autoSpaceDN/>
        <w:adjustRightInd/>
        <w:spacing w:line="480" w:lineRule="auto"/>
        <w:ind w:left="0"/>
        <w:rPr>
          <w:sz w:val="24"/>
        </w:rPr>
      </w:pPr>
      <w:r>
        <w:rPr>
          <w:sz w:val="24"/>
        </w:rPr>
        <w:t xml:space="preserve"> </w:t>
      </w:r>
      <w:r>
        <w:rPr>
          <w:sz w:val="24"/>
        </w:rPr>
        <w:tab/>
      </w:r>
      <w:r w:rsidR="00F24159" w:rsidRPr="006C5C39">
        <w:rPr>
          <w:sz w:val="24"/>
        </w:rPr>
        <w:t xml:space="preserve">The underlying dispute concerns two dockets involving Staff and Newaukum.  On September 11, 2014, the Commission entered Order 01 in Docket UW-143181 setting forth </w:t>
      </w:r>
      <w:r w:rsidR="00F24159" w:rsidRPr="006C5C39">
        <w:rPr>
          <w:sz w:val="24"/>
        </w:rPr>
        <w:lastRenderedPageBreak/>
        <w:t xml:space="preserve">a complaint against Newaukum’s rates and alleging that the Company’s rates may be excessive.  On September 15, 2014, Newaukum filed a petition in Docket UW-143330 requesting to be removed from Commission jurisdiction. On October 28, 2014, the Commission issued an order consolidating Dockets UW-143181 and UW-143330.  </w:t>
      </w:r>
    </w:p>
    <w:p w14:paraId="31BE3C94" w14:textId="68FAB657" w:rsidR="00AD68C5" w:rsidRPr="006C5C39" w:rsidRDefault="006C5C39" w:rsidP="002E489A">
      <w:pPr>
        <w:widowControl/>
        <w:numPr>
          <w:ilvl w:val="0"/>
          <w:numId w:val="3"/>
        </w:numPr>
        <w:tabs>
          <w:tab w:val="clear" w:pos="720"/>
        </w:tabs>
        <w:autoSpaceDE/>
        <w:autoSpaceDN/>
        <w:adjustRightInd/>
        <w:spacing w:line="480" w:lineRule="auto"/>
        <w:ind w:left="0"/>
        <w:rPr>
          <w:sz w:val="24"/>
        </w:rPr>
      </w:pPr>
      <w:r>
        <w:rPr>
          <w:sz w:val="24"/>
        </w:rPr>
        <w:t xml:space="preserve"> </w:t>
      </w:r>
      <w:r>
        <w:rPr>
          <w:sz w:val="24"/>
        </w:rPr>
        <w:tab/>
      </w:r>
      <w:r w:rsidR="00F24159" w:rsidRPr="006C5C39">
        <w:rPr>
          <w:sz w:val="24"/>
        </w:rPr>
        <w:t>On January 13, 2015, the Commission issued an order denying the Company’s petition to remove it from the Commission’</w:t>
      </w:r>
      <w:r w:rsidR="00F53CDC" w:rsidRPr="006C5C39">
        <w:rPr>
          <w:sz w:val="24"/>
        </w:rPr>
        <w:t>s jurisdiction.  Staff’s complaint against the Company’s rates remained intact and subject to the</w:t>
      </w:r>
      <w:r w:rsidR="00895DC5" w:rsidRPr="006C5C39">
        <w:rPr>
          <w:sz w:val="24"/>
        </w:rPr>
        <w:t xml:space="preserve"> previously-determined</w:t>
      </w:r>
      <w:r w:rsidR="00F53CDC" w:rsidRPr="006C5C39">
        <w:rPr>
          <w:sz w:val="24"/>
        </w:rPr>
        <w:t xml:space="preserve"> procedural schedule. </w:t>
      </w:r>
      <w:r w:rsidR="00F24159" w:rsidRPr="006C5C39">
        <w:rPr>
          <w:sz w:val="24"/>
        </w:rPr>
        <w:t xml:space="preserve"> </w:t>
      </w:r>
    </w:p>
    <w:p w14:paraId="039DD987" w14:textId="75322302" w:rsidR="00895DC5" w:rsidRPr="006C5C39" w:rsidRDefault="00895DC5" w:rsidP="006C5C39">
      <w:pPr>
        <w:widowControl/>
        <w:autoSpaceDE/>
        <w:autoSpaceDN/>
        <w:adjustRightInd/>
        <w:spacing w:line="480" w:lineRule="auto"/>
        <w:jc w:val="center"/>
        <w:rPr>
          <w:b/>
          <w:sz w:val="24"/>
        </w:rPr>
      </w:pPr>
      <w:r w:rsidRPr="006C5C39">
        <w:rPr>
          <w:b/>
          <w:sz w:val="24"/>
        </w:rPr>
        <w:t xml:space="preserve">IV. </w:t>
      </w:r>
      <w:r w:rsidR="006C5C39">
        <w:rPr>
          <w:b/>
          <w:sz w:val="24"/>
        </w:rPr>
        <w:tab/>
      </w:r>
      <w:r w:rsidRPr="006C5C39">
        <w:rPr>
          <w:b/>
          <w:sz w:val="24"/>
        </w:rPr>
        <w:t>DESCRIPTION OF PROPOSED SETTLEMENT</w:t>
      </w:r>
    </w:p>
    <w:p w14:paraId="73ACCBAA" w14:textId="1F760A26" w:rsidR="00895DC5" w:rsidRPr="006C5C39" w:rsidRDefault="006C5C39" w:rsidP="002E489A">
      <w:pPr>
        <w:widowControl/>
        <w:numPr>
          <w:ilvl w:val="0"/>
          <w:numId w:val="3"/>
        </w:numPr>
        <w:tabs>
          <w:tab w:val="clear" w:pos="720"/>
        </w:tabs>
        <w:autoSpaceDE/>
        <w:autoSpaceDN/>
        <w:adjustRightInd/>
        <w:spacing w:line="480" w:lineRule="auto"/>
        <w:ind w:left="0"/>
        <w:rPr>
          <w:sz w:val="24"/>
        </w:rPr>
      </w:pPr>
      <w:r>
        <w:rPr>
          <w:sz w:val="24"/>
        </w:rPr>
        <w:t xml:space="preserve"> </w:t>
      </w:r>
      <w:r>
        <w:rPr>
          <w:sz w:val="24"/>
        </w:rPr>
        <w:tab/>
      </w:r>
      <w:r w:rsidR="00F53CDC" w:rsidRPr="006C5C39">
        <w:rPr>
          <w:sz w:val="24"/>
        </w:rPr>
        <w:t>The settlement agreement resolves all issues in dispute.  Newaukum agrees that its costs support an annual revenue requirement of $12,672</w:t>
      </w:r>
      <w:r w:rsidR="00895DC5" w:rsidRPr="006C5C39">
        <w:rPr>
          <w:sz w:val="24"/>
        </w:rPr>
        <w:t xml:space="preserve">.  The Company’s revenue requirement shall be spread equally among all customers, resulting in a monthly charge of $48.00 per customer. </w:t>
      </w:r>
    </w:p>
    <w:p w14:paraId="62205956" w14:textId="0E70288D" w:rsidR="00895DC5" w:rsidRPr="006C5C39" w:rsidRDefault="006C5C39" w:rsidP="00895DC5">
      <w:pPr>
        <w:widowControl/>
        <w:numPr>
          <w:ilvl w:val="0"/>
          <w:numId w:val="3"/>
        </w:numPr>
        <w:tabs>
          <w:tab w:val="clear" w:pos="720"/>
        </w:tabs>
        <w:autoSpaceDE/>
        <w:autoSpaceDN/>
        <w:adjustRightInd/>
        <w:spacing w:line="480" w:lineRule="auto"/>
        <w:ind w:left="0"/>
        <w:rPr>
          <w:sz w:val="24"/>
        </w:rPr>
      </w:pPr>
      <w:r>
        <w:rPr>
          <w:sz w:val="24"/>
        </w:rPr>
        <w:t xml:space="preserve"> </w:t>
      </w:r>
      <w:r>
        <w:rPr>
          <w:sz w:val="24"/>
        </w:rPr>
        <w:tab/>
      </w:r>
      <w:r w:rsidR="00F53CDC" w:rsidRPr="006C5C39">
        <w:rPr>
          <w:sz w:val="24"/>
        </w:rPr>
        <w:t>The Company will file an updated tariff</w:t>
      </w:r>
      <w:r w:rsidR="00895DC5" w:rsidRPr="006C5C39">
        <w:rPr>
          <w:sz w:val="24"/>
        </w:rPr>
        <w:t xml:space="preserve"> with an effective date of April 1, 2015,</w:t>
      </w:r>
      <w:r w:rsidR="00F53CDC" w:rsidRPr="006C5C39">
        <w:rPr>
          <w:sz w:val="24"/>
        </w:rPr>
        <w:t xml:space="preserve"> to reflect a $48.00 monthly charge per customer.  </w:t>
      </w:r>
    </w:p>
    <w:p w14:paraId="1BC5E7F5" w14:textId="7FD06D67" w:rsidR="00895DC5" w:rsidRPr="006C5C39" w:rsidRDefault="00895DC5" w:rsidP="006C5C39">
      <w:pPr>
        <w:widowControl/>
        <w:autoSpaceDE/>
        <w:autoSpaceDN/>
        <w:adjustRightInd/>
        <w:spacing w:line="480" w:lineRule="auto"/>
        <w:jc w:val="center"/>
        <w:rPr>
          <w:b/>
          <w:sz w:val="24"/>
        </w:rPr>
      </w:pPr>
      <w:r w:rsidRPr="006C5C39">
        <w:rPr>
          <w:b/>
          <w:sz w:val="24"/>
        </w:rPr>
        <w:t xml:space="preserve">V. </w:t>
      </w:r>
      <w:r w:rsidR="006C5C39">
        <w:rPr>
          <w:b/>
          <w:sz w:val="24"/>
        </w:rPr>
        <w:tab/>
      </w:r>
      <w:r w:rsidRPr="006C5C39">
        <w:rPr>
          <w:b/>
          <w:sz w:val="24"/>
        </w:rPr>
        <w:t>STATEMENT OF PARTIES’ INTERESTS AND THE PUBLIC INTEREST</w:t>
      </w:r>
    </w:p>
    <w:p w14:paraId="3569A997" w14:textId="7A0213DB" w:rsidR="006C5C39" w:rsidRPr="006C5C39" w:rsidRDefault="006C5C39" w:rsidP="00895DC5">
      <w:pPr>
        <w:widowControl/>
        <w:numPr>
          <w:ilvl w:val="0"/>
          <w:numId w:val="3"/>
        </w:numPr>
        <w:tabs>
          <w:tab w:val="clear" w:pos="720"/>
        </w:tabs>
        <w:autoSpaceDE/>
        <w:autoSpaceDN/>
        <w:adjustRightInd/>
        <w:spacing w:line="480" w:lineRule="auto"/>
        <w:ind w:left="0"/>
        <w:rPr>
          <w:sz w:val="24"/>
        </w:rPr>
      </w:pPr>
      <w:r>
        <w:rPr>
          <w:sz w:val="24"/>
        </w:rPr>
        <w:t xml:space="preserve"> </w:t>
      </w:r>
      <w:r>
        <w:rPr>
          <w:sz w:val="24"/>
        </w:rPr>
        <w:tab/>
      </w:r>
      <w:r w:rsidR="00895DC5" w:rsidRPr="006C5C39">
        <w:rPr>
          <w:sz w:val="24"/>
        </w:rPr>
        <w:t xml:space="preserve">As stated in the Agreement, the settlement represents a compromise of the positions of the Parties.  The Parties find it is in their best interests to avoid the expense, inconvenience, uncertainty, and delay inherent with a litigated outcome.  Likewise, it is in the public interest that this dispute conclude without the further expenditure of public resources on litigation expenses.  Finally, Staff is satisfied that the settlement is consistent with its efforts to ensure compliance </w:t>
      </w:r>
      <w:r w:rsidRPr="006C5C39">
        <w:rPr>
          <w:sz w:val="24"/>
        </w:rPr>
        <w:t xml:space="preserve">with the relevant statutes and regulatory principles that require a utility’s rates to reflect prudent costs incurred to provide service to ratepayers. </w:t>
      </w:r>
    </w:p>
    <w:p w14:paraId="27A7A6C4" w14:textId="3CC0BA1C" w:rsidR="00895DC5" w:rsidRPr="006C5C39" w:rsidRDefault="006C5C39" w:rsidP="00895DC5">
      <w:pPr>
        <w:widowControl/>
        <w:numPr>
          <w:ilvl w:val="0"/>
          <w:numId w:val="3"/>
        </w:numPr>
        <w:tabs>
          <w:tab w:val="clear" w:pos="720"/>
        </w:tabs>
        <w:autoSpaceDE/>
        <w:autoSpaceDN/>
        <w:adjustRightInd/>
        <w:spacing w:line="480" w:lineRule="auto"/>
        <w:ind w:left="0"/>
        <w:rPr>
          <w:sz w:val="24"/>
        </w:rPr>
      </w:pPr>
      <w:r>
        <w:rPr>
          <w:sz w:val="24"/>
        </w:rPr>
        <w:lastRenderedPageBreak/>
        <w:t xml:space="preserve"> </w:t>
      </w:r>
      <w:r>
        <w:rPr>
          <w:sz w:val="24"/>
        </w:rPr>
        <w:tab/>
      </w:r>
      <w:r w:rsidR="00895DC5" w:rsidRPr="006C5C39">
        <w:rPr>
          <w:sz w:val="24"/>
        </w:rPr>
        <w:t xml:space="preserve">The </w:t>
      </w:r>
      <w:r w:rsidRPr="006C5C39">
        <w:rPr>
          <w:sz w:val="24"/>
        </w:rPr>
        <w:t xml:space="preserve">agreed rates </w:t>
      </w:r>
      <w:r w:rsidR="00895DC5" w:rsidRPr="006C5C39">
        <w:rPr>
          <w:sz w:val="24"/>
        </w:rPr>
        <w:t>recognize the importance of</w:t>
      </w:r>
      <w:r w:rsidRPr="006C5C39">
        <w:rPr>
          <w:sz w:val="24"/>
        </w:rPr>
        <w:t xml:space="preserve"> supportable costs as the basis for a utility’s rates</w:t>
      </w:r>
      <w:r w:rsidR="00895DC5" w:rsidRPr="006C5C39">
        <w:rPr>
          <w:sz w:val="24"/>
        </w:rPr>
        <w:t xml:space="preserve">.  </w:t>
      </w:r>
      <w:r w:rsidRPr="006C5C39">
        <w:rPr>
          <w:sz w:val="24"/>
        </w:rPr>
        <w:t xml:space="preserve">The Agreement ensures the Company’s rates are fair, just, reasonable, and sufficient in relation to costs, </w:t>
      </w:r>
      <w:r w:rsidR="00895DC5" w:rsidRPr="006C5C39">
        <w:rPr>
          <w:sz w:val="24"/>
        </w:rPr>
        <w:t>and</w:t>
      </w:r>
      <w:r w:rsidRPr="006C5C39">
        <w:rPr>
          <w:sz w:val="24"/>
        </w:rPr>
        <w:t xml:space="preserve"> promotes prudent management of Newaukum’s affairs moving forward</w:t>
      </w:r>
      <w:r w:rsidR="00895DC5" w:rsidRPr="006C5C39">
        <w:rPr>
          <w:sz w:val="24"/>
        </w:rPr>
        <w:t xml:space="preserve">.  </w:t>
      </w:r>
    </w:p>
    <w:p w14:paraId="1DB84D4E" w14:textId="48B0A042" w:rsidR="00895DC5" w:rsidRPr="006C5C39" w:rsidRDefault="006C5C39" w:rsidP="006C5C39">
      <w:pPr>
        <w:widowControl/>
        <w:autoSpaceDE/>
        <w:autoSpaceDN/>
        <w:adjustRightInd/>
        <w:spacing w:line="480" w:lineRule="auto"/>
        <w:jc w:val="center"/>
        <w:rPr>
          <w:b/>
          <w:sz w:val="24"/>
        </w:rPr>
      </w:pPr>
      <w:r w:rsidRPr="006C5C39">
        <w:rPr>
          <w:b/>
          <w:sz w:val="24"/>
        </w:rPr>
        <w:t xml:space="preserve">VI. </w:t>
      </w:r>
      <w:r>
        <w:rPr>
          <w:b/>
          <w:sz w:val="24"/>
        </w:rPr>
        <w:tab/>
      </w:r>
      <w:r w:rsidRPr="006C5C39">
        <w:rPr>
          <w:b/>
          <w:sz w:val="24"/>
        </w:rPr>
        <w:t>LEGAL POINTS THAT BEAR ON PROPOSED SETTLEMENT</w:t>
      </w:r>
    </w:p>
    <w:p w14:paraId="67331FA4" w14:textId="3B00E6E2" w:rsidR="00895DC5" w:rsidRPr="006C5C39" w:rsidRDefault="006C5C39" w:rsidP="002E489A">
      <w:pPr>
        <w:widowControl/>
        <w:numPr>
          <w:ilvl w:val="0"/>
          <w:numId w:val="3"/>
        </w:numPr>
        <w:tabs>
          <w:tab w:val="clear" w:pos="720"/>
        </w:tabs>
        <w:autoSpaceDE/>
        <w:autoSpaceDN/>
        <w:adjustRightInd/>
        <w:spacing w:line="480" w:lineRule="auto"/>
        <w:ind w:left="0"/>
        <w:rPr>
          <w:sz w:val="24"/>
        </w:rPr>
      </w:pPr>
      <w:r>
        <w:rPr>
          <w:sz w:val="24"/>
        </w:rPr>
        <w:t xml:space="preserve"> </w:t>
      </w:r>
      <w:r>
        <w:rPr>
          <w:sz w:val="24"/>
        </w:rPr>
        <w:tab/>
      </w:r>
      <w:r w:rsidR="00895DC5" w:rsidRPr="006C5C39">
        <w:rPr>
          <w:sz w:val="24"/>
        </w:rPr>
        <w:t>In WAC 480-07-700, the Commission states its support for parties’ informal efforts to resolve disputes without the need for contested hearings when doing so is lawful and consistent with the public interest.  The Parties have resolved all of the issues in dispute between them, and their resolution complies with Commission rules and, as explained above, is consistent with the public interest.</w:t>
      </w:r>
    </w:p>
    <w:p w14:paraId="706EF582" w14:textId="6BCD68A5" w:rsidR="006C5C39" w:rsidRPr="006C5C39" w:rsidRDefault="006C5C39" w:rsidP="006C5C39">
      <w:pPr>
        <w:widowControl/>
        <w:autoSpaceDE/>
        <w:autoSpaceDN/>
        <w:adjustRightInd/>
        <w:spacing w:line="480" w:lineRule="auto"/>
        <w:jc w:val="center"/>
        <w:rPr>
          <w:b/>
          <w:sz w:val="24"/>
        </w:rPr>
      </w:pPr>
      <w:r w:rsidRPr="006C5C39">
        <w:rPr>
          <w:b/>
          <w:sz w:val="24"/>
        </w:rPr>
        <w:t xml:space="preserve">VII. </w:t>
      </w:r>
      <w:r w:rsidRPr="006C5C39">
        <w:rPr>
          <w:b/>
          <w:sz w:val="24"/>
        </w:rPr>
        <w:tab/>
        <w:t>CONCLUSION</w:t>
      </w:r>
    </w:p>
    <w:p w14:paraId="011BBEDF" w14:textId="4ED6BD16" w:rsidR="00895DC5" w:rsidRPr="00E34A77" w:rsidRDefault="00895DC5" w:rsidP="00E34A77">
      <w:pPr>
        <w:keepNext/>
        <w:widowControl/>
        <w:numPr>
          <w:ilvl w:val="0"/>
          <w:numId w:val="3"/>
        </w:numPr>
        <w:tabs>
          <w:tab w:val="clear" w:pos="720"/>
        </w:tabs>
        <w:autoSpaceDE/>
        <w:autoSpaceDN/>
        <w:adjustRightInd/>
        <w:spacing w:line="480" w:lineRule="auto"/>
        <w:ind w:left="0"/>
        <w:rPr>
          <w:sz w:val="24"/>
        </w:rPr>
      </w:pPr>
      <w:r w:rsidRPr="006C5C39">
        <w:rPr>
          <w:sz w:val="24"/>
        </w:rPr>
        <w:tab/>
        <w:t>Because the Parties have negotiated a compromise on all of the issues in this dispute and because the settlement is in the public interest, the Parties request that the Commission schedule a settlement hearing and subsequently issue an order approving the Agreement without condition.</w:t>
      </w:r>
    </w:p>
    <w:p w14:paraId="79C95675" w14:textId="0C06E902" w:rsidR="00F748D8" w:rsidRDefault="00F748D8" w:rsidP="00F748D8">
      <w:pPr>
        <w:ind w:left="720"/>
        <w:rPr>
          <w:sz w:val="24"/>
        </w:rPr>
      </w:pPr>
      <w:r w:rsidRPr="004A2910">
        <w:rPr>
          <w:sz w:val="24"/>
        </w:rPr>
        <w:t xml:space="preserve">DATED this _____ day of </w:t>
      </w:r>
      <w:r w:rsidR="00E34A77">
        <w:rPr>
          <w:sz w:val="24"/>
        </w:rPr>
        <w:t>February</w:t>
      </w:r>
      <w:r w:rsidRPr="004A2910">
        <w:rPr>
          <w:sz w:val="24"/>
        </w:rPr>
        <w:t xml:space="preserve"> 20</w:t>
      </w:r>
      <w:r w:rsidR="004A26FF">
        <w:rPr>
          <w:sz w:val="24"/>
        </w:rPr>
        <w:t>1</w:t>
      </w:r>
      <w:r w:rsidR="00E34A77">
        <w:rPr>
          <w:sz w:val="24"/>
        </w:rPr>
        <w:t>5</w:t>
      </w:r>
      <w:r w:rsidRPr="004A2910">
        <w:rPr>
          <w:sz w:val="24"/>
        </w:rPr>
        <w:t>.</w:t>
      </w:r>
    </w:p>
    <w:p w14:paraId="79C95676" w14:textId="77777777" w:rsidR="00F748D8" w:rsidRDefault="00F748D8" w:rsidP="00F748D8">
      <w:pPr>
        <w:ind w:left="720"/>
        <w:rPr>
          <w:sz w:val="24"/>
        </w:rPr>
      </w:pPr>
    </w:p>
    <w:p w14:paraId="0EAE9733" w14:textId="6D0CC96E" w:rsidR="003662C6" w:rsidRPr="003662C6" w:rsidRDefault="003662C6" w:rsidP="003662C6">
      <w:pPr>
        <w:keepNext/>
        <w:rPr>
          <w:sz w:val="24"/>
        </w:rPr>
      </w:pPr>
      <w:bookmarkStart w:id="0" w:name="_GoBack"/>
      <w:bookmarkEnd w:id="0"/>
      <w:r w:rsidRPr="003662C6">
        <w:rPr>
          <w:sz w:val="24"/>
        </w:rPr>
        <w:t xml:space="preserve">ROBERT W. FERGUSON </w:t>
      </w:r>
      <w:r w:rsidRPr="003662C6">
        <w:rPr>
          <w:sz w:val="24"/>
        </w:rPr>
        <w:tab/>
      </w:r>
      <w:r w:rsidRPr="003662C6">
        <w:rPr>
          <w:sz w:val="24"/>
        </w:rPr>
        <w:tab/>
      </w:r>
      <w:r w:rsidRPr="003662C6">
        <w:rPr>
          <w:sz w:val="24"/>
        </w:rPr>
        <w:tab/>
      </w:r>
      <w:r w:rsidRPr="003662C6">
        <w:rPr>
          <w:sz w:val="24"/>
        </w:rPr>
        <w:tab/>
        <w:t>NEWAUKUM WATER SYSTEM.</w:t>
      </w:r>
    </w:p>
    <w:p w14:paraId="5AEB3BD8" w14:textId="77777777" w:rsidR="003662C6" w:rsidRPr="003662C6" w:rsidRDefault="003662C6" w:rsidP="003662C6">
      <w:pPr>
        <w:jc w:val="both"/>
        <w:rPr>
          <w:sz w:val="24"/>
        </w:rPr>
      </w:pPr>
      <w:r w:rsidRPr="003662C6">
        <w:rPr>
          <w:sz w:val="24"/>
        </w:rPr>
        <w:t>Attorney General</w:t>
      </w:r>
      <w:r w:rsidRPr="003662C6">
        <w:rPr>
          <w:sz w:val="24"/>
        </w:rPr>
        <w:tab/>
      </w:r>
      <w:r w:rsidRPr="003662C6">
        <w:rPr>
          <w:sz w:val="24"/>
        </w:rPr>
        <w:tab/>
      </w:r>
      <w:r w:rsidRPr="003662C6">
        <w:rPr>
          <w:sz w:val="24"/>
        </w:rPr>
        <w:tab/>
      </w:r>
      <w:r w:rsidRPr="003662C6">
        <w:rPr>
          <w:sz w:val="24"/>
        </w:rPr>
        <w:tab/>
      </w:r>
      <w:r w:rsidRPr="003662C6">
        <w:rPr>
          <w:sz w:val="24"/>
        </w:rPr>
        <w:tab/>
        <w:t>INC.</w:t>
      </w:r>
    </w:p>
    <w:p w14:paraId="0D63AFC7" w14:textId="77777777" w:rsidR="003662C6" w:rsidRPr="003662C6" w:rsidRDefault="003662C6" w:rsidP="003662C6">
      <w:pPr>
        <w:jc w:val="both"/>
        <w:rPr>
          <w:sz w:val="24"/>
        </w:rPr>
      </w:pPr>
    </w:p>
    <w:p w14:paraId="445B24C2" w14:textId="77777777" w:rsidR="003662C6" w:rsidRPr="003662C6" w:rsidRDefault="003662C6" w:rsidP="003662C6">
      <w:pPr>
        <w:jc w:val="both"/>
        <w:rPr>
          <w:sz w:val="24"/>
        </w:rPr>
      </w:pPr>
    </w:p>
    <w:p w14:paraId="779DFA8B" w14:textId="77777777" w:rsidR="003662C6" w:rsidRPr="003662C6" w:rsidRDefault="003662C6" w:rsidP="003662C6">
      <w:pPr>
        <w:jc w:val="both"/>
        <w:rPr>
          <w:sz w:val="24"/>
        </w:rPr>
      </w:pPr>
      <w:r w:rsidRPr="003662C6">
        <w:rPr>
          <w:sz w:val="24"/>
        </w:rPr>
        <w:t>______________________________</w:t>
      </w:r>
      <w:r w:rsidRPr="003662C6">
        <w:rPr>
          <w:sz w:val="24"/>
        </w:rPr>
        <w:tab/>
      </w:r>
      <w:r w:rsidRPr="003662C6">
        <w:rPr>
          <w:sz w:val="24"/>
        </w:rPr>
        <w:tab/>
      </w:r>
      <w:r w:rsidRPr="003662C6">
        <w:rPr>
          <w:sz w:val="24"/>
          <w:u w:val="single"/>
        </w:rPr>
        <w:tab/>
      </w:r>
      <w:r w:rsidRPr="003662C6">
        <w:rPr>
          <w:sz w:val="24"/>
          <w:u w:val="single"/>
        </w:rPr>
        <w:tab/>
      </w:r>
      <w:r w:rsidRPr="003662C6">
        <w:rPr>
          <w:sz w:val="24"/>
          <w:u w:val="single"/>
        </w:rPr>
        <w:tab/>
      </w:r>
      <w:r w:rsidRPr="003662C6">
        <w:rPr>
          <w:sz w:val="24"/>
          <w:u w:val="single"/>
        </w:rPr>
        <w:tab/>
      </w:r>
      <w:r w:rsidRPr="003662C6">
        <w:rPr>
          <w:sz w:val="24"/>
          <w:u w:val="single"/>
        </w:rPr>
        <w:tab/>
      </w:r>
    </w:p>
    <w:p w14:paraId="02A19F0F" w14:textId="77777777" w:rsidR="003662C6" w:rsidRPr="003662C6" w:rsidRDefault="003662C6" w:rsidP="003662C6">
      <w:pPr>
        <w:jc w:val="both"/>
        <w:rPr>
          <w:sz w:val="24"/>
        </w:rPr>
      </w:pPr>
      <w:r w:rsidRPr="003662C6">
        <w:rPr>
          <w:sz w:val="24"/>
        </w:rPr>
        <w:t>BRETT P. SHEARER</w:t>
      </w:r>
      <w:r w:rsidRPr="003662C6">
        <w:rPr>
          <w:sz w:val="24"/>
        </w:rPr>
        <w:tab/>
      </w:r>
      <w:r w:rsidRPr="003662C6">
        <w:rPr>
          <w:sz w:val="24"/>
        </w:rPr>
        <w:tab/>
      </w:r>
      <w:r w:rsidRPr="003662C6">
        <w:rPr>
          <w:sz w:val="24"/>
        </w:rPr>
        <w:tab/>
      </w:r>
      <w:r w:rsidRPr="003662C6">
        <w:rPr>
          <w:sz w:val="24"/>
        </w:rPr>
        <w:tab/>
        <w:t>MAURICE KURTZ, Chairman</w:t>
      </w:r>
    </w:p>
    <w:p w14:paraId="0D5FBFF8" w14:textId="77777777" w:rsidR="003662C6" w:rsidRPr="003662C6" w:rsidRDefault="003662C6" w:rsidP="003662C6">
      <w:pPr>
        <w:jc w:val="both"/>
        <w:rPr>
          <w:sz w:val="24"/>
        </w:rPr>
      </w:pPr>
      <w:r w:rsidRPr="003662C6">
        <w:rPr>
          <w:sz w:val="24"/>
        </w:rPr>
        <w:t>Assistant Attorney General</w:t>
      </w:r>
      <w:r w:rsidRPr="003662C6">
        <w:rPr>
          <w:sz w:val="24"/>
        </w:rPr>
        <w:tab/>
      </w:r>
      <w:r w:rsidRPr="003662C6">
        <w:rPr>
          <w:sz w:val="24"/>
        </w:rPr>
        <w:tab/>
      </w:r>
      <w:r w:rsidRPr="003662C6">
        <w:rPr>
          <w:sz w:val="24"/>
        </w:rPr>
        <w:tab/>
      </w:r>
      <w:r w:rsidRPr="003662C6">
        <w:rPr>
          <w:sz w:val="24"/>
        </w:rPr>
        <w:tab/>
        <w:t>Newaukum Board of Directors</w:t>
      </w:r>
    </w:p>
    <w:p w14:paraId="2D544572" w14:textId="77777777" w:rsidR="003662C6" w:rsidRPr="003662C6" w:rsidRDefault="003662C6" w:rsidP="003662C6">
      <w:pPr>
        <w:jc w:val="both"/>
        <w:rPr>
          <w:sz w:val="24"/>
        </w:rPr>
      </w:pPr>
      <w:r w:rsidRPr="003662C6">
        <w:rPr>
          <w:sz w:val="24"/>
        </w:rPr>
        <w:t>Counsel for Washington Utilities and</w:t>
      </w:r>
      <w:r w:rsidRPr="003662C6">
        <w:rPr>
          <w:sz w:val="24"/>
        </w:rPr>
        <w:tab/>
      </w:r>
      <w:r w:rsidRPr="003662C6">
        <w:rPr>
          <w:sz w:val="24"/>
        </w:rPr>
        <w:tab/>
      </w:r>
    </w:p>
    <w:p w14:paraId="14F8E150" w14:textId="77777777" w:rsidR="003662C6" w:rsidRPr="003662C6" w:rsidRDefault="003662C6" w:rsidP="003662C6">
      <w:pPr>
        <w:jc w:val="both"/>
        <w:rPr>
          <w:sz w:val="24"/>
        </w:rPr>
      </w:pPr>
      <w:r w:rsidRPr="003662C6">
        <w:rPr>
          <w:sz w:val="24"/>
        </w:rPr>
        <w:t>Transportation Commission Staff</w:t>
      </w:r>
    </w:p>
    <w:p w14:paraId="2AE864B3" w14:textId="77777777" w:rsidR="003662C6" w:rsidRPr="003662C6" w:rsidRDefault="003662C6" w:rsidP="003662C6">
      <w:pPr>
        <w:jc w:val="both"/>
        <w:rPr>
          <w:sz w:val="24"/>
        </w:rPr>
      </w:pPr>
    </w:p>
    <w:p w14:paraId="79C95683" w14:textId="77777777" w:rsidR="00F748D8" w:rsidRPr="003662C6" w:rsidRDefault="00F748D8" w:rsidP="003662C6">
      <w:pPr>
        <w:ind w:left="720"/>
        <w:rPr>
          <w:sz w:val="24"/>
        </w:rPr>
      </w:pPr>
    </w:p>
    <w:sectPr w:rsidR="00F748D8" w:rsidRPr="003662C6" w:rsidSect="00F748D8">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C95686" w14:textId="77777777" w:rsidR="00835284" w:rsidRDefault="00835284">
      <w:r>
        <w:separator/>
      </w:r>
    </w:p>
  </w:endnote>
  <w:endnote w:type="continuationSeparator" w:id="0">
    <w:p w14:paraId="79C95687" w14:textId="77777777" w:rsidR="00835284" w:rsidRDefault="00835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E2090" w14:textId="77777777" w:rsidR="006C5C39" w:rsidRDefault="006C5C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95688" w14:textId="77777777" w:rsidR="00DA492F" w:rsidRDefault="00DA492F">
    <w:pPr>
      <w:pStyle w:val="Footer"/>
    </w:pPr>
  </w:p>
  <w:p w14:paraId="79C95689" w14:textId="367DA5CC" w:rsidR="00DA492F" w:rsidRPr="00737B08" w:rsidRDefault="006C5C39">
    <w:pPr>
      <w:pStyle w:val="Footer"/>
    </w:pPr>
    <w:r>
      <w:t>NARRATIVE SUPPORTING SETTLEMENT AGREEMENT</w:t>
    </w:r>
    <w:r w:rsidR="00DA492F" w:rsidRPr="00737B08">
      <w:t xml:space="preserve"> - </w:t>
    </w:r>
    <w:r w:rsidR="00DA492F" w:rsidRPr="00737B08">
      <w:rPr>
        <w:rStyle w:val="PageNumber"/>
      </w:rPr>
      <w:fldChar w:fldCharType="begin"/>
    </w:r>
    <w:r w:rsidR="00DA492F" w:rsidRPr="00737B08">
      <w:rPr>
        <w:rStyle w:val="PageNumber"/>
      </w:rPr>
      <w:instrText xml:space="preserve"> PAGE </w:instrText>
    </w:r>
    <w:r w:rsidR="00DA492F" w:rsidRPr="00737B08">
      <w:rPr>
        <w:rStyle w:val="PageNumber"/>
      </w:rPr>
      <w:fldChar w:fldCharType="separate"/>
    </w:r>
    <w:r w:rsidR="003662C6">
      <w:rPr>
        <w:rStyle w:val="PageNumber"/>
        <w:noProof/>
      </w:rPr>
      <w:t>4</w:t>
    </w:r>
    <w:r w:rsidR="00DA492F" w:rsidRPr="00737B08">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AE53D" w14:textId="77777777" w:rsidR="006C5C39" w:rsidRDefault="006C5C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95684" w14:textId="77777777" w:rsidR="00835284" w:rsidRDefault="00835284">
      <w:r>
        <w:separator/>
      </w:r>
    </w:p>
  </w:footnote>
  <w:footnote w:type="continuationSeparator" w:id="0">
    <w:p w14:paraId="79C95685" w14:textId="77777777" w:rsidR="00835284" w:rsidRDefault="008352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D0FBF" w14:textId="77777777" w:rsidR="006C5C39" w:rsidRDefault="006C5C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E48FB" w14:textId="77777777" w:rsidR="006C5C39" w:rsidRDefault="006C5C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EA1B9" w14:textId="77777777" w:rsidR="006C5C39" w:rsidRDefault="006C5C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44567"/>
    <w:multiLevelType w:val="hybridMultilevel"/>
    <w:tmpl w:val="786C488C"/>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EF42594"/>
    <w:multiLevelType w:val="hybridMultilevel"/>
    <w:tmpl w:val="B4F0D29E"/>
    <w:lvl w:ilvl="0" w:tplc="FFFFFFFF">
      <w:start w:val="1"/>
      <w:numFmt w:val="decimal"/>
      <w:lvlText w:val="%1"/>
      <w:lvlJc w:val="left"/>
      <w:pPr>
        <w:tabs>
          <w:tab w:val="num" w:pos="0"/>
        </w:tabs>
        <w:ind w:left="0" w:hanging="720"/>
      </w:pPr>
      <w:rPr>
        <w:rFonts w:ascii="Times New Roman" w:hAnsi="Times New Roman" w:hint="default"/>
        <w:b w:val="0"/>
        <w:i/>
        <w:sz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B043FCF"/>
    <w:multiLevelType w:val="hybridMultilevel"/>
    <w:tmpl w:val="571EB31C"/>
    <w:lvl w:ilvl="0" w:tplc="B66CE5F6">
      <w:start w:val="1"/>
      <w:numFmt w:val="decimal"/>
      <w:pStyle w:val="Numberedparagraph"/>
      <w:lvlText w:val="%1"/>
      <w:lvlJc w:val="left"/>
      <w:pPr>
        <w:tabs>
          <w:tab w:val="num" w:pos="720"/>
        </w:tabs>
        <w:ind w:left="720" w:hanging="720"/>
      </w:pPr>
      <w:rPr>
        <w:rFonts w:ascii="Times New Roman" w:hAnsi="Times New Roman" w:hint="default"/>
        <w:b w:val="0"/>
        <w:i/>
        <w:sz w:val="22"/>
        <w:szCs w:val="22"/>
      </w:rPr>
    </w:lvl>
    <w:lvl w:ilvl="1" w:tplc="74F6822C">
      <w:start w:val="2"/>
      <w:numFmt w:val="decimal"/>
      <w:lvlText w:val="(%2)"/>
      <w:lvlJc w:val="left"/>
      <w:pPr>
        <w:tabs>
          <w:tab w:val="num" w:pos="2520"/>
        </w:tabs>
        <w:ind w:left="2520" w:hanging="720"/>
      </w:pPr>
      <w:rPr>
        <w:rFonts w:hint="default"/>
      </w:rPr>
    </w:lvl>
    <w:lvl w:ilvl="2" w:tplc="04090013">
      <w:start w:val="1"/>
      <w:numFmt w:val="upp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D8"/>
    <w:rsid w:val="00025DB8"/>
    <w:rsid w:val="001A3E51"/>
    <w:rsid w:val="00255923"/>
    <w:rsid w:val="002E489A"/>
    <w:rsid w:val="00301085"/>
    <w:rsid w:val="003662C6"/>
    <w:rsid w:val="003C5390"/>
    <w:rsid w:val="003E3B7E"/>
    <w:rsid w:val="003F1945"/>
    <w:rsid w:val="00420F5F"/>
    <w:rsid w:val="004A26FF"/>
    <w:rsid w:val="004A4F64"/>
    <w:rsid w:val="004C3D65"/>
    <w:rsid w:val="004F69A5"/>
    <w:rsid w:val="00501FFC"/>
    <w:rsid w:val="00595D41"/>
    <w:rsid w:val="005E07C2"/>
    <w:rsid w:val="00641F98"/>
    <w:rsid w:val="0065561B"/>
    <w:rsid w:val="006C5C39"/>
    <w:rsid w:val="00714E44"/>
    <w:rsid w:val="00737B08"/>
    <w:rsid w:val="007464F1"/>
    <w:rsid w:val="0076699B"/>
    <w:rsid w:val="007C1BA6"/>
    <w:rsid w:val="00835284"/>
    <w:rsid w:val="0089062F"/>
    <w:rsid w:val="00895DC5"/>
    <w:rsid w:val="009C2DB0"/>
    <w:rsid w:val="009D3E3D"/>
    <w:rsid w:val="009D6057"/>
    <w:rsid w:val="00A30C52"/>
    <w:rsid w:val="00A80028"/>
    <w:rsid w:val="00A918DE"/>
    <w:rsid w:val="00AD68C5"/>
    <w:rsid w:val="00B73973"/>
    <w:rsid w:val="00BF2F67"/>
    <w:rsid w:val="00BF3CD1"/>
    <w:rsid w:val="00C360A4"/>
    <w:rsid w:val="00C5478B"/>
    <w:rsid w:val="00CF4668"/>
    <w:rsid w:val="00D22816"/>
    <w:rsid w:val="00DA492F"/>
    <w:rsid w:val="00E34A77"/>
    <w:rsid w:val="00F24159"/>
    <w:rsid w:val="00F53CDC"/>
    <w:rsid w:val="00F748D8"/>
    <w:rsid w:val="00F77C60"/>
    <w:rsid w:val="00FE0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14:docId w14:val="79C9565C"/>
  <w15:docId w15:val="{97F99254-2F8B-44FB-93DA-5CAAB0983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paragraph" w:customStyle="1" w:styleId="Numberedparagraph">
    <w:name w:val="Numbered paragraph"/>
    <w:basedOn w:val="Normal"/>
    <w:qFormat/>
    <w:rsid w:val="002E489A"/>
    <w:pPr>
      <w:widowControl/>
      <w:numPr>
        <w:numId w:val="3"/>
      </w:numPr>
      <w:autoSpaceDE/>
      <w:autoSpaceDN/>
      <w:adjustRightInd/>
      <w:spacing w:after="240"/>
    </w:pPr>
    <w:rPr>
      <w:sz w:val="24"/>
    </w:rPr>
  </w:style>
  <w:style w:type="paragraph" w:styleId="ListParagraph">
    <w:name w:val="List Paragraph"/>
    <w:basedOn w:val="Normal"/>
    <w:uiPriority w:val="34"/>
    <w:qFormat/>
    <w:rsid w:val="00895D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7D9653A08A1A042BD05CDF3FA6855ED" ma:contentTypeVersion="175" ma:contentTypeDescription="" ma:contentTypeScope="" ma:versionID="820fd021171b1612c7855e0b1b2277e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Agreement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160</IndustryCode>
    <CaseStatus xmlns="dc463f71-b30c-4ab2-9473-d307f9d35888">Closed</CaseStatus>
    <OpenedDate xmlns="dc463f71-b30c-4ab2-9473-d307f9d35888">2014-08-24T07:00:00+00:00</OpenedDate>
    <Date1 xmlns="dc463f71-b30c-4ab2-9473-d307f9d35888">2015-02-26T19:44:19+00:00</Date1>
    <IsDocumentOrder xmlns="dc463f71-b30c-4ab2-9473-d307f9d35888" xsi:nil="true"/>
    <IsHighlyConfidential xmlns="dc463f71-b30c-4ab2-9473-d307f9d35888">false</IsHighlyConfidential>
    <CaseCompanyNames xmlns="dc463f71-b30c-4ab2-9473-d307f9d35888">Newaukum Water System</CaseCompanyNames>
    <DocketNumber xmlns="dc463f71-b30c-4ab2-9473-d307f9d35888">143181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FEB8FD-E3A2-4C07-B88B-5CA09D7C87D1}"/>
</file>

<file path=customXml/itemProps2.xml><?xml version="1.0" encoding="utf-8"?>
<ds:datastoreItem xmlns:ds="http://schemas.openxmlformats.org/officeDocument/2006/customXml" ds:itemID="{E0C8619C-3A24-4DB6-93C1-83B08E3DE61C}"/>
</file>

<file path=customXml/itemProps3.xml><?xml version="1.0" encoding="utf-8"?>
<ds:datastoreItem xmlns:ds="http://schemas.openxmlformats.org/officeDocument/2006/customXml" ds:itemID="{53EAE6C6-77F2-4948-BA97-2BC0DD74AB4B}"/>
</file>

<file path=customXml/itemProps4.xml><?xml version="1.0" encoding="utf-8"?>
<ds:datastoreItem xmlns:ds="http://schemas.openxmlformats.org/officeDocument/2006/customXml" ds:itemID="{C191DCFB-D936-49D9-B154-DE0CE7473E1C}"/>
</file>

<file path=docProps/app.xml><?xml version="1.0" encoding="utf-8"?>
<Properties xmlns="http://schemas.openxmlformats.org/officeDocument/2006/extended-properties" xmlns:vt="http://schemas.openxmlformats.org/officeDocument/2006/docPropsVTypes">
  <Template>Normal.dotm</Template>
  <TotalTime>113</TotalTime>
  <Pages>4</Pages>
  <Words>871</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5826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Linley</dc:creator>
  <cp:keywords/>
  <dc:description/>
  <cp:lastModifiedBy>Gross, Krista (UTC)</cp:lastModifiedBy>
  <cp:revision>5</cp:revision>
  <dcterms:created xsi:type="dcterms:W3CDTF">2015-02-23T21:55:00Z</dcterms:created>
  <dcterms:modified xsi:type="dcterms:W3CDTF">2015-02-24T22:27:00Z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0x0101006E56B4D1795A2E4DB2F0B01679ED314A0027D9653A08A1A042BD05CDF3FA6855ED</vt:lpwstr>
  </property>
  <property fmtid="{D5CDD505-2E9C-101B-9397-08002B2CF9AE}" pid="3" name="_docset_NoMedatataSyncRequired">
    <vt:lpwstr>False</vt:lpwstr>
  </property>
</Properties>
</file>