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3F" w:rsidRPr="009075DC" w:rsidRDefault="0088373F" w:rsidP="00985C97">
      <w:pPr>
        <w:pStyle w:val="single"/>
        <w:widowControl w:val="0"/>
        <w:spacing w:before="0"/>
        <w:ind w:left="4320" w:firstLine="0"/>
        <w:rPr>
          <w:rStyle w:val="Strong"/>
        </w:rPr>
      </w:pPr>
      <w:r>
        <w:rPr>
          <w:rStyle w:val="Strong"/>
        </w:rPr>
        <w:t>EXHIBIT NO. </w:t>
      </w:r>
      <w:r w:rsidRPr="009075DC">
        <w:rPr>
          <w:rStyle w:val="Strong"/>
        </w:rPr>
        <w:t>___(</w:t>
      </w:r>
      <w:r>
        <w:rPr>
          <w:rStyle w:val="Strong"/>
        </w:rPr>
        <w:t>DAD-1T</w:t>
      </w:r>
      <w:r w:rsidRPr="009075DC">
        <w:rPr>
          <w:rStyle w:val="Strong"/>
        </w:rPr>
        <w: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Pr>
          <w:b/>
          <w:bCs/>
          <w:szCs w:val="24"/>
        </w:rPr>
        <w:t>DANIEL A. DOYLE</w:t>
      </w:r>
    </w:p>
    <w:p w:rsidR="0088373F" w:rsidRPr="009075DC" w:rsidRDefault="0088373F" w:rsidP="00BE5A65">
      <w:pPr>
        <w:pStyle w:val="center"/>
        <w:keepLines w:val="0"/>
        <w:widowControl w:val="0"/>
        <w:spacing w:before="120" w:line="240" w:lineRule="auto"/>
        <w:rPr>
          <w:b/>
        </w:rPr>
      </w:pPr>
      <w:r w:rsidRPr="009075DC">
        <w:rPr>
          <w:b/>
        </w:rPr>
        <w:t>BEFORE THE</w:t>
      </w:r>
    </w:p>
    <w:p w:rsidR="0088373F" w:rsidRPr="009075DC" w:rsidRDefault="0088373F" w:rsidP="00985C97">
      <w:pPr>
        <w:pStyle w:val="center"/>
        <w:keepLines w:val="0"/>
        <w:widowControl w:val="0"/>
        <w:spacing w:before="0" w:line="240" w:lineRule="auto"/>
        <w:rPr>
          <w:b/>
        </w:rPr>
      </w:pPr>
      <w:r w:rsidRPr="009075DC">
        <w:rPr>
          <w:b/>
        </w:rPr>
        <w:t>WASHINGTON UTILITIES AND TRANSPORTATION COMMISSION</w:t>
      </w:r>
    </w:p>
    <w:p w:rsidR="0088373F" w:rsidRPr="009075DC" w:rsidRDefault="0088373F" w:rsidP="00985C97">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88373F" w:rsidRPr="00465779" w:rsidTr="007B7904">
        <w:tc>
          <w:tcPr>
            <w:tcW w:w="4536" w:type="dxa"/>
            <w:tcBorders>
              <w:top w:val="nil"/>
              <w:left w:val="nil"/>
            </w:tcBorders>
          </w:tcPr>
          <w:p w:rsidR="0088373F" w:rsidRPr="009F225F" w:rsidRDefault="0088373F" w:rsidP="00470AC5">
            <w:pPr>
              <w:pStyle w:val="Header"/>
              <w:ind w:right="115"/>
              <w:rPr>
                <w:sz w:val="24"/>
                <w:szCs w:val="24"/>
              </w:rPr>
            </w:pPr>
            <w:r w:rsidRPr="00442A6A">
              <w:rPr>
                <w:sz w:val="24"/>
                <w:szCs w:val="24"/>
              </w:rPr>
              <w:t xml:space="preserve">In the Matter of the Petition of </w:t>
            </w:r>
          </w:p>
          <w:p w:rsidR="0088373F" w:rsidRPr="009F225F" w:rsidRDefault="0088373F" w:rsidP="00470AC5">
            <w:pPr>
              <w:pStyle w:val="Header"/>
              <w:ind w:right="115"/>
              <w:rPr>
                <w:sz w:val="24"/>
                <w:szCs w:val="24"/>
              </w:rPr>
            </w:pPr>
          </w:p>
          <w:p w:rsidR="0088373F" w:rsidRPr="009F225F" w:rsidRDefault="0088373F" w:rsidP="00470AC5">
            <w:pPr>
              <w:pStyle w:val="Header"/>
              <w:ind w:right="115"/>
              <w:rPr>
                <w:sz w:val="24"/>
                <w:szCs w:val="24"/>
              </w:rPr>
            </w:pPr>
            <w:r w:rsidRPr="00442A6A">
              <w:rPr>
                <w:sz w:val="24"/>
                <w:szCs w:val="24"/>
              </w:rPr>
              <w:t>PUGET SOUND ENERGY, INC.</w:t>
            </w:r>
          </w:p>
          <w:p w:rsidR="0088373F" w:rsidRPr="00465779" w:rsidRDefault="0088373F"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tcBorders>
              <w:top w:val="nil"/>
              <w:bottom w:val="nil"/>
              <w:right w:val="nil"/>
            </w:tcBorders>
            <w:vAlign w:val="center"/>
          </w:tcPr>
          <w:p w:rsidR="0088373F" w:rsidRDefault="0088373F" w:rsidP="00470AC5">
            <w:pPr>
              <w:keepNext/>
              <w:keepLines/>
              <w:spacing w:before="240" w:line="240" w:lineRule="atLeast"/>
              <w:ind w:left="324" w:firstLine="0"/>
            </w:pPr>
            <w:r>
              <w:t>DOCKET NO. 121373</w:t>
            </w:r>
          </w:p>
          <w:p w:rsidR="0088373F" w:rsidRPr="00465779" w:rsidRDefault="0088373F" w:rsidP="00470AC5">
            <w:pPr>
              <w:keepNext/>
              <w:keepLines/>
              <w:spacing w:before="240" w:line="240" w:lineRule="atLeast"/>
              <w:ind w:left="324" w:firstLine="0"/>
            </w:pPr>
          </w:p>
        </w:tc>
      </w:tr>
      <w:tr w:rsidR="0088373F" w:rsidRPr="00465779" w:rsidTr="007B7904">
        <w:tc>
          <w:tcPr>
            <w:tcW w:w="4536" w:type="dxa"/>
            <w:tcBorders>
              <w:left w:val="nil"/>
            </w:tcBorders>
          </w:tcPr>
          <w:p w:rsidR="0088373F" w:rsidRPr="009F225F" w:rsidRDefault="0088373F" w:rsidP="00470AC5">
            <w:pPr>
              <w:pStyle w:val="Header"/>
              <w:spacing w:before="120"/>
              <w:ind w:right="115"/>
              <w:rPr>
                <w:sz w:val="24"/>
              </w:rPr>
            </w:pPr>
            <w:r w:rsidRPr="00442A6A">
              <w:rPr>
                <w:sz w:val="24"/>
              </w:rPr>
              <w:t xml:space="preserve">In the Matter of the Petition of </w:t>
            </w:r>
          </w:p>
          <w:p w:rsidR="0088373F" w:rsidRPr="009F225F" w:rsidRDefault="0088373F" w:rsidP="00470AC5">
            <w:pPr>
              <w:pStyle w:val="Header"/>
              <w:ind w:right="115"/>
              <w:rPr>
                <w:sz w:val="24"/>
              </w:rPr>
            </w:pPr>
          </w:p>
          <w:p w:rsidR="0088373F" w:rsidRPr="009F225F" w:rsidRDefault="0088373F" w:rsidP="00470AC5">
            <w:pPr>
              <w:pStyle w:val="Header"/>
              <w:ind w:right="115"/>
              <w:rPr>
                <w:sz w:val="24"/>
              </w:rPr>
            </w:pPr>
            <w:r w:rsidRPr="00442A6A">
              <w:rPr>
                <w:sz w:val="24"/>
              </w:rPr>
              <w:t xml:space="preserve">PUGET SOUND ENERGY, INC. and NW ENERGY COALITION </w:t>
            </w:r>
          </w:p>
          <w:p w:rsidR="0088373F" w:rsidRPr="00465779" w:rsidRDefault="0088373F"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tcBorders>
              <w:top w:val="nil"/>
              <w:bottom w:val="nil"/>
              <w:right w:val="nil"/>
            </w:tcBorders>
            <w:vAlign w:val="center"/>
          </w:tcPr>
          <w:p w:rsidR="0088373F" w:rsidRPr="00465779" w:rsidRDefault="0088373F"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88373F" w:rsidRDefault="0088373F" w:rsidP="00470AC5">
            <w:pPr>
              <w:keepNext/>
              <w:keepLines/>
              <w:spacing w:before="240" w:line="240" w:lineRule="atLeast"/>
              <w:ind w:left="324" w:firstLine="0"/>
            </w:pPr>
          </w:p>
        </w:tc>
      </w:tr>
      <w:tr w:rsidR="0088373F" w:rsidRPr="00465779" w:rsidTr="007B7904">
        <w:tc>
          <w:tcPr>
            <w:tcW w:w="4536" w:type="dxa"/>
            <w:tcBorders>
              <w:left w:val="nil"/>
            </w:tcBorders>
          </w:tcPr>
          <w:p w:rsidR="0088373F" w:rsidRPr="00465779" w:rsidRDefault="0088373F" w:rsidP="00470AC5">
            <w:pPr>
              <w:spacing w:before="240" w:line="240" w:lineRule="atLeast"/>
              <w:ind w:firstLine="0"/>
            </w:pPr>
            <w:r w:rsidRPr="00465779">
              <w:t>WASHINGTON UTILITIES AND TRANSPORTATION COMMISSION,</w:t>
            </w:r>
          </w:p>
          <w:p w:rsidR="0088373F" w:rsidRPr="00465779" w:rsidRDefault="0088373F" w:rsidP="00470AC5">
            <w:pPr>
              <w:spacing w:before="120" w:line="240" w:lineRule="atLeast"/>
              <w:ind w:firstLine="0"/>
            </w:pPr>
            <w:r w:rsidRPr="00465779">
              <w:tab/>
              <w:t>Complainant,</w:t>
            </w:r>
          </w:p>
          <w:p w:rsidR="0088373F" w:rsidRPr="00465779" w:rsidRDefault="0088373F" w:rsidP="00470AC5">
            <w:pPr>
              <w:spacing w:before="240" w:line="240" w:lineRule="atLeast"/>
              <w:ind w:left="1440" w:firstLine="0"/>
            </w:pPr>
            <w:r w:rsidRPr="00465779">
              <w:t>v.</w:t>
            </w:r>
          </w:p>
          <w:p w:rsidR="0088373F" w:rsidRPr="00465779" w:rsidRDefault="0088373F" w:rsidP="00470AC5">
            <w:pPr>
              <w:spacing w:before="240" w:line="240" w:lineRule="atLeast"/>
              <w:ind w:firstLine="0"/>
            </w:pPr>
            <w:r w:rsidRPr="00465779">
              <w:t xml:space="preserve">PUGET SOUND ENERGY, INC., </w:t>
            </w:r>
          </w:p>
          <w:p w:rsidR="0088373F" w:rsidRPr="00465779" w:rsidRDefault="0088373F" w:rsidP="00470AC5">
            <w:pPr>
              <w:spacing w:before="240" w:line="240" w:lineRule="atLeast"/>
              <w:ind w:firstLine="0"/>
            </w:pPr>
            <w:r w:rsidRPr="00465779">
              <w:tab/>
              <w:t>Respondent.</w:t>
            </w:r>
          </w:p>
        </w:tc>
        <w:tc>
          <w:tcPr>
            <w:tcW w:w="4545" w:type="dxa"/>
            <w:tcBorders>
              <w:top w:val="nil"/>
              <w:bottom w:val="nil"/>
              <w:right w:val="nil"/>
            </w:tcBorders>
            <w:vAlign w:val="center"/>
          </w:tcPr>
          <w:p w:rsidR="0088373F" w:rsidRPr="00465779" w:rsidRDefault="0088373F" w:rsidP="00470AC5">
            <w:pPr>
              <w:keepNext/>
              <w:keepLines/>
              <w:spacing w:line="240" w:lineRule="atLeast"/>
              <w:ind w:left="331" w:firstLine="0"/>
            </w:pPr>
            <w:r w:rsidRPr="00465779">
              <w:t>DOCKET NOS. UE-130137 and UG-130138 (Consolidated)</w:t>
            </w:r>
          </w:p>
          <w:p w:rsidR="0088373F" w:rsidRDefault="0088373F" w:rsidP="00470AC5">
            <w:pPr>
              <w:keepNext/>
              <w:keepLines/>
              <w:spacing w:before="240" w:line="240" w:lineRule="atLeast"/>
              <w:ind w:left="324" w:firstLine="0"/>
            </w:pPr>
          </w:p>
        </w:tc>
      </w:tr>
    </w:tbl>
    <w:p w:rsidR="0088373F" w:rsidRPr="009075DC" w:rsidRDefault="0088373F" w:rsidP="00985C97">
      <w:pPr>
        <w:pStyle w:val="center"/>
        <w:keepLines w:val="0"/>
        <w:widowControl w:val="0"/>
        <w:spacing w:before="0" w:line="240" w:lineRule="auto"/>
        <w:rPr>
          <w:b/>
        </w:rPr>
      </w:pPr>
    </w:p>
    <w:p w:rsidR="0088373F" w:rsidRDefault="0088373F" w:rsidP="00985C97">
      <w:pPr>
        <w:pStyle w:val="center"/>
        <w:keepLines w:val="0"/>
        <w:widowControl w:val="0"/>
        <w:spacing w:before="0" w:line="240" w:lineRule="auto"/>
        <w:rPr>
          <w:b/>
        </w:rPr>
      </w:pPr>
    </w:p>
    <w:p w:rsidR="0088373F" w:rsidRPr="00176EB6" w:rsidRDefault="0088373F" w:rsidP="00985C97">
      <w:pPr>
        <w:pStyle w:val="center"/>
        <w:keepLines w:val="0"/>
        <w:widowControl w:val="0"/>
        <w:spacing w:before="0" w:line="240" w:lineRule="auto"/>
        <w:rPr>
          <w:b/>
        </w:rPr>
      </w:pPr>
      <w:r w:rsidRPr="00176EB6">
        <w:rPr>
          <w:b/>
        </w:rPr>
        <w:t>PREFILED REBUTTAL TESTIMONY (NONCONFIDENTIAL) OF</w:t>
      </w:r>
    </w:p>
    <w:p w:rsidR="0088373F" w:rsidRDefault="0088373F" w:rsidP="00985C97">
      <w:pPr>
        <w:pStyle w:val="center"/>
        <w:keepLines w:val="0"/>
        <w:widowControl w:val="0"/>
        <w:spacing w:before="0" w:line="240" w:lineRule="auto"/>
        <w:rPr>
          <w:b/>
        </w:rPr>
      </w:pPr>
      <w:r>
        <w:rPr>
          <w:b/>
          <w:bCs/>
          <w:szCs w:val="24"/>
        </w:rPr>
        <w:t>DANIEL A. DOYLE</w:t>
      </w:r>
      <w:r>
        <w:rPr>
          <w:b/>
          <w:bCs/>
          <w:szCs w:val="24"/>
        </w:rPr>
        <w:br/>
      </w:r>
      <w:r w:rsidRPr="00176EB6">
        <w:rPr>
          <w:b/>
        </w:rPr>
        <w:t>ON BEHALF OF PUGET SOUND ENERGY, INC.</w:t>
      </w:r>
    </w:p>
    <w:p w:rsidR="0088373F" w:rsidRDefault="0088373F" w:rsidP="00300621">
      <w:pPr>
        <w:pStyle w:val="center"/>
        <w:keepLines w:val="0"/>
        <w:widowControl w:val="0"/>
        <w:spacing w:before="120" w:line="240" w:lineRule="auto"/>
        <w:rPr>
          <w:i/>
        </w:rPr>
      </w:pPr>
      <w:r w:rsidRPr="00A66A45">
        <w:rPr>
          <w:bCs/>
          <w:i/>
          <w:szCs w:val="24"/>
        </w:rPr>
        <w:t xml:space="preserve">In Support </w:t>
      </w:r>
      <w:r>
        <w:rPr>
          <w:bCs/>
          <w:i/>
          <w:szCs w:val="24"/>
        </w:rPr>
        <w:t>o</w:t>
      </w:r>
      <w:r w:rsidRPr="00A66A45">
        <w:rPr>
          <w:bCs/>
          <w:i/>
          <w:szCs w:val="24"/>
        </w:rPr>
        <w:t>f the Multiparty Settlement</w:t>
      </w:r>
      <w:r>
        <w:rPr>
          <w:i/>
        </w:rPr>
        <w:t xml:space="preserve"> </w:t>
      </w:r>
    </w:p>
    <w:p w:rsidR="0088373F" w:rsidRDefault="0088373F" w:rsidP="00300621">
      <w:pPr>
        <w:pStyle w:val="center"/>
        <w:keepLines w:val="0"/>
        <w:widowControl w:val="0"/>
        <w:spacing w:before="0" w:after="240" w:line="240" w:lineRule="auto"/>
        <w:rPr>
          <w:i/>
        </w:rPr>
      </w:pPr>
      <w:r>
        <w:rPr>
          <w:i/>
        </w:rPr>
        <w:t>Re: Coal Transition PPA and other Pending Dockets</w:t>
      </w:r>
    </w:p>
    <w:p w:rsidR="0088373F" w:rsidRPr="00176EB6" w:rsidRDefault="0088373F" w:rsidP="00300621">
      <w:pPr>
        <w:pStyle w:val="center"/>
        <w:keepLines w:val="0"/>
        <w:widowControl w:val="0"/>
        <w:spacing w:before="120" w:line="240" w:lineRule="auto"/>
        <w:rPr>
          <w:b/>
          <w:bCs/>
          <w:szCs w:val="24"/>
        </w:rPr>
      </w:pPr>
      <w:r w:rsidRPr="00176EB6">
        <w:rPr>
          <w:b/>
        </w:rPr>
        <w:t xml:space="preserve">MAY </w:t>
      </w:r>
      <w:r>
        <w:rPr>
          <w:b/>
        </w:rPr>
        <w:t>8</w:t>
      </w:r>
      <w:r w:rsidRPr="00176EB6">
        <w:rPr>
          <w:b/>
        </w:rPr>
        <w:t>, 2013</w:t>
      </w:r>
    </w:p>
    <w:p w:rsidR="0088373F" w:rsidRPr="009075DC" w:rsidRDefault="0088373F" w:rsidP="000F4005">
      <w:pPr>
        <w:widowControl w:val="0"/>
        <w:spacing w:line="240" w:lineRule="auto"/>
        <w:ind w:firstLine="0"/>
        <w:jc w:val="center"/>
        <w:rPr>
          <w:b/>
          <w:bCs/>
          <w:szCs w:val="24"/>
        </w:rPr>
        <w:sectPr w:rsidR="0088373F" w:rsidRPr="009075DC">
          <w:headerReference w:type="default" r:id="rId7"/>
          <w:footerReference w:type="default" r:id="rId8"/>
          <w:pgSz w:w="12240" w:h="15840" w:code="1"/>
          <w:pgMar w:top="1440" w:right="1440" w:bottom="1440" w:left="2160" w:header="720" w:footer="864" w:gutter="0"/>
          <w:pgNumType w:start="1"/>
          <w:cols w:space="720"/>
          <w:rtlGutter/>
        </w:sectPr>
      </w:pPr>
    </w:p>
    <w:p w:rsidR="0088373F" w:rsidRPr="006E0E79" w:rsidRDefault="0088373F" w:rsidP="00742234">
      <w:pPr>
        <w:keepNext/>
        <w:keepLines/>
        <w:spacing w:before="240" w:after="240" w:line="240" w:lineRule="auto"/>
        <w:ind w:left="547" w:right="547" w:firstLine="0"/>
        <w:jc w:val="center"/>
        <w:rPr>
          <w:b/>
          <w:bCs/>
          <w:szCs w:val="24"/>
        </w:rPr>
      </w:pPr>
      <w:r w:rsidRPr="006E0E79">
        <w:rPr>
          <w:b/>
          <w:bCs/>
          <w:szCs w:val="24"/>
        </w:rPr>
        <w:t>PUGET SOUND ENERGY, INC.</w:t>
      </w:r>
    </w:p>
    <w:p w:rsidR="0088373F" w:rsidRDefault="0088373F" w:rsidP="00742234">
      <w:pPr>
        <w:keepNext/>
        <w:keepLines/>
        <w:spacing w:before="240" w:after="240" w:line="240" w:lineRule="auto"/>
        <w:ind w:left="547" w:right="547" w:firstLine="0"/>
        <w:jc w:val="center"/>
        <w:rPr>
          <w:b/>
          <w:bCs/>
          <w:szCs w:val="24"/>
        </w:rPr>
      </w:pPr>
      <w:r>
        <w:rPr>
          <w:b/>
          <w:bCs/>
          <w:szCs w:val="24"/>
        </w:rPr>
        <w:t xml:space="preserve">PREFILED REBUTTAL </w:t>
      </w:r>
      <w:r w:rsidRPr="009075DC">
        <w:rPr>
          <w:b/>
          <w:bCs/>
          <w:szCs w:val="24"/>
        </w:rPr>
        <w:t xml:space="preserve">TESTIMONY </w:t>
      </w:r>
      <w:r>
        <w:rPr>
          <w:b/>
          <w:bCs/>
          <w:szCs w:val="24"/>
        </w:rPr>
        <w:br/>
      </w:r>
      <w:r w:rsidRPr="009075DC">
        <w:rPr>
          <w:b/>
          <w:bCs/>
          <w:szCs w:val="24"/>
        </w:rPr>
        <w:t>(NONCONFIDENTIAL) OF</w:t>
      </w:r>
      <w:r>
        <w:rPr>
          <w:b/>
          <w:bCs/>
          <w:szCs w:val="24"/>
        </w:rPr>
        <w:t xml:space="preserve"> </w:t>
      </w:r>
      <w:bookmarkStart w:id="0" w:name="TOCTitle"/>
      <w:r>
        <w:rPr>
          <w:b/>
          <w:bCs/>
          <w:szCs w:val="24"/>
        </w:rPr>
        <w:t>DANIEL A. DOYLE</w:t>
      </w:r>
    </w:p>
    <w:p w:rsidR="0088373F" w:rsidRPr="006E0E79" w:rsidRDefault="0088373F" w:rsidP="006E0E79">
      <w:pPr>
        <w:keepNext/>
        <w:keepLines/>
        <w:spacing w:before="240" w:after="360" w:line="240" w:lineRule="auto"/>
        <w:ind w:left="547" w:right="547" w:firstLine="0"/>
        <w:jc w:val="center"/>
        <w:rPr>
          <w:b/>
          <w:bCs/>
          <w:szCs w:val="24"/>
        </w:rPr>
      </w:pPr>
      <w:r w:rsidRPr="009075DC">
        <w:rPr>
          <w:b/>
          <w:bCs/>
        </w:rPr>
        <w:t>CONTENTS</w:t>
      </w:r>
      <w:bookmarkEnd w:id="0"/>
    </w:p>
    <w:p w:rsidR="0088373F" w:rsidRPr="00C5579B" w:rsidRDefault="0088373F">
      <w:pPr>
        <w:pStyle w:val="TOC1"/>
        <w:rPr>
          <w:rFonts w:ascii="Times New Roman" w:eastAsia="Times New Roman" w:hAnsi="Times New Roman"/>
          <w:color w:val="auto"/>
          <w:lang w:eastAsia="en-US"/>
        </w:rPr>
      </w:pPr>
      <w:r w:rsidRPr="00C5579B">
        <w:rPr>
          <w:bCs/>
          <w:color w:val="auto"/>
        </w:rPr>
        <w:fldChar w:fldCharType="begin"/>
      </w:r>
      <w:r w:rsidRPr="00C5579B">
        <w:rPr>
          <w:bCs/>
          <w:color w:val="auto"/>
        </w:rPr>
        <w:instrText xml:space="preserve"> TOC \o "1-5" \h \z \u </w:instrText>
      </w:r>
      <w:r w:rsidRPr="00C5579B">
        <w:rPr>
          <w:bCs/>
          <w:color w:val="auto"/>
        </w:rPr>
        <w:fldChar w:fldCharType="separate"/>
      </w:r>
      <w:hyperlink w:anchor="_Toc355779792" w:history="1">
        <w:r w:rsidRPr="00C5579B">
          <w:rPr>
            <w:rStyle w:val="Hyperlink"/>
            <w:color w:val="auto"/>
          </w:rPr>
          <w:t>I.</w:t>
        </w:r>
        <w:r w:rsidRPr="00C5579B">
          <w:rPr>
            <w:rFonts w:ascii="Times New Roman" w:eastAsia="Times New Roman" w:hAnsi="Times New Roman"/>
            <w:color w:val="auto"/>
            <w:lang w:eastAsia="en-US"/>
          </w:rPr>
          <w:tab/>
        </w:r>
        <w:r w:rsidRPr="00C5579B">
          <w:rPr>
            <w:rStyle w:val="Hyperlink"/>
            <w:color w:val="auto"/>
          </w:rPr>
          <w:t>INTRODUCTION</w:t>
        </w:r>
        <w:r w:rsidRPr="00C5579B">
          <w:rPr>
            <w:webHidden/>
            <w:color w:val="auto"/>
          </w:rPr>
          <w:tab/>
        </w:r>
        <w:r w:rsidRPr="00C5579B">
          <w:rPr>
            <w:webHidden/>
            <w:color w:val="auto"/>
          </w:rPr>
          <w:fldChar w:fldCharType="begin"/>
        </w:r>
        <w:r w:rsidRPr="00C5579B">
          <w:rPr>
            <w:webHidden/>
            <w:color w:val="auto"/>
          </w:rPr>
          <w:instrText xml:space="preserve"> PAGEREF _Toc355779792 \h </w:instrText>
        </w:r>
        <w:r w:rsidRPr="00C5579B">
          <w:rPr>
            <w:color w:val="auto"/>
          </w:rPr>
        </w:r>
        <w:r w:rsidRPr="00C5579B">
          <w:rPr>
            <w:webHidden/>
            <w:color w:val="auto"/>
          </w:rPr>
          <w:fldChar w:fldCharType="separate"/>
        </w:r>
        <w:r>
          <w:rPr>
            <w:webHidden/>
            <w:color w:val="auto"/>
          </w:rPr>
          <w:t>1</w:t>
        </w:r>
        <w:r w:rsidRPr="00C5579B">
          <w:rPr>
            <w:webHidden/>
            <w:color w:val="auto"/>
          </w:rPr>
          <w:fldChar w:fldCharType="end"/>
        </w:r>
      </w:hyperlink>
    </w:p>
    <w:p w:rsidR="0088373F" w:rsidRPr="00C5579B" w:rsidRDefault="0088373F">
      <w:pPr>
        <w:pStyle w:val="TOC1"/>
        <w:rPr>
          <w:rFonts w:ascii="Times New Roman" w:eastAsia="Times New Roman" w:hAnsi="Times New Roman"/>
          <w:color w:val="auto"/>
          <w:lang w:eastAsia="en-US"/>
        </w:rPr>
      </w:pPr>
      <w:hyperlink w:anchor="_Toc355779793" w:history="1">
        <w:r w:rsidRPr="00C5579B">
          <w:rPr>
            <w:rStyle w:val="Hyperlink"/>
            <w:color w:val="auto"/>
          </w:rPr>
          <w:t>II.</w:t>
        </w:r>
        <w:r w:rsidRPr="00C5579B">
          <w:rPr>
            <w:rFonts w:ascii="Times New Roman" w:eastAsia="Times New Roman" w:hAnsi="Times New Roman"/>
            <w:color w:val="auto"/>
            <w:lang w:eastAsia="en-US"/>
          </w:rPr>
          <w:tab/>
        </w:r>
        <w:r w:rsidRPr="00C5579B">
          <w:rPr>
            <w:rStyle w:val="Hyperlink"/>
            <w:color w:val="auto"/>
          </w:rPr>
          <w:t>THE DETERMINATION OF PSE’S AUTHORIZED COST OF CAPITAL IS OUTSIDE THE SCOPE OF THIS PROCEEDING</w:t>
        </w:r>
        <w:r w:rsidRPr="00C5579B">
          <w:rPr>
            <w:webHidden/>
            <w:color w:val="auto"/>
          </w:rPr>
          <w:tab/>
        </w:r>
        <w:r w:rsidRPr="00C5579B">
          <w:rPr>
            <w:webHidden/>
            <w:color w:val="auto"/>
          </w:rPr>
          <w:fldChar w:fldCharType="begin"/>
        </w:r>
        <w:r w:rsidRPr="00C5579B">
          <w:rPr>
            <w:webHidden/>
            <w:color w:val="auto"/>
          </w:rPr>
          <w:instrText xml:space="preserve"> PAGEREF _Toc355779793 \h </w:instrText>
        </w:r>
        <w:r w:rsidRPr="00C5579B">
          <w:rPr>
            <w:color w:val="auto"/>
          </w:rPr>
        </w:r>
        <w:r w:rsidRPr="00C5579B">
          <w:rPr>
            <w:webHidden/>
            <w:color w:val="auto"/>
          </w:rPr>
          <w:fldChar w:fldCharType="separate"/>
        </w:r>
        <w:r>
          <w:rPr>
            <w:webHidden/>
            <w:color w:val="auto"/>
          </w:rPr>
          <w:t>2</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794" w:history="1">
        <w:r w:rsidRPr="00C5579B">
          <w:rPr>
            <w:rStyle w:val="Hyperlink"/>
            <w:color w:val="auto"/>
          </w:rPr>
          <w:t>A.</w:t>
        </w:r>
        <w:r w:rsidRPr="00C5579B">
          <w:rPr>
            <w:rFonts w:ascii="Times New Roman" w:eastAsia="Times New Roman" w:hAnsi="Times New Roman"/>
            <w:color w:val="auto"/>
            <w:lang w:eastAsia="en-US"/>
          </w:rPr>
          <w:tab/>
        </w:r>
        <w:r w:rsidRPr="00C5579B">
          <w:rPr>
            <w:rStyle w:val="Hyperlink"/>
            <w:color w:val="auto"/>
          </w:rPr>
          <w:t>The Determination of PSE’s Authorized Return on Equity for PSE is Outside the Scope of This Proceeding</w:t>
        </w:r>
        <w:r w:rsidRPr="00C5579B">
          <w:rPr>
            <w:webHidden/>
            <w:color w:val="auto"/>
          </w:rPr>
          <w:tab/>
        </w:r>
        <w:r w:rsidRPr="00C5579B">
          <w:rPr>
            <w:webHidden/>
            <w:color w:val="auto"/>
          </w:rPr>
          <w:fldChar w:fldCharType="begin"/>
        </w:r>
        <w:r w:rsidRPr="00C5579B">
          <w:rPr>
            <w:webHidden/>
            <w:color w:val="auto"/>
          </w:rPr>
          <w:instrText xml:space="preserve"> PAGEREF _Toc355779794 \h </w:instrText>
        </w:r>
        <w:r w:rsidRPr="00C5579B">
          <w:rPr>
            <w:color w:val="auto"/>
          </w:rPr>
        </w:r>
        <w:r w:rsidRPr="00C5579B">
          <w:rPr>
            <w:webHidden/>
            <w:color w:val="auto"/>
          </w:rPr>
          <w:fldChar w:fldCharType="separate"/>
        </w:r>
        <w:r>
          <w:rPr>
            <w:webHidden/>
            <w:color w:val="auto"/>
          </w:rPr>
          <w:t>2</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795" w:history="1">
        <w:r w:rsidRPr="00C5579B">
          <w:rPr>
            <w:rStyle w:val="Hyperlink"/>
            <w:color w:val="auto"/>
          </w:rPr>
          <w:t>B.</w:t>
        </w:r>
        <w:r w:rsidRPr="00C5579B">
          <w:rPr>
            <w:rFonts w:ascii="Times New Roman" w:eastAsia="Times New Roman" w:hAnsi="Times New Roman"/>
            <w:color w:val="auto"/>
            <w:lang w:eastAsia="en-US"/>
          </w:rPr>
          <w:tab/>
        </w:r>
        <w:r w:rsidRPr="00C5579B">
          <w:rPr>
            <w:rStyle w:val="Hyperlink"/>
            <w:color w:val="auto"/>
          </w:rPr>
          <w:t>The Determination of PSE’s Authorized Cost of Debt for PSE is Outside the Scope of This Proceeding</w:t>
        </w:r>
        <w:r w:rsidRPr="00C5579B">
          <w:rPr>
            <w:webHidden/>
            <w:color w:val="auto"/>
          </w:rPr>
          <w:tab/>
        </w:r>
        <w:r w:rsidRPr="00C5579B">
          <w:rPr>
            <w:webHidden/>
            <w:color w:val="auto"/>
          </w:rPr>
          <w:fldChar w:fldCharType="begin"/>
        </w:r>
        <w:r w:rsidRPr="00C5579B">
          <w:rPr>
            <w:webHidden/>
            <w:color w:val="auto"/>
          </w:rPr>
          <w:instrText xml:space="preserve"> PAGEREF _Toc355779795 \h </w:instrText>
        </w:r>
        <w:r w:rsidRPr="00C5579B">
          <w:rPr>
            <w:color w:val="auto"/>
          </w:rPr>
        </w:r>
        <w:r w:rsidRPr="00C5579B">
          <w:rPr>
            <w:webHidden/>
            <w:color w:val="auto"/>
          </w:rPr>
          <w:fldChar w:fldCharType="separate"/>
        </w:r>
        <w:r>
          <w:rPr>
            <w:webHidden/>
            <w:color w:val="auto"/>
          </w:rPr>
          <w:t>7</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796" w:history="1">
        <w:r w:rsidRPr="00C5579B">
          <w:rPr>
            <w:rStyle w:val="Hyperlink"/>
            <w:color w:val="auto"/>
          </w:rPr>
          <w:t>C.</w:t>
        </w:r>
        <w:r w:rsidRPr="00C5579B">
          <w:rPr>
            <w:rFonts w:ascii="Times New Roman" w:eastAsia="Times New Roman" w:hAnsi="Times New Roman"/>
            <w:color w:val="auto"/>
            <w:lang w:eastAsia="en-US"/>
          </w:rPr>
          <w:tab/>
        </w:r>
        <w:r w:rsidRPr="00C5579B">
          <w:rPr>
            <w:rStyle w:val="Hyperlink"/>
            <w:color w:val="auto"/>
          </w:rPr>
          <w:t>Public Counsel Incorrectly Assumes that Decoupling Requires a Lower Allowed Return on Equity</w:t>
        </w:r>
        <w:r w:rsidRPr="00C5579B">
          <w:rPr>
            <w:webHidden/>
            <w:color w:val="auto"/>
          </w:rPr>
          <w:tab/>
        </w:r>
        <w:r w:rsidRPr="00C5579B">
          <w:rPr>
            <w:webHidden/>
            <w:color w:val="auto"/>
          </w:rPr>
          <w:fldChar w:fldCharType="begin"/>
        </w:r>
        <w:r w:rsidRPr="00C5579B">
          <w:rPr>
            <w:webHidden/>
            <w:color w:val="auto"/>
          </w:rPr>
          <w:instrText xml:space="preserve"> PAGEREF _Toc355779796 \h </w:instrText>
        </w:r>
        <w:r w:rsidRPr="00C5579B">
          <w:rPr>
            <w:color w:val="auto"/>
          </w:rPr>
        </w:r>
        <w:r w:rsidRPr="00C5579B">
          <w:rPr>
            <w:webHidden/>
            <w:color w:val="auto"/>
          </w:rPr>
          <w:fldChar w:fldCharType="separate"/>
        </w:r>
        <w:r>
          <w:rPr>
            <w:webHidden/>
            <w:color w:val="auto"/>
          </w:rPr>
          <w:t>9</w:t>
        </w:r>
        <w:r w:rsidRPr="00C5579B">
          <w:rPr>
            <w:webHidden/>
            <w:color w:val="auto"/>
          </w:rPr>
          <w:fldChar w:fldCharType="end"/>
        </w:r>
      </w:hyperlink>
    </w:p>
    <w:p w:rsidR="0088373F" w:rsidRPr="00C5579B" w:rsidRDefault="0088373F">
      <w:pPr>
        <w:pStyle w:val="TOC1"/>
        <w:rPr>
          <w:rFonts w:ascii="Times New Roman" w:eastAsia="Times New Roman" w:hAnsi="Times New Roman"/>
          <w:color w:val="auto"/>
          <w:lang w:eastAsia="en-US"/>
        </w:rPr>
      </w:pPr>
      <w:hyperlink w:anchor="_Toc355779797" w:history="1">
        <w:r w:rsidRPr="00C5579B">
          <w:rPr>
            <w:rStyle w:val="Hyperlink"/>
            <w:color w:val="auto"/>
          </w:rPr>
          <w:t>III.</w:t>
        </w:r>
        <w:r w:rsidRPr="00C5579B">
          <w:rPr>
            <w:rFonts w:ascii="Times New Roman" w:eastAsia="Times New Roman" w:hAnsi="Times New Roman"/>
            <w:color w:val="auto"/>
            <w:lang w:eastAsia="en-US"/>
          </w:rPr>
          <w:tab/>
        </w:r>
        <w:r w:rsidRPr="00C5579B">
          <w:rPr>
            <w:rStyle w:val="Hyperlink"/>
            <w:color w:val="auto"/>
          </w:rPr>
          <w:t>THE DETERMINATION OF PSE’S AUTHORIZED CAPITAL STRUCTURE IS OUTSIDE THE SCOPE OF THIS PROCEEDING</w:t>
        </w:r>
        <w:r w:rsidRPr="00C5579B">
          <w:rPr>
            <w:webHidden/>
            <w:color w:val="auto"/>
          </w:rPr>
          <w:tab/>
        </w:r>
        <w:r w:rsidRPr="00C5579B">
          <w:rPr>
            <w:webHidden/>
            <w:color w:val="auto"/>
          </w:rPr>
          <w:fldChar w:fldCharType="begin"/>
        </w:r>
        <w:r w:rsidRPr="00C5579B">
          <w:rPr>
            <w:webHidden/>
            <w:color w:val="auto"/>
          </w:rPr>
          <w:instrText xml:space="preserve"> PAGEREF _Toc355779797 \h </w:instrText>
        </w:r>
        <w:r w:rsidRPr="00C5579B">
          <w:rPr>
            <w:color w:val="auto"/>
          </w:rPr>
        </w:r>
        <w:r w:rsidRPr="00C5579B">
          <w:rPr>
            <w:webHidden/>
            <w:color w:val="auto"/>
          </w:rPr>
          <w:fldChar w:fldCharType="separate"/>
        </w:r>
        <w:r>
          <w:rPr>
            <w:webHidden/>
            <w:color w:val="auto"/>
          </w:rPr>
          <w:t>12</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798" w:history="1">
        <w:r w:rsidRPr="00C5579B">
          <w:rPr>
            <w:rStyle w:val="Hyperlink"/>
            <w:color w:val="auto"/>
          </w:rPr>
          <w:t>A.</w:t>
        </w:r>
        <w:r w:rsidRPr="00C5579B">
          <w:rPr>
            <w:rFonts w:ascii="Times New Roman" w:eastAsia="Times New Roman" w:hAnsi="Times New Roman"/>
            <w:color w:val="auto"/>
            <w:lang w:eastAsia="en-US"/>
          </w:rPr>
          <w:tab/>
        </w:r>
        <w:r w:rsidRPr="00C5579B">
          <w:rPr>
            <w:rStyle w:val="Hyperlink"/>
            <w:color w:val="auto"/>
          </w:rPr>
          <w:t>Public Counsel’s Proposal to Adjust PSE’s Capital Structure is Misplaced</w:t>
        </w:r>
        <w:r w:rsidRPr="00C5579B">
          <w:rPr>
            <w:webHidden/>
            <w:color w:val="auto"/>
          </w:rPr>
          <w:tab/>
        </w:r>
        <w:r w:rsidRPr="00C5579B">
          <w:rPr>
            <w:webHidden/>
            <w:color w:val="auto"/>
          </w:rPr>
          <w:fldChar w:fldCharType="begin"/>
        </w:r>
        <w:r w:rsidRPr="00C5579B">
          <w:rPr>
            <w:webHidden/>
            <w:color w:val="auto"/>
          </w:rPr>
          <w:instrText xml:space="preserve"> PAGEREF _Toc355779798 \h </w:instrText>
        </w:r>
        <w:r w:rsidRPr="00C5579B">
          <w:rPr>
            <w:color w:val="auto"/>
          </w:rPr>
        </w:r>
        <w:r w:rsidRPr="00C5579B">
          <w:rPr>
            <w:webHidden/>
            <w:color w:val="auto"/>
          </w:rPr>
          <w:fldChar w:fldCharType="separate"/>
        </w:r>
        <w:r>
          <w:rPr>
            <w:webHidden/>
            <w:color w:val="auto"/>
          </w:rPr>
          <w:t>12</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799" w:history="1">
        <w:r w:rsidRPr="00C5579B">
          <w:rPr>
            <w:rStyle w:val="Hyperlink"/>
            <w:color w:val="auto"/>
          </w:rPr>
          <w:t>B.</w:t>
        </w:r>
        <w:r w:rsidRPr="00C5579B">
          <w:rPr>
            <w:rFonts w:ascii="Times New Roman" w:eastAsia="Times New Roman" w:hAnsi="Times New Roman"/>
            <w:color w:val="auto"/>
            <w:lang w:eastAsia="en-US"/>
          </w:rPr>
          <w:tab/>
        </w:r>
        <w:r w:rsidRPr="00C5579B">
          <w:rPr>
            <w:rStyle w:val="Hyperlink"/>
            <w:color w:val="auto"/>
          </w:rPr>
          <w:t>PSE’s Capital Structure for the Twelve Months Ending December 31, 2012, Contained 48.65 Percent Equity and Not 46.6 Percent Equity as Suggested by ICNU</w:t>
        </w:r>
        <w:r w:rsidRPr="00C5579B">
          <w:rPr>
            <w:webHidden/>
            <w:color w:val="auto"/>
          </w:rPr>
          <w:tab/>
        </w:r>
        <w:r w:rsidRPr="00C5579B">
          <w:rPr>
            <w:webHidden/>
            <w:color w:val="auto"/>
          </w:rPr>
          <w:fldChar w:fldCharType="begin"/>
        </w:r>
        <w:r w:rsidRPr="00C5579B">
          <w:rPr>
            <w:webHidden/>
            <w:color w:val="auto"/>
          </w:rPr>
          <w:instrText xml:space="preserve"> PAGEREF _Toc355779799 \h </w:instrText>
        </w:r>
        <w:r w:rsidRPr="00C5579B">
          <w:rPr>
            <w:color w:val="auto"/>
          </w:rPr>
        </w:r>
        <w:r w:rsidRPr="00C5579B">
          <w:rPr>
            <w:webHidden/>
            <w:color w:val="auto"/>
          </w:rPr>
          <w:fldChar w:fldCharType="separate"/>
        </w:r>
        <w:r>
          <w:rPr>
            <w:webHidden/>
            <w:color w:val="auto"/>
          </w:rPr>
          <w:t>14</w:t>
        </w:r>
        <w:r w:rsidRPr="00C5579B">
          <w:rPr>
            <w:webHidden/>
            <w:color w:val="auto"/>
          </w:rPr>
          <w:fldChar w:fldCharType="end"/>
        </w:r>
      </w:hyperlink>
    </w:p>
    <w:p w:rsidR="0088373F" w:rsidRPr="00C5579B" w:rsidRDefault="0088373F">
      <w:pPr>
        <w:pStyle w:val="TOC1"/>
        <w:rPr>
          <w:rFonts w:ascii="Times New Roman" w:eastAsia="Times New Roman" w:hAnsi="Times New Roman"/>
          <w:color w:val="auto"/>
          <w:lang w:eastAsia="en-US"/>
        </w:rPr>
      </w:pPr>
      <w:hyperlink w:anchor="_Toc355779800" w:history="1">
        <w:r w:rsidRPr="00C5579B">
          <w:rPr>
            <w:rStyle w:val="Hyperlink"/>
            <w:color w:val="auto"/>
          </w:rPr>
          <w:t>IV.</w:t>
        </w:r>
        <w:r w:rsidRPr="00C5579B">
          <w:rPr>
            <w:rFonts w:ascii="Times New Roman" w:eastAsia="Times New Roman" w:hAnsi="Times New Roman"/>
            <w:color w:val="auto"/>
            <w:lang w:eastAsia="en-US"/>
          </w:rPr>
          <w:tab/>
        </w:r>
        <w:r w:rsidRPr="00C5579B">
          <w:rPr>
            <w:rStyle w:val="Hyperlink"/>
            <w:color w:val="auto"/>
          </w:rPr>
          <w:t>ICNU MISINTERPRETS CERTAIN INFORMATION REGARDING PUGET ENERGY AND PSE</w:t>
        </w:r>
        <w:r w:rsidRPr="00C5579B">
          <w:rPr>
            <w:webHidden/>
            <w:color w:val="auto"/>
          </w:rPr>
          <w:tab/>
        </w:r>
        <w:r w:rsidRPr="00C5579B">
          <w:rPr>
            <w:webHidden/>
            <w:color w:val="auto"/>
          </w:rPr>
          <w:fldChar w:fldCharType="begin"/>
        </w:r>
        <w:r w:rsidRPr="00C5579B">
          <w:rPr>
            <w:webHidden/>
            <w:color w:val="auto"/>
          </w:rPr>
          <w:instrText xml:space="preserve"> PAGEREF _Toc355779800 \h </w:instrText>
        </w:r>
        <w:r w:rsidRPr="00C5579B">
          <w:rPr>
            <w:color w:val="auto"/>
          </w:rPr>
        </w:r>
        <w:r w:rsidRPr="00C5579B">
          <w:rPr>
            <w:webHidden/>
            <w:color w:val="auto"/>
          </w:rPr>
          <w:fldChar w:fldCharType="separate"/>
        </w:r>
        <w:r>
          <w:rPr>
            <w:webHidden/>
            <w:color w:val="auto"/>
          </w:rPr>
          <w:t>17</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801" w:history="1">
        <w:r w:rsidRPr="00C5579B">
          <w:rPr>
            <w:rStyle w:val="Hyperlink"/>
            <w:color w:val="auto"/>
          </w:rPr>
          <w:t>A.</w:t>
        </w:r>
        <w:r w:rsidRPr="00C5579B">
          <w:rPr>
            <w:rFonts w:ascii="Times New Roman" w:eastAsia="Times New Roman" w:hAnsi="Times New Roman"/>
            <w:color w:val="auto"/>
            <w:lang w:eastAsia="en-US"/>
          </w:rPr>
          <w:tab/>
        </w:r>
        <w:r w:rsidRPr="00C5579B">
          <w:rPr>
            <w:rStyle w:val="Hyperlink"/>
            <w:color w:val="auto"/>
          </w:rPr>
          <w:t>ICNU Incorrectly Asserts that PSE’s Operating Return on Equity in Calendar Year 2012 Was 10.75 Percent</w:t>
        </w:r>
        <w:r w:rsidRPr="00C5579B">
          <w:rPr>
            <w:webHidden/>
            <w:color w:val="auto"/>
          </w:rPr>
          <w:tab/>
        </w:r>
        <w:r w:rsidRPr="00C5579B">
          <w:rPr>
            <w:webHidden/>
            <w:color w:val="auto"/>
          </w:rPr>
          <w:fldChar w:fldCharType="begin"/>
        </w:r>
        <w:r w:rsidRPr="00C5579B">
          <w:rPr>
            <w:webHidden/>
            <w:color w:val="auto"/>
          </w:rPr>
          <w:instrText xml:space="preserve"> PAGEREF _Toc355779801 \h </w:instrText>
        </w:r>
        <w:r w:rsidRPr="00C5579B">
          <w:rPr>
            <w:color w:val="auto"/>
          </w:rPr>
        </w:r>
        <w:r w:rsidRPr="00C5579B">
          <w:rPr>
            <w:webHidden/>
            <w:color w:val="auto"/>
          </w:rPr>
          <w:fldChar w:fldCharType="separate"/>
        </w:r>
        <w:r>
          <w:rPr>
            <w:webHidden/>
            <w:color w:val="auto"/>
          </w:rPr>
          <w:t>17</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802" w:history="1">
        <w:r w:rsidRPr="00C5579B">
          <w:rPr>
            <w:rStyle w:val="Hyperlink"/>
            <w:color w:val="auto"/>
          </w:rPr>
          <w:t>B.</w:t>
        </w:r>
        <w:r w:rsidRPr="00C5579B">
          <w:rPr>
            <w:rFonts w:ascii="Times New Roman" w:eastAsia="Times New Roman" w:hAnsi="Times New Roman"/>
            <w:color w:val="auto"/>
            <w:lang w:eastAsia="en-US"/>
          </w:rPr>
          <w:tab/>
        </w:r>
        <w:r w:rsidRPr="00C5579B">
          <w:rPr>
            <w:rStyle w:val="Hyperlink"/>
            <w:color w:val="auto"/>
          </w:rPr>
          <w:t>ICNU’s Concern Regarding the Dividend Payout Ratio of PSE is Misplaced</w:t>
        </w:r>
        <w:r w:rsidRPr="00C5579B">
          <w:rPr>
            <w:webHidden/>
            <w:color w:val="auto"/>
          </w:rPr>
          <w:tab/>
        </w:r>
        <w:r w:rsidRPr="00C5579B">
          <w:rPr>
            <w:webHidden/>
            <w:color w:val="auto"/>
          </w:rPr>
          <w:fldChar w:fldCharType="begin"/>
        </w:r>
        <w:r w:rsidRPr="00C5579B">
          <w:rPr>
            <w:webHidden/>
            <w:color w:val="auto"/>
          </w:rPr>
          <w:instrText xml:space="preserve"> PAGEREF _Toc355779802 \h </w:instrText>
        </w:r>
        <w:r w:rsidRPr="00C5579B">
          <w:rPr>
            <w:color w:val="auto"/>
          </w:rPr>
        </w:r>
        <w:r w:rsidRPr="00C5579B">
          <w:rPr>
            <w:webHidden/>
            <w:color w:val="auto"/>
          </w:rPr>
          <w:fldChar w:fldCharType="separate"/>
        </w:r>
        <w:r>
          <w:rPr>
            <w:webHidden/>
            <w:color w:val="auto"/>
          </w:rPr>
          <w:t>20</w:t>
        </w:r>
        <w:r w:rsidRPr="00C5579B">
          <w:rPr>
            <w:webHidden/>
            <w:color w:val="auto"/>
          </w:rPr>
          <w:fldChar w:fldCharType="end"/>
        </w:r>
      </w:hyperlink>
    </w:p>
    <w:p w:rsidR="0088373F" w:rsidRPr="00C5579B" w:rsidRDefault="0088373F">
      <w:pPr>
        <w:pStyle w:val="TOC2"/>
        <w:rPr>
          <w:rFonts w:ascii="Times New Roman" w:eastAsia="Times New Roman" w:hAnsi="Times New Roman"/>
          <w:color w:val="auto"/>
          <w:lang w:eastAsia="en-US"/>
        </w:rPr>
      </w:pPr>
      <w:hyperlink w:anchor="_Toc355779803" w:history="1">
        <w:r w:rsidRPr="00C5579B">
          <w:rPr>
            <w:rStyle w:val="Hyperlink"/>
            <w:color w:val="auto"/>
          </w:rPr>
          <w:t>C.</w:t>
        </w:r>
        <w:r w:rsidRPr="00C5579B">
          <w:rPr>
            <w:rFonts w:ascii="Times New Roman" w:eastAsia="Times New Roman" w:hAnsi="Times New Roman"/>
            <w:color w:val="auto"/>
            <w:lang w:eastAsia="en-US"/>
          </w:rPr>
          <w:tab/>
        </w:r>
        <w:r w:rsidRPr="00C5579B">
          <w:rPr>
            <w:rStyle w:val="Hyperlink"/>
            <w:color w:val="auto"/>
          </w:rPr>
          <w:t>ICNU Erroneously Suggests that PSE’s Pension Expense is Not Indicative of Current Contribution Levels</w:t>
        </w:r>
        <w:r w:rsidRPr="00C5579B">
          <w:rPr>
            <w:webHidden/>
            <w:color w:val="auto"/>
          </w:rPr>
          <w:tab/>
        </w:r>
        <w:r w:rsidRPr="00C5579B">
          <w:rPr>
            <w:webHidden/>
            <w:color w:val="auto"/>
          </w:rPr>
          <w:fldChar w:fldCharType="begin"/>
        </w:r>
        <w:r w:rsidRPr="00C5579B">
          <w:rPr>
            <w:webHidden/>
            <w:color w:val="auto"/>
          </w:rPr>
          <w:instrText xml:space="preserve"> PAGEREF _Toc355779803 \h </w:instrText>
        </w:r>
        <w:r w:rsidRPr="00C5579B">
          <w:rPr>
            <w:color w:val="auto"/>
          </w:rPr>
        </w:r>
        <w:r w:rsidRPr="00C5579B">
          <w:rPr>
            <w:webHidden/>
            <w:color w:val="auto"/>
          </w:rPr>
          <w:fldChar w:fldCharType="separate"/>
        </w:r>
        <w:r>
          <w:rPr>
            <w:webHidden/>
            <w:color w:val="auto"/>
          </w:rPr>
          <w:t>24</w:t>
        </w:r>
        <w:r w:rsidRPr="00C5579B">
          <w:rPr>
            <w:webHidden/>
            <w:color w:val="auto"/>
          </w:rPr>
          <w:fldChar w:fldCharType="end"/>
        </w:r>
      </w:hyperlink>
    </w:p>
    <w:p w:rsidR="0088373F" w:rsidRPr="00C5579B" w:rsidRDefault="0088373F">
      <w:pPr>
        <w:pStyle w:val="TOC1"/>
        <w:rPr>
          <w:rFonts w:ascii="Times New Roman" w:eastAsia="Times New Roman" w:hAnsi="Times New Roman"/>
          <w:color w:val="auto"/>
          <w:lang w:eastAsia="en-US"/>
        </w:rPr>
      </w:pPr>
      <w:hyperlink w:anchor="_Toc355779804" w:history="1">
        <w:r w:rsidRPr="00C5579B">
          <w:rPr>
            <w:rStyle w:val="Hyperlink"/>
            <w:color w:val="auto"/>
          </w:rPr>
          <w:t>V.</w:t>
        </w:r>
        <w:r w:rsidRPr="00C5579B">
          <w:rPr>
            <w:rFonts w:ascii="Times New Roman" w:eastAsia="Times New Roman" w:hAnsi="Times New Roman"/>
            <w:color w:val="auto"/>
            <w:lang w:eastAsia="en-US"/>
          </w:rPr>
          <w:tab/>
        </w:r>
        <w:r w:rsidRPr="00C5579B">
          <w:rPr>
            <w:rStyle w:val="Hyperlink"/>
            <w:color w:val="auto"/>
          </w:rPr>
          <w:t>CONCLUSION</w:t>
        </w:r>
        <w:r w:rsidRPr="00C5579B">
          <w:rPr>
            <w:webHidden/>
            <w:color w:val="auto"/>
          </w:rPr>
          <w:tab/>
        </w:r>
        <w:r w:rsidRPr="00C5579B">
          <w:rPr>
            <w:webHidden/>
            <w:color w:val="auto"/>
          </w:rPr>
          <w:fldChar w:fldCharType="begin"/>
        </w:r>
        <w:r w:rsidRPr="00C5579B">
          <w:rPr>
            <w:webHidden/>
            <w:color w:val="auto"/>
          </w:rPr>
          <w:instrText xml:space="preserve"> PAGEREF _Toc355779804 \h </w:instrText>
        </w:r>
        <w:r w:rsidRPr="00C5579B">
          <w:rPr>
            <w:color w:val="auto"/>
          </w:rPr>
        </w:r>
        <w:r w:rsidRPr="00C5579B">
          <w:rPr>
            <w:webHidden/>
            <w:color w:val="auto"/>
          </w:rPr>
          <w:fldChar w:fldCharType="separate"/>
        </w:r>
        <w:r>
          <w:rPr>
            <w:webHidden/>
            <w:color w:val="auto"/>
          </w:rPr>
          <w:t>26</w:t>
        </w:r>
        <w:r w:rsidRPr="00C5579B">
          <w:rPr>
            <w:webHidden/>
            <w:color w:val="auto"/>
          </w:rPr>
          <w:fldChar w:fldCharType="end"/>
        </w:r>
      </w:hyperlink>
    </w:p>
    <w:p w:rsidR="0088373F" w:rsidRDefault="0088373F" w:rsidP="000F4005">
      <w:pPr>
        <w:widowControl w:val="0"/>
        <w:spacing w:before="240" w:after="240" w:line="480" w:lineRule="auto"/>
        <w:ind w:left="720" w:right="720" w:firstLine="0"/>
        <w:jc w:val="center"/>
        <w:rPr>
          <w:bCs/>
        </w:rPr>
      </w:pPr>
      <w:r w:rsidRPr="00C5579B">
        <w:rPr>
          <w:bCs/>
        </w:rPr>
        <w:fldChar w:fldCharType="end"/>
      </w:r>
    </w:p>
    <w:p w:rsidR="0088373F" w:rsidRPr="009075DC" w:rsidRDefault="0088373F" w:rsidP="000F4005">
      <w:pPr>
        <w:widowControl w:val="0"/>
        <w:spacing w:before="240" w:after="240" w:line="480" w:lineRule="auto"/>
        <w:ind w:left="720" w:right="720" w:firstLine="0"/>
        <w:jc w:val="center"/>
        <w:rPr>
          <w:b/>
          <w:bCs/>
          <w:szCs w:val="24"/>
        </w:rPr>
        <w:sectPr w:rsidR="0088373F" w:rsidRPr="009075DC" w:rsidSect="00742234">
          <w:headerReference w:type="default" r:id="rId9"/>
          <w:footerReference w:type="default" r:id="rId10"/>
          <w:pgSz w:w="12240" w:h="15840" w:code="1"/>
          <w:pgMar w:top="1152" w:right="1440" w:bottom="1152" w:left="2160" w:header="864" w:footer="576" w:gutter="0"/>
          <w:pgNumType w:fmt="lowerRoman" w:start="1"/>
          <w:cols w:space="720"/>
        </w:sectPr>
      </w:pPr>
    </w:p>
    <w:p w:rsidR="0088373F" w:rsidRPr="006E0E79" w:rsidRDefault="0088373F" w:rsidP="006E0E79">
      <w:pPr>
        <w:keepNext/>
        <w:keepLines/>
        <w:spacing w:before="240" w:after="360" w:line="240" w:lineRule="auto"/>
        <w:ind w:left="547" w:right="547" w:firstLine="0"/>
        <w:jc w:val="center"/>
        <w:rPr>
          <w:b/>
          <w:bCs/>
          <w:szCs w:val="24"/>
        </w:rPr>
      </w:pPr>
      <w:r w:rsidRPr="006E0E79">
        <w:rPr>
          <w:b/>
          <w:bCs/>
          <w:szCs w:val="24"/>
        </w:rPr>
        <w:t>PUGET SOUND ENERGY, INC.</w:t>
      </w:r>
    </w:p>
    <w:p w:rsidR="0088373F" w:rsidRPr="00EB2533" w:rsidRDefault="0088373F"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REBUTTAL</w:t>
      </w:r>
      <w:r w:rsidRPr="009075DC">
        <w:rPr>
          <w:b/>
          <w:bCs/>
          <w:szCs w:val="24"/>
        </w:rPr>
        <w:t xml:space="preserve"> TESTIMONY (NONCONFIDENTIAL) OF</w:t>
      </w:r>
      <w:r>
        <w:rPr>
          <w:b/>
          <w:bCs/>
          <w:szCs w:val="24"/>
        </w:rPr>
        <w:t xml:space="preserve"> DANIEL A. DOYLE</w:t>
      </w:r>
    </w:p>
    <w:p w:rsidR="0088373F" w:rsidRPr="009075DC" w:rsidRDefault="0088373F" w:rsidP="006E0E79">
      <w:pPr>
        <w:pStyle w:val="Heading1"/>
        <w:spacing w:after="360" w:line="240" w:lineRule="auto"/>
        <w:rPr>
          <w:rFonts w:eastAsia="SimSun"/>
        </w:rPr>
      </w:pPr>
      <w:bookmarkStart w:id="1" w:name="_Toc125167531"/>
      <w:bookmarkStart w:id="2" w:name="_Toc127023381"/>
      <w:bookmarkStart w:id="3" w:name="_Toc355779792"/>
      <w:r w:rsidRPr="009075DC">
        <w:rPr>
          <w:rFonts w:eastAsia="SimSun"/>
        </w:rPr>
        <w:t>I.</w:t>
      </w:r>
      <w:r w:rsidRPr="009075DC">
        <w:rPr>
          <w:rFonts w:eastAsia="SimSun"/>
        </w:rPr>
        <w:tab/>
        <w:t>INTRODUCTION</w:t>
      </w:r>
      <w:bookmarkEnd w:id="1"/>
      <w:bookmarkEnd w:id="2"/>
      <w:bookmarkEnd w:id="3"/>
    </w:p>
    <w:p w:rsidR="0088373F" w:rsidRPr="009075DC" w:rsidRDefault="0088373F" w:rsidP="002C3969">
      <w:pPr>
        <w:pStyle w:val="question"/>
        <w:keepNext/>
        <w:keepLines/>
      </w:pPr>
      <w:r w:rsidRPr="009075DC">
        <w:rPr>
          <w:rFonts w:eastAsia="SimSun"/>
        </w:rPr>
        <w:t>Q.</w:t>
      </w:r>
      <w:r w:rsidRPr="009075DC">
        <w:rPr>
          <w:rFonts w:eastAsia="SimSun"/>
        </w:rPr>
        <w:tab/>
        <w:t>Please state your name and business address.</w:t>
      </w:r>
    </w:p>
    <w:p w:rsidR="0088373F" w:rsidRPr="009075DC" w:rsidRDefault="0088373F" w:rsidP="00802BCB">
      <w:pPr>
        <w:pStyle w:val="answer"/>
        <w:widowControl w:val="0"/>
        <w:rPr>
          <w:rFonts w:eastAsia="SimSun"/>
        </w:rPr>
      </w:pPr>
      <w:r w:rsidRPr="009075DC">
        <w:rPr>
          <w:rFonts w:eastAsia="SimSun"/>
        </w:rPr>
        <w:t>A.</w:t>
      </w:r>
      <w:r w:rsidRPr="009075DC">
        <w:rPr>
          <w:rFonts w:eastAsia="SimSun"/>
        </w:rPr>
        <w:tab/>
        <w:t xml:space="preserve">My name is </w:t>
      </w:r>
      <w:r w:rsidRPr="007B7904">
        <w:t>Daniel</w:t>
      </w:r>
      <w:r>
        <w:t> </w:t>
      </w:r>
      <w:r w:rsidRPr="007B7904">
        <w:t>A. Doyle</w:t>
      </w:r>
      <w:r w:rsidRPr="009075DC">
        <w:rPr>
          <w:rFonts w:eastAsia="SimSun"/>
        </w:rPr>
        <w:t xml:space="preserve">.  I am employed as </w:t>
      </w:r>
      <w:r w:rsidRPr="007B7904">
        <w:rPr>
          <w:rFonts w:eastAsia="SimSun"/>
        </w:rPr>
        <w:t xml:space="preserve">Senior Vice President and Chief Financial Officer </w:t>
      </w:r>
      <w:r>
        <w:rPr>
          <w:rFonts w:eastAsia="SimSun"/>
        </w:rPr>
        <w:t xml:space="preserve">for </w:t>
      </w:r>
      <w:r w:rsidRPr="009075DC">
        <w:rPr>
          <w:rFonts w:eastAsia="SimSun"/>
        </w:rPr>
        <w:t>Puget Sound Energy, Inc. (</w:t>
      </w:r>
      <w:r>
        <w:rPr>
          <w:rFonts w:eastAsia="SimSun"/>
        </w:rPr>
        <w:t>“</w:t>
      </w:r>
      <w:r w:rsidRPr="009075DC">
        <w:rPr>
          <w:rFonts w:eastAsia="SimSun"/>
        </w:rPr>
        <w:t>PSE</w:t>
      </w:r>
      <w:r>
        <w:rPr>
          <w:rFonts w:eastAsia="SimSun"/>
        </w:rPr>
        <w:t>”</w:t>
      </w:r>
      <w:r w:rsidRPr="009075DC">
        <w:rPr>
          <w:rFonts w:eastAsia="SimSun"/>
        </w:rPr>
        <w:t>).  My business address is 10885 NE Fourth Street, Bellevue, WA 98009-9734.</w:t>
      </w:r>
    </w:p>
    <w:p w:rsidR="0088373F" w:rsidRPr="009075DC" w:rsidRDefault="0088373F" w:rsidP="002C3969">
      <w:pPr>
        <w:pStyle w:val="question"/>
        <w:keepNext/>
        <w:keepLines/>
      </w:pPr>
      <w:r w:rsidRPr="009075DC">
        <w:rPr>
          <w:rFonts w:eastAsia="SimSun"/>
        </w:rPr>
        <w:t>Q.</w:t>
      </w:r>
      <w:r w:rsidRPr="009075DC">
        <w:rPr>
          <w:rFonts w:eastAsia="SimSun"/>
        </w:rPr>
        <w:tab/>
        <w:t>Have you prepared an exhibit describing your education, relevant employment experience and other professional qualifications?</w:t>
      </w:r>
    </w:p>
    <w:p w:rsidR="0088373F" w:rsidRPr="009075DC" w:rsidRDefault="0088373F" w:rsidP="00802BCB">
      <w:pPr>
        <w:pStyle w:val="answer"/>
        <w:widowControl w:val="0"/>
        <w:rPr>
          <w:rFonts w:eastAsia="SimSun"/>
        </w:rPr>
      </w:pPr>
      <w:r w:rsidRPr="009075DC">
        <w:rPr>
          <w:rFonts w:eastAsia="SimSun"/>
        </w:rPr>
        <w:t>A.</w:t>
      </w:r>
      <w:r w:rsidRPr="009075DC">
        <w:rPr>
          <w:rFonts w:eastAsia="SimSun"/>
        </w:rPr>
        <w:tab/>
        <w:t>Yes, I have.  It is Exhibit No. ___(</w:t>
      </w:r>
      <w:r>
        <w:rPr>
          <w:rFonts w:eastAsia="SimSun"/>
        </w:rPr>
        <w:t>DAD</w:t>
      </w:r>
      <w:r w:rsidRPr="009075DC">
        <w:rPr>
          <w:rFonts w:eastAsia="SimSun"/>
        </w:rPr>
        <w:t>-2).</w:t>
      </w:r>
    </w:p>
    <w:p w:rsidR="0088373F" w:rsidRPr="00A503F9" w:rsidRDefault="0088373F" w:rsidP="002C3969">
      <w:pPr>
        <w:pStyle w:val="question"/>
        <w:keepNext/>
        <w:keepLines/>
      </w:pPr>
      <w:r w:rsidRPr="009075DC">
        <w:rPr>
          <w:rFonts w:eastAsia="SimSun"/>
        </w:rPr>
        <w:t>Q.</w:t>
      </w:r>
      <w:r w:rsidRPr="009075DC">
        <w:rPr>
          <w:rFonts w:eastAsia="SimSun"/>
        </w:rPr>
        <w:tab/>
        <w:t xml:space="preserve">What is the purpose of </w:t>
      </w:r>
      <w:r>
        <w:rPr>
          <w:rFonts w:eastAsia="SimSun"/>
        </w:rPr>
        <w:t xml:space="preserve">your rebuttal </w:t>
      </w:r>
      <w:r w:rsidRPr="009075DC">
        <w:rPr>
          <w:rFonts w:eastAsia="SimSun"/>
        </w:rPr>
        <w:t>testimony?</w:t>
      </w:r>
    </w:p>
    <w:p w:rsidR="0088373F" w:rsidRDefault="0088373F" w:rsidP="001B5FA4">
      <w:pPr>
        <w:pStyle w:val="Answer0"/>
        <w:rPr>
          <w:rFonts w:eastAsia="SimSun"/>
        </w:rPr>
      </w:pPr>
      <w:r w:rsidRPr="009E5562">
        <w:rPr>
          <w:rFonts w:eastAsia="SimSun"/>
        </w:rPr>
        <w:t>A.</w:t>
      </w:r>
      <w:r w:rsidRPr="009E5562">
        <w:rPr>
          <w:rFonts w:eastAsia="SimSun"/>
        </w:rPr>
        <w:tab/>
      </w:r>
      <w:r>
        <w:rPr>
          <w:rFonts w:eastAsia="SimSun"/>
        </w:rPr>
        <w:t>This prefiled rebuttal testimony also responds to arguments made in the following testimonies:</w:t>
      </w:r>
    </w:p>
    <w:p w:rsidR="0088373F" w:rsidRDefault="0088373F" w:rsidP="006E6860">
      <w:pPr>
        <w:pStyle w:val="Answer0"/>
        <w:spacing w:before="0" w:after="280" w:line="240" w:lineRule="auto"/>
        <w:ind w:left="2160" w:right="720"/>
        <w:rPr>
          <w:rFonts w:eastAsia="SimSun"/>
        </w:rPr>
      </w:pPr>
      <w:r>
        <w:rPr>
          <w:rFonts w:eastAsia="SimSun"/>
        </w:rPr>
        <w:t>(i)</w:t>
      </w:r>
      <w:r>
        <w:rPr>
          <w:rFonts w:eastAsia="SimSun"/>
        </w:rPr>
        <w:tab/>
        <w:t xml:space="preserve">the </w:t>
      </w:r>
      <w:r w:rsidRPr="009E5562">
        <w:rPr>
          <w:rFonts w:eastAsia="SimSun"/>
        </w:rPr>
        <w:t>Prefiled Response Testimon</w:t>
      </w:r>
      <w:r>
        <w:rPr>
          <w:rFonts w:eastAsia="SimSun"/>
        </w:rPr>
        <w:t>y of Mr. Stephen G. Hill</w:t>
      </w:r>
      <w:r w:rsidRPr="009E5562">
        <w:rPr>
          <w:rFonts w:eastAsia="SimSun"/>
        </w:rPr>
        <w:t>, Exhibit No.</w:t>
      </w:r>
      <w:r>
        <w:rPr>
          <w:rFonts w:eastAsia="SimSun"/>
        </w:rPr>
        <w:t> </w:t>
      </w:r>
      <w:r w:rsidRPr="009E5562">
        <w:rPr>
          <w:rFonts w:eastAsia="SimSun"/>
        </w:rPr>
        <w:t>___(</w:t>
      </w:r>
      <w:r>
        <w:rPr>
          <w:rFonts w:eastAsia="SimSun"/>
        </w:rPr>
        <w:t>SGH</w:t>
      </w:r>
      <w:r w:rsidRPr="009E5562">
        <w:rPr>
          <w:rFonts w:eastAsia="SimSun"/>
        </w:rPr>
        <w:t xml:space="preserve">-1T), </w:t>
      </w:r>
      <w:r>
        <w:rPr>
          <w:rFonts w:eastAsia="SimSun"/>
        </w:rPr>
        <w:t xml:space="preserve">on behalf of the </w:t>
      </w:r>
      <w:r w:rsidRPr="006E6860">
        <w:rPr>
          <w:rFonts w:eastAsia="SimSun"/>
        </w:rPr>
        <w:t>Public Counsel Section of the Washington Attorney General</w:t>
      </w:r>
      <w:r>
        <w:rPr>
          <w:rFonts w:eastAsia="SimSun"/>
        </w:rPr>
        <w:t>’</w:t>
      </w:r>
      <w:r w:rsidRPr="006E6860">
        <w:rPr>
          <w:rFonts w:eastAsia="SimSun"/>
        </w:rPr>
        <w:t>s Office (</w:t>
      </w:r>
      <w:r>
        <w:rPr>
          <w:rFonts w:eastAsia="SimSun"/>
        </w:rPr>
        <w:t>“</w:t>
      </w:r>
      <w:r w:rsidRPr="006E6860">
        <w:rPr>
          <w:rFonts w:eastAsia="SimSun"/>
        </w:rPr>
        <w:t>Public Counsel</w:t>
      </w:r>
      <w:r>
        <w:rPr>
          <w:rFonts w:eastAsia="SimSun"/>
        </w:rPr>
        <w:t>”</w:t>
      </w:r>
      <w:r w:rsidRPr="006E6860">
        <w:rPr>
          <w:rFonts w:eastAsia="SimSun"/>
        </w:rPr>
        <w:t>)</w:t>
      </w:r>
      <w:r>
        <w:rPr>
          <w:rFonts w:eastAsia="SimSun"/>
        </w:rPr>
        <w:t>;</w:t>
      </w:r>
    </w:p>
    <w:p w:rsidR="0088373F" w:rsidRDefault="0088373F" w:rsidP="006E6860">
      <w:pPr>
        <w:pStyle w:val="Answer0"/>
        <w:spacing w:before="0" w:after="280" w:line="240" w:lineRule="auto"/>
        <w:ind w:left="2160" w:right="720"/>
        <w:rPr>
          <w:rFonts w:eastAsia="SimSun"/>
        </w:rPr>
      </w:pPr>
      <w:r>
        <w:rPr>
          <w:rFonts w:eastAsia="SimSun"/>
        </w:rPr>
        <w:t>(ii)</w:t>
      </w:r>
      <w:r>
        <w:rPr>
          <w:rFonts w:eastAsia="SimSun"/>
        </w:rPr>
        <w:tab/>
        <w:t xml:space="preserve">the </w:t>
      </w:r>
      <w:r w:rsidRPr="009E5562">
        <w:rPr>
          <w:rFonts w:eastAsia="SimSun"/>
        </w:rPr>
        <w:t>Prefiled Response Testimon</w:t>
      </w:r>
      <w:r>
        <w:rPr>
          <w:rFonts w:eastAsia="SimSun"/>
        </w:rPr>
        <w:t>y of Mr. </w:t>
      </w:r>
      <w:r w:rsidRPr="006E6860">
        <w:rPr>
          <w:rFonts w:eastAsia="SimSun"/>
        </w:rPr>
        <w:t>Michael</w:t>
      </w:r>
      <w:r>
        <w:rPr>
          <w:rFonts w:eastAsia="SimSun"/>
        </w:rPr>
        <w:t> </w:t>
      </w:r>
      <w:r w:rsidRPr="006E6860">
        <w:rPr>
          <w:rFonts w:eastAsia="SimSun"/>
        </w:rPr>
        <w:t>P. Gorman</w:t>
      </w:r>
      <w:r w:rsidRPr="009E5562">
        <w:rPr>
          <w:rFonts w:eastAsia="SimSun"/>
        </w:rPr>
        <w:t>, Exhibit No.</w:t>
      </w:r>
      <w:r>
        <w:rPr>
          <w:rFonts w:eastAsia="SimSun"/>
        </w:rPr>
        <w:t> </w:t>
      </w:r>
      <w:r w:rsidRPr="009E5562">
        <w:rPr>
          <w:rFonts w:eastAsia="SimSun"/>
        </w:rPr>
        <w:t>___(</w:t>
      </w:r>
      <w:r>
        <w:rPr>
          <w:rFonts w:eastAsia="SimSun"/>
        </w:rPr>
        <w:t>MPG</w:t>
      </w:r>
      <w:r w:rsidRPr="009E5562">
        <w:rPr>
          <w:rFonts w:eastAsia="SimSun"/>
        </w:rPr>
        <w:t xml:space="preserve">-1T), </w:t>
      </w:r>
      <w:r>
        <w:rPr>
          <w:rFonts w:eastAsia="SimSun"/>
        </w:rPr>
        <w:t xml:space="preserve">on behalf of the Industrial Customers of Northwest Utilities </w:t>
      </w:r>
      <w:r w:rsidRPr="006E6860">
        <w:rPr>
          <w:rFonts w:eastAsia="SimSun"/>
        </w:rPr>
        <w:t>(</w:t>
      </w:r>
      <w:r>
        <w:rPr>
          <w:rFonts w:eastAsia="SimSun"/>
        </w:rPr>
        <w:t>“ICNU”</w:t>
      </w:r>
      <w:r w:rsidRPr="006E6860">
        <w:rPr>
          <w:rFonts w:eastAsia="SimSun"/>
        </w:rPr>
        <w:t>)</w:t>
      </w:r>
      <w:r>
        <w:rPr>
          <w:rFonts w:eastAsia="SimSun"/>
        </w:rPr>
        <w:t>; and</w:t>
      </w:r>
    </w:p>
    <w:p w:rsidR="0088373F" w:rsidRDefault="0088373F" w:rsidP="006E6860">
      <w:pPr>
        <w:pStyle w:val="Answer0"/>
        <w:spacing w:before="0" w:after="280" w:line="240" w:lineRule="auto"/>
        <w:ind w:left="2160" w:right="720"/>
        <w:rPr>
          <w:rFonts w:eastAsia="SimSun"/>
        </w:rPr>
      </w:pPr>
      <w:r>
        <w:rPr>
          <w:rFonts w:eastAsia="SimSun"/>
        </w:rPr>
        <w:t>(iii)</w:t>
      </w:r>
      <w:r>
        <w:rPr>
          <w:rFonts w:eastAsia="SimSun"/>
        </w:rPr>
        <w:tab/>
        <w:t>the Prefiled Response Testimony of Mr. Kevin G. Higgins</w:t>
      </w:r>
      <w:r w:rsidRPr="009E5562">
        <w:rPr>
          <w:rFonts w:eastAsia="SimSun"/>
        </w:rPr>
        <w:t>, Exhibit No.</w:t>
      </w:r>
      <w:r>
        <w:rPr>
          <w:rFonts w:eastAsia="SimSun"/>
        </w:rPr>
        <w:t> </w:t>
      </w:r>
      <w:r w:rsidRPr="009E5562">
        <w:rPr>
          <w:rFonts w:eastAsia="SimSun"/>
        </w:rPr>
        <w:t>___(</w:t>
      </w:r>
      <w:r>
        <w:rPr>
          <w:rFonts w:eastAsia="SimSun"/>
        </w:rPr>
        <w:t>KGH</w:t>
      </w:r>
      <w:r w:rsidRPr="009E5562">
        <w:rPr>
          <w:rFonts w:eastAsia="SimSun"/>
        </w:rPr>
        <w:t xml:space="preserve">-1T), </w:t>
      </w:r>
      <w:r>
        <w:rPr>
          <w:rFonts w:eastAsia="SimSun"/>
        </w:rPr>
        <w:t xml:space="preserve">on behalf of </w:t>
      </w:r>
      <w:r w:rsidRPr="006E6860">
        <w:rPr>
          <w:rFonts w:eastAsia="SimSun"/>
        </w:rPr>
        <w:t>The Kroger Co. (</w:t>
      </w:r>
      <w:r>
        <w:rPr>
          <w:rFonts w:eastAsia="SimSun"/>
        </w:rPr>
        <w:t>“</w:t>
      </w:r>
      <w:r w:rsidRPr="006E6860">
        <w:rPr>
          <w:rFonts w:eastAsia="SimSun"/>
        </w:rPr>
        <w:t>Kroger</w:t>
      </w:r>
      <w:r>
        <w:rPr>
          <w:rFonts w:eastAsia="SimSun"/>
        </w:rPr>
        <w:t>”</w:t>
      </w:r>
      <w:r w:rsidRPr="006E6860">
        <w:rPr>
          <w:rFonts w:eastAsia="SimSun"/>
        </w:rPr>
        <w:t>) on behalf</w:t>
      </w:r>
      <w:r>
        <w:rPr>
          <w:rFonts w:eastAsia="SimSun"/>
        </w:rPr>
        <w:t xml:space="preserve"> </w:t>
      </w:r>
      <w:r w:rsidRPr="006E6860">
        <w:rPr>
          <w:rFonts w:eastAsia="SimSun"/>
        </w:rPr>
        <w:t>of its Fred Meyer Stores and Quality Food Centers divisions</w:t>
      </w:r>
      <w:r>
        <w:rPr>
          <w:rFonts w:eastAsia="SimSun"/>
        </w:rPr>
        <w:t>.</w:t>
      </w:r>
    </w:p>
    <w:p w:rsidR="0088373F" w:rsidRPr="0068599B" w:rsidRDefault="0088373F" w:rsidP="00980076">
      <w:pPr>
        <w:pStyle w:val="Heading1"/>
        <w:spacing w:after="360" w:line="240" w:lineRule="auto"/>
        <w:rPr>
          <w:rFonts w:eastAsia="SimSun"/>
        </w:rPr>
      </w:pPr>
      <w:bookmarkStart w:id="4" w:name="_Toc355779793"/>
      <w:r>
        <w:rPr>
          <w:rFonts w:eastAsia="SimSun"/>
        </w:rPr>
        <w:t>I</w:t>
      </w:r>
      <w:r w:rsidRPr="009075DC">
        <w:rPr>
          <w:rFonts w:eastAsia="SimSun"/>
        </w:rPr>
        <w:t>I.</w:t>
      </w:r>
      <w:r w:rsidRPr="009075DC">
        <w:rPr>
          <w:rFonts w:eastAsia="SimSun"/>
        </w:rPr>
        <w:tab/>
      </w:r>
      <w:r>
        <w:rPr>
          <w:rFonts w:eastAsia="SimSun"/>
        </w:rPr>
        <w:t>THE DETERMINATION OF PSE’S AUTHORIZED</w:t>
      </w:r>
      <w:r>
        <w:rPr>
          <w:rFonts w:eastAsia="SimSun"/>
        </w:rPr>
        <w:br/>
        <w:t>COST OF CAPITAL IS OUTSIDE THE</w:t>
      </w:r>
      <w:r>
        <w:rPr>
          <w:rFonts w:eastAsia="SimSun"/>
        </w:rPr>
        <w:br/>
        <w:t>SCOPE OF THIS PROCEEDING</w:t>
      </w:r>
      <w:bookmarkEnd w:id="4"/>
    </w:p>
    <w:p w:rsidR="0088373F" w:rsidRPr="0068599B" w:rsidRDefault="0088373F" w:rsidP="00980076">
      <w:pPr>
        <w:pStyle w:val="Heading2"/>
        <w:rPr>
          <w:rFonts w:eastAsia="SimSun"/>
        </w:rPr>
      </w:pPr>
      <w:bookmarkStart w:id="5" w:name="_Toc355779794"/>
      <w:r>
        <w:rPr>
          <w:rFonts w:eastAsia="SimSun"/>
        </w:rPr>
        <w:t>A.</w:t>
      </w:r>
      <w:r>
        <w:rPr>
          <w:rFonts w:eastAsia="SimSun"/>
        </w:rPr>
        <w:tab/>
        <w:t>The Determination of PSE’s Authorized Return on Equity for PSE is Outside the Scope of This Proceeding</w:t>
      </w:r>
      <w:bookmarkEnd w:id="5"/>
    </w:p>
    <w:p w:rsidR="0088373F" w:rsidRDefault="0088373F" w:rsidP="00980076">
      <w:pPr>
        <w:pStyle w:val="question"/>
        <w:keepNext/>
        <w:keepLines/>
        <w:rPr>
          <w:rFonts w:eastAsia="SimSun"/>
        </w:rPr>
      </w:pPr>
      <w:r w:rsidRPr="002C3969">
        <w:rPr>
          <w:rFonts w:eastAsia="SimSun"/>
        </w:rPr>
        <w:t>Q.</w:t>
      </w:r>
      <w:r w:rsidRPr="002C3969">
        <w:rPr>
          <w:rFonts w:eastAsia="SimSun"/>
        </w:rPr>
        <w:tab/>
      </w:r>
      <w:r>
        <w:rPr>
          <w:rFonts w:eastAsia="SimSun"/>
        </w:rPr>
        <w:t>How do you respond to testimony from Public Counsel and ICNU proposing reductions in PSE’s authorized return on equity in this proceeding?</w:t>
      </w:r>
    </w:p>
    <w:p w:rsidR="0088373F" w:rsidRPr="00750EDE" w:rsidRDefault="0088373F" w:rsidP="00750EDE">
      <w:pPr>
        <w:pStyle w:val="answer"/>
        <w:rPr>
          <w:rFonts w:eastAsia="SimSun"/>
        </w:rPr>
      </w:pPr>
      <w:r>
        <w:rPr>
          <w:rFonts w:eastAsia="SimSun"/>
        </w:rPr>
        <w:t>A.</w:t>
      </w:r>
      <w:r>
        <w:rPr>
          <w:rFonts w:eastAsia="SimSun"/>
        </w:rPr>
        <w:tab/>
        <w:t>As discussed in more detail below, the determination of PSE’s authorized return on equity is outside the scope of this proceeding.  The Commission made a determination on PSE’s return on equity one year ago in PSE’s general rate case.  Further, the recommended reductions to PSE return on equity proposed by Public Counsel and ICNU are not supported by evidence, and the witnesses proposing such adjustments admit their proposals are not based on complete capital studies or analyses.</w:t>
      </w:r>
    </w:p>
    <w:p w:rsidR="0088373F" w:rsidRPr="001A00EB" w:rsidRDefault="0088373F" w:rsidP="00980076">
      <w:pPr>
        <w:pStyle w:val="question"/>
        <w:keepNext/>
        <w:keepLines/>
      </w:pPr>
      <w:r>
        <w:rPr>
          <w:rFonts w:eastAsia="SimSun"/>
        </w:rPr>
        <w:t>Q.</w:t>
      </w:r>
      <w:r>
        <w:rPr>
          <w:rFonts w:eastAsia="SimSun"/>
        </w:rPr>
        <w:tab/>
        <w:t>Has Public Counsel advocated for a reduction in PSE’s authorized return on equity in this proceeding</w:t>
      </w:r>
      <w:r w:rsidRPr="002C3969">
        <w:rPr>
          <w:rFonts w:eastAsia="SimSun"/>
        </w:rPr>
        <w:t>?</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Yes.  Although Public Counsel does not expressly identify a recommended reduction in PSE’s authorized return on equity, the testimony suggests that Public Counsel is advocating for a thirty basis point</w:t>
      </w:r>
      <w:r w:rsidRPr="00CD3A04">
        <w:rPr>
          <w:rFonts w:eastAsia="SimSun"/>
        </w:rPr>
        <w:t xml:space="preserve"> </w:t>
      </w:r>
      <w:r>
        <w:rPr>
          <w:rFonts w:eastAsia="SimSun"/>
        </w:rPr>
        <w:t xml:space="preserve">reduction in PSE’s authorized return on equity—from </w:t>
      </w:r>
      <w:r w:rsidRPr="002C3969">
        <w:rPr>
          <w:rFonts w:eastAsia="SimSun"/>
        </w:rPr>
        <w:t>9.80</w:t>
      </w:r>
      <w:r>
        <w:rPr>
          <w:rFonts w:eastAsia="SimSun"/>
        </w:rPr>
        <w:t> percent</w:t>
      </w:r>
      <w:r w:rsidRPr="002C3969">
        <w:rPr>
          <w:rFonts w:eastAsia="SimSun"/>
        </w:rPr>
        <w:t xml:space="preserve"> </w:t>
      </w:r>
      <w:r>
        <w:rPr>
          <w:rFonts w:eastAsia="SimSun"/>
        </w:rPr>
        <w:t xml:space="preserve">to </w:t>
      </w:r>
      <w:r w:rsidRPr="002C3969">
        <w:rPr>
          <w:rFonts w:eastAsia="SimSun"/>
        </w:rPr>
        <w:t>9.</w:t>
      </w:r>
      <w:r>
        <w:rPr>
          <w:rFonts w:eastAsia="SimSun"/>
        </w:rPr>
        <w:t>5</w:t>
      </w:r>
      <w:r w:rsidRPr="002C3969">
        <w:rPr>
          <w:rFonts w:eastAsia="SimSun"/>
        </w:rPr>
        <w:t>0</w:t>
      </w:r>
      <w:r>
        <w:rPr>
          <w:rFonts w:eastAsia="SimSun"/>
        </w:rPr>
        <w:t> percent —due to alleged changes in capital markets, without any formal justification</w:t>
      </w:r>
      <w:r w:rsidRPr="002C3969">
        <w:rPr>
          <w:rFonts w:eastAsia="SimSun"/>
        </w:rPr>
        <w:t>.</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How does PSE calculate Public Counsel’s suggested reduction in authorized return on equity due to alleged changes in capital markets</w:t>
      </w:r>
      <w:r w:rsidRPr="002C3969">
        <w:rPr>
          <w:rFonts w:eastAsia="SimSun"/>
        </w:rPr>
        <w:t>?</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Because Public Counsel does not expressly state what its suggested reduction in authorized return on equity is, Public Counsel’s suggested reduction must be deduced from other statements in the testimony.</w:t>
      </w:r>
    </w:p>
    <w:p w:rsidR="0088373F" w:rsidRDefault="0088373F" w:rsidP="00980076">
      <w:pPr>
        <w:pStyle w:val="answer"/>
        <w:ind w:firstLine="0"/>
        <w:rPr>
          <w:rFonts w:eastAsia="SimSun"/>
        </w:rPr>
      </w:pPr>
      <w:r>
        <w:rPr>
          <w:rFonts w:eastAsia="SimSun"/>
        </w:rPr>
        <w:t xml:space="preserve">First, Public Counsel advocates that the Commission reduce PSE’s authorized return on equity by fifty </w:t>
      </w:r>
      <w:r w:rsidRPr="00B95891">
        <w:rPr>
          <w:rFonts w:eastAsia="SimSun"/>
        </w:rPr>
        <w:t>basis point</w:t>
      </w:r>
      <w:r>
        <w:rPr>
          <w:rFonts w:eastAsia="SimSun"/>
        </w:rPr>
        <w:t>s</w:t>
      </w:r>
      <w:r w:rsidRPr="00B95891">
        <w:rPr>
          <w:rFonts w:eastAsia="SimSun"/>
        </w:rPr>
        <w:t xml:space="preserve"> </w:t>
      </w:r>
      <w:r>
        <w:rPr>
          <w:rFonts w:eastAsia="SimSun"/>
        </w:rPr>
        <w:t>if the Commission were to adopt PSE’s decoupling proposal.  Hill, Exh. No. ___(SGH-1T), at page 12, lines 3-5.   If adopted, this proposed reduction would reduce PSE’s authorized return on equity from 9.8 percent to 9.3 percent.</w:t>
      </w:r>
    </w:p>
    <w:p w:rsidR="0088373F" w:rsidRDefault="0088373F" w:rsidP="00980076">
      <w:pPr>
        <w:pStyle w:val="answer"/>
        <w:ind w:firstLine="0"/>
        <w:rPr>
          <w:rFonts w:eastAsia="SimSun"/>
        </w:rPr>
      </w:pPr>
      <w:r>
        <w:rPr>
          <w:rFonts w:eastAsia="SimSun"/>
        </w:rPr>
        <w:t xml:space="preserve">Public Counsel then suggests that </w:t>
      </w:r>
    </w:p>
    <w:p w:rsidR="0088373F" w:rsidRDefault="0088373F" w:rsidP="00980076">
      <w:pPr>
        <w:pStyle w:val="answer"/>
        <w:spacing w:after="280" w:line="240" w:lineRule="auto"/>
        <w:ind w:left="1440" w:right="720" w:firstLine="0"/>
        <w:rPr>
          <w:rFonts w:eastAsia="SimSun"/>
        </w:rPr>
      </w:pPr>
      <w:r>
        <w:rPr>
          <w:rFonts w:eastAsia="SimSun"/>
        </w:rPr>
        <w:t>[t]</w:t>
      </w:r>
      <w:r w:rsidRPr="0058265A">
        <w:rPr>
          <w:rFonts w:eastAsia="SimSun"/>
        </w:rPr>
        <w:t>aking those factors into account as well as my own recent estimate of the cost of equity capital for BBB-rated electric uti</w:t>
      </w:r>
      <w:r>
        <w:rPr>
          <w:rFonts w:eastAsia="SimSun"/>
        </w:rPr>
        <w:t>lities, an equity return of 9.0 </w:t>
      </w:r>
      <w:r w:rsidRPr="0058265A">
        <w:rPr>
          <w:rFonts w:eastAsia="SimSun"/>
        </w:rPr>
        <w:t xml:space="preserve">percent would be reasonable for </w:t>
      </w:r>
      <w:r>
        <w:rPr>
          <w:rFonts w:eastAsia="SimSun"/>
        </w:rPr>
        <w:t xml:space="preserve">[PSE] </w:t>
      </w:r>
      <w:r w:rsidRPr="0058265A">
        <w:rPr>
          <w:rFonts w:eastAsia="SimSun"/>
        </w:rPr>
        <w:t>under a decoupling ratemaking scenario.</w:t>
      </w:r>
    </w:p>
    <w:p w:rsidR="0088373F" w:rsidRDefault="0088373F" w:rsidP="00980076">
      <w:pPr>
        <w:pStyle w:val="answer"/>
        <w:ind w:firstLine="0"/>
        <w:rPr>
          <w:rFonts w:eastAsia="SimSun"/>
        </w:rPr>
      </w:pPr>
      <w:r>
        <w:rPr>
          <w:rFonts w:eastAsia="SimSun"/>
        </w:rPr>
        <w:t>Hill, Exh. No. ___(SGH-1T), at page 12, lines 8-10.   This suggests a reduction from the suggested authorized return on equity from 9.3 percent to 9.0 percent —or a thirty basis point reduction—due to alleged changes in capital markets.</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Has Public Counsel presented a return on equity study in this proceeding?</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No.  Public Counsel admits that it has not undertaken a return on equity study in this proceeding that would support the proposed 30 basis point reduction in PSE’s authorized return on equity.  Hill, Exh. No. ___(SGH-1T), at page 10, lines 15-16.</w:t>
      </w:r>
    </w:p>
    <w:p w:rsidR="0088373F" w:rsidRPr="002C3969" w:rsidRDefault="0088373F" w:rsidP="00980076">
      <w:pPr>
        <w:pStyle w:val="answer"/>
        <w:ind w:firstLine="0"/>
        <w:rPr>
          <w:rFonts w:eastAsia="SimSun"/>
        </w:rPr>
      </w:pPr>
      <w:r>
        <w:rPr>
          <w:rFonts w:eastAsia="SimSun"/>
        </w:rPr>
        <w:t>Public Counsel points to declines in corporate bond yields and suggests that capital costs are now lower than when the Commission adopted PSE’s authorized return on equity of 9.80 percent.  Hill, Exh. No. ___(SGH-1T), at page 8, line 13, through page 9, line 14.  Public Counsel fails to provide any evidence, however, of any positive or negative correlation between corporate bond yields and authorized utility returns on equity or how the spread between the two changes over time.</w:t>
      </w:r>
    </w:p>
    <w:p w:rsidR="0088373F" w:rsidRDefault="0088373F" w:rsidP="00980076">
      <w:pPr>
        <w:pStyle w:val="answer"/>
        <w:ind w:firstLine="0"/>
        <w:rPr>
          <w:rFonts w:eastAsia="SimSun"/>
        </w:rPr>
      </w:pPr>
      <w:r>
        <w:rPr>
          <w:rFonts w:eastAsia="SimSun"/>
        </w:rPr>
        <w:t xml:space="preserve">Public Counsel also suggests that cost of capital testimony in a rate proceeding involving </w:t>
      </w:r>
      <w:r w:rsidRPr="00CF3276">
        <w:rPr>
          <w:rFonts w:eastAsia="SimSun"/>
        </w:rPr>
        <w:t>Southwestern Electric Power Company</w:t>
      </w:r>
      <w:r>
        <w:rPr>
          <w:rFonts w:eastAsia="SimSun"/>
        </w:rPr>
        <w:t xml:space="preserve"> before the Public Utilities Commission of Texas is instructive.  Hill, Exh. No. ___(SGH-1T), at page 10, line 16, through page 11, line 11.  In that proceeding, witness for Public Counsel suggests that an appropriate range of authorized returns on equity for </w:t>
      </w:r>
      <w:r w:rsidRPr="00CF3276">
        <w:rPr>
          <w:rFonts w:eastAsia="SimSun"/>
        </w:rPr>
        <w:t>BBB-rated electric utilities</w:t>
      </w:r>
      <w:r>
        <w:rPr>
          <w:rFonts w:eastAsia="SimSun"/>
        </w:rPr>
        <w:t xml:space="preserve"> would be within a range from 8.50 percent to 9.50 percent.  The Public Utilities Commission of Texas, however, has yet to issue an order in the </w:t>
      </w:r>
      <w:r w:rsidRPr="00CF3276">
        <w:rPr>
          <w:rFonts w:eastAsia="SimSun"/>
        </w:rPr>
        <w:t>Southwestern Electric Power Company</w:t>
      </w:r>
      <w:r>
        <w:rPr>
          <w:rFonts w:eastAsia="SimSun"/>
        </w:rPr>
        <w:t xml:space="preserve"> rate proceeding.  Moreover, Public Counsel fails to disclose that other evidence presented in </w:t>
      </w:r>
      <w:r w:rsidRPr="00CF3276">
        <w:rPr>
          <w:rFonts w:eastAsia="SimSun"/>
        </w:rPr>
        <w:t>Southwestern Electric Power Company</w:t>
      </w:r>
      <w:r>
        <w:rPr>
          <w:rFonts w:eastAsia="SimSun"/>
        </w:rPr>
        <w:t xml:space="preserve"> would support an authorized return on equity within a range of 10.5 percent and 11.5 percent.</w:t>
      </w:r>
    </w:p>
    <w:p w:rsidR="0088373F" w:rsidRDefault="0088373F" w:rsidP="00980076">
      <w:pPr>
        <w:pStyle w:val="answer"/>
        <w:ind w:firstLine="0"/>
        <w:rPr>
          <w:rFonts w:eastAsia="SimSun"/>
        </w:rPr>
      </w:pPr>
      <w:r>
        <w:rPr>
          <w:rFonts w:eastAsia="SimSun"/>
        </w:rPr>
        <w:t xml:space="preserve">More fundamentally, Public Counsel’s references regarding </w:t>
      </w:r>
      <w:r w:rsidRPr="00CF3276">
        <w:rPr>
          <w:rFonts w:eastAsia="SimSun"/>
        </w:rPr>
        <w:t>Southwestern Electric Power Company</w:t>
      </w:r>
      <w:r>
        <w:rPr>
          <w:rFonts w:eastAsia="SimSun"/>
        </w:rPr>
        <w:t xml:space="preserve"> rate proceeding are irrelevant.  Public Counsel neither presents evidence that </w:t>
      </w:r>
      <w:r w:rsidRPr="00142BE6">
        <w:rPr>
          <w:rFonts w:eastAsia="SimSun"/>
        </w:rPr>
        <w:t xml:space="preserve">Southwestern Electric Power </w:t>
      </w:r>
      <w:r>
        <w:rPr>
          <w:rFonts w:eastAsia="SimSun"/>
        </w:rPr>
        <w:t>C</w:t>
      </w:r>
      <w:r w:rsidRPr="00142BE6">
        <w:rPr>
          <w:rFonts w:eastAsia="SimSun"/>
        </w:rPr>
        <w:t xml:space="preserve">ompany </w:t>
      </w:r>
      <w:r>
        <w:rPr>
          <w:rFonts w:eastAsia="SimSun"/>
        </w:rPr>
        <w:t xml:space="preserve">has a risk profile similar to PSE nor provides detail regarding </w:t>
      </w:r>
      <w:r w:rsidRPr="00142BE6">
        <w:rPr>
          <w:rFonts w:eastAsia="SimSun"/>
        </w:rPr>
        <w:t xml:space="preserve">Southwestern Electric Power </w:t>
      </w:r>
      <w:r>
        <w:rPr>
          <w:rFonts w:eastAsia="SimSun"/>
        </w:rPr>
        <w:t>C</w:t>
      </w:r>
      <w:r w:rsidRPr="00142BE6">
        <w:rPr>
          <w:rFonts w:eastAsia="SimSun"/>
        </w:rPr>
        <w:t>ompany</w:t>
      </w:r>
      <w:r>
        <w:rPr>
          <w:rFonts w:eastAsia="SimSun"/>
        </w:rPr>
        <w:t xml:space="preserve">’s </w:t>
      </w:r>
      <w:r w:rsidRPr="00142BE6">
        <w:rPr>
          <w:rFonts w:eastAsia="SimSun"/>
        </w:rPr>
        <w:t xml:space="preserve">customer base </w:t>
      </w:r>
      <w:r>
        <w:rPr>
          <w:rFonts w:eastAsia="SimSun"/>
        </w:rPr>
        <w:t xml:space="preserve">and </w:t>
      </w:r>
      <w:r w:rsidRPr="00142BE6">
        <w:rPr>
          <w:rFonts w:eastAsia="SimSun"/>
        </w:rPr>
        <w:t xml:space="preserve">service territory.  </w:t>
      </w:r>
      <w:r>
        <w:rPr>
          <w:rFonts w:eastAsia="SimSun"/>
        </w:rPr>
        <w:t xml:space="preserve">Moreover, the use of a single utility as a reference </w:t>
      </w:r>
      <w:r w:rsidRPr="00A534A5">
        <w:rPr>
          <w:rFonts w:eastAsia="SimSun"/>
        </w:rPr>
        <w:t>significantly depart</w:t>
      </w:r>
      <w:r>
        <w:rPr>
          <w:rFonts w:eastAsia="SimSun"/>
        </w:rPr>
        <w:t>s</w:t>
      </w:r>
      <w:r w:rsidRPr="00A534A5">
        <w:rPr>
          <w:rFonts w:eastAsia="SimSun"/>
        </w:rPr>
        <w:t xml:space="preserve"> from the appropriateness, and time</w:t>
      </w:r>
      <w:r>
        <w:rPr>
          <w:rFonts w:eastAsia="SimSun"/>
        </w:rPr>
        <w:t>-</w:t>
      </w:r>
      <w:r w:rsidRPr="00A534A5">
        <w:rPr>
          <w:rFonts w:eastAsia="SimSun"/>
        </w:rPr>
        <w:t>honored tradition, of considering peer groups when assessing cost of capital</w:t>
      </w:r>
      <w:r>
        <w:rPr>
          <w:rFonts w:eastAsia="SimSun"/>
        </w:rPr>
        <w:t>.</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Has ICNU advocated for a reduction in PSE’s authorized return on equity in this proceeding</w:t>
      </w:r>
      <w:r w:rsidRPr="002C3969">
        <w:rPr>
          <w:rFonts w:eastAsia="SimSun"/>
        </w:rPr>
        <w:t>?</w:t>
      </w:r>
    </w:p>
    <w:p w:rsidR="0088373F" w:rsidRPr="002C3969" w:rsidRDefault="0088373F" w:rsidP="00980076">
      <w:pPr>
        <w:pStyle w:val="answer"/>
        <w:rPr>
          <w:rFonts w:eastAsia="SimSun"/>
        </w:rPr>
      </w:pPr>
      <w:r w:rsidRPr="002C3969">
        <w:rPr>
          <w:rFonts w:eastAsia="SimSun"/>
        </w:rPr>
        <w:t>A.</w:t>
      </w:r>
      <w:r w:rsidRPr="002C3969">
        <w:rPr>
          <w:rFonts w:eastAsia="SimSun"/>
        </w:rPr>
        <w:tab/>
      </w:r>
      <w:r>
        <w:rPr>
          <w:rFonts w:eastAsia="SimSun"/>
        </w:rPr>
        <w:t xml:space="preserve">Yes.  ICNU is advocating for a fifty basis point reduction in PSE’s authorized return on equity, from </w:t>
      </w:r>
      <w:r w:rsidRPr="002C3969">
        <w:rPr>
          <w:rFonts w:eastAsia="SimSun"/>
        </w:rPr>
        <w:t>9.80</w:t>
      </w:r>
      <w:r>
        <w:rPr>
          <w:rFonts w:eastAsia="SimSun"/>
        </w:rPr>
        <w:t> percent</w:t>
      </w:r>
      <w:r w:rsidRPr="002C3969">
        <w:rPr>
          <w:rFonts w:eastAsia="SimSun"/>
        </w:rPr>
        <w:t xml:space="preserve"> </w:t>
      </w:r>
      <w:r>
        <w:rPr>
          <w:rFonts w:eastAsia="SimSun"/>
        </w:rPr>
        <w:t xml:space="preserve">to </w:t>
      </w:r>
      <w:r w:rsidRPr="002C3969">
        <w:rPr>
          <w:rFonts w:eastAsia="SimSun"/>
        </w:rPr>
        <w:t>9.</w:t>
      </w:r>
      <w:r>
        <w:rPr>
          <w:rFonts w:eastAsia="SimSun"/>
        </w:rPr>
        <w:t>3</w:t>
      </w:r>
      <w:r w:rsidRPr="002C3969">
        <w:rPr>
          <w:rFonts w:eastAsia="SimSun"/>
        </w:rPr>
        <w:t>0</w:t>
      </w:r>
      <w:r>
        <w:rPr>
          <w:rFonts w:eastAsia="SimSun"/>
        </w:rPr>
        <w:t> percent</w:t>
      </w:r>
      <w:r w:rsidRPr="002C3969">
        <w:rPr>
          <w:rFonts w:eastAsia="SimSun"/>
        </w:rPr>
        <w:t>.</w:t>
      </w:r>
      <w:r>
        <w:rPr>
          <w:rFonts w:eastAsia="SimSun"/>
        </w:rPr>
        <w:t xml:space="preserve">  ICNU suggests that “</w:t>
      </w:r>
      <w:r w:rsidRPr="002C3969">
        <w:rPr>
          <w:rFonts w:eastAsia="SimSun"/>
        </w:rPr>
        <w:t>the decline in utility bond yields suggests that PSE</w:t>
      </w:r>
      <w:r>
        <w:rPr>
          <w:rFonts w:eastAsia="SimSun"/>
        </w:rPr>
        <w:t>’</w:t>
      </w:r>
      <w:r w:rsidRPr="002C3969">
        <w:rPr>
          <w:rFonts w:eastAsia="SimSun"/>
        </w:rPr>
        <w:t>s current capital</w:t>
      </w:r>
      <w:r>
        <w:rPr>
          <w:rFonts w:eastAsia="SimSun"/>
        </w:rPr>
        <w:t xml:space="preserve"> </w:t>
      </w:r>
      <w:r w:rsidRPr="002C3969">
        <w:rPr>
          <w:rFonts w:eastAsia="SimSun"/>
        </w:rPr>
        <w:t>cost should be much lower today than it was at the time the final order in the last rate</w:t>
      </w:r>
      <w:r>
        <w:rPr>
          <w:rFonts w:eastAsia="SimSun"/>
        </w:rPr>
        <w:t xml:space="preserve"> </w:t>
      </w:r>
      <w:r w:rsidRPr="002C3969">
        <w:rPr>
          <w:rFonts w:eastAsia="SimSun"/>
        </w:rPr>
        <w:t>case was issued.</w:t>
      </w:r>
      <w:r>
        <w:rPr>
          <w:rFonts w:eastAsia="SimSun"/>
        </w:rPr>
        <w:t>”  Gorman, Exh. No. ___(MPG-1T), at page 12, lines 12-13.  ICNU fails to provide any evidence, however, of any positive or negative correlation between utility bond yields and authorized utility returns on equity.</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Has ICNU presented a return on equity study in this proceeding?</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Yes.  ICNU presented a return on equity study as Exhibit No. ___(MPG-3).  In that study, ICNU relied upon a constant growth discounted cash flow (“DCF”) model, a sustainable growth DCF, a multi-stage growth DCF, risk premium, and capital asset pricing model.  The results of ICNU’s return on equity study are provided in Table 1 below</w:t>
      </w:r>
      <w:r w:rsidRPr="002C3969">
        <w:rPr>
          <w:rFonts w:eastAsia="SimSun"/>
        </w:rPr>
        <w:t>.</w:t>
      </w:r>
    </w:p>
    <w:p w:rsidR="0088373F" w:rsidRPr="00AD45F2" w:rsidRDefault="0088373F" w:rsidP="00980076">
      <w:pPr>
        <w:pStyle w:val="answer"/>
        <w:keepNext/>
        <w:keepLines/>
        <w:spacing w:before="0" w:after="60" w:line="240" w:lineRule="auto"/>
        <w:ind w:firstLine="0"/>
        <w:jc w:val="center"/>
        <w:rPr>
          <w:rFonts w:eastAsia="SimSun"/>
          <w:b/>
        </w:rPr>
      </w:pPr>
      <w:r w:rsidRPr="00AD45F2">
        <w:rPr>
          <w:rFonts w:eastAsia="SimSun"/>
          <w:b/>
        </w:rPr>
        <w:t>Table </w:t>
      </w:r>
      <w:r>
        <w:rPr>
          <w:rFonts w:eastAsia="SimSun"/>
          <w:b/>
        </w:rPr>
        <w:t>1</w:t>
      </w:r>
      <w:r w:rsidRPr="00AD45F2">
        <w:rPr>
          <w:rFonts w:eastAsia="SimSun"/>
          <w:b/>
        </w:rPr>
        <w:t xml:space="preserve">.  </w:t>
      </w:r>
      <w:r>
        <w:rPr>
          <w:rFonts w:eastAsia="SimSun"/>
          <w:b/>
        </w:rPr>
        <w:t>ICNU Return on Equity Results</w:t>
      </w:r>
    </w:p>
    <w:tbl>
      <w:tblPr>
        <w:tblW w:w="785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9"/>
        <w:gridCol w:w="776"/>
        <w:gridCol w:w="833"/>
        <w:gridCol w:w="772"/>
        <w:gridCol w:w="927"/>
        <w:gridCol w:w="2208"/>
      </w:tblGrid>
      <w:tr w:rsidR="0088373F" w:rsidRPr="000A3AD5" w:rsidTr="00485EA0">
        <w:tc>
          <w:tcPr>
            <w:tcW w:w="2339"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Model</w:t>
            </w:r>
          </w:p>
        </w:tc>
        <w:tc>
          <w:tcPr>
            <w:tcW w:w="776"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Low</w:t>
            </w:r>
          </w:p>
        </w:tc>
        <w:tc>
          <w:tcPr>
            <w:tcW w:w="833"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High</w:t>
            </w:r>
          </w:p>
        </w:tc>
        <w:tc>
          <w:tcPr>
            <w:tcW w:w="772"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Mean</w:t>
            </w:r>
          </w:p>
        </w:tc>
        <w:tc>
          <w:tcPr>
            <w:tcW w:w="927"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Median</w:t>
            </w:r>
          </w:p>
        </w:tc>
        <w:tc>
          <w:tcPr>
            <w:tcW w:w="2208"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Source</w:t>
            </w:r>
          </w:p>
        </w:tc>
      </w:tr>
      <w:tr w:rsidR="0088373F" w:rsidRPr="000A3AD5" w:rsidTr="00485EA0">
        <w:tc>
          <w:tcPr>
            <w:tcW w:w="2339"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Constant Growth DCF</w:t>
            </w:r>
          </w:p>
        </w:tc>
        <w:tc>
          <w:tcPr>
            <w:tcW w:w="77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5.70%</w:t>
            </w:r>
          </w:p>
        </w:tc>
        <w:tc>
          <w:tcPr>
            <w:tcW w:w="833"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11.37%</w:t>
            </w:r>
          </w:p>
        </w:tc>
        <w:tc>
          <w:tcPr>
            <w:tcW w:w="772"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9.10%</w:t>
            </w:r>
          </w:p>
        </w:tc>
        <w:tc>
          <w:tcPr>
            <w:tcW w:w="927"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9.29%</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Exh. No. ___(MPG-10)</w:t>
            </w:r>
          </w:p>
        </w:tc>
      </w:tr>
      <w:tr w:rsidR="0088373F" w:rsidRPr="000A3AD5" w:rsidTr="00485EA0">
        <w:tc>
          <w:tcPr>
            <w:tcW w:w="2339"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Sustainable Growth DCF</w:t>
            </w:r>
          </w:p>
        </w:tc>
        <w:tc>
          <w:tcPr>
            <w:tcW w:w="77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7.21%</w:t>
            </w:r>
          </w:p>
        </w:tc>
        <w:tc>
          <w:tcPr>
            <w:tcW w:w="833"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9.69%</w:t>
            </w:r>
          </w:p>
        </w:tc>
        <w:tc>
          <w:tcPr>
            <w:tcW w:w="772"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8.42%</w:t>
            </w:r>
          </w:p>
        </w:tc>
        <w:tc>
          <w:tcPr>
            <w:tcW w:w="927"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8.38%</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Exh. No. ___(MPG-13)</w:t>
            </w:r>
          </w:p>
        </w:tc>
      </w:tr>
      <w:tr w:rsidR="0088373F" w:rsidRPr="000A3AD5" w:rsidTr="00485EA0">
        <w:tc>
          <w:tcPr>
            <w:tcW w:w="2339"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Multi-Stage Growth DCF</w:t>
            </w:r>
          </w:p>
        </w:tc>
        <w:tc>
          <w:tcPr>
            <w:tcW w:w="77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7.55%</w:t>
            </w:r>
          </w:p>
        </w:tc>
        <w:tc>
          <w:tcPr>
            <w:tcW w:w="833"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10.18%</w:t>
            </w:r>
          </w:p>
        </w:tc>
        <w:tc>
          <w:tcPr>
            <w:tcW w:w="772"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9.01%</w:t>
            </w:r>
          </w:p>
        </w:tc>
        <w:tc>
          <w:tcPr>
            <w:tcW w:w="927"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9.03%</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Exh. No.</w:t>
            </w:r>
            <w:r w:rsidRPr="00442A6A">
              <w:rPr>
                <w:rFonts w:ascii="Times New Roman" w:eastAsia="SimSun" w:hAnsi="Times New Roman"/>
              </w:rPr>
              <w:t xml:space="preserve"> </w:t>
            </w:r>
            <w:r w:rsidRPr="00442A6A">
              <w:rPr>
                <w:rFonts w:ascii="Times New Roman" w:eastAsia="SimSun" w:hAnsi="Times New Roman"/>
                <w:sz w:val="20"/>
              </w:rPr>
              <w:t>___(MPG-15)</w:t>
            </w:r>
          </w:p>
        </w:tc>
      </w:tr>
      <w:tr w:rsidR="0088373F" w:rsidRPr="000A3AD5" w:rsidTr="00485EA0">
        <w:tc>
          <w:tcPr>
            <w:tcW w:w="2339"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Risk Premium</w:t>
            </w:r>
          </w:p>
        </w:tc>
        <w:tc>
          <w:tcPr>
            <w:tcW w:w="77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9.09%</w:t>
            </w:r>
          </w:p>
        </w:tc>
        <w:tc>
          <w:tcPr>
            <w:tcW w:w="833"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9.44%</w:t>
            </w:r>
          </w:p>
        </w:tc>
        <w:tc>
          <w:tcPr>
            <w:tcW w:w="772"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N/A</w:t>
            </w:r>
          </w:p>
        </w:tc>
        <w:tc>
          <w:tcPr>
            <w:tcW w:w="927"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N/A</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Exh. No.</w:t>
            </w:r>
            <w:r w:rsidRPr="00442A6A">
              <w:rPr>
                <w:rFonts w:ascii="Times New Roman" w:eastAsia="SimSun" w:hAnsi="Times New Roman"/>
              </w:rPr>
              <w:t xml:space="preserve"> </w:t>
            </w:r>
            <w:r w:rsidRPr="00442A6A">
              <w:rPr>
                <w:rFonts w:ascii="Times New Roman" w:eastAsia="SimSun" w:hAnsi="Times New Roman"/>
                <w:sz w:val="20"/>
              </w:rPr>
              <w:t>___(MPG-1T)</w:t>
            </w:r>
          </w:p>
        </w:tc>
      </w:tr>
      <w:tr w:rsidR="0088373F" w:rsidRPr="000A3AD5" w:rsidTr="00485EA0">
        <w:tc>
          <w:tcPr>
            <w:tcW w:w="2339"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CAPM</w:t>
            </w:r>
          </w:p>
        </w:tc>
        <w:tc>
          <w:tcPr>
            <w:tcW w:w="77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N/A</w:t>
            </w:r>
          </w:p>
        </w:tc>
        <w:tc>
          <w:tcPr>
            <w:tcW w:w="833"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N/A</w:t>
            </w:r>
          </w:p>
        </w:tc>
        <w:tc>
          <w:tcPr>
            <w:tcW w:w="772"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8.40%</w:t>
            </w:r>
          </w:p>
        </w:tc>
        <w:tc>
          <w:tcPr>
            <w:tcW w:w="927"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N/A</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Exh. No.</w:t>
            </w:r>
            <w:r w:rsidRPr="00442A6A">
              <w:rPr>
                <w:rFonts w:ascii="Times New Roman" w:eastAsia="SimSun" w:hAnsi="Times New Roman"/>
              </w:rPr>
              <w:t xml:space="preserve"> </w:t>
            </w:r>
            <w:r w:rsidRPr="00442A6A">
              <w:rPr>
                <w:rFonts w:ascii="Times New Roman" w:eastAsia="SimSun" w:hAnsi="Times New Roman"/>
                <w:sz w:val="20"/>
              </w:rPr>
              <w:t>___(MPG-22)</w:t>
            </w:r>
          </w:p>
        </w:tc>
      </w:tr>
    </w:tbl>
    <w:p w:rsidR="0088373F" w:rsidRPr="001A00EB" w:rsidRDefault="0088373F" w:rsidP="00980076">
      <w:pPr>
        <w:pStyle w:val="question"/>
        <w:keepNext/>
        <w:keepLines/>
        <w:spacing w:before="360"/>
      </w:pPr>
      <w:r w:rsidRPr="002C3969">
        <w:rPr>
          <w:rFonts w:eastAsia="SimSun"/>
        </w:rPr>
        <w:t>Q.</w:t>
      </w:r>
      <w:r w:rsidRPr="002C3969">
        <w:rPr>
          <w:rFonts w:eastAsia="SimSun"/>
        </w:rPr>
        <w:tab/>
      </w:r>
      <w:r>
        <w:rPr>
          <w:rFonts w:eastAsia="SimSun"/>
        </w:rPr>
        <w:t>Is PSE presenting a return on equity study in this proceeding?</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No.  The scope of this proceeding is to consider whether a proposed global settlement of five dockets is consistent with the public interest, and the determination of the cost of capital, including the authorized return on equity for PSE, is outside the scope of this proceeding.  Additionally, even if PSE’s authorized return on equity were properly within the scope of this proceeding—which it is not—PSE had only seven business days to prepare this rebuttal testimony.  PSE simply could not analyze ICNU’s return on equity study within the time allowed and prepare a study responding to ICNU’s study.  Therefore, PSE is not presenting a return on equity study in this proceeding.</w:t>
      </w:r>
    </w:p>
    <w:p w:rsidR="0088373F" w:rsidRPr="001A00EB" w:rsidRDefault="0088373F" w:rsidP="00980076">
      <w:pPr>
        <w:pStyle w:val="question"/>
        <w:keepNext/>
        <w:keepLines/>
        <w:spacing w:before="360"/>
      </w:pPr>
      <w:r w:rsidRPr="002C3969">
        <w:rPr>
          <w:rFonts w:eastAsia="SimSun"/>
        </w:rPr>
        <w:t>Q.</w:t>
      </w:r>
      <w:r w:rsidRPr="002C3969">
        <w:rPr>
          <w:rFonts w:eastAsia="SimSun"/>
        </w:rPr>
        <w:tab/>
      </w:r>
      <w:r>
        <w:rPr>
          <w:rFonts w:eastAsia="SimSun"/>
        </w:rPr>
        <w:t>Does PSE have any comments regarding ICNU’s return on equity study?</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 xml:space="preserve">Yes.  ICNU’s recommended return on equity in this proceeding (9.30 percent) does not materially differ from ICNU’s recommended return on equity in PSE’s 2011 general rate proceeding (9.50 percent), in which this Commission authorized a return on equity of 9.80 percent.  Given the similarities in ICNU’s suggested returns on equity in the two proceedings, no compelling evidence exists to warrant a reduction in PSE’s authorized return on equity.  </w:t>
      </w:r>
    </w:p>
    <w:p w:rsidR="0088373F" w:rsidRDefault="0088373F" w:rsidP="00BA48E2">
      <w:pPr>
        <w:pStyle w:val="answer"/>
        <w:ind w:firstLine="0"/>
        <w:rPr>
          <w:rFonts w:eastAsia="SimSun"/>
        </w:rPr>
      </w:pPr>
      <w:r>
        <w:rPr>
          <w:rFonts w:eastAsia="SimSun"/>
        </w:rPr>
        <w:t xml:space="preserve">Moreover, the ICNU testimony fails to provide a complete picture because ICNU has failed to provide evidence regarding the authorized returns on equity and capital structure of those operating utilities contained within the holding companies presented in ICNU’s proposed proxy group.  PSE researched those authorized returns on equity and capital structures using the </w:t>
      </w:r>
      <w:r w:rsidRPr="00325A63">
        <w:rPr>
          <w:rFonts w:eastAsia="SimSun"/>
        </w:rPr>
        <w:t>SNL Energy</w:t>
      </w:r>
      <w:r>
        <w:rPr>
          <w:rFonts w:eastAsia="SimSun"/>
        </w:rPr>
        <w:t xml:space="preserve"> databases.  According to the SNL Energy database, the average authorized return on equity for the operating utilities within ICNU’s proposed proxy group is 10.08%, and the average capital structure for the operating utilities within ICNU’s proposed proxy group contains 48.80% equity.  Please see Exhibit No. ___(DAD-3) for a copy of the results of the research.  Thus, each of the average authorized return on equity and the average authorized capital structure of the operating utilities in ICNU’s proposed proxy group is substantially higher than that advocated for PSE in this proceeding.</w:t>
      </w:r>
    </w:p>
    <w:p w:rsidR="0088373F" w:rsidRDefault="0088373F" w:rsidP="00557DE9">
      <w:pPr>
        <w:pStyle w:val="answer"/>
        <w:ind w:firstLine="0"/>
        <w:rPr>
          <w:rFonts w:eastAsia="SimSun"/>
        </w:rPr>
      </w:pPr>
      <w:r>
        <w:rPr>
          <w:rFonts w:eastAsia="SimSun"/>
        </w:rPr>
        <w:t xml:space="preserve">Finally, the cost of capital reductions proposed by Public Counsel and ICNU ignore that fact that we are in unprecedented economic times where, in efforts to improve economic growth, the Federal Reserve has engaged in </w:t>
      </w:r>
      <w:r w:rsidRPr="00BA48E2">
        <w:rPr>
          <w:rFonts w:eastAsia="SimSun"/>
        </w:rPr>
        <w:t xml:space="preserve">expansionary policies </w:t>
      </w:r>
      <w:r>
        <w:rPr>
          <w:rFonts w:eastAsia="SimSun"/>
        </w:rPr>
        <w:t xml:space="preserve">that have reduced interest rates to historic lows.  The three or four-year term of the proposed settlement and the pre-established K-factors protect customers from the impacts of the inevitable increase in interest rates and capital costs that will ultimately come when the Federal Reserve relaxes these </w:t>
      </w:r>
      <w:r w:rsidRPr="00557DE9">
        <w:rPr>
          <w:rFonts w:eastAsia="SimSun"/>
        </w:rPr>
        <w:t>expansionary policies.</w:t>
      </w:r>
    </w:p>
    <w:p w:rsidR="0088373F" w:rsidRPr="0068599B" w:rsidRDefault="0088373F" w:rsidP="00980076">
      <w:pPr>
        <w:pStyle w:val="Heading2"/>
        <w:rPr>
          <w:rFonts w:eastAsia="SimSun"/>
        </w:rPr>
      </w:pPr>
      <w:bookmarkStart w:id="6" w:name="_Toc355779795"/>
      <w:r>
        <w:rPr>
          <w:rFonts w:eastAsia="SimSun"/>
        </w:rPr>
        <w:t>B.</w:t>
      </w:r>
      <w:r>
        <w:rPr>
          <w:rFonts w:eastAsia="SimSun"/>
        </w:rPr>
        <w:tab/>
        <w:t>The Determination of PSE’s Authorized Cost of Debt for PSE is Outside the Scope of This Proceeding</w:t>
      </w:r>
      <w:bookmarkEnd w:id="6"/>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 xml:space="preserve">Has Public Counsel made a recommendation with respect to PSE’s </w:t>
      </w:r>
      <w:r w:rsidRPr="002C3969">
        <w:rPr>
          <w:rFonts w:eastAsia="SimSun"/>
        </w:rPr>
        <w:t>cost of debt?</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 xml:space="preserve">Yes.  Public Counsel suggests that PSE’s </w:t>
      </w:r>
      <w:r w:rsidRPr="008A407A">
        <w:rPr>
          <w:rFonts w:eastAsia="SimSun"/>
        </w:rPr>
        <w:t>embedded debt cost is likely to decline</w:t>
      </w:r>
      <w:r>
        <w:rPr>
          <w:rFonts w:eastAsia="SimSun"/>
        </w:rPr>
        <w:t xml:space="preserve"> in the near-term</w:t>
      </w:r>
      <w:r w:rsidRPr="008A407A">
        <w:rPr>
          <w:rFonts w:eastAsia="SimSun"/>
        </w:rPr>
        <w:t>.</w:t>
      </w:r>
      <w:r>
        <w:rPr>
          <w:rFonts w:eastAsia="SimSun"/>
        </w:rPr>
        <w:t xml:space="preserve">  Hill, Exh. No. ___(SGH-1T), at page 14, line 8, through page 16, line 10.  Public Counsel acknowledges, however, that projections in future interest rates are inherently subjective and that “</w:t>
      </w:r>
      <w:r w:rsidRPr="00F12A80">
        <w:rPr>
          <w:rFonts w:eastAsia="SimSun"/>
        </w:rPr>
        <w:t xml:space="preserve">it is certainly possible that the U.S. economy could heat up and interest rates could rise as rapidly as </w:t>
      </w:r>
      <w:r>
        <w:rPr>
          <w:rFonts w:eastAsia="SimSun"/>
        </w:rPr>
        <w:t>[PSE]</w:t>
      </w:r>
      <w:r w:rsidRPr="00F12A80">
        <w:rPr>
          <w:rFonts w:eastAsia="SimSun"/>
        </w:rPr>
        <w:t xml:space="preserve"> currently projects</w:t>
      </w:r>
      <w:r>
        <w:rPr>
          <w:rFonts w:eastAsia="SimSun"/>
        </w:rPr>
        <w:t xml:space="preserve"> . . . .”  Hill, Exh. No. ___(SGH-1T), at page 16, lines 1-2.  Thus, Public Counsel highlights the speculative nature in making prospective adjustments to costs of debt capital and equity returns.</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Does Public Counsel suggest what PSE’s cost of debt should be</w:t>
      </w:r>
      <w:r w:rsidRPr="002C3969">
        <w:rPr>
          <w:rFonts w:eastAsia="SimSun"/>
        </w:rPr>
        <w:t>?</w:t>
      </w:r>
    </w:p>
    <w:p w:rsidR="0088373F" w:rsidRPr="00F12A80" w:rsidRDefault="0088373F" w:rsidP="00980076">
      <w:pPr>
        <w:pStyle w:val="answer"/>
        <w:rPr>
          <w:rFonts w:eastAsia="SimSun"/>
          <w:sz w:val="28"/>
        </w:rPr>
      </w:pPr>
      <w:r w:rsidRPr="002C3969">
        <w:rPr>
          <w:rFonts w:eastAsia="SimSun"/>
        </w:rPr>
        <w:t>A.</w:t>
      </w:r>
      <w:r w:rsidRPr="002C3969">
        <w:rPr>
          <w:rFonts w:eastAsia="SimSun"/>
        </w:rPr>
        <w:tab/>
      </w:r>
      <w:r>
        <w:rPr>
          <w:rFonts w:eastAsia="SimSun"/>
        </w:rPr>
        <w:t>No.  Public Counsel fails to provide any suggested reduction in PSE’s authorized cost of debt.  Perplexingly, Public Counsel suggests that its opinion that costs of debt are likely to continue to decline “</w:t>
      </w:r>
      <w:r w:rsidRPr="00F12A80">
        <w:rPr>
          <w:rFonts w:eastAsia="SimSun"/>
        </w:rPr>
        <w:t>provides further justification for the Commission by reduce PSE</w:t>
      </w:r>
      <w:r>
        <w:rPr>
          <w:rFonts w:eastAsia="SimSun"/>
        </w:rPr>
        <w:t>’</w:t>
      </w:r>
      <w:r w:rsidRPr="00F12A80">
        <w:rPr>
          <w:rFonts w:eastAsia="SimSun"/>
        </w:rPr>
        <w:t>s allowed ROE to 9.0 percent</w:t>
      </w:r>
      <w:r>
        <w:rPr>
          <w:rFonts w:eastAsia="SimSun"/>
        </w:rPr>
        <w:t xml:space="preserve"> . . . .”  Hill, Exh. No. ___(SGH-1T) at page 16, lines 6-10.  Public Counsel fails to provide any evidence or rationale that would support a reduction in an authorized return on equity due to alleged projections of reductions in cost of debt.</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 xml:space="preserve">Has ICNU made a recommendation with respect to PSE’s </w:t>
      </w:r>
      <w:r w:rsidRPr="002C3969">
        <w:rPr>
          <w:rFonts w:eastAsia="SimSun"/>
        </w:rPr>
        <w:t>cost of debt?</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 xml:space="preserve">Yes.  ICNU has identified five PSE debt issuances that will mature and be refinanced during the maximum four-years of the rate case stay-out period and recommends that the Commission </w:t>
      </w:r>
    </w:p>
    <w:p w:rsidR="0088373F" w:rsidRPr="002C3969" w:rsidRDefault="0088373F" w:rsidP="00980076">
      <w:pPr>
        <w:pStyle w:val="answer"/>
        <w:spacing w:after="280" w:line="240" w:lineRule="auto"/>
        <w:ind w:left="1440" w:right="720" w:firstLine="0"/>
        <w:rPr>
          <w:rFonts w:eastAsia="SimSun"/>
        </w:rPr>
      </w:pPr>
      <w:r w:rsidRPr="002C3969">
        <w:rPr>
          <w:rFonts w:eastAsia="SimSun"/>
        </w:rPr>
        <w:t xml:space="preserve">request </w:t>
      </w:r>
      <w:r>
        <w:rPr>
          <w:rFonts w:eastAsia="SimSun"/>
        </w:rPr>
        <w:t xml:space="preserve">[PSE] </w:t>
      </w:r>
      <w:r w:rsidRPr="002C3969">
        <w:rPr>
          <w:rFonts w:eastAsia="SimSun"/>
        </w:rPr>
        <w:t>to present supporting documentation on how it</w:t>
      </w:r>
      <w:r>
        <w:rPr>
          <w:rFonts w:eastAsia="SimSun"/>
        </w:rPr>
        <w:t xml:space="preserve"> </w:t>
      </w:r>
      <w:r w:rsidRPr="002C3969">
        <w:rPr>
          <w:rFonts w:eastAsia="SimSun"/>
        </w:rPr>
        <w:t>intends  to  replace  the  maturing  debt  issuances  and  update  its  embedded  cost  of</w:t>
      </w:r>
      <w:r>
        <w:rPr>
          <w:rFonts w:eastAsia="SimSun"/>
        </w:rPr>
        <w:t xml:space="preserve"> </w:t>
      </w:r>
      <w:r w:rsidRPr="002C3969">
        <w:rPr>
          <w:rFonts w:eastAsia="SimSun"/>
        </w:rPr>
        <w:t>long-term debt.  In addition, the Commission should direct the Company to update its</w:t>
      </w:r>
      <w:r>
        <w:rPr>
          <w:rFonts w:eastAsia="SimSun"/>
        </w:rPr>
        <w:t xml:space="preserve"> </w:t>
      </w:r>
      <w:r w:rsidRPr="002C3969">
        <w:rPr>
          <w:rFonts w:eastAsia="SimSun"/>
        </w:rPr>
        <w:t>cost of short-term debt.</w:t>
      </w:r>
    </w:p>
    <w:p w:rsidR="0088373F" w:rsidRPr="002C3969" w:rsidRDefault="0088373F" w:rsidP="00980076">
      <w:pPr>
        <w:pStyle w:val="answer"/>
        <w:ind w:firstLine="0"/>
        <w:rPr>
          <w:rFonts w:eastAsia="SimSun"/>
        </w:rPr>
      </w:pPr>
      <w:r>
        <w:rPr>
          <w:rFonts w:eastAsia="SimSun"/>
        </w:rPr>
        <w:t>Gorman, Exh. No. ___(MPG-1T), at page 11, lines 17-20.</w:t>
      </w:r>
    </w:p>
    <w:p w:rsidR="0088373F" w:rsidRPr="001A00EB" w:rsidRDefault="0088373F" w:rsidP="00980076">
      <w:pPr>
        <w:pStyle w:val="question"/>
        <w:keepNext/>
        <w:keepLines/>
      </w:pPr>
      <w:r w:rsidRPr="002C3969">
        <w:rPr>
          <w:rFonts w:eastAsia="SimSun"/>
        </w:rPr>
        <w:t>Q.</w:t>
      </w:r>
      <w:r w:rsidRPr="002C3969">
        <w:rPr>
          <w:rFonts w:eastAsia="SimSun"/>
        </w:rPr>
        <w:tab/>
      </w:r>
      <w:r>
        <w:rPr>
          <w:rFonts w:eastAsia="SimSun"/>
        </w:rPr>
        <w:t>How does PSE respond to the recommendations of Public Counsel and ICNU</w:t>
      </w:r>
      <w:r w:rsidRPr="002C3969">
        <w:rPr>
          <w:rFonts w:eastAsia="SimSun"/>
        </w:rPr>
        <w:t>?</w:t>
      </w:r>
    </w:p>
    <w:p w:rsidR="0088373F" w:rsidRDefault="0088373F" w:rsidP="00980076">
      <w:pPr>
        <w:pStyle w:val="answer"/>
        <w:rPr>
          <w:rFonts w:eastAsia="SimSun"/>
        </w:rPr>
      </w:pPr>
      <w:r w:rsidRPr="002C3969">
        <w:rPr>
          <w:rFonts w:eastAsia="SimSun"/>
        </w:rPr>
        <w:t>A.</w:t>
      </w:r>
      <w:r w:rsidRPr="002C3969">
        <w:rPr>
          <w:rFonts w:eastAsia="SimSun"/>
        </w:rPr>
        <w:tab/>
      </w:r>
      <w:r>
        <w:rPr>
          <w:rFonts w:eastAsia="SimSun"/>
        </w:rPr>
        <w:t>As stated above, the scope of this proceeding is to consider whether a proposed global settlement of five dockets is consistent with the public interest, and the determination of the cost of capital, including the cost of long-term and short-term debt</w:t>
      </w:r>
      <w:r w:rsidRPr="007E3002">
        <w:rPr>
          <w:rFonts w:eastAsia="SimSun"/>
        </w:rPr>
        <w:t xml:space="preserve"> </w:t>
      </w:r>
      <w:r>
        <w:rPr>
          <w:rFonts w:eastAsia="SimSun"/>
        </w:rPr>
        <w:t xml:space="preserve">for PSE, is outside the scope of this proceeding.  Additionally, it is impossible for PSE—or any party to this proceeding—to project likely changes in interest rates during the four-year period.  The proposals by these parties do not comport with the rigorous studies and analyses upon which this Commission has historically relied when making cost of capital determinations.  Therefore, any adjustment to the cost of either the long-term or short-term debt of PSE would be speculative and inappropriate. </w:t>
      </w:r>
    </w:p>
    <w:p w:rsidR="0088373F" w:rsidRPr="0068599B" w:rsidRDefault="0088373F" w:rsidP="008C171E">
      <w:pPr>
        <w:pStyle w:val="Heading2"/>
        <w:rPr>
          <w:rFonts w:eastAsia="SimSun"/>
        </w:rPr>
      </w:pPr>
      <w:bookmarkStart w:id="7" w:name="_Toc355779796"/>
      <w:r>
        <w:rPr>
          <w:rFonts w:eastAsia="SimSun"/>
        </w:rPr>
        <w:t>C.</w:t>
      </w:r>
      <w:r>
        <w:rPr>
          <w:rFonts w:eastAsia="SimSun"/>
        </w:rPr>
        <w:tab/>
        <w:t>Public Counsel Incorrectly Assumes that D</w:t>
      </w:r>
      <w:r w:rsidRPr="0068599B">
        <w:rPr>
          <w:rFonts w:eastAsia="SimSun"/>
        </w:rPr>
        <w:t xml:space="preserve">ecoupling </w:t>
      </w:r>
      <w:r>
        <w:rPr>
          <w:rFonts w:eastAsia="SimSun"/>
        </w:rPr>
        <w:t xml:space="preserve">Requires </w:t>
      </w:r>
      <w:r w:rsidRPr="0068599B">
        <w:rPr>
          <w:rFonts w:eastAsia="SimSun"/>
        </w:rPr>
        <w:t xml:space="preserve">a Lower Allowed Return on </w:t>
      </w:r>
      <w:r>
        <w:rPr>
          <w:rFonts w:eastAsia="SimSun"/>
        </w:rPr>
        <w:t>E</w:t>
      </w:r>
      <w:r w:rsidRPr="0068599B">
        <w:rPr>
          <w:rFonts w:eastAsia="SimSun"/>
        </w:rPr>
        <w:t>quity</w:t>
      </w:r>
      <w:bookmarkEnd w:id="7"/>
    </w:p>
    <w:p w:rsidR="0088373F" w:rsidRPr="001A00EB" w:rsidRDefault="0088373F" w:rsidP="00C629CE">
      <w:pPr>
        <w:pStyle w:val="question"/>
        <w:keepNext/>
        <w:keepLines/>
      </w:pPr>
      <w:r w:rsidRPr="002C3969">
        <w:rPr>
          <w:rFonts w:eastAsia="SimSun"/>
        </w:rPr>
        <w:t>Q.</w:t>
      </w:r>
      <w:r w:rsidRPr="002C3969">
        <w:rPr>
          <w:rFonts w:eastAsia="SimSun"/>
        </w:rPr>
        <w:tab/>
      </w:r>
      <w:r>
        <w:rPr>
          <w:rFonts w:eastAsia="SimSun"/>
        </w:rPr>
        <w:t>Do parties in this proceeding suggest that the Commission reduce PSE’s authorized return on equity if the decoupling mechanism proposal?</w:t>
      </w:r>
    </w:p>
    <w:p w:rsidR="0088373F" w:rsidRDefault="0088373F" w:rsidP="00C629CE">
      <w:pPr>
        <w:pStyle w:val="answer"/>
        <w:rPr>
          <w:rFonts w:eastAsia="SimSun"/>
        </w:rPr>
      </w:pPr>
      <w:r w:rsidRPr="002C3969">
        <w:rPr>
          <w:rFonts w:eastAsia="SimSun"/>
        </w:rPr>
        <w:t>A.</w:t>
      </w:r>
      <w:r w:rsidRPr="002C3969">
        <w:rPr>
          <w:rFonts w:eastAsia="SimSun"/>
        </w:rPr>
        <w:tab/>
      </w:r>
      <w:r>
        <w:rPr>
          <w:rFonts w:eastAsia="SimSun"/>
        </w:rPr>
        <w:t>Yes, although as I discuss below, there is no evidence supporting their suggested adjustments.  Public Counsel asserts that, if the Commission were to adopt the decoupling mechanism proposal, the Commission should reduce PSE’s authorized return on equity by 50 basis points.  Hill, Exh. No. ___(SGH-1T), at page 11, lines 16-18.  Witness for Public Counsel asserts that this 50 basis point reduction is supported by testimony on behalf of another party in a proceeding that occurred seven years ago.  Hill Exh. No. ___(SGH-1T), at page 11, lines 14-18.  Public Counsel fails to provide similar testimony in this proceeding.</w:t>
      </w:r>
    </w:p>
    <w:p w:rsidR="0088373F" w:rsidRDefault="0088373F" w:rsidP="008C171E">
      <w:pPr>
        <w:pStyle w:val="Answer0"/>
        <w:ind w:firstLine="0"/>
        <w:rPr>
          <w:rFonts w:eastAsia="SimSun"/>
        </w:rPr>
      </w:pPr>
      <w:r>
        <w:rPr>
          <w:rFonts w:eastAsia="SimSun"/>
        </w:rPr>
        <w:t>ICNU also asserts</w:t>
      </w:r>
      <w:r w:rsidRPr="00940DF0">
        <w:rPr>
          <w:rFonts w:eastAsia="SimSun"/>
        </w:rPr>
        <w:t xml:space="preserve"> </w:t>
      </w:r>
      <w:r>
        <w:rPr>
          <w:rFonts w:eastAsia="SimSun"/>
        </w:rPr>
        <w:t>that, if the Commission were to adopt PSE’s decoupling mechanism proposal, the Commission should reduce PSE’s authorized return on equity.  Gorman, Exh. No. ___(MPG-1T), at page 27, lines 3-5.  ICNU recommends a 25 basis point reduction.  Gorman, Exh. No. ___(MPG-1T), at page 28, lines 13-14.  Like Public Counsel, ICNU fails to provide analysis in this proceeding that such a reduction is warranted and instead relies on previous testimony of its witness from other proceedings.  Gorman, Exh. No. ___(MPG-1T), at page 28, lines 13-15.</w:t>
      </w:r>
    </w:p>
    <w:p w:rsidR="0088373F" w:rsidRDefault="0088373F" w:rsidP="00940DF0">
      <w:pPr>
        <w:pStyle w:val="Answer0"/>
        <w:ind w:firstLine="0"/>
        <w:rPr>
          <w:rFonts w:eastAsia="SimSun"/>
        </w:rPr>
      </w:pPr>
      <w:r>
        <w:rPr>
          <w:rFonts w:eastAsia="SimSun"/>
        </w:rPr>
        <w:t xml:space="preserve">Finally, Kroger asserts that, if the Commission were to adopt PSE’s decoupling mechanism proposal, the Commission should reduce PSE’s authorized return on equity by 25 basis points.  Higgins, Exh. No. ___(KCH-1T), at page 20, lines 12-14.  </w:t>
      </w:r>
    </w:p>
    <w:p w:rsidR="0088373F" w:rsidRPr="001A00EB" w:rsidRDefault="0088373F" w:rsidP="00501A0E">
      <w:pPr>
        <w:pStyle w:val="question"/>
        <w:keepNext/>
        <w:keepLines/>
      </w:pPr>
      <w:r w:rsidRPr="002C3969">
        <w:rPr>
          <w:rFonts w:eastAsia="SimSun"/>
        </w:rPr>
        <w:t>Q.</w:t>
      </w:r>
      <w:r w:rsidRPr="002C3969">
        <w:rPr>
          <w:rFonts w:eastAsia="SimSun"/>
        </w:rPr>
        <w:tab/>
      </w:r>
      <w:r>
        <w:rPr>
          <w:rFonts w:eastAsia="SimSun"/>
        </w:rPr>
        <w:t>Have other jurisdictions implemented reductions in authorized returns on equity in connection with the adoption of proposed decoupling mechanism?</w:t>
      </w:r>
    </w:p>
    <w:p w:rsidR="0088373F" w:rsidRDefault="0088373F" w:rsidP="00C902E1">
      <w:pPr>
        <w:pStyle w:val="answer"/>
        <w:rPr>
          <w:rFonts w:eastAsia="SimSun"/>
        </w:rPr>
      </w:pPr>
      <w:r w:rsidRPr="002C3969">
        <w:rPr>
          <w:rFonts w:eastAsia="SimSun"/>
        </w:rPr>
        <w:t>A.</w:t>
      </w:r>
      <w:r w:rsidRPr="002C3969">
        <w:rPr>
          <w:rFonts w:eastAsia="SimSun"/>
        </w:rPr>
        <w:tab/>
      </w:r>
      <w:r>
        <w:rPr>
          <w:rFonts w:eastAsia="SimSun"/>
        </w:rPr>
        <w:t xml:space="preserve">Although a few jurisdictions have implemented reductions in authorized returns on equity in connection with the adoption of proposed decoupling mechanism, a comprehensive survey of jurisdictions conducted by </w:t>
      </w:r>
      <w:r w:rsidRPr="00501A0E">
        <w:rPr>
          <w:rFonts w:eastAsia="SimSun"/>
        </w:rPr>
        <w:t>Pamela Lesh Morgan</w:t>
      </w:r>
      <w:r>
        <w:rPr>
          <w:rFonts w:eastAsia="SimSun"/>
        </w:rPr>
        <w:t>, shows that the vast majority of jurisdictions have not reduced authorized returns on equity due to the implementation of a proposed decoupling mechanism.  Table 2 below provides the results of the comprehensive analysis conducted by Ms. Morgan.</w:t>
      </w:r>
    </w:p>
    <w:p w:rsidR="0088373F" w:rsidRPr="00AD45F2" w:rsidRDefault="0088373F" w:rsidP="0048125F">
      <w:pPr>
        <w:pStyle w:val="answer"/>
        <w:keepNext/>
        <w:keepLines/>
        <w:spacing w:before="0" w:after="60" w:line="240" w:lineRule="auto"/>
        <w:ind w:firstLine="0"/>
        <w:jc w:val="center"/>
        <w:rPr>
          <w:rFonts w:eastAsia="SimSun"/>
          <w:b/>
        </w:rPr>
      </w:pPr>
      <w:r w:rsidRPr="00AD45F2">
        <w:rPr>
          <w:rFonts w:eastAsia="SimSun"/>
          <w:b/>
        </w:rPr>
        <w:t>Table </w:t>
      </w:r>
      <w:r>
        <w:rPr>
          <w:rFonts w:eastAsia="SimSun"/>
          <w:b/>
        </w:rPr>
        <w:t>2</w:t>
      </w:r>
      <w:r w:rsidRPr="00AD45F2">
        <w:rPr>
          <w:rFonts w:eastAsia="SimSun"/>
          <w:b/>
        </w:rPr>
        <w:t xml:space="preserve">.  </w:t>
      </w:r>
      <w:r>
        <w:rPr>
          <w:rFonts w:eastAsia="SimSun"/>
          <w:b/>
        </w:rPr>
        <w:t>Commission Decisions on Authorized Returns on Equity</w:t>
      </w:r>
      <w:r>
        <w:rPr>
          <w:rFonts w:eastAsia="SimSun"/>
          <w:b/>
        </w:rPr>
        <w:br/>
        <w:t>in Light of Implementation of Decoupling Mechanisms</w:t>
      </w:r>
    </w:p>
    <w:tbl>
      <w:tblPr>
        <w:tblW w:w="7829"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95"/>
        <w:gridCol w:w="2226"/>
        <w:gridCol w:w="2208"/>
      </w:tblGrid>
      <w:tr w:rsidR="0088373F" w:rsidRPr="000A3AD5" w:rsidTr="00485EA0">
        <w:tc>
          <w:tcPr>
            <w:tcW w:w="3395"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Reduction in Return on Equity</w:t>
            </w:r>
          </w:p>
        </w:tc>
        <w:tc>
          <w:tcPr>
            <w:tcW w:w="2226"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Number of Decisions</w:t>
            </w:r>
          </w:p>
        </w:tc>
        <w:tc>
          <w:tcPr>
            <w:tcW w:w="2208" w:type="dxa"/>
            <w:shd w:val="clear" w:color="auto" w:fill="BFBFBF"/>
          </w:tcPr>
          <w:p w:rsidR="0088373F" w:rsidRPr="00442A6A" w:rsidRDefault="0088373F" w:rsidP="00485EA0">
            <w:pPr>
              <w:pStyle w:val="answer"/>
              <w:spacing w:before="60" w:after="60" w:line="240" w:lineRule="auto"/>
              <w:ind w:left="0" w:firstLine="0"/>
              <w:jc w:val="center"/>
              <w:rPr>
                <w:rFonts w:ascii="Times New Roman" w:eastAsia="SimSun" w:hAnsi="Times New Roman"/>
                <w:b/>
                <w:sz w:val="20"/>
              </w:rPr>
            </w:pPr>
            <w:r w:rsidRPr="00442A6A">
              <w:rPr>
                <w:rFonts w:ascii="Times New Roman" w:eastAsia="SimSun" w:hAnsi="Times New Roman"/>
                <w:b/>
                <w:sz w:val="20"/>
              </w:rPr>
              <w:t>Result of Settlement</w:t>
            </w:r>
          </w:p>
        </w:tc>
      </w:tr>
      <w:tr w:rsidR="0088373F" w:rsidRPr="000A3AD5" w:rsidTr="00485EA0">
        <w:tc>
          <w:tcPr>
            <w:tcW w:w="3395"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None</w:t>
            </w:r>
          </w:p>
        </w:tc>
        <w:tc>
          <w:tcPr>
            <w:tcW w:w="222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56</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28</w:t>
            </w:r>
          </w:p>
        </w:tc>
      </w:tr>
      <w:tr w:rsidR="0088373F" w:rsidRPr="000A3AD5" w:rsidTr="00485EA0">
        <w:tc>
          <w:tcPr>
            <w:tcW w:w="3395"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10 basis points</w:t>
            </w:r>
          </w:p>
        </w:tc>
        <w:tc>
          <w:tcPr>
            <w:tcW w:w="222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9</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4</w:t>
            </w:r>
          </w:p>
        </w:tc>
      </w:tr>
      <w:tr w:rsidR="0088373F" w:rsidRPr="000A3AD5" w:rsidTr="00485EA0">
        <w:tc>
          <w:tcPr>
            <w:tcW w:w="3395"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25 basis points</w:t>
            </w:r>
          </w:p>
        </w:tc>
        <w:tc>
          <w:tcPr>
            <w:tcW w:w="222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3</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1</w:t>
            </w:r>
          </w:p>
        </w:tc>
      </w:tr>
      <w:tr w:rsidR="0088373F" w:rsidRPr="000A3AD5" w:rsidTr="00485EA0">
        <w:tc>
          <w:tcPr>
            <w:tcW w:w="3395"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50 basis points</w:t>
            </w:r>
          </w:p>
        </w:tc>
        <w:tc>
          <w:tcPr>
            <w:tcW w:w="222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4</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Pr>
                <w:rFonts w:ascii="Times New Roman" w:eastAsia="SimSun" w:hAnsi="Times New Roman"/>
                <w:sz w:val="20"/>
              </w:rPr>
              <w:t>0</w:t>
            </w:r>
          </w:p>
        </w:tc>
      </w:tr>
      <w:tr w:rsidR="0088373F" w:rsidRPr="000A3AD5" w:rsidTr="00485EA0">
        <w:tc>
          <w:tcPr>
            <w:tcW w:w="3395" w:type="dxa"/>
          </w:tcPr>
          <w:p w:rsidR="0088373F" w:rsidRPr="00442A6A" w:rsidRDefault="0088373F" w:rsidP="00485EA0">
            <w:pPr>
              <w:pStyle w:val="answer"/>
              <w:spacing w:before="60" w:after="60" w:line="240" w:lineRule="auto"/>
              <w:ind w:left="0" w:firstLine="0"/>
              <w:rPr>
                <w:rFonts w:ascii="Times New Roman" w:eastAsia="SimSun" w:hAnsi="Times New Roman"/>
                <w:sz w:val="20"/>
              </w:rPr>
            </w:pPr>
            <w:r w:rsidRPr="00442A6A">
              <w:rPr>
                <w:rFonts w:ascii="Times New Roman" w:eastAsia="SimSun" w:hAnsi="Times New Roman"/>
                <w:sz w:val="20"/>
              </w:rPr>
              <w:t>Total</w:t>
            </w:r>
          </w:p>
        </w:tc>
        <w:tc>
          <w:tcPr>
            <w:tcW w:w="2226"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72</w:t>
            </w:r>
          </w:p>
        </w:tc>
        <w:tc>
          <w:tcPr>
            <w:tcW w:w="2208" w:type="dxa"/>
          </w:tcPr>
          <w:p w:rsidR="0088373F" w:rsidRPr="00442A6A" w:rsidRDefault="0088373F" w:rsidP="00485EA0">
            <w:pPr>
              <w:pStyle w:val="answer"/>
              <w:spacing w:before="60" w:after="60" w:line="240" w:lineRule="auto"/>
              <w:ind w:left="0" w:firstLine="0"/>
              <w:jc w:val="center"/>
              <w:rPr>
                <w:rFonts w:ascii="Times New Roman" w:eastAsia="SimSun" w:hAnsi="Times New Roman"/>
                <w:sz w:val="20"/>
              </w:rPr>
            </w:pPr>
            <w:r w:rsidRPr="00442A6A">
              <w:rPr>
                <w:rFonts w:ascii="Times New Roman" w:eastAsia="SimSun" w:hAnsi="Times New Roman"/>
                <w:sz w:val="20"/>
              </w:rPr>
              <w:t>33</w:t>
            </w:r>
          </w:p>
        </w:tc>
      </w:tr>
    </w:tbl>
    <w:p w:rsidR="0088373F" w:rsidRDefault="0088373F" w:rsidP="00C902E1">
      <w:pPr>
        <w:pStyle w:val="answer"/>
        <w:spacing w:before="360"/>
        <w:ind w:firstLine="0"/>
        <w:rPr>
          <w:rFonts w:eastAsia="SimSun"/>
        </w:rPr>
      </w:pPr>
      <w:r>
        <w:rPr>
          <w:rFonts w:eastAsia="SimSun"/>
        </w:rPr>
        <w:t>Pamela Lesh Morgan, “</w:t>
      </w:r>
      <w:r w:rsidRPr="00960DCD">
        <w:rPr>
          <w:rFonts w:eastAsia="SimSun"/>
        </w:rPr>
        <w:t>A Decade of Decoupling for US Energy Utilities: Rate Impacts, Designs, and Observations</w:t>
      </w:r>
      <w:r>
        <w:rPr>
          <w:rFonts w:eastAsia="SimSun"/>
        </w:rPr>
        <w:t xml:space="preserve">,” at page 15 (2012) (available at </w:t>
      </w:r>
      <w:hyperlink r:id="rId11" w:history="1">
        <w:r w:rsidRPr="00DF29B8">
          <w:rPr>
            <w:rStyle w:val="Hyperlink"/>
            <w:rFonts w:eastAsia="SimSun"/>
          </w:rPr>
          <w:t>http://switchboard.nrdc.org/blogs/rcavanagh/decouplingreportMorganfinal.pdf</w:t>
        </w:r>
      </w:hyperlink>
      <w:r>
        <w:rPr>
          <w:rFonts w:eastAsia="SimSun"/>
        </w:rPr>
        <w:t>).</w:t>
      </w:r>
    </w:p>
    <w:p w:rsidR="0088373F" w:rsidRPr="00C902E1" w:rsidRDefault="0088373F" w:rsidP="00C902E1">
      <w:pPr>
        <w:pStyle w:val="answer"/>
        <w:spacing w:before="360"/>
        <w:ind w:firstLine="0"/>
        <w:rPr>
          <w:rFonts w:eastAsia="SimSun"/>
        </w:rPr>
      </w:pPr>
      <w:r w:rsidRPr="00C902E1">
        <w:rPr>
          <w:rFonts w:eastAsia="SimSun"/>
        </w:rPr>
        <w:t>As demonstrate</w:t>
      </w:r>
      <w:r>
        <w:rPr>
          <w:rFonts w:eastAsia="SimSun"/>
        </w:rPr>
        <w:t>d by Table 2 above</w:t>
      </w:r>
      <w:r w:rsidRPr="00C902E1">
        <w:rPr>
          <w:rFonts w:eastAsia="SimSun"/>
        </w:rPr>
        <w:t>, the large majority</w:t>
      </w:r>
      <w:r>
        <w:rPr>
          <w:rFonts w:eastAsia="SimSun"/>
        </w:rPr>
        <w:t xml:space="preserve"> (80 percent)</w:t>
      </w:r>
      <w:r w:rsidRPr="00C902E1">
        <w:rPr>
          <w:rFonts w:eastAsia="SimSun"/>
        </w:rPr>
        <w:t xml:space="preserve"> of decisions adopting decoupling make no reduction</w:t>
      </w:r>
      <w:r>
        <w:rPr>
          <w:rFonts w:eastAsia="SimSun"/>
        </w:rPr>
        <w:t xml:space="preserve"> to the authorized returns on equity.  Among those decisions that did include a reduction in the authorized return on equity, the majority have reductions (10 basis points) that are smaller than the 25 basis point reduction advocated by ICNU and Kroger and significantly smaller than the 50 basis point reduction advocated by Public Counsel.</w:t>
      </w:r>
    </w:p>
    <w:p w:rsidR="0088373F" w:rsidRPr="001A00EB" w:rsidRDefault="0088373F" w:rsidP="00616400">
      <w:pPr>
        <w:pStyle w:val="question"/>
        <w:keepNext/>
        <w:keepLines/>
      </w:pPr>
      <w:r w:rsidRPr="002C3969">
        <w:rPr>
          <w:rFonts w:eastAsia="SimSun"/>
        </w:rPr>
        <w:t>Q.</w:t>
      </w:r>
      <w:r w:rsidRPr="002C3969">
        <w:rPr>
          <w:rFonts w:eastAsia="SimSun"/>
        </w:rPr>
        <w:tab/>
      </w:r>
      <w:r>
        <w:rPr>
          <w:rFonts w:eastAsia="SimSun"/>
        </w:rPr>
        <w:t>Have Public Counsel, ICNU, or Kroger provided evidence that the proposed decoupling mechanism will reduce PSE’s business risk?</w:t>
      </w:r>
    </w:p>
    <w:p w:rsidR="0088373F" w:rsidRDefault="0088373F" w:rsidP="00616400">
      <w:pPr>
        <w:pStyle w:val="answer"/>
        <w:rPr>
          <w:rFonts w:eastAsia="SimSun"/>
        </w:rPr>
      </w:pPr>
      <w:r>
        <w:rPr>
          <w:rFonts w:eastAsia="SimSun"/>
        </w:rPr>
        <w:t>A.</w:t>
      </w:r>
      <w:r>
        <w:rPr>
          <w:rFonts w:eastAsia="SimSun"/>
        </w:rPr>
        <w:tab/>
        <w:t xml:space="preserve">No.  Neither Public Counsel, ICNU, nor Kroger has provided evidence that the proposed decoupling mechanism will reduce PSE’s business risk.  Indeed, no empirical evidence exists that quantifies how, </w:t>
      </w:r>
      <w:r w:rsidRPr="00616400">
        <w:rPr>
          <w:rFonts w:eastAsia="SimSun"/>
        </w:rPr>
        <w:t>i</w:t>
      </w:r>
      <w:r>
        <w:rPr>
          <w:rFonts w:eastAsia="SimSun"/>
        </w:rPr>
        <w:t>f</w:t>
      </w:r>
      <w:r w:rsidRPr="00616400">
        <w:rPr>
          <w:rFonts w:eastAsia="SimSun"/>
        </w:rPr>
        <w:t xml:space="preserve"> at all, decoupling changes a utility</w:t>
      </w:r>
      <w:r>
        <w:rPr>
          <w:rFonts w:eastAsia="SimSun"/>
        </w:rPr>
        <w:t>’</w:t>
      </w:r>
      <w:r w:rsidRPr="00616400">
        <w:rPr>
          <w:rFonts w:eastAsia="SimSun"/>
        </w:rPr>
        <w:t xml:space="preserve">s business risk. </w:t>
      </w:r>
      <w:r>
        <w:rPr>
          <w:rFonts w:eastAsia="SimSun"/>
        </w:rPr>
        <w:t xml:space="preserve"> Indeed, an empirical study conducted by The Brattle Group found that </w:t>
      </w:r>
      <w:r w:rsidRPr="00616400">
        <w:rPr>
          <w:rFonts w:eastAsia="SimSun"/>
        </w:rPr>
        <w:t xml:space="preserve">decoupling may actually </w:t>
      </w:r>
      <w:r w:rsidRPr="00E11D2D">
        <w:rPr>
          <w:rFonts w:eastAsia="SimSun"/>
          <w:i/>
        </w:rPr>
        <w:t>increase</w:t>
      </w:r>
      <w:r w:rsidRPr="00616400">
        <w:rPr>
          <w:rFonts w:eastAsia="SimSun"/>
        </w:rPr>
        <w:t xml:space="preserve"> a utility</w:t>
      </w:r>
      <w:r>
        <w:rPr>
          <w:rFonts w:eastAsia="SimSun"/>
        </w:rPr>
        <w:t>’</w:t>
      </w:r>
      <w:r w:rsidRPr="00616400">
        <w:rPr>
          <w:rFonts w:eastAsia="SimSun"/>
        </w:rPr>
        <w:t xml:space="preserve">s overall business risk to some extent. </w:t>
      </w:r>
      <w:r>
        <w:rPr>
          <w:rFonts w:eastAsia="SimSun"/>
        </w:rPr>
        <w:t xml:space="preserve"> </w:t>
      </w:r>
      <w:r w:rsidRPr="00616400">
        <w:rPr>
          <w:rFonts w:eastAsia="SimSun"/>
        </w:rPr>
        <w:t xml:space="preserve">Joseph B. Wharton, </w:t>
      </w:r>
      <w:r w:rsidRPr="00E11D2D">
        <w:rPr>
          <w:rFonts w:eastAsia="SimSun"/>
          <w:i/>
        </w:rPr>
        <w:t>et al</w:t>
      </w:r>
      <w:r>
        <w:rPr>
          <w:rFonts w:eastAsia="SimSun"/>
        </w:rPr>
        <w:t>., “</w:t>
      </w:r>
      <w:r w:rsidRPr="00616400">
        <w:rPr>
          <w:rFonts w:eastAsia="SimSun"/>
        </w:rPr>
        <w:t>The Impact of Decoupling on the Cost of Capital – An Empirical Investigation</w:t>
      </w:r>
      <w:r>
        <w:rPr>
          <w:rFonts w:eastAsia="SimSun"/>
        </w:rPr>
        <w:t>”</w:t>
      </w:r>
      <w:r w:rsidRPr="00616400">
        <w:rPr>
          <w:rFonts w:eastAsia="SimSun"/>
        </w:rPr>
        <w:t xml:space="preserve"> </w:t>
      </w:r>
      <w:r>
        <w:rPr>
          <w:rFonts w:eastAsia="SimSun"/>
        </w:rPr>
        <w:t xml:space="preserve">(Mar. 2011) (available at </w:t>
      </w:r>
      <w:hyperlink r:id="rId12" w:history="1">
        <w:r w:rsidRPr="00DF29B8">
          <w:rPr>
            <w:rStyle w:val="Hyperlink"/>
            <w:rFonts w:eastAsia="SimSun"/>
          </w:rPr>
          <w:t>http://www.brattle.com/_documents/UploadLibrary/Upload922.pdf</w:t>
        </w:r>
      </w:hyperlink>
      <w:r>
        <w:rPr>
          <w:rFonts w:eastAsia="SimSun"/>
        </w:rPr>
        <w:t>)</w:t>
      </w:r>
      <w:r w:rsidRPr="00616400">
        <w:rPr>
          <w:rFonts w:eastAsia="SimSun"/>
        </w:rPr>
        <w:t>.</w:t>
      </w:r>
      <w:r>
        <w:rPr>
          <w:rFonts w:eastAsia="SimSun"/>
        </w:rPr>
        <w:t xml:space="preserve">  Given the dearth of empirical evidence regarding the effect of decoupling mechanisms on business risk, the reductions proposed by Public Counsel, ICNU, and Kroger are arbitrary and wholly without support. </w:t>
      </w:r>
    </w:p>
    <w:p w:rsidR="0088373F" w:rsidRPr="0068599B" w:rsidRDefault="0088373F" w:rsidP="00980076">
      <w:pPr>
        <w:pStyle w:val="Heading1"/>
        <w:spacing w:after="360" w:line="240" w:lineRule="auto"/>
        <w:rPr>
          <w:rFonts w:eastAsia="SimSun"/>
        </w:rPr>
      </w:pPr>
      <w:bookmarkStart w:id="8" w:name="_Toc355779797"/>
      <w:r>
        <w:rPr>
          <w:rFonts w:eastAsia="SimSun"/>
        </w:rPr>
        <w:t>III</w:t>
      </w:r>
      <w:r w:rsidRPr="009075DC">
        <w:rPr>
          <w:rFonts w:eastAsia="SimSun"/>
        </w:rPr>
        <w:t>.</w:t>
      </w:r>
      <w:r w:rsidRPr="009075DC">
        <w:rPr>
          <w:rFonts w:eastAsia="SimSun"/>
        </w:rPr>
        <w:tab/>
      </w:r>
      <w:r>
        <w:rPr>
          <w:rFonts w:eastAsia="SimSun"/>
        </w:rPr>
        <w:t>THE DETERMINATION OF PSE’S AUTHORIZED</w:t>
      </w:r>
      <w:r>
        <w:rPr>
          <w:rFonts w:eastAsia="SimSun"/>
        </w:rPr>
        <w:br/>
        <w:t>CAPITAL STRUCTURE IS OUTSIDE THE</w:t>
      </w:r>
      <w:r>
        <w:rPr>
          <w:rFonts w:eastAsia="SimSun"/>
        </w:rPr>
        <w:br/>
        <w:t>SCOPE OF THIS PROCEEDING</w:t>
      </w:r>
      <w:bookmarkEnd w:id="8"/>
    </w:p>
    <w:p w:rsidR="0088373F" w:rsidRDefault="0088373F" w:rsidP="00980076">
      <w:pPr>
        <w:pStyle w:val="Heading2"/>
        <w:rPr>
          <w:rFonts w:eastAsia="SimSun"/>
        </w:rPr>
      </w:pPr>
      <w:bookmarkStart w:id="9" w:name="_Toc355779798"/>
      <w:r>
        <w:rPr>
          <w:rFonts w:eastAsia="SimSun"/>
        </w:rPr>
        <w:t>A.</w:t>
      </w:r>
      <w:r>
        <w:rPr>
          <w:rFonts w:eastAsia="SimSun"/>
        </w:rPr>
        <w:tab/>
        <w:t>Public Counsel’s Proposal to Adjust PSE’s Capital Structure is Misplaced</w:t>
      </w:r>
      <w:bookmarkEnd w:id="9"/>
    </w:p>
    <w:p w:rsidR="0088373F" w:rsidRPr="002C3969" w:rsidRDefault="0088373F" w:rsidP="00F05AA5">
      <w:pPr>
        <w:pStyle w:val="question"/>
        <w:keepNext/>
        <w:keepLines/>
      </w:pPr>
      <w:r>
        <w:rPr>
          <w:rFonts w:eastAsia="SimSun"/>
        </w:rPr>
        <w:t>Q.</w:t>
      </w:r>
      <w:r>
        <w:rPr>
          <w:rFonts w:eastAsia="SimSun"/>
        </w:rPr>
        <w:tab/>
        <w:t>Does Public Counsel make a proposal to adjust PSE’s authorized capital structure?</w:t>
      </w:r>
    </w:p>
    <w:p w:rsidR="0088373F" w:rsidRDefault="0088373F" w:rsidP="00F05AA5">
      <w:pPr>
        <w:pStyle w:val="answer"/>
        <w:rPr>
          <w:rFonts w:eastAsia="SimSun"/>
        </w:rPr>
      </w:pPr>
      <w:r w:rsidRPr="002C3969">
        <w:rPr>
          <w:rFonts w:eastAsia="SimSun"/>
        </w:rPr>
        <w:t>A.</w:t>
      </w:r>
      <w:r w:rsidRPr="002C3969">
        <w:rPr>
          <w:rFonts w:eastAsia="SimSun"/>
        </w:rPr>
        <w:tab/>
      </w:r>
      <w:r>
        <w:rPr>
          <w:rFonts w:eastAsia="SimSun"/>
        </w:rPr>
        <w:t>Yes.  Public Counsel suggests that the Commission adjust PSE’s authorized capital structure as a purported “</w:t>
      </w:r>
      <w:r w:rsidRPr="00F05AA5">
        <w:rPr>
          <w:rFonts w:eastAsia="SimSun"/>
        </w:rPr>
        <w:t>alternative means to address the lower risk imparted by decoupling</w:t>
      </w:r>
      <w:r>
        <w:rPr>
          <w:rFonts w:eastAsia="SimSun"/>
        </w:rPr>
        <w:t xml:space="preserve"> . . . .”  Hill, Exh. No. ___(SGH-1T), at page 17, lines 9-10; </w:t>
      </w:r>
      <w:r w:rsidRPr="00DB4898">
        <w:rPr>
          <w:rFonts w:eastAsia="SimSun"/>
          <w:i/>
        </w:rPr>
        <w:t>see also</w:t>
      </w:r>
      <w:r>
        <w:rPr>
          <w:rFonts w:eastAsia="SimSun"/>
        </w:rPr>
        <w:t xml:space="preserve"> Hill, Exh. No. ___(SGH-1T), at page 16, line 11, through page 18, line 11.</w:t>
      </w:r>
    </w:p>
    <w:p w:rsidR="0088373F" w:rsidRPr="002C3969" w:rsidRDefault="0088373F" w:rsidP="009E1A5E">
      <w:pPr>
        <w:pStyle w:val="question"/>
        <w:keepNext/>
        <w:keepLines/>
      </w:pPr>
      <w:r>
        <w:rPr>
          <w:rFonts w:eastAsia="SimSun"/>
        </w:rPr>
        <w:t>Q.</w:t>
      </w:r>
      <w:r>
        <w:rPr>
          <w:rFonts w:eastAsia="SimSun"/>
        </w:rPr>
        <w:tab/>
        <w:t>Does Public Counsel provide a rationale to support the proposed adjustment PSE’s authorized capital structure?</w:t>
      </w:r>
    </w:p>
    <w:p w:rsidR="0088373F" w:rsidRDefault="0088373F" w:rsidP="00F05AA5">
      <w:pPr>
        <w:pStyle w:val="answer"/>
        <w:rPr>
          <w:rFonts w:eastAsia="SimSun"/>
        </w:rPr>
      </w:pPr>
      <w:r>
        <w:rPr>
          <w:rFonts w:eastAsia="SimSun"/>
        </w:rPr>
        <w:t>A,</w:t>
      </w:r>
      <w:r>
        <w:rPr>
          <w:rFonts w:eastAsia="SimSun"/>
        </w:rPr>
        <w:tab/>
        <w:t xml:space="preserve">No.  Public Counsel’s proposed adjustment to PSE’s authorized capital structure is a results-driven adjustment offered in lieu of Public Counsel’s proposed reduction in PSE’s authorized return on equity.  In other words, Public Counsel offers the proposal as a means by which the Commission could adopt Public Counsel’s proposal but keep PSE’s authorized return on equity at 9.8 percent by adjusting PSE’s authorized capital structure to include </w:t>
      </w:r>
      <w:r w:rsidRPr="00E458CC">
        <w:rPr>
          <w:rFonts w:eastAsia="SimSun"/>
        </w:rPr>
        <w:t>37.5</w:t>
      </w:r>
      <w:r>
        <w:rPr>
          <w:rFonts w:eastAsia="SimSun"/>
        </w:rPr>
        <w:t xml:space="preserve"> percent </w:t>
      </w:r>
      <w:r w:rsidRPr="00E458CC">
        <w:rPr>
          <w:rFonts w:eastAsia="SimSun"/>
        </w:rPr>
        <w:t>common equity and 62.5</w:t>
      </w:r>
      <w:r>
        <w:rPr>
          <w:rFonts w:eastAsia="SimSun"/>
        </w:rPr>
        <w:t> percent</w:t>
      </w:r>
      <w:r w:rsidRPr="00E458CC">
        <w:rPr>
          <w:rFonts w:eastAsia="SimSun"/>
        </w:rPr>
        <w:t xml:space="preserve"> debt.</w:t>
      </w:r>
      <w:r>
        <w:rPr>
          <w:rFonts w:eastAsia="SimSun"/>
        </w:rPr>
        <w:t xml:space="preserve">  Mathematically, this achieves the same result as reducing PSE’s authorized return on equity to 9.0 percent but keeping PSE’s authorized capital structure at 48.0 percent common equity and 52.0 percent debt ratio.</w:t>
      </w:r>
    </w:p>
    <w:p w:rsidR="0088373F" w:rsidRDefault="0088373F" w:rsidP="008C171E">
      <w:pPr>
        <w:pStyle w:val="answer"/>
        <w:ind w:firstLine="0"/>
        <w:rPr>
          <w:rFonts w:eastAsia="SimSun"/>
        </w:rPr>
      </w:pPr>
      <w:r>
        <w:rPr>
          <w:rFonts w:eastAsia="SimSun"/>
        </w:rPr>
        <w:t xml:space="preserve">In other words, Public Counsel’s suggested adjustment to PSE’s authorized capital structure is no different than Public Counsel’s suggested adjustment to PSE’s authorized return on equity, which, as discussed above, is without support.  Moreover, this proposed adjustment is entirely results-driven and fails to acknowledge how the adjustment (i) reflects the actual capital structure supporting regulated activities or (ii) satisfies the balance of safety and economy required by Commission orders.  A capital structure with 37.5 percent equity would (i) be inconsistent with the direction taken by the Commission for more than a decade, encouraging the PSE to increase its equity level; (ii) contain significantly less equity than the 44 percent minimum contained within the merger commitments approved by this Commission; and (iii) likely affect the risk and credit profile of PSE significantly. </w:t>
      </w:r>
    </w:p>
    <w:p w:rsidR="0088373F" w:rsidRPr="002C3969" w:rsidRDefault="0088373F" w:rsidP="008D2101">
      <w:pPr>
        <w:pStyle w:val="Heading2"/>
        <w:rPr>
          <w:rFonts w:eastAsia="SimSun"/>
        </w:rPr>
      </w:pPr>
      <w:bookmarkStart w:id="10" w:name="_Toc355779799"/>
      <w:r>
        <w:rPr>
          <w:rFonts w:eastAsia="SimSun"/>
        </w:rPr>
        <w:t>B.</w:t>
      </w:r>
      <w:r>
        <w:rPr>
          <w:rFonts w:eastAsia="SimSun"/>
        </w:rPr>
        <w:tab/>
        <w:t xml:space="preserve">PSE’s Capital Structure for the Twelve Months Ending December 31, 2012, Contained 48.65 Percent Equity and Not </w:t>
      </w:r>
      <w:r w:rsidRPr="00AF6922">
        <w:rPr>
          <w:rFonts w:eastAsia="SimSun"/>
        </w:rPr>
        <w:t>46.6</w:t>
      </w:r>
      <w:r>
        <w:rPr>
          <w:rFonts w:eastAsia="SimSun"/>
        </w:rPr>
        <w:t> Percent Equity as Suggested by ICNU</w:t>
      </w:r>
      <w:bookmarkEnd w:id="10"/>
    </w:p>
    <w:p w:rsidR="0088373F" w:rsidRPr="002C3969" w:rsidRDefault="0088373F" w:rsidP="008D2101">
      <w:pPr>
        <w:pStyle w:val="question"/>
        <w:keepNext/>
        <w:keepLines/>
      </w:pPr>
      <w:r>
        <w:rPr>
          <w:rFonts w:eastAsia="SimSun"/>
        </w:rPr>
        <w:t>Q.</w:t>
      </w:r>
      <w:r>
        <w:rPr>
          <w:rFonts w:eastAsia="SimSun"/>
        </w:rPr>
        <w:tab/>
        <w:t xml:space="preserve">How do you respond to ICNU’s assertion that </w:t>
      </w:r>
      <w:r w:rsidRPr="002C3969">
        <w:rPr>
          <w:rFonts w:eastAsia="SimSun"/>
        </w:rPr>
        <w:t>PSE</w:t>
      </w:r>
      <w:r>
        <w:rPr>
          <w:rFonts w:eastAsia="SimSun"/>
        </w:rPr>
        <w:t>’</w:t>
      </w:r>
      <w:r w:rsidRPr="002C3969">
        <w:rPr>
          <w:rFonts w:eastAsia="SimSun"/>
        </w:rPr>
        <w:t>s actual common equity ratio has been approximately 46</w:t>
      </w:r>
      <w:r>
        <w:rPr>
          <w:rFonts w:eastAsia="SimSun"/>
        </w:rPr>
        <w:t> percent</w:t>
      </w:r>
      <w:r w:rsidRPr="002C3969">
        <w:rPr>
          <w:rFonts w:eastAsia="SimSun"/>
        </w:rPr>
        <w:t xml:space="preserve"> for the last two</w:t>
      </w:r>
      <w:r>
        <w:rPr>
          <w:rFonts w:eastAsia="SimSun"/>
        </w:rPr>
        <w:t xml:space="preserve"> </w:t>
      </w:r>
      <w:r w:rsidRPr="002C3969">
        <w:rPr>
          <w:rFonts w:eastAsia="SimSun"/>
        </w:rPr>
        <w:t>years</w:t>
      </w:r>
      <w:r>
        <w:rPr>
          <w:rFonts w:eastAsia="SimSun"/>
        </w:rPr>
        <w:t>?</w:t>
      </w:r>
    </w:p>
    <w:p w:rsidR="0088373F" w:rsidRDefault="0088373F" w:rsidP="00C739EE">
      <w:pPr>
        <w:pStyle w:val="answer"/>
        <w:rPr>
          <w:rFonts w:eastAsia="SimSun"/>
        </w:rPr>
      </w:pPr>
      <w:r w:rsidRPr="002C3969">
        <w:rPr>
          <w:rFonts w:eastAsia="SimSun"/>
        </w:rPr>
        <w:t>A.</w:t>
      </w:r>
      <w:r w:rsidRPr="002C3969">
        <w:rPr>
          <w:rFonts w:eastAsia="SimSun"/>
        </w:rPr>
        <w:tab/>
      </w:r>
      <w:r>
        <w:rPr>
          <w:rFonts w:eastAsia="SimSun"/>
        </w:rPr>
        <w:t xml:space="preserve">ICNU’s calculation fails to adjust for the </w:t>
      </w:r>
      <w:r w:rsidRPr="00C739EE">
        <w:rPr>
          <w:rFonts w:eastAsia="SimSun"/>
        </w:rPr>
        <w:t xml:space="preserve">impact of unrealized </w:t>
      </w:r>
      <w:r w:rsidRPr="00976AEB">
        <w:rPr>
          <w:rFonts w:eastAsia="SimSun"/>
        </w:rPr>
        <w:t xml:space="preserve">non-cash </w:t>
      </w:r>
      <w:r w:rsidRPr="00C739EE">
        <w:rPr>
          <w:rFonts w:eastAsia="SimSun"/>
        </w:rPr>
        <w:t>mark-to-market accounting gains or losses on PSE</w:t>
      </w:r>
      <w:r>
        <w:rPr>
          <w:rFonts w:eastAsia="SimSun"/>
        </w:rPr>
        <w:t>’</w:t>
      </w:r>
      <w:r w:rsidRPr="00C739EE">
        <w:rPr>
          <w:rFonts w:eastAsia="SimSun"/>
        </w:rPr>
        <w:t>s capitalizati</w:t>
      </w:r>
      <w:r>
        <w:rPr>
          <w:rFonts w:eastAsia="SimSun"/>
        </w:rPr>
        <w:t>on.  If ICNU were to make this adjustment alone, then the result would be a capital structure with an equity component of 48.65 percent for the twelve months ending December 31, 2011.</w:t>
      </w:r>
    </w:p>
    <w:p w:rsidR="0088373F" w:rsidRPr="005B7DA8" w:rsidRDefault="0088373F" w:rsidP="005B7DA8">
      <w:pPr>
        <w:pStyle w:val="question"/>
        <w:spacing w:before="120"/>
        <w:rPr>
          <w:rFonts w:eastAsia="SimSun"/>
          <w:bCs/>
        </w:rPr>
      </w:pPr>
      <w:r>
        <w:rPr>
          <w:rFonts w:eastAsia="SimSun"/>
          <w:bCs/>
        </w:rPr>
        <w:t>Q.</w:t>
      </w:r>
      <w:r>
        <w:rPr>
          <w:rFonts w:eastAsia="SimSun"/>
          <w:bCs/>
        </w:rPr>
        <w:tab/>
        <w:t xml:space="preserve">Please explain how ICNU calculates PSE’s capital structure.  </w:t>
      </w:r>
    </w:p>
    <w:p w:rsidR="0088373F" w:rsidRDefault="0088373F" w:rsidP="00C739EE">
      <w:pPr>
        <w:pStyle w:val="answer"/>
        <w:rPr>
          <w:rFonts w:eastAsia="SimSun"/>
        </w:rPr>
      </w:pPr>
      <w:r>
        <w:rPr>
          <w:rFonts w:eastAsia="SimSun"/>
        </w:rPr>
        <w:t>A.</w:t>
      </w:r>
      <w:r>
        <w:rPr>
          <w:rFonts w:eastAsia="SimSun"/>
        </w:rPr>
        <w:tab/>
        <w:t>ICNU calculates a capital structure based on information “</w:t>
      </w:r>
      <w:r w:rsidRPr="002C3969">
        <w:rPr>
          <w:rFonts w:eastAsia="SimSun"/>
        </w:rPr>
        <w:t xml:space="preserve">recorded on </w:t>
      </w:r>
      <w:r>
        <w:rPr>
          <w:rFonts w:eastAsia="SimSun"/>
        </w:rPr>
        <w:t xml:space="preserve">[PSE’s] </w:t>
      </w:r>
      <w:r w:rsidRPr="002C3969">
        <w:rPr>
          <w:rFonts w:eastAsia="SimSun"/>
        </w:rPr>
        <w:t>FERC Form 1 over the period March 31, 2011 through</w:t>
      </w:r>
      <w:r>
        <w:rPr>
          <w:rFonts w:eastAsia="SimSun"/>
        </w:rPr>
        <w:t xml:space="preserve"> </w:t>
      </w:r>
      <w:r w:rsidRPr="002C3969">
        <w:rPr>
          <w:rFonts w:eastAsia="SimSun"/>
        </w:rPr>
        <w:t>December 31, 2012.</w:t>
      </w:r>
      <w:r>
        <w:rPr>
          <w:rFonts w:eastAsia="SimSun"/>
        </w:rPr>
        <w:t>”  Gorman, Exh. No. ___(MPG-1T), at page 8, lines 9-10.  From this information, ICNU concludes that “[d]</w:t>
      </w:r>
      <w:r w:rsidRPr="002C3969">
        <w:rPr>
          <w:rFonts w:eastAsia="SimSun"/>
        </w:rPr>
        <w:t>uring this time period, PSE increased its common equity ratio</w:t>
      </w:r>
      <w:r>
        <w:rPr>
          <w:rFonts w:eastAsia="SimSun"/>
        </w:rPr>
        <w:t xml:space="preserve"> </w:t>
      </w:r>
      <w:r w:rsidRPr="002C3969">
        <w:rPr>
          <w:rFonts w:eastAsia="SimSun"/>
        </w:rPr>
        <w:t>from 45.7</w:t>
      </w:r>
      <w:r>
        <w:rPr>
          <w:rFonts w:eastAsia="SimSun"/>
        </w:rPr>
        <w:t> percent</w:t>
      </w:r>
      <w:r w:rsidRPr="002C3969">
        <w:rPr>
          <w:rFonts w:eastAsia="SimSun"/>
        </w:rPr>
        <w:t xml:space="preserve"> at year-end 2011, up to 46.07</w:t>
      </w:r>
      <w:r>
        <w:rPr>
          <w:rFonts w:eastAsia="SimSun"/>
        </w:rPr>
        <w:t> percent</w:t>
      </w:r>
      <w:r w:rsidRPr="002C3969">
        <w:rPr>
          <w:rFonts w:eastAsia="SimSun"/>
        </w:rPr>
        <w:t xml:space="preserve"> at year-end 2012.</w:t>
      </w:r>
      <w:r>
        <w:rPr>
          <w:rFonts w:eastAsia="SimSun"/>
        </w:rPr>
        <w:t xml:space="preserve">”  Gorman, Exh. No. ___(MPG-1T), at page 8, lines 10-11.  </w:t>
      </w:r>
    </w:p>
    <w:p w:rsidR="0088373F" w:rsidRPr="002C3969" w:rsidRDefault="0088373F" w:rsidP="006F33F6">
      <w:pPr>
        <w:pStyle w:val="question"/>
        <w:keepNext/>
        <w:keepLines/>
        <w:spacing w:before="120"/>
      </w:pPr>
      <w:r>
        <w:rPr>
          <w:rFonts w:eastAsia="SimSun"/>
        </w:rPr>
        <w:t>Q.</w:t>
      </w:r>
      <w:r>
        <w:rPr>
          <w:rFonts w:eastAsia="SimSun"/>
        </w:rPr>
        <w:tab/>
        <w:t xml:space="preserve">Why is it appropriate to adjust for the </w:t>
      </w:r>
      <w:r w:rsidRPr="00C739EE">
        <w:rPr>
          <w:rFonts w:eastAsia="SimSun"/>
        </w:rPr>
        <w:t xml:space="preserve">impact of unrealized </w:t>
      </w:r>
      <w:r w:rsidRPr="00976AEB">
        <w:rPr>
          <w:rFonts w:eastAsia="SimSun"/>
        </w:rPr>
        <w:t xml:space="preserve">non-cash </w:t>
      </w:r>
      <w:r w:rsidRPr="00C739EE">
        <w:rPr>
          <w:rFonts w:eastAsia="SimSun"/>
        </w:rPr>
        <w:t>mark-to-market accounting gains or losses on PSE</w:t>
      </w:r>
      <w:r>
        <w:rPr>
          <w:rFonts w:eastAsia="SimSun"/>
        </w:rPr>
        <w:t>’</w:t>
      </w:r>
      <w:r w:rsidRPr="00C739EE">
        <w:rPr>
          <w:rFonts w:eastAsia="SimSun"/>
        </w:rPr>
        <w:t>s capitalizati</w:t>
      </w:r>
      <w:r>
        <w:rPr>
          <w:rFonts w:eastAsia="SimSun"/>
        </w:rPr>
        <w:t>on?</w:t>
      </w:r>
    </w:p>
    <w:p w:rsidR="0088373F" w:rsidRDefault="0088373F" w:rsidP="00C739EE">
      <w:pPr>
        <w:pStyle w:val="answer"/>
        <w:rPr>
          <w:rFonts w:eastAsia="SimSun"/>
        </w:rPr>
      </w:pPr>
      <w:r>
        <w:rPr>
          <w:rFonts w:eastAsia="SimSun"/>
        </w:rPr>
        <w:t>A.</w:t>
      </w:r>
      <w:r>
        <w:rPr>
          <w:rFonts w:eastAsia="SimSun"/>
        </w:rPr>
        <w:tab/>
        <w:t xml:space="preserve">It is necessary to adjust for the </w:t>
      </w:r>
      <w:r w:rsidRPr="00C739EE">
        <w:rPr>
          <w:rFonts w:eastAsia="SimSun"/>
        </w:rPr>
        <w:t xml:space="preserve">impact of unrealized </w:t>
      </w:r>
      <w:r w:rsidRPr="00976AEB">
        <w:rPr>
          <w:rFonts w:eastAsia="SimSun"/>
        </w:rPr>
        <w:t xml:space="preserve">non-cash </w:t>
      </w:r>
      <w:r w:rsidRPr="00C739EE">
        <w:rPr>
          <w:rFonts w:eastAsia="SimSun"/>
        </w:rPr>
        <w:t>mark-to-market accounting gains or losses on PSE</w:t>
      </w:r>
      <w:r>
        <w:rPr>
          <w:rFonts w:eastAsia="SimSun"/>
        </w:rPr>
        <w:t>’</w:t>
      </w:r>
      <w:r w:rsidRPr="00C739EE">
        <w:rPr>
          <w:rFonts w:eastAsia="SimSun"/>
        </w:rPr>
        <w:t>s capitalizati</w:t>
      </w:r>
      <w:r>
        <w:rPr>
          <w:rFonts w:eastAsia="SimSun"/>
        </w:rPr>
        <w:t>on as well as adjustments for non-regulated subsidiary retained earnings and pension accounting for the same reasons discussed below as to why it is necessary to adjust returns on equity to calculate an operating return on equity.</w:t>
      </w:r>
    </w:p>
    <w:p w:rsidR="0088373F" w:rsidRDefault="0088373F" w:rsidP="00774C7E">
      <w:pPr>
        <w:pStyle w:val="answer"/>
        <w:ind w:firstLine="0"/>
        <w:rPr>
          <w:rFonts w:eastAsia="SimSun"/>
        </w:rPr>
      </w:pPr>
      <w:r>
        <w:rPr>
          <w:rFonts w:eastAsia="SimSun"/>
        </w:rPr>
        <w:t xml:space="preserve">As discussed below, the </w:t>
      </w:r>
      <w:r w:rsidRPr="00C739EE">
        <w:rPr>
          <w:rFonts w:eastAsia="SimSun"/>
        </w:rPr>
        <w:t>Commission</w:t>
      </w:r>
      <w:r>
        <w:rPr>
          <w:rFonts w:eastAsia="SimSun"/>
        </w:rPr>
        <w:t>’</w:t>
      </w:r>
      <w:r w:rsidRPr="00C739EE">
        <w:rPr>
          <w:rFonts w:eastAsia="SimSun"/>
        </w:rPr>
        <w:t xml:space="preserve">s established practice for the recovery of commodity costs is to reflect in rates the actual commodity costs PSE has, or expects, to incur.  </w:t>
      </w:r>
      <w:r>
        <w:rPr>
          <w:rFonts w:eastAsia="SimSun"/>
        </w:rPr>
        <w:t>Therefore, u</w:t>
      </w:r>
      <w:r w:rsidRPr="00C739EE">
        <w:rPr>
          <w:rFonts w:eastAsia="SimSun"/>
        </w:rPr>
        <w:t xml:space="preserve">nrealized </w:t>
      </w:r>
      <w:r w:rsidRPr="00976AEB">
        <w:rPr>
          <w:rFonts w:eastAsia="SimSun"/>
        </w:rPr>
        <w:t xml:space="preserve">non-cash </w:t>
      </w:r>
      <w:r w:rsidRPr="00C739EE">
        <w:rPr>
          <w:rFonts w:eastAsia="SimSun"/>
        </w:rPr>
        <w:t>mark-to-market accounting gains or losses from marking derivatives to market as required by generally accepted accounting principles are not, and should not, be reflected in rates.</w:t>
      </w:r>
    </w:p>
    <w:p w:rsidR="0088373F" w:rsidRDefault="0088373F" w:rsidP="00774C7E">
      <w:pPr>
        <w:pStyle w:val="question"/>
        <w:keepNext/>
        <w:keepLines/>
        <w:rPr>
          <w:rFonts w:eastAsia="SimSun"/>
        </w:rPr>
      </w:pPr>
      <w:r>
        <w:rPr>
          <w:rFonts w:eastAsia="SimSun"/>
        </w:rPr>
        <w:t>Q.</w:t>
      </w:r>
      <w:r>
        <w:rPr>
          <w:rFonts w:eastAsia="SimSun"/>
        </w:rPr>
        <w:tab/>
        <w:t>What was PSE’s capital structure for the twelve months ending December 31, 2011?</w:t>
      </w:r>
    </w:p>
    <w:p w:rsidR="0088373F" w:rsidRDefault="0088373F" w:rsidP="00774C7E">
      <w:pPr>
        <w:pStyle w:val="answer"/>
        <w:rPr>
          <w:rFonts w:eastAsia="SimSun"/>
        </w:rPr>
      </w:pPr>
      <w:r w:rsidRPr="002C3969">
        <w:rPr>
          <w:rFonts w:eastAsia="SimSun"/>
        </w:rPr>
        <w:t>A.</w:t>
      </w:r>
      <w:r w:rsidRPr="002C3969">
        <w:rPr>
          <w:rFonts w:eastAsia="SimSun"/>
        </w:rPr>
        <w:tab/>
        <w:t>As shown below in Table</w:t>
      </w:r>
      <w:r>
        <w:rPr>
          <w:rFonts w:eastAsia="SimSun"/>
        </w:rPr>
        <w:t> 3 below</w:t>
      </w:r>
      <w:r w:rsidRPr="002C3969">
        <w:rPr>
          <w:rFonts w:eastAsia="SimSun"/>
        </w:rPr>
        <w:t>, PSE</w:t>
      </w:r>
      <w:r>
        <w:rPr>
          <w:rFonts w:eastAsia="SimSun"/>
        </w:rPr>
        <w:t>’</w:t>
      </w:r>
      <w:r w:rsidRPr="002C3969">
        <w:rPr>
          <w:rFonts w:eastAsia="SimSun"/>
        </w:rPr>
        <w:t>s</w:t>
      </w:r>
      <w:r>
        <w:rPr>
          <w:rFonts w:eastAsia="SimSun"/>
        </w:rPr>
        <w:t xml:space="preserve"> capital structure for the twelve months ending December 31, 2011, contained an equity component of 48.65 percent</w:t>
      </w:r>
      <w:r w:rsidRPr="002C3969">
        <w:rPr>
          <w:rFonts w:eastAsia="SimSun"/>
        </w:rPr>
        <w:t>.</w:t>
      </w:r>
      <w:r>
        <w:rPr>
          <w:rFonts w:eastAsia="SimSun"/>
        </w:rPr>
        <w:t xml:space="preserve">  </w:t>
      </w:r>
      <w:r w:rsidRPr="002C3969">
        <w:rPr>
          <w:rFonts w:eastAsia="SimSun"/>
        </w:rPr>
        <w:t xml:space="preserve">This </w:t>
      </w:r>
      <w:r>
        <w:rPr>
          <w:rFonts w:eastAsia="SimSun"/>
        </w:rPr>
        <w:t xml:space="preserve">equity component contained in this capital structure slightly exceeds </w:t>
      </w:r>
      <w:r w:rsidRPr="002C3969">
        <w:rPr>
          <w:rFonts w:eastAsia="SimSun"/>
        </w:rPr>
        <w:t xml:space="preserve">the </w:t>
      </w:r>
      <w:r>
        <w:rPr>
          <w:rFonts w:eastAsia="SimSun"/>
        </w:rPr>
        <w:t xml:space="preserve">equity component of 48 percent authorized in PSE’s </w:t>
      </w:r>
      <w:r w:rsidRPr="002C3969">
        <w:rPr>
          <w:rFonts w:eastAsia="SimSun"/>
        </w:rPr>
        <w:t>last rate proceeding.</w:t>
      </w:r>
    </w:p>
    <w:p w:rsidR="0088373F" w:rsidRPr="00AD45F2" w:rsidRDefault="0088373F" w:rsidP="00524437">
      <w:pPr>
        <w:pStyle w:val="answer"/>
        <w:keepNext/>
        <w:keepLines/>
        <w:spacing w:before="0" w:after="60" w:line="240" w:lineRule="auto"/>
        <w:ind w:left="0" w:firstLine="0"/>
        <w:jc w:val="center"/>
        <w:rPr>
          <w:rFonts w:eastAsia="SimSun"/>
          <w:b/>
        </w:rPr>
      </w:pPr>
      <w:r w:rsidRPr="00AD45F2">
        <w:rPr>
          <w:rFonts w:eastAsia="SimSun"/>
          <w:b/>
        </w:rPr>
        <w:t>Table </w:t>
      </w:r>
      <w:r>
        <w:rPr>
          <w:rFonts w:eastAsia="SimSun"/>
          <w:b/>
        </w:rPr>
        <w:t>3</w:t>
      </w:r>
      <w:r w:rsidRPr="00AD45F2">
        <w:rPr>
          <w:rFonts w:eastAsia="SimSun"/>
          <w:b/>
        </w:rPr>
        <w:t xml:space="preserve">.  PSE </w:t>
      </w:r>
      <w:r>
        <w:rPr>
          <w:rFonts w:eastAsia="SimSun"/>
          <w:b/>
        </w:rPr>
        <w:t>Capital Structure</w:t>
      </w:r>
      <w:r w:rsidRPr="00AD45F2">
        <w:rPr>
          <w:rFonts w:eastAsia="SimSun"/>
          <w:b/>
        </w:rPr>
        <w:br/>
        <w:t>(</w:t>
      </w:r>
      <w:r>
        <w:rPr>
          <w:rFonts w:eastAsia="SimSun"/>
          <w:b/>
        </w:rPr>
        <w:t>for the twelve months ending December 31, 2011</w:t>
      </w:r>
      <w:r w:rsidRPr="00AD45F2">
        <w:rPr>
          <w:rFonts w:eastAsia="SimSun"/>
          <w:b/>
        </w:rPr>
        <w:t>)</w:t>
      </w:r>
    </w:p>
    <w:tbl>
      <w:tblPr>
        <w:tblW w:w="0" w:type="auto"/>
        <w:jc w:val="center"/>
        <w:tblInd w:w="223" w:type="dxa"/>
        <w:tblLayout w:type="fixed"/>
        <w:tblLook w:val="00A0"/>
      </w:tblPr>
      <w:tblGrid>
        <w:gridCol w:w="2653"/>
        <w:gridCol w:w="1836"/>
        <w:gridCol w:w="1657"/>
      </w:tblGrid>
      <w:tr w:rsidR="0088373F" w:rsidRPr="001479DB" w:rsidTr="00485EA0">
        <w:trPr>
          <w:jc w:val="center"/>
        </w:trPr>
        <w:tc>
          <w:tcPr>
            <w:tcW w:w="2653"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Description</w:t>
            </w:r>
          </w:p>
        </w:tc>
        <w:tc>
          <w:tcPr>
            <w:tcW w:w="1836"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Amount</w:t>
            </w:r>
            <w:r w:rsidRPr="00485EA0">
              <w:rPr>
                <w:rFonts w:ascii="Times New Roman Bold" w:eastAsia="SimSun" w:hAnsi="Times New Roman Bold"/>
                <w:b/>
                <w:vertAlign w:val="superscript"/>
              </w:rPr>
              <w:t>a</w:t>
            </w:r>
          </w:p>
        </w:tc>
        <w:tc>
          <w:tcPr>
            <w:tcW w:w="1657"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Ratio</w:t>
            </w:r>
          </w:p>
        </w:tc>
      </w:tr>
      <w:tr w:rsidR="0088373F" w:rsidTr="00485EA0">
        <w:trPr>
          <w:jc w:val="center"/>
        </w:trPr>
        <w:tc>
          <w:tcPr>
            <w:tcW w:w="2653" w:type="dxa"/>
            <w:tcBorders>
              <w:top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Short-Term Debt</w:t>
            </w:r>
          </w:p>
        </w:tc>
        <w:tc>
          <w:tcPr>
            <w:tcW w:w="1836" w:type="dxa"/>
            <w:tcBorders>
              <w:top w:val="single" w:sz="4" w:space="0" w:color="000000"/>
            </w:tcBorders>
            <w:vAlign w:val="center"/>
          </w:tcPr>
          <w:p w:rsidR="0088373F"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$159,106,118</w:t>
            </w:r>
          </w:p>
        </w:tc>
        <w:tc>
          <w:tcPr>
            <w:tcW w:w="1657"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4.39%</w:t>
            </w:r>
          </w:p>
        </w:tc>
      </w:tr>
      <w:tr w:rsidR="0088373F" w:rsidTr="00485EA0">
        <w:trPr>
          <w:jc w:val="center"/>
        </w:trPr>
        <w:tc>
          <w:tcPr>
            <w:tcW w:w="2653"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Long-Term Debt</w:t>
            </w:r>
          </w:p>
        </w:tc>
        <w:tc>
          <w:tcPr>
            <w:tcW w:w="1836"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$3,509,682,195</w:t>
            </w:r>
          </w:p>
        </w:tc>
        <w:tc>
          <w:tcPr>
            <w:tcW w:w="1657"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49.12%</w:t>
            </w:r>
          </w:p>
        </w:tc>
      </w:tr>
      <w:tr w:rsidR="0088373F" w:rsidTr="00485EA0">
        <w:trPr>
          <w:jc w:val="center"/>
        </w:trPr>
        <w:tc>
          <w:tcPr>
            <w:tcW w:w="2653"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Common Stock</w:t>
            </w:r>
          </w:p>
        </w:tc>
        <w:tc>
          <w:tcPr>
            <w:tcW w:w="1836"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$3,476,036,691</w:t>
            </w:r>
          </w:p>
        </w:tc>
        <w:tc>
          <w:tcPr>
            <w:tcW w:w="1657"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48.65%</w:t>
            </w:r>
          </w:p>
        </w:tc>
      </w:tr>
      <w:tr w:rsidR="0088373F" w:rsidTr="00485EA0">
        <w:trPr>
          <w:jc w:val="center"/>
        </w:trPr>
        <w:tc>
          <w:tcPr>
            <w:tcW w:w="2653" w:type="dxa"/>
            <w:tcBorders>
              <w:bottom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Total</w:t>
            </w:r>
          </w:p>
        </w:tc>
        <w:tc>
          <w:tcPr>
            <w:tcW w:w="1836"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$7,144,825,004</w:t>
            </w:r>
          </w:p>
        </w:tc>
        <w:tc>
          <w:tcPr>
            <w:tcW w:w="1657"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100.00%</w:t>
            </w:r>
          </w:p>
        </w:tc>
      </w:tr>
      <w:tr w:rsidR="0088373F" w:rsidTr="00485EA0">
        <w:trPr>
          <w:jc w:val="center"/>
        </w:trPr>
        <w:tc>
          <w:tcPr>
            <w:tcW w:w="6146" w:type="dxa"/>
            <w:gridSpan w:val="3"/>
            <w:tcBorders>
              <w:top w:val="single" w:sz="4" w:space="0" w:color="000000"/>
            </w:tcBorders>
          </w:tcPr>
          <w:p w:rsidR="0088373F" w:rsidRPr="00442A6A" w:rsidRDefault="0088373F" w:rsidP="003419E3">
            <w:pPr>
              <w:pStyle w:val="answer"/>
              <w:spacing w:before="60" w:afterLines="60" w:line="240" w:lineRule="auto"/>
              <w:ind w:left="0" w:firstLine="0"/>
              <w:rPr>
                <w:rFonts w:ascii="Times New Roman" w:eastAsia="SimSun" w:hAnsi="Times New Roman"/>
              </w:rPr>
            </w:pPr>
            <w:r w:rsidRPr="00485EA0">
              <w:rPr>
                <w:rFonts w:ascii="Times New Roman Bold" w:eastAsia="SimSun" w:hAnsi="Times New Roman Bold"/>
                <w:vertAlign w:val="superscript"/>
              </w:rPr>
              <w:t>a</w:t>
            </w:r>
            <w:r w:rsidRPr="00442A6A">
              <w:rPr>
                <w:rFonts w:ascii="Times New Roman" w:eastAsia="SimSun" w:hAnsi="Times New Roman"/>
              </w:rPr>
              <w:t>Average of Month-End Balances</w:t>
            </w:r>
          </w:p>
        </w:tc>
      </w:tr>
    </w:tbl>
    <w:p w:rsidR="0088373F" w:rsidRDefault="0088373F" w:rsidP="00CB5EA7">
      <w:pPr>
        <w:pStyle w:val="answer"/>
        <w:spacing w:before="360"/>
        <w:ind w:firstLine="0"/>
        <w:rPr>
          <w:rFonts w:eastAsia="SimSun"/>
        </w:rPr>
      </w:pPr>
      <w:r>
        <w:rPr>
          <w:rFonts w:eastAsia="SimSun"/>
        </w:rPr>
        <w:t>This is the same capital structure presented in Exhibit No. ___(KJB-7) at page 3.</w:t>
      </w:r>
    </w:p>
    <w:p w:rsidR="0088373F" w:rsidRDefault="0088373F" w:rsidP="00CB2FDA">
      <w:pPr>
        <w:pStyle w:val="question"/>
        <w:keepNext/>
        <w:keepLines/>
        <w:rPr>
          <w:rFonts w:eastAsia="SimSun"/>
        </w:rPr>
      </w:pPr>
      <w:r>
        <w:rPr>
          <w:rFonts w:eastAsia="SimSun"/>
        </w:rPr>
        <w:t>Q.</w:t>
      </w:r>
      <w:r>
        <w:rPr>
          <w:rFonts w:eastAsia="SimSun"/>
        </w:rPr>
        <w:tab/>
        <w:t>What was PSE’s capital structure for the twelve months ending December 31, 2012?</w:t>
      </w:r>
    </w:p>
    <w:p w:rsidR="0088373F" w:rsidRDefault="0088373F" w:rsidP="00CB2FDA">
      <w:pPr>
        <w:pStyle w:val="answer"/>
        <w:rPr>
          <w:rFonts w:eastAsia="SimSun"/>
        </w:rPr>
      </w:pPr>
      <w:r w:rsidRPr="002C3969">
        <w:rPr>
          <w:rFonts w:eastAsia="SimSun"/>
        </w:rPr>
        <w:t>A.</w:t>
      </w:r>
      <w:r w:rsidRPr="002C3969">
        <w:rPr>
          <w:rFonts w:eastAsia="SimSun"/>
        </w:rPr>
        <w:tab/>
        <w:t>As shown below in Table</w:t>
      </w:r>
      <w:r>
        <w:rPr>
          <w:rFonts w:eastAsia="SimSun"/>
        </w:rPr>
        <w:t> 4 below</w:t>
      </w:r>
      <w:r w:rsidRPr="002C3969">
        <w:rPr>
          <w:rFonts w:eastAsia="SimSun"/>
        </w:rPr>
        <w:t>, PSE</w:t>
      </w:r>
      <w:r>
        <w:rPr>
          <w:rFonts w:eastAsia="SimSun"/>
        </w:rPr>
        <w:t>’</w:t>
      </w:r>
      <w:r w:rsidRPr="002C3969">
        <w:rPr>
          <w:rFonts w:eastAsia="SimSun"/>
        </w:rPr>
        <w:t>s</w:t>
      </w:r>
      <w:r>
        <w:rPr>
          <w:rFonts w:eastAsia="SimSun"/>
        </w:rPr>
        <w:t xml:space="preserve"> capital structure for the twelve months ending December 31, 2012, contained an equity component of 48.65 percent</w:t>
      </w:r>
      <w:r w:rsidRPr="002C3969">
        <w:rPr>
          <w:rFonts w:eastAsia="SimSun"/>
        </w:rPr>
        <w:t>.</w:t>
      </w:r>
    </w:p>
    <w:p w:rsidR="0088373F" w:rsidRPr="00AD45F2" w:rsidRDefault="0088373F" w:rsidP="00CB2FDA">
      <w:pPr>
        <w:pStyle w:val="answer"/>
        <w:keepNext/>
        <w:keepLines/>
        <w:spacing w:before="0" w:after="60" w:line="240" w:lineRule="auto"/>
        <w:ind w:left="0" w:firstLine="0"/>
        <w:jc w:val="center"/>
        <w:rPr>
          <w:rFonts w:eastAsia="SimSun"/>
          <w:b/>
        </w:rPr>
      </w:pPr>
      <w:r w:rsidRPr="00AD45F2">
        <w:rPr>
          <w:rFonts w:eastAsia="SimSun"/>
          <w:b/>
        </w:rPr>
        <w:t>Table </w:t>
      </w:r>
      <w:r>
        <w:rPr>
          <w:rFonts w:eastAsia="SimSun"/>
          <w:b/>
        </w:rPr>
        <w:t>4</w:t>
      </w:r>
      <w:r w:rsidRPr="00AD45F2">
        <w:rPr>
          <w:rFonts w:eastAsia="SimSun"/>
          <w:b/>
        </w:rPr>
        <w:t xml:space="preserve">.  PSE </w:t>
      </w:r>
      <w:r>
        <w:rPr>
          <w:rFonts w:eastAsia="SimSun"/>
          <w:b/>
        </w:rPr>
        <w:t>Capital Structure</w:t>
      </w:r>
      <w:r w:rsidRPr="00AD45F2">
        <w:rPr>
          <w:rFonts w:eastAsia="SimSun"/>
          <w:b/>
        </w:rPr>
        <w:br/>
        <w:t>(</w:t>
      </w:r>
      <w:r>
        <w:rPr>
          <w:rFonts w:eastAsia="SimSun"/>
          <w:b/>
        </w:rPr>
        <w:t>for the twelve months ending December 31, 2012</w:t>
      </w:r>
      <w:r w:rsidRPr="00AD45F2">
        <w:rPr>
          <w:rFonts w:eastAsia="SimSun"/>
          <w:b/>
        </w:rPr>
        <w:t>)</w:t>
      </w:r>
    </w:p>
    <w:tbl>
      <w:tblPr>
        <w:tblW w:w="0" w:type="auto"/>
        <w:jc w:val="center"/>
        <w:tblInd w:w="223" w:type="dxa"/>
        <w:tblLayout w:type="fixed"/>
        <w:tblLook w:val="00A0"/>
      </w:tblPr>
      <w:tblGrid>
        <w:gridCol w:w="2653"/>
        <w:gridCol w:w="1836"/>
        <w:gridCol w:w="1657"/>
      </w:tblGrid>
      <w:tr w:rsidR="0088373F" w:rsidRPr="001479DB" w:rsidTr="005B5DE1">
        <w:trPr>
          <w:jc w:val="center"/>
        </w:trPr>
        <w:tc>
          <w:tcPr>
            <w:tcW w:w="2653" w:type="dxa"/>
            <w:tcBorders>
              <w:bottom w:val="single" w:sz="4" w:space="0" w:color="000000"/>
            </w:tcBorders>
            <w:vAlign w:val="bottom"/>
          </w:tcPr>
          <w:p w:rsidR="0088373F" w:rsidRPr="00442A6A" w:rsidRDefault="0088373F" w:rsidP="005B5DE1">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Description</w:t>
            </w:r>
          </w:p>
        </w:tc>
        <w:tc>
          <w:tcPr>
            <w:tcW w:w="1836" w:type="dxa"/>
            <w:tcBorders>
              <w:bottom w:val="single" w:sz="4" w:space="0" w:color="000000"/>
            </w:tcBorders>
            <w:vAlign w:val="bottom"/>
          </w:tcPr>
          <w:p w:rsidR="0088373F" w:rsidRPr="00442A6A" w:rsidRDefault="0088373F" w:rsidP="005B5DE1">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Amount</w:t>
            </w:r>
            <w:r w:rsidRPr="00485EA0">
              <w:rPr>
                <w:rFonts w:ascii="Times New Roman Bold" w:eastAsia="SimSun" w:hAnsi="Times New Roman Bold"/>
                <w:b/>
                <w:vertAlign w:val="superscript"/>
              </w:rPr>
              <w:t>a</w:t>
            </w:r>
          </w:p>
        </w:tc>
        <w:tc>
          <w:tcPr>
            <w:tcW w:w="1657" w:type="dxa"/>
            <w:tcBorders>
              <w:bottom w:val="single" w:sz="4" w:space="0" w:color="000000"/>
            </w:tcBorders>
            <w:vAlign w:val="bottom"/>
          </w:tcPr>
          <w:p w:rsidR="0088373F" w:rsidRPr="00442A6A" w:rsidRDefault="0088373F" w:rsidP="005B5DE1">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Ratio</w:t>
            </w:r>
          </w:p>
        </w:tc>
      </w:tr>
      <w:tr w:rsidR="0088373F" w:rsidTr="005B5DE1">
        <w:trPr>
          <w:jc w:val="center"/>
        </w:trPr>
        <w:tc>
          <w:tcPr>
            <w:tcW w:w="2653" w:type="dxa"/>
            <w:tcBorders>
              <w:top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Short-Term Debt</w:t>
            </w:r>
          </w:p>
        </w:tc>
        <w:tc>
          <w:tcPr>
            <w:tcW w:w="1836"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r>
              <w:rPr>
                <w:rFonts w:ascii="Times New Roman" w:eastAsia="SimSun" w:hAnsi="Times New Roman"/>
              </w:rPr>
              <w:t>94</w:t>
            </w:r>
            <w:r w:rsidRPr="00442A6A">
              <w:rPr>
                <w:rFonts w:ascii="Times New Roman" w:eastAsia="SimSun" w:hAnsi="Times New Roman"/>
              </w:rPr>
              <w:t>,</w:t>
            </w:r>
            <w:r>
              <w:rPr>
                <w:rFonts w:ascii="Times New Roman" w:eastAsia="SimSun" w:hAnsi="Times New Roman"/>
              </w:rPr>
              <w:t>047</w:t>
            </w:r>
            <w:r w:rsidRPr="00442A6A">
              <w:rPr>
                <w:rFonts w:ascii="Times New Roman" w:eastAsia="SimSun" w:hAnsi="Times New Roman"/>
              </w:rPr>
              <w:t>,</w:t>
            </w:r>
            <w:r>
              <w:rPr>
                <w:rFonts w:ascii="Times New Roman" w:eastAsia="SimSun" w:hAnsi="Times New Roman"/>
              </w:rPr>
              <w:t>784</w:t>
            </w:r>
          </w:p>
        </w:tc>
        <w:tc>
          <w:tcPr>
            <w:tcW w:w="1657"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Pr>
                <w:rFonts w:ascii="Times New Roman" w:eastAsia="SimSun" w:hAnsi="Times New Roman"/>
              </w:rPr>
              <w:t>1</w:t>
            </w:r>
            <w:r w:rsidRPr="00442A6A">
              <w:rPr>
                <w:rFonts w:ascii="Times New Roman" w:eastAsia="SimSun" w:hAnsi="Times New Roman"/>
              </w:rPr>
              <w:t>.</w:t>
            </w:r>
            <w:r>
              <w:rPr>
                <w:rFonts w:ascii="Times New Roman" w:eastAsia="SimSun" w:hAnsi="Times New Roman"/>
              </w:rPr>
              <w:t>26</w:t>
            </w:r>
            <w:r w:rsidRPr="00442A6A">
              <w:rPr>
                <w:rFonts w:ascii="Times New Roman" w:eastAsia="SimSun" w:hAnsi="Times New Roman"/>
              </w:rPr>
              <w:t>%</w:t>
            </w:r>
          </w:p>
        </w:tc>
      </w:tr>
      <w:tr w:rsidR="0088373F" w:rsidTr="005B5DE1">
        <w:trPr>
          <w:jc w:val="center"/>
        </w:trPr>
        <w:tc>
          <w:tcPr>
            <w:tcW w:w="2653"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Long-Term Debt</w:t>
            </w:r>
          </w:p>
        </w:tc>
        <w:tc>
          <w:tcPr>
            <w:tcW w:w="1836"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w:t>
            </w:r>
            <w:r>
              <w:rPr>
                <w:rFonts w:ascii="Times New Roman" w:eastAsia="SimSun" w:hAnsi="Times New Roman"/>
              </w:rPr>
              <w:t>773</w:t>
            </w:r>
            <w:r w:rsidRPr="00442A6A">
              <w:rPr>
                <w:rFonts w:ascii="Times New Roman" w:eastAsia="SimSun" w:hAnsi="Times New Roman"/>
              </w:rPr>
              <w:t>,</w:t>
            </w:r>
            <w:r>
              <w:rPr>
                <w:rFonts w:ascii="Times New Roman" w:eastAsia="SimSun" w:hAnsi="Times New Roman"/>
              </w:rPr>
              <w:t>845</w:t>
            </w:r>
            <w:r w:rsidRPr="00442A6A">
              <w:rPr>
                <w:rFonts w:ascii="Times New Roman" w:eastAsia="SimSun" w:hAnsi="Times New Roman"/>
              </w:rPr>
              <w:t>,</w:t>
            </w:r>
            <w:r>
              <w:rPr>
                <w:rFonts w:ascii="Times New Roman" w:eastAsia="SimSun" w:hAnsi="Times New Roman"/>
              </w:rPr>
              <w:t>605</w:t>
            </w:r>
          </w:p>
        </w:tc>
        <w:tc>
          <w:tcPr>
            <w:tcW w:w="1657"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Pr>
                <w:rFonts w:ascii="Times New Roman" w:eastAsia="SimSun" w:hAnsi="Times New Roman"/>
              </w:rPr>
              <w:t>50</w:t>
            </w:r>
            <w:r w:rsidRPr="00442A6A">
              <w:rPr>
                <w:rFonts w:ascii="Times New Roman" w:eastAsia="SimSun" w:hAnsi="Times New Roman"/>
              </w:rPr>
              <w:t>.</w:t>
            </w:r>
            <w:r>
              <w:rPr>
                <w:rFonts w:ascii="Times New Roman" w:eastAsia="SimSun" w:hAnsi="Times New Roman"/>
              </w:rPr>
              <w:t>44</w:t>
            </w:r>
            <w:r w:rsidRPr="00442A6A">
              <w:rPr>
                <w:rFonts w:ascii="Times New Roman" w:eastAsia="SimSun" w:hAnsi="Times New Roman"/>
              </w:rPr>
              <w:t>%</w:t>
            </w:r>
          </w:p>
        </w:tc>
      </w:tr>
      <w:tr w:rsidR="0088373F" w:rsidTr="005B5DE1">
        <w:trPr>
          <w:jc w:val="center"/>
        </w:trPr>
        <w:tc>
          <w:tcPr>
            <w:tcW w:w="2653"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Common Stock</w:t>
            </w:r>
          </w:p>
        </w:tc>
        <w:tc>
          <w:tcPr>
            <w:tcW w:w="1836"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w:t>
            </w:r>
            <w:r>
              <w:rPr>
                <w:rFonts w:ascii="Times New Roman" w:eastAsia="SimSun" w:hAnsi="Times New Roman"/>
              </w:rPr>
              <w:t>613</w:t>
            </w:r>
            <w:r w:rsidRPr="00442A6A">
              <w:rPr>
                <w:rFonts w:ascii="Times New Roman" w:eastAsia="SimSun" w:hAnsi="Times New Roman"/>
              </w:rPr>
              <w:t>,</w:t>
            </w:r>
            <w:r>
              <w:rPr>
                <w:rFonts w:ascii="Times New Roman" w:eastAsia="SimSun" w:hAnsi="Times New Roman"/>
              </w:rPr>
              <w:t>954</w:t>
            </w:r>
            <w:r w:rsidRPr="00442A6A">
              <w:rPr>
                <w:rFonts w:ascii="Times New Roman" w:eastAsia="SimSun" w:hAnsi="Times New Roman"/>
              </w:rPr>
              <w:t>,</w:t>
            </w:r>
            <w:r>
              <w:rPr>
                <w:rFonts w:ascii="Times New Roman" w:eastAsia="SimSun" w:hAnsi="Times New Roman"/>
              </w:rPr>
              <w:t>006</w:t>
            </w:r>
          </w:p>
        </w:tc>
        <w:tc>
          <w:tcPr>
            <w:tcW w:w="1657"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48.</w:t>
            </w:r>
            <w:r>
              <w:rPr>
                <w:rFonts w:ascii="Times New Roman" w:eastAsia="SimSun" w:hAnsi="Times New Roman"/>
              </w:rPr>
              <w:t>30</w:t>
            </w:r>
            <w:r w:rsidRPr="00442A6A">
              <w:rPr>
                <w:rFonts w:ascii="Times New Roman" w:eastAsia="SimSun" w:hAnsi="Times New Roman"/>
              </w:rPr>
              <w:t>%</w:t>
            </w:r>
          </w:p>
        </w:tc>
      </w:tr>
      <w:tr w:rsidR="0088373F" w:rsidTr="005B5DE1">
        <w:trPr>
          <w:jc w:val="center"/>
        </w:trPr>
        <w:tc>
          <w:tcPr>
            <w:tcW w:w="2653" w:type="dxa"/>
            <w:tcBorders>
              <w:bottom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Total</w:t>
            </w:r>
          </w:p>
        </w:tc>
        <w:tc>
          <w:tcPr>
            <w:tcW w:w="1836"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$7,</w:t>
            </w:r>
            <w:r>
              <w:rPr>
                <w:rFonts w:ascii="Times New Roman" w:eastAsia="SimSun" w:hAnsi="Times New Roman"/>
              </w:rPr>
              <w:t>481</w:t>
            </w:r>
            <w:r w:rsidRPr="00442A6A">
              <w:rPr>
                <w:rFonts w:ascii="Times New Roman" w:eastAsia="SimSun" w:hAnsi="Times New Roman"/>
              </w:rPr>
              <w:t>,</w:t>
            </w:r>
            <w:r>
              <w:rPr>
                <w:rFonts w:ascii="Times New Roman" w:eastAsia="SimSun" w:hAnsi="Times New Roman"/>
              </w:rPr>
              <w:t>847</w:t>
            </w:r>
            <w:r w:rsidRPr="00442A6A">
              <w:rPr>
                <w:rFonts w:ascii="Times New Roman" w:eastAsia="SimSun" w:hAnsi="Times New Roman"/>
              </w:rPr>
              <w:t>,</w:t>
            </w:r>
            <w:r>
              <w:rPr>
                <w:rFonts w:ascii="Times New Roman" w:eastAsia="SimSun" w:hAnsi="Times New Roman"/>
              </w:rPr>
              <w:t>395</w:t>
            </w:r>
          </w:p>
        </w:tc>
        <w:tc>
          <w:tcPr>
            <w:tcW w:w="1657"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100.00%</w:t>
            </w:r>
          </w:p>
        </w:tc>
      </w:tr>
      <w:tr w:rsidR="0088373F" w:rsidTr="005B5DE1">
        <w:trPr>
          <w:jc w:val="center"/>
        </w:trPr>
        <w:tc>
          <w:tcPr>
            <w:tcW w:w="6146" w:type="dxa"/>
            <w:gridSpan w:val="3"/>
            <w:tcBorders>
              <w:top w:val="single" w:sz="4" w:space="0" w:color="000000"/>
            </w:tcBorders>
          </w:tcPr>
          <w:p w:rsidR="0088373F" w:rsidRPr="00442A6A" w:rsidRDefault="0088373F" w:rsidP="003419E3">
            <w:pPr>
              <w:pStyle w:val="answer"/>
              <w:spacing w:before="60" w:afterLines="60" w:line="240" w:lineRule="auto"/>
              <w:ind w:left="0" w:firstLine="0"/>
              <w:rPr>
                <w:rFonts w:ascii="Times New Roman" w:eastAsia="SimSun" w:hAnsi="Times New Roman"/>
              </w:rPr>
            </w:pPr>
            <w:r w:rsidRPr="00485EA0">
              <w:rPr>
                <w:rFonts w:ascii="Times New Roman Bold" w:eastAsia="SimSun" w:hAnsi="Times New Roman Bold"/>
                <w:vertAlign w:val="superscript"/>
              </w:rPr>
              <w:t>a</w:t>
            </w:r>
            <w:r w:rsidRPr="00442A6A">
              <w:rPr>
                <w:rFonts w:ascii="Times New Roman" w:eastAsia="SimSun" w:hAnsi="Times New Roman"/>
              </w:rPr>
              <w:t>Average of Month-End Balances</w:t>
            </w:r>
          </w:p>
        </w:tc>
      </w:tr>
    </w:tbl>
    <w:p w:rsidR="0088373F" w:rsidRDefault="0088373F" w:rsidP="00CB2FDA">
      <w:pPr>
        <w:pStyle w:val="answer"/>
        <w:spacing w:before="360"/>
        <w:ind w:firstLine="0"/>
        <w:rPr>
          <w:rFonts w:eastAsia="SimSun"/>
        </w:rPr>
      </w:pPr>
      <w:r w:rsidRPr="002C3969">
        <w:rPr>
          <w:rFonts w:eastAsia="SimSun"/>
        </w:rPr>
        <w:t xml:space="preserve">This </w:t>
      </w:r>
      <w:r>
        <w:rPr>
          <w:rFonts w:eastAsia="SimSun"/>
        </w:rPr>
        <w:t xml:space="preserve">equity component contained in this capital structure slightly exceeds </w:t>
      </w:r>
      <w:r w:rsidRPr="002C3969">
        <w:rPr>
          <w:rFonts w:eastAsia="SimSun"/>
        </w:rPr>
        <w:t xml:space="preserve">the </w:t>
      </w:r>
      <w:r>
        <w:rPr>
          <w:rFonts w:eastAsia="SimSun"/>
        </w:rPr>
        <w:t xml:space="preserve">equity component of 48 percent authorized in PSE’s </w:t>
      </w:r>
      <w:r w:rsidRPr="002C3969">
        <w:rPr>
          <w:rFonts w:eastAsia="SimSun"/>
        </w:rPr>
        <w:t>last rate proceeding.</w:t>
      </w:r>
    </w:p>
    <w:p w:rsidR="0088373F" w:rsidRDefault="0088373F" w:rsidP="00CB5EA7">
      <w:pPr>
        <w:pStyle w:val="question"/>
        <w:keepNext/>
        <w:keepLines/>
        <w:rPr>
          <w:rFonts w:eastAsia="SimSun"/>
        </w:rPr>
      </w:pPr>
      <w:r>
        <w:rPr>
          <w:rFonts w:eastAsia="SimSun"/>
        </w:rPr>
        <w:t>Q.</w:t>
      </w:r>
      <w:r>
        <w:rPr>
          <w:rFonts w:eastAsia="SimSun"/>
        </w:rPr>
        <w:tab/>
        <w:t>Is there a “mismatch” between the common equity presented on page 3 of Exhibit No. ___</w:t>
      </w:r>
      <w:r w:rsidRPr="00467BEB">
        <w:rPr>
          <w:rFonts w:eastAsia="SimSun"/>
        </w:rPr>
        <w:t>(KJB-7) and the common equity presented on page 8 of th</w:t>
      </w:r>
      <w:r>
        <w:rPr>
          <w:rFonts w:eastAsia="SimSun"/>
        </w:rPr>
        <w:t>e</w:t>
      </w:r>
      <w:r w:rsidRPr="00467BEB">
        <w:rPr>
          <w:rFonts w:eastAsia="SimSun"/>
        </w:rPr>
        <w:t xml:space="preserve"> same exhibit</w:t>
      </w:r>
      <w:r>
        <w:rPr>
          <w:rFonts w:eastAsia="SimSun"/>
        </w:rPr>
        <w:t>, as ICNU claims?</w:t>
      </w:r>
    </w:p>
    <w:p w:rsidR="0088373F" w:rsidRDefault="0088373F" w:rsidP="00CB5EA7">
      <w:pPr>
        <w:pStyle w:val="answer"/>
        <w:rPr>
          <w:rFonts w:eastAsia="SimSun"/>
        </w:rPr>
      </w:pPr>
      <w:r w:rsidRPr="002C3969">
        <w:rPr>
          <w:rFonts w:eastAsia="SimSun"/>
        </w:rPr>
        <w:t>A.</w:t>
      </w:r>
      <w:r w:rsidRPr="002C3969">
        <w:rPr>
          <w:rFonts w:eastAsia="SimSun"/>
        </w:rPr>
        <w:tab/>
      </w:r>
      <w:r>
        <w:rPr>
          <w:rFonts w:eastAsia="SimSun"/>
        </w:rPr>
        <w:t>The common equity presented on page 3 of Exhibit No. ___</w:t>
      </w:r>
      <w:r w:rsidRPr="00467BEB">
        <w:rPr>
          <w:rFonts w:eastAsia="SimSun"/>
        </w:rPr>
        <w:t xml:space="preserve">(KJB-7) </w:t>
      </w:r>
      <w:r>
        <w:rPr>
          <w:rFonts w:eastAsia="SimSun"/>
        </w:rPr>
        <w:t xml:space="preserve">is different from the </w:t>
      </w:r>
      <w:r w:rsidRPr="00467BEB">
        <w:rPr>
          <w:rFonts w:eastAsia="SimSun"/>
        </w:rPr>
        <w:t>common equity presented on page 8 of th</w:t>
      </w:r>
      <w:r>
        <w:rPr>
          <w:rFonts w:eastAsia="SimSun"/>
        </w:rPr>
        <w:t>e</w:t>
      </w:r>
      <w:r w:rsidRPr="00467BEB">
        <w:rPr>
          <w:rFonts w:eastAsia="SimSun"/>
        </w:rPr>
        <w:t xml:space="preserve"> same exhibit</w:t>
      </w:r>
      <w:r w:rsidRPr="002C3969">
        <w:rPr>
          <w:rFonts w:eastAsia="SimSun"/>
        </w:rPr>
        <w:t>.</w:t>
      </w:r>
      <w:r>
        <w:rPr>
          <w:rFonts w:eastAsia="SimSun"/>
        </w:rPr>
        <w:t xml:space="preserve">  Specifically, the common equity presented on page 3 of Exhibit No. ___(KJB-7) is </w:t>
      </w:r>
      <w:r w:rsidRPr="002C3969">
        <w:rPr>
          <w:rFonts w:eastAsia="SimSun"/>
        </w:rPr>
        <w:t>$3,476 million of common equity at year-end 2011</w:t>
      </w:r>
      <w:r>
        <w:rPr>
          <w:rFonts w:eastAsia="SimSun"/>
        </w:rPr>
        <w:t xml:space="preserve">, and the common equity presented on page 8 of Exhibit No. ___(KJB-7) is </w:t>
      </w:r>
      <w:r w:rsidRPr="002C3969">
        <w:rPr>
          <w:rFonts w:eastAsia="SimSun"/>
        </w:rPr>
        <w:t>$3,</w:t>
      </w:r>
      <w:r>
        <w:rPr>
          <w:rFonts w:eastAsia="SimSun"/>
        </w:rPr>
        <w:t>220</w:t>
      </w:r>
      <w:r w:rsidRPr="002C3969">
        <w:rPr>
          <w:rFonts w:eastAsia="SimSun"/>
        </w:rPr>
        <w:t xml:space="preserve"> million of common equity at year-end 2011.</w:t>
      </w:r>
    </w:p>
    <w:p w:rsidR="0088373F" w:rsidRDefault="0088373F" w:rsidP="00467BEB">
      <w:pPr>
        <w:pStyle w:val="answer"/>
        <w:ind w:firstLine="0"/>
        <w:rPr>
          <w:rFonts w:eastAsia="SimSun"/>
        </w:rPr>
      </w:pPr>
      <w:r>
        <w:rPr>
          <w:rFonts w:eastAsia="SimSun"/>
        </w:rPr>
        <w:t>The differences between these two common equity amounts, however, explicitly illustrate the importance of the adjustments made by PSE—and accepted by this Commission—in calculating the appropriate capital structure for ratemaking purposes.  The amounts presented on page 3 of Exhibit No. ___(KJB-7) have been adjusted to reflect the appropriate capital structure for ratemaking purposes, whereas the amounts presented on page 8 of Exhibit No. ___(KJB-7) are in FERC accounts and have not been so adjusted.  As pointed out by ICNU, the difference between these two amounts (</w:t>
      </w:r>
      <w:r w:rsidRPr="00DD2F0E">
        <w:rPr>
          <w:rFonts w:eastAsia="SimSun"/>
        </w:rPr>
        <w:t>$255.8</w:t>
      </w:r>
      <w:r>
        <w:rPr>
          <w:rFonts w:eastAsia="SimSun"/>
        </w:rPr>
        <w:t> </w:t>
      </w:r>
      <w:r w:rsidRPr="00DD2F0E">
        <w:rPr>
          <w:rFonts w:eastAsia="SimSun"/>
        </w:rPr>
        <w:t>million</w:t>
      </w:r>
      <w:r>
        <w:rPr>
          <w:rFonts w:eastAsia="SimSun"/>
        </w:rPr>
        <w:t>) is material and largely accounts for the differences between the capital structures presented by PSE and ICNU.</w:t>
      </w:r>
    </w:p>
    <w:p w:rsidR="0088373F" w:rsidRPr="0068599B" w:rsidRDefault="0088373F" w:rsidP="00F05AA5">
      <w:pPr>
        <w:pStyle w:val="Heading1"/>
        <w:spacing w:after="360" w:line="240" w:lineRule="auto"/>
        <w:rPr>
          <w:rFonts w:eastAsia="SimSun"/>
        </w:rPr>
      </w:pPr>
      <w:bookmarkStart w:id="11" w:name="_Toc355779800"/>
      <w:r>
        <w:rPr>
          <w:rFonts w:eastAsia="SimSun"/>
        </w:rPr>
        <w:t>IV</w:t>
      </w:r>
      <w:r w:rsidRPr="009075DC">
        <w:rPr>
          <w:rFonts w:eastAsia="SimSun"/>
        </w:rPr>
        <w:t>.</w:t>
      </w:r>
      <w:r w:rsidRPr="009075DC">
        <w:rPr>
          <w:rFonts w:eastAsia="SimSun"/>
        </w:rPr>
        <w:tab/>
      </w:r>
      <w:r>
        <w:rPr>
          <w:rFonts w:eastAsia="SimSun"/>
        </w:rPr>
        <w:t>ICNU MISINTERPRETS CERTAIN INFORMATION REGARDING PUGET ENERGY AND PSE</w:t>
      </w:r>
      <w:bookmarkEnd w:id="11"/>
    </w:p>
    <w:p w:rsidR="0088373F" w:rsidRPr="002C3969" w:rsidRDefault="0088373F" w:rsidP="00F05AA5">
      <w:pPr>
        <w:pStyle w:val="Heading2"/>
        <w:rPr>
          <w:rFonts w:eastAsia="SimSun"/>
        </w:rPr>
      </w:pPr>
      <w:bookmarkStart w:id="12" w:name="_Toc355779801"/>
      <w:r>
        <w:rPr>
          <w:rFonts w:eastAsia="SimSun"/>
        </w:rPr>
        <w:t>A.</w:t>
      </w:r>
      <w:r>
        <w:rPr>
          <w:rFonts w:eastAsia="SimSun"/>
        </w:rPr>
        <w:tab/>
        <w:t>ICNU Incorrectly Asserts that PSE’s Operating Return on Equity in Calendar Year 2012 Was 10.75 Percent</w:t>
      </w:r>
      <w:bookmarkEnd w:id="12"/>
    </w:p>
    <w:p w:rsidR="0088373F" w:rsidRPr="002C3969" w:rsidRDefault="0088373F" w:rsidP="00F05AA5">
      <w:pPr>
        <w:pStyle w:val="question"/>
        <w:keepNext/>
        <w:keepLines/>
      </w:pPr>
      <w:r>
        <w:rPr>
          <w:rFonts w:eastAsia="SimSun"/>
        </w:rPr>
        <w:t>Q.</w:t>
      </w:r>
      <w:r>
        <w:rPr>
          <w:rFonts w:eastAsia="SimSun"/>
        </w:rPr>
        <w:tab/>
        <w:t>How do you respond to ICNU’s claim that PSE’s return on equity in calendar year 2012 was 10.75 percent?</w:t>
      </w:r>
    </w:p>
    <w:p w:rsidR="0088373F" w:rsidRDefault="0088373F" w:rsidP="00F05AA5">
      <w:pPr>
        <w:pStyle w:val="answer"/>
        <w:rPr>
          <w:rFonts w:eastAsia="SimSun"/>
        </w:rPr>
      </w:pPr>
      <w:r w:rsidRPr="002C3969">
        <w:rPr>
          <w:rFonts w:eastAsia="SimSun"/>
        </w:rPr>
        <w:t>A.</w:t>
      </w:r>
      <w:r w:rsidRPr="002C3969">
        <w:rPr>
          <w:rFonts w:eastAsia="SimSun"/>
        </w:rPr>
        <w:tab/>
      </w:r>
      <w:r>
        <w:rPr>
          <w:rFonts w:eastAsia="SimSun"/>
        </w:rPr>
        <w:t>PSE disagrees with ICNU’s calculation of the return on equity.  ICNU’s calculation fails to make the following adjustments to the calculated return on equity necessary to reflect the regulated nature of PSE’s operations:</w:t>
      </w:r>
    </w:p>
    <w:p w:rsidR="0088373F" w:rsidRDefault="0088373F" w:rsidP="00C5579B">
      <w:pPr>
        <w:pStyle w:val="answer"/>
        <w:numPr>
          <w:ilvl w:val="0"/>
          <w:numId w:val="25"/>
        </w:numPr>
        <w:spacing w:after="280" w:line="240" w:lineRule="auto"/>
        <w:ind w:left="2160" w:right="720" w:hanging="720"/>
        <w:rPr>
          <w:rFonts w:eastAsia="SimSun"/>
        </w:rPr>
      </w:pPr>
      <w:r>
        <w:rPr>
          <w:rFonts w:eastAsia="SimSun"/>
        </w:rPr>
        <w:t xml:space="preserve">ICNU’s calculation fails to </w:t>
      </w:r>
      <w:r w:rsidRPr="008519D7">
        <w:rPr>
          <w:rFonts w:eastAsia="SimSun"/>
        </w:rPr>
        <w:t>exclude</w:t>
      </w:r>
      <w:r>
        <w:rPr>
          <w:rFonts w:eastAsia="SimSun"/>
        </w:rPr>
        <w:t xml:space="preserve"> </w:t>
      </w:r>
      <w:r w:rsidRPr="00274BB3">
        <w:rPr>
          <w:rFonts w:eastAsia="SimSun"/>
        </w:rPr>
        <w:t xml:space="preserve">unrealized </w:t>
      </w:r>
      <w:r w:rsidRPr="00976AEB">
        <w:rPr>
          <w:rFonts w:eastAsia="SimSun"/>
        </w:rPr>
        <w:t xml:space="preserve">non-cash </w:t>
      </w:r>
      <w:r w:rsidRPr="00C739EE">
        <w:rPr>
          <w:rFonts w:eastAsia="SimSun"/>
        </w:rPr>
        <w:t xml:space="preserve">mark-to-market accounting </w:t>
      </w:r>
      <w:r>
        <w:rPr>
          <w:rFonts w:eastAsia="SimSun"/>
        </w:rPr>
        <w:t xml:space="preserve">gains and </w:t>
      </w:r>
      <w:r w:rsidRPr="00274BB3">
        <w:rPr>
          <w:rFonts w:eastAsia="SimSun"/>
        </w:rPr>
        <w:t>loss</w:t>
      </w:r>
      <w:r>
        <w:rPr>
          <w:rFonts w:eastAsia="SimSun"/>
        </w:rPr>
        <w:t>es on derivative instruments, after tax, from earnings.</w:t>
      </w:r>
    </w:p>
    <w:p w:rsidR="0088373F" w:rsidRDefault="0088373F" w:rsidP="00C5579B">
      <w:pPr>
        <w:pStyle w:val="answer"/>
        <w:numPr>
          <w:ilvl w:val="0"/>
          <w:numId w:val="25"/>
        </w:numPr>
        <w:spacing w:after="280" w:line="240" w:lineRule="auto"/>
        <w:ind w:left="2160" w:right="720" w:hanging="720"/>
        <w:rPr>
          <w:rFonts w:eastAsia="SimSun"/>
        </w:rPr>
      </w:pPr>
      <w:r>
        <w:rPr>
          <w:rFonts w:eastAsia="SimSun"/>
        </w:rPr>
        <w:t xml:space="preserve">ICNU’s calculation fails to </w:t>
      </w:r>
      <w:r w:rsidRPr="008519D7">
        <w:rPr>
          <w:rFonts w:eastAsia="SimSun"/>
        </w:rPr>
        <w:t>remove the impacts of accumulated other comprehensive income</w:t>
      </w:r>
      <w:r>
        <w:rPr>
          <w:rFonts w:eastAsia="SimSun"/>
        </w:rPr>
        <w:t xml:space="preserve"> (“OCI”)</w:t>
      </w:r>
      <w:r w:rsidRPr="008519D7">
        <w:rPr>
          <w:rFonts w:eastAsia="SimSun"/>
        </w:rPr>
        <w:t>, subsidiary retained earnings</w:t>
      </w:r>
      <w:r>
        <w:rPr>
          <w:rFonts w:eastAsia="SimSun"/>
        </w:rPr>
        <w:t>, pension accounting</w:t>
      </w:r>
      <w:r w:rsidRPr="008519D7">
        <w:rPr>
          <w:rFonts w:eastAsia="SimSun"/>
        </w:rPr>
        <w:t xml:space="preserve"> and retained</w:t>
      </w:r>
      <w:r>
        <w:rPr>
          <w:rFonts w:eastAsia="SimSun"/>
        </w:rPr>
        <w:t xml:space="preserve"> </w:t>
      </w:r>
      <w:r w:rsidRPr="008519D7">
        <w:rPr>
          <w:rFonts w:eastAsia="SimSun"/>
        </w:rPr>
        <w:t>earnings of derivative instruments.</w:t>
      </w:r>
    </w:p>
    <w:p w:rsidR="0088373F" w:rsidRDefault="0088373F" w:rsidP="00C5579B">
      <w:pPr>
        <w:pStyle w:val="answer"/>
        <w:numPr>
          <w:ilvl w:val="0"/>
          <w:numId w:val="25"/>
        </w:numPr>
        <w:spacing w:after="280" w:line="240" w:lineRule="auto"/>
        <w:ind w:left="2160" w:right="720" w:hanging="720"/>
        <w:rPr>
          <w:rFonts w:eastAsia="SimSun"/>
        </w:rPr>
      </w:pPr>
      <w:r>
        <w:rPr>
          <w:rFonts w:eastAsia="SimSun"/>
        </w:rPr>
        <w:t>ICNU's calculation fails to remove the accumulated retained earnings from unregulated activities, such as Puget Western ("PWI").</w:t>
      </w:r>
    </w:p>
    <w:p w:rsidR="0088373F" w:rsidRDefault="0088373F" w:rsidP="00C5579B">
      <w:pPr>
        <w:pStyle w:val="answer"/>
        <w:numPr>
          <w:ilvl w:val="0"/>
          <w:numId w:val="25"/>
        </w:numPr>
        <w:spacing w:after="280" w:line="240" w:lineRule="auto"/>
        <w:ind w:left="2160" w:right="720" w:hanging="720"/>
        <w:rPr>
          <w:rFonts w:eastAsia="SimSun"/>
        </w:rPr>
      </w:pPr>
      <w:r>
        <w:rPr>
          <w:rFonts w:eastAsia="SimSun"/>
        </w:rPr>
        <w:t>ICNU’s calculation fails to adjust average common equity for the impact of the average of monthly averages</w:t>
      </w:r>
      <w:r w:rsidRPr="008519D7">
        <w:rPr>
          <w:rFonts w:eastAsia="SimSun"/>
        </w:rPr>
        <w:t>.</w:t>
      </w:r>
    </w:p>
    <w:p w:rsidR="0088373F" w:rsidRDefault="0088373F" w:rsidP="00F05AA5">
      <w:pPr>
        <w:pStyle w:val="answer"/>
        <w:ind w:firstLine="0"/>
        <w:rPr>
          <w:rFonts w:eastAsia="SimSun"/>
        </w:rPr>
      </w:pPr>
      <w:r>
        <w:rPr>
          <w:rFonts w:eastAsia="SimSun"/>
        </w:rPr>
        <w:t xml:space="preserve">If ICNU were to make these three adjustments, then the result would be a </w:t>
      </w:r>
      <w:r w:rsidRPr="002C3969">
        <w:rPr>
          <w:rFonts w:eastAsia="SimSun"/>
        </w:rPr>
        <w:t>return on equity</w:t>
      </w:r>
      <w:r>
        <w:rPr>
          <w:rFonts w:eastAsia="SimSun"/>
        </w:rPr>
        <w:t xml:space="preserve"> of 7.7 percent in calendar year 2012</w:t>
      </w:r>
      <w:r w:rsidRPr="002C3969">
        <w:rPr>
          <w:rFonts w:eastAsia="SimSun"/>
        </w:rPr>
        <w:t>.</w:t>
      </w:r>
    </w:p>
    <w:p w:rsidR="0088373F" w:rsidRDefault="0088373F" w:rsidP="00F05AA5">
      <w:pPr>
        <w:pStyle w:val="question"/>
        <w:keepNext/>
        <w:keepLines/>
        <w:spacing w:before="120"/>
        <w:rPr>
          <w:rFonts w:eastAsia="SimSun"/>
        </w:rPr>
      </w:pPr>
      <w:r>
        <w:rPr>
          <w:rFonts w:eastAsia="SimSun"/>
        </w:rPr>
        <w:t>Q.</w:t>
      </w:r>
      <w:r>
        <w:rPr>
          <w:rFonts w:eastAsia="SimSun"/>
        </w:rPr>
        <w:tab/>
        <w:t>How does ICNU calculate the 10.75 percent return on equity?</w:t>
      </w:r>
    </w:p>
    <w:p w:rsidR="0088373F" w:rsidRPr="00A65FAC" w:rsidRDefault="0088373F" w:rsidP="00A65FAC">
      <w:pPr>
        <w:pStyle w:val="answer"/>
        <w:rPr>
          <w:rFonts w:eastAsia="SimSun"/>
        </w:rPr>
      </w:pPr>
      <w:r>
        <w:rPr>
          <w:rFonts w:eastAsia="SimSun"/>
        </w:rPr>
        <w:t>A.</w:t>
      </w:r>
      <w:r>
        <w:rPr>
          <w:rFonts w:eastAsia="SimSun"/>
        </w:rPr>
        <w:tab/>
        <w:t xml:space="preserve">ICNU calculated a return on equity of 10.75 percent, based on earnings of $356,170,000, and an average common equity of $3,313,180,000.  Gorman, Exh. No. ___(MPG-1T), at page 4, Table 1.  ICNU’s calculation is similar to the return on equity of 10.8 percent calculated in accordance with </w:t>
      </w:r>
      <w:r w:rsidRPr="00306502">
        <w:rPr>
          <w:rFonts w:eastAsia="SimSun"/>
        </w:rPr>
        <w:t>U.S. Generally Accepted Accounting</w:t>
      </w:r>
      <w:r>
        <w:rPr>
          <w:rFonts w:eastAsia="SimSun"/>
        </w:rPr>
        <w:t xml:space="preserve"> </w:t>
      </w:r>
      <w:r w:rsidRPr="00306502">
        <w:rPr>
          <w:rFonts w:eastAsia="SimSun"/>
        </w:rPr>
        <w:t>Principles (</w:t>
      </w:r>
      <w:r>
        <w:rPr>
          <w:rFonts w:eastAsia="SimSun"/>
        </w:rPr>
        <w:t>“</w:t>
      </w:r>
      <w:r w:rsidRPr="00306502">
        <w:rPr>
          <w:rFonts w:eastAsia="SimSun"/>
        </w:rPr>
        <w:t>GAAP</w:t>
      </w:r>
      <w:r>
        <w:rPr>
          <w:rFonts w:eastAsia="SimSun"/>
        </w:rPr>
        <w:t>”</w:t>
      </w:r>
      <w:r w:rsidRPr="00306502">
        <w:rPr>
          <w:rFonts w:eastAsia="SimSun"/>
        </w:rPr>
        <w:t>)</w:t>
      </w:r>
      <w:r>
        <w:rPr>
          <w:rFonts w:eastAsia="SimSun"/>
        </w:rPr>
        <w:t xml:space="preserve"> which is different from established regulatory methodology.  </w:t>
      </w:r>
    </w:p>
    <w:p w:rsidR="0088373F" w:rsidRPr="002C3969" w:rsidRDefault="0088373F" w:rsidP="00F05AA5">
      <w:pPr>
        <w:pStyle w:val="question"/>
        <w:keepNext/>
        <w:keepLines/>
        <w:spacing w:before="120"/>
      </w:pPr>
      <w:r>
        <w:rPr>
          <w:rFonts w:eastAsia="SimSun"/>
        </w:rPr>
        <w:t>Q.</w:t>
      </w:r>
      <w:r>
        <w:rPr>
          <w:rFonts w:eastAsia="SimSun"/>
        </w:rPr>
        <w:tab/>
        <w:t>Why is it appropriate to make the four adjustments listed above to the return on equity?</w:t>
      </w:r>
    </w:p>
    <w:p w:rsidR="0088373F" w:rsidRDefault="0088373F" w:rsidP="00F05AA5">
      <w:pPr>
        <w:pStyle w:val="answer"/>
        <w:rPr>
          <w:rFonts w:eastAsia="SimSun"/>
        </w:rPr>
      </w:pPr>
      <w:r>
        <w:rPr>
          <w:rFonts w:eastAsia="SimSun"/>
        </w:rPr>
        <w:t>A.</w:t>
      </w:r>
      <w:r>
        <w:rPr>
          <w:rFonts w:eastAsia="SimSun"/>
        </w:rPr>
        <w:tab/>
        <w:t xml:space="preserve">These four adjustments are necessary to calculate PSE’s operating return on equity, which is an </w:t>
      </w:r>
      <w:r w:rsidRPr="0046216E">
        <w:rPr>
          <w:rFonts w:eastAsia="SimSun"/>
        </w:rPr>
        <w:t>annualized non-GAAP financial measure.</w:t>
      </w:r>
      <w:r>
        <w:rPr>
          <w:rFonts w:eastAsia="SimSun"/>
        </w:rPr>
        <w:t xml:space="preserve">  PSE uses the operating return on equity because it is a better indicator of the utility’s operating performance and PSE’s earnings from regulated operations.</w:t>
      </w:r>
    </w:p>
    <w:p w:rsidR="0088373F" w:rsidRDefault="0088373F" w:rsidP="00F05AA5">
      <w:pPr>
        <w:pStyle w:val="answer"/>
        <w:ind w:firstLine="0"/>
        <w:rPr>
          <w:rFonts w:eastAsia="SimSun"/>
        </w:rPr>
      </w:pPr>
      <w:r w:rsidRPr="00976AEB">
        <w:rPr>
          <w:rFonts w:eastAsia="SimSun"/>
        </w:rPr>
        <w:t>The Commission</w:t>
      </w:r>
      <w:r>
        <w:rPr>
          <w:rFonts w:eastAsia="SimSun"/>
        </w:rPr>
        <w:t>’</w:t>
      </w:r>
      <w:r w:rsidRPr="00976AEB">
        <w:rPr>
          <w:rFonts w:eastAsia="SimSun"/>
        </w:rPr>
        <w:t xml:space="preserve">s established practice for the recovery of commodity costs is to reflect in rates the actual commodity costs PSE has, or expects, to incur.  These costs are recovered through the </w:t>
      </w:r>
      <w:r>
        <w:rPr>
          <w:rFonts w:eastAsia="SimSun"/>
        </w:rPr>
        <w:t>Purchased Gas Adjustment (“</w:t>
      </w:r>
      <w:r w:rsidRPr="00976AEB">
        <w:rPr>
          <w:rFonts w:eastAsia="SimSun"/>
        </w:rPr>
        <w:t>PGA</w:t>
      </w:r>
      <w:r>
        <w:rPr>
          <w:rFonts w:eastAsia="SimSun"/>
        </w:rPr>
        <w:t>”)</w:t>
      </w:r>
      <w:r w:rsidRPr="00976AEB">
        <w:rPr>
          <w:rFonts w:eastAsia="SimSun"/>
        </w:rPr>
        <w:t xml:space="preserve"> and </w:t>
      </w:r>
      <w:r>
        <w:rPr>
          <w:rFonts w:eastAsia="SimSun"/>
        </w:rPr>
        <w:t>Power Cost Adjustment (“</w:t>
      </w:r>
      <w:r w:rsidRPr="00976AEB">
        <w:rPr>
          <w:rFonts w:eastAsia="SimSun"/>
        </w:rPr>
        <w:t>PCA</w:t>
      </w:r>
      <w:r>
        <w:rPr>
          <w:rFonts w:eastAsia="SimSun"/>
        </w:rPr>
        <w:t>”)</w:t>
      </w:r>
      <w:r w:rsidRPr="00976AEB">
        <w:rPr>
          <w:rFonts w:eastAsia="SimSun"/>
        </w:rPr>
        <w:t xml:space="preserve"> mechanisms, with general rates set to reflect the expected level of electric energy costs in a base rate.  Unrealized non-cash </w:t>
      </w:r>
      <w:r w:rsidRPr="00C739EE">
        <w:rPr>
          <w:rFonts w:eastAsia="SimSun"/>
        </w:rPr>
        <w:t xml:space="preserve">mark-to-market accounting </w:t>
      </w:r>
      <w:r w:rsidRPr="00976AEB">
        <w:rPr>
          <w:rFonts w:eastAsia="SimSun"/>
        </w:rPr>
        <w:t xml:space="preserve">gains or losses from marking derivatives to market </w:t>
      </w:r>
      <w:r>
        <w:rPr>
          <w:rFonts w:eastAsia="SimSun"/>
        </w:rPr>
        <w:t>(</w:t>
      </w:r>
      <w:r w:rsidRPr="00976AEB">
        <w:rPr>
          <w:rFonts w:eastAsia="SimSun"/>
        </w:rPr>
        <w:t xml:space="preserve">as required by </w:t>
      </w:r>
      <w:r>
        <w:rPr>
          <w:rFonts w:eastAsia="SimSun"/>
        </w:rPr>
        <w:t xml:space="preserve">GAAP) </w:t>
      </w:r>
      <w:r w:rsidRPr="00976AEB">
        <w:rPr>
          <w:rFonts w:eastAsia="SimSun"/>
        </w:rPr>
        <w:t xml:space="preserve">are not, and should not, be reflected in rates.  As a result, the impact of these unrealized non-cash </w:t>
      </w:r>
      <w:r w:rsidRPr="00C739EE">
        <w:rPr>
          <w:rFonts w:eastAsia="SimSun"/>
        </w:rPr>
        <w:t xml:space="preserve">mark-to-market accounting </w:t>
      </w:r>
      <w:r w:rsidRPr="00976AEB">
        <w:rPr>
          <w:rFonts w:eastAsia="SimSun"/>
        </w:rPr>
        <w:t>gains or losses on PSE</w:t>
      </w:r>
      <w:r>
        <w:rPr>
          <w:rFonts w:eastAsia="SimSun"/>
        </w:rPr>
        <w:t>’</w:t>
      </w:r>
      <w:r w:rsidRPr="00976AEB">
        <w:rPr>
          <w:rFonts w:eastAsia="SimSun"/>
        </w:rPr>
        <w:t>s capitalization, generally reflected in OCI</w:t>
      </w:r>
      <w:r>
        <w:rPr>
          <w:rFonts w:eastAsia="SimSun"/>
        </w:rPr>
        <w:t>, must also be removed for rate</w:t>
      </w:r>
      <w:r w:rsidRPr="00976AEB">
        <w:rPr>
          <w:rFonts w:eastAsia="SimSun"/>
        </w:rPr>
        <w:t xml:space="preserve">making purposes.  </w:t>
      </w:r>
      <w:r>
        <w:rPr>
          <w:rFonts w:eastAsia="SimSun"/>
        </w:rPr>
        <w:t xml:space="preserve">Additionally, it is appropriate to remove the accumulated retained earnings of PWI from PSE's consolidated capital structure because those accumulated retained earnings were generated from unregulated activities.  This treatment is consistent with PSE's past practices in general rate proceedings and is consistent with capital structures included in Commission Basis Reports.  Failure to </w:t>
      </w:r>
      <w:r w:rsidRPr="00976AEB">
        <w:rPr>
          <w:rFonts w:eastAsia="SimSun"/>
        </w:rPr>
        <w:t>adjust for these items</w:t>
      </w:r>
      <w:r>
        <w:rPr>
          <w:rFonts w:eastAsia="SimSun"/>
        </w:rPr>
        <w:t xml:space="preserve"> would result in an inconsistency between (i) the </w:t>
      </w:r>
      <w:r w:rsidRPr="00976AEB">
        <w:rPr>
          <w:rFonts w:eastAsia="SimSun"/>
        </w:rPr>
        <w:t>balance sheet impact</w:t>
      </w:r>
      <w:r>
        <w:rPr>
          <w:rFonts w:eastAsia="SimSun"/>
        </w:rPr>
        <w:t>s</w:t>
      </w:r>
      <w:r w:rsidRPr="00976AEB">
        <w:rPr>
          <w:rFonts w:eastAsia="SimSun"/>
        </w:rPr>
        <w:t xml:space="preserve"> of these items </w:t>
      </w:r>
      <w:r>
        <w:rPr>
          <w:rFonts w:eastAsia="SimSun"/>
        </w:rPr>
        <w:t>and (ii) the</w:t>
      </w:r>
      <w:r w:rsidRPr="00976AEB">
        <w:rPr>
          <w:rFonts w:eastAsia="SimSun"/>
        </w:rPr>
        <w:t xml:space="preserve"> cost recovery of these items.  </w:t>
      </w:r>
    </w:p>
    <w:p w:rsidR="0088373F" w:rsidRPr="002C3969" w:rsidRDefault="0088373F" w:rsidP="00F05AA5">
      <w:pPr>
        <w:pStyle w:val="question"/>
        <w:keepNext/>
        <w:keepLines/>
      </w:pPr>
      <w:r>
        <w:rPr>
          <w:rFonts w:eastAsia="SimSun"/>
        </w:rPr>
        <w:t>Q.</w:t>
      </w:r>
      <w:r>
        <w:rPr>
          <w:rFonts w:eastAsia="SimSun"/>
        </w:rPr>
        <w:tab/>
        <w:t>What was PSE’s return on equity in calendar year 2012?</w:t>
      </w:r>
    </w:p>
    <w:p w:rsidR="0088373F" w:rsidRDefault="0088373F" w:rsidP="00F05AA5">
      <w:pPr>
        <w:pStyle w:val="answer"/>
        <w:rPr>
          <w:rFonts w:eastAsia="SimSun"/>
        </w:rPr>
      </w:pPr>
      <w:r w:rsidRPr="002C3969">
        <w:rPr>
          <w:rFonts w:eastAsia="SimSun"/>
        </w:rPr>
        <w:t>A.</w:t>
      </w:r>
      <w:r w:rsidRPr="002C3969">
        <w:rPr>
          <w:rFonts w:eastAsia="SimSun"/>
        </w:rPr>
        <w:tab/>
        <w:t>As shown below in Table</w:t>
      </w:r>
      <w:r>
        <w:rPr>
          <w:rFonts w:eastAsia="SimSun"/>
        </w:rPr>
        <w:t> 5 below</w:t>
      </w:r>
      <w:r w:rsidRPr="002C3969">
        <w:rPr>
          <w:rFonts w:eastAsia="SimSun"/>
        </w:rPr>
        <w:t>, PSE</w:t>
      </w:r>
      <w:r>
        <w:rPr>
          <w:rFonts w:eastAsia="SimSun"/>
        </w:rPr>
        <w:t>’</w:t>
      </w:r>
      <w:r w:rsidRPr="002C3969">
        <w:rPr>
          <w:rFonts w:eastAsia="SimSun"/>
        </w:rPr>
        <w:t>s</w:t>
      </w:r>
      <w:r>
        <w:rPr>
          <w:rFonts w:eastAsia="SimSun"/>
        </w:rPr>
        <w:t xml:space="preserve"> operating </w:t>
      </w:r>
      <w:r w:rsidRPr="002C3969">
        <w:rPr>
          <w:rFonts w:eastAsia="SimSun"/>
        </w:rPr>
        <w:t>return on equity</w:t>
      </w:r>
      <w:r>
        <w:rPr>
          <w:rFonts w:eastAsia="SimSun"/>
        </w:rPr>
        <w:t xml:space="preserve"> in calendar year 2012 </w:t>
      </w:r>
      <w:r w:rsidRPr="002C3969">
        <w:rPr>
          <w:rFonts w:eastAsia="SimSun"/>
        </w:rPr>
        <w:t xml:space="preserve">was </w:t>
      </w:r>
      <w:r>
        <w:rPr>
          <w:rFonts w:eastAsia="SimSun"/>
        </w:rPr>
        <w:t>7</w:t>
      </w:r>
      <w:r w:rsidRPr="002C3969">
        <w:rPr>
          <w:rFonts w:eastAsia="SimSun"/>
        </w:rPr>
        <w:t>.7</w:t>
      </w:r>
      <w:r>
        <w:rPr>
          <w:rFonts w:eastAsia="SimSun"/>
        </w:rPr>
        <w:t> percent</w:t>
      </w:r>
      <w:r w:rsidRPr="002C3969">
        <w:rPr>
          <w:rFonts w:eastAsia="SimSun"/>
        </w:rPr>
        <w:t>.</w:t>
      </w:r>
      <w:r>
        <w:rPr>
          <w:rFonts w:eastAsia="SimSun"/>
        </w:rPr>
        <w:t xml:space="preserve">  </w:t>
      </w:r>
      <w:r w:rsidRPr="002C3969">
        <w:rPr>
          <w:rFonts w:eastAsia="SimSun"/>
        </w:rPr>
        <w:t xml:space="preserve">This </w:t>
      </w:r>
      <w:r>
        <w:rPr>
          <w:rFonts w:eastAsia="SimSun"/>
        </w:rPr>
        <w:t xml:space="preserve">operating </w:t>
      </w:r>
      <w:r w:rsidRPr="002C3969">
        <w:rPr>
          <w:rFonts w:eastAsia="SimSun"/>
        </w:rPr>
        <w:t xml:space="preserve">return on equity is </w:t>
      </w:r>
      <w:r>
        <w:rPr>
          <w:rFonts w:eastAsia="SimSun"/>
        </w:rPr>
        <w:t>210 </w:t>
      </w:r>
      <w:r w:rsidRPr="002C3969">
        <w:rPr>
          <w:rFonts w:eastAsia="SimSun"/>
        </w:rPr>
        <w:t xml:space="preserve">basis points </w:t>
      </w:r>
      <w:r>
        <w:rPr>
          <w:rFonts w:eastAsia="SimSun"/>
        </w:rPr>
        <w:t xml:space="preserve">lower </w:t>
      </w:r>
      <w:r w:rsidRPr="002C3969">
        <w:rPr>
          <w:rFonts w:eastAsia="SimSun"/>
        </w:rPr>
        <w:t>than the 9.80</w:t>
      </w:r>
      <w:r>
        <w:rPr>
          <w:rFonts w:eastAsia="SimSun"/>
        </w:rPr>
        <w:t> percent</w:t>
      </w:r>
      <w:r w:rsidRPr="002C3969">
        <w:rPr>
          <w:rFonts w:eastAsia="SimSun"/>
        </w:rPr>
        <w:t xml:space="preserve"> return on equity </w:t>
      </w:r>
      <w:r>
        <w:rPr>
          <w:rFonts w:eastAsia="SimSun"/>
        </w:rPr>
        <w:t xml:space="preserve">authorized in PSE’s </w:t>
      </w:r>
      <w:r w:rsidRPr="002C3969">
        <w:rPr>
          <w:rFonts w:eastAsia="SimSun"/>
        </w:rPr>
        <w:t>last rate proceeding.</w:t>
      </w:r>
    </w:p>
    <w:p w:rsidR="0088373F" w:rsidRPr="00AD45F2" w:rsidRDefault="0088373F" w:rsidP="00F05AA5">
      <w:pPr>
        <w:pStyle w:val="answer"/>
        <w:keepNext/>
        <w:keepLines/>
        <w:spacing w:before="0" w:after="60" w:line="240" w:lineRule="auto"/>
        <w:ind w:firstLine="0"/>
        <w:jc w:val="center"/>
        <w:rPr>
          <w:rFonts w:eastAsia="SimSun"/>
          <w:b/>
        </w:rPr>
      </w:pPr>
      <w:r w:rsidRPr="00AD45F2">
        <w:rPr>
          <w:rFonts w:eastAsia="SimSun"/>
          <w:b/>
        </w:rPr>
        <w:t>Table </w:t>
      </w:r>
      <w:r>
        <w:rPr>
          <w:rFonts w:eastAsia="SimSun"/>
          <w:b/>
        </w:rPr>
        <w:t xml:space="preserve">5.  PSE Earned Return on Equity </w:t>
      </w:r>
      <w:r w:rsidRPr="00AD45F2">
        <w:rPr>
          <w:rFonts w:eastAsia="SimSun"/>
          <w:b/>
        </w:rPr>
        <w:t>(</w:t>
      </w:r>
      <w:r>
        <w:rPr>
          <w:rFonts w:eastAsia="SimSun"/>
          <w:b/>
        </w:rPr>
        <w:t>Thousands</w:t>
      </w:r>
      <w:r w:rsidRPr="00AD45F2">
        <w:rPr>
          <w:rFonts w:eastAsia="SimSun"/>
          <w:b/>
        </w:rPr>
        <w:t>)</w:t>
      </w:r>
    </w:p>
    <w:tbl>
      <w:tblPr>
        <w:tblW w:w="0" w:type="auto"/>
        <w:tblInd w:w="720" w:type="dxa"/>
        <w:tblLayout w:type="fixed"/>
        <w:tblLook w:val="00A0"/>
      </w:tblPr>
      <w:tblGrid>
        <w:gridCol w:w="4068"/>
        <w:gridCol w:w="1301"/>
        <w:gridCol w:w="1301"/>
        <w:gridCol w:w="1302"/>
      </w:tblGrid>
      <w:tr w:rsidR="0088373F" w:rsidRPr="001479DB" w:rsidTr="00485EA0">
        <w:tc>
          <w:tcPr>
            <w:tcW w:w="4068"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p>
        </w:tc>
        <w:tc>
          <w:tcPr>
            <w:tcW w:w="1301"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Earnings</w:t>
            </w:r>
          </w:p>
        </w:tc>
        <w:tc>
          <w:tcPr>
            <w:tcW w:w="1301"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Average</w:t>
            </w:r>
            <w:r w:rsidRPr="00442A6A">
              <w:rPr>
                <w:rFonts w:ascii="Times New Roman" w:eastAsia="SimSun" w:hAnsi="Times New Roman"/>
                <w:b/>
              </w:rPr>
              <w:br/>
              <w:t>Common</w:t>
            </w:r>
            <w:r w:rsidRPr="00442A6A">
              <w:rPr>
                <w:rFonts w:ascii="Times New Roman" w:eastAsia="SimSun" w:hAnsi="Times New Roman"/>
                <w:b/>
              </w:rPr>
              <w:br/>
              <w:t>Equity</w:t>
            </w:r>
          </w:p>
        </w:tc>
        <w:tc>
          <w:tcPr>
            <w:tcW w:w="1302" w:type="dxa"/>
            <w:tcBorders>
              <w:bottom w:val="single" w:sz="4" w:space="0" w:color="000000"/>
            </w:tcBorders>
            <w:vAlign w:val="bottom"/>
          </w:tcPr>
          <w:p w:rsidR="0088373F" w:rsidRPr="00442A6A" w:rsidRDefault="0088373F" w:rsidP="00485EA0">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Return on</w:t>
            </w:r>
            <w:r w:rsidRPr="00442A6A">
              <w:rPr>
                <w:rFonts w:ascii="Times New Roman" w:eastAsia="SimSun" w:hAnsi="Times New Roman"/>
                <w:b/>
              </w:rPr>
              <w:br/>
              <w:t>Equity</w:t>
            </w:r>
          </w:p>
        </w:tc>
      </w:tr>
      <w:tr w:rsidR="0088373F" w:rsidTr="00485EA0">
        <w:tc>
          <w:tcPr>
            <w:tcW w:w="4068" w:type="dxa"/>
            <w:tcBorders>
              <w:top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Return on Equity -- GAAP</w:t>
            </w:r>
          </w:p>
        </w:tc>
        <w:tc>
          <w:tcPr>
            <w:tcW w:w="1301"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$356,170</w:t>
            </w:r>
          </w:p>
        </w:tc>
        <w:tc>
          <w:tcPr>
            <w:tcW w:w="1301"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$3,313,183</w:t>
            </w:r>
          </w:p>
        </w:tc>
        <w:tc>
          <w:tcPr>
            <w:tcW w:w="1302" w:type="dxa"/>
            <w:tcBorders>
              <w:top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10.8%</w:t>
            </w:r>
          </w:p>
        </w:tc>
      </w:tr>
      <w:tr w:rsidR="0088373F" w:rsidTr="00485EA0">
        <w:tc>
          <w:tcPr>
            <w:tcW w:w="4068"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sidRPr="00442A6A">
              <w:rPr>
                <w:rFonts w:ascii="Times New Roman" w:eastAsia="SimSun" w:hAnsi="Times New Roman"/>
              </w:rPr>
              <w:t>Less/Plus:  Unrealized gains and losses on derivative instruments, after-tax</w:t>
            </w:r>
          </w:p>
        </w:tc>
        <w:tc>
          <w:tcPr>
            <w:tcW w:w="1301"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(77,428)</w:t>
            </w:r>
          </w:p>
        </w:tc>
        <w:tc>
          <w:tcPr>
            <w:tcW w:w="1301"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c>
          <w:tcPr>
            <w:tcW w:w="1302"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r>
      <w:tr w:rsidR="0088373F" w:rsidTr="00485EA0">
        <w:tc>
          <w:tcPr>
            <w:tcW w:w="4068" w:type="dxa"/>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Pr>
                <w:rFonts w:ascii="Times New Roman" w:eastAsia="SimSun" w:hAnsi="Times New Roman"/>
              </w:rPr>
              <w:t>Other Equity Adjustments</w:t>
            </w:r>
          </w:p>
        </w:tc>
        <w:tc>
          <w:tcPr>
            <w:tcW w:w="1301"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c>
          <w:tcPr>
            <w:tcW w:w="1301"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268,610</w:t>
            </w:r>
          </w:p>
        </w:tc>
        <w:tc>
          <w:tcPr>
            <w:tcW w:w="1302" w:type="dxa"/>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r>
      <w:tr w:rsidR="0088373F" w:rsidTr="00485EA0">
        <w:tc>
          <w:tcPr>
            <w:tcW w:w="4068" w:type="dxa"/>
            <w:tcBorders>
              <w:bottom w:val="single" w:sz="4" w:space="0" w:color="000000"/>
            </w:tcBorders>
          </w:tcPr>
          <w:p w:rsidR="0088373F" w:rsidRPr="00442A6A" w:rsidRDefault="0088373F" w:rsidP="003419E3">
            <w:pPr>
              <w:pStyle w:val="answer"/>
              <w:keepNext/>
              <w:keepLines/>
              <w:spacing w:before="60" w:afterLines="60" w:line="240" w:lineRule="auto"/>
              <w:ind w:left="0" w:firstLine="0"/>
              <w:rPr>
                <w:rFonts w:ascii="Times New Roman" w:eastAsia="SimSun" w:hAnsi="Times New Roman"/>
              </w:rPr>
            </w:pPr>
            <w:r>
              <w:rPr>
                <w:rFonts w:ascii="Times New Roman" w:eastAsia="SimSun" w:hAnsi="Times New Roman"/>
              </w:rPr>
              <w:t>Impact of Average of Monthly Averages (AMA)</w:t>
            </w:r>
          </w:p>
        </w:tc>
        <w:tc>
          <w:tcPr>
            <w:tcW w:w="1301"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c>
          <w:tcPr>
            <w:tcW w:w="1301"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32,131</w:t>
            </w:r>
          </w:p>
        </w:tc>
        <w:tc>
          <w:tcPr>
            <w:tcW w:w="1302" w:type="dxa"/>
            <w:tcBorders>
              <w:bottom w:val="single" w:sz="4" w:space="0" w:color="000000"/>
            </w:tcBorders>
            <w:vAlign w:val="center"/>
          </w:tcPr>
          <w:p w:rsidR="0088373F" w:rsidRPr="00442A6A" w:rsidRDefault="0088373F" w:rsidP="003419E3">
            <w:pPr>
              <w:pStyle w:val="answer"/>
              <w:keepNext/>
              <w:keepLines/>
              <w:spacing w:before="60" w:afterLines="60" w:line="240" w:lineRule="auto"/>
              <w:ind w:left="0" w:firstLine="0"/>
              <w:jc w:val="center"/>
              <w:rPr>
                <w:rFonts w:ascii="Times New Roman" w:eastAsia="SimSun" w:hAnsi="Times New Roman"/>
              </w:rPr>
            </w:pPr>
            <w:r w:rsidRPr="00442A6A">
              <w:rPr>
                <w:rFonts w:ascii="Times New Roman" w:eastAsia="SimSun" w:hAnsi="Times New Roman"/>
              </w:rPr>
              <w:t>*</w:t>
            </w:r>
          </w:p>
        </w:tc>
      </w:tr>
      <w:tr w:rsidR="0088373F" w:rsidTr="00485EA0">
        <w:tc>
          <w:tcPr>
            <w:tcW w:w="4068" w:type="dxa"/>
            <w:tcBorders>
              <w:top w:val="single" w:sz="4" w:space="0" w:color="000000"/>
            </w:tcBorders>
          </w:tcPr>
          <w:p w:rsidR="0088373F" w:rsidRPr="00442A6A" w:rsidRDefault="0088373F" w:rsidP="003419E3">
            <w:pPr>
              <w:pStyle w:val="answer"/>
              <w:spacing w:before="60" w:afterLines="60" w:line="240" w:lineRule="auto"/>
              <w:ind w:left="0" w:firstLine="0"/>
              <w:rPr>
                <w:rFonts w:ascii="Times New Roman" w:eastAsia="SimSun" w:hAnsi="Times New Roman"/>
              </w:rPr>
            </w:pPr>
            <w:r w:rsidRPr="00442A6A">
              <w:rPr>
                <w:rFonts w:ascii="Times New Roman" w:eastAsia="SimSun" w:hAnsi="Times New Roman"/>
              </w:rPr>
              <w:t>AMA Regulated Return on Equity</w:t>
            </w:r>
          </w:p>
        </w:tc>
        <w:tc>
          <w:tcPr>
            <w:tcW w:w="1301" w:type="dxa"/>
            <w:tcBorders>
              <w:top w:val="single" w:sz="4" w:space="0" w:color="000000"/>
            </w:tcBorders>
            <w:vAlign w:val="center"/>
          </w:tcPr>
          <w:p w:rsidR="0088373F" w:rsidRPr="00442A6A" w:rsidRDefault="0088373F" w:rsidP="003419E3">
            <w:pPr>
              <w:pStyle w:val="answer"/>
              <w:spacing w:before="60" w:afterLines="60" w:line="240" w:lineRule="auto"/>
              <w:ind w:left="0" w:firstLine="0"/>
              <w:jc w:val="center"/>
              <w:rPr>
                <w:rFonts w:ascii="Times New Roman" w:eastAsia="SimSun" w:hAnsi="Times New Roman"/>
              </w:rPr>
            </w:pPr>
            <w:r w:rsidRPr="00442A6A">
              <w:rPr>
                <w:rFonts w:ascii="Times New Roman" w:eastAsia="SimSun" w:hAnsi="Times New Roman"/>
              </w:rPr>
              <w:t>$278,742</w:t>
            </w:r>
          </w:p>
        </w:tc>
        <w:tc>
          <w:tcPr>
            <w:tcW w:w="1301" w:type="dxa"/>
            <w:tcBorders>
              <w:top w:val="single" w:sz="4" w:space="0" w:color="000000"/>
            </w:tcBorders>
            <w:vAlign w:val="center"/>
          </w:tcPr>
          <w:p w:rsidR="0088373F" w:rsidRPr="00442A6A" w:rsidRDefault="0088373F" w:rsidP="003419E3">
            <w:pPr>
              <w:pStyle w:val="answer"/>
              <w:spacing w:before="60" w:afterLines="60" w:line="240" w:lineRule="auto"/>
              <w:ind w:left="0" w:firstLine="0"/>
              <w:jc w:val="center"/>
              <w:rPr>
                <w:rFonts w:ascii="Times New Roman" w:eastAsia="SimSun" w:hAnsi="Times New Roman"/>
              </w:rPr>
            </w:pPr>
            <w:r w:rsidRPr="00442A6A">
              <w:rPr>
                <w:rFonts w:ascii="Times New Roman" w:eastAsia="SimSun" w:hAnsi="Times New Roman"/>
              </w:rPr>
              <w:t>$3,613,924</w:t>
            </w:r>
          </w:p>
        </w:tc>
        <w:tc>
          <w:tcPr>
            <w:tcW w:w="1302" w:type="dxa"/>
            <w:tcBorders>
              <w:top w:val="single" w:sz="4" w:space="0" w:color="000000"/>
            </w:tcBorders>
            <w:vAlign w:val="center"/>
          </w:tcPr>
          <w:p w:rsidR="0088373F" w:rsidRPr="00442A6A" w:rsidRDefault="0088373F" w:rsidP="003419E3">
            <w:pPr>
              <w:pStyle w:val="answer"/>
              <w:spacing w:before="60" w:afterLines="60" w:line="240" w:lineRule="auto"/>
              <w:ind w:left="0" w:firstLine="0"/>
              <w:jc w:val="center"/>
              <w:rPr>
                <w:rFonts w:ascii="Times New Roman" w:eastAsia="SimSun" w:hAnsi="Times New Roman"/>
              </w:rPr>
            </w:pPr>
            <w:r w:rsidRPr="00442A6A">
              <w:rPr>
                <w:rFonts w:ascii="Times New Roman" w:eastAsia="SimSun" w:hAnsi="Times New Roman"/>
              </w:rPr>
              <w:t>7.7%</w:t>
            </w:r>
          </w:p>
        </w:tc>
      </w:tr>
    </w:tbl>
    <w:p w:rsidR="0088373F" w:rsidRPr="002C3969" w:rsidRDefault="0088373F" w:rsidP="00CB5EA7">
      <w:pPr>
        <w:pStyle w:val="Heading2"/>
        <w:rPr>
          <w:rFonts w:eastAsia="SimSun"/>
        </w:rPr>
      </w:pPr>
      <w:bookmarkStart w:id="13" w:name="_Toc355779802"/>
      <w:r>
        <w:rPr>
          <w:rFonts w:eastAsia="SimSun"/>
        </w:rPr>
        <w:t>B.</w:t>
      </w:r>
      <w:r>
        <w:rPr>
          <w:rFonts w:eastAsia="SimSun"/>
        </w:rPr>
        <w:tab/>
        <w:t>ICNU’s Concern Regarding the Dividend Payout Ratio of PSE is Misplaced</w:t>
      </w:r>
      <w:bookmarkEnd w:id="13"/>
    </w:p>
    <w:p w:rsidR="0088373F" w:rsidRDefault="0088373F" w:rsidP="00CB5EA7">
      <w:pPr>
        <w:pStyle w:val="question"/>
        <w:keepNext/>
        <w:keepLines/>
        <w:rPr>
          <w:rFonts w:eastAsia="SimSun"/>
        </w:rPr>
      </w:pPr>
      <w:r>
        <w:rPr>
          <w:rFonts w:eastAsia="SimSun"/>
        </w:rPr>
        <w:t>Q.</w:t>
      </w:r>
      <w:r>
        <w:rPr>
          <w:rFonts w:eastAsia="SimSun"/>
        </w:rPr>
        <w:tab/>
        <w:t>Is ICNU’s expressed concern regarding the dividend payout ratio of PSE misplaced?</w:t>
      </w:r>
    </w:p>
    <w:p w:rsidR="0088373F" w:rsidRDefault="0088373F" w:rsidP="00180D8B">
      <w:pPr>
        <w:pStyle w:val="answer"/>
        <w:rPr>
          <w:rFonts w:eastAsia="SimSun"/>
        </w:rPr>
      </w:pPr>
      <w:r>
        <w:rPr>
          <w:rFonts w:eastAsia="SimSun"/>
        </w:rPr>
        <w:t>A.</w:t>
      </w:r>
      <w:r>
        <w:rPr>
          <w:rFonts w:eastAsia="SimSun"/>
        </w:rPr>
        <w:tab/>
        <w:t>Yes.  ICNU expresses concern that “</w:t>
      </w:r>
      <w:r w:rsidRPr="002C3969">
        <w:rPr>
          <w:rFonts w:eastAsia="SimSun"/>
        </w:rPr>
        <w:t>PSE</w:t>
      </w:r>
      <w:r>
        <w:rPr>
          <w:rFonts w:eastAsia="SimSun"/>
        </w:rPr>
        <w:t xml:space="preserve"> </w:t>
      </w:r>
      <w:r w:rsidRPr="002C3969">
        <w:rPr>
          <w:rFonts w:eastAsia="SimSun"/>
        </w:rPr>
        <w:t>was paying out approximately 80% of its earnings</w:t>
      </w:r>
      <w:r>
        <w:rPr>
          <w:rFonts w:eastAsia="SimSun"/>
        </w:rPr>
        <w:t>” and that “</w:t>
      </w:r>
      <w:r w:rsidRPr="002C3969">
        <w:rPr>
          <w:rFonts w:eastAsia="SimSun"/>
        </w:rPr>
        <w:t xml:space="preserve">its payout ratio to its holding company was </w:t>
      </w:r>
      <w:r>
        <w:rPr>
          <w:rFonts w:eastAsia="SimSun"/>
        </w:rPr>
        <w:t xml:space="preserve">. . . </w:t>
      </w:r>
      <w:r w:rsidRPr="002C3969">
        <w:rPr>
          <w:rFonts w:eastAsia="SimSun"/>
        </w:rPr>
        <w:t>relatively high.</w:t>
      </w:r>
      <w:r>
        <w:rPr>
          <w:rFonts w:eastAsia="SimSun"/>
        </w:rPr>
        <w:t>”  Gorman, Exh. No. ___(MPG-1T), at page 8, lines 19-23.  PSE makes these distributions to Puget Energy, Inc. (“Puget Energy”) in large part to service debt obligations at the Puget Energy level.  Puget Energy has used these funds to finance, reduce and refinance its debt obligations.  It would be improper to suggest that this payout ratio yielded an extraordinary benefit to Puget Energy shareholders.  Indeed, average dividends paid from Puget Energy to shareholders over the past three years are lower than average dividends to Puget Energy shareholders over the past decade.  In other words, the equity investors today are receiving less in dividends than were shareholders prior to the merger.</w:t>
      </w:r>
    </w:p>
    <w:p w:rsidR="0088373F" w:rsidRDefault="0088373F" w:rsidP="007C1DE6">
      <w:pPr>
        <w:pStyle w:val="question"/>
        <w:keepNext/>
        <w:keepLines/>
        <w:rPr>
          <w:rFonts w:eastAsia="SimSun"/>
        </w:rPr>
      </w:pPr>
      <w:r>
        <w:rPr>
          <w:rFonts w:eastAsia="SimSun"/>
        </w:rPr>
        <w:t>Q.</w:t>
      </w:r>
      <w:r>
        <w:rPr>
          <w:rFonts w:eastAsia="SimSun"/>
        </w:rPr>
        <w:tab/>
        <w:t>Please describe the credit facilities at Puget Energy?</w:t>
      </w:r>
    </w:p>
    <w:p w:rsidR="0088373F" w:rsidRDefault="0088373F" w:rsidP="007C1DE6">
      <w:pPr>
        <w:pStyle w:val="answer"/>
        <w:rPr>
          <w:rFonts w:eastAsia="SimSun"/>
        </w:rPr>
      </w:pPr>
      <w:r>
        <w:rPr>
          <w:rFonts w:eastAsia="SimSun"/>
        </w:rPr>
        <w:t>A.</w:t>
      </w:r>
      <w:r>
        <w:rPr>
          <w:rFonts w:eastAsia="SimSun"/>
        </w:rPr>
        <w:tab/>
      </w:r>
      <w:r w:rsidRPr="007C1DE6">
        <w:rPr>
          <w:rFonts w:eastAsia="SimSun"/>
        </w:rPr>
        <w:t>At the time of the merger in February 2009, Puget Energy entered into a $1.225</w:t>
      </w:r>
      <w:r>
        <w:rPr>
          <w:rFonts w:eastAsia="SimSun"/>
        </w:rPr>
        <w:t> </w:t>
      </w:r>
      <w:r w:rsidRPr="007C1DE6">
        <w:rPr>
          <w:rFonts w:eastAsia="SimSun"/>
        </w:rPr>
        <w:t>billio</w:t>
      </w:r>
      <w:r>
        <w:rPr>
          <w:rFonts w:eastAsia="SimSun"/>
        </w:rPr>
        <w:t>n five-year term-loan and a $1.0 </w:t>
      </w:r>
      <w:r w:rsidRPr="007C1DE6">
        <w:rPr>
          <w:rFonts w:eastAsia="SimSun"/>
        </w:rPr>
        <w:t>billion</w:t>
      </w:r>
      <w:r>
        <w:rPr>
          <w:rFonts w:eastAsia="SimSun"/>
        </w:rPr>
        <w:t xml:space="preserve"> </w:t>
      </w:r>
      <w:r w:rsidRPr="007C1DE6">
        <w:rPr>
          <w:rFonts w:eastAsia="SimSun"/>
        </w:rPr>
        <w:t xml:space="preserve">five-year capital expenditure credit facility for funding capital expenditures. </w:t>
      </w:r>
      <w:r>
        <w:rPr>
          <w:rFonts w:eastAsia="SimSun"/>
        </w:rPr>
        <w:t xml:space="preserve"> </w:t>
      </w:r>
      <w:r w:rsidRPr="007C1DE6">
        <w:rPr>
          <w:rFonts w:eastAsia="SimSun"/>
        </w:rPr>
        <w:t>On February</w:t>
      </w:r>
      <w:r>
        <w:rPr>
          <w:rFonts w:eastAsia="SimSun"/>
        </w:rPr>
        <w:t> </w:t>
      </w:r>
      <w:r w:rsidRPr="007C1DE6">
        <w:rPr>
          <w:rFonts w:eastAsia="SimSun"/>
        </w:rPr>
        <w:t>10, 2012, Puget Energy entered into a</w:t>
      </w:r>
      <w:r>
        <w:rPr>
          <w:rFonts w:eastAsia="SimSun"/>
        </w:rPr>
        <w:t xml:space="preserve"> $1 </w:t>
      </w:r>
      <w:r w:rsidRPr="007C1DE6">
        <w:rPr>
          <w:rFonts w:eastAsia="SimSun"/>
        </w:rPr>
        <w:t>billion five-year revolving</w:t>
      </w:r>
      <w:r>
        <w:rPr>
          <w:rStyle w:val="FootnoteReference"/>
          <w:rFonts w:eastAsia="SimSun"/>
        </w:rPr>
        <w:footnoteReference w:id="1"/>
      </w:r>
      <w:r w:rsidRPr="007C1DE6">
        <w:rPr>
          <w:rFonts w:eastAsia="SimSun"/>
        </w:rPr>
        <w:t xml:space="preserve"> senior secured credit facility. </w:t>
      </w:r>
      <w:r>
        <w:rPr>
          <w:rFonts w:eastAsia="SimSun"/>
        </w:rPr>
        <w:t xml:space="preserve"> Puget Energy used initial borrowings under this five-year revolving </w:t>
      </w:r>
      <w:r w:rsidRPr="007C1DE6">
        <w:rPr>
          <w:rFonts w:eastAsia="SimSun"/>
        </w:rPr>
        <w:t>facility to repay debt outstanding under the term</w:t>
      </w:r>
      <w:r>
        <w:rPr>
          <w:rFonts w:eastAsia="SimSun"/>
        </w:rPr>
        <w:t xml:space="preserve"> </w:t>
      </w:r>
      <w:r w:rsidRPr="007C1DE6">
        <w:rPr>
          <w:rFonts w:eastAsia="SimSun"/>
        </w:rPr>
        <w:t>loan and capital expenditure credit facility</w:t>
      </w:r>
      <w:r>
        <w:rPr>
          <w:rFonts w:eastAsia="SimSun"/>
        </w:rPr>
        <w:t>, and Puget Energy terminated those agreements.</w:t>
      </w:r>
    </w:p>
    <w:p w:rsidR="0088373F" w:rsidRDefault="0088373F" w:rsidP="00817876">
      <w:pPr>
        <w:pStyle w:val="answer"/>
        <w:ind w:firstLine="0"/>
        <w:rPr>
          <w:rFonts w:eastAsia="SimSun"/>
        </w:rPr>
      </w:pPr>
      <w:r w:rsidRPr="00817876">
        <w:rPr>
          <w:rFonts w:eastAsia="SimSun"/>
        </w:rPr>
        <w:t>On June</w:t>
      </w:r>
      <w:r>
        <w:rPr>
          <w:rFonts w:eastAsia="SimSun"/>
        </w:rPr>
        <w:t> </w:t>
      </w:r>
      <w:r w:rsidRPr="00817876">
        <w:rPr>
          <w:rFonts w:eastAsia="SimSun"/>
        </w:rPr>
        <w:t>15, 2012, Puget Energy issued $450</w:t>
      </w:r>
      <w:r>
        <w:rPr>
          <w:rFonts w:eastAsia="SimSun"/>
        </w:rPr>
        <w:t> </w:t>
      </w:r>
      <w:r w:rsidRPr="00817876">
        <w:rPr>
          <w:rFonts w:eastAsia="SimSun"/>
        </w:rPr>
        <w:t>million of senior secured notes</w:t>
      </w:r>
      <w:r>
        <w:rPr>
          <w:rFonts w:eastAsia="SimSun"/>
        </w:rPr>
        <w:t xml:space="preserve">, which </w:t>
      </w:r>
      <w:r w:rsidRPr="00817876">
        <w:rPr>
          <w:rFonts w:eastAsia="SimSun"/>
        </w:rPr>
        <w:t>mature on</w:t>
      </w:r>
      <w:r>
        <w:rPr>
          <w:rFonts w:eastAsia="SimSun"/>
        </w:rPr>
        <w:t xml:space="preserve"> </w:t>
      </w:r>
      <w:r w:rsidRPr="00817876">
        <w:rPr>
          <w:rFonts w:eastAsia="SimSun"/>
        </w:rPr>
        <w:t>July</w:t>
      </w:r>
      <w:r>
        <w:rPr>
          <w:rFonts w:eastAsia="SimSun"/>
        </w:rPr>
        <w:t> </w:t>
      </w:r>
      <w:r w:rsidRPr="00817876">
        <w:rPr>
          <w:rFonts w:eastAsia="SimSun"/>
        </w:rPr>
        <w:t>15, 2022</w:t>
      </w:r>
      <w:r>
        <w:rPr>
          <w:rFonts w:eastAsia="SimSun"/>
        </w:rPr>
        <w:t>,</w:t>
      </w:r>
      <w:r w:rsidRPr="00817876">
        <w:rPr>
          <w:rFonts w:eastAsia="SimSun"/>
        </w:rPr>
        <w:t xml:space="preserve"> and have an interest rate of 5.625</w:t>
      </w:r>
      <w:r>
        <w:rPr>
          <w:rFonts w:eastAsia="SimSun"/>
        </w:rPr>
        <w:t> percent</w:t>
      </w:r>
      <w:r w:rsidRPr="00817876">
        <w:rPr>
          <w:rFonts w:eastAsia="SimSun"/>
        </w:rPr>
        <w:t xml:space="preserve">. </w:t>
      </w:r>
      <w:r>
        <w:rPr>
          <w:rFonts w:eastAsia="SimSun"/>
        </w:rPr>
        <w:t xml:space="preserve"> Puget Energy used n</w:t>
      </w:r>
      <w:r w:rsidRPr="00817876">
        <w:rPr>
          <w:rFonts w:eastAsia="SimSun"/>
        </w:rPr>
        <w:t xml:space="preserve">et proceeds from </w:t>
      </w:r>
      <w:r>
        <w:rPr>
          <w:rFonts w:eastAsia="SimSun"/>
        </w:rPr>
        <w:t xml:space="preserve">this </w:t>
      </w:r>
      <w:r w:rsidRPr="00817876">
        <w:rPr>
          <w:rFonts w:eastAsia="SimSun"/>
        </w:rPr>
        <w:t>note offering to pay down</w:t>
      </w:r>
      <w:r>
        <w:rPr>
          <w:rFonts w:eastAsia="SimSun"/>
        </w:rPr>
        <w:t xml:space="preserve"> </w:t>
      </w:r>
      <w:r w:rsidRPr="00817876">
        <w:rPr>
          <w:rFonts w:eastAsia="SimSun"/>
        </w:rPr>
        <w:t>$425</w:t>
      </w:r>
      <w:r>
        <w:rPr>
          <w:rFonts w:eastAsia="SimSun"/>
        </w:rPr>
        <w:t> </w:t>
      </w:r>
      <w:r w:rsidRPr="00817876">
        <w:rPr>
          <w:rFonts w:eastAsia="SimSun"/>
        </w:rPr>
        <w:t>million of the $859</w:t>
      </w:r>
      <w:r>
        <w:rPr>
          <w:rFonts w:eastAsia="SimSun"/>
        </w:rPr>
        <w:t> </w:t>
      </w:r>
      <w:r w:rsidRPr="00817876">
        <w:rPr>
          <w:rFonts w:eastAsia="SimSun"/>
        </w:rPr>
        <w:t xml:space="preserve">million balance outstanding </w:t>
      </w:r>
      <w:r>
        <w:rPr>
          <w:rFonts w:eastAsia="SimSun"/>
        </w:rPr>
        <w:t xml:space="preserve">on the five-year </w:t>
      </w:r>
      <w:r w:rsidRPr="00817876">
        <w:rPr>
          <w:rFonts w:eastAsia="SimSun"/>
        </w:rPr>
        <w:t xml:space="preserve">revolving </w:t>
      </w:r>
      <w:r>
        <w:rPr>
          <w:rFonts w:eastAsia="SimSun"/>
        </w:rPr>
        <w:t>facility.</w:t>
      </w:r>
    </w:p>
    <w:p w:rsidR="0088373F" w:rsidRPr="00817876" w:rsidRDefault="0088373F" w:rsidP="00817876">
      <w:pPr>
        <w:pStyle w:val="answer"/>
        <w:ind w:firstLine="0"/>
        <w:rPr>
          <w:rFonts w:eastAsia="SimSun"/>
        </w:rPr>
      </w:pPr>
      <w:r w:rsidRPr="00817876">
        <w:rPr>
          <w:rFonts w:eastAsia="SimSun"/>
        </w:rPr>
        <w:t>As of December</w:t>
      </w:r>
      <w:r>
        <w:rPr>
          <w:rFonts w:eastAsia="SimSun"/>
        </w:rPr>
        <w:t> </w:t>
      </w:r>
      <w:r w:rsidRPr="00817876">
        <w:rPr>
          <w:rFonts w:eastAsia="SimSun"/>
        </w:rPr>
        <w:t>31, 2012, Puget Energy had a $434</w:t>
      </w:r>
      <w:r>
        <w:rPr>
          <w:rFonts w:eastAsia="SimSun"/>
        </w:rPr>
        <w:t> </w:t>
      </w:r>
      <w:r w:rsidRPr="00817876">
        <w:rPr>
          <w:rFonts w:eastAsia="SimSun"/>
        </w:rPr>
        <w:t xml:space="preserve">million </w:t>
      </w:r>
      <w:r>
        <w:rPr>
          <w:rFonts w:eastAsia="SimSun"/>
        </w:rPr>
        <w:t xml:space="preserve">balance outstanding on the five-year </w:t>
      </w:r>
      <w:r w:rsidRPr="00817876">
        <w:rPr>
          <w:rFonts w:eastAsia="SimSun"/>
        </w:rPr>
        <w:t xml:space="preserve">revolving </w:t>
      </w:r>
      <w:r>
        <w:rPr>
          <w:rFonts w:eastAsia="SimSun"/>
        </w:rPr>
        <w:t>facility</w:t>
      </w:r>
      <w:r w:rsidRPr="00817876">
        <w:rPr>
          <w:rFonts w:eastAsia="SimSun"/>
        </w:rPr>
        <w:t xml:space="preserve">. </w:t>
      </w:r>
      <w:r>
        <w:rPr>
          <w:rFonts w:eastAsia="SimSun"/>
        </w:rPr>
        <w:t xml:space="preserve"> In </w:t>
      </w:r>
      <w:r w:rsidRPr="00817876">
        <w:rPr>
          <w:rFonts w:eastAsia="SimSun"/>
        </w:rPr>
        <w:t xml:space="preserve">February 2013, </w:t>
      </w:r>
      <w:r>
        <w:rPr>
          <w:rFonts w:eastAsia="SimSun"/>
        </w:rPr>
        <w:t xml:space="preserve">Puget Energy </w:t>
      </w:r>
      <w:r w:rsidRPr="00817876">
        <w:rPr>
          <w:rFonts w:eastAsia="SimSun"/>
        </w:rPr>
        <w:t xml:space="preserve">reduced the size of </w:t>
      </w:r>
      <w:r>
        <w:rPr>
          <w:rFonts w:eastAsia="SimSun"/>
        </w:rPr>
        <w:t>five-year revolving facility from $1 billion to $800 </w:t>
      </w:r>
      <w:r w:rsidRPr="00817876">
        <w:rPr>
          <w:rFonts w:eastAsia="SimSun"/>
        </w:rPr>
        <w:t xml:space="preserve">million. </w:t>
      </w:r>
      <w:r>
        <w:rPr>
          <w:rFonts w:eastAsia="SimSun"/>
        </w:rPr>
        <w:t xml:space="preserve"> (</w:t>
      </w:r>
      <w:r w:rsidRPr="00817876">
        <w:rPr>
          <w:rFonts w:eastAsia="SimSun"/>
        </w:rPr>
        <w:t xml:space="preserve">The </w:t>
      </w:r>
      <w:r w:rsidRPr="007C1DE6">
        <w:rPr>
          <w:rFonts w:eastAsia="SimSun"/>
        </w:rPr>
        <w:t>five-year revolving</w:t>
      </w:r>
      <w:r w:rsidRPr="00817876">
        <w:rPr>
          <w:rFonts w:eastAsia="SimSun"/>
        </w:rPr>
        <w:t xml:space="preserve"> </w:t>
      </w:r>
      <w:r>
        <w:rPr>
          <w:rFonts w:eastAsia="SimSun"/>
        </w:rPr>
        <w:t xml:space="preserve">facility </w:t>
      </w:r>
      <w:r w:rsidRPr="00817876">
        <w:rPr>
          <w:rFonts w:eastAsia="SimSun"/>
        </w:rPr>
        <w:t>also has an accordion feature that, upon the banks</w:t>
      </w:r>
      <w:r>
        <w:rPr>
          <w:rFonts w:eastAsia="SimSun"/>
        </w:rPr>
        <w:t>’</w:t>
      </w:r>
      <w:r w:rsidRPr="00817876">
        <w:rPr>
          <w:rFonts w:eastAsia="SimSun"/>
        </w:rPr>
        <w:t xml:space="preserve"> approval, would increase the size of the facility to</w:t>
      </w:r>
      <w:r>
        <w:rPr>
          <w:rFonts w:eastAsia="SimSun"/>
        </w:rPr>
        <w:t xml:space="preserve"> </w:t>
      </w:r>
      <w:r w:rsidRPr="00817876">
        <w:rPr>
          <w:rFonts w:eastAsia="SimSun"/>
        </w:rPr>
        <w:t>$1.3 billion.</w:t>
      </w:r>
      <w:r>
        <w:rPr>
          <w:rFonts w:eastAsia="SimSun"/>
        </w:rPr>
        <w:t>)  These refinancings were made in line with the merger commitments approved by this Commission that required PSE to refinance the term loan with intermediate or long-term debt.</w:t>
      </w:r>
    </w:p>
    <w:p w:rsidR="0088373F" w:rsidRDefault="0088373F" w:rsidP="007C2E45">
      <w:pPr>
        <w:pStyle w:val="question"/>
        <w:keepNext/>
        <w:keepLines/>
        <w:rPr>
          <w:rFonts w:eastAsia="SimSun"/>
        </w:rPr>
      </w:pPr>
      <w:r>
        <w:rPr>
          <w:rFonts w:eastAsia="SimSun"/>
        </w:rPr>
        <w:t>Q.</w:t>
      </w:r>
      <w:r>
        <w:rPr>
          <w:rFonts w:eastAsia="SimSun"/>
        </w:rPr>
        <w:tab/>
        <w:t>What has Puget Energy’s dividend to shareholders been since the merger?</w:t>
      </w:r>
    </w:p>
    <w:p w:rsidR="0088373F" w:rsidRDefault="0088373F" w:rsidP="007C2E45">
      <w:pPr>
        <w:pStyle w:val="answer"/>
        <w:rPr>
          <w:rFonts w:eastAsia="SimSun"/>
        </w:rPr>
      </w:pPr>
      <w:r w:rsidRPr="002C3969">
        <w:rPr>
          <w:rFonts w:eastAsia="SimSun"/>
        </w:rPr>
        <w:t>A.</w:t>
      </w:r>
      <w:r w:rsidRPr="002C3969">
        <w:rPr>
          <w:rFonts w:eastAsia="SimSun"/>
        </w:rPr>
        <w:tab/>
        <w:t>As shown below in Table</w:t>
      </w:r>
      <w:r>
        <w:rPr>
          <w:rFonts w:eastAsia="SimSun"/>
        </w:rPr>
        <w:t> 6 below</w:t>
      </w:r>
      <w:r w:rsidRPr="002C3969">
        <w:rPr>
          <w:rFonts w:eastAsia="SimSun"/>
        </w:rPr>
        <w:t xml:space="preserve">, </w:t>
      </w:r>
      <w:r>
        <w:rPr>
          <w:rFonts w:eastAsia="SimSun"/>
        </w:rPr>
        <w:t>Puget Energy’s annual average dividends to shareholders since the merger has been $98.334 million per year:</w:t>
      </w:r>
    </w:p>
    <w:p w:rsidR="0088373F" w:rsidRDefault="0088373F" w:rsidP="00524437">
      <w:pPr>
        <w:pStyle w:val="answer"/>
        <w:keepNext/>
        <w:keepLines/>
        <w:spacing w:before="0" w:after="60" w:line="240" w:lineRule="auto"/>
        <w:ind w:left="0" w:firstLine="0"/>
        <w:jc w:val="center"/>
        <w:rPr>
          <w:rFonts w:eastAsia="SimSun"/>
          <w:b/>
        </w:rPr>
      </w:pPr>
      <w:r w:rsidRPr="00AD45F2">
        <w:rPr>
          <w:rFonts w:eastAsia="SimSun"/>
          <w:b/>
        </w:rPr>
        <w:t>Table </w:t>
      </w:r>
      <w:r>
        <w:rPr>
          <w:rFonts w:eastAsia="SimSun"/>
          <w:b/>
        </w:rPr>
        <w:t>6</w:t>
      </w:r>
      <w:r w:rsidRPr="00AD45F2">
        <w:rPr>
          <w:rFonts w:eastAsia="SimSun"/>
          <w:b/>
        </w:rPr>
        <w:t xml:space="preserve">.  </w:t>
      </w:r>
      <w:r>
        <w:rPr>
          <w:rFonts w:eastAsia="SimSun"/>
          <w:b/>
        </w:rPr>
        <w:t>Puget Energy Dividend</w:t>
      </w:r>
    </w:p>
    <w:p w:rsidR="0088373F" w:rsidRPr="00524437" w:rsidRDefault="0088373F" w:rsidP="00524437">
      <w:pPr>
        <w:pStyle w:val="answer"/>
        <w:keepNext/>
        <w:keepLines/>
        <w:spacing w:before="0" w:after="60" w:line="240" w:lineRule="auto"/>
        <w:ind w:left="0" w:firstLine="0"/>
        <w:jc w:val="center"/>
        <w:rPr>
          <w:rFonts w:eastAsia="SimSun"/>
          <w:b/>
        </w:rPr>
      </w:pPr>
      <w:r>
        <w:rPr>
          <w:rFonts w:eastAsia="SimSun"/>
          <w:b/>
        </w:rPr>
        <w:t>(since merger in 2009)</w:t>
      </w:r>
      <w:r>
        <w:rPr>
          <w:rFonts w:eastAsia="SimSun"/>
          <w:b/>
        </w:rPr>
        <w:br/>
      </w:r>
      <w:r w:rsidRPr="00AD45F2">
        <w:rPr>
          <w:rFonts w:eastAsia="SimSun"/>
          <w:b/>
        </w:rPr>
        <w:t>(</w:t>
      </w:r>
      <w:r>
        <w:rPr>
          <w:rFonts w:eastAsia="SimSun"/>
          <w:b/>
        </w:rPr>
        <w:t>Thousands</w:t>
      </w:r>
      <w:r w:rsidRPr="00AD45F2">
        <w:rPr>
          <w:rFonts w:eastAsia="SimSun"/>
          <w:b/>
        </w:rPr>
        <w:t>)</w:t>
      </w:r>
    </w:p>
    <w:tbl>
      <w:tblPr>
        <w:tblW w:w="0" w:type="auto"/>
        <w:jc w:val="center"/>
        <w:tblInd w:w="720" w:type="dxa"/>
        <w:tblLook w:val="00A0"/>
      </w:tblPr>
      <w:tblGrid>
        <w:gridCol w:w="2196"/>
        <w:gridCol w:w="1396"/>
      </w:tblGrid>
      <w:tr w:rsidR="0088373F" w:rsidRPr="00524437" w:rsidTr="00485EA0">
        <w:trPr>
          <w:jc w:val="center"/>
        </w:trPr>
        <w:tc>
          <w:tcPr>
            <w:tcW w:w="219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Year</w:t>
            </w:r>
          </w:p>
        </w:tc>
        <w:tc>
          <w:tcPr>
            <w:tcW w:w="139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Dividend</w:t>
            </w:r>
          </w:p>
        </w:tc>
      </w:tr>
      <w:tr w:rsidR="0088373F" w:rsidTr="00485EA0">
        <w:trPr>
          <w:jc w:val="center"/>
        </w:trPr>
        <w:tc>
          <w:tcPr>
            <w:tcW w:w="2196" w:type="dxa"/>
            <w:tcBorders>
              <w:top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2009 (post-merger)*</w:t>
            </w:r>
          </w:p>
        </w:tc>
        <w:tc>
          <w:tcPr>
            <w:tcW w:w="1396" w:type="dxa"/>
            <w:tcBorders>
              <w:top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$82,991</w:t>
            </w:r>
          </w:p>
        </w:tc>
      </w:tr>
      <w:tr w:rsidR="0088373F" w:rsidTr="00485EA0">
        <w:trPr>
          <w:jc w:val="center"/>
        </w:trPr>
        <w:tc>
          <w:tcPr>
            <w:tcW w:w="219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2010</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$104,311</w:t>
            </w:r>
          </w:p>
        </w:tc>
      </w:tr>
      <w:tr w:rsidR="0088373F" w:rsidTr="00485EA0">
        <w:trPr>
          <w:jc w:val="center"/>
        </w:trPr>
        <w:tc>
          <w:tcPr>
            <w:tcW w:w="219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2011</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$117,441</w:t>
            </w:r>
          </w:p>
        </w:tc>
      </w:tr>
      <w:tr w:rsidR="0088373F" w:rsidTr="00485EA0">
        <w:trPr>
          <w:jc w:val="center"/>
        </w:trPr>
        <w:tc>
          <w:tcPr>
            <w:tcW w:w="2196" w:type="dxa"/>
            <w:tcBorders>
              <w:bottom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2012</w:t>
            </w:r>
          </w:p>
        </w:tc>
        <w:tc>
          <w:tcPr>
            <w:tcW w:w="139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$88,594</w:t>
            </w:r>
          </w:p>
        </w:tc>
      </w:tr>
      <w:tr w:rsidR="0088373F" w:rsidTr="00485EA0">
        <w:trPr>
          <w:trHeight w:val="458"/>
          <w:jc w:val="center"/>
        </w:trPr>
        <w:tc>
          <w:tcPr>
            <w:tcW w:w="2196" w:type="dxa"/>
            <w:tcBorders>
              <w:top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Average</w:t>
            </w:r>
          </w:p>
        </w:tc>
        <w:tc>
          <w:tcPr>
            <w:tcW w:w="1396" w:type="dxa"/>
            <w:tcBorders>
              <w:top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$98,334</w:t>
            </w:r>
          </w:p>
        </w:tc>
      </w:tr>
    </w:tbl>
    <w:p w:rsidR="0088373F" w:rsidRPr="005E5219" w:rsidRDefault="0088373F" w:rsidP="005E5219">
      <w:pPr>
        <w:pStyle w:val="answer"/>
        <w:spacing w:before="0" w:after="0" w:line="240" w:lineRule="auto"/>
        <w:ind w:left="2707" w:hanging="187"/>
        <w:rPr>
          <w:rFonts w:eastAsia="SimSun"/>
          <w:sz w:val="20"/>
        </w:rPr>
      </w:pPr>
      <w:r w:rsidRPr="005E5219">
        <w:rPr>
          <w:rFonts w:eastAsia="SimSun"/>
          <w:sz w:val="20"/>
        </w:rPr>
        <w:t>*</w:t>
      </w:r>
      <w:r w:rsidRPr="005E5219">
        <w:rPr>
          <w:rFonts w:eastAsia="SimSun"/>
          <w:sz w:val="20"/>
        </w:rPr>
        <w:tab/>
        <w:t>February 6, 2009, through</w:t>
      </w:r>
      <w:r>
        <w:rPr>
          <w:rFonts w:eastAsia="SimSun"/>
          <w:sz w:val="20"/>
        </w:rPr>
        <w:t xml:space="preserve"> </w:t>
      </w:r>
      <w:r w:rsidRPr="005E5219">
        <w:rPr>
          <w:rFonts w:eastAsia="SimSun"/>
          <w:sz w:val="20"/>
        </w:rPr>
        <w:t>December 31, 2009</w:t>
      </w:r>
    </w:p>
    <w:p w:rsidR="0088373F" w:rsidRDefault="0088373F" w:rsidP="00596596">
      <w:pPr>
        <w:pStyle w:val="answer"/>
        <w:spacing w:before="360"/>
        <w:ind w:firstLine="0"/>
        <w:rPr>
          <w:rFonts w:eastAsia="SimSun"/>
        </w:rPr>
      </w:pPr>
      <w:r>
        <w:rPr>
          <w:rFonts w:eastAsia="SimSun"/>
        </w:rPr>
        <w:t>This average annual dividend to shareholders is less than the ten-year average annual Puget Energy dividend of $108.773 million to shareholders, as shown in Table 7 below.</w:t>
      </w:r>
    </w:p>
    <w:p w:rsidR="0088373F" w:rsidRPr="00524437" w:rsidRDefault="0088373F" w:rsidP="004D4655">
      <w:pPr>
        <w:pStyle w:val="answer"/>
        <w:keepNext/>
        <w:keepLines/>
        <w:spacing w:before="0" w:after="60" w:line="240" w:lineRule="auto"/>
        <w:ind w:left="0" w:firstLine="0"/>
        <w:jc w:val="center"/>
        <w:rPr>
          <w:rFonts w:eastAsia="SimSun"/>
          <w:b/>
        </w:rPr>
      </w:pPr>
      <w:r w:rsidRPr="00AD45F2">
        <w:rPr>
          <w:rFonts w:eastAsia="SimSun"/>
          <w:b/>
        </w:rPr>
        <w:t>Table </w:t>
      </w:r>
      <w:r>
        <w:rPr>
          <w:rFonts w:eastAsia="SimSun"/>
          <w:b/>
        </w:rPr>
        <w:t>7</w:t>
      </w:r>
      <w:r w:rsidRPr="00AD45F2">
        <w:rPr>
          <w:rFonts w:eastAsia="SimSun"/>
          <w:b/>
        </w:rPr>
        <w:t xml:space="preserve">.  </w:t>
      </w:r>
      <w:r>
        <w:rPr>
          <w:rFonts w:eastAsia="SimSun"/>
          <w:b/>
        </w:rPr>
        <w:t>Puget Energy Dividend</w:t>
      </w:r>
      <w:r>
        <w:rPr>
          <w:rFonts w:eastAsia="SimSun"/>
          <w:b/>
        </w:rPr>
        <w:br/>
        <w:t>(Calendar Years 2003-2012)</w:t>
      </w:r>
      <w:r>
        <w:rPr>
          <w:rFonts w:eastAsia="SimSun"/>
          <w:b/>
        </w:rPr>
        <w:br/>
        <w:t>(Thousands)</w:t>
      </w:r>
    </w:p>
    <w:tbl>
      <w:tblPr>
        <w:tblW w:w="0" w:type="auto"/>
        <w:jc w:val="center"/>
        <w:tblInd w:w="720" w:type="dxa"/>
        <w:tblLook w:val="00A0"/>
      </w:tblPr>
      <w:tblGrid>
        <w:gridCol w:w="2436"/>
        <w:gridCol w:w="1396"/>
      </w:tblGrid>
      <w:tr w:rsidR="0088373F" w:rsidRPr="00524437" w:rsidTr="00485EA0">
        <w:trPr>
          <w:jc w:val="center"/>
        </w:trPr>
        <w:tc>
          <w:tcPr>
            <w:tcW w:w="243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Year</w:t>
            </w:r>
          </w:p>
        </w:tc>
        <w:tc>
          <w:tcPr>
            <w:tcW w:w="139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Dividend</w:t>
            </w:r>
          </w:p>
        </w:tc>
      </w:tr>
      <w:tr w:rsidR="0088373F" w:rsidTr="00485EA0">
        <w:trPr>
          <w:jc w:val="center"/>
        </w:trPr>
        <w:tc>
          <w:tcPr>
            <w:tcW w:w="2436" w:type="dxa"/>
            <w:tcBorders>
              <w:top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2003</w:t>
            </w:r>
          </w:p>
        </w:tc>
        <w:tc>
          <w:tcPr>
            <w:tcW w:w="1396" w:type="dxa"/>
            <w:tcBorders>
              <w:top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$93,965</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2004</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$99,386</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2005</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$100,172</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2006</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$116,094</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2007</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$116,914</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2008</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$129,677</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2009 (pre-merger)*</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$38,188</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2009 (post-merger)**</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$82,991</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2010</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$104,311</w:t>
            </w:r>
          </w:p>
        </w:tc>
      </w:tr>
      <w:tr w:rsidR="0088373F" w:rsidTr="00485EA0">
        <w:trPr>
          <w:jc w:val="center"/>
        </w:trPr>
        <w:tc>
          <w:tcPr>
            <w:tcW w:w="2436" w:type="dxa"/>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2011</w:t>
            </w:r>
          </w:p>
        </w:tc>
        <w:tc>
          <w:tcPr>
            <w:tcW w:w="1396" w:type="dxa"/>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$117,441</w:t>
            </w:r>
          </w:p>
        </w:tc>
      </w:tr>
      <w:tr w:rsidR="0088373F" w:rsidTr="00485EA0">
        <w:trPr>
          <w:jc w:val="center"/>
        </w:trPr>
        <w:tc>
          <w:tcPr>
            <w:tcW w:w="2436" w:type="dxa"/>
            <w:tcBorders>
              <w:bottom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2012</w:t>
            </w:r>
          </w:p>
        </w:tc>
        <w:tc>
          <w:tcPr>
            <w:tcW w:w="1396" w:type="dxa"/>
            <w:tcBorders>
              <w:bottom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$88,594</w:t>
            </w:r>
          </w:p>
        </w:tc>
      </w:tr>
      <w:tr w:rsidR="0088373F" w:rsidTr="00485EA0">
        <w:trPr>
          <w:trHeight w:val="458"/>
          <w:jc w:val="center"/>
        </w:trPr>
        <w:tc>
          <w:tcPr>
            <w:tcW w:w="2436" w:type="dxa"/>
            <w:tcBorders>
              <w:top w:val="single" w:sz="4" w:space="0" w:color="000000"/>
            </w:tcBorders>
          </w:tcPr>
          <w:p w:rsidR="0088373F" w:rsidRPr="00442A6A" w:rsidRDefault="0088373F" w:rsidP="00596596">
            <w:pPr>
              <w:pStyle w:val="answer"/>
              <w:keepNext/>
              <w:keepLines/>
              <w:spacing w:before="60" w:after="60" w:line="240" w:lineRule="auto"/>
              <w:ind w:left="0" w:firstLine="0"/>
              <w:rPr>
                <w:rFonts w:ascii="Times New Roman" w:eastAsia="SimSun" w:hAnsi="Times New Roman"/>
              </w:rPr>
            </w:pPr>
            <w:r w:rsidRPr="00442A6A">
              <w:rPr>
                <w:rFonts w:ascii="Times New Roman" w:eastAsia="SimSun" w:hAnsi="Times New Roman"/>
              </w:rPr>
              <w:t>Average</w:t>
            </w:r>
          </w:p>
        </w:tc>
        <w:tc>
          <w:tcPr>
            <w:tcW w:w="1396" w:type="dxa"/>
            <w:tcBorders>
              <w:top w:val="single" w:sz="4" w:space="0" w:color="000000"/>
            </w:tcBorders>
          </w:tcPr>
          <w:p w:rsidR="0088373F" w:rsidRPr="00442A6A" w:rsidRDefault="0088373F" w:rsidP="00596596">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$108,773</w:t>
            </w:r>
          </w:p>
        </w:tc>
      </w:tr>
    </w:tbl>
    <w:p w:rsidR="0088373F" w:rsidRPr="005E5219" w:rsidRDefault="0088373F" w:rsidP="005E5219">
      <w:pPr>
        <w:pStyle w:val="answer"/>
        <w:spacing w:before="0" w:after="0" w:line="240" w:lineRule="auto"/>
        <w:ind w:left="2707" w:hanging="187"/>
        <w:rPr>
          <w:rFonts w:eastAsia="SimSun"/>
          <w:sz w:val="20"/>
        </w:rPr>
      </w:pPr>
      <w:r w:rsidRPr="005E5219">
        <w:rPr>
          <w:rFonts w:eastAsia="SimSun"/>
          <w:sz w:val="20"/>
        </w:rPr>
        <w:t>*</w:t>
      </w:r>
      <w:r w:rsidRPr="005E5219">
        <w:rPr>
          <w:rFonts w:eastAsia="SimSun"/>
          <w:sz w:val="20"/>
        </w:rPr>
        <w:tab/>
      </w:r>
      <w:r>
        <w:rPr>
          <w:rFonts w:eastAsia="SimSun"/>
          <w:sz w:val="20"/>
        </w:rPr>
        <w:tab/>
        <w:t>January 1, 2009, through February 5, 2009</w:t>
      </w:r>
    </w:p>
    <w:p w:rsidR="0088373F" w:rsidRPr="005E5219" w:rsidRDefault="0088373F" w:rsidP="005E5219">
      <w:pPr>
        <w:pStyle w:val="answer"/>
        <w:spacing w:before="0" w:after="0" w:line="240" w:lineRule="auto"/>
        <w:ind w:left="2707" w:hanging="187"/>
        <w:rPr>
          <w:rFonts w:eastAsia="SimSun"/>
          <w:sz w:val="20"/>
        </w:rPr>
      </w:pPr>
      <w:r w:rsidRPr="005E5219">
        <w:rPr>
          <w:rFonts w:eastAsia="SimSun"/>
          <w:sz w:val="20"/>
        </w:rPr>
        <w:t>*</w:t>
      </w:r>
      <w:r>
        <w:rPr>
          <w:rFonts w:eastAsia="SimSun"/>
          <w:sz w:val="20"/>
        </w:rPr>
        <w:t>*</w:t>
      </w:r>
      <w:r w:rsidRPr="005E5219">
        <w:rPr>
          <w:rFonts w:eastAsia="SimSun"/>
          <w:sz w:val="20"/>
        </w:rPr>
        <w:tab/>
        <w:t>February 6, 2009, through</w:t>
      </w:r>
      <w:r>
        <w:rPr>
          <w:rFonts w:eastAsia="SimSun"/>
          <w:sz w:val="20"/>
        </w:rPr>
        <w:t xml:space="preserve"> </w:t>
      </w:r>
      <w:r w:rsidRPr="005E5219">
        <w:rPr>
          <w:rFonts w:eastAsia="SimSun"/>
          <w:sz w:val="20"/>
        </w:rPr>
        <w:t>December 31, 2009</w:t>
      </w:r>
    </w:p>
    <w:p w:rsidR="0088373F" w:rsidRPr="00817876" w:rsidRDefault="0088373F" w:rsidP="005E5219">
      <w:pPr>
        <w:pStyle w:val="answer"/>
        <w:spacing w:before="360"/>
        <w:ind w:firstLine="0"/>
        <w:rPr>
          <w:rFonts w:eastAsia="SimSun"/>
        </w:rPr>
      </w:pPr>
      <w:r>
        <w:rPr>
          <w:rFonts w:eastAsia="SimSun"/>
        </w:rPr>
        <w:t xml:space="preserve">Given the relative reduction in annual average Puget Energy dividends to shareholders since the merger and considering the growth of PSE over this period, any potential implication that Puget Energy is paying extraordinary dividends to shareholders is patently false.  Indeed, the Puget Energy dividends in calendar year 2012 were the smallest dividends in over a decade. </w:t>
      </w:r>
    </w:p>
    <w:p w:rsidR="0088373F" w:rsidRPr="002C3969" w:rsidRDefault="0088373F" w:rsidP="00461E68">
      <w:pPr>
        <w:pStyle w:val="Heading2"/>
        <w:rPr>
          <w:rFonts w:eastAsia="SimSun"/>
        </w:rPr>
      </w:pPr>
      <w:bookmarkStart w:id="14" w:name="_Toc355779803"/>
      <w:r>
        <w:rPr>
          <w:rFonts w:eastAsia="SimSun"/>
        </w:rPr>
        <w:t>C.</w:t>
      </w:r>
      <w:r>
        <w:rPr>
          <w:rFonts w:eastAsia="SimSun"/>
        </w:rPr>
        <w:tab/>
        <w:t>ICNU Erroneously Suggests that PSE’s Pension Expense is N</w:t>
      </w:r>
      <w:r w:rsidRPr="002C3969">
        <w:rPr>
          <w:rFonts w:eastAsia="SimSun"/>
        </w:rPr>
        <w:t>ot</w:t>
      </w:r>
      <w:r>
        <w:rPr>
          <w:rFonts w:eastAsia="SimSun"/>
        </w:rPr>
        <w:t xml:space="preserve"> I</w:t>
      </w:r>
      <w:r w:rsidRPr="002C3969">
        <w:rPr>
          <w:rFonts w:eastAsia="SimSun"/>
        </w:rPr>
        <w:t xml:space="preserve">ndicative of </w:t>
      </w:r>
      <w:r>
        <w:rPr>
          <w:rFonts w:eastAsia="SimSun"/>
        </w:rPr>
        <w:t>C</w:t>
      </w:r>
      <w:r w:rsidRPr="002C3969">
        <w:rPr>
          <w:rFonts w:eastAsia="SimSun"/>
        </w:rPr>
        <w:t xml:space="preserve">urrent </w:t>
      </w:r>
      <w:r>
        <w:rPr>
          <w:rFonts w:eastAsia="SimSun"/>
        </w:rPr>
        <w:t>C</w:t>
      </w:r>
      <w:r w:rsidRPr="002C3969">
        <w:rPr>
          <w:rFonts w:eastAsia="SimSun"/>
        </w:rPr>
        <w:t xml:space="preserve">ontribution </w:t>
      </w:r>
      <w:r>
        <w:rPr>
          <w:rFonts w:eastAsia="SimSun"/>
        </w:rPr>
        <w:t>Levels</w:t>
      </w:r>
      <w:bookmarkEnd w:id="14"/>
    </w:p>
    <w:p w:rsidR="0088373F" w:rsidRDefault="0088373F" w:rsidP="008A7C70">
      <w:pPr>
        <w:pStyle w:val="question"/>
        <w:keepNext/>
        <w:keepLines/>
        <w:rPr>
          <w:rFonts w:eastAsia="SimSun"/>
        </w:rPr>
      </w:pPr>
      <w:r>
        <w:rPr>
          <w:rFonts w:eastAsia="SimSun"/>
        </w:rPr>
        <w:t>Q.</w:t>
      </w:r>
      <w:r>
        <w:rPr>
          <w:rFonts w:eastAsia="SimSun"/>
        </w:rPr>
        <w:tab/>
        <w:t>Is ICNU correct that the recovery of PSE’s pension contributions in rates is not indicative of current contribution levels?</w:t>
      </w:r>
    </w:p>
    <w:p w:rsidR="0088373F" w:rsidRDefault="0088373F" w:rsidP="008A7C70">
      <w:pPr>
        <w:pStyle w:val="answer"/>
        <w:rPr>
          <w:rFonts w:eastAsia="SimSun"/>
        </w:rPr>
      </w:pPr>
      <w:r w:rsidRPr="002C3969">
        <w:rPr>
          <w:rFonts w:eastAsia="SimSun"/>
        </w:rPr>
        <w:t>A.</w:t>
      </w:r>
      <w:r w:rsidRPr="002C3969">
        <w:rPr>
          <w:rFonts w:eastAsia="SimSun"/>
        </w:rPr>
        <w:tab/>
      </w:r>
      <w:r>
        <w:rPr>
          <w:rFonts w:eastAsia="SimSun"/>
        </w:rPr>
        <w:t>No.  ICNU incorrectly asserts that PSE’s pension recovery is not indicative of current contribution levels.  Specifically, ICNU suggests as follows:</w:t>
      </w:r>
    </w:p>
    <w:p w:rsidR="0088373F" w:rsidRPr="002C3969" w:rsidRDefault="0088373F" w:rsidP="0025026F">
      <w:pPr>
        <w:pStyle w:val="answer"/>
        <w:spacing w:before="0" w:after="280" w:line="240" w:lineRule="auto"/>
        <w:ind w:left="1440" w:firstLine="0"/>
        <w:rPr>
          <w:rFonts w:eastAsia="SimSun"/>
        </w:rPr>
      </w:pPr>
      <w:r>
        <w:rPr>
          <w:rFonts w:eastAsia="SimSun"/>
        </w:rPr>
        <w:t xml:space="preserve">the 2009 and 2010 contribution levels </w:t>
      </w:r>
      <w:r w:rsidRPr="002C3969">
        <w:rPr>
          <w:rFonts w:eastAsia="SimSun"/>
        </w:rPr>
        <w:t>are</w:t>
      </w:r>
      <w:r>
        <w:rPr>
          <w:rFonts w:eastAsia="SimSun"/>
        </w:rPr>
        <w:t xml:space="preserve"> </w:t>
      </w:r>
      <w:r w:rsidRPr="002C3969">
        <w:rPr>
          <w:rFonts w:eastAsia="SimSun"/>
        </w:rPr>
        <w:t>significantly higher than the 2011 and 2012 amounts.  The four-year average amount</w:t>
      </w:r>
      <w:r>
        <w:rPr>
          <w:rFonts w:eastAsia="SimSun"/>
        </w:rPr>
        <w:t xml:space="preserve"> </w:t>
      </w:r>
      <w:r w:rsidRPr="002C3969">
        <w:rPr>
          <w:rFonts w:eastAsia="SimSun"/>
        </w:rPr>
        <w:t>during the 2009 through 2012 period of $17.8 million is over 50% higher than the</w:t>
      </w:r>
      <w:r>
        <w:rPr>
          <w:rFonts w:eastAsia="SimSun"/>
        </w:rPr>
        <w:t xml:space="preserve"> </w:t>
      </w:r>
      <w:r w:rsidRPr="002C3969">
        <w:rPr>
          <w:rFonts w:eastAsia="SimSun"/>
        </w:rPr>
        <w:t>current 2012 level.  As a result, the amount proposed by PSE is overstated and is not</w:t>
      </w:r>
      <w:r>
        <w:rPr>
          <w:rFonts w:eastAsia="SimSun"/>
        </w:rPr>
        <w:t xml:space="preserve"> </w:t>
      </w:r>
      <w:r w:rsidRPr="002C3969">
        <w:rPr>
          <w:rFonts w:eastAsia="SimSun"/>
        </w:rPr>
        <w:t>indicative of the current contribution levels.</w:t>
      </w:r>
    </w:p>
    <w:p w:rsidR="0088373F" w:rsidRDefault="0088373F" w:rsidP="00564510">
      <w:pPr>
        <w:pStyle w:val="answer"/>
        <w:ind w:firstLine="0"/>
        <w:rPr>
          <w:rFonts w:eastAsia="SimSun"/>
        </w:rPr>
      </w:pPr>
      <w:r>
        <w:rPr>
          <w:rFonts w:eastAsia="SimSun"/>
        </w:rPr>
        <w:t>Gorman, Exh. No. ___(MPG-1T), at page 14, lines 10-14.</w:t>
      </w:r>
    </w:p>
    <w:p w:rsidR="0088373F" w:rsidRDefault="0088373F" w:rsidP="0007001B">
      <w:pPr>
        <w:pStyle w:val="question"/>
        <w:keepNext/>
        <w:keepLines/>
        <w:rPr>
          <w:rFonts w:eastAsia="SimSun"/>
        </w:rPr>
      </w:pPr>
      <w:r>
        <w:rPr>
          <w:rFonts w:eastAsia="SimSun"/>
        </w:rPr>
        <w:t>Q.</w:t>
      </w:r>
      <w:r>
        <w:rPr>
          <w:rFonts w:eastAsia="SimSun"/>
        </w:rPr>
        <w:tab/>
        <w:t>What time period does ICNU reference in testimony regarding pension contributions?</w:t>
      </w:r>
    </w:p>
    <w:p w:rsidR="0088373F" w:rsidRPr="0007001B" w:rsidRDefault="0088373F" w:rsidP="0007001B">
      <w:pPr>
        <w:pStyle w:val="answer"/>
        <w:rPr>
          <w:rFonts w:eastAsia="SimSun"/>
        </w:rPr>
      </w:pPr>
      <w:r>
        <w:rPr>
          <w:rFonts w:eastAsia="SimSun"/>
        </w:rPr>
        <w:t>A.</w:t>
      </w:r>
      <w:r>
        <w:rPr>
          <w:rFonts w:eastAsia="SimSun"/>
        </w:rPr>
        <w:tab/>
        <w:t>ICNU uses 12-month periods ending June 30, 2009 – 2012, consistent with the ERF test period, to analyze pension contributions.  This is an important distinction because pension contributions in 2011 were low and as a result, skew the numbers for the last two periods.</w:t>
      </w:r>
    </w:p>
    <w:p w:rsidR="0088373F" w:rsidRDefault="0088373F" w:rsidP="00564510">
      <w:pPr>
        <w:pStyle w:val="question"/>
        <w:keepNext/>
        <w:keepLines/>
        <w:rPr>
          <w:rFonts w:eastAsia="SimSun"/>
        </w:rPr>
      </w:pPr>
      <w:r>
        <w:rPr>
          <w:rFonts w:eastAsia="SimSun"/>
        </w:rPr>
        <w:t>Q.</w:t>
      </w:r>
      <w:r>
        <w:rPr>
          <w:rFonts w:eastAsia="SimSun"/>
        </w:rPr>
        <w:tab/>
        <w:t>What is PSE’s projected pension contributions for test year ending June 2013?</w:t>
      </w:r>
    </w:p>
    <w:p w:rsidR="0088373F" w:rsidRDefault="0088373F" w:rsidP="00564510">
      <w:pPr>
        <w:pStyle w:val="answer"/>
        <w:rPr>
          <w:rFonts w:eastAsia="SimSun"/>
        </w:rPr>
      </w:pPr>
      <w:r w:rsidRPr="002C3969">
        <w:rPr>
          <w:rFonts w:eastAsia="SimSun"/>
        </w:rPr>
        <w:t>A.</w:t>
      </w:r>
      <w:r w:rsidRPr="002C3969">
        <w:rPr>
          <w:rFonts w:eastAsia="SimSun"/>
        </w:rPr>
        <w:tab/>
      </w:r>
      <w:r>
        <w:rPr>
          <w:rFonts w:eastAsia="SimSun"/>
        </w:rPr>
        <w:t>PSE's total pension contribution from July 1, 2012 to June 30, 2103 is projected to be $21.6 million, which is based on (i) the additional $11.4 million contributed in the second half of calendar year 2012; (ii) the pension contribution of $5.1 million made in the first quarter of 2013; and (iii) the pension contribution of $5.1 million scheduled for the second quarter of 2013.  This additional test year illustrates that PSE's pension contributions are in line with the historical average.  Similarly, PSE’s pension contributions in calendar year 2012 was $22.8 million, which is also in line with the average annual pension contributions since July 1, 2008, as shown in Table 8 below.</w:t>
      </w:r>
    </w:p>
    <w:p w:rsidR="0088373F" w:rsidRPr="00524437" w:rsidRDefault="0088373F" w:rsidP="00F14121">
      <w:pPr>
        <w:pStyle w:val="answer"/>
        <w:keepNext/>
        <w:keepLines/>
        <w:spacing w:before="0" w:after="60" w:line="240" w:lineRule="auto"/>
        <w:ind w:left="0" w:firstLine="0"/>
        <w:jc w:val="center"/>
        <w:rPr>
          <w:rFonts w:eastAsia="SimSun"/>
          <w:b/>
        </w:rPr>
      </w:pPr>
      <w:r w:rsidRPr="00AD45F2">
        <w:rPr>
          <w:rFonts w:eastAsia="SimSun"/>
          <w:b/>
        </w:rPr>
        <w:t>Table </w:t>
      </w:r>
      <w:r>
        <w:rPr>
          <w:rFonts w:eastAsia="SimSun"/>
          <w:b/>
        </w:rPr>
        <w:t>8</w:t>
      </w:r>
      <w:r w:rsidRPr="00AD45F2">
        <w:rPr>
          <w:rFonts w:eastAsia="SimSun"/>
          <w:b/>
        </w:rPr>
        <w:t xml:space="preserve">.  </w:t>
      </w:r>
      <w:r>
        <w:rPr>
          <w:rFonts w:eastAsia="SimSun"/>
          <w:b/>
        </w:rPr>
        <w:t>PSE Pension Contributions</w:t>
      </w:r>
      <w:r>
        <w:rPr>
          <w:rFonts w:eastAsia="SimSun"/>
          <w:b/>
        </w:rPr>
        <w:br/>
        <w:t>(Thousands)</w:t>
      </w:r>
    </w:p>
    <w:tbl>
      <w:tblPr>
        <w:tblW w:w="0" w:type="auto"/>
        <w:jc w:val="center"/>
        <w:tblInd w:w="-187" w:type="dxa"/>
        <w:tblLook w:val="00A0"/>
      </w:tblPr>
      <w:tblGrid>
        <w:gridCol w:w="2414"/>
        <w:gridCol w:w="2114"/>
      </w:tblGrid>
      <w:tr w:rsidR="0088373F" w:rsidRPr="00524437" w:rsidTr="00F14121">
        <w:trPr>
          <w:jc w:val="center"/>
        </w:trPr>
        <w:tc>
          <w:tcPr>
            <w:tcW w:w="2414" w:type="dxa"/>
            <w:tcBorders>
              <w:bottom w:val="single" w:sz="4" w:space="0" w:color="000000"/>
            </w:tcBorders>
            <w:vAlign w:val="bottom"/>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Year</w:t>
            </w:r>
          </w:p>
        </w:tc>
        <w:tc>
          <w:tcPr>
            <w:tcW w:w="2114" w:type="dxa"/>
            <w:tcBorders>
              <w:bottom w:val="single" w:sz="4" w:space="0" w:color="000000"/>
            </w:tcBorders>
            <w:vAlign w:val="bottom"/>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b/>
              </w:rPr>
            </w:pPr>
            <w:r w:rsidRPr="00442A6A">
              <w:rPr>
                <w:rFonts w:ascii="Times New Roman" w:eastAsia="SimSun" w:hAnsi="Times New Roman"/>
                <w:b/>
              </w:rPr>
              <w:t xml:space="preserve">Pension </w:t>
            </w:r>
            <w:r>
              <w:rPr>
                <w:rFonts w:ascii="Times New Roman" w:eastAsia="SimSun" w:hAnsi="Times New Roman"/>
                <w:b/>
              </w:rPr>
              <w:t>Contributions</w:t>
            </w:r>
          </w:p>
        </w:tc>
      </w:tr>
      <w:tr w:rsidR="0088373F" w:rsidTr="00F14121">
        <w:trPr>
          <w:jc w:val="center"/>
        </w:trPr>
        <w:tc>
          <w:tcPr>
            <w:tcW w:w="2414" w:type="dxa"/>
            <w:tcBorders>
              <w:top w:val="single" w:sz="4" w:space="0" w:color="000000"/>
            </w:tcBorders>
          </w:tcPr>
          <w:p w:rsidR="0088373F" w:rsidRPr="00442A6A" w:rsidRDefault="0088373F" w:rsidP="00F14121">
            <w:pPr>
              <w:pStyle w:val="answer"/>
              <w:keepNext/>
              <w:keepLines/>
              <w:spacing w:before="60" w:after="60" w:line="240" w:lineRule="auto"/>
              <w:ind w:left="0" w:firstLine="0"/>
              <w:rPr>
                <w:rFonts w:ascii="Times New Roman" w:eastAsia="SimSun" w:hAnsi="Times New Roman"/>
              </w:rPr>
            </w:pPr>
            <w:r>
              <w:rPr>
                <w:rFonts w:ascii="Times New Roman" w:eastAsia="SimSun" w:hAnsi="Times New Roman"/>
              </w:rPr>
              <w:t>7/1/2008 - 6/30/2009</w:t>
            </w:r>
          </w:p>
        </w:tc>
        <w:tc>
          <w:tcPr>
            <w:tcW w:w="2114" w:type="dxa"/>
            <w:tcBorders>
              <w:top w:val="single" w:sz="4" w:space="0" w:color="000000"/>
            </w:tcBorders>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$30,500</w:t>
            </w:r>
          </w:p>
        </w:tc>
      </w:tr>
      <w:tr w:rsidR="0088373F" w:rsidTr="00F14121">
        <w:trPr>
          <w:jc w:val="center"/>
        </w:trPr>
        <w:tc>
          <w:tcPr>
            <w:tcW w:w="2414" w:type="dxa"/>
          </w:tcPr>
          <w:p w:rsidR="0088373F" w:rsidRPr="00442A6A" w:rsidRDefault="0088373F" w:rsidP="00F14121">
            <w:pPr>
              <w:pStyle w:val="answer"/>
              <w:keepNext/>
              <w:keepLines/>
              <w:spacing w:before="60" w:after="60" w:line="240" w:lineRule="auto"/>
              <w:ind w:left="0" w:firstLine="0"/>
              <w:rPr>
                <w:rFonts w:ascii="Times New Roman" w:eastAsia="SimSun" w:hAnsi="Times New Roman"/>
              </w:rPr>
            </w:pPr>
            <w:r>
              <w:rPr>
                <w:rFonts w:ascii="Times New Roman" w:eastAsia="SimSun" w:hAnsi="Times New Roman"/>
              </w:rPr>
              <w:t>7/1/2009 - 6/30/2010</w:t>
            </w:r>
          </w:p>
        </w:tc>
        <w:tc>
          <w:tcPr>
            <w:tcW w:w="2114" w:type="dxa"/>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$24,400</w:t>
            </w:r>
          </w:p>
        </w:tc>
      </w:tr>
      <w:tr w:rsidR="0088373F" w:rsidTr="00F14121">
        <w:trPr>
          <w:jc w:val="center"/>
        </w:trPr>
        <w:tc>
          <w:tcPr>
            <w:tcW w:w="2414" w:type="dxa"/>
          </w:tcPr>
          <w:p w:rsidR="0088373F" w:rsidRPr="00442A6A" w:rsidRDefault="0088373F" w:rsidP="00F14121">
            <w:pPr>
              <w:pStyle w:val="answer"/>
              <w:keepNext/>
              <w:keepLines/>
              <w:spacing w:before="60" w:after="60" w:line="240" w:lineRule="auto"/>
              <w:ind w:left="0" w:firstLine="0"/>
              <w:rPr>
                <w:rFonts w:ascii="Times New Roman" w:eastAsia="SimSun" w:hAnsi="Times New Roman"/>
              </w:rPr>
            </w:pPr>
            <w:r>
              <w:rPr>
                <w:rFonts w:ascii="Times New Roman" w:eastAsia="SimSun" w:hAnsi="Times New Roman"/>
              </w:rPr>
              <w:t>7/1/2010 - 6/30/2011</w:t>
            </w:r>
          </w:p>
        </w:tc>
        <w:tc>
          <w:tcPr>
            <w:tcW w:w="2114" w:type="dxa"/>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$5,000</w:t>
            </w:r>
          </w:p>
        </w:tc>
      </w:tr>
      <w:tr w:rsidR="0088373F" w:rsidTr="00F14121">
        <w:trPr>
          <w:jc w:val="center"/>
        </w:trPr>
        <w:tc>
          <w:tcPr>
            <w:tcW w:w="2414" w:type="dxa"/>
          </w:tcPr>
          <w:p w:rsidR="0088373F" w:rsidRPr="00442A6A" w:rsidRDefault="0088373F" w:rsidP="00F14121">
            <w:pPr>
              <w:pStyle w:val="answer"/>
              <w:keepNext/>
              <w:keepLines/>
              <w:spacing w:before="60" w:after="60" w:line="240" w:lineRule="auto"/>
              <w:ind w:left="0" w:firstLine="0"/>
              <w:rPr>
                <w:rFonts w:ascii="Times New Roman" w:eastAsia="SimSun" w:hAnsi="Times New Roman"/>
              </w:rPr>
            </w:pPr>
            <w:r>
              <w:rPr>
                <w:rFonts w:ascii="Times New Roman" w:eastAsia="SimSun" w:hAnsi="Times New Roman"/>
              </w:rPr>
              <w:t>7/1/2011 - 6/30/2012</w:t>
            </w:r>
          </w:p>
        </w:tc>
        <w:tc>
          <w:tcPr>
            <w:tcW w:w="2114" w:type="dxa"/>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w:t>
            </w:r>
            <w:r>
              <w:rPr>
                <w:rFonts w:ascii="Times New Roman" w:eastAsia="SimSun" w:hAnsi="Times New Roman"/>
              </w:rPr>
              <w:t>11</w:t>
            </w:r>
            <w:r w:rsidRPr="00442A6A">
              <w:rPr>
                <w:rFonts w:ascii="Times New Roman" w:eastAsia="SimSun" w:hAnsi="Times New Roman"/>
              </w:rPr>
              <w:t>,</w:t>
            </w:r>
            <w:r>
              <w:rPr>
                <w:rFonts w:ascii="Times New Roman" w:eastAsia="SimSun" w:hAnsi="Times New Roman"/>
              </w:rPr>
              <w:t>4</w:t>
            </w:r>
            <w:r w:rsidRPr="00442A6A">
              <w:rPr>
                <w:rFonts w:ascii="Times New Roman" w:eastAsia="SimSun" w:hAnsi="Times New Roman"/>
              </w:rPr>
              <w:t>00</w:t>
            </w:r>
          </w:p>
        </w:tc>
      </w:tr>
      <w:tr w:rsidR="0088373F" w:rsidTr="00F14121">
        <w:trPr>
          <w:jc w:val="center"/>
        </w:trPr>
        <w:tc>
          <w:tcPr>
            <w:tcW w:w="2414" w:type="dxa"/>
            <w:tcBorders>
              <w:bottom w:val="single" w:sz="4" w:space="0" w:color="000000"/>
            </w:tcBorders>
          </w:tcPr>
          <w:p w:rsidR="0088373F" w:rsidRPr="00442A6A" w:rsidRDefault="0088373F" w:rsidP="00F14121">
            <w:pPr>
              <w:pStyle w:val="answer"/>
              <w:keepNext/>
              <w:keepLines/>
              <w:spacing w:before="60" w:after="60" w:line="240" w:lineRule="auto"/>
              <w:ind w:left="0" w:firstLine="0"/>
              <w:rPr>
                <w:rFonts w:ascii="Times New Roman" w:eastAsia="SimSun" w:hAnsi="Times New Roman"/>
              </w:rPr>
            </w:pPr>
            <w:r>
              <w:rPr>
                <w:rFonts w:ascii="Times New Roman" w:eastAsia="SimSun" w:hAnsi="Times New Roman"/>
              </w:rPr>
              <w:t>7/1/2012 - 6/30/2013*</w:t>
            </w:r>
          </w:p>
        </w:tc>
        <w:tc>
          <w:tcPr>
            <w:tcW w:w="2114" w:type="dxa"/>
            <w:tcBorders>
              <w:bottom w:val="single" w:sz="4" w:space="0" w:color="000000"/>
            </w:tcBorders>
          </w:tcPr>
          <w:p w:rsidR="0088373F" w:rsidRPr="00442A6A" w:rsidRDefault="0088373F" w:rsidP="00F14121">
            <w:pPr>
              <w:pStyle w:val="answer"/>
              <w:keepNext/>
              <w:keepLines/>
              <w:spacing w:before="60" w:after="60" w:line="240" w:lineRule="auto"/>
              <w:ind w:left="0" w:firstLine="0"/>
              <w:jc w:val="center"/>
              <w:rPr>
                <w:rFonts w:ascii="Times New Roman" w:eastAsia="SimSun" w:hAnsi="Times New Roman"/>
              </w:rPr>
            </w:pPr>
            <w:r w:rsidRPr="00442A6A">
              <w:rPr>
                <w:rFonts w:ascii="Times New Roman" w:eastAsia="SimSun" w:hAnsi="Times New Roman"/>
              </w:rPr>
              <w:t>$</w:t>
            </w:r>
            <w:r>
              <w:rPr>
                <w:rFonts w:ascii="Times New Roman" w:eastAsia="SimSun" w:hAnsi="Times New Roman"/>
              </w:rPr>
              <w:t>21</w:t>
            </w:r>
            <w:r w:rsidRPr="00442A6A">
              <w:rPr>
                <w:rFonts w:ascii="Times New Roman" w:eastAsia="SimSun" w:hAnsi="Times New Roman"/>
              </w:rPr>
              <w:t>,</w:t>
            </w:r>
            <w:r>
              <w:rPr>
                <w:rFonts w:ascii="Times New Roman" w:eastAsia="SimSun" w:hAnsi="Times New Roman"/>
              </w:rPr>
              <w:t>6</w:t>
            </w:r>
            <w:r w:rsidRPr="00442A6A">
              <w:rPr>
                <w:rFonts w:ascii="Times New Roman" w:eastAsia="SimSun" w:hAnsi="Times New Roman"/>
              </w:rPr>
              <w:t>00</w:t>
            </w:r>
          </w:p>
        </w:tc>
      </w:tr>
      <w:tr w:rsidR="0088373F" w:rsidTr="00F14121">
        <w:trPr>
          <w:jc w:val="center"/>
        </w:trPr>
        <w:tc>
          <w:tcPr>
            <w:tcW w:w="2414" w:type="dxa"/>
            <w:tcBorders>
              <w:top w:val="single" w:sz="4" w:space="0" w:color="000000"/>
            </w:tcBorders>
          </w:tcPr>
          <w:p w:rsidR="0088373F" w:rsidRPr="00442A6A" w:rsidRDefault="0088373F" w:rsidP="005B5DE1">
            <w:pPr>
              <w:pStyle w:val="answer"/>
              <w:spacing w:before="60" w:after="60" w:line="240" w:lineRule="auto"/>
              <w:ind w:left="0" w:firstLine="0"/>
              <w:rPr>
                <w:rFonts w:ascii="Times New Roman" w:eastAsia="SimSun" w:hAnsi="Times New Roman"/>
              </w:rPr>
            </w:pPr>
            <w:r w:rsidRPr="00442A6A">
              <w:rPr>
                <w:rFonts w:ascii="Times New Roman" w:eastAsia="SimSun" w:hAnsi="Times New Roman"/>
              </w:rPr>
              <w:t>Average</w:t>
            </w:r>
          </w:p>
        </w:tc>
        <w:tc>
          <w:tcPr>
            <w:tcW w:w="2114" w:type="dxa"/>
            <w:tcBorders>
              <w:top w:val="single" w:sz="4" w:space="0" w:color="000000"/>
            </w:tcBorders>
          </w:tcPr>
          <w:p w:rsidR="0088373F" w:rsidRPr="00442A6A" w:rsidRDefault="0088373F" w:rsidP="005B5DE1">
            <w:pPr>
              <w:pStyle w:val="answer"/>
              <w:spacing w:before="60" w:after="60" w:line="240" w:lineRule="auto"/>
              <w:ind w:left="0" w:firstLine="0"/>
              <w:jc w:val="center"/>
              <w:rPr>
                <w:rFonts w:ascii="Times New Roman" w:eastAsia="SimSun" w:hAnsi="Times New Roman"/>
              </w:rPr>
            </w:pPr>
            <w:r w:rsidRPr="00442A6A">
              <w:rPr>
                <w:rFonts w:ascii="Times New Roman" w:eastAsia="SimSun" w:hAnsi="Times New Roman"/>
              </w:rPr>
              <w:t>$</w:t>
            </w:r>
            <w:r>
              <w:rPr>
                <w:rFonts w:ascii="Times New Roman" w:eastAsia="SimSun" w:hAnsi="Times New Roman"/>
              </w:rPr>
              <w:t>18</w:t>
            </w:r>
            <w:r w:rsidRPr="00442A6A">
              <w:rPr>
                <w:rFonts w:ascii="Times New Roman" w:eastAsia="SimSun" w:hAnsi="Times New Roman"/>
              </w:rPr>
              <w:t>,</w:t>
            </w:r>
            <w:r>
              <w:rPr>
                <w:rFonts w:ascii="Times New Roman" w:eastAsia="SimSun" w:hAnsi="Times New Roman"/>
              </w:rPr>
              <w:t>580</w:t>
            </w:r>
          </w:p>
        </w:tc>
      </w:tr>
      <w:tr w:rsidR="0088373F" w:rsidTr="00F14121">
        <w:trPr>
          <w:jc w:val="center"/>
        </w:trPr>
        <w:tc>
          <w:tcPr>
            <w:tcW w:w="4528" w:type="dxa"/>
            <w:gridSpan w:val="2"/>
          </w:tcPr>
          <w:p w:rsidR="0088373F" w:rsidRPr="00F14121" w:rsidRDefault="0088373F" w:rsidP="00F14121">
            <w:pPr>
              <w:pStyle w:val="answer"/>
              <w:spacing w:before="60" w:after="60" w:line="240" w:lineRule="auto"/>
              <w:ind w:left="128" w:hanging="128"/>
              <w:rPr>
                <w:rFonts w:eastAsia="SimSun"/>
              </w:rPr>
            </w:pPr>
            <w:r w:rsidRPr="00F14121">
              <w:rPr>
                <w:rFonts w:ascii="Times New Roman" w:eastAsia="SimSun" w:hAnsi="Times New Roman"/>
                <w:sz w:val="20"/>
              </w:rPr>
              <w:t>*</w:t>
            </w:r>
            <w:r w:rsidRPr="00F14121">
              <w:rPr>
                <w:rFonts w:eastAsia="SimSun"/>
                <w:sz w:val="20"/>
              </w:rPr>
              <w:tab/>
            </w:r>
            <w:r>
              <w:rPr>
                <w:rFonts w:eastAsia="SimSun"/>
                <w:sz w:val="20"/>
              </w:rPr>
              <w:t>PSE’s pension contributions for the period July 1, 2012, through March 31, 2013, were $16,500,000, and PSE has a pension contribution of $5,100,000 scheduled for June 2013.</w:t>
            </w:r>
          </w:p>
        </w:tc>
      </w:tr>
    </w:tbl>
    <w:p w:rsidR="0088373F" w:rsidRDefault="0088373F" w:rsidP="004055E2">
      <w:pPr>
        <w:pStyle w:val="question"/>
        <w:keepNext/>
        <w:keepLines/>
        <w:rPr>
          <w:rFonts w:eastAsia="SimSun"/>
        </w:rPr>
      </w:pPr>
      <w:r>
        <w:rPr>
          <w:rFonts w:eastAsia="SimSun"/>
        </w:rPr>
        <w:t>Q.</w:t>
      </w:r>
      <w:r>
        <w:rPr>
          <w:rFonts w:eastAsia="SimSun"/>
        </w:rPr>
        <w:tab/>
        <w:t>Is the 4-year average contribution used in the ERF proceeding representative of current of pension contributions?</w:t>
      </w:r>
    </w:p>
    <w:p w:rsidR="0088373F" w:rsidRDefault="0088373F" w:rsidP="004055E2">
      <w:pPr>
        <w:pStyle w:val="answer"/>
        <w:rPr>
          <w:rFonts w:eastAsia="SimSun"/>
        </w:rPr>
      </w:pPr>
      <w:r w:rsidRPr="002C3969">
        <w:rPr>
          <w:rFonts w:eastAsia="SimSun"/>
        </w:rPr>
        <w:t>A.</w:t>
      </w:r>
      <w:r w:rsidRPr="002C3969">
        <w:rPr>
          <w:rFonts w:eastAsia="SimSun"/>
        </w:rPr>
        <w:tab/>
      </w:r>
      <w:r>
        <w:rPr>
          <w:rFonts w:eastAsia="SimSun"/>
        </w:rPr>
        <w:t>Yes.  As presented above, the average is representative of the pension contributions made in 2012.  As discussed in the Prefiled Direct Testimony of Katherine J. Barnard, Exhibit No. ___(KJB-11T), the use of the 4-year average is consistent with the methodology adopted in recent general rate cases, including PSE's 2011 general rate case.  Therefore, ICNU's adjustment should be rejected.</w:t>
      </w:r>
    </w:p>
    <w:p w:rsidR="0088373F" w:rsidRDefault="0088373F" w:rsidP="00C12228">
      <w:pPr>
        <w:pStyle w:val="Heading1"/>
        <w:spacing w:after="360" w:line="240" w:lineRule="auto"/>
        <w:rPr>
          <w:rFonts w:eastAsia="SimSun"/>
        </w:rPr>
      </w:pPr>
      <w:bookmarkStart w:id="15" w:name="_Toc355779804"/>
      <w:r>
        <w:rPr>
          <w:rFonts w:eastAsia="SimSun"/>
        </w:rPr>
        <w:t>V</w:t>
      </w:r>
      <w:r w:rsidRPr="009075DC">
        <w:rPr>
          <w:rFonts w:eastAsia="SimSun"/>
        </w:rPr>
        <w:t>.</w:t>
      </w:r>
      <w:r w:rsidRPr="009075DC">
        <w:rPr>
          <w:rFonts w:eastAsia="SimSun"/>
        </w:rPr>
        <w:tab/>
      </w:r>
      <w:r>
        <w:rPr>
          <w:rFonts w:eastAsia="SimSun"/>
        </w:rPr>
        <w:t>CONCLUSION</w:t>
      </w:r>
      <w:bookmarkEnd w:id="15"/>
    </w:p>
    <w:p w:rsidR="0088373F" w:rsidRPr="00A503F9" w:rsidRDefault="0088373F"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rebuttal </w:t>
      </w:r>
      <w:r w:rsidRPr="009075DC">
        <w:rPr>
          <w:rFonts w:eastAsia="SimSun"/>
        </w:rPr>
        <w:t>testimony?</w:t>
      </w:r>
    </w:p>
    <w:p w:rsidR="0088373F" w:rsidRDefault="0088373F" w:rsidP="00C27038">
      <w:pPr>
        <w:pStyle w:val="Answer0"/>
        <w:rPr>
          <w:rFonts w:eastAsia="SimSun"/>
        </w:rPr>
      </w:pPr>
      <w:r w:rsidRPr="009075DC">
        <w:rPr>
          <w:rFonts w:eastAsia="SimSun"/>
        </w:rPr>
        <w:t>A.</w:t>
      </w:r>
      <w:r w:rsidRPr="009075DC">
        <w:rPr>
          <w:rFonts w:eastAsia="SimSun"/>
        </w:rPr>
        <w:tab/>
        <w:t>Yes.</w:t>
      </w:r>
    </w:p>
    <w:sectPr w:rsidR="0088373F" w:rsidSect="00EC61B9">
      <w:footerReference w:type="default" r:id="rId13"/>
      <w:footerReference w:type="first" r:id="rId14"/>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73F" w:rsidRDefault="0088373F">
      <w:r>
        <w:separator/>
      </w:r>
    </w:p>
  </w:endnote>
  <w:endnote w:type="continuationSeparator" w:id="0">
    <w:p w:rsidR="0088373F" w:rsidRDefault="008837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pPr>
      <w:pStyle w:val="Footer"/>
      <w:tabs>
        <w:tab w:val="clear" w:pos="4507"/>
        <w:tab w:val="clear" w:pos="9000"/>
        <w:tab w:val="right" w:pos="8730"/>
      </w:tabs>
      <w:spacing w:line="240" w:lineRule="auto"/>
      <w:ind w:right="-90"/>
      <w:rPr>
        <w:b/>
        <w:bCs/>
        <w:u w:val="single"/>
      </w:rPr>
    </w:pPr>
    <w:r>
      <w:rPr>
        <w:b/>
        <w:bCs/>
        <w:u w:val="single"/>
      </w:rPr>
      <w:t>______________________________________________________________________________________</w:t>
    </w:r>
  </w:p>
  <w:p w:rsidR="0088373F" w:rsidRDefault="0088373F">
    <w:pPr>
      <w:pStyle w:val="Footer"/>
      <w:tabs>
        <w:tab w:val="clear" w:pos="4507"/>
        <w:tab w:val="clear" w:pos="9000"/>
        <w:tab w:val="right" w:pos="8640"/>
      </w:tabs>
      <w:spacing w:line="240" w:lineRule="auto"/>
      <w:ind w:right="0" w:hanging="4"/>
      <w:rPr>
        <w:sz w:val="10"/>
        <w:szCs w:val="10"/>
      </w:rPr>
    </w:pPr>
  </w:p>
  <w:p w:rsidR="0088373F" w:rsidRPr="00DB4898" w:rsidRDefault="0088373F">
    <w:pPr>
      <w:pStyle w:val="Footer"/>
      <w:tabs>
        <w:tab w:val="clear" w:pos="4507"/>
        <w:tab w:val="clear" w:pos="9000"/>
        <w:tab w:val="right" w:pos="8640"/>
      </w:tabs>
      <w:ind w:hanging="4"/>
      <w:rPr>
        <w:sz w:val="24"/>
        <w:szCs w:val="24"/>
      </w:rPr>
    </w:pPr>
    <w:r w:rsidRPr="00DB4898">
      <w:rPr>
        <w:sz w:val="24"/>
        <w:szCs w:val="24"/>
      </w:rPr>
      <w:t>Prefiled Rebuttal Testimony</w:t>
    </w:r>
    <w:r w:rsidRPr="00300621">
      <w:rPr>
        <w:sz w:val="24"/>
        <w:szCs w:val="24"/>
      </w:rPr>
      <w:tab/>
    </w:r>
    <w:r w:rsidRPr="00DB4898">
      <w:rPr>
        <w:sz w:val="24"/>
        <w:szCs w:val="24"/>
      </w:rPr>
      <w:t>Exhibit No.</w:t>
    </w:r>
    <w:r w:rsidRPr="00300621">
      <w:rPr>
        <w:sz w:val="24"/>
        <w:szCs w:val="24"/>
      </w:rPr>
      <w:t> </w:t>
    </w:r>
    <w:r w:rsidRPr="00DB4898">
      <w:rPr>
        <w:sz w:val="24"/>
        <w:szCs w:val="24"/>
      </w:rPr>
      <w:t>___(DAD-1T)</w:t>
    </w:r>
  </w:p>
  <w:p w:rsidR="0088373F" w:rsidRPr="00DB4898" w:rsidRDefault="0088373F">
    <w:pPr>
      <w:pStyle w:val="Footer"/>
      <w:tabs>
        <w:tab w:val="clear" w:pos="4507"/>
        <w:tab w:val="clear" w:pos="9000"/>
        <w:tab w:val="right" w:pos="8640"/>
      </w:tabs>
      <w:ind w:hanging="4"/>
      <w:rPr>
        <w:rStyle w:val="PageNumber"/>
        <w:sz w:val="24"/>
        <w:szCs w:val="24"/>
      </w:rPr>
    </w:pPr>
    <w:r w:rsidRPr="00DB4898">
      <w:rPr>
        <w:sz w:val="24"/>
        <w:szCs w:val="24"/>
      </w:rPr>
      <w:t>(Nonconfidential) of Daniel A. Doyle</w:t>
    </w:r>
    <w:r w:rsidRPr="00300621">
      <w:rPr>
        <w:sz w:val="24"/>
        <w:szCs w:val="24"/>
      </w:rPr>
      <w:tab/>
    </w:r>
    <w:r w:rsidRPr="00DB4898">
      <w:rPr>
        <w:sz w:val="24"/>
        <w:szCs w:val="24"/>
      </w:rPr>
      <w:t>Page</w:t>
    </w:r>
    <w:r w:rsidRPr="00300621">
      <w:rPr>
        <w:sz w:val="24"/>
        <w:szCs w:val="24"/>
      </w:rPr>
      <w:t> </w:t>
    </w:r>
    <w:r w:rsidRPr="00DB4898">
      <w:rPr>
        <w:rStyle w:val="PageNumber"/>
        <w:sz w:val="24"/>
        <w:szCs w:val="24"/>
      </w:rPr>
      <w:fldChar w:fldCharType="begin"/>
    </w:r>
    <w:r w:rsidRPr="00DB4898">
      <w:rPr>
        <w:rStyle w:val="PageNumber"/>
        <w:sz w:val="24"/>
        <w:szCs w:val="24"/>
      </w:rPr>
      <w:instrText xml:space="preserve"> PAGE   \* MERGEFORMAT </w:instrText>
    </w:r>
    <w:r w:rsidRPr="00DB4898">
      <w:rPr>
        <w:rStyle w:val="PageNumber"/>
        <w:sz w:val="24"/>
        <w:szCs w:val="24"/>
      </w:rPr>
      <w:fldChar w:fldCharType="separate"/>
    </w:r>
    <w:r>
      <w:rPr>
        <w:rStyle w:val="PageNumber"/>
        <w:noProof/>
        <w:sz w:val="24"/>
        <w:szCs w:val="24"/>
      </w:rPr>
      <w:t>i</w:t>
    </w:r>
    <w:r w:rsidRPr="00DB4898">
      <w:rPr>
        <w:rStyle w:val="PageNumber"/>
        <w:sz w:val="24"/>
        <w:szCs w:val="24"/>
      </w:rPr>
      <w:fldChar w:fldCharType="end"/>
    </w:r>
    <w:r w:rsidRPr="00DB4898">
      <w:rPr>
        <w:rStyle w:val="PageNumber"/>
        <w:sz w:val="24"/>
        <w:szCs w:val="24"/>
      </w:rPr>
      <w:t xml:space="preserve"> of </w:t>
    </w:r>
    <w:r w:rsidRPr="00DB4898">
      <w:rPr>
        <w:sz w:val="24"/>
        <w:szCs w:val="24"/>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88373F" w:rsidRDefault="0088373F">
    <w:pPr>
      <w:pStyle w:val="Footer"/>
      <w:tabs>
        <w:tab w:val="clear" w:pos="4507"/>
        <w:tab w:val="clear" w:pos="9000"/>
        <w:tab w:val="right" w:pos="8640"/>
      </w:tabs>
      <w:spacing w:line="240" w:lineRule="auto"/>
      <w:ind w:right="0"/>
      <w:rPr>
        <w:sz w:val="10"/>
      </w:rPr>
    </w:pPr>
  </w:p>
  <w:p w:rsidR="0088373F" w:rsidRPr="00DB4898" w:rsidRDefault="0088373F">
    <w:pPr>
      <w:pStyle w:val="Footer"/>
      <w:tabs>
        <w:tab w:val="clear" w:pos="4507"/>
        <w:tab w:val="clear" w:pos="9000"/>
        <w:tab w:val="right" w:pos="8640"/>
      </w:tabs>
      <w:rPr>
        <w:sz w:val="24"/>
        <w:szCs w:val="24"/>
      </w:rPr>
    </w:pPr>
    <w:r w:rsidRPr="00DB4898">
      <w:rPr>
        <w:sz w:val="24"/>
        <w:szCs w:val="24"/>
      </w:rPr>
      <w:t>Prefiled Rebuttal Testimony</w:t>
    </w:r>
    <w:r w:rsidRPr="00DB4898">
      <w:rPr>
        <w:sz w:val="24"/>
        <w:szCs w:val="24"/>
      </w:rPr>
      <w:tab/>
      <w:t>Exhibit No. ___(DAD-1T)</w:t>
    </w:r>
  </w:p>
  <w:p w:rsidR="0088373F" w:rsidRPr="00DB4898" w:rsidRDefault="0088373F" w:rsidP="00980076">
    <w:pPr>
      <w:pStyle w:val="Footer"/>
      <w:tabs>
        <w:tab w:val="clear" w:pos="4507"/>
        <w:tab w:val="clear" w:pos="9000"/>
        <w:tab w:val="right" w:pos="8640"/>
      </w:tabs>
      <w:rPr>
        <w:sz w:val="24"/>
        <w:szCs w:val="24"/>
      </w:rPr>
    </w:pPr>
    <w:r w:rsidRPr="00DB4898">
      <w:rPr>
        <w:sz w:val="24"/>
        <w:szCs w:val="24"/>
      </w:rPr>
      <w:t>(Nonconfidential) of Daniel A. Doyle</w:t>
    </w:r>
    <w:r w:rsidRPr="00DB4898">
      <w:rPr>
        <w:sz w:val="24"/>
        <w:szCs w:val="24"/>
      </w:rPr>
      <w:tab/>
      <w:t>Page </w:t>
    </w:r>
    <w:r w:rsidRPr="00DB4898">
      <w:rPr>
        <w:sz w:val="24"/>
        <w:szCs w:val="24"/>
      </w:rPr>
      <w:fldChar w:fldCharType="begin"/>
    </w:r>
    <w:r w:rsidRPr="00DB4898">
      <w:rPr>
        <w:sz w:val="24"/>
        <w:szCs w:val="24"/>
      </w:rPr>
      <w:instrText xml:space="preserve"> PAGE   \* MERGEFORMAT </w:instrText>
    </w:r>
    <w:r w:rsidRPr="00DB4898">
      <w:rPr>
        <w:sz w:val="24"/>
        <w:szCs w:val="24"/>
      </w:rPr>
      <w:fldChar w:fldCharType="separate"/>
    </w:r>
    <w:r>
      <w:rPr>
        <w:noProof/>
        <w:sz w:val="24"/>
        <w:szCs w:val="24"/>
      </w:rPr>
      <w:t>26</w:t>
    </w:r>
    <w:r w:rsidRPr="00DB4898">
      <w:rPr>
        <w:sz w:val="24"/>
        <w:szCs w:val="24"/>
      </w:rPr>
      <w:fldChar w:fldCharType="end"/>
    </w:r>
    <w:r w:rsidRPr="00DB4898">
      <w:rPr>
        <w:rStyle w:val="PageNumber"/>
        <w:sz w:val="24"/>
        <w:szCs w:val="24"/>
      </w:rPr>
      <w:t xml:space="preserve"> of 2</w:t>
    </w:r>
    <w:r>
      <w:rPr>
        <w:rStyle w:val="PageNumber"/>
        <w:sz w:val="24"/>
        <w:szCs w:val="24"/>
      </w:rPr>
      <w:t>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88373F" w:rsidRDefault="0088373F">
    <w:pPr>
      <w:pStyle w:val="Footer"/>
      <w:tabs>
        <w:tab w:val="clear" w:pos="4507"/>
        <w:tab w:val="clear" w:pos="9000"/>
        <w:tab w:val="right" w:pos="8640"/>
      </w:tabs>
      <w:spacing w:line="240" w:lineRule="auto"/>
      <w:ind w:left="-630" w:right="0" w:hanging="4"/>
      <w:rPr>
        <w:sz w:val="10"/>
      </w:rPr>
    </w:pPr>
  </w:p>
  <w:p w:rsidR="0088373F" w:rsidRDefault="0088373F">
    <w:pPr>
      <w:pStyle w:val="Footer"/>
      <w:tabs>
        <w:tab w:val="clear" w:pos="4507"/>
        <w:tab w:val="clear" w:pos="9000"/>
        <w:tab w:val="right" w:pos="8640"/>
      </w:tabs>
      <w:ind w:left="-630" w:hanging="4"/>
    </w:pPr>
    <w:r>
      <w:t>Prefiled Direct Testimony of</w:t>
    </w:r>
    <w:r>
      <w:tab/>
      <w:t>Exhibit No. ___(JD-1CT)</w:t>
    </w:r>
  </w:p>
  <w:p w:rsidR="0088373F" w:rsidRDefault="0088373F">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88373F" w:rsidRDefault="008837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73F" w:rsidRDefault="0088373F">
      <w:r>
        <w:separator/>
      </w:r>
    </w:p>
  </w:footnote>
  <w:footnote w:type="continuationSeparator" w:id="0">
    <w:p w:rsidR="0088373F" w:rsidRDefault="0088373F">
      <w:r>
        <w:continuationSeparator/>
      </w:r>
    </w:p>
  </w:footnote>
  <w:footnote w:id="1">
    <w:p w:rsidR="0088373F" w:rsidRDefault="0088373F" w:rsidP="00817876">
      <w:pPr>
        <w:pStyle w:val="FootnoteText"/>
        <w:spacing w:before="0" w:line="240" w:lineRule="auto"/>
        <w:ind w:firstLine="360"/>
      </w:pPr>
      <w:r>
        <w:rPr>
          <w:rStyle w:val="FootnoteReference"/>
        </w:rPr>
        <w:footnoteRef/>
      </w:r>
      <w:r>
        <w:tab/>
      </w:r>
      <w:r w:rsidRPr="00817876">
        <w:t>As a revolving facility, amounts borrowed may be repaid without a reduction in the size of the facility.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pPr>
      <w:pStyle w:val="Header"/>
    </w:pPr>
    <w:r>
      <w:rPr>
        <w:noProof/>
        <w:lang w:eastAsia="en-US"/>
      </w:rPr>
      <w:pict>
        <v:line id="Line 1" o:spid="_x0000_s2049" style="position:absolute;z-index:251658240;visibility:visible;mso-wrap-distance-left:3.17486mm;mso-wrap-distance-right:3.17486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3F" w:rsidRDefault="0088373F">
    <w:pPr>
      <w:pStyle w:val="Header"/>
    </w:pPr>
    <w:r>
      <w:rPr>
        <w:noProof/>
        <w:lang w:eastAsia="en-US"/>
      </w:rPr>
      <w:pict>
        <v:line id="Line 2" o:spid="_x0000_s2050" style="position:absolute;z-index:251657216;visibility:visible;mso-wrap-distance-left:3.17486mm;mso-wrap-distance-right:3.17486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EE285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F56A1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90E466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E386C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68442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34BB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D0009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DFC014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D44ECDA"/>
    <w:lvl w:ilvl="0">
      <w:start w:val="1"/>
      <w:numFmt w:val="decimal"/>
      <w:pStyle w:val="ListNumber"/>
      <w:lvlText w:val="%1."/>
      <w:lvlJc w:val="left"/>
      <w:pPr>
        <w:tabs>
          <w:tab w:val="num" w:pos="360"/>
        </w:tabs>
        <w:ind w:left="360" w:hanging="360"/>
      </w:pPr>
    </w:lvl>
  </w:abstractNum>
  <w:abstractNum w:abstractNumId="9">
    <w:nsid w:val="FFFFFF89"/>
    <w:multiLevelType w:val="singleLevel"/>
    <w:tmpl w:val="D2EC5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8AF1925"/>
    <w:multiLevelType w:val="hybridMultilevel"/>
    <w:tmpl w:val="A59CC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4"/>
  </w:num>
  <w:num w:numId="20">
    <w:abstractNumId w:val="16"/>
  </w:num>
  <w:num w:numId="21">
    <w:abstractNumId w:val="17"/>
  </w:num>
  <w:num w:numId="22">
    <w:abstractNumId w:val="12"/>
  </w:num>
  <w:num w:numId="23">
    <w:abstractNumId w:val="11"/>
  </w:num>
  <w:num w:numId="24">
    <w:abstractNumId w:val="13"/>
  </w:num>
  <w:num w:numId="25">
    <w:abstractNumId w:val="2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4A80"/>
    <w:rsid w:val="00016520"/>
    <w:rsid w:val="000166B1"/>
    <w:rsid w:val="00016D72"/>
    <w:rsid w:val="00017290"/>
    <w:rsid w:val="00017DB9"/>
    <w:rsid w:val="000230FD"/>
    <w:rsid w:val="00023506"/>
    <w:rsid w:val="00024ADC"/>
    <w:rsid w:val="00025112"/>
    <w:rsid w:val="00027AE4"/>
    <w:rsid w:val="0003005E"/>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64BD"/>
    <w:rsid w:val="000671C3"/>
    <w:rsid w:val="00067771"/>
    <w:rsid w:val="0006778A"/>
    <w:rsid w:val="0007001B"/>
    <w:rsid w:val="00071ADE"/>
    <w:rsid w:val="000720D0"/>
    <w:rsid w:val="000741DF"/>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222"/>
    <w:rsid w:val="000A1803"/>
    <w:rsid w:val="000A18A9"/>
    <w:rsid w:val="000A38C2"/>
    <w:rsid w:val="000A3AD5"/>
    <w:rsid w:val="000A466A"/>
    <w:rsid w:val="000A4ADD"/>
    <w:rsid w:val="000A7131"/>
    <w:rsid w:val="000B072E"/>
    <w:rsid w:val="000B18E9"/>
    <w:rsid w:val="000B1EA2"/>
    <w:rsid w:val="000B4EC5"/>
    <w:rsid w:val="000B5329"/>
    <w:rsid w:val="000B547D"/>
    <w:rsid w:val="000B61D1"/>
    <w:rsid w:val="000B6E7F"/>
    <w:rsid w:val="000B7268"/>
    <w:rsid w:val="000C00E9"/>
    <w:rsid w:val="000C41E1"/>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E7121"/>
    <w:rsid w:val="000F041C"/>
    <w:rsid w:val="000F04B4"/>
    <w:rsid w:val="000F0D40"/>
    <w:rsid w:val="000F0E39"/>
    <w:rsid w:val="000F1D36"/>
    <w:rsid w:val="000F23B3"/>
    <w:rsid w:val="000F37F6"/>
    <w:rsid w:val="000F4005"/>
    <w:rsid w:val="000F490A"/>
    <w:rsid w:val="000F52A7"/>
    <w:rsid w:val="000F59B2"/>
    <w:rsid w:val="000F6F3C"/>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18EE"/>
    <w:rsid w:val="00123904"/>
    <w:rsid w:val="001243B6"/>
    <w:rsid w:val="001248E8"/>
    <w:rsid w:val="00124B2D"/>
    <w:rsid w:val="0012501C"/>
    <w:rsid w:val="001254C0"/>
    <w:rsid w:val="001261B3"/>
    <w:rsid w:val="00126228"/>
    <w:rsid w:val="00126630"/>
    <w:rsid w:val="001310AA"/>
    <w:rsid w:val="001314A8"/>
    <w:rsid w:val="0013195B"/>
    <w:rsid w:val="001327F5"/>
    <w:rsid w:val="00132A7D"/>
    <w:rsid w:val="0013307F"/>
    <w:rsid w:val="0013586D"/>
    <w:rsid w:val="00136681"/>
    <w:rsid w:val="00136C7D"/>
    <w:rsid w:val="0013704D"/>
    <w:rsid w:val="00137B2A"/>
    <w:rsid w:val="00140A15"/>
    <w:rsid w:val="00140EC8"/>
    <w:rsid w:val="00141044"/>
    <w:rsid w:val="001412EA"/>
    <w:rsid w:val="00142BE6"/>
    <w:rsid w:val="001433AA"/>
    <w:rsid w:val="00143690"/>
    <w:rsid w:val="001437FE"/>
    <w:rsid w:val="00143E87"/>
    <w:rsid w:val="00144612"/>
    <w:rsid w:val="00145472"/>
    <w:rsid w:val="00146EDB"/>
    <w:rsid w:val="001479BB"/>
    <w:rsid w:val="001479DB"/>
    <w:rsid w:val="00150762"/>
    <w:rsid w:val="001507AA"/>
    <w:rsid w:val="001509BF"/>
    <w:rsid w:val="00150B43"/>
    <w:rsid w:val="00151E68"/>
    <w:rsid w:val="00152139"/>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05C"/>
    <w:rsid w:val="00170A15"/>
    <w:rsid w:val="00171539"/>
    <w:rsid w:val="0017273B"/>
    <w:rsid w:val="00172914"/>
    <w:rsid w:val="00174211"/>
    <w:rsid w:val="001744D8"/>
    <w:rsid w:val="0017489F"/>
    <w:rsid w:val="00175610"/>
    <w:rsid w:val="00175E3E"/>
    <w:rsid w:val="00176EB6"/>
    <w:rsid w:val="0017762F"/>
    <w:rsid w:val="00177B8E"/>
    <w:rsid w:val="00180853"/>
    <w:rsid w:val="00180C05"/>
    <w:rsid w:val="00180D8B"/>
    <w:rsid w:val="001812AB"/>
    <w:rsid w:val="001817F0"/>
    <w:rsid w:val="001818AF"/>
    <w:rsid w:val="00181BFF"/>
    <w:rsid w:val="00184BED"/>
    <w:rsid w:val="00184D5A"/>
    <w:rsid w:val="00185D01"/>
    <w:rsid w:val="00187537"/>
    <w:rsid w:val="001901FE"/>
    <w:rsid w:val="00190A38"/>
    <w:rsid w:val="001910AF"/>
    <w:rsid w:val="0019228F"/>
    <w:rsid w:val="00192868"/>
    <w:rsid w:val="00193441"/>
    <w:rsid w:val="00193732"/>
    <w:rsid w:val="0019623D"/>
    <w:rsid w:val="0019637E"/>
    <w:rsid w:val="00196735"/>
    <w:rsid w:val="00196CB7"/>
    <w:rsid w:val="00197652"/>
    <w:rsid w:val="00197EA3"/>
    <w:rsid w:val="001A00EB"/>
    <w:rsid w:val="001A20CB"/>
    <w:rsid w:val="001A250C"/>
    <w:rsid w:val="001A28EB"/>
    <w:rsid w:val="001A2DBE"/>
    <w:rsid w:val="001A4458"/>
    <w:rsid w:val="001A4A08"/>
    <w:rsid w:val="001A5173"/>
    <w:rsid w:val="001B05DD"/>
    <w:rsid w:val="001B0754"/>
    <w:rsid w:val="001B0F21"/>
    <w:rsid w:val="001B1042"/>
    <w:rsid w:val="001B3B0C"/>
    <w:rsid w:val="001B3DF5"/>
    <w:rsid w:val="001B3E49"/>
    <w:rsid w:val="001B4051"/>
    <w:rsid w:val="001B4343"/>
    <w:rsid w:val="001B5DB9"/>
    <w:rsid w:val="001B5FA4"/>
    <w:rsid w:val="001C05AF"/>
    <w:rsid w:val="001C1320"/>
    <w:rsid w:val="001C1757"/>
    <w:rsid w:val="001C2894"/>
    <w:rsid w:val="001C2995"/>
    <w:rsid w:val="001C33EE"/>
    <w:rsid w:val="001C5E73"/>
    <w:rsid w:val="001C7315"/>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2AEA"/>
    <w:rsid w:val="001E3020"/>
    <w:rsid w:val="001E513B"/>
    <w:rsid w:val="001E694B"/>
    <w:rsid w:val="001F00F8"/>
    <w:rsid w:val="001F0A40"/>
    <w:rsid w:val="001F0E2A"/>
    <w:rsid w:val="001F12EA"/>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B08"/>
    <w:rsid w:val="00243D81"/>
    <w:rsid w:val="00246044"/>
    <w:rsid w:val="0025026F"/>
    <w:rsid w:val="002509E9"/>
    <w:rsid w:val="00250A52"/>
    <w:rsid w:val="00250AD0"/>
    <w:rsid w:val="002513A2"/>
    <w:rsid w:val="002514AA"/>
    <w:rsid w:val="0025348F"/>
    <w:rsid w:val="00253A60"/>
    <w:rsid w:val="00253D38"/>
    <w:rsid w:val="00253FF1"/>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4BB3"/>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87F"/>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6A98"/>
    <w:rsid w:val="002B7714"/>
    <w:rsid w:val="002C091A"/>
    <w:rsid w:val="002C1E94"/>
    <w:rsid w:val="002C2A01"/>
    <w:rsid w:val="002C3969"/>
    <w:rsid w:val="002C4A47"/>
    <w:rsid w:val="002C4BFB"/>
    <w:rsid w:val="002C50FA"/>
    <w:rsid w:val="002C68E6"/>
    <w:rsid w:val="002C7C00"/>
    <w:rsid w:val="002D09AB"/>
    <w:rsid w:val="002D0C18"/>
    <w:rsid w:val="002D0FA8"/>
    <w:rsid w:val="002D1D18"/>
    <w:rsid w:val="002D28A6"/>
    <w:rsid w:val="002D33EB"/>
    <w:rsid w:val="002D3501"/>
    <w:rsid w:val="002D5599"/>
    <w:rsid w:val="002D5DA2"/>
    <w:rsid w:val="002D5FE6"/>
    <w:rsid w:val="002D673E"/>
    <w:rsid w:val="002D6908"/>
    <w:rsid w:val="002D6E71"/>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779"/>
    <w:rsid w:val="002F6E18"/>
    <w:rsid w:val="002F7C7C"/>
    <w:rsid w:val="00300621"/>
    <w:rsid w:val="0030150A"/>
    <w:rsid w:val="00301A61"/>
    <w:rsid w:val="00301A6C"/>
    <w:rsid w:val="003059B7"/>
    <w:rsid w:val="00306502"/>
    <w:rsid w:val="00306F7C"/>
    <w:rsid w:val="0030775B"/>
    <w:rsid w:val="00311DA1"/>
    <w:rsid w:val="00311E3C"/>
    <w:rsid w:val="003123A3"/>
    <w:rsid w:val="00312E8D"/>
    <w:rsid w:val="00313C03"/>
    <w:rsid w:val="003150B6"/>
    <w:rsid w:val="00315C4A"/>
    <w:rsid w:val="0031649B"/>
    <w:rsid w:val="00317C67"/>
    <w:rsid w:val="00317D20"/>
    <w:rsid w:val="00320793"/>
    <w:rsid w:val="00320F41"/>
    <w:rsid w:val="00321BDE"/>
    <w:rsid w:val="00322395"/>
    <w:rsid w:val="00322945"/>
    <w:rsid w:val="00322CA7"/>
    <w:rsid w:val="003237D5"/>
    <w:rsid w:val="003239D7"/>
    <w:rsid w:val="00324237"/>
    <w:rsid w:val="003244A3"/>
    <w:rsid w:val="00325A6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19E3"/>
    <w:rsid w:val="003441F8"/>
    <w:rsid w:val="00345B6F"/>
    <w:rsid w:val="003466A5"/>
    <w:rsid w:val="00346B8D"/>
    <w:rsid w:val="00347606"/>
    <w:rsid w:val="003524AD"/>
    <w:rsid w:val="00353EC9"/>
    <w:rsid w:val="00354062"/>
    <w:rsid w:val="00354158"/>
    <w:rsid w:val="00355D0F"/>
    <w:rsid w:val="003567AA"/>
    <w:rsid w:val="003572FD"/>
    <w:rsid w:val="0035768B"/>
    <w:rsid w:val="00361737"/>
    <w:rsid w:val="00361C0C"/>
    <w:rsid w:val="003646E5"/>
    <w:rsid w:val="00365D6C"/>
    <w:rsid w:val="0036790A"/>
    <w:rsid w:val="003709DA"/>
    <w:rsid w:val="00372F79"/>
    <w:rsid w:val="00373D78"/>
    <w:rsid w:val="0037404C"/>
    <w:rsid w:val="003741A5"/>
    <w:rsid w:val="00375132"/>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65E"/>
    <w:rsid w:val="00395C17"/>
    <w:rsid w:val="00396770"/>
    <w:rsid w:val="0039752F"/>
    <w:rsid w:val="00397E04"/>
    <w:rsid w:val="003A25AC"/>
    <w:rsid w:val="003A358A"/>
    <w:rsid w:val="003A37CF"/>
    <w:rsid w:val="003A4E91"/>
    <w:rsid w:val="003A606F"/>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0"/>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34B7"/>
    <w:rsid w:val="003E418E"/>
    <w:rsid w:val="003E55B5"/>
    <w:rsid w:val="003E605A"/>
    <w:rsid w:val="003E79BA"/>
    <w:rsid w:val="003F136D"/>
    <w:rsid w:val="003F17F4"/>
    <w:rsid w:val="003F18D0"/>
    <w:rsid w:val="003F1EE5"/>
    <w:rsid w:val="003F2814"/>
    <w:rsid w:val="003F2A32"/>
    <w:rsid w:val="003F2A81"/>
    <w:rsid w:val="003F2D69"/>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5E2"/>
    <w:rsid w:val="00405F79"/>
    <w:rsid w:val="004067DB"/>
    <w:rsid w:val="004070DB"/>
    <w:rsid w:val="00407DD1"/>
    <w:rsid w:val="004100FF"/>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280"/>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1031"/>
    <w:rsid w:val="00442A6A"/>
    <w:rsid w:val="00442BDB"/>
    <w:rsid w:val="00445291"/>
    <w:rsid w:val="004479B6"/>
    <w:rsid w:val="00452684"/>
    <w:rsid w:val="00453B78"/>
    <w:rsid w:val="00454484"/>
    <w:rsid w:val="0045503A"/>
    <w:rsid w:val="00456165"/>
    <w:rsid w:val="00461566"/>
    <w:rsid w:val="00461678"/>
    <w:rsid w:val="00461E68"/>
    <w:rsid w:val="0046216E"/>
    <w:rsid w:val="004634CD"/>
    <w:rsid w:val="00465629"/>
    <w:rsid w:val="00465779"/>
    <w:rsid w:val="00465C2D"/>
    <w:rsid w:val="00466CC5"/>
    <w:rsid w:val="00467439"/>
    <w:rsid w:val="00467BEB"/>
    <w:rsid w:val="00467FE0"/>
    <w:rsid w:val="004708DE"/>
    <w:rsid w:val="00470AC5"/>
    <w:rsid w:val="00472593"/>
    <w:rsid w:val="00472ABC"/>
    <w:rsid w:val="00472ED7"/>
    <w:rsid w:val="00473B8C"/>
    <w:rsid w:val="00473CB4"/>
    <w:rsid w:val="004758A2"/>
    <w:rsid w:val="00475961"/>
    <w:rsid w:val="004764A5"/>
    <w:rsid w:val="00477ECF"/>
    <w:rsid w:val="00480BEE"/>
    <w:rsid w:val="00480DFA"/>
    <w:rsid w:val="004810BA"/>
    <w:rsid w:val="0048125F"/>
    <w:rsid w:val="00482CE9"/>
    <w:rsid w:val="004837B4"/>
    <w:rsid w:val="004847D0"/>
    <w:rsid w:val="00485753"/>
    <w:rsid w:val="00485EA0"/>
    <w:rsid w:val="00486844"/>
    <w:rsid w:val="00486B8D"/>
    <w:rsid w:val="00486F8C"/>
    <w:rsid w:val="00487ADE"/>
    <w:rsid w:val="00490E67"/>
    <w:rsid w:val="00491BBE"/>
    <w:rsid w:val="00492DF3"/>
    <w:rsid w:val="00493EFA"/>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A794C"/>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D21"/>
    <w:rsid w:val="004D4655"/>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05D"/>
    <w:rsid w:val="004E6F33"/>
    <w:rsid w:val="004F11E5"/>
    <w:rsid w:val="004F25CC"/>
    <w:rsid w:val="004F272B"/>
    <w:rsid w:val="004F3149"/>
    <w:rsid w:val="004F35C5"/>
    <w:rsid w:val="004F4285"/>
    <w:rsid w:val="004F42CA"/>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1B9A"/>
    <w:rsid w:val="00512554"/>
    <w:rsid w:val="00513B70"/>
    <w:rsid w:val="00513C79"/>
    <w:rsid w:val="00515FC9"/>
    <w:rsid w:val="00516FC7"/>
    <w:rsid w:val="00517837"/>
    <w:rsid w:val="00520D4B"/>
    <w:rsid w:val="00520E14"/>
    <w:rsid w:val="00522237"/>
    <w:rsid w:val="00524437"/>
    <w:rsid w:val="0052454D"/>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CEB"/>
    <w:rsid w:val="005557AF"/>
    <w:rsid w:val="00555E8B"/>
    <w:rsid w:val="00556755"/>
    <w:rsid w:val="00556802"/>
    <w:rsid w:val="00557DE9"/>
    <w:rsid w:val="00557F17"/>
    <w:rsid w:val="00557FF3"/>
    <w:rsid w:val="005602E4"/>
    <w:rsid w:val="00563A48"/>
    <w:rsid w:val="00564239"/>
    <w:rsid w:val="00564510"/>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65A"/>
    <w:rsid w:val="00582CE7"/>
    <w:rsid w:val="00582F46"/>
    <w:rsid w:val="005843E5"/>
    <w:rsid w:val="00585564"/>
    <w:rsid w:val="00585597"/>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6596"/>
    <w:rsid w:val="00597808"/>
    <w:rsid w:val="005A0C1C"/>
    <w:rsid w:val="005A34F1"/>
    <w:rsid w:val="005A3A5E"/>
    <w:rsid w:val="005A3E82"/>
    <w:rsid w:val="005A5C7F"/>
    <w:rsid w:val="005A7B39"/>
    <w:rsid w:val="005B1B78"/>
    <w:rsid w:val="005B1BDA"/>
    <w:rsid w:val="005B1CB8"/>
    <w:rsid w:val="005B2241"/>
    <w:rsid w:val="005B314D"/>
    <w:rsid w:val="005B485C"/>
    <w:rsid w:val="005B4E19"/>
    <w:rsid w:val="005B4F0C"/>
    <w:rsid w:val="005B5DE1"/>
    <w:rsid w:val="005B7DA8"/>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4DD"/>
    <w:rsid w:val="005E1640"/>
    <w:rsid w:val="005E1BF9"/>
    <w:rsid w:val="005E2C8E"/>
    <w:rsid w:val="005E30B2"/>
    <w:rsid w:val="005E391B"/>
    <w:rsid w:val="005E4CEA"/>
    <w:rsid w:val="005E4F1E"/>
    <w:rsid w:val="005E5219"/>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6400"/>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081"/>
    <w:rsid w:val="00652A50"/>
    <w:rsid w:val="00652CDE"/>
    <w:rsid w:val="0065378F"/>
    <w:rsid w:val="00653AB6"/>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4D4"/>
    <w:rsid w:val="0067782C"/>
    <w:rsid w:val="0068044E"/>
    <w:rsid w:val="006806DF"/>
    <w:rsid w:val="00680803"/>
    <w:rsid w:val="00680A76"/>
    <w:rsid w:val="006811D1"/>
    <w:rsid w:val="006817A4"/>
    <w:rsid w:val="006819F1"/>
    <w:rsid w:val="00681AF1"/>
    <w:rsid w:val="00681E92"/>
    <w:rsid w:val="00683DCA"/>
    <w:rsid w:val="0068401B"/>
    <w:rsid w:val="0068454F"/>
    <w:rsid w:val="00684DB1"/>
    <w:rsid w:val="0068599B"/>
    <w:rsid w:val="00685B15"/>
    <w:rsid w:val="006862F6"/>
    <w:rsid w:val="00686335"/>
    <w:rsid w:val="006871DF"/>
    <w:rsid w:val="0068740D"/>
    <w:rsid w:val="00687BB4"/>
    <w:rsid w:val="00690181"/>
    <w:rsid w:val="006912A9"/>
    <w:rsid w:val="00691C6A"/>
    <w:rsid w:val="006936D1"/>
    <w:rsid w:val="00693C60"/>
    <w:rsid w:val="0069502F"/>
    <w:rsid w:val="00695D44"/>
    <w:rsid w:val="00696255"/>
    <w:rsid w:val="006A11C5"/>
    <w:rsid w:val="006A1A12"/>
    <w:rsid w:val="006A262E"/>
    <w:rsid w:val="006A36EB"/>
    <w:rsid w:val="006A3AD6"/>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312"/>
    <w:rsid w:val="006D14F9"/>
    <w:rsid w:val="006D3608"/>
    <w:rsid w:val="006D37B6"/>
    <w:rsid w:val="006D40EB"/>
    <w:rsid w:val="006D48DF"/>
    <w:rsid w:val="006D5D2B"/>
    <w:rsid w:val="006D6D2C"/>
    <w:rsid w:val="006D6F94"/>
    <w:rsid w:val="006D72BE"/>
    <w:rsid w:val="006E034B"/>
    <w:rsid w:val="006E041D"/>
    <w:rsid w:val="006E0E79"/>
    <w:rsid w:val="006E159E"/>
    <w:rsid w:val="006E16B1"/>
    <w:rsid w:val="006E1B73"/>
    <w:rsid w:val="006E38DF"/>
    <w:rsid w:val="006E39DE"/>
    <w:rsid w:val="006E42AB"/>
    <w:rsid w:val="006E52F9"/>
    <w:rsid w:val="006E670F"/>
    <w:rsid w:val="006E6860"/>
    <w:rsid w:val="006E7B76"/>
    <w:rsid w:val="006E7D9A"/>
    <w:rsid w:val="006F0464"/>
    <w:rsid w:val="006F0CA7"/>
    <w:rsid w:val="006F33F6"/>
    <w:rsid w:val="006F5D9E"/>
    <w:rsid w:val="006F760B"/>
    <w:rsid w:val="00700519"/>
    <w:rsid w:val="00702F60"/>
    <w:rsid w:val="00704B71"/>
    <w:rsid w:val="0070506E"/>
    <w:rsid w:val="007068E6"/>
    <w:rsid w:val="00706B06"/>
    <w:rsid w:val="00707345"/>
    <w:rsid w:val="00707EDC"/>
    <w:rsid w:val="00710870"/>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952"/>
    <w:rsid w:val="007272EF"/>
    <w:rsid w:val="00733028"/>
    <w:rsid w:val="00734133"/>
    <w:rsid w:val="0073473E"/>
    <w:rsid w:val="00734B1C"/>
    <w:rsid w:val="007371B6"/>
    <w:rsid w:val="00740171"/>
    <w:rsid w:val="00741A4C"/>
    <w:rsid w:val="00741D0C"/>
    <w:rsid w:val="00742234"/>
    <w:rsid w:val="0074434B"/>
    <w:rsid w:val="0074503B"/>
    <w:rsid w:val="0074780F"/>
    <w:rsid w:val="007479D7"/>
    <w:rsid w:val="00747E79"/>
    <w:rsid w:val="007500C0"/>
    <w:rsid w:val="0075051F"/>
    <w:rsid w:val="00750EDE"/>
    <w:rsid w:val="0075114A"/>
    <w:rsid w:val="00752EBB"/>
    <w:rsid w:val="007566DF"/>
    <w:rsid w:val="00756DFF"/>
    <w:rsid w:val="00760094"/>
    <w:rsid w:val="007601AB"/>
    <w:rsid w:val="00761C3C"/>
    <w:rsid w:val="007634AB"/>
    <w:rsid w:val="00763C78"/>
    <w:rsid w:val="00763E2D"/>
    <w:rsid w:val="00764A88"/>
    <w:rsid w:val="007651A2"/>
    <w:rsid w:val="00765BC2"/>
    <w:rsid w:val="00765CD3"/>
    <w:rsid w:val="00770765"/>
    <w:rsid w:val="007732A5"/>
    <w:rsid w:val="0077386A"/>
    <w:rsid w:val="00774148"/>
    <w:rsid w:val="007748F7"/>
    <w:rsid w:val="00774C7E"/>
    <w:rsid w:val="00777698"/>
    <w:rsid w:val="007777BC"/>
    <w:rsid w:val="00780212"/>
    <w:rsid w:val="00780447"/>
    <w:rsid w:val="0078122C"/>
    <w:rsid w:val="00781394"/>
    <w:rsid w:val="0078192B"/>
    <w:rsid w:val="00784F4E"/>
    <w:rsid w:val="00786F84"/>
    <w:rsid w:val="00787143"/>
    <w:rsid w:val="00787792"/>
    <w:rsid w:val="007879A0"/>
    <w:rsid w:val="00787F86"/>
    <w:rsid w:val="007900B1"/>
    <w:rsid w:val="00790A7B"/>
    <w:rsid w:val="007912BD"/>
    <w:rsid w:val="007916C8"/>
    <w:rsid w:val="007916DE"/>
    <w:rsid w:val="00793ED4"/>
    <w:rsid w:val="00794888"/>
    <w:rsid w:val="00794A7D"/>
    <w:rsid w:val="00794BAC"/>
    <w:rsid w:val="00795240"/>
    <w:rsid w:val="007952D8"/>
    <w:rsid w:val="007955DE"/>
    <w:rsid w:val="007964B6"/>
    <w:rsid w:val="00796AB9"/>
    <w:rsid w:val="00796F84"/>
    <w:rsid w:val="007A0359"/>
    <w:rsid w:val="007A038A"/>
    <w:rsid w:val="007A09DE"/>
    <w:rsid w:val="007A1C4B"/>
    <w:rsid w:val="007A217C"/>
    <w:rsid w:val="007A264B"/>
    <w:rsid w:val="007A3634"/>
    <w:rsid w:val="007A50D7"/>
    <w:rsid w:val="007A524A"/>
    <w:rsid w:val="007A52B5"/>
    <w:rsid w:val="007B071B"/>
    <w:rsid w:val="007B0D7A"/>
    <w:rsid w:val="007B2007"/>
    <w:rsid w:val="007B3174"/>
    <w:rsid w:val="007B413A"/>
    <w:rsid w:val="007B43E3"/>
    <w:rsid w:val="007B46B9"/>
    <w:rsid w:val="007B51EC"/>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94D"/>
    <w:rsid w:val="007D7C2F"/>
    <w:rsid w:val="007E09D2"/>
    <w:rsid w:val="007E28A2"/>
    <w:rsid w:val="007E29A4"/>
    <w:rsid w:val="007E3002"/>
    <w:rsid w:val="007E3032"/>
    <w:rsid w:val="007E37E0"/>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2BCB"/>
    <w:rsid w:val="00803700"/>
    <w:rsid w:val="00803A83"/>
    <w:rsid w:val="00804023"/>
    <w:rsid w:val="008069EB"/>
    <w:rsid w:val="00807920"/>
    <w:rsid w:val="00807BFB"/>
    <w:rsid w:val="00807C0C"/>
    <w:rsid w:val="008108AB"/>
    <w:rsid w:val="00812215"/>
    <w:rsid w:val="00812D69"/>
    <w:rsid w:val="00813661"/>
    <w:rsid w:val="00814872"/>
    <w:rsid w:val="00814B2E"/>
    <w:rsid w:val="00814CD3"/>
    <w:rsid w:val="00815C2C"/>
    <w:rsid w:val="00817414"/>
    <w:rsid w:val="00817876"/>
    <w:rsid w:val="00821648"/>
    <w:rsid w:val="00821B30"/>
    <w:rsid w:val="008228E3"/>
    <w:rsid w:val="0082398C"/>
    <w:rsid w:val="00823BFE"/>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0FF"/>
    <w:rsid w:val="008426C6"/>
    <w:rsid w:val="00845A09"/>
    <w:rsid w:val="0084663C"/>
    <w:rsid w:val="0085014D"/>
    <w:rsid w:val="00851308"/>
    <w:rsid w:val="008519D7"/>
    <w:rsid w:val="00853D37"/>
    <w:rsid w:val="0085432B"/>
    <w:rsid w:val="00854371"/>
    <w:rsid w:val="00854A7C"/>
    <w:rsid w:val="008554E1"/>
    <w:rsid w:val="00857C4F"/>
    <w:rsid w:val="00860860"/>
    <w:rsid w:val="00861015"/>
    <w:rsid w:val="008622E6"/>
    <w:rsid w:val="00862C8F"/>
    <w:rsid w:val="008648CD"/>
    <w:rsid w:val="00864908"/>
    <w:rsid w:val="008654ED"/>
    <w:rsid w:val="008657C5"/>
    <w:rsid w:val="008659FF"/>
    <w:rsid w:val="00870468"/>
    <w:rsid w:val="008707B7"/>
    <w:rsid w:val="00871BFC"/>
    <w:rsid w:val="008728B1"/>
    <w:rsid w:val="00873862"/>
    <w:rsid w:val="00874FAE"/>
    <w:rsid w:val="00875BED"/>
    <w:rsid w:val="008765CD"/>
    <w:rsid w:val="00881A27"/>
    <w:rsid w:val="008827A7"/>
    <w:rsid w:val="00883307"/>
    <w:rsid w:val="0088373F"/>
    <w:rsid w:val="00884379"/>
    <w:rsid w:val="0088470E"/>
    <w:rsid w:val="00886451"/>
    <w:rsid w:val="008906F3"/>
    <w:rsid w:val="0089091E"/>
    <w:rsid w:val="00890AB0"/>
    <w:rsid w:val="00890D83"/>
    <w:rsid w:val="0089212C"/>
    <w:rsid w:val="00892520"/>
    <w:rsid w:val="008948DC"/>
    <w:rsid w:val="00896299"/>
    <w:rsid w:val="008975B2"/>
    <w:rsid w:val="008978DD"/>
    <w:rsid w:val="008A059F"/>
    <w:rsid w:val="008A0B3E"/>
    <w:rsid w:val="008A1F10"/>
    <w:rsid w:val="008A288C"/>
    <w:rsid w:val="008A3638"/>
    <w:rsid w:val="008A407A"/>
    <w:rsid w:val="008A5E4E"/>
    <w:rsid w:val="008A5FCA"/>
    <w:rsid w:val="008A606D"/>
    <w:rsid w:val="008A66A7"/>
    <w:rsid w:val="008A6B5F"/>
    <w:rsid w:val="008A7B95"/>
    <w:rsid w:val="008A7C70"/>
    <w:rsid w:val="008A7CA1"/>
    <w:rsid w:val="008A7F35"/>
    <w:rsid w:val="008B00F5"/>
    <w:rsid w:val="008B0167"/>
    <w:rsid w:val="008B0D24"/>
    <w:rsid w:val="008B2293"/>
    <w:rsid w:val="008B25E3"/>
    <w:rsid w:val="008B3270"/>
    <w:rsid w:val="008B4340"/>
    <w:rsid w:val="008B62DD"/>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113B"/>
    <w:rsid w:val="008D160D"/>
    <w:rsid w:val="008D2101"/>
    <w:rsid w:val="008D2CE4"/>
    <w:rsid w:val="008D3FE1"/>
    <w:rsid w:val="008D4518"/>
    <w:rsid w:val="008D4C23"/>
    <w:rsid w:val="008E00EF"/>
    <w:rsid w:val="008E1898"/>
    <w:rsid w:val="008E3C4E"/>
    <w:rsid w:val="008E4520"/>
    <w:rsid w:val="008E5C68"/>
    <w:rsid w:val="008E5D69"/>
    <w:rsid w:val="008E61BB"/>
    <w:rsid w:val="008E6753"/>
    <w:rsid w:val="008E7A0D"/>
    <w:rsid w:val="008F0360"/>
    <w:rsid w:val="008F1F8B"/>
    <w:rsid w:val="008F21F0"/>
    <w:rsid w:val="008F228E"/>
    <w:rsid w:val="008F2D17"/>
    <w:rsid w:val="008F455B"/>
    <w:rsid w:val="008F456D"/>
    <w:rsid w:val="008F4C14"/>
    <w:rsid w:val="008F6008"/>
    <w:rsid w:val="008F6105"/>
    <w:rsid w:val="008F70BE"/>
    <w:rsid w:val="008F7306"/>
    <w:rsid w:val="008F7F31"/>
    <w:rsid w:val="008F7F79"/>
    <w:rsid w:val="00900BA8"/>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61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0DF0"/>
    <w:rsid w:val="00941237"/>
    <w:rsid w:val="009426F1"/>
    <w:rsid w:val="0094330C"/>
    <w:rsid w:val="00947B74"/>
    <w:rsid w:val="00947F23"/>
    <w:rsid w:val="00951590"/>
    <w:rsid w:val="00951F47"/>
    <w:rsid w:val="00952690"/>
    <w:rsid w:val="00956EA5"/>
    <w:rsid w:val="00960171"/>
    <w:rsid w:val="00960DCD"/>
    <w:rsid w:val="00961E5B"/>
    <w:rsid w:val="0096292D"/>
    <w:rsid w:val="00962B5B"/>
    <w:rsid w:val="00963942"/>
    <w:rsid w:val="00963C5F"/>
    <w:rsid w:val="00963E83"/>
    <w:rsid w:val="00963F3E"/>
    <w:rsid w:val="009647FA"/>
    <w:rsid w:val="009660DD"/>
    <w:rsid w:val="00966588"/>
    <w:rsid w:val="0096673F"/>
    <w:rsid w:val="00966F57"/>
    <w:rsid w:val="009674C8"/>
    <w:rsid w:val="00972197"/>
    <w:rsid w:val="0097229E"/>
    <w:rsid w:val="00972BD7"/>
    <w:rsid w:val="00972D2E"/>
    <w:rsid w:val="0097489A"/>
    <w:rsid w:val="00975FAE"/>
    <w:rsid w:val="009760D8"/>
    <w:rsid w:val="00976AEB"/>
    <w:rsid w:val="009773FF"/>
    <w:rsid w:val="009775C7"/>
    <w:rsid w:val="009779B9"/>
    <w:rsid w:val="00977B93"/>
    <w:rsid w:val="00980076"/>
    <w:rsid w:val="00980289"/>
    <w:rsid w:val="009810B0"/>
    <w:rsid w:val="0098299A"/>
    <w:rsid w:val="00983DD9"/>
    <w:rsid w:val="009852B7"/>
    <w:rsid w:val="00985C9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C6661"/>
    <w:rsid w:val="009C7C19"/>
    <w:rsid w:val="009D0FDD"/>
    <w:rsid w:val="009D2CBD"/>
    <w:rsid w:val="009D65C1"/>
    <w:rsid w:val="009D7AD4"/>
    <w:rsid w:val="009D7FA2"/>
    <w:rsid w:val="009E01CA"/>
    <w:rsid w:val="009E01FD"/>
    <w:rsid w:val="009E115E"/>
    <w:rsid w:val="009E125C"/>
    <w:rsid w:val="009E1A5E"/>
    <w:rsid w:val="009E1E5D"/>
    <w:rsid w:val="009E27EB"/>
    <w:rsid w:val="009E3B0A"/>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6332"/>
    <w:rsid w:val="009F6F92"/>
    <w:rsid w:val="00A0051F"/>
    <w:rsid w:val="00A00AFC"/>
    <w:rsid w:val="00A016A1"/>
    <w:rsid w:val="00A0341E"/>
    <w:rsid w:val="00A03C2C"/>
    <w:rsid w:val="00A0437D"/>
    <w:rsid w:val="00A05B24"/>
    <w:rsid w:val="00A068A1"/>
    <w:rsid w:val="00A1013D"/>
    <w:rsid w:val="00A1276E"/>
    <w:rsid w:val="00A12C18"/>
    <w:rsid w:val="00A1317E"/>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3005"/>
    <w:rsid w:val="00A333FB"/>
    <w:rsid w:val="00A3415A"/>
    <w:rsid w:val="00A3485C"/>
    <w:rsid w:val="00A354F2"/>
    <w:rsid w:val="00A3583D"/>
    <w:rsid w:val="00A41383"/>
    <w:rsid w:val="00A42881"/>
    <w:rsid w:val="00A42FE7"/>
    <w:rsid w:val="00A43978"/>
    <w:rsid w:val="00A44A5B"/>
    <w:rsid w:val="00A45B22"/>
    <w:rsid w:val="00A45E59"/>
    <w:rsid w:val="00A45E7D"/>
    <w:rsid w:val="00A46FB7"/>
    <w:rsid w:val="00A4790C"/>
    <w:rsid w:val="00A47A93"/>
    <w:rsid w:val="00A5025E"/>
    <w:rsid w:val="00A503F9"/>
    <w:rsid w:val="00A511AC"/>
    <w:rsid w:val="00A52612"/>
    <w:rsid w:val="00A52A23"/>
    <w:rsid w:val="00A52FBE"/>
    <w:rsid w:val="00A534A5"/>
    <w:rsid w:val="00A56D01"/>
    <w:rsid w:val="00A572B0"/>
    <w:rsid w:val="00A57902"/>
    <w:rsid w:val="00A57FB3"/>
    <w:rsid w:val="00A612E2"/>
    <w:rsid w:val="00A643B3"/>
    <w:rsid w:val="00A64ADC"/>
    <w:rsid w:val="00A65C7F"/>
    <w:rsid w:val="00A65FAC"/>
    <w:rsid w:val="00A6635F"/>
    <w:rsid w:val="00A668BB"/>
    <w:rsid w:val="00A66A45"/>
    <w:rsid w:val="00A679F1"/>
    <w:rsid w:val="00A70989"/>
    <w:rsid w:val="00A70B83"/>
    <w:rsid w:val="00A75BCB"/>
    <w:rsid w:val="00A766C4"/>
    <w:rsid w:val="00A76AF5"/>
    <w:rsid w:val="00A76BF9"/>
    <w:rsid w:val="00A76E2F"/>
    <w:rsid w:val="00A77667"/>
    <w:rsid w:val="00A8078F"/>
    <w:rsid w:val="00A81093"/>
    <w:rsid w:val="00A8135A"/>
    <w:rsid w:val="00A83E17"/>
    <w:rsid w:val="00A84915"/>
    <w:rsid w:val="00A857D7"/>
    <w:rsid w:val="00A860B7"/>
    <w:rsid w:val="00A87832"/>
    <w:rsid w:val="00A91720"/>
    <w:rsid w:val="00A925B4"/>
    <w:rsid w:val="00A943DE"/>
    <w:rsid w:val="00A94457"/>
    <w:rsid w:val="00A950BE"/>
    <w:rsid w:val="00A95E53"/>
    <w:rsid w:val="00A9627B"/>
    <w:rsid w:val="00A96BA8"/>
    <w:rsid w:val="00A96FF2"/>
    <w:rsid w:val="00AA01A6"/>
    <w:rsid w:val="00AA0A33"/>
    <w:rsid w:val="00AA0DD3"/>
    <w:rsid w:val="00AA0F3E"/>
    <w:rsid w:val="00AA2435"/>
    <w:rsid w:val="00AA2591"/>
    <w:rsid w:val="00AA3302"/>
    <w:rsid w:val="00AA63DC"/>
    <w:rsid w:val="00AB0C43"/>
    <w:rsid w:val="00AB1214"/>
    <w:rsid w:val="00AB1B73"/>
    <w:rsid w:val="00AB3379"/>
    <w:rsid w:val="00AB4C4C"/>
    <w:rsid w:val="00AB4C54"/>
    <w:rsid w:val="00AB5D04"/>
    <w:rsid w:val="00AB5F08"/>
    <w:rsid w:val="00AB75F7"/>
    <w:rsid w:val="00AB7BF1"/>
    <w:rsid w:val="00AC0EFD"/>
    <w:rsid w:val="00AC1699"/>
    <w:rsid w:val="00AC1C8D"/>
    <w:rsid w:val="00AC2036"/>
    <w:rsid w:val="00AC286C"/>
    <w:rsid w:val="00AC3040"/>
    <w:rsid w:val="00AC3234"/>
    <w:rsid w:val="00AC5FC7"/>
    <w:rsid w:val="00AC6E75"/>
    <w:rsid w:val="00AC7AED"/>
    <w:rsid w:val="00AC7C43"/>
    <w:rsid w:val="00AC7CF6"/>
    <w:rsid w:val="00AD03A4"/>
    <w:rsid w:val="00AD202A"/>
    <w:rsid w:val="00AD2265"/>
    <w:rsid w:val="00AD2E33"/>
    <w:rsid w:val="00AD32C1"/>
    <w:rsid w:val="00AD4044"/>
    <w:rsid w:val="00AD45F2"/>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867"/>
    <w:rsid w:val="00AF2B4F"/>
    <w:rsid w:val="00AF34B0"/>
    <w:rsid w:val="00AF426F"/>
    <w:rsid w:val="00AF4765"/>
    <w:rsid w:val="00AF5CAD"/>
    <w:rsid w:val="00AF6283"/>
    <w:rsid w:val="00AF6922"/>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118E"/>
    <w:rsid w:val="00B44620"/>
    <w:rsid w:val="00B4502B"/>
    <w:rsid w:val="00B470CD"/>
    <w:rsid w:val="00B47142"/>
    <w:rsid w:val="00B50B31"/>
    <w:rsid w:val="00B5217C"/>
    <w:rsid w:val="00B5381B"/>
    <w:rsid w:val="00B56541"/>
    <w:rsid w:val="00B566E6"/>
    <w:rsid w:val="00B57332"/>
    <w:rsid w:val="00B57F98"/>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3A10"/>
    <w:rsid w:val="00B860EB"/>
    <w:rsid w:val="00B861DB"/>
    <w:rsid w:val="00B8622A"/>
    <w:rsid w:val="00B87F43"/>
    <w:rsid w:val="00B93AF6"/>
    <w:rsid w:val="00B95891"/>
    <w:rsid w:val="00B97BA8"/>
    <w:rsid w:val="00BA0677"/>
    <w:rsid w:val="00BA099E"/>
    <w:rsid w:val="00BA120F"/>
    <w:rsid w:val="00BA17EA"/>
    <w:rsid w:val="00BA18DA"/>
    <w:rsid w:val="00BA35F3"/>
    <w:rsid w:val="00BA3890"/>
    <w:rsid w:val="00BA48E2"/>
    <w:rsid w:val="00BA49FE"/>
    <w:rsid w:val="00BA5292"/>
    <w:rsid w:val="00BA5AA3"/>
    <w:rsid w:val="00BA6230"/>
    <w:rsid w:val="00BA6566"/>
    <w:rsid w:val="00BA6F03"/>
    <w:rsid w:val="00BA7B3C"/>
    <w:rsid w:val="00BB02B7"/>
    <w:rsid w:val="00BB068C"/>
    <w:rsid w:val="00BB0E8D"/>
    <w:rsid w:val="00BB0E95"/>
    <w:rsid w:val="00BB3B79"/>
    <w:rsid w:val="00BB49EC"/>
    <w:rsid w:val="00BB56E2"/>
    <w:rsid w:val="00BB58AE"/>
    <w:rsid w:val="00BB59C4"/>
    <w:rsid w:val="00BB6F8B"/>
    <w:rsid w:val="00BB71E9"/>
    <w:rsid w:val="00BC05CD"/>
    <w:rsid w:val="00BC0991"/>
    <w:rsid w:val="00BC0C2B"/>
    <w:rsid w:val="00BC1CCB"/>
    <w:rsid w:val="00BC29F7"/>
    <w:rsid w:val="00BC2B29"/>
    <w:rsid w:val="00BC2C0B"/>
    <w:rsid w:val="00BC2D15"/>
    <w:rsid w:val="00BC4460"/>
    <w:rsid w:val="00BC6885"/>
    <w:rsid w:val="00BC6B8F"/>
    <w:rsid w:val="00BC70E2"/>
    <w:rsid w:val="00BC7443"/>
    <w:rsid w:val="00BD0105"/>
    <w:rsid w:val="00BD094A"/>
    <w:rsid w:val="00BD0FA2"/>
    <w:rsid w:val="00BD1824"/>
    <w:rsid w:val="00BD1BF4"/>
    <w:rsid w:val="00BD2E50"/>
    <w:rsid w:val="00BD350C"/>
    <w:rsid w:val="00BD3A77"/>
    <w:rsid w:val="00BD3C91"/>
    <w:rsid w:val="00BD4170"/>
    <w:rsid w:val="00BD5053"/>
    <w:rsid w:val="00BD50E5"/>
    <w:rsid w:val="00BD5285"/>
    <w:rsid w:val="00BD5D14"/>
    <w:rsid w:val="00BD6611"/>
    <w:rsid w:val="00BD6B3D"/>
    <w:rsid w:val="00BD6B7E"/>
    <w:rsid w:val="00BE0B31"/>
    <w:rsid w:val="00BE0D4C"/>
    <w:rsid w:val="00BE0D5C"/>
    <w:rsid w:val="00BE165C"/>
    <w:rsid w:val="00BE1D8C"/>
    <w:rsid w:val="00BE20A5"/>
    <w:rsid w:val="00BE2A55"/>
    <w:rsid w:val="00BE3AC1"/>
    <w:rsid w:val="00BE4420"/>
    <w:rsid w:val="00BE4ADC"/>
    <w:rsid w:val="00BE540B"/>
    <w:rsid w:val="00BE59A0"/>
    <w:rsid w:val="00BE5A65"/>
    <w:rsid w:val="00BE7C9B"/>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752B"/>
    <w:rsid w:val="00C10B0E"/>
    <w:rsid w:val="00C10DC6"/>
    <w:rsid w:val="00C10FFE"/>
    <w:rsid w:val="00C12228"/>
    <w:rsid w:val="00C1240D"/>
    <w:rsid w:val="00C12ADD"/>
    <w:rsid w:val="00C12C7D"/>
    <w:rsid w:val="00C135F3"/>
    <w:rsid w:val="00C14D1F"/>
    <w:rsid w:val="00C20DD3"/>
    <w:rsid w:val="00C22377"/>
    <w:rsid w:val="00C22D7C"/>
    <w:rsid w:val="00C23367"/>
    <w:rsid w:val="00C23F7A"/>
    <w:rsid w:val="00C27038"/>
    <w:rsid w:val="00C30EF0"/>
    <w:rsid w:val="00C31DDE"/>
    <w:rsid w:val="00C33888"/>
    <w:rsid w:val="00C34E49"/>
    <w:rsid w:val="00C35B75"/>
    <w:rsid w:val="00C362B1"/>
    <w:rsid w:val="00C365C0"/>
    <w:rsid w:val="00C36B0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713F"/>
    <w:rsid w:val="00C67E9C"/>
    <w:rsid w:val="00C707EF"/>
    <w:rsid w:val="00C70AD4"/>
    <w:rsid w:val="00C71101"/>
    <w:rsid w:val="00C72096"/>
    <w:rsid w:val="00C72FF0"/>
    <w:rsid w:val="00C739EE"/>
    <w:rsid w:val="00C73C6C"/>
    <w:rsid w:val="00C74BFB"/>
    <w:rsid w:val="00C751AB"/>
    <w:rsid w:val="00C77D9A"/>
    <w:rsid w:val="00C800B2"/>
    <w:rsid w:val="00C807B6"/>
    <w:rsid w:val="00C8119A"/>
    <w:rsid w:val="00C81E5F"/>
    <w:rsid w:val="00C84B04"/>
    <w:rsid w:val="00C85021"/>
    <w:rsid w:val="00C85E89"/>
    <w:rsid w:val="00C86ED6"/>
    <w:rsid w:val="00C902E1"/>
    <w:rsid w:val="00C914FC"/>
    <w:rsid w:val="00C91AAE"/>
    <w:rsid w:val="00C91F9D"/>
    <w:rsid w:val="00C92CD7"/>
    <w:rsid w:val="00C9311B"/>
    <w:rsid w:val="00C93A44"/>
    <w:rsid w:val="00C95008"/>
    <w:rsid w:val="00C9692A"/>
    <w:rsid w:val="00CA0FE3"/>
    <w:rsid w:val="00CA1F02"/>
    <w:rsid w:val="00CA3B3D"/>
    <w:rsid w:val="00CA413B"/>
    <w:rsid w:val="00CA5B05"/>
    <w:rsid w:val="00CA6B1B"/>
    <w:rsid w:val="00CA6F2E"/>
    <w:rsid w:val="00CA7053"/>
    <w:rsid w:val="00CA7F28"/>
    <w:rsid w:val="00CB089E"/>
    <w:rsid w:val="00CB0A6C"/>
    <w:rsid w:val="00CB0BD7"/>
    <w:rsid w:val="00CB2CDA"/>
    <w:rsid w:val="00CB2FDA"/>
    <w:rsid w:val="00CB3A67"/>
    <w:rsid w:val="00CB410C"/>
    <w:rsid w:val="00CB485B"/>
    <w:rsid w:val="00CB4A11"/>
    <w:rsid w:val="00CB5EA7"/>
    <w:rsid w:val="00CB6B51"/>
    <w:rsid w:val="00CB723F"/>
    <w:rsid w:val="00CB7A7C"/>
    <w:rsid w:val="00CC06B8"/>
    <w:rsid w:val="00CC1BCD"/>
    <w:rsid w:val="00CC1D35"/>
    <w:rsid w:val="00CC29C6"/>
    <w:rsid w:val="00CC347C"/>
    <w:rsid w:val="00CC43A2"/>
    <w:rsid w:val="00CC5ECE"/>
    <w:rsid w:val="00CC771C"/>
    <w:rsid w:val="00CC7784"/>
    <w:rsid w:val="00CC79CD"/>
    <w:rsid w:val="00CC7E24"/>
    <w:rsid w:val="00CD029F"/>
    <w:rsid w:val="00CD1A65"/>
    <w:rsid w:val="00CD1F25"/>
    <w:rsid w:val="00CD2306"/>
    <w:rsid w:val="00CD35E1"/>
    <w:rsid w:val="00CD3A0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53C7"/>
    <w:rsid w:val="00CF5E04"/>
    <w:rsid w:val="00CF6F07"/>
    <w:rsid w:val="00CF7048"/>
    <w:rsid w:val="00D0022F"/>
    <w:rsid w:val="00D01042"/>
    <w:rsid w:val="00D01773"/>
    <w:rsid w:val="00D0179D"/>
    <w:rsid w:val="00D0230E"/>
    <w:rsid w:val="00D02E58"/>
    <w:rsid w:val="00D04205"/>
    <w:rsid w:val="00D04E6E"/>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6027"/>
    <w:rsid w:val="00D36B80"/>
    <w:rsid w:val="00D372B9"/>
    <w:rsid w:val="00D41FFC"/>
    <w:rsid w:val="00D430CB"/>
    <w:rsid w:val="00D43B6E"/>
    <w:rsid w:val="00D43FF6"/>
    <w:rsid w:val="00D44143"/>
    <w:rsid w:val="00D45FEB"/>
    <w:rsid w:val="00D473C6"/>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474D"/>
    <w:rsid w:val="00D65101"/>
    <w:rsid w:val="00D65113"/>
    <w:rsid w:val="00D6547D"/>
    <w:rsid w:val="00D65CC4"/>
    <w:rsid w:val="00D66CA0"/>
    <w:rsid w:val="00D70E42"/>
    <w:rsid w:val="00D719E2"/>
    <w:rsid w:val="00D733E9"/>
    <w:rsid w:val="00D74BE2"/>
    <w:rsid w:val="00D7577A"/>
    <w:rsid w:val="00D76783"/>
    <w:rsid w:val="00D76C18"/>
    <w:rsid w:val="00D778B5"/>
    <w:rsid w:val="00D80347"/>
    <w:rsid w:val="00D80DFA"/>
    <w:rsid w:val="00D81939"/>
    <w:rsid w:val="00D83BD3"/>
    <w:rsid w:val="00D83F66"/>
    <w:rsid w:val="00D847C4"/>
    <w:rsid w:val="00D84CCB"/>
    <w:rsid w:val="00D8544C"/>
    <w:rsid w:val="00D863C2"/>
    <w:rsid w:val="00D87089"/>
    <w:rsid w:val="00D90EA9"/>
    <w:rsid w:val="00D90FF4"/>
    <w:rsid w:val="00D9161F"/>
    <w:rsid w:val="00D92830"/>
    <w:rsid w:val="00D9293B"/>
    <w:rsid w:val="00D94101"/>
    <w:rsid w:val="00D94BBE"/>
    <w:rsid w:val="00D95151"/>
    <w:rsid w:val="00D952E4"/>
    <w:rsid w:val="00D971A4"/>
    <w:rsid w:val="00D978F7"/>
    <w:rsid w:val="00DA0153"/>
    <w:rsid w:val="00DA2DAB"/>
    <w:rsid w:val="00DB0A6C"/>
    <w:rsid w:val="00DB0E0E"/>
    <w:rsid w:val="00DB2869"/>
    <w:rsid w:val="00DB2986"/>
    <w:rsid w:val="00DB4898"/>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2F0E"/>
    <w:rsid w:val="00DD3BEB"/>
    <w:rsid w:val="00DD4589"/>
    <w:rsid w:val="00DD4985"/>
    <w:rsid w:val="00DD593D"/>
    <w:rsid w:val="00DD5AC3"/>
    <w:rsid w:val="00DD773E"/>
    <w:rsid w:val="00DE0149"/>
    <w:rsid w:val="00DE25E3"/>
    <w:rsid w:val="00DE3005"/>
    <w:rsid w:val="00DE37B3"/>
    <w:rsid w:val="00DE4702"/>
    <w:rsid w:val="00DE671B"/>
    <w:rsid w:val="00DE6A65"/>
    <w:rsid w:val="00DE7B5E"/>
    <w:rsid w:val="00DF0490"/>
    <w:rsid w:val="00DF1108"/>
    <w:rsid w:val="00DF1978"/>
    <w:rsid w:val="00DF1FD2"/>
    <w:rsid w:val="00DF29B8"/>
    <w:rsid w:val="00DF32B7"/>
    <w:rsid w:val="00DF3335"/>
    <w:rsid w:val="00DF4899"/>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1D2D"/>
    <w:rsid w:val="00E147DB"/>
    <w:rsid w:val="00E200CC"/>
    <w:rsid w:val="00E226D5"/>
    <w:rsid w:val="00E243CF"/>
    <w:rsid w:val="00E24D64"/>
    <w:rsid w:val="00E26CC9"/>
    <w:rsid w:val="00E26D82"/>
    <w:rsid w:val="00E26E5A"/>
    <w:rsid w:val="00E2712A"/>
    <w:rsid w:val="00E3143B"/>
    <w:rsid w:val="00E32EB7"/>
    <w:rsid w:val="00E32F0D"/>
    <w:rsid w:val="00E33738"/>
    <w:rsid w:val="00E34842"/>
    <w:rsid w:val="00E35091"/>
    <w:rsid w:val="00E3529D"/>
    <w:rsid w:val="00E36103"/>
    <w:rsid w:val="00E361D9"/>
    <w:rsid w:val="00E369CA"/>
    <w:rsid w:val="00E3736A"/>
    <w:rsid w:val="00E41290"/>
    <w:rsid w:val="00E416EB"/>
    <w:rsid w:val="00E416EE"/>
    <w:rsid w:val="00E4190F"/>
    <w:rsid w:val="00E4193E"/>
    <w:rsid w:val="00E42118"/>
    <w:rsid w:val="00E4294C"/>
    <w:rsid w:val="00E43439"/>
    <w:rsid w:val="00E437BD"/>
    <w:rsid w:val="00E44025"/>
    <w:rsid w:val="00E458CC"/>
    <w:rsid w:val="00E46107"/>
    <w:rsid w:val="00E467FB"/>
    <w:rsid w:val="00E514B5"/>
    <w:rsid w:val="00E51B87"/>
    <w:rsid w:val="00E5233D"/>
    <w:rsid w:val="00E52CCB"/>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890"/>
    <w:rsid w:val="00E73957"/>
    <w:rsid w:val="00E73AC1"/>
    <w:rsid w:val="00E74F74"/>
    <w:rsid w:val="00E75AE2"/>
    <w:rsid w:val="00E76535"/>
    <w:rsid w:val="00E767B4"/>
    <w:rsid w:val="00E76B40"/>
    <w:rsid w:val="00E76BC7"/>
    <w:rsid w:val="00E77D12"/>
    <w:rsid w:val="00E77E8A"/>
    <w:rsid w:val="00E80ADA"/>
    <w:rsid w:val="00E81B09"/>
    <w:rsid w:val="00E82709"/>
    <w:rsid w:val="00E828EB"/>
    <w:rsid w:val="00E82F84"/>
    <w:rsid w:val="00E850E4"/>
    <w:rsid w:val="00E85A4A"/>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3DB"/>
    <w:rsid w:val="00EE4764"/>
    <w:rsid w:val="00EE4FC6"/>
    <w:rsid w:val="00EE5E3B"/>
    <w:rsid w:val="00EE6F79"/>
    <w:rsid w:val="00EE733F"/>
    <w:rsid w:val="00EF00EC"/>
    <w:rsid w:val="00EF0976"/>
    <w:rsid w:val="00EF2085"/>
    <w:rsid w:val="00EF33AC"/>
    <w:rsid w:val="00EF5CC2"/>
    <w:rsid w:val="00EF6CE5"/>
    <w:rsid w:val="00EF6F01"/>
    <w:rsid w:val="00F003F6"/>
    <w:rsid w:val="00F0129A"/>
    <w:rsid w:val="00F01467"/>
    <w:rsid w:val="00F01A9E"/>
    <w:rsid w:val="00F01C6A"/>
    <w:rsid w:val="00F0213D"/>
    <w:rsid w:val="00F02261"/>
    <w:rsid w:val="00F03679"/>
    <w:rsid w:val="00F03B47"/>
    <w:rsid w:val="00F0470F"/>
    <w:rsid w:val="00F04E1C"/>
    <w:rsid w:val="00F05AA5"/>
    <w:rsid w:val="00F06D30"/>
    <w:rsid w:val="00F06FFD"/>
    <w:rsid w:val="00F12A80"/>
    <w:rsid w:val="00F139A3"/>
    <w:rsid w:val="00F14121"/>
    <w:rsid w:val="00F14562"/>
    <w:rsid w:val="00F16795"/>
    <w:rsid w:val="00F16E6A"/>
    <w:rsid w:val="00F1744A"/>
    <w:rsid w:val="00F177A6"/>
    <w:rsid w:val="00F177D6"/>
    <w:rsid w:val="00F21D3A"/>
    <w:rsid w:val="00F21D5C"/>
    <w:rsid w:val="00F22DBA"/>
    <w:rsid w:val="00F240F4"/>
    <w:rsid w:val="00F24E19"/>
    <w:rsid w:val="00F250E1"/>
    <w:rsid w:val="00F25144"/>
    <w:rsid w:val="00F262C1"/>
    <w:rsid w:val="00F275A7"/>
    <w:rsid w:val="00F27CB4"/>
    <w:rsid w:val="00F3028C"/>
    <w:rsid w:val="00F31ADF"/>
    <w:rsid w:val="00F31DB1"/>
    <w:rsid w:val="00F32561"/>
    <w:rsid w:val="00F337AD"/>
    <w:rsid w:val="00F355B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86"/>
    <w:rsid w:val="00F60895"/>
    <w:rsid w:val="00F60BF1"/>
    <w:rsid w:val="00F6120A"/>
    <w:rsid w:val="00F61E32"/>
    <w:rsid w:val="00F637CB"/>
    <w:rsid w:val="00F63A44"/>
    <w:rsid w:val="00F64EA0"/>
    <w:rsid w:val="00F65F19"/>
    <w:rsid w:val="00F668C7"/>
    <w:rsid w:val="00F70E56"/>
    <w:rsid w:val="00F7294B"/>
    <w:rsid w:val="00F7519D"/>
    <w:rsid w:val="00F761B9"/>
    <w:rsid w:val="00F762AE"/>
    <w:rsid w:val="00F7641D"/>
    <w:rsid w:val="00F76A25"/>
    <w:rsid w:val="00F83FCD"/>
    <w:rsid w:val="00F8418D"/>
    <w:rsid w:val="00F85D5F"/>
    <w:rsid w:val="00F86AA2"/>
    <w:rsid w:val="00F871CA"/>
    <w:rsid w:val="00F878BC"/>
    <w:rsid w:val="00F87945"/>
    <w:rsid w:val="00F902A7"/>
    <w:rsid w:val="00F90CF4"/>
    <w:rsid w:val="00F9256D"/>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784"/>
    <w:rsid w:val="00FB0BAC"/>
    <w:rsid w:val="00FB1380"/>
    <w:rsid w:val="00FB1952"/>
    <w:rsid w:val="00FB1F00"/>
    <w:rsid w:val="00FB203C"/>
    <w:rsid w:val="00FB25A6"/>
    <w:rsid w:val="00FB39EB"/>
    <w:rsid w:val="00FB5CB3"/>
    <w:rsid w:val="00FB7594"/>
    <w:rsid w:val="00FB7EA9"/>
    <w:rsid w:val="00FC0CB3"/>
    <w:rsid w:val="00FC0FC9"/>
    <w:rsid w:val="00FC2710"/>
    <w:rsid w:val="00FC293F"/>
    <w:rsid w:val="00FC295F"/>
    <w:rsid w:val="00FC2970"/>
    <w:rsid w:val="00FC3195"/>
    <w:rsid w:val="00FC3F79"/>
    <w:rsid w:val="00FC48B2"/>
    <w:rsid w:val="00FC62ED"/>
    <w:rsid w:val="00FC6D07"/>
    <w:rsid w:val="00FD1570"/>
    <w:rsid w:val="00FD2477"/>
    <w:rsid w:val="00FD269F"/>
    <w:rsid w:val="00FD309A"/>
    <w:rsid w:val="00FD4F62"/>
    <w:rsid w:val="00FD5488"/>
    <w:rsid w:val="00FD5B44"/>
    <w:rsid w:val="00FD78B1"/>
    <w:rsid w:val="00FD7ACD"/>
    <w:rsid w:val="00FE3F4E"/>
    <w:rsid w:val="00FE4E26"/>
    <w:rsid w:val="00FE4FBA"/>
    <w:rsid w:val="00FE5558"/>
    <w:rsid w:val="00FE661C"/>
    <w:rsid w:val="00FE69BF"/>
    <w:rsid w:val="00FE770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rPr>
      <w:rFonts w:ascii="Cambria" w:hAnsi="Cambria"/>
      <w:bCs/>
      <w:sz w:val="26"/>
      <w:szCs w:val="26"/>
      <w:u w:val="none"/>
    </w:rPr>
  </w:style>
  <w:style w:type="paragraph" w:styleId="Heading4">
    <w:name w:val="heading 4"/>
    <w:aliases w:val="h4"/>
    <w:basedOn w:val="Heading3"/>
    <w:next w:val="Normal"/>
    <w:link w:val="Heading4Char"/>
    <w:uiPriority w:val="99"/>
    <w:qFormat/>
    <w:rsid w:val="00EC61B9"/>
    <w:pPr>
      <w:ind w:left="2160"/>
      <w:outlineLvl w:val="3"/>
    </w:pPr>
    <w:rPr>
      <w:rFonts w:ascii="Calibri" w:hAnsi="Calibri"/>
      <w:sz w:val="28"/>
      <w:szCs w:val="28"/>
    </w:rPr>
  </w:style>
  <w:style w:type="paragraph" w:styleId="Heading5">
    <w:name w:val="heading 5"/>
    <w:aliases w:val="h5"/>
    <w:basedOn w:val="Heading4"/>
    <w:next w:val="Normal"/>
    <w:link w:val="Heading5Char"/>
    <w:uiPriority w:val="9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C61B9"/>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C61B9"/>
    <w:rPr>
      <w:rFonts w:cs="Times New Roman"/>
      <w:b/>
      <w:sz w:val="24"/>
      <w:u w:val="single"/>
      <w:lang w:val="en-US" w:eastAsia="zh-CN"/>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sz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sz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i/>
      <w:sz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eastAsia="zh-CN"/>
    </w:rPr>
  </w:style>
  <w:style w:type="paragraph" w:styleId="FootnoteText">
    <w:name w:val="footnote text"/>
    <w:basedOn w:val="single"/>
    <w:link w:val="FootnoteTextChar"/>
    <w:uiPriority w:val="99"/>
    <w:semiHidden/>
    <w:rsid w:val="00EC61B9"/>
    <w:rPr>
      <w:rFonts w:ascii="Times New Roman" w:hAnsi="Times New Roman"/>
      <w:sz w:val="20"/>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b/>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650332058">
      <w:marLeft w:val="0"/>
      <w:marRight w:val="0"/>
      <w:marTop w:val="0"/>
      <w:marBottom w:val="0"/>
      <w:divBdr>
        <w:top w:val="none" w:sz="0" w:space="0" w:color="auto"/>
        <w:left w:val="none" w:sz="0" w:space="0" w:color="auto"/>
        <w:bottom w:val="none" w:sz="0" w:space="0" w:color="auto"/>
        <w:right w:val="none" w:sz="0" w:space="0" w:color="auto"/>
      </w:divBdr>
    </w:div>
    <w:div w:id="650332060">
      <w:marLeft w:val="30"/>
      <w:marRight w:val="30"/>
      <w:marTop w:val="30"/>
      <w:marBottom w:val="30"/>
      <w:divBdr>
        <w:top w:val="none" w:sz="0" w:space="0" w:color="auto"/>
        <w:left w:val="none" w:sz="0" w:space="0" w:color="auto"/>
        <w:bottom w:val="none" w:sz="0" w:space="0" w:color="auto"/>
        <w:right w:val="none" w:sz="0" w:space="0" w:color="auto"/>
      </w:divBdr>
      <w:divsChild>
        <w:div w:id="650332073">
          <w:marLeft w:val="0"/>
          <w:marRight w:val="0"/>
          <w:marTop w:val="0"/>
          <w:marBottom w:val="0"/>
          <w:divBdr>
            <w:top w:val="none" w:sz="0" w:space="0" w:color="auto"/>
            <w:left w:val="none" w:sz="0" w:space="0" w:color="auto"/>
            <w:bottom w:val="none" w:sz="0" w:space="0" w:color="auto"/>
            <w:right w:val="none" w:sz="0" w:space="0" w:color="auto"/>
          </w:divBdr>
          <w:divsChild>
            <w:div w:id="650332071">
              <w:marLeft w:val="45"/>
              <w:marRight w:val="45"/>
              <w:marTop w:val="45"/>
              <w:marBottom w:val="45"/>
              <w:divBdr>
                <w:top w:val="none" w:sz="0" w:space="0" w:color="auto"/>
                <w:left w:val="none" w:sz="0" w:space="0" w:color="auto"/>
                <w:bottom w:val="none" w:sz="0" w:space="0" w:color="auto"/>
                <w:right w:val="none" w:sz="0" w:space="0" w:color="auto"/>
              </w:divBdr>
              <w:divsChild>
                <w:div w:id="650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61">
      <w:marLeft w:val="0"/>
      <w:marRight w:val="0"/>
      <w:marTop w:val="0"/>
      <w:marBottom w:val="0"/>
      <w:divBdr>
        <w:top w:val="none" w:sz="0" w:space="0" w:color="auto"/>
        <w:left w:val="none" w:sz="0" w:space="0" w:color="auto"/>
        <w:bottom w:val="none" w:sz="0" w:space="0" w:color="auto"/>
        <w:right w:val="none" w:sz="0" w:space="0" w:color="auto"/>
      </w:divBdr>
      <w:divsChild>
        <w:div w:id="650332063">
          <w:marLeft w:val="0"/>
          <w:marRight w:val="0"/>
          <w:marTop w:val="0"/>
          <w:marBottom w:val="0"/>
          <w:divBdr>
            <w:top w:val="none" w:sz="0" w:space="0" w:color="auto"/>
            <w:left w:val="none" w:sz="0" w:space="0" w:color="auto"/>
            <w:bottom w:val="none" w:sz="0" w:space="0" w:color="auto"/>
            <w:right w:val="none" w:sz="0" w:space="0" w:color="auto"/>
          </w:divBdr>
        </w:div>
      </w:divsChild>
    </w:div>
    <w:div w:id="650332062">
      <w:marLeft w:val="0"/>
      <w:marRight w:val="0"/>
      <w:marTop w:val="0"/>
      <w:marBottom w:val="0"/>
      <w:divBdr>
        <w:top w:val="none" w:sz="0" w:space="0" w:color="auto"/>
        <w:left w:val="none" w:sz="0" w:space="0" w:color="auto"/>
        <w:bottom w:val="none" w:sz="0" w:space="0" w:color="auto"/>
        <w:right w:val="none" w:sz="0" w:space="0" w:color="auto"/>
      </w:divBdr>
      <w:divsChild>
        <w:div w:id="650332064">
          <w:marLeft w:val="0"/>
          <w:marRight w:val="0"/>
          <w:marTop w:val="0"/>
          <w:marBottom w:val="0"/>
          <w:divBdr>
            <w:top w:val="none" w:sz="0" w:space="0" w:color="auto"/>
            <w:left w:val="none" w:sz="0" w:space="0" w:color="auto"/>
            <w:bottom w:val="none" w:sz="0" w:space="0" w:color="auto"/>
            <w:right w:val="none" w:sz="0" w:space="0" w:color="auto"/>
          </w:divBdr>
        </w:div>
      </w:divsChild>
    </w:div>
    <w:div w:id="650332065">
      <w:marLeft w:val="0"/>
      <w:marRight w:val="0"/>
      <w:marTop w:val="0"/>
      <w:marBottom w:val="0"/>
      <w:divBdr>
        <w:top w:val="none" w:sz="0" w:space="0" w:color="auto"/>
        <w:left w:val="none" w:sz="0" w:space="0" w:color="auto"/>
        <w:bottom w:val="none" w:sz="0" w:space="0" w:color="auto"/>
        <w:right w:val="none" w:sz="0" w:space="0" w:color="auto"/>
      </w:divBdr>
    </w:div>
    <w:div w:id="650332066">
      <w:marLeft w:val="0"/>
      <w:marRight w:val="0"/>
      <w:marTop w:val="0"/>
      <w:marBottom w:val="0"/>
      <w:divBdr>
        <w:top w:val="none" w:sz="0" w:space="0" w:color="auto"/>
        <w:left w:val="none" w:sz="0" w:space="0" w:color="auto"/>
        <w:bottom w:val="none" w:sz="0" w:space="0" w:color="auto"/>
        <w:right w:val="none" w:sz="0" w:space="0" w:color="auto"/>
      </w:divBdr>
    </w:div>
    <w:div w:id="650332067">
      <w:marLeft w:val="0"/>
      <w:marRight w:val="0"/>
      <w:marTop w:val="0"/>
      <w:marBottom w:val="0"/>
      <w:divBdr>
        <w:top w:val="none" w:sz="0" w:space="0" w:color="auto"/>
        <w:left w:val="none" w:sz="0" w:space="0" w:color="auto"/>
        <w:bottom w:val="none" w:sz="0" w:space="0" w:color="auto"/>
        <w:right w:val="none" w:sz="0" w:space="0" w:color="auto"/>
      </w:divBdr>
    </w:div>
    <w:div w:id="650332068">
      <w:marLeft w:val="0"/>
      <w:marRight w:val="0"/>
      <w:marTop w:val="0"/>
      <w:marBottom w:val="0"/>
      <w:divBdr>
        <w:top w:val="none" w:sz="0" w:space="0" w:color="auto"/>
        <w:left w:val="none" w:sz="0" w:space="0" w:color="auto"/>
        <w:bottom w:val="none" w:sz="0" w:space="0" w:color="auto"/>
        <w:right w:val="none" w:sz="0" w:space="0" w:color="auto"/>
      </w:divBdr>
    </w:div>
    <w:div w:id="650332069">
      <w:marLeft w:val="0"/>
      <w:marRight w:val="0"/>
      <w:marTop w:val="0"/>
      <w:marBottom w:val="0"/>
      <w:divBdr>
        <w:top w:val="none" w:sz="0" w:space="0" w:color="auto"/>
        <w:left w:val="none" w:sz="0" w:space="0" w:color="auto"/>
        <w:bottom w:val="none" w:sz="0" w:space="0" w:color="auto"/>
        <w:right w:val="none" w:sz="0" w:space="0" w:color="auto"/>
      </w:divBdr>
    </w:div>
    <w:div w:id="650332070">
      <w:marLeft w:val="0"/>
      <w:marRight w:val="0"/>
      <w:marTop w:val="0"/>
      <w:marBottom w:val="0"/>
      <w:divBdr>
        <w:top w:val="none" w:sz="0" w:space="0" w:color="auto"/>
        <w:left w:val="none" w:sz="0" w:space="0" w:color="auto"/>
        <w:bottom w:val="none" w:sz="0" w:space="0" w:color="auto"/>
        <w:right w:val="none" w:sz="0" w:space="0" w:color="auto"/>
      </w:divBdr>
    </w:div>
    <w:div w:id="650332072">
      <w:marLeft w:val="0"/>
      <w:marRight w:val="0"/>
      <w:marTop w:val="0"/>
      <w:marBottom w:val="0"/>
      <w:divBdr>
        <w:top w:val="none" w:sz="0" w:space="0" w:color="auto"/>
        <w:left w:val="none" w:sz="0" w:space="0" w:color="auto"/>
        <w:bottom w:val="none" w:sz="0" w:space="0" w:color="auto"/>
        <w:right w:val="none" w:sz="0" w:space="0" w:color="auto"/>
      </w:divBdr>
    </w:div>
    <w:div w:id="650332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rattle.com/_documents/UploadLibrary/Upload922.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tchboard.nrdc.org/blogs/rcavanagh/decouplingreportMorganfinal.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7BB5C-F7DC-4E7C-93BA-A7B2A6AAA430}"/>
</file>

<file path=customXml/itemProps2.xml><?xml version="1.0" encoding="utf-8"?>
<ds:datastoreItem xmlns:ds="http://schemas.openxmlformats.org/officeDocument/2006/customXml" ds:itemID="{26075809-6FAA-4564-A7CF-0D624C34A085}"/>
</file>

<file path=customXml/itemProps3.xml><?xml version="1.0" encoding="utf-8"?>
<ds:datastoreItem xmlns:ds="http://schemas.openxmlformats.org/officeDocument/2006/customXml" ds:itemID="{3AB20583-A4A5-4B1C-96FC-B1537162F712}"/>
</file>

<file path=customXml/itemProps4.xml><?xml version="1.0" encoding="utf-8"?>
<ds:datastoreItem xmlns:ds="http://schemas.openxmlformats.org/officeDocument/2006/customXml" ds:itemID="{4D0AEA01-BEDF-4AD9-B078-C5D855958266}"/>
</file>

<file path=docProps/app.xml><?xml version="1.0" encoding="utf-8"?>
<Properties xmlns="http://schemas.openxmlformats.org/officeDocument/2006/extended-properties" xmlns:vt="http://schemas.openxmlformats.org/officeDocument/2006/docPropsVTypes">
  <Template>Normal_Wordconv.dotm</Template>
  <TotalTime>30</TotalTime>
  <Pages>28</Pages>
  <Words>5730</Words>
  <Characters>-32766</Characters>
  <Application>Microsoft Office Outlook</Application>
  <DocSecurity>0</DocSecurity>
  <Lines>0</Lines>
  <Paragraphs>0</Paragraphs>
  <ScaleCrop>false</ScaleCrop>
  <Company>Perkins Coie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Name</dc:creator>
  <cp:keywords/>
  <dc:description/>
  <cp:lastModifiedBy>.</cp:lastModifiedBy>
  <cp:revision>6</cp:revision>
  <cp:lastPrinted>2013-05-08T19:36:00Z</cp:lastPrinted>
  <dcterms:created xsi:type="dcterms:W3CDTF">2013-05-08T14:14:00Z</dcterms:created>
  <dcterms:modified xsi:type="dcterms:W3CDTF">2013-05-08T19:36:00Z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oFAAC41Wbh9etaW2FbwRYW+3mYmCw8VJqOZSXWIhK5JCVtehBs9YWoG49hEgWySGlZRZGnZmT22ZWg2mvJRkoIqGvOrnt/noNNZKConfPU8GR3fB7XSNg60KJHO5Q/iOy27Pr6qKFOwa5nUXrDgg8OAS/nyRo24nQjc9PHF21sSrXpPH4ITJticMMxyhKv8OzE51GxDsvX1IrBmuHn7urhNLDJW+M8d0iUs2aff3iXmxHU3MfKg4ShDUE</vt:lpwstr>
  </property>
  <property fmtid="{D5CDD505-2E9C-101B-9397-08002B2CF9AE}" pid="3" name="MAIL_MSG_ID2">
    <vt:lpwstr>Jh0HcNNwvHGI3MjBrIbM7v7hzbcBfUhVAi8f1anskNORI8lMlCoo9aR45NFkIK2p6qMEcl8SIyP9hS5WaBvDeoAckvDOq/IlF/vLCOYzZxh</vt:lpwstr>
  </property>
  <property fmtid="{D5CDD505-2E9C-101B-9397-08002B2CF9AE}" pid="4" name="RESPONSE_SENDER_NAME">
    <vt:lpwstr>ABAAv4tRYjpfjUs9U5lntS/2mOyzQyfb3E8Dcqv9jxe7l9FV6fQYPypVeR0NSydkmZ+s</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0x0101006E56B4D1795A2E4DB2F0B01679ED314A00863EE574BB0F3E4FBB6C8B011E7001F0</vt:lpwstr>
  </property>
  <property fmtid="{D5CDD505-2E9C-101B-9397-08002B2CF9AE}" pid="7" name="_docset_NoMedatataSyncRequired">
    <vt:lpwstr>False</vt:lpwstr>
  </property>
</Properties>
</file>