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D4654D" w:rsidRPr="00770E9A" w:rsidTr="00C42132">
        <w:trPr>
          <w:cantSplit/>
          <w:trHeight w:hRule="exact" w:val="288"/>
        </w:trPr>
        <w:tc>
          <w:tcPr>
            <w:tcW w:w="306" w:type="dxa"/>
            <w:tcMar>
              <w:left w:w="14" w:type="dxa"/>
              <w:right w:w="14" w:type="dxa"/>
            </w:tcMar>
            <w:vAlign w:val="center"/>
          </w:tcPr>
          <w:p w:rsidR="00D4654D" w:rsidRPr="006B3EA9" w:rsidRDefault="002D7D55" w:rsidP="005241EE">
            <w:pPr>
              <w:spacing w:after="0" w:line="240" w:lineRule="auto"/>
              <w:jc w:val="center"/>
              <w:rPr>
                <w:rFonts w:ascii="Arial" w:hAnsi="Arial" w:cs="Arial"/>
                <w:sz w:val="20"/>
                <w:szCs w:val="20"/>
              </w:rPr>
            </w:pPr>
            <w:r w:rsidRPr="006B3EA9">
              <w:rPr>
                <w:rFonts w:ascii="Arial" w:hAnsi="Arial" w:cs="Arial"/>
                <w:sz w:val="20"/>
                <w:szCs w:val="20"/>
              </w:rPr>
              <w:t>(T)</w:t>
            </w:r>
          </w:p>
        </w:tc>
        <w:tc>
          <w:tcPr>
            <w:tcW w:w="306" w:type="dxa"/>
            <w:tcMar>
              <w:left w:w="14" w:type="dxa"/>
              <w:right w:w="14" w:type="dxa"/>
            </w:tcMar>
            <w:vAlign w:val="center"/>
          </w:tcPr>
          <w:p w:rsidR="00D4654D" w:rsidRPr="00770E9A" w:rsidRDefault="00D4654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5241EE">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C850A3">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Pr="00770E9A"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6B3EA9" w:rsidP="0047056F">
            <w:pPr>
              <w:spacing w:after="0" w:line="240" w:lineRule="auto"/>
              <w:jc w:val="center"/>
              <w:rPr>
                <w:rFonts w:ascii="Arial" w:hAnsi="Arial" w:cs="Arial"/>
                <w:sz w:val="20"/>
                <w:szCs w:val="20"/>
              </w:rPr>
            </w:pPr>
            <w:r w:rsidRPr="006B3EA9">
              <w:rPr>
                <w:rFonts w:ascii="Arial" w:hAnsi="Arial" w:cs="Arial"/>
                <w:sz w:val="20"/>
                <w:szCs w:val="20"/>
              </w:rPr>
              <w:t>(D)</w:t>
            </w:r>
          </w:p>
        </w:tc>
        <w:tc>
          <w:tcPr>
            <w:tcW w:w="306" w:type="dxa"/>
            <w:tcMar>
              <w:left w:w="14" w:type="dxa"/>
              <w:right w:w="14" w:type="dxa"/>
            </w:tcMar>
            <w:vAlign w:val="center"/>
          </w:tcPr>
          <w:p w:rsidR="00D4654D" w:rsidRDefault="006B3EA9" w:rsidP="0047056F">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6B3EA9" w:rsidP="0047056F">
            <w:pPr>
              <w:spacing w:after="0" w:line="240" w:lineRule="auto"/>
              <w:jc w:val="center"/>
              <w:rPr>
                <w:rFonts w:ascii="Arial" w:hAnsi="Arial" w:cs="Arial"/>
                <w:sz w:val="20"/>
                <w:szCs w:val="20"/>
              </w:rPr>
            </w:pPr>
            <w:r w:rsidRPr="006B3EA9">
              <w:rPr>
                <w:rFonts w:ascii="Arial" w:hAnsi="Arial" w:cs="Arial"/>
                <w:sz w:val="20"/>
                <w:szCs w:val="20"/>
              </w:rPr>
              <w:t>I</w:t>
            </w: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6B3EA9" w:rsidP="0047056F">
            <w:pPr>
              <w:spacing w:after="0" w:line="240" w:lineRule="auto"/>
              <w:jc w:val="center"/>
              <w:rPr>
                <w:rFonts w:ascii="Arial" w:hAnsi="Arial" w:cs="Arial"/>
                <w:sz w:val="20"/>
                <w:szCs w:val="20"/>
              </w:rPr>
            </w:pPr>
            <w:r w:rsidRPr="006B3EA9">
              <w:rPr>
                <w:rFonts w:ascii="Arial" w:hAnsi="Arial" w:cs="Arial"/>
                <w:sz w:val="20"/>
                <w:szCs w:val="20"/>
              </w:rPr>
              <w:t>I</w:t>
            </w:r>
          </w:p>
        </w:tc>
        <w:tc>
          <w:tcPr>
            <w:tcW w:w="306" w:type="dxa"/>
            <w:tcMar>
              <w:left w:w="14" w:type="dxa"/>
              <w:right w:w="14" w:type="dxa"/>
            </w:tcMar>
            <w:vAlign w:val="center"/>
          </w:tcPr>
          <w:p w:rsidR="00D4654D" w:rsidRDefault="00D4654D" w:rsidP="002D7D55">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6B3EA9" w:rsidP="0047056F">
            <w:pPr>
              <w:spacing w:after="0" w:line="240" w:lineRule="auto"/>
              <w:jc w:val="center"/>
              <w:rPr>
                <w:rFonts w:ascii="Arial" w:hAnsi="Arial" w:cs="Arial"/>
                <w:sz w:val="20"/>
                <w:szCs w:val="20"/>
              </w:rPr>
            </w:pPr>
            <w:r w:rsidRPr="006B3EA9">
              <w:rPr>
                <w:rFonts w:ascii="Arial" w:hAnsi="Arial" w:cs="Arial"/>
                <w:sz w:val="20"/>
                <w:szCs w:val="20"/>
              </w:rPr>
              <w:t>(D)</w:t>
            </w: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r w:rsidR="00D4654D" w:rsidRPr="00770E9A" w:rsidTr="002C09C5">
        <w:trPr>
          <w:trHeight w:val="288"/>
        </w:trPr>
        <w:tc>
          <w:tcPr>
            <w:tcW w:w="306" w:type="dxa"/>
            <w:tcMar>
              <w:left w:w="14" w:type="dxa"/>
              <w:right w:w="14" w:type="dxa"/>
            </w:tcMar>
            <w:vAlign w:val="center"/>
          </w:tcPr>
          <w:p w:rsidR="00D4654D" w:rsidRPr="006B3EA9" w:rsidRDefault="00D4654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4654D" w:rsidRDefault="00D4654D"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654A244558F424890A69E2F294C53BD"/>
            </w:placeholder>
            <w:text/>
          </w:sdtPr>
          <w:sdtEndPr>
            <w:rPr>
              <w:rStyle w:val="DefaultParagraphFont"/>
              <w:rFonts w:ascii="Calibri" w:hAnsi="Calibri" w:cs="Arial"/>
              <w:b w:val="0"/>
              <w:sz w:val="22"/>
              <w:szCs w:val="20"/>
            </w:rPr>
          </w:sdtEndPr>
          <w:sdtContent>
            <w:tc>
              <w:tcPr>
                <w:tcW w:w="8887" w:type="dxa"/>
              </w:tcPr>
              <w:p w:rsidR="000D2886" w:rsidRPr="000D2886" w:rsidRDefault="00D4654D" w:rsidP="00D4654D">
                <w:pPr>
                  <w:spacing w:after="0" w:line="286" w:lineRule="exact"/>
                  <w:jc w:val="center"/>
                  <w:rPr>
                    <w:rFonts w:ascii="Arial" w:hAnsi="Arial" w:cs="Arial"/>
                    <w:b/>
                    <w:sz w:val="20"/>
                    <w:szCs w:val="20"/>
                  </w:rPr>
                </w:pPr>
                <w:r>
                  <w:rPr>
                    <w:rStyle w:val="Custom1"/>
                  </w:rPr>
                  <w:t>SCHEDULE NO. 41</w:t>
                </w:r>
              </w:p>
            </w:tc>
          </w:sdtContent>
        </w:sdt>
      </w:tr>
      <w:tr w:rsidR="000D2886" w:rsidTr="000D2886">
        <w:tc>
          <w:tcPr>
            <w:tcW w:w="8887" w:type="dxa"/>
          </w:tcPr>
          <w:p w:rsidR="000D2886" w:rsidRPr="000D2886" w:rsidRDefault="00D4654D" w:rsidP="00D4654D">
            <w:pPr>
              <w:spacing w:after="0" w:line="286" w:lineRule="exact"/>
              <w:jc w:val="center"/>
              <w:rPr>
                <w:rFonts w:ascii="Arial" w:hAnsi="Arial" w:cs="Arial"/>
                <w:b/>
                <w:color w:val="000000" w:themeColor="text1"/>
                <w:sz w:val="20"/>
                <w:szCs w:val="20"/>
              </w:rPr>
            </w:pPr>
            <w:r>
              <w:rPr>
                <w:rStyle w:val="Custom1"/>
              </w:rPr>
              <w:t xml:space="preserve">Large Volume High Load Factor Gas Service (Optional) </w:t>
            </w:r>
            <w:r w:rsidRPr="00D4654D">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D4654D" w:rsidP="00D4654D">
      <w:pPr>
        <w:pStyle w:val="ListParagraph"/>
        <w:numPr>
          <w:ilvl w:val="0"/>
          <w:numId w:val="1"/>
        </w:numPr>
        <w:spacing w:after="0" w:line="286" w:lineRule="exact"/>
        <w:rPr>
          <w:rFonts w:ascii="Arial" w:hAnsi="Arial" w:cs="Arial"/>
          <w:sz w:val="20"/>
          <w:szCs w:val="20"/>
        </w:rPr>
      </w:pPr>
      <w:r>
        <w:rPr>
          <w:rFonts w:ascii="Arial" w:hAnsi="Arial" w:cs="Arial"/>
          <w:sz w:val="20"/>
          <w:szCs w:val="20"/>
        </w:rPr>
        <w:t>Delivery and gas supply demand charges:</w:t>
      </w:r>
    </w:p>
    <w:p w:rsidR="00D4654D" w:rsidRDefault="00D4654D" w:rsidP="00D4654D">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Each charge will be assessed monthly based on the Customer’s demand usage volume, which shall be the Customer’s highest daily usage in therms per day from the month in which occurs the Company’s coincident peak day, from the most recent November 1 through March 31 winter period.  The demand usage volume may be based on average daily consumption for the one-month period or, when available, may be based upon a 24-hour actual measured usage from such month.  Changes in individual Customer demand usage volume shall become effective for the billing period starting on or after June 1 of each year.</w:t>
      </w:r>
    </w:p>
    <w:p w:rsidR="00D4654D" w:rsidRDefault="00D4654D" w:rsidP="00D4654D">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For a Customer location which has not established a demand usage volume, the Company, in its sole discretion, based upon information supplied by the Customer, will establish a demand usage volume for monthly billing purposes until such time as it is superseded by an actual demand usage volume established pursuant to 3.a. above.</w:t>
      </w:r>
    </w:p>
    <w:p w:rsidR="002D7D55" w:rsidRDefault="002D7D55" w:rsidP="002D7D55">
      <w:pPr>
        <w:pStyle w:val="ListParagraph"/>
        <w:spacing w:after="0" w:line="286" w:lineRule="exact"/>
        <w:ind w:left="1080"/>
        <w:rPr>
          <w:rFonts w:ascii="Arial" w:hAnsi="Arial" w:cs="Arial"/>
          <w:sz w:val="20"/>
          <w:szCs w:val="20"/>
        </w:rPr>
      </w:pPr>
    </w:p>
    <w:p w:rsidR="00D4654D" w:rsidRDefault="00D4654D" w:rsidP="00D4654D">
      <w:pPr>
        <w:pStyle w:val="ListParagraph"/>
        <w:numPr>
          <w:ilvl w:val="0"/>
          <w:numId w:val="1"/>
        </w:numPr>
        <w:spacing w:after="0" w:line="286" w:lineRule="exact"/>
        <w:rPr>
          <w:rFonts w:ascii="Arial" w:hAnsi="Arial" w:cs="Arial"/>
          <w:sz w:val="20"/>
          <w:szCs w:val="20"/>
        </w:rPr>
      </w:pPr>
      <w:r>
        <w:rPr>
          <w:rFonts w:ascii="Arial" w:hAnsi="Arial" w:cs="Arial"/>
          <w:sz w:val="20"/>
          <w:szCs w:val="20"/>
        </w:rPr>
        <w:t>The rates named herein are subject to adjustments as set forth in Schedule No. 1 and other supplemental schedules, when applicable.</w:t>
      </w:r>
    </w:p>
    <w:p w:rsidR="002D7D55" w:rsidRDefault="002D7D55" w:rsidP="002D7D55">
      <w:pPr>
        <w:pStyle w:val="ListParagraph"/>
        <w:spacing w:after="0" w:line="286" w:lineRule="exact"/>
        <w:ind w:left="360"/>
        <w:rPr>
          <w:rFonts w:ascii="Arial" w:hAnsi="Arial" w:cs="Arial"/>
          <w:sz w:val="20"/>
          <w:szCs w:val="20"/>
        </w:rPr>
      </w:pPr>
    </w:p>
    <w:p w:rsidR="002D7D55" w:rsidRPr="002D7D55" w:rsidRDefault="002D7D55" w:rsidP="002D7D55">
      <w:pPr>
        <w:pStyle w:val="ListParagraph"/>
        <w:numPr>
          <w:ilvl w:val="0"/>
          <w:numId w:val="3"/>
        </w:numPr>
        <w:spacing w:after="0" w:line="286" w:lineRule="exact"/>
        <w:ind w:left="360"/>
        <w:rPr>
          <w:rFonts w:ascii="Arial" w:hAnsi="Arial" w:cs="Arial"/>
          <w:sz w:val="20"/>
          <w:szCs w:val="20"/>
        </w:rPr>
      </w:pPr>
      <w:r w:rsidRPr="006B3EA9">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Company’s tariff.</w:t>
      </w: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p w:rsidR="002D7D55" w:rsidRDefault="002D7D55" w:rsidP="002D7D55">
      <w:pPr>
        <w:spacing w:after="0" w:line="240" w:lineRule="auto"/>
        <w:rPr>
          <w:rStyle w:val="Custom2"/>
        </w:rPr>
      </w:pPr>
    </w:p>
    <w:sectPr w:rsidR="002D7D5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54D" w:rsidRDefault="00D4654D" w:rsidP="00B963E0">
      <w:pPr>
        <w:spacing w:after="0" w:line="240" w:lineRule="auto"/>
      </w:pPr>
      <w:r>
        <w:separator/>
      </w:r>
    </w:p>
  </w:endnote>
  <w:endnote w:type="continuationSeparator" w:id="0">
    <w:p w:rsidR="00D4654D" w:rsidRDefault="00D4654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EB" w:rsidRDefault="00567B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5C7706">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880C02">
          <w:rPr>
            <w:rFonts w:ascii="Arial" w:hAnsi="Arial" w:cs="Arial"/>
            <w:sz w:val="20"/>
            <w:szCs w:val="20"/>
          </w:rPr>
          <w:t xml:space="preserve">October 30, </w:t>
        </w:r>
        <w:r w:rsidR="00880C02">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4654D">
          <w:rPr>
            <w:rFonts w:ascii="Arial" w:hAnsi="Arial" w:cs="Arial"/>
            <w:sz w:val="20"/>
            <w:szCs w:val="20"/>
          </w:rPr>
          <w:t>201</w:t>
        </w:r>
        <w:r w:rsidR="006B3EA9">
          <w:rPr>
            <w:rFonts w:ascii="Arial" w:hAnsi="Arial" w:cs="Arial"/>
            <w:sz w:val="20"/>
            <w:szCs w:val="20"/>
          </w:rPr>
          <w:t>5</w:t>
        </w:r>
        <w:r w:rsidR="00D4654D">
          <w:rPr>
            <w:rFonts w:ascii="Arial" w:hAnsi="Arial" w:cs="Arial"/>
            <w:sz w:val="20"/>
            <w:szCs w:val="20"/>
          </w:rPr>
          <w:t>-</w:t>
        </w:r>
        <w:r w:rsidR="00D35250">
          <w:rPr>
            <w:rFonts w:ascii="Arial" w:hAnsi="Arial" w:cs="Arial"/>
            <w:sz w:val="20"/>
            <w:szCs w:val="20"/>
          </w:rPr>
          <w:t>17</w:t>
        </w:r>
      </w:sdtContent>
    </w:sdt>
  </w:p>
  <w:p w:rsidR="00D4654D" w:rsidRPr="006B3EA9" w:rsidRDefault="00D4654D"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9918" w:type="dxa"/>
      <w:tblLook w:val="04A0" w:firstRow="1" w:lastRow="0" w:firstColumn="1" w:lastColumn="0" w:noHBand="0" w:noVBand="1"/>
    </w:tblPr>
    <w:tblGrid>
      <w:gridCol w:w="558"/>
      <w:gridCol w:w="2700"/>
      <w:gridCol w:w="6660"/>
    </w:tblGrid>
    <w:tr w:rsidR="006B3EA9" w:rsidRPr="007D434A" w:rsidTr="006B3EA9">
      <w:trPr>
        <w:trHeight w:val="393"/>
      </w:trPr>
      <w:tc>
        <w:tcPr>
          <w:tcW w:w="558" w:type="dxa"/>
          <w:vAlign w:val="center"/>
        </w:tcPr>
        <w:p w:rsidR="006B3EA9" w:rsidRPr="007D434A" w:rsidRDefault="006B3EA9"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B3EA9" w:rsidRPr="007D434A" w:rsidRDefault="00D35250" w:rsidP="00882FF5">
          <w:pPr>
            <w:pStyle w:val="Footer"/>
            <w:rPr>
              <w:rFonts w:ascii="Arial" w:hAnsi="Arial" w:cs="Arial"/>
              <w:b/>
              <w:sz w:val="20"/>
              <w:szCs w:val="20"/>
            </w:rPr>
          </w:pPr>
          <w:r>
            <w:rPr>
              <w:rFonts w:ascii="Arial" w:hAnsi="Arial" w:cs="Arial"/>
              <w:b/>
              <w:noProof/>
              <w:sz w:val="20"/>
              <w:szCs w:val="20"/>
            </w:rPr>
            <w:drawing>
              <wp:inline distT="0" distB="0" distL="0" distR="0" wp14:anchorId="58E43EAC" wp14:editId="47453DD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B3EA9" w:rsidRPr="007D434A" w:rsidRDefault="006B3EA9" w:rsidP="00213DA3">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EB" w:rsidRDefault="00567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54D" w:rsidRDefault="00D4654D" w:rsidP="00B963E0">
      <w:pPr>
        <w:spacing w:after="0" w:line="240" w:lineRule="auto"/>
      </w:pPr>
      <w:r>
        <w:separator/>
      </w:r>
    </w:p>
  </w:footnote>
  <w:footnote w:type="continuationSeparator" w:id="0">
    <w:p w:rsidR="00D4654D" w:rsidRDefault="00D4654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EB" w:rsidRDefault="00567B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6B3EA9" w:rsidP="00D02C25">
    <w:pPr>
      <w:pStyle w:val="NoSpacing"/>
      <w:ind w:right="3600"/>
      <w:jc w:val="right"/>
    </w:pPr>
    <w:r>
      <w:t xml:space="preserve"> 20</w:t>
    </w:r>
    <w:r w:rsidRPr="006B3EA9">
      <w:rPr>
        <w:vertAlign w:val="superscript"/>
      </w:rPr>
      <w:t>th</w:t>
    </w:r>
    <w:r>
      <w:t xml:space="preserve"> </w:t>
    </w:r>
    <w:r w:rsidR="00B42E7C">
      <w:t xml:space="preserve">Revision of Sheet No. </w:t>
    </w:r>
    <w:sdt>
      <w:sdtPr>
        <w:id w:val="1297169"/>
        <w:placeholder>
          <w:docPart w:val="A654A244558F424890A69E2F294C53BD"/>
        </w:placeholder>
        <w:text/>
      </w:sdtPr>
      <w:sdtEndPr/>
      <w:sdtContent>
        <w:r w:rsidR="00D4654D">
          <w:t>141-A</w:t>
        </w:r>
      </w:sdtContent>
    </w:sdt>
  </w:p>
  <w:p w:rsidR="00B42E7C" w:rsidRPr="00B42E7C" w:rsidRDefault="00B42E7C" w:rsidP="00D02C25">
    <w:pPr>
      <w:pStyle w:val="NoSpacing"/>
      <w:ind w:right="3600"/>
      <w:jc w:val="right"/>
    </w:pPr>
    <w:r>
      <w:t xml:space="preserve">Canceling </w:t>
    </w:r>
    <w:r w:rsidR="006B3EA9">
      <w:t>19</w:t>
    </w:r>
    <w:r w:rsidR="006B3EA9" w:rsidRPr="006B3EA9">
      <w:rPr>
        <w:vertAlign w:val="superscript"/>
      </w:rPr>
      <w:t>th</w:t>
    </w:r>
    <w:r w:rsidR="00E61AEC">
      <w:t xml:space="preserve"> </w:t>
    </w:r>
    <w:r>
      <w:t>Revision</w:t>
    </w:r>
  </w:p>
  <w:p w:rsidR="00B963E0" w:rsidRPr="00E61AEC" w:rsidRDefault="00D4654D"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141-A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D4654D">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EB" w:rsidRDefault="00567B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2CF4"/>
    <w:multiLevelType w:val="hybridMultilevel"/>
    <w:tmpl w:val="7A301682"/>
    <w:lvl w:ilvl="0" w:tplc="D5DE3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85BD8"/>
    <w:multiLevelType w:val="hybridMultilevel"/>
    <w:tmpl w:val="5900ACB0"/>
    <w:lvl w:ilvl="0" w:tplc="A358E6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617B17"/>
    <w:multiLevelType w:val="hybridMultilevel"/>
    <w:tmpl w:val="3C14137A"/>
    <w:lvl w:ilvl="0" w:tplc="D5DE3A5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54D"/>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D7D5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67BEB"/>
    <w:rsid w:val="005743AB"/>
    <w:rsid w:val="005746B6"/>
    <w:rsid w:val="00596AA0"/>
    <w:rsid w:val="005C7706"/>
    <w:rsid w:val="005E09BA"/>
    <w:rsid w:val="006A72BD"/>
    <w:rsid w:val="006B3EA9"/>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0C02"/>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35250"/>
    <w:rsid w:val="00D4002E"/>
    <w:rsid w:val="00D408AA"/>
    <w:rsid w:val="00D4654D"/>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32C54"/>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465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46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54A244558F424890A69E2F294C53BD"/>
        <w:category>
          <w:name w:val="General"/>
          <w:gallery w:val="placeholder"/>
        </w:category>
        <w:types>
          <w:type w:val="bbPlcHdr"/>
        </w:types>
        <w:behaviors>
          <w:behavior w:val="content"/>
        </w:behaviors>
        <w:guid w:val="{7C6373E2-5BB9-48A9-A39D-B70757A83581}"/>
      </w:docPartPr>
      <w:docPartBody>
        <w:p w:rsidR="006F5F15" w:rsidRDefault="006F5F15">
          <w:pPr>
            <w:pStyle w:val="A654A244558F424890A69E2F294C53BD"/>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15"/>
    <w:rsid w:val="006F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54A244558F424890A69E2F294C53BD">
    <w:name w:val="A654A244558F424890A69E2F294C53BD"/>
  </w:style>
  <w:style w:type="paragraph" w:customStyle="1" w:styleId="F2FC842863B4495686B91571E4991245">
    <w:name w:val="F2FC842863B4495686B91571E4991245"/>
  </w:style>
  <w:style w:type="paragraph" w:customStyle="1" w:styleId="FE5AD2E3C789424599EEF313F7B71642">
    <w:name w:val="FE5AD2E3C789424599EEF313F7B71642"/>
  </w:style>
  <w:style w:type="paragraph" w:customStyle="1" w:styleId="19E03BC6FF6D48EA88657E19AC7F708C">
    <w:name w:val="19E03BC6FF6D48EA88657E19AC7F70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54A244558F424890A69E2F294C53BD">
    <w:name w:val="A654A244558F424890A69E2F294C53BD"/>
  </w:style>
  <w:style w:type="paragraph" w:customStyle="1" w:styleId="F2FC842863B4495686B91571E4991245">
    <w:name w:val="F2FC842863B4495686B91571E4991245"/>
  </w:style>
  <w:style w:type="paragraph" w:customStyle="1" w:styleId="FE5AD2E3C789424599EEF313F7B71642">
    <w:name w:val="FE5AD2E3C789424599EEF313F7B71642"/>
  </w:style>
  <w:style w:type="paragraph" w:customStyle="1" w:styleId="19E03BC6FF6D48EA88657E19AC7F708C">
    <w:name w:val="19E03BC6FF6D48EA88657E19AC7F7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39EB7-9D82-4CCC-B2F2-ACAE91FC5C28}"/>
</file>

<file path=customXml/itemProps2.xml><?xml version="1.0" encoding="utf-8"?>
<ds:datastoreItem xmlns:ds="http://schemas.openxmlformats.org/officeDocument/2006/customXml" ds:itemID="{3667CAA7-C6B1-4BA8-8385-228FBE5D4EDD}"/>
</file>

<file path=customXml/itemProps3.xml><?xml version="1.0" encoding="utf-8"?>
<ds:datastoreItem xmlns:ds="http://schemas.openxmlformats.org/officeDocument/2006/customXml" ds:itemID="{01FE0B87-A09A-4F40-8F80-735009ED3EC7}"/>
</file>

<file path=customXml/itemProps4.xml><?xml version="1.0" encoding="utf-8"?>
<ds:datastoreItem xmlns:ds="http://schemas.openxmlformats.org/officeDocument/2006/customXml" ds:itemID="{3F17564D-AF02-45EF-87A6-7FDAD3C28A98}"/>
</file>

<file path=docProps/app.xml><?xml version="1.0" encoding="utf-8"?>
<Properties xmlns="http://schemas.openxmlformats.org/officeDocument/2006/extended-properties" xmlns:vt="http://schemas.openxmlformats.org/officeDocument/2006/docPropsVTypes">
  <Template>Normal.dotm</Template>
  <TotalTime>21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2014-04-02T22:35:00Z</dcterms:created>
  <dcterms:modified xsi:type="dcterms:W3CDTF">2015-09-09T23:17:00Z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