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7984D" w14:textId="77777777" w:rsidR="00C775A7" w:rsidRPr="00525321" w:rsidRDefault="00C775A7" w:rsidP="00C775A7">
      <w:pPr>
        <w:rPr>
          <w:rFonts w:ascii="Times New Roman" w:hAnsi="Times New Roman"/>
        </w:rPr>
      </w:pPr>
      <w:r w:rsidRPr="00525321">
        <w:rPr>
          <w:rFonts w:ascii="Times New Roman" w:hAnsi="Times New Roman"/>
        </w:rPr>
        <w:t>Agenda Date:</w:t>
      </w:r>
      <w:r w:rsidRPr="00525321">
        <w:rPr>
          <w:rFonts w:ascii="Times New Roman" w:hAnsi="Times New Roman"/>
        </w:rPr>
        <w:tab/>
      </w:r>
      <w:r w:rsidRPr="00525321">
        <w:rPr>
          <w:rFonts w:ascii="Times New Roman" w:hAnsi="Times New Roman"/>
        </w:rPr>
        <w:tab/>
      </w:r>
      <w:r>
        <w:rPr>
          <w:rFonts w:ascii="Times New Roman" w:hAnsi="Times New Roman"/>
        </w:rPr>
        <w:t>August 27</w:t>
      </w:r>
      <w:r w:rsidRPr="00525321">
        <w:rPr>
          <w:rFonts w:ascii="Times New Roman" w:hAnsi="Times New Roman"/>
        </w:rPr>
        <w:t>, 2015</w:t>
      </w:r>
    </w:p>
    <w:p w14:paraId="39F7984E" w14:textId="77777777" w:rsidR="00C775A7" w:rsidRPr="00525321" w:rsidRDefault="00C775A7" w:rsidP="00C775A7">
      <w:pPr>
        <w:ind w:left="2160" w:hanging="2160"/>
        <w:rPr>
          <w:rFonts w:ascii="Times New Roman" w:hAnsi="Times New Roman"/>
        </w:rPr>
      </w:pPr>
      <w:r>
        <w:rPr>
          <w:rFonts w:ascii="Times New Roman" w:hAnsi="Times New Roman"/>
        </w:rPr>
        <w:t>Item Number:</w:t>
      </w:r>
      <w:r>
        <w:rPr>
          <w:rFonts w:ascii="Times New Roman" w:hAnsi="Times New Roman"/>
        </w:rPr>
        <w:tab/>
        <w:t>A1</w:t>
      </w:r>
    </w:p>
    <w:p w14:paraId="39F7984F" w14:textId="77777777" w:rsidR="00C775A7" w:rsidRPr="00525321" w:rsidRDefault="00C775A7" w:rsidP="00C775A7">
      <w:pPr>
        <w:rPr>
          <w:rFonts w:ascii="Times New Roman" w:hAnsi="Times New Roman"/>
          <w:highlight w:val="yellow"/>
        </w:rPr>
      </w:pPr>
    </w:p>
    <w:p w14:paraId="39F79850" w14:textId="77777777" w:rsidR="00C775A7" w:rsidRPr="00525321" w:rsidRDefault="00C775A7" w:rsidP="00C775A7">
      <w:pPr>
        <w:rPr>
          <w:rFonts w:ascii="Times New Roman" w:hAnsi="Times New Roman"/>
          <w:b/>
          <w:bCs/>
        </w:rPr>
      </w:pPr>
      <w:r w:rsidRPr="00525321">
        <w:rPr>
          <w:rFonts w:ascii="Times New Roman" w:hAnsi="Times New Roman"/>
          <w:b/>
          <w:bCs/>
        </w:rPr>
        <w:t>Docket:</w:t>
      </w:r>
      <w:r w:rsidRPr="00525321">
        <w:rPr>
          <w:rFonts w:ascii="Times New Roman" w:hAnsi="Times New Roman"/>
          <w:b/>
          <w:bCs/>
        </w:rPr>
        <w:tab/>
      </w:r>
      <w:r w:rsidRPr="00525321">
        <w:rPr>
          <w:rFonts w:ascii="Times New Roman" w:hAnsi="Times New Roman"/>
          <w:b/>
          <w:bCs/>
        </w:rPr>
        <w:tab/>
        <w:t>UE-15</w:t>
      </w:r>
      <w:r>
        <w:rPr>
          <w:rFonts w:ascii="Times New Roman" w:hAnsi="Times New Roman"/>
          <w:b/>
          <w:bCs/>
        </w:rPr>
        <w:t>1162</w:t>
      </w:r>
    </w:p>
    <w:p w14:paraId="39F79851" w14:textId="77777777" w:rsidR="00C775A7" w:rsidRPr="00525321" w:rsidRDefault="00C775A7" w:rsidP="00C775A7">
      <w:pPr>
        <w:ind w:left="2160" w:hanging="2160"/>
        <w:rPr>
          <w:rFonts w:ascii="Times New Roman" w:hAnsi="Times New Roman"/>
        </w:rPr>
      </w:pPr>
      <w:r w:rsidRPr="00525321">
        <w:rPr>
          <w:rFonts w:ascii="Times New Roman" w:hAnsi="Times New Roman"/>
        </w:rPr>
        <w:t>Company:</w:t>
      </w:r>
      <w:r w:rsidRPr="00525321">
        <w:rPr>
          <w:rFonts w:ascii="Times New Roman" w:hAnsi="Times New Roman"/>
        </w:rPr>
        <w:tab/>
      </w:r>
      <w:r>
        <w:rPr>
          <w:rFonts w:ascii="Times New Roman" w:hAnsi="Times New Roman"/>
        </w:rPr>
        <w:t>Pacific Power &amp; Light Company</w:t>
      </w:r>
    </w:p>
    <w:p w14:paraId="39F79852" w14:textId="77777777" w:rsidR="00C775A7" w:rsidRPr="00525321" w:rsidRDefault="00C775A7" w:rsidP="00C775A7">
      <w:pPr>
        <w:rPr>
          <w:rFonts w:ascii="Times New Roman" w:hAnsi="Times New Roman"/>
          <w:highlight w:val="yellow"/>
        </w:rPr>
      </w:pPr>
    </w:p>
    <w:p w14:paraId="39F79853" w14:textId="77777777" w:rsidR="00C775A7" w:rsidRPr="00525321" w:rsidRDefault="00C775A7" w:rsidP="00C775A7">
      <w:pPr>
        <w:rPr>
          <w:rFonts w:ascii="Times New Roman" w:hAnsi="Times New Roman"/>
        </w:rPr>
      </w:pPr>
      <w:r w:rsidRPr="00525321">
        <w:rPr>
          <w:rFonts w:ascii="Times New Roman" w:hAnsi="Times New Roman"/>
        </w:rPr>
        <w:t>Staff:</w:t>
      </w:r>
      <w:r w:rsidRPr="00525321">
        <w:rPr>
          <w:rFonts w:ascii="Times New Roman" w:hAnsi="Times New Roman"/>
        </w:rPr>
        <w:tab/>
      </w:r>
      <w:r w:rsidRPr="00525321">
        <w:rPr>
          <w:rFonts w:ascii="Times New Roman" w:hAnsi="Times New Roman"/>
        </w:rPr>
        <w:tab/>
      </w:r>
      <w:r w:rsidRPr="00525321">
        <w:rPr>
          <w:rFonts w:ascii="Times New Roman" w:hAnsi="Times New Roman"/>
        </w:rPr>
        <w:tab/>
        <w:t>Jeremy Twitchell, Regulatory Analyst</w:t>
      </w:r>
    </w:p>
    <w:p w14:paraId="39F79854" w14:textId="77777777" w:rsidR="00C775A7" w:rsidRPr="00525321" w:rsidRDefault="00C775A7" w:rsidP="00C775A7">
      <w:pPr>
        <w:rPr>
          <w:rFonts w:ascii="Times New Roman" w:hAnsi="Times New Roman"/>
        </w:rPr>
      </w:pPr>
    </w:p>
    <w:p w14:paraId="39F79855" w14:textId="77777777" w:rsidR="00C775A7" w:rsidRPr="00525321" w:rsidRDefault="00C775A7" w:rsidP="00C775A7">
      <w:pPr>
        <w:rPr>
          <w:rFonts w:ascii="Times New Roman" w:hAnsi="Times New Roman"/>
          <w:b/>
          <w:bCs/>
          <w:u w:val="single"/>
        </w:rPr>
      </w:pPr>
      <w:r w:rsidRPr="00525321">
        <w:rPr>
          <w:rFonts w:ascii="Times New Roman" w:hAnsi="Times New Roman"/>
          <w:b/>
          <w:bCs/>
          <w:u w:val="single"/>
        </w:rPr>
        <w:t>Recommendation</w:t>
      </w:r>
    </w:p>
    <w:p w14:paraId="39F79856" w14:textId="77777777" w:rsidR="00C775A7" w:rsidRPr="00525321" w:rsidRDefault="00C775A7" w:rsidP="00C775A7">
      <w:pPr>
        <w:rPr>
          <w:rFonts w:ascii="Times New Roman" w:hAnsi="Times New Roman"/>
        </w:rPr>
      </w:pPr>
    </w:p>
    <w:p w14:paraId="39F79857" w14:textId="77777777" w:rsidR="00C775A7" w:rsidRPr="00525321" w:rsidRDefault="00C775A7" w:rsidP="00C775A7">
      <w:pPr>
        <w:rPr>
          <w:rFonts w:ascii="Times New Roman" w:hAnsi="Times New Roman"/>
        </w:rPr>
      </w:pPr>
      <w:r w:rsidRPr="00525321">
        <w:rPr>
          <w:rFonts w:ascii="Times New Roman" w:hAnsi="Times New Roman"/>
        </w:rPr>
        <w:t>Is</w:t>
      </w:r>
      <w:r>
        <w:rPr>
          <w:rFonts w:ascii="Times New Roman" w:hAnsi="Times New Roman"/>
        </w:rPr>
        <w:t>sue an Order in Docket UE-151162</w:t>
      </w:r>
      <w:r w:rsidRPr="00525321">
        <w:rPr>
          <w:rFonts w:ascii="Times New Roman" w:hAnsi="Times New Roman"/>
        </w:rPr>
        <w:t xml:space="preserve"> finding: </w:t>
      </w:r>
    </w:p>
    <w:p w14:paraId="39F79858" w14:textId="77777777" w:rsidR="00C775A7" w:rsidRPr="00525321" w:rsidRDefault="00C775A7" w:rsidP="00331CFD">
      <w:pPr>
        <w:numPr>
          <w:ilvl w:val="0"/>
          <w:numId w:val="1"/>
        </w:numPr>
        <w:ind w:left="1080"/>
        <w:rPr>
          <w:rFonts w:ascii="Times New Roman" w:hAnsi="Times New Roman"/>
        </w:rPr>
      </w:pPr>
      <w:r w:rsidRPr="00525321">
        <w:rPr>
          <w:rFonts w:ascii="Times New Roman" w:hAnsi="Times New Roman"/>
        </w:rPr>
        <w:t>Under RCW 19.285.040(2</w:t>
      </w:r>
      <w:proofErr w:type="gramStart"/>
      <w:r w:rsidRPr="00525321">
        <w:rPr>
          <w:rFonts w:ascii="Times New Roman" w:hAnsi="Times New Roman"/>
        </w:rPr>
        <w:t>)(</w:t>
      </w:r>
      <w:proofErr w:type="gramEnd"/>
      <w:r w:rsidRPr="00525321">
        <w:rPr>
          <w:rFonts w:ascii="Times New Roman" w:hAnsi="Times New Roman"/>
        </w:rPr>
        <w:t>a)(</w:t>
      </w:r>
      <w:proofErr w:type="spellStart"/>
      <w:r w:rsidRPr="00525321">
        <w:rPr>
          <w:rFonts w:ascii="Times New Roman" w:hAnsi="Times New Roman"/>
        </w:rPr>
        <w:t>i</w:t>
      </w:r>
      <w:proofErr w:type="spellEnd"/>
      <w:r w:rsidRPr="00525321">
        <w:rPr>
          <w:rFonts w:ascii="Times New Roman" w:hAnsi="Times New Roman"/>
        </w:rPr>
        <w:t xml:space="preserve">) and WAC 480-109-200(1)(a), the 2015 renewable energy target for </w:t>
      </w:r>
      <w:r>
        <w:rPr>
          <w:rFonts w:ascii="Times New Roman" w:hAnsi="Times New Roman"/>
        </w:rPr>
        <w:t>Pacific Power &amp; Light Company</w:t>
      </w:r>
      <w:r w:rsidRPr="00525321">
        <w:rPr>
          <w:rFonts w:ascii="Times New Roman" w:hAnsi="Times New Roman"/>
        </w:rPr>
        <w:t xml:space="preserve"> is </w:t>
      </w:r>
      <w:r>
        <w:rPr>
          <w:rFonts w:ascii="Times New Roman" w:hAnsi="Times New Roman"/>
        </w:rPr>
        <w:t>123,155</w:t>
      </w:r>
      <w:r w:rsidRPr="00525321">
        <w:rPr>
          <w:rFonts w:ascii="Times New Roman" w:hAnsi="Times New Roman"/>
        </w:rPr>
        <w:t xml:space="preserve"> megawatt-hours. </w:t>
      </w:r>
    </w:p>
    <w:p w14:paraId="39F79859" w14:textId="77777777" w:rsidR="00C775A7" w:rsidRDefault="00C775A7" w:rsidP="00331CFD">
      <w:pPr>
        <w:numPr>
          <w:ilvl w:val="0"/>
          <w:numId w:val="1"/>
        </w:numPr>
        <w:ind w:left="1080"/>
        <w:rPr>
          <w:rFonts w:ascii="Times New Roman" w:hAnsi="Times New Roman"/>
        </w:rPr>
      </w:pPr>
      <w:r>
        <w:rPr>
          <w:rFonts w:ascii="Times New Roman" w:hAnsi="Times New Roman"/>
        </w:rPr>
        <w:t>Pacific Power &amp; Light Company</w:t>
      </w:r>
      <w:r w:rsidRPr="00525321">
        <w:rPr>
          <w:rFonts w:ascii="Times New Roman" w:hAnsi="Times New Roman"/>
        </w:rPr>
        <w:t xml:space="preserve"> has complied with the June 1, 2015, reporting requirements pursuant to WAC 480-109-210. These reporting requirements include </w:t>
      </w:r>
      <w:r>
        <w:rPr>
          <w:rFonts w:ascii="Times New Roman" w:hAnsi="Times New Roman"/>
        </w:rPr>
        <w:t>Pacific Power &amp; Light Company</w:t>
      </w:r>
      <w:r w:rsidRPr="00525321">
        <w:rPr>
          <w:rFonts w:ascii="Times New Roman" w:hAnsi="Times New Roman"/>
        </w:rPr>
        <w:t>’s plan for meeting its RPS obligation in 2015.</w:t>
      </w:r>
    </w:p>
    <w:p w14:paraId="39F7985A" w14:textId="77777777" w:rsidR="00C775A7" w:rsidRPr="00525321" w:rsidRDefault="00C775A7" w:rsidP="00331CFD">
      <w:pPr>
        <w:numPr>
          <w:ilvl w:val="0"/>
          <w:numId w:val="1"/>
        </w:numPr>
        <w:ind w:left="1080"/>
        <w:rPr>
          <w:rFonts w:ascii="Times New Roman" w:hAnsi="Times New Roman"/>
        </w:rPr>
      </w:pPr>
      <w:r>
        <w:rPr>
          <w:rFonts w:ascii="Times New Roman" w:hAnsi="Times New Roman"/>
        </w:rPr>
        <w:t>Pacific Power &amp; Light Company</w:t>
      </w:r>
      <w:r w:rsidRPr="00525321">
        <w:rPr>
          <w:rFonts w:ascii="Times New Roman" w:hAnsi="Times New Roman"/>
        </w:rPr>
        <w:t xml:space="preserve"> has </w:t>
      </w:r>
      <w:bookmarkStart w:id="0" w:name="_GoBack"/>
      <w:r w:rsidRPr="00525321">
        <w:rPr>
          <w:rFonts w:ascii="Times New Roman" w:hAnsi="Times New Roman"/>
        </w:rPr>
        <w:t xml:space="preserve">demonstrated that, by January 1, 2015, </w:t>
      </w:r>
      <w:r>
        <w:rPr>
          <w:rFonts w:ascii="Times New Roman" w:hAnsi="Times New Roman"/>
        </w:rPr>
        <w:t>Pacific Power &amp; Light Company</w:t>
      </w:r>
      <w:bookmarkEnd w:id="0"/>
      <w:r w:rsidRPr="00525321">
        <w:rPr>
          <w:rFonts w:ascii="Times New Roman" w:hAnsi="Times New Roman"/>
        </w:rPr>
        <w:t xml:space="preserve"> acquired at least </w:t>
      </w:r>
      <w:r>
        <w:rPr>
          <w:rFonts w:ascii="Times New Roman" w:hAnsi="Times New Roman"/>
        </w:rPr>
        <w:t>123,155</w:t>
      </w:r>
      <w:r w:rsidRPr="00525321">
        <w:rPr>
          <w:rFonts w:ascii="Times New Roman" w:hAnsi="Times New Roman"/>
        </w:rPr>
        <w:t xml:space="preserve"> megawatt-hours of eligible renewable resources, equivalent renewable energy credits, or a combination of them, for its use in 2015, as required by RCW 19.285.040(2)(a)(</w:t>
      </w:r>
      <w:proofErr w:type="spellStart"/>
      <w:r w:rsidRPr="00525321">
        <w:rPr>
          <w:rFonts w:ascii="Times New Roman" w:hAnsi="Times New Roman"/>
        </w:rPr>
        <w:t>i</w:t>
      </w:r>
      <w:proofErr w:type="spellEnd"/>
      <w:r w:rsidRPr="00525321">
        <w:rPr>
          <w:rFonts w:ascii="Times New Roman" w:hAnsi="Times New Roman"/>
        </w:rPr>
        <w:t xml:space="preserve">) and WAC 480-109-200(1)(a). </w:t>
      </w:r>
    </w:p>
    <w:p w14:paraId="39F7985B" w14:textId="77777777" w:rsidR="00C775A7" w:rsidRPr="00525321" w:rsidRDefault="00C775A7" w:rsidP="00331CFD">
      <w:pPr>
        <w:numPr>
          <w:ilvl w:val="0"/>
          <w:numId w:val="1"/>
        </w:numPr>
        <w:ind w:left="1080"/>
        <w:rPr>
          <w:rFonts w:ascii="Times New Roman" w:hAnsi="Times New Roman"/>
        </w:rPr>
      </w:pPr>
      <w:r>
        <w:rPr>
          <w:rFonts w:ascii="Times New Roman" w:hAnsi="Times New Roman"/>
        </w:rPr>
        <w:t>Pacific Power &amp; Light Company</w:t>
      </w:r>
      <w:r w:rsidRPr="00525321">
        <w:rPr>
          <w:rFonts w:ascii="Times New Roman" w:hAnsi="Times New Roman"/>
        </w:rPr>
        <w:t xml:space="preserve"> must file a second report no later than June 1, 2017, that lists the certificate numbers in the Western Renewable Energy Generation Information System for every megawatt-hour and renewable energy credit that </w:t>
      </w:r>
      <w:r>
        <w:rPr>
          <w:rFonts w:ascii="Times New Roman" w:hAnsi="Times New Roman"/>
        </w:rPr>
        <w:t>Pacific Power &amp; Light Company</w:t>
      </w:r>
      <w:r w:rsidRPr="00525321">
        <w:rPr>
          <w:rFonts w:ascii="Times New Roman" w:hAnsi="Times New Roman"/>
        </w:rPr>
        <w:t xml:space="preserve"> retired to meet the January 1, 2015, target. </w:t>
      </w:r>
    </w:p>
    <w:p w14:paraId="39F7985C" w14:textId="77777777" w:rsidR="00C775A7" w:rsidRPr="00525321" w:rsidRDefault="00C775A7" w:rsidP="00C775A7">
      <w:pPr>
        <w:rPr>
          <w:rFonts w:ascii="Times New Roman" w:hAnsi="Times New Roman"/>
        </w:rPr>
      </w:pPr>
    </w:p>
    <w:p w14:paraId="39F7985D" w14:textId="77777777" w:rsidR="00C775A7" w:rsidRPr="00525321" w:rsidRDefault="00C775A7" w:rsidP="00C775A7">
      <w:pPr>
        <w:rPr>
          <w:rFonts w:ascii="Times New Roman" w:hAnsi="Times New Roman"/>
          <w:b/>
          <w:u w:val="single"/>
        </w:rPr>
      </w:pPr>
      <w:r w:rsidRPr="00525321">
        <w:rPr>
          <w:rFonts w:ascii="Times New Roman" w:hAnsi="Times New Roman"/>
          <w:b/>
          <w:u w:val="single"/>
        </w:rPr>
        <w:t>Background</w:t>
      </w:r>
    </w:p>
    <w:p w14:paraId="39F7985E" w14:textId="77777777" w:rsidR="00C775A7" w:rsidRPr="00525321" w:rsidRDefault="00C775A7" w:rsidP="00C775A7">
      <w:pPr>
        <w:rPr>
          <w:rFonts w:ascii="Times New Roman" w:hAnsi="Times New Roman"/>
        </w:rPr>
      </w:pPr>
    </w:p>
    <w:p w14:paraId="39F7985F" w14:textId="77777777" w:rsidR="00C775A7" w:rsidRPr="00525321" w:rsidRDefault="00C775A7" w:rsidP="00C775A7">
      <w:pPr>
        <w:rPr>
          <w:rFonts w:ascii="Times New Roman" w:hAnsi="Times New Roman"/>
        </w:rPr>
      </w:pPr>
      <w:r w:rsidRPr="00525321">
        <w:rPr>
          <w:rFonts w:ascii="Times New Roman" w:hAnsi="Times New Roman"/>
        </w:rPr>
        <w:t>In 2006, Washington voters approved Initiative 937, also known as the Energy Independence Act (EIA). Now codified in RCW 19.285, the EIA created a renewable portfolio standard (RPS) that requires electric utilities with more than 25,000 customers to serve an increasing percentage of their retail load with eligible renewable resources and to file an annual compliance report (RPS report) by June 1 of each year.</w:t>
      </w:r>
      <w:r w:rsidRPr="00525321">
        <w:rPr>
          <w:rStyle w:val="FootnoteReference"/>
          <w:rFonts w:ascii="Times New Roman" w:hAnsi="Times New Roman"/>
        </w:rPr>
        <w:footnoteReference w:id="1"/>
      </w:r>
      <w:r w:rsidRPr="00525321">
        <w:rPr>
          <w:rFonts w:ascii="Times New Roman" w:hAnsi="Times New Roman"/>
        </w:rPr>
        <w:t xml:space="preserve">  </w:t>
      </w:r>
    </w:p>
    <w:p w14:paraId="39F79860" w14:textId="77777777" w:rsidR="00C775A7" w:rsidRPr="00525321" w:rsidRDefault="00C775A7" w:rsidP="00C775A7">
      <w:pPr>
        <w:rPr>
          <w:rFonts w:ascii="Times New Roman" w:hAnsi="Times New Roman"/>
        </w:rPr>
      </w:pPr>
    </w:p>
    <w:p w14:paraId="39F79861" w14:textId="77777777" w:rsidR="00C775A7" w:rsidRPr="00525321" w:rsidRDefault="00C775A7" w:rsidP="00C775A7">
      <w:pPr>
        <w:rPr>
          <w:rFonts w:ascii="Times New Roman" w:hAnsi="Times New Roman"/>
        </w:rPr>
      </w:pPr>
      <w:r w:rsidRPr="00525321">
        <w:rPr>
          <w:rFonts w:ascii="Times New Roman" w:hAnsi="Times New Roman"/>
        </w:rPr>
        <w:t>The Washington Utilities and Transportation Commission (commission) is responsible for administering the EIA for the state’s three investor-owned utilities (IOUs).</w:t>
      </w:r>
      <w:r w:rsidRPr="00525321">
        <w:rPr>
          <w:rStyle w:val="FootnoteReference"/>
          <w:rFonts w:ascii="Times New Roman" w:hAnsi="Times New Roman"/>
        </w:rPr>
        <w:footnoteReference w:id="2"/>
      </w:r>
      <w:r w:rsidRPr="00525321">
        <w:rPr>
          <w:rFonts w:ascii="Times New Roman" w:hAnsi="Times New Roman"/>
        </w:rPr>
        <w:t xml:space="preserve"> The commission has adopted a two-step process for determining RPS</w:t>
      </w:r>
      <w:r>
        <w:rPr>
          <w:rFonts w:ascii="Times New Roman" w:hAnsi="Times New Roman"/>
        </w:rPr>
        <w:t xml:space="preserve"> compliance</w:t>
      </w:r>
      <w:r w:rsidRPr="00525321">
        <w:rPr>
          <w:rFonts w:ascii="Times New Roman" w:hAnsi="Times New Roman"/>
        </w:rPr>
        <w:t>. The first step is the annual compliance report required by statute, in which a utility must calculate its RPS target for that year as prescribed by the EIA</w:t>
      </w:r>
      <w:r w:rsidRPr="00525321">
        <w:rPr>
          <w:rStyle w:val="FootnoteReference"/>
          <w:rFonts w:ascii="Times New Roman" w:hAnsi="Times New Roman"/>
        </w:rPr>
        <w:footnoteReference w:id="3"/>
      </w:r>
      <w:r w:rsidRPr="00525321">
        <w:rPr>
          <w:rFonts w:ascii="Times New Roman" w:hAnsi="Times New Roman"/>
        </w:rPr>
        <w:t xml:space="preserve"> and document that by January 1 of that year, the utility had acquired enough renewable resources and renewable energy credits to meet the target. </w:t>
      </w:r>
    </w:p>
    <w:p w14:paraId="39F79862" w14:textId="77777777" w:rsidR="00C775A7" w:rsidRPr="00525321" w:rsidRDefault="00C775A7" w:rsidP="00C775A7">
      <w:pPr>
        <w:rPr>
          <w:rFonts w:ascii="Times New Roman" w:hAnsi="Times New Roman"/>
        </w:rPr>
      </w:pPr>
    </w:p>
    <w:p w14:paraId="39F79863" w14:textId="77777777" w:rsidR="00C775A7" w:rsidRPr="00525321" w:rsidRDefault="00C775A7" w:rsidP="00C775A7">
      <w:pPr>
        <w:rPr>
          <w:rFonts w:ascii="Times New Roman" w:hAnsi="Times New Roman"/>
        </w:rPr>
      </w:pPr>
      <w:r w:rsidRPr="00525321">
        <w:rPr>
          <w:rFonts w:ascii="Times New Roman" w:hAnsi="Times New Roman"/>
        </w:rPr>
        <w:lastRenderedPageBreak/>
        <w:t xml:space="preserve">The second step is a </w:t>
      </w:r>
      <w:r>
        <w:rPr>
          <w:rFonts w:ascii="Times New Roman" w:hAnsi="Times New Roman"/>
        </w:rPr>
        <w:t>final</w:t>
      </w:r>
      <w:r w:rsidRPr="00525321">
        <w:rPr>
          <w:rFonts w:ascii="Times New Roman" w:hAnsi="Times New Roman"/>
        </w:rPr>
        <w:t xml:space="preserve"> report to be filed in the same docket, no later than two years after the initial report, in which the utility identifies the specific resources that it used to meet the target. As directed by the EIA, the Washington Department of Commerce has designated the Western Renewable Energy Generation Information System (WREGIS) as the system to be used for tracking and verifying the resources used for RPS compliance in Washington.</w:t>
      </w:r>
    </w:p>
    <w:p w14:paraId="39F79864" w14:textId="77777777" w:rsidR="00C775A7" w:rsidRPr="00525321" w:rsidRDefault="00C775A7" w:rsidP="00C775A7">
      <w:pPr>
        <w:rPr>
          <w:rFonts w:ascii="Times New Roman" w:hAnsi="Times New Roman"/>
        </w:rPr>
      </w:pPr>
    </w:p>
    <w:p w14:paraId="39F79865" w14:textId="70FC2AD0" w:rsidR="00C775A7" w:rsidRDefault="00C775A7" w:rsidP="00C775A7">
      <w:pPr>
        <w:rPr>
          <w:rFonts w:ascii="Times New Roman" w:hAnsi="Times New Roman"/>
        </w:rPr>
      </w:pPr>
      <w:r>
        <w:rPr>
          <w:rFonts w:ascii="Times New Roman" w:hAnsi="Times New Roman"/>
        </w:rPr>
        <w:t xml:space="preserve">On March 13, 2015, the </w:t>
      </w:r>
      <w:r w:rsidR="00526414">
        <w:rPr>
          <w:rFonts w:ascii="Times New Roman" w:hAnsi="Times New Roman"/>
        </w:rPr>
        <w:t>c</w:t>
      </w:r>
      <w:r>
        <w:rPr>
          <w:rFonts w:ascii="Times New Roman" w:hAnsi="Times New Roman"/>
        </w:rPr>
        <w:t xml:space="preserve">ommission adopted a new rule for implementation and enforcement of the EIA, which is codified at WAC 480-109. The new rule adopted RPS enforcement practices that the </w:t>
      </w:r>
      <w:r w:rsidR="00526414">
        <w:rPr>
          <w:rFonts w:ascii="Times New Roman" w:hAnsi="Times New Roman"/>
        </w:rPr>
        <w:t>c</w:t>
      </w:r>
      <w:r>
        <w:rPr>
          <w:rFonts w:ascii="Times New Roman" w:hAnsi="Times New Roman"/>
        </w:rPr>
        <w:t>ommission has developed since the requirement took effect in 2012, such as the two-step compliance process explained above, and added new reporting requirements. The rule made the following key changes to the RPS reporting process:</w:t>
      </w:r>
    </w:p>
    <w:p w14:paraId="39F79866" w14:textId="77777777" w:rsidR="00C775A7" w:rsidRDefault="00C775A7" w:rsidP="00C775A7">
      <w:pPr>
        <w:rPr>
          <w:rFonts w:ascii="Times New Roman" w:hAnsi="Times New Roman"/>
        </w:rPr>
      </w:pPr>
    </w:p>
    <w:p w14:paraId="39F79867" w14:textId="77777777" w:rsidR="00C775A7" w:rsidRDefault="00C775A7" w:rsidP="00526414">
      <w:pPr>
        <w:pStyle w:val="ListParagraph"/>
        <w:numPr>
          <w:ilvl w:val="0"/>
          <w:numId w:val="2"/>
        </w:numPr>
        <w:ind w:left="540" w:hanging="180"/>
        <w:rPr>
          <w:rFonts w:ascii="Times New Roman" w:hAnsi="Times New Roman"/>
        </w:rPr>
      </w:pPr>
      <w:r>
        <w:rPr>
          <w:rFonts w:ascii="Times New Roman" w:hAnsi="Times New Roman"/>
        </w:rPr>
        <w:t>All resources used for RPS compliance must be registered in WREGIS (WAC 480-109-200(3)).</w:t>
      </w:r>
    </w:p>
    <w:p w14:paraId="39F79868" w14:textId="2BFB6C73" w:rsidR="00C775A7" w:rsidRDefault="00C775A7" w:rsidP="00526414">
      <w:pPr>
        <w:pStyle w:val="ListParagraph"/>
        <w:numPr>
          <w:ilvl w:val="0"/>
          <w:numId w:val="2"/>
        </w:numPr>
        <w:ind w:left="540" w:hanging="180"/>
        <w:rPr>
          <w:rFonts w:ascii="Times New Roman" w:hAnsi="Times New Roman"/>
        </w:rPr>
      </w:pPr>
      <w:r>
        <w:rPr>
          <w:rFonts w:ascii="Times New Roman" w:hAnsi="Times New Roman"/>
        </w:rPr>
        <w:t xml:space="preserve">The three methodologies that the </w:t>
      </w:r>
      <w:r w:rsidR="00526414">
        <w:rPr>
          <w:rFonts w:ascii="Times New Roman" w:hAnsi="Times New Roman"/>
        </w:rPr>
        <w:t>c</w:t>
      </w:r>
      <w:r>
        <w:rPr>
          <w:rFonts w:ascii="Times New Roman" w:hAnsi="Times New Roman"/>
        </w:rPr>
        <w:t>ommission has accepted for a utility to use in calculating the portion of the output of upgraded hydropower facilities that is eligible, incremental hydropower for RPS compliance have been formally incorporated (WAC 480-109-200(7)).</w:t>
      </w:r>
    </w:p>
    <w:p w14:paraId="39F79869" w14:textId="3476E44E" w:rsidR="00C775A7" w:rsidRDefault="00C775A7" w:rsidP="00526414">
      <w:pPr>
        <w:pStyle w:val="ListParagraph"/>
        <w:numPr>
          <w:ilvl w:val="0"/>
          <w:numId w:val="2"/>
        </w:numPr>
        <w:ind w:left="540" w:hanging="180"/>
        <w:rPr>
          <w:rFonts w:ascii="Times New Roman" w:hAnsi="Times New Roman"/>
        </w:rPr>
      </w:pPr>
      <w:r>
        <w:rPr>
          <w:rFonts w:ascii="Times New Roman" w:hAnsi="Times New Roman"/>
        </w:rPr>
        <w:t xml:space="preserve">The incremental cost of RPS compliance that utilities are required to report must be calculated according to the </w:t>
      </w:r>
      <w:r w:rsidR="00526414">
        <w:rPr>
          <w:rFonts w:ascii="Times New Roman" w:hAnsi="Times New Roman"/>
        </w:rPr>
        <w:t>c</w:t>
      </w:r>
      <w:r>
        <w:rPr>
          <w:rFonts w:ascii="Times New Roman" w:hAnsi="Times New Roman"/>
        </w:rPr>
        <w:t>ommission’s approved methodology (WAC 480-109-210(2</w:t>
      </w:r>
      <w:proofErr w:type="gramStart"/>
      <w:r>
        <w:rPr>
          <w:rFonts w:ascii="Times New Roman" w:hAnsi="Times New Roman"/>
        </w:rPr>
        <w:t>)(</w:t>
      </w:r>
      <w:proofErr w:type="gramEnd"/>
      <w:r>
        <w:rPr>
          <w:rFonts w:ascii="Times New Roman" w:hAnsi="Times New Roman"/>
        </w:rPr>
        <w:t>a)).</w:t>
      </w:r>
    </w:p>
    <w:p w14:paraId="39F7986A" w14:textId="77777777" w:rsidR="00C775A7" w:rsidRDefault="00C775A7" w:rsidP="00526414">
      <w:pPr>
        <w:pStyle w:val="ListParagraph"/>
        <w:numPr>
          <w:ilvl w:val="0"/>
          <w:numId w:val="2"/>
        </w:numPr>
        <w:ind w:left="540" w:hanging="180"/>
        <w:rPr>
          <w:rFonts w:ascii="Times New Roman" w:hAnsi="Times New Roman"/>
        </w:rPr>
      </w:pPr>
      <w:r>
        <w:rPr>
          <w:rFonts w:ascii="Times New Roman" w:hAnsi="Times New Roman"/>
        </w:rPr>
        <w:t>Utilities that operate in more than one state are required to explain and document how they determined Washington’s allocation of renewable energy credits (RECs) (WAC 480-109-210(2</w:t>
      </w:r>
      <w:proofErr w:type="gramStart"/>
      <w:r>
        <w:rPr>
          <w:rFonts w:ascii="Times New Roman" w:hAnsi="Times New Roman"/>
        </w:rPr>
        <w:t>)(</w:t>
      </w:r>
      <w:proofErr w:type="gramEnd"/>
      <w:r>
        <w:rPr>
          <w:rFonts w:ascii="Times New Roman" w:hAnsi="Times New Roman"/>
        </w:rPr>
        <w:t>e)).</w:t>
      </w:r>
    </w:p>
    <w:p w14:paraId="39F7986B" w14:textId="77777777" w:rsidR="00C775A7" w:rsidRDefault="00C775A7" w:rsidP="00526414">
      <w:pPr>
        <w:pStyle w:val="ListParagraph"/>
        <w:numPr>
          <w:ilvl w:val="0"/>
          <w:numId w:val="2"/>
        </w:numPr>
        <w:ind w:left="540" w:hanging="180"/>
        <w:rPr>
          <w:rFonts w:ascii="Times New Roman" w:hAnsi="Times New Roman"/>
        </w:rPr>
      </w:pPr>
      <w:r>
        <w:rPr>
          <w:rFonts w:ascii="Times New Roman" w:hAnsi="Times New Roman"/>
        </w:rPr>
        <w:t>Utilities that sell RECs are required to report the amount and proceeds of those sales (WAC 480-109-210(2</w:t>
      </w:r>
      <w:proofErr w:type="gramStart"/>
      <w:r>
        <w:rPr>
          <w:rFonts w:ascii="Times New Roman" w:hAnsi="Times New Roman"/>
        </w:rPr>
        <w:t>)(</w:t>
      </w:r>
      <w:proofErr w:type="gramEnd"/>
      <w:r>
        <w:rPr>
          <w:rFonts w:ascii="Times New Roman" w:hAnsi="Times New Roman"/>
        </w:rPr>
        <w:t>f).</w:t>
      </w:r>
    </w:p>
    <w:p w14:paraId="39F7986C" w14:textId="77777777" w:rsidR="00C775A7" w:rsidRDefault="00C775A7" w:rsidP="00C775A7">
      <w:pPr>
        <w:rPr>
          <w:rFonts w:ascii="Times New Roman" w:hAnsi="Times New Roman"/>
        </w:rPr>
      </w:pPr>
    </w:p>
    <w:p w14:paraId="39F7986D" w14:textId="14A25F23" w:rsidR="00C775A7" w:rsidRPr="003F3C04" w:rsidRDefault="00C775A7" w:rsidP="00C775A7">
      <w:pPr>
        <w:rPr>
          <w:rFonts w:ascii="Times New Roman" w:hAnsi="Times New Roman"/>
        </w:rPr>
      </w:pPr>
      <w:r>
        <w:rPr>
          <w:rFonts w:ascii="Times New Roman" w:hAnsi="Times New Roman"/>
        </w:rPr>
        <w:t>Commission staff (</w:t>
      </w:r>
      <w:r w:rsidR="00526414">
        <w:rPr>
          <w:rFonts w:ascii="Times New Roman" w:hAnsi="Times New Roman"/>
        </w:rPr>
        <w:t>staff</w:t>
      </w:r>
      <w:r>
        <w:rPr>
          <w:rFonts w:ascii="Times New Roman" w:hAnsi="Times New Roman"/>
        </w:rPr>
        <w:t>) filed written comments on June 30, 2015, that analyzed and summarized each utility’s RPS report. Staff’s comments also discussed the changes to WAC 480-109 and how those changes affected the utilities’ 2015 reports.</w:t>
      </w:r>
    </w:p>
    <w:p w14:paraId="39F7986E" w14:textId="77777777" w:rsidR="00C775A7" w:rsidRPr="00525321" w:rsidRDefault="00C775A7" w:rsidP="00C775A7">
      <w:pPr>
        <w:rPr>
          <w:rFonts w:ascii="Times New Roman" w:hAnsi="Times New Roman"/>
        </w:rPr>
      </w:pPr>
    </w:p>
    <w:p w14:paraId="39F7986F" w14:textId="77777777" w:rsidR="00C775A7" w:rsidRPr="00525321" w:rsidRDefault="00C775A7" w:rsidP="00C775A7">
      <w:pPr>
        <w:rPr>
          <w:rFonts w:ascii="Times New Roman" w:hAnsi="Times New Roman"/>
          <w:b/>
          <w:u w:val="single"/>
        </w:rPr>
      </w:pPr>
      <w:r w:rsidRPr="00525321">
        <w:rPr>
          <w:rFonts w:ascii="Times New Roman" w:hAnsi="Times New Roman"/>
          <w:b/>
          <w:u w:val="single"/>
        </w:rPr>
        <w:t>Discussion</w:t>
      </w:r>
    </w:p>
    <w:p w14:paraId="39F79870" w14:textId="77777777" w:rsidR="00C775A7" w:rsidRPr="00525321" w:rsidRDefault="00C775A7" w:rsidP="00C775A7">
      <w:pPr>
        <w:rPr>
          <w:rFonts w:ascii="Times New Roman" w:hAnsi="Times New Roman"/>
        </w:rPr>
      </w:pPr>
    </w:p>
    <w:p w14:paraId="39F79871" w14:textId="77777777" w:rsidR="00C775A7" w:rsidRDefault="00C775A7" w:rsidP="00C775A7">
      <w:pPr>
        <w:rPr>
          <w:rFonts w:ascii="Times New Roman" w:hAnsi="Times New Roman"/>
        </w:rPr>
      </w:pPr>
      <w:r>
        <w:rPr>
          <w:rFonts w:ascii="Times New Roman" w:hAnsi="Times New Roman"/>
        </w:rPr>
        <w:t>Staff’s initial memo for the July 30, 2015, open meeting identified a deficiency in Pacific Power’</w:t>
      </w:r>
      <w:r w:rsidR="00331CFD">
        <w:rPr>
          <w:rFonts w:ascii="Times New Roman" w:hAnsi="Times New Roman"/>
        </w:rPr>
        <w:t xml:space="preserve">s report, which </w:t>
      </w:r>
      <w:r>
        <w:rPr>
          <w:rFonts w:ascii="Times New Roman" w:hAnsi="Times New Roman"/>
        </w:rPr>
        <w:t xml:space="preserve">did not include a clear explanation of how the company allocates renewable energy to Washington, as is required of multi-state utilities under WAC 480-109-210(2)(e). Staff was also concerned that the report did not appear to </w:t>
      </w:r>
      <w:r w:rsidR="008D5A61">
        <w:rPr>
          <w:rFonts w:ascii="Times New Roman" w:hAnsi="Times New Roman"/>
        </w:rPr>
        <w:t xml:space="preserve">represent the full renewable energy allocation to which the company’s Washington ratepayers are entitled. </w:t>
      </w:r>
      <w:r>
        <w:rPr>
          <w:rFonts w:ascii="Times New Roman" w:hAnsi="Times New Roman"/>
        </w:rPr>
        <w:t>The commission accepted staff’s recommendation to take no action on the report at that meeting, thereby al</w:t>
      </w:r>
      <w:r w:rsidR="008D5A61">
        <w:rPr>
          <w:rFonts w:ascii="Times New Roman" w:hAnsi="Times New Roman"/>
        </w:rPr>
        <w:t>lowing staff and the company more time to address those issues.</w:t>
      </w:r>
    </w:p>
    <w:p w14:paraId="39F79872" w14:textId="77777777" w:rsidR="00C775A7" w:rsidRDefault="00C775A7" w:rsidP="00C775A7">
      <w:pPr>
        <w:rPr>
          <w:rFonts w:ascii="Times New Roman" w:hAnsi="Times New Roman"/>
        </w:rPr>
      </w:pPr>
    </w:p>
    <w:p w14:paraId="39F79873" w14:textId="77777777" w:rsidR="00331CFD" w:rsidRDefault="008D5A61" w:rsidP="00C775A7">
      <w:pPr>
        <w:rPr>
          <w:rFonts w:ascii="Times New Roman" w:hAnsi="Times New Roman"/>
        </w:rPr>
      </w:pPr>
      <w:r>
        <w:rPr>
          <w:rFonts w:ascii="Times New Roman" w:hAnsi="Times New Roman"/>
        </w:rPr>
        <w:t>Pacific Power filed an amended report in this docket on August 14, 2015. Staff has reviewed the filing and believes that it clearly explains the renewable energy allocation process and provides a full accounting of all renewable generation to which Washington ratepayers are entitled under the company’s current cost allocation structure.</w:t>
      </w:r>
      <w:r w:rsidR="00331CFD">
        <w:rPr>
          <w:rFonts w:ascii="Times New Roman" w:hAnsi="Times New Roman"/>
        </w:rPr>
        <w:t xml:space="preserve"> </w:t>
      </w:r>
    </w:p>
    <w:p w14:paraId="39F79874" w14:textId="77777777" w:rsidR="00331CFD" w:rsidRDefault="00331CFD" w:rsidP="00C775A7">
      <w:pPr>
        <w:rPr>
          <w:rFonts w:ascii="Times New Roman" w:hAnsi="Times New Roman"/>
        </w:rPr>
      </w:pPr>
    </w:p>
    <w:p w14:paraId="39F79875" w14:textId="77777777" w:rsidR="00C775A7" w:rsidRDefault="00331CFD" w:rsidP="00C775A7">
      <w:pPr>
        <w:rPr>
          <w:rFonts w:ascii="Times New Roman" w:hAnsi="Times New Roman"/>
        </w:rPr>
      </w:pPr>
      <w:r>
        <w:rPr>
          <w:rFonts w:ascii="Times New Roman" w:hAnsi="Times New Roman"/>
        </w:rPr>
        <w:lastRenderedPageBreak/>
        <w:t xml:space="preserve">Staff notes that the final report made a number of important details confidential, including the total amount of renewable generation that was allocated to Washington. Staff is unclear why the company is making that number confidential, and believes that doing so limits the general public’s ability to review the report. Staff appreciates the company’s willingness to collaboratively address the allocation matter in its report, but encourages the company to reconsider its decision to make the final allocation a confidential figure. </w:t>
      </w:r>
    </w:p>
    <w:p w14:paraId="39F79876" w14:textId="77777777" w:rsidR="00626D3D" w:rsidRDefault="00626D3D" w:rsidP="00C775A7">
      <w:pPr>
        <w:rPr>
          <w:rFonts w:ascii="Times New Roman" w:hAnsi="Times New Roman"/>
        </w:rPr>
      </w:pPr>
    </w:p>
    <w:p w14:paraId="39F79877" w14:textId="77777777" w:rsidR="008D5A61" w:rsidRDefault="008D5A61" w:rsidP="00C775A7">
      <w:pPr>
        <w:rPr>
          <w:rFonts w:ascii="Times New Roman" w:hAnsi="Times New Roman"/>
        </w:rPr>
      </w:pPr>
      <w:r>
        <w:rPr>
          <w:rFonts w:ascii="Times New Roman" w:hAnsi="Times New Roman"/>
        </w:rPr>
        <w:t xml:space="preserve">As explained in the company’s report, Pacific Power’s allocation of renewable energy is complicated by the fact that Washington uses a different cost allocation system than the one used in the company’s other five states. The company allocates its renewable energy generation to each state based on that state’s share of the company’s system each year; for Washington, that figure is about 8 percent. This is generally how the company allocates its costs in its five other states, as well. </w:t>
      </w:r>
    </w:p>
    <w:p w14:paraId="39F79878" w14:textId="77777777" w:rsidR="008D5A61" w:rsidRDefault="008D5A61" w:rsidP="00C775A7">
      <w:pPr>
        <w:rPr>
          <w:rFonts w:ascii="Times New Roman" w:hAnsi="Times New Roman"/>
        </w:rPr>
      </w:pPr>
    </w:p>
    <w:p w14:paraId="39F79879" w14:textId="77777777" w:rsidR="008D5A61" w:rsidRDefault="008D5A61" w:rsidP="00C775A7">
      <w:pPr>
        <w:rPr>
          <w:rFonts w:ascii="Times New Roman" w:hAnsi="Times New Roman"/>
        </w:rPr>
      </w:pPr>
      <w:r>
        <w:rPr>
          <w:rFonts w:ascii="Times New Roman" w:hAnsi="Times New Roman"/>
        </w:rPr>
        <w:t xml:space="preserve">However, Washington uses the Western Control Area (WCA) allocation, which allocates </w:t>
      </w:r>
      <w:r w:rsidR="00DC7242">
        <w:rPr>
          <w:rFonts w:ascii="Times New Roman" w:hAnsi="Times New Roman"/>
        </w:rPr>
        <w:t xml:space="preserve">only the </w:t>
      </w:r>
      <w:r>
        <w:rPr>
          <w:rFonts w:ascii="Times New Roman" w:hAnsi="Times New Roman"/>
        </w:rPr>
        <w:t xml:space="preserve">costs (and therefore renewable generation) </w:t>
      </w:r>
      <w:r w:rsidR="00DC7242">
        <w:rPr>
          <w:rFonts w:ascii="Times New Roman" w:hAnsi="Times New Roman"/>
        </w:rPr>
        <w:t xml:space="preserve">associated with its western balancing area </w:t>
      </w:r>
      <w:r>
        <w:rPr>
          <w:rFonts w:ascii="Times New Roman" w:hAnsi="Times New Roman"/>
        </w:rPr>
        <w:t>to Washington</w:t>
      </w:r>
      <w:r w:rsidR="00DC7242">
        <w:rPr>
          <w:rFonts w:ascii="Times New Roman" w:hAnsi="Times New Roman"/>
        </w:rPr>
        <w:t>,</w:t>
      </w:r>
      <w:r>
        <w:rPr>
          <w:rFonts w:ascii="Times New Roman" w:hAnsi="Times New Roman"/>
        </w:rPr>
        <w:t xml:space="preserve"> based on the state’s share of the western balancing area.</w:t>
      </w:r>
      <w:r>
        <w:rPr>
          <w:rStyle w:val="FootnoteReference"/>
          <w:rFonts w:ascii="Times New Roman" w:hAnsi="Times New Roman"/>
        </w:rPr>
        <w:footnoteReference w:id="4"/>
      </w:r>
      <w:r>
        <w:rPr>
          <w:rFonts w:ascii="Times New Roman" w:hAnsi="Times New Roman"/>
        </w:rPr>
        <w:t xml:space="preserve"> Currently, Washington’s rates are based on a r</w:t>
      </w:r>
      <w:r w:rsidR="00DC7242">
        <w:rPr>
          <w:rFonts w:ascii="Times New Roman" w:hAnsi="Times New Roman"/>
        </w:rPr>
        <w:t xml:space="preserve">oughly 23 percent share of </w:t>
      </w:r>
      <w:r w:rsidR="00331CFD">
        <w:rPr>
          <w:rFonts w:ascii="Times New Roman" w:hAnsi="Times New Roman"/>
        </w:rPr>
        <w:t xml:space="preserve">the </w:t>
      </w:r>
      <w:r w:rsidR="00DC7242">
        <w:rPr>
          <w:rFonts w:ascii="Times New Roman" w:hAnsi="Times New Roman"/>
        </w:rPr>
        <w:t>WCA. Therefore, if Pacific Power were to give every other state its share of west-side renewable generation and Washington its WCA share, the company’s western resources would be 115 percent allocated. Since that is not possible, the company gives Washington an initial allocation of west-side renewable generation based on the system approach (about 8 percent), and then makes up the difference using generation from other eligible resources.</w:t>
      </w:r>
    </w:p>
    <w:p w14:paraId="39F7987A" w14:textId="77777777" w:rsidR="00DC7242" w:rsidRDefault="00DC7242" w:rsidP="00C775A7">
      <w:pPr>
        <w:rPr>
          <w:rFonts w:ascii="Times New Roman" w:hAnsi="Times New Roman"/>
        </w:rPr>
      </w:pPr>
    </w:p>
    <w:p w14:paraId="39F7987B" w14:textId="77777777" w:rsidR="00DC7242" w:rsidRDefault="00DC7242" w:rsidP="00C775A7">
      <w:pPr>
        <w:rPr>
          <w:rFonts w:ascii="Times New Roman" w:hAnsi="Times New Roman"/>
        </w:rPr>
      </w:pPr>
      <w:r>
        <w:rPr>
          <w:rFonts w:ascii="Times New Roman" w:hAnsi="Times New Roman"/>
        </w:rPr>
        <w:t>In previous years, Pacific Power’s shareholders have purchased unbundled RECs to make up the difference. However, a recent amendment to the EIA allows Pacific Power to use unbundled RECs from any state in which it has retail operations to meet its Washington target.</w:t>
      </w:r>
      <w:r>
        <w:rPr>
          <w:rStyle w:val="FootnoteReference"/>
          <w:rFonts w:ascii="Times New Roman" w:hAnsi="Times New Roman"/>
        </w:rPr>
        <w:footnoteReference w:id="5"/>
      </w:r>
      <w:r>
        <w:rPr>
          <w:rFonts w:ascii="Times New Roman" w:hAnsi="Times New Roman"/>
        </w:rPr>
        <w:t xml:space="preserve"> For 2015, the company has elected to true up Washington’s allocation using various wind resources in Idaho and Wyoming</w:t>
      </w:r>
      <w:r w:rsidR="00331CFD">
        <w:rPr>
          <w:rFonts w:ascii="Times New Roman" w:hAnsi="Times New Roman"/>
        </w:rPr>
        <w:t xml:space="preserve"> that, due to Washington’s use of the WCA, were unallocated</w:t>
      </w:r>
      <w:r>
        <w:rPr>
          <w:rFonts w:ascii="Times New Roman" w:hAnsi="Times New Roman"/>
        </w:rPr>
        <w:t>:</w:t>
      </w:r>
    </w:p>
    <w:p w14:paraId="39F7987C" w14:textId="77777777" w:rsidR="00DC7242" w:rsidRDefault="00DC7242" w:rsidP="00C775A7">
      <w:pPr>
        <w:rPr>
          <w:rFonts w:ascii="Times New Roman" w:hAnsi="Times New Roman"/>
        </w:rPr>
      </w:pPr>
    </w:p>
    <w:p w14:paraId="39F7987D" w14:textId="77777777" w:rsidR="00DC7242" w:rsidRPr="00DC7242" w:rsidRDefault="00DC7242" w:rsidP="00526414">
      <w:pPr>
        <w:pStyle w:val="ListParagraph"/>
        <w:numPr>
          <w:ilvl w:val="0"/>
          <w:numId w:val="3"/>
        </w:numPr>
        <w:ind w:left="540" w:hanging="180"/>
        <w:rPr>
          <w:rFonts w:ascii="Times New Roman" w:hAnsi="Times New Roman"/>
        </w:rPr>
      </w:pPr>
      <w:r w:rsidRPr="00DC7242">
        <w:rPr>
          <w:rFonts w:ascii="Times New Roman" w:hAnsi="Times New Roman"/>
        </w:rPr>
        <w:t>Wolverine Creek (wind – Idaho)</w:t>
      </w:r>
    </w:p>
    <w:p w14:paraId="39F7987E" w14:textId="77777777" w:rsidR="00DC7242" w:rsidRPr="00DC7242" w:rsidRDefault="00DC7242" w:rsidP="00526414">
      <w:pPr>
        <w:pStyle w:val="ListParagraph"/>
        <w:numPr>
          <w:ilvl w:val="0"/>
          <w:numId w:val="3"/>
        </w:numPr>
        <w:ind w:left="540" w:hanging="180"/>
        <w:rPr>
          <w:rFonts w:ascii="Times New Roman" w:hAnsi="Times New Roman"/>
        </w:rPr>
      </w:pPr>
      <w:r w:rsidRPr="00DC7242">
        <w:rPr>
          <w:rFonts w:ascii="Times New Roman" w:hAnsi="Times New Roman"/>
        </w:rPr>
        <w:t>Top of the World (wind – Wyoming)</w:t>
      </w:r>
    </w:p>
    <w:p w14:paraId="39F7987F" w14:textId="66A36B76" w:rsidR="00DC7242" w:rsidRPr="00DC7242" w:rsidRDefault="00DC7242" w:rsidP="00526414">
      <w:pPr>
        <w:pStyle w:val="ListParagraph"/>
        <w:numPr>
          <w:ilvl w:val="0"/>
          <w:numId w:val="3"/>
        </w:numPr>
        <w:ind w:left="540" w:hanging="180"/>
        <w:rPr>
          <w:rFonts w:ascii="Times New Roman" w:hAnsi="Times New Roman"/>
        </w:rPr>
      </w:pPr>
      <w:r w:rsidRPr="00DC7242">
        <w:rPr>
          <w:rFonts w:ascii="Times New Roman" w:hAnsi="Times New Roman"/>
        </w:rPr>
        <w:t>Dunlap I (wind – Wyoming)</w:t>
      </w:r>
      <w:r w:rsidR="00AA05A8">
        <w:rPr>
          <w:rFonts w:ascii="Times New Roman" w:hAnsi="Times New Roman"/>
        </w:rPr>
        <w:t>Wolverine</w:t>
      </w:r>
    </w:p>
    <w:p w14:paraId="39F79880" w14:textId="77777777" w:rsidR="00DC7242" w:rsidRPr="00DC7242" w:rsidRDefault="00DC7242" w:rsidP="00526414">
      <w:pPr>
        <w:pStyle w:val="ListParagraph"/>
        <w:numPr>
          <w:ilvl w:val="0"/>
          <w:numId w:val="3"/>
        </w:numPr>
        <w:ind w:left="540" w:hanging="180"/>
        <w:rPr>
          <w:rFonts w:ascii="Times New Roman" w:hAnsi="Times New Roman"/>
        </w:rPr>
      </w:pPr>
      <w:r w:rsidRPr="00DC7242">
        <w:rPr>
          <w:rFonts w:ascii="Times New Roman" w:hAnsi="Times New Roman"/>
        </w:rPr>
        <w:t>Campbell Hill/Three Buttes (wind – Wyoming)</w:t>
      </w:r>
    </w:p>
    <w:p w14:paraId="39F79881" w14:textId="77777777" w:rsidR="00DC7242" w:rsidRPr="00DC7242" w:rsidRDefault="00DC7242" w:rsidP="00526414">
      <w:pPr>
        <w:pStyle w:val="ListParagraph"/>
        <w:numPr>
          <w:ilvl w:val="0"/>
          <w:numId w:val="3"/>
        </w:numPr>
        <w:ind w:left="540" w:hanging="180"/>
        <w:rPr>
          <w:rFonts w:ascii="Times New Roman" w:hAnsi="Times New Roman"/>
        </w:rPr>
      </w:pPr>
      <w:r w:rsidRPr="00DC7242">
        <w:rPr>
          <w:rFonts w:ascii="Times New Roman" w:hAnsi="Times New Roman"/>
        </w:rPr>
        <w:t>Glenrock I (wind – Wyoming)</w:t>
      </w:r>
    </w:p>
    <w:p w14:paraId="39F79882" w14:textId="77777777" w:rsidR="00DC7242" w:rsidRPr="00DC7242" w:rsidRDefault="00DC7242" w:rsidP="00526414">
      <w:pPr>
        <w:pStyle w:val="ListParagraph"/>
        <w:numPr>
          <w:ilvl w:val="0"/>
          <w:numId w:val="3"/>
        </w:numPr>
        <w:ind w:left="540" w:hanging="180"/>
        <w:rPr>
          <w:rFonts w:ascii="Times New Roman" w:hAnsi="Times New Roman"/>
        </w:rPr>
      </w:pPr>
      <w:r w:rsidRPr="00DC7242">
        <w:rPr>
          <w:rFonts w:ascii="Times New Roman" w:hAnsi="Times New Roman"/>
        </w:rPr>
        <w:t>Rolling Hills (wind – Wyoming)</w:t>
      </w:r>
    </w:p>
    <w:p w14:paraId="39F79883" w14:textId="77777777" w:rsidR="00DC7242" w:rsidRPr="00DC7242" w:rsidRDefault="00DC7242" w:rsidP="00526414">
      <w:pPr>
        <w:pStyle w:val="ListParagraph"/>
        <w:numPr>
          <w:ilvl w:val="0"/>
          <w:numId w:val="3"/>
        </w:numPr>
        <w:ind w:left="540" w:hanging="180"/>
        <w:rPr>
          <w:rFonts w:ascii="Times New Roman" w:hAnsi="Times New Roman"/>
        </w:rPr>
      </w:pPr>
      <w:r w:rsidRPr="00DC7242">
        <w:rPr>
          <w:rFonts w:ascii="Times New Roman" w:hAnsi="Times New Roman"/>
        </w:rPr>
        <w:t xml:space="preserve">Seven Mile Hill (wind – Wyoming) </w:t>
      </w:r>
    </w:p>
    <w:p w14:paraId="39F79884" w14:textId="77777777" w:rsidR="00DC7242" w:rsidRDefault="00DC7242" w:rsidP="00C775A7">
      <w:pPr>
        <w:rPr>
          <w:rFonts w:ascii="Times New Roman" w:hAnsi="Times New Roman"/>
        </w:rPr>
      </w:pPr>
    </w:p>
    <w:p w14:paraId="39F79885" w14:textId="342872DE" w:rsidR="002C039A" w:rsidRPr="00AD3312" w:rsidRDefault="00DC7242" w:rsidP="00AD3312">
      <w:pPr>
        <w:rPr>
          <w:rFonts w:ascii="Times New Roman" w:hAnsi="Times New Roman"/>
        </w:rPr>
      </w:pPr>
      <w:r>
        <w:rPr>
          <w:rFonts w:ascii="Times New Roman" w:hAnsi="Times New Roman"/>
        </w:rPr>
        <w:t xml:space="preserve">Since Pacific Power is claiming these facilities for the first time, the </w:t>
      </w:r>
      <w:r w:rsidR="00526414">
        <w:rPr>
          <w:rFonts w:ascii="Times New Roman" w:hAnsi="Times New Roman"/>
        </w:rPr>
        <w:t xml:space="preserve">commission </w:t>
      </w:r>
      <w:r>
        <w:rPr>
          <w:rFonts w:ascii="Times New Roman" w:hAnsi="Times New Roman"/>
        </w:rPr>
        <w:t>needs to determine whether they are eligible under the EIA. Staff has reviewed the facilities and determined that each one entered operation after M</w:t>
      </w:r>
      <w:r w:rsidR="00626D3D">
        <w:rPr>
          <w:rFonts w:ascii="Times New Roman" w:hAnsi="Times New Roman"/>
        </w:rPr>
        <w:t xml:space="preserve">arch 1, 1999, is located in a state in which Pacific Power (or its sister company, Rocky Mountain Power) serves retail customers, and is </w:t>
      </w:r>
      <w:r w:rsidR="00626D3D">
        <w:rPr>
          <w:rFonts w:ascii="Times New Roman" w:hAnsi="Times New Roman"/>
        </w:rPr>
        <w:lastRenderedPageBreak/>
        <w:t xml:space="preserve">either owned by the company or has a long-term purchase agreement with the company. </w:t>
      </w:r>
      <w:r w:rsidR="00331CFD">
        <w:rPr>
          <w:rFonts w:ascii="Times New Roman" w:hAnsi="Times New Roman"/>
        </w:rPr>
        <w:t>S</w:t>
      </w:r>
      <w:r w:rsidR="00626D3D">
        <w:rPr>
          <w:rFonts w:ascii="Times New Roman" w:hAnsi="Times New Roman"/>
        </w:rPr>
        <w:t>taff recommends that the com</w:t>
      </w:r>
      <w:r w:rsidR="00331CFD">
        <w:rPr>
          <w:rFonts w:ascii="Times New Roman" w:hAnsi="Times New Roman"/>
        </w:rPr>
        <w:t>mission make a finding that these</w:t>
      </w:r>
      <w:r w:rsidR="00626D3D">
        <w:rPr>
          <w:rFonts w:ascii="Times New Roman" w:hAnsi="Times New Roman"/>
        </w:rPr>
        <w:t xml:space="preserve"> are</w:t>
      </w:r>
      <w:r w:rsidR="00331CFD">
        <w:rPr>
          <w:rFonts w:ascii="Times New Roman" w:hAnsi="Times New Roman"/>
        </w:rPr>
        <w:t xml:space="preserve"> eligible renewable resources under WAC 19.285.030(12</w:t>
      </w:r>
      <w:proofErr w:type="gramStart"/>
      <w:r w:rsidR="00331CFD">
        <w:rPr>
          <w:rFonts w:ascii="Times New Roman" w:hAnsi="Times New Roman"/>
        </w:rPr>
        <w:t>)(</w:t>
      </w:r>
      <w:proofErr w:type="gramEnd"/>
      <w:r w:rsidR="00331CFD">
        <w:rPr>
          <w:rFonts w:ascii="Times New Roman" w:hAnsi="Times New Roman"/>
        </w:rPr>
        <w:t>e).</w:t>
      </w:r>
    </w:p>
    <w:sectPr w:rsidR="002C039A" w:rsidRPr="00AD3312" w:rsidSect="00526414">
      <w:headerReference w:type="default" r:id="rId11"/>
      <w:pgSz w:w="12240" w:h="15840"/>
      <w:pgMar w:top="1440" w:right="1440" w:bottom="1440" w:left="1440"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79888" w14:textId="77777777" w:rsidR="00D63BE8" w:rsidRDefault="00D63BE8" w:rsidP="00C775A7">
      <w:r>
        <w:separator/>
      </w:r>
    </w:p>
  </w:endnote>
  <w:endnote w:type="continuationSeparator" w:id="0">
    <w:p w14:paraId="39F79889" w14:textId="77777777" w:rsidR="00D63BE8" w:rsidRDefault="00D63BE8" w:rsidP="00C7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79886" w14:textId="77777777" w:rsidR="00D63BE8" w:rsidRDefault="00D63BE8" w:rsidP="00C775A7">
      <w:r>
        <w:separator/>
      </w:r>
    </w:p>
  </w:footnote>
  <w:footnote w:type="continuationSeparator" w:id="0">
    <w:p w14:paraId="39F79887" w14:textId="77777777" w:rsidR="00D63BE8" w:rsidRDefault="00D63BE8" w:rsidP="00C775A7">
      <w:r>
        <w:continuationSeparator/>
      </w:r>
    </w:p>
  </w:footnote>
  <w:footnote w:id="1">
    <w:p w14:paraId="39F7988F" w14:textId="77777777" w:rsidR="00C775A7" w:rsidRDefault="00C775A7" w:rsidP="00C775A7">
      <w:pPr>
        <w:pStyle w:val="FootnoteText"/>
        <w:contextualSpacing/>
      </w:pPr>
      <w:r>
        <w:rPr>
          <w:rStyle w:val="FootnoteReference"/>
        </w:rPr>
        <w:footnoteRef/>
      </w:r>
      <w:r>
        <w:t xml:space="preserve"> </w:t>
      </w:r>
      <w:r w:rsidRPr="003569AE">
        <w:t>RCW 19.285.070.</w:t>
      </w:r>
    </w:p>
  </w:footnote>
  <w:footnote w:id="2">
    <w:p w14:paraId="39F79890" w14:textId="77777777" w:rsidR="00C775A7" w:rsidRDefault="00C775A7" w:rsidP="00C775A7">
      <w:pPr>
        <w:pStyle w:val="FootnoteText"/>
        <w:contextualSpacing/>
      </w:pPr>
      <w:r>
        <w:rPr>
          <w:rStyle w:val="FootnoteReference"/>
        </w:rPr>
        <w:footnoteRef/>
      </w:r>
      <w:r>
        <w:t xml:space="preserve"> RCW 19.285.060(6).</w:t>
      </w:r>
    </w:p>
  </w:footnote>
  <w:footnote w:id="3">
    <w:p w14:paraId="39F79891" w14:textId="77777777" w:rsidR="00C775A7" w:rsidRDefault="00C775A7" w:rsidP="00C775A7">
      <w:pPr>
        <w:pStyle w:val="FootnoteText"/>
        <w:contextualSpacing/>
      </w:pPr>
      <w:r>
        <w:rPr>
          <w:rStyle w:val="FootnoteReference"/>
        </w:rPr>
        <w:footnoteRef/>
      </w:r>
      <w:r>
        <w:t xml:space="preserve"> RCW 19.285.040(2).</w:t>
      </w:r>
    </w:p>
    <w:p w14:paraId="39F79892" w14:textId="77777777" w:rsidR="00C775A7" w:rsidRDefault="00C775A7" w:rsidP="00C775A7">
      <w:pPr>
        <w:pStyle w:val="FootnoteText"/>
      </w:pPr>
    </w:p>
  </w:footnote>
  <w:footnote w:id="4">
    <w:p w14:paraId="39F79893" w14:textId="77777777" w:rsidR="008D5A61" w:rsidRDefault="008D5A61">
      <w:pPr>
        <w:pStyle w:val="FootnoteText"/>
      </w:pPr>
      <w:r>
        <w:rPr>
          <w:rStyle w:val="FootnoteReference"/>
        </w:rPr>
        <w:footnoteRef/>
      </w:r>
      <w:r>
        <w:t xml:space="preserve"> The Western Balancing Area includes the company’s Washington, Oregon and California service territories.</w:t>
      </w:r>
    </w:p>
  </w:footnote>
  <w:footnote w:id="5">
    <w:p w14:paraId="39F79894" w14:textId="77777777" w:rsidR="00DC7242" w:rsidRDefault="00DC7242">
      <w:pPr>
        <w:pStyle w:val="FootnoteText"/>
      </w:pPr>
      <w:r>
        <w:rPr>
          <w:rStyle w:val="FootnoteReference"/>
        </w:rPr>
        <w:footnoteRef/>
      </w:r>
      <w:r>
        <w:t xml:space="preserve"> RCW 19.285.030(12</w:t>
      </w:r>
      <w:proofErr w:type="gramStart"/>
      <w:r>
        <w:t>)(</w:t>
      </w:r>
      <w:proofErr w:type="gramEnd"/>
      <w:r>
        <w: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7988A" w14:textId="77777777" w:rsidR="00FD3C19" w:rsidRPr="00777586" w:rsidRDefault="00D63BE8">
    <w:pPr>
      <w:pStyle w:val="Header"/>
      <w:rPr>
        <w:rFonts w:ascii="Times New Roman" w:hAnsi="Times New Roman"/>
        <w:sz w:val="20"/>
        <w:szCs w:val="20"/>
      </w:rPr>
    </w:pPr>
    <w:r w:rsidRPr="00777586">
      <w:rPr>
        <w:rFonts w:ascii="Times New Roman" w:hAnsi="Times New Roman"/>
        <w:sz w:val="20"/>
        <w:szCs w:val="20"/>
      </w:rPr>
      <w:t>D</w:t>
    </w:r>
    <w:r>
      <w:rPr>
        <w:rFonts w:ascii="Times New Roman" w:hAnsi="Times New Roman"/>
        <w:sz w:val="20"/>
        <w:szCs w:val="20"/>
      </w:rPr>
      <w:t>ocket</w:t>
    </w:r>
    <w:r w:rsidRPr="00777586">
      <w:rPr>
        <w:rFonts w:ascii="Times New Roman" w:hAnsi="Times New Roman"/>
        <w:sz w:val="20"/>
        <w:szCs w:val="20"/>
      </w:rPr>
      <w:t xml:space="preserve"> </w:t>
    </w:r>
    <w:r>
      <w:rPr>
        <w:rFonts w:ascii="Times New Roman" w:hAnsi="Times New Roman"/>
        <w:sz w:val="20"/>
        <w:szCs w:val="20"/>
      </w:rPr>
      <w:t>UE-15</w:t>
    </w:r>
    <w:r w:rsidR="00626D3D">
      <w:rPr>
        <w:rFonts w:ascii="Times New Roman" w:hAnsi="Times New Roman"/>
        <w:sz w:val="20"/>
        <w:szCs w:val="20"/>
      </w:rPr>
      <w:t>1162</w:t>
    </w:r>
  </w:p>
  <w:p w14:paraId="39F7988B" w14:textId="77777777" w:rsidR="00FD3C19" w:rsidRPr="00777586" w:rsidRDefault="00626D3D">
    <w:pPr>
      <w:pStyle w:val="Header"/>
      <w:rPr>
        <w:rFonts w:ascii="Times New Roman" w:hAnsi="Times New Roman"/>
        <w:sz w:val="20"/>
        <w:szCs w:val="20"/>
      </w:rPr>
    </w:pPr>
    <w:r>
      <w:rPr>
        <w:rFonts w:ascii="Times New Roman" w:hAnsi="Times New Roman"/>
        <w:sz w:val="20"/>
        <w:szCs w:val="20"/>
      </w:rPr>
      <w:t>August 27</w:t>
    </w:r>
    <w:r w:rsidR="00D63BE8">
      <w:rPr>
        <w:rFonts w:ascii="Times New Roman" w:hAnsi="Times New Roman"/>
        <w:sz w:val="20"/>
        <w:szCs w:val="20"/>
      </w:rPr>
      <w:t>, 2015</w:t>
    </w:r>
  </w:p>
  <w:p w14:paraId="39F7988C" w14:textId="77777777" w:rsidR="00FD3C19" w:rsidRPr="00777586" w:rsidRDefault="00D63BE8">
    <w:pPr>
      <w:pStyle w:val="Header"/>
      <w:rPr>
        <w:rStyle w:val="PageNumber"/>
        <w:rFonts w:ascii="Times New Roman" w:hAnsi="Times New Roman"/>
        <w:sz w:val="20"/>
        <w:szCs w:val="20"/>
      </w:rPr>
    </w:pPr>
    <w:r w:rsidRPr="00777586">
      <w:rPr>
        <w:rFonts w:ascii="Times New Roman" w:hAnsi="Times New Roman"/>
        <w:sz w:val="20"/>
        <w:szCs w:val="20"/>
      </w:rPr>
      <w:t xml:space="preserve">Page </w:t>
    </w:r>
    <w:r w:rsidRPr="00777586">
      <w:rPr>
        <w:rStyle w:val="PageNumber"/>
        <w:rFonts w:ascii="Times New Roman" w:hAnsi="Times New Roman"/>
        <w:sz w:val="20"/>
        <w:szCs w:val="20"/>
      </w:rPr>
      <w:fldChar w:fldCharType="begin"/>
    </w:r>
    <w:r w:rsidRPr="00777586">
      <w:rPr>
        <w:rStyle w:val="PageNumber"/>
        <w:rFonts w:ascii="Times New Roman" w:hAnsi="Times New Roman"/>
        <w:sz w:val="20"/>
        <w:szCs w:val="20"/>
      </w:rPr>
      <w:instrText xml:space="preserve"> PAGE </w:instrText>
    </w:r>
    <w:r w:rsidRPr="00777586">
      <w:rPr>
        <w:rStyle w:val="PageNumber"/>
        <w:rFonts w:ascii="Times New Roman" w:hAnsi="Times New Roman"/>
        <w:sz w:val="20"/>
        <w:szCs w:val="20"/>
      </w:rPr>
      <w:fldChar w:fldCharType="separate"/>
    </w:r>
    <w:r w:rsidR="00E52E5F">
      <w:rPr>
        <w:rStyle w:val="PageNumber"/>
        <w:rFonts w:ascii="Times New Roman" w:hAnsi="Times New Roman"/>
        <w:noProof/>
        <w:sz w:val="20"/>
        <w:szCs w:val="20"/>
      </w:rPr>
      <w:t>4</w:t>
    </w:r>
    <w:r w:rsidRPr="00777586">
      <w:rPr>
        <w:rStyle w:val="PageNumber"/>
        <w:rFonts w:ascii="Times New Roman" w:hAnsi="Times New Roman"/>
        <w:sz w:val="20"/>
        <w:szCs w:val="20"/>
      </w:rPr>
      <w:fldChar w:fldCharType="end"/>
    </w:r>
  </w:p>
  <w:p w14:paraId="39F7988D" w14:textId="77777777" w:rsidR="00FD3C19" w:rsidRDefault="00E52E5F">
    <w:pPr>
      <w:pStyle w:val="Header"/>
      <w:rPr>
        <w:rStyle w:val="PageNumber"/>
        <w:sz w:val="20"/>
      </w:rPr>
    </w:pPr>
  </w:p>
  <w:p w14:paraId="39F7988E" w14:textId="77777777" w:rsidR="00FD3C19" w:rsidRDefault="00E52E5F">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D1A8D"/>
    <w:multiLevelType w:val="hybridMultilevel"/>
    <w:tmpl w:val="45344260"/>
    <w:lvl w:ilvl="0" w:tplc="0FA6CED6">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5F15181"/>
    <w:multiLevelType w:val="hybridMultilevel"/>
    <w:tmpl w:val="621643A4"/>
    <w:lvl w:ilvl="0" w:tplc="0FA6CED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1237B1"/>
    <w:multiLevelType w:val="hybridMultilevel"/>
    <w:tmpl w:val="8CECD2F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7"/>
    <w:rsid w:val="000E640C"/>
    <w:rsid w:val="001C5AB1"/>
    <w:rsid w:val="001E1D7A"/>
    <w:rsid w:val="002C039A"/>
    <w:rsid w:val="00331CFD"/>
    <w:rsid w:val="00526414"/>
    <w:rsid w:val="00552600"/>
    <w:rsid w:val="005A6C74"/>
    <w:rsid w:val="00626D3D"/>
    <w:rsid w:val="00672F7B"/>
    <w:rsid w:val="006A41EE"/>
    <w:rsid w:val="008D5A61"/>
    <w:rsid w:val="00A84C2A"/>
    <w:rsid w:val="00AA05A8"/>
    <w:rsid w:val="00AD3312"/>
    <w:rsid w:val="00AE273E"/>
    <w:rsid w:val="00B13041"/>
    <w:rsid w:val="00C55E44"/>
    <w:rsid w:val="00C775A7"/>
    <w:rsid w:val="00D63BE8"/>
    <w:rsid w:val="00DA1B86"/>
    <w:rsid w:val="00DC7242"/>
    <w:rsid w:val="00DD2A47"/>
    <w:rsid w:val="00E52E5F"/>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F7984D"/>
  <w15:chartTrackingRefBased/>
  <w15:docId w15:val="{A8129567-23D8-4E5B-A58F-4D403D5D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5A7"/>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C775A7"/>
    <w:pPr>
      <w:tabs>
        <w:tab w:val="center" w:pos="4320"/>
        <w:tab w:val="right" w:pos="8640"/>
      </w:tabs>
    </w:pPr>
  </w:style>
  <w:style w:type="character" w:customStyle="1" w:styleId="HeaderChar">
    <w:name w:val="Header Char"/>
    <w:basedOn w:val="DefaultParagraphFont"/>
    <w:link w:val="Header"/>
    <w:rsid w:val="00C775A7"/>
    <w:rPr>
      <w:rFonts w:ascii="Palatino Linotype" w:eastAsia="Times New Roman" w:hAnsi="Palatino Linotype" w:cs="Times New Roman"/>
      <w:sz w:val="24"/>
      <w:szCs w:val="24"/>
    </w:rPr>
  </w:style>
  <w:style w:type="character" w:styleId="PageNumber">
    <w:name w:val="page number"/>
    <w:basedOn w:val="DefaultParagraphFont"/>
    <w:rsid w:val="00C775A7"/>
  </w:style>
  <w:style w:type="paragraph" w:styleId="FootnoteText">
    <w:name w:val="footnote text"/>
    <w:basedOn w:val="Normal"/>
    <w:link w:val="FootnoteTextChar"/>
    <w:uiPriority w:val="99"/>
    <w:rsid w:val="00C775A7"/>
    <w:rPr>
      <w:rFonts w:ascii="Times New Roman" w:hAnsi="Times New Roman"/>
      <w:sz w:val="20"/>
      <w:szCs w:val="20"/>
    </w:rPr>
  </w:style>
  <w:style w:type="character" w:customStyle="1" w:styleId="FootnoteTextChar">
    <w:name w:val="Footnote Text Char"/>
    <w:basedOn w:val="DefaultParagraphFont"/>
    <w:link w:val="FootnoteText"/>
    <w:uiPriority w:val="99"/>
    <w:rsid w:val="00C775A7"/>
    <w:rPr>
      <w:rFonts w:ascii="Times New Roman" w:eastAsia="Times New Roman" w:hAnsi="Times New Roman" w:cs="Times New Roman"/>
      <w:sz w:val="20"/>
      <w:szCs w:val="20"/>
    </w:rPr>
  </w:style>
  <w:style w:type="character" w:styleId="FootnoteReference">
    <w:name w:val="footnote reference"/>
    <w:uiPriority w:val="99"/>
    <w:rsid w:val="00C775A7"/>
    <w:rPr>
      <w:vertAlign w:val="superscript"/>
    </w:rPr>
  </w:style>
  <w:style w:type="paragraph" w:styleId="ListParagraph">
    <w:name w:val="List Paragraph"/>
    <w:basedOn w:val="Normal"/>
    <w:uiPriority w:val="34"/>
    <w:qFormat/>
    <w:rsid w:val="00C775A7"/>
    <w:pPr>
      <w:ind w:left="720"/>
      <w:contextualSpacing/>
    </w:pPr>
  </w:style>
  <w:style w:type="paragraph" w:styleId="Footer">
    <w:name w:val="footer"/>
    <w:basedOn w:val="Normal"/>
    <w:link w:val="FooterChar"/>
    <w:uiPriority w:val="99"/>
    <w:unhideWhenUsed/>
    <w:rsid w:val="00626D3D"/>
    <w:pPr>
      <w:tabs>
        <w:tab w:val="center" w:pos="4680"/>
        <w:tab w:val="right" w:pos="9360"/>
      </w:tabs>
    </w:pPr>
  </w:style>
  <w:style w:type="character" w:customStyle="1" w:styleId="FooterChar">
    <w:name w:val="Footer Char"/>
    <w:basedOn w:val="DefaultParagraphFont"/>
    <w:link w:val="Footer"/>
    <w:uiPriority w:val="99"/>
    <w:rsid w:val="00626D3D"/>
    <w:rPr>
      <w:rFonts w:ascii="Palatino Linotype" w:eastAsia="Times New Roman" w:hAnsi="Palatino Linotype" w:cs="Times New Roman"/>
      <w:sz w:val="24"/>
      <w:szCs w:val="24"/>
    </w:rPr>
  </w:style>
  <w:style w:type="table" w:styleId="TableGrid">
    <w:name w:val="Table Grid"/>
    <w:basedOn w:val="TableNormal"/>
    <w:uiPriority w:val="59"/>
    <w:rsid w:val="00626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2015-06-01T07:00:00+00:00</OpenedDate>
    <Date1 xmlns="dc463f71-b30c-4ab2-9473-d307f9d35888">2015-08-27T07:00:00+00:00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151162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E0F775D2F48249B61AE48C3C50BD02" ma:contentTypeVersion="119" ma:contentTypeDescription="" ma:contentTypeScope="" ma:versionID="bf0f654d30f1ec99f93f565601f367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73D411E-8124-415F-B4D6-B2E8A54BF495}"/>
</file>

<file path=customXml/itemProps2.xml><?xml version="1.0" encoding="utf-8"?>
<ds:datastoreItem xmlns:ds="http://schemas.openxmlformats.org/officeDocument/2006/customXml" ds:itemID="{3FB50E69-56C4-4A16-9D25-1E629215E773}"/>
</file>

<file path=customXml/itemProps3.xml><?xml version="1.0" encoding="utf-8"?>
<ds:datastoreItem xmlns:ds="http://schemas.openxmlformats.org/officeDocument/2006/customXml" ds:itemID="{1756844E-1356-4CB8-9F5B-3D79688109A4}"/>
</file>

<file path=customXml/itemProps4.xml><?xml version="1.0" encoding="utf-8"?>
<ds:datastoreItem xmlns:ds="http://schemas.openxmlformats.org/officeDocument/2006/customXml" ds:itemID="{4EC3ADFB-CD4D-4B2B-817E-2FA8AB7D8DD1}"/>
</file>

<file path=customXml/itemProps5.xml><?xml version="1.0" encoding="utf-8"?>
<ds:datastoreItem xmlns:ds="http://schemas.openxmlformats.org/officeDocument/2006/customXml" ds:itemID="{3829FC47-0C7E-446E-819A-968F413F8734}"/>
</file>

<file path=docProps/app.xml><?xml version="1.0" encoding="utf-8"?>
<Properties xmlns="http://schemas.openxmlformats.org/officeDocument/2006/extended-properties" xmlns:vt="http://schemas.openxmlformats.org/officeDocument/2006/docPropsVTypes">
  <Template>Normal</Template>
  <TotalTime>67</TotalTime>
  <Pages>4</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Twitchell, Jeremy (UTC)</cp:lastModifiedBy>
  <cp:revision>4</cp:revision>
  <dcterms:created xsi:type="dcterms:W3CDTF">2015-08-18T22:02:00Z</dcterms:created>
  <dcterms:modified xsi:type="dcterms:W3CDTF">2015-08-21T22:55:00Z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0x0101006E56B4D1795A2E4DB2F0B01679ED314A0093E0F775D2F48249B61AE48C3C50BD02</vt:lpwstr>
  </property>
  <property fmtid="{D5CDD505-2E9C-101B-9397-08002B2CF9AE}" pid="3" name="_docset_NoMedatataSyncRequired">
    <vt:lpwstr>False</vt:lpwstr>
  </property>
</Properties>
</file>