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B32" w:rsidRDefault="00B35B32" w:rsidP="006435F0">
      <w:pPr>
        <w:pStyle w:val="Header"/>
        <w:rPr>
          <w:rFonts w:ascii="Times New Roman" w:hAnsi="Times New Roman"/>
        </w:rPr>
      </w:pPr>
      <w:bookmarkStart w:id="0" w:name="_GoBack"/>
      <w:bookmarkEnd w:id="0"/>
    </w:p>
    <w:p w:rsidR="006B09F9" w:rsidRDefault="006B09F9" w:rsidP="006435F0">
      <w:pPr>
        <w:pStyle w:val="Header"/>
        <w:rPr>
          <w:rFonts w:ascii="Times New Roman" w:hAnsi="Times New Roman"/>
        </w:rPr>
      </w:pPr>
    </w:p>
    <w:p w:rsidR="006B09F9" w:rsidRDefault="006B09F9" w:rsidP="006435F0">
      <w:pPr>
        <w:pStyle w:val="Header"/>
        <w:rPr>
          <w:rFonts w:ascii="Times New Roman" w:hAnsi="Times New Roman"/>
        </w:rPr>
      </w:pPr>
    </w:p>
    <w:p w:rsidR="00B35B32" w:rsidRDefault="00B35B32" w:rsidP="006435F0">
      <w:pPr>
        <w:pStyle w:val="Header"/>
        <w:rPr>
          <w:rFonts w:ascii="Times New Roman" w:hAnsi="Times New Roman"/>
        </w:rPr>
      </w:pPr>
    </w:p>
    <w:p w:rsidR="00B35B32" w:rsidRDefault="00B35B32" w:rsidP="006435F0">
      <w:pPr>
        <w:pStyle w:val="Header"/>
        <w:rPr>
          <w:rFonts w:ascii="Times New Roman" w:hAnsi="Times New Roman"/>
        </w:rPr>
      </w:pPr>
    </w:p>
    <w:p w:rsidR="00B35B32" w:rsidRDefault="00B35B32" w:rsidP="006435F0">
      <w:pPr>
        <w:pStyle w:val="Header"/>
        <w:rPr>
          <w:rFonts w:ascii="Times New Roman" w:hAnsi="Times New Roman"/>
        </w:rPr>
      </w:pPr>
    </w:p>
    <w:p w:rsidR="003215A3" w:rsidRPr="003215A3" w:rsidRDefault="003215A3" w:rsidP="006435F0">
      <w:pPr>
        <w:pStyle w:val="Header"/>
        <w:rPr>
          <w:rFonts w:ascii="Times New Roman" w:hAnsi="Times New Roman"/>
        </w:rPr>
      </w:pPr>
      <w:r w:rsidRPr="003215A3">
        <w:rPr>
          <w:rFonts w:ascii="Times New Roman" w:hAnsi="Times New Roman"/>
        </w:rPr>
        <w:t>BEFORE THE WASHINGTON UTILITIES AND TRANSPORTATION COMMISSION</w:t>
      </w:r>
    </w:p>
    <w:p w:rsidR="003215A3" w:rsidRDefault="003215A3" w:rsidP="006435F0">
      <w:pPr>
        <w:pStyle w:val="Header"/>
        <w:rPr>
          <w:rFonts w:ascii="Times New Roman" w:hAnsi="Times New Roman"/>
        </w:rPr>
      </w:pPr>
    </w:p>
    <w:p w:rsidR="00B35B32" w:rsidRPr="003215A3" w:rsidRDefault="00B35B32" w:rsidP="006435F0">
      <w:pPr>
        <w:pStyle w:val="Header"/>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3215A3" w:rsidRPr="003215A3" w:rsidTr="003215A3">
        <w:tc>
          <w:tcPr>
            <w:tcW w:w="4590" w:type="dxa"/>
            <w:tcBorders>
              <w:top w:val="single" w:sz="6" w:space="0" w:color="FFFFFF"/>
              <w:left w:val="single" w:sz="6" w:space="0" w:color="FFFFFF"/>
              <w:bottom w:val="single" w:sz="7" w:space="0" w:color="000000"/>
              <w:right w:val="single" w:sz="6" w:space="0" w:color="FFFFFF"/>
            </w:tcBorders>
          </w:tcPr>
          <w:p w:rsidR="00F01B02" w:rsidRPr="00F01B02" w:rsidRDefault="00F01B02" w:rsidP="00B35B32">
            <w:pPr>
              <w:pStyle w:val="Header"/>
              <w:tabs>
                <w:tab w:val="left" w:pos="681"/>
                <w:tab w:val="left" w:pos="1401"/>
              </w:tabs>
              <w:rPr>
                <w:rFonts w:ascii="Times New Roman" w:hAnsi="Times New Roman"/>
                <w:bCs/>
              </w:rPr>
            </w:pPr>
            <w:r w:rsidRPr="00F01B02">
              <w:rPr>
                <w:rFonts w:ascii="Times New Roman" w:hAnsi="Times New Roman"/>
                <w:bCs/>
              </w:rPr>
              <w:t>In the Matter of the Petition of</w:t>
            </w:r>
          </w:p>
          <w:p w:rsidR="00F01B02" w:rsidRPr="00F01B02" w:rsidRDefault="00F01B02" w:rsidP="00B35B32">
            <w:pPr>
              <w:pStyle w:val="Header"/>
              <w:tabs>
                <w:tab w:val="left" w:pos="681"/>
                <w:tab w:val="left" w:pos="1401"/>
              </w:tabs>
              <w:rPr>
                <w:rFonts w:ascii="Times New Roman" w:hAnsi="Times New Roman"/>
                <w:bCs/>
              </w:rPr>
            </w:pPr>
          </w:p>
          <w:p w:rsidR="00F01B02" w:rsidRPr="00F01B02" w:rsidRDefault="00F01B02" w:rsidP="00B35B32">
            <w:pPr>
              <w:pStyle w:val="Header"/>
              <w:tabs>
                <w:tab w:val="left" w:pos="681"/>
                <w:tab w:val="left" w:pos="1401"/>
              </w:tabs>
              <w:rPr>
                <w:rFonts w:ascii="Times New Roman" w:hAnsi="Times New Roman"/>
                <w:bCs/>
              </w:rPr>
            </w:pPr>
            <w:r w:rsidRPr="00F01B02">
              <w:rPr>
                <w:rFonts w:ascii="Times New Roman" w:hAnsi="Times New Roman"/>
                <w:bCs/>
              </w:rPr>
              <w:t>PUGET SOUND ENERGY, INC.</w:t>
            </w:r>
          </w:p>
          <w:p w:rsidR="00F01B02" w:rsidRPr="00F01B02" w:rsidRDefault="00F01B02" w:rsidP="00B35B32">
            <w:pPr>
              <w:pStyle w:val="Header"/>
              <w:tabs>
                <w:tab w:val="left" w:pos="681"/>
                <w:tab w:val="left" w:pos="1401"/>
              </w:tabs>
              <w:rPr>
                <w:rFonts w:ascii="Times New Roman" w:hAnsi="Times New Roman"/>
                <w:bCs/>
              </w:rPr>
            </w:pPr>
          </w:p>
          <w:p w:rsidR="00F01B02" w:rsidRPr="00F01B02" w:rsidRDefault="00F01B02" w:rsidP="00B35B32">
            <w:pPr>
              <w:pStyle w:val="Header"/>
              <w:tabs>
                <w:tab w:val="left" w:pos="681"/>
                <w:tab w:val="left" w:pos="1401"/>
              </w:tabs>
              <w:rPr>
                <w:rFonts w:ascii="Times New Roman" w:hAnsi="Times New Roman"/>
              </w:rPr>
            </w:pPr>
            <w:r w:rsidRPr="00F01B02">
              <w:rPr>
                <w:rFonts w:ascii="Times New Roman" w:hAnsi="Times New Roman"/>
                <w:bCs/>
              </w:rPr>
              <w:t>for a Determination of Emissions Compliance</w:t>
            </w:r>
          </w:p>
          <w:p w:rsidR="003215A3" w:rsidRPr="003215A3" w:rsidRDefault="003215A3" w:rsidP="00B35B32">
            <w:pPr>
              <w:pStyle w:val="Header"/>
              <w:tabs>
                <w:tab w:val="left" w:pos="681"/>
                <w:tab w:val="left" w:pos="1401"/>
              </w:tabs>
              <w:rPr>
                <w:rFonts w:ascii="Times New Roman" w:hAnsi="Times New Roman"/>
              </w:rPr>
            </w:pPr>
          </w:p>
        </w:tc>
        <w:tc>
          <w:tcPr>
            <w:tcW w:w="4590" w:type="dxa"/>
            <w:tcBorders>
              <w:top w:val="single" w:sz="6" w:space="0" w:color="FFFFFF"/>
              <w:left w:val="single" w:sz="7" w:space="0" w:color="000000"/>
              <w:bottom w:val="single" w:sz="6" w:space="0" w:color="FFFFFF"/>
              <w:right w:val="single" w:sz="6" w:space="0" w:color="FFFFFF"/>
            </w:tcBorders>
          </w:tcPr>
          <w:p w:rsidR="003215A3" w:rsidRPr="003215A3" w:rsidRDefault="003215A3" w:rsidP="00B35B32">
            <w:pPr>
              <w:pStyle w:val="Header"/>
              <w:ind w:left="416"/>
              <w:rPr>
                <w:rFonts w:ascii="Times New Roman" w:hAnsi="Times New Roman"/>
              </w:rPr>
            </w:pPr>
            <w:r w:rsidRPr="003215A3">
              <w:rPr>
                <w:rFonts w:ascii="Times New Roman" w:hAnsi="Times New Roman"/>
              </w:rPr>
              <w:t xml:space="preserve">DOCKET </w:t>
            </w:r>
            <w:r w:rsidR="00F01B02">
              <w:rPr>
                <w:rFonts w:ascii="Times New Roman" w:hAnsi="Times New Roman"/>
              </w:rPr>
              <w:t>UE-121594</w:t>
            </w:r>
          </w:p>
          <w:p w:rsidR="003215A3" w:rsidRPr="003215A3" w:rsidRDefault="003215A3" w:rsidP="00B35B32">
            <w:pPr>
              <w:pStyle w:val="Header"/>
              <w:ind w:left="416"/>
              <w:rPr>
                <w:rFonts w:ascii="Times New Roman" w:hAnsi="Times New Roman"/>
              </w:rPr>
            </w:pPr>
          </w:p>
          <w:p w:rsidR="00591FAF" w:rsidRPr="00591FAF" w:rsidRDefault="006B09F9" w:rsidP="00591FAF">
            <w:pPr>
              <w:pStyle w:val="ListParagraph"/>
              <w:ind w:left="416"/>
              <w:rPr>
                <w:rFonts w:ascii="Times New Roman" w:hAnsi="Times New Roman" w:cs="Times New Roman"/>
                <w:sz w:val="24"/>
                <w:szCs w:val="24"/>
              </w:rPr>
            </w:pPr>
            <w:r>
              <w:rPr>
                <w:rFonts w:ascii="Times New Roman" w:hAnsi="Times New Roman" w:cs="Times New Roman"/>
                <w:sz w:val="24"/>
                <w:szCs w:val="24"/>
              </w:rPr>
              <w:t xml:space="preserve">COMMISSION </w:t>
            </w:r>
            <w:r w:rsidR="00591FAF" w:rsidRPr="00591FAF">
              <w:rPr>
                <w:rFonts w:ascii="Times New Roman" w:hAnsi="Times New Roman" w:cs="Times New Roman"/>
                <w:sz w:val="24"/>
                <w:szCs w:val="24"/>
              </w:rPr>
              <w:t>STAFF IDENTIFICATION OF ISSUES FOR RESOLUTION</w:t>
            </w:r>
          </w:p>
          <w:p w:rsidR="003215A3" w:rsidRPr="003215A3" w:rsidRDefault="003215A3" w:rsidP="00B35B32">
            <w:pPr>
              <w:pStyle w:val="Header"/>
              <w:ind w:left="416"/>
              <w:rPr>
                <w:rFonts w:ascii="Times New Roman" w:hAnsi="Times New Roman"/>
              </w:rPr>
            </w:pPr>
          </w:p>
        </w:tc>
      </w:tr>
    </w:tbl>
    <w:p w:rsidR="00B35B32" w:rsidRDefault="00B35B32" w:rsidP="006B09F9">
      <w:pPr>
        <w:pStyle w:val="ListParagraph"/>
        <w:ind w:left="0"/>
        <w:rPr>
          <w:rFonts w:ascii="Times New Roman" w:hAnsi="Times New Roman" w:cs="Times New Roman"/>
          <w:sz w:val="24"/>
          <w:szCs w:val="24"/>
        </w:rPr>
      </w:pPr>
    </w:p>
    <w:p w:rsidR="006B09F9" w:rsidRDefault="006B09F9" w:rsidP="00B35B32">
      <w:pPr>
        <w:pStyle w:val="ListParagraph"/>
        <w:spacing w:line="480" w:lineRule="auto"/>
        <w:ind w:left="0"/>
        <w:rPr>
          <w:rFonts w:ascii="Times New Roman" w:hAnsi="Times New Roman" w:cs="Times New Roman"/>
          <w:sz w:val="24"/>
          <w:szCs w:val="24"/>
        </w:rPr>
      </w:pPr>
    </w:p>
    <w:p w:rsidR="00591FAF" w:rsidRPr="00FA46C9" w:rsidRDefault="00591FAF" w:rsidP="00591FAF">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rPr>
        <w:tab/>
      </w:r>
      <w:r w:rsidRPr="00591FAF">
        <w:rPr>
          <w:rFonts w:ascii="Times New Roman" w:hAnsi="Times New Roman" w:cs="Times New Roman"/>
          <w:sz w:val="24"/>
          <w:szCs w:val="24"/>
        </w:rPr>
        <w:t xml:space="preserve">In its Notice of Brief Adjudication (October 4, 2012) at 2, ¶ 8, the Commission permitted the parties to file documents for consideration at the brief adjudicative proceeding.  </w:t>
      </w:r>
      <w:r w:rsidR="00FA46C9">
        <w:rPr>
          <w:rFonts w:ascii="Times New Roman" w:hAnsi="Times New Roman" w:cs="Times New Roman"/>
          <w:sz w:val="24"/>
          <w:szCs w:val="24"/>
        </w:rPr>
        <w:t xml:space="preserve">To assist the Commission and the parties, </w:t>
      </w:r>
      <w:r w:rsidRPr="00591FAF">
        <w:rPr>
          <w:rFonts w:ascii="Times New Roman" w:hAnsi="Times New Roman" w:cs="Times New Roman"/>
          <w:sz w:val="24"/>
          <w:szCs w:val="24"/>
        </w:rPr>
        <w:t xml:space="preserve">Staff submits this issues list and </w:t>
      </w:r>
      <w:r w:rsidR="00FA46C9">
        <w:rPr>
          <w:rFonts w:ascii="Times New Roman" w:hAnsi="Times New Roman" w:cs="Times New Roman"/>
          <w:sz w:val="24"/>
          <w:szCs w:val="24"/>
        </w:rPr>
        <w:t xml:space="preserve">a </w:t>
      </w:r>
      <w:r w:rsidRPr="00591FAF">
        <w:rPr>
          <w:rFonts w:ascii="Times New Roman" w:hAnsi="Times New Roman" w:cs="Times New Roman"/>
          <w:sz w:val="24"/>
          <w:szCs w:val="24"/>
        </w:rPr>
        <w:t>related discussion to fram</w:t>
      </w:r>
      <w:r w:rsidR="00FA46C9">
        <w:rPr>
          <w:rFonts w:ascii="Times New Roman" w:hAnsi="Times New Roman" w:cs="Times New Roman"/>
          <w:sz w:val="24"/>
          <w:szCs w:val="24"/>
        </w:rPr>
        <w:t>e</w:t>
      </w:r>
      <w:r w:rsidRPr="00591FAF">
        <w:rPr>
          <w:rFonts w:ascii="Times New Roman" w:hAnsi="Times New Roman" w:cs="Times New Roman"/>
          <w:sz w:val="24"/>
          <w:szCs w:val="24"/>
        </w:rPr>
        <w:t xml:space="preserve"> the issues necessary to resolve the Petition.</w:t>
      </w:r>
      <w:r w:rsidRPr="00591FAF">
        <w:rPr>
          <w:rStyle w:val="FootnoteReference"/>
          <w:rFonts w:ascii="Times New Roman" w:hAnsi="Times New Roman" w:cs="Times New Roman"/>
          <w:sz w:val="24"/>
          <w:szCs w:val="24"/>
        </w:rPr>
        <w:footnoteReference w:id="1"/>
      </w:r>
      <w:r w:rsidR="00FA46C9">
        <w:rPr>
          <w:rFonts w:ascii="Times New Roman" w:hAnsi="Times New Roman" w:cs="Times New Roman"/>
          <w:sz w:val="24"/>
          <w:szCs w:val="24"/>
        </w:rPr>
        <w:t xml:space="preserve">  </w:t>
      </w:r>
      <w:r w:rsidR="00FA46C9" w:rsidRPr="00FA46C9">
        <w:rPr>
          <w:rFonts w:ascii="Times New Roman" w:hAnsi="Times New Roman"/>
          <w:sz w:val="24"/>
          <w:szCs w:val="24"/>
        </w:rPr>
        <w:t xml:space="preserve">Staff is investigating the issues and has </w:t>
      </w:r>
      <w:r w:rsidR="00FA46C9">
        <w:rPr>
          <w:rFonts w:ascii="Times New Roman" w:hAnsi="Times New Roman"/>
          <w:sz w:val="24"/>
          <w:szCs w:val="24"/>
        </w:rPr>
        <w:t xml:space="preserve">sent to PSE </w:t>
      </w:r>
      <w:r w:rsidR="00FA46C9" w:rsidRPr="00FA46C9">
        <w:rPr>
          <w:rFonts w:ascii="Times New Roman" w:hAnsi="Times New Roman"/>
          <w:sz w:val="24"/>
          <w:szCs w:val="24"/>
        </w:rPr>
        <w:t xml:space="preserve">informal data requests to further that investigation.  </w:t>
      </w:r>
      <w:r w:rsidR="00FA46C9">
        <w:rPr>
          <w:rFonts w:ascii="Times New Roman" w:hAnsi="Times New Roman"/>
          <w:sz w:val="24"/>
          <w:szCs w:val="24"/>
        </w:rPr>
        <w:t xml:space="preserve">Also, </w:t>
      </w:r>
      <w:r w:rsidR="00FA46C9" w:rsidRPr="00FA46C9">
        <w:rPr>
          <w:rFonts w:ascii="Times New Roman" w:hAnsi="Times New Roman"/>
          <w:sz w:val="24"/>
          <w:szCs w:val="24"/>
        </w:rPr>
        <w:t xml:space="preserve">Staff is using expertise from the </w:t>
      </w:r>
      <w:r w:rsidR="0093658F">
        <w:rPr>
          <w:rFonts w:ascii="Times New Roman" w:hAnsi="Times New Roman"/>
          <w:sz w:val="24"/>
          <w:szCs w:val="24"/>
        </w:rPr>
        <w:t>D</w:t>
      </w:r>
      <w:r w:rsidR="00FA46C9" w:rsidRPr="00FA46C9">
        <w:rPr>
          <w:rFonts w:ascii="Times New Roman" w:hAnsi="Times New Roman"/>
          <w:sz w:val="24"/>
          <w:szCs w:val="24"/>
        </w:rPr>
        <w:t xml:space="preserve">epartment of </w:t>
      </w:r>
      <w:r w:rsidR="0093658F">
        <w:rPr>
          <w:rFonts w:ascii="Times New Roman" w:hAnsi="Times New Roman"/>
          <w:sz w:val="24"/>
          <w:szCs w:val="24"/>
        </w:rPr>
        <w:t>E</w:t>
      </w:r>
      <w:r w:rsidR="00FA46C9" w:rsidRPr="00FA46C9">
        <w:rPr>
          <w:rFonts w:ascii="Times New Roman" w:hAnsi="Times New Roman"/>
          <w:sz w:val="24"/>
          <w:szCs w:val="24"/>
        </w:rPr>
        <w:t>cology, as contemplated by RCW 80.80.060(7).</w:t>
      </w:r>
    </w:p>
    <w:p w:rsidR="00591FAF" w:rsidRPr="00591FAF" w:rsidRDefault="00591FAF" w:rsidP="00591FAF">
      <w:pPr>
        <w:pStyle w:val="ListParagraph"/>
        <w:spacing w:line="480" w:lineRule="auto"/>
        <w:ind w:left="0"/>
        <w:jc w:val="center"/>
        <w:rPr>
          <w:rFonts w:ascii="Times New Roman" w:hAnsi="Times New Roman" w:cs="Times New Roman"/>
          <w:b/>
          <w:sz w:val="24"/>
          <w:szCs w:val="24"/>
        </w:rPr>
      </w:pPr>
      <w:r w:rsidRPr="00591FAF">
        <w:rPr>
          <w:rFonts w:ascii="Times New Roman" w:hAnsi="Times New Roman" w:cs="Times New Roman"/>
          <w:b/>
          <w:sz w:val="24"/>
          <w:szCs w:val="24"/>
        </w:rPr>
        <w:t>I.</w:t>
      </w:r>
      <w:r w:rsidRPr="00591FAF">
        <w:rPr>
          <w:rFonts w:ascii="Times New Roman" w:hAnsi="Times New Roman" w:cs="Times New Roman"/>
          <w:b/>
          <w:sz w:val="24"/>
          <w:szCs w:val="24"/>
        </w:rPr>
        <w:tab/>
        <w:t>BACKGROUND</w:t>
      </w:r>
    </w:p>
    <w:p w:rsidR="00591FAF" w:rsidRPr="00591FAF" w:rsidRDefault="00591FAF" w:rsidP="00591FAF">
      <w:pPr>
        <w:numPr>
          <w:ilvl w:val="0"/>
          <w:numId w:val="5"/>
        </w:numPr>
        <w:spacing w:line="480" w:lineRule="auto"/>
        <w:rPr>
          <w:rFonts w:ascii="Times New Roman" w:hAnsi="Times New Roman"/>
        </w:rPr>
      </w:pPr>
      <w:r w:rsidRPr="00591FAF">
        <w:rPr>
          <w:rFonts w:ascii="Times New Roman" w:hAnsi="Times New Roman"/>
        </w:rPr>
        <w:tab/>
        <w:t>On October 2, 2012, Puget Sound Energy, Inc. (PSE) filed a Petition for “an Emissions Performance Determination” (Petition).  According to the Petition, PSE plans to acquire the Ferndale Generating Station from its current owner, Tenaska Washington partners, L.P. (Tenaska).  Petition at 3, ¶ 5.</w:t>
      </w:r>
    </w:p>
    <w:p w:rsidR="00591FAF" w:rsidRPr="00591FAF" w:rsidRDefault="00591FAF" w:rsidP="00591FAF">
      <w:pPr>
        <w:pStyle w:val="ListParagraph"/>
        <w:numPr>
          <w:ilvl w:val="0"/>
          <w:numId w:val="5"/>
        </w:numPr>
        <w:spacing w:line="480" w:lineRule="auto"/>
        <w:rPr>
          <w:rFonts w:ascii="Times New Roman" w:hAnsi="Times New Roman" w:cs="Times New Roman"/>
          <w:sz w:val="24"/>
          <w:szCs w:val="24"/>
        </w:rPr>
      </w:pPr>
      <w:r w:rsidRPr="00591FAF">
        <w:rPr>
          <w:rFonts w:ascii="Times New Roman" w:hAnsi="Times New Roman" w:cs="Times New Roman"/>
          <w:sz w:val="24"/>
          <w:szCs w:val="24"/>
        </w:rPr>
        <w:lastRenderedPageBreak/>
        <w:tab/>
        <w:t>PSE is asking the Commission to issue an order finding that the Ferndale Generating Station “complies with the greenhouse gas emissions performance standards in Chapter 80.80 RCW, Greenhouse Gas Emissions.”  PSE Petition at 6, ¶ 13.</w:t>
      </w:r>
    </w:p>
    <w:p w:rsidR="00591FAF" w:rsidRPr="00591FAF" w:rsidRDefault="00591FAF" w:rsidP="00591FAF">
      <w:pPr>
        <w:pStyle w:val="ListParagraph"/>
        <w:keepNext/>
        <w:spacing w:line="480" w:lineRule="auto"/>
        <w:ind w:left="0"/>
        <w:jc w:val="center"/>
        <w:rPr>
          <w:rFonts w:ascii="Times New Roman" w:hAnsi="Times New Roman" w:cs="Times New Roman"/>
          <w:b/>
          <w:sz w:val="24"/>
          <w:szCs w:val="24"/>
        </w:rPr>
      </w:pPr>
      <w:r w:rsidRPr="00591FAF">
        <w:rPr>
          <w:rFonts w:ascii="Times New Roman" w:hAnsi="Times New Roman" w:cs="Times New Roman"/>
          <w:b/>
          <w:sz w:val="24"/>
          <w:szCs w:val="24"/>
        </w:rPr>
        <w:t>II.</w:t>
      </w:r>
      <w:r w:rsidRPr="00591FAF">
        <w:rPr>
          <w:rFonts w:ascii="Times New Roman" w:hAnsi="Times New Roman" w:cs="Times New Roman"/>
          <w:b/>
          <w:sz w:val="24"/>
          <w:szCs w:val="24"/>
        </w:rPr>
        <w:tab/>
        <w:t>STATUTES</w:t>
      </w:r>
      <w:r w:rsidR="0093658F">
        <w:rPr>
          <w:rFonts w:ascii="Times New Roman" w:hAnsi="Times New Roman" w:cs="Times New Roman"/>
          <w:b/>
          <w:sz w:val="24"/>
          <w:szCs w:val="24"/>
        </w:rPr>
        <w:t xml:space="preserve"> AND RULES</w:t>
      </w:r>
    </w:p>
    <w:p w:rsidR="00591FAF" w:rsidRPr="00591FAF" w:rsidRDefault="00591FAF" w:rsidP="00591FAF">
      <w:pPr>
        <w:pStyle w:val="ListParagraph"/>
        <w:numPr>
          <w:ilvl w:val="0"/>
          <w:numId w:val="5"/>
        </w:numPr>
        <w:spacing w:line="480" w:lineRule="auto"/>
        <w:rPr>
          <w:rFonts w:ascii="Times New Roman" w:hAnsi="Times New Roman" w:cs="Times New Roman"/>
          <w:sz w:val="24"/>
          <w:szCs w:val="24"/>
        </w:rPr>
      </w:pPr>
      <w:r w:rsidRPr="00591FAF">
        <w:rPr>
          <w:rFonts w:ascii="Times New Roman" w:hAnsi="Times New Roman" w:cs="Times New Roman"/>
          <w:sz w:val="24"/>
          <w:szCs w:val="24"/>
        </w:rPr>
        <w:tab/>
        <w:t xml:space="preserve">The greenhouse gas (GHG) emissions </w:t>
      </w:r>
      <w:r w:rsidR="00FA46C9">
        <w:rPr>
          <w:rFonts w:ascii="Times New Roman" w:hAnsi="Times New Roman" w:cs="Times New Roman"/>
          <w:sz w:val="24"/>
          <w:szCs w:val="24"/>
        </w:rPr>
        <w:t xml:space="preserve">performance </w:t>
      </w:r>
      <w:r w:rsidRPr="00591FAF">
        <w:rPr>
          <w:rFonts w:ascii="Times New Roman" w:hAnsi="Times New Roman" w:cs="Times New Roman"/>
          <w:sz w:val="24"/>
          <w:szCs w:val="24"/>
        </w:rPr>
        <w:t xml:space="preserve">standard </w:t>
      </w:r>
      <w:r w:rsidR="00FA46C9">
        <w:rPr>
          <w:rFonts w:ascii="Times New Roman" w:hAnsi="Times New Roman" w:cs="Times New Roman"/>
          <w:sz w:val="24"/>
          <w:szCs w:val="24"/>
        </w:rPr>
        <w:t xml:space="preserve">in Chapter 80.80 RCW </w:t>
      </w:r>
      <w:r w:rsidRPr="00591FAF">
        <w:rPr>
          <w:rFonts w:ascii="Times New Roman" w:hAnsi="Times New Roman" w:cs="Times New Roman"/>
          <w:sz w:val="24"/>
          <w:szCs w:val="24"/>
        </w:rPr>
        <w:t xml:space="preserve">is </w:t>
      </w:r>
      <w:r w:rsidR="00166AF4">
        <w:rPr>
          <w:rFonts w:ascii="Times New Roman" w:hAnsi="Times New Roman" w:cs="Times New Roman"/>
          <w:sz w:val="24"/>
          <w:szCs w:val="24"/>
        </w:rPr>
        <w:t xml:space="preserve">currently </w:t>
      </w:r>
      <w:r w:rsidR="0093658F">
        <w:rPr>
          <w:rFonts w:ascii="Times New Roman" w:hAnsi="Times New Roman" w:cs="Times New Roman"/>
          <w:sz w:val="24"/>
          <w:szCs w:val="24"/>
        </w:rPr>
        <w:t>“o</w:t>
      </w:r>
      <w:r w:rsidRPr="00591FAF">
        <w:rPr>
          <w:rFonts w:ascii="Times New Roman" w:hAnsi="Times New Roman" w:cs="Times New Roman"/>
          <w:sz w:val="24"/>
          <w:szCs w:val="24"/>
        </w:rPr>
        <w:t>ne thousand one hundred pounds of greenhouse gases per megawatt-hour</w:t>
      </w:r>
      <w:r w:rsidR="0093658F">
        <w:rPr>
          <w:rFonts w:ascii="Times New Roman" w:hAnsi="Times New Roman" w:cs="Times New Roman"/>
          <w:sz w:val="24"/>
          <w:szCs w:val="24"/>
        </w:rPr>
        <w:t>”.</w:t>
      </w:r>
      <w:r w:rsidR="00166AF4">
        <w:rPr>
          <w:rFonts w:ascii="Times New Roman" w:hAnsi="Times New Roman" w:cs="Times New Roman"/>
          <w:sz w:val="24"/>
          <w:szCs w:val="24"/>
        </w:rPr>
        <w:t xml:space="preserve">  RCW 80.80.040(1)(a)</w:t>
      </w:r>
      <w:r w:rsidRPr="00591FAF">
        <w:rPr>
          <w:rFonts w:ascii="Times New Roman" w:hAnsi="Times New Roman" w:cs="Times New Roman"/>
          <w:sz w:val="24"/>
          <w:szCs w:val="24"/>
        </w:rPr>
        <w:t>.</w:t>
      </w:r>
      <w:r w:rsidR="0093658F">
        <w:rPr>
          <w:rStyle w:val="FootnoteReference"/>
          <w:rFonts w:ascii="Times New Roman" w:hAnsi="Times New Roman" w:cs="Times New Roman"/>
          <w:sz w:val="24"/>
          <w:szCs w:val="24"/>
        </w:rPr>
        <w:footnoteReference w:id="2"/>
      </w:r>
      <w:r w:rsidRPr="00591FAF">
        <w:rPr>
          <w:rFonts w:ascii="Times New Roman" w:hAnsi="Times New Roman" w:cs="Times New Roman"/>
          <w:sz w:val="24"/>
          <w:szCs w:val="24"/>
        </w:rPr>
        <w:t xml:space="preserve">  This standard applies to “all baseload generation for which electric utilities enter into long-term financial commitments after [July 1, 2008]”.  “Baseload generation” is defined as “electric generation from a power plant that is designed and intended to provide electricity at an annualized plant capacity factor of at least sixty percent.”  RCW 80.80.010(4).</w:t>
      </w:r>
    </w:p>
    <w:p w:rsidR="00591FAF" w:rsidRPr="00591FAF" w:rsidRDefault="00591FAF" w:rsidP="00591FAF">
      <w:pPr>
        <w:numPr>
          <w:ilvl w:val="0"/>
          <w:numId w:val="5"/>
        </w:numPr>
        <w:spacing w:line="480" w:lineRule="auto"/>
        <w:rPr>
          <w:rFonts w:ascii="Times New Roman" w:hAnsi="Times New Roman"/>
        </w:rPr>
      </w:pPr>
      <w:r w:rsidRPr="00591FAF">
        <w:rPr>
          <w:rFonts w:ascii="Times New Roman" w:hAnsi="Times New Roman"/>
        </w:rPr>
        <w:tab/>
      </w:r>
      <w:r w:rsidR="00FA46C9">
        <w:rPr>
          <w:rFonts w:ascii="Times New Roman" w:hAnsi="Times New Roman"/>
        </w:rPr>
        <w:t xml:space="preserve">In short, </w:t>
      </w:r>
      <w:r w:rsidRPr="00591FAF">
        <w:rPr>
          <w:rFonts w:ascii="Times New Roman" w:hAnsi="Times New Roman"/>
        </w:rPr>
        <w:t xml:space="preserve">the GHG emissions </w:t>
      </w:r>
      <w:r w:rsidR="00FA46C9">
        <w:rPr>
          <w:rFonts w:ascii="Times New Roman" w:hAnsi="Times New Roman"/>
        </w:rPr>
        <w:t xml:space="preserve">performance </w:t>
      </w:r>
      <w:r w:rsidRPr="00591FAF">
        <w:rPr>
          <w:rFonts w:ascii="Times New Roman" w:hAnsi="Times New Roman"/>
        </w:rPr>
        <w:t xml:space="preserve">standard at issue </w:t>
      </w:r>
      <w:r w:rsidR="00FA46C9">
        <w:rPr>
          <w:rFonts w:ascii="Times New Roman" w:hAnsi="Times New Roman"/>
        </w:rPr>
        <w:t xml:space="preserve">here </w:t>
      </w:r>
      <w:r w:rsidRPr="00591FAF">
        <w:rPr>
          <w:rFonts w:ascii="Times New Roman" w:hAnsi="Times New Roman"/>
        </w:rPr>
        <w:t xml:space="preserve">is relevant if PSE is entering into a “long-term financial commitment” for “baseload generation”.  If PSE is doing so, then the facility must meet the GHG </w:t>
      </w:r>
      <w:r w:rsidR="00FA46C9">
        <w:rPr>
          <w:rFonts w:ascii="Times New Roman" w:hAnsi="Times New Roman"/>
        </w:rPr>
        <w:t xml:space="preserve">emissions performance </w:t>
      </w:r>
      <w:r w:rsidRPr="00591FAF">
        <w:rPr>
          <w:rFonts w:ascii="Times New Roman" w:hAnsi="Times New Roman"/>
        </w:rPr>
        <w:t xml:space="preserve">standard </w:t>
      </w:r>
      <w:r w:rsidR="00FA46C9">
        <w:rPr>
          <w:rFonts w:ascii="Times New Roman" w:hAnsi="Times New Roman"/>
        </w:rPr>
        <w:t xml:space="preserve">identified </w:t>
      </w:r>
      <w:r w:rsidRPr="00591FAF">
        <w:rPr>
          <w:rFonts w:ascii="Times New Roman" w:hAnsi="Times New Roman"/>
        </w:rPr>
        <w:t>in RCW 80.80.040(1).</w:t>
      </w:r>
    </w:p>
    <w:p w:rsidR="00591FAF" w:rsidRPr="00591FAF" w:rsidRDefault="00591FAF" w:rsidP="00591FAF">
      <w:pPr>
        <w:spacing w:line="480" w:lineRule="auto"/>
        <w:jc w:val="center"/>
        <w:rPr>
          <w:rFonts w:ascii="Times New Roman" w:hAnsi="Times New Roman"/>
          <w:b/>
        </w:rPr>
      </w:pPr>
      <w:r w:rsidRPr="00591FAF">
        <w:rPr>
          <w:rFonts w:ascii="Times New Roman" w:hAnsi="Times New Roman"/>
          <w:b/>
        </w:rPr>
        <w:t>III.</w:t>
      </w:r>
      <w:r w:rsidRPr="00591FAF">
        <w:rPr>
          <w:rFonts w:ascii="Times New Roman" w:hAnsi="Times New Roman"/>
          <w:b/>
        </w:rPr>
        <w:tab/>
        <w:t>ISSUES LIST</w:t>
      </w:r>
    </w:p>
    <w:p w:rsidR="00591FAF" w:rsidRPr="00591FAF" w:rsidRDefault="00591FAF" w:rsidP="00591FAF">
      <w:pPr>
        <w:numPr>
          <w:ilvl w:val="0"/>
          <w:numId w:val="5"/>
        </w:numPr>
        <w:spacing w:line="480" w:lineRule="auto"/>
        <w:rPr>
          <w:rFonts w:ascii="Times New Roman" w:hAnsi="Times New Roman"/>
        </w:rPr>
      </w:pPr>
      <w:r w:rsidRPr="00591FAF">
        <w:rPr>
          <w:rFonts w:ascii="Times New Roman" w:hAnsi="Times New Roman"/>
        </w:rPr>
        <w:tab/>
        <w:t>The issues are:</w:t>
      </w:r>
    </w:p>
    <w:p w:rsidR="00591FAF" w:rsidRDefault="00591FAF" w:rsidP="00591FAF">
      <w:pPr>
        <w:numPr>
          <w:ilvl w:val="0"/>
          <w:numId w:val="5"/>
        </w:numPr>
        <w:tabs>
          <w:tab w:val="left" w:pos="720"/>
        </w:tabs>
        <w:ind w:left="1440" w:hanging="2160"/>
        <w:rPr>
          <w:rFonts w:ascii="Times New Roman" w:hAnsi="Times New Roman"/>
        </w:rPr>
      </w:pPr>
      <w:r w:rsidRPr="00591FAF">
        <w:rPr>
          <w:rFonts w:ascii="Times New Roman" w:hAnsi="Times New Roman"/>
        </w:rPr>
        <w:t>1.</w:t>
      </w:r>
      <w:r w:rsidRPr="00591FAF">
        <w:rPr>
          <w:rFonts w:ascii="Times New Roman" w:hAnsi="Times New Roman"/>
        </w:rPr>
        <w:tab/>
        <w:t>Has PSE provided sufficient information for the Commission to find that PSE is entering into a “long-term financial commitment” to acquire the Ferndale Generating Station?</w:t>
      </w:r>
    </w:p>
    <w:p w:rsidR="00591FAF" w:rsidRPr="00591FAF" w:rsidRDefault="00591FAF" w:rsidP="00591FAF">
      <w:pPr>
        <w:tabs>
          <w:tab w:val="left" w:pos="720"/>
        </w:tabs>
        <w:ind w:left="1440"/>
        <w:rPr>
          <w:rFonts w:ascii="Times New Roman" w:hAnsi="Times New Roman"/>
        </w:rPr>
      </w:pPr>
    </w:p>
    <w:p w:rsidR="002F5E53" w:rsidRPr="002F5E53" w:rsidRDefault="00591FAF" w:rsidP="002F5E53">
      <w:pPr>
        <w:numPr>
          <w:ilvl w:val="0"/>
          <w:numId w:val="5"/>
        </w:numPr>
        <w:tabs>
          <w:tab w:val="left" w:pos="720"/>
        </w:tabs>
        <w:ind w:left="1440" w:hanging="2160"/>
        <w:rPr>
          <w:rFonts w:ascii="Times New Roman" w:hAnsi="Times New Roman"/>
        </w:rPr>
      </w:pPr>
      <w:r w:rsidRPr="00591FAF">
        <w:rPr>
          <w:rFonts w:ascii="Times New Roman" w:hAnsi="Times New Roman"/>
        </w:rPr>
        <w:t>2.</w:t>
      </w:r>
      <w:r w:rsidRPr="00591FAF">
        <w:rPr>
          <w:rFonts w:ascii="Times New Roman" w:hAnsi="Times New Roman"/>
        </w:rPr>
        <w:tab/>
        <w:t>If so, has PSE provided sufficient information for the Commission to find that the Ferndale Generating Station meets the definition of “baseload generation”, i.e., is that facility “designed and intended to provide electricity at an annualized plant capacity factor of at least sixty percent”?</w:t>
      </w:r>
    </w:p>
    <w:p w:rsidR="00591FAF" w:rsidRPr="00591FAF" w:rsidRDefault="00591FAF" w:rsidP="00591FAF">
      <w:pPr>
        <w:tabs>
          <w:tab w:val="left" w:pos="720"/>
        </w:tabs>
        <w:ind w:left="1440"/>
        <w:rPr>
          <w:rFonts w:ascii="Times New Roman" w:hAnsi="Times New Roman"/>
        </w:rPr>
      </w:pPr>
    </w:p>
    <w:p w:rsidR="002F5E53" w:rsidRDefault="00591FAF" w:rsidP="00591FAF">
      <w:pPr>
        <w:numPr>
          <w:ilvl w:val="0"/>
          <w:numId w:val="5"/>
        </w:numPr>
        <w:tabs>
          <w:tab w:val="left" w:pos="720"/>
        </w:tabs>
        <w:ind w:left="1440" w:hanging="2160"/>
        <w:rPr>
          <w:rFonts w:ascii="Times New Roman" w:hAnsi="Times New Roman"/>
        </w:rPr>
      </w:pPr>
      <w:r w:rsidRPr="00591FAF">
        <w:rPr>
          <w:rFonts w:ascii="Times New Roman" w:hAnsi="Times New Roman"/>
        </w:rPr>
        <w:lastRenderedPageBreak/>
        <w:t>3.</w:t>
      </w:r>
      <w:r w:rsidRPr="00591FAF">
        <w:rPr>
          <w:rFonts w:ascii="Times New Roman" w:hAnsi="Times New Roman"/>
        </w:rPr>
        <w:tab/>
      </w:r>
      <w:r w:rsidR="002F5E53">
        <w:rPr>
          <w:rFonts w:ascii="Times New Roman" w:hAnsi="Times New Roman"/>
        </w:rPr>
        <w:t>Or, has PSE provided sufficient information for the commission to find that the Ferndale Generating Station meets the definition of “baseload cogeneration</w:t>
      </w:r>
      <w:r w:rsidR="00F96CE5">
        <w:rPr>
          <w:rFonts w:ascii="Times New Roman" w:hAnsi="Times New Roman"/>
        </w:rPr>
        <w:t>”</w:t>
      </w:r>
      <w:r w:rsidR="0093658F">
        <w:rPr>
          <w:rFonts w:ascii="Times New Roman" w:hAnsi="Times New Roman"/>
        </w:rPr>
        <w:t xml:space="preserve"> in WAC 173-407-110</w:t>
      </w:r>
      <w:r w:rsidR="00F96CE5">
        <w:rPr>
          <w:rFonts w:ascii="Times New Roman" w:hAnsi="Times New Roman"/>
        </w:rPr>
        <w:t>, i.e</w:t>
      </w:r>
      <w:r w:rsidR="002F5E53">
        <w:rPr>
          <w:rFonts w:ascii="Times New Roman" w:hAnsi="Times New Roman"/>
        </w:rPr>
        <w:t>.</w:t>
      </w:r>
      <w:r w:rsidR="00F96CE5">
        <w:rPr>
          <w:rFonts w:ascii="Times New Roman" w:hAnsi="Times New Roman"/>
        </w:rPr>
        <w:t>,</w:t>
      </w:r>
      <w:r w:rsidR="0093658F">
        <w:rPr>
          <w:rFonts w:ascii="Times New Roman" w:hAnsi="Times New Roman"/>
        </w:rPr>
        <w:t xml:space="preserve"> </w:t>
      </w:r>
      <w:r w:rsidR="002F5E53">
        <w:rPr>
          <w:rFonts w:ascii="Times New Roman" w:hAnsi="Times New Roman"/>
        </w:rPr>
        <w:t>does the facility provide thermal energy to the Conoco-Phillips refinery or other user of heat energy adequate to be a FERC “qualified facility”</w:t>
      </w:r>
      <w:r w:rsidR="00F96CE5">
        <w:rPr>
          <w:rFonts w:ascii="Times New Roman" w:hAnsi="Times New Roman"/>
        </w:rPr>
        <w:t>?</w:t>
      </w:r>
    </w:p>
    <w:p w:rsidR="002F5E53" w:rsidRDefault="002F5E53" w:rsidP="006B09F9">
      <w:pPr>
        <w:pStyle w:val="ListParagraph"/>
        <w:rPr>
          <w:rFonts w:ascii="Times New Roman" w:hAnsi="Times New Roman"/>
        </w:rPr>
      </w:pPr>
    </w:p>
    <w:p w:rsidR="00591FAF" w:rsidRPr="00591FAF" w:rsidRDefault="002F5E53" w:rsidP="00591FAF">
      <w:pPr>
        <w:numPr>
          <w:ilvl w:val="0"/>
          <w:numId w:val="5"/>
        </w:numPr>
        <w:tabs>
          <w:tab w:val="left" w:pos="720"/>
        </w:tabs>
        <w:ind w:left="1440" w:hanging="2160"/>
        <w:rPr>
          <w:rFonts w:ascii="Times New Roman" w:hAnsi="Times New Roman"/>
        </w:rPr>
      </w:pPr>
      <w:r>
        <w:rPr>
          <w:rFonts w:ascii="Times New Roman" w:hAnsi="Times New Roman"/>
        </w:rPr>
        <w:t>4.</w:t>
      </w:r>
      <w:r>
        <w:rPr>
          <w:rFonts w:ascii="Times New Roman" w:hAnsi="Times New Roman"/>
        </w:rPr>
        <w:tab/>
      </w:r>
      <w:r w:rsidR="00591FAF" w:rsidRPr="00591FAF">
        <w:rPr>
          <w:rFonts w:ascii="Times New Roman" w:hAnsi="Times New Roman"/>
        </w:rPr>
        <w:t>If so, has PSE provided sufficient information for the Commission to find that the Ferndale Generating Station meets the</w:t>
      </w:r>
      <w:r w:rsidR="00166AF4">
        <w:rPr>
          <w:rFonts w:ascii="Times New Roman" w:hAnsi="Times New Roman"/>
        </w:rPr>
        <w:t xml:space="preserve"> current</w:t>
      </w:r>
      <w:r w:rsidR="00591FAF" w:rsidRPr="00591FAF">
        <w:rPr>
          <w:rFonts w:ascii="Times New Roman" w:hAnsi="Times New Roman"/>
        </w:rPr>
        <w:t xml:space="preserve"> GHG emission</w:t>
      </w:r>
      <w:r w:rsidR="00FA46C9">
        <w:rPr>
          <w:rFonts w:ascii="Times New Roman" w:hAnsi="Times New Roman"/>
        </w:rPr>
        <w:t>s performance</w:t>
      </w:r>
      <w:r w:rsidR="00591FAF" w:rsidRPr="00591FAF">
        <w:rPr>
          <w:rFonts w:ascii="Times New Roman" w:hAnsi="Times New Roman"/>
        </w:rPr>
        <w:t xml:space="preserve"> standard </w:t>
      </w:r>
      <w:r w:rsidR="00166AF4">
        <w:rPr>
          <w:rFonts w:ascii="Times New Roman" w:hAnsi="Times New Roman"/>
        </w:rPr>
        <w:t>of</w:t>
      </w:r>
      <w:r w:rsidR="00591FAF" w:rsidRPr="00591FAF">
        <w:rPr>
          <w:rFonts w:ascii="Times New Roman" w:hAnsi="Times New Roman"/>
        </w:rPr>
        <w:t xml:space="preserve"> </w:t>
      </w:r>
      <w:r w:rsidR="00F96CE5">
        <w:rPr>
          <w:rFonts w:ascii="Times New Roman" w:hAnsi="Times New Roman"/>
        </w:rPr>
        <w:t>o</w:t>
      </w:r>
      <w:r w:rsidR="00591FAF" w:rsidRPr="00591FAF">
        <w:rPr>
          <w:rFonts w:ascii="Times New Roman" w:hAnsi="Times New Roman"/>
        </w:rPr>
        <w:t>ne thousand one hundred pounds of greenhouse gases per megawatt-hour?</w:t>
      </w:r>
    </w:p>
    <w:p w:rsidR="00591FAF" w:rsidRPr="00591FAF" w:rsidRDefault="00591FAF" w:rsidP="00591FAF">
      <w:pPr>
        <w:spacing w:line="480" w:lineRule="auto"/>
        <w:rPr>
          <w:rFonts w:ascii="Times New Roman" w:hAnsi="Times New Roman"/>
        </w:rPr>
      </w:pPr>
    </w:p>
    <w:p w:rsidR="00591FAF" w:rsidRPr="00591FAF" w:rsidRDefault="00591FAF" w:rsidP="00591FAF">
      <w:pPr>
        <w:spacing w:line="480" w:lineRule="auto"/>
        <w:jc w:val="center"/>
        <w:rPr>
          <w:rFonts w:ascii="Times New Roman" w:hAnsi="Times New Roman"/>
          <w:b/>
        </w:rPr>
      </w:pPr>
      <w:r w:rsidRPr="00591FAF">
        <w:rPr>
          <w:rFonts w:ascii="Times New Roman" w:hAnsi="Times New Roman"/>
          <w:b/>
        </w:rPr>
        <w:t>IV.</w:t>
      </w:r>
      <w:r w:rsidRPr="00591FAF">
        <w:rPr>
          <w:rFonts w:ascii="Times New Roman" w:hAnsi="Times New Roman"/>
          <w:b/>
        </w:rPr>
        <w:tab/>
        <w:t>DISCUSSION</w:t>
      </w:r>
    </w:p>
    <w:p w:rsidR="00591FAF" w:rsidRDefault="00591FAF" w:rsidP="00591FAF">
      <w:pPr>
        <w:numPr>
          <w:ilvl w:val="0"/>
          <w:numId w:val="5"/>
        </w:numPr>
        <w:spacing w:line="480" w:lineRule="auto"/>
        <w:rPr>
          <w:rFonts w:ascii="Times New Roman" w:hAnsi="Times New Roman"/>
        </w:rPr>
      </w:pPr>
      <w:r w:rsidRPr="00591FAF">
        <w:rPr>
          <w:rFonts w:ascii="Times New Roman" w:hAnsi="Times New Roman"/>
        </w:rPr>
        <w:tab/>
      </w:r>
      <w:r w:rsidR="00FA46C9">
        <w:rPr>
          <w:rFonts w:ascii="Times New Roman" w:hAnsi="Times New Roman"/>
        </w:rPr>
        <w:t>I</w:t>
      </w:r>
      <w:r w:rsidRPr="00591FAF">
        <w:rPr>
          <w:rFonts w:ascii="Times New Roman" w:hAnsi="Times New Roman"/>
        </w:rPr>
        <w:t>n its Petition</w:t>
      </w:r>
      <w:r w:rsidR="00FA46C9">
        <w:rPr>
          <w:rFonts w:ascii="Times New Roman" w:hAnsi="Times New Roman"/>
        </w:rPr>
        <w:t>, PSE</w:t>
      </w:r>
      <w:r w:rsidRPr="00591FAF">
        <w:rPr>
          <w:rFonts w:ascii="Times New Roman" w:hAnsi="Times New Roman"/>
        </w:rPr>
        <w:t xml:space="preserve"> asserts the Ferndale Generating Station is “a baseload power plant”.  Petition at 4, ¶ 7.  However, the Petition does not </w:t>
      </w:r>
      <w:r w:rsidR="00472E5F">
        <w:rPr>
          <w:rFonts w:ascii="Times New Roman" w:hAnsi="Times New Roman"/>
        </w:rPr>
        <w:t xml:space="preserve">fully </w:t>
      </w:r>
      <w:r w:rsidRPr="00591FAF">
        <w:rPr>
          <w:rFonts w:ascii="Times New Roman" w:hAnsi="Times New Roman"/>
        </w:rPr>
        <w:t xml:space="preserve">support that characterization with facts </w:t>
      </w:r>
      <w:r w:rsidR="00472E5F">
        <w:rPr>
          <w:rFonts w:ascii="Times New Roman" w:hAnsi="Times New Roman"/>
        </w:rPr>
        <w:t xml:space="preserve">and documentation </w:t>
      </w:r>
      <w:r w:rsidRPr="00591FAF">
        <w:rPr>
          <w:rFonts w:ascii="Times New Roman" w:hAnsi="Times New Roman"/>
        </w:rPr>
        <w:t xml:space="preserve">tied to the statutory definition of “baseload generation”.  </w:t>
      </w:r>
      <w:r w:rsidR="00FA46C9">
        <w:rPr>
          <w:rFonts w:ascii="Times New Roman" w:hAnsi="Times New Roman"/>
        </w:rPr>
        <w:t>Moreover, t</w:t>
      </w:r>
      <w:r w:rsidRPr="00591FAF">
        <w:rPr>
          <w:rFonts w:ascii="Times New Roman" w:hAnsi="Times New Roman"/>
        </w:rPr>
        <w:t xml:space="preserve">he Petition neither asserts nor provides facts to support a conclusion that PSE is entering into a “long-term financial commitment” to acquire the Ferndale Generating Station.  </w:t>
      </w:r>
      <w:r w:rsidR="002F5E53">
        <w:rPr>
          <w:rFonts w:ascii="Times New Roman" w:hAnsi="Times New Roman"/>
        </w:rPr>
        <w:t xml:space="preserve">The </w:t>
      </w:r>
      <w:r w:rsidR="00FA46C9">
        <w:rPr>
          <w:rFonts w:ascii="Times New Roman" w:hAnsi="Times New Roman"/>
        </w:rPr>
        <w:t xml:space="preserve">Petition </w:t>
      </w:r>
      <w:r w:rsidR="00166AF4">
        <w:rPr>
          <w:rFonts w:ascii="Times New Roman" w:hAnsi="Times New Roman"/>
        </w:rPr>
        <w:t xml:space="preserve">does not include adequate detail showing </w:t>
      </w:r>
      <w:r w:rsidR="00FA46C9">
        <w:rPr>
          <w:rFonts w:ascii="Times New Roman" w:hAnsi="Times New Roman"/>
        </w:rPr>
        <w:t xml:space="preserve"> how the Ferndale Generating Station meets the GHG emissions performance standard</w:t>
      </w:r>
      <w:r w:rsidR="00166AF4">
        <w:rPr>
          <w:rFonts w:ascii="Times New Roman" w:hAnsi="Times New Roman"/>
        </w:rPr>
        <w:t xml:space="preserve"> as a cogeneration facility</w:t>
      </w:r>
      <w:r w:rsidR="00F96CE5">
        <w:rPr>
          <w:rFonts w:ascii="Times New Roman" w:hAnsi="Times New Roman"/>
        </w:rPr>
        <w:t xml:space="preserve"> (assuming the facility meets the definition of a cogeneration facility)</w:t>
      </w:r>
      <w:r w:rsidR="00166AF4">
        <w:rPr>
          <w:rFonts w:ascii="Times New Roman" w:hAnsi="Times New Roman"/>
        </w:rPr>
        <w:t xml:space="preserve">, in that details of the steam usage and any steam or boiler condensate returned to the Tenaska facility is not </w:t>
      </w:r>
      <w:r w:rsidR="002F5E53">
        <w:rPr>
          <w:rFonts w:ascii="Times New Roman" w:hAnsi="Times New Roman"/>
        </w:rPr>
        <w:t>described in the materials submitted</w:t>
      </w:r>
      <w:r w:rsidR="00FA46C9">
        <w:rPr>
          <w:rFonts w:ascii="Times New Roman" w:hAnsi="Times New Roman"/>
        </w:rPr>
        <w:t>.</w:t>
      </w:r>
    </w:p>
    <w:p w:rsidR="00472E5F" w:rsidRPr="00591FAF" w:rsidRDefault="0093658F" w:rsidP="00591FAF">
      <w:pPr>
        <w:numPr>
          <w:ilvl w:val="0"/>
          <w:numId w:val="5"/>
        </w:numPr>
        <w:spacing w:line="480" w:lineRule="auto"/>
        <w:rPr>
          <w:rFonts w:ascii="Times New Roman" w:hAnsi="Times New Roman"/>
        </w:rPr>
      </w:pPr>
      <w:r>
        <w:rPr>
          <w:rFonts w:ascii="Times New Roman" w:hAnsi="Times New Roman"/>
        </w:rPr>
        <w:tab/>
      </w:r>
      <w:r w:rsidR="00472E5F">
        <w:rPr>
          <w:rFonts w:ascii="Times New Roman" w:hAnsi="Times New Roman"/>
        </w:rPr>
        <w:t xml:space="preserve">As of this writing, the </w:t>
      </w:r>
      <w:r>
        <w:rPr>
          <w:rFonts w:ascii="Times New Roman" w:hAnsi="Times New Roman"/>
        </w:rPr>
        <w:t>C</w:t>
      </w:r>
      <w:r w:rsidR="00472E5F">
        <w:rPr>
          <w:rFonts w:ascii="Times New Roman" w:hAnsi="Times New Roman"/>
        </w:rPr>
        <w:t xml:space="preserve">ompany has not provided data informally requested.  </w:t>
      </w:r>
      <w:r w:rsidR="00F96CE5">
        <w:rPr>
          <w:rFonts w:ascii="Times New Roman" w:hAnsi="Times New Roman"/>
        </w:rPr>
        <w:t xml:space="preserve">We also note that </w:t>
      </w:r>
      <w:r w:rsidR="00472E5F">
        <w:rPr>
          <w:rFonts w:ascii="Times New Roman" w:hAnsi="Times New Roman"/>
        </w:rPr>
        <w:t>the Dep</w:t>
      </w:r>
      <w:r>
        <w:rPr>
          <w:rFonts w:ascii="Times New Roman" w:hAnsi="Times New Roman"/>
        </w:rPr>
        <w:t>artment</w:t>
      </w:r>
      <w:r w:rsidR="00472E5F">
        <w:rPr>
          <w:rFonts w:ascii="Times New Roman" w:hAnsi="Times New Roman"/>
        </w:rPr>
        <w:t xml:space="preserve"> of Ecology rule which establishes a consultation rule to the UTC on the GHG compliance issue,</w:t>
      </w:r>
      <w:r w:rsidR="00F207B1">
        <w:rPr>
          <w:rFonts w:ascii="Times New Roman" w:hAnsi="Times New Roman"/>
        </w:rPr>
        <w:t xml:space="preserve"> allows </w:t>
      </w:r>
      <w:r w:rsidR="00F96CE5">
        <w:rPr>
          <w:rFonts w:ascii="Times New Roman" w:hAnsi="Times New Roman"/>
        </w:rPr>
        <w:t xml:space="preserve">the Department of Ecology </w:t>
      </w:r>
      <w:r w:rsidR="00472E5F">
        <w:rPr>
          <w:rFonts w:ascii="Times New Roman" w:hAnsi="Times New Roman"/>
        </w:rPr>
        <w:t>up to 30 days after “receiving all necessary i</w:t>
      </w:r>
      <w:r>
        <w:rPr>
          <w:rFonts w:ascii="Times New Roman" w:hAnsi="Times New Roman"/>
        </w:rPr>
        <w:t>n</w:t>
      </w:r>
      <w:r w:rsidR="00472E5F">
        <w:rPr>
          <w:rFonts w:ascii="Times New Roman" w:hAnsi="Times New Roman"/>
        </w:rPr>
        <w:t>formation from the commission”</w:t>
      </w:r>
      <w:r w:rsidR="00F207B1">
        <w:rPr>
          <w:rFonts w:ascii="Times New Roman" w:hAnsi="Times New Roman"/>
        </w:rPr>
        <w:t xml:space="preserve"> to complete the consultation process.</w:t>
      </w:r>
      <w:r>
        <w:rPr>
          <w:rFonts w:ascii="Times New Roman" w:hAnsi="Times New Roman"/>
        </w:rPr>
        <w:t xml:space="preserve">  WAC </w:t>
      </w:r>
      <w:r w:rsidR="00472E5F">
        <w:rPr>
          <w:rFonts w:ascii="Times New Roman" w:hAnsi="Times New Roman"/>
        </w:rPr>
        <w:t xml:space="preserve">173-407-310(3). </w:t>
      </w:r>
    </w:p>
    <w:p w:rsidR="006911A3" w:rsidRPr="00591FAF" w:rsidRDefault="00591FAF" w:rsidP="00591FAF">
      <w:pPr>
        <w:numPr>
          <w:ilvl w:val="0"/>
          <w:numId w:val="5"/>
        </w:numPr>
        <w:spacing w:line="480" w:lineRule="auto"/>
        <w:rPr>
          <w:rFonts w:ascii="Times New Roman" w:hAnsi="Times New Roman"/>
        </w:rPr>
      </w:pPr>
      <w:r w:rsidRPr="00591FAF">
        <w:rPr>
          <w:rFonts w:ascii="Times New Roman" w:hAnsi="Times New Roman"/>
        </w:rPr>
        <w:lastRenderedPageBreak/>
        <w:tab/>
        <w:t>Consequently, the Petition</w:t>
      </w:r>
      <w:r w:rsidR="00FA46C9">
        <w:rPr>
          <w:rFonts w:ascii="Times New Roman" w:hAnsi="Times New Roman"/>
        </w:rPr>
        <w:t xml:space="preserve"> fails to provide </w:t>
      </w:r>
      <w:r w:rsidRPr="00591FAF">
        <w:rPr>
          <w:rFonts w:ascii="Times New Roman" w:hAnsi="Times New Roman"/>
        </w:rPr>
        <w:t xml:space="preserve">a sufficient factual basis for the Commission to issue the order the Petition requests.  The hearing process is </w:t>
      </w:r>
      <w:r w:rsidR="00FA46C9">
        <w:rPr>
          <w:rFonts w:ascii="Times New Roman" w:hAnsi="Times New Roman"/>
        </w:rPr>
        <w:t>the</w:t>
      </w:r>
      <w:r w:rsidRPr="00591FAF">
        <w:rPr>
          <w:rFonts w:ascii="Times New Roman" w:hAnsi="Times New Roman"/>
        </w:rPr>
        <w:t xml:space="preserve"> opportunity for the Company to supply those necessary facts. </w:t>
      </w:r>
    </w:p>
    <w:p w:rsidR="003215A3" w:rsidRPr="00591FAF" w:rsidRDefault="003215A3" w:rsidP="006435F0">
      <w:pPr>
        <w:ind w:left="720"/>
        <w:rPr>
          <w:rFonts w:ascii="Times New Roman" w:hAnsi="Times New Roman"/>
        </w:rPr>
      </w:pPr>
      <w:r w:rsidRPr="00591FAF">
        <w:rPr>
          <w:rFonts w:ascii="Times New Roman" w:hAnsi="Times New Roman"/>
        </w:rPr>
        <w:tab/>
      </w:r>
      <w:r w:rsidRPr="00591FAF">
        <w:rPr>
          <w:rFonts w:ascii="Times New Roman" w:hAnsi="Times New Roman"/>
        </w:rPr>
        <w:tab/>
      </w:r>
      <w:r w:rsidRPr="00591FAF">
        <w:rPr>
          <w:rFonts w:ascii="Times New Roman" w:hAnsi="Times New Roman"/>
        </w:rPr>
        <w:tab/>
      </w:r>
      <w:r w:rsidRPr="00591FAF">
        <w:rPr>
          <w:rFonts w:ascii="Times New Roman" w:hAnsi="Times New Roman"/>
        </w:rPr>
        <w:tab/>
      </w:r>
      <w:r w:rsidRPr="00591FAF">
        <w:rPr>
          <w:rFonts w:ascii="Times New Roman" w:hAnsi="Times New Roman"/>
        </w:rPr>
        <w:tab/>
      </w:r>
      <w:r w:rsidRPr="00591FAF">
        <w:rPr>
          <w:rFonts w:ascii="Times New Roman" w:hAnsi="Times New Roman"/>
        </w:rPr>
        <w:tab/>
        <w:t xml:space="preserve">Respectfully submitted, </w:t>
      </w:r>
    </w:p>
    <w:p w:rsidR="003215A3" w:rsidRPr="00591FAF" w:rsidRDefault="003215A3" w:rsidP="006435F0">
      <w:pPr>
        <w:pStyle w:val="BodyTextIndent2"/>
        <w:rPr>
          <w:rFonts w:ascii="Times New Roman" w:hAnsi="Times New Roman"/>
        </w:rPr>
      </w:pPr>
    </w:p>
    <w:p w:rsidR="003215A3" w:rsidRPr="00591FAF" w:rsidRDefault="003215A3" w:rsidP="006435F0">
      <w:pPr>
        <w:ind w:left="5040"/>
        <w:jc w:val="both"/>
        <w:rPr>
          <w:rFonts w:ascii="Times New Roman" w:hAnsi="Times New Roman"/>
        </w:rPr>
      </w:pPr>
      <w:r w:rsidRPr="00591FAF">
        <w:rPr>
          <w:rFonts w:ascii="Times New Roman" w:hAnsi="Times New Roman"/>
        </w:rPr>
        <w:t xml:space="preserve">ROBERT M. MCKENNA </w:t>
      </w:r>
    </w:p>
    <w:p w:rsidR="003215A3" w:rsidRPr="00591FAF" w:rsidRDefault="003215A3" w:rsidP="006435F0">
      <w:pPr>
        <w:ind w:firstLine="5040"/>
        <w:jc w:val="both"/>
        <w:rPr>
          <w:rFonts w:ascii="Times New Roman" w:hAnsi="Times New Roman"/>
        </w:rPr>
      </w:pPr>
      <w:r w:rsidRPr="00591FAF">
        <w:rPr>
          <w:rFonts w:ascii="Times New Roman" w:hAnsi="Times New Roman"/>
        </w:rPr>
        <w:t>Attorney General</w:t>
      </w:r>
    </w:p>
    <w:p w:rsidR="003215A3" w:rsidRPr="00591FAF" w:rsidRDefault="003215A3" w:rsidP="006435F0">
      <w:pPr>
        <w:jc w:val="both"/>
        <w:rPr>
          <w:rFonts w:ascii="Times New Roman" w:hAnsi="Times New Roman"/>
        </w:rPr>
      </w:pPr>
    </w:p>
    <w:p w:rsidR="006B09F9" w:rsidRPr="00591FAF" w:rsidRDefault="006B09F9" w:rsidP="006435F0">
      <w:pPr>
        <w:jc w:val="both"/>
        <w:rPr>
          <w:rFonts w:ascii="Times New Roman" w:hAnsi="Times New Roman"/>
        </w:rPr>
      </w:pPr>
    </w:p>
    <w:p w:rsidR="003215A3" w:rsidRPr="00591FAF" w:rsidRDefault="003215A3" w:rsidP="006435F0">
      <w:pPr>
        <w:ind w:left="1440" w:firstLine="3600"/>
        <w:jc w:val="both"/>
        <w:rPr>
          <w:rFonts w:ascii="Times New Roman" w:hAnsi="Times New Roman"/>
        </w:rPr>
      </w:pPr>
      <w:r w:rsidRPr="00591FAF">
        <w:rPr>
          <w:rFonts w:ascii="Times New Roman" w:hAnsi="Times New Roman"/>
        </w:rPr>
        <w:t>______________________________</w:t>
      </w:r>
    </w:p>
    <w:p w:rsidR="003215A3" w:rsidRPr="00591FAF" w:rsidRDefault="00F01B02" w:rsidP="006435F0">
      <w:pPr>
        <w:ind w:firstLine="5040"/>
        <w:jc w:val="both"/>
        <w:rPr>
          <w:rFonts w:ascii="Times New Roman" w:hAnsi="Times New Roman"/>
        </w:rPr>
      </w:pPr>
      <w:r w:rsidRPr="00591FAF">
        <w:rPr>
          <w:rFonts w:ascii="Times New Roman" w:hAnsi="Times New Roman"/>
        </w:rPr>
        <w:t>DONALD T. TROTTER</w:t>
      </w:r>
    </w:p>
    <w:p w:rsidR="003215A3" w:rsidRPr="00591FAF" w:rsidRDefault="003215A3" w:rsidP="006435F0">
      <w:pPr>
        <w:ind w:left="1440" w:firstLine="3600"/>
        <w:jc w:val="both"/>
        <w:rPr>
          <w:rFonts w:ascii="Times New Roman" w:hAnsi="Times New Roman"/>
        </w:rPr>
      </w:pPr>
      <w:r w:rsidRPr="00591FAF">
        <w:rPr>
          <w:rFonts w:ascii="Times New Roman" w:hAnsi="Times New Roman"/>
        </w:rPr>
        <w:t>Assistant Attorney General</w:t>
      </w:r>
    </w:p>
    <w:p w:rsidR="003215A3" w:rsidRPr="00591FAF" w:rsidRDefault="003215A3" w:rsidP="006435F0">
      <w:pPr>
        <w:ind w:left="2160" w:firstLine="2880"/>
        <w:jc w:val="both"/>
        <w:rPr>
          <w:rFonts w:ascii="Times New Roman" w:hAnsi="Times New Roman"/>
        </w:rPr>
      </w:pPr>
      <w:r w:rsidRPr="00591FAF">
        <w:rPr>
          <w:rFonts w:ascii="Times New Roman" w:hAnsi="Times New Roman"/>
        </w:rPr>
        <w:t>Counsel for Washington Utilities and</w:t>
      </w:r>
    </w:p>
    <w:p w:rsidR="006911A3" w:rsidRPr="003215A3" w:rsidRDefault="003215A3" w:rsidP="006435F0">
      <w:pPr>
        <w:ind w:left="2880" w:firstLine="2160"/>
        <w:jc w:val="both"/>
        <w:rPr>
          <w:rFonts w:ascii="Times New Roman" w:hAnsi="Times New Roman"/>
        </w:rPr>
      </w:pPr>
      <w:r w:rsidRPr="00591FAF">
        <w:rPr>
          <w:rFonts w:ascii="Times New Roman" w:hAnsi="Times New Roman"/>
        </w:rPr>
        <w:t>Transportation Com</w:t>
      </w:r>
      <w:r w:rsidRPr="003215A3">
        <w:rPr>
          <w:rFonts w:ascii="Times New Roman" w:hAnsi="Times New Roman"/>
        </w:rPr>
        <w:t>mission Staff</w:t>
      </w:r>
    </w:p>
    <w:sectPr w:rsidR="006911A3" w:rsidRPr="003215A3" w:rsidSect="00F821BD">
      <w:footerReference w:type="default" r:id="rId9"/>
      <w:pgSz w:w="12240" w:h="15840"/>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089" w:rsidRDefault="00377089">
      <w:r>
        <w:separator/>
      </w:r>
    </w:p>
  </w:endnote>
  <w:endnote w:type="continuationSeparator" w:id="0">
    <w:p w:rsidR="00377089" w:rsidRDefault="00377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583" w:rsidRDefault="00072583">
    <w:pPr>
      <w:pStyle w:val="Footer"/>
      <w:rPr>
        <w:rFonts w:ascii="Times New Roman" w:hAnsi="Times New Roman"/>
        <w:sz w:val="20"/>
        <w:szCs w:val="20"/>
      </w:rPr>
    </w:pPr>
  </w:p>
  <w:p w:rsidR="00072583" w:rsidRPr="00F821BD" w:rsidRDefault="00591FAF">
    <w:pPr>
      <w:pStyle w:val="Footer"/>
      <w:rPr>
        <w:rFonts w:ascii="Times New Roman" w:hAnsi="Times New Roman"/>
        <w:sz w:val="20"/>
        <w:szCs w:val="20"/>
      </w:rPr>
    </w:pPr>
    <w:r>
      <w:rPr>
        <w:rFonts w:ascii="Times New Roman" w:hAnsi="Times New Roman"/>
        <w:sz w:val="20"/>
        <w:szCs w:val="20"/>
      </w:rPr>
      <w:t>STAFF IDENTIFICATION OF ISSUES FOR RESOLUTION</w:t>
    </w:r>
    <w:r w:rsidR="00072583">
      <w:rPr>
        <w:rFonts w:ascii="Times New Roman" w:hAnsi="Times New Roman"/>
        <w:sz w:val="20"/>
        <w:szCs w:val="20"/>
      </w:rPr>
      <w:t xml:space="preserve"> - </w:t>
    </w:r>
    <w:r w:rsidR="00A1527F" w:rsidRPr="007844A5">
      <w:rPr>
        <w:rStyle w:val="PageNumber"/>
        <w:rFonts w:ascii="Times New Roman" w:hAnsi="Times New Roman"/>
        <w:sz w:val="20"/>
        <w:szCs w:val="20"/>
      </w:rPr>
      <w:fldChar w:fldCharType="begin"/>
    </w:r>
    <w:r w:rsidR="00072583" w:rsidRPr="007844A5">
      <w:rPr>
        <w:rStyle w:val="PageNumber"/>
        <w:rFonts w:ascii="Times New Roman" w:hAnsi="Times New Roman"/>
        <w:sz w:val="20"/>
        <w:szCs w:val="20"/>
      </w:rPr>
      <w:instrText xml:space="preserve"> PAGE </w:instrText>
    </w:r>
    <w:r w:rsidR="00A1527F" w:rsidRPr="007844A5">
      <w:rPr>
        <w:rStyle w:val="PageNumber"/>
        <w:rFonts w:ascii="Times New Roman" w:hAnsi="Times New Roman"/>
        <w:sz w:val="20"/>
        <w:szCs w:val="20"/>
      </w:rPr>
      <w:fldChar w:fldCharType="separate"/>
    </w:r>
    <w:r w:rsidR="00474C70">
      <w:rPr>
        <w:rStyle w:val="PageNumber"/>
        <w:rFonts w:ascii="Times New Roman" w:hAnsi="Times New Roman"/>
        <w:noProof/>
        <w:sz w:val="20"/>
        <w:szCs w:val="20"/>
      </w:rPr>
      <w:t>1</w:t>
    </w:r>
    <w:r w:rsidR="00A1527F" w:rsidRPr="007844A5">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089" w:rsidRDefault="00377089">
      <w:r>
        <w:separator/>
      </w:r>
    </w:p>
  </w:footnote>
  <w:footnote w:type="continuationSeparator" w:id="0">
    <w:p w:rsidR="00377089" w:rsidRDefault="00377089">
      <w:r>
        <w:continuationSeparator/>
      </w:r>
    </w:p>
  </w:footnote>
  <w:footnote w:id="1">
    <w:p w:rsidR="00591FAF" w:rsidRPr="006A6C9E" w:rsidRDefault="00591FAF" w:rsidP="00591FAF">
      <w:pPr>
        <w:pStyle w:val="FootnoteText"/>
        <w:rPr>
          <w:rFonts w:cs="Times New Roman"/>
        </w:rPr>
      </w:pPr>
      <w:r w:rsidRPr="006A6C9E">
        <w:rPr>
          <w:rStyle w:val="FootnoteReference"/>
          <w:rFonts w:cs="Times New Roman"/>
        </w:rPr>
        <w:footnoteRef/>
      </w:r>
      <w:r w:rsidRPr="006A6C9E">
        <w:rPr>
          <w:rFonts w:cs="Times New Roman"/>
        </w:rPr>
        <w:t xml:space="preserve"> Staff has filed a motion to dismiss the brief adjudicative proceeding because this matter is not appropriate for a brief adjudication.  Should the Commission deny that motion, or should the Commission grant that motion and proceed to an adjudication, this submission will be useful to the Commission and the parties. </w:t>
      </w:r>
    </w:p>
  </w:footnote>
  <w:footnote w:id="2">
    <w:p w:rsidR="0093658F" w:rsidRDefault="0093658F">
      <w:pPr>
        <w:pStyle w:val="FootnoteText"/>
      </w:pPr>
      <w:r>
        <w:rPr>
          <w:rStyle w:val="FootnoteReference"/>
        </w:rPr>
        <w:footnoteRef/>
      </w:r>
      <w:r>
        <w:t xml:space="preserve"> RCW 80.80.040(1) refers to the “lower of” this 1,000 pound/MWh standard and “the average available greenhouse gas emissions output as determined under RCW 80.80.050.  However, by its terms, RCW 80.80.050 will not be implemented until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9723F"/>
    <w:multiLevelType w:val="hybridMultilevel"/>
    <w:tmpl w:val="FB9E8F82"/>
    <w:lvl w:ilvl="0" w:tplc="7F2658B8">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2581F"/>
    <w:multiLevelType w:val="hybridMultilevel"/>
    <w:tmpl w:val="023862A4"/>
    <w:lvl w:ilvl="0" w:tplc="772067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FD725A1"/>
    <w:multiLevelType w:val="hybridMultilevel"/>
    <w:tmpl w:val="BA1AE80E"/>
    <w:lvl w:ilvl="0" w:tplc="20301EB6">
      <w:start w:val="1"/>
      <w:numFmt w:val="decimal"/>
      <w:lvlText w:val="%1"/>
      <w:lvlJc w:val="left"/>
      <w:pPr>
        <w:tabs>
          <w:tab w:val="num" w:pos="720"/>
        </w:tabs>
        <w:ind w:left="720" w:hanging="144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8F0CCC"/>
    <w:multiLevelType w:val="hybridMultilevel"/>
    <w:tmpl w:val="02467078"/>
    <w:lvl w:ilvl="0" w:tplc="3BFA66FC">
      <w:start w:val="1"/>
      <w:numFmt w:val="decimal"/>
      <w:pStyle w:val="Style2"/>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
    <w:nsid w:val="40F07C60"/>
    <w:multiLevelType w:val="hybridMultilevel"/>
    <w:tmpl w:val="68EED976"/>
    <w:lvl w:ilvl="0" w:tplc="1D9C3BE8">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7"/>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32B"/>
    <w:rsid w:val="00062BEC"/>
    <w:rsid w:val="00072583"/>
    <w:rsid w:val="00074ED5"/>
    <w:rsid w:val="001401C8"/>
    <w:rsid w:val="00166AF4"/>
    <w:rsid w:val="00263FE9"/>
    <w:rsid w:val="00270586"/>
    <w:rsid w:val="002B29F9"/>
    <w:rsid w:val="002F5E53"/>
    <w:rsid w:val="003215A3"/>
    <w:rsid w:val="00377089"/>
    <w:rsid w:val="00472E5F"/>
    <w:rsid w:val="00474C70"/>
    <w:rsid w:val="00495E3B"/>
    <w:rsid w:val="00496AED"/>
    <w:rsid w:val="0056122C"/>
    <w:rsid w:val="00591FAF"/>
    <w:rsid w:val="005E7581"/>
    <w:rsid w:val="00610252"/>
    <w:rsid w:val="006435F0"/>
    <w:rsid w:val="00673940"/>
    <w:rsid w:val="006911A3"/>
    <w:rsid w:val="006B09F9"/>
    <w:rsid w:val="007844A5"/>
    <w:rsid w:val="0081615E"/>
    <w:rsid w:val="008904C5"/>
    <w:rsid w:val="009116EA"/>
    <w:rsid w:val="0093658F"/>
    <w:rsid w:val="0097063C"/>
    <w:rsid w:val="009773EF"/>
    <w:rsid w:val="00A11F1E"/>
    <w:rsid w:val="00A1527F"/>
    <w:rsid w:val="00A67601"/>
    <w:rsid w:val="00A8045C"/>
    <w:rsid w:val="00B35B32"/>
    <w:rsid w:val="00B528FE"/>
    <w:rsid w:val="00B53F24"/>
    <w:rsid w:val="00B5797C"/>
    <w:rsid w:val="00B73243"/>
    <w:rsid w:val="00B80C7E"/>
    <w:rsid w:val="00D8378C"/>
    <w:rsid w:val="00DE5C2A"/>
    <w:rsid w:val="00E22586"/>
    <w:rsid w:val="00E3232B"/>
    <w:rsid w:val="00E4232F"/>
    <w:rsid w:val="00EC313A"/>
    <w:rsid w:val="00F01B02"/>
    <w:rsid w:val="00F207B1"/>
    <w:rsid w:val="00F821BD"/>
    <w:rsid w:val="00F926FF"/>
    <w:rsid w:val="00F96CE5"/>
    <w:rsid w:val="00FA46C9"/>
    <w:rsid w:val="00FC0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27F"/>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A1527F"/>
    <w:pPr>
      <w:ind w:left="686"/>
    </w:pPr>
  </w:style>
  <w:style w:type="paragraph" w:styleId="Header">
    <w:name w:val="header"/>
    <w:basedOn w:val="Normal"/>
    <w:rsid w:val="00A1527F"/>
    <w:pPr>
      <w:tabs>
        <w:tab w:val="center" w:pos="4320"/>
        <w:tab w:val="right" w:pos="8640"/>
      </w:tabs>
    </w:pPr>
  </w:style>
  <w:style w:type="paragraph" w:customStyle="1" w:styleId="Style1">
    <w:name w:val="Style1"/>
    <w:basedOn w:val="Normal"/>
    <w:next w:val="Normal"/>
    <w:autoRedefine/>
    <w:rsid w:val="00A1527F"/>
    <w:pPr>
      <w:ind w:left="720" w:right="720"/>
    </w:pPr>
    <w:rPr>
      <w:bCs/>
    </w:rPr>
  </w:style>
  <w:style w:type="paragraph" w:customStyle="1" w:styleId="Style2">
    <w:name w:val="Style2"/>
    <w:basedOn w:val="List"/>
    <w:rsid w:val="00A1527F"/>
    <w:pPr>
      <w:numPr>
        <w:numId w:val="1"/>
      </w:numPr>
    </w:pPr>
  </w:style>
  <w:style w:type="paragraph" w:styleId="List">
    <w:name w:val="List"/>
    <w:basedOn w:val="Normal"/>
    <w:rsid w:val="00A1527F"/>
    <w:pPr>
      <w:ind w:left="360" w:hanging="360"/>
    </w:pPr>
  </w:style>
  <w:style w:type="paragraph" w:customStyle="1" w:styleId="Testimonyquote">
    <w:name w:val="Testimony quote"/>
    <w:basedOn w:val="Style1"/>
    <w:rsid w:val="00A1527F"/>
    <w:pPr>
      <w:ind w:left="1440" w:hanging="720"/>
    </w:pPr>
    <w:rPr>
      <w:bCs w:val="0"/>
      <w:sz w:val="26"/>
      <w:szCs w:val="20"/>
    </w:rPr>
  </w:style>
  <w:style w:type="paragraph" w:customStyle="1" w:styleId="Testimontquote2">
    <w:name w:val="Testimont quote 2"/>
    <w:basedOn w:val="Testimonyquote"/>
    <w:rsid w:val="00A1527F"/>
    <w:pPr>
      <w:ind w:firstLine="0"/>
    </w:pPr>
  </w:style>
  <w:style w:type="paragraph" w:customStyle="1" w:styleId="DoubleIndent">
    <w:name w:val="Double Indent"/>
    <w:basedOn w:val="Normal"/>
    <w:rsid w:val="00A1527F"/>
    <w:pPr>
      <w:ind w:left="720" w:right="720"/>
    </w:pPr>
    <w:rPr>
      <w:color w:val="000000"/>
      <w:szCs w:val="20"/>
    </w:rPr>
  </w:style>
  <w:style w:type="paragraph" w:styleId="Footer">
    <w:name w:val="footer"/>
    <w:basedOn w:val="Normal"/>
    <w:rsid w:val="00A1527F"/>
    <w:pPr>
      <w:tabs>
        <w:tab w:val="center" w:pos="4320"/>
        <w:tab w:val="right" w:pos="8640"/>
      </w:tabs>
    </w:pPr>
  </w:style>
  <w:style w:type="paragraph" w:styleId="BodyTextIndent">
    <w:name w:val="Body Text Indent"/>
    <w:basedOn w:val="Normal"/>
    <w:rsid w:val="00A1527F"/>
    <w:pPr>
      <w:widowControl w:val="0"/>
      <w:tabs>
        <w:tab w:val="left" w:pos="-1440"/>
      </w:tabs>
      <w:autoSpaceDE w:val="0"/>
      <w:autoSpaceDN w:val="0"/>
      <w:adjustRightInd w:val="0"/>
      <w:ind w:left="1440" w:hanging="1440"/>
      <w:jc w:val="both"/>
    </w:pPr>
    <w:rPr>
      <w:rFonts w:ascii="CG Times" w:hAnsi="CG Times"/>
    </w:rPr>
  </w:style>
  <w:style w:type="character" w:styleId="PageNumber">
    <w:name w:val="page number"/>
    <w:basedOn w:val="DefaultParagraphFont"/>
    <w:rsid w:val="007844A5"/>
  </w:style>
  <w:style w:type="character" w:styleId="Hyperlink">
    <w:name w:val="Hyperlink"/>
    <w:rsid w:val="003215A3"/>
    <w:rPr>
      <w:color w:val="0000FF"/>
      <w:u w:val="single"/>
    </w:rPr>
  </w:style>
  <w:style w:type="character" w:customStyle="1" w:styleId="BodyTextIndent2Char">
    <w:name w:val="Body Text Indent 2 Char"/>
    <w:link w:val="BodyTextIndent2"/>
    <w:rsid w:val="003215A3"/>
    <w:rPr>
      <w:rFonts w:ascii="Palatino Linotype" w:hAnsi="Palatino Linotype"/>
      <w:sz w:val="24"/>
      <w:szCs w:val="24"/>
    </w:rPr>
  </w:style>
  <w:style w:type="paragraph" w:styleId="ListParagraph">
    <w:name w:val="List Paragraph"/>
    <w:basedOn w:val="Normal"/>
    <w:uiPriority w:val="34"/>
    <w:qFormat/>
    <w:rsid w:val="00B35B32"/>
    <w:pPr>
      <w:ind w:left="720"/>
    </w:pPr>
    <w:rPr>
      <w:rFonts w:ascii="Calibri" w:eastAsia="Calibri" w:hAnsi="Calibri" w:cs="Calibri"/>
      <w:sz w:val="22"/>
      <w:szCs w:val="22"/>
    </w:rPr>
  </w:style>
  <w:style w:type="paragraph" w:styleId="FootnoteText">
    <w:name w:val="footnote text"/>
    <w:basedOn w:val="Normal"/>
    <w:link w:val="FootnoteTextChar"/>
    <w:uiPriority w:val="99"/>
    <w:unhideWhenUsed/>
    <w:rsid w:val="00B35B32"/>
    <w:rPr>
      <w:rFonts w:ascii="Times New Roman" w:eastAsia="Calibri" w:hAnsi="Times New Roman" w:cs="Calibri"/>
      <w:sz w:val="20"/>
      <w:szCs w:val="20"/>
    </w:rPr>
  </w:style>
  <w:style w:type="character" w:customStyle="1" w:styleId="FootnoteTextChar">
    <w:name w:val="Footnote Text Char"/>
    <w:basedOn w:val="DefaultParagraphFont"/>
    <w:link w:val="FootnoteText"/>
    <w:uiPriority w:val="99"/>
    <w:rsid w:val="00B35B32"/>
    <w:rPr>
      <w:rFonts w:eastAsia="Calibri" w:cs="Calibri"/>
    </w:rPr>
  </w:style>
  <w:style w:type="character" w:styleId="FootnoteReference">
    <w:name w:val="footnote reference"/>
    <w:uiPriority w:val="99"/>
    <w:unhideWhenUsed/>
    <w:rsid w:val="00B35B32"/>
    <w:rPr>
      <w:vertAlign w:val="superscript"/>
    </w:rPr>
  </w:style>
  <w:style w:type="paragraph" w:styleId="BalloonText">
    <w:name w:val="Balloon Text"/>
    <w:basedOn w:val="Normal"/>
    <w:link w:val="BalloonTextChar"/>
    <w:rsid w:val="00166AF4"/>
    <w:rPr>
      <w:rFonts w:ascii="Tahoma" w:hAnsi="Tahoma" w:cs="Tahoma"/>
      <w:sz w:val="16"/>
      <w:szCs w:val="16"/>
    </w:rPr>
  </w:style>
  <w:style w:type="character" w:customStyle="1" w:styleId="BalloonTextChar">
    <w:name w:val="Balloon Text Char"/>
    <w:basedOn w:val="DefaultParagraphFont"/>
    <w:link w:val="BalloonText"/>
    <w:rsid w:val="00166A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27F"/>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A1527F"/>
    <w:pPr>
      <w:ind w:left="686"/>
    </w:pPr>
  </w:style>
  <w:style w:type="paragraph" w:styleId="Header">
    <w:name w:val="header"/>
    <w:basedOn w:val="Normal"/>
    <w:rsid w:val="00A1527F"/>
    <w:pPr>
      <w:tabs>
        <w:tab w:val="center" w:pos="4320"/>
        <w:tab w:val="right" w:pos="8640"/>
      </w:tabs>
    </w:pPr>
  </w:style>
  <w:style w:type="paragraph" w:customStyle="1" w:styleId="Style1">
    <w:name w:val="Style1"/>
    <w:basedOn w:val="Normal"/>
    <w:next w:val="Normal"/>
    <w:autoRedefine/>
    <w:rsid w:val="00A1527F"/>
    <w:pPr>
      <w:ind w:left="720" w:right="720"/>
    </w:pPr>
    <w:rPr>
      <w:bCs/>
    </w:rPr>
  </w:style>
  <w:style w:type="paragraph" w:customStyle="1" w:styleId="Style2">
    <w:name w:val="Style2"/>
    <w:basedOn w:val="List"/>
    <w:rsid w:val="00A1527F"/>
    <w:pPr>
      <w:numPr>
        <w:numId w:val="1"/>
      </w:numPr>
    </w:pPr>
  </w:style>
  <w:style w:type="paragraph" w:styleId="List">
    <w:name w:val="List"/>
    <w:basedOn w:val="Normal"/>
    <w:rsid w:val="00A1527F"/>
    <w:pPr>
      <w:ind w:left="360" w:hanging="360"/>
    </w:pPr>
  </w:style>
  <w:style w:type="paragraph" w:customStyle="1" w:styleId="Testimonyquote">
    <w:name w:val="Testimony quote"/>
    <w:basedOn w:val="Style1"/>
    <w:rsid w:val="00A1527F"/>
    <w:pPr>
      <w:ind w:left="1440" w:hanging="720"/>
    </w:pPr>
    <w:rPr>
      <w:bCs w:val="0"/>
      <w:sz w:val="26"/>
      <w:szCs w:val="20"/>
    </w:rPr>
  </w:style>
  <w:style w:type="paragraph" w:customStyle="1" w:styleId="Testimontquote2">
    <w:name w:val="Testimont quote 2"/>
    <w:basedOn w:val="Testimonyquote"/>
    <w:rsid w:val="00A1527F"/>
    <w:pPr>
      <w:ind w:firstLine="0"/>
    </w:pPr>
  </w:style>
  <w:style w:type="paragraph" w:customStyle="1" w:styleId="DoubleIndent">
    <w:name w:val="Double Indent"/>
    <w:basedOn w:val="Normal"/>
    <w:rsid w:val="00A1527F"/>
    <w:pPr>
      <w:ind w:left="720" w:right="720"/>
    </w:pPr>
    <w:rPr>
      <w:color w:val="000000"/>
      <w:szCs w:val="20"/>
    </w:rPr>
  </w:style>
  <w:style w:type="paragraph" w:styleId="Footer">
    <w:name w:val="footer"/>
    <w:basedOn w:val="Normal"/>
    <w:rsid w:val="00A1527F"/>
    <w:pPr>
      <w:tabs>
        <w:tab w:val="center" w:pos="4320"/>
        <w:tab w:val="right" w:pos="8640"/>
      </w:tabs>
    </w:pPr>
  </w:style>
  <w:style w:type="paragraph" w:styleId="BodyTextIndent">
    <w:name w:val="Body Text Indent"/>
    <w:basedOn w:val="Normal"/>
    <w:rsid w:val="00A1527F"/>
    <w:pPr>
      <w:widowControl w:val="0"/>
      <w:tabs>
        <w:tab w:val="left" w:pos="-1440"/>
      </w:tabs>
      <w:autoSpaceDE w:val="0"/>
      <w:autoSpaceDN w:val="0"/>
      <w:adjustRightInd w:val="0"/>
      <w:ind w:left="1440" w:hanging="1440"/>
      <w:jc w:val="both"/>
    </w:pPr>
    <w:rPr>
      <w:rFonts w:ascii="CG Times" w:hAnsi="CG Times"/>
    </w:rPr>
  </w:style>
  <w:style w:type="character" w:styleId="PageNumber">
    <w:name w:val="page number"/>
    <w:basedOn w:val="DefaultParagraphFont"/>
    <w:rsid w:val="007844A5"/>
  </w:style>
  <w:style w:type="character" w:styleId="Hyperlink">
    <w:name w:val="Hyperlink"/>
    <w:rsid w:val="003215A3"/>
    <w:rPr>
      <w:color w:val="0000FF"/>
      <w:u w:val="single"/>
    </w:rPr>
  </w:style>
  <w:style w:type="character" w:customStyle="1" w:styleId="BodyTextIndent2Char">
    <w:name w:val="Body Text Indent 2 Char"/>
    <w:link w:val="BodyTextIndent2"/>
    <w:rsid w:val="003215A3"/>
    <w:rPr>
      <w:rFonts w:ascii="Palatino Linotype" w:hAnsi="Palatino Linotype"/>
      <w:sz w:val="24"/>
      <w:szCs w:val="24"/>
    </w:rPr>
  </w:style>
  <w:style w:type="paragraph" w:styleId="ListParagraph">
    <w:name w:val="List Paragraph"/>
    <w:basedOn w:val="Normal"/>
    <w:uiPriority w:val="34"/>
    <w:qFormat/>
    <w:rsid w:val="00B35B32"/>
    <w:pPr>
      <w:ind w:left="720"/>
    </w:pPr>
    <w:rPr>
      <w:rFonts w:ascii="Calibri" w:eastAsia="Calibri" w:hAnsi="Calibri" w:cs="Calibri"/>
      <w:sz w:val="22"/>
      <w:szCs w:val="22"/>
    </w:rPr>
  </w:style>
  <w:style w:type="paragraph" w:styleId="FootnoteText">
    <w:name w:val="footnote text"/>
    <w:basedOn w:val="Normal"/>
    <w:link w:val="FootnoteTextChar"/>
    <w:uiPriority w:val="99"/>
    <w:unhideWhenUsed/>
    <w:rsid w:val="00B35B32"/>
    <w:rPr>
      <w:rFonts w:ascii="Times New Roman" w:eastAsia="Calibri" w:hAnsi="Times New Roman" w:cs="Calibri"/>
      <w:sz w:val="20"/>
      <w:szCs w:val="20"/>
    </w:rPr>
  </w:style>
  <w:style w:type="character" w:customStyle="1" w:styleId="FootnoteTextChar">
    <w:name w:val="Footnote Text Char"/>
    <w:basedOn w:val="DefaultParagraphFont"/>
    <w:link w:val="FootnoteText"/>
    <w:uiPriority w:val="99"/>
    <w:rsid w:val="00B35B32"/>
    <w:rPr>
      <w:rFonts w:eastAsia="Calibri" w:cs="Calibri"/>
    </w:rPr>
  </w:style>
  <w:style w:type="character" w:styleId="FootnoteReference">
    <w:name w:val="footnote reference"/>
    <w:uiPriority w:val="99"/>
    <w:unhideWhenUsed/>
    <w:rsid w:val="00B35B32"/>
    <w:rPr>
      <w:vertAlign w:val="superscript"/>
    </w:rPr>
  </w:style>
  <w:style w:type="paragraph" w:styleId="BalloonText">
    <w:name w:val="Balloon Text"/>
    <w:basedOn w:val="Normal"/>
    <w:link w:val="BalloonTextChar"/>
    <w:rsid w:val="00166AF4"/>
    <w:rPr>
      <w:rFonts w:ascii="Tahoma" w:hAnsi="Tahoma" w:cs="Tahoma"/>
      <w:sz w:val="16"/>
      <w:szCs w:val="16"/>
    </w:rPr>
  </w:style>
  <w:style w:type="character" w:customStyle="1" w:styleId="BalloonTextChar">
    <w:name w:val="Balloon Text Char"/>
    <w:basedOn w:val="DefaultParagraphFont"/>
    <w:link w:val="BalloonText"/>
    <w:rsid w:val="00166A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2012-10-02T07:00:00+00:00</OpenedDate>
    <Date1 xmlns="dc463f71-b30c-4ab2-9473-d307f9d35888">2012-10-11T07:00:00+00:00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121594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0744761AB3F444EB6EA30EF4D65D3CE" ma:contentTypeVersion="139" ma:contentTypeDescription="" ma:contentTypeScope="" ma:versionID="583543bac3b46633c1f21fc58bae52a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88AD2B-9B89-4E92-B23F-97FD9C770079}"/>
</file>

<file path=customXml/itemProps2.xml><?xml version="1.0" encoding="utf-8"?>
<ds:datastoreItem xmlns:ds="http://schemas.openxmlformats.org/officeDocument/2006/customXml" ds:itemID="{5B4A17DE-2800-48B5-B12A-A78B380CD0EB}"/>
</file>

<file path=customXml/itemProps3.xml><?xml version="1.0" encoding="utf-8"?>
<ds:datastoreItem xmlns:ds="http://schemas.openxmlformats.org/officeDocument/2006/customXml" ds:itemID="{978B3B7A-BF06-4A2D-BBA0-89876FDA56C8}"/>
</file>

<file path=customXml/itemProps4.xml><?xml version="1.0" encoding="utf-8"?>
<ds:datastoreItem xmlns:ds="http://schemas.openxmlformats.org/officeDocument/2006/customXml" ds:itemID="{DEFD0FF8-85EC-4CD7-9B33-1E4EAA10D92C}"/>
</file>

<file path=customXml/itemProps5.xml><?xml version="1.0" encoding="utf-8"?>
<ds:datastoreItem xmlns:ds="http://schemas.openxmlformats.org/officeDocument/2006/customXml" ds:itemID="{64F67315-F6EC-4422-A725-0704559DE3A5}"/>
</file>

<file path=docProps/app.xml><?xml version="1.0" encoding="utf-8"?>
<Properties xmlns="http://schemas.openxmlformats.org/officeDocument/2006/extended-properties" xmlns:vt="http://schemas.openxmlformats.org/officeDocument/2006/docPropsVTypes">
  <Template>Normal.dotm</Template>
  <TotalTime>2</TotalTime>
  <Pages>4</Pages>
  <Words>741</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4938</CharactersWithSpaces>
  <SharedDoc>false</SharedDoc>
  <HLinks>
    <vt:vector size="6" baseType="variant">
      <vt:variant>
        <vt:i4>6815830</vt:i4>
      </vt:variant>
      <vt:variant>
        <vt:i4>0</vt:i4>
      </vt:variant>
      <vt:variant>
        <vt:i4>0</vt:i4>
      </vt:variant>
      <vt:variant>
        <vt:i4>5</vt:i4>
      </vt:variant>
      <vt:variant>
        <vt:lpwstr>mailto:*****@utc.wa.gov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creator>SSmith</dc:creator>
  <cp:lastModifiedBy>Krista Gross</cp:lastModifiedBy>
  <cp:revision>4</cp:revision>
  <cp:lastPrinted>2011-11-03T22:03:00Z</cp:lastPrinted>
  <dcterms:created xsi:type="dcterms:W3CDTF">2012-10-11T23:20:00Z</dcterms:created>
  <dcterms:modified xsi:type="dcterms:W3CDTF">2012-10-11T23:22:00Z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0x0101006E56B4D1795A2E4DB2F0B01679ED314A0030744761AB3F444EB6EA30EF4D65D3CE</vt:lpwstr>
  </property>
  <property fmtid="{D5CDD505-2E9C-101B-9397-08002B2CF9AE}" pid="3" name="_docset_NoMedatataSyncRequired">
    <vt:lpwstr>False</vt:lpwstr>
  </property>
</Properties>
</file>