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D68C" w14:textId="77777777" w:rsidR="005E7FC0" w:rsidRPr="001572BC" w:rsidRDefault="005E7FC0" w:rsidP="005E7FC0">
      <w:pPr>
        <w:jc w:val="center"/>
        <w:rPr>
          <w:b/>
          <w:sz w:val="32"/>
          <w:szCs w:val="32"/>
        </w:rPr>
      </w:pPr>
      <w:bookmarkStart w:id="0" w:name="_GoBack"/>
      <w:bookmarkEnd w:id="0"/>
      <w:r w:rsidRPr="001572BC">
        <w:rPr>
          <w:b/>
          <w:sz w:val="32"/>
          <w:szCs w:val="32"/>
        </w:rPr>
        <w:t>ATTACHMENT A</w:t>
      </w:r>
    </w:p>
    <w:p w14:paraId="74BCD68D" w14:textId="77777777" w:rsidR="005E7FC0" w:rsidRDefault="005E7FC0" w:rsidP="005E7FC0">
      <w:pPr>
        <w:rPr>
          <w:b/>
        </w:rPr>
      </w:pPr>
    </w:p>
    <w:p w14:paraId="74BCD68E" w14:textId="77777777" w:rsidR="001572BC" w:rsidRDefault="001572BC" w:rsidP="005E7FC0">
      <w:pPr>
        <w:rPr>
          <w:b/>
        </w:rPr>
      </w:pPr>
    </w:p>
    <w:p w14:paraId="74BCD68F" w14:textId="77777777" w:rsidR="005E7FC0" w:rsidRDefault="005E7FC0" w:rsidP="005E7FC0">
      <w:pPr>
        <w:rPr>
          <w:b/>
        </w:rPr>
      </w:pPr>
      <w:r>
        <w:rPr>
          <w:b/>
        </w:rPr>
        <w:t>WAC 480-120-083</w:t>
      </w:r>
    </w:p>
    <w:p w14:paraId="74BCD690" w14:textId="77777777" w:rsidR="005E7FC0" w:rsidRDefault="005E7FC0" w:rsidP="005E7FC0">
      <w:pPr>
        <w:pStyle w:val="plain"/>
        <w:rPr>
          <w:rFonts w:ascii="Arial" w:hAnsi="Arial" w:cs="Arial"/>
          <w:sz w:val="18"/>
          <w:szCs w:val="18"/>
        </w:rPr>
      </w:pPr>
    </w:p>
    <w:p w14:paraId="74BCD691" w14:textId="77777777" w:rsidR="005E7FC0" w:rsidRDefault="005E7FC0" w:rsidP="005E7FC0">
      <w:pPr>
        <w:pStyle w:val="plain"/>
        <w:rPr>
          <w:rFonts w:cs="Arial"/>
          <w:b/>
        </w:rPr>
      </w:pPr>
      <w:r w:rsidRPr="00C41A6C">
        <w:rPr>
          <w:rFonts w:cs="Arial"/>
          <w:b/>
        </w:rPr>
        <w:t xml:space="preserve">Cessation of </w:t>
      </w:r>
      <w:r w:rsidR="001572BC">
        <w:rPr>
          <w:rFonts w:cs="Arial"/>
          <w:b/>
        </w:rPr>
        <w:t>T</w:t>
      </w:r>
      <w:r w:rsidRPr="00C41A6C">
        <w:rPr>
          <w:rFonts w:cs="Arial"/>
          <w:b/>
        </w:rPr>
        <w:t xml:space="preserve">elecommunications </w:t>
      </w:r>
      <w:r w:rsidR="001572BC">
        <w:rPr>
          <w:rFonts w:cs="Arial"/>
          <w:b/>
        </w:rPr>
        <w:t>S</w:t>
      </w:r>
      <w:r w:rsidRPr="00C41A6C">
        <w:rPr>
          <w:rFonts w:cs="Arial"/>
          <w:b/>
        </w:rPr>
        <w:t>ervices.</w:t>
      </w:r>
    </w:p>
    <w:p w14:paraId="74BCD692" w14:textId="77777777" w:rsidR="005E7FC0" w:rsidRPr="00DD4D47" w:rsidRDefault="005E7FC0" w:rsidP="005E7FC0">
      <w:pPr>
        <w:pStyle w:val="plain"/>
        <w:rPr>
          <w:b/>
          <w:szCs w:val="24"/>
        </w:rPr>
      </w:pPr>
    </w:p>
    <w:p w14:paraId="74BCD693" w14:textId="77777777"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14:paraId="74BCD694" w14:textId="77777777" w:rsidR="00DD4D47" w:rsidRDefault="00DD4D47" w:rsidP="00DD4D47">
      <w:pPr>
        <w:pStyle w:val="plain"/>
        <w:rPr>
          <w:szCs w:val="24"/>
        </w:rPr>
      </w:pPr>
    </w:p>
    <w:p w14:paraId="74BCD695" w14:textId="77777777"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10" w:history="1">
        <w:r w:rsidR="005E7FC0" w:rsidRPr="00DD4D47">
          <w:rPr>
            <w:rStyle w:val="Hyperlink"/>
            <w:szCs w:val="24"/>
          </w:rPr>
          <w:t>80.36.110</w:t>
        </w:r>
      </w:hyperlink>
      <w:r w:rsidR="005E7FC0" w:rsidRPr="00DD4D47">
        <w:rPr>
          <w:szCs w:val="24"/>
        </w:rPr>
        <w:t xml:space="preserve"> (Tariff Changes – Statutory Notice – Exception);</w:t>
      </w:r>
    </w:p>
    <w:p w14:paraId="74BCD696" w14:textId="77777777" w:rsidR="00DD4D47" w:rsidRDefault="00DD4D47" w:rsidP="00C2145C">
      <w:pPr>
        <w:pStyle w:val="plain"/>
        <w:ind w:left="720" w:hanging="720"/>
        <w:rPr>
          <w:szCs w:val="24"/>
        </w:rPr>
      </w:pPr>
    </w:p>
    <w:p w14:paraId="74BCD697" w14:textId="77777777"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11" w:history="1">
        <w:r w:rsidR="005E7FC0" w:rsidRPr="00DD4D47">
          <w:rPr>
            <w:rStyle w:val="Hyperlink"/>
            <w:szCs w:val="24"/>
          </w:rPr>
          <w:t>480-120-172</w:t>
        </w:r>
      </w:hyperlink>
      <w:r w:rsidR="005E7FC0" w:rsidRPr="00DD4D47">
        <w:rPr>
          <w:szCs w:val="24"/>
        </w:rPr>
        <w:t xml:space="preserve"> (Discontinuing service -- Company initiated); </w:t>
      </w:r>
    </w:p>
    <w:p w14:paraId="74BCD698" w14:textId="77777777" w:rsidR="00DD4D47" w:rsidRDefault="00DD4D47" w:rsidP="00C2145C">
      <w:pPr>
        <w:pStyle w:val="plain"/>
        <w:ind w:left="720" w:hanging="720"/>
        <w:rPr>
          <w:szCs w:val="24"/>
        </w:rPr>
      </w:pPr>
    </w:p>
    <w:p w14:paraId="74BCD699" w14:textId="77777777"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14:paraId="74BCD69A" w14:textId="77777777" w:rsidR="00DD4D47" w:rsidRDefault="00DD4D47" w:rsidP="00C2145C">
      <w:pPr>
        <w:pStyle w:val="plain"/>
        <w:ind w:left="720" w:hanging="720"/>
        <w:rPr>
          <w:szCs w:val="24"/>
        </w:rPr>
      </w:pPr>
    </w:p>
    <w:p w14:paraId="74BCD69B" w14:textId="77777777"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14:paraId="74BCD69C" w14:textId="77777777" w:rsidR="00DD4D47" w:rsidRDefault="00DD4D47" w:rsidP="00DD4D47">
      <w:pPr>
        <w:pStyle w:val="plain"/>
        <w:rPr>
          <w:szCs w:val="24"/>
        </w:rPr>
      </w:pPr>
    </w:p>
    <w:p w14:paraId="74BCD69D" w14:textId="77777777"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12" w:history="1">
        <w:r w:rsidRPr="00DD4D47">
          <w:rPr>
            <w:rStyle w:val="Hyperlink"/>
            <w:szCs w:val="24"/>
          </w:rPr>
          <w:t>480-120-147</w:t>
        </w:r>
      </w:hyperlink>
      <w:r w:rsidRPr="00DD4D47">
        <w:rPr>
          <w:szCs w:val="24"/>
        </w:rPr>
        <w:t xml:space="preserve"> (Changes in local exchange and intrastate toll services).</w:t>
      </w:r>
    </w:p>
    <w:p w14:paraId="74BCD69E" w14:textId="77777777" w:rsidR="00DD4D47" w:rsidRDefault="00DD4D47" w:rsidP="00DD4D47">
      <w:pPr>
        <w:pStyle w:val="plain"/>
        <w:rPr>
          <w:szCs w:val="24"/>
        </w:rPr>
      </w:pPr>
    </w:p>
    <w:p w14:paraId="74BCD69F" w14:textId="77777777"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14:paraId="74BCD6A0" w14:textId="77777777" w:rsidR="00DD4D47" w:rsidRDefault="00DD4D47" w:rsidP="00DD4D47">
      <w:pPr>
        <w:pStyle w:val="plain"/>
        <w:rPr>
          <w:szCs w:val="24"/>
        </w:rPr>
      </w:pPr>
    </w:p>
    <w:p w14:paraId="74BCD6A1" w14:textId="77777777" w:rsidR="00DD4D47" w:rsidRDefault="00DD4D47" w:rsidP="00DD4D47">
      <w:pPr>
        <w:pStyle w:val="plain"/>
        <w:rPr>
          <w:szCs w:val="24"/>
        </w:rPr>
      </w:pPr>
      <w:r>
        <w:rPr>
          <w:szCs w:val="24"/>
        </w:rPr>
        <w:tab/>
        <w:t>(a)</w:t>
      </w:r>
      <w:r>
        <w:rPr>
          <w:szCs w:val="24"/>
        </w:rPr>
        <w:tab/>
      </w:r>
      <w:r w:rsidR="005E7FC0" w:rsidRPr="00DD4D47">
        <w:rPr>
          <w:szCs w:val="24"/>
        </w:rPr>
        <w:t>The commission;</w:t>
      </w:r>
    </w:p>
    <w:p w14:paraId="74BCD6A2" w14:textId="77777777" w:rsidR="00DD4D47" w:rsidRDefault="00DD4D47" w:rsidP="00DD4D47">
      <w:pPr>
        <w:pStyle w:val="plain"/>
        <w:rPr>
          <w:szCs w:val="24"/>
        </w:rPr>
      </w:pPr>
    </w:p>
    <w:p w14:paraId="74BCD6A3" w14:textId="77777777"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14:paraId="74BCD6A4" w14:textId="77777777" w:rsidR="00DD4D47" w:rsidRDefault="00DD4D47" w:rsidP="00C2145C">
      <w:pPr>
        <w:pStyle w:val="plain"/>
        <w:ind w:left="720" w:hanging="720"/>
        <w:rPr>
          <w:szCs w:val="24"/>
        </w:rPr>
      </w:pPr>
    </w:p>
    <w:p w14:paraId="74BCD6A5" w14:textId="77777777"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14:paraId="74BCD6A6" w14:textId="77777777" w:rsidR="00DD4D47" w:rsidRDefault="00DD4D47" w:rsidP="00C2145C">
      <w:pPr>
        <w:pStyle w:val="plain"/>
        <w:ind w:left="720" w:hanging="720"/>
        <w:rPr>
          <w:szCs w:val="24"/>
        </w:rPr>
      </w:pPr>
    </w:p>
    <w:p w14:paraId="74BCD6A7" w14:textId="77777777"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w:t>
      </w:r>
      <w:r w:rsidR="005E7FC0" w:rsidRPr="00DD4D47">
        <w:rPr>
          <w:szCs w:val="24"/>
        </w:rPr>
        <w:lastRenderedPageBreak/>
        <w:t xml:space="preserve">Telecommunications Act of 1996, 47 U.S.C. Section 151 </w:t>
      </w:r>
      <w:r w:rsidR="005E7FC0" w:rsidRPr="00DD4D47">
        <w:rPr>
          <w:rStyle w:val="Emphasis"/>
          <w:szCs w:val="24"/>
        </w:rPr>
        <w:t>et seq</w:t>
      </w:r>
      <w:r w:rsidR="005E7FC0" w:rsidRPr="00DD4D47">
        <w:rPr>
          <w:szCs w:val="24"/>
        </w:rPr>
        <w:t>., if UNEs or combinations of UNEs are part of a telecommunications service provided to some or all of the exiting telecommunications company's customers;</w:t>
      </w:r>
    </w:p>
    <w:p w14:paraId="74BCD6A8" w14:textId="77777777" w:rsidR="00DD4D47" w:rsidRDefault="00DD4D47" w:rsidP="00C2145C">
      <w:pPr>
        <w:pStyle w:val="plain"/>
        <w:ind w:left="720" w:hanging="720"/>
        <w:rPr>
          <w:szCs w:val="24"/>
        </w:rPr>
      </w:pPr>
    </w:p>
    <w:p w14:paraId="74BCD6A9" w14:textId="77777777"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14:paraId="74BCD6AA" w14:textId="77777777" w:rsidR="00DD4D47" w:rsidRDefault="00DD4D47" w:rsidP="00C2145C">
      <w:pPr>
        <w:pStyle w:val="plain"/>
        <w:ind w:left="720" w:hanging="720"/>
        <w:rPr>
          <w:szCs w:val="24"/>
        </w:rPr>
      </w:pPr>
    </w:p>
    <w:p w14:paraId="74BCD6AB" w14:textId="77777777"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14:paraId="74BCD6AC" w14:textId="77777777" w:rsidR="00C2145C" w:rsidRDefault="00C2145C" w:rsidP="00DD4D47">
      <w:pPr>
        <w:pStyle w:val="plain"/>
        <w:rPr>
          <w:szCs w:val="24"/>
        </w:rPr>
      </w:pPr>
    </w:p>
    <w:p w14:paraId="74BCD6AD" w14:textId="77777777" w:rsidR="00C2145C" w:rsidRDefault="001572BC" w:rsidP="00DD4D47">
      <w:pPr>
        <w:pStyle w:val="plain"/>
        <w:rPr>
          <w:szCs w:val="24"/>
        </w:rPr>
      </w:pPr>
      <w:r>
        <w:rPr>
          <w:szCs w:val="24"/>
        </w:rPr>
        <w:t>(3)</w:t>
      </w:r>
      <w:r>
        <w:rPr>
          <w:szCs w:val="24"/>
        </w:rPr>
        <w:tab/>
      </w:r>
      <w:r w:rsidR="005E7FC0" w:rsidRPr="00DD4D47">
        <w:rPr>
          <w:szCs w:val="24"/>
        </w:rPr>
        <w:t xml:space="preserve">The notice to the commission and the state 911 program required in subsections (2)(a) and (b) must include: </w:t>
      </w:r>
    </w:p>
    <w:p w14:paraId="74BCD6AE" w14:textId="77777777" w:rsidR="00C2145C" w:rsidRDefault="00C2145C" w:rsidP="00DD4D47">
      <w:pPr>
        <w:pStyle w:val="plain"/>
        <w:rPr>
          <w:szCs w:val="24"/>
        </w:rPr>
      </w:pPr>
    </w:p>
    <w:p w14:paraId="74BCD6AF" w14:textId="77777777"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14:paraId="74BCD6B0" w14:textId="77777777" w:rsidR="00C2145C" w:rsidRDefault="00C2145C" w:rsidP="00DD4D47">
      <w:pPr>
        <w:pStyle w:val="plain"/>
        <w:rPr>
          <w:szCs w:val="24"/>
        </w:rPr>
      </w:pPr>
    </w:p>
    <w:p w14:paraId="74BCD6B1" w14:textId="77777777"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14:paraId="74BCD6B2" w14:textId="77777777" w:rsidR="00C2145C" w:rsidRDefault="00C2145C" w:rsidP="00C2145C">
      <w:pPr>
        <w:pStyle w:val="plain"/>
        <w:ind w:left="720" w:hanging="720"/>
        <w:rPr>
          <w:szCs w:val="24"/>
        </w:rPr>
      </w:pPr>
    </w:p>
    <w:p w14:paraId="74BCD6B3" w14:textId="77777777"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14:paraId="74BCD6B4" w14:textId="77777777" w:rsidR="00C2145C" w:rsidRDefault="00C2145C" w:rsidP="00DD4D47">
      <w:pPr>
        <w:pStyle w:val="plain"/>
        <w:rPr>
          <w:szCs w:val="24"/>
        </w:rPr>
      </w:pPr>
    </w:p>
    <w:p w14:paraId="74BCD6B5" w14:textId="77777777"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(2)(c) must include:</w:t>
      </w:r>
    </w:p>
    <w:p w14:paraId="74BCD6B6" w14:textId="77777777" w:rsidR="00C2145C" w:rsidRDefault="00C2145C" w:rsidP="00DD4D47">
      <w:pPr>
        <w:pStyle w:val="plain"/>
        <w:rPr>
          <w:szCs w:val="24"/>
        </w:rPr>
      </w:pPr>
    </w:p>
    <w:p w14:paraId="74BCD6B7" w14:textId="77777777"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14:paraId="74BCD6B8" w14:textId="77777777" w:rsidR="00C2145C" w:rsidRDefault="00C2145C" w:rsidP="00DD4D47">
      <w:pPr>
        <w:pStyle w:val="plain"/>
        <w:rPr>
          <w:szCs w:val="24"/>
        </w:rPr>
      </w:pPr>
    </w:p>
    <w:p w14:paraId="74BCD6B9" w14:textId="77777777"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14:paraId="74BCD6BA" w14:textId="77777777" w:rsidR="00C2145C" w:rsidRDefault="00C2145C" w:rsidP="00C2145C">
      <w:pPr>
        <w:pStyle w:val="plain"/>
        <w:ind w:left="720" w:hanging="720"/>
        <w:rPr>
          <w:szCs w:val="24"/>
        </w:rPr>
      </w:pPr>
    </w:p>
    <w:p w14:paraId="74BCD6BB" w14:textId="77777777"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14:paraId="74BCD6BC" w14:textId="77777777" w:rsidR="00C2145C" w:rsidRDefault="00C2145C" w:rsidP="00DD4D47">
      <w:pPr>
        <w:pStyle w:val="plain"/>
        <w:rPr>
          <w:szCs w:val="24"/>
        </w:rPr>
      </w:pPr>
    </w:p>
    <w:p w14:paraId="74BCD6BD" w14:textId="77777777"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14:paraId="74BCD6BE" w14:textId="77777777" w:rsidR="00C2145C" w:rsidRDefault="00C2145C" w:rsidP="00DD4D47">
      <w:pPr>
        <w:pStyle w:val="plain"/>
        <w:rPr>
          <w:szCs w:val="24"/>
        </w:rPr>
      </w:pPr>
    </w:p>
    <w:p w14:paraId="74BCD6BF" w14:textId="77777777" w:rsidR="00C2145C" w:rsidRDefault="00C2145C" w:rsidP="00C2145C">
      <w:pPr>
        <w:pStyle w:val="plain"/>
        <w:tabs>
          <w:tab w:val="left" w:pos="720"/>
        </w:tabs>
        <w:ind w:left="1440" w:hanging="1440"/>
        <w:rPr>
          <w:szCs w:val="24"/>
        </w:rPr>
      </w:pPr>
      <w:r>
        <w:rPr>
          <w:szCs w:val="24"/>
        </w:rPr>
        <w:tab/>
      </w:r>
      <w:r>
        <w:rPr>
          <w:szCs w:val="24"/>
        </w:rPr>
        <w:tab/>
        <w:t>(i)</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t>
      </w:r>
      <w:r w:rsidR="005E7FC0" w:rsidRPr="00DD4D47">
        <w:rPr>
          <w:szCs w:val="24"/>
        </w:rPr>
        <w:lastRenderedPageBreak/>
        <w:t xml:space="preserve">which the company leaves a recorded voice message for or speaks directly to the responsible party or its agent on the billing account; or </w:t>
      </w:r>
    </w:p>
    <w:p w14:paraId="74BCD6C0" w14:textId="77777777" w:rsidR="00C2145C" w:rsidRDefault="00C2145C" w:rsidP="00C2145C">
      <w:pPr>
        <w:pStyle w:val="plain"/>
        <w:tabs>
          <w:tab w:val="left" w:pos="720"/>
        </w:tabs>
        <w:ind w:left="1440" w:hanging="1440"/>
        <w:rPr>
          <w:szCs w:val="24"/>
        </w:rPr>
      </w:pPr>
    </w:p>
    <w:p w14:paraId="74BCD6C1" w14:textId="77777777"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14:paraId="74BCD6C2" w14:textId="77777777" w:rsidR="00C2145C" w:rsidRDefault="00C2145C" w:rsidP="00DD4D47">
      <w:pPr>
        <w:pStyle w:val="plain"/>
        <w:rPr>
          <w:szCs w:val="24"/>
        </w:rPr>
      </w:pPr>
    </w:p>
    <w:p w14:paraId="74BCD6C3" w14:textId="77777777"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14:paraId="74BCD6C4" w14:textId="77777777" w:rsidR="00C2145C" w:rsidRDefault="00C2145C" w:rsidP="00DD4D47">
      <w:pPr>
        <w:pStyle w:val="plain"/>
        <w:rPr>
          <w:szCs w:val="24"/>
        </w:rPr>
      </w:pPr>
    </w:p>
    <w:p w14:paraId="74BCD6C5" w14:textId="77777777" w:rsidR="00C2145C" w:rsidRDefault="00C2145C" w:rsidP="00DD4D47">
      <w:pPr>
        <w:pStyle w:val="plain"/>
        <w:rPr>
          <w:szCs w:val="24"/>
        </w:rPr>
      </w:pPr>
      <w:r>
        <w:rPr>
          <w:szCs w:val="24"/>
        </w:rPr>
        <w:t>(5)</w:t>
      </w:r>
      <w:r>
        <w:rPr>
          <w:szCs w:val="24"/>
        </w:rPr>
        <w:tab/>
      </w:r>
      <w:r w:rsidR="005E7FC0" w:rsidRPr="00DD4D47">
        <w:rPr>
          <w:szCs w:val="24"/>
        </w:rPr>
        <w:t>The notice to ILECs required in subsection (2)(d) must include:</w:t>
      </w:r>
    </w:p>
    <w:p w14:paraId="74BCD6C6" w14:textId="77777777" w:rsidR="00C2145C" w:rsidRDefault="00C2145C" w:rsidP="00DD4D47">
      <w:pPr>
        <w:pStyle w:val="plain"/>
        <w:rPr>
          <w:szCs w:val="24"/>
        </w:rPr>
      </w:pPr>
    </w:p>
    <w:p w14:paraId="74BCD6C7" w14:textId="77777777"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14:paraId="74BCD6C8" w14:textId="77777777" w:rsidR="00C2145C" w:rsidRDefault="00C2145C" w:rsidP="00DD4D47">
      <w:pPr>
        <w:pStyle w:val="plain"/>
        <w:rPr>
          <w:szCs w:val="24"/>
        </w:rPr>
      </w:pPr>
    </w:p>
    <w:p w14:paraId="74BCD6C9" w14:textId="77777777"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14:paraId="74BCD6CA" w14:textId="77777777" w:rsidR="00C2145C" w:rsidRDefault="00C2145C" w:rsidP="00C2145C">
      <w:pPr>
        <w:pStyle w:val="plain"/>
        <w:ind w:left="720" w:hanging="720"/>
        <w:rPr>
          <w:szCs w:val="24"/>
        </w:rPr>
      </w:pPr>
    </w:p>
    <w:p w14:paraId="74BCD6CB" w14:textId="77777777"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14:paraId="74BCD6CC" w14:textId="77777777" w:rsidR="00C2145C" w:rsidRDefault="00C2145C" w:rsidP="00DD4D47">
      <w:pPr>
        <w:pStyle w:val="plain"/>
        <w:rPr>
          <w:szCs w:val="24"/>
        </w:rPr>
      </w:pPr>
    </w:p>
    <w:p w14:paraId="74BCD6CD" w14:textId="77777777"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(2)(e) must include:</w:t>
      </w:r>
    </w:p>
    <w:p w14:paraId="74BCD6CE" w14:textId="77777777" w:rsidR="00C2145C" w:rsidRDefault="00C2145C" w:rsidP="00DD4D47">
      <w:pPr>
        <w:pStyle w:val="plain"/>
        <w:rPr>
          <w:szCs w:val="24"/>
        </w:rPr>
      </w:pPr>
    </w:p>
    <w:p w14:paraId="74BCD6CF" w14:textId="77777777"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14:paraId="74BCD6D0" w14:textId="77777777" w:rsidR="00C2145C" w:rsidRDefault="00C2145C" w:rsidP="00DD4D47">
      <w:pPr>
        <w:pStyle w:val="plain"/>
        <w:rPr>
          <w:szCs w:val="24"/>
        </w:rPr>
      </w:pPr>
    </w:p>
    <w:p w14:paraId="74BCD6D1" w14:textId="77777777"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14:paraId="74BCD6D2" w14:textId="77777777" w:rsidR="00C2145C" w:rsidRDefault="00C2145C" w:rsidP="00C2145C">
      <w:pPr>
        <w:pStyle w:val="plain"/>
        <w:ind w:left="720" w:hanging="720"/>
        <w:rPr>
          <w:szCs w:val="24"/>
        </w:rPr>
      </w:pPr>
    </w:p>
    <w:p w14:paraId="74BCD6D3" w14:textId="77777777"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14:paraId="74BCD6D4" w14:textId="77777777" w:rsidR="00C2145C" w:rsidRDefault="00C2145C" w:rsidP="00DD4D47">
      <w:pPr>
        <w:pStyle w:val="plain"/>
        <w:rPr>
          <w:szCs w:val="24"/>
        </w:rPr>
      </w:pPr>
    </w:p>
    <w:p w14:paraId="74BCD6D5" w14:textId="77777777"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(2)(f) must include:</w:t>
      </w:r>
    </w:p>
    <w:p w14:paraId="74BCD6D6" w14:textId="77777777" w:rsidR="00C2145C" w:rsidRDefault="00C2145C" w:rsidP="00DD4D47">
      <w:pPr>
        <w:pStyle w:val="plain"/>
        <w:rPr>
          <w:szCs w:val="24"/>
        </w:rPr>
      </w:pPr>
    </w:p>
    <w:p w14:paraId="74BCD6D7" w14:textId="77777777"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14:paraId="74BCD6D8" w14:textId="77777777" w:rsidR="00C2145C" w:rsidRDefault="00C2145C" w:rsidP="00DD4D47">
      <w:pPr>
        <w:pStyle w:val="plain"/>
        <w:rPr>
          <w:szCs w:val="24"/>
        </w:rPr>
      </w:pPr>
    </w:p>
    <w:p w14:paraId="74BCD6D9" w14:textId="77777777" w:rsidR="00C2145C" w:rsidRDefault="00C2145C" w:rsidP="00C2145C">
      <w:pPr>
        <w:pStyle w:val="plain"/>
        <w:ind w:left="720" w:hanging="720"/>
        <w:rPr>
          <w:szCs w:val="24"/>
        </w:rPr>
      </w:pPr>
      <w:r>
        <w:rPr>
          <w:szCs w:val="24"/>
        </w:rPr>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14:paraId="74BCD6DA" w14:textId="77777777" w:rsidR="00C2145C" w:rsidRDefault="00C2145C" w:rsidP="00C2145C">
      <w:pPr>
        <w:pStyle w:val="plain"/>
        <w:ind w:left="720" w:hanging="720"/>
        <w:rPr>
          <w:szCs w:val="24"/>
        </w:rPr>
      </w:pPr>
    </w:p>
    <w:p w14:paraId="74BCD6DB" w14:textId="77777777"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14:paraId="74BCD6DC" w14:textId="77777777" w:rsidR="00C2145C" w:rsidRDefault="00C2145C" w:rsidP="00DD4D47">
      <w:pPr>
        <w:pStyle w:val="plain"/>
        <w:rPr>
          <w:szCs w:val="24"/>
        </w:rPr>
      </w:pPr>
    </w:p>
    <w:p w14:paraId="74BCD6DD" w14:textId="77777777"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14:paraId="74BCD6DE" w14:textId="77777777" w:rsidR="00C2145C" w:rsidRDefault="00C2145C" w:rsidP="00DD4D47">
      <w:pPr>
        <w:pStyle w:val="plain"/>
        <w:rPr>
          <w:szCs w:val="24"/>
        </w:rPr>
      </w:pPr>
    </w:p>
    <w:p w14:paraId="74BCD6DF" w14:textId="77777777"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14:paraId="74BCD6E0" w14:textId="77777777" w:rsidR="00C2145C" w:rsidRDefault="00C2145C" w:rsidP="00DD4D47">
      <w:pPr>
        <w:pStyle w:val="plain"/>
        <w:rPr>
          <w:szCs w:val="24"/>
        </w:rPr>
      </w:pPr>
    </w:p>
    <w:p w14:paraId="74BCD6E1" w14:textId="77777777" w:rsidR="00DD4D47" w:rsidRPr="00DD4D47" w:rsidRDefault="00DD4D47">
      <w:pPr>
        <w:rPr>
          <w:szCs w:val="24"/>
        </w:rPr>
      </w:pPr>
    </w:p>
    <w:sectPr w:rsidR="00DD4D47" w:rsidRPr="00DD4D47" w:rsidSect="00DD4D47">
      <w:footerReference w:type="even" r:id="rId13"/>
      <w:footerReference w:type="default" r:id="rId14"/>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CD6E4" w14:textId="77777777" w:rsidR="00BA4B47" w:rsidRDefault="00BA4B47" w:rsidP="00DD4D47">
      <w:r>
        <w:separator/>
      </w:r>
    </w:p>
  </w:endnote>
  <w:endnote w:type="continuationSeparator" w:id="0">
    <w:p w14:paraId="74BCD6E5" w14:textId="77777777" w:rsidR="00BA4B47" w:rsidRDefault="00BA4B47" w:rsidP="00D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D6E6" w14:textId="77777777" w:rsidR="00D42852" w:rsidRDefault="00EF604B">
    <w:pPr>
      <w:pStyle w:val="Footer"/>
      <w:framePr w:wrap="around" w:vAnchor="text" w:hAnchor="margin" w:xAlign="center" w:y="1"/>
      <w:rPr>
        <w:rStyle w:val="PageNumber"/>
      </w:rPr>
    </w:pPr>
    <w:r>
      <w:rPr>
        <w:rStyle w:val="PageNumber"/>
      </w:rPr>
      <w:fldChar w:fldCharType="begin"/>
    </w:r>
    <w:r w:rsidR="00D42852">
      <w:rPr>
        <w:rStyle w:val="PageNumber"/>
      </w:rPr>
      <w:instrText xml:space="preserve">PAGE  </w:instrText>
    </w:r>
    <w:r>
      <w:rPr>
        <w:rStyle w:val="PageNumber"/>
      </w:rPr>
      <w:fldChar w:fldCharType="separate"/>
    </w:r>
    <w:r w:rsidR="00D42852">
      <w:rPr>
        <w:rStyle w:val="PageNumber"/>
        <w:noProof/>
      </w:rPr>
      <w:t>6</w:t>
    </w:r>
    <w:r>
      <w:rPr>
        <w:rStyle w:val="PageNumber"/>
      </w:rPr>
      <w:fldChar w:fldCharType="end"/>
    </w:r>
  </w:p>
  <w:p w14:paraId="74BCD6E7" w14:textId="77777777" w:rsidR="00D42852" w:rsidRDefault="00D42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D6E8" w14:textId="77777777" w:rsidR="00D42852" w:rsidRPr="00C2145C" w:rsidRDefault="00D42852" w:rsidP="00DD4D47">
    <w:pPr>
      <w:pStyle w:val="Footer"/>
      <w:jc w:val="right"/>
      <w:rPr>
        <w:sz w:val="22"/>
        <w:szCs w:val="22"/>
      </w:rPr>
    </w:pPr>
    <w:r w:rsidRPr="00C2145C">
      <w:rPr>
        <w:sz w:val="22"/>
        <w:szCs w:val="22"/>
      </w:rPr>
      <w:t>Attachment A</w:t>
    </w:r>
  </w:p>
  <w:p w14:paraId="74BCD6E9" w14:textId="77777777" w:rsidR="00D42852" w:rsidRPr="00C2145C" w:rsidRDefault="00D42852" w:rsidP="00DD4D47">
    <w:pPr>
      <w:pStyle w:val="Footer"/>
      <w:jc w:val="right"/>
      <w:rPr>
        <w:sz w:val="22"/>
        <w:szCs w:val="22"/>
      </w:rPr>
    </w:pPr>
    <w:r w:rsidRPr="00C2145C">
      <w:rPr>
        <w:sz w:val="22"/>
        <w:szCs w:val="22"/>
      </w:rPr>
      <w:t xml:space="preserve">Page </w:t>
    </w:r>
    <w:r w:rsidR="00EF604B" w:rsidRPr="00C2145C">
      <w:rPr>
        <w:sz w:val="22"/>
        <w:szCs w:val="22"/>
      </w:rPr>
      <w:fldChar w:fldCharType="begin"/>
    </w:r>
    <w:r w:rsidRPr="00C2145C">
      <w:rPr>
        <w:sz w:val="22"/>
        <w:szCs w:val="22"/>
      </w:rPr>
      <w:instrText xml:space="preserve"> PAGE   \* MERGEFORMAT </w:instrText>
    </w:r>
    <w:r w:rsidR="00EF604B" w:rsidRPr="00C2145C">
      <w:rPr>
        <w:sz w:val="22"/>
        <w:szCs w:val="22"/>
      </w:rPr>
      <w:fldChar w:fldCharType="separate"/>
    </w:r>
    <w:r w:rsidR="00A642A3">
      <w:rPr>
        <w:noProof/>
        <w:sz w:val="22"/>
        <w:szCs w:val="22"/>
      </w:rPr>
      <w:t>1</w:t>
    </w:r>
    <w:r w:rsidR="00EF604B" w:rsidRPr="00C2145C">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D6E2" w14:textId="77777777" w:rsidR="00BA4B47" w:rsidRDefault="00BA4B47" w:rsidP="00DD4D47">
      <w:r>
        <w:separator/>
      </w:r>
    </w:p>
  </w:footnote>
  <w:footnote w:type="continuationSeparator" w:id="0">
    <w:p w14:paraId="74BCD6E3" w14:textId="77777777" w:rsidR="00BA4B47" w:rsidRDefault="00BA4B47" w:rsidP="00DD4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C0"/>
    <w:rsid w:val="0002798B"/>
    <w:rsid w:val="0009048B"/>
    <w:rsid w:val="0011786D"/>
    <w:rsid w:val="00152DFC"/>
    <w:rsid w:val="001572BC"/>
    <w:rsid w:val="00171534"/>
    <w:rsid w:val="00171DAE"/>
    <w:rsid w:val="001B235A"/>
    <w:rsid w:val="001C15E7"/>
    <w:rsid w:val="001E022A"/>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54D7D"/>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8E4DDB"/>
    <w:rsid w:val="00937BD8"/>
    <w:rsid w:val="00943BF5"/>
    <w:rsid w:val="00974BDE"/>
    <w:rsid w:val="009A5E91"/>
    <w:rsid w:val="009D60B6"/>
    <w:rsid w:val="009E40CC"/>
    <w:rsid w:val="009F45DC"/>
    <w:rsid w:val="009F7DF5"/>
    <w:rsid w:val="00A07FF5"/>
    <w:rsid w:val="00A642A3"/>
    <w:rsid w:val="00A97B81"/>
    <w:rsid w:val="00AB55D7"/>
    <w:rsid w:val="00AC4C96"/>
    <w:rsid w:val="00AC5328"/>
    <w:rsid w:val="00AD43CE"/>
    <w:rsid w:val="00AF3AD9"/>
    <w:rsid w:val="00B05CE7"/>
    <w:rsid w:val="00B10B1E"/>
    <w:rsid w:val="00B31B5A"/>
    <w:rsid w:val="00B47B0D"/>
    <w:rsid w:val="00B517DA"/>
    <w:rsid w:val="00B730E6"/>
    <w:rsid w:val="00B91ED1"/>
    <w:rsid w:val="00BA4B47"/>
    <w:rsid w:val="00BE3DDD"/>
    <w:rsid w:val="00BF4B90"/>
    <w:rsid w:val="00C1730E"/>
    <w:rsid w:val="00C2145C"/>
    <w:rsid w:val="00C26E7C"/>
    <w:rsid w:val="00C9616C"/>
    <w:rsid w:val="00C96689"/>
    <w:rsid w:val="00CB62DB"/>
    <w:rsid w:val="00CC01B6"/>
    <w:rsid w:val="00CC7402"/>
    <w:rsid w:val="00CE5564"/>
    <w:rsid w:val="00D42852"/>
    <w:rsid w:val="00D5373E"/>
    <w:rsid w:val="00D80439"/>
    <w:rsid w:val="00D94400"/>
    <w:rsid w:val="00DD4D47"/>
    <w:rsid w:val="00DE3D71"/>
    <w:rsid w:val="00E00098"/>
    <w:rsid w:val="00E35149"/>
    <w:rsid w:val="00E3682F"/>
    <w:rsid w:val="00E474EF"/>
    <w:rsid w:val="00ED15CD"/>
    <w:rsid w:val="00EF604B"/>
    <w:rsid w:val="00F468B6"/>
    <w:rsid w:val="00F513A0"/>
    <w:rsid w:val="00F57A39"/>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68C"/>
  <w15:docId w15:val="{4CC32BA2-A9FB-4463-9149-5F84F854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leg.wa.gov/WAC/default.aspx?cite=480-120-147"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120-1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pps.leg.wa.gov/RCW/default.aspx?cite=80.36.1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22A74639E636409A0A3D8BB103E664" ma:contentTypeVersion="104" ma:contentTypeDescription="" ma:contentTypeScope="" ma:versionID="893a13d8a88e337662d27bc66bec9a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2016-08-25T07:00:00+00:00</OpenedDate>
    <Date1 xmlns="dc463f71-b30c-4ab2-9473-d307f9d35888">2016-08-25T07:00:00+00:00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161029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43D5-22EE-47B0-A945-45ECBB1763AE}"/>
</file>

<file path=customXml/itemProps2.xml><?xml version="1.0" encoding="utf-8"?>
<ds:datastoreItem xmlns:ds="http://schemas.openxmlformats.org/officeDocument/2006/customXml" ds:itemID="{37835BBB-8EEB-4444-A63F-B8B43E4508F6}"/>
</file>

<file path=customXml/itemProps3.xml><?xml version="1.0" encoding="utf-8"?>
<ds:datastoreItem xmlns:ds="http://schemas.openxmlformats.org/officeDocument/2006/customXml" ds:itemID="{E0672892-6627-4655-9D42-DCA80B4583F5}"/>
</file>

<file path=customXml/itemProps4.xml><?xml version="1.0" encoding="utf-8"?>
<ds:datastoreItem xmlns:ds="http://schemas.openxmlformats.org/officeDocument/2006/customXml" ds:itemID="{F52AF806-3EAF-46BD-A956-6E65C7F5F316}"/>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2013-07-01T15:56:00Z</cp:lastPrinted>
  <dcterms:created xsi:type="dcterms:W3CDTF">2016-08-25T20:58:00Z</dcterms:created>
  <dcterms:modified xsi:type="dcterms:W3CDTF">2016-08-25T20:58:00Z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0x0101006E56B4D1795A2E4DB2F0B01679ED314A00E922A74639E636409A0A3D8BB103E664</vt:lpwstr>
  </property>
  <property fmtid="{D5CDD505-2E9C-101B-9397-08002B2CF9AE}" pid="3" name="_docset_NoMedatataSyncRequired">
    <vt:lpwstr>False</vt:lpwstr>
  </property>
</Properties>
</file>