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2D702" w14:textId="12BFFF41" w:rsidR="00053C44" w:rsidRPr="00816998" w:rsidRDefault="005456FE" w:rsidP="00816998">
      <w:pPr>
        <w:pStyle w:val="ReportSubtitle"/>
        <w:spacing w:before="0" w:after="360"/>
        <w:jc w:val="center"/>
        <w:rPr>
          <w:rFonts w:ascii="Times New Roman" w:hAnsi="Times New Roman" w:cs="Times New Roman"/>
          <w:sz w:val="48"/>
          <w:szCs w:val="32"/>
        </w:rPr>
      </w:pPr>
      <w:r w:rsidRPr="00816998">
        <w:rPr>
          <w:rFonts w:ascii="Times New Roman" w:hAnsi="Times New Roman" w:cs="Times New Roman"/>
          <w:sz w:val="48"/>
          <w:szCs w:val="32"/>
        </w:rPr>
        <w:t xml:space="preserve">Bidder </w:t>
      </w:r>
      <w:r w:rsidR="00053C44" w:rsidRPr="00816998">
        <w:rPr>
          <w:rFonts w:ascii="Times New Roman" w:hAnsi="Times New Roman" w:cs="Times New Roman"/>
          <w:sz w:val="48"/>
          <w:szCs w:val="32"/>
        </w:rPr>
        <w:t>Pricing Instructions</w:t>
      </w:r>
    </w:p>
    <w:p w14:paraId="381F223F" w14:textId="7106E559" w:rsidR="00053C44" w:rsidRPr="00816998" w:rsidRDefault="00053C44" w:rsidP="00816998">
      <w:pPr>
        <w:pStyle w:val="ReportSubtitle"/>
        <w:spacing w:before="0" w:after="360"/>
        <w:jc w:val="center"/>
        <w:rPr>
          <w:rFonts w:ascii="Times New Roman" w:hAnsi="Times New Roman" w:cs="Times New Roman"/>
          <w:sz w:val="32"/>
          <w:szCs w:val="32"/>
        </w:rPr>
      </w:pPr>
      <w:r w:rsidRPr="00816998">
        <w:rPr>
          <w:rFonts w:ascii="Times New Roman" w:hAnsi="Times New Roman" w:cs="Times New Roman"/>
          <w:sz w:val="32"/>
          <w:szCs w:val="32"/>
        </w:rPr>
        <w:t>For</w:t>
      </w:r>
    </w:p>
    <w:p w14:paraId="1ED4867B" w14:textId="77777777" w:rsidR="000759BA" w:rsidRPr="00816998" w:rsidRDefault="000759BA" w:rsidP="00816998">
      <w:pPr>
        <w:pStyle w:val="ReportSubtitle"/>
        <w:spacing w:before="0" w:after="360"/>
        <w:jc w:val="center"/>
        <w:rPr>
          <w:rFonts w:ascii="Times New Roman" w:hAnsi="Times New Roman" w:cs="Times New Roman"/>
          <w:sz w:val="24"/>
          <w:szCs w:val="24"/>
        </w:rPr>
      </w:pPr>
      <w:r w:rsidRPr="00816998">
        <w:rPr>
          <w:rFonts w:ascii="Times New Roman" w:hAnsi="Times New Roman" w:cs="Times New Roman"/>
          <w:sz w:val="32"/>
          <w:szCs w:val="32"/>
        </w:rPr>
        <w:t>Request for Proposals (RFP)</w:t>
      </w:r>
    </w:p>
    <w:p w14:paraId="2BEE72E9" w14:textId="77777777" w:rsidR="000759BA" w:rsidRPr="00816998" w:rsidRDefault="000759BA" w:rsidP="00816998">
      <w:pPr>
        <w:pStyle w:val="ReportSubtitle"/>
        <w:spacing w:before="0" w:after="360"/>
        <w:jc w:val="center"/>
        <w:rPr>
          <w:rFonts w:ascii="Times New Roman" w:hAnsi="Times New Roman" w:cs="Times New Roman"/>
          <w:sz w:val="32"/>
          <w:szCs w:val="32"/>
        </w:rPr>
      </w:pPr>
      <w:r w:rsidRPr="00816998">
        <w:rPr>
          <w:rFonts w:ascii="Times New Roman" w:hAnsi="Times New Roman" w:cs="Times New Roman"/>
          <w:sz w:val="32"/>
          <w:szCs w:val="32"/>
        </w:rPr>
        <w:t>Technology and Implementation Services</w:t>
      </w:r>
    </w:p>
    <w:p w14:paraId="417B80BE" w14:textId="22B668ED" w:rsidR="000759BA" w:rsidRPr="00816998" w:rsidRDefault="000759BA" w:rsidP="00816998">
      <w:pPr>
        <w:pStyle w:val="ReportSubtitle"/>
        <w:spacing w:before="0" w:after="360"/>
        <w:jc w:val="center"/>
        <w:rPr>
          <w:rFonts w:ascii="Times New Roman" w:hAnsi="Times New Roman" w:cs="Times New Roman"/>
          <w:b w:val="0"/>
          <w:sz w:val="32"/>
          <w:szCs w:val="32"/>
        </w:rPr>
      </w:pPr>
      <w:r w:rsidRPr="00816998">
        <w:rPr>
          <w:rFonts w:ascii="Times New Roman" w:hAnsi="Times New Roman" w:cs="Times New Roman"/>
          <w:sz w:val="32"/>
          <w:szCs w:val="32"/>
        </w:rPr>
        <w:t xml:space="preserve">In support of </w:t>
      </w:r>
      <w:r w:rsidR="00816998">
        <w:rPr>
          <w:rFonts w:ascii="Times New Roman" w:hAnsi="Times New Roman" w:cs="Times New Roman"/>
          <w:sz w:val="32"/>
          <w:szCs w:val="32"/>
        </w:rPr>
        <w:br/>
      </w:r>
      <w:r w:rsidR="00296CAE" w:rsidRPr="00816998">
        <w:rPr>
          <w:rFonts w:ascii="Times New Roman" w:hAnsi="Times New Roman" w:cs="Times New Roman"/>
          <w:b w:val="0"/>
          <w:sz w:val="32"/>
          <w:szCs w:val="32"/>
        </w:rPr>
        <w:t>Puget Sound Energy</w:t>
      </w:r>
      <w:r w:rsidR="002832BE" w:rsidRPr="00816998">
        <w:rPr>
          <w:rFonts w:ascii="Times New Roman" w:hAnsi="Times New Roman" w:cs="Times New Roman"/>
          <w:b w:val="0"/>
          <w:sz w:val="32"/>
          <w:szCs w:val="32"/>
        </w:rPr>
        <w:t xml:space="preserve"> (</w:t>
      </w:r>
      <w:r w:rsidR="00296CAE" w:rsidRPr="00816998">
        <w:rPr>
          <w:rFonts w:ascii="Times New Roman" w:hAnsi="Times New Roman" w:cs="Times New Roman"/>
          <w:b w:val="0"/>
          <w:sz w:val="32"/>
          <w:szCs w:val="32"/>
        </w:rPr>
        <w:t>PSE</w:t>
      </w:r>
      <w:r w:rsidR="002832BE" w:rsidRPr="00816998">
        <w:rPr>
          <w:rFonts w:ascii="Times New Roman" w:hAnsi="Times New Roman" w:cs="Times New Roman"/>
          <w:b w:val="0"/>
          <w:sz w:val="32"/>
          <w:szCs w:val="32"/>
        </w:rPr>
        <w:t>)</w:t>
      </w:r>
      <w:r w:rsidR="00816998">
        <w:rPr>
          <w:rFonts w:ascii="Times New Roman" w:hAnsi="Times New Roman" w:cs="Times New Roman"/>
          <w:b w:val="0"/>
          <w:sz w:val="32"/>
          <w:szCs w:val="32"/>
        </w:rPr>
        <w:br/>
      </w:r>
      <w:r w:rsidR="008E7B4E" w:rsidRPr="00816998">
        <w:rPr>
          <w:rFonts w:ascii="Times New Roman" w:hAnsi="Times New Roman" w:cs="Times New Roman"/>
          <w:b w:val="0"/>
          <w:sz w:val="32"/>
          <w:szCs w:val="32"/>
        </w:rPr>
        <w:t>Direct Load Control (</w:t>
      </w:r>
      <w:proofErr w:type="spellStart"/>
      <w:r w:rsidR="008E7B4E" w:rsidRPr="00816998">
        <w:rPr>
          <w:rFonts w:ascii="Times New Roman" w:hAnsi="Times New Roman" w:cs="Times New Roman"/>
          <w:b w:val="0"/>
          <w:sz w:val="32"/>
          <w:szCs w:val="32"/>
        </w:rPr>
        <w:t>DLC</w:t>
      </w:r>
      <w:proofErr w:type="spellEnd"/>
      <w:r w:rsidR="008E7B4E" w:rsidRPr="00816998">
        <w:rPr>
          <w:rFonts w:ascii="Times New Roman" w:hAnsi="Times New Roman" w:cs="Times New Roman"/>
          <w:b w:val="0"/>
          <w:sz w:val="32"/>
          <w:szCs w:val="32"/>
        </w:rPr>
        <w:t xml:space="preserve">) </w:t>
      </w:r>
      <w:r w:rsidRPr="00816998">
        <w:rPr>
          <w:rFonts w:ascii="Times New Roman" w:hAnsi="Times New Roman" w:cs="Times New Roman"/>
          <w:b w:val="0"/>
          <w:sz w:val="32"/>
          <w:szCs w:val="32"/>
        </w:rPr>
        <w:t>Program</w:t>
      </w:r>
    </w:p>
    <w:p w14:paraId="30DC0BE3" w14:textId="77777777" w:rsidR="00816998" w:rsidRDefault="00816998" w:rsidP="00017AAB">
      <w:pPr>
        <w:jc w:val="center"/>
        <w:rPr>
          <w:b/>
          <w:sz w:val="40"/>
        </w:rPr>
        <w:sectPr w:rsidR="00816998" w:rsidSect="00816998">
          <w:headerReference w:type="even" r:id="rId9"/>
          <w:headerReference w:type="default" r:id="rId10"/>
          <w:footerReference w:type="even" r:id="rId11"/>
          <w:footerReference w:type="default" r:id="rId12"/>
          <w:headerReference w:type="first" r:id="rId13"/>
          <w:footerReference w:type="first" r:id="rId14"/>
          <w:pgSz w:w="12240" w:h="15840" w:code="1"/>
          <w:pgMar w:top="907" w:right="1440" w:bottom="1267" w:left="1440" w:header="446" w:footer="547" w:gutter="0"/>
          <w:cols w:space="720"/>
          <w:vAlign w:val="center"/>
          <w:titlePg/>
          <w:docGrid w:linePitch="360"/>
        </w:sectPr>
      </w:pPr>
    </w:p>
    <w:p w14:paraId="3A52FA22" w14:textId="77777777" w:rsidR="00816998" w:rsidRPr="00DE0619" w:rsidRDefault="00816998" w:rsidP="00816998">
      <w:pPr>
        <w:spacing w:after="240"/>
        <w:jc w:val="center"/>
        <w:rPr>
          <w:b/>
          <w:sz w:val="40"/>
        </w:rPr>
      </w:pPr>
      <w:bookmarkStart w:id="0" w:name="_GoBack"/>
      <w:bookmarkEnd w:id="0"/>
      <w:r w:rsidRPr="00DE0619">
        <w:rPr>
          <w:b/>
          <w:sz w:val="40"/>
        </w:rPr>
        <w:lastRenderedPageBreak/>
        <w:t>Pricing Instructions</w:t>
      </w:r>
    </w:p>
    <w:p w14:paraId="28286FBD" w14:textId="69C9C4EB" w:rsidR="00F43B1B" w:rsidRPr="00816998" w:rsidRDefault="00053C44" w:rsidP="00816998">
      <w:pPr>
        <w:spacing w:after="240"/>
      </w:pPr>
      <w:r w:rsidRPr="00816998">
        <w:t xml:space="preserve">Bidder should provide pricing for the collective products and services being offered in sufficient detail such that </w:t>
      </w:r>
      <w:r w:rsidR="00296CAE" w:rsidRPr="00816998">
        <w:t>PSE</w:t>
      </w:r>
      <w:r w:rsidRPr="00816998">
        <w:t xml:space="preserve"> will understand precisely what is being proposed and how much the proposed products and services will cost. Bidders should provide this pricing information with the understanding that products and </w:t>
      </w:r>
      <w:r w:rsidR="00F43B1B" w:rsidRPr="00816998">
        <w:t>services must achieve the following:</w:t>
      </w:r>
    </w:p>
    <w:p w14:paraId="24152760" w14:textId="77777777" w:rsidR="00F43B1B" w:rsidRPr="00816998" w:rsidRDefault="00F43B1B" w:rsidP="00816998">
      <w:pPr>
        <w:pStyle w:val="ListParagraph"/>
        <w:numPr>
          <w:ilvl w:val="0"/>
          <w:numId w:val="9"/>
        </w:numPr>
        <w:spacing w:after="240"/>
        <w:contextualSpacing w:val="0"/>
      </w:pPr>
      <w:r w:rsidRPr="00816998">
        <w:t>A fully operational network of direct load control devices</w:t>
      </w:r>
    </w:p>
    <w:p w14:paraId="3631E525" w14:textId="0950983C" w:rsidR="00F43B1B" w:rsidRPr="00816998" w:rsidRDefault="00F43B1B" w:rsidP="00816998">
      <w:pPr>
        <w:pStyle w:val="ListParagraph"/>
        <w:numPr>
          <w:ilvl w:val="0"/>
          <w:numId w:val="9"/>
        </w:numPr>
        <w:spacing w:after="240"/>
        <w:contextualSpacing w:val="0"/>
      </w:pPr>
      <w:r w:rsidRPr="00816998">
        <w:t>All items listed in Section 3.</w:t>
      </w:r>
      <w:r w:rsidR="00910409" w:rsidRPr="00816998">
        <w:t>1</w:t>
      </w:r>
      <w:r w:rsidRPr="00816998">
        <w:t xml:space="preserve"> </w:t>
      </w:r>
      <w:r w:rsidR="00910409" w:rsidRPr="00816998">
        <w:t xml:space="preserve">for Vendor Responsibilities under Roles and Responsibilities </w:t>
      </w:r>
      <w:r w:rsidRPr="00816998">
        <w:t xml:space="preserve"> </w:t>
      </w:r>
    </w:p>
    <w:p w14:paraId="2B559349" w14:textId="64855CDB" w:rsidR="00053C44" w:rsidRPr="00816998" w:rsidRDefault="00F43B1B" w:rsidP="00816998">
      <w:pPr>
        <w:pStyle w:val="ListParagraph"/>
        <w:numPr>
          <w:ilvl w:val="0"/>
          <w:numId w:val="9"/>
        </w:numPr>
        <w:spacing w:after="240"/>
        <w:contextualSpacing w:val="0"/>
      </w:pPr>
      <w:r w:rsidRPr="00816998">
        <w:t>The</w:t>
      </w:r>
      <w:r w:rsidR="00053C44" w:rsidRPr="00816998">
        <w:t xml:space="preserve"> </w:t>
      </w:r>
      <w:r w:rsidR="009855B0" w:rsidRPr="00816998">
        <w:t xml:space="preserve">Primary Objectives of </w:t>
      </w:r>
      <w:r w:rsidR="00296CAE" w:rsidRPr="00816998">
        <w:t>PSE</w:t>
      </w:r>
      <w:r w:rsidR="009855B0" w:rsidRPr="00816998">
        <w:t xml:space="preserve">’s DR Resource and other program-specific </w:t>
      </w:r>
      <w:r w:rsidR="00053C44" w:rsidRPr="00816998">
        <w:t xml:space="preserve">objectives </w:t>
      </w:r>
      <w:r w:rsidR="00281099" w:rsidRPr="00816998">
        <w:t>identified in Section 2.3</w:t>
      </w:r>
      <w:r w:rsidR="00053C44" w:rsidRPr="00816998">
        <w:t>.</w:t>
      </w:r>
    </w:p>
    <w:p w14:paraId="5AB4B0A1" w14:textId="0E4C6EF1" w:rsidR="00053C44" w:rsidRPr="00816998" w:rsidRDefault="00053C44" w:rsidP="00816998">
      <w:pPr>
        <w:spacing w:after="240"/>
      </w:pPr>
      <w:r w:rsidRPr="00816998">
        <w:rPr>
          <w:b/>
        </w:rPr>
        <w:t xml:space="preserve">Firm pricing should be provided for a five-year </w:t>
      </w:r>
      <w:r w:rsidR="00EB09BA" w:rsidRPr="00816998">
        <w:rPr>
          <w:b/>
        </w:rPr>
        <w:t xml:space="preserve">term </w:t>
      </w:r>
      <w:r w:rsidR="00EB09BA" w:rsidRPr="00816998">
        <w:t>as</w:t>
      </w:r>
      <w:r w:rsidRPr="00816998">
        <w:t xml:space="preserve"> indicated </w:t>
      </w:r>
      <w:r w:rsidR="005E205E" w:rsidRPr="00816998">
        <w:t>in this</w:t>
      </w:r>
      <w:r w:rsidRPr="00816998">
        <w:t xml:space="preserve"> pricing section</w:t>
      </w:r>
      <w:r w:rsidR="005E205E" w:rsidRPr="00816998">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6906"/>
      </w:tblGrid>
      <w:tr w:rsidR="00053C44" w:rsidRPr="00816998" w14:paraId="15611875" w14:textId="77777777" w:rsidTr="007703FA">
        <w:trPr>
          <w:cantSplit/>
        </w:trPr>
        <w:tc>
          <w:tcPr>
            <w:tcW w:w="5000" w:type="pct"/>
            <w:gridSpan w:val="2"/>
            <w:shd w:val="clear" w:color="auto" w:fill="D9D9D9"/>
          </w:tcPr>
          <w:p w14:paraId="62E56503" w14:textId="6F00FBD6" w:rsidR="00053C44" w:rsidRPr="00816998" w:rsidRDefault="00053C44" w:rsidP="00A66F47">
            <w:pPr>
              <w:keepNext/>
              <w:numPr>
                <w:ilvl w:val="0"/>
                <w:numId w:val="3"/>
              </w:numPr>
              <w:spacing w:before="80" w:after="80"/>
              <w:rPr>
                <w:b/>
                <w:sz w:val="28"/>
              </w:rPr>
            </w:pPr>
            <w:r w:rsidRPr="00816998">
              <w:rPr>
                <w:b/>
                <w:sz w:val="28"/>
              </w:rPr>
              <w:t>Pricing</w:t>
            </w:r>
            <w:r w:rsidR="00F3534B" w:rsidRPr="00816998">
              <w:rPr>
                <w:b/>
                <w:sz w:val="28"/>
              </w:rPr>
              <w:t xml:space="preserve"> Summary</w:t>
            </w:r>
            <w:r w:rsidRPr="00816998">
              <w:rPr>
                <w:b/>
                <w:sz w:val="28"/>
              </w:rPr>
              <w:t xml:space="preserve"> </w:t>
            </w:r>
          </w:p>
        </w:tc>
      </w:tr>
      <w:tr w:rsidR="00053C44" w:rsidRPr="00816998" w14:paraId="05CE5739" w14:textId="77777777" w:rsidTr="007703FA">
        <w:trPr>
          <w:cantSplit/>
        </w:trPr>
        <w:tc>
          <w:tcPr>
            <w:tcW w:w="1394" w:type="pct"/>
            <w:shd w:val="clear" w:color="auto" w:fill="D9D9D9"/>
          </w:tcPr>
          <w:p w14:paraId="48F3F75A" w14:textId="6F6D05DF" w:rsidR="00816998" w:rsidRPr="00816998" w:rsidRDefault="00053C44" w:rsidP="00816998">
            <w:pPr>
              <w:numPr>
                <w:ilvl w:val="0"/>
                <w:numId w:val="2"/>
              </w:numPr>
              <w:spacing w:before="120" w:after="120"/>
              <w:rPr>
                <w:sz w:val="20"/>
                <w:szCs w:val="20"/>
              </w:rPr>
            </w:pPr>
            <w:r w:rsidRPr="00816998">
              <w:rPr>
                <w:sz w:val="20"/>
                <w:szCs w:val="20"/>
              </w:rPr>
              <w:t>Summary of pricing proposal</w:t>
            </w:r>
          </w:p>
        </w:tc>
        <w:tc>
          <w:tcPr>
            <w:tcW w:w="3606" w:type="pct"/>
          </w:tcPr>
          <w:p w14:paraId="2F1E7376" w14:textId="5E1F4659" w:rsidR="00053C44" w:rsidRPr="00816998" w:rsidRDefault="00053C44" w:rsidP="00816998">
            <w:pPr>
              <w:spacing w:before="120" w:after="6000"/>
              <w:rPr>
                <w:sz w:val="20"/>
                <w:szCs w:val="20"/>
              </w:rPr>
            </w:pPr>
            <w:r w:rsidRPr="00816998">
              <w:rPr>
                <w:sz w:val="20"/>
                <w:szCs w:val="20"/>
              </w:rPr>
              <w:t xml:space="preserve">Provide a brief summary of your complete pricing proposal, giving an overview of the price per </w:t>
            </w:r>
            <w:r w:rsidR="00AE38A4" w:rsidRPr="00816998">
              <w:rPr>
                <w:sz w:val="20"/>
                <w:szCs w:val="20"/>
              </w:rPr>
              <w:t>kW-year</w:t>
            </w:r>
            <w:r w:rsidRPr="00816998">
              <w:rPr>
                <w:sz w:val="20"/>
                <w:szCs w:val="20"/>
              </w:rPr>
              <w:t xml:space="preserve"> delivered, any other charges to </w:t>
            </w:r>
            <w:r w:rsidR="00296CAE" w:rsidRPr="00816998">
              <w:rPr>
                <w:sz w:val="20"/>
                <w:szCs w:val="20"/>
              </w:rPr>
              <w:t>PSE</w:t>
            </w:r>
            <w:r w:rsidRPr="00816998">
              <w:rPr>
                <w:sz w:val="20"/>
                <w:szCs w:val="20"/>
              </w:rPr>
              <w:t xml:space="preserve">, and any caveats or further explanation needed for </w:t>
            </w:r>
            <w:r w:rsidR="00296CAE" w:rsidRPr="00816998">
              <w:rPr>
                <w:sz w:val="20"/>
                <w:szCs w:val="20"/>
              </w:rPr>
              <w:t>PSE</w:t>
            </w:r>
            <w:r w:rsidRPr="00816998">
              <w:rPr>
                <w:sz w:val="20"/>
                <w:szCs w:val="20"/>
              </w:rPr>
              <w:t xml:space="preserve"> to understand the cost of selecting your firm for the desired products and services. This summary could include summary cost figures as appropriate (e.g., illustrating cost to </w:t>
            </w:r>
            <w:r w:rsidR="00296CAE" w:rsidRPr="00816998">
              <w:rPr>
                <w:sz w:val="20"/>
                <w:szCs w:val="20"/>
              </w:rPr>
              <w:t>PSE</w:t>
            </w:r>
            <w:r w:rsidRPr="00816998">
              <w:rPr>
                <w:sz w:val="20"/>
                <w:szCs w:val="20"/>
              </w:rPr>
              <w:t xml:space="preserve"> over the five-year contract) and should assist </w:t>
            </w:r>
            <w:r w:rsidR="00296CAE" w:rsidRPr="00816998">
              <w:rPr>
                <w:sz w:val="20"/>
                <w:szCs w:val="20"/>
              </w:rPr>
              <w:t>PSE</w:t>
            </w:r>
            <w:r w:rsidRPr="00816998">
              <w:rPr>
                <w:sz w:val="20"/>
                <w:szCs w:val="20"/>
              </w:rPr>
              <w:t xml:space="preserve"> in understanding the detailed pricing in the following information request items. Bidders are encouraged to limit their responses to as short as necessary to provide clarity to your pricing proposal.</w:t>
            </w:r>
          </w:p>
        </w:tc>
      </w:tr>
      <w:tr w:rsidR="00F3534B" w:rsidRPr="00816998" w14:paraId="2E1B254A" w14:textId="77777777" w:rsidTr="007703FA">
        <w:trPr>
          <w:cantSplit/>
        </w:trPr>
        <w:tc>
          <w:tcPr>
            <w:tcW w:w="5000" w:type="pct"/>
            <w:gridSpan w:val="2"/>
            <w:shd w:val="clear" w:color="auto" w:fill="D9D9D9"/>
          </w:tcPr>
          <w:p w14:paraId="4776A816" w14:textId="7794FAE4" w:rsidR="00F3534B" w:rsidRPr="00816998" w:rsidRDefault="00F3534B" w:rsidP="00A66F47">
            <w:pPr>
              <w:keepNext/>
              <w:numPr>
                <w:ilvl w:val="0"/>
                <w:numId w:val="3"/>
              </w:numPr>
              <w:spacing w:before="80" w:after="80"/>
              <w:rPr>
                <w:b/>
                <w:sz w:val="28"/>
                <w:szCs w:val="28"/>
              </w:rPr>
            </w:pPr>
            <w:r w:rsidRPr="00816998">
              <w:rPr>
                <w:b/>
                <w:sz w:val="28"/>
                <w:szCs w:val="28"/>
              </w:rPr>
              <w:lastRenderedPageBreak/>
              <w:t>Pricing for Winter Capacity</w:t>
            </w:r>
          </w:p>
        </w:tc>
      </w:tr>
      <w:tr w:rsidR="00F3534B" w:rsidRPr="00816998" w14:paraId="0AC8C4B0" w14:textId="77777777" w:rsidTr="007703FA">
        <w:trPr>
          <w:cantSplit/>
        </w:trPr>
        <w:tc>
          <w:tcPr>
            <w:tcW w:w="1394" w:type="pct"/>
            <w:shd w:val="clear" w:color="auto" w:fill="D9D9D9"/>
          </w:tcPr>
          <w:p w14:paraId="14CA8734" w14:textId="77777777" w:rsidR="00F3534B" w:rsidRPr="00816998" w:rsidRDefault="00F3534B" w:rsidP="00816998">
            <w:pPr>
              <w:numPr>
                <w:ilvl w:val="0"/>
                <w:numId w:val="10"/>
              </w:numPr>
              <w:spacing w:before="120" w:after="80"/>
              <w:rPr>
                <w:sz w:val="20"/>
                <w:szCs w:val="20"/>
              </w:rPr>
            </w:pPr>
            <w:r w:rsidRPr="00816998">
              <w:rPr>
                <w:sz w:val="20"/>
                <w:szCs w:val="20"/>
              </w:rPr>
              <w:t xml:space="preserve">Pricing for Peak Winter Curtailment Capacity in Fulfillment of PSE’s Primary Objectives </w:t>
            </w:r>
            <w:r w:rsidRPr="00816998">
              <w:rPr>
                <w:i/>
                <w:sz w:val="20"/>
                <w:szCs w:val="20"/>
              </w:rPr>
              <w:t>(in reference to Section 2.3 of the main RFP document)</w:t>
            </w:r>
            <w:r w:rsidRPr="00816998">
              <w:rPr>
                <w:sz w:val="20"/>
                <w:szCs w:val="20"/>
              </w:rPr>
              <w:br/>
            </w:r>
            <w:r w:rsidRPr="00816998">
              <w:rPr>
                <w:sz w:val="20"/>
                <w:szCs w:val="20"/>
              </w:rPr>
              <w:br/>
              <w:t xml:space="preserve">(for meeting winter capacity requirements with an hour ahead notification) </w:t>
            </w:r>
          </w:p>
        </w:tc>
        <w:tc>
          <w:tcPr>
            <w:tcW w:w="3606" w:type="pct"/>
          </w:tcPr>
          <w:p w14:paraId="38B197AE" w14:textId="77777777" w:rsidR="00F3534B" w:rsidRPr="00816998" w:rsidRDefault="00F3534B" w:rsidP="00816998">
            <w:pPr>
              <w:spacing w:before="120" w:after="80"/>
              <w:rPr>
                <w:i/>
                <w:sz w:val="20"/>
                <w:szCs w:val="20"/>
              </w:rPr>
            </w:pPr>
            <w:r w:rsidRPr="00816998">
              <w:rPr>
                <w:i/>
                <w:sz w:val="20"/>
                <w:szCs w:val="20"/>
              </w:rPr>
              <w:t>Under this item, bidders should provide pricing for meeting winter capacity requirements with hour-ahead notification, in fulfillment of PSE’s Primary Objectives, as stated in Section 2.3 of the main RFP document.</w:t>
            </w:r>
          </w:p>
          <w:p w14:paraId="1014B41F" w14:textId="77777777" w:rsidR="00F3534B" w:rsidRPr="00816998" w:rsidRDefault="00F3534B" w:rsidP="00816998">
            <w:pPr>
              <w:spacing w:before="120" w:after="80"/>
              <w:rPr>
                <w:i/>
                <w:sz w:val="20"/>
                <w:szCs w:val="20"/>
              </w:rPr>
            </w:pPr>
            <w:r w:rsidRPr="00816998">
              <w:rPr>
                <w:sz w:val="20"/>
                <w:szCs w:val="20"/>
                <w:u w:val="single"/>
              </w:rPr>
              <w:t>Important</w:t>
            </w:r>
            <w:r w:rsidRPr="00816998">
              <w:rPr>
                <w:sz w:val="20"/>
                <w:szCs w:val="20"/>
              </w:rPr>
              <w:t>: Assume that megawatt curtailment levels shall be calculated as described in Section 2.3 of the RFP.</w:t>
            </w:r>
          </w:p>
          <w:p w14:paraId="054ECECD" w14:textId="394C8A5B" w:rsidR="00F3534B" w:rsidRPr="00816998" w:rsidRDefault="00F905E6" w:rsidP="00816998">
            <w:pPr>
              <w:spacing w:before="120" w:after="80"/>
              <w:rPr>
                <w:sz w:val="20"/>
                <w:szCs w:val="20"/>
              </w:rPr>
            </w:pPr>
            <w:r w:rsidRPr="00816998">
              <w:rPr>
                <w:b/>
                <w:sz w:val="20"/>
                <w:szCs w:val="20"/>
              </w:rPr>
              <w:t>Capacity Charge.</w:t>
            </w:r>
            <w:r w:rsidRPr="00816998">
              <w:rPr>
                <w:sz w:val="20"/>
                <w:szCs w:val="20"/>
              </w:rPr>
              <w:t xml:space="preserve"> </w:t>
            </w:r>
            <w:r w:rsidR="00F3534B" w:rsidRPr="00816998">
              <w:rPr>
                <w:sz w:val="20"/>
                <w:szCs w:val="20"/>
              </w:rPr>
              <w:t xml:space="preserve">In the table below, provide </w:t>
            </w:r>
            <w:r w:rsidR="003A342A" w:rsidRPr="00816998">
              <w:rPr>
                <w:sz w:val="20"/>
                <w:szCs w:val="20"/>
              </w:rPr>
              <w:t>pricing for</w:t>
            </w:r>
            <w:r w:rsidR="00F3534B" w:rsidRPr="00816998">
              <w:rPr>
                <w:sz w:val="20"/>
                <w:szCs w:val="20"/>
              </w:rPr>
              <w:t xml:space="preserve"> winter peak load reduction capacity from 2017 to 2021</w:t>
            </w:r>
            <w:r w:rsidR="00CC4C8A" w:rsidRPr="00816998">
              <w:rPr>
                <w:sz w:val="20"/>
                <w:szCs w:val="20"/>
              </w:rPr>
              <w:t>.</w:t>
            </w:r>
            <w:r w:rsidR="00F3534B" w:rsidRPr="00816998">
              <w:rPr>
                <w:rStyle w:val="FootnoteReference"/>
                <w:sz w:val="20"/>
                <w:szCs w:val="20"/>
              </w:rPr>
              <w:footnoteReference w:id="1"/>
            </w:r>
            <w:r w:rsidR="003A342A" w:rsidRPr="00816998">
              <w:rPr>
                <w:sz w:val="20"/>
                <w:szCs w:val="20"/>
              </w:rPr>
              <w:t xml:space="preserve"> </w:t>
            </w:r>
            <w:r w:rsidR="00687B02" w:rsidRPr="00816998">
              <w:rPr>
                <w:sz w:val="20"/>
                <w:szCs w:val="20"/>
              </w:rPr>
              <w:t xml:space="preserve">Pricing should be in terms of $ per kW-year. </w:t>
            </w:r>
            <w:r w:rsidR="00F3534B" w:rsidRPr="00816998">
              <w:rPr>
                <w:sz w:val="20"/>
                <w:szCs w:val="20"/>
              </w:rPr>
              <w:t>Note that the winter capacity amounts indicated below should be the same as what you indicated in Section 4.1 Table G2 of the main RFP document.</w:t>
            </w:r>
            <w:r w:rsidR="00F3534B" w:rsidRPr="00816998">
              <w:rPr>
                <w:rStyle w:val="FootnoteReference"/>
                <w:sz w:val="20"/>
                <w:szCs w:val="20"/>
              </w:rPr>
              <w:footnoteReference w:id="2"/>
            </w:r>
            <w:r w:rsidR="00F3534B" w:rsidRPr="00816998">
              <w:rPr>
                <w:sz w:val="20"/>
                <w:szCs w:val="20"/>
              </w:rPr>
              <w:t xml:space="preserve">  </w:t>
            </w:r>
          </w:p>
          <w:tbl>
            <w:tblPr>
              <w:tblStyle w:val="TableGrid"/>
              <w:tblW w:w="5000" w:type="pct"/>
              <w:tblLook w:val="04A0" w:firstRow="1" w:lastRow="0" w:firstColumn="1" w:lastColumn="0" w:noHBand="0" w:noVBand="1"/>
            </w:tblPr>
            <w:tblGrid>
              <w:gridCol w:w="1829"/>
              <w:gridCol w:w="2358"/>
              <w:gridCol w:w="2493"/>
            </w:tblGrid>
            <w:tr w:rsidR="00F3534B" w:rsidRPr="00816998" w14:paraId="20E035B1" w14:textId="77777777" w:rsidTr="00133250">
              <w:tc>
                <w:tcPr>
                  <w:tcW w:w="1369" w:type="pct"/>
                  <w:vAlign w:val="center"/>
                </w:tcPr>
                <w:p w14:paraId="3B60312A" w14:textId="77777777" w:rsidR="00F3534B" w:rsidRPr="00816998" w:rsidRDefault="00F3534B" w:rsidP="00816998">
                  <w:pPr>
                    <w:spacing w:before="120" w:after="80"/>
                    <w:jc w:val="center"/>
                    <w:rPr>
                      <w:b/>
                      <w:sz w:val="20"/>
                      <w:szCs w:val="20"/>
                    </w:rPr>
                  </w:pPr>
                  <w:r w:rsidRPr="00816998">
                    <w:rPr>
                      <w:b/>
                      <w:sz w:val="20"/>
                      <w:szCs w:val="20"/>
                    </w:rPr>
                    <w:t>Year</w:t>
                  </w:r>
                </w:p>
              </w:tc>
              <w:tc>
                <w:tcPr>
                  <w:tcW w:w="1765" w:type="pct"/>
                  <w:vAlign w:val="center"/>
                </w:tcPr>
                <w:p w14:paraId="744AF5EA" w14:textId="77777777" w:rsidR="00F3534B" w:rsidRPr="00816998" w:rsidRDefault="00F3534B" w:rsidP="00816998">
                  <w:pPr>
                    <w:spacing w:before="120" w:after="80"/>
                    <w:jc w:val="center"/>
                    <w:rPr>
                      <w:b/>
                      <w:sz w:val="20"/>
                      <w:szCs w:val="20"/>
                    </w:rPr>
                  </w:pPr>
                  <w:r w:rsidRPr="00816998">
                    <w:rPr>
                      <w:b/>
                      <w:sz w:val="20"/>
                      <w:szCs w:val="20"/>
                    </w:rPr>
                    <w:t xml:space="preserve">Winter Peak Curtailment Capacity </w:t>
                  </w:r>
                </w:p>
                <w:p w14:paraId="7AC91428" w14:textId="627578BE" w:rsidR="00F3534B" w:rsidRPr="00816998" w:rsidRDefault="00F905E6" w:rsidP="00816998">
                  <w:pPr>
                    <w:spacing w:before="120" w:after="80"/>
                    <w:jc w:val="center"/>
                    <w:rPr>
                      <w:sz w:val="20"/>
                      <w:szCs w:val="20"/>
                    </w:rPr>
                  </w:pPr>
                  <w:r w:rsidRPr="00816998">
                    <w:rPr>
                      <w:sz w:val="20"/>
                      <w:szCs w:val="20"/>
                    </w:rPr>
                    <w:t>(MW from Section 4.1 Table G2)</w:t>
                  </w:r>
                </w:p>
              </w:tc>
              <w:tc>
                <w:tcPr>
                  <w:tcW w:w="1867" w:type="pct"/>
                  <w:vAlign w:val="center"/>
                </w:tcPr>
                <w:p w14:paraId="0F173001" w14:textId="77777777" w:rsidR="00F3534B" w:rsidRPr="00816998" w:rsidRDefault="00F3534B" w:rsidP="00816998">
                  <w:pPr>
                    <w:spacing w:before="120" w:after="80"/>
                    <w:jc w:val="center"/>
                    <w:rPr>
                      <w:sz w:val="20"/>
                      <w:szCs w:val="20"/>
                    </w:rPr>
                  </w:pPr>
                  <w:r w:rsidRPr="00816998">
                    <w:rPr>
                      <w:b/>
                      <w:sz w:val="20"/>
                      <w:szCs w:val="20"/>
                    </w:rPr>
                    <w:t>Capacity Charge</w:t>
                  </w:r>
                  <w:r w:rsidRPr="00816998">
                    <w:rPr>
                      <w:sz w:val="20"/>
                      <w:szCs w:val="20"/>
                    </w:rPr>
                    <w:t xml:space="preserve"> </w:t>
                  </w:r>
                  <w:r w:rsidRPr="00816998">
                    <w:rPr>
                      <w:sz w:val="20"/>
                      <w:szCs w:val="20"/>
                    </w:rPr>
                    <w:br/>
                    <w:t>($/kW-year)</w:t>
                  </w:r>
                </w:p>
                <w:p w14:paraId="07995861" w14:textId="77777777" w:rsidR="00F3534B" w:rsidRPr="00816998" w:rsidRDefault="00F3534B" w:rsidP="00816998">
                  <w:pPr>
                    <w:spacing w:before="120" w:after="80"/>
                    <w:jc w:val="center"/>
                    <w:rPr>
                      <w:i/>
                      <w:sz w:val="20"/>
                      <w:szCs w:val="20"/>
                    </w:rPr>
                  </w:pPr>
                  <w:r w:rsidRPr="00816998">
                    <w:rPr>
                      <w:i/>
                      <w:sz w:val="20"/>
                      <w:szCs w:val="20"/>
                    </w:rPr>
                    <w:t>(excluding customer incentives)</w:t>
                  </w:r>
                </w:p>
              </w:tc>
            </w:tr>
            <w:tr w:rsidR="00F3534B" w:rsidRPr="00816998" w14:paraId="1D1FE8E6" w14:textId="77777777" w:rsidTr="000E610D">
              <w:trPr>
                <w:trHeight w:val="287"/>
              </w:trPr>
              <w:tc>
                <w:tcPr>
                  <w:tcW w:w="1369" w:type="pct"/>
                </w:tcPr>
                <w:p w14:paraId="54788078" w14:textId="77777777" w:rsidR="00F3534B" w:rsidRPr="00816998" w:rsidRDefault="00F3534B" w:rsidP="00816998">
                  <w:pPr>
                    <w:spacing w:before="120" w:after="80"/>
                    <w:jc w:val="center"/>
                    <w:rPr>
                      <w:sz w:val="20"/>
                      <w:szCs w:val="20"/>
                    </w:rPr>
                  </w:pPr>
                  <w:r w:rsidRPr="00816998">
                    <w:rPr>
                      <w:sz w:val="20"/>
                      <w:szCs w:val="20"/>
                    </w:rPr>
                    <w:t>2017</w:t>
                  </w:r>
                </w:p>
              </w:tc>
              <w:tc>
                <w:tcPr>
                  <w:tcW w:w="1765" w:type="pct"/>
                </w:tcPr>
                <w:p w14:paraId="2DE56C23" w14:textId="77777777" w:rsidR="00F3534B" w:rsidRPr="00816998" w:rsidRDefault="00F3534B" w:rsidP="00816998">
                  <w:pPr>
                    <w:spacing w:before="120" w:after="80"/>
                    <w:jc w:val="center"/>
                    <w:rPr>
                      <w:sz w:val="20"/>
                      <w:szCs w:val="20"/>
                    </w:rPr>
                  </w:pPr>
                </w:p>
              </w:tc>
              <w:tc>
                <w:tcPr>
                  <w:tcW w:w="1867" w:type="pct"/>
                </w:tcPr>
                <w:p w14:paraId="55724DCF" w14:textId="77777777" w:rsidR="00F3534B" w:rsidRPr="00816998" w:rsidRDefault="00F3534B" w:rsidP="00816998">
                  <w:pPr>
                    <w:spacing w:before="120" w:after="80"/>
                    <w:jc w:val="center"/>
                    <w:rPr>
                      <w:sz w:val="20"/>
                      <w:szCs w:val="20"/>
                    </w:rPr>
                  </w:pPr>
                </w:p>
              </w:tc>
            </w:tr>
            <w:tr w:rsidR="00F3534B" w:rsidRPr="00816998" w14:paraId="00E2BEA2" w14:textId="77777777" w:rsidTr="00133250">
              <w:tc>
                <w:tcPr>
                  <w:tcW w:w="1369" w:type="pct"/>
                </w:tcPr>
                <w:p w14:paraId="6C368C34" w14:textId="77777777" w:rsidR="00F3534B" w:rsidRPr="00816998" w:rsidRDefault="00F3534B" w:rsidP="00816998">
                  <w:pPr>
                    <w:spacing w:before="120" w:after="80"/>
                    <w:jc w:val="center"/>
                    <w:rPr>
                      <w:sz w:val="20"/>
                      <w:szCs w:val="20"/>
                    </w:rPr>
                  </w:pPr>
                  <w:r w:rsidRPr="00816998">
                    <w:rPr>
                      <w:sz w:val="20"/>
                      <w:szCs w:val="20"/>
                    </w:rPr>
                    <w:t>2018</w:t>
                  </w:r>
                </w:p>
              </w:tc>
              <w:tc>
                <w:tcPr>
                  <w:tcW w:w="1765" w:type="pct"/>
                </w:tcPr>
                <w:p w14:paraId="03ADA021" w14:textId="77777777" w:rsidR="00F3534B" w:rsidRPr="00816998" w:rsidRDefault="00F3534B" w:rsidP="00816998">
                  <w:pPr>
                    <w:spacing w:before="120" w:after="80"/>
                    <w:jc w:val="center"/>
                    <w:rPr>
                      <w:sz w:val="20"/>
                      <w:szCs w:val="20"/>
                    </w:rPr>
                  </w:pPr>
                </w:p>
              </w:tc>
              <w:tc>
                <w:tcPr>
                  <w:tcW w:w="1867" w:type="pct"/>
                </w:tcPr>
                <w:p w14:paraId="36E4C192" w14:textId="77777777" w:rsidR="00F3534B" w:rsidRPr="00816998" w:rsidRDefault="00F3534B" w:rsidP="00816998">
                  <w:pPr>
                    <w:spacing w:before="120" w:after="80"/>
                    <w:jc w:val="center"/>
                    <w:rPr>
                      <w:sz w:val="20"/>
                      <w:szCs w:val="20"/>
                    </w:rPr>
                  </w:pPr>
                </w:p>
              </w:tc>
            </w:tr>
            <w:tr w:rsidR="00F3534B" w:rsidRPr="00816998" w14:paraId="6AFFCD39" w14:textId="77777777" w:rsidTr="00133250">
              <w:tc>
                <w:tcPr>
                  <w:tcW w:w="1369" w:type="pct"/>
                </w:tcPr>
                <w:p w14:paraId="15B7EFFF" w14:textId="77777777" w:rsidR="00F3534B" w:rsidRPr="00816998" w:rsidRDefault="00F3534B" w:rsidP="00816998">
                  <w:pPr>
                    <w:spacing w:before="120" w:after="80"/>
                    <w:jc w:val="center"/>
                    <w:rPr>
                      <w:sz w:val="20"/>
                      <w:szCs w:val="20"/>
                    </w:rPr>
                  </w:pPr>
                  <w:r w:rsidRPr="00816998">
                    <w:rPr>
                      <w:sz w:val="20"/>
                      <w:szCs w:val="20"/>
                    </w:rPr>
                    <w:t>2019</w:t>
                  </w:r>
                </w:p>
              </w:tc>
              <w:tc>
                <w:tcPr>
                  <w:tcW w:w="1765" w:type="pct"/>
                </w:tcPr>
                <w:p w14:paraId="4C7EC462" w14:textId="77777777" w:rsidR="00F3534B" w:rsidRPr="00816998" w:rsidRDefault="00F3534B" w:rsidP="00816998">
                  <w:pPr>
                    <w:spacing w:before="120" w:after="80"/>
                    <w:jc w:val="center"/>
                    <w:rPr>
                      <w:sz w:val="20"/>
                      <w:szCs w:val="20"/>
                    </w:rPr>
                  </w:pPr>
                </w:p>
              </w:tc>
              <w:tc>
                <w:tcPr>
                  <w:tcW w:w="1867" w:type="pct"/>
                </w:tcPr>
                <w:p w14:paraId="3640B22A" w14:textId="77777777" w:rsidR="00F3534B" w:rsidRPr="00816998" w:rsidRDefault="00F3534B" w:rsidP="00816998">
                  <w:pPr>
                    <w:spacing w:before="120" w:after="80"/>
                    <w:jc w:val="center"/>
                    <w:rPr>
                      <w:sz w:val="20"/>
                      <w:szCs w:val="20"/>
                    </w:rPr>
                  </w:pPr>
                </w:p>
              </w:tc>
            </w:tr>
            <w:tr w:rsidR="00F3534B" w:rsidRPr="00816998" w14:paraId="77B3B2B7" w14:textId="77777777" w:rsidTr="00133250">
              <w:tc>
                <w:tcPr>
                  <w:tcW w:w="1369" w:type="pct"/>
                </w:tcPr>
                <w:p w14:paraId="7270E6FC" w14:textId="77777777" w:rsidR="00F3534B" w:rsidRPr="00816998" w:rsidRDefault="00F3534B" w:rsidP="00816998">
                  <w:pPr>
                    <w:spacing w:before="120" w:after="80"/>
                    <w:jc w:val="center"/>
                    <w:rPr>
                      <w:sz w:val="20"/>
                      <w:szCs w:val="20"/>
                    </w:rPr>
                  </w:pPr>
                  <w:r w:rsidRPr="00816998">
                    <w:rPr>
                      <w:sz w:val="20"/>
                      <w:szCs w:val="20"/>
                    </w:rPr>
                    <w:t>2020</w:t>
                  </w:r>
                </w:p>
              </w:tc>
              <w:tc>
                <w:tcPr>
                  <w:tcW w:w="1765" w:type="pct"/>
                </w:tcPr>
                <w:p w14:paraId="705A454F" w14:textId="77777777" w:rsidR="00F3534B" w:rsidRPr="00816998" w:rsidRDefault="00F3534B" w:rsidP="00816998">
                  <w:pPr>
                    <w:spacing w:before="120" w:after="80"/>
                    <w:jc w:val="center"/>
                    <w:rPr>
                      <w:sz w:val="20"/>
                      <w:szCs w:val="20"/>
                    </w:rPr>
                  </w:pPr>
                </w:p>
              </w:tc>
              <w:tc>
                <w:tcPr>
                  <w:tcW w:w="1867" w:type="pct"/>
                </w:tcPr>
                <w:p w14:paraId="5221D9F7" w14:textId="77777777" w:rsidR="00F3534B" w:rsidRPr="00816998" w:rsidRDefault="00F3534B" w:rsidP="00816998">
                  <w:pPr>
                    <w:spacing w:before="120" w:after="80"/>
                    <w:jc w:val="center"/>
                    <w:rPr>
                      <w:sz w:val="20"/>
                      <w:szCs w:val="20"/>
                    </w:rPr>
                  </w:pPr>
                </w:p>
              </w:tc>
            </w:tr>
            <w:tr w:rsidR="00F3534B" w:rsidRPr="00816998" w14:paraId="7F6384C7" w14:textId="77777777" w:rsidTr="00133250">
              <w:tc>
                <w:tcPr>
                  <w:tcW w:w="1369" w:type="pct"/>
                </w:tcPr>
                <w:p w14:paraId="43DC1C74" w14:textId="7B63922D" w:rsidR="00F3534B" w:rsidRPr="00816998" w:rsidRDefault="00F3534B" w:rsidP="00816998">
                  <w:pPr>
                    <w:spacing w:before="120" w:after="80"/>
                    <w:jc w:val="center"/>
                    <w:rPr>
                      <w:sz w:val="20"/>
                      <w:szCs w:val="20"/>
                    </w:rPr>
                  </w:pPr>
                  <w:r w:rsidRPr="00816998">
                    <w:rPr>
                      <w:sz w:val="20"/>
                      <w:szCs w:val="20"/>
                    </w:rPr>
                    <w:t>2021</w:t>
                  </w:r>
                </w:p>
              </w:tc>
              <w:tc>
                <w:tcPr>
                  <w:tcW w:w="1765" w:type="pct"/>
                </w:tcPr>
                <w:p w14:paraId="6E3C5F49" w14:textId="77777777" w:rsidR="00F3534B" w:rsidRPr="00816998" w:rsidRDefault="00F3534B" w:rsidP="00816998">
                  <w:pPr>
                    <w:spacing w:before="120" w:after="80"/>
                    <w:jc w:val="center"/>
                    <w:rPr>
                      <w:sz w:val="20"/>
                      <w:szCs w:val="20"/>
                    </w:rPr>
                  </w:pPr>
                </w:p>
              </w:tc>
              <w:tc>
                <w:tcPr>
                  <w:tcW w:w="1867" w:type="pct"/>
                </w:tcPr>
                <w:p w14:paraId="1D2068DC" w14:textId="77777777" w:rsidR="00F3534B" w:rsidRPr="00816998" w:rsidRDefault="00F3534B" w:rsidP="00816998">
                  <w:pPr>
                    <w:spacing w:before="120" w:after="80"/>
                    <w:jc w:val="center"/>
                    <w:rPr>
                      <w:sz w:val="20"/>
                      <w:szCs w:val="20"/>
                    </w:rPr>
                  </w:pPr>
                </w:p>
              </w:tc>
            </w:tr>
          </w:tbl>
          <w:p w14:paraId="74478DA6" w14:textId="61F900E3" w:rsidR="009E1E3A" w:rsidRPr="00816998" w:rsidRDefault="00F905E6" w:rsidP="00816998">
            <w:pPr>
              <w:spacing w:before="120" w:after="80"/>
              <w:rPr>
                <w:sz w:val="20"/>
                <w:szCs w:val="20"/>
              </w:rPr>
            </w:pPr>
            <w:r w:rsidRPr="00816998">
              <w:rPr>
                <w:b/>
                <w:sz w:val="20"/>
                <w:szCs w:val="20"/>
              </w:rPr>
              <w:t>Customer Incentives.</w:t>
            </w:r>
            <w:r w:rsidRPr="00816998">
              <w:rPr>
                <w:sz w:val="20"/>
                <w:szCs w:val="20"/>
              </w:rPr>
              <w:t xml:space="preserve"> </w:t>
            </w:r>
            <w:r w:rsidR="00F3534B" w:rsidRPr="00816998">
              <w:rPr>
                <w:sz w:val="20"/>
                <w:szCs w:val="20"/>
              </w:rPr>
              <w:t>Note that PSE will be administering the incentive directly to the customer. Indicate in the table below the proposed incentive level (based on your judgement/industry expertise) that would be necessary/sufficient to attain the MW curtailment amounts you provided in the previous table.</w:t>
            </w:r>
            <w:r w:rsidRPr="00816998">
              <w:rPr>
                <w:sz w:val="20"/>
                <w:szCs w:val="20"/>
              </w:rPr>
              <w:t xml:space="preserve"> PSE intends to negotiate payment terms with the selected bidder such that payments to bidder will be reduced if the incentive payments required to attract participation are higher than proposed here; conversely, if bidder’s marketing/delivery efforts result in participation at lower incentive levels, PSE will share some of the cost savings.</w:t>
            </w:r>
            <w:r w:rsidRPr="00816998" w:rsidDel="00F905E6">
              <w:rPr>
                <w:rStyle w:val="FootnoteReference"/>
                <w:sz w:val="20"/>
                <w:szCs w:val="20"/>
              </w:rPr>
              <w:t xml:space="preserve"> </w:t>
            </w:r>
            <w:r w:rsidR="00F3534B" w:rsidRPr="00816998">
              <w:rPr>
                <w:sz w:val="20"/>
                <w:szCs w:val="20"/>
              </w:rPr>
              <w:t xml:space="preserve"> </w:t>
            </w:r>
          </w:p>
          <w:p w14:paraId="67869B60" w14:textId="0DC6E351" w:rsidR="00F3534B" w:rsidRPr="00816998" w:rsidRDefault="00EF1B83" w:rsidP="00816998">
            <w:pPr>
              <w:spacing w:before="120" w:after="80"/>
              <w:rPr>
                <w:sz w:val="20"/>
                <w:szCs w:val="20"/>
              </w:rPr>
            </w:pPr>
            <w:r w:rsidRPr="00816998">
              <w:rPr>
                <w:b/>
                <w:sz w:val="20"/>
                <w:szCs w:val="20"/>
              </w:rPr>
              <w:t>Total Cost.</w:t>
            </w:r>
            <w:r w:rsidRPr="00816998">
              <w:rPr>
                <w:sz w:val="20"/>
                <w:szCs w:val="20"/>
              </w:rPr>
              <w:t xml:space="preserve"> In the final column, </w:t>
            </w:r>
            <w:r w:rsidR="00DE5A27" w:rsidRPr="00816998">
              <w:rPr>
                <w:sz w:val="20"/>
                <w:szCs w:val="20"/>
              </w:rPr>
              <w:t xml:space="preserve">provide the total </w:t>
            </w:r>
            <w:r w:rsidRPr="00816998">
              <w:rPr>
                <w:sz w:val="20"/>
                <w:szCs w:val="20"/>
              </w:rPr>
              <w:t xml:space="preserve">cost to PSE, </w:t>
            </w:r>
            <w:r w:rsidR="00DE5A27" w:rsidRPr="00816998">
              <w:rPr>
                <w:sz w:val="20"/>
                <w:szCs w:val="20"/>
              </w:rPr>
              <w:t xml:space="preserve">which includes the capacity charges indicated in the previous table, plus the customer incentives. </w:t>
            </w:r>
          </w:p>
          <w:tbl>
            <w:tblPr>
              <w:tblStyle w:val="TableGrid"/>
              <w:tblW w:w="5000" w:type="pct"/>
              <w:tblLook w:val="04A0" w:firstRow="1" w:lastRow="0" w:firstColumn="1" w:lastColumn="0" w:noHBand="0" w:noVBand="1"/>
            </w:tblPr>
            <w:tblGrid>
              <w:gridCol w:w="948"/>
              <w:gridCol w:w="1945"/>
              <w:gridCol w:w="1893"/>
              <w:gridCol w:w="1894"/>
            </w:tblGrid>
            <w:tr w:rsidR="000503DD" w:rsidRPr="00816998" w14:paraId="3E59FFC7" w14:textId="09D3D118" w:rsidTr="005B51B9">
              <w:trPr>
                <w:trHeight w:val="467"/>
              </w:trPr>
              <w:tc>
                <w:tcPr>
                  <w:tcW w:w="709" w:type="pct"/>
                  <w:vMerge w:val="restart"/>
                  <w:vAlign w:val="center"/>
                </w:tcPr>
                <w:p w14:paraId="3203905C" w14:textId="77777777" w:rsidR="000503DD" w:rsidRPr="00816998" w:rsidRDefault="000503DD" w:rsidP="00816998">
                  <w:pPr>
                    <w:spacing w:before="120" w:after="80"/>
                    <w:jc w:val="center"/>
                    <w:rPr>
                      <w:b/>
                      <w:sz w:val="20"/>
                      <w:szCs w:val="20"/>
                    </w:rPr>
                  </w:pPr>
                  <w:r w:rsidRPr="00816998">
                    <w:rPr>
                      <w:b/>
                      <w:sz w:val="20"/>
                      <w:szCs w:val="20"/>
                    </w:rPr>
                    <w:t>Year</w:t>
                  </w:r>
                </w:p>
              </w:tc>
              <w:tc>
                <w:tcPr>
                  <w:tcW w:w="2873" w:type="pct"/>
                  <w:gridSpan w:val="2"/>
                  <w:vAlign w:val="center"/>
                </w:tcPr>
                <w:p w14:paraId="4DC5F522" w14:textId="7E7F72E4" w:rsidR="000503DD" w:rsidRPr="00816998" w:rsidRDefault="000503DD" w:rsidP="00816998">
                  <w:pPr>
                    <w:spacing w:before="120" w:after="80"/>
                    <w:jc w:val="center"/>
                    <w:rPr>
                      <w:sz w:val="20"/>
                      <w:szCs w:val="20"/>
                    </w:rPr>
                  </w:pPr>
                  <w:r w:rsidRPr="00816998">
                    <w:rPr>
                      <w:b/>
                      <w:sz w:val="20"/>
                      <w:szCs w:val="20"/>
                    </w:rPr>
                    <w:t>Customer Incentives</w:t>
                  </w:r>
                </w:p>
              </w:tc>
              <w:tc>
                <w:tcPr>
                  <w:tcW w:w="1418" w:type="pct"/>
                  <w:vMerge w:val="restart"/>
                  <w:vAlign w:val="center"/>
                </w:tcPr>
                <w:p w14:paraId="377A46BC" w14:textId="75658913" w:rsidR="000503DD" w:rsidRPr="00816998" w:rsidRDefault="000503DD" w:rsidP="00816998">
                  <w:pPr>
                    <w:spacing w:before="120" w:after="80"/>
                    <w:jc w:val="center"/>
                    <w:rPr>
                      <w:b/>
                      <w:i/>
                      <w:sz w:val="20"/>
                      <w:szCs w:val="20"/>
                    </w:rPr>
                  </w:pPr>
                  <w:r w:rsidRPr="00816998">
                    <w:rPr>
                      <w:b/>
                      <w:sz w:val="20"/>
                      <w:szCs w:val="20"/>
                    </w:rPr>
                    <w:t xml:space="preserve">Total </w:t>
                  </w:r>
                  <w:r w:rsidR="00EF1B83" w:rsidRPr="00816998">
                    <w:rPr>
                      <w:b/>
                      <w:sz w:val="20"/>
                      <w:szCs w:val="20"/>
                    </w:rPr>
                    <w:t xml:space="preserve">Cost </w:t>
                  </w:r>
                  <w:r w:rsidRPr="00816998">
                    <w:rPr>
                      <w:b/>
                      <w:sz w:val="20"/>
                      <w:szCs w:val="20"/>
                    </w:rPr>
                    <w:t xml:space="preserve">($/kW-yr.), </w:t>
                  </w:r>
                  <w:r w:rsidRPr="00816998">
                    <w:rPr>
                      <w:b/>
                      <w:i/>
                      <w:sz w:val="20"/>
                      <w:szCs w:val="20"/>
                    </w:rPr>
                    <w:t>Capacity Charge plus Incentive</w:t>
                  </w:r>
                </w:p>
                <w:p w14:paraId="1E093B5F" w14:textId="77777777" w:rsidR="000503DD" w:rsidRPr="00816998" w:rsidRDefault="000503DD" w:rsidP="00816998">
                  <w:pPr>
                    <w:spacing w:before="120" w:after="80"/>
                    <w:jc w:val="center"/>
                    <w:rPr>
                      <w:b/>
                      <w:sz w:val="20"/>
                      <w:szCs w:val="20"/>
                    </w:rPr>
                  </w:pPr>
                </w:p>
              </w:tc>
            </w:tr>
            <w:tr w:rsidR="000503DD" w:rsidRPr="00816998" w14:paraId="1B452591" w14:textId="77777777" w:rsidTr="005B51B9">
              <w:trPr>
                <w:trHeight w:val="935"/>
              </w:trPr>
              <w:tc>
                <w:tcPr>
                  <w:tcW w:w="709" w:type="pct"/>
                  <w:vMerge/>
                </w:tcPr>
                <w:p w14:paraId="0C0AE886" w14:textId="77777777" w:rsidR="000503DD" w:rsidRPr="00816998" w:rsidRDefault="000503DD" w:rsidP="00816998">
                  <w:pPr>
                    <w:spacing w:before="120" w:after="80"/>
                    <w:jc w:val="center"/>
                    <w:rPr>
                      <w:sz w:val="20"/>
                      <w:szCs w:val="20"/>
                    </w:rPr>
                  </w:pPr>
                </w:p>
              </w:tc>
              <w:tc>
                <w:tcPr>
                  <w:tcW w:w="1456" w:type="pct"/>
                </w:tcPr>
                <w:p w14:paraId="19870D9C" w14:textId="6F0D77B4" w:rsidR="000503DD" w:rsidRPr="00816998" w:rsidRDefault="000503DD" w:rsidP="00816998">
                  <w:pPr>
                    <w:spacing w:before="120" w:after="80"/>
                    <w:jc w:val="center"/>
                    <w:rPr>
                      <w:sz w:val="20"/>
                      <w:szCs w:val="20"/>
                    </w:rPr>
                  </w:pPr>
                  <w:r w:rsidRPr="00816998">
                    <w:rPr>
                      <w:sz w:val="20"/>
                      <w:szCs w:val="20"/>
                    </w:rPr>
                    <w:t>Per Participant Annual Incentive ($/participant)</w:t>
                  </w:r>
                </w:p>
              </w:tc>
              <w:tc>
                <w:tcPr>
                  <w:tcW w:w="1417" w:type="pct"/>
                </w:tcPr>
                <w:p w14:paraId="6D21E499" w14:textId="6C8EE3A6" w:rsidR="000503DD" w:rsidRPr="00816998" w:rsidRDefault="000503DD" w:rsidP="00816998">
                  <w:pPr>
                    <w:spacing w:before="120" w:after="80"/>
                    <w:jc w:val="center"/>
                    <w:rPr>
                      <w:sz w:val="20"/>
                      <w:szCs w:val="20"/>
                    </w:rPr>
                  </w:pPr>
                  <w:r w:rsidRPr="00816998">
                    <w:rPr>
                      <w:sz w:val="20"/>
                      <w:szCs w:val="20"/>
                    </w:rPr>
                    <w:t>Normalized</w:t>
                  </w:r>
                  <w:r w:rsidRPr="00816998">
                    <w:rPr>
                      <w:rStyle w:val="FootnoteReference"/>
                      <w:b/>
                      <w:sz w:val="20"/>
                      <w:szCs w:val="20"/>
                    </w:rPr>
                    <w:footnoteReference w:id="3"/>
                  </w:r>
                  <w:r w:rsidRPr="00816998">
                    <w:rPr>
                      <w:sz w:val="20"/>
                      <w:szCs w:val="20"/>
                    </w:rPr>
                    <w:t xml:space="preserve"> Incentive based on delivered capacity ($/kW-</w:t>
                  </w:r>
                  <w:r w:rsidR="001C07AA" w:rsidRPr="00816998">
                    <w:rPr>
                      <w:sz w:val="20"/>
                      <w:szCs w:val="20"/>
                    </w:rPr>
                    <w:t>yr.</w:t>
                  </w:r>
                  <w:r w:rsidRPr="00816998">
                    <w:rPr>
                      <w:sz w:val="20"/>
                      <w:szCs w:val="20"/>
                    </w:rPr>
                    <w:t xml:space="preserve">) </w:t>
                  </w:r>
                </w:p>
              </w:tc>
              <w:tc>
                <w:tcPr>
                  <w:tcW w:w="1418" w:type="pct"/>
                  <w:vMerge/>
                </w:tcPr>
                <w:p w14:paraId="484BB3FF" w14:textId="77777777" w:rsidR="000503DD" w:rsidRPr="00816998" w:rsidRDefault="000503DD" w:rsidP="00816998">
                  <w:pPr>
                    <w:spacing w:before="120" w:after="80"/>
                    <w:jc w:val="center"/>
                    <w:rPr>
                      <w:sz w:val="20"/>
                      <w:szCs w:val="20"/>
                    </w:rPr>
                  </w:pPr>
                </w:p>
              </w:tc>
            </w:tr>
            <w:tr w:rsidR="00DE5A27" w:rsidRPr="00816998" w14:paraId="3B64E59F" w14:textId="63376115" w:rsidTr="005B51B9">
              <w:tc>
                <w:tcPr>
                  <w:tcW w:w="709" w:type="pct"/>
                </w:tcPr>
                <w:p w14:paraId="1DB65AC0" w14:textId="68F869F2" w:rsidR="00DE5A27" w:rsidRPr="00816998" w:rsidRDefault="00DE5A27" w:rsidP="00816998">
                  <w:pPr>
                    <w:spacing w:before="120" w:after="80"/>
                    <w:jc w:val="center"/>
                    <w:rPr>
                      <w:sz w:val="20"/>
                      <w:szCs w:val="20"/>
                    </w:rPr>
                  </w:pPr>
                  <w:r w:rsidRPr="00816998">
                    <w:rPr>
                      <w:sz w:val="20"/>
                      <w:szCs w:val="20"/>
                    </w:rPr>
                    <w:t>2017</w:t>
                  </w:r>
                </w:p>
              </w:tc>
              <w:tc>
                <w:tcPr>
                  <w:tcW w:w="1456" w:type="pct"/>
                </w:tcPr>
                <w:p w14:paraId="49361BEF" w14:textId="77777777" w:rsidR="00DE5A27" w:rsidRPr="00816998" w:rsidRDefault="00DE5A27" w:rsidP="00816998">
                  <w:pPr>
                    <w:spacing w:before="120" w:after="80"/>
                    <w:jc w:val="center"/>
                    <w:rPr>
                      <w:sz w:val="20"/>
                      <w:szCs w:val="20"/>
                    </w:rPr>
                  </w:pPr>
                </w:p>
              </w:tc>
              <w:tc>
                <w:tcPr>
                  <w:tcW w:w="1417" w:type="pct"/>
                </w:tcPr>
                <w:p w14:paraId="77C428FA" w14:textId="0E576122" w:rsidR="00DE5A27" w:rsidRPr="00816998" w:rsidRDefault="00DE5A27" w:rsidP="00816998">
                  <w:pPr>
                    <w:spacing w:before="120" w:after="80"/>
                    <w:jc w:val="center"/>
                    <w:rPr>
                      <w:sz w:val="20"/>
                      <w:szCs w:val="20"/>
                    </w:rPr>
                  </w:pPr>
                </w:p>
              </w:tc>
              <w:tc>
                <w:tcPr>
                  <w:tcW w:w="1418" w:type="pct"/>
                </w:tcPr>
                <w:p w14:paraId="5E945DF6" w14:textId="77777777" w:rsidR="00DE5A27" w:rsidRPr="00816998" w:rsidRDefault="00DE5A27" w:rsidP="00816998">
                  <w:pPr>
                    <w:spacing w:before="120" w:after="80"/>
                    <w:jc w:val="center"/>
                    <w:rPr>
                      <w:sz w:val="20"/>
                      <w:szCs w:val="20"/>
                    </w:rPr>
                  </w:pPr>
                </w:p>
              </w:tc>
            </w:tr>
            <w:tr w:rsidR="00DE5A27" w:rsidRPr="00816998" w14:paraId="0246B1FC" w14:textId="7CE57F74" w:rsidTr="005B51B9">
              <w:tc>
                <w:tcPr>
                  <w:tcW w:w="709" w:type="pct"/>
                </w:tcPr>
                <w:p w14:paraId="28C9E6B2" w14:textId="77777777" w:rsidR="00DE5A27" w:rsidRPr="00816998" w:rsidRDefault="00DE5A27" w:rsidP="00816998">
                  <w:pPr>
                    <w:spacing w:before="120" w:after="80"/>
                    <w:jc w:val="center"/>
                    <w:rPr>
                      <w:sz w:val="20"/>
                      <w:szCs w:val="20"/>
                    </w:rPr>
                  </w:pPr>
                  <w:r w:rsidRPr="00816998">
                    <w:rPr>
                      <w:sz w:val="20"/>
                      <w:szCs w:val="20"/>
                    </w:rPr>
                    <w:t>2018</w:t>
                  </w:r>
                </w:p>
              </w:tc>
              <w:tc>
                <w:tcPr>
                  <w:tcW w:w="1456" w:type="pct"/>
                </w:tcPr>
                <w:p w14:paraId="48157972" w14:textId="77777777" w:rsidR="00DE5A27" w:rsidRPr="00816998" w:rsidRDefault="00DE5A27" w:rsidP="00816998">
                  <w:pPr>
                    <w:spacing w:before="120" w:after="80"/>
                    <w:jc w:val="center"/>
                    <w:rPr>
                      <w:sz w:val="20"/>
                      <w:szCs w:val="20"/>
                    </w:rPr>
                  </w:pPr>
                </w:p>
              </w:tc>
              <w:tc>
                <w:tcPr>
                  <w:tcW w:w="1417" w:type="pct"/>
                </w:tcPr>
                <w:p w14:paraId="64A3FDA6" w14:textId="3BDA7DB6" w:rsidR="00DE5A27" w:rsidRPr="00816998" w:rsidRDefault="00DE5A27" w:rsidP="00816998">
                  <w:pPr>
                    <w:spacing w:before="120" w:after="80"/>
                    <w:jc w:val="center"/>
                    <w:rPr>
                      <w:sz w:val="20"/>
                      <w:szCs w:val="20"/>
                    </w:rPr>
                  </w:pPr>
                </w:p>
              </w:tc>
              <w:tc>
                <w:tcPr>
                  <w:tcW w:w="1418" w:type="pct"/>
                </w:tcPr>
                <w:p w14:paraId="0B578439" w14:textId="77777777" w:rsidR="00DE5A27" w:rsidRPr="00816998" w:rsidRDefault="00DE5A27" w:rsidP="00816998">
                  <w:pPr>
                    <w:spacing w:before="120" w:after="80"/>
                    <w:jc w:val="center"/>
                    <w:rPr>
                      <w:sz w:val="20"/>
                      <w:szCs w:val="20"/>
                    </w:rPr>
                  </w:pPr>
                </w:p>
              </w:tc>
            </w:tr>
            <w:tr w:rsidR="00DE5A27" w:rsidRPr="00816998" w14:paraId="51887279" w14:textId="37783495" w:rsidTr="005B51B9">
              <w:tc>
                <w:tcPr>
                  <w:tcW w:w="709" w:type="pct"/>
                </w:tcPr>
                <w:p w14:paraId="6D26BA81" w14:textId="77777777" w:rsidR="00DE5A27" w:rsidRPr="00816998" w:rsidRDefault="00DE5A27" w:rsidP="00816998">
                  <w:pPr>
                    <w:spacing w:before="120" w:after="80"/>
                    <w:jc w:val="center"/>
                    <w:rPr>
                      <w:sz w:val="20"/>
                      <w:szCs w:val="20"/>
                    </w:rPr>
                  </w:pPr>
                  <w:r w:rsidRPr="00816998">
                    <w:rPr>
                      <w:sz w:val="20"/>
                      <w:szCs w:val="20"/>
                    </w:rPr>
                    <w:t>2019</w:t>
                  </w:r>
                </w:p>
              </w:tc>
              <w:tc>
                <w:tcPr>
                  <w:tcW w:w="1456" w:type="pct"/>
                </w:tcPr>
                <w:p w14:paraId="21B556DF" w14:textId="77777777" w:rsidR="00DE5A27" w:rsidRPr="00816998" w:rsidRDefault="00DE5A27" w:rsidP="00816998">
                  <w:pPr>
                    <w:spacing w:before="120" w:after="80"/>
                    <w:jc w:val="center"/>
                    <w:rPr>
                      <w:sz w:val="20"/>
                      <w:szCs w:val="20"/>
                    </w:rPr>
                  </w:pPr>
                </w:p>
              </w:tc>
              <w:tc>
                <w:tcPr>
                  <w:tcW w:w="1417" w:type="pct"/>
                </w:tcPr>
                <w:p w14:paraId="01CDDC48" w14:textId="7AE0EB71" w:rsidR="00DE5A27" w:rsidRPr="00816998" w:rsidRDefault="00DE5A27" w:rsidP="00816998">
                  <w:pPr>
                    <w:spacing w:before="120" w:after="80"/>
                    <w:jc w:val="center"/>
                    <w:rPr>
                      <w:sz w:val="20"/>
                      <w:szCs w:val="20"/>
                    </w:rPr>
                  </w:pPr>
                </w:p>
              </w:tc>
              <w:tc>
                <w:tcPr>
                  <w:tcW w:w="1418" w:type="pct"/>
                </w:tcPr>
                <w:p w14:paraId="1986029C" w14:textId="77777777" w:rsidR="00DE5A27" w:rsidRPr="00816998" w:rsidRDefault="00DE5A27" w:rsidP="00816998">
                  <w:pPr>
                    <w:spacing w:before="120" w:after="80"/>
                    <w:jc w:val="center"/>
                    <w:rPr>
                      <w:sz w:val="20"/>
                      <w:szCs w:val="20"/>
                    </w:rPr>
                  </w:pPr>
                </w:p>
              </w:tc>
            </w:tr>
            <w:tr w:rsidR="00DE5A27" w:rsidRPr="00816998" w14:paraId="31834C23" w14:textId="451EE347" w:rsidTr="005B51B9">
              <w:tc>
                <w:tcPr>
                  <w:tcW w:w="709" w:type="pct"/>
                </w:tcPr>
                <w:p w14:paraId="7A9C6E43" w14:textId="77777777" w:rsidR="00DE5A27" w:rsidRPr="00816998" w:rsidRDefault="00DE5A27" w:rsidP="00816998">
                  <w:pPr>
                    <w:spacing w:before="120" w:after="80"/>
                    <w:jc w:val="center"/>
                    <w:rPr>
                      <w:sz w:val="20"/>
                      <w:szCs w:val="20"/>
                    </w:rPr>
                  </w:pPr>
                  <w:r w:rsidRPr="00816998">
                    <w:rPr>
                      <w:sz w:val="20"/>
                      <w:szCs w:val="20"/>
                    </w:rPr>
                    <w:t>2020</w:t>
                  </w:r>
                </w:p>
              </w:tc>
              <w:tc>
                <w:tcPr>
                  <w:tcW w:w="1456" w:type="pct"/>
                </w:tcPr>
                <w:p w14:paraId="591B4C13" w14:textId="77777777" w:rsidR="00DE5A27" w:rsidRPr="00816998" w:rsidRDefault="00DE5A27" w:rsidP="00816998">
                  <w:pPr>
                    <w:spacing w:before="120" w:after="80"/>
                    <w:jc w:val="center"/>
                    <w:rPr>
                      <w:sz w:val="20"/>
                      <w:szCs w:val="20"/>
                    </w:rPr>
                  </w:pPr>
                </w:p>
              </w:tc>
              <w:tc>
                <w:tcPr>
                  <w:tcW w:w="1417" w:type="pct"/>
                </w:tcPr>
                <w:p w14:paraId="5E3EFD2B" w14:textId="44D27690" w:rsidR="00DE5A27" w:rsidRPr="00816998" w:rsidRDefault="00DE5A27" w:rsidP="00816998">
                  <w:pPr>
                    <w:spacing w:before="120" w:after="80"/>
                    <w:jc w:val="center"/>
                    <w:rPr>
                      <w:sz w:val="20"/>
                      <w:szCs w:val="20"/>
                    </w:rPr>
                  </w:pPr>
                </w:p>
              </w:tc>
              <w:tc>
                <w:tcPr>
                  <w:tcW w:w="1418" w:type="pct"/>
                </w:tcPr>
                <w:p w14:paraId="4D01F502" w14:textId="77777777" w:rsidR="00DE5A27" w:rsidRPr="00816998" w:rsidRDefault="00DE5A27" w:rsidP="00816998">
                  <w:pPr>
                    <w:spacing w:before="120" w:after="80"/>
                    <w:jc w:val="center"/>
                    <w:rPr>
                      <w:sz w:val="20"/>
                      <w:szCs w:val="20"/>
                    </w:rPr>
                  </w:pPr>
                </w:p>
              </w:tc>
            </w:tr>
            <w:tr w:rsidR="00DE5A27" w:rsidRPr="00816998" w14:paraId="262E71FB" w14:textId="5F211BE0" w:rsidTr="005B51B9">
              <w:tc>
                <w:tcPr>
                  <w:tcW w:w="709" w:type="pct"/>
                </w:tcPr>
                <w:p w14:paraId="150CBBAD" w14:textId="77777777" w:rsidR="00DE5A27" w:rsidRPr="00816998" w:rsidRDefault="00DE5A27" w:rsidP="00816998">
                  <w:pPr>
                    <w:spacing w:before="120" w:after="80"/>
                    <w:jc w:val="center"/>
                    <w:rPr>
                      <w:sz w:val="20"/>
                      <w:szCs w:val="20"/>
                    </w:rPr>
                  </w:pPr>
                  <w:r w:rsidRPr="00816998">
                    <w:rPr>
                      <w:sz w:val="20"/>
                      <w:szCs w:val="20"/>
                    </w:rPr>
                    <w:t>2021</w:t>
                  </w:r>
                </w:p>
              </w:tc>
              <w:tc>
                <w:tcPr>
                  <w:tcW w:w="1456" w:type="pct"/>
                </w:tcPr>
                <w:p w14:paraId="194EB89B" w14:textId="77777777" w:rsidR="00DE5A27" w:rsidRPr="00816998" w:rsidRDefault="00DE5A27" w:rsidP="00816998">
                  <w:pPr>
                    <w:spacing w:before="120" w:after="80"/>
                    <w:jc w:val="center"/>
                    <w:rPr>
                      <w:sz w:val="20"/>
                      <w:szCs w:val="20"/>
                    </w:rPr>
                  </w:pPr>
                </w:p>
              </w:tc>
              <w:tc>
                <w:tcPr>
                  <w:tcW w:w="1417" w:type="pct"/>
                </w:tcPr>
                <w:p w14:paraId="248890F9" w14:textId="074265F9" w:rsidR="00DE5A27" w:rsidRPr="00816998" w:rsidRDefault="00DE5A27" w:rsidP="00816998">
                  <w:pPr>
                    <w:spacing w:before="120" w:after="80"/>
                    <w:jc w:val="center"/>
                    <w:rPr>
                      <w:sz w:val="20"/>
                      <w:szCs w:val="20"/>
                    </w:rPr>
                  </w:pPr>
                </w:p>
              </w:tc>
              <w:tc>
                <w:tcPr>
                  <w:tcW w:w="1418" w:type="pct"/>
                </w:tcPr>
                <w:p w14:paraId="14374B87" w14:textId="77777777" w:rsidR="00DE5A27" w:rsidRPr="00816998" w:rsidRDefault="00DE5A27" w:rsidP="00816998">
                  <w:pPr>
                    <w:spacing w:before="120" w:after="80"/>
                    <w:jc w:val="center"/>
                    <w:rPr>
                      <w:sz w:val="20"/>
                      <w:szCs w:val="20"/>
                    </w:rPr>
                  </w:pPr>
                </w:p>
              </w:tc>
            </w:tr>
          </w:tbl>
          <w:p w14:paraId="5ED775A3" w14:textId="77777777" w:rsidR="00F3534B" w:rsidRPr="00816998" w:rsidRDefault="00F3534B" w:rsidP="00816998">
            <w:pPr>
              <w:spacing w:before="120" w:after="80"/>
              <w:rPr>
                <w:sz w:val="20"/>
                <w:szCs w:val="20"/>
              </w:rPr>
            </w:pPr>
          </w:p>
        </w:tc>
      </w:tr>
      <w:tr w:rsidR="00F3534B" w:rsidRPr="00816998" w14:paraId="57980844" w14:textId="77777777" w:rsidTr="007703FA">
        <w:trPr>
          <w:cantSplit/>
          <w:trHeight w:val="2537"/>
        </w:trPr>
        <w:tc>
          <w:tcPr>
            <w:tcW w:w="1394" w:type="pct"/>
            <w:shd w:val="clear" w:color="auto" w:fill="D9D9D9"/>
          </w:tcPr>
          <w:p w14:paraId="5898D570" w14:textId="77777777" w:rsidR="00F3534B" w:rsidRPr="00816998" w:rsidRDefault="00F3534B" w:rsidP="00816998">
            <w:pPr>
              <w:numPr>
                <w:ilvl w:val="0"/>
                <w:numId w:val="10"/>
              </w:numPr>
              <w:spacing w:before="120" w:after="120"/>
              <w:rPr>
                <w:sz w:val="20"/>
                <w:szCs w:val="20"/>
              </w:rPr>
            </w:pPr>
            <w:r w:rsidRPr="00816998">
              <w:rPr>
                <w:sz w:val="20"/>
                <w:szCs w:val="20"/>
              </w:rPr>
              <w:lastRenderedPageBreak/>
              <w:t>Summary Costs by Year for Winter Curtailment Capacity</w:t>
            </w:r>
          </w:p>
        </w:tc>
        <w:tc>
          <w:tcPr>
            <w:tcW w:w="3606" w:type="pct"/>
          </w:tcPr>
          <w:p w14:paraId="7A4107F2" w14:textId="3888F9DF" w:rsidR="00F3534B" w:rsidRPr="00816998" w:rsidRDefault="00F3534B" w:rsidP="00816998">
            <w:pPr>
              <w:spacing w:before="120" w:after="120"/>
              <w:rPr>
                <w:sz w:val="20"/>
                <w:szCs w:val="20"/>
              </w:rPr>
            </w:pPr>
            <w:r w:rsidRPr="00816998">
              <w:rPr>
                <w:sz w:val="20"/>
                <w:szCs w:val="20"/>
              </w:rPr>
              <w:t>Provide</w:t>
            </w:r>
            <w:r w:rsidR="005609F4" w:rsidRPr="00816998">
              <w:rPr>
                <w:sz w:val="20"/>
                <w:szCs w:val="20"/>
              </w:rPr>
              <w:t xml:space="preserve"> a</w:t>
            </w:r>
            <w:r w:rsidRPr="00816998">
              <w:rPr>
                <w:sz w:val="20"/>
                <w:szCs w:val="20"/>
              </w:rPr>
              <w:t xml:space="preserve"> summary </w:t>
            </w:r>
            <w:r w:rsidR="00023CE0" w:rsidRPr="00816998">
              <w:rPr>
                <w:sz w:val="20"/>
                <w:szCs w:val="20"/>
              </w:rPr>
              <w:t>of total costs</w:t>
            </w:r>
            <w:r w:rsidR="005609F4" w:rsidRPr="00816998">
              <w:rPr>
                <w:sz w:val="20"/>
                <w:szCs w:val="20"/>
              </w:rPr>
              <w:t xml:space="preserve"> </w:t>
            </w:r>
            <w:r w:rsidRPr="00816998">
              <w:rPr>
                <w:sz w:val="20"/>
                <w:szCs w:val="20"/>
              </w:rPr>
              <w:t>corresponding to the winter capacity rollout indicated under Item#</w:t>
            </w:r>
            <w:r w:rsidR="00023CE0" w:rsidRPr="00816998">
              <w:rPr>
                <w:sz w:val="20"/>
                <w:szCs w:val="20"/>
              </w:rPr>
              <w:t>1</w:t>
            </w:r>
            <w:r w:rsidRPr="00816998">
              <w:rPr>
                <w:sz w:val="20"/>
                <w:szCs w:val="20"/>
              </w:rPr>
              <w:t xml:space="preserve"> earlier in this table.</w:t>
            </w:r>
            <w:r w:rsidR="005609F4" w:rsidRPr="00816998">
              <w:rPr>
                <w:sz w:val="20"/>
                <w:szCs w:val="20"/>
              </w:rPr>
              <w:t xml:space="preserve"> These costs should include capacity charges, customer incentives, and any “other pricing elements” from Table C2 below.</w:t>
            </w:r>
            <w:r w:rsidR="00023CE0" w:rsidRPr="00816998">
              <w:rPr>
                <w:sz w:val="20"/>
                <w:szCs w:val="20"/>
              </w:rPr>
              <w:t xml:space="preserve"> </w:t>
            </w:r>
            <w:r w:rsidR="005609F4" w:rsidRPr="00816998">
              <w:rPr>
                <w:sz w:val="20"/>
                <w:szCs w:val="20"/>
              </w:rPr>
              <w:t xml:space="preserve">Bidder’s </w:t>
            </w:r>
            <w:r w:rsidR="00023CE0" w:rsidRPr="00816998">
              <w:rPr>
                <w:sz w:val="20"/>
                <w:szCs w:val="20"/>
              </w:rPr>
              <w:t>pricing proposal contained in</w:t>
            </w:r>
            <w:r w:rsidR="00023CE0" w:rsidRPr="00816998">
              <w:rPr>
                <w:i/>
                <w:sz w:val="20"/>
                <w:szCs w:val="20"/>
              </w:rPr>
              <w:t xml:space="preserve"> </w:t>
            </w:r>
            <w:r w:rsidR="005609F4" w:rsidRPr="00816998">
              <w:rPr>
                <w:sz w:val="20"/>
                <w:szCs w:val="20"/>
              </w:rPr>
              <w:t xml:space="preserve">this document </w:t>
            </w:r>
            <w:r w:rsidR="00023CE0" w:rsidRPr="00816998">
              <w:rPr>
                <w:sz w:val="20"/>
                <w:szCs w:val="20"/>
              </w:rPr>
              <w:t>should be of sufficient detail that PSE can recreate the pricing figures contained in this table for each year.</w:t>
            </w:r>
          </w:p>
          <w:p w14:paraId="016E6480" w14:textId="77777777" w:rsidR="00F3534B" w:rsidRPr="00816998" w:rsidRDefault="00F3534B" w:rsidP="00816998">
            <w:pPr>
              <w:spacing w:before="120" w:after="120"/>
              <w:rPr>
                <w:b/>
                <w:sz w:val="20"/>
                <w:szCs w:val="20"/>
              </w:rPr>
            </w:pPr>
            <w:r w:rsidRPr="00816998">
              <w:rPr>
                <w:b/>
                <w:sz w:val="20"/>
                <w:szCs w:val="20"/>
              </w:rPr>
              <w:t>Costs in $1000s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
              <w:gridCol w:w="689"/>
              <w:gridCol w:w="750"/>
              <w:gridCol w:w="753"/>
              <w:gridCol w:w="756"/>
              <w:gridCol w:w="791"/>
              <w:gridCol w:w="827"/>
            </w:tblGrid>
            <w:tr w:rsidR="008E1C11" w:rsidRPr="00816998" w14:paraId="553751F1" w14:textId="77777777" w:rsidTr="00023CE0">
              <w:trPr>
                <w:trHeight w:val="217"/>
              </w:trPr>
              <w:tc>
                <w:tcPr>
                  <w:tcW w:w="862" w:type="dxa"/>
                  <w:shd w:val="clear" w:color="auto" w:fill="D9D9D9"/>
                  <w:vAlign w:val="center"/>
                </w:tcPr>
                <w:p w14:paraId="03122113" w14:textId="77777777" w:rsidR="008E1C11" w:rsidRPr="00816998" w:rsidRDefault="008E1C11" w:rsidP="00816998">
                  <w:pPr>
                    <w:spacing w:before="120" w:after="120"/>
                    <w:rPr>
                      <w:b/>
                      <w:sz w:val="20"/>
                      <w:szCs w:val="20"/>
                    </w:rPr>
                  </w:pPr>
                </w:p>
              </w:tc>
              <w:tc>
                <w:tcPr>
                  <w:tcW w:w="689" w:type="dxa"/>
                </w:tcPr>
                <w:p w14:paraId="698B8D93" w14:textId="77777777" w:rsidR="008E1C11" w:rsidRPr="00816998" w:rsidRDefault="008E1C11" w:rsidP="00816998">
                  <w:pPr>
                    <w:spacing w:before="120" w:after="120"/>
                    <w:rPr>
                      <w:sz w:val="20"/>
                      <w:szCs w:val="20"/>
                    </w:rPr>
                  </w:pPr>
                  <w:r w:rsidRPr="00816998">
                    <w:rPr>
                      <w:sz w:val="20"/>
                      <w:szCs w:val="20"/>
                    </w:rPr>
                    <w:t>2017</w:t>
                  </w:r>
                </w:p>
              </w:tc>
              <w:tc>
                <w:tcPr>
                  <w:tcW w:w="750" w:type="dxa"/>
                </w:tcPr>
                <w:p w14:paraId="29C3242B" w14:textId="77777777" w:rsidR="008E1C11" w:rsidRPr="00816998" w:rsidRDefault="008E1C11" w:rsidP="00816998">
                  <w:pPr>
                    <w:spacing w:before="120" w:after="120"/>
                    <w:rPr>
                      <w:sz w:val="20"/>
                      <w:szCs w:val="20"/>
                    </w:rPr>
                  </w:pPr>
                  <w:r w:rsidRPr="00816998">
                    <w:rPr>
                      <w:sz w:val="20"/>
                      <w:szCs w:val="20"/>
                    </w:rPr>
                    <w:t>2018</w:t>
                  </w:r>
                </w:p>
              </w:tc>
              <w:tc>
                <w:tcPr>
                  <w:tcW w:w="753" w:type="dxa"/>
                </w:tcPr>
                <w:p w14:paraId="3E4F5618" w14:textId="77777777" w:rsidR="008E1C11" w:rsidRPr="00816998" w:rsidRDefault="008E1C11" w:rsidP="00816998">
                  <w:pPr>
                    <w:spacing w:before="120" w:after="120"/>
                    <w:rPr>
                      <w:sz w:val="20"/>
                      <w:szCs w:val="20"/>
                    </w:rPr>
                  </w:pPr>
                  <w:r w:rsidRPr="00816998">
                    <w:rPr>
                      <w:sz w:val="20"/>
                      <w:szCs w:val="20"/>
                    </w:rPr>
                    <w:t>2019</w:t>
                  </w:r>
                </w:p>
              </w:tc>
              <w:tc>
                <w:tcPr>
                  <w:tcW w:w="756" w:type="dxa"/>
                </w:tcPr>
                <w:p w14:paraId="04A6B3B5" w14:textId="77777777" w:rsidR="008E1C11" w:rsidRPr="00816998" w:rsidRDefault="008E1C11" w:rsidP="00816998">
                  <w:pPr>
                    <w:spacing w:before="120" w:after="120"/>
                    <w:rPr>
                      <w:sz w:val="20"/>
                      <w:szCs w:val="20"/>
                    </w:rPr>
                  </w:pPr>
                  <w:r w:rsidRPr="00816998">
                    <w:rPr>
                      <w:sz w:val="20"/>
                      <w:szCs w:val="20"/>
                    </w:rPr>
                    <w:t>2020</w:t>
                  </w:r>
                </w:p>
              </w:tc>
              <w:tc>
                <w:tcPr>
                  <w:tcW w:w="791" w:type="dxa"/>
                </w:tcPr>
                <w:p w14:paraId="0A48EA31" w14:textId="77777777" w:rsidR="008E1C11" w:rsidRPr="00816998" w:rsidRDefault="008E1C11" w:rsidP="00816998">
                  <w:pPr>
                    <w:spacing w:before="120" w:after="120"/>
                    <w:rPr>
                      <w:sz w:val="20"/>
                      <w:szCs w:val="20"/>
                    </w:rPr>
                  </w:pPr>
                  <w:r w:rsidRPr="00816998">
                    <w:rPr>
                      <w:sz w:val="20"/>
                      <w:szCs w:val="20"/>
                    </w:rPr>
                    <w:t>2021</w:t>
                  </w:r>
                </w:p>
              </w:tc>
              <w:tc>
                <w:tcPr>
                  <w:tcW w:w="827" w:type="dxa"/>
                  <w:tcBorders>
                    <w:bottom w:val="single" w:sz="4" w:space="0" w:color="auto"/>
                  </w:tcBorders>
                </w:tcPr>
                <w:p w14:paraId="6BC08EE8" w14:textId="77777777" w:rsidR="008E1C11" w:rsidRPr="00816998" w:rsidRDefault="008E1C11" w:rsidP="00816998">
                  <w:pPr>
                    <w:spacing w:before="120" w:after="120"/>
                    <w:rPr>
                      <w:sz w:val="20"/>
                      <w:szCs w:val="20"/>
                    </w:rPr>
                  </w:pPr>
                  <w:r w:rsidRPr="00816998">
                    <w:rPr>
                      <w:sz w:val="20"/>
                      <w:szCs w:val="20"/>
                    </w:rPr>
                    <w:t>Total</w:t>
                  </w:r>
                </w:p>
              </w:tc>
            </w:tr>
            <w:tr w:rsidR="008E1C11" w:rsidRPr="00816998" w14:paraId="6D153DBA" w14:textId="77777777" w:rsidTr="00023CE0">
              <w:trPr>
                <w:trHeight w:val="434"/>
              </w:trPr>
              <w:tc>
                <w:tcPr>
                  <w:tcW w:w="862" w:type="dxa"/>
                  <w:shd w:val="clear" w:color="auto" w:fill="D9D9D9"/>
                </w:tcPr>
                <w:p w14:paraId="464F6789" w14:textId="4899F3FA" w:rsidR="008E1C11" w:rsidRPr="00816998" w:rsidRDefault="008E1C11" w:rsidP="00816998">
                  <w:pPr>
                    <w:spacing w:before="120" w:after="120"/>
                    <w:rPr>
                      <w:sz w:val="20"/>
                      <w:szCs w:val="20"/>
                    </w:rPr>
                  </w:pPr>
                  <w:r w:rsidRPr="00816998">
                    <w:rPr>
                      <w:sz w:val="20"/>
                      <w:szCs w:val="20"/>
                    </w:rPr>
                    <w:t>Winter MW*</w:t>
                  </w:r>
                </w:p>
              </w:tc>
              <w:tc>
                <w:tcPr>
                  <w:tcW w:w="689" w:type="dxa"/>
                </w:tcPr>
                <w:p w14:paraId="6F43DC91" w14:textId="77777777" w:rsidR="008E1C11" w:rsidRPr="00816998" w:rsidRDefault="008E1C11" w:rsidP="00816998">
                  <w:pPr>
                    <w:spacing w:before="120" w:after="120"/>
                    <w:rPr>
                      <w:sz w:val="20"/>
                      <w:szCs w:val="20"/>
                    </w:rPr>
                  </w:pPr>
                </w:p>
              </w:tc>
              <w:tc>
                <w:tcPr>
                  <w:tcW w:w="750" w:type="dxa"/>
                </w:tcPr>
                <w:p w14:paraId="197192CD" w14:textId="77777777" w:rsidR="008E1C11" w:rsidRPr="00816998" w:rsidRDefault="008E1C11" w:rsidP="00816998">
                  <w:pPr>
                    <w:spacing w:before="120" w:after="120"/>
                    <w:rPr>
                      <w:sz w:val="20"/>
                      <w:szCs w:val="20"/>
                    </w:rPr>
                  </w:pPr>
                </w:p>
              </w:tc>
              <w:tc>
                <w:tcPr>
                  <w:tcW w:w="753" w:type="dxa"/>
                </w:tcPr>
                <w:p w14:paraId="35197A25" w14:textId="77777777" w:rsidR="008E1C11" w:rsidRPr="00816998" w:rsidRDefault="008E1C11" w:rsidP="00816998">
                  <w:pPr>
                    <w:spacing w:before="120" w:after="120"/>
                    <w:rPr>
                      <w:sz w:val="20"/>
                      <w:szCs w:val="20"/>
                    </w:rPr>
                  </w:pPr>
                </w:p>
              </w:tc>
              <w:tc>
                <w:tcPr>
                  <w:tcW w:w="756" w:type="dxa"/>
                </w:tcPr>
                <w:p w14:paraId="2D6FB5B5" w14:textId="77777777" w:rsidR="008E1C11" w:rsidRPr="00816998" w:rsidRDefault="008E1C11" w:rsidP="00816998">
                  <w:pPr>
                    <w:spacing w:before="120" w:after="120"/>
                    <w:rPr>
                      <w:sz w:val="20"/>
                      <w:szCs w:val="20"/>
                    </w:rPr>
                  </w:pPr>
                </w:p>
              </w:tc>
              <w:tc>
                <w:tcPr>
                  <w:tcW w:w="791" w:type="dxa"/>
                </w:tcPr>
                <w:p w14:paraId="319AB98C" w14:textId="77777777" w:rsidR="008E1C11" w:rsidRPr="00816998" w:rsidRDefault="008E1C11" w:rsidP="00816998">
                  <w:pPr>
                    <w:spacing w:before="120" w:after="120"/>
                    <w:rPr>
                      <w:sz w:val="20"/>
                      <w:szCs w:val="20"/>
                    </w:rPr>
                  </w:pPr>
                </w:p>
              </w:tc>
              <w:tc>
                <w:tcPr>
                  <w:tcW w:w="827" w:type="dxa"/>
                  <w:shd w:val="clear" w:color="auto" w:fill="BFBFBF" w:themeFill="background1" w:themeFillShade="BF"/>
                </w:tcPr>
                <w:p w14:paraId="2BA17BC0" w14:textId="77777777" w:rsidR="008E1C11" w:rsidRPr="00816998" w:rsidRDefault="008E1C11" w:rsidP="00816998">
                  <w:pPr>
                    <w:spacing w:before="120" w:after="120"/>
                    <w:rPr>
                      <w:sz w:val="20"/>
                      <w:szCs w:val="20"/>
                    </w:rPr>
                  </w:pPr>
                  <w:r w:rsidRPr="00816998">
                    <w:rPr>
                      <w:sz w:val="20"/>
                      <w:szCs w:val="20"/>
                    </w:rPr>
                    <w:t>N/A</w:t>
                  </w:r>
                </w:p>
              </w:tc>
            </w:tr>
            <w:tr w:rsidR="008E1C11" w:rsidRPr="00816998" w14:paraId="4FCD525D" w14:textId="77777777" w:rsidTr="00023CE0">
              <w:trPr>
                <w:trHeight w:val="217"/>
              </w:trPr>
              <w:tc>
                <w:tcPr>
                  <w:tcW w:w="862" w:type="dxa"/>
                  <w:shd w:val="clear" w:color="auto" w:fill="D9D9D9"/>
                </w:tcPr>
                <w:p w14:paraId="62EE05A0" w14:textId="207E62C7" w:rsidR="008E1C11" w:rsidRPr="00816998" w:rsidRDefault="008E1C11" w:rsidP="00816998">
                  <w:pPr>
                    <w:spacing w:before="120" w:after="120"/>
                    <w:rPr>
                      <w:sz w:val="20"/>
                      <w:szCs w:val="20"/>
                    </w:rPr>
                  </w:pPr>
                  <w:r w:rsidRPr="00816998">
                    <w:rPr>
                      <w:sz w:val="20"/>
                      <w:szCs w:val="20"/>
                    </w:rPr>
                    <w:t>Total Costs</w:t>
                  </w:r>
                </w:p>
              </w:tc>
              <w:tc>
                <w:tcPr>
                  <w:tcW w:w="689" w:type="dxa"/>
                </w:tcPr>
                <w:p w14:paraId="605AAB1B" w14:textId="77777777" w:rsidR="008E1C11" w:rsidRPr="00816998" w:rsidRDefault="008E1C11" w:rsidP="00816998">
                  <w:pPr>
                    <w:spacing w:before="120" w:after="120"/>
                    <w:rPr>
                      <w:sz w:val="20"/>
                      <w:szCs w:val="20"/>
                    </w:rPr>
                  </w:pPr>
                </w:p>
              </w:tc>
              <w:tc>
                <w:tcPr>
                  <w:tcW w:w="750" w:type="dxa"/>
                </w:tcPr>
                <w:p w14:paraId="11631ECD" w14:textId="77777777" w:rsidR="008E1C11" w:rsidRPr="00816998" w:rsidRDefault="008E1C11" w:rsidP="00816998">
                  <w:pPr>
                    <w:spacing w:before="120" w:after="120"/>
                    <w:rPr>
                      <w:sz w:val="20"/>
                      <w:szCs w:val="20"/>
                    </w:rPr>
                  </w:pPr>
                </w:p>
              </w:tc>
              <w:tc>
                <w:tcPr>
                  <w:tcW w:w="753" w:type="dxa"/>
                </w:tcPr>
                <w:p w14:paraId="22A158D8" w14:textId="77777777" w:rsidR="008E1C11" w:rsidRPr="00816998" w:rsidRDefault="008E1C11" w:rsidP="00816998">
                  <w:pPr>
                    <w:spacing w:before="120" w:after="120"/>
                    <w:rPr>
                      <w:sz w:val="20"/>
                      <w:szCs w:val="20"/>
                    </w:rPr>
                  </w:pPr>
                </w:p>
              </w:tc>
              <w:tc>
                <w:tcPr>
                  <w:tcW w:w="756" w:type="dxa"/>
                </w:tcPr>
                <w:p w14:paraId="22DA1D0E" w14:textId="77777777" w:rsidR="008E1C11" w:rsidRPr="00816998" w:rsidRDefault="008E1C11" w:rsidP="00816998">
                  <w:pPr>
                    <w:spacing w:before="120" w:after="120"/>
                    <w:rPr>
                      <w:sz w:val="20"/>
                      <w:szCs w:val="20"/>
                    </w:rPr>
                  </w:pPr>
                </w:p>
              </w:tc>
              <w:tc>
                <w:tcPr>
                  <w:tcW w:w="791" w:type="dxa"/>
                </w:tcPr>
                <w:p w14:paraId="2499599C" w14:textId="77777777" w:rsidR="008E1C11" w:rsidRPr="00816998" w:rsidRDefault="008E1C11" w:rsidP="00816998">
                  <w:pPr>
                    <w:spacing w:before="120" w:after="120"/>
                    <w:rPr>
                      <w:sz w:val="20"/>
                      <w:szCs w:val="20"/>
                    </w:rPr>
                  </w:pPr>
                </w:p>
              </w:tc>
              <w:tc>
                <w:tcPr>
                  <w:tcW w:w="827" w:type="dxa"/>
                </w:tcPr>
                <w:p w14:paraId="2FAE6109" w14:textId="77777777" w:rsidR="008E1C11" w:rsidRPr="00816998" w:rsidRDefault="008E1C11" w:rsidP="00816998">
                  <w:pPr>
                    <w:spacing w:before="120" w:after="120"/>
                    <w:rPr>
                      <w:sz w:val="20"/>
                      <w:szCs w:val="20"/>
                    </w:rPr>
                  </w:pPr>
                </w:p>
              </w:tc>
            </w:tr>
          </w:tbl>
          <w:p w14:paraId="12DD8730" w14:textId="4FF93B3B" w:rsidR="00F3534B" w:rsidRPr="00816998" w:rsidRDefault="00023CE0" w:rsidP="00816998">
            <w:pPr>
              <w:spacing w:before="120" w:after="120"/>
              <w:rPr>
                <w:sz w:val="20"/>
                <w:szCs w:val="20"/>
                <w:highlight w:val="yellow"/>
              </w:rPr>
            </w:pPr>
            <w:r w:rsidRPr="00816998">
              <w:rPr>
                <w:sz w:val="20"/>
                <w:szCs w:val="20"/>
              </w:rPr>
              <w:t xml:space="preserve">*Note that the winter </w:t>
            </w:r>
            <w:proofErr w:type="spellStart"/>
            <w:r w:rsidRPr="00816998">
              <w:rPr>
                <w:sz w:val="20"/>
                <w:szCs w:val="20"/>
              </w:rPr>
              <w:t>MWs</w:t>
            </w:r>
            <w:proofErr w:type="spellEnd"/>
            <w:r w:rsidRPr="00816998">
              <w:rPr>
                <w:sz w:val="20"/>
                <w:szCs w:val="20"/>
              </w:rPr>
              <w:t xml:space="preserve"> indicated in this table should match the figures presented earlier under Item#1 in this table. </w:t>
            </w:r>
          </w:p>
        </w:tc>
      </w:tr>
      <w:tr w:rsidR="00F3534B" w:rsidRPr="00816998" w14:paraId="7C98B196" w14:textId="77777777" w:rsidTr="007703FA">
        <w:trPr>
          <w:cantSplit/>
        </w:trPr>
        <w:tc>
          <w:tcPr>
            <w:tcW w:w="1394" w:type="pct"/>
            <w:shd w:val="clear" w:color="auto" w:fill="D9D9D9"/>
          </w:tcPr>
          <w:p w14:paraId="7E81EBA5" w14:textId="41CB9083" w:rsidR="00F3534B" w:rsidRPr="00816998" w:rsidRDefault="006A33AA" w:rsidP="00816998">
            <w:pPr>
              <w:numPr>
                <w:ilvl w:val="0"/>
                <w:numId w:val="10"/>
              </w:numPr>
              <w:spacing w:before="120" w:after="120"/>
              <w:rPr>
                <w:sz w:val="20"/>
                <w:szCs w:val="20"/>
              </w:rPr>
            </w:pPr>
            <w:r w:rsidRPr="00816998">
              <w:rPr>
                <w:sz w:val="20"/>
                <w:szCs w:val="20"/>
              </w:rPr>
              <w:t xml:space="preserve">Estimated Breakdown of </w:t>
            </w:r>
            <w:r w:rsidR="00F3534B" w:rsidRPr="00816998">
              <w:rPr>
                <w:sz w:val="20"/>
                <w:szCs w:val="20"/>
              </w:rPr>
              <w:t>Costs by Category</w:t>
            </w:r>
          </w:p>
        </w:tc>
        <w:tc>
          <w:tcPr>
            <w:tcW w:w="3606" w:type="pct"/>
          </w:tcPr>
          <w:p w14:paraId="25538D39" w14:textId="2A9F7FF6" w:rsidR="00F3534B" w:rsidRPr="00816998" w:rsidRDefault="00F3534B" w:rsidP="00816998">
            <w:pPr>
              <w:spacing w:before="120" w:after="120"/>
              <w:rPr>
                <w:sz w:val="20"/>
                <w:szCs w:val="20"/>
              </w:rPr>
            </w:pPr>
            <w:r w:rsidRPr="00816998">
              <w:rPr>
                <w:sz w:val="20"/>
                <w:szCs w:val="20"/>
              </w:rPr>
              <w:t xml:space="preserve">Provide an estimated breakdown of </w:t>
            </w:r>
            <w:r w:rsidR="006A33AA" w:rsidRPr="00816998">
              <w:rPr>
                <w:sz w:val="20"/>
                <w:szCs w:val="20"/>
              </w:rPr>
              <w:t xml:space="preserve">the </w:t>
            </w:r>
            <w:r w:rsidRPr="00816998">
              <w:rPr>
                <w:sz w:val="20"/>
                <w:szCs w:val="20"/>
              </w:rPr>
              <w:t xml:space="preserve">total costs </w:t>
            </w:r>
            <w:r w:rsidR="006A33AA" w:rsidRPr="00816998">
              <w:rPr>
                <w:sz w:val="20"/>
                <w:szCs w:val="20"/>
              </w:rPr>
              <w:t>(as indicated under the “Total” value</w:t>
            </w:r>
            <w:r w:rsidR="00AD25DC" w:rsidRPr="00816998">
              <w:rPr>
                <w:sz w:val="20"/>
                <w:szCs w:val="20"/>
              </w:rPr>
              <w:t xml:space="preserve"> presented in the Costs Summary Table under Item#2 above</w:t>
            </w:r>
            <w:r w:rsidR="006A33AA" w:rsidRPr="00816998">
              <w:rPr>
                <w:sz w:val="20"/>
                <w:szCs w:val="20"/>
              </w:rPr>
              <w:t xml:space="preserve">) </w:t>
            </w:r>
            <w:r w:rsidRPr="00816998">
              <w:rPr>
                <w:sz w:val="20"/>
                <w:szCs w:val="20"/>
              </w:rPr>
              <w:t>for providing winter curtailment capacity by category using the table below. Provide major assumptions and describe the rationale for this allocation of costs including the possible need to provide one-time and/or recurring customer incentives, required maintenance schedules, etc. Please identify any costs included in the “Other”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4"/>
              <w:gridCol w:w="1260"/>
            </w:tblGrid>
            <w:tr w:rsidR="009942A6" w:rsidRPr="00816998" w14:paraId="33984859" w14:textId="77777777" w:rsidTr="005B51B9">
              <w:tc>
                <w:tcPr>
                  <w:tcW w:w="2834" w:type="dxa"/>
                  <w:shd w:val="clear" w:color="auto" w:fill="D9D9D9"/>
                  <w:vAlign w:val="center"/>
                </w:tcPr>
                <w:p w14:paraId="115D7D68" w14:textId="77777777" w:rsidR="009942A6" w:rsidRPr="00816998" w:rsidRDefault="009942A6" w:rsidP="00816998">
                  <w:pPr>
                    <w:spacing w:before="120" w:after="120"/>
                    <w:rPr>
                      <w:b/>
                      <w:sz w:val="20"/>
                      <w:szCs w:val="20"/>
                    </w:rPr>
                  </w:pPr>
                  <w:r w:rsidRPr="00816998">
                    <w:rPr>
                      <w:b/>
                      <w:sz w:val="20"/>
                      <w:szCs w:val="20"/>
                    </w:rPr>
                    <w:t>Cost Category</w:t>
                  </w:r>
                </w:p>
              </w:tc>
              <w:tc>
                <w:tcPr>
                  <w:tcW w:w="1260" w:type="dxa"/>
                </w:tcPr>
                <w:p w14:paraId="111A28B4" w14:textId="77777777" w:rsidR="009942A6" w:rsidRPr="00816998" w:rsidRDefault="009942A6" w:rsidP="00816998">
                  <w:pPr>
                    <w:spacing w:before="120" w:after="120"/>
                    <w:jc w:val="center"/>
                    <w:rPr>
                      <w:b/>
                      <w:sz w:val="20"/>
                      <w:szCs w:val="20"/>
                    </w:rPr>
                  </w:pPr>
                  <w:r w:rsidRPr="00816998">
                    <w:rPr>
                      <w:b/>
                      <w:sz w:val="20"/>
                      <w:szCs w:val="20"/>
                    </w:rPr>
                    <w:t>Percent of Total</w:t>
                  </w:r>
                </w:p>
              </w:tc>
            </w:tr>
            <w:tr w:rsidR="009942A6" w:rsidRPr="00816998" w14:paraId="12FA65D4" w14:textId="77777777" w:rsidTr="005B51B9">
              <w:tc>
                <w:tcPr>
                  <w:tcW w:w="2834" w:type="dxa"/>
                  <w:shd w:val="clear" w:color="auto" w:fill="D9D9D9"/>
                </w:tcPr>
                <w:p w14:paraId="741C58B1" w14:textId="77777777" w:rsidR="009942A6" w:rsidRPr="00816998" w:rsidRDefault="009942A6" w:rsidP="00816998">
                  <w:pPr>
                    <w:spacing w:before="120" w:after="120"/>
                    <w:rPr>
                      <w:sz w:val="20"/>
                      <w:szCs w:val="20"/>
                    </w:rPr>
                  </w:pPr>
                  <w:r w:rsidRPr="00816998">
                    <w:rPr>
                      <w:sz w:val="20"/>
                      <w:szCs w:val="20"/>
                    </w:rPr>
                    <w:t>Program Startup Costs</w:t>
                  </w:r>
                </w:p>
              </w:tc>
              <w:tc>
                <w:tcPr>
                  <w:tcW w:w="1260" w:type="dxa"/>
                </w:tcPr>
                <w:p w14:paraId="15EF28BC" w14:textId="77777777" w:rsidR="009942A6" w:rsidRPr="00816998" w:rsidRDefault="009942A6" w:rsidP="00816998">
                  <w:pPr>
                    <w:spacing w:before="120" w:after="120"/>
                    <w:jc w:val="center"/>
                    <w:rPr>
                      <w:sz w:val="20"/>
                      <w:szCs w:val="20"/>
                    </w:rPr>
                  </w:pPr>
                </w:p>
              </w:tc>
            </w:tr>
            <w:tr w:rsidR="009942A6" w:rsidRPr="00816998" w14:paraId="1DEDD1C1" w14:textId="77777777" w:rsidTr="005B51B9">
              <w:tc>
                <w:tcPr>
                  <w:tcW w:w="2834" w:type="dxa"/>
                  <w:shd w:val="clear" w:color="auto" w:fill="D9D9D9"/>
                </w:tcPr>
                <w:p w14:paraId="2B212BF7" w14:textId="77777777" w:rsidR="009942A6" w:rsidRPr="00816998" w:rsidRDefault="009942A6" w:rsidP="00816998">
                  <w:pPr>
                    <w:spacing w:before="120" w:after="120"/>
                    <w:rPr>
                      <w:sz w:val="20"/>
                      <w:szCs w:val="20"/>
                    </w:rPr>
                  </w:pPr>
                  <w:r w:rsidRPr="00816998">
                    <w:rPr>
                      <w:sz w:val="20"/>
                      <w:szCs w:val="20"/>
                    </w:rPr>
                    <w:t>Software Licensing</w:t>
                  </w:r>
                </w:p>
              </w:tc>
              <w:tc>
                <w:tcPr>
                  <w:tcW w:w="1260" w:type="dxa"/>
                </w:tcPr>
                <w:p w14:paraId="5095CD32" w14:textId="77777777" w:rsidR="009942A6" w:rsidRPr="00816998" w:rsidRDefault="009942A6" w:rsidP="00816998">
                  <w:pPr>
                    <w:spacing w:before="120" w:after="120"/>
                    <w:jc w:val="center"/>
                    <w:rPr>
                      <w:sz w:val="20"/>
                      <w:szCs w:val="20"/>
                    </w:rPr>
                  </w:pPr>
                </w:p>
              </w:tc>
            </w:tr>
            <w:tr w:rsidR="009942A6" w:rsidRPr="00816998" w14:paraId="397BC134" w14:textId="77777777" w:rsidTr="005B51B9">
              <w:tc>
                <w:tcPr>
                  <w:tcW w:w="2834" w:type="dxa"/>
                  <w:shd w:val="clear" w:color="auto" w:fill="D9D9D9"/>
                </w:tcPr>
                <w:p w14:paraId="4794A3BE" w14:textId="77777777" w:rsidR="009942A6" w:rsidRPr="00816998" w:rsidRDefault="009942A6" w:rsidP="00816998">
                  <w:pPr>
                    <w:spacing w:before="120" w:after="120"/>
                    <w:rPr>
                      <w:sz w:val="20"/>
                      <w:szCs w:val="20"/>
                    </w:rPr>
                  </w:pPr>
                  <w:r w:rsidRPr="00816998">
                    <w:rPr>
                      <w:sz w:val="20"/>
                      <w:szCs w:val="20"/>
                    </w:rPr>
                    <w:t>Marketing/Recruitment</w:t>
                  </w:r>
                </w:p>
              </w:tc>
              <w:tc>
                <w:tcPr>
                  <w:tcW w:w="1260" w:type="dxa"/>
                </w:tcPr>
                <w:p w14:paraId="27E93AA6" w14:textId="77777777" w:rsidR="009942A6" w:rsidRPr="00816998" w:rsidRDefault="009942A6" w:rsidP="00816998">
                  <w:pPr>
                    <w:spacing w:before="120" w:after="120"/>
                    <w:jc w:val="center"/>
                    <w:rPr>
                      <w:sz w:val="20"/>
                      <w:szCs w:val="20"/>
                    </w:rPr>
                  </w:pPr>
                </w:p>
              </w:tc>
            </w:tr>
            <w:tr w:rsidR="009942A6" w:rsidRPr="00816998" w14:paraId="24EE0809" w14:textId="77777777" w:rsidTr="005B51B9">
              <w:tc>
                <w:tcPr>
                  <w:tcW w:w="2834" w:type="dxa"/>
                  <w:shd w:val="clear" w:color="auto" w:fill="D9D9D9"/>
                </w:tcPr>
                <w:p w14:paraId="5BAFCBFE" w14:textId="77777777" w:rsidR="009942A6" w:rsidRPr="00816998" w:rsidRDefault="009942A6" w:rsidP="00816998">
                  <w:pPr>
                    <w:spacing w:before="120" w:after="120"/>
                    <w:rPr>
                      <w:sz w:val="20"/>
                      <w:szCs w:val="20"/>
                    </w:rPr>
                  </w:pPr>
                  <w:r w:rsidRPr="00816998">
                    <w:rPr>
                      <w:sz w:val="20"/>
                      <w:szCs w:val="20"/>
                    </w:rPr>
                    <w:t>Equipment Capital</w:t>
                  </w:r>
                </w:p>
              </w:tc>
              <w:tc>
                <w:tcPr>
                  <w:tcW w:w="1260" w:type="dxa"/>
                </w:tcPr>
                <w:p w14:paraId="4A0E62B8" w14:textId="77777777" w:rsidR="009942A6" w:rsidRPr="00816998" w:rsidRDefault="009942A6" w:rsidP="00816998">
                  <w:pPr>
                    <w:spacing w:before="120" w:after="120"/>
                    <w:jc w:val="center"/>
                    <w:rPr>
                      <w:sz w:val="20"/>
                      <w:szCs w:val="20"/>
                    </w:rPr>
                  </w:pPr>
                </w:p>
              </w:tc>
            </w:tr>
            <w:tr w:rsidR="009942A6" w:rsidRPr="00816998" w14:paraId="0C8B7F77" w14:textId="77777777" w:rsidTr="005B51B9">
              <w:tc>
                <w:tcPr>
                  <w:tcW w:w="2834" w:type="dxa"/>
                  <w:shd w:val="clear" w:color="auto" w:fill="D9D9D9"/>
                </w:tcPr>
                <w:p w14:paraId="5AB70DEB" w14:textId="77777777" w:rsidR="009942A6" w:rsidRPr="00816998" w:rsidRDefault="009942A6" w:rsidP="00816998">
                  <w:pPr>
                    <w:spacing w:before="120" w:after="120"/>
                    <w:rPr>
                      <w:sz w:val="20"/>
                      <w:szCs w:val="20"/>
                    </w:rPr>
                  </w:pPr>
                  <w:r w:rsidRPr="00816998">
                    <w:rPr>
                      <w:sz w:val="20"/>
                      <w:szCs w:val="20"/>
                    </w:rPr>
                    <w:t>Equipment Installation</w:t>
                  </w:r>
                </w:p>
              </w:tc>
              <w:tc>
                <w:tcPr>
                  <w:tcW w:w="1260" w:type="dxa"/>
                </w:tcPr>
                <w:p w14:paraId="3417B51A" w14:textId="77777777" w:rsidR="009942A6" w:rsidRPr="00816998" w:rsidRDefault="009942A6" w:rsidP="00816998">
                  <w:pPr>
                    <w:spacing w:before="120" w:after="120"/>
                    <w:jc w:val="center"/>
                    <w:rPr>
                      <w:sz w:val="20"/>
                      <w:szCs w:val="20"/>
                    </w:rPr>
                  </w:pPr>
                </w:p>
              </w:tc>
            </w:tr>
            <w:tr w:rsidR="009942A6" w:rsidRPr="00816998" w14:paraId="3B8C283D" w14:textId="77777777" w:rsidTr="005B51B9">
              <w:tc>
                <w:tcPr>
                  <w:tcW w:w="2834" w:type="dxa"/>
                  <w:shd w:val="clear" w:color="auto" w:fill="D9D9D9"/>
                </w:tcPr>
                <w:p w14:paraId="5EA5A39D" w14:textId="77777777" w:rsidR="009942A6" w:rsidRPr="00816998" w:rsidRDefault="009942A6" w:rsidP="00816998">
                  <w:pPr>
                    <w:spacing w:before="120" w:after="120"/>
                    <w:rPr>
                      <w:sz w:val="20"/>
                      <w:szCs w:val="20"/>
                    </w:rPr>
                  </w:pPr>
                  <w:r w:rsidRPr="00816998">
                    <w:rPr>
                      <w:sz w:val="20"/>
                      <w:szCs w:val="20"/>
                    </w:rPr>
                    <w:t>Equipment Maintenance</w:t>
                  </w:r>
                </w:p>
              </w:tc>
              <w:tc>
                <w:tcPr>
                  <w:tcW w:w="1260" w:type="dxa"/>
                </w:tcPr>
                <w:p w14:paraId="150352CC" w14:textId="77777777" w:rsidR="009942A6" w:rsidRPr="00816998" w:rsidRDefault="009942A6" w:rsidP="00816998">
                  <w:pPr>
                    <w:spacing w:before="120" w:after="120"/>
                    <w:jc w:val="center"/>
                    <w:rPr>
                      <w:sz w:val="20"/>
                      <w:szCs w:val="20"/>
                    </w:rPr>
                  </w:pPr>
                </w:p>
              </w:tc>
            </w:tr>
            <w:tr w:rsidR="009942A6" w:rsidRPr="00816998" w14:paraId="6A672A8E" w14:textId="77777777" w:rsidTr="005B51B9">
              <w:tc>
                <w:tcPr>
                  <w:tcW w:w="2834" w:type="dxa"/>
                  <w:shd w:val="clear" w:color="auto" w:fill="D9D9D9"/>
                </w:tcPr>
                <w:p w14:paraId="0AF0749F" w14:textId="77777777" w:rsidR="009942A6" w:rsidRPr="00816998" w:rsidRDefault="009942A6" w:rsidP="00816998">
                  <w:pPr>
                    <w:spacing w:before="120" w:after="120"/>
                    <w:rPr>
                      <w:sz w:val="20"/>
                      <w:szCs w:val="20"/>
                    </w:rPr>
                  </w:pPr>
                  <w:r w:rsidRPr="00816998">
                    <w:rPr>
                      <w:sz w:val="20"/>
                      <w:szCs w:val="20"/>
                    </w:rPr>
                    <w:t>Participant Incentives</w:t>
                  </w:r>
                </w:p>
              </w:tc>
              <w:tc>
                <w:tcPr>
                  <w:tcW w:w="1260" w:type="dxa"/>
                </w:tcPr>
                <w:p w14:paraId="09CBCC3E" w14:textId="77777777" w:rsidR="009942A6" w:rsidRPr="00816998" w:rsidRDefault="009942A6" w:rsidP="00816998">
                  <w:pPr>
                    <w:spacing w:before="120" w:after="120"/>
                    <w:jc w:val="center"/>
                    <w:rPr>
                      <w:sz w:val="20"/>
                      <w:szCs w:val="20"/>
                    </w:rPr>
                  </w:pPr>
                </w:p>
              </w:tc>
            </w:tr>
            <w:tr w:rsidR="009942A6" w:rsidRPr="00816998" w14:paraId="72D0753E" w14:textId="77777777" w:rsidTr="005B51B9">
              <w:tc>
                <w:tcPr>
                  <w:tcW w:w="2834" w:type="dxa"/>
                  <w:shd w:val="clear" w:color="auto" w:fill="D9D9D9"/>
                </w:tcPr>
                <w:p w14:paraId="12D88718" w14:textId="77777777" w:rsidR="009942A6" w:rsidRPr="00816998" w:rsidRDefault="009942A6" w:rsidP="00816998">
                  <w:pPr>
                    <w:spacing w:before="120" w:after="120"/>
                    <w:rPr>
                      <w:sz w:val="20"/>
                      <w:szCs w:val="20"/>
                    </w:rPr>
                  </w:pPr>
                  <w:r w:rsidRPr="00816998">
                    <w:rPr>
                      <w:sz w:val="20"/>
                      <w:szCs w:val="20"/>
                    </w:rPr>
                    <w:t>Customer Service</w:t>
                  </w:r>
                </w:p>
              </w:tc>
              <w:tc>
                <w:tcPr>
                  <w:tcW w:w="1260" w:type="dxa"/>
                </w:tcPr>
                <w:p w14:paraId="3D61FA69" w14:textId="77777777" w:rsidR="009942A6" w:rsidRPr="00816998" w:rsidRDefault="009942A6" w:rsidP="00816998">
                  <w:pPr>
                    <w:spacing w:before="120" w:after="120"/>
                    <w:jc w:val="center"/>
                    <w:rPr>
                      <w:sz w:val="20"/>
                      <w:szCs w:val="20"/>
                    </w:rPr>
                  </w:pPr>
                </w:p>
              </w:tc>
            </w:tr>
            <w:tr w:rsidR="009942A6" w:rsidRPr="00816998" w14:paraId="574AE9A2" w14:textId="77777777" w:rsidTr="005B51B9">
              <w:tc>
                <w:tcPr>
                  <w:tcW w:w="2834" w:type="dxa"/>
                  <w:shd w:val="clear" w:color="auto" w:fill="D9D9D9"/>
                </w:tcPr>
                <w:p w14:paraId="422EC954" w14:textId="77777777" w:rsidR="009942A6" w:rsidRPr="00816998" w:rsidRDefault="009942A6" w:rsidP="00816998">
                  <w:pPr>
                    <w:spacing w:before="120" w:after="120"/>
                    <w:rPr>
                      <w:sz w:val="20"/>
                      <w:szCs w:val="20"/>
                    </w:rPr>
                  </w:pPr>
                  <w:r w:rsidRPr="00816998">
                    <w:rPr>
                      <w:sz w:val="20"/>
                      <w:szCs w:val="20"/>
                    </w:rPr>
                    <w:t xml:space="preserve">Tracking and Reporting, </w:t>
                  </w:r>
                  <w:proofErr w:type="spellStart"/>
                  <w:r w:rsidRPr="00816998">
                    <w:rPr>
                      <w:sz w:val="20"/>
                      <w:szCs w:val="20"/>
                    </w:rPr>
                    <w:t>M&amp;V</w:t>
                  </w:r>
                  <w:proofErr w:type="spellEnd"/>
                </w:p>
              </w:tc>
              <w:tc>
                <w:tcPr>
                  <w:tcW w:w="1260" w:type="dxa"/>
                </w:tcPr>
                <w:p w14:paraId="31F67749" w14:textId="77777777" w:rsidR="009942A6" w:rsidRPr="00816998" w:rsidRDefault="009942A6" w:rsidP="00816998">
                  <w:pPr>
                    <w:spacing w:before="120" w:after="120"/>
                    <w:jc w:val="center"/>
                    <w:rPr>
                      <w:sz w:val="20"/>
                      <w:szCs w:val="20"/>
                    </w:rPr>
                  </w:pPr>
                </w:p>
              </w:tc>
            </w:tr>
            <w:tr w:rsidR="009942A6" w:rsidRPr="00816998" w14:paraId="78C74C25" w14:textId="77777777" w:rsidTr="005B51B9">
              <w:tc>
                <w:tcPr>
                  <w:tcW w:w="2834" w:type="dxa"/>
                  <w:tcBorders>
                    <w:bottom w:val="double" w:sz="4" w:space="0" w:color="auto"/>
                  </w:tcBorders>
                  <w:shd w:val="clear" w:color="auto" w:fill="D9D9D9"/>
                </w:tcPr>
                <w:p w14:paraId="6FF1DBF1" w14:textId="77777777" w:rsidR="009942A6" w:rsidRPr="00816998" w:rsidRDefault="009942A6" w:rsidP="00816998">
                  <w:pPr>
                    <w:spacing w:before="120" w:after="120"/>
                    <w:rPr>
                      <w:sz w:val="20"/>
                      <w:szCs w:val="20"/>
                    </w:rPr>
                  </w:pPr>
                  <w:r w:rsidRPr="00816998">
                    <w:rPr>
                      <w:sz w:val="20"/>
                      <w:szCs w:val="20"/>
                    </w:rPr>
                    <w:t>Other (please specify)</w:t>
                  </w:r>
                </w:p>
              </w:tc>
              <w:tc>
                <w:tcPr>
                  <w:tcW w:w="1260" w:type="dxa"/>
                  <w:tcBorders>
                    <w:bottom w:val="double" w:sz="4" w:space="0" w:color="auto"/>
                  </w:tcBorders>
                </w:tcPr>
                <w:p w14:paraId="1D5C4B73" w14:textId="77777777" w:rsidR="009942A6" w:rsidRPr="00816998" w:rsidRDefault="009942A6" w:rsidP="00816998">
                  <w:pPr>
                    <w:spacing w:before="120" w:after="120"/>
                    <w:jc w:val="center"/>
                    <w:rPr>
                      <w:sz w:val="20"/>
                      <w:szCs w:val="20"/>
                    </w:rPr>
                  </w:pPr>
                </w:p>
              </w:tc>
            </w:tr>
            <w:tr w:rsidR="009942A6" w:rsidRPr="00816998" w14:paraId="22234EE3" w14:textId="77777777" w:rsidTr="005B51B9">
              <w:tc>
                <w:tcPr>
                  <w:tcW w:w="2834" w:type="dxa"/>
                  <w:tcBorders>
                    <w:top w:val="double" w:sz="4" w:space="0" w:color="auto"/>
                  </w:tcBorders>
                  <w:shd w:val="clear" w:color="auto" w:fill="D9D9D9"/>
                </w:tcPr>
                <w:p w14:paraId="10C131B0" w14:textId="62137FC0" w:rsidR="009942A6" w:rsidRPr="00816998" w:rsidRDefault="009942A6" w:rsidP="00816998">
                  <w:pPr>
                    <w:spacing w:before="120" w:after="120"/>
                    <w:rPr>
                      <w:sz w:val="20"/>
                      <w:szCs w:val="20"/>
                    </w:rPr>
                  </w:pPr>
                  <w:r w:rsidRPr="00816998">
                    <w:rPr>
                      <w:sz w:val="20"/>
                      <w:szCs w:val="20"/>
                    </w:rPr>
                    <w:t>Total</w:t>
                  </w:r>
                </w:p>
              </w:tc>
              <w:tc>
                <w:tcPr>
                  <w:tcW w:w="1260" w:type="dxa"/>
                  <w:tcBorders>
                    <w:top w:val="double" w:sz="4" w:space="0" w:color="auto"/>
                  </w:tcBorders>
                </w:tcPr>
                <w:p w14:paraId="1DBACBA6" w14:textId="77777777" w:rsidR="009942A6" w:rsidRPr="00816998" w:rsidRDefault="009942A6" w:rsidP="00816998">
                  <w:pPr>
                    <w:spacing w:before="120" w:after="120"/>
                    <w:jc w:val="center"/>
                    <w:rPr>
                      <w:sz w:val="20"/>
                      <w:szCs w:val="20"/>
                    </w:rPr>
                  </w:pPr>
                  <w:r w:rsidRPr="00816998">
                    <w:rPr>
                      <w:sz w:val="20"/>
                      <w:szCs w:val="20"/>
                    </w:rPr>
                    <w:t>100%</w:t>
                  </w:r>
                </w:p>
              </w:tc>
            </w:tr>
          </w:tbl>
          <w:p w14:paraId="3F961B0E" w14:textId="6183F88C" w:rsidR="00F3534B" w:rsidRPr="00816998" w:rsidRDefault="00F3534B" w:rsidP="00816998">
            <w:pPr>
              <w:spacing w:before="120" w:after="120"/>
              <w:rPr>
                <w:sz w:val="20"/>
                <w:szCs w:val="20"/>
              </w:rPr>
            </w:pPr>
          </w:p>
        </w:tc>
      </w:tr>
      <w:tr w:rsidR="00F3534B" w:rsidRPr="00816998" w14:paraId="40C3E6B8" w14:textId="77777777" w:rsidTr="007703FA">
        <w:trPr>
          <w:cantSplit/>
        </w:trPr>
        <w:tc>
          <w:tcPr>
            <w:tcW w:w="5000" w:type="pct"/>
            <w:gridSpan w:val="2"/>
            <w:shd w:val="clear" w:color="auto" w:fill="D9D9D9"/>
          </w:tcPr>
          <w:p w14:paraId="3A328FD0" w14:textId="2969EE45" w:rsidR="00F3534B" w:rsidRPr="00816998" w:rsidRDefault="00F3534B" w:rsidP="00A66F47">
            <w:pPr>
              <w:keepNext/>
              <w:numPr>
                <w:ilvl w:val="0"/>
                <w:numId w:val="3"/>
              </w:numPr>
              <w:spacing w:before="80" w:after="80"/>
              <w:rPr>
                <w:b/>
                <w:sz w:val="28"/>
              </w:rPr>
            </w:pPr>
            <w:r w:rsidRPr="00816998">
              <w:rPr>
                <w:b/>
                <w:sz w:val="28"/>
              </w:rPr>
              <w:lastRenderedPageBreak/>
              <w:t>Pricing for Additional Products/Services</w:t>
            </w:r>
          </w:p>
        </w:tc>
      </w:tr>
      <w:tr w:rsidR="00F3534B" w:rsidRPr="00816998" w14:paraId="0C2B7D8F" w14:textId="77777777" w:rsidTr="007703FA">
        <w:trPr>
          <w:cantSplit/>
        </w:trPr>
        <w:tc>
          <w:tcPr>
            <w:tcW w:w="1394" w:type="pct"/>
            <w:shd w:val="clear" w:color="auto" w:fill="D9D9D9"/>
          </w:tcPr>
          <w:p w14:paraId="5412CE88" w14:textId="77777777" w:rsidR="00816998" w:rsidRPr="00816998" w:rsidRDefault="00F3534B" w:rsidP="00816998">
            <w:pPr>
              <w:numPr>
                <w:ilvl w:val="0"/>
                <w:numId w:val="11"/>
              </w:numPr>
              <w:spacing w:before="120" w:after="120"/>
              <w:rPr>
                <w:i/>
                <w:sz w:val="20"/>
                <w:szCs w:val="20"/>
              </w:rPr>
            </w:pPr>
            <w:r w:rsidRPr="00816998">
              <w:rPr>
                <w:sz w:val="20"/>
                <w:szCs w:val="20"/>
              </w:rPr>
              <w:t xml:space="preserve">Pricing for Year-round Curtailment Capacity in fulfillment of PSE’s Secondary Objectives </w:t>
            </w:r>
            <w:r w:rsidRPr="00816998">
              <w:rPr>
                <w:i/>
                <w:sz w:val="20"/>
                <w:szCs w:val="20"/>
              </w:rPr>
              <w:t>(in reference to Section 2.3 of the main RFP document)</w:t>
            </w:r>
          </w:p>
          <w:p w14:paraId="41152B82" w14:textId="7D3FDE7C" w:rsidR="00F3534B" w:rsidRPr="00816998" w:rsidDel="00B86AC1" w:rsidRDefault="00F3534B" w:rsidP="00816998">
            <w:pPr>
              <w:spacing w:before="120" w:after="120"/>
              <w:ind w:left="360"/>
              <w:rPr>
                <w:i/>
                <w:sz w:val="20"/>
                <w:szCs w:val="20"/>
              </w:rPr>
            </w:pPr>
            <w:r w:rsidRPr="00816998">
              <w:rPr>
                <w:sz w:val="20"/>
                <w:szCs w:val="20"/>
              </w:rPr>
              <w:t>(for having year-round curtailment capacity available, ready for response with an hour- ahead notification)</w:t>
            </w:r>
          </w:p>
        </w:tc>
        <w:tc>
          <w:tcPr>
            <w:tcW w:w="3606" w:type="pct"/>
          </w:tcPr>
          <w:p w14:paraId="6432F783" w14:textId="4F6FA25C" w:rsidR="00F3534B" w:rsidRPr="00816998" w:rsidRDefault="00F3534B" w:rsidP="00816998">
            <w:pPr>
              <w:spacing w:before="120" w:after="120"/>
              <w:rPr>
                <w:i/>
                <w:sz w:val="20"/>
                <w:szCs w:val="20"/>
              </w:rPr>
            </w:pPr>
            <w:r w:rsidRPr="00816998">
              <w:rPr>
                <w:i/>
                <w:sz w:val="20"/>
                <w:szCs w:val="20"/>
              </w:rPr>
              <w:t xml:space="preserve">Under this item, bidders </w:t>
            </w:r>
            <w:r w:rsidR="00A9565C" w:rsidRPr="00816998">
              <w:rPr>
                <w:i/>
                <w:sz w:val="20"/>
                <w:szCs w:val="20"/>
              </w:rPr>
              <w:t xml:space="preserve">may </w:t>
            </w:r>
            <w:r w:rsidRPr="00816998">
              <w:rPr>
                <w:i/>
                <w:sz w:val="20"/>
                <w:szCs w:val="20"/>
              </w:rPr>
              <w:t xml:space="preserve">provide pricing for year-round DR capacity in fulfillment of PSE’s Secondary Objectives stated in Section 2.3 of the main RFP document. This includes meeting capacity requirements during summer and shoulder months with hour-ahead notification. </w:t>
            </w:r>
            <w:r w:rsidR="00A9565C" w:rsidRPr="00816998">
              <w:rPr>
                <w:i/>
                <w:sz w:val="20"/>
                <w:szCs w:val="20"/>
              </w:rPr>
              <w:t>PSE does not require that bidders provide year-round curtailment capability, but the value of bids may be enhanced by competitively priced curtailment capability beyond just the winter months.</w:t>
            </w:r>
          </w:p>
          <w:p w14:paraId="124E3BE7" w14:textId="77777777" w:rsidR="00F3534B" w:rsidRPr="00816998" w:rsidRDefault="00F3534B" w:rsidP="00816998">
            <w:pPr>
              <w:spacing w:before="120" w:after="120"/>
              <w:rPr>
                <w:b/>
                <w:sz w:val="20"/>
                <w:szCs w:val="20"/>
                <w:u w:val="single"/>
              </w:rPr>
            </w:pPr>
            <w:r w:rsidRPr="00816998">
              <w:rPr>
                <w:b/>
                <w:sz w:val="20"/>
                <w:szCs w:val="20"/>
                <w:u w:val="single"/>
              </w:rPr>
              <w:t>Year-round Curtailment Capacity</w:t>
            </w:r>
          </w:p>
          <w:p w14:paraId="5E5CC231" w14:textId="6BF5573C" w:rsidR="00F3534B" w:rsidRPr="00816998" w:rsidRDefault="00250F22" w:rsidP="00816998">
            <w:pPr>
              <w:spacing w:before="120" w:after="120"/>
              <w:rPr>
                <w:sz w:val="20"/>
                <w:szCs w:val="20"/>
              </w:rPr>
            </w:pPr>
            <w:r w:rsidRPr="00816998">
              <w:rPr>
                <w:sz w:val="20"/>
                <w:szCs w:val="20"/>
              </w:rPr>
              <w:t xml:space="preserve">In the table below, indicate the </w:t>
            </w:r>
            <w:r w:rsidRPr="00816998">
              <w:rPr>
                <w:sz w:val="20"/>
                <w:szCs w:val="20"/>
                <w:u w:val="single"/>
              </w:rPr>
              <w:t>pricing by season</w:t>
            </w:r>
            <w:r w:rsidRPr="00816998">
              <w:rPr>
                <w:sz w:val="20"/>
                <w:szCs w:val="20"/>
              </w:rPr>
              <w:t xml:space="preserve"> for providing seasonal capacity in terms of $/kW-season.</w:t>
            </w:r>
          </w:p>
          <w:p w14:paraId="2792B143" w14:textId="3C792B5D" w:rsidR="00F3534B" w:rsidRPr="00816998" w:rsidRDefault="00F3534B" w:rsidP="00816998">
            <w:pPr>
              <w:spacing w:before="120" w:after="120"/>
              <w:rPr>
                <w:sz w:val="20"/>
                <w:szCs w:val="20"/>
              </w:rPr>
            </w:pPr>
            <w:r w:rsidRPr="00816998">
              <w:rPr>
                <w:sz w:val="20"/>
                <w:szCs w:val="20"/>
              </w:rPr>
              <w:t xml:space="preserve">Note that the 2021 winter curtailment capacity indicated in the table below should be consistent with what you provided in the previous table under Item#A2. </w:t>
            </w:r>
            <w:r w:rsidR="00A127E0" w:rsidRPr="00816998">
              <w:rPr>
                <w:sz w:val="20"/>
                <w:szCs w:val="20"/>
              </w:rPr>
              <w:t xml:space="preserve">Also the summer and shoulder period </w:t>
            </w:r>
            <w:r w:rsidR="00250F22" w:rsidRPr="00816998">
              <w:rPr>
                <w:sz w:val="20"/>
                <w:szCs w:val="20"/>
              </w:rPr>
              <w:t xml:space="preserve">curtailment amounts indicated in the table below </w:t>
            </w:r>
            <w:r w:rsidR="00A127E0" w:rsidRPr="00816998">
              <w:rPr>
                <w:sz w:val="20"/>
                <w:szCs w:val="20"/>
              </w:rPr>
              <w:t>should be consistent with what you indicated in Section 4.1 Table G3 of the main RFP</w:t>
            </w:r>
            <w:r w:rsidR="00250F22" w:rsidRPr="00816998">
              <w:rPr>
                <w:sz w:val="20"/>
                <w:szCs w:val="20"/>
              </w:rPr>
              <w:t>.</w:t>
            </w:r>
            <w:r w:rsidR="00A127E0" w:rsidRPr="00816998">
              <w:rPr>
                <w:sz w:val="20"/>
                <w:szCs w:val="20"/>
              </w:rPr>
              <w:t xml:space="preserve">  </w:t>
            </w:r>
          </w:p>
          <w:p w14:paraId="41A71A8D" w14:textId="7B6BA26A" w:rsidR="00F3534B" w:rsidRPr="00816998" w:rsidRDefault="00F3534B" w:rsidP="00816998">
            <w:pPr>
              <w:spacing w:before="120" w:after="120"/>
              <w:rPr>
                <w:sz w:val="20"/>
                <w:szCs w:val="20"/>
              </w:rPr>
            </w:pPr>
            <w:r w:rsidRPr="00816998">
              <w:rPr>
                <w:sz w:val="20"/>
                <w:szCs w:val="20"/>
              </w:rPr>
              <w:t xml:space="preserve">The capacity charges should be without customer incentives. Indicate separately the proposed customer incentive level to achieve year-round curtailment. As noted earlier, PSE will be responsible for administering the incentive payment to participants. </w:t>
            </w:r>
          </w:p>
          <w:tbl>
            <w:tblPr>
              <w:tblStyle w:val="TableGrid"/>
              <w:tblW w:w="5000" w:type="pct"/>
              <w:tblLook w:val="04A0" w:firstRow="1" w:lastRow="0" w:firstColumn="1" w:lastColumn="0" w:noHBand="0" w:noVBand="1"/>
            </w:tblPr>
            <w:tblGrid>
              <w:gridCol w:w="1829"/>
              <w:gridCol w:w="2358"/>
              <w:gridCol w:w="2493"/>
            </w:tblGrid>
            <w:tr w:rsidR="00F3534B" w:rsidRPr="00816998" w14:paraId="6F878717" w14:textId="77777777" w:rsidTr="00133250">
              <w:tc>
                <w:tcPr>
                  <w:tcW w:w="1369" w:type="pct"/>
                  <w:vAlign w:val="center"/>
                </w:tcPr>
                <w:p w14:paraId="42B26A70" w14:textId="77777777" w:rsidR="00F3534B" w:rsidRPr="00816998" w:rsidRDefault="00F3534B" w:rsidP="00816998">
                  <w:pPr>
                    <w:spacing w:before="120" w:after="120"/>
                    <w:jc w:val="center"/>
                    <w:rPr>
                      <w:b/>
                      <w:sz w:val="20"/>
                      <w:szCs w:val="20"/>
                    </w:rPr>
                  </w:pPr>
                  <w:r w:rsidRPr="00816998">
                    <w:rPr>
                      <w:b/>
                      <w:sz w:val="20"/>
                      <w:szCs w:val="20"/>
                    </w:rPr>
                    <w:t>Seasonal</w:t>
                  </w:r>
                </w:p>
              </w:tc>
              <w:tc>
                <w:tcPr>
                  <w:tcW w:w="1765" w:type="pct"/>
                  <w:vAlign w:val="center"/>
                </w:tcPr>
                <w:p w14:paraId="51AA3503" w14:textId="77777777" w:rsidR="00F3534B" w:rsidRPr="00816998" w:rsidRDefault="00F3534B" w:rsidP="00816998">
                  <w:pPr>
                    <w:spacing w:before="120" w:after="120"/>
                    <w:jc w:val="center"/>
                    <w:rPr>
                      <w:b/>
                      <w:sz w:val="20"/>
                      <w:szCs w:val="20"/>
                    </w:rPr>
                  </w:pPr>
                  <w:r w:rsidRPr="00816998">
                    <w:rPr>
                      <w:b/>
                      <w:sz w:val="20"/>
                      <w:szCs w:val="20"/>
                    </w:rPr>
                    <w:t xml:space="preserve">Curtailment Capacity </w:t>
                  </w:r>
                </w:p>
                <w:p w14:paraId="09C08444" w14:textId="77777777" w:rsidR="00F3534B" w:rsidRPr="00816998" w:rsidRDefault="00F3534B" w:rsidP="00816998">
                  <w:pPr>
                    <w:spacing w:before="120" w:after="120"/>
                    <w:jc w:val="center"/>
                    <w:rPr>
                      <w:sz w:val="20"/>
                      <w:szCs w:val="20"/>
                    </w:rPr>
                  </w:pPr>
                  <w:r w:rsidRPr="00816998">
                    <w:rPr>
                      <w:sz w:val="20"/>
                      <w:szCs w:val="20"/>
                    </w:rPr>
                    <w:t>MW</w:t>
                  </w:r>
                </w:p>
              </w:tc>
              <w:tc>
                <w:tcPr>
                  <w:tcW w:w="1866" w:type="pct"/>
                  <w:vAlign w:val="center"/>
                </w:tcPr>
                <w:p w14:paraId="399EE5D1" w14:textId="77777777" w:rsidR="00F3534B" w:rsidRPr="00816998" w:rsidRDefault="00F3534B" w:rsidP="00816998">
                  <w:pPr>
                    <w:spacing w:before="120" w:after="120"/>
                    <w:jc w:val="center"/>
                    <w:rPr>
                      <w:sz w:val="20"/>
                      <w:szCs w:val="20"/>
                    </w:rPr>
                  </w:pPr>
                  <w:r w:rsidRPr="00816998">
                    <w:rPr>
                      <w:b/>
                      <w:sz w:val="20"/>
                      <w:szCs w:val="20"/>
                    </w:rPr>
                    <w:t>Capacity Charge</w:t>
                  </w:r>
                  <w:r w:rsidRPr="00816998">
                    <w:rPr>
                      <w:sz w:val="20"/>
                      <w:szCs w:val="20"/>
                    </w:rPr>
                    <w:t xml:space="preserve"> </w:t>
                  </w:r>
                  <w:r w:rsidRPr="00816998">
                    <w:rPr>
                      <w:sz w:val="20"/>
                      <w:szCs w:val="20"/>
                    </w:rPr>
                    <w:br/>
                    <w:t>($/kW-season)</w:t>
                  </w:r>
                </w:p>
                <w:p w14:paraId="1FE356D9" w14:textId="77777777" w:rsidR="00F3534B" w:rsidRPr="00816998" w:rsidRDefault="00F3534B" w:rsidP="00816998">
                  <w:pPr>
                    <w:spacing w:before="120" w:after="120"/>
                    <w:jc w:val="center"/>
                    <w:rPr>
                      <w:sz w:val="20"/>
                      <w:szCs w:val="20"/>
                    </w:rPr>
                  </w:pPr>
                  <w:r w:rsidRPr="00816998">
                    <w:rPr>
                      <w:sz w:val="20"/>
                      <w:szCs w:val="20"/>
                    </w:rPr>
                    <w:t>(excluding customer incentives)</w:t>
                  </w:r>
                </w:p>
              </w:tc>
            </w:tr>
            <w:tr w:rsidR="00F3534B" w:rsidRPr="00816998" w14:paraId="716BABA9" w14:textId="77777777" w:rsidTr="00133250">
              <w:tc>
                <w:tcPr>
                  <w:tcW w:w="1369" w:type="pct"/>
                </w:tcPr>
                <w:p w14:paraId="3D566967" w14:textId="77777777" w:rsidR="00F3534B" w:rsidRPr="00816998" w:rsidRDefault="00F3534B" w:rsidP="00816998">
                  <w:pPr>
                    <w:spacing w:before="120" w:after="120"/>
                    <w:jc w:val="center"/>
                    <w:rPr>
                      <w:sz w:val="20"/>
                      <w:szCs w:val="20"/>
                    </w:rPr>
                  </w:pPr>
                  <w:r w:rsidRPr="00816998">
                    <w:rPr>
                      <w:sz w:val="20"/>
                      <w:szCs w:val="20"/>
                    </w:rPr>
                    <w:t>Winter- 2021</w:t>
                  </w:r>
                </w:p>
                <w:p w14:paraId="37166B8F" w14:textId="77777777" w:rsidR="00F3534B" w:rsidRPr="00816998" w:rsidRDefault="00F3534B" w:rsidP="00816998">
                  <w:pPr>
                    <w:spacing w:before="120" w:after="120"/>
                    <w:jc w:val="center"/>
                    <w:rPr>
                      <w:sz w:val="20"/>
                      <w:szCs w:val="20"/>
                    </w:rPr>
                  </w:pPr>
                  <w:r w:rsidRPr="00816998">
                    <w:rPr>
                      <w:sz w:val="20"/>
                      <w:szCs w:val="20"/>
                    </w:rPr>
                    <w:t>(Nov.1, 2021 to till Feb. 28, 2022)</w:t>
                  </w:r>
                </w:p>
              </w:tc>
              <w:tc>
                <w:tcPr>
                  <w:tcW w:w="1765" w:type="pct"/>
                </w:tcPr>
                <w:p w14:paraId="7229304D" w14:textId="5A0E5D69" w:rsidR="00F3534B" w:rsidRPr="00816998" w:rsidRDefault="00720CF9" w:rsidP="00816998">
                  <w:pPr>
                    <w:spacing w:before="120" w:after="120"/>
                    <w:jc w:val="center"/>
                    <w:rPr>
                      <w:sz w:val="20"/>
                      <w:szCs w:val="20"/>
                    </w:rPr>
                  </w:pPr>
                  <w:r w:rsidRPr="00816998">
                    <w:rPr>
                      <w:sz w:val="20"/>
                      <w:szCs w:val="20"/>
                    </w:rPr>
                    <w:t>(MW from Table B1 above)</w:t>
                  </w:r>
                </w:p>
              </w:tc>
              <w:tc>
                <w:tcPr>
                  <w:tcW w:w="1866" w:type="pct"/>
                </w:tcPr>
                <w:p w14:paraId="312EF4A2" w14:textId="77777777" w:rsidR="00F3534B" w:rsidRPr="00816998" w:rsidRDefault="00F3534B" w:rsidP="00816998">
                  <w:pPr>
                    <w:spacing w:before="120" w:after="120"/>
                    <w:jc w:val="center"/>
                    <w:rPr>
                      <w:sz w:val="20"/>
                      <w:szCs w:val="20"/>
                    </w:rPr>
                  </w:pPr>
                </w:p>
              </w:tc>
            </w:tr>
            <w:tr w:rsidR="00F3534B" w:rsidRPr="00816998" w14:paraId="2E75BE1E" w14:textId="77777777" w:rsidTr="00133250">
              <w:tc>
                <w:tcPr>
                  <w:tcW w:w="1369" w:type="pct"/>
                </w:tcPr>
                <w:p w14:paraId="4AA5772B" w14:textId="0AD78613" w:rsidR="00F3534B" w:rsidRPr="00816998" w:rsidRDefault="00F3534B" w:rsidP="00816998">
                  <w:pPr>
                    <w:spacing w:before="120" w:after="120"/>
                    <w:jc w:val="center"/>
                    <w:rPr>
                      <w:sz w:val="20"/>
                      <w:szCs w:val="20"/>
                    </w:rPr>
                  </w:pPr>
                  <w:r w:rsidRPr="00816998">
                    <w:rPr>
                      <w:sz w:val="20"/>
                      <w:szCs w:val="20"/>
                    </w:rPr>
                    <w:t>Summer- 2021</w:t>
                  </w:r>
                </w:p>
                <w:p w14:paraId="48D9815D" w14:textId="77777777" w:rsidR="00F3534B" w:rsidRPr="00816998" w:rsidRDefault="00F3534B" w:rsidP="00816998">
                  <w:pPr>
                    <w:spacing w:before="120" w:after="120"/>
                    <w:jc w:val="center"/>
                    <w:rPr>
                      <w:sz w:val="20"/>
                      <w:szCs w:val="20"/>
                    </w:rPr>
                  </w:pPr>
                  <w:r w:rsidRPr="00816998">
                    <w:rPr>
                      <w:sz w:val="20"/>
                      <w:szCs w:val="20"/>
                    </w:rPr>
                    <w:t>(May 1, 2021 to till Sep. 30, 2022)</w:t>
                  </w:r>
                </w:p>
              </w:tc>
              <w:tc>
                <w:tcPr>
                  <w:tcW w:w="1765" w:type="pct"/>
                </w:tcPr>
                <w:p w14:paraId="5B44B755" w14:textId="77777777" w:rsidR="00F3534B" w:rsidRPr="00816998" w:rsidRDefault="00F3534B" w:rsidP="00816998">
                  <w:pPr>
                    <w:spacing w:before="120" w:after="120"/>
                    <w:jc w:val="center"/>
                    <w:rPr>
                      <w:sz w:val="20"/>
                      <w:szCs w:val="20"/>
                    </w:rPr>
                  </w:pPr>
                </w:p>
              </w:tc>
              <w:tc>
                <w:tcPr>
                  <w:tcW w:w="1866" w:type="pct"/>
                </w:tcPr>
                <w:p w14:paraId="763A1CF4" w14:textId="77777777" w:rsidR="00F3534B" w:rsidRPr="00816998" w:rsidRDefault="00F3534B" w:rsidP="00816998">
                  <w:pPr>
                    <w:spacing w:before="120" w:after="120"/>
                    <w:jc w:val="center"/>
                    <w:rPr>
                      <w:sz w:val="20"/>
                      <w:szCs w:val="20"/>
                    </w:rPr>
                  </w:pPr>
                </w:p>
              </w:tc>
            </w:tr>
            <w:tr w:rsidR="00F3534B" w:rsidRPr="00816998" w14:paraId="3531AE2A" w14:textId="77777777" w:rsidTr="00133250">
              <w:tc>
                <w:tcPr>
                  <w:tcW w:w="1369" w:type="pct"/>
                </w:tcPr>
                <w:p w14:paraId="760B59F0" w14:textId="77777777" w:rsidR="00F3534B" w:rsidRPr="00816998" w:rsidRDefault="00F3534B" w:rsidP="00816998">
                  <w:pPr>
                    <w:spacing w:before="120" w:after="120"/>
                    <w:jc w:val="center"/>
                    <w:rPr>
                      <w:sz w:val="20"/>
                      <w:szCs w:val="20"/>
                    </w:rPr>
                  </w:pPr>
                  <w:r w:rsidRPr="00816998">
                    <w:rPr>
                      <w:sz w:val="20"/>
                      <w:szCs w:val="20"/>
                    </w:rPr>
                    <w:t>Shoulder- 2021</w:t>
                  </w:r>
                </w:p>
                <w:p w14:paraId="2C86529C" w14:textId="77777777" w:rsidR="00F3534B" w:rsidRPr="00816998" w:rsidRDefault="00F3534B" w:rsidP="00816998">
                  <w:pPr>
                    <w:spacing w:before="120" w:after="120"/>
                    <w:jc w:val="center"/>
                    <w:rPr>
                      <w:sz w:val="20"/>
                      <w:szCs w:val="20"/>
                    </w:rPr>
                  </w:pPr>
                  <w:r w:rsidRPr="00816998">
                    <w:rPr>
                      <w:sz w:val="20"/>
                      <w:szCs w:val="20"/>
                    </w:rPr>
                    <w:t>(March, April And Oct. of 2021)</w:t>
                  </w:r>
                </w:p>
              </w:tc>
              <w:tc>
                <w:tcPr>
                  <w:tcW w:w="1765" w:type="pct"/>
                </w:tcPr>
                <w:p w14:paraId="381BFF6B" w14:textId="77777777" w:rsidR="00F3534B" w:rsidRPr="00816998" w:rsidRDefault="00F3534B" w:rsidP="00816998">
                  <w:pPr>
                    <w:spacing w:before="120" w:after="120"/>
                    <w:jc w:val="center"/>
                    <w:rPr>
                      <w:sz w:val="20"/>
                      <w:szCs w:val="20"/>
                    </w:rPr>
                  </w:pPr>
                </w:p>
              </w:tc>
              <w:tc>
                <w:tcPr>
                  <w:tcW w:w="1866" w:type="pct"/>
                </w:tcPr>
                <w:p w14:paraId="2522700F" w14:textId="77777777" w:rsidR="00F3534B" w:rsidRPr="00816998" w:rsidRDefault="00F3534B" w:rsidP="00816998">
                  <w:pPr>
                    <w:spacing w:before="120" w:after="120"/>
                    <w:jc w:val="center"/>
                    <w:rPr>
                      <w:sz w:val="20"/>
                      <w:szCs w:val="20"/>
                    </w:rPr>
                  </w:pPr>
                </w:p>
              </w:tc>
            </w:tr>
          </w:tbl>
          <w:p w14:paraId="4DF35C5F" w14:textId="4373035A" w:rsidR="00F3534B" w:rsidRPr="00816998" w:rsidRDefault="00F3534B" w:rsidP="00816998">
            <w:pPr>
              <w:spacing w:before="120" w:after="120"/>
              <w:rPr>
                <w:i/>
                <w:sz w:val="20"/>
                <w:szCs w:val="20"/>
              </w:rPr>
            </w:pPr>
          </w:p>
        </w:tc>
      </w:tr>
      <w:tr w:rsidR="00F3534B" w:rsidRPr="00816998" w14:paraId="53F2EBB6" w14:textId="77777777" w:rsidTr="007703FA">
        <w:trPr>
          <w:cantSplit/>
        </w:trPr>
        <w:tc>
          <w:tcPr>
            <w:tcW w:w="1394" w:type="pct"/>
            <w:shd w:val="clear" w:color="auto" w:fill="D9D9D9"/>
          </w:tcPr>
          <w:p w14:paraId="5158F881" w14:textId="77777777" w:rsidR="00F3534B" w:rsidRPr="00816998" w:rsidRDefault="00F3534B" w:rsidP="00A66F47">
            <w:pPr>
              <w:numPr>
                <w:ilvl w:val="0"/>
                <w:numId w:val="11"/>
              </w:numPr>
              <w:spacing w:before="80" w:after="80"/>
              <w:rPr>
                <w:sz w:val="20"/>
                <w:szCs w:val="20"/>
              </w:rPr>
            </w:pPr>
            <w:r w:rsidRPr="00816998">
              <w:rPr>
                <w:sz w:val="20"/>
                <w:szCs w:val="20"/>
              </w:rPr>
              <w:lastRenderedPageBreak/>
              <w:t>Other pricing elements or pricing for optional equipment and services</w:t>
            </w:r>
          </w:p>
        </w:tc>
        <w:tc>
          <w:tcPr>
            <w:tcW w:w="3606" w:type="pct"/>
          </w:tcPr>
          <w:p w14:paraId="5D424A13" w14:textId="77777777" w:rsidR="00F3534B" w:rsidRPr="00816998" w:rsidRDefault="00F3534B" w:rsidP="00133250">
            <w:pPr>
              <w:spacing w:before="80" w:after="80"/>
              <w:rPr>
                <w:sz w:val="20"/>
                <w:szCs w:val="20"/>
              </w:rPr>
            </w:pPr>
            <w:r w:rsidRPr="00816998">
              <w:rPr>
                <w:sz w:val="20"/>
                <w:szCs w:val="20"/>
              </w:rPr>
              <w:t>(Optional) Describe any additional or alternative pricing structures being proposed, as listed below:</w:t>
            </w:r>
          </w:p>
          <w:p w14:paraId="5320933E" w14:textId="6B42BCEF" w:rsidR="00F3534B" w:rsidRPr="00816998" w:rsidRDefault="00720CF9" w:rsidP="00A66F47">
            <w:pPr>
              <w:pStyle w:val="ListParagraph"/>
              <w:numPr>
                <w:ilvl w:val="0"/>
                <w:numId w:val="8"/>
              </w:numPr>
              <w:spacing w:before="80" w:after="80"/>
              <w:contextualSpacing w:val="0"/>
              <w:rPr>
                <w:sz w:val="20"/>
                <w:szCs w:val="20"/>
              </w:rPr>
            </w:pPr>
            <w:r w:rsidRPr="00816998">
              <w:rPr>
                <w:b/>
                <w:sz w:val="20"/>
                <w:szCs w:val="20"/>
              </w:rPr>
              <w:t>Additional MW.</w:t>
            </w:r>
            <w:r w:rsidRPr="00816998">
              <w:rPr>
                <w:sz w:val="20"/>
                <w:szCs w:val="20"/>
              </w:rPr>
              <w:t xml:space="preserve"> </w:t>
            </w:r>
            <w:r w:rsidR="00F3534B" w:rsidRPr="00816998">
              <w:rPr>
                <w:sz w:val="20"/>
                <w:szCs w:val="20"/>
              </w:rPr>
              <w:t xml:space="preserve">Indicate your pricing and the associated MW amounts for providing additional curtailment with hour-ahead notification above/beyond the minimum proposed amount indicated in </w:t>
            </w:r>
            <w:r w:rsidRPr="00816998">
              <w:rPr>
                <w:sz w:val="20"/>
                <w:szCs w:val="20"/>
              </w:rPr>
              <w:t>Table B1 above</w:t>
            </w:r>
            <w:r w:rsidR="00F3534B" w:rsidRPr="00816998">
              <w:rPr>
                <w:sz w:val="20"/>
                <w:szCs w:val="20"/>
              </w:rPr>
              <w:t xml:space="preserve">.    </w:t>
            </w:r>
          </w:p>
          <w:p w14:paraId="23BD9149" w14:textId="2C2A53A3" w:rsidR="00F3534B" w:rsidRPr="00816998" w:rsidRDefault="00720CF9" w:rsidP="00A66F47">
            <w:pPr>
              <w:pStyle w:val="ListParagraph"/>
              <w:numPr>
                <w:ilvl w:val="0"/>
                <w:numId w:val="8"/>
              </w:numPr>
              <w:spacing w:before="80" w:after="80"/>
              <w:contextualSpacing w:val="0"/>
              <w:rPr>
                <w:sz w:val="20"/>
                <w:szCs w:val="20"/>
              </w:rPr>
            </w:pPr>
            <w:r w:rsidRPr="00816998">
              <w:rPr>
                <w:b/>
                <w:sz w:val="20"/>
                <w:szCs w:val="20"/>
              </w:rPr>
              <w:t>10-minute response.</w:t>
            </w:r>
            <w:r w:rsidRPr="00816998">
              <w:rPr>
                <w:sz w:val="20"/>
                <w:szCs w:val="20"/>
              </w:rPr>
              <w:t xml:space="preserve"> </w:t>
            </w:r>
            <w:r w:rsidR="00F3534B" w:rsidRPr="00816998">
              <w:rPr>
                <w:sz w:val="20"/>
                <w:szCs w:val="20"/>
              </w:rPr>
              <w:t xml:space="preserve">Include your pricing terms and explanation for providing curtailment with 10-minute response, as indicated in your response to Table G3 under Section 4.1 of the main proposal. Indicate the incremental capacity charge for providing 10-minute response for the available capacity that is fast response enabled, as indicated in Table G3, Section 4.1 of the main RFP.   </w:t>
            </w:r>
          </w:p>
          <w:p w14:paraId="3A7B563E" w14:textId="77777777" w:rsidR="00F3534B" w:rsidRPr="00816998" w:rsidRDefault="00F3534B" w:rsidP="00A66F47">
            <w:pPr>
              <w:pStyle w:val="ListParagraph"/>
              <w:numPr>
                <w:ilvl w:val="0"/>
                <w:numId w:val="8"/>
              </w:numPr>
              <w:spacing w:before="80" w:after="80"/>
              <w:contextualSpacing w:val="0"/>
              <w:rPr>
                <w:sz w:val="20"/>
                <w:szCs w:val="20"/>
              </w:rPr>
            </w:pPr>
            <w:r w:rsidRPr="00816998">
              <w:rPr>
                <w:sz w:val="20"/>
                <w:szCs w:val="20"/>
              </w:rPr>
              <w:t xml:space="preserve">If you propose a separate charge for providing and hosting smart thermostat control services for customers, you should identify those charges. </w:t>
            </w:r>
          </w:p>
          <w:p w14:paraId="5BF55C6F" w14:textId="77777777" w:rsidR="00F3534B" w:rsidRPr="00816998" w:rsidRDefault="00F3534B" w:rsidP="00A66F47">
            <w:pPr>
              <w:pStyle w:val="ListParagraph"/>
              <w:numPr>
                <w:ilvl w:val="0"/>
                <w:numId w:val="8"/>
              </w:numPr>
              <w:spacing w:before="80" w:after="80"/>
              <w:contextualSpacing w:val="0"/>
              <w:rPr>
                <w:sz w:val="20"/>
                <w:szCs w:val="20"/>
              </w:rPr>
            </w:pPr>
            <w:r w:rsidRPr="00816998">
              <w:rPr>
                <w:sz w:val="20"/>
                <w:szCs w:val="20"/>
              </w:rPr>
              <w:t xml:space="preserve">Also include pricing for additional value added products/services that you included in your response in Section 4.1, Table H Item #4 of the main RFP document. </w:t>
            </w:r>
          </w:p>
          <w:p w14:paraId="6EE7F6C6" w14:textId="77777777" w:rsidR="00F3534B" w:rsidRPr="00816998" w:rsidRDefault="00F3534B" w:rsidP="00133250">
            <w:pPr>
              <w:spacing w:before="80" w:after="80"/>
              <w:rPr>
                <w:sz w:val="20"/>
                <w:szCs w:val="20"/>
              </w:rPr>
            </w:pPr>
            <w:r w:rsidRPr="00816998">
              <w:rPr>
                <w:sz w:val="20"/>
                <w:szCs w:val="20"/>
              </w:rPr>
              <w:t>In general, PSE prefers to have all costs encompassed in the Capacity Charge. However, we recognize that vendors may have valid reasons for alternative pricing arrangements, or may provide optional services that could be priced separately or that could raise the Capacity Charge above the base price proposed above.</w:t>
            </w:r>
          </w:p>
        </w:tc>
      </w:tr>
      <w:tr w:rsidR="009942A6" w:rsidRPr="00816998" w14:paraId="4E453171" w14:textId="77777777" w:rsidTr="007703FA">
        <w:trPr>
          <w:cantSplit/>
        </w:trPr>
        <w:tc>
          <w:tcPr>
            <w:tcW w:w="1394" w:type="pct"/>
            <w:shd w:val="clear" w:color="auto" w:fill="D9D9D9"/>
          </w:tcPr>
          <w:p w14:paraId="2A3A4689" w14:textId="47E26FF8" w:rsidR="009942A6" w:rsidRPr="00816998" w:rsidRDefault="009942A6" w:rsidP="00A66F47">
            <w:pPr>
              <w:numPr>
                <w:ilvl w:val="0"/>
                <w:numId w:val="11"/>
              </w:numPr>
              <w:spacing w:before="80" w:after="80"/>
              <w:rPr>
                <w:sz w:val="20"/>
                <w:szCs w:val="20"/>
              </w:rPr>
            </w:pPr>
            <w:r w:rsidRPr="00816998">
              <w:rPr>
                <w:sz w:val="20"/>
                <w:szCs w:val="20"/>
              </w:rPr>
              <w:t>Required products not included in this pricing proposal</w:t>
            </w:r>
          </w:p>
        </w:tc>
        <w:tc>
          <w:tcPr>
            <w:tcW w:w="3606" w:type="pct"/>
          </w:tcPr>
          <w:p w14:paraId="18B0B610" w14:textId="54EE69BD" w:rsidR="009942A6" w:rsidRPr="00816998" w:rsidRDefault="009942A6" w:rsidP="009942A6">
            <w:pPr>
              <w:spacing w:before="80" w:after="80"/>
              <w:rPr>
                <w:sz w:val="20"/>
                <w:szCs w:val="20"/>
              </w:rPr>
            </w:pPr>
            <w:r w:rsidRPr="00816998">
              <w:rPr>
                <w:sz w:val="20"/>
                <w:szCs w:val="20"/>
              </w:rPr>
              <w:t xml:space="preserve">If applicable, explain why some products that may be required for a fully functional </w:t>
            </w:r>
            <w:proofErr w:type="spellStart"/>
            <w:r w:rsidRPr="00816998">
              <w:rPr>
                <w:sz w:val="20"/>
                <w:szCs w:val="20"/>
              </w:rPr>
              <w:t>DLC</w:t>
            </w:r>
            <w:proofErr w:type="spellEnd"/>
            <w:r w:rsidRPr="00816998">
              <w:rPr>
                <w:sz w:val="20"/>
                <w:szCs w:val="20"/>
              </w:rPr>
              <w:t xml:space="preserve"> program, per this RFP, have not been included in this pricing proposal. If vendor expects PSE to provide hardware, software, labor or other necessary materials or staff that are not covered under PSE’s Responsibilities in Section 3.1 Roles and Responsibilities of the main RFP, bidder should identify those items here.</w:t>
            </w:r>
          </w:p>
        </w:tc>
      </w:tr>
    </w:tbl>
    <w:p w14:paraId="5F4AB6C3" w14:textId="77777777" w:rsidR="00816998" w:rsidRPr="00DE0619" w:rsidRDefault="00816998" w:rsidP="00816998">
      <w:pPr>
        <w:spacing w:before="240" w:after="2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6906"/>
      </w:tblGrid>
      <w:tr w:rsidR="00053C44" w:rsidRPr="00816998" w14:paraId="24694F7F" w14:textId="77777777" w:rsidTr="007703FA">
        <w:trPr>
          <w:cantSplit/>
        </w:trPr>
        <w:tc>
          <w:tcPr>
            <w:tcW w:w="5000" w:type="pct"/>
            <w:gridSpan w:val="2"/>
            <w:shd w:val="clear" w:color="auto" w:fill="D9D9D9"/>
          </w:tcPr>
          <w:p w14:paraId="70EF38F7" w14:textId="77777777" w:rsidR="00053C44" w:rsidRPr="00816998" w:rsidRDefault="00053C44" w:rsidP="00A66F47">
            <w:pPr>
              <w:keepNext/>
              <w:numPr>
                <w:ilvl w:val="0"/>
                <w:numId w:val="3"/>
              </w:numPr>
              <w:spacing w:before="80" w:after="80"/>
              <w:rPr>
                <w:b/>
                <w:sz w:val="28"/>
              </w:rPr>
            </w:pPr>
            <w:r w:rsidRPr="00816998">
              <w:rPr>
                <w:b/>
                <w:sz w:val="28"/>
              </w:rPr>
              <w:t>Additional pricing issues</w:t>
            </w:r>
          </w:p>
        </w:tc>
      </w:tr>
      <w:tr w:rsidR="00053C44" w:rsidRPr="00816998" w14:paraId="20D62780" w14:textId="77777777" w:rsidTr="007703FA">
        <w:trPr>
          <w:cantSplit/>
        </w:trPr>
        <w:tc>
          <w:tcPr>
            <w:tcW w:w="1394" w:type="pct"/>
            <w:shd w:val="clear" w:color="auto" w:fill="D9D9D9"/>
          </w:tcPr>
          <w:p w14:paraId="771B8709" w14:textId="1E67D02A" w:rsidR="00816998" w:rsidRPr="00323A92" w:rsidRDefault="00053C44" w:rsidP="00323A92">
            <w:pPr>
              <w:numPr>
                <w:ilvl w:val="0"/>
                <w:numId w:val="4"/>
              </w:numPr>
              <w:spacing w:before="120" w:after="120"/>
              <w:rPr>
                <w:sz w:val="20"/>
                <w:szCs w:val="20"/>
              </w:rPr>
            </w:pPr>
            <w:r w:rsidRPr="00816998">
              <w:rPr>
                <w:sz w:val="20"/>
                <w:szCs w:val="20"/>
              </w:rPr>
              <w:t>Firmness of offer</w:t>
            </w:r>
          </w:p>
        </w:tc>
        <w:tc>
          <w:tcPr>
            <w:tcW w:w="3606" w:type="pct"/>
          </w:tcPr>
          <w:p w14:paraId="7618648B" w14:textId="77301342" w:rsidR="00053C44" w:rsidRPr="00816998" w:rsidRDefault="00053C44" w:rsidP="00816998">
            <w:pPr>
              <w:spacing w:before="120" w:after="120"/>
              <w:rPr>
                <w:sz w:val="20"/>
                <w:szCs w:val="20"/>
              </w:rPr>
            </w:pPr>
            <w:r w:rsidRPr="00816998">
              <w:rPr>
                <w:sz w:val="20"/>
                <w:szCs w:val="20"/>
              </w:rPr>
              <w:t xml:space="preserve">What factors, if any, might affect your proposed pricing during contract negotiations, and by how much might this influence the prices presented above? What additional information do you expect to request from </w:t>
            </w:r>
            <w:r w:rsidR="00296CAE" w:rsidRPr="00816998">
              <w:rPr>
                <w:sz w:val="20"/>
                <w:szCs w:val="20"/>
              </w:rPr>
              <w:t>PSE</w:t>
            </w:r>
            <w:r w:rsidRPr="00816998">
              <w:rPr>
                <w:sz w:val="20"/>
                <w:szCs w:val="20"/>
              </w:rPr>
              <w:t xml:space="preserve"> in order to set firm pricing terms?</w:t>
            </w:r>
          </w:p>
        </w:tc>
      </w:tr>
      <w:tr w:rsidR="00053C44" w:rsidRPr="00816998" w14:paraId="733245BD" w14:textId="77777777" w:rsidTr="007703FA">
        <w:trPr>
          <w:cantSplit/>
        </w:trPr>
        <w:tc>
          <w:tcPr>
            <w:tcW w:w="1394" w:type="pct"/>
            <w:shd w:val="clear" w:color="auto" w:fill="D9D9D9"/>
          </w:tcPr>
          <w:p w14:paraId="52B62ED8" w14:textId="77777777" w:rsidR="00053C44" w:rsidRPr="00816998" w:rsidRDefault="00053C44" w:rsidP="00816998">
            <w:pPr>
              <w:numPr>
                <w:ilvl w:val="0"/>
                <w:numId w:val="4"/>
              </w:numPr>
              <w:spacing w:before="120" w:after="120"/>
              <w:rPr>
                <w:sz w:val="20"/>
                <w:szCs w:val="20"/>
              </w:rPr>
            </w:pPr>
            <w:r w:rsidRPr="00816998">
              <w:rPr>
                <w:sz w:val="20"/>
                <w:szCs w:val="20"/>
              </w:rPr>
              <w:t>Performance guarantees</w:t>
            </w:r>
          </w:p>
        </w:tc>
        <w:tc>
          <w:tcPr>
            <w:tcW w:w="3606" w:type="pct"/>
          </w:tcPr>
          <w:p w14:paraId="322FEA0A" w14:textId="41F4AFE0" w:rsidR="00053C44" w:rsidRPr="00816998" w:rsidRDefault="00053C44" w:rsidP="00816998">
            <w:pPr>
              <w:spacing w:before="120" w:after="120"/>
              <w:rPr>
                <w:sz w:val="20"/>
                <w:szCs w:val="20"/>
              </w:rPr>
            </w:pPr>
            <w:r w:rsidRPr="00816998">
              <w:rPr>
                <w:sz w:val="20"/>
                <w:szCs w:val="20"/>
              </w:rPr>
              <w:t xml:space="preserve">How do you propose to link payment with performance </w:t>
            </w:r>
            <w:r w:rsidR="00170DB6" w:rsidRPr="00816998">
              <w:rPr>
                <w:sz w:val="20"/>
                <w:szCs w:val="20"/>
              </w:rPr>
              <w:t>goals</w:t>
            </w:r>
            <w:r w:rsidRPr="00816998">
              <w:rPr>
                <w:sz w:val="20"/>
                <w:szCs w:val="20"/>
              </w:rPr>
              <w:t>, such as those identified in Section 3</w:t>
            </w:r>
            <w:r w:rsidR="00170DB6" w:rsidRPr="00816998">
              <w:rPr>
                <w:sz w:val="20"/>
                <w:szCs w:val="20"/>
              </w:rPr>
              <w:t>.</w:t>
            </w:r>
            <w:r w:rsidR="00B201F1" w:rsidRPr="00816998">
              <w:rPr>
                <w:sz w:val="20"/>
                <w:szCs w:val="20"/>
              </w:rPr>
              <w:t>3</w:t>
            </w:r>
            <w:r w:rsidR="00170DB6" w:rsidRPr="00816998">
              <w:rPr>
                <w:sz w:val="20"/>
                <w:szCs w:val="20"/>
              </w:rPr>
              <w:t xml:space="preserve"> of the RFP</w:t>
            </w:r>
            <w:r w:rsidRPr="00816998">
              <w:rPr>
                <w:sz w:val="20"/>
                <w:szCs w:val="20"/>
              </w:rPr>
              <w:t>? Would pricing be adjusted for underperformance? If so, what performance metrics do you propose and how would this adjust the effective pricing?</w:t>
            </w:r>
          </w:p>
        </w:tc>
      </w:tr>
      <w:tr w:rsidR="00053C44" w:rsidRPr="00816998" w14:paraId="41E7B229" w14:textId="77777777" w:rsidTr="007703FA">
        <w:trPr>
          <w:cantSplit/>
        </w:trPr>
        <w:tc>
          <w:tcPr>
            <w:tcW w:w="1394" w:type="pct"/>
            <w:shd w:val="clear" w:color="auto" w:fill="D9D9D9"/>
          </w:tcPr>
          <w:p w14:paraId="6AAA6822" w14:textId="77777777" w:rsidR="00053C44" w:rsidRPr="00816998" w:rsidRDefault="00053C44" w:rsidP="00816998">
            <w:pPr>
              <w:numPr>
                <w:ilvl w:val="0"/>
                <w:numId w:val="4"/>
              </w:numPr>
              <w:spacing w:before="120" w:after="120"/>
              <w:rPr>
                <w:sz w:val="20"/>
                <w:szCs w:val="20"/>
              </w:rPr>
            </w:pPr>
            <w:r w:rsidRPr="00816998">
              <w:rPr>
                <w:sz w:val="20"/>
                <w:szCs w:val="20"/>
              </w:rPr>
              <w:t>Invoicing and payments</w:t>
            </w:r>
          </w:p>
        </w:tc>
        <w:tc>
          <w:tcPr>
            <w:tcW w:w="3606" w:type="pct"/>
          </w:tcPr>
          <w:p w14:paraId="2669BF96" w14:textId="681596FC" w:rsidR="00053C44" w:rsidRPr="00816998" w:rsidRDefault="00053C44" w:rsidP="00816998">
            <w:pPr>
              <w:spacing w:before="120" w:after="120"/>
              <w:rPr>
                <w:sz w:val="20"/>
                <w:szCs w:val="20"/>
              </w:rPr>
            </w:pPr>
            <w:r w:rsidRPr="00816998">
              <w:rPr>
                <w:sz w:val="20"/>
                <w:szCs w:val="20"/>
              </w:rPr>
              <w:t xml:space="preserve">Explain how you propose to bill </w:t>
            </w:r>
            <w:r w:rsidR="00296CAE" w:rsidRPr="00816998">
              <w:rPr>
                <w:sz w:val="20"/>
                <w:szCs w:val="20"/>
              </w:rPr>
              <w:t>PSE</w:t>
            </w:r>
            <w:r w:rsidRPr="00816998">
              <w:rPr>
                <w:sz w:val="20"/>
                <w:szCs w:val="20"/>
              </w:rPr>
              <w:t xml:space="preserve"> for services (e.g., fixed recurring monthly payments, variable payments based on progress, lump sum milestone payments, etc.)?</w:t>
            </w:r>
          </w:p>
        </w:tc>
      </w:tr>
    </w:tbl>
    <w:p w14:paraId="70AAB279" w14:textId="77777777" w:rsidR="00053C44" w:rsidRPr="00816998" w:rsidRDefault="00053C44" w:rsidP="00816998">
      <w:pPr>
        <w:rPr>
          <w:color w:val="0070C0"/>
        </w:rPr>
      </w:pPr>
    </w:p>
    <w:sectPr w:rsidR="00053C44" w:rsidRPr="00816998" w:rsidSect="00A30628">
      <w:pgSz w:w="12240" w:h="15840"/>
      <w:pgMar w:top="900" w:right="1440" w:bottom="1260" w:left="1440" w:header="450" w:footer="5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498C7" w14:textId="77777777" w:rsidR="00C659CB" w:rsidRDefault="00C659CB">
      <w:r>
        <w:separator/>
      </w:r>
    </w:p>
  </w:endnote>
  <w:endnote w:type="continuationSeparator" w:id="0">
    <w:p w14:paraId="5473374C" w14:textId="77777777" w:rsidR="00C659CB" w:rsidRDefault="00C6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AFF91" w14:textId="77777777" w:rsidR="001E2D99" w:rsidRDefault="001E2D99" w:rsidP="004B1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B654C" w14:textId="77777777" w:rsidR="001E2D99" w:rsidRDefault="001E2D99" w:rsidP="004B12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01273" w14:textId="77777777" w:rsidR="001E2D99" w:rsidRDefault="001E2D99" w:rsidP="004B1299">
    <w:pPr>
      <w:pStyle w:val="Footer"/>
      <w:pBdr>
        <w:bottom w:val="single" w:sz="6" w:space="1" w:color="auto"/>
      </w:pBdr>
      <w:tabs>
        <w:tab w:val="right" w:pos="9360"/>
      </w:tabs>
      <w:ind w:right="360"/>
    </w:pPr>
  </w:p>
  <w:p w14:paraId="5480B0D9" w14:textId="630BFF1D" w:rsidR="001E2D99" w:rsidRDefault="001E2D99" w:rsidP="004B1299">
    <w:pPr>
      <w:pStyle w:val="Footer"/>
      <w:rPr>
        <w:rStyle w:val="PageNumber"/>
      </w:rPr>
    </w:pPr>
    <w:r>
      <w:rPr>
        <w:i/>
      </w:rPr>
      <w:t>PSE</w:t>
    </w:r>
    <w:r w:rsidRPr="00543AA7">
      <w:rPr>
        <w:i/>
      </w:rPr>
      <w:t xml:space="preserve"> RFP: Pricing for Direct Load Control Program</w:t>
    </w:r>
    <w:r w:rsidRPr="00543AA7">
      <w:t xml:space="preserve">   Issued: </w:t>
    </w:r>
    <w:r>
      <w:t>September 12</w:t>
    </w:r>
    <w:r w:rsidRPr="00543AA7">
      <w:t>, 201</w:t>
    </w:r>
    <w:r>
      <w:t>6</w:t>
    </w:r>
    <w:r w:rsidRPr="00543AA7">
      <w:t xml:space="preserve"> </w:t>
    </w:r>
    <w:r w:rsidRPr="00543AA7">
      <w:tab/>
      <w:t>Page</w:t>
    </w:r>
    <w:r>
      <w:t xml:space="preserve"> </w:t>
    </w:r>
    <w:r>
      <w:rPr>
        <w:rStyle w:val="PageNumber"/>
      </w:rPr>
      <w:fldChar w:fldCharType="begin"/>
    </w:r>
    <w:r>
      <w:rPr>
        <w:rStyle w:val="PageNumber"/>
      </w:rPr>
      <w:instrText xml:space="preserve">PAGE  </w:instrText>
    </w:r>
    <w:r>
      <w:rPr>
        <w:rStyle w:val="PageNumber"/>
      </w:rPr>
      <w:fldChar w:fldCharType="separate"/>
    </w:r>
    <w:r w:rsidR="00323A92">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DB074" w14:textId="77777777" w:rsidR="00A30628" w:rsidRDefault="00A30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0C83" w14:textId="77777777" w:rsidR="00C659CB" w:rsidRDefault="00C659CB">
      <w:r>
        <w:separator/>
      </w:r>
    </w:p>
  </w:footnote>
  <w:footnote w:type="continuationSeparator" w:id="0">
    <w:p w14:paraId="4C93F6CA" w14:textId="77777777" w:rsidR="00C659CB" w:rsidRDefault="00C659CB">
      <w:r>
        <w:continuationSeparator/>
      </w:r>
    </w:p>
  </w:footnote>
  <w:footnote w:id="1">
    <w:p w14:paraId="4004E107" w14:textId="50963AF6" w:rsidR="00F3534B" w:rsidRPr="004E25C7" w:rsidRDefault="00F3534B" w:rsidP="000E610D">
      <w:pPr>
        <w:pStyle w:val="FootnoteText"/>
        <w:ind w:right="-270"/>
        <w:rPr>
          <w:sz w:val="16"/>
          <w:szCs w:val="16"/>
        </w:rPr>
      </w:pPr>
      <w:r>
        <w:rPr>
          <w:rStyle w:val="FootnoteReference"/>
        </w:rPr>
        <w:footnoteRef/>
      </w:r>
      <w:r>
        <w:t xml:space="preserve"> </w:t>
      </w:r>
      <w:r w:rsidR="00FA6442" w:rsidRPr="004E25C7">
        <w:rPr>
          <w:sz w:val="16"/>
          <w:szCs w:val="16"/>
        </w:rPr>
        <w:t xml:space="preserve">Winter capacity for </w:t>
      </w:r>
      <w:r w:rsidR="004E25C7" w:rsidRPr="004E25C7">
        <w:rPr>
          <w:sz w:val="16"/>
          <w:szCs w:val="16"/>
        </w:rPr>
        <w:t>2017 covers</w:t>
      </w:r>
      <w:r w:rsidRPr="004E25C7">
        <w:rPr>
          <w:sz w:val="16"/>
          <w:szCs w:val="16"/>
        </w:rPr>
        <w:t xml:space="preserve"> November 1, 2021 to February 28, 2022</w:t>
      </w:r>
      <w:r w:rsidR="00FA6442" w:rsidRPr="004E25C7">
        <w:rPr>
          <w:sz w:val="16"/>
          <w:szCs w:val="16"/>
        </w:rPr>
        <w:t>; winter capacity for 2021 covers November 1, 2021 to February 28, 2022.</w:t>
      </w:r>
    </w:p>
  </w:footnote>
  <w:footnote w:id="2">
    <w:p w14:paraId="163995BF" w14:textId="63B2AD8F" w:rsidR="00F3534B" w:rsidRPr="004E25C7" w:rsidRDefault="00F3534B" w:rsidP="00F3534B">
      <w:pPr>
        <w:pStyle w:val="FootnoteText"/>
        <w:rPr>
          <w:sz w:val="16"/>
          <w:szCs w:val="16"/>
        </w:rPr>
      </w:pPr>
      <w:r>
        <w:rPr>
          <w:rStyle w:val="FootnoteReference"/>
        </w:rPr>
        <w:footnoteRef/>
      </w:r>
      <w:r>
        <w:t xml:space="preserve"> </w:t>
      </w:r>
      <w:r w:rsidR="003A342A" w:rsidRPr="004E25C7">
        <w:rPr>
          <w:sz w:val="16"/>
          <w:szCs w:val="16"/>
        </w:rPr>
        <w:t>Per the main RFP document, PSE seeks bidders’ best pricing that meets PSE’s primary objectives and conforms to the customer baseline assumptions discussed in Section 2.3. Item #5 below in this table provides bidders an opportunity to offer alternative pricing for higher capacity amounts if bidders believe that they can provide additional capacity at a higher incremental cost.</w:t>
      </w:r>
      <w:r w:rsidRPr="004E25C7">
        <w:rPr>
          <w:sz w:val="16"/>
          <w:szCs w:val="16"/>
        </w:rPr>
        <w:t xml:space="preserve"> </w:t>
      </w:r>
    </w:p>
  </w:footnote>
  <w:footnote w:id="3">
    <w:p w14:paraId="579F2F4E" w14:textId="50F5AB46" w:rsidR="000503DD" w:rsidRDefault="000503DD" w:rsidP="000503DD">
      <w:pPr>
        <w:pStyle w:val="FootnoteText"/>
      </w:pPr>
      <w:r>
        <w:rPr>
          <w:rStyle w:val="FootnoteReference"/>
        </w:rPr>
        <w:footnoteRef/>
      </w:r>
      <w:r>
        <w:t xml:space="preserve"> </w:t>
      </w:r>
      <w:r w:rsidRPr="004E25C7">
        <w:rPr>
          <w:sz w:val="16"/>
          <w:szCs w:val="16"/>
        </w:rPr>
        <w:t>Provide the equivalent $/kW-yr</w:t>
      </w:r>
      <w:r w:rsidR="00687B02" w:rsidRPr="004E25C7">
        <w:rPr>
          <w:sz w:val="16"/>
          <w:szCs w:val="16"/>
        </w:rPr>
        <w:t>.</w:t>
      </w:r>
      <w:r w:rsidRPr="004E25C7">
        <w:rPr>
          <w:sz w:val="16"/>
          <w:szCs w:val="16"/>
        </w:rPr>
        <w:t xml:space="preserve"> incentive cost based on normalization of the incentive amount by the delivered capacity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B547B" w14:textId="77777777" w:rsidR="00A30628" w:rsidRDefault="00A306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EAB69" w14:textId="77777777" w:rsidR="001E2D99" w:rsidRPr="00514D3C" w:rsidRDefault="001E2D99" w:rsidP="004B1299">
    <w:pPr>
      <w:pStyle w:val="Header"/>
      <w:jc w:val="center"/>
      <w:rPr>
        <w:smallCap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A8C7" w14:textId="77777777" w:rsidR="001E2D99" w:rsidRDefault="001E2D99" w:rsidP="00A45FA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F25"/>
    <w:multiLevelType w:val="hybridMultilevel"/>
    <w:tmpl w:val="B5F63214"/>
    <w:lvl w:ilvl="0" w:tplc="0E705212">
      <w:start w:val="1"/>
      <w:numFmt w:val="bullet"/>
      <w:pStyle w:val="Bullets-Shor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1D1D4D"/>
    <w:multiLevelType w:val="hybridMultilevel"/>
    <w:tmpl w:val="8F6CCBD8"/>
    <w:lvl w:ilvl="0" w:tplc="04090001">
      <w:start w:val="1"/>
      <w:numFmt w:val="bullet"/>
      <w:lvlText w:val=""/>
      <w:lvlJc w:val="left"/>
      <w:pPr>
        <w:ind w:left="403" w:hanging="360"/>
      </w:pPr>
      <w:rPr>
        <w:rFonts w:ascii="Symbol" w:hAnsi="Symbol" w:hint="default"/>
      </w:rPr>
    </w:lvl>
    <w:lvl w:ilvl="1" w:tplc="04090003">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2">
    <w:nsid w:val="25752083"/>
    <w:multiLevelType w:val="hybridMultilevel"/>
    <w:tmpl w:val="DEEE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CB5B97"/>
    <w:multiLevelType w:val="hybridMultilevel"/>
    <w:tmpl w:val="03E00704"/>
    <w:lvl w:ilvl="0" w:tplc="041D000F">
      <w:start w:val="1"/>
      <w:numFmt w:val="decimal"/>
      <w:lvlText w:val="%1."/>
      <w:lvlJc w:val="left"/>
      <w:pPr>
        <w:tabs>
          <w:tab w:val="num" w:pos="360"/>
        </w:tabs>
        <w:ind w:left="360" w:hanging="360"/>
      </w:pPr>
      <w:rPr>
        <w:rFonts w:cs="Times New Roman"/>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4">
    <w:nsid w:val="3DCF5F92"/>
    <w:multiLevelType w:val="multilevel"/>
    <w:tmpl w:val="9598722A"/>
    <w:lvl w:ilvl="0">
      <w:start w:val="1"/>
      <w:numFmt w:val="decimal"/>
      <w:pStyle w:val="Heading1"/>
      <w:lvlText w:val="%1"/>
      <w:lvlJc w:val="left"/>
      <w:pPr>
        <w:ind w:left="432" w:hanging="432"/>
      </w:pPr>
      <w:rPr>
        <w:rFonts w:cs="Times New Roman" w:hint="default"/>
        <w:color w:val="auto"/>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ascii="Times New Roman" w:hAnsi="Times New Roman"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5">
    <w:nsid w:val="43903314"/>
    <w:multiLevelType w:val="hybridMultilevel"/>
    <w:tmpl w:val="03E00704"/>
    <w:lvl w:ilvl="0" w:tplc="041D000F">
      <w:start w:val="1"/>
      <w:numFmt w:val="decimal"/>
      <w:lvlText w:val="%1."/>
      <w:lvlJc w:val="left"/>
      <w:pPr>
        <w:tabs>
          <w:tab w:val="num" w:pos="360"/>
        </w:tabs>
        <w:ind w:left="360" w:hanging="360"/>
      </w:pPr>
      <w:rPr>
        <w:rFonts w:cs="Times New Roman"/>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6">
    <w:nsid w:val="46142A06"/>
    <w:multiLevelType w:val="hybridMultilevel"/>
    <w:tmpl w:val="BFA23D04"/>
    <w:lvl w:ilvl="0" w:tplc="B31A9F36">
      <w:start w:val="1"/>
      <w:numFmt w:val="bullet"/>
      <w:pStyle w:val="Resume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9A6114"/>
    <w:multiLevelType w:val="hybridMultilevel"/>
    <w:tmpl w:val="5B4CE594"/>
    <w:lvl w:ilvl="0" w:tplc="F57AD2A8">
      <w:start w:val="1"/>
      <w:numFmt w:val="upperLetter"/>
      <w:lvlText w:val="%1."/>
      <w:lvlJc w:val="left"/>
      <w:pPr>
        <w:ind w:left="360" w:hanging="360"/>
      </w:pPr>
      <w:rPr>
        <w:rFonts w:cs="Times New Roman"/>
        <w:sz w:val="28"/>
        <w:szCs w:val="2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51F32FB2"/>
    <w:multiLevelType w:val="hybridMultilevel"/>
    <w:tmpl w:val="C434B7BC"/>
    <w:lvl w:ilvl="0" w:tplc="041D000F">
      <w:start w:val="1"/>
      <w:numFmt w:val="decimal"/>
      <w:lvlText w:val="%1."/>
      <w:lvlJc w:val="left"/>
      <w:pPr>
        <w:tabs>
          <w:tab w:val="num" w:pos="360"/>
        </w:tabs>
        <w:ind w:left="360" w:hanging="360"/>
      </w:pPr>
      <w:rPr>
        <w:rFonts w:cs="Times New Roman"/>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9">
    <w:nsid w:val="528C01AF"/>
    <w:multiLevelType w:val="hybridMultilevel"/>
    <w:tmpl w:val="03E00704"/>
    <w:lvl w:ilvl="0" w:tplc="041D000F">
      <w:start w:val="1"/>
      <w:numFmt w:val="decimal"/>
      <w:lvlText w:val="%1."/>
      <w:lvlJc w:val="left"/>
      <w:pPr>
        <w:tabs>
          <w:tab w:val="num" w:pos="360"/>
        </w:tabs>
        <w:ind w:left="360" w:hanging="360"/>
      </w:pPr>
      <w:rPr>
        <w:rFonts w:cs="Times New Roman"/>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10">
    <w:nsid w:val="5E662A07"/>
    <w:multiLevelType w:val="multilevel"/>
    <w:tmpl w:val="05CE248C"/>
    <w:lvl w:ilvl="0">
      <w:start w:val="1"/>
      <w:numFmt w:val="decimal"/>
      <w:pStyle w:val="CSSRFPLevel10"/>
      <w:lvlText w:val="%1."/>
      <w:lvlJc w:val="left"/>
      <w:pPr>
        <w:tabs>
          <w:tab w:val="num" w:pos="720"/>
        </w:tabs>
        <w:ind w:left="720" w:hanging="72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1">
    <w:nsid w:val="65D43B8A"/>
    <w:multiLevelType w:val="hybridMultilevel"/>
    <w:tmpl w:val="D51AD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8"/>
  </w:num>
  <w:num w:numId="5">
    <w:abstractNumId w:val="6"/>
  </w:num>
  <w:num w:numId="6">
    <w:abstractNumId w:val="0"/>
  </w:num>
  <w:num w:numId="7">
    <w:abstractNumId w:val="10"/>
  </w:num>
  <w:num w:numId="8">
    <w:abstractNumId w:val="1"/>
  </w:num>
  <w:num w:numId="9">
    <w:abstractNumId w:val="11"/>
  </w:num>
  <w:num w:numId="10">
    <w:abstractNumId w:val="5"/>
  </w:num>
  <w:num w:numId="11">
    <w:abstractNumId w:val="3"/>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E7"/>
    <w:rsid w:val="0000270B"/>
    <w:rsid w:val="00002EE7"/>
    <w:rsid w:val="00004435"/>
    <w:rsid w:val="000070B0"/>
    <w:rsid w:val="00010336"/>
    <w:rsid w:val="0001467E"/>
    <w:rsid w:val="00017AAB"/>
    <w:rsid w:val="00017B68"/>
    <w:rsid w:val="00020C80"/>
    <w:rsid w:val="00021487"/>
    <w:rsid w:val="0002244D"/>
    <w:rsid w:val="00023CE0"/>
    <w:rsid w:val="00024456"/>
    <w:rsid w:val="0002693A"/>
    <w:rsid w:val="00027919"/>
    <w:rsid w:val="00027A33"/>
    <w:rsid w:val="00030D34"/>
    <w:rsid w:val="00031AE0"/>
    <w:rsid w:val="00033214"/>
    <w:rsid w:val="000333DC"/>
    <w:rsid w:val="000339B2"/>
    <w:rsid w:val="00033D68"/>
    <w:rsid w:val="00034475"/>
    <w:rsid w:val="00035469"/>
    <w:rsid w:val="000361AD"/>
    <w:rsid w:val="00040757"/>
    <w:rsid w:val="00041A41"/>
    <w:rsid w:val="00041D41"/>
    <w:rsid w:val="000438E1"/>
    <w:rsid w:val="000455EF"/>
    <w:rsid w:val="00046648"/>
    <w:rsid w:val="00047DAC"/>
    <w:rsid w:val="0005015A"/>
    <w:rsid w:val="000503DD"/>
    <w:rsid w:val="00053C44"/>
    <w:rsid w:val="00055E6C"/>
    <w:rsid w:val="000606AF"/>
    <w:rsid w:val="000624FB"/>
    <w:rsid w:val="00065644"/>
    <w:rsid w:val="000660D8"/>
    <w:rsid w:val="000716B7"/>
    <w:rsid w:val="000724D0"/>
    <w:rsid w:val="000746E6"/>
    <w:rsid w:val="000759BA"/>
    <w:rsid w:val="000761AD"/>
    <w:rsid w:val="000770EC"/>
    <w:rsid w:val="00077D71"/>
    <w:rsid w:val="00080CF9"/>
    <w:rsid w:val="00081D86"/>
    <w:rsid w:val="00082690"/>
    <w:rsid w:val="00082801"/>
    <w:rsid w:val="0008285E"/>
    <w:rsid w:val="00083E62"/>
    <w:rsid w:val="0008484F"/>
    <w:rsid w:val="000904C9"/>
    <w:rsid w:val="0009145C"/>
    <w:rsid w:val="000930FA"/>
    <w:rsid w:val="00093585"/>
    <w:rsid w:val="00095363"/>
    <w:rsid w:val="00096F5F"/>
    <w:rsid w:val="000A1473"/>
    <w:rsid w:val="000A2DC5"/>
    <w:rsid w:val="000A408C"/>
    <w:rsid w:val="000A5005"/>
    <w:rsid w:val="000A53B3"/>
    <w:rsid w:val="000A752E"/>
    <w:rsid w:val="000B2647"/>
    <w:rsid w:val="000B5174"/>
    <w:rsid w:val="000B7D53"/>
    <w:rsid w:val="000C0F29"/>
    <w:rsid w:val="000C1F94"/>
    <w:rsid w:val="000C217E"/>
    <w:rsid w:val="000C2D95"/>
    <w:rsid w:val="000C39E4"/>
    <w:rsid w:val="000C4BF8"/>
    <w:rsid w:val="000C593F"/>
    <w:rsid w:val="000D0390"/>
    <w:rsid w:val="000D0FA1"/>
    <w:rsid w:val="000D1B5E"/>
    <w:rsid w:val="000D6C59"/>
    <w:rsid w:val="000E0202"/>
    <w:rsid w:val="000E0287"/>
    <w:rsid w:val="000E0847"/>
    <w:rsid w:val="000E14D6"/>
    <w:rsid w:val="000E1C5B"/>
    <w:rsid w:val="000E27C9"/>
    <w:rsid w:val="000E2DAD"/>
    <w:rsid w:val="000E4495"/>
    <w:rsid w:val="000E610D"/>
    <w:rsid w:val="000E6ACA"/>
    <w:rsid w:val="000F004D"/>
    <w:rsid w:val="000F12F9"/>
    <w:rsid w:val="000F249A"/>
    <w:rsid w:val="000F24E2"/>
    <w:rsid w:val="000F7085"/>
    <w:rsid w:val="000F72F2"/>
    <w:rsid w:val="000F770D"/>
    <w:rsid w:val="000F7CC7"/>
    <w:rsid w:val="001022E9"/>
    <w:rsid w:val="00103768"/>
    <w:rsid w:val="0010501B"/>
    <w:rsid w:val="0010544A"/>
    <w:rsid w:val="0011018C"/>
    <w:rsid w:val="00110E5C"/>
    <w:rsid w:val="00111D11"/>
    <w:rsid w:val="00113638"/>
    <w:rsid w:val="00114B19"/>
    <w:rsid w:val="00114B62"/>
    <w:rsid w:val="00115312"/>
    <w:rsid w:val="001161F1"/>
    <w:rsid w:val="0011698C"/>
    <w:rsid w:val="001277EA"/>
    <w:rsid w:val="0013240B"/>
    <w:rsid w:val="00141651"/>
    <w:rsid w:val="0014171C"/>
    <w:rsid w:val="00143934"/>
    <w:rsid w:val="001519B3"/>
    <w:rsid w:val="00152CED"/>
    <w:rsid w:val="0015386B"/>
    <w:rsid w:val="00153E3B"/>
    <w:rsid w:val="001544FC"/>
    <w:rsid w:val="001610C1"/>
    <w:rsid w:val="00165090"/>
    <w:rsid w:val="00165792"/>
    <w:rsid w:val="00166112"/>
    <w:rsid w:val="00167B08"/>
    <w:rsid w:val="00170DB6"/>
    <w:rsid w:val="0018114E"/>
    <w:rsid w:val="00181BE2"/>
    <w:rsid w:val="00181DD3"/>
    <w:rsid w:val="00191902"/>
    <w:rsid w:val="00193ACD"/>
    <w:rsid w:val="00193CC4"/>
    <w:rsid w:val="00194034"/>
    <w:rsid w:val="00197433"/>
    <w:rsid w:val="001A0EC6"/>
    <w:rsid w:val="001A6979"/>
    <w:rsid w:val="001A7149"/>
    <w:rsid w:val="001B2854"/>
    <w:rsid w:val="001B31F7"/>
    <w:rsid w:val="001B681C"/>
    <w:rsid w:val="001B6B45"/>
    <w:rsid w:val="001B71C7"/>
    <w:rsid w:val="001B722D"/>
    <w:rsid w:val="001C0666"/>
    <w:rsid w:val="001C07AA"/>
    <w:rsid w:val="001C16BB"/>
    <w:rsid w:val="001C1973"/>
    <w:rsid w:val="001C5955"/>
    <w:rsid w:val="001C7FFD"/>
    <w:rsid w:val="001D0024"/>
    <w:rsid w:val="001D1CAE"/>
    <w:rsid w:val="001D586D"/>
    <w:rsid w:val="001E1955"/>
    <w:rsid w:val="001E211F"/>
    <w:rsid w:val="001E2CF5"/>
    <w:rsid w:val="001E2D99"/>
    <w:rsid w:val="001E4EF2"/>
    <w:rsid w:val="001E6480"/>
    <w:rsid w:val="001F009C"/>
    <w:rsid w:val="001F1CB0"/>
    <w:rsid w:val="001F4498"/>
    <w:rsid w:val="001F5EB1"/>
    <w:rsid w:val="00201A28"/>
    <w:rsid w:val="002038F7"/>
    <w:rsid w:val="00203E8D"/>
    <w:rsid w:val="00212E66"/>
    <w:rsid w:val="00217A91"/>
    <w:rsid w:val="00220C95"/>
    <w:rsid w:val="0022204A"/>
    <w:rsid w:val="00222242"/>
    <w:rsid w:val="0022459D"/>
    <w:rsid w:val="00224C63"/>
    <w:rsid w:val="0022712E"/>
    <w:rsid w:val="0023500B"/>
    <w:rsid w:val="0024047B"/>
    <w:rsid w:val="00240821"/>
    <w:rsid w:val="00241F8D"/>
    <w:rsid w:val="0024201B"/>
    <w:rsid w:val="0024645A"/>
    <w:rsid w:val="00246647"/>
    <w:rsid w:val="002476E9"/>
    <w:rsid w:val="00250F22"/>
    <w:rsid w:val="00251B1D"/>
    <w:rsid w:val="0025300F"/>
    <w:rsid w:val="00253918"/>
    <w:rsid w:val="00254F5C"/>
    <w:rsid w:val="00257E15"/>
    <w:rsid w:val="00260DA6"/>
    <w:rsid w:val="00264267"/>
    <w:rsid w:val="00266C72"/>
    <w:rsid w:val="002676A4"/>
    <w:rsid w:val="0027083C"/>
    <w:rsid w:val="00274320"/>
    <w:rsid w:val="00281099"/>
    <w:rsid w:val="00282B34"/>
    <w:rsid w:val="00282C00"/>
    <w:rsid w:val="002832BE"/>
    <w:rsid w:val="00285991"/>
    <w:rsid w:val="0028628F"/>
    <w:rsid w:val="00290299"/>
    <w:rsid w:val="00290A80"/>
    <w:rsid w:val="00292121"/>
    <w:rsid w:val="00292478"/>
    <w:rsid w:val="002925E7"/>
    <w:rsid w:val="002928C8"/>
    <w:rsid w:val="00293A12"/>
    <w:rsid w:val="00294664"/>
    <w:rsid w:val="00296688"/>
    <w:rsid w:val="00296A43"/>
    <w:rsid w:val="00296CAE"/>
    <w:rsid w:val="002A1D70"/>
    <w:rsid w:val="002A2EC4"/>
    <w:rsid w:val="002A3F3A"/>
    <w:rsid w:val="002A485D"/>
    <w:rsid w:val="002A504F"/>
    <w:rsid w:val="002B007E"/>
    <w:rsid w:val="002B017E"/>
    <w:rsid w:val="002B3F9B"/>
    <w:rsid w:val="002B40E7"/>
    <w:rsid w:val="002B6F6E"/>
    <w:rsid w:val="002C5022"/>
    <w:rsid w:val="002C5ED7"/>
    <w:rsid w:val="002C5FB1"/>
    <w:rsid w:val="002D2572"/>
    <w:rsid w:val="002D44D2"/>
    <w:rsid w:val="002D4696"/>
    <w:rsid w:val="002D4915"/>
    <w:rsid w:val="002D6876"/>
    <w:rsid w:val="002D7516"/>
    <w:rsid w:val="002E2355"/>
    <w:rsid w:val="002E65E1"/>
    <w:rsid w:val="002E6939"/>
    <w:rsid w:val="002F0122"/>
    <w:rsid w:val="002F4995"/>
    <w:rsid w:val="002F717E"/>
    <w:rsid w:val="00302B8C"/>
    <w:rsid w:val="00304074"/>
    <w:rsid w:val="00304FCB"/>
    <w:rsid w:val="00305286"/>
    <w:rsid w:val="00306C7A"/>
    <w:rsid w:val="00310F0F"/>
    <w:rsid w:val="003115DD"/>
    <w:rsid w:val="00312BBA"/>
    <w:rsid w:val="00316179"/>
    <w:rsid w:val="0032151A"/>
    <w:rsid w:val="00321CB3"/>
    <w:rsid w:val="00323A92"/>
    <w:rsid w:val="00324B38"/>
    <w:rsid w:val="00324D81"/>
    <w:rsid w:val="00325D4D"/>
    <w:rsid w:val="003324FD"/>
    <w:rsid w:val="00333352"/>
    <w:rsid w:val="003337FA"/>
    <w:rsid w:val="0033547E"/>
    <w:rsid w:val="00335936"/>
    <w:rsid w:val="00335946"/>
    <w:rsid w:val="0034038E"/>
    <w:rsid w:val="003430B8"/>
    <w:rsid w:val="00343D09"/>
    <w:rsid w:val="003473AF"/>
    <w:rsid w:val="00354A63"/>
    <w:rsid w:val="00354BDB"/>
    <w:rsid w:val="00355ED2"/>
    <w:rsid w:val="00360F47"/>
    <w:rsid w:val="00361076"/>
    <w:rsid w:val="00363B4D"/>
    <w:rsid w:val="00366BC6"/>
    <w:rsid w:val="00370C2F"/>
    <w:rsid w:val="00372964"/>
    <w:rsid w:val="00375E0E"/>
    <w:rsid w:val="00376387"/>
    <w:rsid w:val="00376D5F"/>
    <w:rsid w:val="00380ECA"/>
    <w:rsid w:val="00380FC9"/>
    <w:rsid w:val="003815EA"/>
    <w:rsid w:val="003823AF"/>
    <w:rsid w:val="003829F0"/>
    <w:rsid w:val="0038346F"/>
    <w:rsid w:val="00383E38"/>
    <w:rsid w:val="003935D6"/>
    <w:rsid w:val="00394095"/>
    <w:rsid w:val="003A1140"/>
    <w:rsid w:val="003A2193"/>
    <w:rsid w:val="003A314A"/>
    <w:rsid w:val="003A342A"/>
    <w:rsid w:val="003B402E"/>
    <w:rsid w:val="003B7330"/>
    <w:rsid w:val="003B74E8"/>
    <w:rsid w:val="003C3D80"/>
    <w:rsid w:val="003C3D8A"/>
    <w:rsid w:val="003C52DC"/>
    <w:rsid w:val="003C6E43"/>
    <w:rsid w:val="003D161F"/>
    <w:rsid w:val="003D19B9"/>
    <w:rsid w:val="003D2F86"/>
    <w:rsid w:val="003D3CA7"/>
    <w:rsid w:val="003D5267"/>
    <w:rsid w:val="003E1A59"/>
    <w:rsid w:val="003E454A"/>
    <w:rsid w:val="003E4552"/>
    <w:rsid w:val="003E4A35"/>
    <w:rsid w:val="003E57DB"/>
    <w:rsid w:val="003F2F92"/>
    <w:rsid w:val="003F4399"/>
    <w:rsid w:val="003F7FC3"/>
    <w:rsid w:val="0040069F"/>
    <w:rsid w:val="00403E2B"/>
    <w:rsid w:val="0040776E"/>
    <w:rsid w:val="00411B53"/>
    <w:rsid w:val="00412EB3"/>
    <w:rsid w:val="004144DC"/>
    <w:rsid w:val="00414DA8"/>
    <w:rsid w:val="00414EE8"/>
    <w:rsid w:val="00414F20"/>
    <w:rsid w:val="00416E3C"/>
    <w:rsid w:val="004211DD"/>
    <w:rsid w:val="00421A7D"/>
    <w:rsid w:val="00425A23"/>
    <w:rsid w:val="00426562"/>
    <w:rsid w:val="00426816"/>
    <w:rsid w:val="0042770F"/>
    <w:rsid w:val="00427C60"/>
    <w:rsid w:val="00427EA1"/>
    <w:rsid w:val="004318F6"/>
    <w:rsid w:val="00432054"/>
    <w:rsid w:val="00432896"/>
    <w:rsid w:val="00433555"/>
    <w:rsid w:val="00436D79"/>
    <w:rsid w:val="00436DB6"/>
    <w:rsid w:val="00436F0D"/>
    <w:rsid w:val="00440277"/>
    <w:rsid w:val="00440BC8"/>
    <w:rsid w:val="00444229"/>
    <w:rsid w:val="0045111B"/>
    <w:rsid w:val="00452812"/>
    <w:rsid w:val="00452AC2"/>
    <w:rsid w:val="004537E2"/>
    <w:rsid w:val="00453E3F"/>
    <w:rsid w:val="004555A5"/>
    <w:rsid w:val="00455986"/>
    <w:rsid w:val="00457A92"/>
    <w:rsid w:val="00461DBC"/>
    <w:rsid w:val="00466E61"/>
    <w:rsid w:val="004700DD"/>
    <w:rsid w:val="00471B70"/>
    <w:rsid w:val="00475EA3"/>
    <w:rsid w:val="00477101"/>
    <w:rsid w:val="00480D21"/>
    <w:rsid w:val="00482E39"/>
    <w:rsid w:val="00483B86"/>
    <w:rsid w:val="0048485F"/>
    <w:rsid w:val="004870E0"/>
    <w:rsid w:val="0049025D"/>
    <w:rsid w:val="0049369E"/>
    <w:rsid w:val="00493D06"/>
    <w:rsid w:val="00497859"/>
    <w:rsid w:val="004A5112"/>
    <w:rsid w:val="004A61E4"/>
    <w:rsid w:val="004A681E"/>
    <w:rsid w:val="004A6F1C"/>
    <w:rsid w:val="004B0364"/>
    <w:rsid w:val="004B1299"/>
    <w:rsid w:val="004B330E"/>
    <w:rsid w:val="004B416B"/>
    <w:rsid w:val="004B563D"/>
    <w:rsid w:val="004B5B55"/>
    <w:rsid w:val="004B7D8C"/>
    <w:rsid w:val="004C04FA"/>
    <w:rsid w:val="004C1C85"/>
    <w:rsid w:val="004C1FFD"/>
    <w:rsid w:val="004C407F"/>
    <w:rsid w:val="004C4B94"/>
    <w:rsid w:val="004D0428"/>
    <w:rsid w:val="004D112C"/>
    <w:rsid w:val="004D3686"/>
    <w:rsid w:val="004D3D4B"/>
    <w:rsid w:val="004D48F3"/>
    <w:rsid w:val="004D4936"/>
    <w:rsid w:val="004D4DBF"/>
    <w:rsid w:val="004D51B3"/>
    <w:rsid w:val="004D7D19"/>
    <w:rsid w:val="004E0764"/>
    <w:rsid w:val="004E085E"/>
    <w:rsid w:val="004E0E78"/>
    <w:rsid w:val="004E25C7"/>
    <w:rsid w:val="004E2E20"/>
    <w:rsid w:val="004E3E38"/>
    <w:rsid w:val="004E49E9"/>
    <w:rsid w:val="004E4C7C"/>
    <w:rsid w:val="004E6497"/>
    <w:rsid w:val="004E7FDF"/>
    <w:rsid w:val="004F3DE4"/>
    <w:rsid w:val="004F5C23"/>
    <w:rsid w:val="004F6F79"/>
    <w:rsid w:val="005000D7"/>
    <w:rsid w:val="00501434"/>
    <w:rsid w:val="0050254A"/>
    <w:rsid w:val="00503393"/>
    <w:rsid w:val="0050571F"/>
    <w:rsid w:val="0050623B"/>
    <w:rsid w:val="00511F9C"/>
    <w:rsid w:val="00513E22"/>
    <w:rsid w:val="00514D3C"/>
    <w:rsid w:val="00516AD0"/>
    <w:rsid w:val="00516F09"/>
    <w:rsid w:val="0052164C"/>
    <w:rsid w:val="00524E91"/>
    <w:rsid w:val="0052648B"/>
    <w:rsid w:val="00526D8B"/>
    <w:rsid w:val="00531D7B"/>
    <w:rsid w:val="00536B57"/>
    <w:rsid w:val="005371B6"/>
    <w:rsid w:val="00537310"/>
    <w:rsid w:val="005421FE"/>
    <w:rsid w:val="0054233B"/>
    <w:rsid w:val="00542BD5"/>
    <w:rsid w:val="00543AA7"/>
    <w:rsid w:val="00543B6A"/>
    <w:rsid w:val="005456FE"/>
    <w:rsid w:val="00555990"/>
    <w:rsid w:val="00555C91"/>
    <w:rsid w:val="005565B9"/>
    <w:rsid w:val="00556657"/>
    <w:rsid w:val="005566D6"/>
    <w:rsid w:val="00557B30"/>
    <w:rsid w:val="005609F4"/>
    <w:rsid w:val="00561305"/>
    <w:rsid w:val="0056263D"/>
    <w:rsid w:val="00562DE9"/>
    <w:rsid w:val="005644B9"/>
    <w:rsid w:val="0056737B"/>
    <w:rsid w:val="00571ECD"/>
    <w:rsid w:val="005831E3"/>
    <w:rsid w:val="00583410"/>
    <w:rsid w:val="00583C02"/>
    <w:rsid w:val="0058422B"/>
    <w:rsid w:val="00585631"/>
    <w:rsid w:val="005859FC"/>
    <w:rsid w:val="00591884"/>
    <w:rsid w:val="00592536"/>
    <w:rsid w:val="00592DFB"/>
    <w:rsid w:val="00593439"/>
    <w:rsid w:val="0059352C"/>
    <w:rsid w:val="00593B05"/>
    <w:rsid w:val="00594CF0"/>
    <w:rsid w:val="005953DA"/>
    <w:rsid w:val="005967D3"/>
    <w:rsid w:val="0059695C"/>
    <w:rsid w:val="005A0300"/>
    <w:rsid w:val="005A0925"/>
    <w:rsid w:val="005A0BB7"/>
    <w:rsid w:val="005A543F"/>
    <w:rsid w:val="005A7E9A"/>
    <w:rsid w:val="005B2D40"/>
    <w:rsid w:val="005B2D60"/>
    <w:rsid w:val="005B51B9"/>
    <w:rsid w:val="005B6823"/>
    <w:rsid w:val="005C0C1B"/>
    <w:rsid w:val="005C144E"/>
    <w:rsid w:val="005C5F9D"/>
    <w:rsid w:val="005C6913"/>
    <w:rsid w:val="005D0945"/>
    <w:rsid w:val="005D4167"/>
    <w:rsid w:val="005D5182"/>
    <w:rsid w:val="005D563E"/>
    <w:rsid w:val="005D6B55"/>
    <w:rsid w:val="005E170A"/>
    <w:rsid w:val="005E205E"/>
    <w:rsid w:val="005E28F8"/>
    <w:rsid w:val="005E70EC"/>
    <w:rsid w:val="005F2D9A"/>
    <w:rsid w:val="005F37A9"/>
    <w:rsid w:val="005F3A1C"/>
    <w:rsid w:val="005F4D26"/>
    <w:rsid w:val="005F5905"/>
    <w:rsid w:val="005F6140"/>
    <w:rsid w:val="006009E4"/>
    <w:rsid w:val="00600A68"/>
    <w:rsid w:val="00602E71"/>
    <w:rsid w:val="0060331F"/>
    <w:rsid w:val="0060442D"/>
    <w:rsid w:val="006062B1"/>
    <w:rsid w:val="00607988"/>
    <w:rsid w:val="006109F5"/>
    <w:rsid w:val="00610B56"/>
    <w:rsid w:val="00613453"/>
    <w:rsid w:val="00614D7A"/>
    <w:rsid w:val="00616221"/>
    <w:rsid w:val="00620B56"/>
    <w:rsid w:val="00621343"/>
    <w:rsid w:val="00621CE9"/>
    <w:rsid w:val="00622986"/>
    <w:rsid w:val="00623AE3"/>
    <w:rsid w:val="0062412F"/>
    <w:rsid w:val="00624BCB"/>
    <w:rsid w:val="00632126"/>
    <w:rsid w:val="006325C7"/>
    <w:rsid w:val="0063341D"/>
    <w:rsid w:val="0063345F"/>
    <w:rsid w:val="00633938"/>
    <w:rsid w:val="00636346"/>
    <w:rsid w:val="006371D7"/>
    <w:rsid w:val="00642746"/>
    <w:rsid w:val="0064623E"/>
    <w:rsid w:val="00647531"/>
    <w:rsid w:val="006509F8"/>
    <w:rsid w:val="006513CF"/>
    <w:rsid w:val="00652CD3"/>
    <w:rsid w:val="006537D5"/>
    <w:rsid w:val="00655270"/>
    <w:rsid w:val="006560F6"/>
    <w:rsid w:val="00657B14"/>
    <w:rsid w:val="0066141F"/>
    <w:rsid w:val="00661432"/>
    <w:rsid w:val="00662A81"/>
    <w:rsid w:val="006632FD"/>
    <w:rsid w:val="00663A5C"/>
    <w:rsid w:val="00663BA3"/>
    <w:rsid w:val="00665EFD"/>
    <w:rsid w:val="006671BD"/>
    <w:rsid w:val="00667211"/>
    <w:rsid w:val="0066745D"/>
    <w:rsid w:val="00670423"/>
    <w:rsid w:val="00673274"/>
    <w:rsid w:val="00673772"/>
    <w:rsid w:val="00674745"/>
    <w:rsid w:val="0067494E"/>
    <w:rsid w:val="00676125"/>
    <w:rsid w:val="006761B6"/>
    <w:rsid w:val="0067645D"/>
    <w:rsid w:val="006774DB"/>
    <w:rsid w:val="00677BEC"/>
    <w:rsid w:val="006810A8"/>
    <w:rsid w:val="006817C4"/>
    <w:rsid w:val="006827E1"/>
    <w:rsid w:val="006862DB"/>
    <w:rsid w:val="00687B02"/>
    <w:rsid w:val="00691097"/>
    <w:rsid w:val="00691760"/>
    <w:rsid w:val="00691FF4"/>
    <w:rsid w:val="00692FEA"/>
    <w:rsid w:val="00696E20"/>
    <w:rsid w:val="006A15FB"/>
    <w:rsid w:val="006A1CE4"/>
    <w:rsid w:val="006A33AA"/>
    <w:rsid w:val="006A6421"/>
    <w:rsid w:val="006A7AED"/>
    <w:rsid w:val="006B03CE"/>
    <w:rsid w:val="006B1701"/>
    <w:rsid w:val="006B3553"/>
    <w:rsid w:val="006B3F4B"/>
    <w:rsid w:val="006B5B59"/>
    <w:rsid w:val="006B6304"/>
    <w:rsid w:val="006B6F4C"/>
    <w:rsid w:val="006C7205"/>
    <w:rsid w:val="006D1516"/>
    <w:rsid w:val="006D21AD"/>
    <w:rsid w:val="006D7E62"/>
    <w:rsid w:val="006E08AC"/>
    <w:rsid w:val="006E7396"/>
    <w:rsid w:val="006F37A1"/>
    <w:rsid w:val="006F3826"/>
    <w:rsid w:val="006F66E8"/>
    <w:rsid w:val="007026D5"/>
    <w:rsid w:val="0070522B"/>
    <w:rsid w:val="00710A9D"/>
    <w:rsid w:val="0071123D"/>
    <w:rsid w:val="00712D77"/>
    <w:rsid w:val="00713207"/>
    <w:rsid w:val="00715A0B"/>
    <w:rsid w:val="00717600"/>
    <w:rsid w:val="00717AD0"/>
    <w:rsid w:val="00717FA8"/>
    <w:rsid w:val="00720CF9"/>
    <w:rsid w:val="00722D88"/>
    <w:rsid w:val="0072378E"/>
    <w:rsid w:val="00724567"/>
    <w:rsid w:val="0073050C"/>
    <w:rsid w:val="007306E1"/>
    <w:rsid w:val="007313A6"/>
    <w:rsid w:val="007348BA"/>
    <w:rsid w:val="00736113"/>
    <w:rsid w:val="007371E5"/>
    <w:rsid w:val="007416A7"/>
    <w:rsid w:val="007417B0"/>
    <w:rsid w:val="007460C0"/>
    <w:rsid w:val="007461A9"/>
    <w:rsid w:val="007471D4"/>
    <w:rsid w:val="00750A50"/>
    <w:rsid w:val="007515EA"/>
    <w:rsid w:val="00751AE9"/>
    <w:rsid w:val="007535C5"/>
    <w:rsid w:val="007546BD"/>
    <w:rsid w:val="00760308"/>
    <w:rsid w:val="00760FF8"/>
    <w:rsid w:val="00761F31"/>
    <w:rsid w:val="00762B4C"/>
    <w:rsid w:val="00764A1D"/>
    <w:rsid w:val="00765B2C"/>
    <w:rsid w:val="00765F2A"/>
    <w:rsid w:val="00766A23"/>
    <w:rsid w:val="00766CAD"/>
    <w:rsid w:val="007703FA"/>
    <w:rsid w:val="00771DB5"/>
    <w:rsid w:val="00772CDF"/>
    <w:rsid w:val="00774795"/>
    <w:rsid w:val="0077667F"/>
    <w:rsid w:val="00777AC6"/>
    <w:rsid w:val="00781C50"/>
    <w:rsid w:val="007843FC"/>
    <w:rsid w:val="0078490C"/>
    <w:rsid w:val="00785571"/>
    <w:rsid w:val="0078565C"/>
    <w:rsid w:val="00786985"/>
    <w:rsid w:val="00790C75"/>
    <w:rsid w:val="00794F3E"/>
    <w:rsid w:val="00795C9A"/>
    <w:rsid w:val="00796CE4"/>
    <w:rsid w:val="007A290B"/>
    <w:rsid w:val="007A3E7C"/>
    <w:rsid w:val="007A412F"/>
    <w:rsid w:val="007B01C5"/>
    <w:rsid w:val="007B2534"/>
    <w:rsid w:val="007B4806"/>
    <w:rsid w:val="007B7735"/>
    <w:rsid w:val="007C0144"/>
    <w:rsid w:val="007C15FA"/>
    <w:rsid w:val="007C273F"/>
    <w:rsid w:val="007C2E19"/>
    <w:rsid w:val="007D004F"/>
    <w:rsid w:val="007D21CC"/>
    <w:rsid w:val="007D2321"/>
    <w:rsid w:val="007D260B"/>
    <w:rsid w:val="007D7602"/>
    <w:rsid w:val="007D7F11"/>
    <w:rsid w:val="007E28B3"/>
    <w:rsid w:val="007E5C43"/>
    <w:rsid w:val="007F184F"/>
    <w:rsid w:val="007F4BB6"/>
    <w:rsid w:val="007F551F"/>
    <w:rsid w:val="007F6746"/>
    <w:rsid w:val="007F6BBC"/>
    <w:rsid w:val="007F7D14"/>
    <w:rsid w:val="007F7EF0"/>
    <w:rsid w:val="00800032"/>
    <w:rsid w:val="00800FB7"/>
    <w:rsid w:val="008012F7"/>
    <w:rsid w:val="008023BE"/>
    <w:rsid w:val="00803244"/>
    <w:rsid w:val="00803D05"/>
    <w:rsid w:val="00804FAE"/>
    <w:rsid w:val="00807096"/>
    <w:rsid w:val="008077D7"/>
    <w:rsid w:val="00807BB6"/>
    <w:rsid w:val="008107E9"/>
    <w:rsid w:val="00811206"/>
    <w:rsid w:val="00811F05"/>
    <w:rsid w:val="008150DD"/>
    <w:rsid w:val="008155DE"/>
    <w:rsid w:val="008156C1"/>
    <w:rsid w:val="00816998"/>
    <w:rsid w:val="00816F3B"/>
    <w:rsid w:val="00817918"/>
    <w:rsid w:val="0082370A"/>
    <w:rsid w:val="008268BB"/>
    <w:rsid w:val="008279A1"/>
    <w:rsid w:val="00831EE1"/>
    <w:rsid w:val="008352A7"/>
    <w:rsid w:val="00835883"/>
    <w:rsid w:val="0083652A"/>
    <w:rsid w:val="0083705C"/>
    <w:rsid w:val="008402DC"/>
    <w:rsid w:val="00841662"/>
    <w:rsid w:val="00842016"/>
    <w:rsid w:val="008437F7"/>
    <w:rsid w:val="00844BBB"/>
    <w:rsid w:val="008468AF"/>
    <w:rsid w:val="008517D2"/>
    <w:rsid w:val="00855573"/>
    <w:rsid w:val="0085564C"/>
    <w:rsid w:val="00855696"/>
    <w:rsid w:val="00861215"/>
    <w:rsid w:val="00863D0C"/>
    <w:rsid w:val="00863EEC"/>
    <w:rsid w:val="0086587B"/>
    <w:rsid w:val="00871EF7"/>
    <w:rsid w:val="00873B23"/>
    <w:rsid w:val="00874022"/>
    <w:rsid w:val="00874675"/>
    <w:rsid w:val="008747C8"/>
    <w:rsid w:val="008765E4"/>
    <w:rsid w:val="00876B02"/>
    <w:rsid w:val="00876BAF"/>
    <w:rsid w:val="0088678F"/>
    <w:rsid w:val="00886CEC"/>
    <w:rsid w:val="00887061"/>
    <w:rsid w:val="00887BAA"/>
    <w:rsid w:val="0089112B"/>
    <w:rsid w:val="00892E97"/>
    <w:rsid w:val="00893BE0"/>
    <w:rsid w:val="00895443"/>
    <w:rsid w:val="0089678E"/>
    <w:rsid w:val="00897CFE"/>
    <w:rsid w:val="008A16B0"/>
    <w:rsid w:val="008A3FB9"/>
    <w:rsid w:val="008A6BDE"/>
    <w:rsid w:val="008A7054"/>
    <w:rsid w:val="008A7763"/>
    <w:rsid w:val="008A7F41"/>
    <w:rsid w:val="008B1309"/>
    <w:rsid w:val="008B14B9"/>
    <w:rsid w:val="008B2EE9"/>
    <w:rsid w:val="008B41D6"/>
    <w:rsid w:val="008B4D2C"/>
    <w:rsid w:val="008B653F"/>
    <w:rsid w:val="008C0333"/>
    <w:rsid w:val="008C0DBF"/>
    <w:rsid w:val="008C2FC6"/>
    <w:rsid w:val="008C4619"/>
    <w:rsid w:val="008C52CA"/>
    <w:rsid w:val="008C642A"/>
    <w:rsid w:val="008C6873"/>
    <w:rsid w:val="008D1FCB"/>
    <w:rsid w:val="008D2B3B"/>
    <w:rsid w:val="008D61A9"/>
    <w:rsid w:val="008E1221"/>
    <w:rsid w:val="008E1524"/>
    <w:rsid w:val="008E1C11"/>
    <w:rsid w:val="008E1E2E"/>
    <w:rsid w:val="008E5F67"/>
    <w:rsid w:val="008E6EEE"/>
    <w:rsid w:val="008E70E1"/>
    <w:rsid w:val="008E76ED"/>
    <w:rsid w:val="008E7B4E"/>
    <w:rsid w:val="008F09FE"/>
    <w:rsid w:val="008F10DC"/>
    <w:rsid w:val="008F2DC2"/>
    <w:rsid w:val="008F58FC"/>
    <w:rsid w:val="008F5FA9"/>
    <w:rsid w:val="008F6B39"/>
    <w:rsid w:val="008F71C7"/>
    <w:rsid w:val="009005F1"/>
    <w:rsid w:val="00900A9D"/>
    <w:rsid w:val="009023BF"/>
    <w:rsid w:val="0090551D"/>
    <w:rsid w:val="00907923"/>
    <w:rsid w:val="00910409"/>
    <w:rsid w:val="00911013"/>
    <w:rsid w:val="009155AF"/>
    <w:rsid w:val="00916FFB"/>
    <w:rsid w:val="00920758"/>
    <w:rsid w:val="009231D2"/>
    <w:rsid w:val="00925EC4"/>
    <w:rsid w:val="00926E75"/>
    <w:rsid w:val="009307CA"/>
    <w:rsid w:val="00933C11"/>
    <w:rsid w:val="00936C83"/>
    <w:rsid w:val="0094202F"/>
    <w:rsid w:val="00942E92"/>
    <w:rsid w:val="009432B4"/>
    <w:rsid w:val="0094724A"/>
    <w:rsid w:val="009554B2"/>
    <w:rsid w:val="0096413A"/>
    <w:rsid w:val="00966D4B"/>
    <w:rsid w:val="009676AE"/>
    <w:rsid w:val="009746B1"/>
    <w:rsid w:val="009802F6"/>
    <w:rsid w:val="00980B78"/>
    <w:rsid w:val="009810E2"/>
    <w:rsid w:val="00981293"/>
    <w:rsid w:val="00981AD7"/>
    <w:rsid w:val="00981D35"/>
    <w:rsid w:val="00982EC9"/>
    <w:rsid w:val="009851F9"/>
    <w:rsid w:val="009855B0"/>
    <w:rsid w:val="00986373"/>
    <w:rsid w:val="00986579"/>
    <w:rsid w:val="00991F31"/>
    <w:rsid w:val="009942A6"/>
    <w:rsid w:val="00995D6D"/>
    <w:rsid w:val="009962F8"/>
    <w:rsid w:val="00997D72"/>
    <w:rsid w:val="009A23CC"/>
    <w:rsid w:val="009A5C9F"/>
    <w:rsid w:val="009A66A7"/>
    <w:rsid w:val="009B10FF"/>
    <w:rsid w:val="009B21EA"/>
    <w:rsid w:val="009B7F05"/>
    <w:rsid w:val="009C0175"/>
    <w:rsid w:val="009C0CC6"/>
    <w:rsid w:val="009C1600"/>
    <w:rsid w:val="009C20E4"/>
    <w:rsid w:val="009C39EB"/>
    <w:rsid w:val="009C3B73"/>
    <w:rsid w:val="009C6BC7"/>
    <w:rsid w:val="009D081B"/>
    <w:rsid w:val="009D4E72"/>
    <w:rsid w:val="009D5875"/>
    <w:rsid w:val="009D5918"/>
    <w:rsid w:val="009D680D"/>
    <w:rsid w:val="009E0004"/>
    <w:rsid w:val="009E1E3A"/>
    <w:rsid w:val="009E334F"/>
    <w:rsid w:val="009E3A07"/>
    <w:rsid w:val="009E49DB"/>
    <w:rsid w:val="009E4AF3"/>
    <w:rsid w:val="009E5271"/>
    <w:rsid w:val="009E7AA3"/>
    <w:rsid w:val="009F2212"/>
    <w:rsid w:val="009F236C"/>
    <w:rsid w:val="009F289F"/>
    <w:rsid w:val="009F464C"/>
    <w:rsid w:val="009F4C5E"/>
    <w:rsid w:val="009F510B"/>
    <w:rsid w:val="009F5552"/>
    <w:rsid w:val="00A00DD9"/>
    <w:rsid w:val="00A10C5B"/>
    <w:rsid w:val="00A11FA2"/>
    <w:rsid w:val="00A127E0"/>
    <w:rsid w:val="00A14167"/>
    <w:rsid w:val="00A1421A"/>
    <w:rsid w:val="00A173AC"/>
    <w:rsid w:val="00A2163C"/>
    <w:rsid w:val="00A2610D"/>
    <w:rsid w:val="00A263FC"/>
    <w:rsid w:val="00A2652E"/>
    <w:rsid w:val="00A2723D"/>
    <w:rsid w:val="00A27327"/>
    <w:rsid w:val="00A27D0C"/>
    <w:rsid w:val="00A30628"/>
    <w:rsid w:val="00A30EF3"/>
    <w:rsid w:val="00A316E5"/>
    <w:rsid w:val="00A32D3F"/>
    <w:rsid w:val="00A32F46"/>
    <w:rsid w:val="00A400ED"/>
    <w:rsid w:val="00A44472"/>
    <w:rsid w:val="00A44484"/>
    <w:rsid w:val="00A44FBA"/>
    <w:rsid w:val="00A45FA0"/>
    <w:rsid w:val="00A46EE1"/>
    <w:rsid w:val="00A503BC"/>
    <w:rsid w:val="00A526F1"/>
    <w:rsid w:val="00A55D7E"/>
    <w:rsid w:val="00A57237"/>
    <w:rsid w:val="00A574AA"/>
    <w:rsid w:val="00A61928"/>
    <w:rsid w:val="00A66822"/>
    <w:rsid w:val="00A66F47"/>
    <w:rsid w:val="00A675C4"/>
    <w:rsid w:val="00A70134"/>
    <w:rsid w:val="00A72D6B"/>
    <w:rsid w:val="00A73201"/>
    <w:rsid w:val="00A73A53"/>
    <w:rsid w:val="00A741A9"/>
    <w:rsid w:val="00A7580C"/>
    <w:rsid w:val="00A77F27"/>
    <w:rsid w:val="00A805B2"/>
    <w:rsid w:val="00A81409"/>
    <w:rsid w:val="00A86C38"/>
    <w:rsid w:val="00A87B7B"/>
    <w:rsid w:val="00A90745"/>
    <w:rsid w:val="00A9102D"/>
    <w:rsid w:val="00A92515"/>
    <w:rsid w:val="00A929AC"/>
    <w:rsid w:val="00A9565C"/>
    <w:rsid w:val="00AA309F"/>
    <w:rsid w:val="00AA32A1"/>
    <w:rsid w:val="00AA7469"/>
    <w:rsid w:val="00AB38C8"/>
    <w:rsid w:val="00AC2320"/>
    <w:rsid w:val="00AC24A0"/>
    <w:rsid w:val="00AC2943"/>
    <w:rsid w:val="00AC76C1"/>
    <w:rsid w:val="00AC77DB"/>
    <w:rsid w:val="00AC7F55"/>
    <w:rsid w:val="00AD078A"/>
    <w:rsid w:val="00AD25DC"/>
    <w:rsid w:val="00AD3FF5"/>
    <w:rsid w:val="00AD5E2B"/>
    <w:rsid w:val="00AD6082"/>
    <w:rsid w:val="00AD64BB"/>
    <w:rsid w:val="00AD7CCC"/>
    <w:rsid w:val="00AE349A"/>
    <w:rsid w:val="00AE38A4"/>
    <w:rsid w:val="00AE4498"/>
    <w:rsid w:val="00AE55CC"/>
    <w:rsid w:val="00AE7DE7"/>
    <w:rsid w:val="00AF29F1"/>
    <w:rsid w:val="00AF35D2"/>
    <w:rsid w:val="00AF3D72"/>
    <w:rsid w:val="00B06E88"/>
    <w:rsid w:val="00B071AB"/>
    <w:rsid w:val="00B10862"/>
    <w:rsid w:val="00B10E26"/>
    <w:rsid w:val="00B15413"/>
    <w:rsid w:val="00B15431"/>
    <w:rsid w:val="00B15B4E"/>
    <w:rsid w:val="00B161E5"/>
    <w:rsid w:val="00B201F1"/>
    <w:rsid w:val="00B21049"/>
    <w:rsid w:val="00B22077"/>
    <w:rsid w:val="00B23FAE"/>
    <w:rsid w:val="00B2613D"/>
    <w:rsid w:val="00B268AA"/>
    <w:rsid w:val="00B31C46"/>
    <w:rsid w:val="00B337C2"/>
    <w:rsid w:val="00B369C7"/>
    <w:rsid w:val="00B40854"/>
    <w:rsid w:val="00B40F7B"/>
    <w:rsid w:val="00B41ABE"/>
    <w:rsid w:val="00B448A6"/>
    <w:rsid w:val="00B45579"/>
    <w:rsid w:val="00B45B15"/>
    <w:rsid w:val="00B501BD"/>
    <w:rsid w:val="00B53BF6"/>
    <w:rsid w:val="00B5413C"/>
    <w:rsid w:val="00B55C45"/>
    <w:rsid w:val="00B56313"/>
    <w:rsid w:val="00B720F4"/>
    <w:rsid w:val="00B73690"/>
    <w:rsid w:val="00B7414D"/>
    <w:rsid w:val="00B8047E"/>
    <w:rsid w:val="00B83260"/>
    <w:rsid w:val="00B85BFE"/>
    <w:rsid w:val="00B86AC1"/>
    <w:rsid w:val="00B92B4D"/>
    <w:rsid w:val="00B96E84"/>
    <w:rsid w:val="00BA0FD6"/>
    <w:rsid w:val="00BA13E0"/>
    <w:rsid w:val="00BA2D36"/>
    <w:rsid w:val="00BA3933"/>
    <w:rsid w:val="00BB0C30"/>
    <w:rsid w:val="00BB5BB3"/>
    <w:rsid w:val="00BC0F54"/>
    <w:rsid w:val="00BC4606"/>
    <w:rsid w:val="00BD3208"/>
    <w:rsid w:val="00BD5F57"/>
    <w:rsid w:val="00BE004C"/>
    <w:rsid w:val="00BE0252"/>
    <w:rsid w:val="00BE1C5A"/>
    <w:rsid w:val="00BE31CA"/>
    <w:rsid w:val="00BE4396"/>
    <w:rsid w:val="00BE48B4"/>
    <w:rsid w:val="00BF6654"/>
    <w:rsid w:val="00C005DB"/>
    <w:rsid w:val="00C018D2"/>
    <w:rsid w:val="00C073EF"/>
    <w:rsid w:val="00C11D46"/>
    <w:rsid w:val="00C12C77"/>
    <w:rsid w:val="00C13EA7"/>
    <w:rsid w:val="00C15175"/>
    <w:rsid w:val="00C15E1E"/>
    <w:rsid w:val="00C26105"/>
    <w:rsid w:val="00C31051"/>
    <w:rsid w:val="00C429C2"/>
    <w:rsid w:val="00C51DCD"/>
    <w:rsid w:val="00C52593"/>
    <w:rsid w:val="00C5315E"/>
    <w:rsid w:val="00C53A90"/>
    <w:rsid w:val="00C53EBA"/>
    <w:rsid w:val="00C546DD"/>
    <w:rsid w:val="00C61482"/>
    <w:rsid w:val="00C619DB"/>
    <w:rsid w:val="00C62505"/>
    <w:rsid w:val="00C64351"/>
    <w:rsid w:val="00C655FB"/>
    <w:rsid w:val="00C659CB"/>
    <w:rsid w:val="00C6638F"/>
    <w:rsid w:val="00C7119F"/>
    <w:rsid w:val="00C73FF4"/>
    <w:rsid w:val="00C8035E"/>
    <w:rsid w:val="00C81C05"/>
    <w:rsid w:val="00C8336E"/>
    <w:rsid w:val="00C847FF"/>
    <w:rsid w:val="00C84A2E"/>
    <w:rsid w:val="00C87E24"/>
    <w:rsid w:val="00C91085"/>
    <w:rsid w:val="00C92423"/>
    <w:rsid w:val="00C94E9E"/>
    <w:rsid w:val="00C97ADF"/>
    <w:rsid w:val="00CA03F9"/>
    <w:rsid w:val="00CA2611"/>
    <w:rsid w:val="00CA2C91"/>
    <w:rsid w:val="00CA5F76"/>
    <w:rsid w:val="00CA681B"/>
    <w:rsid w:val="00CA6FD1"/>
    <w:rsid w:val="00CA7E06"/>
    <w:rsid w:val="00CB0453"/>
    <w:rsid w:val="00CB192F"/>
    <w:rsid w:val="00CB497A"/>
    <w:rsid w:val="00CB5662"/>
    <w:rsid w:val="00CC07C8"/>
    <w:rsid w:val="00CC1E66"/>
    <w:rsid w:val="00CC33CA"/>
    <w:rsid w:val="00CC4852"/>
    <w:rsid w:val="00CC4C8A"/>
    <w:rsid w:val="00CC567D"/>
    <w:rsid w:val="00CC7E8B"/>
    <w:rsid w:val="00CD212D"/>
    <w:rsid w:val="00CD2D79"/>
    <w:rsid w:val="00CD2F50"/>
    <w:rsid w:val="00CD51F4"/>
    <w:rsid w:val="00CD5280"/>
    <w:rsid w:val="00CE1954"/>
    <w:rsid w:val="00CE4BAC"/>
    <w:rsid w:val="00CE5032"/>
    <w:rsid w:val="00CE59F8"/>
    <w:rsid w:val="00CE5BDA"/>
    <w:rsid w:val="00CF1712"/>
    <w:rsid w:val="00CF28B9"/>
    <w:rsid w:val="00CF5C48"/>
    <w:rsid w:val="00CF6AA5"/>
    <w:rsid w:val="00CF7475"/>
    <w:rsid w:val="00D001D3"/>
    <w:rsid w:val="00D00246"/>
    <w:rsid w:val="00D027F7"/>
    <w:rsid w:val="00D03513"/>
    <w:rsid w:val="00D112AB"/>
    <w:rsid w:val="00D12622"/>
    <w:rsid w:val="00D135C6"/>
    <w:rsid w:val="00D1780D"/>
    <w:rsid w:val="00D242E7"/>
    <w:rsid w:val="00D25F16"/>
    <w:rsid w:val="00D31DCA"/>
    <w:rsid w:val="00D31F5D"/>
    <w:rsid w:val="00D327C8"/>
    <w:rsid w:val="00D33188"/>
    <w:rsid w:val="00D33B19"/>
    <w:rsid w:val="00D35B7E"/>
    <w:rsid w:val="00D3656E"/>
    <w:rsid w:val="00D40CE4"/>
    <w:rsid w:val="00D415BE"/>
    <w:rsid w:val="00D43ECB"/>
    <w:rsid w:val="00D443AE"/>
    <w:rsid w:val="00D44507"/>
    <w:rsid w:val="00D53ED9"/>
    <w:rsid w:val="00D552F6"/>
    <w:rsid w:val="00D632A5"/>
    <w:rsid w:val="00D63305"/>
    <w:rsid w:val="00D63358"/>
    <w:rsid w:val="00D63FD3"/>
    <w:rsid w:val="00D64604"/>
    <w:rsid w:val="00D712FC"/>
    <w:rsid w:val="00D779ED"/>
    <w:rsid w:val="00D77A9C"/>
    <w:rsid w:val="00D83A3F"/>
    <w:rsid w:val="00D879CC"/>
    <w:rsid w:val="00D91E4F"/>
    <w:rsid w:val="00D91FDF"/>
    <w:rsid w:val="00D93FDB"/>
    <w:rsid w:val="00D964D9"/>
    <w:rsid w:val="00D97AF3"/>
    <w:rsid w:val="00DA6671"/>
    <w:rsid w:val="00DA7B87"/>
    <w:rsid w:val="00DB1A4E"/>
    <w:rsid w:val="00DB3030"/>
    <w:rsid w:val="00DB5B63"/>
    <w:rsid w:val="00DB7396"/>
    <w:rsid w:val="00DB7CAF"/>
    <w:rsid w:val="00DB7DCF"/>
    <w:rsid w:val="00DC0741"/>
    <w:rsid w:val="00DC15EB"/>
    <w:rsid w:val="00DC30D8"/>
    <w:rsid w:val="00DC3239"/>
    <w:rsid w:val="00DC6239"/>
    <w:rsid w:val="00DC6436"/>
    <w:rsid w:val="00DC6462"/>
    <w:rsid w:val="00DC6800"/>
    <w:rsid w:val="00DD32CE"/>
    <w:rsid w:val="00DD38D0"/>
    <w:rsid w:val="00DD4085"/>
    <w:rsid w:val="00DD4C04"/>
    <w:rsid w:val="00DD6248"/>
    <w:rsid w:val="00DD6D74"/>
    <w:rsid w:val="00DE1CC6"/>
    <w:rsid w:val="00DE3508"/>
    <w:rsid w:val="00DE39AB"/>
    <w:rsid w:val="00DE3BF6"/>
    <w:rsid w:val="00DE510D"/>
    <w:rsid w:val="00DE5895"/>
    <w:rsid w:val="00DE5A27"/>
    <w:rsid w:val="00DE7FAE"/>
    <w:rsid w:val="00DF1124"/>
    <w:rsid w:val="00DF18A7"/>
    <w:rsid w:val="00DF30AE"/>
    <w:rsid w:val="00DF3373"/>
    <w:rsid w:val="00E01862"/>
    <w:rsid w:val="00E026BC"/>
    <w:rsid w:val="00E10A84"/>
    <w:rsid w:val="00E11182"/>
    <w:rsid w:val="00E11870"/>
    <w:rsid w:val="00E14A0B"/>
    <w:rsid w:val="00E15A3D"/>
    <w:rsid w:val="00E236FF"/>
    <w:rsid w:val="00E23EF9"/>
    <w:rsid w:val="00E270DA"/>
    <w:rsid w:val="00E27AA2"/>
    <w:rsid w:val="00E308F8"/>
    <w:rsid w:val="00E309BF"/>
    <w:rsid w:val="00E32593"/>
    <w:rsid w:val="00E339E0"/>
    <w:rsid w:val="00E34721"/>
    <w:rsid w:val="00E3554F"/>
    <w:rsid w:val="00E40EE6"/>
    <w:rsid w:val="00E465A5"/>
    <w:rsid w:val="00E47E3D"/>
    <w:rsid w:val="00E5032A"/>
    <w:rsid w:val="00E54261"/>
    <w:rsid w:val="00E54B5E"/>
    <w:rsid w:val="00E54EAA"/>
    <w:rsid w:val="00E55042"/>
    <w:rsid w:val="00E5675F"/>
    <w:rsid w:val="00E56905"/>
    <w:rsid w:val="00E61267"/>
    <w:rsid w:val="00E6367E"/>
    <w:rsid w:val="00E672A2"/>
    <w:rsid w:val="00E677ED"/>
    <w:rsid w:val="00E7171E"/>
    <w:rsid w:val="00E71F1B"/>
    <w:rsid w:val="00E71F7D"/>
    <w:rsid w:val="00E75797"/>
    <w:rsid w:val="00E76469"/>
    <w:rsid w:val="00E76C90"/>
    <w:rsid w:val="00E82DCA"/>
    <w:rsid w:val="00E83E44"/>
    <w:rsid w:val="00E85341"/>
    <w:rsid w:val="00E87F00"/>
    <w:rsid w:val="00E94F05"/>
    <w:rsid w:val="00E96F57"/>
    <w:rsid w:val="00EA18C4"/>
    <w:rsid w:val="00EA275C"/>
    <w:rsid w:val="00EA3CE8"/>
    <w:rsid w:val="00EA6E9F"/>
    <w:rsid w:val="00EA7846"/>
    <w:rsid w:val="00EB09BA"/>
    <w:rsid w:val="00EB0DE1"/>
    <w:rsid w:val="00EB16F3"/>
    <w:rsid w:val="00EB4102"/>
    <w:rsid w:val="00EB5A54"/>
    <w:rsid w:val="00EC01E8"/>
    <w:rsid w:val="00EC1858"/>
    <w:rsid w:val="00EC29E2"/>
    <w:rsid w:val="00EC3372"/>
    <w:rsid w:val="00EC7088"/>
    <w:rsid w:val="00ED1993"/>
    <w:rsid w:val="00ED1BD8"/>
    <w:rsid w:val="00ED2C85"/>
    <w:rsid w:val="00EE4127"/>
    <w:rsid w:val="00EE4F9F"/>
    <w:rsid w:val="00EF00F3"/>
    <w:rsid w:val="00EF02ED"/>
    <w:rsid w:val="00EF05AC"/>
    <w:rsid w:val="00EF1B83"/>
    <w:rsid w:val="00EF297B"/>
    <w:rsid w:val="00EF5943"/>
    <w:rsid w:val="00EF61E5"/>
    <w:rsid w:val="00F006EF"/>
    <w:rsid w:val="00F01865"/>
    <w:rsid w:val="00F02311"/>
    <w:rsid w:val="00F03D27"/>
    <w:rsid w:val="00F04AD5"/>
    <w:rsid w:val="00F0580E"/>
    <w:rsid w:val="00F07E03"/>
    <w:rsid w:val="00F10158"/>
    <w:rsid w:val="00F10AD4"/>
    <w:rsid w:val="00F15EE9"/>
    <w:rsid w:val="00F17D70"/>
    <w:rsid w:val="00F20517"/>
    <w:rsid w:val="00F267EE"/>
    <w:rsid w:val="00F27212"/>
    <w:rsid w:val="00F3373A"/>
    <w:rsid w:val="00F33DAA"/>
    <w:rsid w:val="00F3534B"/>
    <w:rsid w:val="00F35647"/>
    <w:rsid w:val="00F36781"/>
    <w:rsid w:val="00F3678C"/>
    <w:rsid w:val="00F40E7A"/>
    <w:rsid w:val="00F41851"/>
    <w:rsid w:val="00F425F5"/>
    <w:rsid w:val="00F43B1B"/>
    <w:rsid w:val="00F450BF"/>
    <w:rsid w:val="00F465CE"/>
    <w:rsid w:val="00F46F19"/>
    <w:rsid w:val="00F478D2"/>
    <w:rsid w:val="00F528F9"/>
    <w:rsid w:val="00F612D9"/>
    <w:rsid w:val="00F61F8A"/>
    <w:rsid w:val="00F622BC"/>
    <w:rsid w:val="00F6413A"/>
    <w:rsid w:val="00F66774"/>
    <w:rsid w:val="00F67212"/>
    <w:rsid w:val="00F8327D"/>
    <w:rsid w:val="00F84078"/>
    <w:rsid w:val="00F873EA"/>
    <w:rsid w:val="00F87E21"/>
    <w:rsid w:val="00F905E6"/>
    <w:rsid w:val="00F90F76"/>
    <w:rsid w:val="00F919B3"/>
    <w:rsid w:val="00F936C0"/>
    <w:rsid w:val="00F94B50"/>
    <w:rsid w:val="00F957D2"/>
    <w:rsid w:val="00F95C72"/>
    <w:rsid w:val="00F96089"/>
    <w:rsid w:val="00F96790"/>
    <w:rsid w:val="00F96F05"/>
    <w:rsid w:val="00FA3274"/>
    <w:rsid w:val="00FA4988"/>
    <w:rsid w:val="00FA63BA"/>
    <w:rsid w:val="00FA6442"/>
    <w:rsid w:val="00FA6B3C"/>
    <w:rsid w:val="00FA6FCF"/>
    <w:rsid w:val="00FA7729"/>
    <w:rsid w:val="00FA7ECC"/>
    <w:rsid w:val="00FB27C3"/>
    <w:rsid w:val="00FB284F"/>
    <w:rsid w:val="00FB5033"/>
    <w:rsid w:val="00FB6388"/>
    <w:rsid w:val="00FC2CED"/>
    <w:rsid w:val="00FC4588"/>
    <w:rsid w:val="00FD1D1D"/>
    <w:rsid w:val="00FD2528"/>
    <w:rsid w:val="00FD368B"/>
    <w:rsid w:val="00FD5F55"/>
    <w:rsid w:val="00FD7E2A"/>
    <w:rsid w:val="00FE05BA"/>
    <w:rsid w:val="00FE0E3A"/>
    <w:rsid w:val="00FE1E5B"/>
    <w:rsid w:val="00FE2268"/>
    <w:rsid w:val="00FE2886"/>
    <w:rsid w:val="00FE2B6D"/>
    <w:rsid w:val="00FE4DB4"/>
    <w:rsid w:val="00FE6F21"/>
    <w:rsid w:val="00FE7353"/>
    <w:rsid w:val="00FE738A"/>
    <w:rsid w:val="00FE7547"/>
    <w:rsid w:val="00FF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8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D21CC"/>
    <w:rPr>
      <w:sz w:val="24"/>
      <w:szCs w:val="24"/>
    </w:rPr>
  </w:style>
  <w:style w:type="paragraph" w:styleId="Heading1">
    <w:name w:val="heading 1"/>
    <w:basedOn w:val="Normal"/>
    <w:next w:val="Normal"/>
    <w:link w:val="Heading1Char"/>
    <w:qFormat/>
    <w:rsid w:val="00B40F7B"/>
    <w:pPr>
      <w:keepNext/>
      <w:pageBreakBefore/>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7843FC"/>
    <w:pPr>
      <w:keepNext/>
      <w:numPr>
        <w:ilvl w:val="1"/>
        <w:numId w:val="1"/>
      </w:numPr>
      <w:spacing w:before="240" w:after="240"/>
      <w:outlineLvl w:val="1"/>
    </w:pPr>
    <w:rPr>
      <w:rFonts w:cs="Arial"/>
      <w:b/>
      <w:bCs/>
      <w:iCs/>
      <w:sz w:val="28"/>
      <w:szCs w:val="28"/>
    </w:rPr>
  </w:style>
  <w:style w:type="paragraph" w:styleId="Heading3">
    <w:name w:val="heading 3"/>
    <w:basedOn w:val="Normal"/>
    <w:next w:val="Normal"/>
    <w:link w:val="Heading3Char"/>
    <w:qFormat/>
    <w:rsid w:val="007843FC"/>
    <w:pPr>
      <w:keepNext/>
      <w:numPr>
        <w:ilvl w:val="2"/>
        <w:numId w:val="1"/>
      </w:numPr>
      <w:spacing w:before="240" w:after="60"/>
      <w:ind w:left="810"/>
      <w:outlineLvl w:val="2"/>
    </w:pPr>
    <w:rPr>
      <w:b/>
      <w:bCs/>
      <w:i/>
      <w:sz w:val="26"/>
      <w:szCs w:val="26"/>
    </w:rPr>
  </w:style>
  <w:style w:type="paragraph" w:styleId="Heading4">
    <w:name w:val="heading 4"/>
    <w:basedOn w:val="Normal"/>
    <w:next w:val="Normal"/>
    <w:link w:val="Heading4Char"/>
    <w:qFormat/>
    <w:rsid w:val="007843FC"/>
    <w:pPr>
      <w:keepNext/>
      <w:numPr>
        <w:ilvl w:val="3"/>
        <w:numId w:val="1"/>
      </w:numPr>
      <w:spacing w:before="240" w:after="60"/>
      <w:outlineLvl w:val="3"/>
    </w:pPr>
    <w:rPr>
      <w:b/>
      <w:bCs/>
      <w:szCs w:val="28"/>
    </w:rPr>
  </w:style>
  <w:style w:type="paragraph" w:styleId="Heading5">
    <w:name w:val="heading 5"/>
    <w:aliases w:val="Append Level 1"/>
    <w:basedOn w:val="Normal"/>
    <w:next w:val="Normal"/>
    <w:link w:val="Heading5Char"/>
    <w:qFormat/>
    <w:rsid w:val="007843FC"/>
    <w:pPr>
      <w:numPr>
        <w:ilvl w:val="4"/>
        <w:numId w:val="1"/>
      </w:numPr>
      <w:spacing w:before="240" w:after="60"/>
      <w:outlineLvl w:val="4"/>
    </w:pPr>
    <w:rPr>
      <w:rFonts w:ascii="Cambria" w:hAnsi="Cambria"/>
      <w:b/>
      <w:bCs/>
      <w:i/>
      <w:iCs/>
      <w:sz w:val="26"/>
      <w:szCs w:val="26"/>
    </w:rPr>
  </w:style>
  <w:style w:type="paragraph" w:styleId="Heading6">
    <w:name w:val="heading 6"/>
    <w:aliases w:val="Append Level 2"/>
    <w:basedOn w:val="Normal"/>
    <w:next w:val="Normal"/>
    <w:link w:val="Heading6Char"/>
    <w:qFormat/>
    <w:rsid w:val="007843FC"/>
    <w:pPr>
      <w:numPr>
        <w:ilvl w:val="5"/>
        <w:numId w:val="1"/>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7843FC"/>
    <w:pPr>
      <w:numPr>
        <w:ilvl w:val="6"/>
        <w:numId w:val="1"/>
      </w:numPr>
      <w:spacing w:before="240" w:after="60"/>
      <w:outlineLvl w:val="6"/>
    </w:pPr>
    <w:rPr>
      <w:rFonts w:ascii="Cambria" w:hAnsi="Cambria"/>
    </w:rPr>
  </w:style>
  <w:style w:type="paragraph" w:styleId="Heading8">
    <w:name w:val="heading 8"/>
    <w:basedOn w:val="Normal"/>
    <w:next w:val="Normal"/>
    <w:link w:val="Heading8Char"/>
    <w:qFormat/>
    <w:rsid w:val="007843FC"/>
    <w:pPr>
      <w:numPr>
        <w:ilvl w:val="7"/>
        <w:numId w:val="1"/>
      </w:numPr>
      <w:spacing w:before="240" w:after="60"/>
      <w:outlineLvl w:val="7"/>
    </w:pPr>
    <w:rPr>
      <w:rFonts w:ascii="Cambria" w:hAnsi="Cambria"/>
      <w:i/>
      <w:iCs/>
    </w:rPr>
  </w:style>
  <w:style w:type="paragraph" w:styleId="Heading9">
    <w:name w:val="heading 9"/>
    <w:basedOn w:val="Normal"/>
    <w:next w:val="Normal"/>
    <w:link w:val="Heading9Char"/>
    <w:qFormat/>
    <w:rsid w:val="007843FC"/>
    <w:pPr>
      <w:numPr>
        <w:ilvl w:val="8"/>
        <w:numId w:val="1"/>
      </w:num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843FC"/>
    <w:rPr>
      <w:rFonts w:cs="Arial"/>
      <w:b/>
      <w:bCs/>
      <w:kern w:val="32"/>
      <w:sz w:val="32"/>
      <w:szCs w:val="32"/>
    </w:rPr>
  </w:style>
  <w:style w:type="character" w:customStyle="1" w:styleId="Heading2Char">
    <w:name w:val="Heading 2 Char"/>
    <w:link w:val="Heading2"/>
    <w:locked/>
    <w:rsid w:val="007843FC"/>
    <w:rPr>
      <w:rFonts w:cs="Arial"/>
      <w:b/>
      <w:bCs/>
      <w:iCs/>
      <w:sz w:val="28"/>
      <w:szCs w:val="28"/>
    </w:rPr>
  </w:style>
  <w:style w:type="character" w:customStyle="1" w:styleId="Heading3Char">
    <w:name w:val="Heading 3 Char"/>
    <w:link w:val="Heading3"/>
    <w:locked/>
    <w:rsid w:val="007843FC"/>
    <w:rPr>
      <w:b/>
      <w:bCs/>
      <w:i/>
      <w:sz w:val="26"/>
      <w:szCs w:val="26"/>
    </w:rPr>
  </w:style>
  <w:style w:type="character" w:customStyle="1" w:styleId="Heading4Char">
    <w:name w:val="Heading 4 Char"/>
    <w:link w:val="Heading4"/>
    <w:locked/>
    <w:rsid w:val="007843FC"/>
    <w:rPr>
      <w:b/>
      <w:bCs/>
      <w:sz w:val="24"/>
      <w:szCs w:val="28"/>
    </w:rPr>
  </w:style>
  <w:style w:type="character" w:customStyle="1" w:styleId="Heading5Char">
    <w:name w:val="Heading 5 Char"/>
    <w:aliases w:val="Append Level 1 Char"/>
    <w:link w:val="Heading5"/>
    <w:locked/>
    <w:rsid w:val="007843FC"/>
    <w:rPr>
      <w:rFonts w:ascii="Cambria" w:hAnsi="Cambria"/>
      <w:b/>
      <w:bCs/>
      <w:i/>
      <w:iCs/>
      <w:sz w:val="26"/>
      <w:szCs w:val="26"/>
    </w:rPr>
  </w:style>
  <w:style w:type="character" w:customStyle="1" w:styleId="Heading6Char">
    <w:name w:val="Heading 6 Char"/>
    <w:aliases w:val="Append Level 2 Char"/>
    <w:link w:val="Heading6"/>
    <w:locked/>
    <w:rsid w:val="007843FC"/>
    <w:rPr>
      <w:rFonts w:ascii="Cambria" w:hAnsi="Cambria"/>
      <w:b/>
      <w:bCs/>
      <w:sz w:val="22"/>
      <w:szCs w:val="22"/>
    </w:rPr>
  </w:style>
  <w:style w:type="character" w:customStyle="1" w:styleId="Heading7Char">
    <w:name w:val="Heading 7 Char"/>
    <w:link w:val="Heading7"/>
    <w:locked/>
    <w:rsid w:val="007843FC"/>
    <w:rPr>
      <w:rFonts w:ascii="Cambria" w:hAnsi="Cambria"/>
      <w:sz w:val="24"/>
      <w:szCs w:val="24"/>
    </w:rPr>
  </w:style>
  <w:style w:type="character" w:customStyle="1" w:styleId="Heading8Char">
    <w:name w:val="Heading 8 Char"/>
    <w:link w:val="Heading8"/>
    <w:locked/>
    <w:rsid w:val="007843FC"/>
    <w:rPr>
      <w:rFonts w:ascii="Cambria" w:hAnsi="Cambria"/>
      <w:i/>
      <w:iCs/>
      <w:sz w:val="24"/>
      <w:szCs w:val="24"/>
    </w:rPr>
  </w:style>
  <w:style w:type="character" w:customStyle="1" w:styleId="Heading9Char">
    <w:name w:val="Heading 9 Char"/>
    <w:link w:val="Heading9"/>
    <w:locked/>
    <w:rsid w:val="007843FC"/>
    <w:rPr>
      <w:rFonts w:ascii="Calibri" w:hAnsi="Calibri"/>
      <w:sz w:val="22"/>
      <w:szCs w:val="22"/>
    </w:rPr>
  </w:style>
  <w:style w:type="table" w:styleId="TableGrid">
    <w:name w:val="Table Grid"/>
    <w:basedOn w:val="TableNormal"/>
    <w:rsid w:val="00784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43FC"/>
    <w:pPr>
      <w:spacing w:before="240"/>
    </w:pPr>
    <w:rPr>
      <w:sz w:val="26"/>
    </w:rPr>
  </w:style>
  <w:style w:type="character" w:customStyle="1" w:styleId="BodyTextChar">
    <w:name w:val="Body Text Char"/>
    <w:link w:val="BodyText"/>
    <w:locked/>
    <w:rsid w:val="007843FC"/>
    <w:rPr>
      <w:rFonts w:cs="Times New Roman"/>
      <w:snapToGrid w:val="0"/>
      <w:sz w:val="24"/>
      <w:szCs w:val="24"/>
    </w:rPr>
  </w:style>
  <w:style w:type="paragraph" w:styleId="BodyTextIndent2">
    <w:name w:val="Body Text Indent 2"/>
    <w:basedOn w:val="Normal"/>
    <w:link w:val="BodyTextIndent2Char"/>
    <w:rsid w:val="007843FC"/>
    <w:pPr>
      <w:spacing w:before="240"/>
      <w:ind w:left="720" w:hanging="720"/>
    </w:pPr>
    <w:rPr>
      <w:sz w:val="22"/>
    </w:rPr>
  </w:style>
  <w:style w:type="character" w:customStyle="1" w:styleId="BodyTextIndent2Char">
    <w:name w:val="Body Text Indent 2 Char"/>
    <w:link w:val="BodyTextIndent2"/>
    <w:locked/>
    <w:rsid w:val="007843FC"/>
    <w:rPr>
      <w:rFonts w:cs="Times New Roman"/>
      <w:sz w:val="24"/>
      <w:szCs w:val="24"/>
    </w:rPr>
  </w:style>
  <w:style w:type="paragraph" w:styleId="Header">
    <w:name w:val="header"/>
    <w:basedOn w:val="Normal"/>
    <w:link w:val="HeaderChar"/>
    <w:rsid w:val="007843FC"/>
    <w:pPr>
      <w:tabs>
        <w:tab w:val="center" w:pos="4320"/>
        <w:tab w:val="right" w:pos="8640"/>
      </w:tabs>
    </w:pPr>
  </w:style>
  <w:style w:type="character" w:customStyle="1" w:styleId="HeaderChar">
    <w:name w:val="Header Char"/>
    <w:link w:val="Header"/>
    <w:locked/>
    <w:rsid w:val="007843FC"/>
    <w:rPr>
      <w:rFonts w:cs="Times New Roman"/>
      <w:sz w:val="24"/>
      <w:szCs w:val="24"/>
    </w:rPr>
  </w:style>
  <w:style w:type="paragraph" w:styleId="Footer">
    <w:name w:val="footer"/>
    <w:basedOn w:val="Normal"/>
    <w:link w:val="FooterChar"/>
    <w:rsid w:val="007843FC"/>
    <w:pPr>
      <w:tabs>
        <w:tab w:val="center" w:pos="4320"/>
        <w:tab w:val="right" w:pos="8640"/>
      </w:tabs>
    </w:pPr>
  </w:style>
  <w:style w:type="character" w:customStyle="1" w:styleId="FooterChar">
    <w:name w:val="Footer Char"/>
    <w:link w:val="Footer"/>
    <w:locked/>
    <w:rsid w:val="007843FC"/>
    <w:rPr>
      <w:rFonts w:cs="Times New Roman"/>
      <w:sz w:val="24"/>
      <w:szCs w:val="24"/>
    </w:rPr>
  </w:style>
  <w:style w:type="paragraph" w:styleId="BalloonText">
    <w:name w:val="Balloon Text"/>
    <w:basedOn w:val="Normal"/>
    <w:link w:val="BalloonTextChar"/>
    <w:rsid w:val="007843FC"/>
    <w:rPr>
      <w:rFonts w:ascii="Lucida Grande" w:hAnsi="Lucida Grande"/>
      <w:sz w:val="18"/>
      <w:szCs w:val="18"/>
    </w:rPr>
  </w:style>
  <w:style w:type="character" w:customStyle="1" w:styleId="BalloonTextChar">
    <w:name w:val="Balloon Text Char"/>
    <w:link w:val="BalloonText"/>
    <w:locked/>
    <w:rsid w:val="007843FC"/>
    <w:rPr>
      <w:rFonts w:ascii="Lucida Grande" w:hAnsi="Lucida Grande" w:cs="Times New Roman"/>
      <w:sz w:val="18"/>
      <w:szCs w:val="18"/>
    </w:rPr>
  </w:style>
  <w:style w:type="character" w:styleId="CommentReference">
    <w:name w:val="annotation reference"/>
    <w:rsid w:val="007843FC"/>
    <w:rPr>
      <w:rFonts w:cs="Times New Roman"/>
      <w:sz w:val="16"/>
      <w:szCs w:val="16"/>
    </w:rPr>
  </w:style>
  <w:style w:type="paragraph" w:styleId="CommentText">
    <w:name w:val="annotation text"/>
    <w:basedOn w:val="Normal"/>
    <w:link w:val="CommentTextChar"/>
    <w:rsid w:val="007843FC"/>
    <w:rPr>
      <w:sz w:val="20"/>
      <w:szCs w:val="20"/>
    </w:rPr>
  </w:style>
  <w:style w:type="character" w:customStyle="1" w:styleId="CommentTextChar">
    <w:name w:val="Comment Text Char"/>
    <w:link w:val="CommentText"/>
    <w:locked/>
    <w:rsid w:val="007843FC"/>
    <w:rPr>
      <w:rFonts w:cs="Times New Roman"/>
    </w:rPr>
  </w:style>
  <w:style w:type="character" w:styleId="Hyperlink">
    <w:name w:val="Hyperlink"/>
    <w:uiPriority w:val="99"/>
    <w:rsid w:val="007843FC"/>
    <w:rPr>
      <w:rFonts w:cs="Times New Roman"/>
      <w:color w:val="0000FF"/>
      <w:u w:val="single"/>
    </w:rPr>
  </w:style>
  <w:style w:type="paragraph" w:customStyle="1" w:styleId="ReportSubtitle">
    <w:name w:val="Report Subtitle"/>
    <w:basedOn w:val="Normal"/>
    <w:rsid w:val="007843FC"/>
    <w:pPr>
      <w:spacing w:before="240"/>
      <w:jc w:val="right"/>
    </w:pPr>
    <w:rPr>
      <w:rFonts w:ascii="Tahoma" w:hAnsi="Tahoma" w:cs="Tahoma"/>
      <w:b/>
      <w:sz w:val="40"/>
      <w:szCs w:val="40"/>
    </w:rPr>
  </w:style>
  <w:style w:type="character" w:styleId="PageNumber">
    <w:name w:val="page number"/>
    <w:rsid w:val="007843FC"/>
    <w:rPr>
      <w:rFonts w:cs="Times New Roman"/>
    </w:rPr>
  </w:style>
  <w:style w:type="paragraph" w:styleId="TOC1">
    <w:name w:val="toc 1"/>
    <w:basedOn w:val="Normal"/>
    <w:next w:val="Normal"/>
    <w:autoRedefine/>
    <w:uiPriority w:val="39"/>
    <w:rsid w:val="0000270B"/>
    <w:pPr>
      <w:tabs>
        <w:tab w:val="left" w:pos="480"/>
        <w:tab w:val="right" w:leader="dot" w:pos="9350"/>
      </w:tabs>
      <w:spacing w:before="120"/>
    </w:pPr>
    <w:rPr>
      <w:rFonts w:ascii="Cambria" w:hAnsi="Cambria"/>
      <w:b/>
      <w:noProof/>
    </w:rPr>
  </w:style>
  <w:style w:type="paragraph" w:styleId="TOC2">
    <w:name w:val="toc 2"/>
    <w:basedOn w:val="Normal"/>
    <w:next w:val="Normal"/>
    <w:autoRedefine/>
    <w:uiPriority w:val="39"/>
    <w:rsid w:val="00DB5B63"/>
    <w:pPr>
      <w:tabs>
        <w:tab w:val="left" w:pos="960"/>
        <w:tab w:val="right" w:leader="dot" w:pos="9350"/>
      </w:tabs>
      <w:ind w:left="240"/>
    </w:pPr>
    <w:rPr>
      <w:rFonts w:ascii="Cambria" w:hAnsi="Cambria"/>
      <w:b/>
      <w:sz w:val="22"/>
      <w:szCs w:val="22"/>
    </w:rPr>
  </w:style>
  <w:style w:type="paragraph" w:styleId="TOC3">
    <w:name w:val="toc 3"/>
    <w:basedOn w:val="Normal"/>
    <w:next w:val="Normal"/>
    <w:autoRedefine/>
    <w:rsid w:val="007843FC"/>
    <w:pPr>
      <w:ind w:left="480"/>
    </w:pPr>
    <w:rPr>
      <w:rFonts w:ascii="Cambria" w:hAnsi="Cambria"/>
      <w:sz w:val="22"/>
      <w:szCs w:val="22"/>
    </w:rPr>
  </w:style>
  <w:style w:type="paragraph" w:styleId="TOC4">
    <w:name w:val="toc 4"/>
    <w:basedOn w:val="Normal"/>
    <w:next w:val="Normal"/>
    <w:autoRedefine/>
    <w:rsid w:val="007843FC"/>
    <w:pPr>
      <w:ind w:left="720"/>
    </w:pPr>
    <w:rPr>
      <w:rFonts w:ascii="Cambria" w:hAnsi="Cambria"/>
      <w:sz w:val="20"/>
      <w:szCs w:val="20"/>
    </w:rPr>
  </w:style>
  <w:style w:type="paragraph" w:styleId="TOC5">
    <w:name w:val="toc 5"/>
    <w:basedOn w:val="Normal"/>
    <w:next w:val="Normal"/>
    <w:autoRedefine/>
    <w:rsid w:val="007843FC"/>
    <w:pPr>
      <w:ind w:left="960"/>
    </w:pPr>
    <w:rPr>
      <w:rFonts w:ascii="Cambria" w:hAnsi="Cambria"/>
      <w:sz w:val="20"/>
      <w:szCs w:val="20"/>
    </w:rPr>
  </w:style>
  <w:style w:type="paragraph" w:styleId="TOC6">
    <w:name w:val="toc 6"/>
    <w:basedOn w:val="Normal"/>
    <w:next w:val="Normal"/>
    <w:autoRedefine/>
    <w:rsid w:val="007843FC"/>
    <w:pPr>
      <w:ind w:left="1200"/>
    </w:pPr>
    <w:rPr>
      <w:rFonts w:ascii="Cambria" w:hAnsi="Cambria"/>
      <w:sz w:val="20"/>
      <w:szCs w:val="20"/>
    </w:rPr>
  </w:style>
  <w:style w:type="paragraph" w:styleId="TOC7">
    <w:name w:val="toc 7"/>
    <w:basedOn w:val="Normal"/>
    <w:next w:val="Normal"/>
    <w:autoRedefine/>
    <w:rsid w:val="007843FC"/>
    <w:pPr>
      <w:ind w:left="1440"/>
    </w:pPr>
    <w:rPr>
      <w:rFonts w:ascii="Cambria" w:hAnsi="Cambria"/>
      <w:sz w:val="20"/>
      <w:szCs w:val="20"/>
    </w:rPr>
  </w:style>
  <w:style w:type="paragraph" w:styleId="TOC8">
    <w:name w:val="toc 8"/>
    <w:basedOn w:val="Normal"/>
    <w:next w:val="Normal"/>
    <w:autoRedefine/>
    <w:rsid w:val="007843FC"/>
    <w:pPr>
      <w:ind w:left="1680"/>
    </w:pPr>
    <w:rPr>
      <w:rFonts w:ascii="Cambria" w:hAnsi="Cambria"/>
      <w:sz w:val="20"/>
      <w:szCs w:val="20"/>
    </w:rPr>
  </w:style>
  <w:style w:type="paragraph" w:styleId="TOC9">
    <w:name w:val="toc 9"/>
    <w:basedOn w:val="Normal"/>
    <w:next w:val="Normal"/>
    <w:autoRedefine/>
    <w:rsid w:val="007843FC"/>
    <w:pPr>
      <w:ind w:left="1920"/>
    </w:pPr>
    <w:rPr>
      <w:rFonts w:ascii="Cambria" w:hAnsi="Cambria"/>
      <w:sz w:val="20"/>
      <w:szCs w:val="20"/>
    </w:rPr>
  </w:style>
  <w:style w:type="paragraph" w:customStyle="1" w:styleId="ColorfulList-Accent11">
    <w:name w:val="Colorful List - Accent 11"/>
    <w:basedOn w:val="Normal"/>
    <w:rsid w:val="007843FC"/>
    <w:pPr>
      <w:spacing w:after="200" w:line="276" w:lineRule="auto"/>
      <w:ind w:left="720"/>
      <w:contextualSpacing/>
    </w:pPr>
    <w:rPr>
      <w:rFonts w:ascii="Cambria" w:hAnsi="Cambria"/>
      <w:sz w:val="22"/>
      <w:szCs w:val="22"/>
    </w:rPr>
  </w:style>
  <w:style w:type="paragraph" w:customStyle="1" w:styleId="SBComment">
    <w:name w:val="SB Comment"/>
    <w:basedOn w:val="Normal"/>
    <w:rsid w:val="007843FC"/>
    <w:rPr>
      <w:color w:val="0000FF"/>
      <w:sz w:val="20"/>
    </w:rPr>
  </w:style>
  <w:style w:type="paragraph" w:styleId="CommentSubject">
    <w:name w:val="annotation subject"/>
    <w:basedOn w:val="CommentText"/>
    <w:next w:val="CommentText"/>
    <w:link w:val="CommentSubjectChar"/>
    <w:semiHidden/>
    <w:rsid w:val="007843FC"/>
    <w:rPr>
      <w:b/>
      <w:bCs/>
    </w:rPr>
  </w:style>
  <w:style w:type="character" w:customStyle="1" w:styleId="CommentSubjectChar">
    <w:name w:val="Comment Subject Char"/>
    <w:link w:val="CommentSubject"/>
    <w:semiHidden/>
    <w:locked/>
    <w:rsid w:val="007843FC"/>
    <w:rPr>
      <w:rFonts w:cs="Times New Roman"/>
      <w:b/>
      <w:bCs/>
      <w:sz w:val="20"/>
      <w:szCs w:val="20"/>
    </w:rPr>
  </w:style>
  <w:style w:type="paragraph" w:customStyle="1" w:styleId="CSSText">
    <w:name w:val="CSS Text"/>
    <w:basedOn w:val="Normal"/>
    <w:link w:val="CSSTextChar"/>
    <w:rsid w:val="00047DAC"/>
    <w:pPr>
      <w:tabs>
        <w:tab w:val="left" w:pos="720"/>
        <w:tab w:val="left" w:pos="1440"/>
        <w:tab w:val="left" w:pos="2160"/>
        <w:tab w:val="left" w:pos="2880"/>
      </w:tabs>
      <w:suppressAutoHyphens/>
      <w:overflowPunct w:val="0"/>
      <w:autoSpaceDE w:val="0"/>
      <w:autoSpaceDN w:val="0"/>
      <w:adjustRightInd w:val="0"/>
      <w:spacing w:after="120"/>
      <w:jc w:val="both"/>
      <w:textAlignment w:val="baseline"/>
    </w:pPr>
    <w:rPr>
      <w:rFonts w:ascii="Arial" w:hAnsi="Arial"/>
      <w:kern w:val="20"/>
      <w:sz w:val="20"/>
      <w:szCs w:val="20"/>
    </w:rPr>
  </w:style>
  <w:style w:type="character" w:customStyle="1" w:styleId="CSSTextChar">
    <w:name w:val="CSS Text Char"/>
    <w:link w:val="CSSText"/>
    <w:locked/>
    <w:rsid w:val="00047DAC"/>
    <w:rPr>
      <w:rFonts w:ascii="Arial" w:hAnsi="Arial" w:cs="Times New Roman"/>
      <w:kern w:val="20"/>
    </w:rPr>
  </w:style>
  <w:style w:type="paragraph" w:customStyle="1" w:styleId="ResumeBullets">
    <w:name w:val="Resume Bullets"/>
    <w:basedOn w:val="Normal"/>
    <w:rsid w:val="0038346F"/>
    <w:pPr>
      <w:numPr>
        <w:numId w:val="5"/>
      </w:numPr>
      <w:tabs>
        <w:tab w:val="left" w:pos="432"/>
      </w:tabs>
      <w:spacing w:before="40"/>
    </w:pPr>
    <w:rPr>
      <w:sz w:val="22"/>
    </w:rPr>
  </w:style>
  <w:style w:type="paragraph" w:customStyle="1" w:styleId="Bullets-Short">
    <w:name w:val="Bullets - Short"/>
    <w:basedOn w:val="Normal"/>
    <w:rsid w:val="00835883"/>
    <w:pPr>
      <w:numPr>
        <w:numId w:val="6"/>
      </w:numPr>
      <w:spacing w:before="120"/>
    </w:pPr>
    <w:rPr>
      <w:sz w:val="22"/>
    </w:rPr>
  </w:style>
  <w:style w:type="paragraph" w:styleId="ListParagraph">
    <w:name w:val="List Paragraph"/>
    <w:basedOn w:val="Normal"/>
    <w:link w:val="ListParagraphChar"/>
    <w:uiPriority w:val="34"/>
    <w:qFormat/>
    <w:rsid w:val="00DD6248"/>
    <w:pPr>
      <w:ind w:left="720"/>
      <w:contextualSpacing/>
    </w:pPr>
  </w:style>
  <w:style w:type="character" w:styleId="FollowedHyperlink">
    <w:name w:val="FollowedHyperlink"/>
    <w:rsid w:val="00A32F46"/>
    <w:rPr>
      <w:rFonts w:cs="Times New Roman"/>
      <w:color w:val="800080"/>
      <w:u w:val="single"/>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fn,ft,FOOTNOTE"/>
    <w:basedOn w:val="Normal"/>
    <w:link w:val="FootnoteTextChar"/>
    <w:rsid w:val="004C04FA"/>
    <w:rPr>
      <w:sz w:val="20"/>
      <w:szCs w:val="20"/>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fn Char"/>
    <w:link w:val="FootnoteText"/>
    <w:locked/>
    <w:rsid w:val="004C04FA"/>
    <w:rPr>
      <w:rFonts w:cs="Times New Roman"/>
    </w:rPr>
  </w:style>
  <w:style w:type="character" w:styleId="FootnoteReference">
    <w:name w:val="footnote reference"/>
    <w:aliases w:val="o,fr,Style 3,o1,o2,o3,o4,o5,o6,o11,o21,o7"/>
    <w:uiPriority w:val="99"/>
    <w:rsid w:val="004C04FA"/>
    <w:rPr>
      <w:rFonts w:cs="Times New Roman"/>
      <w:vertAlign w:val="superscript"/>
    </w:rPr>
  </w:style>
  <w:style w:type="paragraph" w:customStyle="1" w:styleId="CSSRFPLevel10">
    <w:name w:val="CSS RFP Level 1.0"/>
    <w:basedOn w:val="Normal"/>
    <w:rsid w:val="00432896"/>
    <w:pPr>
      <w:numPr>
        <w:numId w:val="7"/>
      </w:numPr>
      <w:tabs>
        <w:tab w:val="left" w:pos="1440"/>
        <w:tab w:val="left" w:pos="2160"/>
        <w:tab w:val="left" w:pos="2880"/>
      </w:tabs>
      <w:suppressAutoHyphens/>
      <w:overflowPunct w:val="0"/>
      <w:autoSpaceDE w:val="0"/>
      <w:autoSpaceDN w:val="0"/>
      <w:adjustRightInd w:val="0"/>
      <w:spacing w:before="240" w:after="120"/>
      <w:jc w:val="both"/>
      <w:textAlignment w:val="baseline"/>
      <w:outlineLvl w:val="0"/>
    </w:pPr>
    <w:rPr>
      <w:rFonts w:ascii="Arial" w:hAnsi="Arial"/>
      <w:b/>
      <w:caps/>
      <w:kern w:val="20"/>
      <w:sz w:val="20"/>
      <w:szCs w:val="20"/>
    </w:rPr>
  </w:style>
  <w:style w:type="paragraph" w:customStyle="1" w:styleId="CSSRFPLevel111">
    <w:name w:val="CSS RFP Level 1.1.1"/>
    <w:basedOn w:val="Normal"/>
    <w:rsid w:val="00C8336E"/>
    <w:pPr>
      <w:tabs>
        <w:tab w:val="left" w:pos="720"/>
        <w:tab w:val="left" w:pos="1440"/>
        <w:tab w:val="left" w:pos="2160"/>
        <w:tab w:val="left" w:pos="2880"/>
      </w:tabs>
      <w:suppressAutoHyphens/>
      <w:overflowPunct w:val="0"/>
      <w:autoSpaceDE w:val="0"/>
      <w:autoSpaceDN w:val="0"/>
      <w:adjustRightInd w:val="0"/>
      <w:spacing w:after="120"/>
      <w:ind w:left="2160" w:hanging="720"/>
      <w:jc w:val="both"/>
      <w:textAlignment w:val="baseline"/>
      <w:outlineLvl w:val="2"/>
    </w:pPr>
    <w:rPr>
      <w:rFonts w:ascii="Arial" w:hAnsi="Arial"/>
      <w:kern w:val="20"/>
      <w:sz w:val="20"/>
      <w:szCs w:val="20"/>
    </w:rPr>
  </w:style>
  <w:style w:type="paragraph" w:styleId="TOCHeading">
    <w:name w:val="TOC Heading"/>
    <w:basedOn w:val="Heading1"/>
    <w:next w:val="Normal"/>
    <w:qFormat/>
    <w:rsid w:val="00B15431"/>
    <w:pPr>
      <w:keepLines/>
      <w:pageBreakBefore w:val="0"/>
      <w:numPr>
        <w:numId w:val="0"/>
      </w:numPr>
      <w:spacing w:before="480" w:after="0" w:line="276" w:lineRule="auto"/>
      <w:outlineLvl w:val="9"/>
    </w:pPr>
    <w:rPr>
      <w:rFonts w:ascii="Cambria" w:hAnsi="Cambria" w:cs="Times New Roman"/>
      <w:color w:val="365F91"/>
      <w:kern w:val="0"/>
      <w:sz w:val="28"/>
      <w:szCs w:val="28"/>
    </w:rPr>
  </w:style>
  <w:style w:type="paragraph" w:customStyle="1" w:styleId="1">
    <w:name w:val="1."/>
    <w:basedOn w:val="Normal"/>
    <w:rsid w:val="00ED2C85"/>
    <w:pPr>
      <w:overflowPunct w:val="0"/>
      <w:autoSpaceDE w:val="0"/>
      <w:autoSpaceDN w:val="0"/>
      <w:adjustRightInd w:val="0"/>
      <w:ind w:left="634" w:hanging="634"/>
    </w:pPr>
    <w:rPr>
      <w:rFonts w:ascii="Arial" w:hAnsi="Arial"/>
      <w:sz w:val="20"/>
      <w:szCs w:val="20"/>
    </w:rPr>
  </w:style>
  <w:style w:type="paragraph" w:styleId="Revision">
    <w:name w:val="Revision"/>
    <w:hidden/>
    <w:semiHidden/>
    <w:rsid w:val="005421FE"/>
    <w:rPr>
      <w:sz w:val="24"/>
      <w:szCs w:val="24"/>
    </w:rPr>
  </w:style>
  <w:style w:type="character" w:styleId="Emphasis">
    <w:name w:val="Emphasis"/>
    <w:qFormat/>
    <w:locked/>
    <w:rsid w:val="00696E20"/>
    <w:rPr>
      <w:i/>
      <w:iCs/>
    </w:rPr>
  </w:style>
  <w:style w:type="paragraph" w:customStyle="1" w:styleId="Default">
    <w:name w:val="Default"/>
    <w:rsid w:val="006A6421"/>
    <w:pPr>
      <w:autoSpaceDE w:val="0"/>
      <w:autoSpaceDN w:val="0"/>
      <w:adjustRightInd w:val="0"/>
    </w:pPr>
    <w:rPr>
      <w:color w:val="000000"/>
      <w:sz w:val="24"/>
      <w:szCs w:val="24"/>
    </w:rPr>
  </w:style>
  <w:style w:type="character" w:customStyle="1" w:styleId="ListParagraphChar">
    <w:name w:val="List Paragraph Char"/>
    <w:basedOn w:val="DefaultParagraphFont"/>
    <w:link w:val="ListParagraph"/>
    <w:uiPriority w:val="34"/>
    <w:rsid w:val="009E1E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D21CC"/>
    <w:rPr>
      <w:sz w:val="24"/>
      <w:szCs w:val="24"/>
    </w:rPr>
  </w:style>
  <w:style w:type="paragraph" w:styleId="Heading1">
    <w:name w:val="heading 1"/>
    <w:basedOn w:val="Normal"/>
    <w:next w:val="Normal"/>
    <w:link w:val="Heading1Char"/>
    <w:qFormat/>
    <w:rsid w:val="00B40F7B"/>
    <w:pPr>
      <w:keepNext/>
      <w:pageBreakBefore/>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7843FC"/>
    <w:pPr>
      <w:keepNext/>
      <w:numPr>
        <w:ilvl w:val="1"/>
        <w:numId w:val="1"/>
      </w:numPr>
      <w:spacing w:before="240" w:after="240"/>
      <w:outlineLvl w:val="1"/>
    </w:pPr>
    <w:rPr>
      <w:rFonts w:cs="Arial"/>
      <w:b/>
      <w:bCs/>
      <w:iCs/>
      <w:sz w:val="28"/>
      <w:szCs w:val="28"/>
    </w:rPr>
  </w:style>
  <w:style w:type="paragraph" w:styleId="Heading3">
    <w:name w:val="heading 3"/>
    <w:basedOn w:val="Normal"/>
    <w:next w:val="Normal"/>
    <w:link w:val="Heading3Char"/>
    <w:qFormat/>
    <w:rsid w:val="007843FC"/>
    <w:pPr>
      <w:keepNext/>
      <w:numPr>
        <w:ilvl w:val="2"/>
        <w:numId w:val="1"/>
      </w:numPr>
      <w:spacing w:before="240" w:after="60"/>
      <w:ind w:left="810"/>
      <w:outlineLvl w:val="2"/>
    </w:pPr>
    <w:rPr>
      <w:b/>
      <w:bCs/>
      <w:i/>
      <w:sz w:val="26"/>
      <w:szCs w:val="26"/>
    </w:rPr>
  </w:style>
  <w:style w:type="paragraph" w:styleId="Heading4">
    <w:name w:val="heading 4"/>
    <w:basedOn w:val="Normal"/>
    <w:next w:val="Normal"/>
    <w:link w:val="Heading4Char"/>
    <w:qFormat/>
    <w:rsid w:val="007843FC"/>
    <w:pPr>
      <w:keepNext/>
      <w:numPr>
        <w:ilvl w:val="3"/>
        <w:numId w:val="1"/>
      </w:numPr>
      <w:spacing w:before="240" w:after="60"/>
      <w:outlineLvl w:val="3"/>
    </w:pPr>
    <w:rPr>
      <w:b/>
      <w:bCs/>
      <w:szCs w:val="28"/>
    </w:rPr>
  </w:style>
  <w:style w:type="paragraph" w:styleId="Heading5">
    <w:name w:val="heading 5"/>
    <w:aliases w:val="Append Level 1"/>
    <w:basedOn w:val="Normal"/>
    <w:next w:val="Normal"/>
    <w:link w:val="Heading5Char"/>
    <w:qFormat/>
    <w:rsid w:val="007843FC"/>
    <w:pPr>
      <w:numPr>
        <w:ilvl w:val="4"/>
        <w:numId w:val="1"/>
      </w:numPr>
      <w:spacing w:before="240" w:after="60"/>
      <w:outlineLvl w:val="4"/>
    </w:pPr>
    <w:rPr>
      <w:rFonts w:ascii="Cambria" w:hAnsi="Cambria"/>
      <w:b/>
      <w:bCs/>
      <w:i/>
      <w:iCs/>
      <w:sz w:val="26"/>
      <w:szCs w:val="26"/>
    </w:rPr>
  </w:style>
  <w:style w:type="paragraph" w:styleId="Heading6">
    <w:name w:val="heading 6"/>
    <w:aliases w:val="Append Level 2"/>
    <w:basedOn w:val="Normal"/>
    <w:next w:val="Normal"/>
    <w:link w:val="Heading6Char"/>
    <w:qFormat/>
    <w:rsid w:val="007843FC"/>
    <w:pPr>
      <w:numPr>
        <w:ilvl w:val="5"/>
        <w:numId w:val="1"/>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7843FC"/>
    <w:pPr>
      <w:numPr>
        <w:ilvl w:val="6"/>
        <w:numId w:val="1"/>
      </w:numPr>
      <w:spacing w:before="240" w:after="60"/>
      <w:outlineLvl w:val="6"/>
    </w:pPr>
    <w:rPr>
      <w:rFonts w:ascii="Cambria" w:hAnsi="Cambria"/>
    </w:rPr>
  </w:style>
  <w:style w:type="paragraph" w:styleId="Heading8">
    <w:name w:val="heading 8"/>
    <w:basedOn w:val="Normal"/>
    <w:next w:val="Normal"/>
    <w:link w:val="Heading8Char"/>
    <w:qFormat/>
    <w:rsid w:val="007843FC"/>
    <w:pPr>
      <w:numPr>
        <w:ilvl w:val="7"/>
        <w:numId w:val="1"/>
      </w:numPr>
      <w:spacing w:before="240" w:after="60"/>
      <w:outlineLvl w:val="7"/>
    </w:pPr>
    <w:rPr>
      <w:rFonts w:ascii="Cambria" w:hAnsi="Cambria"/>
      <w:i/>
      <w:iCs/>
    </w:rPr>
  </w:style>
  <w:style w:type="paragraph" w:styleId="Heading9">
    <w:name w:val="heading 9"/>
    <w:basedOn w:val="Normal"/>
    <w:next w:val="Normal"/>
    <w:link w:val="Heading9Char"/>
    <w:qFormat/>
    <w:rsid w:val="007843FC"/>
    <w:pPr>
      <w:numPr>
        <w:ilvl w:val="8"/>
        <w:numId w:val="1"/>
      </w:num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843FC"/>
    <w:rPr>
      <w:rFonts w:cs="Arial"/>
      <w:b/>
      <w:bCs/>
      <w:kern w:val="32"/>
      <w:sz w:val="32"/>
      <w:szCs w:val="32"/>
    </w:rPr>
  </w:style>
  <w:style w:type="character" w:customStyle="1" w:styleId="Heading2Char">
    <w:name w:val="Heading 2 Char"/>
    <w:link w:val="Heading2"/>
    <w:locked/>
    <w:rsid w:val="007843FC"/>
    <w:rPr>
      <w:rFonts w:cs="Arial"/>
      <w:b/>
      <w:bCs/>
      <w:iCs/>
      <w:sz w:val="28"/>
      <w:szCs w:val="28"/>
    </w:rPr>
  </w:style>
  <w:style w:type="character" w:customStyle="1" w:styleId="Heading3Char">
    <w:name w:val="Heading 3 Char"/>
    <w:link w:val="Heading3"/>
    <w:locked/>
    <w:rsid w:val="007843FC"/>
    <w:rPr>
      <w:b/>
      <w:bCs/>
      <w:i/>
      <w:sz w:val="26"/>
      <w:szCs w:val="26"/>
    </w:rPr>
  </w:style>
  <w:style w:type="character" w:customStyle="1" w:styleId="Heading4Char">
    <w:name w:val="Heading 4 Char"/>
    <w:link w:val="Heading4"/>
    <w:locked/>
    <w:rsid w:val="007843FC"/>
    <w:rPr>
      <w:b/>
      <w:bCs/>
      <w:sz w:val="24"/>
      <w:szCs w:val="28"/>
    </w:rPr>
  </w:style>
  <w:style w:type="character" w:customStyle="1" w:styleId="Heading5Char">
    <w:name w:val="Heading 5 Char"/>
    <w:aliases w:val="Append Level 1 Char"/>
    <w:link w:val="Heading5"/>
    <w:locked/>
    <w:rsid w:val="007843FC"/>
    <w:rPr>
      <w:rFonts w:ascii="Cambria" w:hAnsi="Cambria"/>
      <w:b/>
      <w:bCs/>
      <w:i/>
      <w:iCs/>
      <w:sz w:val="26"/>
      <w:szCs w:val="26"/>
    </w:rPr>
  </w:style>
  <w:style w:type="character" w:customStyle="1" w:styleId="Heading6Char">
    <w:name w:val="Heading 6 Char"/>
    <w:aliases w:val="Append Level 2 Char"/>
    <w:link w:val="Heading6"/>
    <w:locked/>
    <w:rsid w:val="007843FC"/>
    <w:rPr>
      <w:rFonts w:ascii="Cambria" w:hAnsi="Cambria"/>
      <w:b/>
      <w:bCs/>
      <w:sz w:val="22"/>
      <w:szCs w:val="22"/>
    </w:rPr>
  </w:style>
  <w:style w:type="character" w:customStyle="1" w:styleId="Heading7Char">
    <w:name w:val="Heading 7 Char"/>
    <w:link w:val="Heading7"/>
    <w:locked/>
    <w:rsid w:val="007843FC"/>
    <w:rPr>
      <w:rFonts w:ascii="Cambria" w:hAnsi="Cambria"/>
      <w:sz w:val="24"/>
      <w:szCs w:val="24"/>
    </w:rPr>
  </w:style>
  <w:style w:type="character" w:customStyle="1" w:styleId="Heading8Char">
    <w:name w:val="Heading 8 Char"/>
    <w:link w:val="Heading8"/>
    <w:locked/>
    <w:rsid w:val="007843FC"/>
    <w:rPr>
      <w:rFonts w:ascii="Cambria" w:hAnsi="Cambria"/>
      <w:i/>
      <w:iCs/>
      <w:sz w:val="24"/>
      <w:szCs w:val="24"/>
    </w:rPr>
  </w:style>
  <w:style w:type="character" w:customStyle="1" w:styleId="Heading9Char">
    <w:name w:val="Heading 9 Char"/>
    <w:link w:val="Heading9"/>
    <w:locked/>
    <w:rsid w:val="007843FC"/>
    <w:rPr>
      <w:rFonts w:ascii="Calibri" w:hAnsi="Calibri"/>
      <w:sz w:val="22"/>
      <w:szCs w:val="22"/>
    </w:rPr>
  </w:style>
  <w:style w:type="table" w:styleId="TableGrid">
    <w:name w:val="Table Grid"/>
    <w:basedOn w:val="TableNormal"/>
    <w:rsid w:val="00784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43FC"/>
    <w:pPr>
      <w:spacing w:before="240"/>
    </w:pPr>
    <w:rPr>
      <w:sz w:val="26"/>
    </w:rPr>
  </w:style>
  <w:style w:type="character" w:customStyle="1" w:styleId="BodyTextChar">
    <w:name w:val="Body Text Char"/>
    <w:link w:val="BodyText"/>
    <w:locked/>
    <w:rsid w:val="007843FC"/>
    <w:rPr>
      <w:rFonts w:cs="Times New Roman"/>
      <w:snapToGrid w:val="0"/>
      <w:sz w:val="24"/>
      <w:szCs w:val="24"/>
    </w:rPr>
  </w:style>
  <w:style w:type="paragraph" w:styleId="BodyTextIndent2">
    <w:name w:val="Body Text Indent 2"/>
    <w:basedOn w:val="Normal"/>
    <w:link w:val="BodyTextIndent2Char"/>
    <w:rsid w:val="007843FC"/>
    <w:pPr>
      <w:spacing w:before="240"/>
      <w:ind w:left="720" w:hanging="720"/>
    </w:pPr>
    <w:rPr>
      <w:sz w:val="22"/>
    </w:rPr>
  </w:style>
  <w:style w:type="character" w:customStyle="1" w:styleId="BodyTextIndent2Char">
    <w:name w:val="Body Text Indent 2 Char"/>
    <w:link w:val="BodyTextIndent2"/>
    <w:locked/>
    <w:rsid w:val="007843FC"/>
    <w:rPr>
      <w:rFonts w:cs="Times New Roman"/>
      <w:sz w:val="24"/>
      <w:szCs w:val="24"/>
    </w:rPr>
  </w:style>
  <w:style w:type="paragraph" w:styleId="Header">
    <w:name w:val="header"/>
    <w:basedOn w:val="Normal"/>
    <w:link w:val="HeaderChar"/>
    <w:rsid w:val="007843FC"/>
    <w:pPr>
      <w:tabs>
        <w:tab w:val="center" w:pos="4320"/>
        <w:tab w:val="right" w:pos="8640"/>
      </w:tabs>
    </w:pPr>
  </w:style>
  <w:style w:type="character" w:customStyle="1" w:styleId="HeaderChar">
    <w:name w:val="Header Char"/>
    <w:link w:val="Header"/>
    <w:locked/>
    <w:rsid w:val="007843FC"/>
    <w:rPr>
      <w:rFonts w:cs="Times New Roman"/>
      <w:sz w:val="24"/>
      <w:szCs w:val="24"/>
    </w:rPr>
  </w:style>
  <w:style w:type="paragraph" w:styleId="Footer">
    <w:name w:val="footer"/>
    <w:basedOn w:val="Normal"/>
    <w:link w:val="FooterChar"/>
    <w:rsid w:val="007843FC"/>
    <w:pPr>
      <w:tabs>
        <w:tab w:val="center" w:pos="4320"/>
        <w:tab w:val="right" w:pos="8640"/>
      </w:tabs>
    </w:pPr>
  </w:style>
  <w:style w:type="character" w:customStyle="1" w:styleId="FooterChar">
    <w:name w:val="Footer Char"/>
    <w:link w:val="Footer"/>
    <w:locked/>
    <w:rsid w:val="007843FC"/>
    <w:rPr>
      <w:rFonts w:cs="Times New Roman"/>
      <w:sz w:val="24"/>
      <w:szCs w:val="24"/>
    </w:rPr>
  </w:style>
  <w:style w:type="paragraph" w:styleId="BalloonText">
    <w:name w:val="Balloon Text"/>
    <w:basedOn w:val="Normal"/>
    <w:link w:val="BalloonTextChar"/>
    <w:rsid w:val="007843FC"/>
    <w:rPr>
      <w:rFonts w:ascii="Lucida Grande" w:hAnsi="Lucida Grande"/>
      <w:sz w:val="18"/>
      <w:szCs w:val="18"/>
    </w:rPr>
  </w:style>
  <w:style w:type="character" w:customStyle="1" w:styleId="BalloonTextChar">
    <w:name w:val="Balloon Text Char"/>
    <w:link w:val="BalloonText"/>
    <w:locked/>
    <w:rsid w:val="007843FC"/>
    <w:rPr>
      <w:rFonts w:ascii="Lucida Grande" w:hAnsi="Lucida Grande" w:cs="Times New Roman"/>
      <w:sz w:val="18"/>
      <w:szCs w:val="18"/>
    </w:rPr>
  </w:style>
  <w:style w:type="character" w:styleId="CommentReference">
    <w:name w:val="annotation reference"/>
    <w:rsid w:val="007843FC"/>
    <w:rPr>
      <w:rFonts w:cs="Times New Roman"/>
      <w:sz w:val="16"/>
      <w:szCs w:val="16"/>
    </w:rPr>
  </w:style>
  <w:style w:type="paragraph" w:styleId="CommentText">
    <w:name w:val="annotation text"/>
    <w:basedOn w:val="Normal"/>
    <w:link w:val="CommentTextChar"/>
    <w:rsid w:val="007843FC"/>
    <w:rPr>
      <w:sz w:val="20"/>
      <w:szCs w:val="20"/>
    </w:rPr>
  </w:style>
  <w:style w:type="character" w:customStyle="1" w:styleId="CommentTextChar">
    <w:name w:val="Comment Text Char"/>
    <w:link w:val="CommentText"/>
    <w:locked/>
    <w:rsid w:val="007843FC"/>
    <w:rPr>
      <w:rFonts w:cs="Times New Roman"/>
    </w:rPr>
  </w:style>
  <w:style w:type="character" w:styleId="Hyperlink">
    <w:name w:val="Hyperlink"/>
    <w:uiPriority w:val="99"/>
    <w:rsid w:val="007843FC"/>
    <w:rPr>
      <w:rFonts w:cs="Times New Roman"/>
      <w:color w:val="0000FF"/>
      <w:u w:val="single"/>
    </w:rPr>
  </w:style>
  <w:style w:type="paragraph" w:customStyle="1" w:styleId="ReportSubtitle">
    <w:name w:val="Report Subtitle"/>
    <w:basedOn w:val="Normal"/>
    <w:rsid w:val="007843FC"/>
    <w:pPr>
      <w:spacing w:before="240"/>
      <w:jc w:val="right"/>
    </w:pPr>
    <w:rPr>
      <w:rFonts w:ascii="Tahoma" w:hAnsi="Tahoma" w:cs="Tahoma"/>
      <w:b/>
      <w:sz w:val="40"/>
      <w:szCs w:val="40"/>
    </w:rPr>
  </w:style>
  <w:style w:type="character" w:styleId="PageNumber">
    <w:name w:val="page number"/>
    <w:rsid w:val="007843FC"/>
    <w:rPr>
      <w:rFonts w:cs="Times New Roman"/>
    </w:rPr>
  </w:style>
  <w:style w:type="paragraph" w:styleId="TOC1">
    <w:name w:val="toc 1"/>
    <w:basedOn w:val="Normal"/>
    <w:next w:val="Normal"/>
    <w:autoRedefine/>
    <w:uiPriority w:val="39"/>
    <w:rsid w:val="0000270B"/>
    <w:pPr>
      <w:tabs>
        <w:tab w:val="left" w:pos="480"/>
        <w:tab w:val="right" w:leader="dot" w:pos="9350"/>
      </w:tabs>
      <w:spacing w:before="120"/>
    </w:pPr>
    <w:rPr>
      <w:rFonts w:ascii="Cambria" w:hAnsi="Cambria"/>
      <w:b/>
      <w:noProof/>
    </w:rPr>
  </w:style>
  <w:style w:type="paragraph" w:styleId="TOC2">
    <w:name w:val="toc 2"/>
    <w:basedOn w:val="Normal"/>
    <w:next w:val="Normal"/>
    <w:autoRedefine/>
    <w:uiPriority w:val="39"/>
    <w:rsid w:val="00DB5B63"/>
    <w:pPr>
      <w:tabs>
        <w:tab w:val="left" w:pos="960"/>
        <w:tab w:val="right" w:leader="dot" w:pos="9350"/>
      </w:tabs>
      <w:ind w:left="240"/>
    </w:pPr>
    <w:rPr>
      <w:rFonts w:ascii="Cambria" w:hAnsi="Cambria"/>
      <w:b/>
      <w:sz w:val="22"/>
      <w:szCs w:val="22"/>
    </w:rPr>
  </w:style>
  <w:style w:type="paragraph" w:styleId="TOC3">
    <w:name w:val="toc 3"/>
    <w:basedOn w:val="Normal"/>
    <w:next w:val="Normal"/>
    <w:autoRedefine/>
    <w:rsid w:val="007843FC"/>
    <w:pPr>
      <w:ind w:left="480"/>
    </w:pPr>
    <w:rPr>
      <w:rFonts w:ascii="Cambria" w:hAnsi="Cambria"/>
      <w:sz w:val="22"/>
      <w:szCs w:val="22"/>
    </w:rPr>
  </w:style>
  <w:style w:type="paragraph" w:styleId="TOC4">
    <w:name w:val="toc 4"/>
    <w:basedOn w:val="Normal"/>
    <w:next w:val="Normal"/>
    <w:autoRedefine/>
    <w:rsid w:val="007843FC"/>
    <w:pPr>
      <w:ind w:left="720"/>
    </w:pPr>
    <w:rPr>
      <w:rFonts w:ascii="Cambria" w:hAnsi="Cambria"/>
      <w:sz w:val="20"/>
      <w:szCs w:val="20"/>
    </w:rPr>
  </w:style>
  <w:style w:type="paragraph" w:styleId="TOC5">
    <w:name w:val="toc 5"/>
    <w:basedOn w:val="Normal"/>
    <w:next w:val="Normal"/>
    <w:autoRedefine/>
    <w:rsid w:val="007843FC"/>
    <w:pPr>
      <w:ind w:left="960"/>
    </w:pPr>
    <w:rPr>
      <w:rFonts w:ascii="Cambria" w:hAnsi="Cambria"/>
      <w:sz w:val="20"/>
      <w:szCs w:val="20"/>
    </w:rPr>
  </w:style>
  <w:style w:type="paragraph" w:styleId="TOC6">
    <w:name w:val="toc 6"/>
    <w:basedOn w:val="Normal"/>
    <w:next w:val="Normal"/>
    <w:autoRedefine/>
    <w:rsid w:val="007843FC"/>
    <w:pPr>
      <w:ind w:left="1200"/>
    </w:pPr>
    <w:rPr>
      <w:rFonts w:ascii="Cambria" w:hAnsi="Cambria"/>
      <w:sz w:val="20"/>
      <w:szCs w:val="20"/>
    </w:rPr>
  </w:style>
  <w:style w:type="paragraph" w:styleId="TOC7">
    <w:name w:val="toc 7"/>
    <w:basedOn w:val="Normal"/>
    <w:next w:val="Normal"/>
    <w:autoRedefine/>
    <w:rsid w:val="007843FC"/>
    <w:pPr>
      <w:ind w:left="1440"/>
    </w:pPr>
    <w:rPr>
      <w:rFonts w:ascii="Cambria" w:hAnsi="Cambria"/>
      <w:sz w:val="20"/>
      <w:szCs w:val="20"/>
    </w:rPr>
  </w:style>
  <w:style w:type="paragraph" w:styleId="TOC8">
    <w:name w:val="toc 8"/>
    <w:basedOn w:val="Normal"/>
    <w:next w:val="Normal"/>
    <w:autoRedefine/>
    <w:rsid w:val="007843FC"/>
    <w:pPr>
      <w:ind w:left="1680"/>
    </w:pPr>
    <w:rPr>
      <w:rFonts w:ascii="Cambria" w:hAnsi="Cambria"/>
      <w:sz w:val="20"/>
      <w:szCs w:val="20"/>
    </w:rPr>
  </w:style>
  <w:style w:type="paragraph" w:styleId="TOC9">
    <w:name w:val="toc 9"/>
    <w:basedOn w:val="Normal"/>
    <w:next w:val="Normal"/>
    <w:autoRedefine/>
    <w:rsid w:val="007843FC"/>
    <w:pPr>
      <w:ind w:left="1920"/>
    </w:pPr>
    <w:rPr>
      <w:rFonts w:ascii="Cambria" w:hAnsi="Cambria"/>
      <w:sz w:val="20"/>
      <w:szCs w:val="20"/>
    </w:rPr>
  </w:style>
  <w:style w:type="paragraph" w:customStyle="1" w:styleId="ColorfulList-Accent11">
    <w:name w:val="Colorful List - Accent 11"/>
    <w:basedOn w:val="Normal"/>
    <w:rsid w:val="007843FC"/>
    <w:pPr>
      <w:spacing w:after="200" w:line="276" w:lineRule="auto"/>
      <w:ind w:left="720"/>
      <w:contextualSpacing/>
    </w:pPr>
    <w:rPr>
      <w:rFonts w:ascii="Cambria" w:hAnsi="Cambria"/>
      <w:sz w:val="22"/>
      <w:szCs w:val="22"/>
    </w:rPr>
  </w:style>
  <w:style w:type="paragraph" w:customStyle="1" w:styleId="SBComment">
    <w:name w:val="SB Comment"/>
    <w:basedOn w:val="Normal"/>
    <w:rsid w:val="007843FC"/>
    <w:rPr>
      <w:color w:val="0000FF"/>
      <w:sz w:val="20"/>
    </w:rPr>
  </w:style>
  <w:style w:type="paragraph" w:styleId="CommentSubject">
    <w:name w:val="annotation subject"/>
    <w:basedOn w:val="CommentText"/>
    <w:next w:val="CommentText"/>
    <w:link w:val="CommentSubjectChar"/>
    <w:semiHidden/>
    <w:rsid w:val="007843FC"/>
    <w:rPr>
      <w:b/>
      <w:bCs/>
    </w:rPr>
  </w:style>
  <w:style w:type="character" w:customStyle="1" w:styleId="CommentSubjectChar">
    <w:name w:val="Comment Subject Char"/>
    <w:link w:val="CommentSubject"/>
    <w:semiHidden/>
    <w:locked/>
    <w:rsid w:val="007843FC"/>
    <w:rPr>
      <w:rFonts w:cs="Times New Roman"/>
      <w:b/>
      <w:bCs/>
      <w:sz w:val="20"/>
      <w:szCs w:val="20"/>
    </w:rPr>
  </w:style>
  <w:style w:type="paragraph" w:customStyle="1" w:styleId="CSSText">
    <w:name w:val="CSS Text"/>
    <w:basedOn w:val="Normal"/>
    <w:link w:val="CSSTextChar"/>
    <w:rsid w:val="00047DAC"/>
    <w:pPr>
      <w:tabs>
        <w:tab w:val="left" w:pos="720"/>
        <w:tab w:val="left" w:pos="1440"/>
        <w:tab w:val="left" w:pos="2160"/>
        <w:tab w:val="left" w:pos="2880"/>
      </w:tabs>
      <w:suppressAutoHyphens/>
      <w:overflowPunct w:val="0"/>
      <w:autoSpaceDE w:val="0"/>
      <w:autoSpaceDN w:val="0"/>
      <w:adjustRightInd w:val="0"/>
      <w:spacing w:after="120"/>
      <w:jc w:val="both"/>
      <w:textAlignment w:val="baseline"/>
    </w:pPr>
    <w:rPr>
      <w:rFonts w:ascii="Arial" w:hAnsi="Arial"/>
      <w:kern w:val="20"/>
      <w:sz w:val="20"/>
      <w:szCs w:val="20"/>
    </w:rPr>
  </w:style>
  <w:style w:type="character" w:customStyle="1" w:styleId="CSSTextChar">
    <w:name w:val="CSS Text Char"/>
    <w:link w:val="CSSText"/>
    <w:locked/>
    <w:rsid w:val="00047DAC"/>
    <w:rPr>
      <w:rFonts w:ascii="Arial" w:hAnsi="Arial" w:cs="Times New Roman"/>
      <w:kern w:val="20"/>
    </w:rPr>
  </w:style>
  <w:style w:type="paragraph" w:customStyle="1" w:styleId="ResumeBullets">
    <w:name w:val="Resume Bullets"/>
    <w:basedOn w:val="Normal"/>
    <w:rsid w:val="0038346F"/>
    <w:pPr>
      <w:numPr>
        <w:numId w:val="5"/>
      </w:numPr>
      <w:tabs>
        <w:tab w:val="left" w:pos="432"/>
      </w:tabs>
      <w:spacing w:before="40"/>
    </w:pPr>
    <w:rPr>
      <w:sz w:val="22"/>
    </w:rPr>
  </w:style>
  <w:style w:type="paragraph" w:customStyle="1" w:styleId="Bullets-Short">
    <w:name w:val="Bullets - Short"/>
    <w:basedOn w:val="Normal"/>
    <w:rsid w:val="00835883"/>
    <w:pPr>
      <w:numPr>
        <w:numId w:val="6"/>
      </w:numPr>
      <w:spacing w:before="120"/>
    </w:pPr>
    <w:rPr>
      <w:sz w:val="22"/>
    </w:rPr>
  </w:style>
  <w:style w:type="paragraph" w:styleId="ListParagraph">
    <w:name w:val="List Paragraph"/>
    <w:basedOn w:val="Normal"/>
    <w:link w:val="ListParagraphChar"/>
    <w:uiPriority w:val="34"/>
    <w:qFormat/>
    <w:rsid w:val="00DD6248"/>
    <w:pPr>
      <w:ind w:left="720"/>
      <w:contextualSpacing/>
    </w:pPr>
  </w:style>
  <w:style w:type="character" w:styleId="FollowedHyperlink">
    <w:name w:val="FollowedHyperlink"/>
    <w:rsid w:val="00A32F46"/>
    <w:rPr>
      <w:rFonts w:cs="Times New Roman"/>
      <w:color w:val="800080"/>
      <w:u w:val="single"/>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fn,ft,FOOTNOTE"/>
    <w:basedOn w:val="Normal"/>
    <w:link w:val="FootnoteTextChar"/>
    <w:rsid w:val="004C04FA"/>
    <w:rPr>
      <w:sz w:val="20"/>
      <w:szCs w:val="20"/>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fn Char"/>
    <w:link w:val="FootnoteText"/>
    <w:locked/>
    <w:rsid w:val="004C04FA"/>
    <w:rPr>
      <w:rFonts w:cs="Times New Roman"/>
    </w:rPr>
  </w:style>
  <w:style w:type="character" w:styleId="FootnoteReference">
    <w:name w:val="footnote reference"/>
    <w:aliases w:val="o,fr,Style 3,o1,o2,o3,o4,o5,o6,o11,o21,o7"/>
    <w:uiPriority w:val="99"/>
    <w:rsid w:val="004C04FA"/>
    <w:rPr>
      <w:rFonts w:cs="Times New Roman"/>
      <w:vertAlign w:val="superscript"/>
    </w:rPr>
  </w:style>
  <w:style w:type="paragraph" w:customStyle="1" w:styleId="CSSRFPLevel10">
    <w:name w:val="CSS RFP Level 1.0"/>
    <w:basedOn w:val="Normal"/>
    <w:rsid w:val="00432896"/>
    <w:pPr>
      <w:numPr>
        <w:numId w:val="7"/>
      </w:numPr>
      <w:tabs>
        <w:tab w:val="left" w:pos="1440"/>
        <w:tab w:val="left" w:pos="2160"/>
        <w:tab w:val="left" w:pos="2880"/>
      </w:tabs>
      <w:suppressAutoHyphens/>
      <w:overflowPunct w:val="0"/>
      <w:autoSpaceDE w:val="0"/>
      <w:autoSpaceDN w:val="0"/>
      <w:adjustRightInd w:val="0"/>
      <w:spacing w:before="240" w:after="120"/>
      <w:jc w:val="both"/>
      <w:textAlignment w:val="baseline"/>
      <w:outlineLvl w:val="0"/>
    </w:pPr>
    <w:rPr>
      <w:rFonts w:ascii="Arial" w:hAnsi="Arial"/>
      <w:b/>
      <w:caps/>
      <w:kern w:val="20"/>
      <w:sz w:val="20"/>
      <w:szCs w:val="20"/>
    </w:rPr>
  </w:style>
  <w:style w:type="paragraph" w:customStyle="1" w:styleId="CSSRFPLevel111">
    <w:name w:val="CSS RFP Level 1.1.1"/>
    <w:basedOn w:val="Normal"/>
    <w:rsid w:val="00C8336E"/>
    <w:pPr>
      <w:tabs>
        <w:tab w:val="left" w:pos="720"/>
        <w:tab w:val="left" w:pos="1440"/>
        <w:tab w:val="left" w:pos="2160"/>
        <w:tab w:val="left" w:pos="2880"/>
      </w:tabs>
      <w:suppressAutoHyphens/>
      <w:overflowPunct w:val="0"/>
      <w:autoSpaceDE w:val="0"/>
      <w:autoSpaceDN w:val="0"/>
      <w:adjustRightInd w:val="0"/>
      <w:spacing w:after="120"/>
      <w:ind w:left="2160" w:hanging="720"/>
      <w:jc w:val="both"/>
      <w:textAlignment w:val="baseline"/>
      <w:outlineLvl w:val="2"/>
    </w:pPr>
    <w:rPr>
      <w:rFonts w:ascii="Arial" w:hAnsi="Arial"/>
      <w:kern w:val="20"/>
      <w:sz w:val="20"/>
      <w:szCs w:val="20"/>
    </w:rPr>
  </w:style>
  <w:style w:type="paragraph" w:styleId="TOCHeading">
    <w:name w:val="TOC Heading"/>
    <w:basedOn w:val="Heading1"/>
    <w:next w:val="Normal"/>
    <w:qFormat/>
    <w:rsid w:val="00B15431"/>
    <w:pPr>
      <w:keepLines/>
      <w:pageBreakBefore w:val="0"/>
      <w:numPr>
        <w:numId w:val="0"/>
      </w:numPr>
      <w:spacing w:before="480" w:after="0" w:line="276" w:lineRule="auto"/>
      <w:outlineLvl w:val="9"/>
    </w:pPr>
    <w:rPr>
      <w:rFonts w:ascii="Cambria" w:hAnsi="Cambria" w:cs="Times New Roman"/>
      <w:color w:val="365F91"/>
      <w:kern w:val="0"/>
      <w:sz w:val="28"/>
      <w:szCs w:val="28"/>
    </w:rPr>
  </w:style>
  <w:style w:type="paragraph" w:customStyle="1" w:styleId="1">
    <w:name w:val="1."/>
    <w:basedOn w:val="Normal"/>
    <w:rsid w:val="00ED2C85"/>
    <w:pPr>
      <w:overflowPunct w:val="0"/>
      <w:autoSpaceDE w:val="0"/>
      <w:autoSpaceDN w:val="0"/>
      <w:adjustRightInd w:val="0"/>
      <w:ind w:left="634" w:hanging="634"/>
    </w:pPr>
    <w:rPr>
      <w:rFonts w:ascii="Arial" w:hAnsi="Arial"/>
      <w:sz w:val="20"/>
      <w:szCs w:val="20"/>
    </w:rPr>
  </w:style>
  <w:style w:type="paragraph" w:styleId="Revision">
    <w:name w:val="Revision"/>
    <w:hidden/>
    <w:semiHidden/>
    <w:rsid w:val="005421FE"/>
    <w:rPr>
      <w:sz w:val="24"/>
      <w:szCs w:val="24"/>
    </w:rPr>
  </w:style>
  <w:style w:type="character" w:styleId="Emphasis">
    <w:name w:val="Emphasis"/>
    <w:qFormat/>
    <w:locked/>
    <w:rsid w:val="00696E20"/>
    <w:rPr>
      <w:i/>
      <w:iCs/>
    </w:rPr>
  </w:style>
  <w:style w:type="paragraph" w:customStyle="1" w:styleId="Default">
    <w:name w:val="Default"/>
    <w:rsid w:val="006A6421"/>
    <w:pPr>
      <w:autoSpaceDE w:val="0"/>
      <w:autoSpaceDN w:val="0"/>
      <w:adjustRightInd w:val="0"/>
    </w:pPr>
    <w:rPr>
      <w:color w:val="000000"/>
      <w:sz w:val="24"/>
      <w:szCs w:val="24"/>
    </w:rPr>
  </w:style>
  <w:style w:type="character" w:customStyle="1" w:styleId="ListParagraphChar">
    <w:name w:val="List Paragraph Char"/>
    <w:basedOn w:val="DefaultParagraphFont"/>
    <w:link w:val="ListParagraph"/>
    <w:uiPriority w:val="34"/>
    <w:rsid w:val="009E1E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2129">
      <w:bodyDiv w:val="1"/>
      <w:marLeft w:val="0"/>
      <w:marRight w:val="0"/>
      <w:marTop w:val="0"/>
      <w:marBottom w:val="0"/>
      <w:divBdr>
        <w:top w:val="none" w:sz="0" w:space="0" w:color="auto"/>
        <w:left w:val="none" w:sz="0" w:space="0" w:color="auto"/>
        <w:bottom w:val="none" w:sz="0" w:space="0" w:color="auto"/>
        <w:right w:val="none" w:sz="0" w:space="0" w:color="auto"/>
      </w:divBdr>
    </w:div>
    <w:div w:id="637304751">
      <w:bodyDiv w:val="1"/>
      <w:marLeft w:val="0"/>
      <w:marRight w:val="0"/>
      <w:marTop w:val="0"/>
      <w:marBottom w:val="0"/>
      <w:divBdr>
        <w:top w:val="none" w:sz="0" w:space="0" w:color="auto"/>
        <w:left w:val="none" w:sz="0" w:space="0" w:color="auto"/>
        <w:bottom w:val="none" w:sz="0" w:space="0" w:color="auto"/>
        <w:right w:val="none" w:sz="0" w:space="0" w:color="auto"/>
      </w:divBdr>
    </w:div>
    <w:div w:id="1427773639">
      <w:bodyDiv w:val="1"/>
      <w:marLeft w:val="0"/>
      <w:marRight w:val="0"/>
      <w:marTop w:val="0"/>
      <w:marBottom w:val="0"/>
      <w:divBdr>
        <w:top w:val="none" w:sz="0" w:space="0" w:color="auto"/>
        <w:left w:val="none" w:sz="0" w:space="0" w:color="auto"/>
        <w:bottom w:val="none" w:sz="0" w:space="0" w:color="auto"/>
        <w:right w:val="none" w:sz="0" w:space="0" w:color="auto"/>
      </w:divBdr>
    </w:div>
    <w:div w:id="15344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67E613B06918428F0EAE32B618F55F" ma:contentTypeVersion="104" ma:contentTypeDescription="" ma:contentTypeScope="" ma:versionID="10e1f921b75a5d6403e26fad032e67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2016-06-15T07:00:00+00:00</OpenedDate>
    <Date1 xmlns="dc463f71-b30c-4ab2-9473-d307f9d35888">2016-06-15T07:00:00+00:00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13CA0D9-9A76-4018-97EE-05225001B5D4}"/>
</file>

<file path=customXml/itemProps2.xml><?xml version="1.0" encoding="utf-8"?>
<ds:datastoreItem xmlns:ds="http://schemas.openxmlformats.org/officeDocument/2006/customXml" ds:itemID="{16147E40-5170-4245-B381-A363CFBA2E34}"/>
</file>

<file path=customXml/itemProps3.xml><?xml version="1.0" encoding="utf-8"?>
<ds:datastoreItem xmlns:ds="http://schemas.openxmlformats.org/officeDocument/2006/customXml" ds:itemID="{E52197DB-544E-43C9-A003-1BA2DC030B00}"/>
</file>

<file path=customXml/itemProps4.xml><?xml version="1.0" encoding="utf-8"?>
<ds:datastoreItem xmlns:ds="http://schemas.openxmlformats.org/officeDocument/2006/customXml" ds:itemID="{FA0D1CB6-810A-4C48-94C0-B2CA7FC9A3B5}"/>
</file>

<file path=customXml/itemProps5.xml><?xml version="1.0" encoding="utf-8"?>
<ds:datastoreItem xmlns:ds="http://schemas.openxmlformats.org/officeDocument/2006/customXml" ds:itemID="{2D76B157-B0AA-4C67-AA50-D19F391E3B88}"/>
</file>

<file path=docProps/app.xml><?xml version="1.0" encoding="utf-8"?>
<Properties xmlns="http://schemas.openxmlformats.org/officeDocument/2006/extended-properties" xmlns:vt="http://schemas.openxmlformats.org/officeDocument/2006/docPropsVTypes">
  <Template>Normal.dotm</Template>
  <TotalTime>4</TotalTime>
  <Pages>1</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9528</CharactersWithSpaces>
  <SharedDoc>false</SharedDoc>
  <HyperlinkBase/>
  <HLinks>
    <vt:vector size="156" baseType="variant">
      <vt:variant>
        <vt:i4>4718675</vt:i4>
      </vt:variant>
      <vt:variant>
        <vt:i4>150</vt:i4>
      </vt:variant>
      <vt:variant>
        <vt:i4>0</vt:i4>
      </vt:variant>
      <vt:variant>
        <vt:i4>5</vt:i4>
      </vt:variant>
      <vt:variant>
        <vt:lpwstr>https://www.pnm.com/</vt:lpwstr>
      </vt:variant>
      <vt:variant>
        <vt:lpwstr/>
      </vt:variant>
      <vt:variant>
        <vt:i4>1376316</vt:i4>
      </vt:variant>
      <vt:variant>
        <vt:i4>143</vt:i4>
      </vt:variant>
      <vt:variant>
        <vt:i4>0</vt:i4>
      </vt:variant>
      <vt:variant>
        <vt:i4>5</vt:i4>
      </vt:variant>
      <vt:variant>
        <vt:lpwstr/>
      </vt:variant>
      <vt:variant>
        <vt:lpwstr>_Toc432593379</vt:lpwstr>
      </vt:variant>
      <vt:variant>
        <vt:i4>1376316</vt:i4>
      </vt:variant>
      <vt:variant>
        <vt:i4>137</vt:i4>
      </vt:variant>
      <vt:variant>
        <vt:i4>0</vt:i4>
      </vt:variant>
      <vt:variant>
        <vt:i4>5</vt:i4>
      </vt:variant>
      <vt:variant>
        <vt:lpwstr/>
      </vt:variant>
      <vt:variant>
        <vt:lpwstr>_Toc432593378</vt:lpwstr>
      </vt:variant>
      <vt:variant>
        <vt:i4>1376316</vt:i4>
      </vt:variant>
      <vt:variant>
        <vt:i4>131</vt:i4>
      </vt:variant>
      <vt:variant>
        <vt:i4>0</vt:i4>
      </vt:variant>
      <vt:variant>
        <vt:i4>5</vt:i4>
      </vt:variant>
      <vt:variant>
        <vt:lpwstr/>
      </vt:variant>
      <vt:variant>
        <vt:lpwstr>_Toc432593377</vt:lpwstr>
      </vt:variant>
      <vt:variant>
        <vt:i4>1376316</vt:i4>
      </vt:variant>
      <vt:variant>
        <vt:i4>125</vt:i4>
      </vt:variant>
      <vt:variant>
        <vt:i4>0</vt:i4>
      </vt:variant>
      <vt:variant>
        <vt:i4>5</vt:i4>
      </vt:variant>
      <vt:variant>
        <vt:lpwstr/>
      </vt:variant>
      <vt:variant>
        <vt:lpwstr>_Toc432593376</vt:lpwstr>
      </vt:variant>
      <vt:variant>
        <vt:i4>1376316</vt:i4>
      </vt:variant>
      <vt:variant>
        <vt:i4>119</vt:i4>
      </vt:variant>
      <vt:variant>
        <vt:i4>0</vt:i4>
      </vt:variant>
      <vt:variant>
        <vt:i4>5</vt:i4>
      </vt:variant>
      <vt:variant>
        <vt:lpwstr/>
      </vt:variant>
      <vt:variant>
        <vt:lpwstr>_Toc432593375</vt:lpwstr>
      </vt:variant>
      <vt:variant>
        <vt:i4>1376316</vt:i4>
      </vt:variant>
      <vt:variant>
        <vt:i4>113</vt:i4>
      </vt:variant>
      <vt:variant>
        <vt:i4>0</vt:i4>
      </vt:variant>
      <vt:variant>
        <vt:i4>5</vt:i4>
      </vt:variant>
      <vt:variant>
        <vt:lpwstr/>
      </vt:variant>
      <vt:variant>
        <vt:lpwstr>_Toc432593374</vt:lpwstr>
      </vt:variant>
      <vt:variant>
        <vt:i4>1376316</vt:i4>
      </vt:variant>
      <vt:variant>
        <vt:i4>107</vt:i4>
      </vt:variant>
      <vt:variant>
        <vt:i4>0</vt:i4>
      </vt:variant>
      <vt:variant>
        <vt:i4>5</vt:i4>
      </vt:variant>
      <vt:variant>
        <vt:lpwstr/>
      </vt:variant>
      <vt:variant>
        <vt:lpwstr>_Toc432593373</vt:lpwstr>
      </vt:variant>
      <vt:variant>
        <vt:i4>1376316</vt:i4>
      </vt:variant>
      <vt:variant>
        <vt:i4>101</vt:i4>
      </vt:variant>
      <vt:variant>
        <vt:i4>0</vt:i4>
      </vt:variant>
      <vt:variant>
        <vt:i4>5</vt:i4>
      </vt:variant>
      <vt:variant>
        <vt:lpwstr/>
      </vt:variant>
      <vt:variant>
        <vt:lpwstr>_Toc432593372</vt:lpwstr>
      </vt:variant>
      <vt:variant>
        <vt:i4>1376316</vt:i4>
      </vt:variant>
      <vt:variant>
        <vt:i4>95</vt:i4>
      </vt:variant>
      <vt:variant>
        <vt:i4>0</vt:i4>
      </vt:variant>
      <vt:variant>
        <vt:i4>5</vt:i4>
      </vt:variant>
      <vt:variant>
        <vt:lpwstr/>
      </vt:variant>
      <vt:variant>
        <vt:lpwstr>_Toc432593371</vt:lpwstr>
      </vt:variant>
      <vt:variant>
        <vt:i4>1376316</vt:i4>
      </vt:variant>
      <vt:variant>
        <vt:i4>89</vt:i4>
      </vt:variant>
      <vt:variant>
        <vt:i4>0</vt:i4>
      </vt:variant>
      <vt:variant>
        <vt:i4>5</vt:i4>
      </vt:variant>
      <vt:variant>
        <vt:lpwstr/>
      </vt:variant>
      <vt:variant>
        <vt:lpwstr>_Toc432593370</vt:lpwstr>
      </vt:variant>
      <vt:variant>
        <vt:i4>1310780</vt:i4>
      </vt:variant>
      <vt:variant>
        <vt:i4>83</vt:i4>
      </vt:variant>
      <vt:variant>
        <vt:i4>0</vt:i4>
      </vt:variant>
      <vt:variant>
        <vt:i4>5</vt:i4>
      </vt:variant>
      <vt:variant>
        <vt:lpwstr/>
      </vt:variant>
      <vt:variant>
        <vt:lpwstr>_Toc432593369</vt:lpwstr>
      </vt:variant>
      <vt:variant>
        <vt:i4>1310780</vt:i4>
      </vt:variant>
      <vt:variant>
        <vt:i4>77</vt:i4>
      </vt:variant>
      <vt:variant>
        <vt:i4>0</vt:i4>
      </vt:variant>
      <vt:variant>
        <vt:i4>5</vt:i4>
      </vt:variant>
      <vt:variant>
        <vt:lpwstr/>
      </vt:variant>
      <vt:variant>
        <vt:lpwstr>_Toc432593368</vt:lpwstr>
      </vt:variant>
      <vt:variant>
        <vt:i4>1310780</vt:i4>
      </vt:variant>
      <vt:variant>
        <vt:i4>71</vt:i4>
      </vt:variant>
      <vt:variant>
        <vt:i4>0</vt:i4>
      </vt:variant>
      <vt:variant>
        <vt:i4>5</vt:i4>
      </vt:variant>
      <vt:variant>
        <vt:lpwstr/>
      </vt:variant>
      <vt:variant>
        <vt:lpwstr>_Toc432593367</vt:lpwstr>
      </vt:variant>
      <vt:variant>
        <vt:i4>1310780</vt:i4>
      </vt:variant>
      <vt:variant>
        <vt:i4>65</vt:i4>
      </vt:variant>
      <vt:variant>
        <vt:i4>0</vt:i4>
      </vt:variant>
      <vt:variant>
        <vt:i4>5</vt:i4>
      </vt:variant>
      <vt:variant>
        <vt:lpwstr/>
      </vt:variant>
      <vt:variant>
        <vt:lpwstr>_Toc432593366</vt:lpwstr>
      </vt:variant>
      <vt:variant>
        <vt:i4>1310780</vt:i4>
      </vt:variant>
      <vt:variant>
        <vt:i4>59</vt:i4>
      </vt:variant>
      <vt:variant>
        <vt:i4>0</vt:i4>
      </vt:variant>
      <vt:variant>
        <vt:i4>5</vt:i4>
      </vt:variant>
      <vt:variant>
        <vt:lpwstr/>
      </vt:variant>
      <vt:variant>
        <vt:lpwstr>_Toc432593365</vt:lpwstr>
      </vt:variant>
      <vt:variant>
        <vt:i4>1310780</vt:i4>
      </vt:variant>
      <vt:variant>
        <vt:i4>53</vt:i4>
      </vt:variant>
      <vt:variant>
        <vt:i4>0</vt:i4>
      </vt:variant>
      <vt:variant>
        <vt:i4>5</vt:i4>
      </vt:variant>
      <vt:variant>
        <vt:lpwstr/>
      </vt:variant>
      <vt:variant>
        <vt:lpwstr>_Toc432593364</vt:lpwstr>
      </vt:variant>
      <vt:variant>
        <vt:i4>1310780</vt:i4>
      </vt:variant>
      <vt:variant>
        <vt:i4>47</vt:i4>
      </vt:variant>
      <vt:variant>
        <vt:i4>0</vt:i4>
      </vt:variant>
      <vt:variant>
        <vt:i4>5</vt:i4>
      </vt:variant>
      <vt:variant>
        <vt:lpwstr/>
      </vt:variant>
      <vt:variant>
        <vt:lpwstr>_Toc432593363</vt:lpwstr>
      </vt:variant>
      <vt:variant>
        <vt:i4>1310780</vt:i4>
      </vt:variant>
      <vt:variant>
        <vt:i4>41</vt:i4>
      </vt:variant>
      <vt:variant>
        <vt:i4>0</vt:i4>
      </vt:variant>
      <vt:variant>
        <vt:i4>5</vt:i4>
      </vt:variant>
      <vt:variant>
        <vt:lpwstr/>
      </vt:variant>
      <vt:variant>
        <vt:lpwstr>_Toc432593362</vt:lpwstr>
      </vt:variant>
      <vt:variant>
        <vt:i4>1310780</vt:i4>
      </vt:variant>
      <vt:variant>
        <vt:i4>35</vt:i4>
      </vt:variant>
      <vt:variant>
        <vt:i4>0</vt:i4>
      </vt:variant>
      <vt:variant>
        <vt:i4>5</vt:i4>
      </vt:variant>
      <vt:variant>
        <vt:lpwstr/>
      </vt:variant>
      <vt:variant>
        <vt:lpwstr>_Toc432593361</vt:lpwstr>
      </vt:variant>
      <vt:variant>
        <vt:i4>1310780</vt:i4>
      </vt:variant>
      <vt:variant>
        <vt:i4>29</vt:i4>
      </vt:variant>
      <vt:variant>
        <vt:i4>0</vt:i4>
      </vt:variant>
      <vt:variant>
        <vt:i4>5</vt:i4>
      </vt:variant>
      <vt:variant>
        <vt:lpwstr/>
      </vt:variant>
      <vt:variant>
        <vt:lpwstr>_Toc432593360</vt:lpwstr>
      </vt:variant>
      <vt:variant>
        <vt:i4>1507388</vt:i4>
      </vt:variant>
      <vt:variant>
        <vt:i4>23</vt:i4>
      </vt:variant>
      <vt:variant>
        <vt:i4>0</vt:i4>
      </vt:variant>
      <vt:variant>
        <vt:i4>5</vt:i4>
      </vt:variant>
      <vt:variant>
        <vt:lpwstr/>
      </vt:variant>
      <vt:variant>
        <vt:lpwstr>_Toc432593359</vt:lpwstr>
      </vt:variant>
      <vt:variant>
        <vt:i4>1507388</vt:i4>
      </vt:variant>
      <vt:variant>
        <vt:i4>17</vt:i4>
      </vt:variant>
      <vt:variant>
        <vt:i4>0</vt:i4>
      </vt:variant>
      <vt:variant>
        <vt:i4>5</vt:i4>
      </vt:variant>
      <vt:variant>
        <vt:lpwstr/>
      </vt:variant>
      <vt:variant>
        <vt:lpwstr>_Toc432593358</vt:lpwstr>
      </vt:variant>
      <vt:variant>
        <vt:i4>1507388</vt:i4>
      </vt:variant>
      <vt:variant>
        <vt:i4>11</vt:i4>
      </vt:variant>
      <vt:variant>
        <vt:i4>0</vt:i4>
      </vt:variant>
      <vt:variant>
        <vt:i4>5</vt:i4>
      </vt:variant>
      <vt:variant>
        <vt:lpwstr/>
      </vt:variant>
      <vt:variant>
        <vt:lpwstr>_Toc432593357</vt:lpwstr>
      </vt:variant>
      <vt:variant>
        <vt:i4>1507388</vt:i4>
      </vt:variant>
      <vt:variant>
        <vt:i4>5</vt:i4>
      </vt:variant>
      <vt:variant>
        <vt:i4>0</vt:i4>
      </vt:variant>
      <vt:variant>
        <vt:i4>5</vt:i4>
      </vt:variant>
      <vt:variant>
        <vt:lpwstr/>
      </vt:variant>
      <vt:variant>
        <vt:lpwstr>_Toc432593356</vt:lpwstr>
      </vt:variant>
      <vt:variant>
        <vt:i4>4718675</vt:i4>
      </vt:variant>
      <vt:variant>
        <vt:i4>0</vt:i4>
      </vt:variant>
      <vt:variant>
        <vt:i4>0</vt:i4>
      </vt:variant>
      <vt:variant>
        <vt:i4>5</vt:i4>
      </vt:variant>
      <vt:variant>
        <vt:lpwstr>https://www.pnm.com/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Markham, Elaine</dc:creator>
  <cp:lastModifiedBy>No Name</cp:lastModifiedBy>
  <cp:revision>4</cp:revision>
  <dcterms:created xsi:type="dcterms:W3CDTF">2016-06-13T16:54:00Z</dcterms:created>
  <dcterms:modified xsi:type="dcterms:W3CDTF">2016-06-14T20:13:00Z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0x0101006E56B4D1795A2E4DB2F0B01679ED314A00F067E613B06918428F0EAE32B618F55F</vt:lpwstr>
  </property>
  <property fmtid="{D5CDD505-2E9C-101B-9397-08002B2CF9AE}" pid="3" name="_docset_NoMedatataSyncRequired">
    <vt:lpwstr>False</vt:lpwstr>
  </property>
</Properties>
</file>