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C0" w:rsidRPr="001572BC" w:rsidRDefault="005E7FC0" w:rsidP="005E7FC0">
      <w:pPr>
        <w:jc w:val="center"/>
        <w:rPr>
          <w:b/>
          <w:sz w:val="32"/>
          <w:szCs w:val="32"/>
        </w:rPr>
      </w:pPr>
      <w:r w:rsidRPr="001572BC">
        <w:rPr>
          <w:b/>
          <w:sz w:val="32"/>
          <w:szCs w:val="32"/>
        </w:rPr>
        <w:t>ATTACHMENT A</w:t>
      </w:r>
    </w:p>
    <w:p w:rsidR="005E7FC0" w:rsidRDefault="005E7FC0" w:rsidP="005E7FC0">
      <w:pPr>
        <w:rPr>
          <w:b/>
        </w:rPr>
      </w:pPr>
    </w:p>
    <w:p w:rsidR="001572BC" w:rsidRDefault="001572BC" w:rsidP="005E7FC0">
      <w:pPr>
        <w:rPr>
          <w:b/>
        </w:rPr>
      </w:pPr>
    </w:p>
    <w:p w:rsidR="005E7FC0" w:rsidRDefault="005E7FC0" w:rsidP="005E7FC0">
      <w:pPr>
        <w:rPr>
          <w:b/>
        </w:rPr>
      </w:pPr>
      <w:r>
        <w:rPr>
          <w:b/>
        </w:rPr>
        <w:t>WAC 480-120-083</w:t>
      </w:r>
    </w:p>
    <w:p w:rsidR="005E7FC0" w:rsidRDefault="005E7FC0" w:rsidP="005E7FC0">
      <w:pPr>
        <w:pStyle w:val="plain"/>
        <w:rPr>
          <w:rFonts w:ascii="Arial" w:hAnsi="Arial" w:cs="Arial"/>
          <w:sz w:val="18"/>
          <w:szCs w:val="18"/>
        </w:rPr>
      </w:pPr>
    </w:p>
    <w:p w:rsidR="005E7FC0" w:rsidRDefault="005E7FC0" w:rsidP="005E7FC0">
      <w:pPr>
        <w:pStyle w:val="plain"/>
        <w:rPr>
          <w:rFonts w:cs="Arial"/>
          <w:b/>
        </w:rPr>
      </w:pPr>
      <w:r w:rsidRPr="00C41A6C">
        <w:rPr>
          <w:rFonts w:cs="Arial"/>
          <w:b/>
        </w:rPr>
        <w:t xml:space="preserve">Cessation of </w:t>
      </w:r>
      <w:r w:rsidR="001572BC">
        <w:rPr>
          <w:rFonts w:cs="Arial"/>
          <w:b/>
        </w:rPr>
        <w:t>T</w:t>
      </w:r>
      <w:r w:rsidRPr="00C41A6C">
        <w:rPr>
          <w:rFonts w:cs="Arial"/>
          <w:b/>
        </w:rPr>
        <w:t xml:space="preserve">elecommunications </w:t>
      </w:r>
      <w:r w:rsidR="001572BC">
        <w:rPr>
          <w:rFonts w:cs="Arial"/>
          <w:b/>
        </w:rPr>
        <w:t>S</w:t>
      </w:r>
      <w:r w:rsidRPr="00C41A6C">
        <w:rPr>
          <w:rFonts w:cs="Arial"/>
          <w:b/>
        </w:rPr>
        <w:t>ervices.</w:t>
      </w:r>
    </w:p>
    <w:p w:rsidR="005E7FC0" w:rsidRPr="00DD4D47" w:rsidRDefault="005E7FC0" w:rsidP="005E7FC0">
      <w:pPr>
        <w:pStyle w:val="plain"/>
        <w:rPr>
          <w:b/>
          <w:szCs w:val="24"/>
        </w:rPr>
      </w:pPr>
    </w:p>
    <w:p w:rsidR="00DD4D47" w:rsidRDefault="00DD4D47" w:rsidP="00DD4D47">
      <w:pPr>
        <w:pStyle w:val="plain"/>
        <w:rPr>
          <w:szCs w:val="24"/>
        </w:rPr>
      </w:pPr>
      <w:r w:rsidRPr="00DD4D47">
        <w:rPr>
          <w:szCs w:val="24"/>
        </w:rPr>
        <w:t>(1</w:t>
      </w:r>
      <w:r>
        <w:rPr>
          <w:szCs w:val="24"/>
        </w:rPr>
        <w:t>)</w:t>
      </w:r>
      <w:r>
        <w:rPr>
          <w:szCs w:val="24"/>
        </w:rPr>
        <w:tab/>
      </w:r>
      <w:r w:rsidR="005E7FC0" w:rsidRPr="00DD4D47">
        <w:rPr>
          <w:szCs w:val="24"/>
        </w:rPr>
        <w:t>This rule applies to any telecommunications company that ceases the provision of any telecommunications service in all or any portion of the state (exiting telecommunications company). This rule does not apply to:</w:t>
      </w:r>
    </w:p>
    <w:p w:rsidR="00DD4D47" w:rsidRDefault="00DD4D47" w:rsidP="00DD4D47">
      <w:pPr>
        <w:pStyle w:val="plain"/>
        <w:rPr>
          <w:szCs w:val="24"/>
        </w:rPr>
      </w:pPr>
    </w:p>
    <w:p w:rsidR="00DD4D47" w:rsidRDefault="00DD4D47" w:rsidP="00C2145C">
      <w:pPr>
        <w:pStyle w:val="plain"/>
        <w:ind w:left="720" w:hanging="720"/>
        <w:rPr>
          <w:szCs w:val="24"/>
        </w:rPr>
      </w:pPr>
      <w:r>
        <w:rPr>
          <w:szCs w:val="24"/>
        </w:rPr>
        <w:tab/>
        <w:t>(a)</w:t>
      </w:r>
      <w:r>
        <w:rPr>
          <w:szCs w:val="24"/>
        </w:rPr>
        <w:tab/>
      </w:r>
      <w:r w:rsidR="005E7FC0" w:rsidRPr="00DD4D47">
        <w:rPr>
          <w:szCs w:val="24"/>
        </w:rPr>
        <w:t xml:space="preserve">Services offered by tariff that are subject to the statutory notice requirements of RCW </w:t>
      </w:r>
      <w:hyperlink r:id="rId11" w:history="1">
        <w:r w:rsidR="005E7FC0" w:rsidRPr="00DD4D47">
          <w:rPr>
            <w:rStyle w:val="Hyperlink"/>
            <w:szCs w:val="24"/>
          </w:rPr>
          <w:t>80.36.110</w:t>
        </w:r>
      </w:hyperlink>
      <w:r w:rsidR="005E7FC0" w:rsidRPr="00DD4D47">
        <w:rPr>
          <w:szCs w:val="24"/>
        </w:rPr>
        <w:t xml:space="preserve"> (Tariff Changes – Statutory Notice – Exception);</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(b)</w:t>
      </w:r>
      <w:r>
        <w:rPr>
          <w:szCs w:val="24"/>
        </w:rPr>
        <w:tab/>
      </w:r>
      <w:r w:rsidR="005E7FC0" w:rsidRPr="00DD4D47">
        <w:rPr>
          <w:szCs w:val="24"/>
        </w:rPr>
        <w:t xml:space="preserve">Discontinuance of service to an individual customer in compliance with WAC </w:t>
      </w:r>
      <w:hyperlink r:id="rId12" w:history="1">
        <w:r w:rsidR="005E7FC0" w:rsidRPr="00DD4D47">
          <w:rPr>
            <w:rStyle w:val="Hyperlink"/>
            <w:szCs w:val="24"/>
          </w:rPr>
          <w:t>480-120-172</w:t>
        </w:r>
      </w:hyperlink>
      <w:r w:rsidR="005E7FC0" w:rsidRPr="00DD4D47">
        <w:rPr>
          <w:szCs w:val="24"/>
        </w:rPr>
        <w:t xml:space="preserve"> (Discontinuing service -- Company initiated); </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(c)</w:t>
      </w:r>
      <w:r>
        <w:rPr>
          <w:szCs w:val="24"/>
        </w:rPr>
        <w:tab/>
      </w:r>
      <w:r w:rsidR="005E7FC0" w:rsidRPr="00DD4D47">
        <w:rPr>
          <w:szCs w:val="24"/>
        </w:rPr>
        <w:t>Cessation of a service when the provider replaces the terminated service with comparable service without interruption. For example, the notice requirements of this rule do not apply when a local exchange carrier (LEC) providing Centrex-type service with one group of features replaces that service, without interruption, with a version of Centrex-type service that has a different group of features; and</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(d)</w:t>
      </w:r>
      <w:r>
        <w:rPr>
          <w:szCs w:val="24"/>
        </w:rPr>
        <w:tab/>
      </w:r>
      <w:r w:rsidR="005E7FC0" w:rsidRPr="00DD4D47">
        <w:rPr>
          <w:szCs w:val="24"/>
        </w:rPr>
        <w:t>A service being discontinued that has no subscribers.</w:t>
      </w:r>
    </w:p>
    <w:p w:rsidR="00DD4D47" w:rsidRDefault="00DD4D47" w:rsidP="00DD4D47">
      <w:pPr>
        <w:pStyle w:val="plain"/>
        <w:rPr>
          <w:szCs w:val="24"/>
        </w:rPr>
      </w:pPr>
    </w:p>
    <w:p w:rsidR="00DD4D47" w:rsidRDefault="005E7FC0" w:rsidP="00DD4D47">
      <w:pPr>
        <w:pStyle w:val="plain"/>
        <w:rPr>
          <w:szCs w:val="24"/>
        </w:rPr>
      </w:pPr>
      <w:r w:rsidRPr="00DD4D47">
        <w:rPr>
          <w:szCs w:val="24"/>
        </w:rPr>
        <w:t xml:space="preserve">Changes in customers' service providers for local exchange and intrastate toll services when there is a cessation of service are also subject to WAC </w:t>
      </w:r>
      <w:hyperlink r:id="rId13" w:history="1">
        <w:r w:rsidRPr="00DD4D47">
          <w:rPr>
            <w:rStyle w:val="Hyperlink"/>
            <w:szCs w:val="24"/>
          </w:rPr>
          <w:t>480-120-147</w:t>
        </w:r>
      </w:hyperlink>
      <w:r w:rsidRPr="00DD4D47">
        <w:rPr>
          <w:szCs w:val="24"/>
        </w:rPr>
        <w:t xml:space="preserve"> (Changes in local exchange and intrastate toll services).</w:t>
      </w:r>
    </w:p>
    <w:p w:rsidR="00DD4D47" w:rsidRDefault="00DD4D47" w:rsidP="00DD4D47">
      <w:pPr>
        <w:pStyle w:val="plain"/>
        <w:rPr>
          <w:szCs w:val="24"/>
        </w:rPr>
      </w:pPr>
    </w:p>
    <w:p w:rsidR="00DD4D47" w:rsidRDefault="00DD4D47" w:rsidP="00DD4D47">
      <w:pPr>
        <w:pStyle w:val="plain"/>
        <w:rPr>
          <w:szCs w:val="24"/>
        </w:rPr>
      </w:pPr>
      <w:r>
        <w:rPr>
          <w:szCs w:val="24"/>
        </w:rPr>
        <w:t>(2)</w:t>
      </w:r>
      <w:r>
        <w:rPr>
          <w:szCs w:val="24"/>
        </w:rPr>
        <w:tab/>
      </w:r>
      <w:r w:rsidR="005E7FC0" w:rsidRPr="00DD4D47">
        <w:rPr>
          <w:szCs w:val="24"/>
        </w:rPr>
        <w:t>No telecommunications company may cease the provision of any telecommunications service in all or any portion of the state unless it first provides written notice to the following persons at least 30 days in advance of cessation of service:</w:t>
      </w:r>
    </w:p>
    <w:p w:rsidR="00DD4D47" w:rsidRDefault="00DD4D47" w:rsidP="00DD4D47">
      <w:pPr>
        <w:pStyle w:val="plain"/>
        <w:rPr>
          <w:szCs w:val="24"/>
        </w:rPr>
      </w:pPr>
    </w:p>
    <w:p w:rsidR="00DD4D47" w:rsidRDefault="00DD4D47" w:rsidP="00DD4D47">
      <w:pPr>
        <w:pStyle w:val="plain"/>
        <w:rPr>
          <w:szCs w:val="24"/>
        </w:rPr>
      </w:pPr>
      <w:r>
        <w:rPr>
          <w:szCs w:val="24"/>
        </w:rPr>
        <w:tab/>
        <w:t>(a)</w:t>
      </w:r>
      <w:r>
        <w:rPr>
          <w:szCs w:val="24"/>
        </w:rPr>
        <w:tab/>
      </w:r>
      <w:r w:rsidR="005E7FC0" w:rsidRPr="00DD4D47">
        <w:rPr>
          <w:szCs w:val="24"/>
        </w:rPr>
        <w:t>The commission;</w:t>
      </w:r>
    </w:p>
    <w:p w:rsidR="00DD4D47" w:rsidRDefault="00DD4D47" w:rsidP="00DD4D47">
      <w:pPr>
        <w:pStyle w:val="plain"/>
        <w:rPr>
          <w:szCs w:val="24"/>
        </w:rPr>
      </w:pPr>
    </w:p>
    <w:p w:rsidR="00DD4D47" w:rsidRDefault="00DD4D47" w:rsidP="00C2145C">
      <w:pPr>
        <w:pStyle w:val="plain"/>
        <w:ind w:left="720" w:hanging="720"/>
        <w:rPr>
          <w:szCs w:val="24"/>
        </w:rPr>
      </w:pPr>
      <w:r>
        <w:rPr>
          <w:szCs w:val="24"/>
        </w:rPr>
        <w:tab/>
        <w:t>(b)</w:t>
      </w:r>
      <w:r>
        <w:rPr>
          <w:szCs w:val="24"/>
        </w:rPr>
        <w:tab/>
      </w:r>
      <w:r w:rsidR="005E7FC0" w:rsidRPr="00DD4D47">
        <w:rPr>
          <w:szCs w:val="24"/>
        </w:rPr>
        <w:t>The state 911 program, in the instance of local exchange service, private branch exchange service (PBX), Centrex-type service, or private line service used in the provision of emergency services related to the state 911 program;</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(c)</w:t>
      </w:r>
      <w:r>
        <w:rPr>
          <w:szCs w:val="24"/>
        </w:rPr>
        <w:tab/>
      </w:r>
      <w:r w:rsidR="005E7FC0" w:rsidRPr="00DD4D47">
        <w:rPr>
          <w:szCs w:val="24"/>
        </w:rPr>
        <w:t>Each of its customers, including customers that are telecommunications companies;</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(d)</w:t>
      </w:r>
      <w:r>
        <w:rPr>
          <w:szCs w:val="24"/>
        </w:rPr>
        <w:tab/>
      </w:r>
      <w:r w:rsidR="005E7FC0" w:rsidRPr="00DD4D47">
        <w:rPr>
          <w:szCs w:val="24"/>
        </w:rPr>
        <w:t xml:space="preserve">Incumbent local exchange carriers (ILECs) providing the exiting telecommunications company with unbundled network elements (UNEs) pursuant to the Telecommunications Act of 1996, 47 U.S.C. Section 151 </w:t>
      </w:r>
      <w:r w:rsidR="005E7FC0" w:rsidRPr="00DD4D47">
        <w:rPr>
          <w:rStyle w:val="Emphasis"/>
          <w:szCs w:val="24"/>
        </w:rPr>
        <w:t>et seq</w:t>
      </w:r>
      <w:r w:rsidR="005E7FC0" w:rsidRPr="00DD4D47">
        <w:rPr>
          <w:szCs w:val="24"/>
        </w:rPr>
        <w:t xml:space="preserve">., if UNEs or </w:t>
      </w:r>
      <w:r w:rsidR="005E7FC0" w:rsidRPr="00DD4D47">
        <w:rPr>
          <w:szCs w:val="24"/>
        </w:rPr>
        <w:lastRenderedPageBreak/>
        <w:t>combinations of UNEs are part of a telecommunications service provided to some or all of the exiting telecommunications company's customers;</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(e)</w:t>
      </w:r>
      <w:r>
        <w:rPr>
          <w:szCs w:val="24"/>
        </w:rPr>
        <w:tab/>
      </w:r>
      <w:r w:rsidR="005E7FC0" w:rsidRPr="00DD4D47">
        <w:rPr>
          <w:szCs w:val="24"/>
        </w:rPr>
        <w:t>Each telecommunications company providing the exiting telecommunications company with resold telecommunications service, if resold service is part of a telecommunications service provided to some or all of the exiting telecommunications company's customers;</w:t>
      </w:r>
    </w:p>
    <w:p w:rsidR="00DD4D47" w:rsidRDefault="00DD4D47" w:rsidP="00C2145C">
      <w:pPr>
        <w:pStyle w:val="plain"/>
        <w:ind w:left="720" w:hanging="720"/>
        <w:rPr>
          <w:szCs w:val="24"/>
        </w:rPr>
      </w:pPr>
    </w:p>
    <w:p w:rsidR="00C2145C" w:rsidRDefault="00DD4D47" w:rsidP="00C2145C">
      <w:pPr>
        <w:pStyle w:val="plain"/>
        <w:ind w:left="720" w:hanging="720"/>
        <w:rPr>
          <w:szCs w:val="24"/>
        </w:rPr>
      </w:pPr>
      <w:r>
        <w:rPr>
          <w:szCs w:val="24"/>
        </w:rPr>
        <w:tab/>
      </w:r>
      <w:r w:rsidR="00C2145C">
        <w:rPr>
          <w:szCs w:val="24"/>
        </w:rPr>
        <w:t>(f)</w:t>
      </w:r>
      <w:r w:rsidR="00C2145C">
        <w:rPr>
          <w:szCs w:val="24"/>
        </w:rPr>
        <w:tab/>
      </w:r>
      <w:r w:rsidR="005E7FC0" w:rsidRPr="00DD4D47">
        <w:rPr>
          <w:szCs w:val="24"/>
        </w:rPr>
        <w:t>The national number administrator authorizing the release of all assigned telephone numbers to other telecommunications companies and releasing all unassigned telephone numbers to the number administrator.</w:t>
      </w:r>
    </w:p>
    <w:p w:rsidR="00C2145C" w:rsidRDefault="00C2145C" w:rsidP="00DD4D47">
      <w:pPr>
        <w:pStyle w:val="plain"/>
        <w:rPr>
          <w:szCs w:val="24"/>
        </w:rPr>
      </w:pPr>
    </w:p>
    <w:p w:rsidR="00C2145C" w:rsidRDefault="001572BC" w:rsidP="00DD4D47">
      <w:pPr>
        <w:pStyle w:val="plain"/>
        <w:rPr>
          <w:szCs w:val="24"/>
        </w:rPr>
      </w:pPr>
      <w:r>
        <w:rPr>
          <w:szCs w:val="24"/>
        </w:rPr>
        <w:t>(3)</w:t>
      </w:r>
      <w:r>
        <w:rPr>
          <w:szCs w:val="24"/>
        </w:rPr>
        <w:tab/>
      </w:r>
      <w:r w:rsidR="005E7FC0" w:rsidRPr="00DD4D47">
        <w:rPr>
          <w:szCs w:val="24"/>
        </w:rPr>
        <w:t>The notice to the commission and the state 911 program required in subsections (2</w:t>
      </w:r>
      <w:proofErr w:type="gramStart"/>
      <w:r w:rsidR="005E7FC0" w:rsidRPr="00DD4D47">
        <w:rPr>
          <w:szCs w:val="24"/>
        </w:rPr>
        <w:t>)(</w:t>
      </w:r>
      <w:proofErr w:type="gramEnd"/>
      <w:r w:rsidR="005E7FC0" w:rsidRPr="00DD4D47">
        <w:rPr>
          <w:szCs w:val="24"/>
        </w:rPr>
        <w:t xml:space="preserve">a) and (b) must include: </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 xml:space="preserve">The name of the exiting telecommunications company; </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For each category of service, the date each telecommunications service will cease;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The number of customers for each telecommunications service and their location, described by exchange or by city and county for each telecommunications service being ceased.</w:t>
      </w:r>
    </w:p>
    <w:p w:rsidR="00C2145C" w:rsidRDefault="00C2145C" w:rsidP="00DD4D47">
      <w:pPr>
        <w:pStyle w:val="plain"/>
        <w:rPr>
          <w:szCs w:val="24"/>
        </w:rPr>
      </w:pPr>
    </w:p>
    <w:p w:rsidR="00C2145C" w:rsidRDefault="00C2145C" w:rsidP="00DD4D47">
      <w:pPr>
        <w:pStyle w:val="plain"/>
        <w:rPr>
          <w:szCs w:val="24"/>
        </w:rPr>
      </w:pPr>
      <w:r>
        <w:rPr>
          <w:szCs w:val="24"/>
        </w:rPr>
        <w:t>(4)</w:t>
      </w:r>
      <w:r>
        <w:rPr>
          <w:szCs w:val="24"/>
        </w:rPr>
        <w:tab/>
      </w:r>
      <w:r w:rsidR="005E7FC0" w:rsidRPr="00DD4D47">
        <w:rPr>
          <w:szCs w:val="24"/>
        </w:rPr>
        <w:t>The notice to customers required in subsection (2)(c)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Information on how to contact the exiting telecommunications company by telephone in order to obtain information needed to establish service with another provider;</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An explanation of how customers may receive a refund on any unused service. The exiting telecommunications company must provide information to consumers via its customer service number outlining the procedure for obtaining refunds and continue to provide this information for sixty days after the date of cessation of service.</w:t>
      </w:r>
    </w:p>
    <w:p w:rsidR="00C2145C" w:rsidRDefault="00C2145C" w:rsidP="00DD4D47">
      <w:pPr>
        <w:pStyle w:val="plain"/>
        <w:rPr>
          <w:szCs w:val="24"/>
        </w:rPr>
      </w:pPr>
    </w:p>
    <w:p w:rsidR="00C2145C" w:rsidRDefault="00C2145C" w:rsidP="00DD4D47">
      <w:pPr>
        <w:pStyle w:val="plain"/>
        <w:rPr>
          <w:szCs w:val="24"/>
        </w:rPr>
      </w:pPr>
      <w:r>
        <w:rPr>
          <w:szCs w:val="24"/>
        </w:rPr>
        <w:tab/>
        <w:t>(d)</w:t>
      </w:r>
      <w:r>
        <w:rPr>
          <w:szCs w:val="24"/>
        </w:rPr>
        <w:tab/>
      </w:r>
      <w:r w:rsidR="005E7FC0" w:rsidRPr="00DD4D47">
        <w:rPr>
          <w:szCs w:val="24"/>
        </w:rPr>
        <w:t>A second notice provided by one of the two options listed below:</w:t>
      </w:r>
    </w:p>
    <w:p w:rsidR="00C2145C" w:rsidRDefault="00C2145C" w:rsidP="00DD4D47">
      <w:pPr>
        <w:pStyle w:val="plain"/>
        <w:rPr>
          <w:szCs w:val="24"/>
        </w:rPr>
      </w:pPr>
    </w:p>
    <w:p w:rsidR="00C2145C" w:rsidRDefault="00C2145C" w:rsidP="00C2145C">
      <w:pPr>
        <w:pStyle w:val="plain"/>
        <w:tabs>
          <w:tab w:val="left" w:pos="720"/>
        </w:tabs>
        <w:ind w:left="1440" w:hanging="1440"/>
        <w:rPr>
          <w:szCs w:val="24"/>
        </w:rPr>
      </w:pPr>
      <w:r>
        <w:rPr>
          <w:szCs w:val="24"/>
        </w:rPr>
        <w:tab/>
      </w:r>
      <w:r>
        <w:rPr>
          <w:szCs w:val="24"/>
        </w:rPr>
        <w:tab/>
        <w:t>(i)</w:t>
      </w:r>
      <w:r>
        <w:rPr>
          <w:szCs w:val="24"/>
        </w:rPr>
        <w:tab/>
      </w:r>
      <w:r w:rsidR="005E7FC0" w:rsidRPr="00DD4D47">
        <w:rPr>
          <w:szCs w:val="24"/>
        </w:rPr>
        <w:t xml:space="preserve">Between ten and thirty days before cessation of service, the exiting telecommunications company must complete one direct call advising every customer of the cessation of service, including the date of cessation of service and a number to call for more information, if necessary. A direct call means a call in which the company leaves a recorded voice message for or speaks directly to the responsible party or its agent on the billing account; or </w:t>
      </w:r>
    </w:p>
    <w:p w:rsidR="00C2145C" w:rsidRDefault="00C2145C" w:rsidP="00C2145C">
      <w:pPr>
        <w:pStyle w:val="plain"/>
        <w:tabs>
          <w:tab w:val="left" w:pos="720"/>
        </w:tabs>
        <w:ind w:left="1440" w:hanging="1440"/>
        <w:rPr>
          <w:szCs w:val="24"/>
        </w:rPr>
      </w:pPr>
    </w:p>
    <w:p w:rsidR="00C2145C" w:rsidRDefault="00C2145C" w:rsidP="00C2145C">
      <w:pPr>
        <w:pStyle w:val="plain"/>
        <w:tabs>
          <w:tab w:val="left" w:pos="720"/>
        </w:tabs>
        <w:ind w:left="1440" w:hanging="1440"/>
        <w:rPr>
          <w:szCs w:val="24"/>
        </w:rPr>
      </w:pPr>
      <w:r>
        <w:rPr>
          <w:szCs w:val="24"/>
        </w:rPr>
        <w:tab/>
      </w:r>
      <w:r>
        <w:rPr>
          <w:szCs w:val="24"/>
        </w:rPr>
        <w:tab/>
        <w:t>(ii)</w:t>
      </w:r>
      <w:r>
        <w:rPr>
          <w:szCs w:val="24"/>
        </w:rPr>
        <w:tab/>
      </w:r>
      <w:r w:rsidR="005E7FC0" w:rsidRPr="00DD4D47">
        <w:rPr>
          <w:szCs w:val="24"/>
        </w:rPr>
        <w:t>At least ten days before cessation of service, the exiting telecommunications company must provide a second written notice of cessation of service including the date of cessation of service and a number to call for more information, if necessary;</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(e)</w:t>
      </w:r>
      <w:r>
        <w:rPr>
          <w:szCs w:val="24"/>
        </w:rPr>
        <w:tab/>
      </w:r>
      <w:r w:rsidR="005E7FC0" w:rsidRPr="00DD4D47">
        <w:rPr>
          <w:szCs w:val="24"/>
        </w:rPr>
        <w:t>A company may seek the commission's assistance in drafting the customer notices.</w:t>
      </w:r>
    </w:p>
    <w:p w:rsidR="00C2145C" w:rsidRDefault="00C2145C" w:rsidP="00DD4D47">
      <w:pPr>
        <w:pStyle w:val="plain"/>
        <w:rPr>
          <w:szCs w:val="24"/>
        </w:rPr>
      </w:pPr>
    </w:p>
    <w:p w:rsidR="00C2145C" w:rsidRDefault="00C2145C" w:rsidP="00DD4D47">
      <w:pPr>
        <w:pStyle w:val="plain"/>
        <w:rPr>
          <w:szCs w:val="24"/>
        </w:rPr>
      </w:pPr>
      <w:r>
        <w:rPr>
          <w:szCs w:val="24"/>
        </w:rPr>
        <w:t>(5)</w:t>
      </w:r>
      <w:r>
        <w:rPr>
          <w:szCs w:val="24"/>
        </w:rPr>
        <w:tab/>
      </w:r>
      <w:r w:rsidR="005E7FC0" w:rsidRPr="00DD4D47">
        <w:rPr>
          <w:szCs w:val="24"/>
        </w:rPr>
        <w:t>The notice to ILECs required in subsection (2)(d)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UNE components in relationship to the service information provided to the customer when such information differs from the ILEC's identification information as billed to the exiting telecommunications company. For example, if the ILEC identifies a UNE loop with a circuit identification number, the exiting telecommunications company must provide the ILEC with the customer telephone number assigned to the ILEC's UNE loop circuit identification number;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The telephone contact information to enable the ILEC or new provider to obtain UNE service and circuit identification information needed to establish service for a customer who will no longer receive service from the exiting telecommunications company.</w:t>
      </w:r>
    </w:p>
    <w:p w:rsidR="00C2145C" w:rsidRDefault="00C2145C" w:rsidP="00DD4D47">
      <w:pPr>
        <w:pStyle w:val="plain"/>
        <w:rPr>
          <w:szCs w:val="24"/>
        </w:rPr>
      </w:pPr>
    </w:p>
    <w:p w:rsidR="00C2145C" w:rsidRDefault="00C2145C" w:rsidP="00DD4D47">
      <w:pPr>
        <w:pStyle w:val="plain"/>
        <w:rPr>
          <w:szCs w:val="24"/>
        </w:rPr>
      </w:pPr>
      <w:r>
        <w:rPr>
          <w:szCs w:val="24"/>
        </w:rPr>
        <w:t>(6)</w:t>
      </w:r>
      <w:r>
        <w:rPr>
          <w:szCs w:val="24"/>
        </w:rPr>
        <w:tab/>
      </w:r>
      <w:r w:rsidR="005E7FC0" w:rsidRPr="00DD4D47">
        <w:rPr>
          <w:szCs w:val="24"/>
        </w:rPr>
        <w:t>The notice to suppliers required in subsection (2)(e)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resold service element components in relationship to the service information provided to the customer, when such information differs from the supplier's identification information as billed to the exiting telecommunications company;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Telephone contact information to enable the regulated supplier or new provider to obtain underlying service and circuit identification information needed to establish comparable replacement service for a customer who will no longer receive service from the exiting telecommunications company.</w:t>
      </w:r>
    </w:p>
    <w:p w:rsidR="00C2145C" w:rsidRDefault="00C2145C" w:rsidP="00DD4D47">
      <w:pPr>
        <w:pStyle w:val="plain"/>
        <w:rPr>
          <w:szCs w:val="24"/>
        </w:rPr>
      </w:pPr>
    </w:p>
    <w:p w:rsidR="00C2145C" w:rsidRDefault="00C2145C" w:rsidP="00DD4D47">
      <w:pPr>
        <w:pStyle w:val="plain"/>
        <w:rPr>
          <w:szCs w:val="24"/>
        </w:rPr>
      </w:pPr>
      <w:r>
        <w:rPr>
          <w:szCs w:val="24"/>
        </w:rPr>
        <w:t>(7)</w:t>
      </w:r>
      <w:r>
        <w:rPr>
          <w:szCs w:val="24"/>
        </w:rPr>
        <w:tab/>
      </w:r>
      <w:r w:rsidR="005E7FC0" w:rsidRPr="00DD4D47">
        <w:rPr>
          <w:szCs w:val="24"/>
        </w:rPr>
        <w:t>The notice to the national number administrator required in subsection (2)(f)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 xml:space="preserve">Identification of all working telephone numbers assigned to customers; </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 xml:space="preserve">Identification of all unassigned or administrative numbers available for reassignment to other providers and the date such unassigned telephone numbers will be available for reassignment; and </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r>
      <w:r w:rsidR="005E7FC0" w:rsidRPr="00DD4D47">
        <w:rPr>
          <w:szCs w:val="24"/>
        </w:rPr>
        <w:t>(c</w:t>
      </w:r>
      <w:r>
        <w:rPr>
          <w:szCs w:val="24"/>
        </w:rPr>
        <w:t>)</w:t>
      </w:r>
      <w:r>
        <w:rPr>
          <w:szCs w:val="24"/>
        </w:rPr>
        <w:tab/>
      </w:r>
      <w:r w:rsidR="005E7FC0" w:rsidRPr="00DD4D47">
        <w:rPr>
          <w:szCs w:val="24"/>
        </w:rPr>
        <w:t>Authorization of the release of each individual assigned customer's telephone number(s) to subsequent providers selected by the customer.</w:t>
      </w:r>
    </w:p>
    <w:p w:rsidR="00C2145C" w:rsidRDefault="00C2145C" w:rsidP="00DD4D47">
      <w:pPr>
        <w:pStyle w:val="plain"/>
        <w:rPr>
          <w:szCs w:val="24"/>
        </w:rPr>
      </w:pPr>
    </w:p>
    <w:p w:rsidR="00C2145C" w:rsidRDefault="00C2145C" w:rsidP="00DD4D47">
      <w:pPr>
        <w:pStyle w:val="plain"/>
        <w:rPr>
          <w:szCs w:val="24"/>
        </w:rPr>
      </w:pPr>
      <w:r>
        <w:rPr>
          <w:szCs w:val="24"/>
        </w:rPr>
        <w:t>(8)</w:t>
      </w:r>
      <w:r>
        <w:rPr>
          <w:szCs w:val="24"/>
        </w:rPr>
        <w:tab/>
      </w:r>
      <w:r w:rsidR="005E7FC0" w:rsidRPr="00DD4D47">
        <w:rPr>
          <w:szCs w:val="24"/>
        </w:rPr>
        <w:t>ILECs and telecommunications companies that are suppliers under subsection (6) must provide the information in the required notice(s) (if received) to the subsequent provider upon a request authorized by the customer.</w:t>
      </w:r>
    </w:p>
    <w:p w:rsidR="00C2145C" w:rsidRDefault="00C2145C" w:rsidP="00DD4D47">
      <w:pPr>
        <w:pStyle w:val="plain"/>
        <w:rPr>
          <w:szCs w:val="24"/>
        </w:rPr>
      </w:pPr>
    </w:p>
    <w:p w:rsidR="00C2145C" w:rsidRDefault="00C2145C" w:rsidP="00DD4D47">
      <w:pPr>
        <w:pStyle w:val="plain"/>
        <w:rPr>
          <w:szCs w:val="24"/>
        </w:rPr>
      </w:pPr>
      <w:r>
        <w:rPr>
          <w:szCs w:val="24"/>
        </w:rPr>
        <w:t>(9)</w:t>
      </w:r>
      <w:r>
        <w:rPr>
          <w:szCs w:val="24"/>
        </w:rPr>
        <w:tab/>
      </w:r>
      <w:r w:rsidR="005E7FC0" w:rsidRPr="00DD4D47">
        <w:rPr>
          <w:szCs w:val="24"/>
        </w:rPr>
        <w:t>A telecommunications company ceasing a local exchange service, a PBX service, a Centrex-type service, or a private line service used in the provision of emergency services related to the state 911 program must inform the commission and the state 911 program within twenty-four hours of the cessation of telecommunications service of the number of customers and their location, listed by exchange or by city and county, that remained as customers for the telecommunications service when service ceased.</w:t>
      </w:r>
    </w:p>
    <w:p w:rsidR="00C2145C" w:rsidRDefault="00C2145C" w:rsidP="00DD4D47">
      <w:pPr>
        <w:pStyle w:val="plain"/>
        <w:rPr>
          <w:szCs w:val="24"/>
        </w:rPr>
      </w:pPr>
    </w:p>
    <w:p w:rsidR="00DD4D47" w:rsidRPr="00DD4D47" w:rsidRDefault="00DD4D47">
      <w:pPr>
        <w:rPr>
          <w:szCs w:val="24"/>
        </w:rPr>
      </w:pPr>
    </w:p>
    <w:sectPr w:rsidR="00DD4D47" w:rsidRPr="00DD4D47" w:rsidSect="00DD4D47">
      <w:footerReference w:type="even" r:id="rId14"/>
      <w:footerReference w:type="default" r:id="rId15"/>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B47" w:rsidRDefault="00BA4B47" w:rsidP="00DD4D47">
      <w:r>
        <w:separator/>
      </w:r>
    </w:p>
  </w:endnote>
  <w:endnote w:type="continuationSeparator" w:id="0">
    <w:p w:rsidR="00BA4B47" w:rsidRDefault="00BA4B47" w:rsidP="00DD4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2" w:rsidRDefault="00EF604B">
    <w:pPr>
      <w:pStyle w:val="Footer"/>
      <w:framePr w:wrap="around" w:vAnchor="text" w:hAnchor="margin" w:xAlign="center" w:y="1"/>
      <w:rPr>
        <w:rStyle w:val="PageNumber"/>
      </w:rPr>
    </w:pPr>
    <w:r>
      <w:rPr>
        <w:rStyle w:val="PageNumber"/>
      </w:rPr>
      <w:fldChar w:fldCharType="begin"/>
    </w:r>
    <w:r w:rsidR="00D42852">
      <w:rPr>
        <w:rStyle w:val="PageNumber"/>
      </w:rPr>
      <w:instrText xml:space="preserve">PAGE  </w:instrText>
    </w:r>
    <w:r>
      <w:rPr>
        <w:rStyle w:val="PageNumber"/>
      </w:rPr>
      <w:fldChar w:fldCharType="separate"/>
    </w:r>
    <w:r w:rsidR="00D42852">
      <w:rPr>
        <w:rStyle w:val="PageNumber"/>
        <w:noProof/>
      </w:rPr>
      <w:t>6</w:t>
    </w:r>
    <w:r>
      <w:rPr>
        <w:rStyle w:val="PageNumber"/>
      </w:rPr>
      <w:fldChar w:fldCharType="end"/>
    </w:r>
  </w:p>
  <w:p w:rsidR="00D42852" w:rsidRDefault="00D42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2" w:rsidRPr="00C2145C" w:rsidRDefault="00D42852" w:rsidP="00DD4D47">
    <w:pPr>
      <w:pStyle w:val="Footer"/>
      <w:jc w:val="right"/>
      <w:rPr>
        <w:sz w:val="22"/>
        <w:szCs w:val="22"/>
      </w:rPr>
    </w:pPr>
    <w:r w:rsidRPr="00C2145C">
      <w:rPr>
        <w:sz w:val="22"/>
        <w:szCs w:val="22"/>
      </w:rPr>
      <w:t>Attachment A</w:t>
    </w:r>
  </w:p>
  <w:p w:rsidR="00D42852" w:rsidRPr="00C2145C" w:rsidRDefault="00D42852" w:rsidP="00DD4D47">
    <w:pPr>
      <w:pStyle w:val="Footer"/>
      <w:jc w:val="right"/>
      <w:rPr>
        <w:sz w:val="22"/>
        <w:szCs w:val="22"/>
      </w:rPr>
    </w:pPr>
    <w:r w:rsidRPr="00C2145C">
      <w:rPr>
        <w:sz w:val="22"/>
        <w:szCs w:val="22"/>
      </w:rPr>
      <w:t xml:space="preserve">Page </w:t>
    </w:r>
    <w:r w:rsidR="00EF604B" w:rsidRPr="00C2145C">
      <w:rPr>
        <w:sz w:val="22"/>
        <w:szCs w:val="22"/>
      </w:rPr>
      <w:fldChar w:fldCharType="begin"/>
    </w:r>
    <w:r w:rsidRPr="00C2145C">
      <w:rPr>
        <w:sz w:val="22"/>
        <w:szCs w:val="22"/>
      </w:rPr>
      <w:instrText xml:space="preserve"> PAGE   \* MERGEFORMAT </w:instrText>
    </w:r>
    <w:r w:rsidR="00EF604B" w:rsidRPr="00C2145C">
      <w:rPr>
        <w:sz w:val="22"/>
        <w:szCs w:val="22"/>
      </w:rPr>
      <w:fldChar w:fldCharType="separate"/>
    </w:r>
    <w:r w:rsidR="001572BC">
      <w:rPr>
        <w:noProof/>
        <w:sz w:val="22"/>
        <w:szCs w:val="22"/>
      </w:rPr>
      <w:t>1</w:t>
    </w:r>
    <w:r w:rsidR="00EF604B" w:rsidRPr="00C2145C">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B47" w:rsidRDefault="00BA4B47" w:rsidP="00DD4D47">
      <w:r>
        <w:separator/>
      </w:r>
    </w:p>
  </w:footnote>
  <w:footnote w:type="continuationSeparator" w:id="0">
    <w:p w:rsidR="00BA4B47" w:rsidRDefault="00BA4B47" w:rsidP="00DD4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564EB"/>
    <w:multiLevelType w:val="hybridMultilevel"/>
    <w:tmpl w:val="A5705D96"/>
    <w:lvl w:ilvl="0" w:tplc="807C9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7FC0"/>
    <w:rsid w:val="0002798B"/>
    <w:rsid w:val="0009048B"/>
    <w:rsid w:val="0011786D"/>
    <w:rsid w:val="00152DFC"/>
    <w:rsid w:val="001572BC"/>
    <w:rsid w:val="00171534"/>
    <w:rsid w:val="00171DAE"/>
    <w:rsid w:val="001B235A"/>
    <w:rsid w:val="001C15E7"/>
    <w:rsid w:val="001E022A"/>
    <w:rsid w:val="001F2A69"/>
    <w:rsid w:val="002A7A2B"/>
    <w:rsid w:val="002C1C42"/>
    <w:rsid w:val="00313154"/>
    <w:rsid w:val="00341B70"/>
    <w:rsid w:val="00343974"/>
    <w:rsid w:val="00370A3A"/>
    <w:rsid w:val="00376976"/>
    <w:rsid w:val="003B2438"/>
    <w:rsid w:val="003E62C2"/>
    <w:rsid w:val="00441C29"/>
    <w:rsid w:val="00442496"/>
    <w:rsid w:val="004538A6"/>
    <w:rsid w:val="004901A2"/>
    <w:rsid w:val="0049470E"/>
    <w:rsid w:val="00495599"/>
    <w:rsid w:val="004A5103"/>
    <w:rsid w:val="004B4D3B"/>
    <w:rsid w:val="004E5DA4"/>
    <w:rsid w:val="00533CFF"/>
    <w:rsid w:val="00554D7D"/>
    <w:rsid w:val="005E7FC0"/>
    <w:rsid w:val="006616AE"/>
    <w:rsid w:val="00695088"/>
    <w:rsid w:val="006B5A32"/>
    <w:rsid w:val="006C4DDF"/>
    <w:rsid w:val="006F0367"/>
    <w:rsid w:val="006F10CB"/>
    <w:rsid w:val="007200B7"/>
    <w:rsid w:val="0072272A"/>
    <w:rsid w:val="00726AA5"/>
    <w:rsid w:val="007C76C3"/>
    <w:rsid w:val="007D3843"/>
    <w:rsid w:val="007F1509"/>
    <w:rsid w:val="00865F1B"/>
    <w:rsid w:val="00880C5F"/>
    <w:rsid w:val="008E1452"/>
    <w:rsid w:val="008E4DDB"/>
    <w:rsid w:val="00937BD8"/>
    <w:rsid w:val="00943BF5"/>
    <w:rsid w:val="00974BDE"/>
    <w:rsid w:val="009A5E91"/>
    <w:rsid w:val="009D60B6"/>
    <w:rsid w:val="009E40CC"/>
    <w:rsid w:val="009F45DC"/>
    <w:rsid w:val="009F7DF5"/>
    <w:rsid w:val="00A07FF5"/>
    <w:rsid w:val="00A97B81"/>
    <w:rsid w:val="00AB55D7"/>
    <w:rsid w:val="00AC4C96"/>
    <w:rsid w:val="00AC5328"/>
    <w:rsid w:val="00AD43CE"/>
    <w:rsid w:val="00AF3AD9"/>
    <w:rsid w:val="00B05CE7"/>
    <w:rsid w:val="00B10B1E"/>
    <w:rsid w:val="00B31B5A"/>
    <w:rsid w:val="00B47B0D"/>
    <w:rsid w:val="00B517DA"/>
    <w:rsid w:val="00B730E6"/>
    <w:rsid w:val="00B91ED1"/>
    <w:rsid w:val="00BA4B47"/>
    <w:rsid w:val="00BE3DDD"/>
    <w:rsid w:val="00BF4B90"/>
    <w:rsid w:val="00C1730E"/>
    <w:rsid w:val="00C2145C"/>
    <w:rsid w:val="00C26E7C"/>
    <w:rsid w:val="00C9616C"/>
    <w:rsid w:val="00C96689"/>
    <w:rsid w:val="00CB62DB"/>
    <w:rsid w:val="00CC01B6"/>
    <w:rsid w:val="00CC7402"/>
    <w:rsid w:val="00CE5564"/>
    <w:rsid w:val="00D42852"/>
    <w:rsid w:val="00D5373E"/>
    <w:rsid w:val="00D80439"/>
    <w:rsid w:val="00D94400"/>
    <w:rsid w:val="00DD4D47"/>
    <w:rsid w:val="00DE3D71"/>
    <w:rsid w:val="00E00098"/>
    <w:rsid w:val="00E35149"/>
    <w:rsid w:val="00E3682F"/>
    <w:rsid w:val="00E474EF"/>
    <w:rsid w:val="00ED15CD"/>
    <w:rsid w:val="00EF604B"/>
    <w:rsid w:val="00F468B6"/>
    <w:rsid w:val="00F513A0"/>
    <w:rsid w:val="00F57A39"/>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C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5E7FC0"/>
    <w:pPr>
      <w:spacing w:line="240" w:lineRule="atLeast"/>
    </w:pPr>
  </w:style>
  <w:style w:type="paragraph" w:styleId="Footer">
    <w:name w:val="footer"/>
    <w:basedOn w:val="Normal"/>
    <w:link w:val="FooterChar"/>
    <w:rsid w:val="005E7FC0"/>
    <w:pPr>
      <w:tabs>
        <w:tab w:val="center" w:pos="4320"/>
        <w:tab w:val="right" w:pos="8640"/>
      </w:tabs>
    </w:pPr>
  </w:style>
  <w:style w:type="character" w:customStyle="1" w:styleId="FooterChar">
    <w:name w:val="Footer Char"/>
    <w:basedOn w:val="DefaultParagraphFont"/>
    <w:link w:val="Footer"/>
    <w:rsid w:val="005E7FC0"/>
    <w:rPr>
      <w:rFonts w:eastAsia="Times New Roman" w:cs="Times New Roman"/>
      <w:szCs w:val="20"/>
    </w:rPr>
  </w:style>
  <w:style w:type="character" w:styleId="PageNumber">
    <w:name w:val="page number"/>
    <w:basedOn w:val="DefaultParagraphFont"/>
    <w:rsid w:val="005E7FC0"/>
  </w:style>
  <w:style w:type="character" w:styleId="Hyperlink">
    <w:name w:val="Hyperlink"/>
    <w:basedOn w:val="DefaultParagraphFont"/>
    <w:rsid w:val="005E7FC0"/>
    <w:rPr>
      <w:color w:val="0000FF"/>
      <w:u w:val="single"/>
    </w:rPr>
  </w:style>
  <w:style w:type="character" w:styleId="Emphasis">
    <w:name w:val="Emphasis"/>
    <w:basedOn w:val="DefaultParagraphFont"/>
    <w:uiPriority w:val="20"/>
    <w:qFormat/>
    <w:rsid w:val="005E7FC0"/>
    <w:rPr>
      <w:i/>
      <w:iCs/>
    </w:rPr>
  </w:style>
  <w:style w:type="paragraph" w:styleId="Header">
    <w:name w:val="header"/>
    <w:basedOn w:val="Normal"/>
    <w:link w:val="HeaderChar"/>
    <w:uiPriority w:val="99"/>
    <w:semiHidden/>
    <w:unhideWhenUsed/>
    <w:rsid w:val="00DD4D47"/>
    <w:pPr>
      <w:tabs>
        <w:tab w:val="center" w:pos="4680"/>
        <w:tab w:val="right" w:pos="9360"/>
      </w:tabs>
    </w:pPr>
  </w:style>
  <w:style w:type="character" w:customStyle="1" w:styleId="HeaderChar">
    <w:name w:val="Header Char"/>
    <w:basedOn w:val="DefaultParagraphFont"/>
    <w:link w:val="Header"/>
    <w:uiPriority w:val="99"/>
    <w:semiHidden/>
    <w:rsid w:val="00DD4D47"/>
    <w:rPr>
      <w:rFonts w:eastAsia="Times New Roman" w:cs="Times New Roman"/>
      <w:szCs w:val="20"/>
    </w:rPr>
  </w:style>
  <w:style w:type="paragraph" w:styleId="BalloonText">
    <w:name w:val="Balloon Text"/>
    <w:basedOn w:val="Normal"/>
    <w:link w:val="BalloonTextChar"/>
    <w:uiPriority w:val="99"/>
    <w:semiHidden/>
    <w:unhideWhenUsed/>
    <w:rsid w:val="00D42852"/>
    <w:rPr>
      <w:rFonts w:ascii="Tahoma" w:hAnsi="Tahoma" w:cs="Tahoma"/>
      <w:sz w:val="16"/>
      <w:szCs w:val="16"/>
    </w:rPr>
  </w:style>
  <w:style w:type="character" w:customStyle="1" w:styleId="BalloonTextChar">
    <w:name w:val="Balloon Text Char"/>
    <w:basedOn w:val="DefaultParagraphFont"/>
    <w:link w:val="BalloonText"/>
    <w:uiPriority w:val="99"/>
    <w:semiHidden/>
    <w:rsid w:val="00D4285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120-147"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WAC/default.aspx?cite=480-120-17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36.1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713A4D160BC047ADB1E392ABE9A8BE" ma:contentTypeVersion="104" ma:contentTypeDescription="" ma:contentTypeScope="" ma:versionID="13081af51c167d573a65eeb967df0e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30AFD45A51EE4FA86FFB91AB29AED8" ma:contentTypeVersion="24" ma:contentTypeDescription="" ma:contentTypeScope="" ma:versionID="8a66673a18c27da25f401e07c3d92ac0">
  <xsd:schema xmlns:xsd="http://www.w3.org/2001/XMLSchema" xmlns:xs="http://www.w3.org/2001/XMLSchema" xmlns:p="http://schemas.microsoft.com/office/2006/metadata/properties" xmlns:ns2="dc463f71-b30c-4ab2-9473-d307f9d35888" targetNamespace="http://schemas.microsoft.com/office/2006/metadata/properties" ma:root="true" ma:fieldsID="88e67c6e6dc9a4a746c04bd2fa79be8b"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160768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AD547B-3C6C-4023-B943-5B32A21067DF}"/>
</file>

<file path=customXml/itemProps2.xml><?xml version="1.0" encoding="utf-8"?>
<ds:datastoreItem xmlns:ds="http://schemas.openxmlformats.org/officeDocument/2006/customXml" ds:itemID="{F490FAC0-7276-46A6-8B1F-55C0C654F708}"/>
</file>

<file path=customXml/itemProps3.xml><?xml version="1.0" encoding="utf-8"?>
<ds:datastoreItem xmlns:ds="http://schemas.openxmlformats.org/officeDocument/2006/customXml" ds:itemID="{F52AF806-3EAF-46BD-A956-6E65C7F5F316}"/>
</file>

<file path=customXml/itemProps4.xml><?xml version="1.0" encoding="utf-8"?>
<ds:datastoreItem xmlns:ds="http://schemas.openxmlformats.org/officeDocument/2006/customXml" ds:itemID="{A5C1BAC8-4D85-4146-9531-F8E72F837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672892-6627-4655-9D42-DCA80B4583F5}"/>
</file>

<file path=docProps/app.xml><?xml version="1.0" encoding="utf-8"?>
<Properties xmlns="http://schemas.openxmlformats.org/officeDocument/2006/extended-properties" xmlns:vt="http://schemas.openxmlformats.org/officeDocument/2006/docPropsVTypes">
  <Template>Normal.dotm</Template>
  <TotalTime>9</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2013-07-01T15:56:00Z</cp:lastPrinted>
  <dcterms:created xsi:type="dcterms:W3CDTF">2016-05-31T16:19:00Z</dcterms:created>
  <dcterms:modified xsi:type="dcterms:W3CDTF">2016-05-31T16:19:00Z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0x0101006E56B4D1795A2E4DB2F0B01679ED314A00A4713A4D160BC047ADB1E392ABE9A8BE</vt:lpwstr>
  </property>
  <property fmtid="{D5CDD505-2E9C-101B-9397-08002B2CF9AE}" pid="3" name="_docset_NoMedatataSyncRequired">
    <vt:lpwstr>False</vt:lpwstr>
  </property>
</Properties>
</file>