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June 16, 2016</w:t>
      </w:r>
    </w:p>
    <w:p w14:paraId="67C08B75" w14:textId="77777777" w:rsidR="00DF0FAA" w:rsidRPr="000F56AC" w:rsidRDefault="00DF0FAA" w:rsidP="00DF0FAA"/>
    <w:p w14:paraId="67C08B76" w14:textId="77777777" w:rsidR="00DF0FAA" w:rsidRPr="000F56AC" w:rsidRDefault="00DF0FAA" w:rsidP="00DF0FAA"/>
    <w:p>
      <w:r>
        <w:t>Homestead Move and Estate Services LLC</w:t>
      </w:r>
    </w:p>
    <w:p>
      <w:r>
        <w:rPr>
          <w:rFonts w:eastAsiaTheme="minorHAnsi"/>
        </w:rPr>
        <w:t>6101 N. 35th St.</w:t>
        <w:cr/>
        <w:t>Tacoma, WA 98407</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160526</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THG067212</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Homestead Move and Estate Services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May 20, 2016</w:t>
      </w:r>
      <w:r>
        <w:t xml:space="preserve">, </w:t>
      </w:r>
      <w:r>
        <w:t>Homestead Move and Estate Services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Homestead Move and Estate Services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Homestead Move and Estate Services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Homestead Move and Estate Services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Homestead Move and Estate Services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Homestead Move and Estate Services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A0D239057C974CA2064DAB9EFE57C0" ma:contentTypeVersion="104" ma:contentTypeDescription="" ma:contentTypeScope="" ma:versionID="0532e1f222764c36de91e1d9bcdeae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2016-05-20T07:00:00+00:00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Homestead Move and Estate Services LLC</CaseCompanyNames>
    <DocketNumber xmlns="dc463f71-b30c-4ab2-9473-d307f9d35888">160526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47C24-0F8D-433C-8A3D-41F1DB333EB2}"/>
</file>

<file path=customXml/itemProps2.xml><?xml version="1.0" encoding="utf-8"?>
<ds:datastoreItem xmlns:ds="http://schemas.openxmlformats.org/officeDocument/2006/customXml" ds:itemID="{89B0E22E-73F5-4EA8-8119-94E7537F2425}"/>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E7845CEE-C65D-4CE6-B50B-93B6144D8807}"/>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0x0101006E56B4D1795A2E4DB2F0B01679ED314A00BFA0D239057C974CA2064DAB9EFE57C0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