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87" w:rsidRDefault="00C14996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  <w:r>
        <w:rPr>
          <w:noProof/>
        </w:rPr>
        <w:drawing>
          <wp:inline distT="0" distB="0" distL="0" distR="0" wp14:anchorId="35A599D8" wp14:editId="2D0BC358">
            <wp:extent cx="2447925" cy="30030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62" cy="309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311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63605">
                <wp:simplePos x="0" y="0"/>
                <wp:positionH relativeFrom="column">
                  <wp:posOffset>3086100</wp:posOffset>
                </wp:positionH>
                <wp:positionV relativeFrom="paragraph">
                  <wp:posOffset>390525</wp:posOffset>
                </wp:positionV>
                <wp:extent cx="3695700" cy="35242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972" w:rsidRPr="008F4219" w:rsidRDefault="00D92972" w:rsidP="00D92972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8113 W. GRANDRIDGE BLVD., KENNEWICK, WASHINGTON 99336-7166</w:t>
                            </w:r>
                          </w:p>
                          <w:p w:rsidR="00D92972" w:rsidRPr="008F4219" w:rsidRDefault="00D92972" w:rsidP="00D92972">
                            <w:pPr>
                              <w:tabs>
                                <w:tab w:val="left" w:pos="120"/>
                              </w:tabs>
                              <w:ind w:left="-720" w:firstLine="446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TELEPHONE 509-734-4500   FACSIMILE 509-737-9803</w:t>
                            </w:r>
                          </w:p>
                          <w:p w:rsidR="00D92972" w:rsidRPr="008F4219" w:rsidRDefault="00EC3A61" w:rsidP="00D92972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hyperlink r:id="rId5" w:history="1">
                              <w:r w:rsidR="00D92972" w:rsidRPr="008F4219">
                                <w:rPr>
                                  <w:rStyle w:val="Hyperlink"/>
                                  <w:rFonts w:ascii="Arial" w:hAnsi="Arial" w:cs="Arial"/>
                                  <w:iCs/>
                                  <w:spacing w:val="-4"/>
                                  <w:sz w:val="15"/>
                                  <w:szCs w:val="15"/>
                                </w:rPr>
                                <w:t>www.cngc.com</w:t>
                              </w:r>
                            </w:hyperlink>
                          </w:p>
                          <w:p w:rsidR="00D92972" w:rsidRPr="008F4219" w:rsidRDefault="00D92972" w:rsidP="00D92972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636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3pt;margin-top:30.75pt;width:291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33sgIAALE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" filled="f" stroked="f">
                <v:textbox inset=",0,,0">
                  <w:txbxContent>
                    <w:p w:rsidR="00D92972" w:rsidRPr="008F4219" w:rsidRDefault="00D92972" w:rsidP="00D92972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8113 W. GRANDRIDGE BLVD., KENNEWICK, WASHINGTON 99336-7166</w:t>
                      </w:r>
                    </w:p>
                    <w:p w:rsidR="00D92972" w:rsidRPr="008F4219" w:rsidRDefault="00D92972" w:rsidP="00D92972">
                      <w:pPr>
                        <w:tabs>
                          <w:tab w:val="left" w:pos="120"/>
                        </w:tabs>
                        <w:ind w:left="-720" w:firstLine="446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TELEPHONE 509-734-4500   FACSIMILE 509-737-9803</w:t>
                      </w:r>
                    </w:p>
                    <w:p w:rsidR="00D92972" w:rsidRPr="008F4219" w:rsidRDefault="004E7751" w:rsidP="00D92972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hyperlink r:id="rId6" w:history="1">
                        <w:r w:rsidR="00D92972" w:rsidRPr="008F4219">
                          <w:rPr>
                            <w:rStyle w:val="Hyperlink"/>
                            <w:rFonts w:ascii="Arial" w:hAnsi="Arial" w:cs="Arial"/>
                            <w:iCs/>
                            <w:spacing w:val="-4"/>
                            <w:sz w:val="15"/>
                            <w:szCs w:val="15"/>
                          </w:rPr>
                          <w:t>www.cngc.com</w:t>
                        </w:r>
                      </w:hyperlink>
                    </w:p>
                    <w:p w:rsidR="00D92972" w:rsidRPr="008F4219" w:rsidRDefault="00D92972" w:rsidP="00D92972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5E37">
        <w:rPr>
          <w:noProof/>
          <w:sz w:val="24"/>
        </w:rPr>
        <w:drawing>
          <wp:anchor distT="0" distB="274320" distL="114300" distR="114300" simplePos="0" relativeHeight="251658240" behindDoc="0" locked="0" layoutInCell="1" allowOverlap="1" wp14:anchorId="2CDC946A" wp14:editId="2536666C">
            <wp:simplePos x="0" y="0"/>
            <wp:positionH relativeFrom="column">
              <wp:posOffset>-117475</wp:posOffset>
            </wp:positionH>
            <wp:positionV relativeFrom="paragraph">
              <wp:posOffset>-26035</wp:posOffset>
            </wp:positionV>
            <wp:extent cx="2679700" cy="935355"/>
            <wp:effectExtent l="0" t="0" r="0" b="0"/>
            <wp:wrapTopAndBottom/>
            <wp:docPr id="2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354B4F" w:rsidRDefault="004E7751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  <w:r>
        <w:rPr>
          <w:sz w:val="24"/>
        </w:rPr>
        <w:t>June 29, 2016</w:t>
      </w:r>
    </w:p>
    <w:p w:rsidR="0033715C" w:rsidRDefault="0033715C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354B4F" w:rsidRDefault="00354B4F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BD4E8A" w:rsidRPr="00BD4E8A" w:rsidRDefault="00BD4E8A" w:rsidP="00BD4E8A">
      <w:pPr>
        <w:rPr>
          <w:sz w:val="24"/>
          <w:szCs w:val="24"/>
        </w:rPr>
      </w:pPr>
      <w:r w:rsidRPr="00BD4E8A">
        <w:rPr>
          <w:sz w:val="24"/>
          <w:szCs w:val="24"/>
        </w:rPr>
        <w:t>Washington Utilities &amp; Transportation Commission</w:t>
      </w:r>
    </w:p>
    <w:p w:rsidR="00BD4E8A" w:rsidRPr="00BD4E8A" w:rsidRDefault="00BD4E8A" w:rsidP="00BD4E8A">
      <w:pPr>
        <w:rPr>
          <w:sz w:val="24"/>
          <w:szCs w:val="24"/>
        </w:rPr>
      </w:pPr>
      <w:r w:rsidRPr="00BD4E8A">
        <w:rPr>
          <w:sz w:val="24"/>
          <w:szCs w:val="24"/>
        </w:rPr>
        <w:t>Mr. Steven King, Executive Director &amp; Secretary</w:t>
      </w:r>
    </w:p>
    <w:p w:rsidR="00BD4E8A" w:rsidRPr="00BD4E8A" w:rsidRDefault="00BD4E8A" w:rsidP="00BD4E8A">
      <w:pPr>
        <w:rPr>
          <w:sz w:val="24"/>
          <w:szCs w:val="24"/>
        </w:rPr>
      </w:pPr>
      <w:r w:rsidRPr="00BD4E8A">
        <w:rPr>
          <w:sz w:val="24"/>
          <w:szCs w:val="24"/>
        </w:rPr>
        <w:t>P.O. Box 47250</w:t>
      </w:r>
    </w:p>
    <w:p w:rsidR="00BD4E8A" w:rsidRPr="00BD4E8A" w:rsidRDefault="00BD4E8A" w:rsidP="00BD4E8A">
      <w:pPr>
        <w:rPr>
          <w:sz w:val="24"/>
          <w:szCs w:val="24"/>
        </w:rPr>
      </w:pPr>
      <w:r w:rsidRPr="00BD4E8A">
        <w:rPr>
          <w:sz w:val="24"/>
          <w:szCs w:val="24"/>
        </w:rPr>
        <w:t>Olympia, WA  98504-7250</w:t>
      </w:r>
    </w:p>
    <w:p w:rsidR="00697B9B" w:rsidRPr="00A84EAC" w:rsidRDefault="00697B9B" w:rsidP="00A84EAC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A84EAC" w:rsidRPr="00A84EAC" w:rsidRDefault="00A84EAC" w:rsidP="00A84EAC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6C5E37" w:rsidRPr="006C5E37" w:rsidRDefault="006C5E37" w:rsidP="006C5E37">
      <w:pPr>
        <w:rPr>
          <w:sz w:val="24"/>
          <w:szCs w:val="24"/>
        </w:rPr>
      </w:pPr>
      <w:r w:rsidRPr="006C5E37">
        <w:rPr>
          <w:sz w:val="24"/>
          <w:szCs w:val="24"/>
        </w:rPr>
        <w:t>RE:   Cascade Natural Gas Corporation 201</w:t>
      </w:r>
      <w:r w:rsidR="00EC3A61">
        <w:rPr>
          <w:sz w:val="24"/>
          <w:szCs w:val="24"/>
        </w:rPr>
        <w:t>6</w:t>
      </w:r>
      <w:bookmarkStart w:id="0" w:name="_GoBack"/>
      <w:bookmarkEnd w:id="0"/>
      <w:r w:rsidR="005623B9">
        <w:rPr>
          <w:sz w:val="24"/>
          <w:szCs w:val="24"/>
        </w:rPr>
        <w:t xml:space="preserve"> </w:t>
      </w:r>
      <w:r w:rsidRPr="006C5E37">
        <w:rPr>
          <w:sz w:val="24"/>
          <w:szCs w:val="24"/>
        </w:rPr>
        <w:t>Integrated Resource Plan</w:t>
      </w:r>
    </w:p>
    <w:p w:rsidR="00BD4E8A" w:rsidRPr="00BD4E8A" w:rsidRDefault="00BD4E8A" w:rsidP="00BD4E8A">
      <w:pPr>
        <w:rPr>
          <w:sz w:val="24"/>
          <w:szCs w:val="24"/>
        </w:rPr>
      </w:pPr>
      <w:r w:rsidRPr="00BD4E8A">
        <w:rPr>
          <w:sz w:val="24"/>
          <w:szCs w:val="24"/>
        </w:rPr>
        <w:t xml:space="preserve">(Docket </w:t>
      </w:r>
      <w:r w:rsidRPr="00BD4E8A">
        <w:rPr>
          <w:b/>
          <w:bCs/>
          <w:sz w:val="24"/>
          <w:szCs w:val="24"/>
        </w:rPr>
        <w:t>UG-1</w:t>
      </w:r>
      <w:r w:rsidR="00210928">
        <w:rPr>
          <w:b/>
          <w:bCs/>
          <w:sz w:val="24"/>
          <w:szCs w:val="24"/>
        </w:rPr>
        <w:t>60453</w:t>
      </w:r>
      <w:r w:rsidRPr="00BD4E8A">
        <w:rPr>
          <w:b/>
          <w:bCs/>
          <w:sz w:val="24"/>
          <w:szCs w:val="24"/>
        </w:rPr>
        <w:t>)</w:t>
      </w:r>
    </w:p>
    <w:p w:rsidR="00A84EAC" w:rsidRDefault="00A84EAC" w:rsidP="00A84EAC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AB3D9A" w:rsidRDefault="00AB3D9A" w:rsidP="00A84EAC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764E87" w:rsidRDefault="00BD4E8A" w:rsidP="00A84EAC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jc w:val="both"/>
        <w:rPr>
          <w:sz w:val="24"/>
        </w:rPr>
      </w:pPr>
      <w:r>
        <w:rPr>
          <w:sz w:val="24"/>
        </w:rPr>
        <w:t>Dear Mr. King:</w:t>
      </w:r>
    </w:p>
    <w:p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AB3D9A" w:rsidRDefault="00AB3D9A" w:rsidP="00AB3D9A">
      <w:pPr>
        <w:rPr>
          <w:sz w:val="24"/>
          <w:szCs w:val="24"/>
        </w:rPr>
      </w:pPr>
      <w:r w:rsidRPr="006C5E37">
        <w:rPr>
          <w:sz w:val="24"/>
          <w:szCs w:val="24"/>
        </w:rPr>
        <w:t xml:space="preserve">Subsequent to </w:t>
      </w:r>
      <w:r>
        <w:rPr>
          <w:sz w:val="24"/>
          <w:szCs w:val="24"/>
        </w:rPr>
        <w:t xml:space="preserve">recent discussions with Commission Staff in regards to </w:t>
      </w:r>
      <w:r w:rsidR="004E7751">
        <w:rPr>
          <w:sz w:val="24"/>
          <w:szCs w:val="24"/>
        </w:rPr>
        <w:t>scheduling conflicts</w:t>
      </w:r>
      <w:r>
        <w:rPr>
          <w:sz w:val="24"/>
          <w:szCs w:val="24"/>
        </w:rPr>
        <w:t xml:space="preserve">, Cascade Natural Gas Corporation respectfully requests </w:t>
      </w:r>
      <w:r w:rsidR="004E7751">
        <w:rPr>
          <w:sz w:val="24"/>
          <w:szCs w:val="24"/>
        </w:rPr>
        <w:t>a chang</w:t>
      </w:r>
      <w:r>
        <w:rPr>
          <w:sz w:val="24"/>
          <w:szCs w:val="24"/>
        </w:rPr>
        <w:t>e</w:t>
      </w:r>
      <w:r w:rsidR="004E7751">
        <w:rPr>
          <w:sz w:val="24"/>
          <w:szCs w:val="24"/>
        </w:rPr>
        <w:t xml:space="preserve"> of date for the 2</w:t>
      </w:r>
      <w:r w:rsidR="004E7751" w:rsidRPr="004E7751">
        <w:rPr>
          <w:sz w:val="24"/>
          <w:szCs w:val="24"/>
          <w:vertAlign w:val="superscript"/>
        </w:rPr>
        <w:t>nd</w:t>
      </w:r>
      <w:r w:rsidR="004E7751">
        <w:rPr>
          <w:sz w:val="24"/>
          <w:szCs w:val="24"/>
        </w:rPr>
        <w:t>, 3</w:t>
      </w:r>
      <w:r w:rsidR="004E7751" w:rsidRPr="004E7751">
        <w:rPr>
          <w:sz w:val="24"/>
          <w:szCs w:val="24"/>
          <w:vertAlign w:val="superscript"/>
        </w:rPr>
        <w:t>rd</w:t>
      </w:r>
      <w:r w:rsidR="004E7751">
        <w:rPr>
          <w:sz w:val="24"/>
          <w:szCs w:val="24"/>
        </w:rPr>
        <w:t>, and 5</w:t>
      </w:r>
      <w:r w:rsidR="004E7751" w:rsidRPr="004E7751">
        <w:rPr>
          <w:sz w:val="24"/>
          <w:szCs w:val="24"/>
          <w:vertAlign w:val="superscript"/>
        </w:rPr>
        <w:t>th</w:t>
      </w:r>
      <w:r w:rsidR="004E77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Integrated Resource Plan (IRP) </w:t>
      </w:r>
      <w:r w:rsidR="00C14996">
        <w:rPr>
          <w:sz w:val="24"/>
          <w:szCs w:val="24"/>
        </w:rPr>
        <w:t xml:space="preserve">Technical Advisory Group </w:t>
      </w:r>
      <w:r w:rsidR="004E7751">
        <w:rPr>
          <w:sz w:val="24"/>
          <w:szCs w:val="24"/>
        </w:rPr>
        <w:t>meetings</w:t>
      </w:r>
      <w:r>
        <w:rPr>
          <w:sz w:val="24"/>
          <w:szCs w:val="24"/>
        </w:rPr>
        <w:t>.</w:t>
      </w:r>
      <w:r w:rsidR="004E7751">
        <w:rPr>
          <w:sz w:val="24"/>
          <w:szCs w:val="24"/>
        </w:rPr>
        <w:t xml:space="preserve">  We have also corrected the filing date to reflect the correct date as stated in the WUTC</w:t>
      </w:r>
      <w:r w:rsidR="00C14996">
        <w:rPr>
          <w:sz w:val="24"/>
          <w:szCs w:val="24"/>
        </w:rPr>
        <w:t>’s</w:t>
      </w:r>
      <w:r w:rsidR="00C14996" w:rsidRPr="00C14996">
        <w:rPr>
          <w:sz w:val="24"/>
          <w:szCs w:val="24"/>
        </w:rPr>
        <w:t xml:space="preserve"> April 14, 2016</w:t>
      </w:r>
      <w:r w:rsidR="004E7751">
        <w:rPr>
          <w:sz w:val="24"/>
          <w:szCs w:val="24"/>
        </w:rPr>
        <w:t xml:space="preserve"> letter to Cascade regarding the 2014 IRP and Work Plan for 2016 IRP.</w:t>
      </w:r>
    </w:p>
    <w:p w:rsidR="00AB3D9A" w:rsidRDefault="00AB3D9A" w:rsidP="00AB3D9A">
      <w:pPr>
        <w:rPr>
          <w:sz w:val="24"/>
          <w:szCs w:val="24"/>
        </w:rPr>
      </w:pPr>
    </w:p>
    <w:p w:rsidR="00AB3D9A" w:rsidRPr="006C5E37" w:rsidRDefault="00AB3D9A" w:rsidP="00AB3D9A">
      <w:pPr>
        <w:rPr>
          <w:sz w:val="24"/>
          <w:szCs w:val="24"/>
        </w:rPr>
      </w:pPr>
      <w:r>
        <w:rPr>
          <w:sz w:val="24"/>
          <w:szCs w:val="24"/>
        </w:rPr>
        <w:t xml:space="preserve">Attached is the proposed work plan and schedule based on the requested </w:t>
      </w:r>
      <w:r w:rsidR="004E7751">
        <w:rPr>
          <w:sz w:val="24"/>
          <w:szCs w:val="24"/>
        </w:rPr>
        <w:t>date changes</w:t>
      </w:r>
      <w:r>
        <w:rPr>
          <w:sz w:val="24"/>
          <w:szCs w:val="24"/>
        </w:rPr>
        <w:t xml:space="preserve"> being granted.</w:t>
      </w:r>
    </w:p>
    <w:p w:rsidR="00BD4E8A" w:rsidRPr="00BD4E8A" w:rsidRDefault="00BD4E8A" w:rsidP="00BD4E8A">
      <w:pPr>
        <w:rPr>
          <w:sz w:val="24"/>
          <w:szCs w:val="24"/>
        </w:rPr>
      </w:pPr>
    </w:p>
    <w:p w:rsidR="00BC3F06" w:rsidRPr="00BC3F06" w:rsidRDefault="00BC3F06" w:rsidP="00BC3F06">
      <w:pPr>
        <w:rPr>
          <w:sz w:val="24"/>
          <w:szCs w:val="24"/>
        </w:rPr>
      </w:pPr>
      <w:r w:rsidRPr="00BC3F06">
        <w:rPr>
          <w:sz w:val="24"/>
          <w:szCs w:val="24"/>
        </w:rPr>
        <w:t xml:space="preserve">If there are any questions regarding this matter, please contact Brian Robertson at (509) 734-4546 or myself at (509) 734-4589.  Alternatively, we may be reached at </w:t>
      </w:r>
      <w:hyperlink r:id="rId8" w:history="1">
        <w:r w:rsidRPr="00BC3F06">
          <w:rPr>
            <w:rStyle w:val="Hyperlink"/>
            <w:sz w:val="24"/>
            <w:szCs w:val="24"/>
          </w:rPr>
          <w:t>brian.robertson@cngc.com</w:t>
        </w:r>
      </w:hyperlink>
      <w:r w:rsidRPr="00BC3F06">
        <w:rPr>
          <w:sz w:val="24"/>
          <w:szCs w:val="24"/>
        </w:rPr>
        <w:t xml:space="preserve"> and</w:t>
      </w:r>
      <w:proofErr w:type="gramStart"/>
      <w:r w:rsidRPr="00BC3F06">
        <w:rPr>
          <w:sz w:val="24"/>
          <w:szCs w:val="24"/>
        </w:rPr>
        <w:t xml:space="preserve">  </w:t>
      </w:r>
      <w:proofErr w:type="gramEnd"/>
      <w:hyperlink r:id="rId9" w:history="1">
        <w:r w:rsidRPr="00BC3F06">
          <w:rPr>
            <w:rStyle w:val="Hyperlink"/>
            <w:sz w:val="24"/>
            <w:szCs w:val="24"/>
          </w:rPr>
          <w:t>mark.sellers-vaughn@cngc.com</w:t>
        </w:r>
      </w:hyperlink>
      <w:r w:rsidRPr="00BC3F06">
        <w:rPr>
          <w:sz w:val="24"/>
          <w:szCs w:val="24"/>
          <w:u w:val="single"/>
        </w:rPr>
        <w:t>.</w:t>
      </w:r>
      <w:r w:rsidRPr="00BC3F06">
        <w:rPr>
          <w:sz w:val="24"/>
          <w:szCs w:val="24"/>
        </w:rPr>
        <w:t xml:space="preserve"> </w:t>
      </w:r>
    </w:p>
    <w:p w:rsidR="00A84EAC" w:rsidRDefault="00A84EAC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33715C" w:rsidRPr="0033715C" w:rsidRDefault="0033715C" w:rsidP="0033715C">
      <w:pPr>
        <w:rPr>
          <w:sz w:val="24"/>
          <w:szCs w:val="24"/>
        </w:rPr>
      </w:pPr>
      <w:r w:rsidRPr="0033715C">
        <w:rPr>
          <w:sz w:val="24"/>
          <w:szCs w:val="24"/>
        </w:rPr>
        <w:t>Sincerely,</w:t>
      </w:r>
    </w:p>
    <w:p w:rsidR="0033715C" w:rsidRPr="0033715C" w:rsidRDefault="0033715C" w:rsidP="0033715C">
      <w:pPr>
        <w:rPr>
          <w:sz w:val="24"/>
          <w:szCs w:val="24"/>
        </w:rPr>
      </w:pPr>
      <w:r w:rsidRPr="0033715C">
        <w:rPr>
          <w:sz w:val="24"/>
          <w:szCs w:val="24"/>
        </w:rPr>
        <w:t>CASCADE NATURAL GAS CORPORATION</w:t>
      </w:r>
    </w:p>
    <w:p w:rsidR="0033715C" w:rsidRPr="0033715C" w:rsidRDefault="0033715C" w:rsidP="0033715C">
      <w:pPr>
        <w:rPr>
          <w:rFonts w:ascii="Arial" w:hAnsi="Arial" w:cs="Arial"/>
          <w:sz w:val="22"/>
          <w:szCs w:val="22"/>
        </w:rPr>
      </w:pPr>
      <w:r w:rsidRPr="0033715C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750997" cy="667909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453" cy="66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15C" w:rsidRPr="0033715C" w:rsidRDefault="0033715C" w:rsidP="0033715C">
      <w:pPr>
        <w:rPr>
          <w:sz w:val="24"/>
          <w:szCs w:val="24"/>
        </w:rPr>
      </w:pPr>
      <w:r w:rsidRPr="0033715C">
        <w:rPr>
          <w:sz w:val="24"/>
          <w:szCs w:val="24"/>
        </w:rPr>
        <w:t>Mark Sellers-Vaughn</w:t>
      </w:r>
    </w:p>
    <w:p w:rsidR="0033715C" w:rsidRPr="0033715C" w:rsidRDefault="0033715C" w:rsidP="0033715C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  <w:szCs w:val="24"/>
        </w:rPr>
      </w:pPr>
      <w:r w:rsidRPr="0033715C">
        <w:rPr>
          <w:sz w:val="24"/>
          <w:szCs w:val="24"/>
        </w:rPr>
        <w:t xml:space="preserve">Manager, Supply Resource Planning </w:t>
      </w:r>
    </w:p>
    <w:p w:rsidR="0033715C" w:rsidRDefault="0033715C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  <w:r>
        <w:rPr>
          <w:sz w:val="24"/>
        </w:rPr>
        <w:t>Enclosures</w:t>
      </w:r>
    </w:p>
    <w:p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4E7751" w:rsidRDefault="004E7751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4E7751" w:rsidRDefault="004E7751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4E7751" w:rsidRDefault="004E7751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4E7751" w:rsidRDefault="004E7751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4E7751" w:rsidRDefault="004E7751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77325D" w:rsidRDefault="0077325D" w:rsidP="006C5E3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4620"/>
        <w:gridCol w:w="1742"/>
      </w:tblGrid>
      <w:tr w:rsidR="004E7751" w:rsidRPr="004E7751" w:rsidTr="004E7751">
        <w:trPr>
          <w:trHeight w:val="645"/>
        </w:trPr>
        <w:tc>
          <w:tcPr>
            <w:tcW w:w="2988" w:type="dxa"/>
            <w:hideMark/>
          </w:tcPr>
          <w:p w:rsidR="004E7751" w:rsidRPr="004E7751" w:rsidRDefault="004E7751">
            <w:r w:rsidRPr="004E7751">
              <w:t>Date</w:t>
            </w:r>
          </w:p>
        </w:tc>
        <w:tc>
          <w:tcPr>
            <w:tcW w:w="4824" w:type="dxa"/>
            <w:hideMark/>
          </w:tcPr>
          <w:p w:rsidR="004E7751" w:rsidRPr="004E7751" w:rsidRDefault="004E7751">
            <w:r w:rsidRPr="004E7751">
              <w:t>Process Element</w:t>
            </w:r>
          </w:p>
        </w:tc>
        <w:tc>
          <w:tcPr>
            <w:tcW w:w="1764" w:type="dxa"/>
            <w:hideMark/>
          </w:tcPr>
          <w:p w:rsidR="004E7751" w:rsidRPr="004E7751" w:rsidRDefault="004E7751">
            <w:r w:rsidRPr="004E7751">
              <w:t>Location (Subject to change)</w:t>
            </w:r>
          </w:p>
        </w:tc>
      </w:tr>
      <w:tr w:rsidR="004E7751" w:rsidRPr="004E7751" w:rsidTr="004E7751">
        <w:trPr>
          <w:trHeight w:val="315"/>
        </w:trPr>
        <w:tc>
          <w:tcPr>
            <w:tcW w:w="2988" w:type="dxa"/>
            <w:noWrap/>
            <w:hideMark/>
          </w:tcPr>
          <w:p w:rsidR="004E7751" w:rsidRPr="004E7751" w:rsidRDefault="004E7751">
            <w:r w:rsidRPr="004E7751">
              <w:t>Thursday, June 09, 2016</w:t>
            </w:r>
          </w:p>
        </w:tc>
        <w:tc>
          <w:tcPr>
            <w:tcW w:w="4824" w:type="dxa"/>
            <w:hideMark/>
          </w:tcPr>
          <w:p w:rsidR="004E7751" w:rsidRPr="004E7751" w:rsidRDefault="004E7751">
            <w:r w:rsidRPr="004E7751">
              <w:t xml:space="preserve">TAG 1 </w:t>
            </w:r>
            <w:r w:rsidR="00C14996" w:rsidRPr="004E7751">
              <w:t>slides</w:t>
            </w:r>
            <w:r w:rsidRPr="004E7751">
              <w:t xml:space="preserve"> distributed to stakeholders</w:t>
            </w:r>
          </w:p>
        </w:tc>
        <w:tc>
          <w:tcPr>
            <w:tcW w:w="1764" w:type="dxa"/>
            <w:hideMark/>
          </w:tcPr>
          <w:p w:rsidR="004E7751" w:rsidRPr="004E7751" w:rsidRDefault="004E7751">
            <w:r w:rsidRPr="004E7751">
              <w:t> </w:t>
            </w:r>
          </w:p>
        </w:tc>
      </w:tr>
      <w:tr w:rsidR="004E7751" w:rsidRPr="004E7751" w:rsidTr="004E7751">
        <w:trPr>
          <w:trHeight w:val="1215"/>
        </w:trPr>
        <w:tc>
          <w:tcPr>
            <w:tcW w:w="2988" w:type="dxa"/>
            <w:noWrap/>
            <w:hideMark/>
          </w:tcPr>
          <w:p w:rsidR="004E7751" w:rsidRPr="004E7751" w:rsidRDefault="004E7751">
            <w:pPr>
              <w:rPr>
                <w:b/>
                <w:bCs/>
              </w:rPr>
            </w:pPr>
            <w:r w:rsidRPr="004E7751">
              <w:rPr>
                <w:b/>
                <w:bCs/>
              </w:rPr>
              <w:t>Thursday, June 16, 2016</w:t>
            </w:r>
          </w:p>
        </w:tc>
        <w:tc>
          <w:tcPr>
            <w:tcW w:w="4824" w:type="dxa"/>
            <w:hideMark/>
          </w:tcPr>
          <w:p w:rsidR="004E7751" w:rsidRPr="004E7751" w:rsidRDefault="004E7751">
            <w:pPr>
              <w:rPr>
                <w:b/>
                <w:bCs/>
              </w:rPr>
            </w:pPr>
            <w:r w:rsidRPr="004E7751">
              <w:rPr>
                <w:b/>
                <w:bCs/>
              </w:rPr>
              <w:t xml:space="preserve">TAG 1:  Process, Key Assumptions, IRP Team, Timeline, Latest Economic Indicators, Price Forecast and Demand Forecast, Plan for dealing with issues raised in 2014 IRP </w:t>
            </w:r>
          </w:p>
        </w:tc>
        <w:tc>
          <w:tcPr>
            <w:tcW w:w="1764" w:type="dxa"/>
            <w:hideMark/>
          </w:tcPr>
          <w:p w:rsidR="004E7751" w:rsidRPr="004E7751" w:rsidRDefault="004E7751">
            <w:pPr>
              <w:rPr>
                <w:b/>
                <w:bCs/>
              </w:rPr>
            </w:pPr>
            <w:r w:rsidRPr="004E7751">
              <w:rPr>
                <w:b/>
                <w:bCs/>
              </w:rPr>
              <w:t>Seattle Airport Conference Center</w:t>
            </w:r>
          </w:p>
        </w:tc>
      </w:tr>
      <w:tr w:rsidR="004E7751" w:rsidRPr="004E7751" w:rsidTr="004E7751">
        <w:trPr>
          <w:trHeight w:val="315"/>
        </w:trPr>
        <w:tc>
          <w:tcPr>
            <w:tcW w:w="2988" w:type="dxa"/>
            <w:noWrap/>
            <w:hideMark/>
          </w:tcPr>
          <w:p w:rsidR="004E7751" w:rsidRPr="004E7751" w:rsidRDefault="004E7751">
            <w:r w:rsidRPr="004E7751">
              <w:t>Wednesday, July 13, 2016</w:t>
            </w:r>
          </w:p>
        </w:tc>
        <w:tc>
          <w:tcPr>
            <w:tcW w:w="4824" w:type="dxa"/>
            <w:hideMark/>
          </w:tcPr>
          <w:p w:rsidR="004E7751" w:rsidRPr="004E7751" w:rsidRDefault="004E7751">
            <w:r w:rsidRPr="004E7751">
              <w:t>TAG 2  slides distributed to stakeholders</w:t>
            </w:r>
          </w:p>
        </w:tc>
        <w:tc>
          <w:tcPr>
            <w:tcW w:w="1764" w:type="dxa"/>
            <w:hideMark/>
          </w:tcPr>
          <w:p w:rsidR="004E7751" w:rsidRPr="004E7751" w:rsidRDefault="004E7751">
            <w:pPr>
              <w:rPr>
                <w:i/>
                <w:iCs/>
              </w:rPr>
            </w:pPr>
            <w:r w:rsidRPr="004E7751">
              <w:rPr>
                <w:i/>
                <w:iCs/>
              </w:rPr>
              <w:t> </w:t>
            </w:r>
          </w:p>
        </w:tc>
      </w:tr>
      <w:tr w:rsidR="004E7751" w:rsidRPr="004E7751" w:rsidTr="004E7751">
        <w:trPr>
          <w:trHeight w:val="1215"/>
        </w:trPr>
        <w:tc>
          <w:tcPr>
            <w:tcW w:w="2988" w:type="dxa"/>
            <w:noWrap/>
            <w:hideMark/>
          </w:tcPr>
          <w:p w:rsidR="004E7751" w:rsidRPr="004E7751" w:rsidRDefault="004E7751">
            <w:pPr>
              <w:rPr>
                <w:b/>
                <w:bCs/>
              </w:rPr>
            </w:pPr>
            <w:r w:rsidRPr="004E7751">
              <w:rPr>
                <w:b/>
                <w:bCs/>
              </w:rPr>
              <w:t>Tuesday, July 19, 2016</w:t>
            </w:r>
          </w:p>
        </w:tc>
        <w:tc>
          <w:tcPr>
            <w:tcW w:w="4824" w:type="dxa"/>
            <w:hideMark/>
          </w:tcPr>
          <w:p w:rsidR="004E7751" w:rsidRPr="004E7751" w:rsidRDefault="004E7751">
            <w:pPr>
              <w:rPr>
                <w:b/>
                <w:bCs/>
              </w:rPr>
            </w:pPr>
            <w:r w:rsidRPr="004E7751">
              <w:rPr>
                <w:b/>
                <w:bCs/>
              </w:rPr>
              <w:t xml:space="preserve">TAG 2:   Drilling down into segments of demand forecast, Current Supply Resources, Transport Issues, Alternative Resources, Update on 2 Year Plan </w:t>
            </w:r>
          </w:p>
        </w:tc>
        <w:tc>
          <w:tcPr>
            <w:tcW w:w="1764" w:type="dxa"/>
            <w:hideMark/>
          </w:tcPr>
          <w:p w:rsidR="004E7751" w:rsidRPr="004E7751" w:rsidRDefault="004E7751">
            <w:pPr>
              <w:rPr>
                <w:b/>
                <w:bCs/>
              </w:rPr>
            </w:pPr>
            <w:r w:rsidRPr="004E7751">
              <w:rPr>
                <w:b/>
                <w:bCs/>
              </w:rPr>
              <w:t>Seattle Airport Conference Center</w:t>
            </w:r>
          </w:p>
        </w:tc>
      </w:tr>
      <w:tr w:rsidR="004E7751" w:rsidRPr="004E7751" w:rsidTr="004E7751">
        <w:trPr>
          <w:trHeight w:val="315"/>
        </w:trPr>
        <w:tc>
          <w:tcPr>
            <w:tcW w:w="2988" w:type="dxa"/>
            <w:noWrap/>
            <w:hideMark/>
          </w:tcPr>
          <w:p w:rsidR="004E7751" w:rsidRPr="004E7751" w:rsidRDefault="004E7751">
            <w:r w:rsidRPr="004E7751">
              <w:t>Wednesday, August 17, 2016</w:t>
            </w:r>
          </w:p>
        </w:tc>
        <w:tc>
          <w:tcPr>
            <w:tcW w:w="4824" w:type="dxa"/>
            <w:hideMark/>
          </w:tcPr>
          <w:p w:rsidR="004E7751" w:rsidRPr="004E7751" w:rsidRDefault="004E7751">
            <w:r w:rsidRPr="004E7751">
              <w:t>TAG 3 slides distributed to stakeholders</w:t>
            </w:r>
          </w:p>
        </w:tc>
        <w:tc>
          <w:tcPr>
            <w:tcW w:w="1764" w:type="dxa"/>
            <w:hideMark/>
          </w:tcPr>
          <w:p w:rsidR="004E7751" w:rsidRPr="004E7751" w:rsidRDefault="004E7751">
            <w:r w:rsidRPr="004E7751">
              <w:t> </w:t>
            </w:r>
          </w:p>
        </w:tc>
      </w:tr>
      <w:tr w:rsidR="004E7751" w:rsidRPr="004E7751" w:rsidTr="004E7751">
        <w:trPr>
          <w:trHeight w:val="615"/>
        </w:trPr>
        <w:tc>
          <w:tcPr>
            <w:tcW w:w="2988" w:type="dxa"/>
            <w:noWrap/>
            <w:hideMark/>
          </w:tcPr>
          <w:p w:rsidR="004E7751" w:rsidRPr="004E7751" w:rsidRDefault="004E7751">
            <w:pPr>
              <w:rPr>
                <w:b/>
                <w:bCs/>
              </w:rPr>
            </w:pPr>
            <w:r w:rsidRPr="004E7751">
              <w:rPr>
                <w:b/>
                <w:bCs/>
              </w:rPr>
              <w:t>Tuesday, August 23, 2016</w:t>
            </w:r>
          </w:p>
        </w:tc>
        <w:tc>
          <w:tcPr>
            <w:tcW w:w="4824" w:type="dxa"/>
            <w:hideMark/>
          </w:tcPr>
          <w:p w:rsidR="004E7751" w:rsidRPr="004E7751" w:rsidRDefault="004E7751">
            <w:pPr>
              <w:rPr>
                <w:b/>
                <w:bCs/>
              </w:rPr>
            </w:pPr>
            <w:r w:rsidRPr="004E7751">
              <w:rPr>
                <w:b/>
                <w:bCs/>
              </w:rPr>
              <w:t xml:space="preserve">TAG 3: Conservation, Distribution System Planning, Planned Scenarios and Sensitivities </w:t>
            </w:r>
          </w:p>
        </w:tc>
        <w:tc>
          <w:tcPr>
            <w:tcW w:w="1764" w:type="dxa"/>
            <w:hideMark/>
          </w:tcPr>
          <w:p w:rsidR="004E7751" w:rsidRPr="004E7751" w:rsidRDefault="004E7751">
            <w:pPr>
              <w:rPr>
                <w:b/>
                <w:bCs/>
              </w:rPr>
            </w:pPr>
            <w:r w:rsidRPr="004E7751">
              <w:rPr>
                <w:b/>
                <w:bCs/>
              </w:rPr>
              <w:t>Cascade Headquarters in Kennewick, WA</w:t>
            </w:r>
          </w:p>
        </w:tc>
      </w:tr>
      <w:tr w:rsidR="004E7751" w:rsidRPr="004E7751" w:rsidTr="004E7751">
        <w:trPr>
          <w:trHeight w:val="315"/>
        </w:trPr>
        <w:tc>
          <w:tcPr>
            <w:tcW w:w="2988" w:type="dxa"/>
            <w:noWrap/>
            <w:hideMark/>
          </w:tcPr>
          <w:p w:rsidR="004E7751" w:rsidRPr="004E7751" w:rsidRDefault="004E7751">
            <w:r w:rsidRPr="004E7751">
              <w:t>Thursday, September 08, 2016</w:t>
            </w:r>
          </w:p>
        </w:tc>
        <w:tc>
          <w:tcPr>
            <w:tcW w:w="4824" w:type="dxa"/>
            <w:hideMark/>
          </w:tcPr>
          <w:p w:rsidR="004E7751" w:rsidRPr="004E7751" w:rsidRDefault="004E7751">
            <w:r w:rsidRPr="004E7751">
              <w:t>TAG 4 slides distributed to stakeholders</w:t>
            </w:r>
          </w:p>
        </w:tc>
        <w:tc>
          <w:tcPr>
            <w:tcW w:w="1764" w:type="dxa"/>
            <w:hideMark/>
          </w:tcPr>
          <w:p w:rsidR="004E7751" w:rsidRPr="004E7751" w:rsidRDefault="004E7751">
            <w:r w:rsidRPr="004E7751">
              <w:t> </w:t>
            </w:r>
          </w:p>
        </w:tc>
      </w:tr>
      <w:tr w:rsidR="004E7751" w:rsidRPr="004E7751" w:rsidTr="004E7751">
        <w:trPr>
          <w:trHeight w:val="915"/>
        </w:trPr>
        <w:tc>
          <w:tcPr>
            <w:tcW w:w="2988" w:type="dxa"/>
            <w:noWrap/>
            <w:hideMark/>
          </w:tcPr>
          <w:p w:rsidR="004E7751" w:rsidRPr="004E7751" w:rsidRDefault="004E7751">
            <w:pPr>
              <w:rPr>
                <w:b/>
                <w:bCs/>
              </w:rPr>
            </w:pPr>
            <w:r w:rsidRPr="004E7751">
              <w:rPr>
                <w:b/>
                <w:bCs/>
              </w:rPr>
              <w:t>Thursday, September 15, 2016</w:t>
            </w:r>
          </w:p>
        </w:tc>
        <w:tc>
          <w:tcPr>
            <w:tcW w:w="4824" w:type="dxa"/>
            <w:hideMark/>
          </w:tcPr>
          <w:p w:rsidR="004E7751" w:rsidRPr="004E7751" w:rsidRDefault="004E7751">
            <w:pPr>
              <w:rPr>
                <w:b/>
                <w:bCs/>
              </w:rPr>
            </w:pPr>
            <w:r w:rsidRPr="004E7751">
              <w:rPr>
                <w:b/>
                <w:bCs/>
              </w:rPr>
              <w:t xml:space="preserve">TAG 4:  Preliminary Resource Integration Results, Avoided Costs, Proposed new 2 year Plan  </w:t>
            </w:r>
          </w:p>
        </w:tc>
        <w:tc>
          <w:tcPr>
            <w:tcW w:w="1764" w:type="dxa"/>
            <w:hideMark/>
          </w:tcPr>
          <w:p w:rsidR="004E7751" w:rsidRPr="004E7751" w:rsidRDefault="004E7751">
            <w:pPr>
              <w:rPr>
                <w:b/>
                <w:bCs/>
              </w:rPr>
            </w:pPr>
            <w:r w:rsidRPr="004E7751">
              <w:rPr>
                <w:b/>
                <w:bCs/>
              </w:rPr>
              <w:t>Seattle Airport Conference Center</w:t>
            </w:r>
          </w:p>
        </w:tc>
      </w:tr>
      <w:tr w:rsidR="004E7751" w:rsidRPr="004E7751" w:rsidTr="004E7751">
        <w:trPr>
          <w:trHeight w:val="615"/>
        </w:trPr>
        <w:tc>
          <w:tcPr>
            <w:tcW w:w="2988" w:type="dxa"/>
            <w:noWrap/>
            <w:hideMark/>
          </w:tcPr>
          <w:p w:rsidR="004E7751" w:rsidRPr="004E7751" w:rsidRDefault="004E7751">
            <w:pPr>
              <w:rPr>
                <w:b/>
                <w:bCs/>
              </w:rPr>
            </w:pPr>
            <w:r w:rsidRPr="004E7751">
              <w:rPr>
                <w:b/>
                <w:bCs/>
              </w:rPr>
              <w:t>Friday, October 07, 2016</w:t>
            </w:r>
          </w:p>
        </w:tc>
        <w:tc>
          <w:tcPr>
            <w:tcW w:w="4824" w:type="dxa"/>
            <w:hideMark/>
          </w:tcPr>
          <w:p w:rsidR="004E7751" w:rsidRPr="004E7751" w:rsidRDefault="004E7751">
            <w:pPr>
              <w:rPr>
                <w:b/>
                <w:bCs/>
              </w:rPr>
            </w:pPr>
            <w:r w:rsidRPr="004E7751">
              <w:rPr>
                <w:b/>
                <w:bCs/>
              </w:rPr>
              <w:t>TAG 5: Final Integration Results, finalization of plan components</w:t>
            </w:r>
          </w:p>
        </w:tc>
        <w:tc>
          <w:tcPr>
            <w:tcW w:w="1764" w:type="dxa"/>
            <w:hideMark/>
          </w:tcPr>
          <w:p w:rsidR="004E7751" w:rsidRPr="004E7751" w:rsidRDefault="004E7751">
            <w:pPr>
              <w:rPr>
                <w:b/>
                <w:bCs/>
              </w:rPr>
            </w:pPr>
            <w:r w:rsidRPr="004E7751">
              <w:rPr>
                <w:b/>
                <w:bCs/>
              </w:rPr>
              <w:t>Seattle Airport Conference Center</w:t>
            </w:r>
          </w:p>
        </w:tc>
      </w:tr>
      <w:tr w:rsidR="004E7751" w:rsidRPr="004E7751" w:rsidTr="004E7751">
        <w:trPr>
          <w:trHeight w:val="330"/>
        </w:trPr>
        <w:tc>
          <w:tcPr>
            <w:tcW w:w="2988" w:type="dxa"/>
            <w:noWrap/>
            <w:hideMark/>
          </w:tcPr>
          <w:p w:rsidR="004E7751" w:rsidRPr="004E7751" w:rsidRDefault="004E7751">
            <w:r w:rsidRPr="004E7751">
              <w:t>Monday, October 17, 2016</w:t>
            </w:r>
          </w:p>
        </w:tc>
        <w:tc>
          <w:tcPr>
            <w:tcW w:w="4824" w:type="dxa"/>
            <w:hideMark/>
          </w:tcPr>
          <w:p w:rsidR="004E7751" w:rsidRPr="004E7751" w:rsidRDefault="004E7751">
            <w:r w:rsidRPr="004E7751">
              <w:t xml:space="preserve">Draft of 2016 IRP distributed </w:t>
            </w:r>
          </w:p>
        </w:tc>
        <w:tc>
          <w:tcPr>
            <w:tcW w:w="1764" w:type="dxa"/>
            <w:hideMark/>
          </w:tcPr>
          <w:p w:rsidR="004E7751" w:rsidRPr="004E7751" w:rsidRDefault="004E7751">
            <w:r w:rsidRPr="004E7751">
              <w:t>Kennewick, WebEx</w:t>
            </w:r>
          </w:p>
        </w:tc>
      </w:tr>
      <w:tr w:rsidR="004E7751" w:rsidRPr="004E7751" w:rsidTr="004E7751">
        <w:trPr>
          <w:trHeight w:val="315"/>
        </w:trPr>
        <w:tc>
          <w:tcPr>
            <w:tcW w:w="2988" w:type="dxa"/>
            <w:noWrap/>
            <w:hideMark/>
          </w:tcPr>
          <w:p w:rsidR="004E7751" w:rsidRPr="004E7751" w:rsidRDefault="004E7751">
            <w:r w:rsidRPr="004E7751">
              <w:t>Monday, November 07, 2016</w:t>
            </w:r>
          </w:p>
        </w:tc>
        <w:tc>
          <w:tcPr>
            <w:tcW w:w="4824" w:type="dxa"/>
            <w:hideMark/>
          </w:tcPr>
          <w:p w:rsidR="004E7751" w:rsidRPr="004E7751" w:rsidRDefault="004E7751">
            <w:r w:rsidRPr="004E7751">
              <w:t>Comments due on draft from all stakeholders</w:t>
            </w:r>
          </w:p>
        </w:tc>
        <w:tc>
          <w:tcPr>
            <w:tcW w:w="1764" w:type="dxa"/>
            <w:hideMark/>
          </w:tcPr>
          <w:p w:rsidR="004E7751" w:rsidRPr="004E7751" w:rsidRDefault="004E7751">
            <w:r w:rsidRPr="004E7751">
              <w:t> </w:t>
            </w:r>
          </w:p>
        </w:tc>
      </w:tr>
      <w:tr w:rsidR="004E7751" w:rsidRPr="004E7751" w:rsidTr="004E7751">
        <w:trPr>
          <w:trHeight w:val="615"/>
        </w:trPr>
        <w:tc>
          <w:tcPr>
            <w:tcW w:w="2988" w:type="dxa"/>
            <w:noWrap/>
            <w:hideMark/>
          </w:tcPr>
          <w:p w:rsidR="004E7751" w:rsidRPr="004E7751" w:rsidRDefault="004E7751">
            <w:r w:rsidRPr="004E7751">
              <w:t>Thursday, November 17, 2016</w:t>
            </w:r>
          </w:p>
        </w:tc>
        <w:tc>
          <w:tcPr>
            <w:tcW w:w="4824" w:type="dxa"/>
            <w:hideMark/>
          </w:tcPr>
          <w:p w:rsidR="004E7751" w:rsidRPr="004E7751" w:rsidRDefault="004E7751">
            <w:r w:rsidRPr="004E7751">
              <w:t>TAG 6, if needed</w:t>
            </w:r>
          </w:p>
        </w:tc>
        <w:tc>
          <w:tcPr>
            <w:tcW w:w="1764" w:type="dxa"/>
            <w:hideMark/>
          </w:tcPr>
          <w:p w:rsidR="004E7751" w:rsidRPr="004E7751" w:rsidRDefault="004E7751">
            <w:r w:rsidRPr="004E7751">
              <w:t>Seattle Airport Conference Center</w:t>
            </w:r>
          </w:p>
        </w:tc>
      </w:tr>
      <w:tr w:rsidR="004E7751" w:rsidRPr="004E7751" w:rsidTr="004E7751">
        <w:trPr>
          <w:trHeight w:val="315"/>
        </w:trPr>
        <w:tc>
          <w:tcPr>
            <w:tcW w:w="2988" w:type="dxa"/>
            <w:noWrap/>
            <w:hideMark/>
          </w:tcPr>
          <w:p w:rsidR="004E7751" w:rsidRPr="004E7751" w:rsidRDefault="004E7751">
            <w:r w:rsidRPr="004E7751">
              <w:t>Wednesday, November 23, 2016</w:t>
            </w:r>
          </w:p>
        </w:tc>
        <w:tc>
          <w:tcPr>
            <w:tcW w:w="4824" w:type="dxa"/>
            <w:hideMark/>
          </w:tcPr>
          <w:p w:rsidR="004E7751" w:rsidRPr="004E7751" w:rsidRDefault="004E7751">
            <w:r w:rsidRPr="004E7751">
              <w:t xml:space="preserve">Final IRP goes to press </w:t>
            </w:r>
          </w:p>
        </w:tc>
        <w:tc>
          <w:tcPr>
            <w:tcW w:w="1764" w:type="dxa"/>
            <w:hideMark/>
          </w:tcPr>
          <w:p w:rsidR="004E7751" w:rsidRPr="004E7751" w:rsidRDefault="004E7751">
            <w:r w:rsidRPr="004E7751">
              <w:t> </w:t>
            </w:r>
          </w:p>
        </w:tc>
      </w:tr>
      <w:tr w:rsidR="004E7751" w:rsidRPr="004E7751" w:rsidTr="004E7751">
        <w:trPr>
          <w:trHeight w:val="615"/>
        </w:trPr>
        <w:tc>
          <w:tcPr>
            <w:tcW w:w="2988" w:type="dxa"/>
            <w:noWrap/>
            <w:hideMark/>
          </w:tcPr>
          <w:p w:rsidR="004E7751" w:rsidRPr="004E7751" w:rsidRDefault="004E7751">
            <w:r w:rsidRPr="004E7751">
              <w:t>Thursday, December 01, 2016</w:t>
            </w:r>
          </w:p>
        </w:tc>
        <w:tc>
          <w:tcPr>
            <w:tcW w:w="4824" w:type="dxa"/>
            <w:hideMark/>
          </w:tcPr>
          <w:p w:rsidR="004E7751" w:rsidRPr="004E7751" w:rsidRDefault="004E7751">
            <w:r w:rsidRPr="004E7751">
              <w:t>Executive Summary Presentation to Senior Management</w:t>
            </w:r>
          </w:p>
        </w:tc>
        <w:tc>
          <w:tcPr>
            <w:tcW w:w="1764" w:type="dxa"/>
            <w:hideMark/>
          </w:tcPr>
          <w:p w:rsidR="004E7751" w:rsidRPr="004E7751" w:rsidRDefault="004E7751">
            <w:r w:rsidRPr="004E7751">
              <w:t>Kennewick, WebEx</w:t>
            </w:r>
          </w:p>
        </w:tc>
      </w:tr>
      <w:tr w:rsidR="004E7751" w:rsidRPr="004E7751" w:rsidTr="004E7751">
        <w:trPr>
          <w:trHeight w:val="315"/>
        </w:trPr>
        <w:tc>
          <w:tcPr>
            <w:tcW w:w="2988" w:type="dxa"/>
            <w:noWrap/>
            <w:hideMark/>
          </w:tcPr>
          <w:p w:rsidR="004E7751" w:rsidRPr="004E7751" w:rsidRDefault="004E7751">
            <w:r w:rsidRPr="004E7751">
              <w:t>Wednesday, December 14, 2016</w:t>
            </w:r>
          </w:p>
        </w:tc>
        <w:tc>
          <w:tcPr>
            <w:tcW w:w="4824" w:type="dxa"/>
            <w:hideMark/>
          </w:tcPr>
          <w:p w:rsidR="004E7751" w:rsidRPr="004E7751" w:rsidRDefault="004E7751">
            <w:r w:rsidRPr="004E7751">
              <w:t>IRP filing in Washington</w:t>
            </w:r>
          </w:p>
        </w:tc>
        <w:tc>
          <w:tcPr>
            <w:tcW w:w="1764" w:type="dxa"/>
            <w:hideMark/>
          </w:tcPr>
          <w:p w:rsidR="004E7751" w:rsidRPr="004E7751" w:rsidRDefault="004E7751">
            <w:r w:rsidRPr="004E7751">
              <w:t> </w:t>
            </w:r>
          </w:p>
        </w:tc>
      </w:tr>
    </w:tbl>
    <w:p w:rsidR="00764E87" w:rsidRDefault="00764E87" w:rsidP="004E7751"/>
    <w:sectPr w:rsidR="00764E87" w:rsidSect="002A2064">
      <w:endnotePr>
        <w:numFmt w:val="decimal"/>
      </w:endnotePr>
      <w:pgSz w:w="12240" w:h="15840"/>
      <w:pgMar w:top="1440" w:right="1440" w:bottom="302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87"/>
    <w:rsid w:val="00210928"/>
    <w:rsid w:val="00262027"/>
    <w:rsid w:val="002A2064"/>
    <w:rsid w:val="0033715C"/>
    <w:rsid w:val="00354B4F"/>
    <w:rsid w:val="00366894"/>
    <w:rsid w:val="003A4E0A"/>
    <w:rsid w:val="004E7751"/>
    <w:rsid w:val="0053308B"/>
    <w:rsid w:val="005623B9"/>
    <w:rsid w:val="00697B9B"/>
    <w:rsid w:val="006C5E37"/>
    <w:rsid w:val="00764E87"/>
    <w:rsid w:val="0077325D"/>
    <w:rsid w:val="007A0777"/>
    <w:rsid w:val="007F10A2"/>
    <w:rsid w:val="00803682"/>
    <w:rsid w:val="008356B0"/>
    <w:rsid w:val="00883119"/>
    <w:rsid w:val="008C3D7C"/>
    <w:rsid w:val="008E570E"/>
    <w:rsid w:val="00914B6F"/>
    <w:rsid w:val="009D316B"/>
    <w:rsid w:val="009E3635"/>
    <w:rsid w:val="00A31894"/>
    <w:rsid w:val="00A84EAC"/>
    <w:rsid w:val="00A94004"/>
    <w:rsid w:val="00AA1D8F"/>
    <w:rsid w:val="00AB1650"/>
    <w:rsid w:val="00AB3D9A"/>
    <w:rsid w:val="00BC3F06"/>
    <w:rsid w:val="00BD4E8A"/>
    <w:rsid w:val="00C14996"/>
    <w:rsid w:val="00C22AA2"/>
    <w:rsid w:val="00D5604A"/>
    <w:rsid w:val="00D92972"/>
    <w:rsid w:val="00DD1DE1"/>
    <w:rsid w:val="00E37FDE"/>
    <w:rsid w:val="00EC3A61"/>
    <w:rsid w:val="00E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23AB6A-9532-4A4D-870C-DE268173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4320"/>
        <w:tab w:val="left" w:pos="5040"/>
      </w:tabs>
      <w:spacing w:line="215" w:lineRule="auto"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9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84E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7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.robertson@cngc.com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://www.cngc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ngc.com" TargetMode="Externa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mailto:mark.sellers-vaughn@cngc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60FB7A06EC0A4287672D91D8331009" ma:contentTypeVersion="104" ma:contentTypeDescription="" ma:contentTypeScope="" ma:versionID="4fc58195969815c35114c24e48bb6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2016-06-29T07:00:00+00:00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76B3038-5AF7-43C3-A128-7674B48BF53C}"/>
</file>

<file path=customXml/itemProps2.xml><?xml version="1.0" encoding="utf-8"?>
<ds:datastoreItem xmlns:ds="http://schemas.openxmlformats.org/officeDocument/2006/customXml" ds:itemID="{E131C2D8-BA36-4BE5-9F34-BBC23FB45725}"/>
</file>

<file path=customXml/itemProps3.xml><?xml version="1.0" encoding="utf-8"?>
<ds:datastoreItem xmlns:ds="http://schemas.openxmlformats.org/officeDocument/2006/customXml" ds:itemID="{0BFDBF51-96B1-4022-A412-8D6025AC05DD}"/>
</file>

<file path=customXml/itemProps4.xml><?xml version="1.0" encoding="utf-8"?>
<ds:datastoreItem xmlns:ds="http://schemas.openxmlformats.org/officeDocument/2006/customXml" ds:itemID="{F753A7B5-A24B-478E-A91A-4084C10C27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Robertson, Brian</cp:lastModifiedBy>
  <cp:revision>4</cp:revision>
  <cp:lastPrinted>2014-01-07T23:02:00Z</cp:lastPrinted>
  <dcterms:created xsi:type="dcterms:W3CDTF">2016-06-29T20:41:00Z</dcterms:created>
  <dcterms:modified xsi:type="dcterms:W3CDTF">2016-06-29T20:46:00Z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0x0101006E56B4D1795A2E4DB2F0B01679ED314A009E60FB7A06EC0A4287672D91D8331009</vt:lpwstr>
  </property>
  <property fmtid="{D5CDD505-2E9C-101B-9397-08002B2CF9AE}" pid="3" name="_docset_NoMedatataSyncRequired">
    <vt:lpwstr>False</vt:lpwstr>
  </property>
</Properties>
</file>