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3D" w:rsidRPr="00D3367D" w:rsidRDefault="005479BD" w:rsidP="005479BD">
      <w:pPr>
        <w:ind w:left="-1080" w:right="-360"/>
      </w:pPr>
      <w:bookmarkStart w:id="0" w:name="_GoBack"/>
      <w:bookmarkEnd w:id="0"/>
      <w:r w:rsidRPr="00D3367D">
        <w:rPr>
          <w:noProof/>
        </w:rPr>
        <w:drawing>
          <wp:inline distT="0" distB="0" distL="0" distR="0">
            <wp:extent cx="7085402" cy="1144800"/>
            <wp:effectExtent l="19050" t="0" r="11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98128" cy="1146856"/>
                    </a:xfrm>
                    <a:prstGeom prst="rect">
                      <a:avLst/>
                    </a:prstGeom>
                    <a:noFill/>
                    <a:ln w="9525">
                      <a:noFill/>
                      <a:miter lim="800000"/>
                      <a:headEnd/>
                      <a:tailEnd/>
                    </a:ln>
                  </pic:spPr>
                </pic:pic>
              </a:graphicData>
            </a:graphic>
          </wp:inline>
        </w:drawing>
      </w:r>
    </w:p>
    <w:p w:rsidR="00D2493D" w:rsidRPr="00D3367D" w:rsidRDefault="00D2493D"/>
    <w:p w:rsidR="00D2493D" w:rsidRPr="00D3367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rsidRPr="009F5D7E">
        <w:tc>
          <w:tcPr>
            <w:tcW w:w="4788" w:type="dxa"/>
          </w:tcPr>
          <w:p w:rsidR="00040621" w:rsidRPr="009F5D7E" w:rsidRDefault="00040621">
            <w:pPr>
              <w:pStyle w:val="Header"/>
              <w:rPr>
                <w:b/>
                <w:bCs/>
                <w:sz w:val="24"/>
                <w:szCs w:val="24"/>
              </w:rPr>
            </w:pPr>
            <w:r w:rsidRPr="009F5D7E">
              <w:rPr>
                <w:b/>
                <w:bCs/>
                <w:sz w:val="24"/>
                <w:szCs w:val="24"/>
              </w:rPr>
              <w:t>Avista Corp.</w:t>
            </w:r>
          </w:p>
          <w:p w:rsidR="00040621" w:rsidRPr="009F5D7E" w:rsidRDefault="00040621">
            <w:pPr>
              <w:pStyle w:val="Header"/>
              <w:rPr>
                <w:sz w:val="24"/>
                <w:szCs w:val="24"/>
              </w:rPr>
            </w:pPr>
            <w:r w:rsidRPr="009F5D7E">
              <w:rPr>
                <w:sz w:val="24"/>
                <w:szCs w:val="24"/>
              </w:rPr>
              <w:t>1411 East Mission   P.O. Box 3727</w:t>
            </w:r>
          </w:p>
          <w:p w:rsidR="00040621" w:rsidRPr="009F5D7E" w:rsidRDefault="00040621">
            <w:pPr>
              <w:pStyle w:val="Header"/>
              <w:rPr>
                <w:sz w:val="24"/>
                <w:szCs w:val="24"/>
              </w:rPr>
            </w:pPr>
            <w:r w:rsidRPr="009F5D7E">
              <w:rPr>
                <w:sz w:val="24"/>
                <w:szCs w:val="24"/>
              </w:rPr>
              <w:t>Spokane</w:t>
            </w:r>
            <w:r w:rsidR="005479BD" w:rsidRPr="009F5D7E">
              <w:rPr>
                <w:sz w:val="24"/>
                <w:szCs w:val="24"/>
              </w:rPr>
              <w:t>,</w:t>
            </w:r>
            <w:r w:rsidRPr="009F5D7E">
              <w:rPr>
                <w:sz w:val="24"/>
                <w:szCs w:val="24"/>
              </w:rPr>
              <w:t xml:space="preserve"> Washington  99220-0500</w:t>
            </w:r>
          </w:p>
          <w:p w:rsidR="00040621" w:rsidRPr="009F5D7E" w:rsidRDefault="00040621">
            <w:pPr>
              <w:pStyle w:val="Header"/>
              <w:rPr>
                <w:sz w:val="24"/>
                <w:szCs w:val="24"/>
              </w:rPr>
            </w:pPr>
            <w:r w:rsidRPr="009F5D7E">
              <w:rPr>
                <w:sz w:val="24"/>
                <w:szCs w:val="24"/>
              </w:rPr>
              <w:t>Telephone 509-489-0500</w:t>
            </w:r>
          </w:p>
          <w:p w:rsidR="00040621" w:rsidRPr="009F5D7E" w:rsidRDefault="00040621">
            <w:pPr>
              <w:pStyle w:val="Header"/>
              <w:rPr>
                <w:sz w:val="24"/>
                <w:szCs w:val="24"/>
              </w:rPr>
            </w:pPr>
            <w:r w:rsidRPr="009F5D7E">
              <w:rPr>
                <w:sz w:val="24"/>
                <w:szCs w:val="24"/>
              </w:rPr>
              <w:t>Toll Free   800-727-9170</w:t>
            </w:r>
          </w:p>
          <w:p w:rsidR="00040621" w:rsidRPr="009F5D7E" w:rsidRDefault="00040621">
            <w:pPr>
              <w:pStyle w:val="Header"/>
              <w:rPr>
                <w:b/>
                <w:bCs/>
                <w:sz w:val="24"/>
                <w:szCs w:val="24"/>
              </w:rPr>
            </w:pPr>
          </w:p>
        </w:tc>
        <w:tc>
          <w:tcPr>
            <w:tcW w:w="4788" w:type="dxa"/>
          </w:tcPr>
          <w:p w:rsidR="00040621" w:rsidRPr="009F5D7E" w:rsidRDefault="00040621">
            <w:pPr>
              <w:pStyle w:val="Header"/>
              <w:tabs>
                <w:tab w:val="left" w:pos="2232"/>
              </w:tabs>
              <w:rPr>
                <w:b/>
                <w:bCs/>
                <w:sz w:val="24"/>
                <w:szCs w:val="24"/>
              </w:rPr>
            </w:pPr>
            <w:r w:rsidRPr="009F5D7E">
              <w:rPr>
                <w:b/>
                <w:bCs/>
                <w:sz w:val="24"/>
                <w:szCs w:val="24"/>
              </w:rPr>
              <w:t xml:space="preserve"> </w:t>
            </w:r>
            <w:r w:rsidRPr="009F5D7E">
              <w:rPr>
                <w:b/>
                <w:bCs/>
                <w:sz w:val="24"/>
                <w:szCs w:val="24"/>
              </w:rPr>
              <w:tab/>
              <w:t xml:space="preserve"> </w:t>
            </w:r>
          </w:p>
        </w:tc>
      </w:tr>
    </w:tbl>
    <w:p w:rsidR="004C3C45" w:rsidRPr="009F5D7E" w:rsidRDefault="00CD60DE">
      <w:pPr>
        <w:jc w:val="both"/>
        <w:rPr>
          <w:b/>
          <w:i/>
          <w:sz w:val="24"/>
          <w:szCs w:val="24"/>
        </w:rPr>
      </w:pPr>
      <w:r w:rsidRPr="009F5D7E">
        <w:rPr>
          <w:b/>
          <w:i/>
          <w:sz w:val="24"/>
          <w:szCs w:val="24"/>
        </w:rPr>
        <w:t>VIA – Electronic Mail</w:t>
      </w:r>
    </w:p>
    <w:p w:rsidR="00CD60DE" w:rsidRPr="00D3367D" w:rsidRDefault="00CD60DE">
      <w:pPr>
        <w:jc w:val="both"/>
        <w:rPr>
          <w:sz w:val="24"/>
        </w:rPr>
      </w:pPr>
    </w:p>
    <w:p w:rsidR="00040621" w:rsidRPr="00D3367D" w:rsidRDefault="00D25692">
      <w:pPr>
        <w:jc w:val="both"/>
        <w:rPr>
          <w:sz w:val="24"/>
        </w:rPr>
      </w:pPr>
      <w:r>
        <w:rPr>
          <w:sz w:val="24"/>
        </w:rPr>
        <w:t>December 7, 2015</w:t>
      </w:r>
    </w:p>
    <w:p w:rsidR="00040621" w:rsidRPr="00D3367D" w:rsidRDefault="00040621">
      <w:pPr>
        <w:jc w:val="both"/>
        <w:rPr>
          <w:sz w:val="24"/>
        </w:rPr>
      </w:pPr>
    </w:p>
    <w:p w:rsidR="008F221D" w:rsidRPr="00D3367D" w:rsidRDefault="008F221D" w:rsidP="008F221D">
      <w:pPr>
        <w:ind w:right="-270"/>
        <w:jc w:val="both"/>
        <w:rPr>
          <w:sz w:val="24"/>
          <w:szCs w:val="24"/>
        </w:rPr>
      </w:pPr>
      <w:r w:rsidRPr="00D3367D">
        <w:rPr>
          <w:sz w:val="24"/>
          <w:szCs w:val="24"/>
        </w:rPr>
        <w:t>Steven V. King</w:t>
      </w:r>
    </w:p>
    <w:p w:rsidR="008F221D" w:rsidRPr="00D3367D" w:rsidRDefault="008F221D" w:rsidP="008F221D">
      <w:pPr>
        <w:ind w:right="-270"/>
        <w:jc w:val="both"/>
        <w:rPr>
          <w:sz w:val="24"/>
          <w:szCs w:val="24"/>
        </w:rPr>
      </w:pPr>
      <w:r w:rsidRPr="00D3367D">
        <w:rPr>
          <w:sz w:val="24"/>
          <w:szCs w:val="24"/>
        </w:rPr>
        <w:t>Executive Director and Secretary</w:t>
      </w:r>
    </w:p>
    <w:p w:rsidR="008F221D" w:rsidRPr="00D3367D" w:rsidRDefault="008F221D" w:rsidP="008F221D">
      <w:pPr>
        <w:ind w:right="-270"/>
        <w:jc w:val="both"/>
        <w:rPr>
          <w:sz w:val="24"/>
          <w:szCs w:val="24"/>
        </w:rPr>
      </w:pPr>
      <w:r w:rsidRPr="00D3367D">
        <w:rPr>
          <w:sz w:val="24"/>
          <w:szCs w:val="24"/>
        </w:rPr>
        <w:t>Washington Utilities &amp; Transportation Commission</w:t>
      </w:r>
    </w:p>
    <w:p w:rsidR="008F221D" w:rsidRPr="00D3367D" w:rsidRDefault="008F221D" w:rsidP="008F221D">
      <w:pPr>
        <w:ind w:right="-270"/>
        <w:jc w:val="both"/>
        <w:rPr>
          <w:sz w:val="24"/>
          <w:szCs w:val="24"/>
        </w:rPr>
      </w:pPr>
      <w:r w:rsidRPr="00D3367D">
        <w:rPr>
          <w:sz w:val="24"/>
          <w:szCs w:val="24"/>
        </w:rPr>
        <w:t>1300 S. Evergreen Park Drive S. W.</w:t>
      </w:r>
    </w:p>
    <w:p w:rsidR="008F221D" w:rsidRPr="00D3367D" w:rsidRDefault="008F221D" w:rsidP="008F221D">
      <w:pPr>
        <w:ind w:right="-270"/>
        <w:jc w:val="both"/>
        <w:rPr>
          <w:sz w:val="24"/>
          <w:szCs w:val="24"/>
        </w:rPr>
      </w:pPr>
      <w:r w:rsidRPr="00D3367D">
        <w:rPr>
          <w:sz w:val="24"/>
          <w:szCs w:val="24"/>
        </w:rPr>
        <w:t>P.O. Box 47250</w:t>
      </w:r>
    </w:p>
    <w:p w:rsidR="008F221D" w:rsidRPr="00D3367D" w:rsidRDefault="008F221D" w:rsidP="008F221D">
      <w:pPr>
        <w:ind w:right="-270"/>
        <w:jc w:val="both"/>
        <w:rPr>
          <w:sz w:val="24"/>
          <w:szCs w:val="24"/>
        </w:rPr>
      </w:pPr>
      <w:r w:rsidRPr="00D3367D">
        <w:rPr>
          <w:sz w:val="24"/>
          <w:szCs w:val="24"/>
        </w:rPr>
        <w:t>Olympia, Washington  98504-7250</w:t>
      </w:r>
    </w:p>
    <w:p w:rsidR="00040621" w:rsidRPr="00D3367D" w:rsidRDefault="00040621">
      <w:pPr>
        <w:jc w:val="both"/>
        <w:rPr>
          <w:sz w:val="24"/>
        </w:rPr>
      </w:pPr>
    </w:p>
    <w:p w:rsidR="00040621" w:rsidRPr="00D3367D" w:rsidRDefault="00134550">
      <w:pPr>
        <w:jc w:val="both"/>
        <w:rPr>
          <w:sz w:val="24"/>
        </w:rPr>
      </w:pPr>
      <w:r w:rsidRPr="00D3367D">
        <w:rPr>
          <w:sz w:val="24"/>
        </w:rPr>
        <w:t>Dear Mr</w:t>
      </w:r>
      <w:r w:rsidR="00040621" w:rsidRPr="00D3367D">
        <w:rPr>
          <w:sz w:val="24"/>
        </w:rPr>
        <w:t xml:space="preserve">. </w:t>
      </w:r>
      <w:r w:rsidR="008F221D" w:rsidRPr="00D3367D">
        <w:rPr>
          <w:sz w:val="24"/>
        </w:rPr>
        <w:t>King</w:t>
      </w:r>
      <w:r w:rsidR="00040621" w:rsidRPr="00D3367D">
        <w:rPr>
          <w:sz w:val="24"/>
        </w:rPr>
        <w:t>:</w:t>
      </w:r>
    </w:p>
    <w:p w:rsidR="00040621" w:rsidRPr="00D3367D" w:rsidRDefault="00040621">
      <w:pPr>
        <w:jc w:val="both"/>
        <w:rPr>
          <w:sz w:val="24"/>
        </w:rPr>
      </w:pPr>
    </w:p>
    <w:p w:rsidR="00040621" w:rsidRPr="00D3367D" w:rsidRDefault="00040621" w:rsidP="004F1F1E">
      <w:pPr>
        <w:pStyle w:val="BodyText2"/>
        <w:spacing w:line="360" w:lineRule="auto"/>
        <w:ind w:firstLine="720"/>
      </w:pPr>
      <w:r w:rsidRPr="00D3367D">
        <w:t xml:space="preserve">Attached for filing with the Commission is an electronic copy of </w:t>
      </w:r>
      <w:r w:rsidR="00D23FE7" w:rsidRPr="00D3367D">
        <w:rPr>
          <w:szCs w:val="24"/>
        </w:rPr>
        <w:t>Avista Corporation’s d</w:t>
      </w:r>
      <w:r w:rsidR="00AF4671" w:rsidRPr="00D3367D">
        <w:rPr>
          <w:szCs w:val="24"/>
        </w:rPr>
        <w:t>/</w:t>
      </w:r>
      <w:r w:rsidR="00D23FE7" w:rsidRPr="00D3367D">
        <w:rPr>
          <w:szCs w:val="24"/>
        </w:rPr>
        <w:t>b</w:t>
      </w:r>
      <w:r w:rsidR="00AF4671" w:rsidRPr="00D3367D">
        <w:rPr>
          <w:szCs w:val="24"/>
        </w:rPr>
        <w:t>/</w:t>
      </w:r>
      <w:r w:rsidR="00D23FE7" w:rsidRPr="00D3367D">
        <w:rPr>
          <w:szCs w:val="24"/>
        </w:rPr>
        <w:t>a Avista Utilities (“Avista</w:t>
      </w:r>
      <w:r w:rsidR="00AF4671" w:rsidRPr="00D3367D">
        <w:rPr>
          <w:szCs w:val="24"/>
        </w:rPr>
        <w:t>”</w:t>
      </w:r>
      <w:r w:rsidR="00D23FE7" w:rsidRPr="00D3367D">
        <w:rPr>
          <w:szCs w:val="24"/>
        </w:rPr>
        <w:t xml:space="preserve"> or </w:t>
      </w:r>
      <w:r w:rsidR="00AF4671" w:rsidRPr="00D3367D">
        <w:rPr>
          <w:szCs w:val="24"/>
        </w:rPr>
        <w:t>“</w:t>
      </w:r>
      <w:r w:rsidR="00D23FE7" w:rsidRPr="00D3367D">
        <w:rPr>
          <w:szCs w:val="24"/>
        </w:rPr>
        <w:t>Company”)</w:t>
      </w:r>
      <w:r w:rsidRPr="00D3367D">
        <w:t xml:space="preserve"> </w:t>
      </w:r>
      <w:r w:rsidR="00EE6695" w:rsidRPr="00D3367D">
        <w:t>filing</w:t>
      </w:r>
      <w:r w:rsidR="003A3A22" w:rsidRPr="00D3367D">
        <w:t xml:space="preserve"> of its </w:t>
      </w:r>
      <w:r w:rsidRPr="00D3367D">
        <w:t xml:space="preserve">proposed revisions to the </w:t>
      </w:r>
      <w:r w:rsidR="00353210" w:rsidRPr="00D3367D">
        <w:t>following tariffs</w:t>
      </w:r>
      <w:r w:rsidR="0061578F" w:rsidRPr="00D3367D">
        <w:t>,</w:t>
      </w:r>
      <w:r w:rsidR="00E51832" w:rsidRPr="00D3367D">
        <w:t xml:space="preserve"> </w:t>
      </w:r>
      <w:r w:rsidR="008F221D" w:rsidRPr="00D3367D">
        <w:t>WN U-28</w:t>
      </w:r>
      <w:r w:rsidR="00D25692">
        <w:t xml:space="preserve"> and WN U-29</w:t>
      </w:r>
      <w:r w:rsidRPr="00D3367D">
        <w:t>:</w:t>
      </w:r>
    </w:p>
    <w:p w:rsidR="00AE4BA6" w:rsidRDefault="00AE4BA6" w:rsidP="00AE4BA6">
      <w:pPr>
        <w:tabs>
          <w:tab w:val="left" w:pos="5760"/>
        </w:tabs>
        <w:ind w:left="720"/>
        <w:jc w:val="center"/>
        <w:rPr>
          <w:b/>
          <w:sz w:val="24"/>
          <w:u w:val="single"/>
        </w:rPr>
      </w:pPr>
      <w:r>
        <w:rPr>
          <w:b/>
          <w:sz w:val="24"/>
          <w:u w:val="single"/>
        </w:rPr>
        <w:t>Tariff Schedule 90</w:t>
      </w:r>
      <w:r w:rsidR="00A8600D">
        <w:rPr>
          <w:b/>
          <w:sz w:val="24"/>
          <w:u w:val="single"/>
        </w:rPr>
        <w:t xml:space="preserve"> and 190</w:t>
      </w:r>
      <w:r>
        <w:rPr>
          <w:b/>
          <w:sz w:val="24"/>
          <w:u w:val="single"/>
        </w:rPr>
        <w:t xml:space="preserve"> – Electric </w:t>
      </w:r>
      <w:r w:rsidR="00A8600D">
        <w:rPr>
          <w:b/>
          <w:sz w:val="24"/>
          <w:u w:val="single"/>
        </w:rPr>
        <w:t xml:space="preserve">and Natural Gas </w:t>
      </w:r>
      <w:r>
        <w:rPr>
          <w:b/>
          <w:sz w:val="24"/>
          <w:u w:val="single"/>
        </w:rPr>
        <w:t>Energy Efficiency Programs</w:t>
      </w:r>
    </w:p>
    <w:p w:rsidR="00AE4BA6" w:rsidRPr="00D3367D" w:rsidRDefault="00AE4BA6" w:rsidP="00AE4BA6">
      <w:pPr>
        <w:tabs>
          <w:tab w:val="left" w:pos="5760"/>
        </w:tabs>
        <w:ind w:left="720"/>
        <w:jc w:val="center"/>
        <w:rPr>
          <w:b/>
          <w:sz w:val="24"/>
          <w:u w:val="single"/>
        </w:rPr>
      </w:pPr>
    </w:p>
    <w:p w:rsidR="00D3367D" w:rsidRDefault="00A8600D" w:rsidP="00D3367D">
      <w:pPr>
        <w:tabs>
          <w:tab w:val="left" w:pos="4500"/>
          <w:tab w:val="left" w:pos="5760"/>
        </w:tabs>
        <w:ind w:left="720"/>
        <w:rPr>
          <w:b/>
          <w:sz w:val="24"/>
        </w:rPr>
      </w:pPr>
      <w:r>
        <w:rPr>
          <w:b/>
          <w:sz w:val="24"/>
        </w:rPr>
        <w:t>Sixth</w:t>
      </w:r>
      <w:r w:rsidR="00D3367D" w:rsidRPr="00D3367D">
        <w:rPr>
          <w:b/>
          <w:sz w:val="24"/>
        </w:rPr>
        <w:t xml:space="preserve"> Revision Sheet 9</w:t>
      </w:r>
      <w:r w:rsidR="00D3367D">
        <w:rPr>
          <w:b/>
          <w:sz w:val="24"/>
        </w:rPr>
        <w:t>0A</w:t>
      </w:r>
      <w:r w:rsidR="00D3367D" w:rsidRPr="00D3367D">
        <w:rPr>
          <w:b/>
          <w:sz w:val="24"/>
        </w:rPr>
        <w:tab/>
      </w:r>
      <w:r w:rsidR="00D3367D" w:rsidRPr="00D3367D">
        <w:rPr>
          <w:sz w:val="24"/>
        </w:rPr>
        <w:t xml:space="preserve">Canceling </w:t>
      </w:r>
      <w:r w:rsidR="00D3367D" w:rsidRPr="00D3367D">
        <w:rPr>
          <w:sz w:val="24"/>
        </w:rPr>
        <w:tab/>
        <w:t xml:space="preserve">   </w:t>
      </w:r>
      <w:r>
        <w:rPr>
          <w:b/>
          <w:sz w:val="24"/>
        </w:rPr>
        <w:t>Fif</w:t>
      </w:r>
      <w:r w:rsidR="00D3367D">
        <w:rPr>
          <w:b/>
          <w:sz w:val="24"/>
        </w:rPr>
        <w:t xml:space="preserve">th </w:t>
      </w:r>
      <w:r w:rsidR="00D3367D" w:rsidRPr="00D3367D">
        <w:rPr>
          <w:b/>
          <w:sz w:val="24"/>
        </w:rPr>
        <w:t>Revision Sheet 9</w:t>
      </w:r>
      <w:r w:rsidR="00D3367D">
        <w:rPr>
          <w:b/>
          <w:sz w:val="24"/>
        </w:rPr>
        <w:t>0A</w:t>
      </w:r>
    </w:p>
    <w:p w:rsidR="00D3367D" w:rsidRDefault="00A8600D" w:rsidP="00D3367D">
      <w:pPr>
        <w:tabs>
          <w:tab w:val="left" w:pos="4500"/>
          <w:tab w:val="left" w:pos="5760"/>
        </w:tabs>
        <w:ind w:left="720"/>
        <w:rPr>
          <w:b/>
          <w:sz w:val="24"/>
        </w:rPr>
      </w:pPr>
      <w:r>
        <w:rPr>
          <w:b/>
          <w:sz w:val="24"/>
        </w:rPr>
        <w:t>Second</w:t>
      </w:r>
      <w:r w:rsidR="00D3367D" w:rsidRPr="00D3367D">
        <w:rPr>
          <w:b/>
          <w:sz w:val="24"/>
        </w:rPr>
        <w:t xml:space="preserve"> Revision Sheet </w:t>
      </w:r>
      <w:r>
        <w:rPr>
          <w:b/>
          <w:sz w:val="24"/>
        </w:rPr>
        <w:t>1</w:t>
      </w:r>
      <w:r w:rsidR="00D3367D" w:rsidRPr="00D3367D">
        <w:rPr>
          <w:b/>
          <w:sz w:val="24"/>
        </w:rPr>
        <w:t>9</w:t>
      </w:r>
      <w:r>
        <w:rPr>
          <w:b/>
          <w:sz w:val="24"/>
        </w:rPr>
        <w:t>0</w:t>
      </w:r>
      <w:r w:rsidR="00D3367D" w:rsidRPr="00D3367D">
        <w:rPr>
          <w:b/>
          <w:sz w:val="24"/>
        </w:rPr>
        <w:tab/>
      </w:r>
      <w:r w:rsidR="00D3367D" w:rsidRPr="00D3367D">
        <w:rPr>
          <w:sz w:val="24"/>
        </w:rPr>
        <w:t xml:space="preserve">Canceling </w:t>
      </w:r>
      <w:r w:rsidR="00D3367D" w:rsidRPr="00D3367D">
        <w:rPr>
          <w:sz w:val="24"/>
        </w:rPr>
        <w:tab/>
        <w:t xml:space="preserve">   </w:t>
      </w:r>
      <w:r>
        <w:rPr>
          <w:b/>
          <w:sz w:val="24"/>
        </w:rPr>
        <w:t>First</w:t>
      </w:r>
      <w:r w:rsidR="00D3367D">
        <w:rPr>
          <w:b/>
          <w:sz w:val="24"/>
        </w:rPr>
        <w:t xml:space="preserve"> </w:t>
      </w:r>
      <w:r w:rsidR="00D3367D" w:rsidRPr="00D3367D">
        <w:rPr>
          <w:b/>
          <w:sz w:val="24"/>
        </w:rPr>
        <w:t xml:space="preserve">Revision Sheet </w:t>
      </w:r>
      <w:r>
        <w:rPr>
          <w:b/>
          <w:sz w:val="24"/>
        </w:rPr>
        <w:t>1</w:t>
      </w:r>
      <w:r w:rsidR="00D3367D" w:rsidRPr="00D3367D">
        <w:rPr>
          <w:b/>
          <w:sz w:val="24"/>
        </w:rPr>
        <w:t>9</w:t>
      </w:r>
      <w:r>
        <w:rPr>
          <w:b/>
          <w:sz w:val="24"/>
        </w:rPr>
        <w:t>0</w:t>
      </w:r>
    </w:p>
    <w:p w:rsidR="00A8600D" w:rsidRDefault="00A8600D" w:rsidP="00A8600D">
      <w:pPr>
        <w:tabs>
          <w:tab w:val="left" w:pos="4500"/>
          <w:tab w:val="left" w:pos="5760"/>
        </w:tabs>
        <w:ind w:left="720"/>
        <w:rPr>
          <w:b/>
          <w:sz w:val="24"/>
        </w:rPr>
      </w:pPr>
      <w:r>
        <w:rPr>
          <w:b/>
          <w:sz w:val="24"/>
        </w:rPr>
        <w:t>Fourth</w:t>
      </w:r>
      <w:r w:rsidRPr="00D3367D">
        <w:rPr>
          <w:b/>
          <w:sz w:val="24"/>
        </w:rPr>
        <w:t xml:space="preserve"> Revision Sheet </w:t>
      </w:r>
      <w:r>
        <w:rPr>
          <w:b/>
          <w:sz w:val="24"/>
        </w:rPr>
        <w:t>1</w:t>
      </w:r>
      <w:r w:rsidRPr="00D3367D">
        <w:rPr>
          <w:b/>
          <w:sz w:val="24"/>
        </w:rPr>
        <w:t>9</w:t>
      </w:r>
      <w:r>
        <w:rPr>
          <w:b/>
          <w:sz w:val="24"/>
        </w:rPr>
        <w:t>0A</w:t>
      </w:r>
      <w:r w:rsidRPr="00D3367D">
        <w:rPr>
          <w:b/>
          <w:sz w:val="24"/>
        </w:rPr>
        <w:tab/>
      </w:r>
      <w:r w:rsidRPr="00D3367D">
        <w:rPr>
          <w:sz w:val="24"/>
        </w:rPr>
        <w:t xml:space="preserve">Canceling </w:t>
      </w:r>
      <w:r w:rsidRPr="00D3367D">
        <w:rPr>
          <w:sz w:val="24"/>
        </w:rPr>
        <w:tab/>
        <w:t xml:space="preserve">   </w:t>
      </w:r>
      <w:r>
        <w:rPr>
          <w:b/>
          <w:sz w:val="24"/>
        </w:rPr>
        <w:t xml:space="preserve">Third </w:t>
      </w:r>
      <w:r w:rsidRPr="00D3367D">
        <w:rPr>
          <w:b/>
          <w:sz w:val="24"/>
        </w:rPr>
        <w:t xml:space="preserve">Revision Sheet </w:t>
      </w:r>
      <w:r>
        <w:rPr>
          <w:b/>
          <w:sz w:val="24"/>
        </w:rPr>
        <w:t>1</w:t>
      </w:r>
      <w:r w:rsidRPr="00D3367D">
        <w:rPr>
          <w:b/>
          <w:sz w:val="24"/>
        </w:rPr>
        <w:t>9</w:t>
      </w:r>
      <w:r>
        <w:rPr>
          <w:b/>
          <w:sz w:val="24"/>
        </w:rPr>
        <w:t>0A</w:t>
      </w:r>
    </w:p>
    <w:p w:rsidR="00D3367D" w:rsidRPr="00D3367D" w:rsidRDefault="00D3367D" w:rsidP="00D3367D">
      <w:pPr>
        <w:tabs>
          <w:tab w:val="left" w:pos="4500"/>
          <w:tab w:val="left" w:pos="5760"/>
        </w:tabs>
        <w:ind w:left="720"/>
        <w:rPr>
          <w:b/>
          <w:sz w:val="24"/>
        </w:rPr>
      </w:pPr>
    </w:p>
    <w:p w:rsidR="00277086" w:rsidRPr="00F87289" w:rsidRDefault="0004743D" w:rsidP="00D3367D">
      <w:pPr>
        <w:spacing w:line="360" w:lineRule="auto"/>
        <w:ind w:firstLine="720"/>
        <w:jc w:val="both"/>
        <w:rPr>
          <w:sz w:val="24"/>
          <w:szCs w:val="24"/>
        </w:rPr>
      </w:pPr>
      <w:r w:rsidRPr="00F87289">
        <w:rPr>
          <w:rStyle w:val="LineNumber"/>
        </w:rPr>
        <w:t>Avista Corporation, doing business as Avista Utilities (hereinafter Avista or Company), at 1411 East Mission Avenue, Spokane, Washington, respectfully proposes revisions to</w:t>
      </w:r>
      <w:r w:rsidRPr="00F87289">
        <w:rPr>
          <w:sz w:val="24"/>
          <w:szCs w:val="24"/>
        </w:rPr>
        <w:t xml:space="preserve"> Schedule 90 “Elec</w:t>
      </w:r>
      <w:r w:rsidR="004950FD">
        <w:rPr>
          <w:sz w:val="24"/>
          <w:szCs w:val="24"/>
        </w:rPr>
        <w:t>tric Energy Efficiency Programs</w:t>
      </w:r>
      <w:r w:rsidRPr="00F87289">
        <w:rPr>
          <w:sz w:val="24"/>
          <w:szCs w:val="24"/>
        </w:rPr>
        <w:t>”</w:t>
      </w:r>
      <w:r w:rsidR="004950FD">
        <w:rPr>
          <w:sz w:val="24"/>
          <w:szCs w:val="24"/>
        </w:rPr>
        <w:t xml:space="preserve"> and Schedule 19</w:t>
      </w:r>
      <w:r w:rsidR="00300D34">
        <w:rPr>
          <w:sz w:val="24"/>
          <w:szCs w:val="24"/>
        </w:rPr>
        <w:t>0</w:t>
      </w:r>
      <w:r w:rsidR="004950FD">
        <w:rPr>
          <w:sz w:val="24"/>
          <w:szCs w:val="24"/>
        </w:rPr>
        <w:t xml:space="preserve"> “Natural Gas Energy Efficiency Programs.”</w:t>
      </w:r>
      <w:r w:rsidRPr="00F87289">
        <w:rPr>
          <w:sz w:val="24"/>
          <w:szCs w:val="24"/>
        </w:rPr>
        <w:t xml:space="preserve"> </w:t>
      </w:r>
      <w:r w:rsidR="00D3367D" w:rsidRPr="00F87289">
        <w:rPr>
          <w:rStyle w:val="LineNumber"/>
        </w:rPr>
        <w:t xml:space="preserve">The purpose of this filing is to </w:t>
      </w:r>
      <w:r w:rsidR="004950FD" w:rsidRPr="00553FEB">
        <w:rPr>
          <w:sz w:val="24"/>
          <w:szCs w:val="24"/>
        </w:rPr>
        <w:t>flatten the incentive</w:t>
      </w:r>
      <w:r w:rsidR="004950FD">
        <w:rPr>
          <w:sz w:val="24"/>
          <w:szCs w:val="24"/>
        </w:rPr>
        <w:t>s</w:t>
      </w:r>
      <w:r w:rsidR="004950FD" w:rsidRPr="00553FEB">
        <w:rPr>
          <w:sz w:val="24"/>
          <w:szCs w:val="24"/>
        </w:rPr>
        <w:t xml:space="preserve"> to $.20 per kWh and $3 per therm for all projects with a simpl</w:t>
      </w:r>
      <w:r w:rsidR="004950FD">
        <w:rPr>
          <w:sz w:val="24"/>
          <w:szCs w:val="24"/>
        </w:rPr>
        <w:t>e payback of less than 15 years consistent with other ut</w:t>
      </w:r>
      <w:r w:rsidR="00300D34">
        <w:rPr>
          <w:sz w:val="24"/>
          <w:szCs w:val="24"/>
        </w:rPr>
        <w:t xml:space="preserve">ilities and the Company’s 2016 </w:t>
      </w:r>
      <w:r w:rsidR="004950FD">
        <w:rPr>
          <w:sz w:val="24"/>
          <w:szCs w:val="24"/>
        </w:rPr>
        <w:t xml:space="preserve">Business Plan </w:t>
      </w:r>
      <w:r w:rsidR="00300D34">
        <w:rPr>
          <w:sz w:val="24"/>
          <w:szCs w:val="24"/>
        </w:rPr>
        <w:t xml:space="preserve">filed </w:t>
      </w:r>
      <w:r w:rsidR="004950FD">
        <w:rPr>
          <w:sz w:val="24"/>
          <w:szCs w:val="24"/>
        </w:rPr>
        <w:t>in Docket No. UE-15</w:t>
      </w:r>
      <w:r w:rsidR="00300D34">
        <w:rPr>
          <w:sz w:val="24"/>
          <w:szCs w:val="24"/>
        </w:rPr>
        <w:t xml:space="preserve">2076. </w:t>
      </w:r>
    </w:p>
    <w:p w:rsidR="00A8600D" w:rsidRDefault="00A8600D" w:rsidP="00D3367D">
      <w:pPr>
        <w:spacing w:line="360" w:lineRule="auto"/>
        <w:ind w:firstLine="720"/>
        <w:jc w:val="both"/>
        <w:rPr>
          <w:sz w:val="24"/>
          <w:szCs w:val="24"/>
        </w:rPr>
      </w:pPr>
    </w:p>
    <w:p w:rsidR="00A8600D" w:rsidRDefault="00A8600D" w:rsidP="00D3367D">
      <w:pPr>
        <w:spacing w:line="360" w:lineRule="auto"/>
        <w:ind w:firstLine="720"/>
        <w:jc w:val="both"/>
        <w:rPr>
          <w:sz w:val="24"/>
          <w:szCs w:val="24"/>
        </w:rPr>
      </w:pPr>
    </w:p>
    <w:p w:rsidR="0004743D" w:rsidRPr="00F87289" w:rsidRDefault="0004743D" w:rsidP="00D3367D">
      <w:pPr>
        <w:spacing w:line="360" w:lineRule="auto"/>
        <w:ind w:firstLine="720"/>
        <w:jc w:val="both"/>
        <w:rPr>
          <w:sz w:val="24"/>
          <w:szCs w:val="24"/>
        </w:rPr>
      </w:pPr>
      <w:r w:rsidRPr="00F87289">
        <w:rPr>
          <w:sz w:val="24"/>
          <w:szCs w:val="24"/>
        </w:rPr>
        <w:lastRenderedPageBreak/>
        <w:t>The Company engages in ongoing business planning efforts in response to changes in markets, technologies and regulatory direction.  In recent months, several changes to the demand side management (DSM) portfolio that the Company believes would lead to improved portfolio performance have been identified and discussed with Avista’s External Advisory Group.</w:t>
      </w:r>
    </w:p>
    <w:p w:rsidR="00AD0557" w:rsidRDefault="00AD0557" w:rsidP="00300D34">
      <w:pPr>
        <w:ind w:firstLine="720"/>
        <w:jc w:val="both"/>
        <w:rPr>
          <w:sz w:val="24"/>
          <w:szCs w:val="24"/>
        </w:rPr>
      </w:pPr>
    </w:p>
    <w:p w:rsidR="0004743D" w:rsidRPr="00F87289" w:rsidRDefault="0004743D" w:rsidP="00D3367D">
      <w:pPr>
        <w:spacing w:line="360" w:lineRule="auto"/>
        <w:ind w:firstLine="720"/>
        <w:jc w:val="both"/>
        <w:rPr>
          <w:sz w:val="24"/>
          <w:szCs w:val="24"/>
        </w:rPr>
      </w:pPr>
      <w:r w:rsidRPr="00F87289">
        <w:rPr>
          <w:sz w:val="24"/>
          <w:szCs w:val="24"/>
        </w:rPr>
        <w:t>The Company has regularly convened stakeholder meetings to gain input from customer representatives, Commission staff members, and individuals from the environmental communities.  In these stakeholder meetings the Company’s program offerings are reviewed as well as the underlying cost-effectiveness tests and results.  Stakeholder involvement has grown in the past couple years, partly due to increased attention on the “I-937” conservation targets.  The Company continues to appreciate the time and input provided by Avista’s stakeholders.</w:t>
      </w:r>
    </w:p>
    <w:p w:rsidR="0004743D" w:rsidRPr="00F87289" w:rsidRDefault="0004743D" w:rsidP="00300D34">
      <w:pPr>
        <w:ind w:firstLine="720"/>
        <w:jc w:val="both"/>
        <w:rPr>
          <w:sz w:val="24"/>
          <w:szCs w:val="24"/>
        </w:rPr>
      </w:pPr>
    </w:p>
    <w:p w:rsidR="00553FEB" w:rsidRPr="00553FEB" w:rsidRDefault="00553FEB" w:rsidP="00553FEB">
      <w:pPr>
        <w:spacing w:line="360" w:lineRule="auto"/>
        <w:ind w:firstLine="720"/>
        <w:jc w:val="both"/>
        <w:rPr>
          <w:sz w:val="24"/>
          <w:szCs w:val="24"/>
        </w:rPr>
      </w:pPr>
      <w:r w:rsidRPr="00553FEB">
        <w:rPr>
          <w:sz w:val="24"/>
          <w:szCs w:val="24"/>
        </w:rPr>
        <w:t xml:space="preserve">Avista’s electric DSM operations are governed by Schedule 90 tariff requirements and natural gas DSM operations are governed by Schedule 190. These tariffs detail the eligibility and allowable funding that the Company provides for energy efficiency measures. Though the tariff allows for considerable flexibility in how programs are designed and delivered and accommodates a degree of flexibility around incentives for prescriptive programs subject to reasonable justification, there remains the occasional need to modify the tariff to meet current and future market conditions and opportunities. </w:t>
      </w:r>
    </w:p>
    <w:p w:rsidR="00553FEB" w:rsidRPr="00553FEB" w:rsidRDefault="00553FEB" w:rsidP="00300D34">
      <w:pPr>
        <w:jc w:val="both"/>
        <w:rPr>
          <w:sz w:val="24"/>
          <w:szCs w:val="24"/>
        </w:rPr>
      </w:pPr>
    </w:p>
    <w:p w:rsidR="00553FEB" w:rsidRDefault="00553FEB" w:rsidP="00553FEB">
      <w:pPr>
        <w:spacing w:line="360" w:lineRule="auto"/>
        <w:ind w:firstLine="720"/>
        <w:jc w:val="both"/>
        <w:rPr>
          <w:sz w:val="24"/>
          <w:szCs w:val="24"/>
        </w:rPr>
      </w:pPr>
      <w:r>
        <w:rPr>
          <w:sz w:val="24"/>
          <w:szCs w:val="24"/>
        </w:rPr>
        <w:t>T</w:t>
      </w:r>
      <w:r w:rsidRPr="00553FEB">
        <w:rPr>
          <w:sz w:val="24"/>
          <w:szCs w:val="24"/>
        </w:rPr>
        <w:t>he Company discuss</w:t>
      </w:r>
      <w:r>
        <w:rPr>
          <w:sz w:val="24"/>
          <w:szCs w:val="24"/>
        </w:rPr>
        <w:t>ed</w:t>
      </w:r>
      <w:r w:rsidRPr="00553FEB">
        <w:rPr>
          <w:sz w:val="24"/>
          <w:szCs w:val="24"/>
        </w:rPr>
        <w:t xml:space="preserve"> with </w:t>
      </w:r>
      <w:r>
        <w:rPr>
          <w:sz w:val="24"/>
          <w:szCs w:val="24"/>
        </w:rPr>
        <w:t>its</w:t>
      </w:r>
      <w:r w:rsidRPr="00553FEB">
        <w:rPr>
          <w:sz w:val="24"/>
          <w:szCs w:val="24"/>
        </w:rPr>
        <w:t xml:space="preserve"> DSM Advisory Group during the September Advisory Group Meeting </w:t>
      </w:r>
      <w:r>
        <w:rPr>
          <w:sz w:val="24"/>
          <w:szCs w:val="24"/>
        </w:rPr>
        <w:t>the proposed</w:t>
      </w:r>
      <w:r w:rsidRPr="00553FEB">
        <w:rPr>
          <w:sz w:val="24"/>
          <w:szCs w:val="24"/>
        </w:rPr>
        <w:t xml:space="preserve"> revision</w:t>
      </w:r>
      <w:r>
        <w:rPr>
          <w:sz w:val="24"/>
          <w:szCs w:val="24"/>
        </w:rPr>
        <w:t>s</w:t>
      </w:r>
      <w:r w:rsidRPr="00553FEB">
        <w:rPr>
          <w:sz w:val="24"/>
          <w:szCs w:val="24"/>
        </w:rPr>
        <w:t xml:space="preserve"> to Schedule</w:t>
      </w:r>
      <w:r>
        <w:rPr>
          <w:sz w:val="24"/>
          <w:szCs w:val="24"/>
        </w:rPr>
        <w:t>s</w:t>
      </w:r>
      <w:r w:rsidRPr="00553FEB">
        <w:rPr>
          <w:sz w:val="24"/>
          <w:szCs w:val="24"/>
        </w:rPr>
        <w:t xml:space="preserve"> </w:t>
      </w:r>
      <w:proofErr w:type="gramStart"/>
      <w:r w:rsidRPr="00553FEB">
        <w:rPr>
          <w:sz w:val="24"/>
          <w:szCs w:val="24"/>
        </w:rPr>
        <w:t xml:space="preserve">90 </w:t>
      </w:r>
      <w:r>
        <w:rPr>
          <w:sz w:val="24"/>
          <w:szCs w:val="24"/>
        </w:rPr>
        <w:t xml:space="preserve"> and</w:t>
      </w:r>
      <w:proofErr w:type="gramEnd"/>
      <w:r>
        <w:rPr>
          <w:sz w:val="24"/>
          <w:szCs w:val="24"/>
        </w:rPr>
        <w:t xml:space="preserve"> 190 </w:t>
      </w:r>
      <w:r w:rsidRPr="00553FEB">
        <w:rPr>
          <w:sz w:val="24"/>
          <w:szCs w:val="24"/>
        </w:rPr>
        <w:t>to  flatten the incentive</w:t>
      </w:r>
      <w:r>
        <w:rPr>
          <w:sz w:val="24"/>
          <w:szCs w:val="24"/>
        </w:rPr>
        <w:t>s</w:t>
      </w:r>
      <w:r w:rsidRPr="00553FEB">
        <w:rPr>
          <w:sz w:val="24"/>
          <w:szCs w:val="24"/>
        </w:rPr>
        <w:t xml:space="preserve"> to $.20 per kWh and $3 per therm for all projects with a simple payback of less than 15 years. The revision</w:t>
      </w:r>
      <w:r>
        <w:rPr>
          <w:sz w:val="24"/>
          <w:szCs w:val="24"/>
        </w:rPr>
        <w:t>s</w:t>
      </w:r>
      <w:r w:rsidRPr="00553FEB">
        <w:rPr>
          <w:sz w:val="24"/>
          <w:szCs w:val="24"/>
        </w:rPr>
        <w:t xml:space="preserve"> would also include a 70% cap on the</w:t>
      </w:r>
      <w:r>
        <w:rPr>
          <w:sz w:val="24"/>
          <w:szCs w:val="24"/>
        </w:rPr>
        <w:t xml:space="preserve"> project incremental cost. The C</w:t>
      </w:r>
      <w:r w:rsidRPr="00553FEB">
        <w:rPr>
          <w:sz w:val="24"/>
          <w:szCs w:val="24"/>
        </w:rPr>
        <w:t>ompany believes</w:t>
      </w:r>
      <w:r w:rsidR="00A8600D">
        <w:rPr>
          <w:sz w:val="24"/>
          <w:szCs w:val="24"/>
        </w:rPr>
        <w:t>, and the Advisory Group supported</w:t>
      </w:r>
      <w:r w:rsidRPr="00553FEB">
        <w:rPr>
          <w:sz w:val="24"/>
          <w:szCs w:val="24"/>
        </w:rPr>
        <w:t xml:space="preserve"> this simplified approach </w:t>
      </w:r>
      <w:r w:rsidR="004950FD">
        <w:rPr>
          <w:sz w:val="24"/>
          <w:szCs w:val="24"/>
        </w:rPr>
        <w:t xml:space="preserve">that </w:t>
      </w:r>
      <w:r w:rsidRPr="00553FEB">
        <w:rPr>
          <w:sz w:val="24"/>
          <w:szCs w:val="24"/>
        </w:rPr>
        <w:t>increases the clarity of our programs to customers as well as aligns our approach with the other regional utilities.</w:t>
      </w:r>
    </w:p>
    <w:p w:rsidR="00553FEB" w:rsidRDefault="00553FEB" w:rsidP="00553FEB">
      <w:pPr>
        <w:spacing w:line="360" w:lineRule="auto"/>
        <w:ind w:firstLine="720"/>
        <w:jc w:val="both"/>
        <w:rPr>
          <w:sz w:val="24"/>
          <w:szCs w:val="24"/>
        </w:rPr>
      </w:pPr>
    </w:p>
    <w:p w:rsidR="00AD0557" w:rsidRDefault="00AD0557" w:rsidP="00553FEB">
      <w:pPr>
        <w:spacing w:line="360" w:lineRule="auto"/>
        <w:jc w:val="both"/>
        <w:rPr>
          <w:sz w:val="24"/>
          <w:szCs w:val="24"/>
        </w:rPr>
      </w:pPr>
    </w:p>
    <w:p w:rsidR="00300D34" w:rsidRDefault="00300D34" w:rsidP="00553FEB">
      <w:pPr>
        <w:spacing w:line="360" w:lineRule="auto"/>
        <w:jc w:val="both"/>
        <w:rPr>
          <w:sz w:val="24"/>
          <w:szCs w:val="24"/>
        </w:rPr>
      </w:pPr>
    </w:p>
    <w:p w:rsidR="00A8600D" w:rsidRDefault="00A8600D" w:rsidP="00553FEB">
      <w:pPr>
        <w:spacing w:line="360" w:lineRule="auto"/>
        <w:jc w:val="both"/>
        <w:rPr>
          <w:sz w:val="24"/>
          <w:szCs w:val="24"/>
        </w:rPr>
      </w:pPr>
    </w:p>
    <w:p w:rsidR="00A8600D" w:rsidRDefault="00A8600D" w:rsidP="00553FEB">
      <w:pPr>
        <w:spacing w:line="360" w:lineRule="auto"/>
        <w:jc w:val="both"/>
        <w:rPr>
          <w:sz w:val="24"/>
          <w:szCs w:val="24"/>
        </w:rPr>
      </w:pPr>
    </w:p>
    <w:p w:rsidR="00A8600D" w:rsidRDefault="00A8600D" w:rsidP="00553FEB">
      <w:pPr>
        <w:spacing w:line="360" w:lineRule="auto"/>
        <w:jc w:val="both"/>
        <w:rPr>
          <w:sz w:val="24"/>
          <w:szCs w:val="24"/>
        </w:rPr>
      </w:pPr>
    </w:p>
    <w:p w:rsidR="003A48DF" w:rsidRDefault="00F609F5" w:rsidP="00277086">
      <w:pPr>
        <w:spacing w:line="360" w:lineRule="auto"/>
        <w:ind w:firstLine="720"/>
        <w:jc w:val="both"/>
        <w:rPr>
          <w:sz w:val="24"/>
          <w:szCs w:val="24"/>
        </w:rPr>
      </w:pPr>
      <w:r>
        <w:rPr>
          <w:sz w:val="24"/>
          <w:szCs w:val="24"/>
        </w:rPr>
        <w:lastRenderedPageBreak/>
        <w:t>T</w:t>
      </w:r>
      <w:r w:rsidR="003A48DF">
        <w:rPr>
          <w:sz w:val="24"/>
          <w:szCs w:val="24"/>
        </w:rPr>
        <w:t xml:space="preserve">he </w:t>
      </w:r>
      <w:r>
        <w:rPr>
          <w:sz w:val="24"/>
          <w:szCs w:val="24"/>
        </w:rPr>
        <w:t>following table</w:t>
      </w:r>
      <w:r w:rsidR="003A48DF">
        <w:rPr>
          <w:sz w:val="24"/>
          <w:szCs w:val="24"/>
        </w:rPr>
        <w:t xml:space="preserve"> </w:t>
      </w:r>
      <w:r>
        <w:rPr>
          <w:sz w:val="24"/>
          <w:szCs w:val="24"/>
        </w:rPr>
        <w:t>in</w:t>
      </w:r>
      <w:r w:rsidR="008002DF">
        <w:rPr>
          <w:sz w:val="24"/>
          <w:szCs w:val="24"/>
        </w:rPr>
        <w:t xml:space="preserve"> </w:t>
      </w:r>
      <w:r w:rsidR="003A48DF">
        <w:rPr>
          <w:sz w:val="24"/>
          <w:szCs w:val="24"/>
        </w:rPr>
        <w:t>Schedule 90</w:t>
      </w:r>
      <w:r w:rsidR="008002DF">
        <w:rPr>
          <w:sz w:val="24"/>
          <w:szCs w:val="24"/>
        </w:rPr>
        <w:t>A</w:t>
      </w:r>
      <w:r w:rsidR="004950FD" w:rsidRPr="004950FD">
        <w:rPr>
          <w:sz w:val="24"/>
          <w:szCs w:val="24"/>
        </w:rPr>
        <w:t xml:space="preserve"> </w:t>
      </w:r>
      <w:r w:rsidR="004950FD" w:rsidRPr="00553FEB">
        <w:rPr>
          <w:sz w:val="24"/>
          <w:szCs w:val="24"/>
        </w:rPr>
        <w:t>flatten</w:t>
      </w:r>
      <w:r w:rsidR="004950FD">
        <w:rPr>
          <w:sz w:val="24"/>
          <w:szCs w:val="24"/>
        </w:rPr>
        <w:t>s</w:t>
      </w:r>
      <w:r w:rsidR="004950FD" w:rsidRPr="00553FEB">
        <w:rPr>
          <w:sz w:val="24"/>
          <w:szCs w:val="24"/>
        </w:rPr>
        <w:t xml:space="preserve"> the incentive</w:t>
      </w:r>
      <w:r w:rsidR="004950FD">
        <w:rPr>
          <w:sz w:val="24"/>
          <w:szCs w:val="24"/>
        </w:rPr>
        <w:t>s</w:t>
      </w:r>
      <w:r w:rsidR="004950FD" w:rsidRPr="00553FEB">
        <w:rPr>
          <w:sz w:val="24"/>
          <w:szCs w:val="24"/>
        </w:rPr>
        <w:t xml:space="preserve"> to $.20 per kWh</w:t>
      </w:r>
      <w:r w:rsidR="003A48DF">
        <w:rPr>
          <w:sz w:val="24"/>
          <w:szCs w:val="24"/>
        </w:rPr>
        <w:t>:</w:t>
      </w:r>
    </w:p>
    <w:p w:rsidR="00CB33C1" w:rsidRDefault="00CB33C1" w:rsidP="00277086">
      <w:pPr>
        <w:spacing w:line="360" w:lineRule="auto"/>
        <w:ind w:firstLine="720"/>
        <w:jc w:val="both"/>
        <w:rPr>
          <w:sz w:val="24"/>
          <w:szCs w:val="24"/>
        </w:rPr>
      </w:pPr>
    </w:p>
    <w:p w:rsidR="00F609F5" w:rsidRPr="00CB33C1" w:rsidRDefault="00F609F5" w:rsidP="00CB33C1">
      <w:pPr>
        <w:spacing w:line="360" w:lineRule="auto"/>
        <w:jc w:val="both"/>
        <w:rPr>
          <w:b/>
          <w:sz w:val="24"/>
          <w:szCs w:val="24"/>
          <w:u w:val="single"/>
        </w:rPr>
      </w:pPr>
      <w:r w:rsidRPr="00CB33C1">
        <w:rPr>
          <w:b/>
          <w:sz w:val="24"/>
          <w:szCs w:val="24"/>
          <w:u w:val="single"/>
        </w:rPr>
        <w:t>Table No. 1</w:t>
      </w:r>
    </w:p>
    <w:tbl>
      <w:tblPr>
        <w:tblW w:w="698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0"/>
        <w:gridCol w:w="4600"/>
      </w:tblGrid>
      <w:tr w:rsidR="004950FD" w:rsidRPr="00290032" w:rsidTr="004950FD">
        <w:trPr>
          <w:cantSplit/>
          <w:trHeight w:val="510"/>
        </w:trPr>
        <w:tc>
          <w:tcPr>
            <w:tcW w:w="2380" w:type="dxa"/>
            <w:vMerge w:val="restart"/>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b/>
                <w:bCs/>
                <w:sz w:val="22"/>
                <w:szCs w:val="22"/>
              </w:rPr>
            </w:pPr>
            <w:r w:rsidRPr="00290032">
              <w:rPr>
                <w:rFonts w:ascii="Arial" w:hAnsi="Arial" w:cs="Arial"/>
                <w:b/>
                <w:bCs/>
                <w:sz w:val="22"/>
                <w:szCs w:val="22"/>
              </w:rPr>
              <w:t>Simple Pay-Back Period</w:t>
            </w:r>
          </w:p>
        </w:tc>
        <w:tc>
          <w:tcPr>
            <w:tcW w:w="4600" w:type="dxa"/>
            <w:tcMar>
              <w:top w:w="15" w:type="dxa"/>
              <w:left w:w="15" w:type="dxa"/>
              <w:bottom w:w="0" w:type="dxa"/>
              <w:right w:w="15" w:type="dxa"/>
            </w:tcMar>
            <w:vAlign w:val="bottom"/>
          </w:tcPr>
          <w:p w:rsidR="004950FD" w:rsidRPr="00290032" w:rsidRDefault="004950FD" w:rsidP="004950FD">
            <w:pPr>
              <w:jc w:val="center"/>
              <w:rPr>
                <w:rFonts w:ascii="Arial" w:eastAsia="Arial Unicode MS" w:hAnsi="Arial"/>
                <w:b/>
                <w:bCs/>
                <w:sz w:val="22"/>
                <w:szCs w:val="22"/>
              </w:rPr>
            </w:pPr>
            <w:r w:rsidRPr="00290032">
              <w:rPr>
                <w:rFonts w:ascii="Arial" w:hAnsi="Arial" w:cs="Arial"/>
                <w:b/>
                <w:bCs/>
                <w:sz w:val="22"/>
                <w:szCs w:val="22"/>
              </w:rPr>
              <w:t>Incentive Level                                                             (cents per first year kWh saved)</w:t>
            </w:r>
          </w:p>
        </w:tc>
      </w:tr>
      <w:tr w:rsidR="004950FD" w:rsidRPr="00290032" w:rsidTr="004950FD">
        <w:trPr>
          <w:cantSplit/>
          <w:trHeight w:val="255"/>
        </w:trPr>
        <w:tc>
          <w:tcPr>
            <w:tcW w:w="0" w:type="auto"/>
            <w:vMerge/>
            <w:vAlign w:val="center"/>
          </w:tcPr>
          <w:p w:rsidR="004950FD" w:rsidRPr="00290032" w:rsidRDefault="004950FD" w:rsidP="004950FD">
            <w:pPr>
              <w:rPr>
                <w:rFonts w:ascii="Arial" w:eastAsia="Arial Unicode MS" w:hAnsi="Arial"/>
                <w:b/>
                <w:bCs/>
                <w:sz w:val="22"/>
                <w:szCs w:val="22"/>
              </w:rPr>
            </w:pPr>
          </w:p>
        </w:tc>
        <w:tc>
          <w:tcPr>
            <w:tcW w:w="4600" w:type="dxa"/>
            <w:tcMar>
              <w:top w:w="15" w:type="dxa"/>
              <w:left w:w="15" w:type="dxa"/>
              <w:bottom w:w="0" w:type="dxa"/>
              <w:right w:w="15" w:type="dxa"/>
            </w:tcMar>
            <w:vAlign w:val="bottom"/>
          </w:tcPr>
          <w:p w:rsidR="004950FD" w:rsidRPr="00290032" w:rsidRDefault="004950FD" w:rsidP="004950FD">
            <w:pPr>
              <w:jc w:val="center"/>
              <w:rPr>
                <w:rFonts w:ascii="Arial" w:eastAsia="Arial Unicode MS" w:hAnsi="Arial"/>
                <w:b/>
                <w:bCs/>
                <w:i/>
                <w:iCs/>
                <w:sz w:val="22"/>
                <w:szCs w:val="22"/>
              </w:rPr>
            </w:pPr>
            <w:r w:rsidRPr="00290032">
              <w:rPr>
                <w:rFonts w:ascii="Arial" w:hAnsi="Arial" w:cs="Arial"/>
                <w:b/>
                <w:bCs/>
                <w:i/>
                <w:iCs/>
                <w:sz w:val="22"/>
                <w:szCs w:val="22"/>
              </w:rPr>
              <w:t>(M</w:t>
            </w:r>
            <w:r>
              <w:rPr>
                <w:rFonts w:ascii="Arial" w:hAnsi="Arial" w:cs="Arial"/>
                <w:b/>
                <w:bCs/>
                <w:i/>
                <w:iCs/>
                <w:sz w:val="22"/>
                <w:szCs w:val="22"/>
              </w:rPr>
              <w:t>inimum measure life of 10 years</w:t>
            </w:r>
            <w:r w:rsidRPr="00290032">
              <w:rPr>
                <w:rFonts w:ascii="Arial" w:hAnsi="Arial" w:cs="Arial"/>
                <w:b/>
                <w:bCs/>
                <w:i/>
                <w:iCs/>
                <w:sz w:val="22"/>
                <w:szCs w:val="22"/>
              </w:rPr>
              <w:t>)</w:t>
            </w:r>
          </w:p>
        </w:tc>
      </w:tr>
      <w:tr w:rsidR="004950FD" w:rsidRPr="00290032" w:rsidTr="004950FD">
        <w:trPr>
          <w:trHeight w:val="255"/>
        </w:trPr>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Under 15</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20</w:t>
            </w:r>
            <w:r w:rsidRPr="00290032">
              <w:rPr>
                <w:rFonts w:ascii="Arial" w:hAnsi="Arial" w:cs="Arial"/>
                <w:sz w:val="22"/>
                <w:szCs w:val="22"/>
              </w:rPr>
              <w:t xml:space="preserve"> cents</w:t>
            </w:r>
          </w:p>
        </w:tc>
      </w:tr>
      <w:tr w:rsidR="004950FD" w:rsidRPr="00290032" w:rsidTr="004950FD">
        <w:trPr>
          <w:trHeight w:val="255"/>
        </w:trPr>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Over 15</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0</w:t>
            </w:r>
            <w:r w:rsidRPr="00290032">
              <w:rPr>
                <w:rFonts w:ascii="Arial" w:hAnsi="Arial" w:cs="Arial"/>
                <w:sz w:val="22"/>
                <w:szCs w:val="22"/>
              </w:rPr>
              <w:t xml:space="preserve"> cents</w:t>
            </w:r>
          </w:p>
        </w:tc>
      </w:tr>
    </w:tbl>
    <w:p w:rsidR="00CB33C1" w:rsidRPr="00F87289" w:rsidRDefault="00CB33C1" w:rsidP="00CB33C1">
      <w:pPr>
        <w:spacing w:line="360" w:lineRule="auto"/>
        <w:jc w:val="both"/>
        <w:rPr>
          <w:sz w:val="24"/>
          <w:szCs w:val="24"/>
        </w:rPr>
      </w:pPr>
    </w:p>
    <w:p w:rsidR="004950FD" w:rsidRDefault="004950FD" w:rsidP="004950FD">
      <w:pPr>
        <w:spacing w:line="360" w:lineRule="auto"/>
        <w:ind w:firstLine="720"/>
        <w:jc w:val="both"/>
        <w:rPr>
          <w:sz w:val="24"/>
          <w:szCs w:val="24"/>
        </w:rPr>
      </w:pPr>
      <w:r>
        <w:rPr>
          <w:sz w:val="24"/>
          <w:szCs w:val="24"/>
        </w:rPr>
        <w:t>The following table in Schedule 190A</w:t>
      </w:r>
      <w:r w:rsidRPr="004950FD">
        <w:rPr>
          <w:sz w:val="24"/>
          <w:szCs w:val="24"/>
        </w:rPr>
        <w:t xml:space="preserve"> </w:t>
      </w:r>
      <w:r w:rsidRPr="00553FEB">
        <w:rPr>
          <w:sz w:val="24"/>
          <w:szCs w:val="24"/>
        </w:rPr>
        <w:t>flatten</w:t>
      </w:r>
      <w:r>
        <w:rPr>
          <w:sz w:val="24"/>
          <w:szCs w:val="24"/>
        </w:rPr>
        <w:t>s</w:t>
      </w:r>
      <w:r w:rsidRPr="00553FEB">
        <w:rPr>
          <w:sz w:val="24"/>
          <w:szCs w:val="24"/>
        </w:rPr>
        <w:t xml:space="preserve"> the incentive</w:t>
      </w:r>
      <w:r>
        <w:rPr>
          <w:sz w:val="24"/>
          <w:szCs w:val="24"/>
        </w:rPr>
        <w:t>s to $3 per therm:</w:t>
      </w:r>
    </w:p>
    <w:p w:rsidR="00CB33C1" w:rsidRDefault="00CB33C1" w:rsidP="00300D34">
      <w:pPr>
        <w:ind w:firstLine="720"/>
        <w:jc w:val="both"/>
        <w:rPr>
          <w:sz w:val="24"/>
          <w:szCs w:val="24"/>
        </w:rPr>
      </w:pPr>
    </w:p>
    <w:p w:rsidR="00F609F5" w:rsidRDefault="00F609F5" w:rsidP="00CB33C1">
      <w:pPr>
        <w:jc w:val="both"/>
        <w:rPr>
          <w:b/>
          <w:sz w:val="24"/>
          <w:szCs w:val="24"/>
          <w:u w:val="single"/>
        </w:rPr>
      </w:pPr>
      <w:r w:rsidRPr="00CB33C1">
        <w:rPr>
          <w:b/>
          <w:sz w:val="24"/>
          <w:szCs w:val="24"/>
          <w:u w:val="single"/>
        </w:rPr>
        <w:t>Table No. 2</w:t>
      </w:r>
    </w:p>
    <w:p w:rsidR="00CB33C1" w:rsidRPr="00CB33C1" w:rsidRDefault="00CB33C1" w:rsidP="00CB33C1">
      <w:pPr>
        <w:jc w:val="both"/>
        <w:rPr>
          <w:b/>
          <w:sz w:val="24"/>
          <w:szCs w:val="24"/>
          <w:u w:val="single"/>
        </w:rPr>
      </w:pP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330"/>
        <w:gridCol w:w="2970"/>
      </w:tblGrid>
      <w:tr w:rsidR="004950FD" w:rsidTr="004950FD">
        <w:tc>
          <w:tcPr>
            <w:tcW w:w="2340" w:type="dxa"/>
          </w:tcPr>
          <w:p w:rsidR="004950FD" w:rsidRDefault="004950FD" w:rsidP="004950FD">
            <w:pPr>
              <w:jc w:val="center"/>
              <w:rPr>
                <w:rFonts w:ascii="Arial" w:hAnsi="Arial" w:cs="Arial"/>
                <w:b/>
                <w:bCs/>
                <w:sz w:val="22"/>
                <w:szCs w:val="22"/>
              </w:rPr>
            </w:pPr>
            <w:r>
              <w:rPr>
                <w:rFonts w:ascii="Arial" w:hAnsi="Arial" w:cs="Arial"/>
                <w:b/>
                <w:bCs/>
                <w:sz w:val="22"/>
                <w:szCs w:val="22"/>
              </w:rPr>
              <w:t>Measures</w:t>
            </w:r>
          </w:p>
        </w:tc>
        <w:tc>
          <w:tcPr>
            <w:tcW w:w="3330" w:type="dxa"/>
          </w:tcPr>
          <w:p w:rsidR="004950FD" w:rsidRDefault="004950FD" w:rsidP="004950FD">
            <w:pPr>
              <w:jc w:val="center"/>
              <w:rPr>
                <w:rFonts w:ascii="Arial" w:hAnsi="Arial" w:cs="Arial"/>
                <w:b/>
                <w:bCs/>
                <w:sz w:val="22"/>
                <w:szCs w:val="22"/>
              </w:rPr>
            </w:pPr>
            <w:r>
              <w:rPr>
                <w:rFonts w:ascii="Arial" w:hAnsi="Arial" w:cs="Arial"/>
                <w:b/>
                <w:bCs/>
                <w:sz w:val="22"/>
                <w:szCs w:val="22"/>
              </w:rPr>
              <w:t>Simple Pay-Back Period</w:t>
            </w:r>
          </w:p>
        </w:tc>
        <w:tc>
          <w:tcPr>
            <w:tcW w:w="2970" w:type="dxa"/>
          </w:tcPr>
          <w:p w:rsidR="004950FD" w:rsidRDefault="004950FD" w:rsidP="004950FD">
            <w:pPr>
              <w:jc w:val="center"/>
              <w:rPr>
                <w:rFonts w:ascii="Arial" w:hAnsi="Arial" w:cs="Arial"/>
                <w:b/>
                <w:bCs/>
                <w:sz w:val="22"/>
                <w:szCs w:val="22"/>
              </w:rPr>
            </w:pPr>
            <w:r>
              <w:rPr>
                <w:rFonts w:ascii="Arial" w:hAnsi="Arial" w:cs="Arial"/>
                <w:b/>
                <w:bCs/>
                <w:sz w:val="22"/>
                <w:szCs w:val="22"/>
              </w:rPr>
              <w:t>Incentive Level</w:t>
            </w:r>
          </w:p>
          <w:p w:rsidR="004950FD" w:rsidRDefault="004950FD" w:rsidP="004950FD">
            <w:pPr>
              <w:jc w:val="center"/>
              <w:rPr>
                <w:rFonts w:ascii="Arial" w:hAnsi="Arial" w:cs="Arial"/>
                <w:b/>
                <w:bCs/>
                <w:sz w:val="18"/>
                <w:szCs w:val="18"/>
              </w:rPr>
            </w:pPr>
            <w:r>
              <w:rPr>
                <w:rFonts w:ascii="Arial" w:hAnsi="Arial" w:cs="Arial"/>
                <w:b/>
                <w:bCs/>
                <w:sz w:val="18"/>
                <w:szCs w:val="18"/>
              </w:rPr>
              <w:t>(dollars/first year therm saved)</w:t>
            </w:r>
          </w:p>
          <w:p w:rsidR="004950FD" w:rsidRDefault="004950FD" w:rsidP="004950FD">
            <w:pPr>
              <w:jc w:val="center"/>
              <w:rPr>
                <w:rFonts w:ascii="Arial" w:hAnsi="Arial" w:cs="Arial"/>
                <w:b/>
                <w:bCs/>
                <w:sz w:val="18"/>
                <w:szCs w:val="18"/>
              </w:rPr>
            </w:pPr>
            <w:r>
              <w:rPr>
                <w:rFonts w:ascii="Arial" w:hAnsi="Arial" w:cs="Arial"/>
                <w:b/>
                <w:bCs/>
                <w:sz w:val="18"/>
                <w:szCs w:val="18"/>
              </w:rPr>
              <w:t>(Minimum measure life of 10 years)</w:t>
            </w:r>
          </w:p>
        </w:tc>
      </w:tr>
      <w:tr w:rsidR="004950FD" w:rsidTr="004950FD">
        <w:trPr>
          <w:cantSplit/>
        </w:trPr>
        <w:tc>
          <w:tcPr>
            <w:tcW w:w="2340" w:type="dxa"/>
            <w:vMerge w:val="restart"/>
          </w:tcPr>
          <w:p w:rsidR="004950FD" w:rsidRDefault="004950FD" w:rsidP="004950FD">
            <w:pPr>
              <w:pStyle w:val="Footer"/>
              <w:tabs>
                <w:tab w:val="clear" w:pos="4320"/>
                <w:tab w:val="clear" w:pos="8640"/>
              </w:tabs>
              <w:rPr>
                <w:rFonts w:ascii="Arial" w:hAnsi="Arial" w:cs="Arial"/>
              </w:rPr>
            </w:pPr>
            <w:r>
              <w:rPr>
                <w:rFonts w:ascii="Arial" w:hAnsi="Arial" w:cs="Arial"/>
              </w:rPr>
              <w:t>Natural Gas Efficiency</w:t>
            </w:r>
          </w:p>
        </w:tc>
        <w:tc>
          <w:tcPr>
            <w:tcW w:w="3330" w:type="dxa"/>
            <w:tcBorders>
              <w:bottom w:val="single" w:sz="4" w:space="0" w:color="auto"/>
            </w:tcBorders>
          </w:tcPr>
          <w:p w:rsidR="004950FD" w:rsidRDefault="004950FD" w:rsidP="004950FD">
            <w:pPr>
              <w:jc w:val="center"/>
              <w:rPr>
                <w:rFonts w:ascii="Arial" w:hAnsi="Arial" w:cs="Arial"/>
              </w:rPr>
            </w:pPr>
            <w:r>
              <w:rPr>
                <w:rFonts w:ascii="Arial" w:hAnsi="Arial" w:cs="Arial"/>
              </w:rPr>
              <w:t>Under 15 years</w:t>
            </w:r>
          </w:p>
        </w:tc>
        <w:tc>
          <w:tcPr>
            <w:tcW w:w="2970" w:type="dxa"/>
          </w:tcPr>
          <w:p w:rsidR="004950FD" w:rsidRDefault="004950FD" w:rsidP="004950FD">
            <w:pPr>
              <w:jc w:val="center"/>
              <w:rPr>
                <w:rFonts w:ascii="Arial" w:hAnsi="Arial" w:cs="Arial"/>
              </w:rPr>
            </w:pPr>
            <w:r>
              <w:rPr>
                <w:rFonts w:ascii="Arial" w:hAnsi="Arial" w:cs="Arial"/>
              </w:rPr>
              <w:t>$3.00</w:t>
            </w:r>
          </w:p>
        </w:tc>
      </w:tr>
      <w:tr w:rsidR="004950FD" w:rsidTr="004950FD">
        <w:trPr>
          <w:cantSplit/>
        </w:trPr>
        <w:tc>
          <w:tcPr>
            <w:tcW w:w="2340" w:type="dxa"/>
            <w:vMerge/>
          </w:tcPr>
          <w:p w:rsidR="004950FD" w:rsidRDefault="004950FD" w:rsidP="004950FD">
            <w:pPr>
              <w:jc w:val="both"/>
              <w:rPr>
                <w:rFonts w:ascii="Arial" w:hAnsi="Arial" w:cs="Arial"/>
              </w:rPr>
            </w:pPr>
          </w:p>
        </w:tc>
        <w:tc>
          <w:tcPr>
            <w:tcW w:w="3330" w:type="dxa"/>
            <w:tcBorders>
              <w:bottom w:val="single" w:sz="4" w:space="0" w:color="auto"/>
            </w:tcBorders>
          </w:tcPr>
          <w:p w:rsidR="004950FD" w:rsidRDefault="004950FD" w:rsidP="004950FD">
            <w:pPr>
              <w:jc w:val="center"/>
              <w:rPr>
                <w:rFonts w:ascii="Arial" w:hAnsi="Arial" w:cs="Arial"/>
              </w:rPr>
            </w:pPr>
            <w:r>
              <w:rPr>
                <w:rFonts w:ascii="Arial" w:hAnsi="Arial" w:cs="Arial"/>
              </w:rPr>
              <w:t>Over 15 years</w:t>
            </w:r>
          </w:p>
        </w:tc>
        <w:tc>
          <w:tcPr>
            <w:tcW w:w="2970" w:type="dxa"/>
          </w:tcPr>
          <w:p w:rsidR="004950FD" w:rsidRDefault="004950FD" w:rsidP="004950FD">
            <w:pPr>
              <w:jc w:val="center"/>
              <w:rPr>
                <w:rFonts w:ascii="Arial" w:hAnsi="Arial" w:cs="Arial"/>
              </w:rPr>
            </w:pPr>
            <w:r>
              <w:rPr>
                <w:rFonts w:ascii="Arial" w:hAnsi="Arial" w:cs="Arial"/>
              </w:rPr>
              <w:t>$0</w:t>
            </w:r>
          </w:p>
        </w:tc>
      </w:tr>
    </w:tbl>
    <w:p w:rsidR="00503707" w:rsidRPr="00F87289" w:rsidRDefault="00503707" w:rsidP="00277086">
      <w:pPr>
        <w:spacing w:line="360" w:lineRule="auto"/>
        <w:ind w:firstLine="720"/>
        <w:jc w:val="both"/>
        <w:rPr>
          <w:sz w:val="24"/>
          <w:szCs w:val="24"/>
        </w:rPr>
      </w:pPr>
      <w:r w:rsidRPr="00F87289">
        <w:rPr>
          <w:sz w:val="24"/>
          <w:szCs w:val="24"/>
        </w:rPr>
        <w:t xml:space="preserve">  </w:t>
      </w:r>
    </w:p>
    <w:p w:rsidR="0004743D" w:rsidRPr="00F87289" w:rsidRDefault="0004743D" w:rsidP="00277086">
      <w:pPr>
        <w:spacing w:line="360" w:lineRule="auto"/>
        <w:ind w:firstLine="720"/>
        <w:jc w:val="both"/>
        <w:rPr>
          <w:sz w:val="24"/>
          <w:szCs w:val="24"/>
        </w:rPr>
      </w:pPr>
      <w:r w:rsidRPr="00F87289">
        <w:rPr>
          <w:sz w:val="24"/>
          <w:szCs w:val="24"/>
        </w:rPr>
        <w:t xml:space="preserve">In conclusion, Avista </w:t>
      </w:r>
      <w:r w:rsidRPr="00F87289">
        <w:rPr>
          <w:rStyle w:val="LineNumber"/>
        </w:rPr>
        <w:t>requests the Commission approve the proposed revisions in Schedule</w:t>
      </w:r>
      <w:r w:rsidR="004950FD">
        <w:rPr>
          <w:rStyle w:val="LineNumber"/>
        </w:rPr>
        <w:t>s</w:t>
      </w:r>
      <w:r w:rsidRPr="00F87289">
        <w:rPr>
          <w:rStyle w:val="LineNumber"/>
        </w:rPr>
        <w:t xml:space="preserve"> 90 </w:t>
      </w:r>
      <w:r w:rsidR="004950FD">
        <w:rPr>
          <w:rStyle w:val="LineNumber"/>
        </w:rPr>
        <w:t xml:space="preserve">and 190 </w:t>
      </w:r>
      <w:r w:rsidRPr="00F87289">
        <w:rPr>
          <w:rStyle w:val="LineNumber"/>
        </w:rPr>
        <w:t xml:space="preserve">with an effective date of </w:t>
      </w:r>
      <w:r w:rsidR="00F22271">
        <w:rPr>
          <w:rStyle w:val="LineNumber"/>
        </w:rPr>
        <w:t>January 7</w:t>
      </w:r>
      <w:r w:rsidR="004950FD">
        <w:rPr>
          <w:rStyle w:val="LineNumber"/>
        </w:rPr>
        <w:t>, 2016</w:t>
      </w:r>
      <w:r w:rsidRPr="00F87289">
        <w:rPr>
          <w:sz w:val="24"/>
          <w:szCs w:val="24"/>
        </w:rPr>
        <w:t>.</w:t>
      </w:r>
    </w:p>
    <w:p w:rsidR="00AD0557" w:rsidRDefault="00AD0557" w:rsidP="00300D34">
      <w:pPr>
        <w:suppressAutoHyphens/>
        <w:ind w:firstLine="720"/>
        <w:jc w:val="both"/>
        <w:rPr>
          <w:sz w:val="24"/>
          <w:szCs w:val="24"/>
        </w:rPr>
      </w:pPr>
    </w:p>
    <w:p w:rsidR="0004743D" w:rsidRPr="00F87289" w:rsidRDefault="0004743D" w:rsidP="00AD0557">
      <w:pPr>
        <w:suppressAutoHyphens/>
        <w:spacing w:line="360" w:lineRule="auto"/>
        <w:ind w:firstLine="720"/>
        <w:jc w:val="both"/>
        <w:rPr>
          <w:sz w:val="24"/>
          <w:szCs w:val="24"/>
        </w:rPr>
      </w:pPr>
      <w:r w:rsidRPr="00F87289">
        <w:rPr>
          <w:sz w:val="24"/>
          <w:szCs w:val="24"/>
        </w:rPr>
        <w:t>Pursuant to WAC 480-100-195(2)</w:t>
      </w:r>
      <w:r w:rsidR="004950FD">
        <w:rPr>
          <w:sz w:val="24"/>
          <w:szCs w:val="24"/>
        </w:rPr>
        <w:t xml:space="preserve"> and 480-90-195(2)</w:t>
      </w:r>
      <w:r w:rsidRPr="00F87289">
        <w:rPr>
          <w:sz w:val="24"/>
          <w:szCs w:val="24"/>
        </w:rPr>
        <w:t xml:space="preserve">, a “Notice of Tariff Change” will be posted </w:t>
      </w:r>
      <w:r w:rsidR="006320C1">
        <w:rPr>
          <w:sz w:val="24"/>
          <w:szCs w:val="24"/>
        </w:rPr>
        <w:t>on the Company’s website</w:t>
      </w:r>
      <w:r w:rsidRPr="00F87289">
        <w:rPr>
          <w:sz w:val="24"/>
          <w:szCs w:val="24"/>
        </w:rPr>
        <w:t xml:space="preserve"> coincident with the date of this filing.  </w:t>
      </w:r>
    </w:p>
    <w:p w:rsidR="004950FD" w:rsidRDefault="004950FD" w:rsidP="00300D34">
      <w:pPr>
        <w:ind w:firstLine="720"/>
        <w:jc w:val="both"/>
        <w:rPr>
          <w:sz w:val="24"/>
          <w:szCs w:val="24"/>
        </w:rPr>
      </w:pPr>
    </w:p>
    <w:p w:rsidR="00040621" w:rsidRPr="00D3367D" w:rsidRDefault="00040621" w:rsidP="00565FBA">
      <w:pPr>
        <w:spacing w:line="360" w:lineRule="auto"/>
        <w:ind w:firstLine="720"/>
        <w:jc w:val="both"/>
        <w:rPr>
          <w:sz w:val="24"/>
          <w:szCs w:val="24"/>
        </w:rPr>
      </w:pPr>
      <w:r w:rsidRPr="00D3367D">
        <w:rPr>
          <w:sz w:val="24"/>
          <w:szCs w:val="24"/>
        </w:rPr>
        <w:t xml:space="preserve">Please direct </w:t>
      </w:r>
      <w:r w:rsidR="005479BD" w:rsidRPr="00D3367D">
        <w:rPr>
          <w:sz w:val="24"/>
          <w:szCs w:val="24"/>
        </w:rPr>
        <w:t xml:space="preserve">any questions on this matter to </w:t>
      </w:r>
      <w:r w:rsidR="00F87289">
        <w:rPr>
          <w:sz w:val="24"/>
          <w:szCs w:val="24"/>
        </w:rPr>
        <w:t>Dan Johnson at (509) 495-2807</w:t>
      </w:r>
      <w:r w:rsidR="005479BD" w:rsidRPr="00D3367D">
        <w:rPr>
          <w:sz w:val="24"/>
          <w:szCs w:val="24"/>
        </w:rPr>
        <w:t xml:space="preserve"> or </w:t>
      </w:r>
      <w:hyperlink r:id="rId9" w:history="1">
        <w:r w:rsidR="00F87289" w:rsidRPr="002B0E2E">
          <w:rPr>
            <w:rStyle w:val="Hyperlink"/>
            <w:sz w:val="24"/>
            <w:szCs w:val="24"/>
          </w:rPr>
          <w:t>dan.johnson@avistacorp.com</w:t>
        </w:r>
      </w:hyperlink>
      <w:r w:rsidR="005479BD" w:rsidRPr="00D3367D">
        <w:rPr>
          <w:sz w:val="24"/>
          <w:szCs w:val="24"/>
        </w:rPr>
        <w:t xml:space="preserve"> or </w:t>
      </w:r>
      <w:r w:rsidR="00B15816" w:rsidRPr="00D3367D">
        <w:rPr>
          <w:sz w:val="24"/>
          <w:szCs w:val="24"/>
        </w:rPr>
        <w:t>myself at (509) 495-</w:t>
      </w:r>
      <w:r w:rsidR="0088729D" w:rsidRPr="00D3367D">
        <w:rPr>
          <w:sz w:val="24"/>
          <w:szCs w:val="24"/>
        </w:rPr>
        <w:t>4975</w:t>
      </w:r>
      <w:r w:rsidR="005479BD" w:rsidRPr="00D3367D">
        <w:rPr>
          <w:sz w:val="24"/>
          <w:szCs w:val="24"/>
        </w:rPr>
        <w:t xml:space="preserve"> or </w:t>
      </w:r>
      <w:hyperlink r:id="rId10" w:history="1">
        <w:r w:rsidR="005479BD" w:rsidRPr="00D3367D">
          <w:rPr>
            <w:rStyle w:val="Hyperlink"/>
            <w:sz w:val="24"/>
            <w:szCs w:val="24"/>
          </w:rPr>
          <w:t>linda.gervais@avistacorp.com</w:t>
        </w:r>
      </w:hyperlink>
      <w:r w:rsidRPr="00D3367D">
        <w:rPr>
          <w:sz w:val="24"/>
          <w:szCs w:val="24"/>
        </w:rPr>
        <w:t>.</w:t>
      </w:r>
    </w:p>
    <w:p w:rsidR="00040621" w:rsidRPr="00D3367D" w:rsidRDefault="00040621" w:rsidP="00A03E67">
      <w:pPr>
        <w:spacing w:line="360" w:lineRule="auto"/>
        <w:jc w:val="both"/>
        <w:rPr>
          <w:sz w:val="24"/>
          <w:szCs w:val="24"/>
        </w:rPr>
      </w:pPr>
    </w:p>
    <w:p w:rsidR="00040621" w:rsidRPr="00D3367D" w:rsidRDefault="00040621">
      <w:pPr>
        <w:jc w:val="both"/>
        <w:rPr>
          <w:sz w:val="24"/>
          <w:szCs w:val="24"/>
        </w:rPr>
      </w:pPr>
      <w:r w:rsidRPr="00D3367D">
        <w:rPr>
          <w:sz w:val="24"/>
          <w:szCs w:val="24"/>
        </w:rPr>
        <w:t>Sincerely,</w:t>
      </w:r>
    </w:p>
    <w:p w:rsidR="00040621" w:rsidRPr="00D3367D" w:rsidRDefault="00040621">
      <w:pPr>
        <w:jc w:val="both"/>
        <w:rPr>
          <w:sz w:val="24"/>
          <w:szCs w:val="24"/>
        </w:rPr>
      </w:pPr>
    </w:p>
    <w:p w:rsidR="00040621" w:rsidRPr="00552625" w:rsidRDefault="00427F5F">
      <w:pPr>
        <w:jc w:val="both"/>
        <w:rPr>
          <w:rFonts w:ascii="Lucida Handwriting" w:hAnsi="Lucida Handwriting"/>
          <w:sz w:val="24"/>
          <w:szCs w:val="24"/>
        </w:rPr>
      </w:pPr>
      <w:r w:rsidRPr="00552625">
        <w:rPr>
          <w:rFonts w:ascii="Lucida Handwriting" w:hAnsi="Lucida Handwriting"/>
          <w:sz w:val="24"/>
          <w:szCs w:val="24"/>
        </w:rPr>
        <w:t>/s</w:t>
      </w:r>
      <w:r w:rsidR="006D39A8" w:rsidRPr="00552625">
        <w:rPr>
          <w:rFonts w:ascii="Lucida Handwriting" w:hAnsi="Lucida Handwriting"/>
          <w:sz w:val="24"/>
          <w:szCs w:val="24"/>
        </w:rPr>
        <w:t>/Linda Gervais</w:t>
      </w:r>
    </w:p>
    <w:p w:rsidR="00040621" w:rsidRPr="00D3367D" w:rsidRDefault="00040621">
      <w:pPr>
        <w:jc w:val="both"/>
        <w:rPr>
          <w:sz w:val="24"/>
          <w:szCs w:val="24"/>
        </w:rPr>
      </w:pPr>
    </w:p>
    <w:p w:rsidR="007A17FF" w:rsidRPr="00D3367D" w:rsidRDefault="0088729D">
      <w:pPr>
        <w:jc w:val="both"/>
        <w:rPr>
          <w:sz w:val="24"/>
          <w:szCs w:val="24"/>
        </w:rPr>
      </w:pPr>
      <w:r w:rsidRPr="00D3367D">
        <w:rPr>
          <w:sz w:val="24"/>
          <w:szCs w:val="24"/>
        </w:rPr>
        <w:t>Linda Gervais</w:t>
      </w:r>
    </w:p>
    <w:p w:rsidR="00040621" w:rsidRPr="00D3367D" w:rsidRDefault="002C67B6">
      <w:pPr>
        <w:jc w:val="both"/>
        <w:rPr>
          <w:sz w:val="24"/>
          <w:szCs w:val="24"/>
        </w:rPr>
      </w:pPr>
      <w:r w:rsidRPr="00D3367D">
        <w:rPr>
          <w:sz w:val="24"/>
          <w:szCs w:val="24"/>
        </w:rPr>
        <w:t>Manager,</w:t>
      </w:r>
      <w:r w:rsidR="0088729D" w:rsidRPr="00D3367D">
        <w:rPr>
          <w:sz w:val="24"/>
          <w:szCs w:val="24"/>
        </w:rPr>
        <w:t xml:space="preserve"> Regulatory </w:t>
      </w:r>
      <w:smartTag w:uri="urn:schemas-microsoft-com:office:smarttags" w:element="place">
        <w:r w:rsidR="0088729D" w:rsidRPr="00D3367D">
          <w:rPr>
            <w:sz w:val="24"/>
            <w:szCs w:val="24"/>
          </w:rPr>
          <w:t>Po</w:t>
        </w:r>
      </w:smartTag>
      <w:r w:rsidR="0088729D" w:rsidRPr="00D3367D">
        <w:rPr>
          <w:sz w:val="24"/>
          <w:szCs w:val="24"/>
        </w:rPr>
        <w:t>licy</w:t>
      </w:r>
    </w:p>
    <w:p w:rsidR="0088729D" w:rsidRPr="00D3367D" w:rsidRDefault="00F1689D">
      <w:pPr>
        <w:jc w:val="both"/>
        <w:rPr>
          <w:sz w:val="24"/>
          <w:szCs w:val="24"/>
        </w:rPr>
      </w:pPr>
      <w:hyperlink r:id="rId11" w:history="1">
        <w:r w:rsidR="005479BD" w:rsidRPr="00D3367D">
          <w:rPr>
            <w:rStyle w:val="Hyperlink"/>
            <w:sz w:val="24"/>
            <w:szCs w:val="24"/>
          </w:rPr>
          <w:t>linda.gervais@avistacorp.com</w:t>
        </w:r>
      </w:hyperlink>
    </w:p>
    <w:p w:rsidR="005479BD" w:rsidRPr="00D3367D" w:rsidRDefault="005479BD">
      <w:pPr>
        <w:jc w:val="both"/>
        <w:rPr>
          <w:sz w:val="24"/>
          <w:szCs w:val="24"/>
        </w:rPr>
      </w:pPr>
    </w:p>
    <w:p w:rsidR="00040621" w:rsidRPr="00D3367D" w:rsidRDefault="00040621">
      <w:pPr>
        <w:jc w:val="both"/>
        <w:rPr>
          <w:sz w:val="24"/>
          <w:szCs w:val="24"/>
        </w:rPr>
      </w:pPr>
      <w:r w:rsidRPr="00D3367D">
        <w:rPr>
          <w:sz w:val="24"/>
          <w:szCs w:val="24"/>
        </w:rPr>
        <w:t>Enclosures</w:t>
      </w:r>
    </w:p>
    <w:p w:rsidR="00B232C8" w:rsidRPr="00D3367D" w:rsidRDefault="00B232C8" w:rsidP="00B14584">
      <w:pPr>
        <w:tabs>
          <w:tab w:val="left" w:pos="360"/>
        </w:tabs>
        <w:jc w:val="both"/>
        <w:rPr>
          <w:sz w:val="24"/>
          <w:szCs w:val="24"/>
        </w:rPr>
      </w:pPr>
      <w:r w:rsidRPr="00D3367D">
        <w:rPr>
          <w:sz w:val="24"/>
          <w:szCs w:val="24"/>
        </w:rPr>
        <w:t xml:space="preserve">cc: </w:t>
      </w:r>
      <w:r w:rsidR="00B14584" w:rsidRPr="00D3367D">
        <w:rPr>
          <w:sz w:val="24"/>
          <w:szCs w:val="24"/>
        </w:rPr>
        <w:tab/>
      </w:r>
      <w:r w:rsidR="00FC23BC" w:rsidRPr="00D3367D">
        <w:rPr>
          <w:sz w:val="24"/>
          <w:szCs w:val="24"/>
        </w:rPr>
        <w:t>Advisory Group</w:t>
      </w:r>
    </w:p>
    <w:sectPr w:rsidR="00B232C8" w:rsidRPr="00D3367D" w:rsidSect="00AF4671">
      <w:headerReference w:type="default" r:id="rId12"/>
      <w:pgSz w:w="12240" w:h="15840"/>
      <w:pgMar w:top="1080" w:right="108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9D" w:rsidRDefault="00F1689D">
      <w:r>
        <w:separator/>
      </w:r>
    </w:p>
  </w:endnote>
  <w:endnote w:type="continuationSeparator" w:id="0">
    <w:p w:rsidR="00F1689D" w:rsidRDefault="00F1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9D" w:rsidRDefault="00F1689D">
      <w:r>
        <w:separator/>
      </w:r>
    </w:p>
  </w:footnote>
  <w:footnote w:type="continuationSeparator" w:id="0">
    <w:p w:rsidR="00F1689D" w:rsidRDefault="00F1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FD" w:rsidRDefault="004950FD">
    <w:pPr>
      <w:pStyle w:val="Header"/>
      <w:rPr>
        <w:sz w:val="24"/>
      </w:rPr>
    </w:pPr>
    <w:r>
      <w:rPr>
        <w:sz w:val="24"/>
      </w:rPr>
      <w:t>Schedules 90 and 190 Revisions</w:t>
    </w:r>
  </w:p>
  <w:p w:rsidR="004950FD" w:rsidRDefault="00D25692">
    <w:pPr>
      <w:pStyle w:val="Header"/>
      <w:rPr>
        <w:sz w:val="24"/>
      </w:rPr>
    </w:pPr>
    <w:r>
      <w:rPr>
        <w:sz w:val="24"/>
      </w:rPr>
      <w:t>December 7</w:t>
    </w:r>
    <w:r w:rsidR="004950FD">
      <w:rPr>
        <w:sz w:val="24"/>
      </w:rPr>
      <w:t>, 2015</w:t>
    </w:r>
  </w:p>
  <w:p w:rsidR="004950FD" w:rsidRDefault="004950FD">
    <w:pPr>
      <w:pStyle w:val="Header"/>
      <w:rPr>
        <w:rStyle w:val="PageNumber"/>
        <w:sz w:val="24"/>
      </w:rPr>
    </w:pPr>
    <w:r>
      <w:rPr>
        <w:sz w:val="24"/>
      </w:rPr>
      <w:t xml:space="preserve">Page </w:t>
    </w:r>
    <w:r w:rsidR="00B361A4">
      <w:rPr>
        <w:rStyle w:val="PageNumber"/>
        <w:sz w:val="24"/>
      </w:rPr>
      <w:fldChar w:fldCharType="begin"/>
    </w:r>
    <w:r>
      <w:rPr>
        <w:rStyle w:val="PageNumber"/>
        <w:sz w:val="24"/>
      </w:rPr>
      <w:instrText xml:space="preserve"> PAGE </w:instrText>
    </w:r>
    <w:r w:rsidR="00B361A4">
      <w:rPr>
        <w:rStyle w:val="PageNumber"/>
        <w:sz w:val="24"/>
      </w:rPr>
      <w:fldChar w:fldCharType="separate"/>
    </w:r>
    <w:r w:rsidR="00BC66DD">
      <w:rPr>
        <w:rStyle w:val="PageNumber"/>
        <w:noProof/>
        <w:sz w:val="24"/>
      </w:rPr>
      <w:t>3</w:t>
    </w:r>
    <w:r w:rsidR="00B361A4">
      <w:rPr>
        <w:rStyle w:val="PageNumber"/>
        <w:sz w:val="24"/>
      </w:rPr>
      <w:fldChar w:fldCharType="end"/>
    </w:r>
  </w:p>
  <w:p w:rsidR="004950FD" w:rsidRDefault="004950FD">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2071B"/>
    <w:rsid w:val="0003355A"/>
    <w:rsid w:val="000336DD"/>
    <w:rsid w:val="000401B8"/>
    <w:rsid w:val="00040621"/>
    <w:rsid w:val="0004526E"/>
    <w:rsid w:val="00046817"/>
    <w:rsid w:val="0004743D"/>
    <w:rsid w:val="0005125A"/>
    <w:rsid w:val="0005174E"/>
    <w:rsid w:val="00052E25"/>
    <w:rsid w:val="00063617"/>
    <w:rsid w:val="00063C7A"/>
    <w:rsid w:val="00073F75"/>
    <w:rsid w:val="000B7F79"/>
    <w:rsid w:val="000D0B83"/>
    <w:rsid w:val="000D6898"/>
    <w:rsid w:val="000E5DE2"/>
    <w:rsid w:val="000F1EB1"/>
    <w:rsid w:val="00110C55"/>
    <w:rsid w:val="0011729D"/>
    <w:rsid w:val="001241B9"/>
    <w:rsid w:val="00134021"/>
    <w:rsid w:val="00134550"/>
    <w:rsid w:val="001618EE"/>
    <w:rsid w:val="00190B82"/>
    <w:rsid w:val="00196E09"/>
    <w:rsid w:val="001970F9"/>
    <w:rsid w:val="001975F3"/>
    <w:rsid w:val="001B4920"/>
    <w:rsid w:val="001C6991"/>
    <w:rsid w:val="001F178D"/>
    <w:rsid w:val="001F2CC9"/>
    <w:rsid w:val="002055AD"/>
    <w:rsid w:val="00212D64"/>
    <w:rsid w:val="00230EF0"/>
    <w:rsid w:val="002331C4"/>
    <w:rsid w:val="00236524"/>
    <w:rsid w:val="0023687E"/>
    <w:rsid w:val="00244CF8"/>
    <w:rsid w:val="00264194"/>
    <w:rsid w:val="00265566"/>
    <w:rsid w:val="00277086"/>
    <w:rsid w:val="002862F8"/>
    <w:rsid w:val="002908DF"/>
    <w:rsid w:val="00293E7F"/>
    <w:rsid w:val="00295620"/>
    <w:rsid w:val="002A3646"/>
    <w:rsid w:val="002B39ED"/>
    <w:rsid w:val="002B7DD0"/>
    <w:rsid w:val="002C67B6"/>
    <w:rsid w:val="002E141A"/>
    <w:rsid w:val="002E4C90"/>
    <w:rsid w:val="002F033B"/>
    <w:rsid w:val="002F5F20"/>
    <w:rsid w:val="00300D34"/>
    <w:rsid w:val="003024F2"/>
    <w:rsid w:val="00316FDE"/>
    <w:rsid w:val="00323DF0"/>
    <w:rsid w:val="0034331A"/>
    <w:rsid w:val="00343AFB"/>
    <w:rsid w:val="003458F3"/>
    <w:rsid w:val="00351550"/>
    <w:rsid w:val="00353210"/>
    <w:rsid w:val="00356DBD"/>
    <w:rsid w:val="0036547E"/>
    <w:rsid w:val="003662AE"/>
    <w:rsid w:val="003709CC"/>
    <w:rsid w:val="00375879"/>
    <w:rsid w:val="00377742"/>
    <w:rsid w:val="00377FD1"/>
    <w:rsid w:val="003846FB"/>
    <w:rsid w:val="003902FF"/>
    <w:rsid w:val="003A13B2"/>
    <w:rsid w:val="003A3A22"/>
    <w:rsid w:val="003A42E1"/>
    <w:rsid w:val="003A48DF"/>
    <w:rsid w:val="003B0826"/>
    <w:rsid w:val="003B424A"/>
    <w:rsid w:val="003C2809"/>
    <w:rsid w:val="003E58EA"/>
    <w:rsid w:val="003E5D5C"/>
    <w:rsid w:val="003F22B9"/>
    <w:rsid w:val="003F44D5"/>
    <w:rsid w:val="00427F5F"/>
    <w:rsid w:val="00435BF4"/>
    <w:rsid w:val="00450756"/>
    <w:rsid w:val="004517D4"/>
    <w:rsid w:val="00452092"/>
    <w:rsid w:val="00455E2B"/>
    <w:rsid w:val="00471A91"/>
    <w:rsid w:val="00485113"/>
    <w:rsid w:val="004950FD"/>
    <w:rsid w:val="00497379"/>
    <w:rsid w:val="004A0D38"/>
    <w:rsid w:val="004A2184"/>
    <w:rsid w:val="004A4359"/>
    <w:rsid w:val="004B014C"/>
    <w:rsid w:val="004B39F6"/>
    <w:rsid w:val="004B4CE7"/>
    <w:rsid w:val="004C3C45"/>
    <w:rsid w:val="004D416E"/>
    <w:rsid w:val="004D7755"/>
    <w:rsid w:val="004E51A4"/>
    <w:rsid w:val="004E5F73"/>
    <w:rsid w:val="004F058C"/>
    <w:rsid w:val="004F1F1E"/>
    <w:rsid w:val="005031BD"/>
    <w:rsid w:val="00503707"/>
    <w:rsid w:val="00505AF6"/>
    <w:rsid w:val="005123F8"/>
    <w:rsid w:val="00513692"/>
    <w:rsid w:val="005479BD"/>
    <w:rsid w:val="00550B61"/>
    <w:rsid w:val="005519C3"/>
    <w:rsid w:val="00552625"/>
    <w:rsid w:val="00553FEB"/>
    <w:rsid w:val="00562616"/>
    <w:rsid w:val="0056501D"/>
    <w:rsid w:val="00565FBA"/>
    <w:rsid w:val="00571611"/>
    <w:rsid w:val="00572962"/>
    <w:rsid w:val="00577813"/>
    <w:rsid w:val="00590008"/>
    <w:rsid w:val="0059415F"/>
    <w:rsid w:val="005A2EF9"/>
    <w:rsid w:val="005A338C"/>
    <w:rsid w:val="005A47D6"/>
    <w:rsid w:val="005B086C"/>
    <w:rsid w:val="005C2F04"/>
    <w:rsid w:val="005C3A92"/>
    <w:rsid w:val="005C6734"/>
    <w:rsid w:val="005E12C6"/>
    <w:rsid w:val="005F40FB"/>
    <w:rsid w:val="005F4179"/>
    <w:rsid w:val="005F754A"/>
    <w:rsid w:val="00606BCB"/>
    <w:rsid w:val="006100B1"/>
    <w:rsid w:val="0061578F"/>
    <w:rsid w:val="00622D0B"/>
    <w:rsid w:val="00623C8D"/>
    <w:rsid w:val="00626438"/>
    <w:rsid w:val="006320C1"/>
    <w:rsid w:val="00634275"/>
    <w:rsid w:val="00651294"/>
    <w:rsid w:val="00655B6B"/>
    <w:rsid w:val="00660535"/>
    <w:rsid w:val="00666D7C"/>
    <w:rsid w:val="00672C44"/>
    <w:rsid w:val="00676FA4"/>
    <w:rsid w:val="006776DA"/>
    <w:rsid w:val="006918B9"/>
    <w:rsid w:val="006B27F3"/>
    <w:rsid w:val="006B5C81"/>
    <w:rsid w:val="006D2245"/>
    <w:rsid w:val="006D39A8"/>
    <w:rsid w:val="006E11A7"/>
    <w:rsid w:val="006F2A24"/>
    <w:rsid w:val="00705C95"/>
    <w:rsid w:val="00714294"/>
    <w:rsid w:val="007200DD"/>
    <w:rsid w:val="007210A3"/>
    <w:rsid w:val="007245BD"/>
    <w:rsid w:val="0072508A"/>
    <w:rsid w:val="0073219B"/>
    <w:rsid w:val="007356C1"/>
    <w:rsid w:val="00741902"/>
    <w:rsid w:val="00742560"/>
    <w:rsid w:val="007437E9"/>
    <w:rsid w:val="007479E3"/>
    <w:rsid w:val="00755E3F"/>
    <w:rsid w:val="00772C70"/>
    <w:rsid w:val="007801F3"/>
    <w:rsid w:val="007A17FF"/>
    <w:rsid w:val="007A6656"/>
    <w:rsid w:val="007B5D91"/>
    <w:rsid w:val="007C4DFB"/>
    <w:rsid w:val="007E00A2"/>
    <w:rsid w:val="007F176C"/>
    <w:rsid w:val="008002DF"/>
    <w:rsid w:val="00827194"/>
    <w:rsid w:val="0083065F"/>
    <w:rsid w:val="00831025"/>
    <w:rsid w:val="00841083"/>
    <w:rsid w:val="00841BD3"/>
    <w:rsid w:val="008600FC"/>
    <w:rsid w:val="008614DF"/>
    <w:rsid w:val="008621D3"/>
    <w:rsid w:val="0088447C"/>
    <w:rsid w:val="00884A50"/>
    <w:rsid w:val="0088729D"/>
    <w:rsid w:val="0089647E"/>
    <w:rsid w:val="008A3326"/>
    <w:rsid w:val="008C1672"/>
    <w:rsid w:val="008D7D48"/>
    <w:rsid w:val="008E0338"/>
    <w:rsid w:val="008E336C"/>
    <w:rsid w:val="008F221D"/>
    <w:rsid w:val="00905E2B"/>
    <w:rsid w:val="00907955"/>
    <w:rsid w:val="009178AB"/>
    <w:rsid w:val="00920E8A"/>
    <w:rsid w:val="0092371B"/>
    <w:rsid w:val="00930807"/>
    <w:rsid w:val="00931669"/>
    <w:rsid w:val="00931E21"/>
    <w:rsid w:val="00932295"/>
    <w:rsid w:val="00936303"/>
    <w:rsid w:val="00946679"/>
    <w:rsid w:val="00966DF9"/>
    <w:rsid w:val="00982C4F"/>
    <w:rsid w:val="00994CAA"/>
    <w:rsid w:val="00996800"/>
    <w:rsid w:val="009B223E"/>
    <w:rsid w:val="009B7715"/>
    <w:rsid w:val="009C1D50"/>
    <w:rsid w:val="009C4B4F"/>
    <w:rsid w:val="009C7C27"/>
    <w:rsid w:val="009D79A8"/>
    <w:rsid w:val="009E0305"/>
    <w:rsid w:val="009E5B7D"/>
    <w:rsid w:val="009F120E"/>
    <w:rsid w:val="009F3585"/>
    <w:rsid w:val="009F5D7E"/>
    <w:rsid w:val="00A010CF"/>
    <w:rsid w:val="00A03E67"/>
    <w:rsid w:val="00A11561"/>
    <w:rsid w:val="00A14BAA"/>
    <w:rsid w:val="00A26586"/>
    <w:rsid w:val="00A35203"/>
    <w:rsid w:val="00A42EC5"/>
    <w:rsid w:val="00A4498A"/>
    <w:rsid w:val="00A46111"/>
    <w:rsid w:val="00A47591"/>
    <w:rsid w:val="00A61CD1"/>
    <w:rsid w:val="00A62952"/>
    <w:rsid w:val="00A77B12"/>
    <w:rsid w:val="00A8189A"/>
    <w:rsid w:val="00A8600D"/>
    <w:rsid w:val="00A90350"/>
    <w:rsid w:val="00AA10B4"/>
    <w:rsid w:val="00AA3519"/>
    <w:rsid w:val="00AC187E"/>
    <w:rsid w:val="00AD0557"/>
    <w:rsid w:val="00AD4048"/>
    <w:rsid w:val="00AE00CF"/>
    <w:rsid w:val="00AE4BA6"/>
    <w:rsid w:val="00AF20EE"/>
    <w:rsid w:val="00AF4671"/>
    <w:rsid w:val="00B012CB"/>
    <w:rsid w:val="00B03A47"/>
    <w:rsid w:val="00B04325"/>
    <w:rsid w:val="00B07028"/>
    <w:rsid w:val="00B073BE"/>
    <w:rsid w:val="00B14584"/>
    <w:rsid w:val="00B15816"/>
    <w:rsid w:val="00B213D0"/>
    <w:rsid w:val="00B232C8"/>
    <w:rsid w:val="00B24035"/>
    <w:rsid w:val="00B30BD7"/>
    <w:rsid w:val="00B361A4"/>
    <w:rsid w:val="00B50F66"/>
    <w:rsid w:val="00B5756B"/>
    <w:rsid w:val="00B6299C"/>
    <w:rsid w:val="00B65BF5"/>
    <w:rsid w:val="00B67EDE"/>
    <w:rsid w:val="00B73275"/>
    <w:rsid w:val="00B92B26"/>
    <w:rsid w:val="00BA3820"/>
    <w:rsid w:val="00BA5429"/>
    <w:rsid w:val="00BB23E3"/>
    <w:rsid w:val="00BB5649"/>
    <w:rsid w:val="00BB66AE"/>
    <w:rsid w:val="00BC57B3"/>
    <w:rsid w:val="00BC66DD"/>
    <w:rsid w:val="00BD0AD0"/>
    <w:rsid w:val="00BD64FB"/>
    <w:rsid w:val="00BE65D5"/>
    <w:rsid w:val="00BF090D"/>
    <w:rsid w:val="00BF1BC5"/>
    <w:rsid w:val="00BF6B7E"/>
    <w:rsid w:val="00C0555C"/>
    <w:rsid w:val="00C129F8"/>
    <w:rsid w:val="00C2174A"/>
    <w:rsid w:val="00C2456C"/>
    <w:rsid w:val="00C33046"/>
    <w:rsid w:val="00C33F1F"/>
    <w:rsid w:val="00C34953"/>
    <w:rsid w:val="00C41B9A"/>
    <w:rsid w:val="00C436D9"/>
    <w:rsid w:val="00C800C5"/>
    <w:rsid w:val="00C83322"/>
    <w:rsid w:val="00C87E5A"/>
    <w:rsid w:val="00C96877"/>
    <w:rsid w:val="00CA0D34"/>
    <w:rsid w:val="00CB33C1"/>
    <w:rsid w:val="00CB374C"/>
    <w:rsid w:val="00CC03D2"/>
    <w:rsid w:val="00CC1BAA"/>
    <w:rsid w:val="00CD346B"/>
    <w:rsid w:val="00CD60DE"/>
    <w:rsid w:val="00CD78C3"/>
    <w:rsid w:val="00CE0039"/>
    <w:rsid w:val="00CF657D"/>
    <w:rsid w:val="00D01DA5"/>
    <w:rsid w:val="00D02288"/>
    <w:rsid w:val="00D04A56"/>
    <w:rsid w:val="00D23FE7"/>
    <w:rsid w:val="00D2493D"/>
    <w:rsid w:val="00D25692"/>
    <w:rsid w:val="00D26572"/>
    <w:rsid w:val="00D3367D"/>
    <w:rsid w:val="00D37B30"/>
    <w:rsid w:val="00D44DF6"/>
    <w:rsid w:val="00D50B07"/>
    <w:rsid w:val="00D558EE"/>
    <w:rsid w:val="00D55F36"/>
    <w:rsid w:val="00D72C3C"/>
    <w:rsid w:val="00D80128"/>
    <w:rsid w:val="00DA1D28"/>
    <w:rsid w:val="00DA42AA"/>
    <w:rsid w:val="00DA633A"/>
    <w:rsid w:val="00DC380B"/>
    <w:rsid w:val="00DD4751"/>
    <w:rsid w:val="00DD5FC6"/>
    <w:rsid w:val="00DD671B"/>
    <w:rsid w:val="00DE0C75"/>
    <w:rsid w:val="00DE4DE1"/>
    <w:rsid w:val="00DE77A0"/>
    <w:rsid w:val="00DF7E76"/>
    <w:rsid w:val="00E04D16"/>
    <w:rsid w:val="00E06BAC"/>
    <w:rsid w:val="00E1037B"/>
    <w:rsid w:val="00E16E22"/>
    <w:rsid w:val="00E17377"/>
    <w:rsid w:val="00E25458"/>
    <w:rsid w:val="00E3126B"/>
    <w:rsid w:val="00E31C7B"/>
    <w:rsid w:val="00E40917"/>
    <w:rsid w:val="00E51832"/>
    <w:rsid w:val="00E621CF"/>
    <w:rsid w:val="00E65250"/>
    <w:rsid w:val="00E67087"/>
    <w:rsid w:val="00E745FD"/>
    <w:rsid w:val="00E811F1"/>
    <w:rsid w:val="00E920A0"/>
    <w:rsid w:val="00E97DC2"/>
    <w:rsid w:val="00EB5DE7"/>
    <w:rsid w:val="00EE08D9"/>
    <w:rsid w:val="00EE6695"/>
    <w:rsid w:val="00EF3CAA"/>
    <w:rsid w:val="00F02ADC"/>
    <w:rsid w:val="00F1059F"/>
    <w:rsid w:val="00F1689D"/>
    <w:rsid w:val="00F22271"/>
    <w:rsid w:val="00F31B46"/>
    <w:rsid w:val="00F33CF2"/>
    <w:rsid w:val="00F33E5E"/>
    <w:rsid w:val="00F40A80"/>
    <w:rsid w:val="00F423F3"/>
    <w:rsid w:val="00F46328"/>
    <w:rsid w:val="00F46E04"/>
    <w:rsid w:val="00F52D82"/>
    <w:rsid w:val="00F53CDD"/>
    <w:rsid w:val="00F604AF"/>
    <w:rsid w:val="00F609F5"/>
    <w:rsid w:val="00F60D11"/>
    <w:rsid w:val="00F623F2"/>
    <w:rsid w:val="00F66FE5"/>
    <w:rsid w:val="00F67B3A"/>
    <w:rsid w:val="00F743D8"/>
    <w:rsid w:val="00F74BE8"/>
    <w:rsid w:val="00F830C7"/>
    <w:rsid w:val="00F87289"/>
    <w:rsid w:val="00F91CD4"/>
    <w:rsid w:val="00FA3020"/>
    <w:rsid w:val="00FA5C30"/>
    <w:rsid w:val="00FA6509"/>
    <w:rsid w:val="00FB41D2"/>
    <w:rsid w:val="00FB63BD"/>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6B3615C9-A31E-4CFB-8400-A11DE211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link w:val="FooterChar"/>
    <w:uiPriority w:val="99"/>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character" w:styleId="Hyperlink">
    <w:name w:val="Hyperlink"/>
    <w:basedOn w:val="DefaultParagraphFont"/>
    <w:rsid w:val="005479BD"/>
    <w:rPr>
      <w:color w:val="0000FF" w:themeColor="hyperlink"/>
      <w:u w:val="single"/>
    </w:rPr>
  </w:style>
  <w:style w:type="character" w:customStyle="1" w:styleId="BodyText2Char">
    <w:name w:val="Body Text 2 Char"/>
    <w:basedOn w:val="DefaultParagraphFont"/>
    <w:link w:val="BodyText2"/>
    <w:rsid w:val="00293E7F"/>
    <w:rPr>
      <w:sz w:val="24"/>
    </w:rPr>
  </w:style>
  <w:style w:type="paragraph" w:customStyle="1" w:styleId="Default">
    <w:name w:val="Default"/>
    <w:rsid w:val="00553FEB"/>
    <w:pPr>
      <w:autoSpaceDE w:val="0"/>
      <w:autoSpaceDN w:val="0"/>
      <w:adjustRightInd w:val="0"/>
    </w:pPr>
    <w:rPr>
      <w:rFonts w:ascii="Calibri" w:eastAsiaTheme="minorHAnsi" w:hAnsi="Calibri" w:cs="Calibri"/>
      <w:color w:val="000000"/>
      <w:sz w:val="24"/>
      <w:szCs w:val="24"/>
    </w:rPr>
  </w:style>
  <w:style w:type="character" w:customStyle="1" w:styleId="FooterChar">
    <w:name w:val="Footer Char"/>
    <w:basedOn w:val="DefaultParagraphFont"/>
    <w:link w:val="Footer"/>
    <w:uiPriority w:val="99"/>
    <w:locked/>
    <w:rsid w:val="0049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39079">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inda.gervais@avistacorp.com" TargetMode="External"/><Relationship Id="rId4" Type="http://schemas.openxmlformats.org/officeDocument/2006/relationships/settings" Target="settings.xml"/><Relationship Id="rId9" Type="http://schemas.openxmlformats.org/officeDocument/2006/relationships/hyperlink" Target="mailto:dan.johnson@avista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2E9693A5F94459BA4025416F10092" ma:contentTypeVersion="119" ma:contentTypeDescription="" ma:contentTypeScope="" ma:versionID="7a62837ff9a401c0e041eaa26e170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2015-12-07T08:00:00+00:00</OpenedDate>
    <Date1 xmlns="dc463f71-b30c-4ab2-9473-d307f9d35888">2015-12-07T08:00:00+00:00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6BF7D9-025E-4F09-AB7C-432F406BCDD0}"/>
</file>

<file path=customXml/itemProps2.xml><?xml version="1.0" encoding="utf-8"?>
<ds:datastoreItem xmlns:ds="http://schemas.openxmlformats.org/officeDocument/2006/customXml" ds:itemID="{A982717C-8F1B-4B3F-8049-A4D31B7CE614}"/>
</file>

<file path=customXml/itemProps3.xml><?xml version="1.0" encoding="utf-8"?>
<ds:datastoreItem xmlns:ds="http://schemas.openxmlformats.org/officeDocument/2006/customXml" ds:itemID="{0ADA4DF1-911A-488F-967A-420426AC6077}"/>
</file>

<file path=customXml/itemProps4.xml><?xml version="1.0" encoding="utf-8"?>
<ds:datastoreItem xmlns:ds="http://schemas.openxmlformats.org/officeDocument/2006/customXml" ds:itemID="{47502CC3-7310-49A7-84AD-2C4E2C83CF67}"/>
</file>

<file path=customXml/itemProps5.xml><?xml version="1.0" encoding="utf-8"?>
<ds:datastoreItem xmlns:ds="http://schemas.openxmlformats.org/officeDocument/2006/customXml" ds:itemID="{7750E522-FFB1-4246-894C-F556ED1E6CD3}"/>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Smith, Lance (UTC)</cp:lastModifiedBy>
  <cp:revision>2</cp:revision>
  <cp:lastPrinted>2013-05-30T21:03:00Z</cp:lastPrinted>
  <dcterms:created xsi:type="dcterms:W3CDTF">2015-12-08T00:22:00Z</dcterms:created>
  <dcterms:modified xsi:type="dcterms:W3CDTF">2015-12-08T00:22:00Z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0x0101006E56B4D1795A2E4DB2F0B01679ED314A003C32E9693A5F94459BA4025416F10092</vt:lpwstr>
  </property>
  <property fmtid="{D5CDD505-2E9C-101B-9397-08002B2CF9AE}" pid="3" name="_docset_NoMedatataSyncRequired">
    <vt:lpwstr>False</vt:lpwstr>
  </property>
</Properties>
</file>