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3" w:rsidRDefault="00AD3123" w:rsidP="00AD3312">
      <w:pPr>
        <w:rPr>
          <w:rFonts w:cstheme="minorHAnsi"/>
          <w:sz w:val="28"/>
          <w:szCs w:val="28"/>
        </w:rPr>
      </w:pPr>
    </w:p>
    <w:p w:rsidR="00AD3123" w:rsidRDefault="00AD3123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Docket </w:t>
      </w:r>
      <w:r w:rsidR="00DF4AEC">
        <w:rPr>
          <w:rFonts w:cstheme="minorHAnsi"/>
          <w:sz w:val="28"/>
          <w:szCs w:val="28"/>
        </w:rPr>
        <w:t>TG-150771</w:t>
      </w:r>
      <w:r>
        <w:rPr>
          <w:rFonts w:cstheme="minorHAnsi"/>
          <w:sz w:val="28"/>
          <w:szCs w:val="28"/>
        </w:rPr>
        <w:t xml:space="preserve">, </w:t>
      </w:r>
    </w:p>
    <w:p w:rsidR="00AD3123" w:rsidRDefault="00AD3123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Application</w:t>
      </w:r>
    </w:p>
    <w:p w:rsidR="00DF4AEC" w:rsidRDefault="00DF4AEC" w:rsidP="00AD33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Topsoils Inc. dba United Recycling &amp; Container</w:t>
      </w:r>
    </w:p>
    <w:p w:rsidR="00966F3C" w:rsidRPr="00604862" w:rsidRDefault="00966F3C" w:rsidP="00AD3312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Review by </w:t>
      </w:r>
      <w:r w:rsidR="005346C7">
        <w:rPr>
          <w:rFonts w:cstheme="minorHAnsi"/>
          <w:sz w:val="28"/>
          <w:szCs w:val="28"/>
        </w:rPr>
        <w:t>Mike Young</w:t>
      </w:r>
      <w:r w:rsidR="00024E67" w:rsidRPr="00604862">
        <w:rPr>
          <w:rFonts w:cstheme="minorHAnsi"/>
          <w:sz w:val="28"/>
          <w:szCs w:val="28"/>
        </w:rPr>
        <w:t xml:space="preserve"> </w:t>
      </w:r>
      <w:r w:rsidR="004A0CE7">
        <w:rPr>
          <w:rFonts w:cstheme="minorHAnsi"/>
          <w:sz w:val="28"/>
          <w:szCs w:val="28"/>
        </w:rPr>
        <w:t>5/1</w:t>
      </w:r>
      <w:r w:rsidR="00682E68">
        <w:rPr>
          <w:rFonts w:cstheme="minorHAnsi"/>
          <w:sz w:val="28"/>
          <w:szCs w:val="28"/>
        </w:rPr>
        <w:t>3</w:t>
      </w:r>
      <w:r w:rsidR="003E7759">
        <w:rPr>
          <w:rFonts w:cstheme="minorHAnsi"/>
          <w:sz w:val="28"/>
          <w:szCs w:val="28"/>
        </w:rPr>
        <w:t>/2015</w:t>
      </w:r>
    </w:p>
    <w:p w:rsidR="00FF31BB" w:rsidRPr="00604862" w:rsidRDefault="00FF31BB" w:rsidP="00AD3312">
      <w:pPr>
        <w:rPr>
          <w:rFonts w:cstheme="minorHAnsi"/>
          <w:sz w:val="28"/>
          <w:szCs w:val="28"/>
        </w:rPr>
      </w:pPr>
    </w:p>
    <w:p w:rsidR="00FF31BB" w:rsidRPr="00604862" w:rsidRDefault="00FF31BB" w:rsidP="00AD3312">
      <w:pPr>
        <w:rPr>
          <w:rFonts w:cstheme="minorHAnsi"/>
          <w:sz w:val="28"/>
          <w:szCs w:val="28"/>
        </w:rPr>
      </w:pPr>
    </w:p>
    <w:p w:rsidR="00966F3C" w:rsidRPr="00604862" w:rsidRDefault="00FF31BB" w:rsidP="00AD3312">
      <w:pPr>
        <w:rPr>
          <w:rFonts w:cstheme="minorHAnsi"/>
          <w:sz w:val="28"/>
          <w:szCs w:val="28"/>
          <w:u w:val="single"/>
        </w:rPr>
      </w:pPr>
      <w:r w:rsidRPr="00604862">
        <w:rPr>
          <w:rFonts w:cstheme="minorHAnsi"/>
          <w:sz w:val="28"/>
          <w:szCs w:val="28"/>
          <w:u w:val="single"/>
        </w:rPr>
        <w:t>Conclusion</w:t>
      </w:r>
    </w:p>
    <w:p w:rsidR="00FF31BB" w:rsidRPr="00604862" w:rsidRDefault="00FF31BB" w:rsidP="00AD3312">
      <w:pPr>
        <w:rPr>
          <w:rFonts w:cstheme="minorHAnsi"/>
          <w:sz w:val="28"/>
          <w:szCs w:val="28"/>
          <w:u w:val="single"/>
        </w:rPr>
      </w:pPr>
    </w:p>
    <w:p w:rsidR="00FF31BB" w:rsidRPr="00604862" w:rsidRDefault="000C720A" w:rsidP="002726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Staff has reviewed </w:t>
      </w:r>
      <w:r w:rsidR="00FF31BB" w:rsidRPr="00604862">
        <w:rPr>
          <w:rFonts w:cstheme="minorHAnsi"/>
          <w:sz w:val="28"/>
          <w:szCs w:val="28"/>
        </w:rPr>
        <w:t>the company’s financial information</w:t>
      </w:r>
      <w:r w:rsidR="00024E67" w:rsidRPr="00604862">
        <w:rPr>
          <w:rFonts w:cstheme="minorHAnsi"/>
          <w:sz w:val="28"/>
          <w:szCs w:val="28"/>
        </w:rPr>
        <w:t xml:space="preserve"> submitted in Docket</w:t>
      </w:r>
      <w:r w:rsidR="00363D01" w:rsidRPr="00604862">
        <w:rPr>
          <w:rFonts w:cstheme="minorHAnsi"/>
          <w:sz w:val="28"/>
          <w:szCs w:val="28"/>
        </w:rPr>
        <w:t xml:space="preserve"> </w:t>
      </w:r>
    </w:p>
    <w:p w:rsidR="00363D01" w:rsidRPr="00604862" w:rsidRDefault="00DF4AEC" w:rsidP="0027263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TG-150771</w:t>
      </w:r>
      <w:r w:rsidR="00FF31BB" w:rsidRPr="00604862">
        <w:rPr>
          <w:rFonts w:cstheme="minorHAnsi"/>
          <w:sz w:val="28"/>
          <w:szCs w:val="28"/>
        </w:rPr>
        <w:t xml:space="preserve"> </w:t>
      </w:r>
      <w:r w:rsidR="000C720A">
        <w:rPr>
          <w:rFonts w:cstheme="minorHAnsi"/>
          <w:sz w:val="28"/>
          <w:szCs w:val="28"/>
        </w:rPr>
        <w:t>and</w:t>
      </w:r>
      <w:r w:rsidR="00FF31BB" w:rsidRPr="00604862">
        <w:rPr>
          <w:rFonts w:cstheme="minorHAnsi"/>
          <w:sz w:val="28"/>
          <w:szCs w:val="28"/>
        </w:rPr>
        <w:t xml:space="preserve"> concludes t</w:t>
      </w:r>
      <w:r w:rsidR="00363D01" w:rsidRPr="00604862">
        <w:rPr>
          <w:rFonts w:cstheme="minorHAnsi"/>
          <w:sz w:val="28"/>
          <w:szCs w:val="28"/>
        </w:rPr>
        <w:t xml:space="preserve">he company </w:t>
      </w:r>
      <w:r w:rsidR="00272631" w:rsidRPr="00604862">
        <w:rPr>
          <w:rFonts w:cstheme="minorHAnsi"/>
          <w:sz w:val="28"/>
          <w:szCs w:val="28"/>
        </w:rPr>
        <w:t>has made reasonable efforts to estimate its finances under the proposed operations</w:t>
      </w:r>
      <w:r w:rsidR="00FF31BB" w:rsidRPr="00604862">
        <w:rPr>
          <w:rFonts w:cstheme="minorHAnsi"/>
          <w:sz w:val="28"/>
          <w:szCs w:val="28"/>
        </w:rPr>
        <w:t>.</w:t>
      </w:r>
      <w:r w:rsidR="00815EF8">
        <w:rPr>
          <w:rFonts w:cstheme="minorHAnsi"/>
          <w:sz w:val="28"/>
          <w:szCs w:val="28"/>
        </w:rPr>
        <w:t xml:space="preserve"> </w:t>
      </w:r>
      <w:r w:rsidR="008D7202">
        <w:rPr>
          <w:rFonts w:cstheme="minorHAnsi"/>
          <w:sz w:val="28"/>
          <w:szCs w:val="28"/>
        </w:rPr>
        <w:t xml:space="preserve">This application is for </w:t>
      </w:r>
      <w:r w:rsidR="004A0CE7">
        <w:rPr>
          <w:rFonts w:cstheme="minorHAnsi"/>
          <w:sz w:val="28"/>
          <w:szCs w:val="28"/>
        </w:rPr>
        <w:t>specialized solid waste hauling</w:t>
      </w:r>
      <w:r w:rsidR="008D7202">
        <w:rPr>
          <w:rFonts w:cstheme="minorHAnsi"/>
          <w:sz w:val="28"/>
          <w:szCs w:val="28"/>
        </w:rPr>
        <w:t xml:space="preserve">. </w:t>
      </w:r>
      <w:r w:rsidR="006338C7">
        <w:rPr>
          <w:rFonts w:cstheme="minorHAnsi"/>
          <w:sz w:val="28"/>
          <w:szCs w:val="28"/>
        </w:rPr>
        <w:t xml:space="preserve">Based on the company’s </w:t>
      </w:r>
      <w:r w:rsidR="00167E74">
        <w:rPr>
          <w:rFonts w:cstheme="minorHAnsi"/>
          <w:sz w:val="28"/>
          <w:szCs w:val="28"/>
        </w:rPr>
        <w:t>financial records provided</w:t>
      </w:r>
      <w:r w:rsidR="00C5132F">
        <w:rPr>
          <w:rFonts w:cstheme="minorHAnsi"/>
          <w:sz w:val="28"/>
          <w:szCs w:val="28"/>
        </w:rPr>
        <w:t>,</w:t>
      </w:r>
      <w:r w:rsidR="006338C7">
        <w:rPr>
          <w:rFonts w:cstheme="minorHAnsi"/>
          <w:sz w:val="28"/>
          <w:szCs w:val="28"/>
        </w:rPr>
        <w:t xml:space="preserve"> </w:t>
      </w:r>
      <w:r w:rsidR="0065590B">
        <w:rPr>
          <w:rFonts w:cstheme="minorHAnsi"/>
          <w:sz w:val="28"/>
          <w:szCs w:val="28"/>
        </w:rPr>
        <w:t xml:space="preserve">the additional incidental </w:t>
      </w:r>
      <w:r w:rsidR="00E2407C">
        <w:rPr>
          <w:rFonts w:cstheme="minorHAnsi"/>
          <w:sz w:val="28"/>
          <w:szCs w:val="28"/>
        </w:rPr>
        <w:t xml:space="preserve">operations would </w:t>
      </w:r>
      <w:r w:rsidR="00167E74">
        <w:rPr>
          <w:rFonts w:cstheme="minorHAnsi"/>
          <w:sz w:val="28"/>
          <w:szCs w:val="28"/>
        </w:rPr>
        <w:t>not adversely impact the company’s financial position.</w:t>
      </w:r>
      <w:r w:rsidR="00E2407C">
        <w:rPr>
          <w:rFonts w:cstheme="minorHAnsi"/>
          <w:sz w:val="28"/>
          <w:szCs w:val="28"/>
        </w:rPr>
        <w:t xml:space="preserve"> </w:t>
      </w:r>
      <w:r w:rsidR="00883D28" w:rsidRPr="002E5FD6">
        <w:rPr>
          <w:rFonts w:cstheme="minorHAnsi"/>
          <w:sz w:val="28"/>
          <w:szCs w:val="28"/>
        </w:rPr>
        <w:t xml:space="preserve">The </w:t>
      </w:r>
      <w:r w:rsidR="002E5FD6" w:rsidRPr="002E5FD6">
        <w:rPr>
          <w:rFonts w:cstheme="minorHAnsi"/>
          <w:sz w:val="28"/>
          <w:szCs w:val="28"/>
        </w:rPr>
        <w:t xml:space="preserve">company has adequate resources </w:t>
      </w:r>
      <w:r w:rsidR="0065590B">
        <w:rPr>
          <w:rFonts w:cstheme="minorHAnsi"/>
          <w:sz w:val="28"/>
          <w:szCs w:val="28"/>
        </w:rPr>
        <w:t>and</w:t>
      </w:r>
      <w:r w:rsidR="00815EF8">
        <w:rPr>
          <w:rFonts w:cstheme="minorHAnsi"/>
          <w:sz w:val="28"/>
          <w:szCs w:val="28"/>
        </w:rPr>
        <w:t xml:space="preserve"> </w:t>
      </w:r>
      <w:r w:rsidR="0065590B">
        <w:rPr>
          <w:rFonts w:cstheme="minorHAnsi"/>
          <w:sz w:val="28"/>
          <w:szCs w:val="28"/>
        </w:rPr>
        <w:t>therefore</w:t>
      </w:r>
      <w:r w:rsidR="00815EF8">
        <w:rPr>
          <w:rFonts w:cstheme="minorHAnsi"/>
          <w:sz w:val="28"/>
          <w:szCs w:val="28"/>
        </w:rPr>
        <w:t xml:space="preserve"> s</w:t>
      </w:r>
      <w:r w:rsidR="00FF31BB" w:rsidRPr="00604862">
        <w:rPr>
          <w:rFonts w:cstheme="minorHAnsi"/>
          <w:sz w:val="28"/>
          <w:szCs w:val="28"/>
        </w:rPr>
        <w:t xml:space="preserve">taff </w:t>
      </w:r>
      <w:r w:rsidR="005F230D">
        <w:rPr>
          <w:rFonts w:cstheme="minorHAnsi"/>
          <w:sz w:val="28"/>
          <w:szCs w:val="28"/>
        </w:rPr>
        <w:t>concludes the company is financially fit</w:t>
      </w:r>
      <w:r w:rsidR="00272631" w:rsidRPr="00604862">
        <w:rPr>
          <w:rFonts w:cstheme="minorHAnsi"/>
          <w:sz w:val="28"/>
          <w:szCs w:val="28"/>
        </w:rPr>
        <w:t xml:space="preserve"> to provide </w:t>
      </w:r>
      <w:r w:rsidR="00883D28">
        <w:rPr>
          <w:rFonts w:cstheme="minorHAnsi"/>
          <w:sz w:val="28"/>
          <w:szCs w:val="28"/>
        </w:rPr>
        <w:t xml:space="preserve">the applied for </w:t>
      </w:r>
      <w:r w:rsidR="00272631" w:rsidRPr="00604862">
        <w:rPr>
          <w:rFonts w:cstheme="minorHAnsi"/>
          <w:sz w:val="28"/>
          <w:szCs w:val="28"/>
        </w:rPr>
        <w:t xml:space="preserve">service. </w:t>
      </w:r>
    </w:p>
    <w:p w:rsidR="00363D01" w:rsidRPr="00604862" w:rsidRDefault="00363D01" w:rsidP="00363D01">
      <w:pPr>
        <w:rPr>
          <w:rFonts w:cstheme="minorHAnsi"/>
          <w:sz w:val="28"/>
          <w:szCs w:val="28"/>
        </w:rPr>
      </w:pPr>
    </w:p>
    <w:p w:rsidR="00363D01" w:rsidRPr="00604862" w:rsidRDefault="00FF31BB" w:rsidP="00363D01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</w:t>
      </w:r>
      <w:r w:rsidR="00363D01" w:rsidRPr="00604862">
        <w:rPr>
          <w:rFonts w:cstheme="minorHAnsi"/>
          <w:sz w:val="28"/>
          <w:szCs w:val="28"/>
          <w:u w:val="single"/>
        </w:rPr>
        <w:t>he balance sheet review</w:t>
      </w:r>
      <w:r w:rsidR="00363D01" w:rsidRPr="00604862">
        <w:rPr>
          <w:rFonts w:cstheme="minorHAnsi"/>
          <w:sz w:val="28"/>
          <w:szCs w:val="28"/>
        </w:rPr>
        <w:t xml:space="preserve">: </w:t>
      </w:r>
    </w:p>
    <w:p w:rsidR="00024E67" w:rsidRPr="00604862" w:rsidRDefault="00363D01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Assets, $</w:t>
      </w:r>
      <w:r w:rsidR="00DF4AEC">
        <w:rPr>
          <w:rFonts w:cstheme="minorHAnsi"/>
          <w:sz w:val="28"/>
          <w:szCs w:val="28"/>
        </w:rPr>
        <w:t>2,450,000</w:t>
      </w:r>
      <w:r w:rsidR="00EF59F4">
        <w:rPr>
          <w:rFonts w:cstheme="minorHAnsi"/>
          <w:sz w:val="28"/>
          <w:szCs w:val="28"/>
        </w:rPr>
        <w:t>;</w:t>
      </w:r>
    </w:p>
    <w:p w:rsidR="00024E67" w:rsidRPr="00604862" w:rsidRDefault="00024E67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L</w:t>
      </w:r>
      <w:r w:rsidR="00363D01" w:rsidRPr="00604862">
        <w:rPr>
          <w:rFonts w:cstheme="minorHAnsi"/>
          <w:sz w:val="28"/>
          <w:szCs w:val="28"/>
        </w:rPr>
        <w:t>iabilities, $</w:t>
      </w:r>
      <w:r w:rsidR="00DF4AEC">
        <w:rPr>
          <w:rFonts w:cstheme="minorHAnsi"/>
          <w:sz w:val="28"/>
          <w:szCs w:val="28"/>
        </w:rPr>
        <w:t>1,425,000</w:t>
      </w:r>
      <w:r w:rsidR="00363D01" w:rsidRPr="00604862">
        <w:rPr>
          <w:rFonts w:cstheme="minorHAnsi"/>
          <w:sz w:val="28"/>
          <w:szCs w:val="28"/>
        </w:rPr>
        <w:t xml:space="preserve">; </w:t>
      </w:r>
    </w:p>
    <w:p w:rsidR="00024E67" w:rsidRDefault="00363D01" w:rsidP="00363D0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Net Worth, $</w:t>
      </w:r>
      <w:r w:rsidR="00AE3ED5">
        <w:rPr>
          <w:rFonts w:cstheme="minorHAnsi"/>
          <w:sz w:val="28"/>
          <w:szCs w:val="28"/>
        </w:rPr>
        <w:t>1,</w:t>
      </w:r>
      <w:r w:rsidR="00DF4AEC">
        <w:rPr>
          <w:rFonts w:cstheme="minorHAnsi"/>
          <w:sz w:val="28"/>
          <w:szCs w:val="28"/>
        </w:rPr>
        <w:t>025,000</w:t>
      </w:r>
    </w:p>
    <w:p w:rsidR="005C2713" w:rsidRPr="00604862" w:rsidRDefault="005C2713" w:rsidP="005C2713">
      <w:pPr>
        <w:pStyle w:val="ListParagraph"/>
        <w:rPr>
          <w:rFonts w:cstheme="minorHAnsi"/>
          <w:sz w:val="28"/>
          <w:szCs w:val="28"/>
        </w:rPr>
      </w:pPr>
    </w:p>
    <w:p w:rsidR="00363D01" w:rsidRPr="00604862" w:rsidRDefault="00024E67" w:rsidP="005C2713">
      <w:pPr>
        <w:pStyle w:val="ListParagraph"/>
        <w:ind w:left="0"/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>Applicant has a positive net worth.</w:t>
      </w:r>
      <w:r w:rsidR="005C2713">
        <w:rPr>
          <w:rFonts w:cstheme="minorHAnsi"/>
          <w:sz w:val="28"/>
          <w:szCs w:val="28"/>
        </w:rPr>
        <w:t xml:space="preserve"> </w:t>
      </w:r>
      <w:r w:rsidRPr="00604862">
        <w:rPr>
          <w:rFonts w:cstheme="minorHAnsi"/>
          <w:sz w:val="28"/>
          <w:szCs w:val="28"/>
        </w:rPr>
        <w:t>$</w:t>
      </w:r>
      <w:r w:rsidR="00DF4AEC">
        <w:rPr>
          <w:rFonts w:cstheme="minorHAnsi"/>
          <w:sz w:val="28"/>
          <w:szCs w:val="28"/>
        </w:rPr>
        <w:t>250,000</w:t>
      </w:r>
      <w:r w:rsidRPr="00604862">
        <w:rPr>
          <w:rFonts w:cstheme="minorHAnsi"/>
          <w:sz w:val="28"/>
          <w:szCs w:val="28"/>
        </w:rPr>
        <w:t xml:space="preserve"> of assets is cash and very liquid</w:t>
      </w:r>
      <w:r w:rsidR="003903A7">
        <w:rPr>
          <w:rFonts w:cstheme="minorHAnsi"/>
          <w:sz w:val="28"/>
          <w:szCs w:val="28"/>
        </w:rPr>
        <w:t>.</w:t>
      </w:r>
    </w:p>
    <w:p w:rsidR="00FF31BB" w:rsidRPr="00604862" w:rsidRDefault="004F0805" w:rsidP="00883D28">
      <w:pPr>
        <w:ind w:left="-720"/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ab/>
      </w:r>
    </w:p>
    <w:p w:rsidR="005F230D" w:rsidRPr="002E5FD6" w:rsidRDefault="00FF31BB" w:rsidP="004E058A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2E5FD6">
        <w:rPr>
          <w:rFonts w:cstheme="minorHAnsi"/>
          <w:sz w:val="28"/>
          <w:szCs w:val="28"/>
        </w:rPr>
        <w:t xml:space="preserve">The company </w:t>
      </w:r>
      <w:r w:rsidR="005C2713" w:rsidRPr="002E5FD6">
        <w:rPr>
          <w:rFonts w:cstheme="minorHAnsi"/>
          <w:sz w:val="28"/>
          <w:szCs w:val="28"/>
        </w:rPr>
        <w:t>currently own</w:t>
      </w:r>
      <w:r w:rsidR="003903A7" w:rsidRPr="002E5FD6">
        <w:rPr>
          <w:rFonts w:cstheme="minorHAnsi"/>
          <w:sz w:val="28"/>
          <w:szCs w:val="28"/>
        </w:rPr>
        <w:t>s</w:t>
      </w:r>
      <w:r w:rsidR="005C2713" w:rsidRPr="002E5FD6">
        <w:rPr>
          <w:rFonts w:cstheme="minorHAnsi"/>
          <w:sz w:val="28"/>
          <w:szCs w:val="28"/>
        </w:rPr>
        <w:t xml:space="preserve"> </w:t>
      </w:r>
      <w:r w:rsidR="003903A7" w:rsidRPr="002E5FD6">
        <w:rPr>
          <w:rFonts w:cstheme="minorHAnsi"/>
          <w:sz w:val="28"/>
          <w:szCs w:val="28"/>
        </w:rPr>
        <w:t>several</w:t>
      </w:r>
      <w:r w:rsidR="005C2713" w:rsidRPr="002E5FD6">
        <w:rPr>
          <w:rFonts w:cstheme="minorHAnsi"/>
          <w:sz w:val="28"/>
          <w:szCs w:val="28"/>
        </w:rPr>
        <w:t xml:space="preserve"> vehicle</w:t>
      </w:r>
      <w:r w:rsidR="003903A7" w:rsidRPr="002E5FD6">
        <w:rPr>
          <w:rFonts w:cstheme="minorHAnsi"/>
          <w:sz w:val="28"/>
          <w:szCs w:val="28"/>
        </w:rPr>
        <w:t>s</w:t>
      </w:r>
      <w:r w:rsidR="005C2713" w:rsidRPr="002E5FD6">
        <w:rPr>
          <w:rFonts w:cstheme="minorHAnsi"/>
          <w:sz w:val="28"/>
          <w:szCs w:val="28"/>
        </w:rPr>
        <w:t xml:space="preserve"> </w:t>
      </w:r>
      <w:r w:rsidR="003903A7" w:rsidRPr="002E5FD6">
        <w:rPr>
          <w:rFonts w:cstheme="minorHAnsi"/>
          <w:sz w:val="28"/>
          <w:szCs w:val="28"/>
        </w:rPr>
        <w:t xml:space="preserve">and is currently providing </w:t>
      </w:r>
      <w:r w:rsidR="00AE3ED5">
        <w:rPr>
          <w:rFonts w:cstheme="minorHAnsi"/>
          <w:sz w:val="28"/>
          <w:szCs w:val="28"/>
        </w:rPr>
        <w:t>non-</w:t>
      </w:r>
      <w:r w:rsidR="003903A7" w:rsidRPr="002E5FD6">
        <w:rPr>
          <w:rFonts w:cstheme="minorHAnsi"/>
          <w:sz w:val="28"/>
          <w:szCs w:val="28"/>
        </w:rPr>
        <w:t xml:space="preserve">regulated </w:t>
      </w:r>
      <w:r w:rsidR="00AE3ED5">
        <w:rPr>
          <w:rFonts w:cstheme="minorHAnsi"/>
          <w:sz w:val="28"/>
          <w:szCs w:val="28"/>
        </w:rPr>
        <w:t xml:space="preserve">hauling </w:t>
      </w:r>
      <w:r w:rsidR="003903A7" w:rsidRPr="002E5FD6">
        <w:rPr>
          <w:rFonts w:cstheme="minorHAnsi"/>
          <w:sz w:val="28"/>
          <w:szCs w:val="28"/>
        </w:rPr>
        <w:t>service</w:t>
      </w:r>
      <w:r w:rsidR="00AE3ED5">
        <w:rPr>
          <w:rFonts w:cstheme="minorHAnsi"/>
          <w:sz w:val="28"/>
          <w:szCs w:val="28"/>
        </w:rPr>
        <w:t>s</w:t>
      </w:r>
      <w:r w:rsidR="005C2713" w:rsidRPr="002E5FD6">
        <w:rPr>
          <w:rFonts w:cstheme="minorHAnsi"/>
          <w:sz w:val="28"/>
          <w:szCs w:val="28"/>
        </w:rPr>
        <w:t xml:space="preserve">. </w:t>
      </w:r>
    </w:p>
    <w:p w:rsidR="00195AD1" w:rsidRDefault="00195AD1" w:rsidP="004F0805">
      <w:pPr>
        <w:rPr>
          <w:rFonts w:cstheme="minorHAnsi"/>
          <w:sz w:val="28"/>
          <w:szCs w:val="28"/>
          <w:u w:val="single"/>
        </w:rPr>
      </w:pPr>
    </w:p>
    <w:p w:rsidR="00EF59F4" w:rsidRDefault="00EF59F4" w:rsidP="004F0805">
      <w:pPr>
        <w:rPr>
          <w:rFonts w:cstheme="minorHAnsi"/>
          <w:sz w:val="28"/>
          <w:szCs w:val="28"/>
          <w:u w:val="single"/>
        </w:rPr>
      </w:pPr>
    </w:p>
    <w:p w:rsidR="004F0805" w:rsidRPr="00197977" w:rsidRDefault="00FF31BB" w:rsidP="00197977">
      <w:p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  <w:u w:val="single"/>
        </w:rPr>
        <w:t>T</w:t>
      </w:r>
      <w:r w:rsidR="004F0805" w:rsidRPr="00604862">
        <w:rPr>
          <w:rFonts w:cstheme="minorHAnsi"/>
          <w:sz w:val="28"/>
          <w:szCs w:val="28"/>
          <w:u w:val="single"/>
        </w:rPr>
        <w:t>he Pro</w:t>
      </w:r>
      <w:r w:rsidR="00DF4AEC">
        <w:rPr>
          <w:rFonts w:cstheme="minorHAnsi"/>
          <w:sz w:val="28"/>
          <w:szCs w:val="28"/>
          <w:u w:val="single"/>
        </w:rPr>
        <w:t xml:space="preserve"> </w:t>
      </w:r>
      <w:r w:rsidR="004F0805" w:rsidRPr="00604862">
        <w:rPr>
          <w:rFonts w:cstheme="minorHAnsi"/>
          <w:sz w:val="28"/>
          <w:szCs w:val="28"/>
          <w:u w:val="single"/>
        </w:rPr>
        <w:t>forma Income Statement</w:t>
      </w:r>
      <w:r w:rsidR="004F0805" w:rsidRPr="00604862">
        <w:rPr>
          <w:rFonts w:cstheme="minorHAnsi"/>
          <w:sz w:val="28"/>
          <w:szCs w:val="28"/>
        </w:rPr>
        <w:t xml:space="preserve">: </w:t>
      </w:r>
    </w:p>
    <w:p w:rsidR="00662D02" w:rsidRPr="00604862" w:rsidRDefault="00662D02" w:rsidP="00662D0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The company </w:t>
      </w:r>
      <w:r>
        <w:rPr>
          <w:rFonts w:cstheme="minorHAnsi"/>
          <w:sz w:val="28"/>
          <w:szCs w:val="28"/>
        </w:rPr>
        <w:t>currently realizes $</w:t>
      </w:r>
      <w:r>
        <w:rPr>
          <w:rFonts w:cstheme="minorHAnsi"/>
          <w:sz w:val="28"/>
          <w:szCs w:val="28"/>
        </w:rPr>
        <w:t>6,4</w:t>
      </w:r>
      <w:r>
        <w:rPr>
          <w:rFonts w:cstheme="minorHAnsi"/>
          <w:sz w:val="28"/>
          <w:szCs w:val="28"/>
        </w:rPr>
        <w:t>00,000 in annual revenue.</w:t>
      </w:r>
    </w:p>
    <w:p w:rsidR="00662D02" w:rsidRPr="00604862" w:rsidRDefault="00662D02" w:rsidP="00662D0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04862">
        <w:rPr>
          <w:rFonts w:cstheme="minorHAnsi"/>
          <w:sz w:val="28"/>
          <w:szCs w:val="28"/>
        </w:rPr>
        <w:t xml:space="preserve">The company </w:t>
      </w:r>
      <w:r>
        <w:rPr>
          <w:rFonts w:cstheme="minorHAnsi"/>
          <w:sz w:val="28"/>
          <w:szCs w:val="28"/>
        </w:rPr>
        <w:t>currently realizes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$</w:t>
      </w:r>
      <w:r>
        <w:rPr>
          <w:rFonts w:cstheme="minorHAnsi"/>
          <w:sz w:val="28"/>
          <w:szCs w:val="28"/>
        </w:rPr>
        <w:t>5,400,000</w:t>
      </w:r>
      <w:r>
        <w:rPr>
          <w:rFonts w:cstheme="minorHAnsi"/>
          <w:sz w:val="28"/>
          <w:szCs w:val="28"/>
        </w:rPr>
        <w:t xml:space="preserve"> in annual expenses.</w:t>
      </w:r>
    </w:p>
    <w:p w:rsidR="00662D02" w:rsidRDefault="00662D02" w:rsidP="00662D02">
      <w:pPr>
        <w:rPr>
          <w:rFonts w:cstheme="minorHAnsi"/>
          <w:sz w:val="28"/>
          <w:szCs w:val="28"/>
        </w:rPr>
      </w:pPr>
    </w:p>
    <w:p w:rsidR="00662D02" w:rsidRPr="00604862" w:rsidRDefault="00662D02" w:rsidP="00662D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company </w:t>
      </w:r>
      <w:r>
        <w:rPr>
          <w:rFonts w:cstheme="minorHAnsi"/>
          <w:sz w:val="28"/>
          <w:szCs w:val="28"/>
        </w:rPr>
        <w:t>did not include depreciation expenses, which based on the value of assets could be as much as $130,000 per year</w:t>
      </w:r>
      <w:r w:rsidRPr="0060486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Even with such a high estimate the company would earn $870,000 before taxes.</w:t>
      </w:r>
    </w:p>
    <w:p w:rsidR="00233F97" w:rsidRPr="00604862" w:rsidRDefault="00764B53" w:rsidP="00233F9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233F97" w:rsidRPr="0060486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563F"/>
    <w:multiLevelType w:val="hybridMultilevel"/>
    <w:tmpl w:val="F7B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0823"/>
    <w:multiLevelType w:val="hybridMultilevel"/>
    <w:tmpl w:val="8A1A6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0F5281"/>
    <w:multiLevelType w:val="hybridMultilevel"/>
    <w:tmpl w:val="E08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076C"/>
    <w:multiLevelType w:val="hybridMultilevel"/>
    <w:tmpl w:val="C4EC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1203"/>
    <w:multiLevelType w:val="hybridMultilevel"/>
    <w:tmpl w:val="55C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2CA"/>
    <w:multiLevelType w:val="hybridMultilevel"/>
    <w:tmpl w:val="422C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1C3B"/>
    <w:multiLevelType w:val="hybridMultilevel"/>
    <w:tmpl w:val="93EA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1"/>
    <w:rsid w:val="00017035"/>
    <w:rsid w:val="00024E67"/>
    <w:rsid w:val="00026191"/>
    <w:rsid w:val="00032D5C"/>
    <w:rsid w:val="0006188E"/>
    <w:rsid w:val="000C720A"/>
    <w:rsid w:val="000E2E9A"/>
    <w:rsid w:val="000E640C"/>
    <w:rsid w:val="000F59E4"/>
    <w:rsid w:val="00167E74"/>
    <w:rsid w:val="00195AD1"/>
    <w:rsid w:val="00197977"/>
    <w:rsid w:val="001A2178"/>
    <w:rsid w:val="001A4D3F"/>
    <w:rsid w:val="001C5AB1"/>
    <w:rsid w:val="001E1D7A"/>
    <w:rsid w:val="001F16DF"/>
    <w:rsid w:val="00223E1E"/>
    <w:rsid w:val="00233F97"/>
    <w:rsid w:val="00272631"/>
    <w:rsid w:val="002830F6"/>
    <w:rsid w:val="002978E8"/>
    <w:rsid w:val="002C039A"/>
    <w:rsid w:val="002E5FD6"/>
    <w:rsid w:val="00363D01"/>
    <w:rsid w:val="00365AC6"/>
    <w:rsid w:val="003903A7"/>
    <w:rsid w:val="003A2A38"/>
    <w:rsid w:val="003E70B1"/>
    <w:rsid w:val="003E7759"/>
    <w:rsid w:val="00434121"/>
    <w:rsid w:val="00481396"/>
    <w:rsid w:val="004A0CE7"/>
    <w:rsid w:val="004F0805"/>
    <w:rsid w:val="00502376"/>
    <w:rsid w:val="00533C7B"/>
    <w:rsid w:val="005346C7"/>
    <w:rsid w:val="00536A59"/>
    <w:rsid w:val="00552600"/>
    <w:rsid w:val="005A6C74"/>
    <w:rsid w:val="005C0306"/>
    <w:rsid w:val="005C0BA9"/>
    <w:rsid w:val="005C2713"/>
    <w:rsid w:val="005D4B39"/>
    <w:rsid w:val="005F230D"/>
    <w:rsid w:val="00604862"/>
    <w:rsid w:val="006338C7"/>
    <w:rsid w:val="0065590B"/>
    <w:rsid w:val="00662D02"/>
    <w:rsid w:val="00672F7B"/>
    <w:rsid w:val="00675DBA"/>
    <w:rsid w:val="00682E68"/>
    <w:rsid w:val="006A41EE"/>
    <w:rsid w:val="00756C98"/>
    <w:rsid w:val="00764B53"/>
    <w:rsid w:val="007663CC"/>
    <w:rsid w:val="00771181"/>
    <w:rsid w:val="0078447A"/>
    <w:rsid w:val="00803460"/>
    <w:rsid w:val="008115E9"/>
    <w:rsid w:val="00815EF8"/>
    <w:rsid w:val="00850F0C"/>
    <w:rsid w:val="00852D5F"/>
    <w:rsid w:val="00883D28"/>
    <w:rsid w:val="008A7407"/>
    <w:rsid w:val="008D1ACF"/>
    <w:rsid w:val="008D61A0"/>
    <w:rsid w:val="008D7202"/>
    <w:rsid w:val="008D7AFD"/>
    <w:rsid w:val="008E5178"/>
    <w:rsid w:val="00966F3C"/>
    <w:rsid w:val="009D6F91"/>
    <w:rsid w:val="009E29A8"/>
    <w:rsid w:val="00A84C2A"/>
    <w:rsid w:val="00AD3123"/>
    <w:rsid w:val="00AD3312"/>
    <w:rsid w:val="00AE273E"/>
    <w:rsid w:val="00AE3ED5"/>
    <w:rsid w:val="00AE5F06"/>
    <w:rsid w:val="00B13041"/>
    <w:rsid w:val="00BA3399"/>
    <w:rsid w:val="00BB376F"/>
    <w:rsid w:val="00BF6708"/>
    <w:rsid w:val="00C5132F"/>
    <w:rsid w:val="00C95F22"/>
    <w:rsid w:val="00C95FF3"/>
    <w:rsid w:val="00D83116"/>
    <w:rsid w:val="00DA1B86"/>
    <w:rsid w:val="00DA2349"/>
    <w:rsid w:val="00DD2A47"/>
    <w:rsid w:val="00DE268E"/>
    <w:rsid w:val="00DF4AEC"/>
    <w:rsid w:val="00E21DA6"/>
    <w:rsid w:val="00E2407C"/>
    <w:rsid w:val="00E96CEC"/>
    <w:rsid w:val="00EB4B34"/>
    <w:rsid w:val="00ED0D2D"/>
    <w:rsid w:val="00EF59F4"/>
    <w:rsid w:val="00F21B68"/>
    <w:rsid w:val="00F63E80"/>
    <w:rsid w:val="00FB396E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E6211-8783-46BD-91CE-22321A9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6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2015-05-11T07:00:00+00:00</OpenedDate>
    <Date1 xmlns="dc463f71-b30c-4ab2-9473-d307f9d35888">2015-06-10T07:00:00+00:00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Topsoils, Inc.</CaseCompanyNames>
    <DocketNumber xmlns="dc463f71-b30c-4ab2-9473-d307f9d35888">150771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6EF017D008441B3C6EE77B3D953AB" ma:contentTypeVersion="119" ma:contentTypeDescription="" ma:contentTypeScope="" ma:versionID="de1488839944be47db241b46a974e7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6C24B-9261-4DDA-AC81-9CC47726CC60}"/>
</file>

<file path=customXml/itemProps2.xml><?xml version="1.0" encoding="utf-8"?>
<ds:datastoreItem xmlns:ds="http://schemas.openxmlformats.org/officeDocument/2006/customXml" ds:itemID="{EBAD0768-4C74-40CA-AAE8-1C9027142B44}"/>
</file>

<file path=customXml/itemProps3.xml><?xml version="1.0" encoding="utf-8"?>
<ds:datastoreItem xmlns:ds="http://schemas.openxmlformats.org/officeDocument/2006/customXml" ds:itemID="{799E82FF-48FA-414A-B42D-A26C238892E3}"/>
</file>

<file path=customXml/itemProps4.xml><?xml version="1.0" encoding="utf-8"?>
<ds:datastoreItem xmlns:ds="http://schemas.openxmlformats.org/officeDocument/2006/customXml" ds:itemID="{5CB335CE-DC38-4655-9B19-14F322C7A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White</dc:creator>
  <cp:lastModifiedBy>Young, Mike (UTC)</cp:lastModifiedBy>
  <cp:revision>5</cp:revision>
  <dcterms:created xsi:type="dcterms:W3CDTF">2015-06-09T16:24:00Z</dcterms:created>
  <dcterms:modified xsi:type="dcterms:W3CDTF">2015-06-09T16:36:00Z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0x0101006E56B4D1795A2E4DB2F0B01679ED314A007916EF017D008441B3C6EE77B3D953AB</vt:lpwstr>
  </property>
  <property fmtid="{D5CDD505-2E9C-101B-9397-08002B2CF9AE}" pid="3" name="_docset_NoMedatataSyncRequired">
    <vt:lpwstr>False</vt:lpwstr>
  </property>
</Properties>
</file>